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C9" w14:textId="77777777" w:rsidR="003B196F" w:rsidRPr="0084208F" w:rsidRDefault="001D0649" w:rsidP="003B196F">
      <w:pPr>
        <w:pStyle w:val="Heading2"/>
        <w:jc w:val="center"/>
        <w:rPr>
          <w:rFonts w:ascii="Arial" w:hAnsi="Arial" w:cs="Arial"/>
          <w:b/>
          <w:bCs/>
          <w:sz w:val="22"/>
          <w:szCs w:val="22"/>
          <w:lang w:val="en-GB"/>
        </w:rPr>
      </w:pPr>
      <w:r w:rsidRPr="0084208F">
        <w:rPr>
          <w:rFonts w:ascii="Arial" w:hAnsi="Arial" w:cs="Arial"/>
          <w:b/>
          <w:bCs/>
          <w:sz w:val="22"/>
          <w:szCs w:val="22"/>
          <w:lang w:val="en-GB"/>
        </w:rPr>
        <w:t>CONTRIBUTION FROM THE REPUBLIC OF THE PHILIPPINES</w:t>
      </w:r>
      <w:r w:rsidR="003B196F" w:rsidRPr="0084208F">
        <w:rPr>
          <w:rFonts w:ascii="Arial" w:hAnsi="Arial" w:cs="Arial"/>
          <w:b/>
          <w:bCs/>
          <w:sz w:val="22"/>
          <w:szCs w:val="22"/>
          <w:lang w:val="en-GB"/>
        </w:rPr>
        <w:t xml:space="preserve"> </w:t>
      </w:r>
    </w:p>
    <w:p w14:paraId="05AC9D40" w14:textId="331B7790" w:rsidR="00E64D10" w:rsidRPr="0084208F" w:rsidRDefault="001D0649" w:rsidP="00964A83">
      <w:pPr>
        <w:pStyle w:val="Heading2"/>
        <w:jc w:val="center"/>
        <w:rPr>
          <w:rFonts w:ascii="Arial" w:hAnsi="Arial" w:cs="Arial"/>
          <w:b/>
          <w:bCs/>
          <w:sz w:val="22"/>
          <w:szCs w:val="22"/>
        </w:rPr>
      </w:pPr>
      <w:r w:rsidRPr="0084208F">
        <w:rPr>
          <w:rFonts w:ascii="Arial" w:hAnsi="Arial" w:cs="Arial"/>
          <w:b/>
          <w:bCs/>
          <w:sz w:val="22"/>
          <w:szCs w:val="22"/>
          <w:lang w:val="en-GB"/>
        </w:rPr>
        <w:t xml:space="preserve">TO </w:t>
      </w:r>
      <w:r w:rsidR="00964A83" w:rsidRPr="0084208F">
        <w:rPr>
          <w:rFonts w:ascii="Arial" w:hAnsi="Arial" w:cs="Arial"/>
          <w:b/>
          <w:bCs/>
          <w:sz w:val="22"/>
          <w:szCs w:val="22"/>
          <w:lang w:val="en-GB"/>
        </w:rPr>
        <w:t xml:space="preserve">THEMATIC REPORT </w:t>
      </w:r>
      <w:r w:rsidR="00FA405C">
        <w:rPr>
          <w:rFonts w:ascii="Arial" w:hAnsi="Arial" w:cs="Arial"/>
          <w:b/>
          <w:bCs/>
          <w:sz w:val="22"/>
          <w:szCs w:val="22"/>
          <w:lang w:val="en-GB"/>
        </w:rPr>
        <w:t>ON “VIOLENCE AND ITS IMPACT ON THE RIGHT TO HEALTH”</w:t>
      </w:r>
    </w:p>
    <w:p w14:paraId="1FD7F569" w14:textId="210CD2C5" w:rsidR="001D0649" w:rsidRPr="0084208F" w:rsidRDefault="001D0649" w:rsidP="001D0649">
      <w:pPr>
        <w:pStyle w:val="Heading2"/>
        <w:jc w:val="center"/>
        <w:rPr>
          <w:rFonts w:ascii="Arial" w:hAnsi="Arial" w:cs="Arial"/>
          <w:b/>
          <w:bCs/>
          <w:sz w:val="22"/>
          <w:szCs w:val="22"/>
          <w:lang w:val="en-GB"/>
        </w:rPr>
      </w:pPr>
      <w:r w:rsidRPr="0084208F">
        <w:rPr>
          <w:rFonts w:ascii="Arial" w:hAnsi="Arial" w:cs="Arial"/>
          <w:b/>
          <w:bCs/>
          <w:sz w:val="22"/>
          <w:szCs w:val="22"/>
          <w:lang w:val="en-GB"/>
        </w:rPr>
        <w:t xml:space="preserve">(Pursuant to HRC Resolution </w:t>
      </w:r>
      <w:r w:rsidR="00FA405C" w:rsidRPr="00FA405C">
        <w:rPr>
          <w:rFonts w:ascii="Arial" w:hAnsi="Arial" w:cs="Arial"/>
          <w:b/>
          <w:bCs/>
          <w:sz w:val="22"/>
          <w:szCs w:val="22"/>
          <w:lang w:val="en-GB"/>
        </w:rPr>
        <w:t>42/16</w:t>
      </w:r>
      <w:r w:rsidRPr="0084208F">
        <w:rPr>
          <w:rFonts w:ascii="Arial" w:hAnsi="Arial" w:cs="Arial"/>
          <w:b/>
          <w:bCs/>
          <w:i/>
          <w:iCs/>
          <w:sz w:val="22"/>
          <w:szCs w:val="22"/>
          <w:lang w:val="en-GB"/>
        </w:rPr>
        <w:t>)</w:t>
      </w:r>
    </w:p>
    <w:p w14:paraId="0B6DAD73" w14:textId="09A3D7FE" w:rsidR="00E64D10" w:rsidRPr="0084208F" w:rsidRDefault="00E64D10" w:rsidP="00A81C36">
      <w:pPr>
        <w:jc w:val="both"/>
        <w:rPr>
          <w:rFonts w:ascii="Arial" w:hAnsi="Arial" w:cs="Arial"/>
          <w:b/>
          <w:bCs/>
        </w:rPr>
      </w:pPr>
    </w:p>
    <w:p w14:paraId="5170771F" w14:textId="77777777" w:rsidR="002E3223" w:rsidRPr="0084208F" w:rsidRDefault="002E3223" w:rsidP="0005364C">
      <w:pPr>
        <w:jc w:val="both"/>
        <w:rPr>
          <w:rFonts w:ascii="Arial" w:hAnsi="Arial" w:cs="Arial"/>
          <w:lang w:val="en-GB"/>
        </w:rPr>
      </w:pPr>
    </w:p>
    <w:p w14:paraId="476A3F75" w14:textId="5587CF1A" w:rsidR="00EA1F6A" w:rsidRDefault="00D71C86" w:rsidP="00EA1F6A">
      <w:pPr>
        <w:jc w:val="both"/>
        <w:rPr>
          <w:rFonts w:ascii="Arial" w:hAnsi="Arial" w:cs="Arial"/>
          <w:lang w:val="en-GB"/>
        </w:rPr>
      </w:pPr>
      <w:r w:rsidRPr="0084208F">
        <w:rPr>
          <w:rFonts w:ascii="Arial" w:hAnsi="Arial" w:cs="Arial"/>
          <w:lang w:val="en-GB"/>
        </w:rPr>
        <w:t>In response to the</w:t>
      </w:r>
      <w:r w:rsidR="00ED3424">
        <w:rPr>
          <w:rFonts w:ascii="Arial" w:hAnsi="Arial" w:cs="Arial"/>
          <w:lang w:val="en-GB"/>
        </w:rPr>
        <w:t xml:space="preserve"> letter of</w:t>
      </w:r>
      <w:r w:rsidRPr="0084208F">
        <w:rPr>
          <w:rFonts w:ascii="Arial" w:hAnsi="Arial" w:cs="Arial"/>
          <w:lang w:val="en-GB"/>
        </w:rPr>
        <w:t xml:space="preserve"> dated </w:t>
      </w:r>
      <w:r w:rsidR="009A644E">
        <w:rPr>
          <w:rFonts w:ascii="Arial" w:hAnsi="Arial" w:cs="Arial"/>
          <w:lang w:val="en-GB"/>
        </w:rPr>
        <w:t xml:space="preserve">8 December </w:t>
      </w:r>
      <w:r w:rsidRPr="0084208F">
        <w:rPr>
          <w:rFonts w:ascii="Arial" w:hAnsi="Arial" w:cs="Arial"/>
          <w:lang w:val="en-GB"/>
        </w:rPr>
        <w:t xml:space="preserve">2021 from </w:t>
      </w:r>
      <w:r w:rsidR="00ED3424">
        <w:rPr>
          <w:rFonts w:ascii="Arial" w:hAnsi="Arial" w:cs="Arial"/>
          <w:lang w:val="en-GB"/>
        </w:rPr>
        <w:t xml:space="preserve">the Special Rapporteur on </w:t>
      </w:r>
      <w:r w:rsidR="00455A8F" w:rsidRPr="0084208F">
        <w:rPr>
          <w:rFonts w:ascii="Arial" w:hAnsi="Arial" w:cs="Arial"/>
          <w:lang w:val="en-GB"/>
        </w:rPr>
        <w:t xml:space="preserve">the </w:t>
      </w:r>
      <w:r w:rsidR="00ED3424">
        <w:rPr>
          <w:rFonts w:ascii="Arial" w:hAnsi="Arial" w:cs="Arial"/>
          <w:lang w:val="en-GB"/>
        </w:rPr>
        <w:t>r</w:t>
      </w:r>
      <w:r w:rsidR="00DF6A26">
        <w:rPr>
          <w:rFonts w:ascii="Arial" w:hAnsi="Arial" w:cs="Arial"/>
          <w:lang w:val="en-GB"/>
        </w:rPr>
        <w:t xml:space="preserve">ight of </w:t>
      </w:r>
      <w:r w:rsidR="00ED3424">
        <w:rPr>
          <w:rFonts w:ascii="Arial" w:hAnsi="Arial" w:cs="Arial"/>
          <w:lang w:val="en-GB"/>
        </w:rPr>
        <w:t>e</w:t>
      </w:r>
      <w:r w:rsidR="00DF6A26">
        <w:rPr>
          <w:rFonts w:ascii="Arial" w:hAnsi="Arial" w:cs="Arial"/>
          <w:lang w:val="en-GB"/>
        </w:rPr>
        <w:t xml:space="preserve">veryone to the </w:t>
      </w:r>
      <w:r w:rsidR="00ED3424">
        <w:rPr>
          <w:rFonts w:ascii="Arial" w:hAnsi="Arial" w:cs="Arial"/>
          <w:lang w:val="en-GB"/>
        </w:rPr>
        <w:t>e</w:t>
      </w:r>
      <w:r w:rsidR="00DF6A26">
        <w:rPr>
          <w:rFonts w:ascii="Arial" w:hAnsi="Arial" w:cs="Arial"/>
          <w:lang w:val="en-GB"/>
        </w:rPr>
        <w:t xml:space="preserve">njoyment of the </w:t>
      </w:r>
      <w:r w:rsidR="00ED3424">
        <w:rPr>
          <w:rFonts w:ascii="Arial" w:hAnsi="Arial" w:cs="Arial"/>
          <w:lang w:val="en-GB"/>
        </w:rPr>
        <w:t>h</w:t>
      </w:r>
      <w:r w:rsidR="00DF6A26">
        <w:rPr>
          <w:rFonts w:ascii="Arial" w:hAnsi="Arial" w:cs="Arial"/>
          <w:lang w:val="en-GB"/>
        </w:rPr>
        <w:t xml:space="preserve">ighest </w:t>
      </w:r>
      <w:r w:rsidR="00ED3424">
        <w:rPr>
          <w:rFonts w:ascii="Arial" w:hAnsi="Arial" w:cs="Arial"/>
          <w:lang w:val="en-GB"/>
        </w:rPr>
        <w:t>a</w:t>
      </w:r>
      <w:r w:rsidR="00DF6A26">
        <w:rPr>
          <w:rFonts w:ascii="Arial" w:hAnsi="Arial" w:cs="Arial"/>
          <w:lang w:val="en-GB"/>
        </w:rPr>
        <w:t xml:space="preserve">ttainable </w:t>
      </w:r>
      <w:r w:rsidR="00ED3424">
        <w:rPr>
          <w:rFonts w:ascii="Arial" w:hAnsi="Arial" w:cs="Arial"/>
          <w:lang w:val="en-GB"/>
        </w:rPr>
        <w:t>s</w:t>
      </w:r>
      <w:r w:rsidR="00DF6A26">
        <w:rPr>
          <w:rFonts w:ascii="Arial" w:hAnsi="Arial" w:cs="Arial"/>
          <w:lang w:val="en-GB"/>
        </w:rPr>
        <w:t xml:space="preserve">tandard of </w:t>
      </w:r>
      <w:r w:rsidR="00ED3424">
        <w:rPr>
          <w:rFonts w:ascii="Arial" w:hAnsi="Arial" w:cs="Arial"/>
          <w:lang w:val="en-GB"/>
        </w:rPr>
        <w:t>p</w:t>
      </w:r>
      <w:r w:rsidR="00DF6A26">
        <w:rPr>
          <w:rFonts w:ascii="Arial" w:hAnsi="Arial" w:cs="Arial"/>
          <w:lang w:val="en-GB"/>
        </w:rPr>
        <w:t xml:space="preserve">hysical and </w:t>
      </w:r>
      <w:r w:rsidR="00ED3424">
        <w:rPr>
          <w:rFonts w:ascii="Arial" w:hAnsi="Arial" w:cs="Arial"/>
          <w:lang w:val="en-GB"/>
        </w:rPr>
        <w:t>m</w:t>
      </w:r>
      <w:r w:rsidR="00DF6A26">
        <w:rPr>
          <w:rFonts w:ascii="Arial" w:hAnsi="Arial" w:cs="Arial"/>
          <w:lang w:val="en-GB"/>
        </w:rPr>
        <w:t xml:space="preserve">ental </w:t>
      </w:r>
      <w:r w:rsidR="00ED3424">
        <w:rPr>
          <w:rFonts w:ascii="Arial" w:hAnsi="Arial" w:cs="Arial"/>
          <w:lang w:val="en-GB"/>
        </w:rPr>
        <w:t>h</w:t>
      </w:r>
      <w:r w:rsidR="00DF6A26">
        <w:rPr>
          <w:rFonts w:ascii="Arial" w:hAnsi="Arial" w:cs="Arial"/>
          <w:lang w:val="en-GB"/>
        </w:rPr>
        <w:t>ealth</w:t>
      </w:r>
      <w:r w:rsidR="00ED3424">
        <w:rPr>
          <w:rFonts w:ascii="Arial" w:hAnsi="Arial" w:cs="Arial"/>
          <w:lang w:val="en-GB"/>
        </w:rPr>
        <w:t xml:space="preserve"> requesting responses to the questionnaire to guide inputs in preparation for her thematic report on the theme of “violence and its impact on the right to health” which will be presented at HRC 50 in June 2022, the Philippines conveys its following response to relevant items as provided by </w:t>
      </w:r>
      <w:r w:rsidR="00452428" w:rsidRPr="0084208F">
        <w:rPr>
          <w:rFonts w:ascii="Arial" w:hAnsi="Arial" w:cs="Arial"/>
          <w:lang w:val="en-GB"/>
        </w:rPr>
        <w:t xml:space="preserve">the </w:t>
      </w:r>
      <w:r w:rsidR="00C45576">
        <w:rPr>
          <w:rFonts w:ascii="Arial" w:hAnsi="Arial" w:cs="Arial"/>
          <w:lang w:val="en-GB"/>
        </w:rPr>
        <w:t>Department of Health (DO</w:t>
      </w:r>
      <w:r w:rsidR="00ED3424">
        <w:rPr>
          <w:rFonts w:ascii="Arial" w:hAnsi="Arial" w:cs="Arial"/>
          <w:lang w:val="en-GB"/>
        </w:rPr>
        <w:t>H)</w:t>
      </w:r>
    </w:p>
    <w:p w14:paraId="040FDF8F" w14:textId="77777777" w:rsidR="00E378C4" w:rsidRPr="00E378C4" w:rsidRDefault="00E378C4" w:rsidP="00EA1F6A">
      <w:pPr>
        <w:jc w:val="both"/>
        <w:rPr>
          <w:rFonts w:ascii="Arial" w:hAnsi="Arial" w:cs="Arial"/>
          <w:lang w:val="en-GB"/>
        </w:rPr>
      </w:pPr>
    </w:p>
    <w:p w14:paraId="76BB6B68" w14:textId="05BC49FC" w:rsidR="00EA1F6A" w:rsidRPr="00133B67" w:rsidRDefault="00EA1F6A" w:rsidP="00E378C4">
      <w:pPr>
        <w:pStyle w:val="ListParagraph"/>
        <w:numPr>
          <w:ilvl w:val="0"/>
          <w:numId w:val="10"/>
        </w:numPr>
        <w:ind w:left="426" w:hanging="426"/>
        <w:jc w:val="both"/>
        <w:rPr>
          <w:rFonts w:ascii="Arial" w:hAnsi="Arial" w:cs="Arial"/>
          <w:b/>
          <w:bCs/>
          <w:i/>
          <w:iCs/>
          <w:lang w:val="en-GB"/>
        </w:rPr>
      </w:pPr>
      <w:r w:rsidRPr="00133B67">
        <w:rPr>
          <w:rFonts w:ascii="Arial" w:hAnsi="Arial" w:cs="Arial"/>
          <w:b/>
          <w:bCs/>
          <w:i/>
          <w:iCs/>
          <w:lang w:val="en-GB"/>
        </w:rPr>
        <w:t>Please describe, share data and information on the characteristics, number of cases, and the profile of victims and perpetrators in your country/</w:t>
      </w:r>
      <w:proofErr w:type="spellStart"/>
      <w:r w:rsidRPr="00133B67">
        <w:rPr>
          <w:rFonts w:ascii="Arial" w:hAnsi="Arial" w:cs="Arial"/>
          <w:b/>
          <w:bCs/>
          <w:i/>
          <w:iCs/>
          <w:lang w:val="en-GB"/>
        </w:rPr>
        <w:t>ies</w:t>
      </w:r>
      <w:proofErr w:type="spellEnd"/>
      <w:r w:rsidRPr="00133B67">
        <w:rPr>
          <w:rFonts w:ascii="Arial" w:hAnsi="Arial" w:cs="Arial"/>
          <w:b/>
          <w:bCs/>
          <w:i/>
          <w:iCs/>
          <w:lang w:val="en-GB"/>
        </w:rPr>
        <w:t xml:space="preserve"> or region(s) regarding:</w:t>
      </w:r>
    </w:p>
    <w:p w14:paraId="236EF236" w14:textId="77777777" w:rsidR="008D1872" w:rsidRPr="00E378C4" w:rsidRDefault="008D1872" w:rsidP="008D1872">
      <w:pPr>
        <w:pStyle w:val="ListParagraph"/>
        <w:ind w:left="426"/>
        <w:jc w:val="both"/>
        <w:rPr>
          <w:rFonts w:ascii="Arial" w:hAnsi="Arial" w:cs="Arial"/>
          <w:lang w:val="en-GB"/>
        </w:rPr>
      </w:pPr>
    </w:p>
    <w:p w14:paraId="507AABE8" w14:textId="1B3D2A0E" w:rsidR="008D1872" w:rsidRPr="006F56CD" w:rsidRDefault="00133B67" w:rsidP="006F56CD">
      <w:pPr>
        <w:pStyle w:val="ListParagraph"/>
        <w:numPr>
          <w:ilvl w:val="1"/>
          <w:numId w:val="10"/>
        </w:numPr>
        <w:ind w:hanging="654"/>
        <w:jc w:val="both"/>
        <w:rPr>
          <w:rFonts w:ascii="Arial" w:hAnsi="Arial" w:cs="Arial"/>
          <w:b/>
          <w:bCs/>
          <w:i/>
          <w:iCs/>
          <w:lang w:val="en-GB"/>
        </w:rPr>
      </w:pPr>
      <w:r>
        <w:rPr>
          <w:rFonts w:ascii="Arial" w:hAnsi="Arial" w:cs="Arial"/>
          <w:b/>
          <w:bCs/>
          <w:i/>
          <w:iCs/>
          <w:lang w:val="en-GB"/>
        </w:rPr>
        <w:t>G</w:t>
      </w:r>
      <w:r w:rsidR="00EA1F6A" w:rsidRPr="00133B67">
        <w:rPr>
          <w:rFonts w:ascii="Arial" w:hAnsi="Arial" w:cs="Arial"/>
          <w:b/>
          <w:bCs/>
          <w:i/>
          <w:iCs/>
          <w:lang w:val="en-GB"/>
        </w:rPr>
        <w:t>ender based violence against women</w:t>
      </w:r>
    </w:p>
    <w:p w14:paraId="00D69C2D" w14:textId="77777777" w:rsidR="00942066" w:rsidRDefault="00942066" w:rsidP="008D1872">
      <w:pPr>
        <w:pStyle w:val="ListParagraph"/>
        <w:ind w:left="1080"/>
        <w:jc w:val="both"/>
        <w:rPr>
          <w:rFonts w:ascii="Arial" w:hAnsi="Arial" w:cs="Arial"/>
          <w:lang w:val="en-GB"/>
        </w:rPr>
      </w:pPr>
    </w:p>
    <w:p w14:paraId="64CE03FF" w14:textId="6F7C02B2" w:rsidR="008D1872" w:rsidRDefault="008D1872" w:rsidP="008D1872">
      <w:pPr>
        <w:pStyle w:val="ListParagraph"/>
        <w:ind w:left="1080"/>
        <w:jc w:val="both"/>
        <w:rPr>
          <w:rFonts w:ascii="Arial" w:hAnsi="Arial" w:cs="Arial"/>
          <w:lang w:val="en-GB"/>
        </w:rPr>
      </w:pPr>
      <w:r w:rsidRPr="008D1872">
        <w:rPr>
          <w:rFonts w:ascii="Arial" w:hAnsi="Arial" w:cs="Arial"/>
          <w:lang w:val="en-GB"/>
        </w:rPr>
        <w:t>According to the 2017 Report of the National Demographic and Health Survey</w:t>
      </w:r>
      <w:r w:rsidR="00CF1799">
        <w:rPr>
          <w:rFonts w:ascii="Arial" w:hAnsi="Arial" w:cs="Arial"/>
          <w:lang w:val="en-GB"/>
        </w:rPr>
        <w:t xml:space="preserve"> (NDHS)</w:t>
      </w:r>
      <w:r w:rsidRPr="008D1872">
        <w:rPr>
          <w:rFonts w:ascii="Arial" w:hAnsi="Arial" w:cs="Arial"/>
          <w:lang w:val="en-GB"/>
        </w:rPr>
        <w:t>, 17%</w:t>
      </w:r>
      <w:r>
        <w:rPr>
          <w:rFonts w:ascii="Arial" w:hAnsi="Arial" w:cs="Arial"/>
          <w:lang w:val="en-GB"/>
        </w:rPr>
        <w:t xml:space="preserve"> </w:t>
      </w:r>
      <w:r w:rsidRPr="008D1872">
        <w:rPr>
          <w:rFonts w:ascii="Arial" w:hAnsi="Arial" w:cs="Arial"/>
          <w:lang w:val="en-GB"/>
        </w:rPr>
        <w:t>of women aged 15-49 have experienced physical violence since age 15. Divorced,</w:t>
      </w:r>
      <w:r>
        <w:rPr>
          <w:rFonts w:ascii="Arial" w:hAnsi="Arial" w:cs="Arial"/>
          <w:lang w:val="en-GB"/>
        </w:rPr>
        <w:t xml:space="preserve"> </w:t>
      </w:r>
      <w:r w:rsidRPr="008D1872">
        <w:rPr>
          <w:rFonts w:ascii="Arial" w:hAnsi="Arial" w:cs="Arial"/>
          <w:lang w:val="en-GB"/>
        </w:rPr>
        <w:t>separated, or widowed women are more likely than never-married and currently</w:t>
      </w:r>
      <w:r>
        <w:rPr>
          <w:rFonts w:ascii="Arial" w:hAnsi="Arial" w:cs="Arial"/>
          <w:lang w:val="en-GB"/>
        </w:rPr>
        <w:t xml:space="preserve"> </w:t>
      </w:r>
      <w:r w:rsidRPr="008D1872">
        <w:rPr>
          <w:rFonts w:ascii="Arial" w:hAnsi="Arial" w:cs="Arial"/>
          <w:lang w:val="en-GB"/>
        </w:rPr>
        <w:t>married</w:t>
      </w:r>
      <w:r>
        <w:rPr>
          <w:rFonts w:ascii="Arial" w:hAnsi="Arial" w:cs="Arial"/>
          <w:lang w:val="en-GB"/>
        </w:rPr>
        <w:t xml:space="preserve"> </w:t>
      </w:r>
      <w:r w:rsidRPr="008D1872">
        <w:rPr>
          <w:rFonts w:ascii="Arial" w:hAnsi="Arial" w:cs="Arial"/>
          <w:lang w:val="en-GB"/>
        </w:rPr>
        <w:t>women to have experienced physical violence. Women with 3-5 children</w:t>
      </w:r>
      <w:r>
        <w:rPr>
          <w:rFonts w:ascii="Arial" w:hAnsi="Arial" w:cs="Arial"/>
          <w:lang w:val="en-GB"/>
        </w:rPr>
        <w:t xml:space="preserve"> </w:t>
      </w:r>
      <w:r w:rsidRPr="008D1872">
        <w:rPr>
          <w:rFonts w:ascii="Arial" w:hAnsi="Arial" w:cs="Arial"/>
          <w:lang w:val="en-GB"/>
        </w:rPr>
        <w:t>are also more</w:t>
      </w:r>
      <w:r>
        <w:rPr>
          <w:rFonts w:ascii="Arial" w:hAnsi="Arial" w:cs="Arial"/>
          <w:lang w:val="en-GB"/>
        </w:rPr>
        <w:t xml:space="preserve"> </w:t>
      </w:r>
      <w:r w:rsidRPr="008D1872">
        <w:rPr>
          <w:rFonts w:ascii="Arial" w:hAnsi="Arial" w:cs="Arial"/>
          <w:lang w:val="en-GB"/>
        </w:rPr>
        <w:t>likely to have experienced physical violence than women with no</w:t>
      </w:r>
      <w:r>
        <w:rPr>
          <w:rFonts w:ascii="Arial" w:hAnsi="Arial" w:cs="Arial"/>
          <w:lang w:val="en-GB"/>
        </w:rPr>
        <w:t xml:space="preserve"> </w:t>
      </w:r>
      <w:r w:rsidRPr="008D1872">
        <w:rPr>
          <w:rFonts w:ascii="Arial" w:hAnsi="Arial" w:cs="Arial"/>
          <w:lang w:val="en-GB"/>
        </w:rPr>
        <w:t>children. Experience</w:t>
      </w:r>
      <w:r>
        <w:rPr>
          <w:rFonts w:ascii="Arial" w:hAnsi="Arial" w:cs="Arial"/>
          <w:lang w:val="en-GB"/>
        </w:rPr>
        <w:t xml:space="preserve"> </w:t>
      </w:r>
      <w:r w:rsidRPr="008D1872">
        <w:rPr>
          <w:rFonts w:ascii="Arial" w:hAnsi="Arial" w:cs="Arial"/>
          <w:lang w:val="en-GB"/>
        </w:rPr>
        <w:t xml:space="preserve">of physical violence also varies by wealth; the </w:t>
      </w:r>
      <w:r>
        <w:rPr>
          <w:rFonts w:ascii="Arial" w:hAnsi="Arial" w:cs="Arial"/>
          <w:lang w:val="en-GB"/>
        </w:rPr>
        <w:t>National Demographic and Health Survey (</w:t>
      </w:r>
      <w:r w:rsidRPr="008D1872">
        <w:rPr>
          <w:rFonts w:ascii="Arial" w:hAnsi="Arial" w:cs="Arial"/>
          <w:lang w:val="en-GB"/>
        </w:rPr>
        <w:t>NDHS</w:t>
      </w:r>
      <w:r>
        <w:rPr>
          <w:rFonts w:ascii="Arial" w:hAnsi="Arial" w:cs="Arial"/>
          <w:lang w:val="en-GB"/>
        </w:rPr>
        <w:t>)</w:t>
      </w:r>
      <w:r w:rsidRPr="008D1872">
        <w:rPr>
          <w:rFonts w:ascii="Arial" w:hAnsi="Arial" w:cs="Arial"/>
          <w:lang w:val="en-GB"/>
        </w:rPr>
        <w:t xml:space="preserve"> 2017</w:t>
      </w:r>
      <w:r>
        <w:rPr>
          <w:rFonts w:ascii="Arial" w:hAnsi="Arial" w:cs="Arial"/>
          <w:lang w:val="en-GB"/>
        </w:rPr>
        <w:t xml:space="preserve"> </w:t>
      </w:r>
      <w:r w:rsidRPr="008D1872">
        <w:rPr>
          <w:rFonts w:ascii="Arial" w:hAnsi="Arial" w:cs="Arial"/>
          <w:lang w:val="en-GB"/>
        </w:rPr>
        <w:t>reports that 21% of women in the lowest income quintile have experienced physical</w:t>
      </w:r>
      <w:r>
        <w:rPr>
          <w:rFonts w:ascii="Arial" w:hAnsi="Arial" w:cs="Arial"/>
          <w:lang w:val="en-GB"/>
        </w:rPr>
        <w:t xml:space="preserve"> </w:t>
      </w:r>
      <w:r w:rsidRPr="008D1872">
        <w:rPr>
          <w:rFonts w:ascii="Arial" w:hAnsi="Arial" w:cs="Arial"/>
          <w:lang w:val="en-GB"/>
        </w:rPr>
        <w:t>violence, compared with 12% of</w:t>
      </w:r>
      <w:r>
        <w:rPr>
          <w:rFonts w:ascii="Arial" w:hAnsi="Arial" w:cs="Arial"/>
          <w:lang w:val="en-GB"/>
        </w:rPr>
        <w:t xml:space="preserve"> </w:t>
      </w:r>
      <w:r w:rsidRPr="008D1872">
        <w:rPr>
          <w:rFonts w:ascii="Arial" w:hAnsi="Arial" w:cs="Arial"/>
          <w:lang w:val="en-GB"/>
        </w:rPr>
        <w:t>women in the highest income bracket.</w:t>
      </w:r>
    </w:p>
    <w:p w14:paraId="46991D78" w14:textId="7B0C542A" w:rsidR="00BC6D79" w:rsidRDefault="00BC6D79" w:rsidP="008D1872">
      <w:pPr>
        <w:pStyle w:val="ListParagraph"/>
        <w:ind w:left="1080"/>
        <w:jc w:val="both"/>
        <w:rPr>
          <w:rFonts w:ascii="Arial" w:hAnsi="Arial" w:cs="Arial"/>
          <w:lang w:val="en-GB"/>
        </w:rPr>
      </w:pPr>
    </w:p>
    <w:p w14:paraId="2305CBB7" w14:textId="76D19C8B" w:rsidR="00BC6D79" w:rsidRPr="00BC6D79" w:rsidRDefault="00BC6D79" w:rsidP="00BC6D79">
      <w:pPr>
        <w:pStyle w:val="ListParagraph"/>
        <w:ind w:left="1080"/>
        <w:jc w:val="both"/>
        <w:rPr>
          <w:rFonts w:ascii="Arial" w:hAnsi="Arial" w:cs="Arial"/>
          <w:lang w:val="en-GB"/>
        </w:rPr>
      </w:pPr>
      <w:r w:rsidRPr="00BC6D79">
        <w:rPr>
          <w:rFonts w:ascii="Arial" w:hAnsi="Arial" w:cs="Arial"/>
          <w:lang w:val="en-GB"/>
        </w:rPr>
        <w:t>The NDHS also reports that perpetrators of physical violence among ever-married</w:t>
      </w:r>
      <w:r>
        <w:rPr>
          <w:rFonts w:ascii="Arial" w:hAnsi="Arial" w:cs="Arial"/>
          <w:lang w:val="en-GB"/>
        </w:rPr>
        <w:t xml:space="preserve"> </w:t>
      </w:r>
      <w:r w:rsidRPr="00BC6D79">
        <w:rPr>
          <w:rFonts w:ascii="Arial" w:hAnsi="Arial" w:cs="Arial"/>
          <w:lang w:val="en-GB"/>
        </w:rPr>
        <w:t>women were either current husband or partner (48%), or former husband or partner</w:t>
      </w:r>
      <w:r>
        <w:rPr>
          <w:rFonts w:ascii="Arial" w:hAnsi="Arial" w:cs="Arial"/>
          <w:lang w:val="en-GB"/>
        </w:rPr>
        <w:t xml:space="preserve"> </w:t>
      </w:r>
      <w:r w:rsidRPr="00BC6D79">
        <w:rPr>
          <w:rFonts w:ascii="Arial" w:hAnsi="Arial" w:cs="Arial"/>
          <w:lang w:val="en-GB"/>
        </w:rPr>
        <w:t>(25%). Among never-married women, most common perpetrators were mothers or</w:t>
      </w:r>
      <w:r>
        <w:rPr>
          <w:rFonts w:ascii="Arial" w:hAnsi="Arial" w:cs="Arial"/>
          <w:lang w:val="en-GB"/>
        </w:rPr>
        <w:t xml:space="preserve"> </w:t>
      </w:r>
      <w:r w:rsidRPr="00BC6D79">
        <w:rPr>
          <w:rFonts w:ascii="Arial" w:hAnsi="Arial" w:cs="Arial"/>
          <w:lang w:val="en-GB"/>
        </w:rPr>
        <w:t>stepmothers (26%), fathers or stepfathers (25%), or perpetrated by a teacher (5%).</w:t>
      </w:r>
    </w:p>
    <w:p w14:paraId="025E0BAC" w14:textId="77777777" w:rsidR="00661EE7" w:rsidRPr="00661EE7" w:rsidRDefault="00661EE7" w:rsidP="00E73014">
      <w:pPr>
        <w:jc w:val="both"/>
        <w:rPr>
          <w:rFonts w:ascii="Arial" w:hAnsi="Arial" w:cs="Arial"/>
          <w:lang w:val="en-GB"/>
        </w:rPr>
      </w:pPr>
    </w:p>
    <w:p w14:paraId="2A250ED3" w14:textId="29A7276C" w:rsidR="00661EE7" w:rsidRPr="00133B67" w:rsidRDefault="00E73014" w:rsidP="00661EE7">
      <w:pPr>
        <w:pStyle w:val="ListParagraph"/>
        <w:numPr>
          <w:ilvl w:val="1"/>
          <w:numId w:val="10"/>
        </w:numPr>
        <w:ind w:hanging="654"/>
        <w:jc w:val="both"/>
        <w:rPr>
          <w:rFonts w:ascii="Arial" w:hAnsi="Arial" w:cs="Arial"/>
          <w:b/>
          <w:bCs/>
          <w:i/>
          <w:iCs/>
          <w:lang w:val="en-GB"/>
        </w:rPr>
      </w:pPr>
      <w:r w:rsidRPr="00133B67">
        <w:rPr>
          <w:rFonts w:ascii="Arial" w:hAnsi="Arial" w:cs="Arial"/>
          <w:b/>
          <w:bCs/>
          <w:i/>
          <w:iCs/>
          <w:lang w:val="en-GB"/>
        </w:rPr>
        <w:t>Gender based violence and other forms of violence against children</w:t>
      </w:r>
    </w:p>
    <w:p w14:paraId="5227B3E5" w14:textId="77777777" w:rsidR="00942066" w:rsidRDefault="00942066" w:rsidP="006F56CD">
      <w:pPr>
        <w:pStyle w:val="ListParagraph"/>
        <w:ind w:left="1080"/>
        <w:jc w:val="both"/>
        <w:rPr>
          <w:rFonts w:ascii="Arial" w:hAnsi="Arial" w:cs="Arial"/>
          <w:lang w:val="en-GB"/>
        </w:rPr>
      </w:pPr>
    </w:p>
    <w:p w14:paraId="0CA011AF" w14:textId="443220F8" w:rsidR="00E73014" w:rsidRPr="006F56CD" w:rsidRDefault="006F56CD" w:rsidP="006F56CD">
      <w:pPr>
        <w:pStyle w:val="ListParagraph"/>
        <w:ind w:left="1080"/>
        <w:jc w:val="both"/>
        <w:rPr>
          <w:rFonts w:ascii="Arial" w:hAnsi="Arial" w:cs="Arial"/>
          <w:lang w:val="en-GB"/>
        </w:rPr>
      </w:pPr>
      <w:r w:rsidRPr="006F56CD">
        <w:rPr>
          <w:rFonts w:ascii="Arial" w:hAnsi="Arial" w:cs="Arial"/>
          <w:lang w:val="en-GB"/>
        </w:rPr>
        <w:t>In the Philippines, a survey led by UNICEF and the Council for Welfare of Children</w:t>
      </w:r>
      <w:r>
        <w:rPr>
          <w:rFonts w:ascii="Arial" w:hAnsi="Arial" w:cs="Arial"/>
          <w:lang w:val="en-GB"/>
        </w:rPr>
        <w:t xml:space="preserve"> </w:t>
      </w:r>
      <w:r w:rsidRPr="006F56CD">
        <w:rPr>
          <w:rFonts w:ascii="Arial" w:hAnsi="Arial" w:cs="Arial"/>
          <w:lang w:val="en-GB"/>
        </w:rPr>
        <w:t>in</w:t>
      </w:r>
      <w:r>
        <w:rPr>
          <w:rFonts w:ascii="Arial" w:hAnsi="Arial" w:cs="Arial"/>
          <w:lang w:val="en-GB"/>
        </w:rPr>
        <w:t xml:space="preserve"> </w:t>
      </w:r>
      <w:r w:rsidRPr="006F56CD">
        <w:rPr>
          <w:rFonts w:ascii="Arial" w:hAnsi="Arial" w:cs="Arial"/>
          <w:lang w:val="en-GB"/>
        </w:rPr>
        <w:t>2016 shows that 80% of respondents aged 13-24 years had experienced some</w:t>
      </w:r>
      <w:r>
        <w:rPr>
          <w:rFonts w:ascii="Arial" w:hAnsi="Arial" w:cs="Arial"/>
          <w:lang w:val="en-GB"/>
        </w:rPr>
        <w:t xml:space="preserve"> </w:t>
      </w:r>
      <w:r w:rsidRPr="006F56CD">
        <w:rPr>
          <w:rFonts w:ascii="Arial" w:hAnsi="Arial" w:cs="Arial"/>
          <w:lang w:val="en-GB"/>
        </w:rPr>
        <w:t>form of violence in their lifetime, whether at home, in school, in the workplace,</w:t>
      </w:r>
      <w:r>
        <w:rPr>
          <w:rFonts w:ascii="Arial" w:hAnsi="Arial" w:cs="Arial"/>
          <w:lang w:val="en-GB"/>
        </w:rPr>
        <w:t xml:space="preserve"> </w:t>
      </w:r>
      <w:r w:rsidRPr="006F56CD">
        <w:rPr>
          <w:rFonts w:ascii="Arial" w:hAnsi="Arial" w:cs="Arial"/>
          <w:lang w:val="en-GB"/>
        </w:rPr>
        <w:t>community, or</w:t>
      </w:r>
      <w:r>
        <w:rPr>
          <w:rFonts w:ascii="Arial" w:hAnsi="Arial" w:cs="Arial"/>
          <w:lang w:val="en-GB"/>
        </w:rPr>
        <w:t xml:space="preserve"> </w:t>
      </w:r>
      <w:r w:rsidRPr="006F56CD">
        <w:rPr>
          <w:rFonts w:ascii="Arial" w:hAnsi="Arial" w:cs="Arial"/>
          <w:lang w:val="en-GB"/>
        </w:rPr>
        <w:t>during dating. The estimated total prevalence of violence against</w:t>
      </w:r>
      <w:r>
        <w:rPr>
          <w:rFonts w:ascii="Arial" w:hAnsi="Arial" w:cs="Arial"/>
          <w:lang w:val="en-GB"/>
        </w:rPr>
        <w:t xml:space="preserve"> </w:t>
      </w:r>
      <w:r w:rsidRPr="006F56CD">
        <w:rPr>
          <w:rFonts w:ascii="Arial" w:hAnsi="Arial" w:cs="Arial"/>
          <w:lang w:val="en-GB"/>
        </w:rPr>
        <w:t>children among boys</w:t>
      </w:r>
      <w:r>
        <w:rPr>
          <w:rFonts w:ascii="Arial" w:hAnsi="Arial" w:cs="Arial"/>
          <w:lang w:val="en-GB"/>
        </w:rPr>
        <w:t xml:space="preserve"> </w:t>
      </w:r>
      <w:r w:rsidRPr="006F56CD">
        <w:rPr>
          <w:rFonts w:ascii="Arial" w:hAnsi="Arial" w:cs="Arial"/>
          <w:lang w:val="en-GB"/>
        </w:rPr>
        <w:t>was 81.5%, and 78.4% among girls. About 78.8% of children</w:t>
      </w:r>
      <w:r>
        <w:rPr>
          <w:rFonts w:ascii="Arial" w:hAnsi="Arial" w:cs="Arial"/>
          <w:lang w:val="en-GB"/>
        </w:rPr>
        <w:t xml:space="preserve"> </w:t>
      </w:r>
      <w:r w:rsidRPr="006F56CD">
        <w:rPr>
          <w:rFonts w:ascii="Arial" w:hAnsi="Arial" w:cs="Arial"/>
          <w:lang w:val="en-GB"/>
        </w:rPr>
        <w:t>aged 13-&lt;18 years</w:t>
      </w:r>
      <w:r>
        <w:rPr>
          <w:rFonts w:ascii="Arial" w:hAnsi="Arial" w:cs="Arial"/>
          <w:lang w:val="en-GB"/>
        </w:rPr>
        <w:t xml:space="preserve"> </w:t>
      </w:r>
      <w:r w:rsidRPr="006F56CD">
        <w:rPr>
          <w:rFonts w:ascii="Arial" w:hAnsi="Arial" w:cs="Arial"/>
          <w:lang w:val="en-GB"/>
        </w:rPr>
        <w:t>encountered these experiences of violence compared to 80.9%</w:t>
      </w:r>
      <w:r>
        <w:rPr>
          <w:rFonts w:ascii="Arial" w:hAnsi="Arial" w:cs="Arial"/>
          <w:lang w:val="en-GB"/>
        </w:rPr>
        <w:t xml:space="preserve"> </w:t>
      </w:r>
      <w:r w:rsidRPr="006F56CD">
        <w:rPr>
          <w:rFonts w:ascii="Arial" w:hAnsi="Arial" w:cs="Arial"/>
          <w:lang w:val="en-GB"/>
        </w:rPr>
        <w:t>among the older group.</w:t>
      </w:r>
    </w:p>
    <w:p w14:paraId="06FC9AFB" w14:textId="77777777" w:rsidR="00E73014" w:rsidRDefault="00E73014" w:rsidP="00E73014">
      <w:pPr>
        <w:pStyle w:val="ListParagraph"/>
        <w:ind w:left="1080"/>
        <w:jc w:val="both"/>
        <w:rPr>
          <w:rFonts w:ascii="Arial" w:hAnsi="Arial" w:cs="Arial"/>
          <w:lang w:val="en-GB"/>
        </w:rPr>
      </w:pPr>
    </w:p>
    <w:p w14:paraId="1A4379DF" w14:textId="6DF8A9D6" w:rsidR="00E73014" w:rsidRPr="00133B67" w:rsidRDefault="00E73014" w:rsidP="00E73014">
      <w:pPr>
        <w:pStyle w:val="ListParagraph"/>
        <w:numPr>
          <w:ilvl w:val="1"/>
          <w:numId w:val="10"/>
        </w:numPr>
        <w:jc w:val="both"/>
        <w:rPr>
          <w:rFonts w:ascii="Arial" w:hAnsi="Arial" w:cs="Arial"/>
          <w:b/>
          <w:bCs/>
          <w:i/>
          <w:iCs/>
          <w:lang w:val="en-GB"/>
        </w:rPr>
      </w:pPr>
      <w:r w:rsidRPr="00133B67">
        <w:rPr>
          <w:rFonts w:ascii="Arial" w:hAnsi="Arial" w:cs="Arial"/>
          <w:b/>
          <w:bCs/>
          <w:i/>
          <w:iCs/>
          <w:lang w:val="en-GB"/>
        </w:rPr>
        <w:t>Gender based violence against LGBTI or other persons based on real or imputed sexual orientation, sex characteristics, and gender identity</w:t>
      </w:r>
    </w:p>
    <w:p w14:paraId="77987332" w14:textId="3654C68B" w:rsidR="00E73014" w:rsidRDefault="00E73014" w:rsidP="00E73014">
      <w:pPr>
        <w:pStyle w:val="ListParagraph"/>
        <w:ind w:left="1080"/>
        <w:jc w:val="both"/>
        <w:rPr>
          <w:rFonts w:ascii="Arial" w:hAnsi="Arial" w:cs="Arial"/>
          <w:lang w:val="en-GB"/>
        </w:rPr>
      </w:pPr>
    </w:p>
    <w:p w14:paraId="6D51A52D" w14:textId="4C624A35" w:rsidR="004C4791" w:rsidRPr="004C4791" w:rsidRDefault="004C4791" w:rsidP="004C4791">
      <w:pPr>
        <w:pStyle w:val="ListParagraph"/>
        <w:ind w:left="1080"/>
        <w:jc w:val="both"/>
        <w:rPr>
          <w:rFonts w:ascii="Arial" w:hAnsi="Arial" w:cs="Arial"/>
          <w:lang w:val="en-GB"/>
        </w:rPr>
      </w:pPr>
      <w:r w:rsidRPr="004C4791">
        <w:rPr>
          <w:rFonts w:ascii="Arial" w:hAnsi="Arial" w:cs="Arial"/>
          <w:lang w:val="en-GB"/>
        </w:rPr>
        <w:t>Currently, the Philippine Department of Health is working to incorporate in its</w:t>
      </w:r>
      <w:r>
        <w:rPr>
          <w:rFonts w:ascii="Arial" w:hAnsi="Arial" w:cs="Arial"/>
          <w:lang w:val="en-GB"/>
        </w:rPr>
        <w:t xml:space="preserve"> </w:t>
      </w:r>
      <w:r w:rsidRPr="004C4791">
        <w:rPr>
          <w:rFonts w:ascii="Arial" w:hAnsi="Arial" w:cs="Arial"/>
          <w:lang w:val="en-GB"/>
        </w:rPr>
        <w:t>existing</w:t>
      </w:r>
      <w:r>
        <w:rPr>
          <w:rFonts w:ascii="Arial" w:hAnsi="Arial" w:cs="Arial"/>
          <w:lang w:val="en-GB"/>
        </w:rPr>
        <w:t xml:space="preserve"> </w:t>
      </w:r>
      <w:r w:rsidRPr="004C4791">
        <w:rPr>
          <w:rFonts w:ascii="Arial" w:hAnsi="Arial" w:cs="Arial"/>
          <w:lang w:val="en-GB"/>
        </w:rPr>
        <w:t>and routine data systems the collection of relevant data and information on</w:t>
      </w:r>
      <w:r>
        <w:rPr>
          <w:rFonts w:ascii="Arial" w:hAnsi="Arial" w:cs="Arial"/>
          <w:lang w:val="en-GB"/>
        </w:rPr>
        <w:t xml:space="preserve"> </w:t>
      </w:r>
      <w:r w:rsidRPr="004C4791">
        <w:rPr>
          <w:rFonts w:ascii="Arial" w:hAnsi="Arial" w:cs="Arial"/>
          <w:lang w:val="en-GB"/>
        </w:rPr>
        <w:t>gender</w:t>
      </w:r>
      <w:r w:rsidR="00E43AE8">
        <w:rPr>
          <w:rFonts w:ascii="Arial" w:hAnsi="Arial" w:cs="Arial"/>
          <w:lang w:val="en-GB"/>
        </w:rPr>
        <w:t>-</w:t>
      </w:r>
      <w:r w:rsidRPr="004C4791">
        <w:rPr>
          <w:rFonts w:ascii="Arial" w:hAnsi="Arial" w:cs="Arial"/>
          <w:lang w:val="en-GB"/>
        </w:rPr>
        <w:t>based violence against individuals on the basis of their sexual orientation,</w:t>
      </w:r>
      <w:r>
        <w:rPr>
          <w:rFonts w:ascii="Arial" w:hAnsi="Arial" w:cs="Arial"/>
          <w:lang w:val="en-GB"/>
        </w:rPr>
        <w:t xml:space="preserve"> </w:t>
      </w:r>
      <w:r w:rsidRPr="004C4791">
        <w:rPr>
          <w:rFonts w:ascii="Arial" w:hAnsi="Arial" w:cs="Arial"/>
          <w:lang w:val="en-GB"/>
        </w:rPr>
        <w:t>gender expression, and identity.</w:t>
      </w:r>
    </w:p>
    <w:p w14:paraId="491171E9" w14:textId="77777777" w:rsidR="00E73014" w:rsidRPr="00EC1742" w:rsidRDefault="00E73014" w:rsidP="00EC1742">
      <w:pPr>
        <w:jc w:val="both"/>
        <w:rPr>
          <w:rFonts w:ascii="Arial" w:hAnsi="Arial" w:cs="Arial"/>
          <w:lang w:val="en-GB"/>
        </w:rPr>
      </w:pPr>
    </w:p>
    <w:p w14:paraId="58E89713" w14:textId="73F9F0C5" w:rsidR="00E73014" w:rsidRPr="00133B67" w:rsidRDefault="00C359BA" w:rsidP="00E73014">
      <w:pPr>
        <w:pStyle w:val="ListParagraph"/>
        <w:numPr>
          <w:ilvl w:val="1"/>
          <w:numId w:val="10"/>
        </w:numPr>
        <w:jc w:val="both"/>
        <w:rPr>
          <w:rFonts w:ascii="Arial" w:hAnsi="Arial" w:cs="Arial"/>
          <w:b/>
          <w:bCs/>
          <w:i/>
          <w:iCs/>
          <w:lang w:val="en-GB"/>
        </w:rPr>
      </w:pPr>
      <w:r w:rsidRPr="00133B67">
        <w:rPr>
          <w:rFonts w:ascii="Arial" w:hAnsi="Arial" w:cs="Arial"/>
          <w:b/>
          <w:bCs/>
          <w:i/>
          <w:iCs/>
          <w:lang w:val="en-GB"/>
        </w:rPr>
        <w:t>Violence against persons with disabilities, including GBV</w:t>
      </w:r>
    </w:p>
    <w:p w14:paraId="56969D6A" w14:textId="3FE4E0EF" w:rsidR="00C359BA" w:rsidRDefault="00C359BA" w:rsidP="00C359BA">
      <w:pPr>
        <w:pStyle w:val="ListParagraph"/>
        <w:ind w:left="1080"/>
        <w:jc w:val="both"/>
        <w:rPr>
          <w:rFonts w:ascii="Arial" w:hAnsi="Arial" w:cs="Arial"/>
          <w:lang w:val="en-GB"/>
        </w:rPr>
      </w:pPr>
    </w:p>
    <w:p w14:paraId="4A9607AA" w14:textId="53007DAA" w:rsidR="00733F43" w:rsidRPr="00664C18" w:rsidRDefault="00733F43" w:rsidP="00664C18">
      <w:pPr>
        <w:pStyle w:val="ListParagraph"/>
        <w:ind w:left="1080"/>
        <w:jc w:val="both"/>
        <w:rPr>
          <w:rFonts w:ascii="Arial" w:hAnsi="Arial" w:cs="Arial"/>
          <w:lang w:val="en-GB"/>
        </w:rPr>
      </w:pPr>
      <w:r w:rsidRPr="00733F43">
        <w:rPr>
          <w:rFonts w:ascii="Arial" w:hAnsi="Arial" w:cs="Arial"/>
          <w:lang w:val="en-GB"/>
        </w:rPr>
        <w:t>While data on violence and discrimination against persons with disabilities is</w:t>
      </w:r>
      <w:r>
        <w:rPr>
          <w:rFonts w:ascii="Arial" w:hAnsi="Arial" w:cs="Arial"/>
          <w:lang w:val="en-GB"/>
        </w:rPr>
        <w:t xml:space="preserve"> </w:t>
      </w:r>
      <w:r w:rsidRPr="00733F43">
        <w:rPr>
          <w:rFonts w:ascii="Arial" w:hAnsi="Arial" w:cs="Arial"/>
          <w:lang w:val="en-GB"/>
        </w:rPr>
        <w:t>limited,</w:t>
      </w:r>
      <w:r>
        <w:rPr>
          <w:rFonts w:ascii="Arial" w:hAnsi="Arial" w:cs="Arial"/>
          <w:lang w:val="en-GB"/>
        </w:rPr>
        <w:t xml:space="preserve"> </w:t>
      </w:r>
      <w:r w:rsidRPr="00733F43">
        <w:rPr>
          <w:rFonts w:ascii="Arial" w:hAnsi="Arial" w:cs="Arial"/>
          <w:lang w:val="en-GB"/>
        </w:rPr>
        <w:t>available studies note that they have a lower well-being scores and reduced</w:t>
      </w:r>
      <w:r>
        <w:rPr>
          <w:rFonts w:ascii="Arial" w:hAnsi="Arial" w:cs="Arial"/>
          <w:lang w:val="en-GB"/>
        </w:rPr>
        <w:t xml:space="preserve"> </w:t>
      </w:r>
      <w:r w:rsidRPr="00733F43">
        <w:rPr>
          <w:rFonts w:ascii="Arial" w:hAnsi="Arial" w:cs="Arial"/>
          <w:lang w:val="en-GB"/>
        </w:rPr>
        <w:t>access to</w:t>
      </w:r>
      <w:r>
        <w:rPr>
          <w:rFonts w:ascii="Arial" w:hAnsi="Arial" w:cs="Arial"/>
          <w:lang w:val="en-GB"/>
        </w:rPr>
        <w:t xml:space="preserve"> </w:t>
      </w:r>
      <w:r w:rsidRPr="00733F43">
        <w:rPr>
          <w:rFonts w:ascii="Arial" w:hAnsi="Arial" w:cs="Arial"/>
          <w:lang w:val="en-GB"/>
        </w:rPr>
        <w:t xml:space="preserve">services than people without disabilities (Marella </w:t>
      </w:r>
      <w:proofErr w:type="spellStart"/>
      <w:proofErr w:type="gramStart"/>
      <w:r w:rsidRPr="00733F43">
        <w:rPr>
          <w:rFonts w:ascii="Arial" w:hAnsi="Arial" w:cs="Arial"/>
          <w:lang w:val="en-GB"/>
        </w:rPr>
        <w:t>et.a</w:t>
      </w:r>
      <w:proofErr w:type="spellEnd"/>
      <w:r w:rsidRPr="00733F43">
        <w:rPr>
          <w:rFonts w:ascii="Arial" w:hAnsi="Arial" w:cs="Arial"/>
          <w:lang w:val="en-GB"/>
        </w:rPr>
        <w:t>!.,</w:t>
      </w:r>
      <w:proofErr w:type="gramEnd"/>
      <w:r w:rsidRPr="00733F43">
        <w:rPr>
          <w:rFonts w:ascii="Arial" w:hAnsi="Arial" w:cs="Arial"/>
          <w:lang w:val="en-GB"/>
        </w:rPr>
        <w:t xml:space="preserve"> 2016). Particularly</w:t>
      </w:r>
      <w:r>
        <w:rPr>
          <w:rFonts w:ascii="Arial" w:hAnsi="Arial" w:cs="Arial"/>
          <w:lang w:val="en-GB"/>
        </w:rPr>
        <w:t xml:space="preserve"> </w:t>
      </w:r>
      <w:r w:rsidRPr="00733F43">
        <w:rPr>
          <w:rFonts w:ascii="Arial" w:hAnsi="Arial" w:cs="Arial"/>
          <w:lang w:val="en-GB"/>
        </w:rPr>
        <w:t>among</w:t>
      </w:r>
      <w:r>
        <w:rPr>
          <w:rFonts w:ascii="Arial" w:hAnsi="Arial" w:cs="Arial"/>
          <w:lang w:val="en-GB"/>
        </w:rPr>
        <w:t xml:space="preserve"> </w:t>
      </w:r>
      <w:r w:rsidRPr="00733F43">
        <w:rPr>
          <w:rFonts w:ascii="Arial" w:hAnsi="Arial" w:cs="Arial"/>
          <w:lang w:val="en-GB"/>
        </w:rPr>
        <w:t>persons with disabilities, only about 5% are registered in the DOH registry,</w:t>
      </w:r>
      <w:r>
        <w:rPr>
          <w:rFonts w:ascii="Arial" w:hAnsi="Arial" w:cs="Arial"/>
          <w:lang w:val="en-GB"/>
        </w:rPr>
        <w:t xml:space="preserve"> </w:t>
      </w:r>
      <w:r w:rsidRPr="00733F43">
        <w:rPr>
          <w:rFonts w:ascii="Arial" w:hAnsi="Arial" w:cs="Arial"/>
          <w:lang w:val="en-GB"/>
        </w:rPr>
        <w:t>only 15.5% of children with disabilities have access to PhilHealth, only 40% of</w:t>
      </w:r>
      <w:r>
        <w:rPr>
          <w:rFonts w:ascii="Arial" w:hAnsi="Arial" w:cs="Arial"/>
          <w:lang w:val="en-GB"/>
        </w:rPr>
        <w:t xml:space="preserve"> </w:t>
      </w:r>
      <w:r w:rsidRPr="00733F43">
        <w:rPr>
          <w:rFonts w:ascii="Arial" w:hAnsi="Arial" w:cs="Arial"/>
          <w:lang w:val="en-GB"/>
        </w:rPr>
        <w:t>local governments have programs on PWD, and 73% experienced difficulties in</w:t>
      </w:r>
      <w:r w:rsidR="00664C18">
        <w:rPr>
          <w:rFonts w:ascii="Arial" w:hAnsi="Arial" w:cs="Arial"/>
          <w:lang w:val="en-GB"/>
        </w:rPr>
        <w:t xml:space="preserve"> </w:t>
      </w:r>
      <w:r w:rsidRPr="00733F43">
        <w:rPr>
          <w:rFonts w:ascii="Arial" w:hAnsi="Arial" w:cs="Arial"/>
          <w:lang w:val="en-GB"/>
        </w:rPr>
        <w:t>job</w:t>
      </w:r>
      <w:r w:rsidR="00664C18">
        <w:rPr>
          <w:rFonts w:ascii="Arial" w:hAnsi="Arial" w:cs="Arial"/>
          <w:lang w:val="en-GB"/>
        </w:rPr>
        <w:t xml:space="preserve"> </w:t>
      </w:r>
      <w:r w:rsidRPr="00664C18">
        <w:rPr>
          <w:rFonts w:ascii="Arial" w:hAnsi="Arial" w:cs="Arial"/>
          <w:lang w:val="en-GB"/>
        </w:rPr>
        <w:t xml:space="preserve">search (NCDA, 2019, and PIDS, 2017). Common reasons include discrimination, lack of facility or </w:t>
      </w:r>
      <w:r w:rsidRPr="00664C18">
        <w:rPr>
          <w:rFonts w:ascii="Arial" w:hAnsi="Arial" w:cs="Arial"/>
          <w:lang w:val="en-GB"/>
        </w:rPr>
        <w:lastRenderedPageBreak/>
        <w:t>infrastructure, lack of information, and lack of personnel catering</w:t>
      </w:r>
      <w:r w:rsidR="00664C18">
        <w:rPr>
          <w:rFonts w:ascii="Arial" w:hAnsi="Arial" w:cs="Arial"/>
          <w:lang w:val="en-GB"/>
        </w:rPr>
        <w:t xml:space="preserve"> </w:t>
      </w:r>
      <w:r w:rsidRPr="00664C18">
        <w:rPr>
          <w:rFonts w:ascii="Arial" w:hAnsi="Arial" w:cs="Arial"/>
          <w:lang w:val="en-GB"/>
        </w:rPr>
        <w:t>for their specific needs.</w:t>
      </w:r>
    </w:p>
    <w:p w14:paraId="0DF806D4" w14:textId="77777777" w:rsidR="00C359BA" w:rsidRDefault="00C359BA" w:rsidP="00C359BA">
      <w:pPr>
        <w:pStyle w:val="ListParagraph"/>
        <w:ind w:left="1080"/>
        <w:jc w:val="both"/>
        <w:rPr>
          <w:rFonts w:ascii="Arial" w:hAnsi="Arial" w:cs="Arial"/>
          <w:lang w:val="en-GB"/>
        </w:rPr>
      </w:pPr>
    </w:p>
    <w:p w14:paraId="415EFC18" w14:textId="1A9032CB" w:rsidR="00C359BA" w:rsidRPr="00133B67" w:rsidRDefault="006E01F7" w:rsidP="00E73014">
      <w:pPr>
        <w:pStyle w:val="ListParagraph"/>
        <w:numPr>
          <w:ilvl w:val="1"/>
          <w:numId w:val="10"/>
        </w:numPr>
        <w:jc w:val="both"/>
        <w:rPr>
          <w:rFonts w:ascii="Arial" w:hAnsi="Arial" w:cs="Arial"/>
          <w:b/>
          <w:bCs/>
          <w:i/>
          <w:iCs/>
          <w:lang w:val="en-GB"/>
        </w:rPr>
      </w:pPr>
      <w:r w:rsidRPr="00133B67">
        <w:rPr>
          <w:rFonts w:ascii="Arial" w:hAnsi="Arial" w:cs="Arial"/>
          <w:b/>
          <w:bCs/>
          <w:i/>
          <w:iCs/>
          <w:lang w:val="en-GB"/>
        </w:rPr>
        <w:t>Gender based violence against men</w:t>
      </w:r>
    </w:p>
    <w:p w14:paraId="28F9615A" w14:textId="361A11B6" w:rsidR="006E01F7" w:rsidRDefault="006E01F7" w:rsidP="006E01F7">
      <w:pPr>
        <w:pStyle w:val="ListParagraph"/>
        <w:ind w:left="1080"/>
        <w:jc w:val="both"/>
        <w:rPr>
          <w:rFonts w:ascii="Arial" w:hAnsi="Arial" w:cs="Arial"/>
          <w:lang w:val="en-GB"/>
        </w:rPr>
      </w:pPr>
    </w:p>
    <w:p w14:paraId="21264A43" w14:textId="41A7DAB6" w:rsidR="00733F43" w:rsidRPr="00733F43" w:rsidRDefault="00733F43" w:rsidP="00733F43">
      <w:pPr>
        <w:pStyle w:val="ListParagraph"/>
        <w:ind w:left="1080"/>
        <w:jc w:val="both"/>
        <w:rPr>
          <w:rFonts w:ascii="Arial" w:hAnsi="Arial" w:cs="Arial"/>
          <w:lang w:val="en-GB"/>
        </w:rPr>
      </w:pPr>
      <w:r w:rsidRPr="00733F43">
        <w:rPr>
          <w:rFonts w:ascii="Arial" w:hAnsi="Arial" w:cs="Arial"/>
          <w:lang w:val="en-GB"/>
        </w:rPr>
        <w:t xml:space="preserve">In the NDHS </w:t>
      </w:r>
      <w:r>
        <w:rPr>
          <w:rFonts w:ascii="Arial" w:hAnsi="Arial" w:cs="Arial"/>
          <w:lang w:val="en-GB"/>
        </w:rPr>
        <w:t>(</w:t>
      </w:r>
      <w:r w:rsidRPr="00733F43">
        <w:rPr>
          <w:rFonts w:ascii="Arial" w:hAnsi="Arial" w:cs="Arial"/>
          <w:lang w:val="en-GB"/>
        </w:rPr>
        <w:t>2017</w:t>
      </w:r>
      <w:r>
        <w:rPr>
          <w:rFonts w:ascii="Arial" w:hAnsi="Arial" w:cs="Arial"/>
          <w:lang w:val="en-GB"/>
        </w:rPr>
        <w:t>)</w:t>
      </w:r>
      <w:r w:rsidRPr="00733F43">
        <w:rPr>
          <w:rFonts w:ascii="Arial" w:hAnsi="Arial" w:cs="Arial"/>
          <w:lang w:val="en-GB"/>
        </w:rPr>
        <w:t>, 12% of eve</w:t>
      </w:r>
      <w:r w:rsidR="00664C18">
        <w:rPr>
          <w:rFonts w:ascii="Arial" w:hAnsi="Arial" w:cs="Arial"/>
          <w:lang w:val="en-GB"/>
        </w:rPr>
        <w:t>r-</w:t>
      </w:r>
      <w:r w:rsidRPr="00733F43">
        <w:rPr>
          <w:rFonts w:ascii="Arial" w:hAnsi="Arial" w:cs="Arial"/>
          <w:lang w:val="en-GB"/>
        </w:rPr>
        <w:t>married women have initiated physical violence</w:t>
      </w:r>
      <w:r>
        <w:rPr>
          <w:rFonts w:ascii="Arial" w:hAnsi="Arial" w:cs="Arial"/>
          <w:lang w:val="en-GB"/>
        </w:rPr>
        <w:t xml:space="preserve"> </w:t>
      </w:r>
      <w:r w:rsidRPr="00733F43">
        <w:rPr>
          <w:rFonts w:ascii="Arial" w:hAnsi="Arial" w:cs="Arial"/>
          <w:lang w:val="en-GB"/>
        </w:rPr>
        <w:t>against their husbands. Among women who have experienced spousal physical</w:t>
      </w:r>
      <w:r>
        <w:rPr>
          <w:rFonts w:ascii="Arial" w:hAnsi="Arial" w:cs="Arial"/>
          <w:lang w:val="en-GB"/>
        </w:rPr>
        <w:t xml:space="preserve"> </w:t>
      </w:r>
      <w:r w:rsidRPr="00733F43">
        <w:rPr>
          <w:rFonts w:ascii="Arial" w:hAnsi="Arial" w:cs="Arial"/>
          <w:lang w:val="en-GB"/>
        </w:rPr>
        <w:t>violence, the initiation of violence against husbands/male partners is higher at 39%,</w:t>
      </w:r>
      <w:r>
        <w:rPr>
          <w:rFonts w:ascii="Arial" w:hAnsi="Arial" w:cs="Arial"/>
          <w:lang w:val="en-GB"/>
        </w:rPr>
        <w:t xml:space="preserve"> </w:t>
      </w:r>
      <w:r w:rsidRPr="00733F43">
        <w:rPr>
          <w:rFonts w:ascii="Arial" w:hAnsi="Arial" w:cs="Arial"/>
          <w:lang w:val="en-GB"/>
        </w:rPr>
        <w:t>compared to women who have never experienced spousal physical violence (9%).</w:t>
      </w:r>
      <w:r>
        <w:rPr>
          <w:rFonts w:ascii="Arial" w:hAnsi="Arial" w:cs="Arial"/>
          <w:lang w:val="en-GB"/>
        </w:rPr>
        <w:t xml:space="preserve"> </w:t>
      </w:r>
      <w:r w:rsidRPr="00733F43">
        <w:rPr>
          <w:rFonts w:ascii="Arial" w:hAnsi="Arial" w:cs="Arial"/>
          <w:lang w:val="en-GB"/>
        </w:rPr>
        <w:t>Additionally, the NDHS also reports that women whose husbands/male partners are</w:t>
      </w:r>
      <w:r>
        <w:rPr>
          <w:rFonts w:ascii="Arial" w:hAnsi="Arial" w:cs="Arial"/>
          <w:lang w:val="en-GB"/>
        </w:rPr>
        <w:t xml:space="preserve"> </w:t>
      </w:r>
      <w:r w:rsidRPr="00733F43">
        <w:rPr>
          <w:rFonts w:ascii="Arial" w:hAnsi="Arial" w:cs="Arial"/>
          <w:lang w:val="en-GB"/>
        </w:rPr>
        <w:t>often drunk are more likely to have ever instigated violence (25%), than women</w:t>
      </w:r>
      <w:r>
        <w:rPr>
          <w:rFonts w:ascii="Arial" w:hAnsi="Arial" w:cs="Arial"/>
          <w:lang w:val="en-GB"/>
        </w:rPr>
        <w:t xml:space="preserve"> </w:t>
      </w:r>
      <w:r w:rsidRPr="00733F43">
        <w:rPr>
          <w:rFonts w:ascii="Arial" w:hAnsi="Arial" w:cs="Arial"/>
          <w:lang w:val="en-GB"/>
        </w:rPr>
        <w:t>whose husbands/male partners do not drink alcohol (7%).</w:t>
      </w:r>
    </w:p>
    <w:p w14:paraId="7FB6506B" w14:textId="77777777" w:rsidR="006E01F7" w:rsidRDefault="006E01F7" w:rsidP="006E01F7">
      <w:pPr>
        <w:pStyle w:val="ListParagraph"/>
        <w:ind w:left="1080"/>
        <w:jc w:val="both"/>
        <w:rPr>
          <w:rFonts w:ascii="Arial" w:hAnsi="Arial" w:cs="Arial"/>
          <w:lang w:val="en-GB"/>
        </w:rPr>
      </w:pPr>
    </w:p>
    <w:p w14:paraId="738398F7" w14:textId="5B050C04" w:rsidR="006E01F7" w:rsidRPr="00133B67" w:rsidRDefault="00AB4D6B" w:rsidP="00E73014">
      <w:pPr>
        <w:pStyle w:val="ListParagraph"/>
        <w:numPr>
          <w:ilvl w:val="1"/>
          <w:numId w:val="10"/>
        </w:numPr>
        <w:jc w:val="both"/>
        <w:rPr>
          <w:rFonts w:ascii="Arial" w:hAnsi="Arial" w:cs="Arial"/>
          <w:b/>
          <w:bCs/>
          <w:i/>
          <w:iCs/>
          <w:lang w:val="en-GB"/>
        </w:rPr>
      </w:pPr>
      <w:r w:rsidRPr="00133B67">
        <w:rPr>
          <w:rFonts w:ascii="Arial" w:hAnsi="Arial" w:cs="Arial"/>
          <w:b/>
          <w:bCs/>
          <w:i/>
          <w:iCs/>
          <w:lang w:val="en-GB"/>
        </w:rPr>
        <w:t xml:space="preserve">Conflict </w:t>
      </w:r>
      <w:proofErr w:type="gramStart"/>
      <w:r w:rsidRPr="00133B67">
        <w:rPr>
          <w:rFonts w:ascii="Arial" w:hAnsi="Arial" w:cs="Arial"/>
          <w:b/>
          <w:bCs/>
          <w:i/>
          <w:iCs/>
          <w:lang w:val="en-GB"/>
        </w:rPr>
        <w:t>gender based</w:t>
      </w:r>
      <w:proofErr w:type="gramEnd"/>
      <w:r w:rsidRPr="00133B67">
        <w:rPr>
          <w:rFonts w:ascii="Arial" w:hAnsi="Arial" w:cs="Arial"/>
          <w:b/>
          <w:bCs/>
          <w:i/>
          <w:iCs/>
          <w:lang w:val="en-GB"/>
        </w:rPr>
        <w:t xml:space="preserve"> violence, including sexual violence</w:t>
      </w:r>
    </w:p>
    <w:p w14:paraId="6BAADAFB" w14:textId="19EF23C8" w:rsidR="00AB4D6B" w:rsidRDefault="00AB4D6B" w:rsidP="00AB4D6B">
      <w:pPr>
        <w:pStyle w:val="ListParagraph"/>
        <w:ind w:left="1080"/>
        <w:jc w:val="both"/>
        <w:rPr>
          <w:rFonts w:ascii="Arial" w:hAnsi="Arial" w:cs="Arial"/>
          <w:lang w:val="en-GB"/>
        </w:rPr>
      </w:pPr>
    </w:p>
    <w:p w14:paraId="063C6828" w14:textId="356DA5D0" w:rsidR="0078412A" w:rsidRDefault="0078412A" w:rsidP="0078412A">
      <w:pPr>
        <w:pStyle w:val="ListParagraph"/>
        <w:ind w:left="1080"/>
        <w:jc w:val="both"/>
        <w:rPr>
          <w:rFonts w:ascii="Arial" w:hAnsi="Arial" w:cs="Arial"/>
          <w:lang w:val="en-GB"/>
        </w:rPr>
      </w:pPr>
      <w:r w:rsidRPr="0078412A">
        <w:rPr>
          <w:rFonts w:ascii="Arial" w:hAnsi="Arial" w:cs="Arial"/>
          <w:lang w:val="en-GB"/>
        </w:rPr>
        <w:t>In the Philippines, 5% of women aged 15-49 have experienced sexual violence</w:t>
      </w:r>
      <w:r>
        <w:rPr>
          <w:rFonts w:ascii="Arial" w:hAnsi="Arial" w:cs="Arial"/>
          <w:lang w:val="en-GB"/>
        </w:rPr>
        <w:t xml:space="preserve"> </w:t>
      </w:r>
      <w:r w:rsidRPr="0078412A">
        <w:rPr>
          <w:rFonts w:ascii="Arial" w:hAnsi="Arial" w:cs="Arial"/>
          <w:lang w:val="en-GB"/>
        </w:rPr>
        <w:t>(NDHS,</w:t>
      </w:r>
      <w:r>
        <w:rPr>
          <w:rFonts w:ascii="Arial" w:hAnsi="Arial" w:cs="Arial"/>
          <w:lang w:val="en-GB"/>
        </w:rPr>
        <w:t xml:space="preserve"> </w:t>
      </w:r>
      <w:r w:rsidRPr="0078412A">
        <w:rPr>
          <w:rFonts w:ascii="Arial" w:hAnsi="Arial" w:cs="Arial"/>
          <w:lang w:val="en-GB"/>
        </w:rPr>
        <w:t>2017). Divorced, separated, or widowed women are more likely to have</w:t>
      </w:r>
      <w:r>
        <w:rPr>
          <w:rFonts w:ascii="Arial" w:hAnsi="Arial" w:cs="Arial"/>
          <w:lang w:val="en-GB"/>
        </w:rPr>
        <w:t xml:space="preserve"> </w:t>
      </w:r>
      <w:r w:rsidRPr="0078412A">
        <w:rPr>
          <w:rFonts w:ascii="Arial" w:hAnsi="Arial" w:cs="Arial"/>
          <w:lang w:val="en-GB"/>
        </w:rPr>
        <w:t>experienced</w:t>
      </w:r>
      <w:r>
        <w:rPr>
          <w:rFonts w:ascii="Arial" w:hAnsi="Arial" w:cs="Arial"/>
          <w:lang w:val="en-GB"/>
        </w:rPr>
        <w:t xml:space="preserve"> </w:t>
      </w:r>
      <w:r w:rsidRPr="0078412A">
        <w:rPr>
          <w:rFonts w:ascii="Arial" w:hAnsi="Arial" w:cs="Arial"/>
          <w:lang w:val="en-GB"/>
        </w:rPr>
        <w:t>sexual violence</w:t>
      </w:r>
      <w:r w:rsidR="000071D5">
        <w:rPr>
          <w:rFonts w:ascii="Arial" w:hAnsi="Arial" w:cs="Arial"/>
          <w:lang w:val="en-GB"/>
        </w:rPr>
        <w:t xml:space="preserve">.  </w:t>
      </w:r>
      <w:r w:rsidRPr="0078412A">
        <w:rPr>
          <w:rFonts w:ascii="Arial" w:hAnsi="Arial" w:cs="Arial"/>
          <w:lang w:val="en-GB"/>
        </w:rPr>
        <w:t>Among women with 5 or more children, 9% have</w:t>
      </w:r>
      <w:r>
        <w:rPr>
          <w:rFonts w:ascii="Arial" w:hAnsi="Arial" w:cs="Arial"/>
          <w:lang w:val="en-GB"/>
        </w:rPr>
        <w:t xml:space="preserve"> </w:t>
      </w:r>
      <w:r w:rsidRPr="0078412A">
        <w:rPr>
          <w:rFonts w:ascii="Arial" w:hAnsi="Arial" w:cs="Arial"/>
          <w:lang w:val="en-GB"/>
        </w:rPr>
        <w:t>experienced sexual violence.</w:t>
      </w:r>
    </w:p>
    <w:p w14:paraId="26FAAC1A" w14:textId="79A93609" w:rsidR="0078412A" w:rsidRDefault="0078412A" w:rsidP="0078412A">
      <w:pPr>
        <w:pStyle w:val="ListParagraph"/>
        <w:ind w:left="1080"/>
        <w:jc w:val="both"/>
        <w:rPr>
          <w:rFonts w:ascii="Arial" w:hAnsi="Arial" w:cs="Arial"/>
          <w:lang w:val="en-GB"/>
        </w:rPr>
      </w:pPr>
    </w:p>
    <w:p w14:paraId="6B8AFA3E" w14:textId="6AC36C0E" w:rsidR="0078412A" w:rsidRPr="0078412A" w:rsidRDefault="0078412A" w:rsidP="0078412A">
      <w:pPr>
        <w:pStyle w:val="ListParagraph"/>
        <w:ind w:left="1080"/>
        <w:jc w:val="both"/>
        <w:rPr>
          <w:rFonts w:ascii="Arial" w:hAnsi="Arial" w:cs="Arial"/>
          <w:lang w:val="en-GB"/>
        </w:rPr>
      </w:pPr>
      <w:r w:rsidRPr="0078412A">
        <w:rPr>
          <w:rFonts w:ascii="Arial" w:hAnsi="Arial" w:cs="Arial"/>
          <w:lang w:val="en-GB"/>
        </w:rPr>
        <w:t>The NDHS (2017) also reports that among ever-married women who have</w:t>
      </w:r>
      <w:r>
        <w:rPr>
          <w:rFonts w:ascii="Arial" w:hAnsi="Arial" w:cs="Arial"/>
          <w:lang w:val="en-GB"/>
        </w:rPr>
        <w:t xml:space="preserve"> </w:t>
      </w:r>
      <w:r w:rsidRPr="0078412A">
        <w:rPr>
          <w:rFonts w:ascii="Arial" w:hAnsi="Arial" w:cs="Arial"/>
          <w:lang w:val="en-GB"/>
        </w:rPr>
        <w:t>experienced sexual violence, the most common perpetrators were current husband</w:t>
      </w:r>
      <w:r>
        <w:rPr>
          <w:rFonts w:ascii="Arial" w:hAnsi="Arial" w:cs="Arial"/>
          <w:lang w:val="en-GB"/>
        </w:rPr>
        <w:t xml:space="preserve"> </w:t>
      </w:r>
      <w:r w:rsidRPr="0078412A">
        <w:rPr>
          <w:rFonts w:ascii="Arial" w:hAnsi="Arial" w:cs="Arial"/>
          <w:lang w:val="en-GB"/>
        </w:rPr>
        <w:t>or partner (49%), or former husband or partner (32%). Among never married</w:t>
      </w:r>
      <w:r>
        <w:rPr>
          <w:rFonts w:ascii="Arial" w:hAnsi="Arial" w:cs="Arial"/>
          <w:lang w:val="en-GB"/>
        </w:rPr>
        <w:t xml:space="preserve"> </w:t>
      </w:r>
      <w:r w:rsidRPr="0078412A">
        <w:rPr>
          <w:rFonts w:ascii="Arial" w:hAnsi="Arial" w:cs="Arial"/>
          <w:lang w:val="en-GB"/>
        </w:rPr>
        <w:t>women, common</w:t>
      </w:r>
      <w:r>
        <w:rPr>
          <w:rFonts w:ascii="Arial" w:hAnsi="Arial" w:cs="Arial"/>
          <w:lang w:val="en-GB"/>
        </w:rPr>
        <w:t xml:space="preserve"> </w:t>
      </w:r>
      <w:r w:rsidRPr="0078412A">
        <w:rPr>
          <w:rFonts w:ascii="Arial" w:hAnsi="Arial" w:cs="Arial"/>
          <w:lang w:val="en-GB"/>
        </w:rPr>
        <w:t>perpetrators include friends or acquaintances (20%), other</w:t>
      </w:r>
      <w:r>
        <w:rPr>
          <w:rFonts w:ascii="Arial" w:hAnsi="Arial" w:cs="Arial"/>
          <w:lang w:val="en-GB"/>
        </w:rPr>
        <w:t xml:space="preserve"> </w:t>
      </w:r>
      <w:r w:rsidRPr="0078412A">
        <w:rPr>
          <w:rFonts w:ascii="Arial" w:hAnsi="Arial" w:cs="Arial"/>
          <w:lang w:val="en-GB"/>
        </w:rPr>
        <w:t>relatives (18%), current or former boyfriends (17%), or strangers (17%).</w:t>
      </w:r>
    </w:p>
    <w:p w14:paraId="4CD934DA" w14:textId="77777777" w:rsidR="00AB4D6B" w:rsidRDefault="00AB4D6B" w:rsidP="00AB4D6B">
      <w:pPr>
        <w:pStyle w:val="ListParagraph"/>
        <w:ind w:left="1080"/>
        <w:jc w:val="both"/>
        <w:rPr>
          <w:rFonts w:ascii="Arial" w:hAnsi="Arial" w:cs="Arial"/>
          <w:lang w:val="en-GB"/>
        </w:rPr>
      </w:pPr>
    </w:p>
    <w:p w14:paraId="1B1CD1C5" w14:textId="1985CB16" w:rsidR="0072121C" w:rsidRDefault="0072121C" w:rsidP="00107DA9">
      <w:pPr>
        <w:pStyle w:val="ListParagraph"/>
        <w:numPr>
          <w:ilvl w:val="1"/>
          <w:numId w:val="10"/>
        </w:numPr>
        <w:jc w:val="both"/>
        <w:rPr>
          <w:rFonts w:ascii="Arial" w:hAnsi="Arial" w:cs="Arial"/>
          <w:b/>
          <w:bCs/>
          <w:i/>
          <w:iCs/>
          <w:lang w:val="en-GB"/>
        </w:rPr>
      </w:pPr>
      <w:r w:rsidRPr="00133B67">
        <w:rPr>
          <w:rFonts w:ascii="Arial" w:hAnsi="Arial" w:cs="Arial"/>
          <w:b/>
          <w:bCs/>
          <w:i/>
          <w:iCs/>
          <w:lang w:val="en-GB"/>
        </w:rPr>
        <w:t>Please share analysis and available evidence on the impact of the COVID-19 pandemic on the above</w:t>
      </w:r>
    </w:p>
    <w:p w14:paraId="3CCCD566" w14:textId="19236BB2" w:rsidR="00C6147C" w:rsidRDefault="00C6147C" w:rsidP="00C6147C">
      <w:pPr>
        <w:pStyle w:val="ListParagraph"/>
        <w:ind w:left="1080"/>
        <w:jc w:val="both"/>
        <w:rPr>
          <w:rFonts w:ascii="Arial" w:hAnsi="Arial" w:cs="Arial"/>
          <w:b/>
          <w:bCs/>
          <w:i/>
          <w:iCs/>
          <w:lang w:val="en-GB"/>
        </w:rPr>
      </w:pPr>
    </w:p>
    <w:p w14:paraId="7729D370" w14:textId="05ABB5DF" w:rsidR="00C6147C" w:rsidRPr="00C6147C" w:rsidRDefault="00C6147C" w:rsidP="00C6147C">
      <w:pPr>
        <w:pStyle w:val="ListParagraph"/>
        <w:ind w:left="1080"/>
        <w:jc w:val="both"/>
        <w:rPr>
          <w:rFonts w:ascii="Arial" w:hAnsi="Arial" w:cs="Arial"/>
          <w:lang w:val="en-GB"/>
        </w:rPr>
      </w:pPr>
      <w:r w:rsidRPr="00C6147C">
        <w:rPr>
          <w:rFonts w:ascii="Arial" w:hAnsi="Arial" w:cs="Arial"/>
          <w:lang w:val="en-GB"/>
        </w:rPr>
        <w:t xml:space="preserve">In the duration of the </w:t>
      </w:r>
      <w:r w:rsidR="00664C18">
        <w:rPr>
          <w:rFonts w:ascii="Arial" w:hAnsi="Arial" w:cs="Arial"/>
          <w:lang w:val="en-GB"/>
        </w:rPr>
        <w:t>C</w:t>
      </w:r>
      <w:r w:rsidRPr="00C6147C">
        <w:rPr>
          <w:rFonts w:ascii="Arial" w:hAnsi="Arial" w:cs="Arial"/>
          <w:lang w:val="en-GB"/>
        </w:rPr>
        <w:t xml:space="preserve">OVID-19 </w:t>
      </w:r>
      <w:r w:rsidR="00664C18">
        <w:rPr>
          <w:rFonts w:ascii="Arial" w:hAnsi="Arial" w:cs="Arial"/>
          <w:lang w:val="en-GB"/>
        </w:rPr>
        <w:t>restrictions</w:t>
      </w:r>
      <w:r w:rsidRPr="00C6147C">
        <w:rPr>
          <w:rFonts w:ascii="Arial" w:hAnsi="Arial" w:cs="Arial"/>
          <w:lang w:val="en-GB"/>
        </w:rPr>
        <w:t>, the Philippine National Police (PNP),</w:t>
      </w:r>
      <w:r>
        <w:rPr>
          <w:rFonts w:ascii="Arial" w:hAnsi="Arial" w:cs="Arial"/>
          <w:lang w:val="en-GB"/>
        </w:rPr>
        <w:t xml:space="preserve"> </w:t>
      </w:r>
      <w:r w:rsidRPr="00C6147C">
        <w:rPr>
          <w:rFonts w:ascii="Arial" w:hAnsi="Arial" w:cs="Arial"/>
          <w:lang w:val="en-GB"/>
        </w:rPr>
        <w:t>cited</w:t>
      </w:r>
      <w:r>
        <w:rPr>
          <w:rFonts w:ascii="Arial" w:hAnsi="Arial" w:cs="Arial"/>
          <w:lang w:val="en-GB"/>
        </w:rPr>
        <w:t xml:space="preserve"> </w:t>
      </w:r>
      <w:r w:rsidRPr="00C6147C">
        <w:rPr>
          <w:rFonts w:ascii="Arial" w:hAnsi="Arial" w:cs="Arial"/>
          <w:lang w:val="en-GB"/>
        </w:rPr>
        <w:t>by the Philippine News Agency (2020), reports that from March to June 2020,</w:t>
      </w:r>
      <w:r>
        <w:rPr>
          <w:rFonts w:ascii="Arial" w:hAnsi="Arial" w:cs="Arial"/>
          <w:lang w:val="en-GB"/>
        </w:rPr>
        <w:t xml:space="preserve"> </w:t>
      </w:r>
      <w:r w:rsidRPr="00C6147C">
        <w:rPr>
          <w:rFonts w:ascii="Arial" w:hAnsi="Arial" w:cs="Arial"/>
          <w:lang w:val="en-GB"/>
        </w:rPr>
        <w:t>a total of</w:t>
      </w:r>
      <w:r>
        <w:rPr>
          <w:rFonts w:ascii="Arial" w:hAnsi="Arial" w:cs="Arial"/>
          <w:lang w:val="en-GB"/>
        </w:rPr>
        <w:t xml:space="preserve"> </w:t>
      </w:r>
      <w:r w:rsidRPr="00C6147C">
        <w:rPr>
          <w:rFonts w:ascii="Arial" w:hAnsi="Arial" w:cs="Arial"/>
          <w:lang w:val="en-GB"/>
        </w:rPr>
        <w:t>4,260 cases of violence against women and children have been recorded,</w:t>
      </w:r>
      <w:r>
        <w:rPr>
          <w:rFonts w:ascii="Arial" w:hAnsi="Arial" w:cs="Arial"/>
          <w:lang w:val="en-GB"/>
        </w:rPr>
        <w:t xml:space="preserve"> </w:t>
      </w:r>
      <w:r w:rsidRPr="00C6147C">
        <w:rPr>
          <w:rFonts w:ascii="Arial" w:hAnsi="Arial" w:cs="Arial"/>
          <w:lang w:val="en-GB"/>
        </w:rPr>
        <w:t>88% of which occurred between partners in intimate relationships. This PNP data</w:t>
      </w:r>
      <w:r>
        <w:rPr>
          <w:rFonts w:ascii="Arial" w:hAnsi="Arial" w:cs="Arial"/>
          <w:lang w:val="en-GB"/>
        </w:rPr>
        <w:t xml:space="preserve"> </w:t>
      </w:r>
      <w:r w:rsidRPr="00C6147C">
        <w:rPr>
          <w:rFonts w:ascii="Arial" w:hAnsi="Arial" w:cs="Arial"/>
          <w:lang w:val="en-GB"/>
        </w:rPr>
        <w:t>indicates a 13.1% increase in the number of reported cases compared to the previous</w:t>
      </w:r>
      <w:r>
        <w:rPr>
          <w:rFonts w:ascii="Arial" w:hAnsi="Arial" w:cs="Arial"/>
          <w:lang w:val="en-GB"/>
        </w:rPr>
        <w:t xml:space="preserve"> </w:t>
      </w:r>
      <w:r w:rsidRPr="00C6147C">
        <w:rPr>
          <w:rFonts w:ascii="Arial" w:hAnsi="Arial" w:cs="Arial"/>
          <w:lang w:val="en-GB"/>
        </w:rPr>
        <w:t>reporting cycle.</w:t>
      </w:r>
    </w:p>
    <w:p w14:paraId="5A979454" w14:textId="77777777" w:rsidR="00C6147C" w:rsidRDefault="00C6147C" w:rsidP="00C6147C">
      <w:pPr>
        <w:pStyle w:val="ListParagraph"/>
        <w:ind w:left="1080"/>
        <w:jc w:val="both"/>
        <w:rPr>
          <w:rFonts w:ascii="Arial" w:hAnsi="Arial" w:cs="Arial"/>
          <w:lang w:val="en-GB"/>
        </w:rPr>
      </w:pPr>
    </w:p>
    <w:p w14:paraId="3E2C6AE5" w14:textId="202DD10E" w:rsidR="00EE2B3B" w:rsidRDefault="00C6147C" w:rsidP="00EE2B3B">
      <w:pPr>
        <w:pStyle w:val="ListParagraph"/>
        <w:ind w:left="1080"/>
        <w:jc w:val="both"/>
        <w:rPr>
          <w:rFonts w:ascii="Arial" w:hAnsi="Arial" w:cs="Arial"/>
          <w:lang w:val="en-GB"/>
        </w:rPr>
      </w:pPr>
      <w:r w:rsidRPr="00C6147C">
        <w:rPr>
          <w:rFonts w:ascii="Arial" w:hAnsi="Arial" w:cs="Arial"/>
          <w:lang w:val="en-GB"/>
        </w:rPr>
        <w:t>There is, however, a decrease in utilization of services, which may be attributed to:</w:t>
      </w:r>
      <w:r>
        <w:rPr>
          <w:rFonts w:ascii="Arial" w:hAnsi="Arial" w:cs="Arial"/>
          <w:lang w:val="en-GB"/>
        </w:rPr>
        <w:t xml:space="preserve"> </w:t>
      </w:r>
      <w:r w:rsidRPr="00C6147C">
        <w:rPr>
          <w:rFonts w:ascii="Arial" w:hAnsi="Arial" w:cs="Arial"/>
          <w:lang w:val="en-GB"/>
        </w:rPr>
        <w:t>restricted movement, total lack of public transport, victims trapped at home and</w:t>
      </w:r>
      <w:r w:rsidR="00EE2B3B">
        <w:rPr>
          <w:rFonts w:ascii="Arial" w:hAnsi="Arial" w:cs="Arial"/>
          <w:lang w:val="en-GB"/>
        </w:rPr>
        <w:t xml:space="preserve"> </w:t>
      </w:r>
      <w:r w:rsidRPr="00C6147C">
        <w:rPr>
          <w:rFonts w:ascii="Arial" w:hAnsi="Arial" w:cs="Arial"/>
          <w:lang w:val="en-GB"/>
        </w:rPr>
        <w:t xml:space="preserve">constantly being monitored by perpetrators due to the </w:t>
      </w:r>
      <w:r w:rsidR="00664C18">
        <w:rPr>
          <w:rFonts w:ascii="Arial" w:hAnsi="Arial" w:cs="Arial"/>
          <w:lang w:val="en-GB"/>
        </w:rPr>
        <w:t>restrictions</w:t>
      </w:r>
      <w:r w:rsidRPr="00C6147C">
        <w:rPr>
          <w:rFonts w:ascii="Arial" w:hAnsi="Arial" w:cs="Arial"/>
          <w:lang w:val="en-GB"/>
        </w:rPr>
        <w:t xml:space="preserve">, lack of </w:t>
      </w:r>
      <w:r w:rsidR="00664C18">
        <w:rPr>
          <w:rFonts w:ascii="Arial" w:hAnsi="Arial" w:cs="Arial"/>
          <w:lang w:val="en-GB"/>
        </w:rPr>
        <w:t xml:space="preserve">access to </w:t>
      </w:r>
      <w:r w:rsidRPr="00C6147C">
        <w:rPr>
          <w:rFonts w:ascii="Arial" w:hAnsi="Arial" w:cs="Arial"/>
          <w:lang w:val="en-GB"/>
        </w:rPr>
        <w:t>online</w:t>
      </w:r>
      <w:r w:rsidR="00EE2B3B">
        <w:rPr>
          <w:rFonts w:ascii="Arial" w:hAnsi="Arial" w:cs="Arial"/>
          <w:lang w:val="en-GB"/>
        </w:rPr>
        <w:t xml:space="preserve"> </w:t>
      </w:r>
      <w:r w:rsidRPr="00EE2B3B">
        <w:rPr>
          <w:rFonts w:ascii="Arial" w:hAnsi="Arial" w:cs="Arial"/>
          <w:lang w:val="en-GB"/>
        </w:rPr>
        <w:t>communication channels, and/or lack of information about reporting mechanisms.</w:t>
      </w:r>
    </w:p>
    <w:p w14:paraId="2D3DD75F" w14:textId="77777777" w:rsidR="00EE2B3B" w:rsidRDefault="00EE2B3B" w:rsidP="00EE2B3B">
      <w:pPr>
        <w:pStyle w:val="ListParagraph"/>
        <w:ind w:left="1080"/>
        <w:jc w:val="both"/>
        <w:rPr>
          <w:rFonts w:ascii="Arial" w:hAnsi="Arial" w:cs="Arial"/>
          <w:lang w:val="en-GB"/>
        </w:rPr>
      </w:pPr>
    </w:p>
    <w:p w14:paraId="007E6025" w14:textId="77777777" w:rsidR="00EE2B3B" w:rsidRDefault="00C6147C" w:rsidP="00EE2B3B">
      <w:pPr>
        <w:pStyle w:val="ListParagraph"/>
        <w:ind w:left="1080"/>
        <w:jc w:val="both"/>
        <w:rPr>
          <w:rFonts w:ascii="Arial" w:hAnsi="Arial" w:cs="Arial"/>
          <w:lang w:val="en-GB"/>
        </w:rPr>
      </w:pPr>
      <w:r w:rsidRPr="00EE2B3B">
        <w:rPr>
          <w:rFonts w:ascii="Arial" w:hAnsi="Arial" w:cs="Arial"/>
          <w:lang w:val="en-GB"/>
        </w:rPr>
        <w:t>Data from the WHO (2020) support this, citing that the decrease in individuals</w:t>
      </w:r>
      <w:r w:rsidR="00EE2B3B">
        <w:rPr>
          <w:rFonts w:ascii="Arial" w:hAnsi="Arial" w:cs="Arial"/>
          <w:lang w:val="en-GB"/>
        </w:rPr>
        <w:t xml:space="preserve"> </w:t>
      </w:r>
      <w:r w:rsidRPr="00EE2B3B">
        <w:rPr>
          <w:rFonts w:ascii="Arial" w:hAnsi="Arial" w:cs="Arial"/>
          <w:lang w:val="en-GB"/>
        </w:rPr>
        <w:t>seeking services may be due to a "combination of lockdown measures and not</w:t>
      </w:r>
      <w:r w:rsidR="00EE2B3B">
        <w:rPr>
          <w:rFonts w:ascii="Arial" w:hAnsi="Arial" w:cs="Arial"/>
          <w:lang w:val="en-GB"/>
        </w:rPr>
        <w:t xml:space="preserve"> </w:t>
      </w:r>
      <w:r w:rsidRPr="00EE2B3B">
        <w:rPr>
          <w:rFonts w:ascii="Arial" w:hAnsi="Arial" w:cs="Arial"/>
          <w:lang w:val="en-GB"/>
        </w:rPr>
        <w:t>wanting to attend health facilities for fear of infection."</w:t>
      </w:r>
    </w:p>
    <w:p w14:paraId="77853EE0" w14:textId="77777777" w:rsidR="00EE2B3B" w:rsidRDefault="00EE2B3B" w:rsidP="00EE2B3B">
      <w:pPr>
        <w:pStyle w:val="ListParagraph"/>
        <w:ind w:left="1080"/>
        <w:jc w:val="both"/>
        <w:rPr>
          <w:rFonts w:ascii="Arial" w:hAnsi="Arial" w:cs="Arial"/>
          <w:lang w:val="en-GB"/>
        </w:rPr>
      </w:pPr>
    </w:p>
    <w:p w14:paraId="7EE743A2" w14:textId="528FAC34" w:rsidR="00C6147C" w:rsidRDefault="00C6147C" w:rsidP="004C4C93">
      <w:pPr>
        <w:pStyle w:val="ListParagraph"/>
        <w:ind w:left="1080"/>
        <w:jc w:val="both"/>
        <w:rPr>
          <w:rFonts w:ascii="Arial" w:hAnsi="Arial" w:cs="Arial"/>
          <w:lang w:val="en-GB"/>
        </w:rPr>
      </w:pPr>
      <w:r w:rsidRPr="00EE2B3B">
        <w:rPr>
          <w:rFonts w:ascii="Arial" w:hAnsi="Arial" w:cs="Arial"/>
          <w:lang w:val="en-GB"/>
        </w:rPr>
        <w:t xml:space="preserve">The </w:t>
      </w:r>
      <w:r w:rsidR="00EE2B3B">
        <w:rPr>
          <w:rFonts w:ascii="Arial" w:hAnsi="Arial" w:cs="Arial"/>
          <w:lang w:val="en-GB"/>
        </w:rPr>
        <w:t>PCW</w:t>
      </w:r>
      <w:r w:rsidRPr="00EE2B3B">
        <w:rPr>
          <w:rFonts w:ascii="Arial" w:hAnsi="Arial" w:cs="Arial"/>
          <w:lang w:val="en-GB"/>
        </w:rPr>
        <w:t xml:space="preserve"> (2020) also indicates that prolonged imposition of community quarantine</w:t>
      </w:r>
      <w:r w:rsidR="00EE2B3B">
        <w:rPr>
          <w:rFonts w:ascii="Arial" w:hAnsi="Arial" w:cs="Arial"/>
          <w:lang w:val="en-GB"/>
        </w:rPr>
        <w:t xml:space="preserve"> </w:t>
      </w:r>
      <w:r w:rsidRPr="00EE2B3B">
        <w:rPr>
          <w:rFonts w:ascii="Arial" w:hAnsi="Arial" w:cs="Arial"/>
          <w:lang w:val="en-GB"/>
        </w:rPr>
        <w:t>tends to actually put women, children, boys and girls at greater risk of experiencing</w:t>
      </w:r>
      <w:r w:rsidR="00EE2B3B">
        <w:rPr>
          <w:rFonts w:ascii="Arial" w:hAnsi="Arial" w:cs="Arial"/>
          <w:lang w:val="en-GB"/>
        </w:rPr>
        <w:t xml:space="preserve"> </w:t>
      </w:r>
      <w:r w:rsidRPr="00EE2B3B">
        <w:rPr>
          <w:rFonts w:ascii="Arial" w:hAnsi="Arial" w:cs="Arial"/>
          <w:lang w:val="en-GB"/>
        </w:rPr>
        <w:t>violence at home. In particular, it suggests that during the pandemic, the following</w:t>
      </w:r>
      <w:r w:rsidR="00EE2B3B">
        <w:rPr>
          <w:rFonts w:ascii="Arial" w:hAnsi="Arial" w:cs="Arial"/>
          <w:lang w:val="en-GB"/>
        </w:rPr>
        <w:t xml:space="preserve"> </w:t>
      </w:r>
      <w:r w:rsidRPr="00EE2B3B">
        <w:rPr>
          <w:rFonts w:ascii="Arial" w:hAnsi="Arial" w:cs="Arial"/>
          <w:lang w:val="en-GB"/>
        </w:rPr>
        <w:t>may</w:t>
      </w:r>
      <w:r w:rsidR="00EE2B3B">
        <w:rPr>
          <w:rFonts w:ascii="Arial" w:hAnsi="Arial" w:cs="Arial"/>
          <w:lang w:val="en-GB"/>
        </w:rPr>
        <w:t xml:space="preserve"> </w:t>
      </w:r>
      <w:r w:rsidRPr="00EE2B3B">
        <w:rPr>
          <w:rFonts w:ascii="Arial" w:hAnsi="Arial" w:cs="Arial"/>
          <w:lang w:val="en-GB"/>
        </w:rPr>
        <w:t>be specifically present at home: parental stress and household tensions due to</w:t>
      </w:r>
      <w:r w:rsidR="00EE2B3B">
        <w:rPr>
          <w:rFonts w:ascii="Arial" w:hAnsi="Arial" w:cs="Arial"/>
          <w:lang w:val="en-GB"/>
        </w:rPr>
        <w:t xml:space="preserve"> </w:t>
      </w:r>
      <w:r w:rsidRPr="00EE2B3B">
        <w:rPr>
          <w:rFonts w:ascii="Arial" w:hAnsi="Arial" w:cs="Arial"/>
          <w:lang w:val="en-GB"/>
        </w:rPr>
        <w:t xml:space="preserve">loss of livelihood and economic instability which may trigger abusive </w:t>
      </w:r>
      <w:proofErr w:type="spellStart"/>
      <w:r w:rsidRPr="00EE2B3B">
        <w:rPr>
          <w:rFonts w:ascii="Arial" w:hAnsi="Arial" w:cs="Arial"/>
          <w:lang w:val="en-GB"/>
        </w:rPr>
        <w:t>behavior</w:t>
      </w:r>
      <w:proofErr w:type="spellEnd"/>
      <w:r w:rsidRPr="00EE2B3B">
        <w:rPr>
          <w:rFonts w:ascii="Arial" w:hAnsi="Arial" w:cs="Arial"/>
          <w:lang w:val="en-GB"/>
        </w:rPr>
        <w:t>;</w:t>
      </w:r>
      <w:r w:rsidR="00EE2B3B">
        <w:rPr>
          <w:rFonts w:ascii="Arial" w:hAnsi="Arial" w:cs="Arial"/>
          <w:lang w:val="en-GB"/>
        </w:rPr>
        <w:t xml:space="preserve"> </w:t>
      </w:r>
      <w:r w:rsidRPr="00EE2B3B">
        <w:rPr>
          <w:rFonts w:ascii="Arial" w:hAnsi="Arial" w:cs="Arial"/>
          <w:lang w:val="en-GB"/>
        </w:rPr>
        <w:t>limited access to social services and help due to restrictions in transportation and</w:t>
      </w:r>
      <w:r w:rsidR="004C4C93">
        <w:rPr>
          <w:rFonts w:ascii="Arial" w:hAnsi="Arial" w:cs="Arial"/>
          <w:lang w:val="en-GB"/>
        </w:rPr>
        <w:t xml:space="preserve"> </w:t>
      </w:r>
      <w:r w:rsidR="004C4C93" w:rsidRPr="004C4C93">
        <w:rPr>
          <w:rFonts w:ascii="Arial" w:hAnsi="Arial" w:cs="Arial"/>
          <w:lang w:val="en-GB"/>
        </w:rPr>
        <w:t>mobility; and challenges in the delivery of related services due to the influx of</w:t>
      </w:r>
      <w:r w:rsidR="004C4C93">
        <w:rPr>
          <w:rFonts w:ascii="Arial" w:hAnsi="Arial" w:cs="Arial"/>
          <w:lang w:val="en-GB"/>
        </w:rPr>
        <w:t xml:space="preserve"> </w:t>
      </w:r>
      <w:r w:rsidR="004C4C93" w:rsidRPr="004C4C93">
        <w:rPr>
          <w:rFonts w:ascii="Arial" w:hAnsi="Arial" w:cs="Arial"/>
          <w:lang w:val="en-GB"/>
        </w:rPr>
        <w:t>demand for COVID-19 response.</w:t>
      </w:r>
    </w:p>
    <w:p w14:paraId="6CCE1A5C" w14:textId="39D62299" w:rsidR="00E96678" w:rsidRDefault="00E96678" w:rsidP="004C4C93">
      <w:pPr>
        <w:pStyle w:val="ListParagraph"/>
        <w:ind w:left="1080"/>
        <w:jc w:val="both"/>
        <w:rPr>
          <w:rFonts w:ascii="Arial" w:hAnsi="Arial" w:cs="Arial"/>
          <w:lang w:val="en-GB"/>
        </w:rPr>
      </w:pPr>
    </w:p>
    <w:p w14:paraId="66FA2611" w14:textId="64764510" w:rsidR="00E96678" w:rsidRPr="00E96678" w:rsidRDefault="00E96678" w:rsidP="00E96678">
      <w:pPr>
        <w:pStyle w:val="ListParagraph"/>
        <w:ind w:left="1080"/>
        <w:jc w:val="both"/>
        <w:rPr>
          <w:rFonts w:ascii="Arial" w:hAnsi="Arial" w:cs="Arial"/>
          <w:lang w:val="en-GB"/>
        </w:rPr>
      </w:pPr>
      <w:r w:rsidRPr="00E96678">
        <w:rPr>
          <w:rFonts w:ascii="Arial" w:hAnsi="Arial" w:cs="Arial"/>
          <w:lang w:val="en-GB"/>
        </w:rPr>
        <w:lastRenderedPageBreak/>
        <w:t>Among children, school closures also added to the risk of children being exposed or</w:t>
      </w:r>
      <w:r>
        <w:rPr>
          <w:rFonts w:ascii="Arial" w:hAnsi="Arial" w:cs="Arial"/>
          <w:lang w:val="en-GB"/>
        </w:rPr>
        <w:t xml:space="preserve"> </w:t>
      </w:r>
      <w:r w:rsidRPr="00E96678">
        <w:rPr>
          <w:rFonts w:ascii="Arial" w:hAnsi="Arial" w:cs="Arial"/>
          <w:lang w:val="en-GB"/>
        </w:rPr>
        <w:t>subject to violence at home. Apart from exposure to online bullying and other</w:t>
      </w:r>
      <w:r>
        <w:rPr>
          <w:rFonts w:ascii="Arial" w:hAnsi="Arial" w:cs="Arial"/>
          <w:lang w:val="en-GB"/>
        </w:rPr>
        <w:t xml:space="preserve"> </w:t>
      </w:r>
      <w:r w:rsidRPr="00E96678">
        <w:rPr>
          <w:rFonts w:ascii="Arial" w:hAnsi="Arial" w:cs="Arial"/>
          <w:lang w:val="en-GB"/>
        </w:rPr>
        <w:t>harmful</w:t>
      </w:r>
      <w:r>
        <w:rPr>
          <w:rFonts w:ascii="Arial" w:hAnsi="Arial" w:cs="Arial"/>
          <w:lang w:val="en-GB"/>
        </w:rPr>
        <w:t xml:space="preserve"> </w:t>
      </w:r>
      <w:r w:rsidRPr="00E96678">
        <w:rPr>
          <w:rFonts w:ascii="Arial" w:hAnsi="Arial" w:cs="Arial"/>
          <w:lang w:val="en-GB"/>
        </w:rPr>
        <w:t>web content due to increased use of the platform as the new mode of</w:t>
      </w:r>
      <w:r>
        <w:rPr>
          <w:rFonts w:ascii="Arial" w:hAnsi="Arial" w:cs="Arial"/>
          <w:lang w:val="en-GB"/>
        </w:rPr>
        <w:t xml:space="preserve"> </w:t>
      </w:r>
      <w:r w:rsidRPr="00E96678">
        <w:rPr>
          <w:rFonts w:ascii="Arial" w:hAnsi="Arial" w:cs="Arial"/>
          <w:lang w:val="en-GB"/>
        </w:rPr>
        <w:t>instruction given</w:t>
      </w:r>
      <w:r>
        <w:rPr>
          <w:rFonts w:ascii="Arial" w:hAnsi="Arial" w:cs="Arial"/>
          <w:lang w:val="en-GB"/>
        </w:rPr>
        <w:t xml:space="preserve"> </w:t>
      </w:r>
      <w:r w:rsidRPr="00E96678">
        <w:rPr>
          <w:rFonts w:ascii="Arial" w:hAnsi="Arial" w:cs="Arial"/>
          <w:lang w:val="en-GB"/>
        </w:rPr>
        <w:t>the pandemic, there is also an increasing prevalence of young boys</w:t>
      </w:r>
      <w:r>
        <w:rPr>
          <w:rFonts w:ascii="Arial" w:hAnsi="Arial" w:cs="Arial"/>
          <w:lang w:val="en-GB"/>
        </w:rPr>
        <w:t xml:space="preserve"> </w:t>
      </w:r>
      <w:r w:rsidRPr="00E96678">
        <w:rPr>
          <w:rFonts w:ascii="Arial" w:hAnsi="Arial" w:cs="Arial"/>
          <w:lang w:val="en-GB"/>
        </w:rPr>
        <w:t>and girls being sexually exploited online, as families are pushed to extreme means</w:t>
      </w:r>
      <w:r>
        <w:rPr>
          <w:rFonts w:ascii="Arial" w:hAnsi="Arial" w:cs="Arial"/>
          <w:lang w:val="en-GB"/>
        </w:rPr>
        <w:t xml:space="preserve"> </w:t>
      </w:r>
      <w:r w:rsidRPr="00E96678">
        <w:rPr>
          <w:rFonts w:ascii="Arial" w:hAnsi="Arial" w:cs="Arial"/>
          <w:lang w:val="en-GB"/>
        </w:rPr>
        <w:t>to survive the economic effects of the pandemic (</w:t>
      </w:r>
      <w:proofErr w:type="spellStart"/>
      <w:r w:rsidRPr="00E96678">
        <w:rPr>
          <w:rFonts w:ascii="Arial" w:hAnsi="Arial" w:cs="Arial"/>
          <w:lang w:val="en-GB"/>
        </w:rPr>
        <w:t>SaveTheChildren</w:t>
      </w:r>
      <w:proofErr w:type="spellEnd"/>
      <w:r w:rsidRPr="00E96678">
        <w:rPr>
          <w:rFonts w:ascii="Arial" w:hAnsi="Arial" w:cs="Arial"/>
          <w:lang w:val="en-GB"/>
        </w:rPr>
        <w:t>, 2021). Early in</w:t>
      </w:r>
      <w:r>
        <w:rPr>
          <w:rFonts w:ascii="Arial" w:hAnsi="Arial" w:cs="Arial"/>
          <w:lang w:val="en-GB"/>
        </w:rPr>
        <w:t xml:space="preserve"> </w:t>
      </w:r>
      <w:r w:rsidRPr="00E96678">
        <w:rPr>
          <w:rFonts w:ascii="Arial" w:hAnsi="Arial" w:cs="Arial"/>
          <w:lang w:val="en-GB"/>
        </w:rPr>
        <w:t>2021, the US</w:t>
      </w:r>
      <w:r>
        <w:rPr>
          <w:rFonts w:ascii="Arial" w:hAnsi="Arial" w:cs="Arial"/>
          <w:lang w:val="en-GB"/>
        </w:rPr>
        <w:t xml:space="preserve"> </w:t>
      </w:r>
      <w:r w:rsidRPr="00E96678">
        <w:rPr>
          <w:rFonts w:ascii="Arial" w:hAnsi="Arial" w:cs="Arial"/>
          <w:lang w:val="en-GB"/>
        </w:rPr>
        <w:t xml:space="preserve">National </w:t>
      </w:r>
      <w:proofErr w:type="spellStart"/>
      <w:r w:rsidRPr="00E96678">
        <w:rPr>
          <w:rFonts w:ascii="Arial" w:hAnsi="Arial" w:cs="Arial"/>
          <w:lang w:val="en-GB"/>
        </w:rPr>
        <w:t>Center</w:t>
      </w:r>
      <w:proofErr w:type="spellEnd"/>
      <w:r w:rsidRPr="00E96678">
        <w:rPr>
          <w:rFonts w:ascii="Arial" w:hAnsi="Arial" w:cs="Arial"/>
          <w:lang w:val="en-GB"/>
        </w:rPr>
        <w:t xml:space="preserve"> for Missing and Exploited Children (2021, as cited by</w:t>
      </w:r>
      <w:r>
        <w:rPr>
          <w:rFonts w:ascii="Arial" w:hAnsi="Arial" w:cs="Arial"/>
          <w:lang w:val="en-GB"/>
        </w:rPr>
        <w:t xml:space="preserve"> </w:t>
      </w:r>
      <w:r w:rsidRPr="00E96678">
        <w:rPr>
          <w:rFonts w:ascii="Arial" w:hAnsi="Arial" w:cs="Arial"/>
          <w:lang w:val="en-GB"/>
        </w:rPr>
        <w:t>UNICEF, 2021) reported a total of almost 1.3 million cyber tip reports for the</w:t>
      </w:r>
      <w:r>
        <w:rPr>
          <w:rFonts w:ascii="Arial" w:hAnsi="Arial" w:cs="Arial"/>
          <w:lang w:val="en-GB"/>
        </w:rPr>
        <w:t xml:space="preserve"> </w:t>
      </w:r>
      <w:r w:rsidRPr="00E96678">
        <w:rPr>
          <w:rFonts w:ascii="Arial" w:hAnsi="Arial" w:cs="Arial"/>
          <w:lang w:val="en-GB"/>
        </w:rPr>
        <w:t>Philippines in the past year, which is more than a 200 percent increase from the</w:t>
      </w:r>
      <w:r>
        <w:rPr>
          <w:rFonts w:ascii="Arial" w:hAnsi="Arial" w:cs="Arial"/>
          <w:lang w:val="en-GB"/>
        </w:rPr>
        <w:t xml:space="preserve"> </w:t>
      </w:r>
      <w:r w:rsidRPr="00E96678">
        <w:rPr>
          <w:rFonts w:ascii="Arial" w:hAnsi="Arial" w:cs="Arial"/>
          <w:lang w:val="en-GB"/>
        </w:rPr>
        <w:t>418,000 cyber tips reported pre-CO</w:t>
      </w:r>
      <w:r>
        <w:rPr>
          <w:rFonts w:ascii="Arial" w:hAnsi="Arial" w:cs="Arial"/>
          <w:lang w:val="en-GB"/>
        </w:rPr>
        <w:t>V</w:t>
      </w:r>
      <w:r w:rsidRPr="00E96678">
        <w:rPr>
          <w:rFonts w:ascii="Arial" w:hAnsi="Arial" w:cs="Arial"/>
          <w:lang w:val="en-GB"/>
        </w:rPr>
        <w:t>ID.</w:t>
      </w:r>
    </w:p>
    <w:p w14:paraId="04E33555" w14:textId="76D90526" w:rsidR="00EB731B" w:rsidRDefault="00EB731B" w:rsidP="004C4C93">
      <w:pPr>
        <w:pStyle w:val="ListParagraph"/>
        <w:ind w:left="1080"/>
        <w:jc w:val="both"/>
        <w:rPr>
          <w:rFonts w:ascii="Arial" w:hAnsi="Arial" w:cs="Arial"/>
          <w:lang w:val="en-GB"/>
        </w:rPr>
      </w:pPr>
    </w:p>
    <w:p w14:paraId="6567991E" w14:textId="27180B4E" w:rsidR="00EA1F6A" w:rsidRPr="008924D5" w:rsidRDefault="005E0ABF" w:rsidP="008924D5">
      <w:pPr>
        <w:pStyle w:val="ListParagraph"/>
        <w:ind w:left="1080"/>
        <w:jc w:val="both"/>
        <w:rPr>
          <w:rFonts w:ascii="Arial" w:hAnsi="Arial" w:cs="Arial"/>
          <w:lang w:val="en-GB"/>
        </w:rPr>
      </w:pPr>
      <w:r w:rsidRPr="005E0ABF">
        <w:rPr>
          <w:rFonts w:ascii="Arial" w:hAnsi="Arial" w:cs="Arial"/>
          <w:lang w:val="en-GB"/>
        </w:rPr>
        <w:t>Additionally, in a 2020 study among children with disabilities, their families and</w:t>
      </w:r>
      <w:r>
        <w:rPr>
          <w:rFonts w:ascii="Arial" w:hAnsi="Arial" w:cs="Arial"/>
          <w:lang w:val="en-GB"/>
        </w:rPr>
        <w:t xml:space="preserve"> </w:t>
      </w:r>
      <w:r w:rsidRPr="005E0ABF">
        <w:rPr>
          <w:rFonts w:ascii="Arial" w:hAnsi="Arial" w:cs="Arial"/>
          <w:lang w:val="en-GB"/>
        </w:rPr>
        <w:t>caregivers, about 1.4% reported a perceived increased of child abuse and domestic</w:t>
      </w:r>
      <w:r>
        <w:rPr>
          <w:rFonts w:ascii="Arial" w:hAnsi="Arial" w:cs="Arial"/>
          <w:lang w:val="en-GB"/>
        </w:rPr>
        <w:t xml:space="preserve"> </w:t>
      </w:r>
      <w:r w:rsidRPr="005E0ABF">
        <w:rPr>
          <w:rFonts w:ascii="Arial" w:hAnsi="Arial" w:cs="Arial"/>
          <w:lang w:val="en-GB"/>
        </w:rPr>
        <w:t>violence during the CO</w:t>
      </w:r>
      <w:r w:rsidR="00664C18">
        <w:rPr>
          <w:rFonts w:ascii="Arial" w:hAnsi="Arial" w:cs="Arial"/>
          <w:lang w:val="en-GB"/>
        </w:rPr>
        <w:t>V</w:t>
      </w:r>
      <w:r w:rsidRPr="005E0ABF">
        <w:rPr>
          <w:rFonts w:ascii="Arial" w:hAnsi="Arial" w:cs="Arial"/>
          <w:lang w:val="en-GB"/>
        </w:rPr>
        <w:t>ID-19 quarantine measures. About half experienced</w:t>
      </w:r>
      <w:r>
        <w:rPr>
          <w:rFonts w:ascii="Arial" w:hAnsi="Arial" w:cs="Arial"/>
          <w:lang w:val="en-GB"/>
        </w:rPr>
        <w:t xml:space="preserve"> </w:t>
      </w:r>
      <w:r w:rsidRPr="005E0ABF">
        <w:rPr>
          <w:rFonts w:ascii="Arial" w:hAnsi="Arial" w:cs="Arial"/>
          <w:lang w:val="en-GB"/>
        </w:rPr>
        <w:t>physical abuse (49.5%) and verbal or emotional abuse (43%). Alarmingly, 12.9%</w:t>
      </w:r>
      <w:r>
        <w:rPr>
          <w:rFonts w:ascii="Arial" w:hAnsi="Arial" w:cs="Arial"/>
          <w:lang w:val="en-GB"/>
        </w:rPr>
        <w:t xml:space="preserve"> </w:t>
      </w:r>
      <w:r w:rsidRPr="005E0ABF">
        <w:rPr>
          <w:rFonts w:ascii="Arial" w:hAnsi="Arial" w:cs="Arial"/>
          <w:lang w:val="en-GB"/>
        </w:rPr>
        <w:t>reported</w:t>
      </w:r>
      <w:r>
        <w:rPr>
          <w:rFonts w:ascii="Arial" w:hAnsi="Arial" w:cs="Arial"/>
          <w:lang w:val="en-GB"/>
        </w:rPr>
        <w:t xml:space="preserve"> </w:t>
      </w:r>
      <w:r w:rsidRPr="005E0ABF">
        <w:rPr>
          <w:rFonts w:ascii="Arial" w:hAnsi="Arial" w:cs="Arial"/>
          <w:lang w:val="en-GB"/>
        </w:rPr>
        <w:t>sexual abuse during the CO</w:t>
      </w:r>
      <w:r w:rsidR="00664C18">
        <w:rPr>
          <w:rFonts w:ascii="Arial" w:hAnsi="Arial" w:cs="Arial"/>
          <w:lang w:val="en-GB"/>
        </w:rPr>
        <w:t>V</w:t>
      </w:r>
      <w:r w:rsidRPr="005E0ABF">
        <w:rPr>
          <w:rFonts w:ascii="Arial" w:hAnsi="Arial" w:cs="Arial"/>
          <w:lang w:val="en-GB"/>
        </w:rPr>
        <w:t>ID-19 quarantine. Access to services also</w:t>
      </w:r>
      <w:r>
        <w:rPr>
          <w:rFonts w:ascii="Arial" w:hAnsi="Arial" w:cs="Arial"/>
          <w:lang w:val="en-GB"/>
        </w:rPr>
        <w:t xml:space="preserve"> </w:t>
      </w:r>
      <w:r w:rsidRPr="005E0ABF">
        <w:rPr>
          <w:rFonts w:ascii="Arial" w:hAnsi="Arial" w:cs="Arial"/>
          <w:lang w:val="en-GB"/>
        </w:rPr>
        <w:t>posed di</w:t>
      </w:r>
      <w:r w:rsidR="00664C18">
        <w:rPr>
          <w:rFonts w:ascii="Arial" w:hAnsi="Arial" w:cs="Arial"/>
          <w:lang w:val="en-GB"/>
        </w:rPr>
        <w:t>ff</w:t>
      </w:r>
      <w:r w:rsidRPr="005E0ABF">
        <w:rPr>
          <w:rFonts w:ascii="Arial" w:hAnsi="Arial" w:cs="Arial"/>
          <w:lang w:val="en-GB"/>
        </w:rPr>
        <w:t>iculties with 51.8% having limited access to education or learning</w:t>
      </w:r>
      <w:r>
        <w:rPr>
          <w:rFonts w:ascii="Arial" w:hAnsi="Arial" w:cs="Arial"/>
          <w:lang w:val="en-GB"/>
        </w:rPr>
        <w:t xml:space="preserve"> </w:t>
      </w:r>
      <w:r w:rsidRPr="005E0ABF">
        <w:rPr>
          <w:rFonts w:ascii="Arial" w:hAnsi="Arial" w:cs="Arial"/>
          <w:lang w:val="en-GB"/>
        </w:rPr>
        <w:t xml:space="preserve">services, 50.7% having limited access to child development </w:t>
      </w:r>
      <w:proofErr w:type="spellStart"/>
      <w:r w:rsidRPr="005E0ABF">
        <w:rPr>
          <w:rFonts w:ascii="Arial" w:hAnsi="Arial" w:cs="Arial"/>
          <w:lang w:val="en-GB"/>
        </w:rPr>
        <w:t>centers</w:t>
      </w:r>
      <w:proofErr w:type="spellEnd"/>
      <w:r w:rsidRPr="005E0ABF">
        <w:rPr>
          <w:rFonts w:ascii="Arial" w:hAnsi="Arial" w:cs="Arial"/>
          <w:lang w:val="en-GB"/>
        </w:rPr>
        <w:t>, 48.5% with</w:t>
      </w:r>
      <w:r>
        <w:rPr>
          <w:rFonts w:ascii="Arial" w:hAnsi="Arial" w:cs="Arial"/>
          <w:lang w:val="en-GB"/>
        </w:rPr>
        <w:t xml:space="preserve"> </w:t>
      </w:r>
      <w:r w:rsidRPr="005E0ABF">
        <w:rPr>
          <w:rFonts w:ascii="Arial" w:hAnsi="Arial" w:cs="Arial"/>
          <w:lang w:val="en-GB"/>
        </w:rPr>
        <w:t xml:space="preserve">limited access to </w:t>
      </w:r>
      <w:proofErr w:type="spellStart"/>
      <w:r w:rsidRPr="005E0ABF">
        <w:rPr>
          <w:rFonts w:ascii="Arial" w:hAnsi="Arial" w:cs="Arial"/>
          <w:lang w:val="en-GB"/>
        </w:rPr>
        <w:t>habilitation</w:t>
      </w:r>
      <w:proofErr w:type="spellEnd"/>
      <w:r w:rsidRPr="005E0ABF">
        <w:rPr>
          <w:rFonts w:ascii="Arial" w:hAnsi="Arial" w:cs="Arial"/>
          <w:lang w:val="en-GB"/>
        </w:rPr>
        <w:t xml:space="preserve"> and rehabilitation services, 42.8% unable to access</w:t>
      </w:r>
      <w:r>
        <w:rPr>
          <w:rFonts w:ascii="Arial" w:hAnsi="Arial" w:cs="Arial"/>
          <w:lang w:val="en-GB"/>
        </w:rPr>
        <w:t xml:space="preserve"> </w:t>
      </w:r>
      <w:r w:rsidRPr="005E0ABF">
        <w:rPr>
          <w:rFonts w:ascii="Arial" w:hAnsi="Arial" w:cs="Arial"/>
          <w:lang w:val="en-GB"/>
        </w:rPr>
        <w:t>health services, 39.4% reported a loss of income or employment and 24.7% unable</w:t>
      </w:r>
      <w:r>
        <w:rPr>
          <w:rFonts w:ascii="Arial" w:hAnsi="Arial" w:cs="Arial"/>
          <w:lang w:val="en-GB"/>
        </w:rPr>
        <w:t xml:space="preserve"> </w:t>
      </w:r>
      <w:r w:rsidRPr="005E0ABF">
        <w:rPr>
          <w:rFonts w:ascii="Arial" w:hAnsi="Arial" w:cs="Arial"/>
          <w:lang w:val="en-GB"/>
        </w:rPr>
        <w:t>to buy essential supplies (UNICEF, 2020).</w:t>
      </w:r>
    </w:p>
    <w:p w14:paraId="62E833EB" w14:textId="77777777" w:rsidR="00661EE7" w:rsidRPr="00661EE7" w:rsidRDefault="00661EE7" w:rsidP="00661EE7">
      <w:pPr>
        <w:jc w:val="both"/>
        <w:rPr>
          <w:rFonts w:ascii="Arial" w:hAnsi="Arial" w:cs="Arial"/>
          <w:lang w:val="en-GB"/>
        </w:rPr>
      </w:pPr>
    </w:p>
    <w:p w14:paraId="4F78DFBA" w14:textId="1BFF2B46" w:rsidR="0084208F" w:rsidRDefault="00107DA9" w:rsidP="00107DA9">
      <w:pPr>
        <w:pStyle w:val="ListParagraph"/>
        <w:numPr>
          <w:ilvl w:val="0"/>
          <w:numId w:val="10"/>
        </w:numPr>
        <w:ind w:left="426" w:hanging="426"/>
        <w:jc w:val="both"/>
        <w:rPr>
          <w:rFonts w:ascii="Arial" w:hAnsi="Arial" w:cs="Arial"/>
          <w:b/>
          <w:bCs/>
          <w:i/>
          <w:iCs/>
          <w:lang w:val="en-GB"/>
        </w:rPr>
      </w:pPr>
      <w:r w:rsidRPr="00133B67">
        <w:rPr>
          <w:rFonts w:ascii="Arial" w:hAnsi="Arial" w:cs="Arial"/>
          <w:b/>
          <w:bCs/>
          <w:i/>
          <w:iCs/>
          <w:lang w:val="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14:paraId="272BCB69" w14:textId="562750B6" w:rsidR="00F26A16" w:rsidRDefault="00F26A16" w:rsidP="00F26A16">
      <w:pPr>
        <w:pStyle w:val="ListParagraph"/>
        <w:ind w:left="426"/>
        <w:jc w:val="both"/>
        <w:rPr>
          <w:rFonts w:ascii="Arial" w:hAnsi="Arial" w:cs="Arial"/>
          <w:b/>
          <w:bCs/>
          <w:i/>
          <w:iCs/>
          <w:lang w:val="en-GB"/>
        </w:rPr>
      </w:pPr>
    </w:p>
    <w:p w14:paraId="3D504097" w14:textId="6CDA8D6B" w:rsidR="00F26A16" w:rsidRDefault="00F26A16" w:rsidP="00F26A16">
      <w:pPr>
        <w:pStyle w:val="ListParagraph"/>
        <w:ind w:left="426"/>
        <w:jc w:val="both"/>
        <w:rPr>
          <w:rFonts w:ascii="Arial" w:hAnsi="Arial" w:cs="Arial"/>
          <w:lang w:val="en-GB"/>
        </w:rPr>
      </w:pPr>
      <w:r w:rsidRPr="00F26A16">
        <w:rPr>
          <w:rFonts w:ascii="Arial" w:hAnsi="Arial" w:cs="Arial"/>
          <w:lang w:val="en-GB"/>
        </w:rPr>
        <w:t>The Philippines is a party to the UN Convention on the Elimination of All Forms of</w:t>
      </w:r>
      <w:r>
        <w:rPr>
          <w:rFonts w:ascii="Arial" w:hAnsi="Arial" w:cs="Arial"/>
          <w:lang w:val="en-GB"/>
        </w:rPr>
        <w:t xml:space="preserve"> </w:t>
      </w:r>
      <w:r w:rsidRPr="00F26A16">
        <w:rPr>
          <w:rFonts w:ascii="Arial" w:hAnsi="Arial" w:cs="Arial"/>
          <w:lang w:val="en-GB"/>
        </w:rPr>
        <w:t>Discrimination Against Women and the UN Convention on the Rights of Children. The</w:t>
      </w:r>
      <w:r>
        <w:rPr>
          <w:rFonts w:ascii="Arial" w:hAnsi="Arial" w:cs="Arial"/>
          <w:lang w:val="en-GB"/>
        </w:rPr>
        <w:t xml:space="preserve"> </w:t>
      </w:r>
      <w:r w:rsidRPr="00F26A16">
        <w:rPr>
          <w:rFonts w:ascii="Arial" w:hAnsi="Arial" w:cs="Arial"/>
          <w:lang w:val="en-GB"/>
        </w:rPr>
        <w:t>1987</w:t>
      </w:r>
      <w:r>
        <w:rPr>
          <w:rFonts w:ascii="Arial" w:hAnsi="Arial" w:cs="Arial"/>
          <w:lang w:val="en-GB"/>
        </w:rPr>
        <w:t xml:space="preserve"> </w:t>
      </w:r>
      <w:r w:rsidRPr="00F26A16">
        <w:rPr>
          <w:rFonts w:ascii="Arial" w:hAnsi="Arial" w:cs="Arial"/>
          <w:lang w:val="en-GB"/>
        </w:rPr>
        <w:t>Philippine Constitution promotes social justice and values the dignity of every</w:t>
      </w:r>
      <w:r>
        <w:rPr>
          <w:rFonts w:ascii="Arial" w:hAnsi="Arial" w:cs="Arial"/>
          <w:lang w:val="en-GB"/>
        </w:rPr>
        <w:t xml:space="preserve"> </w:t>
      </w:r>
      <w:r w:rsidRPr="00F26A16">
        <w:rPr>
          <w:rFonts w:ascii="Arial" w:hAnsi="Arial" w:cs="Arial"/>
          <w:lang w:val="en-GB"/>
        </w:rPr>
        <w:t>human person and guarantees full respect for human rights. Several laws provide legal</w:t>
      </w:r>
      <w:r>
        <w:rPr>
          <w:rFonts w:ascii="Arial" w:hAnsi="Arial" w:cs="Arial"/>
          <w:lang w:val="en-GB"/>
        </w:rPr>
        <w:t xml:space="preserve"> </w:t>
      </w:r>
      <w:r w:rsidRPr="00F26A16">
        <w:rPr>
          <w:rFonts w:ascii="Arial" w:hAnsi="Arial" w:cs="Arial"/>
          <w:lang w:val="en-GB"/>
        </w:rPr>
        <w:t>framework on the promotion of gender expression, prohibition of gender discrimination</w:t>
      </w:r>
      <w:r>
        <w:rPr>
          <w:rFonts w:ascii="Arial" w:hAnsi="Arial" w:cs="Arial"/>
          <w:lang w:val="en-GB"/>
        </w:rPr>
        <w:t xml:space="preserve"> </w:t>
      </w:r>
      <w:r w:rsidRPr="00F26A16">
        <w:rPr>
          <w:rFonts w:ascii="Arial" w:hAnsi="Arial" w:cs="Arial"/>
          <w:lang w:val="en-GB"/>
        </w:rPr>
        <w:t>and gender-based violence, including:</w:t>
      </w:r>
    </w:p>
    <w:p w14:paraId="599548CC" w14:textId="4F16943F" w:rsidR="00F26A16" w:rsidRDefault="00F26A16" w:rsidP="00F26A16">
      <w:pPr>
        <w:pStyle w:val="ListParagraph"/>
        <w:ind w:left="426"/>
        <w:jc w:val="both"/>
        <w:rPr>
          <w:rFonts w:ascii="Arial" w:hAnsi="Arial" w:cs="Arial"/>
          <w:lang w:val="en-GB"/>
        </w:rPr>
      </w:pPr>
    </w:p>
    <w:p w14:paraId="620CE030" w14:textId="60767A43" w:rsidR="002E34C7" w:rsidRDefault="00F26A16" w:rsidP="002E34C7">
      <w:pPr>
        <w:pStyle w:val="ListParagraph"/>
        <w:numPr>
          <w:ilvl w:val="0"/>
          <w:numId w:val="20"/>
        </w:numPr>
        <w:ind w:left="709" w:hanging="283"/>
        <w:jc w:val="both"/>
        <w:rPr>
          <w:rFonts w:ascii="Arial" w:hAnsi="Arial" w:cs="Arial"/>
          <w:lang w:val="en-GB"/>
        </w:rPr>
      </w:pPr>
      <w:r w:rsidRPr="002E34C7">
        <w:rPr>
          <w:rFonts w:ascii="Arial" w:hAnsi="Arial" w:cs="Arial"/>
          <w:b/>
          <w:bCs/>
          <w:lang w:val="en-GB"/>
        </w:rPr>
        <w:t>Republic Act No. 9710 "The Magna Carta of Women"</w:t>
      </w:r>
      <w:r w:rsidRPr="00F26A16">
        <w:rPr>
          <w:rFonts w:ascii="Arial" w:hAnsi="Arial" w:cs="Arial"/>
          <w:lang w:val="en-GB"/>
        </w:rPr>
        <w:t xml:space="preserve"> condemns discrimination</w:t>
      </w:r>
      <w:r>
        <w:rPr>
          <w:rFonts w:ascii="Arial" w:hAnsi="Arial" w:cs="Arial"/>
          <w:lang w:val="en-GB"/>
        </w:rPr>
        <w:t xml:space="preserve"> </w:t>
      </w:r>
      <w:r w:rsidRPr="00F26A16">
        <w:rPr>
          <w:rFonts w:ascii="Arial" w:hAnsi="Arial" w:cs="Arial"/>
          <w:lang w:val="en-GB"/>
        </w:rPr>
        <w:t>against women in all forms and affirms women's rights as human rights. The said Act</w:t>
      </w:r>
      <w:r>
        <w:rPr>
          <w:rFonts w:ascii="Arial" w:hAnsi="Arial" w:cs="Arial"/>
          <w:lang w:val="en-GB"/>
        </w:rPr>
        <w:t xml:space="preserve"> </w:t>
      </w:r>
      <w:r w:rsidRPr="00F26A16">
        <w:rPr>
          <w:rFonts w:ascii="Arial" w:hAnsi="Arial" w:cs="Arial"/>
          <w:lang w:val="en-GB"/>
        </w:rPr>
        <w:t>provides that</w:t>
      </w:r>
      <w:r>
        <w:rPr>
          <w:rFonts w:ascii="Arial" w:hAnsi="Arial" w:cs="Arial"/>
          <w:lang w:val="en-GB"/>
        </w:rPr>
        <w:t xml:space="preserve"> </w:t>
      </w:r>
      <w:r w:rsidRPr="00F26A16">
        <w:rPr>
          <w:rFonts w:ascii="Arial" w:hAnsi="Arial" w:cs="Arial"/>
          <w:lang w:val="en-GB"/>
        </w:rPr>
        <w:t>the State shall protect women against discrimination and from violation</w:t>
      </w:r>
      <w:r>
        <w:rPr>
          <w:rFonts w:ascii="Arial" w:hAnsi="Arial" w:cs="Arial"/>
          <w:lang w:val="en-GB"/>
        </w:rPr>
        <w:t xml:space="preserve"> </w:t>
      </w:r>
      <w:r w:rsidRPr="00F26A16">
        <w:rPr>
          <w:rFonts w:ascii="Arial" w:hAnsi="Arial" w:cs="Arial"/>
          <w:lang w:val="en-GB"/>
        </w:rPr>
        <w:t xml:space="preserve">of their rights and promote and </w:t>
      </w:r>
      <w:proofErr w:type="spellStart"/>
      <w:r w:rsidRPr="00F26A16">
        <w:rPr>
          <w:rFonts w:ascii="Arial" w:hAnsi="Arial" w:cs="Arial"/>
          <w:lang w:val="en-GB"/>
        </w:rPr>
        <w:t>fulfill</w:t>
      </w:r>
      <w:proofErr w:type="spellEnd"/>
      <w:r w:rsidRPr="00F26A16">
        <w:rPr>
          <w:rFonts w:ascii="Arial" w:hAnsi="Arial" w:cs="Arial"/>
          <w:lang w:val="en-GB"/>
        </w:rPr>
        <w:t xml:space="preserve"> the rights of women in all aspects, including</w:t>
      </w:r>
      <w:r>
        <w:rPr>
          <w:rFonts w:ascii="Arial" w:hAnsi="Arial" w:cs="Arial"/>
          <w:lang w:val="en-GB"/>
        </w:rPr>
        <w:t xml:space="preserve"> </w:t>
      </w:r>
      <w:r w:rsidRPr="00F26A16">
        <w:rPr>
          <w:rFonts w:ascii="Arial" w:hAnsi="Arial" w:cs="Arial"/>
          <w:lang w:val="en-GB"/>
        </w:rPr>
        <w:t>equality and non-discrimination such as right to representation and participation,</w:t>
      </w:r>
      <w:r>
        <w:rPr>
          <w:rFonts w:ascii="Arial" w:hAnsi="Arial" w:cs="Arial"/>
          <w:lang w:val="en-GB"/>
        </w:rPr>
        <w:t xml:space="preserve"> </w:t>
      </w:r>
      <w:r w:rsidRPr="00F26A16">
        <w:rPr>
          <w:rFonts w:ascii="Arial" w:hAnsi="Arial" w:cs="Arial"/>
          <w:lang w:val="en-GB"/>
        </w:rPr>
        <w:t>health, work, among others. Violations of which are punishable. Additionally, the said</w:t>
      </w:r>
      <w:r>
        <w:rPr>
          <w:rFonts w:ascii="Arial" w:hAnsi="Arial" w:cs="Arial"/>
          <w:lang w:val="en-GB"/>
        </w:rPr>
        <w:t xml:space="preserve"> </w:t>
      </w:r>
      <w:r w:rsidRPr="00F26A16">
        <w:rPr>
          <w:rFonts w:ascii="Arial" w:hAnsi="Arial" w:cs="Arial"/>
          <w:lang w:val="en-GB"/>
        </w:rPr>
        <w:t xml:space="preserve">Act also mandates that government agencies shall give priority to the </w:t>
      </w:r>
      <w:proofErr w:type="spellStart"/>
      <w:r w:rsidRPr="00F26A16">
        <w:rPr>
          <w:rFonts w:ascii="Arial" w:hAnsi="Arial" w:cs="Arial"/>
          <w:lang w:val="en-GB"/>
        </w:rPr>
        <w:t>defense</w:t>
      </w:r>
      <w:proofErr w:type="spellEnd"/>
      <w:r w:rsidRPr="00F26A16">
        <w:rPr>
          <w:rFonts w:ascii="Arial" w:hAnsi="Arial" w:cs="Arial"/>
          <w:lang w:val="en-GB"/>
        </w:rPr>
        <w:t xml:space="preserve"> and</w:t>
      </w:r>
      <w:r>
        <w:rPr>
          <w:rFonts w:ascii="Arial" w:hAnsi="Arial" w:cs="Arial"/>
          <w:lang w:val="en-GB"/>
        </w:rPr>
        <w:t xml:space="preserve"> </w:t>
      </w:r>
      <w:r w:rsidRPr="00F26A16">
        <w:rPr>
          <w:rFonts w:ascii="Arial" w:hAnsi="Arial" w:cs="Arial"/>
          <w:lang w:val="en-GB"/>
        </w:rPr>
        <w:t>protection of women against gender-based offenses and assist them in attaining justice</w:t>
      </w:r>
      <w:r>
        <w:rPr>
          <w:rFonts w:ascii="Arial" w:hAnsi="Arial" w:cs="Arial"/>
          <w:lang w:val="en-GB"/>
        </w:rPr>
        <w:t xml:space="preserve"> </w:t>
      </w:r>
      <w:r w:rsidRPr="00F26A16">
        <w:rPr>
          <w:rFonts w:ascii="Arial" w:hAnsi="Arial" w:cs="Arial"/>
          <w:lang w:val="en-GB"/>
        </w:rPr>
        <w:t>and healing. Further, the Act mandates the establishment of Violence Against</w:t>
      </w:r>
      <w:r>
        <w:rPr>
          <w:rFonts w:ascii="Arial" w:hAnsi="Arial" w:cs="Arial"/>
          <w:lang w:val="en-GB"/>
        </w:rPr>
        <w:t xml:space="preserve"> </w:t>
      </w:r>
      <w:r w:rsidRPr="00F26A16">
        <w:rPr>
          <w:rFonts w:ascii="Arial" w:hAnsi="Arial" w:cs="Arial"/>
          <w:lang w:val="en-GB"/>
        </w:rPr>
        <w:t xml:space="preserve">Women's Desk in every barangay and </w:t>
      </w:r>
      <w:proofErr w:type="gramStart"/>
      <w:r w:rsidRPr="00F26A16">
        <w:rPr>
          <w:rFonts w:ascii="Arial" w:hAnsi="Arial" w:cs="Arial"/>
          <w:lang w:val="en-GB"/>
        </w:rPr>
        <w:t>that</w:t>
      </w:r>
      <w:r w:rsidR="002E34C7">
        <w:rPr>
          <w:rFonts w:ascii="Arial" w:hAnsi="Arial" w:cs="Arial"/>
          <w:lang w:val="en-GB"/>
        </w:rPr>
        <w:t xml:space="preserve"> </w:t>
      </w:r>
      <w:r w:rsidRPr="00F26A16">
        <w:rPr>
          <w:rFonts w:ascii="Arial" w:hAnsi="Arial" w:cs="Arial"/>
          <w:lang w:val="en-GB"/>
        </w:rPr>
        <w:t>all government personnel</w:t>
      </w:r>
      <w:proofErr w:type="gramEnd"/>
      <w:r w:rsidRPr="00F26A16">
        <w:rPr>
          <w:rFonts w:ascii="Arial" w:hAnsi="Arial" w:cs="Arial"/>
          <w:lang w:val="en-GB"/>
        </w:rPr>
        <w:t xml:space="preserve"> involved in the</w:t>
      </w:r>
      <w:r w:rsidR="001C2040">
        <w:rPr>
          <w:rFonts w:ascii="Arial" w:hAnsi="Arial" w:cs="Arial"/>
          <w:lang w:val="en-GB"/>
        </w:rPr>
        <w:t xml:space="preserve"> </w:t>
      </w:r>
      <w:r w:rsidR="001C2040" w:rsidRPr="001C2040">
        <w:rPr>
          <w:rFonts w:ascii="Arial" w:hAnsi="Arial" w:cs="Arial"/>
          <w:lang w:val="en-GB"/>
        </w:rPr>
        <w:t>protection and defence of women shall undergo mandatory training on human rights</w:t>
      </w:r>
      <w:r w:rsidR="001C2040">
        <w:rPr>
          <w:rFonts w:ascii="Arial" w:hAnsi="Arial" w:cs="Arial"/>
          <w:lang w:val="en-GB"/>
        </w:rPr>
        <w:t xml:space="preserve"> </w:t>
      </w:r>
      <w:r w:rsidR="001C2040" w:rsidRPr="001C2040">
        <w:rPr>
          <w:rFonts w:ascii="Arial" w:hAnsi="Arial" w:cs="Arial"/>
          <w:lang w:val="en-GB"/>
        </w:rPr>
        <w:t>and gender sensitivity to ensure that cases of violence against women be fully</w:t>
      </w:r>
      <w:r w:rsidR="001C2040">
        <w:rPr>
          <w:rFonts w:ascii="Arial" w:hAnsi="Arial" w:cs="Arial"/>
          <w:lang w:val="en-GB"/>
        </w:rPr>
        <w:t xml:space="preserve"> </w:t>
      </w:r>
      <w:r w:rsidR="001C2040" w:rsidRPr="001C2040">
        <w:rPr>
          <w:rFonts w:ascii="Arial" w:hAnsi="Arial" w:cs="Arial"/>
          <w:lang w:val="en-GB"/>
        </w:rPr>
        <w:t>addressed in a gender-responsive manner.</w:t>
      </w:r>
    </w:p>
    <w:p w14:paraId="098008D4" w14:textId="77777777" w:rsidR="002E34C7" w:rsidRDefault="002E34C7" w:rsidP="002E34C7">
      <w:pPr>
        <w:pStyle w:val="ListParagraph"/>
        <w:ind w:left="709"/>
        <w:jc w:val="both"/>
        <w:rPr>
          <w:rFonts w:ascii="Arial" w:hAnsi="Arial" w:cs="Arial"/>
          <w:lang w:val="en-GB"/>
        </w:rPr>
      </w:pPr>
    </w:p>
    <w:p w14:paraId="5A542DB5" w14:textId="170329F7" w:rsidR="001C2040" w:rsidRDefault="002E34C7" w:rsidP="002E34C7">
      <w:pPr>
        <w:pStyle w:val="ListParagraph"/>
        <w:numPr>
          <w:ilvl w:val="0"/>
          <w:numId w:val="20"/>
        </w:numPr>
        <w:ind w:left="709" w:hanging="283"/>
        <w:jc w:val="both"/>
        <w:rPr>
          <w:rFonts w:ascii="Arial" w:hAnsi="Arial" w:cs="Arial"/>
          <w:lang w:val="en-GB"/>
        </w:rPr>
      </w:pPr>
      <w:r w:rsidRPr="002E34C7">
        <w:rPr>
          <w:rFonts w:ascii="Arial" w:hAnsi="Arial" w:cs="Arial"/>
          <w:b/>
          <w:bCs/>
          <w:lang w:val="en-GB"/>
        </w:rPr>
        <w:t>Republic Act No.1 0354 "The Responsible Parenthood and Reproductive Health Act of 2012"</w:t>
      </w:r>
      <w:r w:rsidRPr="002E34C7">
        <w:rPr>
          <w:rFonts w:ascii="Arial" w:hAnsi="Arial" w:cs="Arial"/>
          <w:lang w:val="en-GB"/>
        </w:rPr>
        <w:t xml:space="preserve"> provides that Filipinos shall be given with reproductive health services</w:t>
      </w:r>
      <w:r>
        <w:rPr>
          <w:rFonts w:ascii="Arial" w:hAnsi="Arial" w:cs="Arial"/>
          <w:lang w:val="en-GB"/>
        </w:rPr>
        <w:t xml:space="preserve"> </w:t>
      </w:r>
      <w:r w:rsidRPr="002E34C7">
        <w:rPr>
          <w:rFonts w:ascii="Arial" w:hAnsi="Arial" w:cs="Arial"/>
          <w:lang w:val="en-GB"/>
        </w:rPr>
        <w:t>including elimination of violence against women and children and other forms of</w:t>
      </w:r>
      <w:r>
        <w:rPr>
          <w:rFonts w:ascii="Arial" w:hAnsi="Arial" w:cs="Arial"/>
          <w:lang w:val="en-GB"/>
        </w:rPr>
        <w:t xml:space="preserve"> </w:t>
      </w:r>
      <w:r w:rsidRPr="002E34C7">
        <w:rPr>
          <w:rFonts w:ascii="Arial" w:hAnsi="Arial" w:cs="Arial"/>
          <w:lang w:val="en-GB"/>
        </w:rPr>
        <w:t>gender</w:t>
      </w:r>
      <w:r w:rsidR="00664C18">
        <w:rPr>
          <w:rFonts w:ascii="Arial" w:hAnsi="Arial" w:cs="Arial"/>
          <w:lang w:val="en-GB"/>
        </w:rPr>
        <w:t>-</w:t>
      </w:r>
      <w:r w:rsidRPr="002E34C7">
        <w:rPr>
          <w:rFonts w:ascii="Arial" w:hAnsi="Arial" w:cs="Arial"/>
          <w:lang w:val="en-GB"/>
        </w:rPr>
        <w:t>based violence. Refusal of providing health care services on account of</w:t>
      </w:r>
      <w:r>
        <w:rPr>
          <w:rFonts w:ascii="Arial" w:hAnsi="Arial" w:cs="Arial"/>
          <w:lang w:val="en-GB"/>
        </w:rPr>
        <w:t xml:space="preserve"> </w:t>
      </w:r>
      <w:r w:rsidRPr="002E34C7">
        <w:rPr>
          <w:rFonts w:ascii="Arial" w:hAnsi="Arial" w:cs="Arial"/>
          <w:lang w:val="en-GB"/>
        </w:rPr>
        <w:t>gender, among other things, shall be penalized by either fine, imprisonment, or both.</w:t>
      </w:r>
    </w:p>
    <w:p w14:paraId="6AB5C068" w14:textId="77777777" w:rsidR="00025AB0" w:rsidRPr="00025AB0" w:rsidRDefault="00025AB0" w:rsidP="00025AB0">
      <w:pPr>
        <w:pStyle w:val="ListParagraph"/>
        <w:rPr>
          <w:rFonts w:ascii="Arial" w:hAnsi="Arial" w:cs="Arial"/>
          <w:lang w:val="en-GB"/>
        </w:rPr>
      </w:pPr>
    </w:p>
    <w:p w14:paraId="22B1CCA3" w14:textId="355D686F" w:rsidR="00F26A16" w:rsidRPr="000A4910" w:rsidRDefault="00025AB0" w:rsidP="000A4910">
      <w:pPr>
        <w:pStyle w:val="ListParagraph"/>
        <w:numPr>
          <w:ilvl w:val="0"/>
          <w:numId w:val="20"/>
        </w:numPr>
        <w:ind w:left="709" w:hanging="283"/>
        <w:jc w:val="both"/>
        <w:rPr>
          <w:rFonts w:ascii="Arial" w:hAnsi="Arial" w:cs="Arial"/>
          <w:b/>
          <w:bCs/>
          <w:lang w:val="en-GB"/>
        </w:rPr>
      </w:pPr>
      <w:r w:rsidRPr="00025AB0">
        <w:rPr>
          <w:rFonts w:ascii="Arial" w:hAnsi="Arial" w:cs="Arial"/>
          <w:b/>
          <w:bCs/>
          <w:lang w:val="en-GB"/>
        </w:rPr>
        <w:lastRenderedPageBreak/>
        <w:t>Administrative Order No. 2013-0011 "Revised Policy on the Establishment of</w:t>
      </w:r>
      <w:r w:rsidR="000A4910">
        <w:rPr>
          <w:rFonts w:ascii="Arial" w:hAnsi="Arial" w:cs="Arial"/>
          <w:b/>
          <w:bCs/>
          <w:lang w:val="en-GB"/>
        </w:rPr>
        <w:t xml:space="preserve"> </w:t>
      </w:r>
      <w:r w:rsidRPr="000A4910">
        <w:rPr>
          <w:rFonts w:ascii="Arial" w:hAnsi="Arial" w:cs="Arial"/>
          <w:b/>
          <w:bCs/>
          <w:lang w:val="en-GB"/>
        </w:rPr>
        <w:t>Women and Their Children Protection Units in All Government Hospitals"</w:t>
      </w:r>
      <w:r w:rsidRPr="000A4910">
        <w:rPr>
          <w:rFonts w:ascii="Arial" w:hAnsi="Arial" w:cs="Arial"/>
          <w:lang w:val="en-GB"/>
        </w:rPr>
        <w:t xml:space="preserve"> provides for the institutionalization and standardization in the provision of quality health service delivery in all women and children protection units at all levels of care. The said Order likewise provides the provision of services at all levels of care, referral, health worker training, members of</w:t>
      </w:r>
      <w:r w:rsidR="000A4910">
        <w:rPr>
          <w:rFonts w:ascii="Arial" w:hAnsi="Arial" w:cs="Arial"/>
          <w:lang w:val="en-GB"/>
        </w:rPr>
        <w:t xml:space="preserve"> </w:t>
      </w:r>
      <w:r w:rsidRPr="000A4910">
        <w:rPr>
          <w:rFonts w:ascii="Arial" w:hAnsi="Arial" w:cs="Arial"/>
          <w:lang w:val="en-GB"/>
        </w:rPr>
        <w:t>the team per level of care, and research.</w:t>
      </w:r>
    </w:p>
    <w:p w14:paraId="47E88118" w14:textId="77777777" w:rsidR="000A4910" w:rsidRPr="000A4910" w:rsidRDefault="000A4910" w:rsidP="000A4910">
      <w:pPr>
        <w:pStyle w:val="ListParagraph"/>
        <w:rPr>
          <w:rFonts w:ascii="Arial" w:hAnsi="Arial" w:cs="Arial"/>
          <w:b/>
          <w:bCs/>
          <w:lang w:val="en-GB"/>
        </w:rPr>
      </w:pPr>
    </w:p>
    <w:p w14:paraId="322CA84C" w14:textId="19EDFD49" w:rsidR="000A4910" w:rsidRPr="00F379BC" w:rsidRDefault="000A4910" w:rsidP="000A4910">
      <w:pPr>
        <w:pStyle w:val="ListParagraph"/>
        <w:numPr>
          <w:ilvl w:val="0"/>
          <w:numId w:val="20"/>
        </w:numPr>
        <w:ind w:left="709" w:hanging="283"/>
        <w:jc w:val="both"/>
        <w:rPr>
          <w:rFonts w:ascii="Arial" w:hAnsi="Arial" w:cs="Arial"/>
          <w:b/>
          <w:bCs/>
          <w:lang w:val="en-GB"/>
        </w:rPr>
      </w:pPr>
      <w:r w:rsidRPr="000A4910">
        <w:rPr>
          <w:rFonts w:ascii="Arial" w:hAnsi="Arial" w:cs="Arial"/>
          <w:b/>
          <w:bCs/>
          <w:lang w:val="en-GB"/>
        </w:rPr>
        <w:t>Republic Act No. 11166 "Philippine HIV and AIDS Policy Act"</w:t>
      </w:r>
      <w:r w:rsidRPr="000A4910">
        <w:rPr>
          <w:rFonts w:ascii="Arial" w:hAnsi="Arial" w:cs="Arial"/>
          <w:lang w:val="en-GB"/>
        </w:rPr>
        <w:t xml:space="preserve"> prohibits</w:t>
      </w:r>
      <w:r>
        <w:rPr>
          <w:rFonts w:ascii="Arial" w:hAnsi="Arial" w:cs="Arial"/>
          <w:lang w:val="en-GB"/>
        </w:rPr>
        <w:t xml:space="preserve"> </w:t>
      </w:r>
      <w:r w:rsidRPr="000A4910">
        <w:rPr>
          <w:rFonts w:ascii="Arial" w:hAnsi="Arial" w:cs="Arial"/>
          <w:lang w:val="en-GB"/>
        </w:rPr>
        <w:t>discrimination of</w:t>
      </w:r>
      <w:r>
        <w:rPr>
          <w:rFonts w:ascii="Arial" w:hAnsi="Arial" w:cs="Arial"/>
          <w:lang w:val="en-GB"/>
        </w:rPr>
        <w:t xml:space="preserve"> </w:t>
      </w:r>
      <w:r w:rsidRPr="000A4910">
        <w:rPr>
          <w:rFonts w:ascii="Arial" w:hAnsi="Arial" w:cs="Arial"/>
          <w:lang w:val="en-GB"/>
        </w:rPr>
        <w:t>persons on the basis of perceived or actual HIV status, sex, gender,</w:t>
      </w:r>
      <w:r>
        <w:rPr>
          <w:rFonts w:ascii="Arial" w:hAnsi="Arial" w:cs="Arial"/>
          <w:lang w:val="en-GB"/>
        </w:rPr>
        <w:t xml:space="preserve"> </w:t>
      </w:r>
      <w:r w:rsidRPr="000A4910">
        <w:rPr>
          <w:rFonts w:ascii="Arial" w:hAnsi="Arial" w:cs="Arial"/>
          <w:lang w:val="en-GB"/>
        </w:rPr>
        <w:t>sexual orien</w:t>
      </w:r>
      <w:r w:rsidR="00664C18">
        <w:rPr>
          <w:rFonts w:ascii="Arial" w:hAnsi="Arial" w:cs="Arial"/>
          <w:lang w:val="en-GB"/>
        </w:rPr>
        <w:t>t</w:t>
      </w:r>
      <w:r w:rsidRPr="000A4910">
        <w:rPr>
          <w:rFonts w:ascii="Arial" w:hAnsi="Arial" w:cs="Arial"/>
          <w:lang w:val="en-GB"/>
        </w:rPr>
        <w:t>ation,</w:t>
      </w:r>
      <w:r>
        <w:rPr>
          <w:rFonts w:ascii="Arial" w:hAnsi="Arial" w:cs="Arial"/>
          <w:lang w:val="en-GB"/>
        </w:rPr>
        <w:t xml:space="preserve"> </w:t>
      </w:r>
      <w:r w:rsidRPr="000A4910">
        <w:rPr>
          <w:rFonts w:ascii="Arial" w:hAnsi="Arial" w:cs="Arial"/>
          <w:lang w:val="en-GB"/>
        </w:rPr>
        <w:t>gender identity, gender expression, disability, among others, in</w:t>
      </w:r>
      <w:r>
        <w:rPr>
          <w:rFonts w:ascii="Arial" w:hAnsi="Arial" w:cs="Arial"/>
          <w:lang w:val="en-GB"/>
        </w:rPr>
        <w:t xml:space="preserve"> </w:t>
      </w:r>
      <w:r w:rsidRPr="000A4910">
        <w:rPr>
          <w:rFonts w:ascii="Arial" w:hAnsi="Arial" w:cs="Arial"/>
          <w:lang w:val="en-GB"/>
        </w:rPr>
        <w:t>various settings such as in workplace, learning institutions, travel, healthcare facilities</w:t>
      </w:r>
      <w:r>
        <w:rPr>
          <w:rFonts w:ascii="Arial" w:hAnsi="Arial" w:cs="Arial"/>
          <w:lang w:val="en-GB"/>
        </w:rPr>
        <w:t xml:space="preserve"> </w:t>
      </w:r>
      <w:r w:rsidRPr="000A4910">
        <w:rPr>
          <w:rFonts w:ascii="Arial" w:hAnsi="Arial" w:cs="Arial"/>
          <w:lang w:val="en-GB"/>
        </w:rPr>
        <w:t>etc. Violations of such are punishable with either fine, imprisonment, or both.</w:t>
      </w:r>
    </w:p>
    <w:p w14:paraId="772ECC39" w14:textId="77777777" w:rsidR="00F379BC" w:rsidRPr="00F379BC" w:rsidRDefault="00F379BC" w:rsidP="00F379BC">
      <w:pPr>
        <w:pStyle w:val="ListParagraph"/>
        <w:rPr>
          <w:rFonts w:ascii="Arial" w:hAnsi="Arial" w:cs="Arial"/>
          <w:b/>
          <w:bCs/>
          <w:lang w:val="en-GB"/>
        </w:rPr>
      </w:pPr>
    </w:p>
    <w:p w14:paraId="5F0CE8F6" w14:textId="0F807AF2" w:rsidR="00F26A16" w:rsidRPr="00495E33" w:rsidRDefault="00F379BC" w:rsidP="00F379BC">
      <w:pPr>
        <w:pStyle w:val="ListParagraph"/>
        <w:numPr>
          <w:ilvl w:val="0"/>
          <w:numId w:val="20"/>
        </w:numPr>
        <w:ind w:left="709" w:hanging="283"/>
        <w:jc w:val="both"/>
        <w:rPr>
          <w:rFonts w:ascii="Arial" w:hAnsi="Arial" w:cs="Arial"/>
          <w:b/>
          <w:bCs/>
          <w:lang w:val="en-GB"/>
        </w:rPr>
      </w:pPr>
      <w:r w:rsidRPr="00F379BC">
        <w:rPr>
          <w:rFonts w:ascii="Arial" w:hAnsi="Arial" w:cs="Arial"/>
          <w:b/>
          <w:bCs/>
          <w:lang w:val="en-GB"/>
        </w:rPr>
        <w:t xml:space="preserve">Batas Pambansa </w:t>
      </w:r>
      <w:proofErr w:type="spellStart"/>
      <w:r w:rsidRPr="00F379BC">
        <w:rPr>
          <w:rFonts w:ascii="Arial" w:hAnsi="Arial" w:cs="Arial"/>
          <w:b/>
          <w:bCs/>
          <w:lang w:val="en-GB"/>
        </w:rPr>
        <w:t>BIg</w:t>
      </w:r>
      <w:proofErr w:type="spellEnd"/>
      <w:r w:rsidRPr="00F379BC">
        <w:rPr>
          <w:rFonts w:ascii="Arial" w:hAnsi="Arial" w:cs="Arial"/>
          <w:b/>
          <w:bCs/>
          <w:lang w:val="en-GB"/>
        </w:rPr>
        <w:t>. 344 series of 1982 "An Act to Enhance the Mobility of Disabled Persons by Requiring Certain Buildings, Institutions, Establishments and Public Utilities to Install Facilities and Other Devices,"</w:t>
      </w:r>
      <w:r w:rsidRPr="00F379BC">
        <w:rPr>
          <w:rFonts w:ascii="Arial" w:hAnsi="Arial" w:cs="Arial"/>
          <w:lang w:val="en-GB"/>
        </w:rPr>
        <w:t xml:space="preserve"> provides for the enhancement of the</w:t>
      </w:r>
      <w:r>
        <w:rPr>
          <w:rFonts w:ascii="Arial" w:hAnsi="Arial" w:cs="Arial"/>
          <w:lang w:val="en-GB"/>
        </w:rPr>
        <w:t xml:space="preserve"> </w:t>
      </w:r>
      <w:r w:rsidRPr="00F379BC">
        <w:rPr>
          <w:rFonts w:ascii="Arial" w:hAnsi="Arial" w:cs="Arial"/>
          <w:lang w:val="en-GB"/>
        </w:rPr>
        <w:t>mobility of</w:t>
      </w:r>
      <w:r>
        <w:rPr>
          <w:rFonts w:ascii="Arial" w:hAnsi="Arial" w:cs="Arial"/>
          <w:lang w:val="en-GB"/>
        </w:rPr>
        <w:t xml:space="preserve"> </w:t>
      </w:r>
      <w:r w:rsidRPr="00F379BC">
        <w:rPr>
          <w:rFonts w:ascii="Arial" w:hAnsi="Arial" w:cs="Arial"/>
          <w:lang w:val="en-GB"/>
        </w:rPr>
        <w:t>disabled persons by requiring buildings, institutions, establishments and</w:t>
      </w:r>
      <w:r>
        <w:rPr>
          <w:rFonts w:ascii="Arial" w:hAnsi="Arial" w:cs="Arial"/>
          <w:lang w:val="en-GB"/>
        </w:rPr>
        <w:t xml:space="preserve"> </w:t>
      </w:r>
      <w:r w:rsidRPr="00F379BC">
        <w:rPr>
          <w:rFonts w:ascii="Arial" w:hAnsi="Arial" w:cs="Arial"/>
          <w:lang w:val="en-GB"/>
        </w:rPr>
        <w:t>other public utilities to install facilities and other devices to enhance the mobility of</w:t>
      </w:r>
      <w:r>
        <w:rPr>
          <w:rFonts w:ascii="Arial" w:hAnsi="Arial" w:cs="Arial"/>
          <w:lang w:val="en-GB"/>
        </w:rPr>
        <w:t xml:space="preserve"> </w:t>
      </w:r>
      <w:r w:rsidRPr="00F379BC">
        <w:rPr>
          <w:rFonts w:ascii="Arial" w:hAnsi="Arial" w:cs="Arial"/>
          <w:lang w:val="en-GB"/>
        </w:rPr>
        <w:t>persons with disabilities.</w:t>
      </w:r>
    </w:p>
    <w:p w14:paraId="4C255723" w14:textId="77777777" w:rsidR="00495E33" w:rsidRPr="00495E33" w:rsidRDefault="00495E33" w:rsidP="00495E33">
      <w:pPr>
        <w:pStyle w:val="ListParagraph"/>
        <w:rPr>
          <w:rFonts w:ascii="Arial" w:hAnsi="Arial" w:cs="Arial"/>
          <w:b/>
          <w:bCs/>
          <w:lang w:val="en-GB"/>
        </w:rPr>
      </w:pPr>
    </w:p>
    <w:p w14:paraId="0A8130A9" w14:textId="6C834130" w:rsidR="00495E33" w:rsidRPr="003315CC" w:rsidRDefault="00495E33" w:rsidP="00495E33">
      <w:pPr>
        <w:pStyle w:val="ListParagraph"/>
        <w:numPr>
          <w:ilvl w:val="0"/>
          <w:numId w:val="20"/>
        </w:numPr>
        <w:ind w:left="709" w:hanging="283"/>
        <w:jc w:val="both"/>
        <w:rPr>
          <w:rFonts w:ascii="Arial" w:hAnsi="Arial" w:cs="Arial"/>
          <w:b/>
          <w:bCs/>
          <w:lang w:val="en-GB"/>
        </w:rPr>
      </w:pPr>
      <w:r w:rsidRPr="000879EA">
        <w:rPr>
          <w:rFonts w:ascii="Arial" w:hAnsi="Arial" w:cs="Arial"/>
          <w:b/>
          <w:bCs/>
          <w:lang w:val="en-GB"/>
        </w:rPr>
        <w:t>Republic Act No. 7277 "Magna Carta for Disabled Persons"</w:t>
      </w:r>
      <w:r w:rsidRPr="00495E33">
        <w:rPr>
          <w:rFonts w:ascii="Arial" w:hAnsi="Arial" w:cs="Arial"/>
          <w:lang w:val="en-GB"/>
        </w:rPr>
        <w:t xml:space="preserve"> ensures rehabilitation,</w:t>
      </w:r>
      <w:r>
        <w:rPr>
          <w:rFonts w:ascii="Arial" w:hAnsi="Arial" w:cs="Arial"/>
          <w:lang w:val="en-GB"/>
        </w:rPr>
        <w:t xml:space="preserve"> </w:t>
      </w:r>
      <w:r w:rsidRPr="00495E33">
        <w:rPr>
          <w:rFonts w:ascii="Arial" w:hAnsi="Arial" w:cs="Arial"/>
          <w:lang w:val="en-GB"/>
        </w:rPr>
        <w:t>self-development and self-reliance and provides for equal opportunity for</w:t>
      </w:r>
      <w:r>
        <w:rPr>
          <w:rFonts w:ascii="Arial" w:hAnsi="Arial" w:cs="Arial"/>
          <w:lang w:val="en-GB"/>
        </w:rPr>
        <w:t xml:space="preserve"> </w:t>
      </w:r>
      <w:r w:rsidRPr="00495E33">
        <w:rPr>
          <w:rFonts w:ascii="Arial" w:hAnsi="Arial" w:cs="Arial"/>
          <w:lang w:val="en-GB"/>
        </w:rPr>
        <w:t>employment for persons with disabilities. The following acts are punishable:</w:t>
      </w:r>
      <w:r>
        <w:rPr>
          <w:rFonts w:ascii="Arial" w:hAnsi="Arial" w:cs="Arial"/>
          <w:lang w:val="en-GB"/>
        </w:rPr>
        <w:t xml:space="preserve"> </w:t>
      </w:r>
      <w:r w:rsidRPr="00495E33">
        <w:rPr>
          <w:rFonts w:ascii="Arial" w:hAnsi="Arial" w:cs="Arial"/>
          <w:lang w:val="en-GB"/>
        </w:rPr>
        <w:t>discrimination during elections, transportation, use of public accommodations and</w:t>
      </w:r>
      <w:r>
        <w:rPr>
          <w:rFonts w:ascii="Arial" w:hAnsi="Arial" w:cs="Arial"/>
          <w:lang w:val="en-GB"/>
        </w:rPr>
        <w:t xml:space="preserve"> </w:t>
      </w:r>
      <w:r w:rsidRPr="00495E33">
        <w:rPr>
          <w:rFonts w:ascii="Arial" w:hAnsi="Arial" w:cs="Arial"/>
          <w:lang w:val="en-GB"/>
        </w:rPr>
        <w:t>services, employment; public ridicule, vilification; violation of privileges and</w:t>
      </w:r>
      <w:r>
        <w:rPr>
          <w:rFonts w:ascii="Arial" w:hAnsi="Arial" w:cs="Arial"/>
          <w:lang w:val="en-GB"/>
        </w:rPr>
        <w:t xml:space="preserve"> </w:t>
      </w:r>
      <w:r w:rsidRPr="00495E33">
        <w:rPr>
          <w:rFonts w:ascii="Arial" w:hAnsi="Arial" w:cs="Arial"/>
          <w:lang w:val="en-GB"/>
        </w:rPr>
        <w:t>incentives of persons with disabilities among others.</w:t>
      </w:r>
    </w:p>
    <w:p w14:paraId="054B8F43" w14:textId="77777777" w:rsidR="003315CC" w:rsidRPr="003315CC" w:rsidRDefault="003315CC" w:rsidP="003315CC">
      <w:pPr>
        <w:pStyle w:val="ListParagraph"/>
        <w:rPr>
          <w:rFonts w:ascii="Arial" w:hAnsi="Arial" w:cs="Arial"/>
          <w:b/>
          <w:bCs/>
          <w:lang w:val="en-GB"/>
        </w:rPr>
      </w:pPr>
    </w:p>
    <w:p w14:paraId="2F986318" w14:textId="734637B7" w:rsidR="00B5169A" w:rsidRPr="00B5169A" w:rsidRDefault="00C952B6" w:rsidP="00B5169A">
      <w:pPr>
        <w:pStyle w:val="ListParagraph"/>
        <w:numPr>
          <w:ilvl w:val="0"/>
          <w:numId w:val="20"/>
        </w:numPr>
        <w:ind w:left="709" w:hanging="283"/>
        <w:jc w:val="both"/>
        <w:rPr>
          <w:rFonts w:ascii="Arial" w:hAnsi="Arial" w:cs="Arial"/>
          <w:b/>
          <w:bCs/>
          <w:lang w:val="en-GB"/>
        </w:rPr>
      </w:pPr>
      <w:r w:rsidRPr="00C952B6">
        <w:rPr>
          <w:rFonts w:ascii="Arial" w:hAnsi="Arial" w:cs="Arial"/>
          <w:b/>
          <w:bCs/>
          <w:lang w:val="en-GB"/>
        </w:rPr>
        <w:t>Administrative Order No. 2009-0011</w:t>
      </w:r>
      <w:r w:rsidRPr="00C952B6">
        <w:rPr>
          <w:rFonts w:ascii="Arial" w:hAnsi="Arial" w:cs="Arial"/>
          <w:lang w:val="en-GB"/>
        </w:rPr>
        <w:t xml:space="preserve"> "Guidelines to Implement the Provisions of Republic Act 9442, Otherwise known as </w:t>
      </w:r>
      <w:r w:rsidRPr="000879EA">
        <w:rPr>
          <w:rFonts w:ascii="Arial" w:hAnsi="Arial" w:cs="Arial"/>
          <w:b/>
          <w:bCs/>
          <w:lang w:val="en-GB"/>
        </w:rPr>
        <w:t>"An Act Amending Republic Act No. 7277,</w:t>
      </w:r>
      <w:r w:rsidRPr="00C952B6">
        <w:rPr>
          <w:rFonts w:ascii="Arial" w:hAnsi="Arial" w:cs="Arial"/>
          <w:lang w:val="en-GB"/>
        </w:rPr>
        <w:t xml:space="preserve"> otherwise known as the </w:t>
      </w:r>
      <w:r w:rsidRPr="00C952B6">
        <w:rPr>
          <w:rFonts w:ascii="Arial" w:hAnsi="Arial" w:cs="Arial"/>
          <w:b/>
          <w:bCs/>
          <w:lang w:val="en-GB"/>
        </w:rPr>
        <w:t>"Magna Carta for Disabled Persons, and for Other Purposes,"</w:t>
      </w:r>
      <w:r w:rsidRPr="00C952B6">
        <w:rPr>
          <w:rFonts w:ascii="Arial" w:hAnsi="Arial" w:cs="Arial"/>
          <w:lang w:val="en-GB"/>
        </w:rPr>
        <w:t xml:space="preserve"> for the provision of medical and related discounts and special privileges," prescribes the procedures and guidelines for the implementation of the 20% discount in all health</w:t>
      </w:r>
      <w:r w:rsidR="00664C18">
        <w:rPr>
          <w:rFonts w:ascii="Arial" w:hAnsi="Arial" w:cs="Arial"/>
          <w:lang w:val="en-GB"/>
        </w:rPr>
        <w:t>-</w:t>
      </w:r>
      <w:r w:rsidRPr="00C952B6">
        <w:rPr>
          <w:rFonts w:ascii="Arial" w:hAnsi="Arial" w:cs="Arial"/>
          <w:lang w:val="en-GB"/>
        </w:rPr>
        <w:t>related services for persons with disabilities.</w:t>
      </w:r>
    </w:p>
    <w:p w14:paraId="041E4B71" w14:textId="77777777" w:rsidR="00B5169A" w:rsidRPr="00B5169A" w:rsidRDefault="00B5169A" w:rsidP="00B5169A">
      <w:pPr>
        <w:pStyle w:val="ListParagraph"/>
        <w:rPr>
          <w:rFonts w:ascii="Arial" w:hAnsi="Arial" w:cs="Arial"/>
          <w:lang w:val="en-GB"/>
        </w:rPr>
      </w:pPr>
    </w:p>
    <w:p w14:paraId="260921D6" w14:textId="11C1114B" w:rsidR="006D3DD3" w:rsidRPr="00B5169A" w:rsidRDefault="006D3DD3" w:rsidP="00B5169A">
      <w:pPr>
        <w:pStyle w:val="ListParagraph"/>
        <w:numPr>
          <w:ilvl w:val="0"/>
          <w:numId w:val="20"/>
        </w:numPr>
        <w:ind w:left="709" w:hanging="283"/>
        <w:jc w:val="both"/>
        <w:rPr>
          <w:rFonts w:ascii="Arial" w:hAnsi="Arial" w:cs="Arial"/>
          <w:b/>
          <w:bCs/>
          <w:lang w:val="en-GB"/>
        </w:rPr>
      </w:pPr>
      <w:r w:rsidRPr="007D1493">
        <w:rPr>
          <w:rFonts w:ascii="Arial" w:hAnsi="Arial" w:cs="Arial"/>
          <w:b/>
          <w:bCs/>
          <w:lang w:val="en-GB"/>
        </w:rPr>
        <w:t xml:space="preserve">Administrative Order No. 2015-0004 "Revised National Policy on Strengthening the Health and Wellness Program for Persons </w:t>
      </w:r>
      <w:proofErr w:type="gramStart"/>
      <w:r w:rsidRPr="007D1493">
        <w:rPr>
          <w:rFonts w:ascii="Arial" w:hAnsi="Arial" w:cs="Arial"/>
          <w:b/>
          <w:bCs/>
          <w:lang w:val="en-GB"/>
        </w:rPr>
        <w:t>With</w:t>
      </w:r>
      <w:proofErr w:type="gramEnd"/>
      <w:r w:rsidRPr="007D1493">
        <w:rPr>
          <w:rFonts w:ascii="Arial" w:hAnsi="Arial" w:cs="Arial"/>
          <w:b/>
          <w:bCs/>
          <w:lang w:val="en-GB"/>
        </w:rPr>
        <w:t xml:space="preserve"> Disabilities"</w:t>
      </w:r>
      <w:r w:rsidRPr="00B5169A">
        <w:rPr>
          <w:rFonts w:ascii="Arial" w:hAnsi="Arial" w:cs="Arial"/>
          <w:lang w:val="en-GB"/>
        </w:rPr>
        <w:t xml:space="preserve"> repealing Administrative Order No. 2006-0003, provides the Action Framework for the Health and Wellness Program of Persons with Disabilities is adapted from the three major objectives of the WHO Global Disability Action Plan 2014- 2021. As applied in the country, program actions or interventions shall focus on the following areas: 1) removal of barriers and</w:t>
      </w:r>
      <w:r w:rsidR="00B5169A" w:rsidRPr="00B5169A">
        <w:rPr>
          <w:rFonts w:ascii="Arial" w:hAnsi="Arial" w:cs="Arial"/>
          <w:lang w:val="en-GB"/>
        </w:rPr>
        <w:t xml:space="preserve"> improve access to health services and programs; (2) strengthening and expansion of</w:t>
      </w:r>
      <w:r w:rsidR="00B5169A">
        <w:rPr>
          <w:rFonts w:ascii="Arial" w:hAnsi="Arial" w:cs="Arial"/>
          <w:lang w:val="en-GB"/>
        </w:rPr>
        <w:t xml:space="preserve"> </w:t>
      </w:r>
      <w:r w:rsidR="00B5169A" w:rsidRPr="00B5169A">
        <w:rPr>
          <w:rFonts w:ascii="Arial" w:hAnsi="Arial" w:cs="Arial"/>
          <w:lang w:val="en-GB"/>
        </w:rPr>
        <w:t xml:space="preserve">rehabilitation, </w:t>
      </w:r>
      <w:proofErr w:type="spellStart"/>
      <w:r w:rsidR="00B5169A" w:rsidRPr="00B5169A">
        <w:rPr>
          <w:rFonts w:ascii="Arial" w:hAnsi="Arial" w:cs="Arial"/>
          <w:lang w:val="en-GB"/>
        </w:rPr>
        <w:t>habilitation</w:t>
      </w:r>
      <w:proofErr w:type="spellEnd"/>
      <w:r w:rsidR="00B5169A" w:rsidRPr="00B5169A">
        <w:rPr>
          <w:rFonts w:ascii="Arial" w:hAnsi="Arial" w:cs="Arial"/>
          <w:lang w:val="en-GB"/>
        </w:rPr>
        <w:t>, assistive technology, and community-based rehabilitation;</w:t>
      </w:r>
      <w:r w:rsidR="00B5169A">
        <w:rPr>
          <w:rFonts w:ascii="Arial" w:hAnsi="Arial" w:cs="Arial"/>
          <w:lang w:val="en-GB"/>
        </w:rPr>
        <w:t xml:space="preserve"> </w:t>
      </w:r>
      <w:r w:rsidR="00B5169A" w:rsidRPr="00B5169A">
        <w:rPr>
          <w:rFonts w:ascii="Arial" w:hAnsi="Arial" w:cs="Arial"/>
          <w:lang w:val="en-GB"/>
        </w:rPr>
        <w:t>(3) strengthen collection of relevant and internationally comparable data on disability</w:t>
      </w:r>
      <w:r w:rsidR="00B5169A">
        <w:rPr>
          <w:rFonts w:ascii="Arial" w:hAnsi="Arial" w:cs="Arial"/>
          <w:lang w:val="en-GB"/>
        </w:rPr>
        <w:t xml:space="preserve"> </w:t>
      </w:r>
      <w:r w:rsidR="00B5169A" w:rsidRPr="00B5169A">
        <w:rPr>
          <w:rFonts w:ascii="Arial" w:hAnsi="Arial" w:cs="Arial"/>
          <w:lang w:val="en-GB"/>
        </w:rPr>
        <w:t>and support research on disability and related services.</w:t>
      </w:r>
    </w:p>
    <w:p w14:paraId="779D02E7" w14:textId="77777777" w:rsidR="00C952B6" w:rsidRPr="00495E33" w:rsidRDefault="00C952B6" w:rsidP="00495E33">
      <w:pPr>
        <w:pStyle w:val="ListParagraph"/>
        <w:rPr>
          <w:rFonts w:ascii="Arial" w:hAnsi="Arial" w:cs="Arial"/>
          <w:b/>
          <w:bCs/>
          <w:lang w:val="en-GB"/>
        </w:rPr>
      </w:pPr>
    </w:p>
    <w:p w14:paraId="40429497" w14:textId="77777777" w:rsidR="0072008D" w:rsidRDefault="00E54C3C" w:rsidP="0072008D">
      <w:pPr>
        <w:ind w:left="426" w:hanging="426"/>
        <w:jc w:val="both"/>
        <w:rPr>
          <w:rFonts w:ascii="Arial" w:hAnsi="Arial" w:cs="Arial"/>
          <w:b/>
          <w:bCs/>
          <w:i/>
          <w:iCs/>
          <w:lang w:val="en-GB"/>
        </w:rPr>
      </w:pPr>
      <w:r>
        <w:rPr>
          <w:rFonts w:ascii="Arial" w:hAnsi="Arial" w:cs="Arial"/>
          <w:b/>
          <w:bCs/>
          <w:i/>
          <w:iCs/>
          <w:lang w:val="en-GB"/>
        </w:rPr>
        <w:t xml:space="preserve">5.   </w:t>
      </w:r>
      <w:r w:rsidR="004F3EB5">
        <w:rPr>
          <w:rFonts w:ascii="Arial" w:hAnsi="Arial" w:cs="Arial"/>
          <w:b/>
          <w:bCs/>
          <w:i/>
          <w:iCs/>
          <w:lang w:val="en-GB"/>
        </w:rPr>
        <w:tab/>
      </w:r>
      <w:r w:rsidR="00FD708F" w:rsidRPr="00FD708F">
        <w:rPr>
          <w:rFonts w:ascii="Arial" w:hAnsi="Arial" w:cs="Arial"/>
          <w:b/>
          <w:bCs/>
          <w:i/>
          <w:iCs/>
          <w:lang w:val="en-GB"/>
        </w:rPr>
        <w:t>Please share information on the health and other types of responses provided by the</w:t>
      </w:r>
      <w:r w:rsidR="004F3EB5">
        <w:rPr>
          <w:rFonts w:ascii="Arial" w:hAnsi="Arial" w:cs="Arial"/>
          <w:b/>
          <w:bCs/>
          <w:i/>
          <w:iCs/>
          <w:lang w:val="en-GB"/>
        </w:rPr>
        <w:t xml:space="preserve"> </w:t>
      </w:r>
      <w:r w:rsidR="00FD708F" w:rsidRPr="00FD708F">
        <w:rPr>
          <w:rFonts w:ascii="Arial" w:hAnsi="Arial" w:cs="Arial"/>
          <w:b/>
          <w:bCs/>
          <w:i/>
          <w:iCs/>
          <w:lang w:val="en-GB"/>
        </w:rPr>
        <w:t>State and/or other actors in your country/</w:t>
      </w:r>
      <w:proofErr w:type="spellStart"/>
      <w:r w:rsidR="00FD708F" w:rsidRPr="00FD708F">
        <w:rPr>
          <w:rFonts w:ascii="Arial" w:hAnsi="Arial" w:cs="Arial"/>
          <w:b/>
          <w:bCs/>
          <w:i/>
          <w:iCs/>
          <w:lang w:val="en-GB"/>
        </w:rPr>
        <w:t>ies</w:t>
      </w:r>
      <w:proofErr w:type="spellEnd"/>
      <w:r w:rsidR="00FD708F" w:rsidRPr="00FD708F">
        <w:rPr>
          <w:rFonts w:ascii="Arial" w:hAnsi="Arial" w:cs="Arial"/>
          <w:b/>
          <w:bCs/>
          <w:i/>
          <w:iCs/>
          <w:lang w:val="en-GB"/>
        </w:rPr>
        <w:t xml:space="preserve"> or regions in focus to survivors of</w:t>
      </w:r>
      <w:r w:rsidR="00495D36">
        <w:rPr>
          <w:rFonts w:ascii="Arial" w:hAnsi="Arial" w:cs="Arial"/>
          <w:b/>
          <w:bCs/>
          <w:i/>
          <w:iCs/>
          <w:lang w:val="en-GB"/>
        </w:rPr>
        <w:t xml:space="preserve"> </w:t>
      </w:r>
      <w:r w:rsidR="00FD708F" w:rsidRPr="00FD708F">
        <w:rPr>
          <w:rFonts w:ascii="Arial" w:hAnsi="Arial" w:cs="Arial"/>
          <w:b/>
          <w:bCs/>
          <w:i/>
          <w:iCs/>
          <w:lang w:val="en-GB"/>
        </w:rPr>
        <w:t>each/some</w:t>
      </w:r>
      <w:r w:rsidR="00495D36">
        <w:rPr>
          <w:rFonts w:ascii="Arial" w:hAnsi="Arial" w:cs="Arial"/>
          <w:b/>
          <w:bCs/>
          <w:i/>
          <w:iCs/>
          <w:lang w:val="en-GB"/>
        </w:rPr>
        <w:t xml:space="preserve"> </w:t>
      </w:r>
      <w:r w:rsidR="00FD708F" w:rsidRPr="00FD708F">
        <w:rPr>
          <w:rFonts w:ascii="Arial" w:hAnsi="Arial" w:cs="Arial"/>
          <w:b/>
          <w:bCs/>
          <w:i/>
          <w:iCs/>
          <w:lang w:val="en-GB"/>
        </w:rPr>
        <w:t>of the aforementioned forms of violence. Please assess what works well</w:t>
      </w:r>
      <w:r w:rsidR="00495D36">
        <w:rPr>
          <w:rFonts w:ascii="Arial" w:hAnsi="Arial" w:cs="Arial"/>
          <w:b/>
          <w:bCs/>
          <w:i/>
          <w:iCs/>
          <w:lang w:val="en-GB"/>
        </w:rPr>
        <w:t xml:space="preserve"> </w:t>
      </w:r>
      <w:r w:rsidR="00FD708F" w:rsidRPr="00FD708F">
        <w:rPr>
          <w:rFonts w:ascii="Arial" w:hAnsi="Arial" w:cs="Arial"/>
          <w:b/>
          <w:bCs/>
          <w:i/>
          <w:iCs/>
          <w:lang w:val="en-GB"/>
        </w:rPr>
        <w:t>and not so well, and whether COVID-19 impacted the response and how.</w:t>
      </w:r>
    </w:p>
    <w:p w14:paraId="43FE7556" w14:textId="77777777" w:rsidR="0072008D" w:rsidRDefault="0072008D" w:rsidP="0072008D">
      <w:pPr>
        <w:ind w:left="426" w:hanging="426"/>
        <w:jc w:val="both"/>
        <w:rPr>
          <w:rFonts w:ascii="Arial" w:hAnsi="Arial" w:cs="Arial"/>
          <w:b/>
          <w:bCs/>
          <w:i/>
          <w:iCs/>
          <w:lang w:val="en-GB"/>
        </w:rPr>
      </w:pPr>
    </w:p>
    <w:p w14:paraId="593A8C24" w14:textId="77777777" w:rsidR="0072008D" w:rsidRPr="0055474E" w:rsidRDefault="0072008D" w:rsidP="0072008D">
      <w:pPr>
        <w:ind w:left="426"/>
        <w:jc w:val="both"/>
        <w:rPr>
          <w:rFonts w:ascii="Arial" w:hAnsi="Arial" w:cs="Arial"/>
          <w:lang w:val="en-GB"/>
        </w:rPr>
      </w:pPr>
      <w:r w:rsidRPr="0055474E">
        <w:rPr>
          <w:rFonts w:ascii="Arial" w:hAnsi="Arial" w:cs="Arial"/>
          <w:lang w:val="en-GB"/>
        </w:rPr>
        <w:t xml:space="preserve">In 1997, the Philippine General Hospital (PGH) established the Women and Child Protection Unit (WCPU) to provide medical, psychosocial, legal and forensic services to then increasing number of women and children seeking assistance due to experience of violence, abuse, rape, incest, and other forms of exploitation in the community and at home. The PGH WCPU became the first multidisciplinary </w:t>
      </w:r>
      <w:proofErr w:type="spellStart"/>
      <w:r w:rsidRPr="0055474E">
        <w:rPr>
          <w:rFonts w:ascii="Arial" w:hAnsi="Arial" w:cs="Arial"/>
          <w:lang w:val="en-GB"/>
        </w:rPr>
        <w:t>center</w:t>
      </w:r>
      <w:proofErr w:type="spellEnd"/>
      <w:r w:rsidRPr="0055474E">
        <w:rPr>
          <w:rFonts w:ascii="Arial" w:hAnsi="Arial" w:cs="Arial"/>
          <w:lang w:val="en-GB"/>
        </w:rPr>
        <w:t xml:space="preserve"> in the country to provide this range of special services (CPN, N.d.).</w:t>
      </w:r>
    </w:p>
    <w:p w14:paraId="62F0D430" w14:textId="77777777" w:rsidR="0072008D" w:rsidRPr="0055474E" w:rsidRDefault="0072008D" w:rsidP="0072008D">
      <w:pPr>
        <w:ind w:left="426"/>
        <w:jc w:val="both"/>
        <w:rPr>
          <w:rFonts w:ascii="Arial" w:hAnsi="Arial" w:cs="Arial"/>
          <w:lang w:val="en-GB"/>
        </w:rPr>
      </w:pPr>
    </w:p>
    <w:p w14:paraId="63A7F40C" w14:textId="751C061E" w:rsidR="0072008D" w:rsidRPr="0055474E" w:rsidRDefault="0072008D" w:rsidP="0072008D">
      <w:pPr>
        <w:ind w:left="426"/>
        <w:jc w:val="both"/>
        <w:rPr>
          <w:rFonts w:ascii="Arial" w:hAnsi="Arial" w:cs="Arial"/>
          <w:lang w:val="en-GB"/>
        </w:rPr>
      </w:pPr>
      <w:r w:rsidRPr="0055474E">
        <w:rPr>
          <w:rFonts w:ascii="Arial" w:hAnsi="Arial" w:cs="Arial"/>
          <w:lang w:val="en-GB"/>
        </w:rPr>
        <w:t>In the same year, the DOH, as the agency mandated to provide immediate treatment services to persons who have experienced violence, has issued the DOH Administrative Order No. I-B which mandates the creation of the WCPUs in all DOH-retained hospitals across the country to provide the same multidisciplinary services. The WCPUs are composed of a multidisciplinary team of trained physicians, social workers, mental health professionals, and police, all required to undergo training on the recognition, reporting, recording, and referral (4R's) of cases of VAWC.</w:t>
      </w:r>
    </w:p>
    <w:p w14:paraId="6A23A91F" w14:textId="77777777" w:rsidR="0072008D" w:rsidRPr="0055474E" w:rsidRDefault="0072008D" w:rsidP="0072008D">
      <w:pPr>
        <w:ind w:left="426"/>
        <w:jc w:val="both"/>
        <w:rPr>
          <w:rFonts w:ascii="Arial" w:hAnsi="Arial" w:cs="Arial"/>
          <w:lang w:val="en-GB"/>
        </w:rPr>
      </w:pPr>
    </w:p>
    <w:p w14:paraId="1DE7663A" w14:textId="329520F0" w:rsidR="0072008D" w:rsidRPr="0055474E" w:rsidRDefault="0072008D" w:rsidP="0072008D">
      <w:pPr>
        <w:ind w:left="426"/>
        <w:jc w:val="both"/>
        <w:rPr>
          <w:rFonts w:ascii="Arial" w:hAnsi="Arial" w:cs="Arial"/>
          <w:lang w:val="en-GB"/>
        </w:rPr>
      </w:pPr>
      <w:r w:rsidRPr="0055474E">
        <w:rPr>
          <w:rFonts w:ascii="Arial" w:hAnsi="Arial" w:cs="Arial"/>
          <w:lang w:val="en-GB"/>
        </w:rPr>
        <w:t>In 2004, Republic Act No. 9262 or "Anti-Violence Against Women and their Children" Act mandated the establishment of the WCPUs all over the country. Over the years, in partnership with the University of the Philippines Manila, the Child Protection Network Foundation, several local governments, and other partners, the WCPUs have been set up not only in PGH and in DOH hospitals, but in several LGU-owned and other private hospitals as well, with type and quality of services standardized across the facilities by virtue of DOH AO No. 0011 (2013). Currently, a total of 113 WCPUs have been fully established and are functioning in around 70 cities and provinces.</w:t>
      </w:r>
    </w:p>
    <w:p w14:paraId="0E766017" w14:textId="77777777" w:rsidR="0072008D" w:rsidRPr="0055474E" w:rsidRDefault="0072008D" w:rsidP="0072008D">
      <w:pPr>
        <w:ind w:left="426"/>
        <w:jc w:val="both"/>
        <w:rPr>
          <w:rFonts w:ascii="Arial" w:hAnsi="Arial" w:cs="Arial"/>
          <w:lang w:val="en-GB"/>
        </w:rPr>
      </w:pPr>
    </w:p>
    <w:p w14:paraId="0C37AD15" w14:textId="5735306B" w:rsidR="0072008D" w:rsidRPr="00DE0630" w:rsidRDefault="0072008D" w:rsidP="00DE0630">
      <w:pPr>
        <w:ind w:left="426"/>
        <w:jc w:val="both"/>
        <w:rPr>
          <w:rFonts w:ascii="Arial" w:hAnsi="Arial" w:cs="Arial"/>
          <w:lang w:val="en-GB"/>
        </w:rPr>
      </w:pPr>
      <w:r w:rsidRPr="0055474E">
        <w:rPr>
          <w:rFonts w:ascii="Arial" w:hAnsi="Arial" w:cs="Arial"/>
          <w:lang w:val="en-GB"/>
        </w:rPr>
        <w:t xml:space="preserve">Despite the growing number of WCPUs, we have seen some level of decrease in the utilization of relevant services available in such settings, in part, due to the pandemic. As mentioned in the previous question, this decrease in health-seeking </w:t>
      </w:r>
      <w:proofErr w:type="spellStart"/>
      <w:r w:rsidRPr="0055474E">
        <w:rPr>
          <w:rFonts w:ascii="Arial" w:hAnsi="Arial" w:cs="Arial"/>
          <w:lang w:val="en-GB"/>
        </w:rPr>
        <w:t>behavior</w:t>
      </w:r>
      <w:proofErr w:type="spellEnd"/>
      <w:r w:rsidRPr="0055474E">
        <w:rPr>
          <w:rFonts w:ascii="Arial" w:hAnsi="Arial" w:cs="Arial"/>
          <w:lang w:val="en-GB"/>
        </w:rPr>
        <w:t xml:space="preserve"> among</w:t>
      </w:r>
      <w:r w:rsidR="00DE0630">
        <w:rPr>
          <w:rFonts w:ascii="Arial" w:hAnsi="Arial" w:cs="Arial"/>
          <w:lang w:val="en-GB"/>
        </w:rPr>
        <w:t xml:space="preserve"> </w:t>
      </w:r>
      <w:r w:rsidR="00DE0630" w:rsidRPr="00DE0630">
        <w:rPr>
          <w:rFonts w:ascii="Arial" w:hAnsi="Arial" w:cs="Arial"/>
          <w:lang w:val="en-GB"/>
        </w:rPr>
        <w:t>victims who have</w:t>
      </w:r>
      <w:r w:rsidR="00DE0630">
        <w:rPr>
          <w:rFonts w:ascii="Arial" w:hAnsi="Arial" w:cs="Arial"/>
          <w:lang w:val="en-GB"/>
        </w:rPr>
        <w:t xml:space="preserve"> </w:t>
      </w:r>
      <w:r w:rsidR="00DE0630" w:rsidRPr="00DE0630">
        <w:rPr>
          <w:rFonts w:ascii="Arial" w:hAnsi="Arial" w:cs="Arial"/>
          <w:lang w:val="en-GB"/>
        </w:rPr>
        <w:t>experienced violence may be due to a "combination of lockdown</w:t>
      </w:r>
      <w:r w:rsidR="00DE0630">
        <w:rPr>
          <w:rFonts w:ascii="Arial" w:hAnsi="Arial" w:cs="Arial"/>
          <w:lang w:val="en-GB"/>
        </w:rPr>
        <w:t xml:space="preserve"> </w:t>
      </w:r>
      <w:r w:rsidR="00DE0630" w:rsidRPr="00DE0630">
        <w:rPr>
          <w:rFonts w:ascii="Arial" w:hAnsi="Arial" w:cs="Arial"/>
          <w:lang w:val="en-GB"/>
        </w:rPr>
        <w:t>measures and not wanting</w:t>
      </w:r>
      <w:r w:rsidR="00DE0630">
        <w:rPr>
          <w:rFonts w:ascii="Arial" w:hAnsi="Arial" w:cs="Arial"/>
          <w:lang w:val="en-GB"/>
        </w:rPr>
        <w:t xml:space="preserve"> </w:t>
      </w:r>
      <w:r w:rsidR="00DE0630" w:rsidRPr="00DE0630">
        <w:rPr>
          <w:rFonts w:ascii="Arial" w:hAnsi="Arial" w:cs="Arial"/>
          <w:lang w:val="en-GB"/>
        </w:rPr>
        <w:t>to attend health facilities for fear of infection." Additionally, in</w:t>
      </w:r>
      <w:r w:rsidR="00DE0630">
        <w:rPr>
          <w:rFonts w:ascii="Arial" w:hAnsi="Arial" w:cs="Arial"/>
          <w:lang w:val="en-GB"/>
        </w:rPr>
        <w:t xml:space="preserve"> </w:t>
      </w:r>
      <w:r w:rsidR="00DE0630" w:rsidRPr="00DE0630">
        <w:rPr>
          <w:rFonts w:ascii="Arial" w:hAnsi="Arial" w:cs="Arial"/>
          <w:lang w:val="en-GB"/>
        </w:rPr>
        <w:t>some regions, we have also seen challenges in the delivery of related services due to the</w:t>
      </w:r>
      <w:r w:rsidR="00DE0630">
        <w:rPr>
          <w:rFonts w:ascii="Arial" w:hAnsi="Arial" w:cs="Arial"/>
          <w:lang w:val="en-GB"/>
        </w:rPr>
        <w:t xml:space="preserve"> </w:t>
      </w:r>
      <w:r w:rsidR="00DE0630" w:rsidRPr="00DE0630">
        <w:rPr>
          <w:rFonts w:ascii="Arial" w:hAnsi="Arial" w:cs="Arial"/>
          <w:lang w:val="en-GB"/>
        </w:rPr>
        <w:t>influx of demand for COVID-19 response.</w:t>
      </w:r>
    </w:p>
    <w:p w14:paraId="0F8406F7" w14:textId="77777777" w:rsidR="0072008D" w:rsidRDefault="0072008D" w:rsidP="00495D36">
      <w:pPr>
        <w:ind w:left="426" w:hanging="426"/>
        <w:jc w:val="both"/>
        <w:rPr>
          <w:rFonts w:ascii="Arial" w:hAnsi="Arial" w:cs="Arial"/>
          <w:b/>
          <w:bCs/>
          <w:i/>
          <w:iCs/>
          <w:lang w:val="en-GB"/>
        </w:rPr>
      </w:pPr>
    </w:p>
    <w:p w14:paraId="50953F01" w14:textId="5075FC92" w:rsidR="004F3EB5" w:rsidRDefault="004F3EB5" w:rsidP="004F3EB5">
      <w:pPr>
        <w:ind w:left="426" w:hanging="426"/>
        <w:jc w:val="both"/>
        <w:rPr>
          <w:rFonts w:ascii="Arial" w:hAnsi="Arial" w:cs="Arial"/>
          <w:b/>
          <w:bCs/>
          <w:i/>
          <w:iCs/>
          <w:lang w:val="en-GB"/>
        </w:rPr>
      </w:pPr>
      <w:r>
        <w:rPr>
          <w:rFonts w:ascii="Arial" w:hAnsi="Arial" w:cs="Arial"/>
          <w:b/>
          <w:bCs/>
          <w:i/>
          <w:iCs/>
          <w:lang w:val="en-GB"/>
        </w:rPr>
        <w:t xml:space="preserve">7.  </w:t>
      </w:r>
      <w:r>
        <w:rPr>
          <w:rFonts w:ascii="Arial" w:hAnsi="Arial" w:cs="Arial"/>
          <w:b/>
          <w:bCs/>
          <w:i/>
          <w:iCs/>
          <w:lang w:val="en-GB"/>
        </w:rPr>
        <w:tab/>
      </w:r>
      <w:r w:rsidRPr="004F3EB5">
        <w:rPr>
          <w:rFonts w:ascii="Arial" w:hAnsi="Arial" w:cs="Arial"/>
          <w:b/>
          <w:bCs/>
          <w:i/>
          <w:iCs/>
          <w:lang w:val="en-GB"/>
        </w:rPr>
        <w:t xml:space="preserve">Please describe the needs of survivors of the </w:t>
      </w:r>
      <w:r w:rsidR="00BE4116" w:rsidRPr="004F3EB5">
        <w:rPr>
          <w:rFonts w:ascii="Arial" w:hAnsi="Arial" w:cs="Arial"/>
          <w:b/>
          <w:bCs/>
          <w:i/>
          <w:iCs/>
          <w:lang w:val="en-GB"/>
        </w:rPr>
        <w:t>above-mentioned</w:t>
      </w:r>
      <w:r w:rsidRPr="004F3EB5">
        <w:rPr>
          <w:rFonts w:ascii="Arial" w:hAnsi="Arial" w:cs="Arial"/>
          <w:b/>
          <w:bCs/>
          <w:i/>
          <w:iCs/>
          <w:lang w:val="en-GB"/>
        </w:rPr>
        <w:t xml:space="preserve"> forms of violence as</w:t>
      </w:r>
      <w:r>
        <w:rPr>
          <w:rFonts w:ascii="Arial" w:hAnsi="Arial" w:cs="Arial"/>
          <w:b/>
          <w:bCs/>
          <w:i/>
          <w:iCs/>
          <w:lang w:val="en-GB"/>
        </w:rPr>
        <w:t xml:space="preserve"> </w:t>
      </w:r>
      <w:r w:rsidRPr="004F3EB5">
        <w:rPr>
          <w:rFonts w:ascii="Arial" w:hAnsi="Arial" w:cs="Arial"/>
          <w:b/>
          <w:bCs/>
          <w:i/>
          <w:iCs/>
          <w:lang w:val="en-GB"/>
        </w:rPr>
        <w:t>identified by your State/institution. Please share survivor-self identified needs and</w:t>
      </w:r>
      <w:r>
        <w:rPr>
          <w:rFonts w:ascii="Arial" w:hAnsi="Arial" w:cs="Arial"/>
          <w:b/>
          <w:bCs/>
          <w:i/>
          <w:iCs/>
          <w:lang w:val="en-GB"/>
        </w:rPr>
        <w:t xml:space="preserve"> </w:t>
      </w:r>
      <w:r w:rsidRPr="004F3EB5">
        <w:rPr>
          <w:rFonts w:ascii="Arial" w:hAnsi="Arial" w:cs="Arial"/>
          <w:b/>
          <w:bCs/>
          <w:i/>
          <w:iCs/>
          <w:lang w:val="en-GB"/>
        </w:rPr>
        <w:t>those of their families, with a focus on health emergencies and long-term needs.</w:t>
      </w:r>
    </w:p>
    <w:p w14:paraId="7F5EA28D" w14:textId="6C8F0038" w:rsidR="00BE4116" w:rsidRDefault="00BE4116" w:rsidP="004F3EB5">
      <w:pPr>
        <w:ind w:left="426" w:hanging="426"/>
        <w:jc w:val="both"/>
        <w:rPr>
          <w:rFonts w:ascii="Arial" w:hAnsi="Arial" w:cs="Arial"/>
          <w:b/>
          <w:bCs/>
          <w:i/>
          <w:iCs/>
          <w:lang w:val="en-GB"/>
        </w:rPr>
      </w:pPr>
    </w:p>
    <w:p w14:paraId="66FDBE42" w14:textId="4D83CBEB" w:rsidR="00BE4116" w:rsidRDefault="00BE4116" w:rsidP="00BE4116">
      <w:pPr>
        <w:ind w:left="426"/>
        <w:jc w:val="both"/>
        <w:rPr>
          <w:rFonts w:ascii="Arial" w:hAnsi="Arial" w:cs="Arial"/>
          <w:lang w:val="en-GB"/>
        </w:rPr>
      </w:pPr>
      <w:r w:rsidRPr="00BE4116">
        <w:rPr>
          <w:rFonts w:ascii="Arial" w:hAnsi="Arial" w:cs="Arial"/>
          <w:lang w:val="en-GB"/>
        </w:rPr>
        <w:t>Although national and local efforts for gender equality and women empowerment</w:t>
      </w:r>
      <w:r>
        <w:rPr>
          <w:rFonts w:ascii="Arial" w:hAnsi="Arial" w:cs="Arial"/>
          <w:lang w:val="en-GB"/>
        </w:rPr>
        <w:t xml:space="preserve"> </w:t>
      </w:r>
      <w:r w:rsidRPr="00BE4116">
        <w:rPr>
          <w:rFonts w:ascii="Arial" w:hAnsi="Arial" w:cs="Arial"/>
          <w:lang w:val="en-GB"/>
        </w:rPr>
        <w:t>continue to</w:t>
      </w:r>
      <w:r>
        <w:rPr>
          <w:rFonts w:ascii="Arial" w:hAnsi="Arial" w:cs="Arial"/>
          <w:lang w:val="en-GB"/>
        </w:rPr>
        <w:t xml:space="preserve"> </w:t>
      </w:r>
      <w:r w:rsidRPr="00BE4116">
        <w:rPr>
          <w:rFonts w:ascii="Arial" w:hAnsi="Arial" w:cs="Arial"/>
          <w:lang w:val="en-GB"/>
        </w:rPr>
        <w:t>develop, there still exists gaps in addressing the needs of victim-survivors of</w:t>
      </w:r>
      <w:r>
        <w:rPr>
          <w:rFonts w:ascii="Arial" w:hAnsi="Arial" w:cs="Arial"/>
          <w:lang w:val="en-GB"/>
        </w:rPr>
        <w:t xml:space="preserve"> </w:t>
      </w:r>
      <w:r w:rsidRPr="00BE4116">
        <w:rPr>
          <w:rFonts w:ascii="Arial" w:hAnsi="Arial" w:cs="Arial"/>
          <w:lang w:val="en-GB"/>
        </w:rPr>
        <w:t>violence. Strategic actions need to be cognizant of the harms and losses experienced by</w:t>
      </w:r>
      <w:r>
        <w:rPr>
          <w:rFonts w:ascii="Arial" w:hAnsi="Arial" w:cs="Arial"/>
          <w:lang w:val="en-GB"/>
        </w:rPr>
        <w:t xml:space="preserve"> </w:t>
      </w:r>
      <w:r w:rsidRPr="00BE4116">
        <w:rPr>
          <w:rFonts w:ascii="Arial" w:hAnsi="Arial" w:cs="Arial"/>
          <w:lang w:val="en-GB"/>
        </w:rPr>
        <w:t>women, children, and members of the LGBTQIA+ community. Such include experience</w:t>
      </w:r>
      <w:r>
        <w:rPr>
          <w:rFonts w:ascii="Arial" w:hAnsi="Arial" w:cs="Arial"/>
          <w:lang w:val="en-GB"/>
        </w:rPr>
        <w:t xml:space="preserve"> </w:t>
      </w:r>
      <w:r w:rsidRPr="00BE4116">
        <w:rPr>
          <w:rFonts w:ascii="Arial" w:hAnsi="Arial" w:cs="Arial"/>
          <w:lang w:val="en-GB"/>
        </w:rPr>
        <w:t>of stigma, ostracization, loss of lifestyle and life expectations, loss of familial and</w:t>
      </w:r>
      <w:r>
        <w:rPr>
          <w:rFonts w:ascii="Arial" w:hAnsi="Arial" w:cs="Arial"/>
          <w:lang w:val="en-GB"/>
        </w:rPr>
        <w:t xml:space="preserve"> </w:t>
      </w:r>
      <w:r w:rsidRPr="00BE4116">
        <w:rPr>
          <w:rFonts w:ascii="Arial" w:hAnsi="Arial" w:cs="Arial"/>
          <w:lang w:val="en-GB"/>
        </w:rPr>
        <w:t>personal safety, loss of livelihood, among others.</w:t>
      </w:r>
    </w:p>
    <w:p w14:paraId="49D439E1" w14:textId="77777777" w:rsidR="00BE4116" w:rsidRDefault="00BE4116" w:rsidP="00BE4116">
      <w:pPr>
        <w:ind w:left="426"/>
        <w:jc w:val="both"/>
        <w:rPr>
          <w:rFonts w:ascii="Arial" w:hAnsi="Arial" w:cs="Arial"/>
          <w:lang w:val="en-GB"/>
        </w:rPr>
      </w:pPr>
    </w:p>
    <w:p w14:paraId="6882E609" w14:textId="77777777" w:rsidR="00BE4116" w:rsidRDefault="00BE4116" w:rsidP="00BE4116">
      <w:pPr>
        <w:ind w:left="426"/>
        <w:jc w:val="both"/>
        <w:rPr>
          <w:rFonts w:ascii="Arial" w:hAnsi="Arial" w:cs="Arial"/>
          <w:lang w:val="en-GB"/>
        </w:rPr>
      </w:pPr>
      <w:r w:rsidRPr="00BE4116">
        <w:rPr>
          <w:rFonts w:ascii="Arial" w:hAnsi="Arial" w:cs="Arial"/>
          <w:lang w:val="en-GB"/>
        </w:rPr>
        <w:t>Additionally, service providers need to be equipped on the physical and mental health</w:t>
      </w:r>
      <w:r>
        <w:rPr>
          <w:rFonts w:ascii="Arial" w:hAnsi="Arial" w:cs="Arial"/>
          <w:lang w:val="en-GB"/>
        </w:rPr>
        <w:t xml:space="preserve"> </w:t>
      </w:r>
      <w:r w:rsidRPr="00BE4116">
        <w:rPr>
          <w:rFonts w:ascii="Arial" w:hAnsi="Arial" w:cs="Arial"/>
          <w:lang w:val="en-GB"/>
        </w:rPr>
        <w:t>needs of victim-survivors, especially that of the LGBTQIA+ community. Continued</w:t>
      </w:r>
      <w:r>
        <w:rPr>
          <w:rFonts w:ascii="Arial" w:hAnsi="Arial" w:cs="Arial"/>
          <w:lang w:val="en-GB"/>
        </w:rPr>
        <w:t xml:space="preserve"> </w:t>
      </w:r>
      <w:r w:rsidRPr="00BE4116">
        <w:rPr>
          <w:rFonts w:ascii="Arial" w:hAnsi="Arial" w:cs="Arial"/>
          <w:lang w:val="en-GB"/>
        </w:rPr>
        <w:t>capacity building for the 4Rs of VAWC, gender-sensitive and gender-responsive health</w:t>
      </w:r>
      <w:r>
        <w:rPr>
          <w:rFonts w:ascii="Arial" w:hAnsi="Arial" w:cs="Arial"/>
          <w:lang w:val="en-GB"/>
        </w:rPr>
        <w:t xml:space="preserve"> </w:t>
      </w:r>
      <w:r w:rsidRPr="00BE4116">
        <w:rPr>
          <w:rFonts w:ascii="Arial" w:hAnsi="Arial" w:cs="Arial"/>
          <w:lang w:val="en-GB"/>
        </w:rPr>
        <w:t>services, and knowledge and awareness on Sexual Orientation, Gender Identity and</w:t>
      </w:r>
      <w:r>
        <w:rPr>
          <w:rFonts w:ascii="Arial" w:hAnsi="Arial" w:cs="Arial"/>
          <w:lang w:val="en-GB"/>
        </w:rPr>
        <w:t xml:space="preserve"> </w:t>
      </w:r>
      <w:r w:rsidRPr="00BE4116">
        <w:rPr>
          <w:rFonts w:ascii="Arial" w:hAnsi="Arial" w:cs="Arial"/>
          <w:lang w:val="en-GB"/>
        </w:rPr>
        <w:t>Expression, and Sexual Characteristics (SOGIESC) are needed.</w:t>
      </w:r>
    </w:p>
    <w:p w14:paraId="5B4593F7" w14:textId="77777777" w:rsidR="00BE4116" w:rsidRDefault="00BE4116" w:rsidP="00BE4116">
      <w:pPr>
        <w:ind w:left="426"/>
        <w:jc w:val="both"/>
        <w:rPr>
          <w:rFonts w:ascii="Arial" w:hAnsi="Arial" w:cs="Arial"/>
          <w:lang w:val="en-GB"/>
        </w:rPr>
      </w:pPr>
    </w:p>
    <w:p w14:paraId="4C37008F" w14:textId="5B2F11B0" w:rsidR="00DC2EEF" w:rsidRPr="00BE4116" w:rsidRDefault="00BE4116" w:rsidP="00BE4116">
      <w:pPr>
        <w:ind w:left="426"/>
        <w:jc w:val="both"/>
        <w:rPr>
          <w:rFonts w:ascii="Arial" w:hAnsi="Arial" w:cs="Arial"/>
          <w:lang w:val="en-GB"/>
        </w:rPr>
      </w:pPr>
      <w:r w:rsidRPr="00BE4116">
        <w:rPr>
          <w:rFonts w:ascii="Arial" w:hAnsi="Arial" w:cs="Arial"/>
          <w:lang w:val="en-GB"/>
        </w:rPr>
        <w:t>At the local level, continued functional response of service providers must be ensured,</w:t>
      </w:r>
      <w:r>
        <w:rPr>
          <w:rFonts w:ascii="Arial" w:hAnsi="Arial" w:cs="Arial"/>
          <w:lang w:val="en-GB"/>
        </w:rPr>
        <w:t xml:space="preserve"> </w:t>
      </w:r>
      <w:r w:rsidRPr="00BE4116">
        <w:rPr>
          <w:rFonts w:ascii="Arial" w:hAnsi="Arial" w:cs="Arial"/>
          <w:lang w:val="en-GB"/>
        </w:rPr>
        <w:t>these</w:t>
      </w:r>
      <w:r>
        <w:rPr>
          <w:rFonts w:ascii="Arial" w:hAnsi="Arial" w:cs="Arial"/>
          <w:lang w:val="en-GB"/>
        </w:rPr>
        <w:t xml:space="preserve"> </w:t>
      </w:r>
      <w:r w:rsidRPr="00BE4116">
        <w:rPr>
          <w:rFonts w:ascii="Arial" w:hAnsi="Arial" w:cs="Arial"/>
          <w:lang w:val="en-GB"/>
        </w:rPr>
        <w:t>include Barangay Child Protection Committees (BCPC), Gender Desks, Sexual</w:t>
      </w:r>
      <w:r>
        <w:rPr>
          <w:rFonts w:ascii="Arial" w:hAnsi="Arial" w:cs="Arial"/>
          <w:lang w:val="en-GB"/>
        </w:rPr>
        <w:t xml:space="preserve"> </w:t>
      </w:r>
      <w:r w:rsidRPr="00BE4116">
        <w:rPr>
          <w:rFonts w:ascii="Arial" w:hAnsi="Arial" w:cs="Arial"/>
          <w:lang w:val="en-GB"/>
        </w:rPr>
        <w:t>Harassment Desks, and Violence Against Women and Children (VAWC) referral</w:t>
      </w:r>
      <w:r>
        <w:rPr>
          <w:rFonts w:ascii="Arial" w:hAnsi="Arial" w:cs="Arial"/>
          <w:lang w:val="en-GB"/>
        </w:rPr>
        <w:t xml:space="preserve"> </w:t>
      </w:r>
      <w:r w:rsidRPr="00BE4116">
        <w:rPr>
          <w:rFonts w:ascii="Arial" w:hAnsi="Arial" w:cs="Arial"/>
          <w:lang w:val="en-GB"/>
        </w:rPr>
        <w:t>networks.</w:t>
      </w:r>
    </w:p>
    <w:p w14:paraId="7E5B046F" w14:textId="04C61E79" w:rsidR="00DC2EEF" w:rsidRDefault="00DC2EEF" w:rsidP="004F3EB5">
      <w:pPr>
        <w:ind w:left="426" w:hanging="426"/>
        <w:jc w:val="both"/>
        <w:rPr>
          <w:rFonts w:ascii="Arial" w:hAnsi="Arial" w:cs="Arial"/>
          <w:b/>
          <w:bCs/>
          <w:i/>
          <w:iCs/>
          <w:lang w:val="en-GB"/>
        </w:rPr>
      </w:pPr>
    </w:p>
    <w:p w14:paraId="4AFEACD6" w14:textId="2F5B8B50" w:rsidR="00EA1F6A" w:rsidRDefault="00DC2EEF" w:rsidP="0013414B">
      <w:pPr>
        <w:ind w:left="426" w:hanging="426"/>
        <w:jc w:val="both"/>
        <w:rPr>
          <w:rFonts w:ascii="Arial" w:hAnsi="Arial" w:cs="Arial"/>
          <w:b/>
          <w:bCs/>
          <w:i/>
          <w:iCs/>
          <w:lang w:val="en-GB"/>
        </w:rPr>
      </w:pPr>
      <w:r>
        <w:rPr>
          <w:rFonts w:ascii="Arial" w:hAnsi="Arial" w:cs="Arial"/>
          <w:b/>
          <w:bCs/>
          <w:i/>
          <w:iCs/>
          <w:lang w:val="en-GB"/>
        </w:rPr>
        <w:t xml:space="preserve">8.  </w:t>
      </w:r>
      <w:r w:rsidRPr="00DC2EEF">
        <w:rPr>
          <w:rFonts w:ascii="Arial" w:hAnsi="Arial" w:cs="Arial"/>
          <w:b/>
          <w:bCs/>
          <w:i/>
          <w:iCs/>
          <w:lang w:val="en-GB"/>
        </w:rPr>
        <w:t>Please share examples of good practices and examples of comprehensive health</w:t>
      </w:r>
      <w:r>
        <w:rPr>
          <w:rFonts w:ascii="Arial" w:hAnsi="Arial" w:cs="Arial"/>
          <w:b/>
          <w:bCs/>
          <w:i/>
          <w:iCs/>
          <w:lang w:val="en-GB"/>
        </w:rPr>
        <w:t xml:space="preserve"> </w:t>
      </w:r>
      <w:r w:rsidRPr="00DC2EEF">
        <w:rPr>
          <w:rFonts w:ascii="Arial" w:hAnsi="Arial" w:cs="Arial"/>
          <w:b/>
          <w:bCs/>
          <w:i/>
          <w:iCs/>
          <w:lang w:val="en-GB"/>
        </w:rPr>
        <w:t>responses to survivors of violence and indicate efficient multi-sectoral efforts at the</w:t>
      </w:r>
      <w:r>
        <w:rPr>
          <w:rFonts w:ascii="Arial" w:hAnsi="Arial" w:cs="Arial"/>
          <w:b/>
          <w:bCs/>
          <w:i/>
          <w:iCs/>
          <w:lang w:val="en-GB"/>
        </w:rPr>
        <w:t xml:space="preserve"> </w:t>
      </w:r>
      <w:r w:rsidRPr="00DC2EEF">
        <w:rPr>
          <w:rFonts w:ascii="Arial" w:hAnsi="Arial" w:cs="Arial"/>
          <w:b/>
          <w:bCs/>
          <w:i/>
          <w:iCs/>
          <w:lang w:val="en-GB"/>
        </w:rPr>
        <w:t xml:space="preserve">community, national, </w:t>
      </w:r>
      <w:r w:rsidR="00D21D1B" w:rsidRPr="00DC2EEF">
        <w:rPr>
          <w:rFonts w:ascii="Arial" w:hAnsi="Arial" w:cs="Arial"/>
          <w:b/>
          <w:bCs/>
          <w:i/>
          <w:iCs/>
          <w:lang w:val="en-GB"/>
        </w:rPr>
        <w:t>regional,</w:t>
      </w:r>
      <w:r w:rsidRPr="00DC2EEF">
        <w:rPr>
          <w:rFonts w:ascii="Arial" w:hAnsi="Arial" w:cs="Arial"/>
          <w:b/>
          <w:bCs/>
          <w:i/>
          <w:iCs/>
          <w:lang w:val="en-GB"/>
        </w:rPr>
        <w:t xml:space="preserve"> and international levels by State or non-State actors.</w:t>
      </w:r>
    </w:p>
    <w:p w14:paraId="65FC390D" w14:textId="1825A262" w:rsidR="0013414B" w:rsidRDefault="0013414B" w:rsidP="0013414B">
      <w:pPr>
        <w:ind w:left="426" w:hanging="426"/>
        <w:jc w:val="both"/>
        <w:rPr>
          <w:rFonts w:ascii="Arial" w:hAnsi="Arial" w:cs="Arial"/>
          <w:b/>
          <w:bCs/>
          <w:i/>
          <w:iCs/>
          <w:lang w:val="en-GB"/>
        </w:rPr>
      </w:pPr>
    </w:p>
    <w:p w14:paraId="5EFEC3EC" w14:textId="693DC251" w:rsidR="0013414B" w:rsidRPr="0013414B" w:rsidRDefault="0013414B" w:rsidP="0013414B">
      <w:pPr>
        <w:ind w:left="426"/>
        <w:jc w:val="both"/>
        <w:rPr>
          <w:rFonts w:ascii="Arial" w:hAnsi="Arial" w:cs="Arial"/>
          <w:lang w:val="en-GB"/>
        </w:rPr>
      </w:pPr>
      <w:r w:rsidRPr="0013414B">
        <w:rPr>
          <w:rFonts w:ascii="Arial" w:hAnsi="Arial" w:cs="Arial"/>
          <w:lang w:val="en-GB"/>
        </w:rPr>
        <w:t>Health response by the DOH and its partners to survivors of violence against women and</w:t>
      </w:r>
      <w:r>
        <w:rPr>
          <w:rFonts w:ascii="Arial" w:hAnsi="Arial" w:cs="Arial"/>
          <w:lang w:val="en-GB"/>
        </w:rPr>
        <w:t xml:space="preserve"> </w:t>
      </w:r>
      <w:r w:rsidRPr="0013414B">
        <w:rPr>
          <w:rFonts w:ascii="Arial" w:hAnsi="Arial" w:cs="Arial"/>
          <w:lang w:val="en-GB"/>
        </w:rPr>
        <w:t>children are provided mainly through the Women and Children Protection Units in DOH</w:t>
      </w:r>
      <w:r>
        <w:rPr>
          <w:rFonts w:ascii="Arial" w:hAnsi="Arial" w:cs="Arial"/>
          <w:lang w:val="en-GB"/>
        </w:rPr>
        <w:t>-</w:t>
      </w:r>
      <w:r w:rsidRPr="0013414B">
        <w:rPr>
          <w:rFonts w:ascii="Arial" w:hAnsi="Arial" w:cs="Arial"/>
          <w:lang w:val="en-GB"/>
        </w:rPr>
        <w:t>owned</w:t>
      </w:r>
    </w:p>
    <w:p w14:paraId="76D34A56" w14:textId="6CF52BCB" w:rsidR="0013414B" w:rsidRDefault="0013414B" w:rsidP="0013414B">
      <w:pPr>
        <w:ind w:left="426"/>
        <w:jc w:val="both"/>
        <w:rPr>
          <w:rFonts w:ascii="Arial" w:hAnsi="Arial" w:cs="Arial"/>
          <w:lang w:val="en-GB"/>
        </w:rPr>
      </w:pPr>
      <w:r w:rsidRPr="0013414B">
        <w:rPr>
          <w:rFonts w:ascii="Arial" w:hAnsi="Arial" w:cs="Arial"/>
          <w:lang w:val="en-GB"/>
        </w:rPr>
        <w:t>hospitals and other local government or private health facilities. The DOH</w:t>
      </w:r>
      <w:r>
        <w:rPr>
          <w:rFonts w:ascii="Arial" w:hAnsi="Arial" w:cs="Arial"/>
          <w:lang w:val="en-GB"/>
        </w:rPr>
        <w:t xml:space="preserve"> </w:t>
      </w:r>
      <w:r w:rsidRPr="0013414B">
        <w:rPr>
          <w:rFonts w:ascii="Arial" w:hAnsi="Arial" w:cs="Arial"/>
          <w:lang w:val="en-GB"/>
        </w:rPr>
        <w:t>Administrative Order No. 2013-0011 "Revised Policy on the Establishment of Women</w:t>
      </w:r>
      <w:r>
        <w:rPr>
          <w:rFonts w:ascii="Arial" w:hAnsi="Arial" w:cs="Arial"/>
          <w:lang w:val="en-GB"/>
        </w:rPr>
        <w:t xml:space="preserve"> </w:t>
      </w:r>
      <w:r w:rsidRPr="0013414B">
        <w:rPr>
          <w:rFonts w:ascii="Arial" w:hAnsi="Arial" w:cs="Arial"/>
          <w:lang w:val="en-GB"/>
        </w:rPr>
        <w:t xml:space="preserve">and Their Children Protection </w:t>
      </w:r>
      <w:r w:rsidRPr="0013414B">
        <w:rPr>
          <w:rFonts w:ascii="Arial" w:hAnsi="Arial" w:cs="Arial"/>
          <w:lang w:val="en-GB"/>
        </w:rPr>
        <w:lastRenderedPageBreak/>
        <w:t>Units in All Government Hospitals" provides for the</w:t>
      </w:r>
      <w:r>
        <w:rPr>
          <w:rFonts w:ascii="Arial" w:hAnsi="Arial" w:cs="Arial"/>
          <w:lang w:val="en-GB"/>
        </w:rPr>
        <w:t xml:space="preserve"> </w:t>
      </w:r>
      <w:r w:rsidRPr="0013414B">
        <w:rPr>
          <w:rFonts w:ascii="Arial" w:hAnsi="Arial" w:cs="Arial"/>
          <w:lang w:val="en-GB"/>
        </w:rPr>
        <w:t>institutionalization and standardization in the provision of quality health service delivery</w:t>
      </w:r>
      <w:r>
        <w:rPr>
          <w:rFonts w:ascii="Arial" w:hAnsi="Arial" w:cs="Arial"/>
          <w:lang w:val="en-GB"/>
        </w:rPr>
        <w:t xml:space="preserve"> </w:t>
      </w:r>
      <w:r w:rsidRPr="0013414B">
        <w:rPr>
          <w:rFonts w:ascii="Arial" w:hAnsi="Arial" w:cs="Arial"/>
          <w:lang w:val="en-GB"/>
        </w:rPr>
        <w:t>in all women and children protection units at all levels of care:</w:t>
      </w:r>
    </w:p>
    <w:p w14:paraId="149DF66C" w14:textId="0BE61191" w:rsidR="009D3F63" w:rsidRDefault="009D3F63" w:rsidP="0013414B">
      <w:pPr>
        <w:ind w:left="426"/>
        <w:jc w:val="both"/>
        <w:rPr>
          <w:rFonts w:ascii="Arial" w:hAnsi="Arial" w:cs="Arial"/>
          <w:lang w:val="en-GB"/>
        </w:rPr>
      </w:pPr>
    </w:p>
    <w:p w14:paraId="143CA14C" w14:textId="7F0899F1" w:rsidR="00A335E0" w:rsidRDefault="00A335E0" w:rsidP="00A335E0">
      <w:pPr>
        <w:pStyle w:val="ListParagraph"/>
        <w:numPr>
          <w:ilvl w:val="0"/>
          <w:numId w:val="20"/>
        </w:numPr>
        <w:ind w:left="709" w:hanging="283"/>
        <w:jc w:val="both"/>
        <w:rPr>
          <w:rFonts w:ascii="Arial" w:hAnsi="Arial" w:cs="Arial"/>
          <w:lang w:val="en-GB"/>
        </w:rPr>
      </w:pPr>
      <w:r w:rsidRPr="00A335E0">
        <w:rPr>
          <w:rFonts w:ascii="Arial" w:hAnsi="Arial" w:cs="Arial"/>
          <w:lang w:val="en-GB"/>
        </w:rPr>
        <w:t>Level I services include medico-legal examination, acute medical and surgical</w:t>
      </w:r>
      <w:r>
        <w:rPr>
          <w:rFonts w:ascii="Arial" w:hAnsi="Arial" w:cs="Arial"/>
          <w:lang w:val="en-GB"/>
        </w:rPr>
        <w:t xml:space="preserve"> </w:t>
      </w:r>
      <w:r w:rsidRPr="00A335E0">
        <w:rPr>
          <w:rFonts w:ascii="Arial" w:hAnsi="Arial" w:cs="Arial"/>
          <w:lang w:val="en-GB"/>
        </w:rPr>
        <w:t>treatment, monitoring and follow-up, safety and risk assessment, coordination with</w:t>
      </w:r>
      <w:r>
        <w:rPr>
          <w:rFonts w:ascii="Arial" w:hAnsi="Arial" w:cs="Arial"/>
          <w:lang w:val="en-GB"/>
        </w:rPr>
        <w:t xml:space="preserve"> </w:t>
      </w:r>
      <w:r w:rsidRPr="00A335E0">
        <w:rPr>
          <w:rFonts w:ascii="Arial" w:hAnsi="Arial" w:cs="Arial"/>
          <w:lang w:val="en-GB"/>
        </w:rPr>
        <w:t>other National Government Agencies such as Department of Social Work Welfare and</w:t>
      </w:r>
      <w:r>
        <w:rPr>
          <w:rFonts w:ascii="Arial" w:hAnsi="Arial" w:cs="Arial"/>
          <w:lang w:val="en-GB"/>
        </w:rPr>
        <w:t xml:space="preserve"> </w:t>
      </w:r>
      <w:r w:rsidRPr="00A335E0">
        <w:rPr>
          <w:rFonts w:ascii="Arial" w:hAnsi="Arial" w:cs="Arial"/>
          <w:lang w:val="en-GB"/>
        </w:rPr>
        <w:t>Development, Philippine National Police and legal services;</w:t>
      </w:r>
    </w:p>
    <w:p w14:paraId="67DFA5D2" w14:textId="77777777" w:rsidR="00A335E0" w:rsidRDefault="00A335E0" w:rsidP="00A335E0">
      <w:pPr>
        <w:pStyle w:val="ListParagraph"/>
        <w:ind w:left="709"/>
        <w:jc w:val="both"/>
        <w:rPr>
          <w:rFonts w:ascii="Times New Roman" w:hAnsi="Times New Roman" w:cs="Times New Roman"/>
        </w:rPr>
      </w:pPr>
    </w:p>
    <w:p w14:paraId="26851ECE" w14:textId="6A522B40" w:rsidR="00A335E0" w:rsidRDefault="00A335E0" w:rsidP="00A335E0">
      <w:pPr>
        <w:pStyle w:val="ListParagraph"/>
        <w:numPr>
          <w:ilvl w:val="0"/>
          <w:numId w:val="20"/>
        </w:numPr>
        <w:ind w:left="709" w:hanging="283"/>
        <w:jc w:val="both"/>
        <w:rPr>
          <w:rFonts w:ascii="Arial" w:hAnsi="Arial" w:cs="Arial"/>
          <w:lang w:val="en-GB"/>
        </w:rPr>
      </w:pPr>
      <w:r w:rsidRPr="00A335E0">
        <w:rPr>
          <w:rFonts w:ascii="Arial" w:hAnsi="Arial" w:cs="Arial"/>
          <w:lang w:val="en-GB"/>
        </w:rPr>
        <w:t>Level 2 services, in addition to Level 1 services, include kits</w:t>
      </w:r>
      <w:r w:rsidR="00664C18">
        <w:rPr>
          <w:rFonts w:ascii="Arial" w:hAnsi="Arial" w:cs="Arial"/>
          <w:lang w:val="en-GB"/>
        </w:rPr>
        <w:t xml:space="preserve"> for rape cases</w:t>
      </w:r>
      <w:r w:rsidRPr="00A335E0">
        <w:rPr>
          <w:rFonts w:ascii="Arial" w:hAnsi="Arial" w:cs="Arial"/>
          <w:lang w:val="en-GB"/>
        </w:rPr>
        <w:t>, case management</w:t>
      </w:r>
      <w:r>
        <w:rPr>
          <w:rFonts w:ascii="Arial" w:hAnsi="Arial" w:cs="Arial"/>
          <w:lang w:val="en-GB"/>
        </w:rPr>
        <w:t xml:space="preserve"> </w:t>
      </w:r>
      <w:r w:rsidRPr="00A335E0">
        <w:rPr>
          <w:rFonts w:ascii="Arial" w:hAnsi="Arial" w:cs="Arial"/>
          <w:lang w:val="en-GB"/>
        </w:rPr>
        <w:t>and conferences, mental health care, specialty consultations, among others; and</w:t>
      </w:r>
    </w:p>
    <w:p w14:paraId="5BFB9455" w14:textId="77777777" w:rsidR="00A335E0" w:rsidRPr="00A335E0" w:rsidRDefault="00A335E0" w:rsidP="00A335E0">
      <w:pPr>
        <w:pStyle w:val="ListParagraph"/>
        <w:rPr>
          <w:rFonts w:ascii="Times New Roman" w:hAnsi="Times New Roman" w:cs="Times New Roman"/>
        </w:rPr>
      </w:pPr>
    </w:p>
    <w:p w14:paraId="0806B993" w14:textId="706615E3" w:rsidR="00A335E0" w:rsidRPr="00A335E0" w:rsidRDefault="00A335E0" w:rsidP="00A335E0">
      <w:pPr>
        <w:pStyle w:val="ListParagraph"/>
        <w:numPr>
          <w:ilvl w:val="0"/>
          <w:numId w:val="20"/>
        </w:numPr>
        <w:ind w:left="709" w:hanging="283"/>
        <w:jc w:val="both"/>
        <w:rPr>
          <w:rFonts w:ascii="Arial" w:hAnsi="Arial" w:cs="Arial"/>
          <w:lang w:val="en-GB"/>
        </w:rPr>
      </w:pPr>
      <w:r w:rsidRPr="00A335E0">
        <w:rPr>
          <w:rFonts w:ascii="Arial" w:hAnsi="Arial" w:cs="Arial"/>
          <w:lang w:val="en-GB"/>
        </w:rPr>
        <w:t xml:space="preserve">Level </w:t>
      </w:r>
      <w:r w:rsidR="00794C9E">
        <w:rPr>
          <w:rFonts w:ascii="Arial" w:hAnsi="Arial" w:cs="Arial"/>
          <w:lang w:val="en-GB"/>
        </w:rPr>
        <w:t xml:space="preserve">3 </w:t>
      </w:r>
      <w:r w:rsidRPr="00A335E0">
        <w:rPr>
          <w:rFonts w:ascii="Arial" w:hAnsi="Arial" w:cs="Arial"/>
          <w:lang w:val="en-GB"/>
        </w:rPr>
        <w:t>services, in addition to Level 2 services, include long-term case management,</w:t>
      </w:r>
      <w:r>
        <w:rPr>
          <w:rFonts w:ascii="Arial" w:hAnsi="Arial" w:cs="Arial"/>
          <w:lang w:val="en-GB"/>
        </w:rPr>
        <w:t xml:space="preserve"> </w:t>
      </w:r>
      <w:r w:rsidRPr="00A335E0">
        <w:rPr>
          <w:rFonts w:ascii="Arial" w:hAnsi="Arial" w:cs="Arial"/>
          <w:lang w:val="en-GB"/>
        </w:rPr>
        <w:t>death review, other support services such as livelihood and educational, subspecialty</w:t>
      </w:r>
      <w:r>
        <w:rPr>
          <w:rFonts w:ascii="Arial" w:hAnsi="Arial" w:cs="Arial"/>
          <w:lang w:val="en-GB"/>
        </w:rPr>
        <w:t xml:space="preserve"> </w:t>
      </w:r>
      <w:r w:rsidRPr="00A335E0">
        <w:rPr>
          <w:rFonts w:ascii="Arial" w:hAnsi="Arial" w:cs="Arial"/>
          <w:lang w:val="en-GB"/>
        </w:rPr>
        <w:t>consultations such as child development, forensic psychiatry, and forensic pathology,</w:t>
      </w:r>
      <w:r>
        <w:rPr>
          <w:rFonts w:ascii="Arial" w:hAnsi="Arial" w:cs="Arial"/>
          <w:lang w:val="en-GB"/>
        </w:rPr>
        <w:t xml:space="preserve"> </w:t>
      </w:r>
      <w:r w:rsidRPr="00A335E0">
        <w:rPr>
          <w:rFonts w:ascii="Arial" w:hAnsi="Arial" w:cs="Arial"/>
          <w:lang w:val="en-GB"/>
        </w:rPr>
        <w:t>among others.</w:t>
      </w:r>
    </w:p>
    <w:p w14:paraId="16F31680" w14:textId="77777777" w:rsidR="009D3F63" w:rsidRPr="0013414B" w:rsidRDefault="009D3F63" w:rsidP="0013414B">
      <w:pPr>
        <w:ind w:left="426"/>
        <w:jc w:val="both"/>
        <w:rPr>
          <w:rFonts w:ascii="Arial" w:hAnsi="Arial" w:cs="Arial"/>
          <w:lang w:val="en-GB"/>
        </w:rPr>
      </w:pPr>
    </w:p>
    <w:p w14:paraId="40150CA6" w14:textId="02931A45" w:rsidR="0072008D" w:rsidRDefault="0072008D" w:rsidP="00C74EE7">
      <w:pPr>
        <w:jc w:val="both"/>
        <w:rPr>
          <w:rFonts w:ascii="Arial" w:hAnsi="Arial" w:cs="Arial"/>
          <w:lang w:val="en-GB"/>
        </w:rPr>
      </w:pPr>
    </w:p>
    <w:p w14:paraId="45790439" w14:textId="01C79818" w:rsidR="00F175DA" w:rsidRDefault="0072008D" w:rsidP="00F175DA">
      <w:pPr>
        <w:ind w:left="426" w:hanging="426"/>
        <w:jc w:val="both"/>
        <w:rPr>
          <w:rFonts w:ascii="Arial" w:hAnsi="Arial" w:cs="Arial"/>
          <w:b/>
          <w:bCs/>
          <w:i/>
          <w:iCs/>
          <w:lang w:val="en-GB"/>
        </w:rPr>
      </w:pPr>
      <w:r>
        <w:rPr>
          <w:rFonts w:ascii="Arial" w:hAnsi="Arial" w:cs="Arial"/>
          <w:b/>
          <w:bCs/>
          <w:i/>
          <w:iCs/>
          <w:lang w:val="en-GB"/>
        </w:rPr>
        <w:t xml:space="preserve">9.  </w:t>
      </w:r>
      <w:r>
        <w:rPr>
          <w:rFonts w:ascii="Arial" w:hAnsi="Arial" w:cs="Arial"/>
          <w:b/>
          <w:bCs/>
          <w:i/>
          <w:iCs/>
          <w:lang w:val="en-GB"/>
        </w:rPr>
        <w:tab/>
      </w:r>
      <w:r w:rsidRPr="0072008D">
        <w:rPr>
          <w:rFonts w:ascii="Arial" w:hAnsi="Arial" w:cs="Arial"/>
          <w:b/>
          <w:bCs/>
          <w:i/>
          <w:iCs/>
          <w:lang w:val="en-GB"/>
        </w:rPr>
        <w:t xml:space="preserve">Please describe State and other </w:t>
      </w:r>
      <w:proofErr w:type="gramStart"/>
      <w:r w:rsidRPr="0072008D">
        <w:rPr>
          <w:rFonts w:ascii="Arial" w:hAnsi="Arial" w:cs="Arial"/>
          <w:b/>
          <w:bCs/>
          <w:i/>
          <w:iCs/>
          <w:lang w:val="en-GB"/>
        </w:rPr>
        <w:t>actors</w:t>
      </w:r>
      <w:proofErr w:type="gramEnd"/>
      <w:r w:rsidRPr="0072008D">
        <w:rPr>
          <w:rFonts w:ascii="Arial" w:hAnsi="Arial" w:cs="Arial"/>
          <w:b/>
          <w:bCs/>
          <w:i/>
          <w:iCs/>
          <w:lang w:val="en-GB"/>
        </w:rPr>
        <w:t xml:space="preserve"> initiatives and measures to prevent these</w:t>
      </w:r>
      <w:r>
        <w:rPr>
          <w:rFonts w:ascii="Arial" w:hAnsi="Arial" w:cs="Arial"/>
          <w:b/>
          <w:bCs/>
          <w:i/>
          <w:iCs/>
          <w:lang w:val="en-GB"/>
        </w:rPr>
        <w:t xml:space="preserve"> </w:t>
      </w:r>
      <w:r w:rsidRPr="0072008D">
        <w:rPr>
          <w:rFonts w:ascii="Arial" w:hAnsi="Arial" w:cs="Arial"/>
          <w:b/>
          <w:bCs/>
          <w:i/>
          <w:iCs/>
          <w:lang w:val="en-GB"/>
        </w:rPr>
        <w:t>forms</w:t>
      </w:r>
      <w:r>
        <w:rPr>
          <w:rFonts w:ascii="Arial" w:hAnsi="Arial" w:cs="Arial"/>
          <w:b/>
          <w:bCs/>
          <w:i/>
          <w:iCs/>
          <w:lang w:val="en-GB"/>
        </w:rPr>
        <w:t xml:space="preserve"> </w:t>
      </w:r>
      <w:r w:rsidRPr="0072008D">
        <w:rPr>
          <w:rFonts w:ascii="Arial" w:hAnsi="Arial" w:cs="Arial"/>
          <w:b/>
          <w:bCs/>
          <w:i/>
          <w:iCs/>
          <w:lang w:val="en-GB"/>
        </w:rPr>
        <w:t>of violence, specific budget allocated to prevention, and good practices in this</w:t>
      </w:r>
      <w:r>
        <w:rPr>
          <w:rFonts w:ascii="Arial" w:hAnsi="Arial" w:cs="Arial"/>
          <w:b/>
          <w:bCs/>
          <w:i/>
          <w:iCs/>
          <w:lang w:val="en-GB"/>
        </w:rPr>
        <w:t xml:space="preserve"> </w:t>
      </w:r>
      <w:r w:rsidRPr="0072008D">
        <w:rPr>
          <w:rFonts w:ascii="Arial" w:hAnsi="Arial" w:cs="Arial"/>
          <w:b/>
          <w:bCs/>
          <w:i/>
          <w:iCs/>
          <w:lang w:val="en-GB"/>
        </w:rPr>
        <w:t>regard.</w:t>
      </w:r>
    </w:p>
    <w:p w14:paraId="7DEB2DB6" w14:textId="77777777" w:rsidR="00F175DA" w:rsidRDefault="00F175DA" w:rsidP="00F175DA">
      <w:pPr>
        <w:ind w:left="426" w:hanging="426"/>
        <w:jc w:val="both"/>
        <w:rPr>
          <w:rFonts w:ascii="Arial" w:hAnsi="Arial" w:cs="Arial"/>
          <w:b/>
          <w:bCs/>
          <w:i/>
          <w:iCs/>
          <w:lang w:val="en-GB"/>
        </w:rPr>
      </w:pPr>
    </w:p>
    <w:p w14:paraId="1DBA2F22" w14:textId="7D737966" w:rsidR="00EA1F6A" w:rsidRDefault="00F175DA" w:rsidP="00C2105F">
      <w:pPr>
        <w:ind w:left="426"/>
        <w:jc w:val="both"/>
        <w:rPr>
          <w:rFonts w:ascii="Arial" w:hAnsi="Arial" w:cs="Arial"/>
          <w:b/>
          <w:bCs/>
          <w:i/>
          <w:iCs/>
          <w:lang w:val="en-GB"/>
        </w:rPr>
      </w:pPr>
      <w:r>
        <w:rPr>
          <w:rFonts w:ascii="Times New Roman" w:hAnsi="Times New Roman" w:cs="Times New Roman"/>
          <w:i/>
          <w:iCs/>
        </w:rPr>
        <w:t>DOH Budget for Health Promotion, specifically for the promotion of</w:t>
      </w:r>
      <w:r w:rsidR="007E3960">
        <w:rPr>
          <w:rFonts w:ascii="Times New Roman" w:hAnsi="Times New Roman" w:cs="Times New Roman"/>
          <w:i/>
          <w:iCs/>
          <w:lang w:val="en-GB"/>
        </w:rPr>
        <w:t xml:space="preserve"> </w:t>
      </w:r>
      <w:r>
        <w:rPr>
          <w:rFonts w:ascii="Times New Roman" w:hAnsi="Times New Roman" w:cs="Times New Roman"/>
          <w:i/>
          <w:iCs/>
        </w:rPr>
        <w:t>positive adolescent</w:t>
      </w:r>
      <w:r w:rsidR="007E3960">
        <w:rPr>
          <w:rFonts w:ascii="Arial" w:hAnsi="Arial" w:cs="Arial"/>
          <w:b/>
          <w:bCs/>
          <w:i/>
          <w:iCs/>
          <w:lang w:val="en-GB"/>
        </w:rPr>
        <w:t xml:space="preserve"> </w:t>
      </w:r>
      <w:r>
        <w:rPr>
          <w:rFonts w:ascii="Times New Roman" w:hAnsi="Times New Roman" w:cs="Times New Roman"/>
          <w:i/>
          <w:iCs/>
        </w:rPr>
        <w:t xml:space="preserve">sexual and </w:t>
      </w:r>
      <w:r w:rsidR="007E3960">
        <w:rPr>
          <w:rFonts w:ascii="Times New Roman" w:hAnsi="Times New Roman" w:cs="Times New Roman"/>
          <w:i/>
          <w:iCs/>
          <w:lang w:val="en-GB"/>
        </w:rPr>
        <w:t xml:space="preserve">reproductive </w:t>
      </w:r>
      <w:r>
        <w:rPr>
          <w:rFonts w:ascii="Times New Roman" w:hAnsi="Times New Roman" w:cs="Times New Roman"/>
          <w:i/>
          <w:iCs/>
        </w:rPr>
        <w:t>health, and violence and injury prevention:</w:t>
      </w:r>
    </w:p>
    <w:p w14:paraId="52054633" w14:textId="2F62EE04" w:rsidR="00C2105F" w:rsidRDefault="00C2105F" w:rsidP="00C2105F">
      <w:pPr>
        <w:ind w:left="426"/>
        <w:jc w:val="both"/>
        <w:rPr>
          <w:rFonts w:ascii="Arial" w:hAnsi="Arial" w:cs="Arial"/>
          <w:b/>
          <w:bCs/>
          <w:i/>
          <w:iCs/>
          <w:lang w:val="en-GB"/>
        </w:rPr>
      </w:pPr>
    </w:p>
    <w:p w14:paraId="10D04CF1" w14:textId="5123EA8E" w:rsidR="00C2105F" w:rsidRDefault="00C2105F" w:rsidP="00C2105F">
      <w:pPr>
        <w:ind w:left="426"/>
        <w:jc w:val="both"/>
        <w:rPr>
          <w:rFonts w:ascii="Arial" w:hAnsi="Arial" w:cs="Arial"/>
          <w:lang w:val="en-GB"/>
        </w:rPr>
      </w:pPr>
      <w:r w:rsidRPr="00C2105F">
        <w:rPr>
          <w:rFonts w:ascii="Arial" w:hAnsi="Arial" w:cs="Arial"/>
          <w:lang w:val="en-GB"/>
        </w:rPr>
        <w:t>To support the provision of primary care services for adolescents in the communities, th</w:t>
      </w:r>
      <w:r>
        <w:rPr>
          <w:rFonts w:ascii="Arial" w:hAnsi="Arial" w:cs="Arial"/>
          <w:lang w:val="en-GB"/>
        </w:rPr>
        <w:t xml:space="preserve">e </w:t>
      </w:r>
      <w:r w:rsidRPr="00C2105F">
        <w:rPr>
          <w:rFonts w:ascii="Arial" w:hAnsi="Arial" w:cs="Arial"/>
          <w:lang w:val="en-GB"/>
        </w:rPr>
        <w:t>DOH,</w:t>
      </w:r>
      <w:r>
        <w:rPr>
          <w:rFonts w:ascii="Arial" w:hAnsi="Arial" w:cs="Arial"/>
          <w:lang w:val="en-GB"/>
        </w:rPr>
        <w:t xml:space="preserve"> </w:t>
      </w:r>
      <w:r w:rsidRPr="00C2105F">
        <w:rPr>
          <w:rFonts w:ascii="Arial" w:hAnsi="Arial" w:cs="Arial"/>
          <w:lang w:val="en-GB"/>
        </w:rPr>
        <w:t>in its Work and Financial Plan for fiscal year 2022, has allocated an estimate of</w:t>
      </w:r>
      <w:r>
        <w:rPr>
          <w:rFonts w:ascii="Arial" w:hAnsi="Arial" w:cs="Arial"/>
          <w:lang w:val="en-GB"/>
        </w:rPr>
        <w:t xml:space="preserve"> </w:t>
      </w:r>
      <w:proofErr w:type="spellStart"/>
      <w:r w:rsidRPr="00C2105F">
        <w:rPr>
          <w:rFonts w:ascii="Arial" w:hAnsi="Arial" w:cs="Arial"/>
          <w:lang w:val="en-GB"/>
        </w:rPr>
        <w:t>PhP</w:t>
      </w:r>
      <w:proofErr w:type="spellEnd"/>
      <w:r w:rsidRPr="00C2105F">
        <w:rPr>
          <w:rFonts w:ascii="Arial" w:hAnsi="Arial" w:cs="Arial"/>
          <w:lang w:val="en-GB"/>
        </w:rPr>
        <w:t xml:space="preserve"> 40 million for the promotion of adolescent health in the communities and in schools.</w:t>
      </w:r>
      <w:r>
        <w:rPr>
          <w:rFonts w:ascii="Arial" w:hAnsi="Arial" w:cs="Arial"/>
          <w:lang w:val="en-GB"/>
        </w:rPr>
        <w:t xml:space="preserve"> </w:t>
      </w:r>
      <w:r w:rsidRPr="00C2105F">
        <w:rPr>
          <w:rFonts w:ascii="Arial" w:hAnsi="Arial" w:cs="Arial"/>
          <w:lang w:val="en-GB"/>
        </w:rPr>
        <w:t>This includes the</w:t>
      </w:r>
      <w:r>
        <w:rPr>
          <w:rFonts w:ascii="Arial" w:hAnsi="Arial" w:cs="Arial"/>
          <w:lang w:val="en-GB"/>
        </w:rPr>
        <w:t xml:space="preserve"> </w:t>
      </w:r>
      <w:r w:rsidRPr="00C2105F">
        <w:rPr>
          <w:rFonts w:ascii="Arial" w:hAnsi="Arial" w:cs="Arial"/>
          <w:lang w:val="en-GB"/>
        </w:rPr>
        <w:t>costs for: policy development and research to support the promotion of</w:t>
      </w:r>
      <w:r>
        <w:rPr>
          <w:rFonts w:ascii="Arial" w:hAnsi="Arial" w:cs="Arial"/>
          <w:lang w:val="en-GB"/>
        </w:rPr>
        <w:t xml:space="preserve"> </w:t>
      </w:r>
      <w:r w:rsidRPr="00C2105F">
        <w:rPr>
          <w:rFonts w:ascii="Arial" w:hAnsi="Arial" w:cs="Arial"/>
          <w:lang w:val="en-GB"/>
        </w:rPr>
        <w:t>positive adolescent</w:t>
      </w:r>
      <w:r>
        <w:rPr>
          <w:rFonts w:ascii="Arial" w:hAnsi="Arial" w:cs="Arial"/>
          <w:lang w:val="en-GB"/>
        </w:rPr>
        <w:t xml:space="preserve"> </w:t>
      </w:r>
      <w:r w:rsidRPr="00C2105F">
        <w:rPr>
          <w:rFonts w:ascii="Arial" w:hAnsi="Arial" w:cs="Arial"/>
          <w:lang w:val="en-GB"/>
        </w:rPr>
        <w:t>sexual and reproductive health; communication, advocacy, and</w:t>
      </w:r>
      <w:r>
        <w:rPr>
          <w:rFonts w:ascii="Arial" w:hAnsi="Arial" w:cs="Arial"/>
          <w:lang w:val="en-GB"/>
        </w:rPr>
        <w:t xml:space="preserve"> </w:t>
      </w:r>
      <w:r w:rsidRPr="00C2105F">
        <w:rPr>
          <w:rFonts w:ascii="Arial" w:hAnsi="Arial" w:cs="Arial"/>
          <w:lang w:val="en-GB"/>
        </w:rPr>
        <w:t>awareness campaigns ; and support to implementation of relevant interventions such as the</w:t>
      </w:r>
      <w:r>
        <w:rPr>
          <w:rFonts w:ascii="Arial" w:hAnsi="Arial" w:cs="Arial"/>
          <w:lang w:val="en-GB"/>
        </w:rPr>
        <w:t xml:space="preserve"> </w:t>
      </w:r>
      <w:r w:rsidRPr="00C2105F">
        <w:rPr>
          <w:rFonts w:ascii="Arial" w:hAnsi="Arial" w:cs="Arial"/>
          <w:lang w:val="en-GB"/>
        </w:rPr>
        <w:t>Health Promotion Playbook</w:t>
      </w:r>
      <w:r>
        <w:rPr>
          <w:rFonts w:ascii="Arial" w:hAnsi="Arial" w:cs="Arial"/>
          <w:lang w:val="en-GB"/>
        </w:rPr>
        <w:t xml:space="preserve"> </w:t>
      </w:r>
      <w:r w:rsidRPr="00C2105F">
        <w:rPr>
          <w:rFonts w:ascii="Arial" w:hAnsi="Arial" w:cs="Arial"/>
          <w:lang w:val="en-GB"/>
        </w:rPr>
        <w:t>for developing adolescent friendly health facilities, and for</w:t>
      </w:r>
      <w:r>
        <w:rPr>
          <w:rFonts w:ascii="Arial" w:hAnsi="Arial" w:cs="Arial"/>
          <w:lang w:val="en-GB"/>
        </w:rPr>
        <w:t xml:space="preserve"> </w:t>
      </w:r>
      <w:r w:rsidRPr="00C2105F">
        <w:rPr>
          <w:rFonts w:ascii="Arial" w:hAnsi="Arial" w:cs="Arial"/>
          <w:lang w:val="en-GB"/>
        </w:rPr>
        <w:t>reorienting adolescent sexual and reproductive health services to include a holistic</w:t>
      </w:r>
      <w:r>
        <w:rPr>
          <w:rFonts w:ascii="Arial" w:hAnsi="Arial" w:cs="Arial"/>
          <w:lang w:val="en-GB"/>
        </w:rPr>
        <w:t xml:space="preserve"> </w:t>
      </w:r>
      <w:r w:rsidRPr="00C2105F">
        <w:rPr>
          <w:rFonts w:ascii="Arial" w:hAnsi="Arial" w:cs="Arial"/>
          <w:lang w:val="en-GB"/>
        </w:rPr>
        <w:t>community-based team that can provide</w:t>
      </w:r>
      <w:r>
        <w:rPr>
          <w:rFonts w:ascii="Arial" w:hAnsi="Arial" w:cs="Arial"/>
          <w:lang w:val="en-GB"/>
        </w:rPr>
        <w:t xml:space="preserve"> </w:t>
      </w:r>
      <w:r w:rsidRPr="00C2105F">
        <w:rPr>
          <w:rFonts w:ascii="Arial" w:hAnsi="Arial" w:cs="Arial"/>
          <w:lang w:val="en-GB"/>
        </w:rPr>
        <w:t>services to Filipino adolescents in their</w:t>
      </w:r>
      <w:r>
        <w:rPr>
          <w:rFonts w:ascii="Arial" w:hAnsi="Arial" w:cs="Arial"/>
          <w:lang w:val="en-GB"/>
        </w:rPr>
        <w:t xml:space="preserve"> </w:t>
      </w:r>
      <w:r w:rsidRPr="00C2105F">
        <w:rPr>
          <w:rFonts w:ascii="Arial" w:hAnsi="Arial" w:cs="Arial"/>
          <w:lang w:val="en-GB"/>
        </w:rPr>
        <w:t>communities and schools as priority settings for health promotion.</w:t>
      </w:r>
    </w:p>
    <w:p w14:paraId="69EA321C" w14:textId="77777777" w:rsidR="00C2105F" w:rsidRPr="00C2105F" w:rsidRDefault="00C2105F" w:rsidP="00C2105F">
      <w:pPr>
        <w:ind w:left="426"/>
        <w:jc w:val="both"/>
        <w:rPr>
          <w:rFonts w:ascii="Arial" w:hAnsi="Arial" w:cs="Arial"/>
          <w:lang w:val="en-GB"/>
        </w:rPr>
      </w:pPr>
    </w:p>
    <w:p w14:paraId="0151E0FB" w14:textId="73B7F11F" w:rsidR="00C2105F" w:rsidRPr="00C2105F" w:rsidRDefault="00C2105F" w:rsidP="00C2105F">
      <w:pPr>
        <w:ind w:left="426"/>
        <w:jc w:val="both"/>
        <w:rPr>
          <w:rFonts w:ascii="Arial" w:hAnsi="Arial" w:cs="Arial"/>
          <w:lang w:val="en-GB"/>
        </w:rPr>
      </w:pPr>
      <w:r w:rsidRPr="00C2105F">
        <w:rPr>
          <w:rFonts w:ascii="Arial" w:hAnsi="Arial" w:cs="Arial"/>
          <w:lang w:val="en-GB"/>
        </w:rPr>
        <w:t xml:space="preserve">Similarly, the DOH has also allocated an estimate of </w:t>
      </w:r>
      <w:proofErr w:type="spellStart"/>
      <w:r w:rsidRPr="00C2105F">
        <w:rPr>
          <w:rFonts w:ascii="Arial" w:hAnsi="Arial" w:cs="Arial"/>
          <w:lang w:val="en-GB"/>
        </w:rPr>
        <w:t>PhP</w:t>
      </w:r>
      <w:proofErr w:type="spellEnd"/>
      <w:r w:rsidRPr="00C2105F">
        <w:rPr>
          <w:rFonts w:ascii="Arial" w:hAnsi="Arial" w:cs="Arial"/>
          <w:lang w:val="en-GB"/>
        </w:rPr>
        <w:t xml:space="preserve"> 26.5 million to support its</w:t>
      </w:r>
      <w:r>
        <w:rPr>
          <w:rFonts w:ascii="Arial" w:hAnsi="Arial" w:cs="Arial"/>
          <w:lang w:val="en-GB"/>
        </w:rPr>
        <w:t xml:space="preserve"> </w:t>
      </w:r>
      <w:r w:rsidRPr="00C2105F">
        <w:rPr>
          <w:rFonts w:ascii="Arial" w:hAnsi="Arial" w:cs="Arial"/>
          <w:lang w:val="en-GB"/>
        </w:rPr>
        <w:t>health</w:t>
      </w:r>
      <w:r>
        <w:rPr>
          <w:rFonts w:ascii="Arial" w:hAnsi="Arial" w:cs="Arial"/>
          <w:lang w:val="en-GB"/>
        </w:rPr>
        <w:t xml:space="preserve"> </w:t>
      </w:r>
      <w:r w:rsidRPr="00C2105F">
        <w:rPr>
          <w:rFonts w:ascii="Arial" w:hAnsi="Arial" w:cs="Arial"/>
          <w:lang w:val="en-GB"/>
        </w:rPr>
        <w:t>promotion functions for the prevention of gender-based violence, violence against</w:t>
      </w:r>
      <w:r>
        <w:rPr>
          <w:rFonts w:ascii="Arial" w:hAnsi="Arial" w:cs="Arial"/>
          <w:lang w:val="en-GB"/>
        </w:rPr>
        <w:t xml:space="preserve"> </w:t>
      </w:r>
      <w:r w:rsidRPr="00C2105F">
        <w:rPr>
          <w:rFonts w:ascii="Arial" w:hAnsi="Arial" w:cs="Arial"/>
          <w:lang w:val="en-GB"/>
        </w:rPr>
        <w:t>women, and</w:t>
      </w:r>
      <w:r>
        <w:rPr>
          <w:rFonts w:ascii="Arial" w:hAnsi="Arial" w:cs="Arial"/>
          <w:lang w:val="en-GB"/>
        </w:rPr>
        <w:t xml:space="preserve"> </w:t>
      </w:r>
      <w:r w:rsidRPr="00C2105F">
        <w:rPr>
          <w:rFonts w:ascii="Arial" w:hAnsi="Arial" w:cs="Arial"/>
          <w:lang w:val="en-GB"/>
        </w:rPr>
        <w:t xml:space="preserve">violence against children specifically on efforts </w:t>
      </w:r>
      <w:proofErr w:type="spellStart"/>
      <w:r w:rsidRPr="00C2105F">
        <w:rPr>
          <w:rFonts w:ascii="Arial" w:hAnsi="Arial" w:cs="Arial"/>
          <w:lang w:val="en-GB"/>
        </w:rPr>
        <w:t>centered</w:t>
      </w:r>
      <w:proofErr w:type="spellEnd"/>
      <w:r w:rsidRPr="00C2105F">
        <w:rPr>
          <w:rFonts w:ascii="Arial" w:hAnsi="Arial" w:cs="Arial"/>
          <w:lang w:val="en-GB"/>
        </w:rPr>
        <w:t xml:space="preserve"> in promoting</w:t>
      </w:r>
      <w:r>
        <w:rPr>
          <w:rFonts w:ascii="Arial" w:hAnsi="Arial" w:cs="Arial"/>
          <w:lang w:val="en-GB"/>
        </w:rPr>
        <w:t xml:space="preserve"> </w:t>
      </w:r>
      <w:r w:rsidRPr="00C2105F">
        <w:rPr>
          <w:rFonts w:ascii="Arial" w:hAnsi="Arial" w:cs="Arial"/>
          <w:lang w:val="en-GB"/>
        </w:rPr>
        <w:t>respect among genders and in disseminating necessary information to increase health- and</w:t>
      </w:r>
      <w:r>
        <w:rPr>
          <w:rFonts w:ascii="Arial" w:hAnsi="Arial" w:cs="Arial"/>
          <w:lang w:val="en-GB"/>
        </w:rPr>
        <w:t xml:space="preserve"> </w:t>
      </w:r>
      <w:r w:rsidRPr="00C2105F">
        <w:rPr>
          <w:rFonts w:ascii="Arial" w:hAnsi="Arial" w:cs="Arial"/>
          <w:lang w:val="en-GB"/>
        </w:rPr>
        <w:t xml:space="preserve">help-seeking </w:t>
      </w:r>
      <w:proofErr w:type="spellStart"/>
      <w:r w:rsidRPr="00C2105F">
        <w:rPr>
          <w:rFonts w:ascii="Arial" w:hAnsi="Arial" w:cs="Arial"/>
          <w:lang w:val="en-GB"/>
        </w:rPr>
        <w:t>behaviors</w:t>
      </w:r>
      <w:proofErr w:type="spellEnd"/>
      <w:r w:rsidRPr="00C2105F">
        <w:rPr>
          <w:rFonts w:ascii="Arial" w:hAnsi="Arial" w:cs="Arial"/>
          <w:lang w:val="en-GB"/>
        </w:rPr>
        <w:t>.</w:t>
      </w:r>
    </w:p>
    <w:p w14:paraId="745B7111" w14:textId="77777777" w:rsidR="00EA1F6A" w:rsidRPr="0084208F" w:rsidRDefault="00EA1F6A" w:rsidP="00C74EE7">
      <w:pPr>
        <w:jc w:val="both"/>
        <w:rPr>
          <w:rFonts w:ascii="Arial" w:hAnsi="Arial" w:cs="Arial"/>
          <w:lang w:val="en-GB"/>
        </w:rPr>
      </w:pPr>
    </w:p>
    <w:p w14:paraId="0F1D76FF" w14:textId="0946FB82" w:rsidR="0093303F" w:rsidRPr="00057CD0" w:rsidRDefault="00C2105F" w:rsidP="00057CD0">
      <w:pPr>
        <w:jc w:val="both"/>
        <w:rPr>
          <w:rFonts w:ascii="Arial" w:hAnsi="Arial" w:cs="Arial"/>
          <w:b/>
          <w:bCs/>
        </w:rPr>
      </w:pPr>
      <w:r>
        <w:rPr>
          <w:rFonts w:ascii="Arial" w:hAnsi="Arial" w:cs="Arial"/>
          <w:lang w:val="en-GB"/>
        </w:rPr>
        <w:t xml:space="preserve">The government of the Philippines </w:t>
      </w:r>
      <w:r w:rsidR="00C74EE7" w:rsidRPr="0084208F">
        <w:rPr>
          <w:rFonts w:ascii="Arial" w:hAnsi="Arial" w:cs="Arial"/>
          <w:lang w:val="en-GB"/>
        </w:rPr>
        <w:t>hope</w:t>
      </w:r>
      <w:r>
        <w:rPr>
          <w:rFonts w:ascii="Arial" w:hAnsi="Arial" w:cs="Arial"/>
          <w:lang w:val="en-GB"/>
        </w:rPr>
        <w:t xml:space="preserve">s </w:t>
      </w:r>
      <w:r w:rsidR="00C74EE7" w:rsidRPr="0084208F">
        <w:rPr>
          <w:rFonts w:ascii="Arial" w:hAnsi="Arial" w:cs="Arial"/>
          <w:lang w:val="en-GB"/>
        </w:rPr>
        <w:t xml:space="preserve">that the above information would contribute to </w:t>
      </w:r>
      <w:r>
        <w:rPr>
          <w:rFonts w:ascii="Arial" w:hAnsi="Arial" w:cs="Arial"/>
          <w:lang w:val="en-GB"/>
        </w:rPr>
        <w:t xml:space="preserve">the SR’s </w:t>
      </w:r>
      <w:r w:rsidR="00C74EE7" w:rsidRPr="0084208F">
        <w:rPr>
          <w:rFonts w:ascii="Arial" w:hAnsi="Arial" w:cs="Arial"/>
          <w:lang w:val="en-GB"/>
        </w:rPr>
        <w:t>deeper appreciation o</w:t>
      </w:r>
      <w:r w:rsidR="00057CD0">
        <w:rPr>
          <w:rFonts w:ascii="Arial" w:hAnsi="Arial" w:cs="Arial"/>
          <w:lang w:val="en-GB"/>
        </w:rPr>
        <w:t>f</w:t>
      </w:r>
      <w:r w:rsidR="00C74EE7" w:rsidRPr="0084208F">
        <w:rPr>
          <w:rFonts w:ascii="Arial" w:hAnsi="Arial" w:cs="Arial"/>
          <w:lang w:val="en-GB"/>
        </w:rPr>
        <w:t xml:space="preserve"> the topic</w:t>
      </w:r>
      <w:r w:rsidR="00057CD0">
        <w:rPr>
          <w:rFonts w:ascii="Arial" w:hAnsi="Arial" w:cs="Arial"/>
          <w:lang w:val="en-GB"/>
        </w:rPr>
        <w:t xml:space="preserve"> and be useful</w:t>
      </w:r>
      <w:r w:rsidR="00C74EE7" w:rsidRPr="0084208F">
        <w:rPr>
          <w:rFonts w:ascii="Arial" w:hAnsi="Arial" w:cs="Arial"/>
          <w:lang w:val="en-GB"/>
        </w:rPr>
        <w:t xml:space="preserve"> in the preparation of the </w:t>
      </w:r>
      <w:r>
        <w:rPr>
          <w:rFonts w:ascii="Arial" w:hAnsi="Arial" w:cs="Arial"/>
          <w:lang w:val="en-GB"/>
        </w:rPr>
        <w:t xml:space="preserve">upcoming </w:t>
      </w:r>
      <w:r w:rsidR="00C74EE7" w:rsidRPr="0084208F">
        <w:rPr>
          <w:rFonts w:ascii="Arial" w:hAnsi="Arial" w:cs="Arial"/>
          <w:lang w:val="en-GB"/>
        </w:rPr>
        <w:t xml:space="preserve">thematic report </w:t>
      </w:r>
      <w:r>
        <w:rPr>
          <w:rFonts w:ascii="Arial" w:hAnsi="Arial" w:cs="Arial"/>
          <w:lang w:val="en-GB"/>
        </w:rPr>
        <w:t xml:space="preserve">of the SR </w:t>
      </w:r>
      <w:r w:rsidR="00C74EE7" w:rsidRPr="0084208F">
        <w:rPr>
          <w:rFonts w:ascii="Arial" w:hAnsi="Arial" w:cs="Arial"/>
          <w:lang w:val="en-GB"/>
        </w:rPr>
        <w:t>to be presented at the 50th Regular Session of the Human Rights Council in June 2022 (pursuant to HRC resolution 4</w:t>
      </w:r>
      <w:r w:rsidR="00EA1F6A">
        <w:rPr>
          <w:rFonts w:ascii="Arial" w:hAnsi="Arial" w:cs="Arial"/>
          <w:lang w:val="en-GB"/>
        </w:rPr>
        <w:t>2/16</w:t>
      </w:r>
      <w:r w:rsidR="00C74EE7" w:rsidRPr="0084208F">
        <w:rPr>
          <w:rFonts w:ascii="Arial" w:hAnsi="Arial" w:cs="Arial"/>
          <w:lang w:val="en-GB"/>
        </w:rPr>
        <w:t>).  #</w:t>
      </w:r>
      <w:r w:rsidRPr="0084208F">
        <w:rPr>
          <w:rFonts w:ascii="Arial" w:hAnsi="Arial" w:cs="Arial"/>
          <w:lang w:val="en-GB"/>
        </w:rPr>
        <w:t>##</w:t>
      </w:r>
    </w:p>
    <w:sectPr w:rsidR="0093303F" w:rsidRPr="00057CD0" w:rsidSect="00124143">
      <w:headerReference w:type="default" r:id="rId8"/>
      <w:footerReference w:type="default" r:id="rId9"/>
      <w:footerReference w:type="first" r:id="rId10"/>
      <w:pgSz w:w="11906" w:h="16838" w:code="9"/>
      <w:pgMar w:top="851" w:right="1247" w:bottom="56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8D62" w14:textId="77777777" w:rsidR="009561D3" w:rsidRDefault="009561D3" w:rsidP="00D0409D">
      <w:r>
        <w:separator/>
      </w:r>
    </w:p>
  </w:endnote>
  <w:endnote w:type="continuationSeparator" w:id="0">
    <w:p w14:paraId="50C456A8" w14:textId="77777777" w:rsidR="009561D3" w:rsidRDefault="009561D3" w:rsidP="00D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268168"/>
      <w:docPartObj>
        <w:docPartGallery w:val="Page Numbers (Bottom of Page)"/>
        <w:docPartUnique/>
      </w:docPartObj>
    </w:sdtPr>
    <w:sdtEndPr>
      <w:rPr>
        <w:noProof/>
      </w:rPr>
    </w:sdtEndPr>
    <w:sdtContent>
      <w:p w14:paraId="5AEF3DCC" w14:textId="77B59D8C" w:rsidR="008333D4" w:rsidRDefault="008333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06C483" w14:textId="77777777" w:rsidR="00D0409D" w:rsidRDefault="00D0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483324"/>
      <w:docPartObj>
        <w:docPartGallery w:val="Page Numbers (Bottom of Page)"/>
        <w:docPartUnique/>
      </w:docPartObj>
    </w:sdtPr>
    <w:sdtEndPr>
      <w:rPr>
        <w:noProof/>
        <w:sz w:val="16"/>
        <w:szCs w:val="16"/>
      </w:rPr>
    </w:sdtEndPr>
    <w:sdtContent>
      <w:p w14:paraId="44A91CFE" w14:textId="31A5495F" w:rsidR="00F07B4D" w:rsidRPr="00C02012" w:rsidRDefault="00F07B4D">
        <w:pPr>
          <w:pStyle w:val="Footer"/>
          <w:jc w:val="right"/>
          <w:rPr>
            <w:sz w:val="16"/>
            <w:szCs w:val="16"/>
          </w:rPr>
        </w:pPr>
        <w:r w:rsidRPr="00C02012">
          <w:rPr>
            <w:sz w:val="16"/>
            <w:szCs w:val="16"/>
          </w:rPr>
          <w:fldChar w:fldCharType="begin"/>
        </w:r>
        <w:r w:rsidRPr="00C02012">
          <w:rPr>
            <w:sz w:val="16"/>
            <w:szCs w:val="16"/>
          </w:rPr>
          <w:instrText xml:space="preserve"> PAGE   \* MERGEFORMAT </w:instrText>
        </w:r>
        <w:r w:rsidRPr="00C02012">
          <w:rPr>
            <w:sz w:val="16"/>
            <w:szCs w:val="16"/>
          </w:rPr>
          <w:fldChar w:fldCharType="separate"/>
        </w:r>
        <w:r w:rsidRPr="00C02012">
          <w:rPr>
            <w:noProof/>
            <w:sz w:val="16"/>
            <w:szCs w:val="16"/>
          </w:rPr>
          <w:t>2</w:t>
        </w:r>
        <w:r w:rsidRPr="00C02012">
          <w:rPr>
            <w:noProof/>
            <w:sz w:val="16"/>
            <w:szCs w:val="16"/>
          </w:rPr>
          <w:fldChar w:fldCharType="end"/>
        </w:r>
      </w:p>
    </w:sdtContent>
  </w:sdt>
  <w:p w14:paraId="1F2E0CAD" w14:textId="77777777" w:rsidR="00F07B4D" w:rsidRDefault="00F07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1D9E" w14:textId="77777777" w:rsidR="009561D3" w:rsidRDefault="009561D3" w:rsidP="00D0409D">
      <w:r>
        <w:separator/>
      </w:r>
    </w:p>
  </w:footnote>
  <w:footnote w:type="continuationSeparator" w:id="0">
    <w:p w14:paraId="36E46046" w14:textId="77777777" w:rsidR="009561D3" w:rsidRDefault="009561D3" w:rsidP="00D0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E851" w14:textId="7E5CB9CA" w:rsidR="006D3741" w:rsidRPr="008333D4" w:rsidRDefault="00057CD0" w:rsidP="00916B77">
    <w:pPr>
      <w:rPr>
        <w:i/>
        <w:iCs/>
        <w:color w:val="4472C4" w:themeColor="accent1"/>
        <w:lang w:val="en-GB"/>
      </w:rPr>
    </w:pPr>
    <w:r>
      <w:rPr>
        <w:i/>
        <w:iCs/>
        <w:color w:val="4472C4" w:themeColor="accent1"/>
        <w:lang w:val="en-GB"/>
      </w:rPr>
      <w:t>The</w:t>
    </w:r>
    <w:r w:rsidR="00A50E08">
      <w:rPr>
        <w:i/>
        <w:iCs/>
        <w:color w:val="4472C4" w:themeColor="accent1"/>
        <w:lang w:val="en-GB"/>
      </w:rPr>
      <w:t xml:space="preserve"> </w:t>
    </w:r>
    <w:r w:rsidR="00916B77" w:rsidRPr="00916B77">
      <w:rPr>
        <w:i/>
        <w:iCs/>
        <w:color w:val="4472C4" w:themeColor="accent1"/>
      </w:rPr>
      <w:t xml:space="preserve">Philippines’ Contribution </w:t>
    </w:r>
    <w:r>
      <w:rPr>
        <w:i/>
        <w:iCs/>
        <w:color w:val="4472C4" w:themeColor="accent1"/>
        <w:lang w:val="en-US"/>
      </w:rPr>
      <w:t>to</w:t>
    </w:r>
    <w:r w:rsidR="00916B77" w:rsidRPr="00916B77">
      <w:rPr>
        <w:i/>
        <w:iCs/>
        <w:color w:val="4472C4" w:themeColor="accent1"/>
      </w:rPr>
      <w:t xml:space="preserve"> </w:t>
    </w:r>
    <w:r w:rsidR="00916B77">
      <w:rPr>
        <w:i/>
        <w:iCs/>
        <w:color w:val="4472C4" w:themeColor="accent1"/>
        <w:lang w:val="en-GB"/>
      </w:rPr>
      <w:t xml:space="preserve">the SR on </w:t>
    </w:r>
    <w:r w:rsidR="008333D4">
      <w:rPr>
        <w:i/>
        <w:iCs/>
        <w:color w:val="4472C4" w:themeColor="accent1"/>
        <w:lang w:val="en-GB"/>
      </w:rPr>
      <w:t>Physical and Mental Health</w:t>
    </w:r>
    <w:r w:rsidR="00916B77">
      <w:rPr>
        <w:i/>
        <w:iCs/>
        <w:color w:val="4472C4" w:themeColor="accent1"/>
        <w:lang w:val="en-GB"/>
      </w:rPr>
      <w:t>’</w:t>
    </w:r>
    <w:r w:rsidR="008333D4">
      <w:rPr>
        <w:i/>
        <w:iCs/>
        <w:color w:val="4472C4" w:themeColor="accent1"/>
        <w:lang w:val="en-GB"/>
      </w:rPr>
      <w:t>s</w:t>
    </w:r>
    <w:r w:rsidR="00916B77">
      <w:rPr>
        <w:i/>
        <w:iCs/>
        <w:color w:val="4472C4" w:themeColor="accent1"/>
        <w:lang w:val="en-GB"/>
      </w:rPr>
      <w:t xml:space="preserve"> </w:t>
    </w:r>
    <w:r w:rsidR="00916B77" w:rsidRPr="00916B77">
      <w:rPr>
        <w:i/>
        <w:iCs/>
        <w:color w:val="4472C4" w:themeColor="accent1"/>
      </w:rPr>
      <w:t xml:space="preserve">Thematic Report on </w:t>
    </w:r>
    <w:r w:rsidR="008333D4">
      <w:rPr>
        <w:i/>
        <w:iCs/>
        <w:color w:val="4472C4" w:themeColor="accent1"/>
        <w:lang w:val="en-GB"/>
      </w:rPr>
      <w:t>Violence and Its Impact on the Right to Health</w:t>
    </w:r>
  </w:p>
  <w:p w14:paraId="7173DBEA" w14:textId="77777777" w:rsidR="00CB6207" w:rsidRPr="00916B77" w:rsidRDefault="00CB6207" w:rsidP="00916B77">
    <w:pPr>
      <w:rPr>
        <w:i/>
        <w:iCs/>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789"/>
    <w:multiLevelType w:val="hybridMultilevel"/>
    <w:tmpl w:val="23E8E62E"/>
    <w:lvl w:ilvl="0" w:tplc="D31EE0F2">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89310A8"/>
    <w:multiLevelType w:val="multilevel"/>
    <w:tmpl w:val="81C6FA34"/>
    <w:lvl w:ilvl="0">
      <w:start w:val="1"/>
      <w:numFmt w:val="bullet"/>
      <w:lvlText w:val="●"/>
      <w:lvlJc w:val="left"/>
      <w:pPr>
        <w:ind w:left="1800" w:hanging="360"/>
      </w:pPr>
      <w:rPr>
        <w:rFonts w:ascii="Noto Sans Symbols" w:eastAsia="Times New Roman" w:hAnsi="Noto Sans Symbols"/>
      </w:rPr>
    </w:lvl>
    <w:lvl w:ilvl="1">
      <w:start w:val="1"/>
      <w:numFmt w:val="bullet"/>
      <w:lvlText w:val="o"/>
      <w:lvlJc w:val="left"/>
      <w:pPr>
        <w:ind w:left="2520" w:hanging="360"/>
      </w:pPr>
      <w:rPr>
        <w:rFonts w:ascii="Courier New" w:eastAsia="Times New Roman" w:hAnsi="Courier New"/>
      </w:rPr>
    </w:lvl>
    <w:lvl w:ilvl="2">
      <w:start w:val="1"/>
      <w:numFmt w:val="bullet"/>
      <w:lvlText w:val="▪"/>
      <w:lvlJc w:val="left"/>
      <w:pPr>
        <w:ind w:left="3240" w:hanging="360"/>
      </w:pPr>
      <w:rPr>
        <w:rFonts w:ascii="Noto Sans Symbols" w:eastAsia="Times New Roman" w:hAnsi="Noto Sans Symbols"/>
      </w:rPr>
    </w:lvl>
    <w:lvl w:ilvl="3">
      <w:start w:val="1"/>
      <w:numFmt w:val="bullet"/>
      <w:lvlText w:val="●"/>
      <w:lvlJc w:val="left"/>
      <w:pPr>
        <w:ind w:left="3960" w:hanging="360"/>
      </w:pPr>
      <w:rPr>
        <w:rFonts w:ascii="Noto Sans Symbols" w:eastAsia="Times New Roman" w:hAnsi="Noto Sans Symbols"/>
      </w:rPr>
    </w:lvl>
    <w:lvl w:ilvl="4">
      <w:start w:val="1"/>
      <w:numFmt w:val="bullet"/>
      <w:lvlText w:val="o"/>
      <w:lvlJc w:val="left"/>
      <w:pPr>
        <w:ind w:left="4680" w:hanging="360"/>
      </w:pPr>
      <w:rPr>
        <w:rFonts w:ascii="Courier New" w:eastAsia="Times New Roman" w:hAnsi="Courier New"/>
      </w:rPr>
    </w:lvl>
    <w:lvl w:ilvl="5">
      <w:start w:val="1"/>
      <w:numFmt w:val="bullet"/>
      <w:lvlText w:val="▪"/>
      <w:lvlJc w:val="left"/>
      <w:pPr>
        <w:ind w:left="5400" w:hanging="360"/>
      </w:pPr>
      <w:rPr>
        <w:rFonts w:ascii="Noto Sans Symbols" w:eastAsia="Times New Roman" w:hAnsi="Noto Sans Symbols"/>
      </w:rPr>
    </w:lvl>
    <w:lvl w:ilvl="6">
      <w:start w:val="1"/>
      <w:numFmt w:val="bullet"/>
      <w:lvlText w:val="●"/>
      <w:lvlJc w:val="left"/>
      <w:pPr>
        <w:ind w:left="6120" w:hanging="360"/>
      </w:pPr>
      <w:rPr>
        <w:rFonts w:ascii="Noto Sans Symbols" w:eastAsia="Times New Roman" w:hAnsi="Noto Sans Symbols"/>
      </w:rPr>
    </w:lvl>
    <w:lvl w:ilvl="7">
      <w:start w:val="1"/>
      <w:numFmt w:val="bullet"/>
      <w:lvlText w:val="o"/>
      <w:lvlJc w:val="left"/>
      <w:pPr>
        <w:ind w:left="6840" w:hanging="360"/>
      </w:pPr>
      <w:rPr>
        <w:rFonts w:ascii="Courier New" w:eastAsia="Times New Roman" w:hAnsi="Courier New"/>
      </w:rPr>
    </w:lvl>
    <w:lvl w:ilvl="8">
      <w:start w:val="1"/>
      <w:numFmt w:val="bullet"/>
      <w:lvlText w:val="▪"/>
      <w:lvlJc w:val="left"/>
      <w:pPr>
        <w:ind w:left="7560" w:hanging="360"/>
      </w:pPr>
      <w:rPr>
        <w:rFonts w:ascii="Noto Sans Symbols" w:eastAsia="Times New Roman" w:hAnsi="Noto Sans Symbols"/>
      </w:rPr>
    </w:lvl>
  </w:abstractNum>
  <w:abstractNum w:abstractNumId="2" w15:restartNumberingAfterBreak="0">
    <w:nsid w:val="0D5247A3"/>
    <w:multiLevelType w:val="hybridMultilevel"/>
    <w:tmpl w:val="E81039C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0F1B3F08"/>
    <w:multiLevelType w:val="hybridMultilevel"/>
    <w:tmpl w:val="F1E6C84A"/>
    <w:lvl w:ilvl="0" w:tplc="F482E4E6">
      <w:start w:val="1"/>
      <w:numFmt w:val="bullet"/>
      <w:lvlText w:val="-"/>
      <w:lvlJc w:val="left"/>
      <w:pPr>
        <w:ind w:left="1211" w:hanging="360"/>
      </w:pPr>
      <w:rPr>
        <w:rFonts w:ascii="Arial" w:eastAsiaTheme="minorHAnsi" w:hAnsi="Arial" w:cs="Arial" w:hint="default"/>
        <w:b w:val="0"/>
        <w:sz w:val="23"/>
      </w:rPr>
    </w:lvl>
    <w:lvl w:ilvl="1" w:tplc="20000003">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4" w15:restartNumberingAfterBreak="0">
    <w:nsid w:val="14B1781A"/>
    <w:multiLevelType w:val="hybridMultilevel"/>
    <w:tmpl w:val="2C5A089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7046A3"/>
    <w:multiLevelType w:val="hybridMultilevel"/>
    <w:tmpl w:val="37F4F7B8"/>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6" w15:restartNumberingAfterBreak="0">
    <w:nsid w:val="192E20F8"/>
    <w:multiLevelType w:val="hybridMultilevel"/>
    <w:tmpl w:val="E4F2CCCE"/>
    <w:lvl w:ilvl="0" w:tplc="20000005">
      <w:start w:val="1"/>
      <w:numFmt w:val="bullet"/>
      <w:lvlText w:val=""/>
      <w:lvlJc w:val="left"/>
      <w:pPr>
        <w:ind w:left="1931" w:hanging="360"/>
      </w:pPr>
      <w:rPr>
        <w:rFonts w:ascii="Wingdings" w:hAnsi="Wingdings" w:hint="default"/>
      </w:rPr>
    </w:lvl>
    <w:lvl w:ilvl="1" w:tplc="20000003" w:tentative="1">
      <w:start w:val="1"/>
      <w:numFmt w:val="bullet"/>
      <w:lvlText w:val="o"/>
      <w:lvlJc w:val="left"/>
      <w:pPr>
        <w:ind w:left="2651" w:hanging="360"/>
      </w:pPr>
      <w:rPr>
        <w:rFonts w:ascii="Courier New" w:hAnsi="Courier New" w:cs="Courier New" w:hint="default"/>
      </w:rPr>
    </w:lvl>
    <w:lvl w:ilvl="2" w:tplc="20000005" w:tentative="1">
      <w:start w:val="1"/>
      <w:numFmt w:val="bullet"/>
      <w:lvlText w:val=""/>
      <w:lvlJc w:val="left"/>
      <w:pPr>
        <w:ind w:left="3371" w:hanging="360"/>
      </w:pPr>
      <w:rPr>
        <w:rFonts w:ascii="Wingdings" w:hAnsi="Wingdings" w:hint="default"/>
      </w:rPr>
    </w:lvl>
    <w:lvl w:ilvl="3" w:tplc="20000001" w:tentative="1">
      <w:start w:val="1"/>
      <w:numFmt w:val="bullet"/>
      <w:lvlText w:val=""/>
      <w:lvlJc w:val="left"/>
      <w:pPr>
        <w:ind w:left="4091" w:hanging="360"/>
      </w:pPr>
      <w:rPr>
        <w:rFonts w:ascii="Symbol" w:hAnsi="Symbol" w:hint="default"/>
      </w:rPr>
    </w:lvl>
    <w:lvl w:ilvl="4" w:tplc="20000003" w:tentative="1">
      <w:start w:val="1"/>
      <w:numFmt w:val="bullet"/>
      <w:lvlText w:val="o"/>
      <w:lvlJc w:val="left"/>
      <w:pPr>
        <w:ind w:left="4811" w:hanging="360"/>
      </w:pPr>
      <w:rPr>
        <w:rFonts w:ascii="Courier New" w:hAnsi="Courier New" w:cs="Courier New" w:hint="default"/>
      </w:rPr>
    </w:lvl>
    <w:lvl w:ilvl="5" w:tplc="20000005" w:tentative="1">
      <w:start w:val="1"/>
      <w:numFmt w:val="bullet"/>
      <w:lvlText w:val=""/>
      <w:lvlJc w:val="left"/>
      <w:pPr>
        <w:ind w:left="5531" w:hanging="360"/>
      </w:pPr>
      <w:rPr>
        <w:rFonts w:ascii="Wingdings" w:hAnsi="Wingdings" w:hint="default"/>
      </w:rPr>
    </w:lvl>
    <w:lvl w:ilvl="6" w:tplc="20000001" w:tentative="1">
      <w:start w:val="1"/>
      <w:numFmt w:val="bullet"/>
      <w:lvlText w:val=""/>
      <w:lvlJc w:val="left"/>
      <w:pPr>
        <w:ind w:left="6251" w:hanging="360"/>
      </w:pPr>
      <w:rPr>
        <w:rFonts w:ascii="Symbol" w:hAnsi="Symbol" w:hint="default"/>
      </w:rPr>
    </w:lvl>
    <w:lvl w:ilvl="7" w:tplc="20000003" w:tentative="1">
      <w:start w:val="1"/>
      <w:numFmt w:val="bullet"/>
      <w:lvlText w:val="o"/>
      <w:lvlJc w:val="left"/>
      <w:pPr>
        <w:ind w:left="6971" w:hanging="360"/>
      </w:pPr>
      <w:rPr>
        <w:rFonts w:ascii="Courier New" w:hAnsi="Courier New" w:cs="Courier New" w:hint="default"/>
      </w:rPr>
    </w:lvl>
    <w:lvl w:ilvl="8" w:tplc="20000005" w:tentative="1">
      <w:start w:val="1"/>
      <w:numFmt w:val="bullet"/>
      <w:lvlText w:val=""/>
      <w:lvlJc w:val="left"/>
      <w:pPr>
        <w:ind w:left="7691" w:hanging="360"/>
      </w:pPr>
      <w:rPr>
        <w:rFonts w:ascii="Wingdings" w:hAnsi="Wingdings" w:hint="default"/>
      </w:rPr>
    </w:lvl>
  </w:abstractNum>
  <w:abstractNum w:abstractNumId="7" w15:restartNumberingAfterBreak="0">
    <w:nsid w:val="29544244"/>
    <w:multiLevelType w:val="hybridMultilevel"/>
    <w:tmpl w:val="E40C2CBA"/>
    <w:lvl w:ilvl="0" w:tplc="84ECDAD6">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B4D738B"/>
    <w:multiLevelType w:val="hybridMultilevel"/>
    <w:tmpl w:val="E8DCB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CCC4035"/>
    <w:multiLevelType w:val="hybridMultilevel"/>
    <w:tmpl w:val="23E8E62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7296084"/>
    <w:multiLevelType w:val="hybridMultilevel"/>
    <w:tmpl w:val="261452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44400D87"/>
    <w:multiLevelType w:val="hybridMultilevel"/>
    <w:tmpl w:val="532E79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B51D84"/>
    <w:multiLevelType w:val="hybridMultilevel"/>
    <w:tmpl w:val="E0F6C75A"/>
    <w:lvl w:ilvl="0" w:tplc="F06AAF40">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500051B9"/>
    <w:multiLevelType w:val="hybridMultilevel"/>
    <w:tmpl w:val="C900BB7C"/>
    <w:lvl w:ilvl="0" w:tplc="F482E4E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4313012"/>
    <w:multiLevelType w:val="hybridMultilevel"/>
    <w:tmpl w:val="F9A6EE74"/>
    <w:lvl w:ilvl="0" w:tplc="20000005">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5" w15:restartNumberingAfterBreak="0">
    <w:nsid w:val="726564D8"/>
    <w:multiLevelType w:val="hybridMultilevel"/>
    <w:tmpl w:val="C9E4DDA8"/>
    <w:lvl w:ilvl="0" w:tplc="4F9A245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7430192D"/>
    <w:multiLevelType w:val="hybridMultilevel"/>
    <w:tmpl w:val="9DFC6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5708FF"/>
    <w:multiLevelType w:val="multilevel"/>
    <w:tmpl w:val="793C87D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777E7ABD"/>
    <w:multiLevelType w:val="hybridMultilevel"/>
    <w:tmpl w:val="CE32CE56"/>
    <w:lvl w:ilvl="0" w:tplc="F482E4E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4F7041"/>
    <w:multiLevelType w:val="multilevel"/>
    <w:tmpl w:val="58D42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
  </w:num>
  <w:num w:numId="3">
    <w:abstractNumId w:val="14"/>
  </w:num>
  <w:num w:numId="4">
    <w:abstractNumId w:val="10"/>
  </w:num>
  <w:num w:numId="5">
    <w:abstractNumId w:val="3"/>
  </w:num>
  <w:num w:numId="6">
    <w:abstractNumId w:val="18"/>
  </w:num>
  <w:num w:numId="7">
    <w:abstractNumId w:val="6"/>
  </w:num>
  <w:num w:numId="8">
    <w:abstractNumId w:val="13"/>
  </w:num>
  <w:num w:numId="9">
    <w:abstractNumId w:val="8"/>
  </w:num>
  <w:num w:numId="10">
    <w:abstractNumId w:val="19"/>
  </w:num>
  <w:num w:numId="11">
    <w:abstractNumId w:val="16"/>
  </w:num>
  <w:num w:numId="12">
    <w:abstractNumId w:val="12"/>
  </w:num>
  <w:num w:numId="13">
    <w:abstractNumId w:val="0"/>
  </w:num>
  <w:num w:numId="14">
    <w:abstractNumId w:val="9"/>
  </w:num>
  <w:num w:numId="15">
    <w:abstractNumId w:val="4"/>
  </w:num>
  <w:num w:numId="16">
    <w:abstractNumId w:val="15"/>
  </w:num>
  <w:num w:numId="17">
    <w:abstractNumId w:val="7"/>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10"/>
    <w:rsid w:val="00005C86"/>
    <w:rsid w:val="00006C96"/>
    <w:rsid w:val="000071D5"/>
    <w:rsid w:val="00007973"/>
    <w:rsid w:val="000240A2"/>
    <w:rsid w:val="00025AB0"/>
    <w:rsid w:val="00043D83"/>
    <w:rsid w:val="0005364C"/>
    <w:rsid w:val="00057CD0"/>
    <w:rsid w:val="000626F7"/>
    <w:rsid w:val="00071EBC"/>
    <w:rsid w:val="00072A6E"/>
    <w:rsid w:val="000737AF"/>
    <w:rsid w:val="000826F8"/>
    <w:rsid w:val="00084713"/>
    <w:rsid w:val="00084E53"/>
    <w:rsid w:val="000879EA"/>
    <w:rsid w:val="00091145"/>
    <w:rsid w:val="00097645"/>
    <w:rsid w:val="000A0518"/>
    <w:rsid w:val="000A4910"/>
    <w:rsid w:val="000B12DB"/>
    <w:rsid w:val="000B1CBB"/>
    <w:rsid w:val="000B45C2"/>
    <w:rsid w:val="000D666F"/>
    <w:rsid w:val="000D6DBB"/>
    <w:rsid w:val="000F171F"/>
    <w:rsid w:val="000F3901"/>
    <w:rsid w:val="00105F89"/>
    <w:rsid w:val="00107DA9"/>
    <w:rsid w:val="00115995"/>
    <w:rsid w:val="001216D0"/>
    <w:rsid w:val="00124143"/>
    <w:rsid w:val="00127A81"/>
    <w:rsid w:val="00133B67"/>
    <w:rsid w:val="0013414B"/>
    <w:rsid w:val="001409F4"/>
    <w:rsid w:val="00151358"/>
    <w:rsid w:val="001607A7"/>
    <w:rsid w:val="0016091B"/>
    <w:rsid w:val="00165E03"/>
    <w:rsid w:val="001759EE"/>
    <w:rsid w:val="0017652C"/>
    <w:rsid w:val="00187EB2"/>
    <w:rsid w:val="00187FDD"/>
    <w:rsid w:val="00197D5B"/>
    <w:rsid w:val="001A20EA"/>
    <w:rsid w:val="001C2040"/>
    <w:rsid w:val="001C7E35"/>
    <w:rsid w:val="001D0649"/>
    <w:rsid w:val="001D0B2A"/>
    <w:rsid w:val="001D7990"/>
    <w:rsid w:val="001F4FEA"/>
    <w:rsid w:val="00223328"/>
    <w:rsid w:val="00250D76"/>
    <w:rsid w:val="00252F2F"/>
    <w:rsid w:val="00263B72"/>
    <w:rsid w:val="00264A7B"/>
    <w:rsid w:val="00267E3D"/>
    <w:rsid w:val="00283ABE"/>
    <w:rsid w:val="002A2C2D"/>
    <w:rsid w:val="002A2D04"/>
    <w:rsid w:val="002B1F7A"/>
    <w:rsid w:val="002B5D02"/>
    <w:rsid w:val="002B6271"/>
    <w:rsid w:val="002C3F22"/>
    <w:rsid w:val="002C74E4"/>
    <w:rsid w:val="002D0598"/>
    <w:rsid w:val="002E02BB"/>
    <w:rsid w:val="002E3223"/>
    <w:rsid w:val="002E34C7"/>
    <w:rsid w:val="002F4975"/>
    <w:rsid w:val="00303536"/>
    <w:rsid w:val="00304CE5"/>
    <w:rsid w:val="003079DE"/>
    <w:rsid w:val="003210DD"/>
    <w:rsid w:val="00323F54"/>
    <w:rsid w:val="00324965"/>
    <w:rsid w:val="00324FAF"/>
    <w:rsid w:val="003315CC"/>
    <w:rsid w:val="003359AD"/>
    <w:rsid w:val="00340B3F"/>
    <w:rsid w:val="00345407"/>
    <w:rsid w:val="00366BBC"/>
    <w:rsid w:val="00375D8B"/>
    <w:rsid w:val="00381056"/>
    <w:rsid w:val="00383128"/>
    <w:rsid w:val="00383E38"/>
    <w:rsid w:val="003967E7"/>
    <w:rsid w:val="003A4235"/>
    <w:rsid w:val="003B196F"/>
    <w:rsid w:val="003B4F81"/>
    <w:rsid w:val="003B57CA"/>
    <w:rsid w:val="003C46CA"/>
    <w:rsid w:val="003C74B9"/>
    <w:rsid w:val="003D4999"/>
    <w:rsid w:val="003D4AD2"/>
    <w:rsid w:val="003D4C60"/>
    <w:rsid w:val="003D70E0"/>
    <w:rsid w:val="003E3C00"/>
    <w:rsid w:val="003E3D40"/>
    <w:rsid w:val="003E6C88"/>
    <w:rsid w:val="003E782C"/>
    <w:rsid w:val="003F508F"/>
    <w:rsid w:val="004052BE"/>
    <w:rsid w:val="004052C4"/>
    <w:rsid w:val="00416747"/>
    <w:rsid w:val="00420B0E"/>
    <w:rsid w:val="00424CD6"/>
    <w:rsid w:val="004261EF"/>
    <w:rsid w:val="00451A67"/>
    <w:rsid w:val="00452428"/>
    <w:rsid w:val="00455A8F"/>
    <w:rsid w:val="00460E60"/>
    <w:rsid w:val="00481768"/>
    <w:rsid w:val="00490126"/>
    <w:rsid w:val="00491DB7"/>
    <w:rsid w:val="00495D36"/>
    <w:rsid w:val="00495E33"/>
    <w:rsid w:val="00496D62"/>
    <w:rsid w:val="004A2947"/>
    <w:rsid w:val="004A3530"/>
    <w:rsid w:val="004A452D"/>
    <w:rsid w:val="004A563D"/>
    <w:rsid w:val="004B749D"/>
    <w:rsid w:val="004C4115"/>
    <w:rsid w:val="004C4776"/>
    <w:rsid w:val="004C4791"/>
    <w:rsid w:val="004C4C93"/>
    <w:rsid w:val="004C7ACB"/>
    <w:rsid w:val="004D3C85"/>
    <w:rsid w:val="004D4BAC"/>
    <w:rsid w:val="004D63CF"/>
    <w:rsid w:val="004E0AD3"/>
    <w:rsid w:val="004E3C4E"/>
    <w:rsid w:val="004E6446"/>
    <w:rsid w:val="004F1190"/>
    <w:rsid w:val="004F1AD1"/>
    <w:rsid w:val="004F3EB5"/>
    <w:rsid w:val="00503D8D"/>
    <w:rsid w:val="005128C0"/>
    <w:rsid w:val="0051341A"/>
    <w:rsid w:val="005269D4"/>
    <w:rsid w:val="00533AC7"/>
    <w:rsid w:val="00537356"/>
    <w:rsid w:val="00544CAE"/>
    <w:rsid w:val="005504BB"/>
    <w:rsid w:val="0055388B"/>
    <w:rsid w:val="0055474E"/>
    <w:rsid w:val="0055478E"/>
    <w:rsid w:val="00557C1C"/>
    <w:rsid w:val="00566999"/>
    <w:rsid w:val="00575C2B"/>
    <w:rsid w:val="00576776"/>
    <w:rsid w:val="00576A62"/>
    <w:rsid w:val="00591AFB"/>
    <w:rsid w:val="00591E0E"/>
    <w:rsid w:val="00592DD4"/>
    <w:rsid w:val="005930FB"/>
    <w:rsid w:val="005A5941"/>
    <w:rsid w:val="005B0B32"/>
    <w:rsid w:val="005B50F9"/>
    <w:rsid w:val="005C0381"/>
    <w:rsid w:val="005C2D3D"/>
    <w:rsid w:val="005C57C9"/>
    <w:rsid w:val="005E0AA4"/>
    <w:rsid w:val="005E0ABF"/>
    <w:rsid w:val="005E4280"/>
    <w:rsid w:val="005F3D0C"/>
    <w:rsid w:val="00602914"/>
    <w:rsid w:val="00614C33"/>
    <w:rsid w:val="00615298"/>
    <w:rsid w:val="00620A70"/>
    <w:rsid w:val="006331CE"/>
    <w:rsid w:val="00640BEF"/>
    <w:rsid w:val="00640C8A"/>
    <w:rsid w:val="00642BA1"/>
    <w:rsid w:val="00646568"/>
    <w:rsid w:val="00661EE7"/>
    <w:rsid w:val="00662997"/>
    <w:rsid w:val="006643FA"/>
    <w:rsid w:val="00664C18"/>
    <w:rsid w:val="0067799A"/>
    <w:rsid w:val="0068065B"/>
    <w:rsid w:val="00681364"/>
    <w:rsid w:val="00684582"/>
    <w:rsid w:val="006947B3"/>
    <w:rsid w:val="00694CF2"/>
    <w:rsid w:val="006B37F9"/>
    <w:rsid w:val="006C4436"/>
    <w:rsid w:val="006C4AFC"/>
    <w:rsid w:val="006D0C21"/>
    <w:rsid w:val="006D3741"/>
    <w:rsid w:val="006D3DD3"/>
    <w:rsid w:val="006E01F7"/>
    <w:rsid w:val="006E16E4"/>
    <w:rsid w:val="006E4B43"/>
    <w:rsid w:val="006F56CD"/>
    <w:rsid w:val="00700C53"/>
    <w:rsid w:val="00707986"/>
    <w:rsid w:val="00715F23"/>
    <w:rsid w:val="00717603"/>
    <w:rsid w:val="0072008D"/>
    <w:rsid w:val="0072121C"/>
    <w:rsid w:val="0072731F"/>
    <w:rsid w:val="007328AA"/>
    <w:rsid w:val="00733F43"/>
    <w:rsid w:val="00737E4C"/>
    <w:rsid w:val="007446E4"/>
    <w:rsid w:val="00747F51"/>
    <w:rsid w:val="007514AD"/>
    <w:rsid w:val="00752CD3"/>
    <w:rsid w:val="007541DA"/>
    <w:rsid w:val="00764C07"/>
    <w:rsid w:val="0078412A"/>
    <w:rsid w:val="007861EC"/>
    <w:rsid w:val="00794C9E"/>
    <w:rsid w:val="00794CD0"/>
    <w:rsid w:val="00795118"/>
    <w:rsid w:val="00795919"/>
    <w:rsid w:val="007A016F"/>
    <w:rsid w:val="007A0343"/>
    <w:rsid w:val="007A2A31"/>
    <w:rsid w:val="007C1E61"/>
    <w:rsid w:val="007D1493"/>
    <w:rsid w:val="007E3960"/>
    <w:rsid w:val="007F4517"/>
    <w:rsid w:val="00810138"/>
    <w:rsid w:val="008243F8"/>
    <w:rsid w:val="008333D4"/>
    <w:rsid w:val="00841CE4"/>
    <w:rsid w:val="0084208F"/>
    <w:rsid w:val="00846CAE"/>
    <w:rsid w:val="0085047A"/>
    <w:rsid w:val="0085078B"/>
    <w:rsid w:val="008631EE"/>
    <w:rsid w:val="00863944"/>
    <w:rsid w:val="00872E5A"/>
    <w:rsid w:val="00881B14"/>
    <w:rsid w:val="008924D5"/>
    <w:rsid w:val="00893B6A"/>
    <w:rsid w:val="00895AEE"/>
    <w:rsid w:val="008A0991"/>
    <w:rsid w:val="008A6706"/>
    <w:rsid w:val="008A7E20"/>
    <w:rsid w:val="008B006D"/>
    <w:rsid w:val="008B61E0"/>
    <w:rsid w:val="008C00A8"/>
    <w:rsid w:val="008C3403"/>
    <w:rsid w:val="008D1872"/>
    <w:rsid w:val="008D1D42"/>
    <w:rsid w:val="008D23F2"/>
    <w:rsid w:val="008D3910"/>
    <w:rsid w:val="008D5C09"/>
    <w:rsid w:val="008E354B"/>
    <w:rsid w:val="008E3DC1"/>
    <w:rsid w:val="008F2E56"/>
    <w:rsid w:val="0090770E"/>
    <w:rsid w:val="0091038D"/>
    <w:rsid w:val="0091110A"/>
    <w:rsid w:val="00911E79"/>
    <w:rsid w:val="00912AD8"/>
    <w:rsid w:val="00916B77"/>
    <w:rsid w:val="009212C5"/>
    <w:rsid w:val="00921453"/>
    <w:rsid w:val="00922E14"/>
    <w:rsid w:val="009269FD"/>
    <w:rsid w:val="009276E0"/>
    <w:rsid w:val="0093303F"/>
    <w:rsid w:val="00934B4E"/>
    <w:rsid w:val="00942066"/>
    <w:rsid w:val="009424FE"/>
    <w:rsid w:val="0094664F"/>
    <w:rsid w:val="0095297A"/>
    <w:rsid w:val="00953BBF"/>
    <w:rsid w:val="0095502D"/>
    <w:rsid w:val="009561D3"/>
    <w:rsid w:val="0096308C"/>
    <w:rsid w:val="00964A83"/>
    <w:rsid w:val="00965E10"/>
    <w:rsid w:val="00966339"/>
    <w:rsid w:val="00966912"/>
    <w:rsid w:val="009758E0"/>
    <w:rsid w:val="009806D4"/>
    <w:rsid w:val="00991F1B"/>
    <w:rsid w:val="009A4D8B"/>
    <w:rsid w:val="009A644E"/>
    <w:rsid w:val="009B0152"/>
    <w:rsid w:val="009B7B71"/>
    <w:rsid w:val="009C0B60"/>
    <w:rsid w:val="009C706F"/>
    <w:rsid w:val="009D22B5"/>
    <w:rsid w:val="009D3F63"/>
    <w:rsid w:val="009D439D"/>
    <w:rsid w:val="009D4A5C"/>
    <w:rsid w:val="009D5AD5"/>
    <w:rsid w:val="009E38DE"/>
    <w:rsid w:val="009E43D5"/>
    <w:rsid w:val="009E6C04"/>
    <w:rsid w:val="009F265A"/>
    <w:rsid w:val="009F7603"/>
    <w:rsid w:val="00A335E0"/>
    <w:rsid w:val="00A340D8"/>
    <w:rsid w:val="00A346D2"/>
    <w:rsid w:val="00A50E08"/>
    <w:rsid w:val="00A530AC"/>
    <w:rsid w:val="00A5506D"/>
    <w:rsid w:val="00A57B95"/>
    <w:rsid w:val="00A607C9"/>
    <w:rsid w:val="00A669D9"/>
    <w:rsid w:val="00A67BB8"/>
    <w:rsid w:val="00A74320"/>
    <w:rsid w:val="00A755C6"/>
    <w:rsid w:val="00A81C36"/>
    <w:rsid w:val="00A90739"/>
    <w:rsid w:val="00A90F85"/>
    <w:rsid w:val="00A95669"/>
    <w:rsid w:val="00AB2A71"/>
    <w:rsid w:val="00AB49B2"/>
    <w:rsid w:val="00AB4D6B"/>
    <w:rsid w:val="00AC0248"/>
    <w:rsid w:val="00AD0FF6"/>
    <w:rsid w:val="00AD185A"/>
    <w:rsid w:val="00AE403A"/>
    <w:rsid w:val="00AE6739"/>
    <w:rsid w:val="00AF0DC1"/>
    <w:rsid w:val="00AF3028"/>
    <w:rsid w:val="00AF38F0"/>
    <w:rsid w:val="00AF4762"/>
    <w:rsid w:val="00AF4F6C"/>
    <w:rsid w:val="00AF7875"/>
    <w:rsid w:val="00B07017"/>
    <w:rsid w:val="00B11895"/>
    <w:rsid w:val="00B150E4"/>
    <w:rsid w:val="00B16A4F"/>
    <w:rsid w:val="00B20103"/>
    <w:rsid w:val="00B20528"/>
    <w:rsid w:val="00B41367"/>
    <w:rsid w:val="00B45971"/>
    <w:rsid w:val="00B5169A"/>
    <w:rsid w:val="00B56803"/>
    <w:rsid w:val="00B56B6B"/>
    <w:rsid w:val="00B70179"/>
    <w:rsid w:val="00B70DB7"/>
    <w:rsid w:val="00B832DE"/>
    <w:rsid w:val="00B87B73"/>
    <w:rsid w:val="00B935CC"/>
    <w:rsid w:val="00B94DD3"/>
    <w:rsid w:val="00BA0036"/>
    <w:rsid w:val="00BB58BB"/>
    <w:rsid w:val="00BC2CBC"/>
    <w:rsid w:val="00BC6D79"/>
    <w:rsid w:val="00BD0184"/>
    <w:rsid w:val="00BD3952"/>
    <w:rsid w:val="00BE4116"/>
    <w:rsid w:val="00BF3815"/>
    <w:rsid w:val="00BF7ED8"/>
    <w:rsid w:val="00C00A19"/>
    <w:rsid w:val="00C02012"/>
    <w:rsid w:val="00C023FF"/>
    <w:rsid w:val="00C03A22"/>
    <w:rsid w:val="00C05753"/>
    <w:rsid w:val="00C117EE"/>
    <w:rsid w:val="00C12782"/>
    <w:rsid w:val="00C15AD4"/>
    <w:rsid w:val="00C2105F"/>
    <w:rsid w:val="00C22C3B"/>
    <w:rsid w:val="00C359BA"/>
    <w:rsid w:val="00C422EE"/>
    <w:rsid w:val="00C45576"/>
    <w:rsid w:val="00C54633"/>
    <w:rsid w:val="00C54FCC"/>
    <w:rsid w:val="00C6147C"/>
    <w:rsid w:val="00C74EE7"/>
    <w:rsid w:val="00C778B7"/>
    <w:rsid w:val="00C849E7"/>
    <w:rsid w:val="00C926B2"/>
    <w:rsid w:val="00C952B6"/>
    <w:rsid w:val="00CA27BA"/>
    <w:rsid w:val="00CA325F"/>
    <w:rsid w:val="00CA6B8B"/>
    <w:rsid w:val="00CA6BCC"/>
    <w:rsid w:val="00CB27E8"/>
    <w:rsid w:val="00CB36BB"/>
    <w:rsid w:val="00CB48F3"/>
    <w:rsid w:val="00CB5273"/>
    <w:rsid w:val="00CB6207"/>
    <w:rsid w:val="00CC0192"/>
    <w:rsid w:val="00CC16AF"/>
    <w:rsid w:val="00CC3927"/>
    <w:rsid w:val="00CC71F5"/>
    <w:rsid w:val="00CD2BFB"/>
    <w:rsid w:val="00CD7EE2"/>
    <w:rsid w:val="00CF1799"/>
    <w:rsid w:val="00CF17E2"/>
    <w:rsid w:val="00CF3FDF"/>
    <w:rsid w:val="00D03E39"/>
    <w:rsid w:val="00D0409D"/>
    <w:rsid w:val="00D10EBE"/>
    <w:rsid w:val="00D1318D"/>
    <w:rsid w:val="00D15EFF"/>
    <w:rsid w:val="00D21D1B"/>
    <w:rsid w:val="00D30E76"/>
    <w:rsid w:val="00D31B67"/>
    <w:rsid w:val="00D451B0"/>
    <w:rsid w:val="00D548C6"/>
    <w:rsid w:val="00D54E86"/>
    <w:rsid w:val="00D65C59"/>
    <w:rsid w:val="00D71C86"/>
    <w:rsid w:val="00D71E10"/>
    <w:rsid w:val="00D73119"/>
    <w:rsid w:val="00D84E7E"/>
    <w:rsid w:val="00D9293C"/>
    <w:rsid w:val="00D92B9F"/>
    <w:rsid w:val="00DA3528"/>
    <w:rsid w:val="00DB0FAF"/>
    <w:rsid w:val="00DC00E4"/>
    <w:rsid w:val="00DC2EEF"/>
    <w:rsid w:val="00DC51E3"/>
    <w:rsid w:val="00DC5C63"/>
    <w:rsid w:val="00DD3BB9"/>
    <w:rsid w:val="00DE0630"/>
    <w:rsid w:val="00DF6A26"/>
    <w:rsid w:val="00E029F9"/>
    <w:rsid w:val="00E03F57"/>
    <w:rsid w:val="00E105BF"/>
    <w:rsid w:val="00E10B78"/>
    <w:rsid w:val="00E20A3C"/>
    <w:rsid w:val="00E23743"/>
    <w:rsid w:val="00E249EE"/>
    <w:rsid w:val="00E318CA"/>
    <w:rsid w:val="00E334BB"/>
    <w:rsid w:val="00E3367C"/>
    <w:rsid w:val="00E378C4"/>
    <w:rsid w:val="00E40996"/>
    <w:rsid w:val="00E409F3"/>
    <w:rsid w:val="00E43AE8"/>
    <w:rsid w:val="00E44A06"/>
    <w:rsid w:val="00E53109"/>
    <w:rsid w:val="00E54C3C"/>
    <w:rsid w:val="00E564DF"/>
    <w:rsid w:val="00E64D10"/>
    <w:rsid w:val="00E67D0D"/>
    <w:rsid w:val="00E7114C"/>
    <w:rsid w:val="00E7243A"/>
    <w:rsid w:val="00E73014"/>
    <w:rsid w:val="00E81A4C"/>
    <w:rsid w:val="00E82C4B"/>
    <w:rsid w:val="00E8308F"/>
    <w:rsid w:val="00E83480"/>
    <w:rsid w:val="00E94464"/>
    <w:rsid w:val="00E96678"/>
    <w:rsid w:val="00EA1F6A"/>
    <w:rsid w:val="00EB731B"/>
    <w:rsid w:val="00EC1742"/>
    <w:rsid w:val="00ED0BFE"/>
    <w:rsid w:val="00ED2B36"/>
    <w:rsid w:val="00ED3424"/>
    <w:rsid w:val="00EE15E9"/>
    <w:rsid w:val="00EE2B3B"/>
    <w:rsid w:val="00EE2FF8"/>
    <w:rsid w:val="00EE34FF"/>
    <w:rsid w:val="00EF12F8"/>
    <w:rsid w:val="00EF23E2"/>
    <w:rsid w:val="00EF7FE7"/>
    <w:rsid w:val="00F00BF4"/>
    <w:rsid w:val="00F05CF5"/>
    <w:rsid w:val="00F07B4D"/>
    <w:rsid w:val="00F175DA"/>
    <w:rsid w:val="00F26A16"/>
    <w:rsid w:val="00F30991"/>
    <w:rsid w:val="00F379BC"/>
    <w:rsid w:val="00F46E62"/>
    <w:rsid w:val="00F54FDB"/>
    <w:rsid w:val="00F55EF4"/>
    <w:rsid w:val="00F562A7"/>
    <w:rsid w:val="00F629A4"/>
    <w:rsid w:val="00F71E7E"/>
    <w:rsid w:val="00F832BF"/>
    <w:rsid w:val="00F83F98"/>
    <w:rsid w:val="00F86B48"/>
    <w:rsid w:val="00F921E6"/>
    <w:rsid w:val="00F922E9"/>
    <w:rsid w:val="00FA3DB5"/>
    <w:rsid w:val="00FA405C"/>
    <w:rsid w:val="00FA71B6"/>
    <w:rsid w:val="00FB1B34"/>
    <w:rsid w:val="00FC5CE7"/>
    <w:rsid w:val="00FD1DA1"/>
    <w:rsid w:val="00FD34B6"/>
    <w:rsid w:val="00FD482F"/>
    <w:rsid w:val="00FD708F"/>
    <w:rsid w:val="00FD77CB"/>
    <w:rsid w:val="00FE188E"/>
    <w:rsid w:val="00FE20F0"/>
    <w:rsid w:val="00FE281C"/>
    <w:rsid w:val="00FE773E"/>
    <w:rsid w:val="00FF1EEA"/>
    <w:rsid w:val="00FF6BBD"/>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E68B"/>
  <w15:chartTrackingRefBased/>
  <w15:docId w15:val="{F6933C04-9B36-4814-AC7D-81DBB0B7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D06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B2"/>
    <w:pPr>
      <w:ind w:left="720"/>
      <w:contextualSpacing/>
    </w:pPr>
  </w:style>
  <w:style w:type="paragraph" w:styleId="Header">
    <w:name w:val="header"/>
    <w:basedOn w:val="Normal"/>
    <w:link w:val="HeaderChar"/>
    <w:uiPriority w:val="99"/>
    <w:unhideWhenUsed/>
    <w:rsid w:val="00D0409D"/>
    <w:pPr>
      <w:tabs>
        <w:tab w:val="center" w:pos="4513"/>
        <w:tab w:val="right" w:pos="9026"/>
      </w:tabs>
    </w:pPr>
  </w:style>
  <w:style w:type="character" w:customStyle="1" w:styleId="HeaderChar">
    <w:name w:val="Header Char"/>
    <w:basedOn w:val="DefaultParagraphFont"/>
    <w:link w:val="Header"/>
    <w:uiPriority w:val="99"/>
    <w:rsid w:val="00D0409D"/>
  </w:style>
  <w:style w:type="paragraph" w:styleId="Footer">
    <w:name w:val="footer"/>
    <w:basedOn w:val="Normal"/>
    <w:link w:val="FooterChar"/>
    <w:uiPriority w:val="99"/>
    <w:unhideWhenUsed/>
    <w:rsid w:val="00D0409D"/>
    <w:pPr>
      <w:tabs>
        <w:tab w:val="center" w:pos="4513"/>
        <w:tab w:val="right" w:pos="9026"/>
      </w:tabs>
    </w:pPr>
  </w:style>
  <w:style w:type="character" w:customStyle="1" w:styleId="FooterChar">
    <w:name w:val="Footer Char"/>
    <w:basedOn w:val="DefaultParagraphFont"/>
    <w:link w:val="Footer"/>
    <w:uiPriority w:val="99"/>
    <w:rsid w:val="00D0409D"/>
  </w:style>
  <w:style w:type="table" w:styleId="TableGrid">
    <w:name w:val="Table Grid"/>
    <w:basedOn w:val="TableNormal"/>
    <w:uiPriority w:val="39"/>
    <w:rsid w:val="0064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EBE"/>
    <w:rPr>
      <w:color w:val="0563C1" w:themeColor="hyperlink"/>
      <w:u w:val="single"/>
    </w:rPr>
  </w:style>
  <w:style w:type="character" w:styleId="UnresolvedMention">
    <w:name w:val="Unresolved Mention"/>
    <w:basedOn w:val="DefaultParagraphFont"/>
    <w:uiPriority w:val="99"/>
    <w:semiHidden/>
    <w:unhideWhenUsed/>
    <w:rsid w:val="00D10EBE"/>
    <w:rPr>
      <w:color w:val="605E5C"/>
      <w:shd w:val="clear" w:color="auto" w:fill="E1DFDD"/>
    </w:rPr>
  </w:style>
  <w:style w:type="character" w:customStyle="1" w:styleId="Heading2Char">
    <w:name w:val="Heading 2 Char"/>
    <w:basedOn w:val="DefaultParagraphFont"/>
    <w:link w:val="Heading2"/>
    <w:uiPriority w:val="9"/>
    <w:rsid w:val="001D064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05C86"/>
    <w:pPr>
      <w:spacing w:before="100" w:beforeAutospacing="1" w:after="100" w:afterAutospacing="1"/>
    </w:pPr>
    <w:rPr>
      <w:rFonts w:ascii="Times New Roman" w:eastAsia="Times New Roman" w:hAnsi="Times New Roman" w:cs="Times New Roman"/>
      <w:sz w:val="24"/>
      <w:szCs w:val="24"/>
      <w:lang w:eastAsia="en-CH"/>
    </w:rPr>
  </w:style>
  <w:style w:type="paragraph" w:styleId="FootnoteText">
    <w:name w:val="footnote text"/>
    <w:basedOn w:val="Normal"/>
    <w:link w:val="FootnoteTextChar"/>
    <w:uiPriority w:val="99"/>
    <w:semiHidden/>
    <w:unhideWhenUsed/>
    <w:rsid w:val="00B70179"/>
    <w:rPr>
      <w:sz w:val="20"/>
      <w:szCs w:val="20"/>
    </w:rPr>
  </w:style>
  <w:style w:type="character" w:customStyle="1" w:styleId="FootnoteTextChar">
    <w:name w:val="Footnote Text Char"/>
    <w:basedOn w:val="DefaultParagraphFont"/>
    <w:link w:val="FootnoteText"/>
    <w:uiPriority w:val="99"/>
    <w:semiHidden/>
    <w:rsid w:val="00B70179"/>
    <w:rPr>
      <w:sz w:val="20"/>
      <w:szCs w:val="20"/>
    </w:rPr>
  </w:style>
  <w:style w:type="character" w:styleId="FootnoteReference">
    <w:name w:val="footnote reference"/>
    <w:basedOn w:val="DefaultParagraphFont"/>
    <w:uiPriority w:val="99"/>
    <w:semiHidden/>
    <w:unhideWhenUsed/>
    <w:rsid w:val="00B70179"/>
    <w:rPr>
      <w:vertAlign w:val="superscript"/>
    </w:rPr>
  </w:style>
  <w:style w:type="character" w:styleId="CommentReference">
    <w:name w:val="annotation reference"/>
    <w:basedOn w:val="DefaultParagraphFont"/>
    <w:uiPriority w:val="99"/>
    <w:semiHidden/>
    <w:unhideWhenUsed/>
    <w:rsid w:val="00AE403A"/>
    <w:rPr>
      <w:sz w:val="16"/>
      <w:szCs w:val="16"/>
    </w:rPr>
  </w:style>
  <w:style w:type="paragraph" w:styleId="CommentText">
    <w:name w:val="annotation text"/>
    <w:basedOn w:val="Normal"/>
    <w:link w:val="CommentTextChar"/>
    <w:uiPriority w:val="99"/>
    <w:semiHidden/>
    <w:unhideWhenUsed/>
    <w:rsid w:val="00AE403A"/>
    <w:rPr>
      <w:sz w:val="20"/>
      <w:szCs w:val="20"/>
    </w:rPr>
  </w:style>
  <w:style w:type="character" w:customStyle="1" w:styleId="CommentTextChar">
    <w:name w:val="Comment Text Char"/>
    <w:basedOn w:val="DefaultParagraphFont"/>
    <w:link w:val="CommentText"/>
    <w:uiPriority w:val="99"/>
    <w:semiHidden/>
    <w:rsid w:val="00AE403A"/>
    <w:rPr>
      <w:sz w:val="20"/>
      <w:szCs w:val="20"/>
    </w:rPr>
  </w:style>
  <w:style w:type="paragraph" w:styleId="CommentSubject">
    <w:name w:val="annotation subject"/>
    <w:basedOn w:val="CommentText"/>
    <w:next w:val="CommentText"/>
    <w:link w:val="CommentSubjectChar"/>
    <w:uiPriority w:val="99"/>
    <w:semiHidden/>
    <w:unhideWhenUsed/>
    <w:rsid w:val="00AE403A"/>
    <w:rPr>
      <w:b/>
      <w:bCs/>
    </w:rPr>
  </w:style>
  <w:style w:type="character" w:customStyle="1" w:styleId="CommentSubjectChar">
    <w:name w:val="Comment Subject Char"/>
    <w:basedOn w:val="CommentTextChar"/>
    <w:link w:val="CommentSubject"/>
    <w:uiPriority w:val="99"/>
    <w:semiHidden/>
    <w:rsid w:val="00AE403A"/>
    <w:rPr>
      <w:b/>
      <w:bCs/>
      <w:sz w:val="20"/>
      <w:szCs w:val="20"/>
    </w:rPr>
  </w:style>
  <w:style w:type="paragraph" w:styleId="NoSpacing">
    <w:name w:val="No Spacing"/>
    <w:link w:val="NoSpacingChar"/>
    <w:uiPriority w:val="1"/>
    <w:qFormat/>
    <w:rsid w:val="004F1AD1"/>
    <w:rPr>
      <w:rFonts w:ascii="Arial" w:eastAsia="Calibri" w:hAnsi="Arial" w:cs="Times New Roman"/>
      <w:sz w:val="24"/>
      <w:lang w:val="en-US"/>
    </w:rPr>
  </w:style>
  <w:style w:type="character" w:customStyle="1" w:styleId="NoSpacingChar">
    <w:name w:val="No Spacing Char"/>
    <w:link w:val="NoSpacing"/>
    <w:uiPriority w:val="1"/>
    <w:rsid w:val="004F1AD1"/>
    <w:rPr>
      <w:rFonts w:ascii="Arial" w:eastAsia="Calibri" w:hAnsi="Arial" w:cs="Times New Roman"/>
      <w:sz w:val="24"/>
      <w:lang w:val="en-US"/>
    </w:rPr>
  </w:style>
  <w:style w:type="character" w:customStyle="1" w:styleId="yiv8692860459">
    <w:name w:val="yiv8692860459"/>
    <w:basedOn w:val="DefaultParagraphFont"/>
    <w:rsid w:val="0036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843AB-34A3-4483-B7CA-DF85CA6E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Chona Idul-Desimpele</dc:creator>
  <cp:keywords/>
  <dc:description/>
  <cp:lastModifiedBy>lt_gp</cp:lastModifiedBy>
  <cp:revision>2</cp:revision>
  <dcterms:created xsi:type="dcterms:W3CDTF">2022-02-17T16:44:00Z</dcterms:created>
  <dcterms:modified xsi:type="dcterms:W3CDTF">2022-02-17T16:44:00Z</dcterms:modified>
</cp:coreProperties>
</file>