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8292" w14:textId="16A13A80" w:rsidR="008F4DC5" w:rsidRDefault="008F4DC5" w:rsidP="008F4DC5">
      <w:pPr>
        <w:spacing w:after="0"/>
        <w:jc w:val="right"/>
        <w:rPr>
          <w:rFonts w:cstheme="minorHAnsi"/>
          <w:b/>
          <w:bCs/>
          <w:sz w:val="18"/>
          <w:szCs w:val="18"/>
        </w:rPr>
      </w:pPr>
      <w:bookmarkStart w:id="0" w:name="_GoBack"/>
      <w:bookmarkEnd w:id="0"/>
      <w:r>
        <w:rPr>
          <w:rFonts w:cstheme="minorHAnsi"/>
          <w:b/>
          <w:bCs/>
          <w:sz w:val="18"/>
          <w:szCs w:val="18"/>
        </w:rPr>
        <w:t>ANEXO 2</w:t>
      </w:r>
    </w:p>
    <w:p w14:paraId="43257489" w14:textId="77777777" w:rsidR="008F4DC5" w:rsidRDefault="008F4DC5" w:rsidP="00295D80">
      <w:pPr>
        <w:spacing w:after="0"/>
        <w:rPr>
          <w:rFonts w:cstheme="minorHAnsi"/>
          <w:b/>
          <w:bCs/>
          <w:sz w:val="18"/>
          <w:szCs w:val="18"/>
        </w:rPr>
      </w:pPr>
    </w:p>
    <w:p w14:paraId="00428895" w14:textId="424DF10E" w:rsidR="00563C09" w:rsidRPr="00BC0193" w:rsidRDefault="00563C09" w:rsidP="00295D80">
      <w:pPr>
        <w:spacing w:after="0"/>
        <w:rPr>
          <w:rFonts w:cstheme="minorHAnsi"/>
          <w:sz w:val="18"/>
          <w:szCs w:val="18"/>
        </w:rPr>
      </w:pPr>
      <w:r w:rsidRPr="00BC0193">
        <w:rPr>
          <w:rFonts w:cstheme="minorHAnsi"/>
          <w:b/>
          <w:bCs/>
          <w:sz w:val="18"/>
          <w:szCs w:val="18"/>
        </w:rPr>
        <w:t xml:space="preserve">INSUMOS </w:t>
      </w:r>
      <w:r w:rsidRPr="00BC0193">
        <w:rPr>
          <w:rFonts w:cstheme="minorHAnsi"/>
          <w:sz w:val="18"/>
          <w:szCs w:val="18"/>
        </w:rPr>
        <w:t xml:space="preserve">sobre el </w:t>
      </w:r>
      <w:r w:rsidRPr="00BC0193">
        <w:rPr>
          <w:rFonts w:cstheme="minorHAnsi"/>
          <w:b/>
          <w:bCs/>
          <w:sz w:val="18"/>
          <w:szCs w:val="18"/>
        </w:rPr>
        <w:t>derecho a una</w:t>
      </w:r>
      <w:r w:rsidRPr="00BC0193">
        <w:rPr>
          <w:rFonts w:cstheme="minorHAnsi"/>
          <w:sz w:val="18"/>
          <w:szCs w:val="18"/>
        </w:rPr>
        <w:t xml:space="preserve"> </w:t>
      </w:r>
      <w:r w:rsidRPr="00BC0193">
        <w:rPr>
          <w:rFonts w:cstheme="minorHAnsi"/>
          <w:b/>
          <w:bCs/>
          <w:sz w:val="18"/>
          <w:szCs w:val="18"/>
        </w:rPr>
        <w:t>vivienda adecuada</w:t>
      </w:r>
      <w:r w:rsidRPr="00BC0193">
        <w:rPr>
          <w:rFonts w:cstheme="minorHAnsi"/>
          <w:sz w:val="18"/>
          <w:szCs w:val="18"/>
        </w:rPr>
        <w:t xml:space="preserve"> </w:t>
      </w:r>
      <w:r w:rsidRPr="00BC0193">
        <w:rPr>
          <w:rFonts w:cstheme="minorHAnsi"/>
          <w:b/>
          <w:bCs/>
          <w:sz w:val="18"/>
          <w:szCs w:val="18"/>
        </w:rPr>
        <w:t xml:space="preserve">en los </w:t>
      </w:r>
      <w:r w:rsidRPr="00BC0193">
        <w:rPr>
          <w:rFonts w:cstheme="minorHAnsi"/>
          <w:b/>
          <w:bCs/>
          <w:sz w:val="18"/>
          <w:szCs w:val="18"/>
          <w:u w:val="single"/>
        </w:rPr>
        <w:t>conflictos violentos</w:t>
      </w:r>
    </w:p>
    <w:p w14:paraId="0C233C72" w14:textId="3ED2939E" w:rsidR="00DA5F36" w:rsidRPr="00BC0193" w:rsidRDefault="00DA5F36" w:rsidP="00295D80">
      <w:pPr>
        <w:spacing w:after="0"/>
        <w:rPr>
          <w:rFonts w:cstheme="minorHAnsi"/>
          <w:sz w:val="18"/>
          <w:szCs w:val="18"/>
        </w:rPr>
      </w:pPr>
    </w:p>
    <w:p w14:paraId="2F75E2B3" w14:textId="38BDFE01" w:rsidR="00DA5F36" w:rsidRPr="00BC0193" w:rsidRDefault="00DA5F36" w:rsidP="00974900">
      <w:pPr>
        <w:spacing w:after="0"/>
        <w:jc w:val="both"/>
        <w:rPr>
          <w:rFonts w:cstheme="minorHAnsi"/>
          <w:sz w:val="18"/>
          <w:szCs w:val="18"/>
        </w:rPr>
      </w:pPr>
      <w:r w:rsidRPr="00BC0193">
        <w:rPr>
          <w:rFonts w:cstheme="minorHAnsi"/>
          <w:b/>
          <w:bCs/>
          <w:sz w:val="18"/>
          <w:szCs w:val="18"/>
        </w:rPr>
        <w:t xml:space="preserve">NOTA: </w:t>
      </w:r>
      <w:r w:rsidRPr="00BC0193">
        <w:rPr>
          <w:rFonts w:cstheme="minorHAnsi"/>
          <w:sz w:val="18"/>
          <w:szCs w:val="18"/>
        </w:rPr>
        <w:t>Por conflictos violentos se considera a aquellos casos que implican movimientos sociales o tienen un alto potencial de conflictividad social</w:t>
      </w:r>
      <w:r w:rsidR="00974900" w:rsidRPr="00BC0193">
        <w:rPr>
          <w:rFonts w:cstheme="minorHAnsi"/>
          <w:sz w:val="18"/>
          <w:szCs w:val="18"/>
        </w:rPr>
        <w:t>, por la calidad o número de los agraviados, alcance, modo, tiempo o lugar de las afectaciones, así como el conjunto de autoridades involucradas</w:t>
      </w:r>
      <w:r w:rsidR="00084A68" w:rsidRPr="00BC0193">
        <w:rPr>
          <w:rFonts w:cstheme="minorHAnsi"/>
          <w:sz w:val="18"/>
          <w:szCs w:val="18"/>
        </w:rPr>
        <w:t>.</w:t>
      </w:r>
    </w:p>
    <w:p w14:paraId="4476F09B" w14:textId="77777777" w:rsidR="00DA5F36" w:rsidRPr="00BC0193" w:rsidRDefault="00DA5F36" w:rsidP="00295D80">
      <w:pPr>
        <w:spacing w:after="0"/>
        <w:rPr>
          <w:rFonts w:cstheme="minorHAnsi"/>
          <w:sz w:val="18"/>
          <w:szCs w:val="18"/>
        </w:rPr>
      </w:pPr>
    </w:p>
    <w:p w14:paraId="00D8A853" w14:textId="7F7F78E3" w:rsidR="00563C09" w:rsidRPr="00BC0193" w:rsidRDefault="006E7B80" w:rsidP="00295D80">
      <w:pPr>
        <w:spacing w:after="0"/>
        <w:rPr>
          <w:rFonts w:cstheme="minorHAnsi"/>
          <w:b/>
          <w:bCs/>
          <w:sz w:val="18"/>
          <w:szCs w:val="18"/>
        </w:rPr>
      </w:pPr>
      <w:r w:rsidRPr="00BC0193">
        <w:rPr>
          <w:rFonts w:cstheme="minorHAnsi"/>
          <w:b/>
          <w:bCs/>
          <w:sz w:val="18"/>
          <w:szCs w:val="18"/>
        </w:rPr>
        <w:t xml:space="preserve">a) </w:t>
      </w:r>
      <w:r w:rsidR="00563C09" w:rsidRPr="00BC0193">
        <w:rPr>
          <w:rFonts w:cstheme="minorHAnsi"/>
          <w:b/>
          <w:bCs/>
          <w:sz w:val="18"/>
          <w:szCs w:val="18"/>
        </w:rPr>
        <w:t>(Recomendaciones – Quejas 2021</w:t>
      </w:r>
      <w:r w:rsidR="00C67323" w:rsidRPr="00BC0193">
        <w:rPr>
          <w:rFonts w:cstheme="minorHAnsi"/>
          <w:b/>
          <w:bCs/>
          <w:sz w:val="18"/>
          <w:szCs w:val="18"/>
        </w:rPr>
        <w:t xml:space="preserve"> y enero a marzo de </w:t>
      </w:r>
      <w:r w:rsidR="00563C09" w:rsidRPr="00BC0193">
        <w:rPr>
          <w:rFonts w:cstheme="minorHAnsi"/>
          <w:b/>
          <w:bCs/>
          <w:sz w:val="18"/>
          <w:szCs w:val="18"/>
        </w:rPr>
        <w:t>2022)</w:t>
      </w:r>
    </w:p>
    <w:p w14:paraId="584D9DDD" w14:textId="4F87C07A" w:rsidR="00DA5F36" w:rsidRPr="00BC0193" w:rsidRDefault="00DA5F36" w:rsidP="00295D80">
      <w:pPr>
        <w:spacing w:after="0"/>
        <w:rPr>
          <w:rFonts w:cstheme="minorHAnsi"/>
          <w:b/>
          <w:bCs/>
          <w:sz w:val="18"/>
          <w:szCs w:val="18"/>
        </w:rPr>
      </w:pPr>
    </w:p>
    <w:tbl>
      <w:tblPr>
        <w:tblStyle w:val="Tablaconcuadrcula"/>
        <w:tblW w:w="18139" w:type="dxa"/>
        <w:tblLook w:val="04A0" w:firstRow="1" w:lastRow="0" w:firstColumn="1" w:lastColumn="0" w:noHBand="0" w:noVBand="1"/>
      </w:tblPr>
      <w:tblGrid>
        <w:gridCol w:w="4957"/>
        <w:gridCol w:w="3827"/>
        <w:gridCol w:w="5386"/>
        <w:gridCol w:w="3969"/>
      </w:tblGrid>
      <w:tr w:rsidR="00974900" w:rsidRPr="00BC0193" w14:paraId="2D188873" w14:textId="77777777" w:rsidTr="008F4DC5">
        <w:tc>
          <w:tcPr>
            <w:tcW w:w="4957" w:type="dxa"/>
          </w:tcPr>
          <w:p w14:paraId="01FA2B95" w14:textId="77777777" w:rsidR="00974900" w:rsidRPr="00BC0193" w:rsidRDefault="00974900" w:rsidP="001206BE">
            <w:pPr>
              <w:jc w:val="center"/>
              <w:rPr>
                <w:rFonts w:cstheme="minorHAnsi"/>
                <w:b/>
                <w:bCs/>
                <w:sz w:val="18"/>
                <w:szCs w:val="18"/>
              </w:rPr>
            </w:pPr>
            <w:r w:rsidRPr="00BC0193">
              <w:rPr>
                <w:rFonts w:cstheme="minorHAnsi"/>
                <w:b/>
                <w:bCs/>
                <w:sz w:val="18"/>
                <w:szCs w:val="18"/>
              </w:rPr>
              <w:t>ACCIONES AFIRMATIVAS:</w:t>
            </w:r>
          </w:p>
        </w:tc>
        <w:tc>
          <w:tcPr>
            <w:tcW w:w="3827" w:type="dxa"/>
          </w:tcPr>
          <w:p w14:paraId="7566B0CB" w14:textId="77777777" w:rsidR="00974900" w:rsidRPr="00BC0193" w:rsidRDefault="00974900" w:rsidP="001206BE">
            <w:pPr>
              <w:jc w:val="center"/>
              <w:rPr>
                <w:rFonts w:cstheme="minorHAnsi"/>
                <w:b/>
                <w:bCs/>
                <w:sz w:val="18"/>
                <w:szCs w:val="18"/>
              </w:rPr>
            </w:pPr>
            <w:r w:rsidRPr="00BC0193">
              <w:rPr>
                <w:rFonts w:cstheme="minorHAnsi"/>
                <w:b/>
                <w:bCs/>
                <w:sz w:val="18"/>
                <w:szCs w:val="18"/>
              </w:rPr>
              <w:t>DERECHO DESCA</w:t>
            </w:r>
          </w:p>
        </w:tc>
        <w:tc>
          <w:tcPr>
            <w:tcW w:w="5386" w:type="dxa"/>
          </w:tcPr>
          <w:p w14:paraId="7F994864" w14:textId="77777777" w:rsidR="00974900" w:rsidRPr="00BC0193" w:rsidRDefault="00974900" w:rsidP="001206BE">
            <w:pPr>
              <w:jc w:val="center"/>
              <w:rPr>
                <w:rFonts w:cstheme="minorHAnsi"/>
                <w:b/>
                <w:bCs/>
                <w:sz w:val="18"/>
                <w:szCs w:val="18"/>
              </w:rPr>
            </w:pPr>
            <w:r w:rsidRPr="00BC0193">
              <w:rPr>
                <w:rFonts w:cstheme="minorHAnsi"/>
                <w:b/>
                <w:bCs/>
                <w:sz w:val="18"/>
                <w:szCs w:val="18"/>
              </w:rPr>
              <w:t>FUNDAMENTO</w:t>
            </w:r>
          </w:p>
        </w:tc>
        <w:tc>
          <w:tcPr>
            <w:tcW w:w="3969" w:type="dxa"/>
          </w:tcPr>
          <w:p w14:paraId="367B23C8" w14:textId="77777777" w:rsidR="00974900" w:rsidRPr="00BC0193" w:rsidRDefault="00974900" w:rsidP="001206BE">
            <w:pPr>
              <w:jc w:val="center"/>
              <w:rPr>
                <w:rFonts w:cstheme="minorHAnsi"/>
                <w:b/>
                <w:bCs/>
                <w:sz w:val="18"/>
                <w:szCs w:val="18"/>
              </w:rPr>
            </w:pPr>
            <w:r w:rsidRPr="00BC0193">
              <w:rPr>
                <w:rFonts w:cstheme="minorHAnsi"/>
                <w:b/>
                <w:bCs/>
                <w:sz w:val="18"/>
                <w:szCs w:val="18"/>
              </w:rPr>
              <w:t>RESULTADO OBTENIDO</w:t>
            </w:r>
          </w:p>
        </w:tc>
      </w:tr>
      <w:tr w:rsidR="00974900" w:rsidRPr="00BC0193" w14:paraId="094C9ACB" w14:textId="77777777" w:rsidTr="008F4DC5">
        <w:tc>
          <w:tcPr>
            <w:tcW w:w="4957" w:type="dxa"/>
            <w:vAlign w:val="center"/>
          </w:tcPr>
          <w:p w14:paraId="2137609F" w14:textId="27A0E91E" w:rsidR="00974900" w:rsidRPr="00BC0193" w:rsidRDefault="00974900" w:rsidP="001206BE">
            <w:pPr>
              <w:rPr>
                <w:rFonts w:cstheme="minorHAnsi"/>
                <w:b/>
                <w:bCs/>
                <w:sz w:val="18"/>
                <w:szCs w:val="18"/>
              </w:rPr>
            </w:pPr>
            <w:r w:rsidRPr="00BC0193">
              <w:rPr>
                <w:rFonts w:cstheme="minorHAnsi"/>
                <w:b/>
                <w:bCs/>
                <w:sz w:val="18"/>
                <w:szCs w:val="18"/>
              </w:rPr>
              <w:t>Recomendación 17/2021</w:t>
            </w:r>
          </w:p>
          <w:p w14:paraId="64827A1E" w14:textId="77777777" w:rsidR="00974900" w:rsidRPr="00BC0193" w:rsidRDefault="00974900" w:rsidP="001206BE">
            <w:pPr>
              <w:jc w:val="both"/>
              <w:rPr>
                <w:rFonts w:cstheme="minorHAnsi"/>
                <w:sz w:val="18"/>
                <w:szCs w:val="18"/>
              </w:rPr>
            </w:pPr>
          </w:p>
          <w:p w14:paraId="66A8EDC8" w14:textId="77777777" w:rsidR="00974900" w:rsidRPr="00BC0193" w:rsidRDefault="00974900" w:rsidP="001206BE">
            <w:pPr>
              <w:jc w:val="both"/>
              <w:rPr>
                <w:rFonts w:cstheme="minorHAnsi"/>
                <w:sz w:val="18"/>
                <w:szCs w:val="18"/>
              </w:rPr>
            </w:pPr>
            <w:r w:rsidRPr="00BC0193">
              <w:rPr>
                <w:rFonts w:cstheme="minorHAnsi"/>
                <w:sz w:val="18"/>
                <w:szCs w:val="18"/>
              </w:rPr>
              <w:t xml:space="preserve">Sobre las violaciones a los derechos humanos a la seguridad jurídica, libertad de tránsito y residencia, vivienda adecuada y movilidad, en agravio de los residentes del Distrito Urbano </w:t>
            </w:r>
            <w:proofErr w:type="spellStart"/>
            <w:r w:rsidRPr="00BC0193">
              <w:rPr>
                <w:rFonts w:cstheme="minorHAnsi"/>
                <w:sz w:val="18"/>
                <w:szCs w:val="18"/>
              </w:rPr>
              <w:t>Mismaloya</w:t>
            </w:r>
            <w:proofErr w:type="spellEnd"/>
            <w:r w:rsidRPr="00BC0193">
              <w:rPr>
                <w:rFonts w:cstheme="minorHAnsi"/>
                <w:sz w:val="18"/>
                <w:szCs w:val="18"/>
              </w:rPr>
              <w:t xml:space="preserve"> en Tonalá, Jalisco, por falta de vialidades efectivas y libres de peaje para acceder a sus viviendas.</w:t>
            </w:r>
          </w:p>
          <w:p w14:paraId="7C1B9A49" w14:textId="77777777" w:rsidR="008A03E1" w:rsidRPr="00BC0193" w:rsidRDefault="008A03E1" w:rsidP="001206BE">
            <w:pPr>
              <w:jc w:val="both"/>
              <w:rPr>
                <w:rFonts w:cstheme="minorHAnsi"/>
                <w:sz w:val="18"/>
                <w:szCs w:val="18"/>
              </w:rPr>
            </w:pPr>
          </w:p>
          <w:p w14:paraId="7C93C03D" w14:textId="49FAD4EF" w:rsidR="008A03E1" w:rsidRPr="00BC0193" w:rsidRDefault="008A03E1" w:rsidP="001206BE">
            <w:pPr>
              <w:jc w:val="both"/>
              <w:rPr>
                <w:rFonts w:cstheme="minorHAnsi"/>
                <w:sz w:val="18"/>
                <w:szCs w:val="18"/>
              </w:rPr>
            </w:pPr>
          </w:p>
        </w:tc>
        <w:tc>
          <w:tcPr>
            <w:tcW w:w="3827" w:type="dxa"/>
            <w:vAlign w:val="center"/>
          </w:tcPr>
          <w:p w14:paraId="4B42E137"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5FC6DAF6" w14:textId="77777777" w:rsidR="00974900"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6ACB035B" w14:textId="77777777" w:rsidR="00974900" w:rsidRPr="00BC0193" w:rsidRDefault="00974900" w:rsidP="001206BE">
            <w:pPr>
              <w:jc w:val="center"/>
              <w:rPr>
                <w:rFonts w:cstheme="minorHAnsi"/>
                <w:b/>
                <w:bCs/>
                <w:sz w:val="18"/>
                <w:szCs w:val="18"/>
              </w:rPr>
            </w:pPr>
            <w:r w:rsidRPr="00BC0193">
              <w:rPr>
                <w:rFonts w:cstheme="minorHAnsi"/>
                <w:b/>
                <w:bCs/>
                <w:sz w:val="18"/>
                <w:szCs w:val="18"/>
              </w:rPr>
              <w:t>Aceptada</w:t>
            </w:r>
          </w:p>
        </w:tc>
      </w:tr>
      <w:tr w:rsidR="00974900" w:rsidRPr="00BC0193" w14:paraId="45121736" w14:textId="77777777" w:rsidTr="008F4DC5">
        <w:tc>
          <w:tcPr>
            <w:tcW w:w="4957" w:type="dxa"/>
            <w:vAlign w:val="center"/>
          </w:tcPr>
          <w:p w14:paraId="23AC8470" w14:textId="77777777" w:rsidR="00974900" w:rsidRPr="00BC0193" w:rsidRDefault="00974900" w:rsidP="001206BE">
            <w:pPr>
              <w:jc w:val="both"/>
              <w:rPr>
                <w:rFonts w:cstheme="minorHAnsi"/>
                <w:b/>
                <w:bCs/>
                <w:sz w:val="18"/>
                <w:szCs w:val="18"/>
              </w:rPr>
            </w:pPr>
            <w:r w:rsidRPr="00BC0193">
              <w:rPr>
                <w:rFonts w:cstheme="minorHAnsi"/>
                <w:b/>
                <w:bCs/>
                <w:sz w:val="18"/>
                <w:szCs w:val="18"/>
              </w:rPr>
              <w:t>Recomendación 7/2022</w:t>
            </w:r>
          </w:p>
          <w:p w14:paraId="2C618D89" w14:textId="77777777" w:rsidR="00974900" w:rsidRPr="00BC0193" w:rsidRDefault="00974900" w:rsidP="001206BE">
            <w:pPr>
              <w:jc w:val="both"/>
              <w:rPr>
                <w:rFonts w:cstheme="minorHAnsi"/>
                <w:b/>
                <w:bCs/>
                <w:sz w:val="18"/>
                <w:szCs w:val="18"/>
              </w:rPr>
            </w:pPr>
          </w:p>
          <w:p w14:paraId="357F9A3C" w14:textId="77777777" w:rsidR="00974900" w:rsidRPr="00BC0193" w:rsidRDefault="00974900" w:rsidP="001206BE">
            <w:pPr>
              <w:jc w:val="both"/>
              <w:rPr>
                <w:rFonts w:cstheme="minorHAnsi"/>
                <w:sz w:val="18"/>
                <w:szCs w:val="18"/>
              </w:rPr>
            </w:pPr>
            <w:r w:rsidRPr="00BC0193">
              <w:rPr>
                <w:rFonts w:cstheme="minorHAnsi"/>
                <w:sz w:val="18"/>
                <w:szCs w:val="18"/>
              </w:rPr>
              <w:t>Sobre las violaciones al derecho al medio ambiente sano, derecho al agua, a la vivienda adecuada, y a la salud, motivadas por actividades extractivas en el municipio de La Colorada, Sonora.</w:t>
            </w:r>
          </w:p>
        </w:tc>
        <w:tc>
          <w:tcPr>
            <w:tcW w:w="3827" w:type="dxa"/>
            <w:vAlign w:val="center"/>
          </w:tcPr>
          <w:p w14:paraId="7B4CC4FD"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4B2E0BE8" w14:textId="77817540" w:rsidR="008A03E1"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408B8FA2" w14:textId="77777777" w:rsidR="00974900" w:rsidRPr="00BC0193" w:rsidRDefault="00974900" w:rsidP="001206BE">
            <w:pPr>
              <w:jc w:val="center"/>
              <w:rPr>
                <w:rFonts w:cstheme="minorHAnsi"/>
                <w:sz w:val="18"/>
                <w:szCs w:val="18"/>
              </w:rPr>
            </w:pPr>
            <w:r w:rsidRPr="00BC0193">
              <w:rPr>
                <w:rFonts w:cstheme="minorHAnsi"/>
                <w:b/>
                <w:bCs/>
                <w:sz w:val="18"/>
                <w:szCs w:val="18"/>
              </w:rPr>
              <w:t>Aceptada</w:t>
            </w:r>
          </w:p>
        </w:tc>
      </w:tr>
      <w:tr w:rsidR="00974900" w:rsidRPr="00BC0193" w14:paraId="6E6CFD17" w14:textId="77777777" w:rsidTr="008F4DC5">
        <w:tc>
          <w:tcPr>
            <w:tcW w:w="4957" w:type="dxa"/>
            <w:vAlign w:val="center"/>
          </w:tcPr>
          <w:p w14:paraId="7FB651CD" w14:textId="77777777" w:rsidR="008F4DC5" w:rsidRDefault="008F4DC5" w:rsidP="001206BE">
            <w:pPr>
              <w:jc w:val="both"/>
              <w:rPr>
                <w:rFonts w:cstheme="minorHAnsi"/>
                <w:b/>
                <w:bCs/>
                <w:sz w:val="18"/>
                <w:szCs w:val="18"/>
              </w:rPr>
            </w:pPr>
          </w:p>
          <w:p w14:paraId="621158E4" w14:textId="679CA6C2" w:rsidR="00974900" w:rsidRPr="00BC0193" w:rsidRDefault="00974900" w:rsidP="001206BE">
            <w:pPr>
              <w:jc w:val="both"/>
              <w:rPr>
                <w:rFonts w:cstheme="minorHAnsi"/>
                <w:b/>
                <w:bCs/>
                <w:sz w:val="18"/>
                <w:szCs w:val="18"/>
              </w:rPr>
            </w:pPr>
            <w:r w:rsidRPr="00BC0193">
              <w:rPr>
                <w:rFonts w:cstheme="minorHAnsi"/>
                <w:b/>
                <w:bCs/>
                <w:sz w:val="18"/>
                <w:szCs w:val="18"/>
              </w:rPr>
              <w:t>Recomendación 18/2022</w:t>
            </w:r>
          </w:p>
          <w:p w14:paraId="4E8C20B5" w14:textId="77777777" w:rsidR="00974900" w:rsidRPr="00BC0193" w:rsidRDefault="00974900" w:rsidP="001206BE">
            <w:pPr>
              <w:jc w:val="both"/>
              <w:rPr>
                <w:rFonts w:cstheme="minorHAnsi"/>
                <w:b/>
                <w:bCs/>
                <w:sz w:val="18"/>
                <w:szCs w:val="18"/>
              </w:rPr>
            </w:pPr>
          </w:p>
          <w:p w14:paraId="222E5C6E" w14:textId="77777777" w:rsidR="00974900" w:rsidRDefault="00974900" w:rsidP="001206BE">
            <w:pPr>
              <w:jc w:val="both"/>
              <w:rPr>
                <w:rFonts w:cstheme="minorHAnsi"/>
                <w:sz w:val="18"/>
                <w:szCs w:val="18"/>
              </w:rPr>
            </w:pPr>
            <w:r w:rsidRPr="00BC0193">
              <w:rPr>
                <w:rFonts w:cstheme="minorHAnsi"/>
                <w:sz w:val="18"/>
                <w:szCs w:val="18"/>
              </w:rPr>
              <w:t xml:space="preserve">Sobre las violaciones a los derechos humanos al medio ambiente sano, agua y saneamiento y vivienda adecuada, por la invasión, desmonte y relleno de las áreas naturales protegidas estatales y sitios </w:t>
            </w:r>
            <w:proofErr w:type="spellStart"/>
            <w:r w:rsidRPr="00BC0193">
              <w:rPr>
                <w:rFonts w:cstheme="minorHAnsi"/>
                <w:sz w:val="18"/>
                <w:szCs w:val="18"/>
              </w:rPr>
              <w:t>Ramsar</w:t>
            </w:r>
            <w:proofErr w:type="spellEnd"/>
            <w:r w:rsidRPr="00BC0193">
              <w:rPr>
                <w:rFonts w:cstheme="minorHAnsi"/>
                <w:sz w:val="18"/>
                <w:szCs w:val="18"/>
              </w:rPr>
              <w:t xml:space="preserve"> humedales de montaña “La </w:t>
            </w:r>
            <w:proofErr w:type="spellStart"/>
            <w:r w:rsidRPr="00BC0193">
              <w:rPr>
                <w:rFonts w:cstheme="minorHAnsi"/>
                <w:sz w:val="18"/>
                <w:szCs w:val="18"/>
              </w:rPr>
              <w:t>Kisst</w:t>
            </w:r>
            <w:proofErr w:type="spellEnd"/>
            <w:r w:rsidRPr="00BC0193">
              <w:rPr>
                <w:rFonts w:cstheme="minorHAnsi"/>
                <w:sz w:val="18"/>
                <w:szCs w:val="18"/>
              </w:rPr>
              <w:t>” y “María Eugenia”, en agravio de los habitantes de San Cristóbal de las Casas, Chiapas.</w:t>
            </w:r>
          </w:p>
          <w:p w14:paraId="70CF9F96" w14:textId="01AB42CD" w:rsidR="008F4DC5" w:rsidRPr="00BC0193" w:rsidRDefault="008F4DC5" w:rsidP="001206BE">
            <w:pPr>
              <w:jc w:val="both"/>
              <w:rPr>
                <w:rFonts w:cstheme="minorHAnsi"/>
                <w:sz w:val="18"/>
                <w:szCs w:val="18"/>
              </w:rPr>
            </w:pPr>
          </w:p>
        </w:tc>
        <w:tc>
          <w:tcPr>
            <w:tcW w:w="3827" w:type="dxa"/>
            <w:vAlign w:val="center"/>
          </w:tcPr>
          <w:p w14:paraId="682A238B"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33A2749F" w14:textId="77777777" w:rsidR="00974900"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7A60CB87" w14:textId="77777777" w:rsidR="00974900" w:rsidRPr="00BC0193" w:rsidRDefault="00974900" w:rsidP="001206BE">
            <w:pPr>
              <w:jc w:val="center"/>
              <w:rPr>
                <w:rFonts w:cstheme="minorHAnsi"/>
                <w:b/>
                <w:bCs/>
                <w:sz w:val="18"/>
                <w:szCs w:val="18"/>
              </w:rPr>
            </w:pPr>
            <w:r w:rsidRPr="00BC0193">
              <w:rPr>
                <w:rFonts w:cstheme="minorHAnsi"/>
                <w:b/>
                <w:bCs/>
                <w:sz w:val="18"/>
                <w:szCs w:val="18"/>
              </w:rPr>
              <w:t>Aceptada</w:t>
            </w:r>
          </w:p>
        </w:tc>
      </w:tr>
      <w:tr w:rsidR="00974900" w:rsidRPr="00BC0193" w14:paraId="7D995512" w14:textId="77777777" w:rsidTr="008F4DC5">
        <w:tc>
          <w:tcPr>
            <w:tcW w:w="4957" w:type="dxa"/>
            <w:vAlign w:val="center"/>
          </w:tcPr>
          <w:p w14:paraId="5891B74F" w14:textId="7DA963FE" w:rsidR="00974900" w:rsidRPr="00BC0193" w:rsidRDefault="00974900" w:rsidP="001206BE">
            <w:pPr>
              <w:jc w:val="both"/>
              <w:rPr>
                <w:rFonts w:cstheme="minorHAnsi"/>
                <w:b/>
                <w:bCs/>
                <w:sz w:val="18"/>
                <w:szCs w:val="18"/>
                <w:lang w:val="es-ES_tradnl"/>
              </w:rPr>
            </w:pPr>
            <w:r w:rsidRPr="00BC0193">
              <w:rPr>
                <w:rFonts w:cstheme="minorHAnsi"/>
                <w:b/>
                <w:bCs/>
                <w:sz w:val="18"/>
                <w:szCs w:val="18"/>
                <w:lang w:val="es-ES_tradnl"/>
              </w:rPr>
              <w:lastRenderedPageBreak/>
              <w:t>CNDH/6/2021/3589/Q</w:t>
            </w:r>
          </w:p>
          <w:p w14:paraId="6932441D" w14:textId="77777777" w:rsidR="00974900" w:rsidRPr="00BC0193" w:rsidRDefault="00974900" w:rsidP="001206BE">
            <w:pPr>
              <w:jc w:val="both"/>
              <w:rPr>
                <w:rFonts w:cstheme="minorHAnsi"/>
                <w:b/>
                <w:bCs/>
                <w:sz w:val="18"/>
                <w:szCs w:val="18"/>
                <w:lang w:val="es-ES_tradnl"/>
              </w:rPr>
            </w:pPr>
          </w:p>
          <w:p w14:paraId="7A8F8158" w14:textId="77777777" w:rsidR="00974900" w:rsidRPr="00BC0193" w:rsidRDefault="00974900" w:rsidP="001206BE">
            <w:pPr>
              <w:jc w:val="both"/>
              <w:rPr>
                <w:rFonts w:cstheme="minorHAnsi"/>
                <w:sz w:val="18"/>
                <w:szCs w:val="18"/>
              </w:rPr>
            </w:pPr>
            <w:r w:rsidRPr="00BC0193">
              <w:rPr>
                <w:rFonts w:cstheme="minorHAnsi"/>
                <w:sz w:val="18"/>
                <w:szCs w:val="18"/>
              </w:rPr>
              <w:t>Suspensión del suministro eléctrico en la localidad de San Rafael, en el Municipio de las Margaritas, Chiapas, desde octubre de 2020, sin que a la fecha se haya restablecido dicho servicio público vital, afectando particularmente a los menores de edad, quienes estarían impedidos de asistir a clases mediante modalidades a distancia.</w:t>
            </w:r>
          </w:p>
          <w:p w14:paraId="486BF463" w14:textId="2A0AC760" w:rsidR="008A03E1" w:rsidRPr="00BC0193" w:rsidRDefault="008A03E1" w:rsidP="001206BE">
            <w:pPr>
              <w:jc w:val="both"/>
              <w:rPr>
                <w:rFonts w:cstheme="minorHAnsi"/>
                <w:b/>
                <w:bCs/>
                <w:sz w:val="18"/>
                <w:szCs w:val="18"/>
                <w:lang w:val="es-ES_tradnl"/>
              </w:rPr>
            </w:pPr>
          </w:p>
        </w:tc>
        <w:tc>
          <w:tcPr>
            <w:tcW w:w="3827" w:type="dxa"/>
            <w:vAlign w:val="center"/>
          </w:tcPr>
          <w:p w14:paraId="708B4A5C"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2AB0A7CE" w14:textId="77777777" w:rsidR="00974900"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56225164" w14:textId="77777777" w:rsidR="00974900" w:rsidRPr="00BC0193" w:rsidRDefault="00974900" w:rsidP="001206BE">
            <w:pPr>
              <w:jc w:val="center"/>
              <w:rPr>
                <w:rFonts w:cstheme="minorHAnsi"/>
                <w:b/>
                <w:bCs/>
                <w:sz w:val="18"/>
                <w:szCs w:val="18"/>
              </w:rPr>
            </w:pPr>
            <w:r w:rsidRPr="00BC0193">
              <w:rPr>
                <w:rFonts w:cstheme="minorHAnsi"/>
                <w:b/>
                <w:bCs/>
                <w:sz w:val="18"/>
                <w:szCs w:val="18"/>
              </w:rPr>
              <w:t>Resuelto durante el trámite</w:t>
            </w:r>
          </w:p>
        </w:tc>
      </w:tr>
      <w:tr w:rsidR="00974900" w:rsidRPr="00BC0193" w14:paraId="1E98DA3C" w14:textId="77777777" w:rsidTr="008F4DC5">
        <w:tc>
          <w:tcPr>
            <w:tcW w:w="4957" w:type="dxa"/>
            <w:vAlign w:val="center"/>
          </w:tcPr>
          <w:p w14:paraId="3C620ACD" w14:textId="6E2B8B09" w:rsidR="00974900" w:rsidRPr="00BC0193" w:rsidRDefault="00974900" w:rsidP="001206BE">
            <w:pPr>
              <w:jc w:val="both"/>
              <w:rPr>
                <w:rFonts w:cstheme="minorHAnsi"/>
                <w:b/>
                <w:bCs/>
                <w:sz w:val="18"/>
                <w:szCs w:val="18"/>
                <w:lang w:val="es-ES_tradnl"/>
              </w:rPr>
            </w:pPr>
            <w:r w:rsidRPr="00BC0193">
              <w:rPr>
                <w:rFonts w:cstheme="minorHAnsi"/>
                <w:b/>
                <w:bCs/>
                <w:sz w:val="18"/>
                <w:szCs w:val="18"/>
                <w:lang w:val="es-ES_tradnl"/>
              </w:rPr>
              <w:t>CNDH/6/2021/7807/Q</w:t>
            </w:r>
          </w:p>
          <w:p w14:paraId="18453763" w14:textId="77777777" w:rsidR="00974900" w:rsidRPr="00BC0193" w:rsidRDefault="00974900" w:rsidP="001206BE">
            <w:pPr>
              <w:jc w:val="both"/>
              <w:rPr>
                <w:rFonts w:cstheme="minorHAnsi"/>
                <w:b/>
                <w:bCs/>
                <w:sz w:val="18"/>
                <w:szCs w:val="18"/>
                <w:lang w:val="es-ES_tradnl"/>
              </w:rPr>
            </w:pPr>
          </w:p>
          <w:p w14:paraId="326A8D6F" w14:textId="3C7C0A71" w:rsidR="008A03E1" w:rsidRPr="00BC0193" w:rsidRDefault="00974900" w:rsidP="001206BE">
            <w:pPr>
              <w:jc w:val="both"/>
              <w:rPr>
                <w:rFonts w:cstheme="minorHAnsi"/>
                <w:sz w:val="18"/>
                <w:szCs w:val="18"/>
              </w:rPr>
            </w:pPr>
            <w:r w:rsidRPr="00BC0193">
              <w:rPr>
                <w:rFonts w:cstheme="minorHAnsi"/>
                <w:sz w:val="18"/>
                <w:szCs w:val="18"/>
              </w:rPr>
              <w:t xml:space="preserve">35 familias del paraje </w:t>
            </w:r>
            <w:proofErr w:type="spellStart"/>
            <w:r w:rsidRPr="00BC0193">
              <w:rPr>
                <w:rFonts w:cstheme="minorHAnsi"/>
                <w:sz w:val="18"/>
                <w:szCs w:val="18"/>
              </w:rPr>
              <w:t>Copalhuacán</w:t>
            </w:r>
            <w:proofErr w:type="spellEnd"/>
            <w:r w:rsidRPr="00BC0193">
              <w:rPr>
                <w:rFonts w:cstheme="minorHAnsi"/>
                <w:sz w:val="18"/>
                <w:szCs w:val="18"/>
              </w:rPr>
              <w:t xml:space="preserve"> en San Salvador </w:t>
            </w:r>
            <w:proofErr w:type="spellStart"/>
            <w:r w:rsidRPr="00BC0193">
              <w:rPr>
                <w:rFonts w:cstheme="minorHAnsi"/>
                <w:sz w:val="18"/>
                <w:szCs w:val="18"/>
              </w:rPr>
              <w:t>Cuauhtenco</w:t>
            </w:r>
            <w:proofErr w:type="spellEnd"/>
            <w:r w:rsidRPr="00BC0193">
              <w:rPr>
                <w:rFonts w:cstheme="minorHAnsi"/>
                <w:sz w:val="18"/>
                <w:szCs w:val="18"/>
              </w:rPr>
              <w:t>, Milpa Alta, desde 2014 recibían abastecimiento eléctrico a partir de un solo servicio, cuyo pago se verificaba de manera prorrateaba. A mediados de 2021 la Comisión Federal de Electricidad dio de baja el suministro común pese a haber cubierto los usuarios un adeudo de $47,675.00 pesos 00/100 M.N, por lo cual solicitaron la reinstalación del servicio y, en su caso, la individualización de los contratos.</w:t>
            </w:r>
          </w:p>
        </w:tc>
        <w:tc>
          <w:tcPr>
            <w:tcW w:w="3827" w:type="dxa"/>
            <w:vAlign w:val="center"/>
          </w:tcPr>
          <w:p w14:paraId="3CC0A534"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458E997A" w14:textId="77777777" w:rsidR="00974900"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0AA2B225" w14:textId="77777777" w:rsidR="00974900" w:rsidRPr="00BC0193" w:rsidRDefault="00974900" w:rsidP="001206BE">
            <w:pPr>
              <w:jc w:val="center"/>
              <w:rPr>
                <w:rFonts w:cstheme="minorHAnsi"/>
                <w:b/>
                <w:bCs/>
                <w:sz w:val="18"/>
                <w:szCs w:val="18"/>
              </w:rPr>
            </w:pPr>
            <w:r w:rsidRPr="00BC0193">
              <w:rPr>
                <w:rFonts w:cstheme="minorHAnsi"/>
                <w:b/>
                <w:bCs/>
                <w:sz w:val="18"/>
                <w:szCs w:val="18"/>
              </w:rPr>
              <w:t>Resuelto durante el trámite</w:t>
            </w:r>
          </w:p>
        </w:tc>
      </w:tr>
      <w:tr w:rsidR="00974900" w:rsidRPr="00BC0193" w14:paraId="435BBC19" w14:textId="77777777" w:rsidTr="008F4DC5">
        <w:tc>
          <w:tcPr>
            <w:tcW w:w="4957" w:type="dxa"/>
            <w:vAlign w:val="center"/>
          </w:tcPr>
          <w:p w14:paraId="0296B6C6" w14:textId="77777777" w:rsidR="00974900" w:rsidRPr="00BC0193" w:rsidRDefault="00974900" w:rsidP="001206BE">
            <w:pPr>
              <w:jc w:val="both"/>
              <w:rPr>
                <w:rFonts w:cstheme="minorHAnsi"/>
                <w:b/>
                <w:bCs/>
                <w:sz w:val="18"/>
                <w:szCs w:val="18"/>
                <w:lang w:val="es-ES_tradnl"/>
              </w:rPr>
            </w:pPr>
            <w:r w:rsidRPr="00BC0193">
              <w:rPr>
                <w:rFonts w:cstheme="minorHAnsi"/>
                <w:b/>
                <w:bCs/>
                <w:sz w:val="18"/>
                <w:szCs w:val="18"/>
                <w:lang w:val="es-ES_tradnl"/>
              </w:rPr>
              <w:t>CNDH/6/2021/10556/R</w:t>
            </w:r>
          </w:p>
          <w:p w14:paraId="6AEE89C4" w14:textId="77777777" w:rsidR="00974900" w:rsidRPr="00BC0193" w:rsidRDefault="00974900" w:rsidP="001206BE">
            <w:pPr>
              <w:jc w:val="both"/>
              <w:rPr>
                <w:rFonts w:cstheme="minorHAnsi"/>
                <w:b/>
                <w:bCs/>
                <w:sz w:val="18"/>
                <w:szCs w:val="18"/>
                <w:lang w:val="es-ES_tradnl"/>
              </w:rPr>
            </w:pPr>
          </w:p>
          <w:p w14:paraId="5C281B1E" w14:textId="77777777" w:rsidR="00974900" w:rsidRPr="00BC0193" w:rsidRDefault="00974900" w:rsidP="001206BE">
            <w:pPr>
              <w:jc w:val="both"/>
              <w:rPr>
                <w:rFonts w:cstheme="minorHAnsi"/>
                <w:sz w:val="18"/>
                <w:szCs w:val="18"/>
              </w:rPr>
            </w:pPr>
            <w:r w:rsidRPr="00BC0193">
              <w:rPr>
                <w:rFonts w:cstheme="minorHAnsi"/>
                <w:sz w:val="18"/>
                <w:szCs w:val="18"/>
              </w:rPr>
              <w:t>Irregularidades en el cumplimiento del Programa de Ordenamiento Ecológico del Estado de Chiapas y el correspondiente al municipio de San Cristóbal de las Casas, derivado del desplazamiento y deterioro de las zonas con uso de suelo de conservación, en infracción al plan de Ordenamiento Ecológico del Territorio, emitido por el Gobierno Estatal, en agravio de la calidad de vida de los residentes de esa demarcación.</w:t>
            </w:r>
          </w:p>
        </w:tc>
        <w:tc>
          <w:tcPr>
            <w:tcW w:w="3827" w:type="dxa"/>
            <w:vAlign w:val="center"/>
          </w:tcPr>
          <w:p w14:paraId="09A5227F"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1F291863" w14:textId="77777777" w:rsidR="00974900"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069954ED" w14:textId="77777777" w:rsidR="00974900" w:rsidRPr="00BC0193" w:rsidRDefault="00974900" w:rsidP="001206BE">
            <w:pPr>
              <w:jc w:val="center"/>
              <w:rPr>
                <w:rFonts w:cstheme="minorHAnsi"/>
                <w:b/>
                <w:bCs/>
                <w:sz w:val="18"/>
                <w:szCs w:val="18"/>
              </w:rPr>
            </w:pPr>
            <w:r w:rsidRPr="00BC0193">
              <w:rPr>
                <w:rFonts w:cstheme="minorHAnsi"/>
                <w:b/>
                <w:bCs/>
                <w:sz w:val="18"/>
                <w:szCs w:val="18"/>
              </w:rPr>
              <w:t>Remisión a organismo estatal de protección</w:t>
            </w:r>
          </w:p>
        </w:tc>
      </w:tr>
      <w:tr w:rsidR="00974900" w:rsidRPr="00BC0193" w14:paraId="1146A7EE" w14:textId="77777777" w:rsidTr="008F4DC5">
        <w:tc>
          <w:tcPr>
            <w:tcW w:w="4957" w:type="dxa"/>
            <w:vAlign w:val="center"/>
          </w:tcPr>
          <w:p w14:paraId="314BE72C" w14:textId="77777777" w:rsidR="00974900" w:rsidRPr="00BC0193" w:rsidRDefault="00974900" w:rsidP="001206BE">
            <w:pPr>
              <w:jc w:val="both"/>
              <w:rPr>
                <w:rFonts w:cstheme="minorHAnsi"/>
                <w:b/>
                <w:bCs/>
                <w:sz w:val="18"/>
                <w:szCs w:val="18"/>
                <w:lang w:val="es-ES_tradnl"/>
              </w:rPr>
            </w:pPr>
            <w:r w:rsidRPr="00BC0193">
              <w:rPr>
                <w:rFonts w:cstheme="minorHAnsi"/>
                <w:b/>
                <w:bCs/>
                <w:sz w:val="18"/>
                <w:szCs w:val="18"/>
                <w:lang w:val="es-ES_tradnl"/>
              </w:rPr>
              <w:t>CNDH/6/2021/8659/Q</w:t>
            </w:r>
          </w:p>
          <w:p w14:paraId="47F03F87" w14:textId="77777777" w:rsidR="00974900" w:rsidRPr="00BC0193" w:rsidRDefault="00974900" w:rsidP="001206BE">
            <w:pPr>
              <w:jc w:val="both"/>
              <w:rPr>
                <w:rFonts w:cstheme="minorHAnsi"/>
                <w:b/>
                <w:bCs/>
                <w:sz w:val="18"/>
                <w:szCs w:val="18"/>
                <w:lang w:val="es-ES_tradnl"/>
              </w:rPr>
            </w:pPr>
          </w:p>
          <w:p w14:paraId="66C1EEE3" w14:textId="7B9A04F1" w:rsidR="00974900" w:rsidRPr="00BC0193" w:rsidRDefault="00974900" w:rsidP="001206BE">
            <w:pPr>
              <w:jc w:val="both"/>
              <w:rPr>
                <w:rFonts w:cstheme="minorHAnsi"/>
                <w:b/>
                <w:bCs/>
                <w:sz w:val="18"/>
                <w:szCs w:val="18"/>
              </w:rPr>
            </w:pPr>
            <w:r w:rsidRPr="00BC0193">
              <w:rPr>
                <w:rFonts w:cstheme="minorHAnsi"/>
                <w:sz w:val="18"/>
                <w:szCs w:val="18"/>
              </w:rPr>
              <w:t>Afectaciones a viviendas en las colonias Bosques de Viena y Polonia, al igual que Sección Sexta de Héroes de Tecámac, en el municipio de Tecámac, en el Estado de México, como resultado de la ampliación de la autopista México-Pachuca por la construcción del Aeropuerto Internacional “Felipe Ángeles”.</w:t>
            </w:r>
          </w:p>
        </w:tc>
        <w:tc>
          <w:tcPr>
            <w:tcW w:w="3827" w:type="dxa"/>
            <w:vAlign w:val="center"/>
          </w:tcPr>
          <w:p w14:paraId="38F67A4B" w14:textId="77777777" w:rsidR="00974900" w:rsidRPr="00BC0193" w:rsidRDefault="00974900" w:rsidP="001206BE">
            <w:pPr>
              <w:jc w:val="center"/>
              <w:rPr>
                <w:rFonts w:cstheme="minorHAnsi"/>
                <w:sz w:val="18"/>
                <w:szCs w:val="18"/>
              </w:rPr>
            </w:pPr>
            <w:r w:rsidRPr="00BC0193">
              <w:rPr>
                <w:rFonts w:cstheme="minorHAnsi"/>
                <w:sz w:val="18"/>
                <w:szCs w:val="18"/>
              </w:rPr>
              <w:t>Derecho humano a la vivienda adecuada</w:t>
            </w:r>
          </w:p>
        </w:tc>
        <w:tc>
          <w:tcPr>
            <w:tcW w:w="5386" w:type="dxa"/>
            <w:vAlign w:val="center"/>
          </w:tcPr>
          <w:p w14:paraId="62BE6470" w14:textId="77777777" w:rsidR="00974900" w:rsidRPr="00BC0193" w:rsidRDefault="00974900" w:rsidP="001206BE">
            <w:pPr>
              <w:jc w:val="both"/>
              <w:rPr>
                <w:rFonts w:cstheme="minorHAnsi"/>
                <w:sz w:val="18"/>
                <w:szCs w:val="18"/>
              </w:rPr>
            </w:pPr>
            <w:r w:rsidRPr="00BC0193">
              <w:rPr>
                <w:rFonts w:cstheme="minorHAnsi"/>
                <w:sz w:val="18"/>
                <w:szCs w:val="18"/>
              </w:rPr>
              <w:t>Artículos 11, párrafo I, del Pacto Internacional de Derechos Económicos, Sociales y Culturales, 11 del Protocolo de San Salvador, 25 de la Declaración Universal de Derechos Humanos, XII de la Declaración Americana de los Derechos y Deberes del Hombre, así como convenciones internacionales sobre la Eliminación de todas las Formas de Discriminación contra la Mujer (artículo 14.2 inciso h), la Eliminación de todas las Formas de Discriminación Racial (artículo 5 inciso e) fracción III), los Derechos del Niño (artículo 27), al igual que Artículo 4º de la Constitución Política de los Estados Unidos Mexicanos.</w:t>
            </w:r>
          </w:p>
        </w:tc>
        <w:tc>
          <w:tcPr>
            <w:tcW w:w="3969" w:type="dxa"/>
            <w:vAlign w:val="center"/>
          </w:tcPr>
          <w:p w14:paraId="3D200AAF" w14:textId="77777777" w:rsidR="00974900" w:rsidRPr="00BC0193" w:rsidRDefault="00974900" w:rsidP="001206BE">
            <w:pPr>
              <w:jc w:val="center"/>
              <w:rPr>
                <w:rFonts w:cstheme="minorHAnsi"/>
                <w:b/>
                <w:bCs/>
                <w:sz w:val="18"/>
                <w:szCs w:val="18"/>
              </w:rPr>
            </w:pPr>
            <w:r w:rsidRPr="00BC0193">
              <w:rPr>
                <w:rFonts w:cstheme="minorHAnsi"/>
                <w:b/>
                <w:bCs/>
                <w:sz w:val="18"/>
                <w:szCs w:val="18"/>
              </w:rPr>
              <w:t>En trámite. Se solicitó a autoridades federales involucradas evidencias de cumplimiento a mesas de trabajo, para corroborar los trabajos e indemnizaciones acordadas con agraviados.</w:t>
            </w:r>
          </w:p>
        </w:tc>
      </w:tr>
    </w:tbl>
    <w:p w14:paraId="25EFF797" w14:textId="7D7367CA" w:rsidR="00974900" w:rsidRDefault="00974900" w:rsidP="00295D80">
      <w:pPr>
        <w:spacing w:after="0"/>
        <w:rPr>
          <w:rFonts w:cstheme="minorHAnsi"/>
          <w:b/>
          <w:bCs/>
          <w:sz w:val="18"/>
          <w:szCs w:val="18"/>
        </w:rPr>
      </w:pPr>
    </w:p>
    <w:p w14:paraId="4F61B41C" w14:textId="72476D29" w:rsidR="008F4DC5" w:rsidRDefault="008F4DC5" w:rsidP="00295D80">
      <w:pPr>
        <w:spacing w:after="0"/>
        <w:rPr>
          <w:rFonts w:cstheme="minorHAnsi"/>
          <w:b/>
          <w:bCs/>
          <w:sz w:val="18"/>
          <w:szCs w:val="18"/>
        </w:rPr>
      </w:pPr>
    </w:p>
    <w:p w14:paraId="32EB1D7C" w14:textId="77777777" w:rsidR="00974900" w:rsidRPr="00BC0193" w:rsidRDefault="00974900" w:rsidP="00974900">
      <w:pPr>
        <w:spacing w:after="0"/>
        <w:rPr>
          <w:rFonts w:cstheme="minorHAnsi"/>
          <w:b/>
          <w:bCs/>
          <w:sz w:val="18"/>
          <w:szCs w:val="18"/>
        </w:rPr>
      </w:pPr>
      <w:r w:rsidRPr="00BC0193">
        <w:rPr>
          <w:rFonts w:cstheme="minorHAnsi"/>
          <w:b/>
          <w:bCs/>
          <w:sz w:val="18"/>
          <w:szCs w:val="18"/>
        </w:rPr>
        <w:lastRenderedPageBreak/>
        <w:t>b) Preocupaciones</w:t>
      </w:r>
    </w:p>
    <w:p w14:paraId="00D6F664" w14:textId="77777777" w:rsidR="00974900" w:rsidRPr="00BC0193" w:rsidRDefault="00974900" w:rsidP="00974900">
      <w:pPr>
        <w:spacing w:after="0"/>
        <w:rPr>
          <w:rFonts w:cstheme="minorHAnsi"/>
          <w:sz w:val="18"/>
          <w:szCs w:val="18"/>
        </w:rPr>
      </w:pPr>
    </w:p>
    <w:p w14:paraId="55F90906" w14:textId="5CF556FE" w:rsidR="00974900" w:rsidRPr="00BC0193" w:rsidRDefault="0085695F" w:rsidP="00974900">
      <w:pPr>
        <w:spacing w:after="0"/>
        <w:jc w:val="both"/>
        <w:rPr>
          <w:rFonts w:cstheme="minorHAnsi"/>
          <w:sz w:val="18"/>
          <w:szCs w:val="18"/>
        </w:rPr>
      </w:pPr>
      <w:r w:rsidRPr="00BC0193">
        <w:rPr>
          <w:rFonts w:cstheme="minorHAnsi"/>
          <w:sz w:val="18"/>
          <w:szCs w:val="18"/>
        </w:rPr>
        <w:t>El principal obstáculo institucional en casos relativos a vivienda en contextos de conflictiva social radica en la ausencia de medidas, protocolos o mecanismos de evaluación del impacto social, por parte de las autoridades, respecto de obras o actividades lesivas a los derechos humanos, sumado a la falta de instancias especializadas en el ámbito gubernamental para atender dichos conflictos.</w:t>
      </w:r>
    </w:p>
    <w:p w14:paraId="4B1725DD" w14:textId="52147616" w:rsidR="0085695F" w:rsidRPr="00BC0193" w:rsidRDefault="0085695F" w:rsidP="00974900">
      <w:pPr>
        <w:spacing w:after="0"/>
        <w:jc w:val="both"/>
        <w:rPr>
          <w:rFonts w:cstheme="minorHAnsi"/>
          <w:sz w:val="18"/>
          <w:szCs w:val="18"/>
        </w:rPr>
      </w:pPr>
    </w:p>
    <w:p w14:paraId="76030BEC" w14:textId="590633E3" w:rsidR="0085695F" w:rsidRPr="00BC0193" w:rsidRDefault="0085695F" w:rsidP="00974900">
      <w:pPr>
        <w:spacing w:after="0"/>
        <w:jc w:val="both"/>
        <w:rPr>
          <w:rFonts w:cstheme="minorHAnsi"/>
          <w:sz w:val="18"/>
          <w:szCs w:val="18"/>
        </w:rPr>
      </w:pPr>
      <w:r w:rsidRPr="00BC0193">
        <w:rPr>
          <w:rFonts w:cstheme="minorHAnsi"/>
          <w:sz w:val="18"/>
          <w:szCs w:val="18"/>
        </w:rPr>
        <w:t>Respecto de casos relativos a pueblos y comunidades originarios, poblaciones con un rango elevado de marginación económica o asentamientos humanos irregulares o en proceso de regularización, se observa una falta de sensibilización y capacitación por parte de los agentes públicos, lo cual no sólo deviene en prácticas o acciones discriminatorias, sino</w:t>
      </w:r>
      <w:r w:rsidR="00EA472C" w:rsidRPr="00BC0193">
        <w:rPr>
          <w:rFonts w:cstheme="minorHAnsi"/>
          <w:sz w:val="18"/>
          <w:szCs w:val="18"/>
        </w:rPr>
        <w:t xml:space="preserve"> en falta de perspectiva social o de derechos humanos en la atención de los conflictos.</w:t>
      </w:r>
    </w:p>
    <w:p w14:paraId="5E01823A" w14:textId="7AEDC116" w:rsidR="00EA472C" w:rsidRPr="00BC0193" w:rsidRDefault="00EA472C" w:rsidP="00974900">
      <w:pPr>
        <w:spacing w:after="0"/>
        <w:jc w:val="both"/>
        <w:rPr>
          <w:rFonts w:cstheme="minorHAnsi"/>
          <w:sz w:val="18"/>
          <w:szCs w:val="18"/>
        </w:rPr>
      </w:pPr>
    </w:p>
    <w:p w14:paraId="0E1556EA" w14:textId="57359307" w:rsidR="00EA472C" w:rsidRPr="00BC0193" w:rsidRDefault="00EA472C" w:rsidP="00974900">
      <w:pPr>
        <w:spacing w:after="0"/>
        <w:jc w:val="both"/>
        <w:rPr>
          <w:rFonts w:cstheme="minorHAnsi"/>
          <w:sz w:val="18"/>
          <w:szCs w:val="18"/>
        </w:rPr>
      </w:pPr>
      <w:r w:rsidRPr="00BC0193">
        <w:rPr>
          <w:rFonts w:cstheme="minorHAnsi"/>
          <w:sz w:val="18"/>
          <w:szCs w:val="18"/>
        </w:rPr>
        <w:t>De igual manera, particularmente en casos de desarrollo urbano y su vinculación con servicios urbanos, calidad de vida y protección al ambiente, se advierte un importante número de irregularidades en procedimientos administrativos de autorización, expedición de permisos, licencias o concesiones, los cuales evidencian falta de capacitación y apego a la legalidad por parte de las autoridades responsables, además de corrupción.</w:t>
      </w:r>
    </w:p>
    <w:p w14:paraId="19E7B21F" w14:textId="77777777" w:rsidR="00974900" w:rsidRPr="00BC0193" w:rsidRDefault="00974900" w:rsidP="00974900">
      <w:pPr>
        <w:spacing w:after="0"/>
        <w:rPr>
          <w:rFonts w:cstheme="minorHAnsi"/>
          <w:sz w:val="18"/>
          <w:szCs w:val="18"/>
        </w:rPr>
      </w:pPr>
    </w:p>
    <w:p w14:paraId="572313B1" w14:textId="21A7A5E9" w:rsidR="009E4AE6" w:rsidRDefault="00974900" w:rsidP="00974900">
      <w:pPr>
        <w:spacing w:after="0"/>
        <w:rPr>
          <w:rFonts w:cstheme="minorHAnsi"/>
          <w:b/>
          <w:bCs/>
          <w:sz w:val="18"/>
          <w:szCs w:val="18"/>
        </w:rPr>
      </w:pPr>
      <w:r w:rsidRPr="00BC0193">
        <w:rPr>
          <w:rFonts w:cstheme="minorHAnsi"/>
          <w:b/>
          <w:bCs/>
          <w:sz w:val="18"/>
          <w:szCs w:val="18"/>
        </w:rPr>
        <w:t>c) Informes o artículos publicados</w:t>
      </w:r>
    </w:p>
    <w:p w14:paraId="37949D5C" w14:textId="5B65915C" w:rsidR="00B82D17" w:rsidRDefault="00B82D17" w:rsidP="00974900">
      <w:pPr>
        <w:spacing w:after="0"/>
        <w:rPr>
          <w:rFonts w:cstheme="minorHAnsi"/>
          <w:b/>
          <w:bCs/>
          <w:sz w:val="18"/>
          <w:szCs w:val="18"/>
        </w:rPr>
      </w:pPr>
    </w:p>
    <w:p w14:paraId="62866670" w14:textId="79522695" w:rsidR="00B82D17" w:rsidRDefault="00B82D17" w:rsidP="00B82D17">
      <w:pPr>
        <w:pStyle w:val="Prrafodelista"/>
        <w:numPr>
          <w:ilvl w:val="0"/>
          <w:numId w:val="6"/>
        </w:numPr>
        <w:spacing w:after="0"/>
        <w:rPr>
          <w:rFonts w:cstheme="minorHAnsi"/>
          <w:i/>
          <w:iCs/>
          <w:sz w:val="18"/>
          <w:szCs w:val="18"/>
        </w:rPr>
      </w:pPr>
      <w:proofErr w:type="spellStart"/>
      <w:r w:rsidRPr="00B82D17">
        <w:rPr>
          <w:rFonts w:cstheme="minorHAnsi"/>
          <w:b/>
          <w:bCs/>
          <w:sz w:val="18"/>
          <w:szCs w:val="18"/>
        </w:rPr>
        <w:t>Articulo</w:t>
      </w:r>
      <w:proofErr w:type="spellEnd"/>
      <w:r w:rsidRPr="00B82D17">
        <w:rPr>
          <w:rFonts w:cstheme="minorHAnsi"/>
          <w:b/>
          <w:bCs/>
          <w:sz w:val="18"/>
          <w:szCs w:val="18"/>
        </w:rPr>
        <w:t xml:space="preserve">: </w:t>
      </w:r>
      <w:r w:rsidR="00CB3F90" w:rsidRPr="00CB3F90">
        <w:rPr>
          <w:rFonts w:cstheme="minorHAnsi"/>
          <w:i/>
          <w:iCs/>
          <w:sz w:val="18"/>
          <w:szCs w:val="18"/>
        </w:rPr>
        <w:t>“</w:t>
      </w:r>
      <w:r w:rsidRPr="00B82D17">
        <w:rPr>
          <w:rFonts w:cstheme="minorHAnsi"/>
          <w:i/>
          <w:iCs/>
          <w:sz w:val="18"/>
          <w:szCs w:val="18"/>
        </w:rPr>
        <w:t>Autoproducción de vivienda adecuada en México, 2021</w:t>
      </w:r>
      <w:r w:rsidR="00CB3F90">
        <w:rPr>
          <w:rFonts w:cstheme="minorHAnsi"/>
          <w:i/>
          <w:iCs/>
          <w:sz w:val="18"/>
          <w:szCs w:val="18"/>
        </w:rPr>
        <w:t>”;</w:t>
      </w:r>
      <w:r>
        <w:rPr>
          <w:rFonts w:cstheme="minorHAnsi"/>
          <w:i/>
          <w:iCs/>
          <w:sz w:val="18"/>
          <w:szCs w:val="18"/>
        </w:rPr>
        <w:t xml:space="preserve"> </w:t>
      </w:r>
      <w:hyperlink r:id="rId7" w:history="1">
        <w:r w:rsidR="00CB3F90" w:rsidRPr="005318BC">
          <w:rPr>
            <w:rStyle w:val="Hipervnculo"/>
            <w:rFonts w:cstheme="minorHAnsi"/>
            <w:i/>
            <w:iCs/>
            <w:sz w:val="18"/>
            <w:szCs w:val="18"/>
          </w:rPr>
          <w:t>https://www.gob.mx/cms/uploads/attachment/file/686522/V4-Autoproduccio_n_de_Vivienda_Adecuada_en_Me_xico_Editado_F-comprimido__1_.pdf</w:t>
        </w:r>
      </w:hyperlink>
    </w:p>
    <w:p w14:paraId="1B229D5A" w14:textId="40B19FF4" w:rsidR="00B82D17" w:rsidRPr="00CB3F90" w:rsidRDefault="00B82D17" w:rsidP="00CB3F90">
      <w:pPr>
        <w:pStyle w:val="Prrafodelista"/>
        <w:numPr>
          <w:ilvl w:val="0"/>
          <w:numId w:val="6"/>
        </w:numPr>
        <w:spacing w:after="0"/>
        <w:rPr>
          <w:rFonts w:cstheme="minorHAnsi"/>
          <w:i/>
          <w:iCs/>
          <w:sz w:val="18"/>
          <w:szCs w:val="18"/>
        </w:rPr>
      </w:pPr>
      <w:proofErr w:type="spellStart"/>
      <w:r>
        <w:rPr>
          <w:rFonts w:cstheme="minorHAnsi"/>
          <w:b/>
          <w:bCs/>
          <w:sz w:val="18"/>
          <w:szCs w:val="18"/>
        </w:rPr>
        <w:t>Articulo</w:t>
      </w:r>
      <w:proofErr w:type="spellEnd"/>
      <w:r>
        <w:rPr>
          <w:rFonts w:cstheme="minorHAnsi"/>
          <w:b/>
          <w:bCs/>
          <w:sz w:val="18"/>
          <w:szCs w:val="18"/>
        </w:rPr>
        <w:t>:</w:t>
      </w:r>
      <w:r>
        <w:rPr>
          <w:rFonts w:cstheme="minorHAnsi"/>
          <w:sz w:val="18"/>
          <w:szCs w:val="18"/>
        </w:rPr>
        <w:t xml:space="preserve"> </w:t>
      </w:r>
      <w:r w:rsidR="00CB3F90">
        <w:rPr>
          <w:rFonts w:cstheme="minorHAnsi"/>
          <w:sz w:val="18"/>
          <w:szCs w:val="18"/>
        </w:rPr>
        <w:t>“</w:t>
      </w:r>
      <w:r w:rsidRPr="00CB3F90">
        <w:rPr>
          <w:rFonts w:cstheme="minorHAnsi"/>
          <w:i/>
          <w:iCs/>
          <w:sz w:val="18"/>
          <w:szCs w:val="18"/>
        </w:rPr>
        <w:t>La insufic</w:t>
      </w:r>
      <w:r w:rsidR="00CB3F90" w:rsidRPr="00CB3F90">
        <w:rPr>
          <w:rFonts w:cstheme="minorHAnsi"/>
          <w:i/>
          <w:iCs/>
          <w:sz w:val="18"/>
          <w:szCs w:val="18"/>
        </w:rPr>
        <w:t>iencia de viviendas dignas y decorosas, publicado el 24 de agosto de 2021</w:t>
      </w:r>
      <w:r w:rsidR="00CB3F90">
        <w:rPr>
          <w:rFonts w:cstheme="minorHAnsi"/>
          <w:i/>
          <w:iCs/>
          <w:sz w:val="18"/>
          <w:szCs w:val="18"/>
        </w:rPr>
        <w:t>,</w:t>
      </w:r>
      <w:r w:rsidR="00CB3F90" w:rsidRPr="00CB3F90">
        <w:rPr>
          <w:rFonts w:cstheme="minorHAnsi"/>
          <w:i/>
          <w:iCs/>
          <w:sz w:val="18"/>
          <w:szCs w:val="18"/>
        </w:rPr>
        <w:t xml:space="preserve"> por México Social, la cuestión social en México</w:t>
      </w:r>
      <w:r w:rsidR="00CB3F90">
        <w:rPr>
          <w:rFonts w:cstheme="minorHAnsi"/>
          <w:i/>
          <w:iCs/>
          <w:sz w:val="18"/>
          <w:szCs w:val="18"/>
        </w:rPr>
        <w:t xml:space="preserve">”; </w:t>
      </w:r>
      <w:hyperlink r:id="rId8" w:history="1">
        <w:r w:rsidR="00CB3F90" w:rsidRPr="005318BC">
          <w:rPr>
            <w:rStyle w:val="Hipervnculo"/>
            <w:rFonts w:cstheme="minorHAnsi"/>
            <w:i/>
            <w:iCs/>
            <w:sz w:val="18"/>
            <w:szCs w:val="18"/>
          </w:rPr>
          <w:t>https://www.mexicosocial.org/la-insuficiencia-de-viviendas-dignas-y-decorosas/</w:t>
        </w:r>
      </w:hyperlink>
      <w:r w:rsidR="00CB3F90" w:rsidRPr="00CB3F90">
        <w:rPr>
          <w:rFonts w:cstheme="minorHAnsi"/>
          <w:i/>
          <w:iCs/>
          <w:sz w:val="18"/>
          <w:szCs w:val="18"/>
        </w:rPr>
        <w:t xml:space="preserve"> </w:t>
      </w:r>
    </w:p>
    <w:sectPr w:rsidR="00B82D17" w:rsidRPr="00CB3F90" w:rsidSect="008F4DC5">
      <w:headerReference w:type="default" r:id="rId9"/>
      <w:pgSz w:w="20160" w:h="12240" w:orient="landscape" w:code="5"/>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B843A" w14:textId="77777777" w:rsidR="00BD29B2" w:rsidRDefault="00BD29B2" w:rsidP="008F4DC5">
      <w:pPr>
        <w:spacing w:after="0" w:line="240" w:lineRule="auto"/>
      </w:pPr>
      <w:r>
        <w:separator/>
      </w:r>
    </w:p>
  </w:endnote>
  <w:endnote w:type="continuationSeparator" w:id="0">
    <w:p w14:paraId="4C126A68" w14:textId="77777777" w:rsidR="00BD29B2" w:rsidRDefault="00BD29B2" w:rsidP="008F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624DC" w14:textId="77777777" w:rsidR="00BD29B2" w:rsidRDefault="00BD29B2" w:rsidP="008F4DC5">
      <w:pPr>
        <w:spacing w:after="0" w:line="240" w:lineRule="auto"/>
      </w:pPr>
      <w:r>
        <w:separator/>
      </w:r>
    </w:p>
  </w:footnote>
  <w:footnote w:type="continuationSeparator" w:id="0">
    <w:p w14:paraId="190BAD7E" w14:textId="77777777" w:rsidR="00BD29B2" w:rsidRDefault="00BD29B2" w:rsidP="008F4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91AC" w14:textId="59B1FFDA" w:rsidR="008F4DC5" w:rsidRDefault="001234BF">
    <w:pPr>
      <w:pStyle w:val="Encabezado"/>
    </w:pPr>
    <w:r>
      <w:rPr>
        <w:noProof/>
        <w:lang w:eastAsia="es-MX"/>
      </w:rPr>
      <w:drawing>
        <wp:inline distT="0" distB="0" distL="0" distR="0" wp14:anchorId="1CB13DFE" wp14:editId="56A3ED0C">
          <wp:extent cx="914400" cy="828675"/>
          <wp:effectExtent l="0" t="0" r="0" b="9525"/>
          <wp:docPr id="7" name="Imagen 7"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828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5B0"/>
    <w:multiLevelType w:val="hybridMultilevel"/>
    <w:tmpl w:val="BF0A8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159E8"/>
    <w:multiLevelType w:val="hybridMultilevel"/>
    <w:tmpl w:val="D5F804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686AD5"/>
    <w:multiLevelType w:val="hybridMultilevel"/>
    <w:tmpl w:val="54C2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167998"/>
    <w:multiLevelType w:val="hybridMultilevel"/>
    <w:tmpl w:val="AF5601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F61C5B"/>
    <w:multiLevelType w:val="hybridMultilevel"/>
    <w:tmpl w:val="AF5601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2F17E7"/>
    <w:multiLevelType w:val="hybridMultilevel"/>
    <w:tmpl w:val="417ED4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6"/>
    <w:rsid w:val="000378E9"/>
    <w:rsid w:val="00084A68"/>
    <w:rsid w:val="000A79B6"/>
    <w:rsid w:val="000F45CA"/>
    <w:rsid w:val="0011262B"/>
    <w:rsid w:val="001234BF"/>
    <w:rsid w:val="00147772"/>
    <w:rsid w:val="0016273E"/>
    <w:rsid w:val="001B3504"/>
    <w:rsid w:val="001F213E"/>
    <w:rsid w:val="002045A0"/>
    <w:rsid w:val="00217C61"/>
    <w:rsid w:val="00295D80"/>
    <w:rsid w:val="002A49BF"/>
    <w:rsid w:val="002C1136"/>
    <w:rsid w:val="002D55CC"/>
    <w:rsid w:val="00373FE9"/>
    <w:rsid w:val="00386F37"/>
    <w:rsid w:val="003E54EC"/>
    <w:rsid w:val="00461B40"/>
    <w:rsid w:val="00492C57"/>
    <w:rsid w:val="00530F93"/>
    <w:rsid w:val="00555236"/>
    <w:rsid w:val="00563C09"/>
    <w:rsid w:val="005B259A"/>
    <w:rsid w:val="006932BD"/>
    <w:rsid w:val="006E7B80"/>
    <w:rsid w:val="007336D2"/>
    <w:rsid w:val="007A7A80"/>
    <w:rsid w:val="0081505F"/>
    <w:rsid w:val="00840C9E"/>
    <w:rsid w:val="0085695F"/>
    <w:rsid w:val="008A03E1"/>
    <w:rsid w:val="008A3344"/>
    <w:rsid w:val="008F4DC5"/>
    <w:rsid w:val="008F7094"/>
    <w:rsid w:val="00903F58"/>
    <w:rsid w:val="009061A9"/>
    <w:rsid w:val="00974900"/>
    <w:rsid w:val="009907F1"/>
    <w:rsid w:val="009E4AE6"/>
    <w:rsid w:val="00A91502"/>
    <w:rsid w:val="00AB17A9"/>
    <w:rsid w:val="00B138D9"/>
    <w:rsid w:val="00B82D17"/>
    <w:rsid w:val="00BB0ACA"/>
    <w:rsid w:val="00BC0193"/>
    <w:rsid w:val="00BD29B2"/>
    <w:rsid w:val="00C1720B"/>
    <w:rsid w:val="00C46F2D"/>
    <w:rsid w:val="00C67323"/>
    <w:rsid w:val="00C76EAF"/>
    <w:rsid w:val="00CA6E82"/>
    <w:rsid w:val="00CB3F90"/>
    <w:rsid w:val="00CD6D45"/>
    <w:rsid w:val="00D11551"/>
    <w:rsid w:val="00D307E4"/>
    <w:rsid w:val="00DA5F36"/>
    <w:rsid w:val="00E201DA"/>
    <w:rsid w:val="00E34169"/>
    <w:rsid w:val="00EA0661"/>
    <w:rsid w:val="00EA472C"/>
    <w:rsid w:val="00F3733A"/>
    <w:rsid w:val="00F40D1F"/>
    <w:rsid w:val="00F85490"/>
    <w:rsid w:val="00F92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65DC"/>
  <w15:chartTrackingRefBased/>
  <w15:docId w15:val="{4C186AC7-3CEF-4CD0-B82E-A5AA2BEC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7B80"/>
    <w:pPr>
      <w:ind w:left="720"/>
      <w:contextualSpacing/>
    </w:pPr>
  </w:style>
  <w:style w:type="character" w:styleId="Hipervnculo">
    <w:name w:val="Hyperlink"/>
    <w:basedOn w:val="Fuentedeprrafopredeter"/>
    <w:uiPriority w:val="99"/>
    <w:unhideWhenUsed/>
    <w:rsid w:val="00B82D17"/>
    <w:rPr>
      <w:color w:val="0563C1" w:themeColor="hyperlink"/>
      <w:u w:val="single"/>
    </w:rPr>
  </w:style>
  <w:style w:type="character" w:customStyle="1" w:styleId="UnresolvedMention">
    <w:name w:val="Unresolved Mention"/>
    <w:basedOn w:val="Fuentedeprrafopredeter"/>
    <w:uiPriority w:val="99"/>
    <w:semiHidden/>
    <w:unhideWhenUsed/>
    <w:rsid w:val="00B82D17"/>
    <w:rPr>
      <w:color w:val="605E5C"/>
      <w:shd w:val="clear" w:color="auto" w:fill="E1DFDD"/>
    </w:rPr>
  </w:style>
  <w:style w:type="paragraph" w:styleId="Encabezado">
    <w:name w:val="header"/>
    <w:basedOn w:val="Normal"/>
    <w:link w:val="EncabezadoCar"/>
    <w:uiPriority w:val="99"/>
    <w:unhideWhenUsed/>
    <w:rsid w:val="008F4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DC5"/>
  </w:style>
  <w:style w:type="paragraph" w:styleId="Piedepgina">
    <w:name w:val="footer"/>
    <w:basedOn w:val="Normal"/>
    <w:link w:val="PiedepginaCar"/>
    <w:uiPriority w:val="99"/>
    <w:unhideWhenUsed/>
    <w:rsid w:val="008F4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icosocial.org/la-insuficiencia-de-viviendas-dignas-y-decorosas/" TargetMode="External"/><Relationship Id="rId3" Type="http://schemas.openxmlformats.org/officeDocument/2006/relationships/settings" Target="settings.xml"/><Relationship Id="rId7" Type="http://schemas.openxmlformats.org/officeDocument/2006/relationships/hyperlink" Target="https://www.gob.mx/cms/uploads/attachment/file/686522/V4-Autoproduccio_n_de_Vivienda_Adecuada_en_Me_xico_Editado_F-comprimido__1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Manjarrez Plata</dc:creator>
  <cp:keywords/>
  <dc:description/>
  <cp:lastModifiedBy>Berlanga Vasile, Ingrid</cp:lastModifiedBy>
  <cp:revision>2</cp:revision>
  <cp:lastPrinted>2022-04-12T22:01:00Z</cp:lastPrinted>
  <dcterms:created xsi:type="dcterms:W3CDTF">2022-05-02T17:55:00Z</dcterms:created>
  <dcterms:modified xsi:type="dcterms:W3CDTF">2022-05-02T17:55:00Z</dcterms:modified>
</cp:coreProperties>
</file>