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C0" w:rsidRPr="00ED0E38" w:rsidRDefault="00573AC0" w:rsidP="00573AC0">
      <w:pPr>
        <w:pStyle w:val="Sansinterligne"/>
        <w:jc w:val="both"/>
        <w:rPr>
          <w:rFonts w:ascii="Arial" w:hAnsi="Arial" w:cs="Arial"/>
          <w:b/>
          <w:lang w:val="fr-CI"/>
        </w:rPr>
      </w:pPr>
      <w:r w:rsidRPr="00ED0E38">
        <w:rPr>
          <w:rFonts w:ascii="Arial" w:hAnsi="Arial" w:cs="Arial"/>
          <w:b/>
          <w:lang w:val="fr-CI"/>
        </w:rPr>
        <w:t>MINISTERE DES MINES, DU</w:t>
      </w:r>
      <w:r w:rsidRPr="00ED0E38">
        <w:rPr>
          <w:rFonts w:ascii="Arial" w:hAnsi="Arial" w:cs="Arial"/>
          <w:b/>
          <w:lang w:val="fr-CI"/>
        </w:rPr>
        <w:tab/>
        <w:t xml:space="preserve">                         REPUBLIQUE DE COTE D’IVOIRE</w:t>
      </w:r>
    </w:p>
    <w:p w:rsidR="00573AC0" w:rsidRPr="00ED0E38" w:rsidRDefault="00573AC0" w:rsidP="00573AC0">
      <w:pPr>
        <w:pStyle w:val="Sansinterligne"/>
        <w:jc w:val="both"/>
        <w:rPr>
          <w:rFonts w:ascii="Arial" w:hAnsi="Arial" w:cs="Arial"/>
          <w:b/>
          <w:lang w:val="fr-CI"/>
        </w:rPr>
      </w:pPr>
      <w:r w:rsidRPr="00ED0E38">
        <w:rPr>
          <w:rFonts w:ascii="Arial" w:hAnsi="Arial" w:cs="Arial"/>
          <w:b/>
          <w:lang w:val="fr-CI"/>
        </w:rPr>
        <w:t>PETROLE ET DE L’ENERGIE</w:t>
      </w:r>
      <w:r w:rsidRPr="00ED0E38">
        <w:rPr>
          <w:rFonts w:ascii="Arial" w:hAnsi="Arial" w:cs="Arial"/>
          <w:b/>
          <w:lang w:val="fr-CI"/>
        </w:rPr>
        <w:tab/>
      </w:r>
      <w:r w:rsidRPr="00ED0E38">
        <w:rPr>
          <w:rFonts w:ascii="Arial" w:hAnsi="Arial" w:cs="Arial"/>
          <w:b/>
          <w:lang w:val="fr-CI"/>
        </w:rPr>
        <w:tab/>
      </w:r>
      <w:r w:rsidRPr="00ED0E38">
        <w:rPr>
          <w:rFonts w:ascii="Arial" w:hAnsi="Arial" w:cs="Arial"/>
          <w:b/>
          <w:lang w:val="fr-CI"/>
        </w:rPr>
        <w:tab/>
        <w:t xml:space="preserve">         Union-Discipline-Travail</w:t>
      </w:r>
    </w:p>
    <w:p w:rsidR="00573AC0" w:rsidRPr="00ED0E38" w:rsidRDefault="00573AC0" w:rsidP="00573AC0">
      <w:pPr>
        <w:pStyle w:val="Sansinterligne"/>
        <w:jc w:val="both"/>
        <w:rPr>
          <w:rFonts w:ascii="Arial" w:hAnsi="Arial" w:cs="Arial"/>
          <w:b/>
          <w:lang w:val="fr-CI"/>
        </w:rPr>
      </w:pPr>
      <w:r w:rsidRPr="00ED0E38">
        <w:rPr>
          <w:rFonts w:ascii="Arial" w:hAnsi="Arial" w:cs="Arial"/>
          <w:b/>
          <w:noProof/>
          <w:lang w:val="en-US"/>
        </w:rPr>
        <w:drawing>
          <wp:anchor distT="0" distB="0" distL="114300" distR="114300" simplePos="0" relativeHeight="487590400" behindDoc="0" locked="0" layoutInCell="1" allowOverlap="1" wp14:anchorId="5D47357E" wp14:editId="0FDC089B">
            <wp:simplePos x="0" y="0"/>
            <wp:positionH relativeFrom="margin">
              <wp:align>left</wp:align>
            </wp:positionH>
            <wp:positionV relativeFrom="paragraph">
              <wp:posOffset>150675</wp:posOffset>
            </wp:positionV>
            <wp:extent cx="1683385" cy="1030406"/>
            <wp:effectExtent l="0" t="0" r="0" b="0"/>
            <wp:wrapNone/>
            <wp:docPr id="13" name="Imag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7006"/>
                    <a:stretch/>
                  </pic:blipFill>
                  <pic:spPr bwMode="auto">
                    <a:xfrm>
                      <a:off x="0" y="0"/>
                      <a:ext cx="1716031" cy="1050388"/>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D0E38">
        <w:rPr>
          <w:rFonts w:ascii="Arial" w:hAnsi="Arial" w:cs="Arial"/>
          <w:b/>
          <w:lang w:val="fr-CI"/>
        </w:rPr>
        <w:t xml:space="preserve">     -------------------                                                                    --------------</w:t>
      </w:r>
    </w:p>
    <w:p w:rsidR="00573AC0" w:rsidRPr="00ED0E38" w:rsidRDefault="00573AC0" w:rsidP="00573AC0">
      <w:pPr>
        <w:pStyle w:val="Sansinterligne"/>
        <w:rPr>
          <w:rFonts w:ascii="Arial" w:hAnsi="Arial" w:cs="Arial"/>
          <w:b/>
          <w:lang w:val="fr-CI"/>
        </w:rPr>
      </w:pPr>
      <w:r w:rsidRPr="00ED0E38">
        <w:rPr>
          <w:rFonts w:ascii="Arial" w:hAnsi="Arial" w:cs="Arial"/>
          <w:b/>
          <w:lang w:val="fr-CI"/>
        </w:rPr>
        <w:br/>
      </w:r>
    </w:p>
    <w:p w:rsidR="00573AC0" w:rsidRDefault="00573AC0" w:rsidP="00573AC0">
      <w:pPr>
        <w:pStyle w:val="Sansinterligne"/>
        <w:rPr>
          <w:rFonts w:ascii="Arial" w:hAnsi="Arial" w:cs="Arial"/>
          <w:b/>
          <w:lang w:val="fr-CI"/>
        </w:rPr>
      </w:pPr>
    </w:p>
    <w:p w:rsidR="00573AC0" w:rsidRDefault="00573AC0" w:rsidP="00573AC0">
      <w:pPr>
        <w:pStyle w:val="Sansinterligne"/>
        <w:rPr>
          <w:rFonts w:ascii="Arial" w:hAnsi="Arial" w:cs="Arial"/>
          <w:b/>
          <w:lang w:val="fr-CI"/>
        </w:rPr>
      </w:pPr>
    </w:p>
    <w:p w:rsidR="00573AC0" w:rsidRPr="00ED0E38" w:rsidRDefault="00573AC0" w:rsidP="00573AC0">
      <w:pPr>
        <w:pStyle w:val="Sansinterligne"/>
        <w:rPr>
          <w:rFonts w:ascii="Arial" w:hAnsi="Arial" w:cs="Arial"/>
          <w:b/>
          <w:lang w:val="fr-CI"/>
        </w:rPr>
      </w:pPr>
    </w:p>
    <w:p w:rsidR="00573AC0" w:rsidRDefault="00573AC0" w:rsidP="00573AC0">
      <w:pPr>
        <w:pStyle w:val="Sansinterligne"/>
        <w:rPr>
          <w:rFonts w:ascii="Arial" w:hAnsi="Arial" w:cs="Arial"/>
          <w:b/>
          <w:lang w:val="fr-CI"/>
        </w:rPr>
      </w:pPr>
      <w:r w:rsidRPr="00ED0E38">
        <w:rPr>
          <w:rFonts w:ascii="Arial" w:hAnsi="Arial" w:cs="Arial"/>
          <w:b/>
          <w:lang w:val="fr-CI"/>
        </w:rPr>
        <w:t xml:space="preserve">    </w:t>
      </w:r>
    </w:p>
    <w:p w:rsidR="00573AC0" w:rsidRDefault="00573AC0" w:rsidP="00573AC0">
      <w:pPr>
        <w:pStyle w:val="Sansinterligne"/>
        <w:rPr>
          <w:rFonts w:ascii="Arial" w:hAnsi="Arial" w:cs="Arial"/>
          <w:lang w:val="fr-CI"/>
        </w:rPr>
      </w:pPr>
      <w:r>
        <w:rPr>
          <w:rFonts w:ascii="Arial" w:hAnsi="Arial" w:cs="Arial"/>
          <w:b/>
          <w:lang w:val="fr-CI"/>
        </w:rPr>
        <w:t xml:space="preserve">     </w:t>
      </w:r>
      <w:r w:rsidRPr="00ED0E38">
        <w:rPr>
          <w:rFonts w:ascii="Arial" w:hAnsi="Arial" w:cs="Arial"/>
          <w:b/>
          <w:lang w:val="fr-CI"/>
        </w:rPr>
        <w:t xml:space="preserve"> -------------------</w:t>
      </w:r>
      <w:r w:rsidRPr="00ED0E38">
        <w:rPr>
          <w:rFonts w:ascii="Arial" w:hAnsi="Arial" w:cs="Arial"/>
          <w:lang w:val="fr-CI"/>
        </w:rPr>
        <w:tab/>
      </w:r>
      <w:r w:rsidRPr="00ED0E38">
        <w:rPr>
          <w:rFonts w:ascii="Arial" w:hAnsi="Arial" w:cs="Arial"/>
          <w:lang w:val="fr-CI"/>
        </w:rPr>
        <w:tab/>
      </w:r>
    </w:p>
    <w:p w:rsidR="00573AC0" w:rsidRPr="00ED0E38" w:rsidRDefault="00573AC0" w:rsidP="00573AC0">
      <w:pPr>
        <w:pStyle w:val="Sansinterligne"/>
        <w:rPr>
          <w:rFonts w:ascii="Arial" w:hAnsi="Arial" w:cs="Arial"/>
          <w:lang w:val="fr-CI"/>
        </w:rPr>
      </w:pPr>
      <w:bookmarkStart w:id="0" w:name="_GoBack"/>
      <w:bookmarkEnd w:id="0"/>
    </w:p>
    <w:p w:rsidR="00573AC0" w:rsidRPr="00ED0E38" w:rsidRDefault="00573AC0" w:rsidP="00573AC0">
      <w:pPr>
        <w:pStyle w:val="Sansinterligne"/>
        <w:rPr>
          <w:rFonts w:ascii="Arial" w:hAnsi="Arial" w:cs="Arial"/>
          <w:b/>
        </w:rPr>
      </w:pPr>
      <w:r>
        <w:rPr>
          <w:rFonts w:ascii="Arial" w:hAnsi="Arial" w:cs="Arial"/>
          <w:b/>
        </w:rPr>
        <w:t xml:space="preserve"> </w:t>
      </w:r>
    </w:p>
    <w:p w:rsidR="00B35479" w:rsidRPr="002F338E" w:rsidRDefault="00B35479" w:rsidP="00B35479">
      <w:pPr>
        <w:pBdr>
          <w:top w:val="single" w:sz="4" w:space="1" w:color="auto"/>
          <w:left w:val="single" w:sz="4" w:space="4" w:color="auto"/>
          <w:bottom w:val="single" w:sz="4" w:space="1" w:color="auto"/>
          <w:right w:val="single" w:sz="4" w:space="4" w:color="auto"/>
        </w:pBdr>
        <w:shd w:val="clear" w:color="auto" w:fill="9BBB59" w:themeFill="accent3"/>
        <w:spacing w:line="276" w:lineRule="auto"/>
        <w:ind w:left="240" w:right="247"/>
        <w:jc w:val="center"/>
        <w:rPr>
          <w:b/>
          <w:sz w:val="24"/>
        </w:rPr>
      </w:pPr>
      <w:r w:rsidRPr="002F338E">
        <w:rPr>
          <w:b/>
          <w:sz w:val="24"/>
        </w:rPr>
        <w:t>APPEL A CONTRIBUTION DANS LE CADRE DU RAPPORT SPECIAL SUR LES INCIDENCES SUR LES DROITS DE L’HOMME DE LA GESTION ET DE L’ELIMINATION ECOLOGIQUEMENT RATIONNELLES DES PRODUITS ET DECHETS DANGEREUX</w:t>
      </w:r>
    </w:p>
    <w:p w:rsidR="00B35479" w:rsidRPr="00B35479" w:rsidRDefault="00B35479">
      <w:pPr>
        <w:pStyle w:val="Titre"/>
        <w:rPr>
          <w:i w:val="0"/>
        </w:rPr>
      </w:pPr>
    </w:p>
    <w:p w:rsidR="002F10C0" w:rsidRPr="007B683A" w:rsidRDefault="00507732">
      <w:pPr>
        <w:pStyle w:val="Titre"/>
        <w:rPr>
          <w:i w:val="0"/>
        </w:rPr>
      </w:pPr>
      <w:r>
        <w:t>QUESTIONNAIRE</w:t>
      </w:r>
    </w:p>
    <w:p w:rsidR="002F10C0" w:rsidRDefault="00E0635E">
      <w:pPr>
        <w:spacing w:before="7"/>
        <w:rPr>
          <w:b/>
          <w:i/>
          <w:sz w:val="18"/>
        </w:rPr>
      </w:pPr>
      <w:r>
        <w:rPr>
          <w:noProof/>
          <w:lang w:val="en-US"/>
        </w:rPr>
        <mc:AlternateContent>
          <mc:Choice Requires="wps">
            <w:drawing>
              <wp:anchor distT="0" distB="0" distL="0" distR="0" simplePos="0" relativeHeight="487588352" behindDoc="1" locked="0" layoutInCell="1" allowOverlap="1">
                <wp:simplePos x="0" y="0"/>
                <wp:positionH relativeFrom="page">
                  <wp:posOffset>828040</wp:posOffset>
                </wp:positionH>
                <wp:positionV relativeFrom="paragraph">
                  <wp:posOffset>163830</wp:posOffset>
                </wp:positionV>
                <wp:extent cx="5905500" cy="20129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012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10C0" w:rsidRDefault="00507732">
                            <w:pPr>
                              <w:spacing w:before="21"/>
                              <w:ind w:left="674"/>
                              <w:rPr>
                                <w:b/>
                                <w:i/>
                                <w:sz w:val="20"/>
                              </w:rPr>
                            </w:pPr>
                            <w:r>
                              <w:rPr>
                                <w:b/>
                                <w:i/>
                                <w:sz w:val="20"/>
                              </w:rPr>
                              <w:t>Vous pouvez choisir de répondre à toutes les questions ou à certaines d’entre elles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2pt;margin-top:12.9pt;width:465pt;height:15.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" filled="f" strokeweight=".48pt">
                <v:textbox inset="0,0,0,0">
                  <w:txbxContent>
                    <w:p w:rsidR="002F10C0" w:rsidRDefault="00507732">
                      <w:pPr>
                        <w:spacing w:before="21"/>
                        <w:ind w:left="674"/>
                        <w:rPr>
                          <w:b/>
                          <w:i/>
                          <w:sz w:val="20"/>
                        </w:rPr>
                      </w:pPr>
                      <w:r>
                        <w:rPr>
                          <w:b/>
                          <w:i/>
                          <w:sz w:val="20"/>
                        </w:rPr>
                        <w:t>Vous pouvez choisir de répondre à toutes les questions ou à certaines d’entre elles</w:t>
                      </w:r>
                    </w:p>
                  </w:txbxContent>
                </v:textbox>
                <w10:wrap type="topAndBottom" anchorx="page"/>
              </v:shape>
            </w:pict>
          </mc:Fallback>
        </mc:AlternateContent>
      </w:r>
    </w:p>
    <w:p w:rsidR="002F10C0" w:rsidRDefault="002F10C0">
      <w:pPr>
        <w:rPr>
          <w:b/>
          <w:i/>
          <w:sz w:val="20"/>
        </w:rPr>
      </w:pPr>
    </w:p>
    <w:p w:rsidR="002F10C0" w:rsidRDefault="00507732">
      <w:pPr>
        <w:spacing w:before="93" w:line="276" w:lineRule="auto"/>
        <w:ind w:left="656" w:right="229"/>
      </w:pPr>
      <w:r>
        <w:t>Les réponses à quelques-unes des questions sur le mercure sont mentionnées dans les tableaux ci-dessous :</w:t>
      </w:r>
    </w:p>
    <w:p w:rsidR="002F10C0" w:rsidRDefault="002F10C0">
      <w:pPr>
        <w:spacing w:before="1"/>
        <w:rPr>
          <w:sz w:val="9"/>
        </w:rPr>
      </w:pPr>
    </w:p>
    <w:p w:rsidR="002F10C0" w:rsidRDefault="00F71A96">
      <w:pPr>
        <w:pStyle w:val="Corpsdetexte"/>
        <w:spacing w:before="94"/>
        <w:ind w:left="811" w:right="693"/>
        <w:jc w:val="center"/>
      </w:pPr>
      <w:r>
        <w:t>I- CONTROLES SUR LE MERCURE</w:t>
      </w:r>
    </w:p>
    <w:p w:rsidR="002F10C0" w:rsidRDefault="002F10C0">
      <w:pPr>
        <w:rPr>
          <w:b/>
          <w:sz w:val="21"/>
        </w:rPr>
      </w:pPr>
    </w:p>
    <w:tbl>
      <w:tblPr>
        <w:tblStyle w:val="TableNormal"/>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2F10C0">
        <w:trPr>
          <w:trHeight w:val="254"/>
        </w:trPr>
        <w:tc>
          <w:tcPr>
            <w:tcW w:w="4606" w:type="dxa"/>
          </w:tcPr>
          <w:p w:rsidR="002F10C0" w:rsidRDefault="00507732" w:rsidP="009B259F">
            <w:pPr>
              <w:pStyle w:val="TableParagraph"/>
              <w:ind w:left="2123"/>
              <w:jc w:val="left"/>
              <w:rPr>
                <w:b/>
              </w:rPr>
            </w:pPr>
            <w:r>
              <w:rPr>
                <w:b/>
              </w:rPr>
              <w:t>Questions</w:t>
            </w:r>
          </w:p>
        </w:tc>
        <w:tc>
          <w:tcPr>
            <w:tcW w:w="4606" w:type="dxa"/>
          </w:tcPr>
          <w:p w:rsidR="002F10C0" w:rsidRDefault="00507732" w:rsidP="009B259F">
            <w:pPr>
              <w:pStyle w:val="TableParagraph"/>
              <w:ind w:left="1758" w:right="1386"/>
              <w:jc w:val="center"/>
              <w:rPr>
                <w:b/>
              </w:rPr>
            </w:pPr>
            <w:r>
              <w:rPr>
                <w:b/>
              </w:rPr>
              <w:t>Réponses</w:t>
            </w:r>
          </w:p>
        </w:tc>
      </w:tr>
      <w:tr w:rsidR="002F10C0">
        <w:trPr>
          <w:trHeight w:val="1012"/>
        </w:trPr>
        <w:tc>
          <w:tcPr>
            <w:tcW w:w="4606" w:type="dxa"/>
          </w:tcPr>
          <w:p w:rsidR="000A61E9" w:rsidRDefault="00507732" w:rsidP="009B259F">
            <w:pPr>
              <w:pStyle w:val="TableParagraph"/>
              <w:ind w:left="0" w:right="95"/>
            </w:pPr>
            <w:r w:rsidRPr="000A61E9">
              <w:rPr>
                <w:b/>
              </w:rPr>
              <w:t>1</w:t>
            </w:r>
            <w:r>
              <w:t>- Votre pays a-t-il interdit</w:t>
            </w:r>
            <w:r w:rsidR="000A61E9">
              <w:t>,</w:t>
            </w:r>
          </w:p>
          <w:p w:rsidR="000A61E9" w:rsidRDefault="00507732" w:rsidP="009B259F">
            <w:pPr>
              <w:pStyle w:val="TableParagraph"/>
              <w:ind w:left="0" w:right="95"/>
            </w:pPr>
            <w:r>
              <w:t>a)  l’importation</w:t>
            </w:r>
            <w:r w:rsidR="000A61E9">
              <w:t> ?</w:t>
            </w:r>
          </w:p>
          <w:p w:rsidR="002F10C0" w:rsidRDefault="00507732" w:rsidP="009B259F">
            <w:pPr>
              <w:pStyle w:val="TableParagraph"/>
              <w:ind w:left="0" w:right="95"/>
            </w:pPr>
            <w:r>
              <w:t>b) l’exportation de mercure</w:t>
            </w:r>
            <w:r>
              <w:rPr>
                <w:spacing w:val="-1"/>
              </w:rPr>
              <w:t xml:space="preserve"> </w:t>
            </w:r>
            <w:r>
              <w:t>élémentaire?</w:t>
            </w:r>
          </w:p>
        </w:tc>
        <w:tc>
          <w:tcPr>
            <w:tcW w:w="4606" w:type="dxa"/>
          </w:tcPr>
          <w:p w:rsidR="002F10C0" w:rsidRDefault="00507732" w:rsidP="009B259F">
            <w:pPr>
              <w:pStyle w:val="TableParagraph"/>
              <w:numPr>
                <w:ilvl w:val="0"/>
                <w:numId w:val="2"/>
              </w:numPr>
              <w:tabs>
                <w:tab w:val="left" w:pos="471"/>
              </w:tabs>
              <w:ind w:right="93"/>
            </w:pPr>
            <w:r>
              <w:t>Notre pays n’a pas interdit l’importation du mercure</w:t>
            </w:r>
            <w:r>
              <w:rPr>
                <w:spacing w:val="-2"/>
              </w:rPr>
              <w:t xml:space="preserve"> </w:t>
            </w:r>
            <w:r>
              <w:t>élémentaire</w:t>
            </w:r>
          </w:p>
          <w:p w:rsidR="002F10C0" w:rsidRDefault="002F338E" w:rsidP="009B259F">
            <w:pPr>
              <w:pStyle w:val="TableParagraph"/>
              <w:numPr>
                <w:ilvl w:val="0"/>
                <w:numId w:val="2"/>
              </w:numPr>
              <w:tabs>
                <w:tab w:val="left" w:pos="471"/>
                <w:tab w:val="left" w:pos="1154"/>
                <w:tab w:val="left" w:pos="2694"/>
                <w:tab w:val="left" w:pos="4256"/>
              </w:tabs>
              <w:ind w:right="92"/>
            </w:pPr>
            <w:r>
              <w:t xml:space="preserve">Notre pays n’a pas </w:t>
            </w:r>
            <w:r w:rsidR="00507732">
              <w:t>interdi</w:t>
            </w:r>
            <w:r>
              <w:t>t l’</w:t>
            </w:r>
            <w:r w:rsidR="00507732">
              <w:t>exportation</w:t>
            </w:r>
            <w:r w:rsidR="00507732">
              <w:tab/>
            </w:r>
            <w:r w:rsidR="00507732">
              <w:rPr>
                <w:spacing w:val="-9"/>
              </w:rPr>
              <w:t xml:space="preserve">du </w:t>
            </w:r>
            <w:r w:rsidR="00507732">
              <w:t>mercure dans notre</w:t>
            </w:r>
            <w:r w:rsidR="00507732">
              <w:rPr>
                <w:spacing w:val="-2"/>
              </w:rPr>
              <w:t xml:space="preserve"> </w:t>
            </w:r>
            <w:r w:rsidR="00507732">
              <w:t>pays</w:t>
            </w:r>
          </w:p>
        </w:tc>
      </w:tr>
      <w:tr w:rsidR="002F10C0">
        <w:trPr>
          <w:trHeight w:val="1261"/>
        </w:trPr>
        <w:tc>
          <w:tcPr>
            <w:tcW w:w="4606" w:type="dxa"/>
          </w:tcPr>
          <w:p w:rsidR="002F10C0" w:rsidRDefault="00507732" w:rsidP="009B259F">
            <w:pPr>
              <w:pStyle w:val="TableParagraph"/>
              <w:ind w:left="0" w:right="96"/>
            </w:pPr>
            <w:r w:rsidRPr="000A61E9">
              <w:rPr>
                <w:b/>
              </w:rPr>
              <w:t>2-</w:t>
            </w:r>
            <w:r>
              <w:t xml:space="preserve"> Votre pays a-t-il interdit l’utilisation du mercure dans l’extraction minière artisanale et à petite échelle de l’or (EMAPE) par une loi ou un</w:t>
            </w:r>
            <w:r w:rsidR="000A61E9">
              <w:t xml:space="preserve"> </w:t>
            </w:r>
            <w:r>
              <w:t>règlement?</w:t>
            </w:r>
          </w:p>
        </w:tc>
        <w:tc>
          <w:tcPr>
            <w:tcW w:w="4606" w:type="dxa"/>
          </w:tcPr>
          <w:p w:rsidR="002F10C0" w:rsidRDefault="00F267B2" w:rsidP="009B259F">
            <w:r w:rsidRPr="00F267B2">
              <w:rPr>
                <w:color w:val="4D5156"/>
                <w:shd w:val="clear" w:color="auto" w:fill="FFFFFF"/>
              </w:rPr>
              <w:t xml:space="preserve">Le Code Minier ivoirien interdit l’utilisation de produits chimiques dans l’exploitation artisanale </w:t>
            </w:r>
            <w:r w:rsidRPr="00F267B2">
              <w:rPr>
                <w:b/>
                <w:color w:val="4D5156"/>
                <w:shd w:val="clear" w:color="auto" w:fill="FFFFFF"/>
              </w:rPr>
              <w:t>(Art. 68)</w:t>
            </w:r>
            <w:r w:rsidRPr="00F267B2">
              <w:rPr>
                <w:color w:val="4D5156"/>
                <w:shd w:val="clear" w:color="auto" w:fill="FFFFFF"/>
              </w:rPr>
              <w:t xml:space="preserve"> par contre il autorise leur utilisation dans l’exploitation semi-industrielle avec des conditions </w:t>
            </w:r>
            <w:r w:rsidRPr="00F267B2">
              <w:rPr>
                <w:b/>
                <w:color w:val="4D5156"/>
                <w:shd w:val="clear" w:color="auto" w:fill="FFFFFF"/>
              </w:rPr>
              <w:t>(Art. 58)</w:t>
            </w:r>
            <w:r w:rsidRPr="00F267B2">
              <w:rPr>
                <w:color w:val="4D5156"/>
                <w:shd w:val="clear" w:color="auto" w:fill="FFFFFF"/>
              </w:rPr>
              <w:t xml:space="preserve">. Les conditions d’utilisation de produits chimiques sont définies dans </w:t>
            </w:r>
            <w:r w:rsidRPr="00F267B2">
              <w:rPr>
                <w:b/>
                <w:color w:val="4D5156"/>
                <w:shd w:val="clear" w:color="auto" w:fill="FFFFFF"/>
              </w:rPr>
              <w:t>l’article 62</w:t>
            </w:r>
            <w:r w:rsidRPr="00F267B2">
              <w:rPr>
                <w:color w:val="4D5156"/>
                <w:shd w:val="clear" w:color="auto" w:fill="FFFFFF"/>
              </w:rPr>
              <w:t xml:space="preserve"> du </w:t>
            </w:r>
            <w:r w:rsidRPr="00F267B2">
              <w:rPr>
                <w:b/>
              </w:rPr>
              <w:t>décret n° 2014-397 du 25 juin 201 4 déterminant les modalités d'application de la loi n°2014-138 du 24 mars 2014 portant code minier.</w:t>
            </w:r>
            <w:r>
              <w:t xml:space="preserve"> </w:t>
            </w:r>
          </w:p>
        </w:tc>
      </w:tr>
      <w:tr w:rsidR="002F10C0">
        <w:trPr>
          <w:trHeight w:val="4582"/>
        </w:trPr>
        <w:tc>
          <w:tcPr>
            <w:tcW w:w="4606" w:type="dxa"/>
          </w:tcPr>
          <w:p w:rsidR="000A61E9" w:rsidRDefault="00507732" w:rsidP="009B259F">
            <w:pPr>
              <w:pStyle w:val="TableParagraph"/>
              <w:ind w:left="0" w:right="94"/>
            </w:pPr>
            <w:r>
              <w:lastRenderedPageBreak/>
              <w:t>3- Quelles mesures coercitives et  quelles sanctions s’appliquent aux orpailleurs qui utilisent du mercure ou aux négociants qui fournissent du mercure pour cette utilisation, si cette utilisation est interdite?</w:t>
            </w:r>
          </w:p>
          <w:p w:rsidR="002F10C0" w:rsidRDefault="00507732" w:rsidP="009B259F">
            <w:pPr>
              <w:pStyle w:val="TableParagraph"/>
              <w:ind w:left="0" w:right="94"/>
            </w:pPr>
            <w:r>
              <w:t>Veuillez partager des statistiques sur ces actions.</w:t>
            </w:r>
          </w:p>
        </w:tc>
        <w:tc>
          <w:tcPr>
            <w:tcW w:w="4606" w:type="dxa"/>
          </w:tcPr>
          <w:p w:rsidR="002F10C0" w:rsidRDefault="00507732" w:rsidP="009B259F">
            <w:pPr>
              <w:pStyle w:val="TableParagraph"/>
              <w:ind w:right="91"/>
            </w:pPr>
            <w:r>
              <w:t>Les mesures coercitives et sanctions pour cause d’utilisation de mercure ne se traduisent que par des interpellations et la plupart du temps des déguerpissements des orpailleurs des sites d’EMAPE</w:t>
            </w:r>
          </w:p>
          <w:p w:rsidR="002F10C0" w:rsidRDefault="002F10C0" w:rsidP="009B259F">
            <w:pPr>
              <w:pStyle w:val="TableParagraph"/>
              <w:spacing w:before="2"/>
              <w:ind w:left="0"/>
              <w:jc w:val="left"/>
              <w:rPr>
                <w:b/>
                <w:sz w:val="24"/>
              </w:rPr>
            </w:pPr>
          </w:p>
          <w:p w:rsidR="002F10C0" w:rsidRDefault="00507732" w:rsidP="009B259F">
            <w:pPr>
              <w:pStyle w:val="TableParagraph"/>
              <w:ind w:right="123" w:firstLine="62"/>
              <w:jc w:val="left"/>
            </w:pPr>
            <w:r>
              <w:t xml:space="preserve">EN 2019, la lutte engagée par la Brigade de Répression des Infractions au Code minier (BRICM) a permis le déguerpissement de 222 sites, l’interpellation de 139 personnes, la saisie de 139 pelles hydrauliques, 123 motopompes, 51 générateurs, 81 motocyclettes, 27 groupes électrogènes et divers autres matériels et produits toxiques. A </w:t>
            </w:r>
            <w:proofErr w:type="spellStart"/>
            <w:r>
              <w:t>Dabakala</w:t>
            </w:r>
            <w:proofErr w:type="spellEnd"/>
            <w:r>
              <w:t>, où 19 sites d’orpaillage clandestin ont été traités, la BRICM a saisi 3 balances, 500 grammes de mercure, 1</w:t>
            </w:r>
          </w:p>
          <w:p w:rsidR="002F10C0" w:rsidRDefault="00507732" w:rsidP="009B259F">
            <w:pPr>
              <w:pStyle w:val="TableParagraph"/>
              <w:jc w:val="left"/>
            </w:pPr>
            <w:r>
              <w:t>bulldozer, 69 tricycles, 32 motocyclettes, 66</w:t>
            </w:r>
          </w:p>
        </w:tc>
      </w:tr>
    </w:tbl>
    <w:p w:rsidR="002F10C0" w:rsidRDefault="002F10C0" w:rsidP="009B259F">
      <w:pPr>
        <w:sectPr w:rsidR="002F10C0">
          <w:footerReference w:type="default" r:id="rId8"/>
          <w:type w:val="continuous"/>
          <w:pgSz w:w="11910" w:h="16840"/>
          <w:pgMar w:top="600" w:right="880" w:bottom="1300" w:left="760" w:header="720" w:footer="1106" w:gutter="0"/>
          <w:pgNumType w:start="1"/>
          <w:cols w:space="720"/>
        </w:sectPr>
      </w:pPr>
    </w:p>
    <w:tbl>
      <w:tblPr>
        <w:tblStyle w:val="TableNormal"/>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2F10C0">
        <w:trPr>
          <w:trHeight w:val="2556"/>
        </w:trPr>
        <w:tc>
          <w:tcPr>
            <w:tcW w:w="4606" w:type="dxa"/>
          </w:tcPr>
          <w:p w:rsidR="002F10C0" w:rsidRDefault="002F10C0" w:rsidP="009B259F">
            <w:pPr>
              <w:pStyle w:val="TableParagraph"/>
              <w:ind w:left="0"/>
              <w:jc w:val="left"/>
              <w:rPr>
                <w:rFonts w:ascii="Times New Roman"/>
              </w:rPr>
            </w:pPr>
          </w:p>
        </w:tc>
        <w:tc>
          <w:tcPr>
            <w:tcW w:w="4606" w:type="dxa"/>
          </w:tcPr>
          <w:p w:rsidR="002F10C0" w:rsidRDefault="00507732" w:rsidP="009B259F">
            <w:pPr>
              <w:pStyle w:val="TableParagraph"/>
              <w:ind w:right="247"/>
              <w:jc w:val="left"/>
            </w:pPr>
            <w:r>
              <w:t>concasseurs, 69 motopompes, 2 véhicules, et 1 compresseur. Des centaines d’abris ainsi que divers matériels d’orpaillage ont également été détruits.</w:t>
            </w:r>
          </w:p>
          <w:p w:rsidR="002F10C0" w:rsidRDefault="002F10C0" w:rsidP="009B259F">
            <w:pPr>
              <w:pStyle w:val="TableParagraph"/>
              <w:spacing w:before="6"/>
              <w:ind w:left="0"/>
              <w:jc w:val="left"/>
              <w:rPr>
                <w:b/>
                <w:sz w:val="23"/>
              </w:rPr>
            </w:pPr>
          </w:p>
          <w:p w:rsidR="002F10C0" w:rsidRDefault="00507732" w:rsidP="009B259F">
            <w:pPr>
              <w:pStyle w:val="TableParagraph"/>
              <w:ind w:right="128"/>
              <w:jc w:val="left"/>
            </w:pPr>
            <w:r>
              <w:t>Sur le plan judiciaire, 57 condamnations à la prison ferme ont été prononcées par les tribunaux dont 3 condamnations à 10 ans, 53 condamnations à 24 mois ferme et</w:t>
            </w:r>
            <w:r>
              <w:rPr>
                <w:spacing w:val="-6"/>
              </w:rPr>
              <w:t xml:space="preserve"> </w:t>
            </w:r>
            <w:r>
              <w:t>une</w:t>
            </w:r>
          </w:p>
          <w:p w:rsidR="002F10C0" w:rsidRDefault="00507732" w:rsidP="009B259F">
            <w:pPr>
              <w:pStyle w:val="TableParagraph"/>
              <w:spacing w:before="1"/>
              <w:jc w:val="left"/>
            </w:pPr>
            <w:r>
              <w:t>condamnation à 12 mois.</w:t>
            </w:r>
          </w:p>
        </w:tc>
      </w:tr>
      <w:tr w:rsidR="002F10C0">
        <w:trPr>
          <w:trHeight w:val="1771"/>
        </w:trPr>
        <w:tc>
          <w:tcPr>
            <w:tcW w:w="4606" w:type="dxa"/>
          </w:tcPr>
          <w:p w:rsidR="002F10C0" w:rsidRDefault="00507732" w:rsidP="009B259F">
            <w:pPr>
              <w:pStyle w:val="TableParagraph"/>
              <w:ind w:right="93"/>
            </w:pPr>
            <w:r w:rsidRPr="000A61E9">
              <w:rPr>
                <w:b/>
              </w:rPr>
              <w:t>4-</w:t>
            </w:r>
            <w:r>
              <w:t xml:space="preserve"> Si votre pays autorise l’importation de mercure mais interdit son utilisation dans l’EMAPE, comment les agents des douanes déterminent-ils l’utilisation finale du mercure au point d’importation pour s’assurer</w:t>
            </w:r>
            <w:r>
              <w:rPr>
                <w:spacing w:val="56"/>
              </w:rPr>
              <w:t xml:space="preserve"> </w:t>
            </w:r>
            <w:r>
              <w:t>qu’il</w:t>
            </w:r>
          </w:p>
          <w:p w:rsidR="002F10C0" w:rsidRDefault="00507732" w:rsidP="009B259F">
            <w:pPr>
              <w:pStyle w:val="TableParagraph"/>
              <w:ind w:left="827"/>
            </w:pPr>
            <w:r>
              <w:t>n’est pas destiné à l’EMAPE?</w:t>
            </w:r>
          </w:p>
        </w:tc>
        <w:tc>
          <w:tcPr>
            <w:tcW w:w="4606" w:type="dxa"/>
          </w:tcPr>
          <w:p w:rsidR="002F10C0" w:rsidRDefault="00507732" w:rsidP="009B259F">
            <w:pPr>
              <w:pStyle w:val="TableParagraph"/>
              <w:ind w:right="92"/>
            </w:pPr>
            <w:r>
              <w:t>Il n’existe pas de procédures permettant aux douaniers de faire la traçabilité du mercure importé</w:t>
            </w:r>
          </w:p>
          <w:p w:rsidR="002F10C0" w:rsidRDefault="00507732" w:rsidP="009B259F">
            <w:pPr>
              <w:pStyle w:val="TableParagraph"/>
              <w:ind w:right="95"/>
            </w:pPr>
            <w:r>
              <w:t>Tout le mercure importé ne se fait pas à la douane. Il existe des voies parallèles par la contrebande</w:t>
            </w:r>
          </w:p>
        </w:tc>
      </w:tr>
      <w:tr w:rsidR="002F10C0">
        <w:trPr>
          <w:trHeight w:val="1012"/>
        </w:trPr>
        <w:tc>
          <w:tcPr>
            <w:tcW w:w="4606" w:type="dxa"/>
          </w:tcPr>
          <w:p w:rsidR="002F10C0" w:rsidRDefault="00507732" w:rsidP="009B259F">
            <w:pPr>
              <w:pStyle w:val="TableParagraph"/>
              <w:jc w:val="left"/>
            </w:pPr>
            <w:r w:rsidRPr="000A61E9">
              <w:rPr>
                <w:b/>
              </w:rPr>
              <w:t>5</w:t>
            </w:r>
            <w:r>
              <w:t>- Existent-ils des processus de suivi ou de certifications pour garantir que le</w:t>
            </w:r>
            <w:r w:rsidR="000A61E9">
              <w:t xml:space="preserve"> mercure </w:t>
            </w:r>
            <w:r>
              <w:t>importé</w:t>
            </w:r>
            <w:r w:rsidR="00F71A96">
              <w:t xml:space="preserve"> </w:t>
            </w:r>
            <w:r>
              <w:t>est</w:t>
            </w:r>
            <w:r>
              <w:tab/>
            </w:r>
            <w:r>
              <w:rPr>
                <w:spacing w:val="-4"/>
              </w:rPr>
              <w:t xml:space="preserve">utilisé </w:t>
            </w:r>
            <w:r>
              <w:t>conformément à l’objectif</w:t>
            </w:r>
            <w:r>
              <w:rPr>
                <w:spacing w:val="-6"/>
              </w:rPr>
              <w:t xml:space="preserve"> </w:t>
            </w:r>
            <w:r>
              <w:t>déclaré?</w:t>
            </w:r>
          </w:p>
        </w:tc>
        <w:tc>
          <w:tcPr>
            <w:tcW w:w="4606" w:type="dxa"/>
          </w:tcPr>
          <w:p w:rsidR="002F10C0" w:rsidRDefault="00507732" w:rsidP="009B259F">
            <w:pPr>
              <w:pStyle w:val="TableParagraph"/>
              <w:ind w:right="92"/>
            </w:pPr>
            <w:r>
              <w:t>Il n’existe pas de procédures de certification pour garantir le l‘utilisation du mercure importé</w:t>
            </w:r>
            <w:r w:rsidR="000A61E9">
              <w:t>.</w:t>
            </w:r>
          </w:p>
        </w:tc>
      </w:tr>
      <w:tr w:rsidR="002F10C0">
        <w:trPr>
          <w:trHeight w:val="2780"/>
        </w:trPr>
        <w:tc>
          <w:tcPr>
            <w:tcW w:w="4606" w:type="dxa"/>
          </w:tcPr>
          <w:p w:rsidR="002F10C0" w:rsidRDefault="00507732" w:rsidP="009B259F">
            <w:pPr>
              <w:pStyle w:val="TableParagraph"/>
              <w:ind w:right="93"/>
              <w:jc w:val="left"/>
            </w:pPr>
            <w:r w:rsidRPr="000A61E9">
              <w:rPr>
                <w:b/>
              </w:rPr>
              <w:t>6</w:t>
            </w:r>
            <w:r>
              <w:t>- Les importateurs de mercure sont-ils enregistrés dans une base de données gouvernementale et leurs activités sont-elles vérifiées périodiquement, y compris l’utilisation finale du mercure qu’ils importent? Les importations postales de mercure sont-elles interdites?</w:t>
            </w:r>
          </w:p>
        </w:tc>
        <w:tc>
          <w:tcPr>
            <w:tcW w:w="4606" w:type="dxa"/>
          </w:tcPr>
          <w:p w:rsidR="002F10C0" w:rsidRDefault="00507732" w:rsidP="009B259F">
            <w:pPr>
              <w:pStyle w:val="TableParagraph"/>
              <w:ind w:right="93"/>
            </w:pPr>
            <w:r>
              <w:t xml:space="preserve">Le mercure étant un produit chimique, son important est sujet à autorisation. Il existe une base des données sur les </w:t>
            </w:r>
            <w:r>
              <w:rPr>
                <w:spacing w:val="-3"/>
              </w:rPr>
              <w:t xml:space="preserve">produits </w:t>
            </w:r>
            <w:r w:rsidR="000A61E9">
              <w:t>chimiques à la D</w:t>
            </w:r>
            <w:r>
              <w:t>irection des Armes Chimiques</w:t>
            </w:r>
            <w:r w:rsidR="000A61E9">
              <w:t xml:space="preserve"> du Ministère de la Défense</w:t>
            </w:r>
            <w:r>
              <w:t>. Toute importation du mercure est donc soumise à</w:t>
            </w:r>
            <w:r>
              <w:rPr>
                <w:spacing w:val="-4"/>
              </w:rPr>
              <w:t xml:space="preserve"> </w:t>
            </w:r>
            <w:r>
              <w:t>autorisation.</w:t>
            </w:r>
          </w:p>
          <w:p w:rsidR="002F10C0" w:rsidRDefault="002F10C0" w:rsidP="009B259F">
            <w:pPr>
              <w:pStyle w:val="TableParagraph"/>
              <w:ind w:left="0"/>
              <w:jc w:val="left"/>
              <w:rPr>
                <w:b/>
                <w:sz w:val="21"/>
              </w:rPr>
            </w:pPr>
          </w:p>
          <w:p w:rsidR="002F10C0" w:rsidRDefault="00507732" w:rsidP="009B259F">
            <w:pPr>
              <w:pStyle w:val="TableParagraph"/>
              <w:ind w:right="95"/>
            </w:pPr>
            <w:r>
              <w:t>En 2014, 6 433 kilogrammes de mercure ont été importés en Côte d’Ivoire et enregistrés au port d’Abidjan.</w:t>
            </w:r>
          </w:p>
        </w:tc>
      </w:tr>
      <w:tr w:rsidR="002F10C0">
        <w:trPr>
          <w:trHeight w:val="1516"/>
        </w:trPr>
        <w:tc>
          <w:tcPr>
            <w:tcW w:w="4606" w:type="dxa"/>
          </w:tcPr>
          <w:p w:rsidR="002F10C0" w:rsidRDefault="00507732" w:rsidP="009B259F">
            <w:pPr>
              <w:pStyle w:val="TableParagraph"/>
              <w:ind w:right="95"/>
            </w:pPr>
            <w:r w:rsidRPr="000A61E9">
              <w:rPr>
                <w:b/>
              </w:rPr>
              <w:t>7-</w:t>
            </w:r>
            <w:r>
              <w:t xml:space="preserve"> Quels recours sont disponibles dans votre pays pour les personnes qui ont souffert de dommages liés à la pollution en raison d’une exposition au mercure provenant des</w:t>
            </w:r>
            <w:r>
              <w:rPr>
                <w:spacing w:val="53"/>
              </w:rPr>
              <w:t xml:space="preserve"> </w:t>
            </w:r>
            <w:r>
              <w:t>activités</w:t>
            </w:r>
            <w:r w:rsidR="000A61E9">
              <w:t xml:space="preserve"> </w:t>
            </w:r>
            <w:r>
              <w:t>d’EMAPE?</w:t>
            </w:r>
          </w:p>
        </w:tc>
        <w:tc>
          <w:tcPr>
            <w:tcW w:w="4606" w:type="dxa"/>
          </w:tcPr>
          <w:p w:rsidR="002F10C0" w:rsidRDefault="00507732" w:rsidP="009B259F">
            <w:pPr>
              <w:pStyle w:val="TableParagraph"/>
              <w:ind w:right="91"/>
            </w:pPr>
            <w:r>
              <w:t xml:space="preserve">Les recours sont méconnus mais </w:t>
            </w:r>
            <w:r w:rsidR="000A61E9">
              <w:t>l’on peu</w:t>
            </w:r>
            <w:r>
              <w:t>t se référer à la réglementation en vigueur concernant l’utilisation du mercure</w:t>
            </w:r>
            <w:r w:rsidR="000A61E9">
              <w:t>.</w:t>
            </w:r>
          </w:p>
        </w:tc>
      </w:tr>
    </w:tbl>
    <w:p w:rsidR="002F10C0" w:rsidRDefault="002F10C0" w:rsidP="009B259F">
      <w:pPr>
        <w:rPr>
          <w:b/>
          <w:sz w:val="20"/>
        </w:rPr>
      </w:pPr>
    </w:p>
    <w:p w:rsidR="002F10C0" w:rsidRDefault="002F10C0" w:rsidP="009B259F">
      <w:pPr>
        <w:spacing w:before="9"/>
        <w:rPr>
          <w:b/>
          <w:sz w:val="21"/>
        </w:rPr>
      </w:pPr>
    </w:p>
    <w:p w:rsidR="002F10C0" w:rsidRDefault="00F71A96" w:rsidP="009B259F">
      <w:pPr>
        <w:pStyle w:val="Corpsdetexte"/>
        <w:ind w:left="811" w:right="693"/>
        <w:jc w:val="center"/>
      </w:pPr>
      <w:r>
        <w:t>II- COMMERCE ILLEGAL</w:t>
      </w:r>
    </w:p>
    <w:p w:rsidR="002F10C0" w:rsidRDefault="002F10C0" w:rsidP="009B259F">
      <w:pPr>
        <w:spacing w:after="1"/>
        <w:rPr>
          <w:b/>
          <w:sz w:val="21"/>
        </w:rPr>
      </w:pPr>
    </w:p>
    <w:tbl>
      <w:tblPr>
        <w:tblStyle w:val="TableNormal"/>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2F10C0">
        <w:trPr>
          <w:trHeight w:val="254"/>
        </w:trPr>
        <w:tc>
          <w:tcPr>
            <w:tcW w:w="4606" w:type="dxa"/>
          </w:tcPr>
          <w:p w:rsidR="002F10C0" w:rsidRDefault="00507732" w:rsidP="009B259F">
            <w:pPr>
              <w:pStyle w:val="TableParagraph"/>
              <w:ind w:left="2123"/>
              <w:jc w:val="left"/>
              <w:rPr>
                <w:b/>
              </w:rPr>
            </w:pPr>
            <w:r>
              <w:rPr>
                <w:b/>
              </w:rPr>
              <w:t>Questions</w:t>
            </w:r>
          </w:p>
        </w:tc>
        <w:tc>
          <w:tcPr>
            <w:tcW w:w="4606" w:type="dxa"/>
          </w:tcPr>
          <w:p w:rsidR="002F10C0" w:rsidRDefault="00507732" w:rsidP="009B259F">
            <w:pPr>
              <w:pStyle w:val="TableParagraph"/>
              <w:ind w:left="1578" w:right="1566"/>
              <w:jc w:val="center"/>
              <w:rPr>
                <w:b/>
              </w:rPr>
            </w:pPr>
            <w:r>
              <w:rPr>
                <w:b/>
              </w:rPr>
              <w:t>Réponses</w:t>
            </w:r>
          </w:p>
        </w:tc>
      </w:tr>
      <w:tr w:rsidR="002F10C0">
        <w:trPr>
          <w:trHeight w:val="1518"/>
        </w:trPr>
        <w:tc>
          <w:tcPr>
            <w:tcW w:w="4606" w:type="dxa"/>
          </w:tcPr>
          <w:p w:rsidR="002F10C0" w:rsidRDefault="00F71A96" w:rsidP="009B259F">
            <w:pPr>
              <w:pStyle w:val="TableParagraph"/>
              <w:ind w:right="93"/>
            </w:pPr>
            <w:r w:rsidRPr="00F71A96">
              <w:rPr>
                <w:b/>
              </w:rPr>
              <w:t>8</w:t>
            </w:r>
            <w:r w:rsidR="00507732">
              <w:t>- Quelles mesures votre pays a-t-il prises pour empêcher l’importation illégale, la contrebande et la distribution de mercure aux activités d’EMAPE?</w:t>
            </w:r>
          </w:p>
        </w:tc>
        <w:tc>
          <w:tcPr>
            <w:tcW w:w="4606" w:type="dxa"/>
          </w:tcPr>
          <w:p w:rsidR="002F10C0" w:rsidRDefault="00507732" w:rsidP="009B259F">
            <w:pPr>
              <w:pStyle w:val="TableParagraph"/>
              <w:ind w:right="93"/>
              <w:jc w:val="left"/>
            </w:pPr>
            <w:r>
              <w:t>Le pays n’a pas encore pris des mesures pour empêcher l’importation illégale, la contrebande et la distribution du mercure aux activités d’EMAPE. Mais les réflexions à ce sujet crucial est en</w:t>
            </w:r>
            <w:r>
              <w:rPr>
                <w:spacing w:val="-3"/>
              </w:rPr>
              <w:t xml:space="preserve"> </w:t>
            </w:r>
            <w:r>
              <w:t>cours.</w:t>
            </w:r>
          </w:p>
        </w:tc>
      </w:tr>
      <w:tr w:rsidR="002F10C0">
        <w:trPr>
          <w:trHeight w:val="1516"/>
        </w:trPr>
        <w:tc>
          <w:tcPr>
            <w:tcW w:w="4606" w:type="dxa"/>
          </w:tcPr>
          <w:p w:rsidR="002F10C0" w:rsidRDefault="00F71A96" w:rsidP="009B259F">
            <w:pPr>
              <w:pStyle w:val="TableParagraph"/>
              <w:ind w:right="94"/>
            </w:pPr>
            <w:r w:rsidRPr="00F71A96">
              <w:rPr>
                <w:b/>
              </w:rPr>
              <w:t>9</w:t>
            </w:r>
            <w:r w:rsidR="00507732" w:rsidRPr="00F71A96">
              <w:rPr>
                <w:b/>
              </w:rPr>
              <w:t>-</w:t>
            </w:r>
            <w:r w:rsidR="00507732">
              <w:t xml:space="preserve"> Quels sont les plus grands défis auxquels votre pays est-il confronté dans la prévention des importations illégales et de la contrebande de mercure?</w:t>
            </w:r>
          </w:p>
        </w:tc>
        <w:tc>
          <w:tcPr>
            <w:tcW w:w="4606" w:type="dxa"/>
          </w:tcPr>
          <w:p w:rsidR="00F71A96" w:rsidRDefault="00F71A96" w:rsidP="009B259F">
            <w:pPr>
              <w:pStyle w:val="TableParagraph"/>
              <w:ind w:right="92"/>
            </w:pPr>
            <w:r>
              <w:t xml:space="preserve">- </w:t>
            </w:r>
            <w:r w:rsidR="00507732">
              <w:t>L</w:t>
            </w:r>
            <w:r>
              <w:t xml:space="preserve">’éradication de la </w:t>
            </w:r>
            <w:r w:rsidR="00507732">
              <w:t>contrebande</w:t>
            </w:r>
            <w:r>
              <w:t> ;</w:t>
            </w:r>
          </w:p>
          <w:p w:rsidR="00F71A96" w:rsidRDefault="00F71A96" w:rsidP="009B259F">
            <w:pPr>
              <w:pStyle w:val="TableParagraph"/>
              <w:ind w:right="92"/>
            </w:pPr>
            <w:r>
              <w:t>- La substitution des produits chimiques toxiques en produits chimiques non toxiques et leur vulgarisation dans l’EMAP ;</w:t>
            </w:r>
          </w:p>
          <w:p w:rsidR="002F10C0" w:rsidRDefault="00F71A96" w:rsidP="009B259F">
            <w:pPr>
              <w:pStyle w:val="TableParagraph"/>
              <w:ind w:right="92"/>
            </w:pPr>
            <w:r>
              <w:t xml:space="preserve">- Le </w:t>
            </w:r>
            <w:r w:rsidR="00507732">
              <w:t>contrôle du mercure par les voies frontalières.</w:t>
            </w:r>
          </w:p>
        </w:tc>
      </w:tr>
      <w:tr w:rsidR="002F10C0">
        <w:trPr>
          <w:trHeight w:val="506"/>
        </w:trPr>
        <w:tc>
          <w:tcPr>
            <w:tcW w:w="4606" w:type="dxa"/>
          </w:tcPr>
          <w:p w:rsidR="002F10C0" w:rsidRDefault="00F71A96" w:rsidP="009B259F">
            <w:pPr>
              <w:pStyle w:val="TableParagraph"/>
              <w:tabs>
                <w:tab w:val="left" w:pos="1338"/>
                <w:tab w:val="left" w:pos="2756"/>
                <w:tab w:val="left" w:pos="3486"/>
                <w:tab w:val="left" w:pos="4033"/>
              </w:tabs>
              <w:ind w:right="95"/>
              <w:jc w:val="left"/>
            </w:pPr>
            <w:r w:rsidRPr="00F71A96">
              <w:rPr>
                <w:b/>
              </w:rPr>
              <w:t>10</w:t>
            </w:r>
            <w:r w:rsidR="00507732">
              <w:t>- Votre pays</w:t>
            </w:r>
            <w:r>
              <w:t xml:space="preserve"> a-t-il établi  des  accords de </w:t>
            </w:r>
            <w:r w:rsidR="00507732">
              <w:t>coopération</w:t>
            </w:r>
            <w:r w:rsidR="00507732">
              <w:tab/>
              <w:t>avec</w:t>
            </w:r>
            <w:r w:rsidR="00507732">
              <w:tab/>
              <w:t>les</w:t>
            </w:r>
            <w:r w:rsidR="00507732">
              <w:tab/>
            </w:r>
            <w:r w:rsidR="00507732">
              <w:rPr>
                <w:spacing w:val="-5"/>
              </w:rPr>
              <w:t>pays</w:t>
            </w:r>
          </w:p>
        </w:tc>
        <w:tc>
          <w:tcPr>
            <w:tcW w:w="4606" w:type="dxa"/>
          </w:tcPr>
          <w:p w:rsidR="002F10C0" w:rsidRDefault="00507732" w:rsidP="009B259F">
            <w:pPr>
              <w:pStyle w:val="TableParagraph"/>
              <w:jc w:val="left"/>
            </w:pPr>
            <w:r>
              <w:t>NON. Il existe des réflexions régionales sur l’EMAPE</w:t>
            </w:r>
          </w:p>
        </w:tc>
      </w:tr>
    </w:tbl>
    <w:p w:rsidR="002F10C0" w:rsidRDefault="002F10C0" w:rsidP="009B259F">
      <w:pPr>
        <w:sectPr w:rsidR="002F10C0">
          <w:pgSz w:w="11910" w:h="16840"/>
          <w:pgMar w:top="840" w:right="880" w:bottom="1300" w:left="760" w:header="0" w:footer="1106" w:gutter="0"/>
          <w:cols w:space="720"/>
        </w:sectPr>
      </w:pPr>
    </w:p>
    <w:tbl>
      <w:tblPr>
        <w:tblStyle w:val="TableNormal"/>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2F10C0" w:rsidTr="00F71A96">
        <w:trPr>
          <w:trHeight w:val="806"/>
        </w:trPr>
        <w:tc>
          <w:tcPr>
            <w:tcW w:w="4606" w:type="dxa"/>
          </w:tcPr>
          <w:p w:rsidR="002F10C0" w:rsidRDefault="00507732" w:rsidP="009B259F">
            <w:pPr>
              <w:pStyle w:val="TableParagraph"/>
              <w:ind w:right="94"/>
            </w:pPr>
            <w:r>
              <w:lastRenderedPageBreak/>
              <w:t>limitrophes ou au niveau régional pour lutter contre le mouvement transfrontalier illégal de mercure destiné aux activités</w:t>
            </w:r>
            <w:r>
              <w:rPr>
                <w:spacing w:val="-4"/>
              </w:rPr>
              <w:t xml:space="preserve"> </w:t>
            </w:r>
            <w:r>
              <w:t>EMAPE?</w:t>
            </w:r>
          </w:p>
        </w:tc>
        <w:tc>
          <w:tcPr>
            <w:tcW w:w="4606" w:type="dxa"/>
          </w:tcPr>
          <w:p w:rsidR="002F10C0" w:rsidRDefault="002F10C0" w:rsidP="009B259F">
            <w:pPr>
              <w:pStyle w:val="TableParagraph"/>
              <w:ind w:left="0"/>
              <w:jc w:val="left"/>
              <w:rPr>
                <w:rFonts w:ascii="Times New Roman"/>
              </w:rPr>
            </w:pPr>
          </w:p>
        </w:tc>
      </w:tr>
      <w:tr w:rsidR="002F10C0" w:rsidTr="00F71A96">
        <w:trPr>
          <w:trHeight w:val="1427"/>
        </w:trPr>
        <w:tc>
          <w:tcPr>
            <w:tcW w:w="4606" w:type="dxa"/>
          </w:tcPr>
          <w:p w:rsidR="002F10C0" w:rsidRDefault="00F71A96" w:rsidP="009B259F">
            <w:pPr>
              <w:pStyle w:val="TableParagraph"/>
              <w:ind w:right="93"/>
            </w:pPr>
            <w:r w:rsidRPr="00F71A96">
              <w:rPr>
                <w:b/>
              </w:rPr>
              <w:t>11</w:t>
            </w:r>
            <w:r w:rsidR="00507732">
              <w:t>- Existe-t-il des cas de  corruption  parmi la police, l’armée ou d’autres fonctionnaires impliquant la facilitation de la distribution du mercure dans votre pays? Quelles mesures ont été prises pour y remédier?</w:t>
            </w:r>
          </w:p>
        </w:tc>
        <w:tc>
          <w:tcPr>
            <w:tcW w:w="4606" w:type="dxa"/>
          </w:tcPr>
          <w:p w:rsidR="002F10C0" w:rsidRDefault="00507732" w:rsidP="009B259F">
            <w:pPr>
              <w:pStyle w:val="TableParagraph"/>
              <w:ind w:right="93"/>
            </w:pPr>
            <w:r>
              <w:t>Il pourrait avoir des cas de corruption dans l’approvisionnement et la facilitation de la distribution du mercure en Côte d’Ivoire mais ceci n’est pas connu</w:t>
            </w:r>
            <w:r w:rsidR="00F71A96">
              <w:t>.</w:t>
            </w:r>
          </w:p>
        </w:tc>
      </w:tr>
      <w:tr w:rsidR="002F10C0" w:rsidTr="00F71A96">
        <w:trPr>
          <w:trHeight w:val="1067"/>
        </w:trPr>
        <w:tc>
          <w:tcPr>
            <w:tcW w:w="4606" w:type="dxa"/>
          </w:tcPr>
          <w:p w:rsidR="002F10C0" w:rsidRDefault="00F71A96" w:rsidP="009B259F">
            <w:pPr>
              <w:pStyle w:val="TableParagraph"/>
              <w:ind w:right="95"/>
            </w:pPr>
            <w:r w:rsidRPr="00F71A96">
              <w:rPr>
                <w:b/>
              </w:rPr>
              <w:t>12</w:t>
            </w:r>
            <w:r w:rsidR="00507732">
              <w:t xml:space="preserve">- Existe-t-il des informations suggérant que des syndicats du  </w:t>
            </w:r>
            <w:r w:rsidR="00507732">
              <w:rPr>
                <w:spacing w:val="-4"/>
              </w:rPr>
              <w:t xml:space="preserve">crime </w:t>
            </w:r>
            <w:r w:rsidR="00507732">
              <w:t>organisés locaux ou régionaux distribuent du mercure pour faciliter la contrebande d’or dans votre</w:t>
            </w:r>
            <w:r w:rsidR="00507732">
              <w:rPr>
                <w:spacing w:val="-14"/>
              </w:rPr>
              <w:t xml:space="preserve"> </w:t>
            </w:r>
            <w:r w:rsidR="00507732">
              <w:t>pays?</w:t>
            </w:r>
          </w:p>
        </w:tc>
        <w:tc>
          <w:tcPr>
            <w:tcW w:w="4606" w:type="dxa"/>
          </w:tcPr>
          <w:p w:rsidR="002F10C0" w:rsidRDefault="00507732" w:rsidP="009B259F">
            <w:pPr>
              <w:pStyle w:val="TableParagraph"/>
              <w:jc w:val="left"/>
            </w:pPr>
            <w:r>
              <w:t>Cela est possible mais pas connu.</w:t>
            </w:r>
          </w:p>
        </w:tc>
      </w:tr>
    </w:tbl>
    <w:p w:rsidR="002F10C0" w:rsidRDefault="002F10C0" w:rsidP="009B259F">
      <w:pPr>
        <w:rPr>
          <w:b/>
          <w:sz w:val="20"/>
        </w:rPr>
      </w:pPr>
    </w:p>
    <w:p w:rsidR="002F10C0" w:rsidRDefault="002F10C0" w:rsidP="009B259F">
      <w:pPr>
        <w:spacing w:before="9"/>
        <w:rPr>
          <w:b/>
          <w:sz w:val="21"/>
        </w:rPr>
      </w:pPr>
    </w:p>
    <w:p w:rsidR="002F10C0" w:rsidRDefault="00D6517C" w:rsidP="009B259F">
      <w:pPr>
        <w:pStyle w:val="Corpsdetexte"/>
        <w:ind w:left="809" w:right="693"/>
        <w:jc w:val="center"/>
      </w:pPr>
      <w:r>
        <w:t>III- CONVENTION DE MINAMATA</w:t>
      </w:r>
    </w:p>
    <w:p w:rsidR="002F10C0" w:rsidRDefault="002F10C0" w:rsidP="009B259F">
      <w:pPr>
        <w:rPr>
          <w:b/>
          <w:sz w:val="21"/>
        </w:rPr>
      </w:pPr>
    </w:p>
    <w:tbl>
      <w:tblPr>
        <w:tblStyle w:val="TableNormal"/>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2F10C0">
        <w:trPr>
          <w:trHeight w:val="254"/>
        </w:trPr>
        <w:tc>
          <w:tcPr>
            <w:tcW w:w="4606" w:type="dxa"/>
          </w:tcPr>
          <w:p w:rsidR="002F10C0" w:rsidRDefault="00507732" w:rsidP="009B259F">
            <w:pPr>
              <w:pStyle w:val="TableParagraph"/>
              <w:ind w:left="2123"/>
              <w:jc w:val="left"/>
              <w:rPr>
                <w:b/>
              </w:rPr>
            </w:pPr>
            <w:r>
              <w:rPr>
                <w:b/>
              </w:rPr>
              <w:t>Questions</w:t>
            </w:r>
          </w:p>
        </w:tc>
        <w:tc>
          <w:tcPr>
            <w:tcW w:w="4606" w:type="dxa"/>
          </w:tcPr>
          <w:p w:rsidR="002F10C0" w:rsidRDefault="00507732" w:rsidP="009B259F">
            <w:pPr>
              <w:pStyle w:val="TableParagraph"/>
              <w:ind w:left="1578" w:right="1566"/>
              <w:jc w:val="center"/>
              <w:rPr>
                <w:b/>
              </w:rPr>
            </w:pPr>
            <w:r>
              <w:rPr>
                <w:b/>
              </w:rPr>
              <w:t>Réponses</w:t>
            </w:r>
          </w:p>
        </w:tc>
      </w:tr>
      <w:tr w:rsidR="002F10C0" w:rsidTr="00C62A19">
        <w:trPr>
          <w:trHeight w:val="1346"/>
        </w:trPr>
        <w:tc>
          <w:tcPr>
            <w:tcW w:w="4606" w:type="dxa"/>
          </w:tcPr>
          <w:p w:rsidR="002F10C0" w:rsidRDefault="00507732" w:rsidP="009B259F">
            <w:pPr>
              <w:pStyle w:val="TableParagraph"/>
              <w:ind w:right="95"/>
            </w:pPr>
            <w:r w:rsidRPr="00C62A19">
              <w:rPr>
                <w:b/>
              </w:rPr>
              <w:t>1</w:t>
            </w:r>
            <w:r w:rsidR="00C62A19" w:rsidRPr="00C62A19">
              <w:rPr>
                <w:b/>
              </w:rPr>
              <w:t>3</w:t>
            </w:r>
            <w:r w:rsidRPr="00C62A19">
              <w:rPr>
                <w:b/>
              </w:rPr>
              <w:t>-</w:t>
            </w:r>
            <w:r>
              <w:t xml:space="preserve"> Votre pays a-t-il ratifié la Convention de Minamata sur le mercure et,  </w:t>
            </w:r>
            <w:r>
              <w:rPr>
                <w:spacing w:val="-6"/>
              </w:rPr>
              <w:t xml:space="preserve">si </w:t>
            </w:r>
            <w:r>
              <w:t>oui, quelles mesures ont été prises pour éliminer le mercure de l’EMAPE, y compris son détournement vers l’EMAPE?</w:t>
            </w:r>
          </w:p>
        </w:tc>
        <w:tc>
          <w:tcPr>
            <w:tcW w:w="4606" w:type="dxa"/>
          </w:tcPr>
          <w:p w:rsidR="002F10C0" w:rsidRDefault="00507732" w:rsidP="009B259F">
            <w:pPr>
              <w:pStyle w:val="TableParagraph"/>
              <w:ind w:right="90"/>
            </w:pPr>
            <w:r>
              <w:t>La Côte d’Ivoire a ratifié la Convention de Minamata en octobre 2019. Les mesures prises pour éliminer le mercure jusqu’à ce jour reste le déguerpissement des sites des mineurs artisanaux clandestins</w:t>
            </w:r>
          </w:p>
        </w:tc>
      </w:tr>
      <w:tr w:rsidR="002F10C0" w:rsidTr="00C62A19">
        <w:trPr>
          <w:trHeight w:val="3587"/>
        </w:trPr>
        <w:tc>
          <w:tcPr>
            <w:tcW w:w="4606" w:type="dxa"/>
          </w:tcPr>
          <w:p w:rsidR="002F10C0" w:rsidRDefault="00C62A19" w:rsidP="009B259F">
            <w:pPr>
              <w:pStyle w:val="TableParagraph"/>
              <w:ind w:right="95"/>
            </w:pPr>
            <w:r w:rsidRPr="00C62A19">
              <w:rPr>
                <w:b/>
              </w:rPr>
              <w:t>14</w:t>
            </w:r>
            <w:r w:rsidR="00507732">
              <w:t>- Comment l’accès au renforcement  des capacités ou au transfert de technologie dans le cadre du programme international spécifique de la Convention de Minamata pourrait-il aider votre pays à éliminer la pollution par le mercure provenant de</w:t>
            </w:r>
            <w:r w:rsidR="00507732">
              <w:rPr>
                <w:spacing w:val="-1"/>
              </w:rPr>
              <w:t xml:space="preserve"> </w:t>
            </w:r>
            <w:r w:rsidR="00507732">
              <w:t>l’EMAPE?</w:t>
            </w:r>
          </w:p>
        </w:tc>
        <w:tc>
          <w:tcPr>
            <w:tcW w:w="4606" w:type="dxa"/>
          </w:tcPr>
          <w:p w:rsidR="00C62A19" w:rsidRDefault="00507732" w:rsidP="009B259F">
            <w:pPr>
              <w:pStyle w:val="TableParagraph"/>
              <w:ind w:right="283"/>
              <w:jc w:val="left"/>
            </w:pPr>
            <w:r>
              <w:t>L’accès au renforcement des capacités ou au transfert de technologie pourrait professionnaliser la filière d’EMAPE</w:t>
            </w:r>
            <w:r w:rsidR="00C62A19">
              <w:t>. Le Ministère en charge des Mines a initié la formation des orpailleurs dans le cadre des chantier–écoles. Cette politique de formation doit continuer en renforçant le contenu de la formation.</w:t>
            </w:r>
          </w:p>
          <w:p w:rsidR="002F10C0" w:rsidRDefault="00C62A19" w:rsidP="009B259F">
            <w:pPr>
              <w:pStyle w:val="TableParagraph"/>
              <w:ind w:right="283"/>
              <w:jc w:val="left"/>
            </w:pPr>
            <w:r>
              <w:t xml:space="preserve"> </w:t>
            </w:r>
          </w:p>
          <w:p w:rsidR="002F10C0" w:rsidRDefault="00C62A19" w:rsidP="009B259F">
            <w:pPr>
              <w:pStyle w:val="TableParagraph"/>
              <w:tabs>
                <w:tab w:val="left" w:pos="308"/>
              </w:tabs>
              <w:ind w:right="101"/>
              <w:jc w:val="left"/>
              <w:rPr>
                <w:rFonts w:ascii="Times New Roman" w:hAnsi="Times New Roman"/>
                <w:sz w:val="24"/>
              </w:rPr>
            </w:pPr>
            <w:r>
              <w:t xml:space="preserve">D’autre part, </w:t>
            </w:r>
            <w:r w:rsidR="00507732">
              <w:t>l’accélération de la délivrance des autorisations d’exploitation minière artisanale et semi-industrielle aux requérants remplissant les conditions prévues par la réglementation</w:t>
            </w:r>
            <w:r w:rsidR="00507732">
              <w:rPr>
                <w:spacing w:val="-3"/>
              </w:rPr>
              <w:t xml:space="preserve"> </w:t>
            </w:r>
            <w:r w:rsidR="00507732">
              <w:t>minière</w:t>
            </w:r>
            <w:r>
              <w:t xml:space="preserve"> est souhaitée</w:t>
            </w:r>
            <w:r w:rsidR="00507732">
              <w:rPr>
                <w:rFonts w:ascii="Times New Roman" w:hAnsi="Times New Roman"/>
                <w:sz w:val="24"/>
              </w:rPr>
              <w:t>.</w:t>
            </w:r>
          </w:p>
        </w:tc>
      </w:tr>
    </w:tbl>
    <w:p w:rsidR="002F10C0" w:rsidRDefault="002F10C0" w:rsidP="009B259F">
      <w:pPr>
        <w:rPr>
          <w:rFonts w:ascii="Times New Roman" w:hAnsi="Times New Roman"/>
          <w:sz w:val="24"/>
        </w:rPr>
        <w:sectPr w:rsidR="002F10C0">
          <w:pgSz w:w="11910" w:h="16840"/>
          <w:pgMar w:top="840" w:right="880" w:bottom="1300" w:left="760" w:header="0" w:footer="1106" w:gutter="0"/>
          <w:cols w:space="720"/>
        </w:sectPr>
      </w:pPr>
    </w:p>
    <w:p w:rsidR="002F10C0" w:rsidRDefault="00C62A19" w:rsidP="009B259F">
      <w:pPr>
        <w:pStyle w:val="Corpsdetexte"/>
        <w:spacing w:before="78"/>
        <w:ind w:left="810" w:right="693"/>
        <w:jc w:val="center"/>
      </w:pPr>
      <w:r>
        <w:lastRenderedPageBreak/>
        <w:t>IV-PROTECTIONS POUR LES PEUPLES AUTOCHTONES</w:t>
      </w:r>
    </w:p>
    <w:p w:rsidR="002F10C0" w:rsidRDefault="002F10C0" w:rsidP="009B259F">
      <w:pPr>
        <w:spacing w:before="3"/>
        <w:rPr>
          <w:b/>
          <w:sz w:val="21"/>
        </w:rPr>
      </w:pPr>
    </w:p>
    <w:tbl>
      <w:tblPr>
        <w:tblStyle w:val="TableNormal"/>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2F10C0">
        <w:trPr>
          <w:trHeight w:val="251"/>
        </w:trPr>
        <w:tc>
          <w:tcPr>
            <w:tcW w:w="4606" w:type="dxa"/>
          </w:tcPr>
          <w:p w:rsidR="002F10C0" w:rsidRDefault="00507732" w:rsidP="009B259F">
            <w:pPr>
              <w:pStyle w:val="TableParagraph"/>
              <w:ind w:left="2123"/>
              <w:jc w:val="left"/>
              <w:rPr>
                <w:b/>
              </w:rPr>
            </w:pPr>
            <w:r>
              <w:rPr>
                <w:b/>
              </w:rPr>
              <w:t>Questions</w:t>
            </w:r>
          </w:p>
        </w:tc>
        <w:tc>
          <w:tcPr>
            <w:tcW w:w="4606" w:type="dxa"/>
          </w:tcPr>
          <w:p w:rsidR="002F10C0" w:rsidRDefault="00507732" w:rsidP="009B259F">
            <w:pPr>
              <w:pStyle w:val="TableParagraph"/>
              <w:ind w:left="1578" w:right="1566"/>
              <w:jc w:val="center"/>
              <w:rPr>
                <w:b/>
              </w:rPr>
            </w:pPr>
            <w:r>
              <w:rPr>
                <w:b/>
              </w:rPr>
              <w:t>Réponses</w:t>
            </w:r>
          </w:p>
        </w:tc>
      </w:tr>
      <w:tr w:rsidR="002F10C0" w:rsidTr="003B1906">
        <w:trPr>
          <w:trHeight w:val="1855"/>
        </w:trPr>
        <w:tc>
          <w:tcPr>
            <w:tcW w:w="4606" w:type="dxa"/>
          </w:tcPr>
          <w:p w:rsidR="002F10C0" w:rsidRDefault="003B1906" w:rsidP="009B259F">
            <w:pPr>
              <w:pStyle w:val="TableParagraph"/>
              <w:ind w:right="94"/>
            </w:pPr>
            <w:r w:rsidRPr="003B1906">
              <w:rPr>
                <w:b/>
              </w:rPr>
              <w:t>15</w:t>
            </w:r>
            <w:r w:rsidR="00507732" w:rsidRPr="003B1906">
              <w:rPr>
                <w:b/>
              </w:rPr>
              <w:t>-</w:t>
            </w:r>
            <w:r w:rsidR="00507732">
              <w:t xml:space="preserve"> Quelles actions spécifiques  votre pays a-t-il pris pour protéger directement la santé des peuples autochtones contre la contamination au mercure lié à</w:t>
            </w:r>
            <w:r w:rsidR="00507732">
              <w:rPr>
                <w:spacing w:val="-3"/>
              </w:rPr>
              <w:t xml:space="preserve"> </w:t>
            </w:r>
            <w:r w:rsidR="00507732">
              <w:t>l’EMAPE?</w:t>
            </w:r>
          </w:p>
        </w:tc>
        <w:tc>
          <w:tcPr>
            <w:tcW w:w="4606" w:type="dxa"/>
          </w:tcPr>
          <w:p w:rsidR="002F10C0" w:rsidRDefault="00507732" w:rsidP="009B259F">
            <w:pPr>
              <w:pStyle w:val="TableParagraph"/>
              <w:ind w:right="90"/>
            </w:pPr>
            <w:r>
              <w:t>Les mesures pour protéger directement la santé des peuples autochtones contre la contamination au mercure ne sont pas spécifiques. Ce sont des mesures générales prises dans le cadre du programme ORPI 4 en vue d’empêcher l’occupation ou la</w:t>
            </w:r>
          </w:p>
          <w:p w:rsidR="002F10C0" w:rsidRDefault="00507732" w:rsidP="009B259F">
            <w:pPr>
              <w:pStyle w:val="TableParagraph"/>
              <w:spacing w:before="3"/>
              <w:ind w:right="90"/>
            </w:pPr>
            <w:r>
              <w:t>recolonisation des sites ou s’exerce l’EMAPE</w:t>
            </w:r>
          </w:p>
        </w:tc>
      </w:tr>
      <w:tr w:rsidR="002F10C0">
        <w:trPr>
          <w:trHeight w:val="1516"/>
        </w:trPr>
        <w:tc>
          <w:tcPr>
            <w:tcW w:w="4606" w:type="dxa"/>
          </w:tcPr>
          <w:p w:rsidR="002F10C0" w:rsidRDefault="003B1906" w:rsidP="009B259F">
            <w:pPr>
              <w:pStyle w:val="TableParagraph"/>
              <w:ind w:right="96"/>
            </w:pPr>
            <w:r w:rsidRPr="003B1906">
              <w:rPr>
                <w:b/>
              </w:rPr>
              <w:t>16-</w:t>
            </w:r>
            <w:r>
              <w:t xml:space="preserve"> </w:t>
            </w:r>
            <w:r w:rsidR="00507732">
              <w:t>A-t-il été créé un forum gouvernemental ou public pour la consultation avec les peuples autochtones sur la pollution au mercure due à l’EMAPE?</w:t>
            </w:r>
          </w:p>
        </w:tc>
        <w:tc>
          <w:tcPr>
            <w:tcW w:w="4606" w:type="dxa"/>
          </w:tcPr>
          <w:p w:rsidR="002F10C0" w:rsidRDefault="00507732" w:rsidP="009B259F">
            <w:pPr>
              <w:pStyle w:val="TableParagraph"/>
              <w:spacing w:before="124"/>
              <w:ind w:left="146" w:right="129" w:hanging="3"/>
            </w:pPr>
            <w:r>
              <w:t>Non, un forum gouvernemental sur la pollution au mercure n’a pas été créé. Mais les ateliers ou réunions ont été réalisés pour sensibiliser l</w:t>
            </w:r>
            <w:r w:rsidR="003B1906">
              <w:t>es</w:t>
            </w:r>
            <w:r>
              <w:t xml:space="preserve"> population</w:t>
            </w:r>
            <w:r w:rsidR="003B1906">
              <w:t>s</w:t>
            </w:r>
            <w:r>
              <w:t xml:space="preserve"> sur les effets </w:t>
            </w:r>
            <w:r w:rsidR="003B1906">
              <w:t>néfastes</w:t>
            </w:r>
            <w:r>
              <w:t xml:space="preserve"> du mercure et de ses composés</w:t>
            </w:r>
            <w:r w:rsidR="003B1906">
              <w:t>.</w:t>
            </w:r>
          </w:p>
        </w:tc>
      </w:tr>
      <w:tr w:rsidR="002F10C0" w:rsidTr="003B1906">
        <w:trPr>
          <w:trHeight w:val="1792"/>
        </w:trPr>
        <w:tc>
          <w:tcPr>
            <w:tcW w:w="4606" w:type="dxa"/>
          </w:tcPr>
          <w:p w:rsidR="002F10C0" w:rsidRDefault="003B1906" w:rsidP="009B259F">
            <w:pPr>
              <w:pStyle w:val="TableParagraph"/>
              <w:ind w:right="94"/>
            </w:pPr>
            <w:r w:rsidRPr="003B1906">
              <w:rPr>
                <w:b/>
              </w:rPr>
              <w:t>17</w:t>
            </w:r>
            <w:r w:rsidR="00507732">
              <w:t>- Votre pays a-t-il menée des évaluations ou des études sur la santé des peuples autochtones directement liés à leur exposition à la pollution par le mercure provenant des activités EMAPE et à la pollution par le mercure associé? Précisez ou partagez les données.</w:t>
            </w:r>
          </w:p>
        </w:tc>
        <w:tc>
          <w:tcPr>
            <w:tcW w:w="4606" w:type="dxa"/>
          </w:tcPr>
          <w:p w:rsidR="002F10C0" w:rsidRDefault="00507732" w:rsidP="009B259F">
            <w:pPr>
              <w:pStyle w:val="TableParagraph"/>
              <w:ind w:right="92"/>
            </w:pPr>
            <w:r>
              <w:t>Notre pays est en train de mener des évaluations sur la santé des peuples autochtones directement liés à leur exposition à la pollution par le mercure mais cette évaluation est en cours de réalisation</w:t>
            </w:r>
            <w:r w:rsidR="003B1906">
              <w:t>.</w:t>
            </w:r>
          </w:p>
        </w:tc>
      </w:tr>
      <w:tr w:rsidR="002F10C0" w:rsidTr="003B1906">
        <w:trPr>
          <w:trHeight w:val="1603"/>
        </w:trPr>
        <w:tc>
          <w:tcPr>
            <w:tcW w:w="4606" w:type="dxa"/>
          </w:tcPr>
          <w:p w:rsidR="002F10C0" w:rsidRDefault="003B1906" w:rsidP="009B259F">
            <w:pPr>
              <w:pStyle w:val="TableParagraph"/>
              <w:ind w:right="95"/>
            </w:pPr>
            <w:r w:rsidRPr="003B1906">
              <w:rPr>
                <w:b/>
              </w:rPr>
              <w:t>18-</w:t>
            </w:r>
            <w:r>
              <w:t xml:space="preserve"> </w:t>
            </w:r>
            <w:r w:rsidR="00507732">
              <w:t>Quels services et conseils de santé fournit-il votre pays aux peuples autochtones pour traiter les niveaux élevés de mercure ou pour minimiser leur exposition au mercure par le biais de l’alimentation (par ex. le poisson) ou l’exposition directe par l’activité</w:t>
            </w:r>
            <w:r w:rsidR="00507732">
              <w:rPr>
                <w:spacing w:val="-1"/>
              </w:rPr>
              <w:t xml:space="preserve"> </w:t>
            </w:r>
            <w:r w:rsidR="00507732">
              <w:t>EMAPE?</w:t>
            </w:r>
          </w:p>
        </w:tc>
        <w:tc>
          <w:tcPr>
            <w:tcW w:w="4606" w:type="dxa"/>
          </w:tcPr>
          <w:p w:rsidR="002F10C0" w:rsidRDefault="00507732" w:rsidP="009B259F">
            <w:pPr>
              <w:pStyle w:val="TableParagraph"/>
              <w:ind w:right="90"/>
            </w:pPr>
            <w:r>
              <w:t>Pour l’instant il n’y a pas d’action que le pays mène dans ce sens. Ces actions de sensibilisation et de conseils sont prévues dans l’élaboration de la stratégie nationale de santé publique dans le cadre de l’EMAPE. Cette élaboration est en</w:t>
            </w:r>
            <w:r>
              <w:rPr>
                <w:spacing w:val="-9"/>
              </w:rPr>
              <w:t xml:space="preserve"> </w:t>
            </w:r>
            <w:r>
              <w:t>cours</w:t>
            </w:r>
            <w:r w:rsidR="003B1906">
              <w:t>.</w:t>
            </w:r>
          </w:p>
        </w:tc>
      </w:tr>
    </w:tbl>
    <w:p w:rsidR="002F10C0" w:rsidRDefault="002F10C0">
      <w:pPr>
        <w:rPr>
          <w:b/>
          <w:sz w:val="24"/>
        </w:rPr>
      </w:pPr>
    </w:p>
    <w:p w:rsidR="00FD354F" w:rsidRDefault="00FD354F">
      <w:pPr>
        <w:pStyle w:val="Corpsdetexte"/>
        <w:spacing w:before="209" w:line="278" w:lineRule="auto"/>
        <w:ind w:left="814" w:right="693"/>
        <w:jc w:val="center"/>
      </w:pPr>
    </w:p>
    <w:p w:rsidR="00FD354F" w:rsidRPr="00817340" w:rsidRDefault="00FD354F" w:rsidP="00FD354F">
      <w:pPr>
        <w:pStyle w:val="Corpsdetexte"/>
        <w:spacing w:before="209" w:line="278" w:lineRule="auto"/>
        <w:ind w:left="814" w:right="693"/>
        <w:rPr>
          <w:b w:val="0"/>
        </w:rPr>
      </w:pPr>
      <w:r w:rsidRPr="00817340">
        <w:rPr>
          <w:b w:val="0"/>
        </w:rPr>
        <w:t>NB : Les réponses aux questionnaires ont été données sur la base de la concertation avec le point focal de la Convention de Minamata sur mercure de la Côte d’Ivoire.</w:t>
      </w:r>
    </w:p>
    <w:p w:rsidR="00FD354F" w:rsidRDefault="00FD354F" w:rsidP="00FD354F">
      <w:pPr>
        <w:pStyle w:val="Corpsdetexte"/>
        <w:spacing w:before="209" w:line="278" w:lineRule="auto"/>
        <w:ind w:left="814" w:right="693"/>
      </w:pPr>
    </w:p>
    <w:p w:rsidR="002F10C0" w:rsidRPr="00817340" w:rsidRDefault="00817340" w:rsidP="00817340">
      <w:pPr>
        <w:pStyle w:val="Corpsdetexte"/>
        <w:spacing w:before="1"/>
        <w:ind w:left="813" w:right="693"/>
        <w:rPr>
          <w:b w:val="0"/>
        </w:rPr>
      </w:pPr>
      <w:r>
        <w:t xml:space="preserve">M. OUATTARA BABARY, </w:t>
      </w:r>
      <w:r w:rsidRPr="00817340">
        <w:rPr>
          <w:b w:val="0"/>
        </w:rPr>
        <w:t>Responsable Environnement Minier</w:t>
      </w:r>
      <w:r w:rsidR="00FD354F" w:rsidRPr="00817340">
        <w:rPr>
          <w:b w:val="0"/>
        </w:rPr>
        <w:t xml:space="preserve"> </w:t>
      </w:r>
      <w:r w:rsidRPr="00817340">
        <w:rPr>
          <w:b w:val="0"/>
        </w:rPr>
        <w:t>au Ministère en charge des Mines.</w:t>
      </w:r>
    </w:p>
    <w:p w:rsidR="00817340" w:rsidRDefault="00817340" w:rsidP="00817340">
      <w:pPr>
        <w:pStyle w:val="Corpsdetexte"/>
        <w:spacing w:before="1"/>
        <w:ind w:left="813" w:right="693"/>
      </w:pPr>
    </w:p>
    <w:p w:rsidR="00817340" w:rsidRDefault="00817340" w:rsidP="00817340">
      <w:pPr>
        <w:pStyle w:val="Corpsdetexte"/>
        <w:spacing w:before="1"/>
        <w:ind w:left="813" w:right="693"/>
      </w:pPr>
      <w:r>
        <w:t xml:space="preserve">Email : </w:t>
      </w:r>
      <w:hyperlink r:id="rId9" w:history="1">
        <w:r w:rsidRPr="0001535D">
          <w:rPr>
            <w:rStyle w:val="Lienhypertexte"/>
          </w:rPr>
          <w:t>ouattaradgmg@gmail.com</w:t>
        </w:r>
      </w:hyperlink>
    </w:p>
    <w:p w:rsidR="00817340" w:rsidRDefault="00817340" w:rsidP="00817340">
      <w:pPr>
        <w:pStyle w:val="Corpsdetexte"/>
        <w:spacing w:before="1"/>
        <w:ind w:left="813" w:right="693"/>
      </w:pPr>
    </w:p>
    <w:p w:rsidR="00817340" w:rsidRDefault="00817340" w:rsidP="00817340">
      <w:pPr>
        <w:pStyle w:val="Corpsdetexte"/>
        <w:spacing w:before="1"/>
        <w:ind w:left="813" w:right="693"/>
      </w:pPr>
      <w:proofErr w:type="spellStart"/>
      <w:r>
        <w:t>Cél</w:t>
      </w:r>
      <w:proofErr w:type="spellEnd"/>
      <w:r>
        <w:t> : (225) 07 49 16 07 41 / 05 05 60 86 74</w:t>
      </w:r>
    </w:p>
    <w:sectPr w:rsidR="00817340">
      <w:pgSz w:w="11910" w:h="16840"/>
      <w:pgMar w:top="1240" w:right="880" w:bottom="1300" w:left="760" w:header="0" w:footer="11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932" w:rsidRDefault="00422932">
      <w:r>
        <w:separator/>
      </w:r>
    </w:p>
  </w:endnote>
  <w:endnote w:type="continuationSeparator" w:id="0">
    <w:p w:rsidR="00422932" w:rsidRDefault="0042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0C0" w:rsidRDefault="00E0635E">
    <w:pPr>
      <w:pStyle w:val="Corpsdetexte"/>
      <w:spacing w:line="14" w:lineRule="auto"/>
      <w:rPr>
        <w:b w:val="0"/>
        <w:sz w:val="20"/>
      </w:rPr>
    </w:pPr>
    <w:r>
      <w:rPr>
        <w:noProof/>
        <w:lang w:val="en-US"/>
      </w:rPr>
      <mc:AlternateContent>
        <mc:Choice Requires="wpg">
          <w:drawing>
            <wp:anchor distT="0" distB="0" distL="114300" distR="114300" simplePos="0" relativeHeight="487446016" behindDoc="1" locked="0" layoutInCell="1" allowOverlap="1">
              <wp:simplePos x="0" y="0"/>
              <wp:positionH relativeFrom="page">
                <wp:posOffset>6668770</wp:posOffset>
              </wp:positionH>
              <wp:positionV relativeFrom="page">
                <wp:posOffset>9863455</wp:posOffset>
              </wp:positionV>
              <wp:extent cx="371475" cy="27749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277495"/>
                        <a:chOff x="10502" y="15533"/>
                        <a:chExt cx="585" cy="437"/>
                      </a:xfrm>
                    </wpg:grpSpPr>
                    <wps:wsp>
                      <wps:cNvPr id="4" name="Freeform 4"/>
                      <wps:cNvSpPr>
                        <a:spLocks/>
                      </wps:cNvSpPr>
                      <wps:spPr bwMode="auto">
                        <a:xfrm>
                          <a:off x="10934" y="15817"/>
                          <a:ext cx="150" cy="150"/>
                        </a:xfrm>
                        <a:custGeom>
                          <a:avLst/>
                          <a:gdLst>
                            <a:gd name="T0" fmla="+- 0 11084 10935"/>
                            <a:gd name="T1" fmla="*/ T0 w 150"/>
                            <a:gd name="T2" fmla="+- 0 15818 15818"/>
                            <a:gd name="T3" fmla="*/ 15818 h 150"/>
                            <a:gd name="T4" fmla="+- 0 10965 10935"/>
                            <a:gd name="T5" fmla="*/ T4 w 150"/>
                            <a:gd name="T6" fmla="+- 0 15848 15818"/>
                            <a:gd name="T7" fmla="*/ 15848 h 150"/>
                            <a:gd name="T8" fmla="+- 0 10935 10935"/>
                            <a:gd name="T9" fmla="*/ T8 w 150"/>
                            <a:gd name="T10" fmla="+- 0 15967 15818"/>
                            <a:gd name="T11" fmla="*/ 15967 h 150"/>
                            <a:gd name="T12" fmla="+- 0 11084 10935"/>
                            <a:gd name="T13" fmla="*/ T12 w 150"/>
                            <a:gd name="T14" fmla="+- 0 15818 15818"/>
                            <a:gd name="T15" fmla="*/ 15818 h 150"/>
                          </a:gdLst>
                          <a:ahLst/>
                          <a:cxnLst>
                            <a:cxn ang="0">
                              <a:pos x="T1" y="T3"/>
                            </a:cxn>
                            <a:cxn ang="0">
                              <a:pos x="T5" y="T7"/>
                            </a:cxn>
                            <a:cxn ang="0">
                              <a:pos x="T9" y="T11"/>
                            </a:cxn>
                            <a:cxn ang="0">
                              <a:pos x="T13" y="T15"/>
                            </a:cxn>
                          </a:cxnLst>
                          <a:rect l="0" t="0" r="r" b="b"/>
                          <a:pathLst>
                            <a:path w="150" h="150">
                              <a:moveTo>
                                <a:pt x="149" y="0"/>
                              </a:moveTo>
                              <a:lnTo>
                                <a:pt x="30" y="30"/>
                              </a:lnTo>
                              <a:lnTo>
                                <a:pt x="0" y="149"/>
                              </a:lnTo>
                              <a:lnTo>
                                <a:pt x="149"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3"/>
                      <wps:cNvSpPr>
                        <a:spLocks/>
                      </wps:cNvSpPr>
                      <wps:spPr bwMode="auto">
                        <a:xfrm>
                          <a:off x="10504" y="15535"/>
                          <a:ext cx="580" cy="432"/>
                        </a:xfrm>
                        <a:custGeom>
                          <a:avLst/>
                          <a:gdLst>
                            <a:gd name="T0" fmla="+- 0 10935 10504"/>
                            <a:gd name="T1" fmla="*/ T0 w 580"/>
                            <a:gd name="T2" fmla="+- 0 15967 15535"/>
                            <a:gd name="T3" fmla="*/ 15967 h 432"/>
                            <a:gd name="T4" fmla="+- 0 10965 10504"/>
                            <a:gd name="T5" fmla="*/ T4 w 580"/>
                            <a:gd name="T6" fmla="+- 0 15848 15535"/>
                            <a:gd name="T7" fmla="*/ 15848 h 432"/>
                            <a:gd name="T8" fmla="+- 0 11084 10504"/>
                            <a:gd name="T9" fmla="*/ T8 w 580"/>
                            <a:gd name="T10" fmla="+- 0 15818 15535"/>
                            <a:gd name="T11" fmla="*/ 15818 h 432"/>
                            <a:gd name="T12" fmla="+- 0 10935 10504"/>
                            <a:gd name="T13" fmla="*/ T12 w 580"/>
                            <a:gd name="T14" fmla="+- 0 15967 15535"/>
                            <a:gd name="T15" fmla="*/ 15967 h 432"/>
                            <a:gd name="T16" fmla="+- 0 10504 10504"/>
                            <a:gd name="T17" fmla="*/ T16 w 580"/>
                            <a:gd name="T18" fmla="+- 0 15967 15535"/>
                            <a:gd name="T19" fmla="*/ 15967 h 432"/>
                            <a:gd name="T20" fmla="+- 0 10504 10504"/>
                            <a:gd name="T21" fmla="*/ T20 w 580"/>
                            <a:gd name="T22" fmla="+- 0 15535 15535"/>
                            <a:gd name="T23" fmla="*/ 15535 h 432"/>
                            <a:gd name="T24" fmla="+- 0 11084 10504"/>
                            <a:gd name="T25" fmla="*/ T24 w 580"/>
                            <a:gd name="T26" fmla="+- 0 15535 15535"/>
                            <a:gd name="T27" fmla="*/ 15535 h 432"/>
                            <a:gd name="T28" fmla="+- 0 11084 10504"/>
                            <a:gd name="T29" fmla="*/ T28 w 580"/>
                            <a:gd name="T30" fmla="+- 0 15818 15535"/>
                            <a:gd name="T31" fmla="*/ 15818 h 4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0" h="432">
                              <a:moveTo>
                                <a:pt x="431" y="432"/>
                              </a:moveTo>
                              <a:lnTo>
                                <a:pt x="461" y="313"/>
                              </a:lnTo>
                              <a:lnTo>
                                <a:pt x="580" y="283"/>
                              </a:lnTo>
                              <a:lnTo>
                                <a:pt x="431" y="432"/>
                              </a:lnTo>
                              <a:lnTo>
                                <a:pt x="0" y="432"/>
                              </a:lnTo>
                              <a:lnTo>
                                <a:pt x="0" y="0"/>
                              </a:lnTo>
                              <a:lnTo>
                                <a:pt x="580" y="0"/>
                              </a:lnTo>
                              <a:lnTo>
                                <a:pt x="580" y="283"/>
                              </a:lnTo>
                            </a:path>
                          </a:pathLst>
                        </a:custGeom>
                        <a:noFill/>
                        <a:ln w="317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D4212" id="Group 2" o:spid="_x0000_s1026" style="position:absolute;margin-left:525.1pt;margin-top:776.65pt;width:29.25pt;height:21.85pt;z-index:-15870464;mso-position-horizontal-relative:page;mso-position-vertical-relative:page" coordorigin="10502,15533" coordsize="58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">
              <v:shape id="Freeform 4" o:spid="_x0000_s1027" style="position:absolute;left:10934;top:15817;width:150;height:150;visibility:visible;mso-wrap-style:square;v-text-anchor:top" coordsize="15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O0YsUA&#10;AADaAAAADwAAAGRycy9kb3ducmV2LnhtbESPT2vCQBTE70K/w/IKXqRuFJE0dZVS6r+TaNtDb4/s&#10;azY2+zZk1xj76buC4HGYmd8ws0VnK9FS40vHCkbDBARx7nTJhYLPj+VTCsIHZI2VY1JwIQ+L+UNv&#10;hpl2Z95TewiFiBD2GSowIdSZlD43ZNEPXU0cvR/XWAxRNoXUDZ4j3FZynCRTabHkuGCwpjdD+e/h&#10;ZBWk6XGbn0br9+dgV/S9+zqadvCnVP+xe30BEagL9/CtvdEKJnC9Em+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7RixQAAANoAAAAPAAAAAAAAAAAAAAAAAJgCAABkcnMv&#10;ZG93bnJldi54bWxQSwUGAAAAAAQABAD1AAAAigMAAAAA&#10;" path="m149,l30,30,,149,149,xe" fillcolor="#cdcdcd" stroked="f">
                <v:path arrowok="t" o:connecttype="custom" o:connectlocs="149,15818;30,15848;0,15967;149,15818" o:connectangles="0,0,0,0"/>
              </v:shape>
              <v:shape id="Freeform 3" o:spid="_x0000_s1028" style="position:absolute;left:10504;top:15535;width:580;height:432;visibility:visible;mso-wrap-style:square;v-text-anchor:top" coordsize="58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SMMIA&#10;AADaAAAADwAAAGRycy9kb3ducmV2LnhtbESPQWvCQBSE74L/YXlCb3WjpVqjq6ilIHgyLfT6yD6z&#10;0ezbkF1N6q93hYLHYWa+YRarzlbiSo0vHSsYDRMQxLnTJRcKfr6/Xj9A+ICssXJMCv7Iw2rZ7y0w&#10;1a7lA12zUIgIYZ+iAhNCnUrpc0MW/dDVxNE7usZiiLIppG6wjXBbyXGSTKTFkuOCwZq2hvJzdrGR&#10;Ym+bz6Mvutn01F5GZsy/+/ObUi+Dbj0HEagLz/B/e6cVvMPjSrw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lIwwgAAANoAAAAPAAAAAAAAAAAAAAAAAJgCAABkcnMvZG93&#10;bnJldi54bWxQSwUGAAAAAAQABAD1AAAAhwMAAAAA&#10;" path="m431,432l461,313,580,283,431,432,,432,,,580,r,283e" filled="f" strokecolor="gray" strokeweight=".25pt">
                <v:path arrowok="t" o:connecttype="custom" o:connectlocs="431,15967;461,15848;580,15818;431,15967;0,15967;0,15535;580,15535;580,15818" o:connectangles="0,0,0,0,0,0,0,0"/>
              </v:shape>
              <w10:wrap anchorx="page" anchory="page"/>
            </v:group>
          </w:pict>
        </mc:Fallback>
      </mc:AlternateContent>
    </w:r>
    <w:r>
      <w:rPr>
        <w:noProof/>
        <w:lang w:val="en-US"/>
      </w:rPr>
      <mc:AlternateContent>
        <mc:Choice Requires="wps">
          <w:drawing>
            <wp:anchor distT="0" distB="0" distL="114300" distR="114300" simplePos="0" relativeHeight="487446528" behindDoc="1" locked="0" layoutInCell="1" allowOverlap="1">
              <wp:simplePos x="0" y="0"/>
              <wp:positionH relativeFrom="page">
                <wp:posOffset>6791960</wp:posOffset>
              </wp:positionH>
              <wp:positionV relativeFrom="page">
                <wp:posOffset>9920605</wp:posOffset>
              </wp:positionV>
              <wp:extent cx="12827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0C0" w:rsidRDefault="00507732">
                          <w:pPr>
                            <w:spacing w:line="184" w:lineRule="exact"/>
                            <w:ind w:left="60"/>
                            <w:rPr>
                              <w:rFonts w:ascii="Carlito"/>
                              <w:sz w:val="16"/>
                            </w:rPr>
                          </w:pPr>
                          <w:r>
                            <w:fldChar w:fldCharType="begin"/>
                          </w:r>
                          <w:r>
                            <w:rPr>
                              <w:rFonts w:ascii="Carlito"/>
                              <w:sz w:val="16"/>
                            </w:rPr>
                            <w:instrText xml:space="preserve"> PAGE </w:instrText>
                          </w:r>
                          <w:r>
                            <w:fldChar w:fldCharType="separate"/>
                          </w:r>
                          <w:r w:rsidR="00573AC0">
                            <w:rPr>
                              <w:rFonts w:ascii="Carlito"/>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4.8pt;margin-top:781.15pt;width:10.1pt;height:10.05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3IK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" filled="f" stroked="f">
              <v:textbox inset="0,0,0,0">
                <w:txbxContent>
                  <w:p w:rsidR="002F10C0" w:rsidRDefault="00507732">
                    <w:pPr>
                      <w:spacing w:line="184" w:lineRule="exact"/>
                      <w:ind w:left="60"/>
                      <w:rPr>
                        <w:rFonts w:ascii="Carlito"/>
                        <w:sz w:val="16"/>
                      </w:rPr>
                    </w:pPr>
                    <w:r>
                      <w:fldChar w:fldCharType="begin"/>
                    </w:r>
                    <w:r>
                      <w:rPr>
                        <w:rFonts w:ascii="Carlito"/>
                        <w:sz w:val="16"/>
                      </w:rPr>
                      <w:instrText xml:space="preserve"> PAGE </w:instrText>
                    </w:r>
                    <w:r>
                      <w:fldChar w:fldCharType="separate"/>
                    </w:r>
                    <w:r w:rsidR="00573AC0">
                      <w:rPr>
                        <w:rFonts w:ascii="Carlito"/>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932" w:rsidRDefault="00422932">
      <w:r>
        <w:separator/>
      </w:r>
    </w:p>
  </w:footnote>
  <w:footnote w:type="continuationSeparator" w:id="0">
    <w:p w:rsidR="00422932" w:rsidRDefault="00422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C6940"/>
    <w:multiLevelType w:val="hybridMultilevel"/>
    <w:tmpl w:val="05945516"/>
    <w:lvl w:ilvl="0" w:tplc="A6C44032">
      <w:numFmt w:val="bullet"/>
      <w:lvlText w:val="-"/>
      <w:lvlJc w:val="left"/>
      <w:pPr>
        <w:ind w:left="110" w:hanging="137"/>
      </w:pPr>
      <w:rPr>
        <w:rFonts w:ascii="Arial" w:eastAsia="Arial" w:hAnsi="Arial" w:cs="Arial" w:hint="default"/>
        <w:w w:val="100"/>
        <w:sz w:val="22"/>
        <w:szCs w:val="22"/>
        <w:lang w:val="fr-FR" w:eastAsia="en-US" w:bidi="ar-SA"/>
      </w:rPr>
    </w:lvl>
    <w:lvl w:ilvl="1" w:tplc="0AA493F8">
      <w:numFmt w:val="bullet"/>
      <w:lvlText w:val="•"/>
      <w:lvlJc w:val="left"/>
      <w:pPr>
        <w:ind w:left="567" w:hanging="137"/>
      </w:pPr>
      <w:rPr>
        <w:rFonts w:hint="default"/>
        <w:lang w:val="fr-FR" w:eastAsia="en-US" w:bidi="ar-SA"/>
      </w:rPr>
    </w:lvl>
    <w:lvl w:ilvl="2" w:tplc="F3C0D4D0">
      <w:numFmt w:val="bullet"/>
      <w:lvlText w:val="•"/>
      <w:lvlJc w:val="left"/>
      <w:pPr>
        <w:ind w:left="1015" w:hanging="137"/>
      </w:pPr>
      <w:rPr>
        <w:rFonts w:hint="default"/>
        <w:lang w:val="fr-FR" w:eastAsia="en-US" w:bidi="ar-SA"/>
      </w:rPr>
    </w:lvl>
    <w:lvl w:ilvl="3" w:tplc="A71A2FB0">
      <w:numFmt w:val="bullet"/>
      <w:lvlText w:val="•"/>
      <w:lvlJc w:val="left"/>
      <w:pPr>
        <w:ind w:left="1462" w:hanging="137"/>
      </w:pPr>
      <w:rPr>
        <w:rFonts w:hint="default"/>
        <w:lang w:val="fr-FR" w:eastAsia="en-US" w:bidi="ar-SA"/>
      </w:rPr>
    </w:lvl>
    <w:lvl w:ilvl="4" w:tplc="E73CB02C">
      <w:numFmt w:val="bullet"/>
      <w:lvlText w:val="•"/>
      <w:lvlJc w:val="left"/>
      <w:pPr>
        <w:ind w:left="1910" w:hanging="137"/>
      </w:pPr>
      <w:rPr>
        <w:rFonts w:hint="default"/>
        <w:lang w:val="fr-FR" w:eastAsia="en-US" w:bidi="ar-SA"/>
      </w:rPr>
    </w:lvl>
    <w:lvl w:ilvl="5" w:tplc="06AA2872">
      <w:numFmt w:val="bullet"/>
      <w:lvlText w:val="•"/>
      <w:lvlJc w:val="left"/>
      <w:pPr>
        <w:ind w:left="2358" w:hanging="137"/>
      </w:pPr>
      <w:rPr>
        <w:rFonts w:hint="default"/>
        <w:lang w:val="fr-FR" w:eastAsia="en-US" w:bidi="ar-SA"/>
      </w:rPr>
    </w:lvl>
    <w:lvl w:ilvl="6" w:tplc="F526549C">
      <w:numFmt w:val="bullet"/>
      <w:lvlText w:val="•"/>
      <w:lvlJc w:val="left"/>
      <w:pPr>
        <w:ind w:left="2805" w:hanging="137"/>
      </w:pPr>
      <w:rPr>
        <w:rFonts w:hint="default"/>
        <w:lang w:val="fr-FR" w:eastAsia="en-US" w:bidi="ar-SA"/>
      </w:rPr>
    </w:lvl>
    <w:lvl w:ilvl="7" w:tplc="4372C8FA">
      <w:numFmt w:val="bullet"/>
      <w:lvlText w:val="•"/>
      <w:lvlJc w:val="left"/>
      <w:pPr>
        <w:ind w:left="3253" w:hanging="137"/>
      </w:pPr>
      <w:rPr>
        <w:rFonts w:hint="default"/>
        <w:lang w:val="fr-FR" w:eastAsia="en-US" w:bidi="ar-SA"/>
      </w:rPr>
    </w:lvl>
    <w:lvl w:ilvl="8" w:tplc="D88E783C">
      <w:numFmt w:val="bullet"/>
      <w:lvlText w:val="•"/>
      <w:lvlJc w:val="left"/>
      <w:pPr>
        <w:ind w:left="3700" w:hanging="137"/>
      </w:pPr>
      <w:rPr>
        <w:rFonts w:hint="default"/>
        <w:lang w:val="fr-FR" w:eastAsia="en-US" w:bidi="ar-SA"/>
      </w:rPr>
    </w:lvl>
  </w:abstractNum>
  <w:abstractNum w:abstractNumId="1">
    <w:nsid w:val="7E27603B"/>
    <w:multiLevelType w:val="hybridMultilevel"/>
    <w:tmpl w:val="1EFE776A"/>
    <w:lvl w:ilvl="0" w:tplc="A84AD366">
      <w:start w:val="1"/>
      <w:numFmt w:val="lowerLetter"/>
      <w:lvlText w:val="%1)"/>
      <w:lvlJc w:val="left"/>
      <w:pPr>
        <w:ind w:left="470" w:hanging="361"/>
      </w:pPr>
      <w:rPr>
        <w:rFonts w:ascii="Arial" w:eastAsia="Arial" w:hAnsi="Arial" w:cs="Arial" w:hint="default"/>
        <w:spacing w:val="-1"/>
        <w:w w:val="100"/>
        <w:sz w:val="22"/>
        <w:szCs w:val="22"/>
        <w:lang w:val="fr-FR" w:eastAsia="en-US" w:bidi="ar-SA"/>
      </w:rPr>
    </w:lvl>
    <w:lvl w:ilvl="1" w:tplc="6F7C4520">
      <w:numFmt w:val="bullet"/>
      <w:lvlText w:val="•"/>
      <w:lvlJc w:val="left"/>
      <w:pPr>
        <w:ind w:left="891" w:hanging="361"/>
      </w:pPr>
      <w:rPr>
        <w:rFonts w:hint="default"/>
        <w:lang w:val="fr-FR" w:eastAsia="en-US" w:bidi="ar-SA"/>
      </w:rPr>
    </w:lvl>
    <w:lvl w:ilvl="2" w:tplc="3C76C89E">
      <w:numFmt w:val="bullet"/>
      <w:lvlText w:val="•"/>
      <w:lvlJc w:val="left"/>
      <w:pPr>
        <w:ind w:left="1303" w:hanging="361"/>
      </w:pPr>
      <w:rPr>
        <w:rFonts w:hint="default"/>
        <w:lang w:val="fr-FR" w:eastAsia="en-US" w:bidi="ar-SA"/>
      </w:rPr>
    </w:lvl>
    <w:lvl w:ilvl="3" w:tplc="03787E7E">
      <w:numFmt w:val="bullet"/>
      <w:lvlText w:val="•"/>
      <w:lvlJc w:val="left"/>
      <w:pPr>
        <w:ind w:left="1714" w:hanging="361"/>
      </w:pPr>
      <w:rPr>
        <w:rFonts w:hint="default"/>
        <w:lang w:val="fr-FR" w:eastAsia="en-US" w:bidi="ar-SA"/>
      </w:rPr>
    </w:lvl>
    <w:lvl w:ilvl="4" w:tplc="05A8652A">
      <w:numFmt w:val="bullet"/>
      <w:lvlText w:val="•"/>
      <w:lvlJc w:val="left"/>
      <w:pPr>
        <w:ind w:left="2126" w:hanging="361"/>
      </w:pPr>
      <w:rPr>
        <w:rFonts w:hint="default"/>
        <w:lang w:val="fr-FR" w:eastAsia="en-US" w:bidi="ar-SA"/>
      </w:rPr>
    </w:lvl>
    <w:lvl w:ilvl="5" w:tplc="855462A4">
      <w:numFmt w:val="bullet"/>
      <w:lvlText w:val="•"/>
      <w:lvlJc w:val="left"/>
      <w:pPr>
        <w:ind w:left="2538" w:hanging="361"/>
      </w:pPr>
      <w:rPr>
        <w:rFonts w:hint="default"/>
        <w:lang w:val="fr-FR" w:eastAsia="en-US" w:bidi="ar-SA"/>
      </w:rPr>
    </w:lvl>
    <w:lvl w:ilvl="6" w:tplc="C018EDF6">
      <w:numFmt w:val="bullet"/>
      <w:lvlText w:val="•"/>
      <w:lvlJc w:val="left"/>
      <w:pPr>
        <w:ind w:left="2949" w:hanging="361"/>
      </w:pPr>
      <w:rPr>
        <w:rFonts w:hint="default"/>
        <w:lang w:val="fr-FR" w:eastAsia="en-US" w:bidi="ar-SA"/>
      </w:rPr>
    </w:lvl>
    <w:lvl w:ilvl="7" w:tplc="ACE2EA94">
      <w:numFmt w:val="bullet"/>
      <w:lvlText w:val="•"/>
      <w:lvlJc w:val="left"/>
      <w:pPr>
        <w:ind w:left="3361" w:hanging="361"/>
      </w:pPr>
      <w:rPr>
        <w:rFonts w:hint="default"/>
        <w:lang w:val="fr-FR" w:eastAsia="en-US" w:bidi="ar-SA"/>
      </w:rPr>
    </w:lvl>
    <w:lvl w:ilvl="8" w:tplc="BDB4512C">
      <w:numFmt w:val="bullet"/>
      <w:lvlText w:val="•"/>
      <w:lvlJc w:val="left"/>
      <w:pPr>
        <w:ind w:left="3772" w:hanging="361"/>
      </w:pPr>
      <w:rPr>
        <w:rFonts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C0"/>
    <w:rsid w:val="00047889"/>
    <w:rsid w:val="000A61E9"/>
    <w:rsid w:val="002F10C0"/>
    <w:rsid w:val="002F338E"/>
    <w:rsid w:val="003B1906"/>
    <w:rsid w:val="00422932"/>
    <w:rsid w:val="00507732"/>
    <w:rsid w:val="00573AC0"/>
    <w:rsid w:val="007B683A"/>
    <w:rsid w:val="00817340"/>
    <w:rsid w:val="008270D4"/>
    <w:rsid w:val="009B259F"/>
    <w:rsid w:val="00B35479"/>
    <w:rsid w:val="00C62A19"/>
    <w:rsid w:val="00D6517C"/>
    <w:rsid w:val="00E0635E"/>
    <w:rsid w:val="00F267B2"/>
    <w:rsid w:val="00F71A96"/>
    <w:rsid w:val="00FD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775DC1-AEB3-488E-908A-1E8A84D4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rPr>
  </w:style>
  <w:style w:type="paragraph" w:styleId="Titre">
    <w:name w:val="Title"/>
    <w:basedOn w:val="Normal"/>
    <w:uiPriority w:val="1"/>
    <w:qFormat/>
    <w:pPr>
      <w:spacing w:before="91"/>
      <w:ind w:left="814" w:right="693"/>
      <w:jc w:val="center"/>
    </w:pPr>
    <w:rPr>
      <w:b/>
      <w:bCs/>
      <w:i/>
      <w:sz w:val="28"/>
      <w:szCs w:val="28"/>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10"/>
      <w:jc w:val="both"/>
    </w:pPr>
  </w:style>
  <w:style w:type="character" w:styleId="Lienhypertexte">
    <w:name w:val="Hyperlink"/>
    <w:basedOn w:val="Policepardfaut"/>
    <w:uiPriority w:val="99"/>
    <w:unhideWhenUsed/>
    <w:rsid w:val="00817340"/>
    <w:rPr>
      <w:color w:val="0000FF" w:themeColor="hyperlink"/>
      <w:u w:val="single"/>
    </w:rPr>
  </w:style>
  <w:style w:type="paragraph" w:styleId="Sansinterligne">
    <w:name w:val="No Spacing"/>
    <w:link w:val="SansinterligneCar"/>
    <w:uiPriority w:val="1"/>
    <w:qFormat/>
    <w:rsid w:val="00573AC0"/>
    <w:pPr>
      <w:widowControl/>
      <w:autoSpaceDE/>
      <w:autoSpaceDN/>
    </w:pPr>
    <w:rPr>
      <w:lang w:val="fr-FR"/>
    </w:rPr>
  </w:style>
  <w:style w:type="character" w:customStyle="1" w:styleId="SansinterligneCar">
    <w:name w:val="Sans interligne Car"/>
    <w:basedOn w:val="Policepardfaut"/>
    <w:link w:val="Sansinterligne"/>
    <w:uiPriority w:val="1"/>
    <w:locked/>
    <w:rsid w:val="00573AC0"/>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uattaradgmg@gmail.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576F5E8-0EBC-4096-AA3C-53AC8CF6A97B}"/>
</file>

<file path=customXml/itemProps2.xml><?xml version="1.0" encoding="utf-8"?>
<ds:datastoreItem xmlns:ds="http://schemas.openxmlformats.org/officeDocument/2006/customXml" ds:itemID="{C89E3C7C-0002-41A6-B32A-C6CF6C4193E5}"/>
</file>

<file path=customXml/itemProps3.xml><?xml version="1.0" encoding="utf-8"?>
<ds:datastoreItem xmlns:ds="http://schemas.openxmlformats.org/officeDocument/2006/customXml" ds:itemID="{2CEF5C50-C3F8-4770-8EB6-E515905947B5}"/>
</file>

<file path=docProps/app.xml><?xml version="1.0" encoding="utf-8"?>
<Properties xmlns="http://schemas.openxmlformats.org/officeDocument/2006/extended-properties" xmlns:vt="http://schemas.openxmlformats.org/officeDocument/2006/docPropsVTypes">
  <Template>Normal</Template>
  <TotalTime>60</TotalTime>
  <Pages>5</Pages>
  <Words>1416</Words>
  <Characters>8074</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ZOURA</dc:creator>
  <cp:lastModifiedBy>Mr OUATTARA</cp:lastModifiedBy>
  <cp:revision>16</cp:revision>
  <dcterms:created xsi:type="dcterms:W3CDTF">2022-03-08T14:40:00Z</dcterms:created>
  <dcterms:modified xsi:type="dcterms:W3CDTF">2022-03-08T15:42:00Z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2010</vt:lpwstr>
  </property>
  <property fmtid="{D5CDD505-2E9C-101B-9397-08002B2CF9AE}" pid="4" name="LastSaved">
    <vt:filetime>2022-03-08T00:00:00Z</vt:filetime>
  </property>
  <property fmtid="{D5CDD505-2E9C-101B-9397-08002B2CF9AE}" pid="5" name="ContentTypeId">
    <vt:lpwstr>0x0101000BC99D48648DAA49B7B0BE8195B404DB</vt:lpwstr>
  </property>
</Properties>
</file>