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8FB61" w14:textId="65E418E6" w:rsidR="005A538F" w:rsidRDefault="005A538F" w:rsidP="005A538F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DEFENSORÍA DEL PUEBLO DE LA NACIÓN</w:t>
      </w:r>
    </w:p>
    <w:p w14:paraId="7A9C1142" w14:textId="5A10BB7F" w:rsidR="005A538F" w:rsidRDefault="005A538F" w:rsidP="005A538F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REPÚBLICA ARGENTINA</w:t>
      </w:r>
    </w:p>
    <w:p w14:paraId="4EF5D52C" w14:textId="7B824A75" w:rsidR="005A538F" w:rsidRDefault="005A538F" w:rsidP="005A538F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INSTITUCIÓN NACIONAL DE DERECHOS HUMANOS</w:t>
      </w:r>
    </w:p>
    <w:p w14:paraId="187E11C6" w14:textId="77777777" w:rsidR="005A538F" w:rsidRDefault="005A538F" w:rsidP="005A538F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4C9897A" w14:textId="3890724F" w:rsidR="00DF7E12" w:rsidRPr="00EA4978" w:rsidRDefault="00DF7E12" w:rsidP="005A538F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EA4978">
        <w:rPr>
          <w:rFonts w:ascii="Arial" w:hAnsi="Arial" w:cs="Arial"/>
          <w:b/>
          <w:bCs/>
          <w:sz w:val="24"/>
          <w:szCs w:val="24"/>
          <w:lang w:val="es-MX"/>
        </w:rPr>
        <w:t xml:space="preserve">Mercurio, la minería </w:t>
      </w:r>
      <w:r w:rsidR="007D3861" w:rsidRPr="00EA4978">
        <w:rPr>
          <w:rFonts w:ascii="Arial" w:hAnsi="Arial" w:cs="Arial"/>
          <w:b/>
          <w:bCs/>
          <w:sz w:val="24"/>
          <w:szCs w:val="24"/>
          <w:lang w:val="es-MX"/>
        </w:rPr>
        <w:t>aurífera</w:t>
      </w:r>
      <w:r w:rsidRPr="00EA4978">
        <w:rPr>
          <w:rFonts w:ascii="Arial" w:hAnsi="Arial" w:cs="Arial"/>
          <w:b/>
          <w:bCs/>
          <w:sz w:val="24"/>
          <w:szCs w:val="24"/>
          <w:lang w:val="es-MX"/>
        </w:rPr>
        <w:t xml:space="preserve"> artesanal </w:t>
      </w:r>
      <w:r w:rsidR="007D3861" w:rsidRPr="00EA4978">
        <w:rPr>
          <w:rFonts w:ascii="Arial" w:hAnsi="Arial" w:cs="Arial"/>
          <w:b/>
          <w:bCs/>
          <w:sz w:val="24"/>
          <w:szCs w:val="24"/>
          <w:lang w:val="es-MX"/>
        </w:rPr>
        <w:t>y a pequeña escala y los derechos humanos</w:t>
      </w:r>
    </w:p>
    <w:p w14:paraId="61E225D9" w14:textId="77777777" w:rsidR="00DF7E12" w:rsidRDefault="00DF7E12" w:rsidP="006D063F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B628F27" w14:textId="12ABBF9A" w:rsidR="007E2215" w:rsidRDefault="00980261" w:rsidP="006D063F">
      <w:pPr>
        <w:jc w:val="both"/>
        <w:rPr>
          <w:rFonts w:ascii="Arial" w:hAnsi="Arial" w:cs="Arial"/>
          <w:sz w:val="24"/>
          <w:szCs w:val="24"/>
          <w:lang w:val="es-MX"/>
        </w:rPr>
      </w:pPr>
      <w:r w:rsidRPr="006D063F">
        <w:rPr>
          <w:rFonts w:ascii="Arial" w:hAnsi="Arial" w:cs="Arial"/>
          <w:sz w:val="24"/>
          <w:szCs w:val="24"/>
          <w:lang w:val="es-MX"/>
        </w:rPr>
        <w:t xml:space="preserve">1. </w:t>
      </w:r>
      <w:r w:rsidR="006E4A9D">
        <w:rPr>
          <w:rFonts w:ascii="Arial" w:hAnsi="Arial" w:cs="Arial"/>
          <w:sz w:val="24"/>
          <w:szCs w:val="24"/>
          <w:lang w:val="es-MX"/>
        </w:rPr>
        <w:t>La importación y exportación de mercurio elemental, sus mezclas y/o compuestos no se encuentra prohibida en la República Argentina</w:t>
      </w:r>
      <w:r w:rsidR="00ED4F63">
        <w:rPr>
          <w:rFonts w:ascii="Arial" w:hAnsi="Arial" w:cs="Arial"/>
          <w:sz w:val="24"/>
          <w:szCs w:val="24"/>
          <w:lang w:val="es-MX"/>
        </w:rPr>
        <w:t xml:space="preserve">; no obstante ello, a fin de obtener las correspondientes autorizaciones tanto de importación como de exportación, se deberá cumplir con un procedimiento administrativo que se encuentra detallado en </w:t>
      </w:r>
      <w:r w:rsidR="007E2215">
        <w:rPr>
          <w:rFonts w:ascii="Arial" w:hAnsi="Arial" w:cs="Arial"/>
          <w:sz w:val="24"/>
          <w:szCs w:val="24"/>
          <w:lang w:val="es-MX"/>
        </w:rPr>
        <w:t>el Anexo V de la</w:t>
      </w:r>
      <w:r w:rsidR="00ED4F63">
        <w:rPr>
          <w:rFonts w:ascii="Arial" w:hAnsi="Arial" w:cs="Arial"/>
          <w:sz w:val="24"/>
          <w:szCs w:val="24"/>
          <w:lang w:val="es-MX"/>
        </w:rPr>
        <w:t xml:space="preserve"> </w:t>
      </w:r>
      <w:r w:rsidR="006E4A9D">
        <w:rPr>
          <w:rFonts w:ascii="Arial" w:hAnsi="Arial" w:cs="Arial"/>
          <w:sz w:val="24"/>
          <w:szCs w:val="24"/>
          <w:lang w:val="es-MX"/>
        </w:rPr>
        <w:t>Resolución N° 299/21</w:t>
      </w:r>
      <w:r w:rsidR="00290D79">
        <w:rPr>
          <w:rStyle w:val="Refdenotaalpie"/>
          <w:rFonts w:ascii="Arial" w:hAnsi="Arial" w:cs="Arial"/>
          <w:sz w:val="24"/>
          <w:szCs w:val="24"/>
          <w:lang w:val="es-MX"/>
        </w:rPr>
        <w:footnoteReference w:id="1"/>
      </w:r>
      <w:r w:rsidR="002118E2">
        <w:rPr>
          <w:rFonts w:ascii="Arial" w:hAnsi="Arial" w:cs="Arial"/>
          <w:sz w:val="24"/>
          <w:szCs w:val="24"/>
          <w:lang w:val="es-MX"/>
        </w:rPr>
        <w:t xml:space="preserve"> (Resolución)</w:t>
      </w:r>
      <w:r w:rsidR="007E2215">
        <w:rPr>
          <w:rFonts w:ascii="Arial" w:hAnsi="Arial" w:cs="Arial"/>
          <w:sz w:val="24"/>
          <w:szCs w:val="24"/>
          <w:lang w:val="es-MX"/>
        </w:rPr>
        <w:t xml:space="preserve"> </w:t>
      </w:r>
      <w:proofErr w:type="gramStart"/>
      <w:r w:rsidR="007E2215">
        <w:rPr>
          <w:rFonts w:ascii="Arial" w:hAnsi="Arial" w:cs="Arial"/>
          <w:sz w:val="24"/>
          <w:szCs w:val="24"/>
          <w:lang w:val="es-MX"/>
        </w:rPr>
        <w:t>del  Ministerio</w:t>
      </w:r>
      <w:proofErr w:type="gramEnd"/>
      <w:r w:rsidR="007E2215">
        <w:rPr>
          <w:rFonts w:ascii="Arial" w:hAnsi="Arial" w:cs="Arial"/>
          <w:sz w:val="24"/>
          <w:szCs w:val="24"/>
          <w:lang w:val="es-MX"/>
        </w:rPr>
        <w:t xml:space="preserve"> de Ambiente y Desarrollo Sustentable de la Nación (MAyDS). En e</w:t>
      </w:r>
      <w:r w:rsidR="00C518E8">
        <w:rPr>
          <w:rFonts w:ascii="Arial" w:hAnsi="Arial" w:cs="Arial"/>
          <w:sz w:val="24"/>
          <w:szCs w:val="24"/>
          <w:lang w:val="es-MX"/>
        </w:rPr>
        <w:t xml:space="preserve">l caso del mercurio elemental, </w:t>
      </w:r>
      <w:r w:rsidR="007E2215">
        <w:rPr>
          <w:rFonts w:ascii="Arial" w:hAnsi="Arial" w:cs="Arial"/>
          <w:sz w:val="24"/>
          <w:szCs w:val="24"/>
          <w:lang w:val="es-MX"/>
        </w:rPr>
        <w:t>previo</w:t>
      </w:r>
      <w:r w:rsidR="007E2215" w:rsidRPr="007E2215">
        <w:rPr>
          <w:rFonts w:ascii="Arial" w:hAnsi="Arial" w:cs="Arial"/>
          <w:sz w:val="24"/>
          <w:szCs w:val="24"/>
          <w:lang w:val="es-MX"/>
        </w:rPr>
        <w:t xml:space="preserve"> a la obtención de autorización de importación y exportación de mercurio elemental, será exigible la tramitación del Consentimiento Fundamentado Previo</w:t>
      </w:r>
      <w:r w:rsidR="007E2215">
        <w:rPr>
          <w:rFonts w:ascii="Arial" w:hAnsi="Arial" w:cs="Arial"/>
          <w:sz w:val="24"/>
          <w:szCs w:val="24"/>
          <w:lang w:val="es-MX"/>
        </w:rPr>
        <w:t>.</w:t>
      </w:r>
    </w:p>
    <w:p w14:paraId="2F1A85B0" w14:textId="77777777" w:rsidR="00EF4EF5" w:rsidRPr="006D063F" w:rsidRDefault="006E4A9D" w:rsidP="006D063F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Ahora bien, esta misma resolución establece </w:t>
      </w:r>
      <w:r w:rsidR="00ED4F63">
        <w:rPr>
          <w:rFonts w:ascii="Arial" w:hAnsi="Arial" w:cs="Arial"/>
          <w:sz w:val="24"/>
          <w:szCs w:val="24"/>
          <w:lang w:val="es-MX"/>
        </w:rPr>
        <w:t xml:space="preserve">que </w:t>
      </w:r>
      <w:r w:rsidR="006D063F" w:rsidRPr="006D063F">
        <w:rPr>
          <w:rFonts w:ascii="Arial" w:hAnsi="Arial" w:cs="Arial"/>
          <w:sz w:val="24"/>
          <w:szCs w:val="24"/>
          <w:lang w:val="es-MX"/>
        </w:rPr>
        <w:t>no serán autorizadas las importaciones de mercurio elemental, sus mezclas y/o compuestos en los siguientes casos:</w:t>
      </w:r>
    </w:p>
    <w:p w14:paraId="27878575" w14:textId="77777777" w:rsidR="006D063F" w:rsidRPr="006D063F" w:rsidRDefault="006D063F" w:rsidP="006D063F">
      <w:pPr>
        <w:jc w:val="both"/>
        <w:rPr>
          <w:rFonts w:ascii="Arial" w:hAnsi="Arial" w:cs="Arial"/>
          <w:sz w:val="24"/>
          <w:szCs w:val="24"/>
          <w:lang w:val="es-MX"/>
        </w:rPr>
      </w:pPr>
      <w:r w:rsidRPr="006D063F">
        <w:rPr>
          <w:rFonts w:ascii="Arial" w:hAnsi="Arial" w:cs="Arial"/>
          <w:sz w:val="24"/>
          <w:szCs w:val="24"/>
          <w:lang w:val="es-MX"/>
        </w:rPr>
        <w:t>a. Si dicho mercurio proviene del desmantelamiento de una planta de cloro álcali.</w:t>
      </w:r>
    </w:p>
    <w:p w14:paraId="1517AF26" w14:textId="77777777" w:rsidR="006D063F" w:rsidRPr="006D063F" w:rsidRDefault="006D063F" w:rsidP="006D063F">
      <w:pPr>
        <w:jc w:val="both"/>
        <w:rPr>
          <w:rFonts w:ascii="Arial" w:hAnsi="Arial" w:cs="Arial"/>
          <w:sz w:val="24"/>
          <w:szCs w:val="24"/>
          <w:lang w:val="es-MX"/>
        </w:rPr>
      </w:pPr>
      <w:r w:rsidRPr="006D063F">
        <w:rPr>
          <w:rFonts w:ascii="Arial" w:hAnsi="Arial" w:cs="Arial"/>
          <w:sz w:val="24"/>
          <w:szCs w:val="24"/>
          <w:lang w:val="es-MX"/>
        </w:rPr>
        <w:t>b. Si el mercurio elemental, sus mezclas y/o compuestos tiene por fin ser utilizado en las actividades de extracción por amalgamación y procesamiento de oro en pequeña y gran escala y en extracción de oro artesanal.</w:t>
      </w:r>
    </w:p>
    <w:p w14:paraId="48A70FE2" w14:textId="77777777" w:rsidR="006D063F" w:rsidRDefault="006D063F" w:rsidP="000129D7">
      <w:pPr>
        <w:jc w:val="both"/>
        <w:rPr>
          <w:rFonts w:ascii="Arial" w:hAnsi="Arial" w:cs="Arial"/>
          <w:sz w:val="24"/>
          <w:szCs w:val="24"/>
          <w:lang w:val="es-MX"/>
        </w:rPr>
      </w:pPr>
      <w:r w:rsidRPr="006D063F">
        <w:rPr>
          <w:rFonts w:ascii="Arial" w:hAnsi="Arial" w:cs="Arial"/>
          <w:sz w:val="24"/>
          <w:szCs w:val="24"/>
          <w:lang w:val="es-MX"/>
        </w:rPr>
        <w:t xml:space="preserve">c. Si el mercurio elemental, sus mezclas y/o compuestos tiene por fin ser utilizados como insumo o materia prima en algún proceso que se encuentren </w:t>
      </w:r>
      <w:r>
        <w:rPr>
          <w:rFonts w:ascii="Arial" w:hAnsi="Arial" w:cs="Arial"/>
          <w:sz w:val="24"/>
          <w:szCs w:val="24"/>
          <w:lang w:val="es-MX"/>
        </w:rPr>
        <w:t xml:space="preserve">prohibidos </w:t>
      </w:r>
      <w:r w:rsidR="000129D7">
        <w:rPr>
          <w:rFonts w:ascii="Arial" w:hAnsi="Arial" w:cs="Arial"/>
          <w:sz w:val="24"/>
          <w:szCs w:val="24"/>
          <w:lang w:val="es-MX"/>
        </w:rPr>
        <w:t>de acuerdo a los artículos 3</w:t>
      </w:r>
      <w:r w:rsidR="000129D7" w:rsidRPr="000129D7">
        <w:rPr>
          <w:rFonts w:ascii="Arial" w:hAnsi="Arial" w:cs="Arial"/>
          <w:sz w:val="24"/>
          <w:szCs w:val="24"/>
          <w:vertAlign w:val="superscript"/>
          <w:lang w:val="es-MX"/>
        </w:rPr>
        <w:footnoteReference w:id="2"/>
      </w:r>
      <w:r w:rsidR="000129D7">
        <w:rPr>
          <w:rFonts w:ascii="Arial" w:hAnsi="Arial" w:cs="Arial"/>
          <w:sz w:val="24"/>
          <w:szCs w:val="24"/>
          <w:lang w:val="es-MX"/>
        </w:rPr>
        <w:t xml:space="preserve"> y 4</w:t>
      </w:r>
      <w:r w:rsidR="004238B2">
        <w:rPr>
          <w:rStyle w:val="Refdenotaalpie"/>
          <w:rFonts w:ascii="Arial" w:hAnsi="Arial" w:cs="Arial"/>
          <w:sz w:val="24"/>
          <w:szCs w:val="24"/>
          <w:lang w:val="es-MX"/>
        </w:rPr>
        <w:footnoteReference w:id="3"/>
      </w:r>
      <w:r w:rsidR="000129D7">
        <w:rPr>
          <w:rFonts w:ascii="Arial" w:hAnsi="Arial" w:cs="Arial"/>
          <w:sz w:val="24"/>
          <w:szCs w:val="24"/>
          <w:lang w:val="es-MX"/>
        </w:rPr>
        <w:t xml:space="preserve"> de la citada resolución.</w:t>
      </w:r>
    </w:p>
    <w:p w14:paraId="4C192B17" w14:textId="77777777" w:rsidR="004B5172" w:rsidRDefault="004B5172" w:rsidP="000129D7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 xml:space="preserve">2. La República Argentina no ha prohibido el uso de mercurio en la MAPE.Cabe destacar que la extracción de oro artesanal es </w:t>
      </w:r>
      <w:r w:rsidR="009827E5">
        <w:rPr>
          <w:rFonts w:ascii="Arial" w:hAnsi="Arial" w:cs="Arial"/>
          <w:sz w:val="24"/>
          <w:szCs w:val="24"/>
          <w:lang w:val="es-MX"/>
        </w:rPr>
        <w:t>insignificante</w:t>
      </w:r>
      <w:r>
        <w:rPr>
          <w:rFonts w:ascii="Arial" w:hAnsi="Arial" w:cs="Arial"/>
          <w:sz w:val="24"/>
          <w:szCs w:val="24"/>
          <w:lang w:val="es-MX"/>
        </w:rPr>
        <w:t xml:space="preserve"> y por tanto no se constituye en una fuente relevante de emisiones de mercurio</w:t>
      </w:r>
      <w:r w:rsidR="009827E5">
        <w:rPr>
          <w:rStyle w:val="Refdenotaalpie"/>
          <w:rFonts w:ascii="Arial" w:hAnsi="Arial" w:cs="Arial"/>
          <w:sz w:val="24"/>
          <w:szCs w:val="24"/>
          <w:lang w:val="es-MX"/>
        </w:rPr>
        <w:footnoteReference w:id="4"/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7C96F0F6" w14:textId="77777777" w:rsidR="00FF66B0" w:rsidRDefault="00006878" w:rsidP="000129D7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5.</w:t>
      </w:r>
      <w:r w:rsidR="00FF6299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La</w:t>
      </w:r>
      <w:r w:rsidR="009F2070">
        <w:rPr>
          <w:rFonts w:ascii="Arial" w:hAnsi="Arial" w:cs="Arial"/>
          <w:sz w:val="24"/>
          <w:szCs w:val="24"/>
          <w:lang w:val="es-MX"/>
        </w:rPr>
        <w:t xml:space="preserve"> importación y exportación</w:t>
      </w:r>
      <w:r>
        <w:rPr>
          <w:rFonts w:ascii="Arial" w:hAnsi="Arial" w:cs="Arial"/>
          <w:sz w:val="24"/>
          <w:szCs w:val="24"/>
          <w:lang w:val="es-MX"/>
        </w:rPr>
        <w:t xml:space="preserve"> de mercurio elemental, sus mezclas y/o compuestos deben ser autorizadas por la Dirección Nacional de Sustancias y Productos Químico</w:t>
      </w:r>
      <w:r w:rsidR="002118E2">
        <w:rPr>
          <w:rFonts w:ascii="Arial" w:hAnsi="Arial" w:cs="Arial"/>
          <w:sz w:val="24"/>
          <w:szCs w:val="24"/>
          <w:lang w:val="es-MX"/>
        </w:rPr>
        <w:t>s</w:t>
      </w:r>
      <w:r>
        <w:rPr>
          <w:rFonts w:ascii="Arial" w:hAnsi="Arial" w:cs="Arial"/>
          <w:sz w:val="24"/>
          <w:szCs w:val="24"/>
          <w:lang w:val="es-MX"/>
        </w:rPr>
        <w:t xml:space="preserve"> de la Secretaría de Control y Monitoreo Ambiental</w:t>
      </w:r>
      <w:r w:rsidR="009F2070">
        <w:rPr>
          <w:rFonts w:ascii="Arial" w:hAnsi="Arial" w:cs="Arial"/>
          <w:sz w:val="24"/>
          <w:szCs w:val="24"/>
          <w:lang w:val="es-MX"/>
        </w:rPr>
        <w:t>. El Anexos V</w:t>
      </w:r>
      <w:r w:rsidR="002118E2">
        <w:rPr>
          <w:rFonts w:ascii="Arial" w:hAnsi="Arial" w:cs="Arial"/>
          <w:sz w:val="24"/>
          <w:szCs w:val="24"/>
          <w:lang w:val="es-MX"/>
        </w:rPr>
        <w:t xml:space="preserve"> de la Resolució</w:t>
      </w:r>
      <w:r w:rsidR="009F2070">
        <w:rPr>
          <w:rFonts w:ascii="Arial" w:hAnsi="Arial" w:cs="Arial"/>
          <w:sz w:val="24"/>
          <w:szCs w:val="24"/>
          <w:lang w:val="es-MX"/>
        </w:rPr>
        <w:t xml:space="preserve">n detalla el procedimiento y la documentación que se deberá presentar para obtener la correspondiente autorización. </w:t>
      </w:r>
      <w:r w:rsidR="00FF66B0">
        <w:rPr>
          <w:rFonts w:ascii="Arial" w:hAnsi="Arial" w:cs="Arial"/>
          <w:sz w:val="24"/>
          <w:szCs w:val="24"/>
          <w:lang w:val="es-MX"/>
        </w:rPr>
        <w:t>La documentación que se solicita tiene como objetivo garantizar que el mercurio cuya importación se solicita sea empleado para su finalidad declarada</w:t>
      </w:r>
      <w:r w:rsidR="00FF66B0">
        <w:rPr>
          <w:rStyle w:val="Refdenotaalpie"/>
          <w:rFonts w:ascii="Arial" w:hAnsi="Arial" w:cs="Arial"/>
          <w:sz w:val="24"/>
          <w:szCs w:val="24"/>
          <w:lang w:val="es-MX"/>
        </w:rPr>
        <w:footnoteReference w:id="5"/>
      </w:r>
      <w:r w:rsidR="00FF66B0">
        <w:rPr>
          <w:rFonts w:ascii="Arial" w:hAnsi="Arial" w:cs="Arial"/>
          <w:sz w:val="24"/>
          <w:szCs w:val="24"/>
          <w:lang w:val="es-MX"/>
        </w:rPr>
        <w:t>.</w:t>
      </w:r>
    </w:p>
    <w:p w14:paraId="45A704E1" w14:textId="77777777" w:rsidR="006D063F" w:rsidRPr="00DF411C" w:rsidRDefault="00FF6299" w:rsidP="00DF411C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13. </w:t>
      </w:r>
      <w:r w:rsidR="005D68A0">
        <w:rPr>
          <w:rFonts w:ascii="Arial" w:hAnsi="Arial" w:cs="Arial"/>
          <w:sz w:val="24"/>
          <w:szCs w:val="24"/>
          <w:lang w:val="es-MX"/>
        </w:rPr>
        <w:t>La República Argentina ra</w:t>
      </w:r>
      <w:r w:rsidR="00DF411C">
        <w:rPr>
          <w:rFonts w:ascii="Arial" w:hAnsi="Arial" w:cs="Arial"/>
          <w:sz w:val="24"/>
          <w:szCs w:val="24"/>
          <w:lang w:val="es-MX"/>
        </w:rPr>
        <w:t xml:space="preserve">tificó la Convención de Minamata mediante la Ley Nº 27.356 el día 18 de mayo de 2017. </w:t>
      </w:r>
      <w:r w:rsidR="003C7516">
        <w:rPr>
          <w:rFonts w:ascii="Arial" w:hAnsi="Arial" w:cs="Arial"/>
          <w:sz w:val="24"/>
          <w:szCs w:val="24"/>
          <w:lang w:val="es-MX"/>
        </w:rPr>
        <w:t xml:space="preserve">Cabe señalar que en la Argentina la MAPE ha estado históricamente </w:t>
      </w:r>
      <w:r w:rsidR="00DF411C" w:rsidRPr="00DF411C">
        <w:rPr>
          <w:rFonts w:ascii="Arial" w:hAnsi="Arial" w:cs="Arial"/>
          <w:sz w:val="24"/>
          <w:szCs w:val="24"/>
        </w:rPr>
        <w:t xml:space="preserve">asociada a los depósitos de oro aluvional, principalmente en el noroeste del país. Esta actividad está en declive desde hace varios años, siendo hoy marginal y limitada a unas pocas familias en algunos distritos. </w:t>
      </w:r>
      <w:r w:rsidR="003C7516">
        <w:rPr>
          <w:rFonts w:ascii="Arial" w:hAnsi="Arial" w:cs="Arial"/>
          <w:sz w:val="24"/>
          <w:szCs w:val="24"/>
        </w:rPr>
        <w:t>Por tanto, la MAPE no constituye en Argentina una fuente relevante de emisiones</w:t>
      </w:r>
      <w:r w:rsidR="003C7516">
        <w:rPr>
          <w:rStyle w:val="Refdenotaalpie"/>
          <w:rFonts w:ascii="Arial" w:hAnsi="Arial" w:cs="Arial"/>
          <w:sz w:val="24"/>
          <w:szCs w:val="24"/>
        </w:rPr>
        <w:footnoteReference w:id="6"/>
      </w:r>
      <w:r w:rsidR="003C7516">
        <w:rPr>
          <w:rFonts w:ascii="Arial" w:hAnsi="Arial" w:cs="Arial"/>
          <w:sz w:val="24"/>
          <w:szCs w:val="24"/>
        </w:rPr>
        <w:t>.</w:t>
      </w:r>
    </w:p>
    <w:sectPr w:rsidR="006D063F" w:rsidRPr="00DF411C" w:rsidSect="00C751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F1E4D" w14:textId="77777777" w:rsidR="008E4007" w:rsidRDefault="008E4007" w:rsidP="000129D7">
      <w:pPr>
        <w:spacing w:after="0" w:line="240" w:lineRule="auto"/>
      </w:pPr>
      <w:r>
        <w:separator/>
      </w:r>
    </w:p>
  </w:endnote>
  <w:endnote w:type="continuationSeparator" w:id="0">
    <w:p w14:paraId="033C5ACF" w14:textId="77777777" w:rsidR="008E4007" w:rsidRDefault="008E4007" w:rsidP="0001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88AA7" w14:textId="77777777" w:rsidR="008E4007" w:rsidRDefault="008E4007" w:rsidP="000129D7">
      <w:pPr>
        <w:spacing w:after="0" w:line="240" w:lineRule="auto"/>
      </w:pPr>
      <w:r>
        <w:separator/>
      </w:r>
    </w:p>
  </w:footnote>
  <w:footnote w:type="continuationSeparator" w:id="0">
    <w:p w14:paraId="607153E4" w14:textId="77777777" w:rsidR="008E4007" w:rsidRDefault="008E4007" w:rsidP="000129D7">
      <w:pPr>
        <w:spacing w:after="0" w:line="240" w:lineRule="auto"/>
      </w:pPr>
      <w:r>
        <w:continuationSeparator/>
      </w:r>
    </w:p>
  </w:footnote>
  <w:footnote w:id="1">
    <w:p w14:paraId="4D50E97B" w14:textId="77777777" w:rsidR="00290D79" w:rsidRPr="00290D79" w:rsidRDefault="00290D79" w:rsidP="00290D79">
      <w:pPr>
        <w:pStyle w:val="Textonotapie"/>
        <w:jc w:val="both"/>
        <w:rPr>
          <w:rFonts w:ascii="Arial" w:hAnsi="Arial" w:cs="Arial"/>
        </w:rPr>
      </w:pPr>
      <w:r w:rsidRPr="00290D79">
        <w:rPr>
          <w:rStyle w:val="Refdenotaalpie"/>
          <w:rFonts w:ascii="Arial" w:hAnsi="Arial" w:cs="Arial"/>
        </w:rPr>
        <w:footnoteRef/>
      </w:r>
      <w:r w:rsidRPr="00290D79">
        <w:rPr>
          <w:rFonts w:ascii="Arial" w:hAnsi="Arial" w:cs="Arial"/>
        </w:rPr>
        <w:t xml:space="preserve"> Texto disponible en </w:t>
      </w:r>
      <w:hyperlink r:id="rId1" w:history="1">
        <w:r w:rsidRPr="00B65C63">
          <w:rPr>
            <w:rStyle w:val="Hipervnculo"/>
            <w:rFonts w:ascii="Arial" w:hAnsi="Arial" w:cs="Arial"/>
          </w:rPr>
          <w:t>http://servicios.infoleg.gob.ar/infolegInternet/anexos/350000-354999/354143/norma.htm</w:t>
        </w:r>
      </w:hyperlink>
      <w:r>
        <w:rPr>
          <w:rFonts w:ascii="Arial" w:hAnsi="Arial" w:cs="Arial"/>
        </w:rPr>
        <w:t xml:space="preserve"> (última visita: 23.02.2022)</w:t>
      </w:r>
    </w:p>
  </w:footnote>
  <w:footnote w:id="2">
    <w:p w14:paraId="3419FFCE" w14:textId="77777777" w:rsidR="000129D7" w:rsidRDefault="000129D7" w:rsidP="000129D7">
      <w:pPr>
        <w:pStyle w:val="Textonotapie"/>
        <w:jc w:val="both"/>
        <w:rPr>
          <w:rFonts w:ascii="Arial" w:hAnsi="Arial" w:cs="Arial"/>
          <w:lang w:val="es-MX"/>
        </w:rPr>
      </w:pPr>
      <w:r w:rsidRPr="000129D7">
        <w:rPr>
          <w:rStyle w:val="Refdenotaalpie"/>
          <w:rFonts w:ascii="Arial" w:hAnsi="Arial" w:cs="Arial"/>
        </w:rPr>
        <w:footnoteRef/>
      </w:r>
      <w:r w:rsidRPr="000129D7">
        <w:rPr>
          <w:rFonts w:ascii="Arial" w:hAnsi="Arial" w:cs="Arial"/>
        </w:rPr>
        <w:t xml:space="preserve"> </w:t>
      </w:r>
      <w:r w:rsidRPr="000129D7">
        <w:rPr>
          <w:rFonts w:ascii="Arial" w:hAnsi="Arial" w:cs="Arial"/>
          <w:lang w:val="es-MX"/>
        </w:rPr>
        <w:t xml:space="preserve">El artículo 3 de la Resolución </w:t>
      </w:r>
      <w:r>
        <w:rPr>
          <w:rFonts w:ascii="Arial" w:hAnsi="Arial" w:cs="Arial"/>
          <w:lang w:val="es-MX"/>
        </w:rPr>
        <w:t>N° 299/2021 prohíbe</w:t>
      </w:r>
      <w:r w:rsidRPr="000129D7">
        <w:rPr>
          <w:rFonts w:ascii="Arial" w:hAnsi="Arial" w:cs="Arial"/>
          <w:lang w:val="es-MX"/>
        </w:rPr>
        <w:t xml:space="preserve"> el uso del mercurio elemental, sus mezclas y/o compuestos en los</w:t>
      </w:r>
      <w:r>
        <w:rPr>
          <w:rFonts w:ascii="Arial" w:hAnsi="Arial" w:cs="Arial"/>
          <w:lang w:val="es-MX"/>
        </w:rPr>
        <w:t xml:space="preserve"> siguientes </w:t>
      </w:r>
      <w:r w:rsidRPr="000129D7">
        <w:rPr>
          <w:rFonts w:ascii="Arial" w:hAnsi="Arial" w:cs="Arial"/>
          <w:lang w:val="es-MX"/>
        </w:rPr>
        <w:t>procesos productivos</w:t>
      </w:r>
      <w:r>
        <w:rPr>
          <w:rFonts w:ascii="Arial" w:hAnsi="Arial" w:cs="Arial"/>
          <w:lang w:val="es-MX"/>
        </w:rPr>
        <w:t>:</w:t>
      </w:r>
    </w:p>
    <w:p w14:paraId="64775FCB" w14:textId="77777777" w:rsidR="000129D7" w:rsidRDefault="000129D7" w:rsidP="000129D7">
      <w:pPr>
        <w:pStyle w:val="Textonotapie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0129D7">
        <w:rPr>
          <w:rFonts w:ascii="Arial" w:hAnsi="Arial" w:cs="Arial"/>
          <w:lang w:val="es-MX"/>
        </w:rPr>
        <w:t xml:space="preserve">Producción de Cloro álcali </w:t>
      </w:r>
      <w:r>
        <w:rPr>
          <w:rFonts w:ascii="Arial" w:hAnsi="Arial" w:cs="Arial"/>
          <w:lang w:val="es-MX"/>
        </w:rPr>
        <w:t xml:space="preserve">(vigente a partir del </w:t>
      </w:r>
      <w:r w:rsidRPr="000129D7">
        <w:rPr>
          <w:rFonts w:ascii="Arial" w:hAnsi="Arial" w:cs="Arial"/>
          <w:lang w:val="es-MX"/>
        </w:rPr>
        <w:t>31/12/2025</w:t>
      </w:r>
      <w:r>
        <w:rPr>
          <w:rFonts w:ascii="Arial" w:hAnsi="Arial" w:cs="Arial"/>
          <w:lang w:val="es-MX"/>
        </w:rPr>
        <w:t>)</w:t>
      </w:r>
    </w:p>
    <w:p w14:paraId="52A2E668" w14:textId="77777777" w:rsidR="000129D7" w:rsidRDefault="000129D7" w:rsidP="000129D7">
      <w:pPr>
        <w:pStyle w:val="Textonotapie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0129D7">
        <w:rPr>
          <w:rFonts w:ascii="Arial" w:hAnsi="Arial" w:cs="Arial"/>
          <w:lang w:val="es-MX"/>
        </w:rPr>
        <w:t>Producción de acetaldehído en la que se utiliza mercurio,</w:t>
      </w:r>
      <w:r>
        <w:rPr>
          <w:rFonts w:ascii="Arial" w:hAnsi="Arial" w:cs="Arial"/>
          <w:lang w:val="es-MX"/>
        </w:rPr>
        <w:t xml:space="preserve"> </w:t>
      </w:r>
      <w:r w:rsidRPr="000129D7">
        <w:rPr>
          <w:rFonts w:ascii="Arial" w:hAnsi="Arial" w:cs="Arial"/>
          <w:lang w:val="es-MX"/>
        </w:rPr>
        <w:t>mezcla o compuestos de mercurio como catalizador</w:t>
      </w:r>
      <w:r>
        <w:rPr>
          <w:rFonts w:ascii="Arial" w:hAnsi="Arial" w:cs="Arial"/>
          <w:lang w:val="es-MX"/>
        </w:rPr>
        <w:t xml:space="preserve"> (vigente)</w:t>
      </w:r>
    </w:p>
    <w:p w14:paraId="4E6E00B1" w14:textId="77777777" w:rsidR="000129D7" w:rsidRDefault="000129D7" w:rsidP="000129D7">
      <w:pPr>
        <w:pStyle w:val="Textonotapie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0129D7">
        <w:rPr>
          <w:rFonts w:ascii="Arial" w:hAnsi="Arial" w:cs="Arial"/>
          <w:lang w:val="es-MX"/>
        </w:rPr>
        <w:t xml:space="preserve">Producción de monómeros de cloruro de vinilo </w:t>
      </w:r>
      <w:r>
        <w:rPr>
          <w:rFonts w:ascii="Arial" w:hAnsi="Arial" w:cs="Arial"/>
          <w:lang w:val="es-MX"/>
        </w:rPr>
        <w:t>(vigente)</w:t>
      </w:r>
    </w:p>
    <w:p w14:paraId="6D1D6921" w14:textId="77777777" w:rsidR="000129D7" w:rsidRDefault="000129D7" w:rsidP="000129D7">
      <w:pPr>
        <w:pStyle w:val="Textonotapie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0129D7">
        <w:rPr>
          <w:rFonts w:ascii="Arial" w:hAnsi="Arial" w:cs="Arial"/>
          <w:lang w:val="es-MX"/>
        </w:rPr>
        <w:t>Producción de metilato o etilato sódico o potásico</w:t>
      </w:r>
      <w:r>
        <w:rPr>
          <w:rFonts w:ascii="Arial" w:hAnsi="Arial" w:cs="Arial"/>
          <w:lang w:val="es-MX"/>
        </w:rPr>
        <w:t xml:space="preserve"> (vigente)</w:t>
      </w:r>
      <w:r w:rsidRPr="000129D7">
        <w:rPr>
          <w:rFonts w:ascii="Arial" w:hAnsi="Arial" w:cs="Arial"/>
          <w:lang w:val="es-MX"/>
        </w:rPr>
        <w:t xml:space="preserve"> </w:t>
      </w:r>
    </w:p>
    <w:p w14:paraId="1C57073C" w14:textId="77777777" w:rsidR="000129D7" w:rsidRPr="000129D7" w:rsidRDefault="000129D7" w:rsidP="000129D7">
      <w:pPr>
        <w:pStyle w:val="Textonotapie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0129D7">
        <w:rPr>
          <w:rFonts w:ascii="Arial" w:hAnsi="Arial" w:cs="Arial"/>
          <w:lang w:val="es-MX"/>
        </w:rPr>
        <w:t>Producción de poliuretano en la que se utilizan catalizadores</w:t>
      </w:r>
      <w:r>
        <w:rPr>
          <w:rFonts w:ascii="Arial" w:hAnsi="Arial" w:cs="Arial"/>
          <w:lang w:val="es-MX"/>
        </w:rPr>
        <w:t xml:space="preserve"> </w:t>
      </w:r>
      <w:r w:rsidRPr="000129D7">
        <w:rPr>
          <w:rFonts w:ascii="Arial" w:hAnsi="Arial" w:cs="Arial"/>
          <w:lang w:val="es-MX"/>
        </w:rPr>
        <w:t>que contienen mercurio</w:t>
      </w:r>
    </w:p>
    <w:p w14:paraId="51BD402B" w14:textId="77777777" w:rsidR="000129D7" w:rsidRPr="000129D7" w:rsidRDefault="000129D7" w:rsidP="000129D7">
      <w:pPr>
        <w:pStyle w:val="Textonotapie"/>
        <w:jc w:val="both"/>
        <w:rPr>
          <w:rFonts w:ascii="Arial" w:hAnsi="Arial" w:cs="Arial"/>
          <w:lang w:val="es-MX"/>
        </w:rPr>
      </w:pPr>
    </w:p>
  </w:footnote>
  <w:footnote w:id="3">
    <w:p w14:paraId="64539460" w14:textId="77777777" w:rsidR="004238B2" w:rsidRPr="004238B2" w:rsidRDefault="004238B2" w:rsidP="004238B2">
      <w:pPr>
        <w:pStyle w:val="Textonotapie"/>
        <w:jc w:val="both"/>
        <w:rPr>
          <w:rFonts w:ascii="Arial" w:hAnsi="Arial" w:cs="Arial"/>
          <w:lang w:val="es-MX"/>
        </w:rPr>
      </w:pPr>
      <w:r w:rsidRPr="004238B2">
        <w:rPr>
          <w:rStyle w:val="Refdenotaalpie"/>
          <w:rFonts w:ascii="Arial" w:hAnsi="Arial" w:cs="Arial"/>
        </w:rPr>
        <w:footnoteRef/>
      </w:r>
      <w:r w:rsidRPr="004238B2">
        <w:rPr>
          <w:rFonts w:ascii="Arial" w:hAnsi="Arial" w:cs="Arial"/>
        </w:rPr>
        <w:t xml:space="preserve"> </w:t>
      </w:r>
      <w:r w:rsidRPr="004238B2">
        <w:rPr>
          <w:rFonts w:ascii="Arial" w:hAnsi="Arial" w:cs="Arial"/>
          <w:lang w:val="es-MX"/>
        </w:rPr>
        <w:t>El artículo 4 de la Resolución N° 299/2021 establece la prohibición de fabricar, importar y exportar los siguientes productos con mercurio añadido:</w:t>
      </w:r>
    </w:p>
    <w:p w14:paraId="75701025" w14:textId="77777777" w:rsidR="004238B2" w:rsidRPr="004238B2" w:rsidRDefault="004238B2" w:rsidP="004238B2">
      <w:pPr>
        <w:pStyle w:val="Textonotapie"/>
        <w:jc w:val="both"/>
        <w:rPr>
          <w:rFonts w:ascii="Arial" w:hAnsi="Arial" w:cs="Arial"/>
          <w:lang w:val="es-MX"/>
        </w:rPr>
      </w:pPr>
      <w:r w:rsidRPr="004238B2">
        <w:rPr>
          <w:rFonts w:ascii="Arial" w:hAnsi="Arial" w:cs="Arial"/>
          <w:lang w:val="es-MX"/>
        </w:rPr>
        <w:t>1. Todas las baterías y pilas, salvo pilas de botón de óxido de plata con un contenido de mercurio menor a 2% y</w:t>
      </w:r>
      <w:r w:rsidR="008565C5">
        <w:rPr>
          <w:rFonts w:ascii="Arial" w:hAnsi="Arial" w:cs="Arial"/>
          <w:lang w:val="es-MX"/>
        </w:rPr>
        <w:t xml:space="preserve"> </w:t>
      </w:r>
      <w:r w:rsidRPr="004238B2">
        <w:rPr>
          <w:rFonts w:ascii="Arial" w:hAnsi="Arial" w:cs="Arial"/>
          <w:lang w:val="es-MX"/>
        </w:rPr>
        <w:t>pilas de botón zinc-aire con un contenido de mercurio menor a 2 %.</w:t>
      </w:r>
    </w:p>
    <w:p w14:paraId="67286382" w14:textId="77777777" w:rsidR="004238B2" w:rsidRPr="006E4A9D" w:rsidRDefault="004238B2" w:rsidP="006E4A9D">
      <w:pPr>
        <w:pStyle w:val="Textonotapie"/>
        <w:jc w:val="both"/>
        <w:rPr>
          <w:rFonts w:ascii="Arial" w:hAnsi="Arial" w:cs="Arial"/>
          <w:lang w:val="es-MX"/>
        </w:rPr>
      </w:pPr>
      <w:r w:rsidRPr="004238B2">
        <w:rPr>
          <w:rFonts w:ascii="Arial" w:hAnsi="Arial" w:cs="Arial"/>
          <w:lang w:val="es-MX"/>
        </w:rPr>
        <w:t>2. Interruptores y relés, con excepción de puentes medidores de capacitancia y pérdida de alta precisión e</w:t>
      </w:r>
      <w:r w:rsidR="008565C5">
        <w:rPr>
          <w:rFonts w:ascii="Arial" w:hAnsi="Arial" w:cs="Arial"/>
          <w:lang w:val="es-MX"/>
        </w:rPr>
        <w:t xml:space="preserve"> </w:t>
      </w:r>
      <w:r w:rsidRPr="004238B2">
        <w:rPr>
          <w:rFonts w:ascii="Arial" w:hAnsi="Arial" w:cs="Arial"/>
          <w:lang w:val="es-MX"/>
        </w:rPr>
        <w:t xml:space="preserve">interruptores y relés radiofrecuencia de alta frecuencia utilizados en instrumentos de </w:t>
      </w:r>
      <w:r w:rsidRPr="006E4A9D">
        <w:rPr>
          <w:rFonts w:ascii="Arial" w:hAnsi="Arial" w:cs="Arial"/>
          <w:lang w:val="es-MX"/>
        </w:rPr>
        <w:t>monitorización y control con</w:t>
      </w:r>
      <w:r w:rsidR="008565C5" w:rsidRPr="006E4A9D">
        <w:rPr>
          <w:rFonts w:ascii="Arial" w:hAnsi="Arial" w:cs="Arial"/>
          <w:lang w:val="es-MX"/>
        </w:rPr>
        <w:t xml:space="preserve"> </w:t>
      </w:r>
      <w:r w:rsidRPr="006E4A9D">
        <w:rPr>
          <w:rFonts w:ascii="Arial" w:hAnsi="Arial" w:cs="Arial"/>
          <w:lang w:val="es-MX"/>
        </w:rPr>
        <w:t>un contenido máximo de mercurio de 20 mg por puente, interruptor o relé.</w:t>
      </w:r>
    </w:p>
    <w:p w14:paraId="137E6D09" w14:textId="77777777" w:rsidR="004238B2" w:rsidRPr="006E4A9D" w:rsidRDefault="004238B2" w:rsidP="006E4A9D">
      <w:pPr>
        <w:pStyle w:val="Textonotapie"/>
        <w:jc w:val="both"/>
        <w:rPr>
          <w:rFonts w:ascii="Arial" w:hAnsi="Arial" w:cs="Arial"/>
          <w:lang w:val="es-MX"/>
        </w:rPr>
      </w:pPr>
      <w:r w:rsidRPr="006E4A9D">
        <w:rPr>
          <w:rFonts w:ascii="Arial" w:hAnsi="Arial" w:cs="Arial"/>
          <w:lang w:val="es-MX"/>
        </w:rPr>
        <w:t>3. Lámparas fluorescentes compactas (CFL) para usos generales de iluminación de potencia menor o igual a 30</w:t>
      </w:r>
      <w:r w:rsidR="008565C5" w:rsidRPr="006E4A9D">
        <w:rPr>
          <w:rFonts w:ascii="Arial" w:hAnsi="Arial" w:cs="Arial"/>
          <w:lang w:val="es-MX"/>
        </w:rPr>
        <w:t xml:space="preserve"> </w:t>
      </w:r>
      <w:r w:rsidRPr="006E4A9D">
        <w:rPr>
          <w:rFonts w:ascii="Arial" w:hAnsi="Arial" w:cs="Arial"/>
          <w:lang w:val="es-MX"/>
        </w:rPr>
        <w:t>vatios con un contenido de mercurio superior a 5 mg por quemador de lámpara.</w:t>
      </w:r>
    </w:p>
    <w:p w14:paraId="7429C0F1" w14:textId="77777777" w:rsidR="004238B2" w:rsidRPr="006E4A9D" w:rsidRDefault="004238B2" w:rsidP="006E4A9D">
      <w:pPr>
        <w:pStyle w:val="Textonotapie"/>
        <w:jc w:val="both"/>
        <w:rPr>
          <w:rFonts w:ascii="Arial" w:hAnsi="Arial" w:cs="Arial"/>
          <w:lang w:val="es-MX"/>
        </w:rPr>
      </w:pPr>
      <w:r w:rsidRPr="006E4A9D">
        <w:rPr>
          <w:rFonts w:ascii="Arial" w:hAnsi="Arial" w:cs="Arial"/>
          <w:lang w:val="es-MX"/>
        </w:rPr>
        <w:t>4. Lámparas fluorescentes lineales (LFL) para usos generales de iluminación:</w:t>
      </w:r>
      <w:r w:rsidR="008565C5" w:rsidRPr="006E4A9D">
        <w:rPr>
          <w:rFonts w:ascii="Arial" w:hAnsi="Arial" w:cs="Arial"/>
          <w:lang w:val="es-MX"/>
        </w:rPr>
        <w:t xml:space="preserve"> </w:t>
      </w:r>
      <w:r w:rsidRPr="006E4A9D">
        <w:rPr>
          <w:rFonts w:ascii="Arial" w:hAnsi="Arial" w:cs="Arial"/>
          <w:lang w:val="es-MX"/>
        </w:rPr>
        <w:t>a. Fósforo tribanda de potencia menor a 60 vatios con un contenido de mercurio superior a 5 mg porlámpara;</w:t>
      </w:r>
      <w:r w:rsidR="008565C5" w:rsidRPr="006E4A9D">
        <w:rPr>
          <w:rFonts w:ascii="Arial" w:hAnsi="Arial" w:cs="Arial"/>
          <w:lang w:val="es-MX"/>
        </w:rPr>
        <w:t xml:space="preserve"> </w:t>
      </w:r>
      <w:r w:rsidRPr="006E4A9D">
        <w:rPr>
          <w:rFonts w:ascii="Arial" w:hAnsi="Arial" w:cs="Arial"/>
          <w:lang w:val="es-MX"/>
        </w:rPr>
        <w:t>b. Fósforo en halofosfato de potencia menor o igual a 40 vatios con un contenido de mercurio superior a 10mg por lámpara.</w:t>
      </w:r>
    </w:p>
    <w:p w14:paraId="00DBD31E" w14:textId="77777777" w:rsidR="004238B2" w:rsidRPr="006E4A9D" w:rsidRDefault="004238B2" w:rsidP="006E4A9D">
      <w:pPr>
        <w:pStyle w:val="Textonotapie"/>
        <w:jc w:val="both"/>
        <w:rPr>
          <w:rFonts w:ascii="Arial" w:hAnsi="Arial" w:cs="Arial"/>
          <w:lang w:val="es-MX"/>
        </w:rPr>
      </w:pPr>
      <w:r w:rsidRPr="006E4A9D">
        <w:rPr>
          <w:rFonts w:ascii="Arial" w:hAnsi="Arial" w:cs="Arial"/>
          <w:lang w:val="es-MX"/>
        </w:rPr>
        <w:t>5. Lámparas de vapor de mercurio a alta presión (HPMV) para usos generales de iluminación.</w:t>
      </w:r>
    </w:p>
    <w:p w14:paraId="0C3ED93A" w14:textId="77777777" w:rsidR="004238B2" w:rsidRPr="006E4A9D" w:rsidRDefault="004238B2" w:rsidP="006E4A9D">
      <w:pPr>
        <w:pStyle w:val="Textonotapie"/>
        <w:jc w:val="both"/>
        <w:rPr>
          <w:rFonts w:ascii="Arial" w:hAnsi="Arial" w:cs="Arial"/>
          <w:lang w:val="es-MX"/>
        </w:rPr>
      </w:pPr>
      <w:r w:rsidRPr="006E4A9D">
        <w:rPr>
          <w:rFonts w:ascii="Arial" w:hAnsi="Arial" w:cs="Arial"/>
          <w:lang w:val="es-MX"/>
        </w:rPr>
        <w:t>6. Mercurio en lámparas fluorescentes de cátodo frío y lámparas fluorescentes de electrodo externo (CCFL y EEFL)</w:t>
      </w:r>
      <w:r w:rsidR="008565C5" w:rsidRPr="006E4A9D">
        <w:rPr>
          <w:rFonts w:ascii="Arial" w:hAnsi="Arial" w:cs="Arial"/>
          <w:lang w:val="es-MX"/>
        </w:rPr>
        <w:t xml:space="preserve"> </w:t>
      </w:r>
      <w:r w:rsidRPr="006E4A9D">
        <w:rPr>
          <w:rFonts w:ascii="Arial" w:hAnsi="Arial" w:cs="Arial"/>
          <w:lang w:val="es-MX"/>
        </w:rPr>
        <w:t>para pantallas electrónicas:</w:t>
      </w:r>
      <w:r w:rsidR="008565C5" w:rsidRPr="006E4A9D">
        <w:rPr>
          <w:rFonts w:ascii="Arial" w:hAnsi="Arial" w:cs="Arial"/>
          <w:lang w:val="es-MX"/>
        </w:rPr>
        <w:t xml:space="preserve"> </w:t>
      </w:r>
      <w:r w:rsidRPr="006E4A9D">
        <w:rPr>
          <w:rFonts w:ascii="Arial" w:hAnsi="Arial" w:cs="Arial"/>
          <w:lang w:val="es-MX"/>
        </w:rPr>
        <w:t>a. De longitud corta (menor o igual a 500 mm) con un contenido de mercurio superior a 3,5 mg por lámpara;</w:t>
      </w:r>
      <w:r w:rsidRPr="006E4A9D">
        <w:rPr>
          <w:rFonts w:ascii="Arial" w:hAnsi="Arial" w:cs="Arial"/>
        </w:rPr>
        <w:t xml:space="preserve"> </w:t>
      </w:r>
      <w:r w:rsidRPr="006E4A9D">
        <w:rPr>
          <w:rFonts w:ascii="Arial" w:hAnsi="Arial" w:cs="Arial"/>
          <w:lang w:val="es-MX"/>
        </w:rPr>
        <w:t>b. De longitud media (mayor a 500mm y menor o igual a 1 500 mm) con un contenido de mercurio superior a</w:t>
      </w:r>
      <w:r w:rsidR="008565C5" w:rsidRPr="006E4A9D">
        <w:rPr>
          <w:rFonts w:ascii="Arial" w:hAnsi="Arial" w:cs="Arial"/>
          <w:lang w:val="es-MX"/>
        </w:rPr>
        <w:t xml:space="preserve"> </w:t>
      </w:r>
      <w:r w:rsidRPr="006E4A9D">
        <w:rPr>
          <w:rFonts w:ascii="Arial" w:hAnsi="Arial" w:cs="Arial"/>
          <w:lang w:val="es-MX"/>
        </w:rPr>
        <w:t>5 mg por lámpara;</w:t>
      </w:r>
    </w:p>
    <w:p w14:paraId="622049CE" w14:textId="77777777" w:rsidR="004238B2" w:rsidRPr="003C7516" w:rsidRDefault="004238B2" w:rsidP="00FF6299">
      <w:pPr>
        <w:pStyle w:val="Textonotapie"/>
        <w:jc w:val="both"/>
        <w:rPr>
          <w:rFonts w:ascii="Arial" w:hAnsi="Arial" w:cs="Arial"/>
          <w:lang w:val="es-MX"/>
        </w:rPr>
      </w:pPr>
      <w:r w:rsidRPr="00FF6299">
        <w:rPr>
          <w:rFonts w:ascii="Arial" w:hAnsi="Arial" w:cs="Arial"/>
          <w:lang w:val="es-MX"/>
        </w:rPr>
        <w:t>c</w:t>
      </w:r>
      <w:r w:rsidRPr="003C7516">
        <w:rPr>
          <w:rFonts w:ascii="Arial" w:hAnsi="Arial" w:cs="Arial"/>
          <w:lang w:val="es-MX"/>
        </w:rPr>
        <w:t>. De longitud larga (mayor a 1 500 mm) con un contenido de mercurio superior a 13 mg por lámpara.</w:t>
      </w:r>
    </w:p>
    <w:p w14:paraId="0BBC50F9" w14:textId="77777777" w:rsidR="004238B2" w:rsidRPr="003C7516" w:rsidRDefault="004238B2" w:rsidP="00FF6299">
      <w:pPr>
        <w:pStyle w:val="Textonotapie"/>
        <w:jc w:val="both"/>
        <w:rPr>
          <w:rFonts w:ascii="Arial" w:hAnsi="Arial" w:cs="Arial"/>
          <w:lang w:val="es-MX"/>
        </w:rPr>
      </w:pPr>
      <w:r w:rsidRPr="003C7516">
        <w:rPr>
          <w:rFonts w:ascii="Arial" w:hAnsi="Arial" w:cs="Arial"/>
          <w:lang w:val="es-MX"/>
        </w:rPr>
        <w:t>7. Plaguicidas, biocidas y antisépticos de uso tópico.</w:t>
      </w:r>
    </w:p>
    <w:p w14:paraId="527B1641" w14:textId="77777777" w:rsidR="004238B2" w:rsidRPr="003C7516" w:rsidRDefault="004238B2" w:rsidP="00FF6299">
      <w:pPr>
        <w:pStyle w:val="Textonotapie"/>
        <w:jc w:val="both"/>
        <w:rPr>
          <w:rFonts w:ascii="Arial" w:hAnsi="Arial" w:cs="Arial"/>
          <w:lang w:val="es-MX"/>
        </w:rPr>
      </w:pPr>
      <w:r w:rsidRPr="003C7516">
        <w:rPr>
          <w:rFonts w:ascii="Arial" w:hAnsi="Arial" w:cs="Arial"/>
          <w:lang w:val="es-MX"/>
        </w:rPr>
        <w:t>8. Cosméticos (con un contenido de mercurio superior a 1 ppm), incluidos los jabones y las cremas para aclarar la</w:t>
      </w:r>
      <w:r w:rsidR="008565C5" w:rsidRPr="003C7516">
        <w:rPr>
          <w:rFonts w:ascii="Arial" w:hAnsi="Arial" w:cs="Arial"/>
          <w:lang w:val="es-MX"/>
        </w:rPr>
        <w:t xml:space="preserve"> </w:t>
      </w:r>
      <w:r w:rsidRPr="003C7516">
        <w:rPr>
          <w:rFonts w:ascii="Arial" w:hAnsi="Arial" w:cs="Arial"/>
          <w:lang w:val="es-MX"/>
        </w:rPr>
        <w:t>piel, pero sin incluir los cosméticos para la zona de alrededor de los ojos que utilicen mercurio como conservante y</w:t>
      </w:r>
      <w:r w:rsidR="008565C5" w:rsidRPr="003C7516">
        <w:rPr>
          <w:rFonts w:ascii="Arial" w:hAnsi="Arial" w:cs="Arial"/>
          <w:lang w:val="es-MX"/>
        </w:rPr>
        <w:t xml:space="preserve"> </w:t>
      </w:r>
      <w:r w:rsidRPr="003C7516">
        <w:rPr>
          <w:rFonts w:ascii="Arial" w:hAnsi="Arial" w:cs="Arial"/>
          <w:lang w:val="es-MX"/>
        </w:rPr>
        <w:t>para los que no existan conservantes alternativos eficaces y seguros (la intención es no abarcar los cosméticos, los</w:t>
      </w:r>
      <w:r w:rsidR="008565C5" w:rsidRPr="003C7516">
        <w:rPr>
          <w:rFonts w:ascii="Arial" w:hAnsi="Arial" w:cs="Arial"/>
          <w:lang w:val="es-MX"/>
        </w:rPr>
        <w:t xml:space="preserve"> </w:t>
      </w:r>
      <w:r w:rsidRPr="003C7516">
        <w:rPr>
          <w:rFonts w:ascii="Arial" w:hAnsi="Arial" w:cs="Arial"/>
          <w:lang w:val="es-MX"/>
        </w:rPr>
        <w:t>jabones o las cremas que contienen trazas contaminantes de mercurio).</w:t>
      </w:r>
    </w:p>
    <w:p w14:paraId="5711A57C" w14:textId="77777777" w:rsidR="004238B2" w:rsidRPr="003C7516" w:rsidRDefault="004238B2" w:rsidP="00FF6299">
      <w:pPr>
        <w:pStyle w:val="Textonotapie"/>
        <w:jc w:val="both"/>
        <w:rPr>
          <w:rFonts w:ascii="Arial" w:hAnsi="Arial" w:cs="Arial"/>
          <w:lang w:val="es-MX"/>
        </w:rPr>
      </w:pPr>
      <w:r w:rsidRPr="003C7516">
        <w:rPr>
          <w:rFonts w:ascii="Arial" w:hAnsi="Arial" w:cs="Arial"/>
          <w:lang w:val="es-MX"/>
        </w:rPr>
        <w:t>9. Los siguientes aparatos de medición no electrónicos, salvo los aparatos de medición no electrónicos instalados en</w:t>
      </w:r>
      <w:r w:rsidR="008565C5" w:rsidRPr="003C7516">
        <w:rPr>
          <w:rFonts w:ascii="Arial" w:hAnsi="Arial" w:cs="Arial"/>
          <w:lang w:val="es-MX"/>
        </w:rPr>
        <w:t xml:space="preserve"> </w:t>
      </w:r>
      <w:r w:rsidRPr="003C7516">
        <w:rPr>
          <w:rFonts w:ascii="Arial" w:hAnsi="Arial" w:cs="Arial"/>
          <w:lang w:val="es-MX"/>
        </w:rPr>
        <w:t>equipo de gran escala o los utilizados para mediciones de alta precisión:</w:t>
      </w:r>
      <w:r w:rsidR="008565C5" w:rsidRPr="003C7516">
        <w:rPr>
          <w:rFonts w:ascii="Arial" w:hAnsi="Arial" w:cs="Arial"/>
          <w:lang w:val="es-MX"/>
        </w:rPr>
        <w:t xml:space="preserve"> </w:t>
      </w:r>
      <w:r w:rsidRPr="003C7516">
        <w:rPr>
          <w:rFonts w:ascii="Arial" w:hAnsi="Arial" w:cs="Arial"/>
          <w:lang w:val="es-MX"/>
        </w:rPr>
        <w:t>a. Barómetros;</w:t>
      </w:r>
      <w:r w:rsidR="008565C5" w:rsidRPr="003C7516">
        <w:rPr>
          <w:rFonts w:ascii="Arial" w:hAnsi="Arial" w:cs="Arial"/>
          <w:lang w:val="es-MX"/>
        </w:rPr>
        <w:t xml:space="preserve"> </w:t>
      </w:r>
      <w:r w:rsidRPr="003C7516">
        <w:rPr>
          <w:rFonts w:ascii="Arial" w:hAnsi="Arial" w:cs="Arial"/>
          <w:lang w:val="es-MX"/>
        </w:rPr>
        <w:t>b.</w:t>
      </w:r>
      <w:r w:rsidR="00BD6F5D" w:rsidRPr="003C7516">
        <w:rPr>
          <w:rFonts w:ascii="Arial" w:hAnsi="Arial" w:cs="Arial"/>
          <w:lang w:val="es-MX"/>
        </w:rPr>
        <w:t xml:space="preserve"> </w:t>
      </w:r>
      <w:r w:rsidRPr="003C7516">
        <w:rPr>
          <w:rFonts w:ascii="Arial" w:hAnsi="Arial" w:cs="Arial"/>
          <w:lang w:val="es-MX"/>
        </w:rPr>
        <w:t>Higrómetros;</w:t>
      </w:r>
      <w:r w:rsidR="008565C5" w:rsidRPr="003C7516">
        <w:rPr>
          <w:rFonts w:ascii="Arial" w:hAnsi="Arial" w:cs="Arial"/>
          <w:lang w:val="es-MX"/>
        </w:rPr>
        <w:t xml:space="preserve"> </w:t>
      </w:r>
      <w:r w:rsidRPr="003C7516">
        <w:rPr>
          <w:rFonts w:ascii="Arial" w:hAnsi="Arial" w:cs="Arial"/>
          <w:lang w:val="es-MX"/>
        </w:rPr>
        <w:t>c. Manómetros;</w:t>
      </w:r>
      <w:r w:rsidR="008565C5" w:rsidRPr="003C7516">
        <w:rPr>
          <w:rFonts w:ascii="Arial" w:hAnsi="Arial" w:cs="Arial"/>
          <w:lang w:val="es-MX"/>
        </w:rPr>
        <w:t xml:space="preserve"> </w:t>
      </w:r>
      <w:r w:rsidRPr="003C7516">
        <w:rPr>
          <w:rFonts w:ascii="Arial" w:hAnsi="Arial" w:cs="Arial"/>
          <w:lang w:val="es-MX"/>
        </w:rPr>
        <w:t>d. Termómetros.</w:t>
      </w:r>
    </w:p>
  </w:footnote>
  <w:footnote w:id="4">
    <w:p w14:paraId="5B067923" w14:textId="77777777" w:rsidR="009827E5" w:rsidRPr="003C7516" w:rsidRDefault="009827E5" w:rsidP="00FF6299">
      <w:pPr>
        <w:pStyle w:val="Textonotapie"/>
        <w:jc w:val="both"/>
        <w:rPr>
          <w:rFonts w:ascii="Arial" w:hAnsi="Arial" w:cs="Arial"/>
          <w:lang w:val="es-MX"/>
        </w:rPr>
      </w:pPr>
      <w:r w:rsidRPr="003C7516">
        <w:rPr>
          <w:rStyle w:val="Refdenotaalpie"/>
          <w:rFonts w:ascii="Arial" w:hAnsi="Arial" w:cs="Arial"/>
        </w:rPr>
        <w:footnoteRef/>
      </w:r>
      <w:r w:rsidRPr="003C7516">
        <w:rPr>
          <w:rFonts w:ascii="Arial" w:hAnsi="Arial" w:cs="Arial"/>
        </w:rPr>
        <w:t xml:space="preserve"> </w:t>
      </w:r>
      <w:r w:rsidRPr="003C7516">
        <w:rPr>
          <w:rFonts w:ascii="Arial" w:hAnsi="Arial" w:cs="Arial"/>
          <w:lang w:val="es-MX"/>
        </w:rPr>
        <w:t xml:space="preserve">Cfr. Secretaria de Ambiente y Desarrollo Sustentable de la Nación, Evaluación de las capacidades nacionales para la implementación de la Convención de Minamata en </w:t>
      </w:r>
      <w:r w:rsidR="00BD6F5D" w:rsidRPr="003C7516">
        <w:rPr>
          <w:rFonts w:ascii="Arial" w:hAnsi="Arial" w:cs="Arial"/>
          <w:lang w:val="es-MX"/>
        </w:rPr>
        <w:t>Argentina, pág</w:t>
      </w:r>
      <w:r w:rsidRPr="003C7516">
        <w:rPr>
          <w:rFonts w:ascii="Arial" w:hAnsi="Arial" w:cs="Arial"/>
          <w:lang w:val="es-MX"/>
        </w:rPr>
        <w:t xml:space="preserve"> 51 y ss. Disponible en </w:t>
      </w:r>
      <w:hyperlink r:id="rId2" w:history="1">
        <w:r w:rsidR="00BD6F5D" w:rsidRPr="003C7516">
          <w:rPr>
            <w:rStyle w:val="Hipervnculo"/>
            <w:rFonts w:ascii="Arial" w:hAnsi="Arial" w:cs="Arial"/>
            <w:lang w:val="es-MX"/>
          </w:rPr>
          <w:t>https://www.argentina.gob.ar/sites/default/files/evaluacion_de_las_capacidades_nacionales_minamata_argentina_isbn.pdf</w:t>
        </w:r>
      </w:hyperlink>
      <w:r w:rsidR="00BD6F5D" w:rsidRPr="003C7516">
        <w:rPr>
          <w:rFonts w:ascii="Arial" w:hAnsi="Arial" w:cs="Arial"/>
          <w:lang w:val="es-MX"/>
        </w:rPr>
        <w:t xml:space="preserve"> </w:t>
      </w:r>
      <w:r w:rsidR="00DF411C" w:rsidRPr="003C7516">
        <w:rPr>
          <w:rFonts w:ascii="Arial" w:hAnsi="Arial" w:cs="Arial"/>
          <w:lang w:val="es-MX"/>
        </w:rPr>
        <w:t>(última visita:23.02.2022)</w:t>
      </w:r>
    </w:p>
  </w:footnote>
  <w:footnote w:id="5">
    <w:p w14:paraId="22620D8E" w14:textId="77777777" w:rsidR="00FF66B0" w:rsidRPr="003C7516" w:rsidRDefault="00FF66B0" w:rsidP="00FF6299">
      <w:pPr>
        <w:pStyle w:val="Textonotapie"/>
        <w:jc w:val="both"/>
        <w:rPr>
          <w:rFonts w:ascii="Arial" w:hAnsi="Arial" w:cs="Arial"/>
        </w:rPr>
      </w:pPr>
      <w:r w:rsidRPr="003C7516">
        <w:rPr>
          <w:rStyle w:val="Refdenotaalpie"/>
          <w:rFonts w:ascii="Arial" w:hAnsi="Arial" w:cs="Arial"/>
        </w:rPr>
        <w:footnoteRef/>
      </w:r>
      <w:r w:rsidRPr="003C7516">
        <w:rPr>
          <w:rFonts w:ascii="Arial" w:hAnsi="Arial" w:cs="Arial"/>
        </w:rPr>
        <w:t xml:space="preserve"> En el siguiente link se puede consultar el Anexo V de la Resolución donde se detalla toda la documentación que se requiere presentar para obtener la autorización de importación y exportación de mercurio: </w:t>
      </w:r>
      <w:hyperlink r:id="rId3" w:history="1">
        <w:r w:rsidRPr="003C7516">
          <w:rPr>
            <w:rStyle w:val="Hipervnculo"/>
            <w:rFonts w:ascii="Arial" w:hAnsi="Arial" w:cs="Arial"/>
          </w:rPr>
          <w:t>http://servicios.infoleg.gob.ar/infolegInternet/anexos/350000-354999/354143/res299-5.pdf</w:t>
        </w:r>
      </w:hyperlink>
      <w:r w:rsidRPr="003C7516">
        <w:rPr>
          <w:rFonts w:ascii="Arial" w:hAnsi="Arial" w:cs="Arial"/>
        </w:rPr>
        <w:t xml:space="preserve"> (última visita: 23.02.2022)</w:t>
      </w:r>
    </w:p>
  </w:footnote>
  <w:footnote w:id="6">
    <w:p w14:paraId="26AED242" w14:textId="77777777" w:rsidR="003C7516" w:rsidRDefault="003C7516">
      <w:pPr>
        <w:pStyle w:val="Textonotapie"/>
      </w:pPr>
      <w:r w:rsidRPr="003C7516">
        <w:rPr>
          <w:rStyle w:val="Refdenotaalpie"/>
          <w:rFonts w:ascii="Arial" w:hAnsi="Arial" w:cs="Arial"/>
        </w:rPr>
        <w:footnoteRef/>
      </w:r>
      <w:r w:rsidRPr="003C7516">
        <w:rPr>
          <w:rFonts w:ascii="Arial" w:hAnsi="Arial" w:cs="Arial"/>
        </w:rPr>
        <w:t xml:space="preserve"> Cfr. Secretaría de Ambiente y Desarrollo Sustentable de la Nación, </w:t>
      </w:r>
      <w:r w:rsidRPr="003C7516">
        <w:rPr>
          <w:rFonts w:ascii="Arial" w:hAnsi="Arial" w:cs="Arial"/>
          <w:i/>
        </w:rPr>
        <w:t>op.cit</w:t>
      </w:r>
      <w:r w:rsidRPr="003C7516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384D"/>
    <w:multiLevelType w:val="hybridMultilevel"/>
    <w:tmpl w:val="21D8E5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61"/>
    <w:rsid w:val="00006878"/>
    <w:rsid w:val="000129D7"/>
    <w:rsid w:val="000818B5"/>
    <w:rsid w:val="000F32C1"/>
    <w:rsid w:val="001739A1"/>
    <w:rsid w:val="002118E2"/>
    <w:rsid w:val="00290D79"/>
    <w:rsid w:val="003C7516"/>
    <w:rsid w:val="003E7503"/>
    <w:rsid w:val="00403C9F"/>
    <w:rsid w:val="004238B2"/>
    <w:rsid w:val="00452FD4"/>
    <w:rsid w:val="004B5172"/>
    <w:rsid w:val="00522F85"/>
    <w:rsid w:val="005A538F"/>
    <w:rsid w:val="005D68A0"/>
    <w:rsid w:val="006D063F"/>
    <w:rsid w:val="006E4A9D"/>
    <w:rsid w:val="007B0DC1"/>
    <w:rsid w:val="007D3861"/>
    <w:rsid w:val="007E2215"/>
    <w:rsid w:val="008565C5"/>
    <w:rsid w:val="008E4007"/>
    <w:rsid w:val="00980261"/>
    <w:rsid w:val="009827E5"/>
    <w:rsid w:val="009B5F52"/>
    <w:rsid w:val="009F2070"/>
    <w:rsid w:val="00AB5E64"/>
    <w:rsid w:val="00BD6F5D"/>
    <w:rsid w:val="00C518E8"/>
    <w:rsid w:val="00C75108"/>
    <w:rsid w:val="00DF411C"/>
    <w:rsid w:val="00DF7E12"/>
    <w:rsid w:val="00EA4978"/>
    <w:rsid w:val="00ED4F63"/>
    <w:rsid w:val="00EF4EF5"/>
    <w:rsid w:val="00FF0BD5"/>
    <w:rsid w:val="00FF6299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81A0"/>
  <w15:docId w15:val="{8AAA8771-8838-4E6B-89E8-E5691B00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1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0129D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129D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129D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D6F5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6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A2C2F55-768E-4E02-8F36-DC1CECF24C90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9D48648DAA49B7B0BE8195B404DB" ma:contentTypeVersion="8" ma:contentTypeDescription="Create a new document." ma:contentTypeScope="" ma:versionID="e388a32eb802aea3ef367bd3082efbdd">
  <xsd:schema xmlns:xsd="http://www.w3.org/2001/XMLSchema" xmlns:xs="http://www.w3.org/2001/XMLSchema" xmlns:p="http://schemas.microsoft.com/office/2006/metadata/properties" xmlns:ns1="89040124-3724-453e-9e0f-d53a96d17322" targetNamespace="http://schemas.microsoft.com/office/2006/metadata/properties" ma:root="true" ma:fieldsID="f8ebd51b802d205cb1eb43c02f5adc1f" ns1:_="">
    <xsd:import namespace="89040124-3724-453e-9e0f-d53a96d17322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Status" minOccurs="0"/>
                <xsd:element ref="ns1:Content_x0020_Strategist" minOccurs="0"/>
                <xsd:element ref="ns1:s3qm" minOccurs="0"/>
                <xsd:element ref="ns1:_x0072_wl8" minOccurs="0"/>
                <xsd:element ref="ns1:kibs" minOccurs="0"/>
                <xsd:element ref="ns1:ouua" minOccurs="0"/>
                <xsd:element ref="ns1:nh2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124-3724-453e-9e0f-d53a96d1732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dexed="true" ma:internalName="Document_x0020_Type">
      <xsd:simpleType>
        <xsd:restriction base="dms:Choice">
          <xsd:enumeration value="Audit summary"/>
          <xsd:enumeration value="Audit details"/>
          <xsd:enumeration value="Folder"/>
          <xsd:enumeration value="Guideline"/>
          <xsd:enumeration value="Instructions"/>
          <xsd:enumeration value="Reference doc"/>
          <xsd:enumeration value="NA"/>
          <xsd:enumeration value="Notes"/>
          <xsd:enumeration value="Web page content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NA"/>
          <xsd:enumeration value="Draft"/>
          <xsd:enumeration value="Final"/>
          <xsd:enumeration value="Ready for approval"/>
          <xsd:enumeration value="Approved"/>
        </xsd:restriction>
      </xsd:simpleType>
    </xsd:element>
    <xsd:element name="Content_x0020_Strategist" ma:index="4" nillable="true" ma:displayName="Content Strategist" ma:format="Dropdown" ma:internalName="Content_x0020_Strategist">
      <xsd:simpleType>
        <xsd:restriction base="dms:Choice">
          <xsd:enumeration value="Beth Williams"/>
          <xsd:enumeration value="Gaby Turner"/>
          <xsd:enumeration value="Lise Bissonnette"/>
          <xsd:enumeration value="Mary Adams"/>
        </xsd:restriction>
      </xsd:simpleType>
    </xsd:element>
    <xsd:element name="s3qm" ma:index="5" nillable="true" ma:displayName="Note / Drupal node" ma:internalName="s3qm">
      <xsd:simpleType>
        <xsd:restriction base="dms:Text"/>
      </xsd:simpleType>
    </xsd:element>
    <xsd:element name="_x0072_wl8" ma:index="6" nillable="true" ma:displayName="Priority" ma:internalName="_x0072_wl8">
      <xsd:simpleType>
        <xsd:restriction base="dms:Text"/>
      </xsd:simpleType>
    </xsd:element>
    <xsd:element name="kibs" ma:index="13" nillable="true" ma:displayName="Status" ma:internalName="kibs">
      <xsd:simpleType>
        <xsd:restriction base="dms:Text"/>
      </xsd:simpleType>
    </xsd:element>
    <xsd:element name="ouua" ma:index="14" nillable="true" ma:displayName="Page title" ma:internalName="ouua">
      <xsd:simpleType>
        <xsd:restriction base="dms:Text"/>
      </xsd:simpleType>
    </xsd:element>
    <xsd:element name="nh2c" ma:index="15" nillable="true" ma:displayName="Text" ma:internalName="nh2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ua xmlns="89040124-3724-453e-9e0f-d53a96d17322" xsi:nil="true"/>
    <Status xmlns="89040124-3724-453e-9e0f-d53a96d17322" xsi:nil="true"/>
    <nh2c xmlns="89040124-3724-453e-9e0f-d53a96d17322" xsi:nil="true"/>
    <Content_x0020_Strategist xmlns="89040124-3724-453e-9e0f-d53a96d17322" xsi:nil="true"/>
    <Document_x0020_Type xmlns="89040124-3724-453e-9e0f-d53a96d17322" xsi:nil="true"/>
    <s3qm xmlns="89040124-3724-453e-9e0f-d53a96d17322" xsi:nil="true"/>
    <_x0072_wl8 xmlns="89040124-3724-453e-9e0f-d53a96d17322" xsi:nil="true"/>
    <kibs xmlns="89040124-3724-453e-9e0f-d53a96d17322" xsi:nil="true"/>
  </documentManagement>
</p:properties>
</file>

<file path=customXml/itemProps1.xml><?xml version="1.0" encoding="utf-8"?>
<ds:datastoreItem xmlns:ds="http://schemas.openxmlformats.org/officeDocument/2006/customXml" ds:itemID="{44F2F2EA-7832-4CCF-940A-20D210BC3B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B7F1E8-A89D-45DA-916D-75763FA6E665}"/>
</file>

<file path=customXml/itemProps3.xml><?xml version="1.0" encoding="utf-8"?>
<ds:datastoreItem xmlns:ds="http://schemas.openxmlformats.org/officeDocument/2006/customXml" ds:itemID="{80F72ACD-2A83-48D3-8628-9D1189D5A0C5}"/>
</file>

<file path=customXml/itemProps4.xml><?xml version="1.0" encoding="utf-8"?>
<ds:datastoreItem xmlns:ds="http://schemas.openxmlformats.org/officeDocument/2006/customXml" ds:itemID="{9FAF2364-8CA5-40C5-980B-5968DED1D4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Rivera</dc:creator>
  <cp:keywords/>
  <dc:description/>
  <cp:lastModifiedBy>CAROLINA GARCIA GONZALEZ</cp:lastModifiedBy>
  <cp:revision>2</cp:revision>
  <dcterms:created xsi:type="dcterms:W3CDTF">2022-03-07T16:16:00Z</dcterms:created>
  <dcterms:modified xsi:type="dcterms:W3CDTF">2022-03-07T16:16:00Z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0x0101000BC99D48648DAA49B7B0BE8195B404DB</vt:lpwstr>
  </property>
</Properties>
</file>