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9F162" w14:textId="4ADD4B6E" w:rsidR="002761E8" w:rsidRPr="008F54B1" w:rsidRDefault="002761E8" w:rsidP="00B3037F">
      <w:pPr>
        <w:pStyle w:val="xmsonormal"/>
        <w:jc w:val="both"/>
        <w:rPr>
          <w:rFonts w:ascii="Montserrat" w:hAnsi="Montserrat"/>
          <w:i/>
          <w:iCs/>
          <w:color w:val="000000"/>
          <w:sz w:val="18"/>
          <w:szCs w:val="18"/>
          <w:lang w:val="es-MX"/>
        </w:rPr>
      </w:pPr>
      <w:r w:rsidRPr="008F54B1">
        <w:rPr>
          <w:rFonts w:ascii="Montserrat" w:hAnsi="Montserrat"/>
          <w:i/>
          <w:iCs/>
          <w:color w:val="000000"/>
          <w:sz w:val="18"/>
          <w:szCs w:val="18"/>
          <w:lang w:val="es-MX"/>
        </w:rPr>
        <w:t>“2022, Año de Ricardo Flores Magón”</w:t>
      </w:r>
    </w:p>
    <w:p w14:paraId="2E2E65E8" w14:textId="260E0D3A" w:rsidR="006516F1" w:rsidRPr="008F54B1" w:rsidRDefault="006516F1" w:rsidP="00B3037F">
      <w:pPr>
        <w:pStyle w:val="xmsonormal"/>
        <w:jc w:val="both"/>
        <w:rPr>
          <w:rFonts w:ascii="Montserrat" w:hAnsi="Montserrat"/>
          <w:sz w:val="18"/>
          <w:szCs w:val="18"/>
          <w:lang w:val="es-MX"/>
        </w:rPr>
      </w:pPr>
      <w:r w:rsidRPr="008F54B1">
        <w:rPr>
          <w:rFonts w:ascii="Montserrat" w:hAnsi="Montserrat"/>
          <w:color w:val="000000"/>
          <w:sz w:val="18"/>
          <w:szCs w:val="18"/>
          <w:bdr w:val="none" w:sz="0" w:space="0" w:color="auto" w:frame="1"/>
          <w:lang w:val="es-MX"/>
        </w:rPr>
        <w:t> </w:t>
      </w:r>
    </w:p>
    <w:p w14:paraId="45085198" w14:textId="77777777" w:rsidR="006516F1" w:rsidRPr="008F54B1" w:rsidRDefault="006516F1" w:rsidP="00B3037F">
      <w:pPr>
        <w:pStyle w:val="xmsonormal"/>
        <w:shd w:val="clear" w:color="auto" w:fill="FFFFFF"/>
        <w:jc w:val="both"/>
        <w:rPr>
          <w:rFonts w:ascii="Montserrat" w:hAnsi="Montserrat"/>
          <w:sz w:val="18"/>
          <w:szCs w:val="18"/>
          <w:lang w:val="es-MX"/>
        </w:rPr>
      </w:pPr>
      <w:r w:rsidRPr="008F54B1">
        <w:rPr>
          <w:rFonts w:ascii="Montserrat" w:hAnsi="Montserrat"/>
          <w:b/>
          <w:bCs/>
          <w:color w:val="000000"/>
          <w:sz w:val="18"/>
          <w:szCs w:val="18"/>
          <w:bdr w:val="none" w:sz="0" w:space="0" w:color="auto" w:frame="1"/>
          <w:lang w:val="es-MX"/>
        </w:rPr>
        <w:t>Subsecretaría para Asuntos Multilaterales y Derechos Humanos</w:t>
      </w:r>
    </w:p>
    <w:p w14:paraId="6B2F05AA" w14:textId="77777777" w:rsidR="006516F1" w:rsidRPr="008F54B1" w:rsidRDefault="006516F1" w:rsidP="00B3037F">
      <w:pPr>
        <w:pStyle w:val="xmsonormal"/>
        <w:shd w:val="clear" w:color="auto" w:fill="FFFFFF"/>
        <w:jc w:val="both"/>
        <w:rPr>
          <w:rFonts w:ascii="Montserrat" w:hAnsi="Montserrat"/>
          <w:color w:val="000000"/>
          <w:sz w:val="18"/>
          <w:szCs w:val="18"/>
          <w:bdr w:val="none" w:sz="0" w:space="0" w:color="auto" w:frame="1"/>
          <w:lang w:val="es-MX"/>
        </w:rPr>
      </w:pPr>
      <w:r w:rsidRPr="008F54B1">
        <w:rPr>
          <w:rFonts w:ascii="Montserrat" w:hAnsi="Montserrat"/>
          <w:color w:val="000000"/>
          <w:sz w:val="18"/>
          <w:szCs w:val="18"/>
          <w:bdr w:val="none" w:sz="0" w:space="0" w:color="auto" w:frame="1"/>
          <w:lang w:val="es-MX"/>
        </w:rPr>
        <w:t>Dirección General de Derechos Humanos y Democracia</w:t>
      </w:r>
    </w:p>
    <w:p w14:paraId="3262B146" w14:textId="77777777" w:rsidR="00C94268" w:rsidRDefault="00C94268" w:rsidP="00B3037F">
      <w:pPr>
        <w:pStyle w:val="NormalWeb"/>
        <w:shd w:val="clear" w:color="auto" w:fill="FFFFFF"/>
        <w:spacing w:before="0" w:beforeAutospacing="0" w:after="150" w:afterAutospacing="0"/>
        <w:jc w:val="both"/>
        <w:rPr>
          <w:b/>
          <w:bCs/>
          <w:color w:val="000000"/>
        </w:rPr>
      </w:pPr>
    </w:p>
    <w:p w14:paraId="22142648" w14:textId="616F0B1E" w:rsidR="003B6B44" w:rsidRPr="00E73AB9" w:rsidRDefault="00C94268" w:rsidP="00E73AB9">
      <w:pPr>
        <w:pStyle w:val="NormalWeb"/>
        <w:shd w:val="clear" w:color="auto" w:fill="AB2523"/>
        <w:spacing w:before="0" w:beforeAutospacing="0" w:after="0" w:afterAutospacing="0"/>
        <w:jc w:val="center"/>
        <w:rPr>
          <w:rFonts w:ascii="Montserrat" w:hAnsi="Montserrat"/>
          <w:b/>
          <w:bCs/>
          <w:color w:val="FFFFFF" w:themeColor="background1"/>
        </w:rPr>
      </w:pPr>
      <w:r w:rsidRPr="00B1431B">
        <w:rPr>
          <w:rFonts w:ascii="Montserrat" w:hAnsi="Montserrat"/>
          <w:b/>
          <w:bCs/>
          <w:color w:val="FFFFFF" w:themeColor="background1"/>
        </w:rPr>
        <w:t>Respuesta de</w:t>
      </w:r>
      <w:r w:rsidR="007053A9">
        <w:rPr>
          <w:rFonts w:ascii="Montserrat" w:hAnsi="Montserrat"/>
          <w:b/>
          <w:bCs/>
          <w:color w:val="FFFFFF" w:themeColor="background1"/>
        </w:rPr>
        <w:t>l Estado</w:t>
      </w:r>
      <w:r w:rsidRPr="00B1431B">
        <w:rPr>
          <w:rFonts w:ascii="Montserrat" w:hAnsi="Montserrat"/>
          <w:b/>
          <w:bCs/>
          <w:color w:val="FFFFFF" w:themeColor="background1"/>
        </w:rPr>
        <w:t xml:space="preserve"> M</w:t>
      </w:r>
      <w:r w:rsidR="007053A9">
        <w:rPr>
          <w:rFonts w:ascii="Montserrat" w:hAnsi="Montserrat"/>
          <w:b/>
          <w:bCs/>
          <w:color w:val="FFFFFF" w:themeColor="background1"/>
        </w:rPr>
        <w:t>ex</w:t>
      </w:r>
      <w:r w:rsidRPr="00B1431B">
        <w:rPr>
          <w:rFonts w:ascii="Montserrat" w:hAnsi="Montserrat"/>
          <w:b/>
          <w:bCs/>
          <w:color w:val="FFFFFF" w:themeColor="background1"/>
        </w:rPr>
        <w:t>ic</w:t>
      </w:r>
      <w:r w:rsidR="001B4DF0">
        <w:rPr>
          <w:rFonts w:ascii="Montserrat" w:hAnsi="Montserrat"/>
          <w:b/>
          <w:bCs/>
          <w:color w:val="FFFFFF" w:themeColor="background1"/>
        </w:rPr>
        <w:t>ano al Cuestionario del Relator Especial sobre el derecho a la vivienda adecuada, Sr. Balakrishnan Rajagopal, sobre derecho a la vivienda adecuada en los conflictos violentos</w:t>
      </w:r>
      <w:r w:rsidR="008F54B1">
        <w:rPr>
          <w:rFonts w:ascii="Montserrat" w:hAnsi="Montserrat"/>
          <w:b/>
          <w:bCs/>
          <w:color w:val="FFFFFF" w:themeColor="background1"/>
        </w:rPr>
        <w:t xml:space="preserve">, para </w:t>
      </w:r>
      <w:r w:rsidR="008F54B1" w:rsidRPr="008F54B1">
        <w:rPr>
          <w:rFonts w:ascii="Montserrat" w:hAnsi="Montserrat"/>
          <w:b/>
          <w:bCs/>
          <w:color w:val="FFFFFF" w:themeColor="background1"/>
        </w:rPr>
        <w:t>sustentar su informe temático que presentará ante el 77º periodo de sesiones de la Asamblea General en octubre de 2022.</w:t>
      </w:r>
    </w:p>
    <w:p w14:paraId="518D8817" w14:textId="77777777" w:rsidR="001B4DF0" w:rsidRPr="00EE56BD" w:rsidRDefault="001B4DF0" w:rsidP="001B4DF0">
      <w:pPr>
        <w:jc w:val="both"/>
        <w:rPr>
          <w:rFonts w:ascii="Montserrat" w:hAnsi="Montserrat"/>
          <w:b/>
        </w:rPr>
      </w:pPr>
    </w:p>
    <w:p w14:paraId="3DAAABCE" w14:textId="766F0105" w:rsidR="001B4DF0" w:rsidRPr="000B6BF5" w:rsidRDefault="001B4DF0" w:rsidP="001B4DF0">
      <w:pPr>
        <w:jc w:val="both"/>
        <w:rPr>
          <w:rFonts w:ascii="Montserrat" w:hAnsi="Montserrat"/>
          <w:sz w:val="20"/>
          <w:szCs w:val="20"/>
        </w:rPr>
      </w:pPr>
      <w:r w:rsidRPr="000B6BF5">
        <w:rPr>
          <w:rFonts w:ascii="Montserrat" w:hAnsi="Montserrat"/>
          <w:sz w:val="20"/>
          <w:szCs w:val="20"/>
        </w:rPr>
        <w:t xml:space="preserve">La política de vivienda </w:t>
      </w:r>
      <w:r w:rsidR="007F5EA9" w:rsidRPr="000B6BF5">
        <w:rPr>
          <w:rFonts w:ascii="Montserrat" w:hAnsi="Montserrat"/>
          <w:sz w:val="20"/>
          <w:szCs w:val="20"/>
        </w:rPr>
        <w:t>d</w:t>
      </w:r>
      <w:r w:rsidRPr="000B6BF5">
        <w:rPr>
          <w:rFonts w:ascii="Montserrat" w:hAnsi="Montserrat"/>
          <w:sz w:val="20"/>
          <w:szCs w:val="20"/>
        </w:rPr>
        <w:t>el gobierno de México tiene como eje conductor el cumplimiento de las obligaciones del Estado relativas a promover, difundir, respetar, proteger y garantizar el ejercicio del Derecho Humano a la Vivienda Adecuada, con énfasis en la perspectiva de género y un enfoque interseccional, con la participación de los diferentes actores públicos, privados y sociales, a través del rediseño del marco institucional y el desarrol</w:t>
      </w:r>
      <w:r w:rsidR="007F5EA9" w:rsidRPr="000B6BF5">
        <w:rPr>
          <w:rFonts w:ascii="Montserrat" w:hAnsi="Montserrat"/>
          <w:sz w:val="20"/>
          <w:szCs w:val="20"/>
        </w:rPr>
        <w:t>lo de esquemas financieros. El</w:t>
      </w:r>
      <w:r w:rsidRPr="000B6BF5">
        <w:rPr>
          <w:rFonts w:ascii="Montserrat" w:hAnsi="Montserrat"/>
          <w:sz w:val="20"/>
          <w:szCs w:val="20"/>
        </w:rPr>
        <w:t xml:space="preserve"> enfoque planeado e integrado al territorio, prioriza la atención al rezago habitacional y a la población históricamente discriminada, por medio de mecanismos apropiados para el desarrollo de programas de vivienda social y del apoyo a la producción social de vivienda</w:t>
      </w:r>
      <w:r w:rsidR="007F5EA9" w:rsidRPr="000B6BF5">
        <w:rPr>
          <w:rFonts w:ascii="Montserrat" w:hAnsi="Montserrat"/>
          <w:sz w:val="20"/>
          <w:szCs w:val="20"/>
        </w:rPr>
        <w:t>. Se centra</w:t>
      </w:r>
      <w:r w:rsidRPr="000B6BF5">
        <w:rPr>
          <w:rFonts w:ascii="Montserrat" w:hAnsi="Montserrat"/>
          <w:sz w:val="20"/>
          <w:szCs w:val="20"/>
        </w:rPr>
        <w:t xml:space="preserve"> en las familias de bajos ingresos y en aquellas personas que viven en condiciones de riesgo, de marginación, así como grupos vulnerables.</w:t>
      </w:r>
    </w:p>
    <w:p w14:paraId="578DC252" w14:textId="77777777" w:rsidR="001B4DF0" w:rsidRPr="000B6BF5" w:rsidRDefault="001B4DF0" w:rsidP="001B4DF0">
      <w:pPr>
        <w:jc w:val="both"/>
        <w:rPr>
          <w:rFonts w:ascii="Montserrat" w:hAnsi="Montserrat"/>
          <w:sz w:val="20"/>
          <w:szCs w:val="20"/>
        </w:rPr>
      </w:pPr>
    </w:p>
    <w:p w14:paraId="74649E60" w14:textId="0375D3BF" w:rsidR="001B4DF0" w:rsidRPr="000B6BF5" w:rsidRDefault="001B4DF0" w:rsidP="000B6BF5">
      <w:pPr>
        <w:jc w:val="both"/>
        <w:rPr>
          <w:rFonts w:ascii="Montserrat" w:hAnsi="Montserrat"/>
          <w:sz w:val="20"/>
          <w:szCs w:val="20"/>
        </w:rPr>
      </w:pPr>
      <w:r w:rsidRPr="000B6BF5">
        <w:rPr>
          <w:rFonts w:ascii="Montserrat" w:hAnsi="Montserrat"/>
          <w:sz w:val="20"/>
          <w:szCs w:val="20"/>
        </w:rPr>
        <w:t>La Comisión Nacional de Vivienda, Organismo Ejecutor de la Política Habitacional del Gobierno Federal, definió las siguientes</w:t>
      </w:r>
      <w:r w:rsidR="007F5EA9" w:rsidRPr="000B6BF5">
        <w:rPr>
          <w:rFonts w:ascii="Montserrat" w:hAnsi="Montserrat"/>
          <w:sz w:val="20"/>
          <w:szCs w:val="20"/>
        </w:rPr>
        <w:t xml:space="preserve"> 5</w:t>
      </w:r>
      <w:r w:rsidRPr="000B6BF5">
        <w:rPr>
          <w:rFonts w:ascii="Montserrat" w:hAnsi="Montserrat"/>
          <w:sz w:val="20"/>
          <w:szCs w:val="20"/>
        </w:rPr>
        <w:t xml:space="preserve"> estrategias para arribar progresivamente al logro del derecho a la vivienda adecuada:</w:t>
      </w:r>
    </w:p>
    <w:p w14:paraId="531CB9DE" w14:textId="75F439FE" w:rsidR="001B4DF0" w:rsidRPr="000B6BF5" w:rsidRDefault="001B4DF0" w:rsidP="007F5EA9">
      <w:pPr>
        <w:pStyle w:val="Prrafodelista"/>
        <w:numPr>
          <w:ilvl w:val="0"/>
          <w:numId w:val="46"/>
        </w:numPr>
        <w:spacing w:after="160" w:line="259" w:lineRule="auto"/>
        <w:jc w:val="both"/>
        <w:rPr>
          <w:rFonts w:ascii="Montserrat" w:hAnsi="Montserrat"/>
          <w:sz w:val="20"/>
          <w:szCs w:val="20"/>
        </w:rPr>
      </w:pPr>
      <w:r w:rsidRPr="000B6BF5">
        <w:rPr>
          <w:rFonts w:ascii="Montserrat" w:hAnsi="Montserrat"/>
          <w:sz w:val="20"/>
          <w:szCs w:val="20"/>
        </w:rPr>
        <w:t>Disminuir la carencia de una vivienda adecuada de la población en condiciones más vulnerables para contribuir en la disminución de la desigualdad de población y territorios.</w:t>
      </w:r>
    </w:p>
    <w:p w14:paraId="10135032" w14:textId="3561B225" w:rsidR="001B4DF0" w:rsidRPr="000B6BF5" w:rsidRDefault="001B4DF0" w:rsidP="007F5EA9">
      <w:pPr>
        <w:pStyle w:val="Prrafodelista"/>
        <w:numPr>
          <w:ilvl w:val="0"/>
          <w:numId w:val="46"/>
        </w:numPr>
        <w:spacing w:after="160" w:line="259" w:lineRule="auto"/>
        <w:jc w:val="both"/>
        <w:rPr>
          <w:rFonts w:ascii="Montserrat" w:hAnsi="Montserrat"/>
          <w:sz w:val="20"/>
          <w:szCs w:val="20"/>
        </w:rPr>
      </w:pPr>
      <w:bookmarkStart w:id="0" w:name="_Hlk86412639"/>
      <w:r w:rsidRPr="000B6BF5">
        <w:rPr>
          <w:rFonts w:ascii="Montserrat" w:hAnsi="Montserrat"/>
          <w:sz w:val="20"/>
          <w:szCs w:val="20"/>
        </w:rPr>
        <w:t>Ampliar los mecanismos de otorgamiento de subsidios para cubrir diversas necesidades en materia de vivienda de la población en situación de vulnerabilidad por condiciones sociodemográficas, por riesgo o por precariedad de su vivienda, en favor de su bienestar social</w:t>
      </w:r>
      <w:bookmarkEnd w:id="0"/>
      <w:r w:rsidRPr="000B6BF5">
        <w:rPr>
          <w:rFonts w:ascii="Montserrat" w:hAnsi="Montserrat"/>
          <w:sz w:val="20"/>
          <w:szCs w:val="20"/>
        </w:rPr>
        <w:t>.</w:t>
      </w:r>
    </w:p>
    <w:p w14:paraId="4FF839C6" w14:textId="7FFC0C6E" w:rsidR="001B4DF0" w:rsidRPr="000B6BF5" w:rsidRDefault="001B4DF0" w:rsidP="007F5EA9">
      <w:pPr>
        <w:pStyle w:val="Prrafodelista"/>
        <w:numPr>
          <w:ilvl w:val="0"/>
          <w:numId w:val="46"/>
        </w:numPr>
        <w:spacing w:after="160" w:line="259" w:lineRule="auto"/>
        <w:jc w:val="both"/>
        <w:rPr>
          <w:rFonts w:ascii="Montserrat" w:hAnsi="Montserrat"/>
          <w:sz w:val="20"/>
          <w:szCs w:val="20"/>
        </w:rPr>
      </w:pPr>
      <w:r w:rsidRPr="000B6BF5">
        <w:rPr>
          <w:rFonts w:ascii="Montserrat" w:hAnsi="Montserrat"/>
          <w:sz w:val="20"/>
          <w:szCs w:val="20"/>
        </w:rPr>
        <w:t>Fortalecer los procesos de Producción Social de Vivienda Asistida para participar en la consolidación del Sistema de Vivienda Adecuada.</w:t>
      </w:r>
    </w:p>
    <w:p w14:paraId="00CD2FD5" w14:textId="5A48FC8F" w:rsidR="001B4DF0" w:rsidRPr="000B6BF5" w:rsidRDefault="001B4DF0" w:rsidP="007F5EA9">
      <w:pPr>
        <w:pStyle w:val="Prrafodelista"/>
        <w:numPr>
          <w:ilvl w:val="0"/>
          <w:numId w:val="46"/>
        </w:numPr>
        <w:spacing w:after="160" w:line="259" w:lineRule="auto"/>
        <w:jc w:val="both"/>
        <w:rPr>
          <w:rFonts w:ascii="Montserrat" w:hAnsi="Montserrat"/>
          <w:sz w:val="20"/>
          <w:szCs w:val="20"/>
        </w:rPr>
      </w:pPr>
      <w:r w:rsidRPr="000B6BF5">
        <w:rPr>
          <w:rFonts w:ascii="Montserrat" w:hAnsi="Montserrat"/>
          <w:sz w:val="20"/>
          <w:szCs w:val="20"/>
        </w:rPr>
        <w:t xml:space="preserve">Asegurar la calidad y sustentabilidad de la vivienda para garantizar la habitabilidad, seguridad estructural, accesibilidad y adecuación cultural de la vivienda. </w:t>
      </w:r>
    </w:p>
    <w:p w14:paraId="5AB0BC1E" w14:textId="3D0DE04D" w:rsidR="001B4DF0" w:rsidRPr="000B6BF5" w:rsidRDefault="001B4DF0" w:rsidP="007F5EA9">
      <w:pPr>
        <w:pStyle w:val="Prrafodelista"/>
        <w:numPr>
          <w:ilvl w:val="0"/>
          <w:numId w:val="46"/>
        </w:numPr>
        <w:spacing w:after="160" w:line="259" w:lineRule="auto"/>
        <w:jc w:val="both"/>
        <w:rPr>
          <w:rFonts w:ascii="Montserrat" w:hAnsi="Montserrat"/>
          <w:sz w:val="20"/>
          <w:szCs w:val="20"/>
        </w:rPr>
      </w:pPr>
      <w:r w:rsidRPr="000B6BF5">
        <w:rPr>
          <w:rFonts w:ascii="Montserrat" w:hAnsi="Montserrat"/>
          <w:sz w:val="20"/>
          <w:szCs w:val="20"/>
        </w:rPr>
        <w:t>Potenciar el uso de recursos y programas de los tres órdenes de gobierno para el máximo aprovechamiento de estos por parte de la población en condiciones más vulnerables.</w:t>
      </w:r>
    </w:p>
    <w:p w14:paraId="4C13C912" w14:textId="77777777" w:rsidR="001B4DF0" w:rsidRPr="000B6BF5" w:rsidRDefault="001B4DF0" w:rsidP="001B4DF0">
      <w:pPr>
        <w:rPr>
          <w:rFonts w:ascii="Montserrat" w:hAnsi="Montserrat"/>
          <w:sz w:val="20"/>
          <w:szCs w:val="20"/>
        </w:rPr>
      </w:pPr>
      <w:r w:rsidRPr="000B6BF5">
        <w:rPr>
          <w:rFonts w:ascii="Montserrat" w:hAnsi="Montserrat"/>
          <w:sz w:val="20"/>
          <w:szCs w:val="20"/>
        </w:rPr>
        <w:t>La atención a las familias mexicanas, se prioriza ante las siguientes situaciones:</w:t>
      </w:r>
    </w:p>
    <w:p w14:paraId="2E159BF2" w14:textId="77777777" w:rsidR="001B4DF0" w:rsidRPr="000B6BF5" w:rsidRDefault="001B4DF0" w:rsidP="001B4DF0">
      <w:pPr>
        <w:pStyle w:val="Prrafodelista"/>
        <w:numPr>
          <w:ilvl w:val="0"/>
          <w:numId w:val="45"/>
        </w:numPr>
        <w:spacing w:after="160" w:line="259" w:lineRule="auto"/>
        <w:rPr>
          <w:rFonts w:ascii="Montserrat" w:hAnsi="Montserrat"/>
          <w:sz w:val="20"/>
          <w:szCs w:val="20"/>
        </w:rPr>
      </w:pPr>
      <w:r w:rsidRPr="000B6BF5">
        <w:rPr>
          <w:rFonts w:ascii="Montserrat" w:hAnsi="Montserrat"/>
          <w:sz w:val="20"/>
          <w:szCs w:val="20"/>
        </w:rPr>
        <w:t>Que estén situados en zonas de población mayoritariamente indígena.</w:t>
      </w:r>
    </w:p>
    <w:p w14:paraId="0E0C55AE" w14:textId="77777777" w:rsidR="001B4DF0" w:rsidRPr="000B6BF5" w:rsidRDefault="001B4DF0" w:rsidP="001B4DF0">
      <w:pPr>
        <w:pStyle w:val="Prrafodelista"/>
        <w:numPr>
          <w:ilvl w:val="0"/>
          <w:numId w:val="45"/>
        </w:numPr>
        <w:spacing w:after="160" w:line="259" w:lineRule="auto"/>
        <w:rPr>
          <w:rFonts w:ascii="Montserrat" w:hAnsi="Montserrat"/>
          <w:sz w:val="20"/>
          <w:szCs w:val="20"/>
        </w:rPr>
      </w:pPr>
      <w:bookmarkStart w:id="1" w:name="_Hlk86416661"/>
      <w:r w:rsidRPr="000B6BF5">
        <w:rPr>
          <w:rFonts w:ascii="Montserrat" w:hAnsi="Montserrat"/>
          <w:sz w:val="20"/>
          <w:szCs w:val="20"/>
        </w:rPr>
        <w:t>Con mujeres Jefas de hogar.</w:t>
      </w:r>
      <w:bookmarkEnd w:id="1"/>
    </w:p>
    <w:p w14:paraId="0A3FA19F" w14:textId="77777777" w:rsidR="001B4DF0" w:rsidRPr="000B6BF5" w:rsidRDefault="001B4DF0" w:rsidP="001B4DF0">
      <w:pPr>
        <w:pStyle w:val="Prrafodelista"/>
        <w:numPr>
          <w:ilvl w:val="0"/>
          <w:numId w:val="45"/>
        </w:numPr>
        <w:spacing w:after="160" w:line="259" w:lineRule="auto"/>
        <w:rPr>
          <w:rFonts w:ascii="Montserrat" w:hAnsi="Montserrat"/>
          <w:sz w:val="20"/>
          <w:szCs w:val="20"/>
        </w:rPr>
      </w:pPr>
      <w:r w:rsidRPr="000B6BF5">
        <w:rPr>
          <w:rFonts w:ascii="Montserrat" w:hAnsi="Montserrat"/>
          <w:sz w:val="20"/>
          <w:szCs w:val="20"/>
        </w:rPr>
        <w:t>Que hayan sido afectado por fenómenos naturales perturbadores.</w:t>
      </w:r>
    </w:p>
    <w:p w14:paraId="46280716" w14:textId="77777777" w:rsidR="001B4DF0" w:rsidRPr="000B6BF5" w:rsidRDefault="001B4DF0" w:rsidP="001B4DF0">
      <w:pPr>
        <w:pStyle w:val="Prrafodelista"/>
        <w:numPr>
          <w:ilvl w:val="0"/>
          <w:numId w:val="45"/>
        </w:numPr>
        <w:spacing w:after="160" w:line="259" w:lineRule="auto"/>
        <w:rPr>
          <w:rFonts w:ascii="Montserrat" w:hAnsi="Montserrat"/>
          <w:sz w:val="20"/>
          <w:szCs w:val="20"/>
        </w:rPr>
      </w:pPr>
      <w:r w:rsidRPr="000B6BF5">
        <w:rPr>
          <w:rFonts w:ascii="Montserrat" w:hAnsi="Montserrat"/>
          <w:sz w:val="20"/>
          <w:szCs w:val="20"/>
        </w:rPr>
        <w:t>Asentados en situación de riesgo.</w:t>
      </w:r>
    </w:p>
    <w:p w14:paraId="08A4A4EC" w14:textId="77777777" w:rsidR="001B4DF0" w:rsidRPr="000B6BF5" w:rsidRDefault="001B4DF0" w:rsidP="001B4DF0">
      <w:pPr>
        <w:pStyle w:val="Prrafodelista"/>
        <w:numPr>
          <w:ilvl w:val="0"/>
          <w:numId w:val="45"/>
        </w:numPr>
        <w:spacing w:after="160" w:line="259" w:lineRule="auto"/>
        <w:rPr>
          <w:rFonts w:ascii="Montserrat" w:hAnsi="Montserrat"/>
          <w:b/>
          <w:sz w:val="20"/>
          <w:szCs w:val="20"/>
        </w:rPr>
      </w:pPr>
      <w:r w:rsidRPr="000B6BF5">
        <w:rPr>
          <w:rFonts w:ascii="Montserrat" w:hAnsi="Montserrat"/>
          <w:b/>
          <w:sz w:val="20"/>
          <w:szCs w:val="20"/>
        </w:rPr>
        <w:t>Que estén situados en zonas con altos índices de violencia e inseguridad.</w:t>
      </w:r>
    </w:p>
    <w:p w14:paraId="2F57A19D" w14:textId="77777777" w:rsidR="001B4DF0" w:rsidRPr="000B6BF5" w:rsidRDefault="001B4DF0" w:rsidP="001B4DF0">
      <w:pPr>
        <w:pStyle w:val="Prrafodelista"/>
        <w:numPr>
          <w:ilvl w:val="0"/>
          <w:numId w:val="45"/>
        </w:numPr>
        <w:spacing w:after="160" w:line="259" w:lineRule="auto"/>
        <w:rPr>
          <w:rFonts w:ascii="Montserrat" w:hAnsi="Montserrat"/>
          <w:sz w:val="20"/>
          <w:szCs w:val="20"/>
        </w:rPr>
      </w:pPr>
      <w:r w:rsidRPr="000B6BF5">
        <w:rPr>
          <w:rFonts w:ascii="Montserrat" w:hAnsi="Montserrat"/>
          <w:sz w:val="20"/>
          <w:szCs w:val="20"/>
        </w:rPr>
        <w:t xml:space="preserve">De grupos sociales en situación de vulnerabilidad por riesgo, por ingreso o por condiciones sociodemográficas. </w:t>
      </w:r>
    </w:p>
    <w:p w14:paraId="4FDFE07F" w14:textId="77777777" w:rsidR="001B4DF0" w:rsidRPr="000B6BF5" w:rsidRDefault="001B4DF0" w:rsidP="001B4DF0">
      <w:pPr>
        <w:pStyle w:val="Prrafodelista"/>
        <w:numPr>
          <w:ilvl w:val="0"/>
          <w:numId w:val="45"/>
        </w:numPr>
        <w:spacing w:after="160" w:line="259" w:lineRule="auto"/>
        <w:rPr>
          <w:rFonts w:ascii="Montserrat" w:hAnsi="Montserrat"/>
          <w:sz w:val="20"/>
          <w:szCs w:val="20"/>
        </w:rPr>
      </w:pPr>
      <w:r w:rsidRPr="000B6BF5">
        <w:rPr>
          <w:rFonts w:ascii="Montserrat" w:hAnsi="Montserrat"/>
          <w:sz w:val="20"/>
          <w:szCs w:val="20"/>
        </w:rPr>
        <w:lastRenderedPageBreak/>
        <w:t>De migrantes mexicanos en el extranjero y de retorno.</w:t>
      </w:r>
    </w:p>
    <w:p w14:paraId="5AB44785" w14:textId="77777777" w:rsidR="001B4DF0" w:rsidRPr="000B6BF5" w:rsidRDefault="001B4DF0" w:rsidP="001B4DF0">
      <w:pPr>
        <w:jc w:val="both"/>
        <w:rPr>
          <w:rFonts w:ascii="Montserrat" w:hAnsi="Montserrat"/>
          <w:sz w:val="20"/>
          <w:szCs w:val="20"/>
        </w:rPr>
      </w:pPr>
    </w:p>
    <w:p w14:paraId="51289BEC" w14:textId="032E8069" w:rsidR="001B4DF0" w:rsidRPr="000B6BF5" w:rsidRDefault="007F5EA9" w:rsidP="001B4DF0">
      <w:pPr>
        <w:jc w:val="both"/>
        <w:rPr>
          <w:rFonts w:ascii="Montserrat" w:hAnsi="Montserrat"/>
          <w:sz w:val="20"/>
          <w:szCs w:val="20"/>
        </w:rPr>
      </w:pPr>
      <w:r w:rsidRPr="000B6BF5">
        <w:rPr>
          <w:rFonts w:ascii="Montserrat" w:hAnsi="Montserrat"/>
          <w:sz w:val="20"/>
          <w:szCs w:val="20"/>
        </w:rPr>
        <w:t>A</w:t>
      </w:r>
      <w:r w:rsidR="001B4DF0" w:rsidRPr="000B6BF5">
        <w:rPr>
          <w:rFonts w:ascii="Montserrat" w:hAnsi="Montserrat"/>
          <w:sz w:val="20"/>
          <w:szCs w:val="20"/>
        </w:rPr>
        <w:t xml:space="preserve"> partir de 2019, se trabaja en colaboración con la Secretaría de Gobernación en la revisión y atención de casos de conflictos violentos. Como se mostrará en el último apartado.</w:t>
      </w:r>
    </w:p>
    <w:p w14:paraId="1DF28813" w14:textId="77777777" w:rsidR="001B4DF0" w:rsidRPr="000B6BF5" w:rsidRDefault="001B4DF0" w:rsidP="001B4DF0">
      <w:pPr>
        <w:jc w:val="both"/>
        <w:rPr>
          <w:rFonts w:ascii="Montserrat" w:hAnsi="Montserrat"/>
          <w:sz w:val="20"/>
          <w:szCs w:val="20"/>
        </w:rPr>
      </w:pPr>
    </w:p>
    <w:p w14:paraId="7C5B047C" w14:textId="2A00FB3C" w:rsidR="001B4DF0" w:rsidRPr="000B6BF5" w:rsidRDefault="001B4DF0" w:rsidP="001B4DF0">
      <w:pPr>
        <w:jc w:val="both"/>
        <w:rPr>
          <w:rFonts w:ascii="Montserrat" w:hAnsi="Montserrat"/>
          <w:sz w:val="20"/>
          <w:szCs w:val="20"/>
        </w:rPr>
      </w:pPr>
      <w:r w:rsidRPr="000B6BF5">
        <w:rPr>
          <w:rFonts w:ascii="Montserrat" w:hAnsi="Montserrat"/>
          <w:sz w:val="20"/>
          <w:szCs w:val="20"/>
        </w:rPr>
        <w:t>La Comisión ejecuta acciones mediante el Programa de Vivienda Social (2019-actual), que tiene cobertura nacional, los objetivos del Programa son los anteriormente señalados; y el Programa Nacional de Reconstrucción (2019-actual), que busca atender a familias que sufrieron afectaciones o pérdida total en sus viviendas derivado de los sismos ocurridos en septiembre de 2017 y febrero de 2018.</w:t>
      </w:r>
    </w:p>
    <w:p w14:paraId="4AC8031B" w14:textId="77777777" w:rsidR="001B4DF0" w:rsidRPr="000B6BF5" w:rsidRDefault="001B4DF0" w:rsidP="001B4DF0">
      <w:pPr>
        <w:jc w:val="both"/>
        <w:rPr>
          <w:rFonts w:ascii="Montserrat" w:hAnsi="Montserrat"/>
          <w:sz w:val="20"/>
          <w:szCs w:val="20"/>
        </w:rPr>
      </w:pPr>
    </w:p>
    <w:p w14:paraId="12E4231E" w14:textId="28BC47C5" w:rsidR="001B4DF0" w:rsidRPr="000B6BF5" w:rsidRDefault="001B4DF0" w:rsidP="001B4DF0">
      <w:pPr>
        <w:jc w:val="both"/>
        <w:rPr>
          <w:rFonts w:ascii="Montserrat" w:hAnsi="Montserrat"/>
          <w:sz w:val="20"/>
          <w:szCs w:val="20"/>
        </w:rPr>
      </w:pPr>
      <w:r w:rsidRPr="000B6BF5">
        <w:rPr>
          <w:rFonts w:ascii="Montserrat" w:hAnsi="Montserrat"/>
          <w:sz w:val="20"/>
          <w:szCs w:val="20"/>
        </w:rPr>
        <w:t>En 2019 la Comisión participó en el Programa de Mejoramiento Urbano, vertiente vivienda en ámbito urbano, sin embargo, fue el único año donde el Programa tuvo un componente de vivienda.</w:t>
      </w:r>
      <w:r w:rsidR="007F5EA9" w:rsidRPr="000B6BF5">
        <w:rPr>
          <w:rFonts w:ascii="Montserrat" w:hAnsi="Montserrat"/>
          <w:sz w:val="20"/>
          <w:szCs w:val="20"/>
        </w:rPr>
        <w:t xml:space="preserve"> </w:t>
      </w:r>
      <w:r w:rsidRPr="000B6BF5">
        <w:rPr>
          <w:rFonts w:ascii="Montserrat" w:hAnsi="Montserrat"/>
          <w:sz w:val="20"/>
          <w:szCs w:val="20"/>
        </w:rPr>
        <w:t>Antes de 2019, la Conavi operó el Programa de Acceso al Financiamiento para soluciones Habitacionales, cuya ejecución estaba orientada a proporcionar subsidio que acompañaba un crédito para vivienda. Actualmente ese Programa transitó al actual Programa de Vivienda Social.</w:t>
      </w:r>
    </w:p>
    <w:p w14:paraId="5523EFE4" w14:textId="77777777" w:rsidR="001B4DF0" w:rsidRPr="000B6BF5" w:rsidRDefault="001B4DF0" w:rsidP="001B4DF0">
      <w:pPr>
        <w:jc w:val="both"/>
        <w:rPr>
          <w:rFonts w:ascii="Montserrat" w:hAnsi="Montserrat"/>
          <w:b/>
          <w:sz w:val="20"/>
          <w:szCs w:val="20"/>
        </w:rPr>
      </w:pPr>
    </w:p>
    <w:p w14:paraId="5EB6EE4B" w14:textId="77777777" w:rsidR="001B4DF0" w:rsidRPr="000B6BF5" w:rsidRDefault="001B4DF0" w:rsidP="001B4DF0">
      <w:pPr>
        <w:jc w:val="both"/>
        <w:rPr>
          <w:rFonts w:ascii="Montserrat" w:hAnsi="Montserrat"/>
          <w:b/>
          <w:sz w:val="20"/>
          <w:szCs w:val="20"/>
        </w:rPr>
      </w:pPr>
      <w:r w:rsidRPr="000B6BF5">
        <w:rPr>
          <w:rFonts w:ascii="Montserrat" w:hAnsi="Montserrat"/>
          <w:b/>
          <w:sz w:val="20"/>
          <w:szCs w:val="20"/>
        </w:rPr>
        <w:t>Zonas de alto índice de violencia</w:t>
      </w:r>
    </w:p>
    <w:p w14:paraId="2AE0A5BD" w14:textId="77777777" w:rsidR="001B4DF0" w:rsidRPr="000B6BF5" w:rsidRDefault="001B4DF0" w:rsidP="001B4DF0">
      <w:pPr>
        <w:jc w:val="both"/>
        <w:rPr>
          <w:rFonts w:ascii="Montserrat" w:hAnsi="Montserrat"/>
          <w:b/>
          <w:sz w:val="20"/>
          <w:szCs w:val="20"/>
        </w:rPr>
      </w:pPr>
    </w:p>
    <w:p w14:paraId="07430C1F" w14:textId="77777777" w:rsidR="001B4DF0" w:rsidRPr="000B6BF5" w:rsidRDefault="001B4DF0" w:rsidP="001B4DF0">
      <w:pPr>
        <w:jc w:val="both"/>
        <w:rPr>
          <w:rFonts w:ascii="Montserrat" w:hAnsi="Montserrat"/>
          <w:sz w:val="20"/>
          <w:szCs w:val="20"/>
        </w:rPr>
      </w:pPr>
      <w:r w:rsidRPr="000B6BF5">
        <w:rPr>
          <w:rFonts w:ascii="Montserrat" w:hAnsi="Montserrat"/>
          <w:sz w:val="20"/>
          <w:szCs w:val="20"/>
        </w:rPr>
        <w:t xml:space="preserve">En México se contabilizan 6,155,682 viviendas deshabitadas de acuerdo con el Censo de Población y Vivienda 2020 (INEGI, 2021). Este número puede estar relacionado con la inseguridad de la tenencia, situaciones de riesgo, desplazamientos internos forzados, conflictos territoriales, crimen organizado y violencia (CONEVAL, 2018). </w:t>
      </w:r>
    </w:p>
    <w:p w14:paraId="3234A72D" w14:textId="77777777" w:rsidR="001B4DF0" w:rsidRPr="000B6BF5" w:rsidRDefault="001B4DF0" w:rsidP="001B4DF0">
      <w:pPr>
        <w:jc w:val="both"/>
        <w:rPr>
          <w:rFonts w:ascii="Montserrat" w:hAnsi="Montserrat"/>
          <w:sz w:val="20"/>
          <w:szCs w:val="20"/>
        </w:rPr>
      </w:pPr>
    </w:p>
    <w:p w14:paraId="28FE3FBE" w14:textId="77777777" w:rsidR="001B4DF0" w:rsidRPr="000B6BF5" w:rsidRDefault="001B4DF0" w:rsidP="001B4DF0">
      <w:pPr>
        <w:jc w:val="both"/>
        <w:rPr>
          <w:rFonts w:ascii="Montserrat" w:hAnsi="Montserrat"/>
          <w:sz w:val="20"/>
          <w:szCs w:val="20"/>
        </w:rPr>
      </w:pPr>
      <w:r w:rsidRPr="000B6BF5">
        <w:rPr>
          <w:rFonts w:ascii="Montserrat" w:hAnsi="Montserrat"/>
          <w:sz w:val="20"/>
          <w:szCs w:val="20"/>
        </w:rPr>
        <w:t xml:space="preserve">En 2020 se registraron 24 episodios de desplazamientos internos forzados que afectaron a 9,741 personas en 25 municipios por violencia generada por grupos armados organizados, violencia política, conflictividad social y conflictos territoriales. En 15 de estos episodios, la violencia incluyó la quema o destrucción de casas, negocios y/o cultivos.  Como una de las consecuencias de los desplazamientos forzosos es el abandono de las viviendas, se pone en riesgo la seguridad de la tenencia debido a que, en ocasiones, ausentarse vulnera los derechos colectivos de la tierra (CMDPDH, 2021).   </w:t>
      </w:r>
    </w:p>
    <w:p w14:paraId="3CE0200F" w14:textId="77777777" w:rsidR="001B4DF0" w:rsidRPr="000B6BF5" w:rsidRDefault="001B4DF0" w:rsidP="001B4DF0">
      <w:pPr>
        <w:jc w:val="both"/>
        <w:rPr>
          <w:rFonts w:ascii="Montserrat" w:hAnsi="Montserrat"/>
          <w:sz w:val="20"/>
          <w:szCs w:val="20"/>
        </w:rPr>
      </w:pPr>
    </w:p>
    <w:p w14:paraId="7D3AB696" w14:textId="77777777" w:rsidR="001B4DF0" w:rsidRPr="000B6BF5" w:rsidRDefault="001B4DF0" w:rsidP="001B4DF0">
      <w:pPr>
        <w:jc w:val="both"/>
        <w:rPr>
          <w:rFonts w:ascii="Montserrat" w:hAnsi="Montserrat"/>
          <w:sz w:val="20"/>
          <w:szCs w:val="20"/>
        </w:rPr>
      </w:pPr>
      <w:r w:rsidRPr="000B6BF5">
        <w:rPr>
          <w:rFonts w:ascii="Montserrat" w:hAnsi="Montserrat"/>
          <w:sz w:val="20"/>
          <w:szCs w:val="20"/>
        </w:rPr>
        <w:t xml:space="preserve">De acuerdo con los datos del Censo de Población y Vivienda 2020 (INEGI, 2021), se calcula que 8,196 personas migraron a causa de la inseguridad delictiva o violencia entre marzo 2015 y marzo 2020. En un total de 5,236 viviendas se reportó al menos una persona migrante, en 1,613 de estas viviendas se reportaron dos personas que migraron, y en 1,309 más de dos personas. </w:t>
      </w:r>
    </w:p>
    <w:p w14:paraId="507BA236" w14:textId="77777777" w:rsidR="001B4DF0" w:rsidRPr="000B6BF5" w:rsidRDefault="001B4DF0" w:rsidP="001B4DF0">
      <w:pPr>
        <w:jc w:val="both"/>
        <w:rPr>
          <w:rFonts w:ascii="Montserrat" w:hAnsi="Montserrat"/>
          <w:sz w:val="20"/>
          <w:szCs w:val="20"/>
        </w:rPr>
      </w:pPr>
    </w:p>
    <w:p w14:paraId="320AC610" w14:textId="77777777" w:rsidR="001B4DF0" w:rsidRPr="000B6BF5" w:rsidRDefault="001B4DF0" w:rsidP="001B4DF0">
      <w:pPr>
        <w:jc w:val="both"/>
        <w:rPr>
          <w:rFonts w:ascii="Montserrat" w:hAnsi="Montserrat"/>
          <w:sz w:val="20"/>
          <w:szCs w:val="20"/>
        </w:rPr>
      </w:pPr>
      <w:r w:rsidRPr="000B6BF5">
        <w:rPr>
          <w:rFonts w:ascii="Montserrat" w:hAnsi="Montserrat"/>
          <w:sz w:val="20"/>
          <w:szCs w:val="20"/>
        </w:rPr>
        <w:t xml:space="preserve">En el Mapa 1 se observa que la mayoría de los municipios con población migrante por violencia se encuentran dispersos a lo largo del territorio. No obstante, se identifica una zona con alta migración en la costa del Pacífico que va desde Michoacán hasta Guerrero. Asimismo, destacan algunos municipios fronterizos en Baja California y Tamaulipas. </w:t>
      </w:r>
    </w:p>
    <w:p w14:paraId="0461725A" w14:textId="77777777" w:rsidR="001B4DF0" w:rsidRPr="008F54B1" w:rsidRDefault="001B4DF0" w:rsidP="001B4DF0">
      <w:pPr>
        <w:jc w:val="center"/>
        <w:rPr>
          <w:rFonts w:ascii="Montserrat" w:hAnsi="Montserrat"/>
          <w:i/>
          <w:color w:val="600000"/>
        </w:rPr>
      </w:pPr>
    </w:p>
    <w:p w14:paraId="5F5433DB" w14:textId="4726B826" w:rsidR="001B4DF0" w:rsidRPr="008F54B1" w:rsidRDefault="001B4DF0" w:rsidP="008F54B1">
      <w:pPr>
        <w:jc w:val="center"/>
        <w:rPr>
          <w:rFonts w:ascii="Montserrat" w:hAnsi="Montserrat"/>
          <w:i/>
          <w:color w:val="600000"/>
          <w:sz w:val="18"/>
          <w:szCs w:val="18"/>
        </w:rPr>
      </w:pPr>
      <w:r w:rsidRPr="008F54B1">
        <w:rPr>
          <w:rFonts w:ascii="Montserrat" w:hAnsi="Montserrat"/>
          <w:i/>
          <w:color w:val="600000"/>
          <w:sz w:val="18"/>
          <w:szCs w:val="18"/>
        </w:rPr>
        <w:t>Mapa 1. Migración por inseguridad delictiva o violencia por municipio en México 2020</w:t>
      </w:r>
    </w:p>
    <w:p w14:paraId="59C779F1" w14:textId="7FD2ED00" w:rsidR="001B4DF0" w:rsidRPr="008F54B1" w:rsidRDefault="001B4DF0" w:rsidP="007F5EA9">
      <w:pPr>
        <w:spacing w:before="120" w:after="120"/>
        <w:jc w:val="center"/>
        <w:rPr>
          <w:rFonts w:ascii="Montserrat" w:hAnsi="Montserrat" w:cs="Times New Roman"/>
          <w:lang w:val="es-MX"/>
        </w:rPr>
      </w:pPr>
      <w:r w:rsidRPr="008F54B1">
        <w:rPr>
          <w:rFonts w:ascii="Montserrat" w:hAnsi="Montserrat"/>
          <w:noProof/>
          <w:lang w:eastAsia="es-MX"/>
        </w:rPr>
        <w:lastRenderedPageBreak/>
        <w:drawing>
          <wp:inline distT="0" distB="0" distL="0" distR="0" wp14:anchorId="59DB10BC" wp14:editId="3BB06EBA">
            <wp:extent cx="2841443" cy="2009457"/>
            <wp:effectExtent l="0" t="0" r="0" b="0"/>
            <wp:docPr id="2" name="Imagen 2"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Map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4819" cy="2025988"/>
                    </a:xfrm>
                    <a:prstGeom prst="rect">
                      <a:avLst/>
                    </a:prstGeom>
                  </pic:spPr>
                </pic:pic>
              </a:graphicData>
            </a:graphic>
          </wp:inline>
        </w:drawing>
      </w:r>
    </w:p>
    <w:p w14:paraId="549E074A" w14:textId="140A4A49" w:rsidR="001B4DF0" w:rsidRPr="000B6BF5" w:rsidRDefault="001B4DF0" w:rsidP="007F5EA9">
      <w:pPr>
        <w:spacing w:before="120" w:after="120"/>
        <w:jc w:val="center"/>
        <w:rPr>
          <w:rFonts w:ascii="Montserrat" w:hAnsi="Montserrat" w:cs="Times New Roman"/>
          <w:sz w:val="20"/>
          <w:szCs w:val="20"/>
          <w:lang w:val="es-MX"/>
        </w:rPr>
      </w:pPr>
      <w:r w:rsidRPr="000B6BF5">
        <w:rPr>
          <w:rFonts w:ascii="Montserrat" w:hAnsi="Montserrat" w:cs="Times New Roman"/>
          <w:sz w:val="20"/>
          <w:szCs w:val="20"/>
          <w:lang w:val="es-MX"/>
        </w:rPr>
        <w:t>Fuente: Comisión Nacional de Vivienda 2022, con datos del INEGI (2021).</w:t>
      </w:r>
    </w:p>
    <w:p w14:paraId="0A3A1B1F" w14:textId="77777777" w:rsidR="001B4DF0" w:rsidRPr="000B6BF5" w:rsidRDefault="001B4DF0" w:rsidP="001B4DF0">
      <w:pPr>
        <w:jc w:val="both"/>
        <w:rPr>
          <w:rFonts w:ascii="Montserrat" w:hAnsi="Montserrat"/>
          <w:sz w:val="20"/>
          <w:szCs w:val="20"/>
        </w:rPr>
      </w:pPr>
      <w:r w:rsidRPr="000B6BF5">
        <w:rPr>
          <w:rFonts w:ascii="Montserrat" w:hAnsi="Montserrat"/>
          <w:sz w:val="20"/>
          <w:szCs w:val="20"/>
        </w:rPr>
        <w:t xml:space="preserve">El mayor número de personas que migraron a causa de la violencia se reporta en los municipios de Acapulco de Juárez en Guerrero (364), Zapopan en Jalisco (321), Tijuana en Baja California (297), Guadalajara en Jalisco (277) y Chihuahua en Chihuahua (223) (Mapa 1) y se concentran en los estados de Guerrero y Michoacán (Gráfico 1). </w:t>
      </w:r>
    </w:p>
    <w:p w14:paraId="7B7A3A51" w14:textId="77777777" w:rsidR="007F5EA9" w:rsidRPr="00EE56BD" w:rsidRDefault="007F5EA9" w:rsidP="001B4DF0">
      <w:pPr>
        <w:jc w:val="both"/>
        <w:rPr>
          <w:rFonts w:ascii="Montserrat" w:hAnsi="Montserrat"/>
          <w:sz w:val="20"/>
          <w:szCs w:val="16"/>
        </w:rPr>
      </w:pPr>
    </w:p>
    <w:p w14:paraId="15901549" w14:textId="77777777" w:rsidR="001B4DF0" w:rsidRPr="008F54B1" w:rsidRDefault="001B4DF0" w:rsidP="001B4DF0">
      <w:pPr>
        <w:jc w:val="center"/>
        <w:rPr>
          <w:rFonts w:ascii="Montserrat" w:hAnsi="Montserrat"/>
          <w:i/>
          <w:color w:val="600000"/>
          <w:sz w:val="18"/>
          <w:szCs w:val="18"/>
        </w:rPr>
      </w:pPr>
      <w:r w:rsidRPr="008F54B1">
        <w:rPr>
          <w:rFonts w:ascii="Montserrat" w:hAnsi="Montserrat"/>
          <w:i/>
          <w:color w:val="600000"/>
          <w:sz w:val="18"/>
          <w:szCs w:val="18"/>
        </w:rPr>
        <w:t>Gráfico 1. Migración a causa de la violencia por entidad federativa en México 2020</w:t>
      </w:r>
    </w:p>
    <w:p w14:paraId="69D09EA5" w14:textId="3148855B" w:rsidR="001B4DF0" w:rsidRDefault="001B4DF0" w:rsidP="008F54B1">
      <w:pPr>
        <w:spacing w:before="120" w:after="120"/>
        <w:jc w:val="center"/>
        <w:rPr>
          <w:rFonts w:ascii="Montserrat" w:hAnsi="Montserrat" w:cs="Times New Roman"/>
          <w:lang w:val="es-MX"/>
        </w:rPr>
      </w:pPr>
      <w:r w:rsidRPr="00EE56BD">
        <w:rPr>
          <w:noProof/>
          <w:sz w:val="32"/>
          <w:lang w:eastAsia="es-MX"/>
        </w:rPr>
        <w:drawing>
          <wp:inline distT="0" distB="0" distL="0" distR="0" wp14:anchorId="4630D278" wp14:editId="78847A60">
            <wp:extent cx="4959668" cy="1719262"/>
            <wp:effectExtent l="0" t="0" r="12700" b="14605"/>
            <wp:docPr id="8" name="Gráfico 8">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E3B2A23B-8714-4C28-BADC-B1375A451B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07D5BA7" w14:textId="77777777" w:rsidR="001B4DF0" w:rsidRPr="007F5EA9" w:rsidRDefault="001B4DF0" w:rsidP="001B4DF0">
      <w:pPr>
        <w:jc w:val="center"/>
        <w:rPr>
          <w:rFonts w:ascii="Montserrat" w:hAnsi="Montserrat"/>
          <w:sz w:val="16"/>
          <w:szCs w:val="16"/>
        </w:rPr>
      </w:pPr>
      <w:r w:rsidRPr="007F5EA9">
        <w:rPr>
          <w:rFonts w:ascii="Montserrat" w:hAnsi="Montserrat"/>
          <w:sz w:val="16"/>
          <w:szCs w:val="16"/>
        </w:rPr>
        <w:t>Fuente: Comisión Nacional de Vivienda 2022, con datos del INEGI (2021).</w:t>
      </w:r>
    </w:p>
    <w:p w14:paraId="129C607A" w14:textId="77777777" w:rsidR="007F5EA9" w:rsidRDefault="007F5EA9" w:rsidP="007F5EA9">
      <w:pPr>
        <w:jc w:val="both"/>
        <w:rPr>
          <w:rFonts w:ascii="Montserrat" w:hAnsi="Montserrat"/>
          <w:sz w:val="20"/>
          <w:szCs w:val="16"/>
        </w:rPr>
      </w:pPr>
    </w:p>
    <w:p w14:paraId="5AA68787" w14:textId="142DD129" w:rsidR="007F5EA9" w:rsidRPr="00EE56BD" w:rsidRDefault="007F5EA9" w:rsidP="007F5EA9">
      <w:pPr>
        <w:jc w:val="both"/>
        <w:rPr>
          <w:rFonts w:ascii="Montserrat" w:hAnsi="Montserrat"/>
          <w:sz w:val="20"/>
          <w:szCs w:val="16"/>
        </w:rPr>
      </w:pPr>
      <w:r w:rsidRPr="00EE56BD">
        <w:rPr>
          <w:rFonts w:ascii="Montserrat" w:hAnsi="Montserrat"/>
          <w:sz w:val="20"/>
          <w:szCs w:val="16"/>
        </w:rPr>
        <w:t>Los resultados del gráfico 2 sugiere</w:t>
      </w:r>
      <w:r>
        <w:rPr>
          <w:rFonts w:ascii="Montserrat" w:hAnsi="Montserrat"/>
          <w:sz w:val="20"/>
          <w:szCs w:val="16"/>
        </w:rPr>
        <w:t>n</w:t>
      </w:r>
      <w:r w:rsidRPr="00EE56BD">
        <w:rPr>
          <w:rFonts w:ascii="Montserrat" w:hAnsi="Montserrat"/>
          <w:sz w:val="20"/>
          <w:szCs w:val="16"/>
        </w:rPr>
        <w:t xml:space="preserve"> que existe una relación directa entre la migración por causas de inseguridad delictiva y violencia y la cantidad de viviendas deshabitadas. De esta manera, a mayor migración incrementa el abandono de la vivienda, como destaca en los municipios de Acapulco de Juárez en Guerrero y Zapopan en Jalisco. </w:t>
      </w:r>
    </w:p>
    <w:p w14:paraId="536DAEF5" w14:textId="77777777" w:rsidR="008F54B1" w:rsidRDefault="008F54B1" w:rsidP="007F5EA9">
      <w:pPr>
        <w:jc w:val="center"/>
        <w:rPr>
          <w:rFonts w:ascii="Montserrat" w:hAnsi="Montserrat"/>
          <w:i/>
          <w:color w:val="600000"/>
          <w:sz w:val="20"/>
          <w:szCs w:val="20"/>
        </w:rPr>
      </w:pPr>
    </w:p>
    <w:p w14:paraId="36E0AF69" w14:textId="77777777" w:rsidR="007F5EA9" w:rsidRPr="00EE56BD" w:rsidRDefault="007F5EA9" w:rsidP="007F5EA9">
      <w:pPr>
        <w:jc w:val="center"/>
        <w:rPr>
          <w:rFonts w:ascii="Montserrat" w:hAnsi="Montserrat"/>
          <w:i/>
          <w:color w:val="600000"/>
          <w:sz w:val="20"/>
          <w:szCs w:val="20"/>
        </w:rPr>
      </w:pPr>
      <w:r w:rsidRPr="00EE56BD">
        <w:rPr>
          <w:rFonts w:ascii="Montserrat" w:hAnsi="Montserrat"/>
          <w:i/>
          <w:color w:val="600000"/>
          <w:sz w:val="20"/>
          <w:szCs w:val="20"/>
        </w:rPr>
        <w:t xml:space="preserve">Gráfico 2. Viviendas deshabitadas y migración por violencia 2020 en los municipios con mayor cantidad de emigrantes </w:t>
      </w:r>
    </w:p>
    <w:p w14:paraId="7D8F13BD" w14:textId="2F0FBC11" w:rsidR="001B4DF0" w:rsidRDefault="007F5EA9" w:rsidP="001B4DF0">
      <w:pPr>
        <w:spacing w:before="120" w:after="120"/>
        <w:jc w:val="both"/>
        <w:rPr>
          <w:rFonts w:ascii="Montserrat" w:hAnsi="Montserrat" w:cs="Times New Roman"/>
          <w:lang w:val="es-MX"/>
        </w:rPr>
      </w:pPr>
      <w:r w:rsidRPr="00EE56BD">
        <w:rPr>
          <w:noProof/>
          <w:sz w:val="32"/>
          <w:lang w:eastAsia="es-MX"/>
        </w:rPr>
        <w:lastRenderedPageBreak/>
        <w:drawing>
          <wp:inline distT="0" distB="0" distL="0" distR="0" wp14:anchorId="09AEB71D" wp14:editId="0A265363">
            <wp:extent cx="6340793" cy="2143125"/>
            <wp:effectExtent l="0" t="0" r="3175" b="9525"/>
            <wp:docPr id="9" name="Gráfico 9">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DEB01F06-37D5-4996-BAC0-D67D031136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3D51E52" w14:textId="77777777" w:rsidR="007F5EA9" w:rsidRPr="007F5EA9" w:rsidRDefault="007F5EA9" w:rsidP="007F5EA9">
      <w:pPr>
        <w:jc w:val="center"/>
        <w:rPr>
          <w:rFonts w:ascii="Montserrat" w:hAnsi="Montserrat"/>
          <w:sz w:val="16"/>
          <w:szCs w:val="16"/>
        </w:rPr>
      </w:pPr>
      <w:r w:rsidRPr="007F5EA9">
        <w:rPr>
          <w:rFonts w:ascii="Montserrat" w:hAnsi="Montserrat"/>
          <w:sz w:val="16"/>
          <w:szCs w:val="16"/>
        </w:rPr>
        <w:t>Fuente: Comisión Nacional de Vivienda 2022, con datos del INEGI (2021).</w:t>
      </w:r>
    </w:p>
    <w:p w14:paraId="739969CA" w14:textId="77777777" w:rsidR="007F5EA9" w:rsidRDefault="007F5EA9" w:rsidP="007F5EA9">
      <w:pPr>
        <w:jc w:val="both"/>
        <w:rPr>
          <w:rFonts w:ascii="Montserrat" w:hAnsi="Montserrat"/>
          <w:sz w:val="20"/>
          <w:szCs w:val="16"/>
        </w:rPr>
      </w:pPr>
    </w:p>
    <w:p w14:paraId="21F8EFC8" w14:textId="77777777" w:rsidR="007F5EA9" w:rsidRPr="008F54B1" w:rsidRDefault="007F5EA9" w:rsidP="007F5EA9">
      <w:pPr>
        <w:jc w:val="both"/>
        <w:rPr>
          <w:rFonts w:ascii="Montserrat" w:hAnsi="Montserrat"/>
          <w:sz w:val="20"/>
          <w:szCs w:val="20"/>
        </w:rPr>
      </w:pPr>
      <w:r w:rsidRPr="008F54B1">
        <w:rPr>
          <w:rFonts w:ascii="Montserrat" w:hAnsi="Montserrat"/>
          <w:sz w:val="20"/>
          <w:szCs w:val="20"/>
        </w:rPr>
        <w:t xml:space="preserve">De los 68 municipios con mayor migración por violencia, 17 se localizan en Michoacán y 15 en Guerrero (47.1% de los municipios). El resto se ubican en Baja California, Coahuila, Colima, Chiapas, Chihuahua, Ciudad de México, Guanajuato, Jalisco, México, Morelos, Oaxaca, Puebla, Querétaro, Tamaulipas, Tlaxcala, Veracruz y Zacatecas. Cabe destacar que 18.9% de esta población residía en Jalisco, 23.0% en Guerrero y 18.0% en Michoacán. En estos municipios se registra un total de 775,268 viviendas deshabitadas, las cuales se concentran en los estados de Jalisco, Michoacán y Guerrero (54.4%). </w:t>
      </w:r>
    </w:p>
    <w:p w14:paraId="661383C7" w14:textId="77777777" w:rsidR="007F5EA9" w:rsidRPr="008F54B1" w:rsidRDefault="007F5EA9" w:rsidP="007F5EA9">
      <w:pPr>
        <w:jc w:val="both"/>
        <w:rPr>
          <w:rFonts w:ascii="Montserrat" w:hAnsi="Montserrat"/>
          <w:sz w:val="20"/>
          <w:szCs w:val="20"/>
        </w:rPr>
      </w:pPr>
    </w:p>
    <w:p w14:paraId="3D62B3D6" w14:textId="5F7C5DD9" w:rsidR="007F5EA9" w:rsidRPr="008F54B1" w:rsidRDefault="007F5EA9" w:rsidP="007F5EA9">
      <w:pPr>
        <w:jc w:val="both"/>
        <w:rPr>
          <w:rFonts w:ascii="Montserrat" w:hAnsi="Montserrat"/>
          <w:sz w:val="20"/>
          <w:szCs w:val="20"/>
        </w:rPr>
      </w:pPr>
      <w:r w:rsidRPr="008F54B1">
        <w:rPr>
          <w:rFonts w:ascii="Montserrat" w:hAnsi="Montserrat"/>
          <w:sz w:val="20"/>
          <w:szCs w:val="20"/>
        </w:rPr>
        <w:t xml:space="preserve">De acuerdo con el Censo de Población y Vivienda 2020 (INEGI, 2021), de la población que migró entre marzo 2015 y marzo 2020, han regresado 1,212 personas, de las cuales 994 regresaron a residir en la misma vivienda que habitaban. Esto implica que sólo el 12.1% de quienes migraron por causas de inseguridad delictiva o violencia regresaron a habitar su vivienda. Del mismo modo, se encontró que en municipios con una alta tasa de homicidios por cada 100 mil habitantes el porcentaje de viviendas deshabitadas es mayor, como es el caso del municipio de Mulegé en Baja California Sur (Mapa 2). </w:t>
      </w:r>
    </w:p>
    <w:p w14:paraId="0E99F056" w14:textId="77777777" w:rsidR="007F5EA9" w:rsidRPr="008F54B1" w:rsidRDefault="007F5EA9" w:rsidP="007F5EA9">
      <w:pPr>
        <w:jc w:val="both"/>
        <w:rPr>
          <w:rFonts w:ascii="Montserrat" w:hAnsi="Montserrat"/>
          <w:sz w:val="20"/>
          <w:szCs w:val="20"/>
        </w:rPr>
      </w:pPr>
    </w:p>
    <w:p w14:paraId="42A5D3AE" w14:textId="77777777" w:rsidR="007F5EA9" w:rsidRPr="008F54B1" w:rsidRDefault="007F5EA9" w:rsidP="007F5EA9">
      <w:pPr>
        <w:jc w:val="center"/>
        <w:rPr>
          <w:rFonts w:ascii="Montserrat" w:hAnsi="Montserrat"/>
          <w:i/>
          <w:color w:val="600000"/>
          <w:sz w:val="20"/>
          <w:szCs w:val="20"/>
        </w:rPr>
      </w:pPr>
      <w:r w:rsidRPr="008F54B1">
        <w:rPr>
          <w:rFonts w:ascii="Montserrat" w:hAnsi="Montserrat"/>
          <w:i/>
          <w:color w:val="600000"/>
          <w:sz w:val="20"/>
          <w:szCs w:val="20"/>
        </w:rPr>
        <w:t>Mapa 2. Tasa de homicidios por cada 100 mil habitantes y porcentaje de viviendas deshabitadas por municipio en México 2020</w:t>
      </w:r>
    </w:p>
    <w:p w14:paraId="0E0AD922" w14:textId="2A56DD92" w:rsidR="007F5EA9" w:rsidRDefault="007F5EA9" w:rsidP="007F5EA9">
      <w:pPr>
        <w:spacing w:before="120" w:after="120"/>
        <w:jc w:val="center"/>
        <w:rPr>
          <w:rFonts w:ascii="Montserrat" w:hAnsi="Montserrat" w:cs="Times New Roman"/>
          <w:lang w:val="es-MX"/>
        </w:rPr>
      </w:pPr>
      <w:r w:rsidRPr="00EE56BD">
        <w:rPr>
          <w:rFonts w:ascii="Montserrat" w:hAnsi="Montserrat"/>
          <w:noProof/>
          <w:szCs w:val="20"/>
          <w:lang w:eastAsia="es-MX"/>
        </w:rPr>
        <w:drawing>
          <wp:inline distT="0" distB="0" distL="0" distR="0" wp14:anchorId="617EF7D0" wp14:editId="59093499">
            <wp:extent cx="3550348" cy="1804670"/>
            <wp:effectExtent l="0" t="0" r="0" b="5080"/>
            <wp:docPr id="27" name="Imagen 27"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Mapa&#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636923" cy="1848677"/>
                    </a:xfrm>
                    <a:prstGeom prst="rect">
                      <a:avLst/>
                    </a:prstGeom>
                  </pic:spPr>
                </pic:pic>
              </a:graphicData>
            </a:graphic>
          </wp:inline>
        </w:drawing>
      </w:r>
    </w:p>
    <w:p w14:paraId="2D0E8DFB" w14:textId="77777777" w:rsidR="007F5EA9" w:rsidRPr="007F5EA9" w:rsidRDefault="007F5EA9" w:rsidP="007F5EA9">
      <w:pPr>
        <w:jc w:val="center"/>
        <w:rPr>
          <w:rFonts w:ascii="Montserrat" w:hAnsi="Montserrat"/>
          <w:sz w:val="16"/>
          <w:szCs w:val="16"/>
        </w:rPr>
      </w:pPr>
      <w:r w:rsidRPr="007F5EA9">
        <w:rPr>
          <w:rFonts w:ascii="Montserrat" w:hAnsi="Montserrat"/>
          <w:sz w:val="16"/>
          <w:szCs w:val="16"/>
        </w:rPr>
        <w:t>Fuente: Comisión Nacional de Vivienda 2022, con datos del INEGI (2021, 2022).</w:t>
      </w:r>
    </w:p>
    <w:p w14:paraId="53B86B98" w14:textId="77777777" w:rsidR="007F5EA9" w:rsidRDefault="007F5EA9" w:rsidP="007F5EA9">
      <w:pPr>
        <w:jc w:val="both"/>
        <w:rPr>
          <w:rFonts w:ascii="Montserrat" w:hAnsi="Montserrat"/>
          <w:sz w:val="20"/>
          <w:szCs w:val="16"/>
        </w:rPr>
      </w:pPr>
    </w:p>
    <w:p w14:paraId="447AA570" w14:textId="77777777" w:rsidR="007F5EA9" w:rsidRPr="00EE56BD" w:rsidRDefault="007F5EA9" w:rsidP="007F5EA9">
      <w:pPr>
        <w:jc w:val="both"/>
        <w:rPr>
          <w:rFonts w:ascii="Montserrat" w:hAnsi="Montserrat"/>
          <w:sz w:val="20"/>
          <w:szCs w:val="16"/>
        </w:rPr>
      </w:pPr>
      <w:r w:rsidRPr="00EE56BD">
        <w:rPr>
          <w:rFonts w:ascii="Montserrat" w:hAnsi="Montserrat"/>
          <w:sz w:val="20"/>
          <w:szCs w:val="16"/>
        </w:rPr>
        <w:t xml:space="preserve">Este comportamiento no es homogéneo a lo largo del territorio, se concentra en algunas zonas, destacando las siguientes: la frontera entre Sinaloa, Durango y Chihuahua; el noroeste de Sonora; la frontera entre Sonora y Chihuahua; la costa del Golfo de México de </w:t>
      </w:r>
      <w:r w:rsidRPr="00EE56BD">
        <w:rPr>
          <w:rFonts w:ascii="Montserrat" w:hAnsi="Montserrat"/>
          <w:sz w:val="20"/>
          <w:szCs w:val="16"/>
        </w:rPr>
        <w:lastRenderedPageBreak/>
        <w:t>Tamaulipas; el norte de San Luis Potosí; la costa del Pacífico desde Nayarit, Michoacán, Guerrero y parte de Oaxaca; el suroeste de Chiapas; y la frontera entre Veracruz y Tabasco.</w:t>
      </w:r>
    </w:p>
    <w:p w14:paraId="30299879" w14:textId="77777777" w:rsidR="007F5EA9" w:rsidRPr="00EE56BD" w:rsidRDefault="007F5EA9" w:rsidP="007F5EA9">
      <w:pPr>
        <w:jc w:val="both"/>
        <w:rPr>
          <w:rFonts w:ascii="Montserrat" w:hAnsi="Montserrat"/>
          <w:sz w:val="20"/>
          <w:szCs w:val="16"/>
        </w:rPr>
      </w:pPr>
    </w:p>
    <w:p w14:paraId="46CB2B2E" w14:textId="77777777" w:rsidR="007F5EA9" w:rsidRPr="00EE56BD" w:rsidRDefault="007F5EA9" w:rsidP="007F5EA9">
      <w:pPr>
        <w:jc w:val="both"/>
        <w:rPr>
          <w:rFonts w:ascii="Montserrat" w:hAnsi="Montserrat"/>
          <w:sz w:val="20"/>
          <w:szCs w:val="16"/>
        </w:rPr>
      </w:pPr>
      <w:r w:rsidRPr="00EE56BD">
        <w:rPr>
          <w:rFonts w:ascii="Montserrat" w:hAnsi="Montserrat"/>
          <w:sz w:val="20"/>
          <w:szCs w:val="16"/>
        </w:rPr>
        <w:t xml:space="preserve">Se identifica como una tendencia irregular sobre el territorio que se replica al comparar la variable de viviendas en condición de Rezago Habitacional, estimado por la Comisión Nacional de Vivienda (2021), y la de viviendas deshabitadas (Mapa 3). Ello sugiere que existen zonas en el país donde ha incrementado el abandono de viviendas y quienes se quedan a residir en ellas, viven en condiciones de habitabilidad precarias. Estas zonas abarcan la mayor parte de Chihuahua, Sonora y Baja California; la costa del Pacífico desde Michoacán hasta Chiapas; así como todo el territorio de Chiapas, Tabasco, Campeche y el sur de Veracruz. </w:t>
      </w:r>
    </w:p>
    <w:p w14:paraId="7B4459A7" w14:textId="77777777" w:rsidR="007F5EA9" w:rsidRPr="00EE56BD" w:rsidRDefault="007F5EA9" w:rsidP="007F5EA9">
      <w:pPr>
        <w:jc w:val="both"/>
        <w:rPr>
          <w:rFonts w:ascii="Montserrat" w:hAnsi="Montserrat"/>
          <w:sz w:val="20"/>
          <w:szCs w:val="16"/>
        </w:rPr>
      </w:pPr>
    </w:p>
    <w:p w14:paraId="083042A0" w14:textId="77777777" w:rsidR="007F5EA9" w:rsidRPr="00EE56BD" w:rsidRDefault="007F5EA9" w:rsidP="007F5EA9">
      <w:pPr>
        <w:jc w:val="both"/>
        <w:rPr>
          <w:rFonts w:ascii="Montserrat" w:hAnsi="Montserrat"/>
          <w:sz w:val="20"/>
          <w:szCs w:val="16"/>
        </w:rPr>
      </w:pPr>
      <w:r w:rsidRPr="00EE56BD">
        <w:rPr>
          <w:rFonts w:ascii="Montserrat" w:hAnsi="Montserrat"/>
          <w:sz w:val="20"/>
          <w:szCs w:val="16"/>
        </w:rPr>
        <w:t>Un comportamiento similar se observa en el territorio al relacionar las viviendas que se encuentran en condición de rezago y los municipios donde se registran las tasas de homicidios por cada 100 mil habitantes en México, ya que estas se concentran en los municipios de la frontera norte, en los estados de Baja California y Sonora, formando una franja al sur por los municipios al poniente de Durango, una franja de la costa de Michoacán y Guerrero y una parte de Veracruz y Chiapas.</w:t>
      </w:r>
    </w:p>
    <w:p w14:paraId="3E78976B" w14:textId="77777777" w:rsidR="007F5EA9" w:rsidRPr="00EE56BD" w:rsidRDefault="007F5EA9" w:rsidP="007F5EA9">
      <w:pPr>
        <w:jc w:val="both"/>
        <w:rPr>
          <w:rFonts w:ascii="Montserrat" w:hAnsi="Montserrat"/>
          <w:sz w:val="20"/>
          <w:szCs w:val="16"/>
        </w:rPr>
      </w:pPr>
    </w:p>
    <w:p w14:paraId="3355AC8D" w14:textId="77777777" w:rsidR="007F5EA9" w:rsidRPr="00EE56BD" w:rsidRDefault="007F5EA9" w:rsidP="007F5EA9">
      <w:pPr>
        <w:jc w:val="center"/>
        <w:rPr>
          <w:rFonts w:ascii="Montserrat" w:hAnsi="Montserrat"/>
          <w:i/>
          <w:color w:val="600000"/>
          <w:sz w:val="20"/>
          <w:szCs w:val="20"/>
        </w:rPr>
      </w:pPr>
      <w:r w:rsidRPr="00EE56BD">
        <w:rPr>
          <w:rFonts w:ascii="Montserrat" w:hAnsi="Montserrat"/>
          <w:i/>
          <w:color w:val="600000"/>
          <w:sz w:val="20"/>
          <w:szCs w:val="20"/>
        </w:rPr>
        <w:t>Mapa 3. Rezago Habitacional porcentaje de viviendas deshabitadas por municipio en México 2020</w:t>
      </w:r>
    </w:p>
    <w:p w14:paraId="51389C68" w14:textId="3C87C2C9" w:rsidR="007F5EA9" w:rsidRDefault="007F5EA9" w:rsidP="007F5EA9">
      <w:pPr>
        <w:spacing w:before="120" w:after="120"/>
        <w:jc w:val="center"/>
        <w:rPr>
          <w:rFonts w:ascii="Montserrat" w:hAnsi="Montserrat" w:cs="Times New Roman"/>
          <w:lang w:val="es-MX"/>
        </w:rPr>
      </w:pPr>
      <w:r w:rsidRPr="00EE56BD">
        <w:rPr>
          <w:rFonts w:ascii="Montserrat" w:hAnsi="Montserrat"/>
          <w:noProof/>
          <w:szCs w:val="20"/>
          <w:lang w:eastAsia="es-MX"/>
        </w:rPr>
        <w:drawing>
          <wp:inline distT="0" distB="0" distL="0" distR="0" wp14:anchorId="3F4864EC" wp14:editId="4F6D4397">
            <wp:extent cx="3812067" cy="2693352"/>
            <wp:effectExtent l="0" t="0" r="0" b="0"/>
            <wp:docPr id="4" name="Imagen 4"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Map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3829336" cy="2705553"/>
                    </a:xfrm>
                    <a:prstGeom prst="rect">
                      <a:avLst/>
                    </a:prstGeom>
                  </pic:spPr>
                </pic:pic>
              </a:graphicData>
            </a:graphic>
          </wp:inline>
        </w:drawing>
      </w:r>
    </w:p>
    <w:p w14:paraId="09B8E391" w14:textId="77777777" w:rsidR="007F5EA9" w:rsidRPr="007F5EA9" w:rsidRDefault="007F5EA9" w:rsidP="007F5EA9">
      <w:pPr>
        <w:jc w:val="center"/>
        <w:rPr>
          <w:rFonts w:ascii="Montserrat" w:hAnsi="Montserrat"/>
          <w:sz w:val="16"/>
          <w:szCs w:val="16"/>
        </w:rPr>
      </w:pPr>
      <w:r w:rsidRPr="007F5EA9">
        <w:rPr>
          <w:rFonts w:ascii="Montserrat" w:hAnsi="Montserrat"/>
          <w:sz w:val="16"/>
          <w:szCs w:val="16"/>
        </w:rPr>
        <w:t>Fuente: Comisión Nacional de Vivienda 2022, con datos del INEGI (2021).</w:t>
      </w:r>
    </w:p>
    <w:p w14:paraId="4C828AFE" w14:textId="77777777" w:rsidR="008F54B1" w:rsidRDefault="008F54B1" w:rsidP="008F54B1">
      <w:pPr>
        <w:jc w:val="center"/>
        <w:rPr>
          <w:rFonts w:ascii="Montserrat" w:hAnsi="Montserrat"/>
          <w:b/>
        </w:rPr>
      </w:pPr>
    </w:p>
    <w:p w14:paraId="03137D52" w14:textId="77777777" w:rsidR="007F5EA9" w:rsidRDefault="007F5EA9" w:rsidP="008F54B1">
      <w:pPr>
        <w:jc w:val="center"/>
        <w:rPr>
          <w:rFonts w:ascii="Montserrat" w:hAnsi="Montserrat"/>
          <w:b/>
        </w:rPr>
      </w:pPr>
      <w:r w:rsidRPr="00EE56BD">
        <w:rPr>
          <w:rFonts w:ascii="Montserrat" w:hAnsi="Montserrat"/>
          <w:b/>
        </w:rPr>
        <w:t>Resultados al momento</w:t>
      </w:r>
    </w:p>
    <w:p w14:paraId="1DBB5D93" w14:textId="77777777" w:rsidR="007F5EA9" w:rsidRPr="00EE56BD" w:rsidRDefault="007F5EA9" w:rsidP="007F5EA9">
      <w:pPr>
        <w:jc w:val="both"/>
        <w:rPr>
          <w:rFonts w:ascii="Montserrat" w:hAnsi="Montserrat"/>
          <w:b/>
        </w:rPr>
      </w:pPr>
    </w:p>
    <w:p w14:paraId="38019F61" w14:textId="2A900619" w:rsidR="007F5EA9" w:rsidRPr="00EE56BD" w:rsidRDefault="007F5EA9" w:rsidP="007F5EA9">
      <w:pPr>
        <w:jc w:val="both"/>
        <w:rPr>
          <w:rFonts w:ascii="Montserrat" w:hAnsi="Montserrat"/>
          <w:sz w:val="20"/>
          <w:szCs w:val="16"/>
        </w:rPr>
      </w:pPr>
      <w:r>
        <w:rPr>
          <w:rFonts w:ascii="Montserrat" w:hAnsi="Montserrat"/>
          <w:sz w:val="20"/>
          <w:szCs w:val="16"/>
        </w:rPr>
        <w:t>L</w:t>
      </w:r>
      <w:r w:rsidRPr="00EE56BD">
        <w:rPr>
          <w:rFonts w:ascii="Montserrat" w:hAnsi="Montserrat"/>
          <w:sz w:val="20"/>
          <w:szCs w:val="16"/>
        </w:rPr>
        <w:t>a Comisión Nacional de Vivienda ha dirigido 474,335 subsidios para vivienda en zonas con altos índices de violencia, en el cuadro 1, se muestra el número de apoyos otorgados por año en municipios cuya tasa anual de homicidios por cada cien mil habitantes es mayor al promedio nacional (22.3).</w:t>
      </w:r>
    </w:p>
    <w:p w14:paraId="314C27F4" w14:textId="77777777" w:rsidR="007F5EA9" w:rsidRPr="00EE56BD" w:rsidRDefault="007F5EA9" w:rsidP="007F5EA9">
      <w:pPr>
        <w:rPr>
          <w:rFonts w:ascii="Montserrat" w:hAnsi="Montserrat"/>
          <w:sz w:val="20"/>
          <w:szCs w:val="16"/>
        </w:rPr>
      </w:pPr>
    </w:p>
    <w:p w14:paraId="51A57BB4" w14:textId="77777777" w:rsidR="007F5EA9" w:rsidRPr="00EE56BD" w:rsidRDefault="007F5EA9" w:rsidP="007F5EA9">
      <w:pPr>
        <w:jc w:val="center"/>
        <w:rPr>
          <w:rFonts w:ascii="Montserrat" w:hAnsi="Montserrat"/>
          <w:i/>
          <w:color w:val="600000"/>
          <w:sz w:val="20"/>
          <w:szCs w:val="20"/>
        </w:rPr>
      </w:pPr>
      <w:r w:rsidRPr="00EE56BD">
        <w:rPr>
          <w:rFonts w:ascii="Montserrat" w:hAnsi="Montserrat"/>
          <w:i/>
          <w:color w:val="600000"/>
          <w:sz w:val="20"/>
          <w:szCs w:val="20"/>
        </w:rPr>
        <w:t>Cuadro 1. Subsidios otorgados por año en municipios con tasa anual de homicidios por cada 100 mil habitantes mayor a la tasa promedio nacional de  22.3</w:t>
      </w:r>
    </w:p>
    <w:tbl>
      <w:tblPr>
        <w:tblW w:w="6726" w:type="dxa"/>
        <w:jc w:val="center"/>
        <w:tblCellMar>
          <w:left w:w="70" w:type="dxa"/>
          <w:right w:w="70" w:type="dxa"/>
        </w:tblCellMar>
        <w:tblLook w:val="04A0" w:firstRow="1" w:lastRow="0" w:firstColumn="1" w:lastColumn="0" w:noHBand="0" w:noVBand="1"/>
      </w:tblPr>
      <w:tblGrid>
        <w:gridCol w:w="3363"/>
        <w:gridCol w:w="3363"/>
      </w:tblGrid>
      <w:tr w:rsidR="007F5EA9" w:rsidRPr="00C30419" w14:paraId="55067940" w14:textId="77777777" w:rsidTr="00585655">
        <w:trPr>
          <w:trHeight w:val="192"/>
          <w:jc w:val="center"/>
        </w:trPr>
        <w:tc>
          <w:tcPr>
            <w:tcW w:w="3363" w:type="dxa"/>
            <w:tcBorders>
              <w:top w:val="single" w:sz="4" w:space="0" w:color="auto"/>
              <w:left w:val="single" w:sz="4" w:space="0" w:color="auto"/>
              <w:bottom w:val="single" w:sz="4" w:space="0" w:color="auto"/>
              <w:right w:val="single" w:sz="4" w:space="0" w:color="auto"/>
            </w:tcBorders>
            <w:shd w:val="clear" w:color="000000" w:fill="D4C19C"/>
            <w:noWrap/>
            <w:vAlign w:val="center"/>
            <w:hideMark/>
          </w:tcPr>
          <w:p w14:paraId="54878DD8" w14:textId="77777777" w:rsidR="007F5EA9" w:rsidRPr="00C30419" w:rsidRDefault="007F5EA9" w:rsidP="00585655">
            <w:pPr>
              <w:jc w:val="center"/>
              <w:rPr>
                <w:rFonts w:ascii="Montserrat" w:eastAsia="Times New Roman" w:hAnsi="Montserrat"/>
                <w:b/>
                <w:bCs/>
                <w:sz w:val="16"/>
                <w:szCs w:val="18"/>
                <w:lang w:eastAsia="es-MX"/>
              </w:rPr>
            </w:pPr>
            <w:r w:rsidRPr="00C30419">
              <w:rPr>
                <w:rFonts w:ascii="Montserrat" w:eastAsia="Times New Roman" w:hAnsi="Montserrat"/>
                <w:b/>
                <w:bCs/>
                <w:sz w:val="16"/>
                <w:szCs w:val="18"/>
                <w:lang w:eastAsia="es-MX"/>
              </w:rPr>
              <w:t>Año</w:t>
            </w:r>
          </w:p>
        </w:tc>
        <w:tc>
          <w:tcPr>
            <w:tcW w:w="3363" w:type="dxa"/>
            <w:tcBorders>
              <w:top w:val="single" w:sz="4" w:space="0" w:color="auto"/>
              <w:left w:val="nil"/>
              <w:bottom w:val="single" w:sz="4" w:space="0" w:color="auto"/>
              <w:right w:val="single" w:sz="4" w:space="0" w:color="auto"/>
            </w:tcBorders>
            <w:shd w:val="clear" w:color="000000" w:fill="D4C19C"/>
            <w:noWrap/>
            <w:vAlign w:val="center"/>
            <w:hideMark/>
          </w:tcPr>
          <w:p w14:paraId="6F596F0F" w14:textId="77777777" w:rsidR="007F5EA9" w:rsidRPr="00C30419" w:rsidRDefault="007F5EA9" w:rsidP="00585655">
            <w:pPr>
              <w:jc w:val="center"/>
              <w:rPr>
                <w:rFonts w:ascii="Montserrat" w:eastAsia="Times New Roman" w:hAnsi="Montserrat"/>
                <w:b/>
                <w:bCs/>
                <w:sz w:val="16"/>
                <w:szCs w:val="18"/>
                <w:lang w:eastAsia="es-MX"/>
              </w:rPr>
            </w:pPr>
            <w:r w:rsidRPr="00C30419">
              <w:rPr>
                <w:rFonts w:ascii="Montserrat" w:eastAsia="Times New Roman" w:hAnsi="Montserrat"/>
                <w:b/>
                <w:bCs/>
                <w:sz w:val="16"/>
                <w:szCs w:val="18"/>
                <w:lang w:eastAsia="es-MX"/>
              </w:rPr>
              <w:t>Subsidios otorgados</w:t>
            </w:r>
            <w:r w:rsidRPr="00EE56BD">
              <w:rPr>
                <w:rFonts w:ascii="Montserrat" w:eastAsia="Times New Roman" w:hAnsi="Montserrat"/>
                <w:b/>
                <w:bCs/>
                <w:sz w:val="16"/>
                <w:szCs w:val="18"/>
                <w:lang w:eastAsia="es-MX"/>
              </w:rPr>
              <w:t xml:space="preserve"> en municipios con tasa de homicidios mayor a 22.3</w:t>
            </w:r>
          </w:p>
        </w:tc>
      </w:tr>
      <w:tr w:rsidR="007F5EA9" w:rsidRPr="00C30419" w14:paraId="77775C45" w14:textId="77777777" w:rsidTr="00585655">
        <w:trPr>
          <w:trHeight w:val="192"/>
          <w:jc w:val="center"/>
        </w:trPr>
        <w:tc>
          <w:tcPr>
            <w:tcW w:w="3363" w:type="dxa"/>
            <w:tcBorders>
              <w:top w:val="nil"/>
              <w:left w:val="single" w:sz="4" w:space="0" w:color="auto"/>
              <w:bottom w:val="single" w:sz="4" w:space="0" w:color="auto"/>
              <w:right w:val="single" w:sz="4" w:space="0" w:color="auto"/>
            </w:tcBorders>
            <w:shd w:val="clear" w:color="auto" w:fill="auto"/>
            <w:noWrap/>
            <w:vAlign w:val="bottom"/>
            <w:hideMark/>
          </w:tcPr>
          <w:p w14:paraId="74666E2E" w14:textId="77777777" w:rsidR="007F5EA9" w:rsidRPr="00C30419" w:rsidRDefault="007F5EA9" w:rsidP="00585655">
            <w:pPr>
              <w:jc w:val="center"/>
              <w:rPr>
                <w:rFonts w:ascii="Montserrat" w:eastAsia="Times New Roman" w:hAnsi="Montserrat"/>
                <w:color w:val="000000"/>
                <w:sz w:val="16"/>
                <w:szCs w:val="18"/>
                <w:lang w:eastAsia="es-MX"/>
              </w:rPr>
            </w:pPr>
            <w:r w:rsidRPr="00C30419">
              <w:rPr>
                <w:rFonts w:ascii="Montserrat" w:eastAsia="Times New Roman" w:hAnsi="Montserrat"/>
                <w:color w:val="000000"/>
                <w:sz w:val="16"/>
                <w:szCs w:val="18"/>
                <w:lang w:eastAsia="es-MX"/>
              </w:rPr>
              <w:lastRenderedPageBreak/>
              <w:t>2014</w:t>
            </w:r>
          </w:p>
        </w:tc>
        <w:tc>
          <w:tcPr>
            <w:tcW w:w="3363" w:type="dxa"/>
            <w:tcBorders>
              <w:top w:val="nil"/>
              <w:left w:val="nil"/>
              <w:bottom w:val="single" w:sz="4" w:space="0" w:color="auto"/>
              <w:right w:val="single" w:sz="4" w:space="0" w:color="auto"/>
            </w:tcBorders>
            <w:shd w:val="clear" w:color="auto" w:fill="auto"/>
            <w:noWrap/>
            <w:vAlign w:val="bottom"/>
            <w:hideMark/>
          </w:tcPr>
          <w:p w14:paraId="189DC410" w14:textId="77777777" w:rsidR="007F5EA9" w:rsidRPr="00C30419" w:rsidRDefault="007F5EA9" w:rsidP="00585655">
            <w:pPr>
              <w:jc w:val="center"/>
              <w:rPr>
                <w:rFonts w:ascii="Montserrat" w:eastAsia="Times New Roman" w:hAnsi="Montserrat"/>
                <w:color w:val="000000"/>
                <w:sz w:val="16"/>
                <w:szCs w:val="18"/>
                <w:lang w:eastAsia="es-MX"/>
              </w:rPr>
            </w:pPr>
            <w:r w:rsidRPr="00C30419">
              <w:rPr>
                <w:rFonts w:ascii="Montserrat" w:eastAsia="Times New Roman" w:hAnsi="Montserrat"/>
                <w:color w:val="000000"/>
                <w:sz w:val="16"/>
                <w:szCs w:val="18"/>
                <w:lang w:eastAsia="es-MX"/>
              </w:rPr>
              <w:t>106,041</w:t>
            </w:r>
          </w:p>
        </w:tc>
      </w:tr>
      <w:tr w:rsidR="007F5EA9" w:rsidRPr="00C30419" w14:paraId="1F85F658" w14:textId="77777777" w:rsidTr="00585655">
        <w:trPr>
          <w:trHeight w:val="192"/>
          <w:jc w:val="center"/>
        </w:trPr>
        <w:tc>
          <w:tcPr>
            <w:tcW w:w="3363" w:type="dxa"/>
            <w:tcBorders>
              <w:top w:val="nil"/>
              <w:left w:val="single" w:sz="4" w:space="0" w:color="auto"/>
              <w:bottom w:val="single" w:sz="4" w:space="0" w:color="auto"/>
              <w:right w:val="single" w:sz="4" w:space="0" w:color="auto"/>
            </w:tcBorders>
            <w:shd w:val="clear" w:color="auto" w:fill="auto"/>
            <w:noWrap/>
            <w:vAlign w:val="bottom"/>
            <w:hideMark/>
          </w:tcPr>
          <w:p w14:paraId="391BC7B1" w14:textId="77777777" w:rsidR="007F5EA9" w:rsidRPr="00C30419" w:rsidRDefault="007F5EA9" w:rsidP="00585655">
            <w:pPr>
              <w:jc w:val="center"/>
              <w:rPr>
                <w:rFonts w:ascii="Montserrat" w:eastAsia="Times New Roman" w:hAnsi="Montserrat"/>
                <w:color w:val="000000"/>
                <w:sz w:val="16"/>
                <w:szCs w:val="18"/>
                <w:lang w:eastAsia="es-MX"/>
              </w:rPr>
            </w:pPr>
            <w:r w:rsidRPr="00C30419">
              <w:rPr>
                <w:rFonts w:ascii="Montserrat" w:eastAsia="Times New Roman" w:hAnsi="Montserrat"/>
                <w:color w:val="000000"/>
                <w:sz w:val="16"/>
                <w:szCs w:val="18"/>
                <w:lang w:eastAsia="es-MX"/>
              </w:rPr>
              <w:t>2015</w:t>
            </w:r>
          </w:p>
        </w:tc>
        <w:tc>
          <w:tcPr>
            <w:tcW w:w="3363" w:type="dxa"/>
            <w:tcBorders>
              <w:top w:val="nil"/>
              <w:left w:val="nil"/>
              <w:bottom w:val="single" w:sz="4" w:space="0" w:color="auto"/>
              <w:right w:val="single" w:sz="4" w:space="0" w:color="auto"/>
            </w:tcBorders>
            <w:shd w:val="clear" w:color="auto" w:fill="auto"/>
            <w:noWrap/>
            <w:vAlign w:val="bottom"/>
            <w:hideMark/>
          </w:tcPr>
          <w:p w14:paraId="79C89841" w14:textId="77777777" w:rsidR="007F5EA9" w:rsidRPr="00C30419" w:rsidRDefault="007F5EA9" w:rsidP="00585655">
            <w:pPr>
              <w:jc w:val="center"/>
              <w:rPr>
                <w:rFonts w:ascii="Montserrat" w:eastAsia="Times New Roman" w:hAnsi="Montserrat"/>
                <w:color w:val="000000"/>
                <w:sz w:val="16"/>
                <w:szCs w:val="18"/>
                <w:lang w:eastAsia="es-MX"/>
              </w:rPr>
            </w:pPr>
            <w:r w:rsidRPr="00C30419">
              <w:rPr>
                <w:rFonts w:ascii="Montserrat" w:eastAsia="Times New Roman" w:hAnsi="Montserrat"/>
                <w:color w:val="000000"/>
                <w:sz w:val="16"/>
                <w:szCs w:val="18"/>
                <w:lang w:eastAsia="es-MX"/>
              </w:rPr>
              <w:t>93,922</w:t>
            </w:r>
          </w:p>
        </w:tc>
      </w:tr>
      <w:tr w:rsidR="007F5EA9" w:rsidRPr="00C30419" w14:paraId="76BC5608" w14:textId="77777777" w:rsidTr="00585655">
        <w:trPr>
          <w:trHeight w:val="192"/>
          <w:jc w:val="center"/>
        </w:trPr>
        <w:tc>
          <w:tcPr>
            <w:tcW w:w="3363" w:type="dxa"/>
            <w:tcBorders>
              <w:top w:val="nil"/>
              <w:left w:val="single" w:sz="4" w:space="0" w:color="auto"/>
              <w:bottom w:val="single" w:sz="4" w:space="0" w:color="auto"/>
              <w:right w:val="single" w:sz="4" w:space="0" w:color="auto"/>
            </w:tcBorders>
            <w:shd w:val="clear" w:color="auto" w:fill="auto"/>
            <w:noWrap/>
            <w:vAlign w:val="bottom"/>
            <w:hideMark/>
          </w:tcPr>
          <w:p w14:paraId="714843D7" w14:textId="77777777" w:rsidR="007F5EA9" w:rsidRPr="00C30419" w:rsidRDefault="007F5EA9" w:rsidP="00585655">
            <w:pPr>
              <w:jc w:val="center"/>
              <w:rPr>
                <w:rFonts w:ascii="Montserrat" w:eastAsia="Times New Roman" w:hAnsi="Montserrat"/>
                <w:color w:val="000000"/>
                <w:sz w:val="16"/>
                <w:szCs w:val="18"/>
                <w:lang w:eastAsia="es-MX"/>
              </w:rPr>
            </w:pPr>
            <w:r w:rsidRPr="00C30419">
              <w:rPr>
                <w:rFonts w:ascii="Montserrat" w:eastAsia="Times New Roman" w:hAnsi="Montserrat"/>
                <w:color w:val="000000"/>
                <w:sz w:val="16"/>
                <w:szCs w:val="18"/>
                <w:lang w:eastAsia="es-MX"/>
              </w:rPr>
              <w:t>2016</w:t>
            </w:r>
          </w:p>
        </w:tc>
        <w:tc>
          <w:tcPr>
            <w:tcW w:w="3363" w:type="dxa"/>
            <w:tcBorders>
              <w:top w:val="nil"/>
              <w:left w:val="nil"/>
              <w:bottom w:val="single" w:sz="4" w:space="0" w:color="auto"/>
              <w:right w:val="single" w:sz="4" w:space="0" w:color="auto"/>
            </w:tcBorders>
            <w:shd w:val="clear" w:color="auto" w:fill="auto"/>
            <w:noWrap/>
            <w:vAlign w:val="bottom"/>
            <w:hideMark/>
          </w:tcPr>
          <w:p w14:paraId="7C5F7FF2" w14:textId="77777777" w:rsidR="007F5EA9" w:rsidRPr="00C30419" w:rsidRDefault="007F5EA9" w:rsidP="00585655">
            <w:pPr>
              <w:jc w:val="center"/>
              <w:rPr>
                <w:rFonts w:ascii="Montserrat" w:eastAsia="Times New Roman" w:hAnsi="Montserrat"/>
                <w:color w:val="000000"/>
                <w:sz w:val="16"/>
                <w:szCs w:val="18"/>
                <w:lang w:eastAsia="es-MX"/>
              </w:rPr>
            </w:pPr>
            <w:r w:rsidRPr="00C30419">
              <w:rPr>
                <w:rFonts w:ascii="Montserrat" w:eastAsia="Times New Roman" w:hAnsi="Montserrat"/>
                <w:color w:val="000000"/>
                <w:sz w:val="16"/>
                <w:szCs w:val="18"/>
                <w:lang w:eastAsia="es-MX"/>
              </w:rPr>
              <w:t>73,388</w:t>
            </w:r>
          </w:p>
        </w:tc>
      </w:tr>
      <w:tr w:rsidR="007F5EA9" w:rsidRPr="00C30419" w14:paraId="3C768AB8" w14:textId="77777777" w:rsidTr="00585655">
        <w:trPr>
          <w:trHeight w:val="192"/>
          <w:jc w:val="center"/>
        </w:trPr>
        <w:tc>
          <w:tcPr>
            <w:tcW w:w="3363" w:type="dxa"/>
            <w:tcBorders>
              <w:top w:val="nil"/>
              <w:left w:val="single" w:sz="4" w:space="0" w:color="auto"/>
              <w:bottom w:val="single" w:sz="4" w:space="0" w:color="auto"/>
              <w:right w:val="single" w:sz="4" w:space="0" w:color="auto"/>
            </w:tcBorders>
            <w:shd w:val="clear" w:color="auto" w:fill="auto"/>
            <w:noWrap/>
            <w:vAlign w:val="bottom"/>
            <w:hideMark/>
          </w:tcPr>
          <w:p w14:paraId="323D5922" w14:textId="77777777" w:rsidR="007F5EA9" w:rsidRPr="00C30419" w:rsidRDefault="007F5EA9" w:rsidP="00585655">
            <w:pPr>
              <w:jc w:val="center"/>
              <w:rPr>
                <w:rFonts w:ascii="Montserrat" w:eastAsia="Times New Roman" w:hAnsi="Montserrat"/>
                <w:color w:val="000000"/>
                <w:sz w:val="16"/>
                <w:szCs w:val="18"/>
                <w:lang w:eastAsia="es-MX"/>
              </w:rPr>
            </w:pPr>
            <w:r w:rsidRPr="00C30419">
              <w:rPr>
                <w:rFonts w:ascii="Montserrat" w:eastAsia="Times New Roman" w:hAnsi="Montserrat"/>
                <w:color w:val="000000"/>
                <w:sz w:val="16"/>
                <w:szCs w:val="18"/>
                <w:lang w:eastAsia="es-MX"/>
              </w:rPr>
              <w:t>2017</w:t>
            </w:r>
          </w:p>
        </w:tc>
        <w:tc>
          <w:tcPr>
            <w:tcW w:w="3363" w:type="dxa"/>
            <w:tcBorders>
              <w:top w:val="nil"/>
              <w:left w:val="nil"/>
              <w:bottom w:val="single" w:sz="4" w:space="0" w:color="auto"/>
              <w:right w:val="single" w:sz="4" w:space="0" w:color="auto"/>
            </w:tcBorders>
            <w:shd w:val="clear" w:color="auto" w:fill="auto"/>
            <w:noWrap/>
            <w:vAlign w:val="bottom"/>
            <w:hideMark/>
          </w:tcPr>
          <w:p w14:paraId="76913A4D" w14:textId="77777777" w:rsidR="007F5EA9" w:rsidRPr="00C30419" w:rsidRDefault="007F5EA9" w:rsidP="00585655">
            <w:pPr>
              <w:jc w:val="center"/>
              <w:rPr>
                <w:rFonts w:ascii="Montserrat" w:eastAsia="Times New Roman" w:hAnsi="Montserrat"/>
                <w:color w:val="000000"/>
                <w:sz w:val="16"/>
                <w:szCs w:val="18"/>
                <w:lang w:eastAsia="es-MX"/>
              </w:rPr>
            </w:pPr>
            <w:r w:rsidRPr="00C30419">
              <w:rPr>
                <w:rFonts w:ascii="Montserrat" w:eastAsia="Times New Roman" w:hAnsi="Montserrat"/>
                <w:color w:val="000000"/>
                <w:sz w:val="16"/>
                <w:szCs w:val="18"/>
                <w:lang w:eastAsia="es-MX"/>
              </w:rPr>
              <w:t>48,940</w:t>
            </w:r>
          </w:p>
        </w:tc>
      </w:tr>
      <w:tr w:rsidR="007F5EA9" w:rsidRPr="00C30419" w14:paraId="5FB04504" w14:textId="77777777" w:rsidTr="00585655">
        <w:trPr>
          <w:trHeight w:val="192"/>
          <w:jc w:val="center"/>
        </w:trPr>
        <w:tc>
          <w:tcPr>
            <w:tcW w:w="3363" w:type="dxa"/>
            <w:tcBorders>
              <w:top w:val="nil"/>
              <w:left w:val="single" w:sz="4" w:space="0" w:color="auto"/>
              <w:bottom w:val="single" w:sz="4" w:space="0" w:color="auto"/>
              <w:right w:val="single" w:sz="4" w:space="0" w:color="auto"/>
            </w:tcBorders>
            <w:shd w:val="clear" w:color="auto" w:fill="auto"/>
            <w:noWrap/>
            <w:vAlign w:val="bottom"/>
            <w:hideMark/>
          </w:tcPr>
          <w:p w14:paraId="2AB47A4E" w14:textId="77777777" w:rsidR="007F5EA9" w:rsidRPr="00C30419" w:rsidRDefault="007F5EA9" w:rsidP="00585655">
            <w:pPr>
              <w:jc w:val="center"/>
              <w:rPr>
                <w:rFonts w:ascii="Montserrat" w:eastAsia="Times New Roman" w:hAnsi="Montserrat"/>
                <w:color w:val="000000"/>
                <w:sz w:val="16"/>
                <w:szCs w:val="18"/>
                <w:lang w:eastAsia="es-MX"/>
              </w:rPr>
            </w:pPr>
            <w:r w:rsidRPr="00C30419">
              <w:rPr>
                <w:rFonts w:ascii="Montserrat" w:eastAsia="Times New Roman" w:hAnsi="Montserrat"/>
                <w:color w:val="000000"/>
                <w:sz w:val="16"/>
                <w:szCs w:val="18"/>
                <w:lang w:eastAsia="es-MX"/>
              </w:rPr>
              <w:t>2018</w:t>
            </w:r>
          </w:p>
        </w:tc>
        <w:tc>
          <w:tcPr>
            <w:tcW w:w="3363" w:type="dxa"/>
            <w:tcBorders>
              <w:top w:val="nil"/>
              <w:left w:val="nil"/>
              <w:bottom w:val="single" w:sz="4" w:space="0" w:color="auto"/>
              <w:right w:val="single" w:sz="4" w:space="0" w:color="auto"/>
            </w:tcBorders>
            <w:shd w:val="clear" w:color="auto" w:fill="auto"/>
            <w:noWrap/>
            <w:vAlign w:val="bottom"/>
            <w:hideMark/>
          </w:tcPr>
          <w:p w14:paraId="68C4C46C" w14:textId="77777777" w:rsidR="007F5EA9" w:rsidRPr="00C30419" w:rsidRDefault="007F5EA9" w:rsidP="00585655">
            <w:pPr>
              <w:jc w:val="center"/>
              <w:rPr>
                <w:rFonts w:ascii="Montserrat" w:eastAsia="Times New Roman" w:hAnsi="Montserrat"/>
                <w:color w:val="000000"/>
                <w:sz w:val="16"/>
                <w:szCs w:val="18"/>
                <w:lang w:eastAsia="es-MX"/>
              </w:rPr>
            </w:pPr>
            <w:r w:rsidRPr="00C30419">
              <w:rPr>
                <w:rFonts w:ascii="Montserrat" w:eastAsia="Times New Roman" w:hAnsi="Montserrat"/>
                <w:color w:val="000000"/>
                <w:sz w:val="16"/>
                <w:szCs w:val="18"/>
                <w:lang w:eastAsia="es-MX"/>
              </w:rPr>
              <w:t>45,976</w:t>
            </w:r>
          </w:p>
        </w:tc>
      </w:tr>
      <w:tr w:rsidR="007F5EA9" w:rsidRPr="00C30419" w14:paraId="7C977A76" w14:textId="77777777" w:rsidTr="00585655">
        <w:trPr>
          <w:trHeight w:val="192"/>
          <w:jc w:val="center"/>
        </w:trPr>
        <w:tc>
          <w:tcPr>
            <w:tcW w:w="3363" w:type="dxa"/>
            <w:tcBorders>
              <w:top w:val="nil"/>
              <w:left w:val="single" w:sz="4" w:space="0" w:color="auto"/>
              <w:bottom w:val="single" w:sz="4" w:space="0" w:color="auto"/>
              <w:right w:val="single" w:sz="4" w:space="0" w:color="auto"/>
            </w:tcBorders>
            <w:shd w:val="clear" w:color="auto" w:fill="auto"/>
            <w:noWrap/>
            <w:vAlign w:val="bottom"/>
            <w:hideMark/>
          </w:tcPr>
          <w:p w14:paraId="085485DF" w14:textId="77777777" w:rsidR="007F5EA9" w:rsidRPr="00C30419" w:rsidRDefault="007F5EA9" w:rsidP="00585655">
            <w:pPr>
              <w:jc w:val="center"/>
              <w:rPr>
                <w:rFonts w:ascii="Montserrat" w:eastAsia="Times New Roman" w:hAnsi="Montserrat"/>
                <w:color w:val="000000"/>
                <w:sz w:val="16"/>
                <w:szCs w:val="18"/>
                <w:lang w:eastAsia="es-MX"/>
              </w:rPr>
            </w:pPr>
            <w:r w:rsidRPr="00C30419">
              <w:rPr>
                <w:rFonts w:ascii="Montserrat" w:eastAsia="Times New Roman" w:hAnsi="Montserrat"/>
                <w:color w:val="000000"/>
                <w:sz w:val="16"/>
                <w:szCs w:val="18"/>
                <w:lang w:eastAsia="es-MX"/>
              </w:rPr>
              <w:t>2019</w:t>
            </w:r>
          </w:p>
        </w:tc>
        <w:tc>
          <w:tcPr>
            <w:tcW w:w="3363" w:type="dxa"/>
            <w:tcBorders>
              <w:top w:val="nil"/>
              <w:left w:val="nil"/>
              <w:bottom w:val="single" w:sz="4" w:space="0" w:color="auto"/>
              <w:right w:val="single" w:sz="4" w:space="0" w:color="auto"/>
            </w:tcBorders>
            <w:shd w:val="clear" w:color="auto" w:fill="auto"/>
            <w:noWrap/>
            <w:vAlign w:val="bottom"/>
            <w:hideMark/>
          </w:tcPr>
          <w:p w14:paraId="2DA06034" w14:textId="77777777" w:rsidR="007F5EA9" w:rsidRPr="00C30419" w:rsidRDefault="007F5EA9" w:rsidP="00585655">
            <w:pPr>
              <w:jc w:val="center"/>
              <w:rPr>
                <w:rFonts w:ascii="Montserrat" w:eastAsia="Times New Roman" w:hAnsi="Montserrat"/>
                <w:color w:val="000000"/>
                <w:sz w:val="16"/>
                <w:szCs w:val="18"/>
                <w:lang w:eastAsia="es-MX"/>
              </w:rPr>
            </w:pPr>
            <w:r w:rsidRPr="00C30419">
              <w:rPr>
                <w:rFonts w:ascii="Montserrat" w:eastAsia="Times New Roman" w:hAnsi="Montserrat"/>
                <w:color w:val="000000"/>
                <w:sz w:val="16"/>
                <w:szCs w:val="18"/>
                <w:lang w:eastAsia="es-MX"/>
              </w:rPr>
              <w:t>29,648</w:t>
            </w:r>
          </w:p>
        </w:tc>
      </w:tr>
      <w:tr w:rsidR="007F5EA9" w:rsidRPr="00C30419" w14:paraId="0B21DF59" w14:textId="77777777" w:rsidTr="00585655">
        <w:trPr>
          <w:trHeight w:val="192"/>
          <w:jc w:val="center"/>
        </w:trPr>
        <w:tc>
          <w:tcPr>
            <w:tcW w:w="3363" w:type="dxa"/>
            <w:tcBorders>
              <w:top w:val="nil"/>
              <w:left w:val="single" w:sz="4" w:space="0" w:color="auto"/>
              <w:bottom w:val="single" w:sz="4" w:space="0" w:color="auto"/>
              <w:right w:val="single" w:sz="4" w:space="0" w:color="auto"/>
            </w:tcBorders>
            <w:shd w:val="clear" w:color="auto" w:fill="auto"/>
            <w:noWrap/>
            <w:vAlign w:val="bottom"/>
            <w:hideMark/>
          </w:tcPr>
          <w:p w14:paraId="5A41FD52" w14:textId="77777777" w:rsidR="007F5EA9" w:rsidRPr="00C30419" w:rsidRDefault="007F5EA9" w:rsidP="00585655">
            <w:pPr>
              <w:jc w:val="center"/>
              <w:rPr>
                <w:rFonts w:ascii="Montserrat" w:eastAsia="Times New Roman" w:hAnsi="Montserrat"/>
                <w:color w:val="000000"/>
                <w:sz w:val="16"/>
                <w:szCs w:val="18"/>
                <w:lang w:eastAsia="es-MX"/>
              </w:rPr>
            </w:pPr>
            <w:r w:rsidRPr="00EE56BD">
              <w:rPr>
                <w:rFonts w:ascii="Montserrat" w:eastAsia="Times New Roman" w:hAnsi="Montserrat"/>
                <w:color w:val="000000"/>
                <w:sz w:val="16"/>
                <w:szCs w:val="18"/>
                <w:lang w:eastAsia="es-MX"/>
              </w:rPr>
              <w:t>20</w:t>
            </w:r>
            <w:r w:rsidRPr="00C30419">
              <w:rPr>
                <w:rFonts w:ascii="Montserrat" w:eastAsia="Times New Roman" w:hAnsi="Montserrat"/>
                <w:color w:val="000000"/>
                <w:sz w:val="16"/>
                <w:szCs w:val="18"/>
                <w:lang w:eastAsia="es-MX"/>
              </w:rPr>
              <w:t>20</w:t>
            </w:r>
          </w:p>
        </w:tc>
        <w:tc>
          <w:tcPr>
            <w:tcW w:w="3363" w:type="dxa"/>
            <w:tcBorders>
              <w:top w:val="nil"/>
              <w:left w:val="nil"/>
              <w:bottom w:val="single" w:sz="4" w:space="0" w:color="auto"/>
              <w:right w:val="single" w:sz="4" w:space="0" w:color="auto"/>
            </w:tcBorders>
            <w:shd w:val="clear" w:color="auto" w:fill="auto"/>
            <w:noWrap/>
            <w:vAlign w:val="bottom"/>
            <w:hideMark/>
          </w:tcPr>
          <w:p w14:paraId="30A027C1" w14:textId="77777777" w:rsidR="007F5EA9" w:rsidRPr="00C30419" w:rsidRDefault="007F5EA9" w:rsidP="00585655">
            <w:pPr>
              <w:jc w:val="center"/>
              <w:rPr>
                <w:rFonts w:ascii="Montserrat" w:eastAsia="Times New Roman" w:hAnsi="Montserrat"/>
                <w:color w:val="000000"/>
                <w:sz w:val="16"/>
                <w:szCs w:val="18"/>
                <w:lang w:eastAsia="es-MX"/>
              </w:rPr>
            </w:pPr>
            <w:r w:rsidRPr="00C30419">
              <w:rPr>
                <w:rFonts w:ascii="Montserrat" w:eastAsia="Times New Roman" w:hAnsi="Montserrat"/>
                <w:color w:val="000000"/>
                <w:sz w:val="16"/>
                <w:szCs w:val="18"/>
                <w:lang w:eastAsia="es-MX"/>
              </w:rPr>
              <w:t>29,503</w:t>
            </w:r>
          </w:p>
        </w:tc>
      </w:tr>
      <w:tr w:rsidR="007F5EA9" w:rsidRPr="00C30419" w14:paraId="1423F0B8" w14:textId="77777777" w:rsidTr="00585655">
        <w:trPr>
          <w:trHeight w:val="192"/>
          <w:jc w:val="center"/>
        </w:trPr>
        <w:tc>
          <w:tcPr>
            <w:tcW w:w="3363" w:type="dxa"/>
            <w:tcBorders>
              <w:top w:val="nil"/>
              <w:left w:val="single" w:sz="4" w:space="0" w:color="auto"/>
              <w:bottom w:val="single" w:sz="4" w:space="0" w:color="auto"/>
              <w:right w:val="single" w:sz="4" w:space="0" w:color="auto"/>
            </w:tcBorders>
            <w:shd w:val="clear" w:color="auto" w:fill="auto"/>
            <w:noWrap/>
            <w:vAlign w:val="bottom"/>
            <w:hideMark/>
          </w:tcPr>
          <w:p w14:paraId="2D8210B5" w14:textId="77777777" w:rsidR="007F5EA9" w:rsidRPr="00C30419" w:rsidRDefault="007F5EA9" w:rsidP="00585655">
            <w:pPr>
              <w:jc w:val="center"/>
              <w:rPr>
                <w:rFonts w:ascii="Montserrat" w:eastAsia="Times New Roman" w:hAnsi="Montserrat"/>
                <w:color w:val="000000"/>
                <w:sz w:val="16"/>
                <w:szCs w:val="18"/>
                <w:lang w:eastAsia="es-MX"/>
              </w:rPr>
            </w:pPr>
            <w:r w:rsidRPr="00EE56BD">
              <w:rPr>
                <w:rFonts w:ascii="Montserrat" w:eastAsia="Times New Roman" w:hAnsi="Montserrat"/>
                <w:color w:val="000000"/>
                <w:sz w:val="16"/>
                <w:szCs w:val="18"/>
                <w:lang w:eastAsia="es-MX"/>
              </w:rPr>
              <w:t>2</w:t>
            </w:r>
            <w:r w:rsidRPr="00C30419">
              <w:rPr>
                <w:rFonts w:ascii="Montserrat" w:eastAsia="Times New Roman" w:hAnsi="Montserrat"/>
                <w:color w:val="000000"/>
                <w:sz w:val="16"/>
                <w:szCs w:val="18"/>
                <w:lang w:eastAsia="es-MX"/>
              </w:rPr>
              <w:t>021</w:t>
            </w:r>
          </w:p>
        </w:tc>
        <w:tc>
          <w:tcPr>
            <w:tcW w:w="3363" w:type="dxa"/>
            <w:tcBorders>
              <w:top w:val="nil"/>
              <w:left w:val="nil"/>
              <w:bottom w:val="single" w:sz="4" w:space="0" w:color="auto"/>
              <w:right w:val="single" w:sz="4" w:space="0" w:color="auto"/>
            </w:tcBorders>
            <w:shd w:val="clear" w:color="auto" w:fill="auto"/>
            <w:noWrap/>
            <w:vAlign w:val="bottom"/>
            <w:hideMark/>
          </w:tcPr>
          <w:p w14:paraId="71C7AC25" w14:textId="77777777" w:rsidR="007F5EA9" w:rsidRPr="00C30419" w:rsidRDefault="007F5EA9" w:rsidP="00585655">
            <w:pPr>
              <w:jc w:val="center"/>
              <w:rPr>
                <w:rFonts w:ascii="Montserrat" w:eastAsia="Times New Roman" w:hAnsi="Montserrat"/>
                <w:color w:val="000000"/>
                <w:sz w:val="16"/>
                <w:szCs w:val="18"/>
                <w:lang w:eastAsia="es-MX"/>
              </w:rPr>
            </w:pPr>
            <w:r w:rsidRPr="00C30419">
              <w:rPr>
                <w:rFonts w:ascii="Montserrat" w:eastAsia="Times New Roman" w:hAnsi="Montserrat"/>
                <w:color w:val="000000"/>
                <w:sz w:val="16"/>
                <w:szCs w:val="18"/>
                <w:lang w:eastAsia="es-MX"/>
              </w:rPr>
              <w:t>41,259</w:t>
            </w:r>
          </w:p>
        </w:tc>
      </w:tr>
      <w:tr w:rsidR="007F5EA9" w:rsidRPr="00C30419" w14:paraId="66E7D5AA" w14:textId="77777777" w:rsidTr="00585655">
        <w:trPr>
          <w:trHeight w:val="192"/>
          <w:jc w:val="center"/>
        </w:trPr>
        <w:tc>
          <w:tcPr>
            <w:tcW w:w="3363" w:type="dxa"/>
            <w:tcBorders>
              <w:top w:val="nil"/>
              <w:left w:val="single" w:sz="4" w:space="0" w:color="auto"/>
              <w:bottom w:val="single" w:sz="4" w:space="0" w:color="auto"/>
              <w:right w:val="single" w:sz="4" w:space="0" w:color="auto"/>
            </w:tcBorders>
            <w:shd w:val="clear" w:color="auto" w:fill="auto"/>
            <w:noWrap/>
            <w:vAlign w:val="bottom"/>
            <w:hideMark/>
          </w:tcPr>
          <w:p w14:paraId="41D67E43" w14:textId="77777777" w:rsidR="007F5EA9" w:rsidRPr="00C30419" w:rsidRDefault="007F5EA9" w:rsidP="00585655">
            <w:pPr>
              <w:jc w:val="center"/>
              <w:rPr>
                <w:rFonts w:ascii="Montserrat" w:eastAsia="Times New Roman" w:hAnsi="Montserrat"/>
                <w:color w:val="000000"/>
                <w:sz w:val="16"/>
                <w:szCs w:val="18"/>
                <w:lang w:eastAsia="es-MX"/>
              </w:rPr>
            </w:pPr>
            <w:r w:rsidRPr="00EE56BD">
              <w:rPr>
                <w:rFonts w:ascii="Montserrat" w:eastAsia="Times New Roman" w:hAnsi="Montserrat"/>
                <w:color w:val="000000"/>
                <w:sz w:val="16"/>
                <w:szCs w:val="18"/>
                <w:lang w:eastAsia="es-MX"/>
              </w:rPr>
              <w:t>2</w:t>
            </w:r>
            <w:r w:rsidRPr="00C30419">
              <w:rPr>
                <w:rFonts w:ascii="Montserrat" w:eastAsia="Times New Roman" w:hAnsi="Montserrat"/>
                <w:color w:val="000000"/>
                <w:sz w:val="16"/>
                <w:szCs w:val="18"/>
                <w:lang w:eastAsia="es-MX"/>
              </w:rPr>
              <w:t>022</w:t>
            </w:r>
          </w:p>
        </w:tc>
        <w:tc>
          <w:tcPr>
            <w:tcW w:w="3363" w:type="dxa"/>
            <w:tcBorders>
              <w:top w:val="nil"/>
              <w:left w:val="nil"/>
              <w:bottom w:val="single" w:sz="4" w:space="0" w:color="auto"/>
              <w:right w:val="single" w:sz="4" w:space="0" w:color="auto"/>
            </w:tcBorders>
            <w:shd w:val="clear" w:color="auto" w:fill="auto"/>
            <w:noWrap/>
            <w:vAlign w:val="bottom"/>
            <w:hideMark/>
          </w:tcPr>
          <w:p w14:paraId="5CB6ABC0" w14:textId="77777777" w:rsidR="007F5EA9" w:rsidRPr="00C30419" w:rsidRDefault="007F5EA9" w:rsidP="00585655">
            <w:pPr>
              <w:jc w:val="center"/>
              <w:rPr>
                <w:rFonts w:ascii="Montserrat" w:eastAsia="Times New Roman" w:hAnsi="Montserrat"/>
                <w:color w:val="000000"/>
                <w:sz w:val="16"/>
                <w:szCs w:val="18"/>
                <w:lang w:eastAsia="es-MX"/>
              </w:rPr>
            </w:pPr>
            <w:r w:rsidRPr="00C30419">
              <w:rPr>
                <w:rFonts w:ascii="Montserrat" w:eastAsia="Times New Roman" w:hAnsi="Montserrat"/>
                <w:color w:val="000000"/>
                <w:sz w:val="16"/>
                <w:szCs w:val="18"/>
                <w:lang w:eastAsia="es-MX"/>
              </w:rPr>
              <w:t>5,658</w:t>
            </w:r>
          </w:p>
        </w:tc>
      </w:tr>
      <w:tr w:rsidR="007F5EA9" w:rsidRPr="00C30419" w14:paraId="07DF6B01" w14:textId="77777777" w:rsidTr="00585655">
        <w:trPr>
          <w:trHeight w:val="247"/>
          <w:jc w:val="center"/>
        </w:trPr>
        <w:tc>
          <w:tcPr>
            <w:tcW w:w="3363" w:type="dxa"/>
            <w:tcBorders>
              <w:top w:val="nil"/>
              <w:left w:val="single" w:sz="4" w:space="0" w:color="auto"/>
              <w:bottom w:val="single" w:sz="4" w:space="0" w:color="auto"/>
              <w:right w:val="single" w:sz="4" w:space="0" w:color="auto"/>
            </w:tcBorders>
            <w:shd w:val="clear" w:color="000000" w:fill="D0CECE"/>
            <w:vAlign w:val="center"/>
            <w:hideMark/>
          </w:tcPr>
          <w:p w14:paraId="66FCD0B1" w14:textId="77777777" w:rsidR="007F5EA9" w:rsidRPr="00C30419" w:rsidRDefault="007F5EA9" w:rsidP="00585655">
            <w:pPr>
              <w:jc w:val="center"/>
              <w:rPr>
                <w:rFonts w:ascii="Montserrat" w:eastAsia="Times New Roman" w:hAnsi="Montserrat"/>
                <w:b/>
                <w:bCs/>
                <w:sz w:val="16"/>
                <w:szCs w:val="18"/>
                <w:lang w:eastAsia="es-MX"/>
              </w:rPr>
            </w:pPr>
            <w:r w:rsidRPr="00C30419">
              <w:rPr>
                <w:rFonts w:ascii="Montserrat" w:eastAsia="Times New Roman" w:hAnsi="Montserrat"/>
                <w:b/>
                <w:bCs/>
                <w:sz w:val="16"/>
                <w:szCs w:val="18"/>
                <w:lang w:eastAsia="es-MX"/>
              </w:rPr>
              <w:t>Total</w:t>
            </w:r>
          </w:p>
        </w:tc>
        <w:tc>
          <w:tcPr>
            <w:tcW w:w="3363" w:type="dxa"/>
            <w:tcBorders>
              <w:top w:val="nil"/>
              <w:left w:val="nil"/>
              <w:bottom w:val="single" w:sz="4" w:space="0" w:color="auto"/>
              <w:right w:val="single" w:sz="4" w:space="0" w:color="auto"/>
            </w:tcBorders>
            <w:shd w:val="clear" w:color="000000" w:fill="D0CECE"/>
            <w:noWrap/>
            <w:vAlign w:val="bottom"/>
            <w:hideMark/>
          </w:tcPr>
          <w:p w14:paraId="0BDF12C3" w14:textId="77777777" w:rsidR="007F5EA9" w:rsidRPr="00C30419" w:rsidRDefault="007F5EA9" w:rsidP="00585655">
            <w:pPr>
              <w:jc w:val="center"/>
              <w:rPr>
                <w:rFonts w:ascii="Montserrat" w:eastAsia="Times New Roman" w:hAnsi="Montserrat"/>
                <w:b/>
                <w:bCs/>
                <w:sz w:val="16"/>
                <w:szCs w:val="18"/>
                <w:lang w:eastAsia="es-MX"/>
              </w:rPr>
            </w:pPr>
            <w:r w:rsidRPr="00C30419">
              <w:rPr>
                <w:rFonts w:ascii="Montserrat" w:eastAsia="Times New Roman" w:hAnsi="Montserrat"/>
                <w:b/>
                <w:bCs/>
                <w:sz w:val="16"/>
                <w:szCs w:val="18"/>
                <w:lang w:eastAsia="es-MX"/>
              </w:rPr>
              <w:t>474,335</w:t>
            </w:r>
          </w:p>
        </w:tc>
      </w:tr>
    </w:tbl>
    <w:p w14:paraId="2118C6A1" w14:textId="77777777" w:rsidR="007F5EA9" w:rsidRPr="00EE56BD" w:rsidRDefault="007F5EA9" w:rsidP="007F5EA9">
      <w:pPr>
        <w:jc w:val="center"/>
        <w:rPr>
          <w:rFonts w:ascii="Montserrat" w:hAnsi="Montserrat"/>
          <w:sz w:val="20"/>
          <w:szCs w:val="18"/>
        </w:rPr>
      </w:pPr>
      <w:r w:rsidRPr="00EE56BD">
        <w:rPr>
          <w:rFonts w:ascii="Montserrat" w:hAnsi="Montserrat"/>
          <w:sz w:val="18"/>
          <w:szCs w:val="16"/>
        </w:rPr>
        <w:t>Fuente: Comisión Nacional de Vivienda 2022.</w:t>
      </w:r>
    </w:p>
    <w:p w14:paraId="4E88C9FB" w14:textId="77777777" w:rsidR="007F5EA9" w:rsidRDefault="007F5EA9" w:rsidP="007F5EA9">
      <w:pPr>
        <w:jc w:val="both"/>
        <w:rPr>
          <w:rFonts w:ascii="Montserrat" w:hAnsi="Montserrat"/>
          <w:sz w:val="20"/>
          <w:szCs w:val="16"/>
        </w:rPr>
      </w:pPr>
    </w:p>
    <w:p w14:paraId="70B98490" w14:textId="77777777" w:rsidR="007F5EA9" w:rsidRPr="00EE56BD" w:rsidRDefault="007F5EA9" w:rsidP="007F5EA9">
      <w:pPr>
        <w:jc w:val="both"/>
        <w:rPr>
          <w:rFonts w:ascii="Montserrat" w:hAnsi="Montserrat"/>
          <w:sz w:val="20"/>
          <w:szCs w:val="16"/>
        </w:rPr>
      </w:pPr>
      <w:r w:rsidRPr="00EE56BD">
        <w:rPr>
          <w:rFonts w:ascii="Montserrat" w:hAnsi="Montserrat"/>
          <w:sz w:val="20"/>
          <w:szCs w:val="16"/>
        </w:rPr>
        <w:t>Los 474,335 subsidios otorgados a hogares en municipios con altos índices de violencia, representan 46% del total de subsidios entre 2014 y 2022, atención promedio aproximada de 1,897,340 personas.</w:t>
      </w:r>
    </w:p>
    <w:p w14:paraId="181F751C" w14:textId="77777777" w:rsidR="007F5EA9" w:rsidRPr="00EE56BD" w:rsidRDefault="007F5EA9" w:rsidP="007F5EA9">
      <w:pPr>
        <w:jc w:val="both"/>
        <w:rPr>
          <w:rFonts w:ascii="Montserrat" w:hAnsi="Montserrat"/>
          <w:sz w:val="20"/>
          <w:szCs w:val="16"/>
        </w:rPr>
      </w:pPr>
      <w:r w:rsidRPr="00EE56BD">
        <w:rPr>
          <w:rFonts w:ascii="Montserrat" w:hAnsi="Montserrat"/>
          <w:sz w:val="20"/>
          <w:szCs w:val="16"/>
        </w:rPr>
        <w:t>De los 474,335 subsidios otorgados, se estima de forma general que se generaron 2,134,508 empleos directos y 3,201,761 empleos indirectos en los municipios entre 2014 y 2022, contribuyendo de forma indirecta a contrarrestar factores que propician la violencia y la inseguridad.</w:t>
      </w:r>
    </w:p>
    <w:p w14:paraId="09DC8320" w14:textId="77777777" w:rsidR="007F5EA9" w:rsidRPr="00EE56BD" w:rsidRDefault="007F5EA9" w:rsidP="007F5EA9">
      <w:pPr>
        <w:jc w:val="both"/>
        <w:rPr>
          <w:rFonts w:ascii="Montserrat" w:hAnsi="Montserrat"/>
          <w:sz w:val="20"/>
          <w:szCs w:val="16"/>
        </w:rPr>
      </w:pPr>
    </w:p>
    <w:p w14:paraId="6B9F0ED5" w14:textId="77777777" w:rsidR="007F5EA9" w:rsidRPr="00EE56BD" w:rsidRDefault="007F5EA9" w:rsidP="007F5EA9">
      <w:pPr>
        <w:jc w:val="both"/>
        <w:rPr>
          <w:rFonts w:ascii="Montserrat" w:hAnsi="Montserrat"/>
          <w:sz w:val="20"/>
          <w:szCs w:val="16"/>
        </w:rPr>
      </w:pPr>
      <w:r w:rsidRPr="00EE56BD">
        <w:rPr>
          <w:rFonts w:ascii="Montserrat" w:hAnsi="Montserrat"/>
          <w:sz w:val="20"/>
          <w:szCs w:val="16"/>
        </w:rPr>
        <w:t xml:space="preserve">En el siguiente mapa, se muestra la relación del otorgamiento de subsidios a nivel municipal y la tasa de homicidios por cada cien mil habitantes. </w:t>
      </w:r>
    </w:p>
    <w:p w14:paraId="5008E1A9" w14:textId="77777777" w:rsidR="007F5EA9" w:rsidRPr="00EE56BD" w:rsidRDefault="007F5EA9" w:rsidP="007F5EA9">
      <w:pPr>
        <w:jc w:val="both"/>
        <w:rPr>
          <w:rFonts w:ascii="Montserrat" w:hAnsi="Montserrat"/>
          <w:sz w:val="20"/>
          <w:szCs w:val="16"/>
        </w:rPr>
      </w:pPr>
    </w:p>
    <w:p w14:paraId="7FC5F9F7" w14:textId="77777777" w:rsidR="007F5EA9" w:rsidRPr="00EE56BD" w:rsidRDefault="007F5EA9" w:rsidP="007F5EA9">
      <w:pPr>
        <w:jc w:val="center"/>
        <w:rPr>
          <w:rFonts w:ascii="Montserrat" w:hAnsi="Montserrat"/>
          <w:i/>
          <w:color w:val="600000"/>
          <w:sz w:val="20"/>
          <w:szCs w:val="20"/>
        </w:rPr>
      </w:pPr>
      <w:r w:rsidRPr="00EE56BD">
        <w:rPr>
          <w:rFonts w:ascii="Montserrat" w:hAnsi="Montserrat"/>
          <w:i/>
          <w:color w:val="600000"/>
          <w:sz w:val="20"/>
          <w:szCs w:val="20"/>
        </w:rPr>
        <w:t>Mapa 4. Relación del otorgamie</w:t>
      </w:r>
      <w:r>
        <w:rPr>
          <w:rFonts w:ascii="Montserrat" w:hAnsi="Montserrat"/>
          <w:i/>
          <w:color w:val="600000"/>
          <w:sz w:val="20"/>
          <w:szCs w:val="20"/>
        </w:rPr>
        <w:t>nto de subsidios de 2014 a 2022</w:t>
      </w:r>
      <w:r w:rsidRPr="00EE56BD">
        <w:rPr>
          <w:rFonts w:ascii="Montserrat" w:hAnsi="Montserrat"/>
          <w:i/>
          <w:color w:val="600000"/>
          <w:sz w:val="20"/>
          <w:szCs w:val="20"/>
        </w:rPr>
        <w:t xml:space="preserve"> y la tasa de homicidios por cada cien mil habitantes.</w:t>
      </w:r>
    </w:p>
    <w:p w14:paraId="6913764F" w14:textId="77777777" w:rsidR="007F5EA9" w:rsidRPr="00EE56BD" w:rsidRDefault="007F5EA9" w:rsidP="007F5EA9">
      <w:pPr>
        <w:jc w:val="center"/>
        <w:rPr>
          <w:rFonts w:ascii="Montserrat" w:hAnsi="Montserrat"/>
          <w:sz w:val="20"/>
          <w:szCs w:val="16"/>
        </w:rPr>
      </w:pPr>
      <w:r w:rsidRPr="00EE56BD">
        <w:rPr>
          <w:noProof/>
          <w:sz w:val="32"/>
          <w:lang w:eastAsia="es-MX"/>
        </w:rPr>
        <w:drawing>
          <wp:inline distT="0" distB="0" distL="0" distR="0" wp14:anchorId="2AAE9F06" wp14:editId="0817795B">
            <wp:extent cx="3495675" cy="2393339"/>
            <wp:effectExtent l="0" t="0" r="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29738" cy="2416660"/>
                    </a:xfrm>
                    <a:prstGeom prst="rect">
                      <a:avLst/>
                    </a:prstGeom>
                  </pic:spPr>
                </pic:pic>
              </a:graphicData>
            </a:graphic>
          </wp:inline>
        </w:drawing>
      </w:r>
    </w:p>
    <w:p w14:paraId="5444C0E7" w14:textId="77777777" w:rsidR="007F5EA9" w:rsidRPr="007F5EA9" w:rsidRDefault="007F5EA9" w:rsidP="007F5EA9">
      <w:pPr>
        <w:jc w:val="center"/>
        <w:rPr>
          <w:rFonts w:ascii="Montserrat" w:hAnsi="Montserrat"/>
          <w:sz w:val="16"/>
          <w:szCs w:val="16"/>
        </w:rPr>
      </w:pPr>
      <w:r w:rsidRPr="007F5EA9">
        <w:rPr>
          <w:rFonts w:ascii="Montserrat" w:hAnsi="Montserrat"/>
          <w:sz w:val="16"/>
          <w:szCs w:val="16"/>
        </w:rPr>
        <w:t>Fuente: Comisión Nacional de Vivienda 2022, con datos del INEGI (2021).</w:t>
      </w:r>
    </w:p>
    <w:p w14:paraId="48C88182" w14:textId="77777777" w:rsidR="007F5EA9" w:rsidRDefault="007F5EA9" w:rsidP="007F5EA9">
      <w:pPr>
        <w:jc w:val="both"/>
        <w:rPr>
          <w:rFonts w:ascii="Montserrat" w:hAnsi="Montserrat"/>
          <w:sz w:val="20"/>
          <w:szCs w:val="16"/>
        </w:rPr>
      </w:pPr>
    </w:p>
    <w:p w14:paraId="2C40A001" w14:textId="77777777" w:rsidR="007F5EA9" w:rsidRDefault="007F5EA9" w:rsidP="007F5EA9">
      <w:pPr>
        <w:jc w:val="both"/>
        <w:rPr>
          <w:rFonts w:ascii="Montserrat" w:hAnsi="Montserrat"/>
          <w:sz w:val="20"/>
          <w:szCs w:val="16"/>
        </w:rPr>
      </w:pPr>
      <w:r w:rsidRPr="00EE56BD">
        <w:rPr>
          <w:rFonts w:ascii="Montserrat" w:hAnsi="Montserrat"/>
          <w:sz w:val="20"/>
          <w:szCs w:val="16"/>
        </w:rPr>
        <w:t xml:space="preserve">Por otro lado, con el cambio en la política de vivienda a partir de 2019, se ha buscado la atención de casos específicos de conflictos violentos con el objeto de restituir un derecho (a la vivienda) y permitir que las víctimas retomen sus proyectos de vida y, en algunos casos, se pone fin a situaciones de vulnerabilidad como el desplazamiento y la falta de seguridad; lo anterior a partir de solicitudes que la Conavi recibe de la Comisión Interamericana de Derechos Humanos a través de la Secretaría de Gobernación. </w:t>
      </w:r>
    </w:p>
    <w:p w14:paraId="46470CF2" w14:textId="77777777" w:rsidR="007F5EA9" w:rsidRPr="00EE56BD" w:rsidRDefault="007F5EA9" w:rsidP="007F5EA9">
      <w:pPr>
        <w:jc w:val="both"/>
        <w:rPr>
          <w:rFonts w:ascii="Montserrat" w:hAnsi="Montserrat"/>
          <w:sz w:val="20"/>
          <w:szCs w:val="16"/>
        </w:rPr>
      </w:pPr>
    </w:p>
    <w:p w14:paraId="2EC87DCD" w14:textId="77777777" w:rsidR="007F5EA9" w:rsidRDefault="007F5EA9" w:rsidP="007F5EA9">
      <w:pPr>
        <w:jc w:val="both"/>
        <w:rPr>
          <w:rFonts w:ascii="Montserrat" w:hAnsi="Montserrat"/>
          <w:sz w:val="20"/>
          <w:szCs w:val="16"/>
        </w:rPr>
      </w:pPr>
      <w:r w:rsidRPr="00EE56BD">
        <w:rPr>
          <w:rFonts w:ascii="Montserrat" w:hAnsi="Montserrat"/>
          <w:sz w:val="20"/>
          <w:szCs w:val="16"/>
        </w:rPr>
        <w:t>En el siguiente cuadro, se muestra la lista de casos que actualmente están siendo atendidos desde la Comisión Nacional de Vivienda:</w:t>
      </w:r>
    </w:p>
    <w:p w14:paraId="5C8EEBCD" w14:textId="77777777" w:rsidR="007F5EA9" w:rsidRPr="00EE56BD" w:rsidRDefault="007F5EA9" w:rsidP="007F5EA9">
      <w:pPr>
        <w:jc w:val="both"/>
        <w:rPr>
          <w:rFonts w:ascii="Montserrat" w:hAnsi="Montserrat"/>
          <w:sz w:val="20"/>
          <w:szCs w:val="16"/>
        </w:rPr>
      </w:pPr>
    </w:p>
    <w:p w14:paraId="71F8F881" w14:textId="77777777" w:rsidR="007F5EA9" w:rsidRPr="008F54B1" w:rsidRDefault="007F5EA9" w:rsidP="007F5EA9">
      <w:pPr>
        <w:jc w:val="center"/>
        <w:rPr>
          <w:rFonts w:ascii="Montserrat" w:hAnsi="Montserrat"/>
          <w:sz w:val="16"/>
          <w:szCs w:val="16"/>
        </w:rPr>
      </w:pPr>
      <w:r w:rsidRPr="008F54B1">
        <w:rPr>
          <w:rFonts w:ascii="Montserrat" w:hAnsi="Montserrat"/>
          <w:i/>
          <w:color w:val="600000"/>
          <w:sz w:val="16"/>
          <w:szCs w:val="16"/>
        </w:rPr>
        <w:t>Cuadro 2. Atención de casos por conflictos violentos de la Comisión Interamericana de Derechos Humanos por parte de la Comisión Nacional de Vivienda en coordinación con la Secretaría de Gobernación.</w:t>
      </w:r>
    </w:p>
    <w:tbl>
      <w:tblPr>
        <w:tblW w:w="0" w:type="auto"/>
        <w:tblInd w:w="-5" w:type="dxa"/>
        <w:tblCellMar>
          <w:left w:w="70" w:type="dxa"/>
          <w:right w:w="70" w:type="dxa"/>
        </w:tblCellMar>
        <w:tblLook w:val="04A0" w:firstRow="1" w:lastRow="0" w:firstColumn="1" w:lastColumn="0" w:noHBand="0" w:noVBand="1"/>
      </w:tblPr>
      <w:tblGrid>
        <w:gridCol w:w="777"/>
        <w:gridCol w:w="2024"/>
        <w:gridCol w:w="1257"/>
        <w:gridCol w:w="2170"/>
        <w:gridCol w:w="1111"/>
        <w:gridCol w:w="1494"/>
      </w:tblGrid>
      <w:tr w:rsidR="007F5EA9" w:rsidRPr="007F5EA9" w14:paraId="17AEBE0E" w14:textId="77777777" w:rsidTr="008F54B1">
        <w:trPr>
          <w:trHeight w:val="705"/>
          <w:tblHeader/>
        </w:trPr>
        <w:tc>
          <w:tcPr>
            <w:tcW w:w="0" w:type="auto"/>
            <w:tcBorders>
              <w:top w:val="single" w:sz="4" w:space="0" w:color="auto"/>
              <w:left w:val="single" w:sz="4" w:space="0" w:color="auto"/>
              <w:bottom w:val="single" w:sz="4" w:space="0" w:color="auto"/>
              <w:right w:val="single" w:sz="4" w:space="0" w:color="auto"/>
            </w:tcBorders>
            <w:shd w:val="clear" w:color="000000" w:fill="6C0000"/>
            <w:vAlign w:val="center"/>
            <w:hideMark/>
          </w:tcPr>
          <w:p w14:paraId="77624F51" w14:textId="77777777" w:rsidR="007F5EA9" w:rsidRPr="007F5EA9" w:rsidRDefault="007F5EA9" w:rsidP="00585655">
            <w:pPr>
              <w:jc w:val="center"/>
              <w:rPr>
                <w:rFonts w:ascii="Montserrat" w:eastAsia="Times New Roman" w:hAnsi="Montserrat"/>
                <w:b/>
                <w:bCs/>
                <w:color w:val="FFFFFF"/>
                <w:sz w:val="16"/>
                <w:szCs w:val="16"/>
                <w:lang w:eastAsia="es-MX"/>
              </w:rPr>
            </w:pPr>
            <w:r w:rsidRPr="007F5EA9">
              <w:rPr>
                <w:rFonts w:ascii="Montserrat" w:eastAsia="Times New Roman" w:hAnsi="Montserrat"/>
                <w:b/>
                <w:bCs/>
                <w:color w:val="FFFFFF"/>
                <w:sz w:val="16"/>
                <w:szCs w:val="16"/>
                <w:lang w:eastAsia="es-MX"/>
              </w:rPr>
              <w:lastRenderedPageBreak/>
              <w:t>Asunto</w:t>
            </w:r>
          </w:p>
        </w:tc>
        <w:tc>
          <w:tcPr>
            <w:tcW w:w="2024" w:type="dxa"/>
            <w:tcBorders>
              <w:top w:val="single" w:sz="4" w:space="0" w:color="auto"/>
              <w:left w:val="nil"/>
              <w:bottom w:val="single" w:sz="4" w:space="0" w:color="auto"/>
              <w:right w:val="single" w:sz="4" w:space="0" w:color="auto"/>
            </w:tcBorders>
            <w:shd w:val="clear" w:color="000000" w:fill="6C0000"/>
            <w:vAlign w:val="center"/>
            <w:hideMark/>
          </w:tcPr>
          <w:p w14:paraId="1189CA58" w14:textId="77777777" w:rsidR="007F5EA9" w:rsidRPr="007F5EA9" w:rsidRDefault="007F5EA9" w:rsidP="00585655">
            <w:pPr>
              <w:jc w:val="center"/>
              <w:rPr>
                <w:rFonts w:ascii="Montserrat" w:eastAsia="Times New Roman" w:hAnsi="Montserrat"/>
                <w:b/>
                <w:bCs/>
                <w:color w:val="FFFFFF"/>
                <w:sz w:val="16"/>
                <w:szCs w:val="16"/>
                <w:lang w:eastAsia="es-MX"/>
              </w:rPr>
            </w:pPr>
            <w:r w:rsidRPr="007F5EA9">
              <w:rPr>
                <w:rFonts w:ascii="Montserrat" w:eastAsia="Times New Roman" w:hAnsi="Montserrat"/>
                <w:b/>
                <w:bCs/>
                <w:color w:val="FFFFFF"/>
                <w:sz w:val="16"/>
                <w:szCs w:val="16"/>
                <w:lang w:eastAsia="es-MX"/>
              </w:rPr>
              <w:t>Nombre ante Organismos Internacionales de DD.HH.</w:t>
            </w:r>
          </w:p>
        </w:tc>
        <w:tc>
          <w:tcPr>
            <w:tcW w:w="1257" w:type="dxa"/>
            <w:tcBorders>
              <w:top w:val="single" w:sz="4" w:space="0" w:color="auto"/>
              <w:left w:val="nil"/>
              <w:bottom w:val="single" w:sz="4" w:space="0" w:color="auto"/>
              <w:right w:val="single" w:sz="4" w:space="0" w:color="auto"/>
            </w:tcBorders>
            <w:shd w:val="clear" w:color="000000" w:fill="6C0000"/>
            <w:vAlign w:val="center"/>
            <w:hideMark/>
          </w:tcPr>
          <w:p w14:paraId="6E244571" w14:textId="77777777" w:rsidR="007F5EA9" w:rsidRPr="007F5EA9" w:rsidRDefault="007F5EA9" w:rsidP="00585655">
            <w:pPr>
              <w:jc w:val="center"/>
              <w:rPr>
                <w:rFonts w:ascii="Montserrat" w:eastAsia="Times New Roman" w:hAnsi="Montserrat"/>
                <w:b/>
                <w:bCs/>
                <w:color w:val="FFFFFF"/>
                <w:sz w:val="16"/>
                <w:szCs w:val="16"/>
                <w:lang w:eastAsia="es-MX"/>
              </w:rPr>
            </w:pPr>
            <w:r w:rsidRPr="007F5EA9">
              <w:rPr>
                <w:rFonts w:ascii="Montserrat" w:eastAsia="Times New Roman" w:hAnsi="Montserrat"/>
                <w:b/>
                <w:bCs/>
                <w:color w:val="FFFFFF"/>
                <w:sz w:val="16"/>
                <w:szCs w:val="16"/>
                <w:lang w:eastAsia="es-MX"/>
              </w:rPr>
              <w:t>Organismo Internacional</w:t>
            </w:r>
          </w:p>
        </w:tc>
        <w:tc>
          <w:tcPr>
            <w:tcW w:w="0" w:type="auto"/>
            <w:tcBorders>
              <w:top w:val="single" w:sz="4" w:space="0" w:color="auto"/>
              <w:left w:val="nil"/>
              <w:bottom w:val="single" w:sz="4" w:space="0" w:color="auto"/>
              <w:right w:val="single" w:sz="4" w:space="0" w:color="auto"/>
            </w:tcBorders>
            <w:shd w:val="clear" w:color="000000" w:fill="6C0000"/>
            <w:vAlign w:val="center"/>
            <w:hideMark/>
          </w:tcPr>
          <w:p w14:paraId="0088F817" w14:textId="77777777" w:rsidR="007F5EA9" w:rsidRPr="007F5EA9" w:rsidRDefault="007F5EA9" w:rsidP="00585655">
            <w:pPr>
              <w:jc w:val="center"/>
              <w:rPr>
                <w:rFonts w:ascii="Montserrat" w:eastAsia="Times New Roman" w:hAnsi="Montserrat"/>
                <w:b/>
                <w:bCs/>
                <w:color w:val="FFFFFF"/>
                <w:sz w:val="16"/>
                <w:szCs w:val="16"/>
                <w:lang w:eastAsia="es-MX"/>
              </w:rPr>
            </w:pPr>
            <w:r w:rsidRPr="007F5EA9">
              <w:rPr>
                <w:rFonts w:ascii="Montserrat" w:eastAsia="Times New Roman" w:hAnsi="Montserrat"/>
                <w:b/>
                <w:bCs/>
                <w:color w:val="FFFFFF"/>
                <w:sz w:val="16"/>
                <w:szCs w:val="16"/>
                <w:lang w:eastAsia="es-MX"/>
              </w:rPr>
              <w:t>No. De familias que se beneficiarán</w:t>
            </w:r>
          </w:p>
        </w:tc>
        <w:tc>
          <w:tcPr>
            <w:tcW w:w="0" w:type="auto"/>
            <w:tcBorders>
              <w:top w:val="single" w:sz="4" w:space="0" w:color="auto"/>
              <w:left w:val="nil"/>
              <w:bottom w:val="single" w:sz="4" w:space="0" w:color="auto"/>
              <w:right w:val="single" w:sz="4" w:space="0" w:color="auto"/>
            </w:tcBorders>
            <w:shd w:val="clear" w:color="000000" w:fill="6C0000"/>
            <w:vAlign w:val="center"/>
            <w:hideMark/>
          </w:tcPr>
          <w:p w14:paraId="21A23D89" w14:textId="77777777" w:rsidR="007F5EA9" w:rsidRPr="007F5EA9" w:rsidRDefault="007F5EA9" w:rsidP="00585655">
            <w:pPr>
              <w:jc w:val="center"/>
              <w:rPr>
                <w:rFonts w:ascii="Montserrat" w:eastAsia="Times New Roman" w:hAnsi="Montserrat"/>
                <w:b/>
                <w:bCs/>
                <w:color w:val="FFFFFF"/>
                <w:sz w:val="16"/>
                <w:szCs w:val="16"/>
                <w:lang w:eastAsia="es-MX"/>
              </w:rPr>
            </w:pPr>
            <w:r w:rsidRPr="007F5EA9">
              <w:rPr>
                <w:rFonts w:ascii="Montserrat" w:eastAsia="Times New Roman" w:hAnsi="Montserrat"/>
                <w:b/>
                <w:bCs/>
                <w:color w:val="FFFFFF"/>
                <w:sz w:val="16"/>
                <w:szCs w:val="16"/>
                <w:lang w:eastAsia="es-MX"/>
              </w:rPr>
              <w:t>Entidad Federativa</w:t>
            </w:r>
          </w:p>
        </w:tc>
        <w:tc>
          <w:tcPr>
            <w:tcW w:w="0" w:type="auto"/>
            <w:tcBorders>
              <w:top w:val="single" w:sz="4" w:space="0" w:color="auto"/>
              <w:left w:val="nil"/>
              <w:bottom w:val="single" w:sz="4" w:space="0" w:color="auto"/>
              <w:right w:val="single" w:sz="4" w:space="0" w:color="auto"/>
            </w:tcBorders>
            <w:shd w:val="clear" w:color="000000" w:fill="6C0000"/>
            <w:vAlign w:val="center"/>
            <w:hideMark/>
          </w:tcPr>
          <w:p w14:paraId="681F6691" w14:textId="77777777" w:rsidR="007F5EA9" w:rsidRPr="007F5EA9" w:rsidRDefault="007F5EA9" w:rsidP="00585655">
            <w:pPr>
              <w:jc w:val="center"/>
              <w:rPr>
                <w:rFonts w:ascii="Montserrat" w:eastAsia="Times New Roman" w:hAnsi="Montserrat"/>
                <w:b/>
                <w:bCs/>
                <w:color w:val="FFFFFF"/>
                <w:sz w:val="16"/>
                <w:szCs w:val="16"/>
                <w:lang w:eastAsia="es-MX"/>
              </w:rPr>
            </w:pPr>
            <w:r w:rsidRPr="007F5EA9">
              <w:rPr>
                <w:rFonts w:ascii="Montserrat" w:eastAsia="Times New Roman" w:hAnsi="Montserrat"/>
                <w:b/>
                <w:bCs/>
                <w:color w:val="FFFFFF"/>
                <w:sz w:val="16"/>
                <w:szCs w:val="16"/>
                <w:lang w:eastAsia="es-MX"/>
              </w:rPr>
              <w:t>Ciudad Destino</w:t>
            </w:r>
          </w:p>
        </w:tc>
      </w:tr>
      <w:tr w:rsidR="007F5EA9" w:rsidRPr="007F5EA9" w14:paraId="5A93BBC6" w14:textId="77777777" w:rsidTr="008F54B1">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BDD423" w14:textId="77777777" w:rsidR="007F5EA9" w:rsidRPr="007F5EA9" w:rsidRDefault="007F5EA9" w:rsidP="00585655">
            <w:pPr>
              <w:rPr>
                <w:rFonts w:ascii="Montserrat" w:eastAsia="Times New Roman" w:hAnsi="Montserrat"/>
                <w:color w:val="000000"/>
                <w:sz w:val="16"/>
                <w:szCs w:val="16"/>
                <w:lang w:eastAsia="es-MX"/>
              </w:rPr>
            </w:pPr>
            <w:r w:rsidRPr="007F5EA9">
              <w:rPr>
                <w:rFonts w:ascii="Montserrat" w:eastAsia="Times New Roman" w:hAnsi="Montserrat"/>
                <w:color w:val="000000"/>
                <w:sz w:val="16"/>
                <w:szCs w:val="16"/>
                <w:lang w:eastAsia="es-MX"/>
              </w:rPr>
              <w:t>Caso 12.790</w:t>
            </w:r>
          </w:p>
        </w:tc>
        <w:tc>
          <w:tcPr>
            <w:tcW w:w="2024" w:type="dxa"/>
            <w:tcBorders>
              <w:top w:val="nil"/>
              <w:left w:val="nil"/>
              <w:bottom w:val="single" w:sz="4" w:space="0" w:color="auto"/>
              <w:right w:val="single" w:sz="4" w:space="0" w:color="auto"/>
            </w:tcBorders>
            <w:shd w:val="clear" w:color="auto" w:fill="auto"/>
            <w:vAlign w:val="center"/>
            <w:hideMark/>
          </w:tcPr>
          <w:p w14:paraId="7E800D44" w14:textId="77777777" w:rsidR="007F5EA9" w:rsidRPr="007F5EA9" w:rsidRDefault="007F5EA9" w:rsidP="00585655">
            <w:pPr>
              <w:rPr>
                <w:rFonts w:ascii="Montserrat" w:eastAsia="Times New Roman" w:hAnsi="Montserrat"/>
                <w:color w:val="000000"/>
                <w:sz w:val="16"/>
                <w:szCs w:val="16"/>
                <w:lang w:eastAsia="es-MX"/>
              </w:rPr>
            </w:pPr>
            <w:r w:rsidRPr="007F5EA9">
              <w:rPr>
                <w:rFonts w:ascii="Montserrat" w:eastAsia="Times New Roman" w:hAnsi="Montserrat"/>
                <w:color w:val="000000"/>
                <w:sz w:val="16"/>
                <w:szCs w:val="16"/>
                <w:lang w:eastAsia="es-MX"/>
              </w:rPr>
              <w:t>Manuel Santiz Culebra y otros "Masacre de Acteal"</w:t>
            </w:r>
          </w:p>
        </w:tc>
        <w:tc>
          <w:tcPr>
            <w:tcW w:w="1257" w:type="dxa"/>
            <w:tcBorders>
              <w:top w:val="nil"/>
              <w:left w:val="nil"/>
              <w:bottom w:val="single" w:sz="4" w:space="0" w:color="auto"/>
              <w:right w:val="single" w:sz="4" w:space="0" w:color="auto"/>
            </w:tcBorders>
            <w:shd w:val="clear" w:color="auto" w:fill="auto"/>
            <w:vAlign w:val="center"/>
            <w:hideMark/>
          </w:tcPr>
          <w:p w14:paraId="1189DFA5" w14:textId="77777777" w:rsidR="007F5EA9" w:rsidRPr="007F5EA9" w:rsidRDefault="007F5EA9" w:rsidP="00585655">
            <w:pPr>
              <w:rPr>
                <w:rFonts w:ascii="Montserrat" w:eastAsia="Times New Roman" w:hAnsi="Montserrat"/>
                <w:color w:val="000000"/>
                <w:sz w:val="16"/>
                <w:szCs w:val="16"/>
                <w:lang w:eastAsia="es-MX"/>
              </w:rPr>
            </w:pPr>
            <w:r w:rsidRPr="007F5EA9">
              <w:rPr>
                <w:rFonts w:ascii="Montserrat" w:eastAsia="Times New Roman" w:hAnsi="Montserrat"/>
                <w:color w:val="000000"/>
                <w:sz w:val="16"/>
                <w:szCs w:val="16"/>
                <w:lang w:eastAsia="es-MX"/>
              </w:rPr>
              <w:t>CIDH</w:t>
            </w:r>
          </w:p>
        </w:tc>
        <w:tc>
          <w:tcPr>
            <w:tcW w:w="0" w:type="auto"/>
            <w:tcBorders>
              <w:top w:val="nil"/>
              <w:left w:val="nil"/>
              <w:bottom w:val="single" w:sz="4" w:space="0" w:color="auto"/>
              <w:right w:val="single" w:sz="4" w:space="0" w:color="auto"/>
            </w:tcBorders>
            <w:shd w:val="clear" w:color="auto" w:fill="auto"/>
            <w:vAlign w:val="center"/>
            <w:hideMark/>
          </w:tcPr>
          <w:p w14:paraId="71556CD1" w14:textId="77777777" w:rsidR="007F5EA9" w:rsidRPr="007F5EA9" w:rsidRDefault="007F5EA9" w:rsidP="00585655">
            <w:pPr>
              <w:rPr>
                <w:rFonts w:ascii="Montserrat" w:eastAsia="Times New Roman" w:hAnsi="Montserrat"/>
                <w:color w:val="000000"/>
                <w:sz w:val="16"/>
                <w:szCs w:val="16"/>
                <w:lang w:eastAsia="es-MX"/>
              </w:rPr>
            </w:pPr>
            <w:r w:rsidRPr="007F5EA9">
              <w:rPr>
                <w:rFonts w:ascii="Montserrat" w:eastAsia="Times New Roman" w:hAnsi="Montserrat"/>
                <w:color w:val="000000"/>
                <w:sz w:val="16"/>
                <w:szCs w:val="16"/>
                <w:lang w:eastAsia="es-MX"/>
              </w:rPr>
              <w:t>30 familias atendidas en 2021</w:t>
            </w:r>
            <w:r w:rsidRPr="007F5EA9">
              <w:rPr>
                <w:rFonts w:ascii="Montserrat" w:eastAsia="Times New Roman" w:hAnsi="Montserrat"/>
                <w:color w:val="000000"/>
                <w:sz w:val="16"/>
                <w:szCs w:val="16"/>
                <w:lang w:eastAsia="es-MX"/>
              </w:rPr>
              <w:br/>
              <w:t>En 2022 se estima la atención de 13 familias</w:t>
            </w:r>
          </w:p>
        </w:tc>
        <w:tc>
          <w:tcPr>
            <w:tcW w:w="0" w:type="auto"/>
            <w:tcBorders>
              <w:top w:val="nil"/>
              <w:left w:val="nil"/>
              <w:bottom w:val="single" w:sz="4" w:space="0" w:color="auto"/>
              <w:right w:val="single" w:sz="4" w:space="0" w:color="auto"/>
            </w:tcBorders>
            <w:shd w:val="clear" w:color="auto" w:fill="auto"/>
            <w:vAlign w:val="center"/>
            <w:hideMark/>
          </w:tcPr>
          <w:p w14:paraId="753C90BF" w14:textId="77777777" w:rsidR="007F5EA9" w:rsidRPr="007F5EA9" w:rsidRDefault="007F5EA9" w:rsidP="00585655">
            <w:pPr>
              <w:rPr>
                <w:rFonts w:ascii="Montserrat" w:eastAsia="Times New Roman" w:hAnsi="Montserrat"/>
                <w:color w:val="000000"/>
                <w:sz w:val="16"/>
                <w:szCs w:val="16"/>
                <w:lang w:eastAsia="es-MX"/>
              </w:rPr>
            </w:pPr>
            <w:r w:rsidRPr="007F5EA9">
              <w:rPr>
                <w:rFonts w:ascii="Montserrat" w:eastAsia="Times New Roman" w:hAnsi="Montserrat"/>
                <w:color w:val="000000"/>
                <w:sz w:val="16"/>
                <w:szCs w:val="16"/>
                <w:lang w:eastAsia="es-MX"/>
              </w:rPr>
              <w:t>Chiapas</w:t>
            </w:r>
          </w:p>
        </w:tc>
        <w:tc>
          <w:tcPr>
            <w:tcW w:w="0" w:type="auto"/>
            <w:tcBorders>
              <w:top w:val="nil"/>
              <w:left w:val="nil"/>
              <w:bottom w:val="single" w:sz="4" w:space="0" w:color="auto"/>
              <w:right w:val="single" w:sz="4" w:space="0" w:color="auto"/>
            </w:tcBorders>
            <w:shd w:val="clear" w:color="auto" w:fill="auto"/>
            <w:vAlign w:val="center"/>
            <w:hideMark/>
          </w:tcPr>
          <w:p w14:paraId="2F89F549" w14:textId="77777777" w:rsidR="007F5EA9" w:rsidRPr="007F5EA9" w:rsidRDefault="007F5EA9" w:rsidP="00585655">
            <w:pPr>
              <w:rPr>
                <w:rFonts w:ascii="Montserrat" w:eastAsia="Times New Roman" w:hAnsi="Montserrat"/>
                <w:color w:val="000000"/>
                <w:sz w:val="16"/>
                <w:szCs w:val="16"/>
                <w:lang w:eastAsia="es-MX"/>
              </w:rPr>
            </w:pPr>
            <w:r w:rsidRPr="007F5EA9">
              <w:rPr>
                <w:rFonts w:ascii="Montserrat" w:eastAsia="Times New Roman" w:hAnsi="Montserrat"/>
                <w:color w:val="000000"/>
                <w:sz w:val="16"/>
                <w:szCs w:val="16"/>
                <w:lang w:eastAsia="es-MX"/>
              </w:rPr>
              <w:t>Acteal</w:t>
            </w:r>
          </w:p>
        </w:tc>
      </w:tr>
      <w:tr w:rsidR="007F5EA9" w:rsidRPr="007F5EA9" w14:paraId="5B01E798" w14:textId="77777777" w:rsidTr="008F54B1">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9774FE" w14:textId="77777777" w:rsidR="007F5EA9" w:rsidRPr="007F5EA9" w:rsidRDefault="007F5EA9" w:rsidP="00585655">
            <w:pPr>
              <w:rPr>
                <w:rFonts w:ascii="Montserrat" w:eastAsia="Times New Roman" w:hAnsi="Montserrat"/>
                <w:color w:val="000000"/>
                <w:sz w:val="16"/>
                <w:szCs w:val="16"/>
                <w:lang w:eastAsia="es-MX"/>
              </w:rPr>
            </w:pPr>
            <w:r w:rsidRPr="007F5EA9">
              <w:rPr>
                <w:rFonts w:ascii="Montserrat" w:eastAsia="Times New Roman" w:hAnsi="Montserrat"/>
                <w:color w:val="000000"/>
                <w:sz w:val="16"/>
                <w:szCs w:val="16"/>
                <w:lang w:eastAsia="es-MX"/>
              </w:rPr>
              <w:t>MC-882-17</w:t>
            </w:r>
          </w:p>
        </w:tc>
        <w:tc>
          <w:tcPr>
            <w:tcW w:w="2024" w:type="dxa"/>
            <w:tcBorders>
              <w:top w:val="nil"/>
              <w:left w:val="nil"/>
              <w:bottom w:val="single" w:sz="4" w:space="0" w:color="auto"/>
              <w:right w:val="single" w:sz="4" w:space="0" w:color="auto"/>
            </w:tcBorders>
            <w:shd w:val="clear" w:color="auto" w:fill="auto"/>
            <w:vAlign w:val="center"/>
            <w:hideMark/>
          </w:tcPr>
          <w:p w14:paraId="7D701AD9" w14:textId="77777777" w:rsidR="007F5EA9" w:rsidRPr="007F5EA9" w:rsidRDefault="007F5EA9" w:rsidP="00585655">
            <w:pPr>
              <w:rPr>
                <w:rFonts w:ascii="Montserrat" w:eastAsia="Times New Roman" w:hAnsi="Montserrat"/>
                <w:color w:val="000000"/>
                <w:sz w:val="16"/>
                <w:szCs w:val="16"/>
                <w:lang w:eastAsia="es-MX"/>
              </w:rPr>
            </w:pPr>
            <w:r w:rsidRPr="007F5EA9">
              <w:rPr>
                <w:rFonts w:ascii="Montserrat" w:eastAsia="Times New Roman" w:hAnsi="Montserrat"/>
                <w:color w:val="000000"/>
                <w:sz w:val="16"/>
                <w:szCs w:val="16"/>
                <w:lang w:eastAsia="es-MX"/>
              </w:rPr>
              <w:t>Personas indígenas desplazadas de Chalchihuitán y Chenalhó, Chiapas</w:t>
            </w:r>
          </w:p>
        </w:tc>
        <w:tc>
          <w:tcPr>
            <w:tcW w:w="1257" w:type="dxa"/>
            <w:tcBorders>
              <w:top w:val="nil"/>
              <w:left w:val="nil"/>
              <w:bottom w:val="single" w:sz="4" w:space="0" w:color="auto"/>
              <w:right w:val="single" w:sz="4" w:space="0" w:color="auto"/>
            </w:tcBorders>
            <w:shd w:val="clear" w:color="auto" w:fill="auto"/>
            <w:vAlign w:val="center"/>
            <w:hideMark/>
          </w:tcPr>
          <w:p w14:paraId="50C2EA4C" w14:textId="77777777" w:rsidR="007F5EA9" w:rsidRPr="007F5EA9" w:rsidRDefault="007F5EA9" w:rsidP="00585655">
            <w:pPr>
              <w:rPr>
                <w:rFonts w:ascii="Montserrat" w:eastAsia="Times New Roman" w:hAnsi="Montserrat"/>
                <w:color w:val="000000"/>
                <w:sz w:val="16"/>
                <w:szCs w:val="16"/>
                <w:lang w:eastAsia="es-MX"/>
              </w:rPr>
            </w:pPr>
            <w:r w:rsidRPr="007F5EA9">
              <w:rPr>
                <w:rFonts w:ascii="Montserrat" w:eastAsia="Times New Roman" w:hAnsi="Montserrat"/>
                <w:color w:val="000000"/>
                <w:sz w:val="16"/>
                <w:szCs w:val="16"/>
                <w:lang w:eastAsia="es-MX"/>
              </w:rPr>
              <w:t>CIDH</w:t>
            </w:r>
          </w:p>
        </w:tc>
        <w:tc>
          <w:tcPr>
            <w:tcW w:w="0" w:type="auto"/>
            <w:tcBorders>
              <w:top w:val="nil"/>
              <w:left w:val="nil"/>
              <w:bottom w:val="single" w:sz="4" w:space="0" w:color="auto"/>
              <w:right w:val="single" w:sz="4" w:space="0" w:color="auto"/>
            </w:tcBorders>
            <w:shd w:val="clear" w:color="auto" w:fill="auto"/>
            <w:vAlign w:val="center"/>
            <w:hideMark/>
          </w:tcPr>
          <w:p w14:paraId="60A33C00" w14:textId="77777777" w:rsidR="007F5EA9" w:rsidRPr="007F5EA9" w:rsidRDefault="007F5EA9" w:rsidP="00585655">
            <w:pPr>
              <w:rPr>
                <w:rFonts w:ascii="Montserrat" w:eastAsia="Times New Roman" w:hAnsi="Montserrat"/>
                <w:color w:val="000000"/>
                <w:sz w:val="16"/>
                <w:szCs w:val="16"/>
                <w:lang w:eastAsia="es-MX"/>
              </w:rPr>
            </w:pPr>
            <w:r w:rsidRPr="007F5EA9">
              <w:rPr>
                <w:rFonts w:ascii="Montserrat" w:eastAsia="Times New Roman" w:hAnsi="Montserrat"/>
                <w:color w:val="000000"/>
                <w:sz w:val="16"/>
                <w:szCs w:val="16"/>
                <w:lang w:eastAsia="es-MX"/>
              </w:rPr>
              <w:t>18 familias atendidas en 2021</w:t>
            </w:r>
            <w:r w:rsidRPr="007F5EA9">
              <w:rPr>
                <w:rFonts w:ascii="Montserrat" w:eastAsia="Times New Roman" w:hAnsi="Montserrat"/>
                <w:color w:val="000000"/>
                <w:sz w:val="16"/>
                <w:szCs w:val="16"/>
                <w:lang w:eastAsia="es-MX"/>
              </w:rPr>
              <w:br/>
              <w:t>En 2022 se estima la atención de 10 familias</w:t>
            </w:r>
          </w:p>
        </w:tc>
        <w:tc>
          <w:tcPr>
            <w:tcW w:w="0" w:type="auto"/>
            <w:tcBorders>
              <w:top w:val="nil"/>
              <w:left w:val="nil"/>
              <w:bottom w:val="single" w:sz="4" w:space="0" w:color="auto"/>
              <w:right w:val="single" w:sz="4" w:space="0" w:color="auto"/>
            </w:tcBorders>
            <w:shd w:val="clear" w:color="auto" w:fill="auto"/>
            <w:vAlign w:val="center"/>
            <w:hideMark/>
          </w:tcPr>
          <w:p w14:paraId="7141B665" w14:textId="77777777" w:rsidR="007F5EA9" w:rsidRPr="007F5EA9" w:rsidRDefault="007F5EA9" w:rsidP="00585655">
            <w:pPr>
              <w:rPr>
                <w:rFonts w:ascii="Montserrat" w:eastAsia="Times New Roman" w:hAnsi="Montserrat"/>
                <w:color w:val="000000"/>
                <w:sz w:val="16"/>
                <w:szCs w:val="16"/>
                <w:lang w:eastAsia="es-MX"/>
              </w:rPr>
            </w:pPr>
            <w:r w:rsidRPr="007F5EA9">
              <w:rPr>
                <w:rFonts w:ascii="Montserrat" w:eastAsia="Times New Roman" w:hAnsi="Montserrat"/>
                <w:color w:val="000000"/>
                <w:sz w:val="16"/>
                <w:szCs w:val="16"/>
                <w:lang w:eastAsia="es-MX"/>
              </w:rPr>
              <w:t>Chiapas</w:t>
            </w:r>
          </w:p>
        </w:tc>
        <w:tc>
          <w:tcPr>
            <w:tcW w:w="0" w:type="auto"/>
            <w:tcBorders>
              <w:top w:val="nil"/>
              <w:left w:val="nil"/>
              <w:bottom w:val="single" w:sz="4" w:space="0" w:color="auto"/>
              <w:right w:val="single" w:sz="4" w:space="0" w:color="auto"/>
            </w:tcBorders>
            <w:shd w:val="clear" w:color="auto" w:fill="auto"/>
            <w:vAlign w:val="center"/>
            <w:hideMark/>
          </w:tcPr>
          <w:p w14:paraId="00FF3E33" w14:textId="77777777" w:rsidR="007F5EA9" w:rsidRPr="007F5EA9" w:rsidRDefault="007F5EA9" w:rsidP="00585655">
            <w:pPr>
              <w:rPr>
                <w:rFonts w:ascii="Montserrat" w:eastAsia="Times New Roman" w:hAnsi="Montserrat"/>
                <w:color w:val="000000"/>
                <w:sz w:val="16"/>
                <w:szCs w:val="16"/>
                <w:lang w:eastAsia="es-MX"/>
              </w:rPr>
            </w:pPr>
            <w:r w:rsidRPr="007F5EA9">
              <w:rPr>
                <w:rFonts w:ascii="Montserrat" w:eastAsia="Times New Roman" w:hAnsi="Montserrat"/>
                <w:color w:val="000000"/>
                <w:sz w:val="16"/>
                <w:szCs w:val="16"/>
                <w:lang w:eastAsia="es-MX"/>
              </w:rPr>
              <w:t>Chalchihuitán</w:t>
            </w:r>
          </w:p>
        </w:tc>
      </w:tr>
      <w:tr w:rsidR="007F5EA9" w:rsidRPr="007F5EA9" w14:paraId="6B9C2445" w14:textId="77777777" w:rsidTr="008F54B1">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1E8D7B" w14:textId="77777777" w:rsidR="007F5EA9" w:rsidRPr="007F5EA9" w:rsidRDefault="007F5EA9" w:rsidP="00585655">
            <w:pPr>
              <w:rPr>
                <w:rFonts w:ascii="Montserrat" w:eastAsia="Times New Roman" w:hAnsi="Montserrat"/>
                <w:color w:val="000000"/>
                <w:sz w:val="16"/>
                <w:szCs w:val="16"/>
                <w:lang w:eastAsia="es-MX"/>
              </w:rPr>
            </w:pPr>
            <w:r w:rsidRPr="007F5EA9">
              <w:rPr>
                <w:rFonts w:ascii="Montserrat" w:eastAsia="Times New Roman" w:hAnsi="Montserrat"/>
                <w:color w:val="000000"/>
                <w:sz w:val="16"/>
                <w:szCs w:val="16"/>
                <w:lang w:eastAsia="es-MX"/>
              </w:rPr>
              <w:t>Caso 13.552</w:t>
            </w:r>
          </w:p>
        </w:tc>
        <w:tc>
          <w:tcPr>
            <w:tcW w:w="2024" w:type="dxa"/>
            <w:tcBorders>
              <w:top w:val="nil"/>
              <w:left w:val="nil"/>
              <w:bottom w:val="single" w:sz="4" w:space="0" w:color="auto"/>
              <w:right w:val="single" w:sz="4" w:space="0" w:color="auto"/>
            </w:tcBorders>
            <w:shd w:val="clear" w:color="auto" w:fill="auto"/>
            <w:vAlign w:val="center"/>
            <w:hideMark/>
          </w:tcPr>
          <w:p w14:paraId="76269620" w14:textId="77777777" w:rsidR="007F5EA9" w:rsidRPr="007F5EA9" w:rsidRDefault="007F5EA9" w:rsidP="00585655">
            <w:pPr>
              <w:rPr>
                <w:rFonts w:ascii="Montserrat" w:eastAsia="Times New Roman" w:hAnsi="Montserrat"/>
                <w:color w:val="000000"/>
                <w:sz w:val="16"/>
                <w:szCs w:val="16"/>
                <w:lang w:eastAsia="es-MX"/>
              </w:rPr>
            </w:pPr>
            <w:r w:rsidRPr="007F5EA9">
              <w:rPr>
                <w:rFonts w:ascii="Montserrat" w:eastAsia="Times New Roman" w:hAnsi="Montserrat"/>
                <w:color w:val="000000"/>
                <w:sz w:val="16"/>
                <w:szCs w:val="16"/>
                <w:lang w:eastAsia="es-MX"/>
              </w:rPr>
              <w:t>48 Trabajadores Fallecidos en la Explosión Mina Pasta de Conchos</w:t>
            </w:r>
          </w:p>
        </w:tc>
        <w:tc>
          <w:tcPr>
            <w:tcW w:w="1257" w:type="dxa"/>
            <w:tcBorders>
              <w:top w:val="nil"/>
              <w:left w:val="nil"/>
              <w:bottom w:val="single" w:sz="4" w:space="0" w:color="auto"/>
              <w:right w:val="single" w:sz="4" w:space="0" w:color="auto"/>
            </w:tcBorders>
            <w:shd w:val="clear" w:color="auto" w:fill="auto"/>
            <w:vAlign w:val="center"/>
            <w:hideMark/>
          </w:tcPr>
          <w:p w14:paraId="415A3FF0" w14:textId="77777777" w:rsidR="007F5EA9" w:rsidRPr="007F5EA9" w:rsidRDefault="007F5EA9" w:rsidP="00585655">
            <w:pPr>
              <w:rPr>
                <w:rFonts w:ascii="Montserrat" w:eastAsia="Times New Roman" w:hAnsi="Montserrat"/>
                <w:color w:val="000000"/>
                <w:sz w:val="16"/>
                <w:szCs w:val="16"/>
                <w:lang w:eastAsia="es-MX"/>
              </w:rPr>
            </w:pPr>
            <w:r w:rsidRPr="007F5EA9">
              <w:rPr>
                <w:rFonts w:ascii="Montserrat" w:eastAsia="Times New Roman" w:hAnsi="Montserrat"/>
                <w:color w:val="000000"/>
                <w:sz w:val="16"/>
                <w:szCs w:val="16"/>
                <w:lang w:eastAsia="es-MX"/>
              </w:rPr>
              <w:t>CIDH</w:t>
            </w:r>
          </w:p>
        </w:tc>
        <w:tc>
          <w:tcPr>
            <w:tcW w:w="0" w:type="auto"/>
            <w:tcBorders>
              <w:top w:val="nil"/>
              <w:left w:val="nil"/>
              <w:bottom w:val="single" w:sz="4" w:space="0" w:color="auto"/>
              <w:right w:val="single" w:sz="4" w:space="0" w:color="auto"/>
            </w:tcBorders>
            <w:shd w:val="clear" w:color="auto" w:fill="auto"/>
            <w:vAlign w:val="center"/>
            <w:hideMark/>
          </w:tcPr>
          <w:p w14:paraId="3E53ACD5" w14:textId="77777777" w:rsidR="007F5EA9" w:rsidRPr="007F5EA9" w:rsidRDefault="007F5EA9" w:rsidP="00585655">
            <w:pPr>
              <w:rPr>
                <w:rFonts w:ascii="Montserrat" w:eastAsia="Times New Roman" w:hAnsi="Montserrat"/>
                <w:color w:val="000000"/>
                <w:sz w:val="16"/>
                <w:szCs w:val="16"/>
                <w:lang w:eastAsia="es-MX"/>
              </w:rPr>
            </w:pPr>
            <w:r w:rsidRPr="007F5EA9">
              <w:rPr>
                <w:rFonts w:ascii="Montserrat" w:eastAsia="Times New Roman" w:hAnsi="Montserrat"/>
                <w:color w:val="000000"/>
                <w:sz w:val="16"/>
                <w:szCs w:val="16"/>
                <w:lang w:eastAsia="es-MX"/>
              </w:rPr>
              <w:t>Se estima la atención de 65 familias, se tiene un avance de 44 viviendas en proceso de construcción para su posterior entrega</w:t>
            </w:r>
          </w:p>
        </w:tc>
        <w:tc>
          <w:tcPr>
            <w:tcW w:w="0" w:type="auto"/>
            <w:tcBorders>
              <w:top w:val="nil"/>
              <w:left w:val="nil"/>
              <w:bottom w:val="single" w:sz="4" w:space="0" w:color="auto"/>
              <w:right w:val="single" w:sz="4" w:space="0" w:color="auto"/>
            </w:tcBorders>
            <w:shd w:val="clear" w:color="auto" w:fill="auto"/>
            <w:vAlign w:val="center"/>
            <w:hideMark/>
          </w:tcPr>
          <w:p w14:paraId="2B1A4EA2" w14:textId="77777777" w:rsidR="007F5EA9" w:rsidRPr="007F5EA9" w:rsidRDefault="007F5EA9" w:rsidP="00585655">
            <w:pPr>
              <w:rPr>
                <w:rFonts w:ascii="Montserrat" w:eastAsia="Times New Roman" w:hAnsi="Montserrat"/>
                <w:color w:val="000000"/>
                <w:sz w:val="16"/>
                <w:szCs w:val="16"/>
                <w:lang w:eastAsia="es-MX"/>
              </w:rPr>
            </w:pPr>
            <w:r w:rsidRPr="007F5EA9">
              <w:rPr>
                <w:rFonts w:ascii="Montserrat" w:eastAsia="Times New Roman" w:hAnsi="Montserrat"/>
                <w:color w:val="000000"/>
                <w:sz w:val="16"/>
                <w:szCs w:val="16"/>
                <w:lang w:eastAsia="es-MX"/>
              </w:rPr>
              <w:t>Coahuila</w:t>
            </w:r>
          </w:p>
        </w:tc>
        <w:tc>
          <w:tcPr>
            <w:tcW w:w="0" w:type="auto"/>
            <w:tcBorders>
              <w:top w:val="nil"/>
              <w:left w:val="nil"/>
              <w:bottom w:val="single" w:sz="4" w:space="0" w:color="auto"/>
              <w:right w:val="single" w:sz="4" w:space="0" w:color="auto"/>
            </w:tcBorders>
            <w:shd w:val="clear" w:color="auto" w:fill="auto"/>
            <w:vAlign w:val="center"/>
            <w:hideMark/>
          </w:tcPr>
          <w:p w14:paraId="2B475BDE" w14:textId="77777777" w:rsidR="007F5EA9" w:rsidRPr="007F5EA9" w:rsidRDefault="007F5EA9" w:rsidP="00585655">
            <w:pPr>
              <w:rPr>
                <w:rFonts w:ascii="Montserrat" w:eastAsia="Times New Roman" w:hAnsi="Montserrat"/>
                <w:color w:val="000000"/>
                <w:sz w:val="16"/>
                <w:szCs w:val="16"/>
                <w:lang w:eastAsia="es-MX"/>
              </w:rPr>
            </w:pPr>
            <w:r w:rsidRPr="007F5EA9">
              <w:rPr>
                <w:rFonts w:ascii="Montserrat" w:eastAsia="Times New Roman" w:hAnsi="Montserrat"/>
                <w:color w:val="000000"/>
                <w:sz w:val="16"/>
                <w:szCs w:val="16"/>
                <w:lang w:eastAsia="es-MX"/>
              </w:rPr>
              <w:t>San Juan de Sabinas, Sabinas y Muzquiz</w:t>
            </w:r>
          </w:p>
        </w:tc>
      </w:tr>
    </w:tbl>
    <w:p w14:paraId="602855FD" w14:textId="77777777" w:rsidR="007F5EA9" w:rsidRPr="007F5EA9" w:rsidRDefault="007F5EA9" w:rsidP="007F5EA9">
      <w:pPr>
        <w:jc w:val="center"/>
        <w:rPr>
          <w:rFonts w:ascii="Montserrat" w:hAnsi="Montserrat"/>
          <w:sz w:val="16"/>
          <w:szCs w:val="16"/>
        </w:rPr>
      </w:pPr>
      <w:r w:rsidRPr="007F5EA9">
        <w:rPr>
          <w:rFonts w:ascii="Montserrat" w:hAnsi="Montserrat"/>
          <w:sz w:val="16"/>
          <w:szCs w:val="16"/>
        </w:rPr>
        <w:t>Fuente: Comisión Nacional de Vivienda 2022.</w:t>
      </w:r>
    </w:p>
    <w:p w14:paraId="0677AC8C" w14:textId="77777777" w:rsidR="007F5EA9" w:rsidRDefault="007F5EA9" w:rsidP="007F5EA9">
      <w:pPr>
        <w:jc w:val="both"/>
        <w:rPr>
          <w:rFonts w:ascii="Montserrat" w:hAnsi="Montserrat"/>
          <w:sz w:val="20"/>
          <w:szCs w:val="16"/>
        </w:rPr>
      </w:pPr>
    </w:p>
    <w:p w14:paraId="3641AC41" w14:textId="77777777" w:rsidR="007F5EA9" w:rsidRDefault="007F5EA9" w:rsidP="007F5EA9">
      <w:pPr>
        <w:jc w:val="both"/>
        <w:rPr>
          <w:rFonts w:ascii="Montserrat" w:hAnsi="Montserrat"/>
          <w:sz w:val="20"/>
          <w:szCs w:val="16"/>
        </w:rPr>
      </w:pPr>
      <w:r>
        <w:rPr>
          <w:rFonts w:ascii="Montserrat" w:hAnsi="Montserrat"/>
          <w:sz w:val="20"/>
          <w:szCs w:val="16"/>
        </w:rPr>
        <w:t>Del mismo modo, en las reuniones de trabajo con la Secretaría de Gobernación se definió la atención de dos casos más, ambos del Estado de Chiapas, como se muestra en el cuadro 3.</w:t>
      </w:r>
    </w:p>
    <w:p w14:paraId="13F72619" w14:textId="77777777" w:rsidR="007F5EA9" w:rsidRDefault="007F5EA9" w:rsidP="007F5EA9">
      <w:pPr>
        <w:jc w:val="both"/>
        <w:rPr>
          <w:rFonts w:ascii="Montserrat" w:hAnsi="Montserrat"/>
          <w:sz w:val="20"/>
          <w:szCs w:val="16"/>
        </w:rPr>
      </w:pPr>
    </w:p>
    <w:p w14:paraId="0B7D55FE" w14:textId="77777777" w:rsidR="007F5EA9" w:rsidRPr="00EE56BD" w:rsidRDefault="007F5EA9" w:rsidP="007F5EA9">
      <w:pPr>
        <w:jc w:val="center"/>
        <w:rPr>
          <w:rFonts w:ascii="Montserrat" w:hAnsi="Montserrat"/>
          <w:sz w:val="20"/>
          <w:szCs w:val="16"/>
        </w:rPr>
      </w:pPr>
      <w:r w:rsidRPr="00EE56BD">
        <w:rPr>
          <w:rFonts w:ascii="Montserrat" w:hAnsi="Montserrat"/>
          <w:i/>
          <w:color w:val="600000"/>
          <w:sz w:val="20"/>
          <w:szCs w:val="20"/>
        </w:rPr>
        <w:t xml:space="preserve">Cuadro </w:t>
      </w:r>
      <w:r>
        <w:rPr>
          <w:rFonts w:ascii="Montserrat" w:hAnsi="Montserrat"/>
          <w:i/>
          <w:color w:val="600000"/>
          <w:sz w:val="20"/>
          <w:szCs w:val="20"/>
        </w:rPr>
        <w:t>3</w:t>
      </w:r>
      <w:r w:rsidRPr="00EE56BD">
        <w:rPr>
          <w:rFonts w:ascii="Montserrat" w:hAnsi="Montserrat"/>
          <w:i/>
          <w:color w:val="600000"/>
          <w:sz w:val="20"/>
          <w:szCs w:val="20"/>
        </w:rPr>
        <w:t>. Atención de casos por conflictos violentos por parte de la Comisión Nacional de Vivienda en coordinación con la Secretaría de Gobernación</w:t>
      </w:r>
    </w:p>
    <w:p w14:paraId="62589AA2" w14:textId="77777777" w:rsidR="007F5EA9" w:rsidRDefault="007F5EA9" w:rsidP="007F5EA9">
      <w:pPr>
        <w:jc w:val="both"/>
        <w:rPr>
          <w:rFonts w:ascii="Montserrat" w:hAnsi="Montserrat"/>
          <w:sz w:val="20"/>
          <w:szCs w:val="16"/>
        </w:rPr>
      </w:pPr>
    </w:p>
    <w:tbl>
      <w:tblPr>
        <w:tblW w:w="0" w:type="auto"/>
        <w:tblCellMar>
          <w:left w:w="70" w:type="dxa"/>
          <w:right w:w="70" w:type="dxa"/>
        </w:tblCellMar>
        <w:tblLook w:val="04A0" w:firstRow="1" w:lastRow="0" w:firstColumn="1" w:lastColumn="0" w:noHBand="0" w:noVBand="1"/>
      </w:tblPr>
      <w:tblGrid>
        <w:gridCol w:w="2518"/>
        <w:gridCol w:w="3774"/>
        <w:gridCol w:w="1190"/>
        <w:gridCol w:w="1346"/>
      </w:tblGrid>
      <w:tr w:rsidR="007F5EA9" w:rsidRPr="007F5EA9" w14:paraId="6B891D2B" w14:textId="77777777" w:rsidTr="00585655">
        <w:trPr>
          <w:trHeight w:val="705"/>
          <w:tblHeader/>
        </w:trPr>
        <w:tc>
          <w:tcPr>
            <w:tcW w:w="0" w:type="auto"/>
            <w:tcBorders>
              <w:top w:val="single" w:sz="4" w:space="0" w:color="auto"/>
              <w:left w:val="single" w:sz="4" w:space="0" w:color="auto"/>
              <w:bottom w:val="single" w:sz="4" w:space="0" w:color="auto"/>
              <w:right w:val="single" w:sz="4" w:space="0" w:color="auto"/>
            </w:tcBorders>
            <w:shd w:val="clear" w:color="000000" w:fill="6C0000"/>
            <w:vAlign w:val="center"/>
            <w:hideMark/>
          </w:tcPr>
          <w:p w14:paraId="7C311CE1" w14:textId="77777777" w:rsidR="007F5EA9" w:rsidRPr="007F5EA9" w:rsidRDefault="007F5EA9" w:rsidP="00585655">
            <w:pPr>
              <w:jc w:val="center"/>
              <w:rPr>
                <w:rFonts w:ascii="Montserrat" w:eastAsia="Times New Roman" w:hAnsi="Montserrat"/>
                <w:b/>
                <w:bCs/>
                <w:color w:val="FFFFFF"/>
                <w:sz w:val="16"/>
                <w:szCs w:val="16"/>
                <w:lang w:eastAsia="es-MX"/>
              </w:rPr>
            </w:pPr>
            <w:r w:rsidRPr="007F5EA9">
              <w:rPr>
                <w:rFonts w:ascii="Montserrat" w:eastAsia="Times New Roman" w:hAnsi="Montserrat"/>
                <w:b/>
                <w:bCs/>
                <w:color w:val="FFFFFF"/>
                <w:sz w:val="16"/>
                <w:szCs w:val="16"/>
                <w:lang w:eastAsia="es-MX"/>
              </w:rPr>
              <w:t>Nombre ante Organismos Internacionales de DD.HH.</w:t>
            </w:r>
          </w:p>
        </w:tc>
        <w:tc>
          <w:tcPr>
            <w:tcW w:w="0" w:type="auto"/>
            <w:tcBorders>
              <w:top w:val="single" w:sz="4" w:space="0" w:color="auto"/>
              <w:left w:val="nil"/>
              <w:bottom w:val="single" w:sz="4" w:space="0" w:color="auto"/>
              <w:right w:val="single" w:sz="4" w:space="0" w:color="auto"/>
            </w:tcBorders>
            <w:shd w:val="clear" w:color="000000" w:fill="6C0000"/>
            <w:vAlign w:val="center"/>
            <w:hideMark/>
          </w:tcPr>
          <w:p w14:paraId="032DD063" w14:textId="77777777" w:rsidR="007F5EA9" w:rsidRPr="007F5EA9" w:rsidRDefault="007F5EA9" w:rsidP="00585655">
            <w:pPr>
              <w:jc w:val="center"/>
              <w:rPr>
                <w:rFonts w:ascii="Montserrat" w:eastAsia="Times New Roman" w:hAnsi="Montserrat"/>
                <w:b/>
                <w:bCs/>
                <w:color w:val="FFFFFF"/>
                <w:sz w:val="16"/>
                <w:szCs w:val="16"/>
                <w:lang w:eastAsia="es-MX"/>
              </w:rPr>
            </w:pPr>
            <w:r w:rsidRPr="007F5EA9">
              <w:rPr>
                <w:rFonts w:ascii="Montserrat" w:eastAsia="Times New Roman" w:hAnsi="Montserrat"/>
                <w:b/>
                <w:bCs/>
                <w:color w:val="FFFFFF"/>
                <w:sz w:val="16"/>
                <w:szCs w:val="16"/>
                <w:lang w:eastAsia="es-MX"/>
              </w:rPr>
              <w:t>No. De familias que se beneficiarán</w:t>
            </w:r>
          </w:p>
        </w:tc>
        <w:tc>
          <w:tcPr>
            <w:tcW w:w="0" w:type="auto"/>
            <w:tcBorders>
              <w:top w:val="single" w:sz="4" w:space="0" w:color="auto"/>
              <w:left w:val="nil"/>
              <w:bottom w:val="single" w:sz="4" w:space="0" w:color="auto"/>
              <w:right w:val="single" w:sz="4" w:space="0" w:color="auto"/>
            </w:tcBorders>
            <w:shd w:val="clear" w:color="000000" w:fill="6C0000"/>
            <w:vAlign w:val="center"/>
            <w:hideMark/>
          </w:tcPr>
          <w:p w14:paraId="0FA02821" w14:textId="77777777" w:rsidR="007F5EA9" w:rsidRPr="007F5EA9" w:rsidRDefault="007F5EA9" w:rsidP="00585655">
            <w:pPr>
              <w:jc w:val="center"/>
              <w:rPr>
                <w:rFonts w:ascii="Montserrat" w:eastAsia="Times New Roman" w:hAnsi="Montserrat"/>
                <w:b/>
                <w:bCs/>
                <w:color w:val="FFFFFF"/>
                <w:sz w:val="16"/>
                <w:szCs w:val="16"/>
                <w:lang w:eastAsia="es-MX"/>
              </w:rPr>
            </w:pPr>
            <w:r w:rsidRPr="007F5EA9">
              <w:rPr>
                <w:rFonts w:ascii="Montserrat" w:eastAsia="Times New Roman" w:hAnsi="Montserrat"/>
                <w:b/>
                <w:bCs/>
                <w:color w:val="FFFFFF"/>
                <w:sz w:val="16"/>
                <w:szCs w:val="16"/>
                <w:lang w:eastAsia="es-MX"/>
              </w:rPr>
              <w:t>Entidad Federativa</w:t>
            </w:r>
          </w:p>
        </w:tc>
        <w:tc>
          <w:tcPr>
            <w:tcW w:w="0" w:type="auto"/>
            <w:tcBorders>
              <w:top w:val="single" w:sz="4" w:space="0" w:color="auto"/>
              <w:left w:val="nil"/>
              <w:bottom w:val="single" w:sz="4" w:space="0" w:color="auto"/>
              <w:right w:val="single" w:sz="4" w:space="0" w:color="auto"/>
            </w:tcBorders>
            <w:shd w:val="clear" w:color="000000" w:fill="6C0000"/>
            <w:vAlign w:val="center"/>
            <w:hideMark/>
          </w:tcPr>
          <w:p w14:paraId="0E303C61" w14:textId="77777777" w:rsidR="007F5EA9" w:rsidRPr="007F5EA9" w:rsidRDefault="007F5EA9" w:rsidP="00585655">
            <w:pPr>
              <w:jc w:val="center"/>
              <w:rPr>
                <w:rFonts w:ascii="Montserrat" w:eastAsia="Times New Roman" w:hAnsi="Montserrat"/>
                <w:b/>
                <w:bCs/>
                <w:color w:val="FFFFFF"/>
                <w:sz w:val="16"/>
                <w:szCs w:val="16"/>
                <w:lang w:eastAsia="es-MX"/>
              </w:rPr>
            </w:pPr>
            <w:r w:rsidRPr="007F5EA9">
              <w:rPr>
                <w:rFonts w:ascii="Montserrat" w:eastAsia="Times New Roman" w:hAnsi="Montserrat"/>
                <w:b/>
                <w:bCs/>
                <w:color w:val="FFFFFF"/>
                <w:sz w:val="16"/>
                <w:szCs w:val="16"/>
                <w:lang w:eastAsia="es-MX"/>
              </w:rPr>
              <w:t>Ciudad Destino</w:t>
            </w:r>
          </w:p>
        </w:tc>
      </w:tr>
      <w:tr w:rsidR="007F5EA9" w:rsidRPr="007F5EA9" w14:paraId="295B1416" w14:textId="77777777" w:rsidTr="00585655">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30E2DA" w14:textId="77777777" w:rsidR="007F5EA9" w:rsidRPr="007F5EA9" w:rsidRDefault="007F5EA9" w:rsidP="00585655">
            <w:pPr>
              <w:rPr>
                <w:rFonts w:ascii="Montserrat" w:eastAsia="Times New Roman" w:hAnsi="Montserrat"/>
                <w:color w:val="000000"/>
                <w:sz w:val="16"/>
                <w:szCs w:val="16"/>
                <w:lang w:eastAsia="es-MX"/>
              </w:rPr>
            </w:pPr>
            <w:r w:rsidRPr="007F5EA9">
              <w:rPr>
                <w:rFonts w:ascii="Montserrat" w:eastAsia="Times New Roman" w:hAnsi="Montserrat"/>
                <w:color w:val="000000"/>
                <w:sz w:val="16"/>
                <w:szCs w:val="16"/>
                <w:lang w:eastAsia="es-MX"/>
              </w:rPr>
              <w:t>Aldama. Desplazamientos por violencia en Aldama</w:t>
            </w:r>
          </w:p>
        </w:tc>
        <w:tc>
          <w:tcPr>
            <w:tcW w:w="0" w:type="auto"/>
            <w:tcBorders>
              <w:top w:val="nil"/>
              <w:left w:val="nil"/>
              <w:bottom w:val="single" w:sz="4" w:space="0" w:color="auto"/>
              <w:right w:val="single" w:sz="4" w:space="0" w:color="auto"/>
            </w:tcBorders>
            <w:shd w:val="clear" w:color="auto" w:fill="auto"/>
            <w:vAlign w:val="center"/>
            <w:hideMark/>
          </w:tcPr>
          <w:p w14:paraId="1C7B6BC9" w14:textId="77777777" w:rsidR="007F5EA9" w:rsidRPr="007F5EA9" w:rsidRDefault="007F5EA9" w:rsidP="00585655">
            <w:pPr>
              <w:rPr>
                <w:rFonts w:ascii="Montserrat" w:eastAsia="Times New Roman" w:hAnsi="Montserrat"/>
                <w:color w:val="000000"/>
                <w:sz w:val="16"/>
                <w:szCs w:val="16"/>
                <w:lang w:eastAsia="es-MX"/>
              </w:rPr>
            </w:pPr>
            <w:r w:rsidRPr="007F5EA9">
              <w:rPr>
                <w:rFonts w:ascii="Montserrat" w:eastAsia="Times New Roman" w:hAnsi="Montserrat"/>
                <w:color w:val="000000"/>
                <w:sz w:val="16"/>
                <w:szCs w:val="16"/>
                <w:lang w:eastAsia="es-MX"/>
              </w:rPr>
              <w:t>10 viviendas atendidas en 2021</w:t>
            </w:r>
          </w:p>
        </w:tc>
        <w:tc>
          <w:tcPr>
            <w:tcW w:w="0" w:type="auto"/>
            <w:tcBorders>
              <w:top w:val="nil"/>
              <w:left w:val="nil"/>
              <w:bottom w:val="single" w:sz="4" w:space="0" w:color="auto"/>
              <w:right w:val="single" w:sz="4" w:space="0" w:color="auto"/>
            </w:tcBorders>
            <w:shd w:val="clear" w:color="auto" w:fill="auto"/>
            <w:vAlign w:val="center"/>
            <w:hideMark/>
          </w:tcPr>
          <w:p w14:paraId="45E2C666" w14:textId="77777777" w:rsidR="007F5EA9" w:rsidRPr="007F5EA9" w:rsidRDefault="007F5EA9" w:rsidP="00585655">
            <w:pPr>
              <w:rPr>
                <w:rFonts w:ascii="Montserrat" w:eastAsia="Times New Roman" w:hAnsi="Montserrat"/>
                <w:color w:val="000000"/>
                <w:sz w:val="16"/>
                <w:szCs w:val="16"/>
                <w:lang w:eastAsia="es-MX"/>
              </w:rPr>
            </w:pPr>
            <w:r w:rsidRPr="007F5EA9">
              <w:rPr>
                <w:rFonts w:ascii="Montserrat" w:eastAsia="Times New Roman" w:hAnsi="Montserrat"/>
                <w:color w:val="000000"/>
                <w:sz w:val="16"/>
                <w:szCs w:val="16"/>
                <w:lang w:eastAsia="es-MX"/>
              </w:rPr>
              <w:t>Chiapas</w:t>
            </w:r>
          </w:p>
        </w:tc>
        <w:tc>
          <w:tcPr>
            <w:tcW w:w="0" w:type="auto"/>
            <w:tcBorders>
              <w:top w:val="nil"/>
              <w:left w:val="nil"/>
              <w:bottom w:val="single" w:sz="4" w:space="0" w:color="auto"/>
              <w:right w:val="single" w:sz="4" w:space="0" w:color="auto"/>
            </w:tcBorders>
            <w:shd w:val="clear" w:color="auto" w:fill="auto"/>
            <w:vAlign w:val="center"/>
            <w:hideMark/>
          </w:tcPr>
          <w:p w14:paraId="27E222BA" w14:textId="77777777" w:rsidR="007F5EA9" w:rsidRPr="007F5EA9" w:rsidRDefault="007F5EA9" w:rsidP="00585655">
            <w:pPr>
              <w:rPr>
                <w:rFonts w:ascii="Montserrat" w:eastAsia="Times New Roman" w:hAnsi="Montserrat"/>
                <w:color w:val="000000"/>
                <w:sz w:val="16"/>
                <w:szCs w:val="16"/>
                <w:lang w:eastAsia="es-MX"/>
              </w:rPr>
            </w:pPr>
            <w:r w:rsidRPr="007F5EA9">
              <w:rPr>
                <w:rFonts w:ascii="Montserrat" w:eastAsia="Times New Roman" w:hAnsi="Montserrat"/>
                <w:color w:val="000000"/>
                <w:sz w:val="16"/>
                <w:szCs w:val="16"/>
                <w:lang w:eastAsia="es-MX"/>
              </w:rPr>
              <w:t>Aldama</w:t>
            </w:r>
          </w:p>
        </w:tc>
      </w:tr>
      <w:tr w:rsidR="007F5EA9" w:rsidRPr="007F5EA9" w14:paraId="6EE7433D" w14:textId="77777777" w:rsidTr="00585655">
        <w:trPr>
          <w:trHeight w:val="14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1E53A8" w14:textId="77777777" w:rsidR="007F5EA9" w:rsidRPr="007F5EA9" w:rsidRDefault="007F5EA9" w:rsidP="00585655">
            <w:pPr>
              <w:rPr>
                <w:rFonts w:ascii="Montserrat" w:eastAsia="Times New Roman" w:hAnsi="Montserrat"/>
                <w:color w:val="000000"/>
                <w:sz w:val="16"/>
                <w:szCs w:val="16"/>
                <w:lang w:eastAsia="es-MX"/>
              </w:rPr>
            </w:pPr>
            <w:r w:rsidRPr="007F5EA9">
              <w:rPr>
                <w:rFonts w:ascii="Montserrat" w:eastAsia="Times New Roman" w:hAnsi="Montserrat"/>
                <w:color w:val="000000"/>
                <w:sz w:val="16"/>
                <w:szCs w:val="16"/>
                <w:lang w:eastAsia="es-MX"/>
              </w:rPr>
              <w:t>Acuerdo de paz entre las comunidades Santa Martha Chenalhó y Aldama</w:t>
            </w:r>
          </w:p>
        </w:tc>
        <w:tc>
          <w:tcPr>
            <w:tcW w:w="0" w:type="auto"/>
            <w:tcBorders>
              <w:top w:val="nil"/>
              <w:left w:val="nil"/>
              <w:bottom w:val="single" w:sz="4" w:space="0" w:color="auto"/>
              <w:right w:val="single" w:sz="4" w:space="0" w:color="auto"/>
            </w:tcBorders>
            <w:shd w:val="clear" w:color="auto" w:fill="auto"/>
            <w:vAlign w:val="center"/>
            <w:hideMark/>
          </w:tcPr>
          <w:p w14:paraId="747C0854" w14:textId="77777777" w:rsidR="007F5EA9" w:rsidRPr="007F5EA9" w:rsidRDefault="007F5EA9" w:rsidP="00585655">
            <w:pPr>
              <w:rPr>
                <w:rFonts w:ascii="Montserrat" w:eastAsia="Times New Roman" w:hAnsi="Montserrat"/>
                <w:color w:val="000000"/>
                <w:sz w:val="16"/>
                <w:szCs w:val="16"/>
                <w:lang w:eastAsia="es-MX"/>
              </w:rPr>
            </w:pPr>
            <w:r w:rsidRPr="007F5EA9">
              <w:rPr>
                <w:rFonts w:ascii="Montserrat" w:eastAsia="Times New Roman" w:hAnsi="Montserrat"/>
                <w:color w:val="000000"/>
                <w:sz w:val="16"/>
                <w:szCs w:val="16"/>
                <w:lang w:eastAsia="es-MX"/>
              </w:rPr>
              <w:t>Se estima la atención de 420 acciones de mejoramiento de vivienda para Chenalhó y para Aldama, 32 viviendas nuevas y 68 mejoramientos de vivienda</w:t>
            </w:r>
          </w:p>
        </w:tc>
        <w:tc>
          <w:tcPr>
            <w:tcW w:w="0" w:type="auto"/>
            <w:tcBorders>
              <w:top w:val="nil"/>
              <w:left w:val="nil"/>
              <w:bottom w:val="single" w:sz="4" w:space="0" w:color="auto"/>
              <w:right w:val="single" w:sz="4" w:space="0" w:color="auto"/>
            </w:tcBorders>
            <w:shd w:val="clear" w:color="auto" w:fill="auto"/>
            <w:vAlign w:val="center"/>
            <w:hideMark/>
          </w:tcPr>
          <w:p w14:paraId="5558767A" w14:textId="77777777" w:rsidR="007F5EA9" w:rsidRPr="007F5EA9" w:rsidRDefault="007F5EA9" w:rsidP="00585655">
            <w:pPr>
              <w:rPr>
                <w:rFonts w:ascii="Montserrat" w:eastAsia="Times New Roman" w:hAnsi="Montserrat"/>
                <w:color w:val="000000"/>
                <w:sz w:val="16"/>
                <w:szCs w:val="16"/>
                <w:lang w:eastAsia="es-MX"/>
              </w:rPr>
            </w:pPr>
            <w:r w:rsidRPr="007F5EA9">
              <w:rPr>
                <w:rFonts w:ascii="Montserrat" w:eastAsia="Times New Roman" w:hAnsi="Montserrat"/>
                <w:color w:val="000000"/>
                <w:sz w:val="16"/>
                <w:szCs w:val="16"/>
                <w:lang w:eastAsia="es-MX"/>
              </w:rPr>
              <w:t>Chiapas</w:t>
            </w:r>
          </w:p>
        </w:tc>
        <w:tc>
          <w:tcPr>
            <w:tcW w:w="0" w:type="auto"/>
            <w:tcBorders>
              <w:top w:val="nil"/>
              <w:left w:val="nil"/>
              <w:bottom w:val="single" w:sz="4" w:space="0" w:color="auto"/>
              <w:right w:val="single" w:sz="4" w:space="0" w:color="auto"/>
            </w:tcBorders>
            <w:shd w:val="clear" w:color="auto" w:fill="auto"/>
            <w:vAlign w:val="center"/>
            <w:hideMark/>
          </w:tcPr>
          <w:p w14:paraId="3DC5F8D1" w14:textId="77777777" w:rsidR="007F5EA9" w:rsidRPr="007F5EA9" w:rsidRDefault="007F5EA9" w:rsidP="00585655">
            <w:pPr>
              <w:rPr>
                <w:rFonts w:ascii="Montserrat" w:eastAsia="Times New Roman" w:hAnsi="Montserrat"/>
                <w:color w:val="000000"/>
                <w:sz w:val="16"/>
                <w:szCs w:val="16"/>
                <w:lang w:eastAsia="es-MX"/>
              </w:rPr>
            </w:pPr>
            <w:r w:rsidRPr="007F5EA9">
              <w:rPr>
                <w:rFonts w:ascii="Montserrat" w:eastAsia="Times New Roman" w:hAnsi="Montserrat"/>
                <w:color w:val="000000"/>
                <w:sz w:val="16"/>
                <w:szCs w:val="16"/>
                <w:lang w:eastAsia="es-MX"/>
              </w:rPr>
              <w:t>Santa Martha, Chelnahó y Aldama</w:t>
            </w:r>
          </w:p>
        </w:tc>
      </w:tr>
    </w:tbl>
    <w:p w14:paraId="3478C890" w14:textId="77777777" w:rsidR="001B4DF0" w:rsidRDefault="001B4DF0" w:rsidP="001B4DF0">
      <w:pPr>
        <w:spacing w:before="120" w:after="120"/>
        <w:jc w:val="both"/>
        <w:rPr>
          <w:rFonts w:ascii="Montserrat" w:hAnsi="Montserrat" w:cs="Times New Roman"/>
          <w:lang w:val="es-MX"/>
        </w:rPr>
      </w:pPr>
    </w:p>
    <w:p w14:paraId="3FA10735" w14:textId="27A05FF1" w:rsidR="00545BA6" w:rsidRPr="000B6BF5" w:rsidRDefault="00545BA6" w:rsidP="001B4DF0">
      <w:pPr>
        <w:spacing w:before="120" w:after="120"/>
        <w:jc w:val="both"/>
        <w:rPr>
          <w:rFonts w:ascii="Montserrat" w:hAnsi="Montserrat" w:cs="Times New Roman"/>
          <w:sz w:val="20"/>
          <w:szCs w:val="20"/>
          <w:lang w:val="es-MX"/>
        </w:rPr>
      </w:pPr>
      <w:r w:rsidRPr="000B6BF5">
        <w:rPr>
          <w:rFonts w:ascii="Montserrat" w:hAnsi="Montserrat" w:cs="Times New Roman"/>
          <w:sz w:val="20"/>
          <w:szCs w:val="20"/>
          <w:lang w:val="es-MX"/>
        </w:rPr>
        <w:t>En el anexo</w:t>
      </w:r>
      <w:r w:rsidR="000B6BF5" w:rsidRPr="000B6BF5">
        <w:rPr>
          <w:rFonts w:ascii="Montserrat" w:hAnsi="Montserrat" w:cs="Times New Roman"/>
          <w:sz w:val="20"/>
          <w:szCs w:val="20"/>
          <w:lang w:val="es-MX"/>
        </w:rPr>
        <w:t xml:space="preserve"> 1</w:t>
      </w:r>
      <w:r w:rsidRPr="000B6BF5">
        <w:rPr>
          <w:rFonts w:ascii="Montserrat" w:hAnsi="Montserrat" w:cs="Times New Roman"/>
          <w:sz w:val="20"/>
          <w:szCs w:val="20"/>
          <w:lang w:val="es-MX"/>
        </w:rPr>
        <w:t xml:space="preserve"> se incluye información de la Comisión Nacional de Derechos Humanos</w:t>
      </w:r>
      <w:r w:rsidR="000B6BF5" w:rsidRPr="000B6BF5">
        <w:rPr>
          <w:rFonts w:ascii="Montserrat" w:hAnsi="Montserrat" w:cs="Times New Roman"/>
          <w:sz w:val="20"/>
          <w:szCs w:val="20"/>
          <w:lang w:val="es-MX"/>
        </w:rPr>
        <w:t xml:space="preserve"> respecto a </w:t>
      </w:r>
      <w:bookmarkStart w:id="2" w:name="_GoBack"/>
      <w:bookmarkEnd w:id="2"/>
      <w:r w:rsidR="000B6BF5" w:rsidRPr="000B6BF5">
        <w:rPr>
          <w:rFonts w:ascii="Montserrat" w:hAnsi="Montserrat" w:cs="Times New Roman"/>
          <w:sz w:val="20"/>
          <w:szCs w:val="20"/>
          <w:lang w:val="es-MX"/>
        </w:rPr>
        <w:t>sus Recomendaciones y Quejas a marzo de 2022.</w:t>
      </w:r>
    </w:p>
    <w:p w14:paraId="25CB3132" w14:textId="5A67A36F" w:rsidR="000B6BF5" w:rsidRPr="000B6BF5" w:rsidRDefault="000B6BF5" w:rsidP="001B4DF0">
      <w:pPr>
        <w:spacing w:before="120" w:after="120"/>
        <w:jc w:val="both"/>
        <w:rPr>
          <w:rFonts w:ascii="Montserrat" w:hAnsi="Montserrat" w:cs="Times New Roman"/>
          <w:sz w:val="20"/>
          <w:szCs w:val="20"/>
          <w:lang w:val="es-MX"/>
        </w:rPr>
      </w:pPr>
      <w:r w:rsidRPr="000B6BF5">
        <w:rPr>
          <w:rFonts w:ascii="Montserrat" w:hAnsi="Montserrat" w:cs="Times New Roman"/>
          <w:sz w:val="20"/>
          <w:szCs w:val="20"/>
          <w:lang w:val="es-MX"/>
        </w:rPr>
        <w:t>Asimismo, en el anexo 2 se incluye información proporcionada por el Consejo Nacional de Evaluación de la Política de Desarrollo Social (CONEVAL).</w:t>
      </w:r>
    </w:p>
    <w:sectPr w:rsidR="000B6BF5" w:rsidRPr="000B6BF5">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D75CF" w14:textId="77777777" w:rsidR="00945366" w:rsidRDefault="00945366" w:rsidP="0098098C">
      <w:r>
        <w:separator/>
      </w:r>
    </w:p>
  </w:endnote>
  <w:endnote w:type="continuationSeparator" w:id="0">
    <w:p w14:paraId="3A180821" w14:textId="77777777" w:rsidR="00945366" w:rsidRDefault="00945366" w:rsidP="0098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327464"/>
      <w:docPartObj>
        <w:docPartGallery w:val="Page Numbers (Bottom of Page)"/>
        <w:docPartUnique/>
      </w:docPartObj>
    </w:sdtPr>
    <w:sdtContent>
      <w:p w14:paraId="731CF859" w14:textId="252B7F1C" w:rsidR="007F5EA9" w:rsidRDefault="007F5EA9">
        <w:pPr>
          <w:pStyle w:val="Piedepgina"/>
          <w:jc w:val="right"/>
        </w:pPr>
        <w:r>
          <w:fldChar w:fldCharType="begin"/>
        </w:r>
        <w:r>
          <w:instrText>PAGE   \* MERGEFORMAT</w:instrText>
        </w:r>
        <w:r>
          <w:fldChar w:fldCharType="separate"/>
        </w:r>
        <w:r w:rsidR="000B6BF5">
          <w:rPr>
            <w:noProof/>
          </w:rPr>
          <w:t>7</w:t>
        </w:r>
        <w:r>
          <w:fldChar w:fldCharType="end"/>
        </w:r>
      </w:p>
    </w:sdtContent>
  </w:sdt>
  <w:p w14:paraId="7B3ED8AD" w14:textId="77777777" w:rsidR="00F86C29" w:rsidRDefault="00F86C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1379C" w14:textId="77777777" w:rsidR="00945366" w:rsidRDefault="00945366" w:rsidP="0098098C">
      <w:r>
        <w:separator/>
      </w:r>
    </w:p>
  </w:footnote>
  <w:footnote w:type="continuationSeparator" w:id="0">
    <w:p w14:paraId="185D646E" w14:textId="77777777" w:rsidR="00945366" w:rsidRDefault="00945366" w:rsidP="00980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C021C" w14:textId="6CC1A37F" w:rsidR="00F86C29" w:rsidRDefault="00F86C29" w:rsidP="0098098C">
    <w:pPr>
      <w:pStyle w:val="Encabezado"/>
      <w:jc w:val="right"/>
    </w:pPr>
    <w:r>
      <w:rPr>
        <w:noProof/>
        <w:lang w:val="es-MX" w:eastAsia="es-MX"/>
      </w:rPr>
      <w:drawing>
        <wp:anchor distT="0" distB="0" distL="0" distR="0" simplePos="0" relativeHeight="251661312" behindDoc="1" locked="0" layoutInCell="1" hidden="0" allowOverlap="1" wp14:anchorId="5BAA2B7B" wp14:editId="3EB5DA10">
          <wp:simplePos x="0" y="0"/>
          <wp:positionH relativeFrom="margin">
            <wp:align>center</wp:align>
          </wp:positionH>
          <wp:positionV relativeFrom="paragraph">
            <wp:posOffset>-857885</wp:posOffset>
          </wp:positionV>
          <wp:extent cx="8192453" cy="10677693"/>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192453" cy="10677693"/>
                  </a:xfrm>
                  <a:prstGeom prst="rect">
                    <a:avLst/>
                  </a:prstGeom>
                  <a:ln/>
                </pic:spPr>
              </pic:pic>
            </a:graphicData>
          </a:graphic>
        </wp:anchor>
      </w:drawing>
    </w:r>
  </w:p>
  <w:p w14:paraId="2BE6FE89" w14:textId="77777777" w:rsidR="00F86C29" w:rsidRDefault="00F86C29"/>
  <w:p w14:paraId="73C837C1" w14:textId="77777777" w:rsidR="00F86C29" w:rsidRDefault="00F86C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upperLetter"/>
      <w:lvlText w:val="%1."/>
      <w:lvlJc w:val="left"/>
      <w:pPr>
        <w:ind w:hanging="332"/>
      </w:pPr>
      <w:rPr>
        <w:rFonts w:ascii="Arial" w:hAnsi="Arial" w:cs="Arial"/>
        <w:b/>
        <w:bCs/>
        <w:sz w:val="25"/>
        <w:szCs w:val="25"/>
      </w:rPr>
    </w:lvl>
    <w:lvl w:ilvl="1">
      <w:start w:val="1"/>
      <w:numFmt w:val="decimal"/>
      <w:lvlText w:val="%2."/>
      <w:lvlJc w:val="left"/>
      <w:pPr>
        <w:ind w:hanging="365"/>
      </w:pPr>
      <w:rPr>
        <w:rFonts w:ascii="Arial" w:hAnsi="Arial" w:cs="Arial"/>
        <w:b/>
        <w:bCs/>
        <w:w w:val="88"/>
        <w:sz w:val="20"/>
        <w:szCs w:val="20"/>
      </w:rPr>
    </w:lvl>
    <w:lvl w:ilvl="2">
      <w:numFmt w:val="bullet"/>
      <w:lvlText w:val="•"/>
      <w:lvlJc w:val="left"/>
      <w:pPr>
        <w:ind w:hanging="356"/>
      </w:pPr>
      <w:rPr>
        <w:rFonts w:ascii="Arial" w:hAnsi="Arial"/>
        <w:b w:val="0"/>
        <w:w w:val="153"/>
        <w:sz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5"/>
    <w:multiLevelType w:val="multilevel"/>
    <w:tmpl w:val="00000888"/>
    <w:lvl w:ilvl="0">
      <w:start w:val="5"/>
      <w:numFmt w:val="decimal"/>
      <w:lvlText w:val="%1"/>
      <w:lvlJc w:val="left"/>
      <w:pPr>
        <w:ind w:hanging="96"/>
      </w:pPr>
      <w:rPr>
        <w:rFonts w:ascii="Times New Roman" w:hAnsi="Times New Roman" w:cs="Times New Roman"/>
        <w:b w:val="0"/>
        <w:bCs w:val="0"/>
        <w:w w:val="121"/>
        <w:position w:val="5"/>
        <w:sz w:val="9"/>
        <w:szCs w:val="9"/>
      </w:rPr>
    </w:lvl>
    <w:lvl w:ilvl="1">
      <w:numFmt w:val="bullet"/>
      <w:lvlText w:val="•"/>
      <w:lvlJc w:val="left"/>
      <w:pPr>
        <w:ind w:hanging="367"/>
      </w:pPr>
      <w:rPr>
        <w:rFonts w:ascii="Arial" w:hAnsi="Arial"/>
        <w:b w:val="0"/>
        <w:w w:val="142"/>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6"/>
    <w:multiLevelType w:val="multilevel"/>
    <w:tmpl w:val="00000889"/>
    <w:lvl w:ilvl="0">
      <w:start w:val="9"/>
      <w:numFmt w:val="decimal"/>
      <w:lvlText w:val="%1"/>
      <w:lvlJc w:val="left"/>
      <w:pPr>
        <w:ind w:hanging="234"/>
      </w:pPr>
      <w:rPr>
        <w:rFonts w:ascii="Times New Roman" w:hAnsi="Times New Roman" w:cs="Times New Roman"/>
        <w:b w:val="0"/>
        <w:bCs w:val="0"/>
        <w:w w:val="112"/>
        <w:position w:val="4"/>
        <w:sz w:val="9"/>
        <w:szCs w:val="9"/>
      </w:rPr>
    </w:lvl>
    <w:lvl w:ilvl="1">
      <w:numFmt w:val="bullet"/>
      <w:lvlText w:val="•"/>
      <w:lvlJc w:val="left"/>
      <w:pPr>
        <w:ind w:hanging="366"/>
      </w:pPr>
      <w:rPr>
        <w:rFonts w:ascii="Arial" w:hAnsi="Arial"/>
        <w:b w:val="0"/>
        <w:w w:val="151"/>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7"/>
    <w:multiLevelType w:val="multilevel"/>
    <w:tmpl w:val="0000088A"/>
    <w:lvl w:ilvl="0">
      <w:numFmt w:val="bullet"/>
      <w:lvlText w:val="•"/>
      <w:lvlJc w:val="left"/>
      <w:pPr>
        <w:ind w:hanging="357"/>
      </w:pPr>
      <w:rPr>
        <w:rFonts w:ascii="Arial" w:hAnsi="Arial"/>
        <w:b w:val="0"/>
        <w:w w:val="142"/>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35576A1"/>
    <w:multiLevelType w:val="hybridMultilevel"/>
    <w:tmpl w:val="4C7A49A2"/>
    <w:lvl w:ilvl="0" w:tplc="429841A8">
      <w:start w:val="1"/>
      <w:numFmt w:val="lowerLetter"/>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3D95250"/>
    <w:multiLevelType w:val="multilevel"/>
    <w:tmpl w:val="3B104E1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5233D4F"/>
    <w:multiLevelType w:val="hybridMultilevel"/>
    <w:tmpl w:val="B1B8647E"/>
    <w:lvl w:ilvl="0" w:tplc="481836B2">
      <w:start w:val="5"/>
      <w:numFmt w:val="bullet"/>
      <w:lvlText w:val="-"/>
      <w:lvlJc w:val="left"/>
      <w:pPr>
        <w:ind w:left="2802" w:hanging="360"/>
      </w:pPr>
      <w:rPr>
        <w:rFonts w:ascii="Calibri" w:eastAsia="Calibri" w:hAnsi="Calibri" w:cs="Calibri" w:hint="default"/>
      </w:rPr>
    </w:lvl>
    <w:lvl w:ilvl="1" w:tplc="080A0003">
      <w:start w:val="1"/>
      <w:numFmt w:val="bullet"/>
      <w:lvlText w:val="o"/>
      <w:lvlJc w:val="left"/>
      <w:pPr>
        <w:ind w:left="3522" w:hanging="360"/>
      </w:pPr>
      <w:rPr>
        <w:rFonts w:ascii="Courier New" w:hAnsi="Courier New" w:cs="Courier New" w:hint="default"/>
      </w:rPr>
    </w:lvl>
    <w:lvl w:ilvl="2" w:tplc="080A0005" w:tentative="1">
      <w:start w:val="1"/>
      <w:numFmt w:val="bullet"/>
      <w:lvlText w:val=""/>
      <w:lvlJc w:val="left"/>
      <w:pPr>
        <w:ind w:left="4242" w:hanging="360"/>
      </w:pPr>
      <w:rPr>
        <w:rFonts w:ascii="Wingdings" w:hAnsi="Wingdings" w:hint="default"/>
      </w:rPr>
    </w:lvl>
    <w:lvl w:ilvl="3" w:tplc="080A0001" w:tentative="1">
      <w:start w:val="1"/>
      <w:numFmt w:val="bullet"/>
      <w:lvlText w:val=""/>
      <w:lvlJc w:val="left"/>
      <w:pPr>
        <w:ind w:left="4962" w:hanging="360"/>
      </w:pPr>
      <w:rPr>
        <w:rFonts w:ascii="Symbol" w:hAnsi="Symbol" w:hint="default"/>
      </w:rPr>
    </w:lvl>
    <w:lvl w:ilvl="4" w:tplc="080A0003" w:tentative="1">
      <w:start w:val="1"/>
      <w:numFmt w:val="bullet"/>
      <w:lvlText w:val="o"/>
      <w:lvlJc w:val="left"/>
      <w:pPr>
        <w:ind w:left="5682" w:hanging="360"/>
      </w:pPr>
      <w:rPr>
        <w:rFonts w:ascii="Courier New" w:hAnsi="Courier New" w:cs="Courier New" w:hint="default"/>
      </w:rPr>
    </w:lvl>
    <w:lvl w:ilvl="5" w:tplc="080A0005" w:tentative="1">
      <w:start w:val="1"/>
      <w:numFmt w:val="bullet"/>
      <w:lvlText w:val=""/>
      <w:lvlJc w:val="left"/>
      <w:pPr>
        <w:ind w:left="6402" w:hanging="360"/>
      </w:pPr>
      <w:rPr>
        <w:rFonts w:ascii="Wingdings" w:hAnsi="Wingdings" w:hint="default"/>
      </w:rPr>
    </w:lvl>
    <w:lvl w:ilvl="6" w:tplc="080A0001" w:tentative="1">
      <w:start w:val="1"/>
      <w:numFmt w:val="bullet"/>
      <w:lvlText w:val=""/>
      <w:lvlJc w:val="left"/>
      <w:pPr>
        <w:ind w:left="7122" w:hanging="360"/>
      </w:pPr>
      <w:rPr>
        <w:rFonts w:ascii="Symbol" w:hAnsi="Symbol" w:hint="default"/>
      </w:rPr>
    </w:lvl>
    <w:lvl w:ilvl="7" w:tplc="080A0003" w:tentative="1">
      <w:start w:val="1"/>
      <w:numFmt w:val="bullet"/>
      <w:lvlText w:val="o"/>
      <w:lvlJc w:val="left"/>
      <w:pPr>
        <w:ind w:left="7842" w:hanging="360"/>
      </w:pPr>
      <w:rPr>
        <w:rFonts w:ascii="Courier New" w:hAnsi="Courier New" w:cs="Courier New" w:hint="default"/>
      </w:rPr>
    </w:lvl>
    <w:lvl w:ilvl="8" w:tplc="080A0005" w:tentative="1">
      <w:start w:val="1"/>
      <w:numFmt w:val="bullet"/>
      <w:lvlText w:val=""/>
      <w:lvlJc w:val="left"/>
      <w:pPr>
        <w:ind w:left="8562" w:hanging="360"/>
      </w:pPr>
      <w:rPr>
        <w:rFonts w:ascii="Wingdings" w:hAnsi="Wingdings" w:hint="default"/>
      </w:rPr>
    </w:lvl>
  </w:abstractNum>
  <w:abstractNum w:abstractNumId="7" w15:restartNumberingAfterBreak="0">
    <w:nsid w:val="052E55AF"/>
    <w:multiLevelType w:val="hybridMultilevel"/>
    <w:tmpl w:val="69AA0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9497989"/>
    <w:multiLevelType w:val="hybridMultilevel"/>
    <w:tmpl w:val="9A8C6B7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0A384922"/>
    <w:multiLevelType w:val="multilevel"/>
    <w:tmpl w:val="D8385E18"/>
    <w:lvl w:ilvl="0">
      <w:start w:val="1"/>
      <w:numFmt w:val="decimal"/>
      <w:lvlText w:val="%1."/>
      <w:lvlJc w:val="left"/>
      <w:pPr>
        <w:tabs>
          <w:tab w:val="num" w:pos="-1278"/>
        </w:tabs>
        <w:ind w:left="-1278" w:hanging="360"/>
      </w:pPr>
    </w:lvl>
    <w:lvl w:ilvl="1" w:tentative="1">
      <w:start w:val="1"/>
      <w:numFmt w:val="decimal"/>
      <w:lvlText w:val="%2."/>
      <w:lvlJc w:val="left"/>
      <w:pPr>
        <w:tabs>
          <w:tab w:val="num" w:pos="-558"/>
        </w:tabs>
        <w:ind w:left="-558" w:hanging="360"/>
      </w:pPr>
    </w:lvl>
    <w:lvl w:ilvl="2" w:tentative="1">
      <w:start w:val="1"/>
      <w:numFmt w:val="decimal"/>
      <w:lvlText w:val="%3."/>
      <w:lvlJc w:val="left"/>
      <w:pPr>
        <w:tabs>
          <w:tab w:val="num" w:pos="162"/>
        </w:tabs>
        <w:ind w:left="162" w:hanging="360"/>
      </w:pPr>
    </w:lvl>
    <w:lvl w:ilvl="3" w:tentative="1">
      <w:start w:val="1"/>
      <w:numFmt w:val="decimal"/>
      <w:lvlText w:val="%4."/>
      <w:lvlJc w:val="left"/>
      <w:pPr>
        <w:tabs>
          <w:tab w:val="num" w:pos="882"/>
        </w:tabs>
        <w:ind w:left="882" w:hanging="360"/>
      </w:pPr>
    </w:lvl>
    <w:lvl w:ilvl="4" w:tentative="1">
      <w:start w:val="1"/>
      <w:numFmt w:val="decimal"/>
      <w:lvlText w:val="%5."/>
      <w:lvlJc w:val="left"/>
      <w:pPr>
        <w:tabs>
          <w:tab w:val="num" w:pos="1602"/>
        </w:tabs>
        <w:ind w:left="1602" w:hanging="360"/>
      </w:pPr>
    </w:lvl>
    <w:lvl w:ilvl="5" w:tentative="1">
      <w:start w:val="1"/>
      <w:numFmt w:val="decimal"/>
      <w:lvlText w:val="%6."/>
      <w:lvlJc w:val="left"/>
      <w:pPr>
        <w:tabs>
          <w:tab w:val="num" w:pos="2322"/>
        </w:tabs>
        <w:ind w:left="2322" w:hanging="360"/>
      </w:pPr>
    </w:lvl>
    <w:lvl w:ilvl="6" w:tentative="1">
      <w:start w:val="1"/>
      <w:numFmt w:val="decimal"/>
      <w:lvlText w:val="%7."/>
      <w:lvlJc w:val="left"/>
      <w:pPr>
        <w:tabs>
          <w:tab w:val="num" w:pos="3042"/>
        </w:tabs>
        <w:ind w:left="3042" w:hanging="360"/>
      </w:pPr>
    </w:lvl>
    <w:lvl w:ilvl="7" w:tentative="1">
      <w:start w:val="1"/>
      <w:numFmt w:val="decimal"/>
      <w:lvlText w:val="%8."/>
      <w:lvlJc w:val="left"/>
      <w:pPr>
        <w:tabs>
          <w:tab w:val="num" w:pos="3762"/>
        </w:tabs>
        <w:ind w:left="3762" w:hanging="360"/>
      </w:pPr>
    </w:lvl>
    <w:lvl w:ilvl="8" w:tentative="1">
      <w:start w:val="1"/>
      <w:numFmt w:val="decimal"/>
      <w:lvlText w:val="%9."/>
      <w:lvlJc w:val="left"/>
      <w:pPr>
        <w:tabs>
          <w:tab w:val="num" w:pos="4482"/>
        </w:tabs>
        <w:ind w:left="4482" w:hanging="360"/>
      </w:pPr>
    </w:lvl>
  </w:abstractNum>
  <w:abstractNum w:abstractNumId="10" w15:restartNumberingAfterBreak="0">
    <w:nsid w:val="0D970E71"/>
    <w:multiLevelType w:val="hybridMultilevel"/>
    <w:tmpl w:val="3DE84B9C"/>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EC24E8F"/>
    <w:multiLevelType w:val="hybridMultilevel"/>
    <w:tmpl w:val="58A4E46A"/>
    <w:lvl w:ilvl="0" w:tplc="D78CBD00">
      <w:start w:val="1"/>
      <w:numFmt w:val="decimal"/>
      <w:lvlText w:val="%1."/>
      <w:lvlJc w:val="left"/>
      <w:pPr>
        <w:ind w:left="70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0F9E4105"/>
    <w:multiLevelType w:val="hybridMultilevel"/>
    <w:tmpl w:val="59629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3B59D1"/>
    <w:multiLevelType w:val="hybridMultilevel"/>
    <w:tmpl w:val="F6BC0F46"/>
    <w:lvl w:ilvl="0" w:tplc="88FEE08C">
      <w:start w:val="1"/>
      <w:numFmt w:val="bullet"/>
      <w:lvlText w:val="-"/>
      <w:lvlJc w:val="left"/>
      <w:pPr>
        <w:ind w:left="720" w:hanging="360"/>
      </w:pPr>
      <w:rPr>
        <w:rFonts w:ascii="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9311935"/>
    <w:multiLevelType w:val="hybridMultilevel"/>
    <w:tmpl w:val="CDCC847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B8625E7"/>
    <w:multiLevelType w:val="hybridMultilevel"/>
    <w:tmpl w:val="84DA0D6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B9A1A4A"/>
    <w:multiLevelType w:val="hybridMultilevel"/>
    <w:tmpl w:val="2EE08E6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1462350"/>
    <w:multiLevelType w:val="hybridMultilevel"/>
    <w:tmpl w:val="A6EAE0E0"/>
    <w:lvl w:ilvl="0" w:tplc="70C81928">
      <w:start w:val="1"/>
      <w:numFmt w:val="bullet"/>
      <w:lvlText w:val=""/>
      <w:lvlJc w:val="left"/>
      <w:pPr>
        <w:ind w:left="720" w:hanging="360"/>
      </w:pPr>
      <w:rPr>
        <w:rFonts w:ascii="Wingdings" w:hAnsi="Wingdings" w:hint="default"/>
        <w:color w:val="2E74B5" w:themeColor="accent5"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2507D97"/>
    <w:multiLevelType w:val="multilevel"/>
    <w:tmpl w:val="5A7A502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44114D"/>
    <w:multiLevelType w:val="hybridMultilevel"/>
    <w:tmpl w:val="DC3EB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6D1CD4"/>
    <w:multiLevelType w:val="hybridMultilevel"/>
    <w:tmpl w:val="6A64DE66"/>
    <w:lvl w:ilvl="0" w:tplc="B59CA542">
      <w:start w:val="1"/>
      <w:numFmt w:val="decimal"/>
      <w:lvlText w:val="%1)"/>
      <w:lvlJc w:val="left"/>
      <w:pPr>
        <w:ind w:left="1001" w:hanging="360"/>
      </w:pPr>
      <w:rPr>
        <w:rFonts w:hint="default"/>
      </w:rPr>
    </w:lvl>
    <w:lvl w:ilvl="1" w:tplc="080A0019">
      <w:start w:val="1"/>
      <w:numFmt w:val="lowerLetter"/>
      <w:lvlText w:val="%2."/>
      <w:lvlJc w:val="left"/>
      <w:pPr>
        <w:ind w:left="1356" w:hanging="360"/>
      </w:pPr>
    </w:lvl>
    <w:lvl w:ilvl="2" w:tplc="080A001B" w:tentative="1">
      <w:start w:val="1"/>
      <w:numFmt w:val="lowerRoman"/>
      <w:lvlText w:val="%3."/>
      <w:lvlJc w:val="right"/>
      <w:pPr>
        <w:ind w:left="2076" w:hanging="180"/>
      </w:pPr>
    </w:lvl>
    <w:lvl w:ilvl="3" w:tplc="080A000F" w:tentative="1">
      <w:start w:val="1"/>
      <w:numFmt w:val="decimal"/>
      <w:lvlText w:val="%4."/>
      <w:lvlJc w:val="left"/>
      <w:pPr>
        <w:ind w:left="2796" w:hanging="360"/>
      </w:pPr>
    </w:lvl>
    <w:lvl w:ilvl="4" w:tplc="080A0019" w:tentative="1">
      <w:start w:val="1"/>
      <w:numFmt w:val="lowerLetter"/>
      <w:lvlText w:val="%5."/>
      <w:lvlJc w:val="left"/>
      <w:pPr>
        <w:ind w:left="3516" w:hanging="360"/>
      </w:pPr>
    </w:lvl>
    <w:lvl w:ilvl="5" w:tplc="080A001B" w:tentative="1">
      <w:start w:val="1"/>
      <w:numFmt w:val="lowerRoman"/>
      <w:lvlText w:val="%6."/>
      <w:lvlJc w:val="right"/>
      <w:pPr>
        <w:ind w:left="4236" w:hanging="180"/>
      </w:pPr>
    </w:lvl>
    <w:lvl w:ilvl="6" w:tplc="080A000F" w:tentative="1">
      <w:start w:val="1"/>
      <w:numFmt w:val="decimal"/>
      <w:lvlText w:val="%7."/>
      <w:lvlJc w:val="left"/>
      <w:pPr>
        <w:ind w:left="4956" w:hanging="360"/>
      </w:pPr>
    </w:lvl>
    <w:lvl w:ilvl="7" w:tplc="080A0019" w:tentative="1">
      <w:start w:val="1"/>
      <w:numFmt w:val="lowerLetter"/>
      <w:lvlText w:val="%8."/>
      <w:lvlJc w:val="left"/>
      <w:pPr>
        <w:ind w:left="5676" w:hanging="360"/>
      </w:pPr>
    </w:lvl>
    <w:lvl w:ilvl="8" w:tplc="080A001B" w:tentative="1">
      <w:start w:val="1"/>
      <w:numFmt w:val="lowerRoman"/>
      <w:lvlText w:val="%9."/>
      <w:lvlJc w:val="right"/>
      <w:pPr>
        <w:ind w:left="6396" w:hanging="180"/>
      </w:pPr>
    </w:lvl>
  </w:abstractNum>
  <w:abstractNum w:abstractNumId="21" w15:restartNumberingAfterBreak="0">
    <w:nsid w:val="28CC49BC"/>
    <w:multiLevelType w:val="hybridMultilevel"/>
    <w:tmpl w:val="376EE070"/>
    <w:lvl w:ilvl="0" w:tplc="BEFA33B6">
      <w:start w:val="1"/>
      <w:numFmt w:val="decimal"/>
      <w:lvlText w:val="%1."/>
      <w:lvlJc w:val="left"/>
      <w:pPr>
        <w:ind w:left="710" w:hanging="71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9169D9"/>
    <w:multiLevelType w:val="hybridMultilevel"/>
    <w:tmpl w:val="ED42A156"/>
    <w:lvl w:ilvl="0" w:tplc="080A0001">
      <w:start w:val="1"/>
      <w:numFmt w:val="bullet"/>
      <w:lvlText w:val=""/>
      <w:lvlJc w:val="left"/>
      <w:pPr>
        <w:ind w:left="890" w:hanging="360"/>
      </w:pPr>
      <w:rPr>
        <w:rFonts w:ascii="Symbol" w:hAnsi="Symbol" w:hint="default"/>
      </w:rPr>
    </w:lvl>
    <w:lvl w:ilvl="1" w:tplc="080A0003" w:tentative="1">
      <w:start w:val="1"/>
      <w:numFmt w:val="bullet"/>
      <w:lvlText w:val="o"/>
      <w:lvlJc w:val="left"/>
      <w:pPr>
        <w:ind w:left="1610" w:hanging="360"/>
      </w:pPr>
      <w:rPr>
        <w:rFonts w:ascii="Courier New" w:hAnsi="Courier New" w:cs="Courier New" w:hint="default"/>
      </w:rPr>
    </w:lvl>
    <w:lvl w:ilvl="2" w:tplc="080A0005" w:tentative="1">
      <w:start w:val="1"/>
      <w:numFmt w:val="bullet"/>
      <w:lvlText w:val=""/>
      <w:lvlJc w:val="left"/>
      <w:pPr>
        <w:ind w:left="2330" w:hanging="360"/>
      </w:pPr>
      <w:rPr>
        <w:rFonts w:ascii="Wingdings" w:hAnsi="Wingdings" w:hint="default"/>
      </w:rPr>
    </w:lvl>
    <w:lvl w:ilvl="3" w:tplc="080A0001" w:tentative="1">
      <w:start w:val="1"/>
      <w:numFmt w:val="bullet"/>
      <w:lvlText w:val=""/>
      <w:lvlJc w:val="left"/>
      <w:pPr>
        <w:ind w:left="3050" w:hanging="360"/>
      </w:pPr>
      <w:rPr>
        <w:rFonts w:ascii="Symbol" w:hAnsi="Symbol" w:hint="default"/>
      </w:rPr>
    </w:lvl>
    <w:lvl w:ilvl="4" w:tplc="080A0003" w:tentative="1">
      <w:start w:val="1"/>
      <w:numFmt w:val="bullet"/>
      <w:lvlText w:val="o"/>
      <w:lvlJc w:val="left"/>
      <w:pPr>
        <w:ind w:left="3770" w:hanging="360"/>
      </w:pPr>
      <w:rPr>
        <w:rFonts w:ascii="Courier New" w:hAnsi="Courier New" w:cs="Courier New" w:hint="default"/>
      </w:rPr>
    </w:lvl>
    <w:lvl w:ilvl="5" w:tplc="080A0005" w:tentative="1">
      <w:start w:val="1"/>
      <w:numFmt w:val="bullet"/>
      <w:lvlText w:val=""/>
      <w:lvlJc w:val="left"/>
      <w:pPr>
        <w:ind w:left="4490" w:hanging="360"/>
      </w:pPr>
      <w:rPr>
        <w:rFonts w:ascii="Wingdings" w:hAnsi="Wingdings" w:hint="default"/>
      </w:rPr>
    </w:lvl>
    <w:lvl w:ilvl="6" w:tplc="080A0001" w:tentative="1">
      <w:start w:val="1"/>
      <w:numFmt w:val="bullet"/>
      <w:lvlText w:val=""/>
      <w:lvlJc w:val="left"/>
      <w:pPr>
        <w:ind w:left="5210" w:hanging="360"/>
      </w:pPr>
      <w:rPr>
        <w:rFonts w:ascii="Symbol" w:hAnsi="Symbol" w:hint="default"/>
      </w:rPr>
    </w:lvl>
    <w:lvl w:ilvl="7" w:tplc="080A0003" w:tentative="1">
      <w:start w:val="1"/>
      <w:numFmt w:val="bullet"/>
      <w:lvlText w:val="o"/>
      <w:lvlJc w:val="left"/>
      <w:pPr>
        <w:ind w:left="5930" w:hanging="360"/>
      </w:pPr>
      <w:rPr>
        <w:rFonts w:ascii="Courier New" w:hAnsi="Courier New" w:cs="Courier New" w:hint="default"/>
      </w:rPr>
    </w:lvl>
    <w:lvl w:ilvl="8" w:tplc="080A0005" w:tentative="1">
      <w:start w:val="1"/>
      <w:numFmt w:val="bullet"/>
      <w:lvlText w:val=""/>
      <w:lvlJc w:val="left"/>
      <w:pPr>
        <w:ind w:left="6650" w:hanging="360"/>
      </w:pPr>
      <w:rPr>
        <w:rFonts w:ascii="Wingdings" w:hAnsi="Wingdings" w:hint="default"/>
      </w:rPr>
    </w:lvl>
  </w:abstractNum>
  <w:abstractNum w:abstractNumId="23" w15:restartNumberingAfterBreak="0">
    <w:nsid w:val="2CD22C45"/>
    <w:multiLevelType w:val="hybridMultilevel"/>
    <w:tmpl w:val="40C8957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E761BB7"/>
    <w:multiLevelType w:val="hybridMultilevel"/>
    <w:tmpl w:val="7AA0C3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ED4285C"/>
    <w:multiLevelType w:val="hybridMultilevel"/>
    <w:tmpl w:val="17A0A75C"/>
    <w:lvl w:ilvl="0" w:tplc="F2FA0426">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C8A902">
      <w:start w:val="1"/>
      <w:numFmt w:val="bullet"/>
      <w:lvlText w:val="o"/>
      <w:lvlJc w:val="left"/>
      <w:pPr>
        <w:ind w:left="1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288814E">
      <w:start w:val="1"/>
      <w:numFmt w:val="bullet"/>
      <w:lvlText w:val="▪"/>
      <w:lvlJc w:val="left"/>
      <w:pPr>
        <w:ind w:left="2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3A6BB8E">
      <w:start w:val="1"/>
      <w:numFmt w:val="bullet"/>
      <w:lvlText w:val="•"/>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F8C6F0">
      <w:start w:val="1"/>
      <w:numFmt w:val="bullet"/>
      <w:lvlText w:val="o"/>
      <w:lvlJc w:val="left"/>
      <w:pPr>
        <w:ind w:left="3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7CEDB2">
      <w:start w:val="1"/>
      <w:numFmt w:val="bullet"/>
      <w:lvlText w:val="▪"/>
      <w:lvlJc w:val="left"/>
      <w:pPr>
        <w:ind w:left="4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620EE40">
      <w:start w:val="1"/>
      <w:numFmt w:val="bullet"/>
      <w:lvlText w:val="•"/>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2A67A4">
      <w:start w:val="1"/>
      <w:numFmt w:val="bullet"/>
      <w:lvlText w:val="o"/>
      <w:lvlJc w:val="left"/>
      <w:pPr>
        <w:ind w:left="5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86CFEB2">
      <w:start w:val="1"/>
      <w:numFmt w:val="bullet"/>
      <w:lvlText w:val="▪"/>
      <w:lvlJc w:val="left"/>
      <w:pPr>
        <w:ind w:left="6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12E6564"/>
    <w:multiLevelType w:val="hybridMultilevel"/>
    <w:tmpl w:val="E9A4E87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15:restartNumberingAfterBreak="0">
    <w:nsid w:val="32BB6E5B"/>
    <w:multiLevelType w:val="hybridMultilevel"/>
    <w:tmpl w:val="EC7E3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83F0526"/>
    <w:multiLevelType w:val="hybridMultilevel"/>
    <w:tmpl w:val="F43653CA"/>
    <w:lvl w:ilvl="0" w:tplc="976A272A">
      <w:start w:val="1"/>
      <w:numFmt w:val="decimal"/>
      <w:lvlText w:val="%1."/>
      <w:lvlJc w:val="left"/>
      <w:pPr>
        <w:ind w:left="70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386413EB"/>
    <w:multiLevelType w:val="hybridMultilevel"/>
    <w:tmpl w:val="C8061932"/>
    <w:lvl w:ilvl="0" w:tplc="D5D4C9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2577B4"/>
    <w:multiLevelType w:val="hybridMultilevel"/>
    <w:tmpl w:val="5AE09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3C35C1"/>
    <w:multiLevelType w:val="hybridMultilevel"/>
    <w:tmpl w:val="F09C0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24466F"/>
    <w:multiLevelType w:val="hybridMultilevel"/>
    <w:tmpl w:val="AC2465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D556E64"/>
    <w:multiLevelType w:val="hybridMultilevel"/>
    <w:tmpl w:val="67CC7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DDD6214"/>
    <w:multiLevelType w:val="hybridMultilevel"/>
    <w:tmpl w:val="CEF28F0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2FE1414"/>
    <w:multiLevelType w:val="hybridMultilevel"/>
    <w:tmpl w:val="B0342E9E"/>
    <w:lvl w:ilvl="0" w:tplc="24F4291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62757"/>
    <w:multiLevelType w:val="hybridMultilevel"/>
    <w:tmpl w:val="BE28BBB2"/>
    <w:lvl w:ilvl="0" w:tplc="2688B33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E8803E">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A26950">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32217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F4A756">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DE2EEE">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285BFE">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E4F8A6">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6C3BF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5C10D52"/>
    <w:multiLevelType w:val="hybridMultilevel"/>
    <w:tmpl w:val="32C40D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35161A1"/>
    <w:multiLevelType w:val="hybridMultilevel"/>
    <w:tmpl w:val="38DCA856"/>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64211572"/>
    <w:multiLevelType w:val="hybridMultilevel"/>
    <w:tmpl w:val="FC7023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772530A"/>
    <w:multiLevelType w:val="hybridMultilevel"/>
    <w:tmpl w:val="E7B4A062"/>
    <w:lvl w:ilvl="0" w:tplc="4A36701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56FE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0013A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3A25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92E4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BC21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12EA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489D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E277C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81A6A38"/>
    <w:multiLevelType w:val="hybridMultilevel"/>
    <w:tmpl w:val="CC160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0AF28F0"/>
    <w:multiLevelType w:val="hybridMultilevel"/>
    <w:tmpl w:val="DA00BC30"/>
    <w:lvl w:ilvl="0" w:tplc="080A0001">
      <w:start w:val="1"/>
      <w:numFmt w:val="bullet"/>
      <w:lvlText w:val=""/>
      <w:lvlJc w:val="left"/>
      <w:pPr>
        <w:ind w:left="2442" w:hanging="360"/>
      </w:pPr>
      <w:rPr>
        <w:rFonts w:ascii="Symbol" w:hAnsi="Symbol" w:hint="default"/>
      </w:rPr>
    </w:lvl>
    <w:lvl w:ilvl="1" w:tplc="080A0003" w:tentative="1">
      <w:start w:val="1"/>
      <w:numFmt w:val="bullet"/>
      <w:lvlText w:val="o"/>
      <w:lvlJc w:val="left"/>
      <w:pPr>
        <w:ind w:left="3162" w:hanging="360"/>
      </w:pPr>
      <w:rPr>
        <w:rFonts w:ascii="Courier New" w:hAnsi="Courier New" w:cs="Courier New" w:hint="default"/>
      </w:rPr>
    </w:lvl>
    <w:lvl w:ilvl="2" w:tplc="080A0005" w:tentative="1">
      <w:start w:val="1"/>
      <w:numFmt w:val="bullet"/>
      <w:lvlText w:val=""/>
      <w:lvlJc w:val="left"/>
      <w:pPr>
        <w:ind w:left="3882" w:hanging="360"/>
      </w:pPr>
      <w:rPr>
        <w:rFonts w:ascii="Wingdings" w:hAnsi="Wingdings" w:hint="default"/>
      </w:rPr>
    </w:lvl>
    <w:lvl w:ilvl="3" w:tplc="080A0001" w:tentative="1">
      <w:start w:val="1"/>
      <w:numFmt w:val="bullet"/>
      <w:lvlText w:val=""/>
      <w:lvlJc w:val="left"/>
      <w:pPr>
        <w:ind w:left="4602" w:hanging="360"/>
      </w:pPr>
      <w:rPr>
        <w:rFonts w:ascii="Symbol" w:hAnsi="Symbol" w:hint="default"/>
      </w:rPr>
    </w:lvl>
    <w:lvl w:ilvl="4" w:tplc="080A0003" w:tentative="1">
      <w:start w:val="1"/>
      <w:numFmt w:val="bullet"/>
      <w:lvlText w:val="o"/>
      <w:lvlJc w:val="left"/>
      <w:pPr>
        <w:ind w:left="5322" w:hanging="360"/>
      </w:pPr>
      <w:rPr>
        <w:rFonts w:ascii="Courier New" w:hAnsi="Courier New" w:cs="Courier New" w:hint="default"/>
      </w:rPr>
    </w:lvl>
    <w:lvl w:ilvl="5" w:tplc="080A0005" w:tentative="1">
      <w:start w:val="1"/>
      <w:numFmt w:val="bullet"/>
      <w:lvlText w:val=""/>
      <w:lvlJc w:val="left"/>
      <w:pPr>
        <w:ind w:left="6042" w:hanging="360"/>
      </w:pPr>
      <w:rPr>
        <w:rFonts w:ascii="Wingdings" w:hAnsi="Wingdings" w:hint="default"/>
      </w:rPr>
    </w:lvl>
    <w:lvl w:ilvl="6" w:tplc="080A0001" w:tentative="1">
      <w:start w:val="1"/>
      <w:numFmt w:val="bullet"/>
      <w:lvlText w:val=""/>
      <w:lvlJc w:val="left"/>
      <w:pPr>
        <w:ind w:left="6762" w:hanging="360"/>
      </w:pPr>
      <w:rPr>
        <w:rFonts w:ascii="Symbol" w:hAnsi="Symbol" w:hint="default"/>
      </w:rPr>
    </w:lvl>
    <w:lvl w:ilvl="7" w:tplc="080A0003" w:tentative="1">
      <w:start w:val="1"/>
      <w:numFmt w:val="bullet"/>
      <w:lvlText w:val="o"/>
      <w:lvlJc w:val="left"/>
      <w:pPr>
        <w:ind w:left="7482" w:hanging="360"/>
      </w:pPr>
      <w:rPr>
        <w:rFonts w:ascii="Courier New" w:hAnsi="Courier New" w:cs="Courier New" w:hint="default"/>
      </w:rPr>
    </w:lvl>
    <w:lvl w:ilvl="8" w:tplc="080A0005" w:tentative="1">
      <w:start w:val="1"/>
      <w:numFmt w:val="bullet"/>
      <w:lvlText w:val=""/>
      <w:lvlJc w:val="left"/>
      <w:pPr>
        <w:ind w:left="8202" w:hanging="360"/>
      </w:pPr>
      <w:rPr>
        <w:rFonts w:ascii="Wingdings" w:hAnsi="Wingdings" w:hint="default"/>
      </w:rPr>
    </w:lvl>
  </w:abstractNum>
  <w:abstractNum w:abstractNumId="43" w15:restartNumberingAfterBreak="0">
    <w:nsid w:val="733622BC"/>
    <w:multiLevelType w:val="hybridMultilevel"/>
    <w:tmpl w:val="71DA44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9E51581"/>
    <w:multiLevelType w:val="hybridMultilevel"/>
    <w:tmpl w:val="4E08FA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8B68E3"/>
    <w:multiLevelType w:val="hybridMultilevel"/>
    <w:tmpl w:val="4DDEC0BA"/>
    <w:lvl w:ilvl="0" w:tplc="88FEE08C">
      <w:start w:val="1"/>
      <w:numFmt w:val="bullet"/>
      <w:lvlText w:val="-"/>
      <w:lvlJc w:val="left"/>
      <w:pPr>
        <w:ind w:left="720" w:hanging="360"/>
      </w:pPr>
      <w:rPr>
        <w:rFonts w:ascii="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8"/>
  </w:num>
  <w:num w:numId="2">
    <w:abstractNumId w:val="11"/>
  </w:num>
  <w:num w:numId="3">
    <w:abstractNumId w:val="37"/>
  </w:num>
  <w:num w:numId="4">
    <w:abstractNumId w:val="29"/>
  </w:num>
  <w:num w:numId="5">
    <w:abstractNumId w:val="35"/>
  </w:num>
  <w:num w:numId="6">
    <w:abstractNumId w:val="44"/>
  </w:num>
  <w:num w:numId="7">
    <w:abstractNumId w:val="7"/>
  </w:num>
  <w:num w:numId="8">
    <w:abstractNumId w:val="34"/>
  </w:num>
  <w:num w:numId="9">
    <w:abstractNumId w:val="28"/>
  </w:num>
  <w:num w:numId="10">
    <w:abstractNumId w:val="27"/>
  </w:num>
  <w:num w:numId="11">
    <w:abstractNumId w:val="17"/>
  </w:num>
  <w:num w:numId="12">
    <w:abstractNumId w:val="14"/>
  </w:num>
  <w:num w:numId="13">
    <w:abstractNumId w:val="16"/>
  </w:num>
  <w:num w:numId="14">
    <w:abstractNumId w:val="21"/>
  </w:num>
  <w:num w:numId="15">
    <w:abstractNumId w:val="19"/>
  </w:num>
  <w:num w:numId="16">
    <w:abstractNumId w:val="24"/>
  </w:num>
  <w:num w:numId="17">
    <w:abstractNumId w:val="4"/>
  </w:num>
  <w:num w:numId="18">
    <w:abstractNumId w:val="23"/>
  </w:num>
  <w:num w:numId="19">
    <w:abstractNumId w:val="43"/>
  </w:num>
  <w:num w:numId="20">
    <w:abstractNumId w:val="9"/>
  </w:num>
  <w:num w:numId="21">
    <w:abstractNumId w:val="22"/>
  </w:num>
  <w:num w:numId="22">
    <w:abstractNumId w:val="0"/>
  </w:num>
  <w:num w:numId="23">
    <w:abstractNumId w:val="3"/>
  </w:num>
  <w:num w:numId="24">
    <w:abstractNumId w:val="1"/>
  </w:num>
  <w:num w:numId="25">
    <w:abstractNumId w:val="42"/>
  </w:num>
  <w:num w:numId="26">
    <w:abstractNumId w:val="6"/>
  </w:num>
  <w:num w:numId="27">
    <w:abstractNumId w:val="26"/>
  </w:num>
  <w:num w:numId="28">
    <w:abstractNumId w:val="2"/>
  </w:num>
  <w:num w:numId="29">
    <w:abstractNumId w:val="5"/>
  </w:num>
  <w:num w:numId="30">
    <w:abstractNumId w:val="18"/>
  </w:num>
  <w:num w:numId="31">
    <w:abstractNumId w:val="33"/>
  </w:num>
  <w:num w:numId="32">
    <w:abstractNumId w:val="13"/>
  </w:num>
  <w:num w:numId="33">
    <w:abstractNumId w:val="45"/>
  </w:num>
  <w:num w:numId="34">
    <w:abstractNumId w:val="40"/>
  </w:num>
  <w:num w:numId="35">
    <w:abstractNumId w:val="25"/>
  </w:num>
  <w:num w:numId="36">
    <w:abstractNumId w:val="36"/>
  </w:num>
  <w:num w:numId="37">
    <w:abstractNumId w:val="12"/>
  </w:num>
  <w:num w:numId="38">
    <w:abstractNumId w:val="31"/>
  </w:num>
  <w:num w:numId="39">
    <w:abstractNumId w:val="30"/>
  </w:num>
  <w:num w:numId="40">
    <w:abstractNumId w:val="8"/>
  </w:num>
  <w:num w:numId="41">
    <w:abstractNumId w:val="20"/>
  </w:num>
  <w:num w:numId="42">
    <w:abstractNumId w:val="32"/>
  </w:num>
  <w:num w:numId="43">
    <w:abstractNumId w:val="10"/>
  </w:num>
  <w:num w:numId="44">
    <w:abstractNumId w:val="41"/>
  </w:num>
  <w:num w:numId="45">
    <w:abstractNumId w:val="39"/>
  </w:num>
  <w:num w:numId="46">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6F1"/>
    <w:rsid w:val="00004C57"/>
    <w:rsid w:val="00006F2A"/>
    <w:rsid w:val="00014BAC"/>
    <w:rsid w:val="00034817"/>
    <w:rsid w:val="00044190"/>
    <w:rsid w:val="00046391"/>
    <w:rsid w:val="0008314E"/>
    <w:rsid w:val="000868ED"/>
    <w:rsid w:val="0009151D"/>
    <w:rsid w:val="000B6BF5"/>
    <w:rsid w:val="000F14C5"/>
    <w:rsid w:val="000F6EE6"/>
    <w:rsid w:val="001142E3"/>
    <w:rsid w:val="00123672"/>
    <w:rsid w:val="00153A5D"/>
    <w:rsid w:val="00175F66"/>
    <w:rsid w:val="001807A6"/>
    <w:rsid w:val="00184BBE"/>
    <w:rsid w:val="001B4DF0"/>
    <w:rsid w:val="001C7F16"/>
    <w:rsid w:val="001E085F"/>
    <w:rsid w:val="001E26FE"/>
    <w:rsid w:val="001E4BEB"/>
    <w:rsid w:val="00210BE9"/>
    <w:rsid w:val="002151CB"/>
    <w:rsid w:val="0021599C"/>
    <w:rsid w:val="0022254D"/>
    <w:rsid w:val="002379B7"/>
    <w:rsid w:val="0024045E"/>
    <w:rsid w:val="00240C1B"/>
    <w:rsid w:val="002761E8"/>
    <w:rsid w:val="002833D6"/>
    <w:rsid w:val="00285503"/>
    <w:rsid w:val="00290AD7"/>
    <w:rsid w:val="002917AB"/>
    <w:rsid w:val="002B4147"/>
    <w:rsid w:val="002C3BD2"/>
    <w:rsid w:val="002C5F43"/>
    <w:rsid w:val="002D3A57"/>
    <w:rsid w:val="002D6B74"/>
    <w:rsid w:val="002E3AE9"/>
    <w:rsid w:val="002E7E3B"/>
    <w:rsid w:val="002F0F72"/>
    <w:rsid w:val="002F375D"/>
    <w:rsid w:val="003127F5"/>
    <w:rsid w:val="00320AC1"/>
    <w:rsid w:val="00372936"/>
    <w:rsid w:val="00386A9C"/>
    <w:rsid w:val="003B4F18"/>
    <w:rsid w:val="003B6B44"/>
    <w:rsid w:val="003D40FB"/>
    <w:rsid w:val="003D537E"/>
    <w:rsid w:val="00406217"/>
    <w:rsid w:val="00415394"/>
    <w:rsid w:val="00441932"/>
    <w:rsid w:val="0046226C"/>
    <w:rsid w:val="0046383A"/>
    <w:rsid w:val="004939D7"/>
    <w:rsid w:val="00495261"/>
    <w:rsid w:val="00497096"/>
    <w:rsid w:val="004A30B6"/>
    <w:rsid w:val="004D0BC5"/>
    <w:rsid w:val="004F2756"/>
    <w:rsid w:val="0050012C"/>
    <w:rsid w:val="00545BA6"/>
    <w:rsid w:val="00564E5C"/>
    <w:rsid w:val="00566E10"/>
    <w:rsid w:val="005930BF"/>
    <w:rsid w:val="005E2AF3"/>
    <w:rsid w:val="005E3ABA"/>
    <w:rsid w:val="005E40F7"/>
    <w:rsid w:val="006029A2"/>
    <w:rsid w:val="00606DE5"/>
    <w:rsid w:val="006108EF"/>
    <w:rsid w:val="0062030B"/>
    <w:rsid w:val="006267CE"/>
    <w:rsid w:val="0064184E"/>
    <w:rsid w:val="006516F1"/>
    <w:rsid w:val="0065769E"/>
    <w:rsid w:val="00676B6D"/>
    <w:rsid w:val="00686201"/>
    <w:rsid w:val="006B755D"/>
    <w:rsid w:val="006F3533"/>
    <w:rsid w:val="006F7882"/>
    <w:rsid w:val="007053A9"/>
    <w:rsid w:val="007407C8"/>
    <w:rsid w:val="00747B52"/>
    <w:rsid w:val="00751118"/>
    <w:rsid w:val="00756592"/>
    <w:rsid w:val="00762DB5"/>
    <w:rsid w:val="007748CA"/>
    <w:rsid w:val="00784020"/>
    <w:rsid w:val="007853DE"/>
    <w:rsid w:val="007A02FA"/>
    <w:rsid w:val="007B07C1"/>
    <w:rsid w:val="007B772A"/>
    <w:rsid w:val="007C7987"/>
    <w:rsid w:val="007D0924"/>
    <w:rsid w:val="007D134C"/>
    <w:rsid w:val="007D22BB"/>
    <w:rsid w:val="007D30D3"/>
    <w:rsid w:val="007F3700"/>
    <w:rsid w:val="007F5EA9"/>
    <w:rsid w:val="0081453A"/>
    <w:rsid w:val="0083366F"/>
    <w:rsid w:val="0084752B"/>
    <w:rsid w:val="008902FE"/>
    <w:rsid w:val="008C5841"/>
    <w:rsid w:val="008E7BDD"/>
    <w:rsid w:val="008F54B1"/>
    <w:rsid w:val="008F7B22"/>
    <w:rsid w:val="00901A98"/>
    <w:rsid w:val="00926943"/>
    <w:rsid w:val="00932004"/>
    <w:rsid w:val="0093797E"/>
    <w:rsid w:val="00942619"/>
    <w:rsid w:val="00945366"/>
    <w:rsid w:val="00945A50"/>
    <w:rsid w:val="00970CBC"/>
    <w:rsid w:val="0098098C"/>
    <w:rsid w:val="009A1EB5"/>
    <w:rsid w:val="009B242C"/>
    <w:rsid w:val="009E4167"/>
    <w:rsid w:val="009F3245"/>
    <w:rsid w:val="009F485F"/>
    <w:rsid w:val="00A04874"/>
    <w:rsid w:val="00A177BD"/>
    <w:rsid w:val="00A3306C"/>
    <w:rsid w:val="00A6659E"/>
    <w:rsid w:val="00A920F4"/>
    <w:rsid w:val="00B06375"/>
    <w:rsid w:val="00B1431B"/>
    <w:rsid w:val="00B3037F"/>
    <w:rsid w:val="00B365CF"/>
    <w:rsid w:val="00B678D7"/>
    <w:rsid w:val="00B80CD7"/>
    <w:rsid w:val="00B934B5"/>
    <w:rsid w:val="00BA3D93"/>
    <w:rsid w:val="00BB2DE9"/>
    <w:rsid w:val="00BC224D"/>
    <w:rsid w:val="00BE3690"/>
    <w:rsid w:val="00BE3F5D"/>
    <w:rsid w:val="00BE46FF"/>
    <w:rsid w:val="00BF0784"/>
    <w:rsid w:val="00C002B2"/>
    <w:rsid w:val="00C003EC"/>
    <w:rsid w:val="00C10A96"/>
    <w:rsid w:val="00C11531"/>
    <w:rsid w:val="00C248E8"/>
    <w:rsid w:val="00C3037D"/>
    <w:rsid w:val="00C34422"/>
    <w:rsid w:val="00C51A9C"/>
    <w:rsid w:val="00C573ED"/>
    <w:rsid w:val="00C711CB"/>
    <w:rsid w:val="00C739A6"/>
    <w:rsid w:val="00C74AB3"/>
    <w:rsid w:val="00C94268"/>
    <w:rsid w:val="00CB2830"/>
    <w:rsid w:val="00CC2F15"/>
    <w:rsid w:val="00D00B6E"/>
    <w:rsid w:val="00D04206"/>
    <w:rsid w:val="00D12B9A"/>
    <w:rsid w:val="00D1345F"/>
    <w:rsid w:val="00D338B4"/>
    <w:rsid w:val="00D8412D"/>
    <w:rsid w:val="00DA1AFC"/>
    <w:rsid w:val="00DC2D08"/>
    <w:rsid w:val="00DD25E3"/>
    <w:rsid w:val="00DF0D3C"/>
    <w:rsid w:val="00DF60EE"/>
    <w:rsid w:val="00E017C4"/>
    <w:rsid w:val="00E32D91"/>
    <w:rsid w:val="00E362B7"/>
    <w:rsid w:val="00E428E2"/>
    <w:rsid w:val="00E5632B"/>
    <w:rsid w:val="00E57193"/>
    <w:rsid w:val="00E67045"/>
    <w:rsid w:val="00E73AB9"/>
    <w:rsid w:val="00E968EC"/>
    <w:rsid w:val="00EB1C4A"/>
    <w:rsid w:val="00EB558D"/>
    <w:rsid w:val="00EE6976"/>
    <w:rsid w:val="00F0307C"/>
    <w:rsid w:val="00F07A74"/>
    <w:rsid w:val="00F25E53"/>
    <w:rsid w:val="00F271C6"/>
    <w:rsid w:val="00F3365B"/>
    <w:rsid w:val="00F60E8C"/>
    <w:rsid w:val="00F60F88"/>
    <w:rsid w:val="00F61A97"/>
    <w:rsid w:val="00F64FA6"/>
    <w:rsid w:val="00F716BA"/>
    <w:rsid w:val="00F7182A"/>
    <w:rsid w:val="00F84614"/>
    <w:rsid w:val="00F86C29"/>
    <w:rsid w:val="00FB2E78"/>
    <w:rsid w:val="00FD0D3E"/>
    <w:rsid w:val="00FF2F01"/>
    <w:rsid w:val="00FF2F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EF528"/>
  <w15:chartTrackingRefBased/>
  <w15:docId w15:val="{26DD72BA-1640-4498-8282-BF20C43E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6F1"/>
    <w:pPr>
      <w:spacing w:after="0" w:line="240" w:lineRule="auto"/>
    </w:pPr>
    <w:rPr>
      <w:rFonts w:ascii="Calibri" w:hAnsi="Calibri" w:cs="Calibri"/>
    </w:rPr>
  </w:style>
  <w:style w:type="paragraph" w:styleId="Ttulo2">
    <w:name w:val="heading 2"/>
    <w:basedOn w:val="Normal"/>
    <w:next w:val="Normal"/>
    <w:link w:val="Ttulo2Car"/>
    <w:uiPriority w:val="9"/>
    <w:semiHidden/>
    <w:unhideWhenUsed/>
    <w:qFormat/>
    <w:rsid w:val="00C94268"/>
    <w:pPr>
      <w:keepNext/>
      <w:keepLines/>
      <w:spacing w:before="360" w:after="80" w:line="259" w:lineRule="auto"/>
      <w:outlineLvl w:val="1"/>
    </w:pPr>
    <w:rPr>
      <w:rFonts w:eastAsia="Calibri"/>
      <w:b/>
      <w:sz w:val="36"/>
      <w:szCs w:val="36"/>
      <w:lang w:val="es-MX"/>
    </w:rPr>
  </w:style>
  <w:style w:type="paragraph" w:styleId="Ttulo3">
    <w:name w:val="heading 3"/>
    <w:basedOn w:val="Normal"/>
    <w:next w:val="Normal"/>
    <w:link w:val="Ttulo3Car"/>
    <w:uiPriority w:val="9"/>
    <w:semiHidden/>
    <w:unhideWhenUsed/>
    <w:qFormat/>
    <w:rsid w:val="00C739A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516F1"/>
    <w:rPr>
      <w:color w:val="0563C1"/>
      <w:u w:val="single"/>
    </w:rPr>
  </w:style>
  <w:style w:type="paragraph" w:styleId="Sinespaciado">
    <w:name w:val="No Spacing"/>
    <w:basedOn w:val="Normal"/>
    <w:link w:val="SinespaciadoCar"/>
    <w:uiPriority w:val="1"/>
    <w:qFormat/>
    <w:rsid w:val="006516F1"/>
  </w:style>
  <w:style w:type="paragraph" w:customStyle="1" w:styleId="xmsonormal">
    <w:name w:val="x_msonormal"/>
    <w:basedOn w:val="Normal"/>
    <w:uiPriority w:val="99"/>
    <w:rsid w:val="006516F1"/>
    <w:rPr>
      <w:rFonts w:ascii="Times New Roman" w:hAnsi="Times New Roman" w:cs="Times New Roman"/>
      <w:sz w:val="24"/>
      <w:szCs w:val="24"/>
      <w:lang w:eastAsia="es-ES"/>
    </w:rPr>
  </w:style>
  <w:style w:type="character" w:customStyle="1" w:styleId="SinespaciadoCar">
    <w:name w:val="Sin espaciado Car"/>
    <w:basedOn w:val="Fuentedeprrafopredeter"/>
    <w:link w:val="Sinespaciado"/>
    <w:uiPriority w:val="1"/>
    <w:locked/>
    <w:rsid w:val="00566E10"/>
    <w:rPr>
      <w:rFonts w:ascii="Calibri" w:hAnsi="Calibri" w:cs="Calibri"/>
    </w:rPr>
  </w:style>
  <w:style w:type="paragraph" w:styleId="Encabezado">
    <w:name w:val="header"/>
    <w:basedOn w:val="Normal"/>
    <w:link w:val="EncabezadoCar"/>
    <w:uiPriority w:val="99"/>
    <w:unhideWhenUsed/>
    <w:rsid w:val="0098098C"/>
    <w:pPr>
      <w:tabs>
        <w:tab w:val="center" w:pos="4419"/>
        <w:tab w:val="right" w:pos="8838"/>
      </w:tabs>
    </w:pPr>
  </w:style>
  <w:style w:type="character" w:customStyle="1" w:styleId="EncabezadoCar">
    <w:name w:val="Encabezado Car"/>
    <w:basedOn w:val="Fuentedeprrafopredeter"/>
    <w:link w:val="Encabezado"/>
    <w:uiPriority w:val="99"/>
    <w:rsid w:val="0098098C"/>
    <w:rPr>
      <w:rFonts w:ascii="Calibri" w:hAnsi="Calibri" w:cs="Calibri"/>
    </w:rPr>
  </w:style>
  <w:style w:type="paragraph" w:styleId="Piedepgina">
    <w:name w:val="footer"/>
    <w:basedOn w:val="Normal"/>
    <w:link w:val="PiedepginaCar"/>
    <w:uiPriority w:val="99"/>
    <w:unhideWhenUsed/>
    <w:rsid w:val="0098098C"/>
    <w:pPr>
      <w:tabs>
        <w:tab w:val="center" w:pos="4419"/>
        <w:tab w:val="right" w:pos="8838"/>
      </w:tabs>
    </w:pPr>
  </w:style>
  <w:style w:type="character" w:customStyle="1" w:styleId="PiedepginaCar">
    <w:name w:val="Pie de página Car"/>
    <w:basedOn w:val="Fuentedeprrafopredeter"/>
    <w:link w:val="Piedepgina"/>
    <w:uiPriority w:val="99"/>
    <w:rsid w:val="0098098C"/>
    <w:rPr>
      <w:rFonts w:ascii="Calibri" w:hAnsi="Calibri" w:cs="Calibri"/>
    </w:rPr>
  </w:style>
  <w:style w:type="table" w:styleId="Tablaconcuadrcula">
    <w:name w:val="Table Grid"/>
    <w:basedOn w:val="Tablanormal"/>
    <w:uiPriority w:val="39"/>
    <w:rsid w:val="00980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ita texto,Footnote,Listas,lp1,4 Párrafo de lista,Figuras,Dot pt,No Spacing1,List Paragraph Char Char Char,Indicator Text,List Paragraph1,Numbered Para 1,DH1,Colorful List - Accent 11,Bullet 1,F5 List Paragraph,Bullet Points"/>
    <w:basedOn w:val="Normal"/>
    <w:link w:val="PrrafodelistaCar"/>
    <w:uiPriority w:val="34"/>
    <w:qFormat/>
    <w:rsid w:val="005E40F7"/>
    <w:pPr>
      <w:ind w:left="720"/>
      <w:contextualSpacing/>
    </w:pPr>
  </w:style>
  <w:style w:type="paragraph" w:styleId="Textodeglobo">
    <w:name w:val="Balloon Text"/>
    <w:basedOn w:val="Normal"/>
    <w:link w:val="TextodegloboCar"/>
    <w:uiPriority w:val="99"/>
    <w:semiHidden/>
    <w:unhideWhenUsed/>
    <w:rsid w:val="00901A98"/>
    <w:rPr>
      <w:rFonts w:ascii="Segoe UI" w:eastAsiaTheme="minorEastAsia" w:hAnsi="Segoe UI" w:cs="Segoe UI"/>
      <w:sz w:val="18"/>
      <w:szCs w:val="18"/>
      <w:lang w:val="es-MX"/>
    </w:rPr>
  </w:style>
  <w:style w:type="character" w:customStyle="1" w:styleId="TextodegloboCar">
    <w:name w:val="Texto de globo Car"/>
    <w:basedOn w:val="Fuentedeprrafopredeter"/>
    <w:link w:val="Textodeglobo"/>
    <w:uiPriority w:val="99"/>
    <w:semiHidden/>
    <w:rsid w:val="00901A98"/>
    <w:rPr>
      <w:rFonts w:ascii="Segoe UI" w:eastAsiaTheme="minorEastAsia" w:hAnsi="Segoe UI" w:cs="Segoe UI"/>
      <w:sz w:val="18"/>
      <w:szCs w:val="18"/>
      <w:lang w:val="es-MX"/>
    </w:rPr>
  </w:style>
  <w:style w:type="paragraph" w:styleId="Textonotapie">
    <w:name w:val="footnote text"/>
    <w:aliases w:val="Car3,Car3 Car,Footnote Text Char Char Char Char Char,Footnote Text Char Char Char Char,Footnote reference,FA Fu,FA Fu Car, Car3, Car3 Car,Footnote Text Char Char Char, Car3 Car Car Car Car Car,Car3 Car Car Car Car Car, Car31 Car, Car31,fn"/>
    <w:basedOn w:val="Normal"/>
    <w:link w:val="TextonotapieCar"/>
    <w:uiPriority w:val="99"/>
    <w:unhideWhenUsed/>
    <w:qFormat/>
    <w:rsid w:val="00F60E8C"/>
    <w:rPr>
      <w:rFonts w:asciiTheme="minorHAnsi" w:hAnsiTheme="minorHAnsi" w:cstheme="minorBidi"/>
      <w:sz w:val="20"/>
      <w:szCs w:val="20"/>
    </w:rPr>
  </w:style>
  <w:style w:type="character" w:customStyle="1" w:styleId="TextonotapieCar">
    <w:name w:val="Texto nota pie Car"/>
    <w:aliases w:val="Car3 Car1,Car3 Car Car,Footnote Text Char Char Char Char Char Car,Footnote Text Char Char Char Char Car,Footnote reference Car,FA Fu Car1,FA Fu Car Car, Car3 Car1, Car3 Car Car,Footnote Text Char Char Char Car, Car31 Car Car,fn Car"/>
    <w:basedOn w:val="Fuentedeprrafopredeter"/>
    <w:link w:val="Textonotapie"/>
    <w:uiPriority w:val="99"/>
    <w:semiHidden/>
    <w:rsid w:val="00F60E8C"/>
    <w:rPr>
      <w:sz w:val="20"/>
      <w:szCs w:val="20"/>
    </w:rPr>
  </w:style>
  <w:style w:type="character" w:styleId="Refdenotaalpie">
    <w:name w:val="footnote reference"/>
    <w:aliases w:val="Ref. de nota al pie 2,Texto de nota al pie,Stinking Styles,Stinking Styles5,Appel note de bas de page,Footnotes refss,Footnote number,referencia nota al pie,BVI fnr,f,4_G,16 Point,Superscript 6 Point,Texto nota al pie,ftref,Ref,julio"/>
    <w:basedOn w:val="Fuentedeprrafopredeter"/>
    <w:uiPriority w:val="99"/>
    <w:unhideWhenUsed/>
    <w:qFormat/>
    <w:rsid w:val="00F60E8C"/>
    <w:rPr>
      <w:vertAlign w:val="superscript"/>
    </w:rPr>
  </w:style>
  <w:style w:type="character" w:customStyle="1" w:styleId="Ttulo2Car">
    <w:name w:val="Título 2 Car"/>
    <w:basedOn w:val="Fuentedeprrafopredeter"/>
    <w:link w:val="Ttulo2"/>
    <w:uiPriority w:val="9"/>
    <w:semiHidden/>
    <w:rsid w:val="00C94268"/>
    <w:rPr>
      <w:rFonts w:ascii="Calibri" w:eastAsia="Calibri" w:hAnsi="Calibri" w:cs="Calibri"/>
      <w:b/>
      <w:sz w:val="36"/>
      <w:szCs w:val="36"/>
      <w:lang w:val="es-MX"/>
    </w:rPr>
  </w:style>
  <w:style w:type="paragraph" w:styleId="NormalWeb">
    <w:name w:val="Normal (Web)"/>
    <w:aliases w:val="Normal (Web) Car Car,Normal (Web) Car Car Car Car,Normal (Web) Car Car Car Car Car Car Car Car Car Car Car Car Car Car Car Car Car,Normal (Web) C..."/>
    <w:basedOn w:val="Normal"/>
    <w:link w:val="NormalWebCar"/>
    <w:uiPriority w:val="99"/>
    <w:unhideWhenUsed/>
    <w:qFormat/>
    <w:rsid w:val="00C94268"/>
    <w:pPr>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NormalWebCar">
    <w:name w:val="Normal (Web) Car"/>
    <w:aliases w:val="Normal (Web) Car Car Car,Normal (Web) Car Car Car Car Car,Normal (Web) Car Car Car Car Car Car Car Car Car Car Car Car Car Car Car Car Car Car,Normal (Web) C... Car"/>
    <w:link w:val="NormalWeb"/>
    <w:uiPriority w:val="99"/>
    <w:rsid w:val="00C94268"/>
    <w:rPr>
      <w:rFonts w:ascii="Times New Roman" w:eastAsia="Times New Roman" w:hAnsi="Times New Roman" w:cs="Times New Roman"/>
      <w:sz w:val="24"/>
      <w:szCs w:val="24"/>
      <w:lang w:val="es-MX" w:eastAsia="es-MX"/>
    </w:rPr>
  </w:style>
  <w:style w:type="paragraph" w:customStyle="1" w:styleId="corte4fondo">
    <w:name w:val="corte4 fondo"/>
    <w:basedOn w:val="Normal"/>
    <w:link w:val="corte4fondoCar"/>
    <w:qFormat/>
    <w:rsid w:val="00C94268"/>
    <w:pPr>
      <w:spacing w:line="360" w:lineRule="auto"/>
      <w:ind w:firstLine="709"/>
      <w:jc w:val="both"/>
    </w:pPr>
    <w:rPr>
      <w:rFonts w:ascii="Arial" w:eastAsia="Times New Roman" w:hAnsi="Arial" w:cs="Times New Roman"/>
      <w:sz w:val="30"/>
      <w:szCs w:val="18"/>
      <w:lang w:val="es-MX" w:eastAsia="es-MX"/>
    </w:rPr>
  </w:style>
  <w:style w:type="character" w:customStyle="1" w:styleId="corte4fondoCar">
    <w:name w:val="corte4 fondo Car"/>
    <w:link w:val="corte4fondo"/>
    <w:qFormat/>
    <w:rsid w:val="00C94268"/>
    <w:rPr>
      <w:rFonts w:ascii="Arial" w:eastAsia="Times New Roman" w:hAnsi="Arial" w:cs="Times New Roman"/>
      <w:sz w:val="30"/>
      <w:szCs w:val="18"/>
      <w:lang w:val="es-MX" w:eastAsia="es-MX"/>
    </w:rPr>
  </w:style>
  <w:style w:type="character" w:customStyle="1" w:styleId="PrrafodelistaCar">
    <w:name w:val="Párrafo de lista Car"/>
    <w:aliases w:val="Cita texto Car,Footnote Car,Listas Car,lp1 Car,4 Párrafo de lista Car,Figuras Car,Dot pt Car,No Spacing1 Car,List Paragraph Char Char Char Car,Indicator Text Car,List Paragraph1 Car,Numbered Para 1 Car,DH1 Car,Bullet 1 Car"/>
    <w:link w:val="Prrafodelista"/>
    <w:uiPriority w:val="1"/>
    <w:qFormat/>
    <w:locked/>
    <w:rsid w:val="00C94268"/>
    <w:rPr>
      <w:rFonts w:ascii="Calibri" w:hAnsi="Calibri" w:cs="Calibri"/>
    </w:rPr>
  </w:style>
  <w:style w:type="character" w:customStyle="1" w:styleId="UnresolvedMention1">
    <w:name w:val="Unresolved Mention1"/>
    <w:basedOn w:val="Fuentedeprrafopredeter"/>
    <w:uiPriority w:val="99"/>
    <w:semiHidden/>
    <w:unhideWhenUsed/>
    <w:rsid w:val="00E32D91"/>
    <w:rPr>
      <w:color w:val="605E5C"/>
      <w:shd w:val="clear" w:color="auto" w:fill="E1DFDD"/>
    </w:rPr>
  </w:style>
  <w:style w:type="character" w:styleId="Hipervnculovisitado">
    <w:name w:val="FollowedHyperlink"/>
    <w:basedOn w:val="Fuentedeprrafopredeter"/>
    <w:uiPriority w:val="99"/>
    <w:semiHidden/>
    <w:unhideWhenUsed/>
    <w:rsid w:val="008F7B22"/>
    <w:rPr>
      <w:color w:val="954F72" w:themeColor="followedHyperlink"/>
      <w:u w:val="single"/>
    </w:rPr>
  </w:style>
  <w:style w:type="paragraph" w:customStyle="1" w:styleId="paragraph">
    <w:name w:val="paragraph"/>
    <w:basedOn w:val="Normal"/>
    <w:rsid w:val="009A1EB5"/>
    <w:pPr>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9A1EB5"/>
  </w:style>
  <w:style w:type="character" w:customStyle="1" w:styleId="apple-converted-space">
    <w:name w:val="apple-converted-space"/>
    <w:basedOn w:val="Fuentedeprrafopredeter"/>
    <w:rsid w:val="009A1EB5"/>
  </w:style>
  <w:style w:type="character" w:customStyle="1" w:styleId="eop">
    <w:name w:val="eop"/>
    <w:basedOn w:val="Fuentedeprrafopredeter"/>
    <w:rsid w:val="009A1EB5"/>
  </w:style>
  <w:style w:type="character" w:customStyle="1" w:styleId="Mencinsinresolver1">
    <w:name w:val="Mención sin resolver1"/>
    <w:basedOn w:val="Fuentedeprrafopredeter"/>
    <w:uiPriority w:val="99"/>
    <w:semiHidden/>
    <w:unhideWhenUsed/>
    <w:rsid w:val="00BF0784"/>
    <w:rPr>
      <w:color w:val="605E5C"/>
      <w:shd w:val="clear" w:color="auto" w:fill="E1DFDD"/>
    </w:rPr>
  </w:style>
  <w:style w:type="paragraph" w:styleId="Textonotaalfinal">
    <w:name w:val="endnote text"/>
    <w:basedOn w:val="Normal"/>
    <w:link w:val="TextonotaalfinalCar"/>
    <w:uiPriority w:val="99"/>
    <w:semiHidden/>
    <w:unhideWhenUsed/>
    <w:rsid w:val="00756592"/>
    <w:rPr>
      <w:sz w:val="20"/>
      <w:szCs w:val="20"/>
    </w:rPr>
  </w:style>
  <w:style w:type="character" w:customStyle="1" w:styleId="TextonotaalfinalCar">
    <w:name w:val="Texto nota al final Car"/>
    <w:basedOn w:val="Fuentedeprrafopredeter"/>
    <w:link w:val="Textonotaalfinal"/>
    <w:uiPriority w:val="99"/>
    <w:semiHidden/>
    <w:rsid w:val="00756592"/>
    <w:rPr>
      <w:rFonts w:ascii="Calibri" w:hAnsi="Calibri" w:cs="Calibri"/>
      <w:sz w:val="20"/>
      <w:szCs w:val="20"/>
    </w:rPr>
  </w:style>
  <w:style w:type="character" w:styleId="Refdenotaalfinal">
    <w:name w:val="endnote reference"/>
    <w:basedOn w:val="Fuentedeprrafopredeter"/>
    <w:uiPriority w:val="99"/>
    <w:semiHidden/>
    <w:unhideWhenUsed/>
    <w:rsid w:val="00756592"/>
    <w:rPr>
      <w:vertAlign w:val="superscript"/>
    </w:rPr>
  </w:style>
  <w:style w:type="table" w:customStyle="1" w:styleId="Tablaconcuadrcula1">
    <w:name w:val="Tabla con cuadrícula1"/>
    <w:basedOn w:val="Tablanormal"/>
    <w:next w:val="Tablaconcuadrcula"/>
    <w:uiPriority w:val="39"/>
    <w:rsid w:val="00046391"/>
    <w:pPr>
      <w:spacing w:after="0" w:line="240" w:lineRule="auto"/>
    </w:pPr>
    <w:rPr>
      <w:rFonts w:ascii="Calibri" w:eastAsia="Calibri" w:hAnsi="Calibri" w:cs="Calibri"/>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C739A6"/>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Fuentedeprrafopredeter"/>
    <w:uiPriority w:val="99"/>
    <w:semiHidden/>
    <w:unhideWhenUsed/>
    <w:rsid w:val="00210BE9"/>
    <w:rPr>
      <w:color w:val="605E5C"/>
      <w:shd w:val="clear" w:color="auto" w:fill="E1DFDD"/>
    </w:rPr>
  </w:style>
  <w:style w:type="paragraph" w:customStyle="1" w:styleId="footnotedescription">
    <w:name w:val="footnote description"/>
    <w:next w:val="Normal"/>
    <w:link w:val="footnotedescriptionChar"/>
    <w:hidden/>
    <w:rsid w:val="007053A9"/>
    <w:pPr>
      <w:spacing w:after="0" w:line="244" w:lineRule="auto"/>
    </w:pPr>
    <w:rPr>
      <w:rFonts w:ascii="Montserrat" w:eastAsia="Montserrat" w:hAnsi="Montserrat" w:cs="Montserrat"/>
      <w:color w:val="0563C1"/>
      <w:sz w:val="18"/>
      <w:szCs w:val="24"/>
      <w:u w:val="single" w:color="0563C1"/>
    </w:rPr>
  </w:style>
  <w:style w:type="character" w:customStyle="1" w:styleId="footnotedescriptionChar">
    <w:name w:val="footnote description Char"/>
    <w:link w:val="footnotedescription"/>
    <w:rsid w:val="007053A9"/>
    <w:rPr>
      <w:rFonts w:ascii="Montserrat" w:eastAsia="Montserrat" w:hAnsi="Montserrat" w:cs="Montserrat"/>
      <w:color w:val="0563C1"/>
      <w:sz w:val="18"/>
      <w:szCs w:val="24"/>
      <w:u w:val="single" w:color="0563C1"/>
    </w:rPr>
  </w:style>
  <w:style w:type="character" w:customStyle="1" w:styleId="footnotemark">
    <w:name w:val="footnote mark"/>
    <w:hidden/>
    <w:rsid w:val="007053A9"/>
    <w:rPr>
      <w:rFonts w:ascii="Montserrat" w:eastAsia="Montserrat" w:hAnsi="Montserrat" w:cs="Montserrat"/>
      <w:color w:val="000000"/>
      <w:sz w:val="18"/>
      <w:vertAlign w:val="superscript"/>
    </w:rPr>
  </w:style>
  <w:style w:type="paragraph" w:customStyle="1" w:styleId="Texto">
    <w:name w:val="Texto"/>
    <w:basedOn w:val="Normal"/>
    <w:link w:val="TextoCar"/>
    <w:rsid w:val="001B4DF0"/>
    <w:pPr>
      <w:spacing w:after="101" w:line="216" w:lineRule="exact"/>
      <w:ind w:firstLine="288"/>
      <w:jc w:val="both"/>
    </w:pPr>
    <w:rPr>
      <w:rFonts w:ascii="Arial" w:eastAsia="Times New Roman" w:hAnsi="Arial" w:cs="Arial"/>
      <w:sz w:val="18"/>
      <w:szCs w:val="20"/>
      <w:lang w:val="es-MX" w:eastAsia="es-MX"/>
    </w:rPr>
  </w:style>
  <w:style w:type="character" w:customStyle="1" w:styleId="TextoCar">
    <w:name w:val="Texto Car"/>
    <w:link w:val="Texto"/>
    <w:locked/>
    <w:rsid w:val="001B4DF0"/>
    <w:rPr>
      <w:rFonts w:ascii="Arial" w:eastAsia="Times New Roman" w:hAnsi="Arial" w:cs="Arial"/>
      <w:sz w:val="18"/>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261067">
      <w:bodyDiv w:val="1"/>
      <w:marLeft w:val="0"/>
      <w:marRight w:val="0"/>
      <w:marTop w:val="0"/>
      <w:marBottom w:val="0"/>
      <w:divBdr>
        <w:top w:val="none" w:sz="0" w:space="0" w:color="auto"/>
        <w:left w:val="none" w:sz="0" w:space="0" w:color="auto"/>
        <w:bottom w:val="none" w:sz="0" w:space="0" w:color="auto"/>
        <w:right w:val="none" w:sz="0" w:space="0" w:color="auto"/>
      </w:divBdr>
    </w:div>
    <w:div w:id="846944263">
      <w:bodyDiv w:val="1"/>
      <w:marLeft w:val="0"/>
      <w:marRight w:val="0"/>
      <w:marTop w:val="0"/>
      <w:marBottom w:val="0"/>
      <w:divBdr>
        <w:top w:val="none" w:sz="0" w:space="0" w:color="auto"/>
        <w:left w:val="none" w:sz="0" w:space="0" w:color="auto"/>
        <w:bottom w:val="none" w:sz="0" w:space="0" w:color="auto"/>
        <w:right w:val="none" w:sz="0" w:space="0" w:color="auto"/>
      </w:divBdr>
    </w:div>
    <w:div w:id="943149351">
      <w:bodyDiv w:val="1"/>
      <w:marLeft w:val="0"/>
      <w:marRight w:val="0"/>
      <w:marTop w:val="0"/>
      <w:marBottom w:val="0"/>
      <w:divBdr>
        <w:top w:val="none" w:sz="0" w:space="0" w:color="auto"/>
        <w:left w:val="none" w:sz="0" w:space="0" w:color="auto"/>
        <w:bottom w:val="none" w:sz="0" w:space="0" w:color="auto"/>
        <w:right w:val="none" w:sz="0" w:space="0" w:color="auto"/>
      </w:divBdr>
    </w:div>
    <w:div w:id="957375898">
      <w:bodyDiv w:val="1"/>
      <w:marLeft w:val="0"/>
      <w:marRight w:val="0"/>
      <w:marTop w:val="0"/>
      <w:marBottom w:val="0"/>
      <w:divBdr>
        <w:top w:val="none" w:sz="0" w:space="0" w:color="auto"/>
        <w:left w:val="none" w:sz="0" w:space="0" w:color="auto"/>
        <w:bottom w:val="none" w:sz="0" w:space="0" w:color="auto"/>
        <w:right w:val="none" w:sz="0" w:space="0" w:color="auto"/>
      </w:divBdr>
    </w:div>
    <w:div w:id="994454510">
      <w:bodyDiv w:val="1"/>
      <w:marLeft w:val="0"/>
      <w:marRight w:val="0"/>
      <w:marTop w:val="0"/>
      <w:marBottom w:val="0"/>
      <w:divBdr>
        <w:top w:val="none" w:sz="0" w:space="0" w:color="auto"/>
        <w:left w:val="none" w:sz="0" w:space="0" w:color="auto"/>
        <w:bottom w:val="none" w:sz="0" w:space="0" w:color="auto"/>
        <w:right w:val="none" w:sz="0" w:space="0" w:color="auto"/>
      </w:divBdr>
    </w:div>
    <w:div w:id="1229076009">
      <w:bodyDiv w:val="1"/>
      <w:marLeft w:val="0"/>
      <w:marRight w:val="0"/>
      <w:marTop w:val="0"/>
      <w:marBottom w:val="0"/>
      <w:divBdr>
        <w:top w:val="none" w:sz="0" w:space="0" w:color="auto"/>
        <w:left w:val="none" w:sz="0" w:space="0" w:color="auto"/>
        <w:bottom w:val="none" w:sz="0" w:space="0" w:color="auto"/>
        <w:right w:val="none" w:sz="0" w:space="0" w:color="auto"/>
      </w:divBdr>
    </w:div>
    <w:div w:id="2026399243">
      <w:bodyDiv w:val="1"/>
      <w:marLeft w:val="0"/>
      <w:marRight w:val="0"/>
      <w:marTop w:val="0"/>
      <w:marBottom w:val="0"/>
      <w:divBdr>
        <w:top w:val="none" w:sz="0" w:space="0" w:color="auto"/>
        <w:left w:val="none" w:sz="0" w:space="0" w:color="auto"/>
        <w:bottom w:val="none" w:sz="0" w:space="0" w:color="auto"/>
        <w:right w:val="none" w:sz="0" w:space="0" w:color="auto"/>
      </w:divBdr>
      <w:divsChild>
        <w:div w:id="1032460066">
          <w:marLeft w:val="0"/>
          <w:marRight w:val="0"/>
          <w:marTop w:val="0"/>
          <w:marBottom w:val="0"/>
          <w:divBdr>
            <w:top w:val="none" w:sz="0" w:space="0" w:color="auto"/>
            <w:left w:val="none" w:sz="0" w:space="0" w:color="auto"/>
            <w:bottom w:val="none" w:sz="0" w:space="0" w:color="auto"/>
            <w:right w:val="none" w:sz="0" w:space="0" w:color="auto"/>
          </w:divBdr>
          <w:divsChild>
            <w:div w:id="122697456">
              <w:marLeft w:val="0"/>
              <w:marRight w:val="0"/>
              <w:marTop w:val="0"/>
              <w:marBottom w:val="0"/>
              <w:divBdr>
                <w:top w:val="none" w:sz="0" w:space="0" w:color="auto"/>
                <w:left w:val="none" w:sz="0" w:space="0" w:color="auto"/>
                <w:bottom w:val="none" w:sz="0" w:space="0" w:color="auto"/>
                <w:right w:val="none" w:sz="0" w:space="0" w:color="auto"/>
              </w:divBdr>
              <w:divsChild>
                <w:div w:id="1525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37843">
      <w:bodyDiv w:val="1"/>
      <w:marLeft w:val="0"/>
      <w:marRight w:val="0"/>
      <w:marTop w:val="0"/>
      <w:marBottom w:val="0"/>
      <w:divBdr>
        <w:top w:val="none" w:sz="0" w:space="0" w:color="auto"/>
        <w:left w:val="none" w:sz="0" w:space="0" w:color="auto"/>
        <w:bottom w:val="none" w:sz="0" w:space="0" w:color="auto"/>
        <w:right w:val="none" w:sz="0" w:space="0" w:color="auto"/>
      </w:divBdr>
      <w:divsChild>
        <w:div w:id="1593316723">
          <w:marLeft w:val="0"/>
          <w:marRight w:val="0"/>
          <w:marTop w:val="0"/>
          <w:marBottom w:val="0"/>
          <w:divBdr>
            <w:top w:val="none" w:sz="0" w:space="0" w:color="auto"/>
            <w:left w:val="none" w:sz="0" w:space="0" w:color="auto"/>
            <w:bottom w:val="none" w:sz="0" w:space="0" w:color="auto"/>
            <w:right w:val="none" w:sz="0" w:space="0" w:color="auto"/>
          </w:divBdr>
          <w:divsChild>
            <w:div w:id="398751104">
              <w:marLeft w:val="0"/>
              <w:marRight w:val="0"/>
              <w:marTop w:val="0"/>
              <w:marBottom w:val="0"/>
              <w:divBdr>
                <w:top w:val="none" w:sz="0" w:space="0" w:color="auto"/>
                <w:left w:val="none" w:sz="0" w:space="0" w:color="auto"/>
                <w:bottom w:val="none" w:sz="0" w:space="0" w:color="auto"/>
                <w:right w:val="none" w:sz="0" w:space="0" w:color="auto"/>
              </w:divBdr>
              <w:divsChild>
                <w:div w:id="12772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1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CONAVI\Documents\Vivienda%20y%20Violencia\violencia_migrantes_entida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ONAVI\Documents\Vivienda%20y%20Violencia\migracion_violencia_viviendas_deshabitadas.xlsm"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Entidad!$U$8</c:f>
              <c:strCache>
                <c:ptCount val="1"/>
                <c:pt idx="0">
                  <c:v>Personas emigrantes</c:v>
                </c:pt>
              </c:strCache>
            </c:strRef>
          </c:tx>
          <c:spPr>
            <a:solidFill>
              <a:srgbClr val="9D2449"/>
            </a:solidFill>
            <a:ln>
              <a:noFill/>
            </a:ln>
            <a:effectLst/>
          </c:spPr>
          <c:invertIfNegative val="0"/>
          <c:cat>
            <c:strRef>
              <c:f>Entidad!$S$9:$S$38</c:f>
              <c:strCache>
                <c:ptCount val="30"/>
                <c:pt idx="0">
                  <c:v>Guerrero</c:v>
                </c:pt>
                <c:pt idx="1">
                  <c:v>Michoacán</c:v>
                </c:pt>
                <c:pt idx="2">
                  <c:v>Jalisco</c:v>
                </c:pt>
                <c:pt idx="3">
                  <c:v>Ciudad de México</c:v>
                </c:pt>
                <c:pt idx="4">
                  <c:v>Baja California</c:v>
                </c:pt>
                <c:pt idx="5">
                  <c:v>Guanajuato</c:v>
                </c:pt>
                <c:pt idx="6">
                  <c:v>México</c:v>
                </c:pt>
                <c:pt idx="7">
                  <c:v>Tamaulipas</c:v>
                </c:pt>
                <c:pt idx="8">
                  <c:v>Chihuahua</c:v>
                </c:pt>
                <c:pt idx="9">
                  <c:v>Veracruz</c:v>
                </c:pt>
                <c:pt idx="10">
                  <c:v>Querétaro</c:v>
                </c:pt>
                <c:pt idx="11">
                  <c:v>Morelos</c:v>
                </c:pt>
                <c:pt idx="12">
                  <c:v>Nuevo León</c:v>
                </c:pt>
                <c:pt idx="13">
                  <c:v>Zacatecas</c:v>
                </c:pt>
                <c:pt idx="14">
                  <c:v>San Luis Potosí</c:v>
                </c:pt>
                <c:pt idx="15">
                  <c:v>Coahuila</c:v>
                </c:pt>
                <c:pt idx="16">
                  <c:v>Colima</c:v>
                </c:pt>
                <c:pt idx="17">
                  <c:v>Puebla</c:v>
                </c:pt>
                <c:pt idx="18">
                  <c:v>Sonora</c:v>
                </c:pt>
                <c:pt idx="19">
                  <c:v>Chiapas</c:v>
                </c:pt>
                <c:pt idx="20">
                  <c:v>Oaxaca</c:v>
                </c:pt>
                <c:pt idx="21">
                  <c:v>Sinaloa</c:v>
                </c:pt>
                <c:pt idx="22">
                  <c:v>Tabasco</c:v>
                </c:pt>
                <c:pt idx="23">
                  <c:v>Durango</c:v>
                </c:pt>
                <c:pt idx="24">
                  <c:v>Baja California Sur</c:v>
                </c:pt>
                <c:pt idx="25">
                  <c:v>Aguascalientes</c:v>
                </c:pt>
                <c:pt idx="26">
                  <c:v>Hidalgo</c:v>
                </c:pt>
                <c:pt idx="27">
                  <c:v>Tlaxcala</c:v>
                </c:pt>
                <c:pt idx="28">
                  <c:v>Quintana Roo</c:v>
                </c:pt>
                <c:pt idx="29">
                  <c:v>Yucatán</c:v>
                </c:pt>
              </c:strCache>
            </c:strRef>
          </c:cat>
          <c:val>
            <c:numRef>
              <c:f>Entidad!$U$9:$U$38</c:f>
              <c:numCache>
                <c:formatCode>#,##0</c:formatCode>
                <c:ptCount val="30"/>
                <c:pt idx="0">
                  <c:v>1164</c:v>
                </c:pt>
                <c:pt idx="1">
                  <c:v>1109</c:v>
                </c:pt>
                <c:pt idx="2">
                  <c:v>1020</c:v>
                </c:pt>
                <c:pt idx="3">
                  <c:v>568</c:v>
                </c:pt>
                <c:pt idx="4">
                  <c:v>499</c:v>
                </c:pt>
                <c:pt idx="5">
                  <c:v>422</c:v>
                </c:pt>
                <c:pt idx="6">
                  <c:v>408</c:v>
                </c:pt>
                <c:pt idx="7">
                  <c:v>402</c:v>
                </c:pt>
                <c:pt idx="8">
                  <c:v>301</c:v>
                </c:pt>
                <c:pt idx="9">
                  <c:v>273</c:v>
                </c:pt>
                <c:pt idx="10">
                  <c:v>252</c:v>
                </c:pt>
                <c:pt idx="11">
                  <c:v>210</c:v>
                </c:pt>
                <c:pt idx="12">
                  <c:v>207</c:v>
                </c:pt>
                <c:pt idx="13">
                  <c:v>198</c:v>
                </c:pt>
                <c:pt idx="14">
                  <c:v>197</c:v>
                </c:pt>
                <c:pt idx="15">
                  <c:v>163</c:v>
                </c:pt>
                <c:pt idx="16">
                  <c:v>149</c:v>
                </c:pt>
                <c:pt idx="17">
                  <c:v>144</c:v>
                </c:pt>
                <c:pt idx="18">
                  <c:v>126</c:v>
                </c:pt>
                <c:pt idx="19">
                  <c:v>95</c:v>
                </c:pt>
                <c:pt idx="20">
                  <c:v>62</c:v>
                </c:pt>
                <c:pt idx="21">
                  <c:v>61</c:v>
                </c:pt>
                <c:pt idx="22">
                  <c:v>57</c:v>
                </c:pt>
                <c:pt idx="23">
                  <c:v>40</c:v>
                </c:pt>
                <c:pt idx="24">
                  <c:v>33</c:v>
                </c:pt>
                <c:pt idx="25">
                  <c:v>11</c:v>
                </c:pt>
                <c:pt idx="26">
                  <c:v>9</c:v>
                </c:pt>
                <c:pt idx="27">
                  <c:v>7</c:v>
                </c:pt>
                <c:pt idx="28">
                  <c:v>5</c:v>
                </c:pt>
                <c:pt idx="29">
                  <c:v>4</c:v>
                </c:pt>
              </c:numCache>
            </c:numRef>
          </c:val>
          <c:extLst xmlns:c16r2="http://schemas.microsoft.com/office/drawing/2015/06/chart">
            <c:ext xmlns:c16="http://schemas.microsoft.com/office/drawing/2014/chart" uri="{C3380CC4-5D6E-409C-BE32-E72D297353CC}">
              <c16:uniqueId val="{00000000-717B-470A-935D-5FA445EEF51D}"/>
            </c:ext>
          </c:extLst>
        </c:ser>
        <c:dLbls>
          <c:showLegendKey val="0"/>
          <c:showVal val="0"/>
          <c:showCatName val="0"/>
          <c:showSerName val="0"/>
          <c:showPercent val="0"/>
          <c:showBubbleSize val="0"/>
        </c:dLbls>
        <c:gapWidth val="219"/>
        <c:axId val="-1475385408"/>
        <c:axId val="-1475387584"/>
      </c:barChart>
      <c:lineChart>
        <c:grouping val="standard"/>
        <c:varyColors val="0"/>
        <c:ser>
          <c:idx val="0"/>
          <c:order val="0"/>
          <c:tx>
            <c:strRef>
              <c:f>Entidad!$T$8</c:f>
              <c:strCache>
                <c:ptCount val="1"/>
                <c:pt idx="0">
                  <c:v>Viviendas con personas emigrantes</c:v>
                </c:pt>
              </c:strCache>
            </c:strRef>
          </c:tx>
          <c:spPr>
            <a:ln w="28575" cap="rnd">
              <a:noFill/>
              <a:round/>
            </a:ln>
            <a:effectLst/>
          </c:spPr>
          <c:marker>
            <c:symbol val="circle"/>
            <c:size val="5"/>
            <c:spPr>
              <a:solidFill>
                <a:schemeClr val="accent2"/>
              </a:solidFill>
              <a:ln w="9525">
                <a:solidFill>
                  <a:schemeClr val="accent1"/>
                </a:solidFill>
              </a:ln>
              <a:effectLst/>
            </c:spPr>
          </c:marker>
          <c:cat>
            <c:strRef>
              <c:f>Entidad!$S$9:$S$38</c:f>
              <c:strCache>
                <c:ptCount val="30"/>
                <c:pt idx="0">
                  <c:v>Guerrero</c:v>
                </c:pt>
                <c:pt idx="1">
                  <c:v>Michoacán</c:v>
                </c:pt>
                <c:pt idx="2">
                  <c:v>Jalisco</c:v>
                </c:pt>
                <c:pt idx="3">
                  <c:v>Ciudad de México</c:v>
                </c:pt>
                <c:pt idx="4">
                  <c:v>Baja California</c:v>
                </c:pt>
                <c:pt idx="5">
                  <c:v>Guanajuato</c:v>
                </c:pt>
                <c:pt idx="6">
                  <c:v>México</c:v>
                </c:pt>
                <c:pt idx="7">
                  <c:v>Tamaulipas</c:v>
                </c:pt>
                <c:pt idx="8">
                  <c:v>Chihuahua</c:v>
                </c:pt>
                <c:pt idx="9">
                  <c:v>Veracruz</c:v>
                </c:pt>
                <c:pt idx="10">
                  <c:v>Querétaro</c:v>
                </c:pt>
                <c:pt idx="11">
                  <c:v>Morelos</c:v>
                </c:pt>
                <c:pt idx="12">
                  <c:v>Nuevo León</c:v>
                </c:pt>
                <c:pt idx="13">
                  <c:v>Zacatecas</c:v>
                </c:pt>
                <c:pt idx="14">
                  <c:v>San Luis Potosí</c:v>
                </c:pt>
                <c:pt idx="15">
                  <c:v>Coahuila</c:v>
                </c:pt>
                <c:pt idx="16">
                  <c:v>Colima</c:v>
                </c:pt>
                <c:pt idx="17">
                  <c:v>Puebla</c:v>
                </c:pt>
                <c:pt idx="18">
                  <c:v>Sonora</c:v>
                </c:pt>
                <c:pt idx="19">
                  <c:v>Chiapas</c:v>
                </c:pt>
                <c:pt idx="20">
                  <c:v>Oaxaca</c:v>
                </c:pt>
                <c:pt idx="21">
                  <c:v>Sinaloa</c:v>
                </c:pt>
                <c:pt idx="22">
                  <c:v>Tabasco</c:v>
                </c:pt>
                <c:pt idx="23">
                  <c:v>Durango</c:v>
                </c:pt>
                <c:pt idx="24">
                  <c:v>Baja California Sur</c:v>
                </c:pt>
                <c:pt idx="25">
                  <c:v>Aguascalientes</c:v>
                </c:pt>
                <c:pt idx="26">
                  <c:v>Hidalgo</c:v>
                </c:pt>
                <c:pt idx="27">
                  <c:v>Tlaxcala</c:v>
                </c:pt>
                <c:pt idx="28">
                  <c:v>Quintana Roo</c:v>
                </c:pt>
                <c:pt idx="29">
                  <c:v>Yucatán</c:v>
                </c:pt>
              </c:strCache>
            </c:strRef>
          </c:cat>
          <c:val>
            <c:numRef>
              <c:f>Entidad!$T$9:$T$38</c:f>
              <c:numCache>
                <c:formatCode>#,##0</c:formatCode>
                <c:ptCount val="30"/>
                <c:pt idx="0">
                  <c:v>611</c:v>
                </c:pt>
                <c:pt idx="1">
                  <c:v>628</c:v>
                </c:pt>
                <c:pt idx="2">
                  <c:v>751</c:v>
                </c:pt>
                <c:pt idx="3">
                  <c:v>452</c:v>
                </c:pt>
                <c:pt idx="4">
                  <c:v>255</c:v>
                </c:pt>
                <c:pt idx="5">
                  <c:v>254</c:v>
                </c:pt>
                <c:pt idx="6">
                  <c:v>258</c:v>
                </c:pt>
                <c:pt idx="7">
                  <c:v>193</c:v>
                </c:pt>
                <c:pt idx="8">
                  <c:v>269</c:v>
                </c:pt>
                <c:pt idx="9">
                  <c:v>222</c:v>
                </c:pt>
                <c:pt idx="10">
                  <c:v>110</c:v>
                </c:pt>
                <c:pt idx="11">
                  <c:v>160</c:v>
                </c:pt>
                <c:pt idx="12">
                  <c:v>142</c:v>
                </c:pt>
                <c:pt idx="13">
                  <c:v>132</c:v>
                </c:pt>
                <c:pt idx="14">
                  <c:v>77</c:v>
                </c:pt>
                <c:pt idx="15">
                  <c:v>115</c:v>
                </c:pt>
                <c:pt idx="16">
                  <c:v>101</c:v>
                </c:pt>
                <c:pt idx="17">
                  <c:v>114</c:v>
                </c:pt>
                <c:pt idx="18">
                  <c:v>93</c:v>
                </c:pt>
                <c:pt idx="19">
                  <c:v>89</c:v>
                </c:pt>
                <c:pt idx="20">
                  <c:v>44</c:v>
                </c:pt>
                <c:pt idx="21">
                  <c:v>37</c:v>
                </c:pt>
                <c:pt idx="22">
                  <c:v>57</c:v>
                </c:pt>
                <c:pt idx="23">
                  <c:v>8</c:v>
                </c:pt>
                <c:pt idx="24">
                  <c:v>33</c:v>
                </c:pt>
                <c:pt idx="25">
                  <c:v>11</c:v>
                </c:pt>
                <c:pt idx="26">
                  <c:v>4</c:v>
                </c:pt>
                <c:pt idx="27">
                  <c:v>7</c:v>
                </c:pt>
                <c:pt idx="28">
                  <c:v>5</c:v>
                </c:pt>
                <c:pt idx="29">
                  <c:v>4</c:v>
                </c:pt>
              </c:numCache>
            </c:numRef>
          </c:val>
          <c:smooth val="0"/>
          <c:extLst xmlns:c16r2="http://schemas.microsoft.com/office/drawing/2015/06/chart">
            <c:ext xmlns:c16="http://schemas.microsoft.com/office/drawing/2014/chart" uri="{C3380CC4-5D6E-409C-BE32-E72D297353CC}">
              <c16:uniqueId val="{00000001-717B-470A-935D-5FA445EEF51D}"/>
            </c:ext>
          </c:extLst>
        </c:ser>
        <c:dLbls>
          <c:showLegendKey val="0"/>
          <c:showVal val="0"/>
          <c:showCatName val="0"/>
          <c:showSerName val="0"/>
          <c:showPercent val="0"/>
          <c:showBubbleSize val="0"/>
        </c:dLbls>
        <c:marker val="1"/>
        <c:smooth val="0"/>
        <c:axId val="-1475385408"/>
        <c:axId val="-1475387584"/>
      </c:lineChart>
      <c:catAx>
        <c:axId val="-1475385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ysClr val="windowText" lastClr="000000"/>
                </a:solidFill>
                <a:latin typeface="Montserrat" panose="00000500000000000000" pitchFamily="2" charset="0"/>
                <a:ea typeface="+mn-ea"/>
                <a:cs typeface="+mn-cs"/>
              </a:defRPr>
            </a:pPr>
            <a:endParaRPr lang="es-MX"/>
          </a:p>
        </c:txPr>
        <c:crossAx val="-1475387584"/>
        <c:crosses val="autoZero"/>
        <c:auto val="1"/>
        <c:lblAlgn val="ctr"/>
        <c:lblOffset val="100"/>
        <c:noMultiLvlLbl val="0"/>
      </c:catAx>
      <c:valAx>
        <c:axId val="-1475387584"/>
        <c:scaling>
          <c:orientation val="minMax"/>
          <c:max val="1200"/>
        </c:scaling>
        <c:delete val="0"/>
        <c:axPos val="l"/>
        <c:majorGridlines>
          <c:spPr>
            <a:ln w="9525" cap="flat" cmpd="sng" algn="ctr">
              <a:solidFill>
                <a:schemeClr val="tx1">
                  <a:lumMod val="15000"/>
                  <a:lumOff val="85000"/>
                </a:schemeClr>
              </a:solidFill>
              <a:prstDash val="dashDot"/>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ontserrat" panose="00000500000000000000" pitchFamily="2" charset="0"/>
                <a:ea typeface="+mn-ea"/>
                <a:cs typeface="+mn-cs"/>
              </a:defRPr>
            </a:pPr>
            <a:endParaRPr lang="es-MX"/>
          </a:p>
        </c:txPr>
        <c:crossAx val="-1475385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ontserrat" panose="00000500000000000000" pitchFamily="2" charset="0"/>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Montserrat" panose="00000500000000000000" pitchFamily="2" charset="0"/>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Hoja1!$D$1</c:f>
              <c:strCache>
                <c:ptCount val="1"/>
                <c:pt idx="0">
                  <c:v>Viviendas Deshabitadas</c:v>
                </c:pt>
              </c:strCache>
            </c:strRef>
          </c:tx>
          <c:spPr>
            <a:ln w="19050" cap="rnd">
              <a:noFill/>
              <a:round/>
            </a:ln>
            <a:effectLst/>
          </c:spPr>
          <c:marker>
            <c:symbol val="circle"/>
            <c:size val="4"/>
            <c:spPr>
              <a:solidFill>
                <a:schemeClr val="accent3"/>
              </a:solidFill>
              <a:ln w="9525">
                <a:solidFill>
                  <a:schemeClr val="accent3"/>
                </a:solidFill>
              </a:ln>
              <a:effectLst/>
            </c:spPr>
          </c:marker>
          <c:dLbls>
            <c:dLbl>
              <c:idx val="0"/>
              <c:layout>
                <c:manualLayout>
                  <c:x val="-3.6674815213799263E-2"/>
                  <c:y val="1.8181818181818181E-2"/>
                </c:manualLayout>
              </c:layout>
              <c:tx>
                <c:rich>
                  <a:bodyPr/>
                  <a:lstStyle/>
                  <a:p>
                    <a:r>
                      <a:rPr lang="en-US"/>
                      <a:t>Acapulco de Juárez</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84D-4B01-A53D-76337C067BC8}"/>
                </c:ext>
                <c:ext xmlns:c15="http://schemas.microsoft.com/office/drawing/2012/chart" uri="{CE6537A1-D6FC-4f65-9D91-7224C49458BB}"/>
              </c:extLst>
            </c:dLbl>
            <c:dLbl>
              <c:idx val="1"/>
              <c:layout>
                <c:manualLayout>
                  <c:x val="-1.907090391117567E-2"/>
                  <c:y val="1.6161616161616089E-2"/>
                </c:manualLayout>
              </c:layout>
              <c:tx>
                <c:rich>
                  <a:bodyPr/>
                  <a:lstStyle/>
                  <a:p>
                    <a:r>
                      <a:rPr lang="en-US"/>
                      <a:t>Zapopan</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84D-4B01-A53D-76337C067BC8}"/>
                </c:ext>
                <c:ext xmlns:c15="http://schemas.microsoft.com/office/drawing/2012/chart" uri="{CE6537A1-D6FC-4f65-9D91-7224C49458BB}"/>
              </c:extLst>
            </c:dLbl>
            <c:dLbl>
              <c:idx val="2"/>
              <c:layout>
                <c:manualLayout>
                  <c:x val="-3.8141807822351124E-2"/>
                  <c:y val="-2.0202020202020204E-2"/>
                </c:manualLayout>
              </c:layout>
              <c:tx>
                <c:rich>
                  <a:bodyPr/>
                  <a:lstStyle/>
                  <a:p>
                    <a:r>
                      <a:rPr lang="en-US"/>
                      <a:t>Tijuana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84D-4B01-A53D-76337C067BC8}"/>
                </c:ext>
                <c:ext xmlns:c15="http://schemas.microsoft.com/office/drawing/2012/chart" uri="{CE6537A1-D6FC-4f65-9D91-7224C49458BB}"/>
              </c:extLst>
            </c:dLbl>
            <c:dLbl>
              <c:idx val="3"/>
              <c:layout>
                <c:manualLayout>
                  <c:x val="-5.4278726516422751E-2"/>
                  <c:y val="1.8181818181818181E-2"/>
                </c:manualLayout>
              </c:layout>
              <c:tx>
                <c:rich>
                  <a:bodyPr/>
                  <a:lstStyle/>
                  <a:p>
                    <a:r>
                      <a:rPr lang="en-US"/>
                      <a:t>Guadalajara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84D-4B01-A53D-76337C067BC8}"/>
                </c:ext>
                <c:ext xmlns:c15="http://schemas.microsoft.com/office/drawing/2012/chart" uri="{CE6537A1-D6FC-4f65-9D91-7224C49458BB}"/>
              </c:extLst>
            </c:dLbl>
            <c:dLbl>
              <c:idx val="4"/>
              <c:tx>
                <c:rich>
                  <a:bodyPr/>
                  <a:lstStyle/>
                  <a:p>
                    <a:r>
                      <a:rPr lang="en-US"/>
                      <a:t>Chihuahua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484D-4B01-A53D-76337C067BC8}"/>
                </c:ext>
                <c:ext xmlns:c15="http://schemas.microsoft.com/office/drawing/2012/chart" uri="{CE6537A1-D6FC-4f65-9D91-7224C49458BB}"/>
              </c:extLst>
            </c:dLbl>
            <c:dLbl>
              <c:idx val="5"/>
              <c:tx>
                <c:rich>
                  <a:bodyPr/>
                  <a:lstStyle/>
                  <a:p>
                    <a:r>
                      <a:rPr lang="en-US"/>
                      <a:t>Morelia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84D-4B01-A53D-76337C067BC8}"/>
                </c:ext>
                <c:ext xmlns:c15="http://schemas.microsoft.com/office/drawing/2012/chart" uri="{CE6537A1-D6FC-4f65-9D91-7224C49458BB}"/>
              </c:extLst>
            </c:dLbl>
            <c:dLbl>
              <c:idx val="6"/>
              <c:tx>
                <c:rich>
                  <a:bodyPr/>
                  <a:lstStyle/>
                  <a:p>
                    <a:r>
                      <a:rPr lang="en-US"/>
                      <a:t>Chilpancingo de los Bravo</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484D-4B01-A53D-76337C067BC8}"/>
                </c:ext>
                <c:ext xmlns:c15="http://schemas.microsoft.com/office/drawing/2012/chart" uri="{CE6537A1-D6FC-4f65-9D91-7224C49458BB}"/>
              </c:extLst>
            </c:dLbl>
            <c:dLbl>
              <c:idx val="7"/>
              <c:tx>
                <c:rich>
                  <a:bodyPr/>
                  <a:lstStyle/>
                  <a:p>
                    <a:r>
                      <a:rPr lang="en-US"/>
                      <a:t>Tlajomulco de Zúñiga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84D-4B01-A53D-76337C067BC8}"/>
                </c:ext>
                <c:ext xmlns:c15="http://schemas.microsoft.com/office/drawing/2012/chart" uri="{CE6537A1-D6FC-4f65-9D91-7224C49458BB}"/>
              </c:extLst>
            </c:dLbl>
            <c:dLbl>
              <c:idx val="8"/>
              <c:tx>
                <c:rich>
                  <a:bodyPr/>
                  <a:lstStyle/>
                  <a:p>
                    <a:r>
                      <a:rPr lang="en-US"/>
                      <a:t>Querétaro</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484D-4B01-A53D-76337C067BC8}"/>
                </c:ext>
                <c:ext xmlns:c15="http://schemas.microsoft.com/office/drawing/2012/chart" uri="{CE6537A1-D6FC-4f65-9D91-7224C49458BB}"/>
              </c:extLst>
            </c:dLbl>
            <c:dLbl>
              <c:idx val="9"/>
              <c:layout>
                <c:manualLayout>
                  <c:x val="7.3349630427598317E-2"/>
                  <c:y val="-1.48146436747869E-16"/>
                </c:manualLayout>
              </c:layout>
              <c:tx>
                <c:rich>
                  <a:bodyPr/>
                  <a:lstStyle/>
                  <a:p>
                    <a:r>
                      <a:rPr lang="en-US"/>
                      <a:t>Buenavista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84D-4B01-A53D-76337C067BC8}"/>
                </c:ext>
                <c:ext xmlns:c15="http://schemas.microsoft.com/office/drawing/2012/chart" uri="{CE6537A1-D6FC-4f65-9D91-7224C49458BB}"/>
              </c:extLst>
            </c:dLbl>
            <c:dLbl>
              <c:idx val="10"/>
              <c:layout>
                <c:manualLayout>
                  <c:x val="0.13789730520388482"/>
                  <c:y val="-5.2525252525252523E-2"/>
                </c:manualLayout>
              </c:layout>
              <c:tx>
                <c:rich>
                  <a:bodyPr/>
                  <a:lstStyle/>
                  <a:p>
                    <a:r>
                      <a:rPr lang="en-US"/>
                      <a:t>Benito Juárez</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484D-4B01-A53D-76337C067BC8}"/>
                </c:ext>
                <c:ext xmlns:c15="http://schemas.microsoft.com/office/drawing/2012/chart" uri="{CE6537A1-D6FC-4f65-9D91-7224C49458BB}"/>
              </c:extLst>
            </c:dLbl>
            <c:dLbl>
              <c:idx val="11"/>
              <c:layout>
                <c:manualLayout>
                  <c:x val="0.1839845121192844"/>
                  <c:y val="0"/>
                </c:manualLayout>
              </c:layout>
              <c:tx>
                <c:rich>
                  <a:bodyPr/>
                  <a:lstStyle/>
                  <a:p>
                    <a:r>
                      <a:rPr lang="en-US"/>
                      <a:t>Coyuca de Catalán</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84D-4B01-A53D-76337C067BC8}"/>
                </c:ext>
                <c:ext xmlns:c15="http://schemas.microsoft.com/office/drawing/2012/chart" uri="{CE6537A1-D6FC-4f65-9D91-7224C49458BB}"/>
              </c:extLst>
            </c:dLbl>
            <c:dLbl>
              <c:idx val="12"/>
              <c:layout>
                <c:manualLayout>
                  <c:x val="-1.613691869407163E-2"/>
                  <c:y val="-3.8383838383838381E-2"/>
                </c:manualLayout>
              </c:layout>
              <c:tx>
                <c:rich>
                  <a:bodyPr/>
                  <a:lstStyle/>
                  <a:p>
                    <a:r>
                      <a:rPr lang="en-US"/>
                      <a:t>Nuevo Laredo</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484D-4B01-A53D-76337C067BC8}"/>
                </c:ext>
                <c:ext xmlns:c15="http://schemas.microsoft.com/office/drawing/2012/chart" uri="{CE6537A1-D6FC-4f65-9D91-7224C49458BB}"/>
              </c:extLst>
            </c:dLbl>
            <c:dLbl>
              <c:idx val="13"/>
              <c:layout>
                <c:manualLayout>
                  <c:x val="1.4669926085519662E-2"/>
                  <c:y val="-5.6565656565656569E-2"/>
                </c:manualLayout>
              </c:layout>
              <c:tx>
                <c:rich>
                  <a:bodyPr/>
                  <a:lstStyle/>
                  <a:p>
                    <a:r>
                      <a:rPr lang="en-US"/>
                      <a:t>Ixtapaluca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484D-4B01-A53D-76337C067BC8}"/>
                </c:ext>
                <c:ext xmlns:c15="http://schemas.microsoft.com/office/drawing/2012/chart" uri="{CE6537A1-D6FC-4f65-9D91-7224C49458BB}"/>
              </c:extLst>
            </c:dLbl>
            <c:dLbl>
              <c:idx val="14"/>
              <c:layout>
                <c:manualLayout>
                  <c:x val="-6.8902359710127883E-2"/>
                  <c:y val="-5.8163743234991919E-2"/>
                </c:manualLayout>
              </c:layout>
              <c:tx>
                <c:rich>
                  <a:bodyPr/>
                  <a:lstStyle/>
                  <a:p>
                    <a:r>
                      <a:rPr lang="en-US"/>
                      <a:t>Tonalá</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484D-4B01-A53D-76337C067BC8}"/>
                </c:ext>
                <c:ext xmlns:c15="http://schemas.microsoft.com/office/drawing/2012/chart" uri="{CE6537A1-D6FC-4f65-9D91-7224C49458BB}"/>
              </c:extLst>
            </c:dLbl>
            <c:dLbl>
              <c:idx val="15"/>
              <c:layout>
                <c:manualLayout>
                  <c:x val="0.16723715737492409"/>
                  <c:y val="-1.2121212121212121E-2"/>
                </c:manualLayout>
              </c:layout>
              <c:tx>
                <c:rich>
                  <a:bodyPr/>
                  <a:lstStyle/>
                  <a:p>
                    <a:r>
                      <a:rPr lang="en-US"/>
                      <a:t>Apatzingán</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484D-4B01-A53D-76337C067BC8}"/>
                </c:ext>
                <c:ext xmlns:c15="http://schemas.microsoft.com/office/drawing/2012/chart" uri="{CE6537A1-D6FC-4f65-9D91-7224C49458BB}"/>
              </c:extLst>
            </c:dLbl>
            <c:dLbl>
              <c:idx val="16"/>
              <c:layout>
                <c:manualLayout>
                  <c:x val="0.16136918694071628"/>
                  <c:y val="-6.4646464646464646E-2"/>
                </c:manualLayout>
              </c:layout>
              <c:tx>
                <c:rich>
                  <a:bodyPr/>
                  <a:lstStyle/>
                  <a:p>
                    <a:r>
                      <a:rPr lang="en-US"/>
                      <a:t>Álvaro Obregón</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484D-4B01-A53D-76337C067BC8}"/>
                </c:ext>
                <c:ext xmlns:c15="http://schemas.microsoft.com/office/drawing/2012/chart" uri="{CE6537A1-D6FC-4f65-9D91-7224C49458BB}"/>
              </c:extLst>
            </c:dLbl>
            <c:dLbl>
              <c:idx val="19"/>
              <c:layout>
                <c:manualLayout>
                  <c:x val="0.17750610563478791"/>
                  <c:y val="-4.0404040404040407E-2"/>
                </c:manualLayout>
              </c:layout>
              <c:tx>
                <c:rich>
                  <a:bodyPr/>
                  <a:lstStyle/>
                  <a:p>
                    <a:r>
                      <a:rPr lang="en-US"/>
                      <a:t>Coyoacán</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484D-4B01-A53D-76337C067BC8}"/>
                </c:ext>
                <c:ext xmlns:c15="http://schemas.microsoft.com/office/drawing/2012/chart" uri="{CE6537A1-D6FC-4f65-9D91-7224C49458BB}"/>
              </c:extLst>
            </c:dLbl>
            <c:dLbl>
              <c:idx val="21"/>
              <c:layout>
                <c:manualLayout>
                  <c:x val="0.25646680510863318"/>
                  <c:y val="-3.4974498502089585E-2"/>
                </c:manualLayout>
              </c:layout>
              <c:tx>
                <c:rich>
                  <a:bodyPr/>
                  <a:lstStyle/>
                  <a:p>
                    <a:r>
                      <a:rPr lang="en-US"/>
                      <a:t>Zihuatanejo de Azueta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484D-4B01-A53D-76337C067BC8}"/>
                </c:ext>
                <c:ext xmlns:c15="http://schemas.microsoft.com/office/drawing/2012/chart" uri="{CE6537A1-D6FC-4f65-9D91-7224C49458BB}">
                  <c15:layout>
                    <c:manualLayout>
                      <c:w val="0.20789432889116966"/>
                      <c:h val="2.7657143137394341E-2"/>
                    </c:manualLayout>
                  </c15:layout>
                </c:ext>
              </c:extLst>
            </c:dLbl>
            <c:dLbl>
              <c:idx val="28"/>
              <c:layout>
                <c:manualLayout>
                  <c:x val="-5.4107442272363609E-2"/>
                  <c:y val="-8.6360370478448842E-2"/>
                </c:manualLayout>
              </c:layout>
              <c:tx>
                <c:rich>
                  <a:bodyPr/>
                  <a:lstStyle/>
                  <a:p>
                    <a:r>
                      <a:rPr lang="en-US"/>
                      <a:t>Irapuato</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484D-4B01-A53D-76337C067BC8}"/>
                </c:ext>
                <c:ext xmlns:c15="http://schemas.microsoft.com/office/drawing/2012/chart" uri="{CE6537A1-D6FC-4f65-9D91-7224C49458BB}"/>
              </c:extLst>
            </c:dLbl>
            <c:dLbl>
              <c:idx val="31"/>
              <c:layout>
                <c:manualLayout>
                  <c:x val="-1.3577732518669382E-2"/>
                  <c:y val="1.2457178449081284E-2"/>
                </c:manualLayout>
              </c:layout>
              <c:tx>
                <c:rich>
                  <a:bodyPr/>
                  <a:lstStyle/>
                  <a:p>
                    <a:r>
                      <a:rPr lang="en-US"/>
                      <a:t>Cuernavaca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484D-4B01-A53D-76337C067BC8}"/>
                </c:ext>
                <c:ext xmlns:c15="http://schemas.microsoft.com/office/drawing/2012/chart" uri="{CE6537A1-D6FC-4f65-9D91-7224C49458BB}"/>
              </c:extLst>
            </c:dLbl>
            <c:dLbl>
              <c:idx val="32"/>
              <c:layout>
                <c:manualLayout>
                  <c:x val="0.1217603865098132"/>
                  <c:y val="-4.2424242424242427E-2"/>
                </c:manualLayout>
              </c:layout>
              <c:tx>
                <c:rich>
                  <a:bodyPr/>
                  <a:lstStyle/>
                  <a:p>
                    <a:r>
                      <a:rPr lang="en-US"/>
                      <a:t>Apaseo el Grande</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484D-4B01-A53D-76337C067BC8}"/>
                </c:ext>
                <c:ext xmlns:c15="http://schemas.microsoft.com/office/drawing/2012/chart" uri="{CE6537A1-D6FC-4f65-9D91-7224C49458BB}"/>
              </c:extLst>
            </c:dLbl>
            <c:dLbl>
              <c:idx val="34"/>
              <c:layout>
                <c:manualLayout>
                  <c:x val="-0.10373530192636307"/>
                  <c:y val="-4.4444417197772534E-2"/>
                </c:manualLayout>
              </c:layout>
              <c:tx>
                <c:rich>
                  <a:bodyPr/>
                  <a:lstStyle/>
                  <a:p>
                    <a:r>
                      <a:rPr lang="en-US"/>
                      <a:t>Emiliano Zapata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484D-4B01-A53D-76337C067BC8}"/>
                </c:ext>
                <c:ext xmlns:c15="http://schemas.microsoft.com/office/drawing/2012/chart" uri="{CE6537A1-D6FC-4f65-9D91-7224C49458BB}"/>
              </c:extLst>
            </c:dLbl>
            <c:dLbl>
              <c:idx val="42"/>
              <c:layout>
                <c:manualLayout>
                  <c:x val="-7.8500141657445593E-2"/>
                  <c:y val="-3.7625828537237893E-2"/>
                </c:manualLayout>
              </c:layout>
              <c:tx>
                <c:rich>
                  <a:bodyPr/>
                  <a:lstStyle/>
                  <a:p>
                    <a:r>
                      <a:rPr lang="en-US"/>
                      <a:t>Tapachula</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484D-4B01-A53D-76337C067BC8}"/>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500" b="0" i="0" u="none" strike="noStrike" kern="1200" baseline="0">
                    <a:solidFill>
                      <a:sysClr val="windowText" lastClr="000000"/>
                    </a:solidFill>
                    <a:latin typeface="Montserrat" panose="00000500000000000000" pitchFamily="2" charset="0"/>
                    <a:ea typeface="+mn-ea"/>
                    <a:cs typeface="+mn-cs"/>
                  </a:defRPr>
                </a:pPr>
                <a:endParaRPr lang="es-MX"/>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25400" cap="rnd">
                <a:solidFill>
                  <a:schemeClr val="accent2"/>
                </a:solidFill>
                <a:prstDash val="sysDot"/>
              </a:ln>
              <a:effectLst/>
            </c:spPr>
            <c:trendlineType val="linear"/>
            <c:dispRSqr val="0"/>
            <c:dispEq val="0"/>
          </c:trendline>
          <c:xVal>
            <c:numRef>
              <c:f>Hoja1!$C$2:$C$69</c:f>
              <c:numCache>
                <c:formatCode>General</c:formatCode>
                <c:ptCount val="68"/>
                <c:pt idx="0">
                  <c:v>364</c:v>
                </c:pt>
                <c:pt idx="1">
                  <c:v>321</c:v>
                </c:pt>
                <c:pt idx="2">
                  <c:v>297</c:v>
                </c:pt>
                <c:pt idx="3">
                  <c:v>277</c:v>
                </c:pt>
                <c:pt idx="4">
                  <c:v>223</c:v>
                </c:pt>
                <c:pt idx="5">
                  <c:v>217</c:v>
                </c:pt>
                <c:pt idx="6">
                  <c:v>204</c:v>
                </c:pt>
                <c:pt idx="7">
                  <c:v>179</c:v>
                </c:pt>
                <c:pt idx="8">
                  <c:v>131</c:v>
                </c:pt>
                <c:pt idx="9">
                  <c:v>113</c:v>
                </c:pt>
                <c:pt idx="10">
                  <c:v>94</c:v>
                </c:pt>
                <c:pt idx="11">
                  <c:v>90</c:v>
                </c:pt>
                <c:pt idx="12">
                  <c:v>89</c:v>
                </c:pt>
                <c:pt idx="13">
                  <c:v>80</c:v>
                </c:pt>
                <c:pt idx="14">
                  <c:v>79</c:v>
                </c:pt>
                <c:pt idx="15">
                  <c:v>79</c:v>
                </c:pt>
                <c:pt idx="16">
                  <c:v>77</c:v>
                </c:pt>
                <c:pt idx="17">
                  <c:v>76</c:v>
                </c:pt>
                <c:pt idx="18">
                  <c:v>71</c:v>
                </c:pt>
                <c:pt idx="19">
                  <c:v>66</c:v>
                </c:pt>
                <c:pt idx="20">
                  <c:v>64</c:v>
                </c:pt>
                <c:pt idx="21">
                  <c:v>61</c:v>
                </c:pt>
                <c:pt idx="22">
                  <c:v>60</c:v>
                </c:pt>
                <c:pt idx="23">
                  <c:v>55</c:v>
                </c:pt>
                <c:pt idx="24">
                  <c:v>55</c:v>
                </c:pt>
                <c:pt idx="25">
                  <c:v>53</c:v>
                </c:pt>
                <c:pt idx="26">
                  <c:v>50</c:v>
                </c:pt>
                <c:pt idx="27">
                  <c:v>49</c:v>
                </c:pt>
                <c:pt idx="28">
                  <c:v>48</c:v>
                </c:pt>
                <c:pt idx="29">
                  <c:v>45</c:v>
                </c:pt>
                <c:pt idx="30">
                  <c:v>45</c:v>
                </c:pt>
                <c:pt idx="31">
                  <c:v>44</c:v>
                </c:pt>
                <c:pt idx="32">
                  <c:v>42</c:v>
                </c:pt>
                <c:pt idx="33">
                  <c:v>40</c:v>
                </c:pt>
                <c:pt idx="34">
                  <c:v>40</c:v>
                </c:pt>
                <c:pt idx="35">
                  <c:v>39</c:v>
                </c:pt>
                <c:pt idx="36">
                  <c:v>39</c:v>
                </c:pt>
                <c:pt idx="37">
                  <c:v>37</c:v>
                </c:pt>
                <c:pt idx="38">
                  <c:v>36</c:v>
                </c:pt>
                <c:pt idx="39">
                  <c:v>35</c:v>
                </c:pt>
                <c:pt idx="40">
                  <c:v>34</c:v>
                </c:pt>
                <c:pt idx="41">
                  <c:v>34</c:v>
                </c:pt>
                <c:pt idx="42">
                  <c:v>33</c:v>
                </c:pt>
                <c:pt idx="43">
                  <c:v>33</c:v>
                </c:pt>
                <c:pt idx="44">
                  <c:v>31</c:v>
                </c:pt>
                <c:pt idx="45">
                  <c:v>29</c:v>
                </c:pt>
                <c:pt idx="46">
                  <c:v>29</c:v>
                </c:pt>
                <c:pt idx="47">
                  <c:v>27</c:v>
                </c:pt>
                <c:pt idx="48">
                  <c:v>23</c:v>
                </c:pt>
                <c:pt idx="49">
                  <c:v>19</c:v>
                </c:pt>
                <c:pt idx="50">
                  <c:v>17</c:v>
                </c:pt>
                <c:pt idx="51">
                  <c:v>16</c:v>
                </c:pt>
                <c:pt idx="52">
                  <c:v>16</c:v>
                </c:pt>
                <c:pt idx="53">
                  <c:v>15</c:v>
                </c:pt>
                <c:pt idx="54">
                  <c:v>15</c:v>
                </c:pt>
                <c:pt idx="55">
                  <c:v>13</c:v>
                </c:pt>
                <c:pt idx="56">
                  <c:v>12</c:v>
                </c:pt>
                <c:pt idx="57">
                  <c:v>12</c:v>
                </c:pt>
                <c:pt idx="58">
                  <c:v>11</c:v>
                </c:pt>
                <c:pt idx="59">
                  <c:v>11</c:v>
                </c:pt>
                <c:pt idx="60">
                  <c:v>11</c:v>
                </c:pt>
                <c:pt idx="61">
                  <c:v>10</c:v>
                </c:pt>
                <c:pt idx="62">
                  <c:v>8</c:v>
                </c:pt>
                <c:pt idx="63">
                  <c:v>8</c:v>
                </c:pt>
                <c:pt idx="64">
                  <c:v>8</c:v>
                </c:pt>
                <c:pt idx="65">
                  <c:v>7</c:v>
                </c:pt>
                <c:pt idx="66">
                  <c:v>7</c:v>
                </c:pt>
                <c:pt idx="67">
                  <c:v>6</c:v>
                </c:pt>
              </c:numCache>
            </c:numRef>
          </c:xVal>
          <c:yVal>
            <c:numRef>
              <c:f>Hoja1!$D$2:$D$69</c:f>
              <c:numCache>
                <c:formatCode>General</c:formatCode>
                <c:ptCount val="68"/>
                <c:pt idx="0">
                  <c:v>56360</c:v>
                </c:pt>
                <c:pt idx="1">
                  <c:v>53505</c:v>
                </c:pt>
                <c:pt idx="2">
                  <c:v>45011</c:v>
                </c:pt>
                <c:pt idx="3">
                  <c:v>44990</c:v>
                </c:pt>
                <c:pt idx="4">
                  <c:v>37824</c:v>
                </c:pt>
                <c:pt idx="5">
                  <c:v>61254</c:v>
                </c:pt>
                <c:pt idx="6">
                  <c:v>15622</c:v>
                </c:pt>
                <c:pt idx="7">
                  <c:v>77709</c:v>
                </c:pt>
                <c:pt idx="8">
                  <c:v>41037</c:v>
                </c:pt>
                <c:pt idx="9">
                  <c:v>2681</c:v>
                </c:pt>
                <c:pt idx="10">
                  <c:v>18203</c:v>
                </c:pt>
                <c:pt idx="11">
                  <c:v>5012</c:v>
                </c:pt>
                <c:pt idx="12">
                  <c:v>19040</c:v>
                </c:pt>
                <c:pt idx="13">
                  <c:v>22545</c:v>
                </c:pt>
                <c:pt idx="14">
                  <c:v>21715</c:v>
                </c:pt>
                <c:pt idx="15">
                  <c:v>7207</c:v>
                </c:pt>
                <c:pt idx="16">
                  <c:v>12797</c:v>
                </c:pt>
                <c:pt idx="17">
                  <c:v>2112</c:v>
                </c:pt>
                <c:pt idx="18">
                  <c:v>2093</c:v>
                </c:pt>
                <c:pt idx="19">
                  <c:v>12076</c:v>
                </c:pt>
                <c:pt idx="20">
                  <c:v>8445</c:v>
                </c:pt>
                <c:pt idx="21">
                  <c:v>7995</c:v>
                </c:pt>
                <c:pt idx="22">
                  <c:v>6264</c:v>
                </c:pt>
                <c:pt idx="23">
                  <c:v>14512</c:v>
                </c:pt>
                <c:pt idx="24">
                  <c:v>2040</c:v>
                </c:pt>
                <c:pt idx="25">
                  <c:v>13723</c:v>
                </c:pt>
                <c:pt idx="26">
                  <c:v>3535</c:v>
                </c:pt>
                <c:pt idx="27">
                  <c:v>3126</c:v>
                </c:pt>
                <c:pt idx="28">
                  <c:v>23103</c:v>
                </c:pt>
                <c:pt idx="29">
                  <c:v>2131</c:v>
                </c:pt>
                <c:pt idx="30">
                  <c:v>3913</c:v>
                </c:pt>
                <c:pt idx="31">
                  <c:v>19865</c:v>
                </c:pt>
                <c:pt idx="32">
                  <c:v>8022</c:v>
                </c:pt>
                <c:pt idx="33">
                  <c:v>3757</c:v>
                </c:pt>
                <c:pt idx="34">
                  <c:v>10079</c:v>
                </c:pt>
                <c:pt idx="35">
                  <c:v>2253</c:v>
                </c:pt>
                <c:pt idx="36">
                  <c:v>1640</c:v>
                </c:pt>
                <c:pt idx="37">
                  <c:v>1277</c:v>
                </c:pt>
                <c:pt idx="38">
                  <c:v>1981</c:v>
                </c:pt>
                <c:pt idx="39">
                  <c:v>4396</c:v>
                </c:pt>
                <c:pt idx="40">
                  <c:v>3566</c:v>
                </c:pt>
                <c:pt idx="41">
                  <c:v>2362</c:v>
                </c:pt>
                <c:pt idx="42">
                  <c:v>19883</c:v>
                </c:pt>
                <c:pt idx="43">
                  <c:v>1413</c:v>
                </c:pt>
                <c:pt idx="44">
                  <c:v>3375</c:v>
                </c:pt>
                <c:pt idx="45">
                  <c:v>1884</c:v>
                </c:pt>
                <c:pt idx="46">
                  <c:v>1387</c:v>
                </c:pt>
                <c:pt idx="47">
                  <c:v>3606</c:v>
                </c:pt>
                <c:pt idx="48">
                  <c:v>2142</c:v>
                </c:pt>
                <c:pt idx="49">
                  <c:v>2002</c:v>
                </c:pt>
                <c:pt idx="50">
                  <c:v>2364</c:v>
                </c:pt>
                <c:pt idx="51">
                  <c:v>1464</c:v>
                </c:pt>
                <c:pt idx="52">
                  <c:v>1058</c:v>
                </c:pt>
                <c:pt idx="53">
                  <c:v>4211</c:v>
                </c:pt>
                <c:pt idx="54">
                  <c:v>1142</c:v>
                </c:pt>
                <c:pt idx="55">
                  <c:v>2061</c:v>
                </c:pt>
                <c:pt idx="56">
                  <c:v>829</c:v>
                </c:pt>
                <c:pt idx="57">
                  <c:v>971</c:v>
                </c:pt>
                <c:pt idx="58">
                  <c:v>4908</c:v>
                </c:pt>
                <c:pt idx="59">
                  <c:v>2168</c:v>
                </c:pt>
                <c:pt idx="60">
                  <c:v>2795</c:v>
                </c:pt>
                <c:pt idx="61">
                  <c:v>1981</c:v>
                </c:pt>
                <c:pt idx="62">
                  <c:v>961</c:v>
                </c:pt>
                <c:pt idx="63">
                  <c:v>1590</c:v>
                </c:pt>
                <c:pt idx="64">
                  <c:v>1432</c:v>
                </c:pt>
                <c:pt idx="65">
                  <c:v>361</c:v>
                </c:pt>
                <c:pt idx="66">
                  <c:v>1035</c:v>
                </c:pt>
                <c:pt idx="67">
                  <c:v>1467</c:v>
                </c:pt>
              </c:numCache>
            </c:numRef>
          </c:yVal>
          <c:smooth val="0"/>
          <c:extLst xmlns:c16r2="http://schemas.microsoft.com/office/drawing/2015/06/chart">
            <c:ext xmlns:c16="http://schemas.microsoft.com/office/drawing/2014/chart" uri="{C3380CC4-5D6E-409C-BE32-E72D297353CC}">
              <c16:uniqueId val="{00000018-484D-4B01-A53D-76337C067BC8}"/>
            </c:ext>
          </c:extLst>
        </c:ser>
        <c:dLbls>
          <c:showLegendKey val="0"/>
          <c:showVal val="0"/>
          <c:showCatName val="0"/>
          <c:showSerName val="0"/>
          <c:showPercent val="0"/>
          <c:showBubbleSize val="0"/>
        </c:dLbls>
        <c:axId val="-1475384864"/>
        <c:axId val="-1501177904"/>
      </c:scatterChart>
      <c:valAx>
        <c:axId val="-1475384864"/>
        <c:scaling>
          <c:orientation val="minMax"/>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Montserrat" panose="00000500000000000000" pitchFamily="2" charset="0"/>
                    <a:ea typeface="+mn-ea"/>
                    <a:cs typeface="+mn-cs"/>
                  </a:defRPr>
                </a:pPr>
                <a:r>
                  <a:rPr lang="es-MX"/>
                  <a:t>Personas emigrantes</a:t>
                </a:r>
              </a:p>
            </c:rich>
          </c:tx>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ontserrat" panose="00000500000000000000" pitchFamily="2" charset="0"/>
                  <a:ea typeface="+mn-ea"/>
                  <a:cs typeface="+mn-cs"/>
                </a:defRPr>
              </a:pPr>
              <a:endParaRPr lang="es-MX"/>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ontserrat" panose="00000500000000000000" pitchFamily="2" charset="0"/>
                <a:ea typeface="+mn-ea"/>
                <a:cs typeface="+mn-cs"/>
              </a:defRPr>
            </a:pPr>
            <a:endParaRPr lang="es-MX"/>
          </a:p>
        </c:txPr>
        <c:crossAx val="-1501177904"/>
        <c:crosses val="autoZero"/>
        <c:crossBetween val="midCat"/>
      </c:valAx>
      <c:valAx>
        <c:axId val="-1501177904"/>
        <c:scaling>
          <c:orientation val="minMax"/>
        </c:scaling>
        <c:delete val="0"/>
        <c:axPos val="l"/>
        <c:majorGridlines>
          <c:spPr>
            <a:ln w="9525" cap="flat" cmpd="sng" algn="ctr">
              <a:solidFill>
                <a:schemeClr val="tx1">
                  <a:lumMod val="15000"/>
                  <a:lumOff val="85000"/>
                </a:schemeClr>
              </a:solidFill>
              <a:prstDash val="dashDot"/>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Montserrat" panose="00000500000000000000" pitchFamily="2" charset="0"/>
                    <a:ea typeface="+mn-ea"/>
                    <a:cs typeface="+mn-cs"/>
                  </a:defRPr>
                </a:pPr>
                <a:r>
                  <a:rPr lang="es-MX"/>
                  <a:t>Viviendas Deshabitadas</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Montserrat" panose="00000500000000000000" pitchFamily="2" charset="0"/>
                  <a:ea typeface="+mn-ea"/>
                  <a:cs typeface="+mn-cs"/>
                </a:defRPr>
              </a:pPr>
              <a:endParaRPr lang="es-MX"/>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ontserrat" panose="00000500000000000000" pitchFamily="2" charset="0"/>
                <a:ea typeface="+mn-ea"/>
                <a:cs typeface="+mn-cs"/>
              </a:defRPr>
            </a:pPr>
            <a:endParaRPr lang="es-MX"/>
          </a:p>
        </c:txPr>
        <c:crossAx val="-147538486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ontserrat" panose="00000500000000000000" pitchFamily="2" charset="0"/>
              <a:ea typeface="+mn-ea"/>
              <a:cs typeface="+mn-cs"/>
            </a:defRPr>
          </a:pPr>
          <a:endParaRPr lang="es-MX"/>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Montserrat" panose="00000500000000000000" pitchFamily="2" charset="0"/>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D7EF7-D2C6-4444-8531-E26199510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2201</Words>
  <Characters>12108</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Guzmán García</dc:creator>
  <cp:keywords/>
  <dc:description/>
  <cp:lastModifiedBy>Berlanga Vasile, Ingrid</cp:lastModifiedBy>
  <cp:revision>4</cp:revision>
  <cp:lastPrinted>2021-09-30T16:51:00Z</cp:lastPrinted>
  <dcterms:created xsi:type="dcterms:W3CDTF">2022-05-02T17:20:00Z</dcterms:created>
  <dcterms:modified xsi:type="dcterms:W3CDTF">2022-05-02T17:54:00Z</dcterms:modified>
</cp:coreProperties>
</file>