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1DF5" w14:textId="77777777" w:rsidR="00607DDB" w:rsidRPr="00B343DE" w:rsidRDefault="00607DDB" w:rsidP="00607DDB">
      <w:pPr>
        <w:spacing w:line="240" w:lineRule="auto"/>
        <w:jc w:val="center"/>
        <w:outlineLvl w:val="0"/>
        <w:rPr>
          <w:rFonts w:asciiTheme="minorHAnsi" w:eastAsia="ヒラギノ角ゴ Pro W3" w:hAnsiTheme="minorHAnsi" w:cstheme="minorHAnsi"/>
          <w:b/>
          <w:bCs/>
          <w:color w:val="000000"/>
          <w:szCs w:val="24"/>
          <w:lang w:bidi="th-TH"/>
        </w:rPr>
      </w:pPr>
      <w:r w:rsidRPr="00B343DE">
        <w:rPr>
          <w:rFonts w:asciiTheme="minorHAnsi" w:eastAsia="ヒラギノ角ゴ Pro W3" w:hAnsiTheme="minorHAnsi" w:cstheme="minorHAnsi"/>
          <w:b/>
          <w:bCs/>
          <w:color w:val="000000"/>
          <w:szCs w:val="24"/>
          <w:lang w:bidi="th-TH"/>
        </w:rPr>
        <w:t>31</w:t>
      </w:r>
      <w:r w:rsidRPr="00B343DE">
        <w:rPr>
          <w:rFonts w:asciiTheme="minorHAnsi" w:eastAsia="ヒラギノ角ゴ Pro W3" w:hAnsiTheme="minorHAnsi" w:cstheme="minorHAnsi"/>
          <w:b/>
          <w:bCs/>
          <w:color w:val="000000"/>
          <w:szCs w:val="24"/>
          <w:vertAlign w:val="superscript"/>
          <w:lang w:bidi="th-TH"/>
        </w:rPr>
        <w:t>st</w:t>
      </w:r>
      <w:r w:rsidRPr="00B343DE">
        <w:rPr>
          <w:rFonts w:asciiTheme="minorHAnsi" w:eastAsia="ヒラギノ角ゴ Pro W3" w:hAnsiTheme="minorHAnsi" w:cstheme="minorHAnsi"/>
          <w:b/>
          <w:bCs/>
          <w:color w:val="000000"/>
          <w:szCs w:val="24"/>
          <w:lang w:bidi="th-TH"/>
        </w:rPr>
        <w:t xml:space="preserve"> session of the Commission on Crime Prevention and Criminal Justice</w:t>
      </w:r>
    </w:p>
    <w:p w14:paraId="02A633DE" w14:textId="3AC28C41" w:rsidR="00607DDB" w:rsidRPr="00B343DE" w:rsidRDefault="00607DDB" w:rsidP="00607DDB">
      <w:pPr>
        <w:spacing w:line="240" w:lineRule="auto"/>
        <w:jc w:val="center"/>
        <w:outlineLvl w:val="0"/>
        <w:rPr>
          <w:rFonts w:asciiTheme="minorHAnsi" w:eastAsia="ヒラギノ角ゴ Pro W3" w:hAnsiTheme="minorHAnsi" w:cstheme="minorHAnsi"/>
          <w:b/>
          <w:bCs/>
          <w:color w:val="000000"/>
          <w:szCs w:val="24"/>
          <w:lang w:bidi="th-TH"/>
        </w:rPr>
      </w:pPr>
      <w:r w:rsidRPr="00B343DE">
        <w:rPr>
          <w:rFonts w:asciiTheme="minorHAnsi" w:eastAsia="ヒラギノ角ゴ Pro W3" w:hAnsiTheme="minorHAnsi" w:cstheme="minorHAnsi"/>
          <w:b/>
          <w:bCs/>
          <w:color w:val="000000"/>
          <w:szCs w:val="24"/>
          <w:lang w:bidi="th-TH"/>
        </w:rPr>
        <w:t xml:space="preserve">UNODC High-level Side Event to launch the new statistical framework on gender-related killings </w:t>
      </w:r>
    </w:p>
    <w:p w14:paraId="09B2B03C" w14:textId="77777777" w:rsidR="00607DDB" w:rsidRPr="00B343DE" w:rsidRDefault="00607DDB" w:rsidP="00607DDB">
      <w:pPr>
        <w:spacing w:line="240" w:lineRule="auto"/>
        <w:jc w:val="center"/>
        <w:outlineLvl w:val="0"/>
        <w:rPr>
          <w:rFonts w:asciiTheme="minorHAnsi" w:eastAsia="ヒラギノ角ゴ Pro W3" w:hAnsiTheme="minorHAnsi" w:cstheme="minorHAnsi"/>
          <w:b/>
          <w:i/>
          <w:color w:val="000000"/>
          <w:szCs w:val="24"/>
          <w:lang w:val="en-US" w:bidi="th-TH"/>
        </w:rPr>
      </w:pPr>
    </w:p>
    <w:p w14:paraId="271FB5E1" w14:textId="77777777" w:rsidR="00607DDB" w:rsidRPr="00B343DE" w:rsidRDefault="00607DDB" w:rsidP="00607DDB">
      <w:pPr>
        <w:spacing w:line="240" w:lineRule="auto"/>
        <w:jc w:val="center"/>
        <w:outlineLvl w:val="0"/>
        <w:rPr>
          <w:rFonts w:asciiTheme="minorHAnsi" w:eastAsia="ヒラギノ角ゴ Pro W3" w:hAnsiTheme="minorHAnsi" w:cstheme="minorHAnsi"/>
          <w:i/>
          <w:color w:val="000000"/>
          <w:szCs w:val="24"/>
          <w:lang w:val="en-US" w:bidi="th-TH"/>
        </w:rPr>
      </w:pPr>
    </w:p>
    <w:tbl>
      <w:tblPr>
        <w:tblW w:w="9889" w:type="dxa"/>
        <w:tblLook w:val="04A0" w:firstRow="1" w:lastRow="0" w:firstColumn="1" w:lastColumn="0" w:noHBand="0" w:noVBand="1"/>
      </w:tblPr>
      <w:tblGrid>
        <w:gridCol w:w="1526"/>
        <w:gridCol w:w="8363"/>
      </w:tblGrid>
      <w:tr w:rsidR="00607DDB" w:rsidRPr="00B343DE" w14:paraId="45917D52" w14:textId="77777777" w:rsidTr="00775298">
        <w:trPr>
          <w:trHeight w:val="668"/>
        </w:trPr>
        <w:tc>
          <w:tcPr>
            <w:tcW w:w="1526" w:type="dxa"/>
            <w:shd w:val="clear" w:color="auto" w:fill="auto"/>
          </w:tcPr>
          <w:p w14:paraId="0691488A" w14:textId="77777777" w:rsidR="00607DDB" w:rsidRPr="00B343DE" w:rsidRDefault="00607DDB" w:rsidP="00775298">
            <w:pPr>
              <w:spacing w:line="240" w:lineRule="auto"/>
              <w:outlineLvl w:val="0"/>
              <w:rPr>
                <w:rFonts w:asciiTheme="minorHAnsi" w:eastAsia="Times New Roman" w:hAnsiTheme="minorHAnsi" w:cstheme="minorHAnsi"/>
                <w:color w:val="000000"/>
                <w:szCs w:val="24"/>
                <w:lang w:val="en-US" w:bidi="th-TH"/>
              </w:rPr>
            </w:pPr>
            <w:r w:rsidRPr="00B343DE">
              <w:rPr>
                <w:rFonts w:asciiTheme="minorHAnsi" w:eastAsia="Times New Roman" w:hAnsiTheme="minorHAnsi" w:cstheme="minorHAnsi"/>
                <w:b/>
                <w:color w:val="000000"/>
                <w:szCs w:val="24"/>
                <w:lang w:val="en-US" w:bidi="th-TH"/>
              </w:rPr>
              <w:t>Date and venue:</w:t>
            </w:r>
            <w:r w:rsidRPr="00B343DE">
              <w:rPr>
                <w:rFonts w:asciiTheme="minorHAnsi" w:eastAsia="Times New Roman" w:hAnsiTheme="minorHAnsi" w:cstheme="minorHAnsi"/>
                <w:color w:val="000000"/>
                <w:szCs w:val="24"/>
                <w:lang w:val="en-US" w:bidi="th-TH"/>
              </w:rPr>
              <w:t xml:space="preserve">   </w:t>
            </w:r>
          </w:p>
        </w:tc>
        <w:tc>
          <w:tcPr>
            <w:tcW w:w="8363" w:type="dxa"/>
            <w:shd w:val="clear" w:color="auto" w:fill="auto"/>
          </w:tcPr>
          <w:p w14:paraId="0E989AC5" w14:textId="6B3F8328" w:rsidR="00607DDB" w:rsidRPr="00B343DE" w:rsidRDefault="00607DDB" w:rsidP="00775298">
            <w:pPr>
              <w:spacing w:line="240" w:lineRule="auto"/>
              <w:jc w:val="both"/>
              <w:outlineLvl w:val="0"/>
              <w:rPr>
                <w:rFonts w:asciiTheme="minorHAnsi" w:eastAsia="Times New Roman" w:hAnsiTheme="minorHAnsi" w:cstheme="minorHAnsi"/>
                <w:b/>
                <w:color w:val="000000"/>
                <w:szCs w:val="24"/>
                <w:lang w:bidi="th-TH"/>
              </w:rPr>
            </w:pPr>
            <w:r w:rsidRPr="00B343DE">
              <w:rPr>
                <w:rFonts w:asciiTheme="minorHAnsi" w:eastAsia="ヒラギノ角ゴ Pro W3" w:hAnsiTheme="minorHAnsi" w:cstheme="minorHAnsi"/>
                <w:b/>
                <w:bCs/>
                <w:color w:val="000000"/>
                <w:szCs w:val="24"/>
                <w:lang w:bidi="th-TH"/>
              </w:rPr>
              <w:t xml:space="preserve">19 May </w:t>
            </w:r>
            <w:proofErr w:type="gramStart"/>
            <w:r w:rsidRPr="00B343DE">
              <w:rPr>
                <w:rFonts w:asciiTheme="minorHAnsi" w:eastAsia="ヒラギノ角ゴ Pro W3" w:hAnsiTheme="minorHAnsi" w:cstheme="minorHAnsi"/>
                <w:b/>
                <w:bCs/>
                <w:color w:val="000000"/>
                <w:szCs w:val="24"/>
                <w:lang w:bidi="th-TH"/>
              </w:rPr>
              <w:t>2022,  1.10</w:t>
            </w:r>
            <w:proofErr w:type="gramEnd"/>
            <w:r w:rsidRPr="00B343DE">
              <w:rPr>
                <w:rFonts w:asciiTheme="minorHAnsi" w:eastAsia="ヒラギノ角ゴ Pro W3" w:hAnsiTheme="minorHAnsi" w:cstheme="minorHAnsi"/>
                <w:b/>
                <w:bCs/>
                <w:color w:val="000000"/>
                <w:szCs w:val="24"/>
                <w:lang w:bidi="th-TH"/>
              </w:rPr>
              <w:t xml:space="preserve"> – 2 p.m. (CEST), online event (recorded statement)</w:t>
            </w:r>
            <w:r w:rsidRPr="00B343DE">
              <w:rPr>
                <w:rFonts w:asciiTheme="minorHAnsi" w:eastAsia="Times New Roman" w:hAnsiTheme="minorHAnsi" w:cstheme="minorHAnsi"/>
                <w:b/>
                <w:color w:val="000000"/>
                <w:szCs w:val="24"/>
                <w:lang w:val="en-US" w:bidi="th-TH"/>
              </w:rPr>
              <w:t xml:space="preserve"> </w:t>
            </w:r>
          </w:p>
          <w:p w14:paraId="0F7639BB" w14:textId="050F985C" w:rsidR="00607DDB" w:rsidRPr="00B343DE" w:rsidRDefault="00607DDB" w:rsidP="00775298">
            <w:pPr>
              <w:spacing w:line="240" w:lineRule="auto"/>
              <w:jc w:val="both"/>
              <w:outlineLvl w:val="0"/>
              <w:rPr>
                <w:rFonts w:asciiTheme="minorHAnsi" w:eastAsia="ヒラギノ角ゴ Pro W3" w:hAnsiTheme="minorHAnsi" w:cstheme="minorHAnsi"/>
                <w:b/>
                <w:color w:val="000000"/>
                <w:szCs w:val="24"/>
                <w:lang w:bidi="th-TH"/>
              </w:rPr>
            </w:pPr>
          </w:p>
        </w:tc>
      </w:tr>
    </w:tbl>
    <w:p w14:paraId="4A605B6E" w14:textId="77777777" w:rsidR="00B6188D" w:rsidRPr="00B343DE" w:rsidRDefault="00B6188D" w:rsidP="00607DDB">
      <w:pPr>
        <w:rPr>
          <w:rFonts w:asciiTheme="minorHAnsi" w:hAnsiTheme="minorHAnsi" w:cstheme="minorHAnsi"/>
          <w:szCs w:val="24"/>
        </w:rPr>
      </w:pPr>
    </w:p>
    <w:p w14:paraId="4D23C400" w14:textId="6DA05AFB" w:rsidR="00607DDB" w:rsidRPr="00B343DE" w:rsidRDefault="00607DDB" w:rsidP="00B6188D">
      <w:pPr>
        <w:pStyle w:val="Heading2"/>
        <w:spacing w:after="200"/>
        <w:jc w:val="center"/>
        <w:rPr>
          <w:rFonts w:asciiTheme="minorHAnsi" w:hAnsiTheme="minorHAnsi" w:cstheme="minorHAnsi"/>
          <w:b w:val="0"/>
          <w:i/>
          <w:color w:val="auto"/>
          <w:sz w:val="24"/>
          <w:szCs w:val="24"/>
        </w:rPr>
      </w:pPr>
      <w:r w:rsidRPr="00B343DE">
        <w:rPr>
          <w:rFonts w:asciiTheme="minorHAnsi" w:hAnsiTheme="minorHAnsi" w:cstheme="minorHAnsi"/>
          <w:b w:val="0"/>
          <w:i/>
          <w:color w:val="auto"/>
          <w:sz w:val="24"/>
          <w:szCs w:val="24"/>
        </w:rPr>
        <w:t xml:space="preserve">Proposed talking points – Special Rapporteur on Violence against Women, its </w:t>
      </w:r>
      <w:proofErr w:type="gramStart"/>
      <w:r w:rsidRPr="00B343DE">
        <w:rPr>
          <w:rFonts w:asciiTheme="minorHAnsi" w:hAnsiTheme="minorHAnsi" w:cstheme="minorHAnsi"/>
          <w:b w:val="0"/>
          <w:i/>
          <w:color w:val="auto"/>
          <w:sz w:val="24"/>
          <w:szCs w:val="24"/>
        </w:rPr>
        <w:t>causes</w:t>
      </w:r>
      <w:proofErr w:type="gramEnd"/>
      <w:r w:rsidRPr="00B343DE">
        <w:rPr>
          <w:rFonts w:asciiTheme="minorHAnsi" w:hAnsiTheme="minorHAnsi" w:cstheme="minorHAnsi"/>
          <w:b w:val="0"/>
          <w:i/>
          <w:color w:val="auto"/>
          <w:sz w:val="24"/>
          <w:szCs w:val="24"/>
        </w:rPr>
        <w:t xml:space="preserve"> and consequences</w:t>
      </w:r>
    </w:p>
    <w:p w14:paraId="3BCF4F16" w14:textId="77777777" w:rsidR="00B6188D" w:rsidRPr="00B343DE" w:rsidRDefault="00B6188D" w:rsidP="00B6188D">
      <w:pPr>
        <w:rPr>
          <w:rFonts w:asciiTheme="minorHAnsi" w:hAnsiTheme="minorHAnsi" w:cstheme="minorHAnsi"/>
          <w:szCs w:val="24"/>
        </w:rPr>
      </w:pPr>
    </w:p>
    <w:p w14:paraId="70231BEC" w14:textId="7D2C1196" w:rsidR="00607DDB" w:rsidRPr="00B343DE" w:rsidRDefault="00607DDB" w:rsidP="009D390B">
      <w:pPr>
        <w:pStyle w:val="ListParagraph"/>
        <w:numPr>
          <w:ilvl w:val="0"/>
          <w:numId w:val="1"/>
        </w:numPr>
        <w:jc w:val="both"/>
        <w:rPr>
          <w:rFonts w:asciiTheme="minorHAnsi" w:hAnsiTheme="minorHAnsi" w:cstheme="minorHAnsi"/>
          <w:szCs w:val="24"/>
        </w:rPr>
      </w:pPr>
      <w:r w:rsidRPr="00B343DE">
        <w:rPr>
          <w:rFonts w:asciiTheme="minorHAnsi" w:hAnsiTheme="minorHAnsi" w:cstheme="minorHAnsi"/>
          <w:szCs w:val="24"/>
        </w:rPr>
        <w:t xml:space="preserve">Good morning, </w:t>
      </w:r>
      <w:r w:rsidR="00B6188D" w:rsidRPr="00B343DE">
        <w:rPr>
          <w:rFonts w:asciiTheme="minorHAnsi" w:hAnsiTheme="minorHAnsi" w:cstheme="minorHAnsi"/>
          <w:szCs w:val="24"/>
        </w:rPr>
        <w:t>e</w:t>
      </w:r>
      <w:r w:rsidRPr="00B343DE">
        <w:rPr>
          <w:rFonts w:asciiTheme="minorHAnsi" w:hAnsiTheme="minorHAnsi" w:cstheme="minorHAnsi"/>
          <w:szCs w:val="24"/>
        </w:rPr>
        <w:t xml:space="preserve">xcellences, </w:t>
      </w:r>
      <w:r w:rsidR="009D390B" w:rsidRPr="00B343DE">
        <w:rPr>
          <w:rFonts w:asciiTheme="minorHAnsi" w:hAnsiTheme="minorHAnsi" w:cstheme="minorHAnsi"/>
          <w:szCs w:val="24"/>
        </w:rPr>
        <w:t>ladies,</w:t>
      </w:r>
      <w:r w:rsidRPr="00B343DE">
        <w:rPr>
          <w:rFonts w:asciiTheme="minorHAnsi" w:hAnsiTheme="minorHAnsi" w:cstheme="minorHAnsi"/>
          <w:szCs w:val="24"/>
        </w:rPr>
        <w:t xml:space="preserve"> and gentlemen. A very warm thank you for the invitation, it is both a pleasure and an honour to address you</w:t>
      </w:r>
      <w:r w:rsidR="00047F3D" w:rsidRPr="00B343DE">
        <w:rPr>
          <w:rFonts w:asciiTheme="minorHAnsi" w:hAnsiTheme="minorHAnsi" w:cstheme="minorHAnsi"/>
          <w:szCs w:val="24"/>
        </w:rPr>
        <w:t xml:space="preserve"> in my capacity as Special Rapporteur</w:t>
      </w:r>
      <w:r w:rsidR="009D390B" w:rsidRPr="00B343DE">
        <w:rPr>
          <w:rFonts w:asciiTheme="minorHAnsi" w:hAnsiTheme="minorHAnsi" w:cstheme="minorHAnsi"/>
          <w:szCs w:val="24"/>
        </w:rPr>
        <w:t>;</w:t>
      </w:r>
    </w:p>
    <w:p w14:paraId="44B0E947" w14:textId="5A4978C1" w:rsidR="00607DDB" w:rsidRPr="00B343DE" w:rsidRDefault="00607DDB" w:rsidP="009D390B">
      <w:pPr>
        <w:pStyle w:val="ListParagraph"/>
        <w:numPr>
          <w:ilvl w:val="0"/>
          <w:numId w:val="1"/>
        </w:numPr>
        <w:jc w:val="both"/>
        <w:rPr>
          <w:rFonts w:asciiTheme="minorHAnsi" w:hAnsiTheme="minorHAnsi" w:cstheme="minorHAnsi"/>
          <w:szCs w:val="24"/>
        </w:rPr>
      </w:pPr>
      <w:r w:rsidRPr="00B343DE">
        <w:rPr>
          <w:rFonts w:asciiTheme="minorHAnsi" w:hAnsiTheme="minorHAnsi" w:cstheme="minorHAnsi"/>
          <w:szCs w:val="24"/>
        </w:rPr>
        <w:t xml:space="preserve">Let me begin by </w:t>
      </w:r>
      <w:r w:rsidR="00BC7044" w:rsidRPr="00B343DE">
        <w:rPr>
          <w:rFonts w:asciiTheme="minorHAnsi" w:hAnsiTheme="minorHAnsi" w:cstheme="minorHAnsi"/>
          <w:szCs w:val="24"/>
        </w:rPr>
        <w:t>congratulating UNODC and UN Women for the launch of the comprehensive statistical framework for measuring the gender-related killing of women and girls (femicide/feminicide)</w:t>
      </w:r>
      <w:r w:rsidR="005E73D5" w:rsidRPr="00B343DE">
        <w:rPr>
          <w:rFonts w:asciiTheme="minorHAnsi" w:hAnsiTheme="minorHAnsi" w:cstheme="minorHAnsi"/>
          <w:szCs w:val="24"/>
        </w:rPr>
        <w:t>, t</w:t>
      </w:r>
      <w:r w:rsidR="00B6188D" w:rsidRPr="00B343DE">
        <w:rPr>
          <w:rFonts w:asciiTheme="minorHAnsi" w:hAnsiTheme="minorHAnsi" w:cstheme="minorHAnsi"/>
          <w:szCs w:val="24"/>
        </w:rPr>
        <w:t xml:space="preserve">he framework represents an important step in addressing the lack of statistical evidence in </w:t>
      </w:r>
      <w:r w:rsidR="0004770E" w:rsidRPr="00B343DE">
        <w:rPr>
          <w:rFonts w:asciiTheme="minorHAnsi" w:hAnsiTheme="minorHAnsi" w:cstheme="minorHAnsi"/>
          <w:szCs w:val="24"/>
        </w:rPr>
        <w:t>this regard</w:t>
      </w:r>
      <w:r w:rsidR="005E73D5" w:rsidRPr="00B343DE">
        <w:rPr>
          <w:rFonts w:asciiTheme="minorHAnsi" w:hAnsiTheme="minorHAnsi" w:cstheme="minorHAnsi"/>
          <w:szCs w:val="24"/>
        </w:rPr>
        <w:t xml:space="preserve">;  </w:t>
      </w:r>
    </w:p>
    <w:p w14:paraId="4B5AA8AE" w14:textId="6323F506" w:rsidR="0004770E" w:rsidRPr="00B343DE" w:rsidRDefault="0004770E" w:rsidP="00047F3D">
      <w:pPr>
        <w:pStyle w:val="ListParagraph"/>
        <w:numPr>
          <w:ilvl w:val="0"/>
          <w:numId w:val="1"/>
        </w:numPr>
        <w:jc w:val="both"/>
        <w:rPr>
          <w:rFonts w:asciiTheme="minorHAnsi" w:hAnsiTheme="minorHAnsi" w:cstheme="minorHAnsi"/>
          <w:szCs w:val="24"/>
        </w:rPr>
      </w:pPr>
      <w:r w:rsidRPr="00B343DE">
        <w:rPr>
          <w:rFonts w:asciiTheme="minorHAnsi" w:hAnsiTheme="minorHAnsi" w:cstheme="minorHAnsi"/>
          <w:szCs w:val="24"/>
        </w:rPr>
        <w:t>Indeed</w:t>
      </w:r>
      <w:r w:rsidR="009D390B" w:rsidRPr="00B343DE">
        <w:rPr>
          <w:rFonts w:asciiTheme="minorHAnsi" w:hAnsiTheme="minorHAnsi" w:cstheme="minorHAnsi"/>
          <w:szCs w:val="24"/>
        </w:rPr>
        <w:t>,</w:t>
      </w:r>
      <w:r w:rsidRPr="00B343DE">
        <w:rPr>
          <w:rFonts w:asciiTheme="minorHAnsi" w:hAnsiTheme="minorHAnsi" w:cstheme="minorHAnsi"/>
          <w:szCs w:val="24"/>
        </w:rPr>
        <w:t xml:space="preserve"> the COVID-19 pandemic has highlighted just how</w:t>
      </w:r>
      <w:r w:rsidR="009D390B" w:rsidRPr="00B343DE">
        <w:rPr>
          <w:rFonts w:asciiTheme="minorHAnsi" w:hAnsiTheme="minorHAnsi" w:cstheme="minorHAnsi"/>
          <w:szCs w:val="24"/>
        </w:rPr>
        <w:t xml:space="preserve"> important the collection of administrative data</w:t>
      </w:r>
      <w:r w:rsidR="00047F3D" w:rsidRPr="00B343DE">
        <w:rPr>
          <w:rFonts w:asciiTheme="minorHAnsi" w:hAnsiTheme="minorHAnsi" w:cstheme="minorHAnsi"/>
          <w:szCs w:val="24"/>
        </w:rPr>
        <w:t xml:space="preserve"> and statistics that accurately tally gender related killings is;</w:t>
      </w:r>
      <w:r w:rsidR="009D390B" w:rsidRPr="00B343DE">
        <w:rPr>
          <w:rFonts w:asciiTheme="minorHAnsi" w:hAnsiTheme="minorHAnsi" w:cstheme="minorHAnsi"/>
          <w:szCs w:val="24"/>
        </w:rPr>
        <w:t xml:space="preserve"> </w:t>
      </w:r>
      <w:r w:rsidR="00CA6728" w:rsidRPr="00B343DE">
        <w:rPr>
          <w:rFonts w:asciiTheme="minorHAnsi" w:hAnsiTheme="minorHAnsi" w:cstheme="minorHAnsi"/>
          <w:szCs w:val="24"/>
        </w:rPr>
        <w:t>r</w:t>
      </w:r>
      <w:r w:rsidRPr="00B343DE">
        <w:rPr>
          <w:rFonts w:asciiTheme="minorHAnsi" w:hAnsiTheme="minorHAnsi" w:cstheme="minorHAnsi"/>
          <w:szCs w:val="24"/>
        </w:rPr>
        <w:t xml:space="preserve">estrictions on movement imposed </w:t>
      </w:r>
      <w:proofErr w:type="gramStart"/>
      <w:r w:rsidRPr="00B343DE">
        <w:rPr>
          <w:rFonts w:asciiTheme="minorHAnsi" w:hAnsiTheme="minorHAnsi" w:cstheme="minorHAnsi"/>
          <w:szCs w:val="24"/>
        </w:rPr>
        <w:t>in order to</w:t>
      </w:r>
      <w:proofErr w:type="gramEnd"/>
      <w:r w:rsidRPr="00B343DE">
        <w:rPr>
          <w:rFonts w:asciiTheme="minorHAnsi" w:hAnsiTheme="minorHAnsi" w:cstheme="minorHAnsi"/>
          <w:szCs w:val="24"/>
        </w:rPr>
        <w:t xml:space="preserve"> contain the COVID-19 pandemic left thousands of women and girls trapped at home</w:t>
      </w:r>
      <w:r w:rsidR="00047F3D" w:rsidRPr="00B343DE">
        <w:rPr>
          <w:rFonts w:asciiTheme="minorHAnsi" w:hAnsiTheme="minorHAnsi" w:cstheme="minorHAnsi"/>
          <w:szCs w:val="24"/>
        </w:rPr>
        <w:t xml:space="preserve">. </w:t>
      </w:r>
      <w:r w:rsidRPr="00B343DE">
        <w:rPr>
          <w:rFonts w:asciiTheme="minorHAnsi" w:hAnsiTheme="minorHAnsi" w:cstheme="minorHAnsi"/>
          <w:szCs w:val="24"/>
        </w:rPr>
        <w:t xml:space="preserve"> For those women who </w:t>
      </w:r>
      <w:r w:rsidR="00047F3D" w:rsidRPr="00B343DE">
        <w:rPr>
          <w:rFonts w:asciiTheme="minorHAnsi" w:hAnsiTheme="minorHAnsi" w:cstheme="minorHAnsi"/>
          <w:szCs w:val="24"/>
        </w:rPr>
        <w:t>were</w:t>
      </w:r>
      <w:r w:rsidRPr="00B343DE">
        <w:rPr>
          <w:rFonts w:asciiTheme="minorHAnsi" w:hAnsiTheme="minorHAnsi" w:cstheme="minorHAnsi"/>
          <w:szCs w:val="24"/>
        </w:rPr>
        <w:t xml:space="preserve"> already in abusive situations, their situation</w:t>
      </w:r>
      <w:r w:rsidR="00047F3D" w:rsidRPr="00B343DE">
        <w:rPr>
          <w:rFonts w:asciiTheme="minorHAnsi" w:hAnsiTheme="minorHAnsi" w:cstheme="minorHAnsi"/>
          <w:szCs w:val="24"/>
        </w:rPr>
        <w:t xml:space="preserve"> wa</w:t>
      </w:r>
      <w:r w:rsidRPr="00B343DE">
        <w:rPr>
          <w:rFonts w:asciiTheme="minorHAnsi" w:hAnsiTheme="minorHAnsi" w:cstheme="minorHAnsi"/>
          <w:szCs w:val="24"/>
        </w:rPr>
        <w:t xml:space="preserve">s exacerbated by the crisis, </w:t>
      </w:r>
      <w:r w:rsidR="00047F3D" w:rsidRPr="00B343DE">
        <w:rPr>
          <w:rFonts w:asciiTheme="minorHAnsi" w:hAnsiTheme="minorHAnsi" w:cstheme="minorHAnsi"/>
          <w:szCs w:val="24"/>
        </w:rPr>
        <w:t>with femicides by intimate partners reported with alarming frequency;</w:t>
      </w:r>
    </w:p>
    <w:p w14:paraId="4FFCCA6D" w14:textId="737D706E" w:rsidR="009D390B" w:rsidRPr="00B343DE" w:rsidRDefault="009D390B" w:rsidP="009D390B">
      <w:pPr>
        <w:pStyle w:val="ListParagraph"/>
        <w:numPr>
          <w:ilvl w:val="0"/>
          <w:numId w:val="1"/>
        </w:numPr>
        <w:spacing w:after="160" w:line="259" w:lineRule="auto"/>
        <w:rPr>
          <w:rFonts w:asciiTheme="minorHAnsi" w:hAnsiTheme="minorHAnsi" w:cstheme="minorHAnsi"/>
          <w:szCs w:val="24"/>
        </w:rPr>
      </w:pPr>
      <w:r w:rsidRPr="00B343DE">
        <w:rPr>
          <w:rFonts w:asciiTheme="minorHAnsi" w:hAnsiTheme="minorHAnsi" w:cstheme="minorHAnsi"/>
          <w:szCs w:val="24"/>
        </w:rPr>
        <w:t>In</w:t>
      </w:r>
      <w:r w:rsidR="00824B36" w:rsidRPr="00B343DE">
        <w:rPr>
          <w:rFonts w:asciiTheme="minorHAnsi" w:hAnsiTheme="minorHAnsi" w:cstheme="minorHAnsi"/>
          <w:szCs w:val="24"/>
        </w:rPr>
        <w:t xml:space="preserve"> response to the global purge of femicide, in</w:t>
      </w:r>
      <w:r w:rsidRPr="00B343DE">
        <w:rPr>
          <w:rFonts w:asciiTheme="minorHAnsi" w:hAnsiTheme="minorHAnsi" w:cstheme="minorHAnsi"/>
          <w:szCs w:val="24"/>
        </w:rPr>
        <w:t xml:space="preserve"> </w:t>
      </w:r>
      <w:r w:rsidR="00CA6728" w:rsidRPr="00B343DE">
        <w:rPr>
          <w:rFonts w:asciiTheme="minorHAnsi" w:hAnsiTheme="minorHAnsi" w:cstheme="minorHAnsi"/>
          <w:szCs w:val="24"/>
        </w:rPr>
        <w:t>2015 the</w:t>
      </w:r>
      <w:r w:rsidRPr="00B343DE">
        <w:rPr>
          <w:rFonts w:asciiTheme="minorHAnsi" w:hAnsiTheme="minorHAnsi" w:cstheme="minorHAnsi"/>
          <w:szCs w:val="24"/>
        </w:rPr>
        <w:t xml:space="preserve"> </w:t>
      </w:r>
      <w:r w:rsidR="00047F3D" w:rsidRPr="00B343DE">
        <w:rPr>
          <w:rFonts w:asciiTheme="minorHAnsi" w:hAnsiTheme="minorHAnsi" w:cstheme="minorHAnsi"/>
          <w:szCs w:val="24"/>
        </w:rPr>
        <w:t xml:space="preserve">mandate </w:t>
      </w:r>
      <w:r w:rsidRPr="00B343DE">
        <w:rPr>
          <w:rFonts w:asciiTheme="minorHAnsi" w:hAnsiTheme="minorHAnsi" w:cstheme="minorHAnsi"/>
          <w:szCs w:val="24"/>
        </w:rPr>
        <w:t xml:space="preserve">initiated a call for the establishment at the global, </w:t>
      </w:r>
      <w:proofErr w:type="gramStart"/>
      <w:r w:rsidRPr="00B343DE">
        <w:rPr>
          <w:rFonts w:asciiTheme="minorHAnsi" w:hAnsiTheme="minorHAnsi" w:cstheme="minorHAnsi"/>
          <w:szCs w:val="24"/>
        </w:rPr>
        <w:t>national</w:t>
      </w:r>
      <w:proofErr w:type="gramEnd"/>
      <w:r w:rsidRPr="00B343DE">
        <w:rPr>
          <w:rFonts w:asciiTheme="minorHAnsi" w:hAnsiTheme="minorHAnsi" w:cstheme="minorHAnsi"/>
          <w:szCs w:val="24"/>
        </w:rPr>
        <w:t xml:space="preserve"> and regional levels of a femicide prevention watch and observatories on gender-related killings and violence against women; </w:t>
      </w:r>
    </w:p>
    <w:p w14:paraId="2FEE8513" w14:textId="24E43C10" w:rsidR="009D390B" w:rsidRPr="00B343DE" w:rsidRDefault="009D390B" w:rsidP="009D390B">
      <w:pPr>
        <w:pStyle w:val="ListParagraph"/>
        <w:numPr>
          <w:ilvl w:val="0"/>
          <w:numId w:val="1"/>
        </w:numPr>
        <w:spacing w:after="160" w:line="259" w:lineRule="auto"/>
        <w:rPr>
          <w:rFonts w:asciiTheme="minorHAnsi" w:hAnsiTheme="minorHAnsi" w:cstheme="minorHAnsi"/>
          <w:szCs w:val="24"/>
        </w:rPr>
      </w:pPr>
      <w:r w:rsidRPr="00B343DE">
        <w:rPr>
          <w:rFonts w:asciiTheme="minorHAnsi" w:hAnsiTheme="minorHAnsi" w:cstheme="minorHAnsi"/>
          <w:szCs w:val="24"/>
        </w:rPr>
        <w:t xml:space="preserve">In her annual report to the General Assembly in 2016 (A/71/398), </w:t>
      </w:r>
      <w:r w:rsidR="00047F3D" w:rsidRPr="00B343DE">
        <w:rPr>
          <w:rFonts w:asciiTheme="minorHAnsi" w:hAnsiTheme="minorHAnsi" w:cstheme="minorHAnsi"/>
          <w:szCs w:val="24"/>
        </w:rPr>
        <w:t>my predecessor</w:t>
      </w:r>
      <w:r w:rsidRPr="00B343DE">
        <w:rPr>
          <w:rFonts w:asciiTheme="minorHAnsi" w:hAnsiTheme="minorHAnsi" w:cstheme="minorHAnsi"/>
          <w:szCs w:val="24"/>
        </w:rPr>
        <w:t xml:space="preserve"> addressed the topic of femicide and outlined the modalities required for the establishment of such a preventative mechanism</w:t>
      </w:r>
      <w:r w:rsidR="00CA6728" w:rsidRPr="00B343DE">
        <w:rPr>
          <w:rFonts w:asciiTheme="minorHAnsi" w:hAnsiTheme="minorHAnsi" w:cstheme="minorHAnsi"/>
          <w:szCs w:val="24"/>
        </w:rPr>
        <w:t>;</w:t>
      </w:r>
      <w:r w:rsidRPr="00B343DE">
        <w:rPr>
          <w:rFonts w:asciiTheme="minorHAnsi" w:hAnsiTheme="minorHAnsi" w:cstheme="minorHAnsi"/>
          <w:szCs w:val="24"/>
        </w:rPr>
        <w:t xml:space="preserve"> </w:t>
      </w:r>
    </w:p>
    <w:p w14:paraId="36B0781D" w14:textId="77777777" w:rsidR="00047F3D" w:rsidRPr="00B343DE" w:rsidRDefault="009D390B" w:rsidP="009D390B">
      <w:pPr>
        <w:pStyle w:val="ListParagraph"/>
        <w:numPr>
          <w:ilvl w:val="0"/>
          <w:numId w:val="1"/>
        </w:numPr>
        <w:spacing w:after="160" w:line="259" w:lineRule="auto"/>
        <w:rPr>
          <w:rFonts w:asciiTheme="minorHAnsi" w:hAnsiTheme="minorHAnsi" w:cstheme="minorHAnsi"/>
          <w:szCs w:val="24"/>
        </w:rPr>
      </w:pPr>
      <w:r w:rsidRPr="00B343DE">
        <w:rPr>
          <w:rFonts w:asciiTheme="minorHAnsi" w:hAnsiTheme="minorHAnsi" w:cstheme="minorHAnsi"/>
          <w:szCs w:val="24"/>
        </w:rPr>
        <w:t xml:space="preserve">In calling upon all States to establish a femicide watch – or a “gender-related killing of women </w:t>
      </w:r>
      <w:proofErr w:type="gramStart"/>
      <w:r w:rsidRPr="00B343DE">
        <w:rPr>
          <w:rFonts w:asciiTheme="minorHAnsi" w:hAnsiTheme="minorHAnsi" w:cstheme="minorHAnsi"/>
          <w:szCs w:val="24"/>
        </w:rPr>
        <w:t>watch</w:t>
      </w:r>
      <w:proofErr w:type="gramEnd"/>
      <w:r w:rsidRPr="00B343DE">
        <w:rPr>
          <w:rFonts w:asciiTheme="minorHAnsi" w:hAnsiTheme="minorHAnsi" w:cstheme="minorHAnsi"/>
          <w:szCs w:val="24"/>
        </w:rPr>
        <w:t xml:space="preserve">” – </w:t>
      </w:r>
      <w:r w:rsidR="00047F3D" w:rsidRPr="00B343DE">
        <w:rPr>
          <w:rFonts w:asciiTheme="minorHAnsi" w:hAnsiTheme="minorHAnsi" w:cstheme="minorHAnsi"/>
          <w:szCs w:val="24"/>
        </w:rPr>
        <w:t>it was</w:t>
      </w:r>
      <w:r w:rsidRPr="00B343DE">
        <w:rPr>
          <w:rFonts w:asciiTheme="minorHAnsi" w:hAnsiTheme="minorHAnsi" w:cstheme="minorHAnsi"/>
          <w:szCs w:val="24"/>
        </w:rPr>
        <w:t xml:space="preserve"> proposed that data on the number of femicides be published annually, on 25 November, along with information concerning the prosecution and punishment of perpetrators;</w:t>
      </w:r>
      <w:r w:rsidR="00047F3D" w:rsidRPr="00B343DE">
        <w:rPr>
          <w:rFonts w:asciiTheme="minorHAnsi" w:hAnsiTheme="minorHAnsi" w:cstheme="minorHAnsi"/>
          <w:szCs w:val="24"/>
        </w:rPr>
        <w:t xml:space="preserve"> </w:t>
      </w:r>
    </w:p>
    <w:p w14:paraId="29D2523C" w14:textId="60B14E4F" w:rsidR="00824B36" w:rsidRPr="00B343DE" w:rsidRDefault="00047F3D" w:rsidP="00824B36">
      <w:pPr>
        <w:pStyle w:val="ListParagraph"/>
        <w:numPr>
          <w:ilvl w:val="0"/>
          <w:numId w:val="1"/>
        </w:numPr>
        <w:jc w:val="both"/>
        <w:rPr>
          <w:rFonts w:asciiTheme="minorHAnsi" w:hAnsiTheme="minorHAnsi" w:cstheme="minorHAnsi"/>
          <w:szCs w:val="24"/>
        </w:rPr>
      </w:pPr>
      <w:r w:rsidRPr="00B343DE">
        <w:rPr>
          <w:rFonts w:asciiTheme="minorHAnsi" w:hAnsiTheme="minorHAnsi" w:cstheme="minorHAnsi"/>
          <w:szCs w:val="24"/>
        </w:rPr>
        <w:t>I</w:t>
      </w:r>
      <w:r w:rsidR="003668EF" w:rsidRPr="00B343DE">
        <w:rPr>
          <w:rFonts w:asciiTheme="minorHAnsi" w:hAnsiTheme="minorHAnsi" w:cstheme="minorHAnsi"/>
          <w:szCs w:val="24"/>
        </w:rPr>
        <w:t xml:space="preserve"> intend to continue to encourage States to provide data and i</w:t>
      </w:r>
      <w:r w:rsidRPr="00B343DE">
        <w:rPr>
          <w:rFonts w:asciiTheme="minorHAnsi" w:hAnsiTheme="minorHAnsi" w:cstheme="minorHAnsi"/>
          <w:szCs w:val="24"/>
        </w:rPr>
        <w:t xml:space="preserve">n November 2021 I issued a call to States </w:t>
      </w:r>
      <w:r w:rsidR="003668EF" w:rsidRPr="00B343DE">
        <w:rPr>
          <w:rFonts w:asciiTheme="minorHAnsi" w:hAnsiTheme="minorHAnsi" w:cstheme="minorHAnsi"/>
          <w:szCs w:val="24"/>
        </w:rPr>
        <w:t xml:space="preserve">and relevant stakeholders </w:t>
      </w:r>
      <w:r w:rsidRPr="00B343DE">
        <w:rPr>
          <w:rFonts w:asciiTheme="minorHAnsi" w:hAnsiTheme="minorHAnsi" w:cstheme="minorHAnsi"/>
          <w:szCs w:val="24"/>
        </w:rPr>
        <w:t xml:space="preserve">for </w:t>
      </w:r>
      <w:r w:rsidR="00824B36" w:rsidRPr="00B343DE">
        <w:rPr>
          <w:rFonts w:asciiTheme="minorHAnsi" w:hAnsiTheme="minorHAnsi" w:cstheme="minorHAnsi"/>
          <w:szCs w:val="24"/>
        </w:rPr>
        <w:t xml:space="preserve">comparable data on: (a) intimate partner femicide; (b) family-related femicide based on the relationship between the </w:t>
      </w:r>
      <w:r w:rsidR="00824B36" w:rsidRPr="00B343DE">
        <w:rPr>
          <w:rFonts w:asciiTheme="minorHAnsi" w:hAnsiTheme="minorHAnsi" w:cstheme="minorHAnsi"/>
          <w:szCs w:val="24"/>
        </w:rPr>
        <w:lastRenderedPageBreak/>
        <w:t xml:space="preserve">perpetrator and the victim or victims; and (c) all other femicides based on the country context; </w:t>
      </w:r>
    </w:p>
    <w:p w14:paraId="029E491A" w14:textId="7F9AC866" w:rsidR="00824B36" w:rsidRPr="00B343DE" w:rsidRDefault="00824B36" w:rsidP="00824B36">
      <w:pPr>
        <w:pStyle w:val="ListParagraph"/>
        <w:numPr>
          <w:ilvl w:val="0"/>
          <w:numId w:val="1"/>
        </w:numPr>
        <w:spacing w:after="160" w:line="259" w:lineRule="auto"/>
        <w:rPr>
          <w:rFonts w:asciiTheme="minorHAnsi" w:hAnsiTheme="minorHAnsi" w:cstheme="minorHAnsi"/>
          <w:szCs w:val="24"/>
        </w:rPr>
      </w:pPr>
      <w:r w:rsidRPr="00B343DE">
        <w:rPr>
          <w:rFonts w:asciiTheme="minorHAnsi" w:hAnsiTheme="minorHAnsi" w:cstheme="minorHAnsi"/>
          <w:szCs w:val="24"/>
        </w:rPr>
        <w:t>Taking into consideration ongoing existing work on data collection on femicides, the mandate proposes a flexible model for the establishment of “national Femicide Watch” which could be a new independent interdisciplinary body, or integrated in existing observatories or other independent mechanisms, such as ombudspersons or human rights commissions;</w:t>
      </w:r>
    </w:p>
    <w:p w14:paraId="0D67286A" w14:textId="77777777" w:rsidR="00824B36" w:rsidRPr="00B343DE" w:rsidRDefault="00824B36" w:rsidP="00824B36">
      <w:pPr>
        <w:pStyle w:val="ListParagraph"/>
        <w:numPr>
          <w:ilvl w:val="0"/>
          <w:numId w:val="1"/>
        </w:numPr>
        <w:spacing w:after="160" w:line="259" w:lineRule="auto"/>
        <w:rPr>
          <w:rFonts w:asciiTheme="minorHAnsi" w:hAnsiTheme="minorHAnsi" w:cstheme="minorHAnsi"/>
          <w:szCs w:val="24"/>
        </w:rPr>
      </w:pPr>
      <w:r w:rsidRPr="00B343DE">
        <w:rPr>
          <w:rFonts w:asciiTheme="minorHAnsi" w:hAnsiTheme="minorHAnsi" w:cstheme="minorHAnsi"/>
          <w:szCs w:val="24"/>
        </w:rPr>
        <w:t xml:space="preserve">The Femicide Watch should go beyond collection and publication of </w:t>
      </w:r>
      <w:proofErr w:type="gramStart"/>
      <w:r w:rsidRPr="00B343DE">
        <w:rPr>
          <w:rFonts w:asciiTheme="minorHAnsi" w:hAnsiTheme="minorHAnsi" w:cstheme="minorHAnsi"/>
          <w:szCs w:val="24"/>
        </w:rPr>
        <w:t>data, and</w:t>
      </w:r>
      <w:proofErr w:type="gramEnd"/>
      <w:r w:rsidRPr="00B343DE">
        <w:rPr>
          <w:rFonts w:asciiTheme="minorHAnsi" w:hAnsiTheme="minorHAnsi" w:cstheme="minorHAnsi"/>
          <w:szCs w:val="24"/>
        </w:rPr>
        <w:t xml:space="preserve"> focus on systematic gaps and shortcomings of national civil and criminal justice frameworks and systems. It should include information on conduct of police and public prosecutors, efficiency of protection orders, availability of shelters and other measures in </w:t>
      </w:r>
      <w:proofErr w:type="gramStart"/>
      <w:r w:rsidRPr="00B343DE">
        <w:rPr>
          <w:rFonts w:asciiTheme="minorHAnsi" w:hAnsiTheme="minorHAnsi" w:cstheme="minorHAnsi"/>
          <w:szCs w:val="24"/>
        </w:rPr>
        <w:t>a number of</w:t>
      </w:r>
      <w:proofErr w:type="gramEnd"/>
      <w:r w:rsidRPr="00B343DE">
        <w:rPr>
          <w:rFonts w:asciiTheme="minorHAnsi" w:hAnsiTheme="minorHAnsi" w:cstheme="minorHAnsi"/>
          <w:szCs w:val="24"/>
        </w:rPr>
        <w:t xml:space="preserve"> individual cases;</w:t>
      </w:r>
    </w:p>
    <w:p w14:paraId="549D329C" w14:textId="77777777" w:rsidR="00B343DE" w:rsidRPr="00B343DE" w:rsidRDefault="009D390B" w:rsidP="00B343DE">
      <w:pPr>
        <w:pStyle w:val="ListParagraph"/>
        <w:numPr>
          <w:ilvl w:val="0"/>
          <w:numId w:val="1"/>
        </w:numPr>
        <w:jc w:val="both"/>
        <w:rPr>
          <w:rFonts w:asciiTheme="minorHAnsi" w:hAnsiTheme="minorHAnsi" w:cstheme="minorHAnsi"/>
          <w:szCs w:val="24"/>
        </w:rPr>
      </w:pPr>
      <w:r w:rsidRPr="00B343DE">
        <w:rPr>
          <w:rFonts w:asciiTheme="minorHAnsi" w:hAnsiTheme="minorHAnsi" w:cstheme="minorHAnsi"/>
          <w:szCs w:val="24"/>
        </w:rPr>
        <w:t xml:space="preserve">Femicide Watches/Observatories </w:t>
      </w:r>
      <w:r w:rsidR="00824B36" w:rsidRPr="00B343DE">
        <w:rPr>
          <w:rFonts w:asciiTheme="minorHAnsi" w:hAnsiTheme="minorHAnsi" w:cstheme="minorHAnsi"/>
          <w:szCs w:val="24"/>
        </w:rPr>
        <w:t>are</w:t>
      </w:r>
      <w:r w:rsidRPr="00B343DE">
        <w:rPr>
          <w:rFonts w:asciiTheme="minorHAnsi" w:hAnsiTheme="minorHAnsi" w:cstheme="minorHAnsi"/>
          <w:szCs w:val="24"/>
        </w:rPr>
        <w:t xml:space="preserve"> important due to the poor quality of existing data, under reporting and concealing of femicide. This remains an obstacle to meaningful prevention work. Data collected must be made publicly available at the national level, while the UN and other organizations should ensure the publication of such data globally and regionally.</w:t>
      </w:r>
      <w:r w:rsidR="00B343DE" w:rsidRPr="00B343DE">
        <w:rPr>
          <w:rFonts w:asciiTheme="minorHAnsi" w:hAnsiTheme="minorHAnsi" w:cstheme="minorHAnsi"/>
          <w:szCs w:val="24"/>
        </w:rPr>
        <w:t xml:space="preserve"> </w:t>
      </w:r>
    </w:p>
    <w:p w14:paraId="29E8CEF7" w14:textId="77777777" w:rsidR="00B343DE" w:rsidRPr="00B343DE" w:rsidRDefault="00B343DE" w:rsidP="00B343DE">
      <w:pPr>
        <w:pStyle w:val="ListParagraph"/>
        <w:numPr>
          <w:ilvl w:val="0"/>
          <w:numId w:val="1"/>
        </w:numPr>
        <w:jc w:val="both"/>
        <w:rPr>
          <w:rFonts w:asciiTheme="minorHAnsi" w:hAnsiTheme="minorHAnsi" w:cstheme="minorHAnsi"/>
          <w:szCs w:val="24"/>
        </w:rPr>
      </w:pPr>
      <w:r w:rsidRPr="00B343DE">
        <w:rPr>
          <w:rFonts w:asciiTheme="minorHAnsi" w:hAnsiTheme="minorHAnsi" w:cstheme="minorHAnsi"/>
          <w:szCs w:val="24"/>
        </w:rPr>
        <w:t xml:space="preserve">In the UN Human Rights Council Resolution 32/19 (A/HRC/RES/32/19), the Council expressed its alarm “at the high level of impunity with regard to gender-based violence, including gender-related killings of women and girls, including indigenous women and girls, and recognizing the key role of the criminal justice system in preventing and ending impunity for such crimes”. </w:t>
      </w:r>
    </w:p>
    <w:p w14:paraId="62FAA2F8" w14:textId="7251F3C6" w:rsidR="00B343DE" w:rsidRPr="00B343DE" w:rsidRDefault="00B343DE" w:rsidP="00B343DE">
      <w:pPr>
        <w:pStyle w:val="ListParagraph"/>
        <w:numPr>
          <w:ilvl w:val="0"/>
          <w:numId w:val="1"/>
        </w:numPr>
        <w:jc w:val="both"/>
        <w:rPr>
          <w:rFonts w:asciiTheme="minorHAnsi" w:hAnsiTheme="minorHAnsi" w:cstheme="minorHAnsi"/>
          <w:szCs w:val="24"/>
        </w:rPr>
      </w:pPr>
      <w:r w:rsidRPr="00B343DE">
        <w:rPr>
          <w:rFonts w:asciiTheme="minorHAnsi" w:hAnsiTheme="minorHAnsi" w:cstheme="minorHAnsi"/>
          <w:szCs w:val="24"/>
        </w:rPr>
        <w:t>The Council also encourages States to improve the collection, harmonization and use of data disaggregated by sex, and administrative data, including, where appropriate, from the police, the health sector and the judiciary, on incidents of all forms of violence against women and girls, including against indigenous women and girls, such as data on the relationship between the perpetrator and victim and geographic location, ensuring that confidentiality and ethical and safety considerations are taken into account in the process of data collection, and improving the effectiveness of the services and programmes provided and protecting the safety and security of the victim (OP 12).</w:t>
      </w:r>
    </w:p>
    <w:p w14:paraId="0A5AA73E" w14:textId="0C7E4A51" w:rsidR="00B6188D" w:rsidRPr="00B343DE" w:rsidRDefault="00B343DE" w:rsidP="00B343DE">
      <w:pPr>
        <w:pStyle w:val="ListParagraph"/>
        <w:numPr>
          <w:ilvl w:val="0"/>
          <w:numId w:val="1"/>
        </w:numPr>
        <w:jc w:val="both"/>
        <w:rPr>
          <w:rFonts w:asciiTheme="minorHAnsi" w:hAnsiTheme="minorHAnsi" w:cstheme="minorHAnsi"/>
          <w:szCs w:val="24"/>
        </w:rPr>
      </w:pPr>
      <w:r w:rsidRPr="00B343DE">
        <w:rPr>
          <w:rFonts w:asciiTheme="minorHAnsi" w:hAnsiTheme="minorHAnsi" w:cstheme="minorHAnsi"/>
          <w:bCs/>
          <w:szCs w:val="24"/>
        </w:rPr>
        <w:t xml:space="preserve">While </w:t>
      </w:r>
      <w:r w:rsidR="009D390B" w:rsidRPr="00B343DE">
        <w:rPr>
          <w:rFonts w:asciiTheme="minorHAnsi" w:hAnsiTheme="minorHAnsi" w:cstheme="minorHAnsi"/>
          <w:bCs/>
          <w:szCs w:val="24"/>
        </w:rPr>
        <w:t>some progress has been made</w:t>
      </w:r>
      <w:r w:rsidRPr="00B343DE">
        <w:rPr>
          <w:rFonts w:asciiTheme="minorHAnsi" w:hAnsiTheme="minorHAnsi" w:cstheme="minorHAnsi"/>
          <w:bCs/>
          <w:szCs w:val="24"/>
        </w:rPr>
        <w:t xml:space="preserve"> since 2016</w:t>
      </w:r>
      <w:r w:rsidR="009D390B" w:rsidRPr="00B343DE">
        <w:rPr>
          <w:rFonts w:asciiTheme="minorHAnsi" w:hAnsiTheme="minorHAnsi" w:cstheme="minorHAnsi"/>
          <w:bCs/>
          <w:szCs w:val="24"/>
        </w:rPr>
        <w:t xml:space="preserve"> in developing national observatories and collection of data with the aim of </w:t>
      </w:r>
      <w:proofErr w:type="spellStart"/>
      <w:r w:rsidR="009D390B" w:rsidRPr="00B343DE">
        <w:rPr>
          <w:rFonts w:asciiTheme="minorHAnsi" w:hAnsiTheme="minorHAnsi" w:cstheme="minorHAnsi"/>
          <w:bCs/>
          <w:szCs w:val="24"/>
        </w:rPr>
        <w:t>analyzing</w:t>
      </w:r>
      <w:proofErr w:type="spellEnd"/>
      <w:r w:rsidR="009D390B" w:rsidRPr="00B343DE">
        <w:rPr>
          <w:rFonts w:asciiTheme="minorHAnsi" w:hAnsiTheme="minorHAnsi" w:cstheme="minorHAnsi"/>
          <w:bCs/>
          <w:szCs w:val="24"/>
        </w:rPr>
        <w:t xml:space="preserve"> the causes of femicide</w:t>
      </w:r>
      <w:r w:rsidRPr="00B343DE">
        <w:rPr>
          <w:rFonts w:asciiTheme="minorHAnsi" w:hAnsiTheme="minorHAnsi" w:cstheme="minorHAnsi"/>
          <w:bCs/>
          <w:szCs w:val="24"/>
        </w:rPr>
        <w:t xml:space="preserve">, </w:t>
      </w:r>
      <w:r w:rsidR="009D390B" w:rsidRPr="00B343DE">
        <w:rPr>
          <w:rFonts w:asciiTheme="minorHAnsi" w:hAnsiTheme="minorHAnsi" w:cstheme="minorHAnsi"/>
          <w:bCs/>
          <w:szCs w:val="24"/>
        </w:rPr>
        <w:t>challenges remain. The long-term objective is to eradicate femicide and the short to mid-term objectives are to collect information on national practices for a femicide watch and/ or observatories, encourage the creation of femicide watches and/ or observatories in additional countries;</w:t>
      </w:r>
    </w:p>
    <w:p w14:paraId="6669E386" w14:textId="29325A93" w:rsidR="00607DDB" w:rsidRPr="00B343DE" w:rsidRDefault="00607DDB" w:rsidP="00B343DE">
      <w:pPr>
        <w:pStyle w:val="ListParagraph"/>
        <w:numPr>
          <w:ilvl w:val="0"/>
          <w:numId w:val="1"/>
        </w:numPr>
        <w:jc w:val="both"/>
        <w:rPr>
          <w:rFonts w:asciiTheme="minorHAnsi" w:hAnsiTheme="minorHAnsi" w:cstheme="minorHAnsi"/>
          <w:szCs w:val="24"/>
        </w:rPr>
      </w:pPr>
      <w:r w:rsidRPr="00B343DE">
        <w:rPr>
          <w:rFonts w:asciiTheme="minorHAnsi" w:hAnsiTheme="minorHAnsi" w:cstheme="minorHAnsi"/>
          <w:szCs w:val="24"/>
        </w:rPr>
        <w:t xml:space="preserve">States must therefore bear in mind that the elimination of </w:t>
      </w:r>
      <w:proofErr w:type="gramStart"/>
      <w:r w:rsidRPr="00B343DE">
        <w:rPr>
          <w:rFonts w:asciiTheme="minorHAnsi" w:hAnsiTheme="minorHAnsi" w:cstheme="minorHAnsi"/>
          <w:szCs w:val="24"/>
        </w:rPr>
        <w:t>gender based</w:t>
      </w:r>
      <w:proofErr w:type="gramEnd"/>
      <w:r w:rsidRPr="00B343DE">
        <w:rPr>
          <w:rFonts w:asciiTheme="minorHAnsi" w:hAnsiTheme="minorHAnsi" w:cstheme="minorHAnsi"/>
          <w:szCs w:val="24"/>
        </w:rPr>
        <w:t xml:space="preserve"> violence i</w:t>
      </w:r>
      <w:r w:rsidR="0004770E" w:rsidRPr="00B343DE">
        <w:rPr>
          <w:rFonts w:asciiTheme="minorHAnsi" w:hAnsiTheme="minorHAnsi" w:cstheme="minorHAnsi"/>
          <w:szCs w:val="24"/>
        </w:rPr>
        <w:t>s</w:t>
      </w:r>
      <w:r w:rsidRPr="00B343DE">
        <w:rPr>
          <w:rFonts w:asciiTheme="minorHAnsi" w:hAnsiTheme="minorHAnsi" w:cstheme="minorHAnsi"/>
          <w:szCs w:val="24"/>
        </w:rPr>
        <w:t xml:space="preserve"> not merely </w:t>
      </w:r>
      <w:r w:rsidR="0004770E" w:rsidRPr="00B343DE">
        <w:rPr>
          <w:rFonts w:asciiTheme="minorHAnsi" w:hAnsiTheme="minorHAnsi" w:cstheme="minorHAnsi"/>
          <w:szCs w:val="24"/>
        </w:rPr>
        <w:t xml:space="preserve">a </w:t>
      </w:r>
      <w:r w:rsidRPr="00B343DE">
        <w:rPr>
          <w:rFonts w:asciiTheme="minorHAnsi" w:hAnsiTheme="minorHAnsi" w:cstheme="minorHAnsi"/>
          <w:szCs w:val="24"/>
        </w:rPr>
        <w:t xml:space="preserve">target, but </w:t>
      </w:r>
      <w:r w:rsidR="0004770E" w:rsidRPr="00B343DE">
        <w:rPr>
          <w:rFonts w:asciiTheme="minorHAnsi" w:hAnsiTheme="minorHAnsi" w:cstheme="minorHAnsi"/>
          <w:szCs w:val="24"/>
        </w:rPr>
        <w:t xml:space="preserve">a </w:t>
      </w:r>
      <w:r w:rsidRPr="00B343DE">
        <w:rPr>
          <w:rFonts w:asciiTheme="minorHAnsi" w:hAnsiTheme="minorHAnsi" w:cstheme="minorHAnsi"/>
          <w:szCs w:val="24"/>
        </w:rPr>
        <w:t xml:space="preserve">concrete legal obligation that they have committed to protect and fulfil. They must confront the growing backlash against women’s universal human rights and the persistent discrimination which impedes, inter alia, the elimination of violence against women and seek to build on and complement the work </w:t>
      </w:r>
      <w:r w:rsidRPr="00B343DE">
        <w:rPr>
          <w:rFonts w:asciiTheme="minorHAnsi" w:hAnsiTheme="minorHAnsi" w:cstheme="minorHAnsi"/>
          <w:szCs w:val="24"/>
        </w:rPr>
        <w:lastRenderedPageBreak/>
        <w:t>of global and regional human rights mechanisms that monitor progress on women’s human rights;</w:t>
      </w:r>
    </w:p>
    <w:p w14:paraId="50BD1C18" w14:textId="63F5C317" w:rsidR="00607DDB" w:rsidRPr="00B343DE" w:rsidRDefault="00607DDB" w:rsidP="00607DDB">
      <w:pPr>
        <w:pStyle w:val="ListParagraph"/>
        <w:numPr>
          <w:ilvl w:val="0"/>
          <w:numId w:val="1"/>
        </w:numPr>
        <w:rPr>
          <w:rStyle w:val="Hyperlink"/>
          <w:rFonts w:asciiTheme="minorHAnsi" w:hAnsiTheme="minorHAnsi" w:cstheme="minorHAnsi"/>
          <w:color w:val="auto"/>
          <w:szCs w:val="24"/>
          <w:u w:val="none"/>
        </w:rPr>
      </w:pPr>
      <w:r w:rsidRPr="00B343DE">
        <w:rPr>
          <w:rStyle w:val="Hyperlink"/>
          <w:rFonts w:asciiTheme="minorHAnsi" w:hAnsiTheme="minorHAnsi" w:cstheme="minorHAnsi"/>
          <w:color w:val="auto"/>
          <w:szCs w:val="24"/>
          <w:u w:val="none"/>
        </w:rPr>
        <w:t xml:space="preserve">The </w:t>
      </w:r>
      <w:r w:rsidR="0004770E" w:rsidRPr="00B343DE">
        <w:rPr>
          <w:rStyle w:val="Hyperlink"/>
          <w:rFonts w:asciiTheme="minorHAnsi" w:hAnsiTheme="minorHAnsi" w:cstheme="minorHAnsi"/>
          <w:color w:val="auto"/>
          <w:szCs w:val="24"/>
          <w:u w:val="none"/>
        </w:rPr>
        <w:t>launch of the framework</w:t>
      </w:r>
      <w:r w:rsidRPr="00B343DE">
        <w:rPr>
          <w:rStyle w:val="Hyperlink"/>
          <w:rFonts w:asciiTheme="minorHAnsi" w:hAnsiTheme="minorHAnsi" w:cstheme="minorHAnsi"/>
          <w:color w:val="auto"/>
          <w:szCs w:val="24"/>
          <w:u w:val="none"/>
        </w:rPr>
        <w:t xml:space="preserve"> also reminds member States that they have a responsibility to promote a “general environment of zero tolerance”, and as such, I would encourage all States to take urgent action, alongside non-State actors, as well as international organizations and independent monitoring mechanisms, civil society organisations, and women’s rights movements, to prevent and combat gender-based violence against women and to support and provide redress to women who are willing to speak up.</w:t>
      </w:r>
    </w:p>
    <w:p w14:paraId="664A3600" w14:textId="77777777" w:rsidR="00B343DE" w:rsidRPr="00B343DE" w:rsidRDefault="00B343DE" w:rsidP="00B343DE">
      <w:pPr>
        <w:pStyle w:val="ListParagraph"/>
        <w:rPr>
          <w:rStyle w:val="Hyperlink"/>
          <w:rFonts w:asciiTheme="minorHAnsi" w:hAnsiTheme="minorHAnsi" w:cstheme="minorHAnsi"/>
          <w:color w:val="auto"/>
          <w:szCs w:val="24"/>
          <w:u w:val="none"/>
        </w:rPr>
      </w:pPr>
    </w:p>
    <w:p w14:paraId="01EBA096" w14:textId="77777777" w:rsidR="00607DDB" w:rsidRPr="00B343DE" w:rsidRDefault="00607DDB" w:rsidP="00607DDB">
      <w:pPr>
        <w:pStyle w:val="ListParagraph"/>
        <w:rPr>
          <w:rStyle w:val="Hyperlink"/>
          <w:rFonts w:asciiTheme="minorHAnsi" w:hAnsiTheme="minorHAnsi" w:cstheme="minorHAnsi"/>
          <w:color w:val="auto"/>
          <w:szCs w:val="24"/>
          <w:u w:val="none"/>
        </w:rPr>
      </w:pPr>
    </w:p>
    <w:p w14:paraId="477C4221" w14:textId="77777777" w:rsidR="00607DDB" w:rsidRPr="00B343DE" w:rsidRDefault="00607DDB" w:rsidP="00607DDB">
      <w:pPr>
        <w:pStyle w:val="ListParagraph"/>
        <w:rPr>
          <w:rStyle w:val="Hyperlink"/>
          <w:rFonts w:asciiTheme="minorHAnsi" w:hAnsiTheme="minorHAnsi" w:cstheme="minorHAnsi"/>
          <w:color w:val="auto"/>
          <w:szCs w:val="24"/>
          <w:u w:val="none"/>
        </w:rPr>
      </w:pPr>
    </w:p>
    <w:p w14:paraId="0501C935" w14:textId="77777777" w:rsidR="00607DDB" w:rsidRPr="00B343DE" w:rsidRDefault="00607DDB" w:rsidP="00607DDB">
      <w:pPr>
        <w:pStyle w:val="ListParagraph"/>
        <w:jc w:val="both"/>
        <w:rPr>
          <w:rStyle w:val="Hyperlink"/>
          <w:rFonts w:asciiTheme="minorHAnsi" w:hAnsiTheme="minorHAnsi" w:cstheme="minorHAnsi"/>
          <w:i/>
          <w:iCs/>
          <w:color w:val="auto"/>
          <w:szCs w:val="24"/>
          <w:u w:val="none"/>
        </w:rPr>
      </w:pPr>
      <w:r w:rsidRPr="00B343DE">
        <w:rPr>
          <w:rStyle w:val="Hyperlink"/>
          <w:rFonts w:asciiTheme="minorHAnsi" w:hAnsiTheme="minorHAnsi" w:cstheme="minorHAnsi"/>
          <w:i/>
          <w:iCs/>
          <w:color w:val="auto"/>
          <w:szCs w:val="24"/>
          <w:u w:val="none"/>
        </w:rPr>
        <w:t>Thank you</w:t>
      </w:r>
    </w:p>
    <w:p w14:paraId="309098DF" w14:textId="77777777" w:rsidR="00607DDB" w:rsidRPr="00B343DE" w:rsidRDefault="00607DDB" w:rsidP="00607DDB">
      <w:pPr>
        <w:pStyle w:val="ListParagraph"/>
        <w:jc w:val="both"/>
        <w:rPr>
          <w:rStyle w:val="Hyperlink"/>
          <w:rFonts w:asciiTheme="minorHAnsi" w:hAnsiTheme="minorHAnsi" w:cstheme="minorHAnsi"/>
          <w:szCs w:val="24"/>
        </w:rPr>
      </w:pPr>
    </w:p>
    <w:p w14:paraId="364579B4" w14:textId="77777777" w:rsidR="00607DDB" w:rsidRPr="00B343DE" w:rsidRDefault="00607DDB" w:rsidP="00607DDB">
      <w:pPr>
        <w:pStyle w:val="ListParagraph"/>
        <w:jc w:val="both"/>
        <w:rPr>
          <w:rStyle w:val="Hyperlink"/>
          <w:rFonts w:asciiTheme="minorHAnsi" w:hAnsiTheme="minorHAnsi" w:cstheme="minorHAnsi"/>
          <w:szCs w:val="24"/>
        </w:rPr>
      </w:pPr>
    </w:p>
    <w:p w14:paraId="225ACE4D" w14:textId="77777777" w:rsidR="00607DDB" w:rsidRPr="00B343DE" w:rsidRDefault="00607DDB" w:rsidP="00607DDB">
      <w:pPr>
        <w:pStyle w:val="ListParagraph"/>
        <w:jc w:val="both"/>
        <w:rPr>
          <w:rStyle w:val="Hyperlink"/>
          <w:rFonts w:asciiTheme="minorHAnsi" w:hAnsiTheme="minorHAnsi" w:cstheme="minorHAnsi"/>
          <w:szCs w:val="24"/>
        </w:rPr>
      </w:pPr>
    </w:p>
    <w:p w14:paraId="10A926A2" w14:textId="77777777" w:rsidR="00607DDB" w:rsidRPr="00B343DE" w:rsidRDefault="00607DDB" w:rsidP="00607DDB">
      <w:pPr>
        <w:pStyle w:val="ListParagraph"/>
        <w:jc w:val="both"/>
        <w:rPr>
          <w:rStyle w:val="Hyperlink"/>
          <w:rFonts w:asciiTheme="minorHAnsi" w:hAnsiTheme="minorHAnsi" w:cstheme="minorHAnsi"/>
          <w:szCs w:val="24"/>
        </w:rPr>
      </w:pPr>
    </w:p>
    <w:p w14:paraId="443BD358" w14:textId="77777777" w:rsidR="00607DDB" w:rsidRPr="00B343DE" w:rsidRDefault="00607DDB" w:rsidP="00607DDB">
      <w:pPr>
        <w:pStyle w:val="ListParagraph"/>
        <w:jc w:val="both"/>
        <w:rPr>
          <w:rStyle w:val="Hyperlink"/>
          <w:rFonts w:asciiTheme="minorHAnsi" w:hAnsiTheme="minorHAnsi" w:cstheme="minorHAnsi"/>
          <w:szCs w:val="24"/>
        </w:rPr>
      </w:pPr>
    </w:p>
    <w:p w14:paraId="46279D2D" w14:textId="77777777" w:rsidR="00607DDB" w:rsidRPr="00B343DE" w:rsidRDefault="00607DDB" w:rsidP="00607DDB">
      <w:pPr>
        <w:pStyle w:val="ListParagraph"/>
        <w:jc w:val="both"/>
        <w:rPr>
          <w:rStyle w:val="Hyperlink"/>
          <w:rFonts w:asciiTheme="minorHAnsi" w:hAnsiTheme="minorHAnsi" w:cstheme="minorHAnsi"/>
          <w:szCs w:val="24"/>
        </w:rPr>
      </w:pPr>
    </w:p>
    <w:p w14:paraId="78C5A8C0" w14:textId="77777777" w:rsidR="00607DDB" w:rsidRPr="00B343DE" w:rsidRDefault="00607DDB" w:rsidP="00607DDB">
      <w:pPr>
        <w:pStyle w:val="ListParagraph"/>
        <w:jc w:val="both"/>
        <w:rPr>
          <w:rStyle w:val="Hyperlink"/>
          <w:rFonts w:asciiTheme="minorHAnsi" w:hAnsiTheme="minorHAnsi" w:cstheme="minorHAnsi"/>
          <w:szCs w:val="24"/>
        </w:rPr>
      </w:pPr>
    </w:p>
    <w:p w14:paraId="51E7D30C" w14:textId="77777777" w:rsidR="00607DDB" w:rsidRPr="00B343DE" w:rsidRDefault="00607DDB" w:rsidP="00607DDB">
      <w:pPr>
        <w:pStyle w:val="ListParagraph"/>
        <w:jc w:val="both"/>
        <w:rPr>
          <w:rStyle w:val="Hyperlink"/>
          <w:rFonts w:asciiTheme="minorHAnsi" w:hAnsiTheme="minorHAnsi" w:cstheme="minorHAnsi"/>
          <w:szCs w:val="24"/>
        </w:rPr>
      </w:pPr>
    </w:p>
    <w:p w14:paraId="45985298" w14:textId="77777777" w:rsidR="00607DDB" w:rsidRPr="00B343DE" w:rsidRDefault="00607DDB" w:rsidP="00607DDB">
      <w:pPr>
        <w:pStyle w:val="ListParagraph"/>
        <w:jc w:val="both"/>
        <w:rPr>
          <w:rStyle w:val="Hyperlink"/>
          <w:rFonts w:asciiTheme="minorHAnsi" w:hAnsiTheme="minorHAnsi" w:cstheme="minorHAnsi"/>
          <w:szCs w:val="24"/>
        </w:rPr>
      </w:pPr>
    </w:p>
    <w:p w14:paraId="7FA565E2" w14:textId="77777777" w:rsidR="00607DDB" w:rsidRPr="00B343DE" w:rsidRDefault="00607DDB" w:rsidP="00607DDB">
      <w:pPr>
        <w:pStyle w:val="ListParagraph"/>
        <w:jc w:val="both"/>
        <w:rPr>
          <w:rStyle w:val="Hyperlink"/>
          <w:rFonts w:asciiTheme="minorHAnsi" w:hAnsiTheme="minorHAnsi" w:cstheme="minorHAnsi"/>
          <w:szCs w:val="24"/>
        </w:rPr>
      </w:pPr>
    </w:p>
    <w:p w14:paraId="0742990C" w14:textId="77777777" w:rsidR="00607DDB" w:rsidRPr="00B343DE" w:rsidRDefault="00607DDB" w:rsidP="00607DDB">
      <w:pPr>
        <w:pStyle w:val="ListParagraph"/>
        <w:jc w:val="both"/>
        <w:rPr>
          <w:rStyle w:val="Hyperlink"/>
          <w:rFonts w:asciiTheme="minorHAnsi" w:hAnsiTheme="minorHAnsi" w:cstheme="minorHAnsi"/>
          <w:szCs w:val="24"/>
        </w:rPr>
      </w:pPr>
    </w:p>
    <w:p w14:paraId="20F62446" w14:textId="77777777" w:rsidR="00607DDB" w:rsidRPr="00B343DE" w:rsidRDefault="00607DDB" w:rsidP="00607DDB">
      <w:pPr>
        <w:pStyle w:val="ListParagraph"/>
        <w:jc w:val="both"/>
        <w:rPr>
          <w:rStyle w:val="Hyperlink"/>
          <w:rFonts w:asciiTheme="minorHAnsi" w:hAnsiTheme="minorHAnsi" w:cstheme="minorHAnsi"/>
          <w:szCs w:val="24"/>
        </w:rPr>
      </w:pPr>
    </w:p>
    <w:p w14:paraId="1DDA4CC6" w14:textId="77777777" w:rsidR="00607DDB" w:rsidRPr="00B343DE" w:rsidRDefault="00607DDB" w:rsidP="00607DDB">
      <w:pPr>
        <w:pStyle w:val="ListParagraph"/>
        <w:jc w:val="both"/>
        <w:rPr>
          <w:rStyle w:val="Hyperlink"/>
          <w:rFonts w:asciiTheme="minorHAnsi" w:hAnsiTheme="minorHAnsi" w:cstheme="minorHAnsi"/>
          <w:szCs w:val="24"/>
        </w:rPr>
      </w:pPr>
    </w:p>
    <w:p w14:paraId="5AC01C5F" w14:textId="77777777" w:rsidR="00607DDB" w:rsidRPr="00B343DE" w:rsidRDefault="00607DDB" w:rsidP="00607DDB">
      <w:pPr>
        <w:pStyle w:val="ListParagraph"/>
        <w:jc w:val="both"/>
        <w:rPr>
          <w:rStyle w:val="Hyperlink"/>
          <w:rFonts w:asciiTheme="minorHAnsi" w:hAnsiTheme="minorHAnsi" w:cstheme="minorHAnsi"/>
          <w:szCs w:val="24"/>
        </w:rPr>
      </w:pPr>
    </w:p>
    <w:p w14:paraId="170D5D8D" w14:textId="77777777" w:rsidR="00607DDB" w:rsidRPr="00B343DE" w:rsidRDefault="00607DDB" w:rsidP="00607DDB">
      <w:pPr>
        <w:pStyle w:val="ListParagraph"/>
        <w:jc w:val="both"/>
        <w:rPr>
          <w:rStyle w:val="Hyperlink"/>
          <w:rFonts w:asciiTheme="minorHAnsi" w:hAnsiTheme="minorHAnsi" w:cstheme="minorHAnsi"/>
          <w:szCs w:val="24"/>
        </w:rPr>
      </w:pPr>
    </w:p>
    <w:p w14:paraId="76CAB96B" w14:textId="77777777" w:rsidR="00607DDB" w:rsidRPr="00B343DE" w:rsidRDefault="00607DDB" w:rsidP="00607DDB">
      <w:pPr>
        <w:pStyle w:val="ListParagraph"/>
        <w:jc w:val="both"/>
        <w:rPr>
          <w:rStyle w:val="Hyperlink"/>
          <w:rFonts w:asciiTheme="minorHAnsi" w:hAnsiTheme="minorHAnsi" w:cstheme="minorHAnsi"/>
          <w:szCs w:val="24"/>
        </w:rPr>
      </w:pPr>
    </w:p>
    <w:p w14:paraId="5A383DD9" w14:textId="77777777" w:rsidR="00607DDB" w:rsidRPr="00B343DE" w:rsidRDefault="00607DDB" w:rsidP="00607DDB">
      <w:pPr>
        <w:pStyle w:val="ListParagraph"/>
        <w:jc w:val="both"/>
        <w:rPr>
          <w:rStyle w:val="Hyperlink"/>
          <w:rFonts w:asciiTheme="minorHAnsi" w:hAnsiTheme="minorHAnsi" w:cstheme="minorHAnsi"/>
          <w:szCs w:val="24"/>
        </w:rPr>
      </w:pPr>
    </w:p>
    <w:p w14:paraId="3AA990F6" w14:textId="77777777" w:rsidR="00607DDB" w:rsidRPr="00B343DE" w:rsidRDefault="00607DDB" w:rsidP="00607DDB">
      <w:pPr>
        <w:pStyle w:val="ListParagraph"/>
        <w:jc w:val="both"/>
        <w:rPr>
          <w:rStyle w:val="Hyperlink"/>
          <w:rFonts w:asciiTheme="minorHAnsi" w:hAnsiTheme="minorHAnsi" w:cstheme="minorHAnsi"/>
          <w:szCs w:val="24"/>
        </w:rPr>
      </w:pPr>
    </w:p>
    <w:p w14:paraId="162B131F" w14:textId="77777777" w:rsidR="00607DDB" w:rsidRPr="00B343DE" w:rsidRDefault="00607DDB" w:rsidP="00607DDB">
      <w:pPr>
        <w:pStyle w:val="ListParagraph"/>
        <w:jc w:val="both"/>
        <w:rPr>
          <w:rStyle w:val="Hyperlink"/>
          <w:rFonts w:asciiTheme="minorHAnsi" w:hAnsiTheme="minorHAnsi" w:cstheme="minorHAnsi"/>
          <w:szCs w:val="24"/>
        </w:rPr>
      </w:pPr>
    </w:p>
    <w:p w14:paraId="0D89595E" w14:textId="77777777" w:rsidR="00607DDB" w:rsidRPr="00B343DE" w:rsidRDefault="00607DDB" w:rsidP="00607DDB">
      <w:pPr>
        <w:pStyle w:val="ListParagraph"/>
        <w:jc w:val="both"/>
        <w:rPr>
          <w:rStyle w:val="Hyperlink"/>
          <w:rFonts w:asciiTheme="minorHAnsi" w:hAnsiTheme="minorHAnsi" w:cstheme="minorHAnsi"/>
          <w:szCs w:val="24"/>
        </w:rPr>
      </w:pPr>
    </w:p>
    <w:p w14:paraId="69361B1A" w14:textId="77777777" w:rsidR="00607DDB" w:rsidRPr="00B343DE" w:rsidRDefault="00607DDB" w:rsidP="00607DDB">
      <w:pPr>
        <w:pStyle w:val="ListParagraph"/>
        <w:jc w:val="both"/>
        <w:rPr>
          <w:rStyle w:val="Hyperlink"/>
          <w:rFonts w:asciiTheme="minorHAnsi" w:hAnsiTheme="minorHAnsi" w:cstheme="minorHAnsi"/>
          <w:szCs w:val="24"/>
        </w:rPr>
      </w:pPr>
    </w:p>
    <w:p w14:paraId="5BBA97E0" w14:textId="77777777" w:rsidR="00607DDB" w:rsidRPr="00B343DE" w:rsidRDefault="00607DDB" w:rsidP="00607DDB">
      <w:pPr>
        <w:pStyle w:val="ListParagraph"/>
        <w:jc w:val="both"/>
        <w:rPr>
          <w:rStyle w:val="Hyperlink"/>
          <w:rFonts w:asciiTheme="minorHAnsi" w:hAnsiTheme="minorHAnsi" w:cstheme="minorHAnsi"/>
          <w:szCs w:val="24"/>
        </w:rPr>
      </w:pPr>
    </w:p>
    <w:p w14:paraId="206147A4" w14:textId="77777777" w:rsidR="00607DDB" w:rsidRPr="00B343DE" w:rsidRDefault="00607DDB" w:rsidP="00607DDB">
      <w:pPr>
        <w:pStyle w:val="ListParagraph"/>
        <w:jc w:val="both"/>
        <w:rPr>
          <w:rStyle w:val="Hyperlink"/>
          <w:rFonts w:asciiTheme="minorHAnsi" w:hAnsiTheme="minorHAnsi" w:cstheme="minorHAnsi"/>
          <w:szCs w:val="24"/>
        </w:rPr>
      </w:pPr>
    </w:p>
    <w:p w14:paraId="4F061B32" w14:textId="77777777" w:rsidR="00607DDB" w:rsidRPr="00B343DE" w:rsidRDefault="00607DDB" w:rsidP="00607DDB">
      <w:pPr>
        <w:rPr>
          <w:rFonts w:asciiTheme="minorHAnsi" w:hAnsiTheme="minorHAnsi" w:cstheme="minorHAnsi"/>
          <w:szCs w:val="24"/>
        </w:rPr>
      </w:pPr>
    </w:p>
    <w:p w14:paraId="384E24FB" w14:textId="77777777" w:rsidR="00607DDB" w:rsidRPr="00B343DE" w:rsidRDefault="00607DDB" w:rsidP="00607DDB">
      <w:pPr>
        <w:rPr>
          <w:rFonts w:asciiTheme="minorHAnsi" w:hAnsiTheme="minorHAnsi" w:cstheme="minorHAnsi"/>
          <w:szCs w:val="24"/>
        </w:rPr>
      </w:pPr>
    </w:p>
    <w:p w14:paraId="28ED8687" w14:textId="77777777" w:rsidR="00607DDB" w:rsidRPr="00B343DE" w:rsidRDefault="00607DDB" w:rsidP="00607DDB">
      <w:pPr>
        <w:rPr>
          <w:rFonts w:asciiTheme="minorHAnsi" w:hAnsiTheme="minorHAnsi" w:cstheme="minorHAnsi"/>
          <w:szCs w:val="24"/>
        </w:rPr>
      </w:pPr>
    </w:p>
    <w:p w14:paraId="0C70BD97" w14:textId="77777777" w:rsidR="003C5991" w:rsidRPr="00B343DE" w:rsidRDefault="003C5991">
      <w:pPr>
        <w:rPr>
          <w:rFonts w:asciiTheme="minorHAnsi" w:hAnsiTheme="minorHAnsi" w:cstheme="minorHAnsi"/>
          <w:szCs w:val="24"/>
        </w:rPr>
      </w:pPr>
    </w:p>
    <w:sectPr w:rsidR="003C5991" w:rsidRPr="00B343D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7BFE" w14:textId="77777777" w:rsidR="00D27C1A" w:rsidRDefault="00D27C1A">
      <w:pPr>
        <w:spacing w:after="0" w:line="240" w:lineRule="auto"/>
      </w:pPr>
      <w:r>
        <w:separator/>
      </w:r>
    </w:p>
  </w:endnote>
  <w:endnote w:type="continuationSeparator" w:id="0">
    <w:p w14:paraId="4DDBF925" w14:textId="77777777" w:rsidR="00D27C1A" w:rsidRDefault="00D2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ヒラギノ角ゴ Pro W3">
    <w:altName w:val="MS Gothic"/>
    <w:panose1 w:val="020B0300000000000000"/>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72454"/>
      <w:docPartObj>
        <w:docPartGallery w:val="Page Numbers (Bottom of Page)"/>
        <w:docPartUnique/>
      </w:docPartObj>
    </w:sdtPr>
    <w:sdtEndPr>
      <w:rPr>
        <w:noProof/>
      </w:rPr>
    </w:sdtEndPr>
    <w:sdtContent>
      <w:p w14:paraId="4F7CD68D" w14:textId="77777777" w:rsidR="00903DA7" w:rsidRDefault="00607DD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33FBE76" w14:textId="77777777" w:rsidR="001C31E6" w:rsidRDefault="00D27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3226" w14:textId="77777777" w:rsidR="00D27C1A" w:rsidRDefault="00D27C1A">
      <w:pPr>
        <w:spacing w:after="0" w:line="240" w:lineRule="auto"/>
      </w:pPr>
      <w:r>
        <w:separator/>
      </w:r>
    </w:p>
  </w:footnote>
  <w:footnote w:type="continuationSeparator" w:id="0">
    <w:p w14:paraId="1336C4DB" w14:textId="77777777" w:rsidR="00D27C1A" w:rsidRDefault="00D27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24D8"/>
    <w:multiLevelType w:val="hybridMultilevel"/>
    <w:tmpl w:val="749AAD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D7332"/>
    <w:multiLevelType w:val="hybridMultilevel"/>
    <w:tmpl w:val="4348748C"/>
    <w:styleLink w:val="ImportedStyle1"/>
    <w:lvl w:ilvl="0" w:tplc="858CE2E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AA167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06B66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1E3A5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74029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6A3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8EBAA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90704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36535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91118DE"/>
    <w:multiLevelType w:val="hybridMultilevel"/>
    <w:tmpl w:val="44526E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659546">
    <w:abstractNumId w:val="0"/>
  </w:num>
  <w:num w:numId="2" w16cid:durableId="303240531">
    <w:abstractNumId w:val="1"/>
  </w:num>
  <w:num w:numId="3" w16cid:durableId="1477913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DB"/>
    <w:rsid w:val="0004770E"/>
    <w:rsid w:val="00047F3D"/>
    <w:rsid w:val="003668EF"/>
    <w:rsid w:val="003C5991"/>
    <w:rsid w:val="005E73D5"/>
    <w:rsid w:val="00600FE1"/>
    <w:rsid w:val="00607DDB"/>
    <w:rsid w:val="00824B36"/>
    <w:rsid w:val="008E5090"/>
    <w:rsid w:val="009D390B"/>
    <w:rsid w:val="00B343DE"/>
    <w:rsid w:val="00B6188D"/>
    <w:rsid w:val="00BC7044"/>
    <w:rsid w:val="00CA6728"/>
    <w:rsid w:val="00D27C1A"/>
    <w:rsid w:val="00E6012C"/>
    <w:rsid w:val="00E91B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AC6E"/>
  <w15:chartTrackingRefBased/>
  <w15:docId w15:val="{6F6B9E26-AC36-4CEB-9B78-C5BDA8DB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DDB"/>
    <w:pPr>
      <w:spacing w:after="200" w:line="276" w:lineRule="auto"/>
    </w:pPr>
    <w:rPr>
      <w:rFonts w:ascii="Times New Roman" w:hAnsi="Times New Roman"/>
      <w:sz w:val="24"/>
    </w:rPr>
  </w:style>
  <w:style w:type="paragraph" w:styleId="Heading2">
    <w:name w:val="heading 2"/>
    <w:basedOn w:val="Normal"/>
    <w:next w:val="Normal"/>
    <w:link w:val="Heading2Char"/>
    <w:uiPriority w:val="9"/>
    <w:unhideWhenUsed/>
    <w:qFormat/>
    <w:rsid w:val="00607DD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DDB"/>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607DDB"/>
    <w:pPr>
      <w:ind w:left="720"/>
      <w:contextualSpacing/>
    </w:pPr>
  </w:style>
  <w:style w:type="paragraph" w:styleId="Header">
    <w:name w:val="header"/>
    <w:basedOn w:val="Normal"/>
    <w:link w:val="HeaderChar"/>
    <w:uiPriority w:val="99"/>
    <w:unhideWhenUsed/>
    <w:rsid w:val="00607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DDB"/>
    <w:rPr>
      <w:rFonts w:ascii="Times New Roman" w:hAnsi="Times New Roman"/>
      <w:sz w:val="24"/>
    </w:rPr>
  </w:style>
  <w:style w:type="paragraph" w:styleId="Footer">
    <w:name w:val="footer"/>
    <w:basedOn w:val="Normal"/>
    <w:link w:val="FooterChar"/>
    <w:uiPriority w:val="99"/>
    <w:unhideWhenUsed/>
    <w:rsid w:val="00607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DDB"/>
    <w:rPr>
      <w:rFonts w:ascii="Times New Roman" w:hAnsi="Times New Roman"/>
      <w:sz w:val="24"/>
    </w:rPr>
  </w:style>
  <w:style w:type="character" w:styleId="Hyperlink">
    <w:name w:val="Hyperlink"/>
    <w:basedOn w:val="DefaultParagraphFont"/>
    <w:uiPriority w:val="99"/>
    <w:unhideWhenUsed/>
    <w:rsid w:val="00607DDB"/>
    <w:rPr>
      <w:color w:val="0563C1" w:themeColor="hyperlink"/>
      <w:u w:val="single"/>
    </w:rPr>
  </w:style>
  <w:style w:type="numbering" w:customStyle="1" w:styleId="ImportedStyle1">
    <w:name w:val="Imported Style 1"/>
    <w:rsid w:val="009D390B"/>
    <w:pPr>
      <w:numPr>
        <w:numId w:val="2"/>
      </w:numPr>
    </w:pPr>
  </w:style>
  <w:style w:type="paragraph" w:customStyle="1" w:styleId="Default">
    <w:name w:val="Default"/>
    <w:rsid w:val="009D390B"/>
    <w:pPr>
      <w:autoSpaceDE w:val="0"/>
      <w:autoSpaceDN w:val="0"/>
      <w:adjustRightInd w:val="0"/>
      <w:spacing w:after="0" w:line="240" w:lineRule="auto"/>
    </w:pPr>
    <w:rPr>
      <w:rFonts w:ascii="Trebuchet MS" w:hAnsi="Trebuchet MS" w:cs="Trebuchet MS"/>
      <w:color w:val="000000"/>
      <w:sz w:val="24"/>
      <w:szCs w:val="24"/>
    </w:rPr>
  </w:style>
  <w:style w:type="paragraph" w:styleId="Revision">
    <w:name w:val="Revision"/>
    <w:hidden/>
    <w:uiPriority w:val="99"/>
    <w:semiHidden/>
    <w:rsid w:val="00E91BF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Orlagh</dc:creator>
  <cp:keywords/>
  <dc:description/>
  <cp:lastModifiedBy>Reem Alsalem</cp:lastModifiedBy>
  <cp:revision>2</cp:revision>
  <dcterms:created xsi:type="dcterms:W3CDTF">2022-05-11T11:32:00Z</dcterms:created>
  <dcterms:modified xsi:type="dcterms:W3CDTF">2022-05-11T11:32:00Z</dcterms:modified>
</cp:coreProperties>
</file>