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14CCD" w14:textId="4ECB1FBE" w:rsidR="00BA3062" w:rsidRPr="00BA3062" w:rsidRDefault="00BA3062" w:rsidP="00256FF9">
      <w:pPr>
        <w:pStyle w:val="NoSpacing"/>
        <w:rPr>
          <w:sz w:val="28"/>
          <w:szCs w:val="28"/>
        </w:rPr>
      </w:pPr>
    </w:p>
    <w:p w14:paraId="34E7E417" w14:textId="77777777" w:rsidR="00BA3062" w:rsidRPr="00BA3062" w:rsidRDefault="00BA3062" w:rsidP="00256FF9">
      <w:pPr>
        <w:pStyle w:val="NoSpacing"/>
        <w:rPr>
          <w:sz w:val="28"/>
          <w:szCs w:val="28"/>
        </w:rPr>
      </w:pPr>
    </w:p>
    <w:p w14:paraId="3189140C" w14:textId="21187C7D" w:rsidR="00BA3062" w:rsidRPr="00BA3062" w:rsidRDefault="00BA3062" w:rsidP="00256FF9">
      <w:pPr>
        <w:pStyle w:val="NoSpacing"/>
        <w:rPr>
          <w:rFonts w:ascii="Times New Roman" w:hAnsi="Times New Roman" w:cs="Times New Roman"/>
          <w:b/>
          <w:bCs/>
          <w:sz w:val="28"/>
          <w:szCs w:val="28"/>
        </w:rPr>
      </w:pPr>
      <w:r w:rsidRPr="00BA3062">
        <w:rPr>
          <w:rFonts w:ascii="Times New Roman" w:hAnsi="Times New Roman" w:cs="Times New Roman"/>
          <w:b/>
          <w:bCs/>
          <w:sz w:val="28"/>
          <w:szCs w:val="28"/>
        </w:rPr>
        <w:t>Name: Amanda V. Irving</w:t>
      </w:r>
    </w:p>
    <w:p w14:paraId="20D133CE" w14:textId="4E6CB911" w:rsidR="00BA3062" w:rsidRPr="00BA3062" w:rsidRDefault="00BA3062" w:rsidP="00256FF9">
      <w:pPr>
        <w:pStyle w:val="NoSpacing"/>
        <w:rPr>
          <w:rFonts w:ascii="Times New Roman" w:hAnsi="Times New Roman" w:cs="Times New Roman"/>
          <w:b/>
          <w:bCs/>
          <w:sz w:val="28"/>
          <w:szCs w:val="28"/>
        </w:rPr>
      </w:pPr>
      <w:r w:rsidRPr="00BA3062">
        <w:rPr>
          <w:rFonts w:ascii="Times New Roman" w:hAnsi="Times New Roman" w:cs="Times New Roman"/>
          <w:b/>
          <w:bCs/>
          <w:sz w:val="28"/>
          <w:szCs w:val="28"/>
        </w:rPr>
        <w:t xml:space="preserve">Affiliation: American Sociological Association (ASA) </w:t>
      </w:r>
    </w:p>
    <w:p w14:paraId="376F4D7E" w14:textId="77777777" w:rsidR="00BA3062" w:rsidRDefault="00BA3062" w:rsidP="00256FF9">
      <w:pPr>
        <w:pStyle w:val="NoSpacing"/>
        <w:rPr>
          <w:sz w:val="13"/>
          <w:szCs w:val="13"/>
        </w:rPr>
      </w:pPr>
    </w:p>
    <w:p w14:paraId="047A1E2E" w14:textId="14BD2634" w:rsidR="00256FF9" w:rsidRDefault="00663A6A" w:rsidP="00256FF9">
      <w:pPr>
        <w:pStyle w:val="NoSpacing"/>
        <w:rPr>
          <w:sz w:val="13"/>
          <w:szCs w:val="13"/>
          <w:u w:val="single"/>
        </w:rPr>
      </w:pPr>
      <w:r w:rsidRPr="00256FF9">
        <w:rPr>
          <w:sz w:val="13"/>
          <w:szCs w:val="13"/>
        </w:rPr>
        <w:t>Reference: WHRGS/HRC/RES/47/5</w:t>
      </w:r>
      <w:r w:rsidR="00256FF9">
        <w:rPr>
          <w:sz w:val="13"/>
          <w:szCs w:val="13"/>
        </w:rPr>
        <w:t xml:space="preserve">: </w:t>
      </w:r>
      <w:r w:rsidR="00C40721" w:rsidRPr="00256FF9">
        <w:rPr>
          <w:sz w:val="13"/>
          <w:szCs w:val="13"/>
        </w:rPr>
        <w:t xml:space="preserve"> </w:t>
      </w:r>
      <w:r w:rsidRPr="00256FF9">
        <w:rPr>
          <w:sz w:val="13"/>
          <w:szCs w:val="13"/>
        </w:rPr>
        <w:t xml:space="preserve">Call for submission for a report on the impact of the COVID-19 pandemic on the realization of the equal enjoyment of the right to education by every girl </w:t>
      </w:r>
    </w:p>
    <w:p w14:paraId="0114BFE3" w14:textId="77777777" w:rsidR="00256FF9" w:rsidRPr="00256FF9" w:rsidRDefault="00256FF9" w:rsidP="00256FF9">
      <w:pPr>
        <w:pStyle w:val="NoSpacing"/>
        <w:rPr>
          <w:sz w:val="13"/>
          <w:szCs w:val="13"/>
          <w:u w:val="single"/>
        </w:rPr>
      </w:pPr>
    </w:p>
    <w:p w14:paraId="61E219D8" w14:textId="3D0796AF" w:rsidR="00BC6CBB" w:rsidRPr="00256FF9" w:rsidRDefault="00DE3102" w:rsidP="00256FF9">
      <w:pPr>
        <w:pStyle w:val="NoSpacing"/>
        <w:rPr>
          <w:rFonts w:ascii="Times New Roman" w:hAnsi="Times New Roman" w:cs="Times New Roman"/>
          <w:b/>
          <w:bCs/>
          <w:sz w:val="22"/>
          <w:szCs w:val="22"/>
          <w:u w:val="single"/>
        </w:rPr>
      </w:pPr>
      <w:r w:rsidRPr="00256FF9">
        <w:rPr>
          <w:rFonts w:ascii="Times New Roman" w:hAnsi="Times New Roman" w:cs="Times New Roman"/>
          <w:b/>
          <w:bCs/>
          <w:sz w:val="22"/>
          <w:szCs w:val="22"/>
          <w:u w:val="single"/>
        </w:rPr>
        <w:t xml:space="preserve">Section </w:t>
      </w:r>
      <w:r w:rsidR="00256FF9" w:rsidRPr="00256FF9">
        <w:rPr>
          <w:rFonts w:ascii="Times New Roman" w:hAnsi="Times New Roman" w:cs="Times New Roman"/>
          <w:b/>
          <w:bCs/>
          <w:sz w:val="22"/>
          <w:szCs w:val="22"/>
          <w:u w:val="single"/>
        </w:rPr>
        <w:t>1: Challenges</w:t>
      </w:r>
      <w:r w:rsidRPr="00256FF9">
        <w:rPr>
          <w:rFonts w:ascii="Times New Roman" w:hAnsi="Times New Roman" w:cs="Times New Roman"/>
          <w:b/>
          <w:bCs/>
          <w:sz w:val="22"/>
          <w:szCs w:val="22"/>
          <w:u w:val="single"/>
        </w:rPr>
        <w:t xml:space="preserve"> and barriers that girls have been facing in the context of the COVID-19 pandemic</w:t>
      </w:r>
    </w:p>
    <w:p w14:paraId="6FC95862" w14:textId="16266C9B" w:rsidR="00E914A4" w:rsidRDefault="00BC6CBB" w:rsidP="00E914A4">
      <w:pPr>
        <w:tabs>
          <w:tab w:val="right" w:pos="3686"/>
          <w:tab w:val="left" w:pos="5812"/>
        </w:tabs>
        <w:spacing w:before="80" w:after="360"/>
        <w:rPr>
          <w:rFonts w:ascii="Times New Roman" w:hAnsi="Times New Roman" w:cs="Times New Roman"/>
          <w:b/>
          <w:bCs/>
          <w:sz w:val="21"/>
          <w:szCs w:val="21"/>
        </w:rPr>
      </w:pPr>
      <w:r>
        <w:rPr>
          <w:rFonts w:ascii="Times New Roman" w:hAnsi="Times New Roman" w:cs="Times New Roman"/>
          <w:sz w:val="21"/>
          <w:szCs w:val="21"/>
        </w:rPr>
        <w:tab/>
        <w:t xml:space="preserve">        </w:t>
      </w:r>
      <w:r w:rsidR="00E914A4">
        <w:rPr>
          <w:rFonts w:ascii="Times New Roman" w:hAnsi="Times New Roman" w:cs="Times New Roman"/>
          <w:sz w:val="21"/>
          <w:szCs w:val="21"/>
        </w:rPr>
        <w:t xml:space="preserve">            </w:t>
      </w:r>
      <w:r w:rsidR="00607441" w:rsidRPr="00C40721">
        <w:rPr>
          <w:rFonts w:ascii="Times New Roman" w:hAnsi="Times New Roman" w:cs="Times New Roman"/>
          <w:b/>
          <w:bCs/>
          <w:sz w:val="21"/>
          <w:szCs w:val="21"/>
        </w:rPr>
        <w:t>The COVID-19 pandemic is considered to be the greatest existential threat impacting society on a global scale since the 1918</w:t>
      </w:r>
      <w:r w:rsidR="00E914A4">
        <w:rPr>
          <w:rFonts w:ascii="Times New Roman" w:hAnsi="Times New Roman" w:cs="Times New Roman"/>
          <w:b/>
          <w:bCs/>
          <w:sz w:val="21"/>
          <w:szCs w:val="21"/>
        </w:rPr>
        <w:t xml:space="preserve"> Spanish flu outbreak. </w:t>
      </w:r>
      <w:r w:rsidR="00607441" w:rsidRPr="00C40721">
        <w:rPr>
          <w:rFonts w:ascii="Times New Roman" w:hAnsi="Times New Roman" w:cs="Times New Roman"/>
          <w:b/>
          <w:bCs/>
          <w:sz w:val="21"/>
          <w:szCs w:val="21"/>
        </w:rPr>
        <w:t xml:space="preserve">COVID-19, without question, has insidiously </w:t>
      </w:r>
      <w:r w:rsidR="00C40721" w:rsidRPr="00C40721">
        <w:rPr>
          <w:rFonts w:ascii="Times New Roman" w:hAnsi="Times New Roman" w:cs="Times New Roman"/>
          <w:b/>
          <w:bCs/>
          <w:sz w:val="21"/>
          <w:szCs w:val="21"/>
        </w:rPr>
        <w:t>wreaked havoc</w:t>
      </w:r>
      <w:r w:rsidR="00607441" w:rsidRPr="00C40721">
        <w:rPr>
          <w:rFonts w:ascii="Times New Roman" w:hAnsi="Times New Roman" w:cs="Times New Roman"/>
          <w:b/>
          <w:bCs/>
          <w:sz w:val="21"/>
          <w:szCs w:val="21"/>
        </w:rPr>
        <w:t xml:space="preserve"> on individuals’ lives from all sectors, such as the economy and employment. In this report, I will be discussing </w:t>
      </w:r>
      <w:r w:rsidR="00C40721" w:rsidRPr="00C40721">
        <w:rPr>
          <w:rFonts w:ascii="Times New Roman" w:hAnsi="Times New Roman" w:cs="Times New Roman"/>
          <w:b/>
          <w:bCs/>
          <w:sz w:val="21"/>
          <w:szCs w:val="21"/>
        </w:rPr>
        <w:t xml:space="preserve">the education </w:t>
      </w:r>
      <w:r w:rsidR="00C40721" w:rsidRPr="00E137A2">
        <w:rPr>
          <w:rFonts w:ascii="Times New Roman" w:hAnsi="Times New Roman" w:cs="Times New Roman"/>
          <w:b/>
          <w:bCs/>
          <w:sz w:val="21"/>
          <w:szCs w:val="21"/>
        </w:rPr>
        <w:t>system</w:t>
      </w:r>
      <w:r w:rsidR="00256FF9" w:rsidRPr="00E137A2">
        <w:rPr>
          <w:rFonts w:ascii="Times New Roman" w:hAnsi="Times New Roman" w:cs="Times New Roman"/>
          <w:b/>
          <w:bCs/>
          <w:sz w:val="21"/>
          <w:szCs w:val="21"/>
        </w:rPr>
        <w:t xml:space="preserve"> </w:t>
      </w:r>
      <w:r w:rsidR="00C40721" w:rsidRPr="00E137A2">
        <w:rPr>
          <w:rFonts w:ascii="Times New Roman" w:hAnsi="Times New Roman" w:cs="Times New Roman"/>
          <w:b/>
          <w:bCs/>
          <w:sz w:val="21"/>
          <w:szCs w:val="21"/>
        </w:rPr>
        <w:t>on a global scale</w:t>
      </w:r>
      <w:r w:rsidR="00256FF9">
        <w:rPr>
          <w:rFonts w:ascii="Times New Roman" w:hAnsi="Times New Roman" w:cs="Times New Roman"/>
          <w:b/>
          <w:bCs/>
          <w:sz w:val="21"/>
          <w:szCs w:val="21"/>
        </w:rPr>
        <w:t xml:space="preserve"> </w:t>
      </w:r>
      <w:r w:rsidR="00C40721" w:rsidRPr="00C40721">
        <w:rPr>
          <w:rFonts w:ascii="Times New Roman" w:hAnsi="Times New Roman" w:cs="Times New Roman"/>
          <w:b/>
          <w:bCs/>
          <w:sz w:val="21"/>
          <w:szCs w:val="21"/>
        </w:rPr>
        <w:t>and its subsequent ramifications on girls’ overall well-being and holistic developme</w:t>
      </w:r>
      <w:r w:rsidR="00E914A4">
        <w:rPr>
          <w:rFonts w:ascii="Times New Roman" w:hAnsi="Times New Roman" w:cs="Times New Roman"/>
          <w:b/>
          <w:bCs/>
          <w:sz w:val="21"/>
          <w:szCs w:val="21"/>
        </w:rPr>
        <w:t xml:space="preserve">nt. </w:t>
      </w:r>
    </w:p>
    <w:p w14:paraId="639FE083" w14:textId="66E804BF" w:rsidR="0068150B" w:rsidRPr="00E914A4" w:rsidRDefault="00E914A4" w:rsidP="00E914A4">
      <w:pPr>
        <w:tabs>
          <w:tab w:val="right" w:pos="3686"/>
          <w:tab w:val="left" w:pos="5812"/>
        </w:tabs>
        <w:spacing w:before="80" w:after="360"/>
        <w:rPr>
          <w:rFonts w:ascii="Times New Roman" w:hAnsi="Times New Roman" w:cs="Times New Roman"/>
          <w:b/>
          <w:bCs/>
          <w:sz w:val="21"/>
          <w:szCs w:val="21"/>
        </w:rPr>
      </w:pPr>
      <w:r>
        <w:rPr>
          <w:rFonts w:ascii="Times New Roman" w:hAnsi="Times New Roman" w:cs="Times New Roman"/>
          <w:b/>
          <w:bCs/>
          <w:sz w:val="21"/>
          <w:szCs w:val="21"/>
        </w:rPr>
        <w:t xml:space="preserve">                 </w:t>
      </w:r>
      <w:r w:rsidR="008A0563">
        <w:rPr>
          <w:rFonts w:ascii="Times New Roman" w:hAnsi="Times New Roman" w:cs="Times New Roman"/>
          <w:b/>
          <w:bCs/>
          <w:sz w:val="21"/>
          <w:szCs w:val="21"/>
        </w:rPr>
        <w:t>According to UNICEF, UNESCO, and other United Nations entities, school closures impacted about 1.6 billion school-age children, and of those 1.6 billion students, 1 billion of these affected student</w:t>
      </w:r>
      <w:r w:rsidR="00485354">
        <w:rPr>
          <w:rFonts w:ascii="Times New Roman" w:hAnsi="Times New Roman" w:cs="Times New Roman"/>
          <w:b/>
          <w:bCs/>
          <w:sz w:val="21"/>
          <w:szCs w:val="21"/>
        </w:rPr>
        <w:t xml:space="preserve">s were heavily concentrated in low-income and middle-income countries. As a result of schools being closed, educators had to quickly pivot to online teaching. COVID-19 has laid bare the wide gaping inequities in global education. One example </w:t>
      </w:r>
      <w:r w:rsidR="00485354" w:rsidRPr="00E137A2">
        <w:rPr>
          <w:rFonts w:ascii="Times New Roman" w:hAnsi="Times New Roman" w:cs="Times New Roman"/>
          <w:b/>
          <w:bCs/>
          <w:sz w:val="21"/>
          <w:szCs w:val="21"/>
        </w:rPr>
        <w:t xml:space="preserve">of </w:t>
      </w:r>
      <w:r w:rsidR="00BF4729" w:rsidRPr="00E137A2">
        <w:rPr>
          <w:rFonts w:ascii="Times New Roman" w:hAnsi="Times New Roman" w:cs="Times New Roman"/>
          <w:b/>
          <w:bCs/>
          <w:sz w:val="21"/>
          <w:szCs w:val="21"/>
        </w:rPr>
        <w:t>a disparity</w:t>
      </w:r>
      <w:r w:rsidR="00BF4729">
        <w:rPr>
          <w:rFonts w:ascii="Times New Roman" w:hAnsi="Times New Roman" w:cs="Times New Roman"/>
          <w:b/>
          <w:bCs/>
          <w:sz w:val="21"/>
          <w:szCs w:val="21"/>
        </w:rPr>
        <w:t xml:space="preserve"> t</w:t>
      </w:r>
      <w:r w:rsidR="005F3096">
        <w:rPr>
          <w:rFonts w:ascii="Times New Roman" w:hAnsi="Times New Roman" w:cs="Times New Roman"/>
          <w:b/>
          <w:bCs/>
          <w:sz w:val="21"/>
          <w:szCs w:val="21"/>
        </w:rPr>
        <w:t>hat manifested from the pandemic</w:t>
      </w:r>
      <w:r w:rsidR="00485354">
        <w:rPr>
          <w:rFonts w:ascii="Times New Roman" w:hAnsi="Times New Roman" w:cs="Times New Roman"/>
          <w:b/>
          <w:bCs/>
          <w:sz w:val="21"/>
          <w:szCs w:val="21"/>
        </w:rPr>
        <w:t xml:space="preserve"> was the unequal </w:t>
      </w:r>
      <w:r w:rsidR="005D2E82">
        <w:rPr>
          <w:rFonts w:ascii="Times New Roman" w:hAnsi="Times New Roman" w:cs="Times New Roman"/>
          <w:b/>
          <w:bCs/>
          <w:sz w:val="21"/>
          <w:szCs w:val="21"/>
        </w:rPr>
        <w:t xml:space="preserve">lack of access to </w:t>
      </w:r>
      <w:r w:rsidR="000D6B90">
        <w:rPr>
          <w:rFonts w:ascii="Times New Roman" w:hAnsi="Times New Roman" w:cs="Times New Roman"/>
          <w:b/>
          <w:bCs/>
          <w:sz w:val="21"/>
          <w:szCs w:val="21"/>
        </w:rPr>
        <w:t xml:space="preserve">electricity and connectivity to remote </w:t>
      </w:r>
      <w:r w:rsidR="00FC43D8">
        <w:rPr>
          <w:rFonts w:ascii="Times New Roman" w:hAnsi="Times New Roman" w:cs="Times New Roman"/>
          <w:b/>
          <w:bCs/>
          <w:sz w:val="21"/>
          <w:szCs w:val="21"/>
        </w:rPr>
        <w:t>learning tools</w:t>
      </w:r>
      <w:r w:rsidR="00BF4729">
        <w:rPr>
          <w:rFonts w:ascii="Times New Roman" w:hAnsi="Times New Roman" w:cs="Times New Roman"/>
          <w:b/>
          <w:bCs/>
          <w:sz w:val="21"/>
          <w:szCs w:val="21"/>
        </w:rPr>
        <w:t xml:space="preserve"> on a consistent basis. </w:t>
      </w:r>
      <w:r w:rsidR="005F3096">
        <w:rPr>
          <w:rFonts w:ascii="Times New Roman" w:hAnsi="Times New Roman" w:cs="Times New Roman"/>
          <w:b/>
          <w:bCs/>
          <w:sz w:val="21"/>
          <w:szCs w:val="21"/>
        </w:rPr>
        <w:t xml:space="preserve">Another prime example of an inequity that stemmed from COVID-19 was the limited availability of online/remote education tools for children living in low and middle-income countries. </w:t>
      </w:r>
      <w:r w:rsidR="00BF4729" w:rsidRPr="00E137A2">
        <w:rPr>
          <w:rFonts w:ascii="Times New Roman" w:hAnsi="Times New Roman" w:cs="Times New Roman"/>
          <w:b/>
          <w:bCs/>
          <w:sz w:val="21"/>
          <w:szCs w:val="21"/>
        </w:rPr>
        <w:t>A</w:t>
      </w:r>
      <w:r w:rsidR="00C631CA">
        <w:rPr>
          <w:rFonts w:ascii="Times New Roman" w:hAnsi="Times New Roman" w:cs="Times New Roman"/>
          <w:b/>
          <w:bCs/>
          <w:sz w:val="21"/>
          <w:szCs w:val="21"/>
        </w:rPr>
        <w:t xml:space="preserve"> digital divide phenomenon is a new</w:t>
      </w:r>
      <w:r w:rsidR="00BF4729">
        <w:rPr>
          <w:rFonts w:ascii="Times New Roman" w:hAnsi="Times New Roman" w:cs="Times New Roman"/>
          <w:b/>
          <w:bCs/>
          <w:sz w:val="21"/>
          <w:szCs w:val="21"/>
        </w:rPr>
        <w:t xml:space="preserve"> dimension</w:t>
      </w:r>
      <w:r w:rsidR="00C631CA">
        <w:rPr>
          <w:rFonts w:ascii="Times New Roman" w:hAnsi="Times New Roman" w:cs="Times New Roman"/>
          <w:b/>
          <w:bCs/>
          <w:sz w:val="21"/>
          <w:szCs w:val="21"/>
        </w:rPr>
        <w:t xml:space="preserve"> of inequity that has been at the forefront </w:t>
      </w:r>
      <w:r w:rsidR="00BF4729">
        <w:rPr>
          <w:rFonts w:ascii="Times New Roman" w:hAnsi="Times New Roman" w:cs="Times New Roman"/>
          <w:b/>
          <w:bCs/>
          <w:sz w:val="21"/>
          <w:szCs w:val="21"/>
        </w:rPr>
        <w:t>throughout the</w:t>
      </w:r>
      <w:r w:rsidR="00C631CA">
        <w:rPr>
          <w:rFonts w:ascii="Times New Roman" w:hAnsi="Times New Roman" w:cs="Times New Roman"/>
          <w:b/>
          <w:bCs/>
          <w:sz w:val="21"/>
          <w:szCs w:val="21"/>
        </w:rPr>
        <w:t xml:space="preserve"> pandemic. Students in high-income nations, such as the United States, were </w:t>
      </w:r>
      <w:r w:rsidR="00E137A2">
        <w:rPr>
          <w:rFonts w:ascii="Times New Roman" w:hAnsi="Times New Roman" w:cs="Times New Roman"/>
          <w:b/>
          <w:bCs/>
          <w:sz w:val="21"/>
          <w:szCs w:val="21"/>
        </w:rPr>
        <w:t xml:space="preserve">readily </w:t>
      </w:r>
      <w:r w:rsidR="00C631CA">
        <w:rPr>
          <w:rFonts w:ascii="Times New Roman" w:hAnsi="Times New Roman" w:cs="Times New Roman"/>
          <w:b/>
          <w:bCs/>
          <w:sz w:val="21"/>
          <w:szCs w:val="21"/>
        </w:rPr>
        <w:t>able to readily access online/remote learning tools</w:t>
      </w:r>
      <w:r w:rsidR="00E137A2">
        <w:rPr>
          <w:rFonts w:ascii="Times New Roman" w:hAnsi="Times New Roman" w:cs="Times New Roman"/>
          <w:b/>
          <w:bCs/>
          <w:sz w:val="21"/>
          <w:szCs w:val="21"/>
        </w:rPr>
        <w:t xml:space="preserve"> at their disposal to maintain the integrity of their education. </w:t>
      </w:r>
    </w:p>
    <w:p w14:paraId="22C711C7" w14:textId="77777777" w:rsidR="00515FB4" w:rsidRDefault="0068150B" w:rsidP="00607441">
      <w:pPr>
        <w:pStyle w:val="NoSpacing"/>
        <w:rPr>
          <w:rFonts w:ascii="Times New Roman" w:hAnsi="Times New Roman" w:cs="Times New Roman"/>
          <w:b/>
          <w:bCs/>
          <w:sz w:val="21"/>
          <w:szCs w:val="21"/>
        </w:rPr>
      </w:pPr>
      <w:r>
        <w:rPr>
          <w:rFonts w:ascii="Times New Roman" w:hAnsi="Times New Roman" w:cs="Times New Roman"/>
          <w:b/>
          <w:bCs/>
          <w:sz w:val="21"/>
          <w:szCs w:val="21"/>
        </w:rPr>
        <w:tab/>
      </w:r>
      <w:r w:rsidR="00E914A4">
        <w:rPr>
          <w:rFonts w:ascii="Times New Roman" w:hAnsi="Times New Roman" w:cs="Times New Roman"/>
          <w:b/>
          <w:bCs/>
          <w:sz w:val="21"/>
          <w:szCs w:val="21"/>
        </w:rPr>
        <w:t xml:space="preserve">  </w:t>
      </w:r>
      <w:r>
        <w:rPr>
          <w:rFonts w:ascii="Times New Roman" w:hAnsi="Times New Roman" w:cs="Times New Roman"/>
          <w:b/>
          <w:bCs/>
          <w:sz w:val="21"/>
          <w:szCs w:val="21"/>
        </w:rPr>
        <w:t>Prior to the pandemic, school accessibility worldwide was out of reach for many children worldwide, namely in low and middle-income countries.</w:t>
      </w:r>
      <w:r w:rsidR="00F511BA">
        <w:rPr>
          <w:rFonts w:ascii="Times New Roman" w:hAnsi="Times New Roman" w:cs="Times New Roman"/>
          <w:b/>
          <w:bCs/>
          <w:sz w:val="21"/>
          <w:szCs w:val="21"/>
        </w:rPr>
        <w:t xml:space="preserve"> In the Latin America and the Caribbean region alone, the out-of-school rate for female students varied among </w:t>
      </w:r>
      <w:r w:rsidR="00E137A2">
        <w:rPr>
          <w:rFonts w:ascii="Times New Roman" w:hAnsi="Times New Roman" w:cs="Times New Roman"/>
          <w:b/>
          <w:bCs/>
          <w:sz w:val="21"/>
          <w:szCs w:val="21"/>
        </w:rPr>
        <w:t xml:space="preserve">countries within the area. </w:t>
      </w:r>
      <w:r w:rsidR="00F511BA">
        <w:rPr>
          <w:rFonts w:ascii="Times New Roman" w:hAnsi="Times New Roman" w:cs="Times New Roman"/>
          <w:b/>
          <w:bCs/>
          <w:sz w:val="21"/>
          <w:szCs w:val="21"/>
        </w:rPr>
        <w:t xml:space="preserve"> </w:t>
      </w:r>
      <w:r w:rsidR="000818D7">
        <w:rPr>
          <w:rFonts w:ascii="Times New Roman" w:hAnsi="Times New Roman" w:cs="Times New Roman"/>
          <w:b/>
          <w:bCs/>
          <w:sz w:val="21"/>
          <w:szCs w:val="21"/>
        </w:rPr>
        <w:t xml:space="preserve">The Bahamas, Puerto Rico, and Honduras are the top three countries with the greatest </w:t>
      </w:r>
      <w:r w:rsidR="00903A39">
        <w:rPr>
          <w:rFonts w:ascii="Times New Roman" w:hAnsi="Times New Roman" w:cs="Times New Roman"/>
          <w:b/>
          <w:bCs/>
          <w:sz w:val="21"/>
          <w:szCs w:val="21"/>
        </w:rPr>
        <w:t>number</w:t>
      </w:r>
      <w:r w:rsidR="000818D7">
        <w:rPr>
          <w:rFonts w:ascii="Times New Roman" w:hAnsi="Times New Roman" w:cs="Times New Roman"/>
          <w:b/>
          <w:bCs/>
          <w:sz w:val="21"/>
          <w:szCs w:val="21"/>
        </w:rPr>
        <w:t xml:space="preserve"> of girls out of school at the primary level</w:t>
      </w:r>
      <w:r w:rsidR="00E137A2">
        <w:rPr>
          <w:rFonts w:ascii="Times New Roman" w:hAnsi="Times New Roman" w:cs="Times New Roman"/>
          <w:b/>
          <w:bCs/>
          <w:sz w:val="21"/>
          <w:szCs w:val="21"/>
        </w:rPr>
        <w:t xml:space="preserve">, </w:t>
      </w:r>
      <w:r w:rsidR="000818D7">
        <w:rPr>
          <w:rFonts w:ascii="Times New Roman" w:hAnsi="Times New Roman" w:cs="Times New Roman"/>
          <w:b/>
          <w:bCs/>
          <w:sz w:val="21"/>
          <w:szCs w:val="21"/>
        </w:rPr>
        <w:t>with the B</w:t>
      </w:r>
      <w:r w:rsidR="00F511BA">
        <w:rPr>
          <w:rFonts w:ascii="Times New Roman" w:hAnsi="Times New Roman" w:cs="Times New Roman"/>
          <w:b/>
          <w:bCs/>
          <w:sz w:val="21"/>
          <w:szCs w:val="21"/>
        </w:rPr>
        <w:t>ahamas</w:t>
      </w:r>
      <w:r w:rsidR="000818D7">
        <w:rPr>
          <w:rFonts w:ascii="Times New Roman" w:hAnsi="Times New Roman" w:cs="Times New Roman"/>
          <w:b/>
          <w:bCs/>
          <w:sz w:val="21"/>
          <w:szCs w:val="21"/>
        </w:rPr>
        <w:t xml:space="preserve"> being the highest contender of the most </w:t>
      </w:r>
      <w:r w:rsidR="00F511BA">
        <w:rPr>
          <w:rFonts w:ascii="Times New Roman" w:hAnsi="Times New Roman" w:cs="Times New Roman"/>
          <w:b/>
          <w:bCs/>
          <w:sz w:val="21"/>
          <w:szCs w:val="21"/>
        </w:rPr>
        <w:t xml:space="preserve">females out of school at the </w:t>
      </w:r>
      <w:r w:rsidR="00F511BA">
        <w:rPr>
          <w:rFonts w:ascii="Times New Roman" w:hAnsi="Times New Roman" w:cs="Times New Roman"/>
          <w:b/>
          <w:bCs/>
          <w:sz w:val="21"/>
          <w:szCs w:val="21"/>
        </w:rPr>
        <w:lastRenderedPageBreak/>
        <w:t>primary level</w:t>
      </w:r>
      <w:r w:rsidR="00EB63FD">
        <w:rPr>
          <w:rFonts w:ascii="Times New Roman" w:hAnsi="Times New Roman" w:cs="Times New Roman"/>
          <w:b/>
          <w:bCs/>
          <w:sz w:val="21"/>
          <w:szCs w:val="21"/>
        </w:rPr>
        <w:t xml:space="preserve"> </w:t>
      </w:r>
      <w:r w:rsidR="00F511BA">
        <w:rPr>
          <w:rFonts w:ascii="Times New Roman" w:hAnsi="Times New Roman" w:cs="Times New Roman"/>
          <w:b/>
          <w:bCs/>
          <w:sz w:val="21"/>
          <w:szCs w:val="21"/>
        </w:rPr>
        <w:t>(22.7%)</w:t>
      </w:r>
      <w:r w:rsidR="00E137A2">
        <w:rPr>
          <w:rFonts w:ascii="Times New Roman" w:hAnsi="Times New Roman" w:cs="Times New Roman"/>
          <w:b/>
          <w:bCs/>
          <w:sz w:val="21"/>
          <w:szCs w:val="21"/>
        </w:rPr>
        <w:t xml:space="preserve"> </w:t>
      </w:r>
      <w:r w:rsidR="00F511BA">
        <w:rPr>
          <w:rFonts w:ascii="Times New Roman" w:hAnsi="Times New Roman" w:cs="Times New Roman"/>
          <w:b/>
          <w:bCs/>
          <w:sz w:val="21"/>
          <w:szCs w:val="21"/>
        </w:rPr>
        <w:t>or approximately 23</w:t>
      </w:r>
      <w:r w:rsidR="00EB63FD">
        <w:rPr>
          <w:rFonts w:ascii="Times New Roman" w:hAnsi="Times New Roman" w:cs="Times New Roman"/>
          <w:b/>
          <w:bCs/>
          <w:sz w:val="21"/>
          <w:szCs w:val="21"/>
        </w:rPr>
        <w:t>%. In contrast, the LAC country with the lowest out of school rate for female students at the primary level was Belize at about 1.20%</w:t>
      </w:r>
      <w:r w:rsidR="00E137A2">
        <w:rPr>
          <w:rFonts w:ascii="Times New Roman" w:hAnsi="Times New Roman" w:cs="Times New Roman"/>
          <w:b/>
          <w:bCs/>
          <w:sz w:val="21"/>
          <w:szCs w:val="21"/>
        </w:rPr>
        <w:t xml:space="preserve"> </w:t>
      </w:r>
      <w:r w:rsidR="00EB63FD">
        <w:rPr>
          <w:rFonts w:ascii="Times New Roman" w:hAnsi="Times New Roman" w:cs="Times New Roman"/>
          <w:b/>
          <w:bCs/>
          <w:sz w:val="21"/>
          <w:szCs w:val="21"/>
        </w:rPr>
        <w:t>or approximately 1%. Honduras has the highest out-of-school rate of females out of school at the lower secondary level at 37.1</w:t>
      </w:r>
      <w:r w:rsidR="006C0EE0">
        <w:rPr>
          <w:rFonts w:ascii="Times New Roman" w:hAnsi="Times New Roman" w:cs="Times New Roman"/>
          <w:b/>
          <w:bCs/>
          <w:sz w:val="21"/>
          <w:szCs w:val="21"/>
        </w:rPr>
        <w:t>%</w:t>
      </w:r>
      <w:r w:rsidR="00EB63FD">
        <w:rPr>
          <w:rFonts w:ascii="Times New Roman" w:hAnsi="Times New Roman" w:cs="Times New Roman"/>
          <w:b/>
          <w:bCs/>
          <w:sz w:val="21"/>
          <w:szCs w:val="21"/>
        </w:rPr>
        <w:t xml:space="preserve"> or about 38%. </w:t>
      </w:r>
      <w:r w:rsidR="00903A39">
        <w:rPr>
          <w:rFonts w:ascii="Times New Roman" w:hAnsi="Times New Roman" w:cs="Times New Roman"/>
          <w:b/>
          <w:bCs/>
          <w:sz w:val="21"/>
          <w:szCs w:val="21"/>
        </w:rPr>
        <w:t xml:space="preserve">The other top two countries with the largest number of girls out of school at the lower secondary rate are Guatemala and the Bahamas, which </w:t>
      </w:r>
      <w:r w:rsidR="006C0EE0">
        <w:rPr>
          <w:rFonts w:ascii="Times New Roman" w:hAnsi="Times New Roman" w:cs="Times New Roman"/>
          <w:b/>
          <w:bCs/>
          <w:sz w:val="21"/>
          <w:szCs w:val="21"/>
        </w:rPr>
        <w:t>comprise 32.8</w:t>
      </w:r>
      <w:r w:rsidR="00903A39">
        <w:rPr>
          <w:rFonts w:ascii="Times New Roman" w:hAnsi="Times New Roman" w:cs="Times New Roman"/>
          <w:b/>
          <w:bCs/>
          <w:sz w:val="21"/>
          <w:szCs w:val="21"/>
        </w:rPr>
        <w:t xml:space="preserve">(33%) and 29.5(30%), respectively. </w:t>
      </w:r>
    </w:p>
    <w:p w14:paraId="5A2E009D" w14:textId="1C172BBF" w:rsidR="006C0EE0" w:rsidRDefault="00EB63FD" w:rsidP="00515FB4">
      <w:pPr>
        <w:pStyle w:val="NoSpacing"/>
        <w:ind w:firstLine="720"/>
        <w:rPr>
          <w:rFonts w:ascii="Times New Roman" w:hAnsi="Times New Roman" w:cs="Times New Roman"/>
          <w:b/>
          <w:bCs/>
          <w:sz w:val="21"/>
          <w:szCs w:val="21"/>
        </w:rPr>
      </w:pPr>
      <w:r>
        <w:rPr>
          <w:rFonts w:ascii="Times New Roman" w:hAnsi="Times New Roman" w:cs="Times New Roman"/>
          <w:b/>
          <w:bCs/>
          <w:sz w:val="21"/>
          <w:szCs w:val="21"/>
        </w:rPr>
        <w:t xml:space="preserve">Conversely, </w:t>
      </w:r>
      <w:r w:rsidR="009B0F5E">
        <w:rPr>
          <w:rFonts w:ascii="Times New Roman" w:hAnsi="Times New Roman" w:cs="Times New Roman"/>
          <w:b/>
          <w:bCs/>
          <w:sz w:val="21"/>
          <w:szCs w:val="21"/>
        </w:rPr>
        <w:t>Dominica has the lowest out-of-school rate of females out of school at the lower secondary level at 1.03%</w:t>
      </w:r>
      <w:r w:rsidR="006C0EE0">
        <w:rPr>
          <w:rFonts w:ascii="Times New Roman" w:hAnsi="Times New Roman" w:cs="Times New Roman"/>
          <w:b/>
          <w:bCs/>
          <w:sz w:val="21"/>
          <w:szCs w:val="21"/>
        </w:rPr>
        <w:t xml:space="preserve"> </w:t>
      </w:r>
      <w:r w:rsidR="009B0F5E">
        <w:rPr>
          <w:rFonts w:ascii="Times New Roman" w:hAnsi="Times New Roman" w:cs="Times New Roman"/>
          <w:b/>
          <w:bCs/>
          <w:sz w:val="21"/>
          <w:szCs w:val="21"/>
        </w:rPr>
        <w:t>or 1%.</w:t>
      </w:r>
      <w:r w:rsidR="00E914A4">
        <w:rPr>
          <w:rFonts w:ascii="Times New Roman" w:hAnsi="Times New Roman" w:cs="Times New Roman"/>
          <w:b/>
          <w:bCs/>
          <w:sz w:val="21"/>
          <w:szCs w:val="21"/>
        </w:rPr>
        <w:t xml:space="preserve"> </w:t>
      </w:r>
      <w:r w:rsidR="009B0F5E">
        <w:rPr>
          <w:rFonts w:ascii="Times New Roman" w:hAnsi="Times New Roman" w:cs="Times New Roman"/>
          <w:b/>
          <w:bCs/>
          <w:sz w:val="21"/>
          <w:szCs w:val="21"/>
        </w:rPr>
        <w:t>Guatemala has the highest out-of-school</w:t>
      </w:r>
      <w:r w:rsidR="002E66E6">
        <w:rPr>
          <w:rFonts w:ascii="Times New Roman" w:hAnsi="Times New Roman" w:cs="Times New Roman"/>
          <w:b/>
          <w:bCs/>
          <w:sz w:val="21"/>
          <w:szCs w:val="21"/>
        </w:rPr>
        <w:t xml:space="preserve"> rate</w:t>
      </w:r>
      <w:r w:rsidR="009B0F5E">
        <w:rPr>
          <w:rFonts w:ascii="Times New Roman" w:hAnsi="Times New Roman" w:cs="Times New Roman"/>
          <w:b/>
          <w:bCs/>
          <w:sz w:val="21"/>
          <w:szCs w:val="21"/>
        </w:rPr>
        <w:t xml:space="preserve"> of females out of school at the upper secondary level at 61.3%</w:t>
      </w:r>
      <w:r w:rsidR="006C0EE0">
        <w:rPr>
          <w:rFonts w:ascii="Times New Roman" w:hAnsi="Times New Roman" w:cs="Times New Roman"/>
          <w:b/>
          <w:bCs/>
          <w:sz w:val="21"/>
          <w:szCs w:val="21"/>
        </w:rPr>
        <w:t xml:space="preserve"> </w:t>
      </w:r>
      <w:r w:rsidR="009B0F5E">
        <w:rPr>
          <w:rFonts w:ascii="Times New Roman" w:hAnsi="Times New Roman" w:cs="Times New Roman"/>
          <w:b/>
          <w:bCs/>
          <w:sz w:val="21"/>
          <w:szCs w:val="21"/>
        </w:rPr>
        <w:t xml:space="preserve">or 62%. </w:t>
      </w:r>
      <w:r w:rsidR="000818D7">
        <w:rPr>
          <w:rFonts w:ascii="Times New Roman" w:hAnsi="Times New Roman" w:cs="Times New Roman"/>
          <w:b/>
          <w:bCs/>
          <w:sz w:val="21"/>
          <w:szCs w:val="21"/>
        </w:rPr>
        <w:t xml:space="preserve">The other top two countries with the highest out-of-school rate of females out of school at the upper secondary level are Honduras and Panama, which </w:t>
      </w:r>
      <w:r w:rsidR="006C0EE0">
        <w:rPr>
          <w:rFonts w:ascii="Times New Roman" w:hAnsi="Times New Roman" w:cs="Times New Roman"/>
          <w:b/>
          <w:bCs/>
          <w:sz w:val="21"/>
          <w:szCs w:val="21"/>
        </w:rPr>
        <w:t>consists of</w:t>
      </w:r>
      <w:r w:rsidR="000818D7">
        <w:rPr>
          <w:rFonts w:ascii="Times New Roman" w:hAnsi="Times New Roman" w:cs="Times New Roman"/>
          <w:b/>
          <w:bCs/>
          <w:sz w:val="21"/>
          <w:szCs w:val="21"/>
        </w:rPr>
        <w:t xml:space="preserve"> 49.5, or 50% and 41.3, or 42%, respectively.</w:t>
      </w:r>
      <w:r w:rsidR="00E914A4">
        <w:rPr>
          <w:rFonts w:ascii="Times New Roman" w:hAnsi="Times New Roman" w:cs="Times New Roman"/>
          <w:b/>
          <w:bCs/>
          <w:sz w:val="21"/>
          <w:szCs w:val="21"/>
        </w:rPr>
        <w:t xml:space="preserve">  </w:t>
      </w:r>
      <w:r w:rsidR="009B0F5E">
        <w:rPr>
          <w:rFonts w:ascii="Times New Roman" w:hAnsi="Times New Roman" w:cs="Times New Roman"/>
          <w:b/>
          <w:bCs/>
          <w:sz w:val="21"/>
          <w:szCs w:val="21"/>
        </w:rPr>
        <w:t>In contrast, Barbados had the lowest out-of-school rate of females out of school at the upper secondary level at 0.91%</w:t>
      </w:r>
      <w:r w:rsidR="006C0EE0">
        <w:rPr>
          <w:rFonts w:ascii="Times New Roman" w:hAnsi="Times New Roman" w:cs="Times New Roman"/>
          <w:b/>
          <w:bCs/>
          <w:sz w:val="21"/>
          <w:szCs w:val="21"/>
        </w:rPr>
        <w:t xml:space="preserve"> </w:t>
      </w:r>
      <w:r w:rsidR="009B0F5E">
        <w:rPr>
          <w:rFonts w:ascii="Times New Roman" w:hAnsi="Times New Roman" w:cs="Times New Roman"/>
          <w:b/>
          <w:bCs/>
          <w:sz w:val="21"/>
          <w:szCs w:val="21"/>
        </w:rPr>
        <w:t>or 0%</w:t>
      </w:r>
      <w:r w:rsidR="00554BE8">
        <w:rPr>
          <w:rFonts w:ascii="Times New Roman" w:hAnsi="Times New Roman" w:cs="Times New Roman"/>
          <w:b/>
          <w:bCs/>
          <w:sz w:val="21"/>
          <w:szCs w:val="21"/>
        </w:rPr>
        <w:t xml:space="preserve">. </w:t>
      </w:r>
    </w:p>
    <w:p w14:paraId="4553178E" w14:textId="1115424E" w:rsidR="005D4D2B" w:rsidRDefault="00515FB4" w:rsidP="005D4D2B">
      <w:pPr>
        <w:pStyle w:val="NoSpacing"/>
        <w:ind w:firstLine="720"/>
        <w:rPr>
          <w:rFonts w:ascii="Times New Roman" w:hAnsi="Times New Roman" w:cs="Times New Roman"/>
          <w:b/>
          <w:bCs/>
          <w:sz w:val="21"/>
          <w:szCs w:val="21"/>
        </w:rPr>
      </w:pPr>
      <w:r>
        <w:rPr>
          <w:rFonts w:ascii="Times New Roman" w:hAnsi="Times New Roman" w:cs="Times New Roman"/>
          <w:b/>
          <w:bCs/>
          <w:sz w:val="21"/>
          <w:szCs w:val="21"/>
        </w:rPr>
        <w:t xml:space="preserve">Overall, </w:t>
      </w:r>
      <w:r w:rsidR="00554BE8">
        <w:rPr>
          <w:rFonts w:ascii="Times New Roman" w:hAnsi="Times New Roman" w:cs="Times New Roman"/>
          <w:b/>
          <w:bCs/>
          <w:sz w:val="21"/>
          <w:szCs w:val="21"/>
        </w:rPr>
        <w:t>The West and Central Africa region</w:t>
      </w:r>
      <w:r>
        <w:rPr>
          <w:rFonts w:ascii="Times New Roman" w:hAnsi="Times New Roman" w:cs="Times New Roman"/>
          <w:b/>
          <w:bCs/>
          <w:sz w:val="21"/>
          <w:szCs w:val="21"/>
        </w:rPr>
        <w:t xml:space="preserve"> </w:t>
      </w:r>
      <w:r w:rsidR="00554BE8">
        <w:rPr>
          <w:rFonts w:ascii="Times New Roman" w:hAnsi="Times New Roman" w:cs="Times New Roman"/>
          <w:b/>
          <w:bCs/>
          <w:sz w:val="21"/>
          <w:szCs w:val="21"/>
        </w:rPr>
        <w:t xml:space="preserve">boasts a </w:t>
      </w:r>
      <w:r>
        <w:rPr>
          <w:rFonts w:ascii="Times New Roman" w:hAnsi="Times New Roman" w:cs="Times New Roman"/>
          <w:b/>
          <w:bCs/>
          <w:sz w:val="21"/>
          <w:szCs w:val="21"/>
        </w:rPr>
        <w:t>considerable</w:t>
      </w:r>
      <w:r w:rsidR="00554BE8">
        <w:rPr>
          <w:rFonts w:ascii="Times New Roman" w:hAnsi="Times New Roman" w:cs="Times New Roman"/>
          <w:b/>
          <w:bCs/>
          <w:sz w:val="21"/>
          <w:szCs w:val="21"/>
        </w:rPr>
        <w:t xml:space="preserve"> out-of-school rate of females at the primary school level. </w:t>
      </w:r>
      <w:r w:rsidR="002E66E6">
        <w:rPr>
          <w:rFonts w:ascii="Times New Roman" w:hAnsi="Times New Roman" w:cs="Times New Roman"/>
          <w:b/>
          <w:bCs/>
          <w:sz w:val="21"/>
          <w:szCs w:val="21"/>
        </w:rPr>
        <w:t>Equatorial Guinea has the highest out-of-school rate of females at 54.8% or 55% at the primary level; Sierra Leone has the lowest out-of-school rate of females at 1.54%</w:t>
      </w:r>
      <w:r w:rsidR="006C0EE0">
        <w:rPr>
          <w:rFonts w:ascii="Times New Roman" w:hAnsi="Times New Roman" w:cs="Times New Roman"/>
          <w:b/>
          <w:bCs/>
          <w:sz w:val="21"/>
          <w:szCs w:val="21"/>
        </w:rPr>
        <w:t xml:space="preserve"> </w:t>
      </w:r>
      <w:r w:rsidR="002E66E6">
        <w:rPr>
          <w:rFonts w:ascii="Times New Roman" w:hAnsi="Times New Roman" w:cs="Times New Roman"/>
          <w:b/>
          <w:bCs/>
          <w:sz w:val="21"/>
          <w:szCs w:val="21"/>
        </w:rPr>
        <w:t xml:space="preserve">or 1% at the primary level. Cote d’Ivoire, Mali, Guinea, </w:t>
      </w:r>
      <w:r w:rsidR="006C0EE0">
        <w:rPr>
          <w:rFonts w:ascii="Times New Roman" w:hAnsi="Times New Roman" w:cs="Times New Roman"/>
          <w:b/>
          <w:bCs/>
          <w:sz w:val="21"/>
          <w:szCs w:val="21"/>
        </w:rPr>
        <w:t xml:space="preserve">the </w:t>
      </w:r>
      <w:r w:rsidR="002E66E6">
        <w:rPr>
          <w:rFonts w:ascii="Times New Roman" w:hAnsi="Times New Roman" w:cs="Times New Roman"/>
          <w:b/>
          <w:bCs/>
          <w:sz w:val="21"/>
          <w:szCs w:val="21"/>
        </w:rPr>
        <w:t xml:space="preserve">Central African Republic, Niger, and Chad collectively have the highest out-of-school rate of female </w:t>
      </w:r>
      <w:r w:rsidR="00230BEA">
        <w:rPr>
          <w:rFonts w:ascii="Times New Roman" w:hAnsi="Times New Roman" w:cs="Times New Roman"/>
          <w:b/>
          <w:bCs/>
          <w:sz w:val="21"/>
          <w:szCs w:val="21"/>
        </w:rPr>
        <w:t xml:space="preserve">students at the lower secondary level, </w:t>
      </w:r>
      <w:r w:rsidR="002E66E6">
        <w:rPr>
          <w:rFonts w:ascii="Times New Roman" w:hAnsi="Times New Roman" w:cs="Times New Roman"/>
          <w:b/>
          <w:bCs/>
          <w:sz w:val="21"/>
          <w:szCs w:val="21"/>
        </w:rPr>
        <w:t>out of school</w:t>
      </w:r>
      <w:r w:rsidR="00230BEA">
        <w:rPr>
          <w:rFonts w:ascii="Times New Roman" w:hAnsi="Times New Roman" w:cs="Times New Roman"/>
          <w:b/>
          <w:bCs/>
          <w:sz w:val="21"/>
          <w:szCs w:val="21"/>
        </w:rPr>
        <w:t xml:space="preserve"> </w:t>
      </w:r>
      <w:r w:rsidR="002E66E6">
        <w:rPr>
          <w:rFonts w:ascii="Times New Roman" w:hAnsi="Times New Roman" w:cs="Times New Roman"/>
          <w:b/>
          <w:bCs/>
          <w:sz w:val="21"/>
          <w:szCs w:val="21"/>
        </w:rPr>
        <w:t>at 50</w:t>
      </w:r>
      <w:r w:rsidR="002F5697">
        <w:rPr>
          <w:rFonts w:ascii="Times New Roman" w:hAnsi="Times New Roman" w:cs="Times New Roman"/>
          <w:b/>
          <w:bCs/>
          <w:sz w:val="21"/>
          <w:szCs w:val="21"/>
        </w:rPr>
        <w:t xml:space="preserve">.5(50%), 56.3(57%), 59.8(60%), 66.4(67%), 69.1(70%), and 70.1(70%), respectively. </w:t>
      </w:r>
      <w:r w:rsidR="00230BEA">
        <w:rPr>
          <w:rFonts w:ascii="Times New Roman" w:hAnsi="Times New Roman" w:cs="Times New Roman"/>
          <w:b/>
          <w:bCs/>
          <w:sz w:val="21"/>
          <w:szCs w:val="21"/>
        </w:rPr>
        <w:t xml:space="preserve">Cameroon, Senegal, Mauritania, Benin, Togo, Burkina Faso, Sierra Leone, Cote d’Ivoire, Guinea, Mali, Chad, Niger, and Central African Republic, as a whole, have the highest out-of-school rate of female students, at the upper secondary level, respectively. </w:t>
      </w:r>
    </w:p>
    <w:p w14:paraId="6D7E22DA" w14:textId="2218437B" w:rsidR="00903A39" w:rsidRDefault="005D4D2B" w:rsidP="00E937BA">
      <w:pPr>
        <w:pStyle w:val="NoSpacing"/>
        <w:ind w:firstLine="720"/>
        <w:rPr>
          <w:rFonts w:ascii="Times New Roman" w:hAnsi="Times New Roman" w:cs="Times New Roman"/>
          <w:b/>
          <w:bCs/>
          <w:sz w:val="21"/>
          <w:szCs w:val="21"/>
        </w:rPr>
      </w:pPr>
      <w:r>
        <w:rPr>
          <w:rFonts w:ascii="Times New Roman" w:hAnsi="Times New Roman" w:cs="Times New Roman"/>
          <w:b/>
          <w:bCs/>
          <w:sz w:val="21"/>
          <w:szCs w:val="21"/>
        </w:rPr>
        <w:t xml:space="preserve">     </w:t>
      </w:r>
      <w:r w:rsidR="00230BEA">
        <w:rPr>
          <w:rFonts w:ascii="Times New Roman" w:hAnsi="Times New Roman" w:cs="Times New Roman"/>
          <w:b/>
          <w:bCs/>
          <w:sz w:val="21"/>
          <w:szCs w:val="21"/>
        </w:rPr>
        <w:t>East Asia and the Pacific region</w:t>
      </w:r>
      <w:r w:rsidR="002F4BF4">
        <w:rPr>
          <w:rFonts w:ascii="Times New Roman" w:hAnsi="Times New Roman" w:cs="Times New Roman"/>
          <w:b/>
          <w:bCs/>
          <w:sz w:val="21"/>
          <w:szCs w:val="21"/>
        </w:rPr>
        <w:t xml:space="preserve">, collectively, had fairly low rates of girls out of school at the primary school level; </w:t>
      </w:r>
      <w:r>
        <w:rPr>
          <w:rFonts w:ascii="Times New Roman" w:hAnsi="Times New Roman" w:cs="Times New Roman"/>
          <w:b/>
          <w:bCs/>
          <w:sz w:val="21"/>
          <w:szCs w:val="21"/>
        </w:rPr>
        <w:t xml:space="preserve">the </w:t>
      </w:r>
      <w:r w:rsidR="002F4BF4">
        <w:rPr>
          <w:rFonts w:ascii="Times New Roman" w:hAnsi="Times New Roman" w:cs="Times New Roman"/>
          <w:b/>
          <w:bCs/>
          <w:sz w:val="21"/>
          <w:szCs w:val="21"/>
        </w:rPr>
        <w:t>Marshall Islands has the highest rate of girls out of school at 22.6%</w:t>
      </w:r>
      <w:r>
        <w:rPr>
          <w:rFonts w:ascii="Times New Roman" w:hAnsi="Times New Roman" w:cs="Times New Roman"/>
          <w:b/>
          <w:bCs/>
          <w:sz w:val="21"/>
          <w:szCs w:val="21"/>
        </w:rPr>
        <w:t xml:space="preserve"> </w:t>
      </w:r>
      <w:r w:rsidR="002F4BF4">
        <w:rPr>
          <w:rFonts w:ascii="Times New Roman" w:hAnsi="Times New Roman" w:cs="Times New Roman"/>
          <w:b/>
          <w:bCs/>
          <w:sz w:val="21"/>
          <w:szCs w:val="21"/>
        </w:rPr>
        <w:t xml:space="preserve">or 23%; on the other hand, Fiji had the lowest out of school rate of girls out of school at the primary level at just 1%. Tuvalu, Lao People’s Democratic Republic, and Marshall Islands all ranked high with the highest rate of girls out of school at the lower secondary level at 22.9(23%). 25.5(26%), and 31.7(32%), consecutively. </w:t>
      </w:r>
      <w:r w:rsidR="00E937BA">
        <w:rPr>
          <w:rFonts w:ascii="Times New Roman" w:hAnsi="Times New Roman" w:cs="Times New Roman"/>
          <w:b/>
          <w:bCs/>
          <w:sz w:val="21"/>
          <w:szCs w:val="21"/>
        </w:rPr>
        <w:t xml:space="preserve">Papua New Guinea, Nauru, and Tokelau together have the highest rates of girls out of school at the upper secondary level at 51.4(52%), 60.1(60%), and 78.6(79%). </w:t>
      </w:r>
    </w:p>
    <w:p w14:paraId="2FBFA726" w14:textId="347A42E4" w:rsidR="008A0563" w:rsidRDefault="005D4D2B" w:rsidP="00E937BA">
      <w:pPr>
        <w:pStyle w:val="NoSpacing"/>
        <w:ind w:firstLine="720"/>
        <w:rPr>
          <w:rFonts w:ascii="Times New Roman" w:hAnsi="Times New Roman" w:cs="Times New Roman"/>
          <w:b/>
          <w:bCs/>
          <w:sz w:val="21"/>
          <w:szCs w:val="21"/>
        </w:rPr>
      </w:pPr>
      <w:r>
        <w:rPr>
          <w:rFonts w:ascii="Times New Roman" w:hAnsi="Times New Roman" w:cs="Times New Roman"/>
          <w:b/>
          <w:bCs/>
          <w:sz w:val="21"/>
          <w:szCs w:val="21"/>
        </w:rPr>
        <w:t xml:space="preserve">       </w:t>
      </w:r>
      <w:r w:rsidR="00E937BA">
        <w:rPr>
          <w:rFonts w:ascii="Times New Roman" w:hAnsi="Times New Roman" w:cs="Times New Roman"/>
          <w:b/>
          <w:bCs/>
          <w:sz w:val="21"/>
          <w:szCs w:val="21"/>
        </w:rPr>
        <w:t xml:space="preserve">South Asia, broadly speaking, has varying levels of girls out of school at the primary level. Pakistan has the highest out of school rate of female students out of school at 31.3(32%), whereas India has a rate of only just 1% of girls out of school at the primary school level. </w:t>
      </w:r>
      <w:r w:rsidR="009D7C0D">
        <w:rPr>
          <w:rFonts w:ascii="Times New Roman" w:hAnsi="Times New Roman" w:cs="Times New Roman"/>
          <w:b/>
          <w:bCs/>
          <w:sz w:val="21"/>
          <w:szCs w:val="21"/>
        </w:rPr>
        <w:t xml:space="preserve">At the lower secondary level, Pakistan continues to rank high at the largest amount of girl students out of school, which is 32.2(33%); there is no huge significance between both out-of-school rates of the respective school levels. Bangladesh ranks at number two with the biggest rate of girls out of school, which is 25.7(26%) at the lower </w:t>
      </w:r>
      <w:r w:rsidR="009D7C0D">
        <w:rPr>
          <w:rFonts w:ascii="Times New Roman" w:hAnsi="Times New Roman" w:cs="Times New Roman"/>
          <w:b/>
          <w:bCs/>
          <w:sz w:val="21"/>
          <w:szCs w:val="21"/>
        </w:rPr>
        <w:lastRenderedPageBreak/>
        <w:t xml:space="preserve">secondary level. </w:t>
      </w:r>
      <w:r>
        <w:rPr>
          <w:rFonts w:ascii="Times New Roman" w:hAnsi="Times New Roman" w:cs="Times New Roman"/>
          <w:b/>
          <w:bCs/>
          <w:sz w:val="21"/>
          <w:szCs w:val="21"/>
        </w:rPr>
        <w:t xml:space="preserve">The </w:t>
      </w:r>
      <w:r w:rsidR="009D7C0D">
        <w:rPr>
          <w:rFonts w:ascii="Times New Roman" w:hAnsi="Times New Roman" w:cs="Times New Roman"/>
          <w:b/>
          <w:bCs/>
          <w:sz w:val="21"/>
          <w:szCs w:val="21"/>
        </w:rPr>
        <w:t xml:space="preserve">top three South Asian countries with the largest </w:t>
      </w:r>
      <w:r w:rsidR="00903A39">
        <w:rPr>
          <w:rFonts w:ascii="Times New Roman" w:hAnsi="Times New Roman" w:cs="Times New Roman"/>
          <w:b/>
          <w:bCs/>
          <w:sz w:val="21"/>
          <w:szCs w:val="21"/>
        </w:rPr>
        <w:t>number</w:t>
      </w:r>
      <w:r w:rsidR="009D7C0D">
        <w:rPr>
          <w:rFonts w:ascii="Times New Roman" w:hAnsi="Times New Roman" w:cs="Times New Roman"/>
          <w:b/>
          <w:bCs/>
          <w:sz w:val="21"/>
          <w:szCs w:val="21"/>
        </w:rPr>
        <w:t xml:space="preserve"> of girls out of school are Afghanistan</w:t>
      </w:r>
      <w:r w:rsidR="000818D7">
        <w:rPr>
          <w:rFonts w:ascii="Times New Roman" w:hAnsi="Times New Roman" w:cs="Times New Roman"/>
          <w:b/>
          <w:bCs/>
          <w:sz w:val="21"/>
          <w:szCs w:val="21"/>
        </w:rPr>
        <w:t xml:space="preserve"> </w:t>
      </w:r>
      <w:r w:rsidR="009D7C0D">
        <w:rPr>
          <w:rFonts w:ascii="Times New Roman" w:hAnsi="Times New Roman" w:cs="Times New Roman"/>
          <w:b/>
          <w:bCs/>
          <w:sz w:val="21"/>
          <w:szCs w:val="21"/>
        </w:rPr>
        <w:t xml:space="preserve">(69%), </w:t>
      </w:r>
      <w:r w:rsidR="00903A39">
        <w:rPr>
          <w:rFonts w:ascii="Times New Roman" w:hAnsi="Times New Roman" w:cs="Times New Roman"/>
          <w:b/>
          <w:bCs/>
          <w:sz w:val="21"/>
          <w:szCs w:val="21"/>
        </w:rPr>
        <w:t>Pakistan (</w:t>
      </w:r>
      <w:r w:rsidR="009D7C0D">
        <w:rPr>
          <w:rFonts w:ascii="Times New Roman" w:hAnsi="Times New Roman" w:cs="Times New Roman"/>
          <w:b/>
          <w:bCs/>
          <w:sz w:val="21"/>
          <w:szCs w:val="21"/>
        </w:rPr>
        <w:t xml:space="preserve">57%), and </w:t>
      </w:r>
      <w:r w:rsidR="00903A39">
        <w:rPr>
          <w:rFonts w:ascii="Times New Roman" w:hAnsi="Times New Roman" w:cs="Times New Roman"/>
          <w:b/>
          <w:bCs/>
          <w:sz w:val="21"/>
          <w:szCs w:val="21"/>
        </w:rPr>
        <w:t>India (</w:t>
      </w:r>
      <w:r w:rsidR="000818D7">
        <w:rPr>
          <w:rFonts w:ascii="Times New Roman" w:hAnsi="Times New Roman" w:cs="Times New Roman"/>
          <w:b/>
          <w:bCs/>
          <w:sz w:val="21"/>
          <w:szCs w:val="21"/>
        </w:rPr>
        <w:t xml:space="preserve">49%), consecutively. </w:t>
      </w:r>
    </w:p>
    <w:p w14:paraId="34D373A1" w14:textId="2C848F8E" w:rsidR="008D785F" w:rsidRDefault="0026193B" w:rsidP="00E937BA">
      <w:pPr>
        <w:pStyle w:val="NoSpacing"/>
        <w:ind w:firstLine="720"/>
        <w:rPr>
          <w:rFonts w:ascii="Times New Roman" w:hAnsi="Times New Roman" w:cs="Times New Roman"/>
          <w:b/>
          <w:bCs/>
          <w:sz w:val="21"/>
          <w:szCs w:val="21"/>
        </w:rPr>
      </w:pPr>
      <w:r>
        <w:rPr>
          <w:rFonts w:ascii="Times New Roman" w:hAnsi="Times New Roman" w:cs="Times New Roman"/>
          <w:b/>
          <w:bCs/>
          <w:sz w:val="21"/>
          <w:szCs w:val="21"/>
        </w:rPr>
        <w:t>All regions share various commonalities in terms of the various challenges and barriers</w:t>
      </w:r>
      <w:r w:rsidR="00A4530B">
        <w:rPr>
          <w:rFonts w:ascii="Times New Roman" w:hAnsi="Times New Roman" w:cs="Times New Roman"/>
          <w:b/>
          <w:bCs/>
          <w:sz w:val="21"/>
          <w:szCs w:val="21"/>
        </w:rPr>
        <w:t xml:space="preserve"> that</w:t>
      </w:r>
      <w:r>
        <w:rPr>
          <w:rFonts w:ascii="Times New Roman" w:hAnsi="Times New Roman" w:cs="Times New Roman"/>
          <w:b/>
          <w:bCs/>
          <w:sz w:val="21"/>
          <w:szCs w:val="21"/>
        </w:rPr>
        <w:t xml:space="preserve"> students, namely girls, have been enduring in the context of the COVID-19</w:t>
      </w:r>
      <w:r w:rsidR="00A4530B">
        <w:rPr>
          <w:rFonts w:ascii="Times New Roman" w:hAnsi="Times New Roman" w:cs="Times New Roman"/>
          <w:b/>
          <w:bCs/>
          <w:sz w:val="21"/>
          <w:szCs w:val="21"/>
        </w:rPr>
        <w:t xml:space="preserve"> pandemic. On average, school-age children missed approximately four months during 2020. Students missed about 66% of a regular school year.  In total, about 500 million children </w:t>
      </w:r>
      <w:r w:rsidR="000E286D">
        <w:rPr>
          <w:rFonts w:ascii="Times New Roman" w:hAnsi="Times New Roman" w:cs="Times New Roman"/>
          <w:b/>
          <w:bCs/>
          <w:sz w:val="21"/>
          <w:szCs w:val="21"/>
        </w:rPr>
        <w:t xml:space="preserve">from all of the grade levels ranging from pre-primary to upper-secondary school had little to no access to remote learning platforms. Astoundingly, 75% of these students </w:t>
      </w:r>
      <w:r w:rsidR="00515FB4">
        <w:rPr>
          <w:rFonts w:ascii="Times New Roman" w:hAnsi="Times New Roman" w:cs="Times New Roman"/>
          <w:b/>
          <w:bCs/>
          <w:sz w:val="21"/>
          <w:szCs w:val="21"/>
        </w:rPr>
        <w:t>come from</w:t>
      </w:r>
      <w:r w:rsidR="000E286D">
        <w:rPr>
          <w:rFonts w:ascii="Times New Roman" w:hAnsi="Times New Roman" w:cs="Times New Roman"/>
          <w:b/>
          <w:bCs/>
          <w:sz w:val="21"/>
          <w:szCs w:val="21"/>
        </w:rPr>
        <w:t xml:space="preserve"> poverty-laden households an</w:t>
      </w:r>
      <w:r w:rsidR="00515FB4">
        <w:rPr>
          <w:rFonts w:ascii="Times New Roman" w:hAnsi="Times New Roman" w:cs="Times New Roman"/>
          <w:b/>
          <w:bCs/>
          <w:sz w:val="21"/>
          <w:szCs w:val="21"/>
        </w:rPr>
        <w:t>d</w:t>
      </w:r>
      <w:r w:rsidR="000E286D">
        <w:rPr>
          <w:rFonts w:ascii="Times New Roman" w:hAnsi="Times New Roman" w:cs="Times New Roman"/>
          <w:b/>
          <w:bCs/>
          <w:sz w:val="21"/>
          <w:szCs w:val="21"/>
        </w:rPr>
        <w:t xml:space="preserve"> rural communities. </w:t>
      </w:r>
      <w:r w:rsidR="00EB5ABE">
        <w:rPr>
          <w:rFonts w:ascii="Times New Roman" w:hAnsi="Times New Roman" w:cs="Times New Roman"/>
          <w:b/>
          <w:bCs/>
          <w:sz w:val="21"/>
          <w:szCs w:val="21"/>
        </w:rPr>
        <w:t>Female</w:t>
      </w:r>
      <w:r w:rsidR="00515FB4">
        <w:rPr>
          <w:rFonts w:ascii="Times New Roman" w:hAnsi="Times New Roman" w:cs="Times New Roman"/>
          <w:b/>
          <w:bCs/>
          <w:sz w:val="21"/>
          <w:szCs w:val="21"/>
        </w:rPr>
        <w:t xml:space="preserve">s, </w:t>
      </w:r>
      <w:r w:rsidR="00EB5ABE">
        <w:rPr>
          <w:rFonts w:ascii="Times New Roman" w:hAnsi="Times New Roman" w:cs="Times New Roman"/>
          <w:b/>
          <w:bCs/>
          <w:sz w:val="21"/>
          <w:szCs w:val="21"/>
        </w:rPr>
        <w:t>heavily concentrated in rural, poor households were</w:t>
      </w:r>
      <w:r w:rsidR="00CC4512">
        <w:rPr>
          <w:rFonts w:ascii="Times New Roman" w:hAnsi="Times New Roman" w:cs="Times New Roman"/>
          <w:b/>
          <w:bCs/>
          <w:sz w:val="21"/>
          <w:szCs w:val="21"/>
        </w:rPr>
        <w:t xml:space="preserve"> </w:t>
      </w:r>
      <w:r w:rsidR="00515FB4">
        <w:rPr>
          <w:rFonts w:ascii="Times New Roman" w:hAnsi="Times New Roman" w:cs="Times New Roman"/>
          <w:b/>
          <w:bCs/>
          <w:sz w:val="21"/>
          <w:szCs w:val="21"/>
        </w:rPr>
        <w:t>burdened</w:t>
      </w:r>
      <w:r w:rsidR="00CC4512">
        <w:rPr>
          <w:rFonts w:ascii="Times New Roman" w:hAnsi="Times New Roman" w:cs="Times New Roman"/>
          <w:b/>
          <w:bCs/>
          <w:sz w:val="21"/>
          <w:szCs w:val="21"/>
        </w:rPr>
        <w:t xml:space="preserve"> </w:t>
      </w:r>
      <w:r w:rsidR="008D785F">
        <w:rPr>
          <w:rFonts w:ascii="Times New Roman" w:hAnsi="Times New Roman" w:cs="Times New Roman"/>
          <w:b/>
          <w:bCs/>
          <w:sz w:val="21"/>
          <w:szCs w:val="21"/>
        </w:rPr>
        <w:t>by</w:t>
      </w:r>
      <w:r w:rsidR="00867DF5">
        <w:rPr>
          <w:rFonts w:ascii="Times New Roman" w:hAnsi="Times New Roman" w:cs="Times New Roman"/>
          <w:b/>
          <w:bCs/>
          <w:sz w:val="21"/>
          <w:szCs w:val="21"/>
        </w:rPr>
        <w:t xml:space="preserve"> excessive amounts of domestic work.</w:t>
      </w:r>
      <w:r w:rsidR="00272569">
        <w:rPr>
          <w:rFonts w:ascii="Times New Roman" w:hAnsi="Times New Roman" w:cs="Times New Roman"/>
          <w:b/>
          <w:bCs/>
          <w:sz w:val="21"/>
          <w:szCs w:val="21"/>
        </w:rPr>
        <w:t xml:space="preserve"> </w:t>
      </w:r>
    </w:p>
    <w:p w14:paraId="24F79416" w14:textId="61207272" w:rsidR="0026193B" w:rsidRDefault="008D785F" w:rsidP="00E937BA">
      <w:pPr>
        <w:pStyle w:val="NoSpacing"/>
        <w:ind w:firstLine="720"/>
        <w:rPr>
          <w:rFonts w:ascii="Times New Roman" w:hAnsi="Times New Roman" w:cs="Times New Roman"/>
          <w:b/>
          <w:bCs/>
          <w:sz w:val="21"/>
          <w:szCs w:val="21"/>
        </w:rPr>
      </w:pPr>
      <w:r>
        <w:rPr>
          <w:rFonts w:ascii="Times New Roman" w:hAnsi="Times New Roman" w:cs="Times New Roman"/>
          <w:b/>
          <w:bCs/>
          <w:sz w:val="21"/>
          <w:szCs w:val="21"/>
        </w:rPr>
        <w:t>The s</w:t>
      </w:r>
      <w:r w:rsidR="00272569">
        <w:rPr>
          <w:rFonts w:ascii="Times New Roman" w:hAnsi="Times New Roman" w:cs="Times New Roman"/>
          <w:b/>
          <w:bCs/>
          <w:sz w:val="21"/>
          <w:szCs w:val="21"/>
        </w:rPr>
        <w:t>econd kind of challenge that primarily impacted female students were participating in remote/online education on a regular, consistent basis attributable to a myriad of sociocultural factors, such as unequal access to digital learning platforms,</w:t>
      </w:r>
      <w:r w:rsidR="005E2810">
        <w:rPr>
          <w:rFonts w:ascii="Times New Roman" w:hAnsi="Times New Roman" w:cs="Times New Roman"/>
          <w:b/>
          <w:bCs/>
          <w:sz w:val="21"/>
          <w:szCs w:val="21"/>
        </w:rPr>
        <w:t xml:space="preserve"> gender norms embedded in patriarchy that unduly impedes their innate right to access and utilize technology to continue their education at all levels of schooling. </w:t>
      </w:r>
      <w:r w:rsidR="00453C0C">
        <w:rPr>
          <w:rFonts w:ascii="Times New Roman" w:hAnsi="Times New Roman" w:cs="Times New Roman"/>
          <w:b/>
          <w:bCs/>
          <w:sz w:val="21"/>
          <w:szCs w:val="21"/>
        </w:rPr>
        <w:t xml:space="preserve">In general, girls are the most susceptible to encounter many potential risks, such as child marriage, unintended teenage pregnancy, sexual exploitation, gender-based violence, and so forth due to their gender and harmful gender stereotypes. </w:t>
      </w:r>
    </w:p>
    <w:p w14:paraId="63CBACC6" w14:textId="2E7DAF27" w:rsidR="00CC5BD7" w:rsidRPr="00BC6CBB" w:rsidRDefault="00CC5BD7" w:rsidP="00E937BA">
      <w:pPr>
        <w:pStyle w:val="NoSpacing"/>
        <w:ind w:firstLine="720"/>
        <w:rPr>
          <w:rFonts w:ascii="Times New Roman" w:hAnsi="Times New Roman" w:cs="Times New Roman"/>
          <w:sz w:val="21"/>
          <w:szCs w:val="21"/>
          <w:u w:val="single"/>
        </w:rPr>
      </w:pPr>
      <w:r w:rsidRPr="00BC6CBB">
        <w:rPr>
          <w:rFonts w:ascii="Times New Roman" w:hAnsi="Times New Roman" w:cs="Times New Roman"/>
          <w:sz w:val="21"/>
          <w:szCs w:val="21"/>
          <w:u w:val="single"/>
        </w:rPr>
        <w:t xml:space="preserve">Section 2: Concrete measures countries </w:t>
      </w:r>
      <w:r w:rsidR="00BC6CBB" w:rsidRPr="00BC6CBB">
        <w:rPr>
          <w:rFonts w:ascii="Times New Roman" w:hAnsi="Times New Roman" w:cs="Times New Roman"/>
          <w:sz w:val="21"/>
          <w:szCs w:val="21"/>
          <w:u w:val="single"/>
        </w:rPr>
        <w:t xml:space="preserve">have implemented to eradicate challenges endured by girls </w:t>
      </w:r>
    </w:p>
    <w:p w14:paraId="29C464B3" w14:textId="671F9A33" w:rsidR="00B112EC" w:rsidRDefault="00BC6CBB" w:rsidP="00BC6CBB">
      <w:pPr>
        <w:pStyle w:val="NoSpacing"/>
        <w:rPr>
          <w:rFonts w:ascii="Times New Roman" w:hAnsi="Times New Roman" w:cs="Times New Roman"/>
          <w:b/>
          <w:bCs/>
          <w:sz w:val="21"/>
          <w:szCs w:val="21"/>
        </w:rPr>
      </w:pPr>
      <w:r>
        <w:rPr>
          <w:rFonts w:ascii="Times New Roman" w:hAnsi="Times New Roman" w:cs="Times New Roman"/>
          <w:b/>
          <w:bCs/>
          <w:sz w:val="21"/>
          <w:szCs w:val="21"/>
        </w:rPr>
        <w:tab/>
        <w:t xml:space="preserve">Overall, countries have </w:t>
      </w:r>
      <w:r w:rsidR="003428A6">
        <w:rPr>
          <w:rFonts w:ascii="Times New Roman" w:hAnsi="Times New Roman" w:cs="Times New Roman"/>
          <w:b/>
          <w:bCs/>
          <w:sz w:val="21"/>
          <w:szCs w:val="21"/>
        </w:rPr>
        <w:t xml:space="preserve">taken the great initiative of employing multi-modal learning modalities with dexterity and promptness, primarily low-income and middle-income. Educators in high-income countries were </w:t>
      </w:r>
      <w:r w:rsidR="00B112EC">
        <w:rPr>
          <w:rFonts w:ascii="Times New Roman" w:hAnsi="Times New Roman" w:cs="Times New Roman"/>
          <w:b/>
          <w:bCs/>
          <w:sz w:val="21"/>
          <w:szCs w:val="21"/>
        </w:rPr>
        <w:t xml:space="preserve">fortunate </w:t>
      </w:r>
      <w:r w:rsidR="003428A6">
        <w:rPr>
          <w:rFonts w:ascii="Times New Roman" w:hAnsi="Times New Roman" w:cs="Times New Roman"/>
          <w:b/>
          <w:bCs/>
          <w:sz w:val="21"/>
          <w:szCs w:val="21"/>
        </w:rPr>
        <w:t xml:space="preserve">to </w:t>
      </w:r>
      <w:r w:rsidR="00B112EC">
        <w:rPr>
          <w:rFonts w:ascii="Times New Roman" w:hAnsi="Times New Roman" w:cs="Times New Roman"/>
          <w:b/>
          <w:bCs/>
          <w:sz w:val="21"/>
          <w:szCs w:val="21"/>
        </w:rPr>
        <w:t xml:space="preserve">automatically </w:t>
      </w:r>
      <w:r w:rsidR="003428A6">
        <w:rPr>
          <w:rFonts w:ascii="Times New Roman" w:hAnsi="Times New Roman" w:cs="Times New Roman"/>
          <w:b/>
          <w:bCs/>
          <w:sz w:val="21"/>
          <w:szCs w:val="21"/>
        </w:rPr>
        <w:t xml:space="preserve">pivot to digital learning platforms, although the decision to </w:t>
      </w:r>
      <w:r w:rsidR="006B5018">
        <w:rPr>
          <w:rFonts w:ascii="Times New Roman" w:hAnsi="Times New Roman" w:cs="Times New Roman"/>
          <w:b/>
          <w:bCs/>
          <w:sz w:val="21"/>
          <w:szCs w:val="21"/>
        </w:rPr>
        <w:t xml:space="preserve">shut down schools was so unexpected and unprecedented. </w:t>
      </w:r>
      <w:r w:rsidR="00B112EC">
        <w:rPr>
          <w:rFonts w:ascii="Times New Roman" w:hAnsi="Times New Roman" w:cs="Times New Roman"/>
          <w:b/>
          <w:bCs/>
          <w:sz w:val="21"/>
          <w:szCs w:val="21"/>
        </w:rPr>
        <w:t>A few</w:t>
      </w:r>
      <w:r w:rsidR="006B5018">
        <w:rPr>
          <w:rFonts w:ascii="Times New Roman" w:hAnsi="Times New Roman" w:cs="Times New Roman"/>
          <w:b/>
          <w:bCs/>
          <w:sz w:val="21"/>
          <w:szCs w:val="21"/>
        </w:rPr>
        <w:t xml:space="preserve"> strengths emerged from government officials’ utilization of multi</w:t>
      </w:r>
      <w:r w:rsidR="004A78B7">
        <w:rPr>
          <w:rFonts w:ascii="Times New Roman" w:hAnsi="Times New Roman" w:cs="Times New Roman"/>
          <w:b/>
          <w:bCs/>
          <w:sz w:val="21"/>
          <w:szCs w:val="21"/>
        </w:rPr>
        <w:t>-</w:t>
      </w:r>
      <w:r w:rsidR="006B5018">
        <w:rPr>
          <w:rFonts w:ascii="Times New Roman" w:hAnsi="Times New Roman" w:cs="Times New Roman"/>
          <w:b/>
          <w:bCs/>
          <w:sz w:val="21"/>
          <w:szCs w:val="21"/>
        </w:rPr>
        <w:t>modal learning methods</w:t>
      </w:r>
      <w:r w:rsidR="004A78B7">
        <w:rPr>
          <w:rFonts w:ascii="Times New Roman" w:hAnsi="Times New Roman" w:cs="Times New Roman"/>
          <w:b/>
          <w:bCs/>
          <w:sz w:val="21"/>
          <w:szCs w:val="21"/>
        </w:rPr>
        <w:t xml:space="preserve"> </w:t>
      </w:r>
      <w:r w:rsidR="006B5018">
        <w:rPr>
          <w:rFonts w:ascii="Times New Roman" w:hAnsi="Times New Roman" w:cs="Times New Roman"/>
          <w:b/>
          <w:bCs/>
          <w:sz w:val="21"/>
          <w:szCs w:val="21"/>
        </w:rPr>
        <w:t>(low-tech and no-tech)</w:t>
      </w:r>
      <w:r w:rsidR="00914D10">
        <w:rPr>
          <w:rFonts w:ascii="Times New Roman" w:hAnsi="Times New Roman" w:cs="Times New Roman"/>
          <w:b/>
          <w:bCs/>
          <w:sz w:val="21"/>
          <w:szCs w:val="21"/>
        </w:rPr>
        <w:t xml:space="preserve">, such as television and radio. </w:t>
      </w:r>
      <w:r w:rsidR="004A78B7">
        <w:rPr>
          <w:rFonts w:ascii="Times New Roman" w:hAnsi="Times New Roman" w:cs="Times New Roman"/>
          <w:b/>
          <w:bCs/>
          <w:sz w:val="21"/>
          <w:szCs w:val="21"/>
        </w:rPr>
        <w:t xml:space="preserve"> One positive strongpoint was the </w:t>
      </w:r>
      <w:r w:rsidR="008D785F">
        <w:rPr>
          <w:rFonts w:ascii="Times New Roman" w:hAnsi="Times New Roman" w:cs="Times New Roman"/>
          <w:b/>
          <w:bCs/>
          <w:sz w:val="21"/>
          <w:szCs w:val="21"/>
        </w:rPr>
        <w:t>consideration undertaken to</w:t>
      </w:r>
      <w:r w:rsidR="004A78B7">
        <w:rPr>
          <w:rFonts w:ascii="Times New Roman" w:hAnsi="Times New Roman" w:cs="Times New Roman"/>
          <w:b/>
          <w:bCs/>
          <w:sz w:val="21"/>
          <w:szCs w:val="21"/>
        </w:rPr>
        <w:t xml:space="preserve"> widely reach more children. A second highlight that had emerged from the implementation process was the acknowledgement and assistance provided to educators </w:t>
      </w:r>
      <w:r w:rsidR="008B5F7A">
        <w:rPr>
          <w:rFonts w:ascii="Times New Roman" w:hAnsi="Times New Roman" w:cs="Times New Roman"/>
          <w:b/>
          <w:bCs/>
          <w:sz w:val="21"/>
          <w:szCs w:val="21"/>
        </w:rPr>
        <w:t xml:space="preserve">for a smooth transition to teach pupils remotely. </w:t>
      </w:r>
    </w:p>
    <w:p w14:paraId="26B54349" w14:textId="6CA98CE2" w:rsidR="00BC6CBB" w:rsidRDefault="00D31202" w:rsidP="00B112EC">
      <w:pPr>
        <w:pStyle w:val="NoSpacing"/>
        <w:ind w:firstLine="720"/>
        <w:rPr>
          <w:rFonts w:ascii="Times New Roman" w:hAnsi="Times New Roman" w:cs="Times New Roman"/>
          <w:b/>
          <w:bCs/>
          <w:sz w:val="21"/>
          <w:szCs w:val="21"/>
        </w:rPr>
      </w:pPr>
      <w:r>
        <w:rPr>
          <w:rFonts w:ascii="Times New Roman" w:hAnsi="Times New Roman" w:cs="Times New Roman"/>
          <w:b/>
          <w:bCs/>
          <w:sz w:val="21"/>
          <w:szCs w:val="21"/>
        </w:rPr>
        <w:t xml:space="preserve">On the contrary, the multi-modal pedagogical approach presented a few drawbacks.  One setback that emerged from this practice was the paucity of resources and opportunities for teachers to </w:t>
      </w:r>
      <w:r w:rsidR="00BF72A8">
        <w:rPr>
          <w:rFonts w:ascii="Times New Roman" w:hAnsi="Times New Roman" w:cs="Times New Roman"/>
          <w:b/>
          <w:bCs/>
          <w:sz w:val="21"/>
          <w:szCs w:val="21"/>
        </w:rPr>
        <w:t xml:space="preserve">acquire fundamental knowledge on pedagogical best teaching practices to effectively and meaningfully facilitate learning with students remotely. A second setback stemming from the usage of the multi-modal learning approach was the scant attention that government leaders devoted to </w:t>
      </w:r>
      <w:r w:rsidR="004F46B9">
        <w:rPr>
          <w:rFonts w:ascii="Times New Roman" w:hAnsi="Times New Roman" w:cs="Times New Roman"/>
          <w:b/>
          <w:bCs/>
          <w:sz w:val="21"/>
          <w:szCs w:val="21"/>
        </w:rPr>
        <w:t xml:space="preserve">gender equity and to children from marginalized groups, such as teenage and expecting mothers. </w:t>
      </w:r>
    </w:p>
    <w:p w14:paraId="1966854A" w14:textId="408C97D5" w:rsidR="00A83C2B" w:rsidRDefault="00A83C2B" w:rsidP="00BC6CBB">
      <w:pPr>
        <w:pStyle w:val="NoSpacing"/>
        <w:rPr>
          <w:rFonts w:ascii="Times New Roman" w:hAnsi="Times New Roman" w:cs="Times New Roman"/>
          <w:b/>
          <w:bCs/>
          <w:sz w:val="21"/>
          <w:szCs w:val="21"/>
        </w:rPr>
      </w:pPr>
      <w:r>
        <w:rPr>
          <w:rFonts w:ascii="Times New Roman" w:hAnsi="Times New Roman" w:cs="Times New Roman"/>
          <w:b/>
          <w:bCs/>
          <w:sz w:val="21"/>
          <w:szCs w:val="21"/>
        </w:rPr>
        <w:tab/>
        <w:t xml:space="preserve">An example of a concrete measure undertaken by a governmental entity is </w:t>
      </w:r>
      <w:r w:rsidR="00A7227E">
        <w:rPr>
          <w:rFonts w:ascii="Times New Roman" w:hAnsi="Times New Roman" w:cs="Times New Roman"/>
          <w:b/>
          <w:bCs/>
          <w:sz w:val="21"/>
          <w:szCs w:val="21"/>
        </w:rPr>
        <w:t xml:space="preserve">Ghana’s design and implementation of their COVID-19 Coordinated Education Response Plan incorporates specifically tailored gendered parlance to strongly emphasize girls’ access to education at all levels.  </w:t>
      </w:r>
      <w:r w:rsidR="00DE76B1">
        <w:rPr>
          <w:rFonts w:ascii="Times New Roman" w:hAnsi="Times New Roman" w:cs="Times New Roman"/>
          <w:b/>
          <w:bCs/>
          <w:sz w:val="21"/>
          <w:szCs w:val="21"/>
        </w:rPr>
        <w:t xml:space="preserve">Rwanda is </w:t>
      </w:r>
      <w:r w:rsidR="00DE76B1">
        <w:rPr>
          <w:rFonts w:ascii="Times New Roman" w:hAnsi="Times New Roman" w:cs="Times New Roman"/>
          <w:b/>
          <w:bCs/>
          <w:sz w:val="21"/>
          <w:szCs w:val="21"/>
        </w:rPr>
        <w:lastRenderedPageBreak/>
        <w:t xml:space="preserve">another example of a country that had taken the liberty of incorporating gendered terminology in their respective COVID-19 Recovery Response Plan to take into consideration the intersectional dimensions, </w:t>
      </w:r>
      <w:r w:rsidR="00E914A4">
        <w:rPr>
          <w:rFonts w:ascii="Times New Roman" w:hAnsi="Times New Roman" w:cs="Times New Roman"/>
          <w:b/>
          <w:bCs/>
          <w:sz w:val="21"/>
          <w:szCs w:val="21"/>
        </w:rPr>
        <w:t xml:space="preserve">e.g., </w:t>
      </w:r>
      <w:r w:rsidR="00DE76B1">
        <w:rPr>
          <w:rFonts w:ascii="Times New Roman" w:hAnsi="Times New Roman" w:cs="Times New Roman"/>
          <w:b/>
          <w:bCs/>
          <w:sz w:val="21"/>
          <w:szCs w:val="21"/>
        </w:rPr>
        <w:t xml:space="preserve">migration status, socioeconomic status, </w:t>
      </w:r>
      <w:r w:rsidR="002B53B9">
        <w:rPr>
          <w:rFonts w:ascii="Times New Roman" w:hAnsi="Times New Roman" w:cs="Times New Roman"/>
          <w:b/>
          <w:bCs/>
          <w:sz w:val="21"/>
          <w:szCs w:val="21"/>
        </w:rPr>
        <w:t xml:space="preserve">etc. that </w:t>
      </w:r>
      <w:r w:rsidR="00B112EC">
        <w:rPr>
          <w:rFonts w:ascii="Times New Roman" w:hAnsi="Times New Roman" w:cs="Times New Roman"/>
          <w:b/>
          <w:bCs/>
          <w:sz w:val="21"/>
          <w:szCs w:val="21"/>
        </w:rPr>
        <w:t>forms</w:t>
      </w:r>
      <w:r w:rsidR="002B53B9">
        <w:rPr>
          <w:rFonts w:ascii="Times New Roman" w:hAnsi="Times New Roman" w:cs="Times New Roman"/>
          <w:b/>
          <w:bCs/>
          <w:sz w:val="21"/>
          <w:szCs w:val="21"/>
        </w:rPr>
        <w:t xml:space="preserve"> girls’ identities. </w:t>
      </w:r>
    </w:p>
    <w:p w14:paraId="51484B73" w14:textId="5CEDA864" w:rsidR="00405B34" w:rsidRDefault="002B53B9" w:rsidP="00BC6CBB">
      <w:pPr>
        <w:pStyle w:val="NoSpacing"/>
        <w:rPr>
          <w:rFonts w:ascii="Times New Roman" w:hAnsi="Times New Roman" w:cs="Times New Roman"/>
          <w:b/>
          <w:bCs/>
          <w:sz w:val="21"/>
          <w:szCs w:val="21"/>
        </w:rPr>
      </w:pPr>
      <w:r>
        <w:rPr>
          <w:rFonts w:ascii="Times New Roman" w:hAnsi="Times New Roman" w:cs="Times New Roman"/>
          <w:b/>
          <w:bCs/>
          <w:sz w:val="21"/>
          <w:szCs w:val="21"/>
        </w:rPr>
        <w:tab/>
      </w:r>
      <w:r w:rsidR="00B112EC">
        <w:rPr>
          <w:rFonts w:ascii="Times New Roman" w:hAnsi="Times New Roman" w:cs="Times New Roman"/>
          <w:b/>
          <w:bCs/>
          <w:sz w:val="21"/>
          <w:szCs w:val="21"/>
        </w:rPr>
        <w:t>The</w:t>
      </w:r>
      <w:r>
        <w:rPr>
          <w:rFonts w:ascii="Times New Roman" w:hAnsi="Times New Roman" w:cs="Times New Roman"/>
          <w:b/>
          <w:bCs/>
          <w:sz w:val="21"/>
          <w:szCs w:val="21"/>
        </w:rPr>
        <w:t xml:space="preserve"> second example of a concrete measure that was geared toward improving accessibility to education is the </w:t>
      </w:r>
      <w:r w:rsidRPr="00E914A4">
        <w:rPr>
          <w:rFonts w:ascii="Times New Roman" w:hAnsi="Times New Roman" w:cs="Times New Roman"/>
          <w:b/>
          <w:bCs/>
          <w:i/>
          <w:iCs/>
          <w:sz w:val="21"/>
          <w:szCs w:val="21"/>
        </w:rPr>
        <w:t>Accessible Reading Materials initiative</w:t>
      </w:r>
      <w:r>
        <w:rPr>
          <w:rFonts w:ascii="Times New Roman" w:hAnsi="Times New Roman" w:cs="Times New Roman"/>
          <w:b/>
          <w:bCs/>
          <w:sz w:val="21"/>
          <w:szCs w:val="21"/>
        </w:rPr>
        <w:t>,</w:t>
      </w:r>
      <w:r w:rsidR="00B112EC">
        <w:rPr>
          <w:rFonts w:ascii="Times New Roman" w:hAnsi="Times New Roman" w:cs="Times New Roman"/>
          <w:b/>
          <w:bCs/>
          <w:sz w:val="21"/>
          <w:szCs w:val="21"/>
        </w:rPr>
        <w:t xml:space="preserve"> </w:t>
      </w:r>
      <w:r>
        <w:rPr>
          <w:rFonts w:ascii="Times New Roman" w:hAnsi="Times New Roman" w:cs="Times New Roman"/>
          <w:b/>
          <w:bCs/>
          <w:sz w:val="21"/>
          <w:szCs w:val="21"/>
        </w:rPr>
        <w:t xml:space="preserve">established back in 2014 by Bangladesh. The central </w:t>
      </w:r>
      <w:r w:rsidR="00EB3A9C">
        <w:rPr>
          <w:rFonts w:ascii="Times New Roman" w:hAnsi="Times New Roman" w:cs="Times New Roman"/>
          <w:b/>
          <w:bCs/>
          <w:sz w:val="21"/>
          <w:szCs w:val="21"/>
        </w:rPr>
        <w:t>objective of this initiative is the provision of literature in varying formats to assist students with disabilities. Another important aim of this initiative is the distributi</w:t>
      </w:r>
      <w:r w:rsidR="00B112EC">
        <w:rPr>
          <w:rFonts w:ascii="Times New Roman" w:hAnsi="Times New Roman" w:cs="Times New Roman"/>
          <w:b/>
          <w:bCs/>
          <w:sz w:val="21"/>
          <w:szCs w:val="21"/>
        </w:rPr>
        <w:t xml:space="preserve">ng </w:t>
      </w:r>
      <w:r w:rsidR="00EB3A9C">
        <w:rPr>
          <w:rFonts w:ascii="Times New Roman" w:hAnsi="Times New Roman" w:cs="Times New Roman"/>
          <w:b/>
          <w:bCs/>
          <w:sz w:val="21"/>
          <w:szCs w:val="21"/>
        </w:rPr>
        <w:t xml:space="preserve">supplemental learning assistive technological tools, such as laptops to ensure educational equity among children with disabilities. </w:t>
      </w:r>
      <w:r>
        <w:rPr>
          <w:rFonts w:ascii="Times New Roman" w:hAnsi="Times New Roman" w:cs="Times New Roman"/>
          <w:b/>
          <w:bCs/>
          <w:sz w:val="21"/>
          <w:szCs w:val="21"/>
        </w:rPr>
        <w:t xml:space="preserve"> </w:t>
      </w:r>
    </w:p>
    <w:p w14:paraId="25E5F595" w14:textId="3E60535F" w:rsidR="00405B34" w:rsidRDefault="00405B34" w:rsidP="00BC6CBB">
      <w:pPr>
        <w:pStyle w:val="NoSpacing"/>
        <w:rPr>
          <w:rFonts w:ascii="Times New Roman" w:hAnsi="Times New Roman" w:cs="Times New Roman"/>
          <w:b/>
          <w:bCs/>
          <w:sz w:val="21"/>
          <w:szCs w:val="21"/>
        </w:rPr>
      </w:pPr>
      <w:r>
        <w:rPr>
          <w:rFonts w:ascii="Times New Roman" w:hAnsi="Times New Roman" w:cs="Times New Roman"/>
          <w:b/>
          <w:bCs/>
          <w:sz w:val="21"/>
          <w:szCs w:val="21"/>
        </w:rPr>
        <w:tab/>
      </w:r>
      <w:r w:rsidR="00B112EC">
        <w:rPr>
          <w:rFonts w:ascii="Times New Roman" w:hAnsi="Times New Roman" w:cs="Times New Roman"/>
          <w:b/>
          <w:bCs/>
          <w:sz w:val="21"/>
          <w:szCs w:val="21"/>
        </w:rPr>
        <w:t>The t</w:t>
      </w:r>
      <w:r>
        <w:rPr>
          <w:rFonts w:ascii="Times New Roman" w:hAnsi="Times New Roman" w:cs="Times New Roman"/>
          <w:b/>
          <w:bCs/>
          <w:sz w:val="21"/>
          <w:szCs w:val="21"/>
        </w:rPr>
        <w:t xml:space="preserve">hird example of a concrete measure that </w:t>
      </w:r>
      <w:r w:rsidR="008D785F">
        <w:rPr>
          <w:rFonts w:ascii="Times New Roman" w:hAnsi="Times New Roman" w:cs="Times New Roman"/>
          <w:b/>
          <w:bCs/>
          <w:sz w:val="21"/>
          <w:szCs w:val="21"/>
        </w:rPr>
        <w:t xml:space="preserve">ensured </w:t>
      </w:r>
      <w:r>
        <w:rPr>
          <w:rFonts w:ascii="Times New Roman" w:hAnsi="Times New Roman" w:cs="Times New Roman"/>
          <w:b/>
          <w:bCs/>
          <w:sz w:val="21"/>
          <w:szCs w:val="21"/>
        </w:rPr>
        <w:t xml:space="preserve">continued </w:t>
      </w:r>
      <w:r w:rsidR="008D785F">
        <w:rPr>
          <w:rFonts w:ascii="Times New Roman" w:hAnsi="Times New Roman" w:cs="Times New Roman"/>
          <w:b/>
          <w:bCs/>
          <w:sz w:val="21"/>
          <w:szCs w:val="21"/>
        </w:rPr>
        <w:t>access</w:t>
      </w:r>
      <w:r>
        <w:rPr>
          <w:rFonts w:ascii="Times New Roman" w:hAnsi="Times New Roman" w:cs="Times New Roman"/>
          <w:b/>
          <w:bCs/>
          <w:sz w:val="21"/>
          <w:szCs w:val="21"/>
        </w:rPr>
        <w:t xml:space="preserve"> to education geared toward girls was the </w:t>
      </w:r>
      <w:r w:rsidRPr="00E914A4">
        <w:rPr>
          <w:rFonts w:ascii="Times New Roman" w:hAnsi="Times New Roman" w:cs="Times New Roman"/>
          <w:b/>
          <w:bCs/>
          <w:i/>
          <w:iCs/>
          <w:sz w:val="21"/>
          <w:szCs w:val="21"/>
        </w:rPr>
        <w:t>Somalia Girls’ Education Promotion Program-Transition (SOMGET-T</w:t>
      </w:r>
      <w:r>
        <w:rPr>
          <w:rFonts w:ascii="Times New Roman" w:hAnsi="Times New Roman" w:cs="Times New Roman"/>
          <w:b/>
          <w:bCs/>
          <w:sz w:val="21"/>
          <w:szCs w:val="21"/>
        </w:rPr>
        <w:t xml:space="preserve">). During the early stages of the COVID-19 pandemic, students were given </w:t>
      </w:r>
      <w:r w:rsidR="0037307E">
        <w:rPr>
          <w:rFonts w:ascii="Times New Roman" w:hAnsi="Times New Roman" w:cs="Times New Roman"/>
          <w:b/>
          <w:bCs/>
          <w:sz w:val="21"/>
          <w:szCs w:val="21"/>
        </w:rPr>
        <w:t>printed learning resources(no-tech) and assistance with tackling mental health issues that have been exacerbated during the pandemic. The SOMGET-T program utilizes an inter-disciplinary collaborative approach to address non-academic challenges, such as mental health issues,</w:t>
      </w:r>
      <w:r w:rsidR="00A15140">
        <w:rPr>
          <w:rFonts w:ascii="Times New Roman" w:hAnsi="Times New Roman" w:cs="Times New Roman"/>
          <w:b/>
          <w:bCs/>
          <w:sz w:val="21"/>
          <w:szCs w:val="21"/>
        </w:rPr>
        <w:t xml:space="preserve"> violence, and other miscellaneous child protection problems. </w:t>
      </w:r>
      <w:r w:rsidR="0037307E">
        <w:rPr>
          <w:rFonts w:ascii="Times New Roman" w:hAnsi="Times New Roman" w:cs="Times New Roman"/>
          <w:b/>
          <w:bCs/>
          <w:sz w:val="21"/>
          <w:szCs w:val="21"/>
        </w:rPr>
        <w:t xml:space="preserve"> </w:t>
      </w:r>
    </w:p>
    <w:p w14:paraId="1A28D16A" w14:textId="3353D0EB" w:rsidR="00C40721" w:rsidRDefault="00C40721" w:rsidP="00607441">
      <w:pPr>
        <w:pStyle w:val="NoSpacing"/>
        <w:rPr>
          <w:rFonts w:ascii="Times New Roman" w:hAnsi="Times New Roman" w:cs="Times New Roman"/>
          <w:b/>
          <w:bCs/>
          <w:sz w:val="21"/>
          <w:szCs w:val="21"/>
        </w:rPr>
      </w:pPr>
    </w:p>
    <w:p w14:paraId="31828DF4" w14:textId="788CA786" w:rsidR="00E937BA" w:rsidRPr="00C40721" w:rsidRDefault="00E937BA" w:rsidP="00607441">
      <w:pPr>
        <w:pStyle w:val="NoSpacing"/>
        <w:rPr>
          <w:rFonts w:ascii="Times New Roman" w:hAnsi="Times New Roman" w:cs="Times New Roman"/>
          <w:b/>
          <w:bCs/>
          <w:sz w:val="21"/>
          <w:szCs w:val="21"/>
        </w:rPr>
      </w:pPr>
      <w:r>
        <w:rPr>
          <w:rFonts w:ascii="Times New Roman" w:hAnsi="Times New Roman" w:cs="Times New Roman"/>
          <w:b/>
          <w:bCs/>
          <w:sz w:val="21"/>
          <w:szCs w:val="21"/>
        </w:rPr>
        <w:tab/>
      </w:r>
    </w:p>
    <w:p w14:paraId="638E1F60" w14:textId="77777777" w:rsidR="00C40721" w:rsidRPr="00C40721" w:rsidRDefault="00C40721" w:rsidP="00607441">
      <w:pPr>
        <w:pStyle w:val="NoSpacing"/>
        <w:rPr>
          <w:rFonts w:ascii="Times New Roman" w:hAnsi="Times New Roman" w:cs="Times New Roman"/>
          <w:b/>
          <w:bCs/>
          <w:sz w:val="21"/>
          <w:szCs w:val="21"/>
        </w:rPr>
      </w:pPr>
    </w:p>
    <w:p w14:paraId="32ADBB05" w14:textId="77777777" w:rsidR="002C4CC3" w:rsidRDefault="002C4CC3" w:rsidP="00663A6A">
      <w:pPr>
        <w:pStyle w:val="NoSpacing"/>
        <w:ind w:left="720" w:firstLine="720"/>
        <w:rPr>
          <w:rFonts w:ascii="Times New Roman" w:hAnsi="Times New Roman" w:cs="Times New Roman"/>
          <w:b/>
          <w:bCs/>
          <w:sz w:val="19"/>
          <w:szCs w:val="19"/>
        </w:rPr>
      </w:pPr>
    </w:p>
    <w:p w14:paraId="2913A0CB" w14:textId="53824832" w:rsidR="00663A6A" w:rsidRPr="00230BEA" w:rsidRDefault="00663A6A" w:rsidP="00230BEA">
      <w:pPr>
        <w:pStyle w:val="NoSpacing"/>
        <w:ind w:firstLine="720"/>
        <w:rPr>
          <w:rFonts w:ascii="Times New Roman" w:hAnsi="Times New Roman" w:cs="Times New Roman"/>
          <w:b/>
          <w:bCs/>
          <w:sz w:val="19"/>
          <w:szCs w:val="19"/>
        </w:rPr>
      </w:pPr>
    </w:p>
    <w:p w14:paraId="30346B15" w14:textId="65FCCA29" w:rsidR="00663A6A" w:rsidRDefault="00663A6A" w:rsidP="00663A6A">
      <w:pPr>
        <w:pStyle w:val="NoSpacing"/>
        <w:ind w:firstLine="720"/>
        <w:rPr>
          <w:rFonts w:ascii="Times New Roman" w:hAnsi="Times New Roman" w:cs="Times New Roman"/>
          <w:b/>
          <w:bCs/>
          <w:sz w:val="19"/>
          <w:szCs w:val="19"/>
        </w:rPr>
      </w:pPr>
    </w:p>
    <w:p w14:paraId="2DE47650" w14:textId="77777777" w:rsidR="00663A6A" w:rsidRPr="00663A6A" w:rsidRDefault="00663A6A" w:rsidP="00663A6A">
      <w:pPr>
        <w:pStyle w:val="NoSpacing"/>
        <w:ind w:firstLine="720"/>
        <w:rPr>
          <w:rFonts w:ascii="Times New Roman" w:hAnsi="Times New Roman" w:cs="Times New Roman"/>
          <w:b/>
          <w:bCs/>
          <w:sz w:val="19"/>
          <w:szCs w:val="19"/>
        </w:rPr>
      </w:pPr>
    </w:p>
    <w:p w14:paraId="1B5789C8" w14:textId="4842EF63" w:rsidR="00DE3102" w:rsidRDefault="00DE3102" w:rsidP="00DE3102">
      <w:pPr>
        <w:rPr>
          <w:rFonts w:ascii="Times New Roman" w:hAnsi="Times New Roman" w:cs="Times New Roman"/>
          <w:b/>
          <w:bCs/>
        </w:rPr>
      </w:pPr>
    </w:p>
    <w:p w14:paraId="4AE685BA" w14:textId="77777777" w:rsidR="00722561" w:rsidRDefault="00722561" w:rsidP="00DE3102">
      <w:pPr>
        <w:rPr>
          <w:rFonts w:ascii="Times New Roman" w:hAnsi="Times New Roman" w:cs="Times New Roman"/>
          <w:b/>
          <w:bCs/>
        </w:rPr>
      </w:pPr>
    </w:p>
    <w:p w14:paraId="1DA7C525" w14:textId="77777777" w:rsidR="00722561" w:rsidRDefault="00722561" w:rsidP="00DE3102">
      <w:pPr>
        <w:rPr>
          <w:rFonts w:ascii="Times New Roman" w:hAnsi="Times New Roman" w:cs="Times New Roman"/>
          <w:b/>
          <w:bCs/>
        </w:rPr>
      </w:pPr>
    </w:p>
    <w:p w14:paraId="1E223537" w14:textId="2160450A" w:rsidR="00DE3102" w:rsidRDefault="00DE3102" w:rsidP="00DE3102">
      <w:pPr>
        <w:rPr>
          <w:rFonts w:ascii="Times New Roman" w:hAnsi="Times New Roman" w:cs="Times New Roman"/>
          <w:b/>
          <w:bCs/>
        </w:rPr>
      </w:pPr>
    </w:p>
    <w:p w14:paraId="0545641B" w14:textId="77777777" w:rsidR="00DE3102" w:rsidRDefault="00DE3102" w:rsidP="00DE3102">
      <w:pPr>
        <w:rPr>
          <w:rFonts w:ascii="Times New Roman" w:hAnsi="Times New Roman" w:cs="Times New Roman"/>
          <w:b/>
          <w:bCs/>
        </w:rPr>
      </w:pPr>
    </w:p>
    <w:p w14:paraId="2A48EEAE" w14:textId="4AF95C02" w:rsidR="00DE3102" w:rsidRDefault="00DE3102" w:rsidP="00DE3102">
      <w:pPr>
        <w:rPr>
          <w:rFonts w:ascii="Times New Roman" w:hAnsi="Times New Roman" w:cs="Times New Roman"/>
          <w:b/>
          <w:bCs/>
        </w:rPr>
      </w:pPr>
    </w:p>
    <w:p w14:paraId="5B4B878D" w14:textId="77777777" w:rsidR="00DE3102" w:rsidRPr="00DE3102" w:rsidRDefault="00DE3102" w:rsidP="00DE3102">
      <w:pPr>
        <w:rPr>
          <w:rFonts w:ascii="Times New Roman" w:hAnsi="Times New Roman" w:cs="Times New Roman"/>
          <w:b/>
          <w:bCs/>
        </w:rPr>
      </w:pPr>
    </w:p>
    <w:p w14:paraId="647B8254" w14:textId="77777777" w:rsidR="00DE3102" w:rsidRPr="00DE3102" w:rsidRDefault="00DE3102" w:rsidP="00DE3102">
      <w:pPr>
        <w:jc w:val="center"/>
        <w:rPr>
          <w:rFonts w:ascii="Times New Roman" w:hAnsi="Times New Roman" w:cs="Times New Roman"/>
        </w:rPr>
      </w:pPr>
    </w:p>
    <w:sectPr w:rsidR="00DE3102" w:rsidRPr="00DE3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0tbQwNTYGYjMDcyUdpeDU4uLM/DyQAsNaAHLfscwsAAAA"/>
  </w:docVars>
  <w:rsids>
    <w:rsidRoot w:val="00DE3102"/>
    <w:rsid w:val="000818D7"/>
    <w:rsid w:val="000A3F60"/>
    <w:rsid w:val="000D6B90"/>
    <w:rsid w:val="000E286D"/>
    <w:rsid w:val="00230BEA"/>
    <w:rsid w:val="00256FF9"/>
    <w:rsid w:val="0026193B"/>
    <w:rsid w:val="00272569"/>
    <w:rsid w:val="002B53B9"/>
    <w:rsid w:val="002C4CC3"/>
    <w:rsid w:val="002E66E6"/>
    <w:rsid w:val="002F4BF4"/>
    <w:rsid w:val="002F5697"/>
    <w:rsid w:val="003428A6"/>
    <w:rsid w:val="0037307E"/>
    <w:rsid w:val="00405B34"/>
    <w:rsid w:val="00450178"/>
    <w:rsid w:val="00453C0C"/>
    <w:rsid w:val="00485354"/>
    <w:rsid w:val="004A45F3"/>
    <w:rsid w:val="004A78B7"/>
    <w:rsid w:val="004F46B9"/>
    <w:rsid w:val="00515FB4"/>
    <w:rsid w:val="00540AC1"/>
    <w:rsid w:val="00554BE8"/>
    <w:rsid w:val="005D2E82"/>
    <w:rsid w:val="005D4D2B"/>
    <w:rsid w:val="005E2810"/>
    <w:rsid w:val="005F3096"/>
    <w:rsid w:val="00607441"/>
    <w:rsid w:val="00663A6A"/>
    <w:rsid w:val="0068150B"/>
    <w:rsid w:val="006B5018"/>
    <w:rsid w:val="006C0EE0"/>
    <w:rsid w:val="00722561"/>
    <w:rsid w:val="00867DF5"/>
    <w:rsid w:val="008A0563"/>
    <w:rsid w:val="008B5F7A"/>
    <w:rsid w:val="008D785F"/>
    <w:rsid w:val="00903A39"/>
    <w:rsid w:val="00914D10"/>
    <w:rsid w:val="009B0F5E"/>
    <w:rsid w:val="009D7C0D"/>
    <w:rsid w:val="00A15140"/>
    <w:rsid w:val="00A4530B"/>
    <w:rsid w:val="00A7227E"/>
    <w:rsid w:val="00A83C2B"/>
    <w:rsid w:val="00B112EC"/>
    <w:rsid w:val="00B13EC3"/>
    <w:rsid w:val="00BA3062"/>
    <w:rsid w:val="00BC6CBB"/>
    <w:rsid w:val="00BF4729"/>
    <w:rsid w:val="00BF72A8"/>
    <w:rsid w:val="00C40721"/>
    <w:rsid w:val="00C631CA"/>
    <w:rsid w:val="00CC4512"/>
    <w:rsid w:val="00CC5BD7"/>
    <w:rsid w:val="00D31202"/>
    <w:rsid w:val="00DD3818"/>
    <w:rsid w:val="00DE3102"/>
    <w:rsid w:val="00DE76B1"/>
    <w:rsid w:val="00E137A2"/>
    <w:rsid w:val="00E914A4"/>
    <w:rsid w:val="00E937BA"/>
    <w:rsid w:val="00EB3A9C"/>
    <w:rsid w:val="00EB5ABE"/>
    <w:rsid w:val="00EB63FD"/>
    <w:rsid w:val="00EF0C7F"/>
    <w:rsid w:val="00F511BA"/>
    <w:rsid w:val="00F93B79"/>
    <w:rsid w:val="00FC43D8"/>
    <w:rsid w:val="00FE5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38FB"/>
  <w15:docId w15:val="{9D9CDF02-62BE-6A4B-8855-7D0F5144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2561"/>
    <w:rPr>
      <w:color w:val="0563C1" w:themeColor="hyperlink"/>
      <w:u w:val="single"/>
    </w:rPr>
  </w:style>
  <w:style w:type="character" w:styleId="UnresolvedMention">
    <w:name w:val="Unresolved Mention"/>
    <w:basedOn w:val="DefaultParagraphFont"/>
    <w:uiPriority w:val="99"/>
    <w:semiHidden/>
    <w:unhideWhenUsed/>
    <w:rsid w:val="00722561"/>
    <w:rPr>
      <w:color w:val="605E5C"/>
      <w:shd w:val="clear" w:color="auto" w:fill="E1DFDD"/>
    </w:rPr>
  </w:style>
  <w:style w:type="paragraph" w:styleId="NoSpacing">
    <w:name w:val="No Spacing"/>
    <w:uiPriority w:val="1"/>
    <w:qFormat/>
    <w:rsid w:val="00722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4CBF1-73B8-5241-9FC8-AEFB44FF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2022-05-16T13:52:00Z</dcterms:created>
  <dcterms:modified xsi:type="dcterms:W3CDTF">2022-05-16T13:53:00Z</dcterms:modified>
</cp:coreProperties>
</file>