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2E06" w14:textId="77777777" w:rsidR="00310718" w:rsidRDefault="00310718" w:rsidP="001B7A28">
      <w:pPr>
        <w:jc w:val="center"/>
        <w:rPr>
          <w:rFonts w:ascii="Arial Narrow" w:hAnsi="Arial Narrow"/>
          <w:b/>
          <w:bCs/>
          <w:color w:val="000000" w:themeColor="text1"/>
        </w:rPr>
      </w:pPr>
      <w:bookmarkStart w:id="0" w:name="_GoBack"/>
      <w:bookmarkEnd w:id="0"/>
    </w:p>
    <w:p w14:paraId="0785449D" w14:textId="239A2304" w:rsidR="001B7A28" w:rsidRPr="00EA618D" w:rsidRDefault="001B7A28" w:rsidP="001B7A28">
      <w:pPr>
        <w:jc w:val="center"/>
        <w:rPr>
          <w:rFonts w:ascii="Arial Narrow" w:hAnsi="Arial Narrow"/>
          <w:b/>
          <w:bCs/>
          <w:color w:val="000000" w:themeColor="text1"/>
        </w:rPr>
      </w:pPr>
      <w:r w:rsidRPr="00EA618D">
        <w:rPr>
          <w:rFonts w:ascii="Arial Narrow" w:hAnsi="Arial Narrow"/>
          <w:b/>
          <w:bCs/>
          <w:color w:val="000000" w:themeColor="text1"/>
        </w:rPr>
        <w:t>Insumos</w:t>
      </w:r>
      <w:r w:rsidR="005A1A84">
        <w:rPr>
          <w:rFonts w:ascii="Arial Narrow" w:hAnsi="Arial Narrow"/>
          <w:b/>
          <w:bCs/>
          <w:color w:val="000000" w:themeColor="text1"/>
        </w:rPr>
        <w:t xml:space="preserve"> de la Comisión Nacional de los Derechos Humanos de México (CNDH) para dar respuesta al Cuestionario preparatorio de</w:t>
      </w:r>
      <w:r w:rsidRPr="00EA618D">
        <w:rPr>
          <w:rFonts w:ascii="Arial Narrow" w:hAnsi="Arial Narrow"/>
          <w:b/>
          <w:bCs/>
          <w:color w:val="000000" w:themeColor="text1"/>
        </w:rPr>
        <w:t xml:space="preserve">l </w:t>
      </w:r>
      <w:r w:rsidR="005A1A84">
        <w:rPr>
          <w:rFonts w:ascii="Arial Narrow" w:hAnsi="Arial Narrow"/>
          <w:b/>
          <w:bCs/>
          <w:color w:val="000000" w:themeColor="text1"/>
        </w:rPr>
        <w:t>I</w:t>
      </w:r>
      <w:r w:rsidRPr="00EA618D">
        <w:rPr>
          <w:rFonts w:ascii="Arial Narrow" w:hAnsi="Arial Narrow"/>
          <w:b/>
          <w:bCs/>
          <w:color w:val="000000" w:themeColor="text1"/>
        </w:rPr>
        <w:t>nform</w:t>
      </w:r>
      <w:r w:rsidR="005A1A84">
        <w:rPr>
          <w:rFonts w:ascii="Arial Narrow" w:hAnsi="Arial Narrow"/>
          <w:b/>
          <w:bCs/>
          <w:color w:val="000000" w:themeColor="text1"/>
        </w:rPr>
        <w:t xml:space="preserve">e de la </w:t>
      </w:r>
      <w:r w:rsidR="005A1A84" w:rsidRPr="005A1A84">
        <w:t xml:space="preserve"> </w:t>
      </w:r>
      <w:r w:rsidR="005A1A84" w:rsidRPr="005A1A84">
        <w:rPr>
          <w:rFonts w:ascii="Arial Narrow" w:hAnsi="Arial Narrow"/>
          <w:b/>
          <w:bCs/>
          <w:color w:val="000000" w:themeColor="text1"/>
        </w:rPr>
        <w:t xml:space="preserve">Oficina de la Alta Comisionada de las Naciones Unidas para los Derechos Humanos (OACNUDH) </w:t>
      </w:r>
      <w:r w:rsidRPr="00EA618D">
        <w:rPr>
          <w:rFonts w:ascii="Arial Narrow" w:hAnsi="Arial Narrow"/>
          <w:b/>
          <w:bCs/>
          <w:color w:val="000000" w:themeColor="text1"/>
        </w:rPr>
        <w:t xml:space="preserve"> sobre el impacto del COVID-19 en la educación de las niñas y adolescentes.</w:t>
      </w:r>
    </w:p>
    <w:p w14:paraId="3F729495" w14:textId="220DD3DB" w:rsidR="0001661B" w:rsidRPr="00EA618D" w:rsidRDefault="009F20B7" w:rsidP="007106F8">
      <w:pPr>
        <w:jc w:val="both"/>
        <w:rPr>
          <w:rFonts w:ascii="Arial Narrow" w:hAnsi="Arial Narrow"/>
          <w:b/>
          <w:bCs/>
          <w:color w:val="000000" w:themeColor="text1"/>
        </w:rPr>
      </w:pPr>
      <w:r w:rsidRPr="00EA618D">
        <w:rPr>
          <w:rFonts w:ascii="Arial Narrow" w:hAnsi="Arial Narrow"/>
          <w:b/>
          <w:bCs/>
          <w:color w:val="000000" w:themeColor="text1"/>
        </w:rPr>
        <w:t xml:space="preserve">1. </w:t>
      </w:r>
      <w:r w:rsidR="00B8470A" w:rsidRPr="00EA618D">
        <w:rPr>
          <w:rFonts w:ascii="Arial Narrow" w:hAnsi="Arial Narrow"/>
          <w:b/>
          <w:bCs/>
          <w:color w:val="000000" w:themeColor="text1"/>
        </w:rPr>
        <w:t>Retos y barreras a los que se han enfrentado las niñas en el contexto de la pandemia</w:t>
      </w:r>
      <w:r w:rsidR="007106F8" w:rsidRPr="00EA618D">
        <w:rPr>
          <w:rFonts w:ascii="Arial Narrow" w:hAnsi="Arial Narrow"/>
          <w:b/>
          <w:bCs/>
          <w:color w:val="000000" w:themeColor="text1"/>
        </w:rPr>
        <w:t>.</w:t>
      </w:r>
    </w:p>
    <w:p w14:paraId="6F440D4C" w14:textId="0F8380C9" w:rsidR="007106F8" w:rsidRPr="00EA618D" w:rsidRDefault="007106F8" w:rsidP="007106F8">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 xml:space="preserve">En general, los principales desafíos han sido: la desigualdad en el acceso a los medios tecnológicos para continuar la educación a distancia; asumir en mayor medida que los niños, trabajos del hogar y cuidado de otros integrantes de las familias; </w:t>
      </w:r>
      <w:r w:rsidR="00D119BF" w:rsidRPr="00EA618D">
        <w:rPr>
          <w:rFonts w:ascii="Arial Narrow" w:hAnsi="Arial Narrow" w:cs="Avenir Next LT Pro"/>
          <w:color w:val="000000" w:themeColor="text1"/>
        </w:rPr>
        <w:t xml:space="preserve">crisis de aprendizaje; repercusiones en la salud mental; </w:t>
      </w:r>
      <w:r w:rsidRPr="00EA618D">
        <w:rPr>
          <w:rFonts w:ascii="Arial Narrow" w:hAnsi="Arial Narrow" w:cs="Avenir Next LT Pro"/>
          <w:color w:val="000000" w:themeColor="text1"/>
        </w:rPr>
        <w:t>incremento del matrimonio infantil y uniones forzadas; el incremento de a violencia física y sexual en los hogares.</w:t>
      </w:r>
    </w:p>
    <w:p w14:paraId="42F0684D" w14:textId="77777777" w:rsidR="0061714A" w:rsidRPr="00EA618D" w:rsidRDefault="0061714A" w:rsidP="007106F8">
      <w:pPr>
        <w:autoSpaceDE w:val="0"/>
        <w:autoSpaceDN w:val="0"/>
        <w:adjustRightInd w:val="0"/>
        <w:spacing w:after="0" w:line="240" w:lineRule="auto"/>
        <w:jc w:val="both"/>
        <w:rPr>
          <w:rFonts w:ascii="Arial Narrow" w:hAnsi="Arial Narrow" w:cs="Avenir Next LT Pro"/>
          <w:color w:val="000000" w:themeColor="text1"/>
        </w:rPr>
      </w:pPr>
    </w:p>
    <w:p w14:paraId="613D10B4" w14:textId="71CFDF02" w:rsidR="0061714A" w:rsidRPr="00EA618D" w:rsidRDefault="0061714A" w:rsidP="007106F8">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 xml:space="preserve">La </w:t>
      </w:r>
      <w:r w:rsidR="00FD45DE" w:rsidRPr="00EA618D">
        <w:rPr>
          <w:rFonts w:ascii="Arial Narrow" w:hAnsi="Arial Narrow" w:cs="Avenir Next LT Pro"/>
          <w:color w:val="000000" w:themeColor="text1"/>
        </w:rPr>
        <w:t>UNESCO</w:t>
      </w:r>
      <w:r w:rsidRPr="00EA618D">
        <w:rPr>
          <w:rFonts w:ascii="Arial Narrow" w:hAnsi="Arial Narrow" w:cs="Avenir Next LT Pro"/>
          <w:color w:val="000000" w:themeColor="text1"/>
        </w:rPr>
        <w:t xml:space="preserve"> considera que los efectos serán devastadores para las niñas y mujeres adolescentes, y sin una intervención adecuada, las brechas de género se podrían profundizar lo que llevará a un aumento en el riesgo de explotación sexual, </w:t>
      </w:r>
      <w:r w:rsidR="000215A7" w:rsidRPr="00EA618D">
        <w:rPr>
          <w:rFonts w:ascii="Arial Narrow" w:hAnsi="Arial Narrow" w:cs="Avenir Next LT Pro"/>
          <w:color w:val="000000" w:themeColor="text1"/>
        </w:rPr>
        <w:t>embarazo infantil y matrimonio</w:t>
      </w:r>
      <w:r w:rsidR="00FE7C0F" w:rsidRPr="00EA618D">
        <w:rPr>
          <w:rFonts w:ascii="Arial Narrow" w:hAnsi="Arial Narrow" w:cs="Avenir Next LT Pro"/>
          <w:color w:val="000000" w:themeColor="text1"/>
        </w:rPr>
        <w:t xml:space="preserve">s y uniones </w:t>
      </w:r>
      <w:r w:rsidR="000215A7" w:rsidRPr="00EA618D">
        <w:rPr>
          <w:rFonts w:ascii="Arial Narrow" w:hAnsi="Arial Narrow" w:cs="Avenir Next LT Pro"/>
          <w:color w:val="000000" w:themeColor="text1"/>
        </w:rPr>
        <w:t>forzad</w:t>
      </w:r>
      <w:r w:rsidR="00FE7C0F" w:rsidRPr="00EA618D">
        <w:rPr>
          <w:rFonts w:ascii="Arial Narrow" w:hAnsi="Arial Narrow" w:cs="Avenir Next LT Pro"/>
          <w:color w:val="000000" w:themeColor="text1"/>
        </w:rPr>
        <w:t>as.</w:t>
      </w:r>
    </w:p>
    <w:p w14:paraId="190EA614" w14:textId="77777777" w:rsidR="00D14B60" w:rsidRPr="00EA618D" w:rsidRDefault="00D14B60" w:rsidP="007106F8">
      <w:pPr>
        <w:autoSpaceDE w:val="0"/>
        <w:autoSpaceDN w:val="0"/>
        <w:adjustRightInd w:val="0"/>
        <w:spacing w:after="0" w:line="240" w:lineRule="auto"/>
        <w:jc w:val="both"/>
        <w:rPr>
          <w:rFonts w:ascii="Arial Narrow" w:hAnsi="Arial Narrow" w:cs="Avenir Next LT Pro"/>
          <w:color w:val="000000" w:themeColor="text1"/>
        </w:rPr>
      </w:pPr>
    </w:p>
    <w:p w14:paraId="1A72C9CE" w14:textId="2F4B3AFA" w:rsidR="00D14B60" w:rsidRPr="00EA618D" w:rsidRDefault="00D14B60" w:rsidP="00D14B60">
      <w:pPr>
        <w:autoSpaceDE w:val="0"/>
        <w:autoSpaceDN w:val="0"/>
        <w:adjustRightInd w:val="0"/>
        <w:spacing w:after="0" w:line="240" w:lineRule="auto"/>
        <w:jc w:val="both"/>
        <w:rPr>
          <w:rFonts w:ascii="Arial Narrow" w:hAnsi="Arial Narrow" w:cs="Arial"/>
          <w:color w:val="7030A0"/>
        </w:rPr>
      </w:pPr>
      <w:r w:rsidRPr="00EA618D">
        <w:rPr>
          <w:rFonts w:ascii="Arial Narrow" w:hAnsi="Arial Narrow" w:cs="Avenir Next LT Pro"/>
          <w:color w:val="000000" w:themeColor="text1"/>
        </w:rPr>
        <w:t>Entre 2020 y 2021 el Population council de México, junto con diversas autoridades, elaboraron el estudio “VoCeS-19: Juventudes transformando el país”,</w:t>
      </w:r>
      <w:r w:rsidRPr="00EA618D">
        <w:rPr>
          <w:rFonts w:ascii="Arial Narrow" w:hAnsi="Arial Narrow" w:cs="Avenir Next LT Pro"/>
          <w:color w:val="000000" w:themeColor="text1"/>
        </w:rPr>
        <w:footnoteReference w:id="1"/>
      </w:r>
      <w:r w:rsidRPr="00EA618D">
        <w:rPr>
          <w:rFonts w:ascii="Arial Narrow" w:hAnsi="Arial Narrow" w:cs="Avenir Next LT Pro"/>
          <w:color w:val="000000" w:themeColor="text1"/>
        </w:rPr>
        <w:t xml:space="preserve"> la cual aporta datos significativos del impacto de la pandemia en la vida de las personas jóvenes, a partir del conocimiento de su experiencia y percepción de la violencia, así como en otras dimensiones sociales, económicas y de salud. </w:t>
      </w:r>
      <w:r w:rsidR="00FF431E" w:rsidRPr="00EA618D">
        <w:rPr>
          <w:rFonts w:ascii="Arial Narrow" w:hAnsi="Arial Narrow" w:cs="Avenir Next LT Pro"/>
          <w:color w:val="000000" w:themeColor="text1"/>
        </w:rPr>
        <w:t xml:space="preserve"> El estudio revela que el</w:t>
      </w:r>
      <w:r w:rsidRPr="00EA618D">
        <w:rPr>
          <w:rFonts w:ascii="Arial Narrow" w:hAnsi="Arial Narrow" w:cs="Avenir Next LT Pro"/>
          <w:color w:val="000000" w:themeColor="text1"/>
        </w:rPr>
        <w:t xml:space="preserve"> 98.7%</w:t>
      </w:r>
      <w:r w:rsidR="00FF431E" w:rsidRPr="00EA618D">
        <w:rPr>
          <w:rFonts w:ascii="Arial Narrow" w:hAnsi="Arial Narrow" w:cs="Avenir Next LT Pro"/>
          <w:color w:val="000000" w:themeColor="text1"/>
        </w:rPr>
        <w:t xml:space="preserve"> de participantes</w:t>
      </w:r>
      <w:r w:rsidRPr="00EA618D">
        <w:rPr>
          <w:rFonts w:ascii="Arial Narrow" w:hAnsi="Arial Narrow" w:cs="Avenir Next LT Pro"/>
          <w:color w:val="000000" w:themeColor="text1"/>
        </w:rPr>
        <w:t xml:space="preserve"> manifestaron haber tomado clases en línea, el 66.4% refirió que aprendió menos que en las clases presenciales. Solo </w:t>
      </w:r>
      <w:r w:rsidR="00FF431E" w:rsidRPr="00EA618D">
        <w:rPr>
          <w:rFonts w:ascii="Arial Narrow" w:hAnsi="Arial Narrow" w:cs="Avenir Next LT Pro"/>
          <w:color w:val="000000" w:themeColor="text1"/>
        </w:rPr>
        <w:t xml:space="preserve">el </w:t>
      </w:r>
      <w:r w:rsidRPr="00EA618D">
        <w:rPr>
          <w:rFonts w:ascii="Arial Narrow" w:hAnsi="Arial Narrow" w:cs="Avenir Next LT Pro"/>
          <w:color w:val="000000" w:themeColor="text1"/>
        </w:rPr>
        <w:t>35% de jóvenes indígenas/afrodescendientes señaló haber asistido a todas sus clases y 28.3% manifestaron que cambiaron sus planes de seguir estudiando por lo que era probable que estudiaran menos grados de los que habían planeado, siendo más marcada esta tendencia para los hombres del primer quintil de ingresos. Casi 20% indicó haber dejado la escuela para trabajar, 21.51% porque ya no pudieron pagar la escuela; 9.49% por el COVID-19, y casi 5% por haber tenido un hijo.</w:t>
      </w:r>
      <w:r w:rsidRPr="00EA618D">
        <w:rPr>
          <w:rStyle w:val="FootnoteReference"/>
          <w:rFonts w:ascii="Arial Narrow" w:hAnsi="Arial Narrow" w:cs="Avenir Next LT Pro"/>
          <w:color w:val="000000" w:themeColor="text1"/>
        </w:rPr>
        <w:footnoteReference w:id="2"/>
      </w:r>
    </w:p>
    <w:p w14:paraId="60B76E99" w14:textId="77777777" w:rsidR="006130B2" w:rsidRPr="00EA618D" w:rsidRDefault="006130B2" w:rsidP="006130B2">
      <w:pPr>
        <w:autoSpaceDE w:val="0"/>
        <w:autoSpaceDN w:val="0"/>
        <w:adjustRightInd w:val="0"/>
        <w:spacing w:after="0" w:line="240" w:lineRule="auto"/>
        <w:jc w:val="both"/>
        <w:rPr>
          <w:rFonts w:ascii="Arial Narrow" w:hAnsi="Arial Narrow"/>
          <w:color w:val="000000" w:themeColor="text1"/>
        </w:rPr>
      </w:pPr>
    </w:p>
    <w:p w14:paraId="2FC539B9" w14:textId="2D43B5C0" w:rsidR="00B8470A" w:rsidRPr="00EA618D" w:rsidRDefault="00B8470A" w:rsidP="007106F8">
      <w:pPr>
        <w:pStyle w:val="ListParagraph"/>
        <w:numPr>
          <w:ilvl w:val="0"/>
          <w:numId w:val="1"/>
        </w:numPr>
        <w:jc w:val="both"/>
        <w:rPr>
          <w:rFonts w:ascii="Arial Narrow" w:hAnsi="Arial Narrow"/>
          <w:b/>
          <w:bCs/>
          <w:color w:val="000000" w:themeColor="text1"/>
        </w:rPr>
      </w:pPr>
      <w:r w:rsidRPr="00EA618D">
        <w:rPr>
          <w:rFonts w:ascii="Arial Narrow" w:hAnsi="Arial Narrow"/>
          <w:b/>
          <w:bCs/>
          <w:color w:val="000000" w:themeColor="text1"/>
        </w:rPr>
        <w:t>Servicios de atención y desarrollo de la primera infancia y educación preescolar</w:t>
      </w:r>
      <w:r w:rsidR="001D2A27" w:rsidRPr="00EA618D">
        <w:rPr>
          <w:rFonts w:ascii="Arial Narrow" w:hAnsi="Arial Narrow"/>
          <w:b/>
          <w:bCs/>
          <w:color w:val="000000" w:themeColor="text1"/>
        </w:rPr>
        <w:t>.</w:t>
      </w:r>
    </w:p>
    <w:p w14:paraId="065D51F1" w14:textId="4F9F4443" w:rsidR="00A54952" w:rsidRPr="00EA618D" w:rsidRDefault="00A54952" w:rsidP="001D2A27">
      <w:pPr>
        <w:jc w:val="both"/>
        <w:rPr>
          <w:rFonts w:ascii="Arial Narrow" w:hAnsi="Arial Narrow"/>
          <w:color w:val="000000" w:themeColor="text1"/>
        </w:rPr>
      </w:pPr>
      <w:r w:rsidRPr="00EA618D">
        <w:rPr>
          <w:rFonts w:ascii="Arial Narrow" w:hAnsi="Arial Narrow"/>
          <w:color w:val="000000" w:themeColor="text1"/>
        </w:rPr>
        <w:t>Ante el reto de la pandemia por el COVID-19, los servicios que brindan educación inicial fueron denominados actividades esenciales, y se creó el programa de educación a distancia de la Secretaría de Educación Pública, Aprende en Casa, el cual incluyó una sección de educación inicial.</w:t>
      </w:r>
      <w:r w:rsidR="00DA3FAC" w:rsidRPr="00EA618D">
        <w:rPr>
          <w:rFonts w:ascii="Arial Narrow" w:hAnsi="Arial Narrow"/>
          <w:color w:val="000000" w:themeColor="text1"/>
        </w:rPr>
        <w:t xml:space="preserve"> Si bien se crearon contenidos para orientar a madres, padres y cuidadores en la promoción de la educación inicial para los primeros 1,000 días, éstos son transmitidos por televisión o internet, cuyo acceso no está disponible para todas las familias. Al menos 7.5% de los hogares en México no cuentan con televisión, y solamente 56.4% cuentan con internet.</w:t>
      </w:r>
      <w:r w:rsidR="008D5DD3" w:rsidRPr="00EA618D">
        <w:rPr>
          <w:rStyle w:val="FootnoteReference"/>
          <w:rFonts w:ascii="Arial Narrow" w:hAnsi="Arial Narrow"/>
          <w:color w:val="000000" w:themeColor="text1"/>
        </w:rPr>
        <w:footnoteReference w:id="3"/>
      </w:r>
    </w:p>
    <w:p w14:paraId="0B58A225" w14:textId="551FB5F4" w:rsidR="00A54952" w:rsidRPr="00EA618D" w:rsidRDefault="00DA3FAC" w:rsidP="00A54952">
      <w:pPr>
        <w:jc w:val="both"/>
        <w:rPr>
          <w:rFonts w:ascii="Arial Narrow" w:hAnsi="Arial Narrow"/>
          <w:color w:val="000000" w:themeColor="text1"/>
        </w:rPr>
      </w:pPr>
      <w:r w:rsidRPr="00EA618D">
        <w:rPr>
          <w:rFonts w:ascii="Arial Narrow" w:hAnsi="Arial Narrow"/>
          <w:color w:val="000000" w:themeColor="text1"/>
        </w:rPr>
        <w:t xml:space="preserve">Muchas niñas dejaron de </w:t>
      </w:r>
      <w:r w:rsidR="00A54952" w:rsidRPr="00EA618D">
        <w:rPr>
          <w:rFonts w:ascii="Arial Narrow" w:hAnsi="Arial Narrow"/>
          <w:color w:val="000000" w:themeColor="text1"/>
        </w:rPr>
        <w:t>asistir a los centros de educación inicial, siendo más propensos a sufrir de negligencia y violencia familiar</w:t>
      </w:r>
      <w:r w:rsidRPr="00EA618D">
        <w:rPr>
          <w:rFonts w:ascii="Arial Narrow" w:hAnsi="Arial Narrow"/>
          <w:color w:val="000000" w:themeColor="text1"/>
        </w:rPr>
        <w:t xml:space="preserve">. </w:t>
      </w:r>
      <w:r w:rsidR="00A54952" w:rsidRPr="00EA618D">
        <w:rPr>
          <w:rFonts w:ascii="Arial Narrow" w:hAnsi="Arial Narrow"/>
          <w:color w:val="000000" w:themeColor="text1"/>
        </w:rPr>
        <w:t>Otro reto es</w:t>
      </w:r>
      <w:r w:rsidRPr="00EA618D">
        <w:rPr>
          <w:rFonts w:ascii="Arial Narrow" w:hAnsi="Arial Narrow"/>
          <w:color w:val="000000" w:themeColor="text1"/>
        </w:rPr>
        <w:t xml:space="preserve"> que el</w:t>
      </w:r>
      <w:r w:rsidR="00A54952" w:rsidRPr="00EA618D">
        <w:rPr>
          <w:rFonts w:ascii="Arial Narrow" w:hAnsi="Arial Narrow"/>
          <w:color w:val="000000" w:themeColor="text1"/>
        </w:rPr>
        <w:t xml:space="preserve"> presupuesto destinado a los servicios de educación inicial se </w:t>
      </w:r>
      <w:r w:rsidRPr="00EA618D">
        <w:rPr>
          <w:rFonts w:ascii="Arial Narrow" w:hAnsi="Arial Narrow"/>
          <w:color w:val="000000" w:themeColor="text1"/>
        </w:rPr>
        <w:t>redujo en</w:t>
      </w:r>
      <w:r w:rsidR="00A54952" w:rsidRPr="00EA618D">
        <w:rPr>
          <w:rFonts w:ascii="Arial Narrow" w:hAnsi="Arial Narrow"/>
          <w:color w:val="000000" w:themeColor="text1"/>
        </w:rPr>
        <w:t xml:space="preserve"> el último año, dando como resultado que, ante la disminución de la matrícula por las medidas de prevención contra el Covid-19, muchos espacios educativos, privados y públicos, no logren mantenerse abiertos, reduciendo aún más el porcentaje de cobertura</w:t>
      </w:r>
      <w:r w:rsidRPr="00EA618D">
        <w:rPr>
          <w:rFonts w:ascii="Arial Narrow" w:hAnsi="Arial Narrow"/>
          <w:color w:val="000000" w:themeColor="text1"/>
        </w:rPr>
        <w:t>.</w:t>
      </w:r>
      <w:r w:rsidR="00A65E85" w:rsidRPr="00EA618D">
        <w:rPr>
          <w:rStyle w:val="FootnoteReference"/>
          <w:rFonts w:ascii="Arial Narrow" w:hAnsi="Arial Narrow"/>
          <w:color w:val="000000" w:themeColor="text1"/>
        </w:rPr>
        <w:footnoteReference w:id="4"/>
      </w:r>
    </w:p>
    <w:p w14:paraId="19A05581" w14:textId="171CCE7B" w:rsidR="001D2A27" w:rsidRPr="00EA618D" w:rsidRDefault="008D5DD3" w:rsidP="001D2A27">
      <w:pPr>
        <w:jc w:val="both"/>
        <w:rPr>
          <w:rFonts w:ascii="Arial Narrow" w:hAnsi="Arial Narrow"/>
          <w:color w:val="000000" w:themeColor="text1"/>
        </w:rPr>
      </w:pPr>
      <w:r w:rsidRPr="00EA618D">
        <w:rPr>
          <w:rFonts w:ascii="Arial Narrow" w:hAnsi="Arial Narrow"/>
          <w:color w:val="000000" w:themeColor="text1"/>
        </w:rPr>
        <w:t xml:space="preserve">También se presentó </w:t>
      </w:r>
      <w:r w:rsidR="001D2A27" w:rsidRPr="00EA618D">
        <w:rPr>
          <w:rFonts w:ascii="Arial Narrow" w:hAnsi="Arial Narrow"/>
          <w:color w:val="000000" w:themeColor="text1"/>
        </w:rPr>
        <w:t xml:space="preserve">una omisión de programas específicos enfocados concretamente en el desarrollo integral y el seguimiento a la Estrategia Nacional de Atención a la Primera Infancia y la reducción del 8% al programa de expansión de la educación inicial. </w:t>
      </w:r>
    </w:p>
    <w:p w14:paraId="4DD6D2D5" w14:textId="1B8D4E62" w:rsidR="007106F8" w:rsidRPr="00EA618D" w:rsidRDefault="007106F8" w:rsidP="006130B2">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lastRenderedPageBreak/>
        <w:t xml:space="preserve">Para UNICEF, </w:t>
      </w:r>
      <w:r w:rsidR="008D5DD3" w:rsidRPr="00EA618D">
        <w:rPr>
          <w:rFonts w:ascii="Arial Narrow" w:hAnsi="Arial Narrow" w:cs="Avenir Next LT Pro"/>
          <w:color w:val="000000" w:themeColor="text1"/>
        </w:rPr>
        <w:t>l</w:t>
      </w:r>
      <w:r w:rsidRPr="00EA618D">
        <w:rPr>
          <w:rFonts w:ascii="Arial Narrow" w:hAnsi="Arial Narrow" w:cs="Avenir Next LT Pro"/>
          <w:color w:val="000000" w:themeColor="text1"/>
        </w:rPr>
        <w:t>a expansión del COVID-19 dejó la gran</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mayoría de niñas y niños pequeños fuera de los centros de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cuidado infantil y de programas de educación para la</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primera infancia, lo cual ha generado un riesgo importante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en el acceso a prestaciones fundamentales para su</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desarrollo como son: la entrega de servicios de alimentación variada, balanceada, de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calidad, a recibir vacunas, la detección de alertas tempranas de vulnerabilidades y la</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derivación a especialistas y a otros servicios complementarios en caso de ser</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necesarios.</w:t>
      </w:r>
      <w:r w:rsidR="006130B2" w:rsidRPr="00EA618D">
        <w:rPr>
          <w:rStyle w:val="FootnoteReference"/>
          <w:rFonts w:ascii="Arial Narrow" w:hAnsi="Arial Narrow" w:cs="Avenir Next LT Pro"/>
          <w:color w:val="000000" w:themeColor="text1"/>
        </w:rPr>
        <w:footnoteReference w:id="5"/>
      </w:r>
    </w:p>
    <w:p w14:paraId="1704BAE1" w14:textId="77777777" w:rsidR="006B4F9E" w:rsidRPr="00EA618D" w:rsidRDefault="006B4F9E" w:rsidP="006130B2">
      <w:pPr>
        <w:autoSpaceDE w:val="0"/>
        <w:autoSpaceDN w:val="0"/>
        <w:adjustRightInd w:val="0"/>
        <w:spacing w:after="0" w:line="240" w:lineRule="auto"/>
        <w:jc w:val="both"/>
        <w:rPr>
          <w:rFonts w:ascii="Arial Narrow" w:hAnsi="Arial Narrow" w:cs="Avenir Next LT Pro"/>
          <w:color w:val="000000" w:themeColor="text1"/>
        </w:rPr>
      </w:pPr>
    </w:p>
    <w:p w14:paraId="5341B4DA" w14:textId="0006F67D" w:rsidR="00A54952" w:rsidRPr="00EA618D" w:rsidRDefault="00B8470A" w:rsidP="00F91F73">
      <w:pPr>
        <w:jc w:val="both"/>
        <w:rPr>
          <w:rFonts w:ascii="Arial Narrow" w:hAnsi="Arial Narrow"/>
          <w:shd w:val="clear" w:color="auto" w:fill="FFFFFF"/>
        </w:rPr>
      </w:pPr>
      <w:r w:rsidRPr="00EA618D">
        <w:rPr>
          <w:rFonts w:ascii="Arial Narrow" w:hAnsi="Arial Narrow"/>
          <w:b/>
          <w:bCs/>
          <w:color w:val="000000" w:themeColor="text1"/>
        </w:rPr>
        <w:t>En educación primaria y secundaria</w:t>
      </w:r>
      <w:r w:rsidR="00F91F73" w:rsidRPr="00EA618D">
        <w:rPr>
          <w:rFonts w:ascii="Arial Narrow" w:hAnsi="Arial Narrow"/>
          <w:b/>
          <w:bCs/>
          <w:color w:val="000000" w:themeColor="text1"/>
        </w:rPr>
        <w:t xml:space="preserve">. </w:t>
      </w:r>
      <w:r w:rsidR="00FF5300" w:rsidRPr="00EA618D">
        <w:rPr>
          <w:rFonts w:ascii="Arial Narrow" w:hAnsi="Arial Narrow"/>
          <w:color w:val="000000" w:themeColor="text1"/>
        </w:rPr>
        <w:t xml:space="preserve">Para junio de 2021, en Latinoamérica sólo </w:t>
      </w:r>
      <w:r w:rsidR="00EE220A" w:rsidRPr="00EA618D">
        <w:rPr>
          <w:rFonts w:ascii="Arial Narrow" w:hAnsi="Arial Narrow"/>
          <w:color w:val="000000" w:themeColor="text1"/>
        </w:rPr>
        <w:t xml:space="preserve">tres </w:t>
      </w:r>
      <w:r w:rsidR="00FF5300" w:rsidRPr="00EA618D">
        <w:rPr>
          <w:rFonts w:ascii="Arial Narrow" w:hAnsi="Arial Narrow"/>
          <w:color w:val="000000" w:themeColor="text1"/>
        </w:rPr>
        <w:t>países superaron las 50 semanas sin clases presenciales y México fue uno de ellos</w:t>
      </w:r>
      <w:r w:rsidR="0039223F" w:rsidRPr="00EA618D">
        <w:rPr>
          <w:rFonts w:ascii="Arial Narrow" w:hAnsi="Arial Narrow"/>
          <w:color w:val="000000" w:themeColor="text1"/>
        </w:rPr>
        <w:t>.</w:t>
      </w:r>
      <w:r w:rsidR="00FF5300" w:rsidRPr="00EA618D">
        <w:rPr>
          <w:rStyle w:val="FootnoteReference"/>
          <w:rFonts w:ascii="Arial Narrow" w:hAnsi="Arial Narrow"/>
          <w:color w:val="000000" w:themeColor="text1"/>
        </w:rPr>
        <w:footnoteReference w:id="6"/>
      </w:r>
      <w:r w:rsidR="0039223F" w:rsidRPr="00EA618D">
        <w:rPr>
          <w:rFonts w:ascii="Arial Narrow" w:hAnsi="Arial Narrow"/>
          <w:color w:val="000000" w:themeColor="text1"/>
        </w:rPr>
        <w:t xml:space="preserve"> </w:t>
      </w:r>
      <w:r w:rsidR="006474EF" w:rsidRPr="00EA618D">
        <w:rPr>
          <w:rFonts w:ascii="Arial Narrow" w:hAnsi="Arial Narrow" w:cs="Avenir Next LT Pro"/>
          <w:color w:val="000000" w:themeColor="text1"/>
        </w:rPr>
        <w:t xml:space="preserve">La Secretaría de Educación Pública </w:t>
      </w:r>
      <w:r w:rsidR="00EE220A" w:rsidRPr="00EA618D">
        <w:rPr>
          <w:rFonts w:ascii="Arial Narrow" w:hAnsi="Arial Narrow" w:cs="Avenir Next LT Pro"/>
          <w:color w:val="000000" w:themeColor="text1"/>
        </w:rPr>
        <w:t xml:space="preserve">(SEP) </w:t>
      </w:r>
      <w:r w:rsidR="006474EF" w:rsidRPr="00EA618D">
        <w:rPr>
          <w:rFonts w:ascii="Arial Narrow" w:hAnsi="Arial Narrow" w:cs="Avenir Next LT Pro"/>
          <w:color w:val="000000" w:themeColor="text1"/>
        </w:rPr>
        <w:t>no ha presentado datos oficiales</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desagregados que permitan validar los discursos optimistas sobre el</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regreso a clases presenciales.</w:t>
      </w:r>
      <w:r w:rsidR="001B51B3" w:rsidRPr="00EA618D">
        <w:rPr>
          <w:rFonts w:ascii="Arial Narrow" w:hAnsi="Arial Narrow" w:cs="Avenir Next LT Pro"/>
          <w:color w:val="000000" w:themeColor="text1"/>
        </w:rPr>
        <w:t xml:space="preserve"> </w:t>
      </w:r>
      <w:r w:rsidR="00EE220A" w:rsidRPr="00EA618D">
        <w:rPr>
          <w:rFonts w:ascii="Arial Narrow" w:hAnsi="Arial Narrow" w:cs="Avenir Next LT Pro"/>
          <w:color w:val="000000" w:themeColor="text1"/>
        </w:rPr>
        <w:t xml:space="preserve">La organización </w:t>
      </w:r>
      <w:r w:rsidR="006474EF" w:rsidRPr="00EA618D">
        <w:rPr>
          <w:rFonts w:ascii="Arial Narrow" w:hAnsi="Arial Narrow" w:cs="Avenir Next LT Pro"/>
          <w:i/>
          <w:iCs/>
          <w:color w:val="000000" w:themeColor="text1"/>
        </w:rPr>
        <w:t xml:space="preserve">México </w:t>
      </w:r>
      <w:r w:rsidR="000215A7" w:rsidRPr="00EA618D">
        <w:rPr>
          <w:rFonts w:ascii="Arial Narrow" w:hAnsi="Arial Narrow" w:cs="Avenir Next LT Pro"/>
          <w:i/>
          <w:iCs/>
          <w:color w:val="000000" w:themeColor="text1"/>
        </w:rPr>
        <w:t>Evalúa</w:t>
      </w:r>
      <w:r w:rsidR="006474EF" w:rsidRPr="00EA618D">
        <w:rPr>
          <w:rFonts w:ascii="Arial Narrow" w:hAnsi="Arial Narrow" w:cs="Avenir Next LT Pro"/>
          <w:color w:val="000000" w:themeColor="text1"/>
        </w:rPr>
        <w:t xml:space="preserve"> considera que aproximadamente 67% de la población</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 xml:space="preserve">escolarizada </w:t>
      </w:r>
      <w:r w:rsidR="006474EF" w:rsidRPr="00EA618D">
        <w:rPr>
          <w:rFonts w:ascii="Arial Narrow" w:hAnsi="Arial Narrow" w:cs="Avenir Next LT Pro"/>
        </w:rPr>
        <w:t>regresó a las aulas, lo que implicaría un alto riesgo de</w:t>
      </w:r>
      <w:r w:rsidR="004C2720" w:rsidRPr="00EA618D">
        <w:rPr>
          <w:rFonts w:ascii="Arial Narrow" w:hAnsi="Arial Narrow" w:cs="Avenir Next LT Pro"/>
        </w:rPr>
        <w:t xml:space="preserve"> </w:t>
      </w:r>
      <w:r w:rsidR="006474EF" w:rsidRPr="00EA618D">
        <w:rPr>
          <w:rFonts w:ascii="Arial Narrow" w:hAnsi="Arial Narrow" w:cs="Avenir Next LT Pro"/>
        </w:rPr>
        <w:t>abandono escolar no contabilizado oficialmente.</w:t>
      </w:r>
      <w:r w:rsidR="0039223F" w:rsidRPr="00EA618D">
        <w:rPr>
          <w:rStyle w:val="FootnoteReference"/>
          <w:rFonts w:ascii="Arial Narrow" w:hAnsi="Arial Narrow" w:cs="Avenir Next LT Pro"/>
        </w:rPr>
        <w:footnoteReference w:id="7"/>
      </w:r>
      <w:r w:rsidR="0039223F" w:rsidRPr="00EA618D">
        <w:rPr>
          <w:rFonts w:ascii="Arial Narrow" w:hAnsi="Arial Narrow" w:cs="Avenir Next LT Pro"/>
        </w:rPr>
        <w:t xml:space="preserve"> </w:t>
      </w:r>
      <w:r w:rsidR="00A54952" w:rsidRPr="00EA618D">
        <w:rPr>
          <w:rFonts w:ascii="Arial Narrow" w:hAnsi="Arial Narrow"/>
          <w:shd w:val="clear" w:color="auto" w:fill="FFFFFF"/>
        </w:rPr>
        <w:t>Alrededor de 15 millones de niñas y adolescentes en educación básica y media superior dejaron de asistir a la escuela de manera presencial</w:t>
      </w:r>
      <w:r w:rsidR="0039223F" w:rsidRPr="00EA618D">
        <w:rPr>
          <w:rFonts w:ascii="Arial Narrow" w:hAnsi="Arial Narrow"/>
          <w:shd w:val="clear" w:color="auto" w:fill="FFFFFF"/>
        </w:rPr>
        <w:t>.</w:t>
      </w:r>
      <w:r w:rsidR="00A54952" w:rsidRPr="00EA618D">
        <w:rPr>
          <w:rStyle w:val="FootnoteReference"/>
          <w:rFonts w:ascii="Arial Narrow" w:hAnsi="Arial Narrow"/>
          <w:shd w:val="clear" w:color="auto" w:fill="FFFFFF"/>
        </w:rPr>
        <w:footnoteReference w:id="8"/>
      </w:r>
    </w:p>
    <w:p w14:paraId="01F3FF78" w14:textId="235C9C5E" w:rsidR="00891178" w:rsidRPr="00EA618D" w:rsidRDefault="00A54952" w:rsidP="00891178">
      <w:pPr>
        <w:autoSpaceDE w:val="0"/>
        <w:autoSpaceDN w:val="0"/>
        <w:adjustRightInd w:val="0"/>
        <w:spacing w:after="0" w:line="240" w:lineRule="auto"/>
        <w:jc w:val="both"/>
        <w:rPr>
          <w:rFonts w:ascii="Arial Narrow" w:hAnsi="Arial Narrow"/>
        </w:rPr>
      </w:pPr>
      <w:r w:rsidRPr="00EA618D">
        <w:rPr>
          <w:rFonts w:ascii="Arial Narrow" w:hAnsi="Arial Narrow"/>
          <w:shd w:val="clear" w:color="auto" w:fill="FFFFFF"/>
        </w:rPr>
        <w:t>El cierre de escuelas provoca efectos colaterales y diferenciados entre niñas y niños. Por ejemplo, durante el confinamiento, en muchos hogares han sido las niñas y las adolescentes mujeres las que se han encargado de labores del hogar y cuidado de hermana/os menores, o incluso de otros adultos</w:t>
      </w:r>
      <w:r w:rsidR="001B51B3" w:rsidRPr="00EA618D">
        <w:rPr>
          <w:rFonts w:ascii="Arial Narrow" w:hAnsi="Arial Narrow"/>
          <w:shd w:val="clear" w:color="auto" w:fill="FFFFFF"/>
        </w:rPr>
        <w:t>.</w:t>
      </w:r>
      <w:r w:rsidRPr="00EA618D">
        <w:rPr>
          <w:rStyle w:val="FootnoteReference"/>
          <w:rFonts w:ascii="Arial Narrow" w:hAnsi="Arial Narrow"/>
          <w:shd w:val="clear" w:color="auto" w:fill="FFFFFF"/>
        </w:rPr>
        <w:footnoteReference w:id="9"/>
      </w:r>
      <w:r w:rsidR="006A7E3D" w:rsidRPr="00EA618D">
        <w:rPr>
          <w:rFonts w:ascii="Arial Narrow" w:hAnsi="Arial Narrow"/>
          <w:shd w:val="clear" w:color="auto" w:fill="FFFFFF"/>
        </w:rPr>
        <w:t xml:space="preserve"> </w:t>
      </w:r>
      <w:r w:rsidR="00891178" w:rsidRPr="00EA618D">
        <w:rPr>
          <w:rFonts w:ascii="Arial Narrow" w:hAnsi="Arial Narrow" w:cs="Avenir Next LT Pro"/>
          <w:color w:val="000000" w:themeColor="text1"/>
        </w:rPr>
        <w:t xml:space="preserve">Si bien, el programa </w:t>
      </w:r>
      <w:r w:rsidR="00891178" w:rsidRPr="00EA618D">
        <w:rPr>
          <w:rFonts w:ascii="Arial Narrow" w:hAnsi="Arial Narrow" w:cs="Avenir Next LT Pro"/>
          <w:i/>
          <w:iCs/>
          <w:color w:val="000000" w:themeColor="text1"/>
        </w:rPr>
        <w:t xml:space="preserve">Aprende en Casa </w:t>
      </w:r>
      <w:r w:rsidR="00891178" w:rsidRPr="00EA618D">
        <w:rPr>
          <w:rFonts w:ascii="Arial Narrow" w:hAnsi="Arial Narrow" w:cs="Avenir Next LT Pro"/>
          <w:color w:val="000000" w:themeColor="text1"/>
        </w:rPr>
        <w:t>en sus distintas etapas permitió dar una respuesta inmediata</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al cierre indefinido de las escuelas, que se fue adaptando a las circunstancias emergentes, fue una</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estrategia</w:t>
      </w:r>
      <w:r w:rsidR="00D560A5"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reactiva ante la falta de mecanismos formales para dar continuidad al ciclo</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escolar.</w:t>
      </w:r>
      <w:r w:rsidR="006A7E3D" w:rsidRPr="00EA618D">
        <w:rPr>
          <w:rFonts w:ascii="Arial Narrow" w:hAnsi="Arial Narrow" w:cs="Avenir Next LT Pro"/>
          <w:color w:val="000000" w:themeColor="text1"/>
        </w:rPr>
        <w:t xml:space="preserve"> Ese</w:t>
      </w:r>
      <w:r w:rsidR="00891178" w:rsidRPr="00EA618D">
        <w:rPr>
          <w:rFonts w:ascii="Arial Narrow" w:hAnsi="Arial Narrow"/>
        </w:rPr>
        <w:t xml:space="preserve"> modelo de educación a distancia no tuvo </w:t>
      </w:r>
      <w:r w:rsidR="006A7E3D" w:rsidRPr="00EA618D">
        <w:rPr>
          <w:rFonts w:ascii="Arial Narrow" w:hAnsi="Arial Narrow"/>
        </w:rPr>
        <w:t xml:space="preserve">un </w:t>
      </w:r>
      <w:r w:rsidR="00891178" w:rsidRPr="00EA618D">
        <w:rPr>
          <w:rFonts w:ascii="Arial Narrow" w:hAnsi="Arial Narrow"/>
        </w:rPr>
        <w:t>diagnóstico previo</w:t>
      </w:r>
      <w:r w:rsidR="006A7E3D" w:rsidRPr="00EA618D">
        <w:rPr>
          <w:rFonts w:ascii="Arial Narrow" w:hAnsi="Arial Narrow"/>
        </w:rPr>
        <w:t xml:space="preserve"> para </w:t>
      </w:r>
      <w:r w:rsidR="00891178" w:rsidRPr="00EA618D">
        <w:rPr>
          <w:rFonts w:ascii="Arial Narrow" w:hAnsi="Arial Narrow"/>
        </w:rPr>
        <w:t>identificar la existencia de las condiciones de infraestructura necesarias,</w:t>
      </w:r>
      <w:r w:rsidR="006A7E3D" w:rsidRPr="00EA618D">
        <w:rPr>
          <w:rFonts w:ascii="Arial Narrow" w:hAnsi="Arial Narrow"/>
        </w:rPr>
        <w:t xml:space="preserve"> </w:t>
      </w:r>
      <w:r w:rsidR="00891178" w:rsidRPr="00EA618D">
        <w:rPr>
          <w:rFonts w:ascii="Arial Narrow" w:hAnsi="Arial Narrow"/>
        </w:rPr>
        <w:t>por lo que el acceso, calidad y cobertura de la educación se vieron comprometidas por las limitantes que enfrentaron estudiantes, docentes y familias</w:t>
      </w:r>
      <w:r w:rsidR="006A7E3D" w:rsidRPr="00EA618D">
        <w:rPr>
          <w:rFonts w:ascii="Arial Narrow" w:hAnsi="Arial Narrow"/>
        </w:rPr>
        <w:t>.</w:t>
      </w:r>
    </w:p>
    <w:p w14:paraId="161EDD51" w14:textId="391D3C00" w:rsidR="00891178" w:rsidRPr="00EA618D" w:rsidRDefault="00891178" w:rsidP="00891178">
      <w:pPr>
        <w:autoSpaceDE w:val="0"/>
        <w:autoSpaceDN w:val="0"/>
        <w:adjustRightInd w:val="0"/>
        <w:spacing w:after="0" w:line="240" w:lineRule="auto"/>
        <w:jc w:val="both"/>
        <w:rPr>
          <w:rFonts w:ascii="Arial Narrow" w:hAnsi="Arial Narrow"/>
        </w:rPr>
      </w:pPr>
    </w:p>
    <w:p w14:paraId="3193A218" w14:textId="29B585C4" w:rsidR="00891178" w:rsidRPr="00EA618D" w:rsidRDefault="00670764" w:rsidP="00891178">
      <w:pPr>
        <w:autoSpaceDE w:val="0"/>
        <w:autoSpaceDN w:val="0"/>
        <w:adjustRightInd w:val="0"/>
        <w:spacing w:after="0" w:line="240" w:lineRule="auto"/>
        <w:jc w:val="both"/>
        <w:rPr>
          <w:rFonts w:ascii="Arial Narrow" w:hAnsi="Arial Narrow"/>
        </w:rPr>
      </w:pPr>
      <w:r w:rsidRPr="00EA618D">
        <w:rPr>
          <w:rFonts w:ascii="Arial Narrow" w:hAnsi="Arial Narrow"/>
        </w:rPr>
        <w:t>Datos de</w:t>
      </w:r>
      <w:r w:rsidR="00891178" w:rsidRPr="00EA618D">
        <w:rPr>
          <w:rFonts w:ascii="Arial Narrow" w:hAnsi="Arial Narrow"/>
        </w:rPr>
        <w:t xml:space="preserve"> UNICEF revelan que un tercio de todos los niños, niñas y adolescentes de la región aún no recibe educación de calidad a distancia.</w:t>
      </w:r>
      <w:r w:rsidRPr="00EA618D">
        <w:rPr>
          <w:rFonts w:ascii="Arial Narrow" w:hAnsi="Arial Narrow"/>
        </w:rPr>
        <w:t xml:space="preserve"> </w:t>
      </w:r>
      <w:r w:rsidR="00891178" w:rsidRPr="00EA618D">
        <w:rPr>
          <w:rFonts w:ascii="Arial Narrow" w:hAnsi="Arial Narrow"/>
        </w:rPr>
        <w:t>Los más afectados son los niños, niñas y adolescentes en condiciones de vulnerabilidad: incluidos las niñas, los indígenas, niños y niñas con discapacidad, refugiados y migrantes y quienes viven en zonas rurales.</w:t>
      </w:r>
      <w:r w:rsidR="00891178" w:rsidRPr="00EA618D">
        <w:rPr>
          <w:rStyle w:val="FootnoteReference"/>
          <w:rFonts w:ascii="Arial Narrow" w:hAnsi="Arial Narrow"/>
        </w:rPr>
        <w:footnoteReference w:id="10"/>
      </w:r>
    </w:p>
    <w:p w14:paraId="33D98912" w14:textId="3B6C3B5A" w:rsidR="00FD45DE" w:rsidRPr="00EA618D" w:rsidRDefault="00FD45DE" w:rsidP="00891178">
      <w:pPr>
        <w:autoSpaceDE w:val="0"/>
        <w:autoSpaceDN w:val="0"/>
        <w:adjustRightInd w:val="0"/>
        <w:spacing w:after="0" w:line="240" w:lineRule="auto"/>
        <w:jc w:val="both"/>
        <w:rPr>
          <w:rFonts w:ascii="Arial Narrow" w:hAnsi="Arial Narrow"/>
        </w:rPr>
      </w:pPr>
    </w:p>
    <w:p w14:paraId="2E1DD1A1" w14:textId="53FFFE9B" w:rsidR="004C2720" w:rsidRPr="00EA618D" w:rsidRDefault="00F91F73" w:rsidP="006B4F9E">
      <w:pPr>
        <w:jc w:val="both"/>
        <w:rPr>
          <w:rFonts w:ascii="Arial Narrow" w:hAnsi="Arial Narrow"/>
          <w:color w:val="000000" w:themeColor="text1"/>
        </w:rPr>
      </w:pPr>
      <w:r w:rsidRPr="00EA618D">
        <w:rPr>
          <w:rFonts w:ascii="Arial Narrow" w:hAnsi="Arial Narrow"/>
          <w:b/>
          <w:bCs/>
          <w:color w:val="000000" w:themeColor="text1"/>
        </w:rPr>
        <w:t>E</w:t>
      </w:r>
      <w:r w:rsidR="00B8470A" w:rsidRPr="00EA618D">
        <w:rPr>
          <w:rFonts w:ascii="Arial Narrow" w:hAnsi="Arial Narrow"/>
          <w:b/>
          <w:bCs/>
          <w:color w:val="000000" w:themeColor="text1"/>
        </w:rPr>
        <w:t xml:space="preserve">n la </w:t>
      </w:r>
      <w:bookmarkStart w:id="1" w:name="_Hlk92713567"/>
      <w:r w:rsidR="00B8470A" w:rsidRPr="00EA618D">
        <w:rPr>
          <w:rFonts w:ascii="Arial Narrow" w:hAnsi="Arial Narrow"/>
          <w:b/>
          <w:bCs/>
          <w:color w:val="000000" w:themeColor="text1"/>
        </w:rPr>
        <w:t>educación técnica, profesional y terciaria, incluida la universidad</w:t>
      </w:r>
      <w:r w:rsidRPr="00EA618D">
        <w:rPr>
          <w:rFonts w:ascii="Arial Narrow" w:hAnsi="Arial Narrow"/>
          <w:b/>
          <w:bCs/>
          <w:color w:val="000000" w:themeColor="text1"/>
        </w:rPr>
        <w:t>.</w:t>
      </w:r>
      <w:bookmarkEnd w:id="1"/>
      <w:r w:rsidRPr="00EA618D">
        <w:rPr>
          <w:rFonts w:ascii="Arial Narrow" w:hAnsi="Arial Narrow"/>
          <w:b/>
          <w:bCs/>
          <w:color w:val="000000" w:themeColor="text1"/>
        </w:rPr>
        <w:t xml:space="preserve"> </w:t>
      </w:r>
      <w:r w:rsidR="000C74CE" w:rsidRPr="00EA618D">
        <w:rPr>
          <w:rFonts w:ascii="Arial Narrow" w:hAnsi="Arial Narrow"/>
          <w:color w:val="000000" w:themeColor="text1"/>
        </w:rPr>
        <w:t>Se incrementó el porcentaje de personas que no concluyeron el ciclo escolar 2019-2020</w:t>
      </w:r>
      <w:r w:rsidR="000354E4" w:rsidRPr="00EA618D">
        <w:rPr>
          <w:rFonts w:ascii="Arial Narrow" w:hAnsi="Arial Narrow"/>
          <w:color w:val="000000" w:themeColor="text1"/>
        </w:rPr>
        <w:t>, siendo mayor el porcentaje entre las mujeres.</w:t>
      </w:r>
      <w:r w:rsidR="000354E4" w:rsidRPr="00EA618D">
        <w:rPr>
          <w:rStyle w:val="FootnoteReference"/>
          <w:rFonts w:ascii="Arial Narrow" w:hAnsi="Arial Narrow"/>
          <w:color w:val="000000" w:themeColor="text1"/>
        </w:rPr>
        <w:footnoteReference w:id="11"/>
      </w:r>
      <w:r w:rsidR="005115EA" w:rsidRPr="00EA618D">
        <w:rPr>
          <w:rFonts w:ascii="Arial Narrow" w:hAnsi="Arial Narrow"/>
          <w:color w:val="000000" w:themeColor="text1"/>
        </w:rPr>
        <w:t xml:space="preserve"> La atención inicial de las autoridades e instituciones de</w:t>
      </w:r>
      <w:r w:rsidR="0067386D" w:rsidRPr="00EA618D">
        <w:rPr>
          <w:rFonts w:ascii="Arial Narrow" w:hAnsi="Arial Narrow"/>
          <w:color w:val="000000" w:themeColor="text1"/>
        </w:rPr>
        <w:t xml:space="preserve"> </w:t>
      </w:r>
      <w:r w:rsidR="005115EA" w:rsidRPr="00EA618D">
        <w:rPr>
          <w:rFonts w:ascii="Arial Narrow" w:hAnsi="Arial Narrow"/>
          <w:color w:val="000000" w:themeColor="text1"/>
        </w:rPr>
        <w:t>educación</w:t>
      </w:r>
      <w:r w:rsidR="0067386D" w:rsidRPr="00EA618D">
        <w:rPr>
          <w:rFonts w:ascii="Arial Narrow" w:hAnsi="Arial Narrow"/>
          <w:color w:val="000000" w:themeColor="text1"/>
        </w:rPr>
        <w:t xml:space="preserve"> superior</w:t>
      </w:r>
      <w:r w:rsidR="008E76F1" w:rsidRPr="00EA618D">
        <w:rPr>
          <w:rFonts w:ascii="Arial Narrow" w:hAnsi="Arial Narrow"/>
          <w:color w:val="000000" w:themeColor="text1"/>
        </w:rPr>
        <w:t xml:space="preserve"> (IES) </w:t>
      </w:r>
      <w:r w:rsidR="0067386D" w:rsidRPr="00EA618D">
        <w:rPr>
          <w:rFonts w:ascii="Arial Narrow" w:hAnsi="Arial Narrow"/>
          <w:color w:val="000000" w:themeColor="text1"/>
        </w:rPr>
        <w:t xml:space="preserve">se </w:t>
      </w:r>
      <w:r w:rsidR="005115EA" w:rsidRPr="00EA618D">
        <w:rPr>
          <w:rFonts w:ascii="Arial Narrow" w:hAnsi="Arial Narrow"/>
          <w:color w:val="000000" w:themeColor="text1"/>
        </w:rPr>
        <w:t>concentró en buscar la contención de la epidemia y en respaldar la capacidad de las instituciones de salud para atender a las personas contagiadas.</w:t>
      </w:r>
      <w:r w:rsidR="002F6AD4" w:rsidRPr="00EA618D">
        <w:rPr>
          <w:rFonts w:ascii="Arial Narrow" w:hAnsi="Arial Narrow"/>
          <w:color w:val="000000" w:themeColor="text1"/>
        </w:rPr>
        <w:t xml:space="preserve"> No</w:t>
      </w:r>
      <w:r w:rsidR="00AC775A" w:rsidRPr="00EA618D">
        <w:rPr>
          <w:rFonts w:ascii="Arial Narrow" w:hAnsi="Arial Narrow"/>
          <w:color w:val="000000" w:themeColor="text1"/>
        </w:rPr>
        <w:t xml:space="preserve"> </w:t>
      </w:r>
      <w:r w:rsidR="002F6AD4" w:rsidRPr="00EA618D">
        <w:rPr>
          <w:rFonts w:ascii="Arial Narrow" w:hAnsi="Arial Narrow"/>
          <w:color w:val="000000" w:themeColor="text1"/>
        </w:rPr>
        <w:t>son pocas las IES tuvieron que cancelar y dar por perdido el semestre, al no tener capacidad para convocar e informar electrónicamente</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a</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su</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 xml:space="preserve">personal </w:t>
      </w:r>
      <w:r w:rsidR="00A030F3" w:rsidRPr="00EA618D">
        <w:rPr>
          <w:rFonts w:ascii="Arial Narrow" w:hAnsi="Arial Narrow"/>
          <w:color w:val="000000" w:themeColor="text1"/>
        </w:rPr>
        <w:t xml:space="preserve">de </w:t>
      </w:r>
      <w:r w:rsidR="002F6AD4" w:rsidRPr="00EA618D">
        <w:rPr>
          <w:rFonts w:ascii="Arial Narrow" w:hAnsi="Arial Narrow"/>
          <w:color w:val="000000" w:themeColor="text1"/>
        </w:rPr>
        <w:t>las medidas que han tomado, y ofrecer alternativas a unos y otros por no disponer de equipo básico y bases de datos mínimas para soportar la interacción de profesores y alumnos mediante plataformas sociales digitales conocidas</w:t>
      </w:r>
      <w:r w:rsidR="00690B18" w:rsidRPr="00EA618D">
        <w:rPr>
          <w:rFonts w:ascii="Arial Narrow" w:hAnsi="Arial Narrow"/>
          <w:color w:val="000000" w:themeColor="text1"/>
        </w:rPr>
        <w:t>.</w:t>
      </w:r>
      <w:r w:rsidR="00A030F3" w:rsidRPr="00EA618D">
        <w:rPr>
          <w:rStyle w:val="FootnoteReference"/>
          <w:rFonts w:ascii="Arial Narrow" w:hAnsi="Arial Narrow"/>
          <w:color w:val="000000" w:themeColor="text1"/>
        </w:rPr>
        <w:footnoteReference w:id="12"/>
      </w:r>
    </w:p>
    <w:p w14:paraId="14AEAC80" w14:textId="149C5596" w:rsidR="0026088F" w:rsidRPr="00EA618D" w:rsidRDefault="00B8470A" w:rsidP="0026088F">
      <w:pPr>
        <w:jc w:val="both"/>
        <w:rPr>
          <w:rFonts w:ascii="Arial Narrow" w:hAnsi="Arial Narrow"/>
          <w:color w:val="000000" w:themeColor="text1"/>
        </w:rPr>
      </w:pPr>
      <w:r w:rsidRPr="00EA618D">
        <w:rPr>
          <w:rFonts w:ascii="Arial Narrow" w:hAnsi="Arial Narrow"/>
          <w:b/>
          <w:bCs/>
          <w:color w:val="000000" w:themeColor="text1"/>
        </w:rPr>
        <w:t xml:space="preserve">En los programas de recuperación, educación no formal y cursos de alfabetización para quienes no han recibido educación formal o han abandonado la escuela, y en relación </w:t>
      </w:r>
      <w:r w:rsidR="009F20B7" w:rsidRPr="00EA618D">
        <w:rPr>
          <w:rFonts w:ascii="Arial Narrow" w:hAnsi="Arial Narrow"/>
          <w:b/>
          <w:bCs/>
          <w:color w:val="000000" w:themeColor="text1"/>
        </w:rPr>
        <w:t>con los siguientes elementos</w:t>
      </w:r>
      <w:r w:rsidR="002270FA" w:rsidRPr="00EA618D">
        <w:rPr>
          <w:rFonts w:ascii="Arial Narrow" w:hAnsi="Arial Narrow"/>
          <w:b/>
          <w:bCs/>
          <w:color w:val="000000" w:themeColor="text1"/>
        </w:rPr>
        <w:t xml:space="preserve">. </w:t>
      </w:r>
      <w:r w:rsidR="0026088F" w:rsidRPr="00EA618D">
        <w:rPr>
          <w:rFonts w:ascii="Arial Narrow" w:hAnsi="Arial Narrow"/>
          <w:color w:val="000000" w:themeColor="text1"/>
        </w:rPr>
        <w:t xml:space="preserve">Antes de la pandemia causada por el SARS-CoV-2, América Latina ya estaba viviendo una crisis de aprendizaje, según datos del Banco Mundial, el 51% de los niños que terminaban la primaria, no eran capaces de leer o comprender algún texto básico, en grados </w:t>
      </w:r>
      <w:r w:rsidR="0026088F" w:rsidRPr="00EA618D">
        <w:rPr>
          <w:rFonts w:ascii="Arial Narrow" w:hAnsi="Arial Narrow"/>
          <w:color w:val="000000" w:themeColor="text1"/>
        </w:rPr>
        <w:lastRenderedPageBreak/>
        <w:t>diferentes por cada país</w:t>
      </w:r>
      <w:r w:rsidR="00D420B3" w:rsidRPr="00EA618D">
        <w:rPr>
          <w:rFonts w:ascii="Arial Narrow" w:hAnsi="Arial Narrow"/>
          <w:color w:val="000000" w:themeColor="text1"/>
        </w:rPr>
        <w:t xml:space="preserve">; </w:t>
      </w:r>
      <w:r w:rsidR="0026088F" w:rsidRPr="00EA618D">
        <w:rPr>
          <w:rFonts w:ascii="Arial Narrow" w:hAnsi="Arial Narrow"/>
          <w:color w:val="000000" w:themeColor="text1"/>
        </w:rPr>
        <w:t>en México en lo particular, el problema se estableció en un 43%</w:t>
      </w:r>
      <w:r w:rsidR="00D420B3" w:rsidRPr="00EA618D">
        <w:rPr>
          <w:rFonts w:ascii="Arial Narrow" w:hAnsi="Arial Narrow"/>
          <w:color w:val="000000" w:themeColor="text1"/>
        </w:rPr>
        <w:t>.</w:t>
      </w:r>
      <w:r w:rsidR="00D420B3" w:rsidRPr="00EA618D">
        <w:rPr>
          <w:rStyle w:val="FootnoteReference"/>
          <w:rFonts w:ascii="Arial Narrow" w:hAnsi="Arial Narrow"/>
          <w:color w:val="000000" w:themeColor="text1"/>
        </w:rPr>
        <w:footnoteReference w:id="13"/>
      </w:r>
      <w:r w:rsidR="00D420B3" w:rsidRPr="00EA618D">
        <w:rPr>
          <w:rFonts w:ascii="Arial Narrow" w:hAnsi="Arial Narrow"/>
          <w:color w:val="000000" w:themeColor="text1"/>
        </w:rPr>
        <w:t xml:space="preserve"> Los más afectados han sido los niños/a que reciben educación no formal con agentes del Consejo Nacional de Fomento Educativo (CONAFE).</w:t>
      </w:r>
    </w:p>
    <w:p w14:paraId="2C8EE270" w14:textId="6532BA55" w:rsidR="009F20B7" w:rsidRPr="00EA618D" w:rsidRDefault="009F20B7" w:rsidP="007106F8">
      <w:pPr>
        <w:jc w:val="both"/>
        <w:rPr>
          <w:rFonts w:ascii="Arial Narrow" w:hAnsi="Arial Narrow"/>
          <w:b/>
          <w:bCs/>
          <w:color w:val="000000" w:themeColor="text1"/>
        </w:rPr>
      </w:pPr>
      <w:r w:rsidRPr="00EA618D">
        <w:rPr>
          <w:rFonts w:ascii="Arial Narrow" w:hAnsi="Arial Narrow"/>
          <w:b/>
          <w:bCs/>
          <w:color w:val="000000" w:themeColor="text1"/>
        </w:rPr>
        <w:t>2. Medidas concretas adoptadas para responder a los retos y barreras que enfrentan las niñas, en cada nivel de educación y en relación con los cuatro elementos del derecho a la educación, como parte de las respuestas a corto plazo y los esfuerzos de recuperación a mediano y largo plazo de la pandemia de COVID-19.</w:t>
      </w:r>
    </w:p>
    <w:p w14:paraId="66232ABE" w14:textId="21705EA5" w:rsidR="00E57D12" w:rsidRPr="00EA618D" w:rsidRDefault="00E57D12" w:rsidP="004653C1">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Hasta este momento, México carece de una estrategia educativa integral y de articulación interinstitucional para identificar y reintegrar al sistema educativo a los millones de niñas y niños fuera de la escuela.</w:t>
      </w:r>
      <w:r w:rsidR="00264C83" w:rsidRPr="00EA618D">
        <w:rPr>
          <w:rFonts w:ascii="Arial Narrow" w:hAnsi="Arial Narrow" w:cs="Avenir Next LT Pro"/>
          <w:color w:val="000000" w:themeColor="text1"/>
        </w:rPr>
        <w:t xml:space="preserve"> Sin embargo, se enlistan algunas acciones</w:t>
      </w:r>
      <w:r w:rsidR="004653C1" w:rsidRPr="00EA618D">
        <w:rPr>
          <w:rFonts w:ascii="Arial Narrow" w:hAnsi="Arial Narrow" w:cs="Avenir Next LT Pro"/>
          <w:color w:val="000000" w:themeColor="text1"/>
        </w:rPr>
        <w:t xml:space="preserve"> identificadas </w:t>
      </w:r>
      <w:r w:rsidR="00264C83" w:rsidRPr="00EA618D">
        <w:rPr>
          <w:rFonts w:ascii="Arial Narrow" w:hAnsi="Arial Narrow" w:cs="Avenir Next LT Pro"/>
          <w:color w:val="000000" w:themeColor="text1"/>
        </w:rPr>
        <w:t>en los diferentes niveles educativos.</w:t>
      </w:r>
    </w:p>
    <w:p w14:paraId="402F32ED" w14:textId="77777777" w:rsidR="004653C1" w:rsidRPr="00EA618D" w:rsidRDefault="004653C1" w:rsidP="004653C1">
      <w:pPr>
        <w:autoSpaceDE w:val="0"/>
        <w:autoSpaceDN w:val="0"/>
        <w:adjustRightInd w:val="0"/>
        <w:spacing w:after="0" w:line="240" w:lineRule="auto"/>
        <w:jc w:val="both"/>
        <w:rPr>
          <w:rFonts w:ascii="Arial Narrow" w:hAnsi="Arial Narrow"/>
          <w:b/>
          <w:bCs/>
          <w:color w:val="000000" w:themeColor="text1"/>
        </w:rPr>
      </w:pPr>
    </w:p>
    <w:p w14:paraId="24BD864D" w14:textId="78C79D39" w:rsidR="00E13AD8" w:rsidRPr="00EA618D" w:rsidRDefault="00E4156F" w:rsidP="007106F8">
      <w:pPr>
        <w:jc w:val="both"/>
        <w:rPr>
          <w:rFonts w:ascii="Arial Narrow" w:hAnsi="Arial Narrow"/>
          <w:color w:val="000000" w:themeColor="text1"/>
        </w:rPr>
      </w:pPr>
      <w:r w:rsidRPr="00EA618D">
        <w:rPr>
          <w:rFonts w:ascii="Arial Narrow" w:hAnsi="Arial Narrow"/>
          <w:b/>
          <w:bCs/>
          <w:color w:val="000000" w:themeColor="text1"/>
        </w:rPr>
        <w:t>Educación Inicial</w:t>
      </w:r>
      <w:r w:rsidR="009E72D4" w:rsidRPr="00EA618D">
        <w:rPr>
          <w:rFonts w:ascii="Arial Narrow" w:hAnsi="Arial Narrow"/>
          <w:b/>
          <w:bCs/>
          <w:color w:val="000000" w:themeColor="text1"/>
        </w:rPr>
        <w:t xml:space="preserve">. </w:t>
      </w:r>
      <w:r w:rsidR="00D16903" w:rsidRPr="00EA618D">
        <w:rPr>
          <w:rFonts w:ascii="Arial Narrow" w:hAnsi="Arial Narrow"/>
          <w:color w:val="000000" w:themeColor="text1"/>
        </w:rPr>
        <w:t>Durante 2021, el Consejo Nacional de Fomento Educativo (C</w:t>
      </w:r>
      <w:r w:rsidR="00264C83" w:rsidRPr="00EA618D">
        <w:rPr>
          <w:rFonts w:ascii="Arial Narrow" w:hAnsi="Arial Narrow"/>
          <w:color w:val="000000" w:themeColor="text1"/>
        </w:rPr>
        <w:t>ONAFE</w:t>
      </w:r>
      <w:r w:rsidR="00D16903" w:rsidRPr="00EA618D">
        <w:rPr>
          <w:rFonts w:ascii="Arial Narrow" w:hAnsi="Arial Narrow"/>
          <w:color w:val="000000" w:themeColor="text1"/>
        </w:rPr>
        <w:t>) ofreció servicios de Educación Básica e Inicial a 579 mil 613 niñas, niños y adolescentes en zonas de alta y muy alta marginación del país, a través de 56 mil 129 servicios educativos ubicados en 36 mil 442 localidades.</w:t>
      </w:r>
      <w:r w:rsidR="00D16903" w:rsidRPr="00EA618D">
        <w:rPr>
          <w:rStyle w:val="FootnoteReference"/>
          <w:rFonts w:ascii="Arial Narrow" w:hAnsi="Arial Narrow"/>
          <w:color w:val="000000" w:themeColor="text1"/>
        </w:rPr>
        <w:footnoteReference w:id="14"/>
      </w:r>
      <w:r w:rsidR="009E72D4" w:rsidRPr="00EA618D">
        <w:rPr>
          <w:rFonts w:ascii="Arial Narrow" w:hAnsi="Arial Narrow"/>
          <w:color w:val="000000" w:themeColor="text1"/>
        </w:rPr>
        <w:t xml:space="preserve"> </w:t>
      </w:r>
      <w:r w:rsidR="00E13AD8" w:rsidRPr="00EA618D">
        <w:rPr>
          <w:rFonts w:ascii="Arial Narrow" w:hAnsi="Arial Narrow"/>
          <w:color w:val="000000" w:themeColor="text1"/>
        </w:rPr>
        <w:t>El modelo educativo Aprendizaje Basado en la Colaboración y el Diálogo (ABCD) permitió que el trabajo del C</w:t>
      </w:r>
      <w:r w:rsidR="002C3C59" w:rsidRPr="00EA618D">
        <w:rPr>
          <w:rFonts w:ascii="Arial Narrow" w:hAnsi="Arial Narrow"/>
          <w:color w:val="000000" w:themeColor="text1"/>
        </w:rPr>
        <w:t>ONAFE</w:t>
      </w:r>
      <w:r w:rsidR="00E13AD8" w:rsidRPr="00EA618D">
        <w:rPr>
          <w:rFonts w:ascii="Arial Narrow" w:hAnsi="Arial Narrow"/>
          <w:color w:val="000000" w:themeColor="text1"/>
        </w:rPr>
        <w:t xml:space="preserve"> continuara en la pandemia; con el apoyo de 32 mil 480 líderes para la educación comunitaria y 23 mil 504 promotoras de educación inicial se atendieron, de manera horizontal, a cada uno de los alumnos en sus comunidades.</w:t>
      </w:r>
      <w:r w:rsidR="00E13AD8" w:rsidRPr="00EA618D">
        <w:rPr>
          <w:rStyle w:val="FootnoteReference"/>
          <w:rFonts w:ascii="Arial Narrow" w:hAnsi="Arial Narrow"/>
          <w:color w:val="000000" w:themeColor="text1"/>
        </w:rPr>
        <w:footnoteReference w:id="15"/>
      </w:r>
    </w:p>
    <w:p w14:paraId="7DE5CC05" w14:textId="7B86BEF0" w:rsidR="008D31D5" w:rsidRPr="00EA618D" w:rsidRDefault="00E4156F" w:rsidP="007106F8">
      <w:pPr>
        <w:jc w:val="both"/>
        <w:rPr>
          <w:rFonts w:ascii="Arial Narrow" w:hAnsi="Arial Narrow"/>
        </w:rPr>
      </w:pPr>
      <w:r w:rsidRPr="00EA618D">
        <w:rPr>
          <w:rFonts w:ascii="Arial Narrow" w:hAnsi="Arial Narrow"/>
          <w:b/>
          <w:bCs/>
          <w:color w:val="000000" w:themeColor="text1"/>
        </w:rPr>
        <w:t>Educación primaria y secundaria.</w:t>
      </w:r>
      <w:r w:rsidR="009E72D4" w:rsidRPr="00EA618D">
        <w:rPr>
          <w:rFonts w:ascii="Arial Narrow" w:hAnsi="Arial Narrow"/>
          <w:b/>
          <w:bCs/>
          <w:color w:val="000000" w:themeColor="text1"/>
        </w:rPr>
        <w:t xml:space="preserve"> </w:t>
      </w:r>
      <w:r w:rsidR="008D31D5" w:rsidRPr="00EA618D">
        <w:rPr>
          <w:rFonts w:ascii="Arial Narrow" w:hAnsi="Arial Narrow"/>
        </w:rPr>
        <w:t xml:space="preserve">La Secretaría de Educación Pública (SEP) informó que el 24 de agosto de 2020 sería el inicio del ciclo escolar 2020-2021, y confirmó que continuaría con clases a distancia porque no existían las condiciones para hacerlo de forma presencial a consecuencia de la pandemia por COVID-19. </w:t>
      </w:r>
      <w:r w:rsidR="00264C83" w:rsidRPr="00EA618D">
        <w:rPr>
          <w:rFonts w:ascii="Arial Narrow" w:hAnsi="Arial Narrow"/>
        </w:rPr>
        <w:t>Asimismo,</w:t>
      </w:r>
      <w:r w:rsidR="008D31D5" w:rsidRPr="00EA618D">
        <w:rPr>
          <w:rFonts w:ascii="Arial Narrow" w:hAnsi="Arial Narrow"/>
        </w:rPr>
        <w:t xml:space="preserve"> se dispuso por las autoridades sanitarias y educativa, que en México las clases presenciales se retomarán en cada entidad federativa cuando el semáforo epidemiológico se encuentre en verde.</w:t>
      </w:r>
    </w:p>
    <w:p w14:paraId="33DC775D" w14:textId="00BD6750" w:rsidR="002C3C59" w:rsidRPr="00EA618D" w:rsidRDefault="002C3C59" w:rsidP="007106F8">
      <w:pPr>
        <w:jc w:val="both"/>
        <w:rPr>
          <w:rFonts w:ascii="Arial Narrow" w:hAnsi="Arial Narrow"/>
        </w:rPr>
      </w:pPr>
      <w:r w:rsidRPr="00EA618D">
        <w:rPr>
          <w:rFonts w:ascii="Arial Narrow" w:hAnsi="Arial Narrow"/>
        </w:rPr>
        <w:t>En noviembre de 2021, el Instituto Nacional para la Educación de los Adultos (INEA) y el CONAFE, firmaron un convenio de colaboración para difundir, promover y realizar las acciones necesarias con el objetivo de que las personas de 15 años y más, que se encuentran en situación de exclusión educativa, se alfabeticen o estudien la primaria y secundaria.</w:t>
      </w:r>
      <w:r w:rsidRPr="00EA618D">
        <w:rPr>
          <w:rStyle w:val="FootnoteReference"/>
          <w:rFonts w:ascii="Arial Narrow" w:hAnsi="Arial Narrow"/>
        </w:rPr>
        <w:footnoteReference w:id="16"/>
      </w:r>
    </w:p>
    <w:p w14:paraId="7C371D42" w14:textId="37EA0671" w:rsidR="00670CD2" w:rsidRPr="00EA618D" w:rsidRDefault="00670CD2" w:rsidP="00670CD2">
      <w:pPr>
        <w:jc w:val="both"/>
        <w:rPr>
          <w:rFonts w:ascii="Arial Narrow" w:hAnsi="Arial Narrow"/>
          <w:b/>
          <w:bCs/>
          <w:color w:val="000000" w:themeColor="text1"/>
        </w:rPr>
      </w:pPr>
      <w:r w:rsidRPr="00EA618D">
        <w:rPr>
          <w:rFonts w:ascii="Arial Narrow" w:hAnsi="Arial Narrow"/>
        </w:rPr>
        <w:t xml:space="preserve">Para el ciclo 2021-2022 la Secretaría de Educación Pública emitió la </w:t>
      </w:r>
      <w:r w:rsidRPr="00EA618D">
        <w:rPr>
          <w:rFonts w:ascii="Arial Narrow" w:hAnsi="Arial Narrow"/>
          <w:i/>
          <w:iCs/>
        </w:rPr>
        <w:t>Estrategia Nacional para el Regreso Seguro a las Escuelas de Educación Básica</w:t>
      </w:r>
      <w:r w:rsidRPr="00EA618D">
        <w:rPr>
          <w:rFonts w:ascii="Arial Narrow" w:hAnsi="Arial Narrow"/>
        </w:rPr>
        <w:t>, en la que establece medidas como la vacunación del personal docente, el diseño de programas locales de regreso a la escuela.</w:t>
      </w:r>
      <w:r w:rsidRPr="00EA618D">
        <w:rPr>
          <w:rStyle w:val="FootnoteReference"/>
          <w:rFonts w:ascii="Arial Narrow" w:hAnsi="Arial Narrow"/>
        </w:rPr>
        <w:footnoteReference w:id="17"/>
      </w:r>
      <w:r w:rsidR="002270FA" w:rsidRPr="00EA618D">
        <w:rPr>
          <w:rFonts w:ascii="Arial Narrow" w:hAnsi="Arial Narrow"/>
        </w:rPr>
        <w:t xml:space="preserve"> </w:t>
      </w:r>
      <w:r w:rsidRPr="00EA618D">
        <w:rPr>
          <w:rFonts w:ascii="Arial Narrow" w:hAnsi="Arial Narrow"/>
        </w:rPr>
        <w:t>A la fecha hay 196 mil 655 escuelas abiertas en todo el país.</w:t>
      </w:r>
      <w:r w:rsidRPr="00EA618D">
        <w:rPr>
          <w:rStyle w:val="FootnoteReference"/>
          <w:rFonts w:ascii="Arial Narrow" w:hAnsi="Arial Narrow"/>
        </w:rPr>
        <w:footnoteReference w:id="18"/>
      </w:r>
    </w:p>
    <w:p w14:paraId="09796283" w14:textId="6A6C232A" w:rsidR="00D14B60" w:rsidRPr="00EA618D" w:rsidRDefault="00E4156F" w:rsidP="00D14B60">
      <w:pPr>
        <w:jc w:val="both"/>
        <w:rPr>
          <w:rFonts w:ascii="Arial Narrow" w:hAnsi="Arial Narrow"/>
        </w:rPr>
      </w:pPr>
      <w:r w:rsidRPr="00EA618D">
        <w:rPr>
          <w:rFonts w:ascii="Arial Narrow" w:hAnsi="Arial Narrow"/>
          <w:b/>
          <w:bCs/>
          <w:color w:val="000000" w:themeColor="text1"/>
        </w:rPr>
        <w:t>Educación terciaria.</w:t>
      </w:r>
      <w:r w:rsidR="00D657B4" w:rsidRPr="00EA618D">
        <w:rPr>
          <w:rFonts w:ascii="Arial Narrow" w:hAnsi="Arial Narrow"/>
          <w:b/>
          <w:bCs/>
          <w:color w:val="000000" w:themeColor="text1"/>
        </w:rPr>
        <w:t xml:space="preserve"> </w:t>
      </w:r>
      <w:r w:rsidR="00D14B60" w:rsidRPr="00EA618D">
        <w:rPr>
          <w:rFonts w:ascii="Arial Narrow" w:hAnsi="Arial Narrow"/>
        </w:rPr>
        <w:t>Programa Beca Universal para estudiantes de educación media superior  “Benito Juárez”: Su objetivo es Fomentar que los/as alumnos inscritos ese nivel educativo permanezcan y/o concluyan este tipo educativo, mediante el otorgamiento de una beca de $800 pesos mensuales.</w:t>
      </w:r>
      <w:r w:rsidR="00D14B60" w:rsidRPr="00EA618D">
        <w:rPr>
          <w:rFonts w:ascii="Arial Narrow" w:hAnsi="Arial Narrow"/>
          <w:vertAlign w:val="superscript"/>
        </w:rPr>
        <w:footnoteReference w:id="19"/>
      </w:r>
    </w:p>
    <w:p w14:paraId="10C4FCDB" w14:textId="1776A1BB" w:rsidR="00D14B60" w:rsidRPr="00EA618D" w:rsidRDefault="00D14B60" w:rsidP="00D14B60">
      <w:pPr>
        <w:jc w:val="both"/>
        <w:rPr>
          <w:rFonts w:ascii="Arial Narrow" w:hAnsi="Arial Narrow"/>
        </w:rPr>
      </w:pPr>
      <w:r w:rsidRPr="00EA618D">
        <w:rPr>
          <w:rFonts w:ascii="Arial Narrow" w:hAnsi="Arial Narrow"/>
        </w:rPr>
        <w:t>Beca Jóvenes Escribiendo el Futuro: dirigida a los alumnos y alumnas en Instituciones de Educación Superior en condiciones de pobreza o vulnerabilidad, que vivan en zonas con altos índice de violencia, así como a estudiantes de origen indígena y afrodescendientes. Los beneficiarios reciben $4,800 pesos bimestrales. El propósito es que puedan continuar sus estudios con menos dificultades.</w:t>
      </w:r>
      <w:r w:rsidRPr="00EA618D">
        <w:rPr>
          <w:rFonts w:ascii="Arial Narrow" w:hAnsi="Arial Narrow"/>
          <w:vertAlign w:val="superscript"/>
        </w:rPr>
        <w:footnoteReference w:id="20"/>
      </w:r>
    </w:p>
    <w:p w14:paraId="25959DDA" w14:textId="0535A9DE" w:rsidR="00DD0480" w:rsidRPr="00EA618D" w:rsidRDefault="00DD0480" w:rsidP="00DD0480">
      <w:pPr>
        <w:spacing w:line="240" w:lineRule="auto"/>
        <w:jc w:val="both"/>
        <w:rPr>
          <w:rFonts w:ascii="Arial Narrow" w:hAnsi="Arial Narrow"/>
          <w:color w:val="000000" w:themeColor="text1"/>
        </w:rPr>
      </w:pPr>
      <w:r w:rsidRPr="00EA618D">
        <w:rPr>
          <w:rFonts w:ascii="Arial Narrow" w:hAnsi="Arial Narrow"/>
          <w:color w:val="000000" w:themeColor="text1"/>
        </w:rPr>
        <w:lastRenderedPageBreak/>
        <w:t>Un reporte producido por la SEP, señala que las principales acciones emprendidas por las universidades estatales públicas incluyen el diseño de aplicaciones digitales y materiales informativos (91% de las instituciones); diseño e implementación</w:t>
      </w:r>
      <w:r w:rsidR="00EC2F5A" w:rsidRPr="00EA618D">
        <w:rPr>
          <w:rFonts w:ascii="Arial Narrow" w:hAnsi="Arial Narrow"/>
          <w:color w:val="000000" w:themeColor="text1"/>
        </w:rPr>
        <w:t xml:space="preserve"> </w:t>
      </w:r>
      <w:r w:rsidRPr="00EA618D">
        <w:rPr>
          <w:rFonts w:ascii="Arial Narrow" w:hAnsi="Arial Narrow"/>
          <w:color w:val="000000" w:themeColor="text1"/>
        </w:rPr>
        <w:t>de</w:t>
      </w:r>
      <w:r w:rsidR="005854CA" w:rsidRPr="00EA618D">
        <w:rPr>
          <w:rFonts w:ascii="Arial Narrow" w:hAnsi="Arial Narrow"/>
          <w:color w:val="000000" w:themeColor="text1"/>
        </w:rPr>
        <w:t xml:space="preserve"> </w:t>
      </w:r>
      <w:r w:rsidRPr="00EA618D">
        <w:rPr>
          <w:rFonts w:ascii="Arial Narrow" w:hAnsi="Arial Narrow"/>
          <w:color w:val="000000" w:themeColor="text1"/>
        </w:rPr>
        <w:t>campañas</w:t>
      </w:r>
      <w:r w:rsidR="005854CA" w:rsidRPr="00EA618D">
        <w:rPr>
          <w:rFonts w:ascii="Arial Narrow" w:hAnsi="Arial Narrow"/>
          <w:color w:val="000000" w:themeColor="text1"/>
        </w:rPr>
        <w:t xml:space="preserve"> </w:t>
      </w:r>
      <w:r w:rsidR="008669B5" w:rsidRPr="00EA618D">
        <w:rPr>
          <w:rFonts w:ascii="Arial Narrow" w:hAnsi="Arial Narrow"/>
          <w:color w:val="000000" w:themeColor="text1"/>
        </w:rPr>
        <w:t xml:space="preserve">de orientación </w:t>
      </w:r>
      <w:r w:rsidR="0022281A" w:rsidRPr="00EA618D">
        <w:rPr>
          <w:rFonts w:ascii="Arial Narrow" w:hAnsi="Arial Narrow"/>
          <w:color w:val="000000" w:themeColor="text1"/>
        </w:rPr>
        <w:t>a la población</w:t>
      </w:r>
      <w:r w:rsidR="0022281A">
        <w:rPr>
          <w:rFonts w:ascii="Arial Narrow" w:hAnsi="Arial Narrow"/>
          <w:color w:val="000000" w:themeColor="text1"/>
        </w:rPr>
        <w:t xml:space="preserve"> </w:t>
      </w:r>
      <w:r w:rsidRPr="00EA618D">
        <w:rPr>
          <w:rFonts w:ascii="Arial Narrow" w:hAnsi="Arial Narrow"/>
          <w:color w:val="000000" w:themeColor="text1"/>
        </w:rPr>
        <w:t>(79%);  producción</w:t>
      </w:r>
      <w:r w:rsidR="00A81EB7">
        <w:rPr>
          <w:rFonts w:ascii="Arial Narrow" w:hAnsi="Arial Narrow"/>
          <w:color w:val="000000" w:themeColor="text1"/>
        </w:rPr>
        <w:t xml:space="preserve"> de e</w:t>
      </w:r>
      <w:r w:rsidRPr="00EA618D">
        <w:rPr>
          <w:rFonts w:ascii="Arial Narrow" w:hAnsi="Arial Narrow"/>
          <w:color w:val="000000" w:themeColor="text1"/>
        </w:rPr>
        <w:t>quipo</w:t>
      </w:r>
      <w:r w:rsidR="00A81EB7">
        <w:rPr>
          <w:rFonts w:ascii="Arial Narrow" w:hAnsi="Arial Narrow"/>
          <w:color w:val="000000" w:themeColor="text1"/>
        </w:rPr>
        <w:t xml:space="preserve"> y </w:t>
      </w:r>
      <w:r w:rsidRPr="00EA618D">
        <w:rPr>
          <w:rFonts w:ascii="Arial Narrow" w:hAnsi="Arial Narrow"/>
          <w:color w:val="000000" w:themeColor="text1"/>
        </w:rPr>
        <w:t>materiales sanitarios (76%); ofrecimiento de asesoría sanitaria, psicológica, nutricional y jurídica (76%) y capacitación a trabajadores de la salud (62%).</w:t>
      </w:r>
      <w:r w:rsidRPr="00EA618D">
        <w:rPr>
          <w:rStyle w:val="FootnoteReference"/>
          <w:rFonts w:ascii="Arial Narrow" w:hAnsi="Arial Narrow"/>
          <w:color w:val="000000" w:themeColor="text1"/>
        </w:rPr>
        <w:footnoteReference w:id="21"/>
      </w:r>
      <w:r w:rsidRPr="00EA618D">
        <w:rPr>
          <w:rFonts w:ascii="Arial Narrow" w:hAnsi="Arial Narrow"/>
          <w:color w:val="000000" w:themeColor="text1"/>
        </w:rPr>
        <w:t xml:space="preserve"> </w:t>
      </w:r>
    </w:p>
    <w:p w14:paraId="01A2C8D1" w14:textId="1E31D4CD" w:rsidR="00DD0480" w:rsidRPr="00EA618D" w:rsidRDefault="00DD0480" w:rsidP="00DD0480">
      <w:pPr>
        <w:jc w:val="both"/>
        <w:rPr>
          <w:rFonts w:ascii="Arial Narrow" w:hAnsi="Arial Narrow"/>
          <w:color w:val="000000" w:themeColor="text1"/>
        </w:rPr>
      </w:pPr>
      <w:r w:rsidRPr="00EA618D">
        <w:rPr>
          <w:rFonts w:ascii="Arial Narrow" w:hAnsi="Arial Narrow"/>
          <w:color w:val="000000" w:themeColor="text1"/>
        </w:rPr>
        <w:t xml:space="preserve">Asimismo, refiere que </w:t>
      </w:r>
      <w:r w:rsidRPr="00EA618D">
        <w:rPr>
          <w:rFonts w:ascii="Arial Narrow" w:hAnsi="Arial Narrow"/>
          <w:shd w:val="clear" w:color="auto" w:fill="FFFFFF"/>
        </w:rPr>
        <w:t>para  la  continuación  de  las  funciones sustantivas de esas universidades se incluye: la disponibilidad de aulas virtuales y el uso de plataformas tecnológicas para la continuación de clases (94%), la rápida capacitación de docentes para el uso de tecnologías digitales</w:t>
      </w:r>
      <w:r w:rsidR="0060300C" w:rsidRPr="00EA618D">
        <w:rPr>
          <w:rFonts w:ascii="Arial Narrow" w:hAnsi="Arial Narrow"/>
          <w:shd w:val="clear" w:color="auto" w:fill="FFFFFF"/>
        </w:rPr>
        <w:t xml:space="preserve"> </w:t>
      </w:r>
      <w:r w:rsidRPr="00EA618D">
        <w:rPr>
          <w:rFonts w:ascii="Arial Narrow" w:hAnsi="Arial Narrow"/>
          <w:shd w:val="clear" w:color="auto" w:fill="FFFFFF"/>
        </w:rPr>
        <w:t>(82%), las campañas de orientación a la comunidad universitaria (56%), el desarrollo de un sitio web específico para información y recursos técnicos de apoyo a la enseñanza-aprendizaje</w:t>
      </w:r>
      <w:r w:rsidR="00EC2F5A" w:rsidRPr="00EA618D">
        <w:rPr>
          <w:rFonts w:ascii="Arial Narrow" w:hAnsi="Arial Narrow"/>
          <w:shd w:val="clear" w:color="auto" w:fill="FFFFFF"/>
        </w:rPr>
        <w:t xml:space="preserve"> </w:t>
      </w:r>
      <w:r w:rsidRPr="00EA618D">
        <w:rPr>
          <w:rFonts w:ascii="Arial Narrow" w:hAnsi="Arial Narrow"/>
          <w:shd w:val="clear" w:color="auto" w:fill="FFFFFF"/>
        </w:rPr>
        <w:t xml:space="preserve"> remota  (50%),  el  soporte  técnico  a  estudiantes  y  profesores  sobre  el  uso  de  plataformas digitales (53%) y la flexibilización de servicios académico-administrativos (41%), entre otras.</w:t>
      </w:r>
      <w:r w:rsidRPr="00EA618D">
        <w:rPr>
          <w:rStyle w:val="FootnoteReference"/>
          <w:rFonts w:ascii="Arial Narrow" w:hAnsi="Arial Narrow"/>
          <w:shd w:val="clear" w:color="auto" w:fill="FFFFFF"/>
        </w:rPr>
        <w:footnoteReference w:id="22"/>
      </w:r>
    </w:p>
    <w:p w14:paraId="16EADB20" w14:textId="4B343ED6" w:rsidR="006130B2" w:rsidRPr="00EA618D" w:rsidRDefault="009F20B7" w:rsidP="00D657B4">
      <w:pPr>
        <w:jc w:val="both"/>
        <w:rPr>
          <w:rFonts w:ascii="Arial Narrow" w:hAnsi="Arial Narrow" w:cs="Avenir Next LT Pro"/>
          <w:color w:val="000000" w:themeColor="text1"/>
        </w:rPr>
      </w:pPr>
      <w:r w:rsidRPr="00EA618D">
        <w:rPr>
          <w:rFonts w:ascii="Arial Narrow" w:hAnsi="Arial Narrow"/>
          <w:b/>
          <w:bCs/>
          <w:color w:val="000000" w:themeColor="text1"/>
        </w:rPr>
        <w:t>3. Datos estadísticos.</w:t>
      </w:r>
      <w:r w:rsidR="00D657B4" w:rsidRPr="00EA618D">
        <w:rPr>
          <w:rFonts w:ascii="Arial Narrow" w:hAnsi="Arial Narrow"/>
          <w:b/>
          <w:bCs/>
          <w:color w:val="000000" w:themeColor="text1"/>
        </w:rPr>
        <w:t xml:space="preserve"> </w:t>
      </w:r>
      <w:r w:rsidR="006130B2" w:rsidRPr="00EA618D">
        <w:rPr>
          <w:rFonts w:ascii="Arial Narrow" w:hAnsi="Arial Narrow" w:cs="Avenir Next LT Pro"/>
          <w:color w:val="000000" w:themeColor="text1"/>
        </w:rPr>
        <w:t xml:space="preserve">De acuerdo con datos de la Secretaría de Educación Pública (SEP), la deserción escolar en educación básica en el ciclo escolar 2019-2020 alcanzó un 10% de la matrícula; </w:t>
      </w:r>
      <w:r w:rsidR="004735CB" w:rsidRPr="00EA618D">
        <w:rPr>
          <w:rFonts w:ascii="Arial Narrow" w:hAnsi="Arial Narrow" w:cs="Avenir Next LT Pro"/>
          <w:color w:val="000000" w:themeColor="text1"/>
        </w:rPr>
        <w:t>es decir,</w:t>
      </w:r>
      <w:r w:rsidR="006130B2" w:rsidRPr="00EA618D">
        <w:rPr>
          <w:rFonts w:ascii="Arial Narrow" w:hAnsi="Arial Narrow" w:cs="Avenir Next LT Pro"/>
          <w:color w:val="000000" w:themeColor="text1"/>
        </w:rPr>
        <w:t xml:space="preserve"> se inscribieron 33.6 millones de alumnos, mientras que más de 2.5 millones de quienes cursan preescolar, primaria y secundaria quedaron fuera de la escuela.</w:t>
      </w:r>
      <w:r w:rsidR="004735CB" w:rsidRPr="00EA618D">
        <w:rPr>
          <w:rStyle w:val="FootnoteReference"/>
          <w:rFonts w:ascii="Arial Narrow" w:hAnsi="Arial Narrow" w:cs="Avenir Next LT Pro"/>
          <w:color w:val="000000" w:themeColor="text1"/>
        </w:rPr>
        <w:footnoteReference w:id="23"/>
      </w:r>
    </w:p>
    <w:p w14:paraId="4EF34762" w14:textId="1F4D689B" w:rsidR="00AD1C0A" w:rsidRPr="00EA618D" w:rsidRDefault="004735CB" w:rsidP="00FD598B">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Datos de</w:t>
      </w:r>
      <w:r w:rsidR="006130B2" w:rsidRPr="00EA618D">
        <w:rPr>
          <w:rFonts w:ascii="Arial Narrow" w:hAnsi="Arial Narrow" w:cs="Avenir Next LT Pro"/>
          <w:color w:val="000000" w:themeColor="text1"/>
        </w:rPr>
        <w:t xml:space="preserve"> INEGI revelan que para el ciclo escolar 2020-2021 se inscribieron 32.9 millones (60.6% de la población de 3 a 29 años). Por motivos asociados a la COVID- 19 o por falta de dinero o recursos no se inscribieron </w:t>
      </w:r>
      <w:r w:rsidR="006130B2" w:rsidRPr="00EA618D">
        <w:rPr>
          <w:rFonts w:ascii="Arial Narrow" w:hAnsi="Arial Narrow" w:cs="Avenir Next LT Pro,Bold"/>
          <w:color w:val="000000" w:themeColor="text1"/>
        </w:rPr>
        <w:t>5.2 millones de personas</w:t>
      </w:r>
      <w:r w:rsidR="006130B2" w:rsidRPr="00EA618D">
        <w:rPr>
          <w:rFonts w:ascii="Arial Narrow" w:hAnsi="Arial Narrow" w:cs="Avenir Next LT Pro,Bold"/>
          <w:b/>
          <w:bCs/>
          <w:color w:val="000000" w:themeColor="text1"/>
        </w:rPr>
        <w:t xml:space="preserve"> </w:t>
      </w:r>
      <w:r w:rsidR="006130B2" w:rsidRPr="00EA618D">
        <w:rPr>
          <w:rFonts w:ascii="Arial Narrow" w:hAnsi="Arial Narrow" w:cs="Avenir Next LT Pro"/>
          <w:color w:val="000000" w:themeColor="text1"/>
        </w:rPr>
        <w:t>(9.6% del total 3 a 29 años) al ciclo escolar 2020-2021.</w:t>
      </w:r>
      <w:r w:rsidRPr="00EA618D">
        <w:rPr>
          <w:rStyle w:val="FootnoteReference"/>
          <w:rFonts w:ascii="Arial Narrow" w:hAnsi="Arial Narrow" w:cs="Avenir Next LT Pro"/>
          <w:color w:val="000000" w:themeColor="text1"/>
        </w:rPr>
        <w:footnoteReference w:id="24"/>
      </w:r>
      <w:r w:rsidR="00687501" w:rsidRPr="00EA618D">
        <w:rPr>
          <w:rFonts w:ascii="Arial Narrow" w:hAnsi="Arial Narrow" w:cs="Avenir Next LT Pro"/>
          <w:color w:val="000000" w:themeColor="text1"/>
        </w:rPr>
        <w:t xml:space="preserve"> </w:t>
      </w:r>
      <w:r w:rsidR="006130B2" w:rsidRPr="00EA618D">
        <w:rPr>
          <w:rFonts w:ascii="Arial Narrow" w:hAnsi="Arial Narrow" w:cs="Avenir Next LT Pro"/>
          <w:color w:val="000000" w:themeColor="text1"/>
        </w:rPr>
        <w:t>Las causas más frecuentes para no inscribirse a dicho ciclo escolar fueron: considerar que las clases a distancia son poco funcionales para el aprendizaje 26.6%; alguno de sus padres o tutores se quedaron sin trabajo 25.3% y carece de computadora, otros dispositivo o conexión de internet 21.9%.</w:t>
      </w:r>
      <w:r w:rsidR="00AD1C0A" w:rsidRPr="00EA618D">
        <w:rPr>
          <w:rStyle w:val="FootnoteReference"/>
          <w:rFonts w:ascii="Arial Narrow" w:hAnsi="Arial Narrow" w:cs="Avenir Next LT Pro"/>
          <w:color w:val="000000" w:themeColor="text1"/>
        </w:rPr>
        <w:footnoteReference w:id="25"/>
      </w:r>
    </w:p>
    <w:p w14:paraId="1EA564E9" w14:textId="77777777" w:rsidR="00AD1C0A" w:rsidRPr="00EA618D" w:rsidRDefault="00AD1C0A" w:rsidP="00AD1C0A">
      <w:pPr>
        <w:pStyle w:val="ListParagraph"/>
        <w:autoSpaceDE w:val="0"/>
        <w:autoSpaceDN w:val="0"/>
        <w:adjustRightInd w:val="0"/>
        <w:spacing w:after="0" w:line="240" w:lineRule="auto"/>
        <w:jc w:val="both"/>
        <w:rPr>
          <w:rFonts w:ascii="Arial Narrow" w:hAnsi="Arial Narrow" w:cs="Avenir Next LT Pro"/>
          <w:color w:val="000000" w:themeColor="text1"/>
        </w:rPr>
      </w:pPr>
    </w:p>
    <w:p w14:paraId="1D55F827" w14:textId="4E6F9A8A" w:rsidR="00AD1C0A" w:rsidRPr="00EA618D" w:rsidRDefault="00FF5300" w:rsidP="00496876">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En el ciclo escolar 2021</w:t>
      </w:r>
      <w:r w:rsidR="00AD1C0A"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se inscribieron 249 302 niñas y niños en educación inicial escolarizada, lo que equivale al 1% de todas las niñas y niños inscritos en el sistema educativo desde ese nivel y hasta secundaria. De ese total, 43 812 son niños indígenas. Asimismo, se destaca que la tasa de escolarización para personas de entre 3 y 5 años ha disminuido desde el ciclo 2017-2018 en el que alcanzó 73.3%, mientras que en el diverso 2020-2021 registró una tasa de 71.4%.</w:t>
      </w:r>
      <w:r w:rsidR="00AD1C0A" w:rsidRPr="00EA618D">
        <w:rPr>
          <w:rStyle w:val="FootnoteReference"/>
          <w:rFonts w:ascii="Arial Narrow" w:hAnsi="Arial Narrow" w:cs="Avenir Next LT Pro"/>
          <w:color w:val="000000" w:themeColor="text1"/>
        </w:rPr>
        <w:footnoteReference w:id="26"/>
      </w:r>
    </w:p>
    <w:p w14:paraId="061DB21C" w14:textId="77777777" w:rsidR="00AD1C0A" w:rsidRPr="00EA618D" w:rsidRDefault="00AD1C0A" w:rsidP="00AD1C0A">
      <w:pPr>
        <w:pStyle w:val="ListParagraph"/>
        <w:rPr>
          <w:rFonts w:ascii="Arial Narrow" w:hAnsi="Arial Narrow" w:cs="Avenir Next LT Pro"/>
          <w:color w:val="000000" w:themeColor="text1"/>
        </w:rPr>
      </w:pPr>
    </w:p>
    <w:p w14:paraId="14CDE4ED" w14:textId="1A749C32" w:rsidR="006474EF" w:rsidRPr="00EA618D" w:rsidRDefault="006474EF" w:rsidP="00496876">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Uno de los desafíos más importantes para continuar la escuela en casa durante l</w:t>
      </w:r>
      <w:r w:rsidR="001E709D" w:rsidRPr="00EA618D">
        <w:rPr>
          <w:rFonts w:ascii="Arial Narrow" w:hAnsi="Arial Narrow" w:cs="Avenir Next LT Pro"/>
          <w:color w:val="000000" w:themeColor="text1"/>
        </w:rPr>
        <w:t xml:space="preserve">a </w:t>
      </w:r>
      <w:r w:rsidRPr="00EA618D">
        <w:rPr>
          <w:rFonts w:ascii="Arial Narrow" w:hAnsi="Arial Narrow" w:cs="Avenir Next LT Pro"/>
          <w:color w:val="000000" w:themeColor="text1"/>
        </w:rPr>
        <w:t>pandemia fue el acceso a dispositivos móviles e internet. La Encuesta Nacional sobre</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Disponibilidad y Uso de Tecnologías de la Información en los Hogares (ENDUTIH) 2019,</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muestra que solo alrededor del 40% de los hogares en México cuentan con una</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computadora.</w:t>
      </w:r>
      <w:r w:rsidR="00AD1C0A" w:rsidRPr="00EA618D">
        <w:rPr>
          <w:rStyle w:val="FootnoteReference"/>
          <w:rFonts w:ascii="Arial Narrow" w:hAnsi="Arial Narrow" w:cs="Avenir Next LT Pro"/>
          <w:color w:val="000000" w:themeColor="text1"/>
        </w:rPr>
        <w:footnoteReference w:id="27"/>
      </w:r>
      <w:r w:rsidRPr="00EA618D">
        <w:rPr>
          <w:rFonts w:ascii="Arial Narrow" w:hAnsi="Arial Narrow" w:cs="Avenir Next LT Pro"/>
          <w:color w:val="000000" w:themeColor="text1"/>
        </w:rPr>
        <w:t xml:space="preserve"> La principal causa es la falta de recursos con 53.3%, seguida de la falta</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 interés en utilizarla con 20.9%, el desconocimiento de su uso 16.5%, el 5.6% porque</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utilizan un smartphone u otro dispositivo, y el restante 2.3% por otras razones.</w:t>
      </w:r>
    </w:p>
    <w:p w14:paraId="3C12E31D" w14:textId="77777777" w:rsidR="0022281A" w:rsidRDefault="0022281A" w:rsidP="0022281A">
      <w:pPr>
        <w:pStyle w:val="ListParagraph"/>
        <w:spacing w:line="240" w:lineRule="auto"/>
        <w:jc w:val="both"/>
        <w:rPr>
          <w:rFonts w:ascii="Arial Narrow" w:hAnsi="Arial Narrow"/>
          <w:color w:val="000000" w:themeColor="text1"/>
        </w:rPr>
      </w:pPr>
    </w:p>
    <w:p w14:paraId="6AB0F574" w14:textId="31E512E7" w:rsidR="00B56351" w:rsidRPr="00EA618D" w:rsidRDefault="0064439A"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color w:val="000000" w:themeColor="text1"/>
        </w:rPr>
        <w:t xml:space="preserve">En el ciclo escolar 2019-2020, para </w:t>
      </w:r>
      <w:r w:rsidR="00AD251B" w:rsidRPr="00EA618D">
        <w:rPr>
          <w:rFonts w:ascii="Arial Narrow" w:hAnsi="Arial Narrow"/>
          <w:color w:val="000000" w:themeColor="text1"/>
        </w:rPr>
        <w:t>la educación media superior se incrementó el uso de la computadora portátil</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 xml:space="preserve">y de escritorio, y disminuye el uso el del celular inteligente; </w:t>
      </w:r>
      <w:r w:rsidR="00253990" w:rsidRPr="00EA618D">
        <w:rPr>
          <w:rFonts w:ascii="Arial Narrow" w:hAnsi="Arial Narrow"/>
          <w:color w:val="000000" w:themeColor="text1"/>
        </w:rPr>
        <w:t xml:space="preserve">el alumnado de educación superior en mayor </w:t>
      </w:r>
      <w:r w:rsidR="000D1A2E" w:rsidRPr="00EA618D">
        <w:rPr>
          <w:rFonts w:ascii="Arial Narrow" w:hAnsi="Arial Narrow"/>
          <w:color w:val="000000" w:themeColor="text1"/>
        </w:rPr>
        <w:t>proporción</w:t>
      </w:r>
      <w:r w:rsidR="00253990" w:rsidRPr="00EA618D">
        <w:rPr>
          <w:rFonts w:ascii="Arial Narrow" w:hAnsi="Arial Narrow"/>
          <w:color w:val="000000" w:themeColor="text1"/>
        </w:rPr>
        <w:t xml:space="preserve"> utilizó</w:t>
      </w:r>
      <w:r w:rsidR="00AD251B" w:rsidRPr="00EA618D">
        <w:rPr>
          <w:rFonts w:ascii="Arial Narrow" w:hAnsi="Arial Narrow"/>
          <w:color w:val="000000" w:themeColor="text1"/>
        </w:rPr>
        <w:t xml:space="preserve"> la computadora portátil y la computadora de escritorio que en conjunto representa</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 xml:space="preserve">el 65.3%, el uso del celular </w:t>
      </w:r>
      <w:r w:rsidR="00AD251B" w:rsidRPr="00EA618D">
        <w:rPr>
          <w:rFonts w:ascii="Arial Narrow" w:hAnsi="Arial Narrow"/>
          <w:color w:val="000000" w:themeColor="text1"/>
        </w:rPr>
        <w:lastRenderedPageBreak/>
        <w:t>inteligente reduce su presencia entre el alumnado de educación superior</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como herramienta principal de uso, con un 33.4 por ciento.</w:t>
      </w:r>
      <w:r w:rsidR="00AD251B" w:rsidRPr="00EA618D">
        <w:rPr>
          <w:rStyle w:val="FootnoteReference"/>
          <w:rFonts w:ascii="Arial Narrow" w:hAnsi="Arial Narrow"/>
          <w:color w:val="000000" w:themeColor="text1"/>
        </w:rPr>
        <w:footnoteReference w:id="28"/>
      </w:r>
    </w:p>
    <w:p w14:paraId="21C5642B" w14:textId="77777777" w:rsidR="00B56351" w:rsidRPr="00EA618D" w:rsidRDefault="00B56351" w:rsidP="00B56351">
      <w:pPr>
        <w:pStyle w:val="ListParagraph"/>
        <w:rPr>
          <w:rFonts w:ascii="Arial Narrow" w:hAnsi="Arial Narrow"/>
        </w:rPr>
      </w:pPr>
    </w:p>
    <w:p w14:paraId="3B0570D4" w14:textId="77777777" w:rsidR="00B56351" w:rsidRPr="00EA618D" w:rsidRDefault="00B56351"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 xml:space="preserve">Al menos </w:t>
      </w:r>
      <w:r w:rsidR="000C74CE" w:rsidRPr="00EA618D">
        <w:rPr>
          <w:rFonts w:ascii="Arial Narrow" w:hAnsi="Arial Narrow"/>
        </w:rPr>
        <w:t>2.2% de la población de 3 a 29 años (738.4 mil personas)</w:t>
      </w:r>
      <w:r w:rsidRPr="00EA618D">
        <w:rPr>
          <w:rFonts w:ascii="Arial Narrow" w:hAnsi="Arial Narrow"/>
        </w:rPr>
        <w:t xml:space="preserve"> </w:t>
      </w:r>
      <w:r w:rsidR="000C74CE" w:rsidRPr="00EA618D">
        <w:rPr>
          <w:rFonts w:ascii="Arial Narrow" w:hAnsi="Arial Narrow"/>
        </w:rPr>
        <w:t>declaró no concluir el grado escolar en el que se encontraba inscrito</w:t>
      </w:r>
      <w:r w:rsidRPr="00EA618D">
        <w:rPr>
          <w:rFonts w:ascii="Arial Narrow" w:hAnsi="Arial Narrow"/>
        </w:rPr>
        <w:t xml:space="preserve"> durante la pandemia</w:t>
      </w:r>
      <w:r w:rsidR="000C74CE" w:rsidRPr="00EA618D">
        <w:rPr>
          <w:rFonts w:ascii="Arial Narrow" w:hAnsi="Arial Narrow"/>
        </w:rPr>
        <w:t>, siendo ligeramente más alto para los hombres (2.4%) que para las mujeres (2.0%). Por nivel educativo, es en el nivel medio superior en el que se identificó el porcentaje más alto de no conclusión del ciclo escolar 2019-2020, con 3.6%, seguido de la secundaria con un 3.2 por ciento.</w:t>
      </w:r>
      <w:r w:rsidR="000C74CE" w:rsidRPr="00EA618D">
        <w:rPr>
          <w:rStyle w:val="FootnoteReference"/>
          <w:rFonts w:ascii="Arial Narrow" w:hAnsi="Arial Narrow"/>
        </w:rPr>
        <w:footnoteReference w:id="29"/>
      </w:r>
    </w:p>
    <w:p w14:paraId="5AC65958" w14:textId="77777777" w:rsidR="00B56351" w:rsidRPr="00EA618D" w:rsidRDefault="00B56351" w:rsidP="00B56351">
      <w:pPr>
        <w:pStyle w:val="ListParagraph"/>
        <w:rPr>
          <w:rFonts w:ascii="Arial Narrow" w:hAnsi="Arial Narrow"/>
        </w:rPr>
      </w:pPr>
    </w:p>
    <w:p w14:paraId="3A8DCED8" w14:textId="261C9EEF" w:rsidR="00B56351" w:rsidRPr="00EA618D" w:rsidRDefault="00B56351"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 xml:space="preserve">El </w:t>
      </w:r>
      <w:r w:rsidR="000354E4" w:rsidRPr="00EA618D">
        <w:rPr>
          <w:rFonts w:ascii="Arial Narrow" w:hAnsi="Arial Narrow"/>
        </w:rPr>
        <w:t>35.9% no concluyó el nivel medio superior por algún motivo relacionado con el COVID-19</w:t>
      </w:r>
      <w:r w:rsidRPr="00EA618D">
        <w:rPr>
          <w:rFonts w:ascii="Arial Narrow" w:hAnsi="Arial Narrow"/>
        </w:rPr>
        <w:t>.</w:t>
      </w:r>
    </w:p>
    <w:p w14:paraId="6D450371" w14:textId="77777777" w:rsidR="00B56351" w:rsidRPr="00EA618D" w:rsidRDefault="00B56351" w:rsidP="00B56351">
      <w:pPr>
        <w:pStyle w:val="ListParagraph"/>
        <w:rPr>
          <w:rFonts w:ascii="Arial Narrow" w:hAnsi="Arial Narrow"/>
        </w:rPr>
      </w:pPr>
    </w:p>
    <w:p w14:paraId="00B01793" w14:textId="21D617BD" w:rsidR="00DD0480" w:rsidRPr="00EA618D" w:rsidRDefault="008D31D5"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5.2 millones 3 a 29 años de edad</w:t>
      </w:r>
      <w:r w:rsidR="00DD0480" w:rsidRPr="00EA618D">
        <w:rPr>
          <w:rFonts w:ascii="Arial Narrow" w:hAnsi="Arial Narrow"/>
        </w:rPr>
        <w:t xml:space="preserve"> </w:t>
      </w:r>
      <w:r w:rsidRPr="00EA618D">
        <w:rPr>
          <w:rFonts w:ascii="Arial Narrow" w:hAnsi="Arial Narrow"/>
        </w:rPr>
        <w:t>no están inscritos en el ciclo 2020-2021 por COVID-19 o por motivos económicos, de estos 3 millones corresponden al nivel de educación básica (preescolar, primaria y secundaria); siendo 1.3 millones por motivos de COVID-19 y 1.6 millones por motivos de falta de recursos económicos.</w:t>
      </w:r>
      <w:r w:rsidRPr="00EA618D">
        <w:rPr>
          <w:rStyle w:val="FootnoteReference"/>
          <w:rFonts w:ascii="Arial Narrow" w:hAnsi="Arial Narrow"/>
        </w:rPr>
        <w:footnoteReference w:id="30"/>
      </w:r>
    </w:p>
    <w:p w14:paraId="1FCDAD01" w14:textId="15B8C0E1" w:rsidR="00EA618D" w:rsidRPr="00EA618D" w:rsidRDefault="00BF64B9" w:rsidP="00BF64B9">
      <w:pPr>
        <w:spacing w:line="240" w:lineRule="auto"/>
        <w:jc w:val="both"/>
        <w:rPr>
          <w:rFonts w:ascii="Arial Narrow" w:hAnsi="Arial Narrow"/>
          <w:color w:val="000000" w:themeColor="text1"/>
        </w:rPr>
      </w:pPr>
      <w:r w:rsidRPr="00EA618D">
        <w:rPr>
          <w:rFonts w:ascii="Arial Narrow" w:hAnsi="Arial Narrow"/>
          <w:color w:val="000000" w:themeColor="text1"/>
        </w:rPr>
        <w:t xml:space="preserve">Como anexo al presente cuestionario, se comparte un archivo en formato Excel con </w:t>
      </w:r>
      <w:r w:rsidR="00EA618D">
        <w:rPr>
          <w:rFonts w:ascii="Arial Narrow" w:hAnsi="Arial Narrow"/>
          <w:color w:val="000000" w:themeColor="text1"/>
        </w:rPr>
        <w:t>15</w:t>
      </w:r>
      <w:r w:rsidRPr="00EA618D">
        <w:rPr>
          <w:rFonts w:ascii="Arial Narrow" w:hAnsi="Arial Narrow"/>
          <w:color w:val="000000" w:themeColor="text1"/>
        </w:rPr>
        <w:t xml:space="preserve"> indicadores relacionados con el impacto de la pandemia en el derecho a la educación de las personas menores de edad, las cuales en su mayoría permiten la desagregación por sexo, obtenidas con la colaboración del </w:t>
      </w:r>
      <w:r w:rsidR="00EA618D" w:rsidRPr="00EA618D">
        <w:rPr>
          <w:rFonts w:ascii="Arial Narrow" w:hAnsi="Arial Narrow"/>
          <w:color w:val="000000" w:themeColor="text1"/>
        </w:rPr>
        <w:t>Centro de Información y Análisis Geoespacial de esta CNDH. Los indicadores son:</w:t>
      </w:r>
    </w:p>
    <w:p w14:paraId="4DCE323C" w14:textId="06E873C4"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eastAsia="Times New Roman" w:hAnsi="Arial Narrow" w:cs="Calibri"/>
          <w:lang w:eastAsia="es-MX"/>
        </w:rPr>
        <w:t xml:space="preserve">Porcentaje de la población de 5 a 17 años que saben leer y escribir un recado, por sexo y entidad federativa, 2020. </w:t>
      </w:r>
    </w:p>
    <w:p w14:paraId="4BFEBEBF" w14:textId="773C91D5" w:rsidR="00EA618D" w:rsidRPr="00EA618D" w:rsidRDefault="00EA618D" w:rsidP="00736E55">
      <w:pPr>
        <w:pStyle w:val="ListParagraph"/>
        <w:numPr>
          <w:ilvl w:val="0"/>
          <w:numId w:val="2"/>
        </w:numPr>
        <w:spacing w:after="0" w:line="240" w:lineRule="auto"/>
        <w:jc w:val="both"/>
        <w:rPr>
          <w:rFonts w:ascii="Arial Narrow" w:hAnsi="Arial Narrow"/>
          <w:color w:val="000000" w:themeColor="text1"/>
        </w:rPr>
      </w:pPr>
      <w:r w:rsidRPr="00EA618D">
        <w:rPr>
          <w:rFonts w:ascii="Arial Narrow" w:eastAsia="Times New Roman" w:hAnsi="Arial Narrow" w:cs="Calibri"/>
          <w:lang w:eastAsia="es-MX"/>
        </w:rPr>
        <w:t>Número de personas de 3 a 14 años que asiste a nivel preescolar en México, por sexo, 2020.</w:t>
      </w:r>
    </w:p>
    <w:p w14:paraId="78881C92" w14:textId="6031299F"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personas en educación inicial y preescolar escolarizada en México, por sexo y tipo de escuela, ciclo escolar 2020-2021.</w:t>
      </w:r>
    </w:p>
    <w:p w14:paraId="340039BB"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guarderías por entidad federativa, 2021</w:t>
      </w:r>
    </w:p>
    <w:p w14:paraId="07B3948D" w14:textId="69B38972"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Estimación del número de niñas, niños y adolescentes en México, entre los 6 y los 17 años, usuarios de internet, por grupo de edad, 2020</w:t>
      </w:r>
      <w:r>
        <w:rPr>
          <w:rFonts w:ascii="Arial Narrow" w:hAnsi="Arial Narrow"/>
          <w:color w:val="000000" w:themeColor="text1"/>
        </w:rPr>
        <w:t>.</w:t>
      </w:r>
    </w:p>
    <w:p w14:paraId="0F56A1FE" w14:textId="27ACB800"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víctimas de feminicidio, de 0 a 17 años de edad, por entidad federativa y año de incurrencia del delito. Serie anual de 2015 a 2021</w:t>
      </w:r>
      <w:r>
        <w:rPr>
          <w:rFonts w:ascii="Arial Narrow" w:hAnsi="Arial Narrow"/>
          <w:color w:val="000000" w:themeColor="text1"/>
        </w:rPr>
        <w:t>.</w:t>
      </w:r>
    </w:p>
    <w:p w14:paraId="09914CAB" w14:textId="281BACD2"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víctimas de 0 a 17 años de edad, por el subdelito "otros delitos que atentan contra la vida y la integridad corporal", por entidad federativa y año de incurrencia del delito</w:t>
      </w:r>
      <w:r>
        <w:rPr>
          <w:rFonts w:ascii="Arial Narrow" w:hAnsi="Arial Narrow"/>
          <w:color w:val="000000" w:themeColor="text1"/>
        </w:rPr>
        <w:t>.</w:t>
      </w:r>
    </w:p>
    <w:p w14:paraId="2636E2DC" w14:textId="48C1BF7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Horas a la semana que niñas y niños de 5 a 11 años dedican al trabajo no remunerado en el hogar por tipo de función y sexo según lugar de residencia</w:t>
      </w:r>
      <w:r>
        <w:rPr>
          <w:rFonts w:ascii="Arial Narrow" w:hAnsi="Arial Narrow"/>
          <w:color w:val="000000" w:themeColor="text1"/>
        </w:rPr>
        <w:t>.</w:t>
      </w:r>
    </w:p>
    <w:p w14:paraId="22A9E83E" w14:textId="657CDB3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Horas per cápita a la semana de niñas y niños de 5 a 11 años de edad, dedicadas al trabajo no remunerado en el hogar por tipo de función y sexo según lugar de residencia</w:t>
      </w:r>
      <w:r>
        <w:rPr>
          <w:rFonts w:ascii="Arial Narrow" w:hAnsi="Arial Narrow"/>
          <w:color w:val="000000" w:themeColor="text1"/>
        </w:rPr>
        <w:t>.</w:t>
      </w:r>
    </w:p>
    <w:p w14:paraId="6B3F4F96" w14:textId="15C5A28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menores entre los 5 y 11 años de edad, que dedicaron tiempo a la realización de trabajo no remunerado del hogar, según tipo de función, sexo y lugar de residencia. Serie anual de 2003 a 2020</w:t>
      </w:r>
      <w:r>
        <w:rPr>
          <w:rFonts w:ascii="Arial Narrow" w:hAnsi="Arial Narrow"/>
          <w:color w:val="000000" w:themeColor="text1"/>
        </w:rPr>
        <w:t>.</w:t>
      </w:r>
    </w:p>
    <w:p w14:paraId="76DD2F1D"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Población de 12 a 19 años que realiza actividades productivas* y promedio de horas semanales, por sexo, tipo de trabajo, grupo y tipo de actividad según grupos de edad. Excluye los cuidados pasivos.</w:t>
      </w:r>
    </w:p>
    <w:p w14:paraId="1E657508" w14:textId="59F7FA5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nacimientos registrados en madres entre los 10 y 19 años de edad, por año de ocurrencia y edad de la madre al momento del nacimiento</w:t>
      </w:r>
      <w:r>
        <w:rPr>
          <w:rFonts w:ascii="Arial Narrow" w:hAnsi="Arial Narrow"/>
          <w:color w:val="000000" w:themeColor="text1"/>
        </w:rPr>
        <w:t>.</w:t>
      </w:r>
    </w:p>
    <w:p w14:paraId="3547735F"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Tasa y razón de fecundidad en mujeres de 10 a 14 años de edad en México, por grupo de edad de la madre al momento del nacimiento y tamaño de la localidad de residencia (urbano o rural) de ésta. Serie anual 2015-2020</w:t>
      </w:r>
    </w:p>
    <w:p w14:paraId="1121D796" w14:textId="194ACBE5"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Porcentaje de mujeres de 15 a 17 años, en educación postsecundaria en México, por entidad federativa, 2020</w:t>
      </w:r>
      <w:r>
        <w:rPr>
          <w:rFonts w:ascii="Arial Narrow" w:hAnsi="Arial Narrow"/>
          <w:color w:val="000000" w:themeColor="text1"/>
        </w:rPr>
        <w:t>.</w:t>
      </w:r>
    </w:p>
    <w:p w14:paraId="59169406" w14:textId="5A584153"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Tasa de trabajo infantil (de 5 a 17 años) en México, por sexo y entidad federativa, 2019</w:t>
      </w:r>
    </w:p>
    <w:p w14:paraId="0FCB4881" w14:textId="77777777" w:rsidR="00EA618D" w:rsidRPr="00EA618D" w:rsidRDefault="00EA618D" w:rsidP="00EA618D">
      <w:pPr>
        <w:spacing w:line="240" w:lineRule="auto"/>
        <w:jc w:val="both"/>
        <w:rPr>
          <w:rFonts w:ascii="Arial Narrow" w:hAnsi="Arial Narrow"/>
          <w:color w:val="000000" w:themeColor="text1"/>
        </w:rPr>
      </w:pPr>
    </w:p>
    <w:p w14:paraId="79389783" w14:textId="4A90A915" w:rsidR="00D560A5" w:rsidRPr="00EA618D" w:rsidRDefault="00D560A5" w:rsidP="00AD251B">
      <w:pPr>
        <w:jc w:val="both"/>
        <w:rPr>
          <w:rFonts w:ascii="Arial Narrow" w:hAnsi="Arial Narrow"/>
          <w:color w:val="000000" w:themeColor="text1"/>
        </w:rPr>
      </w:pPr>
    </w:p>
    <w:sectPr w:rsidR="00D560A5" w:rsidRPr="00EA618D" w:rsidSect="00FD45DE">
      <w:headerReference w:type="default" r:id="rId11"/>
      <w:footerReference w:type="default" r:id="rId12"/>
      <w:pgSz w:w="12240" w:h="15840"/>
      <w:pgMar w:top="1417"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49A6" w14:textId="77777777" w:rsidR="0037096D" w:rsidRDefault="0037096D" w:rsidP="006130B2">
      <w:pPr>
        <w:spacing w:after="0" w:line="240" w:lineRule="auto"/>
      </w:pPr>
      <w:r>
        <w:separator/>
      </w:r>
    </w:p>
  </w:endnote>
  <w:endnote w:type="continuationSeparator" w:id="0">
    <w:p w14:paraId="70AC9C9F" w14:textId="77777777" w:rsidR="0037096D" w:rsidRDefault="0037096D" w:rsidP="0061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auto"/>
    <w:notTrueType/>
    <w:pitch w:val="default"/>
    <w:sig w:usb0="00000003" w:usb1="00000000" w:usb2="00000000" w:usb3="00000000" w:csb0="00000001" w:csb1="00000000"/>
  </w:font>
  <w:font w:name="Avenir Next LT Pro,Bold">
    <w:altName w:val="Avenir Next LT Pro"/>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112715"/>
      <w:docPartObj>
        <w:docPartGallery w:val="Page Numbers (Bottom of Page)"/>
        <w:docPartUnique/>
      </w:docPartObj>
    </w:sdtPr>
    <w:sdtEndPr/>
    <w:sdtContent>
      <w:p w14:paraId="34E44304" w14:textId="201313BF" w:rsidR="00E369E9" w:rsidRDefault="00E369E9">
        <w:pPr>
          <w:pStyle w:val="Footer"/>
          <w:jc w:val="center"/>
        </w:pPr>
        <w:r>
          <w:fldChar w:fldCharType="begin"/>
        </w:r>
        <w:r>
          <w:instrText>PAGE   \* MERGEFORMAT</w:instrText>
        </w:r>
        <w:r>
          <w:fldChar w:fldCharType="separate"/>
        </w:r>
        <w:r w:rsidR="00C26E12" w:rsidRPr="00C26E12">
          <w:rPr>
            <w:noProof/>
            <w:lang w:val="es-ES"/>
          </w:rPr>
          <w:t>1</w:t>
        </w:r>
        <w:r>
          <w:fldChar w:fldCharType="end"/>
        </w:r>
      </w:p>
    </w:sdtContent>
  </w:sdt>
  <w:p w14:paraId="229B250C" w14:textId="77777777" w:rsidR="00E369E9" w:rsidRDefault="00E3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D81C8" w14:textId="77777777" w:rsidR="0037096D" w:rsidRDefault="0037096D" w:rsidP="006130B2">
      <w:pPr>
        <w:spacing w:after="0" w:line="240" w:lineRule="auto"/>
      </w:pPr>
      <w:r>
        <w:separator/>
      </w:r>
    </w:p>
  </w:footnote>
  <w:footnote w:type="continuationSeparator" w:id="0">
    <w:p w14:paraId="750368B9" w14:textId="77777777" w:rsidR="0037096D" w:rsidRDefault="0037096D" w:rsidP="006130B2">
      <w:pPr>
        <w:spacing w:after="0" w:line="240" w:lineRule="auto"/>
      </w:pPr>
      <w:r>
        <w:continuationSeparator/>
      </w:r>
    </w:p>
  </w:footnote>
  <w:footnote w:id="1">
    <w:p w14:paraId="1845B1AD"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Population Council, IMJUVE, SALUD, CNEGSR, UNFPA, Estudio </w:t>
      </w:r>
      <w:r w:rsidRPr="0022281A">
        <w:rPr>
          <w:rFonts w:ascii="Arial Narrow" w:hAnsi="Arial Narrow" w:cs="Arial"/>
          <w:i/>
          <w:iCs/>
          <w:sz w:val="18"/>
          <w:szCs w:val="18"/>
        </w:rPr>
        <w:t xml:space="preserve">“VoCeS-19: Juventudes transformando el país”, </w:t>
      </w:r>
      <w:r w:rsidRPr="0022281A">
        <w:rPr>
          <w:rFonts w:ascii="Arial Narrow" w:hAnsi="Arial Narrow" w:cs="Arial"/>
          <w:sz w:val="18"/>
          <w:szCs w:val="18"/>
        </w:rPr>
        <w:t xml:space="preserve">visualización de datos disponible en </w:t>
      </w:r>
      <w:hyperlink r:id="rId1" w:history="1">
        <w:r w:rsidRPr="0022281A">
          <w:rPr>
            <w:rStyle w:val="Hyperlink"/>
            <w:rFonts w:ascii="Arial Narrow" w:hAnsi="Arial Narrow" w:cs="Arial"/>
            <w:sz w:val="18"/>
            <w:szCs w:val="18"/>
          </w:rPr>
          <w:t>https://bit.ly/3tKDHnm</w:t>
        </w:r>
      </w:hyperlink>
      <w:r w:rsidRPr="0022281A">
        <w:rPr>
          <w:rFonts w:ascii="Arial Narrow" w:hAnsi="Arial Narrow" w:cs="Arial"/>
          <w:sz w:val="18"/>
          <w:szCs w:val="18"/>
        </w:rPr>
        <w:t xml:space="preserve"> </w:t>
      </w:r>
    </w:p>
  </w:footnote>
  <w:footnote w:id="2">
    <w:p w14:paraId="49035A3F" w14:textId="137DB930" w:rsidR="00D14B60" w:rsidRPr="0022281A" w:rsidRDefault="00D14B6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7777D2" w:rsidRPr="0022281A">
        <w:rPr>
          <w:rFonts w:ascii="Arial Narrow" w:hAnsi="Arial Narrow"/>
          <w:sz w:val="18"/>
          <w:szCs w:val="18"/>
        </w:rPr>
        <w:t xml:space="preserve">Ídem. </w:t>
      </w:r>
    </w:p>
  </w:footnote>
  <w:footnote w:id="3">
    <w:p w14:paraId="2C0AA25F" w14:textId="59362C45" w:rsidR="008D5DD3" w:rsidRPr="0022281A" w:rsidRDefault="008D5DD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7777D2" w:rsidRPr="0022281A">
        <w:rPr>
          <w:rFonts w:ascii="Arial Narrow" w:hAnsi="Arial Narrow"/>
          <w:sz w:val="18"/>
          <w:szCs w:val="18"/>
        </w:rPr>
        <w:t>I</w:t>
      </w:r>
      <w:r w:rsidRPr="0022281A">
        <w:rPr>
          <w:rFonts w:ascii="Arial Narrow" w:hAnsi="Arial Narrow"/>
          <w:sz w:val="18"/>
          <w:szCs w:val="18"/>
        </w:rPr>
        <w:t xml:space="preserve">NEGI (2020). Comunicado de Prensa. En México hay 80.6 millones de usuarios a internet y 86.5 millones de usuarios de teléfonos celulares: ENDUTIH 2019, disponible en </w:t>
      </w:r>
      <w:hyperlink r:id="rId2" w:history="1">
        <w:r w:rsidRPr="0022281A">
          <w:rPr>
            <w:rStyle w:val="Hyperlink"/>
            <w:rFonts w:ascii="Arial Narrow" w:hAnsi="Arial Narrow"/>
            <w:sz w:val="18"/>
            <w:szCs w:val="18"/>
          </w:rPr>
          <w:t>https://bit.ly/3KO326a</w:t>
        </w:r>
      </w:hyperlink>
      <w:r w:rsidRPr="0022281A">
        <w:rPr>
          <w:rFonts w:ascii="Arial Narrow" w:hAnsi="Arial Narrow"/>
          <w:sz w:val="18"/>
          <w:szCs w:val="18"/>
        </w:rPr>
        <w:t xml:space="preserve"> </w:t>
      </w:r>
    </w:p>
  </w:footnote>
  <w:footnote w:id="4">
    <w:p w14:paraId="3C942436" w14:textId="1A36933F" w:rsidR="00A65E85" w:rsidRPr="0022281A" w:rsidRDefault="00A65E85"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Save the Children México, </w:t>
      </w:r>
      <w:r w:rsidRPr="0022281A">
        <w:rPr>
          <w:rFonts w:ascii="Arial Narrow" w:hAnsi="Arial Narrow"/>
          <w:i/>
          <w:iCs/>
          <w:sz w:val="18"/>
          <w:szCs w:val="18"/>
        </w:rPr>
        <w:t>Los retos de la Educación Inicial ante el COVID-19,</w:t>
      </w:r>
      <w:r w:rsidR="008D5DD3" w:rsidRPr="0022281A">
        <w:rPr>
          <w:rFonts w:ascii="Arial Narrow" w:hAnsi="Arial Narrow"/>
          <w:i/>
          <w:iCs/>
          <w:sz w:val="18"/>
          <w:szCs w:val="18"/>
        </w:rPr>
        <w:t xml:space="preserve"> </w:t>
      </w:r>
      <w:r w:rsidR="008D5DD3" w:rsidRPr="0022281A">
        <w:rPr>
          <w:rFonts w:ascii="Arial Narrow" w:hAnsi="Arial Narrow"/>
          <w:sz w:val="18"/>
          <w:szCs w:val="18"/>
        </w:rPr>
        <w:t>disponible en</w:t>
      </w:r>
      <w:r w:rsidRPr="0022281A">
        <w:rPr>
          <w:rFonts w:ascii="Arial Narrow" w:hAnsi="Arial Narrow"/>
          <w:i/>
          <w:iCs/>
          <w:sz w:val="18"/>
          <w:szCs w:val="18"/>
        </w:rPr>
        <w:t xml:space="preserve"> </w:t>
      </w:r>
      <w:hyperlink r:id="rId3" w:history="1">
        <w:r w:rsidR="00F91F73" w:rsidRPr="0022281A">
          <w:rPr>
            <w:rStyle w:val="Hyperlink"/>
            <w:rFonts w:ascii="Arial Narrow" w:hAnsi="Arial Narrow"/>
            <w:sz w:val="18"/>
            <w:szCs w:val="18"/>
          </w:rPr>
          <w:t>https://bit.ly/3H8jwUh</w:t>
        </w:r>
      </w:hyperlink>
      <w:r w:rsidR="00F91F73" w:rsidRPr="0022281A">
        <w:rPr>
          <w:rFonts w:ascii="Arial Narrow" w:hAnsi="Arial Narrow"/>
          <w:sz w:val="18"/>
          <w:szCs w:val="18"/>
        </w:rPr>
        <w:t xml:space="preserve"> </w:t>
      </w:r>
    </w:p>
  </w:footnote>
  <w:footnote w:id="5">
    <w:p w14:paraId="06D791E8" w14:textId="77BB696F" w:rsidR="006130B2" w:rsidRPr="0022281A" w:rsidRDefault="006130B2"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 xml:space="preserve">UNICEF, Nota técnica, </w:t>
      </w:r>
      <w:r w:rsidRPr="0022281A">
        <w:rPr>
          <w:rFonts w:ascii="Arial Narrow" w:hAnsi="Arial Narrow" w:cs="Avenir Next LT Pro"/>
          <w:i/>
          <w:iCs/>
          <w:color w:val="000000"/>
          <w:sz w:val="18"/>
          <w:szCs w:val="18"/>
        </w:rPr>
        <w:t>La reapertura y continuidad de los servicios de cuidado infantil y aprendizaje</w:t>
      </w:r>
      <w:r w:rsidR="00E64411" w:rsidRPr="0022281A">
        <w:rPr>
          <w:rFonts w:ascii="Arial Narrow" w:hAnsi="Arial Narrow" w:cs="Avenir Next LT Pro"/>
          <w:i/>
          <w:iCs/>
          <w:color w:val="000000"/>
          <w:sz w:val="18"/>
          <w:szCs w:val="18"/>
        </w:rPr>
        <w:t xml:space="preserve"> </w:t>
      </w:r>
      <w:r w:rsidRPr="0022281A">
        <w:rPr>
          <w:rFonts w:ascii="Arial Narrow" w:hAnsi="Arial Narrow" w:cs="Avenir Next LT Pro"/>
          <w:i/>
          <w:iCs/>
          <w:color w:val="000000"/>
          <w:sz w:val="18"/>
          <w:szCs w:val="18"/>
        </w:rPr>
        <w:t>temprano son una prioridad en la región</w:t>
      </w:r>
      <w:r w:rsidRPr="0022281A">
        <w:rPr>
          <w:rFonts w:ascii="Arial Narrow" w:hAnsi="Arial Narrow" w:cs="Avenir Next LT Pro"/>
          <w:color w:val="000000"/>
          <w:sz w:val="18"/>
          <w:szCs w:val="18"/>
        </w:rPr>
        <w:t xml:space="preserve">, abril 2021, disponible en </w:t>
      </w:r>
      <w:hyperlink r:id="rId4" w:history="1">
        <w:r w:rsidRPr="0022281A">
          <w:rPr>
            <w:rStyle w:val="Hyperlink"/>
            <w:rFonts w:ascii="Arial Narrow" w:hAnsi="Arial Narrow" w:cs="Avenir Next LT Pro"/>
            <w:sz w:val="18"/>
            <w:szCs w:val="18"/>
          </w:rPr>
          <w:t>https://uni.cf/3GhdYq4</w:t>
        </w:r>
      </w:hyperlink>
      <w:r w:rsidRPr="0022281A">
        <w:rPr>
          <w:rFonts w:ascii="Arial Narrow" w:hAnsi="Arial Narrow" w:cs="Avenir Next LT Pro"/>
          <w:color w:val="000000"/>
          <w:sz w:val="18"/>
          <w:szCs w:val="18"/>
        </w:rPr>
        <w:t xml:space="preserve"> </w:t>
      </w:r>
    </w:p>
  </w:footnote>
  <w:footnote w:id="6">
    <w:p w14:paraId="6E3B19A1" w14:textId="01AA967E" w:rsidR="00FF5300" w:rsidRPr="0022281A" w:rsidRDefault="00FF5300"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39223F" w:rsidRPr="0022281A">
        <w:rPr>
          <w:rFonts w:ascii="Arial Narrow" w:hAnsi="Arial Narrow" w:cs="Montserrat-Regular"/>
          <w:sz w:val="18"/>
          <w:szCs w:val="18"/>
        </w:rPr>
        <w:t xml:space="preserve">UNESCO, Interrupción y respuesta educativa frente al COVID-19, disponible en </w:t>
      </w:r>
      <w:hyperlink r:id="rId5" w:history="1">
        <w:r w:rsidR="0039223F" w:rsidRPr="0022281A">
          <w:rPr>
            <w:rStyle w:val="Hyperlink"/>
            <w:rFonts w:ascii="Arial Narrow" w:hAnsi="Arial Narrow" w:cs="Montserrat-Regular"/>
            <w:sz w:val="18"/>
            <w:szCs w:val="18"/>
          </w:rPr>
          <w:t>https://bit.ly/3g5bPlW</w:t>
        </w:r>
      </w:hyperlink>
      <w:r w:rsidR="0039223F" w:rsidRPr="0022281A">
        <w:rPr>
          <w:rFonts w:ascii="Arial Narrow" w:hAnsi="Arial Narrow" w:cs="Montserrat-Regular"/>
          <w:sz w:val="18"/>
          <w:szCs w:val="18"/>
        </w:rPr>
        <w:t xml:space="preserve"> </w:t>
      </w:r>
    </w:p>
  </w:footnote>
  <w:footnote w:id="7">
    <w:p w14:paraId="6FDC0224" w14:textId="759D5508" w:rsidR="0039223F" w:rsidRPr="0022281A" w:rsidRDefault="0039223F"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REDIM, </w:t>
      </w:r>
      <w:r w:rsidRPr="0022281A">
        <w:rPr>
          <w:rFonts w:ascii="Arial Narrow" w:hAnsi="Arial Narrow"/>
          <w:i/>
          <w:iCs/>
          <w:sz w:val="18"/>
          <w:szCs w:val="18"/>
        </w:rPr>
        <w:t xml:space="preserve">Balance Anual 2021, Discriminación y violencia contra la niñez durante la sindemia, </w:t>
      </w:r>
      <w:r w:rsidRPr="0022281A">
        <w:rPr>
          <w:rFonts w:ascii="Arial Narrow" w:hAnsi="Arial Narrow"/>
          <w:sz w:val="18"/>
          <w:szCs w:val="18"/>
        </w:rPr>
        <w:t xml:space="preserve">México, 2022, disponible en </w:t>
      </w:r>
      <w:hyperlink r:id="rId6" w:history="1">
        <w:r w:rsidRPr="0022281A">
          <w:rPr>
            <w:rStyle w:val="Hyperlink"/>
            <w:rFonts w:ascii="Arial Narrow" w:hAnsi="Arial Narrow"/>
            <w:sz w:val="18"/>
            <w:szCs w:val="18"/>
          </w:rPr>
          <w:t>https://bit.ly/34dKUls</w:t>
        </w:r>
      </w:hyperlink>
      <w:r w:rsidRPr="0022281A">
        <w:rPr>
          <w:rFonts w:ascii="Arial Narrow" w:hAnsi="Arial Narrow"/>
          <w:sz w:val="18"/>
          <w:szCs w:val="18"/>
        </w:rPr>
        <w:t xml:space="preserve"> </w:t>
      </w:r>
    </w:p>
  </w:footnote>
  <w:footnote w:id="8">
    <w:p w14:paraId="6E56567E" w14:textId="6CCBC60A" w:rsidR="00A54952" w:rsidRPr="0022281A" w:rsidRDefault="00A54952"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A7E3D" w:rsidRPr="0022281A">
        <w:rPr>
          <w:rFonts w:ascii="Arial Narrow" w:hAnsi="Arial Narrow"/>
          <w:sz w:val="18"/>
          <w:szCs w:val="18"/>
        </w:rPr>
        <w:t xml:space="preserve">Save the Children México, </w:t>
      </w:r>
      <w:r w:rsidR="006A7E3D" w:rsidRPr="0022281A">
        <w:rPr>
          <w:rFonts w:ascii="Arial Narrow" w:hAnsi="Arial Narrow"/>
          <w:i/>
          <w:iCs/>
          <w:sz w:val="18"/>
          <w:szCs w:val="18"/>
        </w:rPr>
        <w:t xml:space="preserve">Niñas, niños y adolescente, más vulnerables que nunca un año de la pandemia por COVID-19, </w:t>
      </w:r>
      <w:r w:rsidR="006A7E3D" w:rsidRPr="0022281A">
        <w:rPr>
          <w:rFonts w:ascii="Arial Narrow" w:hAnsi="Arial Narrow"/>
          <w:sz w:val="18"/>
          <w:szCs w:val="18"/>
        </w:rPr>
        <w:t xml:space="preserve">disponible en </w:t>
      </w:r>
      <w:hyperlink r:id="rId7" w:history="1">
        <w:r w:rsidR="006A7E3D" w:rsidRPr="0022281A">
          <w:rPr>
            <w:rStyle w:val="Hyperlink"/>
            <w:rFonts w:ascii="Arial Narrow" w:hAnsi="Arial Narrow"/>
            <w:sz w:val="18"/>
            <w:szCs w:val="18"/>
          </w:rPr>
          <w:t>https://bit.ly/3IHjTWd</w:t>
        </w:r>
      </w:hyperlink>
      <w:r w:rsidR="006A7E3D" w:rsidRPr="0022281A">
        <w:rPr>
          <w:rFonts w:ascii="Arial Narrow" w:hAnsi="Arial Narrow"/>
          <w:sz w:val="18"/>
          <w:szCs w:val="18"/>
        </w:rPr>
        <w:t xml:space="preserve"> </w:t>
      </w:r>
    </w:p>
  </w:footnote>
  <w:footnote w:id="9">
    <w:p w14:paraId="09F29C50" w14:textId="03A88887" w:rsidR="00A54952" w:rsidRPr="0022281A" w:rsidRDefault="00A54952"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A7E3D" w:rsidRPr="0022281A">
        <w:rPr>
          <w:rFonts w:ascii="Arial Narrow" w:hAnsi="Arial Narrow"/>
          <w:sz w:val="18"/>
          <w:szCs w:val="18"/>
        </w:rPr>
        <w:t>Ídem.</w:t>
      </w:r>
    </w:p>
  </w:footnote>
  <w:footnote w:id="10">
    <w:p w14:paraId="21795E69" w14:textId="0DD5DE0C" w:rsidR="00891178" w:rsidRPr="0022281A" w:rsidRDefault="00891178"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70764" w:rsidRPr="0022281A">
        <w:rPr>
          <w:rFonts w:ascii="Arial Narrow" w:hAnsi="Arial Narrow"/>
          <w:sz w:val="18"/>
          <w:szCs w:val="18"/>
        </w:rPr>
        <w:t xml:space="preserve">UNICEF, </w:t>
      </w:r>
      <w:r w:rsidR="00670764" w:rsidRPr="0022281A">
        <w:rPr>
          <w:rFonts w:ascii="Arial Narrow" w:hAnsi="Arial Narrow"/>
          <w:i/>
          <w:iCs/>
          <w:sz w:val="18"/>
          <w:szCs w:val="18"/>
        </w:rPr>
        <w:t xml:space="preserve">Educación en pausa, </w:t>
      </w:r>
      <w:r w:rsidR="00670764" w:rsidRPr="0022281A">
        <w:rPr>
          <w:rFonts w:ascii="Arial Narrow" w:hAnsi="Arial Narrow"/>
          <w:sz w:val="18"/>
          <w:szCs w:val="18"/>
        </w:rPr>
        <w:t xml:space="preserve">2020, disponible en </w:t>
      </w:r>
      <w:hyperlink r:id="rId8" w:history="1">
        <w:r w:rsidR="00670764" w:rsidRPr="0022281A">
          <w:rPr>
            <w:rStyle w:val="Hyperlink"/>
            <w:rFonts w:ascii="Arial Narrow" w:hAnsi="Arial Narrow"/>
            <w:sz w:val="18"/>
            <w:szCs w:val="18"/>
          </w:rPr>
          <w:t>https://uni.cf/3r35fmm</w:t>
        </w:r>
      </w:hyperlink>
      <w:r w:rsidR="00670764" w:rsidRPr="0022281A">
        <w:rPr>
          <w:rFonts w:ascii="Arial Narrow" w:hAnsi="Arial Narrow"/>
          <w:sz w:val="18"/>
          <w:szCs w:val="18"/>
        </w:rPr>
        <w:t xml:space="preserve"> </w:t>
      </w:r>
    </w:p>
  </w:footnote>
  <w:footnote w:id="11">
    <w:p w14:paraId="12D516E6" w14:textId="2F12F56E" w:rsidR="000354E4" w:rsidRPr="0022281A" w:rsidRDefault="000354E4"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INEGI, Encuesta para la Medición del Impacto COVID-19 en la Educación (ECOVID-ED) 2020 NOTA TÉCNICA, Segunda Edición, </w:t>
      </w:r>
      <w:hyperlink r:id="rId9" w:history="1">
        <w:r w:rsidRPr="0022281A">
          <w:rPr>
            <w:rStyle w:val="Hyperlink"/>
            <w:rFonts w:ascii="Arial Narrow" w:hAnsi="Arial Narrow"/>
            <w:sz w:val="18"/>
            <w:szCs w:val="18"/>
          </w:rPr>
          <w:t>https://bit.ly/3HBLoAp</w:t>
        </w:r>
      </w:hyperlink>
      <w:r w:rsidRPr="0022281A">
        <w:rPr>
          <w:rFonts w:ascii="Arial Narrow" w:hAnsi="Arial Narrow"/>
          <w:sz w:val="18"/>
          <w:szCs w:val="18"/>
        </w:rPr>
        <w:t xml:space="preserve"> </w:t>
      </w:r>
    </w:p>
  </w:footnote>
  <w:footnote w:id="12">
    <w:p w14:paraId="412D39D0" w14:textId="7D697DAD" w:rsidR="00A030F3" w:rsidRPr="0022281A" w:rsidRDefault="00A030F3" w:rsidP="0022281A">
      <w:pPr>
        <w:pStyle w:val="FootnoteText"/>
        <w:contextualSpacing/>
        <w:jc w:val="both"/>
        <w:rPr>
          <w:rFonts w:ascii="Arial Narrow" w:hAnsi="Arial Narrow"/>
          <w:i/>
          <w:iCs/>
          <w:sz w:val="18"/>
          <w:szCs w:val="18"/>
        </w:rPr>
      </w:pPr>
      <w:r w:rsidRPr="0022281A">
        <w:rPr>
          <w:rStyle w:val="FootnoteReference"/>
          <w:rFonts w:ascii="Arial Narrow" w:hAnsi="Arial Narrow"/>
          <w:sz w:val="18"/>
          <w:szCs w:val="18"/>
        </w:rPr>
        <w:footnoteRef/>
      </w:r>
      <w:r w:rsidRPr="0022281A">
        <w:rPr>
          <w:rFonts w:ascii="Arial Narrow" w:hAnsi="Arial Narrow"/>
          <w:i/>
          <w:iCs/>
          <w:sz w:val="18"/>
          <w:szCs w:val="18"/>
        </w:rPr>
        <w:t xml:space="preserve"> Malo Álvarez, Salvador, Maldonado Maldonado, et.al, Impacto del COVID-19 en la educación superior en México, en Revista de Educación Superior en América Latina, disponible en </w:t>
      </w:r>
      <w:hyperlink r:id="rId10" w:history="1">
        <w:r w:rsidRPr="0022281A">
          <w:rPr>
            <w:rFonts w:ascii="Arial Narrow" w:hAnsi="Arial Narrow"/>
            <w:i/>
            <w:iCs/>
            <w:sz w:val="18"/>
            <w:szCs w:val="18"/>
          </w:rPr>
          <w:t>https://bit.ly/3ozrTRI</w:t>
        </w:r>
      </w:hyperlink>
      <w:r w:rsidRPr="0022281A">
        <w:rPr>
          <w:rFonts w:ascii="Arial Narrow" w:hAnsi="Arial Narrow"/>
          <w:i/>
          <w:iCs/>
          <w:sz w:val="18"/>
          <w:szCs w:val="18"/>
        </w:rPr>
        <w:t xml:space="preserve"> </w:t>
      </w:r>
    </w:p>
  </w:footnote>
  <w:footnote w:id="13">
    <w:p w14:paraId="40982BD0" w14:textId="478B9F4A" w:rsidR="00D420B3" w:rsidRPr="0022281A" w:rsidRDefault="00D420B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D24733" w:rsidRPr="0022281A">
        <w:rPr>
          <w:rFonts w:ascii="Arial Narrow" w:hAnsi="Arial Narrow"/>
          <w:sz w:val="18"/>
          <w:szCs w:val="18"/>
        </w:rPr>
        <w:t xml:space="preserve">Chávez, José, </w:t>
      </w:r>
      <w:r w:rsidR="00D24733" w:rsidRPr="0022281A">
        <w:rPr>
          <w:rFonts w:ascii="Arial Narrow" w:hAnsi="Arial Narrow"/>
          <w:i/>
          <w:iCs/>
          <w:sz w:val="18"/>
          <w:szCs w:val="18"/>
        </w:rPr>
        <w:t>Covid-19 agudiza desigualdad de aprendizaje en México,</w:t>
      </w:r>
      <w:r w:rsidR="00D24733" w:rsidRPr="0022281A">
        <w:rPr>
          <w:rFonts w:ascii="Arial Narrow" w:hAnsi="Arial Narrow"/>
          <w:sz w:val="18"/>
          <w:szCs w:val="18"/>
        </w:rPr>
        <w:t xml:space="preserve"> en El Sol del Centro,</w:t>
      </w:r>
      <w:r w:rsidR="00D24733" w:rsidRPr="0022281A">
        <w:rPr>
          <w:rFonts w:ascii="Arial Narrow" w:hAnsi="Arial Narrow"/>
          <w:i/>
          <w:iCs/>
          <w:sz w:val="18"/>
          <w:szCs w:val="18"/>
        </w:rPr>
        <w:t xml:space="preserve"> </w:t>
      </w:r>
      <w:r w:rsidR="00D24733" w:rsidRPr="0022281A">
        <w:rPr>
          <w:rFonts w:ascii="Arial Narrow" w:hAnsi="Arial Narrow"/>
          <w:sz w:val="18"/>
          <w:szCs w:val="18"/>
        </w:rPr>
        <w:t xml:space="preserve">21 junio 2021, disponible en </w:t>
      </w:r>
      <w:hyperlink r:id="rId11" w:history="1">
        <w:r w:rsidR="00D24733" w:rsidRPr="0022281A">
          <w:rPr>
            <w:rStyle w:val="Hyperlink"/>
            <w:rFonts w:ascii="Arial Narrow" w:hAnsi="Arial Narrow"/>
            <w:sz w:val="18"/>
            <w:szCs w:val="18"/>
          </w:rPr>
          <w:t>https://bit.ly/35SeIER</w:t>
        </w:r>
      </w:hyperlink>
      <w:r w:rsidR="00D24733" w:rsidRPr="0022281A">
        <w:rPr>
          <w:rFonts w:ascii="Arial Narrow" w:hAnsi="Arial Narrow"/>
          <w:sz w:val="18"/>
          <w:szCs w:val="18"/>
        </w:rPr>
        <w:t xml:space="preserve"> </w:t>
      </w:r>
    </w:p>
  </w:footnote>
  <w:footnote w:id="14">
    <w:p w14:paraId="1910A837" w14:textId="3E7A7480" w:rsidR="00D16903" w:rsidRPr="0022281A" w:rsidRDefault="00D1690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CONAFE, </w:t>
      </w:r>
      <w:r w:rsidRPr="0022281A">
        <w:rPr>
          <w:rFonts w:ascii="Arial Narrow" w:hAnsi="Arial Narrow"/>
          <w:i/>
          <w:iCs/>
          <w:sz w:val="18"/>
          <w:szCs w:val="18"/>
        </w:rPr>
        <w:t xml:space="preserve">Ofrece Conafe servicios de Educación Básica e Inicial a más de 579 mil niñas, niños y adolescentes en 2021, </w:t>
      </w:r>
      <w:r w:rsidRPr="0022281A">
        <w:rPr>
          <w:rFonts w:ascii="Arial Narrow" w:hAnsi="Arial Narrow"/>
          <w:sz w:val="18"/>
          <w:szCs w:val="18"/>
        </w:rPr>
        <w:t xml:space="preserve">23 diciembre 2021, disponible en </w:t>
      </w:r>
      <w:hyperlink r:id="rId12" w:history="1">
        <w:r w:rsidRPr="0022281A">
          <w:rPr>
            <w:rStyle w:val="Hyperlink"/>
            <w:rFonts w:ascii="Arial Narrow" w:hAnsi="Arial Narrow"/>
            <w:sz w:val="18"/>
            <w:szCs w:val="18"/>
          </w:rPr>
          <w:t>https://bit.ly/3gvcbT1</w:t>
        </w:r>
      </w:hyperlink>
      <w:r w:rsidRPr="0022281A">
        <w:rPr>
          <w:rFonts w:ascii="Arial Narrow" w:hAnsi="Arial Narrow"/>
          <w:sz w:val="18"/>
          <w:szCs w:val="18"/>
        </w:rPr>
        <w:t xml:space="preserve"> </w:t>
      </w:r>
    </w:p>
  </w:footnote>
  <w:footnote w:id="15">
    <w:p w14:paraId="44EC5BBD" w14:textId="4609473A" w:rsidR="00E13AD8" w:rsidRPr="0022281A" w:rsidRDefault="00E13AD8"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16">
    <w:p w14:paraId="34B45E50" w14:textId="5E2B7731" w:rsidR="002C3C59" w:rsidRPr="0022281A" w:rsidRDefault="002C3C59"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 </w:t>
      </w:r>
    </w:p>
  </w:footnote>
  <w:footnote w:id="17">
    <w:p w14:paraId="6E64AEF8" w14:textId="51316851" w:rsidR="00670CD2" w:rsidRPr="0022281A" w:rsidRDefault="00670CD2"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SEP, </w:t>
      </w:r>
      <w:r w:rsidRPr="0022281A">
        <w:rPr>
          <w:rFonts w:ascii="Arial Narrow" w:hAnsi="Arial Narrow"/>
          <w:i/>
          <w:iCs/>
          <w:sz w:val="18"/>
          <w:szCs w:val="18"/>
        </w:rPr>
        <w:t xml:space="preserve">Estrategia Nacional para el Regreso Seguro a las Escuelas de Educación Básica, </w:t>
      </w:r>
      <w:r w:rsidRPr="0022281A">
        <w:rPr>
          <w:rFonts w:ascii="Arial Narrow" w:hAnsi="Arial Narrow"/>
          <w:sz w:val="18"/>
          <w:szCs w:val="18"/>
        </w:rPr>
        <w:t xml:space="preserve">disponible en </w:t>
      </w:r>
      <w:hyperlink r:id="rId13" w:history="1">
        <w:r w:rsidRPr="0022281A">
          <w:rPr>
            <w:rStyle w:val="Hyperlink"/>
            <w:rFonts w:ascii="Arial Narrow" w:hAnsi="Arial Narrow"/>
            <w:sz w:val="18"/>
            <w:szCs w:val="18"/>
          </w:rPr>
          <w:t>https://bit.ly/3Jee5UE</w:t>
        </w:r>
      </w:hyperlink>
      <w:r w:rsidRPr="0022281A">
        <w:rPr>
          <w:rFonts w:ascii="Arial Narrow" w:hAnsi="Arial Narrow"/>
          <w:sz w:val="18"/>
          <w:szCs w:val="18"/>
        </w:rPr>
        <w:t xml:space="preserve"> </w:t>
      </w:r>
    </w:p>
  </w:footnote>
  <w:footnote w:id="18">
    <w:p w14:paraId="547349B5" w14:textId="1E55B634" w:rsidR="00670CD2" w:rsidRPr="0022281A" w:rsidRDefault="00670CD2"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SEP, Boletín SEP no. 34</w:t>
      </w:r>
      <w:r w:rsidR="0022281A">
        <w:rPr>
          <w:rFonts w:ascii="Arial Narrow" w:hAnsi="Arial Narrow"/>
          <w:sz w:val="18"/>
          <w:szCs w:val="18"/>
        </w:rPr>
        <w:t xml:space="preserve">. </w:t>
      </w:r>
      <w:r w:rsidRPr="0022281A">
        <w:rPr>
          <w:rFonts w:ascii="Arial Narrow" w:hAnsi="Arial Narrow"/>
          <w:sz w:val="18"/>
          <w:szCs w:val="18"/>
        </w:rPr>
        <w:t xml:space="preserve">En una semana, aumenta en más de 2 millones la asistencia a clases presenciales: SEP, disponible en </w:t>
      </w:r>
      <w:hyperlink r:id="rId14" w:history="1">
        <w:r w:rsidRPr="0022281A">
          <w:rPr>
            <w:rStyle w:val="Hyperlink"/>
            <w:rFonts w:ascii="Arial Narrow" w:hAnsi="Arial Narrow"/>
            <w:sz w:val="18"/>
            <w:szCs w:val="18"/>
          </w:rPr>
          <w:t>https://bit.ly/3JtTxHZ</w:t>
        </w:r>
      </w:hyperlink>
      <w:r w:rsidRPr="0022281A">
        <w:rPr>
          <w:rFonts w:ascii="Arial Narrow" w:hAnsi="Arial Narrow"/>
          <w:sz w:val="18"/>
          <w:szCs w:val="18"/>
        </w:rPr>
        <w:t xml:space="preserve"> </w:t>
      </w:r>
    </w:p>
  </w:footnote>
  <w:footnote w:id="19">
    <w:p w14:paraId="7025190D"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SEP, ACUERDO número 33/12/20 por el que se emiten las Reglas de Operación del Programa Beca Universal para Estudiantes de Educación Media Superior Benito Juárez para el ejercicio fiscal 2021, disponible en </w:t>
      </w:r>
      <w:hyperlink r:id="rId15" w:history="1">
        <w:r w:rsidRPr="0022281A">
          <w:rPr>
            <w:rStyle w:val="Hyperlink"/>
            <w:rFonts w:ascii="Arial Narrow" w:hAnsi="Arial Narrow" w:cs="Arial"/>
            <w:sz w:val="18"/>
            <w:szCs w:val="18"/>
          </w:rPr>
          <w:t>https://bit.ly/3qUKx8l</w:t>
        </w:r>
      </w:hyperlink>
      <w:r w:rsidRPr="0022281A">
        <w:rPr>
          <w:rFonts w:ascii="Arial Narrow" w:hAnsi="Arial Narrow" w:cs="Arial"/>
          <w:sz w:val="18"/>
          <w:szCs w:val="18"/>
        </w:rPr>
        <w:t xml:space="preserve"> </w:t>
      </w:r>
    </w:p>
  </w:footnote>
  <w:footnote w:id="20">
    <w:p w14:paraId="5A3EEA1A"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SEP, </w:t>
      </w:r>
      <w:r w:rsidRPr="0022281A">
        <w:rPr>
          <w:rFonts w:ascii="Arial Narrow" w:hAnsi="Arial Narrow" w:cs="Arial"/>
          <w:i/>
          <w:iCs/>
          <w:sz w:val="18"/>
          <w:szCs w:val="18"/>
        </w:rPr>
        <w:t xml:space="preserve">Beca Jóvenes Escribiendo el Futuro, </w:t>
      </w:r>
      <w:r w:rsidRPr="0022281A">
        <w:rPr>
          <w:rFonts w:ascii="Arial Narrow" w:hAnsi="Arial Narrow" w:cs="Arial"/>
          <w:sz w:val="18"/>
          <w:szCs w:val="18"/>
        </w:rPr>
        <w:t xml:space="preserve">disponible en </w:t>
      </w:r>
      <w:hyperlink r:id="rId16" w:history="1">
        <w:r w:rsidRPr="0022281A">
          <w:rPr>
            <w:rStyle w:val="Hyperlink"/>
            <w:rFonts w:ascii="Arial Narrow" w:hAnsi="Arial Narrow" w:cs="Arial"/>
            <w:sz w:val="18"/>
            <w:szCs w:val="18"/>
          </w:rPr>
          <w:t>https://bit.ly/3IqjyaC</w:t>
        </w:r>
      </w:hyperlink>
      <w:r w:rsidRPr="0022281A">
        <w:rPr>
          <w:rFonts w:ascii="Arial Narrow" w:hAnsi="Arial Narrow" w:cs="Arial"/>
          <w:sz w:val="18"/>
          <w:szCs w:val="18"/>
        </w:rPr>
        <w:t xml:space="preserve"> </w:t>
      </w:r>
    </w:p>
  </w:footnote>
  <w:footnote w:id="21">
    <w:p w14:paraId="77D57681" w14:textId="77777777" w:rsidR="00DD0480" w:rsidRPr="0022281A" w:rsidRDefault="00DD048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Malo Álvarez, Salvador, Maldonado Maldonado, et.al, Impacto del COVID-19 en la educación superior en México, en Revista de Educación Superior en América Latina, disponible en </w:t>
      </w:r>
      <w:hyperlink r:id="rId17" w:history="1">
        <w:r w:rsidRPr="0022281A">
          <w:rPr>
            <w:rStyle w:val="Hyperlink"/>
            <w:rFonts w:ascii="Arial Narrow" w:hAnsi="Arial Narrow"/>
            <w:sz w:val="18"/>
            <w:szCs w:val="18"/>
          </w:rPr>
          <w:t>https://bit.ly/3ozrTRI</w:t>
        </w:r>
      </w:hyperlink>
      <w:r w:rsidRPr="0022281A">
        <w:rPr>
          <w:rFonts w:ascii="Arial Narrow" w:hAnsi="Arial Narrow"/>
          <w:sz w:val="18"/>
          <w:szCs w:val="18"/>
        </w:rPr>
        <w:t xml:space="preserve"> </w:t>
      </w:r>
    </w:p>
  </w:footnote>
  <w:footnote w:id="22">
    <w:p w14:paraId="307783CB" w14:textId="47053EE9" w:rsidR="00DD0480" w:rsidRPr="0022281A" w:rsidRDefault="00DD048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22281A">
        <w:rPr>
          <w:rFonts w:ascii="Arial Narrow" w:hAnsi="Arial Narrow"/>
          <w:sz w:val="18"/>
          <w:szCs w:val="18"/>
        </w:rPr>
        <w:t>Ídem.</w:t>
      </w:r>
    </w:p>
  </w:footnote>
  <w:footnote w:id="23">
    <w:p w14:paraId="6DFD693A" w14:textId="28AA83AF" w:rsidR="004735CB" w:rsidRPr="0022281A" w:rsidRDefault="004735CB"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Cancino,</w:t>
      </w:r>
      <w:r w:rsidR="007961DD" w:rsidRPr="0022281A">
        <w:rPr>
          <w:rFonts w:ascii="Arial Narrow" w:hAnsi="Arial Narrow" w:cs="Avenir Next LT Pro"/>
          <w:color w:val="000000"/>
          <w:sz w:val="18"/>
          <w:szCs w:val="18"/>
        </w:rPr>
        <w:t xml:space="preserve"> </w:t>
      </w:r>
      <w:r w:rsidRPr="0022281A">
        <w:rPr>
          <w:rFonts w:ascii="Arial Narrow" w:hAnsi="Arial Narrow" w:cs="Avenir Next LT Pro"/>
          <w:color w:val="000000"/>
          <w:sz w:val="18"/>
          <w:szCs w:val="18"/>
        </w:rPr>
        <w:t xml:space="preserve">Giovana, Dejan la escuela 2.8 millones de alumnos por COVID-19 en México, en AM de Querétaro, agosto 2020, disponible en </w:t>
      </w:r>
      <w:r w:rsidRPr="0022281A">
        <w:rPr>
          <w:rFonts w:ascii="Arial Narrow" w:hAnsi="Arial Narrow" w:cs="Avenir Next LT Pro"/>
          <w:color w:val="0563C2"/>
          <w:sz w:val="18"/>
          <w:szCs w:val="18"/>
        </w:rPr>
        <w:t>https://bit.ly/3DsGYJA</w:t>
      </w:r>
    </w:p>
  </w:footnote>
  <w:footnote w:id="24">
    <w:p w14:paraId="45CDC487" w14:textId="4092A6B2" w:rsidR="004735CB" w:rsidRPr="0022281A" w:rsidRDefault="004735CB"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INEGI, INEGI presenta resultados de la encuesta para la medición del impacto COVID-19 en la educación</w:t>
      </w:r>
      <w:r w:rsidR="007961DD" w:rsidRPr="0022281A">
        <w:rPr>
          <w:rFonts w:ascii="Arial Narrow" w:hAnsi="Arial Narrow" w:cs="Avenir Next LT Pro"/>
          <w:color w:val="000000"/>
          <w:sz w:val="18"/>
          <w:szCs w:val="18"/>
        </w:rPr>
        <w:t xml:space="preserve"> </w:t>
      </w:r>
      <w:r w:rsidRPr="0022281A">
        <w:rPr>
          <w:rFonts w:ascii="Arial Narrow" w:hAnsi="Arial Narrow" w:cs="Avenir Next LT Pro"/>
          <w:color w:val="000000"/>
          <w:sz w:val="18"/>
          <w:szCs w:val="18"/>
        </w:rPr>
        <w:t xml:space="preserve">(ECOVID-ED) 2020, comunicado de prensa no. 185/2021, 23 de marzo 2021, disponible en </w:t>
      </w:r>
      <w:r w:rsidRPr="0022281A">
        <w:rPr>
          <w:rFonts w:ascii="Arial Narrow" w:hAnsi="Arial Narrow" w:cs="Avenir Next LT Pro"/>
          <w:color w:val="0563C2"/>
          <w:sz w:val="18"/>
          <w:szCs w:val="18"/>
        </w:rPr>
        <w:t>https://bit.ly/3iIyTst</w:t>
      </w:r>
    </w:p>
  </w:footnote>
  <w:footnote w:id="25">
    <w:p w14:paraId="77B2BD46" w14:textId="4A1E3004" w:rsidR="00AD1C0A" w:rsidRPr="0022281A" w:rsidRDefault="00AD1C0A"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26">
    <w:p w14:paraId="6C867719" w14:textId="1C9C4CE9" w:rsidR="00AD1C0A" w:rsidRPr="0022281A" w:rsidRDefault="00AD1C0A"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 xml:space="preserve">SEP, Principales cifras del Sistema Educativo Nacional 2019-2020, disponible en </w:t>
      </w:r>
      <w:r w:rsidRPr="0022281A">
        <w:rPr>
          <w:rFonts w:ascii="Arial Narrow" w:hAnsi="Arial Narrow" w:cs="Avenir Next LT Pro"/>
          <w:color w:val="0563C2"/>
          <w:sz w:val="18"/>
          <w:szCs w:val="18"/>
        </w:rPr>
        <w:t>https://bit.ly/3oMVkkh</w:t>
      </w:r>
    </w:p>
  </w:footnote>
  <w:footnote w:id="27">
    <w:p w14:paraId="558C2A5A" w14:textId="77777777" w:rsidR="00AD1C0A" w:rsidRPr="0022281A" w:rsidRDefault="00AD1C0A" w:rsidP="0022281A">
      <w:pPr>
        <w:autoSpaceDE w:val="0"/>
        <w:autoSpaceDN w:val="0"/>
        <w:adjustRightInd w:val="0"/>
        <w:spacing w:after="0" w:line="240" w:lineRule="auto"/>
        <w:jc w:val="both"/>
        <w:rPr>
          <w:rFonts w:ascii="Arial Narrow" w:hAnsi="Arial Narrow" w:cs="Avenir Next LT Pro"/>
          <w:color w:val="000000"/>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INEGI, Encuesta Nacional sobre Disponibilidad y Uso de Tecnologías de la Información en los Hogares</w:t>
      </w:r>
    </w:p>
    <w:p w14:paraId="0698D939" w14:textId="7D41A425" w:rsidR="00AD1C0A" w:rsidRPr="0022281A" w:rsidRDefault="00AD1C0A" w:rsidP="0022281A">
      <w:pPr>
        <w:pStyle w:val="FootnoteText"/>
        <w:jc w:val="both"/>
        <w:rPr>
          <w:rFonts w:ascii="Arial Narrow" w:hAnsi="Arial Narrow"/>
          <w:sz w:val="18"/>
          <w:szCs w:val="18"/>
        </w:rPr>
      </w:pPr>
      <w:r w:rsidRPr="0022281A">
        <w:rPr>
          <w:rFonts w:ascii="Arial Narrow" w:hAnsi="Arial Narrow" w:cs="Avenir Next LT Pro"/>
          <w:color w:val="000000"/>
          <w:sz w:val="18"/>
          <w:szCs w:val="18"/>
        </w:rPr>
        <w:t xml:space="preserve">(ENDUTIH) 2019, disponible en </w:t>
      </w:r>
      <w:r w:rsidRPr="0022281A">
        <w:rPr>
          <w:rFonts w:ascii="Arial Narrow" w:hAnsi="Arial Narrow" w:cs="Avenir Next LT Pro"/>
          <w:color w:val="0563C2"/>
          <w:sz w:val="18"/>
          <w:szCs w:val="18"/>
        </w:rPr>
        <w:t>https://bit.ly/2WW4nDL</w:t>
      </w:r>
    </w:p>
  </w:footnote>
  <w:footnote w:id="28">
    <w:p w14:paraId="4D282259" w14:textId="231BED75" w:rsidR="00AD251B" w:rsidRPr="0022281A" w:rsidRDefault="00AD251B"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INEGI, Encuesta para la Medición del Impacto COVID-19 en la Educación (ECOVID-ED) 2020 </w:t>
      </w:r>
      <w:r w:rsidR="00537B77">
        <w:rPr>
          <w:rFonts w:ascii="Arial Narrow" w:hAnsi="Arial Narrow"/>
          <w:sz w:val="18"/>
          <w:szCs w:val="18"/>
        </w:rPr>
        <w:t>Nota Técnica</w:t>
      </w:r>
      <w:r w:rsidRPr="0022281A">
        <w:rPr>
          <w:rFonts w:ascii="Arial Narrow" w:hAnsi="Arial Narrow"/>
          <w:sz w:val="18"/>
          <w:szCs w:val="18"/>
        </w:rPr>
        <w:t xml:space="preserve">, Segunda Edición, </w:t>
      </w:r>
      <w:hyperlink r:id="rId18" w:history="1">
        <w:r w:rsidR="0064439A" w:rsidRPr="0022281A">
          <w:rPr>
            <w:rStyle w:val="Hyperlink"/>
            <w:rFonts w:ascii="Arial Narrow" w:hAnsi="Arial Narrow"/>
            <w:sz w:val="18"/>
            <w:szCs w:val="18"/>
          </w:rPr>
          <w:t>https://bit.ly/3HBLoAp</w:t>
        </w:r>
      </w:hyperlink>
      <w:r w:rsidRPr="0022281A">
        <w:rPr>
          <w:rFonts w:ascii="Arial Narrow" w:hAnsi="Arial Narrow"/>
          <w:sz w:val="18"/>
          <w:szCs w:val="18"/>
        </w:rPr>
        <w:t xml:space="preserve"> </w:t>
      </w:r>
    </w:p>
  </w:footnote>
  <w:footnote w:id="29">
    <w:p w14:paraId="0CC77F97" w14:textId="4C45A2A8" w:rsidR="000C74CE" w:rsidRPr="0022281A" w:rsidRDefault="000C74CE"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30">
    <w:p w14:paraId="7D8EAAE0" w14:textId="0830AF0C" w:rsidR="008D31D5" w:rsidRPr="0022281A" w:rsidRDefault="008D31D5"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C73D" w14:textId="14684399" w:rsidR="001B7A28" w:rsidRDefault="001B7A28">
    <w:pPr>
      <w:pStyle w:val="Header"/>
    </w:pPr>
    <w:r>
      <w:rPr>
        <w:noProof/>
        <w:lang w:val="en-GB" w:eastAsia="ja-JP"/>
      </w:rPr>
      <w:drawing>
        <wp:anchor distT="0" distB="0" distL="114300" distR="114300" simplePos="0" relativeHeight="251659264" behindDoc="0" locked="0" layoutInCell="1" allowOverlap="1" wp14:anchorId="7EF61427" wp14:editId="39FD2D48">
          <wp:simplePos x="0" y="0"/>
          <wp:positionH relativeFrom="margin">
            <wp:align>left</wp:align>
          </wp:positionH>
          <wp:positionV relativeFrom="paragraph">
            <wp:posOffset>-84455</wp:posOffset>
          </wp:positionV>
          <wp:extent cx="1315720" cy="533400"/>
          <wp:effectExtent l="0" t="0" r="0" b="0"/>
          <wp:wrapSquare wrapText="bothSides"/>
          <wp:docPr id="15" name="Imagen 1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1572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C8A"/>
    <w:multiLevelType w:val="hybridMultilevel"/>
    <w:tmpl w:val="0898F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96AC0"/>
    <w:multiLevelType w:val="hybridMultilevel"/>
    <w:tmpl w:val="2ECA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E6768"/>
    <w:multiLevelType w:val="hybridMultilevel"/>
    <w:tmpl w:val="DDC2EA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A"/>
    <w:rsid w:val="0001661B"/>
    <w:rsid w:val="000215A7"/>
    <w:rsid w:val="000354E4"/>
    <w:rsid w:val="000C670E"/>
    <w:rsid w:val="000C74CE"/>
    <w:rsid w:val="000D1A2E"/>
    <w:rsid w:val="000D4B99"/>
    <w:rsid w:val="000F5F21"/>
    <w:rsid w:val="0010045C"/>
    <w:rsid w:val="00156635"/>
    <w:rsid w:val="00180742"/>
    <w:rsid w:val="001B51B3"/>
    <w:rsid w:val="001B7A28"/>
    <w:rsid w:val="001D2A27"/>
    <w:rsid w:val="001E709D"/>
    <w:rsid w:val="0022281A"/>
    <w:rsid w:val="002270FA"/>
    <w:rsid w:val="00253990"/>
    <w:rsid w:val="0026088F"/>
    <w:rsid w:val="00264C83"/>
    <w:rsid w:val="0028384E"/>
    <w:rsid w:val="002A6003"/>
    <w:rsid w:val="002B5F2E"/>
    <w:rsid w:val="002C3C59"/>
    <w:rsid w:val="002F6AD4"/>
    <w:rsid w:val="00310718"/>
    <w:rsid w:val="0037096D"/>
    <w:rsid w:val="0039223F"/>
    <w:rsid w:val="004653C1"/>
    <w:rsid w:val="004735CB"/>
    <w:rsid w:val="00480E14"/>
    <w:rsid w:val="00496876"/>
    <w:rsid w:val="004C2720"/>
    <w:rsid w:val="005115EA"/>
    <w:rsid w:val="0053752B"/>
    <w:rsid w:val="00537B77"/>
    <w:rsid w:val="005854CA"/>
    <w:rsid w:val="005A1A84"/>
    <w:rsid w:val="0060300C"/>
    <w:rsid w:val="006130B2"/>
    <w:rsid w:val="0061714A"/>
    <w:rsid w:val="0064439A"/>
    <w:rsid w:val="006474EF"/>
    <w:rsid w:val="00670764"/>
    <w:rsid w:val="00670CD2"/>
    <w:rsid w:val="0067386D"/>
    <w:rsid w:val="00687501"/>
    <w:rsid w:val="00690B18"/>
    <w:rsid w:val="006A7E3D"/>
    <w:rsid w:val="006B4F9E"/>
    <w:rsid w:val="007070B5"/>
    <w:rsid w:val="007106F8"/>
    <w:rsid w:val="007777D2"/>
    <w:rsid w:val="007961DD"/>
    <w:rsid w:val="007A5097"/>
    <w:rsid w:val="00800C78"/>
    <w:rsid w:val="008254AB"/>
    <w:rsid w:val="008669B5"/>
    <w:rsid w:val="00891178"/>
    <w:rsid w:val="008A0AA0"/>
    <w:rsid w:val="008D31D5"/>
    <w:rsid w:val="008D5DD3"/>
    <w:rsid w:val="008E76F1"/>
    <w:rsid w:val="009E72D4"/>
    <w:rsid w:val="009F20B7"/>
    <w:rsid w:val="00A030F3"/>
    <w:rsid w:val="00A53582"/>
    <w:rsid w:val="00A54952"/>
    <w:rsid w:val="00A65E85"/>
    <w:rsid w:val="00A81EB7"/>
    <w:rsid w:val="00A90ADF"/>
    <w:rsid w:val="00A925D7"/>
    <w:rsid w:val="00A9490E"/>
    <w:rsid w:val="00AC775A"/>
    <w:rsid w:val="00AD1C0A"/>
    <w:rsid w:val="00AD251B"/>
    <w:rsid w:val="00B56351"/>
    <w:rsid w:val="00B8470A"/>
    <w:rsid w:val="00BA0BCE"/>
    <w:rsid w:val="00BF64B9"/>
    <w:rsid w:val="00C26E12"/>
    <w:rsid w:val="00C71A6D"/>
    <w:rsid w:val="00CF5110"/>
    <w:rsid w:val="00D0228A"/>
    <w:rsid w:val="00D119BF"/>
    <w:rsid w:val="00D14B60"/>
    <w:rsid w:val="00D16903"/>
    <w:rsid w:val="00D24733"/>
    <w:rsid w:val="00D420B3"/>
    <w:rsid w:val="00D560A5"/>
    <w:rsid w:val="00D657B4"/>
    <w:rsid w:val="00DA3FAC"/>
    <w:rsid w:val="00DD0480"/>
    <w:rsid w:val="00E13AD8"/>
    <w:rsid w:val="00E369E9"/>
    <w:rsid w:val="00E4156F"/>
    <w:rsid w:val="00E57D12"/>
    <w:rsid w:val="00E64411"/>
    <w:rsid w:val="00E92459"/>
    <w:rsid w:val="00EA618D"/>
    <w:rsid w:val="00EC2F5A"/>
    <w:rsid w:val="00EC5DCE"/>
    <w:rsid w:val="00EE220A"/>
    <w:rsid w:val="00F165FA"/>
    <w:rsid w:val="00F329CD"/>
    <w:rsid w:val="00F91F73"/>
    <w:rsid w:val="00FD45DE"/>
    <w:rsid w:val="00FD598B"/>
    <w:rsid w:val="00FE5BC1"/>
    <w:rsid w:val="00FE7C0F"/>
    <w:rsid w:val="00FF431E"/>
    <w:rsid w:val="00FF530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5F54"/>
  <w15:chartTrackingRefBased/>
  <w15:docId w15:val="{958D70F4-7605-4044-AE79-2C12B5BB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70A"/>
    <w:pPr>
      <w:ind w:left="720"/>
      <w:contextualSpacing/>
    </w:pPr>
  </w:style>
  <w:style w:type="paragraph" w:styleId="FootnoteText">
    <w:name w:val="footnote text"/>
    <w:basedOn w:val="Normal"/>
    <w:link w:val="FootnoteTextChar"/>
    <w:uiPriority w:val="99"/>
    <w:semiHidden/>
    <w:unhideWhenUsed/>
    <w:rsid w:val="00613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0B2"/>
    <w:rPr>
      <w:sz w:val="20"/>
      <w:szCs w:val="20"/>
    </w:rPr>
  </w:style>
  <w:style w:type="character" w:styleId="FootnoteReference">
    <w:name w:val="footnote reference"/>
    <w:basedOn w:val="DefaultParagraphFont"/>
    <w:uiPriority w:val="99"/>
    <w:semiHidden/>
    <w:unhideWhenUsed/>
    <w:rsid w:val="006130B2"/>
    <w:rPr>
      <w:vertAlign w:val="superscript"/>
    </w:rPr>
  </w:style>
  <w:style w:type="character" w:styleId="Hyperlink">
    <w:name w:val="Hyperlink"/>
    <w:basedOn w:val="DefaultParagraphFont"/>
    <w:uiPriority w:val="99"/>
    <w:unhideWhenUsed/>
    <w:rsid w:val="006130B2"/>
    <w:rPr>
      <w:color w:val="0563C1" w:themeColor="hyperlink"/>
      <w:u w:val="single"/>
    </w:rPr>
  </w:style>
  <w:style w:type="character" w:customStyle="1" w:styleId="UnresolvedMention">
    <w:name w:val="Unresolved Mention"/>
    <w:basedOn w:val="DefaultParagraphFont"/>
    <w:uiPriority w:val="99"/>
    <w:semiHidden/>
    <w:unhideWhenUsed/>
    <w:rsid w:val="006130B2"/>
    <w:rPr>
      <w:color w:val="605E5C"/>
      <w:shd w:val="clear" w:color="auto" w:fill="E1DFDD"/>
    </w:rPr>
  </w:style>
  <w:style w:type="paragraph" w:styleId="Header">
    <w:name w:val="header"/>
    <w:basedOn w:val="Normal"/>
    <w:link w:val="HeaderChar"/>
    <w:uiPriority w:val="99"/>
    <w:unhideWhenUsed/>
    <w:rsid w:val="001B7A2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B7A28"/>
  </w:style>
  <w:style w:type="paragraph" w:styleId="Footer">
    <w:name w:val="footer"/>
    <w:basedOn w:val="Normal"/>
    <w:link w:val="FooterChar"/>
    <w:uiPriority w:val="99"/>
    <w:unhideWhenUsed/>
    <w:rsid w:val="001B7A2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B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640">
      <w:bodyDiv w:val="1"/>
      <w:marLeft w:val="0"/>
      <w:marRight w:val="0"/>
      <w:marTop w:val="0"/>
      <w:marBottom w:val="0"/>
      <w:divBdr>
        <w:top w:val="none" w:sz="0" w:space="0" w:color="auto"/>
        <w:left w:val="none" w:sz="0" w:space="0" w:color="auto"/>
        <w:bottom w:val="none" w:sz="0" w:space="0" w:color="auto"/>
        <w:right w:val="none" w:sz="0" w:space="0" w:color="auto"/>
      </w:divBdr>
    </w:div>
    <w:div w:id="84617236">
      <w:bodyDiv w:val="1"/>
      <w:marLeft w:val="0"/>
      <w:marRight w:val="0"/>
      <w:marTop w:val="0"/>
      <w:marBottom w:val="0"/>
      <w:divBdr>
        <w:top w:val="none" w:sz="0" w:space="0" w:color="auto"/>
        <w:left w:val="none" w:sz="0" w:space="0" w:color="auto"/>
        <w:bottom w:val="none" w:sz="0" w:space="0" w:color="auto"/>
        <w:right w:val="none" w:sz="0" w:space="0" w:color="auto"/>
      </w:divBdr>
    </w:div>
    <w:div w:id="141194092">
      <w:bodyDiv w:val="1"/>
      <w:marLeft w:val="0"/>
      <w:marRight w:val="0"/>
      <w:marTop w:val="0"/>
      <w:marBottom w:val="0"/>
      <w:divBdr>
        <w:top w:val="none" w:sz="0" w:space="0" w:color="auto"/>
        <w:left w:val="none" w:sz="0" w:space="0" w:color="auto"/>
        <w:bottom w:val="none" w:sz="0" w:space="0" w:color="auto"/>
        <w:right w:val="none" w:sz="0" w:space="0" w:color="auto"/>
      </w:divBdr>
    </w:div>
    <w:div w:id="512184584">
      <w:bodyDiv w:val="1"/>
      <w:marLeft w:val="0"/>
      <w:marRight w:val="0"/>
      <w:marTop w:val="0"/>
      <w:marBottom w:val="0"/>
      <w:divBdr>
        <w:top w:val="none" w:sz="0" w:space="0" w:color="auto"/>
        <w:left w:val="none" w:sz="0" w:space="0" w:color="auto"/>
        <w:bottom w:val="none" w:sz="0" w:space="0" w:color="auto"/>
        <w:right w:val="none" w:sz="0" w:space="0" w:color="auto"/>
      </w:divBdr>
    </w:div>
    <w:div w:id="953636869">
      <w:bodyDiv w:val="1"/>
      <w:marLeft w:val="0"/>
      <w:marRight w:val="0"/>
      <w:marTop w:val="0"/>
      <w:marBottom w:val="0"/>
      <w:divBdr>
        <w:top w:val="none" w:sz="0" w:space="0" w:color="auto"/>
        <w:left w:val="none" w:sz="0" w:space="0" w:color="auto"/>
        <w:bottom w:val="none" w:sz="0" w:space="0" w:color="auto"/>
        <w:right w:val="none" w:sz="0" w:space="0" w:color="auto"/>
      </w:divBdr>
    </w:div>
    <w:div w:id="1026253015">
      <w:bodyDiv w:val="1"/>
      <w:marLeft w:val="0"/>
      <w:marRight w:val="0"/>
      <w:marTop w:val="0"/>
      <w:marBottom w:val="0"/>
      <w:divBdr>
        <w:top w:val="none" w:sz="0" w:space="0" w:color="auto"/>
        <w:left w:val="none" w:sz="0" w:space="0" w:color="auto"/>
        <w:bottom w:val="none" w:sz="0" w:space="0" w:color="auto"/>
        <w:right w:val="none" w:sz="0" w:space="0" w:color="auto"/>
      </w:divBdr>
      <w:divsChild>
        <w:div w:id="585044107">
          <w:marLeft w:val="0"/>
          <w:marRight w:val="0"/>
          <w:marTop w:val="0"/>
          <w:marBottom w:val="0"/>
          <w:divBdr>
            <w:top w:val="none" w:sz="0" w:space="0" w:color="auto"/>
            <w:left w:val="none" w:sz="0" w:space="0" w:color="auto"/>
            <w:bottom w:val="none" w:sz="0" w:space="0" w:color="auto"/>
            <w:right w:val="none" w:sz="0" w:space="0" w:color="auto"/>
          </w:divBdr>
        </w:div>
      </w:divsChild>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306593140">
      <w:bodyDiv w:val="1"/>
      <w:marLeft w:val="0"/>
      <w:marRight w:val="0"/>
      <w:marTop w:val="0"/>
      <w:marBottom w:val="0"/>
      <w:divBdr>
        <w:top w:val="none" w:sz="0" w:space="0" w:color="auto"/>
        <w:left w:val="none" w:sz="0" w:space="0" w:color="auto"/>
        <w:bottom w:val="none" w:sz="0" w:space="0" w:color="auto"/>
        <w:right w:val="none" w:sz="0" w:space="0" w:color="auto"/>
      </w:divBdr>
    </w:div>
    <w:div w:id="1516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i.cf/3r35fmm" TargetMode="External"/><Relationship Id="rId13" Type="http://schemas.openxmlformats.org/officeDocument/2006/relationships/hyperlink" Target="https://bit.ly/3Jee5UE" TargetMode="External"/><Relationship Id="rId18" Type="http://schemas.openxmlformats.org/officeDocument/2006/relationships/hyperlink" Target="https://bit.ly/3HBLoAp" TargetMode="External"/><Relationship Id="rId3" Type="http://schemas.openxmlformats.org/officeDocument/2006/relationships/hyperlink" Target="https://bit.ly/3H8jwUh" TargetMode="External"/><Relationship Id="rId7" Type="http://schemas.openxmlformats.org/officeDocument/2006/relationships/hyperlink" Target="https://bit.ly/3IHjTWd" TargetMode="External"/><Relationship Id="rId12" Type="http://schemas.openxmlformats.org/officeDocument/2006/relationships/hyperlink" Target="https://bit.ly/3gvcbT1" TargetMode="External"/><Relationship Id="rId17" Type="http://schemas.openxmlformats.org/officeDocument/2006/relationships/hyperlink" Target="https://bit.ly/3ozrTRI" TargetMode="External"/><Relationship Id="rId2" Type="http://schemas.openxmlformats.org/officeDocument/2006/relationships/hyperlink" Target="https://bit.ly/3KO326a" TargetMode="External"/><Relationship Id="rId16" Type="http://schemas.openxmlformats.org/officeDocument/2006/relationships/hyperlink" Target="https://bit.ly/3IqjyaC" TargetMode="External"/><Relationship Id="rId1" Type="http://schemas.openxmlformats.org/officeDocument/2006/relationships/hyperlink" Target="https://bit.ly/3tKDHnm" TargetMode="External"/><Relationship Id="rId6" Type="http://schemas.openxmlformats.org/officeDocument/2006/relationships/hyperlink" Target="https://bit.ly/34dKUls" TargetMode="External"/><Relationship Id="rId11" Type="http://schemas.openxmlformats.org/officeDocument/2006/relationships/hyperlink" Target="https://bit.ly/35SeIER" TargetMode="External"/><Relationship Id="rId5" Type="http://schemas.openxmlformats.org/officeDocument/2006/relationships/hyperlink" Target="https://bit.ly/3g5bPlW" TargetMode="External"/><Relationship Id="rId15" Type="http://schemas.openxmlformats.org/officeDocument/2006/relationships/hyperlink" Target="https://bit.ly/3qUKx8l" TargetMode="External"/><Relationship Id="rId10" Type="http://schemas.openxmlformats.org/officeDocument/2006/relationships/hyperlink" Target="https://bit.ly/3ozrTRI" TargetMode="External"/><Relationship Id="rId4" Type="http://schemas.openxmlformats.org/officeDocument/2006/relationships/hyperlink" Target="https://uni.cf/3GhdYq4" TargetMode="External"/><Relationship Id="rId9" Type="http://schemas.openxmlformats.org/officeDocument/2006/relationships/hyperlink" Target="https://bit.ly/3HBLoAp" TargetMode="External"/><Relationship Id="rId14" Type="http://schemas.openxmlformats.org/officeDocument/2006/relationships/hyperlink" Target="https://bit.ly/3JtTxH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8A3F-51A2-421A-ACAC-E3B9AAD5CF27}">
  <ds:schemaRefs>
    <ds:schemaRef ds:uri="http://schemas.microsoft.com/sharepoint/v3/contenttype/forms"/>
  </ds:schemaRefs>
</ds:datastoreItem>
</file>

<file path=customXml/itemProps2.xml><?xml version="1.0" encoding="utf-8"?>
<ds:datastoreItem xmlns:ds="http://schemas.openxmlformats.org/officeDocument/2006/customXml" ds:itemID="{14AC8AAC-FA7C-4774-AECB-B79C2A397CB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E54E0B48-E860-4E4A-91DA-64EF073C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F385A-87C0-492B-A073-84524352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2647</Words>
  <Characters>15094</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 Nacional de los Derechos Humanos</dc:creator>
  <cp:keywords/>
  <dc:description/>
  <cp:lastModifiedBy>Asako Hattori</cp:lastModifiedBy>
  <cp:revision>2</cp:revision>
  <dcterms:created xsi:type="dcterms:W3CDTF">2022-02-10T08:54:00Z</dcterms:created>
  <dcterms:modified xsi:type="dcterms:W3CDTF">2022-02-10T08:54:00Z</dcterms:modified>
</cp:coreProperties>
</file>