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D69C" w14:textId="429C9FA4" w:rsidR="009C6CFA" w:rsidRPr="003349BF" w:rsidRDefault="009C6CFA" w:rsidP="00371527">
      <w:pPr>
        <w:autoSpaceDE w:val="0"/>
        <w:autoSpaceDN w:val="0"/>
        <w:adjustRightInd w:val="0"/>
        <w:spacing w:after="0" w:line="276" w:lineRule="auto"/>
        <w:jc w:val="center"/>
        <w:rPr>
          <w:rFonts w:ascii="Source Sans Pro" w:hAnsi="Source Sans Pro" w:cs="TimesNewRoman,Bold"/>
          <w:b/>
          <w:bCs/>
          <w:sz w:val="24"/>
          <w:szCs w:val="24"/>
          <w:lang w:val="en-US"/>
        </w:rPr>
      </w:pPr>
      <w:r w:rsidRPr="003349BF">
        <w:rPr>
          <w:rFonts w:ascii="Source Sans Pro" w:hAnsi="Source Sans Pro" w:cs="TimesNewRoman,Bold"/>
          <w:b/>
          <w:bCs/>
          <w:sz w:val="24"/>
          <w:szCs w:val="24"/>
          <w:lang w:val="en-US"/>
        </w:rPr>
        <w:t>The impact of climate change and the protection of the human rights of migrants</w:t>
      </w:r>
    </w:p>
    <w:p w14:paraId="3840FA03" w14:textId="65D59127" w:rsidR="00305E90" w:rsidRPr="003349BF" w:rsidRDefault="009C6CFA" w:rsidP="00371527">
      <w:pPr>
        <w:spacing w:line="276" w:lineRule="auto"/>
        <w:jc w:val="center"/>
        <w:rPr>
          <w:rFonts w:ascii="Source Sans Pro" w:hAnsi="Source Sans Pro" w:cs="TimesNewRoman,Bold"/>
          <w:b/>
          <w:bCs/>
          <w:sz w:val="24"/>
          <w:szCs w:val="24"/>
          <w:lang w:val="en-US"/>
        </w:rPr>
      </w:pPr>
      <w:r w:rsidRPr="003349BF">
        <w:rPr>
          <w:rFonts w:ascii="Source Sans Pro" w:hAnsi="Source Sans Pro" w:cs="TimesNewRoman,Bold"/>
          <w:b/>
          <w:bCs/>
          <w:sz w:val="24"/>
          <w:szCs w:val="24"/>
          <w:lang w:val="en-US"/>
        </w:rPr>
        <w:t>Report of the Special Rapporteur on the human rights of migrants</w:t>
      </w:r>
    </w:p>
    <w:p w14:paraId="39D9CCF1" w14:textId="77AE016B" w:rsidR="00E23227" w:rsidRPr="003349BF" w:rsidRDefault="009C6CFA" w:rsidP="00371527">
      <w:pPr>
        <w:autoSpaceDE w:val="0"/>
        <w:autoSpaceDN w:val="0"/>
        <w:adjustRightInd w:val="0"/>
        <w:spacing w:after="0" w:line="276" w:lineRule="auto"/>
        <w:jc w:val="center"/>
        <w:rPr>
          <w:rFonts w:ascii="Source Sans Pro" w:hAnsi="Source Sans Pro" w:cs="TimesNewRoman,Bold"/>
          <w:i/>
          <w:iCs/>
          <w:lang w:val="en-US"/>
        </w:rPr>
      </w:pPr>
      <w:r w:rsidRPr="003349BF">
        <w:rPr>
          <w:rFonts w:ascii="Source Sans Pro" w:hAnsi="Source Sans Pro" w:cs="TimesNewRoman,Bold"/>
          <w:i/>
          <w:iCs/>
          <w:lang w:val="en-US"/>
        </w:rPr>
        <w:t>Submission by</w:t>
      </w:r>
    </w:p>
    <w:p w14:paraId="075E7D22" w14:textId="28D56E2B" w:rsidR="009C6CFA" w:rsidRPr="003349BF" w:rsidRDefault="009C6CFA" w:rsidP="00371527">
      <w:pPr>
        <w:autoSpaceDE w:val="0"/>
        <w:autoSpaceDN w:val="0"/>
        <w:adjustRightInd w:val="0"/>
        <w:spacing w:after="0" w:line="276" w:lineRule="auto"/>
        <w:jc w:val="center"/>
        <w:rPr>
          <w:rFonts w:ascii="Source Sans Pro" w:hAnsi="Source Sans Pro" w:cs="TimesNewRoman,Bold"/>
          <w:lang w:val="en-US"/>
        </w:rPr>
      </w:pPr>
      <w:proofErr w:type="spellStart"/>
      <w:r w:rsidRPr="003349BF">
        <w:rPr>
          <w:rFonts w:ascii="Source Sans Pro" w:hAnsi="Source Sans Pro" w:cs="TimesNewRoman,Bold"/>
          <w:lang w:val="en-US"/>
        </w:rPr>
        <w:t>Sant’Anna</w:t>
      </w:r>
      <w:proofErr w:type="spellEnd"/>
      <w:r w:rsidRPr="003349BF">
        <w:rPr>
          <w:rFonts w:ascii="Source Sans Pro" w:hAnsi="Source Sans Pro" w:cs="TimesNewRoman,Bold"/>
          <w:lang w:val="en-US"/>
        </w:rPr>
        <w:t xml:space="preserve"> School of Advanced Studies</w:t>
      </w:r>
      <w:r w:rsidR="00371527" w:rsidRPr="003349BF">
        <w:rPr>
          <w:rFonts w:ascii="Source Sans Pro" w:hAnsi="Source Sans Pro" w:cs="TimesNewRoman,Bold"/>
          <w:lang w:val="en-US"/>
        </w:rPr>
        <w:t>, Pisa (Italy)</w:t>
      </w:r>
    </w:p>
    <w:p w14:paraId="7DCA5F2D" w14:textId="5CBB60CE" w:rsidR="00371527" w:rsidRPr="003349BF" w:rsidRDefault="00371527" w:rsidP="00371527">
      <w:pPr>
        <w:autoSpaceDE w:val="0"/>
        <w:autoSpaceDN w:val="0"/>
        <w:adjustRightInd w:val="0"/>
        <w:spacing w:after="0" w:line="276" w:lineRule="auto"/>
        <w:jc w:val="center"/>
        <w:rPr>
          <w:rFonts w:ascii="Source Sans Pro" w:hAnsi="Source Sans Pro" w:cs="TimesNewRoman,Bold"/>
          <w:lang w:val="en-US"/>
        </w:rPr>
      </w:pPr>
    </w:p>
    <w:p w14:paraId="790761DF" w14:textId="77777777" w:rsidR="00371527" w:rsidRPr="003349BF" w:rsidRDefault="00371527" w:rsidP="00371527">
      <w:pPr>
        <w:autoSpaceDE w:val="0"/>
        <w:autoSpaceDN w:val="0"/>
        <w:adjustRightInd w:val="0"/>
        <w:spacing w:after="0" w:line="276" w:lineRule="auto"/>
        <w:jc w:val="center"/>
        <w:rPr>
          <w:rFonts w:ascii="Source Sans Pro" w:hAnsi="Source Sans Pro" w:cs="TimesNewRoman,Bold"/>
          <w:i/>
          <w:iCs/>
          <w:lang w:val="en-US"/>
        </w:rPr>
      </w:pPr>
      <w:r w:rsidRPr="003349BF">
        <w:rPr>
          <w:rFonts w:ascii="Source Sans Pro" w:hAnsi="Source Sans Pro" w:cs="TimesNewRoman,Bold"/>
          <w:i/>
          <w:iCs/>
          <w:lang w:val="en-US"/>
        </w:rPr>
        <w:t>Author</w:t>
      </w:r>
    </w:p>
    <w:p w14:paraId="5DA4B369" w14:textId="77777777" w:rsidR="00371527" w:rsidRPr="003349BF" w:rsidRDefault="00371527" w:rsidP="00371527">
      <w:pPr>
        <w:autoSpaceDE w:val="0"/>
        <w:autoSpaceDN w:val="0"/>
        <w:adjustRightInd w:val="0"/>
        <w:spacing w:after="0" w:line="276" w:lineRule="auto"/>
        <w:jc w:val="center"/>
        <w:rPr>
          <w:rFonts w:ascii="Source Sans Pro" w:hAnsi="Source Sans Pro" w:cs="TimesNewRoman,Bold"/>
          <w:lang w:val="en-US"/>
        </w:rPr>
      </w:pPr>
      <w:r w:rsidRPr="003349BF">
        <w:rPr>
          <w:rFonts w:ascii="Source Sans Pro" w:hAnsi="Source Sans Pro" w:cs="TimesNewRoman,Bold"/>
          <w:lang w:val="en-US"/>
        </w:rPr>
        <w:t>Chiara Scissa</w:t>
      </w:r>
    </w:p>
    <w:p w14:paraId="35791D79" w14:textId="77777777" w:rsidR="00371527" w:rsidRPr="003349BF" w:rsidRDefault="00371527" w:rsidP="00371527">
      <w:pPr>
        <w:autoSpaceDE w:val="0"/>
        <w:autoSpaceDN w:val="0"/>
        <w:adjustRightInd w:val="0"/>
        <w:spacing w:after="0" w:line="276" w:lineRule="auto"/>
        <w:jc w:val="center"/>
        <w:rPr>
          <w:rFonts w:ascii="Source Sans Pro" w:hAnsi="Source Sans Pro" w:cs="TimesNewRoman,Bold"/>
          <w:lang w:val="en-US"/>
        </w:rPr>
      </w:pPr>
      <w:r w:rsidRPr="003349BF">
        <w:rPr>
          <w:rFonts w:ascii="Source Sans Pro" w:hAnsi="Source Sans Pro" w:cs="TimesNewRoman,Bold"/>
          <w:lang w:val="en-US"/>
        </w:rPr>
        <w:t>PhD researcher at the Institute of Law, Policy and Development</w:t>
      </w:r>
    </w:p>
    <w:p w14:paraId="1B7DB3F4" w14:textId="051FC203" w:rsidR="00371527" w:rsidRPr="003349BF" w:rsidRDefault="00371527" w:rsidP="00371527">
      <w:pPr>
        <w:autoSpaceDE w:val="0"/>
        <w:autoSpaceDN w:val="0"/>
        <w:adjustRightInd w:val="0"/>
        <w:spacing w:after="0" w:line="276" w:lineRule="auto"/>
        <w:jc w:val="center"/>
        <w:rPr>
          <w:rFonts w:ascii="Source Sans Pro" w:hAnsi="Source Sans Pro" w:cs="TimesNewRoman,Bold"/>
          <w:lang w:val="en-US"/>
        </w:rPr>
      </w:pPr>
      <w:proofErr w:type="spellStart"/>
      <w:r w:rsidRPr="003349BF">
        <w:rPr>
          <w:rFonts w:ascii="Source Sans Pro" w:hAnsi="Source Sans Pro" w:cs="TimesNewRoman,Bold"/>
          <w:lang w:val="en-US"/>
        </w:rPr>
        <w:t>Sant’Anna</w:t>
      </w:r>
      <w:proofErr w:type="spellEnd"/>
      <w:r w:rsidRPr="003349BF">
        <w:rPr>
          <w:rFonts w:ascii="Source Sans Pro" w:hAnsi="Source Sans Pro" w:cs="TimesNewRoman,Bold"/>
          <w:lang w:val="en-US"/>
        </w:rPr>
        <w:t xml:space="preserve"> School of Advanced Studies</w:t>
      </w:r>
    </w:p>
    <w:p w14:paraId="2E628E6F" w14:textId="585B6D5A" w:rsidR="00976D5B" w:rsidRPr="003349BF" w:rsidRDefault="003349BF" w:rsidP="00371527">
      <w:pPr>
        <w:autoSpaceDE w:val="0"/>
        <w:autoSpaceDN w:val="0"/>
        <w:adjustRightInd w:val="0"/>
        <w:spacing w:after="0" w:line="276" w:lineRule="auto"/>
        <w:jc w:val="center"/>
        <w:rPr>
          <w:rFonts w:ascii="Source Sans Pro" w:hAnsi="Source Sans Pro" w:cs="TimesNewRoman,Bold"/>
          <w:lang w:val="en-US"/>
        </w:rPr>
      </w:pPr>
      <w:hyperlink r:id="rId7" w:history="1">
        <w:r w:rsidR="00976D5B" w:rsidRPr="003349BF">
          <w:rPr>
            <w:rStyle w:val="Hyperlink"/>
            <w:rFonts w:ascii="Source Sans Pro" w:hAnsi="Source Sans Pro" w:cs="TimesNewRoman,Bold"/>
            <w:lang w:val="en-US"/>
          </w:rPr>
          <w:t>chiara.scissa@santannapisa.it</w:t>
        </w:r>
      </w:hyperlink>
      <w:r w:rsidR="00976D5B" w:rsidRPr="003349BF">
        <w:rPr>
          <w:rFonts w:ascii="Source Sans Pro" w:hAnsi="Source Sans Pro" w:cs="TimesNewRoman,Bold"/>
          <w:lang w:val="en-US"/>
        </w:rPr>
        <w:t xml:space="preserve"> </w:t>
      </w:r>
    </w:p>
    <w:p w14:paraId="6CCBAD11" w14:textId="6335E9A8" w:rsidR="00371527" w:rsidRPr="003349BF" w:rsidRDefault="005E64B1" w:rsidP="005E64B1">
      <w:pPr>
        <w:autoSpaceDE w:val="0"/>
        <w:autoSpaceDN w:val="0"/>
        <w:adjustRightInd w:val="0"/>
        <w:spacing w:after="0" w:line="276" w:lineRule="auto"/>
        <w:rPr>
          <w:rFonts w:ascii="Source Sans Pro" w:hAnsi="Source Sans Pro" w:cs="TimesNewRoman,Bold"/>
          <w:lang w:val="en-US"/>
        </w:rPr>
      </w:pPr>
      <w:r w:rsidRPr="003349BF">
        <w:rPr>
          <w:rFonts w:ascii="Source Sans Pro" w:hAnsi="Source Sans Pro" w:cs="TimesNewRoman,Bold"/>
          <w:lang w:val="en-US"/>
        </w:rPr>
        <w:t>Words: 18</w:t>
      </w:r>
      <w:r w:rsidR="00807D0C" w:rsidRPr="003349BF">
        <w:rPr>
          <w:rFonts w:ascii="Source Sans Pro" w:hAnsi="Source Sans Pro" w:cs="TimesNewRoman,Bold"/>
          <w:lang w:val="en-US"/>
        </w:rPr>
        <w:t>76.</w:t>
      </w:r>
      <w:r w:rsidRPr="003349BF">
        <w:rPr>
          <w:rFonts w:ascii="Source Sans Pro" w:hAnsi="Source Sans Pro" w:cs="TimesNewRoman,Bold"/>
          <w:lang w:val="en-US"/>
        </w:rPr>
        <w:t xml:space="preserve"> </w:t>
      </w:r>
    </w:p>
    <w:p w14:paraId="7A38ABF2" w14:textId="77777777" w:rsidR="005E64B1" w:rsidRPr="003349BF" w:rsidRDefault="005E64B1" w:rsidP="005E64B1">
      <w:pPr>
        <w:autoSpaceDE w:val="0"/>
        <w:autoSpaceDN w:val="0"/>
        <w:adjustRightInd w:val="0"/>
        <w:spacing w:after="0" w:line="276" w:lineRule="auto"/>
        <w:rPr>
          <w:rFonts w:ascii="Source Sans Pro" w:hAnsi="Source Sans Pro" w:cs="TimesNewRoman,Bold"/>
          <w:lang w:val="en-US"/>
        </w:rPr>
      </w:pPr>
    </w:p>
    <w:p w14:paraId="2B81E207" w14:textId="723B213D" w:rsidR="005E64B1" w:rsidRPr="003349BF" w:rsidRDefault="005E64B1" w:rsidP="005E64B1">
      <w:pPr>
        <w:spacing w:line="276" w:lineRule="auto"/>
        <w:jc w:val="both"/>
        <w:rPr>
          <w:rFonts w:ascii="Source Sans Pro" w:hAnsi="Source Sans Pro"/>
          <w:b/>
          <w:bCs/>
          <w:i/>
          <w:iCs/>
          <w:lang w:val="en-US"/>
        </w:rPr>
      </w:pPr>
      <w:r w:rsidRPr="003349BF">
        <w:rPr>
          <w:rFonts w:ascii="Source Sans Pro" w:hAnsi="Source Sans Pro"/>
          <w:b/>
          <w:bCs/>
          <w:i/>
          <w:iCs/>
          <w:lang w:val="en-US"/>
        </w:rPr>
        <w:t>3. Please indicate how relevant State obligations under international human rights and refugee law are respected at the national level in addressing climate change-related international migration and providing protection to persons crossing international borders in response to the adverse effects of climate change. More specifically, please explain to what extent the impacts of climate change are recognized as a possible ground for admission and stay in national migration laws and policies, as well as asylum procedures and other procedures, including for temporary and long-term protection and return procedures. Please include information on any concrete mechanisms put in place to grant admission and stay and ensure protection to people fleeing the adverse effects of climate change.</w:t>
      </w:r>
    </w:p>
    <w:p w14:paraId="2D0F044A" w14:textId="6B2953D4"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 xml:space="preserve">Italy is currently </w:t>
      </w:r>
      <w:r w:rsidR="00B278AD" w:rsidRPr="003349BF">
        <w:rPr>
          <w:rFonts w:ascii="Source Sans Pro" w:hAnsi="Source Sans Pro"/>
          <w:lang w:val="en-US"/>
        </w:rPr>
        <w:t xml:space="preserve">one of </w:t>
      </w:r>
      <w:r w:rsidR="00D75D43" w:rsidRPr="003349BF">
        <w:rPr>
          <w:rFonts w:ascii="Source Sans Pro" w:hAnsi="Source Sans Pro"/>
          <w:lang w:val="en-US"/>
        </w:rPr>
        <w:t>a handful</w:t>
      </w:r>
      <w:r w:rsidR="00B278AD" w:rsidRPr="003349BF">
        <w:rPr>
          <w:rFonts w:ascii="Source Sans Pro" w:hAnsi="Source Sans Pro"/>
          <w:lang w:val="en-US"/>
        </w:rPr>
        <w:t xml:space="preserve"> </w:t>
      </w:r>
      <w:r w:rsidR="00D75D43" w:rsidRPr="003349BF">
        <w:rPr>
          <w:rFonts w:ascii="Source Sans Pro" w:hAnsi="Source Sans Pro"/>
          <w:lang w:val="en-US"/>
        </w:rPr>
        <w:t xml:space="preserve">of </w:t>
      </w:r>
      <w:r w:rsidR="00B278AD" w:rsidRPr="003349BF">
        <w:rPr>
          <w:rFonts w:ascii="Source Sans Pro" w:hAnsi="Source Sans Pro"/>
          <w:lang w:val="en-US"/>
        </w:rPr>
        <w:t xml:space="preserve">countries in the world, and the only </w:t>
      </w:r>
      <w:r w:rsidR="00201D73" w:rsidRPr="003349BF">
        <w:rPr>
          <w:rFonts w:ascii="Source Sans Pro" w:hAnsi="Source Sans Pro"/>
          <w:lang w:val="en-US"/>
        </w:rPr>
        <w:t>EU Member State</w:t>
      </w:r>
      <w:r w:rsidR="00B278AD" w:rsidRPr="003349BF">
        <w:rPr>
          <w:rFonts w:ascii="Source Sans Pro" w:hAnsi="Source Sans Pro"/>
          <w:lang w:val="en-US"/>
        </w:rPr>
        <w:t>,</w:t>
      </w:r>
      <w:r w:rsidRPr="003349BF">
        <w:rPr>
          <w:rFonts w:ascii="Source Sans Pro" w:hAnsi="Source Sans Pro"/>
          <w:lang w:val="en-US"/>
        </w:rPr>
        <w:t xml:space="preserve"> to offer explicit and multiple protection statuses to </w:t>
      </w:r>
      <w:r w:rsidR="00C654E5" w:rsidRPr="003349BF">
        <w:rPr>
          <w:rFonts w:ascii="Source Sans Pro" w:hAnsi="Source Sans Pro"/>
          <w:lang w:val="en-US"/>
        </w:rPr>
        <w:t xml:space="preserve">migrants </w:t>
      </w:r>
      <w:r w:rsidR="00D75D43" w:rsidRPr="003349BF">
        <w:rPr>
          <w:rFonts w:ascii="Source Sans Pro" w:hAnsi="Source Sans Pro"/>
          <w:lang w:val="en-US"/>
        </w:rPr>
        <w:t>fleeing</w:t>
      </w:r>
      <w:r w:rsidRPr="003349BF">
        <w:rPr>
          <w:rFonts w:ascii="Source Sans Pro" w:hAnsi="Source Sans Pro"/>
          <w:lang w:val="en-US"/>
        </w:rPr>
        <w:t xml:space="preserve"> </w:t>
      </w:r>
      <w:r w:rsidR="00B02B60" w:rsidRPr="003349BF">
        <w:rPr>
          <w:rFonts w:ascii="Source Sans Pro" w:hAnsi="Source Sans Pro"/>
          <w:lang w:val="en-US"/>
        </w:rPr>
        <w:t>due to</w:t>
      </w:r>
      <w:r w:rsidRPr="003349BF">
        <w:rPr>
          <w:rFonts w:ascii="Source Sans Pro" w:hAnsi="Source Sans Pro"/>
          <w:lang w:val="en-US"/>
        </w:rPr>
        <w:t xml:space="preserve"> environmental </w:t>
      </w:r>
      <w:r w:rsidR="00C654E5" w:rsidRPr="003349BF">
        <w:rPr>
          <w:rFonts w:ascii="Source Sans Pro" w:hAnsi="Source Sans Pro"/>
          <w:lang w:val="en-US"/>
        </w:rPr>
        <w:t xml:space="preserve">and climate </w:t>
      </w:r>
      <w:r w:rsidRPr="003349BF">
        <w:rPr>
          <w:rFonts w:ascii="Source Sans Pro" w:hAnsi="Source Sans Pro"/>
          <w:lang w:val="en-US"/>
        </w:rPr>
        <w:t xml:space="preserve">factors. </w:t>
      </w:r>
    </w:p>
    <w:p w14:paraId="34245104" w14:textId="56994F72"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The first provision in Italian migration law that deals with the protection of migrants on environmental grounds is Article 20 of the Consolidated Act on Immigration (CAI)</w:t>
      </w:r>
      <w:r w:rsidR="00D75D43" w:rsidRPr="003349BF">
        <w:rPr>
          <w:rFonts w:ascii="Source Sans Pro" w:hAnsi="Source Sans Pro"/>
          <w:lang w:val="en-US"/>
        </w:rPr>
        <w:t xml:space="preserve">, according to which </w:t>
      </w:r>
      <w:r w:rsidRPr="003349BF">
        <w:rPr>
          <w:rFonts w:ascii="Source Sans Pro" w:hAnsi="Source Sans Pro"/>
          <w:lang w:val="en-US"/>
        </w:rPr>
        <w:t xml:space="preserve">the President of the Council of Ministers may adopt </w:t>
      </w:r>
      <w:r w:rsidR="00D75D43" w:rsidRPr="003349BF">
        <w:rPr>
          <w:rFonts w:ascii="Source Sans Pro" w:hAnsi="Source Sans Pro"/>
          <w:lang w:val="en-US"/>
        </w:rPr>
        <w:t xml:space="preserve">extraordinary and </w:t>
      </w:r>
      <w:r w:rsidRPr="003349BF">
        <w:rPr>
          <w:rFonts w:ascii="Source Sans Pro" w:hAnsi="Source Sans Pro"/>
          <w:lang w:val="en-US"/>
        </w:rPr>
        <w:t>temporary protection measures for relevant humanitarian needs in case of conflicts, natural disasters, or other serious events in non-EU countries. Although it has never been activated on account of natural disasters, it remains a valid instrument of protection</w:t>
      </w:r>
      <w:r w:rsidR="00D75D43" w:rsidRPr="003349BF">
        <w:rPr>
          <w:rFonts w:ascii="Source Sans Pro" w:hAnsi="Source Sans Pro"/>
          <w:lang w:val="en-US"/>
        </w:rPr>
        <w:t xml:space="preserve">. </w:t>
      </w:r>
    </w:p>
    <w:p w14:paraId="7044E0E4" w14:textId="18D52361"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 xml:space="preserve">A second provision </w:t>
      </w:r>
      <w:r w:rsidR="00D75D43" w:rsidRPr="003349BF">
        <w:rPr>
          <w:rFonts w:ascii="Source Sans Pro" w:hAnsi="Source Sans Pro"/>
          <w:lang w:val="en-US"/>
        </w:rPr>
        <w:t>refers to</w:t>
      </w:r>
      <w:r w:rsidRPr="003349BF">
        <w:rPr>
          <w:rFonts w:ascii="Source Sans Pro" w:hAnsi="Source Sans Pro"/>
          <w:lang w:val="en-US"/>
        </w:rPr>
        <w:t xml:space="preserve"> the inclusion of environmental and climate factors in the assessment of humanitarian protection</w:t>
      </w:r>
      <w:r w:rsidR="00B02B60" w:rsidRPr="003349BF">
        <w:rPr>
          <w:rFonts w:ascii="Source Sans Pro" w:hAnsi="Source Sans Pro"/>
          <w:lang w:val="en-US"/>
        </w:rPr>
        <w:t xml:space="preserve">, which </w:t>
      </w:r>
      <w:r w:rsidR="00D75D43" w:rsidRPr="003349BF">
        <w:rPr>
          <w:rFonts w:ascii="Source Sans Pro" w:hAnsi="Source Sans Pro"/>
          <w:lang w:val="en-US"/>
        </w:rPr>
        <w:t>has been regulated under</w:t>
      </w:r>
      <w:r w:rsidRPr="003349BF">
        <w:rPr>
          <w:rFonts w:ascii="Source Sans Pro" w:hAnsi="Source Sans Pro"/>
          <w:lang w:val="en-US"/>
        </w:rPr>
        <w:t xml:space="preserve"> Article 5(6) CAI for over two decades. </w:t>
      </w:r>
      <w:r w:rsidR="00B02B60" w:rsidRPr="003349BF">
        <w:rPr>
          <w:rFonts w:ascii="Source Sans Pro" w:hAnsi="Source Sans Pro"/>
          <w:lang w:val="en-US"/>
        </w:rPr>
        <w:t xml:space="preserve">Although no longer into force, it still produces effects </w:t>
      </w:r>
      <w:proofErr w:type="spellStart"/>
      <w:r w:rsidR="00B02B60" w:rsidRPr="003349BF">
        <w:rPr>
          <w:rFonts w:ascii="Source Sans Pro" w:hAnsi="Source Sans Pro"/>
          <w:i/>
          <w:iCs/>
          <w:lang w:val="en-US"/>
        </w:rPr>
        <w:t>ratione</w:t>
      </w:r>
      <w:proofErr w:type="spellEnd"/>
      <w:r w:rsidR="00B02B60" w:rsidRPr="003349BF">
        <w:rPr>
          <w:rFonts w:ascii="Source Sans Pro" w:hAnsi="Source Sans Pro"/>
          <w:i/>
          <w:iCs/>
          <w:lang w:val="en-US"/>
        </w:rPr>
        <w:t xml:space="preserve"> </w:t>
      </w:r>
      <w:proofErr w:type="spellStart"/>
      <w:r w:rsidR="00B02B60" w:rsidRPr="003349BF">
        <w:rPr>
          <w:rFonts w:ascii="Source Sans Pro" w:hAnsi="Source Sans Pro"/>
          <w:i/>
          <w:iCs/>
          <w:lang w:val="en-US"/>
        </w:rPr>
        <w:t>temporis</w:t>
      </w:r>
      <w:proofErr w:type="spellEnd"/>
      <w:r w:rsidR="00B02B60" w:rsidRPr="003349BF">
        <w:rPr>
          <w:rFonts w:ascii="Source Sans Pro" w:hAnsi="Source Sans Pro"/>
          <w:lang w:val="en-US"/>
        </w:rPr>
        <w:t xml:space="preserve"> on pending cases. </w:t>
      </w:r>
      <w:r w:rsidRPr="003349BF">
        <w:rPr>
          <w:rFonts w:ascii="Source Sans Pro" w:hAnsi="Source Sans Pro"/>
          <w:lang w:val="en-US"/>
        </w:rPr>
        <w:t xml:space="preserve">It operated as a safeguard clause to fully comply with the principle of non-refoulement as well as with Article 10(3) on asylum of the Italian Constitution. </w:t>
      </w:r>
      <w:r w:rsidR="00D75D43" w:rsidRPr="003349BF">
        <w:rPr>
          <w:rFonts w:ascii="Source Sans Pro" w:hAnsi="Source Sans Pro"/>
          <w:lang w:val="en-US"/>
        </w:rPr>
        <w:t>And i</w:t>
      </w:r>
      <w:r w:rsidRPr="003349BF">
        <w:rPr>
          <w:rFonts w:ascii="Source Sans Pro" w:hAnsi="Source Sans Pro"/>
          <w:lang w:val="en-US"/>
        </w:rPr>
        <w:t xml:space="preserve">t was conceived to be issued to people not eligible for international protection who nevertheless could not be expelled because of serious </w:t>
      </w:r>
      <w:r w:rsidR="00C654E5" w:rsidRPr="003349BF">
        <w:rPr>
          <w:rFonts w:ascii="Source Sans Pro" w:hAnsi="Source Sans Pro"/>
          <w:lang w:val="en-US"/>
        </w:rPr>
        <w:t xml:space="preserve">humanitarian </w:t>
      </w:r>
      <w:r w:rsidRPr="003349BF">
        <w:rPr>
          <w:rFonts w:ascii="Source Sans Pro" w:hAnsi="Source Sans Pro"/>
          <w:lang w:val="en-US"/>
        </w:rPr>
        <w:t>reasons</w:t>
      </w:r>
      <w:r w:rsidR="00D75D43" w:rsidRPr="003349BF">
        <w:rPr>
          <w:rFonts w:ascii="Source Sans Pro" w:hAnsi="Source Sans Pro"/>
          <w:lang w:val="en-US"/>
        </w:rPr>
        <w:t xml:space="preserve"> </w:t>
      </w:r>
      <w:r w:rsidRPr="003349BF">
        <w:rPr>
          <w:rFonts w:ascii="Source Sans Pro" w:hAnsi="Source Sans Pro"/>
          <w:lang w:val="en-US"/>
        </w:rPr>
        <w:t>or resulting from constitutional or international obligations of the Italian State. Humanitarian protection was a flexible instrument to be granted to persons who suffered, or would be at risk of suffering upon removal, from an effective deprivation of human rights</w:t>
      </w:r>
      <w:r w:rsidR="00C654E5" w:rsidRPr="003349BF">
        <w:rPr>
          <w:rFonts w:ascii="Source Sans Pro" w:hAnsi="Source Sans Pro"/>
          <w:lang w:val="en-US"/>
        </w:rPr>
        <w:t xml:space="preserve"> </w:t>
      </w:r>
      <w:r w:rsidRPr="003349BF">
        <w:rPr>
          <w:rFonts w:ascii="Source Sans Pro" w:hAnsi="Source Sans Pro"/>
          <w:lang w:val="en-US"/>
        </w:rPr>
        <w:t xml:space="preserve">to be assessed </w:t>
      </w:r>
      <w:proofErr w:type="gramStart"/>
      <w:r w:rsidR="00DA5483" w:rsidRPr="003349BF">
        <w:rPr>
          <w:rFonts w:ascii="Source Sans Pro" w:hAnsi="Source Sans Pro"/>
          <w:lang w:val="en-US"/>
        </w:rPr>
        <w:t>in light of</w:t>
      </w:r>
      <w:proofErr w:type="gramEnd"/>
      <w:r w:rsidRPr="003349BF">
        <w:rPr>
          <w:rFonts w:ascii="Source Sans Pro" w:hAnsi="Source Sans Pro"/>
          <w:lang w:val="en-US"/>
        </w:rPr>
        <w:t xml:space="preserve"> both the objective situation in the country of origin and the </w:t>
      </w:r>
      <w:r w:rsidR="00C654E5" w:rsidRPr="003349BF">
        <w:rPr>
          <w:rFonts w:ascii="Source Sans Pro" w:hAnsi="Source Sans Pro"/>
          <w:lang w:val="en-US"/>
        </w:rPr>
        <w:t>claimant’s</w:t>
      </w:r>
      <w:r w:rsidRPr="003349BF">
        <w:rPr>
          <w:rFonts w:ascii="Source Sans Pro" w:hAnsi="Source Sans Pro"/>
          <w:lang w:val="en-US"/>
        </w:rPr>
        <w:t xml:space="preserve"> personal conditions</w:t>
      </w:r>
      <w:r w:rsidR="00C654E5" w:rsidRPr="003349BF">
        <w:rPr>
          <w:rFonts w:ascii="Source Sans Pro" w:hAnsi="Source Sans Pro"/>
          <w:lang w:val="en-US"/>
        </w:rPr>
        <w:t xml:space="preserve">. These included </w:t>
      </w:r>
      <w:r w:rsidRPr="003349BF">
        <w:rPr>
          <w:rFonts w:ascii="Source Sans Pro" w:hAnsi="Source Sans Pro"/>
          <w:lang w:val="en-US"/>
        </w:rPr>
        <w:t>vulnerability</w:t>
      </w:r>
      <w:r w:rsidR="00C654E5" w:rsidRPr="003349BF">
        <w:rPr>
          <w:rFonts w:ascii="Source Sans Pro" w:hAnsi="Source Sans Pro"/>
          <w:lang w:val="en-US"/>
        </w:rPr>
        <w:t xml:space="preserve"> and</w:t>
      </w:r>
      <w:r w:rsidRPr="003349BF">
        <w:rPr>
          <w:rFonts w:ascii="Source Sans Pro" w:hAnsi="Source Sans Pro"/>
          <w:lang w:val="en-US"/>
        </w:rPr>
        <w:t xml:space="preserve"> exposure to famine, natural disasters, land grabbing as well as the general environmental and climate conditions of the country of origin</w:t>
      </w:r>
      <w:r w:rsidR="00C654E5" w:rsidRPr="003349BF">
        <w:rPr>
          <w:rFonts w:ascii="Source Sans Pro" w:hAnsi="Source Sans Pro"/>
          <w:lang w:val="en-US"/>
        </w:rPr>
        <w:t>,</w:t>
      </w:r>
      <w:r w:rsidRPr="003349BF">
        <w:rPr>
          <w:rFonts w:ascii="Source Sans Pro" w:hAnsi="Source Sans Pro"/>
          <w:lang w:val="en-US"/>
        </w:rPr>
        <w:t xml:space="preserve"> if able to jeopardize the core human rights of the individual.  </w:t>
      </w:r>
    </w:p>
    <w:p w14:paraId="1D746DE3" w14:textId="6EF23B03" w:rsidR="00C639F2" w:rsidRPr="003349BF" w:rsidRDefault="00DA5483" w:rsidP="00E23227">
      <w:pPr>
        <w:spacing w:line="276" w:lineRule="auto"/>
        <w:jc w:val="both"/>
        <w:rPr>
          <w:rFonts w:ascii="Source Sans Pro" w:hAnsi="Source Sans Pro"/>
          <w:lang w:val="en-US"/>
        </w:rPr>
      </w:pPr>
      <w:r w:rsidRPr="003349BF">
        <w:rPr>
          <w:rFonts w:ascii="Source Sans Pro" w:hAnsi="Source Sans Pro"/>
          <w:b/>
          <w:bCs/>
          <w:lang w:val="en-US"/>
        </w:rPr>
        <w:t xml:space="preserve">Pursuant to Article 5(6) CAI, </w:t>
      </w:r>
      <w:r w:rsidR="00C639F2" w:rsidRPr="003349BF">
        <w:rPr>
          <w:rFonts w:ascii="Source Sans Pro" w:hAnsi="Source Sans Pro"/>
          <w:b/>
          <w:bCs/>
          <w:lang w:val="en-US"/>
        </w:rPr>
        <w:t xml:space="preserve">the Ministry of the Interior </w:t>
      </w:r>
      <w:r w:rsidRPr="003349BF">
        <w:rPr>
          <w:rFonts w:ascii="Source Sans Pro" w:hAnsi="Source Sans Pro"/>
          <w:b/>
          <w:bCs/>
          <w:lang w:val="en-US"/>
        </w:rPr>
        <w:t xml:space="preserve">repeatedly announced </w:t>
      </w:r>
      <w:r w:rsidR="00C639F2" w:rsidRPr="003349BF">
        <w:rPr>
          <w:rFonts w:ascii="Source Sans Pro" w:hAnsi="Source Sans Pro"/>
          <w:b/>
          <w:bCs/>
          <w:lang w:val="en-US"/>
        </w:rPr>
        <w:t xml:space="preserve">to temporarily suspend the expulsion of </w:t>
      </w:r>
      <w:r w:rsidRPr="003349BF">
        <w:rPr>
          <w:rFonts w:ascii="Source Sans Pro" w:hAnsi="Source Sans Pro"/>
          <w:b/>
          <w:bCs/>
          <w:lang w:val="en-US"/>
        </w:rPr>
        <w:t xml:space="preserve">certain third country nationals </w:t>
      </w:r>
      <w:r w:rsidR="00C639F2" w:rsidRPr="003349BF">
        <w:rPr>
          <w:rFonts w:ascii="Source Sans Pro" w:hAnsi="Source Sans Pro"/>
          <w:b/>
          <w:bCs/>
          <w:lang w:val="en-US"/>
        </w:rPr>
        <w:t xml:space="preserve">due to serious </w:t>
      </w:r>
      <w:r w:rsidRPr="003349BF">
        <w:rPr>
          <w:rFonts w:ascii="Source Sans Pro" w:hAnsi="Source Sans Pro"/>
          <w:b/>
          <w:bCs/>
          <w:lang w:val="en-US"/>
        </w:rPr>
        <w:t xml:space="preserve">natural disasters in their </w:t>
      </w:r>
      <w:r w:rsidRPr="003349BF">
        <w:rPr>
          <w:rFonts w:ascii="Source Sans Pro" w:hAnsi="Source Sans Pro"/>
          <w:b/>
          <w:bCs/>
          <w:lang w:val="en-US"/>
        </w:rPr>
        <w:lastRenderedPageBreak/>
        <w:t xml:space="preserve">respective countries of origin </w:t>
      </w:r>
      <w:r w:rsidR="00BF64C4" w:rsidRPr="003349BF">
        <w:rPr>
          <w:rFonts w:ascii="Source Sans Pro" w:hAnsi="Source Sans Pro"/>
          <w:b/>
          <w:bCs/>
          <w:lang w:val="en-US"/>
        </w:rPr>
        <w:t>(</w:t>
      </w:r>
      <w:r w:rsidR="00D8144E" w:rsidRPr="003349BF">
        <w:rPr>
          <w:rFonts w:ascii="Source Sans Pro" w:hAnsi="Source Sans Pro"/>
          <w:b/>
          <w:bCs/>
          <w:lang w:val="en-US"/>
        </w:rPr>
        <w:t xml:space="preserve">pp. 1-6 </w:t>
      </w:r>
      <w:r w:rsidR="00BF64C4" w:rsidRPr="003349BF">
        <w:rPr>
          <w:rFonts w:ascii="Source Sans Pro" w:hAnsi="Source Sans Pro"/>
          <w:b/>
          <w:bCs/>
          <w:lang w:val="en-US"/>
        </w:rPr>
        <w:t>annex)</w:t>
      </w:r>
      <w:r w:rsidR="00C639F2" w:rsidRPr="003349BF">
        <w:rPr>
          <w:rFonts w:ascii="Source Sans Pro" w:hAnsi="Source Sans Pro"/>
          <w:b/>
          <w:bCs/>
          <w:lang w:val="en-US"/>
        </w:rPr>
        <w:t>.</w:t>
      </w:r>
      <w:r w:rsidR="00700650" w:rsidRPr="003349BF">
        <w:rPr>
          <w:rFonts w:ascii="Source Sans Pro" w:hAnsi="Source Sans Pro"/>
          <w:lang w:val="en-US"/>
        </w:rPr>
        <w:t xml:space="preserve"> </w:t>
      </w:r>
      <w:r w:rsidR="00C639F2" w:rsidRPr="003349BF">
        <w:rPr>
          <w:rFonts w:ascii="Source Sans Pro" w:hAnsi="Source Sans Pro"/>
          <w:lang w:val="en-US"/>
        </w:rPr>
        <w:t xml:space="preserve">The dynamic approach endorsed by administrative and judicial authorities </w:t>
      </w:r>
      <w:r w:rsidRPr="003349BF">
        <w:rPr>
          <w:rFonts w:ascii="Source Sans Pro" w:hAnsi="Source Sans Pro"/>
          <w:lang w:val="en-US"/>
        </w:rPr>
        <w:t xml:space="preserve">further </w:t>
      </w:r>
      <w:r w:rsidR="00C639F2" w:rsidRPr="003349BF">
        <w:rPr>
          <w:rFonts w:ascii="Source Sans Pro" w:hAnsi="Source Sans Pro"/>
          <w:lang w:val="en-US"/>
        </w:rPr>
        <w:t xml:space="preserve">consolidated the issuance of humanitarian protection </w:t>
      </w:r>
      <w:r w:rsidRPr="003349BF">
        <w:rPr>
          <w:rFonts w:ascii="Source Sans Pro" w:hAnsi="Source Sans Pro"/>
          <w:lang w:val="en-US"/>
        </w:rPr>
        <w:t xml:space="preserve">on account of </w:t>
      </w:r>
      <w:r w:rsidR="00C639F2" w:rsidRPr="003349BF">
        <w:rPr>
          <w:rFonts w:ascii="Source Sans Pro" w:hAnsi="Source Sans Pro"/>
          <w:lang w:val="en-US"/>
        </w:rPr>
        <w:t xml:space="preserve">droughts, famine, and floods.  </w:t>
      </w:r>
    </w:p>
    <w:p w14:paraId="16A8560A" w14:textId="6C47C069"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 xml:space="preserve">Over the last years, the Italian </w:t>
      </w:r>
      <w:r w:rsidR="00B02B60" w:rsidRPr="003349BF">
        <w:rPr>
          <w:rFonts w:ascii="Source Sans Pro" w:hAnsi="Source Sans Pro"/>
          <w:lang w:val="en-US"/>
        </w:rPr>
        <w:t>government</w:t>
      </w:r>
      <w:r w:rsidRPr="003349BF">
        <w:rPr>
          <w:rFonts w:ascii="Source Sans Pro" w:hAnsi="Source Sans Pro"/>
          <w:lang w:val="en-US"/>
        </w:rPr>
        <w:t xml:space="preserve"> has significatively intervened in the renovation of the institute of humanitarian protection. The Decree-Law of 4 October 2018 n. 113 substituted humanitarian protection with a fixed and exhaustive list of protection grounds and</w:t>
      </w:r>
      <w:proofErr w:type="gramStart"/>
      <w:r w:rsidR="002A2F4D" w:rsidRPr="003349BF">
        <w:rPr>
          <w:rFonts w:ascii="Source Sans Pro" w:hAnsi="Source Sans Pro"/>
          <w:lang w:val="en-US"/>
        </w:rPr>
        <w:t>, in particular, introduced</w:t>
      </w:r>
      <w:proofErr w:type="gramEnd"/>
      <w:r w:rsidRPr="003349BF">
        <w:rPr>
          <w:rFonts w:ascii="Source Sans Pro" w:hAnsi="Source Sans Pro"/>
          <w:lang w:val="en-US"/>
        </w:rPr>
        <w:t xml:space="preserve"> Article 20-bis CAI. This new provision provided protection to </w:t>
      </w:r>
      <w:r w:rsidR="002A2F4D" w:rsidRPr="003349BF">
        <w:rPr>
          <w:rFonts w:ascii="Source Sans Pro" w:hAnsi="Source Sans Pro"/>
          <w:lang w:val="en-US"/>
        </w:rPr>
        <w:t>migrants</w:t>
      </w:r>
      <w:r w:rsidRPr="003349BF">
        <w:rPr>
          <w:rFonts w:ascii="Source Sans Pro" w:hAnsi="Source Sans Pro"/>
          <w:lang w:val="en-US"/>
        </w:rPr>
        <w:t xml:space="preserve"> whose country of origin was in a situation of contingent and exceptional calamity, which did not allow for a safe return. </w:t>
      </w:r>
      <w:r w:rsidR="002A2F4D" w:rsidRPr="003349BF">
        <w:rPr>
          <w:rFonts w:ascii="Source Sans Pro" w:hAnsi="Source Sans Pro"/>
          <w:lang w:val="en-US"/>
        </w:rPr>
        <w:t>Accordingly</w:t>
      </w:r>
      <w:r w:rsidRPr="003349BF">
        <w:rPr>
          <w:rFonts w:ascii="Source Sans Pro" w:hAnsi="Source Sans Pro"/>
          <w:lang w:val="en-US"/>
        </w:rPr>
        <w:t xml:space="preserve">, a six-month residence permit was issued that could be renewed for a further period of six months if unsafety persisted. The contingent and exceptional character of such a calamity clarified that only sudden and </w:t>
      </w:r>
      <w:r w:rsidR="002A2F4D" w:rsidRPr="003349BF">
        <w:rPr>
          <w:rFonts w:ascii="Source Sans Pro" w:hAnsi="Source Sans Pro"/>
          <w:lang w:val="en-US"/>
        </w:rPr>
        <w:t>occasional</w:t>
      </w:r>
      <w:r w:rsidRPr="003349BF">
        <w:rPr>
          <w:rFonts w:ascii="Source Sans Pro" w:hAnsi="Source Sans Pro"/>
          <w:lang w:val="en-US"/>
        </w:rPr>
        <w:t xml:space="preserve"> events, such as earthquakes or floods, could be considered as eligible events under this provision, thus excluding slow-onset events</w:t>
      </w:r>
      <w:r w:rsidR="00700650" w:rsidRPr="003349BF">
        <w:rPr>
          <w:rFonts w:ascii="Source Sans Pro" w:hAnsi="Source Sans Pro"/>
          <w:lang w:val="en-US"/>
        </w:rPr>
        <w:t>.</w:t>
      </w:r>
      <w:r w:rsidRPr="003349BF">
        <w:rPr>
          <w:rFonts w:ascii="Source Sans Pro" w:hAnsi="Source Sans Pro"/>
          <w:lang w:val="en-US"/>
        </w:rPr>
        <w:t xml:space="preserve"> </w:t>
      </w:r>
    </w:p>
    <w:p w14:paraId="52F9766D" w14:textId="252BB39A"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The Decree-Law of 21 October 2020 n. 130</w:t>
      </w:r>
      <w:r w:rsidR="002A2F4D" w:rsidRPr="003349BF">
        <w:rPr>
          <w:rFonts w:ascii="Source Sans Pro" w:hAnsi="Source Sans Pro"/>
          <w:lang w:val="en-US"/>
        </w:rPr>
        <w:t xml:space="preserve">, </w:t>
      </w:r>
      <w:r w:rsidR="002A2F4D" w:rsidRPr="003349BF">
        <w:rPr>
          <w:rFonts w:ascii="Source Sans Pro" w:hAnsi="Source Sans Pro"/>
          <w:i/>
          <w:iCs/>
          <w:lang w:val="en-US"/>
        </w:rPr>
        <w:t>inter alia</w:t>
      </w:r>
      <w:r w:rsidR="002A2F4D" w:rsidRPr="003349BF">
        <w:rPr>
          <w:rFonts w:ascii="Source Sans Pro" w:hAnsi="Source Sans Pro"/>
          <w:lang w:val="en-US"/>
        </w:rPr>
        <w:t xml:space="preserve">, </w:t>
      </w:r>
      <w:r w:rsidRPr="003349BF">
        <w:rPr>
          <w:rFonts w:ascii="Source Sans Pro" w:hAnsi="Source Sans Pro"/>
          <w:lang w:val="en-US"/>
        </w:rPr>
        <w:t xml:space="preserve">amends Article 20-bis that currently provides for a residence permit owing to </w:t>
      </w:r>
      <w:r w:rsidR="002A2F4D" w:rsidRPr="003349BF">
        <w:rPr>
          <w:rFonts w:ascii="Source Sans Pro" w:hAnsi="Source Sans Pro"/>
          <w:lang w:val="en-US"/>
        </w:rPr>
        <w:t xml:space="preserve">a </w:t>
      </w:r>
      <w:r w:rsidRPr="003349BF">
        <w:rPr>
          <w:rFonts w:ascii="Source Sans Pro" w:hAnsi="Source Sans Pro"/>
          <w:i/>
          <w:iCs/>
          <w:lang w:val="en-US"/>
        </w:rPr>
        <w:t>serious</w:t>
      </w:r>
      <w:r w:rsidRPr="003349BF">
        <w:rPr>
          <w:rFonts w:ascii="Source Sans Pro" w:hAnsi="Source Sans Pro"/>
          <w:lang w:val="en-US"/>
        </w:rPr>
        <w:t xml:space="preserve"> calamity. This amendment seems to allow for a broader interpretation of the calamitous event based on the degree of severity rather than on its occurrence or progression over time. Additionally, the provision does no longer specify the duration of renewal for a maximum of six months, thus potentially suggesting that it can be renewed </w:t>
      </w:r>
      <w:proofErr w:type="gramStart"/>
      <w:r w:rsidRPr="003349BF">
        <w:rPr>
          <w:rFonts w:ascii="Source Sans Pro" w:hAnsi="Source Sans Pro"/>
          <w:lang w:val="en-US"/>
        </w:rPr>
        <w:t>as long as</w:t>
      </w:r>
      <w:proofErr w:type="gramEnd"/>
      <w:r w:rsidRPr="003349BF">
        <w:rPr>
          <w:rFonts w:ascii="Source Sans Pro" w:hAnsi="Source Sans Pro"/>
          <w:lang w:val="en-US"/>
        </w:rPr>
        <w:t xml:space="preserve"> the conditions of environmental insecurity in the country of origin persist. </w:t>
      </w:r>
    </w:p>
    <w:p w14:paraId="474127A9" w14:textId="5357AAC9" w:rsidR="00C639F2" w:rsidRPr="003349BF" w:rsidRDefault="00C639F2" w:rsidP="00E23227">
      <w:pPr>
        <w:spacing w:line="276" w:lineRule="auto"/>
        <w:jc w:val="both"/>
        <w:rPr>
          <w:rFonts w:ascii="Source Sans Pro" w:hAnsi="Source Sans Pro"/>
          <w:lang w:val="en-US"/>
        </w:rPr>
      </w:pPr>
      <w:r w:rsidRPr="003349BF">
        <w:rPr>
          <w:rFonts w:ascii="Source Sans Pro" w:hAnsi="Source Sans Pro"/>
          <w:lang w:val="en-US"/>
        </w:rPr>
        <w:t>Th</w:t>
      </w:r>
      <w:r w:rsidR="002A2F4D" w:rsidRPr="003349BF">
        <w:rPr>
          <w:rFonts w:ascii="Source Sans Pro" w:hAnsi="Source Sans Pro"/>
          <w:lang w:val="en-US"/>
        </w:rPr>
        <w:t>is</w:t>
      </w:r>
      <w:r w:rsidRPr="003349BF">
        <w:rPr>
          <w:rFonts w:ascii="Source Sans Pro" w:hAnsi="Source Sans Pro"/>
          <w:lang w:val="en-US"/>
        </w:rPr>
        <w:t xml:space="preserve"> Decree-</w:t>
      </w:r>
      <w:r w:rsidR="002A2F4D" w:rsidRPr="003349BF">
        <w:rPr>
          <w:rFonts w:ascii="Source Sans Pro" w:hAnsi="Source Sans Pro"/>
          <w:lang w:val="en-US"/>
        </w:rPr>
        <w:t>Law</w:t>
      </w:r>
      <w:r w:rsidRPr="003349BF">
        <w:rPr>
          <w:rFonts w:ascii="Source Sans Pro" w:hAnsi="Source Sans Pro"/>
          <w:lang w:val="en-US"/>
        </w:rPr>
        <w:t xml:space="preserve"> also amends the grounds on which removal is prohibited under Article 19 CAI, already modified by the former 2018 Decree-Law. Pursuant to the new formulation, refoulement is prohibited when there are reasonable grounds for believing that the applicant would be at risk of torture, inhuman or degrading treatment, or otherwise of systematic and gross violations of human rights. </w:t>
      </w:r>
      <w:r w:rsidR="002A2F4D" w:rsidRPr="003349BF">
        <w:rPr>
          <w:rFonts w:ascii="Source Sans Pro" w:hAnsi="Source Sans Pro"/>
          <w:lang w:val="en-US"/>
        </w:rPr>
        <w:t>Before issuing an order of removal, therefore, competent authorities are required to assess whether the conditions in the country of origin</w:t>
      </w:r>
      <w:r w:rsidR="00333C0A" w:rsidRPr="003349BF">
        <w:rPr>
          <w:rFonts w:ascii="Source Sans Pro" w:hAnsi="Source Sans Pro"/>
          <w:lang w:val="en-US"/>
        </w:rPr>
        <w:t xml:space="preserve">, including environmental and climate </w:t>
      </w:r>
      <w:r w:rsidR="00B02B60" w:rsidRPr="003349BF">
        <w:rPr>
          <w:rFonts w:ascii="Source Sans Pro" w:hAnsi="Source Sans Pro"/>
          <w:lang w:val="en-US"/>
        </w:rPr>
        <w:t>circumstances</w:t>
      </w:r>
      <w:r w:rsidR="00333C0A" w:rsidRPr="003349BF">
        <w:rPr>
          <w:rFonts w:ascii="Source Sans Pro" w:hAnsi="Source Sans Pro"/>
          <w:lang w:val="en-US"/>
        </w:rPr>
        <w:t xml:space="preserve">, </w:t>
      </w:r>
      <w:r w:rsidR="002A2F4D" w:rsidRPr="003349BF">
        <w:rPr>
          <w:rFonts w:ascii="Source Sans Pro" w:hAnsi="Source Sans Pro"/>
          <w:lang w:val="en-US"/>
        </w:rPr>
        <w:t xml:space="preserve">do not pose any substantial threat to the returnee’s human rights. </w:t>
      </w:r>
      <w:r w:rsidRPr="003349BF">
        <w:rPr>
          <w:rFonts w:ascii="Source Sans Pro" w:hAnsi="Source Sans Pro"/>
          <w:lang w:val="en-US"/>
        </w:rPr>
        <w:t xml:space="preserve"> </w:t>
      </w:r>
    </w:p>
    <w:p w14:paraId="653FBAEE" w14:textId="36C7F019" w:rsidR="00A55630" w:rsidRPr="003349BF" w:rsidRDefault="00A55630" w:rsidP="00E23227">
      <w:pPr>
        <w:spacing w:line="276" w:lineRule="auto"/>
        <w:jc w:val="both"/>
        <w:rPr>
          <w:rFonts w:ascii="Source Sans Pro" w:hAnsi="Source Sans Pro"/>
          <w:lang w:val="en-US"/>
        </w:rPr>
      </w:pPr>
      <w:r w:rsidRPr="003349BF">
        <w:rPr>
          <w:rFonts w:ascii="Source Sans Pro" w:hAnsi="Source Sans Pro"/>
          <w:lang w:val="en-US"/>
        </w:rPr>
        <w:t>Most recently, on 8 February 2022, a constitutional reform has been adopted that introduces</w:t>
      </w:r>
      <w:r w:rsidR="00C474E6" w:rsidRPr="003349BF">
        <w:rPr>
          <w:rFonts w:ascii="Source Sans Pro" w:hAnsi="Source Sans Pro"/>
          <w:lang w:val="en-US"/>
        </w:rPr>
        <w:t>,</w:t>
      </w:r>
      <w:r w:rsidRPr="003349BF">
        <w:rPr>
          <w:rFonts w:ascii="Source Sans Pro" w:hAnsi="Source Sans Pro"/>
          <w:lang w:val="en-US"/>
        </w:rPr>
        <w:t xml:space="preserve"> </w:t>
      </w:r>
      <w:r w:rsidR="00C474E6" w:rsidRPr="003349BF">
        <w:rPr>
          <w:rFonts w:ascii="Source Sans Pro" w:hAnsi="Source Sans Pro"/>
          <w:lang w:val="en-US"/>
        </w:rPr>
        <w:t xml:space="preserve">as part of the fundamental principles of the Italian Constitution, the principle of </w:t>
      </w:r>
      <w:r w:rsidRPr="003349BF">
        <w:rPr>
          <w:rFonts w:ascii="Source Sans Pro" w:hAnsi="Source Sans Pro"/>
          <w:lang w:val="en-US"/>
        </w:rPr>
        <w:t>environmental protection in the interest of present and future generations</w:t>
      </w:r>
      <w:r w:rsidR="00C474E6" w:rsidRPr="003349BF">
        <w:rPr>
          <w:rFonts w:ascii="Source Sans Pro" w:hAnsi="Source Sans Pro"/>
          <w:lang w:val="en-US"/>
        </w:rPr>
        <w:t>, potentially covering both Italian and non-Italian citizens</w:t>
      </w:r>
      <w:r w:rsidRPr="003349BF">
        <w:rPr>
          <w:rFonts w:ascii="Source Sans Pro" w:hAnsi="Source Sans Pro"/>
          <w:lang w:val="en-US"/>
        </w:rPr>
        <w:t>.</w:t>
      </w:r>
      <w:r w:rsidR="00C474E6" w:rsidRPr="003349BF">
        <w:rPr>
          <w:rFonts w:ascii="Source Sans Pro" w:hAnsi="Source Sans Pro"/>
          <w:lang w:val="en-US"/>
        </w:rPr>
        <w:t xml:space="preserve"> This hopefully adds further value to current provisions protecting against environmental causes of migration. </w:t>
      </w:r>
      <w:r w:rsidRPr="003349BF">
        <w:rPr>
          <w:rFonts w:ascii="Source Sans Pro" w:hAnsi="Source Sans Pro"/>
          <w:lang w:val="en-US"/>
        </w:rPr>
        <w:t xml:space="preserve">  </w:t>
      </w:r>
    </w:p>
    <w:p w14:paraId="58482041" w14:textId="29C4C283" w:rsidR="00B278AD" w:rsidRPr="003349BF" w:rsidRDefault="00844F45" w:rsidP="00E23227">
      <w:pPr>
        <w:spacing w:line="276" w:lineRule="auto"/>
        <w:jc w:val="both"/>
        <w:rPr>
          <w:rFonts w:ascii="Source Sans Pro" w:hAnsi="Source Sans Pro"/>
          <w:lang w:val="en-US"/>
        </w:rPr>
      </w:pPr>
      <w:r w:rsidRPr="003349BF">
        <w:rPr>
          <w:rFonts w:ascii="Source Sans Pro" w:hAnsi="Source Sans Pro"/>
          <w:lang w:val="en-US"/>
        </w:rPr>
        <w:t>As for national jurisprudence, t</w:t>
      </w:r>
      <w:r w:rsidR="00C639F2" w:rsidRPr="003349BF">
        <w:rPr>
          <w:rFonts w:ascii="Source Sans Pro" w:hAnsi="Source Sans Pro"/>
          <w:lang w:val="en-US"/>
        </w:rPr>
        <w:t xml:space="preserve">he Supreme Court of Cassation, the highest court of appeal in Italy, has promoted a human rights-based and </w:t>
      </w:r>
      <w:r w:rsidR="00333C0A" w:rsidRPr="003349BF">
        <w:rPr>
          <w:rFonts w:ascii="Source Sans Pro" w:hAnsi="Source Sans Pro"/>
          <w:lang w:val="en-US"/>
        </w:rPr>
        <w:t>extensive</w:t>
      </w:r>
      <w:r w:rsidR="00C639F2" w:rsidRPr="003349BF">
        <w:rPr>
          <w:rFonts w:ascii="Source Sans Pro" w:hAnsi="Source Sans Pro"/>
          <w:lang w:val="en-US"/>
        </w:rPr>
        <w:t xml:space="preserve"> interpretation of these domestic norms </w:t>
      </w:r>
      <w:proofErr w:type="gramStart"/>
      <w:r w:rsidR="00C639F2" w:rsidRPr="003349BF">
        <w:rPr>
          <w:rFonts w:ascii="Source Sans Pro" w:hAnsi="Source Sans Pro"/>
          <w:lang w:val="en-US"/>
        </w:rPr>
        <w:t>in light of</w:t>
      </w:r>
      <w:proofErr w:type="gramEnd"/>
      <w:r w:rsidR="00C639F2" w:rsidRPr="003349BF">
        <w:rPr>
          <w:rFonts w:ascii="Source Sans Pro" w:hAnsi="Source Sans Pro"/>
          <w:lang w:val="en-US"/>
        </w:rPr>
        <w:t xml:space="preserve"> the effects of climate change and environmental degradation, which contributed to unveiling their full potential. </w:t>
      </w:r>
      <w:r w:rsidR="00C639F2" w:rsidRPr="003349BF">
        <w:rPr>
          <w:rFonts w:ascii="Source Sans Pro" w:hAnsi="Source Sans Pro"/>
          <w:b/>
          <w:bCs/>
          <w:lang w:val="en-US"/>
        </w:rPr>
        <w:t xml:space="preserve">In early 2020, </w:t>
      </w:r>
      <w:r w:rsidR="00A028E0" w:rsidRPr="003349BF">
        <w:rPr>
          <w:rFonts w:ascii="Source Sans Pro" w:hAnsi="Source Sans Pro"/>
          <w:b/>
          <w:bCs/>
          <w:lang w:val="en-US"/>
        </w:rPr>
        <w:t xml:space="preserve">the Court found </w:t>
      </w:r>
      <w:r w:rsidR="00C639F2" w:rsidRPr="003349BF">
        <w:rPr>
          <w:rFonts w:ascii="Source Sans Pro" w:hAnsi="Source Sans Pro"/>
          <w:b/>
          <w:bCs/>
          <w:lang w:val="en-US"/>
        </w:rPr>
        <w:t xml:space="preserve">that the destruction of the </w:t>
      </w:r>
      <w:r w:rsidR="00333C0A" w:rsidRPr="003349BF">
        <w:rPr>
          <w:rFonts w:ascii="Source Sans Pro" w:hAnsi="Source Sans Pro"/>
          <w:b/>
          <w:bCs/>
          <w:lang w:val="en-US"/>
        </w:rPr>
        <w:t>claimant’s</w:t>
      </w:r>
      <w:r w:rsidR="00C639F2" w:rsidRPr="003349BF">
        <w:rPr>
          <w:rFonts w:ascii="Source Sans Pro" w:hAnsi="Source Sans Pro"/>
          <w:b/>
          <w:bCs/>
          <w:lang w:val="en-US"/>
        </w:rPr>
        <w:t xml:space="preserve"> home due to a flood that hit large parts of Bangladesh in 2012 and again in 2017 may ‘affect the vulnerability of the applicant if accompanied by adequate allegations and evidence relating to the possible violation of primary human rights, which may expose the applicant to the risk of living conditions that do not respect the core of fundamental rights that complement the dignity’</w:t>
      </w:r>
      <w:r w:rsidR="001228FA" w:rsidRPr="003349BF">
        <w:rPr>
          <w:rFonts w:ascii="Source Sans Pro" w:hAnsi="Source Sans Pro"/>
          <w:lang w:val="en-US"/>
        </w:rPr>
        <w:t xml:space="preserve">. </w:t>
      </w:r>
      <w:r w:rsidR="00C639F2" w:rsidRPr="003349BF">
        <w:rPr>
          <w:rFonts w:ascii="Source Sans Pro" w:hAnsi="Source Sans Pro"/>
          <w:b/>
          <w:bCs/>
          <w:lang w:val="en-US"/>
        </w:rPr>
        <w:t>In this case, the Court argued that natural disasters</w:t>
      </w:r>
      <w:r w:rsidR="00333C0A" w:rsidRPr="003349BF">
        <w:rPr>
          <w:rFonts w:ascii="Source Sans Pro" w:hAnsi="Source Sans Pro"/>
          <w:b/>
          <w:bCs/>
          <w:lang w:val="en-US"/>
        </w:rPr>
        <w:t xml:space="preserve"> can amount to compelling </w:t>
      </w:r>
      <w:r w:rsidR="004B7CF3" w:rsidRPr="003349BF">
        <w:rPr>
          <w:rFonts w:ascii="Source Sans Pro" w:hAnsi="Source Sans Pro"/>
          <w:b/>
          <w:bCs/>
          <w:lang w:val="en-US"/>
        </w:rPr>
        <w:t>drivers</w:t>
      </w:r>
      <w:r w:rsidR="00333C0A" w:rsidRPr="003349BF">
        <w:rPr>
          <w:rFonts w:ascii="Source Sans Pro" w:hAnsi="Source Sans Pro"/>
          <w:b/>
          <w:bCs/>
          <w:lang w:val="en-US"/>
        </w:rPr>
        <w:t xml:space="preserve"> of migration</w:t>
      </w:r>
      <w:r w:rsidR="00C639F2" w:rsidRPr="003349BF">
        <w:rPr>
          <w:rFonts w:ascii="Source Sans Pro" w:hAnsi="Source Sans Pro"/>
          <w:b/>
          <w:bCs/>
          <w:lang w:val="en-US"/>
        </w:rPr>
        <w:t>,</w:t>
      </w:r>
      <w:r w:rsidR="00333C0A" w:rsidRPr="003349BF">
        <w:rPr>
          <w:rFonts w:ascii="Source Sans Pro" w:hAnsi="Source Sans Pro"/>
          <w:b/>
          <w:bCs/>
          <w:lang w:val="en-US"/>
        </w:rPr>
        <w:t xml:space="preserve"> insofar as they </w:t>
      </w:r>
      <w:r w:rsidR="00C639F2" w:rsidRPr="003349BF">
        <w:rPr>
          <w:rFonts w:ascii="Source Sans Pro" w:hAnsi="Source Sans Pro"/>
          <w:b/>
          <w:bCs/>
          <w:lang w:val="en-US"/>
        </w:rPr>
        <w:t xml:space="preserve">are able to exacerbate people’s vulnerability and to violate core human rights. </w:t>
      </w:r>
      <w:r w:rsidRPr="003349BF">
        <w:rPr>
          <w:rFonts w:ascii="Source Sans Pro" w:hAnsi="Source Sans Pro"/>
          <w:lang w:val="en-US"/>
        </w:rPr>
        <w:t>I</w:t>
      </w:r>
      <w:r w:rsidR="00C639F2" w:rsidRPr="003349BF">
        <w:rPr>
          <w:rFonts w:ascii="Source Sans Pro" w:hAnsi="Source Sans Pro"/>
          <w:lang w:val="en-US"/>
        </w:rPr>
        <w:t xml:space="preserve">n February 2021, the Court of Cassation issued another order of crucial importance for a future interpretation of </w:t>
      </w:r>
      <w:r w:rsidRPr="003349BF">
        <w:rPr>
          <w:rFonts w:ascii="Source Sans Pro" w:hAnsi="Source Sans Pro"/>
          <w:lang w:val="en-US"/>
        </w:rPr>
        <w:t xml:space="preserve">the EU status of </w:t>
      </w:r>
      <w:r w:rsidR="00C639F2" w:rsidRPr="003349BF">
        <w:rPr>
          <w:rFonts w:ascii="Source Sans Pro" w:hAnsi="Source Sans Pro"/>
          <w:lang w:val="en-US"/>
        </w:rPr>
        <w:t xml:space="preserve">subsidiary protection </w:t>
      </w:r>
      <w:r w:rsidR="004B7CF3" w:rsidRPr="003349BF">
        <w:rPr>
          <w:rFonts w:ascii="Source Sans Pro" w:hAnsi="Source Sans Pro"/>
          <w:lang w:val="en-US"/>
        </w:rPr>
        <w:t>due to</w:t>
      </w:r>
      <w:r w:rsidR="00C639F2" w:rsidRPr="003349BF">
        <w:rPr>
          <w:rFonts w:ascii="Source Sans Pro" w:hAnsi="Source Sans Pro"/>
          <w:lang w:val="en-US"/>
        </w:rPr>
        <w:t xml:space="preserve"> environmental </w:t>
      </w:r>
      <w:r w:rsidR="005062A2" w:rsidRPr="003349BF">
        <w:rPr>
          <w:rFonts w:ascii="Source Sans Pro" w:hAnsi="Source Sans Pro"/>
          <w:lang w:val="en-US"/>
        </w:rPr>
        <w:t>stressors</w:t>
      </w:r>
      <w:r w:rsidR="00BF64C4" w:rsidRPr="003349BF">
        <w:rPr>
          <w:rFonts w:ascii="Source Sans Pro" w:hAnsi="Source Sans Pro"/>
          <w:lang w:val="en-US"/>
        </w:rPr>
        <w:t xml:space="preserve"> (</w:t>
      </w:r>
      <w:r w:rsidR="00D8144E" w:rsidRPr="003349BF">
        <w:rPr>
          <w:rFonts w:ascii="Source Sans Pro" w:hAnsi="Source Sans Pro"/>
          <w:lang w:val="en-US"/>
        </w:rPr>
        <w:t xml:space="preserve">pp. 7-15 </w:t>
      </w:r>
      <w:r w:rsidR="00BF64C4" w:rsidRPr="003349BF">
        <w:rPr>
          <w:rFonts w:ascii="Source Sans Pro" w:hAnsi="Source Sans Pro"/>
          <w:lang w:val="en-US"/>
        </w:rPr>
        <w:t>annex)</w:t>
      </w:r>
      <w:r w:rsidR="00C639F2" w:rsidRPr="003349BF">
        <w:rPr>
          <w:rFonts w:ascii="Source Sans Pro" w:hAnsi="Source Sans Pro"/>
          <w:lang w:val="en-US"/>
        </w:rPr>
        <w:t xml:space="preserve">. </w:t>
      </w:r>
      <w:r w:rsidR="00B278AD" w:rsidRPr="003349BF">
        <w:rPr>
          <w:rFonts w:ascii="Source Sans Pro" w:hAnsi="Source Sans Pro"/>
          <w:lang w:val="en-US"/>
        </w:rPr>
        <w:t>In this case, t</w:t>
      </w:r>
      <w:r w:rsidR="00C639F2" w:rsidRPr="003349BF">
        <w:rPr>
          <w:rFonts w:ascii="Source Sans Pro" w:hAnsi="Source Sans Pro"/>
          <w:lang w:val="en-US"/>
        </w:rPr>
        <w:t>he Court note</w:t>
      </w:r>
      <w:r w:rsidR="00B278AD" w:rsidRPr="003349BF">
        <w:rPr>
          <w:rFonts w:ascii="Source Sans Pro" w:hAnsi="Source Sans Pro"/>
          <w:lang w:val="en-US"/>
        </w:rPr>
        <w:t>d</w:t>
      </w:r>
      <w:r w:rsidR="00C639F2" w:rsidRPr="003349BF">
        <w:rPr>
          <w:rFonts w:ascii="Source Sans Pro" w:hAnsi="Source Sans Pro"/>
          <w:lang w:val="en-US"/>
        </w:rPr>
        <w:t xml:space="preserve"> that the right to life is not susceptible to violation only in case of armed conflict but also </w:t>
      </w:r>
      <w:r w:rsidR="005062A2" w:rsidRPr="003349BF">
        <w:rPr>
          <w:rFonts w:ascii="Source Sans Pro" w:hAnsi="Source Sans Pro"/>
          <w:lang w:val="en-US"/>
        </w:rPr>
        <w:t xml:space="preserve">when </w:t>
      </w:r>
      <w:r w:rsidR="00C639F2" w:rsidRPr="003349BF">
        <w:rPr>
          <w:rFonts w:ascii="Source Sans Pro" w:hAnsi="Source Sans Pro"/>
          <w:lang w:val="en-US"/>
        </w:rPr>
        <w:t xml:space="preserve">‘conditions of </w:t>
      </w:r>
      <w:r w:rsidR="00C639F2" w:rsidRPr="003349BF">
        <w:rPr>
          <w:rFonts w:ascii="Source Sans Pro" w:hAnsi="Source Sans Pro"/>
          <w:lang w:val="en-US"/>
        </w:rPr>
        <w:lastRenderedPageBreak/>
        <w:t xml:space="preserve">social, </w:t>
      </w:r>
      <w:proofErr w:type="gramStart"/>
      <w:r w:rsidR="00C639F2" w:rsidRPr="003349BF">
        <w:rPr>
          <w:rFonts w:ascii="Source Sans Pro" w:hAnsi="Source Sans Pro"/>
          <w:lang w:val="en-US"/>
        </w:rPr>
        <w:t>environmental</w:t>
      </w:r>
      <w:proofErr w:type="gramEnd"/>
      <w:r w:rsidR="00C639F2" w:rsidRPr="003349BF">
        <w:rPr>
          <w:rFonts w:ascii="Source Sans Pro" w:hAnsi="Source Sans Pro"/>
          <w:lang w:val="en-US"/>
        </w:rPr>
        <w:t xml:space="preserve"> or climatic degradation, or contexts of unsustainable exploitation of natural resources</w:t>
      </w:r>
      <w:r w:rsidR="005062A2" w:rsidRPr="003349BF">
        <w:rPr>
          <w:rFonts w:ascii="Source Sans Pro" w:hAnsi="Source Sans Pro"/>
          <w:lang w:val="en-US"/>
        </w:rPr>
        <w:t xml:space="preserve"> […] </w:t>
      </w:r>
      <w:r w:rsidR="00C639F2" w:rsidRPr="003349BF">
        <w:rPr>
          <w:rFonts w:ascii="Source Sans Pro" w:hAnsi="Source Sans Pro"/>
          <w:lang w:val="en-US"/>
        </w:rPr>
        <w:t>entail a serious risk for the survival of the individual’</w:t>
      </w:r>
      <w:r w:rsidR="00E430EF" w:rsidRPr="003349BF">
        <w:rPr>
          <w:rFonts w:ascii="Source Sans Pro" w:hAnsi="Source Sans Pro"/>
          <w:lang w:val="en-US"/>
        </w:rPr>
        <w:t>, emphasizing the role of human misconduct in creating an unbearable environment</w:t>
      </w:r>
      <w:r w:rsidR="00C639F2" w:rsidRPr="003349BF">
        <w:rPr>
          <w:rFonts w:ascii="Source Sans Pro" w:hAnsi="Source Sans Pro"/>
          <w:lang w:val="en-US"/>
        </w:rPr>
        <w:t>. This evolutionary reasoning, if pursued in future judgments, may pave the way to the recognition of subsidiary protection when environmental disasters, stemming from intentional human misconduct or overexploitation of natural resources</w:t>
      </w:r>
      <w:r w:rsidR="00E430EF" w:rsidRPr="003349BF">
        <w:rPr>
          <w:rFonts w:ascii="Source Sans Pro" w:hAnsi="Source Sans Pro"/>
          <w:lang w:val="en-US"/>
        </w:rPr>
        <w:t>,</w:t>
      </w:r>
      <w:r w:rsidR="00C639F2" w:rsidRPr="003349BF">
        <w:rPr>
          <w:rFonts w:ascii="Source Sans Pro" w:hAnsi="Source Sans Pro"/>
          <w:lang w:val="en-US"/>
        </w:rPr>
        <w:t xml:space="preserve"> may </w:t>
      </w:r>
      <w:r w:rsidR="00237E7F" w:rsidRPr="003349BF">
        <w:rPr>
          <w:rFonts w:ascii="Source Sans Pro" w:hAnsi="Source Sans Pro"/>
          <w:lang w:val="en-US"/>
        </w:rPr>
        <w:t>expose</w:t>
      </w:r>
      <w:r w:rsidR="00C639F2" w:rsidRPr="003349BF">
        <w:rPr>
          <w:rFonts w:ascii="Source Sans Pro" w:hAnsi="Source Sans Pro"/>
          <w:lang w:val="en-US"/>
        </w:rPr>
        <w:t xml:space="preserve"> the </w:t>
      </w:r>
      <w:r w:rsidR="00237E7F" w:rsidRPr="003349BF">
        <w:rPr>
          <w:rFonts w:ascii="Source Sans Pro" w:hAnsi="Source Sans Pro"/>
          <w:lang w:val="en-US"/>
        </w:rPr>
        <w:t>claimant to</w:t>
      </w:r>
      <w:r w:rsidR="00C639F2" w:rsidRPr="003349BF">
        <w:rPr>
          <w:rFonts w:ascii="Source Sans Pro" w:hAnsi="Source Sans Pro"/>
          <w:lang w:val="en-US"/>
        </w:rPr>
        <w:t xml:space="preserve"> </w:t>
      </w:r>
      <w:r w:rsidR="00237E7F" w:rsidRPr="003349BF">
        <w:rPr>
          <w:rFonts w:ascii="Source Sans Pro" w:hAnsi="Source Sans Pro"/>
          <w:lang w:val="en-US"/>
        </w:rPr>
        <w:t>the risk of irreparable harm</w:t>
      </w:r>
      <w:r w:rsidR="00C639F2" w:rsidRPr="003349BF">
        <w:rPr>
          <w:rFonts w:ascii="Source Sans Pro" w:hAnsi="Source Sans Pro"/>
          <w:lang w:val="en-US"/>
        </w:rPr>
        <w:t>, as already found</w:t>
      </w:r>
      <w:r w:rsidR="00AB7DFD" w:rsidRPr="003349BF">
        <w:rPr>
          <w:rFonts w:ascii="Source Sans Pro" w:hAnsi="Source Sans Pro" w:cstheme="majorHAnsi"/>
          <w:lang w:val="en-US"/>
        </w:rPr>
        <w:t xml:space="preserve"> by the UN Human Rights Committee</w:t>
      </w:r>
      <w:r w:rsidR="00C639F2" w:rsidRPr="003349BF">
        <w:rPr>
          <w:rFonts w:ascii="Source Sans Pro" w:hAnsi="Source Sans Pro"/>
          <w:lang w:val="en-US"/>
        </w:rPr>
        <w:t xml:space="preserve"> in </w:t>
      </w:r>
      <w:r w:rsidR="00F6020C" w:rsidRPr="003349BF">
        <w:rPr>
          <w:rFonts w:ascii="Source Sans Pro" w:hAnsi="Source Sans Pro"/>
          <w:lang w:val="en-US"/>
        </w:rPr>
        <w:t xml:space="preserve">the case </w:t>
      </w:r>
      <w:proofErr w:type="spellStart"/>
      <w:r w:rsidR="00C639F2" w:rsidRPr="003349BF">
        <w:rPr>
          <w:rFonts w:ascii="Source Sans Pro" w:hAnsi="Source Sans Pro"/>
          <w:i/>
          <w:iCs/>
          <w:lang w:val="en-US"/>
        </w:rPr>
        <w:t>Teitiota</w:t>
      </w:r>
      <w:proofErr w:type="spellEnd"/>
      <w:r w:rsidR="00F6020C" w:rsidRPr="003349BF">
        <w:rPr>
          <w:rFonts w:ascii="Source Sans Pro" w:hAnsi="Source Sans Pro"/>
          <w:i/>
          <w:iCs/>
          <w:lang w:val="en-US"/>
        </w:rPr>
        <w:t xml:space="preserve"> v New Zealand</w:t>
      </w:r>
      <w:r w:rsidR="00C639F2" w:rsidRPr="003349BF">
        <w:rPr>
          <w:rFonts w:ascii="Source Sans Pro" w:hAnsi="Source Sans Pro"/>
          <w:lang w:val="en-US"/>
        </w:rPr>
        <w:t xml:space="preserve">. </w:t>
      </w:r>
    </w:p>
    <w:p w14:paraId="335E91EA" w14:textId="7FB9DF91" w:rsidR="005E64B1" w:rsidRPr="003349BF" w:rsidRDefault="005E64B1" w:rsidP="005E64B1">
      <w:pPr>
        <w:pStyle w:val="NormalWeb"/>
        <w:shd w:val="clear" w:color="auto" w:fill="FFFFFF"/>
        <w:spacing w:after="269" w:line="276" w:lineRule="auto"/>
        <w:jc w:val="both"/>
        <w:rPr>
          <w:rFonts w:ascii="Source Sans Pro" w:hAnsi="Source Sans Pro" w:cstheme="majorHAnsi"/>
          <w:b/>
          <w:bCs/>
          <w:i/>
          <w:iCs/>
          <w:color w:val="101010"/>
          <w:sz w:val="22"/>
          <w:szCs w:val="22"/>
          <w:shd w:val="clear" w:color="auto" w:fill="FFFFFF"/>
          <w:lang w:val="en-US"/>
        </w:rPr>
      </w:pPr>
      <w:r w:rsidRPr="003349BF">
        <w:rPr>
          <w:rFonts w:ascii="Source Sans Pro" w:hAnsi="Source Sans Pro" w:cstheme="majorHAnsi"/>
          <w:b/>
          <w:bCs/>
          <w:i/>
          <w:iCs/>
          <w:color w:val="101010"/>
          <w:sz w:val="22"/>
          <w:szCs w:val="22"/>
          <w:shd w:val="clear" w:color="auto" w:fill="FFFFFF"/>
          <w:lang w:val="en-US"/>
        </w:rPr>
        <w:t xml:space="preserve">4. Please share examples of national and regional solutions to expand and facilitate pathways for safe and regular migration for people who are compelled to leave their countries in the context of climate change. Please indicate whether your country has adopted any bilateral, subregional, regional, international mechanisms, agreements, </w:t>
      </w:r>
      <w:proofErr w:type="gramStart"/>
      <w:r w:rsidRPr="003349BF">
        <w:rPr>
          <w:rFonts w:ascii="Source Sans Pro" w:hAnsi="Source Sans Pro" w:cstheme="majorHAnsi"/>
          <w:b/>
          <w:bCs/>
          <w:i/>
          <w:iCs/>
          <w:color w:val="101010"/>
          <w:sz w:val="22"/>
          <w:szCs w:val="22"/>
          <w:shd w:val="clear" w:color="auto" w:fill="FFFFFF"/>
          <w:lang w:val="en-US"/>
        </w:rPr>
        <w:t>frameworks</w:t>
      </w:r>
      <w:proofErr w:type="gramEnd"/>
      <w:r w:rsidRPr="003349BF">
        <w:rPr>
          <w:rFonts w:ascii="Source Sans Pro" w:hAnsi="Source Sans Pro" w:cstheme="majorHAnsi"/>
          <w:b/>
          <w:bCs/>
          <w:i/>
          <w:iCs/>
          <w:color w:val="101010"/>
          <w:sz w:val="22"/>
          <w:szCs w:val="22"/>
          <w:shd w:val="clear" w:color="auto" w:fill="FFFFFF"/>
          <w:lang w:val="en-US"/>
        </w:rPr>
        <w:t xml:space="preserve"> or programs, to facilitate safe, orderly and regular movements for migrants in the context of climate change.</w:t>
      </w:r>
    </w:p>
    <w:p w14:paraId="15F58A4D" w14:textId="2FFA757F" w:rsidR="00C654E5" w:rsidRPr="003349BF" w:rsidRDefault="004B7CF3" w:rsidP="00106A07">
      <w:pPr>
        <w:pStyle w:val="NormalWeb"/>
        <w:shd w:val="clear" w:color="auto" w:fill="FFFFFF"/>
        <w:spacing w:line="276" w:lineRule="auto"/>
        <w:jc w:val="both"/>
        <w:rPr>
          <w:rFonts w:ascii="Source Sans Pro" w:hAnsi="Source Sans Pro" w:cstheme="majorHAnsi"/>
          <w:color w:val="101010"/>
          <w:sz w:val="22"/>
          <w:szCs w:val="22"/>
          <w:shd w:val="clear" w:color="auto" w:fill="FFFFFF"/>
        </w:rPr>
      </w:pPr>
      <w:r w:rsidRPr="003349BF">
        <w:rPr>
          <w:rFonts w:ascii="Source Sans Pro" w:hAnsi="Source Sans Pro" w:cstheme="majorHAnsi"/>
          <w:color w:val="101010"/>
          <w:sz w:val="22"/>
          <w:szCs w:val="22"/>
          <w:shd w:val="clear" w:color="auto" w:fill="FFFFFF"/>
          <w:lang w:val="en-US"/>
        </w:rPr>
        <w:t>Within the EU legal order</w:t>
      </w:r>
      <w:r w:rsidRPr="003349BF">
        <w:rPr>
          <w:rFonts w:ascii="Source Sans Pro" w:hAnsi="Source Sans Pro" w:cstheme="majorHAnsi"/>
          <w:color w:val="101010"/>
          <w:sz w:val="22"/>
          <w:szCs w:val="22"/>
          <w:shd w:val="clear" w:color="auto" w:fill="FFFFFF"/>
        </w:rPr>
        <w:t xml:space="preserve">, environmental and climate threats are usually sought to be a further, not the main, reason to issue international protection. </w:t>
      </w:r>
      <w:r w:rsidR="00FE7C1E" w:rsidRPr="003349BF">
        <w:rPr>
          <w:rFonts w:ascii="Source Sans Pro" w:hAnsi="Source Sans Pro" w:cstheme="majorHAnsi"/>
          <w:color w:val="101010"/>
          <w:sz w:val="22"/>
          <w:szCs w:val="22"/>
          <w:shd w:val="clear" w:color="auto" w:fill="FFFFFF"/>
        </w:rPr>
        <w:t xml:space="preserve">Indeed, </w:t>
      </w:r>
      <w:r w:rsidR="00E23227" w:rsidRPr="003349BF">
        <w:rPr>
          <w:rFonts w:ascii="Source Sans Pro" w:hAnsi="Source Sans Pro" w:cstheme="majorHAnsi"/>
          <w:b/>
          <w:bCs/>
          <w:sz w:val="22"/>
          <w:szCs w:val="22"/>
        </w:rPr>
        <w:t>Directive</w:t>
      </w:r>
      <w:r w:rsidR="00C654E5" w:rsidRPr="003349BF">
        <w:rPr>
          <w:rFonts w:ascii="Source Sans Pro" w:hAnsi="Source Sans Pro" w:cstheme="majorHAnsi"/>
          <w:b/>
          <w:bCs/>
          <w:sz w:val="22"/>
          <w:szCs w:val="22"/>
        </w:rPr>
        <w:t xml:space="preserve"> </w:t>
      </w:r>
      <w:r w:rsidR="00237E7F" w:rsidRPr="003349BF">
        <w:rPr>
          <w:rFonts w:ascii="Source Sans Pro" w:hAnsi="Source Sans Pro" w:cstheme="majorHAnsi"/>
          <w:b/>
          <w:bCs/>
          <w:sz w:val="22"/>
          <w:szCs w:val="22"/>
        </w:rPr>
        <w:t>2011/95</w:t>
      </w:r>
      <w:r w:rsidRPr="003349BF">
        <w:rPr>
          <w:rFonts w:ascii="Source Sans Pro" w:hAnsi="Source Sans Pro" w:cstheme="majorHAnsi"/>
          <w:b/>
          <w:bCs/>
          <w:sz w:val="22"/>
          <w:szCs w:val="22"/>
        </w:rPr>
        <w:t>/EU</w:t>
      </w:r>
      <w:r w:rsidR="00237E7F" w:rsidRPr="003349BF">
        <w:rPr>
          <w:rFonts w:ascii="Source Sans Pro" w:hAnsi="Source Sans Pro" w:cstheme="majorHAnsi"/>
          <w:sz w:val="22"/>
          <w:szCs w:val="22"/>
        </w:rPr>
        <w:t xml:space="preserve"> </w:t>
      </w:r>
      <w:r w:rsidR="00F6020C" w:rsidRPr="003349BF">
        <w:rPr>
          <w:rFonts w:ascii="Source Sans Pro" w:hAnsi="Source Sans Pro" w:cstheme="majorHAnsi"/>
          <w:sz w:val="22"/>
          <w:szCs w:val="22"/>
        </w:rPr>
        <w:t>(</w:t>
      </w:r>
      <w:r w:rsidR="00D8144E" w:rsidRPr="003349BF">
        <w:rPr>
          <w:rFonts w:ascii="Source Sans Pro" w:hAnsi="Source Sans Pro" w:cstheme="majorHAnsi"/>
          <w:sz w:val="22"/>
          <w:szCs w:val="22"/>
        </w:rPr>
        <w:t xml:space="preserve">pp. 16-30 </w:t>
      </w:r>
      <w:r w:rsidR="00F6020C" w:rsidRPr="003349BF">
        <w:rPr>
          <w:rFonts w:ascii="Source Sans Pro" w:hAnsi="Source Sans Pro" w:cstheme="majorHAnsi"/>
          <w:sz w:val="22"/>
          <w:szCs w:val="22"/>
        </w:rPr>
        <w:t>annex)</w:t>
      </w:r>
      <w:r w:rsidRPr="003349BF">
        <w:rPr>
          <w:rFonts w:ascii="Source Sans Pro" w:hAnsi="Source Sans Pro" w:cstheme="majorHAnsi"/>
          <w:sz w:val="22"/>
          <w:szCs w:val="22"/>
        </w:rPr>
        <w:t xml:space="preserve">, which </w:t>
      </w:r>
      <w:r w:rsidR="00237E7F" w:rsidRPr="003349BF">
        <w:rPr>
          <w:rFonts w:ascii="Source Sans Pro" w:hAnsi="Source Sans Pro" w:cstheme="majorHAnsi"/>
          <w:b/>
          <w:bCs/>
          <w:sz w:val="22"/>
          <w:szCs w:val="22"/>
        </w:rPr>
        <w:t xml:space="preserve">regulates the qualification of </w:t>
      </w:r>
      <w:r w:rsidRPr="003349BF">
        <w:rPr>
          <w:rFonts w:ascii="Source Sans Pro" w:hAnsi="Source Sans Pro" w:cstheme="majorHAnsi"/>
          <w:b/>
          <w:bCs/>
          <w:sz w:val="22"/>
          <w:szCs w:val="22"/>
        </w:rPr>
        <w:t xml:space="preserve">the </w:t>
      </w:r>
      <w:r w:rsidR="00D03A93" w:rsidRPr="003349BF">
        <w:rPr>
          <w:rFonts w:ascii="Source Sans Pro" w:hAnsi="Source Sans Pro" w:cstheme="majorHAnsi"/>
          <w:b/>
          <w:bCs/>
          <w:sz w:val="22"/>
          <w:szCs w:val="22"/>
        </w:rPr>
        <w:t>refugee status and</w:t>
      </w:r>
      <w:r w:rsidRPr="003349BF">
        <w:rPr>
          <w:rFonts w:ascii="Source Sans Pro" w:hAnsi="Source Sans Pro" w:cstheme="majorHAnsi"/>
          <w:b/>
          <w:bCs/>
          <w:sz w:val="22"/>
          <w:szCs w:val="22"/>
        </w:rPr>
        <w:t xml:space="preserve"> of</w:t>
      </w:r>
      <w:r w:rsidR="00D03A93" w:rsidRPr="003349BF">
        <w:rPr>
          <w:rFonts w:ascii="Source Sans Pro" w:hAnsi="Source Sans Pro" w:cstheme="majorHAnsi"/>
          <w:b/>
          <w:bCs/>
          <w:sz w:val="22"/>
          <w:szCs w:val="22"/>
        </w:rPr>
        <w:t xml:space="preserve"> subsidiary protection</w:t>
      </w:r>
      <w:r w:rsidRPr="003349BF">
        <w:rPr>
          <w:rFonts w:ascii="Source Sans Pro" w:hAnsi="Source Sans Pro" w:cstheme="majorHAnsi"/>
          <w:sz w:val="22"/>
          <w:szCs w:val="22"/>
        </w:rPr>
        <w:t xml:space="preserve">, requires an actor of persecution or of serious harm that intentionally threatens or damages the life and liberty of an individual, including due to their </w:t>
      </w:r>
      <w:r w:rsidR="006F3D0F" w:rsidRPr="003349BF">
        <w:rPr>
          <w:rFonts w:ascii="Source Sans Pro" w:hAnsi="Source Sans Pro" w:cstheme="majorHAnsi"/>
          <w:sz w:val="22"/>
          <w:szCs w:val="22"/>
        </w:rPr>
        <w:t xml:space="preserve">race, nationality, political opinion, </w:t>
      </w:r>
      <w:proofErr w:type="gramStart"/>
      <w:r w:rsidR="006F3D0F" w:rsidRPr="003349BF">
        <w:rPr>
          <w:rFonts w:ascii="Source Sans Pro" w:hAnsi="Source Sans Pro" w:cstheme="majorHAnsi"/>
          <w:sz w:val="22"/>
          <w:szCs w:val="22"/>
        </w:rPr>
        <w:t>religion</w:t>
      </w:r>
      <w:proofErr w:type="gramEnd"/>
      <w:r w:rsidR="006F3D0F" w:rsidRPr="003349BF">
        <w:rPr>
          <w:rFonts w:ascii="Source Sans Pro" w:hAnsi="Source Sans Pro" w:cstheme="majorHAnsi"/>
          <w:sz w:val="22"/>
          <w:szCs w:val="22"/>
        </w:rPr>
        <w:t xml:space="preserve"> and membership of a particular social group. </w:t>
      </w:r>
    </w:p>
    <w:p w14:paraId="07C769B8" w14:textId="0F87034F" w:rsidR="00C654E5" w:rsidRPr="003349BF" w:rsidRDefault="00FE7C1E" w:rsidP="00E23227">
      <w:pPr>
        <w:spacing w:line="276" w:lineRule="auto"/>
        <w:jc w:val="both"/>
        <w:rPr>
          <w:rFonts w:ascii="Source Sans Pro" w:hAnsi="Source Sans Pro" w:cstheme="majorHAnsi"/>
          <w:lang w:val="en-US"/>
        </w:rPr>
      </w:pPr>
      <w:r w:rsidRPr="003349BF">
        <w:rPr>
          <w:rFonts w:ascii="Source Sans Pro" w:hAnsi="Source Sans Pro" w:cstheme="majorHAnsi"/>
          <w:lang w:val="en-US"/>
        </w:rPr>
        <w:t xml:space="preserve">Beyond international protection, </w:t>
      </w:r>
      <w:r w:rsidRPr="003349BF">
        <w:rPr>
          <w:rFonts w:ascii="Source Sans Pro" w:hAnsi="Source Sans Pro" w:cstheme="majorHAnsi"/>
          <w:b/>
          <w:bCs/>
          <w:lang w:val="en-US"/>
        </w:rPr>
        <w:t>Directive 2001</w:t>
      </w:r>
      <w:r w:rsidR="001228FA" w:rsidRPr="003349BF">
        <w:rPr>
          <w:rFonts w:ascii="Source Sans Pro" w:hAnsi="Source Sans Pro" w:cstheme="majorHAnsi"/>
          <w:b/>
          <w:bCs/>
          <w:lang w:val="en-US"/>
        </w:rPr>
        <w:t>/</w:t>
      </w:r>
      <w:r w:rsidRPr="003349BF">
        <w:rPr>
          <w:rFonts w:ascii="Source Sans Pro" w:hAnsi="Source Sans Pro" w:cstheme="majorHAnsi"/>
          <w:b/>
          <w:bCs/>
          <w:lang w:val="en-US"/>
        </w:rPr>
        <w:t>55/EC</w:t>
      </w:r>
      <w:r w:rsidR="00F6020C" w:rsidRPr="003349BF">
        <w:rPr>
          <w:rFonts w:ascii="Source Sans Pro" w:hAnsi="Source Sans Pro" w:cstheme="majorHAnsi"/>
          <w:lang w:val="en-US"/>
        </w:rPr>
        <w:t xml:space="preserve"> (</w:t>
      </w:r>
      <w:r w:rsidR="00D8144E" w:rsidRPr="003349BF">
        <w:rPr>
          <w:rFonts w:ascii="Source Sans Pro" w:hAnsi="Source Sans Pro" w:cstheme="majorHAnsi"/>
          <w:lang w:val="en-US"/>
        </w:rPr>
        <w:t xml:space="preserve">pp. 34-46 </w:t>
      </w:r>
      <w:r w:rsidR="00F6020C" w:rsidRPr="003349BF">
        <w:rPr>
          <w:rFonts w:ascii="Source Sans Pro" w:hAnsi="Source Sans Pro" w:cstheme="majorHAnsi"/>
          <w:lang w:val="en-US"/>
        </w:rPr>
        <w:t>annex)</w:t>
      </w:r>
      <w:r w:rsidR="00C654E5" w:rsidRPr="003349BF">
        <w:rPr>
          <w:rFonts w:ascii="Source Sans Pro" w:hAnsi="Source Sans Pro" w:cstheme="majorHAnsi"/>
          <w:lang w:val="en-US"/>
        </w:rPr>
        <w:t xml:space="preserve"> applies in case of a mass movement of </w:t>
      </w:r>
      <w:r w:rsidRPr="003349BF">
        <w:rPr>
          <w:rFonts w:ascii="Source Sans Pro" w:hAnsi="Source Sans Pro" w:cstheme="majorHAnsi"/>
          <w:lang w:val="en-US"/>
        </w:rPr>
        <w:t>foreigners</w:t>
      </w:r>
      <w:r w:rsidR="00C654E5" w:rsidRPr="003349BF">
        <w:rPr>
          <w:rFonts w:ascii="Source Sans Pro" w:hAnsi="Source Sans Pro" w:cstheme="majorHAnsi"/>
          <w:lang w:val="en-US"/>
        </w:rPr>
        <w:t xml:space="preserve">, </w:t>
      </w:r>
      <w:r w:rsidR="00C654E5" w:rsidRPr="003349BF">
        <w:rPr>
          <w:rFonts w:ascii="Source Sans Pro" w:hAnsi="Source Sans Pro" w:cstheme="majorHAnsi"/>
          <w:iCs/>
          <w:lang w:val="en-US"/>
        </w:rPr>
        <w:t>who are unable to return because of</w:t>
      </w:r>
      <w:proofErr w:type="gramStart"/>
      <w:r w:rsidR="00C654E5" w:rsidRPr="003349BF">
        <w:rPr>
          <w:rFonts w:ascii="Source Sans Pro" w:hAnsi="Source Sans Pro" w:cstheme="majorHAnsi"/>
          <w:iCs/>
          <w:lang w:val="en-US"/>
        </w:rPr>
        <w:t xml:space="preserve">, </w:t>
      </w:r>
      <w:r w:rsidR="00C654E5" w:rsidRPr="003349BF">
        <w:rPr>
          <w:rFonts w:ascii="Source Sans Pro" w:hAnsi="Source Sans Pro" w:cstheme="majorHAnsi"/>
          <w:i/>
          <w:lang w:val="en-US"/>
        </w:rPr>
        <w:t>in particular</w:t>
      </w:r>
      <w:r w:rsidR="00C654E5" w:rsidRPr="003349BF">
        <w:rPr>
          <w:rFonts w:ascii="Source Sans Pro" w:hAnsi="Source Sans Pro" w:cstheme="majorHAnsi"/>
          <w:iCs/>
          <w:lang w:val="en-US"/>
        </w:rPr>
        <w:t>, armed</w:t>
      </w:r>
      <w:proofErr w:type="gramEnd"/>
      <w:r w:rsidR="00C654E5" w:rsidRPr="003349BF">
        <w:rPr>
          <w:rFonts w:ascii="Source Sans Pro" w:hAnsi="Source Sans Pro" w:cstheme="majorHAnsi"/>
          <w:iCs/>
          <w:lang w:val="en-US"/>
        </w:rPr>
        <w:t xml:space="preserve"> conflict or endemic violence; serious risk of systematic or </w:t>
      </w:r>
      <w:proofErr w:type="spellStart"/>
      <w:r w:rsidR="00C654E5" w:rsidRPr="003349BF">
        <w:rPr>
          <w:rFonts w:ascii="Source Sans Pro" w:hAnsi="Source Sans Pro" w:cstheme="majorHAnsi"/>
          <w:iCs/>
          <w:lang w:val="en-US"/>
        </w:rPr>
        <w:t>generalised</w:t>
      </w:r>
      <w:proofErr w:type="spellEnd"/>
      <w:r w:rsidR="00C654E5" w:rsidRPr="003349BF">
        <w:rPr>
          <w:rFonts w:ascii="Source Sans Pro" w:hAnsi="Source Sans Pro" w:cstheme="majorHAnsi"/>
          <w:iCs/>
          <w:lang w:val="en-US"/>
        </w:rPr>
        <w:t xml:space="preserve"> violations of their human rights. </w:t>
      </w:r>
      <w:proofErr w:type="gramStart"/>
      <w:r w:rsidR="00C654E5" w:rsidRPr="003349BF">
        <w:rPr>
          <w:rFonts w:ascii="Source Sans Pro" w:hAnsi="Source Sans Pro" w:cstheme="majorHAnsi"/>
          <w:iCs/>
          <w:lang w:val="en-US"/>
        </w:rPr>
        <w:t>In</w:t>
      </w:r>
      <w:r w:rsidR="00C654E5" w:rsidRPr="003349BF">
        <w:rPr>
          <w:rFonts w:ascii="Source Sans Pro" w:hAnsi="Source Sans Pro" w:cstheme="majorHAnsi"/>
          <w:lang w:val="en-US"/>
        </w:rPr>
        <w:t xml:space="preserve"> light of</w:t>
      </w:r>
      <w:proofErr w:type="gramEnd"/>
      <w:r w:rsidR="00C654E5" w:rsidRPr="003349BF">
        <w:rPr>
          <w:rFonts w:ascii="Source Sans Pro" w:hAnsi="Source Sans Pro" w:cstheme="majorHAnsi"/>
          <w:lang w:val="en-US"/>
        </w:rPr>
        <w:t xml:space="preserve"> growing scientific evidence, literature, and relevant jurisprudence supporting the establishment of a link between environmental threats and human rights violations, it could be argued that there might be cases where people displaced because of environmental disasters may qualify as beneficiaries of temporary protection pursuant to the Directive. Furthermore, its scope might be extended to additional causes of migration given the presence of the idiom ‘in particular’, such as those associated to an adverse environment. Besides, Article 7 allows the Member States to discretionally extend temporary protection to additional categories of displaced persons, including those affected by environmental factors. Yet, some key procedural and scoping shortcomings notably weakens its possible applicability. Indeed, it has been activated </w:t>
      </w:r>
      <w:r w:rsidR="005B040C" w:rsidRPr="003349BF">
        <w:rPr>
          <w:rFonts w:ascii="Source Sans Pro" w:hAnsi="Source Sans Pro" w:cstheme="majorHAnsi"/>
          <w:lang w:val="en-US"/>
        </w:rPr>
        <w:t xml:space="preserve">only once </w:t>
      </w:r>
      <w:r w:rsidR="00C654E5" w:rsidRPr="003349BF">
        <w:rPr>
          <w:rFonts w:ascii="Source Sans Pro" w:hAnsi="Source Sans Pro" w:cstheme="majorHAnsi"/>
          <w:lang w:val="en-US"/>
        </w:rPr>
        <w:t>since its adoption in 2001</w:t>
      </w:r>
      <w:r w:rsidR="005B040C" w:rsidRPr="003349BF">
        <w:rPr>
          <w:rFonts w:ascii="Source Sans Pro" w:hAnsi="Source Sans Pro" w:cstheme="majorHAnsi"/>
          <w:lang w:val="en-US"/>
        </w:rPr>
        <w:t>, in the context of the ongoing Russian-Ukrainian conflict,</w:t>
      </w:r>
      <w:r w:rsidR="00C654E5" w:rsidRPr="003349BF">
        <w:rPr>
          <w:rFonts w:ascii="Source Sans Pro" w:hAnsi="Source Sans Pro" w:cstheme="majorHAnsi"/>
          <w:lang w:val="en-US"/>
        </w:rPr>
        <w:t xml:space="preserve"> primarily because of a cumbersome activation and highly politicized process involving the absolute discretion of the Council in determining the actual existence of a mass influx of displaced people. Moreover, </w:t>
      </w:r>
      <w:r w:rsidR="005B040C" w:rsidRPr="003349BF">
        <w:rPr>
          <w:rFonts w:ascii="Source Sans Pro" w:hAnsi="Source Sans Pro" w:cstheme="majorHAnsi"/>
          <w:lang w:val="en-US"/>
        </w:rPr>
        <w:t>Directive 2001/55/EC</w:t>
      </w:r>
      <w:r w:rsidR="00C654E5" w:rsidRPr="003349BF">
        <w:rPr>
          <w:rFonts w:ascii="Source Sans Pro" w:hAnsi="Source Sans Pro" w:cstheme="majorHAnsi"/>
          <w:lang w:val="en-US"/>
        </w:rPr>
        <w:t xml:space="preserve"> applies only in case of mass inflows coming from the same geographical area and displaced for the same reason. Arguably, there might be few cases where mass inflows to the EU can be generated primarily by climate change or environmental disasters. Finally, the Commission expressed its intention to abrogate it and to substitute it with a crisis management mechanism.</w:t>
      </w:r>
      <w:r w:rsidR="005B040C" w:rsidRPr="003349BF">
        <w:rPr>
          <w:rFonts w:ascii="Source Sans Pro" w:hAnsi="Source Sans Pro" w:cstheme="majorHAnsi"/>
          <w:lang w:val="en-US"/>
        </w:rPr>
        <w:t xml:space="preserve"> </w:t>
      </w:r>
      <w:r w:rsidR="00C654E5" w:rsidRPr="003349BF">
        <w:rPr>
          <w:rFonts w:ascii="Source Sans Pro" w:hAnsi="Source Sans Pro" w:cstheme="majorHAnsi"/>
          <w:lang w:val="en-US"/>
        </w:rPr>
        <w:t xml:space="preserve">Therefore, its very existence is currently under discussion.   </w:t>
      </w:r>
    </w:p>
    <w:p w14:paraId="082F5EBC" w14:textId="6AA7E3EC" w:rsidR="00C654E5" w:rsidRPr="003349BF" w:rsidRDefault="00C654E5" w:rsidP="00E23227">
      <w:pPr>
        <w:spacing w:line="276" w:lineRule="auto"/>
        <w:jc w:val="both"/>
        <w:rPr>
          <w:rFonts w:ascii="Source Sans Pro" w:hAnsi="Source Sans Pro" w:cstheme="majorHAnsi"/>
          <w:lang w:val="en-US"/>
        </w:rPr>
      </w:pPr>
      <w:r w:rsidRPr="003349BF">
        <w:rPr>
          <w:rFonts w:ascii="Source Sans Pro" w:hAnsi="Source Sans Pro" w:cstheme="majorHAnsi"/>
          <w:lang w:val="en-US"/>
        </w:rPr>
        <w:t xml:space="preserve">Finally, </w:t>
      </w:r>
      <w:r w:rsidR="00FE7C1E" w:rsidRPr="003349BF">
        <w:rPr>
          <w:rFonts w:ascii="Source Sans Pro" w:hAnsi="Source Sans Pro" w:cstheme="majorHAnsi"/>
          <w:b/>
          <w:bCs/>
          <w:lang w:val="en-US"/>
        </w:rPr>
        <w:t>Directive 2008/115/EC (Return Directive)</w:t>
      </w:r>
      <w:r w:rsidRPr="003349BF">
        <w:rPr>
          <w:rFonts w:ascii="Source Sans Pro" w:hAnsi="Source Sans Pro" w:cstheme="majorHAnsi"/>
          <w:lang w:val="en-US"/>
        </w:rPr>
        <w:t xml:space="preserve"> might prevent the removal of a third-country national affected by environmental and climate changes </w:t>
      </w:r>
      <w:proofErr w:type="gramStart"/>
      <w:r w:rsidRPr="003349BF">
        <w:rPr>
          <w:rFonts w:ascii="Source Sans Pro" w:hAnsi="Source Sans Pro" w:cstheme="majorHAnsi"/>
          <w:lang w:val="en-US"/>
        </w:rPr>
        <w:t>in light of</w:t>
      </w:r>
      <w:proofErr w:type="gramEnd"/>
      <w:r w:rsidRPr="003349BF">
        <w:rPr>
          <w:rFonts w:ascii="Source Sans Pro" w:hAnsi="Source Sans Pro" w:cstheme="majorHAnsi"/>
          <w:lang w:val="en-US"/>
        </w:rPr>
        <w:t xml:space="preserve"> </w:t>
      </w:r>
      <w:r w:rsidRPr="003349BF">
        <w:rPr>
          <w:rFonts w:ascii="Source Sans Pro" w:hAnsi="Source Sans Pro" w:cstheme="majorHAnsi"/>
          <w:i/>
          <w:iCs/>
          <w:lang w:val="en-US"/>
        </w:rPr>
        <w:t>non-refoulement</w:t>
      </w:r>
      <w:r w:rsidRPr="003349BF">
        <w:rPr>
          <w:rFonts w:ascii="Source Sans Pro" w:hAnsi="Source Sans Pro" w:cstheme="majorHAnsi"/>
          <w:lang w:val="en-US"/>
        </w:rPr>
        <w:t xml:space="preserve"> obligations</w:t>
      </w:r>
      <w:r w:rsidR="00F6020C" w:rsidRPr="003349BF">
        <w:rPr>
          <w:rFonts w:ascii="Source Sans Pro" w:hAnsi="Source Sans Pro" w:cstheme="majorHAnsi"/>
          <w:lang w:val="en-US"/>
        </w:rPr>
        <w:t xml:space="preserve"> (</w:t>
      </w:r>
      <w:r w:rsidR="00D8144E" w:rsidRPr="003349BF">
        <w:rPr>
          <w:rFonts w:ascii="Source Sans Pro" w:hAnsi="Source Sans Pro" w:cstheme="majorHAnsi"/>
          <w:lang w:val="en-US"/>
        </w:rPr>
        <w:t xml:space="preserve">pp. 46-55 </w:t>
      </w:r>
      <w:r w:rsidR="00F6020C" w:rsidRPr="003349BF">
        <w:rPr>
          <w:rFonts w:ascii="Source Sans Pro" w:hAnsi="Source Sans Pro" w:cstheme="majorHAnsi"/>
          <w:lang w:val="en-US"/>
        </w:rPr>
        <w:t>annex)</w:t>
      </w:r>
      <w:r w:rsidRPr="003349BF">
        <w:rPr>
          <w:rFonts w:ascii="Source Sans Pro" w:hAnsi="Source Sans Pro" w:cstheme="majorHAnsi"/>
          <w:lang w:val="en-US"/>
        </w:rPr>
        <w:t xml:space="preserve">. It states that the implementation of return must respect this principle (Article 5) and that removal shall be postponed if it would violate it (Article 9). Moreover, Article 6(6) allows the Member States to decide at any </w:t>
      </w:r>
      <w:r w:rsidRPr="003349BF">
        <w:rPr>
          <w:rFonts w:ascii="Source Sans Pro" w:hAnsi="Source Sans Pro" w:cstheme="majorHAnsi"/>
          <w:lang w:val="en-US"/>
        </w:rPr>
        <w:lastRenderedPageBreak/>
        <w:t xml:space="preserve">moment to grant a right to stay for compassionate, </w:t>
      </w:r>
      <w:proofErr w:type="gramStart"/>
      <w:r w:rsidRPr="003349BF">
        <w:rPr>
          <w:rFonts w:ascii="Source Sans Pro" w:hAnsi="Source Sans Pro" w:cstheme="majorHAnsi"/>
          <w:lang w:val="en-US"/>
        </w:rPr>
        <w:t>humanitarian</w:t>
      </w:r>
      <w:proofErr w:type="gramEnd"/>
      <w:r w:rsidRPr="003349BF">
        <w:rPr>
          <w:rFonts w:ascii="Source Sans Pro" w:hAnsi="Source Sans Pro" w:cstheme="majorHAnsi"/>
          <w:lang w:val="en-US"/>
        </w:rPr>
        <w:t xml:space="preserve"> or other reasons. When a return decision has already been issued, it shall be withdrawn or suspended for the duration of validity of the residence permit or other </w:t>
      </w:r>
      <w:r w:rsidR="00BA5D58" w:rsidRPr="003349BF">
        <w:rPr>
          <w:rFonts w:ascii="Source Sans Pro" w:hAnsi="Source Sans Pro" w:cstheme="majorHAnsi"/>
          <w:lang w:val="en-US"/>
        </w:rPr>
        <w:t>authorization</w:t>
      </w:r>
      <w:r w:rsidRPr="003349BF">
        <w:rPr>
          <w:rFonts w:ascii="Source Sans Pro" w:hAnsi="Source Sans Pro" w:cstheme="majorHAnsi"/>
          <w:lang w:val="en-US"/>
        </w:rPr>
        <w:t xml:space="preserve"> offering a right to stay. Therefore, this Directive distinguishes between legal (</w:t>
      </w:r>
      <w:r w:rsidRPr="003349BF">
        <w:rPr>
          <w:rFonts w:ascii="Source Sans Pro" w:hAnsi="Source Sans Pro" w:cstheme="majorHAnsi"/>
          <w:i/>
          <w:iCs/>
          <w:lang w:val="en-US"/>
        </w:rPr>
        <w:t>non-refoulement</w:t>
      </w:r>
      <w:r w:rsidRPr="003349BF">
        <w:rPr>
          <w:rFonts w:ascii="Source Sans Pro" w:hAnsi="Source Sans Pro" w:cstheme="majorHAnsi"/>
          <w:lang w:val="en-US"/>
        </w:rPr>
        <w:t xml:space="preserve"> and effective remedy) and other obstacles that may postpone or suspend removal (mental and physical state of the individual, humanitarian grounds, technical reasons). In this framework, both </w:t>
      </w:r>
      <w:r w:rsidRPr="003349BF">
        <w:rPr>
          <w:rFonts w:ascii="Source Sans Pro" w:hAnsi="Source Sans Pro" w:cstheme="majorHAnsi"/>
          <w:i/>
          <w:iCs/>
          <w:lang w:val="en-US"/>
        </w:rPr>
        <w:t>non-refoulement</w:t>
      </w:r>
      <w:r w:rsidRPr="003349BF">
        <w:rPr>
          <w:rFonts w:ascii="Source Sans Pro" w:hAnsi="Source Sans Pro" w:cstheme="majorHAnsi"/>
          <w:lang w:val="en-US"/>
        </w:rPr>
        <w:t xml:space="preserve"> and humanitarian clauses may well apply to cases where removal in climate change-affected countries would be unsafe, although the latter on a discretional basis.</w:t>
      </w:r>
    </w:p>
    <w:p w14:paraId="2D73C223" w14:textId="4844DC5C" w:rsidR="00C654E5" w:rsidRPr="003349BF" w:rsidRDefault="00FE7C1E" w:rsidP="00E23227">
      <w:pPr>
        <w:spacing w:line="276" w:lineRule="auto"/>
        <w:jc w:val="both"/>
        <w:rPr>
          <w:rFonts w:ascii="Source Sans Pro" w:hAnsi="Source Sans Pro" w:cstheme="majorHAnsi"/>
          <w:lang w:val="en-US"/>
        </w:rPr>
      </w:pPr>
      <w:r w:rsidRPr="003349BF">
        <w:rPr>
          <w:rFonts w:ascii="Source Sans Pro" w:hAnsi="Source Sans Pro" w:cstheme="majorHAnsi"/>
          <w:lang w:val="en-US"/>
        </w:rPr>
        <w:t xml:space="preserve">The </w:t>
      </w:r>
      <w:r w:rsidR="00C654E5" w:rsidRPr="003349BF">
        <w:rPr>
          <w:rFonts w:ascii="Source Sans Pro" w:hAnsi="Source Sans Pro" w:cstheme="majorHAnsi"/>
          <w:u w:val="single"/>
          <w:lang w:val="en-US"/>
        </w:rPr>
        <w:t>New Pact</w:t>
      </w:r>
      <w:r w:rsidR="0018537A" w:rsidRPr="003349BF">
        <w:rPr>
          <w:rFonts w:ascii="Source Sans Pro" w:hAnsi="Source Sans Pro" w:cstheme="majorHAnsi"/>
          <w:u w:val="single"/>
          <w:lang w:val="en-US"/>
        </w:rPr>
        <w:t xml:space="preserve"> on Migration and Asylum</w:t>
      </w:r>
      <w:r w:rsidR="00C654E5" w:rsidRPr="003349BF">
        <w:rPr>
          <w:rFonts w:ascii="Source Sans Pro" w:hAnsi="Source Sans Pro" w:cstheme="majorHAnsi"/>
          <w:lang w:val="en-US"/>
        </w:rPr>
        <w:t xml:space="preserve"> could constitute a significant opportunity to provide protection against</w:t>
      </w:r>
      <w:r w:rsidRPr="003349BF">
        <w:rPr>
          <w:rFonts w:ascii="Source Sans Pro" w:hAnsi="Source Sans Pro" w:cstheme="majorHAnsi"/>
          <w:lang w:val="en-US"/>
        </w:rPr>
        <w:t xml:space="preserve"> the environmental causes of migration</w:t>
      </w:r>
      <w:r w:rsidR="00C654E5" w:rsidRPr="003349BF">
        <w:rPr>
          <w:rFonts w:ascii="Source Sans Pro" w:hAnsi="Source Sans Pro" w:cstheme="majorHAnsi"/>
          <w:lang w:val="en-US"/>
        </w:rPr>
        <w:t xml:space="preserve">. </w:t>
      </w:r>
      <w:r w:rsidR="0018537A" w:rsidRPr="003349BF">
        <w:rPr>
          <w:rFonts w:ascii="Source Sans Pro" w:hAnsi="Source Sans Pro" w:cstheme="majorHAnsi"/>
          <w:lang w:val="en-US"/>
        </w:rPr>
        <w:t>In particular, t</w:t>
      </w:r>
      <w:r w:rsidR="00C654E5" w:rsidRPr="003349BF">
        <w:rPr>
          <w:rFonts w:ascii="Source Sans Pro" w:hAnsi="Source Sans Pro" w:cstheme="majorHAnsi"/>
          <w:lang w:val="en-US"/>
        </w:rPr>
        <w:t xml:space="preserve">he Commission’s pending proposal for a Union Resettlement Framework, adopted in 2016 and re-proposed under the New </w:t>
      </w:r>
      <w:r w:rsidR="00BA5D58" w:rsidRPr="003349BF">
        <w:rPr>
          <w:rFonts w:ascii="Source Sans Pro" w:hAnsi="Source Sans Pro" w:cstheme="majorHAnsi"/>
          <w:lang w:val="en-US"/>
        </w:rPr>
        <w:t>Pact, aims</w:t>
      </w:r>
      <w:r w:rsidR="00C654E5" w:rsidRPr="003349BF">
        <w:rPr>
          <w:rFonts w:ascii="Source Sans Pro" w:hAnsi="Source Sans Pro" w:cstheme="majorHAnsi"/>
          <w:lang w:val="en-US"/>
        </w:rPr>
        <w:t xml:space="preserve"> to provide safe and legal pathways to vulnerable </w:t>
      </w:r>
      <w:r w:rsidR="0018537A" w:rsidRPr="003349BF">
        <w:rPr>
          <w:rFonts w:ascii="Source Sans Pro" w:hAnsi="Source Sans Pro" w:cstheme="majorHAnsi"/>
          <w:lang w:val="en-US"/>
        </w:rPr>
        <w:t>international protection</w:t>
      </w:r>
      <w:r w:rsidR="00C654E5" w:rsidRPr="003349BF">
        <w:rPr>
          <w:rFonts w:ascii="Source Sans Pro" w:hAnsi="Source Sans Pro" w:cstheme="majorHAnsi"/>
          <w:lang w:val="en-US"/>
        </w:rPr>
        <w:t>-seekers displaced within or beyond national borders, including people with socio-economic vulnerability and those with family links in the EU</w:t>
      </w:r>
      <w:r w:rsidR="00F6020C" w:rsidRPr="003349BF">
        <w:rPr>
          <w:rFonts w:ascii="Source Sans Pro" w:hAnsi="Source Sans Pro" w:cstheme="majorHAnsi"/>
          <w:lang w:val="en-US"/>
        </w:rPr>
        <w:t xml:space="preserve"> (</w:t>
      </w:r>
      <w:r w:rsidR="00AE0920" w:rsidRPr="003349BF">
        <w:rPr>
          <w:rFonts w:ascii="Source Sans Pro" w:hAnsi="Source Sans Pro" w:cstheme="majorHAnsi"/>
          <w:lang w:val="en-US"/>
        </w:rPr>
        <w:t xml:space="preserve">p.80 </w:t>
      </w:r>
      <w:r w:rsidR="00F6020C" w:rsidRPr="003349BF">
        <w:rPr>
          <w:rFonts w:ascii="Source Sans Pro" w:hAnsi="Source Sans Pro" w:cstheme="majorHAnsi"/>
          <w:lang w:val="en-US"/>
        </w:rPr>
        <w:t>annex)</w:t>
      </w:r>
      <w:r w:rsidR="00C654E5" w:rsidRPr="003349BF">
        <w:rPr>
          <w:rFonts w:ascii="Source Sans Pro" w:hAnsi="Source Sans Pro" w:cstheme="majorHAnsi"/>
          <w:lang w:val="en-US"/>
        </w:rPr>
        <w:t>.</w:t>
      </w:r>
      <w:r w:rsidR="0018537A" w:rsidRPr="003349BF">
        <w:rPr>
          <w:rFonts w:ascii="Source Sans Pro" w:hAnsi="Source Sans Pro" w:cstheme="majorHAnsi"/>
          <w:lang w:val="en-US"/>
        </w:rPr>
        <w:t xml:space="preserve"> </w:t>
      </w:r>
      <w:r w:rsidR="00C654E5" w:rsidRPr="003349BF">
        <w:rPr>
          <w:rFonts w:ascii="Source Sans Pro" w:hAnsi="Source Sans Pro" w:cstheme="majorHAnsi"/>
          <w:lang w:val="en-US"/>
        </w:rPr>
        <w:t xml:space="preserve">Not only </w:t>
      </w:r>
      <w:r w:rsidR="00C0082D" w:rsidRPr="003349BF">
        <w:rPr>
          <w:rFonts w:ascii="Source Sans Pro" w:hAnsi="Source Sans Pro" w:cstheme="majorHAnsi"/>
          <w:lang w:val="en-US"/>
        </w:rPr>
        <w:t xml:space="preserve">do </w:t>
      </w:r>
      <w:r w:rsidR="00C654E5" w:rsidRPr="003349BF">
        <w:rPr>
          <w:rFonts w:ascii="Source Sans Pro" w:hAnsi="Source Sans Pro" w:cstheme="majorHAnsi"/>
          <w:lang w:val="en-US"/>
        </w:rPr>
        <w:t xml:space="preserve">these categories widen the classical resettlement </w:t>
      </w:r>
      <w:r w:rsidR="00BA5D58" w:rsidRPr="003349BF">
        <w:rPr>
          <w:rFonts w:ascii="Source Sans Pro" w:hAnsi="Source Sans Pro" w:cstheme="majorHAnsi"/>
          <w:lang w:val="en-US"/>
        </w:rPr>
        <w:t>beneficiaries but</w:t>
      </w:r>
      <w:r w:rsidR="00C654E5" w:rsidRPr="003349BF">
        <w:rPr>
          <w:rFonts w:ascii="Source Sans Pro" w:hAnsi="Source Sans Pro" w:cstheme="majorHAnsi"/>
          <w:lang w:val="en-US"/>
        </w:rPr>
        <w:t xml:space="preserve"> may cover different categories of people hit by environmental threats. The proposal might, indeed, apply to those internally or internationally displaced on environmental grounds, those whose vulnerability is linked to the impact of climate and environmental factors on their livelihood and wealth, as well as those who may count on family links to flee from dire environmental conditions. If made explicit, this proposal may constitute a relevant protection instrument also in the environmental context. Still, this proposal has been in a deadlock for the past six years and its adoption remains uncertain. </w:t>
      </w:r>
    </w:p>
    <w:p w14:paraId="503303B0" w14:textId="797DC86E" w:rsidR="009C6CFA" w:rsidRPr="00E23227" w:rsidRDefault="0032784A" w:rsidP="00E23227">
      <w:pPr>
        <w:spacing w:line="276" w:lineRule="auto"/>
        <w:jc w:val="both"/>
        <w:rPr>
          <w:rFonts w:ascii="Source Sans Pro" w:hAnsi="Source Sans Pro"/>
          <w:lang w:val="en-US"/>
        </w:rPr>
      </w:pPr>
      <w:r w:rsidRPr="003349BF">
        <w:rPr>
          <w:rFonts w:ascii="Source Sans Pro" w:hAnsi="Source Sans Pro" w:cstheme="majorHAnsi"/>
          <w:lang w:val="en-US"/>
        </w:rPr>
        <w:t>In sum, the</w:t>
      </w:r>
      <w:r w:rsidR="00C654E5" w:rsidRPr="003349BF">
        <w:rPr>
          <w:rFonts w:ascii="Source Sans Pro" w:hAnsi="Source Sans Pro" w:cstheme="majorHAnsi"/>
          <w:lang w:val="en-US"/>
        </w:rPr>
        <w:t xml:space="preserve"> EU institutions should acknowledge that, as the </w:t>
      </w:r>
      <w:r w:rsidR="0018537A" w:rsidRPr="003349BF">
        <w:rPr>
          <w:rFonts w:ascii="Source Sans Pro" w:hAnsi="Source Sans Pro" w:cstheme="majorHAnsi"/>
          <w:lang w:val="en-US"/>
        </w:rPr>
        <w:t>Common European Asylum System</w:t>
      </w:r>
      <w:r w:rsidR="00C654E5" w:rsidRPr="003349BF">
        <w:rPr>
          <w:rFonts w:ascii="Source Sans Pro" w:hAnsi="Source Sans Pro" w:cstheme="majorHAnsi"/>
          <w:lang w:val="en-US"/>
        </w:rPr>
        <w:t xml:space="preserve"> stands, it is not equipped to deal with movements triggered by environmental drivers from an operational viewpoint. From a legal perspective, moreover, it seems inconsistent with the authoritative interpretation of international human rights standards given in </w:t>
      </w:r>
      <w:proofErr w:type="spellStart"/>
      <w:r w:rsidR="00C654E5" w:rsidRPr="003349BF">
        <w:rPr>
          <w:rFonts w:ascii="Source Sans Pro" w:hAnsi="Source Sans Pro" w:cstheme="majorHAnsi"/>
          <w:b/>
          <w:bCs/>
          <w:i/>
          <w:iCs/>
          <w:lang w:val="en-US"/>
        </w:rPr>
        <w:t>Teitiota</w:t>
      </w:r>
      <w:proofErr w:type="spellEnd"/>
      <w:r w:rsidR="00C654E5" w:rsidRPr="003349BF">
        <w:rPr>
          <w:rFonts w:ascii="Source Sans Pro" w:hAnsi="Source Sans Pro" w:cstheme="majorHAnsi"/>
          <w:b/>
          <w:bCs/>
          <w:i/>
          <w:iCs/>
          <w:lang w:val="en-US"/>
        </w:rPr>
        <w:t xml:space="preserve"> v New Zealand</w:t>
      </w:r>
      <w:r w:rsidR="00C654E5" w:rsidRPr="003349BF">
        <w:rPr>
          <w:rFonts w:ascii="Source Sans Pro" w:hAnsi="Source Sans Pro" w:cstheme="majorHAnsi"/>
          <w:lang w:val="en-US"/>
        </w:rPr>
        <w:t xml:space="preserve">, where it reaffirms that </w:t>
      </w:r>
      <w:r w:rsidR="00C654E5" w:rsidRPr="003349BF">
        <w:rPr>
          <w:rFonts w:ascii="Source Sans Pro" w:hAnsi="Source Sans Pro" w:cstheme="majorHAnsi"/>
          <w:b/>
          <w:bCs/>
          <w:lang w:val="en-US"/>
        </w:rPr>
        <w:t>‘environmental degradation, climate change and unsustainable development constitute some of the most pressing and serious threats to the ability of present and future generations to enjoy the right to life’</w:t>
      </w:r>
      <w:r w:rsidR="000E6BE9" w:rsidRPr="003349BF">
        <w:rPr>
          <w:rFonts w:ascii="Source Sans Pro" w:hAnsi="Source Sans Pro" w:cstheme="majorHAnsi"/>
          <w:lang w:val="en-US"/>
        </w:rPr>
        <w:t>.</w:t>
      </w:r>
      <w:r w:rsidR="000E6BE9">
        <w:rPr>
          <w:rFonts w:ascii="Source Sans Pro" w:hAnsi="Source Sans Pro" w:cstheme="majorHAnsi"/>
          <w:lang w:val="en-US"/>
        </w:rPr>
        <w:t xml:space="preserve"> </w:t>
      </w:r>
      <w:r w:rsidR="00C654E5" w:rsidRPr="00E23227">
        <w:rPr>
          <w:rFonts w:ascii="Source Sans Pro" w:hAnsi="Source Sans Pro" w:cstheme="majorHAnsi"/>
          <w:lang w:val="en-US"/>
        </w:rPr>
        <w:t xml:space="preserve"> </w:t>
      </w:r>
    </w:p>
    <w:p w14:paraId="532F1485" w14:textId="2EC7B19C" w:rsidR="009C6CFA" w:rsidRDefault="009C6CFA" w:rsidP="00E23227">
      <w:pPr>
        <w:spacing w:line="276" w:lineRule="auto"/>
        <w:jc w:val="both"/>
        <w:rPr>
          <w:rFonts w:ascii="Source Sans Pro" w:hAnsi="Source Sans Pro"/>
          <w:lang w:val="en-US"/>
        </w:rPr>
      </w:pPr>
    </w:p>
    <w:p w14:paraId="3DF576CD" w14:textId="77777777" w:rsidR="00AE0920" w:rsidRPr="00AE0920" w:rsidRDefault="00AE0920" w:rsidP="00E23227">
      <w:pPr>
        <w:spacing w:line="276" w:lineRule="auto"/>
        <w:jc w:val="both"/>
        <w:rPr>
          <w:rFonts w:ascii="Source Sans Pro" w:hAnsi="Source Sans Pro"/>
          <w:lang w:val="en-US"/>
        </w:rPr>
      </w:pPr>
    </w:p>
    <w:sectPr w:rsidR="00AE0920" w:rsidRPr="00AE092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DAB2" w14:textId="77777777" w:rsidR="00717442" w:rsidRDefault="00717442" w:rsidP="00C654E5">
      <w:pPr>
        <w:spacing w:after="0" w:line="240" w:lineRule="auto"/>
      </w:pPr>
      <w:r>
        <w:separator/>
      </w:r>
    </w:p>
  </w:endnote>
  <w:endnote w:type="continuationSeparator" w:id="0">
    <w:p w14:paraId="059B4955" w14:textId="77777777" w:rsidR="00717442" w:rsidRDefault="00717442" w:rsidP="00C65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BD8FA" w14:textId="77777777" w:rsidR="00717442" w:rsidRDefault="00717442" w:rsidP="00C654E5">
      <w:pPr>
        <w:spacing w:after="0" w:line="240" w:lineRule="auto"/>
      </w:pPr>
      <w:r>
        <w:separator/>
      </w:r>
    </w:p>
  </w:footnote>
  <w:footnote w:type="continuationSeparator" w:id="0">
    <w:p w14:paraId="411EB122" w14:textId="77777777" w:rsidR="00717442" w:rsidRDefault="00717442" w:rsidP="00C65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E00"/>
    <w:multiLevelType w:val="hybridMultilevel"/>
    <w:tmpl w:val="80E08D2E"/>
    <w:lvl w:ilvl="0" w:tplc="FFFFFFFF">
      <w:start w:val="1"/>
      <w:numFmt w:val="decimal"/>
      <w:lvlText w:val="%1."/>
      <w:lvlJc w:val="left"/>
      <w:pPr>
        <w:ind w:left="1068" w:hanging="360"/>
      </w:pPr>
      <w:rPr>
        <w:i/>
        <w:i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FA"/>
    <w:rsid w:val="000E6BE9"/>
    <w:rsid w:val="000F12EC"/>
    <w:rsid w:val="000F6E88"/>
    <w:rsid w:val="00106A07"/>
    <w:rsid w:val="001228FA"/>
    <w:rsid w:val="00137D33"/>
    <w:rsid w:val="00141AC2"/>
    <w:rsid w:val="00162B90"/>
    <w:rsid w:val="0018537A"/>
    <w:rsid w:val="00201D73"/>
    <w:rsid w:val="00204772"/>
    <w:rsid w:val="00237E7F"/>
    <w:rsid w:val="002731D9"/>
    <w:rsid w:val="002A2F4D"/>
    <w:rsid w:val="00305E90"/>
    <w:rsid w:val="0032784A"/>
    <w:rsid w:val="00333C0A"/>
    <w:rsid w:val="003349BF"/>
    <w:rsid w:val="00357662"/>
    <w:rsid w:val="00371527"/>
    <w:rsid w:val="003F6C3A"/>
    <w:rsid w:val="004B7CF3"/>
    <w:rsid w:val="005062A2"/>
    <w:rsid w:val="005B040C"/>
    <w:rsid w:val="005E64B1"/>
    <w:rsid w:val="006C5962"/>
    <w:rsid w:val="006F3D0F"/>
    <w:rsid w:val="00700650"/>
    <w:rsid w:val="00717442"/>
    <w:rsid w:val="007741F0"/>
    <w:rsid w:val="0080261E"/>
    <w:rsid w:val="00807D0C"/>
    <w:rsid w:val="00844F45"/>
    <w:rsid w:val="0094158C"/>
    <w:rsid w:val="00976D5B"/>
    <w:rsid w:val="009C6CFA"/>
    <w:rsid w:val="009D1E20"/>
    <w:rsid w:val="00A028E0"/>
    <w:rsid w:val="00A55630"/>
    <w:rsid w:val="00AA69D7"/>
    <w:rsid w:val="00AB7DFD"/>
    <w:rsid w:val="00AE0920"/>
    <w:rsid w:val="00B02B60"/>
    <w:rsid w:val="00B278AD"/>
    <w:rsid w:val="00BA5D58"/>
    <w:rsid w:val="00BD44C7"/>
    <w:rsid w:val="00BF64C4"/>
    <w:rsid w:val="00C0082D"/>
    <w:rsid w:val="00C42A80"/>
    <w:rsid w:val="00C474E6"/>
    <w:rsid w:val="00C639F2"/>
    <w:rsid w:val="00C654E5"/>
    <w:rsid w:val="00D03A93"/>
    <w:rsid w:val="00D75D43"/>
    <w:rsid w:val="00D8144E"/>
    <w:rsid w:val="00DA5154"/>
    <w:rsid w:val="00DA5483"/>
    <w:rsid w:val="00E16D8A"/>
    <w:rsid w:val="00E23227"/>
    <w:rsid w:val="00E430EF"/>
    <w:rsid w:val="00E521BF"/>
    <w:rsid w:val="00EB3DE9"/>
    <w:rsid w:val="00EE432B"/>
    <w:rsid w:val="00F01F6A"/>
    <w:rsid w:val="00F130D3"/>
    <w:rsid w:val="00F21B33"/>
    <w:rsid w:val="00F6020C"/>
    <w:rsid w:val="00F66ED7"/>
    <w:rsid w:val="00FE7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A000"/>
  <w15:chartTrackingRefBased/>
  <w15:docId w15:val="{CBC034DA-A6C6-4FEE-B1B1-F935CA80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4E5"/>
    <w:rPr>
      <w:color w:val="0563C1" w:themeColor="hyperlink"/>
      <w:u w:val="single"/>
    </w:rPr>
  </w:style>
  <w:style w:type="paragraph" w:customStyle="1" w:styleId="Default">
    <w:name w:val="Default"/>
    <w:rsid w:val="00C654E5"/>
    <w:pPr>
      <w:autoSpaceDE w:val="0"/>
      <w:autoSpaceDN w:val="0"/>
      <w:adjustRightInd w:val="0"/>
      <w:spacing w:after="0" w:line="240" w:lineRule="auto"/>
    </w:pPr>
    <w:rPr>
      <w:rFonts w:ascii="Georgia" w:hAnsi="Georgia" w:cs="Georgia"/>
      <w:color w:val="000000"/>
      <w:sz w:val="24"/>
      <w:szCs w:val="24"/>
      <w:lang w:val="en-GB"/>
    </w:rPr>
  </w:style>
  <w:style w:type="paragraph" w:styleId="FootnoteText">
    <w:name w:val="footnote text"/>
    <w:basedOn w:val="Normal"/>
    <w:link w:val="FootnoteTextChar"/>
    <w:uiPriority w:val="99"/>
    <w:unhideWhenUsed/>
    <w:rsid w:val="00C654E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654E5"/>
    <w:rPr>
      <w:rFonts w:eastAsiaTheme="minorEastAsia"/>
      <w:sz w:val="20"/>
      <w:szCs w:val="20"/>
    </w:rPr>
  </w:style>
  <w:style w:type="character" w:styleId="FootnoteReference">
    <w:name w:val="footnote reference"/>
    <w:basedOn w:val="DefaultParagraphFont"/>
    <w:uiPriority w:val="99"/>
    <w:semiHidden/>
    <w:unhideWhenUsed/>
    <w:rsid w:val="00C654E5"/>
    <w:rPr>
      <w:vertAlign w:val="superscript"/>
    </w:rPr>
  </w:style>
  <w:style w:type="paragraph" w:styleId="ListParagraph">
    <w:name w:val="List Paragraph"/>
    <w:basedOn w:val="Normal"/>
    <w:uiPriority w:val="34"/>
    <w:qFormat/>
    <w:rsid w:val="00C654E5"/>
    <w:pPr>
      <w:ind w:left="720"/>
      <w:contextualSpacing/>
    </w:pPr>
    <w:rPr>
      <w:lang w:val="en-GB"/>
    </w:rPr>
  </w:style>
  <w:style w:type="paragraph" w:styleId="NormalWeb">
    <w:name w:val="Normal (Web)"/>
    <w:basedOn w:val="Normal"/>
    <w:uiPriority w:val="99"/>
    <w:unhideWhenUsed/>
    <w:rsid w:val="00C654E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7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iara.scissa@santannapisa.it"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4944591-3331-44BF-9D89-55162AB3E308}"/>
</file>

<file path=customXml/itemProps2.xml><?xml version="1.0" encoding="utf-8"?>
<ds:datastoreItem xmlns:ds="http://schemas.openxmlformats.org/officeDocument/2006/customXml" ds:itemID="{E847851D-9B43-4F25-A9D0-A439BFD1D89B}"/>
</file>

<file path=customXml/itemProps3.xml><?xml version="1.0" encoding="utf-8"?>
<ds:datastoreItem xmlns:ds="http://schemas.openxmlformats.org/officeDocument/2006/customXml" ds:itemID="{927C7A74-1258-40F3-B494-9BE83DEB92AF}"/>
</file>

<file path=docProps/app.xml><?xml version="1.0" encoding="utf-8"?>
<Properties xmlns="http://schemas.openxmlformats.org/officeDocument/2006/extended-properties" xmlns:vt="http://schemas.openxmlformats.org/officeDocument/2006/docPropsVTypes">
  <Template>Normal.dotm</Template>
  <TotalTime>1</TotalTime>
  <Pages>4</Pages>
  <Words>2076</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Scissa</dc:creator>
  <cp:keywords/>
  <dc:description/>
  <cp:lastModifiedBy>Isabela Zaleski Mori (OHCHR-Consultant)</cp:lastModifiedBy>
  <cp:revision>2</cp:revision>
  <dcterms:created xsi:type="dcterms:W3CDTF">2022-05-23T16:15:00Z</dcterms:created>
  <dcterms:modified xsi:type="dcterms:W3CDTF">2022-05-23T16:15:00Z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