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B6524" w14:textId="07809A9A" w:rsidR="006426AD" w:rsidRPr="00E4198A" w:rsidRDefault="006426AD" w:rsidP="00216A43">
      <w:pPr>
        <w:rPr>
          <w:szCs w:val="22"/>
        </w:rPr>
      </w:pPr>
    </w:p>
    <w:p w14:paraId="6BB7CB7A" w14:textId="787E9B72" w:rsidR="00C11C08" w:rsidRPr="00E4198A" w:rsidRDefault="00C11C08" w:rsidP="00C11C08">
      <w:pPr>
        <w:jc w:val="center"/>
        <w:rPr>
          <w:b/>
          <w:bCs/>
          <w:szCs w:val="22"/>
        </w:rPr>
      </w:pPr>
    </w:p>
    <w:p w14:paraId="27069C89" w14:textId="77777777" w:rsidR="00527BBF" w:rsidRDefault="00C11C08" w:rsidP="00891FD5">
      <w:pPr>
        <w:jc w:val="center"/>
        <w:rPr>
          <w:b/>
          <w:bCs/>
          <w:szCs w:val="22"/>
        </w:rPr>
      </w:pPr>
      <w:r w:rsidRPr="005F7AA1">
        <w:rPr>
          <w:b/>
          <w:bCs/>
          <w:szCs w:val="22"/>
        </w:rPr>
        <w:t xml:space="preserve">Submission to the </w:t>
      </w:r>
      <w:r w:rsidR="00262E5A" w:rsidRPr="005F7AA1">
        <w:rPr>
          <w:b/>
          <w:bCs/>
          <w:szCs w:val="22"/>
        </w:rPr>
        <w:t xml:space="preserve">Independent Expert </w:t>
      </w:r>
    </w:p>
    <w:p w14:paraId="6FEF7C72" w14:textId="3237F033" w:rsidR="00891FD5" w:rsidRPr="005F7AA1" w:rsidRDefault="00262E5A" w:rsidP="00891FD5">
      <w:pPr>
        <w:jc w:val="center"/>
        <w:rPr>
          <w:b/>
          <w:bCs/>
          <w:szCs w:val="22"/>
        </w:rPr>
      </w:pPr>
      <w:r w:rsidRPr="005F7AA1">
        <w:rPr>
          <w:b/>
          <w:bCs/>
          <w:szCs w:val="22"/>
        </w:rPr>
        <w:t xml:space="preserve">on the enjoyment of all </w:t>
      </w:r>
      <w:r w:rsidR="004C478B">
        <w:rPr>
          <w:b/>
          <w:bCs/>
          <w:szCs w:val="22"/>
        </w:rPr>
        <w:t xml:space="preserve">human </w:t>
      </w:r>
      <w:r w:rsidRPr="005F7AA1">
        <w:rPr>
          <w:b/>
          <w:bCs/>
          <w:szCs w:val="22"/>
        </w:rPr>
        <w:t>rights by older persons</w:t>
      </w:r>
    </w:p>
    <w:p w14:paraId="517A68B3" w14:textId="77777777" w:rsidR="00527BBF" w:rsidRDefault="00527BBF" w:rsidP="069BC161">
      <w:pPr>
        <w:jc w:val="center"/>
        <w:rPr>
          <w:b/>
          <w:bCs/>
        </w:rPr>
      </w:pPr>
    </w:p>
    <w:p w14:paraId="6EBE8A7A" w14:textId="43AFFC9A" w:rsidR="00891FD5" w:rsidRPr="005F7AA1" w:rsidRDefault="00891FD5" w:rsidP="069BC161">
      <w:pPr>
        <w:jc w:val="center"/>
        <w:rPr>
          <w:b/>
          <w:bCs/>
        </w:rPr>
      </w:pPr>
      <w:r w:rsidRPr="005F7AA1">
        <w:rPr>
          <w:b/>
          <w:bCs/>
        </w:rPr>
        <w:t>O</w:t>
      </w:r>
      <w:r w:rsidR="005E16D4" w:rsidRPr="005F7AA1">
        <w:rPr>
          <w:b/>
          <w:bCs/>
        </w:rPr>
        <w:t xml:space="preserve">lder persons deprived of their liberty </w:t>
      </w:r>
    </w:p>
    <w:p w14:paraId="7C65494A" w14:textId="77777777" w:rsidR="00527BBF" w:rsidRDefault="00527BBF" w:rsidP="00D460FE">
      <w:pPr>
        <w:jc w:val="center"/>
        <w:rPr>
          <w:b/>
          <w:bCs/>
          <w:szCs w:val="22"/>
        </w:rPr>
      </w:pPr>
    </w:p>
    <w:p w14:paraId="0E7ECB31" w14:textId="49AC91E1" w:rsidR="00C11C08" w:rsidRPr="005F7AA1" w:rsidRDefault="00262E5A" w:rsidP="00D460FE">
      <w:pPr>
        <w:jc w:val="center"/>
        <w:rPr>
          <w:b/>
          <w:bCs/>
          <w:szCs w:val="22"/>
        </w:rPr>
      </w:pPr>
      <w:r w:rsidRPr="005F7AA1">
        <w:rPr>
          <w:b/>
          <w:bCs/>
          <w:szCs w:val="22"/>
        </w:rPr>
        <w:t>April 1</w:t>
      </w:r>
      <w:r w:rsidR="00C11C08" w:rsidRPr="005F7AA1">
        <w:rPr>
          <w:b/>
          <w:bCs/>
          <w:szCs w:val="22"/>
        </w:rPr>
        <w:t>, 202</w:t>
      </w:r>
      <w:r w:rsidRPr="005F7AA1">
        <w:rPr>
          <w:b/>
          <w:bCs/>
          <w:szCs w:val="22"/>
        </w:rPr>
        <w:t>2</w:t>
      </w:r>
    </w:p>
    <w:p w14:paraId="22F41ACD" w14:textId="5B5A073A" w:rsidR="00A67DB5" w:rsidRPr="005F7AA1" w:rsidRDefault="00A67DB5" w:rsidP="00F86973">
      <w:pPr>
        <w:rPr>
          <w:rFonts w:cstheme="minorHAnsi"/>
          <w:szCs w:val="22"/>
        </w:rPr>
      </w:pPr>
    </w:p>
    <w:p w14:paraId="27D41AEE" w14:textId="77777777" w:rsidR="00A67DB5" w:rsidRPr="005F7AA1" w:rsidRDefault="00A67DB5" w:rsidP="00F86973">
      <w:pPr>
        <w:rPr>
          <w:rFonts w:cstheme="minorHAnsi"/>
          <w:szCs w:val="22"/>
        </w:rPr>
      </w:pPr>
    </w:p>
    <w:p w14:paraId="677F7D8D" w14:textId="15E32510" w:rsidR="00F86973" w:rsidRPr="005F7AA1" w:rsidRDefault="00F86973" w:rsidP="00F86973">
      <w:pPr>
        <w:rPr>
          <w:rFonts w:cstheme="minorHAnsi"/>
          <w:b/>
          <w:bCs/>
          <w:szCs w:val="22"/>
        </w:rPr>
      </w:pPr>
      <w:r w:rsidRPr="005F7AA1">
        <w:rPr>
          <w:rFonts w:cstheme="minorHAnsi"/>
          <w:b/>
          <w:bCs/>
          <w:szCs w:val="22"/>
        </w:rPr>
        <w:t>Introduction</w:t>
      </w:r>
    </w:p>
    <w:p w14:paraId="4771FB9E" w14:textId="032BE8BB" w:rsidR="002944E9" w:rsidRPr="005F7AA1" w:rsidRDefault="00F86973" w:rsidP="069BC161">
      <w:pPr>
        <w:rPr>
          <w:rFonts w:cstheme="minorBidi"/>
        </w:rPr>
      </w:pPr>
      <w:r w:rsidRPr="005F7AA1">
        <w:rPr>
          <w:rFonts w:cstheme="minorBidi"/>
        </w:rPr>
        <w:t xml:space="preserve">This submission is based on Human Rights Watch’s research on </w:t>
      </w:r>
      <w:r w:rsidR="003D5D74" w:rsidRPr="005F7AA1">
        <w:rPr>
          <w:rFonts w:cstheme="minorBidi"/>
        </w:rPr>
        <w:t xml:space="preserve">the use of chemical restraints in </w:t>
      </w:r>
      <w:r w:rsidR="001357D2" w:rsidRPr="005F7AA1">
        <w:rPr>
          <w:rFonts w:cstheme="minorBidi"/>
        </w:rPr>
        <w:t>care settings</w:t>
      </w:r>
      <w:r w:rsidR="00647C87" w:rsidRPr="005F7AA1">
        <w:rPr>
          <w:rFonts w:cstheme="minorBidi"/>
        </w:rPr>
        <w:t xml:space="preserve"> carried out </w:t>
      </w:r>
      <w:r w:rsidR="00753AEA" w:rsidRPr="005F7AA1">
        <w:rPr>
          <w:rFonts w:cstheme="minorBidi"/>
        </w:rPr>
        <w:t>between</w:t>
      </w:r>
      <w:r w:rsidR="00647C87" w:rsidRPr="005F7AA1">
        <w:rPr>
          <w:rFonts w:cstheme="minorBidi"/>
        </w:rPr>
        <w:t xml:space="preserve"> 2016 and 2017 </w:t>
      </w:r>
      <w:r w:rsidR="001357D2" w:rsidRPr="005F7AA1">
        <w:rPr>
          <w:rFonts w:cstheme="minorBidi"/>
        </w:rPr>
        <w:t>in the U</w:t>
      </w:r>
      <w:r w:rsidR="00527BBF">
        <w:rPr>
          <w:rFonts w:cstheme="minorBidi"/>
        </w:rPr>
        <w:t xml:space="preserve">nited </w:t>
      </w:r>
      <w:r w:rsidR="001357D2" w:rsidRPr="005F7AA1">
        <w:rPr>
          <w:rFonts w:cstheme="minorBidi"/>
        </w:rPr>
        <w:t>S</w:t>
      </w:r>
      <w:r w:rsidR="00527BBF">
        <w:rPr>
          <w:rFonts w:cstheme="minorBidi"/>
        </w:rPr>
        <w:t>tates,</w:t>
      </w:r>
      <w:r w:rsidR="00753AEA" w:rsidRPr="005F7AA1">
        <w:rPr>
          <w:rStyle w:val="FootnoteReference"/>
        </w:rPr>
        <w:footnoteReference w:id="1"/>
      </w:r>
      <w:r w:rsidR="00A46EEC" w:rsidRPr="005F7AA1">
        <w:rPr>
          <w:rFonts w:cstheme="minorBidi"/>
        </w:rPr>
        <w:t xml:space="preserve"> </w:t>
      </w:r>
      <w:r w:rsidR="00753AEA" w:rsidRPr="005F7AA1">
        <w:rPr>
          <w:rFonts w:cstheme="minorBidi"/>
        </w:rPr>
        <w:t>between</w:t>
      </w:r>
      <w:r w:rsidR="00233C9A" w:rsidRPr="005F7AA1">
        <w:rPr>
          <w:rFonts w:cstheme="minorBidi"/>
        </w:rPr>
        <w:t xml:space="preserve"> </w:t>
      </w:r>
      <w:r w:rsidR="002F06E6" w:rsidRPr="005F7AA1">
        <w:rPr>
          <w:rFonts w:cstheme="minorBidi"/>
        </w:rPr>
        <w:t>2018</w:t>
      </w:r>
      <w:r w:rsidR="00E86A45" w:rsidRPr="005F7AA1">
        <w:rPr>
          <w:rFonts w:cstheme="minorBidi"/>
        </w:rPr>
        <w:t xml:space="preserve"> and </w:t>
      </w:r>
      <w:r w:rsidR="00E71054" w:rsidRPr="005F7AA1">
        <w:rPr>
          <w:rFonts w:cstheme="minorBidi"/>
        </w:rPr>
        <w:t>20</w:t>
      </w:r>
      <w:r w:rsidR="001547F4">
        <w:rPr>
          <w:rFonts w:cstheme="minorBidi"/>
        </w:rPr>
        <w:t xml:space="preserve">21 </w:t>
      </w:r>
      <w:r w:rsidR="002F06E6" w:rsidRPr="005F7AA1">
        <w:rPr>
          <w:rFonts w:cstheme="minorBidi"/>
        </w:rPr>
        <w:t>in</w:t>
      </w:r>
      <w:r w:rsidR="00233C9A" w:rsidRPr="005F7AA1">
        <w:rPr>
          <w:rFonts w:cstheme="minorBidi"/>
        </w:rPr>
        <w:t xml:space="preserve"> </w:t>
      </w:r>
      <w:r w:rsidR="001357D2" w:rsidRPr="005F7AA1">
        <w:rPr>
          <w:rFonts w:cstheme="minorBidi"/>
        </w:rPr>
        <w:t>Australia</w:t>
      </w:r>
      <w:r w:rsidR="00527BBF">
        <w:rPr>
          <w:rFonts w:cstheme="minorBidi"/>
        </w:rPr>
        <w:t>,</w:t>
      </w:r>
      <w:r w:rsidR="00DC4911" w:rsidRPr="005F7AA1">
        <w:rPr>
          <w:rStyle w:val="FootnoteReference"/>
        </w:rPr>
        <w:footnoteReference w:id="2"/>
      </w:r>
      <w:r w:rsidR="00A739AF" w:rsidRPr="005F7AA1">
        <w:rPr>
          <w:rFonts w:cstheme="minorBidi"/>
        </w:rPr>
        <w:t xml:space="preserve"> and </w:t>
      </w:r>
      <w:r w:rsidR="00D106DE" w:rsidRPr="005F7AA1">
        <w:rPr>
          <w:rFonts w:cstheme="minorBidi"/>
        </w:rPr>
        <w:t xml:space="preserve">as part of </w:t>
      </w:r>
      <w:r w:rsidR="00A739AF" w:rsidRPr="005F7AA1">
        <w:rPr>
          <w:rFonts w:cstheme="minorBidi"/>
        </w:rPr>
        <w:t>ongoing monitoring during the Covid-19 pandemic</w:t>
      </w:r>
      <w:r w:rsidR="00D106DE" w:rsidRPr="005F7AA1">
        <w:rPr>
          <w:rFonts w:cstheme="minorBidi"/>
        </w:rPr>
        <w:t>.</w:t>
      </w:r>
      <w:r w:rsidR="00FF7A17" w:rsidRPr="005F7AA1">
        <w:rPr>
          <w:rStyle w:val="FootnoteReference"/>
        </w:rPr>
        <w:footnoteReference w:id="3"/>
      </w:r>
      <w:r w:rsidR="00FF7A17" w:rsidRPr="005F7AA1">
        <w:rPr>
          <w:rFonts w:cstheme="minorBidi"/>
        </w:rPr>
        <w:t xml:space="preserve"> </w:t>
      </w:r>
      <w:r w:rsidR="00D106DE" w:rsidRPr="005F7AA1">
        <w:rPr>
          <w:rFonts w:cstheme="minorBidi"/>
        </w:rPr>
        <w:t xml:space="preserve">It also </w:t>
      </w:r>
      <w:r w:rsidR="002944E9" w:rsidRPr="005F7AA1">
        <w:rPr>
          <w:rFonts w:cstheme="minorBidi"/>
        </w:rPr>
        <w:t>draws on Human Rights Watch</w:t>
      </w:r>
      <w:r w:rsidR="007830FB">
        <w:rPr>
          <w:rFonts w:cstheme="minorBidi"/>
        </w:rPr>
        <w:t>’s</w:t>
      </w:r>
      <w:r w:rsidR="002944E9" w:rsidRPr="005F7AA1">
        <w:rPr>
          <w:rFonts w:cstheme="minorBidi"/>
        </w:rPr>
        <w:t xml:space="preserve"> research in 2021 on </w:t>
      </w:r>
      <w:r w:rsidR="00391F68" w:rsidRPr="005F7AA1">
        <w:rPr>
          <w:rFonts w:cstheme="minorBidi"/>
        </w:rPr>
        <w:t>lack of access to home and community</w:t>
      </w:r>
      <w:r w:rsidR="002944E9" w:rsidRPr="005F7AA1">
        <w:rPr>
          <w:rFonts w:cstheme="minorBidi"/>
        </w:rPr>
        <w:t>-</w:t>
      </w:r>
      <w:r w:rsidR="00391F68" w:rsidRPr="005F7AA1">
        <w:rPr>
          <w:rFonts w:cstheme="minorBidi"/>
        </w:rPr>
        <w:t xml:space="preserve">based support services </w:t>
      </w:r>
      <w:r w:rsidR="00BD6D24" w:rsidRPr="005F7AA1">
        <w:rPr>
          <w:rFonts w:cstheme="minorBidi"/>
        </w:rPr>
        <w:t xml:space="preserve">in </w:t>
      </w:r>
      <w:r w:rsidR="00391F68" w:rsidRPr="005F7AA1">
        <w:rPr>
          <w:rFonts w:cstheme="minorBidi"/>
        </w:rPr>
        <w:t>Russia</w:t>
      </w:r>
      <w:r w:rsidR="00EC5A2C">
        <w:rPr>
          <w:rFonts w:cstheme="minorBidi"/>
        </w:rPr>
        <w:t>.</w:t>
      </w:r>
      <w:r w:rsidR="009D2512" w:rsidRPr="005F7AA1">
        <w:rPr>
          <w:rStyle w:val="FootnoteReference"/>
        </w:rPr>
        <w:footnoteReference w:id="4"/>
      </w:r>
      <w:r w:rsidR="00391F68" w:rsidRPr="005F7AA1">
        <w:rPr>
          <w:rFonts w:cstheme="minorBidi"/>
        </w:rPr>
        <w:t xml:space="preserve"> </w:t>
      </w:r>
    </w:p>
    <w:p w14:paraId="67B36E03" w14:textId="77777777" w:rsidR="002944E9" w:rsidRPr="005F7AA1" w:rsidRDefault="002944E9" w:rsidP="069BC161">
      <w:pPr>
        <w:rPr>
          <w:rFonts w:cstheme="minorBidi"/>
        </w:rPr>
      </w:pPr>
    </w:p>
    <w:p w14:paraId="21008ABA" w14:textId="7ACEB99B" w:rsidR="00F86973" w:rsidRPr="005F7AA1" w:rsidRDefault="00D85F60" w:rsidP="069BC161">
      <w:pPr>
        <w:rPr>
          <w:rFonts w:cstheme="minorBidi"/>
        </w:rPr>
      </w:pPr>
      <w:r w:rsidRPr="005F7AA1">
        <w:rPr>
          <w:rFonts w:cstheme="minorBidi"/>
        </w:rPr>
        <w:t xml:space="preserve">This submission responds to questions </w:t>
      </w:r>
      <w:r w:rsidR="00B35037" w:rsidRPr="005F7AA1">
        <w:rPr>
          <w:rFonts w:cstheme="minorBidi"/>
        </w:rPr>
        <w:t>1 and 3 of th</w:t>
      </w:r>
      <w:r w:rsidR="004345F5" w:rsidRPr="005F7AA1">
        <w:rPr>
          <w:rFonts w:cstheme="minorBidi"/>
        </w:rPr>
        <w:t xml:space="preserve">e Independent </w:t>
      </w:r>
      <w:r w:rsidR="008A71DB" w:rsidRPr="005F7AA1">
        <w:rPr>
          <w:rFonts w:cstheme="minorBidi"/>
        </w:rPr>
        <w:t>Expert’s questionnaire</w:t>
      </w:r>
      <w:r w:rsidR="00B35037" w:rsidRPr="005F7AA1">
        <w:rPr>
          <w:rFonts w:cstheme="minorBidi"/>
        </w:rPr>
        <w:t>.</w:t>
      </w:r>
    </w:p>
    <w:p w14:paraId="2CD6C8C1" w14:textId="77777777" w:rsidR="00F86973" w:rsidRPr="005F7AA1" w:rsidRDefault="00F86973" w:rsidP="00F86973">
      <w:pPr>
        <w:rPr>
          <w:rFonts w:cstheme="minorHAnsi"/>
          <w:szCs w:val="22"/>
        </w:rPr>
      </w:pPr>
    </w:p>
    <w:p w14:paraId="0CE77B6F" w14:textId="073CCF07" w:rsidR="00B35037" w:rsidRPr="005F7AA1" w:rsidRDefault="006148A0" w:rsidP="5BD16D8B">
      <w:pPr>
        <w:rPr>
          <w:rFonts w:cstheme="minorBidi"/>
          <w:b/>
          <w:bCs/>
        </w:rPr>
      </w:pPr>
      <w:r w:rsidRPr="5BD16D8B">
        <w:rPr>
          <w:rFonts w:cstheme="minorBidi"/>
          <w:b/>
          <w:bCs/>
        </w:rPr>
        <w:t>Question 1: What are the key human rights risks and violations affecting older persons deprived of their liberty, considering different intersectional factors?</w:t>
      </w:r>
    </w:p>
    <w:p w14:paraId="4070561D" w14:textId="77777777" w:rsidR="006148A0" w:rsidRPr="005F7AA1" w:rsidRDefault="006148A0" w:rsidP="00583362">
      <w:pPr>
        <w:rPr>
          <w:rFonts w:cstheme="minorHAnsi"/>
          <w:b/>
          <w:bCs/>
          <w:szCs w:val="22"/>
        </w:rPr>
      </w:pPr>
    </w:p>
    <w:p w14:paraId="10F56786" w14:textId="181292D4" w:rsidR="008852CA" w:rsidRPr="005F7AA1" w:rsidRDefault="001357D2" w:rsidP="00541713">
      <w:pPr>
        <w:pStyle w:val="ListParagraph"/>
        <w:numPr>
          <w:ilvl w:val="0"/>
          <w:numId w:val="1"/>
        </w:numPr>
        <w:rPr>
          <w:rFonts w:asciiTheme="minorHAnsi" w:eastAsiaTheme="minorEastAsia" w:hAnsiTheme="minorHAnsi" w:cstheme="minorBidi"/>
          <w:b/>
          <w:bCs/>
          <w:szCs w:val="22"/>
        </w:rPr>
      </w:pPr>
      <w:r w:rsidRPr="005F7AA1">
        <w:rPr>
          <w:rFonts w:cstheme="minorBidi"/>
          <w:b/>
          <w:bCs/>
        </w:rPr>
        <w:lastRenderedPageBreak/>
        <w:t xml:space="preserve">The use of chemical restraints </w:t>
      </w:r>
      <w:r w:rsidR="00001DBD" w:rsidRPr="005F7AA1">
        <w:rPr>
          <w:rFonts w:cstheme="minorBidi"/>
          <w:b/>
          <w:bCs/>
        </w:rPr>
        <w:t xml:space="preserve">on older people </w:t>
      </w:r>
      <w:r w:rsidRPr="005F7AA1">
        <w:rPr>
          <w:rFonts w:cstheme="minorBidi"/>
          <w:b/>
          <w:bCs/>
        </w:rPr>
        <w:t>in care settings</w:t>
      </w:r>
    </w:p>
    <w:p w14:paraId="75564B4A" w14:textId="2D4A4370" w:rsidR="00520BE1" w:rsidRPr="005F7AA1" w:rsidRDefault="00520BE1" w:rsidP="033AD1E7">
      <w:pPr>
        <w:rPr>
          <w:rFonts w:cstheme="minorBidi"/>
        </w:rPr>
      </w:pPr>
      <w:r w:rsidRPr="033AD1E7">
        <w:rPr>
          <w:rFonts w:cstheme="minorBidi"/>
        </w:rPr>
        <w:t>Human Rights Watch has documented how nursing homes in the United States and Australia give older people antipsychotic drugs as chemical restraints.</w:t>
      </w:r>
      <w:r w:rsidRPr="005F7AA1">
        <w:rPr>
          <w:rStyle w:val="FootnoteReference"/>
        </w:rPr>
        <w:footnoteReference w:id="5"/>
      </w:r>
      <w:r w:rsidRPr="005F7AA1">
        <w:rPr>
          <w:rStyle w:val="FootnoteReference"/>
        </w:rPr>
        <w:t xml:space="preserve"> </w:t>
      </w:r>
      <w:r w:rsidR="00D53683" w:rsidRPr="033AD1E7">
        <w:rPr>
          <w:rFonts w:cstheme="minorBidi"/>
        </w:rPr>
        <w:t xml:space="preserve">Chemical restraint is the use of medications to control the behavior of </w:t>
      </w:r>
      <w:r w:rsidR="004A2566" w:rsidRPr="033AD1E7">
        <w:rPr>
          <w:rFonts w:cstheme="minorBidi"/>
        </w:rPr>
        <w:t>nursing home</w:t>
      </w:r>
      <w:r w:rsidR="00D53683" w:rsidRPr="033AD1E7">
        <w:rPr>
          <w:rFonts w:cstheme="minorBidi"/>
        </w:rPr>
        <w:t xml:space="preserve"> residents without a therapeutic purpose</w:t>
      </w:r>
      <w:r w:rsidR="00304905" w:rsidRPr="033AD1E7">
        <w:rPr>
          <w:rFonts w:cstheme="minorBidi"/>
        </w:rPr>
        <w:t>.</w:t>
      </w:r>
      <w:r w:rsidRPr="033AD1E7">
        <w:rPr>
          <w:rFonts w:cstheme="minorBidi"/>
        </w:rPr>
        <w:t xml:space="preserve"> </w:t>
      </w:r>
    </w:p>
    <w:p w14:paraId="0336B7CF" w14:textId="3F893640" w:rsidR="007D188F" w:rsidRPr="005F7AA1" w:rsidRDefault="007D188F" w:rsidP="00583362">
      <w:pPr>
        <w:rPr>
          <w:rFonts w:cstheme="minorHAnsi"/>
          <w:szCs w:val="22"/>
        </w:rPr>
      </w:pPr>
    </w:p>
    <w:p w14:paraId="0DF309EC" w14:textId="6B3F807F" w:rsidR="00BA08A1" w:rsidRPr="005F7AA1" w:rsidRDefault="00BA08A1" w:rsidP="00583362">
      <w:pPr>
        <w:rPr>
          <w:rFonts w:cstheme="minorHAnsi"/>
          <w:b/>
          <w:bCs/>
          <w:szCs w:val="22"/>
        </w:rPr>
      </w:pPr>
      <w:r w:rsidRPr="005F7AA1">
        <w:rPr>
          <w:rFonts w:cstheme="minorHAnsi"/>
          <w:b/>
          <w:bCs/>
          <w:szCs w:val="22"/>
        </w:rPr>
        <w:t>United States</w:t>
      </w:r>
    </w:p>
    <w:p w14:paraId="0164CDA4" w14:textId="215B2998" w:rsidR="006F2620" w:rsidRPr="005F7AA1" w:rsidRDefault="00661458" w:rsidP="5BD16D8B">
      <w:pPr>
        <w:rPr>
          <w:rFonts w:cstheme="minorBidi"/>
        </w:rPr>
      </w:pPr>
      <w:r w:rsidRPr="5BD16D8B">
        <w:rPr>
          <w:rFonts w:cstheme="minorBidi"/>
        </w:rPr>
        <w:t>In 2018</w:t>
      </w:r>
      <w:r w:rsidR="00527BBF">
        <w:rPr>
          <w:rFonts w:cstheme="minorBidi"/>
        </w:rPr>
        <w:t>,</w:t>
      </w:r>
      <w:r w:rsidRPr="5BD16D8B">
        <w:rPr>
          <w:rFonts w:cstheme="minorBidi"/>
        </w:rPr>
        <w:t xml:space="preserve"> Human Rights Watch</w:t>
      </w:r>
      <w:r w:rsidR="004A2566" w:rsidRPr="5BD16D8B">
        <w:rPr>
          <w:rFonts w:cstheme="minorBidi"/>
        </w:rPr>
        <w:t xml:space="preserve"> </w:t>
      </w:r>
      <w:r w:rsidRPr="5BD16D8B">
        <w:rPr>
          <w:rFonts w:cstheme="minorBidi"/>
        </w:rPr>
        <w:t xml:space="preserve">documented that nursing homes across the United States routinely </w:t>
      </w:r>
      <w:r w:rsidR="00F37C09" w:rsidRPr="5BD16D8B">
        <w:rPr>
          <w:rFonts w:cstheme="minorBidi"/>
        </w:rPr>
        <w:t xml:space="preserve">had </w:t>
      </w:r>
      <w:r w:rsidRPr="5BD16D8B">
        <w:rPr>
          <w:rFonts w:cstheme="minorBidi"/>
        </w:rPr>
        <w:t xml:space="preserve">been giving antipsychotic drugs to residents with dementia to control their behavior, </w:t>
      </w:r>
      <w:r w:rsidR="00304905" w:rsidRPr="5BD16D8B">
        <w:rPr>
          <w:rFonts w:cstheme="minorBidi"/>
        </w:rPr>
        <w:t xml:space="preserve">without free and informed consent, </w:t>
      </w:r>
      <w:r w:rsidRPr="5BD16D8B">
        <w:rPr>
          <w:rFonts w:cstheme="minorBidi"/>
        </w:rPr>
        <w:t>despite rules against the misuse of drugs as chemical restraints.</w:t>
      </w:r>
      <w:r w:rsidR="00EE00A6" w:rsidRPr="005F7AA1">
        <w:rPr>
          <w:rStyle w:val="FootnoteReference"/>
        </w:rPr>
        <w:footnoteReference w:id="6"/>
      </w:r>
      <w:r w:rsidRPr="5BD16D8B">
        <w:rPr>
          <w:rFonts w:cstheme="minorBidi"/>
        </w:rPr>
        <w:t xml:space="preserve"> This abusive practice remains widespread, even though the use of antipsychotic drugs on older people with dementia is associated with a nearly doubled risk of death.</w:t>
      </w:r>
      <w:r w:rsidR="00497E4C" w:rsidRPr="005F7AA1">
        <w:rPr>
          <w:rStyle w:val="FootnoteReference"/>
        </w:rPr>
        <w:footnoteReference w:id="7"/>
      </w:r>
      <w:r w:rsidRPr="5BD16D8B">
        <w:rPr>
          <w:rFonts w:cstheme="minorBidi"/>
        </w:rPr>
        <w:t xml:space="preserve"> </w:t>
      </w:r>
      <w:r w:rsidR="00EE00A6" w:rsidRPr="5BD16D8B">
        <w:rPr>
          <w:rFonts w:cstheme="minorBidi"/>
        </w:rPr>
        <w:t>Based on government data, we estimate</w:t>
      </w:r>
      <w:r w:rsidR="003500C9" w:rsidRPr="5BD16D8B">
        <w:rPr>
          <w:rFonts w:cstheme="minorBidi"/>
        </w:rPr>
        <w:t>d</w:t>
      </w:r>
      <w:r w:rsidR="00EE00A6" w:rsidRPr="5BD16D8B">
        <w:rPr>
          <w:rFonts w:cstheme="minorBidi"/>
        </w:rPr>
        <w:t xml:space="preserve"> that in an average week, more than 179,000 older people in nursing homes </w:t>
      </w:r>
      <w:r w:rsidR="00527BBF">
        <w:rPr>
          <w:rFonts w:cstheme="minorBidi"/>
        </w:rPr>
        <w:t xml:space="preserve">in the US </w:t>
      </w:r>
      <w:r w:rsidR="00EE00A6" w:rsidRPr="5BD16D8B">
        <w:rPr>
          <w:rFonts w:cstheme="minorBidi"/>
        </w:rPr>
        <w:t>were given antipsychotic drugs without an appropriate diagnosis.</w:t>
      </w:r>
      <w:r w:rsidR="003500C9" w:rsidRPr="005F7AA1">
        <w:rPr>
          <w:rStyle w:val="FootnoteReference"/>
        </w:rPr>
        <w:footnoteReference w:id="8"/>
      </w:r>
    </w:p>
    <w:p w14:paraId="78E370C3" w14:textId="77777777" w:rsidR="006F2620" w:rsidRPr="005F7AA1" w:rsidRDefault="006F2620" w:rsidP="00661458">
      <w:pPr>
        <w:rPr>
          <w:rFonts w:cstheme="minorHAnsi"/>
          <w:szCs w:val="22"/>
        </w:rPr>
      </w:pPr>
    </w:p>
    <w:p w14:paraId="2517F1F4" w14:textId="54C73149" w:rsidR="00661458" w:rsidRPr="005F7AA1" w:rsidRDefault="00B43EC9" w:rsidP="00661458">
      <w:pPr>
        <w:rPr>
          <w:rFonts w:asciiTheme="minorHAnsi" w:eastAsiaTheme="minorHAnsi" w:hAnsiTheme="minorHAnsi" w:cstheme="minorHAnsi"/>
          <w:szCs w:val="22"/>
        </w:rPr>
      </w:pPr>
      <w:r w:rsidRPr="005F7AA1">
        <w:rPr>
          <w:rFonts w:cstheme="minorHAnsi"/>
          <w:szCs w:val="22"/>
        </w:rPr>
        <w:t xml:space="preserve">Federal regulations require individuals to be fully informed about their treatment and provide the right to refuse treatment. Some </w:t>
      </w:r>
      <w:r w:rsidR="00527BBF">
        <w:rPr>
          <w:rFonts w:cstheme="minorHAnsi"/>
          <w:szCs w:val="22"/>
        </w:rPr>
        <w:t xml:space="preserve">US </w:t>
      </w:r>
      <w:r w:rsidRPr="005F7AA1">
        <w:rPr>
          <w:rFonts w:cstheme="minorHAnsi"/>
          <w:szCs w:val="22"/>
        </w:rPr>
        <w:t xml:space="preserve">state laws require informed consent prior to the administration of antipsychotic drugs to nursing home residents. Yet nursing facilities often fail to obtain consent or even to make any effort to do so. </w:t>
      </w:r>
      <w:r w:rsidR="00661458" w:rsidRPr="005F7AA1">
        <w:rPr>
          <w:rFonts w:cstheme="minorHAnsi"/>
          <w:szCs w:val="22"/>
        </w:rPr>
        <w:t>Using antipsychotic medications as a “chemical restraint” – for the convenience of staff or to discipline residents – violates federal regulations and can amount to cruel, inhuman, or degrading treatment under international human rights law.</w:t>
      </w:r>
      <w:r w:rsidR="001B7164" w:rsidRPr="005F7AA1">
        <w:rPr>
          <w:rStyle w:val="FootnoteReference"/>
        </w:rPr>
        <w:footnoteReference w:id="9"/>
      </w:r>
      <w:r w:rsidR="001B7164" w:rsidRPr="005F7AA1">
        <w:rPr>
          <w:rFonts w:cstheme="minorHAnsi"/>
          <w:szCs w:val="22"/>
        </w:rPr>
        <w:t xml:space="preserve"> </w:t>
      </w:r>
      <w:r w:rsidR="00661458" w:rsidRPr="005F7AA1">
        <w:rPr>
          <w:rFonts w:cstheme="minorHAnsi"/>
          <w:szCs w:val="22"/>
        </w:rPr>
        <w:t>Yet even when nursing homes are found to have broken these rules, they are rarely punished.</w:t>
      </w:r>
      <w:r w:rsidR="00661458" w:rsidRPr="005F7AA1">
        <w:rPr>
          <w:rStyle w:val="FootnoteReference"/>
          <w:szCs w:val="22"/>
        </w:rPr>
        <w:footnoteReference w:id="10"/>
      </w:r>
    </w:p>
    <w:p w14:paraId="558F71D1" w14:textId="77777777" w:rsidR="00BA08A1" w:rsidRPr="005F7AA1" w:rsidRDefault="00BA08A1" w:rsidP="00661458">
      <w:pPr>
        <w:rPr>
          <w:rFonts w:cstheme="minorHAnsi"/>
          <w:szCs w:val="22"/>
        </w:rPr>
      </w:pPr>
    </w:p>
    <w:p w14:paraId="6733A2F0" w14:textId="59AD8473" w:rsidR="00BA08A1" w:rsidRPr="005F7AA1" w:rsidRDefault="00BA08A1" w:rsidP="00661458">
      <w:pPr>
        <w:rPr>
          <w:rFonts w:cstheme="minorHAnsi"/>
          <w:b/>
          <w:bCs/>
          <w:szCs w:val="22"/>
        </w:rPr>
      </w:pPr>
      <w:r w:rsidRPr="005F7AA1">
        <w:rPr>
          <w:rFonts w:cstheme="minorHAnsi"/>
          <w:b/>
          <w:bCs/>
          <w:szCs w:val="22"/>
        </w:rPr>
        <w:t>Australia</w:t>
      </w:r>
    </w:p>
    <w:p w14:paraId="6D349F1A" w14:textId="7E6AA05E" w:rsidR="00661458" w:rsidRPr="005F7AA1" w:rsidRDefault="00661458" w:rsidP="069BC161">
      <w:pPr>
        <w:rPr>
          <w:rFonts w:cstheme="minorBidi"/>
        </w:rPr>
      </w:pPr>
      <w:r w:rsidRPr="005F7AA1">
        <w:rPr>
          <w:rFonts w:cstheme="minorBidi"/>
        </w:rPr>
        <w:t>In Australia, Human Rights Watch’s research found that many aged care facilities routinely give older people with dementia dangerous medicines to control their behavior.</w:t>
      </w:r>
      <w:r w:rsidRPr="005F7AA1">
        <w:rPr>
          <w:szCs w:val="22"/>
        </w:rPr>
        <w:t xml:space="preserve"> </w:t>
      </w:r>
      <w:r w:rsidRPr="005F7AA1">
        <w:rPr>
          <w:rFonts w:cstheme="minorBidi"/>
        </w:rPr>
        <w:t xml:space="preserve">Instead of providing support to older people with dementia in the form of </w:t>
      </w:r>
      <w:r w:rsidR="00AC11AB" w:rsidRPr="005F7AA1">
        <w:rPr>
          <w:rFonts w:cstheme="minorBidi"/>
        </w:rPr>
        <w:t xml:space="preserve">non-medical interventions </w:t>
      </w:r>
      <w:r w:rsidR="006F3010" w:rsidRPr="005F7AA1">
        <w:rPr>
          <w:rFonts w:cstheme="minorBidi"/>
        </w:rPr>
        <w:t>such as exercise, music, and redirection to a different activity</w:t>
      </w:r>
      <w:r w:rsidRPr="005F7AA1">
        <w:rPr>
          <w:rFonts w:cstheme="minorBidi"/>
        </w:rPr>
        <w:t>, facilities use drugs to control their behavior. Many of the drugs used to control people in aged care facilities are antipsychotics that are not approved in Australia for older people with dementia. In addition to the physical, social, and emotional harm for older people restrained with these drugs, the use of these drugs in older people with dementia is also associated with an increased risk of death.</w:t>
      </w:r>
      <w:r w:rsidRPr="005F7AA1">
        <w:rPr>
          <w:rStyle w:val="FootnoteReference"/>
        </w:rPr>
        <w:footnoteReference w:id="11"/>
      </w:r>
    </w:p>
    <w:p w14:paraId="16C8AC9F" w14:textId="77777777" w:rsidR="00661458" w:rsidRPr="005F7AA1" w:rsidRDefault="00661458" w:rsidP="00661458">
      <w:pPr>
        <w:rPr>
          <w:rFonts w:cstheme="minorHAnsi"/>
          <w:szCs w:val="22"/>
        </w:rPr>
      </w:pPr>
    </w:p>
    <w:p w14:paraId="2B931320" w14:textId="511771BC" w:rsidR="00661458" w:rsidRPr="005F7AA1" w:rsidRDefault="00661458" w:rsidP="069BC161">
      <w:pPr>
        <w:rPr>
          <w:rFonts w:cstheme="minorBidi"/>
        </w:rPr>
      </w:pPr>
      <w:r w:rsidRPr="005F7AA1">
        <w:rPr>
          <w:rFonts w:cstheme="minorBidi"/>
        </w:rPr>
        <w:t>One woman with whom Human Rights Watch spoke in Australia said that her grandmother had wandered away from an aged care facility where she was living in 2017. After the incident, the facility staff said they placed her on antipsychotic drugs. “Everything about her, her health, her spirit, declined after that drug,” the granddaughter said. “We went to see her after the meds, and she couldn’t hold a conversation, she was dropping off to sleep, [just] like that.… Her eyes would roll back in her head.”</w:t>
      </w:r>
      <w:r w:rsidRPr="005F7AA1">
        <w:rPr>
          <w:rStyle w:val="FootnoteReference"/>
        </w:rPr>
        <w:footnoteReference w:id="12"/>
      </w:r>
    </w:p>
    <w:p w14:paraId="7F750A6B" w14:textId="481DAD9F" w:rsidR="009E748B" w:rsidRPr="005F7AA1" w:rsidRDefault="009E748B" w:rsidP="00661458">
      <w:pPr>
        <w:rPr>
          <w:rFonts w:cstheme="minorHAnsi"/>
          <w:szCs w:val="22"/>
        </w:rPr>
      </w:pPr>
    </w:p>
    <w:p w14:paraId="6D0A906D" w14:textId="1550E630" w:rsidR="00252892" w:rsidRPr="005F7AA1" w:rsidRDefault="009E748B" w:rsidP="303F753B">
      <w:pPr>
        <w:rPr>
          <w:rFonts w:cstheme="minorBidi"/>
        </w:rPr>
      </w:pPr>
      <w:r w:rsidRPr="303F753B">
        <w:rPr>
          <w:rFonts w:cstheme="minorBidi"/>
        </w:rPr>
        <w:t>The Quality of Care Amendment (Restraints Principles) were introduced in mid-2019</w:t>
      </w:r>
      <w:r w:rsidR="001A3ADD" w:rsidRPr="303F753B">
        <w:rPr>
          <w:rFonts w:cstheme="minorBidi"/>
        </w:rPr>
        <w:t xml:space="preserve"> to minimize the use of restrictive practices</w:t>
      </w:r>
      <w:r w:rsidRPr="303F753B">
        <w:rPr>
          <w:rFonts w:cstheme="minorBidi"/>
        </w:rPr>
        <w:t xml:space="preserve">, with </w:t>
      </w:r>
      <w:hyperlink r:id="rId11" w:history="1">
        <w:r w:rsidRPr="303F753B">
          <w:rPr>
            <w:rFonts w:cstheme="minorBidi"/>
          </w:rPr>
          <w:t>updated regulations</w:t>
        </w:r>
      </w:hyperlink>
      <w:r w:rsidRPr="303F753B">
        <w:rPr>
          <w:rFonts w:cstheme="minorBidi"/>
        </w:rPr>
        <w:t xml:space="preserve"> introduced to replace them on June 30, 2021.</w:t>
      </w:r>
      <w:r w:rsidR="00F247B3" w:rsidRPr="005F7AA1">
        <w:rPr>
          <w:rStyle w:val="FootnoteReference"/>
        </w:rPr>
        <w:footnoteReference w:id="13"/>
      </w:r>
      <w:r w:rsidRPr="303F753B">
        <w:rPr>
          <w:rFonts w:cstheme="minorBidi"/>
        </w:rPr>
        <w:t xml:space="preserve"> While the principles clarify that chemical restraint is a last resort, it falls short of an outright ban on the practice. </w:t>
      </w:r>
      <w:r w:rsidR="000656FA" w:rsidRPr="303F753B">
        <w:rPr>
          <w:rFonts w:cstheme="minorBidi"/>
        </w:rPr>
        <w:t xml:space="preserve">Human Rights Watch’s review of non-compliance reports for aged care facilities across Australia from July 1, 2020 to June 30, 2021 found </w:t>
      </w:r>
      <w:r w:rsidR="006056C5" w:rsidRPr="303F753B">
        <w:rPr>
          <w:rFonts w:cstheme="minorBidi"/>
        </w:rPr>
        <w:t>the mis</w:t>
      </w:r>
      <w:r w:rsidR="000656FA" w:rsidRPr="303F753B">
        <w:rPr>
          <w:rFonts w:cstheme="minorBidi"/>
        </w:rPr>
        <w:t xml:space="preserve">use of chemical restraints in more than </w:t>
      </w:r>
      <w:r w:rsidR="006056C5" w:rsidRPr="303F753B">
        <w:rPr>
          <w:rFonts w:cstheme="minorBidi"/>
        </w:rPr>
        <w:t>150</w:t>
      </w:r>
      <w:r w:rsidR="000656FA" w:rsidRPr="303F753B">
        <w:rPr>
          <w:rFonts w:cstheme="minorBidi"/>
        </w:rPr>
        <w:t xml:space="preserve"> aged care facilities, despite </w:t>
      </w:r>
      <w:r w:rsidR="001A3ADD" w:rsidRPr="303F753B">
        <w:rPr>
          <w:rFonts w:cstheme="minorBidi"/>
        </w:rPr>
        <w:t xml:space="preserve">these </w:t>
      </w:r>
      <w:r w:rsidR="000656FA" w:rsidRPr="303F753B">
        <w:rPr>
          <w:rFonts w:cstheme="minorBidi"/>
        </w:rPr>
        <w:t>regulations.</w:t>
      </w:r>
      <w:r w:rsidR="00835293">
        <w:rPr>
          <w:rStyle w:val="FootnoteReference"/>
        </w:rPr>
        <w:footnoteReference w:id="14"/>
      </w:r>
      <w:r w:rsidR="000656FA" w:rsidRPr="303F753B">
        <w:rPr>
          <w:rFonts w:cstheme="minorBidi"/>
        </w:rPr>
        <w:t xml:space="preserve"> </w:t>
      </w:r>
    </w:p>
    <w:p w14:paraId="248B6A8E" w14:textId="02A6DA26" w:rsidR="069BC161" w:rsidRDefault="069BC161" w:rsidP="069BC161">
      <w:pPr>
        <w:rPr>
          <w:szCs w:val="22"/>
        </w:rPr>
      </w:pPr>
    </w:p>
    <w:p w14:paraId="560B884B" w14:textId="77777777" w:rsidR="0023274A" w:rsidRPr="005F7AA1" w:rsidRDefault="0023274A" w:rsidP="069BC161">
      <w:pPr>
        <w:rPr>
          <w:szCs w:val="22"/>
        </w:rPr>
      </w:pPr>
    </w:p>
    <w:p w14:paraId="645A4ED9" w14:textId="77777777" w:rsidR="00671E5A" w:rsidRPr="005F7AA1" w:rsidRDefault="069BC161" w:rsidP="069BC161">
      <w:pPr>
        <w:pStyle w:val="ListParagraph"/>
        <w:numPr>
          <w:ilvl w:val="0"/>
          <w:numId w:val="1"/>
        </w:numPr>
        <w:rPr>
          <w:rFonts w:asciiTheme="minorHAnsi" w:eastAsiaTheme="minorEastAsia" w:hAnsiTheme="minorHAnsi" w:cstheme="minorBidi"/>
          <w:b/>
          <w:bCs/>
          <w:szCs w:val="22"/>
        </w:rPr>
      </w:pPr>
      <w:r w:rsidRPr="00F429F1">
        <w:rPr>
          <w:b/>
          <w:bCs/>
          <w:szCs w:val="22"/>
        </w:rPr>
        <w:lastRenderedPageBreak/>
        <w:t>Lack of home and community-based services</w:t>
      </w:r>
    </w:p>
    <w:p w14:paraId="6601780C" w14:textId="2CA395A0" w:rsidR="00BD6D24" w:rsidRPr="005F7AA1" w:rsidRDefault="00BD6D24" w:rsidP="069BC161">
      <w:pPr>
        <w:rPr>
          <w:rFonts w:asciiTheme="minorHAnsi" w:eastAsiaTheme="minorEastAsia" w:hAnsiTheme="minorHAnsi" w:cstheme="minorBidi"/>
          <w:b/>
          <w:bCs/>
          <w:szCs w:val="22"/>
        </w:rPr>
      </w:pPr>
      <w:r w:rsidRPr="005F7AA1">
        <w:rPr>
          <w:rFonts w:cstheme="minorBidi"/>
        </w:rPr>
        <w:t xml:space="preserve">Lack of home and community-based services may </w:t>
      </w:r>
      <w:r w:rsidR="00462BFC" w:rsidRPr="005F7AA1">
        <w:rPr>
          <w:rFonts w:cstheme="minorBidi"/>
        </w:rPr>
        <w:t xml:space="preserve">leave older people with little choice </w:t>
      </w:r>
      <w:r w:rsidR="00590529" w:rsidRPr="005F7AA1">
        <w:rPr>
          <w:rFonts w:cstheme="minorBidi"/>
        </w:rPr>
        <w:t xml:space="preserve">but to live in a </w:t>
      </w:r>
      <w:r w:rsidR="007B12EA" w:rsidRPr="005F7AA1">
        <w:rPr>
          <w:rFonts w:cstheme="minorBidi"/>
        </w:rPr>
        <w:t>nursing</w:t>
      </w:r>
      <w:r w:rsidR="00590529" w:rsidRPr="005F7AA1">
        <w:rPr>
          <w:rFonts w:cstheme="minorBidi"/>
        </w:rPr>
        <w:t xml:space="preserve"> home. </w:t>
      </w:r>
    </w:p>
    <w:p w14:paraId="31EBA326" w14:textId="137890B3" w:rsidR="007B12EA" w:rsidRDefault="007B12EA" w:rsidP="00404AA6">
      <w:pPr>
        <w:rPr>
          <w:rFonts w:cstheme="minorBidi"/>
          <w:b/>
          <w:bCs/>
        </w:rPr>
      </w:pPr>
    </w:p>
    <w:p w14:paraId="1353D947" w14:textId="3450908F" w:rsidR="0023274A" w:rsidRPr="005F7AA1" w:rsidRDefault="0023274A" w:rsidP="00404AA6">
      <w:pPr>
        <w:rPr>
          <w:rFonts w:cstheme="minorBidi"/>
          <w:b/>
          <w:bCs/>
        </w:rPr>
      </w:pPr>
      <w:r>
        <w:rPr>
          <w:rFonts w:cstheme="minorBidi"/>
          <w:b/>
          <w:bCs/>
        </w:rPr>
        <w:t>Russia</w:t>
      </w:r>
    </w:p>
    <w:p w14:paraId="14C9C6DD" w14:textId="565264A3" w:rsidR="00411690" w:rsidRPr="005F7AA1" w:rsidRDefault="00404AA6" w:rsidP="00404AA6">
      <w:pPr>
        <w:rPr>
          <w:rFonts w:cstheme="minorBidi"/>
        </w:rPr>
      </w:pPr>
      <w:r w:rsidRPr="005F7AA1">
        <w:rPr>
          <w:rFonts w:cstheme="minorBidi"/>
        </w:rPr>
        <w:t xml:space="preserve">In Russia, Human Rights Watch </w:t>
      </w:r>
      <w:r w:rsidR="00C72DE3" w:rsidRPr="005F7AA1">
        <w:rPr>
          <w:rFonts w:cstheme="minorBidi"/>
        </w:rPr>
        <w:t>found that t</w:t>
      </w:r>
      <w:r w:rsidRPr="005F7AA1">
        <w:rPr>
          <w:rFonts w:cstheme="minorBidi"/>
        </w:rPr>
        <w:t xml:space="preserve">he Russian government </w:t>
      </w:r>
      <w:r w:rsidR="00C72DE3" w:rsidRPr="005F7AA1">
        <w:rPr>
          <w:rFonts w:cstheme="minorBidi"/>
        </w:rPr>
        <w:t>wa</w:t>
      </w:r>
      <w:r w:rsidRPr="005F7AA1">
        <w:rPr>
          <w:rFonts w:cstheme="minorBidi"/>
        </w:rPr>
        <w:t>s not providing adequate resources for home-based services for older people, denying some of them the ability to live independent and dignified lives.</w:t>
      </w:r>
      <w:r w:rsidR="001244B6" w:rsidRPr="005F7AA1">
        <w:rPr>
          <w:rFonts w:cstheme="minorBidi"/>
        </w:rPr>
        <w:t xml:space="preserve"> </w:t>
      </w:r>
      <w:r w:rsidRPr="005F7AA1">
        <w:rPr>
          <w:rFonts w:cstheme="minorBidi"/>
        </w:rPr>
        <w:t>Despite legislative reform to enhance these services, their funding and delivery appear</w:t>
      </w:r>
      <w:r w:rsidR="001244B6" w:rsidRPr="005F7AA1">
        <w:rPr>
          <w:rFonts w:cstheme="minorBidi"/>
        </w:rPr>
        <w:t>ed</w:t>
      </w:r>
      <w:r w:rsidRPr="005F7AA1">
        <w:rPr>
          <w:rFonts w:cstheme="minorBidi"/>
        </w:rPr>
        <w:t xml:space="preserve"> to be inadequate to meet the needs of older people.</w:t>
      </w:r>
    </w:p>
    <w:p w14:paraId="4241D24F" w14:textId="3C4813BC" w:rsidR="00BD6D24" w:rsidRPr="005F7AA1" w:rsidRDefault="00BD6D24" w:rsidP="00404AA6">
      <w:pPr>
        <w:rPr>
          <w:rFonts w:cstheme="minorBidi"/>
        </w:rPr>
      </w:pPr>
    </w:p>
    <w:p w14:paraId="08425829" w14:textId="1F3732DE" w:rsidR="00404AA6" w:rsidRPr="005F7AA1" w:rsidRDefault="00BB3564" w:rsidP="00404AA6">
      <w:pPr>
        <w:rPr>
          <w:rFonts w:cstheme="minorBidi"/>
        </w:rPr>
      </w:pPr>
      <w:r>
        <w:rPr>
          <w:rFonts w:cstheme="minorBidi"/>
        </w:rPr>
        <w:t>The law,</w:t>
      </w:r>
      <w:r w:rsidR="00BB4B66" w:rsidRPr="00BB4B66">
        <w:rPr>
          <w:rFonts w:cstheme="minorBidi"/>
        </w:rPr>
        <w:t xml:space="preserve"> </w:t>
      </w:r>
      <w:hyperlink r:id="rId12" w:history="1">
        <w:r w:rsidR="00BB4B66" w:rsidRPr="00B4217A">
          <w:rPr>
            <w:rStyle w:val="Hyperlink"/>
            <w:rFonts w:cstheme="minorBidi"/>
          </w:rPr>
          <w:t>On the Foundations of Social Services for Citizens of the Russian Federation</w:t>
        </w:r>
      </w:hyperlink>
      <w:r w:rsidR="00BB4B66">
        <w:rPr>
          <w:rFonts w:cstheme="minorBidi"/>
        </w:rPr>
        <w:t xml:space="preserve">, </w:t>
      </w:r>
      <w:r w:rsidR="00411690" w:rsidRPr="005F7AA1">
        <w:rPr>
          <w:rFonts w:cstheme="minorBidi"/>
        </w:rPr>
        <w:t>which entered into force in 2015, says that services should be tailored to an individual’s needs with the goal of enabling older people “to remain in a familiar and positive living environment.</w:t>
      </w:r>
      <w:r w:rsidR="003A4E53" w:rsidRPr="005F7AA1">
        <w:rPr>
          <w:rFonts w:cstheme="minorBidi"/>
        </w:rPr>
        <w:t>”</w:t>
      </w:r>
      <w:r w:rsidR="00725A7F">
        <w:rPr>
          <w:rStyle w:val="FootnoteReference"/>
        </w:rPr>
        <w:footnoteReference w:id="15"/>
      </w:r>
      <w:r w:rsidR="003A4E53" w:rsidRPr="005F7AA1">
        <w:rPr>
          <w:rFonts w:cstheme="minorBidi"/>
        </w:rPr>
        <w:t xml:space="preserve"> </w:t>
      </w:r>
      <w:r w:rsidR="00411690" w:rsidRPr="005F7AA1">
        <w:rPr>
          <w:rFonts w:cstheme="minorBidi"/>
        </w:rPr>
        <w:t xml:space="preserve">Under the law, financing and delivery of home-based services is the responsibility of regional governments. </w:t>
      </w:r>
      <w:r w:rsidR="003A4E53" w:rsidRPr="005F7AA1">
        <w:rPr>
          <w:rFonts w:cstheme="minorBidi"/>
        </w:rPr>
        <w:t>However, i</w:t>
      </w:r>
      <w:r w:rsidR="00404AA6" w:rsidRPr="005F7AA1">
        <w:rPr>
          <w:rFonts w:cstheme="minorBidi"/>
        </w:rPr>
        <w:t xml:space="preserve">nsufficient services may </w:t>
      </w:r>
      <w:r w:rsidR="001244B6" w:rsidRPr="005F7AA1">
        <w:rPr>
          <w:rFonts w:cstheme="minorBidi"/>
        </w:rPr>
        <w:t xml:space="preserve">have left </w:t>
      </w:r>
      <w:r w:rsidR="00404AA6" w:rsidRPr="005F7AA1">
        <w:rPr>
          <w:rFonts w:cstheme="minorBidi"/>
        </w:rPr>
        <w:t xml:space="preserve">older people with little choice but to live in a </w:t>
      </w:r>
      <w:r w:rsidR="00590529" w:rsidRPr="005F7AA1">
        <w:rPr>
          <w:rFonts w:cstheme="minorBidi"/>
        </w:rPr>
        <w:t>nursing</w:t>
      </w:r>
      <w:r w:rsidR="00404AA6" w:rsidRPr="005F7AA1">
        <w:rPr>
          <w:rFonts w:cstheme="minorBidi"/>
        </w:rPr>
        <w:t xml:space="preserve"> home or other institutional setting, rather than guaranteeing their right to live where and with whom they choose within their community.</w:t>
      </w:r>
      <w:r w:rsidR="00EA75E5" w:rsidRPr="005F7AA1">
        <w:rPr>
          <w:rFonts w:cstheme="minorBidi"/>
        </w:rPr>
        <w:t xml:space="preserve"> Social workers said that if a person had higher support needs and required more assistance, such as with cooking, eating, or personal hygiene, they could only ask relatives for help, pay for services, or move to an institution.</w:t>
      </w:r>
    </w:p>
    <w:p w14:paraId="103B3AB1" w14:textId="3BC501C3" w:rsidR="069BC161" w:rsidRPr="005F7AA1" w:rsidRDefault="069BC161" w:rsidP="069BC161">
      <w:pPr>
        <w:rPr>
          <w:szCs w:val="22"/>
        </w:rPr>
      </w:pPr>
    </w:p>
    <w:p w14:paraId="12C1A022" w14:textId="632BD607" w:rsidR="069BC161" w:rsidRPr="005F7AA1" w:rsidRDefault="069BC161" w:rsidP="069BC161">
      <w:pPr>
        <w:rPr>
          <w:szCs w:val="22"/>
        </w:rPr>
      </w:pPr>
    </w:p>
    <w:p w14:paraId="6E479098" w14:textId="77777777" w:rsidR="00B35037" w:rsidRPr="005F7AA1" w:rsidRDefault="00B35037" w:rsidP="00D85676">
      <w:pPr>
        <w:rPr>
          <w:rFonts w:cstheme="minorHAnsi"/>
          <w:b/>
          <w:bCs/>
          <w:szCs w:val="22"/>
        </w:rPr>
      </w:pPr>
      <w:r w:rsidRPr="005F7AA1">
        <w:rPr>
          <w:rFonts w:cstheme="minorHAnsi"/>
          <w:b/>
          <w:bCs/>
          <w:szCs w:val="22"/>
        </w:rPr>
        <w:t>Question 3: What kind of specific measures have been taken and implemented concerning older persons deprived of their liberty in the context of the COVID-19 pandemic?</w:t>
      </w:r>
    </w:p>
    <w:p w14:paraId="21268791" w14:textId="77777777" w:rsidR="00B35037" w:rsidRPr="005F7AA1" w:rsidRDefault="00B35037" w:rsidP="00D85676">
      <w:pPr>
        <w:rPr>
          <w:rFonts w:cstheme="minorHAnsi"/>
          <w:szCs w:val="22"/>
        </w:rPr>
      </w:pPr>
    </w:p>
    <w:p w14:paraId="399AF266" w14:textId="748D0E9A" w:rsidR="00370CAB" w:rsidRPr="005F7AA1" w:rsidRDefault="007204FA" w:rsidP="00D85676">
      <w:pPr>
        <w:rPr>
          <w:rFonts w:cstheme="minorHAnsi"/>
          <w:szCs w:val="22"/>
        </w:rPr>
      </w:pPr>
      <w:r w:rsidRPr="005F7AA1">
        <w:rPr>
          <w:rFonts w:cstheme="minorHAnsi"/>
          <w:b/>
          <w:bCs/>
          <w:szCs w:val="22"/>
        </w:rPr>
        <w:t xml:space="preserve">Increases in the use of </w:t>
      </w:r>
      <w:r w:rsidR="001B10A7" w:rsidRPr="005F7AA1">
        <w:rPr>
          <w:rFonts w:cstheme="minorHAnsi"/>
          <w:b/>
          <w:bCs/>
          <w:szCs w:val="22"/>
        </w:rPr>
        <w:t xml:space="preserve">psychotropic medications </w:t>
      </w:r>
      <w:r w:rsidR="00370CAB" w:rsidRPr="005F7AA1">
        <w:rPr>
          <w:rStyle w:val="eop"/>
          <w:b/>
          <w:bCs/>
        </w:rPr>
        <w:t>in the context of the COVID-19 pandemic</w:t>
      </w:r>
      <w:r w:rsidR="00370CAB" w:rsidRPr="005F7AA1">
        <w:rPr>
          <w:rFonts w:cstheme="minorHAnsi"/>
          <w:szCs w:val="22"/>
        </w:rPr>
        <w:t xml:space="preserve"> </w:t>
      </w:r>
    </w:p>
    <w:p w14:paraId="430BB144" w14:textId="49D74D0C" w:rsidR="00077289" w:rsidRPr="005F7AA1" w:rsidRDefault="00377B67" w:rsidP="069BC161">
      <w:pPr>
        <w:rPr>
          <w:rFonts w:cstheme="minorBidi"/>
        </w:rPr>
      </w:pPr>
      <w:r w:rsidRPr="005F7AA1">
        <w:rPr>
          <w:rFonts w:cstheme="minorBidi"/>
        </w:rPr>
        <w:t xml:space="preserve">Scientific research has shown the links between social isolation and loneliness and the deterioration in physical health, increased memory loss and mental health conditions such </w:t>
      </w:r>
      <w:r w:rsidRPr="005F7AA1">
        <w:rPr>
          <w:rFonts w:cstheme="minorBidi"/>
        </w:rPr>
        <w:lastRenderedPageBreak/>
        <w:t>as anxiety and depression in older people.</w:t>
      </w:r>
      <w:r w:rsidRPr="005F7AA1">
        <w:rPr>
          <w:rStyle w:val="FootnoteReference"/>
        </w:rPr>
        <w:footnoteReference w:id="16"/>
      </w:r>
      <w:r w:rsidRPr="005F7AA1">
        <w:rPr>
          <w:rFonts w:cstheme="minorBidi"/>
        </w:rPr>
        <w:t xml:space="preserve"> </w:t>
      </w:r>
      <w:r w:rsidR="00EE3809" w:rsidRPr="005F7AA1">
        <w:rPr>
          <w:rFonts w:cstheme="minorBidi"/>
        </w:rPr>
        <w:t xml:space="preserve">The increased </w:t>
      </w:r>
      <w:r w:rsidR="00077289" w:rsidRPr="005F7AA1">
        <w:rPr>
          <w:rFonts w:cstheme="minorBidi"/>
        </w:rPr>
        <w:t xml:space="preserve">loneliness and isolation experienced by older people due to the pandemic raises serious concerns, </w:t>
      </w:r>
      <w:r w:rsidR="00F07CAF" w:rsidRPr="005F7AA1">
        <w:rPr>
          <w:rFonts w:cstheme="minorBidi"/>
        </w:rPr>
        <w:t xml:space="preserve">particularly when </w:t>
      </w:r>
      <w:r w:rsidR="00077289" w:rsidRPr="005F7AA1">
        <w:rPr>
          <w:rFonts w:cstheme="minorBidi"/>
        </w:rPr>
        <w:t xml:space="preserve">combined with some </w:t>
      </w:r>
      <w:r w:rsidR="00E92D8D" w:rsidRPr="005F7AA1">
        <w:rPr>
          <w:rFonts w:cstheme="minorBidi"/>
        </w:rPr>
        <w:t xml:space="preserve">care </w:t>
      </w:r>
      <w:r w:rsidR="00077289" w:rsidRPr="005F7AA1">
        <w:rPr>
          <w:rFonts w:cstheme="minorBidi"/>
        </w:rPr>
        <w:t>homes’ dangerous increase in the use of psychotropic medications.</w:t>
      </w:r>
      <w:r w:rsidR="008B302B" w:rsidRPr="005F7AA1">
        <w:rPr>
          <w:rStyle w:val="FootnoteReference"/>
        </w:rPr>
        <w:footnoteReference w:id="17"/>
      </w:r>
    </w:p>
    <w:p w14:paraId="16D96A65" w14:textId="77777777" w:rsidR="00D85676" w:rsidRPr="005F7AA1" w:rsidRDefault="00D85676" w:rsidP="00CC4BC7">
      <w:pPr>
        <w:rPr>
          <w:rFonts w:cstheme="minorHAnsi"/>
          <w:szCs w:val="22"/>
        </w:rPr>
      </w:pPr>
    </w:p>
    <w:p w14:paraId="704683B4" w14:textId="39EB66F4" w:rsidR="00721445" w:rsidRPr="005F7AA1" w:rsidRDefault="00CC4BC7" w:rsidP="00CC4BC7">
      <w:pPr>
        <w:rPr>
          <w:rFonts w:cstheme="minorHAnsi"/>
          <w:szCs w:val="22"/>
        </w:rPr>
      </w:pPr>
      <w:r w:rsidRPr="005F7AA1">
        <w:rPr>
          <w:rFonts w:cstheme="minorHAnsi"/>
          <w:szCs w:val="22"/>
        </w:rPr>
        <w:t xml:space="preserve">A </w:t>
      </w:r>
      <w:r w:rsidR="0070208F" w:rsidRPr="005F7AA1">
        <w:rPr>
          <w:rFonts w:cstheme="minorHAnsi"/>
          <w:szCs w:val="22"/>
        </w:rPr>
        <w:t>2020</w:t>
      </w:r>
      <w:r w:rsidRPr="005F7AA1">
        <w:rPr>
          <w:rFonts w:cstheme="minorHAnsi"/>
          <w:szCs w:val="22"/>
        </w:rPr>
        <w:t xml:space="preserve"> scientific study found a dramatic increase in prescribing </w:t>
      </w:r>
      <w:bookmarkStart w:id="0" w:name="_Hlk97560565"/>
      <w:r w:rsidRPr="005F7AA1">
        <w:rPr>
          <w:rFonts w:cstheme="minorHAnsi"/>
          <w:szCs w:val="22"/>
        </w:rPr>
        <w:t xml:space="preserve">psychotropic medications </w:t>
      </w:r>
      <w:bookmarkEnd w:id="0"/>
      <w:r w:rsidRPr="005F7AA1">
        <w:rPr>
          <w:rFonts w:cstheme="minorHAnsi"/>
          <w:szCs w:val="22"/>
        </w:rPr>
        <w:t xml:space="preserve">to older people in </w:t>
      </w:r>
      <w:r w:rsidR="00873825" w:rsidRPr="005F7AA1">
        <w:rPr>
          <w:rFonts w:cstheme="minorHAnsi"/>
          <w:szCs w:val="22"/>
        </w:rPr>
        <w:t xml:space="preserve">care homes in </w:t>
      </w:r>
      <w:r w:rsidRPr="005F7AA1">
        <w:rPr>
          <w:rFonts w:cstheme="minorHAnsi"/>
          <w:szCs w:val="22"/>
        </w:rPr>
        <w:t xml:space="preserve">Ontario, </w:t>
      </w:r>
      <w:r w:rsidR="00873825" w:rsidRPr="005F7AA1">
        <w:rPr>
          <w:rFonts w:cstheme="minorHAnsi"/>
          <w:szCs w:val="22"/>
        </w:rPr>
        <w:t xml:space="preserve">Canada, </w:t>
      </w:r>
      <w:r w:rsidRPr="005F7AA1">
        <w:rPr>
          <w:rFonts w:cstheme="minorHAnsi"/>
          <w:szCs w:val="22"/>
        </w:rPr>
        <w:t>including antipsychotics, antidepressants, and benzodiazepines such as Valium or Klonopin.</w:t>
      </w:r>
      <w:r w:rsidR="00264240" w:rsidRPr="005F7AA1">
        <w:rPr>
          <w:rStyle w:val="FootnoteReference"/>
        </w:rPr>
        <w:footnoteReference w:id="18"/>
      </w:r>
      <w:r w:rsidR="00873825" w:rsidRPr="005F7AA1">
        <w:rPr>
          <w:rFonts w:cstheme="minorHAnsi"/>
          <w:szCs w:val="22"/>
        </w:rPr>
        <w:t xml:space="preserve"> </w:t>
      </w:r>
      <w:r w:rsidRPr="005F7AA1">
        <w:rPr>
          <w:rFonts w:cstheme="minorHAnsi"/>
          <w:szCs w:val="22"/>
        </w:rPr>
        <w:t>The Ontario study linked the increase to “the effects of prolonged social isolation during lockdowns,” including restrictions on visits from loved ones and suspension of social activities and group dining.</w:t>
      </w:r>
      <w:r w:rsidR="00E71D7D" w:rsidRPr="005F7AA1">
        <w:rPr>
          <w:rStyle w:val="FootnoteReference"/>
        </w:rPr>
        <w:footnoteReference w:id="19"/>
      </w:r>
      <w:r w:rsidRPr="005F7AA1">
        <w:rPr>
          <w:rFonts w:cstheme="minorHAnsi"/>
          <w:szCs w:val="22"/>
        </w:rPr>
        <w:t xml:space="preserve"> </w:t>
      </w:r>
    </w:p>
    <w:p w14:paraId="04CD78F5" w14:textId="77777777" w:rsidR="00AE1126" w:rsidRPr="005F7AA1" w:rsidRDefault="00AE1126" w:rsidP="00CC4BC7">
      <w:pPr>
        <w:rPr>
          <w:rFonts w:cstheme="minorHAnsi"/>
          <w:szCs w:val="22"/>
        </w:rPr>
      </w:pPr>
    </w:p>
    <w:p w14:paraId="66F25322" w14:textId="01C4CB03" w:rsidR="007204FA" w:rsidRPr="005F7AA1" w:rsidRDefault="00CC4BC7" w:rsidP="00CC4BC7">
      <w:pPr>
        <w:rPr>
          <w:rFonts w:cstheme="minorHAnsi"/>
          <w:szCs w:val="22"/>
        </w:rPr>
      </w:pPr>
      <w:r w:rsidRPr="005F7AA1">
        <w:rPr>
          <w:rFonts w:cstheme="minorHAnsi"/>
          <w:szCs w:val="22"/>
        </w:rPr>
        <w:t xml:space="preserve">A November </w:t>
      </w:r>
      <w:r w:rsidR="001F5484" w:rsidRPr="005F7AA1">
        <w:rPr>
          <w:rFonts w:cstheme="minorHAnsi"/>
          <w:szCs w:val="22"/>
        </w:rPr>
        <w:t xml:space="preserve">2020 </w:t>
      </w:r>
      <w:r w:rsidRPr="005F7AA1">
        <w:rPr>
          <w:rFonts w:cstheme="minorHAnsi"/>
          <w:szCs w:val="22"/>
        </w:rPr>
        <w:t>study in the United Kingdom similarly found increased prescribing of antipsychotics during the pandemic to people with dementia, concluding the increase was “probably in response to worsened agitation and psychosis” associated with COVID-19 restrictions.</w:t>
      </w:r>
      <w:r w:rsidR="004379FF" w:rsidRPr="005F7AA1">
        <w:rPr>
          <w:rStyle w:val="FootnoteReference"/>
        </w:rPr>
        <w:footnoteReference w:id="20"/>
      </w:r>
    </w:p>
    <w:p w14:paraId="2547F6B0" w14:textId="77777777" w:rsidR="00536905" w:rsidRPr="005F7AA1" w:rsidRDefault="00536905" w:rsidP="00661458">
      <w:pPr>
        <w:rPr>
          <w:rFonts w:cstheme="minorHAnsi"/>
          <w:szCs w:val="22"/>
        </w:rPr>
      </w:pPr>
    </w:p>
    <w:p w14:paraId="3127B457" w14:textId="29EA3953" w:rsidR="00B038A7" w:rsidRPr="005F7AA1" w:rsidRDefault="00170D4B" w:rsidP="005F7AA1">
      <w:pPr>
        <w:rPr>
          <w:rFonts w:cstheme="minorHAnsi"/>
          <w:b/>
          <w:bCs/>
          <w:szCs w:val="22"/>
        </w:rPr>
      </w:pPr>
      <w:r w:rsidRPr="005F7AA1">
        <w:rPr>
          <w:rFonts w:cstheme="minorHAnsi"/>
          <w:b/>
          <w:bCs/>
          <w:szCs w:val="22"/>
        </w:rPr>
        <w:t>Recommendations</w:t>
      </w:r>
    </w:p>
    <w:p w14:paraId="44D4A802" w14:textId="33498346" w:rsidR="009E40AC" w:rsidRPr="005F7AA1" w:rsidRDefault="00AB3C88" w:rsidP="005F7AA1">
      <w:r w:rsidRPr="033AD1E7">
        <w:rPr>
          <w:rFonts w:cstheme="minorBidi"/>
        </w:rPr>
        <w:t xml:space="preserve">1. </w:t>
      </w:r>
      <w:r w:rsidR="00830ECF">
        <w:t>Governments should introduce policies to end the use of chemical restraint, especially as a means of managing or disciplining older people</w:t>
      </w:r>
      <w:r w:rsidR="00E92D8D">
        <w:t xml:space="preserve"> </w:t>
      </w:r>
      <w:r w:rsidR="00830ECF">
        <w:t xml:space="preserve">in </w:t>
      </w:r>
      <w:r w:rsidR="002013B9">
        <w:t>care homes</w:t>
      </w:r>
      <w:r w:rsidR="00830ECF">
        <w:t xml:space="preserve">. </w:t>
      </w:r>
      <w:r w:rsidR="0054545E">
        <w:t>Policies should include</w:t>
      </w:r>
      <w:r w:rsidR="009E40AC">
        <w:t>:</w:t>
      </w:r>
    </w:p>
    <w:p w14:paraId="1BAACFF3" w14:textId="5F16677A" w:rsidR="005B022E" w:rsidRPr="005F7AA1" w:rsidRDefault="005B022E" w:rsidP="005F7AA1">
      <w:pPr>
        <w:pStyle w:val="ListParagraph"/>
        <w:numPr>
          <w:ilvl w:val="0"/>
          <w:numId w:val="14"/>
        </w:numPr>
      </w:pPr>
      <w:r>
        <w:t xml:space="preserve">Prohibition of the use of chemical restraints and </w:t>
      </w:r>
      <w:r w:rsidR="00473418">
        <w:t xml:space="preserve">outline of </w:t>
      </w:r>
      <w:r>
        <w:t>penalties;</w:t>
      </w:r>
    </w:p>
    <w:p w14:paraId="6C569BD5" w14:textId="734E5263" w:rsidR="005B022E" w:rsidRPr="005F7AA1" w:rsidRDefault="005B022E" w:rsidP="005F7AA1">
      <w:pPr>
        <w:pStyle w:val="ListParagraph"/>
        <w:numPr>
          <w:ilvl w:val="0"/>
          <w:numId w:val="14"/>
        </w:numPr>
      </w:pPr>
      <w:r w:rsidRPr="005F7AA1">
        <w:t xml:space="preserve">Requirement of informed consent for all treatments and interventions from the older person or, where that is not possible, a trusted person </w:t>
      </w:r>
      <w:r w:rsidR="00353D02" w:rsidRPr="005F7AA1">
        <w:t xml:space="preserve">or family member </w:t>
      </w:r>
      <w:r w:rsidRPr="005F7AA1">
        <w:t>chosen by them;</w:t>
      </w:r>
    </w:p>
    <w:p w14:paraId="2D3E3742" w14:textId="575BC73C" w:rsidR="009E40AC" w:rsidRPr="005F7AA1" w:rsidRDefault="009E40AC" w:rsidP="005F7AA1">
      <w:pPr>
        <w:pStyle w:val="ListParagraph"/>
        <w:numPr>
          <w:ilvl w:val="0"/>
          <w:numId w:val="14"/>
        </w:numPr>
      </w:pPr>
      <w:r w:rsidRPr="005F7AA1">
        <w:lastRenderedPageBreak/>
        <w:t>Mandatory training for care home staff in dementia and alternative methods to de-escalate unwanted behavior and support the needs of people with dementia;</w:t>
      </w:r>
    </w:p>
    <w:p w14:paraId="46DAB359" w14:textId="77777777" w:rsidR="009E40AC" w:rsidRPr="005F7AA1" w:rsidRDefault="009E40AC" w:rsidP="005F7AA1">
      <w:pPr>
        <w:pStyle w:val="ListParagraph"/>
        <w:numPr>
          <w:ilvl w:val="0"/>
          <w:numId w:val="14"/>
        </w:numPr>
      </w:pPr>
      <w:r w:rsidRPr="005F7AA1">
        <w:t>Adequate minimum staffing levels to provide support to older people; and</w:t>
      </w:r>
    </w:p>
    <w:p w14:paraId="3973FA45" w14:textId="12A4C19C" w:rsidR="009E40AC" w:rsidRPr="005F7AA1" w:rsidRDefault="009E40AC" w:rsidP="005F7AA1">
      <w:pPr>
        <w:pStyle w:val="ListParagraph"/>
        <w:numPr>
          <w:ilvl w:val="0"/>
          <w:numId w:val="14"/>
        </w:numPr>
      </w:pPr>
      <w:r w:rsidRPr="005F7AA1">
        <w:t>Adequate enforcement mechanisms to protect older people’s rights.</w:t>
      </w:r>
    </w:p>
    <w:p w14:paraId="2EB5435C" w14:textId="77777777" w:rsidR="00AB3C88" w:rsidRPr="005F7AA1" w:rsidRDefault="00AB3C88" w:rsidP="005F7AA1">
      <w:pPr>
        <w:rPr>
          <w:szCs w:val="22"/>
        </w:rPr>
      </w:pPr>
    </w:p>
    <w:p w14:paraId="23928A35" w14:textId="2F11BDE8" w:rsidR="00FC0BEB" w:rsidRPr="005F7AA1" w:rsidRDefault="00FC0BEB" w:rsidP="005F7AA1">
      <w:r w:rsidRPr="005F7AA1">
        <w:t>2. Governments should ensure strong reporting requirements and oversight of care homes’ prescribing practices as well as accountability for misuse of medication to deter such practices. </w:t>
      </w:r>
      <w:r w:rsidR="005D02A7" w:rsidRPr="005F7AA1">
        <w:t>This should include:</w:t>
      </w:r>
    </w:p>
    <w:p w14:paraId="5B30FD50" w14:textId="4C65C09C" w:rsidR="005D02A7" w:rsidRPr="005F7AA1" w:rsidRDefault="005D02A7" w:rsidP="005F7AA1">
      <w:pPr>
        <w:pStyle w:val="ListParagraph"/>
        <w:numPr>
          <w:ilvl w:val="0"/>
          <w:numId w:val="16"/>
        </w:numPr>
      </w:pPr>
      <w:r w:rsidRPr="005F7AA1">
        <w:t>Independent monitoring and oversight of all facilities without obstacles;</w:t>
      </w:r>
      <w:r w:rsidR="00353D02" w:rsidRPr="005F7AA1">
        <w:t xml:space="preserve"> and</w:t>
      </w:r>
    </w:p>
    <w:p w14:paraId="56AF3968" w14:textId="7EB9C7B0" w:rsidR="005D02A7" w:rsidRPr="005F7AA1" w:rsidRDefault="005D02A7" w:rsidP="005F7AA1">
      <w:pPr>
        <w:pStyle w:val="ListParagraph"/>
        <w:numPr>
          <w:ilvl w:val="0"/>
          <w:numId w:val="16"/>
        </w:numPr>
      </w:pPr>
      <w:r w:rsidRPr="005F7AA1">
        <w:t xml:space="preserve">Effective, accessible, independent complaint mechanisms, including for individuals </w:t>
      </w:r>
      <w:r w:rsidR="00D2768A" w:rsidRPr="005F7AA1">
        <w:t>in care homes and</w:t>
      </w:r>
      <w:r w:rsidRPr="005F7AA1">
        <w:t xml:space="preserve"> their families</w:t>
      </w:r>
      <w:r w:rsidR="004B6448" w:rsidRPr="005F7AA1">
        <w:t xml:space="preserve"> or </w:t>
      </w:r>
      <w:r w:rsidR="00D2768A" w:rsidRPr="005F7AA1">
        <w:t xml:space="preserve">chosen </w:t>
      </w:r>
      <w:r w:rsidR="004B6448" w:rsidRPr="005F7AA1">
        <w:t>trusted persons.</w:t>
      </w:r>
    </w:p>
    <w:p w14:paraId="176C348A" w14:textId="77777777" w:rsidR="00FC0BEB" w:rsidRPr="005F7AA1" w:rsidRDefault="00FC0BEB" w:rsidP="005F7AA1">
      <w:pPr>
        <w:rPr>
          <w:szCs w:val="22"/>
        </w:rPr>
      </w:pPr>
    </w:p>
    <w:p w14:paraId="6B0D49A8" w14:textId="3E524B39" w:rsidR="007D188F" w:rsidRPr="005F7AA1" w:rsidRDefault="00FC0BEB" w:rsidP="005F7AA1">
      <w:pPr>
        <w:rPr>
          <w:szCs w:val="22"/>
        </w:rPr>
      </w:pPr>
      <w:r w:rsidRPr="005F7AA1">
        <w:rPr>
          <w:szCs w:val="22"/>
        </w:rPr>
        <w:t>3</w:t>
      </w:r>
      <w:r w:rsidR="00AB3C88" w:rsidRPr="005F7AA1">
        <w:rPr>
          <w:szCs w:val="22"/>
        </w:rPr>
        <w:t xml:space="preserve">. </w:t>
      </w:r>
      <w:r w:rsidR="002013B9" w:rsidRPr="005F7AA1">
        <w:rPr>
          <w:szCs w:val="22"/>
        </w:rPr>
        <w:t>Care homes</w:t>
      </w:r>
      <w:r w:rsidR="00830ECF" w:rsidRPr="005F7AA1">
        <w:rPr>
          <w:szCs w:val="22"/>
        </w:rPr>
        <w:t xml:space="preserve"> should develop individualized support for older people experiencing emotional distress or pain in </w:t>
      </w:r>
      <w:r w:rsidR="008B001D" w:rsidRPr="005F7AA1">
        <w:rPr>
          <w:szCs w:val="22"/>
        </w:rPr>
        <w:t>care homes</w:t>
      </w:r>
      <w:r w:rsidR="00BE19DB" w:rsidRPr="005F7AA1">
        <w:rPr>
          <w:szCs w:val="22"/>
        </w:rPr>
        <w:t xml:space="preserve"> </w:t>
      </w:r>
      <w:r w:rsidR="00830ECF" w:rsidRPr="005F7AA1">
        <w:rPr>
          <w:szCs w:val="22"/>
        </w:rPr>
        <w:t>that do not involve restraints.</w:t>
      </w:r>
      <w:r w:rsidR="004B6448" w:rsidRPr="005F7AA1">
        <w:rPr>
          <w:szCs w:val="22"/>
        </w:rPr>
        <w:t xml:space="preserve"> </w:t>
      </w:r>
    </w:p>
    <w:p w14:paraId="5242E8C9" w14:textId="77777777" w:rsidR="004B6448" w:rsidRPr="005F7AA1" w:rsidRDefault="004B6448" w:rsidP="005F7AA1">
      <w:pPr>
        <w:rPr>
          <w:szCs w:val="22"/>
        </w:rPr>
      </w:pPr>
    </w:p>
    <w:p w14:paraId="0FC1437B" w14:textId="4A0D8283" w:rsidR="005D1894" w:rsidRPr="005F7AA1" w:rsidRDefault="00A513D2" w:rsidP="005F7AA1">
      <w:pPr>
        <w:rPr>
          <w:szCs w:val="22"/>
        </w:rPr>
      </w:pPr>
      <w:r w:rsidRPr="005F7AA1">
        <w:rPr>
          <w:szCs w:val="22"/>
        </w:rPr>
        <w:t xml:space="preserve">4. Governments should ensure that older people have access to the </w:t>
      </w:r>
      <w:r w:rsidR="00CA6384" w:rsidRPr="005F7AA1">
        <w:rPr>
          <w:szCs w:val="22"/>
        </w:rPr>
        <w:t xml:space="preserve">home and community-based </w:t>
      </w:r>
      <w:r w:rsidRPr="005F7AA1">
        <w:rPr>
          <w:szCs w:val="22"/>
        </w:rPr>
        <w:t>services they need to realize their rights to live independently in their communities with their rights to health and private and family life protected.</w:t>
      </w:r>
    </w:p>
    <w:p w14:paraId="77A94182" w14:textId="6CAF7012" w:rsidR="00053A64" w:rsidRDefault="00053A64" w:rsidP="005F7AA1">
      <w:pPr>
        <w:rPr>
          <w:b/>
          <w:bCs/>
          <w:szCs w:val="22"/>
        </w:rPr>
      </w:pPr>
    </w:p>
    <w:p w14:paraId="216B4F90" w14:textId="2CD805E1" w:rsidR="00CF49F1" w:rsidRDefault="00CF49F1" w:rsidP="005F7AA1">
      <w:pPr>
        <w:rPr>
          <w:b/>
          <w:bCs/>
          <w:szCs w:val="22"/>
        </w:rPr>
      </w:pPr>
    </w:p>
    <w:p w14:paraId="766655E9" w14:textId="77777777" w:rsidR="00CF49F1" w:rsidRPr="005F7AA1" w:rsidRDefault="00CF49F1" w:rsidP="005F7AA1">
      <w:pPr>
        <w:rPr>
          <w:b/>
          <w:bCs/>
          <w:szCs w:val="22"/>
        </w:rPr>
      </w:pPr>
    </w:p>
    <w:p w14:paraId="4BF0218D" w14:textId="3695F36F" w:rsidR="00B83059" w:rsidRPr="005F7AA1" w:rsidRDefault="008B001D" w:rsidP="005F7AA1">
      <w:pPr>
        <w:rPr>
          <w:b/>
          <w:bCs/>
          <w:szCs w:val="22"/>
        </w:rPr>
      </w:pPr>
      <w:r w:rsidRPr="005F7AA1">
        <w:rPr>
          <w:b/>
          <w:bCs/>
          <w:szCs w:val="22"/>
        </w:rPr>
        <w:t xml:space="preserve">Additional </w:t>
      </w:r>
      <w:r w:rsidR="00B83059" w:rsidRPr="005F7AA1">
        <w:rPr>
          <w:b/>
          <w:bCs/>
          <w:szCs w:val="22"/>
        </w:rPr>
        <w:t>Human Rights Watch Resources</w:t>
      </w:r>
    </w:p>
    <w:p w14:paraId="784CC887" w14:textId="20EE2DA7" w:rsidR="00DB5250" w:rsidRPr="005F7AA1" w:rsidRDefault="00DB5250" w:rsidP="005F7AA1">
      <w:pPr>
        <w:rPr>
          <w:szCs w:val="22"/>
        </w:rPr>
      </w:pPr>
      <w:r w:rsidRPr="005F7AA1">
        <w:rPr>
          <w:szCs w:val="22"/>
        </w:rPr>
        <w:t>Videos:</w:t>
      </w:r>
    </w:p>
    <w:p w14:paraId="47918326" w14:textId="34B5E7BE" w:rsidR="00B83059" w:rsidRPr="005F7AA1" w:rsidRDefault="0095347C" w:rsidP="00921698">
      <w:pPr>
        <w:pStyle w:val="ListParagraph"/>
        <w:numPr>
          <w:ilvl w:val="0"/>
          <w:numId w:val="12"/>
        </w:numPr>
        <w:rPr>
          <w:szCs w:val="22"/>
        </w:rPr>
      </w:pPr>
      <w:r w:rsidRPr="005F7AA1">
        <w:rPr>
          <w:szCs w:val="22"/>
        </w:rPr>
        <w:t xml:space="preserve">Fit and Healthy After Getting Off Chemical Restraints, </w:t>
      </w:r>
      <w:hyperlink r:id="rId13" w:history="1">
        <w:r w:rsidRPr="005F7AA1">
          <w:rPr>
            <w:rStyle w:val="Hyperlink"/>
            <w:szCs w:val="22"/>
          </w:rPr>
          <w:t>https://www.youtube.com/watch?v=kzl7kmDdG_Y&amp;t=8s</w:t>
        </w:r>
      </w:hyperlink>
    </w:p>
    <w:p w14:paraId="4B2932C0" w14:textId="7BB4BA85" w:rsidR="0095347C" w:rsidRPr="005F7AA1" w:rsidRDefault="0095347C" w:rsidP="00583362">
      <w:pPr>
        <w:rPr>
          <w:szCs w:val="22"/>
        </w:rPr>
      </w:pPr>
    </w:p>
    <w:p w14:paraId="5F648157" w14:textId="1914D1B0" w:rsidR="00B40E74" w:rsidRPr="005F7AA1" w:rsidRDefault="00697980" w:rsidP="00921698">
      <w:pPr>
        <w:pStyle w:val="ListParagraph"/>
        <w:numPr>
          <w:ilvl w:val="0"/>
          <w:numId w:val="12"/>
        </w:numPr>
        <w:rPr>
          <w:szCs w:val="22"/>
        </w:rPr>
      </w:pPr>
      <w:r w:rsidRPr="005F7AA1">
        <w:rPr>
          <w:szCs w:val="22"/>
        </w:rPr>
        <w:t>Nursing Homes in Australia Routinely Sedate Older People</w:t>
      </w:r>
    </w:p>
    <w:p w14:paraId="1E9DEF88" w14:textId="0FB45EDF" w:rsidR="008C5112" w:rsidRPr="005F7AA1" w:rsidRDefault="008D740A" w:rsidP="008C5112">
      <w:pPr>
        <w:ind w:firstLine="720"/>
        <w:rPr>
          <w:szCs w:val="22"/>
        </w:rPr>
      </w:pPr>
      <w:hyperlink r:id="rId14" w:history="1">
        <w:r w:rsidR="00891FD5" w:rsidRPr="005F7AA1">
          <w:rPr>
            <w:rStyle w:val="Hyperlink"/>
            <w:szCs w:val="22"/>
          </w:rPr>
          <w:t>https://www.youtube.com/watch?v=6bpOQ7l4z98</w:t>
        </w:r>
      </w:hyperlink>
      <w:r w:rsidR="00697980" w:rsidRPr="005F7AA1">
        <w:rPr>
          <w:szCs w:val="22"/>
        </w:rPr>
        <w:t xml:space="preserve"> </w:t>
      </w:r>
    </w:p>
    <w:p w14:paraId="3EBC53CF" w14:textId="2BBB007B" w:rsidR="008C5112" w:rsidRPr="005F7AA1" w:rsidRDefault="008C5112" w:rsidP="008C5112">
      <w:pPr>
        <w:rPr>
          <w:szCs w:val="22"/>
        </w:rPr>
      </w:pPr>
    </w:p>
    <w:p w14:paraId="118E0D6D" w14:textId="77777777" w:rsidR="000E44F7" w:rsidRPr="005F7AA1" w:rsidRDefault="000E44F7" w:rsidP="008C5112">
      <w:pPr>
        <w:pStyle w:val="ListParagraph"/>
        <w:numPr>
          <w:ilvl w:val="0"/>
          <w:numId w:val="13"/>
        </w:numPr>
        <w:rPr>
          <w:szCs w:val="22"/>
        </w:rPr>
      </w:pPr>
      <w:r w:rsidRPr="005F7AA1">
        <w:rPr>
          <w:szCs w:val="22"/>
        </w:rPr>
        <w:t>Know Your Rights: Nursing Homes</w:t>
      </w:r>
    </w:p>
    <w:p w14:paraId="400E4081" w14:textId="5A1FD07C" w:rsidR="008C5112" w:rsidRPr="008C5112" w:rsidRDefault="008D740A" w:rsidP="000E44F7">
      <w:pPr>
        <w:pStyle w:val="ListParagraph"/>
        <w:rPr>
          <w:szCs w:val="22"/>
        </w:rPr>
      </w:pPr>
      <w:hyperlink r:id="rId15" w:history="1">
        <w:r w:rsidR="008C5112" w:rsidRPr="005F7AA1">
          <w:rPr>
            <w:rStyle w:val="Hyperlink"/>
            <w:szCs w:val="22"/>
          </w:rPr>
          <w:t>https://www.youtube.com/watch?v=O3zBYd42AE0&amp;t=17s</w:t>
        </w:r>
      </w:hyperlink>
      <w:r w:rsidR="008C5112">
        <w:rPr>
          <w:szCs w:val="22"/>
        </w:rPr>
        <w:t xml:space="preserve"> </w:t>
      </w:r>
    </w:p>
    <w:p w14:paraId="4616AE0E" w14:textId="77777777" w:rsidR="00B83059" w:rsidRPr="001357D2" w:rsidRDefault="00B83059" w:rsidP="00583362">
      <w:pPr>
        <w:rPr>
          <w:szCs w:val="22"/>
        </w:rPr>
      </w:pPr>
    </w:p>
    <w:sectPr w:rsidR="00B83059" w:rsidRPr="001357D2" w:rsidSect="00625C4E">
      <w:footerReference w:type="even" r:id="rId16"/>
      <w:footerReference w:type="default" r:id="rId17"/>
      <w:headerReference w:type="first" r:id="rId18"/>
      <w:footerReference w:type="first" r:id="rId19"/>
      <w:endnotePr>
        <w:numFmt w:val="decimal"/>
      </w:endnotePr>
      <w:pgSz w:w="12240" w:h="15840" w:code="1"/>
      <w:pgMar w:top="1440" w:right="1800" w:bottom="1800" w:left="1800"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60024" w14:textId="77777777" w:rsidR="008D740A" w:rsidRDefault="008D740A">
      <w:r>
        <w:separator/>
      </w:r>
    </w:p>
  </w:endnote>
  <w:endnote w:type="continuationSeparator" w:id="0">
    <w:p w14:paraId="57A17934" w14:textId="77777777" w:rsidR="008D740A" w:rsidRDefault="008D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etaPro-Norm">
    <w:panose1 w:val="020B0504030101020102"/>
    <w:charset w:val="00"/>
    <w:family w:val="swiss"/>
    <w:notTrueType/>
    <w:pitch w:val="variable"/>
    <w:sig w:usb0="A00002FF" w:usb1="4000207B" w:usb2="00000000" w:usb3="00000000" w:csb0="0000009F" w:csb1="00000000"/>
  </w:font>
  <w:font w:name="MetaPro-Bold">
    <w:panose1 w:val="020B0804030101020102"/>
    <w:charset w:val="00"/>
    <w:family w:val="swiss"/>
    <w:notTrueType/>
    <w:pitch w:val="variable"/>
    <w:sig w:usb0="A00002F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riaArabic-Bold">
    <w:panose1 w:val="02000000000000000000"/>
    <w:charset w:val="00"/>
    <w:family w:val="modern"/>
    <w:notTrueType/>
    <w:pitch w:val="variable"/>
    <w:sig w:usb0="A00020AF" w:usb1="D000A05A" w:usb2="00000008" w:usb3="00000000" w:csb0="00000151" w:csb1="00000000"/>
  </w:font>
  <w:font w:name="MetaPro-CondMedi">
    <w:panose1 w:val="020B0606030101020102"/>
    <w:charset w:val="00"/>
    <w:family w:val="swiss"/>
    <w:notTrueType/>
    <w:pitch w:val="variable"/>
    <w:sig w:usb0="A00002FF" w:usb1="4000207B" w:usb2="00000000" w:usb3="00000000" w:csb0="0000009F" w:csb1="00000000"/>
  </w:font>
  <w:font w:name="MetaPro-CondBookIta">
    <w:panose1 w:val="020B0606030101020102"/>
    <w:charset w:val="00"/>
    <w:family w:val="swiss"/>
    <w:notTrueType/>
    <w:pitch w:val="variable"/>
    <w:sig w:usb0="A00002FF" w:usb1="4000207B" w:usb2="00000000" w:usb3="00000000" w:csb0="0000009F" w:csb1="00000000"/>
  </w:font>
  <w:font w:name="MetaPro-Medi">
    <w:panose1 w:val="020B0604030101020102"/>
    <w:charset w:val="00"/>
    <w:family w:val="swiss"/>
    <w:notTrueType/>
    <w:pitch w:val="variable"/>
    <w:sig w:usb0="A00002F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etaPro-CondBold">
    <w:panose1 w:val="020B0806030101020102"/>
    <w:charset w:val="00"/>
    <w:family w:val="swiss"/>
    <w:notTrueType/>
    <w:pitch w:val="variable"/>
    <w:sig w:usb0="A00002FF" w:usb1="4000207B" w:usb2="00000000" w:usb3="00000000" w:csb0="0000009F" w:csb1="00000000"/>
  </w:font>
  <w:font w:name="SeriaArabic-Black">
    <w:panose1 w:val="02000000000000000000"/>
    <w:charset w:val="00"/>
    <w:family w:val="modern"/>
    <w:notTrueType/>
    <w:pitch w:val="variable"/>
    <w:sig w:usb0="A00020AF" w:usb1="D000A05A" w:usb2="00000008" w:usb3="00000000" w:csb0="00000151" w:csb1="00000000"/>
  </w:font>
  <w:font w:name="Arial">
    <w:panose1 w:val="020B0604020202020204"/>
    <w:charset w:val="00"/>
    <w:family w:val="swiss"/>
    <w:pitch w:val="variable"/>
    <w:sig w:usb0="E0002EFF" w:usb1="C000785B" w:usb2="00000009" w:usb3="00000000" w:csb0="000001FF" w:csb1="00000000"/>
  </w:font>
  <w:font w:name="MetaBold-Roman">
    <w:panose1 w:val="020B0802030000020004"/>
    <w:charset w:val="00"/>
    <w:family w:val="swiss"/>
    <w:pitch w:val="variable"/>
    <w:sig w:usb0="80000027" w:usb1="00000000" w:usb2="00000000" w:usb3="00000000" w:csb0="00000001" w:csb1="00000000"/>
  </w:font>
  <w:font w:name="SeriaArabic">
    <w:panose1 w:val="02000500000000020003"/>
    <w:charset w:val="00"/>
    <w:family w:val="modern"/>
    <w:notTrueType/>
    <w:pitch w:val="variable"/>
    <w:sig w:usb0="A00020AF" w:usb1="D000A05A" w:usb2="00000008" w:usb3="00000000" w:csb0="0000015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64C2" w14:textId="06DE7686" w:rsidR="005E04DC" w:rsidRDefault="005E04DC">
    <w:pPr>
      <w:pStyle w:val="Footer"/>
      <w:jc w:val="right"/>
    </w:pPr>
  </w:p>
  <w:p w14:paraId="2FDFCDD1" w14:textId="77777777" w:rsidR="00460035" w:rsidRDefault="00460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947169"/>
      <w:docPartObj>
        <w:docPartGallery w:val="Page Numbers (Bottom of Page)"/>
        <w:docPartUnique/>
      </w:docPartObj>
    </w:sdtPr>
    <w:sdtEndPr>
      <w:rPr>
        <w:noProof/>
      </w:rPr>
    </w:sdtEndPr>
    <w:sdtContent>
      <w:p w14:paraId="78C76B4E" w14:textId="7D9DF767" w:rsidR="009C1A36" w:rsidRDefault="009C1A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FA32C8" w14:textId="77777777" w:rsidR="00CF49F1" w:rsidRDefault="00CF49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8EB8" w14:textId="77777777" w:rsidR="0094324D" w:rsidRDefault="0094324D" w:rsidP="007373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5CF5F" w14:textId="77777777" w:rsidR="008D740A" w:rsidRDefault="008D740A">
      <w:r>
        <w:separator/>
      </w:r>
    </w:p>
  </w:footnote>
  <w:footnote w:type="continuationSeparator" w:id="0">
    <w:p w14:paraId="1B9AAD2A" w14:textId="77777777" w:rsidR="008D740A" w:rsidRDefault="008D740A">
      <w:r>
        <w:continuationSeparator/>
      </w:r>
    </w:p>
  </w:footnote>
  <w:footnote w:id="1">
    <w:p w14:paraId="3F818B3B" w14:textId="6464B332" w:rsidR="00753AEA" w:rsidRPr="00CC4FAA" w:rsidRDefault="00753AEA">
      <w:pPr>
        <w:pStyle w:val="FootnoteText"/>
        <w:rPr>
          <w:sz w:val="18"/>
          <w:szCs w:val="18"/>
        </w:rPr>
      </w:pPr>
      <w:r w:rsidRPr="00DA1790">
        <w:rPr>
          <w:rStyle w:val="FootnoteReference"/>
          <w:sz w:val="18"/>
          <w:szCs w:val="18"/>
        </w:rPr>
        <w:footnoteRef/>
      </w:r>
      <w:r w:rsidRPr="00DA1790">
        <w:rPr>
          <w:sz w:val="18"/>
          <w:szCs w:val="18"/>
        </w:rPr>
        <w:t xml:space="preserve"> Human Rights Watch,</w:t>
      </w:r>
      <w:r w:rsidR="0093104E">
        <w:rPr>
          <w:sz w:val="18"/>
          <w:szCs w:val="18"/>
        </w:rPr>
        <w:t xml:space="preserve"> </w:t>
      </w:r>
      <w:r w:rsidR="000E64FD" w:rsidRPr="00DA1790">
        <w:rPr>
          <w:i/>
          <w:iCs/>
          <w:sz w:val="18"/>
          <w:szCs w:val="18"/>
        </w:rPr>
        <w:t>“</w:t>
      </w:r>
      <w:r w:rsidRPr="00DA1790">
        <w:rPr>
          <w:i/>
          <w:iCs/>
          <w:sz w:val="18"/>
          <w:szCs w:val="18"/>
        </w:rPr>
        <w:t>They Want Docile</w:t>
      </w:r>
      <w:r w:rsidR="003B2332" w:rsidRPr="00DA1790">
        <w:rPr>
          <w:i/>
          <w:iCs/>
          <w:sz w:val="18"/>
          <w:szCs w:val="18"/>
        </w:rPr>
        <w:t>”</w:t>
      </w:r>
      <w:r w:rsidRPr="00DA1790">
        <w:rPr>
          <w:i/>
          <w:iCs/>
          <w:sz w:val="18"/>
          <w:szCs w:val="18"/>
        </w:rPr>
        <w:t>: How Nursing Homes in the United States Overmedicate People with Dementia</w:t>
      </w:r>
      <w:r w:rsidRPr="00DA1790">
        <w:rPr>
          <w:sz w:val="18"/>
          <w:szCs w:val="18"/>
        </w:rPr>
        <w:t xml:space="preserve"> (New York: Human Rights Watch, 2018</w:t>
      </w:r>
      <w:r w:rsidRPr="00CC4FAA">
        <w:rPr>
          <w:sz w:val="18"/>
          <w:szCs w:val="18"/>
        </w:rPr>
        <w:t xml:space="preserve">), </w:t>
      </w:r>
      <w:hyperlink r:id="rId1" w:history="1">
        <w:r w:rsidRPr="00CC4FAA">
          <w:rPr>
            <w:rStyle w:val="Hyperlink"/>
            <w:color w:val="auto"/>
            <w:sz w:val="18"/>
            <w:szCs w:val="18"/>
            <w:u w:val="none"/>
          </w:rPr>
          <w:t>https://www.hrw.org/report/2018/02/05/they-want-docile/how-nursing-homes-united-states-overmedicate-people-dementia</w:t>
        </w:r>
      </w:hyperlink>
      <w:r w:rsidRPr="00CC4FAA">
        <w:rPr>
          <w:sz w:val="18"/>
          <w:szCs w:val="18"/>
        </w:rPr>
        <w:t xml:space="preserve">. </w:t>
      </w:r>
    </w:p>
  </w:footnote>
  <w:footnote w:id="2">
    <w:p w14:paraId="00B9614C" w14:textId="1C334EF9" w:rsidR="00DC4911" w:rsidRPr="00CC4FAA" w:rsidRDefault="00DC4911">
      <w:pPr>
        <w:pStyle w:val="FootnoteText"/>
        <w:rPr>
          <w:sz w:val="18"/>
          <w:szCs w:val="18"/>
        </w:rPr>
      </w:pPr>
      <w:r w:rsidRPr="00CC4FAA">
        <w:rPr>
          <w:rStyle w:val="FootnoteReference"/>
          <w:sz w:val="18"/>
          <w:szCs w:val="18"/>
        </w:rPr>
        <w:footnoteRef/>
      </w:r>
      <w:r w:rsidRPr="00CC4FAA">
        <w:rPr>
          <w:sz w:val="18"/>
          <w:szCs w:val="18"/>
        </w:rPr>
        <w:t xml:space="preserve"> Human Rights Watch, </w:t>
      </w:r>
      <w:r w:rsidR="000E64FD" w:rsidRPr="00CC4FAA">
        <w:rPr>
          <w:i/>
          <w:iCs/>
          <w:sz w:val="18"/>
          <w:szCs w:val="18"/>
        </w:rPr>
        <w:t>“</w:t>
      </w:r>
      <w:r w:rsidRPr="00CC4FAA">
        <w:rPr>
          <w:i/>
          <w:iCs/>
          <w:sz w:val="18"/>
          <w:szCs w:val="18"/>
        </w:rPr>
        <w:t>Fading Away</w:t>
      </w:r>
      <w:r w:rsidR="000E64FD" w:rsidRPr="00CC4FAA">
        <w:rPr>
          <w:i/>
          <w:iCs/>
          <w:sz w:val="18"/>
          <w:szCs w:val="18"/>
        </w:rPr>
        <w:t>”</w:t>
      </w:r>
      <w:r w:rsidRPr="00CC4FAA">
        <w:rPr>
          <w:i/>
          <w:iCs/>
          <w:sz w:val="18"/>
          <w:szCs w:val="18"/>
        </w:rPr>
        <w:t>: How Aged Care Facilities in Australia Chemically Restrain Older People with Dementia</w:t>
      </w:r>
      <w:r w:rsidRPr="00CC4FAA">
        <w:rPr>
          <w:sz w:val="18"/>
          <w:szCs w:val="18"/>
        </w:rPr>
        <w:t xml:space="preserve"> (New York: Human Rights Watch, 2019), </w:t>
      </w:r>
      <w:hyperlink r:id="rId2" w:history="1">
        <w:r w:rsidRPr="00CC4FAA">
          <w:rPr>
            <w:rStyle w:val="Hyperlink"/>
            <w:color w:val="auto"/>
            <w:sz w:val="18"/>
            <w:szCs w:val="18"/>
            <w:u w:val="none"/>
          </w:rPr>
          <w:t>https://www.hrw.org/report/2019/10/15/fading-away/how-aged-care-facilities-australia-chemically-restrain-older-people</w:t>
        </w:r>
      </w:hyperlink>
      <w:r w:rsidR="00E63DE6">
        <w:rPr>
          <w:sz w:val="18"/>
          <w:szCs w:val="18"/>
        </w:rPr>
        <w:t xml:space="preserve">; </w:t>
      </w:r>
      <w:r w:rsidR="003273E2">
        <w:rPr>
          <w:sz w:val="18"/>
          <w:szCs w:val="18"/>
        </w:rPr>
        <w:t>“</w:t>
      </w:r>
      <w:r w:rsidR="003273E2" w:rsidRPr="003273E2">
        <w:rPr>
          <w:sz w:val="18"/>
          <w:szCs w:val="18"/>
        </w:rPr>
        <w:t>Australia: Chemical Restraint Persists in Aged Care</w:t>
      </w:r>
      <w:r w:rsidR="003273E2">
        <w:rPr>
          <w:sz w:val="18"/>
          <w:szCs w:val="18"/>
        </w:rPr>
        <w:t>,” Human Rights Watch news release</w:t>
      </w:r>
      <w:r w:rsidR="005629A4">
        <w:rPr>
          <w:sz w:val="18"/>
          <w:szCs w:val="18"/>
        </w:rPr>
        <w:t xml:space="preserve">, March 30,2022, </w:t>
      </w:r>
      <w:r w:rsidR="005629A4" w:rsidRPr="005629A4">
        <w:rPr>
          <w:sz w:val="18"/>
          <w:szCs w:val="18"/>
        </w:rPr>
        <w:t>https://www.hrw.org/news/2022/03/30/australia-chemical-restraint-persists-aged-care</w:t>
      </w:r>
      <w:r w:rsidR="005629A4">
        <w:rPr>
          <w:sz w:val="18"/>
          <w:szCs w:val="18"/>
        </w:rPr>
        <w:t>.</w:t>
      </w:r>
    </w:p>
  </w:footnote>
  <w:footnote w:id="3">
    <w:p w14:paraId="2500EFEE" w14:textId="243A95C0" w:rsidR="00FF7A17" w:rsidRPr="00CC4FAA" w:rsidRDefault="00FF7A17" w:rsidP="00FF7A17">
      <w:pPr>
        <w:pStyle w:val="FootnoteText"/>
        <w:rPr>
          <w:sz w:val="18"/>
          <w:szCs w:val="18"/>
        </w:rPr>
      </w:pPr>
      <w:r w:rsidRPr="00CC4FAA">
        <w:rPr>
          <w:rStyle w:val="FootnoteReference"/>
          <w:sz w:val="18"/>
          <w:szCs w:val="18"/>
        </w:rPr>
        <w:footnoteRef/>
      </w:r>
      <w:r w:rsidRPr="00CC4FAA">
        <w:rPr>
          <w:sz w:val="18"/>
          <w:szCs w:val="18"/>
        </w:rPr>
        <w:t xml:space="preserve"> Jane Buchanan (Human Rights Watch) and Kim Samuel, “Another COVID risk – overuse of psychotropic drugs on seniors in care,” Ottawa Citizen, January 14, 2021, </w:t>
      </w:r>
      <w:hyperlink r:id="rId3" w:history="1">
        <w:r w:rsidRPr="00CC4FAA">
          <w:rPr>
            <w:rStyle w:val="Hyperlink"/>
            <w:color w:val="auto"/>
            <w:sz w:val="18"/>
            <w:szCs w:val="18"/>
            <w:u w:val="none"/>
          </w:rPr>
          <w:t>https://www.hrw.org/news/2021/01/15/another-covid-risk-overuse-psychotropic-drugs-seniors-care</w:t>
        </w:r>
      </w:hyperlink>
      <w:r w:rsidR="00A46EEC" w:rsidRPr="00CC4FAA">
        <w:rPr>
          <w:sz w:val="18"/>
          <w:szCs w:val="18"/>
        </w:rPr>
        <w:t>.</w:t>
      </w:r>
    </w:p>
  </w:footnote>
  <w:footnote w:id="4">
    <w:p w14:paraId="34CC34AC" w14:textId="20319D3A" w:rsidR="009D2512" w:rsidRPr="00DA1790" w:rsidRDefault="009D2512" w:rsidP="009D2512">
      <w:pPr>
        <w:pStyle w:val="FootnoteText"/>
        <w:rPr>
          <w:sz w:val="18"/>
          <w:szCs w:val="18"/>
        </w:rPr>
      </w:pPr>
      <w:r w:rsidRPr="00CC4FAA">
        <w:rPr>
          <w:rStyle w:val="FootnoteReference"/>
          <w:sz w:val="18"/>
          <w:szCs w:val="18"/>
        </w:rPr>
        <w:footnoteRef/>
      </w:r>
      <w:r w:rsidRPr="00CC4FAA">
        <w:rPr>
          <w:sz w:val="18"/>
          <w:szCs w:val="18"/>
        </w:rPr>
        <w:t xml:space="preserve"> </w:t>
      </w:r>
      <w:r w:rsidR="00DA1790" w:rsidRPr="00CC4FAA">
        <w:rPr>
          <w:sz w:val="18"/>
          <w:szCs w:val="18"/>
        </w:rPr>
        <w:t>“</w:t>
      </w:r>
      <w:r w:rsidRPr="00CC4FAA">
        <w:rPr>
          <w:sz w:val="18"/>
          <w:szCs w:val="18"/>
        </w:rPr>
        <w:t xml:space="preserve">Russia: Insufficient Home Services for Older People: Gaps in Services Create </w:t>
      </w:r>
      <w:r w:rsidRPr="00DA1790">
        <w:rPr>
          <w:sz w:val="18"/>
          <w:szCs w:val="18"/>
        </w:rPr>
        <w:t>Risks for Institutionalization, Violate Rights</w:t>
      </w:r>
      <w:r w:rsidR="00DA1790">
        <w:rPr>
          <w:sz w:val="18"/>
          <w:szCs w:val="18"/>
        </w:rPr>
        <w:t>,” Human Rights Watch news release</w:t>
      </w:r>
      <w:r w:rsidR="00D62BF7">
        <w:rPr>
          <w:sz w:val="18"/>
          <w:szCs w:val="18"/>
        </w:rPr>
        <w:t xml:space="preserve">, August 24, 2021, </w:t>
      </w:r>
      <w:r w:rsidR="00D62BF7" w:rsidRPr="00D62BF7">
        <w:rPr>
          <w:sz w:val="18"/>
          <w:szCs w:val="18"/>
        </w:rPr>
        <w:t>https://www.hrw.org/news/2021/08/24/russia-insufficient-home-services-older-people</w:t>
      </w:r>
      <w:r w:rsidR="00D62BF7">
        <w:rPr>
          <w:sz w:val="18"/>
          <w:szCs w:val="18"/>
        </w:rPr>
        <w:t>.</w:t>
      </w:r>
    </w:p>
  </w:footnote>
  <w:footnote w:id="5">
    <w:p w14:paraId="0A934AC6" w14:textId="2C3777D7" w:rsidR="00520BE1" w:rsidRPr="00223F2E" w:rsidRDefault="00520BE1" w:rsidP="00520BE1">
      <w:pPr>
        <w:pStyle w:val="FootnoteText"/>
        <w:rPr>
          <w:sz w:val="18"/>
          <w:szCs w:val="18"/>
        </w:rPr>
      </w:pPr>
      <w:r w:rsidRPr="00DA1790">
        <w:rPr>
          <w:rStyle w:val="FootnoteReference"/>
          <w:sz w:val="18"/>
          <w:szCs w:val="18"/>
        </w:rPr>
        <w:footnoteRef/>
      </w:r>
      <w:r w:rsidRPr="00DA1790">
        <w:rPr>
          <w:sz w:val="18"/>
          <w:szCs w:val="18"/>
        </w:rPr>
        <w:t xml:space="preserve"> </w:t>
      </w:r>
      <w:r w:rsidR="004A1DF0" w:rsidRPr="00DA1790">
        <w:rPr>
          <w:sz w:val="18"/>
          <w:szCs w:val="18"/>
        </w:rPr>
        <w:t xml:space="preserve">Human Rights Watch, They Want Docile: How Nursing Homes in the United States Overmedicate People with Dementia; </w:t>
      </w:r>
      <w:r w:rsidRPr="00DA1790">
        <w:rPr>
          <w:sz w:val="18"/>
          <w:szCs w:val="18"/>
        </w:rPr>
        <w:t>Human Rights Watch, Fading Away: How Aged Care Facilities in Australia Chemically Restrain Older People with Dementia</w:t>
      </w:r>
      <w:r w:rsidR="00A257DE" w:rsidRPr="00DA1790">
        <w:rPr>
          <w:sz w:val="18"/>
          <w:szCs w:val="18"/>
        </w:rPr>
        <w:t xml:space="preserve">; </w:t>
      </w:r>
      <w:r w:rsidR="00A43EC1">
        <w:rPr>
          <w:sz w:val="18"/>
          <w:szCs w:val="18"/>
        </w:rPr>
        <w:t>“</w:t>
      </w:r>
      <w:r w:rsidR="00A43EC1" w:rsidRPr="003273E2">
        <w:rPr>
          <w:sz w:val="18"/>
          <w:szCs w:val="18"/>
        </w:rPr>
        <w:t>Australia: Chemical Restraint Persists in Aged Care</w:t>
      </w:r>
      <w:r w:rsidR="00A43EC1">
        <w:rPr>
          <w:sz w:val="18"/>
          <w:szCs w:val="18"/>
        </w:rPr>
        <w:t>,” Human Rights Watch</w:t>
      </w:r>
      <w:r w:rsidR="00A43EC1">
        <w:rPr>
          <w:sz w:val="18"/>
          <w:szCs w:val="18"/>
        </w:rPr>
        <w:t xml:space="preserve"> news release, March 30, 2022</w:t>
      </w:r>
      <w:r w:rsidR="00475B27">
        <w:rPr>
          <w:sz w:val="18"/>
          <w:szCs w:val="18"/>
        </w:rPr>
        <w:t>.</w:t>
      </w:r>
    </w:p>
  </w:footnote>
  <w:footnote w:id="6">
    <w:p w14:paraId="13C93215" w14:textId="526F7749" w:rsidR="00EE00A6" w:rsidRPr="00F4762F" w:rsidRDefault="00EE00A6">
      <w:pPr>
        <w:pStyle w:val="FootnoteText"/>
        <w:rPr>
          <w:sz w:val="18"/>
          <w:szCs w:val="18"/>
        </w:rPr>
      </w:pPr>
      <w:r w:rsidRPr="00F4762F">
        <w:rPr>
          <w:rStyle w:val="FootnoteReference"/>
          <w:sz w:val="18"/>
          <w:szCs w:val="18"/>
        </w:rPr>
        <w:footnoteRef/>
      </w:r>
      <w:r w:rsidRPr="00F4762F">
        <w:rPr>
          <w:sz w:val="18"/>
          <w:szCs w:val="18"/>
        </w:rPr>
        <w:t xml:space="preserve"> </w:t>
      </w:r>
      <w:r w:rsidR="00497E4C" w:rsidRPr="00F4762F">
        <w:rPr>
          <w:sz w:val="18"/>
          <w:szCs w:val="18"/>
        </w:rPr>
        <w:t xml:space="preserve">Human Rights Watch, </w:t>
      </w:r>
      <w:r w:rsidR="000E64FD">
        <w:rPr>
          <w:sz w:val="18"/>
          <w:szCs w:val="18"/>
        </w:rPr>
        <w:t>“</w:t>
      </w:r>
      <w:r w:rsidR="00497E4C" w:rsidRPr="00F4762F">
        <w:rPr>
          <w:sz w:val="18"/>
          <w:szCs w:val="18"/>
        </w:rPr>
        <w:t>They Want Docile</w:t>
      </w:r>
      <w:r w:rsidR="000E64FD">
        <w:rPr>
          <w:sz w:val="18"/>
          <w:szCs w:val="18"/>
        </w:rPr>
        <w:t>”</w:t>
      </w:r>
      <w:r w:rsidR="00497E4C" w:rsidRPr="00F4762F">
        <w:rPr>
          <w:sz w:val="18"/>
          <w:szCs w:val="18"/>
        </w:rPr>
        <w:t>: How Nursing Homes in the United States Overmedicate People with Dementia.</w:t>
      </w:r>
    </w:p>
  </w:footnote>
  <w:footnote w:id="7">
    <w:p w14:paraId="149107AD" w14:textId="2D8C4F48" w:rsidR="00497E4C" w:rsidRPr="00F4762F" w:rsidRDefault="00497E4C">
      <w:pPr>
        <w:pStyle w:val="FootnoteText"/>
        <w:rPr>
          <w:sz w:val="18"/>
          <w:szCs w:val="18"/>
        </w:rPr>
      </w:pPr>
      <w:r w:rsidRPr="00F4762F">
        <w:rPr>
          <w:rStyle w:val="FootnoteReference"/>
          <w:sz w:val="18"/>
          <w:szCs w:val="18"/>
        </w:rPr>
        <w:footnoteRef/>
      </w:r>
      <w:r w:rsidRPr="00F4762F">
        <w:rPr>
          <w:sz w:val="18"/>
          <w:szCs w:val="18"/>
        </w:rPr>
        <w:t xml:space="preserve"> FDA, </w:t>
      </w:r>
      <w:r w:rsidR="009649F6" w:rsidRPr="00F4762F">
        <w:rPr>
          <w:sz w:val="18"/>
          <w:szCs w:val="18"/>
        </w:rPr>
        <w:t xml:space="preserve">“Information for Healthcare Professionals: Conventional Antipsychotics,” </w:t>
      </w:r>
      <w:r w:rsidR="00FB1CB1" w:rsidRPr="00F4762F">
        <w:rPr>
          <w:sz w:val="18"/>
          <w:szCs w:val="18"/>
        </w:rPr>
        <w:t>June 16, 2008, https://wayback.archive-it.org/7993/20171102213617/https:/www.fda.gov/Drugs/DrugSafety/PostmarketDrugSafetyInformationforPatientsandProviders/ucm124830.htm.</w:t>
      </w:r>
    </w:p>
  </w:footnote>
  <w:footnote w:id="8">
    <w:p w14:paraId="31971210" w14:textId="1C81067D" w:rsidR="003500C9" w:rsidRPr="00F4762F" w:rsidRDefault="003500C9">
      <w:pPr>
        <w:pStyle w:val="FootnoteText"/>
        <w:rPr>
          <w:sz w:val="18"/>
          <w:szCs w:val="18"/>
        </w:rPr>
      </w:pPr>
      <w:r w:rsidRPr="00F4762F">
        <w:rPr>
          <w:rStyle w:val="FootnoteReference"/>
          <w:sz w:val="18"/>
          <w:szCs w:val="18"/>
        </w:rPr>
        <w:footnoteRef/>
      </w:r>
      <w:r w:rsidRPr="00F4762F">
        <w:rPr>
          <w:sz w:val="18"/>
          <w:szCs w:val="18"/>
        </w:rPr>
        <w:t xml:space="preserve"> </w:t>
      </w:r>
      <w:r w:rsidR="00FB1CB1" w:rsidRPr="00F4762F">
        <w:rPr>
          <w:sz w:val="18"/>
          <w:szCs w:val="18"/>
        </w:rPr>
        <w:t xml:space="preserve">Human Rights Watch, </w:t>
      </w:r>
      <w:r w:rsidR="000E64FD">
        <w:rPr>
          <w:sz w:val="18"/>
          <w:szCs w:val="18"/>
        </w:rPr>
        <w:t>“</w:t>
      </w:r>
      <w:r w:rsidR="00FB1CB1" w:rsidRPr="00F4762F">
        <w:rPr>
          <w:sz w:val="18"/>
          <w:szCs w:val="18"/>
        </w:rPr>
        <w:t>They Want Docile</w:t>
      </w:r>
      <w:r w:rsidR="000E64FD">
        <w:rPr>
          <w:sz w:val="18"/>
          <w:szCs w:val="18"/>
        </w:rPr>
        <w:t>”</w:t>
      </w:r>
      <w:r w:rsidR="00FB1CB1" w:rsidRPr="00F4762F">
        <w:rPr>
          <w:sz w:val="18"/>
          <w:szCs w:val="18"/>
        </w:rPr>
        <w:t>: How Nursing Homes in the United States Overmedicate People with Dementia.</w:t>
      </w:r>
    </w:p>
  </w:footnote>
  <w:footnote w:id="9">
    <w:p w14:paraId="7F90B09D" w14:textId="7A02C4A6" w:rsidR="001B7164" w:rsidRPr="00F4762F" w:rsidRDefault="001B7164">
      <w:pPr>
        <w:pStyle w:val="FootnoteText"/>
        <w:rPr>
          <w:sz w:val="18"/>
          <w:szCs w:val="18"/>
        </w:rPr>
      </w:pPr>
      <w:r w:rsidRPr="00F4762F">
        <w:rPr>
          <w:rStyle w:val="FootnoteReference"/>
          <w:sz w:val="18"/>
          <w:szCs w:val="18"/>
        </w:rPr>
        <w:footnoteRef/>
      </w:r>
      <w:r w:rsidRPr="00F4762F">
        <w:rPr>
          <w:sz w:val="18"/>
          <w:szCs w:val="18"/>
        </w:rPr>
        <w:t xml:space="preserve"> Ibid.</w:t>
      </w:r>
    </w:p>
  </w:footnote>
  <w:footnote w:id="10">
    <w:p w14:paraId="4451716A" w14:textId="7708FDB2" w:rsidR="00661458" w:rsidRPr="00F4762F" w:rsidRDefault="00661458" w:rsidP="003E32B0">
      <w:pPr>
        <w:pStyle w:val="FootnoteText"/>
        <w:rPr>
          <w:sz w:val="18"/>
          <w:szCs w:val="18"/>
        </w:rPr>
      </w:pPr>
      <w:r w:rsidRPr="00F4762F">
        <w:rPr>
          <w:rStyle w:val="FootnoteReference"/>
          <w:sz w:val="18"/>
          <w:szCs w:val="18"/>
        </w:rPr>
        <w:footnoteRef/>
      </w:r>
      <w:r w:rsidRPr="00F4762F">
        <w:rPr>
          <w:sz w:val="18"/>
          <w:szCs w:val="18"/>
        </w:rPr>
        <w:t xml:space="preserve"> </w:t>
      </w:r>
      <w:r w:rsidR="00B00DE4" w:rsidRPr="00F4762F">
        <w:rPr>
          <w:sz w:val="18"/>
          <w:szCs w:val="18"/>
        </w:rPr>
        <w:t>“</w:t>
      </w:r>
      <w:r w:rsidR="003E32B0" w:rsidRPr="00F4762F">
        <w:rPr>
          <w:sz w:val="18"/>
          <w:szCs w:val="18"/>
        </w:rPr>
        <w:t>US: Nursing Homes Misuse Drugs to Control Residents,</w:t>
      </w:r>
      <w:r w:rsidR="00B00DE4" w:rsidRPr="00F4762F">
        <w:rPr>
          <w:sz w:val="18"/>
          <w:szCs w:val="18"/>
        </w:rPr>
        <w:t>”</w:t>
      </w:r>
      <w:r w:rsidR="003E32B0" w:rsidRPr="00F4762F">
        <w:rPr>
          <w:sz w:val="18"/>
          <w:szCs w:val="18"/>
        </w:rPr>
        <w:t xml:space="preserve"> </w:t>
      </w:r>
      <w:r w:rsidR="00B00DE4" w:rsidRPr="00F4762F">
        <w:rPr>
          <w:sz w:val="18"/>
          <w:szCs w:val="18"/>
        </w:rPr>
        <w:t xml:space="preserve">Human Rights Watch news release, </w:t>
      </w:r>
      <w:r w:rsidR="002D30A8" w:rsidRPr="00F4762F">
        <w:rPr>
          <w:sz w:val="18"/>
          <w:szCs w:val="18"/>
        </w:rPr>
        <w:t xml:space="preserve">February 5, 2018, </w:t>
      </w:r>
      <w:r w:rsidRPr="00F4762F">
        <w:rPr>
          <w:sz w:val="18"/>
          <w:szCs w:val="18"/>
        </w:rPr>
        <w:t>https://www.hrw.org/news/2018/02/05/us-nursing-homes-misuse-drugs-control-residents</w:t>
      </w:r>
      <w:r w:rsidR="002D30A8" w:rsidRPr="00F4762F">
        <w:rPr>
          <w:sz w:val="18"/>
          <w:szCs w:val="18"/>
        </w:rPr>
        <w:t>.</w:t>
      </w:r>
    </w:p>
  </w:footnote>
  <w:footnote w:id="11">
    <w:p w14:paraId="0378D198" w14:textId="76A2DCC5" w:rsidR="00661458" w:rsidRPr="00A37437" w:rsidRDefault="00661458" w:rsidP="00661458">
      <w:pPr>
        <w:pStyle w:val="FootnoteText"/>
        <w:rPr>
          <w:sz w:val="18"/>
          <w:szCs w:val="18"/>
        </w:rPr>
      </w:pPr>
      <w:r w:rsidRPr="00F4762F">
        <w:rPr>
          <w:rStyle w:val="FootnoteReference"/>
          <w:sz w:val="18"/>
          <w:szCs w:val="18"/>
        </w:rPr>
        <w:footnoteRef/>
      </w:r>
      <w:r w:rsidRPr="00F4762F">
        <w:rPr>
          <w:sz w:val="18"/>
          <w:szCs w:val="18"/>
        </w:rPr>
        <w:t xml:space="preserve"> Human Rights Watch, “Fading Away”</w:t>
      </w:r>
      <w:r w:rsidR="000E64FD">
        <w:rPr>
          <w:sz w:val="18"/>
          <w:szCs w:val="18"/>
        </w:rPr>
        <w:t xml:space="preserve">: </w:t>
      </w:r>
      <w:r w:rsidRPr="00F4762F">
        <w:rPr>
          <w:sz w:val="18"/>
          <w:szCs w:val="18"/>
        </w:rPr>
        <w:t>How Aged Care Facilities in Australia Chemically Restrain Older People with Dementia</w:t>
      </w:r>
      <w:r w:rsidR="007F5FAC">
        <w:rPr>
          <w:sz w:val="20"/>
        </w:rPr>
        <w:t>.</w:t>
      </w:r>
    </w:p>
  </w:footnote>
  <w:footnote w:id="12">
    <w:p w14:paraId="4D0D5EC7" w14:textId="77777777" w:rsidR="00661458" w:rsidRPr="00F4762F" w:rsidRDefault="00661458" w:rsidP="00661458">
      <w:pPr>
        <w:pStyle w:val="FootnoteText"/>
        <w:rPr>
          <w:sz w:val="18"/>
          <w:szCs w:val="18"/>
        </w:rPr>
      </w:pPr>
      <w:r w:rsidRPr="00F4762F">
        <w:rPr>
          <w:rStyle w:val="FootnoteReference"/>
          <w:sz w:val="18"/>
          <w:szCs w:val="18"/>
        </w:rPr>
        <w:footnoteRef/>
      </w:r>
      <w:r w:rsidRPr="00F4762F">
        <w:rPr>
          <w:sz w:val="18"/>
          <w:szCs w:val="18"/>
        </w:rPr>
        <w:t xml:space="preserve"> Ibid.</w:t>
      </w:r>
    </w:p>
  </w:footnote>
  <w:footnote w:id="13">
    <w:p w14:paraId="734304B8" w14:textId="2AFA572E" w:rsidR="00F247B3" w:rsidRPr="00F4762F" w:rsidRDefault="00F247B3">
      <w:pPr>
        <w:pStyle w:val="FootnoteText"/>
        <w:rPr>
          <w:sz w:val="18"/>
          <w:szCs w:val="18"/>
        </w:rPr>
      </w:pPr>
      <w:r w:rsidRPr="00F4762F">
        <w:rPr>
          <w:rStyle w:val="FootnoteReference"/>
          <w:sz w:val="18"/>
          <w:szCs w:val="18"/>
        </w:rPr>
        <w:footnoteRef/>
      </w:r>
      <w:r w:rsidRPr="00F4762F">
        <w:rPr>
          <w:sz w:val="18"/>
          <w:szCs w:val="18"/>
        </w:rPr>
        <w:t xml:space="preserve"> </w:t>
      </w:r>
      <w:r w:rsidR="00772ACF" w:rsidRPr="00F4762F">
        <w:rPr>
          <w:sz w:val="18"/>
          <w:szCs w:val="18"/>
        </w:rPr>
        <w:t xml:space="preserve">Susan Kurrle, </w:t>
      </w:r>
      <w:r w:rsidR="009D1844" w:rsidRPr="00F4762F">
        <w:rPr>
          <w:sz w:val="18"/>
          <w:szCs w:val="18"/>
        </w:rPr>
        <w:t xml:space="preserve">“Chemical restraint: legislative changes to “restrictive practices,” </w:t>
      </w:r>
      <w:r w:rsidR="0045483E" w:rsidRPr="00F4762F">
        <w:rPr>
          <w:sz w:val="18"/>
          <w:szCs w:val="18"/>
        </w:rPr>
        <w:t xml:space="preserve">Medical journal of Australia, </w:t>
      </w:r>
      <w:r w:rsidR="009311FA" w:rsidRPr="00F4762F">
        <w:rPr>
          <w:sz w:val="18"/>
          <w:szCs w:val="18"/>
        </w:rPr>
        <w:t xml:space="preserve">July 19, 2021, </w:t>
      </w:r>
      <w:r w:rsidRPr="00F4762F">
        <w:rPr>
          <w:sz w:val="18"/>
          <w:szCs w:val="18"/>
        </w:rPr>
        <w:t>https://insightplus.mja.com.au/2021/26/chemical-restraint-legislative-changes-to-restrictive-practices/.</w:t>
      </w:r>
    </w:p>
  </w:footnote>
  <w:footnote w:id="14">
    <w:p w14:paraId="5270E7A2" w14:textId="057B4A26" w:rsidR="00B76B2D" w:rsidRPr="00CC4FAA" w:rsidRDefault="00835293" w:rsidP="00B76B2D">
      <w:pPr>
        <w:pStyle w:val="FootnoteText"/>
        <w:rPr>
          <w:sz w:val="18"/>
          <w:szCs w:val="18"/>
        </w:rPr>
      </w:pPr>
      <w:r>
        <w:rPr>
          <w:rStyle w:val="FootnoteReference"/>
        </w:rPr>
        <w:footnoteRef/>
      </w:r>
      <w:r>
        <w:t xml:space="preserve"> </w:t>
      </w:r>
      <w:r w:rsidR="00B76B2D">
        <w:rPr>
          <w:sz w:val="18"/>
          <w:szCs w:val="18"/>
        </w:rPr>
        <w:t>“</w:t>
      </w:r>
      <w:r w:rsidR="00B76B2D" w:rsidRPr="003273E2">
        <w:rPr>
          <w:sz w:val="18"/>
          <w:szCs w:val="18"/>
        </w:rPr>
        <w:t>Australia: Chemical Restraint Persists in Aged Care</w:t>
      </w:r>
      <w:r w:rsidR="00B76B2D">
        <w:rPr>
          <w:sz w:val="18"/>
          <w:szCs w:val="18"/>
        </w:rPr>
        <w:t>,” Human Rights Watch</w:t>
      </w:r>
      <w:r w:rsidR="00475B27">
        <w:rPr>
          <w:sz w:val="18"/>
          <w:szCs w:val="18"/>
        </w:rPr>
        <w:t xml:space="preserve"> news release, March 30, 2022. </w:t>
      </w:r>
    </w:p>
    <w:p w14:paraId="5B9B8665" w14:textId="50731235" w:rsidR="00835293" w:rsidRDefault="00835293">
      <w:pPr>
        <w:pStyle w:val="FootnoteText"/>
      </w:pPr>
    </w:p>
  </w:footnote>
  <w:footnote w:id="15">
    <w:p w14:paraId="07327335" w14:textId="62101CAF" w:rsidR="00725A7F" w:rsidRPr="00531667" w:rsidRDefault="00725A7F">
      <w:pPr>
        <w:pStyle w:val="FootnoteText"/>
        <w:rPr>
          <w:sz w:val="18"/>
          <w:szCs w:val="18"/>
        </w:rPr>
      </w:pPr>
      <w:r w:rsidRPr="00531667">
        <w:rPr>
          <w:rStyle w:val="FootnoteReference"/>
          <w:sz w:val="18"/>
          <w:szCs w:val="18"/>
        </w:rPr>
        <w:footnoteRef/>
      </w:r>
      <w:r w:rsidRPr="00531667">
        <w:rPr>
          <w:sz w:val="18"/>
          <w:szCs w:val="18"/>
        </w:rPr>
        <w:t xml:space="preserve"> </w:t>
      </w:r>
      <w:r w:rsidR="003B588C" w:rsidRPr="00531667">
        <w:rPr>
          <w:sz w:val="18"/>
          <w:szCs w:val="18"/>
        </w:rPr>
        <w:t>On the Foundations of Social Services for Citizens of the Russian Federation</w:t>
      </w:r>
      <w:r w:rsidR="00E51B33" w:rsidRPr="00531667">
        <w:rPr>
          <w:sz w:val="18"/>
          <w:szCs w:val="18"/>
        </w:rPr>
        <w:t>, No</w:t>
      </w:r>
      <w:r w:rsidR="003A7BB7" w:rsidRPr="00531667">
        <w:rPr>
          <w:sz w:val="18"/>
          <w:szCs w:val="18"/>
        </w:rPr>
        <w:t xml:space="preserve">.170-FZ of 2021, </w:t>
      </w:r>
      <w:r w:rsidR="001D61B1" w:rsidRPr="00531667">
        <w:rPr>
          <w:sz w:val="18"/>
          <w:szCs w:val="18"/>
        </w:rPr>
        <w:t>art.4.</w:t>
      </w:r>
    </w:p>
  </w:footnote>
  <w:footnote w:id="16">
    <w:p w14:paraId="4AD8834B" w14:textId="45CA8C83" w:rsidR="00377B67" w:rsidRPr="0094677B" w:rsidRDefault="00377B67" w:rsidP="00377B67">
      <w:pPr>
        <w:pStyle w:val="FootnoteText"/>
        <w:rPr>
          <w:sz w:val="18"/>
          <w:szCs w:val="18"/>
        </w:rPr>
      </w:pPr>
      <w:r w:rsidRPr="00F4762F">
        <w:rPr>
          <w:rStyle w:val="FootnoteReference"/>
          <w:sz w:val="18"/>
          <w:szCs w:val="18"/>
        </w:rPr>
        <w:footnoteRef/>
      </w:r>
      <w:r w:rsidRPr="00F4762F">
        <w:rPr>
          <w:sz w:val="18"/>
          <w:szCs w:val="18"/>
        </w:rPr>
        <w:t xml:space="preserve"> Center</w:t>
      </w:r>
      <w:r w:rsidR="0093104E">
        <w:rPr>
          <w:sz w:val="18"/>
          <w:szCs w:val="18"/>
        </w:rPr>
        <w:t>s</w:t>
      </w:r>
      <w:r w:rsidRPr="00F4762F">
        <w:rPr>
          <w:sz w:val="18"/>
          <w:szCs w:val="18"/>
        </w:rPr>
        <w:t xml:space="preserve"> for Disease Control and Prevention, “Loneliness and Social Isolation Linked to Serious Health Conditions,” April 29, 2021, </w:t>
      </w:r>
      <w:hyperlink r:id="rId4" w:history="1">
        <w:r w:rsidR="0093104E" w:rsidRPr="006156BB">
          <w:rPr>
            <w:rStyle w:val="Hyperlink"/>
            <w:sz w:val="18"/>
            <w:szCs w:val="18"/>
          </w:rPr>
          <w:t>https://www.cdc.gov/aging/publications/features/lonely-older-adults.html</w:t>
        </w:r>
      </w:hyperlink>
      <w:r w:rsidR="0093104E">
        <w:rPr>
          <w:sz w:val="18"/>
          <w:szCs w:val="18"/>
        </w:rPr>
        <w:t xml:space="preserve"> </w:t>
      </w:r>
      <w:r w:rsidRPr="00F4762F">
        <w:rPr>
          <w:sz w:val="18"/>
          <w:szCs w:val="18"/>
        </w:rPr>
        <w:t>.</w:t>
      </w:r>
    </w:p>
  </w:footnote>
  <w:footnote w:id="17">
    <w:p w14:paraId="1398F4D1" w14:textId="3B8B6110" w:rsidR="008B302B" w:rsidRPr="00CC4FAA" w:rsidRDefault="008B302B">
      <w:pPr>
        <w:pStyle w:val="FootnoteText"/>
        <w:rPr>
          <w:sz w:val="18"/>
          <w:szCs w:val="18"/>
        </w:rPr>
      </w:pPr>
      <w:r w:rsidRPr="00F4762F">
        <w:rPr>
          <w:rStyle w:val="FootnoteReference"/>
          <w:sz w:val="18"/>
          <w:szCs w:val="18"/>
        </w:rPr>
        <w:footnoteRef/>
      </w:r>
      <w:r w:rsidRPr="00F4762F">
        <w:rPr>
          <w:sz w:val="18"/>
          <w:szCs w:val="18"/>
        </w:rPr>
        <w:t xml:space="preserve"> </w:t>
      </w:r>
      <w:r w:rsidR="00193C58" w:rsidRPr="00F4762F">
        <w:rPr>
          <w:sz w:val="18"/>
          <w:szCs w:val="18"/>
        </w:rPr>
        <w:t xml:space="preserve">Jane Buchanan (Human Rights Watch) and Kim </w:t>
      </w:r>
      <w:r w:rsidR="00193C58" w:rsidRPr="00CC4FAA">
        <w:rPr>
          <w:sz w:val="18"/>
          <w:szCs w:val="18"/>
        </w:rPr>
        <w:t xml:space="preserve">Samuel, </w:t>
      </w:r>
      <w:r w:rsidR="00504BAF" w:rsidRPr="00CC4FAA">
        <w:rPr>
          <w:sz w:val="18"/>
          <w:szCs w:val="18"/>
        </w:rPr>
        <w:t>“Another COVID risk – overuse of psychotropic drugs on seniors in care,”</w:t>
      </w:r>
      <w:r w:rsidR="009069AE" w:rsidRPr="00CC4FAA">
        <w:rPr>
          <w:sz w:val="18"/>
          <w:szCs w:val="18"/>
        </w:rPr>
        <w:t xml:space="preserve"> Ottawa Citizen, January 14, 2021, </w:t>
      </w:r>
      <w:hyperlink r:id="rId5" w:history="1">
        <w:r w:rsidR="00811A0B" w:rsidRPr="00CC4FAA">
          <w:rPr>
            <w:rStyle w:val="Hyperlink"/>
            <w:color w:val="auto"/>
            <w:sz w:val="18"/>
            <w:szCs w:val="18"/>
            <w:u w:val="none"/>
          </w:rPr>
          <w:t>https://www.hrw.org/news/2021/01/15/another-covid-risk-overuse-psychotropic-drugs-seniors-care</w:t>
        </w:r>
      </w:hyperlink>
      <w:r w:rsidR="00811A0B" w:rsidRPr="00CC4FAA">
        <w:rPr>
          <w:sz w:val="18"/>
          <w:szCs w:val="18"/>
        </w:rPr>
        <w:t xml:space="preserve">. </w:t>
      </w:r>
    </w:p>
  </w:footnote>
  <w:footnote w:id="18">
    <w:p w14:paraId="77950724" w14:textId="11C40773" w:rsidR="00264240" w:rsidRPr="00F4762F" w:rsidRDefault="00264240">
      <w:pPr>
        <w:pStyle w:val="FootnoteText"/>
        <w:rPr>
          <w:sz w:val="18"/>
          <w:szCs w:val="18"/>
        </w:rPr>
      </w:pPr>
      <w:r w:rsidRPr="00F4762F">
        <w:rPr>
          <w:rStyle w:val="FootnoteReference"/>
          <w:sz w:val="18"/>
          <w:szCs w:val="18"/>
        </w:rPr>
        <w:footnoteRef/>
      </w:r>
      <w:r w:rsidRPr="00F4762F">
        <w:rPr>
          <w:sz w:val="18"/>
          <w:szCs w:val="18"/>
        </w:rPr>
        <w:t xml:space="preserve"> </w:t>
      </w:r>
      <w:r w:rsidR="000A4A9B" w:rsidRPr="00F4762F">
        <w:rPr>
          <w:sz w:val="18"/>
          <w:szCs w:val="18"/>
        </w:rPr>
        <w:t>Nathan M. Stall et al., “</w:t>
      </w:r>
      <w:r w:rsidR="004E5872" w:rsidRPr="00F4762F">
        <w:rPr>
          <w:sz w:val="18"/>
          <w:szCs w:val="18"/>
        </w:rPr>
        <w:t>Increased Prescribing of Psychotropic Medications to Ontario Nursing Home Residents during the COVID-19 Pandemic</w:t>
      </w:r>
      <w:r w:rsidR="00E35071" w:rsidRPr="00F4762F">
        <w:rPr>
          <w:sz w:val="18"/>
          <w:szCs w:val="18"/>
        </w:rPr>
        <w:t>,</w:t>
      </w:r>
      <w:r w:rsidR="000A4A9B" w:rsidRPr="00F4762F">
        <w:rPr>
          <w:sz w:val="18"/>
          <w:szCs w:val="18"/>
        </w:rPr>
        <w:t>”</w:t>
      </w:r>
      <w:r w:rsidR="00E35071" w:rsidRPr="00F4762F">
        <w:rPr>
          <w:sz w:val="18"/>
          <w:szCs w:val="18"/>
        </w:rPr>
        <w:t xml:space="preserve"> </w:t>
      </w:r>
      <w:r w:rsidR="006D4F4A" w:rsidRPr="00F4762F">
        <w:rPr>
          <w:sz w:val="18"/>
          <w:szCs w:val="18"/>
        </w:rPr>
        <w:t>medRxiv</w:t>
      </w:r>
      <w:r w:rsidR="007A0FC8" w:rsidRPr="00F4762F">
        <w:rPr>
          <w:sz w:val="18"/>
          <w:szCs w:val="18"/>
        </w:rPr>
        <w:t xml:space="preserve">, </w:t>
      </w:r>
      <w:r w:rsidR="00A37437" w:rsidRPr="00F4762F">
        <w:rPr>
          <w:sz w:val="18"/>
          <w:szCs w:val="18"/>
        </w:rPr>
        <w:t>November 30, 2o2o</w:t>
      </w:r>
      <w:r w:rsidR="007A0FC8" w:rsidRPr="00F4762F">
        <w:rPr>
          <w:sz w:val="18"/>
          <w:szCs w:val="18"/>
        </w:rPr>
        <w:t xml:space="preserve">, </w:t>
      </w:r>
      <w:hyperlink r:id="rId6" w:history="1">
        <w:r w:rsidR="0093104E" w:rsidRPr="006156BB">
          <w:rPr>
            <w:rStyle w:val="Hyperlink"/>
            <w:sz w:val="18"/>
            <w:szCs w:val="18"/>
          </w:rPr>
          <w:t>https://doi.org/10.1101/2020.11.26.20239525</w:t>
        </w:r>
      </w:hyperlink>
      <w:r w:rsidR="0093104E">
        <w:rPr>
          <w:sz w:val="18"/>
          <w:szCs w:val="18"/>
        </w:rPr>
        <w:t xml:space="preserve"> </w:t>
      </w:r>
      <w:r w:rsidR="007A0FC8" w:rsidRPr="00F4762F">
        <w:rPr>
          <w:sz w:val="18"/>
          <w:szCs w:val="18"/>
        </w:rPr>
        <w:t>.</w:t>
      </w:r>
    </w:p>
  </w:footnote>
  <w:footnote w:id="19">
    <w:p w14:paraId="1AC7D2D8" w14:textId="7B030C12" w:rsidR="00E71D7D" w:rsidRPr="00F4762F" w:rsidRDefault="00E71D7D">
      <w:pPr>
        <w:pStyle w:val="FootnoteText"/>
        <w:rPr>
          <w:sz w:val="18"/>
          <w:szCs w:val="18"/>
        </w:rPr>
      </w:pPr>
      <w:r w:rsidRPr="00F4762F">
        <w:rPr>
          <w:rStyle w:val="FootnoteReference"/>
          <w:sz w:val="18"/>
          <w:szCs w:val="18"/>
        </w:rPr>
        <w:footnoteRef/>
      </w:r>
      <w:r w:rsidRPr="00F4762F">
        <w:rPr>
          <w:sz w:val="18"/>
          <w:szCs w:val="18"/>
        </w:rPr>
        <w:t xml:space="preserve"> Ibid. </w:t>
      </w:r>
    </w:p>
  </w:footnote>
  <w:footnote w:id="20">
    <w:p w14:paraId="7E299F9A" w14:textId="4B9163ED" w:rsidR="004379FF" w:rsidRDefault="004379FF">
      <w:pPr>
        <w:pStyle w:val="FootnoteText"/>
      </w:pPr>
      <w:r w:rsidRPr="00F4762F">
        <w:rPr>
          <w:rStyle w:val="FootnoteReference"/>
          <w:sz w:val="18"/>
          <w:szCs w:val="18"/>
        </w:rPr>
        <w:footnoteRef/>
      </w:r>
      <w:r w:rsidRPr="00F4762F">
        <w:rPr>
          <w:sz w:val="18"/>
          <w:szCs w:val="18"/>
        </w:rPr>
        <w:t xml:space="preserve">  </w:t>
      </w:r>
      <w:r w:rsidR="00D1744D" w:rsidRPr="00F4762F">
        <w:rPr>
          <w:sz w:val="18"/>
          <w:szCs w:val="18"/>
        </w:rPr>
        <w:t>Robert Howard</w:t>
      </w:r>
      <w:r w:rsidR="0016587A" w:rsidRPr="00F4762F">
        <w:rPr>
          <w:sz w:val="18"/>
          <w:szCs w:val="18"/>
        </w:rPr>
        <w:t xml:space="preserve"> et al.</w:t>
      </w:r>
      <w:r w:rsidR="00D1744D" w:rsidRPr="00F4762F">
        <w:rPr>
          <w:sz w:val="18"/>
          <w:szCs w:val="18"/>
        </w:rPr>
        <w:t xml:space="preserve">, “Antipsychotic prescribing to people with dementia during COVID-19,” </w:t>
      </w:r>
      <w:r w:rsidR="006A3143" w:rsidRPr="00F4762F">
        <w:rPr>
          <w:sz w:val="18"/>
          <w:szCs w:val="18"/>
        </w:rPr>
        <w:t xml:space="preserve">Lancet Neurol. 2020 Nov; 19(11): 892, </w:t>
      </w:r>
      <w:r w:rsidRPr="00F4762F">
        <w:rPr>
          <w:sz w:val="18"/>
          <w:szCs w:val="18"/>
        </w:rPr>
        <w:t>doi: 10.1016/S1474-4422(20)30370-7</w:t>
      </w:r>
      <w:r w:rsidR="006A3143" w:rsidRPr="00F4762F">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3D3C" w14:textId="5A46A5D0" w:rsidR="0094324D" w:rsidRDefault="0022700E" w:rsidP="00737310">
    <w:pPr>
      <w:pStyle w:val="Header"/>
      <w:jc w:val="center"/>
    </w:pPr>
    <w:r w:rsidRPr="002B7A96">
      <w:rPr>
        <w:noProof/>
        <w:lang w:eastAsia="en-US" w:bidi="he-IL"/>
      </w:rPr>
      <w:drawing>
        <wp:inline distT="0" distB="0" distL="0" distR="0" wp14:anchorId="6280D444" wp14:editId="74CC3CD5">
          <wp:extent cx="914400" cy="914400"/>
          <wp:effectExtent l="0" t="0" r="0" b="0"/>
          <wp:docPr id="3" name="Picture 3" descr="HR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8430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BC68C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1C51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A695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8EAC6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5A16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69874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37C3F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E92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8AB3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4240CF"/>
    <w:multiLevelType w:val="hybridMultilevel"/>
    <w:tmpl w:val="0D2ED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E6409D"/>
    <w:multiLevelType w:val="hybridMultilevel"/>
    <w:tmpl w:val="F716B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D5315"/>
    <w:multiLevelType w:val="multilevel"/>
    <w:tmpl w:val="4708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C645F8"/>
    <w:multiLevelType w:val="hybridMultilevel"/>
    <w:tmpl w:val="EBBC0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07595F"/>
    <w:multiLevelType w:val="hybridMultilevel"/>
    <w:tmpl w:val="BB7AEBC6"/>
    <w:lvl w:ilvl="0" w:tplc="B17206BC">
      <w:start w:val="1"/>
      <w:numFmt w:val="decimal"/>
      <w:lvlText w:val="%1."/>
      <w:lvlJc w:val="left"/>
      <w:pPr>
        <w:ind w:left="720" w:hanging="360"/>
      </w:pPr>
    </w:lvl>
    <w:lvl w:ilvl="1" w:tplc="CCC66A68">
      <w:start w:val="1"/>
      <w:numFmt w:val="lowerLetter"/>
      <w:lvlText w:val="%2."/>
      <w:lvlJc w:val="left"/>
      <w:pPr>
        <w:ind w:left="1440" w:hanging="360"/>
      </w:pPr>
    </w:lvl>
    <w:lvl w:ilvl="2" w:tplc="8BDE69DC">
      <w:start w:val="1"/>
      <w:numFmt w:val="lowerRoman"/>
      <w:lvlText w:val="%3."/>
      <w:lvlJc w:val="right"/>
      <w:pPr>
        <w:ind w:left="2160" w:hanging="180"/>
      </w:pPr>
    </w:lvl>
    <w:lvl w:ilvl="3" w:tplc="99862C0A">
      <w:start w:val="1"/>
      <w:numFmt w:val="decimal"/>
      <w:lvlText w:val="%4."/>
      <w:lvlJc w:val="left"/>
      <w:pPr>
        <w:ind w:left="2880" w:hanging="360"/>
      </w:pPr>
    </w:lvl>
    <w:lvl w:ilvl="4" w:tplc="093CC218">
      <w:start w:val="1"/>
      <w:numFmt w:val="lowerLetter"/>
      <w:lvlText w:val="%5."/>
      <w:lvlJc w:val="left"/>
      <w:pPr>
        <w:ind w:left="3600" w:hanging="360"/>
      </w:pPr>
    </w:lvl>
    <w:lvl w:ilvl="5" w:tplc="A46422B4">
      <w:start w:val="1"/>
      <w:numFmt w:val="lowerRoman"/>
      <w:lvlText w:val="%6."/>
      <w:lvlJc w:val="right"/>
      <w:pPr>
        <w:ind w:left="4320" w:hanging="180"/>
      </w:pPr>
    </w:lvl>
    <w:lvl w:ilvl="6" w:tplc="9E48993A">
      <w:start w:val="1"/>
      <w:numFmt w:val="decimal"/>
      <w:lvlText w:val="%7."/>
      <w:lvlJc w:val="left"/>
      <w:pPr>
        <w:ind w:left="5040" w:hanging="360"/>
      </w:pPr>
    </w:lvl>
    <w:lvl w:ilvl="7" w:tplc="ECC285F8">
      <w:start w:val="1"/>
      <w:numFmt w:val="lowerLetter"/>
      <w:lvlText w:val="%8."/>
      <w:lvlJc w:val="left"/>
      <w:pPr>
        <w:ind w:left="5760" w:hanging="360"/>
      </w:pPr>
    </w:lvl>
    <w:lvl w:ilvl="8" w:tplc="FE9091EC">
      <w:start w:val="1"/>
      <w:numFmt w:val="lowerRoman"/>
      <w:lvlText w:val="%9."/>
      <w:lvlJc w:val="right"/>
      <w:pPr>
        <w:ind w:left="6480" w:hanging="180"/>
      </w:pPr>
    </w:lvl>
  </w:abstractNum>
  <w:abstractNum w:abstractNumId="15" w15:restartNumberingAfterBreak="0">
    <w:nsid w:val="7DCC4F21"/>
    <w:multiLevelType w:val="hybridMultilevel"/>
    <w:tmpl w:val="D9509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8"/>
  </w:num>
  <w:num w:numId="6">
    <w:abstractNumId w:val="3"/>
  </w:num>
  <w:num w:numId="7">
    <w:abstractNumId w:val="2"/>
  </w:num>
  <w:num w:numId="8">
    <w:abstractNumId w:val="1"/>
  </w:num>
  <w:num w:numId="9">
    <w:abstractNumId w:val="0"/>
  </w:num>
  <w:num w:numId="10">
    <w:abstractNumId w:val="5"/>
  </w:num>
  <w:num w:numId="11">
    <w:abstractNumId w:val="4"/>
  </w:num>
  <w:num w:numId="12">
    <w:abstractNumId w:val="11"/>
  </w:num>
  <w:num w:numId="13">
    <w:abstractNumId w:val="15"/>
  </w:num>
  <w:num w:numId="14">
    <w:abstractNumId w:val="1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00E"/>
    <w:rsid w:val="00001DBD"/>
    <w:rsid w:val="00011EA5"/>
    <w:rsid w:val="00013291"/>
    <w:rsid w:val="00013AAD"/>
    <w:rsid w:val="0001526B"/>
    <w:rsid w:val="000223A9"/>
    <w:rsid w:val="0002716D"/>
    <w:rsid w:val="00033DF9"/>
    <w:rsid w:val="00035E96"/>
    <w:rsid w:val="000437A1"/>
    <w:rsid w:val="000438BF"/>
    <w:rsid w:val="000439D5"/>
    <w:rsid w:val="0004570F"/>
    <w:rsid w:val="00047D36"/>
    <w:rsid w:val="0005084F"/>
    <w:rsid w:val="00053A64"/>
    <w:rsid w:val="0006401A"/>
    <w:rsid w:val="000656FA"/>
    <w:rsid w:val="00067200"/>
    <w:rsid w:val="00073841"/>
    <w:rsid w:val="000738A5"/>
    <w:rsid w:val="00074A01"/>
    <w:rsid w:val="00077289"/>
    <w:rsid w:val="00090583"/>
    <w:rsid w:val="00091357"/>
    <w:rsid w:val="000941C2"/>
    <w:rsid w:val="00095244"/>
    <w:rsid w:val="000A24DF"/>
    <w:rsid w:val="000A3EE9"/>
    <w:rsid w:val="000A49E4"/>
    <w:rsid w:val="000A4A9B"/>
    <w:rsid w:val="000D0C0D"/>
    <w:rsid w:val="000D63AD"/>
    <w:rsid w:val="000D7B88"/>
    <w:rsid w:val="000E312E"/>
    <w:rsid w:val="000E43A1"/>
    <w:rsid w:val="000E44F7"/>
    <w:rsid w:val="000E64FD"/>
    <w:rsid w:val="000F754D"/>
    <w:rsid w:val="000F7A0B"/>
    <w:rsid w:val="00110797"/>
    <w:rsid w:val="0011738E"/>
    <w:rsid w:val="00121877"/>
    <w:rsid w:val="001244B6"/>
    <w:rsid w:val="00127354"/>
    <w:rsid w:val="001357D2"/>
    <w:rsid w:val="00142339"/>
    <w:rsid w:val="00143E8B"/>
    <w:rsid w:val="0014563D"/>
    <w:rsid w:val="00145914"/>
    <w:rsid w:val="00152F19"/>
    <w:rsid w:val="001547F4"/>
    <w:rsid w:val="00162862"/>
    <w:rsid w:val="0016587A"/>
    <w:rsid w:val="00170D4B"/>
    <w:rsid w:val="00174BFC"/>
    <w:rsid w:val="00174F82"/>
    <w:rsid w:val="00183DA5"/>
    <w:rsid w:val="00187AF0"/>
    <w:rsid w:val="0019299E"/>
    <w:rsid w:val="00193C58"/>
    <w:rsid w:val="001A3A0A"/>
    <w:rsid w:val="001A3ADD"/>
    <w:rsid w:val="001A620D"/>
    <w:rsid w:val="001B10A7"/>
    <w:rsid w:val="001B7164"/>
    <w:rsid w:val="001D61B1"/>
    <w:rsid w:val="001F019A"/>
    <w:rsid w:val="001F5484"/>
    <w:rsid w:val="002013B9"/>
    <w:rsid w:val="0020431A"/>
    <w:rsid w:val="002100E2"/>
    <w:rsid w:val="00216A43"/>
    <w:rsid w:val="00223F2E"/>
    <w:rsid w:val="0022700E"/>
    <w:rsid w:val="0023274A"/>
    <w:rsid w:val="00233C9A"/>
    <w:rsid w:val="0023686C"/>
    <w:rsid w:val="00236C8F"/>
    <w:rsid w:val="00246AD0"/>
    <w:rsid w:val="00247DCF"/>
    <w:rsid w:val="00247F05"/>
    <w:rsid w:val="00252892"/>
    <w:rsid w:val="00255FE1"/>
    <w:rsid w:val="00260B07"/>
    <w:rsid w:val="0026274A"/>
    <w:rsid w:val="00262E5A"/>
    <w:rsid w:val="00264240"/>
    <w:rsid w:val="00264867"/>
    <w:rsid w:val="002723B8"/>
    <w:rsid w:val="00273479"/>
    <w:rsid w:val="00283E7E"/>
    <w:rsid w:val="002856DF"/>
    <w:rsid w:val="00291E93"/>
    <w:rsid w:val="002944E9"/>
    <w:rsid w:val="00297B4A"/>
    <w:rsid w:val="002A5583"/>
    <w:rsid w:val="002A661B"/>
    <w:rsid w:val="002A7210"/>
    <w:rsid w:val="002B67C8"/>
    <w:rsid w:val="002C21E1"/>
    <w:rsid w:val="002D30A8"/>
    <w:rsid w:val="002E6B38"/>
    <w:rsid w:val="002F06E6"/>
    <w:rsid w:val="002F4C34"/>
    <w:rsid w:val="002F53B1"/>
    <w:rsid w:val="00301F8C"/>
    <w:rsid w:val="00303627"/>
    <w:rsid w:val="00304905"/>
    <w:rsid w:val="003051FB"/>
    <w:rsid w:val="00307146"/>
    <w:rsid w:val="00311814"/>
    <w:rsid w:val="003118AC"/>
    <w:rsid w:val="00316474"/>
    <w:rsid w:val="003273E2"/>
    <w:rsid w:val="0033212B"/>
    <w:rsid w:val="00332C28"/>
    <w:rsid w:val="00334D1E"/>
    <w:rsid w:val="00343E12"/>
    <w:rsid w:val="00346E91"/>
    <w:rsid w:val="00347181"/>
    <w:rsid w:val="003500C9"/>
    <w:rsid w:val="00353D02"/>
    <w:rsid w:val="0036724C"/>
    <w:rsid w:val="00370CAB"/>
    <w:rsid w:val="00377B67"/>
    <w:rsid w:val="00382F6F"/>
    <w:rsid w:val="00384DFD"/>
    <w:rsid w:val="003866E1"/>
    <w:rsid w:val="003909CD"/>
    <w:rsid w:val="00390DAC"/>
    <w:rsid w:val="00391F68"/>
    <w:rsid w:val="003A4E53"/>
    <w:rsid w:val="003A5CE4"/>
    <w:rsid w:val="003A7BB7"/>
    <w:rsid w:val="003B2332"/>
    <w:rsid w:val="003B2BE5"/>
    <w:rsid w:val="003B30FC"/>
    <w:rsid w:val="003B588C"/>
    <w:rsid w:val="003B728D"/>
    <w:rsid w:val="003C10D1"/>
    <w:rsid w:val="003C13B8"/>
    <w:rsid w:val="003C2A11"/>
    <w:rsid w:val="003D4F0A"/>
    <w:rsid w:val="003D5D74"/>
    <w:rsid w:val="003D65CC"/>
    <w:rsid w:val="003E32B0"/>
    <w:rsid w:val="00404AA6"/>
    <w:rsid w:val="00411690"/>
    <w:rsid w:val="00411997"/>
    <w:rsid w:val="00420FD5"/>
    <w:rsid w:val="00422E03"/>
    <w:rsid w:val="004345F5"/>
    <w:rsid w:val="004379FF"/>
    <w:rsid w:val="0045483E"/>
    <w:rsid w:val="004564F7"/>
    <w:rsid w:val="00460035"/>
    <w:rsid w:val="00462050"/>
    <w:rsid w:val="00462BFC"/>
    <w:rsid w:val="004674AA"/>
    <w:rsid w:val="00467FAE"/>
    <w:rsid w:val="00473418"/>
    <w:rsid w:val="00475B27"/>
    <w:rsid w:val="004805A4"/>
    <w:rsid w:val="00482A53"/>
    <w:rsid w:val="0049211B"/>
    <w:rsid w:val="0049493C"/>
    <w:rsid w:val="00496C1A"/>
    <w:rsid w:val="00497858"/>
    <w:rsid w:val="00497E4C"/>
    <w:rsid w:val="004A1DF0"/>
    <w:rsid w:val="004A2566"/>
    <w:rsid w:val="004A5DE6"/>
    <w:rsid w:val="004B1999"/>
    <w:rsid w:val="004B6448"/>
    <w:rsid w:val="004B7D0F"/>
    <w:rsid w:val="004C38F8"/>
    <w:rsid w:val="004C478B"/>
    <w:rsid w:val="004D3DB4"/>
    <w:rsid w:val="004D47BE"/>
    <w:rsid w:val="004D5EFA"/>
    <w:rsid w:val="004D699A"/>
    <w:rsid w:val="004D7393"/>
    <w:rsid w:val="004E26A5"/>
    <w:rsid w:val="004E5872"/>
    <w:rsid w:val="004E7638"/>
    <w:rsid w:val="004E7E95"/>
    <w:rsid w:val="004F03DB"/>
    <w:rsid w:val="00503BA2"/>
    <w:rsid w:val="00504BAF"/>
    <w:rsid w:val="005052AF"/>
    <w:rsid w:val="00506EAA"/>
    <w:rsid w:val="00513FC9"/>
    <w:rsid w:val="0051761E"/>
    <w:rsid w:val="00520BE1"/>
    <w:rsid w:val="005216DA"/>
    <w:rsid w:val="00527BBF"/>
    <w:rsid w:val="00531667"/>
    <w:rsid w:val="00534A78"/>
    <w:rsid w:val="00536905"/>
    <w:rsid w:val="00537832"/>
    <w:rsid w:val="00540D54"/>
    <w:rsid w:val="00541465"/>
    <w:rsid w:val="00541713"/>
    <w:rsid w:val="0054458D"/>
    <w:rsid w:val="0054545E"/>
    <w:rsid w:val="00550A2A"/>
    <w:rsid w:val="005629A4"/>
    <w:rsid w:val="005705C3"/>
    <w:rsid w:val="00573445"/>
    <w:rsid w:val="00583362"/>
    <w:rsid w:val="00587208"/>
    <w:rsid w:val="00590529"/>
    <w:rsid w:val="00592419"/>
    <w:rsid w:val="005A21E0"/>
    <w:rsid w:val="005A24DE"/>
    <w:rsid w:val="005A34CA"/>
    <w:rsid w:val="005B022E"/>
    <w:rsid w:val="005C0392"/>
    <w:rsid w:val="005D02A7"/>
    <w:rsid w:val="005D0688"/>
    <w:rsid w:val="005D1894"/>
    <w:rsid w:val="005D2365"/>
    <w:rsid w:val="005D51C9"/>
    <w:rsid w:val="005D72E5"/>
    <w:rsid w:val="005E027B"/>
    <w:rsid w:val="005E04DC"/>
    <w:rsid w:val="005E16D4"/>
    <w:rsid w:val="005E3BBC"/>
    <w:rsid w:val="005F0103"/>
    <w:rsid w:val="005F3DD5"/>
    <w:rsid w:val="005F7AA1"/>
    <w:rsid w:val="006056C5"/>
    <w:rsid w:val="006058A4"/>
    <w:rsid w:val="006072F2"/>
    <w:rsid w:val="0060760B"/>
    <w:rsid w:val="006148A0"/>
    <w:rsid w:val="00615460"/>
    <w:rsid w:val="00616C81"/>
    <w:rsid w:val="006242A8"/>
    <w:rsid w:val="00625BC5"/>
    <w:rsid w:val="00625C4E"/>
    <w:rsid w:val="0063095E"/>
    <w:rsid w:val="00631EED"/>
    <w:rsid w:val="00634A01"/>
    <w:rsid w:val="006363CF"/>
    <w:rsid w:val="006426AD"/>
    <w:rsid w:val="00646728"/>
    <w:rsid w:val="00647C87"/>
    <w:rsid w:val="0065719A"/>
    <w:rsid w:val="00661458"/>
    <w:rsid w:val="00666976"/>
    <w:rsid w:val="00671E5A"/>
    <w:rsid w:val="00674838"/>
    <w:rsid w:val="0067503B"/>
    <w:rsid w:val="00683EFC"/>
    <w:rsid w:val="00697980"/>
    <w:rsid w:val="006A3143"/>
    <w:rsid w:val="006B4877"/>
    <w:rsid w:val="006D4F4A"/>
    <w:rsid w:val="006D5175"/>
    <w:rsid w:val="006D6D16"/>
    <w:rsid w:val="006E15F3"/>
    <w:rsid w:val="006F2620"/>
    <w:rsid w:val="006F3010"/>
    <w:rsid w:val="00701827"/>
    <w:rsid w:val="0070208F"/>
    <w:rsid w:val="00711130"/>
    <w:rsid w:val="00711FFC"/>
    <w:rsid w:val="007204FA"/>
    <w:rsid w:val="00721445"/>
    <w:rsid w:val="00725A7F"/>
    <w:rsid w:val="00736023"/>
    <w:rsid w:val="00737310"/>
    <w:rsid w:val="00741E62"/>
    <w:rsid w:val="007431AF"/>
    <w:rsid w:val="00746864"/>
    <w:rsid w:val="007475FF"/>
    <w:rsid w:val="00751E74"/>
    <w:rsid w:val="00752329"/>
    <w:rsid w:val="00753AEA"/>
    <w:rsid w:val="00772ACF"/>
    <w:rsid w:val="00772B39"/>
    <w:rsid w:val="00777AA4"/>
    <w:rsid w:val="007830FB"/>
    <w:rsid w:val="007852FD"/>
    <w:rsid w:val="00797A7F"/>
    <w:rsid w:val="007A0FC8"/>
    <w:rsid w:val="007B12EA"/>
    <w:rsid w:val="007B5904"/>
    <w:rsid w:val="007C6F37"/>
    <w:rsid w:val="007D188F"/>
    <w:rsid w:val="007D7236"/>
    <w:rsid w:val="007E0A29"/>
    <w:rsid w:val="007E0AF6"/>
    <w:rsid w:val="007F3B5B"/>
    <w:rsid w:val="007F5FAC"/>
    <w:rsid w:val="008117E7"/>
    <w:rsid w:val="00811A0B"/>
    <w:rsid w:val="00814F37"/>
    <w:rsid w:val="008234A1"/>
    <w:rsid w:val="00827E8D"/>
    <w:rsid w:val="00830ECF"/>
    <w:rsid w:val="00835293"/>
    <w:rsid w:val="008372A5"/>
    <w:rsid w:val="00840F08"/>
    <w:rsid w:val="00851AC0"/>
    <w:rsid w:val="0085728B"/>
    <w:rsid w:val="00857A44"/>
    <w:rsid w:val="00873825"/>
    <w:rsid w:val="008852CA"/>
    <w:rsid w:val="00891675"/>
    <w:rsid w:val="00891FD5"/>
    <w:rsid w:val="0089202D"/>
    <w:rsid w:val="0089513B"/>
    <w:rsid w:val="00895E3F"/>
    <w:rsid w:val="008A0882"/>
    <w:rsid w:val="008A0997"/>
    <w:rsid w:val="008A664D"/>
    <w:rsid w:val="008A6A14"/>
    <w:rsid w:val="008A71DB"/>
    <w:rsid w:val="008B001D"/>
    <w:rsid w:val="008B302B"/>
    <w:rsid w:val="008C1AD3"/>
    <w:rsid w:val="008C2337"/>
    <w:rsid w:val="008C5112"/>
    <w:rsid w:val="008D2F46"/>
    <w:rsid w:val="008D6AF4"/>
    <w:rsid w:val="008D740A"/>
    <w:rsid w:val="008E0168"/>
    <w:rsid w:val="008E53CD"/>
    <w:rsid w:val="008E602E"/>
    <w:rsid w:val="0090530F"/>
    <w:rsid w:val="00906368"/>
    <w:rsid w:val="009069AE"/>
    <w:rsid w:val="00915815"/>
    <w:rsid w:val="00921698"/>
    <w:rsid w:val="0093104E"/>
    <w:rsid w:val="009311FA"/>
    <w:rsid w:val="009324FF"/>
    <w:rsid w:val="00933E6A"/>
    <w:rsid w:val="00935B9A"/>
    <w:rsid w:val="00942A14"/>
    <w:rsid w:val="0094324D"/>
    <w:rsid w:val="0094677B"/>
    <w:rsid w:val="00946801"/>
    <w:rsid w:val="00952C53"/>
    <w:rsid w:val="0095347C"/>
    <w:rsid w:val="00955020"/>
    <w:rsid w:val="009649F6"/>
    <w:rsid w:val="009650CC"/>
    <w:rsid w:val="00983CCC"/>
    <w:rsid w:val="009877C9"/>
    <w:rsid w:val="00993559"/>
    <w:rsid w:val="009A58CE"/>
    <w:rsid w:val="009C1A36"/>
    <w:rsid w:val="009C33CD"/>
    <w:rsid w:val="009D1844"/>
    <w:rsid w:val="009D2512"/>
    <w:rsid w:val="009E03FB"/>
    <w:rsid w:val="009E40AC"/>
    <w:rsid w:val="009E748B"/>
    <w:rsid w:val="00A05B7B"/>
    <w:rsid w:val="00A062E1"/>
    <w:rsid w:val="00A07381"/>
    <w:rsid w:val="00A14595"/>
    <w:rsid w:val="00A165A5"/>
    <w:rsid w:val="00A16D00"/>
    <w:rsid w:val="00A20272"/>
    <w:rsid w:val="00A207D0"/>
    <w:rsid w:val="00A224DB"/>
    <w:rsid w:val="00A257DE"/>
    <w:rsid w:val="00A3572A"/>
    <w:rsid w:val="00A35DF8"/>
    <w:rsid w:val="00A36911"/>
    <w:rsid w:val="00A37437"/>
    <w:rsid w:val="00A43EC1"/>
    <w:rsid w:val="00A44B0B"/>
    <w:rsid w:val="00A46EEC"/>
    <w:rsid w:val="00A513D2"/>
    <w:rsid w:val="00A563FA"/>
    <w:rsid w:val="00A67814"/>
    <w:rsid w:val="00A67DB5"/>
    <w:rsid w:val="00A67F40"/>
    <w:rsid w:val="00A739AF"/>
    <w:rsid w:val="00A73C84"/>
    <w:rsid w:val="00A76F0A"/>
    <w:rsid w:val="00A81C5D"/>
    <w:rsid w:val="00A83D31"/>
    <w:rsid w:val="00A8413C"/>
    <w:rsid w:val="00A85693"/>
    <w:rsid w:val="00A93859"/>
    <w:rsid w:val="00AA2E10"/>
    <w:rsid w:val="00AB0C2E"/>
    <w:rsid w:val="00AB2D63"/>
    <w:rsid w:val="00AB3C88"/>
    <w:rsid w:val="00AB55B8"/>
    <w:rsid w:val="00AB68B1"/>
    <w:rsid w:val="00AC01C7"/>
    <w:rsid w:val="00AC0E68"/>
    <w:rsid w:val="00AC11AB"/>
    <w:rsid w:val="00AC3A73"/>
    <w:rsid w:val="00AD416F"/>
    <w:rsid w:val="00AD5ED2"/>
    <w:rsid w:val="00AE1126"/>
    <w:rsid w:val="00AE165F"/>
    <w:rsid w:val="00AE433E"/>
    <w:rsid w:val="00AF64BB"/>
    <w:rsid w:val="00B00DE4"/>
    <w:rsid w:val="00B038A7"/>
    <w:rsid w:val="00B04313"/>
    <w:rsid w:val="00B11B10"/>
    <w:rsid w:val="00B24E0D"/>
    <w:rsid w:val="00B25D84"/>
    <w:rsid w:val="00B35037"/>
    <w:rsid w:val="00B40E74"/>
    <w:rsid w:val="00B41F24"/>
    <w:rsid w:val="00B4217A"/>
    <w:rsid w:val="00B43EC9"/>
    <w:rsid w:val="00B441AD"/>
    <w:rsid w:val="00B517F3"/>
    <w:rsid w:val="00B52C3F"/>
    <w:rsid w:val="00B6043A"/>
    <w:rsid w:val="00B65EDB"/>
    <w:rsid w:val="00B67719"/>
    <w:rsid w:val="00B722CC"/>
    <w:rsid w:val="00B72AC1"/>
    <w:rsid w:val="00B76B2D"/>
    <w:rsid w:val="00B83059"/>
    <w:rsid w:val="00B94E15"/>
    <w:rsid w:val="00B97A68"/>
    <w:rsid w:val="00BA08A1"/>
    <w:rsid w:val="00BA7747"/>
    <w:rsid w:val="00BA7E57"/>
    <w:rsid w:val="00BB3564"/>
    <w:rsid w:val="00BB4B66"/>
    <w:rsid w:val="00BC1ADE"/>
    <w:rsid w:val="00BC2886"/>
    <w:rsid w:val="00BC3F9A"/>
    <w:rsid w:val="00BC4227"/>
    <w:rsid w:val="00BD1D3A"/>
    <w:rsid w:val="00BD2E70"/>
    <w:rsid w:val="00BD6D24"/>
    <w:rsid w:val="00BD70CD"/>
    <w:rsid w:val="00BE19DB"/>
    <w:rsid w:val="00BE4388"/>
    <w:rsid w:val="00BE5693"/>
    <w:rsid w:val="00BE67A2"/>
    <w:rsid w:val="00C11C08"/>
    <w:rsid w:val="00C32BF1"/>
    <w:rsid w:val="00C3436F"/>
    <w:rsid w:val="00C4075E"/>
    <w:rsid w:val="00C43320"/>
    <w:rsid w:val="00C72DE3"/>
    <w:rsid w:val="00C73F25"/>
    <w:rsid w:val="00C84B24"/>
    <w:rsid w:val="00C90592"/>
    <w:rsid w:val="00C91976"/>
    <w:rsid w:val="00C94CC0"/>
    <w:rsid w:val="00C95290"/>
    <w:rsid w:val="00CA276F"/>
    <w:rsid w:val="00CA6384"/>
    <w:rsid w:val="00CB7B2A"/>
    <w:rsid w:val="00CC4BC7"/>
    <w:rsid w:val="00CC4FAA"/>
    <w:rsid w:val="00CC50BD"/>
    <w:rsid w:val="00CF3100"/>
    <w:rsid w:val="00CF49F1"/>
    <w:rsid w:val="00CF68D4"/>
    <w:rsid w:val="00D055C2"/>
    <w:rsid w:val="00D06286"/>
    <w:rsid w:val="00D106DE"/>
    <w:rsid w:val="00D1744D"/>
    <w:rsid w:val="00D2768A"/>
    <w:rsid w:val="00D322C0"/>
    <w:rsid w:val="00D335D0"/>
    <w:rsid w:val="00D43256"/>
    <w:rsid w:val="00D460FE"/>
    <w:rsid w:val="00D47655"/>
    <w:rsid w:val="00D53683"/>
    <w:rsid w:val="00D6259D"/>
    <w:rsid w:val="00D62BF7"/>
    <w:rsid w:val="00D63FDE"/>
    <w:rsid w:val="00D67004"/>
    <w:rsid w:val="00D67494"/>
    <w:rsid w:val="00D70F73"/>
    <w:rsid w:val="00D717B5"/>
    <w:rsid w:val="00D77567"/>
    <w:rsid w:val="00D81C0D"/>
    <w:rsid w:val="00D8426C"/>
    <w:rsid w:val="00D85676"/>
    <w:rsid w:val="00D85F60"/>
    <w:rsid w:val="00D870D4"/>
    <w:rsid w:val="00DA1790"/>
    <w:rsid w:val="00DA23A0"/>
    <w:rsid w:val="00DA24E7"/>
    <w:rsid w:val="00DB4997"/>
    <w:rsid w:val="00DB5250"/>
    <w:rsid w:val="00DC4911"/>
    <w:rsid w:val="00DC6454"/>
    <w:rsid w:val="00DC645D"/>
    <w:rsid w:val="00DE2A8E"/>
    <w:rsid w:val="00DE309B"/>
    <w:rsid w:val="00DE43F6"/>
    <w:rsid w:val="00DE4624"/>
    <w:rsid w:val="00DE6D44"/>
    <w:rsid w:val="00DF2A7A"/>
    <w:rsid w:val="00DF600B"/>
    <w:rsid w:val="00E0713E"/>
    <w:rsid w:val="00E075C1"/>
    <w:rsid w:val="00E077DA"/>
    <w:rsid w:val="00E20AE8"/>
    <w:rsid w:val="00E30FB1"/>
    <w:rsid w:val="00E31138"/>
    <w:rsid w:val="00E35071"/>
    <w:rsid w:val="00E4198A"/>
    <w:rsid w:val="00E46E1C"/>
    <w:rsid w:val="00E50090"/>
    <w:rsid w:val="00E51B33"/>
    <w:rsid w:val="00E6264A"/>
    <w:rsid w:val="00E63DE6"/>
    <w:rsid w:val="00E7085B"/>
    <w:rsid w:val="00E71054"/>
    <w:rsid w:val="00E71D7D"/>
    <w:rsid w:val="00E77C77"/>
    <w:rsid w:val="00E844EF"/>
    <w:rsid w:val="00E85298"/>
    <w:rsid w:val="00E86A45"/>
    <w:rsid w:val="00E92D8D"/>
    <w:rsid w:val="00E930D5"/>
    <w:rsid w:val="00E93791"/>
    <w:rsid w:val="00E93FD6"/>
    <w:rsid w:val="00EA1D05"/>
    <w:rsid w:val="00EA75E5"/>
    <w:rsid w:val="00EB45C5"/>
    <w:rsid w:val="00EB6D36"/>
    <w:rsid w:val="00EC5A2C"/>
    <w:rsid w:val="00EE00A6"/>
    <w:rsid w:val="00EE1418"/>
    <w:rsid w:val="00EE3809"/>
    <w:rsid w:val="00EE52D8"/>
    <w:rsid w:val="00EF0259"/>
    <w:rsid w:val="00EF07CB"/>
    <w:rsid w:val="00EF2BC1"/>
    <w:rsid w:val="00EF4E3B"/>
    <w:rsid w:val="00EF63F8"/>
    <w:rsid w:val="00F00FFA"/>
    <w:rsid w:val="00F01780"/>
    <w:rsid w:val="00F06611"/>
    <w:rsid w:val="00F07CAF"/>
    <w:rsid w:val="00F07ED3"/>
    <w:rsid w:val="00F16744"/>
    <w:rsid w:val="00F2073F"/>
    <w:rsid w:val="00F21B7C"/>
    <w:rsid w:val="00F23162"/>
    <w:rsid w:val="00F247B3"/>
    <w:rsid w:val="00F3056C"/>
    <w:rsid w:val="00F34F07"/>
    <w:rsid w:val="00F35862"/>
    <w:rsid w:val="00F37C09"/>
    <w:rsid w:val="00F429F1"/>
    <w:rsid w:val="00F436C7"/>
    <w:rsid w:val="00F471D6"/>
    <w:rsid w:val="00F4762F"/>
    <w:rsid w:val="00F50774"/>
    <w:rsid w:val="00F52394"/>
    <w:rsid w:val="00F61C39"/>
    <w:rsid w:val="00F779D9"/>
    <w:rsid w:val="00F77D4E"/>
    <w:rsid w:val="00F81969"/>
    <w:rsid w:val="00F86973"/>
    <w:rsid w:val="00F90AAD"/>
    <w:rsid w:val="00F939C2"/>
    <w:rsid w:val="00F95C10"/>
    <w:rsid w:val="00FA0EE7"/>
    <w:rsid w:val="00FA3736"/>
    <w:rsid w:val="00FA6944"/>
    <w:rsid w:val="00FB1CB1"/>
    <w:rsid w:val="00FB2856"/>
    <w:rsid w:val="00FC0BEB"/>
    <w:rsid w:val="00FC4D28"/>
    <w:rsid w:val="00FC4EC7"/>
    <w:rsid w:val="00FC6662"/>
    <w:rsid w:val="00FD3EF6"/>
    <w:rsid w:val="00FE0411"/>
    <w:rsid w:val="00FE5E7A"/>
    <w:rsid w:val="00FF27C6"/>
    <w:rsid w:val="00FF3BBF"/>
    <w:rsid w:val="00FF7A17"/>
    <w:rsid w:val="033AD1E7"/>
    <w:rsid w:val="069BC161"/>
    <w:rsid w:val="0E7FCA11"/>
    <w:rsid w:val="10027215"/>
    <w:rsid w:val="12E413E2"/>
    <w:rsid w:val="15CF67A7"/>
    <w:rsid w:val="1F3FCC49"/>
    <w:rsid w:val="242AD137"/>
    <w:rsid w:val="2DD1B37D"/>
    <w:rsid w:val="2E6FA951"/>
    <w:rsid w:val="300B79B2"/>
    <w:rsid w:val="303F753B"/>
    <w:rsid w:val="311818B8"/>
    <w:rsid w:val="32B83077"/>
    <w:rsid w:val="3534B7F4"/>
    <w:rsid w:val="3A165618"/>
    <w:rsid w:val="3AB8240B"/>
    <w:rsid w:val="3D42BCC0"/>
    <w:rsid w:val="3F8B952E"/>
    <w:rsid w:val="45FAD6B2"/>
    <w:rsid w:val="46976AC5"/>
    <w:rsid w:val="48392F73"/>
    <w:rsid w:val="4DBC0412"/>
    <w:rsid w:val="5534970D"/>
    <w:rsid w:val="59B702DF"/>
    <w:rsid w:val="5A6B5E89"/>
    <w:rsid w:val="5BD16D8B"/>
    <w:rsid w:val="5D5AD696"/>
    <w:rsid w:val="69EA1844"/>
    <w:rsid w:val="6ABE2715"/>
    <w:rsid w:val="73BCFBED"/>
    <w:rsid w:val="758CC7D7"/>
    <w:rsid w:val="7EE18F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4A3A1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A21E0"/>
    <w:pPr>
      <w:spacing w:line="264" w:lineRule="auto"/>
    </w:pPr>
    <w:rPr>
      <w:rFonts w:ascii="MetaPro-Norm" w:hAnsi="MetaPro-Norm"/>
      <w:sz w:val="22"/>
      <w:szCs w:val="24"/>
      <w:lang w:eastAsia="zh-CN" w:bidi="ar-SA"/>
    </w:rPr>
  </w:style>
  <w:style w:type="paragraph" w:styleId="Heading1">
    <w:name w:val="heading 1"/>
    <w:basedOn w:val="Normal"/>
    <w:next w:val="Normal"/>
    <w:qFormat/>
    <w:rsid w:val="003D4F0A"/>
    <w:pPr>
      <w:spacing w:after="60" w:line="240" w:lineRule="auto"/>
      <w:jc w:val="center"/>
      <w:outlineLvl w:val="0"/>
    </w:pPr>
    <w:rPr>
      <w:rFonts w:ascii="MetaPro-Bold" w:eastAsia="Arial Unicode MS" w:hAnsi="MetaPro-Bold" w:cs="SeriaArabic-Bold"/>
      <w:bCs/>
      <w:sz w:val="34"/>
      <w:szCs w:val="36"/>
    </w:rPr>
  </w:style>
  <w:style w:type="paragraph" w:styleId="Heading2">
    <w:name w:val="heading 2"/>
    <w:basedOn w:val="Normal"/>
    <w:next w:val="Normal"/>
    <w:qFormat/>
    <w:rsid w:val="004B1999"/>
    <w:pPr>
      <w:spacing w:before="60" w:after="60" w:line="240" w:lineRule="auto"/>
      <w:outlineLvl w:val="1"/>
    </w:pPr>
    <w:rPr>
      <w:rFonts w:ascii="MetaPro-CondMedi" w:hAnsi="MetaPro-CondMedi" w:cs="SeriaArabic-Bold"/>
      <w:bCs/>
      <w:sz w:val="30"/>
      <w:szCs w:val="32"/>
    </w:rPr>
  </w:style>
  <w:style w:type="paragraph" w:styleId="Heading3">
    <w:name w:val="heading 3"/>
    <w:basedOn w:val="Normal"/>
    <w:next w:val="Normal"/>
    <w:qFormat/>
    <w:rsid w:val="004B1999"/>
    <w:pPr>
      <w:spacing w:before="60" w:after="60" w:line="240" w:lineRule="auto"/>
      <w:outlineLvl w:val="2"/>
    </w:pPr>
    <w:rPr>
      <w:rFonts w:ascii="MetaPro-CondBookIta" w:hAnsi="MetaPro-CondBookIta" w:cs="SeriaArabic-Bold"/>
      <w:bCs/>
      <w:iCs/>
      <w:sz w:val="26"/>
      <w:szCs w:val="28"/>
    </w:rPr>
  </w:style>
  <w:style w:type="paragraph" w:styleId="Heading4">
    <w:name w:val="heading 4"/>
    <w:basedOn w:val="Normal"/>
    <w:next w:val="Normal"/>
    <w:qFormat/>
    <w:rsid w:val="004B1999"/>
    <w:pPr>
      <w:spacing w:before="60" w:after="60" w:line="240" w:lineRule="auto"/>
      <w:outlineLvl w:val="3"/>
    </w:pPr>
    <w:rPr>
      <w:rFonts w:ascii="MetaPro-Medi" w:hAnsi="MetaPro-Me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506EAA"/>
    <w:pPr>
      <w:spacing w:before="20" w:after="20"/>
      <w:ind w:left="720" w:right="720"/>
    </w:pPr>
  </w:style>
  <w:style w:type="paragraph" w:customStyle="1" w:styleId="Caption1">
    <w:name w:val="Caption1"/>
    <w:basedOn w:val="Normal"/>
    <w:rsid w:val="0020431A"/>
    <w:pPr>
      <w:spacing w:line="240" w:lineRule="auto"/>
    </w:pPr>
    <w:rPr>
      <w:rFonts w:ascii="MetaPro-Medi" w:hAnsi="MetaPro-Medi"/>
      <w:bCs/>
      <w:color w:val="595959"/>
      <w:sz w:val="18"/>
      <w:szCs w:val="20"/>
    </w:rPr>
  </w:style>
  <w:style w:type="paragraph" w:styleId="NormalWeb">
    <w:name w:val="Normal (Web)"/>
    <w:basedOn w:val="Normal"/>
    <w:uiPriority w:val="99"/>
    <w:unhideWhenUsed/>
    <w:rsid w:val="002E6B38"/>
    <w:pPr>
      <w:spacing w:before="100" w:beforeAutospacing="1" w:after="100" w:afterAutospacing="1" w:line="240" w:lineRule="auto"/>
    </w:pPr>
    <w:rPr>
      <w:rFonts w:ascii="Times New Roman" w:eastAsia="Times New Roman" w:hAnsi="Times New Roman"/>
      <w:sz w:val="24"/>
      <w:lang w:eastAsia="en-US"/>
    </w:rPr>
  </w:style>
  <w:style w:type="character" w:styleId="Hyperlink">
    <w:name w:val="Hyperlink"/>
    <w:uiPriority w:val="99"/>
    <w:qFormat/>
    <w:rsid w:val="00EA1D05"/>
    <w:rPr>
      <w:color w:val="0000FF"/>
      <w:u w:val="single"/>
    </w:rPr>
  </w:style>
  <w:style w:type="paragraph" w:styleId="BalloonText">
    <w:name w:val="Balloon Text"/>
    <w:basedOn w:val="Normal"/>
    <w:link w:val="BalloonTextChar"/>
    <w:rsid w:val="00D322C0"/>
    <w:pPr>
      <w:spacing w:line="240" w:lineRule="auto"/>
    </w:pPr>
    <w:rPr>
      <w:rFonts w:ascii="Tahoma" w:hAnsi="Tahoma" w:cs="Tahoma"/>
      <w:sz w:val="16"/>
      <w:szCs w:val="16"/>
    </w:rPr>
  </w:style>
  <w:style w:type="paragraph" w:styleId="Title">
    <w:name w:val="Title"/>
    <w:basedOn w:val="Normal"/>
    <w:qFormat/>
    <w:rsid w:val="004B1999"/>
    <w:pPr>
      <w:spacing w:line="240" w:lineRule="auto"/>
      <w:jc w:val="center"/>
    </w:pPr>
    <w:rPr>
      <w:rFonts w:ascii="MetaPro-CondBold" w:hAnsi="MetaPro-CondBold" w:cs="SeriaArabic-Black"/>
      <w:bCs/>
      <w:sz w:val="36"/>
      <w:szCs w:val="48"/>
    </w:rPr>
  </w:style>
  <w:style w:type="paragraph" w:styleId="Subtitle">
    <w:name w:val="Subtitle"/>
    <w:basedOn w:val="Normal"/>
    <w:qFormat/>
    <w:rsid w:val="004B1999"/>
    <w:pPr>
      <w:spacing w:line="240" w:lineRule="auto"/>
      <w:jc w:val="center"/>
    </w:pPr>
    <w:rPr>
      <w:rFonts w:ascii="MetaPro-CondMedi" w:hAnsi="MetaPro-CondMedi" w:cs="SeriaArabic-Bold"/>
      <w:bCs/>
      <w:sz w:val="30"/>
      <w:szCs w:val="36"/>
    </w:rPr>
  </w:style>
  <w:style w:type="paragraph" w:styleId="Header">
    <w:name w:val="header"/>
    <w:basedOn w:val="Normal"/>
    <w:rsid w:val="0020431A"/>
    <w:rPr>
      <w:rFonts w:ascii="MetaPro-Bold" w:hAnsi="MetaPro-Bold" w:cs="SeriaArabic-Bold"/>
      <w:bCs/>
      <w:smallCaps/>
      <w:sz w:val="20"/>
    </w:rPr>
  </w:style>
  <w:style w:type="paragraph" w:styleId="Footer">
    <w:name w:val="footer"/>
    <w:basedOn w:val="Normal"/>
    <w:link w:val="FooterChar"/>
    <w:uiPriority w:val="99"/>
    <w:rsid w:val="0020431A"/>
    <w:rPr>
      <w:rFonts w:ascii="MetaPro-Bold" w:hAnsi="MetaPro-Bold" w:cs="SeriaArabic-Bold"/>
      <w:bCs/>
      <w:smallCaps/>
      <w:sz w:val="20"/>
      <w:szCs w:val="20"/>
    </w:rPr>
  </w:style>
  <w:style w:type="character" w:styleId="PageNumber">
    <w:name w:val="page number"/>
    <w:rsid w:val="00A224DB"/>
    <w:rPr>
      <w:rFonts w:ascii="MetaPro-Bold" w:hAnsi="MetaPro-Bold" w:cs="Arial"/>
      <w:smallCaps/>
      <w:dstrike w:val="0"/>
      <w:color w:val="auto"/>
      <w:sz w:val="20"/>
      <w:szCs w:val="16"/>
      <w:u w:val="none"/>
      <w:effect w:val="none"/>
      <w:vertAlign w:val="baseline"/>
    </w:rPr>
  </w:style>
  <w:style w:type="paragraph" w:styleId="FootnoteText">
    <w:name w:val="footnote text"/>
    <w:basedOn w:val="Normal"/>
    <w:link w:val="FootnoteTextChar"/>
    <w:uiPriority w:val="99"/>
    <w:rsid w:val="003D4F0A"/>
    <w:pPr>
      <w:spacing w:after="40" w:line="220" w:lineRule="exact"/>
    </w:pPr>
    <w:rPr>
      <w:sz w:val="16"/>
      <w:szCs w:val="20"/>
    </w:rPr>
  </w:style>
  <w:style w:type="character" w:styleId="FootnoteReference">
    <w:name w:val="footnote reference"/>
    <w:uiPriority w:val="99"/>
    <w:rsid w:val="00BA7E57"/>
    <w:rPr>
      <w:rFonts w:ascii="MetaPro-Medi" w:eastAsia="Arial Unicode MS" w:hAnsi="MetaPro-Medi" w:cs="Arial"/>
      <w:color w:val="auto"/>
      <w:sz w:val="22"/>
      <w:szCs w:val="20"/>
      <w:u w:val="none"/>
      <w:vertAlign w:val="superscript"/>
    </w:rPr>
  </w:style>
  <w:style w:type="paragraph" w:styleId="TOC1">
    <w:name w:val="toc 1"/>
    <w:basedOn w:val="Normal"/>
    <w:next w:val="Normal"/>
    <w:autoRedefine/>
    <w:uiPriority w:val="39"/>
    <w:rsid w:val="005A21E0"/>
    <w:pPr>
      <w:spacing w:before="220"/>
    </w:pPr>
    <w:rPr>
      <w:rFonts w:ascii="MetaBold-Roman" w:hAnsi="MetaBold-Roman" w:cs="SeriaArabic-Bold"/>
      <w:bCs/>
    </w:rPr>
  </w:style>
  <w:style w:type="paragraph" w:styleId="TOC2">
    <w:name w:val="toc 2"/>
    <w:basedOn w:val="Normal"/>
    <w:next w:val="Normal"/>
    <w:autoRedefine/>
    <w:uiPriority w:val="39"/>
    <w:rsid w:val="005A21E0"/>
    <w:pPr>
      <w:ind w:left="360"/>
    </w:pPr>
    <w:rPr>
      <w:rFonts w:cs="SeriaArabic"/>
      <w:sz w:val="20"/>
      <w:szCs w:val="20"/>
    </w:rPr>
  </w:style>
  <w:style w:type="paragraph" w:styleId="TOC3">
    <w:name w:val="toc 3"/>
    <w:basedOn w:val="Normal"/>
    <w:next w:val="Normal"/>
    <w:autoRedefine/>
    <w:rsid w:val="005A21E0"/>
    <w:pPr>
      <w:ind w:left="720"/>
    </w:pPr>
    <w:rPr>
      <w:rFonts w:cs="SeriaArabic"/>
      <w:sz w:val="20"/>
      <w:szCs w:val="20"/>
    </w:rPr>
  </w:style>
  <w:style w:type="paragraph" w:styleId="TOC4">
    <w:name w:val="toc 4"/>
    <w:basedOn w:val="Normal"/>
    <w:next w:val="Normal"/>
    <w:autoRedefine/>
    <w:semiHidden/>
    <w:rsid w:val="00952C53"/>
    <w:pPr>
      <w:spacing w:line="300" w:lineRule="auto"/>
      <w:ind w:left="1080"/>
    </w:pPr>
  </w:style>
  <w:style w:type="character" w:customStyle="1" w:styleId="BalloonTextChar">
    <w:name w:val="Balloon Text Char"/>
    <w:link w:val="BalloonText"/>
    <w:rsid w:val="00D322C0"/>
    <w:rPr>
      <w:rFonts w:ascii="Tahoma" w:hAnsi="Tahoma" w:cs="Tahoma"/>
      <w:sz w:val="16"/>
      <w:szCs w:val="16"/>
      <w:lang w:eastAsia="zh-CN"/>
    </w:rPr>
  </w:style>
  <w:style w:type="table" w:styleId="TableGrid">
    <w:name w:val="Table Grid"/>
    <w:basedOn w:val="TableNormal"/>
    <w:rsid w:val="00895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E0A29"/>
    <w:pPr>
      <w:keepNext/>
      <w:keepLines/>
      <w:spacing w:before="240" w:after="0" w:line="259" w:lineRule="auto"/>
      <w:jc w:val="left"/>
      <w:outlineLvl w:val="9"/>
    </w:pPr>
    <w:rPr>
      <w:rFonts w:asciiTheme="majorHAnsi" w:eastAsiaTheme="majorEastAsia" w:hAnsiTheme="majorHAnsi" w:cstheme="majorBidi"/>
      <w:bCs w:val="0"/>
      <w:color w:val="2E74B5" w:themeColor="accent1" w:themeShade="BF"/>
      <w:sz w:val="32"/>
      <w:szCs w:val="32"/>
      <w:lang w:eastAsia="en-US"/>
    </w:rPr>
  </w:style>
  <w:style w:type="character" w:customStyle="1" w:styleId="FootnoteTextChar">
    <w:name w:val="Footnote Text Char"/>
    <w:basedOn w:val="DefaultParagraphFont"/>
    <w:link w:val="FootnoteText"/>
    <w:uiPriority w:val="99"/>
    <w:rsid w:val="00F86973"/>
    <w:rPr>
      <w:rFonts w:ascii="MetaPro-Norm" w:hAnsi="MetaPro-Norm"/>
      <w:sz w:val="16"/>
      <w:lang w:eastAsia="zh-CN" w:bidi="ar-SA"/>
    </w:rPr>
  </w:style>
  <w:style w:type="paragraph" w:styleId="NoSpacing">
    <w:name w:val="No Spacing"/>
    <w:uiPriority w:val="1"/>
    <w:qFormat/>
    <w:rsid w:val="00F86973"/>
    <w:rPr>
      <w:rFonts w:asciiTheme="minorHAnsi" w:eastAsiaTheme="minorHAnsi" w:hAnsiTheme="minorHAnsi" w:cstheme="minorBidi"/>
      <w:sz w:val="22"/>
      <w:szCs w:val="22"/>
      <w:lang w:bidi="ar-SA"/>
    </w:rPr>
  </w:style>
  <w:style w:type="paragraph" w:styleId="EndnoteText">
    <w:name w:val="endnote text"/>
    <w:basedOn w:val="Normal"/>
    <w:link w:val="EndnoteTextChar"/>
    <w:rsid w:val="00F34F07"/>
    <w:pPr>
      <w:spacing w:line="240" w:lineRule="auto"/>
    </w:pPr>
    <w:rPr>
      <w:sz w:val="20"/>
      <w:szCs w:val="20"/>
    </w:rPr>
  </w:style>
  <w:style w:type="character" w:customStyle="1" w:styleId="EndnoteTextChar">
    <w:name w:val="Endnote Text Char"/>
    <w:basedOn w:val="DefaultParagraphFont"/>
    <w:link w:val="EndnoteText"/>
    <w:rsid w:val="00F34F07"/>
    <w:rPr>
      <w:rFonts w:ascii="MetaPro-Norm" w:hAnsi="MetaPro-Norm"/>
      <w:lang w:eastAsia="zh-CN" w:bidi="ar-SA"/>
    </w:rPr>
  </w:style>
  <w:style w:type="character" w:styleId="EndnoteReference">
    <w:name w:val="endnote reference"/>
    <w:basedOn w:val="DefaultParagraphFont"/>
    <w:rsid w:val="00F34F07"/>
    <w:rPr>
      <w:vertAlign w:val="superscript"/>
    </w:rPr>
  </w:style>
  <w:style w:type="paragraph" w:styleId="Revision">
    <w:name w:val="Revision"/>
    <w:hidden/>
    <w:uiPriority w:val="99"/>
    <w:semiHidden/>
    <w:rsid w:val="00B722CC"/>
    <w:rPr>
      <w:rFonts w:ascii="MetaPro-Norm" w:hAnsi="MetaPro-Norm"/>
      <w:sz w:val="22"/>
      <w:szCs w:val="24"/>
      <w:lang w:eastAsia="zh-CN" w:bidi="ar-SA"/>
    </w:rPr>
  </w:style>
  <w:style w:type="character" w:styleId="CommentReference">
    <w:name w:val="annotation reference"/>
    <w:basedOn w:val="DefaultParagraphFont"/>
    <w:rsid w:val="00B722CC"/>
    <w:rPr>
      <w:sz w:val="16"/>
      <w:szCs w:val="16"/>
    </w:rPr>
  </w:style>
  <w:style w:type="paragraph" w:styleId="CommentText">
    <w:name w:val="annotation text"/>
    <w:basedOn w:val="Normal"/>
    <w:link w:val="CommentTextChar"/>
    <w:rsid w:val="00B722CC"/>
    <w:pPr>
      <w:spacing w:line="240" w:lineRule="auto"/>
    </w:pPr>
    <w:rPr>
      <w:sz w:val="20"/>
      <w:szCs w:val="20"/>
    </w:rPr>
  </w:style>
  <w:style w:type="character" w:customStyle="1" w:styleId="CommentTextChar">
    <w:name w:val="Comment Text Char"/>
    <w:basedOn w:val="DefaultParagraphFont"/>
    <w:link w:val="CommentText"/>
    <w:rsid w:val="00B722CC"/>
    <w:rPr>
      <w:rFonts w:ascii="MetaPro-Norm" w:hAnsi="MetaPro-Norm"/>
      <w:lang w:eastAsia="zh-CN" w:bidi="ar-SA"/>
    </w:rPr>
  </w:style>
  <w:style w:type="paragraph" w:styleId="CommentSubject">
    <w:name w:val="annotation subject"/>
    <w:basedOn w:val="CommentText"/>
    <w:next w:val="CommentText"/>
    <w:link w:val="CommentSubjectChar"/>
    <w:rsid w:val="00B722CC"/>
    <w:rPr>
      <w:b/>
      <w:bCs/>
    </w:rPr>
  </w:style>
  <w:style w:type="character" w:customStyle="1" w:styleId="CommentSubjectChar">
    <w:name w:val="Comment Subject Char"/>
    <w:basedOn w:val="CommentTextChar"/>
    <w:link w:val="CommentSubject"/>
    <w:rsid w:val="00B722CC"/>
    <w:rPr>
      <w:rFonts w:ascii="MetaPro-Norm" w:hAnsi="MetaPro-Norm"/>
      <w:b/>
      <w:bCs/>
      <w:lang w:eastAsia="zh-CN" w:bidi="ar-SA"/>
    </w:rPr>
  </w:style>
  <w:style w:type="character" w:styleId="FollowedHyperlink">
    <w:name w:val="FollowedHyperlink"/>
    <w:basedOn w:val="DefaultParagraphFont"/>
    <w:rsid w:val="007D7236"/>
    <w:rPr>
      <w:color w:val="954F72" w:themeColor="followedHyperlink"/>
      <w:u w:val="single"/>
    </w:rPr>
  </w:style>
  <w:style w:type="character" w:styleId="UnresolvedMention">
    <w:name w:val="Unresolved Mention"/>
    <w:basedOn w:val="DefaultParagraphFont"/>
    <w:rsid w:val="00FB2856"/>
    <w:rPr>
      <w:color w:val="605E5C"/>
      <w:shd w:val="clear" w:color="auto" w:fill="E1DFDD"/>
    </w:rPr>
  </w:style>
  <w:style w:type="character" w:customStyle="1" w:styleId="FooterChar">
    <w:name w:val="Footer Char"/>
    <w:basedOn w:val="DefaultParagraphFont"/>
    <w:link w:val="Footer"/>
    <w:uiPriority w:val="99"/>
    <w:rsid w:val="00955020"/>
    <w:rPr>
      <w:rFonts w:ascii="MetaPro-Bold" w:hAnsi="MetaPro-Bold" w:cs="SeriaArabic-Bold"/>
      <w:bCs/>
      <w:smallCaps/>
      <w:lang w:eastAsia="zh-CN" w:bidi="ar-SA"/>
    </w:rPr>
  </w:style>
  <w:style w:type="character" w:customStyle="1" w:styleId="eop">
    <w:name w:val="eop"/>
    <w:basedOn w:val="DefaultParagraphFont"/>
    <w:rsid w:val="00370CAB"/>
  </w:style>
  <w:style w:type="paragraph" w:styleId="ListParagraph">
    <w:name w:val="List Paragraph"/>
    <w:basedOn w:val="Normal"/>
    <w:uiPriority w:val="34"/>
    <w:qFormat/>
    <w:rsid w:val="00921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5978">
      <w:bodyDiv w:val="1"/>
      <w:marLeft w:val="0"/>
      <w:marRight w:val="0"/>
      <w:marTop w:val="0"/>
      <w:marBottom w:val="0"/>
      <w:divBdr>
        <w:top w:val="none" w:sz="0" w:space="0" w:color="auto"/>
        <w:left w:val="none" w:sz="0" w:space="0" w:color="auto"/>
        <w:bottom w:val="none" w:sz="0" w:space="0" w:color="auto"/>
        <w:right w:val="none" w:sz="0" w:space="0" w:color="auto"/>
      </w:divBdr>
    </w:div>
    <w:div w:id="109203022">
      <w:bodyDiv w:val="1"/>
      <w:marLeft w:val="0"/>
      <w:marRight w:val="0"/>
      <w:marTop w:val="0"/>
      <w:marBottom w:val="0"/>
      <w:divBdr>
        <w:top w:val="none" w:sz="0" w:space="0" w:color="auto"/>
        <w:left w:val="none" w:sz="0" w:space="0" w:color="auto"/>
        <w:bottom w:val="none" w:sz="0" w:space="0" w:color="auto"/>
        <w:right w:val="none" w:sz="0" w:space="0" w:color="auto"/>
      </w:divBdr>
    </w:div>
    <w:div w:id="317156296">
      <w:bodyDiv w:val="1"/>
      <w:marLeft w:val="0"/>
      <w:marRight w:val="0"/>
      <w:marTop w:val="0"/>
      <w:marBottom w:val="0"/>
      <w:divBdr>
        <w:top w:val="none" w:sz="0" w:space="0" w:color="auto"/>
        <w:left w:val="none" w:sz="0" w:space="0" w:color="auto"/>
        <w:bottom w:val="none" w:sz="0" w:space="0" w:color="auto"/>
        <w:right w:val="none" w:sz="0" w:space="0" w:color="auto"/>
      </w:divBdr>
    </w:div>
    <w:div w:id="385568200">
      <w:bodyDiv w:val="1"/>
      <w:marLeft w:val="0"/>
      <w:marRight w:val="0"/>
      <w:marTop w:val="0"/>
      <w:marBottom w:val="0"/>
      <w:divBdr>
        <w:top w:val="none" w:sz="0" w:space="0" w:color="auto"/>
        <w:left w:val="none" w:sz="0" w:space="0" w:color="auto"/>
        <w:bottom w:val="none" w:sz="0" w:space="0" w:color="auto"/>
        <w:right w:val="none" w:sz="0" w:space="0" w:color="auto"/>
      </w:divBdr>
    </w:div>
    <w:div w:id="417747882">
      <w:bodyDiv w:val="1"/>
      <w:marLeft w:val="0"/>
      <w:marRight w:val="0"/>
      <w:marTop w:val="0"/>
      <w:marBottom w:val="0"/>
      <w:divBdr>
        <w:top w:val="none" w:sz="0" w:space="0" w:color="auto"/>
        <w:left w:val="none" w:sz="0" w:space="0" w:color="auto"/>
        <w:bottom w:val="none" w:sz="0" w:space="0" w:color="auto"/>
        <w:right w:val="none" w:sz="0" w:space="0" w:color="auto"/>
      </w:divBdr>
    </w:div>
    <w:div w:id="452291390">
      <w:bodyDiv w:val="1"/>
      <w:marLeft w:val="0"/>
      <w:marRight w:val="0"/>
      <w:marTop w:val="0"/>
      <w:marBottom w:val="0"/>
      <w:divBdr>
        <w:top w:val="none" w:sz="0" w:space="0" w:color="auto"/>
        <w:left w:val="none" w:sz="0" w:space="0" w:color="auto"/>
        <w:bottom w:val="none" w:sz="0" w:space="0" w:color="auto"/>
        <w:right w:val="none" w:sz="0" w:space="0" w:color="auto"/>
      </w:divBdr>
    </w:div>
    <w:div w:id="465587556">
      <w:bodyDiv w:val="1"/>
      <w:marLeft w:val="0"/>
      <w:marRight w:val="0"/>
      <w:marTop w:val="0"/>
      <w:marBottom w:val="0"/>
      <w:divBdr>
        <w:top w:val="none" w:sz="0" w:space="0" w:color="auto"/>
        <w:left w:val="none" w:sz="0" w:space="0" w:color="auto"/>
        <w:bottom w:val="none" w:sz="0" w:space="0" w:color="auto"/>
        <w:right w:val="none" w:sz="0" w:space="0" w:color="auto"/>
      </w:divBdr>
    </w:div>
    <w:div w:id="473059794">
      <w:bodyDiv w:val="1"/>
      <w:marLeft w:val="0"/>
      <w:marRight w:val="0"/>
      <w:marTop w:val="0"/>
      <w:marBottom w:val="0"/>
      <w:divBdr>
        <w:top w:val="none" w:sz="0" w:space="0" w:color="auto"/>
        <w:left w:val="none" w:sz="0" w:space="0" w:color="auto"/>
        <w:bottom w:val="none" w:sz="0" w:space="0" w:color="auto"/>
        <w:right w:val="none" w:sz="0" w:space="0" w:color="auto"/>
      </w:divBdr>
    </w:div>
    <w:div w:id="569077042">
      <w:bodyDiv w:val="1"/>
      <w:marLeft w:val="0"/>
      <w:marRight w:val="0"/>
      <w:marTop w:val="0"/>
      <w:marBottom w:val="0"/>
      <w:divBdr>
        <w:top w:val="none" w:sz="0" w:space="0" w:color="auto"/>
        <w:left w:val="none" w:sz="0" w:space="0" w:color="auto"/>
        <w:bottom w:val="none" w:sz="0" w:space="0" w:color="auto"/>
        <w:right w:val="none" w:sz="0" w:space="0" w:color="auto"/>
      </w:divBdr>
    </w:div>
    <w:div w:id="584651638">
      <w:bodyDiv w:val="1"/>
      <w:marLeft w:val="0"/>
      <w:marRight w:val="0"/>
      <w:marTop w:val="0"/>
      <w:marBottom w:val="0"/>
      <w:divBdr>
        <w:top w:val="none" w:sz="0" w:space="0" w:color="auto"/>
        <w:left w:val="none" w:sz="0" w:space="0" w:color="auto"/>
        <w:bottom w:val="none" w:sz="0" w:space="0" w:color="auto"/>
        <w:right w:val="none" w:sz="0" w:space="0" w:color="auto"/>
      </w:divBdr>
    </w:div>
    <w:div w:id="676732544">
      <w:bodyDiv w:val="1"/>
      <w:marLeft w:val="0"/>
      <w:marRight w:val="0"/>
      <w:marTop w:val="0"/>
      <w:marBottom w:val="0"/>
      <w:divBdr>
        <w:top w:val="none" w:sz="0" w:space="0" w:color="auto"/>
        <w:left w:val="none" w:sz="0" w:space="0" w:color="auto"/>
        <w:bottom w:val="none" w:sz="0" w:space="0" w:color="auto"/>
        <w:right w:val="none" w:sz="0" w:space="0" w:color="auto"/>
      </w:divBdr>
    </w:div>
    <w:div w:id="678195896">
      <w:bodyDiv w:val="1"/>
      <w:marLeft w:val="0"/>
      <w:marRight w:val="0"/>
      <w:marTop w:val="0"/>
      <w:marBottom w:val="0"/>
      <w:divBdr>
        <w:top w:val="none" w:sz="0" w:space="0" w:color="auto"/>
        <w:left w:val="none" w:sz="0" w:space="0" w:color="auto"/>
        <w:bottom w:val="none" w:sz="0" w:space="0" w:color="auto"/>
        <w:right w:val="none" w:sz="0" w:space="0" w:color="auto"/>
      </w:divBdr>
    </w:div>
    <w:div w:id="766658470">
      <w:bodyDiv w:val="1"/>
      <w:marLeft w:val="0"/>
      <w:marRight w:val="0"/>
      <w:marTop w:val="0"/>
      <w:marBottom w:val="0"/>
      <w:divBdr>
        <w:top w:val="none" w:sz="0" w:space="0" w:color="auto"/>
        <w:left w:val="none" w:sz="0" w:space="0" w:color="auto"/>
        <w:bottom w:val="none" w:sz="0" w:space="0" w:color="auto"/>
        <w:right w:val="none" w:sz="0" w:space="0" w:color="auto"/>
      </w:divBdr>
    </w:div>
    <w:div w:id="767116226">
      <w:bodyDiv w:val="1"/>
      <w:marLeft w:val="0"/>
      <w:marRight w:val="0"/>
      <w:marTop w:val="0"/>
      <w:marBottom w:val="0"/>
      <w:divBdr>
        <w:top w:val="none" w:sz="0" w:space="0" w:color="auto"/>
        <w:left w:val="none" w:sz="0" w:space="0" w:color="auto"/>
        <w:bottom w:val="none" w:sz="0" w:space="0" w:color="auto"/>
        <w:right w:val="none" w:sz="0" w:space="0" w:color="auto"/>
      </w:divBdr>
    </w:div>
    <w:div w:id="822433970">
      <w:bodyDiv w:val="1"/>
      <w:marLeft w:val="0"/>
      <w:marRight w:val="0"/>
      <w:marTop w:val="0"/>
      <w:marBottom w:val="0"/>
      <w:divBdr>
        <w:top w:val="none" w:sz="0" w:space="0" w:color="auto"/>
        <w:left w:val="none" w:sz="0" w:space="0" w:color="auto"/>
        <w:bottom w:val="none" w:sz="0" w:space="0" w:color="auto"/>
        <w:right w:val="none" w:sz="0" w:space="0" w:color="auto"/>
      </w:divBdr>
    </w:div>
    <w:div w:id="866064801">
      <w:bodyDiv w:val="1"/>
      <w:marLeft w:val="0"/>
      <w:marRight w:val="0"/>
      <w:marTop w:val="0"/>
      <w:marBottom w:val="0"/>
      <w:divBdr>
        <w:top w:val="none" w:sz="0" w:space="0" w:color="auto"/>
        <w:left w:val="none" w:sz="0" w:space="0" w:color="auto"/>
        <w:bottom w:val="none" w:sz="0" w:space="0" w:color="auto"/>
        <w:right w:val="none" w:sz="0" w:space="0" w:color="auto"/>
      </w:divBdr>
    </w:div>
    <w:div w:id="900989399">
      <w:bodyDiv w:val="1"/>
      <w:marLeft w:val="0"/>
      <w:marRight w:val="0"/>
      <w:marTop w:val="0"/>
      <w:marBottom w:val="0"/>
      <w:divBdr>
        <w:top w:val="none" w:sz="0" w:space="0" w:color="auto"/>
        <w:left w:val="none" w:sz="0" w:space="0" w:color="auto"/>
        <w:bottom w:val="none" w:sz="0" w:space="0" w:color="auto"/>
        <w:right w:val="none" w:sz="0" w:space="0" w:color="auto"/>
      </w:divBdr>
    </w:div>
    <w:div w:id="950015494">
      <w:bodyDiv w:val="1"/>
      <w:marLeft w:val="0"/>
      <w:marRight w:val="0"/>
      <w:marTop w:val="0"/>
      <w:marBottom w:val="0"/>
      <w:divBdr>
        <w:top w:val="none" w:sz="0" w:space="0" w:color="auto"/>
        <w:left w:val="none" w:sz="0" w:space="0" w:color="auto"/>
        <w:bottom w:val="none" w:sz="0" w:space="0" w:color="auto"/>
        <w:right w:val="none" w:sz="0" w:space="0" w:color="auto"/>
      </w:divBdr>
    </w:div>
    <w:div w:id="994838307">
      <w:bodyDiv w:val="1"/>
      <w:marLeft w:val="0"/>
      <w:marRight w:val="0"/>
      <w:marTop w:val="0"/>
      <w:marBottom w:val="0"/>
      <w:divBdr>
        <w:top w:val="none" w:sz="0" w:space="0" w:color="auto"/>
        <w:left w:val="none" w:sz="0" w:space="0" w:color="auto"/>
        <w:bottom w:val="none" w:sz="0" w:space="0" w:color="auto"/>
        <w:right w:val="none" w:sz="0" w:space="0" w:color="auto"/>
      </w:divBdr>
    </w:div>
    <w:div w:id="1033963559">
      <w:bodyDiv w:val="1"/>
      <w:marLeft w:val="0"/>
      <w:marRight w:val="0"/>
      <w:marTop w:val="0"/>
      <w:marBottom w:val="0"/>
      <w:divBdr>
        <w:top w:val="none" w:sz="0" w:space="0" w:color="auto"/>
        <w:left w:val="none" w:sz="0" w:space="0" w:color="auto"/>
        <w:bottom w:val="none" w:sz="0" w:space="0" w:color="auto"/>
        <w:right w:val="none" w:sz="0" w:space="0" w:color="auto"/>
      </w:divBdr>
    </w:div>
    <w:div w:id="1092160244">
      <w:bodyDiv w:val="1"/>
      <w:marLeft w:val="0"/>
      <w:marRight w:val="0"/>
      <w:marTop w:val="0"/>
      <w:marBottom w:val="0"/>
      <w:divBdr>
        <w:top w:val="none" w:sz="0" w:space="0" w:color="auto"/>
        <w:left w:val="none" w:sz="0" w:space="0" w:color="auto"/>
        <w:bottom w:val="none" w:sz="0" w:space="0" w:color="auto"/>
        <w:right w:val="none" w:sz="0" w:space="0" w:color="auto"/>
      </w:divBdr>
    </w:div>
    <w:div w:id="1095515596">
      <w:bodyDiv w:val="1"/>
      <w:marLeft w:val="0"/>
      <w:marRight w:val="0"/>
      <w:marTop w:val="0"/>
      <w:marBottom w:val="0"/>
      <w:divBdr>
        <w:top w:val="none" w:sz="0" w:space="0" w:color="auto"/>
        <w:left w:val="none" w:sz="0" w:space="0" w:color="auto"/>
        <w:bottom w:val="none" w:sz="0" w:space="0" w:color="auto"/>
        <w:right w:val="none" w:sz="0" w:space="0" w:color="auto"/>
      </w:divBdr>
    </w:div>
    <w:div w:id="1102533701">
      <w:bodyDiv w:val="1"/>
      <w:marLeft w:val="0"/>
      <w:marRight w:val="0"/>
      <w:marTop w:val="0"/>
      <w:marBottom w:val="0"/>
      <w:divBdr>
        <w:top w:val="none" w:sz="0" w:space="0" w:color="auto"/>
        <w:left w:val="none" w:sz="0" w:space="0" w:color="auto"/>
        <w:bottom w:val="none" w:sz="0" w:space="0" w:color="auto"/>
        <w:right w:val="none" w:sz="0" w:space="0" w:color="auto"/>
      </w:divBdr>
    </w:div>
    <w:div w:id="1140154194">
      <w:bodyDiv w:val="1"/>
      <w:marLeft w:val="0"/>
      <w:marRight w:val="0"/>
      <w:marTop w:val="0"/>
      <w:marBottom w:val="0"/>
      <w:divBdr>
        <w:top w:val="none" w:sz="0" w:space="0" w:color="auto"/>
        <w:left w:val="none" w:sz="0" w:space="0" w:color="auto"/>
        <w:bottom w:val="none" w:sz="0" w:space="0" w:color="auto"/>
        <w:right w:val="none" w:sz="0" w:space="0" w:color="auto"/>
      </w:divBdr>
    </w:div>
    <w:div w:id="1213929276">
      <w:bodyDiv w:val="1"/>
      <w:marLeft w:val="0"/>
      <w:marRight w:val="0"/>
      <w:marTop w:val="0"/>
      <w:marBottom w:val="0"/>
      <w:divBdr>
        <w:top w:val="none" w:sz="0" w:space="0" w:color="auto"/>
        <w:left w:val="none" w:sz="0" w:space="0" w:color="auto"/>
        <w:bottom w:val="none" w:sz="0" w:space="0" w:color="auto"/>
        <w:right w:val="none" w:sz="0" w:space="0" w:color="auto"/>
      </w:divBdr>
    </w:div>
    <w:div w:id="1407335963">
      <w:bodyDiv w:val="1"/>
      <w:marLeft w:val="0"/>
      <w:marRight w:val="0"/>
      <w:marTop w:val="0"/>
      <w:marBottom w:val="0"/>
      <w:divBdr>
        <w:top w:val="none" w:sz="0" w:space="0" w:color="auto"/>
        <w:left w:val="none" w:sz="0" w:space="0" w:color="auto"/>
        <w:bottom w:val="none" w:sz="0" w:space="0" w:color="auto"/>
        <w:right w:val="none" w:sz="0" w:space="0" w:color="auto"/>
      </w:divBdr>
    </w:div>
    <w:div w:id="1549341210">
      <w:bodyDiv w:val="1"/>
      <w:marLeft w:val="0"/>
      <w:marRight w:val="0"/>
      <w:marTop w:val="0"/>
      <w:marBottom w:val="0"/>
      <w:divBdr>
        <w:top w:val="none" w:sz="0" w:space="0" w:color="auto"/>
        <w:left w:val="none" w:sz="0" w:space="0" w:color="auto"/>
        <w:bottom w:val="none" w:sz="0" w:space="0" w:color="auto"/>
        <w:right w:val="none" w:sz="0" w:space="0" w:color="auto"/>
      </w:divBdr>
    </w:div>
    <w:div w:id="1577014017">
      <w:bodyDiv w:val="1"/>
      <w:marLeft w:val="0"/>
      <w:marRight w:val="0"/>
      <w:marTop w:val="0"/>
      <w:marBottom w:val="0"/>
      <w:divBdr>
        <w:top w:val="none" w:sz="0" w:space="0" w:color="auto"/>
        <w:left w:val="none" w:sz="0" w:space="0" w:color="auto"/>
        <w:bottom w:val="none" w:sz="0" w:space="0" w:color="auto"/>
        <w:right w:val="none" w:sz="0" w:space="0" w:color="auto"/>
      </w:divBdr>
    </w:div>
    <w:div w:id="1586960759">
      <w:bodyDiv w:val="1"/>
      <w:marLeft w:val="0"/>
      <w:marRight w:val="0"/>
      <w:marTop w:val="0"/>
      <w:marBottom w:val="0"/>
      <w:divBdr>
        <w:top w:val="none" w:sz="0" w:space="0" w:color="auto"/>
        <w:left w:val="none" w:sz="0" w:space="0" w:color="auto"/>
        <w:bottom w:val="none" w:sz="0" w:space="0" w:color="auto"/>
        <w:right w:val="none" w:sz="0" w:space="0" w:color="auto"/>
      </w:divBdr>
    </w:div>
    <w:div w:id="1699307251">
      <w:bodyDiv w:val="1"/>
      <w:marLeft w:val="0"/>
      <w:marRight w:val="0"/>
      <w:marTop w:val="0"/>
      <w:marBottom w:val="0"/>
      <w:divBdr>
        <w:top w:val="none" w:sz="0" w:space="0" w:color="auto"/>
        <w:left w:val="none" w:sz="0" w:space="0" w:color="auto"/>
        <w:bottom w:val="none" w:sz="0" w:space="0" w:color="auto"/>
        <w:right w:val="none" w:sz="0" w:space="0" w:color="auto"/>
      </w:divBdr>
    </w:div>
    <w:div w:id="1736972315">
      <w:bodyDiv w:val="1"/>
      <w:marLeft w:val="0"/>
      <w:marRight w:val="0"/>
      <w:marTop w:val="0"/>
      <w:marBottom w:val="0"/>
      <w:divBdr>
        <w:top w:val="none" w:sz="0" w:space="0" w:color="auto"/>
        <w:left w:val="none" w:sz="0" w:space="0" w:color="auto"/>
        <w:bottom w:val="none" w:sz="0" w:space="0" w:color="auto"/>
        <w:right w:val="none" w:sz="0" w:space="0" w:color="auto"/>
      </w:divBdr>
    </w:div>
    <w:div w:id="1753624171">
      <w:bodyDiv w:val="1"/>
      <w:marLeft w:val="0"/>
      <w:marRight w:val="0"/>
      <w:marTop w:val="0"/>
      <w:marBottom w:val="0"/>
      <w:divBdr>
        <w:top w:val="none" w:sz="0" w:space="0" w:color="auto"/>
        <w:left w:val="none" w:sz="0" w:space="0" w:color="auto"/>
        <w:bottom w:val="none" w:sz="0" w:space="0" w:color="auto"/>
        <w:right w:val="none" w:sz="0" w:space="0" w:color="auto"/>
      </w:divBdr>
    </w:div>
    <w:div w:id="1803959416">
      <w:bodyDiv w:val="1"/>
      <w:marLeft w:val="0"/>
      <w:marRight w:val="0"/>
      <w:marTop w:val="0"/>
      <w:marBottom w:val="0"/>
      <w:divBdr>
        <w:top w:val="none" w:sz="0" w:space="0" w:color="auto"/>
        <w:left w:val="none" w:sz="0" w:space="0" w:color="auto"/>
        <w:bottom w:val="none" w:sz="0" w:space="0" w:color="auto"/>
        <w:right w:val="none" w:sz="0" w:space="0" w:color="auto"/>
      </w:divBdr>
    </w:div>
    <w:div w:id="1804737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kzl7kmDdG_Y&amp;t=8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pravo.gov.ru/proxy/ips/?docbody=&amp;nd=10217056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sightplus.mja.com.au/2021/26/chemical-restraint-legislative-changes-to-restrictive-practices/" TargetMode="External"/><Relationship Id="rId5" Type="http://schemas.openxmlformats.org/officeDocument/2006/relationships/numbering" Target="numbering.xml"/><Relationship Id="rId15" Type="http://schemas.openxmlformats.org/officeDocument/2006/relationships/hyperlink" Target="https://www.youtube.com/watch?v=O3zBYd42AE0&amp;t=17s"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6bpOQ7l4z9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rw.org/news/2021/01/15/another-covid-risk-overuse-psychotropic-drugs-seniors-care" TargetMode="External"/><Relationship Id="rId2" Type="http://schemas.openxmlformats.org/officeDocument/2006/relationships/hyperlink" Target="https://www.hrw.org/report/2019/10/15/fading-away/how-aged-care-facilities-australia-chemically-restrain-older-people" TargetMode="External"/><Relationship Id="rId1" Type="http://schemas.openxmlformats.org/officeDocument/2006/relationships/hyperlink" Target="https://www.hrw.org/report/2018/02/05/they-want-docile/how-nursing-homes-united-states-overmedicate-people-dementia" TargetMode="External"/><Relationship Id="rId6" Type="http://schemas.openxmlformats.org/officeDocument/2006/relationships/hyperlink" Target="https://doi.org/10.1101/2020.11.26.20239525" TargetMode="External"/><Relationship Id="rId5" Type="http://schemas.openxmlformats.org/officeDocument/2006/relationships/hyperlink" Target="https://www.hrw.org/news/2021/01/15/another-covid-risk-overuse-psychotropic-drugs-seniors-care" TargetMode="External"/><Relationship Id="rId4" Type="http://schemas.openxmlformats.org/officeDocument/2006/relationships/hyperlink" Target="https://www.cdc.gov/aging/publications/features/lonely-older-adult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96AA1900F481E4BA12F41BA77C27400" ma:contentTypeVersion="13" ma:contentTypeDescription="Create a new document." ma:contentTypeScope="" ma:versionID="24315ac968f80fe6f022937467faa954">
  <xsd:schema xmlns:xsd="http://www.w3.org/2001/XMLSchema" xmlns:xs="http://www.w3.org/2001/XMLSchema" xmlns:p="http://schemas.microsoft.com/office/2006/metadata/properties" xmlns:ns2="ea9d0fa6-b667-49da-a549-51ffb1fdd950" xmlns:ns3="7055a24c-d926-4c59-aca0-8287c86e700b" targetNamespace="http://schemas.microsoft.com/office/2006/metadata/properties" ma:root="true" ma:fieldsID="b042941efcfb96e24606a3b417f45380" ns2:_="" ns3:_="">
    <xsd:import namespace="ea9d0fa6-b667-49da-a549-51ffb1fdd950"/>
    <xsd:import namespace="7055a24c-d926-4c59-aca0-8287c86e70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d0fa6-b667-49da-a549-51ffb1fdd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55a24c-d926-4c59-aca0-8287c86e70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8CFEF9-322E-4144-BCC0-B58D2369ABC3}">
  <ds:schemaRefs>
    <ds:schemaRef ds:uri="http://schemas.microsoft.com/sharepoint/v3/contenttype/forms"/>
  </ds:schemaRefs>
</ds:datastoreItem>
</file>

<file path=customXml/itemProps2.xml><?xml version="1.0" encoding="utf-8"?>
<ds:datastoreItem xmlns:ds="http://schemas.openxmlformats.org/officeDocument/2006/customXml" ds:itemID="{88874731-B97D-4D7B-9BD3-F48FC8B2C5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285ADC-5B16-4768-AD79-BFF790C0CE19}">
  <ds:schemaRefs>
    <ds:schemaRef ds:uri="http://schemas.openxmlformats.org/officeDocument/2006/bibliography"/>
  </ds:schemaRefs>
</ds:datastoreItem>
</file>

<file path=customXml/itemProps4.xml><?xml version="1.0" encoding="utf-8"?>
<ds:datastoreItem xmlns:ds="http://schemas.openxmlformats.org/officeDocument/2006/customXml" ds:itemID="{B71AEABF-DCFE-458D-A69B-C085E2A8F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d0fa6-b667-49da-a549-51ffb1fdd950"/>
    <ds:schemaRef ds:uri="7055a24c-d926-4c59-aca0-8287c86e7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1403</Words>
  <Characters>8001</Characters>
  <Application>Microsoft Office Word</Application>
  <DocSecurity>0</DocSecurity>
  <Lines>66</Lines>
  <Paragraphs>18</Paragraphs>
  <ScaleCrop>false</ScaleCrop>
  <Company>Human Rights Watch</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Haas</dc:creator>
  <cp:keywords/>
  <cp:lastModifiedBy>Bridget Sleap</cp:lastModifiedBy>
  <cp:revision>31</cp:revision>
  <dcterms:created xsi:type="dcterms:W3CDTF">2022-03-21T09:35:00Z</dcterms:created>
  <dcterms:modified xsi:type="dcterms:W3CDTF">2022-04-01T09:58:00Z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0x010100296AA1900F481E4BA12F41BA77C27400</vt:lpwstr>
  </property>
</Properties>
</file>