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B67" w:rsidRPr="00D47B67" w:rsidRDefault="00D47B67" w:rsidP="00D47B67">
      <w:pPr>
        <w:spacing w:after="0" w:line="240" w:lineRule="auto"/>
        <w:jc w:val="center"/>
        <w:rPr>
          <w:rFonts w:eastAsia="Times New Roman" w:cs="Arial"/>
          <w:b/>
          <w:color w:val="7030A0"/>
          <w:sz w:val="24"/>
          <w:lang w:eastAsia="es-MX"/>
        </w:rPr>
      </w:pPr>
      <w:r w:rsidRPr="00D47B67">
        <w:rPr>
          <w:rFonts w:eastAsia="Times New Roman" w:cs="Arial"/>
          <w:b/>
          <w:color w:val="7030A0"/>
          <w:sz w:val="24"/>
          <w:lang w:eastAsia="es-MX"/>
        </w:rPr>
        <w:t>Respuesta a Convocatoria sobre personas mayores privadas de la libertad</w:t>
      </w:r>
    </w:p>
    <w:p w:rsidR="00D47B67" w:rsidRPr="00D47B67" w:rsidRDefault="00D47B67" w:rsidP="00D47B67">
      <w:pPr>
        <w:spacing w:after="0" w:line="240" w:lineRule="auto"/>
        <w:jc w:val="both"/>
        <w:rPr>
          <w:rFonts w:eastAsia="Times New Roman" w:cs="Times New Roman"/>
          <w:color w:val="7030A0"/>
          <w:sz w:val="24"/>
          <w:szCs w:val="24"/>
          <w:lang w:eastAsia="es-MX"/>
        </w:rPr>
      </w:pPr>
    </w:p>
    <w:p w:rsidR="000C5B7F" w:rsidRPr="00D47B67" w:rsidRDefault="000C5B7F" w:rsidP="000C5B7F">
      <w:pPr>
        <w:pStyle w:val="Prrafodelista"/>
        <w:numPr>
          <w:ilvl w:val="0"/>
          <w:numId w:val="1"/>
        </w:numPr>
        <w:spacing w:after="0" w:line="240" w:lineRule="auto"/>
        <w:jc w:val="both"/>
        <w:rPr>
          <w:rFonts w:eastAsia="Times New Roman" w:cs="Times New Roman"/>
          <w:color w:val="7030A0"/>
          <w:sz w:val="24"/>
          <w:szCs w:val="24"/>
          <w:lang w:eastAsia="es-MX"/>
        </w:rPr>
      </w:pPr>
      <w:r w:rsidRPr="00D47B67">
        <w:rPr>
          <w:rFonts w:eastAsia="Times New Roman" w:cs="Arial"/>
          <w:color w:val="7030A0"/>
          <w:lang w:eastAsia="es-MX"/>
        </w:rPr>
        <w:t xml:space="preserve">¿Cuáles son los </w:t>
      </w:r>
      <w:r w:rsidRPr="00D47B67">
        <w:rPr>
          <w:rFonts w:eastAsia="Times New Roman" w:cs="Arial"/>
          <w:b/>
          <w:bCs/>
          <w:color w:val="7030A0"/>
          <w:lang w:eastAsia="es-MX"/>
        </w:rPr>
        <w:t>principales riesgos y violaciones de los derechos humanos</w:t>
      </w:r>
      <w:r w:rsidRPr="00D47B67">
        <w:rPr>
          <w:rFonts w:eastAsia="Times New Roman" w:cs="Arial"/>
          <w:color w:val="7030A0"/>
          <w:lang w:eastAsia="es-MX"/>
        </w:rPr>
        <w:t xml:space="preserve"> que afectan a las personas de edad privadas de su libertad, considerando diferentes factores </w:t>
      </w:r>
      <w:proofErr w:type="spellStart"/>
      <w:r w:rsidRPr="00D47B67">
        <w:rPr>
          <w:rFonts w:eastAsia="Times New Roman" w:cs="Arial"/>
          <w:color w:val="7030A0"/>
          <w:lang w:eastAsia="es-MX"/>
        </w:rPr>
        <w:t>interseccionales</w:t>
      </w:r>
      <w:proofErr w:type="spellEnd"/>
      <w:r w:rsidRPr="00D47B67">
        <w:rPr>
          <w:rFonts w:eastAsia="Times New Roman" w:cs="Arial"/>
          <w:color w:val="7030A0"/>
          <w:lang w:eastAsia="es-MX"/>
        </w:rPr>
        <w:t>?</w:t>
      </w:r>
    </w:p>
    <w:p w:rsidR="000C5B7F" w:rsidRPr="00D47B67" w:rsidRDefault="000C5B7F" w:rsidP="000C5B7F">
      <w:pPr>
        <w:spacing w:after="0" w:line="240" w:lineRule="auto"/>
        <w:rPr>
          <w:rFonts w:eastAsia="Times New Roman" w:cs="Times New Roman"/>
          <w:sz w:val="24"/>
          <w:szCs w:val="24"/>
          <w:lang w:eastAsia="es-MX"/>
        </w:rPr>
      </w:pPr>
    </w:p>
    <w:p w:rsidR="000C5B7F" w:rsidRPr="00D47B67" w:rsidRDefault="000C5B7F" w:rsidP="000C5B7F">
      <w:pPr>
        <w:spacing w:after="0" w:line="240" w:lineRule="auto"/>
        <w:jc w:val="both"/>
        <w:rPr>
          <w:rFonts w:eastAsia="Times New Roman" w:cs="Times New Roman"/>
          <w:sz w:val="24"/>
          <w:szCs w:val="24"/>
          <w:lang w:eastAsia="es-MX"/>
        </w:rPr>
      </w:pPr>
      <w:r w:rsidRPr="00D47B67">
        <w:rPr>
          <w:rFonts w:eastAsia="Times New Roman" w:cs="Arial"/>
          <w:color w:val="222222"/>
          <w:lang w:eastAsia="es-MX"/>
        </w:rPr>
        <w:t>La reclusión favorece un envejecimiento físico y cognitivo, que conlleva a la aparición de un gran número de demandas provocadas por las limitaciones físicas y las situaciones de dependencia y/o discapacidad que mayoritariamente viven las personas mayores.</w:t>
      </w:r>
    </w:p>
    <w:p w:rsidR="000C5B7F" w:rsidRPr="00D47B67" w:rsidRDefault="000C5B7F" w:rsidP="000C5B7F">
      <w:pPr>
        <w:spacing w:after="0" w:line="240" w:lineRule="auto"/>
        <w:rPr>
          <w:rFonts w:eastAsia="Times New Roman" w:cs="Times New Roman"/>
          <w:sz w:val="24"/>
          <w:szCs w:val="24"/>
          <w:lang w:eastAsia="es-MX"/>
        </w:rPr>
      </w:pPr>
    </w:p>
    <w:p w:rsidR="000C5B7F" w:rsidRPr="00D47B67" w:rsidRDefault="000C5B7F" w:rsidP="000C5B7F">
      <w:pPr>
        <w:spacing w:after="0" w:line="240" w:lineRule="auto"/>
        <w:ind w:firstLine="720"/>
        <w:jc w:val="both"/>
        <w:rPr>
          <w:rFonts w:eastAsia="Times New Roman" w:cs="Times New Roman"/>
          <w:sz w:val="24"/>
          <w:szCs w:val="24"/>
          <w:lang w:eastAsia="es-MX"/>
        </w:rPr>
      </w:pPr>
      <w:r w:rsidRPr="00D47B67">
        <w:rPr>
          <w:rFonts w:eastAsia="Times New Roman" w:cs="Arial"/>
          <w:color w:val="222222"/>
          <w:lang w:eastAsia="es-MX"/>
        </w:rPr>
        <w:t>Existen factores que impulsan el deterioro de las personas privadas de su libertad (PPL), como lo son las penas de larga duración, este tipo de sentencias conllevan afectaciones a la sa</w:t>
      </w:r>
      <w:r w:rsidR="00582BEB" w:rsidRPr="00D47B67">
        <w:rPr>
          <w:rFonts w:eastAsia="Times New Roman" w:cs="Arial"/>
          <w:color w:val="222222"/>
          <w:lang w:eastAsia="es-MX"/>
        </w:rPr>
        <w:t>lud física y mental, lo que demuestra</w:t>
      </w:r>
      <w:r w:rsidRPr="00D47B67">
        <w:rPr>
          <w:rFonts w:eastAsia="Times New Roman" w:cs="Arial"/>
          <w:color w:val="222222"/>
          <w:lang w:eastAsia="es-MX"/>
        </w:rPr>
        <w:t xml:space="preserve"> que existe un vínculo entre ellas y la edad avanzada de las personas sentenciadas, propiciando la condición de vulnerabilidad por la atención que </w:t>
      </w:r>
      <w:r w:rsidR="00582BEB" w:rsidRPr="00D47B67">
        <w:rPr>
          <w:rFonts w:eastAsia="Times New Roman" w:cs="Arial"/>
          <w:color w:val="222222"/>
          <w:lang w:eastAsia="es-MX"/>
        </w:rPr>
        <w:t>conlleva en cuanto a necesidad o</w:t>
      </w:r>
      <w:r w:rsidRPr="00D47B67">
        <w:rPr>
          <w:rFonts w:eastAsia="Times New Roman" w:cs="Arial"/>
          <w:color w:val="222222"/>
          <w:lang w:eastAsia="es-MX"/>
        </w:rPr>
        <w:t xml:space="preserve"> requerimientos, de especialistas o accesibilidad para que tengan las mismas condiciones y garantías en sus derechos como todas las personas.</w:t>
      </w:r>
    </w:p>
    <w:p w:rsidR="000C5B7F" w:rsidRPr="00D47B67" w:rsidRDefault="000C5B7F" w:rsidP="000C5B7F">
      <w:pPr>
        <w:spacing w:before="240" w:after="240" w:line="240" w:lineRule="auto"/>
        <w:ind w:firstLine="700"/>
        <w:jc w:val="both"/>
        <w:rPr>
          <w:rFonts w:eastAsia="Times New Roman" w:cs="Times New Roman"/>
          <w:sz w:val="24"/>
          <w:szCs w:val="24"/>
          <w:lang w:eastAsia="es-MX"/>
        </w:rPr>
      </w:pPr>
      <w:r w:rsidRPr="00D47B67">
        <w:rPr>
          <w:rFonts w:eastAsia="Times New Roman" w:cs="Arial"/>
          <w:color w:val="222222"/>
          <w:lang w:eastAsia="es-MX"/>
        </w:rPr>
        <w:t>Dicha problemática se evidencia en los distintos centros de la Ciudad de México (</w:t>
      </w:r>
      <w:proofErr w:type="spellStart"/>
      <w:r w:rsidR="00D47B67">
        <w:rPr>
          <w:rFonts w:eastAsia="Times New Roman" w:cs="Arial"/>
          <w:color w:val="222222"/>
          <w:lang w:eastAsia="es-MX"/>
        </w:rPr>
        <w:t>CDMX</w:t>
      </w:r>
      <w:proofErr w:type="spellEnd"/>
      <w:r w:rsidRPr="00D47B67">
        <w:rPr>
          <w:rFonts w:eastAsia="Times New Roman" w:cs="Arial"/>
          <w:color w:val="222222"/>
          <w:lang w:eastAsia="es-MX"/>
        </w:rPr>
        <w:t>), sin embargo, se aprecia con mayor énfasis en la Penitenciaria</w:t>
      </w:r>
      <w:r w:rsidR="004832F9" w:rsidRPr="00D47B67">
        <w:rPr>
          <w:rFonts w:eastAsia="Times New Roman" w:cs="Arial"/>
          <w:color w:val="222222"/>
          <w:lang w:eastAsia="es-MX"/>
        </w:rPr>
        <w:t xml:space="preserve"> de la </w:t>
      </w:r>
      <w:proofErr w:type="spellStart"/>
      <w:r w:rsidR="00D47B67">
        <w:rPr>
          <w:rFonts w:eastAsia="Times New Roman" w:cs="Arial"/>
          <w:color w:val="222222"/>
          <w:lang w:eastAsia="es-MX"/>
        </w:rPr>
        <w:t>CDMX</w:t>
      </w:r>
      <w:proofErr w:type="spellEnd"/>
      <w:r w:rsidR="00582BEB" w:rsidRPr="00D47B67">
        <w:rPr>
          <w:rFonts w:eastAsia="Times New Roman" w:cs="Arial"/>
          <w:color w:val="222222"/>
          <w:lang w:eastAsia="es-MX"/>
        </w:rPr>
        <w:t>,</w:t>
      </w:r>
      <w:r w:rsidR="001E6FA3" w:rsidRPr="00D47B67">
        <w:rPr>
          <w:rFonts w:eastAsia="Times New Roman" w:cs="Arial"/>
          <w:color w:val="222222"/>
          <w:lang w:eastAsia="es-MX"/>
        </w:rPr>
        <w:t xml:space="preserve"> </w:t>
      </w:r>
      <w:r w:rsidRPr="00D47B67">
        <w:rPr>
          <w:rFonts w:eastAsia="Times New Roman" w:cs="Arial"/>
          <w:color w:val="222222"/>
          <w:lang w:eastAsia="es-MX"/>
        </w:rPr>
        <w:t>que es el centro penitenciario que alberga a la mayor población de personas mayores privadas de libertad, por ser un centro de ejecución de sentencias altas y de larga duración, en el que las personas transitan a una edad mayor y requieren de un enfoque interseccional.</w:t>
      </w:r>
    </w:p>
    <w:p w:rsidR="000C5B7F" w:rsidRPr="00D47B67" w:rsidRDefault="000C5B7F" w:rsidP="000C5B7F">
      <w:pPr>
        <w:spacing w:after="0" w:line="240" w:lineRule="auto"/>
        <w:ind w:firstLine="720"/>
        <w:jc w:val="both"/>
        <w:rPr>
          <w:rFonts w:eastAsia="Times New Roman" w:cs="Times New Roman"/>
          <w:sz w:val="24"/>
          <w:szCs w:val="24"/>
          <w:lang w:eastAsia="es-MX"/>
        </w:rPr>
      </w:pPr>
      <w:r w:rsidRPr="00D47B67">
        <w:rPr>
          <w:rFonts w:eastAsia="Times New Roman" w:cs="Arial"/>
          <w:color w:val="222222"/>
          <w:lang w:eastAsia="es-MX"/>
        </w:rPr>
        <w:t>Esta Comisión de Derechos Humanos de la Ciudad de México</w:t>
      </w:r>
      <w:r w:rsidR="001E6FA3" w:rsidRPr="00D47B67">
        <w:rPr>
          <w:rFonts w:eastAsia="Times New Roman" w:cs="Arial"/>
          <w:color w:val="222222"/>
          <w:lang w:eastAsia="es-MX"/>
        </w:rPr>
        <w:t xml:space="preserve"> registró</w:t>
      </w:r>
      <w:r w:rsidRPr="00D47B67">
        <w:rPr>
          <w:rFonts w:eastAsia="Times New Roman" w:cs="Arial"/>
          <w:color w:val="222222"/>
          <w:lang w:eastAsia="es-MX"/>
        </w:rPr>
        <w:t xml:space="preserve"> entre el 1 de enero de 2018 y al 10 de marzo de 2022, 1043 quejas en las que se señalan como posibles víctimas a personas mayores ubicadas en los 13 centros penitenciarios de la </w:t>
      </w:r>
      <w:proofErr w:type="spellStart"/>
      <w:r w:rsidR="00D47B67">
        <w:rPr>
          <w:rFonts w:eastAsia="Times New Roman" w:cs="Arial"/>
          <w:color w:val="222222"/>
          <w:lang w:eastAsia="es-MX"/>
        </w:rPr>
        <w:t>CDMX</w:t>
      </w:r>
      <w:proofErr w:type="spellEnd"/>
      <w:r w:rsidRPr="00D47B67">
        <w:rPr>
          <w:rFonts w:eastAsia="Times New Roman" w:cs="Arial"/>
          <w:color w:val="222222"/>
          <w:lang w:eastAsia="es-MX"/>
        </w:rPr>
        <w:t xml:space="preserve">. En estos expedientes, los principales derechos mencionados son el Derecho a la Salud, a la Reinserción Social y </w:t>
      </w:r>
      <w:r w:rsidR="0058372D" w:rsidRPr="00D47B67">
        <w:rPr>
          <w:rFonts w:eastAsia="Times New Roman" w:cs="Arial"/>
          <w:color w:val="222222"/>
          <w:lang w:eastAsia="es-MX"/>
        </w:rPr>
        <w:t>al Debido P</w:t>
      </w:r>
      <w:r w:rsidRPr="00D47B67">
        <w:rPr>
          <w:rFonts w:eastAsia="Times New Roman" w:cs="Arial"/>
          <w:color w:val="222222"/>
          <w:lang w:eastAsia="es-MX"/>
        </w:rPr>
        <w:t>roceso.</w:t>
      </w:r>
    </w:p>
    <w:p w:rsidR="000C5B7F" w:rsidRPr="00D47B67" w:rsidRDefault="000C5B7F" w:rsidP="000C5B7F">
      <w:pPr>
        <w:spacing w:after="0" w:line="240" w:lineRule="auto"/>
        <w:rPr>
          <w:rFonts w:eastAsia="Times New Roman" w:cs="Times New Roman"/>
          <w:sz w:val="24"/>
          <w:szCs w:val="24"/>
          <w:lang w:eastAsia="es-MX"/>
        </w:rPr>
      </w:pPr>
    </w:p>
    <w:p w:rsidR="000C5B7F" w:rsidRPr="00D47B67" w:rsidRDefault="000C5B7F" w:rsidP="000C5B7F">
      <w:pPr>
        <w:spacing w:after="0" w:line="240" w:lineRule="auto"/>
        <w:ind w:firstLine="720"/>
        <w:jc w:val="both"/>
        <w:rPr>
          <w:rFonts w:eastAsia="Times New Roman" w:cs="Times New Roman"/>
          <w:sz w:val="24"/>
          <w:szCs w:val="24"/>
          <w:lang w:eastAsia="es-MX"/>
        </w:rPr>
      </w:pPr>
      <w:r w:rsidRPr="00D47B67">
        <w:rPr>
          <w:rFonts w:eastAsia="Times New Roman" w:cs="Arial"/>
          <w:color w:val="222222"/>
          <w:lang w:eastAsia="es-MX"/>
        </w:rPr>
        <w:t>Respecto del Derecho a la Salud el principal riesgo detectado es la falta de atención especializada para pacientes con enfermedades crónico-degenerativas que afectan principalmente a este tipo de población, tanto en poblaciones varoniles como femeniles. El tratamiento de este tipo de padecimientos requiere de la intervención de diferentes especialistas y el seguimiento de consultas periódicas que implica la coordinación de las autoridades penitenciarias y las de Salud, lo que muchas veces no se logra.</w:t>
      </w:r>
    </w:p>
    <w:p w:rsidR="000C5B7F" w:rsidRPr="00D47B67" w:rsidRDefault="000C5B7F" w:rsidP="000C5B7F">
      <w:pPr>
        <w:spacing w:after="0" w:line="240" w:lineRule="auto"/>
        <w:rPr>
          <w:rFonts w:eastAsia="Times New Roman" w:cs="Times New Roman"/>
          <w:sz w:val="24"/>
          <w:szCs w:val="24"/>
          <w:lang w:eastAsia="es-MX"/>
        </w:rPr>
      </w:pPr>
    </w:p>
    <w:p w:rsidR="000C5B7F" w:rsidRPr="00D47B67" w:rsidRDefault="000C5B7F" w:rsidP="000C5B7F">
      <w:pPr>
        <w:spacing w:after="0" w:line="240" w:lineRule="auto"/>
        <w:ind w:firstLine="720"/>
        <w:jc w:val="both"/>
        <w:rPr>
          <w:rFonts w:eastAsia="Times New Roman" w:cs="Times New Roman"/>
          <w:sz w:val="24"/>
          <w:szCs w:val="24"/>
          <w:lang w:eastAsia="es-MX"/>
        </w:rPr>
      </w:pPr>
      <w:r w:rsidRPr="00D47B67">
        <w:rPr>
          <w:rFonts w:eastAsia="Times New Roman" w:cs="Arial"/>
          <w:color w:val="222222"/>
          <w:lang w:eastAsia="es-MX"/>
        </w:rPr>
        <w:t>Mientras que, el Derecho a la Reinserción Social, se ve afectado en cuanto a la falta de acciones y actividades de reinserción, relacionadas con educación, trabajo, capacitación y actividades físicas adecuadas para su edad; lo que propone mirarse desde una perspectiva transversal intergeneracional que permita a las personas mayores involucrarse para acceder a beneficios de libertad. En este mismo rubro, un aspecto importante para la garantía del citado derecho es su ubicación dentro los centros en espacios acordes a sus condiciones físicas, con accesibilidad en instalaciones, talleres y de servicios de salud.</w:t>
      </w:r>
    </w:p>
    <w:p w:rsidR="000C5B7F" w:rsidRPr="00D47B67" w:rsidRDefault="000C5B7F" w:rsidP="000C5B7F">
      <w:pPr>
        <w:spacing w:after="0" w:line="240" w:lineRule="auto"/>
        <w:rPr>
          <w:rFonts w:eastAsia="Times New Roman" w:cs="Times New Roman"/>
          <w:sz w:val="24"/>
          <w:szCs w:val="24"/>
          <w:lang w:eastAsia="es-MX"/>
        </w:rPr>
      </w:pPr>
    </w:p>
    <w:p w:rsidR="000C5B7F" w:rsidRPr="00D47B67" w:rsidRDefault="000C5B7F" w:rsidP="000C5B7F">
      <w:pPr>
        <w:pStyle w:val="Prrafodelista"/>
        <w:numPr>
          <w:ilvl w:val="0"/>
          <w:numId w:val="1"/>
        </w:numPr>
        <w:spacing w:after="0" w:line="240" w:lineRule="auto"/>
        <w:jc w:val="both"/>
        <w:rPr>
          <w:rFonts w:eastAsia="Times New Roman" w:cs="Times New Roman"/>
          <w:color w:val="7030A0"/>
          <w:sz w:val="24"/>
          <w:szCs w:val="24"/>
          <w:lang w:eastAsia="es-MX"/>
        </w:rPr>
      </w:pPr>
      <w:r w:rsidRPr="00D47B67">
        <w:rPr>
          <w:rFonts w:eastAsia="Times New Roman" w:cs="Arial"/>
          <w:color w:val="7030A0"/>
          <w:lang w:eastAsia="es-MX"/>
        </w:rPr>
        <w:t xml:space="preserve">Sírvase proporcionar </w:t>
      </w:r>
      <w:r w:rsidRPr="00D47B67">
        <w:rPr>
          <w:rFonts w:eastAsia="Times New Roman" w:cs="Arial"/>
          <w:b/>
          <w:bCs/>
          <w:color w:val="7030A0"/>
          <w:lang w:eastAsia="es-MX"/>
        </w:rPr>
        <w:t>cifras y datos</w:t>
      </w:r>
      <w:r w:rsidRPr="00D47B67">
        <w:rPr>
          <w:rFonts w:eastAsia="Times New Roman" w:cs="Arial"/>
          <w:color w:val="7030A0"/>
          <w:lang w:eastAsia="es-MX"/>
        </w:rPr>
        <w:t xml:space="preserve"> sobre las personas de edad privadas de su libertad. ¿Ha aumentado o disminuido el número de personas de edad privadas de su libertad en la última década?</w:t>
      </w:r>
    </w:p>
    <w:p w:rsidR="00CD31FD" w:rsidRPr="00D47B67" w:rsidRDefault="00CD31FD" w:rsidP="00CD31FD">
      <w:pPr>
        <w:pStyle w:val="Prrafodelista"/>
        <w:spacing w:after="0" w:line="240" w:lineRule="auto"/>
        <w:jc w:val="both"/>
        <w:rPr>
          <w:rFonts w:eastAsia="Times New Roman" w:cs="Times New Roman"/>
          <w:color w:val="7030A0"/>
          <w:sz w:val="24"/>
          <w:szCs w:val="24"/>
          <w:lang w:eastAsia="es-MX"/>
        </w:rPr>
      </w:pPr>
    </w:p>
    <w:p w:rsidR="000C5B7F" w:rsidRPr="00D47B67" w:rsidRDefault="0083557D" w:rsidP="0083557D">
      <w:pPr>
        <w:jc w:val="both"/>
        <w:rPr>
          <w:rFonts w:cs="Arial"/>
          <w:shd w:val="clear" w:color="auto" w:fill="FFFFFF"/>
        </w:rPr>
      </w:pPr>
      <w:r w:rsidRPr="00D47B67">
        <w:rPr>
          <w:rFonts w:cs="Arial"/>
          <w:shd w:val="clear" w:color="auto" w:fill="FFFFFF"/>
        </w:rPr>
        <w:t xml:space="preserve">El </w:t>
      </w:r>
      <w:r w:rsidR="000E012C" w:rsidRPr="00D47B67">
        <w:rPr>
          <w:rFonts w:cs="Arial"/>
        </w:rPr>
        <w:t xml:space="preserve">Sistema Penitenciario de la </w:t>
      </w:r>
      <w:proofErr w:type="spellStart"/>
      <w:r w:rsidR="00D47B67">
        <w:rPr>
          <w:rFonts w:cs="Arial"/>
        </w:rPr>
        <w:t>CDMX</w:t>
      </w:r>
      <w:proofErr w:type="spellEnd"/>
      <w:r w:rsidRPr="00D47B67">
        <w:rPr>
          <w:rFonts w:cs="Arial"/>
        </w:rPr>
        <w:t xml:space="preserve"> comunicó </w:t>
      </w:r>
      <w:r w:rsidRPr="00D47B67">
        <w:rPr>
          <w:rFonts w:cs="Arial"/>
          <w:shd w:val="clear" w:color="auto" w:fill="FFFFFF"/>
        </w:rPr>
        <w:t xml:space="preserve">que para febrero de 2022 albergaba dentro de sus </w:t>
      </w:r>
      <w:r w:rsidR="000E012C" w:rsidRPr="00D47B67">
        <w:rPr>
          <w:rFonts w:cs="Arial"/>
          <w:shd w:val="clear" w:color="auto" w:fill="FFFFFF"/>
        </w:rPr>
        <w:t>13 centros</w:t>
      </w:r>
      <w:r w:rsidR="00CD31FD" w:rsidRPr="00D47B67">
        <w:rPr>
          <w:rFonts w:cs="Arial"/>
          <w:shd w:val="clear" w:color="auto" w:fill="FFFFFF"/>
        </w:rPr>
        <w:t>,</w:t>
      </w:r>
      <w:r w:rsidR="000E012C" w:rsidRPr="00D47B67">
        <w:rPr>
          <w:rFonts w:cs="Arial"/>
          <w:shd w:val="clear" w:color="auto" w:fill="FFFFFF"/>
        </w:rPr>
        <w:t xml:space="preserve"> una población de </w:t>
      </w:r>
      <w:r w:rsidR="000E012C" w:rsidRPr="00D47B67">
        <w:rPr>
          <w:rFonts w:cs="Arial"/>
        </w:rPr>
        <w:t xml:space="preserve">25,960 </w:t>
      </w:r>
      <w:r w:rsidR="000E012C" w:rsidRPr="00D47B67">
        <w:rPr>
          <w:rFonts w:cs="Arial"/>
          <w:shd w:val="clear" w:color="auto" w:fill="FFFFFF"/>
        </w:rPr>
        <w:t xml:space="preserve">personas. Respecto del total de las PPL, </w:t>
      </w:r>
      <w:r w:rsidR="000E012C" w:rsidRPr="00D47B67">
        <w:rPr>
          <w:rFonts w:cs="Arial"/>
        </w:rPr>
        <w:t>24,407 (94</w:t>
      </w:r>
      <w:r w:rsidR="00566491" w:rsidRPr="00D47B67">
        <w:rPr>
          <w:rFonts w:cs="Arial"/>
        </w:rPr>
        <w:t>.02</w:t>
      </w:r>
      <w:r w:rsidR="000E012C" w:rsidRPr="00D47B67">
        <w:rPr>
          <w:rFonts w:cs="Arial"/>
        </w:rPr>
        <w:t xml:space="preserve">%) </w:t>
      </w:r>
      <w:r w:rsidR="000E012C" w:rsidRPr="00D47B67">
        <w:rPr>
          <w:rFonts w:cs="Arial"/>
          <w:shd w:val="clear" w:color="auto" w:fill="FFFFFF"/>
        </w:rPr>
        <w:t xml:space="preserve">son hombres y </w:t>
      </w:r>
      <w:r w:rsidR="000E012C" w:rsidRPr="00D47B67">
        <w:rPr>
          <w:rFonts w:cs="Arial"/>
        </w:rPr>
        <w:t>1,553 (</w:t>
      </w:r>
      <w:r w:rsidR="00566491" w:rsidRPr="00D47B67">
        <w:rPr>
          <w:rFonts w:cs="Arial"/>
        </w:rPr>
        <w:t>5.98</w:t>
      </w:r>
      <w:r w:rsidR="000E012C" w:rsidRPr="00D47B67">
        <w:rPr>
          <w:rFonts w:cs="Arial"/>
        </w:rPr>
        <w:t xml:space="preserve">%) </w:t>
      </w:r>
      <w:r w:rsidR="000E012C" w:rsidRPr="00D47B67">
        <w:rPr>
          <w:rFonts w:cs="Arial"/>
          <w:shd w:val="clear" w:color="auto" w:fill="FFFFFF"/>
        </w:rPr>
        <w:t xml:space="preserve">son mujeres, de este universo </w:t>
      </w:r>
      <w:r w:rsidR="00CD31FD" w:rsidRPr="00D47B67">
        <w:rPr>
          <w:rFonts w:cs="Arial"/>
        </w:rPr>
        <w:t xml:space="preserve">825 </w:t>
      </w:r>
      <w:r w:rsidRPr="00D47B67">
        <w:rPr>
          <w:rFonts w:cs="Arial"/>
        </w:rPr>
        <w:t>son</w:t>
      </w:r>
      <w:r w:rsidR="00566491" w:rsidRPr="00D47B67">
        <w:rPr>
          <w:rFonts w:cs="Arial"/>
        </w:rPr>
        <w:t xml:space="preserve"> personas mayores, de</w:t>
      </w:r>
      <w:r w:rsidR="00A007D4" w:rsidRPr="00D47B67">
        <w:rPr>
          <w:rFonts w:cs="Arial"/>
        </w:rPr>
        <w:t>l cual</w:t>
      </w:r>
      <w:r w:rsidR="00566491" w:rsidRPr="00D47B67">
        <w:rPr>
          <w:rFonts w:cs="Arial"/>
        </w:rPr>
        <w:t xml:space="preserve"> se </w:t>
      </w:r>
      <w:r w:rsidR="00A007D4" w:rsidRPr="00D47B67">
        <w:rPr>
          <w:rFonts w:cs="Arial"/>
        </w:rPr>
        <w:t>distingue que el</w:t>
      </w:r>
      <w:r w:rsidR="00566491" w:rsidRPr="00D47B67">
        <w:rPr>
          <w:rFonts w:cs="Arial"/>
        </w:rPr>
        <w:t xml:space="preserve"> </w:t>
      </w:r>
      <w:r w:rsidR="00CD31FD" w:rsidRPr="00D47B67">
        <w:rPr>
          <w:rFonts w:cs="Arial"/>
        </w:rPr>
        <w:t>757</w:t>
      </w:r>
      <w:r w:rsidR="00566491" w:rsidRPr="00D47B67">
        <w:rPr>
          <w:rFonts w:cs="Arial"/>
        </w:rPr>
        <w:t xml:space="preserve"> (</w:t>
      </w:r>
      <w:r w:rsidR="00CD31FD" w:rsidRPr="00D47B67">
        <w:rPr>
          <w:rFonts w:cs="Arial"/>
        </w:rPr>
        <w:t>91.76%</w:t>
      </w:r>
      <w:r w:rsidR="00566491" w:rsidRPr="00D47B67">
        <w:rPr>
          <w:rFonts w:cs="Arial"/>
        </w:rPr>
        <w:t xml:space="preserve">) </w:t>
      </w:r>
      <w:r w:rsidR="00566491" w:rsidRPr="00D47B67">
        <w:rPr>
          <w:rFonts w:cs="Arial"/>
          <w:shd w:val="clear" w:color="auto" w:fill="FFFFFF"/>
        </w:rPr>
        <w:t xml:space="preserve">son hombres y </w:t>
      </w:r>
      <w:r w:rsidR="00CD31FD" w:rsidRPr="00D47B67">
        <w:rPr>
          <w:rFonts w:cs="Arial"/>
          <w:shd w:val="clear" w:color="auto" w:fill="FFFFFF"/>
        </w:rPr>
        <w:t>68</w:t>
      </w:r>
      <w:r w:rsidR="00566491" w:rsidRPr="00D47B67">
        <w:rPr>
          <w:rFonts w:cs="Arial"/>
        </w:rPr>
        <w:t xml:space="preserve"> (</w:t>
      </w:r>
      <w:r w:rsidR="00CD31FD" w:rsidRPr="00D47B67">
        <w:rPr>
          <w:rFonts w:cs="Arial"/>
        </w:rPr>
        <w:t>8.24%</w:t>
      </w:r>
      <w:r w:rsidR="00566491" w:rsidRPr="00D47B67">
        <w:rPr>
          <w:rFonts w:cs="Arial"/>
        </w:rPr>
        <w:t xml:space="preserve">) </w:t>
      </w:r>
      <w:r w:rsidR="00566491" w:rsidRPr="00D47B67">
        <w:rPr>
          <w:rFonts w:cs="Arial"/>
          <w:shd w:val="clear" w:color="auto" w:fill="FFFFFF"/>
        </w:rPr>
        <w:t>son mujeres</w:t>
      </w:r>
      <w:r w:rsidRPr="00D47B67">
        <w:rPr>
          <w:rFonts w:cs="Arial"/>
          <w:shd w:val="clear" w:color="auto" w:fill="FFFFFF"/>
        </w:rPr>
        <w:t>.</w:t>
      </w:r>
      <w:r w:rsidR="00A007D4" w:rsidRPr="00D47B67">
        <w:rPr>
          <w:rFonts w:cs="Arial"/>
        </w:rPr>
        <w:t xml:space="preserve"> </w:t>
      </w:r>
    </w:p>
    <w:p w:rsidR="000C5B7F" w:rsidRPr="00D47B67" w:rsidRDefault="000C5B7F" w:rsidP="000C5B7F">
      <w:pPr>
        <w:spacing w:after="0" w:line="240" w:lineRule="auto"/>
        <w:ind w:firstLine="720"/>
        <w:jc w:val="both"/>
        <w:rPr>
          <w:rFonts w:eastAsia="Times New Roman" w:cs="Times New Roman"/>
          <w:sz w:val="24"/>
          <w:szCs w:val="24"/>
          <w:lang w:eastAsia="es-MX"/>
        </w:rPr>
      </w:pPr>
      <w:r w:rsidRPr="00D47B67">
        <w:rPr>
          <w:rFonts w:eastAsia="Times New Roman" w:cs="Arial"/>
          <w:color w:val="222222"/>
          <w:lang w:eastAsia="es-MX"/>
        </w:rPr>
        <w:t>De la comparación de datos de las Encuesta Nacional de Población Privada de la Libertad, realizada en 2016 y 2021, es notorio el aumento de población de 50 años y más; mientras que, en 2016, este grupo constituía el 11.2% de la población, para 2021 creció a 14.5. Además, fue el grupo poblacional que más creció durante este periodo. Da cuenta que de la población total de PPL, en el caso de hombres, las personas con 50 años y más, representan el 14.8%, mientras que en el caso de mujeres representa el 10.1%.</w:t>
      </w:r>
    </w:p>
    <w:p w:rsidR="000C5B7F" w:rsidRPr="00D47B67" w:rsidRDefault="000C5B7F" w:rsidP="000C5B7F">
      <w:pPr>
        <w:spacing w:after="0" w:line="240" w:lineRule="auto"/>
        <w:rPr>
          <w:rFonts w:eastAsia="Times New Roman" w:cs="Times New Roman"/>
          <w:sz w:val="24"/>
          <w:szCs w:val="24"/>
          <w:lang w:eastAsia="es-MX"/>
        </w:rPr>
      </w:pPr>
    </w:p>
    <w:p w:rsidR="000C5B7F" w:rsidRPr="00D47B67" w:rsidRDefault="000C5B7F" w:rsidP="000C5B7F">
      <w:pPr>
        <w:pStyle w:val="Prrafodelista"/>
        <w:numPr>
          <w:ilvl w:val="0"/>
          <w:numId w:val="1"/>
        </w:numPr>
        <w:spacing w:after="0" w:line="240" w:lineRule="auto"/>
        <w:jc w:val="both"/>
        <w:rPr>
          <w:rFonts w:eastAsia="Times New Roman" w:cs="Times New Roman"/>
          <w:color w:val="7030A0"/>
          <w:sz w:val="24"/>
          <w:szCs w:val="24"/>
          <w:lang w:eastAsia="es-MX"/>
        </w:rPr>
      </w:pPr>
      <w:r w:rsidRPr="00D47B67">
        <w:rPr>
          <w:rFonts w:eastAsia="Times New Roman" w:cs="Arial"/>
          <w:color w:val="7030A0"/>
          <w:lang w:eastAsia="es-MX"/>
        </w:rPr>
        <w:t xml:space="preserve">¿Qué tipo de </w:t>
      </w:r>
      <w:r w:rsidRPr="00D47B67">
        <w:rPr>
          <w:rFonts w:eastAsia="Times New Roman" w:cs="Arial"/>
          <w:b/>
          <w:bCs/>
          <w:color w:val="7030A0"/>
          <w:lang w:eastAsia="es-MX"/>
        </w:rPr>
        <w:t>medidas específicas</w:t>
      </w:r>
      <w:r w:rsidRPr="00D47B67">
        <w:rPr>
          <w:rFonts w:eastAsia="Times New Roman" w:cs="Arial"/>
          <w:color w:val="7030A0"/>
          <w:lang w:eastAsia="es-MX"/>
        </w:rPr>
        <w:t xml:space="preserve"> se han tomado e implementado respecto de las personas de edad privadas de su libertad en el contexto de la </w:t>
      </w:r>
      <w:r w:rsidRPr="00D47B67">
        <w:rPr>
          <w:rFonts w:eastAsia="Times New Roman" w:cs="Arial"/>
          <w:b/>
          <w:bCs/>
          <w:color w:val="7030A0"/>
          <w:lang w:eastAsia="es-MX"/>
        </w:rPr>
        <w:t>pandemia del COVID-19</w:t>
      </w:r>
      <w:r w:rsidRPr="00D47B67">
        <w:rPr>
          <w:rFonts w:eastAsia="Times New Roman" w:cs="Arial"/>
          <w:color w:val="7030A0"/>
          <w:lang w:eastAsia="es-MX"/>
        </w:rPr>
        <w:t>?</w:t>
      </w:r>
    </w:p>
    <w:p w:rsidR="000C5B7F" w:rsidRPr="00D47B67" w:rsidRDefault="000C5B7F" w:rsidP="000C5B7F">
      <w:pPr>
        <w:spacing w:after="0" w:line="240" w:lineRule="auto"/>
        <w:rPr>
          <w:rFonts w:eastAsia="Times New Roman" w:cs="Times New Roman"/>
          <w:sz w:val="24"/>
          <w:szCs w:val="24"/>
          <w:lang w:eastAsia="es-MX"/>
        </w:rPr>
      </w:pPr>
    </w:p>
    <w:p w:rsidR="000C5B7F" w:rsidRPr="00D47B67" w:rsidRDefault="000C5B7F" w:rsidP="000C5B7F">
      <w:pPr>
        <w:spacing w:after="0" w:line="240" w:lineRule="auto"/>
        <w:jc w:val="both"/>
        <w:rPr>
          <w:rFonts w:eastAsia="Times New Roman" w:cs="Times New Roman"/>
          <w:sz w:val="24"/>
          <w:szCs w:val="24"/>
          <w:lang w:eastAsia="es-MX"/>
        </w:rPr>
      </w:pPr>
      <w:r w:rsidRPr="00D47B67">
        <w:rPr>
          <w:rFonts w:eastAsia="Times New Roman" w:cs="Arial"/>
          <w:color w:val="222222"/>
          <w:lang w:eastAsia="es-MX"/>
        </w:rPr>
        <w:t xml:space="preserve">De acuerdo con las verificaciones realizadas en el contexto de la pandemia de COVID-19 por parte de esta Comisión a Centros penitenciarios de la </w:t>
      </w:r>
      <w:r w:rsidR="00D47B67">
        <w:rPr>
          <w:rFonts w:eastAsia="Times New Roman" w:cs="Arial"/>
          <w:color w:val="222222"/>
          <w:lang w:eastAsia="es-MX"/>
        </w:rPr>
        <w:t>CD</w:t>
      </w:r>
      <w:bookmarkStart w:id="0" w:name="_GoBack"/>
      <w:bookmarkEnd w:id="0"/>
      <w:r w:rsidR="00D47B67">
        <w:rPr>
          <w:rFonts w:eastAsia="Times New Roman" w:cs="Arial"/>
          <w:color w:val="222222"/>
          <w:lang w:eastAsia="es-MX"/>
        </w:rPr>
        <w:t>MX</w:t>
      </w:r>
      <w:r w:rsidRPr="00D47B67">
        <w:rPr>
          <w:rFonts w:eastAsia="Times New Roman" w:cs="Arial"/>
          <w:color w:val="222222"/>
          <w:lang w:eastAsia="es-MX"/>
        </w:rPr>
        <w:t xml:space="preserve"> se constató que tomaron medidas de atención y prevención como la actuación conjunta de autoridades penitenciarias y de salud locales para la elaboración e implementaci</w:t>
      </w:r>
      <w:r w:rsidR="00582BEB" w:rsidRPr="00D47B67">
        <w:rPr>
          <w:rFonts w:eastAsia="Times New Roman" w:cs="Arial"/>
          <w:color w:val="222222"/>
          <w:lang w:eastAsia="es-MX"/>
        </w:rPr>
        <w:t>ón de protocolos de prevención como</w:t>
      </w:r>
      <w:r w:rsidRPr="00D47B67">
        <w:rPr>
          <w:rFonts w:eastAsia="Times New Roman" w:cs="Arial"/>
          <w:color w:val="222222"/>
          <w:lang w:eastAsia="es-MX"/>
        </w:rPr>
        <w:t xml:space="preserve"> de actuación frente a la contingencia sanitaria al interior de los centros penitenciarios.</w:t>
      </w:r>
    </w:p>
    <w:p w:rsidR="000C5B7F" w:rsidRPr="00D47B67" w:rsidRDefault="000C5B7F" w:rsidP="000C5B7F">
      <w:pPr>
        <w:spacing w:before="240" w:after="240" w:line="240" w:lineRule="auto"/>
        <w:ind w:firstLine="700"/>
        <w:jc w:val="both"/>
        <w:rPr>
          <w:rFonts w:eastAsia="Times New Roman" w:cs="Times New Roman"/>
          <w:sz w:val="24"/>
          <w:szCs w:val="24"/>
          <w:lang w:eastAsia="es-MX"/>
        </w:rPr>
      </w:pPr>
      <w:r w:rsidRPr="00D47B67">
        <w:rPr>
          <w:rFonts w:eastAsia="Times New Roman" w:cs="Arial"/>
          <w:color w:val="222222"/>
          <w:lang w:eastAsia="es-MX"/>
        </w:rPr>
        <w:t>Estas acciones fueron dirigidas a PPL, visitantes, familiares y autoridades externas; la dotación de insumos de limpieza para el lavado de manos, y de protección,</w:t>
      </w:r>
      <w:r w:rsidRPr="00D47B67">
        <w:rPr>
          <w:rFonts w:eastAsia="Times New Roman" w:cs="Arial"/>
          <w:lang w:eastAsia="es-MX"/>
        </w:rPr>
        <w:t xml:space="preserve"> </w:t>
      </w:r>
      <w:r w:rsidRPr="00D47B67">
        <w:rPr>
          <w:rFonts w:eastAsia="Times New Roman" w:cs="Arial"/>
          <w:color w:val="222222"/>
          <w:lang w:eastAsia="es-MX"/>
        </w:rPr>
        <w:t>fueron indispensables para prevenir contagios o la propagación del virus; la habilitación de áreas para alojar a los casos sospechosos y positivos a COVID-19, y a personas en especial condición de vulnerabilidad, como las personas mayores.</w:t>
      </w:r>
    </w:p>
    <w:p w:rsidR="000C5B7F" w:rsidRPr="00D47B67" w:rsidRDefault="000C5B7F" w:rsidP="000C5B7F">
      <w:pPr>
        <w:spacing w:before="240" w:after="240" w:line="240" w:lineRule="auto"/>
        <w:ind w:firstLine="700"/>
        <w:jc w:val="both"/>
        <w:rPr>
          <w:rFonts w:eastAsia="Times New Roman" w:cs="Times New Roman"/>
          <w:sz w:val="24"/>
          <w:szCs w:val="24"/>
          <w:lang w:eastAsia="es-MX"/>
        </w:rPr>
      </w:pPr>
      <w:r w:rsidRPr="00D47B67">
        <w:rPr>
          <w:rFonts w:eastAsia="Times New Roman" w:cs="Arial"/>
          <w:color w:val="222222"/>
          <w:lang w:eastAsia="es-MX"/>
        </w:rPr>
        <w:t xml:space="preserve">A nivel local, destaca el traslado que, el 12 de mayo del 2020, se hizo de las personas incorporadas al Programa de Atención al Adulto Mayor en el Reclusorio Preventivo Varonil Oriente de la </w:t>
      </w:r>
      <w:proofErr w:type="spellStart"/>
      <w:r w:rsidR="00D47B67">
        <w:rPr>
          <w:rFonts w:eastAsia="Times New Roman" w:cs="Arial"/>
          <w:color w:val="222222"/>
          <w:lang w:eastAsia="es-MX"/>
        </w:rPr>
        <w:t>CDMX</w:t>
      </w:r>
      <w:proofErr w:type="spellEnd"/>
      <w:r w:rsidRPr="00D47B67">
        <w:rPr>
          <w:rFonts w:eastAsia="Times New Roman" w:cs="Arial"/>
          <w:color w:val="222222"/>
          <w:lang w:eastAsia="es-MX"/>
        </w:rPr>
        <w:t>, al Centro de Ejecución de Sanciones Penales aledaño a éste, por ser un espacio con mejores condiciones para su alojamiento, reducida población y mayor control en medidas sanitarias para protegerlos ante riesgos de contagio.</w:t>
      </w:r>
    </w:p>
    <w:p w:rsidR="000C5B7F" w:rsidRPr="00D47B67" w:rsidRDefault="000C5B7F" w:rsidP="000C5B7F">
      <w:pPr>
        <w:pStyle w:val="Prrafodelista"/>
        <w:numPr>
          <w:ilvl w:val="0"/>
          <w:numId w:val="1"/>
        </w:numPr>
        <w:spacing w:after="0" w:line="240" w:lineRule="auto"/>
        <w:jc w:val="both"/>
        <w:rPr>
          <w:rFonts w:eastAsia="Times New Roman" w:cs="Times New Roman"/>
          <w:color w:val="7030A0"/>
          <w:sz w:val="24"/>
          <w:szCs w:val="24"/>
          <w:lang w:eastAsia="es-MX"/>
        </w:rPr>
      </w:pPr>
      <w:r w:rsidRPr="00D47B67">
        <w:rPr>
          <w:rFonts w:eastAsia="Times New Roman" w:cs="Arial"/>
          <w:color w:val="7030A0"/>
          <w:lang w:eastAsia="es-MX"/>
        </w:rPr>
        <w:t xml:space="preserve">¿Podría darnos una visión general sobre los </w:t>
      </w:r>
      <w:r w:rsidRPr="00D47B67">
        <w:rPr>
          <w:rFonts w:eastAsia="Times New Roman" w:cs="Arial"/>
          <w:b/>
          <w:bCs/>
          <w:color w:val="7030A0"/>
          <w:lang w:eastAsia="es-MX"/>
        </w:rPr>
        <w:t>marcos legales nacionales y locales</w:t>
      </w:r>
      <w:r w:rsidRPr="00D47B67">
        <w:rPr>
          <w:rFonts w:eastAsia="Times New Roman" w:cs="Arial"/>
          <w:color w:val="7030A0"/>
          <w:lang w:eastAsia="es-MX"/>
        </w:rPr>
        <w:t xml:space="preserve"> que Previenen y protegen a las personas de edad privadas de su libertad de violaciones a los derechos humanos? ¿Existen mecanismos nacionales de supervisión y rendición de cuentas efectivos y disponibles? Proporcione una respuesta detallada con información/documentos de respaldo.</w:t>
      </w:r>
    </w:p>
    <w:p w:rsidR="000C5B7F" w:rsidRPr="00D47B67" w:rsidRDefault="000C5B7F" w:rsidP="000C5B7F">
      <w:pPr>
        <w:spacing w:after="0" w:line="240" w:lineRule="auto"/>
        <w:rPr>
          <w:rFonts w:eastAsia="Times New Roman" w:cs="Times New Roman"/>
          <w:sz w:val="24"/>
          <w:szCs w:val="24"/>
          <w:lang w:eastAsia="es-MX"/>
        </w:rPr>
      </w:pPr>
    </w:p>
    <w:p w:rsidR="000C5B7F" w:rsidRPr="00D47B67" w:rsidRDefault="000C5B7F" w:rsidP="00582BEB">
      <w:pPr>
        <w:spacing w:before="240" w:after="240" w:line="240" w:lineRule="auto"/>
        <w:jc w:val="both"/>
        <w:rPr>
          <w:rFonts w:eastAsia="Times New Roman" w:cs="Arial"/>
          <w:color w:val="000000"/>
          <w:lang w:eastAsia="es-MX"/>
        </w:rPr>
      </w:pPr>
      <w:r w:rsidRPr="00D47B67">
        <w:rPr>
          <w:rFonts w:eastAsia="Times New Roman" w:cs="Arial"/>
          <w:color w:val="000000"/>
          <w:lang w:eastAsia="es-MX"/>
        </w:rPr>
        <w:t>La</w:t>
      </w:r>
      <w:r w:rsidR="00582BEB" w:rsidRPr="00D47B67">
        <w:rPr>
          <w:rFonts w:eastAsia="Times New Roman" w:cs="Arial"/>
          <w:color w:val="000000"/>
          <w:lang w:eastAsia="es-MX"/>
        </w:rPr>
        <w:t xml:space="preserve"> principal Ley que protege a las personas mayores</w:t>
      </w:r>
      <w:r w:rsidRPr="00D47B67">
        <w:rPr>
          <w:rFonts w:eastAsia="Times New Roman" w:cs="Arial"/>
          <w:color w:val="000000"/>
          <w:lang w:eastAsia="es-MX"/>
        </w:rPr>
        <w:t xml:space="preserve"> es la Ley de los D</w:t>
      </w:r>
      <w:r w:rsidR="00582BEB" w:rsidRPr="00D47B67">
        <w:rPr>
          <w:rFonts w:eastAsia="Times New Roman" w:cs="Arial"/>
          <w:color w:val="000000"/>
          <w:lang w:eastAsia="es-MX"/>
        </w:rPr>
        <w:t xml:space="preserve">erechos de las Personas </w:t>
      </w:r>
      <w:r w:rsidRPr="00D47B67">
        <w:rPr>
          <w:rFonts w:eastAsia="Times New Roman" w:cs="Arial"/>
          <w:color w:val="000000"/>
          <w:lang w:eastAsia="es-MX"/>
        </w:rPr>
        <w:t>Mayores, acorde a la Constitución Política, La Ley General de Salud, y diversos ordenamientos a nivel federal les otorgan. En el caso de las</w:t>
      </w:r>
      <w:r w:rsidR="00582BEB" w:rsidRPr="00D47B67">
        <w:rPr>
          <w:rFonts w:eastAsia="Times New Roman" w:cs="Arial"/>
          <w:color w:val="000000"/>
          <w:lang w:eastAsia="es-MX"/>
        </w:rPr>
        <w:t xml:space="preserve"> personas</w:t>
      </w:r>
      <w:r w:rsidRPr="00D47B67">
        <w:rPr>
          <w:rFonts w:eastAsia="Times New Roman" w:cs="Arial"/>
          <w:color w:val="000000"/>
          <w:lang w:eastAsia="es-MX"/>
        </w:rPr>
        <w:t xml:space="preserve"> mayores en reclusión, se suma la protección ante formas de discriminación y las bases de organización del sistema penitenciario nacional, </w:t>
      </w:r>
      <w:r w:rsidRPr="00D47B67">
        <w:rPr>
          <w:rFonts w:eastAsia="Times New Roman" w:cs="Arial"/>
          <w:color w:val="222222"/>
          <w:lang w:eastAsia="es-MX"/>
        </w:rPr>
        <w:t xml:space="preserve">organización del sistema penitenciario nacional y estatal es </w:t>
      </w:r>
      <w:r w:rsidRPr="00D47B67">
        <w:rPr>
          <w:rFonts w:eastAsia="Times New Roman" w:cs="Arial"/>
          <w:color w:val="000000"/>
          <w:lang w:eastAsia="es-MX"/>
        </w:rPr>
        <w:t>entorno</w:t>
      </w:r>
      <w:r w:rsidRPr="00D47B67">
        <w:rPr>
          <w:rFonts w:eastAsia="Times New Roman" w:cs="Arial"/>
          <w:color w:val="222222"/>
          <w:lang w:eastAsia="es-MX"/>
        </w:rPr>
        <w:t xml:space="preserve"> a los Derechos Humanos, fundamentándose dentro </w:t>
      </w:r>
      <w:r w:rsidRPr="00D47B67">
        <w:rPr>
          <w:rFonts w:eastAsia="Times New Roman" w:cs="Arial"/>
          <w:color w:val="000000"/>
          <w:lang w:eastAsia="es-MX"/>
        </w:rPr>
        <w:t xml:space="preserve">del artículo 1° y 18° Constitucional, así como el artículo 7° de la Ley Nacional de Ejecución Penal, que establece a las Secretarías de Gobierno y autoridades locales como </w:t>
      </w:r>
      <w:r w:rsidRPr="00D47B67">
        <w:rPr>
          <w:rFonts w:eastAsia="Times New Roman" w:cs="Arial"/>
          <w:color w:val="000000"/>
          <w:lang w:eastAsia="es-MX"/>
        </w:rPr>
        <w:lastRenderedPageBreak/>
        <w:t>encargadas de diseñar e implementar los distintos programas de servicios para la reinserción social al interior de los centros penitenciarios, y de servicios post-penales a nivel federal y estatal.</w:t>
      </w:r>
    </w:p>
    <w:p w:rsidR="000C5B7F" w:rsidRPr="00D47B67" w:rsidRDefault="000C5B7F" w:rsidP="000C5B7F">
      <w:pPr>
        <w:spacing w:before="240" w:after="240" w:line="240" w:lineRule="auto"/>
        <w:ind w:firstLine="700"/>
        <w:jc w:val="both"/>
        <w:rPr>
          <w:rFonts w:eastAsia="Times New Roman" w:cs="Times New Roman"/>
          <w:sz w:val="24"/>
          <w:szCs w:val="24"/>
          <w:lang w:eastAsia="es-MX"/>
        </w:rPr>
      </w:pPr>
      <w:r w:rsidRPr="00D47B67">
        <w:rPr>
          <w:rFonts w:eastAsia="Times New Roman" w:cs="Arial"/>
          <w:color w:val="222222"/>
          <w:lang w:eastAsia="es-MX"/>
        </w:rPr>
        <w:t>En la</w:t>
      </w:r>
      <w:r w:rsidRPr="00D47B67">
        <w:rPr>
          <w:rFonts w:eastAsia="Times New Roman" w:cs="Arial"/>
          <w:color w:val="000000"/>
          <w:lang w:eastAsia="es-MX"/>
        </w:rPr>
        <w:t xml:space="preserve"> Constitución Política de la C</w:t>
      </w:r>
      <w:r w:rsidR="00582BEB" w:rsidRPr="00D47B67">
        <w:rPr>
          <w:rFonts w:eastAsia="Times New Roman" w:cs="Arial"/>
          <w:color w:val="000000"/>
          <w:lang w:eastAsia="es-MX"/>
        </w:rPr>
        <w:t>iudad de México</w:t>
      </w:r>
      <w:r w:rsidRPr="00D47B67">
        <w:rPr>
          <w:rFonts w:eastAsia="Times New Roman" w:cs="Arial"/>
          <w:color w:val="000000"/>
          <w:lang w:eastAsia="es-MX"/>
        </w:rPr>
        <w:t xml:space="preserve"> en el artículo 11°, les establece doblemente como grupos de atención prioritaria, en este sentido a las </w:t>
      </w:r>
      <w:r w:rsidR="00A6540F" w:rsidRPr="00D47B67">
        <w:rPr>
          <w:rFonts w:eastAsia="Times New Roman" w:cs="Arial"/>
          <w:color w:val="222222"/>
          <w:lang w:eastAsia="es-MX"/>
        </w:rPr>
        <w:t xml:space="preserve">personas mayores </w:t>
      </w:r>
      <w:r w:rsidRPr="00D47B67">
        <w:rPr>
          <w:rFonts w:eastAsia="Times New Roman" w:cs="Arial"/>
          <w:color w:val="000000"/>
          <w:lang w:eastAsia="es-MX"/>
        </w:rPr>
        <w:t xml:space="preserve">y </w:t>
      </w:r>
      <w:r w:rsidR="00582BEB" w:rsidRPr="00D47B67">
        <w:rPr>
          <w:rFonts w:eastAsia="Times New Roman" w:cs="Arial"/>
          <w:color w:val="000000"/>
          <w:lang w:eastAsia="es-MX"/>
        </w:rPr>
        <w:t>PPL</w:t>
      </w:r>
      <w:r w:rsidRPr="00D47B67">
        <w:rPr>
          <w:rFonts w:eastAsia="Times New Roman" w:cs="Arial"/>
          <w:color w:val="000000"/>
          <w:lang w:eastAsia="es-MX"/>
        </w:rPr>
        <w:t>, lo que propone mirarles desde una doble protección constitucional.</w:t>
      </w:r>
    </w:p>
    <w:p w:rsidR="000C5B7F" w:rsidRPr="00D47B67" w:rsidRDefault="000C5B7F" w:rsidP="000C5B7F">
      <w:pPr>
        <w:spacing w:before="240" w:after="240" w:line="240" w:lineRule="auto"/>
        <w:ind w:firstLine="700"/>
        <w:jc w:val="both"/>
        <w:rPr>
          <w:rFonts w:eastAsia="Times New Roman" w:cs="Times New Roman"/>
          <w:sz w:val="24"/>
          <w:szCs w:val="24"/>
          <w:lang w:eastAsia="es-MX"/>
        </w:rPr>
      </w:pPr>
      <w:r w:rsidRPr="00D47B67">
        <w:rPr>
          <w:rFonts w:eastAsia="Times New Roman" w:cs="Arial"/>
          <w:color w:val="222222"/>
          <w:lang w:eastAsia="es-MX"/>
        </w:rPr>
        <w:t xml:space="preserve">En la </w:t>
      </w:r>
      <w:proofErr w:type="spellStart"/>
      <w:r w:rsidR="00D47B67">
        <w:rPr>
          <w:rFonts w:eastAsia="Times New Roman" w:cs="Arial"/>
          <w:color w:val="222222"/>
          <w:lang w:eastAsia="es-MX"/>
        </w:rPr>
        <w:t>CDMX</w:t>
      </w:r>
      <w:proofErr w:type="spellEnd"/>
      <w:r w:rsidRPr="00D47B67">
        <w:rPr>
          <w:rFonts w:eastAsia="Times New Roman" w:cs="Arial"/>
          <w:color w:val="222222"/>
          <w:lang w:eastAsia="es-MX"/>
        </w:rPr>
        <w:t xml:space="preserve">, la Subsecretaría de Sistema Penitenciario a través de la Dirección Ejecutiva de Prevención y Reinserción Social, ha implementa acciones y programas de tratamiento encaminados a alcanzar la Reinserción Social, a través de la coordinación con cada una de las Subdirecciones Técnicas en centros de reclusión que alojan a </w:t>
      </w:r>
      <w:r w:rsidR="00A6540F" w:rsidRPr="00D47B67">
        <w:rPr>
          <w:rFonts w:eastAsia="Times New Roman" w:cs="Arial"/>
          <w:color w:val="222222"/>
          <w:lang w:eastAsia="es-MX"/>
        </w:rPr>
        <w:t>personas mayores</w:t>
      </w:r>
      <w:r w:rsidRPr="00D47B67">
        <w:rPr>
          <w:rFonts w:eastAsia="Times New Roman" w:cs="Arial"/>
          <w:color w:val="222222"/>
          <w:lang w:eastAsia="es-MX"/>
        </w:rPr>
        <w:t xml:space="preserve">, quienes elaboran una base de datos de </w:t>
      </w:r>
      <w:r w:rsidR="00A6540F" w:rsidRPr="00D47B67">
        <w:rPr>
          <w:rFonts w:eastAsia="Times New Roman" w:cs="Arial"/>
          <w:color w:val="222222"/>
          <w:lang w:eastAsia="es-MX"/>
        </w:rPr>
        <w:t xml:space="preserve">dicha </w:t>
      </w:r>
      <w:r w:rsidRPr="00D47B67">
        <w:rPr>
          <w:rFonts w:eastAsia="Times New Roman" w:cs="Arial"/>
          <w:color w:val="222222"/>
          <w:lang w:eastAsia="es-MX"/>
        </w:rPr>
        <w:t xml:space="preserve">población y realizan visitas mensuales a los espacios destinados al internamiento, para verificar condiciones de espacios físicos, higiene y necesidades. </w:t>
      </w:r>
    </w:p>
    <w:p w:rsidR="000C5B7F" w:rsidRPr="00D47B67" w:rsidRDefault="000C5B7F" w:rsidP="000C5B7F">
      <w:pPr>
        <w:spacing w:before="240" w:after="240" w:line="240" w:lineRule="auto"/>
        <w:ind w:firstLine="700"/>
        <w:jc w:val="both"/>
        <w:rPr>
          <w:rFonts w:eastAsia="Times New Roman" w:cs="Times New Roman"/>
          <w:sz w:val="24"/>
          <w:szCs w:val="24"/>
          <w:lang w:eastAsia="es-MX"/>
        </w:rPr>
      </w:pPr>
      <w:r w:rsidRPr="00D47B67">
        <w:rPr>
          <w:rFonts w:eastAsia="Times New Roman" w:cs="Arial"/>
          <w:color w:val="000000"/>
          <w:lang w:eastAsia="es-MX"/>
        </w:rPr>
        <w:t>Dentro</w:t>
      </w:r>
      <w:r w:rsidRPr="00D47B67">
        <w:rPr>
          <w:rFonts w:eastAsia="Times New Roman" w:cs="Arial"/>
          <w:color w:val="222222"/>
          <w:lang w:eastAsia="es-MX"/>
        </w:rPr>
        <w:t xml:space="preserve"> de los Centros penitenciarios existen mecanismos de actuación para la presentación de peticiones que tienen como objetivo atender las inconformidades, inquietudes e irregularidades que exponen las PPL a nombre propio o colectivo, e incluso aquellas legitimadas ante los titulares o responsables de los centros de manera directa, o bien, a través de familiares, amistades e incluso autoridades u organizaciones de la sociedad civil.</w:t>
      </w:r>
    </w:p>
    <w:p w:rsidR="000C5B7F" w:rsidRPr="00D47B67" w:rsidRDefault="000C5B7F" w:rsidP="000C5B7F">
      <w:pPr>
        <w:spacing w:before="240" w:after="240" w:line="240" w:lineRule="auto"/>
        <w:ind w:firstLine="700"/>
        <w:jc w:val="both"/>
        <w:rPr>
          <w:rFonts w:eastAsia="Times New Roman" w:cs="Times New Roman"/>
          <w:sz w:val="24"/>
          <w:szCs w:val="24"/>
          <w:lang w:eastAsia="es-MX"/>
        </w:rPr>
      </w:pPr>
      <w:r w:rsidRPr="00D47B67">
        <w:rPr>
          <w:rFonts w:eastAsia="Times New Roman" w:cs="Arial"/>
          <w:color w:val="222222"/>
          <w:lang w:eastAsia="es-MX"/>
        </w:rPr>
        <w:t>En caso de que las inconformidades que involucren posibles violaciones a derechos humanos, se aplican actividades para atender las situaciones, reuniones institucionales para mejorar condiciones y solución de problemáticas, procedimientos de investigación que deriven en acciones de protección de derechos, informes temáticos, o bien, la exposición pública de recomendaciones por violaciones a derechos humanos</w:t>
      </w:r>
    </w:p>
    <w:p w:rsidR="000C5B7F" w:rsidRPr="00D47B67" w:rsidRDefault="000C5B7F" w:rsidP="000C5B7F">
      <w:pPr>
        <w:spacing w:before="240" w:after="240" w:line="240" w:lineRule="auto"/>
        <w:ind w:firstLine="700"/>
        <w:jc w:val="both"/>
        <w:rPr>
          <w:rFonts w:eastAsia="Times New Roman" w:cs="Times New Roman"/>
          <w:sz w:val="24"/>
          <w:szCs w:val="24"/>
          <w:lang w:eastAsia="es-MX"/>
        </w:rPr>
      </w:pPr>
      <w:r w:rsidRPr="00D47B67">
        <w:rPr>
          <w:rFonts w:eastAsia="Times New Roman" w:cs="Arial"/>
          <w:color w:val="222222"/>
          <w:lang w:eastAsia="es-MX"/>
        </w:rPr>
        <w:t xml:space="preserve">Se destaca que la intervención de organismos locales de protección a derechos humanos se orienta a la atención de las diferencias específicas que generan inequidad en las </w:t>
      </w:r>
      <w:r w:rsidR="00A6540F" w:rsidRPr="00D47B67">
        <w:rPr>
          <w:rFonts w:eastAsia="Times New Roman" w:cs="Arial"/>
          <w:color w:val="222222"/>
          <w:lang w:eastAsia="es-MX"/>
        </w:rPr>
        <w:t xml:space="preserve">personas mayores </w:t>
      </w:r>
      <w:r w:rsidRPr="00D47B67">
        <w:rPr>
          <w:rFonts w:eastAsia="Times New Roman" w:cs="Arial"/>
          <w:color w:val="222222"/>
          <w:lang w:eastAsia="es-MX"/>
        </w:rPr>
        <w:t>en reclusión, y su actuación a la garantía de nutrición, salud, educación, cuidado diario y asistencia especial cuando sufran enfermedades crónicas o degenerativas, realización de actividades recreativas y espirituales.</w:t>
      </w:r>
    </w:p>
    <w:p w:rsidR="000C5B7F" w:rsidRPr="00D47B67" w:rsidRDefault="000C5B7F" w:rsidP="000C5B7F">
      <w:pPr>
        <w:pStyle w:val="Prrafodelista"/>
        <w:numPr>
          <w:ilvl w:val="0"/>
          <w:numId w:val="1"/>
        </w:numPr>
        <w:spacing w:after="0" w:line="240" w:lineRule="auto"/>
        <w:rPr>
          <w:rFonts w:eastAsia="Times New Roman" w:cs="Times New Roman"/>
          <w:color w:val="7030A0"/>
          <w:sz w:val="24"/>
          <w:szCs w:val="24"/>
          <w:lang w:eastAsia="es-MX"/>
        </w:rPr>
      </w:pPr>
      <w:r w:rsidRPr="00D47B67">
        <w:rPr>
          <w:rFonts w:eastAsia="Times New Roman" w:cs="Arial"/>
          <w:color w:val="7030A0"/>
          <w:lang w:eastAsia="es-MX"/>
        </w:rPr>
        <w:t xml:space="preserve">Comparta ejemplos de </w:t>
      </w:r>
      <w:r w:rsidRPr="00D47B67">
        <w:rPr>
          <w:rFonts w:eastAsia="Times New Roman" w:cs="Arial"/>
          <w:b/>
          <w:bCs/>
          <w:color w:val="7030A0"/>
          <w:lang w:eastAsia="es-MX"/>
        </w:rPr>
        <w:t>prácticas buenas</w:t>
      </w:r>
      <w:r w:rsidRPr="00D47B67">
        <w:rPr>
          <w:rFonts w:eastAsia="Times New Roman" w:cs="Arial"/>
          <w:color w:val="7030A0"/>
          <w:lang w:eastAsia="es-MX"/>
        </w:rPr>
        <w:t xml:space="preserve"> sobre cómo garantizar que las personas de edad privadas de su libertad puedan ejercer sus derechos humanos.</w:t>
      </w:r>
    </w:p>
    <w:p w:rsidR="000C5B7F" w:rsidRPr="00D47B67" w:rsidRDefault="000C5B7F" w:rsidP="000C5B7F">
      <w:pPr>
        <w:spacing w:before="240" w:after="240" w:line="240" w:lineRule="auto"/>
        <w:jc w:val="both"/>
        <w:rPr>
          <w:rFonts w:eastAsia="Times New Roman" w:cs="Arial"/>
          <w:color w:val="222222"/>
          <w:lang w:eastAsia="es-MX"/>
        </w:rPr>
      </w:pPr>
      <w:r w:rsidRPr="00D47B67">
        <w:rPr>
          <w:rFonts w:eastAsia="Times New Roman" w:cs="Arial"/>
          <w:color w:val="222222"/>
          <w:lang w:eastAsia="es-MX"/>
        </w:rPr>
        <w:t>Para la atención efectiva de la población</w:t>
      </w:r>
      <w:r w:rsidR="00A6540F" w:rsidRPr="00D47B67">
        <w:rPr>
          <w:rFonts w:eastAsia="Times New Roman" w:cs="Arial"/>
          <w:color w:val="222222"/>
          <w:lang w:eastAsia="es-MX"/>
        </w:rPr>
        <w:t xml:space="preserve"> de personas</w:t>
      </w:r>
      <w:r w:rsidR="0049156D" w:rsidRPr="00D47B67">
        <w:rPr>
          <w:rFonts w:eastAsia="Times New Roman" w:cs="Arial"/>
          <w:color w:val="222222"/>
          <w:lang w:eastAsia="es-MX"/>
        </w:rPr>
        <w:t xml:space="preserve"> </w:t>
      </w:r>
      <w:r w:rsidRPr="00D47B67">
        <w:rPr>
          <w:rFonts w:eastAsia="Times New Roman" w:cs="Arial"/>
          <w:color w:val="222222"/>
          <w:lang w:eastAsia="es-MX"/>
        </w:rPr>
        <w:t>mayor</w:t>
      </w:r>
      <w:r w:rsidR="00A6540F" w:rsidRPr="00D47B67">
        <w:rPr>
          <w:rFonts w:eastAsia="Times New Roman" w:cs="Arial"/>
          <w:color w:val="222222"/>
          <w:lang w:eastAsia="es-MX"/>
        </w:rPr>
        <w:t>es</w:t>
      </w:r>
      <w:r w:rsidRPr="00D47B67">
        <w:rPr>
          <w:rFonts w:eastAsia="Times New Roman" w:cs="Arial"/>
          <w:color w:val="222222"/>
          <w:lang w:eastAsia="es-MX"/>
        </w:rPr>
        <w:t xml:space="preserve"> privada</w:t>
      </w:r>
      <w:r w:rsidR="00A6540F" w:rsidRPr="00D47B67">
        <w:rPr>
          <w:rFonts w:eastAsia="Times New Roman" w:cs="Arial"/>
          <w:color w:val="222222"/>
          <w:lang w:eastAsia="es-MX"/>
        </w:rPr>
        <w:t>s</w:t>
      </w:r>
      <w:r w:rsidRPr="00D47B67">
        <w:rPr>
          <w:rFonts w:eastAsia="Times New Roman" w:cs="Arial"/>
          <w:color w:val="222222"/>
          <w:lang w:eastAsia="es-MX"/>
        </w:rPr>
        <w:t xml:space="preserve"> de libertad es necesario llevar a cabo </w:t>
      </w:r>
      <w:r w:rsidR="0058372D" w:rsidRPr="00D47B67">
        <w:rPr>
          <w:rFonts w:cs="Arial"/>
          <w:color w:val="222222"/>
          <w:shd w:val="clear" w:color="auto" w:fill="FFFFFF"/>
        </w:rPr>
        <w:t xml:space="preserve">medidas generales de accesibilidad a la </w:t>
      </w:r>
      <w:r w:rsidR="00D366A3" w:rsidRPr="00D47B67">
        <w:rPr>
          <w:rFonts w:cs="Arial"/>
          <w:color w:val="222222"/>
          <w:shd w:val="clear" w:color="auto" w:fill="FFFFFF"/>
        </w:rPr>
        <w:t>p</w:t>
      </w:r>
      <w:r w:rsidR="0058372D" w:rsidRPr="00D47B67">
        <w:rPr>
          <w:rFonts w:cs="Arial"/>
          <w:color w:val="222222"/>
          <w:shd w:val="clear" w:color="auto" w:fill="FFFFFF"/>
        </w:rPr>
        <w:t>ar de ajustes razonables</w:t>
      </w:r>
      <w:r w:rsidR="0058372D" w:rsidRPr="00D47B67">
        <w:rPr>
          <w:rFonts w:eastAsia="Times New Roman" w:cs="Arial"/>
          <w:color w:val="222222"/>
          <w:lang w:eastAsia="es-MX"/>
        </w:rPr>
        <w:t xml:space="preserve"> </w:t>
      </w:r>
      <w:r w:rsidRPr="00D47B67">
        <w:rPr>
          <w:rFonts w:eastAsia="Times New Roman" w:cs="Arial"/>
          <w:color w:val="222222"/>
          <w:lang w:eastAsia="es-MX"/>
        </w:rPr>
        <w:t>en los criterios de seguridad a fin de que puedan estar en áreas separadas del resto de la población de los centros penitenciarios para evitar que puedan ser objeto de abuso, las cuales deben estar cerca de las unidades médicas y áreas técnicas.</w:t>
      </w:r>
    </w:p>
    <w:p w:rsidR="007C5237" w:rsidRPr="00D47B67" w:rsidRDefault="000C5B7F" w:rsidP="000C5B7F">
      <w:pPr>
        <w:spacing w:before="240" w:after="240" w:line="240" w:lineRule="auto"/>
        <w:ind w:firstLine="720"/>
        <w:jc w:val="both"/>
        <w:rPr>
          <w:rFonts w:eastAsia="Times New Roman" w:cs="Times New Roman"/>
          <w:sz w:val="24"/>
          <w:szCs w:val="24"/>
          <w:lang w:eastAsia="es-MX"/>
        </w:rPr>
      </w:pPr>
      <w:r w:rsidRPr="00D47B67">
        <w:rPr>
          <w:rFonts w:eastAsia="Times New Roman" w:cs="Arial"/>
          <w:color w:val="222222"/>
          <w:lang w:eastAsia="es-MX"/>
        </w:rPr>
        <w:t xml:space="preserve">Finalmente se debe incidir en los requerimientos materiales: bastones, muletas, sillas de ruedas u otros, </w:t>
      </w:r>
      <w:r w:rsidR="0058372D" w:rsidRPr="00D47B67">
        <w:rPr>
          <w:rFonts w:eastAsia="Times New Roman" w:cs="Arial"/>
          <w:color w:val="222222"/>
          <w:lang w:eastAsia="es-MX"/>
        </w:rPr>
        <w:t xml:space="preserve">ya que </w:t>
      </w:r>
      <w:r w:rsidRPr="00D47B67">
        <w:rPr>
          <w:rFonts w:eastAsia="Times New Roman" w:cs="Arial"/>
          <w:color w:val="222222"/>
          <w:lang w:eastAsia="es-MX"/>
        </w:rPr>
        <w:t>deben poder acceder a ellos, con apoyo de familiares, o bien, a través de donaciones; asimismo, se promueve que la visita familiar se reciba dentro de sus dormitorios.</w:t>
      </w:r>
    </w:p>
    <w:sectPr w:rsidR="007C5237" w:rsidRPr="00D47B6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74C" w:rsidRDefault="0098174C" w:rsidP="00D47B67">
      <w:pPr>
        <w:spacing w:after="0" w:line="240" w:lineRule="auto"/>
      </w:pPr>
      <w:r>
        <w:separator/>
      </w:r>
    </w:p>
  </w:endnote>
  <w:endnote w:type="continuationSeparator" w:id="0">
    <w:p w:rsidR="0098174C" w:rsidRDefault="0098174C" w:rsidP="00D4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74C" w:rsidRDefault="0098174C" w:rsidP="00D47B67">
      <w:pPr>
        <w:spacing w:after="0" w:line="240" w:lineRule="auto"/>
      </w:pPr>
      <w:r>
        <w:separator/>
      </w:r>
    </w:p>
  </w:footnote>
  <w:footnote w:type="continuationSeparator" w:id="0">
    <w:p w:rsidR="0098174C" w:rsidRDefault="0098174C" w:rsidP="00D47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B67" w:rsidRPr="00D47B67" w:rsidRDefault="00D47B67" w:rsidP="00D47B67">
    <w:pPr>
      <w:pStyle w:val="Encabezado"/>
      <w:jc w:val="right"/>
      <w:rPr>
        <w:b/>
      </w:rPr>
    </w:pPr>
    <w:r w:rsidRPr="00D47B67">
      <w:rPr>
        <w:b/>
        <w:noProof/>
        <w:lang w:eastAsia="es-MX"/>
      </w:rPr>
      <w:drawing>
        <wp:anchor distT="0" distB="0" distL="114300" distR="114300" simplePos="0" relativeHeight="251658240" behindDoc="1" locked="0" layoutInCell="1" allowOverlap="1">
          <wp:simplePos x="0" y="0"/>
          <wp:positionH relativeFrom="column">
            <wp:posOffset>-661035</wp:posOffset>
          </wp:positionH>
          <wp:positionV relativeFrom="paragraph">
            <wp:posOffset>-401955</wp:posOffset>
          </wp:positionV>
          <wp:extent cx="876300" cy="876300"/>
          <wp:effectExtent l="0" t="0" r="0" b="0"/>
          <wp:wrapTight wrapText="bothSides">
            <wp:wrapPolygon edited="0">
              <wp:start x="6574" y="0"/>
              <wp:lineTo x="3287" y="1409"/>
              <wp:lineTo x="0" y="5635"/>
              <wp:lineTo x="0" y="16435"/>
              <wp:lineTo x="5165" y="21130"/>
              <wp:lineTo x="6574" y="21130"/>
              <wp:lineTo x="14557" y="21130"/>
              <wp:lineTo x="15965" y="21130"/>
              <wp:lineTo x="21130" y="16435"/>
              <wp:lineTo x="21130" y="5635"/>
              <wp:lineTo x="17843" y="1409"/>
              <wp:lineTo x="14557" y="0"/>
              <wp:lineTo x="6574"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DHD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anchor>
      </w:drawing>
    </w:r>
    <w:r w:rsidRPr="00D47B67">
      <w:rPr>
        <w:b/>
      </w:rPr>
      <w:t>Comisión de Derechos Humanos de la Ciudad de México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6C69C5"/>
    <w:multiLevelType w:val="hybridMultilevel"/>
    <w:tmpl w:val="9DB6E0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53"/>
    <w:rsid w:val="000C5B7F"/>
    <w:rsid w:val="000E012C"/>
    <w:rsid w:val="001B56FB"/>
    <w:rsid w:val="001E6FA3"/>
    <w:rsid w:val="00333264"/>
    <w:rsid w:val="00346922"/>
    <w:rsid w:val="004832F9"/>
    <w:rsid w:val="0049156D"/>
    <w:rsid w:val="00566491"/>
    <w:rsid w:val="00582BEB"/>
    <w:rsid w:val="0058372D"/>
    <w:rsid w:val="006139F0"/>
    <w:rsid w:val="007210C8"/>
    <w:rsid w:val="007C5237"/>
    <w:rsid w:val="0083557D"/>
    <w:rsid w:val="008C7EA6"/>
    <w:rsid w:val="0098174C"/>
    <w:rsid w:val="00A007D4"/>
    <w:rsid w:val="00A6540F"/>
    <w:rsid w:val="00AD754D"/>
    <w:rsid w:val="00C07315"/>
    <w:rsid w:val="00CA7353"/>
    <w:rsid w:val="00CD31FD"/>
    <w:rsid w:val="00D366A3"/>
    <w:rsid w:val="00D47B67"/>
    <w:rsid w:val="00E70033"/>
    <w:rsid w:val="00F16914"/>
    <w:rsid w:val="00F70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3C0F13-67F4-4F22-B78E-FEE23E06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B7F"/>
  </w:style>
  <w:style w:type="paragraph" w:styleId="Ttulo2">
    <w:name w:val="heading 2"/>
    <w:basedOn w:val="Normal"/>
    <w:link w:val="Ttulo2Car"/>
    <w:uiPriority w:val="9"/>
    <w:qFormat/>
    <w:rsid w:val="00F1691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A735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CA7353"/>
    <w:pPr>
      <w:ind w:left="720"/>
      <w:contextualSpacing/>
    </w:pPr>
  </w:style>
  <w:style w:type="character" w:customStyle="1" w:styleId="Ttulo2Car">
    <w:name w:val="Título 2 Car"/>
    <w:basedOn w:val="Fuentedeprrafopredeter"/>
    <w:link w:val="Ttulo2"/>
    <w:uiPriority w:val="9"/>
    <w:rsid w:val="00F16914"/>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0E012C"/>
    <w:rPr>
      <w:b/>
      <w:bCs/>
    </w:rPr>
  </w:style>
  <w:style w:type="character" w:styleId="nfasis">
    <w:name w:val="Emphasis"/>
    <w:basedOn w:val="Fuentedeprrafopredeter"/>
    <w:uiPriority w:val="20"/>
    <w:qFormat/>
    <w:rsid w:val="000E012C"/>
    <w:rPr>
      <w:i/>
      <w:iCs/>
    </w:rPr>
  </w:style>
  <w:style w:type="paragraph" w:styleId="Encabezado">
    <w:name w:val="header"/>
    <w:basedOn w:val="Normal"/>
    <w:link w:val="EncabezadoCar"/>
    <w:uiPriority w:val="99"/>
    <w:unhideWhenUsed/>
    <w:rsid w:val="00D47B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7B67"/>
  </w:style>
  <w:style w:type="paragraph" w:styleId="Piedepgina">
    <w:name w:val="footer"/>
    <w:basedOn w:val="Normal"/>
    <w:link w:val="PiedepginaCar"/>
    <w:uiPriority w:val="99"/>
    <w:unhideWhenUsed/>
    <w:rsid w:val="00D47B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7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961012">
      <w:bodyDiv w:val="1"/>
      <w:marLeft w:val="0"/>
      <w:marRight w:val="0"/>
      <w:marTop w:val="0"/>
      <w:marBottom w:val="0"/>
      <w:divBdr>
        <w:top w:val="none" w:sz="0" w:space="0" w:color="auto"/>
        <w:left w:val="none" w:sz="0" w:space="0" w:color="auto"/>
        <w:bottom w:val="none" w:sz="0" w:space="0" w:color="auto"/>
        <w:right w:val="none" w:sz="0" w:space="0" w:color="auto"/>
      </w:divBdr>
    </w:div>
    <w:div w:id="210052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367DF-A597-4863-96F0-FE5118447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1479</Words>
  <Characters>8138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CDHCM</dc:creator>
  <cp:keywords/>
  <dc:description/>
  <cp:lastModifiedBy>Areli Yeliztli Barranco Ruiz</cp:lastModifiedBy>
  <cp:revision>2</cp:revision>
  <dcterms:created xsi:type="dcterms:W3CDTF">2022-03-31T18:29:00Z</dcterms:created>
  <dcterms:modified xsi:type="dcterms:W3CDTF">2022-03-31T18:29:00Z</dcterms:modified>
</cp:coreProperties>
</file>