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rPr>
        <w:id w:val="-706406622"/>
        <w:docPartObj>
          <w:docPartGallery w:val="Cover Pages"/>
          <w:docPartUnique/>
        </w:docPartObj>
      </w:sdtPr>
      <w:sdtEndPr>
        <w:rPr>
          <w:rFonts w:ascii="Cambria" w:hAnsi="Cambria"/>
          <w:b/>
          <w:color w:val="auto"/>
          <w:sz w:val="24"/>
          <w:szCs w:val="24"/>
          <w:lang w:val="en-GB"/>
        </w:rPr>
      </w:sdtEndPr>
      <w:sdtContent>
        <w:p w14:paraId="196AEF3A" w14:textId="4BEC5AED" w:rsidR="001D0FAD" w:rsidRPr="001D0FAD" w:rsidRDefault="001D0FAD">
          <w:pPr>
            <w:pStyle w:val="NoSpacing"/>
            <w:spacing w:before="1540" w:after="240"/>
            <w:jc w:val="center"/>
          </w:pPr>
        </w:p>
        <w:p w14:paraId="58E8335B" w14:textId="0D1939C9" w:rsidR="001D0FAD" w:rsidRPr="004F6FB7" w:rsidRDefault="001D0FAD" w:rsidP="001D0FAD">
          <w:pPr>
            <w:pStyle w:val="NoSpacing"/>
            <w:pBdr>
              <w:top w:val="single" w:sz="6" w:space="6" w:color="5B9BD5" w:themeColor="accent1"/>
              <w:bottom w:val="single" w:sz="6" w:space="6" w:color="5B9BD5" w:themeColor="accent1"/>
            </w:pBdr>
            <w:spacing w:after="240"/>
            <w:jc w:val="center"/>
            <w:rPr>
              <w:rFonts w:ascii="Cambria" w:eastAsiaTheme="majorEastAsia" w:hAnsi="Cambria" w:cstheme="majorBidi"/>
              <w:sz w:val="44"/>
              <w:szCs w:val="72"/>
            </w:rPr>
          </w:pPr>
          <w:r w:rsidRPr="004F6FB7">
            <w:rPr>
              <w:rFonts w:ascii="Cambria" w:eastAsiaTheme="majorEastAsia" w:hAnsi="Cambria" w:cstheme="majorBidi"/>
              <w:sz w:val="44"/>
              <w:szCs w:val="72"/>
            </w:rPr>
            <w:t>Call for Input - Independent Expert on the Enjoyment of all Human Rights by Older Persons</w:t>
          </w:r>
        </w:p>
        <w:p w14:paraId="1BCA907D" w14:textId="5384A9B3" w:rsidR="001D0FAD" w:rsidRPr="004F6FB7" w:rsidRDefault="001D0FAD" w:rsidP="001D0FAD">
          <w:pPr>
            <w:pStyle w:val="NoSpacing"/>
            <w:pBdr>
              <w:top w:val="single" w:sz="6" w:space="6" w:color="5B9BD5" w:themeColor="accent1"/>
              <w:bottom w:val="single" w:sz="6" w:space="6" w:color="5B9BD5" w:themeColor="accent1"/>
            </w:pBdr>
            <w:spacing w:after="240"/>
            <w:jc w:val="center"/>
            <w:rPr>
              <w:rFonts w:ascii="Cambria" w:eastAsiaTheme="majorEastAsia" w:hAnsi="Cambria" w:cstheme="majorBidi"/>
              <w:sz w:val="32"/>
              <w:szCs w:val="72"/>
            </w:rPr>
          </w:pPr>
          <w:r w:rsidRPr="004F6FB7">
            <w:rPr>
              <w:rFonts w:ascii="Cambria" w:eastAsiaTheme="majorEastAsia" w:hAnsi="Cambria" w:cstheme="majorBidi"/>
              <w:sz w:val="32"/>
              <w:szCs w:val="72"/>
            </w:rPr>
            <w:t>Report on older persons deprived of their liberty</w:t>
          </w:r>
        </w:p>
        <w:p w14:paraId="21034A22" w14:textId="19FC8E4B" w:rsidR="001D0FAD" w:rsidRPr="004F6FB7" w:rsidRDefault="001D0FAD" w:rsidP="001D0FAD">
          <w:pPr>
            <w:pStyle w:val="NoSpacing"/>
            <w:pBdr>
              <w:top w:val="single" w:sz="6" w:space="6" w:color="5B9BD5" w:themeColor="accent1"/>
              <w:bottom w:val="single" w:sz="6" w:space="6" w:color="5B9BD5" w:themeColor="accent1"/>
            </w:pBdr>
            <w:spacing w:after="240"/>
            <w:jc w:val="center"/>
            <w:rPr>
              <w:rFonts w:ascii="Cambria" w:eastAsiaTheme="majorEastAsia" w:hAnsi="Cambria" w:cstheme="majorBidi"/>
              <w:sz w:val="44"/>
              <w:szCs w:val="72"/>
            </w:rPr>
          </w:pPr>
        </w:p>
        <w:p w14:paraId="08EB8813" w14:textId="763DE1E2" w:rsidR="001D0FAD" w:rsidRPr="004F6FB7" w:rsidRDefault="001D0FAD" w:rsidP="001D0FAD">
          <w:pPr>
            <w:pStyle w:val="NoSpacing"/>
            <w:pBdr>
              <w:top w:val="single" w:sz="6" w:space="6" w:color="5B9BD5" w:themeColor="accent1"/>
              <w:bottom w:val="single" w:sz="6" w:space="6" w:color="5B9BD5" w:themeColor="accent1"/>
            </w:pBdr>
            <w:spacing w:after="240"/>
            <w:jc w:val="center"/>
            <w:rPr>
              <w:rFonts w:ascii="Cambria" w:eastAsiaTheme="majorEastAsia" w:hAnsi="Cambria" w:cstheme="majorBidi"/>
              <w:sz w:val="28"/>
              <w:szCs w:val="72"/>
            </w:rPr>
          </w:pPr>
          <w:r w:rsidRPr="004F6FB7">
            <w:rPr>
              <w:rFonts w:ascii="Cambria" w:eastAsiaTheme="majorEastAsia" w:hAnsi="Cambria" w:cstheme="majorBidi"/>
              <w:sz w:val="28"/>
              <w:szCs w:val="72"/>
            </w:rPr>
            <w:t xml:space="preserve">Submitted by Ambika </w:t>
          </w:r>
          <w:proofErr w:type="spellStart"/>
          <w:r w:rsidRPr="004F6FB7">
            <w:rPr>
              <w:rFonts w:ascii="Cambria" w:eastAsiaTheme="majorEastAsia" w:hAnsi="Cambria" w:cstheme="majorBidi"/>
              <w:sz w:val="28"/>
              <w:szCs w:val="72"/>
            </w:rPr>
            <w:t>Satkunanathan</w:t>
          </w:r>
          <w:proofErr w:type="spellEnd"/>
        </w:p>
        <w:p w14:paraId="75C18A07" w14:textId="2B9F0C6C" w:rsidR="001D0FAD" w:rsidRPr="004F6FB7" w:rsidRDefault="001D0FAD" w:rsidP="001D0FAD">
          <w:pPr>
            <w:pStyle w:val="NoSpacing"/>
            <w:pBdr>
              <w:top w:val="single" w:sz="6" w:space="6" w:color="5B9BD5" w:themeColor="accent1"/>
              <w:bottom w:val="single" w:sz="6" w:space="6" w:color="5B9BD5" w:themeColor="accent1"/>
            </w:pBdr>
            <w:spacing w:after="240"/>
            <w:jc w:val="center"/>
            <w:rPr>
              <w:rFonts w:ascii="Cambria" w:hAnsi="Cambria"/>
              <w:sz w:val="10"/>
              <w:szCs w:val="28"/>
            </w:rPr>
          </w:pPr>
          <w:r w:rsidRPr="004F6FB7">
            <w:rPr>
              <w:rFonts w:ascii="Cambria" w:eastAsiaTheme="majorEastAsia" w:hAnsi="Cambria" w:cstheme="majorBidi"/>
              <w:sz w:val="28"/>
              <w:szCs w:val="72"/>
            </w:rPr>
            <w:t>March 2022</w:t>
          </w:r>
        </w:p>
        <w:p w14:paraId="5F070CBD" w14:textId="6C520CBF" w:rsidR="001D0FAD" w:rsidRPr="001D0FAD" w:rsidRDefault="001D0FAD">
          <w:pPr>
            <w:pStyle w:val="NoSpacing"/>
            <w:spacing w:before="480"/>
            <w:jc w:val="center"/>
            <w:rPr>
              <w:rFonts w:ascii="Cambria" w:hAnsi="Cambria"/>
              <w:color w:val="5B9BD5" w:themeColor="accent1"/>
              <w:sz w:val="20"/>
            </w:rPr>
          </w:pPr>
        </w:p>
        <w:p w14:paraId="103E9625" w14:textId="08DDFBE7" w:rsidR="001D0FAD" w:rsidRDefault="001D0FAD">
          <w:pPr>
            <w:rPr>
              <w:rFonts w:ascii="Cambria" w:hAnsi="Cambria"/>
              <w:b/>
              <w:sz w:val="24"/>
              <w:szCs w:val="24"/>
              <w:lang w:val="en-GB"/>
            </w:rPr>
          </w:pPr>
          <w:r>
            <w:rPr>
              <w:rFonts w:ascii="Cambria" w:hAnsi="Cambria"/>
              <w:b/>
              <w:sz w:val="24"/>
              <w:szCs w:val="24"/>
              <w:lang w:val="en-GB"/>
            </w:rPr>
            <w:br w:type="page"/>
          </w:r>
        </w:p>
      </w:sdtContent>
    </w:sdt>
    <w:p w14:paraId="5F04F2FD" w14:textId="7FDE5A63" w:rsidR="0074293D" w:rsidRPr="004A324E" w:rsidRDefault="0074293D" w:rsidP="00C51616">
      <w:pPr>
        <w:pStyle w:val="ListParagraph"/>
        <w:numPr>
          <w:ilvl w:val="0"/>
          <w:numId w:val="2"/>
        </w:numPr>
        <w:spacing w:after="0" w:line="240" w:lineRule="auto"/>
        <w:jc w:val="both"/>
        <w:rPr>
          <w:rFonts w:ascii="Cambria" w:hAnsi="Cambria"/>
          <w:b/>
          <w:sz w:val="24"/>
          <w:szCs w:val="24"/>
          <w:lang w:val="en-GB"/>
        </w:rPr>
      </w:pPr>
      <w:r w:rsidRPr="004A324E">
        <w:rPr>
          <w:rFonts w:ascii="Cambria" w:hAnsi="Cambria"/>
          <w:b/>
          <w:sz w:val="24"/>
          <w:szCs w:val="24"/>
          <w:lang w:val="en-GB"/>
        </w:rPr>
        <w:lastRenderedPageBreak/>
        <w:t>What are the key human rights risks and violations affecting older persons deprived of their liberty, considering different intersectional factors?</w:t>
      </w:r>
    </w:p>
    <w:p w14:paraId="5BEAADE6" w14:textId="77777777" w:rsidR="0074293D" w:rsidRDefault="0074293D" w:rsidP="00C51616">
      <w:pPr>
        <w:spacing w:after="0" w:line="240" w:lineRule="auto"/>
        <w:jc w:val="both"/>
        <w:rPr>
          <w:rFonts w:ascii="Cambria" w:hAnsi="Cambria"/>
          <w:sz w:val="24"/>
          <w:szCs w:val="24"/>
          <w:lang w:val="en-GB"/>
        </w:rPr>
      </w:pPr>
    </w:p>
    <w:p w14:paraId="022A8C69" w14:textId="72C566B4" w:rsidR="00FC4F3F" w:rsidRPr="000265BA" w:rsidRDefault="000F6336" w:rsidP="00C51616">
      <w:pPr>
        <w:pStyle w:val="ListParagraph"/>
        <w:numPr>
          <w:ilvl w:val="0"/>
          <w:numId w:val="3"/>
        </w:numPr>
        <w:spacing w:after="0" w:line="240" w:lineRule="auto"/>
        <w:jc w:val="both"/>
        <w:rPr>
          <w:rFonts w:ascii="Cambria" w:hAnsi="Cambria"/>
          <w:i/>
          <w:sz w:val="24"/>
          <w:szCs w:val="24"/>
          <w:lang w:val="en-GB"/>
        </w:rPr>
      </w:pPr>
      <w:r w:rsidRPr="002734A4">
        <w:rPr>
          <w:rFonts w:ascii="Cambria" w:hAnsi="Cambria"/>
          <w:i/>
          <w:sz w:val="24"/>
          <w:szCs w:val="24"/>
          <w:lang w:val="en-GB"/>
        </w:rPr>
        <w:t>Right against t</w:t>
      </w:r>
      <w:r w:rsidR="0074293D" w:rsidRPr="002734A4">
        <w:rPr>
          <w:rFonts w:ascii="Cambria" w:hAnsi="Cambria"/>
          <w:i/>
          <w:sz w:val="24"/>
          <w:szCs w:val="24"/>
          <w:lang w:val="en-GB"/>
        </w:rPr>
        <w:t>orture cruel inhuman degrading treatment</w:t>
      </w:r>
    </w:p>
    <w:p w14:paraId="355940C2" w14:textId="7C7210E8" w:rsidR="000F6336" w:rsidRDefault="000F6336" w:rsidP="00C51616">
      <w:pPr>
        <w:spacing w:after="0" w:line="240" w:lineRule="auto"/>
        <w:jc w:val="both"/>
        <w:rPr>
          <w:rFonts w:ascii="Cambria" w:hAnsi="Cambria"/>
          <w:sz w:val="24"/>
          <w:szCs w:val="24"/>
          <w:lang w:val="en-GB"/>
        </w:rPr>
      </w:pPr>
      <w:r>
        <w:rPr>
          <w:rFonts w:ascii="Cambria" w:hAnsi="Cambria"/>
          <w:sz w:val="24"/>
          <w:szCs w:val="24"/>
          <w:lang w:val="en-GB"/>
        </w:rPr>
        <w:t xml:space="preserve">In December 2020, the Human Rights Commission of Sri Lanka (HRCSL) released the report of the first national study of prisons, conducted between 2018 and 2020. This study was the first of its kind and documented the experiences of </w:t>
      </w:r>
      <w:r w:rsidR="00503C64">
        <w:rPr>
          <w:rFonts w:ascii="Cambria" w:hAnsi="Cambria"/>
          <w:sz w:val="24"/>
          <w:szCs w:val="24"/>
          <w:lang w:val="en-GB"/>
        </w:rPr>
        <w:t xml:space="preserve">the incarcerated </w:t>
      </w:r>
      <w:r>
        <w:rPr>
          <w:rFonts w:ascii="Cambria" w:hAnsi="Cambria"/>
          <w:sz w:val="24"/>
          <w:szCs w:val="24"/>
          <w:lang w:val="en-GB"/>
        </w:rPr>
        <w:t>across</w:t>
      </w:r>
      <w:r w:rsidR="00503C64">
        <w:rPr>
          <w:rFonts w:ascii="Cambria" w:hAnsi="Cambria"/>
          <w:sz w:val="24"/>
          <w:szCs w:val="24"/>
          <w:lang w:val="en-GB"/>
        </w:rPr>
        <w:t xml:space="preserve"> </w:t>
      </w:r>
      <w:r>
        <w:rPr>
          <w:rFonts w:ascii="Cambria" w:hAnsi="Cambria"/>
          <w:sz w:val="24"/>
          <w:szCs w:val="24"/>
          <w:lang w:val="en-GB"/>
        </w:rPr>
        <w:t xml:space="preserve">various categories. The study reveals that older persons deprived of liberty are a vulnerable group in prison with limited protections in law and practice. </w:t>
      </w:r>
    </w:p>
    <w:p w14:paraId="3EFF8307" w14:textId="77777777" w:rsidR="00C51616" w:rsidRDefault="00C51616" w:rsidP="00C51616">
      <w:pPr>
        <w:spacing w:after="0" w:line="240" w:lineRule="auto"/>
        <w:jc w:val="both"/>
        <w:rPr>
          <w:rFonts w:ascii="Cambria" w:hAnsi="Cambria"/>
          <w:sz w:val="24"/>
          <w:szCs w:val="24"/>
          <w:lang w:val="en-GB"/>
        </w:rPr>
      </w:pPr>
    </w:p>
    <w:p w14:paraId="3C161730" w14:textId="6B526900" w:rsidR="000F6336" w:rsidRDefault="000F6336" w:rsidP="00C51616">
      <w:pPr>
        <w:spacing w:after="0" w:line="240" w:lineRule="auto"/>
        <w:jc w:val="both"/>
        <w:rPr>
          <w:rFonts w:ascii="Cambria" w:hAnsi="Cambria"/>
          <w:sz w:val="24"/>
          <w:szCs w:val="24"/>
          <w:lang w:val="en-GB"/>
        </w:rPr>
      </w:pPr>
      <w:r>
        <w:rPr>
          <w:rFonts w:ascii="Cambria" w:hAnsi="Cambria"/>
          <w:sz w:val="24"/>
          <w:szCs w:val="24"/>
          <w:lang w:val="en-GB"/>
        </w:rPr>
        <w:t>The study found that treatment and conditions in prison constituted inhuman and degrading treatment and punishment for persons held in prison. Conditions</w:t>
      </w:r>
      <w:r w:rsidR="00FC2772">
        <w:rPr>
          <w:rFonts w:ascii="Cambria" w:hAnsi="Cambria"/>
          <w:sz w:val="24"/>
          <w:szCs w:val="24"/>
          <w:lang w:val="en-GB"/>
        </w:rPr>
        <w:t xml:space="preserve"> of</w:t>
      </w:r>
      <w:r>
        <w:rPr>
          <w:rFonts w:ascii="Cambria" w:hAnsi="Cambria"/>
          <w:sz w:val="24"/>
          <w:szCs w:val="24"/>
          <w:lang w:val="en-GB"/>
        </w:rPr>
        <w:t xml:space="preserve"> overcrowding, deteriorating prison infrastructure, poor</w:t>
      </w:r>
      <w:r w:rsidR="00FC2772">
        <w:rPr>
          <w:rFonts w:ascii="Cambria" w:hAnsi="Cambria"/>
          <w:sz w:val="24"/>
          <w:szCs w:val="24"/>
          <w:lang w:val="en-GB"/>
        </w:rPr>
        <w:t xml:space="preserve"> access to</w:t>
      </w:r>
      <w:r>
        <w:rPr>
          <w:rFonts w:ascii="Cambria" w:hAnsi="Cambria"/>
          <w:sz w:val="24"/>
          <w:szCs w:val="24"/>
          <w:lang w:val="en-GB"/>
        </w:rPr>
        <w:t xml:space="preserve"> resources</w:t>
      </w:r>
      <w:r w:rsidR="00FC2772">
        <w:rPr>
          <w:rFonts w:ascii="Cambria" w:hAnsi="Cambria"/>
          <w:sz w:val="24"/>
          <w:szCs w:val="24"/>
          <w:lang w:val="en-GB"/>
        </w:rPr>
        <w:t xml:space="preserve"> </w:t>
      </w:r>
      <w:r>
        <w:rPr>
          <w:rFonts w:ascii="Cambria" w:hAnsi="Cambria"/>
          <w:sz w:val="24"/>
          <w:szCs w:val="24"/>
          <w:lang w:val="en-GB"/>
        </w:rPr>
        <w:t xml:space="preserve">and use of violence as a means </w:t>
      </w:r>
      <w:r w:rsidR="00503C64">
        <w:rPr>
          <w:rFonts w:ascii="Cambria" w:hAnsi="Cambria"/>
          <w:sz w:val="24"/>
          <w:szCs w:val="24"/>
          <w:lang w:val="en-GB"/>
        </w:rPr>
        <w:t xml:space="preserve">to maintain discipline </w:t>
      </w:r>
      <w:r>
        <w:rPr>
          <w:rFonts w:ascii="Cambria" w:hAnsi="Cambria"/>
          <w:sz w:val="24"/>
          <w:szCs w:val="24"/>
          <w:lang w:val="en-GB"/>
        </w:rPr>
        <w:t xml:space="preserve">and punish were some of the factors </w:t>
      </w:r>
      <w:r w:rsidR="00FC2772">
        <w:rPr>
          <w:rFonts w:ascii="Cambria" w:hAnsi="Cambria"/>
          <w:sz w:val="24"/>
          <w:szCs w:val="24"/>
          <w:lang w:val="en-GB"/>
        </w:rPr>
        <w:t>th</w:t>
      </w:r>
      <w:r w:rsidR="00503C64">
        <w:rPr>
          <w:rFonts w:ascii="Cambria" w:hAnsi="Cambria"/>
          <w:sz w:val="24"/>
          <w:szCs w:val="24"/>
          <w:lang w:val="en-GB"/>
        </w:rPr>
        <w:t>at enabled the</w:t>
      </w:r>
      <w:r w:rsidR="00FC2772">
        <w:rPr>
          <w:rFonts w:ascii="Cambria" w:hAnsi="Cambria"/>
          <w:sz w:val="24"/>
          <w:szCs w:val="24"/>
          <w:lang w:val="en-GB"/>
        </w:rPr>
        <w:t xml:space="preserve"> </w:t>
      </w:r>
      <w:r>
        <w:rPr>
          <w:rFonts w:ascii="Cambria" w:hAnsi="Cambria"/>
          <w:sz w:val="24"/>
          <w:szCs w:val="24"/>
          <w:lang w:val="en-GB"/>
        </w:rPr>
        <w:t xml:space="preserve">violation of the fundamental rights of persons deprived of liberty. </w:t>
      </w:r>
    </w:p>
    <w:p w14:paraId="53930D73" w14:textId="77777777" w:rsidR="00C51616" w:rsidRDefault="00C51616" w:rsidP="00C51616">
      <w:pPr>
        <w:spacing w:after="0" w:line="240" w:lineRule="auto"/>
        <w:jc w:val="both"/>
        <w:rPr>
          <w:rFonts w:ascii="Cambria" w:hAnsi="Cambria"/>
          <w:sz w:val="24"/>
          <w:szCs w:val="24"/>
          <w:lang w:val="en-GB"/>
        </w:rPr>
      </w:pPr>
    </w:p>
    <w:p w14:paraId="36846C92" w14:textId="4B77D6B5" w:rsidR="000F6336" w:rsidRDefault="005458BA" w:rsidP="00C51616">
      <w:pPr>
        <w:spacing w:after="0" w:line="240" w:lineRule="auto"/>
        <w:jc w:val="both"/>
        <w:rPr>
          <w:rFonts w:ascii="Cambria" w:hAnsi="Cambria"/>
          <w:sz w:val="24"/>
          <w:szCs w:val="24"/>
          <w:lang w:val="en-GB"/>
        </w:rPr>
      </w:pPr>
      <w:r>
        <w:rPr>
          <w:rFonts w:ascii="Cambria" w:hAnsi="Cambria"/>
          <w:sz w:val="24"/>
          <w:szCs w:val="24"/>
          <w:lang w:val="en-GB"/>
        </w:rPr>
        <w:t>A characteristic of the prison system in Sri Lanka is that where persons are held in cells, rather than wards, since there are no toilets within the cells and cells are locked at night time, people held in cells have to use a plastic bag/bucket to relieve themselves at night time. Multiple occupants of a cell utilise the same bag/bucket and it is kept inside the cell all night until the morning, when the cells are unlocked and the newest occupant of the cell is typically made to clean the vessel.</w:t>
      </w:r>
      <w:r w:rsidR="008C3B08">
        <w:rPr>
          <w:rStyle w:val="FootnoteReference"/>
          <w:rFonts w:ascii="Cambria" w:hAnsi="Cambria"/>
          <w:sz w:val="24"/>
          <w:szCs w:val="24"/>
          <w:lang w:val="en-GB"/>
        </w:rPr>
        <w:footnoteReference w:id="1"/>
      </w:r>
      <w:r>
        <w:rPr>
          <w:rFonts w:ascii="Cambria" w:hAnsi="Cambria"/>
          <w:sz w:val="24"/>
          <w:szCs w:val="24"/>
          <w:lang w:val="en-GB"/>
        </w:rPr>
        <w:t xml:space="preserve"> </w:t>
      </w:r>
    </w:p>
    <w:p w14:paraId="4F74C71A" w14:textId="77777777" w:rsidR="00C51616" w:rsidRDefault="00C51616" w:rsidP="00C51616">
      <w:pPr>
        <w:spacing w:after="0" w:line="240" w:lineRule="auto"/>
        <w:jc w:val="both"/>
        <w:rPr>
          <w:rFonts w:ascii="Cambria" w:hAnsi="Cambria"/>
          <w:sz w:val="24"/>
          <w:szCs w:val="24"/>
          <w:lang w:val="en-GB"/>
        </w:rPr>
      </w:pPr>
    </w:p>
    <w:p w14:paraId="1145F89B" w14:textId="77777777" w:rsidR="005458BA" w:rsidRDefault="005458BA" w:rsidP="00C51616">
      <w:pPr>
        <w:spacing w:after="0" w:line="240" w:lineRule="auto"/>
        <w:jc w:val="both"/>
        <w:rPr>
          <w:rFonts w:ascii="Cambria" w:hAnsi="Cambria"/>
          <w:sz w:val="24"/>
          <w:szCs w:val="24"/>
          <w:lang w:val="en-GB"/>
        </w:rPr>
      </w:pPr>
      <w:r>
        <w:rPr>
          <w:rFonts w:ascii="Cambria" w:hAnsi="Cambria"/>
          <w:sz w:val="24"/>
          <w:szCs w:val="24"/>
          <w:lang w:val="en-GB"/>
        </w:rPr>
        <w:t>The Commission observed that such conditions were exacerbated for older persons deprived of liberty and particularly when they served long term sentences i</w:t>
      </w:r>
      <w:r w:rsidR="00FC7287">
        <w:rPr>
          <w:rFonts w:ascii="Cambria" w:hAnsi="Cambria"/>
          <w:sz w:val="24"/>
          <w:szCs w:val="24"/>
          <w:lang w:val="en-GB"/>
        </w:rPr>
        <w:t>n prison. For instance, in the B1</w:t>
      </w:r>
      <w:r>
        <w:rPr>
          <w:rFonts w:ascii="Cambria" w:hAnsi="Cambria"/>
          <w:sz w:val="24"/>
          <w:szCs w:val="24"/>
          <w:lang w:val="en-GB"/>
        </w:rPr>
        <w:t xml:space="preserve"> ward of Jaffna prison which exclusively held elderly persons and persons with disabilities, the Commission reported that the ward contained</w:t>
      </w:r>
      <w:r w:rsidR="00D83C14">
        <w:rPr>
          <w:rFonts w:ascii="Cambria" w:hAnsi="Cambria"/>
          <w:sz w:val="24"/>
          <w:szCs w:val="24"/>
          <w:lang w:val="en-GB"/>
        </w:rPr>
        <w:t xml:space="preserve"> no toilets. Further, since the</w:t>
      </w:r>
      <w:r>
        <w:rPr>
          <w:rFonts w:ascii="Cambria" w:hAnsi="Cambria"/>
          <w:sz w:val="24"/>
          <w:szCs w:val="24"/>
          <w:lang w:val="en-GB"/>
        </w:rPr>
        <w:t xml:space="preserve"> ward was on the upper floor of the building and persons in the cells had limited mobility due to their age/conditions, occupants of B1 ward were permanently required to relieve themselves in two large barrels, one for urine and one for faeces. The two barrels were used by all the occupants of the ward and kept in the ward itself, thereby constantly emanating a found odour. </w:t>
      </w:r>
      <w:r w:rsidR="004A324E">
        <w:rPr>
          <w:rFonts w:ascii="Cambria" w:hAnsi="Cambria"/>
          <w:sz w:val="24"/>
          <w:szCs w:val="24"/>
          <w:lang w:val="en-GB"/>
        </w:rPr>
        <w:t xml:space="preserve">As highlighted previously, the occupants of this ward had limited mobility and therefore spent majority of the day inside the ward. </w:t>
      </w:r>
      <w:r>
        <w:rPr>
          <w:rFonts w:ascii="Cambria" w:hAnsi="Cambria"/>
          <w:sz w:val="24"/>
          <w:szCs w:val="24"/>
          <w:lang w:val="en-GB"/>
        </w:rPr>
        <w:t>Two</w:t>
      </w:r>
      <w:r w:rsidR="004A324E">
        <w:rPr>
          <w:rFonts w:ascii="Cambria" w:hAnsi="Cambria"/>
          <w:sz w:val="24"/>
          <w:szCs w:val="24"/>
          <w:lang w:val="en-GB"/>
        </w:rPr>
        <w:t xml:space="preserve"> young</w:t>
      </w:r>
      <w:r>
        <w:rPr>
          <w:rFonts w:ascii="Cambria" w:hAnsi="Cambria"/>
          <w:sz w:val="24"/>
          <w:szCs w:val="24"/>
          <w:lang w:val="en-GB"/>
        </w:rPr>
        <w:t xml:space="preserve"> persons from the ward in the lower floor</w:t>
      </w:r>
      <w:r w:rsidR="004A324E">
        <w:rPr>
          <w:rFonts w:ascii="Cambria" w:hAnsi="Cambria"/>
          <w:sz w:val="24"/>
          <w:szCs w:val="24"/>
          <w:lang w:val="en-GB"/>
        </w:rPr>
        <w:t xml:space="preserve"> were responsible for emptying the barrels after both</w:t>
      </w:r>
      <w:r w:rsidR="00FC2772">
        <w:rPr>
          <w:rFonts w:ascii="Cambria" w:hAnsi="Cambria"/>
          <w:sz w:val="24"/>
          <w:szCs w:val="24"/>
          <w:lang w:val="en-GB"/>
        </w:rPr>
        <w:t xml:space="preserve"> barrels</w:t>
      </w:r>
      <w:r w:rsidR="004A324E">
        <w:rPr>
          <w:rFonts w:ascii="Cambria" w:hAnsi="Cambria"/>
          <w:sz w:val="24"/>
          <w:szCs w:val="24"/>
          <w:lang w:val="en-GB"/>
        </w:rPr>
        <w:t xml:space="preserve"> reached their limit.</w:t>
      </w:r>
      <w:r w:rsidR="008C3B08">
        <w:rPr>
          <w:rStyle w:val="FootnoteReference"/>
          <w:rFonts w:ascii="Cambria" w:hAnsi="Cambria"/>
          <w:sz w:val="24"/>
          <w:szCs w:val="24"/>
          <w:lang w:val="en-GB"/>
        </w:rPr>
        <w:footnoteReference w:id="2"/>
      </w:r>
      <w:r w:rsidR="004A324E">
        <w:rPr>
          <w:rFonts w:ascii="Cambria" w:hAnsi="Cambria"/>
          <w:sz w:val="24"/>
          <w:szCs w:val="24"/>
          <w:lang w:val="en-GB"/>
        </w:rPr>
        <w:t xml:space="preserve"> </w:t>
      </w:r>
    </w:p>
    <w:p w14:paraId="445F0470" w14:textId="60026A65" w:rsidR="000F6336" w:rsidRDefault="000F6336" w:rsidP="00C51616">
      <w:pPr>
        <w:spacing w:after="0" w:line="240" w:lineRule="auto"/>
        <w:jc w:val="both"/>
        <w:rPr>
          <w:rFonts w:ascii="Cambria" w:hAnsi="Cambria"/>
          <w:sz w:val="24"/>
          <w:szCs w:val="24"/>
          <w:lang w:val="en-GB"/>
        </w:rPr>
      </w:pPr>
    </w:p>
    <w:p w14:paraId="57B88A5E" w14:textId="77777777" w:rsidR="00503C64" w:rsidRDefault="00503C64" w:rsidP="00C51616">
      <w:pPr>
        <w:spacing w:after="0" w:line="240" w:lineRule="auto"/>
        <w:jc w:val="both"/>
        <w:rPr>
          <w:rFonts w:ascii="Cambria" w:hAnsi="Cambria"/>
          <w:sz w:val="24"/>
          <w:szCs w:val="24"/>
          <w:lang w:val="en-GB"/>
        </w:rPr>
      </w:pPr>
    </w:p>
    <w:p w14:paraId="28B90AA9" w14:textId="4272EC03" w:rsidR="0074293D" w:rsidRPr="00503C64" w:rsidRDefault="00A75F7B" w:rsidP="00C51616">
      <w:pPr>
        <w:pStyle w:val="ListParagraph"/>
        <w:numPr>
          <w:ilvl w:val="0"/>
          <w:numId w:val="3"/>
        </w:numPr>
        <w:spacing w:after="0" w:line="240" w:lineRule="auto"/>
        <w:jc w:val="both"/>
        <w:rPr>
          <w:rFonts w:ascii="Cambria" w:hAnsi="Cambria"/>
          <w:i/>
          <w:sz w:val="24"/>
          <w:szCs w:val="24"/>
          <w:lang w:val="en-GB"/>
        </w:rPr>
      </w:pPr>
      <w:r w:rsidRPr="002734A4">
        <w:rPr>
          <w:rFonts w:ascii="Cambria" w:hAnsi="Cambria"/>
          <w:i/>
          <w:sz w:val="24"/>
          <w:szCs w:val="24"/>
          <w:lang w:val="en-GB"/>
        </w:rPr>
        <w:t>Right to the highest attainable standard of health</w:t>
      </w:r>
      <w:r w:rsidR="00FC4F3F" w:rsidRPr="002734A4">
        <w:rPr>
          <w:rFonts w:ascii="Cambria" w:hAnsi="Cambria"/>
          <w:i/>
          <w:sz w:val="24"/>
          <w:szCs w:val="24"/>
          <w:lang w:val="en-GB"/>
        </w:rPr>
        <w:t>care</w:t>
      </w:r>
    </w:p>
    <w:p w14:paraId="015B8A97" w14:textId="77777777" w:rsidR="00C51616" w:rsidRDefault="00C51616" w:rsidP="00C51616">
      <w:pPr>
        <w:spacing w:after="0" w:line="240" w:lineRule="auto"/>
        <w:jc w:val="both"/>
        <w:rPr>
          <w:rFonts w:ascii="Cambria" w:hAnsi="Cambria"/>
          <w:sz w:val="24"/>
          <w:szCs w:val="24"/>
          <w:lang w:val="en-GB"/>
        </w:rPr>
      </w:pPr>
    </w:p>
    <w:p w14:paraId="5DDABCE0" w14:textId="4E07191F" w:rsidR="00FC2772" w:rsidRDefault="00FC2772" w:rsidP="00C51616">
      <w:pPr>
        <w:spacing w:after="0" w:line="240" w:lineRule="auto"/>
        <w:jc w:val="both"/>
        <w:rPr>
          <w:rFonts w:ascii="Cambria" w:hAnsi="Cambria"/>
          <w:sz w:val="24"/>
          <w:szCs w:val="24"/>
          <w:lang w:val="en-GB"/>
        </w:rPr>
      </w:pPr>
      <w:r>
        <w:rPr>
          <w:rFonts w:ascii="Cambria" w:hAnsi="Cambria"/>
          <w:sz w:val="24"/>
          <w:szCs w:val="24"/>
          <w:lang w:val="en-GB"/>
        </w:rPr>
        <w:t xml:space="preserve">The HRCSL report </w:t>
      </w:r>
      <w:r w:rsidR="001870E2">
        <w:rPr>
          <w:rFonts w:ascii="Cambria" w:hAnsi="Cambria"/>
          <w:sz w:val="24"/>
          <w:szCs w:val="24"/>
          <w:lang w:val="en-GB"/>
        </w:rPr>
        <w:t>states that</w:t>
      </w:r>
      <w:r>
        <w:rPr>
          <w:rFonts w:ascii="Cambria" w:hAnsi="Cambria"/>
          <w:sz w:val="24"/>
          <w:szCs w:val="24"/>
          <w:lang w:val="en-GB"/>
        </w:rPr>
        <w:t xml:space="preserve"> that access of </w:t>
      </w:r>
      <w:r w:rsidR="00985474">
        <w:rPr>
          <w:rFonts w:ascii="Cambria" w:hAnsi="Cambria"/>
          <w:sz w:val="24"/>
          <w:szCs w:val="24"/>
          <w:lang w:val="en-GB"/>
        </w:rPr>
        <w:t xml:space="preserve">incarcerated </w:t>
      </w:r>
      <w:r>
        <w:rPr>
          <w:rFonts w:ascii="Cambria" w:hAnsi="Cambria"/>
          <w:sz w:val="24"/>
          <w:szCs w:val="24"/>
          <w:lang w:val="en-GB"/>
        </w:rPr>
        <w:t xml:space="preserve">persons to healthcare facilities </w:t>
      </w:r>
      <w:r w:rsidR="00985474">
        <w:rPr>
          <w:rFonts w:ascii="Cambria" w:hAnsi="Cambria"/>
          <w:sz w:val="24"/>
          <w:szCs w:val="24"/>
          <w:lang w:val="en-GB"/>
        </w:rPr>
        <w:t xml:space="preserve">is </w:t>
      </w:r>
      <w:r>
        <w:rPr>
          <w:rFonts w:ascii="Cambria" w:hAnsi="Cambria"/>
          <w:sz w:val="24"/>
          <w:szCs w:val="24"/>
          <w:lang w:val="en-GB"/>
        </w:rPr>
        <w:t>severely restricted, and the poor healthcare infrastructure of pri</w:t>
      </w:r>
      <w:r w:rsidR="001870E2">
        <w:rPr>
          <w:rFonts w:ascii="Cambria" w:hAnsi="Cambria"/>
          <w:sz w:val="24"/>
          <w:szCs w:val="24"/>
          <w:lang w:val="en-GB"/>
        </w:rPr>
        <w:t>sons primarily impacted older</w:t>
      </w:r>
      <w:r>
        <w:rPr>
          <w:rFonts w:ascii="Cambria" w:hAnsi="Cambria"/>
          <w:sz w:val="24"/>
          <w:szCs w:val="24"/>
          <w:lang w:val="en-GB"/>
        </w:rPr>
        <w:t xml:space="preserve"> persons in detention and persons suffering chronic health conditions. </w:t>
      </w:r>
    </w:p>
    <w:p w14:paraId="2B8CC228" w14:textId="679A3D8A" w:rsidR="00FC2772" w:rsidRDefault="00FC2772" w:rsidP="00C51616">
      <w:pPr>
        <w:spacing w:after="0" w:line="240" w:lineRule="auto"/>
        <w:jc w:val="both"/>
        <w:rPr>
          <w:rFonts w:ascii="Cambria" w:hAnsi="Cambria"/>
          <w:sz w:val="24"/>
          <w:szCs w:val="24"/>
          <w:lang w:val="en-GB"/>
        </w:rPr>
      </w:pPr>
      <w:r>
        <w:rPr>
          <w:rFonts w:ascii="Cambria" w:hAnsi="Cambria"/>
          <w:sz w:val="24"/>
          <w:szCs w:val="24"/>
          <w:lang w:val="en-GB"/>
        </w:rPr>
        <w:lastRenderedPageBreak/>
        <w:t xml:space="preserve">The prison study found that </w:t>
      </w:r>
      <w:r w:rsidR="001870E2">
        <w:rPr>
          <w:rFonts w:ascii="Cambria" w:hAnsi="Cambria"/>
          <w:sz w:val="24"/>
          <w:szCs w:val="24"/>
          <w:lang w:val="en-GB"/>
        </w:rPr>
        <w:t xml:space="preserve">the hospitals in </w:t>
      </w:r>
      <w:r>
        <w:rPr>
          <w:rFonts w:ascii="Cambria" w:hAnsi="Cambria"/>
          <w:sz w:val="24"/>
          <w:szCs w:val="24"/>
          <w:lang w:val="en-GB"/>
        </w:rPr>
        <w:t xml:space="preserve">prisons were overcrowded and did not have beds, as a result of which patients would have to sleep on the ground, and contained only basic healthcare facilities. As a result, persons would have to be transferred to the nearest public hospital to access </w:t>
      </w:r>
      <w:r w:rsidR="001870E2">
        <w:rPr>
          <w:rFonts w:ascii="Cambria" w:hAnsi="Cambria"/>
          <w:sz w:val="24"/>
          <w:szCs w:val="24"/>
          <w:lang w:val="en-GB"/>
        </w:rPr>
        <w:t xml:space="preserve">outpatient and specialised </w:t>
      </w:r>
      <w:r>
        <w:rPr>
          <w:rFonts w:ascii="Cambria" w:hAnsi="Cambria"/>
          <w:sz w:val="24"/>
          <w:szCs w:val="24"/>
          <w:lang w:val="en-GB"/>
        </w:rPr>
        <w:t xml:space="preserve">medical care. </w:t>
      </w:r>
      <w:r w:rsidR="001870E2">
        <w:rPr>
          <w:rFonts w:ascii="Cambria" w:hAnsi="Cambria"/>
          <w:sz w:val="24"/>
          <w:szCs w:val="24"/>
          <w:lang w:val="en-GB"/>
        </w:rPr>
        <w:t>However, due to the limited number of prison vehicles for transportation and the complete lack of ambulances, persons who required a transfer to the hospital for medical appointments would have compete with the need to transfer prisoners to the court, as the same vehicles would be used for court transfers as well. The prison had to prioritise transfers to court over hospital visits which would result in patients having to wait for months before they could attend their medical appointment and receive medical care. Complaints regarding delays in accessing healthcare were one of the highest categories of complaints lodged at the HRCSL during the course of the study.</w:t>
      </w:r>
      <w:r w:rsidR="008C3B08">
        <w:rPr>
          <w:rStyle w:val="FootnoteReference"/>
          <w:rFonts w:ascii="Cambria" w:hAnsi="Cambria"/>
          <w:sz w:val="24"/>
          <w:szCs w:val="24"/>
          <w:lang w:val="en-GB"/>
        </w:rPr>
        <w:footnoteReference w:id="3"/>
      </w:r>
    </w:p>
    <w:p w14:paraId="520137C5" w14:textId="77777777" w:rsidR="0074293D" w:rsidRDefault="0074293D" w:rsidP="00C51616">
      <w:pPr>
        <w:spacing w:after="0" w:line="240" w:lineRule="auto"/>
        <w:jc w:val="both"/>
        <w:rPr>
          <w:rFonts w:ascii="Cambria" w:hAnsi="Cambria"/>
          <w:sz w:val="24"/>
          <w:szCs w:val="24"/>
          <w:lang w:val="en-GB"/>
        </w:rPr>
      </w:pPr>
    </w:p>
    <w:p w14:paraId="13C56619" w14:textId="77777777" w:rsidR="002734A4" w:rsidRPr="002734A4" w:rsidRDefault="002734A4" w:rsidP="00C51616">
      <w:pPr>
        <w:pStyle w:val="ListParagraph"/>
        <w:numPr>
          <w:ilvl w:val="0"/>
          <w:numId w:val="3"/>
        </w:numPr>
        <w:spacing w:after="0" w:line="240" w:lineRule="auto"/>
        <w:jc w:val="both"/>
        <w:rPr>
          <w:rFonts w:ascii="Cambria" w:hAnsi="Cambria"/>
          <w:i/>
          <w:sz w:val="24"/>
          <w:szCs w:val="24"/>
          <w:lang w:val="en-GB"/>
        </w:rPr>
      </w:pPr>
      <w:r w:rsidRPr="002734A4">
        <w:rPr>
          <w:rFonts w:ascii="Cambria" w:hAnsi="Cambria"/>
          <w:i/>
          <w:sz w:val="24"/>
          <w:szCs w:val="24"/>
          <w:lang w:val="en-GB"/>
        </w:rPr>
        <w:t xml:space="preserve">The right to equality and non-discrimination </w:t>
      </w:r>
    </w:p>
    <w:p w14:paraId="4F8A7F2D" w14:textId="77777777" w:rsidR="00C51616" w:rsidRDefault="00C51616" w:rsidP="00C51616">
      <w:pPr>
        <w:spacing w:after="0" w:line="240" w:lineRule="auto"/>
        <w:jc w:val="both"/>
        <w:rPr>
          <w:rFonts w:ascii="Cambria" w:hAnsi="Cambria"/>
          <w:sz w:val="24"/>
          <w:szCs w:val="24"/>
          <w:lang w:val="en-GB"/>
        </w:rPr>
      </w:pPr>
    </w:p>
    <w:p w14:paraId="3E07D779" w14:textId="2FE06B8B" w:rsidR="002734A4" w:rsidRDefault="002734A4" w:rsidP="00C51616">
      <w:pPr>
        <w:spacing w:after="0" w:line="240" w:lineRule="auto"/>
        <w:jc w:val="both"/>
        <w:rPr>
          <w:rFonts w:ascii="Cambria" w:hAnsi="Cambria"/>
          <w:sz w:val="24"/>
          <w:szCs w:val="24"/>
          <w:lang w:val="en-GB"/>
        </w:rPr>
      </w:pPr>
      <w:r>
        <w:rPr>
          <w:rFonts w:ascii="Cambria" w:hAnsi="Cambria"/>
          <w:sz w:val="24"/>
          <w:szCs w:val="24"/>
          <w:lang w:val="en-GB"/>
        </w:rPr>
        <w:t xml:space="preserve">The prison study found that older persons deprived of liberty </w:t>
      </w:r>
      <w:r w:rsidR="008C3B08">
        <w:rPr>
          <w:rFonts w:ascii="Cambria" w:hAnsi="Cambria"/>
          <w:sz w:val="24"/>
          <w:szCs w:val="24"/>
          <w:lang w:val="en-GB"/>
        </w:rPr>
        <w:t xml:space="preserve">were </w:t>
      </w:r>
      <w:r>
        <w:rPr>
          <w:rFonts w:ascii="Cambria" w:hAnsi="Cambria"/>
          <w:sz w:val="24"/>
          <w:szCs w:val="24"/>
          <w:lang w:val="en-GB"/>
        </w:rPr>
        <w:t xml:space="preserve">vulnerable in </w:t>
      </w:r>
      <w:r w:rsidR="008C3B08">
        <w:rPr>
          <w:rFonts w:ascii="Cambria" w:hAnsi="Cambria"/>
          <w:sz w:val="24"/>
          <w:szCs w:val="24"/>
          <w:lang w:val="en-GB"/>
        </w:rPr>
        <w:t xml:space="preserve">the </w:t>
      </w:r>
      <w:r>
        <w:rPr>
          <w:rFonts w:ascii="Cambria" w:hAnsi="Cambria"/>
          <w:sz w:val="24"/>
          <w:szCs w:val="24"/>
          <w:lang w:val="en-GB"/>
        </w:rPr>
        <w:t xml:space="preserve">penitentiary system and </w:t>
      </w:r>
      <w:r w:rsidR="008C3B08">
        <w:rPr>
          <w:rFonts w:ascii="Cambria" w:hAnsi="Cambria"/>
          <w:sz w:val="24"/>
          <w:szCs w:val="24"/>
          <w:lang w:val="en-GB"/>
        </w:rPr>
        <w:t>suffered severe disadvantages as a result of their age</w:t>
      </w:r>
      <w:r>
        <w:rPr>
          <w:rFonts w:ascii="Cambria" w:hAnsi="Cambria"/>
          <w:sz w:val="24"/>
          <w:szCs w:val="24"/>
          <w:lang w:val="en-GB"/>
        </w:rPr>
        <w:t>. One of the key areas where this was observed was in relation to emergency situation</w:t>
      </w:r>
      <w:r w:rsidR="008C3B08">
        <w:rPr>
          <w:rFonts w:ascii="Cambria" w:hAnsi="Cambria"/>
          <w:sz w:val="24"/>
          <w:szCs w:val="24"/>
          <w:lang w:val="en-GB"/>
        </w:rPr>
        <w:t>s</w:t>
      </w:r>
      <w:r>
        <w:rPr>
          <w:rFonts w:ascii="Cambria" w:hAnsi="Cambria"/>
          <w:sz w:val="24"/>
          <w:szCs w:val="24"/>
          <w:lang w:val="en-GB"/>
        </w:rPr>
        <w:t xml:space="preserve"> and disaster risk management. The HRCSL</w:t>
      </w:r>
      <w:r w:rsidR="008C3B08">
        <w:rPr>
          <w:rFonts w:ascii="Cambria" w:hAnsi="Cambria"/>
          <w:sz w:val="24"/>
          <w:szCs w:val="24"/>
          <w:lang w:val="en-GB"/>
        </w:rPr>
        <w:t xml:space="preserve"> prison study</w:t>
      </w:r>
      <w:r>
        <w:rPr>
          <w:rFonts w:ascii="Cambria" w:hAnsi="Cambria"/>
          <w:sz w:val="24"/>
          <w:szCs w:val="24"/>
          <w:lang w:val="en-GB"/>
        </w:rPr>
        <w:t xml:space="preserve"> reported that in many prisons, older persons</w:t>
      </w:r>
      <w:r w:rsidR="008C3B08">
        <w:rPr>
          <w:rFonts w:ascii="Cambria" w:hAnsi="Cambria"/>
          <w:sz w:val="24"/>
          <w:szCs w:val="24"/>
          <w:lang w:val="en-GB"/>
        </w:rPr>
        <w:t xml:space="preserve"> in the prison</w:t>
      </w:r>
      <w:r>
        <w:rPr>
          <w:rFonts w:ascii="Cambria" w:hAnsi="Cambria"/>
          <w:sz w:val="24"/>
          <w:szCs w:val="24"/>
          <w:lang w:val="en-GB"/>
        </w:rPr>
        <w:t xml:space="preserve"> were all </w:t>
      </w:r>
      <w:r w:rsidR="008C3B08">
        <w:rPr>
          <w:rFonts w:ascii="Cambria" w:hAnsi="Cambria"/>
          <w:sz w:val="24"/>
          <w:szCs w:val="24"/>
          <w:lang w:val="en-GB"/>
        </w:rPr>
        <w:t>held in one ward</w:t>
      </w:r>
      <w:r>
        <w:rPr>
          <w:rFonts w:ascii="Cambria" w:hAnsi="Cambria"/>
          <w:sz w:val="24"/>
          <w:szCs w:val="24"/>
          <w:lang w:val="en-GB"/>
        </w:rPr>
        <w:t>, often along with persons with disabilities. A key concern raised by the Commission was that in the event of a disaster or emergency situation</w:t>
      </w:r>
      <w:r w:rsidR="008C3B08">
        <w:rPr>
          <w:rFonts w:ascii="Cambria" w:hAnsi="Cambria"/>
          <w:sz w:val="24"/>
          <w:szCs w:val="24"/>
          <w:lang w:val="en-GB"/>
        </w:rPr>
        <w:t>,</w:t>
      </w:r>
      <w:r>
        <w:rPr>
          <w:rFonts w:ascii="Cambria" w:hAnsi="Cambria"/>
          <w:sz w:val="24"/>
          <w:szCs w:val="24"/>
          <w:lang w:val="en-GB"/>
        </w:rPr>
        <w:t xml:space="preserve"> older persons in prison who occupied the same ward would suffer most difficult</w:t>
      </w:r>
      <w:r w:rsidR="008C3B08">
        <w:rPr>
          <w:rFonts w:ascii="Cambria" w:hAnsi="Cambria"/>
          <w:sz w:val="24"/>
          <w:szCs w:val="24"/>
          <w:lang w:val="en-GB"/>
        </w:rPr>
        <w:t>ies</w:t>
      </w:r>
      <w:r>
        <w:rPr>
          <w:rFonts w:ascii="Cambria" w:hAnsi="Cambria"/>
          <w:sz w:val="24"/>
          <w:szCs w:val="24"/>
          <w:lang w:val="en-GB"/>
        </w:rPr>
        <w:t xml:space="preserve"> as the occupants of the ward would</w:t>
      </w:r>
      <w:r w:rsidR="008C3B08">
        <w:rPr>
          <w:rFonts w:ascii="Cambria" w:hAnsi="Cambria"/>
          <w:sz w:val="24"/>
          <w:szCs w:val="24"/>
          <w:lang w:val="en-GB"/>
        </w:rPr>
        <w:t xml:space="preserve"> struggle </w:t>
      </w:r>
      <w:r>
        <w:rPr>
          <w:rFonts w:ascii="Cambria" w:hAnsi="Cambria"/>
          <w:sz w:val="24"/>
          <w:szCs w:val="24"/>
          <w:lang w:val="en-GB"/>
        </w:rPr>
        <w:t xml:space="preserve">to escape harm, let alone </w:t>
      </w:r>
      <w:r w:rsidR="00745D86">
        <w:rPr>
          <w:rFonts w:ascii="Cambria" w:hAnsi="Cambria"/>
          <w:sz w:val="24"/>
          <w:szCs w:val="24"/>
          <w:lang w:val="en-GB"/>
        </w:rPr>
        <w:t xml:space="preserve">assist </w:t>
      </w:r>
      <w:r>
        <w:rPr>
          <w:rFonts w:ascii="Cambria" w:hAnsi="Cambria"/>
          <w:sz w:val="24"/>
          <w:szCs w:val="24"/>
          <w:lang w:val="en-GB"/>
        </w:rPr>
        <w:t>other members of the ward. Considering the present infrastructure of prisons wher</w:t>
      </w:r>
      <w:r w:rsidR="008C3B08">
        <w:rPr>
          <w:rFonts w:ascii="Cambria" w:hAnsi="Cambria"/>
          <w:sz w:val="24"/>
          <w:szCs w:val="24"/>
          <w:lang w:val="en-GB"/>
        </w:rPr>
        <w:t>e, due to crumbling and outdated</w:t>
      </w:r>
      <w:r>
        <w:rPr>
          <w:rFonts w:ascii="Cambria" w:hAnsi="Cambria"/>
          <w:sz w:val="24"/>
          <w:szCs w:val="24"/>
          <w:lang w:val="en-GB"/>
        </w:rPr>
        <w:t xml:space="preserve"> structures and numerous fire hazards, coupled with the complete lack of a disaster management policy/protocol in every prison, an emergency situation is highly probable </w:t>
      </w:r>
      <w:proofErr w:type="gramStart"/>
      <w:r>
        <w:rPr>
          <w:rFonts w:ascii="Cambria" w:hAnsi="Cambria"/>
          <w:sz w:val="24"/>
          <w:szCs w:val="24"/>
          <w:lang w:val="en-GB"/>
        </w:rPr>
        <w:t>and in such situations</w:t>
      </w:r>
      <w:proofErr w:type="gramEnd"/>
      <w:r>
        <w:rPr>
          <w:rFonts w:ascii="Cambria" w:hAnsi="Cambria"/>
          <w:sz w:val="24"/>
          <w:szCs w:val="24"/>
          <w:lang w:val="en-GB"/>
        </w:rPr>
        <w:t xml:space="preserve"> the older persons and persons with limited mobility are likely to suffer the most.</w:t>
      </w:r>
      <w:r w:rsidR="008C3B08">
        <w:rPr>
          <w:rStyle w:val="FootnoteReference"/>
          <w:rFonts w:ascii="Cambria" w:hAnsi="Cambria"/>
          <w:sz w:val="24"/>
          <w:szCs w:val="24"/>
          <w:lang w:val="en-GB"/>
        </w:rPr>
        <w:footnoteReference w:id="4"/>
      </w:r>
    </w:p>
    <w:p w14:paraId="4DE21F43" w14:textId="28086ABA" w:rsidR="002734A4" w:rsidRDefault="002734A4" w:rsidP="00C51616">
      <w:pPr>
        <w:spacing w:after="0" w:line="240" w:lineRule="auto"/>
        <w:jc w:val="both"/>
        <w:rPr>
          <w:rFonts w:ascii="Cambria" w:hAnsi="Cambria"/>
          <w:sz w:val="24"/>
          <w:szCs w:val="24"/>
          <w:lang w:val="en-GB"/>
        </w:rPr>
      </w:pPr>
    </w:p>
    <w:p w14:paraId="65F33AA8" w14:textId="77777777" w:rsidR="00745D86" w:rsidRDefault="00745D86" w:rsidP="00C51616">
      <w:pPr>
        <w:spacing w:after="0" w:line="240" w:lineRule="auto"/>
        <w:jc w:val="both"/>
        <w:rPr>
          <w:rFonts w:ascii="Cambria" w:hAnsi="Cambria"/>
          <w:sz w:val="24"/>
          <w:szCs w:val="24"/>
          <w:lang w:val="en-GB"/>
        </w:rPr>
      </w:pPr>
    </w:p>
    <w:p w14:paraId="76D6332A" w14:textId="77777777" w:rsidR="0074293D" w:rsidRDefault="0074293D" w:rsidP="00C51616">
      <w:pPr>
        <w:pStyle w:val="ListParagraph"/>
        <w:numPr>
          <w:ilvl w:val="0"/>
          <w:numId w:val="3"/>
        </w:numPr>
        <w:spacing w:after="0" w:line="240" w:lineRule="auto"/>
        <w:jc w:val="both"/>
        <w:rPr>
          <w:rFonts w:ascii="Cambria" w:hAnsi="Cambria"/>
          <w:i/>
          <w:sz w:val="24"/>
          <w:szCs w:val="24"/>
          <w:lang w:val="en-GB"/>
        </w:rPr>
      </w:pPr>
      <w:r w:rsidRPr="002734A4">
        <w:rPr>
          <w:rFonts w:ascii="Cambria" w:hAnsi="Cambria"/>
          <w:i/>
          <w:sz w:val="24"/>
          <w:szCs w:val="24"/>
          <w:lang w:val="en-GB"/>
        </w:rPr>
        <w:t>Long term imprisonment and age</w:t>
      </w:r>
    </w:p>
    <w:p w14:paraId="4CDD123F" w14:textId="77777777" w:rsidR="00C51616" w:rsidRDefault="00C51616" w:rsidP="00C51616">
      <w:pPr>
        <w:spacing w:after="0" w:line="240" w:lineRule="auto"/>
        <w:jc w:val="both"/>
        <w:rPr>
          <w:rFonts w:ascii="Cambria" w:hAnsi="Cambria"/>
          <w:sz w:val="24"/>
          <w:szCs w:val="24"/>
          <w:lang w:val="en-GB"/>
        </w:rPr>
      </w:pPr>
    </w:p>
    <w:p w14:paraId="4C3A74A6" w14:textId="0F3DB1DD" w:rsidR="007D4B96" w:rsidRDefault="00A51258" w:rsidP="00C51616">
      <w:pPr>
        <w:spacing w:after="0" w:line="240" w:lineRule="auto"/>
        <w:jc w:val="both"/>
        <w:rPr>
          <w:rFonts w:ascii="Cambria" w:hAnsi="Cambria"/>
          <w:sz w:val="24"/>
          <w:szCs w:val="24"/>
          <w:lang w:val="en-GB"/>
        </w:rPr>
      </w:pPr>
      <w:r>
        <w:rPr>
          <w:rFonts w:ascii="Cambria" w:hAnsi="Cambria"/>
          <w:sz w:val="24"/>
          <w:szCs w:val="24"/>
          <w:lang w:val="en-GB"/>
        </w:rPr>
        <w:t xml:space="preserve">Globally, </w:t>
      </w:r>
      <w:r w:rsidR="00745D86">
        <w:rPr>
          <w:rFonts w:ascii="Cambria" w:hAnsi="Cambria"/>
          <w:sz w:val="24"/>
          <w:szCs w:val="24"/>
          <w:lang w:val="en-GB"/>
        </w:rPr>
        <w:t xml:space="preserve">questions are being raised about the effectiveness of </w:t>
      </w:r>
      <w:r>
        <w:rPr>
          <w:rFonts w:ascii="Cambria" w:hAnsi="Cambria"/>
          <w:sz w:val="24"/>
          <w:szCs w:val="24"/>
          <w:lang w:val="en-GB"/>
        </w:rPr>
        <w:t xml:space="preserve">the prison system </w:t>
      </w:r>
      <w:r w:rsidR="00745D86">
        <w:rPr>
          <w:rFonts w:ascii="Cambria" w:hAnsi="Cambria"/>
          <w:sz w:val="24"/>
          <w:szCs w:val="24"/>
          <w:lang w:val="en-GB"/>
        </w:rPr>
        <w:t>in</w:t>
      </w:r>
      <w:r w:rsidR="007D4B96">
        <w:rPr>
          <w:rFonts w:ascii="Cambria" w:hAnsi="Cambria"/>
          <w:sz w:val="24"/>
          <w:szCs w:val="24"/>
          <w:lang w:val="en-GB"/>
        </w:rPr>
        <w:t xml:space="preserve"> meting out justice through an inherently violent process that disproportionately affects persons from marginalised backgrounds. This rings especially true for older persons deprived of liberty that are required to serve long-term imprisonment.</w:t>
      </w:r>
    </w:p>
    <w:p w14:paraId="41B5973D" w14:textId="77777777" w:rsidR="00C51616" w:rsidRDefault="00C51616" w:rsidP="00C51616">
      <w:pPr>
        <w:spacing w:after="0" w:line="240" w:lineRule="auto"/>
        <w:jc w:val="both"/>
        <w:rPr>
          <w:rFonts w:ascii="Cambria" w:hAnsi="Cambria"/>
          <w:sz w:val="24"/>
          <w:szCs w:val="24"/>
          <w:lang w:val="en-GB"/>
        </w:rPr>
      </w:pPr>
    </w:p>
    <w:p w14:paraId="7999CFAE" w14:textId="5811E61C" w:rsidR="00A51258" w:rsidRPr="002734A4" w:rsidRDefault="007D4B96" w:rsidP="00C51616">
      <w:pPr>
        <w:spacing w:after="0" w:line="240" w:lineRule="auto"/>
        <w:jc w:val="both"/>
        <w:rPr>
          <w:rFonts w:ascii="Cambria" w:hAnsi="Cambria"/>
          <w:sz w:val="24"/>
          <w:szCs w:val="24"/>
          <w:lang w:val="en-GB"/>
        </w:rPr>
      </w:pPr>
      <w:r>
        <w:rPr>
          <w:rFonts w:ascii="Cambria" w:hAnsi="Cambria"/>
          <w:sz w:val="24"/>
          <w:szCs w:val="24"/>
          <w:lang w:val="en-GB"/>
        </w:rPr>
        <w:t xml:space="preserve">Older members of society are especially vulnerable and dependent on caregivers to fulfil their basic needs. The helplessness of </w:t>
      </w:r>
      <w:r w:rsidR="008C3B08">
        <w:rPr>
          <w:rFonts w:ascii="Cambria" w:hAnsi="Cambria"/>
          <w:sz w:val="24"/>
          <w:szCs w:val="24"/>
          <w:lang w:val="en-GB"/>
        </w:rPr>
        <w:t>older</w:t>
      </w:r>
      <w:r>
        <w:rPr>
          <w:rFonts w:ascii="Cambria" w:hAnsi="Cambria"/>
          <w:sz w:val="24"/>
          <w:szCs w:val="24"/>
          <w:lang w:val="en-GB"/>
        </w:rPr>
        <w:t xml:space="preserve"> persons deprived of liberty is exacerbated in prison where they risk </w:t>
      </w:r>
      <w:r w:rsidR="00A05222">
        <w:rPr>
          <w:rFonts w:ascii="Cambria" w:hAnsi="Cambria"/>
          <w:sz w:val="24"/>
          <w:szCs w:val="24"/>
          <w:lang w:val="en-GB"/>
        </w:rPr>
        <w:t>reaching</w:t>
      </w:r>
      <w:r>
        <w:rPr>
          <w:rFonts w:ascii="Cambria" w:hAnsi="Cambria"/>
          <w:sz w:val="24"/>
          <w:szCs w:val="24"/>
          <w:lang w:val="en-GB"/>
        </w:rPr>
        <w:t xml:space="preserve"> the end of their life, in conditions that would cause their mental and physical health to deteriorate further. </w:t>
      </w:r>
      <w:r w:rsidR="00A05222">
        <w:rPr>
          <w:rFonts w:ascii="Cambria" w:hAnsi="Cambria"/>
          <w:sz w:val="24"/>
          <w:szCs w:val="24"/>
          <w:lang w:val="en-GB"/>
        </w:rPr>
        <w:t>The Commission report states</w:t>
      </w:r>
      <w:r>
        <w:rPr>
          <w:rFonts w:ascii="Cambria" w:hAnsi="Cambria"/>
          <w:sz w:val="24"/>
          <w:szCs w:val="24"/>
          <w:lang w:val="en-GB"/>
        </w:rPr>
        <w:t xml:space="preserve"> that for </w:t>
      </w:r>
      <w:r>
        <w:rPr>
          <w:rFonts w:ascii="Cambria" w:hAnsi="Cambria"/>
          <w:sz w:val="24"/>
          <w:szCs w:val="24"/>
          <w:lang w:val="en-GB"/>
        </w:rPr>
        <w:lastRenderedPageBreak/>
        <w:t xml:space="preserve">many older persons </w:t>
      </w:r>
      <w:r w:rsidR="00A05222">
        <w:rPr>
          <w:rFonts w:ascii="Cambria" w:hAnsi="Cambria"/>
          <w:sz w:val="24"/>
          <w:szCs w:val="24"/>
          <w:lang w:val="en-GB"/>
        </w:rPr>
        <w:t xml:space="preserve">who were </w:t>
      </w:r>
      <w:r>
        <w:rPr>
          <w:rFonts w:ascii="Cambria" w:hAnsi="Cambria"/>
          <w:sz w:val="24"/>
          <w:szCs w:val="24"/>
          <w:lang w:val="en-GB"/>
        </w:rPr>
        <w:t>deprived of liberty</w:t>
      </w:r>
      <w:r w:rsidR="00A05222">
        <w:rPr>
          <w:rFonts w:ascii="Cambria" w:hAnsi="Cambria"/>
          <w:sz w:val="24"/>
          <w:szCs w:val="24"/>
          <w:lang w:val="en-GB"/>
        </w:rPr>
        <w:t xml:space="preserve"> for most of their life</w:t>
      </w:r>
      <w:r>
        <w:rPr>
          <w:rFonts w:ascii="Cambria" w:hAnsi="Cambria"/>
          <w:sz w:val="24"/>
          <w:szCs w:val="24"/>
          <w:lang w:val="en-GB"/>
        </w:rPr>
        <w:t>, the prison</w:t>
      </w:r>
      <w:r w:rsidR="00A05222">
        <w:rPr>
          <w:rFonts w:ascii="Cambria" w:hAnsi="Cambria"/>
          <w:sz w:val="24"/>
          <w:szCs w:val="24"/>
          <w:lang w:val="en-GB"/>
        </w:rPr>
        <w:t xml:space="preserve"> ends up operating</w:t>
      </w:r>
      <w:r>
        <w:rPr>
          <w:rFonts w:ascii="Cambria" w:hAnsi="Cambria"/>
          <w:sz w:val="24"/>
          <w:szCs w:val="24"/>
          <w:lang w:val="en-GB"/>
        </w:rPr>
        <w:t xml:space="preserve"> as a h</w:t>
      </w:r>
      <w:r w:rsidR="00A05222">
        <w:rPr>
          <w:rFonts w:ascii="Cambria" w:hAnsi="Cambria"/>
          <w:sz w:val="24"/>
          <w:szCs w:val="24"/>
          <w:lang w:val="en-GB"/>
        </w:rPr>
        <w:t>ospice where they were spend</w:t>
      </w:r>
      <w:r w:rsidR="008C3B08">
        <w:rPr>
          <w:rFonts w:ascii="Cambria" w:hAnsi="Cambria"/>
          <w:sz w:val="24"/>
          <w:szCs w:val="24"/>
          <w:lang w:val="en-GB"/>
        </w:rPr>
        <w:t>ing</w:t>
      </w:r>
      <w:r w:rsidR="00A05222">
        <w:rPr>
          <w:rFonts w:ascii="Cambria" w:hAnsi="Cambria"/>
          <w:sz w:val="24"/>
          <w:szCs w:val="24"/>
          <w:lang w:val="en-GB"/>
        </w:rPr>
        <w:t xml:space="preserve"> </w:t>
      </w:r>
      <w:r>
        <w:rPr>
          <w:rFonts w:ascii="Cambria" w:hAnsi="Cambria"/>
          <w:sz w:val="24"/>
          <w:szCs w:val="24"/>
          <w:lang w:val="en-GB"/>
        </w:rPr>
        <w:t>their final years</w:t>
      </w:r>
      <w:r w:rsidR="00A05222">
        <w:rPr>
          <w:rFonts w:ascii="Cambria" w:hAnsi="Cambria"/>
          <w:sz w:val="24"/>
          <w:szCs w:val="24"/>
          <w:lang w:val="en-GB"/>
        </w:rPr>
        <w:t>.</w:t>
      </w:r>
      <w:r w:rsidR="008C3B08">
        <w:rPr>
          <w:rStyle w:val="FootnoteReference"/>
          <w:rFonts w:ascii="Cambria" w:hAnsi="Cambria"/>
          <w:sz w:val="24"/>
          <w:szCs w:val="24"/>
          <w:lang w:val="en-GB"/>
        </w:rPr>
        <w:footnoteReference w:id="5"/>
      </w:r>
      <w:r>
        <w:rPr>
          <w:rFonts w:ascii="Cambria" w:hAnsi="Cambria"/>
          <w:sz w:val="24"/>
          <w:szCs w:val="24"/>
          <w:lang w:val="en-GB"/>
        </w:rPr>
        <w:t xml:space="preserve"> Where persons are physically rendered incapable of engaging in criminal behaviour due to age related conditions, </w:t>
      </w:r>
      <w:r w:rsidR="00A05222">
        <w:rPr>
          <w:rFonts w:ascii="Cambria" w:hAnsi="Cambria"/>
          <w:sz w:val="24"/>
          <w:szCs w:val="24"/>
          <w:lang w:val="en-GB"/>
        </w:rPr>
        <w:t xml:space="preserve">and </w:t>
      </w:r>
      <w:r>
        <w:rPr>
          <w:rFonts w:ascii="Cambria" w:hAnsi="Cambria"/>
          <w:sz w:val="24"/>
          <w:szCs w:val="24"/>
          <w:lang w:val="en-GB"/>
        </w:rPr>
        <w:t>society serves no benefit from their confinement within prison w</w:t>
      </w:r>
      <w:r w:rsidR="00A05222">
        <w:rPr>
          <w:rFonts w:ascii="Cambria" w:hAnsi="Cambria"/>
          <w:sz w:val="24"/>
          <w:szCs w:val="24"/>
          <w:lang w:val="en-GB"/>
        </w:rPr>
        <w:t xml:space="preserve">alls, the reasons for detaining older persons for prolonged period of times must be </w:t>
      </w:r>
      <w:r w:rsidR="00745D86">
        <w:rPr>
          <w:rFonts w:ascii="Cambria" w:hAnsi="Cambria"/>
          <w:sz w:val="24"/>
          <w:szCs w:val="24"/>
          <w:lang w:val="en-GB"/>
        </w:rPr>
        <w:t>re-</w:t>
      </w:r>
      <w:r w:rsidR="00A05222">
        <w:rPr>
          <w:rFonts w:ascii="Cambria" w:hAnsi="Cambria"/>
          <w:sz w:val="24"/>
          <w:szCs w:val="24"/>
          <w:lang w:val="en-GB"/>
        </w:rPr>
        <w:t>examined.</w:t>
      </w:r>
      <w:r w:rsidR="00D83C14">
        <w:rPr>
          <w:rFonts w:ascii="Cambria" w:hAnsi="Cambria"/>
          <w:sz w:val="24"/>
          <w:szCs w:val="24"/>
          <w:lang w:val="en-GB"/>
        </w:rPr>
        <w:t xml:space="preserve"> Furthermore, where older persons are released from prison after spending a prolonged period of time away from society, they may become ‘institutionalised’</w:t>
      </w:r>
      <w:r w:rsidR="00DA5021">
        <w:rPr>
          <w:rFonts w:ascii="Cambria" w:hAnsi="Cambria"/>
          <w:sz w:val="24"/>
          <w:szCs w:val="24"/>
          <w:lang w:val="en-GB"/>
        </w:rPr>
        <w:t xml:space="preserve"> and as a result be</w:t>
      </w:r>
      <w:r w:rsidR="00D83C14">
        <w:rPr>
          <w:rFonts w:ascii="Cambria" w:hAnsi="Cambria"/>
          <w:sz w:val="24"/>
          <w:szCs w:val="24"/>
          <w:lang w:val="en-GB"/>
        </w:rPr>
        <w:t xml:space="preserve"> unable to lead independent lives</w:t>
      </w:r>
      <w:r w:rsidR="00DA5021">
        <w:rPr>
          <w:rFonts w:ascii="Cambria" w:hAnsi="Cambria"/>
          <w:sz w:val="24"/>
          <w:szCs w:val="24"/>
          <w:lang w:val="en-GB"/>
        </w:rPr>
        <w:t xml:space="preserve"> and reintegrate into society.</w:t>
      </w:r>
      <w:r w:rsidR="00DA5021">
        <w:rPr>
          <w:rStyle w:val="FootnoteReference"/>
          <w:rFonts w:ascii="Cambria" w:hAnsi="Cambria"/>
          <w:sz w:val="24"/>
          <w:szCs w:val="24"/>
          <w:lang w:val="en-GB"/>
        </w:rPr>
        <w:footnoteReference w:id="6"/>
      </w:r>
      <w:r w:rsidR="00DA5021">
        <w:rPr>
          <w:rFonts w:ascii="Cambria" w:hAnsi="Cambria"/>
          <w:sz w:val="24"/>
          <w:szCs w:val="24"/>
          <w:lang w:val="en-GB"/>
        </w:rPr>
        <w:t xml:space="preserve">  </w:t>
      </w:r>
    </w:p>
    <w:p w14:paraId="1CC13C13" w14:textId="6E77DB8B" w:rsidR="0074293D" w:rsidRDefault="0074293D" w:rsidP="00C51616">
      <w:pPr>
        <w:spacing w:after="0" w:line="240" w:lineRule="auto"/>
        <w:jc w:val="both"/>
        <w:rPr>
          <w:rFonts w:ascii="Cambria" w:hAnsi="Cambria"/>
          <w:sz w:val="24"/>
          <w:szCs w:val="24"/>
          <w:lang w:val="en-GB"/>
        </w:rPr>
      </w:pPr>
    </w:p>
    <w:p w14:paraId="072E6247" w14:textId="77777777" w:rsidR="00C51616" w:rsidRPr="0074293D" w:rsidRDefault="00C51616" w:rsidP="00C51616">
      <w:pPr>
        <w:spacing w:after="0" w:line="240" w:lineRule="auto"/>
        <w:jc w:val="both"/>
        <w:rPr>
          <w:rFonts w:ascii="Cambria" w:hAnsi="Cambria"/>
          <w:sz w:val="24"/>
          <w:szCs w:val="24"/>
          <w:lang w:val="en-GB"/>
        </w:rPr>
      </w:pPr>
    </w:p>
    <w:p w14:paraId="3C2A741A" w14:textId="77777777" w:rsidR="0074293D" w:rsidRPr="009B5DDA" w:rsidRDefault="0074293D" w:rsidP="00C51616">
      <w:pPr>
        <w:pStyle w:val="ListParagraph"/>
        <w:numPr>
          <w:ilvl w:val="0"/>
          <w:numId w:val="2"/>
        </w:numPr>
        <w:spacing w:after="0" w:line="240" w:lineRule="auto"/>
        <w:jc w:val="both"/>
        <w:rPr>
          <w:rFonts w:ascii="Cambria" w:hAnsi="Cambria"/>
          <w:b/>
          <w:sz w:val="24"/>
          <w:szCs w:val="24"/>
          <w:lang w:val="en-GB"/>
        </w:rPr>
      </w:pPr>
      <w:r w:rsidRPr="009B5DDA">
        <w:rPr>
          <w:rFonts w:ascii="Cambria" w:hAnsi="Cambria"/>
          <w:b/>
          <w:sz w:val="24"/>
          <w:szCs w:val="24"/>
          <w:lang w:val="en-GB"/>
        </w:rPr>
        <w:t xml:space="preserve">Please provide figures and data on older persons deprived of their liberty. Has the number of older persons deprived of their liberty increased or decreased over the past decade? </w:t>
      </w:r>
    </w:p>
    <w:p w14:paraId="6B2F1F7E" w14:textId="77777777" w:rsidR="00C51616" w:rsidRDefault="00C51616" w:rsidP="00C51616">
      <w:pPr>
        <w:spacing w:after="0" w:line="240" w:lineRule="auto"/>
        <w:jc w:val="both"/>
        <w:rPr>
          <w:rFonts w:ascii="Cambria" w:hAnsi="Cambria"/>
          <w:sz w:val="24"/>
          <w:szCs w:val="24"/>
          <w:lang w:val="en-GB"/>
        </w:rPr>
      </w:pPr>
    </w:p>
    <w:p w14:paraId="43B4E30F" w14:textId="197CFE29" w:rsidR="0074293D" w:rsidRDefault="009E4EA4" w:rsidP="00C51616">
      <w:pPr>
        <w:spacing w:after="0" w:line="240" w:lineRule="auto"/>
        <w:jc w:val="both"/>
        <w:rPr>
          <w:rFonts w:ascii="Cambria" w:hAnsi="Cambria"/>
          <w:sz w:val="24"/>
          <w:szCs w:val="24"/>
          <w:lang w:val="en-GB"/>
        </w:rPr>
      </w:pPr>
      <w:r>
        <w:rPr>
          <w:rFonts w:ascii="Cambria" w:hAnsi="Cambria"/>
          <w:sz w:val="24"/>
          <w:szCs w:val="24"/>
          <w:lang w:val="en-GB"/>
        </w:rPr>
        <w:t>As reported in the Prison Statistics</w:t>
      </w:r>
      <w:r w:rsidR="009B5DDA">
        <w:rPr>
          <w:rFonts w:ascii="Cambria" w:hAnsi="Cambria"/>
          <w:sz w:val="24"/>
          <w:szCs w:val="24"/>
          <w:lang w:val="en-GB"/>
        </w:rPr>
        <w:t xml:space="preserve">, published by the Department of Prisons, in the year 2020, the number of persons admitted to prison on remand aged between sixty and seventy years was </w:t>
      </w:r>
      <w:r w:rsidR="0074293D" w:rsidRPr="0074293D">
        <w:rPr>
          <w:rFonts w:ascii="Cambria" w:hAnsi="Cambria"/>
          <w:sz w:val="24"/>
          <w:szCs w:val="24"/>
          <w:lang w:val="en-GB"/>
        </w:rPr>
        <w:t>2</w:t>
      </w:r>
      <w:r w:rsidR="00597CC6">
        <w:rPr>
          <w:rFonts w:ascii="Cambria" w:hAnsi="Cambria"/>
          <w:sz w:val="24"/>
          <w:szCs w:val="24"/>
          <w:lang w:val="en-GB"/>
        </w:rPr>
        <w:t>,</w:t>
      </w:r>
      <w:r w:rsidR="0074293D" w:rsidRPr="0074293D">
        <w:rPr>
          <w:rFonts w:ascii="Cambria" w:hAnsi="Cambria"/>
          <w:sz w:val="24"/>
          <w:szCs w:val="24"/>
          <w:lang w:val="en-GB"/>
        </w:rPr>
        <w:t>490</w:t>
      </w:r>
      <w:r w:rsidR="009B5DDA">
        <w:rPr>
          <w:rFonts w:ascii="Cambria" w:hAnsi="Cambria"/>
          <w:sz w:val="24"/>
          <w:szCs w:val="24"/>
          <w:lang w:val="en-GB"/>
        </w:rPr>
        <w:t xml:space="preserve"> while the number of persons admitted to prison on remand aged seventy and above was 432. The statistics also mention that in 2020, the number of convicted persons who were aged between sixty and seventy years was 636, two of whom were sentenced to death and two, sentenced to life. The number of convicted persons who were aged seventy and above was eighty-two.</w:t>
      </w:r>
      <w:r w:rsidR="008C3B08">
        <w:rPr>
          <w:rStyle w:val="FootnoteReference"/>
          <w:rFonts w:ascii="Cambria" w:hAnsi="Cambria"/>
          <w:sz w:val="24"/>
          <w:szCs w:val="24"/>
          <w:lang w:val="en-GB"/>
        </w:rPr>
        <w:footnoteReference w:id="7"/>
      </w:r>
    </w:p>
    <w:p w14:paraId="4140BCE6" w14:textId="77777777" w:rsidR="00C51616" w:rsidRDefault="00C51616" w:rsidP="00C51616">
      <w:pPr>
        <w:spacing w:after="0" w:line="240" w:lineRule="auto"/>
        <w:jc w:val="both"/>
        <w:rPr>
          <w:rFonts w:ascii="Cambria" w:hAnsi="Cambria"/>
          <w:sz w:val="24"/>
          <w:szCs w:val="24"/>
          <w:lang w:val="en-GB"/>
        </w:rPr>
      </w:pPr>
    </w:p>
    <w:p w14:paraId="0D779995" w14:textId="09D8123F" w:rsidR="00F5177C" w:rsidRPr="0074293D" w:rsidRDefault="00F5177C" w:rsidP="00C51616">
      <w:pPr>
        <w:spacing w:after="0" w:line="240" w:lineRule="auto"/>
        <w:jc w:val="both"/>
        <w:rPr>
          <w:rFonts w:ascii="Cambria" w:hAnsi="Cambria"/>
          <w:sz w:val="24"/>
          <w:szCs w:val="24"/>
          <w:lang w:val="en-GB"/>
        </w:rPr>
      </w:pPr>
      <w:r>
        <w:rPr>
          <w:rFonts w:ascii="Cambria" w:hAnsi="Cambria"/>
          <w:sz w:val="24"/>
          <w:szCs w:val="24"/>
          <w:lang w:val="en-GB"/>
        </w:rPr>
        <w:t>Although the number of convicted older persons was decreasing between 2010 and 2014, it began increasing from 2015. The number of older persons on remand has generally increased over the last decade. In the year 2020, however, the number of persons in prison was lower across all categories, presumably due to the lockdowns imposed across the island</w:t>
      </w:r>
      <w:r w:rsidR="007E5755">
        <w:rPr>
          <w:rFonts w:ascii="Cambria" w:hAnsi="Cambria"/>
          <w:sz w:val="24"/>
          <w:szCs w:val="24"/>
          <w:lang w:val="en-GB"/>
        </w:rPr>
        <w:t xml:space="preserve"> and</w:t>
      </w:r>
      <w:r>
        <w:rPr>
          <w:rFonts w:ascii="Cambria" w:hAnsi="Cambria"/>
          <w:sz w:val="24"/>
          <w:szCs w:val="24"/>
          <w:lang w:val="en-GB"/>
        </w:rPr>
        <w:t xml:space="preserve"> persons </w:t>
      </w:r>
      <w:r w:rsidR="00597CC6">
        <w:rPr>
          <w:rFonts w:ascii="Cambria" w:hAnsi="Cambria"/>
          <w:sz w:val="24"/>
          <w:szCs w:val="24"/>
          <w:lang w:val="en-GB"/>
        </w:rPr>
        <w:t xml:space="preserve">being </w:t>
      </w:r>
      <w:r>
        <w:rPr>
          <w:rFonts w:ascii="Cambria" w:hAnsi="Cambria"/>
          <w:sz w:val="24"/>
          <w:szCs w:val="24"/>
          <w:lang w:val="en-GB"/>
        </w:rPr>
        <w:t xml:space="preserve">released from prison following the </w:t>
      </w:r>
      <w:r w:rsidR="00745D86">
        <w:rPr>
          <w:rFonts w:ascii="Cambria" w:hAnsi="Cambria"/>
          <w:sz w:val="24"/>
          <w:szCs w:val="24"/>
          <w:lang w:val="en-GB"/>
        </w:rPr>
        <w:t xml:space="preserve">COVID-19 </w:t>
      </w:r>
      <w:r>
        <w:rPr>
          <w:rFonts w:ascii="Cambria" w:hAnsi="Cambria"/>
          <w:sz w:val="24"/>
          <w:szCs w:val="24"/>
          <w:lang w:val="en-GB"/>
        </w:rPr>
        <w:t>pandemic.</w:t>
      </w:r>
      <w:r w:rsidR="008C3B08">
        <w:rPr>
          <w:rStyle w:val="FootnoteReference"/>
          <w:rFonts w:ascii="Cambria" w:hAnsi="Cambria"/>
          <w:sz w:val="24"/>
          <w:szCs w:val="24"/>
          <w:lang w:val="en-GB"/>
        </w:rPr>
        <w:footnoteReference w:id="8"/>
      </w:r>
      <w:r>
        <w:rPr>
          <w:rFonts w:ascii="Cambria" w:hAnsi="Cambria"/>
          <w:sz w:val="24"/>
          <w:szCs w:val="24"/>
          <w:lang w:val="en-GB"/>
        </w:rPr>
        <w:t xml:space="preserve"> </w:t>
      </w:r>
    </w:p>
    <w:p w14:paraId="404BA885" w14:textId="6B9B9E5E" w:rsidR="0074293D" w:rsidRDefault="0074293D" w:rsidP="00C51616">
      <w:pPr>
        <w:spacing w:after="0" w:line="240" w:lineRule="auto"/>
        <w:jc w:val="both"/>
        <w:rPr>
          <w:rFonts w:ascii="Cambria" w:hAnsi="Cambria"/>
          <w:sz w:val="24"/>
          <w:szCs w:val="24"/>
          <w:lang w:val="en-GB"/>
        </w:rPr>
      </w:pPr>
    </w:p>
    <w:p w14:paraId="4C175BAE" w14:textId="77777777" w:rsidR="00C51616" w:rsidRPr="009B5DDA" w:rsidRDefault="00C51616" w:rsidP="00C51616">
      <w:pPr>
        <w:spacing w:after="0" w:line="240" w:lineRule="auto"/>
        <w:jc w:val="both"/>
        <w:rPr>
          <w:rFonts w:ascii="Cambria" w:hAnsi="Cambria"/>
          <w:sz w:val="24"/>
          <w:szCs w:val="24"/>
          <w:lang w:val="en-GB"/>
        </w:rPr>
      </w:pPr>
    </w:p>
    <w:p w14:paraId="318CC36B" w14:textId="77777777" w:rsidR="0074293D" w:rsidRPr="009E4EA4" w:rsidRDefault="0074293D" w:rsidP="00C51616">
      <w:pPr>
        <w:pStyle w:val="ListParagraph"/>
        <w:numPr>
          <w:ilvl w:val="0"/>
          <w:numId w:val="2"/>
        </w:numPr>
        <w:spacing w:after="0" w:line="240" w:lineRule="auto"/>
        <w:jc w:val="both"/>
        <w:rPr>
          <w:rFonts w:ascii="Cambria" w:hAnsi="Cambria"/>
          <w:b/>
          <w:sz w:val="24"/>
          <w:szCs w:val="24"/>
          <w:lang w:val="en-GB"/>
        </w:rPr>
      </w:pPr>
      <w:r w:rsidRPr="009E4EA4">
        <w:rPr>
          <w:rFonts w:ascii="Cambria" w:hAnsi="Cambria"/>
          <w:b/>
          <w:sz w:val="24"/>
          <w:szCs w:val="24"/>
          <w:lang w:val="en-GB"/>
        </w:rPr>
        <w:t xml:space="preserve">What kind of specific measures have been taken and implemented concerning older persons deprived of their liberty in the context of the COVID-19 pandemic? </w:t>
      </w:r>
    </w:p>
    <w:p w14:paraId="24502915" w14:textId="77777777" w:rsidR="00C51616" w:rsidRDefault="00C51616" w:rsidP="00C51616">
      <w:pPr>
        <w:spacing w:after="0" w:line="240" w:lineRule="auto"/>
        <w:jc w:val="both"/>
        <w:rPr>
          <w:rFonts w:ascii="Cambria" w:hAnsi="Cambria"/>
          <w:sz w:val="24"/>
          <w:szCs w:val="24"/>
          <w:lang w:val="en-GB"/>
        </w:rPr>
      </w:pPr>
    </w:p>
    <w:p w14:paraId="0031B631" w14:textId="372512D4" w:rsidR="0074293D" w:rsidRDefault="009E4EA4" w:rsidP="00C51616">
      <w:pPr>
        <w:spacing w:after="0" w:line="240" w:lineRule="auto"/>
        <w:jc w:val="both"/>
        <w:rPr>
          <w:rFonts w:ascii="Cambria" w:hAnsi="Cambria"/>
          <w:sz w:val="24"/>
          <w:szCs w:val="24"/>
          <w:lang w:val="en-GB"/>
        </w:rPr>
      </w:pPr>
      <w:r>
        <w:rPr>
          <w:rFonts w:ascii="Cambria" w:hAnsi="Cambria"/>
          <w:sz w:val="24"/>
          <w:szCs w:val="24"/>
          <w:lang w:val="en-GB"/>
        </w:rPr>
        <w:t>While measures were taken to</w:t>
      </w:r>
      <w:r w:rsidR="007F05B5">
        <w:rPr>
          <w:rFonts w:ascii="Cambria" w:hAnsi="Cambria"/>
          <w:sz w:val="24"/>
          <w:szCs w:val="24"/>
          <w:lang w:val="en-GB"/>
        </w:rPr>
        <w:t xml:space="preserve"> reduce overcrowding in prison</w:t>
      </w:r>
      <w:r>
        <w:rPr>
          <w:rFonts w:ascii="Cambria" w:hAnsi="Cambria"/>
          <w:sz w:val="24"/>
          <w:szCs w:val="24"/>
          <w:lang w:val="en-GB"/>
        </w:rPr>
        <w:t xml:space="preserve"> by releasing persons who were imprisoned for non-payment of fines and persons who were in remand for being unable to afford bail conditions, no specific measures</w:t>
      </w:r>
      <w:r w:rsidR="007F05B5">
        <w:rPr>
          <w:rFonts w:ascii="Cambria" w:hAnsi="Cambria"/>
          <w:sz w:val="24"/>
          <w:szCs w:val="24"/>
          <w:lang w:val="en-GB"/>
        </w:rPr>
        <w:t xml:space="preserve"> being implemented with regards to</w:t>
      </w:r>
      <w:r>
        <w:rPr>
          <w:rFonts w:ascii="Cambria" w:hAnsi="Cambria"/>
          <w:sz w:val="24"/>
          <w:szCs w:val="24"/>
          <w:lang w:val="en-GB"/>
        </w:rPr>
        <w:t xml:space="preserve"> older persons deprived of lib</w:t>
      </w:r>
      <w:r w:rsidR="007F05B5">
        <w:rPr>
          <w:rFonts w:ascii="Cambria" w:hAnsi="Cambria"/>
          <w:sz w:val="24"/>
          <w:szCs w:val="24"/>
          <w:lang w:val="en-GB"/>
        </w:rPr>
        <w:t>erty were reported</w:t>
      </w:r>
      <w:r w:rsidR="008C3B08">
        <w:rPr>
          <w:rFonts w:ascii="Cambria" w:hAnsi="Cambria"/>
          <w:sz w:val="24"/>
          <w:szCs w:val="24"/>
          <w:lang w:val="en-GB"/>
        </w:rPr>
        <w:t>.</w:t>
      </w:r>
      <w:r w:rsidR="008C3B08">
        <w:rPr>
          <w:rStyle w:val="FootnoteReference"/>
          <w:rFonts w:ascii="Cambria" w:hAnsi="Cambria"/>
          <w:sz w:val="24"/>
          <w:szCs w:val="24"/>
          <w:lang w:val="en-GB"/>
        </w:rPr>
        <w:footnoteReference w:id="9"/>
      </w:r>
    </w:p>
    <w:p w14:paraId="0E2732DF" w14:textId="77777777" w:rsidR="009E4EA4" w:rsidRPr="0074293D" w:rsidRDefault="009E4EA4" w:rsidP="00C51616">
      <w:pPr>
        <w:spacing w:after="0" w:line="240" w:lineRule="auto"/>
        <w:jc w:val="both"/>
        <w:rPr>
          <w:rFonts w:ascii="Cambria" w:hAnsi="Cambria"/>
          <w:sz w:val="24"/>
          <w:szCs w:val="24"/>
          <w:lang w:val="en-GB"/>
        </w:rPr>
      </w:pPr>
    </w:p>
    <w:p w14:paraId="10D749EA" w14:textId="77777777" w:rsidR="0074293D" w:rsidRPr="00F5177C" w:rsidRDefault="0074293D" w:rsidP="00C51616">
      <w:pPr>
        <w:pStyle w:val="ListParagraph"/>
        <w:numPr>
          <w:ilvl w:val="0"/>
          <w:numId w:val="2"/>
        </w:numPr>
        <w:spacing w:after="0" w:line="240" w:lineRule="auto"/>
        <w:jc w:val="both"/>
        <w:rPr>
          <w:rFonts w:ascii="Cambria" w:hAnsi="Cambria"/>
          <w:b/>
          <w:sz w:val="24"/>
          <w:szCs w:val="24"/>
          <w:lang w:val="en-GB"/>
        </w:rPr>
      </w:pPr>
      <w:r w:rsidRPr="00F5177C">
        <w:rPr>
          <w:rFonts w:ascii="Cambria" w:hAnsi="Cambria"/>
          <w:b/>
          <w:sz w:val="24"/>
          <w:szCs w:val="24"/>
          <w:lang w:val="en-GB"/>
        </w:rPr>
        <w:t xml:space="preserve">Could you give us an overview on the national and local legal frameworks which prevent and protect older persons deprived of their liberty from human rights violations? Are there effective and available national monitoring and accountability mechanisms? Please provide a detailed answer with supporting information/documents. </w:t>
      </w:r>
    </w:p>
    <w:p w14:paraId="14268D7F" w14:textId="77777777" w:rsidR="00C51616" w:rsidRDefault="00C51616" w:rsidP="00C51616">
      <w:pPr>
        <w:spacing w:after="0" w:line="240" w:lineRule="auto"/>
        <w:jc w:val="both"/>
        <w:rPr>
          <w:rFonts w:ascii="Cambria" w:hAnsi="Cambria"/>
          <w:sz w:val="24"/>
          <w:szCs w:val="24"/>
          <w:lang w:val="en-GB"/>
        </w:rPr>
      </w:pPr>
    </w:p>
    <w:p w14:paraId="2E3B60FE" w14:textId="3244CAD8" w:rsidR="0074293D" w:rsidRDefault="00597CC6" w:rsidP="00C51616">
      <w:pPr>
        <w:spacing w:after="0" w:line="240" w:lineRule="auto"/>
        <w:jc w:val="both"/>
        <w:rPr>
          <w:rFonts w:ascii="Cambria" w:hAnsi="Cambria"/>
          <w:sz w:val="24"/>
          <w:szCs w:val="24"/>
          <w:lang w:val="en-GB"/>
        </w:rPr>
      </w:pPr>
      <w:r>
        <w:rPr>
          <w:rFonts w:ascii="Cambria" w:hAnsi="Cambria"/>
          <w:sz w:val="24"/>
          <w:szCs w:val="24"/>
          <w:lang w:val="en-GB"/>
        </w:rPr>
        <w:t xml:space="preserve">There </w:t>
      </w:r>
      <w:r w:rsidR="00745D86">
        <w:rPr>
          <w:rFonts w:ascii="Cambria" w:hAnsi="Cambria"/>
          <w:sz w:val="24"/>
          <w:szCs w:val="24"/>
          <w:lang w:val="en-GB"/>
        </w:rPr>
        <w:t>are no national legal</w:t>
      </w:r>
      <w:r>
        <w:rPr>
          <w:rFonts w:ascii="Cambria" w:hAnsi="Cambria"/>
          <w:sz w:val="24"/>
          <w:szCs w:val="24"/>
          <w:lang w:val="en-GB"/>
        </w:rPr>
        <w:t xml:space="preserve"> </w:t>
      </w:r>
      <w:r w:rsidR="00745D86">
        <w:rPr>
          <w:rFonts w:ascii="Cambria" w:hAnsi="Cambria"/>
          <w:sz w:val="24"/>
          <w:szCs w:val="24"/>
          <w:lang w:val="en-GB"/>
        </w:rPr>
        <w:t xml:space="preserve">provisions that </w:t>
      </w:r>
      <w:r>
        <w:rPr>
          <w:rFonts w:ascii="Cambria" w:hAnsi="Cambria"/>
          <w:sz w:val="24"/>
          <w:szCs w:val="24"/>
          <w:lang w:val="en-GB"/>
        </w:rPr>
        <w:t>protect the right of older persons deprived of liberty</w:t>
      </w:r>
      <w:r w:rsidR="00D83C14">
        <w:rPr>
          <w:rFonts w:ascii="Cambria" w:hAnsi="Cambria"/>
          <w:sz w:val="24"/>
          <w:szCs w:val="24"/>
          <w:lang w:val="en-GB"/>
        </w:rPr>
        <w:t xml:space="preserve"> in Sri Lanka</w:t>
      </w:r>
      <w:r>
        <w:rPr>
          <w:rFonts w:ascii="Cambria" w:hAnsi="Cambria"/>
          <w:sz w:val="24"/>
          <w:szCs w:val="24"/>
          <w:lang w:val="en-GB"/>
        </w:rPr>
        <w:t xml:space="preserve">.  </w:t>
      </w:r>
    </w:p>
    <w:p w14:paraId="2AF84C99" w14:textId="77777777" w:rsidR="00C51616" w:rsidRDefault="00C51616" w:rsidP="00C51616">
      <w:pPr>
        <w:spacing w:after="0" w:line="240" w:lineRule="auto"/>
        <w:jc w:val="both"/>
        <w:rPr>
          <w:rFonts w:ascii="Cambria" w:hAnsi="Cambria"/>
          <w:sz w:val="24"/>
          <w:szCs w:val="24"/>
          <w:lang w:val="en-GB"/>
        </w:rPr>
      </w:pPr>
    </w:p>
    <w:p w14:paraId="3704CB25" w14:textId="129F6479" w:rsidR="00597CC6" w:rsidRDefault="007F05B5" w:rsidP="00C51616">
      <w:pPr>
        <w:spacing w:after="0" w:line="240" w:lineRule="auto"/>
        <w:jc w:val="both"/>
        <w:rPr>
          <w:rFonts w:ascii="Cambria" w:hAnsi="Cambria"/>
          <w:sz w:val="24"/>
          <w:szCs w:val="24"/>
          <w:lang w:val="en-GB"/>
        </w:rPr>
      </w:pPr>
      <w:r>
        <w:rPr>
          <w:rFonts w:ascii="Cambria" w:hAnsi="Cambria"/>
          <w:sz w:val="24"/>
          <w:szCs w:val="24"/>
          <w:lang w:val="en-GB"/>
        </w:rPr>
        <w:t>T</w:t>
      </w:r>
      <w:r w:rsidR="00597CC6">
        <w:rPr>
          <w:rFonts w:ascii="Cambria" w:hAnsi="Cambria"/>
          <w:sz w:val="24"/>
          <w:szCs w:val="24"/>
          <w:lang w:val="en-GB"/>
        </w:rPr>
        <w:t>he president of Sri Lanka, by virtue of Article 34 of the Constitution of Sri Lanka enjoys the power to pardon or commute the sentences of persons at his/her discretion. Two categories of pardons exist under this measure – special and general pardons. Special pardons are awarded to specific persons, whereas general pardons are awarded to a group of persons who fulfil pre-determined criteria, typically to mark a special national observance or religious festival. The HRCSL report mentions instances where pardons have been awarded to older persons deprived of liberty by cancelling the remainder of their sentence. However, these pardons and</w:t>
      </w:r>
      <w:r w:rsidR="00D83C14">
        <w:rPr>
          <w:rFonts w:ascii="Cambria" w:hAnsi="Cambria"/>
          <w:sz w:val="24"/>
          <w:szCs w:val="24"/>
          <w:lang w:val="en-GB"/>
        </w:rPr>
        <w:t xml:space="preserve"> pre-defined</w:t>
      </w:r>
      <w:r w:rsidR="00597CC6">
        <w:rPr>
          <w:rFonts w:ascii="Cambria" w:hAnsi="Cambria"/>
          <w:sz w:val="24"/>
          <w:szCs w:val="24"/>
          <w:lang w:val="en-GB"/>
        </w:rPr>
        <w:t xml:space="preserve"> criteria are ad-hoc an</w:t>
      </w:r>
      <w:r w:rsidR="00745D86">
        <w:rPr>
          <w:rFonts w:ascii="Cambria" w:hAnsi="Cambria"/>
          <w:sz w:val="24"/>
          <w:szCs w:val="24"/>
          <w:lang w:val="en-GB"/>
        </w:rPr>
        <w:t>d pardons are</w:t>
      </w:r>
      <w:r w:rsidR="00597CC6">
        <w:rPr>
          <w:rFonts w:ascii="Cambria" w:hAnsi="Cambria"/>
          <w:sz w:val="24"/>
          <w:szCs w:val="24"/>
          <w:lang w:val="en-GB"/>
        </w:rPr>
        <w:t xml:space="preserve"> </w:t>
      </w:r>
      <w:r w:rsidR="00745D86">
        <w:rPr>
          <w:rFonts w:ascii="Cambria" w:hAnsi="Cambria"/>
          <w:sz w:val="24"/>
          <w:szCs w:val="24"/>
          <w:lang w:val="en-GB"/>
        </w:rPr>
        <w:t>granted</w:t>
      </w:r>
      <w:r w:rsidR="00597CC6">
        <w:rPr>
          <w:rFonts w:ascii="Cambria" w:hAnsi="Cambria"/>
          <w:sz w:val="24"/>
          <w:szCs w:val="24"/>
          <w:lang w:val="en-GB"/>
        </w:rPr>
        <w:t xml:space="preserve"> at the discretion of the president. Further, the criteria for pardons often exclude persons who have been convicted of grave crimes.</w:t>
      </w:r>
      <w:r w:rsidR="00D83C14">
        <w:rPr>
          <w:rStyle w:val="FootnoteReference"/>
          <w:rFonts w:ascii="Cambria" w:hAnsi="Cambria"/>
          <w:sz w:val="24"/>
          <w:szCs w:val="24"/>
          <w:lang w:val="en-GB"/>
        </w:rPr>
        <w:footnoteReference w:id="10"/>
      </w:r>
      <w:r w:rsidR="00597CC6">
        <w:rPr>
          <w:rFonts w:ascii="Cambria" w:hAnsi="Cambria"/>
          <w:sz w:val="24"/>
          <w:szCs w:val="24"/>
          <w:lang w:val="en-GB"/>
        </w:rPr>
        <w:t xml:space="preserve"> </w:t>
      </w:r>
    </w:p>
    <w:p w14:paraId="07DE3619" w14:textId="77777777" w:rsidR="00C51616" w:rsidRDefault="00C51616" w:rsidP="00C51616">
      <w:pPr>
        <w:spacing w:after="0" w:line="240" w:lineRule="auto"/>
        <w:jc w:val="both"/>
        <w:rPr>
          <w:rFonts w:ascii="Cambria" w:hAnsi="Cambria"/>
          <w:sz w:val="24"/>
          <w:szCs w:val="24"/>
          <w:lang w:val="en-GB"/>
        </w:rPr>
      </w:pPr>
    </w:p>
    <w:p w14:paraId="4DF21272" w14:textId="72CE2323" w:rsidR="00095C9C" w:rsidRDefault="00DA5021" w:rsidP="00C51616">
      <w:pPr>
        <w:spacing w:after="0" w:line="240" w:lineRule="auto"/>
        <w:jc w:val="both"/>
        <w:rPr>
          <w:rFonts w:ascii="Cambria" w:hAnsi="Cambria"/>
          <w:sz w:val="24"/>
          <w:szCs w:val="24"/>
          <w:lang w:val="en-GB"/>
        </w:rPr>
      </w:pPr>
      <w:r>
        <w:rPr>
          <w:rFonts w:ascii="Cambria" w:hAnsi="Cambria"/>
          <w:sz w:val="24"/>
          <w:szCs w:val="24"/>
          <w:lang w:val="en-GB"/>
        </w:rPr>
        <w:t xml:space="preserve">With regards to national monitoring </w:t>
      </w:r>
      <w:r w:rsidR="00095C9C">
        <w:rPr>
          <w:rFonts w:ascii="Cambria" w:hAnsi="Cambria"/>
          <w:sz w:val="24"/>
          <w:szCs w:val="24"/>
          <w:lang w:val="en-GB"/>
        </w:rPr>
        <w:t xml:space="preserve">and accountability </w:t>
      </w:r>
      <w:r>
        <w:rPr>
          <w:rFonts w:ascii="Cambria" w:hAnsi="Cambria"/>
          <w:sz w:val="24"/>
          <w:szCs w:val="24"/>
          <w:lang w:val="en-GB"/>
        </w:rPr>
        <w:t xml:space="preserve">mechanisms, the HRCSL is mandated to monitor the wellbeing of persons deprived of liberty and enjoys unfettered access without prior notice to places of detention. </w:t>
      </w:r>
      <w:r w:rsidR="00095C9C">
        <w:rPr>
          <w:rFonts w:ascii="Cambria" w:hAnsi="Cambria"/>
          <w:sz w:val="24"/>
          <w:szCs w:val="24"/>
          <w:lang w:val="en-GB"/>
        </w:rPr>
        <w:t xml:space="preserve">The HRCSL has the power to summon state officials where a fundamental rights violation complaint has been lodged by a citizen, conduct an inquiry and award compensation to the aggrieved party in the event that a violation is found. </w:t>
      </w:r>
      <w:r>
        <w:rPr>
          <w:rFonts w:ascii="Cambria" w:hAnsi="Cambria"/>
          <w:sz w:val="24"/>
          <w:szCs w:val="24"/>
          <w:lang w:val="en-GB"/>
        </w:rPr>
        <w:t xml:space="preserve">However, the HRCSL has limited resources, officers and funding and therefore is not able to conduct routine and effective monitoring of all places of detention around the island, </w:t>
      </w:r>
      <w:r w:rsidR="00095C9C">
        <w:rPr>
          <w:rFonts w:ascii="Cambria" w:hAnsi="Cambria"/>
          <w:sz w:val="24"/>
          <w:szCs w:val="24"/>
          <w:lang w:val="en-GB"/>
        </w:rPr>
        <w:t>n</w:t>
      </w:r>
      <w:r>
        <w:rPr>
          <w:rFonts w:ascii="Cambria" w:hAnsi="Cambria"/>
          <w:sz w:val="24"/>
          <w:szCs w:val="24"/>
          <w:lang w:val="en-GB"/>
        </w:rPr>
        <w:t xml:space="preserve">or pay special attention to vulnerable groups in prison. </w:t>
      </w:r>
      <w:r w:rsidR="001730C6">
        <w:rPr>
          <w:rFonts w:ascii="Cambria" w:hAnsi="Cambria"/>
          <w:sz w:val="24"/>
          <w:szCs w:val="24"/>
          <w:lang w:val="en-GB"/>
        </w:rPr>
        <w:t>P</w:t>
      </w:r>
      <w:r w:rsidR="00095C9C">
        <w:rPr>
          <w:rFonts w:ascii="Cambria" w:hAnsi="Cambria"/>
          <w:sz w:val="24"/>
          <w:szCs w:val="24"/>
          <w:lang w:val="en-GB"/>
        </w:rPr>
        <w:t xml:space="preserve">ersons deprived of liberty cannot access the offices of the Commission while being held in detention, </w:t>
      </w:r>
      <w:r w:rsidR="001730C6">
        <w:rPr>
          <w:rFonts w:ascii="Cambria" w:hAnsi="Cambria"/>
          <w:sz w:val="24"/>
          <w:szCs w:val="24"/>
          <w:lang w:val="en-GB"/>
        </w:rPr>
        <w:t>since</w:t>
      </w:r>
      <w:r w:rsidR="00095C9C">
        <w:rPr>
          <w:rFonts w:ascii="Cambria" w:hAnsi="Cambria"/>
          <w:sz w:val="24"/>
          <w:szCs w:val="24"/>
          <w:lang w:val="en-GB"/>
        </w:rPr>
        <w:t xml:space="preserve"> all except one prison in Sri Lanka </w:t>
      </w:r>
      <w:r w:rsidR="001730C6">
        <w:rPr>
          <w:rFonts w:ascii="Cambria" w:hAnsi="Cambria"/>
          <w:sz w:val="24"/>
          <w:szCs w:val="24"/>
          <w:lang w:val="en-GB"/>
        </w:rPr>
        <w:t xml:space="preserve">do not </w:t>
      </w:r>
      <w:r w:rsidR="00095C9C">
        <w:rPr>
          <w:rFonts w:ascii="Cambria" w:hAnsi="Cambria"/>
          <w:sz w:val="24"/>
          <w:szCs w:val="24"/>
          <w:lang w:val="en-GB"/>
        </w:rPr>
        <w:t>provide telecommunication facilities for persons in detention.</w:t>
      </w:r>
      <w:r w:rsidR="00095C9C">
        <w:rPr>
          <w:rStyle w:val="FootnoteReference"/>
          <w:rFonts w:ascii="Cambria" w:hAnsi="Cambria"/>
          <w:sz w:val="24"/>
          <w:szCs w:val="24"/>
          <w:lang w:val="en-GB"/>
        </w:rPr>
        <w:footnoteReference w:id="11"/>
      </w:r>
    </w:p>
    <w:p w14:paraId="6926EF8C" w14:textId="77777777" w:rsidR="00C51616" w:rsidRDefault="00C51616" w:rsidP="00C51616">
      <w:pPr>
        <w:spacing w:after="0" w:line="240" w:lineRule="auto"/>
        <w:jc w:val="both"/>
        <w:rPr>
          <w:rFonts w:ascii="Cambria" w:hAnsi="Cambria"/>
          <w:sz w:val="24"/>
          <w:szCs w:val="24"/>
          <w:lang w:val="en-GB"/>
        </w:rPr>
      </w:pPr>
    </w:p>
    <w:p w14:paraId="5ABA8E9B" w14:textId="430427C8" w:rsidR="00DA5021" w:rsidRPr="0074293D" w:rsidRDefault="00DA5021" w:rsidP="00C51616">
      <w:pPr>
        <w:spacing w:after="0" w:line="240" w:lineRule="auto"/>
        <w:jc w:val="both"/>
        <w:rPr>
          <w:rFonts w:ascii="Cambria" w:hAnsi="Cambria"/>
          <w:sz w:val="24"/>
          <w:szCs w:val="24"/>
          <w:lang w:val="en-GB"/>
        </w:rPr>
      </w:pPr>
      <w:r>
        <w:rPr>
          <w:rFonts w:ascii="Cambria" w:hAnsi="Cambria"/>
          <w:sz w:val="24"/>
          <w:szCs w:val="24"/>
          <w:lang w:val="en-GB"/>
        </w:rPr>
        <w:t>Furthermore, following the enactment of the 20</w:t>
      </w:r>
      <w:r w:rsidRPr="00DA5021">
        <w:rPr>
          <w:rFonts w:ascii="Cambria" w:hAnsi="Cambria"/>
          <w:sz w:val="24"/>
          <w:szCs w:val="24"/>
          <w:vertAlign w:val="superscript"/>
          <w:lang w:val="en-GB"/>
        </w:rPr>
        <w:t>th</w:t>
      </w:r>
      <w:r>
        <w:rPr>
          <w:rFonts w:ascii="Cambria" w:hAnsi="Cambria"/>
          <w:sz w:val="24"/>
          <w:szCs w:val="24"/>
          <w:lang w:val="en-GB"/>
        </w:rPr>
        <w:t xml:space="preserve"> Amendment to the Constitution of Sri Lanka, </w:t>
      </w:r>
      <w:r w:rsidR="004C56F4">
        <w:rPr>
          <w:rFonts w:ascii="Cambria" w:hAnsi="Cambria"/>
          <w:sz w:val="24"/>
          <w:szCs w:val="24"/>
          <w:lang w:val="en-GB"/>
        </w:rPr>
        <w:t xml:space="preserve">members of the Commission </w:t>
      </w:r>
      <w:r>
        <w:rPr>
          <w:rFonts w:ascii="Cambria" w:hAnsi="Cambria"/>
          <w:sz w:val="24"/>
          <w:szCs w:val="24"/>
          <w:lang w:val="en-GB"/>
        </w:rPr>
        <w:t xml:space="preserve">are now appointed by the </w:t>
      </w:r>
      <w:r w:rsidR="004C56F4">
        <w:rPr>
          <w:rFonts w:ascii="Cambria" w:hAnsi="Cambria"/>
          <w:sz w:val="24"/>
          <w:szCs w:val="24"/>
          <w:lang w:val="en-GB"/>
        </w:rPr>
        <w:t>P</w:t>
      </w:r>
      <w:r>
        <w:rPr>
          <w:rFonts w:ascii="Cambria" w:hAnsi="Cambria"/>
          <w:sz w:val="24"/>
          <w:szCs w:val="24"/>
          <w:lang w:val="en-GB"/>
        </w:rPr>
        <w:t xml:space="preserve">resident thereby seriously </w:t>
      </w:r>
      <w:proofErr w:type="spellStart"/>
      <w:r w:rsidR="004C56F4">
        <w:rPr>
          <w:rFonts w:ascii="Cambria" w:hAnsi="Cambria"/>
          <w:sz w:val="24"/>
          <w:szCs w:val="24"/>
          <w:lang w:val="en-GB"/>
        </w:rPr>
        <w:t>underming</w:t>
      </w:r>
      <w:proofErr w:type="spellEnd"/>
      <w:r>
        <w:rPr>
          <w:rFonts w:ascii="Cambria" w:hAnsi="Cambria"/>
          <w:sz w:val="24"/>
          <w:szCs w:val="24"/>
          <w:lang w:val="en-GB"/>
        </w:rPr>
        <w:t xml:space="preserve"> the independence of the Commission. In </w:t>
      </w:r>
      <w:r w:rsidR="00095C9C">
        <w:rPr>
          <w:rFonts w:ascii="Cambria" w:hAnsi="Cambria"/>
          <w:sz w:val="24"/>
          <w:szCs w:val="24"/>
          <w:lang w:val="en-GB"/>
        </w:rPr>
        <w:t>October</w:t>
      </w:r>
      <w:r>
        <w:rPr>
          <w:rFonts w:ascii="Cambria" w:hAnsi="Cambria"/>
          <w:sz w:val="24"/>
          <w:szCs w:val="24"/>
          <w:lang w:val="en-GB"/>
        </w:rPr>
        <w:t xml:space="preserve"> 2021, </w:t>
      </w:r>
      <w:r w:rsidR="00484637">
        <w:rPr>
          <w:rFonts w:ascii="Cambria" w:hAnsi="Cambria"/>
          <w:sz w:val="24"/>
          <w:szCs w:val="24"/>
          <w:lang w:val="en-GB"/>
        </w:rPr>
        <w:t xml:space="preserve">the </w:t>
      </w:r>
      <w:r w:rsidRPr="00DA5021">
        <w:rPr>
          <w:rFonts w:ascii="Cambria" w:hAnsi="Cambria"/>
          <w:sz w:val="24"/>
          <w:szCs w:val="24"/>
          <w:lang w:val="en-GB"/>
        </w:rPr>
        <w:t>Global Alliance of National Human Rights Institutions (GANHRI)</w:t>
      </w:r>
      <w:r>
        <w:rPr>
          <w:rFonts w:ascii="Cambria" w:hAnsi="Cambria"/>
          <w:sz w:val="24"/>
          <w:szCs w:val="24"/>
          <w:lang w:val="en-GB"/>
        </w:rPr>
        <w:t xml:space="preserve"> Sub-Committee for Accreditation recommended that HRCSL be downgraded to a “B” status national human rights institution </w:t>
      </w:r>
      <w:r w:rsidR="00095C9C">
        <w:rPr>
          <w:rFonts w:ascii="Cambria" w:hAnsi="Cambria"/>
          <w:sz w:val="24"/>
          <w:szCs w:val="24"/>
          <w:lang w:val="en-GB"/>
        </w:rPr>
        <w:t>as its independence and effectiveness</w:t>
      </w:r>
      <w:r>
        <w:rPr>
          <w:rFonts w:ascii="Cambria" w:hAnsi="Cambria"/>
          <w:sz w:val="24"/>
          <w:szCs w:val="24"/>
          <w:lang w:val="en-GB"/>
        </w:rPr>
        <w:t xml:space="preserve"> did not comply with the Paris Principles</w:t>
      </w:r>
      <w:r>
        <w:rPr>
          <w:rStyle w:val="FootnoteReference"/>
          <w:rFonts w:ascii="Cambria" w:hAnsi="Cambria"/>
          <w:sz w:val="24"/>
          <w:szCs w:val="24"/>
          <w:lang w:val="en-GB"/>
        </w:rPr>
        <w:footnoteReference w:id="12"/>
      </w:r>
      <w:r>
        <w:rPr>
          <w:rFonts w:ascii="Cambria" w:hAnsi="Cambria"/>
          <w:sz w:val="24"/>
          <w:szCs w:val="24"/>
          <w:lang w:val="en-GB"/>
        </w:rPr>
        <w:t>.</w:t>
      </w:r>
    </w:p>
    <w:p w14:paraId="41FDBF6D" w14:textId="77777777" w:rsidR="0074293D" w:rsidRPr="0074293D" w:rsidRDefault="0074293D" w:rsidP="00C51616">
      <w:pPr>
        <w:pStyle w:val="ListParagraph"/>
        <w:spacing w:after="0" w:line="240" w:lineRule="auto"/>
        <w:jc w:val="both"/>
        <w:rPr>
          <w:rFonts w:ascii="Cambria" w:hAnsi="Cambria"/>
          <w:sz w:val="24"/>
          <w:szCs w:val="24"/>
          <w:lang w:val="en-GB"/>
        </w:rPr>
      </w:pPr>
    </w:p>
    <w:p w14:paraId="3EA5A0C0" w14:textId="77777777" w:rsidR="0074293D" w:rsidRPr="00597CC6" w:rsidRDefault="0074293D" w:rsidP="00C51616">
      <w:pPr>
        <w:pStyle w:val="ListParagraph"/>
        <w:numPr>
          <w:ilvl w:val="0"/>
          <w:numId w:val="2"/>
        </w:numPr>
        <w:spacing w:after="0" w:line="240" w:lineRule="auto"/>
        <w:jc w:val="both"/>
        <w:rPr>
          <w:rFonts w:ascii="Cambria" w:hAnsi="Cambria"/>
          <w:b/>
          <w:sz w:val="24"/>
          <w:szCs w:val="24"/>
          <w:lang w:val="en-GB"/>
        </w:rPr>
      </w:pPr>
      <w:r w:rsidRPr="00597CC6">
        <w:rPr>
          <w:rFonts w:ascii="Cambria" w:hAnsi="Cambria"/>
          <w:b/>
          <w:sz w:val="24"/>
          <w:szCs w:val="24"/>
          <w:lang w:val="en-GB"/>
        </w:rPr>
        <w:lastRenderedPageBreak/>
        <w:t>Please share examples of good practices on how to ensure that older persons deprived of their liberty can exercise their human rights.</w:t>
      </w:r>
    </w:p>
    <w:p w14:paraId="1CF3B86C" w14:textId="77777777" w:rsidR="00C51616" w:rsidRDefault="00C51616" w:rsidP="00C51616">
      <w:pPr>
        <w:spacing w:after="0" w:line="240" w:lineRule="auto"/>
        <w:jc w:val="both"/>
        <w:rPr>
          <w:rFonts w:ascii="Cambria" w:hAnsi="Cambria"/>
          <w:sz w:val="24"/>
          <w:szCs w:val="24"/>
          <w:lang w:val="en-GB"/>
        </w:rPr>
      </w:pPr>
    </w:p>
    <w:p w14:paraId="6CD17C69" w14:textId="15C0B530" w:rsidR="007E5755" w:rsidRDefault="00336D79" w:rsidP="00C51616">
      <w:pPr>
        <w:spacing w:after="0" w:line="240" w:lineRule="auto"/>
        <w:jc w:val="both"/>
        <w:rPr>
          <w:rFonts w:ascii="Cambria" w:hAnsi="Cambria"/>
          <w:sz w:val="24"/>
          <w:szCs w:val="24"/>
          <w:lang w:val="en-GB"/>
        </w:rPr>
      </w:pPr>
      <w:r>
        <w:rPr>
          <w:rFonts w:ascii="Cambria" w:hAnsi="Cambria"/>
          <w:sz w:val="24"/>
          <w:szCs w:val="24"/>
          <w:lang w:val="en-GB"/>
        </w:rPr>
        <w:t>In Sri Lanka documented e</w:t>
      </w:r>
      <w:r w:rsidR="00597CC6">
        <w:rPr>
          <w:rFonts w:ascii="Cambria" w:hAnsi="Cambria"/>
          <w:sz w:val="24"/>
          <w:szCs w:val="24"/>
          <w:lang w:val="en-GB"/>
        </w:rPr>
        <w:t xml:space="preserve">xamples of good practice </w:t>
      </w:r>
      <w:r>
        <w:rPr>
          <w:rFonts w:ascii="Cambria" w:hAnsi="Cambria"/>
          <w:sz w:val="24"/>
          <w:szCs w:val="24"/>
          <w:lang w:val="en-GB"/>
        </w:rPr>
        <w:t>to ensure older persons deprived of liberty can exercise their rights have not been noted.</w:t>
      </w:r>
    </w:p>
    <w:p w14:paraId="3425BE98" w14:textId="77777777" w:rsidR="00C51616" w:rsidRDefault="00C51616" w:rsidP="00C51616">
      <w:pPr>
        <w:spacing w:after="0" w:line="240" w:lineRule="auto"/>
        <w:jc w:val="both"/>
        <w:rPr>
          <w:rFonts w:ascii="Cambria" w:hAnsi="Cambria"/>
          <w:sz w:val="24"/>
          <w:szCs w:val="24"/>
          <w:lang w:val="en-GB"/>
        </w:rPr>
      </w:pPr>
    </w:p>
    <w:p w14:paraId="772D301E" w14:textId="270DAB41" w:rsidR="004C5C76" w:rsidRDefault="007E5755" w:rsidP="00C51616">
      <w:pPr>
        <w:spacing w:after="0" w:line="240" w:lineRule="auto"/>
        <w:jc w:val="both"/>
        <w:rPr>
          <w:rFonts w:ascii="Cambria" w:hAnsi="Cambria"/>
          <w:sz w:val="24"/>
          <w:szCs w:val="24"/>
          <w:lang w:val="en-GB"/>
        </w:rPr>
      </w:pPr>
      <w:r>
        <w:rPr>
          <w:rFonts w:ascii="Cambria" w:hAnsi="Cambria"/>
          <w:sz w:val="24"/>
          <w:szCs w:val="24"/>
          <w:lang w:val="en-GB"/>
        </w:rPr>
        <w:t xml:space="preserve">A policy that has been noted, however, primarily for persons </w:t>
      </w:r>
      <w:r w:rsidR="001D0FAD">
        <w:rPr>
          <w:rFonts w:ascii="Cambria" w:hAnsi="Cambria"/>
          <w:sz w:val="24"/>
          <w:szCs w:val="24"/>
          <w:lang w:val="en-GB"/>
        </w:rPr>
        <w:t>in prison who suffer</w:t>
      </w:r>
      <w:r>
        <w:rPr>
          <w:rFonts w:ascii="Cambria" w:hAnsi="Cambria"/>
          <w:sz w:val="24"/>
          <w:szCs w:val="24"/>
          <w:lang w:val="en-GB"/>
        </w:rPr>
        <w:t xml:space="preserve"> long-term and terminal illnesses</w:t>
      </w:r>
      <w:r w:rsidR="001D0FAD">
        <w:rPr>
          <w:rFonts w:ascii="Cambria" w:hAnsi="Cambria"/>
          <w:sz w:val="24"/>
          <w:szCs w:val="24"/>
          <w:lang w:val="en-GB"/>
        </w:rPr>
        <w:t>,</w:t>
      </w:r>
      <w:r>
        <w:rPr>
          <w:rFonts w:ascii="Cambria" w:hAnsi="Cambria"/>
          <w:sz w:val="24"/>
          <w:szCs w:val="24"/>
          <w:lang w:val="en-GB"/>
        </w:rPr>
        <w:t xml:space="preserve"> is the policy of ‘compassionate release’</w:t>
      </w:r>
      <w:r w:rsidR="001D0FAD">
        <w:rPr>
          <w:rFonts w:ascii="Cambria" w:hAnsi="Cambria"/>
          <w:sz w:val="24"/>
          <w:szCs w:val="24"/>
          <w:lang w:val="en-GB"/>
        </w:rPr>
        <w:t xml:space="preserve"> from prison</w:t>
      </w:r>
      <w:r>
        <w:rPr>
          <w:rFonts w:ascii="Cambria" w:hAnsi="Cambria"/>
          <w:sz w:val="24"/>
          <w:szCs w:val="24"/>
          <w:lang w:val="en-GB"/>
        </w:rPr>
        <w:t xml:space="preserve">. </w:t>
      </w:r>
      <w:r w:rsidR="004C5C76">
        <w:rPr>
          <w:rFonts w:ascii="Cambria" w:hAnsi="Cambria"/>
          <w:sz w:val="24"/>
          <w:szCs w:val="24"/>
          <w:lang w:val="en-GB"/>
        </w:rPr>
        <w:t xml:space="preserve">Section 80 of the </w:t>
      </w:r>
      <w:r w:rsidR="001D0FAD" w:rsidRPr="001D0FAD">
        <w:rPr>
          <w:rFonts w:ascii="Cambria" w:hAnsi="Cambria"/>
          <w:sz w:val="24"/>
          <w:szCs w:val="24"/>
          <w:lang w:val="en-GB"/>
        </w:rPr>
        <w:t>Subsidiar</w:t>
      </w:r>
      <w:r w:rsidR="001D0FAD">
        <w:rPr>
          <w:rFonts w:ascii="Cambria" w:hAnsi="Cambria"/>
          <w:sz w:val="24"/>
          <w:szCs w:val="24"/>
          <w:lang w:val="en-GB"/>
        </w:rPr>
        <w:t xml:space="preserve">y </w:t>
      </w:r>
      <w:r w:rsidR="001D0FAD" w:rsidRPr="001D0FAD">
        <w:rPr>
          <w:rFonts w:ascii="Cambria" w:hAnsi="Cambria"/>
          <w:sz w:val="24"/>
          <w:szCs w:val="24"/>
          <w:lang w:val="en-GB"/>
        </w:rPr>
        <w:t>Legislation</w:t>
      </w:r>
      <w:r w:rsidR="001D0FAD">
        <w:rPr>
          <w:rFonts w:ascii="Cambria" w:hAnsi="Cambria"/>
          <w:sz w:val="24"/>
          <w:szCs w:val="24"/>
          <w:lang w:val="en-GB"/>
        </w:rPr>
        <w:t xml:space="preserve"> </w:t>
      </w:r>
      <w:r w:rsidR="001D0FAD" w:rsidRPr="001D0FAD">
        <w:rPr>
          <w:rFonts w:ascii="Cambria" w:hAnsi="Cambria"/>
          <w:sz w:val="24"/>
          <w:szCs w:val="24"/>
          <w:lang w:val="en-GB"/>
        </w:rPr>
        <w:t>under the</w:t>
      </w:r>
      <w:r w:rsidR="001D0FAD">
        <w:rPr>
          <w:rFonts w:ascii="Cambria" w:hAnsi="Cambria"/>
          <w:sz w:val="24"/>
          <w:szCs w:val="24"/>
          <w:lang w:val="en-GB"/>
        </w:rPr>
        <w:t xml:space="preserve"> </w:t>
      </w:r>
      <w:r w:rsidR="001D0FAD" w:rsidRPr="001D0FAD">
        <w:rPr>
          <w:rFonts w:ascii="Cambria" w:hAnsi="Cambria"/>
          <w:sz w:val="24"/>
          <w:szCs w:val="24"/>
          <w:lang w:val="en-GB"/>
        </w:rPr>
        <w:t>Prisons Ordinance</w:t>
      </w:r>
      <w:r w:rsidR="001D0FAD">
        <w:rPr>
          <w:rFonts w:ascii="Cambria" w:hAnsi="Cambria"/>
          <w:sz w:val="24"/>
          <w:szCs w:val="24"/>
          <w:lang w:val="en-GB"/>
        </w:rPr>
        <w:t xml:space="preserve"> </w:t>
      </w:r>
      <w:r w:rsidR="004C5C76" w:rsidRPr="004C5C76">
        <w:rPr>
          <w:rFonts w:ascii="Cambria" w:hAnsi="Cambria"/>
          <w:sz w:val="24"/>
          <w:szCs w:val="24"/>
          <w:lang w:val="en-GB"/>
        </w:rPr>
        <w:t xml:space="preserve">states that </w:t>
      </w:r>
      <w:r w:rsidR="004C5C76">
        <w:rPr>
          <w:rFonts w:ascii="Cambria" w:hAnsi="Cambria"/>
          <w:sz w:val="24"/>
          <w:szCs w:val="24"/>
          <w:lang w:val="en-GB"/>
        </w:rPr>
        <w:t xml:space="preserve">where </w:t>
      </w:r>
      <w:r w:rsidR="004C5C76" w:rsidRPr="004C5C76">
        <w:rPr>
          <w:rFonts w:ascii="Cambria" w:hAnsi="Cambria"/>
          <w:sz w:val="24"/>
          <w:szCs w:val="24"/>
          <w:lang w:val="en-GB"/>
        </w:rPr>
        <w:t xml:space="preserve">the Medical Officer </w:t>
      </w:r>
      <w:r w:rsidR="004C5C76">
        <w:rPr>
          <w:rFonts w:ascii="Cambria" w:hAnsi="Cambria"/>
          <w:sz w:val="24"/>
          <w:szCs w:val="24"/>
          <w:lang w:val="en-GB"/>
        </w:rPr>
        <w:t>is of the opinion</w:t>
      </w:r>
      <w:r w:rsidR="004C5C76" w:rsidRPr="004C5C76">
        <w:rPr>
          <w:rFonts w:ascii="Cambria" w:hAnsi="Cambria"/>
          <w:sz w:val="24"/>
          <w:szCs w:val="24"/>
          <w:lang w:val="en-GB"/>
        </w:rPr>
        <w:t>:</w:t>
      </w:r>
    </w:p>
    <w:p w14:paraId="526FB4E1" w14:textId="77777777" w:rsidR="00C51616" w:rsidRPr="004C5C76" w:rsidRDefault="00C51616" w:rsidP="00C51616">
      <w:pPr>
        <w:spacing w:after="0" w:line="240" w:lineRule="auto"/>
        <w:jc w:val="both"/>
        <w:rPr>
          <w:rFonts w:ascii="Cambria" w:hAnsi="Cambria"/>
          <w:sz w:val="24"/>
          <w:szCs w:val="24"/>
          <w:lang w:val="en-GB"/>
        </w:rPr>
      </w:pPr>
    </w:p>
    <w:p w14:paraId="63282B98" w14:textId="2688D473" w:rsidR="00C51616" w:rsidRPr="00C51616" w:rsidRDefault="004C5C76" w:rsidP="00C51616">
      <w:pPr>
        <w:pStyle w:val="ListParagraph"/>
        <w:numPr>
          <w:ilvl w:val="0"/>
          <w:numId w:val="6"/>
        </w:numPr>
        <w:spacing w:after="0" w:line="240" w:lineRule="auto"/>
        <w:jc w:val="both"/>
        <w:rPr>
          <w:rFonts w:ascii="Cambria" w:hAnsi="Cambria"/>
          <w:sz w:val="24"/>
          <w:szCs w:val="24"/>
        </w:rPr>
      </w:pPr>
      <w:r w:rsidRPr="00C51616">
        <w:rPr>
          <w:rFonts w:ascii="Cambria" w:hAnsi="Cambria"/>
          <w:sz w:val="24"/>
          <w:szCs w:val="24"/>
        </w:rPr>
        <w:t>that the life of a prisoner will be endangered by further imprisonment, and that the prisoner's condition cannot be improved by temporary removal to a public hospital for surgical or other treatment;</w:t>
      </w:r>
      <w:r w:rsidR="00C51616">
        <w:rPr>
          <w:rFonts w:ascii="Cambria" w:hAnsi="Cambria"/>
          <w:sz w:val="24"/>
          <w:szCs w:val="24"/>
        </w:rPr>
        <w:t xml:space="preserve"> </w:t>
      </w:r>
      <w:r w:rsidRPr="00C51616">
        <w:rPr>
          <w:rFonts w:ascii="Cambria" w:hAnsi="Cambria"/>
          <w:sz w:val="24"/>
          <w:szCs w:val="24"/>
        </w:rPr>
        <w:t>or</w:t>
      </w:r>
    </w:p>
    <w:p w14:paraId="150C5B8E" w14:textId="4E3505B1" w:rsidR="004C5C76" w:rsidRPr="00C51616" w:rsidRDefault="004C5C76" w:rsidP="00C51616">
      <w:pPr>
        <w:spacing w:after="0" w:line="240" w:lineRule="auto"/>
        <w:jc w:val="both"/>
        <w:rPr>
          <w:rFonts w:ascii="Cambria" w:hAnsi="Cambria"/>
          <w:sz w:val="24"/>
          <w:szCs w:val="24"/>
        </w:rPr>
      </w:pPr>
      <w:r w:rsidRPr="00C51616">
        <w:rPr>
          <w:rFonts w:ascii="Cambria" w:hAnsi="Cambria"/>
          <w:sz w:val="24"/>
          <w:szCs w:val="24"/>
        </w:rPr>
        <w:t xml:space="preserve"> </w:t>
      </w:r>
    </w:p>
    <w:p w14:paraId="208327F6" w14:textId="77777777" w:rsidR="00C51616" w:rsidRDefault="004C5C76" w:rsidP="00C51616">
      <w:pPr>
        <w:pStyle w:val="ListParagraph"/>
        <w:numPr>
          <w:ilvl w:val="0"/>
          <w:numId w:val="6"/>
        </w:numPr>
        <w:spacing w:after="0" w:line="240" w:lineRule="auto"/>
        <w:jc w:val="both"/>
        <w:rPr>
          <w:rFonts w:ascii="Cambria" w:hAnsi="Cambria"/>
          <w:sz w:val="24"/>
          <w:szCs w:val="24"/>
        </w:rPr>
      </w:pPr>
      <w:r w:rsidRPr="00C51616">
        <w:rPr>
          <w:rFonts w:ascii="Cambria" w:hAnsi="Cambria"/>
          <w:sz w:val="24"/>
          <w:szCs w:val="24"/>
        </w:rPr>
        <w:t>that the illness of a prisoner is likely to terminate fatally within a brief period, and before the expiration of the sentence, and that the prisoner is still capable of being removed and there is reason to think that the prisoner has friends or relatives able and willing to take care of him in the event of his release;</w:t>
      </w:r>
      <w:r w:rsidR="00C51616">
        <w:rPr>
          <w:rFonts w:ascii="Cambria" w:hAnsi="Cambria"/>
          <w:sz w:val="24"/>
          <w:szCs w:val="24"/>
        </w:rPr>
        <w:t xml:space="preserve"> </w:t>
      </w:r>
      <w:r w:rsidRPr="00C51616">
        <w:rPr>
          <w:rFonts w:ascii="Cambria" w:hAnsi="Cambria"/>
          <w:sz w:val="24"/>
          <w:szCs w:val="24"/>
        </w:rPr>
        <w:t xml:space="preserve">or </w:t>
      </w:r>
    </w:p>
    <w:p w14:paraId="62A0DA7D" w14:textId="77777777" w:rsidR="00C51616" w:rsidRPr="00C51616" w:rsidRDefault="00C51616" w:rsidP="00C51616">
      <w:pPr>
        <w:pStyle w:val="ListParagraph"/>
        <w:rPr>
          <w:rFonts w:ascii="Cambria" w:hAnsi="Cambria"/>
          <w:sz w:val="24"/>
          <w:szCs w:val="24"/>
        </w:rPr>
      </w:pPr>
    </w:p>
    <w:p w14:paraId="4E22D5FF" w14:textId="40615174" w:rsidR="00C51616" w:rsidRPr="00A40198" w:rsidRDefault="004C5C76" w:rsidP="00C51616">
      <w:pPr>
        <w:pStyle w:val="ListParagraph"/>
        <w:numPr>
          <w:ilvl w:val="0"/>
          <w:numId w:val="6"/>
        </w:numPr>
        <w:spacing w:after="0" w:line="240" w:lineRule="auto"/>
        <w:jc w:val="both"/>
        <w:rPr>
          <w:rFonts w:ascii="Cambria" w:hAnsi="Cambria"/>
          <w:sz w:val="24"/>
          <w:szCs w:val="24"/>
        </w:rPr>
      </w:pPr>
      <w:r w:rsidRPr="00C51616">
        <w:rPr>
          <w:rFonts w:ascii="Cambria" w:hAnsi="Cambria"/>
          <w:sz w:val="24"/>
          <w:szCs w:val="24"/>
        </w:rPr>
        <w:t>that the mental condition of a prisoner will be adversely affected or endangered by further imprisonment</w:t>
      </w:r>
      <w:r w:rsidRPr="00C51616">
        <w:rPr>
          <w:rFonts w:ascii="Cambria" w:hAnsi="Cambria"/>
          <w:sz w:val="24"/>
          <w:szCs w:val="24"/>
          <w:lang w:val="en-GB"/>
        </w:rPr>
        <w:t>.</w:t>
      </w:r>
    </w:p>
    <w:p w14:paraId="6203C23F" w14:textId="77777777" w:rsidR="00C51616" w:rsidRDefault="00C51616" w:rsidP="00C51616">
      <w:pPr>
        <w:spacing w:after="0" w:line="240" w:lineRule="auto"/>
        <w:jc w:val="both"/>
        <w:rPr>
          <w:rFonts w:ascii="Cambria" w:hAnsi="Cambria"/>
          <w:sz w:val="24"/>
          <w:szCs w:val="24"/>
          <w:lang w:val="en-GB"/>
        </w:rPr>
      </w:pPr>
    </w:p>
    <w:p w14:paraId="1E3E532E" w14:textId="227AF488" w:rsidR="004C5C76" w:rsidRDefault="004C5C76" w:rsidP="00C51616">
      <w:pPr>
        <w:spacing w:after="0" w:line="240" w:lineRule="auto"/>
        <w:jc w:val="both"/>
        <w:rPr>
          <w:rFonts w:ascii="Cambria" w:hAnsi="Cambria"/>
          <w:sz w:val="24"/>
          <w:szCs w:val="24"/>
          <w:lang w:val="en-GB"/>
        </w:rPr>
      </w:pPr>
      <w:r>
        <w:rPr>
          <w:rFonts w:ascii="Cambria" w:hAnsi="Cambria"/>
          <w:sz w:val="24"/>
          <w:szCs w:val="24"/>
          <w:lang w:val="en-GB"/>
        </w:rPr>
        <w:t>In such cases, the Medical Officer is required to submit a full report to the Director of Health S</w:t>
      </w:r>
      <w:r w:rsidR="001D0FAD">
        <w:rPr>
          <w:rFonts w:ascii="Cambria" w:hAnsi="Cambria"/>
          <w:sz w:val="24"/>
          <w:szCs w:val="24"/>
          <w:lang w:val="en-GB"/>
        </w:rPr>
        <w:t xml:space="preserve">ervices, who is then </w:t>
      </w:r>
      <w:r>
        <w:rPr>
          <w:rFonts w:ascii="Cambria" w:hAnsi="Cambria"/>
          <w:sz w:val="24"/>
          <w:szCs w:val="24"/>
          <w:lang w:val="en-GB"/>
        </w:rPr>
        <w:t xml:space="preserve">required to convene a medical board to assess the case of the person in detention and along with their recommendation, submit his own recommendation to the relevant Minister. </w:t>
      </w:r>
    </w:p>
    <w:p w14:paraId="3D3F44A7" w14:textId="77777777" w:rsidR="00C51616" w:rsidRDefault="00C51616" w:rsidP="00C51616">
      <w:pPr>
        <w:spacing w:after="0" w:line="240" w:lineRule="auto"/>
        <w:jc w:val="both"/>
        <w:rPr>
          <w:rFonts w:ascii="Cambria" w:hAnsi="Cambria"/>
          <w:sz w:val="24"/>
          <w:szCs w:val="24"/>
          <w:lang w:val="en-GB"/>
        </w:rPr>
      </w:pPr>
    </w:p>
    <w:p w14:paraId="13CE5A71" w14:textId="7E9048A4" w:rsidR="004C5C76" w:rsidRDefault="000C74D3" w:rsidP="00C51616">
      <w:pPr>
        <w:spacing w:after="0" w:line="240" w:lineRule="auto"/>
        <w:jc w:val="both"/>
        <w:rPr>
          <w:rFonts w:ascii="Cambria" w:hAnsi="Cambria"/>
          <w:sz w:val="24"/>
          <w:szCs w:val="24"/>
          <w:lang w:val="en-GB"/>
        </w:rPr>
      </w:pPr>
      <w:r>
        <w:rPr>
          <w:rFonts w:ascii="Cambria" w:hAnsi="Cambria"/>
          <w:sz w:val="24"/>
          <w:szCs w:val="24"/>
          <w:lang w:val="en-GB"/>
        </w:rPr>
        <w:t xml:space="preserve">Although this procedure </w:t>
      </w:r>
      <w:r w:rsidR="001D0FAD">
        <w:rPr>
          <w:rFonts w:ascii="Cambria" w:hAnsi="Cambria"/>
          <w:sz w:val="24"/>
          <w:szCs w:val="24"/>
          <w:lang w:val="en-GB"/>
        </w:rPr>
        <w:t>is commendable</w:t>
      </w:r>
      <w:r>
        <w:rPr>
          <w:rFonts w:ascii="Cambria" w:hAnsi="Cambria"/>
          <w:sz w:val="24"/>
          <w:szCs w:val="24"/>
          <w:lang w:val="en-GB"/>
        </w:rPr>
        <w:t xml:space="preserve"> and could be utilised to release older persons </w:t>
      </w:r>
      <w:r w:rsidR="00232658">
        <w:rPr>
          <w:rFonts w:ascii="Cambria" w:hAnsi="Cambria"/>
          <w:sz w:val="24"/>
          <w:szCs w:val="24"/>
          <w:lang w:val="en-GB"/>
        </w:rPr>
        <w:t xml:space="preserve">who fall within the remit of the aforementioned provision, </w:t>
      </w:r>
      <w:r w:rsidR="001D0FAD">
        <w:rPr>
          <w:rFonts w:ascii="Cambria" w:hAnsi="Cambria"/>
          <w:sz w:val="24"/>
          <w:szCs w:val="24"/>
          <w:lang w:val="en-GB"/>
        </w:rPr>
        <w:t>it has been criticised by the HRCSL for following a contradictory and ad-hoc process</w:t>
      </w:r>
      <w:r w:rsidR="00232658">
        <w:rPr>
          <w:rFonts w:ascii="Cambria" w:hAnsi="Cambria"/>
          <w:sz w:val="24"/>
          <w:szCs w:val="24"/>
          <w:lang w:val="en-GB"/>
        </w:rPr>
        <w:t xml:space="preserve">. For instance, </w:t>
      </w:r>
      <w:r w:rsidR="001D0FAD">
        <w:rPr>
          <w:rFonts w:ascii="Cambria" w:hAnsi="Cambria"/>
          <w:sz w:val="24"/>
          <w:szCs w:val="24"/>
          <w:lang w:val="en-GB"/>
        </w:rPr>
        <w:t xml:space="preserve">persons in </w:t>
      </w:r>
      <w:r w:rsidR="00232658">
        <w:rPr>
          <w:rFonts w:ascii="Cambria" w:hAnsi="Cambria"/>
          <w:sz w:val="24"/>
          <w:szCs w:val="24"/>
          <w:lang w:val="en-GB"/>
        </w:rPr>
        <w:t xml:space="preserve">prison have </w:t>
      </w:r>
      <w:r w:rsidR="001D0FAD">
        <w:rPr>
          <w:rFonts w:ascii="Cambria" w:hAnsi="Cambria"/>
          <w:sz w:val="24"/>
          <w:szCs w:val="24"/>
          <w:lang w:val="en-GB"/>
        </w:rPr>
        <w:t>alleg</w:t>
      </w:r>
      <w:r w:rsidR="00232658">
        <w:rPr>
          <w:rFonts w:ascii="Cambria" w:hAnsi="Cambria"/>
          <w:sz w:val="24"/>
          <w:szCs w:val="24"/>
          <w:lang w:val="en-GB"/>
        </w:rPr>
        <w:t xml:space="preserve">ed </w:t>
      </w:r>
      <w:r w:rsidR="001D0FAD">
        <w:rPr>
          <w:rFonts w:ascii="Cambria" w:hAnsi="Cambria"/>
          <w:sz w:val="24"/>
          <w:szCs w:val="24"/>
          <w:lang w:val="en-GB"/>
        </w:rPr>
        <w:t>that the medical board is not convened despite multiple requests to that effect.</w:t>
      </w:r>
      <w:r w:rsidR="001D0FAD">
        <w:rPr>
          <w:rStyle w:val="FootnoteReference"/>
          <w:rFonts w:ascii="Cambria" w:hAnsi="Cambria"/>
          <w:sz w:val="24"/>
          <w:szCs w:val="24"/>
          <w:lang w:val="en-GB"/>
        </w:rPr>
        <w:footnoteReference w:id="13"/>
      </w:r>
      <w:r w:rsidR="001D0FAD">
        <w:rPr>
          <w:rFonts w:ascii="Cambria" w:hAnsi="Cambria"/>
          <w:sz w:val="24"/>
          <w:szCs w:val="24"/>
          <w:lang w:val="en-GB"/>
        </w:rPr>
        <w:t xml:space="preserve"> </w:t>
      </w:r>
    </w:p>
    <w:p w14:paraId="3289C4CE" w14:textId="6A53BA5A" w:rsidR="00C51616" w:rsidRDefault="00C51616" w:rsidP="00C51616">
      <w:pPr>
        <w:spacing w:after="0" w:line="240" w:lineRule="auto"/>
        <w:jc w:val="both"/>
        <w:rPr>
          <w:rFonts w:ascii="Cambria" w:hAnsi="Cambria"/>
          <w:sz w:val="24"/>
          <w:szCs w:val="24"/>
          <w:lang w:val="en-GB"/>
        </w:rPr>
      </w:pPr>
    </w:p>
    <w:p w14:paraId="78AA6049" w14:textId="77777777" w:rsidR="004C5C76" w:rsidRPr="004C5C76" w:rsidRDefault="004C5C76" w:rsidP="004C5C76">
      <w:pPr>
        <w:jc w:val="both"/>
        <w:rPr>
          <w:rFonts w:ascii="Cambria" w:hAnsi="Cambria"/>
          <w:sz w:val="24"/>
          <w:szCs w:val="24"/>
          <w:lang w:val="en-GB"/>
        </w:rPr>
      </w:pPr>
    </w:p>
    <w:sectPr w:rsidR="004C5C76" w:rsidRPr="004C5C76" w:rsidSect="001D0FA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E83F" w14:textId="77777777" w:rsidR="00FB179E" w:rsidRDefault="00FB179E" w:rsidP="008C3B08">
      <w:pPr>
        <w:spacing w:after="0" w:line="240" w:lineRule="auto"/>
      </w:pPr>
      <w:r>
        <w:separator/>
      </w:r>
    </w:p>
  </w:endnote>
  <w:endnote w:type="continuationSeparator" w:id="0">
    <w:p w14:paraId="74455496" w14:textId="77777777" w:rsidR="00FB179E" w:rsidRDefault="00FB179E" w:rsidP="008C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Iskoola Pota">
    <w:panose1 w:val="020B0604020202020204"/>
    <w:charset w:val="4D"/>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777741"/>
      <w:docPartObj>
        <w:docPartGallery w:val="Page Numbers (Bottom of Page)"/>
        <w:docPartUnique/>
      </w:docPartObj>
    </w:sdtPr>
    <w:sdtEndPr>
      <w:rPr>
        <w:noProof/>
      </w:rPr>
    </w:sdtEndPr>
    <w:sdtContent>
      <w:p w14:paraId="20FB238C" w14:textId="507125BF" w:rsidR="00DA5021" w:rsidRDefault="00DA5021">
        <w:pPr>
          <w:pStyle w:val="Footer"/>
          <w:jc w:val="center"/>
        </w:pPr>
        <w:r>
          <w:fldChar w:fldCharType="begin"/>
        </w:r>
        <w:r>
          <w:instrText xml:space="preserve"> PAGE   \* MERGEFORMAT </w:instrText>
        </w:r>
        <w:r>
          <w:fldChar w:fldCharType="separate"/>
        </w:r>
        <w:r w:rsidR="004F6FB7">
          <w:rPr>
            <w:noProof/>
          </w:rPr>
          <w:t>5</w:t>
        </w:r>
        <w:r>
          <w:rPr>
            <w:noProof/>
          </w:rPr>
          <w:fldChar w:fldCharType="end"/>
        </w:r>
      </w:p>
    </w:sdtContent>
  </w:sdt>
  <w:p w14:paraId="5D8F693B" w14:textId="77777777" w:rsidR="00DA5021" w:rsidRDefault="00DA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9BE5" w14:textId="77777777" w:rsidR="00FB179E" w:rsidRDefault="00FB179E" w:rsidP="008C3B08">
      <w:pPr>
        <w:spacing w:after="0" w:line="240" w:lineRule="auto"/>
      </w:pPr>
      <w:r>
        <w:separator/>
      </w:r>
    </w:p>
  </w:footnote>
  <w:footnote w:type="continuationSeparator" w:id="0">
    <w:p w14:paraId="6D308E80" w14:textId="77777777" w:rsidR="00FB179E" w:rsidRDefault="00FB179E" w:rsidP="008C3B08">
      <w:pPr>
        <w:spacing w:after="0" w:line="240" w:lineRule="auto"/>
      </w:pPr>
      <w:r>
        <w:continuationSeparator/>
      </w:r>
    </w:p>
  </w:footnote>
  <w:footnote w:id="1">
    <w:p w14:paraId="6A87B0D2" w14:textId="77777777" w:rsidR="008C3B08" w:rsidRPr="008C3B08" w:rsidRDefault="008C3B08">
      <w:pPr>
        <w:pStyle w:val="FootnoteText"/>
        <w:rPr>
          <w:lang w:val="en-GB"/>
        </w:rPr>
      </w:pPr>
      <w:r>
        <w:rPr>
          <w:rStyle w:val="FootnoteReference"/>
        </w:rPr>
        <w:footnoteRef/>
      </w:r>
      <w:r>
        <w:t xml:space="preserve"> </w:t>
      </w:r>
      <w:r>
        <w:rPr>
          <w:i/>
          <w:lang w:val="en-GB"/>
        </w:rPr>
        <w:t xml:space="preserve">Human Rights Commission of Sri Lanka, </w:t>
      </w:r>
      <w:r>
        <w:rPr>
          <w:lang w:val="en-GB"/>
        </w:rPr>
        <w:t xml:space="preserve">National Study of Prisons, December 2020 – chapter: </w:t>
      </w:r>
      <w:r w:rsidRPr="008C3B08">
        <w:rPr>
          <w:lang w:val="en-GB"/>
        </w:rPr>
        <w:t>Water, Sanitation and Personal Hygiene</w:t>
      </w:r>
      <w:r>
        <w:rPr>
          <w:lang w:val="en-GB"/>
        </w:rPr>
        <w:t xml:space="preserve">. </w:t>
      </w:r>
      <w:hyperlink r:id="rId1" w:history="1">
        <w:r w:rsidRPr="007C5C59">
          <w:rPr>
            <w:rStyle w:val="Hyperlink"/>
            <w:lang w:val="en-GB"/>
          </w:rPr>
          <w:t>https://www.hrcsl.lk/wp-content/uploads/2020/01/Prison-Report-Final-2.pdf</w:t>
        </w:r>
      </w:hyperlink>
      <w:r>
        <w:rPr>
          <w:lang w:val="en-GB"/>
        </w:rPr>
        <w:t xml:space="preserve"> </w:t>
      </w:r>
    </w:p>
  </w:footnote>
  <w:footnote w:id="2">
    <w:p w14:paraId="72976318" w14:textId="77777777" w:rsidR="008C3B08" w:rsidRPr="008C3B08" w:rsidRDefault="008C3B08">
      <w:pPr>
        <w:pStyle w:val="FootnoteText"/>
        <w:rPr>
          <w:lang w:val="en-GB"/>
        </w:rPr>
      </w:pPr>
      <w:r>
        <w:rPr>
          <w:rStyle w:val="FootnoteReference"/>
        </w:rPr>
        <w:footnoteRef/>
      </w:r>
      <w:r>
        <w:t xml:space="preserve"> </w:t>
      </w:r>
      <w:r>
        <w:rPr>
          <w:lang w:val="en-GB"/>
        </w:rPr>
        <w:t>Ibid.</w:t>
      </w:r>
    </w:p>
  </w:footnote>
  <w:footnote w:id="3">
    <w:p w14:paraId="34C184C2" w14:textId="77777777" w:rsidR="008C3B08" w:rsidRPr="008C3B08" w:rsidRDefault="008C3B08">
      <w:pPr>
        <w:pStyle w:val="FootnoteText"/>
        <w:rPr>
          <w:lang w:val="en-GB"/>
        </w:rPr>
      </w:pPr>
      <w:r>
        <w:rPr>
          <w:rStyle w:val="FootnoteReference"/>
        </w:rPr>
        <w:footnoteRef/>
      </w:r>
      <w:r>
        <w:t xml:space="preserve"> </w:t>
      </w:r>
      <w:r>
        <w:rPr>
          <w:i/>
          <w:lang w:val="en-GB"/>
        </w:rPr>
        <w:t xml:space="preserve">Human Rights Commission of Sri Lanka, </w:t>
      </w:r>
      <w:r>
        <w:rPr>
          <w:lang w:val="en-GB"/>
        </w:rPr>
        <w:t xml:space="preserve">National Study of Prisons, December 2020 – chapter: Access to Medical Treatment. </w:t>
      </w:r>
      <w:hyperlink r:id="rId2" w:history="1">
        <w:r w:rsidRPr="007C5C59">
          <w:rPr>
            <w:rStyle w:val="Hyperlink"/>
            <w:lang w:val="en-GB"/>
          </w:rPr>
          <w:t>https://www.hrcsl.lk/wp-content/uploads/2020/01/Prison-Report-Final-2.pdf</w:t>
        </w:r>
      </w:hyperlink>
    </w:p>
  </w:footnote>
  <w:footnote w:id="4">
    <w:p w14:paraId="7F0ED5D2" w14:textId="77777777" w:rsidR="008C3B08" w:rsidRPr="008C3B08" w:rsidRDefault="008C3B08">
      <w:pPr>
        <w:pStyle w:val="FootnoteText"/>
        <w:rPr>
          <w:lang w:val="en-GB"/>
        </w:rPr>
      </w:pPr>
      <w:r>
        <w:rPr>
          <w:rStyle w:val="FootnoteReference"/>
        </w:rPr>
        <w:footnoteRef/>
      </w:r>
      <w:r>
        <w:t xml:space="preserve"> </w:t>
      </w:r>
      <w:r>
        <w:rPr>
          <w:i/>
          <w:lang w:val="en-GB"/>
        </w:rPr>
        <w:t xml:space="preserve">Human Rights Commission of Sri Lanka, </w:t>
      </w:r>
      <w:r>
        <w:rPr>
          <w:lang w:val="en-GB"/>
        </w:rPr>
        <w:t xml:space="preserve">National Study of Prisons, December 2020 – chapter: Accommodation. </w:t>
      </w:r>
      <w:hyperlink r:id="rId3" w:history="1">
        <w:r w:rsidRPr="007C5C59">
          <w:rPr>
            <w:rStyle w:val="Hyperlink"/>
            <w:lang w:val="en-GB"/>
          </w:rPr>
          <w:t>https://www.hrcsl.lk/wp-content/uploads/2020/01/Prison-Report-Final-2.pdf</w:t>
        </w:r>
      </w:hyperlink>
    </w:p>
  </w:footnote>
  <w:footnote w:id="5">
    <w:p w14:paraId="772DE733" w14:textId="77777777" w:rsidR="008C3B08" w:rsidRPr="008C3B08" w:rsidRDefault="008C3B08">
      <w:pPr>
        <w:pStyle w:val="FootnoteText"/>
        <w:rPr>
          <w:lang w:val="en-GB"/>
        </w:rPr>
      </w:pPr>
      <w:r>
        <w:rPr>
          <w:rStyle w:val="FootnoteReference"/>
        </w:rPr>
        <w:footnoteRef/>
      </w:r>
      <w:r>
        <w:t xml:space="preserve"> </w:t>
      </w:r>
      <w:r>
        <w:rPr>
          <w:i/>
          <w:lang w:val="en-GB"/>
        </w:rPr>
        <w:t xml:space="preserve">Human Rights Commission of Sri Lanka, </w:t>
      </w:r>
      <w:r>
        <w:rPr>
          <w:lang w:val="en-GB"/>
        </w:rPr>
        <w:t xml:space="preserve">National Study of Prisons, December 2020 – chapter: Early Release Measures. </w:t>
      </w:r>
      <w:hyperlink r:id="rId4" w:history="1">
        <w:r w:rsidRPr="007C5C59">
          <w:rPr>
            <w:rStyle w:val="Hyperlink"/>
            <w:lang w:val="en-GB"/>
          </w:rPr>
          <w:t>https://www.hrcsl.lk/wp-content/uploads/2020/01/Prison-Report-Final-2.pdf</w:t>
        </w:r>
      </w:hyperlink>
    </w:p>
  </w:footnote>
  <w:footnote w:id="6">
    <w:p w14:paraId="370B90EE" w14:textId="77777777" w:rsidR="00DA5021" w:rsidRPr="00DA5021" w:rsidRDefault="00DA5021">
      <w:pPr>
        <w:pStyle w:val="FootnoteText"/>
        <w:rPr>
          <w:lang w:val="en-GB"/>
        </w:rPr>
      </w:pPr>
      <w:r>
        <w:rPr>
          <w:rStyle w:val="FootnoteReference"/>
        </w:rPr>
        <w:footnoteRef/>
      </w:r>
      <w:r>
        <w:t xml:space="preserve"> </w:t>
      </w:r>
      <w:r>
        <w:rPr>
          <w:i/>
        </w:rPr>
        <w:t xml:space="preserve">World Health Organization, </w:t>
      </w:r>
      <w:r>
        <w:t xml:space="preserve">Prisons and Health, 2014. </w:t>
      </w:r>
      <w:r w:rsidRPr="00DA5021">
        <w:t>https://www.euro.who.int/__data/assets/pdf_file/0005/249188/Prisons-and-Health.pdf</w:t>
      </w:r>
    </w:p>
  </w:footnote>
  <w:footnote w:id="7">
    <w:p w14:paraId="51C3C89C" w14:textId="77777777" w:rsidR="008C3B08" w:rsidRPr="008C3B08" w:rsidRDefault="008C3B08">
      <w:pPr>
        <w:pStyle w:val="FootnoteText"/>
        <w:rPr>
          <w:lang w:val="en-GB"/>
        </w:rPr>
      </w:pPr>
      <w:r>
        <w:rPr>
          <w:rStyle w:val="FootnoteReference"/>
        </w:rPr>
        <w:footnoteRef/>
      </w:r>
      <w:r>
        <w:t xml:space="preserve"> </w:t>
      </w:r>
      <w:r>
        <w:rPr>
          <w:i/>
          <w:lang w:val="en-GB"/>
        </w:rPr>
        <w:t xml:space="preserve">Department of Prison, </w:t>
      </w:r>
      <w:r>
        <w:rPr>
          <w:lang w:val="en-GB"/>
        </w:rPr>
        <w:t>Prison Statistics, 2021.</w:t>
      </w:r>
      <w:r w:rsidRPr="008C3B08">
        <w:t xml:space="preserve"> </w:t>
      </w:r>
      <w:r w:rsidRPr="008C3B08">
        <w:rPr>
          <w:lang w:val="en-GB"/>
        </w:rPr>
        <w:t>http://prisons.gov.lk/web/wp-content/uploads/2021/05/prison-statistics-2021.pdf</w:t>
      </w:r>
    </w:p>
  </w:footnote>
  <w:footnote w:id="8">
    <w:p w14:paraId="5EF3F3D1" w14:textId="77777777" w:rsidR="008C3B08" w:rsidRPr="008C3B08" w:rsidRDefault="008C3B08">
      <w:pPr>
        <w:pStyle w:val="FootnoteText"/>
        <w:rPr>
          <w:lang w:val="en-GB"/>
        </w:rPr>
      </w:pPr>
      <w:r>
        <w:rPr>
          <w:rStyle w:val="FootnoteReference"/>
        </w:rPr>
        <w:footnoteRef/>
      </w:r>
      <w:r>
        <w:t xml:space="preserve"> Ibid</w:t>
      </w:r>
    </w:p>
  </w:footnote>
  <w:footnote w:id="9">
    <w:p w14:paraId="4FDD8F63" w14:textId="77777777" w:rsidR="008C3B08" w:rsidRPr="008C3B08" w:rsidRDefault="008C3B08" w:rsidP="008C3B08">
      <w:pPr>
        <w:pStyle w:val="FootnoteText"/>
      </w:pPr>
      <w:r>
        <w:rPr>
          <w:rStyle w:val="FootnoteReference"/>
        </w:rPr>
        <w:footnoteRef/>
      </w:r>
      <w:r>
        <w:t xml:space="preserve"> </w:t>
      </w:r>
      <w:r w:rsidRPr="008C3B08">
        <w:t xml:space="preserve">‘25,224 inmates released from prison to ease overcrowding’, </w:t>
      </w:r>
      <w:proofErr w:type="spellStart"/>
      <w:r w:rsidRPr="008C3B08">
        <w:rPr>
          <w:i/>
        </w:rPr>
        <w:t>Dinamina</w:t>
      </w:r>
      <w:proofErr w:type="spellEnd"/>
      <w:r w:rsidRPr="008C3B08">
        <w:t xml:space="preserve">, 1 April 2021. (Translation of Sinhala </w:t>
      </w:r>
      <w:r w:rsidR="00D83C14">
        <w:t xml:space="preserve">news </w:t>
      </w:r>
      <w:r w:rsidRPr="008C3B08">
        <w:t>article)</w:t>
      </w:r>
    </w:p>
  </w:footnote>
  <w:footnote w:id="10">
    <w:p w14:paraId="01D2A97A" w14:textId="77777777" w:rsidR="00D83C14" w:rsidRPr="00D83C14" w:rsidRDefault="00D83C14">
      <w:pPr>
        <w:pStyle w:val="FootnoteText"/>
        <w:rPr>
          <w:lang w:val="en-GB"/>
        </w:rPr>
      </w:pPr>
      <w:r>
        <w:rPr>
          <w:rStyle w:val="FootnoteReference"/>
        </w:rPr>
        <w:footnoteRef/>
      </w:r>
      <w:r>
        <w:t xml:space="preserve"> </w:t>
      </w:r>
      <w:r>
        <w:rPr>
          <w:i/>
          <w:lang w:val="en-GB"/>
        </w:rPr>
        <w:t xml:space="preserve">Human Rights Commission of Sri Lanka, </w:t>
      </w:r>
      <w:r>
        <w:rPr>
          <w:lang w:val="en-GB"/>
        </w:rPr>
        <w:t xml:space="preserve">National Study of Prisons, December 2020 – chapter: Early Release Measures. </w:t>
      </w:r>
      <w:hyperlink r:id="rId5" w:history="1">
        <w:r w:rsidRPr="007C5C59">
          <w:rPr>
            <w:rStyle w:val="Hyperlink"/>
            <w:lang w:val="en-GB"/>
          </w:rPr>
          <w:t>https://www.hrcsl.lk/wp-content/uploads/2020/01/Prison-Report-Final-2.pdf</w:t>
        </w:r>
      </w:hyperlink>
    </w:p>
  </w:footnote>
  <w:footnote w:id="11">
    <w:p w14:paraId="09BC5F00" w14:textId="77777777" w:rsidR="00095C9C" w:rsidRPr="00095C9C" w:rsidRDefault="00095C9C">
      <w:pPr>
        <w:pStyle w:val="FootnoteText"/>
        <w:rPr>
          <w:b/>
          <w:lang w:val="en-GB"/>
        </w:rPr>
      </w:pPr>
      <w:r>
        <w:rPr>
          <w:rStyle w:val="FootnoteReference"/>
        </w:rPr>
        <w:footnoteRef/>
      </w:r>
      <w:r>
        <w:t xml:space="preserve"> </w:t>
      </w:r>
      <w:r>
        <w:rPr>
          <w:i/>
          <w:lang w:val="en-GB"/>
        </w:rPr>
        <w:t xml:space="preserve">Human Rights Commission of Sri Lanka, </w:t>
      </w:r>
      <w:r>
        <w:rPr>
          <w:lang w:val="en-GB"/>
        </w:rPr>
        <w:t xml:space="preserve">National Study of Prisons, December 2020 – chapter: Grievance Mechanisms. </w:t>
      </w:r>
      <w:hyperlink r:id="rId6" w:history="1">
        <w:r w:rsidRPr="007C5C59">
          <w:rPr>
            <w:rStyle w:val="Hyperlink"/>
            <w:lang w:val="en-GB"/>
          </w:rPr>
          <w:t>https://www.hrcsl.lk/wp-content/uploads/2020/01/Prison-Report-Final-2.pdf</w:t>
        </w:r>
      </w:hyperlink>
    </w:p>
  </w:footnote>
  <w:footnote w:id="12">
    <w:p w14:paraId="1A9546E4" w14:textId="77777777" w:rsidR="00DA5021" w:rsidRPr="00DA5021" w:rsidRDefault="00DA5021">
      <w:pPr>
        <w:pStyle w:val="FootnoteText"/>
        <w:rPr>
          <w:lang w:val="en-GB"/>
        </w:rPr>
      </w:pPr>
      <w:r>
        <w:rPr>
          <w:rStyle w:val="FootnoteReference"/>
        </w:rPr>
        <w:footnoteRef/>
      </w:r>
      <w:r>
        <w:t xml:space="preserve"> </w:t>
      </w:r>
      <w:r w:rsidR="00095C9C" w:rsidRPr="00095C9C">
        <w:t>GANHRI Sub-Committee on Accreditation Report – October 2021</w:t>
      </w:r>
      <w:r w:rsidR="00095C9C">
        <w:t>.</w:t>
      </w:r>
      <w:r w:rsidR="00095C9C" w:rsidRPr="00095C9C">
        <w:cr/>
        <w:t>https://www.ohchr.org/sites/default/files/2021-12/SCA-Report-October-2021_E.pdf</w:t>
      </w:r>
    </w:p>
  </w:footnote>
  <w:footnote w:id="13">
    <w:p w14:paraId="4A101DBD" w14:textId="16D12B22" w:rsidR="001D0FAD" w:rsidRPr="001D0FAD" w:rsidRDefault="001D0FAD">
      <w:pPr>
        <w:pStyle w:val="FootnoteText"/>
        <w:rPr>
          <w:lang w:val="en-GB"/>
        </w:rPr>
      </w:pPr>
      <w:r>
        <w:rPr>
          <w:rStyle w:val="FootnoteReference"/>
        </w:rPr>
        <w:footnoteRef/>
      </w:r>
      <w:r>
        <w:t xml:space="preserve"> </w:t>
      </w:r>
      <w:r>
        <w:rPr>
          <w:i/>
          <w:lang w:val="en-GB"/>
        </w:rPr>
        <w:t xml:space="preserve">Human Rights Commission of Sri Lanka, </w:t>
      </w:r>
      <w:r>
        <w:rPr>
          <w:lang w:val="en-GB"/>
        </w:rPr>
        <w:t xml:space="preserve">National Study of Prisons, December 2020 – chapter: Prisoners with Disabilities. </w:t>
      </w:r>
      <w:hyperlink r:id="rId7" w:history="1">
        <w:r w:rsidRPr="007C5C59">
          <w:rPr>
            <w:rStyle w:val="Hyperlink"/>
            <w:lang w:val="en-GB"/>
          </w:rPr>
          <w:t>https://www.hrcsl.lk/wp-content/uploads/2020/01/Prison-Report-Final-2.pdf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F249E"/>
    <w:multiLevelType w:val="hybridMultilevel"/>
    <w:tmpl w:val="D858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A11"/>
    <w:multiLevelType w:val="hybridMultilevel"/>
    <w:tmpl w:val="E1B228C8"/>
    <w:lvl w:ilvl="0" w:tplc="5B2617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3762B"/>
    <w:multiLevelType w:val="hybridMultilevel"/>
    <w:tmpl w:val="6E58BF32"/>
    <w:lvl w:ilvl="0" w:tplc="CB505A4C">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E02F3"/>
    <w:multiLevelType w:val="hybridMultilevel"/>
    <w:tmpl w:val="A7E4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E468BE"/>
    <w:multiLevelType w:val="hybridMultilevel"/>
    <w:tmpl w:val="CE76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86813"/>
    <w:multiLevelType w:val="hybridMultilevel"/>
    <w:tmpl w:val="BBFAFCD2"/>
    <w:lvl w:ilvl="0" w:tplc="FC6E9B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6B"/>
    <w:rsid w:val="000265BA"/>
    <w:rsid w:val="00095C9C"/>
    <w:rsid w:val="000C74D3"/>
    <w:rsid w:val="000F0301"/>
    <w:rsid w:val="000F6336"/>
    <w:rsid w:val="001730C6"/>
    <w:rsid w:val="001870E2"/>
    <w:rsid w:val="001D0FAD"/>
    <w:rsid w:val="00232658"/>
    <w:rsid w:val="002734A4"/>
    <w:rsid w:val="002E1845"/>
    <w:rsid w:val="00311A96"/>
    <w:rsid w:val="00336D79"/>
    <w:rsid w:val="0044732B"/>
    <w:rsid w:val="00484637"/>
    <w:rsid w:val="004A324E"/>
    <w:rsid w:val="004C56F4"/>
    <w:rsid w:val="004C5C76"/>
    <w:rsid w:val="004F6FB7"/>
    <w:rsid w:val="00503C64"/>
    <w:rsid w:val="005458BA"/>
    <w:rsid w:val="00597CC6"/>
    <w:rsid w:val="0074293D"/>
    <w:rsid w:val="00745D86"/>
    <w:rsid w:val="007D4B96"/>
    <w:rsid w:val="007E5755"/>
    <w:rsid w:val="007F05B5"/>
    <w:rsid w:val="008C3B08"/>
    <w:rsid w:val="009149E0"/>
    <w:rsid w:val="00985474"/>
    <w:rsid w:val="009B5DDA"/>
    <w:rsid w:val="009E4EA4"/>
    <w:rsid w:val="00A05222"/>
    <w:rsid w:val="00A354F3"/>
    <w:rsid w:val="00A40198"/>
    <w:rsid w:val="00A51258"/>
    <w:rsid w:val="00A75F7B"/>
    <w:rsid w:val="00A837E0"/>
    <w:rsid w:val="00BD5886"/>
    <w:rsid w:val="00C51616"/>
    <w:rsid w:val="00CD5B6B"/>
    <w:rsid w:val="00D83C14"/>
    <w:rsid w:val="00DA5021"/>
    <w:rsid w:val="00F5177C"/>
    <w:rsid w:val="00FB179E"/>
    <w:rsid w:val="00FC2772"/>
    <w:rsid w:val="00FC4F3F"/>
    <w:rsid w:val="00FC728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C39C"/>
  <w15:chartTrackingRefBased/>
  <w15:docId w15:val="{4CEB3B95-AE02-4301-B525-2F83E76D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93D"/>
    <w:pPr>
      <w:ind w:left="720"/>
      <w:contextualSpacing/>
    </w:pPr>
  </w:style>
  <w:style w:type="paragraph" w:styleId="FootnoteText">
    <w:name w:val="footnote text"/>
    <w:basedOn w:val="Normal"/>
    <w:link w:val="FootnoteTextChar"/>
    <w:uiPriority w:val="99"/>
    <w:semiHidden/>
    <w:unhideWhenUsed/>
    <w:rsid w:val="008C3B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B08"/>
    <w:rPr>
      <w:sz w:val="20"/>
      <w:szCs w:val="20"/>
    </w:rPr>
  </w:style>
  <w:style w:type="character" w:styleId="FootnoteReference">
    <w:name w:val="footnote reference"/>
    <w:basedOn w:val="DefaultParagraphFont"/>
    <w:uiPriority w:val="99"/>
    <w:semiHidden/>
    <w:unhideWhenUsed/>
    <w:rsid w:val="008C3B08"/>
    <w:rPr>
      <w:vertAlign w:val="superscript"/>
    </w:rPr>
  </w:style>
  <w:style w:type="character" w:styleId="Hyperlink">
    <w:name w:val="Hyperlink"/>
    <w:basedOn w:val="DefaultParagraphFont"/>
    <w:uiPriority w:val="99"/>
    <w:unhideWhenUsed/>
    <w:rsid w:val="008C3B08"/>
    <w:rPr>
      <w:color w:val="0563C1" w:themeColor="hyperlink"/>
      <w:u w:val="single"/>
    </w:rPr>
  </w:style>
  <w:style w:type="paragraph" w:styleId="Header">
    <w:name w:val="header"/>
    <w:basedOn w:val="Normal"/>
    <w:link w:val="HeaderChar"/>
    <w:uiPriority w:val="99"/>
    <w:unhideWhenUsed/>
    <w:rsid w:val="00DA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021"/>
  </w:style>
  <w:style w:type="paragraph" w:styleId="Footer">
    <w:name w:val="footer"/>
    <w:basedOn w:val="Normal"/>
    <w:link w:val="FooterChar"/>
    <w:uiPriority w:val="99"/>
    <w:unhideWhenUsed/>
    <w:rsid w:val="00DA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021"/>
  </w:style>
  <w:style w:type="paragraph" w:styleId="NoSpacing">
    <w:name w:val="No Spacing"/>
    <w:link w:val="NoSpacingChar"/>
    <w:uiPriority w:val="1"/>
    <w:qFormat/>
    <w:rsid w:val="001D0FAD"/>
    <w:pPr>
      <w:spacing w:after="0" w:line="240" w:lineRule="auto"/>
    </w:pPr>
    <w:rPr>
      <w:rFonts w:eastAsiaTheme="minorEastAsia"/>
    </w:rPr>
  </w:style>
  <w:style w:type="character" w:customStyle="1" w:styleId="NoSpacingChar">
    <w:name w:val="No Spacing Char"/>
    <w:basedOn w:val="DefaultParagraphFont"/>
    <w:link w:val="NoSpacing"/>
    <w:uiPriority w:val="1"/>
    <w:rsid w:val="001D0FA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rcsl.lk/wp-content/uploads/2020/01/Prison-Report-Final-2.pdf" TargetMode="External"/><Relationship Id="rId7" Type="http://schemas.openxmlformats.org/officeDocument/2006/relationships/hyperlink" Target="https://www.hrcsl.lk/wp-content/uploads/2020/01/Prison-Report-Final-2.pdf" TargetMode="External"/><Relationship Id="rId2" Type="http://schemas.openxmlformats.org/officeDocument/2006/relationships/hyperlink" Target="https://www.hrcsl.lk/wp-content/uploads/2020/01/Prison-Report-Final-2.pdf" TargetMode="External"/><Relationship Id="rId1" Type="http://schemas.openxmlformats.org/officeDocument/2006/relationships/hyperlink" Target="https://www.hrcsl.lk/wp-content/uploads/2020/01/Prison-Report-Final-2.pdf" TargetMode="External"/><Relationship Id="rId6" Type="http://schemas.openxmlformats.org/officeDocument/2006/relationships/hyperlink" Target="https://www.hrcsl.lk/wp-content/uploads/2020/01/Prison-Report-Final-2.pdf" TargetMode="External"/><Relationship Id="rId5" Type="http://schemas.openxmlformats.org/officeDocument/2006/relationships/hyperlink" Target="https://www.hrcsl.lk/wp-content/uploads/2020/01/Prison-Report-Final-2.pdf" TargetMode="External"/><Relationship Id="rId4" Type="http://schemas.openxmlformats.org/officeDocument/2006/relationships/hyperlink" Target="https://www.hrcsl.lk/wp-content/uploads/2020/01/Prison-Report-Final-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1243-B51B-4200-AFD9-6806BDFA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6</Pages>
  <Words>2028</Words>
  <Characters>10750</Characters>
  <Application>Microsoft Office Word</Application>
  <DocSecurity>0</DocSecurity>
  <Lines>202</Lines>
  <Paragraphs>42</Paragraphs>
  <ScaleCrop>false</ScaleCrop>
  <HeadingPairs>
    <vt:vector size="2" baseType="variant">
      <vt:variant>
        <vt:lpstr>Title</vt:lpstr>
      </vt:variant>
      <vt:variant>
        <vt:i4>1</vt:i4>
      </vt:variant>
    </vt:vector>
  </HeadingPairs>
  <TitlesOfParts>
    <vt:vector size="1" baseType="lpstr">
      <vt:lpstr>Submission to the</vt:lpstr>
    </vt:vector>
  </TitlesOfParts>
  <Manager/>
  <Company/>
  <LinksUpToDate>false</LinksUpToDate>
  <CharactersWithSpaces>12736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dc:title>
  <dc:subject/>
  <dc:creator/>
  <cp:keywords/>
  <dc:description/>
  <cp:lastModifiedBy>Microsoft Office User</cp:lastModifiedBy>
  <cp:revision>19</cp:revision>
  <dcterms:created xsi:type="dcterms:W3CDTF">2022-03-24T06:19:00Z</dcterms:created>
  <dcterms:modified xsi:type="dcterms:W3CDTF">2022-03-28T13:52:00Z</dcterms:modified>
  <cp:category/>
</cp:coreProperties>
</file>