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3D31E" w14:textId="20419D09" w:rsidR="00317147" w:rsidRPr="00317147" w:rsidRDefault="00317147" w:rsidP="00317147">
      <w:pPr>
        <w:jc w:val="center"/>
        <w:rPr>
          <w:rFonts w:ascii="Times New Roman" w:hAnsi="Times New Roman" w:cs="Times New Roman"/>
          <w:sz w:val="24"/>
          <w:szCs w:val="24"/>
          <w:u w:val="single"/>
        </w:rPr>
      </w:pPr>
      <w:r w:rsidRPr="00317147">
        <w:rPr>
          <w:rFonts w:ascii="Times New Roman" w:hAnsi="Times New Roman" w:cs="Times New Roman"/>
          <w:sz w:val="24"/>
          <w:szCs w:val="24"/>
          <w:u w:val="single"/>
        </w:rPr>
        <w:t>WGAD Submission</w:t>
      </w:r>
      <w:bookmarkStart w:id="0" w:name="_GoBack"/>
      <w:bookmarkEnd w:id="0"/>
    </w:p>
    <w:p w14:paraId="3AB2C616" w14:textId="5F93384D" w:rsidR="009C659D" w:rsidRDefault="009C659D" w:rsidP="009C659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present submission is made on behalf of the United Nations Working Group on Arbitrary Detention in response to the </w:t>
      </w:r>
      <w:hyperlink r:id="rId8" w:history="1">
        <w:r w:rsidRPr="009C659D">
          <w:rPr>
            <w:rStyle w:val="Hyperlink"/>
            <w:rFonts w:ascii="Times New Roman" w:hAnsi="Times New Roman" w:cs="Times New Roman"/>
            <w:sz w:val="24"/>
            <w:szCs w:val="24"/>
          </w:rPr>
          <w:t>call</w:t>
        </w:r>
      </w:hyperlink>
      <w:r>
        <w:rPr>
          <w:rFonts w:ascii="Times New Roman" w:hAnsi="Times New Roman" w:cs="Times New Roman"/>
          <w:sz w:val="24"/>
          <w:szCs w:val="24"/>
        </w:rPr>
        <w:t xml:space="preserve"> by the </w:t>
      </w:r>
      <w:r w:rsidRPr="009C659D">
        <w:rPr>
          <w:rFonts w:ascii="Times New Roman" w:hAnsi="Times New Roman" w:cs="Times New Roman"/>
          <w:sz w:val="24"/>
          <w:szCs w:val="24"/>
        </w:rPr>
        <w:t>Independent Expert on the enjoyment of all human rights by older persons</w:t>
      </w:r>
      <w:r>
        <w:rPr>
          <w:rFonts w:ascii="Times New Roman" w:hAnsi="Times New Roman" w:cs="Times New Roman"/>
          <w:sz w:val="24"/>
          <w:szCs w:val="24"/>
        </w:rPr>
        <w:t xml:space="preserve"> for inputs to thematic report by the Independent Expert on o</w:t>
      </w:r>
      <w:r w:rsidRPr="009C659D">
        <w:rPr>
          <w:rFonts w:ascii="Times New Roman" w:hAnsi="Times New Roman" w:cs="Times New Roman"/>
          <w:sz w:val="24"/>
          <w:szCs w:val="24"/>
        </w:rPr>
        <w:t>lder persons deprived of their liberty.</w:t>
      </w:r>
    </w:p>
    <w:p w14:paraId="0AEBF3C3" w14:textId="194E7603" w:rsidR="009C659D" w:rsidRDefault="009C659D" w:rsidP="009C659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Working </w:t>
      </w:r>
      <w:r w:rsidR="00B15D91">
        <w:rPr>
          <w:rFonts w:ascii="Times New Roman" w:hAnsi="Times New Roman" w:cs="Times New Roman"/>
          <w:sz w:val="24"/>
          <w:szCs w:val="24"/>
        </w:rPr>
        <w:t>Group</w:t>
      </w:r>
      <w:r>
        <w:rPr>
          <w:rFonts w:ascii="Times New Roman" w:hAnsi="Times New Roman" w:cs="Times New Roman"/>
          <w:sz w:val="24"/>
          <w:szCs w:val="24"/>
        </w:rPr>
        <w:t xml:space="preserve"> welcomes and </w:t>
      </w:r>
      <w:r w:rsidR="00B15D91">
        <w:rPr>
          <w:rFonts w:ascii="Times New Roman" w:hAnsi="Times New Roman" w:cs="Times New Roman"/>
          <w:sz w:val="24"/>
          <w:szCs w:val="24"/>
        </w:rPr>
        <w:t>strongly</w:t>
      </w:r>
      <w:r>
        <w:rPr>
          <w:rFonts w:ascii="Times New Roman" w:hAnsi="Times New Roman" w:cs="Times New Roman"/>
          <w:sz w:val="24"/>
          <w:szCs w:val="24"/>
        </w:rPr>
        <w:t xml:space="preserve"> </w:t>
      </w:r>
      <w:r w:rsidR="00B15D91">
        <w:rPr>
          <w:rFonts w:ascii="Times New Roman" w:hAnsi="Times New Roman" w:cs="Times New Roman"/>
          <w:sz w:val="24"/>
          <w:szCs w:val="24"/>
        </w:rPr>
        <w:t>supports</w:t>
      </w:r>
      <w:r>
        <w:rPr>
          <w:rFonts w:ascii="Times New Roman" w:hAnsi="Times New Roman" w:cs="Times New Roman"/>
          <w:sz w:val="24"/>
          <w:szCs w:val="24"/>
        </w:rPr>
        <w:t xml:space="preserve"> the </w:t>
      </w:r>
      <w:r w:rsidR="00B15D91">
        <w:rPr>
          <w:rFonts w:ascii="Times New Roman" w:hAnsi="Times New Roman" w:cs="Times New Roman"/>
          <w:sz w:val="24"/>
          <w:szCs w:val="24"/>
        </w:rPr>
        <w:t>focus</w:t>
      </w:r>
      <w:r>
        <w:rPr>
          <w:rFonts w:ascii="Times New Roman" w:hAnsi="Times New Roman" w:cs="Times New Roman"/>
          <w:sz w:val="24"/>
          <w:szCs w:val="24"/>
        </w:rPr>
        <w:t xml:space="preserve"> of the </w:t>
      </w:r>
      <w:r w:rsidR="00B15D91">
        <w:rPr>
          <w:rFonts w:ascii="Times New Roman" w:hAnsi="Times New Roman" w:cs="Times New Roman"/>
          <w:sz w:val="24"/>
          <w:szCs w:val="24"/>
        </w:rPr>
        <w:t xml:space="preserve">Independent </w:t>
      </w:r>
      <w:r>
        <w:rPr>
          <w:rFonts w:ascii="Times New Roman" w:hAnsi="Times New Roman" w:cs="Times New Roman"/>
          <w:sz w:val="24"/>
          <w:szCs w:val="24"/>
        </w:rPr>
        <w:t xml:space="preserve">Expert on older persons deprived of their liberty as through its jurisprudence it has observed numerous </w:t>
      </w:r>
      <w:r w:rsidR="00B15D91">
        <w:rPr>
          <w:rFonts w:ascii="Times New Roman" w:hAnsi="Times New Roman" w:cs="Times New Roman"/>
          <w:sz w:val="24"/>
          <w:szCs w:val="24"/>
        </w:rPr>
        <w:t>instances of the violations of the rights of older persons in detention.</w:t>
      </w:r>
    </w:p>
    <w:p w14:paraId="0555FAC3" w14:textId="77777777" w:rsidR="003341A1" w:rsidRDefault="00B15D91" w:rsidP="009C659D">
      <w:pPr>
        <w:pStyle w:val="ListParagraph"/>
        <w:numPr>
          <w:ilvl w:val="0"/>
          <w:numId w:val="1"/>
        </w:numPr>
        <w:jc w:val="both"/>
        <w:rPr>
          <w:rFonts w:ascii="Times New Roman" w:hAnsi="Times New Roman" w:cs="Times New Roman"/>
          <w:sz w:val="24"/>
          <w:szCs w:val="24"/>
        </w:rPr>
      </w:pPr>
      <w:r w:rsidRPr="00B15D91">
        <w:rPr>
          <w:rFonts w:ascii="Times New Roman" w:hAnsi="Times New Roman" w:cs="Times New Roman"/>
          <w:sz w:val="24"/>
          <w:szCs w:val="24"/>
        </w:rPr>
        <w:t xml:space="preserve">From the perspective of Working Group’s mandate, the central question in relation to older persons deprived of their liberty is the meaning of the term ‘detention’. Through its mandate, the Working Group has observed that detention can take place and indeed does take place in many different contexts. Thus, for example, older persons can be deprived of their liberty in the criminal justice context (for example, in prisons, pre-trial detention facilities and police stations) as well as during the course of migration proceedings or indeed in health and social care contexts. </w:t>
      </w:r>
    </w:p>
    <w:p w14:paraId="4C1CA222" w14:textId="3863BB7B" w:rsidR="009C659D" w:rsidRPr="003341A1" w:rsidRDefault="00B15D91" w:rsidP="009C659D">
      <w:pPr>
        <w:pStyle w:val="ListParagraph"/>
        <w:numPr>
          <w:ilvl w:val="0"/>
          <w:numId w:val="1"/>
        </w:numPr>
        <w:jc w:val="both"/>
        <w:rPr>
          <w:rFonts w:ascii="Times New Roman" w:hAnsi="Times New Roman" w:cs="Times New Roman"/>
          <w:sz w:val="24"/>
          <w:szCs w:val="24"/>
        </w:rPr>
      </w:pPr>
      <w:r w:rsidRPr="003341A1">
        <w:rPr>
          <w:rFonts w:ascii="Times New Roman" w:hAnsi="Times New Roman" w:cs="Times New Roman"/>
          <w:sz w:val="24"/>
          <w:szCs w:val="24"/>
        </w:rPr>
        <w:t xml:space="preserve">The challenge </w:t>
      </w:r>
      <w:r w:rsidR="003341A1" w:rsidRPr="003341A1">
        <w:rPr>
          <w:rFonts w:ascii="Times New Roman" w:hAnsi="Times New Roman" w:cs="Times New Roman"/>
          <w:sz w:val="24"/>
          <w:szCs w:val="24"/>
        </w:rPr>
        <w:t>arises</w:t>
      </w:r>
      <w:r w:rsidRPr="003341A1">
        <w:rPr>
          <w:rFonts w:ascii="Times New Roman" w:hAnsi="Times New Roman" w:cs="Times New Roman"/>
          <w:sz w:val="24"/>
          <w:szCs w:val="24"/>
        </w:rPr>
        <w:t xml:space="preserve"> in some States which adopt a narrow interpretation of the term ‘detention’ which has lead the Working Group to argue </w:t>
      </w:r>
      <w:r w:rsidR="009C659D" w:rsidRPr="003341A1">
        <w:rPr>
          <w:rFonts w:ascii="Times New Roman" w:hAnsi="Times New Roman" w:cs="Times New Roman"/>
          <w:sz w:val="24"/>
          <w:szCs w:val="24"/>
        </w:rPr>
        <w:t>that each instance of alleged deprivation of liberty must be examined in the light of the individual circumstances of that case.</w:t>
      </w:r>
      <w:r w:rsidR="009C659D" w:rsidRPr="00956C0A">
        <w:rPr>
          <w:rStyle w:val="FootnoteReference"/>
          <w:rFonts w:ascii="Times New Roman" w:hAnsi="Times New Roman" w:cs="Times New Roman"/>
          <w:sz w:val="24"/>
          <w:szCs w:val="24"/>
        </w:rPr>
        <w:footnoteReference w:id="1"/>
      </w:r>
      <w:r w:rsidR="009C659D" w:rsidRPr="003341A1">
        <w:rPr>
          <w:rFonts w:ascii="Times New Roman" w:hAnsi="Times New Roman" w:cs="Times New Roman"/>
          <w:sz w:val="24"/>
          <w:szCs w:val="24"/>
        </w:rPr>
        <w:t xml:space="preserve"> </w:t>
      </w:r>
      <w:r w:rsidR="00446FC0" w:rsidRPr="003341A1">
        <w:rPr>
          <w:rFonts w:ascii="Times New Roman" w:hAnsi="Times New Roman" w:cs="Times New Roman"/>
          <w:sz w:val="24"/>
          <w:szCs w:val="24"/>
        </w:rPr>
        <w:t xml:space="preserve">Consequently, </w:t>
      </w:r>
      <w:r w:rsidR="009C659D" w:rsidRPr="003341A1">
        <w:rPr>
          <w:rFonts w:ascii="Times New Roman" w:hAnsi="Times New Roman" w:cs="Times New Roman"/>
          <w:sz w:val="24"/>
          <w:szCs w:val="24"/>
        </w:rPr>
        <w:t>deprivation of liberty is not only a question of legal definition, but also of fact and if an individual is not at liberty to leave a place or facility, then all the appropriate safeguards that are in place to guard against arbitrary detention must be respected.</w:t>
      </w:r>
      <w:r w:rsidR="009C659D" w:rsidRPr="00956C0A">
        <w:rPr>
          <w:rStyle w:val="FootnoteReference"/>
          <w:rFonts w:ascii="Times New Roman" w:hAnsi="Times New Roman" w:cs="Times New Roman"/>
          <w:sz w:val="24"/>
          <w:szCs w:val="24"/>
        </w:rPr>
        <w:footnoteReference w:id="2"/>
      </w:r>
      <w:r w:rsidR="009C659D" w:rsidRPr="003341A1">
        <w:rPr>
          <w:rFonts w:ascii="Times New Roman" w:hAnsi="Times New Roman" w:cs="Times New Roman"/>
          <w:sz w:val="24"/>
          <w:szCs w:val="24"/>
        </w:rPr>
        <w:t xml:space="preserve">  </w:t>
      </w:r>
    </w:p>
    <w:p w14:paraId="14C03C10" w14:textId="04297CC6" w:rsidR="009C659D" w:rsidRPr="00446FC0" w:rsidRDefault="003341A1" w:rsidP="009C659D">
      <w:pPr>
        <w:pStyle w:val="ListParagraph"/>
        <w:numPr>
          <w:ilvl w:val="0"/>
          <w:numId w:val="1"/>
        </w:numPr>
        <w:jc w:val="both"/>
        <w:rPr>
          <w:rFonts w:ascii="Times New Roman" w:hAnsi="Times New Roman" w:cs="Times New Roman"/>
          <w:sz w:val="24"/>
          <w:szCs w:val="24"/>
        </w:rPr>
      </w:pPr>
      <w:r w:rsidRPr="00446FC0">
        <w:rPr>
          <w:rFonts w:ascii="Times New Roman" w:hAnsi="Times New Roman" w:cs="Times New Roman"/>
          <w:sz w:val="24"/>
          <w:szCs w:val="24"/>
        </w:rPr>
        <w:lastRenderedPageBreak/>
        <w:t>To</w:t>
      </w:r>
      <w:r w:rsidR="00446FC0" w:rsidRPr="00446FC0">
        <w:rPr>
          <w:rFonts w:ascii="Times New Roman" w:hAnsi="Times New Roman" w:cs="Times New Roman"/>
          <w:sz w:val="24"/>
          <w:szCs w:val="24"/>
        </w:rPr>
        <w:t xml:space="preserve"> determine if a particular situation amounts to derivation of liberty, the Working </w:t>
      </w:r>
      <w:r w:rsidR="00446FC0">
        <w:rPr>
          <w:rFonts w:ascii="Times New Roman" w:hAnsi="Times New Roman" w:cs="Times New Roman"/>
          <w:sz w:val="24"/>
          <w:szCs w:val="24"/>
        </w:rPr>
        <w:t>G</w:t>
      </w:r>
      <w:r w:rsidR="00446FC0" w:rsidRPr="00446FC0">
        <w:rPr>
          <w:rFonts w:ascii="Times New Roman" w:hAnsi="Times New Roman" w:cs="Times New Roman"/>
          <w:sz w:val="24"/>
          <w:szCs w:val="24"/>
        </w:rPr>
        <w:t xml:space="preserve">roup has stated: </w:t>
      </w:r>
    </w:p>
    <w:p w14:paraId="12CE2038" w14:textId="1241D343" w:rsidR="00446FC0" w:rsidRDefault="009C659D" w:rsidP="00444A67">
      <w:pPr>
        <w:ind w:left="1440" w:firstLine="60"/>
        <w:jc w:val="both"/>
        <w:rPr>
          <w:rFonts w:ascii="Times New Roman" w:hAnsi="Times New Roman" w:cs="Times New Roman"/>
          <w:sz w:val="24"/>
          <w:szCs w:val="24"/>
        </w:rPr>
      </w:pPr>
      <w:r w:rsidRPr="00956C0A">
        <w:rPr>
          <w:rFonts w:ascii="Times New Roman" w:hAnsi="Times New Roman" w:cs="Times New Roman"/>
          <w:sz w:val="24"/>
          <w:szCs w:val="24"/>
        </w:rPr>
        <w:t>“when presented with a dispute of whether a deprivation of liberty has occurred, it [WGAD] must examine the specific situation as a whole and account must be taken of a wide range of factors including the type, duration, effects and manner of implementation of the measures imposed   and not just of the way the national legislation describes it. Therefore when making this determination the Working Group considers, inter alia, whether the person has freely consented to the confinement measures, what are the limitations on the person’s physical movements, on receiving visits and having various other means of communication with the outside world, the modalities of the imposed daily regime and the level of security around the place.”</w:t>
      </w:r>
      <w:r w:rsidRPr="00956C0A">
        <w:rPr>
          <w:rStyle w:val="FootnoteReference"/>
          <w:rFonts w:ascii="Times New Roman" w:hAnsi="Times New Roman" w:cs="Times New Roman"/>
          <w:sz w:val="24"/>
          <w:szCs w:val="24"/>
        </w:rPr>
        <w:footnoteReference w:id="3"/>
      </w:r>
    </w:p>
    <w:p w14:paraId="1AEF3595" w14:textId="1111887B" w:rsidR="00444A67" w:rsidRPr="00444A67" w:rsidRDefault="00444A67" w:rsidP="00444A6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Turning to the question of free consent of the person to the confinement measure, the Working Group examined has warned</w:t>
      </w:r>
      <w:r w:rsidRPr="00444A67">
        <w:rPr>
          <w:rFonts w:ascii="Times New Roman" w:hAnsi="Times New Roman" w:cs="Times New Roman"/>
          <w:sz w:val="24"/>
          <w:szCs w:val="24"/>
        </w:rPr>
        <w:t xml:space="preserve"> against abuses of this element arguing that any claim that an individual is at a certain place at his or her own free will must indeed be the case for the situation not to amount to deprivation of liberty.</w:t>
      </w:r>
      <w:r w:rsidRPr="00956C0A">
        <w:rPr>
          <w:rStyle w:val="FootnoteReference"/>
          <w:rFonts w:ascii="Times New Roman" w:hAnsi="Times New Roman" w:cs="Times New Roman"/>
          <w:sz w:val="24"/>
          <w:szCs w:val="24"/>
        </w:rPr>
        <w:footnoteReference w:id="4"/>
      </w:r>
      <w:r w:rsidRPr="00444A67">
        <w:rPr>
          <w:rFonts w:ascii="Times New Roman" w:hAnsi="Times New Roman" w:cs="Times New Roman"/>
          <w:sz w:val="24"/>
          <w:szCs w:val="24"/>
        </w:rPr>
        <w:t xml:space="preserve"> </w:t>
      </w:r>
      <w:r>
        <w:rPr>
          <w:rFonts w:ascii="Times New Roman" w:hAnsi="Times New Roman" w:cs="Times New Roman"/>
          <w:sz w:val="24"/>
          <w:szCs w:val="24"/>
        </w:rPr>
        <w:t>In its</w:t>
      </w:r>
      <w:r w:rsidRPr="00444A67">
        <w:rPr>
          <w:rFonts w:ascii="Times New Roman" w:hAnsi="Times New Roman" w:cs="Times New Roman"/>
          <w:sz w:val="24"/>
          <w:szCs w:val="24"/>
        </w:rPr>
        <w:t xml:space="preserve"> Opinion 22/2020</w:t>
      </w:r>
      <w:r w:rsidR="003341A1">
        <w:rPr>
          <w:rFonts w:ascii="Times New Roman" w:hAnsi="Times New Roman" w:cs="Times New Roman"/>
          <w:sz w:val="24"/>
          <w:szCs w:val="24"/>
        </w:rPr>
        <w:t xml:space="preserve">, when addressing the submission of </w:t>
      </w:r>
      <w:r w:rsidRPr="00444A67">
        <w:rPr>
          <w:rFonts w:ascii="Times New Roman" w:hAnsi="Times New Roman" w:cs="Times New Roman"/>
          <w:sz w:val="24"/>
          <w:szCs w:val="24"/>
        </w:rPr>
        <w:t>the Government of Hungary that asylum seekers who are held in the transit zone facilities on Serbian-Hungarian border are there at their free will and therefore not detained as they are free to leave, towards Serbia, at any time</w:t>
      </w:r>
      <w:r w:rsidR="003341A1">
        <w:rPr>
          <w:rFonts w:ascii="Times New Roman" w:hAnsi="Times New Roman" w:cs="Times New Roman"/>
          <w:sz w:val="24"/>
          <w:szCs w:val="24"/>
        </w:rPr>
        <w:t xml:space="preserve">, the Working Group concluded that </w:t>
      </w:r>
      <w:r w:rsidRPr="00444A67">
        <w:rPr>
          <w:rFonts w:ascii="Times New Roman" w:hAnsi="Times New Roman" w:cs="Times New Roman"/>
          <w:sz w:val="24"/>
          <w:szCs w:val="24"/>
        </w:rPr>
        <w:t xml:space="preserve">it “cannot accept that an individual who must either agree </w:t>
      </w:r>
      <w:r w:rsidRPr="00444A67">
        <w:rPr>
          <w:rFonts w:ascii="Times New Roman" w:hAnsi="Times New Roman" w:cs="Times New Roman"/>
          <w:sz w:val="24"/>
          <w:szCs w:val="24"/>
        </w:rPr>
        <w:lastRenderedPageBreak/>
        <w:t>to remain in the transit zones or lose the possibility of lodging an asylum application could be described as freely consenting to stay in the transit zones”.</w:t>
      </w:r>
      <w:r w:rsidRPr="00956C0A">
        <w:rPr>
          <w:rStyle w:val="FootnoteReference"/>
          <w:rFonts w:ascii="Times New Roman" w:hAnsi="Times New Roman" w:cs="Times New Roman"/>
          <w:sz w:val="24"/>
          <w:szCs w:val="24"/>
        </w:rPr>
        <w:footnoteReference w:id="5"/>
      </w:r>
    </w:p>
    <w:p w14:paraId="2930D3CE" w14:textId="74E959FA" w:rsidR="00444A67" w:rsidRPr="00444A67" w:rsidRDefault="00444A67" w:rsidP="00444A6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Further, </w:t>
      </w:r>
      <w:r w:rsidR="00446FC0">
        <w:rPr>
          <w:rFonts w:ascii="Times New Roman" w:hAnsi="Times New Roman" w:cs="Times New Roman"/>
          <w:sz w:val="24"/>
          <w:szCs w:val="24"/>
        </w:rPr>
        <w:t>in</w:t>
      </w:r>
      <w:r w:rsidR="009C659D" w:rsidRPr="00446FC0">
        <w:rPr>
          <w:rFonts w:ascii="Times New Roman" w:hAnsi="Times New Roman" w:cs="Times New Roman"/>
          <w:sz w:val="24"/>
          <w:szCs w:val="24"/>
        </w:rPr>
        <w:t xml:space="preserve"> </w:t>
      </w:r>
      <w:r w:rsidR="003341A1">
        <w:rPr>
          <w:rFonts w:ascii="Times New Roman" w:hAnsi="Times New Roman" w:cs="Times New Roman"/>
          <w:sz w:val="24"/>
          <w:szCs w:val="24"/>
        </w:rPr>
        <w:t xml:space="preserve">the same Opinion, when </w:t>
      </w:r>
      <w:r w:rsidR="00446FC0">
        <w:rPr>
          <w:rFonts w:ascii="Times New Roman" w:hAnsi="Times New Roman" w:cs="Times New Roman"/>
          <w:sz w:val="24"/>
          <w:szCs w:val="24"/>
        </w:rPr>
        <w:t>assess</w:t>
      </w:r>
      <w:r w:rsidR="003341A1">
        <w:rPr>
          <w:rFonts w:ascii="Times New Roman" w:hAnsi="Times New Roman" w:cs="Times New Roman"/>
          <w:sz w:val="24"/>
          <w:szCs w:val="24"/>
        </w:rPr>
        <w:t>ing</w:t>
      </w:r>
      <w:r w:rsidR="00446FC0">
        <w:rPr>
          <w:rFonts w:ascii="Times New Roman" w:hAnsi="Times New Roman" w:cs="Times New Roman"/>
          <w:sz w:val="24"/>
          <w:szCs w:val="24"/>
        </w:rPr>
        <w:t xml:space="preserve"> </w:t>
      </w:r>
      <w:r w:rsidR="009C659D" w:rsidRPr="00446FC0">
        <w:rPr>
          <w:rFonts w:ascii="Times New Roman" w:hAnsi="Times New Roman" w:cs="Times New Roman"/>
          <w:sz w:val="24"/>
          <w:szCs w:val="24"/>
        </w:rPr>
        <w:t>whether migrants held in so-called transit zones on the Serbian-Hungarian border are in fact detained</w:t>
      </w:r>
      <w:r w:rsidR="003341A1">
        <w:rPr>
          <w:rFonts w:ascii="Times New Roman" w:hAnsi="Times New Roman" w:cs="Times New Roman"/>
          <w:sz w:val="24"/>
          <w:szCs w:val="24"/>
        </w:rPr>
        <w:t xml:space="preserve">, </w:t>
      </w:r>
      <w:r w:rsidR="00446FC0">
        <w:rPr>
          <w:rFonts w:ascii="Times New Roman" w:hAnsi="Times New Roman" w:cs="Times New Roman"/>
          <w:sz w:val="24"/>
          <w:szCs w:val="24"/>
        </w:rPr>
        <w:t>the Working Group recalled its actual visit to the facility during the 2018 country visit to Hungary</w:t>
      </w:r>
      <w:r w:rsidR="00446FC0">
        <w:rPr>
          <w:rStyle w:val="FootnoteReference"/>
          <w:rFonts w:ascii="Times New Roman" w:hAnsi="Times New Roman" w:cs="Times New Roman"/>
          <w:sz w:val="24"/>
          <w:szCs w:val="24"/>
        </w:rPr>
        <w:footnoteReference w:id="6"/>
      </w:r>
      <w:r w:rsidR="00446FC0">
        <w:rPr>
          <w:rFonts w:ascii="Times New Roman" w:hAnsi="Times New Roman" w:cs="Times New Roman"/>
          <w:sz w:val="24"/>
          <w:szCs w:val="24"/>
        </w:rPr>
        <w:t xml:space="preserve"> and highlighted </w:t>
      </w:r>
      <w:r w:rsidR="009C659D" w:rsidRPr="00446FC0">
        <w:rPr>
          <w:rFonts w:ascii="Times New Roman" w:hAnsi="Times New Roman" w:cs="Times New Roman"/>
          <w:sz w:val="24"/>
          <w:szCs w:val="24"/>
        </w:rPr>
        <w:t xml:space="preserve">the highly restrictive regime, with large numbers of guards, preventing individuals from moving freely within the facility or receiving visitors from outside as well as the physical structures of the facilities </w:t>
      </w:r>
      <w:r w:rsidR="009C659D" w:rsidRPr="00444A67">
        <w:rPr>
          <w:rFonts w:ascii="Times New Roman" w:hAnsi="Times New Roman" w:cs="Times New Roman"/>
          <w:sz w:val="24"/>
          <w:szCs w:val="24"/>
        </w:rPr>
        <w:t>themselves and their ‘carceral’ character</w:t>
      </w:r>
      <w:r w:rsidR="00446FC0" w:rsidRPr="00444A67">
        <w:rPr>
          <w:rFonts w:ascii="Times New Roman" w:hAnsi="Times New Roman" w:cs="Times New Roman"/>
          <w:sz w:val="24"/>
          <w:szCs w:val="24"/>
        </w:rPr>
        <w:t xml:space="preserve">. </w:t>
      </w:r>
      <w:r w:rsidRPr="00444A67">
        <w:rPr>
          <w:rFonts w:ascii="Times New Roman" w:hAnsi="Times New Roman" w:cs="Times New Roman"/>
          <w:sz w:val="24"/>
          <w:szCs w:val="24"/>
        </w:rPr>
        <w:t>These factors lead the Working Group to conclude that the transit zones were indeed places of detention.</w:t>
      </w:r>
      <w:r w:rsidRPr="00444A67">
        <w:rPr>
          <w:rStyle w:val="FootnoteReference"/>
          <w:rFonts w:ascii="Times New Roman" w:hAnsi="Times New Roman" w:cs="Times New Roman"/>
          <w:sz w:val="24"/>
          <w:szCs w:val="24"/>
        </w:rPr>
        <w:footnoteReference w:id="7"/>
      </w:r>
      <w:r w:rsidRPr="00444A67">
        <w:rPr>
          <w:rFonts w:ascii="Times New Roman" w:hAnsi="Times New Roman" w:cs="Times New Roman"/>
          <w:sz w:val="24"/>
          <w:szCs w:val="24"/>
        </w:rPr>
        <w:t xml:space="preserve"> </w:t>
      </w:r>
    </w:p>
    <w:p w14:paraId="1FB0FCA9" w14:textId="408B28F7" w:rsidR="00446FC0" w:rsidRPr="00444A67" w:rsidRDefault="00446FC0" w:rsidP="00446FC0">
      <w:pPr>
        <w:pStyle w:val="ListParagraph"/>
        <w:numPr>
          <w:ilvl w:val="0"/>
          <w:numId w:val="1"/>
        </w:numPr>
        <w:jc w:val="both"/>
        <w:rPr>
          <w:rFonts w:ascii="Times New Roman" w:hAnsi="Times New Roman" w:cs="Times New Roman"/>
          <w:sz w:val="24"/>
          <w:szCs w:val="24"/>
        </w:rPr>
      </w:pPr>
      <w:r w:rsidRPr="00444A67">
        <w:rPr>
          <w:rFonts w:ascii="Times New Roman" w:hAnsi="Times New Roman" w:cs="Times New Roman"/>
          <w:sz w:val="24"/>
          <w:szCs w:val="24"/>
        </w:rPr>
        <w:t xml:space="preserve">In contrast, during its 2019 visit to Bhutan the Working Group </w:t>
      </w:r>
      <w:r w:rsidR="00444A67" w:rsidRPr="00444A67">
        <w:rPr>
          <w:rFonts w:ascii="Times New Roman" w:hAnsi="Times New Roman" w:cs="Times New Roman"/>
          <w:sz w:val="24"/>
          <w:szCs w:val="24"/>
        </w:rPr>
        <w:t>noted the following:</w:t>
      </w:r>
    </w:p>
    <w:p w14:paraId="35AF5516" w14:textId="6B2942CC" w:rsidR="00444A67" w:rsidRPr="00444A67" w:rsidRDefault="00444A67" w:rsidP="00444A67">
      <w:pPr>
        <w:pStyle w:val="ListParagraph"/>
        <w:ind w:left="1440"/>
        <w:jc w:val="both"/>
        <w:rPr>
          <w:rFonts w:ascii="Times New Roman" w:hAnsi="Times New Roman" w:cs="Times New Roman"/>
          <w:sz w:val="24"/>
          <w:szCs w:val="24"/>
        </w:rPr>
      </w:pPr>
      <w:r w:rsidRPr="00444A67">
        <w:rPr>
          <w:rFonts w:ascii="Times New Roman" w:hAnsi="Times New Roman" w:cs="Times New Roman"/>
          <w:sz w:val="24"/>
          <w:szCs w:val="24"/>
        </w:rPr>
        <w:t>“The Working Group also visited the Gangzhay Kepiling Centre in Limukha, a facility run by the Zhung Dratshang (Central Monastic Body), which provides residence for monks who have retired from active service. The Working Group appreciated being able to visit the facility and to speak with both those in charge and the residents, which allowed the Working Group to conclude that it was not a detention facility.”</w:t>
      </w:r>
      <w:r w:rsidRPr="00444A67">
        <w:rPr>
          <w:rStyle w:val="FootnoteReference"/>
          <w:rFonts w:ascii="Times New Roman" w:hAnsi="Times New Roman" w:cs="Times New Roman"/>
          <w:sz w:val="24"/>
          <w:szCs w:val="24"/>
        </w:rPr>
        <w:footnoteReference w:id="8"/>
      </w:r>
    </w:p>
    <w:p w14:paraId="0F9C9145" w14:textId="46A46244" w:rsidR="004A773D" w:rsidRDefault="004A773D" w:rsidP="004A773D">
      <w:pPr>
        <w:pStyle w:val="ListParagraph"/>
        <w:numPr>
          <w:ilvl w:val="0"/>
          <w:numId w:val="1"/>
        </w:numPr>
        <w:jc w:val="both"/>
        <w:rPr>
          <w:rFonts w:ascii="Times New Roman" w:hAnsi="Times New Roman" w:cs="Times New Roman"/>
          <w:sz w:val="24"/>
          <w:szCs w:val="24"/>
        </w:rPr>
      </w:pPr>
      <w:r w:rsidRPr="00444A67">
        <w:rPr>
          <w:rFonts w:ascii="Times New Roman" w:hAnsi="Times New Roman" w:cs="Times New Roman"/>
          <w:sz w:val="24"/>
          <w:szCs w:val="24"/>
        </w:rPr>
        <w:t xml:space="preserve">The essential factor </w:t>
      </w:r>
      <w:r w:rsidR="00444A67">
        <w:rPr>
          <w:rFonts w:ascii="Times New Roman" w:hAnsi="Times New Roman" w:cs="Times New Roman"/>
          <w:sz w:val="24"/>
          <w:szCs w:val="24"/>
        </w:rPr>
        <w:t xml:space="preserve">therefore </w:t>
      </w:r>
      <w:r w:rsidRPr="00444A67">
        <w:rPr>
          <w:rFonts w:ascii="Times New Roman" w:hAnsi="Times New Roman" w:cs="Times New Roman"/>
          <w:sz w:val="24"/>
          <w:szCs w:val="24"/>
        </w:rPr>
        <w:t>in the view of the Working Group is the ability to arrive at an independent assessment of whether a particular place is one of dep</w:t>
      </w:r>
      <w:r w:rsidRPr="00444A67">
        <w:rPr>
          <w:rFonts w:ascii="Times New Roman" w:hAnsi="Times New Roman" w:cs="Times New Roman"/>
          <w:sz w:val="24"/>
          <w:szCs w:val="24"/>
        </w:rPr>
        <w:lastRenderedPageBreak/>
        <w:t>rivation of liberty since “[S]uch an assessment cannot rest solely upon the assessment of the local authorities as to whether the place is one of deprivation of liberty”.</w:t>
      </w:r>
      <w:r w:rsidRPr="00444A67">
        <w:rPr>
          <w:rStyle w:val="FootnoteReference"/>
          <w:rFonts w:ascii="Times New Roman" w:hAnsi="Times New Roman" w:cs="Times New Roman"/>
          <w:sz w:val="24"/>
          <w:szCs w:val="24"/>
        </w:rPr>
        <w:footnoteReference w:id="9"/>
      </w:r>
    </w:p>
    <w:p w14:paraId="2B5A963C" w14:textId="6B554083" w:rsidR="003341A1" w:rsidRDefault="0028424F" w:rsidP="004A773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Consequently during its country visits the Working Group always seeks to visit</w:t>
      </w:r>
      <w:r w:rsidR="00261576">
        <w:rPr>
          <w:rFonts w:ascii="Times New Roman" w:hAnsi="Times New Roman" w:cs="Times New Roman"/>
          <w:sz w:val="24"/>
          <w:szCs w:val="24"/>
        </w:rPr>
        <w:t xml:space="preserve"> </w:t>
      </w:r>
      <w:r>
        <w:rPr>
          <w:rFonts w:ascii="Times New Roman" w:hAnsi="Times New Roman" w:cs="Times New Roman"/>
          <w:sz w:val="24"/>
          <w:szCs w:val="24"/>
        </w:rPr>
        <w:t xml:space="preserve">places where older persons are or may be deprived of </w:t>
      </w:r>
      <w:r w:rsidR="00261576">
        <w:rPr>
          <w:rFonts w:ascii="Times New Roman" w:hAnsi="Times New Roman" w:cs="Times New Roman"/>
          <w:sz w:val="24"/>
          <w:szCs w:val="24"/>
        </w:rPr>
        <w:t>their</w:t>
      </w:r>
      <w:r>
        <w:rPr>
          <w:rFonts w:ascii="Times New Roman" w:hAnsi="Times New Roman" w:cs="Times New Roman"/>
          <w:sz w:val="24"/>
          <w:szCs w:val="24"/>
        </w:rPr>
        <w:t xml:space="preserve"> liberty in the wide variety of contexts </w:t>
      </w:r>
      <w:r w:rsidR="00261576">
        <w:rPr>
          <w:rFonts w:ascii="Times New Roman" w:hAnsi="Times New Roman" w:cs="Times New Roman"/>
          <w:sz w:val="24"/>
          <w:szCs w:val="24"/>
        </w:rPr>
        <w:t>to</w:t>
      </w:r>
      <w:r>
        <w:rPr>
          <w:rFonts w:ascii="Times New Roman" w:hAnsi="Times New Roman" w:cs="Times New Roman"/>
          <w:sz w:val="24"/>
          <w:szCs w:val="24"/>
        </w:rPr>
        <w:t xml:space="preserve"> assess whether these situations amount to detention. It is paramount that all situations of deprivation of liberty are subjected to effective safeguards against arbitrary deprivation of liberty. </w:t>
      </w:r>
    </w:p>
    <w:p w14:paraId="0F85EBD4" w14:textId="75D28306" w:rsidR="003341A1" w:rsidRDefault="003341A1" w:rsidP="003341A1">
      <w:pPr>
        <w:ind w:left="360"/>
        <w:jc w:val="both"/>
        <w:rPr>
          <w:rStyle w:val="sb8d990e2"/>
          <w:rFonts w:ascii="Times New Roman" w:hAnsi="Times New Roman" w:cs="Times New Roman"/>
          <w:sz w:val="24"/>
          <w:szCs w:val="24"/>
        </w:rPr>
      </w:pPr>
    </w:p>
    <w:sectPr w:rsidR="003341A1">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F091" w16cex:dateUtc="2022-03-23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114C5" w16cid:durableId="25E4F0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396FF" w14:textId="77777777" w:rsidR="004C7382" w:rsidRDefault="004C7382" w:rsidP="009C659D">
      <w:pPr>
        <w:spacing w:after="0" w:line="240" w:lineRule="auto"/>
      </w:pPr>
      <w:r>
        <w:separator/>
      </w:r>
    </w:p>
  </w:endnote>
  <w:endnote w:type="continuationSeparator" w:id="0">
    <w:p w14:paraId="4A7F55DE" w14:textId="77777777" w:rsidR="004C7382" w:rsidRDefault="004C7382" w:rsidP="009C6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61480178"/>
      <w:docPartObj>
        <w:docPartGallery w:val="Page Numbers (Bottom of Page)"/>
        <w:docPartUnique/>
      </w:docPartObj>
    </w:sdtPr>
    <w:sdtEndPr>
      <w:rPr>
        <w:noProof/>
      </w:rPr>
    </w:sdtEndPr>
    <w:sdtContent>
      <w:p w14:paraId="4D661266" w14:textId="601BA4F9" w:rsidR="00261576" w:rsidRPr="00261576" w:rsidRDefault="00261576">
        <w:pPr>
          <w:pStyle w:val="Footer"/>
          <w:jc w:val="right"/>
          <w:rPr>
            <w:rFonts w:ascii="Times New Roman" w:hAnsi="Times New Roman" w:cs="Times New Roman"/>
            <w:sz w:val="24"/>
            <w:szCs w:val="24"/>
          </w:rPr>
        </w:pPr>
        <w:r w:rsidRPr="00261576">
          <w:rPr>
            <w:rFonts w:ascii="Times New Roman" w:hAnsi="Times New Roman" w:cs="Times New Roman"/>
            <w:sz w:val="24"/>
            <w:szCs w:val="24"/>
          </w:rPr>
          <w:fldChar w:fldCharType="begin"/>
        </w:r>
        <w:r w:rsidRPr="00261576">
          <w:rPr>
            <w:rFonts w:ascii="Times New Roman" w:hAnsi="Times New Roman" w:cs="Times New Roman"/>
            <w:sz w:val="24"/>
            <w:szCs w:val="24"/>
          </w:rPr>
          <w:instrText xml:space="preserve"> PAGE   \* MERGEFORMAT </w:instrText>
        </w:r>
        <w:r w:rsidRPr="00261576">
          <w:rPr>
            <w:rFonts w:ascii="Times New Roman" w:hAnsi="Times New Roman" w:cs="Times New Roman"/>
            <w:sz w:val="24"/>
            <w:szCs w:val="24"/>
          </w:rPr>
          <w:fldChar w:fldCharType="separate"/>
        </w:r>
        <w:r w:rsidR="00317147">
          <w:rPr>
            <w:rFonts w:ascii="Times New Roman" w:hAnsi="Times New Roman" w:cs="Times New Roman"/>
            <w:noProof/>
            <w:sz w:val="24"/>
            <w:szCs w:val="24"/>
          </w:rPr>
          <w:t>1</w:t>
        </w:r>
        <w:r w:rsidRPr="00261576">
          <w:rPr>
            <w:rFonts w:ascii="Times New Roman" w:hAnsi="Times New Roman" w:cs="Times New Roman"/>
            <w:noProof/>
            <w:sz w:val="24"/>
            <w:szCs w:val="24"/>
          </w:rPr>
          <w:fldChar w:fldCharType="end"/>
        </w:r>
      </w:p>
    </w:sdtContent>
  </w:sdt>
  <w:p w14:paraId="3501E495" w14:textId="77777777" w:rsidR="00261576" w:rsidRPr="00261576" w:rsidRDefault="0026157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C97E" w14:textId="77777777" w:rsidR="004C7382" w:rsidRDefault="004C7382" w:rsidP="009C659D">
      <w:pPr>
        <w:spacing w:after="0" w:line="240" w:lineRule="auto"/>
      </w:pPr>
      <w:r>
        <w:separator/>
      </w:r>
    </w:p>
  </w:footnote>
  <w:footnote w:type="continuationSeparator" w:id="0">
    <w:p w14:paraId="132AA28A" w14:textId="77777777" w:rsidR="004C7382" w:rsidRDefault="004C7382" w:rsidP="009C659D">
      <w:pPr>
        <w:spacing w:after="0" w:line="240" w:lineRule="auto"/>
      </w:pPr>
      <w:r>
        <w:continuationSeparator/>
      </w:r>
    </w:p>
  </w:footnote>
  <w:footnote w:id="1">
    <w:p w14:paraId="0184DD94" w14:textId="77777777" w:rsidR="009C659D" w:rsidRPr="00261576" w:rsidRDefault="009C659D" w:rsidP="009C659D">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The Working Group on Arbitrary Detention. Deliberation No. 1 on House Arrest, E/CN.4/1993/24, 12 January 1993.</w:t>
      </w:r>
    </w:p>
  </w:footnote>
  <w:footnote w:id="2">
    <w:p w14:paraId="61352778" w14:textId="77777777" w:rsidR="009C659D" w:rsidRPr="00261576" w:rsidRDefault="009C659D" w:rsidP="009C659D">
      <w:pPr>
        <w:pStyle w:val="FootnoteText"/>
        <w:tabs>
          <w:tab w:val="left" w:pos="990"/>
        </w:tabs>
        <w:spacing w:before="60"/>
        <w:ind w:right="1138"/>
        <w:jc w:val="both"/>
        <w:rPr>
          <w:rFonts w:ascii="Times New Roman" w:hAnsi="Times New Roman" w:cs="Times New Roman"/>
          <w:lang w:val="en-US"/>
        </w:rPr>
      </w:pPr>
      <w:r w:rsidRPr="00261576">
        <w:rPr>
          <w:rStyle w:val="FootnoteReference"/>
          <w:rFonts w:ascii="Times New Roman" w:hAnsi="Times New Roman" w:cs="Times New Roman"/>
        </w:rPr>
        <w:footnoteRef/>
      </w:r>
      <w:r w:rsidRPr="00261576">
        <w:rPr>
          <w:rFonts w:ascii="Times New Roman" w:hAnsi="Times New Roman" w:cs="Times New Roman"/>
        </w:rPr>
        <w:t xml:space="preserve"> </w:t>
      </w:r>
      <w:r w:rsidRPr="00261576">
        <w:rPr>
          <w:rFonts w:ascii="Times New Roman" w:hAnsi="Times New Roman" w:cs="Times New Roman"/>
          <w:lang w:val="en-US"/>
        </w:rPr>
        <w:t xml:space="preserve">See A/HRC/36/37, para. 56. See also A/HRC/WGAD/2020/22 at para 62. </w:t>
      </w:r>
    </w:p>
  </w:footnote>
  <w:footnote w:id="3">
    <w:p w14:paraId="29962D45" w14:textId="77777777" w:rsidR="009C659D" w:rsidRPr="00261576" w:rsidRDefault="009C659D" w:rsidP="009C659D">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w:t>
      </w:r>
      <w:r w:rsidRPr="00261576">
        <w:rPr>
          <w:rFonts w:ascii="Times New Roman" w:hAnsi="Times New Roman" w:cs="Times New Roman"/>
          <w:lang w:val="en-US"/>
        </w:rPr>
        <w:t xml:space="preserve">A/HRC/WGAD/2020/22 at para 65. </w:t>
      </w:r>
    </w:p>
  </w:footnote>
  <w:footnote w:id="4">
    <w:p w14:paraId="78658B1C" w14:textId="77777777" w:rsidR="00444A67" w:rsidRPr="00261576" w:rsidRDefault="00444A67" w:rsidP="00444A67">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A/HRC/36/37 at para 51.</w:t>
      </w:r>
    </w:p>
  </w:footnote>
  <w:footnote w:id="5">
    <w:p w14:paraId="6A96B305" w14:textId="77777777" w:rsidR="00444A67" w:rsidRPr="00261576" w:rsidRDefault="00444A67" w:rsidP="00444A67">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w:t>
      </w:r>
      <w:r w:rsidRPr="00261576">
        <w:rPr>
          <w:rFonts w:ascii="Times New Roman" w:hAnsi="Times New Roman" w:cs="Times New Roman"/>
          <w:lang w:val="en-US"/>
        </w:rPr>
        <w:t>A/HRC/WGAD/2020/22 at p</w:t>
      </w:r>
      <w:r w:rsidRPr="00261576">
        <w:rPr>
          <w:rFonts w:ascii="Times New Roman" w:hAnsi="Times New Roman" w:cs="Times New Roman"/>
        </w:rPr>
        <w:t xml:space="preserve">ara 69. </w:t>
      </w:r>
    </w:p>
  </w:footnote>
  <w:footnote w:id="6">
    <w:p w14:paraId="3195451B" w14:textId="3B0B74C7" w:rsidR="00446FC0" w:rsidRPr="00261576" w:rsidRDefault="00446FC0">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w:t>
      </w:r>
      <w:r w:rsidR="0099661E" w:rsidRPr="00261576">
        <w:rPr>
          <w:rFonts w:ascii="Times New Roman" w:hAnsi="Times New Roman" w:cs="Times New Roman"/>
        </w:rPr>
        <w:t xml:space="preserve">A/HRC/42/39 at paras 53-58. </w:t>
      </w:r>
    </w:p>
  </w:footnote>
  <w:footnote w:id="7">
    <w:p w14:paraId="420E9FBA" w14:textId="77777777" w:rsidR="00444A67" w:rsidRPr="00261576" w:rsidRDefault="00444A67" w:rsidP="00444A67">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w:t>
      </w:r>
      <w:r w:rsidRPr="00261576">
        <w:rPr>
          <w:rFonts w:ascii="Times New Roman" w:hAnsi="Times New Roman" w:cs="Times New Roman"/>
          <w:lang w:val="en-US"/>
        </w:rPr>
        <w:t>A/HRC/WGAD/2020/22 at p</w:t>
      </w:r>
      <w:r w:rsidRPr="00261576">
        <w:rPr>
          <w:rFonts w:ascii="Times New Roman" w:hAnsi="Times New Roman" w:cs="Times New Roman"/>
        </w:rPr>
        <w:t xml:space="preserve">aras 67-70. </w:t>
      </w:r>
    </w:p>
  </w:footnote>
  <w:footnote w:id="8">
    <w:p w14:paraId="28F48352" w14:textId="5F0206CB" w:rsidR="00444A67" w:rsidRPr="00261576" w:rsidRDefault="00444A67">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A/HRC/42/39/Add.1 at para 3.</w:t>
      </w:r>
    </w:p>
  </w:footnote>
  <w:footnote w:id="9">
    <w:p w14:paraId="459C226A" w14:textId="4E248D90" w:rsidR="004A773D" w:rsidRPr="00261576" w:rsidRDefault="004A773D">
      <w:pPr>
        <w:pStyle w:val="FootnoteText"/>
        <w:rPr>
          <w:rFonts w:ascii="Times New Roman" w:hAnsi="Times New Roman" w:cs="Times New Roman"/>
        </w:rPr>
      </w:pPr>
      <w:r w:rsidRPr="00261576">
        <w:rPr>
          <w:rStyle w:val="FootnoteReference"/>
          <w:rFonts w:ascii="Times New Roman" w:hAnsi="Times New Roman" w:cs="Times New Roman"/>
        </w:rPr>
        <w:footnoteRef/>
      </w:r>
      <w:r w:rsidRPr="00261576">
        <w:rPr>
          <w:rFonts w:ascii="Times New Roman" w:hAnsi="Times New Roman" w:cs="Times New Roman"/>
        </w:rPr>
        <w:t xml:space="preserve"> A/HRC/42/39 at para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22D73"/>
    <w:multiLevelType w:val="hybridMultilevel"/>
    <w:tmpl w:val="53766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9D"/>
    <w:rsid w:val="000309FB"/>
    <w:rsid w:val="00261576"/>
    <w:rsid w:val="0028424F"/>
    <w:rsid w:val="00317147"/>
    <w:rsid w:val="003341A1"/>
    <w:rsid w:val="00413A59"/>
    <w:rsid w:val="00444A67"/>
    <w:rsid w:val="00446FC0"/>
    <w:rsid w:val="004A773D"/>
    <w:rsid w:val="004C7382"/>
    <w:rsid w:val="0099661E"/>
    <w:rsid w:val="009C659D"/>
    <w:rsid w:val="00B1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4428"/>
  <w15:chartTrackingRefBased/>
  <w15:docId w15:val="{6FD30F69-847F-4D65-B851-0BDF9D09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basedOn w:val="DefaultParagraphFont"/>
    <w:link w:val="FootnoteText"/>
    <w:locked/>
    <w:rsid w:val="009C659D"/>
    <w:rPr>
      <w:sz w:val="20"/>
      <w:szCs w:val="20"/>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nhideWhenUsed/>
    <w:qFormat/>
    <w:rsid w:val="009C659D"/>
    <w:pPr>
      <w:spacing w:after="0" w:line="240" w:lineRule="auto"/>
    </w:pPr>
    <w:rPr>
      <w:sz w:val="20"/>
      <w:szCs w:val="20"/>
    </w:rPr>
  </w:style>
  <w:style w:type="character" w:customStyle="1" w:styleId="FootnoteTextChar1">
    <w:name w:val="Footnote Text Char1"/>
    <w:basedOn w:val="DefaultParagraphFont"/>
    <w:uiPriority w:val="99"/>
    <w:semiHidden/>
    <w:rsid w:val="009C659D"/>
    <w:rPr>
      <w:sz w:val="20"/>
      <w:szCs w:val="20"/>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basedOn w:val="DefaultParagraphFont"/>
    <w:link w:val="4GChar"/>
    <w:uiPriority w:val="99"/>
    <w:unhideWhenUsed/>
    <w:qFormat/>
    <w:rsid w:val="009C659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9C659D"/>
    <w:pPr>
      <w:spacing w:after="0" w:line="240" w:lineRule="auto"/>
      <w:jc w:val="both"/>
    </w:pPr>
    <w:rPr>
      <w:vertAlign w:val="superscript"/>
    </w:rPr>
  </w:style>
  <w:style w:type="character" w:customStyle="1" w:styleId="sb8d990e2">
    <w:name w:val="sb8d990e2"/>
    <w:basedOn w:val="DefaultParagraphFont"/>
    <w:rsid w:val="009C659D"/>
  </w:style>
  <w:style w:type="paragraph" w:styleId="ListParagraph">
    <w:name w:val="List Paragraph"/>
    <w:basedOn w:val="Normal"/>
    <w:uiPriority w:val="34"/>
    <w:qFormat/>
    <w:rsid w:val="009C659D"/>
    <w:pPr>
      <w:ind w:left="720"/>
      <w:contextualSpacing/>
    </w:pPr>
  </w:style>
  <w:style w:type="character" w:styleId="Hyperlink">
    <w:name w:val="Hyperlink"/>
    <w:basedOn w:val="DefaultParagraphFont"/>
    <w:uiPriority w:val="99"/>
    <w:unhideWhenUsed/>
    <w:rsid w:val="009C659D"/>
    <w:rPr>
      <w:color w:val="0563C1" w:themeColor="hyperlink"/>
      <w:u w:val="single"/>
    </w:rPr>
  </w:style>
  <w:style w:type="character" w:customStyle="1" w:styleId="UnresolvedMention">
    <w:name w:val="Unresolved Mention"/>
    <w:basedOn w:val="DefaultParagraphFont"/>
    <w:uiPriority w:val="99"/>
    <w:semiHidden/>
    <w:unhideWhenUsed/>
    <w:rsid w:val="009C659D"/>
    <w:rPr>
      <w:color w:val="605E5C"/>
      <w:shd w:val="clear" w:color="auto" w:fill="E1DFDD"/>
    </w:rPr>
  </w:style>
  <w:style w:type="paragraph" w:styleId="Header">
    <w:name w:val="header"/>
    <w:basedOn w:val="Normal"/>
    <w:link w:val="HeaderChar"/>
    <w:uiPriority w:val="99"/>
    <w:unhideWhenUsed/>
    <w:rsid w:val="00261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576"/>
  </w:style>
  <w:style w:type="paragraph" w:styleId="Footer">
    <w:name w:val="footer"/>
    <w:basedOn w:val="Normal"/>
    <w:link w:val="FooterChar"/>
    <w:uiPriority w:val="99"/>
    <w:unhideWhenUsed/>
    <w:rsid w:val="00261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576"/>
  </w:style>
  <w:style w:type="character" w:styleId="CommentReference">
    <w:name w:val="annotation reference"/>
    <w:basedOn w:val="DefaultParagraphFont"/>
    <w:uiPriority w:val="99"/>
    <w:semiHidden/>
    <w:unhideWhenUsed/>
    <w:rsid w:val="00261576"/>
    <w:rPr>
      <w:sz w:val="16"/>
      <w:szCs w:val="16"/>
    </w:rPr>
  </w:style>
  <w:style w:type="paragraph" w:styleId="CommentText">
    <w:name w:val="annotation text"/>
    <w:basedOn w:val="Normal"/>
    <w:link w:val="CommentTextChar"/>
    <w:uiPriority w:val="99"/>
    <w:unhideWhenUsed/>
    <w:rsid w:val="00261576"/>
    <w:pPr>
      <w:spacing w:line="240" w:lineRule="auto"/>
    </w:pPr>
    <w:rPr>
      <w:sz w:val="20"/>
      <w:szCs w:val="20"/>
    </w:rPr>
  </w:style>
  <w:style w:type="character" w:customStyle="1" w:styleId="CommentTextChar">
    <w:name w:val="Comment Text Char"/>
    <w:basedOn w:val="DefaultParagraphFont"/>
    <w:link w:val="CommentText"/>
    <w:uiPriority w:val="99"/>
    <w:rsid w:val="00261576"/>
    <w:rPr>
      <w:sz w:val="20"/>
      <w:szCs w:val="20"/>
    </w:rPr>
  </w:style>
  <w:style w:type="paragraph" w:styleId="CommentSubject">
    <w:name w:val="annotation subject"/>
    <w:basedOn w:val="CommentText"/>
    <w:next w:val="CommentText"/>
    <w:link w:val="CommentSubjectChar"/>
    <w:uiPriority w:val="99"/>
    <w:semiHidden/>
    <w:unhideWhenUsed/>
    <w:rsid w:val="00261576"/>
    <w:rPr>
      <w:b/>
      <w:bCs/>
    </w:rPr>
  </w:style>
  <w:style w:type="character" w:customStyle="1" w:styleId="CommentSubjectChar">
    <w:name w:val="Comment Subject Char"/>
    <w:basedOn w:val="CommentTextChar"/>
    <w:link w:val="CommentSubject"/>
    <w:uiPriority w:val="99"/>
    <w:semiHidden/>
    <w:rsid w:val="00261576"/>
    <w:rPr>
      <w:b/>
      <w:bCs/>
      <w:sz w:val="20"/>
      <w:szCs w:val="20"/>
    </w:rPr>
  </w:style>
  <w:style w:type="paragraph" w:styleId="BalloonText">
    <w:name w:val="Balloon Text"/>
    <w:basedOn w:val="Normal"/>
    <w:link w:val="BalloonTextChar"/>
    <w:uiPriority w:val="99"/>
    <w:semiHidden/>
    <w:unhideWhenUsed/>
    <w:rsid w:val="00030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calls-input/report-older-persons-deprived-their-liber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F80E-E0AE-48BE-9A78-524C3F78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Steinerte</dc:creator>
  <cp:keywords/>
  <dc:description/>
  <cp:lastModifiedBy>Lucie Viersma</cp:lastModifiedBy>
  <cp:revision>2</cp:revision>
  <dcterms:created xsi:type="dcterms:W3CDTF">2022-04-06T13:41:00Z</dcterms:created>
  <dcterms:modified xsi:type="dcterms:W3CDTF">2022-04-06T13:41:00Z</dcterms:modified>
</cp:coreProperties>
</file>