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6A759DB1" w14:textId="77777777" w:rsidTr="66E41A86">
        <w:trPr>
          <w:trHeight w:val="851"/>
        </w:trPr>
        <w:tc>
          <w:tcPr>
            <w:tcW w:w="1259" w:type="dxa"/>
            <w:tcBorders>
              <w:top w:val="nil"/>
              <w:left w:val="nil"/>
              <w:bottom w:val="single" w:sz="4" w:space="0" w:color="auto"/>
              <w:right w:val="nil"/>
            </w:tcBorders>
          </w:tcPr>
          <w:p w14:paraId="493DA82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D693064" w14:textId="490E6DD2" w:rsidR="00446DE4" w:rsidRPr="00963CBA" w:rsidRDefault="00446DE4" w:rsidP="00562621">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7726411" w14:textId="27D7F570" w:rsidR="00446DE4" w:rsidRPr="00DE3EC0" w:rsidRDefault="003A000C" w:rsidP="003A000C">
            <w:pPr>
              <w:jc w:val="right"/>
            </w:pPr>
            <w:r w:rsidRPr="003A000C">
              <w:rPr>
                <w:sz w:val="40"/>
              </w:rPr>
              <w:t>A</w:t>
            </w:r>
            <w:r>
              <w:t>/HRC/50</w:t>
            </w:r>
            <w:r w:rsidR="00A05446">
              <w:t>/19</w:t>
            </w:r>
          </w:p>
        </w:tc>
      </w:tr>
      <w:tr w:rsidR="003107FA" w14:paraId="414AC67C" w14:textId="77777777" w:rsidTr="66E41A86">
        <w:trPr>
          <w:trHeight w:val="2835"/>
        </w:trPr>
        <w:tc>
          <w:tcPr>
            <w:tcW w:w="1259" w:type="dxa"/>
            <w:tcBorders>
              <w:top w:val="single" w:sz="4" w:space="0" w:color="auto"/>
              <w:left w:val="nil"/>
              <w:bottom w:val="single" w:sz="12" w:space="0" w:color="auto"/>
              <w:right w:val="nil"/>
            </w:tcBorders>
          </w:tcPr>
          <w:p w14:paraId="3D2F6E03" w14:textId="7DCFD230"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F9C3358" w14:textId="287B0ACA" w:rsidR="003107FA" w:rsidRPr="00B3317B" w:rsidRDefault="008529D8"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6F954783" w14:textId="77777777" w:rsidR="003107FA" w:rsidRDefault="003A000C" w:rsidP="003A000C">
            <w:pPr>
              <w:spacing w:before="240" w:line="240" w:lineRule="exact"/>
            </w:pPr>
            <w:r>
              <w:t>Distr.: General</w:t>
            </w:r>
          </w:p>
          <w:p w14:paraId="3E0AF3B0" w14:textId="461A8D0C" w:rsidR="003A000C" w:rsidRDefault="0000400C" w:rsidP="003A000C">
            <w:pPr>
              <w:spacing w:line="240" w:lineRule="exact"/>
            </w:pPr>
            <w:r>
              <w:t>16 June</w:t>
            </w:r>
            <w:r w:rsidR="007B3409">
              <w:t xml:space="preserve"> </w:t>
            </w:r>
            <w:r w:rsidR="003A000C">
              <w:t>2022</w:t>
            </w:r>
          </w:p>
          <w:p w14:paraId="6275F442" w14:textId="77777777" w:rsidR="003A000C" w:rsidRDefault="003A000C" w:rsidP="003A000C">
            <w:pPr>
              <w:spacing w:line="240" w:lineRule="exact"/>
            </w:pPr>
          </w:p>
          <w:p w14:paraId="066A9109" w14:textId="622875E5" w:rsidR="003A000C" w:rsidRDefault="003A000C" w:rsidP="003A000C">
            <w:pPr>
              <w:spacing w:line="240" w:lineRule="exact"/>
            </w:pPr>
            <w:r>
              <w:t>Original: English</w:t>
            </w:r>
          </w:p>
        </w:tc>
      </w:tr>
    </w:tbl>
    <w:p w14:paraId="58265AA5" w14:textId="77777777" w:rsidR="007B3409" w:rsidRPr="004B2506" w:rsidRDefault="007B3409" w:rsidP="007B3409">
      <w:pPr>
        <w:spacing w:before="120"/>
        <w:rPr>
          <w:b/>
          <w:bCs/>
          <w:sz w:val="24"/>
          <w:szCs w:val="24"/>
        </w:rPr>
      </w:pPr>
      <w:r w:rsidRPr="004B2506">
        <w:rPr>
          <w:b/>
          <w:bCs/>
          <w:sz w:val="24"/>
          <w:szCs w:val="24"/>
        </w:rPr>
        <w:t>Human Rights Council</w:t>
      </w:r>
    </w:p>
    <w:p w14:paraId="527048DA" w14:textId="77777777" w:rsidR="007B3409" w:rsidRDefault="007B3409" w:rsidP="007B3409">
      <w:pPr>
        <w:rPr>
          <w:b/>
          <w:bCs/>
        </w:rPr>
      </w:pPr>
      <w:r>
        <w:rPr>
          <w:b/>
          <w:bCs/>
        </w:rPr>
        <w:t>Fiftieth</w:t>
      </w:r>
      <w:r w:rsidRPr="004B2506">
        <w:rPr>
          <w:b/>
          <w:bCs/>
        </w:rPr>
        <w:t xml:space="preserve"> session</w:t>
      </w:r>
    </w:p>
    <w:p w14:paraId="6D885F84" w14:textId="4241C3D3" w:rsidR="00CF586F" w:rsidRDefault="007B3409" w:rsidP="007B3409">
      <w:r>
        <w:t>Agenda item 2</w:t>
      </w:r>
    </w:p>
    <w:p w14:paraId="700258DB" w14:textId="1DE9729F" w:rsidR="007B3409" w:rsidRDefault="007B3409" w:rsidP="004C2AAB">
      <w:pPr>
        <w:spacing w:after="120"/>
        <w:rPr>
          <w:b/>
          <w:bCs/>
        </w:rPr>
      </w:pPr>
      <w:r w:rsidRPr="00853794">
        <w:rPr>
          <w:b/>
          <w:bCs/>
        </w:rPr>
        <w:t>Annual report of the United Nations High Commissioner</w:t>
      </w:r>
      <w:r>
        <w:rPr>
          <w:b/>
          <w:bCs/>
        </w:rPr>
        <w:t xml:space="preserve"> </w:t>
      </w:r>
      <w:r w:rsidRPr="00853794">
        <w:rPr>
          <w:b/>
          <w:bCs/>
        </w:rPr>
        <w:t xml:space="preserve">for </w:t>
      </w:r>
      <w:r>
        <w:rPr>
          <w:b/>
          <w:bCs/>
        </w:rPr>
        <w:br/>
      </w:r>
      <w:r w:rsidRPr="00853794">
        <w:rPr>
          <w:b/>
          <w:bCs/>
        </w:rPr>
        <w:t>Human Rights and reports of the</w:t>
      </w:r>
      <w:r>
        <w:rPr>
          <w:b/>
          <w:bCs/>
        </w:rPr>
        <w:t xml:space="preserve"> </w:t>
      </w:r>
      <w:r w:rsidRPr="00853794">
        <w:rPr>
          <w:b/>
          <w:bCs/>
        </w:rPr>
        <w:t>Office of the</w:t>
      </w:r>
      <w:r>
        <w:rPr>
          <w:b/>
          <w:bCs/>
        </w:rPr>
        <w:t xml:space="preserve"> </w:t>
      </w:r>
      <w:r>
        <w:rPr>
          <w:b/>
          <w:bCs/>
        </w:rPr>
        <w:br/>
      </w:r>
      <w:r w:rsidRPr="00853794">
        <w:rPr>
          <w:b/>
          <w:bCs/>
        </w:rPr>
        <w:t>High Commissioner and the Secretary-General</w:t>
      </w:r>
    </w:p>
    <w:p w14:paraId="4526D82A" w14:textId="77777777" w:rsidR="0000400C" w:rsidRDefault="0000400C" w:rsidP="0000400C">
      <w:pPr>
        <w:pStyle w:val="H1G"/>
      </w:pPr>
      <w:r>
        <w:tab/>
      </w:r>
      <w:r>
        <w:tab/>
      </w:r>
      <w:r w:rsidR="004C2AAB" w:rsidRPr="004C2AAB">
        <w:t>Situation of human rights in the Islamic Republic of Iran</w:t>
      </w:r>
      <w:bookmarkStart w:id="1" w:name="_Toc536526057"/>
      <w:r w:rsidR="0097759B" w:rsidRPr="0097759B">
        <w:tab/>
      </w:r>
    </w:p>
    <w:p w14:paraId="3F8DB25A" w14:textId="34039A72" w:rsidR="0097759B" w:rsidRDefault="0000400C" w:rsidP="0000400C">
      <w:pPr>
        <w:pStyle w:val="H1G"/>
      </w:pPr>
      <w:r>
        <w:tab/>
      </w:r>
      <w:r>
        <w:tab/>
      </w:r>
      <w:r w:rsidR="0097759B" w:rsidRPr="0097759B">
        <w:t>Report of the Secretary-General</w:t>
      </w:r>
      <w:bookmarkEnd w:id="1"/>
      <w:r w:rsidRPr="0000400C">
        <w:rPr>
          <w:rStyle w:val="FootnoteReference"/>
          <w:b w:val="0"/>
          <w:sz w:val="20"/>
          <w:vertAlign w:val="baseline"/>
        </w:rPr>
        <w:footnoteReference w:customMarkFollows="1" w:id="2"/>
        <w:t>*</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FA5CF4" w14:paraId="7BB8AA40" w14:textId="77777777" w:rsidTr="00D00CFA">
        <w:trPr>
          <w:jc w:val="center"/>
        </w:trPr>
        <w:tc>
          <w:tcPr>
            <w:tcW w:w="9637" w:type="dxa"/>
            <w:shd w:val="clear" w:color="auto" w:fill="auto"/>
          </w:tcPr>
          <w:p w14:paraId="34249D70" w14:textId="77777777" w:rsidR="00FA5CF4" w:rsidRPr="00C6263E" w:rsidRDefault="00FA5CF4" w:rsidP="00D00CFA">
            <w:pPr>
              <w:spacing w:before="240" w:after="120"/>
              <w:ind w:left="255"/>
              <w:rPr>
                <w:i/>
                <w:sz w:val="24"/>
              </w:rPr>
            </w:pPr>
            <w:r w:rsidRPr="00C6263E">
              <w:rPr>
                <w:i/>
                <w:sz w:val="24"/>
              </w:rPr>
              <w:t>Summary</w:t>
            </w:r>
          </w:p>
        </w:tc>
      </w:tr>
      <w:tr w:rsidR="00FA5CF4" w14:paraId="1A81DCCE" w14:textId="77777777" w:rsidTr="00D00CFA">
        <w:trPr>
          <w:jc w:val="center"/>
        </w:trPr>
        <w:tc>
          <w:tcPr>
            <w:tcW w:w="9637" w:type="dxa"/>
            <w:shd w:val="clear" w:color="auto" w:fill="auto"/>
          </w:tcPr>
          <w:p w14:paraId="76684DE9" w14:textId="665B2E0D" w:rsidR="00FA5CF4" w:rsidRDefault="00FA5CF4" w:rsidP="00A66429">
            <w:pPr>
              <w:pStyle w:val="SingleTxtG"/>
              <w:ind w:firstLine="567"/>
            </w:pPr>
            <w:r w:rsidRPr="0097759B">
              <w:rPr>
                <w:bCs/>
              </w:rPr>
              <w:t>The present report is submitted pursuant to General Assembly resolution 76/178, in which the Assembly requested the Secretary-General to submit an interim report on the situation of human rights in the Islamic Republic of Iran to the Human Rights Council at its fiftieth session.</w:t>
            </w:r>
          </w:p>
        </w:tc>
      </w:tr>
      <w:tr w:rsidR="00FA5CF4" w14:paraId="4916A567" w14:textId="77777777" w:rsidTr="00D00CFA">
        <w:trPr>
          <w:jc w:val="center"/>
        </w:trPr>
        <w:tc>
          <w:tcPr>
            <w:tcW w:w="9637" w:type="dxa"/>
            <w:shd w:val="clear" w:color="auto" w:fill="auto"/>
          </w:tcPr>
          <w:p w14:paraId="030099BD" w14:textId="77777777" w:rsidR="00FA5CF4" w:rsidRDefault="00FA5CF4" w:rsidP="00D00CFA"/>
        </w:tc>
      </w:tr>
    </w:tbl>
    <w:p w14:paraId="2AF3A3C2" w14:textId="620906B2" w:rsidR="004823C1" w:rsidRPr="00A273E5" w:rsidRDefault="00011679" w:rsidP="00A273E5">
      <w:pPr>
        <w:pStyle w:val="HChG"/>
      </w:pPr>
      <w:r>
        <w:br w:type="page"/>
      </w:r>
      <w:r w:rsidR="00E25D63" w:rsidRPr="00A273E5">
        <w:lastRenderedPageBreak/>
        <w:tab/>
        <w:t>I.</w:t>
      </w:r>
      <w:r w:rsidR="00E25D63" w:rsidRPr="00A273E5">
        <w:tab/>
        <w:t>Introduction</w:t>
      </w:r>
    </w:p>
    <w:p w14:paraId="5FDE0318" w14:textId="59AFD325" w:rsidR="004823C1" w:rsidRPr="004823C1" w:rsidRDefault="45361C4C" w:rsidP="00CC458B">
      <w:pPr>
        <w:pStyle w:val="ParNoG"/>
      </w:pPr>
      <w:r>
        <w:t xml:space="preserve">The present report is submitted pursuant to General Assembly resolution 76/178, requesting the Secretary-General to submit an interim report on the situation of human rights in the Islamic Republic of Iran to the Human Rights Council at its fiftieth session. The report covers the period between </w:t>
      </w:r>
      <w:r w:rsidR="0091733E">
        <w:t xml:space="preserve">11 </w:t>
      </w:r>
      <w:r>
        <w:t xml:space="preserve">June 2021 to 20 March 2022. </w:t>
      </w:r>
    </w:p>
    <w:p w14:paraId="160AAD95" w14:textId="147AE3BD" w:rsidR="00751F69" w:rsidRDefault="45361C4C" w:rsidP="00CC458B">
      <w:pPr>
        <w:pStyle w:val="ParNoG"/>
      </w:pPr>
      <w:r>
        <w:t>The report contains information from the Government of the Islamic Republic of Iran,</w:t>
      </w:r>
      <w:r w:rsidR="17BD2AE0">
        <w:t xml:space="preserve"> </w:t>
      </w:r>
      <w:r>
        <w:t xml:space="preserve">non-governmental and media organizations and individuals interviewed by the Office of the High Commissioner for Human Rights (OHCHR). It </w:t>
      </w:r>
      <w:r w:rsidR="00AF4580">
        <w:t>also</w:t>
      </w:r>
      <w:r>
        <w:t xml:space="preserve"> draws on observations of United Nations human rights mechanisms. Unless indicated otherwise, the information is based on submissions and testimonies received by OHCHR.</w:t>
      </w:r>
      <w:r w:rsidR="00E60EC4">
        <w:t xml:space="preserve"> </w:t>
      </w:r>
      <w:r w:rsidR="0091733E">
        <w:t>The Government continued to engage with OHCHR and the United Nations human rights mechanisms during the reporting period</w:t>
      </w:r>
      <w:r>
        <w:t>.</w:t>
      </w:r>
      <w:r w:rsidR="00E60EC4">
        <w:t xml:space="preserve"> </w:t>
      </w:r>
      <w:r w:rsidR="0091733E">
        <w:t xml:space="preserve">The Secretary-General acknowledges the comments provided by the Government in response to this report. </w:t>
      </w:r>
      <w:r>
        <w:t xml:space="preserve">However, substantive engagement on the State’s </w:t>
      </w:r>
      <w:r w:rsidR="000E2619">
        <w:t xml:space="preserve">obligations </w:t>
      </w:r>
      <w:r>
        <w:t>under international human rights law remained limited and the level of implementation o</w:t>
      </w:r>
      <w:bookmarkStart w:id="2" w:name="_Toc536526059"/>
      <w:r w:rsidR="5A9D8158">
        <w:t xml:space="preserve">f recommendations </w:t>
      </w:r>
      <w:r w:rsidR="002F1D55">
        <w:t xml:space="preserve">from international human rights mechanisms </w:t>
      </w:r>
      <w:r w:rsidR="5A9D8158">
        <w:t>remained low.</w:t>
      </w:r>
    </w:p>
    <w:p w14:paraId="6C160685" w14:textId="7C2B6FB7" w:rsidR="002F1D55" w:rsidRPr="004823C1" w:rsidRDefault="002F1D55" w:rsidP="00E60EC4">
      <w:pPr>
        <w:pStyle w:val="ParNoG"/>
      </w:pPr>
      <w:r w:rsidRPr="002F1D55">
        <w:t xml:space="preserve">In the reporting period, important social, economic, and political challenges remained. Civic and democratic space continue to be restricted. Activists and human rights defenders operated in a highly volatile and unpredictable environment often facing harassment and arrest. Lack of tangible measures towards achieving accountability for past human rights violations, even with respect to recent events, also undermined trust and social cohesion. </w:t>
      </w:r>
      <w:r w:rsidRPr="007A03E8">
        <w:t>Iran hosts an estimated 800,000 Afghan refugees and additional 2.6 million undocumented Afghans.</w:t>
      </w:r>
      <w:r w:rsidRPr="007A03E8">
        <w:rPr>
          <w:vertAlign w:val="superscript"/>
          <w:lang w:val="fr-CH"/>
        </w:rPr>
        <w:footnoteReference w:id="3"/>
      </w:r>
      <w:r w:rsidRPr="007A03E8">
        <w:t xml:space="preserve"> </w:t>
      </w:r>
      <w:r w:rsidRPr="004823C1">
        <w:t>Significant numbers of Afghan refugees continue</w:t>
      </w:r>
      <w:r>
        <w:t>d</w:t>
      </w:r>
      <w:r w:rsidRPr="004823C1">
        <w:t xml:space="preserve"> to cross the border into Iran, particularly after the Taliban takeover </w:t>
      </w:r>
      <w:r>
        <w:t xml:space="preserve">of Afghanistan </w:t>
      </w:r>
      <w:r w:rsidRPr="004823C1">
        <w:t>in August 2021. UNHCR estimated that over 500,000 Afghans arrived to Iran in 2021.</w:t>
      </w:r>
      <w:r w:rsidRPr="00322FA5">
        <w:rPr>
          <w:rStyle w:val="FootnoteReference"/>
        </w:rPr>
        <w:footnoteReference w:id="4"/>
      </w:r>
      <w:r w:rsidRPr="004823C1">
        <w:t xml:space="preserve"> Iran closed its borders to Afghanistan </w:t>
      </w:r>
      <w:r w:rsidR="00B62F62">
        <w:t>on</w:t>
      </w:r>
      <w:r w:rsidRPr="004823C1">
        <w:t xml:space="preserve"> 16 August 2021, but subsequently </w:t>
      </w:r>
      <w:r w:rsidR="00225FBC">
        <w:t>re-</w:t>
      </w:r>
      <w:r w:rsidRPr="004823C1">
        <w:t xml:space="preserve">opened </w:t>
      </w:r>
      <w:r w:rsidR="00B62F62">
        <w:t>them</w:t>
      </w:r>
      <w:r w:rsidRPr="004823C1">
        <w:t xml:space="preserve"> for Afghan passport-holders with valid visas for Iran. The majority of Afghans fleeing to Iran did so in an irregular manner through unofficial border crossings</w:t>
      </w:r>
      <w:r>
        <w:t>.</w:t>
      </w:r>
      <w:r>
        <w:rPr>
          <w:rStyle w:val="FootnoteReference"/>
        </w:rPr>
        <w:footnoteReference w:id="5"/>
      </w:r>
      <w:r w:rsidRPr="004823C1">
        <w:t>There is a rise of deportations of Afghans from Iran into Afghanistan, despite UNHCR’s non-return advisory.</w:t>
      </w:r>
      <w:r w:rsidRPr="00322FA5">
        <w:rPr>
          <w:rStyle w:val="FootnoteReference"/>
        </w:rPr>
        <w:footnoteReference w:id="6"/>
      </w:r>
      <w:r w:rsidRPr="004823C1">
        <w:t xml:space="preserve"> In 2021, IOM reported that around 1 million Afghans were deported from Iran and Pakistan to Afghanistan, with an estimated 2000 daily deportations from Iran.</w:t>
      </w:r>
      <w:r w:rsidRPr="00322FA5">
        <w:rPr>
          <w:rStyle w:val="FootnoteReference"/>
        </w:rPr>
        <w:footnoteReference w:id="7"/>
      </w:r>
      <w:r w:rsidRPr="004823C1">
        <w:t xml:space="preserve"> </w:t>
      </w:r>
    </w:p>
    <w:p w14:paraId="1EAF7CFF" w14:textId="3E269466" w:rsidR="004823C1" w:rsidRPr="004823C1" w:rsidRDefault="00751F69" w:rsidP="00E60EC4">
      <w:pPr>
        <w:pStyle w:val="HChG"/>
      </w:pPr>
      <w:r>
        <w:lastRenderedPageBreak/>
        <w:tab/>
      </w:r>
      <w:r w:rsidR="004823C1" w:rsidRPr="004823C1">
        <w:t>II.</w:t>
      </w:r>
      <w:r>
        <w:tab/>
      </w:r>
      <w:r w:rsidR="004823C1" w:rsidRPr="004823C1">
        <w:t>Overview of the human rights situation in the Islamic Republic of Iran</w:t>
      </w:r>
      <w:bookmarkEnd w:id="2"/>
    </w:p>
    <w:p w14:paraId="50AA554C" w14:textId="32401368" w:rsidR="004823C1" w:rsidRPr="004823C1" w:rsidRDefault="00E82D38" w:rsidP="00E82D38">
      <w:pPr>
        <w:pStyle w:val="H1G"/>
      </w:pPr>
      <w:r>
        <w:tab/>
      </w:r>
      <w:r w:rsidR="0000400C">
        <w:t>A</w:t>
      </w:r>
      <w:r w:rsidR="004823C1" w:rsidRPr="004823C1">
        <w:t>.</w:t>
      </w:r>
      <w:r>
        <w:tab/>
      </w:r>
      <w:r w:rsidR="004823C1" w:rsidRPr="004823C1">
        <w:t>Death penalty and arbitrary deprivation of life</w:t>
      </w:r>
    </w:p>
    <w:p w14:paraId="319736CD" w14:textId="6917F115" w:rsidR="004823C1" w:rsidRPr="004823C1" w:rsidRDefault="45361C4C" w:rsidP="004262BB">
      <w:pPr>
        <w:pStyle w:val="ParNoG"/>
      </w:pPr>
      <w:r>
        <w:t xml:space="preserve">Numerous testimonies and reports </w:t>
      </w:r>
      <w:r w:rsidR="002F5DA7" w:rsidRPr="002F5DA7">
        <w:t xml:space="preserve">by non-governmental organizations, individuals, victims and their families </w:t>
      </w:r>
      <w:r>
        <w:t xml:space="preserve">were received concerning </w:t>
      </w:r>
      <w:r w:rsidR="002F7BF7">
        <w:t>potential</w:t>
      </w:r>
      <w:r>
        <w:t xml:space="preserve"> violations of the right to life </w:t>
      </w:r>
      <w:r w:rsidR="00CD1016">
        <w:t>allegedly by</w:t>
      </w:r>
      <w:r>
        <w:t xml:space="preserve"> the State, including arbitrary executions, use of deadly force by security forces against peaceful protesters and border couriers, as well as arbitrary deprivation of life in detention as a result of torture or denial of timely access to medical care. A</w:t>
      </w:r>
      <w:r w:rsidR="004A02C2">
        <w:t>s stated by</w:t>
      </w:r>
      <w:r>
        <w:t xml:space="preserve"> the Human Rights Committee, </w:t>
      </w:r>
      <w:r w:rsidR="004262BB" w:rsidRPr="004262BB">
        <w:t xml:space="preserve">States Parties to the </w:t>
      </w:r>
      <w:r w:rsidR="004262BB" w:rsidRPr="004823C1">
        <w:t>International Covenant on Civil and Political Rights (ICCPR)</w:t>
      </w:r>
      <w:r w:rsidR="004262BB" w:rsidRPr="004262BB">
        <w:t xml:space="preserve"> must ensure that those found responsible for violations of certain rights are brought to justice, and failure to do so could in and of itself give rise to a separate breach of the Covenant</w:t>
      </w:r>
      <w:r w:rsidR="004823C1" w:rsidRPr="00322FA5">
        <w:rPr>
          <w:rStyle w:val="FootnoteReference"/>
        </w:rPr>
        <w:footnoteReference w:id="8"/>
      </w:r>
      <w:r w:rsidR="56621011" w:rsidRPr="00E60EC4">
        <w:rPr>
          <w:rStyle w:val="FootnoteReference"/>
          <w:lang w:val="en-US"/>
        </w:rPr>
        <w:t>.</w:t>
      </w:r>
      <w:r>
        <w:t xml:space="preserve"> </w:t>
      </w:r>
    </w:p>
    <w:p w14:paraId="111E296C" w14:textId="59812F91" w:rsidR="004823C1" w:rsidRPr="004823C1" w:rsidRDefault="0079104C" w:rsidP="0079104C">
      <w:pPr>
        <w:pStyle w:val="H23G"/>
      </w:pPr>
      <w:r>
        <w:tab/>
      </w:r>
      <w:r>
        <w:tab/>
      </w:r>
      <w:r w:rsidR="004823C1" w:rsidRPr="004823C1">
        <w:t>Use of the death penalty</w:t>
      </w:r>
    </w:p>
    <w:p w14:paraId="4D27CAA2" w14:textId="7348284C" w:rsidR="004823C1" w:rsidRPr="004823C1" w:rsidRDefault="45361C4C" w:rsidP="00852FB6">
      <w:pPr>
        <w:pStyle w:val="ParNoG"/>
        <w:rPr>
          <w:sz w:val="18"/>
          <w:szCs w:val="18"/>
          <w:vertAlign w:val="superscript"/>
        </w:rPr>
      </w:pPr>
      <w:bookmarkStart w:id="3" w:name="_Hlk99614617"/>
      <w:r w:rsidRPr="004823C1">
        <w:t xml:space="preserve"> </w:t>
      </w:r>
      <w:r w:rsidR="00852FB6" w:rsidRPr="00852FB6">
        <w:t xml:space="preserve"> Non-governmental organisations reported that </w:t>
      </w:r>
      <w:r w:rsidR="00852FB6">
        <w:t>t</w:t>
      </w:r>
      <w:r w:rsidRPr="004823C1">
        <w:t xml:space="preserve">he number of executions in the Islamic Republic of Iran increased in 2021 compared to 2020, including an increase in drug-related executions </w:t>
      </w:r>
      <w:r>
        <w:t>which accounted for over 40 per cent of the cases.</w:t>
      </w:r>
      <w:r w:rsidR="004823C1" w:rsidRPr="73A88EB4">
        <w:rPr>
          <w:rStyle w:val="FootnoteReference"/>
        </w:rPr>
        <w:footnoteReference w:id="9"/>
      </w:r>
      <w:r w:rsidRPr="00E60EC4">
        <w:rPr>
          <w:rStyle w:val="FootnoteReference"/>
          <w:lang w:val="en-US"/>
        </w:rPr>
        <w:t xml:space="preserve"> </w:t>
      </w:r>
      <w:r w:rsidR="006713A7">
        <w:rPr>
          <w:lang w:val="en-US"/>
        </w:rPr>
        <w:t xml:space="preserve"> </w:t>
      </w:r>
      <w:r w:rsidR="006713A7">
        <w:t xml:space="preserve">According to these reports, in </w:t>
      </w:r>
      <w:r>
        <w:t>2021, at least 310 individuals were executed, including at least 14 women, compared to over 260 executed in 2020.</w:t>
      </w:r>
      <w:r w:rsidR="44ADB99E" w:rsidRPr="004823C1">
        <w:t xml:space="preserve"> </w:t>
      </w:r>
      <w:r>
        <w:t xml:space="preserve">The authorities announced </w:t>
      </w:r>
      <w:r w:rsidR="00243FDF">
        <w:t xml:space="preserve">55 </w:t>
      </w:r>
      <w:r w:rsidRPr="004823C1">
        <w:t xml:space="preserve">of the </w:t>
      </w:r>
      <w:r w:rsidRPr="73A88EB4">
        <w:t>executions in 2021</w:t>
      </w:r>
      <w:r w:rsidR="00243FDF">
        <w:rPr>
          <w:rStyle w:val="FootnoteReference"/>
        </w:rPr>
        <w:footnoteReference w:id="10"/>
      </w:r>
      <w:r w:rsidRPr="73A88EB4">
        <w:t xml:space="preserve">. At least four executions followed death sentences based on </w:t>
      </w:r>
      <w:r w:rsidRPr="73A88EB4">
        <w:rPr>
          <w:i/>
          <w:iCs/>
        </w:rPr>
        <w:t>Qassameh</w:t>
      </w:r>
      <w:r w:rsidR="003730BC">
        <w:rPr>
          <w:i/>
          <w:iCs/>
        </w:rPr>
        <w:t xml:space="preserve"> </w:t>
      </w:r>
      <w:r w:rsidR="00211363" w:rsidRPr="00E60EC4">
        <w:rPr>
          <w:color w:val="2B579A"/>
          <w:shd w:val="clear" w:color="auto" w:fill="E6E6E6"/>
        </w:rPr>
        <w:t>(sworn oath)</w:t>
      </w:r>
      <w:r w:rsidR="00211363">
        <w:rPr>
          <w:i/>
          <w:iCs/>
        </w:rPr>
        <w:t xml:space="preserve">. </w:t>
      </w:r>
      <w:r w:rsidRPr="004823C1">
        <w:t xml:space="preserve"> Among those </w:t>
      </w:r>
      <w:r w:rsidR="002C1453">
        <w:t xml:space="preserve">reportedly </w:t>
      </w:r>
      <w:r w:rsidRPr="004823C1">
        <w:t>executed for drug-related offenses were Afghan migrants, including several Afghans in Khorasan Province in October 2021</w:t>
      </w:r>
      <w:r w:rsidR="004823C1" w:rsidRPr="00322FA5">
        <w:rPr>
          <w:rStyle w:val="FootnoteReference"/>
        </w:rPr>
        <w:footnoteReference w:id="11"/>
      </w:r>
      <w:r w:rsidR="007E56B1">
        <w:t xml:space="preserve">. </w:t>
      </w:r>
      <w:r w:rsidR="00437439">
        <w:t>These reports indicate that i</w:t>
      </w:r>
      <w:r w:rsidR="00437439" w:rsidRPr="00782353">
        <w:t xml:space="preserve">n </w:t>
      </w:r>
      <w:r w:rsidRPr="00782353">
        <w:t>2022, the number of executions continued to rise</w:t>
      </w:r>
      <w:r w:rsidR="00F338ED">
        <w:t>:</w:t>
      </w:r>
      <w:r w:rsidR="00F338ED" w:rsidRPr="00782353">
        <w:t xml:space="preserve"> </w:t>
      </w:r>
      <w:r w:rsidR="00F338ED">
        <w:t>b</w:t>
      </w:r>
      <w:r w:rsidR="00F338ED" w:rsidRPr="00782353">
        <w:t xml:space="preserve">etween </w:t>
      </w:r>
      <w:r w:rsidRPr="00782353">
        <w:t>1 January 2022 and 20 March 2022, at least 105 people were executed</w:t>
      </w:r>
      <w:r w:rsidR="00E05DD3">
        <w:t>, and i</w:t>
      </w:r>
      <w:r w:rsidRPr="00782353">
        <w:t xml:space="preserve">n March 2022, 52 prisoners convicted </w:t>
      </w:r>
      <w:r w:rsidR="003555C4">
        <w:t>and se</w:t>
      </w:r>
      <w:r w:rsidR="001578A9">
        <w:t xml:space="preserve">ntenced </w:t>
      </w:r>
      <w:r w:rsidRPr="00782353">
        <w:t xml:space="preserve">to death on drug-related charges were transferred for execution to Shiraz Central Prison. By mid-March, at least 16 of them, including </w:t>
      </w:r>
      <w:r w:rsidR="00BE4D50">
        <w:t>1</w:t>
      </w:r>
      <w:r w:rsidRPr="00782353">
        <w:t xml:space="preserve"> Afghan national</w:t>
      </w:r>
      <w:r w:rsidR="00C44B27">
        <w:t xml:space="preserve"> had been executed</w:t>
      </w:r>
      <w:r w:rsidR="00BF7708">
        <w:t>.</w:t>
      </w:r>
      <w:r w:rsidR="004823C1" w:rsidRPr="00782353">
        <w:rPr>
          <w:rStyle w:val="FootnoteReference"/>
        </w:rPr>
        <w:footnoteReference w:id="12"/>
      </w:r>
      <w:r w:rsidR="00BF7708" w:rsidRPr="00BF7708">
        <w:rPr>
          <w:lang w:val="en-US"/>
        </w:rPr>
        <w:t xml:space="preserve"> </w:t>
      </w:r>
      <w:r w:rsidR="17BD2AE0" w:rsidRPr="73A88EB4">
        <w:t>The Secretary-General reiterates his concern at the high number of death penalty sentences and executions, the inclusion in Iranian law of the death penalty for a range of acts, the imposition of the death penalty in violation of fair trial standards and the lack of official data around executions</w:t>
      </w:r>
      <w:r w:rsidR="00877E75">
        <w:t>.</w:t>
      </w:r>
    </w:p>
    <w:bookmarkEnd w:id="3"/>
    <w:p w14:paraId="0A957DC0" w14:textId="1C9D474E" w:rsidR="004823C1" w:rsidRPr="00E60EC4" w:rsidRDefault="00E60EC4" w:rsidP="00E60EC4">
      <w:pPr>
        <w:pStyle w:val="ParNoG"/>
        <w:rPr>
          <w:rStyle w:val="FootnoteReference"/>
          <w:lang w:val="en-US"/>
        </w:rPr>
      </w:pPr>
      <w:r>
        <w:t>A</w:t>
      </w:r>
      <w:r w:rsidR="4575031C">
        <w:t>rticle 6, para</w:t>
      </w:r>
      <w:r w:rsidR="00617758">
        <w:t xml:space="preserve">graph </w:t>
      </w:r>
      <w:r w:rsidR="4575031C">
        <w:t>2, of ICCPR</w:t>
      </w:r>
      <w:r w:rsidR="17BD2AE0">
        <w:t xml:space="preserve"> states that “In countries which have not abolished the death penalty, sentence of death may be imposed only for the most serious crimes in accordance with the law in force at the time of the commission of the crime and not contrary to the provisions of the present Covenant and to the Convention on the Prevention and Punishment of the Crime of Genocide. This penalty can only be carried out pursuant to a final judgement rendered by a competent court.” The Human Rights Committee has noted that the term “the most serious crimes” must be read restrictively and appertain only to crimes of extreme gravity involving intentional killing.</w:t>
      </w:r>
      <w:r w:rsidR="004823C1" w:rsidRPr="00322FA5">
        <w:rPr>
          <w:rStyle w:val="FootnoteReference"/>
        </w:rPr>
        <w:footnoteReference w:id="13"/>
      </w:r>
      <w:r>
        <w:rPr>
          <w:lang w:val="fr-CH"/>
        </w:rPr>
        <w:t>I</w:t>
      </w:r>
      <w:r w:rsidR="45361C4C">
        <w:t xml:space="preserve">n the reporting period, the death penalty was imposed for charges including: “spreading corruption on earth”; drug-related </w:t>
      </w:r>
      <w:r w:rsidR="4575031C" w:rsidRPr="004823C1">
        <w:t>offences</w:t>
      </w:r>
      <w:r w:rsidR="45361C4C" w:rsidRPr="00782353">
        <w:t xml:space="preserve">; adultery; same-sex relations; </w:t>
      </w:r>
      <w:r w:rsidR="45361C4C" w:rsidRPr="004823C1">
        <w:t>non-intentional murder; “baghy</w:t>
      </w:r>
      <w:r w:rsidR="45361C4C">
        <w:t>”</w:t>
      </w:r>
      <w:r w:rsidR="4575031C" w:rsidRPr="004823C1">
        <w:t xml:space="preserve"> (armed rebellion)</w:t>
      </w:r>
      <w:r w:rsidR="45361C4C" w:rsidRPr="004823C1">
        <w:t xml:space="preserve">; rape; and </w:t>
      </w:r>
      <w:r w:rsidR="45361C4C" w:rsidRPr="004823C1">
        <w:lastRenderedPageBreak/>
        <w:t>“moharebeh</w:t>
      </w:r>
      <w:r w:rsidR="45361C4C">
        <w:t>”</w:t>
      </w:r>
      <w:r w:rsidR="4575031C" w:rsidRPr="004823C1">
        <w:t xml:space="preserve"> (taking up arms to take lives or property and to create fear in the public). In the reporting period, charges carrying the death penalty were brought against protesters.</w:t>
      </w:r>
      <w:r w:rsidR="00D82044">
        <w:rPr>
          <w:rStyle w:val="FootnoteReference"/>
        </w:rPr>
        <w:footnoteReference w:id="14"/>
      </w:r>
    </w:p>
    <w:p w14:paraId="2405DA83" w14:textId="013DBF6F" w:rsidR="004823C1" w:rsidRPr="004823C1" w:rsidRDefault="45361C4C" w:rsidP="00E60284">
      <w:pPr>
        <w:pStyle w:val="ParNoG"/>
      </w:pPr>
      <w:r w:rsidRPr="004823C1">
        <w:t xml:space="preserve">The </w:t>
      </w:r>
      <w:r w:rsidR="00316590">
        <w:t xml:space="preserve">Secretary-General is also concerned </w:t>
      </w:r>
      <w:r w:rsidR="00044FB2">
        <w:t>at the indication that the right to a</w:t>
      </w:r>
      <w:r w:rsidRPr="004823C1">
        <w:t xml:space="preserve"> fair trial, including in death penalty cases, </w:t>
      </w:r>
      <w:r w:rsidR="00177420">
        <w:t>has not been guaranteed</w:t>
      </w:r>
      <w:r w:rsidRPr="004823C1">
        <w:t xml:space="preserve">. </w:t>
      </w:r>
      <w:r w:rsidR="4575031C" w:rsidRPr="00B91AE0">
        <w:t>A</w:t>
      </w:r>
      <w:r w:rsidR="00177420">
        <w:t xml:space="preserve"> reported</w:t>
      </w:r>
      <w:r w:rsidR="4575031C" w:rsidRPr="00B91AE0">
        <w:t xml:space="preserve"> example is the execution of Kurdish prisoner Heidar Ghorbani in December 2021. </w:t>
      </w:r>
      <w:bookmarkStart w:id="4" w:name="_Hlk102494513"/>
      <w:r w:rsidR="4575031C" w:rsidRPr="00B91AE0">
        <w:t>Ghorbani</w:t>
      </w:r>
      <w:bookmarkEnd w:id="4"/>
      <w:r w:rsidR="4575031C" w:rsidRPr="00B91AE0">
        <w:t xml:space="preserve"> was arrested in 2016, in connection with </w:t>
      </w:r>
      <w:r w:rsidR="4575031C" w:rsidRPr="00782353">
        <w:t>the killing of three men affiliated to the Basij paramilitary forces reportedly by individuals associated with an armed opposition group</w:t>
      </w:r>
      <w:r w:rsidR="4575031C" w:rsidRPr="00B91AE0">
        <w:t xml:space="preserve">. Mr. Ghorbani denied membership </w:t>
      </w:r>
      <w:r w:rsidR="4575031C">
        <w:t>in</w:t>
      </w:r>
      <w:r w:rsidR="4575031C" w:rsidRPr="00B91AE0">
        <w:t xml:space="preserve"> the group and any involvement in the killing. A Revolution Court concluded that he was unarmed, yet sentenced him to death for “baghy” without investigations into allegations that he had been tortured. Ghorbani was executed </w:t>
      </w:r>
      <w:r w:rsidR="4575031C" w:rsidRPr="00782353">
        <w:t>without prior notice to his family and lawyer,</w:t>
      </w:r>
      <w:r w:rsidR="4575031C" w:rsidRPr="00B91AE0">
        <w:t xml:space="preserve"> and his execution was carried out while his request </w:t>
      </w:r>
      <w:r w:rsidR="002F1D55">
        <w:t>for re-trial</w:t>
      </w:r>
      <w:r w:rsidR="4575031C" w:rsidRPr="00B91AE0">
        <w:t xml:space="preserve"> was still under consideration at the Supreme Court. </w:t>
      </w:r>
    </w:p>
    <w:p w14:paraId="036963AE" w14:textId="57083862" w:rsidR="004823C1" w:rsidRPr="004823C1" w:rsidRDefault="0079104C" w:rsidP="0079104C">
      <w:pPr>
        <w:pStyle w:val="H23G"/>
      </w:pPr>
      <w:r>
        <w:tab/>
      </w:r>
      <w:r>
        <w:tab/>
      </w:r>
      <w:r w:rsidR="004823C1" w:rsidRPr="004823C1">
        <w:t>Execution of child offenders</w:t>
      </w:r>
    </w:p>
    <w:p w14:paraId="7D21B1D8" w14:textId="4E8E8180" w:rsidR="004823C1" w:rsidRPr="004823C1" w:rsidRDefault="17BD2AE0" w:rsidP="00955550">
      <w:pPr>
        <w:pStyle w:val="ParNoG"/>
        <w:rPr>
          <w:vertAlign w:val="superscript"/>
          <w:lang w:val="en-US"/>
        </w:rPr>
      </w:pPr>
      <w:r w:rsidRPr="73A88EB4">
        <w:t>The Secretary-General has consistently called for a halt to the execution of child offenders.</w:t>
      </w:r>
      <w:r>
        <w:t xml:space="preserve"> Under international human rights instruments</w:t>
      </w:r>
      <w:r w:rsidR="00EF6192">
        <w:t xml:space="preserve">, to which the Islamic </w:t>
      </w:r>
      <w:r w:rsidR="005E7CB8">
        <w:t>Republic</w:t>
      </w:r>
      <w:r w:rsidR="00EF6192">
        <w:t xml:space="preserve"> of Iran is a party, </w:t>
      </w:r>
      <w:r>
        <w:t>capital punishment shall not be imposed for offenses committed by persons below 18 years of age</w:t>
      </w:r>
      <w:r w:rsidR="0069417D">
        <w:rPr>
          <w:rStyle w:val="FootnoteReference"/>
        </w:rPr>
        <w:footnoteReference w:id="15"/>
      </w:r>
      <w:r>
        <w:t>.</w:t>
      </w:r>
      <w:r w:rsidRPr="78A97037">
        <w:rPr>
          <w:lang w:val="en-US"/>
        </w:rPr>
        <w:t xml:space="preserve"> </w:t>
      </w:r>
      <w:r w:rsidR="00BA33FF" w:rsidRPr="00BA33FF">
        <w:rPr>
          <w:lang w:val="en-US"/>
        </w:rPr>
        <w:t>The Government noted in its comments that there is a significant reduction in the imposition of the death penalty on offenders below the age of 18. However,</w:t>
      </w:r>
      <w:r w:rsidR="00FB056A">
        <w:rPr>
          <w:lang w:val="en-US"/>
        </w:rPr>
        <w:t xml:space="preserve"> some of the reports received indicate that, between </w:t>
      </w:r>
      <w:r w:rsidR="45361C4C">
        <w:rPr>
          <w:lang w:val="en-US"/>
        </w:rPr>
        <w:t>August 2021 and March 2022, at</w:t>
      </w:r>
      <w:r w:rsidR="45361C4C" w:rsidRPr="004823C1">
        <w:rPr>
          <w:lang w:val="en-US"/>
        </w:rPr>
        <w:t xml:space="preserve"> least two child offenders were executed, </w:t>
      </w:r>
      <w:r w:rsidR="349739CC">
        <w:rPr>
          <w:lang w:val="en-US"/>
        </w:rPr>
        <w:t>in one case</w:t>
      </w:r>
      <w:r w:rsidR="45361C4C" w:rsidRPr="004823C1">
        <w:rPr>
          <w:lang w:val="en-US"/>
        </w:rPr>
        <w:t xml:space="preserve"> without prior </w:t>
      </w:r>
      <w:r w:rsidR="4575031C">
        <w:rPr>
          <w:lang w:val="en-US"/>
        </w:rPr>
        <w:t>notice</w:t>
      </w:r>
      <w:r w:rsidR="45361C4C" w:rsidRPr="004823C1">
        <w:rPr>
          <w:lang w:val="en-US"/>
        </w:rPr>
        <w:t xml:space="preserve"> </w:t>
      </w:r>
      <w:r w:rsidR="349739CC" w:rsidRPr="5D024BF2">
        <w:rPr>
          <w:lang w:val="en-US"/>
        </w:rPr>
        <w:t>of the execution date to the</w:t>
      </w:r>
      <w:r w:rsidR="45361C4C" w:rsidRPr="00782353">
        <w:rPr>
          <w:lang w:val="en-US"/>
        </w:rPr>
        <w:t xml:space="preserve"> family. Sajad </w:t>
      </w:r>
      <w:r w:rsidR="45361C4C" w:rsidRPr="004823C1">
        <w:rPr>
          <w:lang w:val="en-US"/>
        </w:rPr>
        <w:t>Sanjari</w:t>
      </w:r>
      <w:r w:rsidR="45361C4C" w:rsidRPr="5D024BF2">
        <w:rPr>
          <w:lang w:val="en-US"/>
        </w:rPr>
        <w:t xml:space="preserve"> was executed on 2 August 2021, </w:t>
      </w:r>
      <w:r w:rsidR="00885730">
        <w:rPr>
          <w:lang w:val="en-US"/>
        </w:rPr>
        <w:t xml:space="preserve">without prior notice to his family, </w:t>
      </w:r>
      <w:r w:rsidR="45361C4C" w:rsidRPr="5D024BF2">
        <w:rPr>
          <w:lang w:val="en-US"/>
        </w:rPr>
        <w:t xml:space="preserve">for </w:t>
      </w:r>
      <w:r w:rsidR="00B30C7A">
        <w:rPr>
          <w:lang w:val="en-US"/>
        </w:rPr>
        <w:t>the</w:t>
      </w:r>
      <w:r w:rsidR="45361C4C" w:rsidRPr="5D024BF2">
        <w:rPr>
          <w:lang w:val="en-US"/>
        </w:rPr>
        <w:t xml:space="preserve"> killing of a man in 2010 when he was 15 years old. </w:t>
      </w:r>
      <w:r w:rsidR="45361C4C" w:rsidRPr="004823C1">
        <w:t xml:space="preserve">Another child offender, Arman Abdolali was executed on 24 November 2021 for a crime </w:t>
      </w:r>
      <w:r w:rsidR="45361C4C" w:rsidRPr="73A88EB4">
        <w:t>committed</w:t>
      </w:r>
      <w:r w:rsidR="45361C4C" w:rsidRPr="004823C1">
        <w:t xml:space="preserve"> while he was under 18 years of age.</w:t>
      </w:r>
      <w:r w:rsidR="00E60EC4">
        <w:t xml:space="preserve"> </w:t>
      </w:r>
      <w:r w:rsidR="45361C4C" w:rsidRPr="004823C1">
        <w:t xml:space="preserve">Abdolali’s execution was scheduled and postponed seven times </w:t>
      </w:r>
      <w:r w:rsidR="0026221D" w:rsidRPr="0026221D">
        <w:t xml:space="preserve">raising concerns </w:t>
      </w:r>
      <w:r w:rsidR="00FC45C2">
        <w:t>regarding</w:t>
      </w:r>
      <w:r w:rsidR="0026221D" w:rsidRPr="0026221D">
        <w:t xml:space="preserve"> respect of the right to a fair trial</w:t>
      </w:r>
      <w:r w:rsidR="45361C4C" w:rsidRPr="004823C1">
        <w:t>. The Government noted that the postponement of executions takes place due to the authorities’</w:t>
      </w:r>
      <w:r w:rsidR="00E60EC4">
        <w:t xml:space="preserve"> </w:t>
      </w:r>
      <w:r w:rsidR="45361C4C" w:rsidRPr="004823C1">
        <w:t>attempts to facilitate pardon negotiations</w:t>
      </w:r>
      <w:r w:rsidR="00706C08">
        <w:t xml:space="preserve"> between the victim’s family and the </w:t>
      </w:r>
      <w:r w:rsidR="00F07D2D">
        <w:t>perpetrator</w:t>
      </w:r>
      <w:r w:rsidR="45361C4C" w:rsidRPr="004823C1">
        <w:t>.</w:t>
      </w:r>
      <w:r w:rsidR="00B771DC">
        <w:rPr>
          <w:rStyle w:val="FootnoteReference"/>
        </w:rPr>
        <w:footnoteReference w:id="16"/>
      </w:r>
      <w:r w:rsidR="005F2F75" w:rsidRPr="004823C1">
        <w:t xml:space="preserve"> </w:t>
      </w:r>
      <w:r w:rsidR="45361C4C" w:rsidRPr="004823C1">
        <w:t>As stated by the Human Rights Committee,</w:t>
      </w:r>
      <w:r w:rsidR="009305A9">
        <w:t xml:space="preserve"> </w:t>
      </w:r>
      <w:r w:rsidR="00530E7D" w:rsidRPr="00530E7D">
        <w:t>procedures for the exercise of the right to seek pardon or commutation should be specified in domestic legislation</w:t>
      </w:r>
      <w:r w:rsidR="00955550">
        <w:t xml:space="preserve"> </w:t>
      </w:r>
      <w:r w:rsidR="00955550" w:rsidRPr="00955550">
        <w:t>and they should not afford the families of crime victims a preponderant role in determining whether the death sentence should be carried out.</w:t>
      </w:r>
      <w:r w:rsidR="005F2F75" w:rsidRPr="005F2F75">
        <w:rPr>
          <w:vertAlign w:val="superscript"/>
        </w:rPr>
        <w:t xml:space="preserve"> </w:t>
      </w:r>
      <w:r w:rsidR="005F2F75" w:rsidRPr="005F2F75">
        <w:rPr>
          <w:vertAlign w:val="superscript"/>
        </w:rPr>
        <w:footnoteReference w:id="17"/>
      </w:r>
      <w:r w:rsidR="00DD656B">
        <w:t xml:space="preserve"> </w:t>
      </w:r>
      <w:r w:rsidR="349739CC">
        <w:t xml:space="preserve">Such negotiations or any other reconciliation efforts </w:t>
      </w:r>
      <w:r w:rsidR="0061782F">
        <w:t xml:space="preserve">are independent from </w:t>
      </w:r>
      <w:r w:rsidR="006930AA">
        <w:t>a</w:t>
      </w:r>
      <w:r w:rsidR="00774C02">
        <w:t xml:space="preserve"> </w:t>
      </w:r>
      <w:r w:rsidR="349739CC">
        <w:t>State’s obligations</w:t>
      </w:r>
      <w:r w:rsidR="00E84B22">
        <w:t xml:space="preserve"> under international human rights law</w:t>
      </w:r>
      <w:r w:rsidR="349739CC">
        <w:t>, including to ensure that the death penalty shall not be imposed for crimes committed by persons below the age of 18 at the time of the offence.</w:t>
      </w:r>
      <w:r w:rsidR="004823C1" w:rsidRPr="5D024BF2">
        <w:rPr>
          <w:vertAlign w:val="superscript"/>
        </w:rPr>
        <w:footnoteReference w:id="18"/>
      </w:r>
    </w:p>
    <w:p w14:paraId="65381156" w14:textId="6D2700C2" w:rsidR="004823C1" w:rsidRPr="004823C1" w:rsidRDefault="45361C4C" w:rsidP="00E60EC4">
      <w:pPr>
        <w:pStyle w:val="ParNoG"/>
      </w:pPr>
      <w:r>
        <w:t>The Supreme Court’s decision in February 2022 to revoke the death sentence against a child offender who was on death row for 18 years is a welcome step. The Court ruled, inter alia that, due to the passage of time, forensic medicine was unable to assess the maturity of the child offender at the time of the crime</w:t>
      </w:r>
      <w:r w:rsidR="00AB685D">
        <w:rPr>
          <w:rStyle w:val="FootnoteReference"/>
        </w:rPr>
        <w:footnoteReference w:id="19"/>
      </w:r>
      <w:r>
        <w:t xml:space="preserve">. </w:t>
      </w:r>
      <w:r w:rsidR="00D55410" w:rsidRPr="00D55410">
        <w:t xml:space="preserve"> The Secretary -General reiterates his call for a revision of the Penal Code to prohibit the imposition of the death penalty on individuals </w:t>
      </w:r>
      <w:r w:rsidR="00D55410" w:rsidRPr="00D55410">
        <w:lastRenderedPageBreak/>
        <w:t>who were under 18 years of age at the time of the alleged crime, as well as for the abolition of the death penalty.</w:t>
      </w:r>
    </w:p>
    <w:p w14:paraId="32FDF000" w14:textId="2763FA46" w:rsidR="004823C1" w:rsidRPr="004823C1" w:rsidRDefault="0079104C" w:rsidP="0079104C">
      <w:pPr>
        <w:pStyle w:val="H23G"/>
      </w:pPr>
      <w:r>
        <w:tab/>
      </w:r>
      <w:r>
        <w:tab/>
      </w:r>
      <w:r w:rsidR="004823C1" w:rsidRPr="004823C1">
        <w:t>Excessive use of force</w:t>
      </w:r>
    </w:p>
    <w:p w14:paraId="188AAC13" w14:textId="2A04D423" w:rsidR="00566C3D" w:rsidRPr="00782353" w:rsidRDefault="349739CC" w:rsidP="00805D39">
      <w:pPr>
        <w:pStyle w:val="ParNoG"/>
      </w:pPr>
      <w:r w:rsidRPr="00405121">
        <w:rPr>
          <w:lang w:val="en-US"/>
        </w:rPr>
        <w:t xml:space="preserve">The Secretary-General is concerned at the continued pattern of excessive use of force in the context of management of peaceful assemblies. </w:t>
      </w:r>
      <w:r w:rsidRPr="00360451">
        <w:rPr>
          <w:lang w:val="en-US"/>
        </w:rPr>
        <w:t xml:space="preserve">On 15 July 2021, protests broke out in </w:t>
      </w:r>
      <w:r>
        <w:rPr>
          <w:lang w:val="en-US"/>
        </w:rPr>
        <w:t>over</w:t>
      </w:r>
      <w:r w:rsidRPr="00360451">
        <w:rPr>
          <w:lang w:val="en-US"/>
        </w:rPr>
        <w:t xml:space="preserve"> 26 cities in Khuzestan </w:t>
      </w:r>
      <w:r>
        <w:rPr>
          <w:lang w:val="en-US"/>
        </w:rPr>
        <w:t>P</w:t>
      </w:r>
      <w:r w:rsidRPr="00360451">
        <w:rPr>
          <w:lang w:val="en-US"/>
        </w:rPr>
        <w:t>rovince over water shortages.</w:t>
      </w:r>
      <w:r w:rsidR="00566C3D">
        <w:rPr>
          <w:rStyle w:val="FootnoteReference"/>
          <w:lang w:val="en-US"/>
        </w:rPr>
        <w:footnoteReference w:id="20"/>
      </w:r>
      <w:r w:rsidRPr="00360451">
        <w:rPr>
          <w:lang w:val="en-US"/>
        </w:rPr>
        <w:t xml:space="preserve"> Video and photo documentation showed heavy presence of security forces. </w:t>
      </w:r>
      <w:r>
        <w:rPr>
          <w:lang w:val="en-US"/>
        </w:rPr>
        <w:t xml:space="preserve">On some occasions, the authorities reportedly </w:t>
      </w:r>
      <w:r w:rsidRPr="00360451">
        <w:rPr>
          <w:lang w:val="en-US"/>
        </w:rPr>
        <w:t>used plainclothes agents to pose as armed or violent protesters</w:t>
      </w:r>
      <w:r>
        <w:rPr>
          <w:lang w:val="en-US"/>
        </w:rPr>
        <w:t>, and subsequently blamed the deaths of protesters on them</w:t>
      </w:r>
      <w:r w:rsidRPr="00360451">
        <w:rPr>
          <w:lang w:val="en-US"/>
        </w:rPr>
        <w:t xml:space="preserve">. </w:t>
      </w:r>
      <w:r>
        <w:rPr>
          <w:lang w:val="en-US"/>
        </w:rPr>
        <w:t xml:space="preserve">Police and security forces’ </w:t>
      </w:r>
      <w:r w:rsidRPr="00360451">
        <w:rPr>
          <w:lang w:val="en-US"/>
        </w:rPr>
        <w:t>firing of live ammunition, including the use of automatic weapons and shotguns firing birdshots</w:t>
      </w:r>
      <w:r>
        <w:rPr>
          <w:lang w:val="en-US"/>
        </w:rPr>
        <w:t xml:space="preserve">, and </w:t>
      </w:r>
      <w:r w:rsidRPr="00360451">
        <w:rPr>
          <w:lang w:val="en-US"/>
        </w:rPr>
        <w:t xml:space="preserve">of </w:t>
      </w:r>
      <w:r>
        <w:rPr>
          <w:lang w:val="en-US"/>
        </w:rPr>
        <w:t xml:space="preserve">other </w:t>
      </w:r>
      <w:r w:rsidRPr="00360451">
        <w:rPr>
          <w:lang w:val="en-US"/>
        </w:rPr>
        <w:t xml:space="preserve">potentially lethal force </w:t>
      </w:r>
      <w:r>
        <w:rPr>
          <w:lang w:val="en-US"/>
        </w:rPr>
        <w:t>led to the killing of at least nine individuals, including a minor, and</w:t>
      </w:r>
      <w:r w:rsidRPr="00360451">
        <w:rPr>
          <w:lang w:val="en-US"/>
        </w:rPr>
        <w:t xml:space="preserve"> to the injuring of </w:t>
      </w:r>
      <w:r>
        <w:rPr>
          <w:lang w:val="en-US"/>
        </w:rPr>
        <w:t>many</w:t>
      </w:r>
      <w:r w:rsidRPr="00360451">
        <w:rPr>
          <w:lang w:val="en-US"/>
        </w:rPr>
        <w:t>, including children.</w:t>
      </w:r>
      <w:r>
        <w:t xml:space="preserve"> </w:t>
      </w:r>
      <w:r w:rsidRPr="007D3F77">
        <w:rPr>
          <w:lang w:val="en-US"/>
        </w:rPr>
        <w:t xml:space="preserve">The authorities announced that one police official </w:t>
      </w:r>
      <w:r w:rsidRPr="73A88EB4">
        <w:rPr>
          <w:lang w:val="en-US"/>
        </w:rPr>
        <w:t>had been</w:t>
      </w:r>
      <w:r w:rsidRPr="007D3F77">
        <w:rPr>
          <w:lang w:val="en-US"/>
        </w:rPr>
        <w:t xml:space="preserve"> shot and killed.</w:t>
      </w:r>
      <w:r w:rsidR="00566C3D">
        <w:rPr>
          <w:rStyle w:val="FootnoteReference"/>
          <w:lang w:val="en-US"/>
        </w:rPr>
        <w:footnoteReference w:id="21"/>
      </w:r>
      <w:r w:rsidRPr="007D3F77">
        <w:rPr>
          <w:lang w:val="en-US"/>
        </w:rPr>
        <w:t xml:space="preserve"> </w:t>
      </w:r>
      <w:r>
        <w:rPr>
          <w:lang w:val="en-US"/>
        </w:rPr>
        <w:t>M</w:t>
      </w:r>
      <w:r w:rsidRPr="00360451">
        <w:rPr>
          <w:lang w:val="en-US"/>
        </w:rPr>
        <w:t xml:space="preserve">any of those injured went into hiding and avoided going to hospitals to receive the needed care out of fear of being arrested. </w:t>
      </w:r>
      <w:r>
        <w:rPr>
          <w:lang w:val="en-US"/>
        </w:rPr>
        <w:t>Security and intelligence agents reportedly also violently arrested injured protesters from a hospital.</w:t>
      </w:r>
      <w:r w:rsidR="00566C3D">
        <w:rPr>
          <w:rStyle w:val="FootnoteReference"/>
          <w:lang w:val="en-US"/>
        </w:rPr>
        <w:footnoteReference w:id="22"/>
      </w:r>
      <w:r>
        <w:rPr>
          <w:lang w:val="en-US"/>
        </w:rPr>
        <w:t xml:space="preserve"> </w:t>
      </w:r>
      <w:r>
        <w:t xml:space="preserve">While some officials attributed the protests </w:t>
      </w:r>
      <w:r w:rsidRPr="00360451">
        <w:rPr>
          <w:lang w:val="en-US"/>
        </w:rPr>
        <w:t>to “dissident groups” or “terrorist groups</w:t>
      </w:r>
      <w:r>
        <w:rPr>
          <w:lang w:val="en-US"/>
        </w:rPr>
        <w:t>”, other</w:t>
      </w:r>
      <w:r w:rsidRPr="00360451">
        <w:rPr>
          <w:lang w:val="en-US"/>
        </w:rPr>
        <w:t xml:space="preserve"> officials called for the protesters’ demands to be addressed.</w:t>
      </w:r>
      <w:r w:rsidR="00566C3D">
        <w:rPr>
          <w:rStyle w:val="FootnoteReference"/>
          <w:lang w:val="en-US"/>
        </w:rPr>
        <w:footnoteReference w:id="23"/>
      </w:r>
      <w:r>
        <w:rPr>
          <w:lang w:val="en-US"/>
        </w:rPr>
        <w:t xml:space="preserve"> The </w:t>
      </w:r>
      <w:r w:rsidRPr="00360451">
        <w:rPr>
          <w:lang w:val="en-US"/>
        </w:rPr>
        <w:t xml:space="preserve">authorities </w:t>
      </w:r>
      <w:r>
        <w:rPr>
          <w:lang w:val="en-US"/>
        </w:rPr>
        <w:t xml:space="preserve">later </w:t>
      </w:r>
      <w:r w:rsidRPr="00360451">
        <w:rPr>
          <w:lang w:val="en-US"/>
        </w:rPr>
        <w:t xml:space="preserve">confirmed the death of </w:t>
      </w:r>
      <w:r>
        <w:rPr>
          <w:lang w:val="en-US"/>
        </w:rPr>
        <w:t>three</w:t>
      </w:r>
      <w:r w:rsidRPr="00360451">
        <w:rPr>
          <w:lang w:val="en-US"/>
        </w:rPr>
        <w:t xml:space="preserve"> “members of the public”,</w:t>
      </w:r>
      <w:r>
        <w:rPr>
          <w:lang w:val="en-US"/>
        </w:rPr>
        <w:t xml:space="preserve"> </w:t>
      </w:r>
      <w:r w:rsidRPr="00360451">
        <w:rPr>
          <w:lang w:val="en-US"/>
        </w:rPr>
        <w:t xml:space="preserve">but stated that these deaths </w:t>
      </w:r>
      <w:r>
        <w:rPr>
          <w:lang w:val="en-US"/>
        </w:rPr>
        <w:t>were</w:t>
      </w:r>
      <w:r w:rsidRPr="00360451">
        <w:rPr>
          <w:lang w:val="en-US"/>
        </w:rPr>
        <w:t xml:space="preserve"> due to armed rioters.</w:t>
      </w:r>
      <w:r w:rsidR="00566C3D">
        <w:rPr>
          <w:rStyle w:val="FootnoteReference"/>
          <w:lang w:val="en-US"/>
        </w:rPr>
        <w:footnoteReference w:id="24"/>
      </w:r>
      <w:r w:rsidRPr="00360451">
        <w:rPr>
          <w:lang w:val="en-US"/>
        </w:rPr>
        <w:t xml:space="preserve"> </w:t>
      </w:r>
      <w:r w:rsidR="474A9535" w:rsidRPr="00782353">
        <w:rPr>
          <w:lang w:val="en-US"/>
        </w:rPr>
        <w:t xml:space="preserve">The Government </w:t>
      </w:r>
      <w:r w:rsidR="5A344D07" w:rsidRPr="00782353">
        <w:rPr>
          <w:lang w:val="en-US"/>
        </w:rPr>
        <w:t>noted</w:t>
      </w:r>
      <w:r w:rsidR="474A9535" w:rsidRPr="00782353">
        <w:rPr>
          <w:lang w:val="en-US"/>
        </w:rPr>
        <w:t xml:space="preserve"> that </w:t>
      </w:r>
      <w:r w:rsidR="1EF7867C" w:rsidRPr="00782353">
        <w:rPr>
          <w:lang w:val="en-US"/>
        </w:rPr>
        <w:t>its</w:t>
      </w:r>
      <w:r w:rsidR="474A9535" w:rsidRPr="00782353">
        <w:rPr>
          <w:lang w:val="en-US"/>
        </w:rPr>
        <w:t xml:space="preserve"> principled policy is to manage assemblies with </w:t>
      </w:r>
      <w:r w:rsidR="0D80E1D1" w:rsidRPr="00782353">
        <w:rPr>
          <w:lang w:val="en-US"/>
        </w:rPr>
        <w:t xml:space="preserve">tolerance and </w:t>
      </w:r>
      <w:r w:rsidR="474A9535" w:rsidRPr="00782353">
        <w:rPr>
          <w:lang w:val="en-US"/>
        </w:rPr>
        <w:t>restraint as long as they remain peaceful.</w:t>
      </w:r>
    </w:p>
    <w:p w14:paraId="6B6885B9" w14:textId="559E7B11" w:rsidR="004823C1" w:rsidRPr="004823C1" w:rsidRDefault="349739CC" w:rsidP="00177785">
      <w:pPr>
        <w:pStyle w:val="ParNoG"/>
        <w:rPr>
          <w:lang w:val="en-US"/>
        </w:rPr>
      </w:pPr>
      <w:r w:rsidRPr="73A88EB4">
        <w:rPr>
          <w:lang w:val="en-US"/>
        </w:rPr>
        <w:t>Information received by OHCHR indicates</w:t>
      </w:r>
      <w:r w:rsidR="45361C4C" w:rsidRPr="73A88EB4">
        <w:rPr>
          <w:lang w:val="en-US"/>
        </w:rPr>
        <w:t xml:space="preserve"> that, since 15 July 2021, the authorities arrested over 200 individuals</w:t>
      </w:r>
      <w:r w:rsidR="00283200">
        <w:rPr>
          <w:lang w:val="en-US"/>
        </w:rPr>
        <w:t xml:space="preserve"> in the context of peaceful demonstrations</w:t>
      </w:r>
      <w:r w:rsidR="45361C4C" w:rsidRPr="73A88EB4">
        <w:rPr>
          <w:lang w:val="en-US"/>
        </w:rPr>
        <w:t xml:space="preserve">, including children. </w:t>
      </w:r>
      <w:r w:rsidR="45361C4C" w:rsidRPr="007D19CD">
        <w:rPr>
          <w:lang w:val="en-US"/>
        </w:rPr>
        <w:t>Some protesters were also subject to enforced disappearances for a period of time</w:t>
      </w:r>
      <w:r w:rsidR="45361C4C" w:rsidRPr="73A88EB4">
        <w:rPr>
          <w:lang w:val="en-US"/>
        </w:rPr>
        <w:t>, with several detained protesters initially held in detention facilities run by the Intelligence Ministry or by the Islamic Revolutionary Guards Corps (IRGC).</w:t>
      </w:r>
    </w:p>
    <w:p w14:paraId="23DEF608" w14:textId="3B73B3E3" w:rsidR="004823C1" w:rsidRPr="004823C1" w:rsidRDefault="00D20E09" w:rsidP="00177785">
      <w:pPr>
        <w:pStyle w:val="ParNoG"/>
      </w:pPr>
      <w:r>
        <w:rPr>
          <w:lang w:val="en-US"/>
        </w:rPr>
        <w:t>Other reports indicate that, in</w:t>
      </w:r>
      <w:r w:rsidR="45361C4C" w:rsidRPr="004823C1">
        <w:rPr>
          <w:lang w:val="en-US"/>
        </w:rPr>
        <w:t xml:space="preserve"> August 2021, </w:t>
      </w:r>
      <w:r w:rsidR="45361C4C" w:rsidRPr="004823C1">
        <w:t>security forces resorted to firing birdshots at peaceful protesters in Naqadeh in Western Azerbaijan Province, leaving dozens injured.</w:t>
      </w:r>
      <w:r w:rsidR="004823C1" w:rsidRPr="00322FA5">
        <w:rPr>
          <w:rStyle w:val="FootnoteReference"/>
        </w:rPr>
        <w:footnoteReference w:id="25"/>
      </w:r>
      <w:r w:rsidR="45361C4C" w:rsidRPr="004823C1">
        <w:t xml:space="preserve"> Many refrained from seeking hospital treatment for fear of arrest or torture. Mohammad Alizadeh died of his injuries after being shot by a person in civilian clothes.</w:t>
      </w:r>
      <w:r w:rsidR="1EF7867C">
        <w:t xml:space="preserve"> </w:t>
      </w:r>
      <w:r w:rsidR="1EF7867C" w:rsidRPr="00782353">
        <w:t>The Government noted that the perpetrator is being prosecuted.</w:t>
      </w:r>
      <w:r w:rsidR="45361C4C" w:rsidRPr="004823C1">
        <w:t xml:space="preserve">  </w:t>
      </w:r>
    </w:p>
    <w:p w14:paraId="3B915312" w14:textId="6720D032" w:rsidR="004823C1" w:rsidRPr="004823C1" w:rsidRDefault="45361C4C" w:rsidP="00F85A0D">
      <w:pPr>
        <w:pStyle w:val="ParNoG"/>
        <w:rPr>
          <w:lang w:val="en-US"/>
        </w:rPr>
      </w:pPr>
      <w:r w:rsidRPr="004823C1">
        <w:rPr>
          <w:lang w:val="en-US"/>
        </w:rPr>
        <w:t>The water shortage led to further protests erupting from 7 to 26 November 2021, in Isfahan, where thousands of farmers protested the Government’s water policies.</w:t>
      </w:r>
      <w:r w:rsidR="004823C1" w:rsidRPr="00322FA5">
        <w:rPr>
          <w:rStyle w:val="FootnoteReference"/>
        </w:rPr>
        <w:footnoteReference w:id="26"/>
      </w:r>
      <w:r w:rsidRPr="004823C1">
        <w:rPr>
          <w:lang w:val="en-US"/>
        </w:rPr>
        <w:t xml:space="preserve"> On 11 November, the President met with representatives from the province and promised to resolve the impact of water </w:t>
      </w:r>
      <w:r w:rsidRPr="004823C1">
        <w:rPr>
          <w:lang w:val="en-US"/>
        </w:rPr>
        <w:lastRenderedPageBreak/>
        <w:t>shortages.</w:t>
      </w:r>
      <w:r w:rsidR="004823C1" w:rsidRPr="00322FA5">
        <w:rPr>
          <w:rStyle w:val="FootnoteReference"/>
        </w:rPr>
        <w:footnoteReference w:id="27"/>
      </w:r>
      <w:r w:rsidRPr="004823C1">
        <w:rPr>
          <w:lang w:val="en-US"/>
        </w:rPr>
        <w:t xml:space="preserve"> On 25 November at 4:00 am, security forces warned farmers who were holding a sit-down strike in the dry riverbed to evacuate. Subsequently, security forces </w:t>
      </w:r>
      <w:r w:rsidR="00C44994">
        <w:rPr>
          <w:lang w:val="en-US"/>
        </w:rPr>
        <w:t xml:space="preserve">reportedly </w:t>
      </w:r>
      <w:r w:rsidRPr="004823C1">
        <w:rPr>
          <w:lang w:val="en-US"/>
        </w:rPr>
        <w:t>set fire to the tents of farmers, fired tear gas at the tents and shot in the air. The prosecutor of Isfahan stated that it was “thugs” who set the farmers’ tents on fire.</w:t>
      </w:r>
      <w:r w:rsidR="004823C1" w:rsidRPr="00322FA5">
        <w:rPr>
          <w:rStyle w:val="FootnoteReference"/>
        </w:rPr>
        <w:footnoteReference w:id="28"/>
      </w:r>
      <w:r w:rsidRPr="004823C1">
        <w:rPr>
          <w:lang w:val="en-US"/>
        </w:rPr>
        <w:t xml:space="preserve"> On 26 November, </w:t>
      </w:r>
      <w:r w:rsidR="00F85A0D" w:rsidRPr="00F85A0D">
        <w:rPr>
          <w:lang w:val="en-US"/>
        </w:rPr>
        <w:t>, according to information received by O</w:t>
      </w:r>
      <w:r w:rsidR="00F85A0D">
        <w:rPr>
          <w:lang w:val="en-US"/>
        </w:rPr>
        <w:t>H</w:t>
      </w:r>
      <w:r w:rsidR="00F85A0D" w:rsidRPr="00F85A0D">
        <w:rPr>
          <w:lang w:val="en-US"/>
        </w:rPr>
        <w:t xml:space="preserve">CHR, </w:t>
      </w:r>
      <w:r w:rsidRPr="004823C1">
        <w:rPr>
          <w:lang w:val="en-US"/>
        </w:rPr>
        <w:t>protests continued and security forces resorted to the use of baton</w:t>
      </w:r>
      <w:r w:rsidR="00EC6A8A">
        <w:rPr>
          <w:lang w:val="en-US"/>
        </w:rPr>
        <w:t>s</w:t>
      </w:r>
      <w:r w:rsidRPr="004823C1">
        <w:rPr>
          <w:lang w:val="en-US"/>
        </w:rPr>
        <w:t>, tear gas and pellet guns. Internet disruption in mobile data was reported at the time of crackdown.</w:t>
      </w:r>
      <w:r w:rsidR="004823C1" w:rsidRPr="00322FA5">
        <w:rPr>
          <w:rStyle w:val="FootnoteReference"/>
        </w:rPr>
        <w:footnoteReference w:id="29"/>
      </w:r>
      <w:r w:rsidRPr="004823C1">
        <w:rPr>
          <w:lang w:val="en-US"/>
        </w:rPr>
        <w:t xml:space="preserve"> The widespread use of pellet guns fired </w:t>
      </w:r>
      <w:r w:rsidR="00EC6A8A">
        <w:rPr>
          <w:lang w:val="en-US"/>
        </w:rPr>
        <w:t>at</w:t>
      </w:r>
      <w:r w:rsidRPr="004823C1">
        <w:rPr>
          <w:lang w:val="en-US"/>
        </w:rPr>
        <w:t xml:space="preserve"> close range at protesters and bystanders, including old farmers and women, caused serious eye and other injuries. Over 40 people were reported to have lost at least one eye after being shot by security forces.</w:t>
      </w:r>
      <w:r w:rsidR="004823C1" w:rsidRPr="00322FA5">
        <w:rPr>
          <w:rStyle w:val="FootnoteReference"/>
        </w:rPr>
        <w:footnoteReference w:id="30"/>
      </w:r>
      <w:r w:rsidRPr="004823C1">
        <w:rPr>
          <w:lang w:val="en-US"/>
        </w:rPr>
        <w:t xml:space="preserve"> The police commander in Isfahan stated that on 26 November, plainclothes security agents had detained 67 people.</w:t>
      </w:r>
      <w:r w:rsidR="004823C1" w:rsidRPr="00322FA5">
        <w:rPr>
          <w:rStyle w:val="FootnoteReference"/>
        </w:rPr>
        <w:footnoteReference w:id="31"/>
      </w:r>
      <w:r w:rsidRPr="004823C1">
        <w:rPr>
          <w:lang w:val="en-US"/>
        </w:rPr>
        <w:t xml:space="preserve"> Other sources estimate that over 300 people, including 13 children, were arrested and detained, several incommunicado. Reports indicate that injured protestors have been taken out of hospital and transferred to detention centr</w:t>
      </w:r>
      <w:r w:rsidR="00AF2775">
        <w:rPr>
          <w:lang w:val="en-US"/>
        </w:rPr>
        <w:t>e</w:t>
      </w:r>
      <w:r w:rsidRPr="004823C1">
        <w:rPr>
          <w:lang w:val="en-US"/>
        </w:rPr>
        <w:t xml:space="preserve">s. </w:t>
      </w:r>
    </w:p>
    <w:p w14:paraId="512C9BED" w14:textId="5D748AC0" w:rsidR="004823C1" w:rsidRPr="004823C1" w:rsidRDefault="45361C4C" w:rsidP="00706C08">
      <w:pPr>
        <w:pStyle w:val="ParNoG"/>
      </w:pPr>
      <w:r w:rsidRPr="004823C1">
        <w:t>The use of force against border couriers, primarily of Kurdish and Baloch minorities,</w:t>
      </w:r>
      <w:r w:rsidR="00706C08" w:rsidRPr="00E60EC4">
        <w:rPr>
          <w:sz w:val="18"/>
          <w:szCs w:val="18"/>
          <w:vertAlign w:val="superscript"/>
          <w:lang w:val="en-US"/>
        </w:rPr>
        <w:t xml:space="preserve"> </w:t>
      </w:r>
      <w:r w:rsidR="00706C08" w:rsidRPr="00706C08">
        <w:rPr>
          <w:vertAlign w:val="superscript"/>
          <w:lang w:val="fr-CH"/>
        </w:rPr>
        <w:footnoteReference w:id="32"/>
      </w:r>
      <w:r w:rsidRPr="004823C1">
        <w:t xml:space="preserve"> continued</w:t>
      </w:r>
      <w:r w:rsidR="0BB5CA8F">
        <w:t>,</w:t>
      </w:r>
      <w:r w:rsidRPr="004823C1">
        <w:t xml:space="preserve"> often justified by the authorities as being exercised in the context </w:t>
      </w:r>
      <w:r>
        <w:t xml:space="preserve">of </w:t>
      </w:r>
      <w:r w:rsidRPr="004823C1">
        <w:t xml:space="preserve">anti-smuggling operations. In 2021, 53 couriers were reportedly killed as a result of direct shootings by border officials, and over 130, including minors, injured. Between 1 January and 20 March 2022, at least 18 border couriers were </w:t>
      </w:r>
      <w:r>
        <w:t xml:space="preserve">reportedly </w:t>
      </w:r>
      <w:r w:rsidRPr="004823C1">
        <w:t xml:space="preserve">targeted by direct shooting from border officials. </w:t>
      </w:r>
      <w:r w:rsidR="1EF7867C">
        <w:t xml:space="preserve">The Government </w:t>
      </w:r>
      <w:r w:rsidR="5A344D07">
        <w:t>stated</w:t>
      </w:r>
      <w:r w:rsidR="1EF7867C">
        <w:t xml:space="preserve"> that any illegal use of force by an official is subject to criminal liability.</w:t>
      </w:r>
    </w:p>
    <w:p w14:paraId="4B8BC332" w14:textId="77777777" w:rsidR="00D00CFA" w:rsidRDefault="45361C4C" w:rsidP="00177785">
      <w:pPr>
        <w:pStyle w:val="ParNoG"/>
      </w:pPr>
      <w:r>
        <w:t xml:space="preserve">The </w:t>
      </w:r>
      <w:r w:rsidR="0BB5CA8F">
        <w:t>High Council for Human Rights of the Islamic Republic of Iran submitted information</w:t>
      </w:r>
      <w:r>
        <w:t xml:space="preserve"> to OHCHR of about 40 law enforcement agents killed between 21 March and 3 December 2021. </w:t>
      </w:r>
    </w:p>
    <w:p w14:paraId="3766AA64" w14:textId="1CBAC13B" w:rsidR="004823C1" w:rsidRPr="004823C1" w:rsidRDefault="45361C4C" w:rsidP="00AF5CBB">
      <w:pPr>
        <w:pStyle w:val="ParNoG"/>
      </w:pPr>
      <w:r>
        <w:t>The Secretary-General underlines that</w:t>
      </w:r>
      <w:r w:rsidR="0BB5CA8F">
        <w:t xml:space="preserve">, </w:t>
      </w:r>
      <w:r w:rsidR="00E8070E" w:rsidRPr="00E8070E">
        <w:t>as indicated by the Human Rights Committee, any use of force must comply with the fundamental principles of legality, necessity, proportionality, precaution and non-discrimination, and that domestic legal regimes on the use of force by law enforcement officials must be brought into line with the requirements enshrined under international law</w:t>
      </w:r>
      <w:r w:rsidR="00131B26">
        <w:t>.</w:t>
      </w:r>
      <w:r w:rsidR="0022536D">
        <w:rPr>
          <w:rStyle w:val="FootnoteReference"/>
        </w:rPr>
        <w:footnoteReference w:id="33"/>
      </w:r>
      <w:r w:rsidR="00E8070E" w:rsidRPr="00E8070E">
        <w:t xml:space="preserve"> </w:t>
      </w:r>
      <w:r w:rsidR="00AF5CBB" w:rsidRPr="00AF5CBB">
        <w:t>The Secretary-General further recalls that States have an obligation to investigate effectively, impartially and in a timely manner any allegation or reasonable suspicion of unlawful use of force</w:t>
      </w:r>
      <w:r w:rsidR="00955D70">
        <w:t>.</w:t>
      </w:r>
      <w:r w:rsidR="00131B26">
        <w:rPr>
          <w:rStyle w:val="FootnoteReference"/>
        </w:rPr>
        <w:footnoteReference w:id="34"/>
      </w:r>
    </w:p>
    <w:p w14:paraId="78A38941" w14:textId="53ACCDE7" w:rsidR="004823C1" w:rsidRPr="004823C1" w:rsidRDefault="0079104C" w:rsidP="0079104C">
      <w:pPr>
        <w:pStyle w:val="H23G"/>
      </w:pPr>
      <w:r>
        <w:tab/>
      </w:r>
      <w:r>
        <w:tab/>
      </w:r>
      <w:r w:rsidR="004823C1" w:rsidRPr="004823C1">
        <w:t>Torture and arbitrary deprivation of life in detention</w:t>
      </w:r>
    </w:p>
    <w:p w14:paraId="34D57508" w14:textId="2E4D3A53" w:rsidR="004823C1" w:rsidRPr="004823C1" w:rsidRDefault="45361C4C" w:rsidP="00F65E65">
      <w:pPr>
        <w:pStyle w:val="ParNoG"/>
      </w:pPr>
      <w:r w:rsidRPr="004823C1">
        <w:t>OHCHR continued to receive reports of torture and ill-treatment in places of detention, resulting in death</w:t>
      </w:r>
      <w:r w:rsidR="00F65E65">
        <w:t>.</w:t>
      </w:r>
      <w:r w:rsidR="00F65E65" w:rsidRPr="00F65E65">
        <w:rPr>
          <w:vertAlign w:val="superscript"/>
          <w:lang w:val="fr-CH"/>
        </w:rPr>
        <w:footnoteReference w:id="35"/>
      </w:r>
      <w:r w:rsidRPr="004823C1">
        <w:t xml:space="preserve">. </w:t>
      </w:r>
      <w:r w:rsidR="51468DD6">
        <w:rPr>
          <w:lang w:val="en-US"/>
        </w:rPr>
        <w:t xml:space="preserve">OHCHR is unaware of any </w:t>
      </w:r>
      <w:r w:rsidRPr="004823C1">
        <w:t xml:space="preserve">credible investigation into these incidents. </w:t>
      </w:r>
      <w:r w:rsidR="1EF7867C">
        <w:t xml:space="preserve">The Government rejected </w:t>
      </w:r>
      <w:r w:rsidR="00524A94">
        <w:t>allegations of</w:t>
      </w:r>
      <w:r w:rsidR="1EF7867C">
        <w:t xml:space="preserve"> arbitrary deprivation of life </w:t>
      </w:r>
      <w:r w:rsidR="5A344D07">
        <w:t>and</w:t>
      </w:r>
      <w:r w:rsidR="1EF7867C">
        <w:t xml:space="preserve"> lack of access to medical care</w:t>
      </w:r>
      <w:r w:rsidR="107E0563">
        <w:t xml:space="preserve"> in detention</w:t>
      </w:r>
      <w:r w:rsidR="1EF7867C">
        <w:t>.</w:t>
      </w:r>
    </w:p>
    <w:p w14:paraId="7BF77577" w14:textId="531FFC62" w:rsidR="004823C1" w:rsidRPr="004823C1" w:rsidRDefault="45361C4C" w:rsidP="003B5601">
      <w:pPr>
        <w:pStyle w:val="ParNoG"/>
      </w:pPr>
      <w:r>
        <w:lastRenderedPageBreak/>
        <w:t>The Secretary-General welcomes measures reflected in the Government’s mid-term UPR report aimed at preventing the use of torture</w:t>
      </w:r>
      <w:r w:rsidR="51468DD6">
        <w:t xml:space="preserve"> by</w:t>
      </w:r>
      <w:r>
        <w:t xml:space="preserve"> sensitizing judges to pay attention to allegations of torture made by defendants during the investigation. However, the </w:t>
      </w:r>
      <w:r w:rsidR="00BF1B48">
        <w:t xml:space="preserve">reported </w:t>
      </w:r>
      <w:r>
        <w:t xml:space="preserve">prevalence of torture and ill-treatment remains of great concern, together with </w:t>
      </w:r>
      <w:r w:rsidR="51468DD6">
        <w:t xml:space="preserve">the lack of adequate safeguards to prevent torture and </w:t>
      </w:r>
      <w:r>
        <w:t>deficiencies in the justice system to hold perpetrators accountable, particularly the lack of independent oversight bodies or thorough, independent and impartial investigations. In addition, the Penal Code continued to retain forms of punishment</w:t>
      </w:r>
      <w:r w:rsidR="00DC5572">
        <w:rPr>
          <w:rStyle w:val="FootnoteReference"/>
        </w:rPr>
        <w:footnoteReference w:id="36"/>
      </w:r>
      <w:r>
        <w:t xml:space="preserve"> that </w:t>
      </w:r>
      <w:r w:rsidR="00DA6EE8">
        <w:t>could be</w:t>
      </w:r>
      <w:r>
        <w:t xml:space="preserve"> considered torture, cruel inhumane and degrading under international human rights law</w:t>
      </w:r>
      <w:r w:rsidR="00EC5C2A">
        <w:rPr>
          <w:rStyle w:val="FootnoteReference"/>
        </w:rPr>
        <w:footnoteReference w:id="37"/>
      </w:r>
      <w:r>
        <w:t>Flogging remained a widespread form of punishment during the reporting period</w:t>
      </w:r>
      <w:r w:rsidR="009C08BC">
        <w:rPr>
          <w:rStyle w:val="FootnoteReference"/>
        </w:rPr>
        <w:footnoteReference w:id="38"/>
      </w:r>
      <w:r>
        <w:t xml:space="preserve">. The Secretary-General </w:t>
      </w:r>
      <w:r w:rsidR="002A76B2">
        <w:t xml:space="preserve">recalls the Human Rights Committee’s view that </w:t>
      </w:r>
      <w:r w:rsidR="003B5601" w:rsidRPr="003B5601">
        <w:t>the prohibition of torture, or other cruel, inhuman or degrading treatment or punishment in article 7 of the ICCPR extends to corporal punishment,</w:t>
      </w:r>
      <w:r w:rsidR="00A27AAA" w:rsidRPr="00E60EC4">
        <w:rPr>
          <w:rStyle w:val="FootnoteReference"/>
          <w:lang w:val="en-US"/>
        </w:rPr>
        <w:t xml:space="preserve"> </w:t>
      </w:r>
      <w:r w:rsidR="00A27AAA">
        <w:rPr>
          <w:rStyle w:val="FootnoteReference"/>
        </w:rPr>
        <w:footnoteReference w:id="39"/>
      </w:r>
      <w:r w:rsidR="003B5601" w:rsidRPr="003B5601">
        <w:t xml:space="preserve"> and </w:t>
      </w:r>
      <w:r>
        <w:t xml:space="preserve">calls on the </w:t>
      </w:r>
      <w:r w:rsidR="51468DD6">
        <w:t>State</w:t>
      </w:r>
      <w:r>
        <w:t xml:space="preserve"> to </w:t>
      </w:r>
      <w:r w:rsidR="003805AD">
        <w:t xml:space="preserve">revise </w:t>
      </w:r>
      <w:r>
        <w:t>such forms of punishment.</w:t>
      </w:r>
    </w:p>
    <w:p w14:paraId="5F6253F5" w14:textId="74F9D8A7" w:rsidR="004823C1" w:rsidRPr="004823C1" w:rsidRDefault="45361C4C" w:rsidP="002E19CA">
      <w:pPr>
        <w:pStyle w:val="ParNoG"/>
        <w:rPr>
          <w:lang w:val="en-US"/>
        </w:rPr>
      </w:pPr>
      <w:r w:rsidRPr="004823C1">
        <w:t xml:space="preserve">The </w:t>
      </w:r>
      <w:r w:rsidR="00020147">
        <w:t xml:space="preserve">reported </w:t>
      </w:r>
      <w:r w:rsidRPr="004823C1">
        <w:t xml:space="preserve">deaths in unclear circumstances of Shahin Naseri and Amirhossein Hatami over one week in September 2021 in Great Tehran Penitentiary </w:t>
      </w:r>
      <w:r w:rsidR="000F39D1">
        <w:t>are</w:t>
      </w:r>
      <w:r w:rsidR="000F39D1" w:rsidRPr="004823C1">
        <w:t xml:space="preserve"> </w:t>
      </w:r>
      <w:r w:rsidRPr="004823C1">
        <w:t>emblematic</w:t>
      </w:r>
      <w:r w:rsidR="00706C08">
        <w:t xml:space="preserve"> examples of death in detention without subsequent independent investigation</w:t>
      </w:r>
      <w:r w:rsidRPr="004823C1">
        <w:t>.</w:t>
      </w:r>
      <w:r w:rsidRPr="004823C1">
        <w:rPr>
          <w:lang w:val="en-US"/>
        </w:rPr>
        <w:t xml:space="preserve"> Naseri gave multiple affidavits of witnessing the torture of </w:t>
      </w:r>
      <w:r w:rsidR="1EF7867C">
        <w:rPr>
          <w:lang w:val="en-US"/>
        </w:rPr>
        <w:t xml:space="preserve">fellow prisoner, Navid </w:t>
      </w:r>
      <w:r w:rsidRPr="004823C1">
        <w:rPr>
          <w:lang w:val="en-US"/>
        </w:rPr>
        <w:t>Afkari</w:t>
      </w:r>
      <w:r w:rsidR="00706C08">
        <w:rPr>
          <w:lang w:val="en-US"/>
        </w:rPr>
        <w:t>.</w:t>
      </w:r>
      <w:r w:rsidR="002E19CA" w:rsidRPr="002E19CA">
        <w:rPr>
          <w:vertAlign w:val="superscript"/>
          <w:lang w:val="fr-CH"/>
        </w:rPr>
        <w:footnoteReference w:id="40"/>
      </w:r>
      <w:r w:rsidRPr="004823C1">
        <w:rPr>
          <w:lang w:val="en-US"/>
        </w:rPr>
        <w:t xml:space="preserve">. Naseri had previously received threats of reprisal from judicial authorities for his testimonies. On the anniversary of the execution of Navid Afkari in September 2021, Naseri was </w:t>
      </w:r>
      <w:r w:rsidR="51468DD6">
        <w:rPr>
          <w:lang w:val="en-US"/>
        </w:rPr>
        <w:t>placed in</w:t>
      </w:r>
      <w:r w:rsidRPr="004823C1">
        <w:rPr>
          <w:lang w:val="en-US"/>
        </w:rPr>
        <w:t xml:space="preserve"> solitary confinement, reportedly to prevent him from speaking with the media. He was found dead in prison on 21 September 2021. The judiciary announced that his death was caused by drug poisoning</w:t>
      </w:r>
      <w:r w:rsidR="00796DD4">
        <w:rPr>
          <w:lang w:val="en-US"/>
        </w:rPr>
        <w:t>,</w:t>
      </w:r>
      <w:r w:rsidRPr="004823C1">
        <w:rPr>
          <w:lang w:val="en-US"/>
        </w:rPr>
        <w:t xml:space="preserve"> without providing further details. On 22 September 2021, Amirhossein Hatami, died in the Great Tehran Penitentiary. </w:t>
      </w:r>
      <w:r w:rsidR="51468DD6">
        <w:rPr>
          <w:lang w:val="en-US"/>
        </w:rPr>
        <w:t>Prior</w:t>
      </w:r>
      <w:r w:rsidRPr="004823C1">
        <w:rPr>
          <w:lang w:val="en-US"/>
        </w:rPr>
        <w:t xml:space="preserve"> to his death, Hatami </w:t>
      </w:r>
      <w:r w:rsidR="0031321D">
        <w:rPr>
          <w:lang w:val="en-US"/>
        </w:rPr>
        <w:t xml:space="preserve">had </w:t>
      </w:r>
      <w:r w:rsidRPr="004823C1">
        <w:rPr>
          <w:lang w:val="en-US"/>
        </w:rPr>
        <w:t xml:space="preserve">stated that he </w:t>
      </w:r>
      <w:r w:rsidR="51468DD6">
        <w:rPr>
          <w:lang w:val="en-US"/>
        </w:rPr>
        <w:t>had been severely</w:t>
      </w:r>
      <w:r w:rsidRPr="004823C1">
        <w:rPr>
          <w:lang w:val="en-US"/>
        </w:rPr>
        <w:t xml:space="preserve"> beaten by prison guards.</w:t>
      </w:r>
      <w:r w:rsidR="004823C1" w:rsidRPr="00322FA5">
        <w:rPr>
          <w:rStyle w:val="FootnoteReference"/>
        </w:rPr>
        <w:footnoteReference w:id="41"/>
      </w:r>
      <w:r w:rsidRPr="004823C1">
        <w:rPr>
          <w:lang w:val="en-US"/>
        </w:rPr>
        <w:t xml:space="preserve"> On 2 November 2021, Khosro Jamalifar died in Sanandaj prison in Kurdistan Province, reportedly due to a head injury he sustained after being beaten by prison guards. State TV published video footage claiming that Jamalifar fell </w:t>
      </w:r>
      <w:r w:rsidR="00706C08">
        <w:rPr>
          <w:lang w:val="en-US"/>
        </w:rPr>
        <w:t>in his cell</w:t>
      </w:r>
      <w:r w:rsidRPr="004823C1">
        <w:rPr>
          <w:lang w:val="en-US"/>
        </w:rPr>
        <w:t xml:space="preserve">and </w:t>
      </w:r>
      <w:r w:rsidR="00706C08">
        <w:rPr>
          <w:lang w:val="en-US"/>
        </w:rPr>
        <w:t xml:space="preserve">later </w:t>
      </w:r>
      <w:r w:rsidRPr="004823C1">
        <w:rPr>
          <w:lang w:val="en-US"/>
        </w:rPr>
        <w:t>died in hospital.</w:t>
      </w:r>
      <w:r w:rsidR="004823C1" w:rsidRPr="00322FA5">
        <w:rPr>
          <w:rStyle w:val="FootnoteReference"/>
        </w:rPr>
        <w:footnoteReference w:id="42"/>
      </w:r>
      <w:r w:rsidRPr="004823C1">
        <w:rPr>
          <w:lang w:val="en-US"/>
        </w:rPr>
        <w:t xml:space="preserve"> The claim is contrary to </w:t>
      </w:r>
      <w:r w:rsidR="001F6C06">
        <w:rPr>
          <w:lang w:val="en-US"/>
        </w:rPr>
        <w:t xml:space="preserve">the accounts of </w:t>
      </w:r>
      <w:r w:rsidRPr="004823C1">
        <w:rPr>
          <w:lang w:val="en-US"/>
        </w:rPr>
        <w:t>eyewitnesses</w:t>
      </w:r>
      <w:r w:rsidR="001F6C06">
        <w:rPr>
          <w:lang w:val="en-US"/>
        </w:rPr>
        <w:t>,</w:t>
      </w:r>
      <w:r w:rsidRPr="004823C1">
        <w:rPr>
          <w:lang w:val="en-US"/>
        </w:rPr>
        <w:t xml:space="preserve"> who testified that Jamalifar </w:t>
      </w:r>
      <w:r w:rsidR="51468DD6">
        <w:rPr>
          <w:lang w:val="en-US"/>
        </w:rPr>
        <w:t xml:space="preserve">had </w:t>
      </w:r>
      <w:r w:rsidRPr="004823C1">
        <w:rPr>
          <w:lang w:val="en-US"/>
        </w:rPr>
        <w:t>died in prison, not in the hospital, after being beaten by prison guards.</w:t>
      </w:r>
      <w:r w:rsidR="004823C1" w:rsidRPr="00322FA5">
        <w:rPr>
          <w:rStyle w:val="FootnoteReference"/>
        </w:rPr>
        <w:footnoteReference w:id="43"/>
      </w:r>
      <w:r w:rsidRPr="004823C1">
        <w:t xml:space="preserve"> In November 2021, IRGC Intelligence in Naqadeh announced the death of Asad Ramin and Davood Rahimi in custody. The men had been arrested in September and reportedly subjected to torture prior to their death.</w:t>
      </w:r>
      <w:r w:rsidR="004823C1" w:rsidRPr="00322FA5">
        <w:rPr>
          <w:rStyle w:val="FootnoteReference"/>
        </w:rPr>
        <w:footnoteReference w:id="44"/>
      </w:r>
      <w:r w:rsidR="2F18B16A">
        <w:t xml:space="preserve"> </w:t>
      </w:r>
      <w:r w:rsidR="01E291F4">
        <w:t xml:space="preserve">The Government noted that investigations into the cause of their deaths </w:t>
      </w:r>
      <w:r w:rsidR="2F18B16A">
        <w:t>were</w:t>
      </w:r>
      <w:r w:rsidR="01E291F4">
        <w:t xml:space="preserve"> ongoing.</w:t>
      </w:r>
    </w:p>
    <w:p w14:paraId="5A3BD66A" w14:textId="1151C415" w:rsidR="004823C1" w:rsidRPr="004823C1" w:rsidRDefault="45361C4C" w:rsidP="00177785">
      <w:pPr>
        <w:pStyle w:val="ParNoG"/>
      </w:pPr>
      <w:r w:rsidRPr="004823C1">
        <w:rPr>
          <w:lang w:val="en-US"/>
        </w:rPr>
        <w:lastRenderedPageBreak/>
        <w:t xml:space="preserve">The Secretary-General is </w:t>
      </w:r>
      <w:r w:rsidR="00706C08">
        <w:rPr>
          <w:lang w:val="en-US"/>
        </w:rPr>
        <w:t>concerned</w:t>
      </w:r>
      <w:r w:rsidR="00C15A21">
        <w:rPr>
          <w:lang w:val="en-US"/>
        </w:rPr>
        <w:t xml:space="preserve"> </w:t>
      </w:r>
      <w:r w:rsidRPr="004823C1">
        <w:rPr>
          <w:lang w:val="en-US"/>
        </w:rPr>
        <w:t xml:space="preserve">by reports of death in prison due to denial of adequate and timely medical care. </w:t>
      </w:r>
      <w:r w:rsidRPr="00782353">
        <w:t>Poet and human rights defender, Baktash Abtin died on 10 January 2022, after not receiving timely medical care</w:t>
      </w:r>
      <w:r w:rsidRPr="004823C1">
        <w:t xml:space="preserve"> after contracting COVID-19 in prison.</w:t>
      </w:r>
      <w:r w:rsidR="004823C1" w:rsidRPr="00322FA5">
        <w:rPr>
          <w:rStyle w:val="FootnoteReference"/>
        </w:rPr>
        <w:footnoteReference w:id="45"/>
      </w:r>
      <w:r w:rsidRPr="004823C1">
        <w:rPr>
          <w:lang w:val="en-US"/>
        </w:rPr>
        <w:t xml:space="preserve"> Abtin </w:t>
      </w:r>
      <w:r w:rsidR="008C5777">
        <w:rPr>
          <w:lang w:val="en-US"/>
        </w:rPr>
        <w:t>had been</w:t>
      </w:r>
      <w:r w:rsidR="008C5777" w:rsidRPr="004823C1">
        <w:rPr>
          <w:lang w:val="en-US"/>
        </w:rPr>
        <w:t xml:space="preserve"> </w:t>
      </w:r>
      <w:r w:rsidRPr="004823C1">
        <w:rPr>
          <w:lang w:val="en-US"/>
        </w:rPr>
        <w:t xml:space="preserve">sentenced to five years of imprisonment on national security charges in connection with his advocacy for freedom of expression and opposing the censorship of literature. </w:t>
      </w:r>
      <w:r w:rsidRPr="004823C1">
        <w:t>Despite calls by the Secretary-General</w:t>
      </w:r>
      <w:r w:rsidR="004823C1" w:rsidRPr="00322FA5">
        <w:rPr>
          <w:rStyle w:val="FootnoteReference"/>
        </w:rPr>
        <w:footnoteReference w:id="46"/>
      </w:r>
      <w:r w:rsidRPr="004823C1">
        <w:t xml:space="preserve"> and the High Commissioner</w:t>
      </w:r>
      <w:r w:rsidR="004823C1" w:rsidRPr="00322FA5">
        <w:rPr>
          <w:rStyle w:val="FootnoteReference"/>
        </w:rPr>
        <w:footnoteReference w:id="47"/>
      </w:r>
      <w:r w:rsidRPr="004823C1">
        <w:t xml:space="preserve"> for </w:t>
      </w:r>
      <w:r w:rsidR="00BE3E08">
        <w:t xml:space="preserve">the </w:t>
      </w:r>
      <w:r w:rsidRPr="004823C1">
        <w:t>releas</w:t>
      </w:r>
      <w:r w:rsidR="51468DD6">
        <w:t xml:space="preserve">e of human rights defenders, lawyers and others arbitrarily detained for exercising their right to freedom of expression, </w:t>
      </w:r>
      <w:r w:rsidRPr="004823C1">
        <w:t>amidst the COVID-19 pandemic, they remained disproportionately excluded from COVID-19 release schemes.</w:t>
      </w:r>
    </w:p>
    <w:p w14:paraId="449D7660" w14:textId="57515719" w:rsidR="004823C1" w:rsidRPr="004823C1" w:rsidRDefault="45361C4C" w:rsidP="00177785">
      <w:pPr>
        <w:pStyle w:val="ParNoG"/>
      </w:pPr>
      <w:r w:rsidRPr="004823C1">
        <w:t xml:space="preserve">OHCHR received </w:t>
      </w:r>
      <w:r w:rsidR="000D1A74">
        <w:t xml:space="preserve">reports of </w:t>
      </w:r>
      <w:r w:rsidRPr="004823C1">
        <w:t xml:space="preserve">cases </w:t>
      </w:r>
      <w:r w:rsidR="001C24A5">
        <w:t xml:space="preserve">which indicate a </w:t>
      </w:r>
      <w:r w:rsidRPr="004823C1">
        <w:t xml:space="preserve">denial of adequate medical </w:t>
      </w:r>
      <w:r w:rsidR="51468DD6">
        <w:t>care</w:t>
      </w:r>
      <w:r w:rsidRPr="004823C1">
        <w:t xml:space="preserve"> to prisoners on hunger-strike, in some instances resulting in death. </w:t>
      </w:r>
      <w:r w:rsidRPr="004823C1">
        <w:rPr>
          <w:lang w:val="en-US"/>
        </w:rPr>
        <w:t>Adel Kianpour died in Sheyban prison in Khuzestan Province after a week of hunger strike.</w:t>
      </w:r>
      <w:r w:rsidR="004823C1" w:rsidRPr="00322FA5">
        <w:rPr>
          <w:rStyle w:val="FootnoteReference"/>
        </w:rPr>
        <w:footnoteReference w:id="48"/>
      </w:r>
      <w:r w:rsidRPr="004823C1">
        <w:rPr>
          <w:lang w:val="en-US"/>
        </w:rPr>
        <w:t xml:space="preserve"> After his arrest in 2020, and subsequent reports of </w:t>
      </w:r>
      <w:r w:rsidR="51468DD6">
        <w:rPr>
          <w:lang w:val="en-US"/>
        </w:rPr>
        <w:t xml:space="preserve">his </w:t>
      </w:r>
      <w:r w:rsidRPr="004823C1">
        <w:rPr>
          <w:lang w:val="en-US"/>
        </w:rPr>
        <w:t>torture and ill-treatment</w:t>
      </w:r>
      <w:r w:rsidR="512F93DF">
        <w:rPr>
          <w:lang w:val="en-US"/>
        </w:rPr>
        <w:t>,</w:t>
      </w:r>
      <w:r w:rsidRPr="004823C1">
        <w:rPr>
          <w:lang w:val="en-US"/>
        </w:rPr>
        <w:t xml:space="preserve"> </w:t>
      </w:r>
      <w:r w:rsidRPr="004823C1">
        <w:t xml:space="preserve">the Revolution Court sentenced him to three years of </w:t>
      </w:r>
      <w:r w:rsidRPr="004823C1">
        <w:rPr>
          <w:lang w:val="en-US"/>
        </w:rPr>
        <w:t>imprisonment. Kianpour twice underwent hunger strikes in prison to protest the denial of fair trial rights.</w:t>
      </w:r>
      <w:r w:rsidRPr="004823C1" w:rsidDel="00055386">
        <w:rPr>
          <w:vertAlign w:val="superscript"/>
          <w:lang w:val="en-US"/>
        </w:rPr>
        <w:t xml:space="preserve"> </w:t>
      </w:r>
    </w:p>
    <w:p w14:paraId="67D320DB" w14:textId="63046476" w:rsidR="004823C1" w:rsidRPr="004823C1" w:rsidRDefault="45361C4C" w:rsidP="00177785">
      <w:pPr>
        <w:pStyle w:val="ParNoG"/>
        <w:rPr>
          <w:lang w:val="en-US"/>
        </w:rPr>
      </w:pPr>
      <w:r w:rsidRPr="004823C1">
        <w:rPr>
          <w:lang w:val="en-US"/>
        </w:rPr>
        <w:t xml:space="preserve">Reports of denial of timely medical treatment to detained human rights defenders is an increasing concern, particularly in the </w:t>
      </w:r>
      <w:r w:rsidR="51468DD6">
        <w:rPr>
          <w:lang w:val="en-US"/>
        </w:rPr>
        <w:t xml:space="preserve">continuing </w:t>
      </w:r>
      <w:r w:rsidRPr="004823C1">
        <w:rPr>
          <w:lang w:val="en-US"/>
        </w:rPr>
        <w:t xml:space="preserve">context of </w:t>
      </w:r>
      <w:r w:rsidR="00910A3C">
        <w:rPr>
          <w:lang w:val="en-US"/>
        </w:rPr>
        <w:t xml:space="preserve">the </w:t>
      </w:r>
      <w:r w:rsidRPr="004823C1">
        <w:rPr>
          <w:lang w:val="en-US"/>
        </w:rPr>
        <w:t>COVID-19 pandemic.</w:t>
      </w:r>
      <w:r w:rsidRPr="5D024BF2">
        <w:t xml:space="preserve"> </w:t>
      </w:r>
      <w:r w:rsidRPr="004823C1">
        <w:rPr>
          <w:lang w:val="en-US"/>
        </w:rPr>
        <w:t xml:space="preserve">Teacher and civil rights advocate, Abbas Vahedian Shahroudi, was </w:t>
      </w:r>
      <w:r w:rsidRPr="73A88EB4">
        <w:rPr>
          <w:lang w:val="en-US"/>
        </w:rPr>
        <w:t xml:space="preserve">reportedly </w:t>
      </w:r>
      <w:r w:rsidRPr="004823C1">
        <w:rPr>
          <w:lang w:val="en-US"/>
        </w:rPr>
        <w:t>transferred “half conscious” from Vakilabad Prison on 24 February 2022 to a hospital for a few hours and returned to prison without sufficient treatment.</w:t>
      </w:r>
      <w:r w:rsidR="004823C1" w:rsidRPr="00322FA5">
        <w:rPr>
          <w:rStyle w:val="FootnoteReference"/>
        </w:rPr>
        <w:footnoteReference w:id="49"/>
      </w:r>
      <w:r w:rsidRPr="004823C1">
        <w:rPr>
          <w:lang w:val="en-US"/>
        </w:rPr>
        <w:t xml:space="preserve"> In February 2022, civil rights activist Arsham Rezaee went</w:t>
      </w:r>
      <w:r w:rsidR="005128AB">
        <w:rPr>
          <w:lang w:val="en-US"/>
        </w:rPr>
        <w:t xml:space="preserve"> on</w:t>
      </w:r>
      <w:r w:rsidRPr="004823C1">
        <w:rPr>
          <w:lang w:val="en-US"/>
        </w:rPr>
        <w:t xml:space="preserve"> hunger strike for one month in protest </w:t>
      </w:r>
      <w:r w:rsidR="00A65ECE">
        <w:rPr>
          <w:lang w:val="en-US"/>
        </w:rPr>
        <w:t>of</w:t>
      </w:r>
      <w:r w:rsidRPr="004823C1">
        <w:rPr>
          <w:lang w:val="en-US"/>
        </w:rPr>
        <w:t xml:space="preserve"> the rejection of his requests for medical furlough.</w:t>
      </w:r>
      <w:r w:rsidR="004823C1" w:rsidRPr="00322FA5">
        <w:rPr>
          <w:rStyle w:val="FootnoteReference"/>
        </w:rPr>
        <w:footnoteReference w:id="50"/>
      </w:r>
      <w:r w:rsidRPr="004823C1">
        <w:rPr>
          <w:lang w:val="en-US"/>
        </w:rPr>
        <w:t xml:space="preserve"> Sepideh Qolian contracted COVID-19 in prison in February 2022 and was denied </w:t>
      </w:r>
      <w:r w:rsidR="51468DD6">
        <w:rPr>
          <w:lang w:val="en-US"/>
        </w:rPr>
        <w:t xml:space="preserve">any form of </w:t>
      </w:r>
      <w:r w:rsidRPr="004823C1">
        <w:rPr>
          <w:lang w:val="en-US"/>
        </w:rPr>
        <w:t>medical furlough</w:t>
      </w:r>
      <w:r w:rsidRPr="004823C1">
        <w:t>.</w:t>
      </w:r>
      <w:r w:rsidR="004823C1" w:rsidRPr="00322FA5">
        <w:rPr>
          <w:rStyle w:val="FootnoteReference"/>
        </w:rPr>
        <w:footnoteReference w:id="51"/>
      </w:r>
      <w:r w:rsidRPr="004823C1">
        <w:rPr>
          <w:lang w:val="en-US"/>
        </w:rPr>
        <w:t xml:space="preserve"> </w:t>
      </w:r>
    </w:p>
    <w:p w14:paraId="29A0658D" w14:textId="450B3D79" w:rsidR="004823C1" w:rsidRPr="004823C1" w:rsidRDefault="00E82D38" w:rsidP="00E82D38">
      <w:pPr>
        <w:pStyle w:val="H1G"/>
      </w:pPr>
      <w:r>
        <w:tab/>
      </w:r>
      <w:r w:rsidR="0000400C">
        <w:t>B</w:t>
      </w:r>
      <w:r w:rsidR="004823C1" w:rsidRPr="004823C1">
        <w:t>.</w:t>
      </w:r>
      <w:r>
        <w:tab/>
      </w:r>
      <w:r w:rsidR="004823C1" w:rsidRPr="004823C1">
        <w:t>Legislative developments</w:t>
      </w:r>
    </w:p>
    <w:p w14:paraId="09648C98" w14:textId="434D616A" w:rsidR="004823C1" w:rsidRPr="004823C1" w:rsidRDefault="00C26131" w:rsidP="00C26131">
      <w:pPr>
        <w:pStyle w:val="H23G"/>
        <w:rPr>
          <w:lang w:val="en-US"/>
        </w:rPr>
      </w:pPr>
      <w:r>
        <w:rPr>
          <w:lang w:val="en-US"/>
        </w:rPr>
        <w:tab/>
      </w:r>
      <w:r w:rsidR="0079104C">
        <w:rPr>
          <w:lang w:val="en-US"/>
        </w:rPr>
        <w:tab/>
      </w:r>
      <w:r w:rsidR="004823C1" w:rsidRPr="004823C1">
        <w:rPr>
          <w:lang w:val="en-US"/>
        </w:rPr>
        <w:t>Youthful Population and Protection of the Family Law</w:t>
      </w:r>
    </w:p>
    <w:p w14:paraId="717269CC" w14:textId="3329F121" w:rsidR="004823C1" w:rsidRPr="004823C1" w:rsidRDefault="45361C4C" w:rsidP="003A7190">
      <w:pPr>
        <w:pStyle w:val="ParNoG"/>
      </w:pPr>
      <w:r w:rsidRPr="004823C1">
        <w:rPr>
          <w:lang w:val="en-US"/>
        </w:rPr>
        <w:t xml:space="preserve">The Secretary- General is concerned about the </w:t>
      </w:r>
      <w:r w:rsidR="003A7190" w:rsidRPr="003A7190">
        <w:rPr>
          <w:lang w:val="en-US"/>
        </w:rPr>
        <w:t>potential impacts that</w:t>
      </w:r>
      <w:r w:rsidR="006C56BC">
        <w:rPr>
          <w:lang w:val="en-US"/>
        </w:rPr>
        <w:t xml:space="preserve"> </w:t>
      </w:r>
      <w:r w:rsidRPr="004823C1">
        <w:rPr>
          <w:lang w:val="en-US"/>
        </w:rPr>
        <w:t>the “</w:t>
      </w:r>
      <w:r w:rsidRPr="004823C1">
        <w:t xml:space="preserve">Youthful Population and Protection of the Family” law </w:t>
      </w:r>
      <w:r w:rsidR="002E53C1">
        <w:t>might</w:t>
      </w:r>
      <w:r w:rsidR="006C56BC">
        <w:t xml:space="preserve"> </w:t>
      </w:r>
      <w:r w:rsidR="00276D15">
        <w:t>have</w:t>
      </w:r>
      <w:r w:rsidRPr="004823C1">
        <w:t xml:space="preserve"> on men, women and girl</w:t>
      </w:r>
      <w:r w:rsidR="00276D15">
        <w:t>s</w:t>
      </w:r>
      <w:r w:rsidRPr="004823C1">
        <w:t>’ rights to sexual and reproductive health.</w:t>
      </w:r>
      <w:r w:rsidR="004823C1" w:rsidRPr="00322FA5">
        <w:rPr>
          <w:rStyle w:val="FootnoteReference"/>
        </w:rPr>
        <w:footnoteReference w:id="52"/>
      </w:r>
      <w:r w:rsidRPr="004823C1">
        <w:t xml:space="preserve"> The law was approved by the Guardian Council on 1 November 2021. </w:t>
      </w:r>
      <w:r w:rsidR="003204F0">
        <w:t>It</w:t>
      </w:r>
      <w:r w:rsidRPr="004823C1">
        <w:t xml:space="preserve"> prohibits the free distribution of contraceptives in the public health care system, requires medical authorization for contraceptive pills (article 51), imposes a ban on voluntary sterilizations for men and women except in life-threatening cases (article 51), and enacts a policy of restricting access to information on family planning and abortion (articles 48, 53). The law imposes additional restrictions </w:t>
      </w:r>
      <w:r w:rsidRPr="004823C1">
        <w:lastRenderedPageBreak/>
        <w:t>on abortion, which is already criminalized in the Penal Code. Under a 2005 legislation, abortion could be legally performed during the first four months of pregnancy if three specialist doctors determined fetal anomalies or threats to the life of the pregnant woman.</w:t>
      </w:r>
      <w:r w:rsidR="005E7CB8">
        <w:t xml:space="preserve"> </w:t>
      </w:r>
      <w:r w:rsidRPr="004823C1">
        <w:t xml:space="preserve">The new law repeals the 2005 law, restricts the grounds for therapeutic abortion, and establishes a panel consisting of a judge, a medical doctor and a forensic doctor for authorizing therapeutic abortion (article 56). </w:t>
      </w:r>
      <w:r w:rsidR="005F4525">
        <w:t>It</w:t>
      </w:r>
      <w:r w:rsidRPr="004823C1">
        <w:t xml:space="preserve"> mandates the Intelligence Ministry and other security agencies to identify and refer to judicial authorities cases of illegal abortion (article 59).  Article 61 allows </w:t>
      </w:r>
      <w:r w:rsidR="51468DD6">
        <w:t xml:space="preserve">the </w:t>
      </w:r>
      <w:r w:rsidRPr="004823C1">
        <w:t>imposi</w:t>
      </w:r>
      <w:r w:rsidR="51468DD6">
        <w:t>tion of the</w:t>
      </w:r>
      <w:r w:rsidRPr="004823C1">
        <w:t xml:space="preserve"> death penalty under the charge of “corruption on earth” </w:t>
      </w:r>
      <w:r w:rsidR="00897F19">
        <w:t>on</w:t>
      </w:r>
      <w:r w:rsidRPr="004823C1">
        <w:t xml:space="preserve"> anyone who performs abortion</w:t>
      </w:r>
      <w:r w:rsidR="008D35F9">
        <w:t>s</w:t>
      </w:r>
      <w:r w:rsidRPr="004823C1">
        <w:t xml:space="preserve"> </w:t>
      </w:r>
      <w:r w:rsidR="51468DD6">
        <w:t xml:space="preserve">on a </w:t>
      </w:r>
      <w:r w:rsidR="006C56BC">
        <w:t>“</w:t>
      </w:r>
      <w:r w:rsidR="51468DD6">
        <w:t xml:space="preserve">large </w:t>
      </w:r>
      <w:r w:rsidRPr="004823C1">
        <w:t>scale</w:t>
      </w:r>
      <w:r w:rsidR="006C56BC">
        <w:t>”</w:t>
      </w:r>
      <w:r w:rsidRPr="004823C1">
        <w:t>.</w:t>
      </w:r>
    </w:p>
    <w:p w14:paraId="4D51BB5B" w14:textId="50C31943" w:rsidR="004823C1" w:rsidRPr="004823C1" w:rsidRDefault="45361C4C" w:rsidP="00177785">
      <w:pPr>
        <w:pStyle w:val="ParNoG"/>
      </w:pPr>
      <w:r w:rsidRPr="004823C1">
        <w:t xml:space="preserve">On 30 January 2022, </w:t>
      </w:r>
      <w:r w:rsidR="51468DD6">
        <w:t>food and drug authorities</w:t>
      </w:r>
      <w:r w:rsidRPr="004823C1">
        <w:t xml:space="preserve"> issued a directive banning free or subsidized distribution of contraceptive items and prohibiting contraceptive services in the public health care system or any encouragement to use contraception.</w:t>
      </w:r>
      <w:r w:rsidR="5A9D8158">
        <w:t xml:space="preserve"> </w:t>
      </w:r>
      <w:r w:rsidRPr="004823C1">
        <w:t xml:space="preserve">Iran’s </w:t>
      </w:r>
      <w:r w:rsidR="51468DD6">
        <w:t>c</w:t>
      </w:r>
      <w:r w:rsidRPr="004823C1">
        <w:t xml:space="preserve">yber police announced that 100 special units were established for identifying people who sell </w:t>
      </w:r>
      <w:r w:rsidRPr="004823C1">
        <w:rPr>
          <w:lang w:val="en-US"/>
        </w:rPr>
        <w:t xml:space="preserve">illegal </w:t>
      </w:r>
      <w:r w:rsidRPr="004823C1">
        <w:t xml:space="preserve">drugs online including abortion drugs </w:t>
      </w:r>
      <w:r w:rsidR="51468DD6">
        <w:t>which</w:t>
      </w:r>
      <w:r w:rsidR="00C62F70">
        <w:t>, according to press reports,</w:t>
      </w:r>
      <w:r w:rsidR="51468DD6">
        <w:t xml:space="preserve"> </w:t>
      </w:r>
      <w:r w:rsidRPr="004823C1">
        <w:t>resulted in the arrest of 25 people in January</w:t>
      </w:r>
      <w:r w:rsidR="004823C1" w:rsidRPr="00322FA5">
        <w:rPr>
          <w:rStyle w:val="FootnoteReference"/>
        </w:rPr>
        <w:footnoteReference w:id="53"/>
      </w:r>
      <w:r w:rsidRPr="004823C1">
        <w:t xml:space="preserve"> and </w:t>
      </w:r>
      <w:r w:rsidR="00473FE6">
        <w:t>6</w:t>
      </w:r>
      <w:r w:rsidRPr="004823C1">
        <w:t xml:space="preserve"> people in February</w:t>
      </w:r>
      <w:r w:rsidR="004823C1" w:rsidRPr="00322FA5">
        <w:rPr>
          <w:rStyle w:val="FootnoteReference"/>
        </w:rPr>
        <w:footnoteReference w:id="54"/>
      </w:r>
      <w:r w:rsidRPr="004823C1">
        <w:t xml:space="preserve"> 2022. The new law and implementing measures are the latest in a series of policies to reverse the previous family planning programme. Experts consider that the law may also </w:t>
      </w:r>
      <w:r w:rsidR="002405E8">
        <w:t xml:space="preserve">potentially </w:t>
      </w:r>
      <w:r w:rsidRPr="004823C1">
        <w:t xml:space="preserve">lead to an increase in sexually transmittable diseases, an area in which the Government has previously demonstrated positive achievements. </w:t>
      </w:r>
    </w:p>
    <w:p w14:paraId="538D82D3" w14:textId="7AD290EB" w:rsidR="004823C1" w:rsidRPr="004823C1" w:rsidRDefault="45361C4C" w:rsidP="00621799">
      <w:pPr>
        <w:pStyle w:val="ParNoG"/>
      </w:pPr>
      <w:r w:rsidRPr="004823C1">
        <w:t>The Secretary-General is concerned about the</w:t>
      </w:r>
      <w:r w:rsidR="007B7E49">
        <w:t xml:space="preserve"> possible</w:t>
      </w:r>
      <w:r w:rsidRPr="004823C1">
        <w:t xml:space="preserve"> impact of these policies, </w:t>
      </w:r>
      <w:r w:rsidR="00AD6DC8">
        <w:t xml:space="preserve">which </w:t>
      </w:r>
      <w:r w:rsidR="006C56BC">
        <w:t xml:space="preserve">the </w:t>
      </w:r>
      <w:r w:rsidR="00AD6DC8">
        <w:t xml:space="preserve">Government </w:t>
      </w:r>
      <w:r w:rsidR="00342905">
        <w:t xml:space="preserve">has </w:t>
      </w:r>
      <w:r w:rsidR="006C56BC">
        <w:t xml:space="preserve">stated </w:t>
      </w:r>
      <w:r w:rsidR="00342905">
        <w:t>are aimed at</w:t>
      </w:r>
      <w:r w:rsidRPr="004823C1">
        <w:t xml:space="preserve"> increasing population growth</w:t>
      </w:r>
      <w:r w:rsidR="00342905">
        <w:rPr>
          <w:rStyle w:val="FootnoteReference"/>
        </w:rPr>
        <w:footnoteReference w:id="55"/>
      </w:r>
      <w:r w:rsidR="00C507BF">
        <w:t>,</w:t>
      </w:r>
      <w:r w:rsidR="00C507BF" w:rsidRPr="004823C1">
        <w:t xml:space="preserve"> on women and girls’ rights</w:t>
      </w:r>
      <w:r w:rsidR="009F2FDE">
        <w:t xml:space="preserve">. </w:t>
      </w:r>
      <w:r w:rsidR="009A062E">
        <w:t>T</w:t>
      </w:r>
      <w:r w:rsidR="00120599" w:rsidRPr="004823C1">
        <w:t xml:space="preserve">he </w:t>
      </w:r>
      <w:r w:rsidRPr="004823C1">
        <w:t>Committee on Economic and Social Rights</w:t>
      </w:r>
      <w:r w:rsidR="00EF3597">
        <w:t xml:space="preserve"> has stated that</w:t>
      </w:r>
      <w:r w:rsidR="004A35C9">
        <w:t xml:space="preserve"> </w:t>
      </w:r>
      <w:r w:rsidR="004A35C9" w:rsidRPr="004A35C9">
        <w:t xml:space="preserve"> retrogressive measures –such as the imposition of barriers to information, goods and services relating to sexual and reproductive health and enacting laws criminalizing certain sexual and reproductive health conduct and decisions— should be avoided</w:t>
      </w:r>
      <w:r w:rsidR="003917BE">
        <w:t>.</w:t>
      </w:r>
      <w:r w:rsidRPr="004823C1">
        <w:t>.</w:t>
      </w:r>
      <w:r w:rsidR="004823C1" w:rsidRPr="00322FA5">
        <w:rPr>
          <w:rStyle w:val="FootnoteReference"/>
        </w:rPr>
        <w:footnoteReference w:id="56"/>
      </w:r>
      <w:r w:rsidR="5A9D8158">
        <w:t xml:space="preserve"> </w:t>
      </w:r>
      <w:r w:rsidRPr="004823C1">
        <w:t xml:space="preserve">According to the Committee, sexual and reproductive health is an integral part of the right to health and is essential to the realization of the full range of </w:t>
      </w:r>
      <w:r w:rsidR="51468DD6">
        <w:t xml:space="preserve">women’s </w:t>
      </w:r>
      <w:r w:rsidRPr="004823C1">
        <w:t>human rights</w:t>
      </w:r>
      <w:r w:rsidR="00035245">
        <w:rPr>
          <w:rStyle w:val="FootnoteReference"/>
        </w:rPr>
        <w:footnoteReference w:id="57"/>
      </w:r>
      <w:r w:rsidRPr="004823C1">
        <w:t xml:space="preserve">, </w:t>
      </w:r>
      <w:r w:rsidR="087D10A6">
        <w:t>and is linked to rights such as the</w:t>
      </w:r>
      <w:r w:rsidRPr="004823C1">
        <w:t xml:space="preserve"> rights to life, privacy and the right to be free from cruel, inhuman and degrading treatment.</w:t>
      </w:r>
      <w:r w:rsidR="004823C1" w:rsidRPr="00322FA5">
        <w:rPr>
          <w:rStyle w:val="FootnoteReference"/>
        </w:rPr>
        <w:footnoteReference w:id="58"/>
      </w:r>
      <w:r w:rsidRPr="004823C1">
        <w:t xml:space="preserve"> </w:t>
      </w:r>
      <w:r w:rsidR="087D10A6">
        <w:t xml:space="preserve">The Committee </w:t>
      </w:r>
      <w:r w:rsidR="00774B99">
        <w:t xml:space="preserve">has </w:t>
      </w:r>
      <w:r w:rsidR="087D10A6">
        <w:t>also state</w:t>
      </w:r>
      <w:r w:rsidR="00774B99">
        <w:t>d</w:t>
      </w:r>
      <w:r w:rsidR="087D10A6">
        <w:t xml:space="preserve"> that laws and policies that create barriers in access to sexual and reproductive health services, such as third party authorization for abortion, </w:t>
      </w:r>
      <w:r w:rsidRPr="004823C1">
        <w:t xml:space="preserve">access </w:t>
      </w:r>
      <w:r w:rsidR="000F0885">
        <w:t xml:space="preserve">to </w:t>
      </w:r>
      <w:r w:rsidRPr="004823C1">
        <w:t>sexual and reproductive services, medicine</w:t>
      </w:r>
      <w:r w:rsidR="087D10A6">
        <w:t>s</w:t>
      </w:r>
      <w:r w:rsidRPr="004823C1">
        <w:t xml:space="preserve"> and information </w:t>
      </w:r>
      <w:r w:rsidR="087D10A6">
        <w:t xml:space="preserve">as well as criminalization of women undergoing abortions, </w:t>
      </w:r>
      <w:r w:rsidR="00661496">
        <w:t xml:space="preserve">have the potential of </w:t>
      </w:r>
      <w:r w:rsidR="087D10A6">
        <w:t>amount</w:t>
      </w:r>
      <w:r w:rsidR="00661496">
        <w:t>ing</w:t>
      </w:r>
      <w:r w:rsidR="087D10A6">
        <w:t xml:space="preserve"> to violations of the </w:t>
      </w:r>
      <w:r w:rsidR="00621799" w:rsidRPr="00621799">
        <w:t xml:space="preserve">obligation to respect </w:t>
      </w:r>
      <w:r w:rsidR="00621799">
        <w:t xml:space="preserve">the </w:t>
      </w:r>
      <w:r w:rsidR="087D10A6">
        <w:t>right to sexual and reproductive health enshrined in article 12 of the ICESCR</w:t>
      </w:r>
      <w:r w:rsidRPr="004823C1">
        <w:t>.</w:t>
      </w:r>
      <w:r w:rsidR="004823C1" w:rsidRPr="00322FA5">
        <w:rPr>
          <w:rStyle w:val="FootnoteReference"/>
        </w:rPr>
        <w:footnoteReference w:id="59"/>
      </w:r>
      <w:r w:rsidRPr="004823C1">
        <w:t xml:space="preserve"> Sexual and reproductive health is also included as part of the Sustainable Development Goals, including in Target 3.7, calling on countries</w:t>
      </w:r>
      <w:r w:rsidR="5A9D8158">
        <w:t xml:space="preserve"> </w:t>
      </w:r>
      <w:r w:rsidRPr="004823C1">
        <w:t xml:space="preserve">to ensure universal access to sexual and reproductive health-care services, including for family planning, information and education, and the integration of reproductive health into national strategies and programmes by 2030. </w:t>
      </w:r>
    </w:p>
    <w:p w14:paraId="76E0C0A6" w14:textId="38398DD3" w:rsidR="004823C1" w:rsidRPr="004823C1" w:rsidRDefault="45361C4C" w:rsidP="00177785">
      <w:pPr>
        <w:pStyle w:val="ParNoG"/>
      </w:pPr>
      <w:r w:rsidRPr="004823C1">
        <w:lastRenderedPageBreak/>
        <w:t xml:space="preserve">Restrictions on the access to contraception items, services, and information as well as criminalization of abortion, raises concerns about the increase of unwanted pregnancies and unsafe abortions, especially for women belonging to disadvantaged and marginalized groups. </w:t>
      </w:r>
      <w:r w:rsidR="00912CDD">
        <w:t>According to press reports, t</w:t>
      </w:r>
      <w:r w:rsidRPr="004823C1">
        <w:t>he Ministry</w:t>
      </w:r>
      <w:r w:rsidR="087D10A6">
        <w:t xml:space="preserve"> of Health</w:t>
      </w:r>
      <w:r w:rsidRPr="004823C1">
        <w:t xml:space="preserve"> estimates at least 300,000 illegally performed abortions each year.</w:t>
      </w:r>
      <w:r w:rsidR="004823C1" w:rsidRPr="00322FA5">
        <w:rPr>
          <w:rStyle w:val="FootnoteReference"/>
        </w:rPr>
        <w:footnoteReference w:id="60"/>
      </w:r>
      <w:r w:rsidRPr="004823C1">
        <w:t xml:space="preserve"> Of 12,000 requests for therapeutic abortion received by the Legal Medicine Organization each year, 9,000 are approved.</w:t>
      </w:r>
      <w:r w:rsidR="004823C1" w:rsidRPr="00322FA5">
        <w:rPr>
          <w:rStyle w:val="FootnoteReference"/>
        </w:rPr>
        <w:footnoteReference w:id="61"/>
      </w:r>
      <w:r w:rsidRPr="004823C1">
        <w:t xml:space="preserve"> According to the World Health Organization, restricting access to abortions does not reduce the number of abortions, </w:t>
      </w:r>
      <w:r w:rsidR="009872ED">
        <w:t xml:space="preserve">but </w:t>
      </w:r>
      <w:r w:rsidR="00181EE8">
        <w:t xml:space="preserve">it </w:t>
      </w:r>
      <w:r w:rsidRPr="004823C1">
        <w:t>affect</w:t>
      </w:r>
      <w:r w:rsidR="00181EE8">
        <w:t>s</w:t>
      </w:r>
      <w:r w:rsidRPr="004823C1">
        <w:t xml:space="preserve"> whether abortions that women and girls attain are safe and dignified.</w:t>
      </w:r>
      <w:r w:rsidR="004823C1" w:rsidRPr="00322FA5">
        <w:rPr>
          <w:rStyle w:val="FootnoteReference"/>
        </w:rPr>
        <w:footnoteReference w:id="62"/>
      </w:r>
      <w:r w:rsidRPr="004823C1">
        <w:rPr>
          <w:lang w:val="en-US"/>
        </w:rPr>
        <w:t xml:space="preserve"> Medical officials in the country have voiced their concerns about the </w:t>
      </w:r>
      <w:r w:rsidR="087D10A6">
        <w:rPr>
          <w:lang w:val="en-US"/>
        </w:rPr>
        <w:t xml:space="preserve">serious </w:t>
      </w:r>
      <w:r w:rsidRPr="004823C1">
        <w:rPr>
          <w:lang w:val="en-US"/>
        </w:rPr>
        <w:t xml:space="preserve">impact of this law on public health, including </w:t>
      </w:r>
      <w:r w:rsidRPr="004823C1">
        <w:t>sexually transmitted infections.</w:t>
      </w:r>
      <w:r w:rsidR="004823C1" w:rsidRPr="00322FA5">
        <w:rPr>
          <w:rStyle w:val="FootnoteReference"/>
        </w:rPr>
        <w:footnoteReference w:id="63"/>
      </w:r>
    </w:p>
    <w:p w14:paraId="274BA501" w14:textId="6727DB6A" w:rsidR="004823C1" w:rsidRPr="004823C1" w:rsidRDefault="0079104C" w:rsidP="0079104C">
      <w:pPr>
        <w:pStyle w:val="H23G"/>
      </w:pPr>
      <w:r>
        <w:tab/>
      </w:r>
      <w:r>
        <w:tab/>
      </w:r>
      <w:r w:rsidR="004823C1" w:rsidRPr="004823C1">
        <w:t>“Protection, Dignity and Security of Women against Violence” Bill</w:t>
      </w:r>
    </w:p>
    <w:p w14:paraId="1C05E537" w14:textId="1C727343" w:rsidR="004823C1" w:rsidRPr="004823C1" w:rsidRDefault="45361C4C" w:rsidP="00177785">
      <w:pPr>
        <w:pStyle w:val="ParNoG"/>
        <w:rPr>
          <w:b/>
          <w:bCs/>
        </w:rPr>
      </w:pPr>
      <w:r w:rsidRPr="004823C1">
        <w:rPr>
          <w:lang w:val="en-US"/>
        </w:rPr>
        <w:t xml:space="preserve">The Secretary-General </w:t>
      </w:r>
      <w:r w:rsidR="006C1252">
        <w:rPr>
          <w:lang w:val="en-US"/>
        </w:rPr>
        <w:t>notes</w:t>
      </w:r>
      <w:r w:rsidRPr="004823C1">
        <w:rPr>
          <w:lang w:val="en-US"/>
        </w:rPr>
        <w:t xml:space="preserve"> </w:t>
      </w:r>
      <w:r w:rsidR="00CE52A3">
        <w:rPr>
          <w:lang w:val="en-US"/>
        </w:rPr>
        <w:t>by the apparent stall in</w:t>
      </w:r>
      <w:r w:rsidRPr="004823C1">
        <w:rPr>
          <w:lang w:val="en-US"/>
        </w:rPr>
        <w:t xml:space="preserve"> the </w:t>
      </w:r>
      <w:r w:rsidR="006C56BC">
        <w:rPr>
          <w:lang w:val="en-US"/>
        </w:rPr>
        <w:t xml:space="preserve">revision and </w:t>
      </w:r>
      <w:r w:rsidRPr="004823C1">
        <w:rPr>
          <w:lang w:val="en-US"/>
        </w:rPr>
        <w:t xml:space="preserve">adoption of the “Protection, Dignity and Security of Women against Violence” bill since it was </w:t>
      </w:r>
      <w:r w:rsidRPr="004823C1">
        <w:t>presented to Parliament on 13 January 2021.</w:t>
      </w:r>
      <w:r w:rsidR="004823C1" w:rsidRPr="00322FA5">
        <w:rPr>
          <w:rStyle w:val="FootnoteReference"/>
        </w:rPr>
        <w:footnoteReference w:id="64"/>
      </w:r>
      <w:r w:rsidR="5A9D8158">
        <w:t xml:space="preserve"> </w:t>
      </w:r>
      <w:r w:rsidRPr="004823C1">
        <w:t xml:space="preserve">The bill would introduce positive changes as the country’s first special law criminalizing violence against women. </w:t>
      </w:r>
      <w:r w:rsidRPr="004823C1">
        <w:rPr>
          <w:lang w:val="en-US"/>
        </w:rPr>
        <w:t xml:space="preserve">Notwithstanding the positive provisions of the bill, the final draft does not </w:t>
      </w:r>
      <w:r w:rsidR="087D10A6">
        <w:rPr>
          <w:lang w:val="en-US"/>
        </w:rPr>
        <w:t xml:space="preserve">address </w:t>
      </w:r>
      <w:r w:rsidRPr="004823C1">
        <w:rPr>
          <w:lang w:val="en-US"/>
        </w:rPr>
        <w:t>the shortcomings previously raised by the Secretary-General</w:t>
      </w:r>
      <w:r w:rsidR="004823C1" w:rsidRPr="00322FA5">
        <w:rPr>
          <w:rStyle w:val="FootnoteReference"/>
        </w:rPr>
        <w:footnoteReference w:id="65"/>
      </w:r>
      <w:r w:rsidRPr="004823C1">
        <w:rPr>
          <w:lang w:val="en-US"/>
        </w:rPr>
        <w:t xml:space="preserve"> and by </w:t>
      </w:r>
      <w:r w:rsidRPr="004823C1">
        <w:t>Special Procedure mandate-holders.</w:t>
      </w:r>
      <w:r w:rsidR="004823C1" w:rsidRPr="00322FA5">
        <w:rPr>
          <w:rStyle w:val="FootnoteReference"/>
        </w:rPr>
        <w:footnoteReference w:id="66"/>
      </w:r>
      <w:r w:rsidRPr="004823C1">
        <w:t xml:space="preserve"> Some provisions increase the risk of women’s exposure to violence. </w:t>
      </w:r>
      <w:r w:rsidR="00D90560">
        <w:t xml:space="preserve">For example, </w:t>
      </w:r>
      <w:r w:rsidRPr="004823C1">
        <w:t xml:space="preserve">Article 77 requires three finalized convictions of the husband </w:t>
      </w:r>
      <w:r w:rsidR="087D10A6">
        <w:t>for</w:t>
      </w:r>
      <w:r w:rsidRPr="004823C1">
        <w:t xml:space="preserve"> physical assault to be considered as grounds for divorce.</w:t>
      </w:r>
      <w:r w:rsidR="004823C1" w:rsidRPr="00322FA5">
        <w:rPr>
          <w:rStyle w:val="FootnoteReference"/>
        </w:rPr>
        <w:footnoteReference w:id="67"/>
      </w:r>
      <w:r w:rsidRPr="004823C1">
        <w:t xml:space="preserve"> While introducing protection orders for survivors of violence is a positive step, conditioning such orders upon the victim’s filing of </w:t>
      </w:r>
      <w:r w:rsidR="001D663A">
        <w:t xml:space="preserve">a </w:t>
      </w:r>
      <w:r w:rsidRPr="004823C1">
        <w:t>criminal complaint may deter survivors from seeking protection orders.</w:t>
      </w:r>
      <w:r w:rsidR="004823C1" w:rsidRPr="00322FA5">
        <w:rPr>
          <w:rStyle w:val="FootnoteReference"/>
        </w:rPr>
        <w:footnoteReference w:id="68"/>
      </w:r>
      <w:r w:rsidRPr="004823C1">
        <w:t xml:space="preserve"> The </w:t>
      </w:r>
      <w:r w:rsidR="087D10A6">
        <w:t>compulsory</w:t>
      </w:r>
      <w:r w:rsidRPr="004823C1">
        <w:t xml:space="preserve"> mediation sessions </w:t>
      </w:r>
      <w:r w:rsidRPr="004823C1">
        <w:rPr>
          <w:lang w:val="en-US"/>
        </w:rPr>
        <w:t>under article 66</w:t>
      </w:r>
      <w:r w:rsidRPr="004823C1">
        <w:t xml:space="preserve"> between victims of violence and their husband or father, remove cases from judicial scrutiny and presume </w:t>
      </w:r>
      <w:r w:rsidR="087D10A6">
        <w:t>an equality of</w:t>
      </w:r>
      <w:r w:rsidRPr="004823C1">
        <w:t xml:space="preserve"> bargaining power</w:t>
      </w:r>
      <w:r w:rsidR="087D10A6">
        <w:t xml:space="preserve"> between both parties</w:t>
      </w:r>
      <w:r w:rsidRPr="004823C1">
        <w:t>.</w:t>
      </w:r>
      <w:r w:rsidR="004823C1" w:rsidRPr="00322FA5">
        <w:rPr>
          <w:rStyle w:val="FootnoteReference"/>
        </w:rPr>
        <w:footnoteReference w:id="69"/>
      </w:r>
      <w:r w:rsidRPr="004823C1">
        <w:t xml:space="preserve"> Furthermore, the bill </w:t>
      </w:r>
      <w:r w:rsidRPr="004823C1">
        <w:rPr>
          <w:lang w:val="en-US"/>
        </w:rPr>
        <w:t xml:space="preserve">fails to define domestic violence, to criminalize </w:t>
      </w:r>
      <w:r w:rsidRPr="004823C1">
        <w:t xml:space="preserve">marital rape, </w:t>
      </w:r>
      <w:r w:rsidR="087D10A6">
        <w:t xml:space="preserve">or </w:t>
      </w:r>
      <w:r w:rsidRPr="004823C1">
        <w:t xml:space="preserve">to repeal the existing discriminatory laws against women which make them more susceptible to violence. </w:t>
      </w:r>
    </w:p>
    <w:p w14:paraId="29373E42" w14:textId="75260D40" w:rsidR="004823C1" w:rsidRPr="004823C1" w:rsidRDefault="45361C4C" w:rsidP="00177785">
      <w:pPr>
        <w:pStyle w:val="ParNoG"/>
        <w:rPr>
          <w:b/>
          <w:bCs/>
        </w:rPr>
      </w:pPr>
      <w:r w:rsidRPr="004823C1">
        <w:t xml:space="preserve">Recent </w:t>
      </w:r>
      <w:r w:rsidR="00AE5F67">
        <w:t xml:space="preserve">reported </w:t>
      </w:r>
      <w:r w:rsidRPr="004823C1">
        <w:t>instances of violence against women illustrate the urgency of expediting legislation with a holistic approach to addressing and preventing violence against women. In February 2022, a 17-year-old girl was decapitated by her husband. Her husband, who had previously threatened to kill her</w:t>
      </w:r>
      <w:r w:rsidR="63AD7DD4">
        <w:t>,</w:t>
      </w:r>
      <w:r w:rsidRPr="004823C1">
        <w:t xml:space="preserve"> was arrested later by police.</w:t>
      </w:r>
      <w:r w:rsidR="004823C1" w:rsidRPr="00322FA5">
        <w:rPr>
          <w:rStyle w:val="FootnoteReference"/>
        </w:rPr>
        <w:footnoteReference w:id="70"/>
      </w:r>
      <w:r w:rsidRPr="5D024BF2">
        <w:rPr>
          <w:lang w:bidi="fa-IR"/>
        </w:rPr>
        <w:t xml:space="preserve"> </w:t>
      </w:r>
      <w:r w:rsidRPr="004823C1">
        <w:t xml:space="preserve">Since 2020, </w:t>
      </w:r>
      <w:r w:rsidRPr="00782353">
        <w:t>at least 60 women were killed in Khuzestan Province for reasons of perceived “honour”</w:t>
      </w:r>
      <w:r w:rsidRPr="004823C1">
        <w:t>.</w:t>
      </w:r>
      <w:r w:rsidR="004823C1" w:rsidRPr="00322FA5">
        <w:rPr>
          <w:rStyle w:val="FootnoteReference"/>
        </w:rPr>
        <w:footnoteReference w:id="71"/>
      </w:r>
      <w:r w:rsidR="63AD7DD4">
        <w:t xml:space="preserve"> </w:t>
      </w:r>
      <w:r w:rsidRPr="004823C1">
        <w:t>The</w:t>
      </w:r>
      <w:r w:rsidRPr="004823C1">
        <w:rPr>
          <w:lang w:val="en-US"/>
        </w:rPr>
        <w:t>se</w:t>
      </w:r>
      <w:r w:rsidRPr="004823C1">
        <w:t xml:space="preserve"> cases illustrate the significant gap in legislation to ensure access to justice and </w:t>
      </w:r>
      <w:r w:rsidRPr="004823C1">
        <w:lastRenderedPageBreak/>
        <w:t>support services for victims of domestic violence. Under the current framework, law enforcement is reluctant to intervene in cases of domestic violence as such cases are construed as “private matters”.</w:t>
      </w:r>
      <w:r w:rsidR="004823C1" w:rsidRPr="00322FA5">
        <w:rPr>
          <w:rStyle w:val="FootnoteReference"/>
        </w:rPr>
        <w:footnoteReference w:id="72"/>
      </w:r>
      <w:r w:rsidRPr="004823C1">
        <w:t xml:space="preserve"> The number of shelters across the country (28 shelters across 31 provinces) </w:t>
      </w:r>
      <w:r>
        <w:t>is</w:t>
      </w:r>
      <w:r w:rsidRPr="004823C1">
        <w:t xml:space="preserve"> inadequate to meet the demands. International standards recommend the establishment of one shelter for every 10,000 inhabitants, safe emergency accommodation, qualified counselling and assistance in finding long-term accommodation.</w:t>
      </w:r>
      <w:r w:rsidR="004823C1" w:rsidRPr="00322FA5">
        <w:rPr>
          <w:rStyle w:val="FootnoteReference"/>
        </w:rPr>
        <w:footnoteReference w:id="73"/>
      </w:r>
      <w:r w:rsidRPr="004823C1">
        <w:t xml:space="preserve"> </w:t>
      </w:r>
    </w:p>
    <w:p w14:paraId="6E2917F0" w14:textId="1A1FD580" w:rsidR="00225935" w:rsidRPr="00225935" w:rsidRDefault="45361C4C" w:rsidP="00225935">
      <w:pPr>
        <w:pStyle w:val="ParNoG"/>
        <w:rPr>
          <w:b/>
          <w:bCs/>
        </w:rPr>
      </w:pPr>
      <w:r w:rsidRPr="004823C1">
        <w:t xml:space="preserve">The abovementioned case of femicide is illustrative of the consequences of child marriage and the extreme vulnerability to domestic violence of minors forced into marriage. In </w:t>
      </w:r>
      <w:r w:rsidR="087D10A6">
        <w:t>that</w:t>
      </w:r>
      <w:r w:rsidRPr="004823C1">
        <w:t xml:space="preserve"> case, the girl was married at age 12, with the authorization of her father and a judge in line with article 1041 of the Civil Code. </w:t>
      </w:r>
      <w:r w:rsidRPr="004823C1">
        <w:rPr>
          <w:lang w:val="en-US"/>
        </w:rPr>
        <w:t>G</w:t>
      </w:r>
      <w:r w:rsidRPr="004823C1">
        <w:t>rowing benefits and incentives provided by the Government to encourage marriage contributes to the early marriage of girls as a source of income for families from marginalized groups.</w:t>
      </w:r>
      <w:r w:rsidR="004823C1" w:rsidRPr="00322FA5">
        <w:rPr>
          <w:rStyle w:val="FootnoteReference"/>
        </w:rPr>
        <w:footnoteReference w:id="74"/>
      </w:r>
      <w:r w:rsidRPr="004823C1">
        <w:t xml:space="preserve"> The “</w:t>
      </w:r>
      <w:r w:rsidRPr="004823C1">
        <w:rPr>
          <w:lang w:val="en-US"/>
        </w:rPr>
        <w:t>Youthful Population and Protection of the Family” law mentioned above provides benefits and incentives that would increase early marriage</w:t>
      </w:r>
      <w:r w:rsidR="087D10A6">
        <w:rPr>
          <w:lang w:val="en-US"/>
        </w:rPr>
        <w:t>, and does not set a minimum age for marriage in line with international human rights standards</w:t>
      </w:r>
      <w:r w:rsidRPr="004823C1">
        <w:rPr>
          <w:lang w:val="en-US"/>
        </w:rPr>
        <w:t>.</w:t>
      </w:r>
      <w:r w:rsidR="004823C1" w:rsidRPr="00322FA5">
        <w:rPr>
          <w:rStyle w:val="FootnoteReference"/>
        </w:rPr>
        <w:footnoteReference w:id="75"/>
      </w:r>
      <w:r w:rsidRPr="004823C1">
        <w:rPr>
          <w:lang w:val="en-US"/>
        </w:rPr>
        <w:t xml:space="preserve"> </w:t>
      </w:r>
      <w:r w:rsidR="42EA9D9A">
        <w:rPr>
          <w:lang w:val="en-US"/>
        </w:rPr>
        <w:t xml:space="preserve">The Government </w:t>
      </w:r>
      <w:r w:rsidR="42EA9D9A" w:rsidRPr="00782353">
        <w:rPr>
          <w:lang w:val="en-US"/>
        </w:rPr>
        <w:t xml:space="preserve">highlighted in its comments various State measures directed at preventing forced or </w:t>
      </w:r>
      <w:r w:rsidR="2F18B16A" w:rsidRPr="00782353">
        <w:rPr>
          <w:lang w:val="en-US"/>
        </w:rPr>
        <w:t>early</w:t>
      </w:r>
      <w:r w:rsidR="42EA9D9A" w:rsidRPr="00782353">
        <w:rPr>
          <w:lang w:val="en-US"/>
        </w:rPr>
        <w:t xml:space="preserve"> marriages.</w:t>
      </w:r>
    </w:p>
    <w:p w14:paraId="34E5712D" w14:textId="2AF98DE8" w:rsidR="004823C1" w:rsidRPr="00225935" w:rsidRDefault="00225935" w:rsidP="00225935">
      <w:pPr>
        <w:pStyle w:val="H23G"/>
        <w:rPr>
          <w:bCs/>
        </w:rPr>
      </w:pPr>
      <w:r>
        <w:tab/>
      </w:r>
      <w:r>
        <w:tab/>
      </w:r>
      <w:r w:rsidR="004823C1" w:rsidRPr="004823C1">
        <w:t xml:space="preserve">“User Protection” Bill and legislative developments in the digital sphere </w:t>
      </w:r>
    </w:p>
    <w:p w14:paraId="61338B1C" w14:textId="76CA96DE" w:rsidR="004823C1" w:rsidRPr="004823C1" w:rsidRDefault="45361C4C" w:rsidP="00177785">
      <w:pPr>
        <w:pStyle w:val="ParNoG"/>
      </w:pPr>
      <w:r>
        <w:t xml:space="preserve">The Secretary-General is concerned </w:t>
      </w:r>
      <w:r w:rsidR="00A25CAA">
        <w:t>about</w:t>
      </w:r>
      <w:r>
        <w:t xml:space="preserve"> further legislative measures aimed at restricting the digital space. While internet penetration rate in </w:t>
      </w:r>
      <w:r w:rsidR="005E7CB8">
        <w:t>the country</w:t>
      </w:r>
      <w:r>
        <w:t xml:space="preserve"> is high with heavy investment in IT infrastructure, the authorities </w:t>
      </w:r>
      <w:r w:rsidR="087D10A6">
        <w:t>retain</w:t>
      </w:r>
      <w:r>
        <w:t xml:space="preserve"> broad control over Internet users and the digital space. </w:t>
      </w:r>
    </w:p>
    <w:p w14:paraId="116CA11E" w14:textId="075BDEC2" w:rsidR="004823C1" w:rsidRPr="004823C1" w:rsidRDefault="45361C4C" w:rsidP="00177785">
      <w:pPr>
        <w:pStyle w:val="ParNoG"/>
      </w:pPr>
      <w:r w:rsidRPr="004823C1">
        <w:t xml:space="preserve">On 22 February 2022, </w:t>
      </w:r>
      <w:r>
        <w:t xml:space="preserve">the </w:t>
      </w:r>
      <w:r w:rsidRPr="004823C1">
        <w:t>Parliament ratified the general section of the “Regulatory System for Online Services” Bill, commonly referred to as the “User Protection Bill”, despite calls by civil society and Special Procedure mandate holders</w:t>
      </w:r>
      <w:r w:rsidR="087D10A6">
        <w:t xml:space="preserve"> to reconsider </w:t>
      </w:r>
      <w:r w:rsidR="004823C1">
        <w:t xml:space="preserve">the </w:t>
      </w:r>
      <w:r w:rsidR="00FF75CB">
        <w:t>B</w:t>
      </w:r>
      <w:r w:rsidR="004823C1">
        <w:t>ill</w:t>
      </w:r>
      <w:r w:rsidRPr="004823C1">
        <w:t>.</w:t>
      </w:r>
      <w:r w:rsidR="004823C1" w:rsidRPr="00322FA5">
        <w:rPr>
          <w:rStyle w:val="FootnoteReference"/>
        </w:rPr>
        <w:footnoteReference w:id="76"/>
      </w:r>
      <w:r w:rsidRPr="004823C1">
        <w:t xml:space="preserve"> The Bill</w:t>
      </w:r>
      <w:r w:rsidR="087D10A6">
        <w:t xml:space="preserve">, which is expected to be adopted </w:t>
      </w:r>
      <w:r w:rsidR="00D3430B">
        <w:t xml:space="preserve">in its entirety </w:t>
      </w:r>
      <w:r w:rsidR="004A535B">
        <w:t>this year</w:t>
      </w:r>
      <w:r w:rsidR="087D10A6">
        <w:t>,</w:t>
      </w:r>
      <w:r w:rsidRPr="004823C1">
        <w:t xml:space="preserve"> </w:t>
      </w:r>
      <w:r w:rsidR="00055178">
        <w:t xml:space="preserve">would </w:t>
      </w:r>
      <w:r w:rsidRPr="004823C1">
        <w:t xml:space="preserve">grant the Government and army extensive control over infrastructure that connects Iran to the global internet. It </w:t>
      </w:r>
      <w:r w:rsidR="007E07E5">
        <w:t xml:space="preserve">would </w:t>
      </w:r>
      <w:r w:rsidRPr="004823C1">
        <w:t xml:space="preserve">delegate control over international gateways to the Supreme Regulatory Commission, which is part of the Supreme Council of Cyberspace, consisting of 18 members of </w:t>
      </w:r>
      <w:r>
        <w:t>whom</w:t>
      </w:r>
      <w:r w:rsidRPr="004823C1">
        <w:t xml:space="preserve"> 12 are appointed by the Supreme Leader while five are representatives of the security agencies and armed forces. Among other issues, the Bill </w:t>
      </w:r>
      <w:r w:rsidR="00065393">
        <w:t xml:space="preserve">would </w:t>
      </w:r>
      <w:r w:rsidRPr="004823C1">
        <w:t xml:space="preserve">require social media platforms to cooperate with the Government in surveillance and censorship. It </w:t>
      </w:r>
      <w:r w:rsidR="00F602C7">
        <w:t xml:space="preserve">would </w:t>
      </w:r>
      <w:r w:rsidRPr="004823C1">
        <w:t xml:space="preserve">enable the blocking of any remaining websites and platforms run by foreign companies still operating in Iran, </w:t>
      </w:r>
      <w:r w:rsidR="00F602C7">
        <w:t xml:space="preserve">would </w:t>
      </w:r>
      <w:r w:rsidRPr="004823C1">
        <w:t xml:space="preserve">require people to use IDs to access the internet and </w:t>
      </w:r>
      <w:r w:rsidR="00F602C7">
        <w:t xml:space="preserve">would </w:t>
      </w:r>
      <w:r w:rsidRPr="004823C1">
        <w:t xml:space="preserve">criminalize the distribution and sale of Virtual Private Networks (VPNs). The Bill </w:t>
      </w:r>
      <w:r w:rsidR="00237FD1">
        <w:t xml:space="preserve">would </w:t>
      </w:r>
      <w:r w:rsidRPr="004823C1">
        <w:t xml:space="preserve">establish a multi-tier system of accessing content, providing different levels of Internet access based on the users age and profession. </w:t>
      </w:r>
    </w:p>
    <w:p w14:paraId="0F6DBD9D" w14:textId="492A9ED9" w:rsidR="004823C1" w:rsidRPr="004823C1" w:rsidRDefault="45361C4C" w:rsidP="006D4809">
      <w:pPr>
        <w:pStyle w:val="ParNoG"/>
      </w:pPr>
      <w:r w:rsidRPr="004823C1">
        <w:t xml:space="preserve">The Bill was </w:t>
      </w:r>
      <w:r w:rsidR="00203E9B">
        <w:t xml:space="preserve">considered </w:t>
      </w:r>
      <w:r w:rsidR="001A6BA1">
        <w:t xml:space="preserve">in line with </w:t>
      </w:r>
      <w:r w:rsidR="087D10A6">
        <w:t xml:space="preserve">the procedure prescribed in </w:t>
      </w:r>
      <w:r w:rsidRPr="004823C1">
        <w:t xml:space="preserve">article 85 of the Constitution, allowing </w:t>
      </w:r>
      <w:r w:rsidR="00B77314">
        <w:t>it</w:t>
      </w:r>
      <w:r w:rsidRPr="004823C1">
        <w:t xml:space="preserve"> to be adopted by a small group of </w:t>
      </w:r>
      <w:r w:rsidRPr="004823C1">
        <w:lastRenderedPageBreak/>
        <w:t xml:space="preserve">parliamentarians, </w:t>
      </w:r>
      <w:r w:rsidR="087D10A6">
        <w:t xml:space="preserve">without </w:t>
      </w:r>
      <w:r w:rsidR="106D076D">
        <w:t>a meaningful consultation with relevant stakeholders</w:t>
      </w:r>
      <w:r w:rsidRPr="004823C1">
        <w:t xml:space="preserve">. </w:t>
      </w:r>
      <w:r w:rsidR="00662FCA">
        <w:t>While</w:t>
      </w:r>
      <w:r w:rsidR="006A3036">
        <w:t xml:space="preserve"> i</w:t>
      </w:r>
      <w:r w:rsidR="006D4809" w:rsidRPr="006D4809">
        <w:t>t</w:t>
      </w:r>
      <w:r w:rsidR="006D4809">
        <w:t>s</w:t>
      </w:r>
      <w:r w:rsidR="006D4809" w:rsidRPr="006D4809">
        <w:t xml:space="preserve"> adoption </w:t>
      </w:r>
      <w:r w:rsidR="006D4809">
        <w:t>was</w:t>
      </w:r>
      <w:r w:rsidR="006D4809" w:rsidRPr="006D4809">
        <w:t xml:space="preserve"> </w:t>
      </w:r>
      <w:r w:rsidR="006D4809">
        <w:t xml:space="preserve">subsequently </w:t>
      </w:r>
      <w:r w:rsidR="006D4809" w:rsidRPr="006D4809">
        <w:t>halted due to a technicality</w:t>
      </w:r>
      <w:r w:rsidR="006A3036">
        <w:t>, c</w:t>
      </w:r>
      <w:r w:rsidRPr="004823C1">
        <w:t xml:space="preserve">ivil society and business owners expressed their objection to </w:t>
      </w:r>
      <w:r w:rsidR="00B77314">
        <w:t>it</w:t>
      </w:r>
      <w:r w:rsidRPr="004823C1">
        <w:t>, including through an online petition gathering over one million signatures calling on the Government “not to create new barriers” to the internet.</w:t>
      </w:r>
      <w:r w:rsidR="004823C1" w:rsidRPr="00322FA5">
        <w:rPr>
          <w:rStyle w:val="FootnoteReference"/>
        </w:rPr>
        <w:footnoteReference w:id="77"/>
      </w:r>
      <w:r w:rsidRPr="004823C1">
        <w:t xml:space="preserve"> Human rights defender and blogger Hossein Ronaghi </w:t>
      </w:r>
      <w:r w:rsidR="106D076D">
        <w:t>was detained</w:t>
      </w:r>
      <w:r w:rsidRPr="004823C1">
        <w:t xml:space="preserve"> on 23 February 2022 after having issued a post on Twitter criticizing </w:t>
      </w:r>
      <w:r w:rsidR="00BC7139">
        <w:t>it</w:t>
      </w:r>
      <w:r w:rsidRPr="004823C1">
        <w:t>.</w:t>
      </w:r>
      <w:r w:rsidR="004823C1" w:rsidRPr="00322FA5">
        <w:rPr>
          <w:rStyle w:val="FootnoteReference"/>
        </w:rPr>
        <w:footnoteReference w:id="78"/>
      </w:r>
      <w:r w:rsidRPr="004823C1">
        <w:t xml:space="preserve"> </w:t>
      </w:r>
      <w:r w:rsidR="106D076D" w:rsidRPr="00DE04A9">
        <w:t>The family was reportedly informed about his whereabouts only several days later.</w:t>
      </w:r>
      <w:r w:rsidR="00DE04A9" w:rsidRPr="00DE04A9">
        <w:rPr>
          <w:vertAlign w:val="superscript"/>
        </w:rPr>
        <w:footnoteReference w:id="79"/>
      </w:r>
      <w:r w:rsidR="106D076D" w:rsidRPr="00DE04A9">
        <w:t xml:space="preserve"> </w:t>
      </w:r>
      <w:r w:rsidRPr="004823C1">
        <w:t>He was released on 3 March.</w:t>
      </w:r>
      <w:r w:rsidR="004823C1" w:rsidRPr="00322FA5">
        <w:rPr>
          <w:rStyle w:val="FootnoteReference"/>
        </w:rPr>
        <w:footnoteReference w:id="80"/>
      </w:r>
      <w:r w:rsidRPr="004823C1">
        <w:t xml:space="preserve"> </w:t>
      </w:r>
    </w:p>
    <w:p w14:paraId="000FEEFB" w14:textId="1C6C8179" w:rsidR="004823C1" w:rsidRPr="004823C1" w:rsidRDefault="45361C4C" w:rsidP="00177785">
      <w:pPr>
        <w:pStyle w:val="ParNoG"/>
      </w:pPr>
      <w:r>
        <w:t>The Secretary-General is concerned that the Bill</w:t>
      </w:r>
      <w:r w:rsidR="00203E9B">
        <w:t>, if adopted,</w:t>
      </w:r>
      <w:r>
        <w:t xml:space="preserve"> would add to the already restricted information environment, establishing additional limitations to the already </w:t>
      </w:r>
      <w:r w:rsidR="106D076D">
        <w:t xml:space="preserve">unduly </w:t>
      </w:r>
      <w:r>
        <w:t xml:space="preserve">restricted rights to freedom of expression, and further limit engagement with the UN, including with human rights mechanisms. There are </w:t>
      </w:r>
      <w:r w:rsidR="106D076D">
        <w:t xml:space="preserve">further </w:t>
      </w:r>
      <w:r>
        <w:t>concerns that the Bill would also hamper business operations and sectors reliant on information technology, including science, education and medicine.</w:t>
      </w:r>
      <w:r w:rsidR="5A9D8158">
        <w:t xml:space="preserve"> </w:t>
      </w:r>
    </w:p>
    <w:p w14:paraId="7E4FB679" w14:textId="3B1F4DCB" w:rsidR="004823C1" w:rsidRPr="004823C1" w:rsidRDefault="45361C4C" w:rsidP="00177785">
      <w:pPr>
        <w:pStyle w:val="ParNoG"/>
      </w:pPr>
      <w:r w:rsidRPr="004823C1">
        <w:rPr>
          <w:lang w:val="en-US"/>
        </w:rPr>
        <w:t>In March 2022, a proposal was motioned to amend the “Satellite TV Prohibition Laws” to include a provision that would criminalize production and distribution of online content on “illegal internet platforms and satellite channels”.</w:t>
      </w:r>
      <w:r w:rsidR="004823C1" w:rsidRPr="00322FA5">
        <w:rPr>
          <w:rStyle w:val="FootnoteReference"/>
        </w:rPr>
        <w:footnoteReference w:id="81"/>
      </w:r>
      <w:r w:rsidRPr="004823C1">
        <w:rPr>
          <w:lang w:val="en-US"/>
        </w:rPr>
        <w:t xml:space="preserve">Violations of the law carry punishment </w:t>
      </w:r>
      <w:r w:rsidR="006E0350">
        <w:rPr>
          <w:lang w:val="en-US"/>
        </w:rPr>
        <w:t xml:space="preserve">of </w:t>
      </w:r>
      <w:r w:rsidRPr="004823C1">
        <w:rPr>
          <w:lang w:val="en-US"/>
        </w:rPr>
        <w:t>up to five years’ imprisonment. There are concerns that currently blocked platforms such as Twitter and YouTube will be placed on the list.</w:t>
      </w:r>
      <w:r w:rsidRPr="004823C1">
        <w:t xml:space="preserve"> Under the amendment, advertising any Iranian goods, services and works of art through unauthorized networks, media, and platforms would be prohibited. </w:t>
      </w:r>
    </w:p>
    <w:p w14:paraId="53182F00" w14:textId="0394B66F" w:rsidR="004823C1" w:rsidRPr="004823C1" w:rsidRDefault="00DE04A9" w:rsidP="00DE04A9">
      <w:pPr>
        <w:pStyle w:val="H23G"/>
        <w:ind w:firstLine="0"/>
      </w:pPr>
      <w:r>
        <w:t xml:space="preserve">Confiscation of property </w:t>
      </w:r>
    </w:p>
    <w:p w14:paraId="61D001F8" w14:textId="67933D05" w:rsidR="004823C1" w:rsidRPr="004823C1" w:rsidRDefault="00F16CC5" w:rsidP="00F16CC5">
      <w:pPr>
        <w:pStyle w:val="ParNoG"/>
        <w:rPr>
          <w:lang w:val="en-US"/>
        </w:rPr>
      </w:pPr>
      <w:r w:rsidRPr="00F16CC5">
        <w:t xml:space="preserve">Article 49 of the Constitution provides the legal basis for the State to confiscate “illegitimate wealth resulting from usury, usurpation, bribery, embezzlement, theft, gamble, misuse of Islamic government, endowments, misuse of government contracts and transactions, uncultivated lands and others belonging to the public, houses of ill repute, and other illegitimate sources.”  </w:t>
      </w:r>
      <w:r w:rsidR="00DD17B5">
        <w:t>T</w:t>
      </w:r>
      <w:r w:rsidRPr="00F16CC5">
        <w:t xml:space="preserve">he Secretary General is concerned </w:t>
      </w:r>
      <w:r w:rsidR="0053606A">
        <w:t>about</w:t>
      </w:r>
      <w:r w:rsidRPr="00F16CC5">
        <w:t xml:space="preserve"> the </w:t>
      </w:r>
      <w:r w:rsidR="00CA44A4">
        <w:t xml:space="preserve">overly broad formulation of </w:t>
      </w:r>
      <w:r w:rsidR="0053606A">
        <w:t xml:space="preserve">the provision as well as about the </w:t>
      </w:r>
      <w:r w:rsidRPr="00F16CC5">
        <w:t xml:space="preserve">manner in which this authority is being exercised </w:t>
      </w:r>
      <w:r w:rsidR="45361C4C">
        <w:t xml:space="preserve">to confiscate wealth and property of minorities, particularly the Baha’i religious minority, as well as of political dissidents and their families. </w:t>
      </w:r>
    </w:p>
    <w:p w14:paraId="03E86150" w14:textId="0B2C01A9" w:rsidR="004823C1" w:rsidRPr="004823C1" w:rsidRDefault="45361C4C" w:rsidP="00177785">
      <w:pPr>
        <w:pStyle w:val="ParNoG"/>
      </w:pPr>
      <w:r w:rsidRPr="73A88EB4">
        <w:rPr>
          <w:lang w:val="en-US"/>
        </w:rPr>
        <w:t xml:space="preserve">A series of court decisions since 2019 </w:t>
      </w:r>
      <w:r w:rsidR="006E0350">
        <w:rPr>
          <w:lang w:val="en-US"/>
        </w:rPr>
        <w:t xml:space="preserve">have </w:t>
      </w:r>
      <w:r w:rsidRPr="73A88EB4">
        <w:rPr>
          <w:lang w:val="en-US"/>
        </w:rPr>
        <w:t xml:space="preserve">ruled that properties belonging to members of the Baha’i community </w:t>
      </w:r>
      <w:r w:rsidR="00FE4872">
        <w:rPr>
          <w:lang w:val="en-US"/>
        </w:rPr>
        <w:t>could</w:t>
      </w:r>
      <w:r w:rsidR="00FE4872" w:rsidRPr="73A88EB4">
        <w:rPr>
          <w:lang w:val="en-US"/>
        </w:rPr>
        <w:t xml:space="preserve"> </w:t>
      </w:r>
      <w:r w:rsidRPr="73A88EB4">
        <w:rPr>
          <w:lang w:val="en-US"/>
        </w:rPr>
        <w:t>be confiscated</w:t>
      </w:r>
      <w:r w:rsidR="106D076D" w:rsidRPr="73A88EB4">
        <w:rPr>
          <w:lang w:val="en-US"/>
        </w:rPr>
        <w:t xml:space="preserve">During the reporting period, properties, farms and farmland owned or cultivated by members of the Baha’i community were ordered confiscated, including in Mazandaran Province and </w:t>
      </w:r>
      <w:r>
        <w:t xml:space="preserve">Kohgiluyeh and Boyer-Ahmad. These confiscations follow the series of confiscations in 2020 and 2021 in Ivel village in Mazandaran Province and in Semnan. </w:t>
      </w:r>
    </w:p>
    <w:p w14:paraId="04E9E1DA" w14:textId="187EF84D" w:rsidR="004823C1" w:rsidRPr="004823C1" w:rsidRDefault="45361C4C" w:rsidP="00177785">
      <w:pPr>
        <w:pStyle w:val="ParNoG"/>
      </w:pPr>
      <w:r w:rsidRPr="73A88EB4">
        <w:rPr>
          <w:lang w:val="en-US"/>
        </w:rPr>
        <w:t xml:space="preserve">Article 49 has also been applied to </w:t>
      </w:r>
      <w:r w:rsidR="106D076D" w:rsidRPr="73A88EB4">
        <w:rPr>
          <w:lang w:val="en-US"/>
        </w:rPr>
        <w:t>expropriate</w:t>
      </w:r>
      <w:r w:rsidRPr="73A88EB4">
        <w:rPr>
          <w:lang w:val="en-US"/>
        </w:rPr>
        <w:t xml:space="preserve"> properties </w:t>
      </w:r>
      <w:r w:rsidRPr="6AA87D00">
        <w:rPr>
          <w:lang w:val="en-US"/>
        </w:rPr>
        <w:t>belonging</w:t>
      </w:r>
      <w:r w:rsidRPr="73A88EB4">
        <w:rPr>
          <w:lang w:val="en-US"/>
        </w:rPr>
        <w:t xml:space="preserve"> to individuals deemed to be affiliated with the pre-1979 Government</w:t>
      </w:r>
      <w:r w:rsidR="106D076D" w:rsidRPr="73A88EB4">
        <w:rPr>
          <w:lang w:val="en-US"/>
        </w:rPr>
        <w:t xml:space="preserve"> and</w:t>
      </w:r>
      <w:r w:rsidRPr="73A88EB4">
        <w:rPr>
          <w:lang w:val="en-US"/>
        </w:rPr>
        <w:t xml:space="preserve"> political </w:t>
      </w:r>
      <w:r w:rsidR="106D076D" w:rsidRPr="73A88EB4">
        <w:rPr>
          <w:lang w:val="en-US"/>
        </w:rPr>
        <w:t>dissidents</w:t>
      </w:r>
      <w:r w:rsidRPr="73A88EB4">
        <w:rPr>
          <w:lang w:val="en-US"/>
        </w:rPr>
        <w:t xml:space="preserve">. </w:t>
      </w:r>
      <w:r>
        <w:t xml:space="preserve">Under article 11 of the regulation adopted in May 2000 for the implementation of article 49 of the Constitution, properties of Iranian </w:t>
      </w:r>
      <w:r>
        <w:lastRenderedPageBreak/>
        <w:t xml:space="preserve">expatriates with proven ties to “anti-state” groups are considered illegitimate and are subject to confiscation. </w:t>
      </w:r>
    </w:p>
    <w:p w14:paraId="1B8A2CFB" w14:textId="77763E1A" w:rsidR="004823C1" w:rsidRPr="004823C1" w:rsidRDefault="00E60291" w:rsidP="00E60291">
      <w:pPr>
        <w:pStyle w:val="H1G"/>
      </w:pPr>
      <w:r>
        <w:tab/>
      </w:r>
      <w:r w:rsidR="0000400C">
        <w:t>C</w:t>
      </w:r>
      <w:r w:rsidR="004823C1" w:rsidRPr="004823C1">
        <w:t>.</w:t>
      </w:r>
      <w:r>
        <w:tab/>
      </w:r>
      <w:r w:rsidR="004823C1" w:rsidRPr="004823C1">
        <w:t>Civic space</w:t>
      </w:r>
      <w:r w:rsidR="004823C1" w:rsidRPr="004823C1" w:rsidDel="00281366">
        <w:t xml:space="preserve"> </w:t>
      </w:r>
    </w:p>
    <w:p w14:paraId="1EEC6949" w14:textId="32486CB7" w:rsidR="004823C1" w:rsidRPr="004823C1" w:rsidRDefault="106D076D" w:rsidP="00177785">
      <w:pPr>
        <w:pStyle w:val="ParNoG"/>
      </w:pPr>
      <w:r>
        <w:t>D</w:t>
      </w:r>
      <w:r w:rsidR="45361C4C">
        <w:t xml:space="preserve">emocratic space remained highly restricted, with authorities controlling the media and civil society. Among charges brought against civil society actors, including minority rights defenders, were: “propaganda against the state”; “assembly and collusion with the intention of disturbing national security”; “spreading corruption on earth”; “moharebeh” “spreading false news” and “disruption of public order”. Dissenting or critical voices, including minority rights activists, were subjected to harassment. OHCHR received consistent reports of violent arrests and intimidation by various state agents while the widespread impunity for these actions continued. </w:t>
      </w:r>
    </w:p>
    <w:p w14:paraId="6E8FCFA9" w14:textId="29975EE2" w:rsidR="004823C1" w:rsidRPr="004823C1" w:rsidRDefault="45361C4C" w:rsidP="00177785">
      <w:pPr>
        <w:pStyle w:val="ParNoG"/>
        <w:rPr>
          <w:lang w:val="en-US"/>
        </w:rPr>
      </w:pPr>
      <w:r>
        <w:t>In addition, extensive surveillance</w:t>
      </w:r>
      <w:r w:rsidR="00566681">
        <w:t>,</w:t>
      </w:r>
      <w:r>
        <w:t xml:space="preserve"> monitoring of individuals</w:t>
      </w:r>
      <w:r w:rsidR="00566681">
        <w:t xml:space="preserve">, </w:t>
      </w:r>
      <w:r>
        <w:t>threats and interrogations took place. Testimonies were also received about surveillance and threats of Iranians abroad, including activists, human rights defenders and students, including through extensive questioning at airports. Journalists</w:t>
      </w:r>
      <w:r w:rsidR="106D076D">
        <w:t>, including journalists</w:t>
      </w:r>
      <w:r>
        <w:t xml:space="preserve"> abroad </w:t>
      </w:r>
      <w:r w:rsidR="00203E9B">
        <w:t>working for foreign media outlets</w:t>
      </w:r>
      <w:r w:rsidR="106D076D">
        <w:t>,</w:t>
      </w:r>
      <w:r>
        <w:t xml:space="preserve"> continued to be intimidated. </w:t>
      </w:r>
      <w:r w:rsidR="106D076D">
        <w:t>Such acts include</w:t>
      </w:r>
      <w:r w:rsidR="00E3696C">
        <w:t>d</w:t>
      </w:r>
      <w:r>
        <w:t xml:space="preserve"> coercion by proxy through threats against family members inside the country, economic pressure, travel bans and interrogations. </w:t>
      </w:r>
    </w:p>
    <w:p w14:paraId="1E1E84CD" w14:textId="78E2947C" w:rsidR="004823C1" w:rsidRPr="004823C1" w:rsidRDefault="0079104C" w:rsidP="0079104C">
      <w:pPr>
        <w:pStyle w:val="H23G"/>
      </w:pPr>
      <w:r>
        <w:tab/>
      </w:r>
      <w:r>
        <w:tab/>
      </w:r>
      <w:r w:rsidR="004823C1" w:rsidRPr="004823C1">
        <w:t>Lawyers and human rights defenders</w:t>
      </w:r>
    </w:p>
    <w:p w14:paraId="13D97070" w14:textId="7372C527" w:rsidR="004823C1" w:rsidRPr="004823C1" w:rsidRDefault="45361C4C" w:rsidP="00177785">
      <w:pPr>
        <w:pStyle w:val="ParNoG"/>
      </w:pPr>
      <w:r w:rsidRPr="004823C1">
        <w:rPr>
          <w:lang w:val="en-US"/>
        </w:rPr>
        <w:t xml:space="preserve">On 14 August 2022, five lawyers and two human rights defenders were arrested for reportedly preparing to file a lawsuit against state officials for their mismanagement of the COVID-19 pandemic. </w:t>
      </w:r>
      <w:r w:rsidR="004A40EF" w:rsidRPr="004A40EF">
        <w:rPr>
          <w:lang w:val="en-US"/>
        </w:rPr>
        <w:t>According to reports by non-governmental organi</w:t>
      </w:r>
      <w:r w:rsidR="00560176">
        <w:rPr>
          <w:lang w:val="en-US"/>
        </w:rPr>
        <w:t>z</w:t>
      </w:r>
      <w:r w:rsidR="004A40EF" w:rsidRPr="004A40EF">
        <w:rPr>
          <w:lang w:val="en-US"/>
        </w:rPr>
        <w:t xml:space="preserve">ations, </w:t>
      </w:r>
      <w:r w:rsidRPr="004823C1">
        <w:rPr>
          <w:lang w:val="en-US"/>
        </w:rPr>
        <w:t>Arash Keykhosravi, Mostafa Nili and Mehdi Mahmoudian from the arrested group remained in solitary confinement for one month and were subjected to pressure to refrain from filing the complaint.</w:t>
      </w:r>
      <w:r w:rsidR="004823C1" w:rsidRPr="00322FA5">
        <w:rPr>
          <w:rStyle w:val="FootnoteReference"/>
        </w:rPr>
        <w:footnoteReference w:id="82"/>
      </w:r>
      <w:r w:rsidRPr="004823C1">
        <w:rPr>
          <w:lang w:val="en-US"/>
        </w:rPr>
        <w:t xml:space="preserve"> Nili and Keykhosravi were released on bail in December. Mahmoudian remains in prison in relation to a previous </w:t>
      </w:r>
      <w:r w:rsidR="00E520AE">
        <w:rPr>
          <w:lang w:val="en-US"/>
        </w:rPr>
        <w:t>four</w:t>
      </w:r>
      <w:r w:rsidRPr="004823C1">
        <w:rPr>
          <w:lang w:val="en-US"/>
        </w:rPr>
        <w:t xml:space="preserve">-year prison sentence for calling for commemoration of victims of </w:t>
      </w:r>
      <w:r w:rsidRPr="004823C1">
        <w:t xml:space="preserve">downed Ukraine International flight PS752. </w:t>
      </w:r>
    </w:p>
    <w:p w14:paraId="17BB2280" w14:textId="1704851C" w:rsidR="004823C1" w:rsidRPr="004823C1" w:rsidRDefault="45361C4C" w:rsidP="00177785">
      <w:pPr>
        <w:pStyle w:val="ParNoG"/>
        <w:rPr>
          <w:lang w:val="en-US"/>
        </w:rPr>
      </w:pPr>
      <w:r w:rsidRPr="004823C1">
        <w:rPr>
          <w:lang w:val="en-US"/>
        </w:rPr>
        <w:t>In September 2021, Ahvaz Revolution Court sentenced Farzaneh Zilabi, lawyer of Syndicate of Workers of Haft Tappeh Cane Sugar Company to one year imprisonment</w:t>
      </w:r>
      <w:r w:rsidR="47C4E403">
        <w:rPr>
          <w:lang w:val="en-US"/>
        </w:rPr>
        <w:t xml:space="preserve"> for “propaganda activities against the state”</w:t>
      </w:r>
      <w:r w:rsidRPr="004823C1">
        <w:rPr>
          <w:lang w:val="en-US"/>
        </w:rPr>
        <w:t>.</w:t>
      </w:r>
      <w:r w:rsidR="004823C1" w:rsidRPr="00322FA5">
        <w:rPr>
          <w:rStyle w:val="FootnoteReference"/>
        </w:rPr>
        <w:footnoteReference w:id="83"/>
      </w:r>
      <w:r w:rsidRPr="004823C1">
        <w:rPr>
          <w:lang w:val="en-US"/>
        </w:rPr>
        <w:t xml:space="preserve"> The seven-year prison sentence for university law professor Reza Eslami </w:t>
      </w:r>
      <w:r w:rsidR="47C4E403">
        <w:rPr>
          <w:lang w:val="en-US"/>
        </w:rPr>
        <w:t xml:space="preserve">for “cooperating with an enemy state through his participation in a law training course in the Czech Republic” </w:t>
      </w:r>
      <w:r w:rsidRPr="004823C1">
        <w:rPr>
          <w:lang w:val="en-US"/>
        </w:rPr>
        <w:t>was confirmed in October 2021.</w:t>
      </w:r>
      <w:r w:rsidR="004823C1" w:rsidRPr="00322FA5">
        <w:rPr>
          <w:rStyle w:val="FootnoteReference"/>
        </w:rPr>
        <w:footnoteReference w:id="84"/>
      </w:r>
      <w:r w:rsidRPr="004823C1">
        <w:rPr>
          <w:lang w:val="en-US"/>
        </w:rPr>
        <w:t xml:space="preserve"> He was temporarily released in March 2022. Human rights lawyer, Mohammad Najafi remains in prison since 2018.</w:t>
      </w:r>
      <w:r w:rsidR="004823C1" w:rsidRPr="00322FA5">
        <w:rPr>
          <w:rStyle w:val="FootnoteReference"/>
        </w:rPr>
        <w:footnoteReference w:id="85"/>
      </w:r>
      <w:r w:rsidRPr="004823C1">
        <w:rPr>
          <w:lang w:val="en-US"/>
        </w:rPr>
        <w:t xml:space="preserve"> The report of torture and ill-treatment of lawyer Payam Derafshan while he </w:t>
      </w:r>
      <w:r w:rsidR="00E34354">
        <w:rPr>
          <w:lang w:val="en-US"/>
        </w:rPr>
        <w:t xml:space="preserve">was </w:t>
      </w:r>
      <w:r w:rsidRPr="004823C1">
        <w:rPr>
          <w:lang w:val="en-US"/>
        </w:rPr>
        <w:t xml:space="preserve">in detention in October 2021 is a worrying </w:t>
      </w:r>
      <w:r w:rsidRPr="004823C1">
        <w:rPr>
          <w:lang w:val="en-US"/>
        </w:rPr>
        <w:lastRenderedPageBreak/>
        <w:t>example of</w:t>
      </w:r>
      <w:r w:rsidR="47C4E403">
        <w:rPr>
          <w:lang w:val="en-US"/>
        </w:rPr>
        <w:t xml:space="preserve"> </w:t>
      </w:r>
      <w:r w:rsidRPr="004823C1">
        <w:rPr>
          <w:lang w:val="en-US"/>
        </w:rPr>
        <w:t xml:space="preserve">reports of forced injection </w:t>
      </w:r>
      <w:r w:rsidR="47C4E403">
        <w:rPr>
          <w:lang w:val="en-US"/>
        </w:rPr>
        <w:t xml:space="preserve">of unknown substances </w:t>
      </w:r>
      <w:r w:rsidRPr="004823C1">
        <w:rPr>
          <w:lang w:val="en-US"/>
        </w:rPr>
        <w:t>and forced transfer of prisoners to psychiatric hospitals.</w:t>
      </w:r>
      <w:r w:rsidR="004823C1" w:rsidRPr="00322FA5">
        <w:rPr>
          <w:rStyle w:val="FootnoteReference"/>
        </w:rPr>
        <w:footnoteReference w:id="86"/>
      </w:r>
    </w:p>
    <w:p w14:paraId="5B3FDFF4" w14:textId="2373366D" w:rsidR="004823C1" w:rsidRPr="00177785" w:rsidRDefault="45361C4C" w:rsidP="00177785">
      <w:pPr>
        <w:pStyle w:val="ParNoG"/>
        <w:rPr>
          <w:lang w:val="en-US"/>
        </w:rPr>
      </w:pPr>
      <w:r w:rsidRPr="004823C1">
        <w:t>The release of woman human rights defender, Atena Daemi on 24 January 2022 is a welcome step.</w:t>
      </w:r>
      <w:r w:rsidR="004823C1" w:rsidRPr="00322FA5">
        <w:rPr>
          <w:rStyle w:val="FootnoteReference"/>
        </w:rPr>
        <w:footnoteReference w:id="87"/>
      </w:r>
      <w:r w:rsidRPr="5D024BF2">
        <w:t xml:space="preserve"> </w:t>
      </w:r>
      <w:r w:rsidRPr="004823C1">
        <w:t>However, convictions on new charges against other human rights defenders continued. Narges Mohammadi, was arrested again on 16 November 2021 while attending a ceremony in commemoration of a victim of the November 2019 protests and</w:t>
      </w:r>
      <w:r w:rsidRPr="004823C1">
        <w:rPr>
          <w:lang w:val="en-US"/>
        </w:rPr>
        <w:t xml:space="preserve"> remained in solitary confinement for 54 days. In February 2022, a Revolution Court sentenced her to eight additional years in prison. She was summoned to return to prison in March 2022 despite her health condition.</w:t>
      </w:r>
      <w:r w:rsidR="004823C1" w:rsidRPr="00322FA5">
        <w:rPr>
          <w:rStyle w:val="FootnoteReference"/>
        </w:rPr>
        <w:footnoteReference w:id="88"/>
      </w:r>
      <w:r w:rsidRPr="004823C1">
        <w:rPr>
          <w:lang w:val="en-US"/>
        </w:rPr>
        <w:t xml:space="preserve"> Farhad Meysami, convicted on charges related to his gender equality campaigning</w:t>
      </w:r>
      <w:r w:rsidR="007D4F4C">
        <w:rPr>
          <w:lang w:val="en-US"/>
        </w:rPr>
        <w:t>,</w:t>
      </w:r>
      <w:r w:rsidRPr="004823C1">
        <w:rPr>
          <w:lang w:val="en-US"/>
        </w:rPr>
        <w:t xml:space="preserve"> has been detained since July 2018 without leave. He was summoned to the Revolution Court in February 2022 for new charges.</w:t>
      </w:r>
      <w:r w:rsidR="004823C1" w:rsidRPr="00322FA5">
        <w:rPr>
          <w:rStyle w:val="FootnoteReference"/>
        </w:rPr>
        <w:footnoteReference w:id="89"/>
      </w:r>
    </w:p>
    <w:p w14:paraId="3C7F7E44" w14:textId="3F5CA617" w:rsidR="004823C1" w:rsidRPr="004823C1" w:rsidRDefault="0079104C" w:rsidP="0079104C">
      <w:pPr>
        <w:pStyle w:val="H23G"/>
      </w:pPr>
      <w:r>
        <w:rPr>
          <w:lang w:val="en-US"/>
        </w:rPr>
        <w:tab/>
      </w:r>
      <w:r>
        <w:rPr>
          <w:lang w:val="en-US"/>
        </w:rPr>
        <w:tab/>
      </w:r>
      <w:r w:rsidR="004823C1" w:rsidRPr="004823C1">
        <w:rPr>
          <w:lang w:val="en-US"/>
        </w:rPr>
        <w:t>Reprisals for seeking accountability</w:t>
      </w:r>
    </w:p>
    <w:p w14:paraId="021BC7DB" w14:textId="3CCB8BD6" w:rsidR="004823C1" w:rsidRPr="004823C1" w:rsidRDefault="00AC290B" w:rsidP="00AC290B">
      <w:pPr>
        <w:pStyle w:val="ParNoG"/>
      </w:pPr>
      <w:r w:rsidRPr="00AC290B">
        <w:t xml:space="preserve">A series of actions that could constitute violations to human rights </w:t>
      </w:r>
      <w:r w:rsidR="45361C4C">
        <w:t>occurred in the context of accountability efforts by civil society and the pressure exerted by intelligence bodies against family members to prevent them from advocating on their cases</w:t>
      </w:r>
      <w:r w:rsidR="47C4E403">
        <w:t xml:space="preserve"> was observed</w:t>
      </w:r>
      <w:r w:rsidR="45361C4C">
        <w:t xml:space="preserve">. </w:t>
      </w:r>
      <w:r w:rsidR="003E667C">
        <w:t xml:space="preserve">Acts </w:t>
      </w:r>
      <w:r w:rsidR="45361C4C">
        <w:t>of pressure included promises to release the individual if the family refrain</w:t>
      </w:r>
      <w:r w:rsidR="00357C79">
        <w:t>ed</w:t>
      </w:r>
      <w:r w:rsidR="45361C4C">
        <w:t xml:space="preserve"> from advocating on their case with interlocutors and media abroad. In cases where families continued their advocacy, they were often subjected to threats and intimidation.</w:t>
      </w:r>
      <w:r w:rsidR="45361C4C" w:rsidRPr="73A88EB4">
        <w:rPr>
          <w:lang w:val="en-US"/>
        </w:rPr>
        <w:t xml:space="preserve"> Among the reported case </w:t>
      </w:r>
      <w:r w:rsidR="00227D68">
        <w:rPr>
          <w:lang w:val="en-US"/>
        </w:rPr>
        <w:t>was</w:t>
      </w:r>
      <w:r w:rsidR="45361C4C" w:rsidRPr="73A88EB4">
        <w:rPr>
          <w:lang w:val="en-US"/>
        </w:rPr>
        <w:t xml:space="preserve"> the violent arrest in November 2021 of Gohar Eshghi and Sahar Beheshti, the mother and sister of blogger Sattar Beheshti who was killed under torture in custody in 2021. </w:t>
      </w:r>
    </w:p>
    <w:p w14:paraId="7ECEC52B" w14:textId="5B5E2C75" w:rsidR="004823C1" w:rsidRPr="004823C1" w:rsidRDefault="47C4E403" w:rsidP="00177785">
      <w:pPr>
        <w:pStyle w:val="ParNoG"/>
      </w:pPr>
      <w:r>
        <w:t>No</w:t>
      </w:r>
      <w:r w:rsidR="45361C4C" w:rsidRPr="004823C1">
        <w:t xml:space="preserve"> steps have </w:t>
      </w:r>
      <w:r w:rsidR="00E72B73">
        <w:t xml:space="preserve">thus far </w:t>
      </w:r>
      <w:r w:rsidR="45361C4C" w:rsidRPr="004823C1">
        <w:t>been taken to establish accountability for the violations over nationwide protests in November 2019</w:t>
      </w:r>
      <w:r>
        <w:t>.</w:t>
      </w:r>
      <w:r w:rsidR="45361C4C" w:rsidRPr="004823C1">
        <w:t xml:space="preserve"> </w:t>
      </w:r>
      <w:r w:rsidR="003C42DC">
        <w:t>During the reporting period, i</w:t>
      </w:r>
      <w:r w:rsidR="003C42DC" w:rsidRPr="004823C1">
        <w:t xml:space="preserve">ndividuals </w:t>
      </w:r>
      <w:r w:rsidR="45361C4C" w:rsidRPr="004823C1">
        <w:t>calling for accountability, including families of victims, were subject to intimidation, threats, violence and imprisonment. In the absence of efforts by the State to hold an independent investigation into the events, civil society established a people’s tribunal (“the Iran Atrocities (Aban) Tribunal</w:t>
      </w:r>
      <w:r>
        <w:t>)</w:t>
      </w:r>
      <w:r w:rsidR="45361C4C" w:rsidRPr="004823C1">
        <w:t xml:space="preserve">” in November 2021. </w:t>
      </w:r>
      <w:r w:rsidR="45361C4C" w:rsidRPr="004823C1">
        <w:rPr>
          <w:lang w:val="en-US"/>
        </w:rPr>
        <w:t>In February 2022, security agents in Kermanshah searched the house and interrogated the family of Sohbatallah Omidi, a witness at the Aban Tribunal.</w:t>
      </w:r>
      <w:r w:rsidR="004823C1" w:rsidRPr="00322FA5">
        <w:rPr>
          <w:rStyle w:val="FootnoteReference"/>
        </w:rPr>
        <w:footnoteReference w:id="90"/>
      </w:r>
      <w:r w:rsidR="45361C4C" w:rsidRPr="004823C1">
        <w:rPr>
          <w:lang w:val="en-US"/>
        </w:rPr>
        <w:t xml:space="preserve"> </w:t>
      </w:r>
      <w:r w:rsidR="45361C4C" w:rsidRPr="004823C1">
        <w:t>Reported cases of targeting of family members, include</w:t>
      </w:r>
      <w:r>
        <w:t xml:space="preserve"> </w:t>
      </w:r>
      <w:r w:rsidR="45361C4C" w:rsidRPr="004823C1">
        <w:t>the family of Farzad Ansarifar, a protester killed during the protests. His sister, Farzaneh Ansarifar was sentenced to four years and six months</w:t>
      </w:r>
      <w:r w:rsidR="5A9D8158">
        <w:t xml:space="preserve"> </w:t>
      </w:r>
      <w:r w:rsidR="45361C4C" w:rsidRPr="004823C1">
        <w:t>imprisonment for pursuing accountability for her brother’s killing, and his brother and father were arrested by security forces in February 2022.</w:t>
      </w:r>
      <w:r w:rsidR="45361C4C" w:rsidRPr="004823C1">
        <w:rPr>
          <w:lang w:val="en-US"/>
        </w:rPr>
        <w:t xml:space="preserve"> </w:t>
      </w:r>
      <w:r w:rsidR="45361C4C" w:rsidRPr="004823C1">
        <w:t xml:space="preserve">The same month, security agents raided the home of Shanhaz Akmali, mother of Mostafa Karim Beigi, a protestor killed in the 2009 protests. The security forces summoned her daughter, Maryam Karim Beigi, to Evin Prosecutor’s Office. </w:t>
      </w:r>
      <w:r w:rsidR="45361C4C" w:rsidRPr="004823C1">
        <w:rPr>
          <w:lang w:val="en-US"/>
        </w:rPr>
        <w:t>Afshin Hossein Panahi was summoned to court in November 2021,</w:t>
      </w:r>
      <w:r w:rsidR="004823C1" w:rsidRPr="00322FA5">
        <w:rPr>
          <w:rStyle w:val="FootnoteReference"/>
        </w:rPr>
        <w:footnoteReference w:id="91"/>
      </w:r>
      <w:r w:rsidR="45361C4C" w:rsidRPr="004823C1">
        <w:rPr>
          <w:lang w:val="en-US"/>
        </w:rPr>
        <w:t xml:space="preserve"> following his call for accountability for the death of his brother, Ashraf Hossein Panahi. </w:t>
      </w:r>
      <w:r w:rsidR="45361C4C" w:rsidRPr="004823C1">
        <w:t xml:space="preserve">In February 2022, Gozal Hajizadeh, the 70-year old mother </w:t>
      </w:r>
      <w:r w:rsidR="45361C4C" w:rsidRPr="004823C1">
        <w:lastRenderedPageBreak/>
        <w:t>of Kurdish political prisoner Zeynab Jalalian</w:t>
      </w:r>
      <w:r w:rsidR="63AD7DD4">
        <w:t>,</w:t>
      </w:r>
      <w:r w:rsidR="004823C1" w:rsidRPr="00322FA5">
        <w:rPr>
          <w:rStyle w:val="FootnoteReference"/>
        </w:rPr>
        <w:footnoteReference w:id="92"/>
      </w:r>
      <w:r w:rsidR="45361C4C" w:rsidRPr="004823C1">
        <w:t xml:space="preserve"> was </w:t>
      </w:r>
      <w:r>
        <w:t xml:space="preserve">deprived of her liberty </w:t>
      </w:r>
      <w:r w:rsidR="45361C4C" w:rsidRPr="004823C1">
        <w:t>for several hours at her home in West Azerbaijan Province. Ministry of Intelligence agents interrogated and threate</w:t>
      </w:r>
      <w:r w:rsidR="45361C4C">
        <w:t>ne</w:t>
      </w:r>
      <w:r w:rsidR="45361C4C" w:rsidRPr="004823C1">
        <w:t>d her over her call to the international community.</w:t>
      </w:r>
      <w:r w:rsidR="004823C1" w:rsidRPr="00322FA5">
        <w:rPr>
          <w:rStyle w:val="FootnoteReference"/>
        </w:rPr>
        <w:footnoteReference w:id="93"/>
      </w:r>
      <w:r w:rsidR="44117FD9">
        <w:t xml:space="preserve"> </w:t>
      </w:r>
    </w:p>
    <w:p w14:paraId="5D6EEDB2" w14:textId="588944E2" w:rsidR="004823C1" w:rsidRPr="004823C1" w:rsidRDefault="0079104C" w:rsidP="0079104C">
      <w:pPr>
        <w:pStyle w:val="H23G"/>
      </w:pPr>
      <w:r>
        <w:tab/>
      </w:r>
      <w:r>
        <w:tab/>
      </w:r>
      <w:r w:rsidR="004823C1" w:rsidRPr="004823C1">
        <w:t>Labour rights defenders</w:t>
      </w:r>
    </w:p>
    <w:p w14:paraId="03A1A5CD" w14:textId="24ED7248" w:rsidR="004823C1" w:rsidRPr="004823C1" w:rsidRDefault="45361C4C" w:rsidP="00177785">
      <w:pPr>
        <w:pStyle w:val="ParNoG"/>
      </w:pPr>
      <w:r>
        <w:t xml:space="preserve">The summoning, </w:t>
      </w:r>
      <w:r w:rsidR="47C4E403">
        <w:t xml:space="preserve">arrest and </w:t>
      </w:r>
      <w:r>
        <w:t>det</w:t>
      </w:r>
      <w:r w:rsidR="47C4E403">
        <w:t>ention</w:t>
      </w:r>
      <w:r>
        <w:t xml:space="preserve"> of labour rights defenders amidst growing protests by teachers, retirees and other groups demanding labour and social security rights intensified. In January 2022, Osman Esmaili and Mahmoud Salehi, in Saqqez, Kurdistan province, were tried on the charge of “propaganda against the system”. In February 2022, Alieh Eghdamdoust, a labour rights defender and </w:t>
      </w:r>
      <w:r w:rsidR="47C4E403">
        <w:t>dismissed</w:t>
      </w:r>
      <w:r>
        <w:t xml:space="preserve"> teacher, was arrested</w:t>
      </w:r>
      <w:r w:rsidR="47C4E403">
        <w:t xml:space="preserve"> for “propaganda against the system”</w:t>
      </w:r>
      <w:r>
        <w:t>. In January 2022, Shaban Mohammadi, a retired teacher and member of the Iran Teachers’ Trade Association, was arrested</w:t>
      </w:r>
      <w:r w:rsidR="47C4E403">
        <w:t xml:space="preserve"> for “membership in organizations that aim to disrupt national security”</w:t>
      </w:r>
      <w:r>
        <w:t>. The location of his arrest remained unknown until 24 February when he was released on bail. His arrest took place in the context of new nationwide protests, sit-ins and strikes by teachers, which resumed in December 2021 and culminated in teachers’ rallies in over 80 cities on 13 December. On 19 February 2022, teachers rallied in over 100 cities. It was reported that several teachers were beaten by security forces, and that over</w:t>
      </w:r>
      <w:r w:rsidR="00C244F5">
        <w:t xml:space="preserve"> </w:t>
      </w:r>
      <w:r>
        <w:t>15 teachers were arrested.</w:t>
      </w:r>
      <w:r w:rsidR="5A9D8158">
        <w:t xml:space="preserve"> </w:t>
      </w:r>
    </w:p>
    <w:p w14:paraId="6B625EAB" w14:textId="01E067A2" w:rsidR="004823C1" w:rsidRPr="004823C1" w:rsidRDefault="0079104C" w:rsidP="0079104C">
      <w:pPr>
        <w:pStyle w:val="H23G"/>
      </w:pPr>
      <w:r>
        <w:tab/>
      </w:r>
      <w:r>
        <w:tab/>
      </w:r>
      <w:r w:rsidR="004823C1" w:rsidRPr="004823C1">
        <w:t>Dual and foreign citizens</w:t>
      </w:r>
    </w:p>
    <w:p w14:paraId="37D6C4FA" w14:textId="46DC58CC" w:rsidR="004823C1" w:rsidRPr="004823C1" w:rsidRDefault="45361C4C" w:rsidP="00177785">
      <w:pPr>
        <w:pStyle w:val="ParNoG"/>
      </w:pPr>
      <w:r>
        <w:t xml:space="preserve">An estimated 69 foreign and dual nationals have been detained in Iran since 2003. </w:t>
      </w:r>
      <w:r w:rsidR="47C4E403">
        <w:t xml:space="preserve">The </w:t>
      </w:r>
      <w:r>
        <w:t xml:space="preserve">return of Nazanin Zaghari-Ratcliffe and Anoosheh Ashouri to the United Kingdom in March 2022, </w:t>
      </w:r>
      <w:r w:rsidR="47C4E403">
        <w:t xml:space="preserve">is a welcome step. </w:t>
      </w:r>
      <w:r>
        <w:t>In March 2022, 83</w:t>
      </w:r>
      <w:r w:rsidR="47C4E403">
        <w:t>-</w:t>
      </w:r>
      <w:r>
        <w:t>year</w:t>
      </w:r>
      <w:r w:rsidR="003308DA">
        <w:t>-</w:t>
      </w:r>
      <w:r>
        <w:t>old Australian-Iranian Shokrollah Jebelli died in detention. Despite his health condition, he was denied medical leave and was only transferred to hospital one day prior to his death. In February 2022, Jamshid Sharmahd, a German-Iranian, reportedly kidnapped in 2020 while in Dubai and brought to Iran, appeared before a Tehran Revolution Court, charged with “spreading corruption on earth”</w:t>
      </w:r>
      <w:r w:rsidR="00A648EC">
        <w:t>,</w:t>
      </w:r>
      <w:r>
        <w:t xml:space="preserve"> </w:t>
      </w:r>
      <w:r w:rsidR="47C4E403">
        <w:t>an offence carrying</w:t>
      </w:r>
      <w:r>
        <w:t xml:space="preserve"> the death penalty. Among other dual and foreign citizens whose arbitrary detention continued are Ahmadreza Djalali, Kamran Ghaderi, Massud Mossaheb, Mehran Raoof, Morad Tahbaz, Nahid Taghavi, Emad Shargi, and Siamak Namazi.</w:t>
      </w:r>
    </w:p>
    <w:p w14:paraId="454F723A" w14:textId="46962B1D" w:rsidR="004823C1" w:rsidRPr="004823C1" w:rsidRDefault="00E60291" w:rsidP="00E60291">
      <w:pPr>
        <w:pStyle w:val="H1G"/>
        <w:rPr>
          <w:bCs/>
        </w:rPr>
      </w:pPr>
      <w:r>
        <w:tab/>
      </w:r>
      <w:r w:rsidR="0000400C">
        <w:t>D</w:t>
      </w:r>
      <w:r w:rsidR="004823C1" w:rsidRPr="004823C1">
        <w:t>.</w:t>
      </w:r>
      <w:r>
        <w:tab/>
      </w:r>
      <w:r w:rsidR="004823C1" w:rsidRPr="004823C1">
        <w:t>Right to an adequate standard of living</w:t>
      </w:r>
      <w:r w:rsidR="004823C1" w:rsidRPr="004823C1">
        <w:rPr>
          <w:bCs/>
        </w:rPr>
        <w:t xml:space="preserve"> and health</w:t>
      </w:r>
    </w:p>
    <w:p w14:paraId="13DDF8E2" w14:textId="4491E8F8" w:rsidR="004823C1" w:rsidRPr="004823C1" w:rsidRDefault="00DF0BA9" w:rsidP="00DF0BA9">
      <w:pPr>
        <w:pStyle w:val="H23G"/>
      </w:pPr>
      <w:r>
        <w:tab/>
      </w:r>
      <w:r>
        <w:tab/>
      </w:r>
      <w:r w:rsidR="004823C1" w:rsidRPr="004823C1">
        <w:t>Right to water</w:t>
      </w:r>
    </w:p>
    <w:p w14:paraId="45A1B976" w14:textId="5DB3EF55" w:rsidR="004823C1" w:rsidRPr="004823C1" w:rsidRDefault="45361C4C" w:rsidP="00177785">
      <w:pPr>
        <w:pStyle w:val="ParNoG"/>
      </w:pPr>
      <w:r w:rsidRPr="004823C1">
        <w:t>According to the Center for Strategic Studies of the Parliament, Iran has experienced one of the most severe periods of water shortage in recent years.</w:t>
      </w:r>
      <w:r w:rsidR="004823C1" w:rsidRPr="00322FA5">
        <w:rPr>
          <w:rStyle w:val="FootnoteReference"/>
        </w:rPr>
        <w:footnoteReference w:id="94"/>
      </w:r>
      <w:r w:rsidRPr="004823C1">
        <w:t xml:space="preserve"> </w:t>
      </w:r>
      <w:r w:rsidR="47C4E403">
        <w:t>Its report stresses that</w:t>
      </w:r>
      <w:r w:rsidRPr="004823C1">
        <w:t xml:space="preserve"> water shortage is among the main causes of protests in Abadan, Khorramshahr, Borazjan, Kazerun, Bushehr and cities in Isfahan Province. Approximately nine million people, primarily in rural areas, face water shortage, according to the Ministry of Energy.</w:t>
      </w:r>
      <w:r w:rsidR="004823C1" w:rsidRPr="00322FA5">
        <w:rPr>
          <w:rStyle w:val="FootnoteReference"/>
        </w:rPr>
        <w:footnoteReference w:id="95"/>
      </w:r>
      <w:r w:rsidRPr="004823C1">
        <w:t xml:space="preserve"> In addition, </w:t>
      </w:r>
      <w:r w:rsidRPr="004823C1">
        <w:lastRenderedPageBreak/>
        <w:t xml:space="preserve">mounting climate change challenges and drought, deforestation, under-investment in preserving water resources and short-term agricultural policies have resulted in water shortages and soil degradation across the country, with dire consequences for agricultural production and food security. While the authorities adopted temporary measures, including electricity supply rationing and a four-month ban on the mining of crypto-currencies, more long-term sustainable measures are needed. </w:t>
      </w:r>
    </w:p>
    <w:p w14:paraId="6854C905" w14:textId="4EFDE68A" w:rsidR="004823C1" w:rsidRPr="004823C1" w:rsidRDefault="45361C4C" w:rsidP="00B12ADA">
      <w:pPr>
        <w:pStyle w:val="ParNoG"/>
      </w:pPr>
      <w:r w:rsidRPr="004823C1">
        <w:t>In February 2022, Parliament authorized the start of construction work on a water transfer project from the Sea of Oman to Sistan-Baluchestan Province.</w:t>
      </w:r>
      <w:r w:rsidR="004823C1" w:rsidRPr="00322FA5">
        <w:rPr>
          <w:rStyle w:val="FootnoteReference"/>
        </w:rPr>
        <w:footnoteReference w:id="96"/>
      </w:r>
      <w:r w:rsidRPr="004823C1">
        <w:t xml:space="preserve"> The project comes amid renewed efforts to obtain water rights from the Helmand River in Afghanistan.</w:t>
      </w:r>
      <w:r w:rsidR="004823C1" w:rsidRPr="00322FA5">
        <w:rPr>
          <w:rStyle w:val="FootnoteReference"/>
        </w:rPr>
        <w:footnoteReference w:id="97"/>
      </w:r>
    </w:p>
    <w:p w14:paraId="17B0A6E6" w14:textId="0FCFFF8F" w:rsidR="004823C1" w:rsidRPr="004823C1" w:rsidRDefault="00DF0BA9" w:rsidP="00DF0BA9">
      <w:pPr>
        <w:pStyle w:val="H23G"/>
      </w:pPr>
      <w:r>
        <w:tab/>
      </w:r>
      <w:r>
        <w:tab/>
      </w:r>
      <w:r w:rsidR="004823C1" w:rsidRPr="004823C1">
        <w:t xml:space="preserve">Economic situation, </w:t>
      </w:r>
      <w:r w:rsidR="004823C1" w:rsidRPr="00782353">
        <w:t>sanctions</w:t>
      </w:r>
      <w:r w:rsidR="004823C1" w:rsidRPr="004823C1">
        <w:t xml:space="preserve"> and poverty</w:t>
      </w:r>
    </w:p>
    <w:p w14:paraId="6EFF967A" w14:textId="2B6C7274" w:rsidR="004823C1" w:rsidRPr="004823C1" w:rsidRDefault="45361C4C" w:rsidP="00B12ADA">
      <w:pPr>
        <w:pStyle w:val="ParNoG"/>
      </w:pPr>
      <w:r w:rsidRPr="004823C1">
        <w:t>Despite limited accessible foreign exchange reserves</w:t>
      </w:r>
      <w:r w:rsidR="47C4E403">
        <w:t xml:space="preserve">, including as a result of </w:t>
      </w:r>
      <w:r w:rsidRPr="004823C1">
        <w:t>ongoing sectoral sanctions, the economy returned to some growth following years of recession.</w:t>
      </w:r>
      <w:r w:rsidR="004823C1" w:rsidRPr="00322FA5">
        <w:rPr>
          <w:rStyle w:val="FootnoteReference"/>
        </w:rPr>
        <w:footnoteReference w:id="98"/>
      </w:r>
      <w:r w:rsidRPr="004823C1">
        <w:t xml:space="preserve"> The economic rebound did not result in an increase in jobs. As it was coupled with high inflation, this translated into declining household welfare among the majority of the population. The COVID-19 pandemic also severely affected jobs and incomes, including in the informal sector. </w:t>
      </w:r>
    </w:p>
    <w:p w14:paraId="5E3CA6C0" w14:textId="2EC1F58D" w:rsidR="004823C1" w:rsidRPr="004823C1" w:rsidRDefault="45361C4C" w:rsidP="00B12ADA">
      <w:pPr>
        <w:pStyle w:val="ParNoG"/>
      </w:pPr>
      <w:r w:rsidRPr="004823C1">
        <w:t>In the second quarter of 2021/2022</w:t>
      </w:r>
      <w:r w:rsidR="00D05C29">
        <w:rPr>
          <w:rStyle w:val="FootnoteReference"/>
        </w:rPr>
        <w:footnoteReference w:id="99"/>
      </w:r>
      <w:r w:rsidRPr="004823C1">
        <w:t xml:space="preserve">, </w:t>
      </w:r>
      <w:r w:rsidR="009B1263">
        <w:t xml:space="preserve">the </w:t>
      </w:r>
      <w:r w:rsidRPr="004823C1">
        <w:t xml:space="preserve">employment </w:t>
      </w:r>
      <w:r w:rsidR="009B1263">
        <w:t xml:space="preserve">rate </w:t>
      </w:r>
      <w:r w:rsidRPr="004823C1">
        <w:t>remained 1.3 million below the pre-pandemic level, with the agriculture sector particularly affected. Existing labo</w:t>
      </w:r>
      <w:r w:rsidR="00FB475B">
        <w:t>u</w:t>
      </w:r>
      <w:r w:rsidRPr="004823C1">
        <w:t xml:space="preserve">r market inequalities widened during the reporting period, with women being impacted to a greater extent. In the second quarter of 2021/2022, women’s labor participation declined by 21 per cent compared to pre-pandemic levels, and </w:t>
      </w:r>
      <w:r w:rsidR="00B77E97">
        <w:t xml:space="preserve">the </w:t>
      </w:r>
      <w:r w:rsidRPr="004823C1">
        <w:t>unemployment rate for women was twice as large as for men, highlighting obstacles facing women jobseekers. The unemployment rate gender gap is wider among the youth and educated. For example, in the third quarter of 2021/2022, 22.6 per cent of women with university degrees were unemployed, while this number was 10.1 per cent for men.</w:t>
      </w:r>
      <w:r w:rsidR="00D42074">
        <w:rPr>
          <w:rStyle w:val="FootnoteReference"/>
        </w:rPr>
        <w:footnoteReference w:id="100"/>
      </w:r>
      <w:r w:rsidRPr="004823C1">
        <w:t xml:space="preserve"> </w:t>
      </w:r>
    </w:p>
    <w:p w14:paraId="57D60B42" w14:textId="2E1AAED8" w:rsidR="004823C1" w:rsidRPr="004823C1" w:rsidRDefault="45361C4C" w:rsidP="00B12ADA">
      <w:pPr>
        <w:pStyle w:val="ParNoG"/>
      </w:pPr>
      <w:r>
        <w:t>Low growth, high inflation and widespread unemployment has caused widening income inequality. The budget provide</w:t>
      </w:r>
      <w:r w:rsidR="2E5B59C2">
        <w:t>d</w:t>
      </w:r>
      <w:r>
        <w:t xml:space="preserve"> a 10 percent increase for public wages and salaries in average, far below the expected inflation rate during the budget period.</w:t>
      </w:r>
      <w:r w:rsidR="5A9D8158">
        <w:t xml:space="preserve"> </w:t>
      </w:r>
    </w:p>
    <w:p w14:paraId="25BE179C" w14:textId="77777777" w:rsidR="00E60EC4" w:rsidRDefault="45361C4C" w:rsidP="00E60EC4">
      <w:pPr>
        <w:pStyle w:val="ParNoG"/>
        <w:rPr>
          <w:lang w:val="en-US"/>
        </w:rPr>
      </w:pPr>
      <w:r w:rsidRPr="004823C1">
        <w:t>Economic disparities increased during the reporting period. During the COVID-19 pandemic, the number of high net worth individuals in the Islamic Republic of Iran grew by 21.6%, compared to</w:t>
      </w:r>
      <w:r w:rsidR="2E5B59C2">
        <w:t xml:space="preserve"> a</w:t>
      </w:r>
      <w:r w:rsidRPr="004823C1">
        <w:t xml:space="preserve"> global average of 6.3%.</w:t>
      </w:r>
      <w:r w:rsidR="004823C1" w:rsidRPr="00322FA5">
        <w:rPr>
          <w:rStyle w:val="FootnoteReference"/>
        </w:rPr>
        <w:footnoteReference w:id="101"/>
      </w:r>
      <w:r w:rsidRPr="004823C1">
        <w:t xml:space="preserve"> There are an estimated 250,000 millionaires in Iran.</w:t>
      </w:r>
      <w:r w:rsidR="004823C1" w:rsidRPr="00322FA5">
        <w:rPr>
          <w:rStyle w:val="FootnoteReference"/>
        </w:rPr>
        <w:footnoteReference w:id="102"/>
      </w:r>
      <w:r w:rsidRPr="004823C1">
        <w:t xml:space="preserve"> At the same time, an </w:t>
      </w:r>
      <w:r w:rsidRPr="004823C1">
        <w:lastRenderedPageBreak/>
        <w:t xml:space="preserve">estimated 60% of the population lives in poverty, according to the Islamic Labour Council. </w:t>
      </w:r>
      <w:r w:rsidR="001B469D">
        <w:rPr>
          <w:rStyle w:val="FootnoteReference"/>
        </w:rPr>
        <w:footnoteReference w:id="103"/>
      </w:r>
      <w:r w:rsidRPr="004823C1">
        <w:t>According to the Social Security Research Center, 31.8% of people in urban areas and 50% of people in rural areas fall below the absolute poverty line.</w:t>
      </w:r>
      <w:r w:rsidR="004823C1" w:rsidRPr="00322FA5">
        <w:rPr>
          <w:rStyle w:val="FootnoteReference"/>
        </w:rPr>
        <w:footnoteReference w:id="104"/>
      </w:r>
      <w:r w:rsidR="5A9D8158">
        <w:t xml:space="preserve"> </w:t>
      </w:r>
      <w:r w:rsidRPr="004823C1">
        <w:t>The Ministry of Health further reported food insecurity in eight provinces and an increase</w:t>
      </w:r>
      <w:r w:rsidR="2F18B16A">
        <w:t>d</w:t>
      </w:r>
      <w:r w:rsidRPr="004823C1">
        <w:t xml:space="preserve"> number of children under the age of five who suffer from malnutrition.</w:t>
      </w:r>
      <w:r w:rsidR="004823C1" w:rsidRPr="00322FA5">
        <w:rPr>
          <w:rStyle w:val="FootnoteReference"/>
        </w:rPr>
        <w:footnoteReference w:id="105"/>
      </w:r>
    </w:p>
    <w:p w14:paraId="08C96024" w14:textId="3A59E54A" w:rsidR="004823C1" w:rsidRPr="00E60EC4" w:rsidRDefault="004823C1" w:rsidP="00E60EC4">
      <w:pPr>
        <w:pStyle w:val="ParNoG"/>
        <w:numPr>
          <w:ilvl w:val="0"/>
          <w:numId w:val="0"/>
        </w:numPr>
        <w:ind w:left="1134"/>
        <w:rPr>
          <w:b/>
          <w:bCs/>
          <w:lang w:val="en-US"/>
        </w:rPr>
      </w:pPr>
      <w:r w:rsidRPr="00E60EC4">
        <w:rPr>
          <w:b/>
          <w:bCs/>
          <w:lang w:val="en-US"/>
        </w:rPr>
        <w:t>COVID-19 Vaccination programme</w:t>
      </w:r>
    </w:p>
    <w:p w14:paraId="3079E7D9" w14:textId="5A1ABAE7" w:rsidR="004823C1" w:rsidRPr="004823C1" w:rsidRDefault="45361C4C" w:rsidP="00B12ADA">
      <w:pPr>
        <w:pStyle w:val="ParNoG"/>
        <w:rPr>
          <w:lang w:val="en-US"/>
        </w:rPr>
      </w:pPr>
      <w:r w:rsidRPr="004823C1">
        <w:rPr>
          <w:lang w:val="en-US"/>
        </w:rPr>
        <w:t xml:space="preserve">OHCHR received numerous reports about the limited vaccine coverage in mid-2021 amidst high numbers of deaths due to COVID-19, with the pandemic’s fifth wave causing the most severe surge of infections and deaths since the start of the pandemic. Public broadcasting reported on 9 August 2021 that every two minutes one person was dying from COVID-19 in </w:t>
      </w:r>
      <w:r w:rsidR="00A37962">
        <w:rPr>
          <w:lang w:val="en-US"/>
        </w:rPr>
        <w:t xml:space="preserve">the </w:t>
      </w:r>
      <w:r w:rsidRPr="004823C1">
        <w:rPr>
          <w:lang w:val="en-US"/>
        </w:rPr>
        <w:t>country</w:t>
      </w:r>
      <w:r w:rsidR="004823C1" w:rsidRPr="00322FA5">
        <w:rPr>
          <w:rStyle w:val="FootnoteReference"/>
        </w:rPr>
        <w:footnoteReference w:id="106"/>
      </w:r>
      <w:r w:rsidRPr="004823C1">
        <w:rPr>
          <w:lang w:val="en-US"/>
        </w:rPr>
        <w:t xml:space="preserve">, </w:t>
      </w:r>
      <w:r w:rsidRPr="004823C1">
        <w:t>with over 709 deaths in 24 hours on 2</w:t>
      </w:r>
      <w:r w:rsidR="2E5B59C2">
        <w:t>5</w:t>
      </w:r>
      <w:r w:rsidRPr="004823C1">
        <w:t xml:space="preserve"> August 2021, the highest number since the start of the pandemic</w:t>
      </w:r>
      <w:r w:rsidRPr="004823C1">
        <w:rPr>
          <w:lang w:val="en-US"/>
        </w:rPr>
        <w:t>.</w:t>
      </w:r>
      <w:r w:rsidR="008E24B7">
        <w:rPr>
          <w:rStyle w:val="FootnoteReference"/>
        </w:rPr>
        <w:footnoteReference w:id="107"/>
      </w:r>
      <w:r w:rsidRPr="004823C1">
        <w:rPr>
          <w:lang w:val="en-US"/>
        </w:rPr>
        <w:t xml:space="preserve"> On 19 August 2021, the World Health Organization expressed concern over the COVID-19 outbreak in Iran while the level of vaccination coverage </w:t>
      </w:r>
      <w:r w:rsidR="2E5B59C2">
        <w:rPr>
          <w:lang w:val="en-US"/>
        </w:rPr>
        <w:t>was</w:t>
      </w:r>
      <w:r w:rsidRPr="004823C1">
        <w:rPr>
          <w:lang w:val="en-US"/>
        </w:rPr>
        <w:t xml:space="preserve"> low, and its impact on the lives, well-being, and livelihoods of the Iranians.</w:t>
      </w:r>
      <w:r w:rsidR="004823C1" w:rsidRPr="00322FA5">
        <w:rPr>
          <w:rStyle w:val="FootnoteReference"/>
        </w:rPr>
        <w:footnoteReference w:id="108"/>
      </w:r>
      <w:r w:rsidRPr="004823C1">
        <w:rPr>
          <w:lang w:val="en-US"/>
        </w:rPr>
        <w:t xml:space="preserve"> At the time, </w:t>
      </w:r>
      <w:r w:rsidR="001B469D">
        <w:rPr>
          <w:lang w:val="en-US"/>
        </w:rPr>
        <w:t>5,2 million people</w:t>
      </w:r>
      <w:r w:rsidRPr="004823C1">
        <w:rPr>
          <w:lang w:val="en-US"/>
        </w:rPr>
        <w:t xml:space="preserve"> </w:t>
      </w:r>
      <w:r w:rsidR="001B469D">
        <w:rPr>
          <w:lang w:val="en-US"/>
        </w:rPr>
        <w:t>had been</w:t>
      </w:r>
      <w:r w:rsidRPr="004823C1">
        <w:rPr>
          <w:lang w:val="en-US"/>
        </w:rPr>
        <w:t xml:space="preserve"> fully vaccinated.</w:t>
      </w:r>
      <w:r w:rsidR="004823C1" w:rsidRPr="00322FA5">
        <w:rPr>
          <w:rStyle w:val="FootnoteReference"/>
        </w:rPr>
        <w:footnoteReference w:id="109"/>
      </w:r>
      <w:r w:rsidRPr="004823C1">
        <w:rPr>
          <w:lang w:val="en-US"/>
        </w:rPr>
        <w:t xml:space="preserve"> According to health experts, the Supreme Leader’s decision to ban the importation of certain vaccines</w:t>
      </w:r>
      <w:r w:rsidR="004823C1" w:rsidRPr="00322FA5">
        <w:rPr>
          <w:rStyle w:val="FootnoteReference"/>
        </w:rPr>
        <w:footnoteReference w:id="110"/>
      </w:r>
      <w:r w:rsidRPr="004823C1">
        <w:rPr>
          <w:lang w:val="en-US"/>
        </w:rPr>
        <w:t xml:space="preserve"> as well as the Government’s decision to prioritize the development of</w:t>
      </w:r>
      <w:r w:rsidR="5A9D8158">
        <w:rPr>
          <w:lang w:val="en-US"/>
        </w:rPr>
        <w:t xml:space="preserve"> </w:t>
      </w:r>
      <w:r w:rsidRPr="004823C1">
        <w:rPr>
          <w:lang w:val="en-US"/>
        </w:rPr>
        <w:t>domestic vaccines instead of importing available vaccines contributed significantly to the limited supplies of vaccines and the following health crisis.</w:t>
      </w:r>
      <w:r w:rsidR="004823C1" w:rsidRPr="00322FA5">
        <w:rPr>
          <w:rStyle w:val="FootnoteReference"/>
        </w:rPr>
        <w:footnoteReference w:id="111"/>
      </w:r>
      <w:r w:rsidRPr="004823C1">
        <w:rPr>
          <w:lang w:val="en-US"/>
        </w:rPr>
        <w:t xml:space="preserve"> </w:t>
      </w:r>
      <w:r w:rsidRPr="004823C1">
        <w:t>The criticism was</w:t>
      </w:r>
      <w:r w:rsidR="2E5B59C2">
        <w:t xml:space="preserve"> reportedly</w:t>
      </w:r>
      <w:r w:rsidRPr="004823C1">
        <w:t xml:space="preserve"> echoed </w:t>
      </w:r>
      <w:r w:rsidRPr="004823C1">
        <w:rPr>
          <w:lang w:val="en-US"/>
        </w:rPr>
        <w:t xml:space="preserve">by health officials, </w:t>
      </w:r>
      <w:r w:rsidR="2E5B59C2">
        <w:rPr>
          <w:lang w:val="en-US"/>
        </w:rPr>
        <w:t xml:space="preserve">noting the lack of adequate </w:t>
      </w:r>
      <w:r w:rsidR="00382B90">
        <w:rPr>
          <w:lang w:val="en-US"/>
        </w:rPr>
        <w:t xml:space="preserve">budgetary </w:t>
      </w:r>
      <w:r w:rsidR="2E5B59C2">
        <w:rPr>
          <w:lang w:val="en-US"/>
        </w:rPr>
        <w:t>allocation</w:t>
      </w:r>
      <w:r w:rsidRPr="004823C1">
        <w:rPr>
          <w:lang w:val="en-US"/>
        </w:rPr>
        <w:t xml:space="preserve"> for purchasing vaccines since the beginning of the pandemic.</w:t>
      </w:r>
      <w:r w:rsidR="004823C1" w:rsidRPr="00322FA5">
        <w:rPr>
          <w:rStyle w:val="FootnoteReference"/>
        </w:rPr>
        <w:footnoteReference w:id="112"/>
      </w:r>
      <w:r w:rsidRPr="004823C1">
        <w:rPr>
          <w:lang w:val="en-US"/>
        </w:rPr>
        <w:t xml:space="preserve"> The pace of COVID-19 vaccine importation and rollouts increased significantly over the months of September and October 2021. By 20 March 2022, over </w:t>
      </w:r>
      <w:r w:rsidR="001B469D">
        <w:rPr>
          <w:lang w:val="en-US"/>
        </w:rPr>
        <w:t>56 million people had received two doses of the vaccine</w:t>
      </w:r>
      <w:r w:rsidRPr="004823C1">
        <w:rPr>
          <w:lang w:val="en-US"/>
        </w:rPr>
        <w:t>.</w:t>
      </w:r>
      <w:r w:rsidR="004823C1" w:rsidRPr="00322FA5">
        <w:rPr>
          <w:rStyle w:val="FootnoteReference"/>
        </w:rPr>
        <w:footnoteReference w:id="113"/>
      </w:r>
      <w:r w:rsidR="2F18B16A">
        <w:rPr>
          <w:lang w:val="en-US"/>
        </w:rPr>
        <w:t xml:space="preserve"> </w:t>
      </w:r>
      <w:r w:rsidR="01E291F4">
        <w:rPr>
          <w:lang w:val="en-US"/>
        </w:rPr>
        <w:t>The Government stressed the impact of sanctions across all sectors, particularly the health sector.</w:t>
      </w:r>
    </w:p>
    <w:p w14:paraId="4FC02E19" w14:textId="11EDD0A2" w:rsidR="004823C1" w:rsidRPr="004823C1" w:rsidRDefault="2E5B59C2" w:rsidP="001B4CF8">
      <w:pPr>
        <w:pStyle w:val="ParNoG"/>
      </w:pPr>
      <w:r>
        <w:rPr>
          <w:lang w:val="en-US"/>
        </w:rPr>
        <w:t xml:space="preserve">The </w:t>
      </w:r>
      <w:r w:rsidR="00BB4828">
        <w:rPr>
          <w:lang w:val="en-US"/>
        </w:rPr>
        <w:t>I</w:t>
      </w:r>
      <w:r>
        <w:rPr>
          <w:lang w:val="en-US"/>
        </w:rPr>
        <w:t xml:space="preserve">nternational Covenant on Economic, Social and Cultural Rights requires States to devote their maximum available resources to the full </w:t>
      </w:r>
      <w:r>
        <w:rPr>
          <w:lang w:val="en-US"/>
        </w:rPr>
        <w:lastRenderedPageBreak/>
        <w:t>realization of all economic, social and cultural rights, including the right to health.</w:t>
      </w:r>
      <w:r w:rsidR="008E24B7">
        <w:rPr>
          <w:rStyle w:val="FootnoteReference"/>
        </w:rPr>
        <w:footnoteReference w:id="114"/>
      </w:r>
      <w:r>
        <w:rPr>
          <w:lang w:val="en-US"/>
        </w:rPr>
        <w:t xml:space="preserve"> </w:t>
      </w:r>
      <w:r w:rsidR="45361C4C" w:rsidRPr="004823C1">
        <w:t xml:space="preserve">As highlighted by the Committee on Economic, Social and Cultural Rights, </w:t>
      </w:r>
      <w:r w:rsidR="001B4CF8" w:rsidRPr="001B4CF8">
        <w:t xml:space="preserve">the right to the enjoyment of the highest attainable standard of physical and mental health and the right to enjoy the benefits of scientific progress </w:t>
      </w:r>
      <w:r w:rsidR="45361C4C" w:rsidRPr="004823C1">
        <w:rPr>
          <w:lang w:val="en-US"/>
        </w:rPr>
        <w:t>imply that everyone has a right to have access to a COVID-19 vaccine that is safe, effective and based on the application of the best scientific developments.</w:t>
      </w:r>
      <w:r w:rsidR="004823C1" w:rsidRPr="00322FA5">
        <w:rPr>
          <w:rStyle w:val="FootnoteReference"/>
        </w:rPr>
        <w:footnoteReference w:id="115"/>
      </w:r>
      <w:r w:rsidR="45361C4C" w:rsidRPr="004823C1">
        <w:t xml:space="preserve"> </w:t>
      </w:r>
    </w:p>
    <w:p w14:paraId="1AB54CC0" w14:textId="58FCA45C" w:rsidR="004823C1" w:rsidRPr="004823C1" w:rsidRDefault="00751F69" w:rsidP="00A273E5">
      <w:pPr>
        <w:pStyle w:val="HChG"/>
      </w:pPr>
      <w:r>
        <w:tab/>
      </w:r>
      <w:r w:rsidR="004823C1" w:rsidRPr="004823C1">
        <w:t>III.</w:t>
      </w:r>
      <w:r w:rsidR="00606016">
        <w:tab/>
      </w:r>
      <w:r w:rsidR="004823C1" w:rsidRPr="004823C1">
        <w:t>Cooperation with international human rights mechanisms and the Office of the United Nations High Commissioner for Human Rights</w:t>
      </w:r>
    </w:p>
    <w:p w14:paraId="384E2928" w14:textId="5D5E8FC9" w:rsidR="004823C1" w:rsidRPr="004823C1" w:rsidRDefault="00E60291" w:rsidP="00E60291">
      <w:pPr>
        <w:pStyle w:val="H1G"/>
      </w:pPr>
      <w:r>
        <w:tab/>
        <w:t>A.</w:t>
      </w:r>
      <w:r>
        <w:tab/>
      </w:r>
      <w:r w:rsidR="004823C1" w:rsidRPr="004823C1">
        <w:t>Human rights treaty bodies</w:t>
      </w:r>
    </w:p>
    <w:p w14:paraId="298DC158" w14:textId="7661A9B8" w:rsidR="004823C1" w:rsidRPr="004823C1" w:rsidRDefault="45361C4C" w:rsidP="00B12ADA">
      <w:pPr>
        <w:pStyle w:val="ParNoG"/>
      </w:pPr>
      <w:r>
        <w:t xml:space="preserve">The Government has reiterated its commitment to engaging with international human rights mechanisms and to submitting its outstanding periodic reports. The State submitted its report under the International Covenant on Civil and Political Rights in July 2021, and under the </w:t>
      </w:r>
      <w:r w:rsidR="2E5B59C2">
        <w:t xml:space="preserve">Convention on the </w:t>
      </w:r>
      <w:r>
        <w:t>Elimination of All Forms of Racial Discrimination in January 2022, overdue since 2013, and 2018, respectively.</w:t>
      </w:r>
    </w:p>
    <w:p w14:paraId="3E3F1054" w14:textId="15D55626" w:rsidR="004823C1" w:rsidRPr="004823C1" w:rsidRDefault="00E60291" w:rsidP="00E60291">
      <w:pPr>
        <w:pStyle w:val="H1G"/>
      </w:pPr>
      <w:r>
        <w:tab/>
        <w:t>B.</w:t>
      </w:r>
      <w:r>
        <w:tab/>
      </w:r>
      <w:r w:rsidR="004823C1" w:rsidRPr="004823C1">
        <w:t>Special Procedures</w:t>
      </w:r>
    </w:p>
    <w:p w14:paraId="14624BAC" w14:textId="6B6988AD" w:rsidR="004823C1" w:rsidRPr="004823C1" w:rsidRDefault="45361C4C" w:rsidP="00B12ADA">
      <w:pPr>
        <w:pStyle w:val="ParNoG"/>
      </w:pPr>
      <w:r>
        <w:t>In March 2022, by its resolution of 49/</w:t>
      </w:r>
      <w:r w:rsidR="2E5B59C2">
        <w:t>24</w:t>
      </w:r>
      <w:r>
        <w:t xml:space="preserve">, the Human Rights Council renewed the mandate of the Special Rapporteur on the situation of human rights in the Islamic Republic of Iran. The Secretary-General encourages the Government to pursue constructive dialogue with the Special Rapporteur and to invite him to visit the country. In March 2022, the Government agreed </w:t>
      </w:r>
      <w:r w:rsidR="00CA273B">
        <w:t xml:space="preserve">to </w:t>
      </w:r>
      <w:r>
        <w:t>a visit by the Special Rapporteur on the negative impact of the unilateral coercive measures on the enjoyment of human rights, planned for May 2022.</w:t>
      </w:r>
      <w:r w:rsidR="5A9D8158">
        <w:t xml:space="preserve"> </w:t>
      </w:r>
    </w:p>
    <w:p w14:paraId="19FDC134" w14:textId="3C08EE8D" w:rsidR="004823C1" w:rsidRPr="004823C1" w:rsidRDefault="45361C4C" w:rsidP="00B12ADA">
      <w:pPr>
        <w:pStyle w:val="ParNoG"/>
      </w:pPr>
      <w:r>
        <w:t xml:space="preserve">Between 18 June 2021 and 20 March 2022, Special Procedures issued 21 communications regarding the situation of human rights in Iran. The Government replied to 14 communications. </w:t>
      </w:r>
      <w:r w:rsidR="00C64E5D">
        <w:t>Ten</w:t>
      </w:r>
      <w:r>
        <w:t xml:space="preserve"> public statements were issued in the same period. </w:t>
      </w:r>
    </w:p>
    <w:p w14:paraId="36E9B8D0" w14:textId="3DC13E5E" w:rsidR="004823C1" w:rsidRPr="004823C1" w:rsidRDefault="00E60291" w:rsidP="00E60291">
      <w:pPr>
        <w:pStyle w:val="H1G"/>
      </w:pPr>
      <w:r>
        <w:tab/>
        <w:t>C.</w:t>
      </w:r>
      <w:r>
        <w:tab/>
      </w:r>
      <w:r w:rsidR="004823C1" w:rsidRPr="004823C1">
        <w:t>Office of the High Commissioner for Human Rights</w:t>
      </w:r>
    </w:p>
    <w:p w14:paraId="3F63E3FF" w14:textId="23F31791" w:rsidR="004823C1" w:rsidRDefault="45361C4C" w:rsidP="00B12ADA">
      <w:pPr>
        <w:pStyle w:val="ParNoG"/>
      </w:pPr>
      <w:r>
        <w:t xml:space="preserve">The Secretary-General welcomes the dialogue between the Government of the Islamic Republic of Iran and OHCHR and encourages the Government to </w:t>
      </w:r>
      <w:r w:rsidR="17BD2AE0" w:rsidRPr="73A88EB4">
        <w:t>continue and enhance its engagement with OHCHR in</w:t>
      </w:r>
      <w:r>
        <w:t xml:space="preserve"> substantive technical cooperation. The</w:t>
      </w:r>
      <w:r w:rsidR="17BD2AE0" w:rsidRPr="73A88EB4">
        <w:t xml:space="preserve"> Executive Office of the </w:t>
      </w:r>
      <w:r>
        <w:t xml:space="preserve">Secretary-General and OHCHR raised concerns on several occasions with the Government about the situation of child offenders at imminent risk of execution, arbitrary executions and excessive use of force. </w:t>
      </w:r>
    </w:p>
    <w:p w14:paraId="762E7EB5" w14:textId="762B6642" w:rsidR="004823C1" w:rsidRPr="004823C1" w:rsidRDefault="0000400C" w:rsidP="00A273E5">
      <w:pPr>
        <w:pStyle w:val="HChG"/>
      </w:pPr>
      <w:bookmarkStart w:id="5" w:name="_Toc536526084"/>
      <w:r>
        <w:tab/>
      </w:r>
      <w:r w:rsidR="004823C1" w:rsidRPr="004823C1">
        <w:t>IV.</w:t>
      </w:r>
      <w:r w:rsidR="004823C1" w:rsidRPr="004823C1">
        <w:tab/>
        <w:t>Recommendations</w:t>
      </w:r>
      <w:bookmarkEnd w:id="5"/>
    </w:p>
    <w:p w14:paraId="70BFD41F" w14:textId="1996FCE2" w:rsidR="004823C1" w:rsidRPr="0000400C" w:rsidRDefault="002D5FE6" w:rsidP="00B12ADA">
      <w:pPr>
        <w:pStyle w:val="ParNoG"/>
        <w:rPr>
          <w:b/>
        </w:rPr>
      </w:pPr>
      <w:r w:rsidRPr="0000400C">
        <w:rPr>
          <w:b/>
        </w:rPr>
        <w:t>T</w:t>
      </w:r>
      <w:r w:rsidR="45361C4C" w:rsidRPr="0000400C">
        <w:rPr>
          <w:b/>
        </w:rPr>
        <w:t xml:space="preserve">he Secretary-General: </w:t>
      </w:r>
    </w:p>
    <w:p w14:paraId="0A399889" w14:textId="698282F7" w:rsidR="004823C1" w:rsidRPr="004823C1" w:rsidRDefault="004823C1" w:rsidP="00D82E82">
      <w:pPr>
        <w:pStyle w:val="SingleTxtG"/>
        <w:ind w:firstLine="567"/>
        <w:rPr>
          <w:b/>
          <w:bCs/>
        </w:rPr>
      </w:pPr>
      <w:r>
        <w:lastRenderedPageBreak/>
        <w:t>(a)</w:t>
      </w:r>
      <w:r>
        <w:tab/>
      </w:r>
      <w:r w:rsidR="002D5FE6">
        <w:rPr>
          <w:b/>
          <w:bCs/>
        </w:rPr>
        <w:t xml:space="preserve">Urges the Government to </w:t>
      </w:r>
      <w:r w:rsidR="00D82E82" w:rsidRPr="00D82E82">
        <w:rPr>
          <w:b/>
          <w:bCs/>
        </w:rPr>
        <w:t>abolish the death penalty and introduce an immediate moratorium on its use and to prohibit the execution of child offenders in all circumstances and commute their sentences;</w:t>
      </w:r>
    </w:p>
    <w:p w14:paraId="5E9D6934" w14:textId="5DDDC880" w:rsidR="004823C1" w:rsidRPr="004823C1" w:rsidRDefault="004823C1" w:rsidP="5D024BF2">
      <w:pPr>
        <w:pStyle w:val="SingleTxtG"/>
        <w:ind w:firstLine="567"/>
        <w:rPr>
          <w:b/>
          <w:bCs/>
        </w:rPr>
      </w:pPr>
      <w:r>
        <w:t>(b)</w:t>
      </w:r>
      <w:r>
        <w:tab/>
      </w:r>
      <w:r w:rsidR="002D5FE6">
        <w:rPr>
          <w:b/>
          <w:bCs/>
        </w:rPr>
        <w:t>Urges the Government to u</w:t>
      </w:r>
      <w:r w:rsidRPr="5D024BF2">
        <w:rPr>
          <w:b/>
          <w:bCs/>
        </w:rPr>
        <w:t xml:space="preserve">ndertake reforms to strengthen </w:t>
      </w:r>
      <w:r w:rsidR="00C872A9">
        <w:rPr>
          <w:b/>
          <w:bCs/>
        </w:rPr>
        <w:t xml:space="preserve">the right to </w:t>
      </w:r>
      <w:r w:rsidRPr="5D024BF2">
        <w:rPr>
          <w:b/>
          <w:bCs/>
        </w:rPr>
        <w:t xml:space="preserve">fair trial in line with international standards, </w:t>
      </w:r>
      <w:r w:rsidR="001B469D">
        <w:rPr>
          <w:b/>
          <w:bCs/>
        </w:rPr>
        <w:t>amongst others</w:t>
      </w:r>
      <w:r w:rsidR="00667E10">
        <w:rPr>
          <w:b/>
          <w:bCs/>
        </w:rPr>
        <w:t xml:space="preserve"> </w:t>
      </w:r>
      <w:r w:rsidRPr="5D024BF2">
        <w:rPr>
          <w:b/>
          <w:bCs/>
        </w:rPr>
        <w:t xml:space="preserve">by ensuring that all defendants, including those accused of crimes against national security, </w:t>
      </w:r>
      <w:r w:rsidR="008E24B7" w:rsidRPr="5D024BF2">
        <w:rPr>
          <w:b/>
          <w:bCs/>
        </w:rPr>
        <w:t xml:space="preserve">have effective </w:t>
      </w:r>
      <w:r w:rsidRPr="5D024BF2">
        <w:rPr>
          <w:b/>
          <w:bCs/>
        </w:rPr>
        <w:t>access to</w:t>
      </w:r>
      <w:r w:rsidR="008E24B7" w:rsidRPr="5D024BF2">
        <w:rPr>
          <w:b/>
          <w:bCs/>
        </w:rPr>
        <w:t xml:space="preserve"> meaningful </w:t>
      </w:r>
      <w:r w:rsidRPr="5D024BF2">
        <w:rPr>
          <w:b/>
          <w:bCs/>
        </w:rPr>
        <w:t xml:space="preserve">legal </w:t>
      </w:r>
      <w:r w:rsidR="008E24B7" w:rsidRPr="5D024BF2">
        <w:rPr>
          <w:b/>
          <w:bCs/>
        </w:rPr>
        <w:t xml:space="preserve">representation, including by counsel </w:t>
      </w:r>
      <w:r w:rsidRPr="5D024BF2">
        <w:rPr>
          <w:b/>
          <w:bCs/>
        </w:rPr>
        <w:t>of their choosing during the preliminary investigative stage and all subsequent stages of the judicial process;</w:t>
      </w:r>
    </w:p>
    <w:p w14:paraId="57D9DAE3" w14:textId="710562A1" w:rsidR="004823C1" w:rsidRPr="004823C1" w:rsidRDefault="004823C1" w:rsidP="00D9250A">
      <w:pPr>
        <w:pStyle w:val="SingleTxtG"/>
        <w:ind w:firstLine="567"/>
        <w:rPr>
          <w:b/>
          <w:bCs/>
        </w:rPr>
      </w:pPr>
      <w:r>
        <w:t>(c)</w:t>
      </w:r>
      <w:r>
        <w:tab/>
      </w:r>
      <w:r w:rsidR="002D5FE6">
        <w:rPr>
          <w:b/>
          <w:bCs/>
        </w:rPr>
        <w:t>Urges the Government to r</w:t>
      </w:r>
      <w:r w:rsidRPr="5D024BF2">
        <w:rPr>
          <w:b/>
          <w:bCs/>
        </w:rPr>
        <w:t xml:space="preserve">elease immediately all persons detained arbitrarily for legitimately exercising their freedoms of opinion and expression, association and peaceful assembly, and ensure that </w:t>
      </w:r>
      <w:r w:rsidRPr="78A97037">
        <w:rPr>
          <w:b/>
          <w:bCs/>
        </w:rPr>
        <w:t>security measures in relation to protests</w:t>
      </w:r>
      <w:r w:rsidRPr="5D024BF2">
        <w:rPr>
          <w:b/>
          <w:bCs/>
        </w:rPr>
        <w:t xml:space="preserve"> </w:t>
      </w:r>
      <w:r w:rsidR="0020120A">
        <w:rPr>
          <w:b/>
          <w:bCs/>
        </w:rPr>
        <w:t>are</w:t>
      </w:r>
      <w:r w:rsidR="0020120A" w:rsidRPr="5D024BF2">
        <w:rPr>
          <w:b/>
          <w:bCs/>
        </w:rPr>
        <w:t xml:space="preserve"> </w:t>
      </w:r>
      <w:r w:rsidRPr="5D024BF2">
        <w:rPr>
          <w:b/>
          <w:bCs/>
        </w:rPr>
        <w:t>undertaken in line with international standards, including the Basic Principles on the Use of Force and Firearms by Law Enforcement Officials;</w:t>
      </w:r>
    </w:p>
    <w:p w14:paraId="5BAF1EFD" w14:textId="4CB903EA" w:rsidR="004823C1" w:rsidRPr="004823C1" w:rsidRDefault="004823C1" w:rsidP="00D9250A">
      <w:pPr>
        <w:pStyle w:val="SingleTxtG"/>
        <w:ind w:firstLine="567"/>
        <w:rPr>
          <w:b/>
          <w:bCs/>
        </w:rPr>
      </w:pPr>
      <w:r>
        <w:t>(d)</w:t>
      </w:r>
      <w:r>
        <w:tab/>
      </w:r>
      <w:r w:rsidR="002D5FE6">
        <w:rPr>
          <w:b/>
          <w:bCs/>
        </w:rPr>
        <w:t>Urges the Government to e</w:t>
      </w:r>
      <w:r w:rsidRPr="5D024BF2">
        <w:rPr>
          <w:b/>
          <w:bCs/>
        </w:rPr>
        <w:t>nsure prompt, transparent and effective investigation</w:t>
      </w:r>
      <w:r w:rsidR="0067304F" w:rsidRPr="5D024BF2">
        <w:rPr>
          <w:b/>
          <w:bCs/>
        </w:rPr>
        <w:t>s</w:t>
      </w:r>
      <w:r w:rsidRPr="5D024BF2">
        <w:rPr>
          <w:b/>
          <w:bCs/>
        </w:rPr>
        <w:t xml:space="preserve"> by an independent and impartial body into the use of excessive and lethal force, including during protests, as well as into deaths in custody and </w:t>
      </w:r>
      <w:r w:rsidR="008E24B7" w:rsidRPr="5D024BF2">
        <w:rPr>
          <w:b/>
          <w:bCs/>
        </w:rPr>
        <w:t>allegations</w:t>
      </w:r>
      <w:r w:rsidRPr="5D024BF2">
        <w:rPr>
          <w:b/>
          <w:bCs/>
        </w:rPr>
        <w:t xml:space="preserve"> of torture or other ill-treatment, and prosecute and hold accountable public officials, including law enforcement officials, found responsible for issuing or carrying out the relevant orders; </w:t>
      </w:r>
    </w:p>
    <w:p w14:paraId="6844B8A8" w14:textId="364968A6" w:rsidR="004823C1" w:rsidRPr="004823C1" w:rsidRDefault="004823C1" w:rsidP="00D9250A">
      <w:pPr>
        <w:pStyle w:val="SingleTxtG"/>
        <w:ind w:firstLine="567"/>
        <w:rPr>
          <w:b/>
          <w:bCs/>
        </w:rPr>
      </w:pPr>
      <w:r w:rsidRPr="004823C1">
        <w:rPr>
          <w:bCs/>
        </w:rPr>
        <w:t>(e)</w:t>
      </w:r>
      <w:r>
        <w:tab/>
      </w:r>
      <w:r w:rsidR="002D5FE6">
        <w:rPr>
          <w:b/>
          <w:bCs/>
        </w:rPr>
        <w:t>Urges the Government to g</w:t>
      </w:r>
      <w:r w:rsidRPr="004823C1">
        <w:rPr>
          <w:b/>
          <w:bCs/>
        </w:rPr>
        <w:t xml:space="preserve">uarantee the right to freedom of opinion and expression, </w:t>
      </w:r>
      <w:r w:rsidR="001B469D">
        <w:rPr>
          <w:b/>
          <w:bCs/>
        </w:rPr>
        <w:t>reconsider</w:t>
      </w:r>
      <w:r w:rsidR="001B469D" w:rsidRPr="004823C1">
        <w:rPr>
          <w:b/>
          <w:bCs/>
        </w:rPr>
        <w:t xml:space="preserve"> </w:t>
      </w:r>
      <w:r w:rsidRPr="004823C1">
        <w:rPr>
          <w:b/>
          <w:bCs/>
        </w:rPr>
        <w:t xml:space="preserve">the User Protection Bill and to ensure that any limitation to those rights offline and online is in line with the established criteria for permissible restrictions under international human rights law; </w:t>
      </w:r>
    </w:p>
    <w:p w14:paraId="2F6D02B0" w14:textId="7704E2B1" w:rsidR="004823C1" w:rsidRPr="004823C1" w:rsidRDefault="004823C1" w:rsidP="00D9250A">
      <w:pPr>
        <w:pStyle w:val="SingleTxtG"/>
        <w:ind w:firstLine="567"/>
        <w:rPr>
          <w:b/>
          <w:bCs/>
        </w:rPr>
      </w:pPr>
      <w:r>
        <w:t>(f)</w:t>
      </w:r>
      <w:r>
        <w:tab/>
      </w:r>
      <w:r w:rsidR="002D5FE6">
        <w:rPr>
          <w:b/>
          <w:bCs/>
        </w:rPr>
        <w:t>Urges the Government to e</w:t>
      </w:r>
      <w:r w:rsidRPr="5D024BF2">
        <w:rPr>
          <w:b/>
          <w:bCs/>
        </w:rPr>
        <w:t>nsure that human rights defenders, lawyers, journalists, writers, labour rights activists, artists and environmentalists can engage in their respective activities safely and freely, without fear of reprisals, harassment, arrest, detention or prosecution, and extend</w:t>
      </w:r>
      <w:r w:rsidR="0067304F" w:rsidRPr="5D024BF2">
        <w:rPr>
          <w:b/>
          <w:bCs/>
        </w:rPr>
        <w:t xml:space="preserve"> the categories of prisoners eligible</w:t>
      </w:r>
      <w:r w:rsidRPr="5D024BF2">
        <w:rPr>
          <w:b/>
          <w:bCs/>
        </w:rPr>
        <w:t xml:space="preserve"> for temporary release</w:t>
      </w:r>
      <w:r w:rsidRPr="78A97037">
        <w:rPr>
          <w:b/>
          <w:bCs/>
        </w:rPr>
        <w:t xml:space="preserve">; </w:t>
      </w:r>
      <w:r w:rsidR="78A97037" w:rsidRPr="78A97037">
        <w:rPr>
          <w:b/>
          <w:bCs/>
        </w:rPr>
        <w:t xml:space="preserve">It is imperative that concrete measures for achieving accountability are undertaken and concrete steps taken to protect, but also provide space for those peacefully calling for change and the fulfilment of their basic rights.  </w:t>
      </w:r>
    </w:p>
    <w:p w14:paraId="040CE4DF" w14:textId="1179A7C6" w:rsidR="004823C1" w:rsidRPr="004823C1" w:rsidRDefault="004823C1" w:rsidP="00D9250A">
      <w:pPr>
        <w:pStyle w:val="SingleTxtG"/>
        <w:ind w:firstLine="567"/>
        <w:rPr>
          <w:b/>
          <w:bCs/>
        </w:rPr>
      </w:pPr>
      <w:r w:rsidRPr="004823C1">
        <w:rPr>
          <w:bCs/>
        </w:rPr>
        <w:t>(g)</w:t>
      </w:r>
      <w:r w:rsidRPr="004823C1">
        <w:rPr>
          <w:b/>
          <w:bCs/>
        </w:rPr>
        <w:tab/>
      </w:r>
      <w:r w:rsidR="00DC5572">
        <w:rPr>
          <w:b/>
          <w:bCs/>
        </w:rPr>
        <w:t>Urges the Government to t</w:t>
      </w:r>
      <w:r w:rsidRPr="004823C1">
        <w:rPr>
          <w:b/>
          <w:bCs/>
        </w:rPr>
        <w:t>ake further steps to eliminate all forms of discrimination against women and girls, and implement effective measures to protect them from other human rights violations, in accordance with international standards and advance their equal participation in public life;</w:t>
      </w:r>
      <w:r w:rsidRPr="004823C1">
        <w:t xml:space="preserve"> </w:t>
      </w:r>
      <w:r w:rsidRPr="004823C1">
        <w:rPr>
          <w:b/>
          <w:bCs/>
        </w:rPr>
        <w:t xml:space="preserve">prioritize revision and parliamentary adoption of the bill on Violence against Women </w:t>
      </w:r>
      <w:r w:rsidR="0067304F">
        <w:rPr>
          <w:b/>
          <w:bCs/>
        </w:rPr>
        <w:t xml:space="preserve">and ensure that the adopted law is </w:t>
      </w:r>
      <w:r w:rsidRPr="004823C1">
        <w:rPr>
          <w:b/>
          <w:bCs/>
        </w:rPr>
        <w:t>in compliance with international standards; and expand support services for survivors of domestic violence</w:t>
      </w:r>
      <w:r w:rsidR="0067304F">
        <w:rPr>
          <w:b/>
          <w:bCs/>
        </w:rPr>
        <w:t>, including by providing legal advice, medical support and</w:t>
      </w:r>
      <w:r w:rsidRPr="004823C1">
        <w:rPr>
          <w:b/>
          <w:bCs/>
        </w:rPr>
        <w:t xml:space="preserve"> increasing the number of shelters, their capacity and accessibility;</w:t>
      </w:r>
    </w:p>
    <w:p w14:paraId="7DB4E4B2" w14:textId="3FC5F0CF" w:rsidR="004823C1" w:rsidRPr="004823C1" w:rsidRDefault="004823C1" w:rsidP="00D9250A">
      <w:pPr>
        <w:pStyle w:val="SingleTxtG"/>
        <w:ind w:firstLine="567"/>
      </w:pPr>
      <w:r w:rsidRPr="004823C1">
        <w:rPr>
          <w:bCs/>
        </w:rPr>
        <w:t>(h)</w:t>
      </w:r>
      <w:r w:rsidRPr="004823C1">
        <w:rPr>
          <w:bCs/>
        </w:rPr>
        <w:tab/>
      </w:r>
      <w:r w:rsidR="00DC5572">
        <w:rPr>
          <w:b/>
        </w:rPr>
        <w:t>Urges the Government to r</w:t>
      </w:r>
      <w:r w:rsidRPr="004823C1">
        <w:rPr>
          <w:b/>
        </w:rPr>
        <w:t xml:space="preserve">evise the Youthful Population Law </w:t>
      </w:r>
      <w:r w:rsidR="0067304F">
        <w:rPr>
          <w:b/>
        </w:rPr>
        <w:t xml:space="preserve">to bring it </w:t>
      </w:r>
      <w:r w:rsidRPr="004823C1">
        <w:rPr>
          <w:b/>
        </w:rPr>
        <w:t>in line with international standards, and strengthen right</w:t>
      </w:r>
      <w:r w:rsidR="0067304F">
        <w:rPr>
          <w:b/>
        </w:rPr>
        <w:t>s</w:t>
      </w:r>
      <w:r w:rsidRPr="004823C1">
        <w:rPr>
          <w:b/>
        </w:rPr>
        <w:t xml:space="preserve"> to sexual and reproductive health, particularly of women and girls;</w:t>
      </w:r>
      <w:r w:rsidRPr="004823C1">
        <w:rPr>
          <w:bCs/>
        </w:rPr>
        <w:t xml:space="preserve"> </w:t>
      </w:r>
    </w:p>
    <w:p w14:paraId="39941E49" w14:textId="436F5042" w:rsidR="004823C1" w:rsidRDefault="004823C1" w:rsidP="0067304F">
      <w:pPr>
        <w:pStyle w:val="SingleTxtG"/>
        <w:ind w:firstLine="567"/>
        <w:rPr>
          <w:b/>
          <w:bCs/>
        </w:rPr>
      </w:pPr>
      <w:r w:rsidRPr="5D024BF2">
        <w:rPr>
          <w:b/>
          <w:bCs/>
        </w:rPr>
        <w:t>(</w:t>
      </w:r>
      <w:r>
        <w:t>i)</w:t>
      </w:r>
      <w:r>
        <w:tab/>
      </w:r>
      <w:r w:rsidR="00DC5572">
        <w:rPr>
          <w:b/>
          <w:bCs/>
        </w:rPr>
        <w:t>Urges the Government to p</w:t>
      </w:r>
      <w:r w:rsidRPr="5D024BF2">
        <w:rPr>
          <w:b/>
          <w:bCs/>
        </w:rPr>
        <w:t xml:space="preserve">rotect the rights of all persons belonging to ethnic and religious minorities, and address all forms of discrimination against </w:t>
      </w:r>
      <w:r w:rsidR="0067304F" w:rsidRPr="5D024BF2">
        <w:rPr>
          <w:b/>
          <w:bCs/>
        </w:rPr>
        <w:t>them without delay</w:t>
      </w:r>
      <w:r w:rsidRPr="5D024BF2">
        <w:rPr>
          <w:b/>
          <w:bCs/>
        </w:rPr>
        <w:t>;</w:t>
      </w:r>
      <w:r w:rsidR="006B53FA" w:rsidRPr="5D024BF2">
        <w:rPr>
          <w:b/>
          <w:bCs/>
        </w:rPr>
        <w:t xml:space="preserve"> </w:t>
      </w:r>
    </w:p>
    <w:p w14:paraId="10073154" w14:textId="2066DAC8" w:rsidR="00DC5572" w:rsidRPr="00DC5572" w:rsidRDefault="00DC5572" w:rsidP="00DC5572">
      <w:pPr>
        <w:pStyle w:val="SingleTxtG"/>
        <w:ind w:firstLine="567"/>
        <w:rPr>
          <w:b/>
          <w:bCs/>
        </w:rPr>
      </w:pPr>
      <w:r>
        <w:lastRenderedPageBreak/>
        <w:t>(j)</w:t>
      </w:r>
      <w:r>
        <w:tab/>
      </w:r>
      <w:r>
        <w:rPr>
          <w:b/>
          <w:bCs/>
        </w:rPr>
        <w:t>Calls</w:t>
      </w:r>
      <w:r w:rsidRPr="00DC5572">
        <w:rPr>
          <w:b/>
          <w:bCs/>
        </w:rPr>
        <w:t xml:space="preserve"> upon the Government to </w:t>
      </w:r>
      <w:r w:rsidR="005C3968">
        <w:rPr>
          <w:b/>
          <w:bCs/>
        </w:rPr>
        <w:t>join</w:t>
      </w:r>
      <w:r w:rsidRPr="00DC5572">
        <w:rPr>
          <w:b/>
          <w:bCs/>
        </w:rPr>
        <w:t xml:space="preserve"> the Convention on the Elimination of All Forms of Discrimination against Women; the Convention against Torture and Other Cruel, Inhuman or Degrading Treatment or Punishment; the Second Optional Protocol to the International Covenant on Civil and Political Rights; the International Convention for the Protection of All Persons from Enforced Disappearance; the International Convention on the Protection of the Rights of All Migrant Workers and Members of Their Families; and the fundamental International Labour Organization conventions; </w:t>
      </w:r>
    </w:p>
    <w:p w14:paraId="7BB399B1" w14:textId="24E3E63A" w:rsidR="00DC5572" w:rsidRPr="004823C1" w:rsidRDefault="00DC5572" w:rsidP="00DC5572">
      <w:pPr>
        <w:pStyle w:val="SingleTxtG"/>
        <w:ind w:firstLine="567"/>
        <w:rPr>
          <w:b/>
          <w:bCs/>
        </w:rPr>
      </w:pPr>
      <w:r w:rsidRPr="00E60EC4">
        <w:t>(</w:t>
      </w:r>
      <w:r>
        <w:t>k</w:t>
      </w:r>
      <w:r w:rsidRPr="00E60EC4">
        <w:t>)</w:t>
      </w:r>
      <w:r>
        <w:rPr>
          <w:b/>
          <w:bCs/>
        </w:rPr>
        <w:tab/>
        <w:t>Noting</w:t>
      </w:r>
      <w:r w:rsidRPr="00DC5572">
        <w:rPr>
          <w:b/>
          <w:bCs/>
        </w:rPr>
        <w:t xml:space="preserve"> the economic and financial challenges experienced by the Islamic Republic of Iran</w:t>
      </w:r>
      <w:r>
        <w:rPr>
          <w:b/>
          <w:bCs/>
        </w:rPr>
        <w:t>, t</w:t>
      </w:r>
      <w:r w:rsidRPr="00DC5572">
        <w:rPr>
          <w:b/>
          <w:bCs/>
        </w:rPr>
        <w:t xml:space="preserve">he Secretary-General reiterates his call on States that have imposed sanctions </w:t>
      </w:r>
      <w:r w:rsidR="00397316">
        <w:rPr>
          <w:b/>
          <w:bCs/>
        </w:rPr>
        <w:t xml:space="preserve">on it </w:t>
      </w:r>
      <w:r w:rsidRPr="00DC5572">
        <w:rPr>
          <w:b/>
          <w:bCs/>
        </w:rPr>
        <w:t>to take appropriate steps to ensure that measures such as humanitarian exemptions are given prompt, broad and practical effects in order to minimize their adverse consequences</w:t>
      </w:r>
      <w:r>
        <w:rPr>
          <w:b/>
          <w:bCs/>
        </w:rPr>
        <w:t>;</w:t>
      </w:r>
    </w:p>
    <w:p w14:paraId="025ABA7A" w14:textId="72CFBBC2" w:rsidR="004823C1" w:rsidRPr="004823C1" w:rsidRDefault="45361C4C" w:rsidP="00D9250A">
      <w:pPr>
        <w:pStyle w:val="SingleTxtG"/>
        <w:ind w:firstLine="567"/>
        <w:rPr>
          <w:b/>
          <w:bCs/>
        </w:rPr>
      </w:pPr>
      <w:r>
        <w:t>(</w:t>
      </w:r>
      <w:r w:rsidR="00DC5572">
        <w:t>l</w:t>
      </w:r>
      <w:r>
        <w:t>)</w:t>
      </w:r>
      <w:r w:rsidR="004823C1">
        <w:tab/>
      </w:r>
      <w:r w:rsidR="00DC5572">
        <w:rPr>
          <w:b/>
          <w:bCs/>
        </w:rPr>
        <w:t>Encourages the Government to s</w:t>
      </w:r>
      <w:r w:rsidRPr="73A88EB4">
        <w:rPr>
          <w:b/>
          <w:bCs/>
        </w:rPr>
        <w:t xml:space="preserve">ubmit outstanding periodic reports to </w:t>
      </w:r>
      <w:r w:rsidR="27F898CA" w:rsidRPr="73A88EB4">
        <w:rPr>
          <w:b/>
          <w:bCs/>
        </w:rPr>
        <w:t xml:space="preserve">UN human rights </w:t>
      </w:r>
      <w:r w:rsidRPr="73A88EB4">
        <w:rPr>
          <w:b/>
          <w:bCs/>
        </w:rPr>
        <w:t xml:space="preserve">treaty bodies, implement the recommendations of the treaty bodies and special procedure mandate holders and cooperate with the Special Rapporteur on the situation of human rights in the Islamic Republic of Iran, including by accepting a country visit by the mandate; </w:t>
      </w:r>
    </w:p>
    <w:p w14:paraId="6DB099A2" w14:textId="5FCAD7E3" w:rsidR="004823C1" w:rsidRDefault="004823C1" w:rsidP="00D9250A">
      <w:pPr>
        <w:pStyle w:val="SingleTxtG"/>
        <w:ind w:firstLine="567"/>
        <w:rPr>
          <w:b/>
          <w:bCs/>
        </w:rPr>
      </w:pPr>
      <w:r w:rsidRPr="004823C1">
        <w:rPr>
          <w:bCs/>
        </w:rPr>
        <w:t>(</w:t>
      </w:r>
      <w:r w:rsidR="00DC5572">
        <w:rPr>
          <w:bCs/>
        </w:rPr>
        <w:t>m</w:t>
      </w:r>
      <w:r w:rsidRPr="004823C1">
        <w:rPr>
          <w:bCs/>
        </w:rPr>
        <w:t>)</w:t>
      </w:r>
      <w:r w:rsidRPr="004823C1">
        <w:rPr>
          <w:b/>
          <w:bCs/>
        </w:rPr>
        <w:tab/>
      </w:r>
      <w:r w:rsidR="00DC5572">
        <w:rPr>
          <w:b/>
          <w:bCs/>
        </w:rPr>
        <w:t>Encourages the Government to c</w:t>
      </w:r>
      <w:r w:rsidRPr="004823C1">
        <w:rPr>
          <w:b/>
          <w:bCs/>
        </w:rPr>
        <w:t>ontinue to engage with OHCHR in following up on all recommendations made in the reports of the Secretary-General and those of international human rights mechanisms</w:t>
      </w:r>
      <w:r w:rsidR="00DC5572">
        <w:rPr>
          <w:b/>
          <w:bCs/>
        </w:rPr>
        <w:t>.</w:t>
      </w:r>
    </w:p>
    <w:p w14:paraId="14A7BEE7" w14:textId="771153F4" w:rsidR="00CC458B" w:rsidRPr="00606016" w:rsidRDefault="00606016" w:rsidP="00606016">
      <w:pPr>
        <w:spacing w:before="240"/>
        <w:ind w:left="1134" w:right="1134"/>
        <w:jc w:val="center"/>
        <w:rPr>
          <w:u w:val="single"/>
        </w:rPr>
      </w:pPr>
      <w:r>
        <w:rPr>
          <w:u w:val="single"/>
        </w:rPr>
        <w:tab/>
      </w:r>
      <w:r>
        <w:rPr>
          <w:u w:val="single"/>
        </w:rPr>
        <w:tab/>
      </w:r>
      <w:r>
        <w:rPr>
          <w:u w:val="single"/>
        </w:rPr>
        <w:tab/>
      </w:r>
      <w:r>
        <w:rPr>
          <w:u w:val="single"/>
        </w:rPr>
        <w:tab/>
      </w:r>
    </w:p>
    <w:sectPr w:rsidR="00CC458B" w:rsidRPr="00606016" w:rsidSect="003A000C">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878F6" w14:textId="77777777" w:rsidR="00B04877" w:rsidRDefault="00B04877"/>
  </w:endnote>
  <w:endnote w:type="continuationSeparator" w:id="0">
    <w:p w14:paraId="747374E3" w14:textId="77777777" w:rsidR="00B04877" w:rsidRDefault="00B04877"/>
  </w:endnote>
  <w:endnote w:type="continuationNotice" w:id="1">
    <w:p w14:paraId="2DDAB155" w14:textId="77777777" w:rsidR="00B04877" w:rsidRDefault="00B04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2126" w14:textId="4F6F3F51" w:rsidR="00D00CFA" w:rsidRPr="003A000C" w:rsidRDefault="00D00CFA" w:rsidP="003A000C">
    <w:pPr>
      <w:pStyle w:val="Footer"/>
      <w:tabs>
        <w:tab w:val="right" w:pos="9638"/>
      </w:tabs>
      <w:rPr>
        <w:sz w:val="18"/>
      </w:rPr>
    </w:pPr>
    <w:r w:rsidRPr="003A000C">
      <w:rPr>
        <w:b/>
        <w:color w:val="2B579A"/>
        <w:sz w:val="18"/>
        <w:shd w:val="clear" w:color="auto" w:fill="E6E6E6"/>
      </w:rPr>
      <w:fldChar w:fldCharType="begin"/>
    </w:r>
    <w:r w:rsidRPr="003A000C">
      <w:rPr>
        <w:b/>
        <w:sz w:val="18"/>
      </w:rPr>
      <w:instrText xml:space="preserve"> PAGE  \* MERGEFORMAT </w:instrText>
    </w:r>
    <w:r w:rsidRPr="003A000C">
      <w:rPr>
        <w:b/>
        <w:color w:val="2B579A"/>
        <w:sz w:val="18"/>
        <w:shd w:val="clear" w:color="auto" w:fill="E6E6E6"/>
      </w:rPr>
      <w:fldChar w:fldCharType="separate"/>
    </w:r>
    <w:r w:rsidR="008529D8">
      <w:rPr>
        <w:b/>
        <w:noProof/>
        <w:sz w:val="18"/>
      </w:rPr>
      <w:t>2</w:t>
    </w:r>
    <w:r w:rsidRPr="003A000C">
      <w:rPr>
        <w:b/>
        <w:color w:val="2B579A"/>
        <w:sz w:val="18"/>
        <w:shd w:val="clear" w:color="auto" w:fill="E6E6E6"/>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C855E" w14:textId="69ED5228" w:rsidR="00D00CFA" w:rsidRPr="003A000C" w:rsidRDefault="00D00CFA" w:rsidP="003A000C">
    <w:pPr>
      <w:pStyle w:val="Footer"/>
      <w:tabs>
        <w:tab w:val="right" w:pos="9638"/>
      </w:tabs>
      <w:rPr>
        <w:b/>
        <w:sz w:val="18"/>
      </w:rPr>
    </w:pPr>
    <w:r>
      <w:tab/>
    </w:r>
    <w:r w:rsidRPr="003A000C">
      <w:rPr>
        <w:b/>
        <w:color w:val="2B579A"/>
        <w:sz w:val="18"/>
        <w:shd w:val="clear" w:color="auto" w:fill="E6E6E6"/>
      </w:rPr>
      <w:fldChar w:fldCharType="begin"/>
    </w:r>
    <w:r w:rsidRPr="003A000C">
      <w:rPr>
        <w:b/>
        <w:sz w:val="18"/>
      </w:rPr>
      <w:instrText xml:space="preserve"> PAGE  \* MERGEFORMAT </w:instrText>
    </w:r>
    <w:r w:rsidRPr="003A000C">
      <w:rPr>
        <w:b/>
        <w:color w:val="2B579A"/>
        <w:sz w:val="18"/>
        <w:shd w:val="clear" w:color="auto" w:fill="E6E6E6"/>
      </w:rPr>
      <w:fldChar w:fldCharType="separate"/>
    </w:r>
    <w:r w:rsidR="008529D8">
      <w:rPr>
        <w:b/>
        <w:noProof/>
        <w:sz w:val="18"/>
      </w:rPr>
      <w:t>17</w:t>
    </w:r>
    <w:r w:rsidRPr="003A000C">
      <w:rPr>
        <w:b/>
        <w:color w:val="2B579A"/>
        <w:sz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772A9" w14:textId="77777777" w:rsidR="00B04877" w:rsidRPr="000B175B" w:rsidRDefault="00B04877" w:rsidP="000B175B">
      <w:pPr>
        <w:tabs>
          <w:tab w:val="right" w:pos="2155"/>
        </w:tabs>
        <w:spacing w:after="80"/>
        <w:ind w:left="680"/>
        <w:rPr>
          <w:u w:val="single"/>
        </w:rPr>
      </w:pPr>
      <w:r>
        <w:rPr>
          <w:u w:val="single"/>
        </w:rPr>
        <w:tab/>
      </w:r>
    </w:p>
  </w:footnote>
  <w:footnote w:type="continuationSeparator" w:id="0">
    <w:p w14:paraId="35558845" w14:textId="77777777" w:rsidR="00B04877" w:rsidRPr="00FC68B7" w:rsidRDefault="00B04877" w:rsidP="00FC68B7">
      <w:pPr>
        <w:tabs>
          <w:tab w:val="left" w:pos="2155"/>
        </w:tabs>
        <w:spacing w:after="80"/>
        <w:ind w:left="680"/>
        <w:rPr>
          <w:u w:val="single"/>
        </w:rPr>
      </w:pPr>
      <w:r>
        <w:rPr>
          <w:u w:val="single"/>
        </w:rPr>
        <w:tab/>
      </w:r>
    </w:p>
  </w:footnote>
  <w:footnote w:type="continuationNotice" w:id="1">
    <w:p w14:paraId="623A6338" w14:textId="77777777" w:rsidR="00B04877" w:rsidRDefault="00B04877"/>
  </w:footnote>
  <w:footnote w:id="2">
    <w:p w14:paraId="0948CB4E" w14:textId="4149F8D8" w:rsidR="0000400C" w:rsidRPr="0000400C" w:rsidRDefault="0000400C">
      <w:pPr>
        <w:pStyle w:val="FootnoteText"/>
        <w:rPr>
          <w:lang w:val="en-GB"/>
        </w:rPr>
      </w:pPr>
      <w:r>
        <w:rPr>
          <w:rStyle w:val="FootnoteReference"/>
        </w:rPr>
        <w:tab/>
      </w:r>
      <w:r w:rsidRPr="0000400C">
        <w:rPr>
          <w:rStyle w:val="FootnoteReference"/>
          <w:sz w:val="20"/>
          <w:vertAlign w:val="baseline"/>
        </w:rPr>
        <w:t>*</w:t>
      </w:r>
      <w:r>
        <w:rPr>
          <w:rStyle w:val="FootnoteReference"/>
          <w:sz w:val="20"/>
          <w:vertAlign w:val="baseline"/>
        </w:rPr>
        <w:tab/>
      </w:r>
      <w:r w:rsidRPr="0000400C">
        <w:rPr>
          <w:color w:val="000000"/>
          <w:lang w:eastAsia="en-GB"/>
        </w:rPr>
        <w:t>The present report was submitted after the deadline in order to reflect the most recent developments</w:t>
      </w:r>
      <w:r>
        <w:rPr>
          <w:rFonts w:ascii="Helv" w:hAnsi="Helv" w:cs="Helv"/>
          <w:color w:val="000000"/>
          <w:lang w:eastAsia="en-GB"/>
        </w:rPr>
        <w:t>.</w:t>
      </w:r>
    </w:p>
  </w:footnote>
  <w:footnote w:id="3">
    <w:p w14:paraId="0F3589E0" w14:textId="747AC93B" w:rsidR="002F1D55" w:rsidRDefault="002F1D55" w:rsidP="002F1D55">
      <w:pPr>
        <w:pStyle w:val="FootnoteText"/>
      </w:pPr>
      <w:r>
        <w:tab/>
      </w:r>
      <w:r w:rsidRPr="00322FA5">
        <w:rPr>
          <w:rStyle w:val="FootnoteReference"/>
        </w:rPr>
        <w:footnoteRef/>
      </w:r>
      <w:r>
        <w:tab/>
      </w:r>
      <w:hyperlink r:id="rId1" w:history="1">
        <w:r>
          <w:rPr>
            <w:rStyle w:val="Hyperlink"/>
          </w:rPr>
          <w:t>https://data2.unhcr.org/en/country/irn</w:t>
        </w:r>
      </w:hyperlink>
      <w:r w:rsidR="0000400C">
        <w:rPr>
          <w:rStyle w:val="Hyperlink"/>
        </w:rPr>
        <w:t>.</w:t>
      </w:r>
    </w:p>
  </w:footnote>
  <w:footnote w:id="4">
    <w:p w14:paraId="13F71ACA" w14:textId="77777777" w:rsidR="002F1D55" w:rsidRPr="00D00CFA" w:rsidRDefault="002F1D55" w:rsidP="002F1D55">
      <w:pPr>
        <w:pStyle w:val="FootnoteText"/>
        <w:rPr>
          <w:lang w:val="en-GB"/>
        </w:rPr>
      </w:pPr>
      <w:r>
        <w:tab/>
      </w:r>
      <w:r w:rsidRPr="00322FA5">
        <w:rPr>
          <w:rStyle w:val="FootnoteReference"/>
        </w:rPr>
        <w:footnoteRef/>
      </w:r>
      <w:r w:rsidRPr="00D00CFA">
        <w:rPr>
          <w:lang w:val="en-GB"/>
        </w:rPr>
        <w:tab/>
      </w:r>
      <w:hyperlink r:id="rId2" w:history="1">
        <w:r w:rsidRPr="00D00CFA">
          <w:rPr>
            <w:rStyle w:val="Hyperlink"/>
            <w:lang w:val="en-GB"/>
          </w:rPr>
          <w:t>https://data2.unhcr.org/en/country/irn - :~:text=UNHCR%20facilitates%20voluntary% 20repatriation%20for%20Afghan%20refugees%20who,nearly%201%20million%20refugees%20to%20return%20to%20Afghanistan.</w:t>
        </w:r>
      </w:hyperlink>
    </w:p>
  </w:footnote>
  <w:footnote w:id="5">
    <w:p w14:paraId="09CB64A5" w14:textId="1A764124" w:rsidR="002F1D55" w:rsidRPr="00BF737E" w:rsidRDefault="00E60EC4" w:rsidP="002F1D55">
      <w:pPr>
        <w:pStyle w:val="FootnoteText"/>
        <w:rPr>
          <w:lang w:val="en-US"/>
        </w:rPr>
      </w:pPr>
      <w:r>
        <w:rPr>
          <w:lang w:val="en-US"/>
        </w:rPr>
        <w:tab/>
      </w:r>
      <w:r w:rsidR="002F1D55">
        <w:rPr>
          <w:rStyle w:val="FootnoteReference"/>
        </w:rPr>
        <w:footnoteRef/>
      </w:r>
      <w:r w:rsidR="0000400C">
        <w:rPr>
          <w:lang w:val="en-US"/>
        </w:rPr>
        <w:tab/>
      </w:r>
      <w:hyperlink r:id="rId3" w:history="1">
        <w:r w:rsidR="002F1D55" w:rsidRPr="00243FDF">
          <w:rPr>
            <w:rStyle w:val="Hyperlink"/>
            <w:lang w:val="en-GB"/>
          </w:rPr>
          <w:t>UNHCR Iran: New Arrivals from Afghanistan (29 January 2022) - Iran (Islamic Republic of) | ReliefWeb</w:t>
        </w:r>
      </w:hyperlink>
      <w:r w:rsidR="0000400C">
        <w:rPr>
          <w:rStyle w:val="Hyperlink"/>
          <w:lang w:val="en-GB"/>
        </w:rPr>
        <w:t>.</w:t>
      </w:r>
    </w:p>
  </w:footnote>
  <w:footnote w:id="6">
    <w:p w14:paraId="5AE0B654" w14:textId="2C593CFB" w:rsidR="002F1D55" w:rsidRPr="00D00CFA" w:rsidRDefault="002F1D55" w:rsidP="002F1D55">
      <w:pPr>
        <w:pStyle w:val="FootnoteText"/>
        <w:rPr>
          <w:lang w:val="en-GB"/>
        </w:rPr>
      </w:pPr>
      <w:r w:rsidRPr="00D00CFA">
        <w:rPr>
          <w:lang w:val="en-GB"/>
        </w:rPr>
        <w:tab/>
      </w:r>
      <w:r w:rsidRPr="00322FA5">
        <w:rPr>
          <w:rStyle w:val="FootnoteReference"/>
        </w:rPr>
        <w:footnoteRef/>
      </w:r>
      <w:r w:rsidRPr="00D00CFA">
        <w:rPr>
          <w:lang w:val="en-GB"/>
        </w:rPr>
        <w:tab/>
      </w:r>
      <w:hyperlink r:id="rId4" w:history="1">
        <w:r w:rsidRPr="00D00CFA">
          <w:rPr>
            <w:rStyle w:val="Hyperlink"/>
            <w:lang w:val="en-GB"/>
          </w:rPr>
          <w:t>https://www.unhcr.org/news/briefing/2021/8/611b62584/unhcr-issues-non-return-advisory-afghanistan.html</w:t>
        </w:r>
      </w:hyperlink>
      <w:r w:rsidR="0000400C">
        <w:rPr>
          <w:rStyle w:val="Hyperlink"/>
          <w:lang w:val="en-GB"/>
        </w:rPr>
        <w:t>.</w:t>
      </w:r>
    </w:p>
  </w:footnote>
  <w:footnote w:id="7">
    <w:p w14:paraId="79BF8AAE" w14:textId="2896CF5F" w:rsidR="002F1D55" w:rsidRPr="00D00CFA" w:rsidRDefault="002F1D55" w:rsidP="002F1D55">
      <w:pPr>
        <w:pStyle w:val="FootnoteText"/>
        <w:rPr>
          <w:lang w:val="en-GB"/>
        </w:rPr>
      </w:pPr>
      <w:r w:rsidRPr="00D00CFA">
        <w:rPr>
          <w:lang w:val="en-GB"/>
        </w:rPr>
        <w:tab/>
      </w:r>
      <w:r w:rsidRPr="00322FA5">
        <w:rPr>
          <w:rStyle w:val="FootnoteReference"/>
        </w:rPr>
        <w:footnoteRef/>
      </w:r>
      <w:r w:rsidRPr="00D00CFA">
        <w:rPr>
          <w:lang w:val="en-GB"/>
        </w:rPr>
        <w:tab/>
      </w:r>
      <w:hyperlink r:id="rId5" w:history="1">
        <w:r w:rsidRPr="00D00CFA">
          <w:rPr>
            <w:rStyle w:val="Hyperlink"/>
            <w:lang w:val="en-GB"/>
          </w:rPr>
          <w:t>https://reliefweb.int/sites/reliefweb.int/files/resources/iom_afghanistan-return_of_undocumented_afghans_situation_report_03-09_sep_2021_psu_1.pdf</w:t>
        </w:r>
      </w:hyperlink>
      <w:r w:rsidR="0000400C">
        <w:rPr>
          <w:rStyle w:val="Hyperlink"/>
          <w:lang w:val="en-GB"/>
        </w:rPr>
        <w:t>.</w:t>
      </w:r>
    </w:p>
  </w:footnote>
  <w:footnote w:id="8">
    <w:p w14:paraId="55E2FC2C" w14:textId="58C538C7" w:rsidR="00D00CFA" w:rsidRPr="00D00CFA" w:rsidRDefault="00E60EC4" w:rsidP="004823C1">
      <w:pPr>
        <w:pStyle w:val="FootnoteText"/>
        <w:rPr>
          <w:lang w:val="en-GB"/>
        </w:rPr>
      </w:pPr>
      <w:r>
        <w:rPr>
          <w:lang w:val="en-GB"/>
        </w:rPr>
        <w:tab/>
      </w:r>
      <w:r w:rsidR="00D00CFA" w:rsidRPr="00322FA5">
        <w:rPr>
          <w:rStyle w:val="FootnoteReference"/>
        </w:rPr>
        <w:footnoteRef/>
      </w:r>
      <w:r w:rsidR="00D00CFA" w:rsidRPr="00D00CFA">
        <w:rPr>
          <w:lang w:val="en-GB"/>
        </w:rPr>
        <w:tab/>
      </w:r>
      <w:r w:rsidR="5D024BF2" w:rsidRPr="5D024BF2">
        <w:rPr>
          <w:rFonts w:asciiTheme="majorBidi" w:hAnsiTheme="majorBidi" w:cstheme="majorBidi"/>
          <w:lang w:val="en-GB"/>
        </w:rPr>
        <w:t>Human Rights Committee, CCPR/C/21/Rev.1/Add.13, para. 18.</w:t>
      </w:r>
    </w:p>
  </w:footnote>
  <w:footnote w:id="9">
    <w:p w14:paraId="1891CB29" w14:textId="55AE331E" w:rsidR="73A88EB4" w:rsidRPr="00E60EC4" w:rsidRDefault="007C612C" w:rsidP="007C612C">
      <w:pPr>
        <w:pStyle w:val="FootnoteText"/>
      </w:pPr>
      <w:r>
        <w:rPr>
          <w:shd w:val="clear" w:color="auto" w:fill="E6E6E6"/>
          <w:vertAlign w:val="superscript"/>
        </w:rPr>
        <w:tab/>
      </w:r>
      <w:r w:rsidR="73A88EB4" w:rsidRPr="007C612C">
        <w:rPr>
          <w:rStyle w:val="FootnoteReference"/>
        </w:rPr>
        <w:footnoteRef/>
      </w:r>
      <w:r w:rsidR="00E60EC4" w:rsidRPr="0000400C">
        <w:rPr>
          <w:shd w:val="clear" w:color="auto" w:fill="E6E6E6"/>
          <w:vertAlign w:val="superscript"/>
        </w:rPr>
        <w:tab/>
      </w:r>
      <w:hyperlink r:id="rId6" w:history="1">
        <w:r w:rsidR="00E60EC4" w:rsidRPr="004D6FB2">
          <w:rPr>
            <w:rStyle w:val="Hyperlink"/>
          </w:rPr>
          <w:t>https://www.hri.global/death-penalty-2021</w:t>
        </w:r>
      </w:hyperlink>
      <w:r w:rsidR="0000400C">
        <w:rPr>
          <w:rStyle w:val="Hyperlink"/>
        </w:rPr>
        <w:t>.</w:t>
      </w:r>
      <w:r w:rsidR="73A88EB4" w:rsidRPr="00E60EC4">
        <w:t xml:space="preserve"> </w:t>
      </w:r>
    </w:p>
  </w:footnote>
  <w:footnote w:id="10">
    <w:p w14:paraId="17583838" w14:textId="40879900" w:rsidR="00243FDF" w:rsidRPr="00E60EC4" w:rsidRDefault="0000400C" w:rsidP="00E60EC4">
      <w:pPr>
        <w:pStyle w:val="FootnoteText"/>
        <w:rPr>
          <w:lang w:val="en-GB"/>
        </w:rPr>
      </w:pPr>
      <w:r>
        <w:rPr>
          <w:lang w:val="en-US"/>
        </w:rPr>
        <w:tab/>
      </w:r>
      <w:r w:rsidR="00243FDF">
        <w:rPr>
          <w:rStyle w:val="FootnoteReference"/>
        </w:rPr>
        <w:footnoteRef/>
      </w:r>
      <w:r w:rsidR="00243FDF" w:rsidRPr="00E60EC4">
        <w:rPr>
          <w:lang w:val="en-US"/>
        </w:rPr>
        <w:t xml:space="preserve"> </w:t>
      </w:r>
      <w:r w:rsidR="00E60EC4">
        <w:rPr>
          <w:lang w:val="en-US"/>
        </w:rPr>
        <w:tab/>
      </w:r>
      <w:hyperlink r:id="rId7" w:history="1">
        <w:r w:rsidR="00243FDF" w:rsidRPr="00243FDF">
          <w:rPr>
            <w:rStyle w:val="Hyperlink"/>
            <w:lang w:val="en-GB"/>
          </w:rPr>
          <w:t>Annual_Report_on_the_Death_Penalty_in_Iran_2021_BwW7LPR.pdf (iranhr.net)</w:t>
        </w:r>
      </w:hyperlink>
      <w:r>
        <w:rPr>
          <w:rStyle w:val="Hyperlink"/>
          <w:lang w:val="en-GB"/>
        </w:rPr>
        <w:t>.</w:t>
      </w:r>
    </w:p>
  </w:footnote>
  <w:footnote w:id="11">
    <w:p w14:paraId="78F34C7F" w14:textId="44C5DAD1" w:rsidR="00D00CFA" w:rsidRPr="00D00CFA" w:rsidRDefault="00E60EC4" w:rsidP="004823C1">
      <w:pPr>
        <w:pStyle w:val="FootnoteText"/>
        <w:rPr>
          <w:lang w:val="en-GB"/>
        </w:rPr>
      </w:pPr>
      <w:r>
        <w:rPr>
          <w:lang w:val="en-GB"/>
        </w:rPr>
        <w:tab/>
      </w:r>
      <w:r w:rsidR="00D00CFA" w:rsidRPr="00322FA5">
        <w:rPr>
          <w:rStyle w:val="FootnoteReference"/>
        </w:rPr>
        <w:footnoteRef/>
      </w:r>
      <w:r w:rsidR="00D00CFA" w:rsidRPr="00D00CFA">
        <w:rPr>
          <w:lang w:val="en-GB"/>
        </w:rPr>
        <w:tab/>
      </w:r>
      <w:hyperlink r:id="rId8" w:history="1">
        <w:r w:rsidR="007C612C" w:rsidRPr="00F36399">
          <w:rPr>
            <w:rStyle w:val="Hyperlink"/>
            <w:lang w:val="en-GB"/>
          </w:rPr>
          <w:t>https://iranhr.net/en/articles/4917/?msclkid=ff449a45ab5711ec8f89ea9b3d706c67</w:t>
        </w:r>
      </w:hyperlink>
      <w:r w:rsidR="0000400C">
        <w:rPr>
          <w:rStyle w:val="Hyperlink"/>
          <w:lang w:val="en-GB"/>
        </w:rPr>
        <w:t>.</w:t>
      </w:r>
    </w:p>
  </w:footnote>
  <w:footnote w:id="12">
    <w:p w14:paraId="28CA9189" w14:textId="05DE3F33" w:rsidR="00D00CFA" w:rsidRPr="00D00CFA" w:rsidRDefault="00E60EC4" w:rsidP="004823C1">
      <w:pPr>
        <w:pStyle w:val="FootnoteText"/>
        <w:rPr>
          <w:lang w:val="en-GB"/>
        </w:rPr>
      </w:pPr>
      <w:r>
        <w:rPr>
          <w:lang w:val="en-GB"/>
        </w:rPr>
        <w:tab/>
      </w:r>
      <w:r w:rsidR="00D00CFA" w:rsidRPr="00322FA5">
        <w:rPr>
          <w:rStyle w:val="FootnoteReference"/>
        </w:rPr>
        <w:footnoteRef/>
      </w:r>
      <w:r w:rsidR="00D00CFA" w:rsidRPr="00D00CFA">
        <w:rPr>
          <w:lang w:val="en-GB"/>
        </w:rPr>
        <w:tab/>
      </w:r>
      <w:hyperlink r:id="rId9" w:history="1">
        <w:r w:rsidR="73A88EB4" w:rsidRPr="00D00CFA">
          <w:rPr>
            <w:rStyle w:val="Hyperlink"/>
            <w:lang w:val="en-GB"/>
          </w:rPr>
          <w:t>https://iranhr.net/en/articles/5147/</w:t>
        </w:r>
      </w:hyperlink>
      <w:r w:rsidR="0000400C">
        <w:rPr>
          <w:rStyle w:val="Hyperlink"/>
          <w:lang w:val="en-GB"/>
        </w:rPr>
        <w:t>.</w:t>
      </w:r>
    </w:p>
  </w:footnote>
  <w:footnote w:id="13">
    <w:p w14:paraId="7E3DEFBC" w14:textId="51AB4248" w:rsidR="00D00CFA" w:rsidRPr="00D00CFA" w:rsidRDefault="00E60EC4" w:rsidP="004823C1">
      <w:pPr>
        <w:pStyle w:val="FootnoteText"/>
        <w:rPr>
          <w:lang w:val="en-GB"/>
        </w:rPr>
      </w:pPr>
      <w:r>
        <w:rPr>
          <w:lang w:val="en-GB"/>
        </w:rPr>
        <w:tab/>
      </w:r>
      <w:r w:rsidR="00D00CFA" w:rsidRPr="00322FA5">
        <w:rPr>
          <w:rStyle w:val="FootnoteReference"/>
        </w:rPr>
        <w:footnoteRef/>
      </w:r>
      <w:r w:rsidR="00D00CFA" w:rsidRPr="00D00CFA">
        <w:rPr>
          <w:lang w:val="en-GB"/>
        </w:rPr>
        <w:tab/>
      </w:r>
      <w:r w:rsidR="73A88EB4" w:rsidRPr="00D00CFA">
        <w:rPr>
          <w:lang w:val="en-GB"/>
        </w:rPr>
        <w:t>Human Rights Committee, CCPR/C/GC/36, para. 35 and</w:t>
      </w:r>
      <w:r w:rsidR="73A88EB4" w:rsidRPr="73A88EB4">
        <w:rPr>
          <w:lang w:val="en-GB"/>
        </w:rPr>
        <w:t xml:space="preserve"> paras. 5, 10, 16 and Part IV.</w:t>
      </w:r>
      <w:r w:rsidR="73A88EB4" w:rsidRPr="00D00CFA">
        <w:rPr>
          <w:lang w:val="en-GB"/>
        </w:rPr>
        <w:t xml:space="preserve"> </w:t>
      </w:r>
    </w:p>
  </w:footnote>
  <w:footnote w:id="14">
    <w:p w14:paraId="6DDD5F45" w14:textId="664DD0B4" w:rsidR="00D82044" w:rsidRPr="00D82044" w:rsidRDefault="0000400C">
      <w:pPr>
        <w:pStyle w:val="FootnoteText"/>
        <w:rPr>
          <w:lang w:val="en-US"/>
        </w:rPr>
      </w:pPr>
      <w:r>
        <w:rPr>
          <w:lang w:val="en-GB"/>
        </w:rPr>
        <w:tab/>
      </w:r>
      <w:r w:rsidR="00D82044">
        <w:rPr>
          <w:rStyle w:val="FootnoteReference"/>
        </w:rPr>
        <w:footnoteRef/>
      </w:r>
      <w:r w:rsidR="00D82044" w:rsidRPr="00D82044">
        <w:rPr>
          <w:lang w:val="en-GB"/>
        </w:rPr>
        <w:t xml:space="preserve"> </w:t>
      </w:r>
      <w:r w:rsidR="00E60EC4">
        <w:rPr>
          <w:lang w:val="en-GB"/>
        </w:rPr>
        <w:tab/>
      </w:r>
      <w:r w:rsidR="00D82044">
        <w:rPr>
          <w:lang w:val="en-US"/>
        </w:rPr>
        <w:t>https://iranhr.net/en/articles</w:t>
      </w:r>
      <w:r w:rsidR="00C70A9A">
        <w:rPr>
          <w:lang w:val="en-US"/>
        </w:rPr>
        <w:t>/5048/</w:t>
      </w:r>
      <w:r>
        <w:rPr>
          <w:lang w:val="en-US"/>
        </w:rPr>
        <w:t>.</w:t>
      </w:r>
    </w:p>
  </w:footnote>
  <w:footnote w:id="15">
    <w:p w14:paraId="6C7DF0E7" w14:textId="3E182AC9" w:rsidR="0069417D" w:rsidRPr="0069417D" w:rsidRDefault="0000400C">
      <w:pPr>
        <w:pStyle w:val="FootnoteText"/>
        <w:rPr>
          <w:lang w:val="en-US"/>
        </w:rPr>
      </w:pPr>
      <w:r>
        <w:rPr>
          <w:lang w:val="en-US"/>
        </w:rPr>
        <w:tab/>
      </w:r>
      <w:r w:rsidR="0069417D">
        <w:rPr>
          <w:rStyle w:val="FootnoteReference"/>
        </w:rPr>
        <w:footnoteRef/>
      </w:r>
      <w:r w:rsidR="0069417D" w:rsidRPr="0069417D">
        <w:rPr>
          <w:lang w:val="en-US"/>
        </w:rPr>
        <w:t xml:space="preserve"> </w:t>
      </w:r>
      <w:r w:rsidR="00E60EC4">
        <w:rPr>
          <w:lang w:val="en-US"/>
        </w:rPr>
        <w:tab/>
      </w:r>
      <w:r w:rsidR="0069417D" w:rsidRPr="0069417D">
        <w:rPr>
          <w:lang w:val="en-US"/>
        </w:rPr>
        <w:t>ICCPR art. 6 (5)</w:t>
      </w:r>
      <w:r>
        <w:rPr>
          <w:lang w:val="en-US"/>
        </w:rPr>
        <w:t>.</w:t>
      </w:r>
    </w:p>
  </w:footnote>
  <w:footnote w:id="16">
    <w:p w14:paraId="0FE495F5" w14:textId="182932E7" w:rsidR="00B771DC" w:rsidRPr="00B771DC" w:rsidRDefault="007C612C">
      <w:pPr>
        <w:pStyle w:val="FootnoteText"/>
        <w:rPr>
          <w:lang w:val="en-US"/>
        </w:rPr>
      </w:pPr>
      <w:r>
        <w:rPr>
          <w:lang w:val="en-US"/>
        </w:rPr>
        <w:tab/>
      </w:r>
      <w:r w:rsidR="00B771DC">
        <w:rPr>
          <w:rStyle w:val="FootnoteReference"/>
        </w:rPr>
        <w:footnoteRef/>
      </w:r>
      <w:r w:rsidR="00B771DC" w:rsidRPr="00B771DC">
        <w:rPr>
          <w:lang w:val="en-US"/>
        </w:rPr>
        <w:t xml:space="preserve"> </w:t>
      </w:r>
      <w:r w:rsidR="00E60EC4">
        <w:rPr>
          <w:lang w:val="en-US"/>
        </w:rPr>
        <w:tab/>
      </w:r>
      <w:r w:rsidR="00B771DC">
        <w:rPr>
          <w:lang w:val="en-US"/>
        </w:rPr>
        <w:t>A/76/268</w:t>
      </w:r>
      <w:r w:rsidR="005F2F75">
        <w:rPr>
          <w:lang w:val="en-US"/>
        </w:rPr>
        <w:t>, para 8</w:t>
      </w:r>
      <w:r w:rsidR="0000400C">
        <w:rPr>
          <w:lang w:val="en-US"/>
        </w:rPr>
        <w:t>.</w:t>
      </w:r>
    </w:p>
  </w:footnote>
  <w:footnote w:id="17">
    <w:p w14:paraId="4369362D" w14:textId="2FDA5DA0" w:rsidR="005F2F75" w:rsidRPr="00D00CFA" w:rsidRDefault="00E60EC4" w:rsidP="005F2F75">
      <w:pPr>
        <w:pStyle w:val="FootnoteText"/>
        <w:rPr>
          <w:lang w:val="en-GB"/>
        </w:rPr>
      </w:pPr>
      <w:r>
        <w:rPr>
          <w:lang w:val="en-GB"/>
        </w:rPr>
        <w:tab/>
        <w:t xml:space="preserve">  </w:t>
      </w:r>
      <w:r w:rsidR="005F2F75" w:rsidRPr="00322FA5">
        <w:rPr>
          <w:rStyle w:val="FootnoteReference"/>
        </w:rPr>
        <w:footnoteRef/>
      </w:r>
      <w:r w:rsidR="005F2F75" w:rsidRPr="00D00CFA">
        <w:rPr>
          <w:lang w:val="en-GB"/>
        </w:rPr>
        <w:t xml:space="preserve"> </w:t>
      </w:r>
      <w:r w:rsidR="005F2F75" w:rsidRPr="00D00CFA">
        <w:rPr>
          <w:lang w:val="en-GB"/>
        </w:rPr>
        <w:tab/>
        <w:t>Human Rights Committee, CCPR/C/GC/36, para. 47.</w:t>
      </w:r>
    </w:p>
  </w:footnote>
  <w:footnote w:id="18">
    <w:p w14:paraId="37075368" w14:textId="5943CC92" w:rsidR="00D00CFA" w:rsidRPr="00EA69A6" w:rsidRDefault="73A88EB4" w:rsidP="00566C3D">
      <w:pPr>
        <w:pStyle w:val="FootnoteText"/>
        <w:rPr>
          <w:lang w:val="en-US"/>
        </w:rPr>
      </w:pPr>
      <w:r>
        <w:rPr>
          <w:lang w:val="en-GB"/>
        </w:rPr>
        <w:t xml:space="preserve"> </w:t>
      </w:r>
      <w:r w:rsidR="00E60EC4">
        <w:rPr>
          <w:lang w:val="en-GB"/>
        </w:rPr>
        <w:tab/>
      </w:r>
      <w:r w:rsidR="00D00CFA">
        <w:rPr>
          <w:rStyle w:val="FootnoteReference"/>
        </w:rPr>
        <w:footnoteRef/>
      </w:r>
      <w:r w:rsidRPr="00D00CFA">
        <w:rPr>
          <w:lang w:val="en-GB"/>
        </w:rPr>
        <w:t xml:space="preserve"> </w:t>
      </w:r>
      <w:r w:rsidR="00D00CFA" w:rsidRPr="00D00CFA">
        <w:rPr>
          <w:lang w:val="en-GB"/>
        </w:rPr>
        <w:tab/>
      </w:r>
      <w:r>
        <w:rPr>
          <w:lang w:val="en-US"/>
        </w:rPr>
        <w:t>ICCPR, article 6(5) and CRC, article 37.</w:t>
      </w:r>
    </w:p>
  </w:footnote>
  <w:footnote w:id="19">
    <w:p w14:paraId="20C8421A" w14:textId="632EC7D8" w:rsidR="00AB685D" w:rsidRPr="00E60EC4" w:rsidRDefault="007C612C" w:rsidP="00E60EC4">
      <w:pPr>
        <w:pStyle w:val="FootnoteText"/>
        <w:rPr>
          <w:lang w:val="en-GB"/>
        </w:rPr>
      </w:pPr>
      <w:r>
        <w:rPr>
          <w:lang w:val="en-US"/>
        </w:rPr>
        <w:tab/>
      </w:r>
      <w:r w:rsidR="00AB685D">
        <w:rPr>
          <w:rStyle w:val="FootnoteReference"/>
        </w:rPr>
        <w:footnoteRef/>
      </w:r>
      <w:r w:rsidR="00AB685D" w:rsidRPr="00E60EC4">
        <w:rPr>
          <w:lang w:val="en-US"/>
        </w:rPr>
        <w:t xml:space="preserve"> </w:t>
      </w:r>
      <w:r w:rsidR="00E60EC4">
        <w:rPr>
          <w:lang w:val="en-US"/>
        </w:rPr>
        <w:tab/>
      </w:r>
      <w:hyperlink r:id="rId10" w:history="1">
        <w:r w:rsidR="00E60EC4">
          <w:rPr>
            <w:rStyle w:val="Hyperlink"/>
            <w:lang w:val="en-GB"/>
          </w:rPr>
          <w:t>https://www.en-hrana.org/juvenile-offenders-death-sentence-revoked-after-18-years-in-prison/</w:t>
        </w:r>
      </w:hyperlink>
      <w:r w:rsidR="0000400C">
        <w:rPr>
          <w:rStyle w:val="Hyperlink"/>
          <w:lang w:val="en-GB"/>
        </w:rPr>
        <w:t>.</w:t>
      </w:r>
    </w:p>
  </w:footnote>
  <w:footnote w:id="20">
    <w:p w14:paraId="1AF826A7" w14:textId="6C34F6AA" w:rsidR="00D00CFA" w:rsidRPr="00D00CFA" w:rsidRDefault="00D00CFA" w:rsidP="00566C3D">
      <w:pPr>
        <w:pStyle w:val="FootnoteText"/>
        <w:rPr>
          <w:lang w:val="en-GB"/>
        </w:rPr>
      </w:pPr>
      <w:r w:rsidRPr="00D00CFA">
        <w:rPr>
          <w:lang w:val="en-GB"/>
        </w:rPr>
        <w:tab/>
      </w:r>
      <w:r w:rsidR="006B53FA">
        <w:rPr>
          <w:lang w:val="en-GB"/>
        </w:rPr>
        <w:t xml:space="preserve"> </w:t>
      </w:r>
      <w:r>
        <w:rPr>
          <w:rStyle w:val="FootnoteReference"/>
        </w:rPr>
        <w:footnoteRef/>
      </w:r>
      <w:r w:rsidRPr="00D00CFA">
        <w:rPr>
          <w:lang w:val="en-GB"/>
        </w:rPr>
        <w:t xml:space="preserve"> </w:t>
      </w:r>
      <w:r w:rsidRPr="00D00CFA">
        <w:rPr>
          <w:lang w:val="en-GB"/>
        </w:rPr>
        <w:tab/>
      </w:r>
      <w:hyperlink r:id="rId11" w:history="1">
        <w:r w:rsidRPr="00D00CFA">
          <w:rPr>
            <w:rStyle w:val="Hyperlink"/>
            <w:lang w:val="en-GB"/>
          </w:rPr>
          <w:t>https://www.amnesty.org/en/latest/news/2021/07/iran-security-forces-use-live-ammunition-and-birdshot-to-crush-khuzestan-protests/</w:t>
        </w:r>
      </w:hyperlink>
      <w:r w:rsidRPr="00D00CFA">
        <w:rPr>
          <w:lang w:val="en-GB"/>
        </w:rPr>
        <w:t xml:space="preserve">; </w:t>
      </w:r>
      <w:hyperlink r:id="rId12" w:history="1">
        <w:r w:rsidRPr="00D00CFA">
          <w:rPr>
            <w:rStyle w:val="Hyperlink"/>
            <w:lang w:val="en-GB"/>
          </w:rPr>
          <w:t>https://www.hrw.org/news/2021/07/22/iran-deadly-response-water-protests</w:t>
        </w:r>
      </w:hyperlink>
      <w:r w:rsidR="0000400C">
        <w:rPr>
          <w:rStyle w:val="Hyperlink"/>
          <w:lang w:val="en-GB"/>
        </w:rPr>
        <w:t>.</w:t>
      </w:r>
    </w:p>
  </w:footnote>
  <w:footnote w:id="21">
    <w:p w14:paraId="4D40D9DD" w14:textId="1B013266" w:rsidR="00D00CFA" w:rsidRPr="00D00CFA" w:rsidRDefault="00D00CFA" w:rsidP="00566C3D">
      <w:pPr>
        <w:pStyle w:val="FootnoteText"/>
        <w:rPr>
          <w:lang w:val="en-GB"/>
        </w:rPr>
      </w:pPr>
      <w:r w:rsidRPr="00D00CFA">
        <w:rPr>
          <w:lang w:val="en-GB"/>
        </w:rPr>
        <w:tab/>
      </w:r>
      <w:r w:rsidR="006B53FA">
        <w:rPr>
          <w:lang w:val="en-GB"/>
        </w:rPr>
        <w:t xml:space="preserve"> </w:t>
      </w:r>
      <w:r>
        <w:rPr>
          <w:rStyle w:val="FootnoteReference"/>
        </w:rPr>
        <w:footnoteRef/>
      </w:r>
      <w:r w:rsidRPr="00D00CFA">
        <w:rPr>
          <w:lang w:val="en-GB"/>
        </w:rPr>
        <w:t xml:space="preserve"> </w:t>
      </w:r>
      <w:r w:rsidRPr="00D00CFA">
        <w:rPr>
          <w:lang w:val="en-GB"/>
        </w:rPr>
        <w:tab/>
      </w:r>
      <w:hyperlink r:id="rId13" w:history="1">
        <w:r w:rsidRPr="00D00CFA">
          <w:rPr>
            <w:rStyle w:val="Hyperlink"/>
            <w:lang w:val="en-GB"/>
          </w:rPr>
          <w:t>https://www.isna.ir/news/1400043021902/</w:t>
        </w:r>
      </w:hyperlink>
      <w:r w:rsidR="0000400C">
        <w:rPr>
          <w:rStyle w:val="Hyperlink"/>
          <w:lang w:val="en-GB"/>
        </w:rPr>
        <w:t>.</w:t>
      </w:r>
      <w:r w:rsidRPr="00D00CFA">
        <w:rPr>
          <w:lang w:val="en-GB"/>
        </w:rPr>
        <w:t xml:space="preserve"> </w:t>
      </w:r>
    </w:p>
  </w:footnote>
  <w:footnote w:id="22">
    <w:p w14:paraId="4BF2BF69" w14:textId="5715DB5B" w:rsidR="00D00CFA" w:rsidRPr="00D00CFA" w:rsidRDefault="00D00CFA" w:rsidP="00566C3D">
      <w:pPr>
        <w:pStyle w:val="FootnoteText"/>
        <w:rPr>
          <w:lang w:val="en-GB"/>
        </w:rPr>
      </w:pPr>
      <w:r w:rsidRPr="00D00CFA">
        <w:rPr>
          <w:lang w:val="en-GB"/>
        </w:rPr>
        <w:tab/>
      </w:r>
      <w:r w:rsidR="006B53FA">
        <w:rPr>
          <w:lang w:val="en-GB"/>
        </w:rPr>
        <w:t xml:space="preserve"> </w:t>
      </w:r>
      <w:r>
        <w:rPr>
          <w:rStyle w:val="FootnoteReference"/>
        </w:rPr>
        <w:footnoteRef/>
      </w:r>
      <w:r w:rsidRPr="00D00CFA">
        <w:rPr>
          <w:lang w:val="en-GB"/>
        </w:rPr>
        <w:t xml:space="preserve"> </w:t>
      </w:r>
      <w:r w:rsidRPr="00D00CFA">
        <w:rPr>
          <w:lang w:val="en-GB"/>
        </w:rPr>
        <w:tab/>
      </w:r>
      <w:hyperlink r:id="rId14" w:history="1">
        <w:r w:rsidRPr="00D00CFA">
          <w:rPr>
            <w:rStyle w:val="Hyperlink"/>
            <w:lang w:val="en-GB"/>
          </w:rPr>
          <w:t>https://www.amnesty.org/en/latest/news/2021/07/iran-security-forces-use-live-ammunition-and-birdshot-to-crush-khuzestan-protests/</w:t>
        </w:r>
      </w:hyperlink>
      <w:r w:rsidR="0000400C">
        <w:rPr>
          <w:rStyle w:val="Hyperlink"/>
          <w:lang w:val="en-GB"/>
        </w:rPr>
        <w:t>.</w:t>
      </w:r>
    </w:p>
  </w:footnote>
  <w:footnote w:id="23">
    <w:p w14:paraId="3AA60DF7" w14:textId="20D5B568" w:rsidR="00D00CFA" w:rsidRPr="00D00CFA" w:rsidRDefault="007C612C" w:rsidP="00566C3D">
      <w:pPr>
        <w:pStyle w:val="FootnoteText"/>
        <w:rPr>
          <w:lang w:val="en-GB"/>
        </w:rPr>
      </w:pPr>
      <w:r>
        <w:rPr>
          <w:lang w:val="en-GB"/>
        </w:rPr>
        <w:tab/>
      </w:r>
      <w:r w:rsidR="00D00CFA">
        <w:rPr>
          <w:rStyle w:val="FootnoteReference"/>
        </w:rPr>
        <w:footnoteRef/>
      </w:r>
      <w:r w:rsidR="006B53FA">
        <w:rPr>
          <w:lang w:val="en-GB"/>
        </w:rPr>
        <w:t xml:space="preserve"> </w:t>
      </w:r>
      <w:r w:rsidR="00E60EC4">
        <w:rPr>
          <w:lang w:val="en-GB"/>
        </w:rPr>
        <w:tab/>
      </w:r>
      <w:hyperlink r:id="rId15" w:history="1">
        <w:r w:rsidR="00E60EC4" w:rsidRPr="004D6FB2">
          <w:rPr>
            <w:rStyle w:val="Hyperlink"/>
            <w:lang w:val="en-GB"/>
          </w:rPr>
          <w:t>https://www.isna.ir/news/1400042820561/</w:t>
        </w:r>
      </w:hyperlink>
      <w:r w:rsidR="0000400C">
        <w:rPr>
          <w:rStyle w:val="Hyperlink"/>
          <w:lang w:val="en-GB"/>
        </w:rPr>
        <w:t>.</w:t>
      </w:r>
    </w:p>
  </w:footnote>
  <w:footnote w:id="24">
    <w:p w14:paraId="0F728903" w14:textId="035E6ECB" w:rsidR="00D00CFA" w:rsidRPr="00D00CFA" w:rsidRDefault="00E60EC4" w:rsidP="00566C3D">
      <w:pPr>
        <w:pStyle w:val="FootnoteText"/>
        <w:rPr>
          <w:lang w:val="en-GB"/>
        </w:rPr>
      </w:pPr>
      <w:r>
        <w:rPr>
          <w:lang w:val="en-GB"/>
        </w:rPr>
        <w:tab/>
      </w:r>
      <w:r w:rsidR="006B53FA">
        <w:rPr>
          <w:lang w:val="en-GB"/>
        </w:rPr>
        <w:t xml:space="preserve"> </w:t>
      </w:r>
      <w:r w:rsidR="00D00CFA">
        <w:rPr>
          <w:rStyle w:val="FootnoteReference"/>
        </w:rPr>
        <w:footnoteRef/>
      </w:r>
      <w:r w:rsidR="00D00CFA" w:rsidRPr="00D00CFA">
        <w:rPr>
          <w:lang w:val="en-GB"/>
        </w:rPr>
        <w:t xml:space="preserve"> </w:t>
      </w:r>
      <w:r w:rsidR="00D00CFA" w:rsidRPr="00D00CFA">
        <w:rPr>
          <w:lang w:val="en-GB"/>
        </w:rPr>
        <w:tab/>
      </w:r>
      <w:hyperlink r:id="rId16" w:history="1">
        <w:r w:rsidR="00D00CFA" w:rsidRPr="00D00CFA">
          <w:rPr>
            <w:rStyle w:val="Hyperlink"/>
            <w:lang w:val="en-GB"/>
          </w:rPr>
          <w:t>http://fna.ir/2jb7z</w:t>
        </w:r>
      </w:hyperlink>
      <w:r w:rsidR="00D00CFA" w:rsidRPr="00D00CFA">
        <w:rPr>
          <w:lang w:val="en-GB"/>
        </w:rPr>
        <w:t xml:space="preserve">; </w:t>
      </w:r>
      <w:hyperlink r:id="rId17" w:history="1">
        <w:r w:rsidR="00D00CFA" w:rsidRPr="00D00CFA">
          <w:rPr>
            <w:rStyle w:val="Hyperlink"/>
            <w:lang w:val="en-GB"/>
          </w:rPr>
          <w:t>https://web.archive.org/web/20210721073431/; https://www.magiran.com/article/4200515</w:t>
        </w:r>
      </w:hyperlink>
      <w:r w:rsidR="00D00CFA" w:rsidRPr="00D00CFA">
        <w:rPr>
          <w:lang w:val="en-GB"/>
        </w:rPr>
        <w:t xml:space="preserve">; </w:t>
      </w:r>
      <w:hyperlink r:id="rId18" w:history="1">
        <w:r w:rsidR="00D00CFA" w:rsidRPr="00D00CFA">
          <w:rPr>
            <w:rStyle w:val="Hyperlink"/>
            <w:lang w:val="en-GB"/>
          </w:rPr>
          <w:t>http://fna.ir/2k69u</w:t>
        </w:r>
      </w:hyperlink>
    </w:p>
  </w:footnote>
  <w:footnote w:id="25">
    <w:p w14:paraId="56ABE9E3" w14:textId="0B129ADB" w:rsidR="00D00CFA" w:rsidRPr="00D00CFA" w:rsidRDefault="008529D8" w:rsidP="004823C1">
      <w:pPr>
        <w:pStyle w:val="FootnoteText"/>
        <w:rPr>
          <w:lang w:val="en-GB"/>
        </w:rPr>
      </w:pPr>
      <w:hyperlink r:id="rId19" w:history="1">
        <w:r w:rsidR="00D00CFA" w:rsidRPr="00D00CFA">
          <w:rPr>
            <w:lang w:val="en-GB"/>
          </w:rPr>
          <w:tab/>
        </w:r>
        <w:r w:rsidR="00D00CFA" w:rsidRPr="00322FA5">
          <w:rPr>
            <w:rStyle w:val="FootnoteReference"/>
          </w:rPr>
          <w:footnoteRef/>
        </w:r>
        <w:r w:rsidR="00D00CFA" w:rsidRPr="00D00CFA">
          <w:rPr>
            <w:lang w:val="en-GB"/>
          </w:rPr>
          <w:tab/>
        </w:r>
        <w:r w:rsidR="00D00CFA" w:rsidRPr="00D00CFA">
          <w:rPr>
            <w:rStyle w:val="Hyperlink"/>
            <w:lang w:val="en-GB"/>
          </w:rPr>
          <w:t>Iran: Security forces use ruthless force, mass arrests and torture to crush peaceful protests - Amnesty International</w:t>
        </w:r>
      </w:hyperlink>
      <w:r w:rsidR="0000400C">
        <w:rPr>
          <w:rStyle w:val="Hyperlink"/>
          <w:lang w:val="en-GB"/>
        </w:rPr>
        <w:t>.</w:t>
      </w:r>
      <w:r w:rsidR="00E60EC4">
        <w:rPr>
          <w:rStyle w:val="Hyperlink"/>
          <w:lang w:val="en-GB"/>
        </w:rPr>
        <w:t xml:space="preserve"> </w:t>
      </w:r>
    </w:p>
  </w:footnote>
  <w:footnote w:id="26">
    <w:p w14:paraId="1C387E23" w14:textId="2E61DD0F"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20" w:history="1">
        <w:r w:rsidRPr="00D00CFA">
          <w:rPr>
            <w:rStyle w:val="Hyperlink"/>
            <w:lang w:val="en-GB"/>
          </w:rPr>
          <w:t>https://www.iranhumanrights.org/2021/11/isfahan-instead-of-crushing-protests-the-iranian-government-should-solve-its-water-crisis/</w:t>
        </w:r>
      </w:hyperlink>
      <w:r w:rsidR="0000400C">
        <w:rPr>
          <w:rStyle w:val="Hyperlink"/>
          <w:lang w:val="en-GB"/>
        </w:rPr>
        <w:t>.</w:t>
      </w:r>
    </w:p>
  </w:footnote>
  <w:footnote w:id="27">
    <w:p w14:paraId="3E4BC1EF" w14:textId="07210654"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21" w:history="1">
        <w:r w:rsidRPr="00D00CFA">
          <w:rPr>
            <w:rStyle w:val="Hyperlink"/>
            <w:lang w:val="en-GB"/>
          </w:rPr>
          <w:t>https://www.irna.ir/news/84537500/</w:t>
        </w:r>
      </w:hyperlink>
      <w:r w:rsidR="0000400C">
        <w:rPr>
          <w:rStyle w:val="Hyperlink"/>
          <w:lang w:val="en-GB"/>
        </w:rPr>
        <w:t>.</w:t>
      </w:r>
    </w:p>
  </w:footnote>
  <w:footnote w:id="28">
    <w:p w14:paraId="7B5BB0A8" w14:textId="364BEE34"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22" w:history="1">
        <w:r w:rsidRPr="00D00CFA">
          <w:rPr>
            <w:rStyle w:val="Hyperlink"/>
            <w:lang w:val="en-GB"/>
          </w:rPr>
          <w:t>https://www.farsnews.ir/isfahan/news/14000904000459/</w:t>
        </w:r>
      </w:hyperlink>
      <w:r w:rsidR="0000400C">
        <w:rPr>
          <w:rStyle w:val="Hyperlink"/>
          <w:lang w:val="en-GB"/>
        </w:rPr>
        <w:t>.</w:t>
      </w:r>
    </w:p>
  </w:footnote>
  <w:footnote w:id="29">
    <w:p w14:paraId="07951E23" w14:textId="28ACB144"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23" w:history="1">
        <w:r w:rsidRPr="00D00CFA">
          <w:rPr>
            <w:rStyle w:val="Hyperlink"/>
            <w:lang w:val="en-GB"/>
          </w:rPr>
          <w:t>https://netblocks.org/reports/internet-disruption-registered-in-iran-amid-water-protests-RyjnQRyg</w:t>
        </w:r>
      </w:hyperlink>
      <w:r w:rsidR="0000400C">
        <w:rPr>
          <w:rStyle w:val="Hyperlink"/>
          <w:lang w:val="en-GB"/>
        </w:rPr>
        <w:t>.</w:t>
      </w:r>
      <w:r w:rsidRPr="00D00CFA">
        <w:rPr>
          <w:lang w:val="en-GB"/>
        </w:rPr>
        <w:t xml:space="preserve"> </w:t>
      </w:r>
    </w:p>
  </w:footnote>
  <w:footnote w:id="30">
    <w:p w14:paraId="7EB1D6FD" w14:textId="305A1DE7"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24" w:history="1">
        <w:r w:rsidRPr="00D00CFA">
          <w:rPr>
            <w:rStyle w:val="Hyperlink"/>
            <w:lang w:val="en-GB"/>
          </w:rPr>
          <w:t>https://iranhr.net/en/articles/5000/?msclkid=420880acab5b11ecae3981eb25648f89</w:t>
        </w:r>
      </w:hyperlink>
      <w:r w:rsidR="0000400C">
        <w:rPr>
          <w:rStyle w:val="Hyperlink"/>
          <w:lang w:val="en-GB"/>
        </w:rPr>
        <w:t>.</w:t>
      </w:r>
    </w:p>
  </w:footnote>
  <w:footnote w:id="31">
    <w:p w14:paraId="0791A38C" w14:textId="079CBA56"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25" w:history="1">
        <w:r w:rsidRPr="00D00CFA">
          <w:rPr>
            <w:rStyle w:val="Hyperlink"/>
            <w:lang w:val="en-GB"/>
          </w:rPr>
          <w:t>https://www.farsnews.ir/news/14000906000495/</w:t>
        </w:r>
      </w:hyperlink>
      <w:r w:rsidR="0000400C">
        <w:rPr>
          <w:rStyle w:val="Hyperlink"/>
          <w:lang w:val="en-GB"/>
        </w:rPr>
        <w:t>.</w:t>
      </w:r>
      <w:r w:rsidRPr="00D00CFA">
        <w:rPr>
          <w:lang w:val="en-GB"/>
        </w:rPr>
        <w:t xml:space="preserve"> </w:t>
      </w:r>
    </w:p>
  </w:footnote>
  <w:footnote w:id="32">
    <w:p w14:paraId="1750AC06" w14:textId="49D89D87" w:rsidR="00706C08" w:rsidRPr="00D00CFA" w:rsidRDefault="00706C08" w:rsidP="00706C08">
      <w:pPr>
        <w:pStyle w:val="FootnoteText"/>
        <w:rPr>
          <w:lang w:val="en-GB"/>
        </w:rPr>
      </w:pPr>
      <w:r w:rsidRPr="00D00CFA">
        <w:rPr>
          <w:lang w:val="en-GB"/>
        </w:rPr>
        <w:tab/>
      </w:r>
      <w:r w:rsidRPr="00322FA5">
        <w:rPr>
          <w:rStyle w:val="FootnoteReference"/>
        </w:rPr>
        <w:footnoteRef/>
      </w:r>
      <w:r w:rsidRPr="00D00CFA">
        <w:rPr>
          <w:lang w:val="en-GB"/>
        </w:rPr>
        <w:tab/>
      </w:r>
      <w:hyperlink r:id="rId26" w:history="1">
        <w:r w:rsidR="00E60EC4">
          <w:rPr>
            <w:rStyle w:val="Hyperlink"/>
            <w:lang w:val="en-GB"/>
          </w:rPr>
          <w:t>https://www.kmmk-ge.org/wp-content/uploads/2021/10/2021-Interim-Annual-Report-KMMK-G-.pdf</w:t>
        </w:r>
      </w:hyperlink>
      <w:r w:rsidR="0000400C">
        <w:rPr>
          <w:rStyle w:val="Hyperlink"/>
          <w:lang w:val="en-GB"/>
        </w:rPr>
        <w:t>.</w:t>
      </w:r>
    </w:p>
  </w:footnote>
  <w:footnote w:id="33">
    <w:p w14:paraId="13B2D982" w14:textId="25B0543C" w:rsidR="0022536D" w:rsidRPr="00E60EC4" w:rsidRDefault="00E60EC4">
      <w:pPr>
        <w:pStyle w:val="FootnoteText"/>
        <w:rPr>
          <w:lang w:val="en-US"/>
        </w:rPr>
      </w:pPr>
      <w:r>
        <w:rPr>
          <w:lang w:val="en-US"/>
        </w:rPr>
        <w:tab/>
      </w:r>
      <w:r w:rsidR="0022536D">
        <w:rPr>
          <w:rStyle w:val="FootnoteReference"/>
        </w:rPr>
        <w:footnoteRef/>
      </w:r>
      <w:r w:rsidR="0022536D" w:rsidRPr="00E60EC4">
        <w:rPr>
          <w:lang w:val="en-US"/>
        </w:rPr>
        <w:t xml:space="preserve"> </w:t>
      </w:r>
      <w:r w:rsidR="00131B26">
        <w:rPr>
          <w:lang w:val="en-US"/>
        </w:rPr>
        <w:tab/>
      </w:r>
      <w:r w:rsidR="00131B26">
        <w:rPr>
          <w:lang w:val="en-US"/>
        </w:rPr>
        <w:tab/>
      </w:r>
      <w:r w:rsidR="0022536D" w:rsidRPr="00D00CFA">
        <w:rPr>
          <w:lang w:val="en-GB"/>
        </w:rPr>
        <w:t>Human Rights Committee, CCPR/C/GC/3</w:t>
      </w:r>
      <w:r w:rsidR="0022536D">
        <w:rPr>
          <w:lang w:val="en-GB"/>
        </w:rPr>
        <w:t>7, para.78</w:t>
      </w:r>
      <w:r w:rsidR="0000400C">
        <w:rPr>
          <w:lang w:val="en-GB"/>
        </w:rPr>
        <w:t>.</w:t>
      </w:r>
    </w:p>
  </w:footnote>
  <w:footnote w:id="34">
    <w:p w14:paraId="5477FC6B" w14:textId="6C9D4580" w:rsidR="00131B26" w:rsidRPr="00E60EC4" w:rsidRDefault="0000400C" w:rsidP="00131B26">
      <w:pPr>
        <w:pStyle w:val="FootnoteText"/>
        <w:rPr>
          <w:lang w:val="en-US"/>
        </w:rPr>
      </w:pPr>
      <w:r>
        <w:rPr>
          <w:lang w:val="en-US"/>
        </w:rPr>
        <w:tab/>
      </w:r>
      <w:r w:rsidR="00131B26">
        <w:rPr>
          <w:rStyle w:val="FootnoteReference"/>
        </w:rPr>
        <w:footnoteRef/>
      </w:r>
      <w:r w:rsidR="00E60EC4">
        <w:rPr>
          <w:lang w:val="en-US"/>
        </w:rPr>
        <w:tab/>
      </w:r>
      <w:r w:rsidR="00131B26" w:rsidRPr="00D00CFA">
        <w:rPr>
          <w:lang w:val="en-GB"/>
        </w:rPr>
        <w:t>Human Rights Committee, CCPR/C/GC/3</w:t>
      </w:r>
      <w:r w:rsidR="00131B26">
        <w:rPr>
          <w:lang w:val="en-GB"/>
        </w:rPr>
        <w:t>6, paras. 1</w:t>
      </w:r>
      <w:r w:rsidR="007A72F7">
        <w:rPr>
          <w:lang w:val="en-GB"/>
        </w:rPr>
        <w:t>3</w:t>
      </w:r>
      <w:r w:rsidR="00131B26">
        <w:rPr>
          <w:lang w:val="en-GB"/>
        </w:rPr>
        <w:t>-1</w:t>
      </w:r>
      <w:r w:rsidR="007A72F7">
        <w:rPr>
          <w:lang w:val="en-GB"/>
        </w:rPr>
        <w:t>4</w:t>
      </w:r>
      <w:r>
        <w:rPr>
          <w:lang w:val="en-GB"/>
        </w:rPr>
        <w:t>.</w:t>
      </w:r>
    </w:p>
  </w:footnote>
  <w:footnote w:id="35">
    <w:p w14:paraId="2DB876DB" w14:textId="2490833D" w:rsidR="00F65E65" w:rsidRPr="00D00CFA" w:rsidRDefault="00F65E65" w:rsidP="00F65E65">
      <w:pPr>
        <w:pStyle w:val="FootnoteText"/>
        <w:rPr>
          <w:lang w:val="en-GB"/>
        </w:rPr>
      </w:pPr>
      <w:r w:rsidRPr="00D00CFA">
        <w:rPr>
          <w:lang w:val="en-GB"/>
        </w:rPr>
        <w:tab/>
      </w:r>
      <w:r w:rsidRPr="00322FA5">
        <w:rPr>
          <w:rStyle w:val="FootnoteReference"/>
        </w:rPr>
        <w:footnoteRef/>
      </w:r>
      <w:r w:rsidRPr="00D00CFA">
        <w:rPr>
          <w:lang w:val="en-GB"/>
        </w:rPr>
        <w:tab/>
      </w:r>
      <w:hyperlink r:id="rId27" w:history="1">
        <w:r w:rsidRPr="00D00CFA">
          <w:rPr>
            <w:rStyle w:val="Hyperlink"/>
            <w:lang w:val="en-GB"/>
          </w:rPr>
          <w:t>https://www.amnesty.org/en/documents/mde13/4669/2021/en/</w:t>
        </w:r>
      </w:hyperlink>
      <w:r w:rsidR="0000400C">
        <w:rPr>
          <w:rStyle w:val="Hyperlink"/>
          <w:lang w:val="en-GB"/>
        </w:rPr>
        <w:t>.</w:t>
      </w:r>
    </w:p>
  </w:footnote>
  <w:footnote w:id="36">
    <w:p w14:paraId="67F7DF02" w14:textId="380BB8D3" w:rsidR="00DC5572" w:rsidRPr="00E60EC4" w:rsidRDefault="0000400C">
      <w:pPr>
        <w:pStyle w:val="FootnoteText"/>
        <w:rPr>
          <w:lang w:val="en-US"/>
        </w:rPr>
      </w:pPr>
      <w:r>
        <w:rPr>
          <w:lang w:val="en-US"/>
        </w:rPr>
        <w:tab/>
      </w:r>
      <w:r w:rsidR="00DC5572">
        <w:rPr>
          <w:rStyle w:val="FootnoteReference"/>
        </w:rPr>
        <w:footnoteRef/>
      </w:r>
      <w:r w:rsidR="00E60EC4">
        <w:rPr>
          <w:lang w:val="en-US"/>
        </w:rPr>
        <w:tab/>
      </w:r>
      <w:r w:rsidR="002D3C90" w:rsidRPr="00E60EC4">
        <w:rPr>
          <w:lang w:val="en-US"/>
        </w:rPr>
        <w:t xml:space="preserve">The Penal Code includes the punishments of stoning (article 225); </w:t>
      </w:r>
      <w:r w:rsidR="002D3C90" w:rsidRPr="00E60EC4">
        <w:rPr>
          <w:i/>
          <w:iCs/>
          <w:lang w:val="en-US"/>
        </w:rPr>
        <w:t xml:space="preserve">qisas </w:t>
      </w:r>
      <w:r w:rsidR="002D3C90" w:rsidRPr="00E60EC4">
        <w:rPr>
          <w:lang w:val="en-US"/>
        </w:rPr>
        <w:t xml:space="preserve">(retaliation-in-kind) </w:t>
      </w:r>
      <w:r w:rsidR="000B3EDA" w:rsidRPr="00E60EC4">
        <w:rPr>
          <w:lang w:val="en-US"/>
        </w:rPr>
        <w:t>as</w:t>
      </w:r>
      <w:r w:rsidR="002D3C90" w:rsidRPr="00E60EC4">
        <w:rPr>
          <w:lang w:val="en-US"/>
        </w:rPr>
        <w:t xml:space="preserve"> the main punishment for intentional crimes against life, limbs and abilities</w:t>
      </w:r>
      <w:r w:rsidR="000B3EDA" w:rsidRPr="00E60EC4">
        <w:rPr>
          <w:lang w:val="en-US"/>
        </w:rPr>
        <w:t xml:space="preserve">, as well as for theft </w:t>
      </w:r>
      <w:r w:rsidR="002D3C90" w:rsidRPr="00E60EC4">
        <w:rPr>
          <w:lang w:val="en-US"/>
        </w:rPr>
        <w:t xml:space="preserve">(articles 16, 278, 386-416).; and includes over 100 offences that </w:t>
      </w:r>
      <w:r w:rsidR="002C11C7" w:rsidRPr="00E60EC4">
        <w:rPr>
          <w:lang w:val="en-US"/>
        </w:rPr>
        <w:t>carry the punishment of flogging</w:t>
      </w:r>
      <w:r w:rsidR="000B3EDA" w:rsidRPr="00E60EC4">
        <w:rPr>
          <w:lang w:val="en-US"/>
        </w:rPr>
        <w:t>.</w:t>
      </w:r>
    </w:p>
  </w:footnote>
  <w:footnote w:id="37">
    <w:p w14:paraId="7D60CC7A" w14:textId="62452F9C" w:rsidR="00EC5C2A" w:rsidRPr="00E60EC4" w:rsidRDefault="0000400C">
      <w:pPr>
        <w:pStyle w:val="FootnoteText"/>
        <w:rPr>
          <w:lang w:val="en-US"/>
        </w:rPr>
      </w:pPr>
      <w:r>
        <w:rPr>
          <w:lang w:val="en-US"/>
        </w:rPr>
        <w:tab/>
      </w:r>
      <w:r w:rsidR="00EC5C2A">
        <w:rPr>
          <w:rStyle w:val="FootnoteReference"/>
        </w:rPr>
        <w:footnoteRef/>
      </w:r>
      <w:r w:rsidR="00EC5C2A" w:rsidRPr="00E60EC4">
        <w:rPr>
          <w:lang w:val="en-US"/>
        </w:rPr>
        <w:t xml:space="preserve"> </w:t>
      </w:r>
      <w:r w:rsidR="00E60EC4">
        <w:rPr>
          <w:lang w:val="en-US"/>
        </w:rPr>
        <w:tab/>
      </w:r>
      <w:r w:rsidR="00EC5C2A" w:rsidRPr="00E60EC4">
        <w:rPr>
          <w:lang w:val="en-US"/>
        </w:rPr>
        <w:t>Human Rights Committee, CCPR/C/IRN/CO/3, paras. 12, 16</w:t>
      </w:r>
      <w:r>
        <w:rPr>
          <w:lang w:val="en-US"/>
        </w:rPr>
        <w:t>.</w:t>
      </w:r>
    </w:p>
  </w:footnote>
  <w:footnote w:id="38">
    <w:p w14:paraId="1A070FF1" w14:textId="7261DA4B" w:rsidR="009C08BC" w:rsidRPr="009C08BC" w:rsidRDefault="0000400C" w:rsidP="00E60EC4">
      <w:pPr>
        <w:pStyle w:val="FootnoteText"/>
        <w:ind w:left="0" w:firstLine="0"/>
        <w:rPr>
          <w:lang w:val="en-GB"/>
        </w:rPr>
      </w:pPr>
      <w:r>
        <w:rPr>
          <w:lang w:val="en-US"/>
        </w:rPr>
        <w:tab/>
      </w:r>
      <w:r w:rsidR="009C08BC">
        <w:rPr>
          <w:rStyle w:val="FootnoteReference"/>
        </w:rPr>
        <w:footnoteRef/>
      </w:r>
      <w:r w:rsidR="009C08BC" w:rsidRPr="00E60EC4">
        <w:rPr>
          <w:lang w:val="en-US"/>
        </w:rPr>
        <w:t xml:space="preserve"> </w:t>
      </w:r>
      <w:r w:rsidR="00E60EC4">
        <w:rPr>
          <w:lang w:val="en-US"/>
        </w:rPr>
        <w:tab/>
      </w:r>
      <w:hyperlink r:id="rId28" w:history="1">
        <w:r w:rsidR="009C08BC" w:rsidRPr="009C08BC">
          <w:rPr>
            <w:rStyle w:val="Hyperlink"/>
            <w:lang w:val="en-US"/>
          </w:rPr>
          <w:t>https ://www.iranrights.org/library/collection/141/flogging</w:t>
        </w:r>
      </w:hyperlink>
      <w:r w:rsidR="009C08BC" w:rsidRPr="009C08BC">
        <w:rPr>
          <w:lang w:val="en-GB"/>
        </w:rPr>
        <w:t xml:space="preserve">; </w:t>
      </w:r>
    </w:p>
    <w:p w14:paraId="2B0DABD7" w14:textId="7EA63138" w:rsidR="009C08BC" w:rsidRPr="00E60EC4" w:rsidRDefault="00E60EC4" w:rsidP="00E60EC4">
      <w:pPr>
        <w:pStyle w:val="FootnoteText"/>
        <w:rPr>
          <w:lang w:val="en-GB"/>
        </w:rPr>
      </w:pPr>
      <w:r>
        <w:rPr>
          <w:lang w:val="en-GB"/>
        </w:rPr>
        <w:tab/>
      </w:r>
      <w:r>
        <w:rPr>
          <w:lang w:val="en-GB"/>
        </w:rPr>
        <w:tab/>
      </w:r>
      <w:hyperlink r:id="rId29" w:history="1">
        <w:r w:rsidRPr="004D6FB2">
          <w:rPr>
            <w:rStyle w:val="Hyperlink"/>
            <w:lang w:val="en-GB"/>
          </w:rPr>
          <w:t>https://www.hrw.org/world-report/2021/country-chapters/iran</w:t>
        </w:r>
      </w:hyperlink>
      <w:r w:rsidR="009C08BC" w:rsidRPr="009C08BC">
        <w:rPr>
          <w:lang w:val="en-GB"/>
        </w:rPr>
        <w:t xml:space="preserve"> </w:t>
      </w:r>
      <w:r w:rsidR="0000400C">
        <w:rPr>
          <w:lang w:val="en-GB"/>
        </w:rPr>
        <w:t>.</w:t>
      </w:r>
    </w:p>
  </w:footnote>
  <w:footnote w:id="39">
    <w:p w14:paraId="1E2CDECE" w14:textId="27D924D3" w:rsidR="00A27AAA" w:rsidRPr="00BE5DCE" w:rsidRDefault="0000400C" w:rsidP="00E60EC4">
      <w:pPr>
        <w:pStyle w:val="FootnoteText"/>
        <w:rPr>
          <w:lang w:val="en-US"/>
        </w:rPr>
      </w:pPr>
      <w:r>
        <w:rPr>
          <w:lang w:val="en-US"/>
        </w:rPr>
        <w:tab/>
      </w:r>
      <w:r w:rsidR="00A27AAA">
        <w:rPr>
          <w:rStyle w:val="FootnoteReference"/>
        </w:rPr>
        <w:footnoteRef/>
      </w:r>
      <w:r w:rsidR="00A27AAA" w:rsidRPr="00BE5DCE">
        <w:rPr>
          <w:lang w:val="en-US"/>
        </w:rPr>
        <w:t xml:space="preserve"> </w:t>
      </w:r>
      <w:r w:rsidR="00E60EC4">
        <w:rPr>
          <w:lang w:val="en-US"/>
        </w:rPr>
        <w:tab/>
      </w:r>
      <w:r w:rsidR="00A27AAA" w:rsidRPr="00D00CFA">
        <w:rPr>
          <w:lang w:val="en-GB"/>
        </w:rPr>
        <w:t>Human Rights Committee, CCPR/C/GC/</w:t>
      </w:r>
      <w:r w:rsidR="00A27AAA">
        <w:rPr>
          <w:lang w:val="en-GB"/>
        </w:rPr>
        <w:t>20, para. 5</w:t>
      </w:r>
      <w:r>
        <w:rPr>
          <w:lang w:val="en-GB"/>
        </w:rPr>
        <w:t>.</w:t>
      </w:r>
    </w:p>
  </w:footnote>
  <w:footnote w:id="40">
    <w:p w14:paraId="0F04A4EF" w14:textId="13BEB415" w:rsidR="00D00CFA" w:rsidRPr="00D00CFA" w:rsidRDefault="0000400C" w:rsidP="002E19CA">
      <w:pPr>
        <w:pStyle w:val="FootnoteText"/>
        <w:rPr>
          <w:lang w:val="en-GB"/>
        </w:rPr>
      </w:pPr>
      <w:r>
        <w:rPr>
          <w:lang w:val="en-GB"/>
        </w:rPr>
        <w:tab/>
      </w:r>
      <w:r w:rsidR="00D00CFA" w:rsidRPr="0000400C">
        <w:rPr>
          <w:rStyle w:val="FootnoteReference"/>
        </w:rPr>
        <w:footnoteRef/>
      </w:r>
      <w:r w:rsidR="00E60EC4" w:rsidRPr="0000400C">
        <w:rPr>
          <w:lang w:val="en-GB"/>
        </w:rPr>
        <w:tab/>
      </w:r>
      <w:r w:rsidR="5D024BF2" w:rsidRPr="0000400C">
        <w:rPr>
          <w:lang w:val="en-GB"/>
        </w:rPr>
        <w:t xml:space="preserve"> A/HRC/47/22, paras.</w:t>
      </w:r>
      <w:r w:rsidR="5D024BF2" w:rsidRPr="0000400C">
        <w:rPr>
          <w:shd w:val="clear" w:color="auto" w:fill="E6E6E6"/>
          <w:lang w:val="en-GB"/>
        </w:rPr>
        <w:t xml:space="preserve"> </w:t>
      </w:r>
      <w:r w:rsidR="5D024BF2" w:rsidRPr="0000400C">
        <w:rPr>
          <w:lang w:val="en-GB"/>
        </w:rPr>
        <w:t>7 an</w:t>
      </w:r>
      <w:r w:rsidR="5D024BF2" w:rsidRPr="00D00CFA">
        <w:rPr>
          <w:lang w:val="en-GB"/>
        </w:rPr>
        <w:t>d 22.</w:t>
      </w:r>
    </w:p>
  </w:footnote>
  <w:footnote w:id="41">
    <w:p w14:paraId="20D07515" w14:textId="61A5A9AD"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30" w:history="1">
        <w:r w:rsidRPr="00D00CFA">
          <w:rPr>
            <w:rStyle w:val="Hyperlink"/>
            <w:lang w:val="en-GB"/>
          </w:rPr>
          <w:t>https://kurdistanhumanrights.org/en/iran-prison-officers-beat-young-man-to-death/</w:t>
        </w:r>
      </w:hyperlink>
      <w:r w:rsidR="0000400C">
        <w:rPr>
          <w:rStyle w:val="Hyperlink"/>
          <w:lang w:val="en-GB"/>
        </w:rPr>
        <w:t>.</w:t>
      </w:r>
    </w:p>
  </w:footnote>
  <w:footnote w:id="42">
    <w:p w14:paraId="78285FDF" w14:textId="327DCDA4" w:rsidR="00D00CFA" w:rsidRPr="000C3CE5" w:rsidRDefault="00D00CFA" w:rsidP="004823C1">
      <w:pPr>
        <w:pStyle w:val="FootnoteText"/>
        <w:rPr>
          <w:rtl/>
          <w:lang w:val="en-US" w:bidi="fa-IR"/>
        </w:rPr>
      </w:pPr>
      <w:r w:rsidRPr="00D00CFA">
        <w:rPr>
          <w:lang w:val="en-GB"/>
        </w:rPr>
        <w:tab/>
      </w:r>
      <w:r w:rsidRPr="00322FA5">
        <w:rPr>
          <w:rStyle w:val="FootnoteReference"/>
        </w:rPr>
        <w:footnoteRef/>
      </w:r>
      <w:r w:rsidRPr="00D00CFA">
        <w:rPr>
          <w:lang w:val="en-GB"/>
        </w:rPr>
        <w:tab/>
      </w:r>
      <w:hyperlink r:id="rId31" w:history="1">
        <w:r w:rsidRPr="00D00CFA">
          <w:rPr>
            <w:rStyle w:val="Hyperlink"/>
            <w:lang w:val="en-GB"/>
          </w:rPr>
          <w:t>https://www.iribnews.ir/fa/news/3271407/</w:t>
        </w:r>
      </w:hyperlink>
      <w:r w:rsidR="0000400C">
        <w:rPr>
          <w:rStyle w:val="Hyperlink"/>
          <w:lang w:val="en-GB"/>
        </w:rPr>
        <w:t>.</w:t>
      </w:r>
    </w:p>
  </w:footnote>
  <w:footnote w:id="43">
    <w:p w14:paraId="3FF2E586" w14:textId="313D00E0"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32" w:history="1">
        <w:r w:rsidRPr="00D00CFA">
          <w:rPr>
            <w:rStyle w:val="Hyperlink"/>
            <w:lang w:val="en-GB"/>
          </w:rPr>
          <w:t>https://www.en-hrana.org/irib-denies-that-khosro-jamalifars-suspicious-death-in-sanadaj-prison-was-result-of-guard-brutality/</w:t>
        </w:r>
      </w:hyperlink>
      <w:r w:rsidR="0000400C">
        <w:rPr>
          <w:rStyle w:val="Hyperlink"/>
          <w:lang w:val="en-GB"/>
        </w:rPr>
        <w:t>.</w:t>
      </w:r>
    </w:p>
  </w:footnote>
  <w:footnote w:id="44">
    <w:p w14:paraId="645C14BA" w14:textId="759AA82E"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33" w:history="1">
        <w:r w:rsidRPr="00D00CFA">
          <w:rPr>
            <w:rStyle w:val="Hyperlink"/>
            <w:lang w:val="en-GB"/>
          </w:rPr>
          <w:t>https://hengaw.net/en/news/the-official-death-announcement-of-two-kurdish-civilians-who-were-killed-under-torture-by-the-iranian-revolutionary-guard-corps-to-their-families</w:t>
        </w:r>
      </w:hyperlink>
      <w:r w:rsidR="0000400C">
        <w:rPr>
          <w:rStyle w:val="Hyperlink"/>
          <w:lang w:val="en-GB"/>
        </w:rPr>
        <w:t>.</w:t>
      </w:r>
    </w:p>
  </w:footnote>
  <w:footnote w:id="45">
    <w:p w14:paraId="3B94159D" w14:textId="0C66F31D"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34" w:history="1">
        <w:r w:rsidRPr="00D00CFA">
          <w:rPr>
            <w:rStyle w:val="Hyperlink"/>
            <w:lang w:val="en-GB"/>
          </w:rPr>
          <w:t>https://rsf.org/en/news/rsf-asks-un-investigate-iranian-journalist-baktash-abtins-death</w:t>
        </w:r>
      </w:hyperlink>
      <w:r w:rsidR="0000400C">
        <w:rPr>
          <w:rStyle w:val="Hyperlink"/>
          <w:lang w:val="en-GB"/>
        </w:rPr>
        <w:t>.</w:t>
      </w:r>
    </w:p>
  </w:footnote>
  <w:footnote w:id="46">
    <w:p w14:paraId="3B0DED0B" w14:textId="0BB58EF2" w:rsidR="00D00CFA" w:rsidRPr="00D00CFA" w:rsidRDefault="00D00CFA" w:rsidP="004823C1">
      <w:pPr>
        <w:pStyle w:val="FootnoteText"/>
        <w:rPr>
          <w:lang w:val="es-ES"/>
        </w:rPr>
      </w:pPr>
      <w:r w:rsidRPr="00D00CFA">
        <w:rPr>
          <w:lang w:val="en-GB"/>
        </w:rPr>
        <w:tab/>
      </w:r>
      <w:r w:rsidRPr="00322FA5">
        <w:rPr>
          <w:rStyle w:val="FootnoteReference"/>
        </w:rPr>
        <w:footnoteRef/>
      </w:r>
      <w:r w:rsidRPr="00D00CFA">
        <w:rPr>
          <w:lang w:val="es-ES"/>
        </w:rPr>
        <w:tab/>
        <w:t>A/75/287, para 61(f); A/HRC/47/22 pa</w:t>
      </w:r>
      <w:r w:rsidR="0000400C">
        <w:rPr>
          <w:lang w:val="es-ES"/>
        </w:rPr>
        <w:t>ra 73(f); A/76/268, para.60(f).</w:t>
      </w:r>
    </w:p>
  </w:footnote>
  <w:footnote w:id="47">
    <w:p w14:paraId="204BA400" w14:textId="7A453E7A" w:rsidR="00D00CFA" w:rsidRPr="00D00CFA" w:rsidRDefault="00D00CFA" w:rsidP="004823C1">
      <w:pPr>
        <w:pStyle w:val="FootnoteText"/>
        <w:rPr>
          <w:lang w:val="es-ES"/>
        </w:rPr>
      </w:pPr>
      <w:r w:rsidRPr="00D00CFA">
        <w:rPr>
          <w:lang w:val="es-ES"/>
        </w:rPr>
        <w:tab/>
      </w:r>
      <w:r w:rsidRPr="00322FA5">
        <w:rPr>
          <w:rStyle w:val="FootnoteReference"/>
        </w:rPr>
        <w:footnoteRef/>
      </w:r>
      <w:r w:rsidRPr="00D00CFA">
        <w:rPr>
          <w:lang w:val="es-ES"/>
        </w:rPr>
        <w:tab/>
      </w:r>
      <w:hyperlink r:id="rId35" w:history="1">
        <w:r w:rsidRPr="00D00CFA">
          <w:rPr>
            <w:rStyle w:val="Hyperlink"/>
            <w:lang w:val="es-ES"/>
          </w:rPr>
          <w:t>https://www.ohchr.org/en/press-releases/2020/10/citing-covid-risk-bachelet-calls-iran-release-jailed-human-rights-defenders?LangID=E&amp;NewsID=26345</w:t>
        </w:r>
      </w:hyperlink>
      <w:r w:rsidR="0000400C">
        <w:rPr>
          <w:rStyle w:val="Hyperlink"/>
          <w:lang w:val="es-ES"/>
        </w:rPr>
        <w:t>.</w:t>
      </w:r>
    </w:p>
  </w:footnote>
  <w:footnote w:id="48">
    <w:p w14:paraId="10DF6826" w14:textId="407E6C3D" w:rsidR="00D00CFA" w:rsidRPr="00D313FA" w:rsidRDefault="00D00CFA" w:rsidP="004823C1">
      <w:pPr>
        <w:pStyle w:val="FootnoteText"/>
        <w:rPr>
          <w:lang w:val="es-419"/>
        </w:rPr>
      </w:pPr>
      <w:r w:rsidRPr="00D00CFA">
        <w:rPr>
          <w:lang w:val="es-ES"/>
        </w:rPr>
        <w:tab/>
      </w:r>
      <w:r w:rsidRPr="00322FA5">
        <w:rPr>
          <w:rStyle w:val="FootnoteReference"/>
        </w:rPr>
        <w:footnoteRef/>
      </w:r>
      <w:r w:rsidRPr="00D00CFA">
        <w:rPr>
          <w:lang w:val="es-ES"/>
        </w:rPr>
        <w:tab/>
      </w:r>
      <w:hyperlink r:id="rId36" w:history="1">
        <w:r w:rsidRPr="00D00CFA">
          <w:rPr>
            <w:rStyle w:val="Hyperlink"/>
            <w:lang w:val="es-ES"/>
          </w:rPr>
          <w:t>https://www.iranhumanrights.org/2022/01/writer-in-coma-another-political-prisoner-dead-after-arbitrary-imprisonment-in-iran/</w:t>
        </w:r>
      </w:hyperlink>
      <w:r w:rsidR="0000400C">
        <w:rPr>
          <w:rStyle w:val="Hyperlink"/>
          <w:lang w:val="es-ES"/>
        </w:rPr>
        <w:t>.</w:t>
      </w:r>
    </w:p>
  </w:footnote>
  <w:footnote w:id="49">
    <w:p w14:paraId="72DB15FD" w14:textId="1D662ACF" w:rsidR="00D00CFA" w:rsidRPr="00D00CFA" w:rsidRDefault="00D00CFA" w:rsidP="004823C1">
      <w:pPr>
        <w:pStyle w:val="FootnoteText"/>
        <w:rPr>
          <w:lang w:val="es-ES"/>
        </w:rPr>
      </w:pPr>
      <w:r w:rsidRPr="00D00CFA">
        <w:rPr>
          <w:lang w:val="es-ES"/>
        </w:rPr>
        <w:tab/>
      </w:r>
      <w:r w:rsidRPr="00322FA5">
        <w:rPr>
          <w:rStyle w:val="FootnoteReference"/>
        </w:rPr>
        <w:footnoteRef/>
      </w:r>
      <w:r w:rsidRPr="00D00CFA">
        <w:rPr>
          <w:lang w:val="es-ES"/>
        </w:rPr>
        <w:tab/>
      </w:r>
      <w:hyperlink r:id="rId37" w:history="1">
        <w:r w:rsidRPr="00D00CFA">
          <w:rPr>
            <w:rStyle w:val="Hyperlink"/>
            <w:lang w:val="es-ES"/>
          </w:rPr>
          <w:t>https://www.amnesty.org/en/wp-content/uploads/2022/02/MDE1352062022ENGLISH.pdf</w:t>
        </w:r>
      </w:hyperlink>
      <w:r w:rsidR="0000400C">
        <w:rPr>
          <w:rStyle w:val="Hyperlink"/>
          <w:lang w:val="es-ES"/>
        </w:rPr>
        <w:t>.</w:t>
      </w:r>
    </w:p>
  </w:footnote>
  <w:footnote w:id="50">
    <w:p w14:paraId="59E78963" w14:textId="08EA4289" w:rsidR="00D00CFA" w:rsidRPr="00D00CFA" w:rsidRDefault="00D00CFA" w:rsidP="004823C1">
      <w:pPr>
        <w:pStyle w:val="FootnoteText"/>
        <w:rPr>
          <w:lang w:val="es-ES"/>
        </w:rPr>
      </w:pPr>
      <w:r w:rsidRPr="00D00CFA">
        <w:rPr>
          <w:lang w:val="es-ES"/>
        </w:rPr>
        <w:tab/>
      </w:r>
      <w:r w:rsidRPr="00322FA5">
        <w:rPr>
          <w:rStyle w:val="FootnoteReference"/>
        </w:rPr>
        <w:footnoteRef/>
      </w:r>
      <w:r w:rsidRPr="00D00CFA">
        <w:rPr>
          <w:lang w:val="es-ES"/>
        </w:rPr>
        <w:tab/>
      </w:r>
      <w:hyperlink r:id="rId38" w:history="1">
        <w:r w:rsidRPr="00D00CFA">
          <w:rPr>
            <w:rStyle w:val="Hyperlink"/>
            <w:lang w:val="es-ES"/>
          </w:rPr>
          <w:t>https://iranhumanrights.org/2022/03/denial-of-medical-treatment-for-ailing-political-prisoners-in-iran-aimed-at-crushing-dissent/</w:t>
        </w:r>
      </w:hyperlink>
      <w:r w:rsidR="0000400C">
        <w:rPr>
          <w:rStyle w:val="Hyperlink"/>
          <w:lang w:val="es-ES"/>
        </w:rPr>
        <w:t>.</w:t>
      </w:r>
    </w:p>
  </w:footnote>
  <w:footnote w:id="51">
    <w:p w14:paraId="228E8C2F" w14:textId="4FE9B3E1" w:rsidR="00D00CFA" w:rsidRPr="00D00CFA" w:rsidRDefault="00D00CFA" w:rsidP="004823C1">
      <w:pPr>
        <w:pStyle w:val="FootnoteText"/>
        <w:rPr>
          <w:lang w:val="es-ES"/>
        </w:rPr>
      </w:pPr>
      <w:r w:rsidRPr="00D00CFA">
        <w:rPr>
          <w:lang w:val="es-ES"/>
        </w:rPr>
        <w:tab/>
      </w:r>
      <w:r w:rsidRPr="00322FA5">
        <w:rPr>
          <w:rStyle w:val="FootnoteReference"/>
        </w:rPr>
        <w:footnoteRef/>
      </w:r>
      <w:r w:rsidRPr="00D00CFA">
        <w:rPr>
          <w:lang w:val="es-ES"/>
        </w:rPr>
        <w:tab/>
      </w:r>
      <w:hyperlink r:id="rId39" w:history="1">
        <w:r w:rsidRPr="00D00CFA">
          <w:rPr>
            <w:rStyle w:val="Hyperlink"/>
            <w:lang w:val="es-ES"/>
          </w:rPr>
          <w:t>https://iranhumanrights.org/2022/03/plea-to-un-to-demand-freedom-for-gravely-ill-sepideh-qoliyan/</w:t>
        </w:r>
      </w:hyperlink>
      <w:r w:rsidR="0000400C">
        <w:rPr>
          <w:rStyle w:val="Hyperlink"/>
          <w:lang w:val="es-ES"/>
        </w:rPr>
        <w:t>.</w:t>
      </w:r>
    </w:p>
  </w:footnote>
  <w:footnote w:id="52">
    <w:p w14:paraId="356D6681" w14:textId="21A5900C" w:rsidR="00D00CFA" w:rsidRPr="00E60EC4" w:rsidRDefault="00D00CFA" w:rsidP="00606016">
      <w:pPr>
        <w:pStyle w:val="FootnoteText"/>
        <w:rPr>
          <w:lang w:val="es-ES"/>
        </w:rPr>
      </w:pPr>
      <w:r w:rsidRPr="00D00CFA">
        <w:rPr>
          <w:lang w:val="es-ES"/>
        </w:rPr>
        <w:tab/>
      </w:r>
      <w:r w:rsidRPr="00322FA5">
        <w:rPr>
          <w:rStyle w:val="FootnoteReference"/>
        </w:rPr>
        <w:footnoteRef/>
      </w:r>
      <w:r w:rsidRPr="00D00CFA">
        <w:rPr>
          <w:lang w:val="es-ES"/>
        </w:rPr>
        <w:tab/>
        <w:t xml:space="preserve">A/76/268, para. 33; </w:t>
      </w:r>
      <w:hyperlink r:id="rId40" w:history="1">
        <w:r w:rsidRPr="00D00CFA">
          <w:rPr>
            <w:rStyle w:val="Hyperlink"/>
            <w:lang w:val="es-ES"/>
          </w:rPr>
          <w:t>https://www.ohchr.org/EN/NewsEvents/Pages/DisplayNews.aspx?NewsID=27817&amp;LangID=E</w:t>
        </w:r>
      </w:hyperlink>
      <w:r w:rsidR="0000400C">
        <w:rPr>
          <w:rStyle w:val="Hyperlink"/>
          <w:lang w:val="es-ES"/>
        </w:rPr>
        <w:t>.</w:t>
      </w:r>
    </w:p>
  </w:footnote>
  <w:footnote w:id="53">
    <w:p w14:paraId="410232E3" w14:textId="1A7A9C44" w:rsidR="00D00CFA" w:rsidRPr="00D313FA" w:rsidRDefault="00D00CFA" w:rsidP="004823C1">
      <w:pPr>
        <w:pStyle w:val="FootnoteText"/>
        <w:rPr>
          <w:lang w:val="es-419"/>
        </w:rPr>
      </w:pPr>
      <w:r w:rsidRPr="00D00CFA">
        <w:rPr>
          <w:lang w:val="es-ES"/>
        </w:rPr>
        <w:tab/>
      </w:r>
      <w:r w:rsidRPr="00322FA5">
        <w:rPr>
          <w:rStyle w:val="FootnoteReference"/>
        </w:rPr>
        <w:footnoteRef/>
      </w:r>
      <w:r w:rsidRPr="00D00CFA">
        <w:rPr>
          <w:lang w:val="es-ES"/>
        </w:rPr>
        <w:tab/>
      </w:r>
      <w:hyperlink r:id="rId41" w:history="1">
        <w:r w:rsidRPr="00D00CFA">
          <w:rPr>
            <w:rStyle w:val="Hyperlink"/>
            <w:lang w:val="es-ES"/>
          </w:rPr>
          <w:t>https://www.mehrnews.com/xWSsR</w:t>
        </w:r>
      </w:hyperlink>
      <w:r w:rsidR="0000400C">
        <w:rPr>
          <w:rStyle w:val="Hyperlink"/>
          <w:lang w:val="es-ES"/>
        </w:rPr>
        <w:t>.</w:t>
      </w:r>
    </w:p>
  </w:footnote>
  <w:footnote w:id="54">
    <w:p w14:paraId="0C670802" w14:textId="4A1B2A18" w:rsidR="00D00CFA" w:rsidRPr="00D00CFA" w:rsidRDefault="00D00CFA" w:rsidP="004823C1">
      <w:pPr>
        <w:pStyle w:val="FootnoteText"/>
        <w:rPr>
          <w:lang w:val="es-ES"/>
        </w:rPr>
      </w:pPr>
      <w:r w:rsidRPr="00D00CFA">
        <w:rPr>
          <w:lang w:val="es-ES"/>
        </w:rPr>
        <w:tab/>
      </w:r>
      <w:r w:rsidRPr="00322FA5">
        <w:rPr>
          <w:rStyle w:val="FootnoteReference"/>
        </w:rPr>
        <w:footnoteRef/>
      </w:r>
      <w:r w:rsidRPr="00D00CFA">
        <w:rPr>
          <w:lang w:val="es-ES"/>
        </w:rPr>
        <w:tab/>
      </w:r>
      <w:hyperlink r:id="rId42" w:history="1">
        <w:r w:rsidRPr="00D00CFA">
          <w:rPr>
            <w:rStyle w:val="Hyperlink"/>
            <w:lang w:val="es-ES"/>
          </w:rPr>
          <w:t>https://www.entekhab.ir/fa/news/666511/</w:t>
        </w:r>
      </w:hyperlink>
      <w:r w:rsidR="0000400C">
        <w:rPr>
          <w:rStyle w:val="Hyperlink"/>
          <w:lang w:val="es-ES"/>
        </w:rPr>
        <w:t>.</w:t>
      </w:r>
    </w:p>
  </w:footnote>
  <w:footnote w:id="55">
    <w:p w14:paraId="7C88DDF2" w14:textId="7D300655" w:rsidR="00342905" w:rsidRPr="005E7CB8" w:rsidRDefault="0000400C">
      <w:pPr>
        <w:pStyle w:val="FootnoteText"/>
        <w:rPr>
          <w:lang w:val="es-ES"/>
        </w:rPr>
      </w:pPr>
      <w:r w:rsidRPr="005E7CB8">
        <w:rPr>
          <w:lang w:val="es-ES"/>
        </w:rPr>
        <w:tab/>
      </w:r>
      <w:r w:rsidR="00342905">
        <w:rPr>
          <w:rStyle w:val="FootnoteReference"/>
        </w:rPr>
        <w:footnoteRef/>
      </w:r>
      <w:r w:rsidR="00342905" w:rsidRPr="005E7CB8">
        <w:rPr>
          <w:lang w:val="es-ES"/>
        </w:rPr>
        <w:t xml:space="preserve"> </w:t>
      </w:r>
      <w:r w:rsidR="00E60EC4" w:rsidRPr="005E7CB8">
        <w:rPr>
          <w:lang w:val="es-ES"/>
        </w:rPr>
        <w:tab/>
      </w:r>
      <w:hyperlink r:id="rId43" w:history="1">
        <w:r w:rsidR="00E60EC4" w:rsidRPr="005E7CB8">
          <w:rPr>
            <w:rStyle w:val="Hyperlink"/>
            <w:lang w:val="es-ES"/>
          </w:rPr>
          <w:t>https://www.sharghdaily.com/Section-news-3/846573-leader-urges-for-population-growth-in-iran-as-necessity</w:t>
        </w:r>
      </w:hyperlink>
      <w:r w:rsidRPr="005E7CB8">
        <w:rPr>
          <w:rStyle w:val="Hyperlink"/>
          <w:lang w:val="es-ES"/>
        </w:rPr>
        <w:t>.</w:t>
      </w:r>
    </w:p>
  </w:footnote>
  <w:footnote w:id="56">
    <w:p w14:paraId="22F4008E" w14:textId="6A77A609" w:rsidR="00D00CFA" w:rsidRPr="00D00CFA" w:rsidRDefault="00E60EC4" w:rsidP="004823C1">
      <w:pPr>
        <w:pStyle w:val="FootnoteText"/>
        <w:rPr>
          <w:lang w:val="es-ES"/>
        </w:rPr>
      </w:pPr>
      <w:r w:rsidRPr="005E7CB8">
        <w:rPr>
          <w:lang w:val="es-ES"/>
        </w:rPr>
        <w:tab/>
      </w:r>
      <w:r w:rsidR="00D00CFA" w:rsidRPr="00322FA5">
        <w:rPr>
          <w:rStyle w:val="FootnoteReference"/>
        </w:rPr>
        <w:footnoteRef/>
      </w:r>
      <w:r w:rsidR="00D00CFA" w:rsidRPr="00D00CFA">
        <w:rPr>
          <w:lang w:val="en-GB"/>
        </w:rPr>
        <w:tab/>
      </w:r>
      <w:r w:rsidR="5D024BF2" w:rsidRPr="00D00CFA">
        <w:rPr>
          <w:lang w:val="en-GB"/>
        </w:rPr>
        <w:t>Committee on Economic and Social Rights, E/C.12/GC/22, para. 38</w:t>
      </w:r>
      <w:r w:rsidR="005E7CB8">
        <w:rPr>
          <w:lang w:val="en-GB"/>
        </w:rPr>
        <w:t xml:space="preserve">; </w:t>
      </w:r>
      <w:r w:rsidR="5D024BF2" w:rsidRPr="00D00CFA">
        <w:rPr>
          <w:lang w:val="en-GB"/>
        </w:rPr>
        <w:t xml:space="preserve">Human Rights Committee, CCPR/C/GC/36, para. </w:t>
      </w:r>
      <w:r w:rsidR="5D024BF2" w:rsidRPr="00D00CFA">
        <w:rPr>
          <w:lang w:val="es-ES"/>
        </w:rPr>
        <w:t>8.</w:t>
      </w:r>
    </w:p>
  </w:footnote>
  <w:footnote w:id="57">
    <w:p w14:paraId="10D70E5B" w14:textId="153F4809" w:rsidR="00D00CFA" w:rsidRPr="00D00CFA" w:rsidRDefault="00D00CFA">
      <w:pPr>
        <w:pStyle w:val="FootnoteText"/>
        <w:rPr>
          <w:lang w:val="es-ES"/>
        </w:rPr>
      </w:pPr>
      <w:r w:rsidRPr="00D00CFA">
        <w:rPr>
          <w:lang w:val="es-ES"/>
        </w:rPr>
        <w:tab/>
      </w:r>
      <w:r>
        <w:rPr>
          <w:rStyle w:val="FootnoteReference"/>
        </w:rPr>
        <w:footnoteRef/>
      </w:r>
      <w:r w:rsidRPr="00D00CFA">
        <w:rPr>
          <w:lang w:val="es-ES"/>
        </w:rPr>
        <w:t xml:space="preserve"> </w:t>
      </w:r>
      <w:r w:rsidRPr="00D00CFA">
        <w:rPr>
          <w:lang w:val="es-ES"/>
        </w:rPr>
        <w:tab/>
        <w:t>Ibid, para.25.</w:t>
      </w:r>
    </w:p>
  </w:footnote>
  <w:footnote w:id="58">
    <w:p w14:paraId="05C61451" w14:textId="3F09F6C5" w:rsidR="00D00CFA" w:rsidRPr="00D00CFA" w:rsidRDefault="00D00CFA" w:rsidP="004823C1">
      <w:pPr>
        <w:pStyle w:val="FootnoteText"/>
        <w:rPr>
          <w:lang w:val="es-ES"/>
        </w:rPr>
      </w:pPr>
      <w:r w:rsidRPr="00D00CFA">
        <w:rPr>
          <w:lang w:val="es-ES"/>
        </w:rPr>
        <w:tab/>
      </w:r>
      <w:r w:rsidRPr="00322FA5">
        <w:rPr>
          <w:rStyle w:val="FootnoteReference"/>
        </w:rPr>
        <w:footnoteRef/>
      </w:r>
      <w:r w:rsidRPr="00D00CFA">
        <w:rPr>
          <w:lang w:val="es-ES"/>
        </w:rPr>
        <w:tab/>
        <w:t>Ibid, para. 10.</w:t>
      </w:r>
    </w:p>
  </w:footnote>
  <w:footnote w:id="59">
    <w:p w14:paraId="1B061AE7" w14:textId="0B87DF3C" w:rsidR="00D00CFA" w:rsidRPr="00D00CFA" w:rsidRDefault="00D00CFA" w:rsidP="004823C1">
      <w:pPr>
        <w:pStyle w:val="FootnoteText"/>
        <w:rPr>
          <w:lang w:val="es-ES"/>
        </w:rPr>
      </w:pPr>
      <w:r w:rsidRPr="00D00CFA">
        <w:rPr>
          <w:lang w:val="es-ES"/>
        </w:rPr>
        <w:tab/>
      </w:r>
      <w:r w:rsidRPr="00322FA5">
        <w:rPr>
          <w:rStyle w:val="FootnoteReference"/>
        </w:rPr>
        <w:footnoteRef/>
      </w:r>
      <w:r w:rsidRPr="00D00CFA">
        <w:rPr>
          <w:lang w:val="es-ES"/>
        </w:rPr>
        <w:tab/>
        <w:t>Ibid, paras. 41, 54-58</w:t>
      </w:r>
      <w:r w:rsidR="0000400C">
        <w:rPr>
          <w:lang w:val="es-ES"/>
        </w:rPr>
        <w:t>.</w:t>
      </w:r>
    </w:p>
  </w:footnote>
  <w:footnote w:id="60">
    <w:p w14:paraId="5442E197" w14:textId="4487A0CF" w:rsidR="00D00CFA" w:rsidRPr="00D00CFA" w:rsidRDefault="00D00CFA" w:rsidP="004823C1">
      <w:pPr>
        <w:pStyle w:val="FootnoteText"/>
        <w:rPr>
          <w:lang w:val="es-ES"/>
        </w:rPr>
      </w:pPr>
      <w:r w:rsidRPr="00D00CFA">
        <w:rPr>
          <w:lang w:val="es-ES"/>
        </w:rPr>
        <w:tab/>
      </w:r>
      <w:r w:rsidRPr="00322FA5">
        <w:rPr>
          <w:rStyle w:val="FootnoteReference"/>
        </w:rPr>
        <w:footnoteRef/>
      </w:r>
      <w:r w:rsidRPr="00D00CFA">
        <w:rPr>
          <w:lang w:val="es-ES"/>
        </w:rPr>
        <w:tab/>
      </w:r>
      <w:hyperlink r:id="rId44" w:history="1">
        <w:r w:rsidRPr="00D00CFA">
          <w:rPr>
            <w:rStyle w:val="Hyperlink"/>
            <w:lang w:val="es-ES"/>
          </w:rPr>
          <w:t>https://www.tasnimnews.com/fa/news/1400/03/08/2511544/</w:t>
        </w:r>
      </w:hyperlink>
      <w:r w:rsidR="0000400C">
        <w:rPr>
          <w:rStyle w:val="Hyperlink"/>
          <w:lang w:val="es-ES"/>
        </w:rPr>
        <w:t>.</w:t>
      </w:r>
    </w:p>
  </w:footnote>
  <w:footnote w:id="61">
    <w:p w14:paraId="24D5373F" w14:textId="2836918B" w:rsidR="00D00CFA" w:rsidRPr="00D00CFA" w:rsidRDefault="00D00CFA" w:rsidP="004823C1">
      <w:pPr>
        <w:pStyle w:val="FootnoteText"/>
        <w:rPr>
          <w:lang w:val="es-ES"/>
        </w:rPr>
      </w:pPr>
      <w:r w:rsidRPr="00D00CFA">
        <w:rPr>
          <w:lang w:val="es-ES"/>
        </w:rPr>
        <w:tab/>
      </w:r>
      <w:r w:rsidRPr="00322FA5">
        <w:rPr>
          <w:rStyle w:val="FootnoteReference"/>
        </w:rPr>
        <w:footnoteRef/>
      </w:r>
      <w:r w:rsidRPr="00D00CFA">
        <w:rPr>
          <w:lang w:val="es-ES"/>
        </w:rPr>
        <w:tab/>
      </w:r>
      <w:hyperlink r:id="rId45" w:history="1">
        <w:r w:rsidRPr="00D00CFA">
          <w:rPr>
            <w:rStyle w:val="Hyperlink"/>
            <w:lang w:val="es-ES"/>
          </w:rPr>
          <w:t>Ibid</w:t>
        </w:r>
      </w:hyperlink>
      <w:r w:rsidR="0000400C">
        <w:rPr>
          <w:rStyle w:val="Hyperlink"/>
          <w:lang w:val="es-ES"/>
        </w:rPr>
        <w:t>.</w:t>
      </w:r>
    </w:p>
  </w:footnote>
  <w:footnote w:id="62">
    <w:p w14:paraId="22B53A1D" w14:textId="302A4A40" w:rsidR="00D00CFA" w:rsidRPr="00293591" w:rsidRDefault="00D00CFA" w:rsidP="004823C1">
      <w:pPr>
        <w:pStyle w:val="FootnoteText"/>
        <w:rPr>
          <w:rtl/>
          <w:lang w:val="en-US" w:bidi="fa-IR"/>
        </w:rPr>
      </w:pPr>
      <w:r w:rsidRPr="00D00CFA">
        <w:rPr>
          <w:lang w:val="es-ES"/>
        </w:rPr>
        <w:tab/>
      </w:r>
      <w:r w:rsidRPr="00322FA5">
        <w:rPr>
          <w:rStyle w:val="FootnoteReference"/>
        </w:rPr>
        <w:footnoteRef/>
      </w:r>
      <w:r w:rsidRPr="00D00CFA">
        <w:rPr>
          <w:lang w:val="es-ES"/>
        </w:rPr>
        <w:tab/>
      </w:r>
      <w:hyperlink r:id="rId46" w:history="1">
        <w:r w:rsidRPr="00D00CFA">
          <w:rPr>
            <w:rStyle w:val="Hyperlink"/>
            <w:lang w:val="es-ES"/>
          </w:rPr>
          <w:t>https://www.who.int/news-room/fact-sheets/detail/abortion</w:t>
        </w:r>
      </w:hyperlink>
      <w:r w:rsidR="0000400C">
        <w:rPr>
          <w:rStyle w:val="Hyperlink"/>
          <w:lang w:val="es-ES"/>
        </w:rPr>
        <w:t>.</w:t>
      </w:r>
    </w:p>
  </w:footnote>
  <w:footnote w:id="63">
    <w:p w14:paraId="1D83364A" w14:textId="6955FB61" w:rsidR="00D00CFA" w:rsidRPr="00D00CFA" w:rsidRDefault="00D00CFA" w:rsidP="004823C1">
      <w:pPr>
        <w:pStyle w:val="FootnoteText"/>
        <w:rPr>
          <w:lang w:val="es-ES"/>
        </w:rPr>
      </w:pPr>
      <w:r w:rsidRPr="00D00CFA">
        <w:rPr>
          <w:lang w:val="es-ES"/>
        </w:rPr>
        <w:tab/>
      </w:r>
      <w:r w:rsidRPr="00322FA5">
        <w:rPr>
          <w:rStyle w:val="FootnoteReference"/>
        </w:rPr>
        <w:footnoteRef/>
      </w:r>
      <w:r w:rsidRPr="00D00CFA">
        <w:rPr>
          <w:lang w:val="es-ES"/>
        </w:rPr>
        <w:tab/>
      </w:r>
      <w:hyperlink r:id="rId47" w:history="1">
        <w:r w:rsidRPr="00D00CFA">
          <w:rPr>
            <w:rStyle w:val="Hyperlink"/>
            <w:lang w:val="es-ES"/>
          </w:rPr>
          <w:t>https://www.isna.ir/news/1400090705278/</w:t>
        </w:r>
      </w:hyperlink>
      <w:r w:rsidR="0000400C">
        <w:rPr>
          <w:rStyle w:val="Hyperlink"/>
          <w:lang w:val="es-ES"/>
        </w:rPr>
        <w:t>.</w:t>
      </w:r>
    </w:p>
  </w:footnote>
  <w:footnote w:id="64">
    <w:p w14:paraId="4DC680DC" w14:textId="45210E78" w:rsidR="00D00CFA" w:rsidRPr="00D00CFA" w:rsidRDefault="00D00CFA" w:rsidP="004823C1">
      <w:pPr>
        <w:pStyle w:val="FootnoteText"/>
        <w:rPr>
          <w:lang w:val="es-ES"/>
        </w:rPr>
      </w:pPr>
      <w:r w:rsidRPr="00D00CFA">
        <w:rPr>
          <w:lang w:val="es-ES"/>
        </w:rPr>
        <w:tab/>
      </w:r>
      <w:r w:rsidRPr="00322FA5">
        <w:rPr>
          <w:rStyle w:val="FootnoteReference"/>
        </w:rPr>
        <w:footnoteRef/>
      </w:r>
      <w:r w:rsidRPr="00D00CFA">
        <w:rPr>
          <w:lang w:val="es-ES"/>
        </w:rPr>
        <w:tab/>
      </w:r>
      <w:hyperlink r:id="rId48" w:history="1">
        <w:r w:rsidRPr="00D00CFA">
          <w:rPr>
            <w:rStyle w:val="Hyperlink"/>
            <w:lang w:val="es-ES"/>
          </w:rPr>
          <w:t>http://women.gov.ir/fa/news/14159/</w:t>
        </w:r>
      </w:hyperlink>
      <w:r w:rsidR="0000400C">
        <w:rPr>
          <w:rStyle w:val="Hyperlink"/>
          <w:lang w:val="es-ES"/>
        </w:rPr>
        <w:t>.</w:t>
      </w:r>
    </w:p>
  </w:footnote>
  <w:footnote w:id="65">
    <w:p w14:paraId="534A58CE" w14:textId="5EDCC42E" w:rsidR="00D00CFA" w:rsidRPr="00D313FA" w:rsidRDefault="00D00CFA" w:rsidP="004823C1">
      <w:pPr>
        <w:pStyle w:val="FootnoteText"/>
        <w:rPr>
          <w:lang w:val="es-419"/>
        </w:rPr>
      </w:pPr>
      <w:r w:rsidRPr="00D00CFA">
        <w:rPr>
          <w:lang w:val="es-ES"/>
        </w:rPr>
        <w:tab/>
      </w:r>
      <w:r w:rsidRPr="00322FA5">
        <w:rPr>
          <w:rStyle w:val="FootnoteReference"/>
        </w:rPr>
        <w:footnoteRef/>
      </w:r>
      <w:r w:rsidRPr="00D00CFA">
        <w:rPr>
          <w:lang w:val="es-ES"/>
        </w:rPr>
        <w:tab/>
      </w:r>
      <w:r w:rsidRPr="00D313FA">
        <w:rPr>
          <w:lang w:val="es-419"/>
        </w:rPr>
        <w:t>A/HRC/47/22, para. 37, A/76/268, para. 32.</w:t>
      </w:r>
    </w:p>
  </w:footnote>
  <w:footnote w:id="66">
    <w:p w14:paraId="663DAB5A" w14:textId="00631323" w:rsidR="00D00CFA" w:rsidRPr="00D313FA" w:rsidRDefault="00D00CFA" w:rsidP="004823C1">
      <w:pPr>
        <w:pStyle w:val="FootnoteText"/>
        <w:rPr>
          <w:rFonts w:asciiTheme="majorBidi" w:hAnsiTheme="majorBidi" w:cstheme="majorBidi"/>
          <w:lang w:val="es-419"/>
        </w:rPr>
      </w:pPr>
      <w:r w:rsidRPr="00D00CFA">
        <w:rPr>
          <w:lang w:val="es-419"/>
        </w:rPr>
        <w:tab/>
      </w:r>
      <w:r w:rsidRPr="00322FA5">
        <w:rPr>
          <w:rStyle w:val="FootnoteReference"/>
        </w:rPr>
        <w:footnoteRef/>
      </w:r>
      <w:r w:rsidRPr="00D00CFA">
        <w:rPr>
          <w:lang w:val="es-419"/>
        </w:rPr>
        <w:tab/>
      </w:r>
      <w:hyperlink r:id="rId49" w:history="1">
        <w:r w:rsidRPr="00D313FA">
          <w:rPr>
            <w:rStyle w:val="Hyperlink"/>
            <w:rFonts w:asciiTheme="majorBidi" w:hAnsiTheme="majorBidi" w:cstheme="majorBidi"/>
            <w:lang w:val="es-419"/>
          </w:rPr>
          <w:t>https://spcommreports.ohchr.org/TMResultsBase/DownLoadPublicCommunicationFile?gId=25651</w:t>
        </w:r>
      </w:hyperlink>
      <w:r w:rsidR="0000400C">
        <w:rPr>
          <w:rStyle w:val="Hyperlink"/>
          <w:rFonts w:asciiTheme="majorBidi" w:hAnsiTheme="majorBidi" w:cstheme="majorBidi"/>
          <w:lang w:val="es-419"/>
        </w:rPr>
        <w:t>.</w:t>
      </w:r>
    </w:p>
  </w:footnote>
  <w:footnote w:id="67">
    <w:p w14:paraId="66E397B3" w14:textId="55499866" w:rsidR="00D00CFA" w:rsidRPr="008B64CD" w:rsidRDefault="00D00CFA" w:rsidP="004823C1">
      <w:pPr>
        <w:pStyle w:val="FootnoteText"/>
        <w:rPr>
          <w:lang w:val="en-US"/>
        </w:rPr>
      </w:pPr>
      <w:r w:rsidRPr="00D00CFA">
        <w:rPr>
          <w:lang w:val="es-419"/>
        </w:rPr>
        <w:tab/>
      </w:r>
      <w:r w:rsidRPr="00322FA5">
        <w:rPr>
          <w:rStyle w:val="FootnoteReference"/>
        </w:rPr>
        <w:footnoteRef/>
      </w:r>
      <w:r w:rsidRPr="00D00CFA">
        <w:rPr>
          <w:lang w:val="en-GB"/>
        </w:rPr>
        <w:tab/>
      </w:r>
      <w:hyperlink r:id="rId50" w:history="1">
        <w:r w:rsidRPr="00D00CFA">
          <w:rPr>
            <w:rStyle w:val="Hyperlink"/>
            <w:rFonts w:asciiTheme="majorBidi" w:hAnsiTheme="majorBidi" w:cstheme="majorBidi"/>
            <w:sz w:val="16"/>
            <w:szCs w:val="16"/>
            <w:lang w:val="en-GB"/>
          </w:rPr>
          <w:t>https://tn.ai/2098195</w:t>
        </w:r>
      </w:hyperlink>
      <w:r w:rsidR="0000400C">
        <w:rPr>
          <w:rStyle w:val="Hyperlink"/>
          <w:rFonts w:asciiTheme="majorBidi" w:hAnsiTheme="majorBidi" w:cstheme="majorBidi"/>
          <w:sz w:val="16"/>
          <w:szCs w:val="16"/>
          <w:lang w:val="en-GB"/>
        </w:rPr>
        <w:t>.</w:t>
      </w:r>
    </w:p>
  </w:footnote>
  <w:footnote w:id="68">
    <w:p w14:paraId="443F9F78" w14:textId="2AE88305" w:rsidR="00D00CFA" w:rsidRPr="00494705" w:rsidRDefault="00E60EC4" w:rsidP="004823C1">
      <w:pPr>
        <w:pStyle w:val="FootnoteText"/>
        <w:rPr>
          <w:lang w:val="en-US"/>
        </w:rPr>
      </w:pPr>
      <w:r>
        <w:rPr>
          <w:lang w:val="en-GB"/>
        </w:rPr>
        <w:tab/>
      </w:r>
      <w:r w:rsidR="00D00CFA" w:rsidRPr="00322FA5">
        <w:rPr>
          <w:rStyle w:val="FootnoteReference"/>
        </w:rPr>
        <w:footnoteRef/>
      </w:r>
      <w:r w:rsidR="00D00CFA" w:rsidRPr="00D00CFA">
        <w:rPr>
          <w:lang w:val="en-GB"/>
        </w:rPr>
        <w:tab/>
      </w:r>
      <w:r w:rsidR="5D024BF2" w:rsidRPr="5D024BF2">
        <w:rPr>
          <w:rFonts w:eastAsia="Arial Unicode MS"/>
          <w:i/>
          <w:iCs/>
          <w:lang w:val="en-GB"/>
        </w:rPr>
        <w:t>Handbook for Legislation on Violence against Women</w:t>
      </w:r>
      <w:r w:rsidR="5D024BF2" w:rsidRPr="00D00CFA">
        <w:rPr>
          <w:rFonts w:eastAsia="Arial Unicode MS"/>
          <w:lang w:val="en-GB"/>
        </w:rPr>
        <w:t xml:space="preserve"> (United Nations publication, Sales No. E.10.IV.2), </w:t>
      </w:r>
      <w:r w:rsidR="5D024BF2" w:rsidRPr="00D00CFA">
        <w:rPr>
          <w:lang w:val="en-GB"/>
        </w:rPr>
        <w:t>p. 46</w:t>
      </w:r>
      <w:r w:rsidR="0000400C">
        <w:rPr>
          <w:lang w:val="en-GB"/>
        </w:rPr>
        <w:t>.</w:t>
      </w:r>
    </w:p>
  </w:footnote>
  <w:footnote w:id="69">
    <w:p w14:paraId="57D59895" w14:textId="04BDC543"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r w:rsidRPr="00D00CFA">
        <w:rPr>
          <w:rFonts w:eastAsia="Arial Unicode MS"/>
          <w:iCs/>
          <w:lang w:val="en-GB"/>
        </w:rPr>
        <w:t>Ibid</w:t>
      </w:r>
      <w:r w:rsidR="0000400C">
        <w:rPr>
          <w:rFonts w:eastAsia="Arial Unicode MS"/>
          <w:iCs/>
          <w:lang w:val="en-GB"/>
        </w:rPr>
        <w:t>.</w:t>
      </w:r>
    </w:p>
  </w:footnote>
  <w:footnote w:id="70">
    <w:p w14:paraId="384B6BBD" w14:textId="721FF44E"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51" w:history="1">
        <w:r w:rsidRPr="00D00CFA">
          <w:rPr>
            <w:rStyle w:val="Hyperlink"/>
            <w:lang w:val="en-GB"/>
          </w:rPr>
          <w:t>https://iranhumanrights.org/2022/02/decapitated-child-bride-highlights-irans-lack-of-protections-for-girls-and-women/</w:t>
        </w:r>
      </w:hyperlink>
      <w:r w:rsidR="0000400C">
        <w:rPr>
          <w:rStyle w:val="Hyperlink"/>
          <w:lang w:val="en-GB"/>
        </w:rPr>
        <w:t>.</w:t>
      </w:r>
    </w:p>
  </w:footnote>
  <w:footnote w:id="71">
    <w:p w14:paraId="407102CF" w14:textId="65AE0D24"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52" w:history="1">
        <w:r w:rsidRPr="00D00CFA">
          <w:rPr>
            <w:rStyle w:val="Hyperlink"/>
            <w:lang w:val="en-GB"/>
          </w:rPr>
          <w:t>https://observers.france24.com/en/asia-pacific/20220216-femicide-iran-honour-killing-beheading</w:t>
        </w:r>
      </w:hyperlink>
      <w:r w:rsidR="0000400C">
        <w:rPr>
          <w:rStyle w:val="Hyperlink"/>
          <w:lang w:val="en-GB"/>
        </w:rPr>
        <w:t>.</w:t>
      </w:r>
    </w:p>
  </w:footnote>
  <w:footnote w:id="72">
    <w:p w14:paraId="4A858E2C" w14:textId="3C34ABFB"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53" w:history="1">
        <w:r w:rsidRPr="00D00CFA">
          <w:rPr>
            <w:rStyle w:val="Hyperlink"/>
            <w:lang w:val="en-GB"/>
          </w:rPr>
          <w:t>https://www.hrw.org/news/2020/12/04/iran-adopt-draft-law-protect-women</w:t>
        </w:r>
      </w:hyperlink>
      <w:r w:rsidR="0000400C">
        <w:rPr>
          <w:rStyle w:val="Hyperlink"/>
          <w:lang w:val="en-GB"/>
        </w:rPr>
        <w:t>.</w:t>
      </w:r>
    </w:p>
  </w:footnote>
  <w:footnote w:id="73">
    <w:p w14:paraId="00AC1910" w14:textId="096E86B0" w:rsidR="00D00CFA" w:rsidRPr="0070704D" w:rsidRDefault="00C15A21" w:rsidP="004823C1">
      <w:pPr>
        <w:pStyle w:val="FootnoteText"/>
        <w:rPr>
          <w:lang w:val="en-US"/>
        </w:rPr>
      </w:pPr>
      <w:r>
        <w:rPr>
          <w:lang w:val="en-GB"/>
        </w:rPr>
        <w:tab/>
      </w:r>
      <w:r w:rsidR="00D00CFA" w:rsidRPr="00322FA5">
        <w:rPr>
          <w:rStyle w:val="FootnoteReference"/>
        </w:rPr>
        <w:footnoteRef/>
      </w:r>
      <w:r w:rsidR="00D00CFA" w:rsidRPr="00D00CFA">
        <w:rPr>
          <w:lang w:val="en-GB"/>
        </w:rPr>
        <w:tab/>
      </w:r>
      <w:r>
        <w:rPr>
          <w:lang w:val="en-GB"/>
        </w:rPr>
        <w:tab/>
      </w:r>
      <w:r w:rsidR="5D024BF2" w:rsidRPr="5D024BF2">
        <w:rPr>
          <w:rFonts w:eastAsia="Arial Unicode MS"/>
          <w:i/>
          <w:iCs/>
          <w:lang w:val="en-GB"/>
        </w:rPr>
        <w:t>Handbook for Legislation on Violence against Women</w:t>
      </w:r>
      <w:r w:rsidR="5D024BF2" w:rsidRPr="00D00CFA">
        <w:rPr>
          <w:rFonts w:eastAsia="Arial Unicode MS"/>
          <w:lang w:val="en-GB"/>
        </w:rPr>
        <w:t xml:space="preserve"> (United Nations publication), p. </w:t>
      </w:r>
      <w:r w:rsidR="006C56BC">
        <w:rPr>
          <w:rFonts w:eastAsia="Arial Unicode MS"/>
          <w:lang w:val="en-GB"/>
        </w:rPr>
        <w:t>29</w:t>
      </w:r>
      <w:r w:rsidR="5D024BF2" w:rsidRPr="00D00CFA">
        <w:rPr>
          <w:rFonts w:eastAsia="Arial Unicode MS"/>
          <w:lang w:val="en-GB"/>
        </w:rPr>
        <w:t>.</w:t>
      </w:r>
    </w:p>
  </w:footnote>
  <w:footnote w:id="74">
    <w:p w14:paraId="675D9B65" w14:textId="05F4862F" w:rsidR="00D00CFA" w:rsidRPr="0070704D" w:rsidRDefault="00D00CFA" w:rsidP="004823C1">
      <w:pPr>
        <w:pStyle w:val="FootnoteText"/>
        <w:rPr>
          <w:lang w:val="en-US"/>
        </w:rPr>
      </w:pPr>
      <w:r w:rsidRPr="00D00CFA">
        <w:rPr>
          <w:lang w:val="en-GB"/>
        </w:rPr>
        <w:tab/>
      </w:r>
      <w:r w:rsidRPr="00322FA5">
        <w:rPr>
          <w:rStyle w:val="FootnoteReference"/>
        </w:rPr>
        <w:footnoteRef/>
      </w:r>
      <w:r w:rsidRPr="00D00CFA">
        <w:rPr>
          <w:lang w:val="en-GB"/>
        </w:rPr>
        <w:tab/>
      </w:r>
      <w:hyperlink r:id="rId54" w:history="1">
        <w:r w:rsidRPr="00D00CFA">
          <w:rPr>
            <w:rStyle w:val="Hyperlink"/>
            <w:lang w:val="en-GB"/>
          </w:rPr>
          <w:t>https://www.hamshahrionline.ir/x7d7h</w:t>
        </w:r>
      </w:hyperlink>
      <w:r w:rsidR="0000400C">
        <w:rPr>
          <w:rStyle w:val="Hyperlink"/>
          <w:lang w:val="en-GB"/>
        </w:rPr>
        <w:t>.</w:t>
      </w:r>
    </w:p>
  </w:footnote>
  <w:footnote w:id="75">
    <w:p w14:paraId="0D1F54D3" w14:textId="2778A169" w:rsidR="00D00CFA" w:rsidRPr="0070704D" w:rsidRDefault="00D00CFA" w:rsidP="00F73733">
      <w:pPr>
        <w:pStyle w:val="FootnoteText"/>
        <w:rPr>
          <w:rtl/>
          <w:lang w:bidi="fa-IR"/>
        </w:rPr>
      </w:pPr>
      <w:r w:rsidRPr="00D00CFA">
        <w:rPr>
          <w:lang w:val="en-GB"/>
        </w:rPr>
        <w:tab/>
      </w:r>
      <w:r w:rsidRPr="00322FA5">
        <w:rPr>
          <w:rStyle w:val="FootnoteReference"/>
        </w:rPr>
        <w:footnoteRef/>
      </w:r>
      <w:r w:rsidRPr="00D00CFA">
        <w:rPr>
          <w:lang w:val="en-GB"/>
        </w:rPr>
        <w:tab/>
        <w:t xml:space="preserve">For instance, articles 10, 11, 13, 68, and 69 </w:t>
      </w:r>
      <w:r w:rsidR="00203E9B">
        <w:rPr>
          <w:lang w:val="en-GB"/>
        </w:rPr>
        <w:t xml:space="preserve">of the </w:t>
      </w:r>
      <w:r w:rsidR="00F73733" w:rsidRPr="00F73733">
        <w:rPr>
          <w:lang w:val="en-GB"/>
        </w:rPr>
        <w:t>“</w:t>
      </w:r>
      <w:r w:rsidR="00F73733" w:rsidRPr="00F73733">
        <w:rPr>
          <w:lang w:val="en-US"/>
        </w:rPr>
        <w:t xml:space="preserve">Youthful Population and Protection of the Family” </w:t>
      </w:r>
      <w:r w:rsidR="00203E9B">
        <w:rPr>
          <w:lang w:val="en-GB"/>
        </w:rPr>
        <w:t xml:space="preserve">Law, </w:t>
      </w:r>
      <w:hyperlink r:id="rId55" w:history="1">
        <w:r w:rsidR="00203E9B">
          <w:rPr>
            <w:rStyle w:val="Hyperlink"/>
            <w:lang w:val="en-GB"/>
          </w:rPr>
          <w:t>https://rc.majlis.ir/fa/legal_draft/show/1630697</w:t>
        </w:r>
      </w:hyperlink>
      <w:r w:rsidR="0000400C">
        <w:rPr>
          <w:rStyle w:val="Hyperlink"/>
          <w:lang w:val="en-GB"/>
        </w:rPr>
        <w:t>.</w:t>
      </w:r>
    </w:p>
  </w:footnote>
  <w:footnote w:id="76">
    <w:p w14:paraId="0605E20C" w14:textId="6A9A1764"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56" w:history="1">
        <w:r w:rsidRPr="00D00CFA">
          <w:rPr>
            <w:rStyle w:val="Hyperlink"/>
            <w:lang w:val="en-GB"/>
          </w:rPr>
          <w:t>https://www.ohchr.org/en/press-releases/2022/03/un-human-rights-experts-urge-iran-abandon-restrictive-internet-bill</w:t>
        </w:r>
      </w:hyperlink>
      <w:r w:rsidRPr="00D00CFA">
        <w:rPr>
          <w:lang w:val="en-GB"/>
        </w:rPr>
        <w:t xml:space="preserve">; </w:t>
      </w:r>
      <w:hyperlink r:id="rId57" w:history="1">
        <w:r w:rsidRPr="00D00CFA">
          <w:rPr>
            <w:rStyle w:val="Hyperlink"/>
            <w:lang w:val="en-GB"/>
          </w:rPr>
          <w:t>https://spcommreports.ohchr.org/TMResultsBase/DownLoadPublicCommunicationFile?gId=26736</w:t>
        </w:r>
      </w:hyperlink>
      <w:r w:rsidR="0000400C">
        <w:rPr>
          <w:lang w:val="en-GB"/>
        </w:rPr>
        <w:t>.</w:t>
      </w:r>
    </w:p>
  </w:footnote>
  <w:footnote w:id="77">
    <w:p w14:paraId="2ABD8D19" w14:textId="4769A8EB"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58" w:history="1">
        <w:r w:rsidRPr="00D00CFA">
          <w:rPr>
            <w:rStyle w:val="Hyperlink"/>
            <w:lang w:val="en-GB"/>
          </w:rPr>
          <w:t>https://cpj.org/2021/11/iran-parliament-bill-restrict-internet/</w:t>
        </w:r>
      </w:hyperlink>
      <w:r w:rsidR="0000400C">
        <w:rPr>
          <w:rStyle w:val="Hyperlink"/>
          <w:lang w:val="en-GB"/>
        </w:rPr>
        <w:t>.</w:t>
      </w:r>
    </w:p>
  </w:footnote>
  <w:footnote w:id="78">
    <w:p w14:paraId="44DACE66" w14:textId="377CF356" w:rsidR="00D00CFA" w:rsidRPr="00D00CFA" w:rsidRDefault="00D00CFA" w:rsidP="004823C1">
      <w:pPr>
        <w:pStyle w:val="FootnoteText"/>
        <w:rPr>
          <w:u w:val="single"/>
          <w:lang w:val="en-GB"/>
        </w:rPr>
      </w:pPr>
      <w:r w:rsidRPr="00D00CFA">
        <w:rPr>
          <w:lang w:val="en-GB"/>
        </w:rPr>
        <w:tab/>
      </w:r>
      <w:r w:rsidRPr="00322FA5">
        <w:rPr>
          <w:rStyle w:val="FootnoteReference"/>
        </w:rPr>
        <w:footnoteRef/>
      </w:r>
      <w:r w:rsidRPr="00D00CFA">
        <w:rPr>
          <w:lang w:val="en-GB"/>
        </w:rPr>
        <w:tab/>
      </w:r>
      <w:r w:rsidRPr="00D00CFA">
        <w:rPr>
          <w:u w:val="single"/>
          <w:lang w:val="en-GB"/>
        </w:rPr>
        <w:t>https://iranhr.net/fa/articles/5112/</w:t>
      </w:r>
      <w:r w:rsidR="0000400C">
        <w:rPr>
          <w:u w:val="single"/>
          <w:lang w:val="en-GB"/>
        </w:rPr>
        <w:t>.</w:t>
      </w:r>
    </w:p>
  </w:footnote>
  <w:footnote w:id="79">
    <w:p w14:paraId="39512C89" w14:textId="3E789917" w:rsidR="00D00CFA" w:rsidRPr="00D00CFA" w:rsidRDefault="00E60EC4" w:rsidP="5D024BF2">
      <w:pPr>
        <w:pStyle w:val="FootnoteText"/>
        <w:rPr>
          <w:rFonts w:eastAsia="Calibri"/>
          <w:szCs w:val="18"/>
          <w:lang w:val="en-GB"/>
        </w:rPr>
      </w:pPr>
      <w:r>
        <w:rPr>
          <w:lang w:val="en-GB"/>
        </w:rPr>
        <w:tab/>
      </w:r>
      <w:r w:rsidR="5D024BF2">
        <w:rPr>
          <w:lang w:val="en-GB"/>
        </w:rPr>
        <w:t xml:space="preserve"> </w:t>
      </w:r>
      <w:r w:rsidR="00D00CFA">
        <w:rPr>
          <w:rStyle w:val="FootnoteReference"/>
        </w:rPr>
        <w:footnoteRef/>
      </w:r>
      <w:r w:rsidR="5D024BF2" w:rsidRPr="00D00CFA">
        <w:rPr>
          <w:lang w:val="en-GB"/>
        </w:rPr>
        <w:t xml:space="preserve"> </w:t>
      </w:r>
      <w:r w:rsidR="00D00CFA" w:rsidRPr="00D00CFA">
        <w:rPr>
          <w:lang w:val="en-GB"/>
        </w:rPr>
        <w:tab/>
      </w:r>
      <w:hyperlink r:id="rId59" w:history="1">
        <w:r w:rsidRPr="004D6FB2">
          <w:rPr>
            <w:rStyle w:val="Hyperlink"/>
            <w:lang w:val="en-GB"/>
          </w:rPr>
          <w:t>https://www.article19.org/resources/iran-drop-charges-against-human-rights-activist-hossein-ronaghi/</w:t>
        </w:r>
      </w:hyperlink>
      <w:r w:rsidR="0000400C">
        <w:rPr>
          <w:rStyle w:val="Hyperlink"/>
          <w:lang w:val="en-GB"/>
        </w:rPr>
        <w:t>.</w:t>
      </w:r>
    </w:p>
  </w:footnote>
  <w:footnote w:id="80">
    <w:p w14:paraId="192D027D" w14:textId="5624C86F"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60" w:history="1">
        <w:r w:rsidRPr="00D00CFA">
          <w:rPr>
            <w:rStyle w:val="Hyperlink"/>
            <w:lang w:val="en-GB"/>
          </w:rPr>
          <w:t>https://apnews.com/article/technology-iran-media-hunger-strikes-social-media-0dbc92dd2b6ca10b07db80a1d715a7ee</w:t>
        </w:r>
      </w:hyperlink>
      <w:r w:rsidR="0000400C">
        <w:rPr>
          <w:rStyle w:val="Hyperlink"/>
          <w:lang w:val="en-GB"/>
        </w:rPr>
        <w:t>.</w:t>
      </w:r>
    </w:p>
  </w:footnote>
  <w:footnote w:id="81">
    <w:p w14:paraId="6EC52A4F" w14:textId="7A064952"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61" w:history="1">
        <w:r w:rsidRPr="00D00CFA">
          <w:rPr>
            <w:rStyle w:val="Hyperlink"/>
            <w:szCs w:val="18"/>
            <w:lang w:val="en-GB"/>
          </w:rPr>
          <w:t>https://www.zoomit.ir/tech-iran/379992-new-plan-of-the-parliament</w:t>
        </w:r>
        <w:r>
          <w:rPr>
            <w:rStyle w:val="Hyperlink"/>
            <w:szCs w:val="18"/>
            <w:rtl/>
          </w:rPr>
          <w:t>/</w:t>
        </w:r>
      </w:hyperlink>
      <w:r w:rsidR="0000400C">
        <w:rPr>
          <w:rStyle w:val="Hyperlink"/>
          <w:szCs w:val="18"/>
        </w:rPr>
        <w:t>.</w:t>
      </w:r>
    </w:p>
  </w:footnote>
  <w:footnote w:id="82">
    <w:p w14:paraId="1CF4FBAF" w14:textId="1AC41F59"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62" w:history="1">
        <w:r w:rsidRPr="00D00CFA">
          <w:rPr>
            <w:rStyle w:val="Hyperlink"/>
            <w:lang w:val="en-GB"/>
          </w:rPr>
          <w:t>https://www.hrw.org/news/2021/12/09/joint-statement-free-arbitrarily-detained-right-health-defenders-iran</w:t>
        </w:r>
      </w:hyperlink>
      <w:r w:rsidR="0000400C">
        <w:rPr>
          <w:rStyle w:val="Hyperlink"/>
          <w:lang w:val="en-GB"/>
        </w:rPr>
        <w:t>.</w:t>
      </w:r>
    </w:p>
  </w:footnote>
  <w:footnote w:id="83">
    <w:p w14:paraId="7D681A19" w14:textId="69E52B88" w:rsidR="00D00CFA" w:rsidRDefault="00D00CFA" w:rsidP="004823C1">
      <w:pPr>
        <w:pStyle w:val="FootnoteText"/>
        <w:rPr>
          <w:rtl/>
          <w:lang w:bidi="fa-IR"/>
        </w:rPr>
      </w:pPr>
      <w:r w:rsidRPr="00D00CFA">
        <w:rPr>
          <w:lang w:val="en-GB"/>
        </w:rPr>
        <w:tab/>
      </w:r>
      <w:r w:rsidRPr="00322FA5">
        <w:rPr>
          <w:rStyle w:val="FootnoteReference"/>
        </w:rPr>
        <w:footnoteRef/>
      </w:r>
      <w:r w:rsidRPr="00D00CFA">
        <w:rPr>
          <w:lang w:val="en-GB"/>
        </w:rPr>
        <w:tab/>
      </w:r>
      <w:hyperlink r:id="rId63" w:history="1">
        <w:r w:rsidRPr="00D00CFA">
          <w:rPr>
            <w:rStyle w:val="Hyperlink"/>
            <w:lang w:val="en-GB"/>
          </w:rPr>
          <w:t>https://www.frontlinedefenders.org/en/case/whrd-farzaneh-zilabi-sentenced-one-year-prison-and-two-year-travel-ban</w:t>
        </w:r>
      </w:hyperlink>
      <w:r w:rsidR="0000400C">
        <w:rPr>
          <w:rStyle w:val="Hyperlink"/>
          <w:lang w:val="en-GB"/>
        </w:rPr>
        <w:t>.</w:t>
      </w:r>
    </w:p>
  </w:footnote>
  <w:footnote w:id="84">
    <w:p w14:paraId="1DBE33C2" w14:textId="41F6F48D"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64" w:history="1">
        <w:r w:rsidRPr="00D00CFA">
          <w:rPr>
            <w:rStyle w:val="Hyperlink"/>
            <w:lang w:val="en-GB"/>
          </w:rPr>
          <w:t>https://www.fidh.org/en/issues/human-rights-defenders/iran-arbitrary-detention-of-human-rights-defender-reza-eslami</w:t>
        </w:r>
      </w:hyperlink>
      <w:r w:rsidR="0000400C">
        <w:rPr>
          <w:rStyle w:val="Hyperlink"/>
          <w:lang w:val="en-GB"/>
        </w:rPr>
        <w:t>.</w:t>
      </w:r>
    </w:p>
  </w:footnote>
  <w:footnote w:id="85">
    <w:p w14:paraId="24D46AED" w14:textId="2F5BC820" w:rsidR="00D00CFA" w:rsidRDefault="00D00CFA" w:rsidP="004823C1">
      <w:pPr>
        <w:pStyle w:val="FootnoteText"/>
        <w:rPr>
          <w:rtl/>
          <w:lang w:val="en-US"/>
        </w:rPr>
      </w:pPr>
      <w:r w:rsidRPr="00D00CFA">
        <w:rPr>
          <w:lang w:val="en-GB"/>
        </w:rPr>
        <w:tab/>
      </w:r>
      <w:r w:rsidRPr="00322FA5">
        <w:rPr>
          <w:rStyle w:val="FootnoteReference"/>
        </w:rPr>
        <w:footnoteRef/>
      </w:r>
      <w:r w:rsidRPr="00D00CFA">
        <w:rPr>
          <w:lang w:val="en-GB"/>
        </w:rPr>
        <w:tab/>
      </w:r>
      <w:hyperlink r:id="rId65" w:history="1">
        <w:r w:rsidRPr="00D00CFA">
          <w:rPr>
            <w:rStyle w:val="Hyperlink"/>
            <w:lang w:val="en-GB"/>
          </w:rPr>
          <w:t>https://iranhumanrights.org/2022/03/joint-statement-free-imprisoned-human-rights-lawyer-mohammad-najafi-in-iran/</w:t>
        </w:r>
      </w:hyperlink>
      <w:r w:rsidR="0000400C">
        <w:rPr>
          <w:rStyle w:val="Hyperlink"/>
          <w:lang w:val="en-GB"/>
        </w:rPr>
        <w:t>.</w:t>
      </w:r>
    </w:p>
  </w:footnote>
  <w:footnote w:id="86">
    <w:p w14:paraId="0416CA96" w14:textId="0FC83DAB"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66" w:history="1">
        <w:r w:rsidRPr="00D00CFA">
          <w:rPr>
            <w:rStyle w:val="Hyperlink"/>
            <w:lang w:val="en-GB"/>
          </w:rPr>
          <w:t>https://www.iranhumanrights.org/2021/10/detained-lawyer-of-iranian-instagram-star-tortured-bit-off-tongue-after-unidentified-injection/</w:t>
        </w:r>
      </w:hyperlink>
      <w:r w:rsidR="0000400C">
        <w:rPr>
          <w:rStyle w:val="Hyperlink"/>
          <w:lang w:val="en-GB"/>
        </w:rPr>
        <w:t>.</w:t>
      </w:r>
    </w:p>
  </w:footnote>
  <w:footnote w:id="87">
    <w:p w14:paraId="796690B7" w14:textId="3EB7BAC0"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67" w:history="1">
        <w:r w:rsidRPr="00D00CFA">
          <w:rPr>
            <w:rStyle w:val="Hyperlink"/>
            <w:lang w:val="en-GB"/>
          </w:rPr>
          <w:t>https://www.frontlinedefenders.org/en/case/woman-human-rights-defender-atena-daemi-released-lakan-prison</w:t>
        </w:r>
      </w:hyperlink>
      <w:r w:rsidR="0000400C">
        <w:rPr>
          <w:rStyle w:val="Hyperlink"/>
          <w:lang w:val="en-GB"/>
        </w:rPr>
        <w:t>.</w:t>
      </w:r>
    </w:p>
  </w:footnote>
  <w:footnote w:id="88">
    <w:p w14:paraId="6ECAAD78" w14:textId="335F2B1C"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68" w:history="1">
        <w:r w:rsidRPr="00D00CFA">
          <w:rPr>
            <w:rStyle w:val="Hyperlink"/>
            <w:lang w:val="en-GB"/>
          </w:rPr>
          <w:t>https://iranhr.net/en/articles/5126/</w:t>
        </w:r>
      </w:hyperlink>
      <w:r w:rsidRPr="00D00CFA">
        <w:rPr>
          <w:lang w:val="en-GB"/>
        </w:rPr>
        <w:t xml:space="preserve">; </w:t>
      </w:r>
      <w:hyperlink r:id="rId69" w:history="1">
        <w:r w:rsidRPr="00D00CFA">
          <w:rPr>
            <w:rStyle w:val="Hyperlink"/>
            <w:lang w:val="en-GB"/>
          </w:rPr>
          <w:t>https://www.iranhumanrights.org/2022/01/five-minute-trial-resulted-in-narges-mohammadis-eight-year-prison-sentence-iran/</w:t>
        </w:r>
      </w:hyperlink>
      <w:r w:rsidR="0000400C">
        <w:rPr>
          <w:rStyle w:val="Hyperlink"/>
          <w:lang w:val="en-GB"/>
        </w:rPr>
        <w:t>.</w:t>
      </w:r>
    </w:p>
  </w:footnote>
  <w:footnote w:id="89">
    <w:p w14:paraId="706DD17F" w14:textId="798EBA9B"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70" w:history="1">
        <w:r w:rsidRPr="00D00CFA">
          <w:rPr>
            <w:rStyle w:val="Hyperlink"/>
            <w:lang w:val="en-GB"/>
          </w:rPr>
          <w:t>https://www.hra-news.org/2022/hranews/a-33773/</w:t>
        </w:r>
      </w:hyperlink>
      <w:r w:rsidR="0000400C">
        <w:rPr>
          <w:rStyle w:val="Hyperlink"/>
          <w:lang w:val="en-GB"/>
        </w:rPr>
        <w:t>.</w:t>
      </w:r>
    </w:p>
  </w:footnote>
  <w:footnote w:id="90">
    <w:p w14:paraId="400AED8C" w14:textId="20A2817A" w:rsidR="00D00CFA" w:rsidRPr="00D00CFA" w:rsidRDefault="00E60EC4" w:rsidP="004823C1">
      <w:pPr>
        <w:pStyle w:val="FootnoteText"/>
        <w:rPr>
          <w:u w:val="single"/>
          <w:lang w:val="en-GB"/>
        </w:rPr>
      </w:pPr>
      <w:r>
        <w:rPr>
          <w:lang w:val="en-GB"/>
        </w:rPr>
        <w:tab/>
      </w:r>
      <w:r w:rsidR="00D00CFA" w:rsidRPr="00322FA5">
        <w:rPr>
          <w:rStyle w:val="FootnoteReference"/>
        </w:rPr>
        <w:footnoteRef/>
      </w:r>
      <w:r w:rsidR="00D00CFA" w:rsidRPr="00D00CFA">
        <w:rPr>
          <w:lang w:val="en-GB"/>
        </w:rPr>
        <w:tab/>
      </w:r>
      <w:r w:rsidR="5D024BF2" w:rsidRPr="00D00CFA">
        <w:rPr>
          <w:u w:val="single"/>
          <w:lang w:val="en-GB"/>
        </w:rPr>
        <w:t>https://kurdistanhumanrights.org/fa/?p=17812</w:t>
      </w:r>
      <w:r w:rsidR="0000400C">
        <w:rPr>
          <w:u w:val="single"/>
          <w:lang w:val="en-GB"/>
        </w:rPr>
        <w:t>.</w:t>
      </w:r>
    </w:p>
  </w:footnote>
  <w:footnote w:id="91">
    <w:p w14:paraId="7E47E9CC" w14:textId="7F251C0B"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71" w:history="1">
        <w:r w:rsidRPr="00D00CFA">
          <w:rPr>
            <w:rStyle w:val="Hyperlink"/>
            <w:lang w:val="en-GB"/>
          </w:rPr>
          <w:t>https://hana-hr.org/content/20211122-kurdish-civil-activist-afshin-hossein-panahi-summoned-to-sanandaj-public-and-revolutionary-prosecutor-s-office</w:t>
        </w:r>
      </w:hyperlink>
      <w:r w:rsidR="0000400C">
        <w:rPr>
          <w:rStyle w:val="Hyperlink"/>
          <w:lang w:val="en-GB"/>
        </w:rPr>
        <w:t>.</w:t>
      </w:r>
    </w:p>
  </w:footnote>
  <w:footnote w:id="92">
    <w:p w14:paraId="27E1446D" w14:textId="2DA5852E"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t>A/76/268, para.15</w:t>
      </w:r>
      <w:r w:rsidR="0000400C">
        <w:rPr>
          <w:lang w:val="en-GB"/>
        </w:rPr>
        <w:t>.</w:t>
      </w:r>
    </w:p>
  </w:footnote>
  <w:footnote w:id="93">
    <w:p w14:paraId="080AD342" w14:textId="7D05563D"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72" w:history="1">
        <w:r w:rsidRPr="00D00CFA">
          <w:rPr>
            <w:rStyle w:val="Hyperlink"/>
            <w:lang w:val="en-GB"/>
          </w:rPr>
          <w:t>https://kurdistanhumanrights.org/en/iran-threatens-mother-of-kurdish-political-prisoner-zeynab-jalalian/</w:t>
        </w:r>
      </w:hyperlink>
      <w:r w:rsidR="0000400C">
        <w:rPr>
          <w:rStyle w:val="Hyperlink"/>
          <w:lang w:val="en-GB"/>
        </w:rPr>
        <w:t>.</w:t>
      </w:r>
    </w:p>
  </w:footnote>
  <w:footnote w:id="94">
    <w:p w14:paraId="22572D4C" w14:textId="2790C7CC"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73" w:history="1">
        <w:r w:rsidRPr="00D00CFA">
          <w:rPr>
            <w:rStyle w:val="Hyperlink"/>
            <w:lang w:val="en-GB"/>
          </w:rPr>
          <w:t>https://cdn.isna.ir/d/2021/09/28/0/62043415.pdf</w:t>
        </w:r>
      </w:hyperlink>
      <w:r w:rsidR="0000400C">
        <w:rPr>
          <w:rStyle w:val="Hyperlink"/>
          <w:lang w:val="en-GB"/>
        </w:rPr>
        <w:t>.</w:t>
      </w:r>
    </w:p>
  </w:footnote>
  <w:footnote w:id="95">
    <w:p w14:paraId="0571776F" w14:textId="43B6AC41"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74" w:history="1">
        <w:r w:rsidRPr="00D00CFA">
          <w:rPr>
            <w:rStyle w:val="Hyperlink"/>
            <w:szCs w:val="18"/>
            <w:lang w:val="en-GB"/>
          </w:rPr>
          <w:t>https://www.khabaronline.ir/news/1585394/%DB%B9-%D9%85%DB%8C%D9%84%DB%8C%D9%88%D9%86-%D9%86%D9%81%D8%B1-%D8%A7%D8%B2-%D8%AC%D9%85%D8%B9%DB%8C%D8%AA-%D8%B1%D9%88%D8%B3%D8%AA%D8%A7%DB%8C%DB%8C-%DA%A9%D8%B4%D9%88%D8%B1-%D8%AF%DA%86%D8%A7%D8%B1-%D8%AA%D9%86%D8%B4-%D8%A2%D8%A8%DB%8C-%D9%87%D8%B3%D8%AA%D9%86%D8%AF</w:t>
        </w:r>
      </w:hyperlink>
      <w:r w:rsidR="0000400C">
        <w:rPr>
          <w:rStyle w:val="Hyperlink"/>
          <w:szCs w:val="18"/>
          <w:lang w:val="en-GB"/>
        </w:rPr>
        <w:t>.</w:t>
      </w:r>
    </w:p>
  </w:footnote>
  <w:footnote w:id="96">
    <w:p w14:paraId="6CFF80FD" w14:textId="20946860"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75" w:history="1">
        <w:r w:rsidRPr="00D00CFA">
          <w:rPr>
            <w:rStyle w:val="Hyperlink"/>
            <w:lang w:val="en-GB"/>
          </w:rPr>
          <w:t>https://www.presstv.ir/Detail/2022/02/28/677729/Iran-water-transfer-project-Oman-Sea</w:t>
        </w:r>
      </w:hyperlink>
      <w:r w:rsidR="0000400C">
        <w:rPr>
          <w:rStyle w:val="Hyperlink"/>
          <w:lang w:val="en-GB"/>
        </w:rPr>
        <w:t>.</w:t>
      </w:r>
    </w:p>
  </w:footnote>
  <w:footnote w:id="97">
    <w:p w14:paraId="2104556F" w14:textId="68E17D6E"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76" w:history="1">
        <w:r w:rsidRPr="00D00CFA">
          <w:rPr>
            <w:rStyle w:val="Hyperlink"/>
            <w:lang w:val="en-GB"/>
          </w:rPr>
          <w:t>https://www.presstv.ir/Detail/2022/04/20/680690/Iran-water-rights-Afghanistan-Helmand-Mokhber</w:t>
        </w:r>
      </w:hyperlink>
      <w:r w:rsidR="0000400C">
        <w:rPr>
          <w:rStyle w:val="Hyperlink"/>
          <w:lang w:val="en-GB"/>
        </w:rPr>
        <w:t>.</w:t>
      </w:r>
    </w:p>
  </w:footnote>
  <w:footnote w:id="98">
    <w:p w14:paraId="3E4E4FFA" w14:textId="6586908B"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77" w:history="1">
        <w:r w:rsidRPr="00D00CFA">
          <w:rPr>
            <w:rStyle w:val="Hyperlink"/>
            <w:lang w:val="en-GB"/>
          </w:rPr>
          <w:t>https://openknowledge.worldbank.org/handle/10986/36785</w:t>
        </w:r>
      </w:hyperlink>
      <w:r w:rsidR="0000400C">
        <w:rPr>
          <w:rStyle w:val="Hyperlink"/>
          <w:lang w:val="en-GB"/>
        </w:rPr>
        <w:t>.</w:t>
      </w:r>
    </w:p>
  </w:footnote>
  <w:footnote w:id="99">
    <w:p w14:paraId="0EF5576F" w14:textId="44BA5984" w:rsidR="00D00CFA" w:rsidRPr="00D00CFA" w:rsidRDefault="00D00CFA">
      <w:pPr>
        <w:pStyle w:val="FootnoteText"/>
        <w:rPr>
          <w:lang w:val="en-GB"/>
        </w:rPr>
      </w:pPr>
      <w:r w:rsidRPr="00D00CFA">
        <w:rPr>
          <w:lang w:val="en-GB"/>
        </w:rPr>
        <w:tab/>
      </w:r>
      <w:r>
        <w:rPr>
          <w:rStyle w:val="FootnoteReference"/>
        </w:rPr>
        <w:footnoteRef/>
      </w:r>
      <w:r w:rsidR="006B53FA">
        <w:rPr>
          <w:lang w:val="en-GB"/>
        </w:rPr>
        <w:t xml:space="preserve"> </w:t>
      </w:r>
      <w:r w:rsidRPr="00D00CFA">
        <w:rPr>
          <w:lang w:val="en-GB"/>
        </w:rPr>
        <w:tab/>
      </w:r>
      <w:r w:rsidR="005E7CB8">
        <w:t xml:space="preserve">Per </w:t>
      </w:r>
      <w:r w:rsidRPr="00D00CFA">
        <w:rPr>
          <w:lang w:val="en-GB"/>
        </w:rPr>
        <w:t>Iranian calendar year, beginning 20 March.</w:t>
      </w:r>
      <w:r w:rsidR="006B53FA">
        <w:rPr>
          <w:lang w:val="en-GB"/>
        </w:rPr>
        <w:t xml:space="preserve"> </w:t>
      </w:r>
    </w:p>
  </w:footnote>
  <w:footnote w:id="100">
    <w:p w14:paraId="61F5F35E" w14:textId="7DC9A1EF" w:rsidR="00D42074" w:rsidRPr="00E60EC4" w:rsidRDefault="0000400C" w:rsidP="00D42074">
      <w:pPr>
        <w:pStyle w:val="FootnoteText"/>
        <w:rPr>
          <w:lang w:val="en-US"/>
        </w:rPr>
      </w:pPr>
      <w:r>
        <w:rPr>
          <w:lang w:val="en-GB"/>
        </w:rPr>
        <w:tab/>
      </w:r>
      <w:r w:rsidR="00D42074">
        <w:rPr>
          <w:rStyle w:val="FootnoteReference"/>
        </w:rPr>
        <w:footnoteRef/>
      </w:r>
      <w:r w:rsidR="00D42074" w:rsidRPr="00E60EC4">
        <w:rPr>
          <w:lang w:val="en-GB"/>
        </w:rPr>
        <w:t xml:space="preserve"> </w:t>
      </w:r>
      <w:r w:rsidR="00E60EC4">
        <w:rPr>
          <w:lang w:val="en-GB"/>
        </w:rPr>
        <w:tab/>
      </w:r>
      <w:hyperlink r:id="rId78" w:history="1">
        <w:r w:rsidR="00E60EC4" w:rsidRPr="004D6FB2">
          <w:rPr>
            <w:rStyle w:val="Hyperlink"/>
            <w:lang w:val="en-GB"/>
          </w:rPr>
          <w:t>https://openknowledge.worldbank.org/handle/10986/36785</w:t>
        </w:r>
      </w:hyperlink>
      <w:r>
        <w:rPr>
          <w:rStyle w:val="Hyperlink"/>
          <w:lang w:val="en-GB"/>
        </w:rPr>
        <w:t>.</w:t>
      </w:r>
    </w:p>
  </w:footnote>
  <w:footnote w:id="101">
    <w:p w14:paraId="5D5EFCB1" w14:textId="7FDDEF59"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79" w:history="1">
        <w:r w:rsidRPr="00D00CFA">
          <w:rPr>
            <w:rStyle w:val="Hyperlink"/>
            <w:lang w:val="en-GB"/>
          </w:rPr>
          <w:t>https://www.forbes.com/sites/oliverwilliams1/2021/06/28/iran-sees-millionaire-boom-amid-sanctions-covid-19-and-an-election/?sh=5b7b0ce0a93b</w:t>
        </w:r>
      </w:hyperlink>
      <w:r w:rsidR="0000400C">
        <w:rPr>
          <w:rStyle w:val="Hyperlink"/>
          <w:lang w:val="en-GB"/>
        </w:rPr>
        <w:t>.</w:t>
      </w:r>
    </w:p>
  </w:footnote>
  <w:footnote w:id="102">
    <w:p w14:paraId="2010E819" w14:textId="7D4BF093"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80" w:history="1">
        <w:r w:rsidRPr="00D00CFA">
          <w:rPr>
            <w:rStyle w:val="Hyperlink"/>
            <w:lang w:val="en-GB"/>
          </w:rPr>
          <w:t>https://worldwealthreport.com/resources/world-wealth-report-2021/</w:t>
        </w:r>
      </w:hyperlink>
      <w:r w:rsidR="0000400C">
        <w:rPr>
          <w:rStyle w:val="Hyperlink"/>
          <w:lang w:val="en-GB"/>
        </w:rPr>
        <w:t>.</w:t>
      </w:r>
      <w:r w:rsidRPr="00D00CFA">
        <w:rPr>
          <w:lang w:val="en-GB"/>
        </w:rPr>
        <w:t xml:space="preserve"> </w:t>
      </w:r>
    </w:p>
  </w:footnote>
  <w:footnote w:id="103">
    <w:p w14:paraId="6AC72B80" w14:textId="7DBA6206" w:rsidR="001B469D" w:rsidRPr="00E60EC4" w:rsidRDefault="0000400C" w:rsidP="001B469D">
      <w:pPr>
        <w:pStyle w:val="FootnoteText"/>
        <w:rPr>
          <w:lang w:val="en-GB"/>
        </w:rPr>
      </w:pPr>
      <w:r>
        <w:rPr>
          <w:lang w:val="en-GB"/>
        </w:rPr>
        <w:tab/>
      </w:r>
      <w:r w:rsidR="001B469D">
        <w:rPr>
          <w:rStyle w:val="FootnoteReference"/>
        </w:rPr>
        <w:footnoteRef/>
      </w:r>
      <w:r w:rsidR="001B469D" w:rsidRPr="00E60EC4">
        <w:rPr>
          <w:lang w:val="en-GB"/>
        </w:rPr>
        <w:t xml:space="preserve"> </w:t>
      </w:r>
      <w:r w:rsidR="00E60EC4">
        <w:rPr>
          <w:lang w:val="en-GB"/>
        </w:rPr>
        <w:tab/>
      </w:r>
      <w:hyperlink r:id="rId81" w:history="1">
        <w:r w:rsidR="00E60EC4" w:rsidRPr="004D6FB2">
          <w:rPr>
            <w:rStyle w:val="Hyperlink"/>
            <w:lang w:val="en-GB"/>
          </w:rPr>
          <w:t>https://www.ft.com/content/520b54e4-c793-4e7d-84f5-03f71587532d</w:t>
        </w:r>
      </w:hyperlink>
      <w:r>
        <w:rPr>
          <w:rStyle w:val="Hyperlink"/>
          <w:lang w:val="en-GB"/>
        </w:rPr>
        <w:t>.</w:t>
      </w:r>
    </w:p>
  </w:footnote>
  <w:footnote w:id="104">
    <w:p w14:paraId="43A4B9BC" w14:textId="0A64EEE2"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82" w:history="1">
        <w:r w:rsidRPr="00D00CFA">
          <w:rPr>
            <w:rStyle w:val="Hyperlink"/>
            <w:szCs w:val="18"/>
            <w:lang w:val="en-GB"/>
          </w:rPr>
          <w:t>https://www.isna.ir/news/1400082317565/%D8%AA%D8%B5%D9%88%DB%8C%D8%B1 %DB%8C-%D9%87%D9%88%D9%84%D9%86%D8%A7%DA%A9-%D8%A7%D8%B2-%D8%B3%D9%88%D9%86%D8%A7%D9%85%DB%8C-%D8%A2%D8%B3%DB%8C%D8%A8-%D9%87%D8%A7%DB%8C-%D8%A7%D8%AC%D8%AA%D9%85%D8%A7%D8%B9%DB%8C-%D8%A8%D8%A7-%D8%B4%DB%8C%D9%88%D8%B9-%DA%A9%D8%B1%D9%88%D9%86%D8%A7-%D8%A8%D8%B1%D8%A7%D8%B3%D8%A7%D8%B3</w:t>
        </w:r>
      </w:hyperlink>
      <w:r w:rsidR="0000400C">
        <w:rPr>
          <w:rStyle w:val="Hyperlink"/>
          <w:szCs w:val="18"/>
          <w:lang w:val="en-GB"/>
        </w:rPr>
        <w:t>.</w:t>
      </w:r>
    </w:p>
  </w:footnote>
  <w:footnote w:id="105">
    <w:p w14:paraId="2176330C" w14:textId="339128FA"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83" w:history="1">
        <w:r w:rsidRPr="00D00CFA">
          <w:rPr>
            <w:rStyle w:val="Hyperlink"/>
            <w:lang w:val="en-GB"/>
          </w:rPr>
          <w:t>https://www.radiozamaneh.com/689590</w:t>
        </w:r>
      </w:hyperlink>
      <w:r w:rsidR="0000400C">
        <w:rPr>
          <w:rStyle w:val="Hyperlink"/>
          <w:lang w:val="en-GB"/>
        </w:rPr>
        <w:t>.</w:t>
      </w:r>
    </w:p>
  </w:footnote>
  <w:footnote w:id="106">
    <w:p w14:paraId="4E910D5A" w14:textId="32255BE4" w:rsidR="00D00CFA" w:rsidRPr="00D00CFA" w:rsidRDefault="00D00CFA" w:rsidP="004823C1">
      <w:pPr>
        <w:pStyle w:val="FootnoteText"/>
        <w:rPr>
          <w:lang w:val="en-GB" w:bidi="fa-IR"/>
        </w:rPr>
      </w:pPr>
      <w:r w:rsidRPr="00D00CFA">
        <w:rPr>
          <w:lang w:val="en-GB"/>
        </w:rPr>
        <w:tab/>
      </w:r>
      <w:r w:rsidRPr="00322FA5">
        <w:rPr>
          <w:rStyle w:val="FootnoteReference"/>
        </w:rPr>
        <w:footnoteRef/>
      </w:r>
      <w:r w:rsidRPr="00D00CFA">
        <w:rPr>
          <w:lang w:val="en-GB"/>
        </w:rPr>
        <w:tab/>
      </w:r>
      <w:hyperlink r:id="rId84" w:history="1">
        <w:r w:rsidRPr="00D00CFA">
          <w:rPr>
            <w:rStyle w:val="Hyperlink"/>
            <w:lang w:val="en-GB"/>
          </w:rPr>
          <w:t>https://www.reuters.com/world/middle-east/iran-says-one-person-dying-covid-19-every-two-minutes-2021-08-09/</w:t>
        </w:r>
      </w:hyperlink>
      <w:r w:rsidR="0000400C">
        <w:rPr>
          <w:rStyle w:val="Hyperlink"/>
          <w:lang w:val="en-GB"/>
        </w:rPr>
        <w:t>.</w:t>
      </w:r>
    </w:p>
  </w:footnote>
  <w:footnote w:id="107">
    <w:p w14:paraId="37B381F8" w14:textId="48CEC32E" w:rsidR="00D00CFA" w:rsidRPr="00D00CFA" w:rsidRDefault="00D00CFA">
      <w:pPr>
        <w:pStyle w:val="FootnoteText"/>
        <w:rPr>
          <w:lang w:val="en-GB"/>
        </w:rPr>
      </w:pPr>
      <w:r w:rsidRPr="00D00CFA">
        <w:rPr>
          <w:lang w:val="en-GB"/>
        </w:rPr>
        <w:tab/>
        <w:t xml:space="preserve"> </w:t>
      </w:r>
      <w:r>
        <w:rPr>
          <w:rStyle w:val="FootnoteReference"/>
        </w:rPr>
        <w:footnoteRef/>
      </w:r>
      <w:r w:rsidRPr="00D00CFA">
        <w:rPr>
          <w:lang w:val="en-GB"/>
        </w:rPr>
        <w:t xml:space="preserve"> </w:t>
      </w:r>
      <w:r w:rsidRPr="00D00CFA">
        <w:rPr>
          <w:lang w:val="en-GB"/>
        </w:rPr>
        <w:tab/>
      </w:r>
      <w:hyperlink r:id="rId85" w:history="1">
        <w:r w:rsidRPr="00D00CFA">
          <w:rPr>
            <w:rStyle w:val="Hyperlink"/>
            <w:lang w:val="en-GB"/>
          </w:rPr>
          <w:t>https://covid19.who.int/region/emro/country/ir</w:t>
        </w:r>
      </w:hyperlink>
      <w:r w:rsidR="0000400C">
        <w:rPr>
          <w:rStyle w:val="Hyperlink"/>
          <w:lang w:val="en-GB"/>
        </w:rPr>
        <w:t>.</w:t>
      </w:r>
      <w:r w:rsidRPr="00D00CFA">
        <w:rPr>
          <w:lang w:val="en-GB"/>
        </w:rPr>
        <w:t xml:space="preserve"> </w:t>
      </w:r>
    </w:p>
  </w:footnote>
  <w:footnote w:id="108">
    <w:p w14:paraId="2DBA262A" w14:textId="04B30AC9"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86" w:history="1">
        <w:r w:rsidRPr="00D00CFA">
          <w:rPr>
            <w:rStyle w:val="Hyperlink"/>
            <w:lang w:val="en-GB"/>
          </w:rPr>
          <w:t>http://www.emro.who.int/iran/news/statement-on-covid-19-vaccination-in-islamic-republic-of-iran-by-who-representative-dr-jaffar-hussain.html</w:t>
        </w:r>
      </w:hyperlink>
      <w:r w:rsidR="0000400C">
        <w:rPr>
          <w:rStyle w:val="Hyperlink"/>
          <w:lang w:val="en-GB"/>
        </w:rPr>
        <w:t>.</w:t>
      </w:r>
    </w:p>
  </w:footnote>
  <w:footnote w:id="109">
    <w:p w14:paraId="5956E562" w14:textId="3DFCEF86"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87" w:history="1">
        <w:r w:rsidRPr="00D00CFA">
          <w:rPr>
            <w:rStyle w:val="Hyperlink"/>
            <w:lang w:val="en-GB"/>
          </w:rPr>
          <w:t>https://www.imna.ir/news/515632/</w:t>
        </w:r>
      </w:hyperlink>
      <w:r w:rsidR="0000400C">
        <w:rPr>
          <w:rStyle w:val="Hyperlink"/>
          <w:lang w:val="en-GB"/>
        </w:rPr>
        <w:t>.</w:t>
      </w:r>
    </w:p>
  </w:footnote>
  <w:footnote w:id="110">
    <w:p w14:paraId="75AACF6B" w14:textId="63836641"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88" w:history="1">
        <w:r w:rsidRPr="00D00CFA">
          <w:rPr>
            <w:rStyle w:val="Hyperlink"/>
            <w:lang w:val="en-GB"/>
          </w:rPr>
          <w:t>https://iranhumanrights.org/2021/01/iranian-rights-groups-call-on-khamenei-to-allow-purchase-of-u-s-and-uk-covid-19-vaccines/</w:t>
        </w:r>
      </w:hyperlink>
      <w:r w:rsidR="0000400C">
        <w:rPr>
          <w:rStyle w:val="Hyperlink"/>
          <w:lang w:val="en-GB"/>
        </w:rPr>
        <w:t>.</w:t>
      </w:r>
    </w:p>
  </w:footnote>
  <w:footnote w:id="111">
    <w:p w14:paraId="34E42E83" w14:textId="2DEE838B"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89" w:history="1">
        <w:r w:rsidRPr="00D00CFA">
          <w:rPr>
            <w:rStyle w:val="Hyperlink"/>
            <w:lang w:val="en-GB"/>
          </w:rPr>
          <w:t>https://www.dw.com/en/irans-patriotic-vaccination-policy-is-making-some-people-rich/a-59342029</w:t>
        </w:r>
      </w:hyperlink>
      <w:r w:rsidRPr="00D00CFA">
        <w:rPr>
          <w:lang w:val="en-GB"/>
        </w:rPr>
        <w:t xml:space="preserve">; </w:t>
      </w:r>
      <w:hyperlink r:id="rId90" w:history="1">
        <w:r w:rsidRPr="00D00CFA">
          <w:rPr>
            <w:rStyle w:val="Hyperlink"/>
            <w:lang w:val="en-GB"/>
          </w:rPr>
          <w:t>https://iranhumanrights.org/2021/08/iran-should-lift-deadly-ban-on-foreign-covid-vaccines/</w:t>
        </w:r>
      </w:hyperlink>
      <w:r w:rsidR="0000400C">
        <w:rPr>
          <w:rStyle w:val="Hyperlink"/>
          <w:lang w:val="en-GB"/>
        </w:rPr>
        <w:t>.</w:t>
      </w:r>
    </w:p>
  </w:footnote>
  <w:footnote w:id="112">
    <w:p w14:paraId="30D92E22" w14:textId="012852C8"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91" w:history="1">
        <w:r w:rsidRPr="00D00CFA">
          <w:rPr>
            <w:rStyle w:val="Hyperlink"/>
            <w:lang w:val="en-GB"/>
          </w:rPr>
          <w:t>https://www.hrw.org/news/2021/08/19/iran-government-mismanagement-compounds-covid-19-crisis</w:t>
        </w:r>
      </w:hyperlink>
      <w:r w:rsidR="0000400C">
        <w:rPr>
          <w:rStyle w:val="Hyperlink"/>
          <w:lang w:val="en-GB"/>
        </w:rPr>
        <w:t>.</w:t>
      </w:r>
    </w:p>
  </w:footnote>
  <w:footnote w:id="113">
    <w:p w14:paraId="16CBA053" w14:textId="68B5B3DC" w:rsidR="00D00CFA" w:rsidRPr="00D00CFA" w:rsidRDefault="00D00CFA" w:rsidP="004823C1">
      <w:pPr>
        <w:pStyle w:val="FootnoteText"/>
        <w:rPr>
          <w:lang w:val="en-GB"/>
        </w:rPr>
      </w:pPr>
      <w:r w:rsidRPr="00D00CFA">
        <w:rPr>
          <w:lang w:val="en-GB"/>
        </w:rPr>
        <w:tab/>
      </w:r>
      <w:r w:rsidRPr="00322FA5">
        <w:rPr>
          <w:rStyle w:val="FootnoteReference"/>
        </w:rPr>
        <w:footnoteRef/>
      </w:r>
      <w:r w:rsidRPr="00D00CFA">
        <w:rPr>
          <w:lang w:val="en-GB"/>
        </w:rPr>
        <w:tab/>
      </w:r>
      <w:hyperlink r:id="rId92" w:history="1">
        <w:r w:rsidRPr="00D00CFA">
          <w:rPr>
            <w:rStyle w:val="Hyperlink"/>
            <w:lang w:val="en-GB"/>
          </w:rPr>
          <w:t>http://www.imna.ir/news/562938/</w:t>
        </w:r>
      </w:hyperlink>
      <w:r w:rsidR="0000400C">
        <w:rPr>
          <w:rStyle w:val="Hyperlink"/>
          <w:lang w:val="en-GB"/>
        </w:rPr>
        <w:t>.</w:t>
      </w:r>
    </w:p>
  </w:footnote>
  <w:footnote w:id="114">
    <w:p w14:paraId="792AC144" w14:textId="11C9FE13" w:rsidR="00D00CFA" w:rsidRPr="008E24B7" w:rsidRDefault="00E60EC4">
      <w:pPr>
        <w:pStyle w:val="FootnoteText"/>
        <w:rPr>
          <w:lang w:val="en-GB"/>
        </w:rPr>
      </w:pPr>
      <w:r>
        <w:rPr>
          <w:lang w:val="en-GB"/>
        </w:rPr>
        <w:tab/>
      </w:r>
      <w:r w:rsidR="00D00CFA">
        <w:rPr>
          <w:rStyle w:val="FootnoteReference"/>
        </w:rPr>
        <w:footnoteRef/>
      </w:r>
      <w:r w:rsidR="00D00CFA" w:rsidRPr="00D00CFA">
        <w:rPr>
          <w:lang w:val="en-GB"/>
        </w:rPr>
        <w:tab/>
      </w:r>
      <w:r w:rsidR="5D024BF2" w:rsidRPr="00D00CFA">
        <w:rPr>
          <w:lang w:val="en-GB"/>
        </w:rPr>
        <w:t>ICESCR, article 2(1) ; Committee on Economic, Social and Cultural Rights, E/C.12/2020/1, para.14</w:t>
      </w:r>
      <w:r w:rsidR="0000400C">
        <w:rPr>
          <w:lang w:val="en-GB"/>
        </w:rPr>
        <w:t>.</w:t>
      </w:r>
      <w:r w:rsidR="5D024BF2">
        <w:rPr>
          <w:lang w:val="en-GB"/>
        </w:rPr>
        <w:t xml:space="preserve"> </w:t>
      </w:r>
    </w:p>
  </w:footnote>
  <w:footnote w:id="115">
    <w:p w14:paraId="1CD25F0E" w14:textId="2AFFDDD3" w:rsidR="00D00CFA" w:rsidRPr="00FE3708" w:rsidRDefault="00E60EC4" w:rsidP="004823C1">
      <w:pPr>
        <w:pStyle w:val="FootnoteText"/>
        <w:rPr>
          <w:lang w:val="en-US"/>
        </w:rPr>
      </w:pPr>
      <w:r>
        <w:rPr>
          <w:lang w:val="en-GB"/>
        </w:rPr>
        <w:tab/>
      </w:r>
      <w:r w:rsidR="00D00CFA" w:rsidRPr="00322FA5">
        <w:rPr>
          <w:rStyle w:val="FootnoteReference"/>
        </w:rPr>
        <w:footnoteRef/>
      </w:r>
      <w:r w:rsidR="00D00CFA" w:rsidRPr="00D00CFA">
        <w:rPr>
          <w:lang w:val="en-GB"/>
        </w:rPr>
        <w:tab/>
      </w:r>
      <w:r w:rsidR="5D024BF2" w:rsidRPr="00D00CFA">
        <w:rPr>
          <w:lang w:val="en-GB"/>
        </w:rPr>
        <w:t>Committee on Economic, Social and Cultural Rights, E/C.12/2020/2</w:t>
      </w:r>
      <w:r w:rsidR="0000400C">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F316C" w14:textId="79F5043F" w:rsidR="00D00CFA" w:rsidRPr="003A000C" w:rsidRDefault="008529D8">
    <w:pPr>
      <w:pStyle w:val="Header"/>
    </w:pPr>
    <w:r>
      <w:fldChar w:fldCharType="begin"/>
    </w:r>
    <w:r>
      <w:instrText>TITLE  \* MERGEFORMAT</w:instrText>
    </w:r>
    <w:r>
      <w:fldChar w:fldCharType="separate"/>
    </w:r>
    <w:r w:rsidR="00D00CFA">
      <w:t>A/HRC/50</w:t>
    </w:r>
    <w:r>
      <w:fldChar w:fldCharType="end"/>
    </w:r>
    <w:r w:rsidR="00D00CFA">
      <w:t>/19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DD8AD" w14:textId="22272C88" w:rsidR="00D00CFA" w:rsidRPr="003A000C" w:rsidRDefault="008529D8" w:rsidP="003A000C">
    <w:pPr>
      <w:pStyle w:val="Header"/>
      <w:jc w:val="right"/>
    </w:pPr>
    <w:r>
      <w:fldChar w:fldCharType="begin"/>
    </w:r>
    <w:r>
      <w:instrText>TI</w:instrText>
    </w:r>
    <w:r>
      <w:instrText>TLE  \* MERGEFORMAT</w:instrText>
    </w:r>
    <w:r>
      <w:fldChar w:fldCharType="separate"/>
    </w:r>
    <w:r w:rsidR="00D00CFA">
      <w:t>A/HRC/50</w:t>
    </w:r>
    <w:r>
      <w:fldChar w:fldCharType="end"/>
    </w:r>
    <w:r w:rsidR="00D00CFA">
      <w:t>/19</w:t>
    </w:r>
  </w:p>
</w:hdr>
</file>

<file path=word/intelligence2.xml><?xml version="1.0" encoding="utf-8"?>
<int2:intelligence xmlns:int2="http://schemas.microsoft.com/office/intelligence/2020/intelligence" xmlns:oel="http://schemas.microsoft.com/office/2019/extlst">
  <int2:observations>
    <int2:textHash int2:hashCode="vOhNxTCKxTGA4f" int2:id="A8k9jv3j">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1E8E"/>
    <w:multiLevelType w:val="hybridMultilevel"/>
    <w:tmpl w:val="EE7242C2"/>
    <w:lvl w:ilvl="0" w:tplc="8638BC22">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7234E43"/>
    <w:multiLevelType w:val="hybridMultilevel"/>
    <w:tmpl w:val="F7284BEA"/>
    <w:lvl w:ilvl="0" w:tplc="6D4EA4B4">
      <w:start w:val="1"/>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247CC7"/>
    <w:multiLevelType w:val="hybridMultilevel"/>
    <w:tmpl w:val="9F669000"/>
    <w:lvl w:ilvl="0" w:tplc="23CEF28C">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8" w15:restartNumberingAfterBreak="0">
    <w:nsid w:val="1C400C58"/>
    <w:multiLevelType w:val="hybridMultilevel"/>
    <w:tmpl w:val="104EF9BE"/>
    <w:lvl w:ilvl="0" w:tplc="98487C88">
      <w:start w:val="1"/>
      <w:numFmt w:val="decimal"/>
      <w:lvlText w:val="%1."/>
      <w:lvlJc w:val="left"/>
      <w:pPr>
        <w:ind w:left="1854" w:hanging="360"/>
      </w:pPr>
      <w:rPr>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D336B"/>
    <w:multiLevelType w:val="hybridMultilevel"/>
    <w:tmpl w:val="0DCCABDE"/>
    <w:lvl w:ilvl="0" w:tplc="580887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8574A"/>
    <w:multiLevelType w:val="hybridMultilevel"/>
    <w:tmpl w:val="EA2654AE"/>
    <w:lvl w:ilvl="0" w:tplc="0E647B54">
      <w:start w:val="1"/>
      <w:numFmt w:val="upperLetter"/>
      <w:lvlText w:val="%1."/>
      <w:lvlJc w:val="left"/>
      <w:pPr>
        <w:ind w:left="1500" w:hanging="360"/>
      </w:pPr>
      <w:rPr>
        <w:rFonts w:hint="default"/>
        <w:b w:val="0"/>
        <w:sz w:val="20"/>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2" w15:restartNumberingAfterBreak="0">
    <w:nsid w:val="2F2A1F67"/>
    <w:multiLevelType w:val="hybridMultilevel"/>
    <w:tmpl w:val="F752C96C"/>
    <w:lvl w:ilvl="0" w:tplc="CA38414E">
      <w:start w:val="1"/>
      <w:numFmt w:val="decimal"/>
      <w:lvlText w:val="%1."/>
      <w:lvlJc w:val="left"/>
      <w:pPr>
        <w:ind w:left="1973" w:hanging="555"/>
      </w:pPr>
      <w:rPr>
        <w:rFonts w:hint="default"/>
        <w:b w:val="0"/>
        <w:vertAlign w:val="baseli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7370C7"/>
    <w:multiLevelType w:val="hybridMultilevel"/>
    <w:tmpl w:val="7FB6C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D27CF2"/>
    <w:multiLevelType w:val="hybridMultilevel"/>
    <w:tmpl w:val="C35C25EC"/>
    <w:lvl w:ilvl="0" w:tplc="6DBE9DAE">
      <w:start w:val="1"/>
      <w:numFmt w:val="upperLetter"/>
      <w:lvlText w:val="%1."/>
      <w:lvlJc w:val="left"/>
      <w:pPr>
        <w:ind w:left="1494" w:hanging="360"/>
      </w:pPr>
      <w:rPr>
        <w:rFonts w:hint="default"/>
        <w:b w:val="0"/>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38AF4E6A"/>
    <w:multiLevelType w:val="hybridMultilevel"/>
    <w:tmpl w:val="8A8A2FEA"/>
    <w:lvl w:ilvl="0" w:tplc="08090015">
      <w:start w:val="1"/>
      <w:numFmt w:val="upperLetter"/>
      <w:lvlText w:val="%1."/>
      <w:lvlJc w:val="left"/>
      <w:pPr>
        <w:ind w:left="720" w:hanging="360"/>
      </w:pPr>
      <w:rPr>
        <w:rFonts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184CFA"/>
    <w:multiLevelType w:val="hybridMultilevel"/>
    <w:tmpl w:val="E37A4B6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D9475A2"/>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12406AA"/>
    <w:multiLevelType w:val="hybridMultilevel"/>
    <w:tmpl w:val="E7903434"/>
    <w:lvl w:ilvl="0" w:tplc="2B861098">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541B51D0"/>
    <w:multiLevelType w:val="hybridMultilevel"/>
    <w:tmpl w:val="C05E912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5468512C"/>
    <w:multiLevelType w:val="hybridMultilevel"/>
    <w:tmpl w:val="22A0B4B6"/>
    <w:lvl w:ilvl="0" w:tplc="51A48162">
      <w:start w:val="1"/>
      <w:numFmt w:val="decimal"/>
      <w:lvlText w:val="%1."/>
      <w:lvlJc w:val="left"/>
      <w:pPr>
        <w:ind w:left="502"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176F48"/>
    <w:multiLevelType w:val="hybridMultilevel"/>
    <w:tmpl w:val="DA963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E3348A"/>
    <w:multiLevelType w:val="hybridMultilevel"/>
    <w:tmpl w:val="1B46AC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1919E1"/>
    <w:multiLevelType w:val="multilevel"/>
    <w:tmpl w:val="0BD8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7C6465"/>
    <w:multiLevelType w:val="hybridMultilevel"/>
    <w:tmpl w:val="9F40F55A"/>
    <w:lvl w:ilvl="0" w:tplc="4C8C0C92">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D444B71"/>
    <w:multiLevelType w:val="hybridMultilevel"/>
    <w:tmpl w:val="F752C96C"/>
    <w:lvl w:ilvl="0" w:tplc="CA38414E">
      <w:start w:val="1"/>
      <w:numFmt w:val="decimal"/>
      <w:lvlText w:val="%1."/>
      <w:lvlJc w:val="left"/>
      <w:pPr>
        <w:ind w:left="1973" w:hanging="555"/>
      </w:pPr>
      <w:rPr>
        <w:b w:val="0"/>
        <w:vertAlign w:val="baseline"/>
      </w:rPr>
    </w:lvl>
    <w:lvl w:ilvl="1" w:tplc="08090019">
      <w:start w:val="1"/>
      <w:numFmt w:val="lowerLetter"/>
      <w:lvlText w:val="%2."/>
      <w:lvlJc w:val="left"/>
      <w:pPr>
        <w:ind w:left="2214" w:hanging="360"/>
      </w:pPr>
    </w:lvl>
    <w:lvl w:ilvl="2" w:tplc="0809001B">
      <w:start w:val="1"/>
      <w:numFmt w:val="lowerRoman"/>
      <w:lvlText w:val="%3."/>
      <w:lvlJc w:val="right"/>
      <w:pPr>
        <w:ind w:left="2934" w:hanging="180"/>
      </w:pPr>
    </w:lvl>
    <w:lvl w:ilvl="3" w:tplc="0809000F">
      <w:start w:val="1"/>
      <w:numFmt w:val="decimal"/>
      <w:lvlText w:val="%4."/>
      <w:lvlJc w:val="left"/>
      <w:pPr>
        <w:ind w:left="3654" w:hanging="360"/>
      </w:pPr>
    </w:lvl>
    <w:lvl w:ilvl="4" w:tplc="08090019">
      <w:start w:val="1"/>
      <w:numFmt w:val="lowerLetter"/>
      <w:lvlText w:val="%5."/>
      <w:lvlJc w:val="left"/>
      <w:pPr>
        <w:ind w:left="4374" w:hanging="360"/>
      </w:pPr>
    </w:lvl>
    <w:lvl w:ilvl="5" w:tplc="0809001B">
      <w:start w:val="1"/>
      <w:numFmt w:val="lowerRoman"/>
      <w:lvlText w:val="%6."/>
      <w:lvlJc w:val="right"/>
      <w:pPr>
        <w:ind w:left="5094" w:hanging="180"/>
      </w:pPr>
    </w:lvl>
    <w:lvl w:ilvl="6" w:tplc="0809000F">
      <w:start w:val="1"/>
      <w:numFmt w:val="decimal"/>
      <w:lvlText w:val="%7."/>
      <w:lvlJc w:val="left"/>
      <w:pPr>
        <w:ind w:left="5814" w:hanging="360"/>
      </w:pPr>
    </w:lvl>
    <w:lvl w:ilvl="7" w:tplc="08090019">
      <w:start w:val="1"/>
      <w:numFmt w:val="lowerLetter"/>
      <w:lvlText w:val="%8."/>
      <w:lvlJc w:val="left"/>
      <w:pPr>
        <w:ind w:left="6534" w:hanging="360"/>
      </w:pPr>
    </w:lvl>
    <w:lvl w:ilvl="8" w:tplc="0809001B">
      <w:start w:val="1"/>
      <w:numFmt w:val="lowerRoman"/>
      <w:lvlText w:val="%9."/>
      <w:lvlJc w:val="right"/>
      <w:pPr>
        <w:ind w:left="7254" w:hanging="180"/>
      </w:pPr>
    </w:lvl>
  </w:abstractNum>
  <w:abstractNum w:abstractNumId="2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56D5D73"/>
    <w:multiLevelType w:val="hybridMultilevel"/>
    <w:tmpl w:val="869A3C52"/>
    <w:lvl w:ilvl="0" w:tplc="3C641E26">
      <w:start w:val="1"/>
      <w:numFmt w:val="decimal"/>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7554CB"/>
    <w:multiLevelType w:val="hybridMultilevel"/>
    <w:tmpl w:val="375E875C"/>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76B72CC5"/>
    <w:multiLevelType w:val="hybridMultilevel"/>
    <w:tmpl w:val="D92E44D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4" w15:restartNumberingAfterBreak="0">
    <w:nsid w:val="77251A07"/>
    <w:multiLevelType w:val="multilevel"/>
    <w:tmpl w:val="579A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9"/>
  </w:num>
  <w:num w:numId="3">
    <w:abstractNumId w:val="32"/>
  </w:num>
  <w:num w:numId="4">
    <w:abstractNumId w:val="4"/>
  </w:num>
  <w:num w:numId="5">
    <w:abstractNumId w:val="0"/>
  </w:num>
  <w:num w:numId="6">
    <w:abstractNumId w:val="1"/>
  </w:num>
  <w:num w:numId="7">
    <w:abstractNumId w:val="30"/>
  </w:num>
  <w:num w:numId="8">
    <w:abstractNumId w:val="3"/>
  </w:num>
  <w:num w:numId="9">
    <w:abstractNumId w:val="18"/>
  </w:num>
  <w:num w:numId="10">
    <w:abstractNumId w:val="27"/>
  </w:num>
  <w:num w:numId="11">
    <w:abstractNumId w:val="28"/>
  </w:num>
  <w:num w:numId="12">
    <w:abstractNumId w:val="5"/>
  </w:num>
  <w:num w:numId="13">
    <w:abstractNumId w:val="29"/>
  </w:num>
  <w:num w:numId="14">
    <w:abstractNumId w:val="22"/>
  </w:num>
  <w:num w:numId="15">
    <w:abstractNumId w:val="33"/>
  </w:num>
  <w:num w:numId="16">
    <w:abstractNumId w:val="15"/>
  </w:num>
  <w:num w:numId="17">
    <w:abstractNumId w:val="16"/>
  </w:num>
  <w:num w:numId="18">
    <w:abstractNumId w:val="11"/>
  </w:num>
  <w:num w:numId="19">
    <w:abstractNumId w:val="6"/>
  </w:num>
  <w:num w:numId="20">
    <w:abstractNumId w:val="21"/>
  </w:num>
  <w:num w:numId="21">
    <w:abstractNumId w:val="10"/>
  </w:num>
  <w:num w:numId="22">
    <w:abstractNumId w:val="20"/>
  </w:num>
  <w:num w:numId="23">
    <w:abstractNumId w:val="19"/>
  </w:num>
  <w:num w:numId="24">
    <w:abstractNumId w:val="12"/>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5"/>
  </w:num>
  <w:num w:numId="28">
    <w:abstractNumId w:val="17"/>
  </w:num>
  <w:num w:numId="29">
    <w:abstractNumId w:val="23"/>
  </w:num>
  <w:num w:numId="30">
    <w:abstractNumId w:val="7"/>
  </w:num>
  <w:num w:numId="31">
    <w:abstractNumId w:val="34"/>
  </w:num>
  <w:num w:numId="32">
    <w:abstractNumId w:val="24"/>
  </w:num>
  <w:num w:numId="33">
    <w:abstractNumId w:val="31"/>
  </w:num>
  <w:num w:numId="34">
    <w:abstractNumId w:val="3"/>
  </w:num>
  <w:num w:numId="35">
    <w:abstractNumId w:val="2"/>
  </w:num>
  <w:num w:numId="3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es-ES" w:vendorID="64" w:dllVersion="6" w:nlCheck="1" w:checkStyle="0"/>
  <w:activeWritingStyle w:appName="MSWord" w:lang="es-419" w:vendorID="64" w:dllVersion="6" w:nlCheck="1" w:checkStyle="0"/>
  <w:activeWritingStyle w:appName="MSWord" w:lang="en-GB"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0C"/>
    <w:rsid w:val="000022E4"/>
    <w:rsid w:val="0000400C"/>
    <w:rsid w:val="00007F7F"/>
    <w:rsid w:val="00011679"/>
    <w:rsid w:val="00013F8C"/>
    <w:rsid w:val="00020147"/>
    <w:rsid w:val="00022DB5"/>
    <w:rsid w:val="00024270"/>
    <w:rsid w:val="000272AF"/>
    <w:rsid w:val="00035245"/>
    <w:rsid w:val="000403D1"/>
    <w:rsid w:val="000449AA"/>
    <w:rsid w:val="00044FB2"/>
    <w:rsid w:val="00050F6B"/>
    <w:rsid w:val="00055178"/>
    <w:rsid w:val="0005662A"/>
    <w:rsid w:val="00065393"/>
    <w:rsid w:val="0006595F"/>
    <w:rsid w:val="00072C8C"/>
    <w:rsid w:val="00073E70"/>
    <w:rsid w:val="00082762"/>
    <w:rsid w:val="00084FFA"/>
    <w:rsid w:val="000876C5"/>
    <w:rsid w:val="000876EB"/>
    <w:rsid w:val="00091419"/>
    <w:rsid w:val="000931C0"/>
    <w:rsid w:val="00097E25"/>
    <w:rsid w:val="000A27C0"/>
    <w:rsid w:val="000A345F"/>
    <w:rsid w:val="000B175B"/>
    <w:rsid w:val="000B2851"/>
    <w:rsid w:val="000B3A0F"/>
    <w:rsid w:val="000B3EDA"/>
    <w:rsid w:val="000B4A3B"/>
    <w:rsid w:val="000B4F6D"/>
    <w:rsid w:val="000C0566"/>
    <w:rsid w:val="000C091D"/>
    <w:rsid w:val="000C59D8"/>
    <w:rsid w:val="000D1851"/>
    <w:rsid w:val="000D1A74"/>
    <w:rsid w:val="000E01FA"/>
    <w:rsid w:val="000E0415"/>
    <w:rsid w:val="000E2619"/>
    <w:rsid w:val="000E3E10"/>
    <w:rsid w:val="000E5012"/>
    <w:rsid w:val="000F0885"/>
    <w:rsid w:val="000F39D1"/>
    <w:rsid w:val="0010168C"/>
    <w:rsid w:val="001037D0"/>
    <w:rsid w:val="001070B9"/>
    <w:rsid w:val="00113085"/>
    <w:rsid w:val="00120599"/>
    <w:rsid w:val="001255DB"/>
    <w:rsid w:val="00131B26"/>
    <w:rsid w:val="00132BF9"/>
    <w:rsid w:val="001353E9"/>
    <w:rsid w:val="00136DB0"/>
    <w:rsid w:val="00146D32"/>
    <w:rsid w:val="001509BA"/>
    <w:rsid w:val="00155AEE"/>
    <w:rsid w:val="001562C5"/>
    <w:rsid w:val="001578A9"/>
    <w:rsid w:val="00162291"/>
    <w:rsid w:val="00177141"/>
    <w:rsid w:val="00177420"/>
    <w:rsid w:val="00177785"/>
    <w:rsid w:val="00181EE8"/>
    <w:rsid w:val="00185132"/>
    <w:rsid w:val="001869EA"/>
    <w:rsid w:val="001A6BA1"/>
    <w:rsid w:val="001B469D"/>
    <w:rsid w:val="001B4B04"/>
    <w:rsid w:val="001B4CF8"/>
    <w:rsid w:val="001C24A5"/>
    <w:rsid w:val="001C6663"/>
    <w:rsid w:val="001C7895"/>
    <w:rsid w:val="001D167D"/>
    <w:rsid w:val="001D1B4C"/>
    <w:rsid w:val="001D26DF"/>
    <w:rsid w:val="001D415E"/>
    <w:rsid w:val="001D663A"/>
    <w:rsid w:val="001D7BD8"/>
    <w:rsid w:val="001E031D"/>
    <w:rsid w:val="001E06CA"/>
    <w:rsid w:val="001E2790"/>
    <w:rsid w:val="001E608F"/>
    <w:rsid w:val="001F2D6E"/>
    <w:rsid w:val="001F34AA"/>
    <w:rsid w:val="001F6C06"/>
    <w:rsid w:val="0020120A"/>
    <w:rsid w:val="00203E9B"/>
    <w:rsid w:val="00211363"/>
    <w:rsid w:val="00211E0B"/>
    <w:rsid w:val="00211E72"/>
    <w:rsid w:val="00214047"/>
    <w:rsid w:val="0022130F"/>
    <w:rsid w:val="0022536D"/>
    <w:rsid w:val="00225935"/>
    <w:rsid w:val="00225FBC"/>
    <w:rsid w:val="00227D68"/>
    <w:rsid w:val="002332B5"/>
    <w:rsid w:val="00237785"/>
    <w:rsid w:val="00237FD1"/>
    <w:rsid w:val="002405E8"/>
    <w:rsid w:val="002410DD"/>
    <w:rsid w:val="00241466"/>
    <w:rsid w:val="00243FDF"/>
    <w:rsid w:val="002441A0"/>
    <w:rsid w:val="002527B1"/>
    <w:rsid w:val="00253D58"/>
    <w:rsid w:val="0026221D"/>
    <w:rsid w:val="00276D15"/>
    <w:rsid w:val="0027725F"/>
    <w:rsid w:val="00277A37"/>
    <w:rsid w:val="00282C3D"/>
    <w:rsid w:val="00283200"/>
    <w:rsid w:val="00290FD8"/>
    <w:rsid w:val="002957B9"/>
    <w:rsid w:val="0029692E"/>
    <w:rsid w:val="002A76B2"/>
    <w:rsid w:val="002A7BAB"/>
    <w:rsid w:val="002B1591"/>
    <w:rsid w:val="002C11C7"/>
    <w:rsid w:val="002C1453"/>
    <w:rsid w:val="002C17C8"/>
    <w:rsid w:val="002C21F0"/>
    <w:rsid w:val="002C5A24"/>
    <w:rsid w:val="002D3C90"/>
    <w:rsid w:val="002D4156"/>
    <w:rsid w:val="002D5FE6"/>
    <w:rsid w:val="002E19CA"/>
    <w:rsid w:val="002E53C1"/>
    <w:rsid w:val="002E7A42"/>
    <w:rsid w:val="002F1D55"/>
    <w:rsid w:val="002F5DA7"/>
    <w:rsid w:val="002F7BF7"/>
    <w:rsid w:val="003107FA"/>
    <w:rsid w:val="0031321D"/>
    <w:rsid w:val="00315E1D"/>
    <w:rsid w:val="00316590"/>
    <w:rsid w:val="003204F0"/>
    <w:rsid w:val="003206B8"/>
    <w:rsid w:val="003229D8"/>
    <w:rsid w:val="00322FA5"/>
    <w:rsid w:val="003236B9"/>
    <w:rsid w:val="003308DA"/>
    <w:rsid w:val="003314D1"/>
    <w:rsid w:val="003340F7"/>
    <w:rsid w:val="00335A2F"/>
    <w:rsid w:val="00341937"/>
    <w:rsid w:val="00342905"/>
    <w:rsid w:val="00342B0B"/>
    <w:rsid w:val="00347646"/>
    <w:rsid w:val="003555C4"/>
    <w:rsid w:val="00357C79"/>
    <w:rsid w:val="00362176"/>
    <w:rsid w:val="00366BE3"/>
    <w:rsid w:val="003730BC"/>
    <w:rsid w:val="0037754C"/>
    <w:rsid w:val="003805AD"/>
    <w:rsid w:val="00382B90"/>
    <w:rsid w:val="003911CA"/>
    <w:rsid w:val="003917BE"/>
    <w:rsid w:val="0039277A"/>
    <w:rsid w:val="003972E0"/>
    <w:rsid w:val="00397316"/>
    <w:rsid w:val="003975ED"/>
    <w:rsid w:val="003A000C"/>
    <w:rsid w:val="003A0F8F"/>
    <w:rsid w:val="003A7190"/>
    <w:rsid w:val="003B3276"/>
    <w:rsid w:val="003B5601"/>
    <w:rsid w:val="003B5DEA"/>
    <w:rsid w:val="003B6FB5"/>
    <w:rsid w:val="003C2CC4"/>
    <w:rsid w:val="003C42DC"/>
    <w:rsid w:val="003D4B23"/>
    <w:rsid w:val="003D7E91"/>
    <w:rsid w:val="003E1D54"/>
    <w:rsid w:val="003E667C"/>
    <w:rsid w:val="003F124D"/>
    <w:rsid w:val="004010F7"/>
    <w:rsid w:val="00405AAB"/>
    <w:rsid w:val="00413177"/>
    <w:rsid w:val="00421403"/>
    <w:rsid w:val="00424C80"/>
    <w:rsid w:val="004262BB"/>
    <w:rsid w:val="004325CB"/>
    <w:rsid w:val="004372B9"/>
    <w:rsid w:val="00437439"/>
    <w:rsid w:val="0044503A"/>
    <w:rsid w:val="00446DE4"/>
    <w:rsid w:val="00447761"/>
    <w:rsid w:val="00451EC3"/>
    <w:rsid w:val="00453FBD"/>
    <w:rsid w:val="00454B87"/>
    <w:rsid w:val="00460561"/>
    <w:rsid w:val="00471114"/>
    <w:rsid w:val="004721B1"/>
    <w:rsid w:val="004726B5"/>
    <w:rsid w:val="00473FE6"/>
    <w:rsid w:val="004823C1"/>
    <w:rsid w:val="00483744"/>
    <w:rsid w:val="004859EC"/>
    <w:rsid w:val="00496A15"/>
    <w:rsid w:val="004A02C2"/>
    <w:rsid w:val="004A35C9"/>
    <w:rsid w:val="004A40EF"/>
    <w:rsid w:val="004A43E6"/>
    <w:rsid w:val="004A535B"/>
    <w:rsid w:val="004B75D2"/>
    <w:rsid w:val="004C2AAB"/>
    <w:rsid w:val="004D1140"/>
    <w:rsid w:val="004D1EC7"/>
    <w:rsid w:val="004D3BD4"/>
    <w:rsid w:val="004E37BB"/>
    <w:rsid w:val="004E6FF8"/>
    <w:rsid w:val="004F513C"/>
    <w:rsid w:val="004F55ED"/>
    <w:rsid w:val="005128AB"/>
    <w:rsid w:val="00516A12"/>
    <w:rsid w:val="00516ABA"/>
    <w:rsid w:val="0052176C"/>
    <w:rsid w:val="00524A94"/>
    <w:rsid w:val="005261E5"/>
    <w:rsid w:val="00527128"/>
    <w:rsid w:val="00530E7D"/>
    <w:rsid w:val="0053606A"/>
    <w:rsid w:val="005403F2"/>
    <w:rsid w:val="005420F2"/>
    <w:rsid w:val="00542574"/>
    <w:rsid w:val="005436AB"/>
    <w:rsid w:val="00543FB0"/>
    <w:rsid w:val="005443E5"/>
    <w:rsid w:val="005456A0"/>
    <w:rsid w:val="00546924"/>
    <w:rsid w:val="00546DBF"/>
    <w:rsid w:val="00553D76"/>
    <w:rsid w:val="005552B5"/>
    <w:rsid w:val="00560176"/>
    <w:rsid w:val="0056117B"/>
    <w:rsid w:val="00562621"/>
    <w:rsid w:val="0056527B"/>
    <w:rsid w:val="00566681"/>
    <w:rsid w:val="00566C3D"/>
    <w:rsid w:val="00571365"/>
    <w:rsid w:val="00576287"/>
    <w:rsid w:val="005A0E16"/>
    <w:rsid w:val="005B02E6"/>
    <w:rsid w:val="005B27AC"/>
    <w:rsid w:val="005B3DB3"/>
    <w:rsid w:val="005B6E48"/>
    <w:rsid w:val="005C3968"/>
    <w:rsid w:val="005D53BE"/>
    <w:rsid w:val="005D66C4"/>
    <w:rsid w:val="005E1712"/>
    <w:rsid w:val="005E2CCD"/>
    <w:rsid w:val="005E5612"/>
    <w:rsid w:val="005E7CB8"/>
    <w:rsid w:val="005F2F75"/>
    <w:rsid w:val="005F4525"/>
    <w:rsid w:val="00600DC2"/>
    <w:rsid w:val="00606016"/>
    <w:rsid w:val="00611FC4"/>
    <w:rsid w:val="006176FB"/>
    <w:rsid w:val="00617758"/>
    <w:rsid w:val="0061782F"/>
    <w:rsid w:val="00621799"/>
    <w:rsid w:val="00634076"/>
    <w:rsid w:val="006359BF"/>
    <w:rsid w:val="00640B26"/>
    <w:rsid w:val="00655B60"/>
    <w:rsid w:val="00657614"/>
    <w:rsid w:val="00661496"/>
    <w:rsid w:val="00662FCA"/>
    <w:rsid w:val="00667E10"/>
    <w:rsid w:val="00670741"/>
    <w:rsid w:val="006713A7"/>
    <w:rsid w:val="00672CD8"/>
    <w:rsid w:val="0067304F"/>
    <w:rsid w:val="0067390A"/>
    <w:rsid w:val="006740A0"/>
    <w:rsid w:val="00674879"/>
    <w:rsid w:val="00677E24"/>
    <w:rsid w:val="00691516"/>
    <w:rsid w:val="006930AA"/>
    <w:rsid w:val="0069417D"/>
    <w:rsid w:val="00696BD6"/>
    <w:rsid w:val="006A3036"/>
    <w:rsid w:val="006A6B9D"/>
    <w:rsid w:val="006A7392"/>
    <w:rsid w:val="006B0F96"/>
    <w:rsid w:val="006B1F13"/>
    <w:rsid w:val="006B3189"/>
    <w:rsid w:val="006B53FA"/>
    <w:rsid w:val="006B6120"/>
    <w:rsid w:val="006B75FC"/>
    <w:rsid w:val="006B7D65"/>
    <w:rsid w:val="006C1252"/>
    <w:rsid w:val="006C56BC"/>
    <w:rsid w:val="006C5D23"/>
    <w:rsid w:val="006D4809"/>
    <w:rsid w:val="006D4C25"/>
    <w:rsid w:val="006D6DA6"/>
    <w:rsid w:val="006E0350"/>
    <w:rsid w:val="006E0E98"/>
    <w:rsid w:val="006E3EF4"/>
    <w:rsid w:val="006E564B"/>
    <w:rsid w:val="006F13F0"/>
    <w:rsid w:val="006F5035"/>
    <w:rsid w:val="00705C97"/>
    <w:rsid w:val="007065EB"/>
    <w:rsid w:val="00706B88"/>
    <w:rsid w:val="00706C08"/>
    <w:rsid w:val="0071589E"/>
    <w:rsid w:val="00717458"/>
    <w:rsid w:val="00720183"/>
    <w:rsid w:val="0072632A"/>
    <w:rsid w:val="0074200B"/>
    <w:rsid w:val="00747DC6"/>
    <w:rsid w:val="00750D75"/>
    <w:rsid w:val="00751F69"/>
    <w:rsid w:val="00751FB0"/>
    <w:rsid w:val="007668CA"/>
    <w:rsid w:val="00774B99"/>
    <w:rsid w:val="00774C02"/>
    <w:rsid w:val="00782353"/>
    <w:rsid w:val="00782388"/>
    <w:rsid w:val="0079104C"/>
    <w:rsid w:val="00796DD4"/>
    <w:rsid w:val="007A03E8"/>
    <w:rsid w:val="007A2683"/>
    <w:rsid w:val="007A6296"/>
    <w:rsid w:val="007A72F7"/>
    <w:rsid w:val="007A79E4"/>
    <w:rsid w:val="007A7D60"/>
    <w:rsid w:val="007B3409"/>
    <w:rsid w:val="007B5F39"/>
    <w:rsid w:val="007B6BA5"/>
    <w:rsid w:val="007B7E49"/>
    <w:rsid w:val="007C1B62"/>
    <w:rsid w:val="007C3390"/>
    <w:rsid w:val="007C4F4B"/>
    <w:rsid w:val="007C612C"/>
    <w:rsid w:val="007C6A49"/>
    <w:rsid w:val="007D19CD"/>
    <w:rsid w:val="007D2CDC"/>
    <w:rsid w:val="007D4F4C"/>
    <w:rsid w:val="007D5327"/>
    <w:rsid w:val="007D6196"/>
    <w:rsid w:val="007E07E5"/>
    <w:rsid w:val="007E199A"/>
    <w:rsid w:val="007E56B1"/>
    <w:rsid w:val="007F6611"/>
    <w:rsid w:val="008004EE"/>
    <w:rsid w:val="0080246D"/>
    <w:rsid w:val="008058D8"/>
    <w:rsid w:val="00805D39"/>
    <w:rsid w:val="0080752B"/>
    <w:rsid w:val="008155C3"/>
    <w:rsid w:val="008175E9"/>
    <w:rsid w:val="0082243E"/>
    <w:rsid w:val="008242D7"/>
    <w:rsid w:val="008355B4"/>
    <w:rsid w:val="00841556"/>
    <w:rsid w:val="008529D8"/>
    <w:rsid w:val="00852FB6"/>
    <w:rsid w:val="00856CD2"/>
    <w:rsid w:val="00861BC6"/>
    <w:rsid w:val="00862F78"/>
    <w:rsid w:val="008649E1"/>
    <w:rsid w:val="008716CD"/>
    <w:rsid w:val="00871FD5"/>
    <w:rsid w:val="00874E60"/>
    <w:rsid w:val="00875308"/>
    <w:rsid w:val="00877E75"/>
    <w:rsid w:val="00880EB9"/>
    <w:rsid w:val="00881DF9"/>
    <w:rsid w:val="00884557"/>
    <w:rsid w:val="008847BB"/>
    <w:rsid w:val="00885730"/>
    <w:rsid w:val="00885788"/>
    <w:rsid w:val="0088773B"/>
    <w:rsid w:val="00887F76"/>
    <w:rsid w:val="00892F04"/>
    <w:rsid w:val="008979B1"/>
    <w:rsid w:val="00897F19"/>
    <w:rsid w:val="008A6B25"/>
    <w:rsid w:val="008A6C4F"/>
    <w:rsid w:val="008C1E4D"/>
    <w:rsid w:val="008C5777"/>
    <w:rsid w:val="008D193C"/>
    <w:rsid w:val="008D35F9"/>
    <w:rsid w:val="008E0E46"/>
    <w:rsid w:val="008E24B7"/>
    <w:rsid w:val="008E26F1"/>
    <w:rsid w:val="008E7987"/>
    <w:rsid w:val="008F03DD"/>
    <w:rsid w:val="008F3B8E"/>
    <w:rsid w:val="009013A3"/>
    <w:rsid w:val="0090452C"/>
    <w:rsid w:val="0090537D"/>
    <w:rsid w:val="00907C3F"/>
    <w:rsid w:val="00907EF8"/>
    <w:rsid w:val="00910A3C"/>
    <w:rsid w:val="00912CDD"/>
    <w:rsid w:val="0091733E"/>
    <w:rsid w:val="0092237C"/>
    <w:rsid w:val="00924AA6"/>
    <w:rsid w:val="009305A9"/>
    <w:rsid w:val="009331E5"/>
    <w:rsid w:val="0093353C"/>
    <w:rsid w:val="0093707B"/>
    <w:rsid w:val="009400EB"/>
    <w:rsid w:val="009427E3"/>
    <w:rsid w:val="009434C5"/>
    <w:rsid w:val="00946575"/>
    <w:rsid w:val="00947B8E"/>
    <w:rsid w:val="00955550"/>
    <w:rsid w:val="00955D70"/>
    <w:rsid w:val="00956D9B"/>
    <w:rsid w:val="009603EB"/>
    <w:rsid w:val="00962BE1"/>
    <w:rsid w:val="00963CBA"/>
    <w:rsid w:val="009654B7"/>
    <w:rsid w:val="00973507"/>
    <w:rsid w:val="009756CC"/>
    <w:rsid w:val="0097759B"/>
    <w:rsid w:val="00980A6D"/>
    <w:rsid w:val="009838A9"/>
    <w:rsid w:val="00985795"/>
    <w:rsid w:val="009872ED"/>
    <w:rsid w:val="00991261"/>
    <w:rsid w:val="009A062E"/>
    <w:rsid w:val="009A0B83"/>
    <w:rsid w:val="009B0617"/>
    <w:rsid w:val="009B1263"/>
    <w:rsid w:val="009B3800"/>
    <w:rsid w:val="009C08BC"/>
    <w:rsid w:val="009D22AC"/>
    <w:rsid w:val="009D50DB"/>
    <w:rsid w:val="009E1C4E"/>
    <w:rsid w:val="009E4658"/>
    <w:rsid w:val="009E6F96"/>
    <w:rsid w:val="009F2FDE"/>
    <w:rsid w:val="00A0036A"/>
    <w:rsid w:val="00A01204"/>
    <w:rsid w:val="00A05446"/>
    <w:rsid w:val="00A05E0B"/>
    <w:rsid w:val="00A06E8A"/>
    <w:rsid w:val="00A1427D"/>
    <w:rsid w:val="00A171BF"/>
    <w:rsid w:val="00A25CAA"/>
    <w:rsid w:val="00A273E5"/>
    <w:rsid w:val="00A27AAA"/>
    <w:rsid w:val="00A304B0"/>
    <w:rsid w:val="00A336F7"/>
    <w:rsid w:val="00A3557E"/>
    <w:rsid w:val="00A37962"/>
    <w:rsid w:val="00A4634F"/>
    <w:rsid w:val="00A51CF3"/>
    <w:rsid w:val="00A648EC"/>
    <w:rsid w:val="00A64F6D"/>
    <w:rsid w:val="00A65ECE"/>
    <w:rsid w:val="00A66429"/>
    <w:rsid w:val="00A7124F"/>
    <w:rsid w:val="00A72F22"/>
    <w:rsid w:val="00A73D32"/>
    <w:rsid w:val="00A748A6"/>
    <w:rsid w:val="00A74B64"/>
    <w:rsid w:val="00A879A4"/>
    <w:rsid w:val="00A87E95"/>
    <w:rsid w:val="00A91810"/>
    <w:rsid w:val="00A92E29"/>
    <w:rsid w:val="00A9560E"/>
    <w:rsid w:val="00AA6D83"/>
    <w:rsid w:val="00AA77F8"/>
    <w:rsid w:val="00AB685D"/>
    <w:rsid w:val="00AC282A"/>
    <w:rsid w:val="00AC290B"/>
    <w:rsid w:val="00AC5AE2"/>
    <w:rsid w:val="00AD09E9"/>
    <w:rsid w:val="00AD1BE1"/>
    <w:rsid w:val="00AD6DC8"/>
    <w:rsid w:val="00AD6E3A"/>
    <w:rsid w:val="00AE5F67"/>
    <w:rsid w:val="00AF0576"/>
    <w:rsid w:val="00AF2775"/>
    <w:rsid w:val="00AF3829"/>
    <w:rsid w:val="00AF4580"/>
    <w:rsid w:val="00AF5CBB"/>
    <w:rsid w:val="00AF6978"/>
    <w:rsid w:val="00B02FDA"/>
    <w:rsid w:val="00B037F0"/>
    <w:rsid w:val="00B04877"/>
    <w:rsid w:val="00B12ADA"/>
    <w:rsid w:val="00B1554C"/>
    <w:rsid w:val="00B2146F"/>
    <w:rsid w:val="00B2327D"/>
    <w:rsid w:val="00B2625A"/>
    <w:rsid w:val="00B2718F"/>
    <w:rsid w:val="00B30179"/>
    <w:rsid w:val="00B30C7A"/>
    <w:rsid w:val="00B33079"/>
    <w:rsid w:val="00B3317B"/>
    <w:rsid w:val="00B334DC"/>
    <w:rsid w:val="00B3631A"/>
    <w:rsid w:val="00B41CB0"/>
    <w:rsid w:val="00B4389D"/>
    <w:rsid w:val="00B51741"/>
    <w:rsid w:val="00B53013"/>
    <w:rsid w:val="00B62F62"/>
    <w:rsid w:val="00B66834"/>
    <w:rsid w:val="00B67F5E"/>
    <w:rsid w:val="00B73E65"/>
    <w:rsid w:val="00B771DC"/>
    <w:rsid w:val="00B77314"/>
    <w:rsid w:val="00B77E97"/>
    <w:rsid w:val="00B81E12"/>
    <w:rsid w:val="00B8557D"/>
    <w:rsid w:val="00B8709F"/>
    <w:rsid w:val="00B87110"/>
    <w:rsid w:val="00B91AE0"/>
    <w:rsid w:val="00B97FA8"/>
    <w:rsid w:val="00BA33FF"/>
    <w:rsid w:val="00BA7E19"/>
    <w:rsid w:val="00BB137B"/>
    <w:rsid w:val="00BB4828"/>
    <w:rsid w:val="00BB4AB5"/>
    <w:rsid w:val="00BC1385"/>
    <w:rsid w:val="00BC7139"/>
    <w:rsid w:val="00BC74E9"/>
    <w:rsid w:val="00BE1305"/>
    <w:rsid w:val="00BE3E08"/>
    <w:rsid w:val="00BE4D50"/>
    <w:rsid w:val="00BE618E"/>
    <w:rsid w:val="00BE655C"/>
    <w:rsid w:val="00BF1B48"/>
    <w:rsid w:val="00BF3353"/>
    <w:rsid w:val="00BF48E9"/>
    <w:rsid w:val="00BF7708"/>
    <w:rsid w:val="00C0174D"/>
    <w:rsid w:val="00C02073"/>
    <w:rsid w:val="00C04A7B"/>
    <w:rsid w:val="00C11862"/>
    <w:rsid w:val="00C15A21"/>
    <w:rsid w:val="00C20DCD"/>
    <w:rsid w:val="00C217E7"/>
    <w:rsid w:val="00C244F5"/>
    <w:rsid w:val="00C24693"/>
    <w:rsid w:val="00C26131"/>
    <w:rsid w:val="00C27C5F"/>
    <w:rsid w:val="00C349F3"/>
    <w:rsid w:val="00C34EAA"/>
    <w:rsid w:val="00C35F0B"/>
    <w:rsid w:val="00C362B7"/>
    <w:rsid w:val="00C44994"/>
    <w:rsid w:val="00C44B27"/>
    <w:rsid w:val="00C463DD"/>
    <w:rsid w:val="00C507BF"/>
    <w:rsid w:val="00C62F70"/>
    <w:rsid w:val="00C64458"/>
    <w:rsid w:val="00C64E5D"/>
    <w:rsid w:val="00C70A9A"/>
    <w:rsid w:val="00C745C3"/>
    <w:rsid w:val="00C86C19"/>
    <w:rsid w:val="00C86CDF"/>
    <w:rsid w:val="00C872A9"/>
    <w:rsid w:val="00C87B94"/>
    <w:rsid w:val="00C922C6"/>
    <w:rsid w:val="00C96B1D"/>
    <w:rsid w:val="00C972A3"/>
    <w:rsid w:val="00CA273B"/>
    <w:rsid w:val="00CA2A58"/>
    <w:rsid w:val="00CA44A4"/>
    <w:rsid w:val="00CB0FEC"/>
    <w:rsid w:val="00CB7358"/>
    <w:rsid w:val="00CC0B55"/>
    <w:rsid w:val="00CC458B"/>
    <w:rsid w:val="00CD1016"/>
    <w:rsid w:val="00CD2316"/>
    <w:rsid w:val="00CD6995"/>
    <w:rsid w:val="00CE4A8F"/>
    <w:rsid w:val="00CE52A3"/>
    <w:rsid w:val="00CF0214"/>
    <w:rsid w:val="00CF586F"/>
    <w:rsid w:val="00CF7D43"/>
    <w:rsid w:val="00D00CFA"/>
    <w:rsid w:val="00D05C29"/>
    <w:rsid w:val="00D11129"/>
    <w:rsid w:val="00D17BFA"/>
    <w:rsid w:val="00D2031B"/>
    <w:rsid w:val="00D20E09"/>
    <w:rsid w:val="00D22332"/>
    <w:rsid w:val="00D23F9F"/>
    <w:rsid w:val="00D25FE2"/>
    <w:rsid w:val="00D27AB0"/>
    <w:rsid w:val="00D31F1D"/>
    <w:rsid w:val="00D3430B"/>
    <w:rsid w:val="00D42074"/>
    <w:rsid w:val="00D4259B"/>
    <w:rsid w:val="00D43252"/>
    <w:rsid w:val="00D468D0"/>
    <w:rsid w:val="00D550F9"/>
    <w:rsid w:val="00D55410"/>
    <w:rsid w:val="00D572B0"/>
    <w:rsid w:val="00D61EFB"/>
    <w:rsid w:val="00D62E90"/>
    <w:rsid w:val="00D643A1"/>
    <w:rsid w:val="00D72712"/>
    <w:rsid w:val="00D76BE5"/>
    <w:rsid w:val="00D82044"/>
    <w:rsid w:val="00D82E82"/>
    <w:rsid w:val="00D90560"/>
    <w:rsid w:val="00D9250A"/>
    <w:rsid w:val="00D978C6"/>
    <w:rsid w:val="00DA67AD"/>
    <w:rsid w:val="00DA6EE8"/>
    <w:rsid w:val="00DB18CE"/>
    <w:rsid w:val="00DB5566"/>
    <w:rsid w:val="00DC2C14"/>
    <w:rsid w:val="00DC5572"/>
    <w:rsid w:val="00DC7FF9"/>
    <w:rsid w:val="00DD17B5"/>
    <w:rsid w:val="00DD656B"/>
    <w:rsid w:val="00DE04A9"/>
    <w:rsid w:val="00DE3EC0"/>
    <w:rsid w:val="00DF0BA9"/>
    <w:rsid w:val="00DF665A"/>
    <w:rsid w:val="00E00E19"/>
    <w:rsid w:val="00E04E14"/>
    <w:rsid w:val="00E05DD3"/>
    <w:rsid w:val="00E1118D"/>
    <w:rsid w:val="00E11593"/>
    <w:rsid w:val="00E12B6B"/>
    <w:rsid w:val="00E130AB"/>
    <w:rsid w:val="00E144E0"/>
    <w:rsid w:val="00E22C81"/>
    <w:rsid w:val="00E25D63"/>
    <w:rsid w:val="00E30BC9"/>
    <w:rsid w:val="00E34354"/>
    <w:rsid w:val="00E35462"/>
    <w:rsid w:val="00E3696C"/>
    <w:rsid w:val="00E438D9"/>
    <w:rsid w:val="00E5111A"/>
    <w:rsid w:val="00E520AE"/>
    <w:rsid w:val="00E5644E"/>
    <w:rsid w:val="00E56635"/>
    <w:rsid w:val="00E60284"/>
    <w:rsid w:val="00E60291"/>
    <w:rsid w:val="00E60EC4"/>
    <w:rsid w:val="00E7260F"/>
    <w:rsid w:val="00E72B73"/>
    <w:rsid w:val="00E806EE"/>
    <w:rsid w:val="00E8070E"/>
    <w:rsid w:val="00E82D38"/>
    <w:rsid w:val="00E8382F"/>
    <w:rsid w:val="00E84B22"/>
    <w:rsid w:val="00E91BCE"/>
    <w:rsid w:val="00E96630"/>
    <w:rsid w:val="00E97343"/>
    <w:rsid w:val="00EA0831"/>
    <w:rsid w:val="00EA52B8"/>
    <w:rsid w:val="00EB0FB9"/>
    <w:rsid w:val="00EC0B48"/>
    <w:rsid w:val="00EC46FB"/>
    <w:rsid w:val="00EC52C4"/>
    <w:rsid w:val="00EC5C2A"/>
    <w:rsid w:val="00EC6A8A"/>
    <w:rsid w:val="00ED0CA9"/>
    <w:rsid w:val="00ED49F1"/>
    <w:rsid w:val="00ED7A2A"/>
    <w:rsid w:val="00EF1D7F"/>
    <w:rsid w:val="00EF3597"/>
    <w:rsid w:val="00EF5BDB"/>
    <w:rsid w:val="00EF6192"/>
    <w:rsid w:val="00F07D2D"/>
    <w:rsid w:val="00F07FD9"/>
    <w:rsid w:val="00F101AE"/>
    <w:rsid w:val="00F10A81"/>
    <w:rsid w:val="00F13F7A"/>
    <w:rsid w:val="00F16CC5"/>
    <w:rsid w:val="00F22D72"/>
    <w:rsid w:val="00F23933"/>
    <w:rsid w:val="00F23997"/>
    <w:rsid w:val="00F24119"/>
    <w:rsid w:val="00F338ED"/>
    <w:rsid w:val="00F36DB5"/>
    <w:rsid w:val="00F40E75"/>
    <w:rsid w:val="00F42CD9"/>
    <w:rsid w:val="00F430E7"/>
    <w:rsid w:val="00F43EA4"/>
    <w:rsid w:val="00F52936"/>
    <w:rsid w:val="00F53880"/>
    <w:rsid w:val="00F54083"/>
    <w:rsid w:val="00F602C7"/>
    <w:rsid w:val="00F638E9"/>
    <w:rsid w:val="00F65E65"/>
    <w:rsid w:val="00F677CB"/>
    <w:rsid w:val="00F67B04"/>
    <w:rsid w:val="00F72CD6"/>
    <w:rsid w:val="00F73733"/>
    <w:rsid w:val="00F7408E"/>
    <w:rsid w:val="00F85A0D"/>
    <w:rsid w:val="00F861AE"/>
    <w:rsid w:val="00F922D1"/>
    <w:rsid w:val="00FA0E03"/>
    <w:rsid w:val="00FA5CF4"/>
    <w:rsid w:val="00FA7DF3"/>
    <w:rsid w:val="00FB056A"/>
    <w:rsid w:val="00FB4587"/>
    <w:rsid w:val="00FB475B"/>
    <w:rsid w:val="00FC1AB0"/>
    <w:rsid w:val="00FC45C2"/>
    <w:rsid w:val="00FC68B7"/>
    <w:rsid w:val="00FC78C3"/>
    <w:rsid w:val="00FD7C12"/>
    <w:rsid w:val="00FE1B5C"/>
    <w:rsid w:val="00FE4872"/>
    <w:rsid w:val="00FE508C"/>
    <w:rsid w:val="00FF02B1"/>
    <w:rsid w:val="00FF0425"/>
    <w:rsid w:val="00FF0A30"/>
    <w:rsid w:val="00FF4E79"/>
    <w:rsid w:val="00FF6049"/>
    <w:rsid w:val="00FF75CB"/>
    <w:rsid w:val="011A68B5"/>
    <w:rsid w:val="01E291F4"/>
    <w:rsid w:val="01F8BC53"/>
    <w:rsid w:val="02947C80"/>
    <w:rsid w:val="066B46A9"/>
    <w:rsid w:val="06703817"/>
    <w:rsid w:val="072A19F1"/>
    <w:rsid w:val="07444BA9"/>
    <w:rsid w:val="07491106"/>
    <w:rsid w:val="07ABB5A2"/>
    <w:rsid w:val="07AC5D50"/>
    <w:rsid w:val="087937D1"/>
    <w:rsid w:val="087D10A6"/>
    <w:rsid w:val="08E97072"/>
    <w:rsid w:val="0A150832"/>
    <w:rsid w:val="0AD90E9D"/>
    <w:rsid w:val="0B48334B"/>
    <w:rsid w:val="0BB5CA8F"/>
    <w:rsid w:val="0BD78B3A"/>
    <w:rsid w:val="0C5B87C5"/>
    <w:rsid w:val="0C6BA594"/>
    <w:rsid w:val="0D80E1D1"/>
    <w:rsid w:val="0F40ADF1"/>
    <w:rsid w:val="0FE3495A"/>
    <w:rsid w:val="102364A9"/>
    <w:rsid w:val="106D076D"/>
    <w:rsid w:val="107E0563"/>
    <w:rsid w:val="11DEF0E2"/>
    <w:rsid w:val="1201A5F8"/>
    <w:rsid w:val="13169E96"/>
    <w:rsid w:val="13982517"/>
    <w:rsid w:val="13E68E96"/>
    <w:rsid w:val="148254DF"/>
    <w:rsid w:val="1506F080"/>
    <w:rsid w:val="152865F2"/>
    <w:rsid w:val="15825EF7"/>
    <w:rsid w:val="15F58874"/>
    <w:rsid w:val="16C43653"/>
    <w:rsid w:val="16E6A3F6"/>
    <w:rsid w:val="1726A447"/>
    <w:rsid w:val="1797DA02"/>
    <w:rsid w:val="179E826D"/>
    <w:rsid w:val="17BD2AE0"/>
    <w:rsid w:val="17CCAC68"/>
    <w:rsid w:val="186006B4"/>
    <w:rsid w:val="19034EC5"/>
    <w:rsid w:val="194A1039"/>
    <w:rsid w:val="19C40DDB"/>
    <w:rsid w:val="1B3EA216"/>
    <w:rsid w:val="1BE2E646"/>
    <w:rsid w:val="1CDAABC3"/>
    <w:rsid w:val="1DAD13E2"/>
    <w:rsid w:val="1EA44B8D"/>
    <w:rsid w:val="1EF7867C"/>
    <w:rsid w:val="1F069025"/>
    <w:rsid w:val="1FC73295"/>
    <w:rsid w:val="2081D3DB"/>
    <w:rsid w:val="20BFA5B5"/>
    <w:rsid w:val="20D1A9DA"/>
    <w:rsid w:val="21129728"/>
    <w:rsid w:val="22082282"/>
    <w:rsid w:val="223112E2"/>
    <w:rsid w:val="22390E81"/>
    <w:rsid w:val="223C0AF0"/>
    <w:rsid w:val="2267D565"/>
    <w:rsid w:val="228A55AB"/>
    <w:rsid w:val="22FE14A1"/>
    <w:rsid w:val="237CCD08"/>
    <w:rsid w:val="23F74677"/>
    <w:rsid w:val="2404A1E5"/>
    <w:rsid w:val="25483634"/>
    <w:rsid w:val="2621FDC1"/>
    <w:rsid w:val="26585522"/>
    <w:rsid w:val="26E40695"/>
    <w:rsid w:val="27E4D57F"/>
    <w:rsid w:val="27F898CA"/>
    <w:rsid w:val="2917AC27"/>
    <w:rsid w:val="29E03185"/>
    <w:rsid w:val="29FBBF3F"/>
    <w:rsid w:val="2BF58F4E"/>
    <w:rsid w:val="2D472E86"/>
    <w:rsid w:val="2E5B59C2"/>
    <w:rsid w:val="2E88AC78"/>
    <w:rsid w:val="2F18B16A"/>
    <w:rsid w:val="2FDCA740"/>
    <w:rsid w:val="2FFB4419"/>
    <w:rsid w:val="30247CD9"/>
    <w:rsid w:val="313C193A"/>
    <w:rsid w:val="317877A1"/>
    <w:rsid w:val="322F0B69"/>
    <w:rsid w:val="32343745"/>
    <w:rsid w:val="3342E62A"/>
    <w:rsid w:val="3443AA7C"/>
    <w:rsid w:val="349739CC"/>
    <w:rsid w:val="3550482D"/>
    <w:rsid w:val="368BB72B"/>
    <w:rsid w:val="37724C69"/>
    <w:rsid w:val="38290D91"/>
    <w:rsid w:val="383D9DEB"/>
    <w:rsid w:val="39838986"/>
    <w:rsid w:val="3A774C79"/>
    <w:rsid w:val="3B1F59E7"/>
    <w:rsid w:val="3B2D6474"/>
    <w:rsid w:val="3BFE0217"/>
    <w:rsid w:val="3D9194FD"/>
    <w:rsid w:val="3D99D278"/>
    <w:rsid w:val="3D9A700C"/>
    <w:rsid w:val="3E7736AC"/>
    <w:rsid w:val="3F36B722"/>
    <w:rsid w:val="3FA4FEFB"/>
    <w:rsid w:val="40127610"/>
    <w:rsid w:val="402F0209"/>
    <w:rsid w:val="40EFF5C8"/>
    <w:rsid w:val="411DF40C"/>
    <w:rsid w:val="42EA9D9A"/>
    <w:rsid w:val="43325952"/>
    <w:rsid w:val="4361068E"/>
    <w:rsid w:val="43DFA966"/>
    <w:rsid w:val="44117FD9"/>
    <w:rsid w:val="444B16F8"/>
    <w:rsid w:val="44ADB99E"/>
    <w:rsid w:val="45361C4C"/>
    <w:rsid w:val="4575031C"/>
    <w:rsid w:val="4579F743"/>
    <w:rsid w:val="462E5D85"/>
    <w:rsid w:val="4658DBCA"/>
    <w:rsid w:val="4682CBB6"/>
    <w:rsid w:val="474A9535"/>
    <w:rsid w:val="47C4E403"/>
    <w:rsid w:val="49298C56"/>
    <w:rsid w:val="497C7DC9"/>
    <w:rsid w:val="4A2059D1"/>
    <w:rsid w:val="4A8A2353"/>
    <w:rsid w:val="4A8FB4D1"/>
    <w:rsid w:val="4AE62CC0"/>
    <w:rsid w:val="4B619B37"/>
    <w:rsid w:val="4CFDABFB"/>
    <w:rsid w:val="4D4C230C"/>
    <w:rsid w:val="4DEBB70F"/>
    <w:rsid w:val="4E0523D2"/>
    <w:rsid w:val="512F93DF"/>
    <w:rsid w:val="51468DD6"/>
    <w:rsid w:val="5187D011"/>
    <w:rsid w:val="5191459B"/>
    <w:rsid w:val="524AE174"/>
    <w:rsid w:val="55B25477"/>
    <w:rsid w:val="56166715"/>
    <w:rsid w:val="56621011"/>
    <w:rsid w:val="584CB67B"/>
    <w:rsid w:val="58F688D5"/>
    <w:rsid w:val="5992BC90"/>
    <w:rsid w:val="5A344D07"/>
    <w:rsid w:val="5A9D8158"/>
    <w:rsid w:val="5B9B37E5"/>
    <w:rsid w:val="5C013A01"/>
    <w:rsid w:val="5D024BF2"/>
    <w:rsid w:val="5E3BDED2"/>
    <w:rsid w:val="5EE2B79E"/>
    <w:rsid w:val="5F400E60"/>
    <w:rsid w:val="5F9360CF"/>
    <w:rsid w:val="5F946881"/>
    <w:rsid w:val="6000D7E4"/>
    <w:rsid w:val="61737F94"/>
    <w:rsid w:val="6177DC2D"/>
    <w:rsid w:val="61B64B74"/>
    <w:rsid w:val="61C9532E"/>
    <w:rsid w:val="628E46A4"/>
    <w:rsid w:val="63AD7DD4"/>
    <w:rsid w:val="640F01FD"/>
    <w:rsid w:val="64393B7C"/>
    <w:rsid w:val="648F2042"/>
    <w:rsid w:val="65C08EAE"/>
    <w:rsid w:val="66693394"/>
    <w:rsid w:val="66E41A86"/>
    <w:rsid w:val="67E87C78"/>
    <w:rsid w:val="6AA87D00"/>
    <w:rsid w:val="6C1F70B7"/>
    <w:rsid w:val="6C301416"/>
    <w:rsid w:val="6C59D240"/>
    <w:rsid w:val="6CCB54CE"/>
    <w:rsid w:val="7001A270"/>
    <w:rsid w:val="7002F590"/>
    <w:rsid w:val="711225C2"/>
    <w:rsid w:val="71144639"/>
    <w:rsid w:val="716189B7"/>
    <w:rsid w:val="727FDFDC"/>
    <w:rsid w:val="72931175"/>
    <w:rsid w:val="730514CD"/>
    <w:rsid w:val="73A88EB4"/>
    <w:rsid w:val="75CC21E4"/>
    <w:rsid w:val="75E2651F"/>
    <w:rsid w:val="76F46865"/>
    <w:rsid w:val="77DCBD90"/>
    <w:rsid w:val="7867CECB"/>
    <w:rsid w:val="78A97037"/>
    <w:rsid w:val="78FD9F63"/>
    <w:rsid w:val="79A17939"/>
    <w:rsid w:val="79EAB438"/>
    <w:rsid w:val="79FD6AFF"/>
    <w:rsid w:val="7ADC132F"/>
    <w:rsid w:val="7B993B60"/>
    <w:rsid w:val="7CC92ABA"/>
    <w:rsid w:val="7D66B054"/>
    <w:rsid w:val="7DAB7597"/>
    <w:rsid w:val="7DFDD857"/>
    <w:rsid w:val="7E102348"/>
    <w:rsid w:val="7E486C92"/>
    <w:rsid w:val="7EB0BA3D"/>
    <w:rsid w:val="7F5CDBB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E1C527"/>
  <w15:docId w15:val="{FCFD3294-48CB-4001-9CED-18DC01F2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semiHidden/>
    <w:qFormat/>
    <w:rsid w:val="00CF0214"/>
    <w:pPr>
      <w:spacing w:line="240" w:lineRule="auto"/>
      <w:outlineLvl w:val="1"/>
    </w:pPr>
  </w:style>
  <w:style w:type="paragraph" w:styleId="Heading3">
    <w:name w:val="heading 3"/>
    <w:basedOn w:val="Normal"/>
    <w:next w:val="Normal"/>
    <w:link w:val="Heading3Char"/>
    <w:semiHidden/>
    <w:qFormat/>
    <w:rsid w:val="00CF0214"/>
    <w:pPr>
      <w:spacing w:line="240" w:lineRule="auto"/>
      <w:outlineLvl w:val="2"/>
    </w:pPr>
  </w:style>
  <w:style w:type="paragraph" w:styleId="Heading4">
    <w:name w:val="heading 4"/>
    <w:basedOn w:val="Normal"/>
    <w:next w:val="Normal"/>
    <w:link w:val="Heading4Char"/>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01167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011679"/>
    <w:pPr>
      <w:keepNext/>
      <w:keepLines/>
      <w:tabs>
        <w:tab w:val="right" w:pos="851"/>
      </w:tabs>
      <w:spacing w:before="360" w:after="240" w:line="300" w:lineRule="exact"/>
      <w:ind w:left="1134" w:right="1134" w:hanging="1134"/>
      <w:outlineLvl w:val="1"/>
    </w:pPr>
    <w:rPr>
      <w:b/>
      <w:sz w:val="28"/>
    </w:rPr>
  </w:style>
  <w:style w:type="character" w:styleId="FootnoteReference">
    <w:name w:val="footnote reference"/>
    <w:aliases w:val="4_G,Footnote,text,Footnotes refss,Footnote number,Fago Fußnotenzeichen,Footnote Ref,16 Point,Superscript 6 Point,Fago Fu?notenzeichen,Fago Fuﬂnotenzeichen,ftref,a Footnote Reference,FZ,Appel note de bas de page,Ref FNs Char,[0],[,Ref"/>
    <w:basedOn w:val="DefaultParagraphFont"/>
    <w:link w:val="ENFootnoteReference"/>
    <w:uiPriority w:val="99"/>
    <w:qFormat/>
    <w:rsid w:val="00322FA5"/>
    <w:rPr>
      <w:rFonts w:ascii="Times New Roman" w:hAnsi="Times New Roman"/>
      <w:sz w:val="18"/>
      <w:vertAlign w:val="superscript"/>
      <w:lang w:val="fr-CH"/>
    </w:rPr>
  </w:style>
  <w:style w:type="character" w:styleId="EndnoteReference">
    <w:name w:val="endnote reference"/>
    <w:aliases w:val="1_G"/>
    <w:basedOn w:val="FootnoteReference"/>
    <w:qFormat/>
    <w:rsid w:val="00CF0214"/>
    <w:rPr>
      <w:rFonts w:ascii="Times New Roman" w:hAnsi="Times New Roman"/>
      <w:sz w:val="18"/>
      <w:vertAlign w:val="superscript"/>
      <w:lang w:val="fr-CH"/>
    </w:rPr>
  </w:style>
  <w:style w:type="paragraph" w:styleId="Header">
    <w:name w:val="header"/>
    <w:aliases w:val="6_G"/>
    <w:basedOn w:val="Normal"/>
    <w:link w:val="HeaderChar"/>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1E06CA"/>
    <w:rPr>
      <w:color w:val="0000FF"/>
      <w:u w:val="none"/>
    </w:rPr>
  </w:style>
  <w:style w:type="character" w:styleId="FollowedHyperlink">
    <w:name w:val="FollowedHyperlink"/>
    <w:basedOn w:val="DefaultParagraphFont"/>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3,Footnote Text Char1 Char,Footnote Text Char Char Char,Footnote Text Char1 Char Char Char,Footnote Text Char Char Char Char Char1,Text pozn. pod čarou Char,Note de bas de page2,Footnotes,fn,FOOTNOTES,f,FA Fu,ft,5_"/>
    <w:basedOn w:val="Normal"/>
    <w:link w:val="FootnoteTextChar"/>
    <w:uiPriority w:val="99"/>
    <w:qFormat/>
    <w:rsid w:val="00322FA5"/>
    <w:pPr>
      <w:tabs>
        <w:tab w:val="right" w:pos="1021"/>
      </w:tabs>
      <w:suppressAutoHyphens w:val="0"/>
      <w:spacing w:line="220" w:lineRule="exact"/>
      <w:ind w:left="1134" w:right="1134" w:hanging="1134"/>
    </w:pPr>
    <w:rPr>
      <w:rFonts w:eastAsiaTheme="minorHAnsi"/>
      <w:sz w:val="18"/>
      <w:lang w:val="fr-CH"/>
    </w:rPr>
  </w:style>
  <w:style w:type="paragraph" w:styleId="EndnoteText">
    <w:name w:val="endnote text"/>
    <w:aliases w:val="2_G"/>
    <w:basedOn w:val="FootnoteText"/>
    <w:link w:val="EndnoteTextChar"/>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01167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011679"/>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01167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011679"/>
    <w:pPr>
      <w:keepNext/>
      <w:keepLines/>
      <w:tabs>
        <w:tab w:val="right" w:pos="851"/>
      </w:tabs>
      <w:spacing w:before="240" w:after="120" w:line="240" w:lineRule="exact"/>
      <w:ind w:left="1134" w:right="1134" w:hanging="1134"/>
      <w:outlineLvl w:val="5"/>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numbering" w:styleId="1ai">
    <w:name w:val="Outline List 1"/>
    <w:basedOn w:val="NoList"/>
    <w:semiHidden/>
    <w:unhideWhenUsed/>
    <w:rsid w:val="004823C1"/>
    <w:pPr>
      <w:numPr>
        <w:numId w:val="9"/>
      </w:numPr>
    </w:pPr>
  </w:style>
  <w:style w:type="character" w:customStyle="1" w:styleId="Heading1Char">
    <w:name w:val="Heading 1 Char"/>
    <w:aliases w:val="Table_G Char"/>
    <w:basedOn w:val="DefaultParagraphFont"/>
    <w:link w:val="Heading1"/>
    <w:rsid w:val="004823C1"/>
    <w:rPr>
      <w:lang w:val="en-GB" w:eastAsia="en-US"/>
    </w:rPr>
  </w:style>
  <w:style w:type="character" w:customStyle="1" w:styleId="Heading2Char">
    <w:name w:val="Heading 2 Char"/>
    <w:basedOn w:val="DefaultParagraphFont"/>
    <w:link w:val="Heading2"/>
    <w:semiHidden/>
    <w:rsid w:val="004823C1"/>
    <w:rPr>
      <w:lang w:val="en-GB" w:eastAsia="en-US"/>
    </w:rPr>
  </w:style>
  <w:style w:type="character" w:customStyle="1" w:styleId="Heading3Char">
    <w:name w:val="Heading 3 Char"/>
    <w:basedOn w:val="DefaultParagraphFont"/>
    <w:link w:val="Heading3"/>
    <w:semiHidden/>
    <w:rsid w:val="004823C1"/>
    <w:rPr>
      <w:lang w:val="en-GB" w:eastAsia="en-US"/>
    </w:rPr>
  </w:style>
  <w:style w:type="character" w:customStyle="1" w:styleId="Heading4Char">
    <w:name w:val="Heading 4 Char"/>
    <w:basedOn w:val="DefaultParagraphFont"/>
    <w:link w:val="Heading4"/>
    <w:semiHidden/>
    <w:rsid w:val="004823C1"/>
    <w:rPr>
      <w:lang w:val="en-GB" w:eastAsia="en-US"/>
    </w:rPr>
  </w:style>
  <w:style w:type="character" w:customStyle="1" w:styleId="Heading5Char">
    <w:name w:val="Heading 5 Char"/>
    <w:basedOn w:val="DefaultParagraphFont"/>
    <w:link w:val="Heading5"/>
    <w:semiHidden/>
    <w:rsid w:val="004823C1"/>
    <w:rPr>
      <w:lang w:val="en-GB" w:eastAsia="en-US"/>
    </w:rPr>
  </w:style>
  <w:style w:type="character" w:customStyle="1" w:styleId="Heading6Char">
    <w:name w:val="Heading 6 Char"/>
    <w:basedOn w:val="DefaultParagraphFont"/>
    <w:link w:val="Heading6"/>
    <w:semiHidden/>
    <w:rsid w:val="004823C1"/>
    <w:rPr>
      <w:lang w:val="en-GB" w:eastAsia="en-US"/>
    </w:rPr>
  </w:style>
  <w:style w:type="character" w:customStyle="1" w:styleId="Heading7Char">
    <w:name w:val="Heading 7 Char"/>
    <w:basedOn w:val="DefaultParagraphFont"/>
    <w:link w:val="Heading7"/>
    <w:semiHidden/>
    <w:rsid w:val="004823C1"/>
    <w:rPr>
      <w:lang w:val="en-GB" w:eastAsia="en-US"/>
    </w:rPr>
  </w:style>
  <w:style w:type="character" w:customStyle="1" w:styleId="Heading8Char">
    <w:name w:val="Heading 8 Char"/>
    <w:basedOn w:val="DefaultParagraphFont"/>
    <w:link w:val="Heading8"/>
    <w:semiHidden/>
    <w:rsid w:val="004823C1"/>
    <w:rPr>
      <w:lang w:val="en-GB" w:eastAsia="en-US"/>
    </w:rPr>
  </w:style>
  <w:style w:type="character" w:customStyle="1" w:styleId="Heading9Char">
    <w:name w:val="Heading 9 Char"/>
    <w:basedOn w:val="DefaultParagraphFont"/>
    <w:link w:val="Heading9"/>
    <w:semiHidden/>
    <w:rsid w:val="004823C1"/>
    <w:rPr>
      <w:lang w:val="en-GB" w:eastAsia="en-US"/>
    </w:rPr>
  </w:style>
  <w:style w:type="character" w:customStyle="1" w:styleId="HeaderChar">
    <w:name w:val="Header Char"/>
    <w:aliases w:val="6_G Char"/>
    <w:basedOn w:val="DefaultParagraphFont"/>
    <w:link w:val="Header"/>
    <w:rsid w:val="004823C1"/>
    <w:rPr>
      <w:b/>
      <w:sz w:val="18"/>
      <w:lang w:val="en-GB" w:eastAsia="en-US"/>
    </w:rPr>
  </w:style>
  <w:style w:type="character" w:customStyle="1" w:styleId="FooterChar">
    <w:name w:val="Footer Char"/>
    <w:aliases w:val="3_G Char"/>
    <w:basedOn w:val="DefaultParagraphFont"/>
    <w:link w:val="Footer"/>
    <w:rsid w:val="004823C1"/>
    <w:rPr>
      <w:sz w:val="16"/>
      <w:lang w:val="en-GB" w:eastAsia="en-US"/>
    </w:rPr>
  </w:style>
  <w:style w:type="paragraph" w:customStyle="1" w:styleId="ParaNoG">
    <w:name w:val="_ParaNo._G"/>
    <w:basedOn w:val="SingleTxtG"/>
    <w:qFormat/>
    <w:rsid w:val="004823C1"/>
    <w:pPr>
      <w:tabs>
        <w:tab w:val="num" w:pos="0"/>
      </w:tabs>
      <w:kinsoku w:val="0"/>
      <w:overflowPunct w:val="0"/>
      <w:autoSpaceDE w:val="0"/>
      <w:autoSpaceDN w:val="0"/>
      <w:adjustRightInd w:val="0"/>
      <w:snapToGrid w:val="0"/>
    </w:pPr>
    <w:rPr>
      <w:rFonts w:eastAsiaTheme="minorHAnsi"/>
    </w:rPr>
  </w:style>
  <w:style w:type="numbering" w:styleId="111111">
    <w:name w:val="Outline List 2"/>
    <w:basedOn w:val="NoList"/>
    <w:semiHidden/>
    <w:rsid w:val="004823C1"/>
    <w:pPr>
      <w:numPr>
        <w:numId w:val="11"/>
      </w:numPr>
    </w:pPr>
  </w:style>
  <w:style w:type="character" w:customStyle="1" w:styleId="FootnoteTextChar">
    <w:name w:val="Footnote Text Char"/>
    <w:aliases w:val="5_G Char,Footnote Text Char3 Char,Footnote Text Char1 Char Char,Footnote Text Char Char Char Char,Footnote Text Char1 Char Char Char Char,Footnote Text Char Char Char Char Char1 Char,Text pozn. pod čarou Char Char,Footnotes Char"/>
    <w:basedOn w:val="DefaultParagraphFont"/>
    <w:link w:val="FootnoteText"/>
    <w:uiPriority w:val="99"/>
    <w:qFormat/>
    <w:rsid w:val="00322FA5"/>
    <w:rPr>
      <w:rFonts w:eastAsiaTheme="minorHAnsi"/>
      <w:sz w:val="18"/>
      <w:lang w:val="fr-CH" w:eastAsia="en-US"/>
    </w:rPr>
  </w:style>
  <w:style w:type="character" w:customStyle="1" w:styleId="EndnoteTextChar">
    <w:name w:val="Endnote Text Char"/>
    <w:aliases w:val="2_G Char"/>
    <w:basedOn w:val="DefaultParagraphFont"/>
    <w:link w:val="EndnoteText"/>
    <w:rsid w:val="004823C1"/>
    <w:rPr>
      <w:sz w:val="18"/>
      <w:lang w:val="en-GB" w:eastAsia="en-US"/>
    </w:rPr>
  </w:style>
  <w:style w:type="character" w:styleId="BookTitle">
    <w:name w:val="Book Title"/>
    <w:basedOn w:val="DefaultParagraphFont"/>
    <w:uiPriority w:val="33"/>
    <w:rsid w:val="004823C1"/>
    <w:rPr>
      <w:b/>
      <w:bCs/>
      <w:smallCaps/>
      <w:spacing w:val="5"/>
    </w:rPr>
  </w:style>
  <w:style w:type="character" w:styleId="CommentReference">
    <w:name w:val="annotation reference"/>
    <w:basedOn w:val="DefaultParagraphFont"/>
    <w:unhideWhenUsed/>
    <w:rsid w:val="004823C1"/>
    <w:rPr>
      <w:sz w:val="16"/>
      <w:szCs w:val="16"/>
    </w:rPr>
  </w:style>
  <w:style w:type="paragraph" w:styleId="CommentText">
    <w:name w:val="annotation text"/>
    <w:basedOn w:val="Normal"/>
    <w:link w:val="CommentTextChar"/>
    <w:uiPriority w:val="99"/>
    <w:unhideWhenUsed/>
    <w:rsid w:val="004823C1"/>
    <w:pPr>
      <w:kinsoku w:val="0"/>
      <w:overflowPunct w:val="0"/>
      <w:autoSpaceDE w:val="0"/>
      <w:autoSpaceDN w:val="0"/>
      <w:adjustRightInd w:val="0"/>
      <w:snapToGrid w:val="0"/>
      <w:spacing w:line="240" w:lineRule="auto"/>
    </w:pPr>
    <w:rPr>
      <w:rFonts w:eastAsiaTheme="minorHAnsi"/>
    </w:rPr>
  </w:style>
  <w:style w:type="character" w:customStyle="1" w:styleId="CommentTextChar">
    <w:name w:val="Comment Text Char"/>
    <w:basedOn w:val="DefaultParagraphFont"/>
    <w:link w:val="CommentText"/>
    <w:uiPriority w:val="99"/>
    <w:rsid w:val="004823C1"/>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4823C1"/>
    <w:rPr>
      <w:b/>
      <w:bCs/>
    </w:rPr>
  </w:style>
  <w:style w:type="character" w:customStyle="1" w:styleId="CommentSubjectChar">
    <w:name w:val="Comment Subject Char"/>
    <w:basedOn w:val="CommentTextChar"/>
    <w:link w:val="CommentSubject"/>
    <w:uiPriority w:val="99"/>
    <w:semiHidden/>
    <w:rsid w:val="004823C1"/>
    <w:rPr>
      <w:rFonts w:eastAsiaTheme="minorHAnsi"/>
      <w:b/>
      <w:bCs/>
      <w:lang w:val="en-GB" w:eastAsia="en-US"/>
    </w:rPr>
  </w:style>
  <w:style w:type="paragraph" w:customStyle="1" w:styleId="ENFootnoteReference">
    <w:name w:val="EN Footnote Reference"/>
    <w:aliases w:val="-E Fußnotenzeichen,number,SUPERS,BVI fnr תו Char Char Char,BVI fnr Car Car תו Char Char Char,BVI fnr Car תו Char Char Char,BVI fn"/>
    <w:basedOn w:val="Normal"/>
    <w:link w:val="FootnoteReference"/>
    <w:uiPriority w:val="99"/>
    <w:rsid w:val="004823C1"/>
    <w:pPr>
      <w:suppressAutoHyphens w:val="0"/>
      <w:spacing w:after="160" w:line="240" w:lineRule="exact"/>
    </w:pPr>
    <w:rPr>
      <w:sz w:val="18"/>
      <w:vertAlign w:val="superscript"/>
      <w:lang w:val="fr-CH" w:eastAsia="fr-FR"/>
    </w:rPr>
  </w:style>
  <w:style w:type="character" w:customStyle="1" w:styleId="SingleTxtGChar">
    <w:name w:val="_ Single Txt_G Char"/>
    <w:link w:val="SingleTxtG"/>
    <w:locked/>
    <w:rsid w:val="004823C1"/>
    <w:rPr>
      <w:lang w:val="en-GB" w:eastAsia="en-US"/>
    </w:rPr>
  </w:style>
  <w:style w:type="paragraph" w:styleId="ListParagraph">
    <w:name w:val="List Paragraph"/>
    <w:basedOn w:val="Normal"/>
    <w:uiPriority w:val="34"/>
    <w:qFormat/>
    <w:rsid w:val="004823C1"/>
    <w:pPr>
      <w:suppressAutoHyphens w:val="0"/>
      <w:spacing w:after="160" w:line="259" w:lineRule="auto"/>
      <w:ind w:left="720"/>
      <w:contextualSpacing/>
    </w:pPr>
    <w:rPr>
      <w:rFonts w:asciiTheme="minorHAnsi" w:eastAsiaTheme="minorHAnsi" w:hAnsiTheme="minorHAnsi" w:cstheme="minorBidi"/>
      <w:sz w:val="22"/>
      <w:szCs w:val="22"/>
    </w:rPr>
  </w:style>
  <w:style w:type="paragraph" w:customStyle="1" w:styleId="SingleTxt">
    <w:name w:val="__Single Txt"/>
    <w:basedOn w:val="Normal"/>
    <w:rsid w:val="004823C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rFonts w:eastAsiaTheme="minorHAnsi"/>
      <w:spacing w:val="4"/>
      <w:w w:val="103"/>
      <w:kern w:val="14"/>
    </w:rPr>
  </w:style>
  <w:style w:type="paragraph" w:styleId="Revision">
    <w:name w:val="Revision"/>
    <w:hidden/>
    <w:uiPriority w:val="99"/>
    <w:semiHidden/>
    <w:rsid w:val="004823C1"/>
    <w:rPr>
      <w:rFonts w:eastAsiaTheme="minorHAnsi"/>
      <w:lang w:val="en-GB" w:eastAsia="en-US"/>
    </w:rPr>
  </w:style>
  <w:style w:type="character" w:customStyle="1" w:styleId="UnresolvedMention1">
    <w:name w:val="Unresolved Mention1"/>
    <w:basedOn w:val="DefaultParagraphFont"/>
    <w:uiPriority w:val="99"/>
    <w:semiHidden/>
    <w:unhideWhenUsed/>
    <w:rsid w:val="004823C1"/>
    <w:rPr>
      <w:color w:val="605E5C"/>
      <w:shd w:val="clear" w:color="auto" w:fill="E1DFDD"/>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qFormat/>
    <w:rsid w:val="004823C1"/>
    <w:pPr>
      <w:suppressAutoHyphens w:val="0"/>
      <w:spacing w:after="160" w:line="240" w:lineRule="exact"/>
    </w:pPr>
    <w:rPr>
      <w:rFonts w:eastAsiaTheme="minorHAnsi" w:cstheme="minorBidi"/>
      <w:sz w:val="18"/>
      <w:szCs w:val="22"/>
      <w:vertAlign w:val="superscript"/>
    </w:rPr>
  </w:style>
  <w:style w:type="character" w:customStyle="1" w:styleId="UnresolvedMention2">
    <w:name w:val="Unresolved Mention2"/>
    <w:basedOn w:val="DefaultParagraphFont"/>
    <w:uiPriority w:val="99"/>
    <w:semiHidden/>
    <w:unhideWhenUsed/>
    <w:rsid w:val="004823C1"/>
    <w:rPr>
      <w:color w:val="605E5C"/>
      <w:shd w:val="clear" w:color="auto" w:fill="E1DFDD"/>
    </w:rPr>
  </w:style>
  <w:style w:type="paragraph" w:styleId="NormalWeb">
    <w:name w:val="Normal (Web)"/>
    <w:basedOn w:val="Normal"/>
    <w:uiPriority w:val="99"/>
    <w:semiHidden/>
    <w:unhideWhenUsed/>
    <w:rsid w:val="004823C1"/>
    <w:pPr>
      <w:kinsoku w:val="0"/>
      <w:overflowPunct w:val="0"/>
      <w:autoSpaceDE w:val="0"/>
      <w:autoSpaceDN w:val="0"/>
      <w:adjustRightInd w:val="0"/>
      <w:snapToGrid w:val="0"/>
    </w:pPr>
    <w:rPr>
      <w:rFonts w:eastAsiaTheme="minorHAnsi"/>
      <w:sz w:val="24"/>
      <w:szCs w:val="24"/>
    </w:rPr>
  </w:style>
  <w:style w:type="character" w:customStyle="1" w:styleId="UnresolvedMention3">
    <w:name w:val="Unresolved Mention3"/>
    <w:basedOn w:val="DefaultParagraphFont"/>
    <w:uiPriority w:val="99"/>
    <w:semiHidden/>
    <w:unhideWhenUsed/>
    <w:rsid w:val="004823C1"/>
    <w:rPr>
      <w:color w:val="605E5C"/>
      <w:shd w:val="clear" w:color="auto" w:fill="E1DFDD"/>
    </w:rPr>
  </w:style>
  <w:style w:type="character" w:customStyle="1" w:styleId="UnresolvedMention4">
    <w:name w:val="Unresolved Mention4"/>
    <w:basedOn w:val="DefaultParagraphFont"/>
    <w:uiPriority w:val="99"/>
    <w:semiHidden/>
    <w:unhideWhenUsed/>
    <w:rsid w:val="004823C1"/>
    <w:rPr>
      <w:color w:val="605E5C"/>
      <w:shd w:val="clear" w:color="auto" w:fill="E1DFDD"/>
    </w:rPr>
  </w:style>
  <w:style w:type="character" w:customStyle="1" w:styleId="UnresolvedMention5">
    <w:name w:val="Unresolved Mention5"/>
    <w:basedOn w:val="DefaultParagraphFont"/>
    <w:uiPriority w:val="99"/>
    <w:semiHidden/>
    <w:unhideWhenUsed/>
    <w:rsid w:val="001E06CA"/>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customStyle="1" w:styleId="Default">
    <w:name w:val="Default"/>
    <w:rsid w:val="00CA273B"/>
    <w:pPr>
      <w:autoSpaceDE w:val="0"/>
      <w:autoSpaceDN w:val="0"/>
      <w:adjustRightInd w:val="0"/>
    </w:pPr>
    <w:rPr>
      <w:color w:val="000000"/>
      <w:sz w:val="24"/>
      <w:szCs w:val="24"/>
      <w:lang w:val="en-US"/>
    </w:rPr>
  </w:style>
  <w:style w:type="character" w:customStyle="1" w:styleId="UnresolvedMention6">
    <w:name w:val="Unresolved Mention6"/>
    <w:basedOn w:val="DefaultParagraphFont"/>
    <w:uiPriority w:val="99"/>
    <w:semiHidden/>
    <w:unhideWhenUsed/>
    <w:rsid w:val="001D1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956902">
      <w:bodyDiv w:val="1"/>
      <w:marLeft w:val="0"/>
      <w:marRight w:val="0"/>
      <w:marTop w:val="0"/>
      <w:marBottom w:val="0"/>
      <w:divBdr>
        <w:top w:val="none" w:sz="0" w:space="0" w:color="auto"/>
        <w:left w:val="none" w:sz="0" w:space="0" w:color="auto"/>
        <w:bottom w:val="none" w:sz="0" w:space="0" w:color="auto"/>
        <w:right w:val="none" w:sz="0" w:space="0" w:color="auto"/>
      </w:divBdr>
    </w:div>
    <w:div w:id="15550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isna.ir/news/1400043021902/" TargetMode="External"/><Relationship Id="rId18" Type="http://schemas.openxmlformats.org/officeDocument/2006/relationships/hyperlink" Target="http://fna.ir/2k69u" TargetMode="External"/><Relationship Id="rId26" Type="http://schemas.openxmlformats.org/officeDocument/2006/relationships/hyperlink" Target="https://www.kmmk-ge.org/wp-content/uploads/2021/10/2021-Interim-Annual-Report-KMMK-G-.pdf" TargetMode="External"/><Relationship Id="rId39" Type="http://schemas.openxmlformats.org/officeDocument/2006/relationships/hyperlink" Target="https://iranhumanrights.org/2022/03/plea-to-un-to-demand-freedom-for-gravely-ill-sepideh-qoliyan/" TargetMode="External"/><Relationship Id="rId21" Type="http://schemas.openxmlformats.org/officeDocument/2006/relationships/hyperlink" Target="https://www.irna.ir/news/84537500/" TargetMode="External"/><Relationship Id="rId34" Type="http://schemas.openxmlformats.org/officeDocument/2006/relationships/hyperlink" Target="https://rsf.org/en/news/rsf-asks-un-investigate-iranian-journalist-baktash-abtins-death" TargetMode="External"/><Relationship Id="rId42" Type="http://schemas.openxmlformats.org/officeDocument/2006/relationships/hyperlink" Target="https://www.entekhab.ir/fa/news/666511/" TargetMode="External"/><Relationship Id="rId47" Type="http://schemas.openxmlformats.org/officeDocument/2006/relationships/hyperlink" Target="https://www.isna.ir/news/1400090705278/" TargetMode="External"/><Relationship Id="rId50" Type="http://schemas.openxmlformats.org/officeDocument/2006/relationships/hyperlink" Target="https://tn.ai/2098195" TargetMode="External"/><Relationship Id="rId55" Type="http://schemas.openxmlformats.org/officeDocument/2006/relationships/hyperlink" Target="https://rc.majlis.ir/fa/legal_draft/show/1630697" TargetMode="External"/><Relationship Id="rId63" Type="http://schemas.openxmlformats.org/officeDocument/2006/relationships/hyperlink" Target="https://www.frontlinedefenders.org/en/case/whrd-farzaneh-zilabi-sentenced-one-year-prison-and-two-year-travel-ban" TargetMode="External"/><Relationship Id="rId68" Type="http://schemas.openxmlformats.org/officeDocument/2006/relationships/hyperlink" Target="https://iranhr.net/en/articles/5126/" TargetMode="External"/><Relationship Id="rId76" Type="http://schemas.openxmlformats.org/officeDocument/2006/relationships/hyperlink" Target="https://www.presstv.ir/Detail/2022/04/20/680690/Iran-water-rights-Afghanistan-Helmand-Mokhber" TargetMode="External"/><Relationship Id="rId84" Type="http://schemas.openxmlformats.org/officeDocument/2006/relationships/hyperlink" Target="https://www.reuters.com/world/middle-east/iran-says-one-person-dying-covid-19-every-two-minutes-2021-08-09/" TargetMode="External"/><Relationship Id="rId89" Type="http://schemas.openxmlformats.org/officeDocument/2006/relationships/hyperlink" Target="https://www.dw.com/en/irans-patriotic-vaccination-policy-is-making-some-people-rich/a-59342029" TargetMode="External"/><Relationship Id="rId7" Type="http://schemas.openxmlformats.org/officeDocument/2006/relationships/hyperlink" Target="https://iranhr.net/media/files/Annual_Report_on_the_Death_Penalty_in_Iran_2021_BwW7LPR.pdf" TargetMode="External"/><Relationship Id="rId71" Type="http://schemas.openxmlformats.org/officeDocument/2006/relationships/hyperlink" Target="https://hana-hr.org/content/20211122-kurdish-civil-activist-afshin-hossein-panahi-summoned-to-sanandaj-public-and-revolutionary-prosecutor-s-office" TargetMode="External"/><Relationship Id="rId92" Type="http://schemas.openxmlformats.org/officeDocument/2006/relationships/hyperlink" Target="http://www.imna.ir/news/562938/" TargetMode="External"/><Relationship Id="rId2" Type="http://schemas.openxmlformats.org/officeDocument/2006/relationships/hyperlink" Target="https://data2.unhcr.org/en/country/irn%20-%20:~:text=UNHCR%20facilitates%20voluntary%25%2020repatriation%20for%20Afghan%20refugees%20who,nearly%201%20million%20refugees%20to%20return%20to%20Afghanistan." TargetMode="External"/><Relationship Id="rId16" Type="http://schemas.openxmlformats.org/officeDocument/2006/relationships/hyperlink" Target="http://fna.ir/2jb7z" TargetMode="External"/><Relationship Id="rId29" Type="http://schemas.openxmlformats.org/officeDocument/2006/relationships/hyperlink" Target="https://www.hrw.org/world-report/2021/country-chapters/iran" TargetMode="External"/><Relationship Id="rId11" Type="http://schemas.openxmlformats.org/officeDocument/2006/relationships/hyperlink" Target="https://www.amnesty.org/en/latest/news/2021/07/iran-security-forces-use-live-ammunition-and-birdshot-to-crush-khuzestan-protests/" TargetMode="External"/><Relationship Id="rId24" Type="http://schemas.openxmlformats.org/officeDocument/2006/relationships/hyperlink" Target="https://iranhr.net/en/articles/5000/?msclkid=420880acab5b11ecae3981eb25648f89" TargetMode="External"/><Relationship Id="rId32" Type="http://schemas.openxmlformats.org/officeDocument/2006/relationships/hyperlink" Target="https://www.en-hrana.org/irib-denies-that-khosro-jamalifars-suspicious-death-in-sanadaj-prison-was-result-of-guard-brutality/" TargetMode="External"/><Relationship Id="rId37" Type="http://schemas.openxmlformats.org/officeDocument/2006/relationships/hyperlink" Target="https://www.amnesty.org/en/wp-content/uploads/2022/02/MDE1352062022ENGLISH.pdf" TargetMode="External"/><Relationship Id="rId40" Type="http://schemas.openxmlformats.org/officeDocument/2006/relationships/hyperlink" Target="https://www.ohchr.org/EN/NewsEvents/Pages/DisplayNews.aspx?NewsID=27817&amp;LangID=E" TargetMode="External"/><Relationship Id="rId45" Type="http://schemas.openxmlformats.org/officeDocument/2006/relationships/hyperlink" Target="https://www.tasnimnews.com/fa/news/1400/03/08/2511544/" TargetMode="External"/><Relationship Id="rId53" Type="http://schemas.openxmlformats.org/officeDocument/2006/relationships/hyperlink" Target="https://www.hrw.org/news/2020/12/04/iran-adopt-draft-law-protect-women" TargetMode="External"/><Relationship Id="rId58" Type="http://schemas.openxmlformats.org/officeDocument/2006/relationships/hyperlink" Target="https://cpj.org/2021/11/iran-parliament-bill-restrict-internet/" TargetMode="External"/><Relationship Id="rId66" Type="http://schemas.openxmlformats.org/officeDocument/2006/relationships/hyperlink" Target="https://www.iranhumanrights.org/2021/10/detained-lawyer-of-iranian-instagram-star-tortured-bit-off-tongue-after-unidentified-injection/" TargetMode="External"/><Relationship Id="rId74" Type="http://schemas.openxmlformats.org/officeDocument/2006/relationships/hyperlink" Target="https://www.khabaronline.ir/news/1585394/%DB%B9-%D9%85%DB%8C%D9%84%DB%8C%D9%88%D9%86-%D9%86%D9%81%D8%B1-%D8%A7%D8%B2-%D8%AC%D9%85%D8%B9%DB%8C%D8%AA-%D8%B1%D9%88%D8%B3%D8%AA%D8%A7%DB%8C%DB%8C-%DA%A9%D8%B4%D9%88%D8%B1-%D8%AF%DA%86%D8%A7%D8%B1-%D8%AA%D9%86%D8%B4-%D8%A2%D8%A8%DB%8C-%D9%87%D8%B3%D8%AA%D9%86%D8%AF" TargetMode="External"/><Relationship Id="rId79" Type="http://schemas.openxmlformats.org/officeDocument/2006/relationships/hyperlink" Target="https://www.forbes.com/sites/oliverwilliams1/2021/06/28/iran-sees-millionaire-boom-amid-sanctions-covid-19-and-an-election/?sh=5b7b0ce0a93b" TargetMode="External"/><Relationship Id="rId87" Type="http://schemas.openxmlformats.org/officeDocument/2006/relationships/hyperlink" Target="https://www.imna.ir/news/515632/" TargetMode="External"/><Relationship Id="rId5" Type="http://schemas.openxmlformats.org/officeDocument/2006/relationships/hyperlink" Target="https://reliefweb.int/sites/reliefweb.int/files/resources/iom_afghanistan-return_of_undocumented_afghans_situation_report_03-09_sep_2021_psu_1.pdf" TargetMode="External"/><Relationship Id="rId61" Type="http://schemas.openxmlformats.org/officeDocument/2006/relationships/hyperlink" Target="https://www.zoomit.ir/tech-iran/379992-new-plan-of-the-parliament/" TargetMode="External"/><Relationship Id="rId82" Type="http://schemas.openxmlformats.org/officeDocument/2006/relationships/hyperlink" Target="https://www.isna.ir/news/1400082317565/%D8%AA%D8%B5%D9%88%DB%8C%D8%B1%20%DB%8C-%D9%87%D9%88%D9%84%D9%86%D8%A7%DA%A9-%D8%A7%D8%B2-%D8%B3%D9%88%D9%86%D8%A7%D9%85%DB%8C-%D8%A2%D8%B3%DB%8C%D8%A8-%D9%87%D8%A7%DB%8C-%D8%A7%D8%AC%D8%AA%D9%85%D8%A7%D8%B9%DB%8C-%D8%A8%D8%A7-%D8%B4%DB%8C%D9%88%D8%B9-%DA%A9%D8%B1%D9%88%D9%86%D8%A7-%D8%A8%D8%B1%D8%A7%D8%B3%D8%A7%D8%B3" TargetMode="External"/><Relationship Id="rId90" Type="http://schemas.openxmlformats.org/officeDocument/2006/relationships/hyperlink" Target="https://iranhumanrights.org/2021/08/iran-should-lift-deadly-ban-on-foreign-covid-vaccines/" TargetMode="External"/><Relationship Id="rId19" Type="http://schemas.openxmlformats.org/officeDocument/2006/relationships/hyperlink" Target="https://www.amnesty.org/en/latest/news/2021/08/iran-security-forces-use-ruthless-force-mass-arrests-and-torture-to-crush-peaceful-protests/" TargetMode="External"/><Relationship Id="rId14" Type="http://schemas.openxmlformats.org/officeDocument/2006/relationships/hyperlink" Target="https://www.amnesty.org/en/latest/news/2021/07/iran-security-forces-use-live-ammunition-and-birdshot-to-crush-khuzestan-protests/" TargetMode="External"/><Relationship Id="rId22" Type="http://schemas.openxmlformats.org/officeDocument/2006/relationships/hyperlink" Target="https://www.farsnews.ir/isfahan/news/14000904000459/" TargetMode="External"/><Relationship Id="rId27" Type="http://schemas.openxmlformats.org/officeDocument/2006/relationships/hyperlink" Target="https://www.amnesty.org/en/documents/mde13/4669/2021/en/" TargetMode="External"/><Relationship Id="rId30" Type="http://schemas.openxmlformats.org/officeDocument/2006/relationships/hyperlink" Target="https://kurdistanhumanrights.org/en/iran-prison-officers-beat-young-man-to-death/" TargetMode="External"/><Relationship Id="rId35" Type="http://schemas.openxmlformats.org/officeDocument/2006/relationships/hyperlink" Target="https://www.ohchr.org/en/press-releases/2020/10/citing-covid-risk-bachelet-calls-iran-release-jailed-human-rights-defenders?LangID=E&amp;NewsID=26345" TargetMode="External"/><Relationship Id="rId43" Type="http://schemas.openxmlformats.org/officeDocument/2006/relationships/hyperlink" Target="https://www.sharghdaily.com/Section-news-3/846573-leader-urges-for-population-growth-in-iran-as-necessity" TargetMode="External"/><Relationship Id="rId48" Type="http://schemas.openxmlformats.org/officeDocument/2006/relationships/hyperlink" Target="http://women.gov.ir/fa/news/14159/" TargetMode="External"/><Relationship Id="rId56" Type="http://schemas.openxmlformats.org/officeDocument/2006/relationships/hyperlink" Target="https://www.ohchr.org/en/press-releases/2022/03/un-human-rights-experts-urge-iran-abandon-restrictive-internet-bill" TargetMode="External"/><Relationship Id="rId64" Type="http://schemas.openxmlformats.org/officeDocument/2006/relationships/hyperlink" Target="https://www.fidh.org/en/issues/human-rights-defenders/iran-arbitrary-detention-of-human-rights-defender-reza-eslami" TargetMode="External"/><Relationship Id="rId69" Type="http://schemas.openxmlformats.org/officeDocument/2006/relationships/hyperlink" Target="https://www.iranhumanrights.org/2022/01/five-minute-trial-resulted-in-narges-mohammadis-eight-year-prison-sentence-iran/" TargetMode="External"/><Relationship Id="rId77" Type="http://schemas.openxmlformats.org/officeDocument/2006/relationships/hyperlink" Target="https://openknowledge.worldbank.org/handle/10986/36785" TargetMode="External"/><Relationship Id="rId8" Type="http://schemas.openxmlformats.org/officeDocument/2006/relationships/hyperlink" Target="https://iranhr.net/en/articles/4917/?msclkid=ff449a45ab5711ec8f89ea9b3d706c67" TargetMode="External"/><Relationship Id="rId51" Type="http://schemas.openxmlformats.org/officeDocument/2006/relationships/hyperlink" Target="https://iranhumanrights.org/2022/02/decapitated-child-bride-highlights-irans-lack-of-protections-for-girls-and-women/" TargetMode="External"/><Relationship Id="rId72" Type="http://schemas.openxmlformats.org/officeDocument/2006/relationships/hyperlink" Target="https://kurdistanhumanrights.org/en/iran-threatens-mother-of-kurdish-political-prisoner-zeynab-jalalian/" TargetMode="External"/><Relationship Id="rId80" Type="http://schemas.openxmlformats.org/officeDocument/2006/relationships/hyperlink" Target="https://worldwealthreport.com/resources/world-wealth-report-2021/" TargetMode="External"/><Relationship Id="rId85" Type="http://schemas.openxmlformats.org/officeDocument/2006/relationships/hyperlink" Target="https://covid19.who.int/region/emro/country/ir" TargetMode="External"/><Relationship Id="rId3" Type="http://schemas.openxmlformats.org/officeDocument/2006/relationships/hyperlink" Target="https://reliefweb.int/report/iran-islamic-republic/unhcr-iran-new-arrivals-afghanistan-29-january-2022" TargetMode="External"/><Relationship Id="rId12" Type="http://schemas.openxmlformats.org/officeDocument/2006/relationships/hyperlink" Target="https://www.hrw.org/news/2021/07/22/iran-deadly-response-water-protests" TargetMode="External"/><Relationship Id="rId17" Type="http://schemas.openxmlformats.org/officeDocument/2006/relationships/hyperlink" Target="https://web.archive.org/web/20210721073431/;%20https://www.magiran.com/article/4200515" TargetMode="External"/><Relationship Id="rId25" Type="http://schemas.openxmlformats.org/officeDocument/2006/relationships/hyperlink" Target="https://www.farsnews.ir/news/14000906000495/" TargetMode="External"/><Relationship Id="rId33" Type="http://schemas.openxmlformats.org/officeDocument/2006/relationships/hyperlink" Target="https://hengaw.net/en/news/the-official-death-announcement-of-two-kurdish-civilians-who-were-killed-under-torture-by-the-iranian-revolutionary-guard-corps-to-their-families" TargetMode="External"/><Relationship Id="rId38" Type="http://schemas.openxmlformats.org/officeDocument/2006/relationships/hyperlink" Target="https://iranhumanrights.org/2022/03/denial-of-medical-treatment-for-ailing-political-prisoners-in-iran-aimed-at-crushing-dissent/" TargetMode="External"/><Relationship Id="rId46" Type="http://schemas.openxmlformats.org/officeDocument/2006/relationships/hyperlink" Target="https://www.who.int/news-room/fact-sheets/detail/abortion" TargetMode="External"/><Relationship Id="rId59" Type="http://schemas.openxmlformats.org/officeDocument/2006/relationships/hyperlink" Target="https://www.article19.org/resources/iran-drop-charges-against-human-rights-activist-hossein-ronaghi/" TargetMode="External"/><Relationship Id="rId67" Type="http://schemas.openxmlformats.org/officeDocument/2006/relationships/hyperlink" Target="https://www.frontlinedefenders.org/en/case/woman-human-rights-defender-atena-daemi-released-lakan-prison" TargetMode="External"/><Relationship Id="rId20" Type="http://schemas.openxmlformats.org/officeDocument/2006/relationships/hyperlink" Target="https://www.iranhumanrights.org/2021/11/isfahan-instead-of-crushing-protests-the-iranian-government-should-solve-its-water-crisis/" TargetMode="External"/><Relationship Id="rId41" Type="http://schemas.openxmlformats.org/officeDocument/2006/relationships/hyperlink" Target="https://www.mehrnews.com/xWSsR" TargetMode="External"/><Relationship Id="rId54" Type="http://schemas.openxmlformats.org/officeDocument/2006/relationships/hyperlink" Target="https://www.hamshahrionline.ir/x7d7h" TargetMode="External"/><Relationship Id="rId62" Type="http://schemas.openxmlformats.org/officeDocument/2006/relationships/hyperlink" Target="https://www.hrw.org/news/2021/12/09/joint-statement-free-arbitrarily-detained-right-health-defenders-iran" TargetMode="External"/><Relationship Id="rId70" Type="http://schemas.openxmlformats.org/officeDocument/2006/relationships/hyperlink" Target="https://www.hra-news.org/2022/hranews/a-33773/" TargetMode="External"/><Relationship Id="rId75" Type="http://schemas.openxmlformats.org/officeDocument/2006/relationships/hyperlink" Target="https://www.presstv.ir/Detail/2022/02/28/677729/Iran-water-transfer-project-Oman-Sea" TargetMode="External"/><Relationship Id="rId83" Type="http://schemas.openxmlformats.org/officeDocument/2006/relationships/hyperlink" Target="https://www.radiozamaneh.com/689590" TargetMode="External"/><Relationship Id="rId88" Type="http://schemas.openxmlformats.org/officeDocument/2006/relationships/hyperlink" Target="https://iranhumanrights.org/2021/01/iranian-rights-groups-call-on-khamenei-to-allow-purchase-of-u-s-and-uk-covid-19-vaccines/" TargetMode="External"/><Relationship Id="rId91" Type="http://schemas.openxmlformats.org/officeDocument/2006/relationships/hyperlink" Target="https://www.hrw.org/news/2021/08/19/iran-government-mismanagement-compounds-covid-19-crisis" TargetMode="External"/><Relationship Id="rId1" Type="http://schemas.openxmlformats.org/officeDocument/2006/relationships/hyperlink" Target="https://data2.unhcr.org/en/country/irn" TargetMode="External"/><Relationship Id="rId6" Type="http://schemas.openxmlformats.org/officeDocument/2006/relationships/hyperlink" Target="https://www.hri.global/death-penalty-2021" TargetMode="External"/><Relationship Id="rId15" Type="http://schemas.openxmlformats.org/officeDocument/2006/relationships/hyperlink" Target="https://www.isna.ir/news/1400042820561/" TargetMode="External"/><Relationship Id="rId23" Type="http://schemas.openxmlformats.org/officeDocument/2006/relationships/hyperlink" Target="https://netblocks.org/reports/internet-disruption-registered-in-iran-amid-water-protests-RyjnQRyg" TargetMode="External"/><Relationship Id="rId28" Type="http://schemas.openxmlformats.org/officeDocument/2006/relationships/hyperlink" Target="https://www.iranrights.org/library/collection/141/flogging" TargetMode="External"/><Relationship Id="rId36" Type="http://schemas.openxmlformats.org/officeDocument/2006/relationships/hyperlink" Target="https://www.iranhumanrights.org/2022/01/writer-in-coma-another-political-prisoner-dead-after-arbitrary-imprisonment-in-iran/" TargetMode="External"/><Relationship Id="rId49" Type="http://schemas.openxmlformats.org/officeDocument/2006/relationships/hyperlink" Target="https://spcommreports.ohchr.org/TMResultsBase/DownLoadPublicCommunicationFile?gId=25651" TargetMode="External"/><Relationship Id="rId57" Type="http://schemas.openxmlformats.org/officeDocument/2006/relationships/hyperlink" Target="https://spcommreports.ohchr.org/TMResultsBase/DownLoadPublicCommunicationFile?gId=26736" TargetMode="External"/><Relationship Id="rId10" Type="http://schemas.openxmlformats.org/officeDocument/2006/relationships/hyperlink" Target="https://www.en-hrana.org/juvenile-offenders-death-sentence-revoked-after-18-years-in-prison/" TargetMode="External"/><Relationship Id="rId31" Type="http://schemas.openxmlformats.org/officeDocument/2006/relationships/hyperlink" Target="https://www.iribnews.ir/fa/news/3271407/" TargetMode="External"/><Relationship Id="rId44" Type="http://schemas.openxmlformats.org/officeDocument/2006/relationships/hyperlink" Target="https://www.tasnimnews.com/fa/news/1400/03/08/2511544/" TargetMode="External"/><Relationship Id="rId52" Type="http://schemas.openxmlformats.org/officeDocument/2006/relationships/hyperlink" Target="https://observers.france24.com/en/asia-pacific/20220216-femicide-iran-honour-killing-beheading" TargetMode="External"/><Relationship Id="rId60" Type="http://schemas.openxmlformats.org/officeDocument/2006/relationships/hyperlink" Target="https://apnews.com/article/technology-iran-media-hunger-strikes-social-media-0dbc92dd2b6ca10b07db80a1d715a7ee" TargetMode="External"/><Relationship Id="rId65" Type="http://schemas.openxmlformats.org/officeDocument/2006/relationships/hyperlink" Target="https://iranhumanrights.org/2022/03/joint-statement-free-imprisoned-human-rights-lawyer-mohammad-najafi-in-iran/" TargetMode="External"/><Relationship Id="rId73" Type="http://schemas.openxmlformats.org/officeDocument/2006/relationships/hyperlink" Target="https://cdn.isna.ir/d/2021/09/28/0/62043415.pdf" TargetMode="External"/><Relationship Id="rId78" Type="http://schemas.openxmlformats.org/officeDocument/2006/relationships/hyperlink" Target="https://openknowledge.worldbank.org/handle/10986/36785" TargetMode="External"/><Relationship Id="rId81" Type="http://schemas.openxmlformats.org/officeDocument/2006/relationships/hyperlink" Target="https://www.ft.com/content/520b54e4-c793-4e7d-84f5-03f71587532d" TargetMode="External"/><Relationship Id="rId86" Type="http://schemas.openxmlformats.org/officeDocument/2006/relationships/hyperlink" Target="http://www.emro.who.int/iran/news/statement-on-covid-19-vaccination-in-islamic-republic-of-iran-by-who-representative-dr-jaffar-hussain.html" TargetMode="External"/><Relationship Id="rId4" Type="http://schemas.openxmlformats.org/officeDocument/2006/relationships/hyperlink" Target="https://www.unhcr.org/news/briefing/2021/8/611b62584/unhcr-issues-non-return-advisory-afghanistan.html" TargetMode="External"/><Relationship Id="rId9" Type="http://schemas.openxmlformats.org/officeDocument/2006/relationships/hyperlink" Target="https://iranhr.net/en/articles/51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db45806d-a62c-41bf-9916-5b8cbc5ef133" xsi:nil="true"/>
    <LinkToDocument xmlns="db45806d-a62c-41bf-9916-5b8cbc5ef133">
      <Url xsi:nil="true"/>
      <Description xsi:nil="true"/>
    </LinkToDocument>
    <SharedWithUsers xmlns="452c1c78-db6e-4c21-967d-f32ecbe94f88">
      <UserInfo>
        <DisplayName>Fedor Klimchuk</DisplayName>
        <AccountId>76</AccountId>
        <AccountType/>
      </UserInfo>
      <UserInfo>
        <DisplayName>Eihab Omaish</DisplayName>
        <AccountId>66</AccountId>
        <AccountType/>
      </UserInfo>
      <UserInfo>
        <DisplayName>Jelena Guduric</DisplayName>
        <AccountId>1050</AccountId>
        <AccountType/>
      </UserInfo>
      <UserInfo>
        <DisplayName>Jood Wasel A Alharthi</DisplayName>
        <AccountId>1052</AccountId>
        <AccountType/>
      </UserInfo>
      <UserInfo>
        <DisplayName>Annelle Urriola Vargas</DisplayName>
        <AccountId>1063</AccountId>
        <AccountType/>
      </UserInfo>
      <UserInfo>
        <DisplayName>Markus Pallek</DisplayName>
        <AccountId>416</AccountId>
        <AccountType/>
      </UserInfo>
      <UserInfo>
        <DisplayName>Alejandro Sousa Bravo</DisplayName>
        <AccountId>467</AccountId>
        <AccountType/>
      </UserInfo>
      <UserInfo>
        <DisplayName>Katrin Hett</DisplayName>
        <AccountId>56</AccountId>
        <AccountType/>
      </UserInfo>
      <UserInfo>
        <DisplayName>Assiya Akanay</DisplayName>
        <AccountId>990</AccountId>
        <AccountType/>
      </UserInfo>
      <UserInfo>
        <DisplayName>Tiyanjana Mphepo</DisplayName>
        <AccountId>147</AccountId>
        <AccountType/>
      </UserInfo>
      <UserInfo>
        <DisplayName>Aguinaldo Baptista</DisplayName>
        <AccountId>60</AccountId>
        <AccountType/>
      </UserInfo>
      <UserInfo>
        <DisplayName>Chloe Boniface</DisplayName>
        <AccountId>99</AccountId>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9EE848344484DD42903BBB9E99F6B211" ma:contentTypeVersion="15" ma:contentTypeDescription="Create a new document." ma:contentTypeScope="" ma:versionID="dd4c632ba2017833b6827e43060bd824">
  <xsd:schema xmlns:xsd="http://www.w3.org/2001/XMLSchema" xmlns:xs="http://www.w3.org/2001/XMLSchema" xmlns:p="http://schemas.microsoft.com/office/2006/metadata/properties" xmlns:ns2="db45806d-a62c-41bf-9916-5b8cbc5ef133" xmlns:ns3="452c1c78-db6e-4c21-967d-f32ecbe94f88" targetNamespace="http://schemas.microsoft.com/office/2006/metadata/properties" ma:root="true" ma:fieldsID="c407e42bf126c6cff8d9c2d32e120275" ns2:_="" ns3:_="">
    <xsd:import namespace="db45806d-a62c-41bf-9916-5b8cbc5ef133"/>
    <xsd:import namespace="452c1c78-db6e-4c21-967d-f32ecbe94f88"/>
    <xsd:element name="properties">
      <xsd:complexType>
        <xsd:sequence>
          <xsd:element name="documentManagement">
            <xsd:complexType>
              <xsd:all>
                <xsd:element ref="ns2:MediaServiceMetadata" minOccurs="0"/>
                <xsd:element ref="ns2:MediaServiceFastMetadata" minOccurs="0"/>
                <xsd:element ref="ns2:LinkToDocument"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_Flow_SignoffStatu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5806d-a62c-41bf-9916-5b8cbc5ef1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inkToDocument" ma:index="10" nillable="true" ma:displayName="LinkToDocument" ma:format="Hyperlink" ma:internalName="LinkToDocumen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18" nillable="true" ma:displayName="Sign-off status" ma:internalName="Sign_x002d_off_x0020_status">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c1c78-db6e-4c21-967d-f32ecbe94f8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905CF-4F6D-4B8E-95FB-606F87B4E123}">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452c1c78-db6e-4c21-967d-f32ecbe94f88"/>
    <ds:schemaRef ds:uri="db45806d-a62c-41bf-9916-5b8cbc5ef133"/>
    <ds:schemaRef ds:uri="http://www.w3.org/XML/1998/namespace"/>
    <ds:schemaRef ds:uri="http://purl.org/dc/dcmitype/"/>
  </ds:schemaRefs>
</ds:datastoreItem>
</file>

<file path=customXml/itemProps2.xml><?xml version="1.0" encoding="utf-8"?>
<ds:datastoreItem xmlns:ds="http://schemas.openxmlformats.org/officeDocument/2006/customXml" ds:itemID="{AD9F33E0-7E18-4549-91D4-C3B057D6613A}">
  <ds:schemaRefs>
    <ds:schemaRef ds:uri="http://schemas.microsoft.com/sharepoint/v3/contenttype/forms"/>
  </ds:schemaRefs>
</ds:datastoreItem>
</file>

<file path=customXml/itemProps3.xml><?xml version="1.0" encoding="utf-8"?>
<ds:datastoreItem xmlns:ds="http://schemas.openxmlformats.org/officeDocument/2006/customXml" ds:itemID="{8FCC9020-D650-4BED-AB21-27AA5BDB1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5806d-a62c-41bf-9916-5b8cbc5ef133"/>
    <ds:schemaRef ds:uri="452c1c78-db6e-4c21-967d-f32ecbe94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C6DCEA-22BC-43BA-8CE0-1381F20C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17</Pages>
  <Words>8101</Words>
  <Characters>45369</Characters>
  <Application>Microsoft Office Word</Application>
  <DocSecurity>0</DocSecurity>
  <Lines>677</Lines>
  <Paragraphs>131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A/HRC/50</vt:lpstr>
      <vt:lpstr>A/HRC/50</vt:lpstr>
    </vt:vector>
  </TitlesOfParts>
  <Company>CSD</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A/HRC/50</dc:title>
  <dc:subject/>
  <dc:creator>BUNWAREE Samantha</dc:creator>
  <cp:keywords/>
  <cp:lastModifiedBy>Veronique Lanz</cp:lastModifiedBy>
  <cp:revision>2</cp:revision>
  <cp:lastPrinted>2008-01-29T11:30:00Z</cp:lastPrinted>
  <dcterms:created xsi:type="dcterms:W3CDTF">2022-06-16T15:38:00Z</dcterms:created>
  <dcterms:modified xsi:type="dcterms:W3CDTF">2022-06-16T15:38:00Z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0x0101009EE848344484DD42903BBB9E99F6B211</vt:lpwstr>
  </property>
</Properties>
</file>