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3A66EB" w14:paraId="7AE12B52" w14:textId="77777777" w:rsidTr="0083191F">
        <w:trPr>
          <w:trHeight w:val="851"/>
        </w:trPr>
        <w:tc>
          <w:tcPr>
            <w:tcW w:w="1259" w:type="dxa"/>
            <w:tcBorders>
              <w:top w:val="nil"/>
              <w:left w:val="nil"/>
              <w:bottom w:val="single" w:sz="4" w:space="0" w:color="auto"/>
              <w:right w:val="nil"/>
            </w:tcBorders>
          </w:tcPr>
          <w:p w14:paraId="4443301E" w14:textId="77777777" w:rsidR="00EC2011" w:rsidRPr="003A66EB" w:rsidRDefault="00EC2011" w:rsidP="0083191F">
            <w:pPr>
              <w:pStyle w:val="SingleTxtG"/>
            </w:pPr>
          </w:p>
        </w:tc>
        <w:tc>
          <w:tcPr>
            <w:tcW w:w="2236" w:type="dxa"/>
            <w:tcBorders>
              <w:top w:val="nil"/>
              <w:left w:val="nil"/>
              <w:bottom w:val="single" w:sz="4" w:space="0" w:color="auto"/>
              <w:right w:val="nil"/>
            </w:tcBorders>
            <w:vAlign w:val="bottom"/>
          </w:tcPr>
          <w:p w14:paraId="6099BD0C" w14:textId="6270038E" w:rsidR="00EC2011" w:rsidRPr="003A66EB" w:rsidRDefault="00EC2011" w:rsidP="0083191F">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04F66083" w14:textId="25752D84" w:rsidR="00EC2011" w:rsidRPr="00D876F4" w:rsidRDefault="00D14925" w:rsidP="00C677D5">
            <w:pPr>
              <w:spacing w:after="20"/>
              <w:jc w:val="right"/>
              <w:rPr>
                <w:sz w:val="20"/>
                <w:szCs w:val="20"/>
              </w:rPr>
            </w:pPr>
            <w:r w:rsidRPr="00D876F4">
              <w:rPr>
                <w:sz w:val="40"/>
                <w:szCs w:val="40"/>
              </w:rPr>
              <w:t>A</w:t>
            </w:r>
            <w:r w:rsidR="007E36A1" w:rsidRPr="00D876F4">
              <w:rPr>
                <w:sz w:val="20"/>
                <w:szCs w:val="20"/>
              </w:rPr>
              <w:t>/HRC/50/</w:t>
            </w:r>
            <w:r w:rsidR="00355B95" w:rsidRPr="00D876F4">
              <w:rPr>
                <w:sz w:val="20"/>
                <w:szCs w:val="20"/>
              </w:rPr>
              <w:t>27</w:t>
            </w:r>
          </w:p>
        </w:tc>
      </w:tr>
      <w:tr w:rsidR="00EC2011" w:rsidRPr="003A66EB" w14:paraId="41FDF1EA" w14:textId="77777777" w:rsidTr="0083191F">
        <w:trPr>
          <w:trHeight w:val="2835"/>
        </w:trPr>
        <w:tc>
          <w:tcPr>
            <w:tcW w:w="1259" w:type="dxa"/>
            <w:tcBorders>
              <w:top w:val="single" w:sz="4" w:space="0" w:color="auto"/>
              <w:left w:val="nil"/>
              <w:bottom w:val="single" w:sz="12" w:space="0" w:color="auto"/>
              <w:right w:val="nil"/>
            </w:tcBorders>
          </w:tcPr>
          <w:p w14:paraId="2B47EFA9" w14:textId="284E4B63" w:rsidR="00EC2011" w:rsidRPr="003A66EB" w:rsidRDefault="00EC2011" w:rsidP="0083191F">
            <w:pPr>
              <w:spacing w:before="120"/>
              <w:jc w:val="center"/>
            </w:pPr>
          </w:p>
        </w:tc>
        <w:tc>
          <w:tcPr>
            <w:tcW w:w="5450" w:type="dxa"/>
            <w:gridSpan w:val="2"/>
            <w:tcBorders>
              <w:top w:val="single" w:sz="4" w:space="0" w:color="auto"/>
              <w:left w:val="nil"/>
              <w:bottom w:val="single" w:sz="12" w:space="0" w:color="auto"/>
              <w:right w:val="nil"/>
            </w:tcBorders>
          </w:tcPr>
          <w:p w14:paraId="01C1FE70" w14:textId="344AD01D" w:rsidR="00EC2011" w:rsidRPr="003A66EB" w:rsidRDefault="0002048C" w:rsidP="0083191F">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0A4AD293" w14:textId="77777777" w:rsidR="00EC2011" w:rsidRPr="00D876F4" w:rsidRDefault="00D14925" w:rsidP="00D14925">
            <w:pPr>
              <w:spacing w:before="240"/>
              <w:rPr>
                <w:sz w:val="20"/>
                <w:szCs w:val="20"/>
              </w:rPr>
            </w:pPr>
            <w:r w:rsidRPr="00D876F4">
              <w:rPr>
                <w:sz w:val="20"/>
                <w:szCs w:val="20"/>
              </w:rPr>
              <w:t>Distr.:</w:t>
            </w:r>
            <w:r w:rsidR="0071548E" w:rsidRPr="00D876F4">
              <w:rPr>
                <w:sz w:val="20"/>
                <w:szCs w:val="20"/>
              </w:rPr>
              <w:t xml:space="preserve"> </w:t>
            </w:r>
            <w:r w:rsidRPr="00D876F4">
              <w:rPr>
                <w:sz w:val="20"/>
                <w:szCs w:val="20"/>
              </w:rPr>
              <w:t>General</w:t>
            </w:r>
          </w:p>
          <w:p w14:paraId="737D1A9B" w14:textId="38AF80C7" w:rsidR="00D14925" w:rsidRPr="00D876F4" w:rsidRDefault="00271AA4" w:rsidP="00D14925">
            <w:pPr>
              <w:rPr>
                <w:sz w:val="20"/>
                <w:szCs w:val="20"/>
              </w:rPr>
            </w:pPr>
            <w:r>
              <w:rPr>
                <w:sz w:val="20"/>
                <w:szCs w:val="20"/>
              </w:rPr>
              <w:t>14</w:t>
            </w:r>
            <w:r w:rsidR="00BA0919" w:rsidRPr="00D876F4">
              <w:rPr>
                <w:sz w:val="20"/>
                <w:szCs w:val="20"/>
              </w:rPr>
              <w:t xml:space="preserve"> June</w:t>
            </w:r>
            <w:r w:rsidR="0071548E" w:rsidRPr="00D876F4">
              <w:rPr>
                <w:sz w:val="20"/>
                <w:szCs w:val="20"/>
              </w:rPr>
              <w:t xml:space="preserve"> </w:t>
            </w:r>
            <w:r w:rsidR="007E36A1" w:rsidRPr="00D876F4">
              <w:rPr>
                <w:sz w:val="20"/>
                <w:szCs w:val="20"/>
              </w:rPr>
              <w:t>2022</w:t>
            </w:r>
          </w:p>
          <w:p w14:paraId="2172AEE7" w14:textId="77777777" w:rsidR="00D14925" w:rsidRPr="00D876F4" w:rsidRDefault="00D14925" w:rsidP="00D14925">
            <w:pPr>
              <w:rPr>
                <w:sz w:val="20"/>
                <w:szCs w:val="20"/>
              </w:rPr>
            </w:pPr>
          </w:p>
          <w:p w14:paraId="47AC8F30" w14:textId="77777777" w:rsidR="00D14925" w:rsidRPr="00D876F4" w:rsidRDefault="00D14925" w:rsidP="00D14925">
            <w:pPr>
              <w:rPr>
                <w:sz w:val="20"/>
                <w:szCs w:val="20"/>
              </w:rPr>
            </w:pPr>
            <w:r w:rsidRPr="00D876F4">
              <w:rPr>
                <w:sz w:val="20"/>
                <w:szCs w:val="20"/>
              </w:rPr>
              <w:t>Original:</w:t>
            </w:r>
            <w:r w:rsidR="0071548E" w:rsidRPr="00D876F4">
              <w:rPr>
                <w:sz w:val="20"/>
                <w:szCs w:val="20"/>
              </w:rPr>
              <w:t xml:space="preserve"> </w:t>
            </w:r>
            <w:r w:rsidRPr="00D876F4">
              <w:rPr>
                <w:sz w:val="20"/>
                <w:szCs w:val="20"/>
              </w:rPr>
              <w:t>English</w:t>
            </w:r>
          </w:p>
        </w:tc>
      </w:tr>
    </w:tbl>
    <w:p w14:paraId="463670CE" w14:textId="77777777" w:rsidR="00D14925" w:rsidRPr="00E45B2D" w:rsidRDefault="00D14925" w:rsidP="00D14925">
      <w:pPr>
        <w:spacing w:before="120"/>
        <w:rPr>
          <w:b/>
          <w:bCs/>
          <w:sz w:val="20"/>
          <w:szCs w:val="20"/>
        </w:rPr>
      </w:pPr>
      <w:r w:rsidRPr="00E45B2D">
        <w:rPr>
          <w:b/>
          <w:bCs/>
          <w:sz w:val="20"/>
          <w:szCs w:val="20"/>
        </w:rPr>
        <w:t>Human</w:t>
      </w:r>
      <w:r w:rsidR="0071548E" w:rsidRPr="00E45B2D">
        <w:rPr>
          <w:b/>
          <w:bCs/>
          <w:sz w:val="20"/>
          <w:szCs w:val="20"/>
        </w:rPr>
        <w:t xml:space="preserve"> </w:t>
      </w:r>
      <w:r w:rsidRPr="00E45B2D">
        <w:rPr>
          <w:b/>
          <w:bCs/>
          <w:sz w:val="20"/>
          <w:szCs w:val="20"/>
        </w:rPr>
        <w:t>Rights</w:t>
      </w:r>
      <w:r w:rsidR="0071548E" w:rsidRPr="00E45B2D">
        <w:rPr>
          <w:b/>
          <w:bCs/>
          <w:sz w:val="20"/>
          <w:szCs w:val="20"/>
        </w:rPr>
        <w:t xml:space="preserve"> </w:t>
      </w:r>
      <w:r w:rsidRPr="00E45B2D">
        <w:rPr>
          <w:b/>
          <w:bCs/>
          <w:sz w:val="20"/>
          <w:szCs w:val="20"/>
        </w:rPr>
        <w:t>Council</w:t>
      </w:r>
    </w:p>
    <w:p w14:paraId="31925DA9" w14:textId="4239808F" w:rsidR="00D14925" w:rsidRPr="00E45B2D" w:rsidRDefault="00271AA4" w:rsidP="00D14925">
      <w:pPr>
        <w:rPr>
          <w:b/>
          <w:bCs/>
          <w:sz w:val="20"/>
          <w:szCs w:val="20"/>
        </w:rPr>
      </w:pPr>
      <w:r>
        <w:rPr>
          <w:b/>
          <w:bCs/>
          <w:sz w:val="20"/>
          <w:szCs w:val="20"/>
        </w:rPr>
        <w:t>F</w:t>
      </w:r>
      <w:r w:rsidR="007E36A1" w:rsidRPr="00E45B2D">
        <w:rPr>
          <w:b/>
          <w:bCs/>
          <w:sz w:val="20"/>
          <w:szCs w:val="20"/>
        </w:rPr>
        <w:t>iftieth</w:t>
      </w:r>
      <w:r w:rsidR="0071548E" w:rsidRPr="00E45B2D">
        <w:rPr>
          <w:b/>
          <w:bCs/>
          <w:sz w:val="20"/>
          <w:szCs w:val="20"/>
        </w:rPr>
        <w:t xml:space="preserve"> </w:t>
      </w:r>
      <w:r w:rsidR="00D14925" w:rsidRPr="00E45B2D">
        <w:rPr>
          <w:b/>
          <w:bCs/>
          <w:sz w:val="20"/>
          <w:szCs w:val="20"/>
        </w:rPr>
        <w:t>session</w:t>
      </w:r>
    </w:p>
    <w:p w14:paraId="571FF988" w14:textId="544AD06E" w:rsidR="00D14925" w:rsidRPr="00E45B2D" w:rsidRDefault="002C778E" w:rsidP="00D14925">
      <w:pPr>
        <w:rPr>
          <w:sz w:val="20"/>
          <w:szCs w:val="20"/>
        </w:rPr>
      </w:pPr>
      <w:r w:rsidRPr="00E45B2D">
        <w:rPr>
          <w:sz w:val="20"/>
          <w:szCs w:val="20"/>
        </w:rPr>
        <w:t>13</w:t>
      </w:r>
      <w:r w:rsidR="0071548E" w:rsidRPr="00E45B2D">
        <w:rPr>
          <w:sz w:val="20"/>
          <w:szCs w:val="20"/>
        </w:rPr>
        <w:t xml:space="preserve"> </w:t>
      </w:r>
      <w:r w:rsidR="007E36A1" w:rsidRPr="00E45B2D">
        <w:rPr>
          <w:sz w:val="20"/>
          <w:szCs w:val="20"/>
        </w:rPr>
        <w:t>June–</w:t>
      </w:r>
      <w:r w:rsidRPr="00E45B2D">
        <w:rPr>
          <w:sz w:val="20"/>
          <w:szCs w:val="20"/>
        </w:rPr>
        <w:t>8</w:t>
      </w:r>
      <w:r w:rsidR="0071548E" w:rsidRPr="00E45B2D">
        <w:rPr>
          <w:sz w:val="20"/>
          <w:szCs w:val="20"/>
        </w:rPr>
        <w:t xml:space="preserve"> </w:t>
      </w:r>
      <w:r w:rsidR="00D14925" w:rsidRPr="00E45B2D">
        <w:rPr>
          <w:sz w:val="20"/>
          <w:szCs w:val="20"/>
        </w:rPr>
        <w:t>July</w:t>
      </w:r>
      <w:r w:rsidR="0071548E" w:rsidRPr="00E45B2D">
        <w:rPr>
          <w:sz w:val="20"/>
          <w:szCs w:val="20"/>
        </w:rPr>
        <w:t xml:space="preserve"> </w:t>
      </w:r>
      <w:r w:rsidR="007E36A1" w:rsidRPr="00E45B2D">
        <w:rPr>
          <w:sz w:val="20"/>
          <w:szCs w:val="20"/>
        </w:rPr>
        <w:t>2022</w:t>
      </w:r>
    </w:p>
    <w:p w14:paraId="00B4A7C8" w14:textId="77777777" w:rsidR="00D14925" w:rsidRPr="00E45B2D" w:rsidRDefault="00D14925" w:rsidP="00D14925">
      <w:pPr>
        <w:rPr>
          <w:sz w:val="20"/>
          <w:szCs w:val="20"/>
        </w:rPr>
      </w:pPr>
      <w:r w:rsidRPr="00E45B2D">
        <w:rPr>
          <w:sz w:val="20"/>
          <w:szCs w:val="20"/>
        </w:rPr>
        <w:t>Agenda</w:t>
      </w:r>
      <w:r w:rsidR="0071548E" w:rsidRPr="00E45B2D">
        <w:rPr>
          <w:sz w:val="20"/>
          <w:szCs w:val="20"/>
        </w:rPr>
        <w:t xml:space="preserve"> </w:t>
      </w:r>
      <w:r w:rsidRPr="00E45B2D">
        <w:rPr>
          <w:sz w:val="20"/>
          <w:szCs w:val="20"/>
        </w:rPr>
        <w:t>item</w:t>
      </w:r>
      <w:r w:rsidR="0071548E" w:rsidRPr="00E45B2D">
        <w:rPr>
          <w:sz w:val="20"/>
          <w:szCs w:val="20"/>
        </w:rPr>
        <w:t xml:space="preserve"> </w:t>
      </w:r>
      <w:r w:rsidR="00C677D5" w:rsidRPr="00E45B2D">
        <w:rPr>
          <w:sz w:val="20"/>
          <w:szCs w:val="20"/>
        </w:rPr>
        <w:t>3</w:t>
      </w:r>
    </w:p>
    <w:p w14:paraId="2D95612D" w14:textId="77777777" w:rsidR="00D14925" w:rsidRPr="00E45B2D" w:rsidRDefault="00D14925" w:rsidP="00D14925">
      <w:pPr>
        <w:rPr>
          <w:b/>
          <w:bCs/>
          <w:sz w:val="20"/>
          <w:szCs w:val="20"/>
        </w:rPr>
      </w:pPr>
      <w:r w:rsidRPr="00E45B2D">
        <w:rPr>
          <w:b/>
          <w:bCs/>
          <w:sz w:val="20"/>
          <w:szCs w:val="20"/>
        </w:rPr>
        <w:t>Promotion</w:t>
      </w:r>
      <w:r w:rsidR="0071548E" w:rsidRPr="00E45B2D">
        <w:rPr>
          <w:b/>
          <w:bCs/>
          <w:sz w:val="20"/>
          <w:szCs w:val="20"/>
        </w:rPr>
        <w:t xml:space="preserve"> </w:t>
      </w:r>
      <w:r w:rsidRPr="00E45B2D">
        <w:rPr>
          <w:b/>
          <w:bCs/>
          <w:sz w:val="20"/>
          <w:szCs w:val="20"/>
        </w:rPr>
        <w:t>and</w:t>
      </w:r>
      <w:r w:rsidR="0071548E" w:rsidRPr="00E45B2D">
        <w:rPr>
          <w:b/>
          <w:bCs/>
          <w:sz w:val="20"/>
          <w:szCs w:val="20"/>
        </w:rPr>
        <w:t xml:space="preserve"> </w:t>
      </w:r>
      <w:r w:rsidRPr="00E45B2D">
        <w:rPr>
          <w:b/>
          <w:bCs/>
          <w:sz w:val="20"/>
          <w:szCs w:val="20"/>
        </w:rPr>
        <w:t>protection</w:t>
      </w:r>
      <w:r w:rsidR="0071548E" w:rsidRPr="00E45B2D">
        <w:rPr>
          <w:b/>
          <w:bCs/>
          <w:sz w:val="20"/>
          <w:szCs w:val="20"/>
        </w:rPr>
        <w:t xml:space="preserve"> </w:t>
      </w:r>
      <w:r w:rsidRPr="00E45B2D">
        <w:rPr>
          <w:b/>
          <w:bCs/>
          <w:sz w:val="20"/>
          <w:szCs w:val="20"/>
        </w:rPr>
        <w:t>of</w:t>
      </w:r>
      <w:r w:rsidR="0071548E" w:rsidRPr="00E45B2D">
        <w:rPr>
          <w:b/>
          <w:bCs/>
          <w:sz w:val="20"/>
          <w:szCs w:val="20"/>
        </w:rPr>
        <w:t xml:space="preserve"> </w:t>
      </w:r>
      <w:r w:rsidRPr="00E45B2D">
        <w:rPr>
          <w:b/>
          <w:bCs/>
          <w:sz w:val="20"/>
          <w:szCs w:val="20"/>
        </w:rPr>
        <w:t>all</w:t>
      </w:r>
      <w:r w:rsidR="0071548E" w:rsidRPr="00E45B2D">
        <w:rPr>
          <w:b/>
          <w:bCs/>
          <w:sz w:val="20"/>
          <w:szCs w:val="20"/>
        </w:rPr>
        <w:t xml:space="preserve"> </w:t>
      </w:r>
      <w:r w:rsidRPr="00E45B2D">
        <w:rPr>
          <w:b/>
          <w:bCs/>
          <w:sz w:val="20"/>
          <w:szCs w:val="20"/>
        </w:rPr>
        <w:t>human</w:t>
      </w:r>
      <w:r w:rsidR="0071548E" w:rsidRPr="00E45B2D">
        <w:rPr>
          <w:b/>
          <w:bCs/>
          <w:sz w:val="20"/>
          <w:szCs w:val="20"/>
        </w:rPr>
        <w:t xml:space="preserve"> </w:t>
      </w:r>
      <w:r w:rsidRPr="00E45B2D">
        <w:rPr>
          <w:b/>
          <w:bCs/>
          <w:sz w:val="20"/>
          <w:szCs w:val="20"/>
        </w:rPr>
        <w:t>rights,</w:t>
      </w:r>
      <w:r w:rsidR="0071548E" w:rsidRPr="00E45B2D">
        <w:rPr>
          <w:b/>
          <w:bCs/>
          <w:sz w:val="20"/>
          <w:szCs w:val="20"/>
        </w:rPr>
        <w:t xml:space="preserve"> </w:t>
      </w:r>
      <w:r w:rsidRPr="00E45B2D">
        <w:rPr>
          <w:b/>
          <w:bCs/>
          <w:sz w:val="20"/>
          <w:szCs w:val="20"/>
        </w:rPr>
        <w:t>civil,</w:t>
      </w:r>
    </w:p>
    <w:p w14:paraId="56BDB3B2" w14:textId="77777777" w:rsidR="00EF53AB" w:rsidRPr="00E45B2D" w:rsidRDefault="00D14925" w:rsidP="00D14925">
      <w:pPr>
        <w:rPr>
          <w:b/>
          <w:bCs/>
          <w:sz w:val="20"/>
          <w:szCs w:val="20"/>
        </w:rPr>
      </w:pPr>
      <w:r w:rsidRPr="00E45B2D">
        <w:rPr>
          <w:b/>
          <w:bCs/>
          <w:sz w:val="20"/>
          <w:szCs w:val="20"/>
        </w:rPr>
        <w:t>political,</w:t>
      </w:r>
      <w:r w:rsidR="0071548E" w:rsidRPr="00E45B2D">
        <w:rPr>
          <w:b/>
          <w:bCs/>
          <w:sz w:val="20"/>
          <w:szCs w:val="20"/>
        </w:rPr>
        <w:t xml:space="preserve"> </w:t>
      </w:r>
      <w:r w:rsidRPr="00E45B2D">
        <w:rPr>
          <w:b/>
          <w:bCs/>
          <w:sz w:val="20"/>
          <w:szCs w:val="20"/>
        </w:rPr>
        <w:t>economic,</w:t>
      </w:r>
      <w:r w:rsidR="0071548E" w:rsidRPr="00E45B2D">
        <w:rPr>
          <w:b/>
          <w:bCs/>
          <w:sz w:val="20"/>
          <w:szCs w:val="20"/>
        </w:rPr>
        <w:t xml:space="preserve"> </w:t>
      </w:r>
      <w:r w:rsidRPr="00E45B2D">
        <w:rPr>
          <w:b/>
          <w:bCs/>
          <w:sz w:val="20"/>
          <w:szCs w:val="20"/>
        </w:rPr>
        <w:t>social</w:t>
      </w:r>
      <w:r w:rsidR="0071548E" w:rsidRPr="00E45B2D">
        <w:rPr>
          <w:b/>
          <w:bCs/>
          <w:sz w:val="20"/>
          <w:szCs w:val="20"/>
        </w:rPr>
        <w:t xml:space="preserve"> </w:t>
      </w:r>
      <w:r w:rsidRPr="00E45B2D">
        <w:rPr>
          <w:b/>
          <w:bCs/>
          <w:sz w:val="20"/>
          <w:szCs w:val="20"/>
        </w:rPr>
        <w:t>and</w:t>
      </w:r>
      <w:r w:rsidR="0071548E" w:rsidRPr="00E45B2D">
        <w:rPr>
          <w:b/>
          <w:bCs/>
          <w:sz w:val="20"/>
          <w:szCs w:val="20"/>
        </w:rPr>
        <w:t xml:space="preserve"> </w:t>
      </w:r>
      <w:r w:rsidRPr="00E45B2D">
        <w:rPr>
          <w:b/>
          <w:bCs/>
          <w:sz w:val="20"/>
          <w:szCs w:val="20"/>
        </w:rPr>
        <w:t>cultural</w:t>
      </w:r>
      <w:r w:rsidR="0071548E" w:rsidRPr="00E45B2D">
        <w:rPr>
          <w:b/>
          <w:bCs/>
          <w:sz w:val="20"/>
          <w:szCs w:val="20"/>
        </w:rPr>
        <w:t xml:space="preserve"> </w:t>
      </w:r>
      <w:r w:rsidRPr="00E45B2D">
        <w:rPr>
          <w:b/>
          <w:bCs/>
          <w:sz w:val="20"/>
          <w:szCs w:val="20"/>
        </w:rPr>
        <w:t>rights,</w:t>
      </w:r>
    </w:p>
    <w:p w14:paraId="46A3896B" w14:textId="77777777" w:rsidR="00EF53AB" w:rsidRPr="00E45B2D" w:rsidRDefault="00D14925" w:rsidP="00D14925">
      <w:pPr>
        <w:rPr>
          <w:b/>
          <w:bCs/>
          <w:sz w:val="20"/>
          <w:szCs w:val="20"/>
        </w:rPr>
      </w:pPr>
      <w:r w:rsidRPr="00E45B2D">
        <w:rPr>
          <w:b/>
          <w:bCs/>
          <w:sz w:val="20"/>
          <w:szCs w:val="20"/>
        </w:rPr>
        <w:t>including</w:t>
      </w:r>
      <w:r w:rsidR="0071548E" w:rsidRPr="00E45B2D">
        <w:rPr>
          <w:b/>
          <w:bCs/>
          <w:sz w:val="20"/>
          <w:szCs w:val="20"/>
        </w:rPr>
        <w:t xml:space="preserve"> </w:t>
      </w:r>
      <w:r w:rsidRPr="00E45B2D">
        <w:rPr>
          <w:b/>
          <w:bCs/>
          <w:sz w:val="20"/>
          <w:szCs w:val="20"/>
        </w:rPr>
        <w:t>the</w:t>
      </w:r>
      <w:r w:rsidR="0071548E" w:rsidRPr="00E45B2D">
        <w:rPr>
          <w:b/>
          <w:bCs/>
          <w:sz w:val="20"/>
          <w:szCs w:val="20"/>
        </w:rPr>
        <w:t xml:space="preserve"> </w:t>
      </w:r>
      <w:r w:rsidRPr="00E45B2D">
        <w:rPr>
          <w:b/>
          <w:bCs/>
          <w:sz w:val="20"/>
          <w:szCs w:val="20"/>
        </w:rPr>
        <w:t>right</w:t>
      </w:r>
      <w:r w:rsidR="0071548E" w:rsidRPr="00E45B2D">
        <w:rPr>
          <w:b/>
          <w:bCs/>
          <w:sz w:val="20"/>
          <w:szCs w:val="20"/>
        </w:rPr>
        <w:t xml:space="preserve"> </w:t>
      </w:r>
      <w:r w:rsidRPr="00E45B2D">
        <w:rPr>
          <w:b/>
          <w:bCs/>
          <w:sz w:val="20"/>
          <w:szCs w:val="20"/>
        </w:rPr>
        <w:t>to</w:t>
      </w:r>
      <w:r w:rsidR="0071548E" w:rsidRPr="00E45B2D">
        <w:rPr>
          <w:b/>
          <w:bCs/>
          <w:sz w:val="20"/>
          <w:szCs w:val="20"/>
        </w:rPr>
        <w:t xml:space="preserve"> </w:t>
      </w:r>
      <w:r w:rsidRPr="00E45B2D">
        <w:rPr>
          <w:b/>
          <w:bCs/>
          <w:sz w:val="20"/>
          <w:szCs w:val="20"/>
        </w:rPr>
        <w:t>development</w:t>
      </w:r>
    </w:p>
    <w:p w14:paraId="0ADBB6A0" w14:textId="691A5B0E" w:rsidR="00D14925" w:rsidRPr="003A66EB" w:rsidRDefault="00D14925" w:rsidP="00F8584E">
      <w:pPr>
        <w:pStyle w:val="HChG"/>
        <w:jc w:val="both"/>
      </w:pPr>
      <w:r w:rsidRPr="003A66EB">
        <w:tab/>
      </w:r>
      <w:r w:rsidRPr="003A66EB">
        <w:tab/>
      </w:r>
      <w:r w:rsidR="00F8584E">
        <w:t xml:space="preserve">The </w:t>
      </w:r>
      <w:r w:rsidR="00F8584E" w:rsidRPr="00F8584E">
        <w:t xml:space="preserve">right to the enjoyment of the highest attainable standard of physical and mental health of persons, communities and populations affected by discrimination and violence based on sexual orientation and gender identity in relation to </w:t>
      </w:r>
      <w:r w:rsidR="00DE5C96">
        <w:t xml:space="preserve">the </w:t>
      </w:r>
      <w:r w:rsidR="00F8584E" w:rsidRPr="00F8584E">
        <w:t>Sustainable Development</w:t>
      </w:r>
      <w:r w:rsidR="00DE5C96">
        <w:t xml:space="preserve"> </w:t>
      </w:r>
      <w:r w:rsidR="006F4DD4">
        <w:t>Goals</w:t>
      </w:r>
    </w:p>
    <w:p w14:paraId="29F9C90E" w14:textId="7F625E4F" w:rsidR="00D14925" w:rsidRPr="003A66EB" w:rsidRDefault="00D14925" w:rsidP="00D14925">
      <w:pPr>
        <w:pStyle w:val="H1G"/>
      </w:pPr>
      <w:r w:rsidRPr="003A66EB">
        <w:tab/>
      </w:r>
      <w:r w:rsidRPr="003A66EB">
        <w:tab/>
      </w:r>
      <w:r w:rsidR="00F8584E" w:rsidRPr="00F8584E">
        <w:t>Report of the Independent Expert on protection against violence and discrimination based on sexual orientation and gender identity</w:t>
      </w:r>
      <w:r w:rsidR="00271AA4" w:rsidRPr="00271AA4">
        <w:rPr>
          <w:rStyle w:val="FootnoteReference"/>
          <w:b w:val="0"/>
          <w:sz w:val="20"/>
          <w:vertAlign w:val="baseline"/>
        </w:rPr>
        <w:footnoteReference w:customMarkFollows="1" w:id="2"/>
        <w:t>*</w:t>
      </w:r>
      <w:r w:rsidR="00271AA4" w:rsidRPr="00271AA4">
        <w:rPr>
          <w:b w:val="0"/>
          <w:position w:val="6"/>
          <w:sz w:val="20"/>
        </w:rPr>
        <w:t xml:space="preserve">, </w:t>
      </w:r>
      <w:r w:rsidR="00271AA4" w:rsidRPr="00271AA4">
        <w:rPr>
          <w:rStyle w:val="FootnoteReference"/>
          <w:b w:val="0"/>
          <w:sz w:val="20"/>
          <w:vertAlign w:val="baseline"/>
        </w:rPr>
        <w:footnoteReference w:customMarkFollows="1" w:id="3"/>
        <w:t>**</w:t>
      </w:r>
    </w:p>
    <w:tbl>
      <w:tblPr>
        <w:tblStyle w:val="TableGrid"/>
        <w:tblW w:w="0" w:type="auto"/>
        <w:jc w:val="center"/>
        <w:tblLook w:val="05E0" w:firstRow="1" w:lastRow="1" w:firstColumn="1" w:lastColumn="1" w:noHBand="0" w:noVBand="1"/>
      </w:tblPr>
      <w:tblGrid>
        <w:gridCol w:w="9629"/>
      </w:tblGrid>
      <w:tr w:rsidR="00D14925" w:rsidRPr="003A66EB" w14:paraId="7AD20A81" w14:textId="77777777" w:rsidTr="00D14925">
        <w:trPr>
          <w:jc w:val="center"/>
        </w:trPr>
        <w:tc>
          <w:tcPr>
            <w:tcW w:w="9637" w:type="dxa"/>
            <w:tcBorders>
              <w:bottom w:val="nil"/>
            </w:tcBorders>
          </w:tcPr>
          <w:p w14:paraId="6EA2E903" w14:textId="77777777" w:rsidR="00D14925" w:rsidRPr="00E45B2D" w:rsidRDefault="00D14925" w:rsidP="00D14925">
            <w:pPr>
              <w:tabs>
                <w:tab w:val="left" w:pos="255"/>
              </w:tabs>
              <w:suppressAutoHyphens w:val="0"/>
              <w:spacing w:before="240" w:after="120"/>
              <w:rPr>
                <w:sz w:val="20"/>
                <w:szCs w:val="20"/>
                <w:lang w:val="en-GB"/>
              </w:rPr>
            </w:pPr>
            <w:r w:rsidRPr="00E45B2D">
              <w:rPr>
                <w:sz w:val="20"/>
                <w:szCs w:val="20"/>
                <w:lang w:val="en-GB"/>
              </w:rPr>
              <w:tab/>
            </w:r>
            <w:r w:rsidRPr="00E45B2D">
              <w:rPr>
                <w:i/>
                <w:sz w:val="20"/>
                <w:szCs w:val="20"/>
                <w:lang w:val="en-GB"/>
              </w:rPr>
              <w:t>Summary</w:t>
            </w:r>
          </w:p>
        </w:tc>
      </w:tr>
      <w:tr w:rsidR="00D14925" w:rsidRPr="003A66EB" w14:paraId="3514C2D3" w14:textId="77777777" w:rsidTr="00D14925">
        <w:trPr>
          <w:jc w:val="center"/>
        </w:trPr>
        <w:tc>
          <w:tcPr>
            <w:tcW w:w="9637" w:type="dxa"/>
            <w:tcBorders>
              <w:top w:val="nil"/>
              <w:bottom w:val="nil"/>
            </w:tcBorders>
            <w:shd w:val="clear" w:color="auto" w:fill="auto"/>
          </w:tcPr>
          <w:p w14:paraId="2038A6DE" w14:textId="27E0DC37" w:rsidR="00BA0919" w:rsidRPr="00E45B2D" w:rsidRDefault="00D14925" w:rsidP="00BA0919">
            <w:pPr>
              <w:pStyle w:val="SingleTxtG"/>
              <w:rPr>
                <w:sz w:val="20"/>
                <w:szCs w:val="20"/>
                <w:lang w:val="en-GB"/>
              </w:rPr>
            </w:pPr>
            <w:r w:rsidRPr="00E45B2D">
              <w:rPr>
                <w:sz w:val="20"/>
                <w:szCs w:val="20"/>
                <w:lang w:val="en-GB"/>
              </w:rPr>
              <w:tab/>
              <w:t>In</w:t>
            </w:r>
            <w:r w:rsidR="0071548E" w:rsidRPr="00E45B2D">
              <w:rPr>
                <w:sz w:val="20"/>
                <w:szCs w:val="20"/>
                <w:lang w:val="en-GB"/>
              </w:rPr>
              <w:t xml:space="preserve"> </w:t>
            </w:r>
            <w:r w:rsidR="00BA0919" w:rsidRPr="00E45B2D">
              <w:rPr>
                <w:sz w:val="20"/>
                <w:szCs w:val="20"/>
                <w:lang w:val="en-GB"/>
              </w:rPr>
              <w:t>this report,</w:t>
            </w:r>
            <w:r w:rsidR="00D57A23" w:rsidRPr="00E45B2D">
              <w:rPr>
                <w:sz w:val="20"/>
                <w:szCs w:val="20"/>
                <w:lang w:val="en-GB"/>
              </w:rPr>
              <w:t xml:space="preserve"> </w:t>
            </w:r>
            <w:r w:rsidR="00BA0919" w:rsidRPr="00E45B2D">
              <w:rPr>
                <w:sz w:val="20"/>
                <w:szCs w:val="20"/>
                <w:lang w:val="en-GB"/>
              </w:rPr>
              <w:t xml:space="preserve">the Independent Expert on protection against violence and discrimination based on sexual orientation and gender identity, Victor Madrigal-Borloz, examines discriminatory and often violent barriers faced by lesbian, gay, and bisexual persons, trans and other gender diverse persons, and intersex persons, impeding full and equal enjoyment of the right to the highest attainable standard of physical and mental health. </w:t>
            </w:r>
            <w:r w:rsidR="00FD1F8D">
              <w:rPr>
                <w:sz w:val="20"/>
                <w:szCs w:val="20"/>
                <w:lang w:val="en-GB"/>
              </w:rPr>
              <w:t>The report</w:t>
            </w:r>
            <w:r w:rsidR="00BA0919" w:rsidRPr="00E45B2D">
              <w:rPr>
                <w:sz w:val="20"/>
                <w:szCs w:val="20"/>
                <w:lang w:val="en-GB"/>
              </w:rPr>
              <w:t xml:space="preserve"> identifies structural drivers of exclusion and gives an overview of health-related violence and discrimination. </w:t>
            </w:r>
            <w:r w:rsidR="00FD1F8D">
              <w:rPr>
                <w:sz w:val="20"/>
                <w:szCs w:val="20"/>
                <w:lang w:val="en-GB"/>
              </w:rPr>
              <w:t>It</w:t>
            </w:r>
            <w:r w:rsidR="00BA0919" w:rsidRPr="00E45B2D">
              <w:rPr>
                <w:sz w:val="20"/>
                <w:szCs w:val="20"/>
                <w:lang w:val="en-GB"/>
              </w:rPr>
              <w:t xml:space="preserve"> then brings a sexual orientation and gender identity lens to the health-related commitments of the Sustainable Development Goals, with a particular focus on SDG3, identifying obstacles and challenges to implementation, as well as good practices. As the mid-point of SDG implementation draws near, the report outlines six fundamental steps, based on the mandate’s ASPIRE guidelines, aimed at making the SDGs’ pledge to “leave no one behind” a reality for all.</w:t>
            </w:r>
          </w:p>
          <w:p w14:paraId="66E9DEC9" w14:textId="0C1516AC" w:rsidR="00D14925" w:rsidRPr="00E45B2D" w:rsidRDefault="00115610" w:rsidP="00115610">
            <w:pPr>
              <w:pStyle w:val="SingleTxtG"/>
              <w:rPr>
                <w:sz w:val="20"/>
                <w:szCs w:val="20"/>
                <w:lang w:val="en-GB"/>
              </w:rPr>
            </w:pPr>
            <w:r w:rsidRPr="00E45B2D">
              <w:rPr>
                <w:sz w:val="20"/>
                <w:szCs w:val="20"/>
                <w:lang w:val="en-GB"/>
              </w:rPr>
              <w:t>A</w:t>
            </w:r>
            <w:r w:rsidR="00BA0919" w:rsidRPr="00E45B2D">
              <w:rPr>
                <w:sz w:val="20"/>
                <w:szCs w:val="20"/>
                <w:lang w:val="en-GB"/>
              </w:rPr>
              <w:t>ctivities carried out in the period 1 May 2021 – 30 April 2022</w:t>
            </w:r>
            <w:r w:rsidRPr="00E45B2D">
              <w:rPr>
                <w:sz w:val="20"/>
                <w:szCs w:val="20"/>
                <w:lang w:val="en-GB"/>
              </w:rPr>
              <w:t xml:space="preserve"> </w:t>
            </w:r>
            <w:r w:rsidR="00BA0919" w:rsidRPr="00E45B2D">
              <w:rPr>
                <w:sz w:val="20"/>
                <w:szCs w:val="20"/>
                <w:lang w:val="en-GB"/>
              </w:rPr>
              <w:t>are included as Annex 1.</w:t>
            </w:r>
          </w:p>
        </w:tc>
      </w:tr>
      <w:tr w:rsidR="00D14925" w:rsidRPr="003A66EB" w14:paraId="52783F20" w14:textId="77777777" w:rsidTr="00D14925">
        <w:trPr>
          <w:jc w:val="center"/>
        </w:trPr>
        <w:tc>
          <w:tcPr>
            <w:tcW w:w="9637" w:type="dxa"/>
            <w:tcBorders>
              <w:top w:val="nil"/>
            </w:tcBorders>
          </w:tcPr>
          <w:p w14:paraId="7882F184" w14:textId="77777777" w:rsidR="00D14925" w:rsidRPr="003A66EB" w:rsidRDefault="00D14925" w:rsidP="00D14925">
            <w:pPr>
              <w:suppressAutoHyphens w:val="0"/>
              <w:rPr>
                <w:lang w:val="en-GB"/>
              </w:rPr>
            </w:pPr>
          </w:p>
        </w:tc>
      </w:tr>
    </w:tbl>
    <w:p w14:paraId="6A1A974C" w14:textId="77777777" w:rsidR="00D14925" w:rsidRPr="003A66EB" w:rsidRDefault="00D14925" w:rsidP="00D14925">
      <w:r w:rsidRPr="003A66EB">
        <w:br w:type="page"/>
      </w:r>
    </w:p>
    <w:p w14:paraId="68F01680" w14:textId="03CB956E" w:rsidR="00BA0919" w:rsidRPr="00BA0919" w:rsidRDefault="00D14925" w:rsidP="00F8584E">
      <w:pPr>
        <w:pStyle w:val="HChG"/>
        <w:rPr>
          <w:color w:val="000000"/>
        </w:rPr>
      </w:pPr>
      <w:r w:rsidRPr="003A66EB">
        <w:lastRenderedPageBreak/>
        <w:tab/>
        <w:t>I.</w:t>
      </w:r>
      <w:r w:rsidRPr="003A66EB">
        <w:tab/>
      </w:r>
      <w:r w:rsidR="00F8584E">
        <w:t>N</w:t>
      </w:r>
      <w:r w:rsidR="00BA0919" w:rsidRPr="00BA0919">
        <w:t>ote on methodology and terminology</w:t>
      </w:r>
    </w:p>
    <w:p w14:paraId="6BD30425" w14:textId="1D53A578" w:rsidR="0023426B" w:rsidRPr="00D876F4" w:rsidRDefault="00BA0919" w:rsidP="0023426B">
      <w:pPr>
        <w:pStyle w:val="SingleTxtG"/>
        <w:pBdr>
          <w:top w:val="nil"/>
          <w:left w:val="nil"/>
          <w:bottom w:val="nil"/>
          <w:right w:val="nil"/>
          <w:between w:val="nil"/>
          <w:bar w:val="nil"/>
        </w:pBdr>
        <w:spacing w:line="240" w:lineRule="exact"/>
        <w:rPr>
          <w:color w:val="000000"/>
          <w:sz w:val="20"/>
          <w:szCs w:val="20"/>
        </w:rPr>
      </w:pPr>
      <w:r w:rsidRPr="00D876F4">
        <w:rPr>
          <w:sz w:val="20"/>
          <w:szCs w:val="20"/>
        </w:rPr>
        <w:t>1.</w:t>
      </w:r>
      <w:r w:rsidRPr="00D876F4">
        <w:rPr>
          <w:sz w:val="20"/>
          <w:szCs w:val="20"/>
        </w:rPr>
        <w:tab/>
      </w:r>
      <w:r w:rsidR="0023426B" w:rsidRPr="00D876F4">
        <w:rPr>
          <w:sz w:val="20"/>
          <w:szCs w:val="20"/>
        </w:rPr>
        <w:t xml:space="preserve">Inputs to the report included 81 responses to a January 2022 questionnaire from States, United Nations </w:t>
      </w:r>
      <w:r w:rsidR="00487687" w:rsidRPr="00D876F4">
        <w:rPr>
          <w:sz w:val="20"/>
          <w:szCs w:val="20"/>
        </w:rPr>
        <w:t>entities</w:t>
      </w:r>
      <w:r w:rsidR="0023426B" w:rsidRPr="00D876F4">
        <w:rPr>
          <w:sz w:val="20"/>
          <w:szCs w:val="20"/>
        </w:rPr>
        <w:t>, national human rights institutions, civil society organisations (CSOs), academic institutions, and other stakeholders</w:t>
      </w:r>
      <w:r w:rsidR="0023426B" w:rsidRPr="00D876F4">
        <w:rPr>
          <w:color w:val="000000"/>
          <w:sz w:val="20"/>
          <w:szCs w:val="20"/>
        </w:rPr>
        <w:t xml:space="preserve">. Collectively, they reflect the views of 119 State and non-State entities in relation to 143 Member States in all world regions. Other inputs include desk reviews facilitated by the </w:t>
      </w:r>
      <w:r w:rsidR="005233B8" w:rsidRPr="00D876F4">
        <w:rPr>
          <w:color w:val="000000"/>
          <w:sz w:val="20"/>
          <w:szCs w:val="20"/>
        </w:rPr>
        <w:t>IE</w:t>
      </w:r>
      <w:r w:rsidR="0023426B" w:rsidRPr="00D876F4">
        <w:rPr>
          <w:color w:val="000000"/>
          <w:sz w:val="20"/>
          <w:szCs w:val="20"/>
        </w:rPr>
        <w:t>’s academic home at the Human Rights Program of the Harvard Law School and an online consultation on 14 April 2022. The mandate</w:t>
      </w:r>
      <w:r w:rsidR="0023426B" w:rsidRPr="00D876F4">
        <w:rPr>
          <w:sz w:val="20"/>
          <w:szCs w:val="20"/>
        </w:rPr>
        <w:t>’s</w:t>
      </w:r>
      <w:r w:rsidR="0023426B" w:rsidRPr="00D876F4">
        <w:rPr>
          <w:color w:val="000000"/>
          <w:sz w:val="20"/>
          <w:szCs w:val="20"/>
        </w:rPr>
        <w:t xml:space="preserve"> stock of knowledge, built through previous thematic and country visit reports, communication procedures and dialogues, has also been drawn upon. The Independent Expert (IE) is indebted to all stakeholders for their contributions. </w:t>
      </w:r>
    </w:p>
    <w:p w14:paraId="5D9C1E51" w14:textId="68E226AF" w:rsidR="00BA0919" w:rsidRPr="00D876F4" w:rsidRDefault="0023426B" w:rsidP="00F8584E">
      <w:pPr>
        <w:pStyle w:val="SingleTxtG"/>
        <w:pBdr>
          <w:top w:val="nil"/>
          <w:left w:val="nil"/>
          <w:bottom w:val="nil"/>
          <w:right w:val="nil"/>
          <w:between w:val="nil"/>
          <w:bar w:val="nil"/>
        </w:pBdr>
        <w:spacing w:line="240" w:lineRule="exact"/>
        <w:rPr>
          <w:color w:val="000000"/>
          <w:sz w:val="20"/>
          <w:szCs w:val="20"/>
        </w:rPr>
      </w:pPr>
      <w:r w:rsidRPr="00D876F4">
        <w:rPr>
          <w:sz w:val="20"/>
          <w:szCs w:val="20"/>
        </w:rPr>
        <w:t>2.</w:t>
      </w:r>
      <w:r w:rsidRPr="00D876F4">
        <w:rPr>
          <w:sz w:val="20"/>
          <w:szCs w:val="20"/>
        </w:rPr>
        <w:tab/>
      </w:r>
      <w:r w:rsidR="00BA0919" w:rsidRPr="00D876F4">
        <w:rPr>
          <w:sz w:val="20"/>
          <w:szCs w:val="20"/>
        </w:rPr>
        <w:t>While m</w:t>
      </w:r>
      <w:r w:rsidR="00BA0919" w:rsidRPr="00D876F4">
        <w:rPr>
          <w:color w:val="000000"/>
          <w:sz w:val="20"/>
          <w:szCs w:val="20"/>
        </w:rPr>
        <w:t>any persons affected by</w:t>
      </w:r>
      <w:r w:rsidR="00DE5C96">
        <w:rPr>
          <w:color w:val="000000"/>
          <w:sz w:val="20"/>
          <w:szCs w:val="20"/>
        </w:rPr>
        <w:t xml:space="preserve"> discrimination and violence</w:t>
      </w:r>
      <w:r w:rsidR="00BA0919" w:rsidRPr="00D876F4">
        <w:rPr>
          <w:color w:val="000000"/>
          <w:sz w:val="20"/>
          <w:szCs w:val="20"/>
        </w:rPr>
        <w:t xml:space="preserve"> self-identify under the identities lesbian, gay, bisexual, and trans</w:t>
      </w:r>
      <w:r w:rsidR="00BA0919" w:rsidRPr="00D876F4">
        <w:rPr>
          <w:sz w:val="20"/>
          <w:szCs w:val="20"/>
        </w:rPr>
        <w:t xml:space="preserve">, </w:t>
      </w:r>
      <w:r w:rsidR="00BA0919" w:rsidRPr="00D876F4">
        <w:rPr>
          <w:color w:val="000000"/>
          <w:sz w:val="20"/>
          <w:szCs w:val="20"/>
        </w:rPr>
        <w:t xml:space="preserve">these terms and the acronym LGBT do not exhaust the multitude of identities and orientations under which persons self-identify </w:t>
      </w:r>
      <w:r w:rsidR="00BA0919" w:rsidRPr="00D876F4">
        <w:rPr>
          <w:sz w:val="20"/>
          <w:szCs w:val="20"/>
        </w:rPr>
        <w:t>around</w:t>
      </w:r>
      <w:r w:rsidR="00BA0919" w:rsidRPr="00D876F4">
        <w:rPr>
          <w:color w:val="000000"/>
          <w:sz w:val="20"/>
          <w:szCs w:val="20"/>
        </w:rPr>
        <w:t xml:space="preserve"> the world. </w:t>
      </w:r>
      <w:r w:rsidR="00FD1F8D">
        <w:rPr>
          <w:sz w:val="20"/>
          <w:szCs w:val="20"/>
        </w:rPr>
        <w:t>W</w:t>
      </w:r>
      <w:r w:rsidR="00BA0919" w:rsidRPr="00D876F4">
        <w:rPr>
          <w:sz w:val="20"/>
          <w:szCs w:val="20"/>
        </w:rPr>
        <w:t xml:space="preserve">hen data at the source expressly refers to lesbian, gay, bisexual, trans and/or gender diverse persons, the </w:t>
      </w:r>
      <w:r w:rsidR="005233B8" w:rsidRPr="00D876F4">
        <w:rPr>
          <w:sz w:val="20"/>
          <w:szCs w:val="20"/>
        </w:rPr>
        <w:t>correlative</w:t>
      </w:r>
      <w:r w:rsidR="00BA0919" w:rsidRPr="00D876F4">
        <w:rPr>
          <w:sz w:val="20"/>
          <w:szCs w:val="20"/>
        </w:rPr>
        <w:t xml:space="preserve"> acronyms</w:t>
      </w:r>
      <w:r w:rsidR="005233B8" w:rsidRPr="00D876F4">
        <w:rPr>
          <w:sz w:val="20"/>
          <w:szCs w:val="20"/>
        </w:rPr>
        <w:t xml:space="preserve"> are used</w:t>
      </w:r>
      <w:r w:rsidR="00BA0919" w:rsidRPr="00D876F4">
        <w:rPr>
          <w:sz w:val="20"/>
          <w:szCs w:val="20"/>
        </w:rPr>
        <w:t>; names of organisations, projects or publications cite denominations are as they appear in the source.</w:t>
      </w:r>
    </w:p>
    <w:p w14:paraId="4BF11F32" w14:textId="023085CB" w:rsidR="00BA0919" w:rsidRPr="00D876F4" w:rsidRDefault="0023426B" w:rsidP="0023426B">
      <w:pPr>
        <w:pStyle w:val="SingleTxtG"/>
        <w:pBdr>
          <w:top w:val="nil"/>
          <w:left w:val="nil"/>
          <w:bottom w:val="nil"/>
          <w:right w:val="nil"/>
          <w:between w:val="nil"/>
          <w:bar w:val="nil"/>
        </w:pBdr>
        <w:spacing w:line="240" w:lineRule="exact"/>
        <w:rPr>
          <w:sz w:val="20"/>
          <w:szCs w:val="20"/>
        </w:rPr>
      </w:pPr>
      <w:r w:rsidRPr="00D876F4">
        <w:rPr>
          <w:sz w:val="20"/>
          <w:szCs w:val="20"/>
        </w:rPr>
        <w:t>3</w:t>
      </w:r>
      <w:r w:rsidR="00BA0919" w:rsidRPr="00D876F4">
        <w:rPr>
          <w:sz w:val="20"/>
          <w:szCs w:val="20"/>
        </w:rPr>
        <w:t>.</w:t>
      </w:r>
      <w:r w:rsidR="00BA0919" w:rsidRPr="00D876F4">
        <w:rPr>
          <w:sz w:val="20"/>
          <w:szCs w:val="20"/>
        </w:rPr>
        <w:tab/>
      </w:r>
      <w:r w:rsidR="00BA0919" w:rsidRPr="00D876F4">
        <w:rPr>
          <w:color w:val="000000"/>
          <w:sz w:val="20"/>
          <w:szCs w:val="20"/>
        </w:rPr>
        <w:t>Intersex persons are among those born with sex characteristics that do not fit typical definitions for male or female, including sexual anatomy, reproductive organs, hormonal patterns, and/or chromosome patterns.</w:t>
      </w:r>
      <w:r w:rsidR="00BA0919" w:rsidRPr="00D876F4">
        <w:rPr>
          <w:color w:val="000000"/>
          <w:sz w:val="20"/>
          <w:szCs w:val="20"/>
          <w:vertAlign w:val="superscript"/>
        </w:rPr>
        <w:footnoteReference w:id="4"/>
      </w:r>
      <w:r w:rsidR="00BA0919" w:rsidRPr="00D876F4">
        <w:rPr>
          <w:color w:val="000000"/>
          <w:sz w:val="20"/>
          <w:szCs w:val="20"/>
        </w:rPr>
        <w:t xml:space="preserve"> Human rights </w:t>
      </w:r>
      <w:r w:rsidR="00BA0919" w:rsidRPr="00D876F4">
        <w:rPr>
          <w:sz w:val="20"/>
          <w:szCs w:val="20"/>
        </w:rPr>
        <w:t>violations</w:t>
      </w:r>
      <w:r w:rsidR="00BA0919" w:rsidRPr="00D876F4">
        <w:rPr>
          <w:color w:val="000000"/>
          <w:sz w:val="20"/>
          <w:szCs w:val="20"/>
        </w:rPr>
        <w:t xml:space="preserve"> are perpetrated against them based on </w:t>
      </w:r>
      <w:r w:rsidR="00BA0919" w:rsidRPr="00D876F4">
        <w:rPr>
          <w:i/>
          <w:color w:val="000000"/>
          <w:sz w:val="20"/>
          <w:szCs w:val="20"/>
        </w:rPr>
        <w:t>inter alia</w:t>
      </w:r>
      <w:r w:rsidR="00BA0919" w:rsidRPr="00D876F4">
        <w:rPr>
          <w:color w:val="000000"/>
          <w:sz w:val="20"/>
          <w:szCs w:val="20"/>
        </w:rPr>
        <w:t xml:space="preserve"> dominant societal sex and gender norms an</w:t>
      </w:r>
      <w:r w:rsidR="00BA0919" w:rsidRPr="00D876F4">
        <w:rPr>
          <w:sz w:val="20"/>
          <w:szCs w:val="20"/>
        </w:rPr>
        <w:t>d regulation of bodily autonomy</w:t>
      </w:r>
      <w:r w:rsidR="00BA0919" w:rsidRPr="00D876F4">
        <w:rPr>
          <w:color w:val="000000"/>
          <w:sz w:val="20"/>
          <w:szCs w:val="20"/>
        </w:rPr>
        <w:t xml:space="preserve">. Those are commonalities at the base of joint activism </w:t>
      </w:r>
      <w:r w:rsidR="00BA0919" w:rsidRPr="00D876F4">
        <w:rPr>
          <w:sz w:val="20"/>
          <w:szCs w:val="20"/>
        </w:rPr>
        <w:t>between</w:t>
      </w:r>
      <w:r w:rsidR="00BA0919" w:rsidRPr="00D876F4">
        <w:rPr>
          <w:color w:val="000000"/>
          <w:sz w:val="20"/>
          <w:szCs w:val="20"/>
        </w:rPr>
        <w:t xml:space="preserve"> </w:t>
      </w:r>
      <w:r w:rsidR="009A35D0" w:rsidRPr="00D876F4">
        <w:rPr>
          <w:color w:val="000000"/>
          <w:sz w:val="20"/>
          <w:szCs w:val="20"/>
        </w:rPr>
        <w:t>human rights defenders working on SOGI issues and on intersex issues</w:t>
      </w:r>
      <w:r w:rsidR="00BA0919" w:rsidRPr="00D876F4">
        <w:rPr>
          <w:sz w:val="20"/>
          <w:szCs w:val="20"/>
        </w:rPr>
        <w:t>; a</w:t>
      </w:r>
      <w:r w:rsidR="00BA0919" w:rsidRPr="00D876F4">
        <w:rPr>
          <w:color w:val="000000"/>
          <w:sz w:val="20"/>
          <w:szCs w:val="20"/>
        </w:rPr>
        <w:t xml:space="preserve"> </w:t>
      </w:r>
      <w:r w:rsidR="00BA0919" w:rsidRPr="00D876F4">
        <w:rPr>
          <w:sz w:val="20"/>
          <w:szCs w:val="20"/>
        </w:rPr>
        <w:t xml:space="preserve">SOGI framework alone, however, does not adequately address all </w:t>
      </w:r>
      <w:r w:rsidR="00BA0919" w:rsidRPr="00D876F4">
        <w:rPr>
          <w:color w:val="000000"/>
          <w:sz w:val="20"/>
          <w:szCs w:val="20"/>
        </w:rPr>
        <w:t xml:space="preserve">human rights concerns of </w:t>
      </w:r>
      <w:r w:rsidR="00BA0919" w:rsidRPr="00D876F4">
        <w:rPr>
          <w:sz w:val="20"/>
          <w:szCs w:val="20"/>
        </w:rPr>
        <w:t>intersex persons</w:t>
      </w:r>
      <w:r w:rsidR="00BA0919" w:rsidRPr="00D876F4">
        <w:rPr>
          <w:color w:val="000000"/>
          <w:sz w:val="20"/>
          <w:szCs w:val="20"/>
        </w:rPr>
        <w:t xml:space="preserve">, </w:t>
      </w:r>
      <w:r w:rsidR="00BA0919" w:rsidRPr="00D876F4">
        <w:rPr>
          <w:sz w:val="20"/>
          <w:szCs w:val="20"/>
        </w:rPr>
        <w:t xml:space="preserve">for which rights of the child, disability rights and freedom from torture frameworks are also essential. </w:t>
      </w:r>
      <w:r w:rsidR="009A35D0" w:rsidRPr="00D876F4">
        <w:rPr>
          <w:sz w:val="20"/>
          <w:szCs w:val="20"/>
        </w:rPr>
        <w:t>Consequently, i</w:t>
      </w:r>
      <w:r w:rsidR="00BA0919" w:rsidRPr="00D876F4">
        <w:rPr>
          <w:color w:val="000000"/>
          <w:sz w:val="20"/>
          <w:szCs w:val="20"/>
        </w:rPr>
        <w:t xml:space="preserve">t is the policy of the mandate not to extrapolate data and policy frameworks on LGBT persons to </w:t>
      </w:r>
      <w:r w:rsidR="00BA0919" w:rsidRPr="00D876F4">
        <w:rPr>
          <w:sz w:val="20"/>
          <w:szCs w:val="20"/>
        </w:rPr>
        <w:t>the intersex population without clear evidence and reasoning for supporting that inclusion.</w:t>
      </w:r>
      <w:r w:rsidR="00BA0919" w:rsidRPr="00D876F4">
        <w:rPr>
          <w:color w:val="000000"/>
          <w:sz w:val="20"/>
          <w:szCs w:val="20"/>
        </w:rPr>
        <w:t xml:space="preserve"> </w:t>
      </w:r>
    </w:p>
    <w:p w14:paraId="7C46942E" w14:textId="085C39A6" w:rsidR="00BA0919" w:rsidRPr="00F8584E" w:rsidRDefault="00F8584E" w:rsidP="00F8584E">
      <w:pPr>
        <w:pStyle w:val="HChG"/>
      </w:pPr>
      <w:r>
        <w:tab/>
        <w:t>II.</w:t>
      </w:r>
      <w:r>
        <w:tab/>
      </w:r>
      <w:r w:rsidR="00BA0919" w:rsidRPr="00F8584E">
        <w:t>Introduction</w:t>
      </w:r>
    </w:p>
    <w:p w14:paraId="3AAFB2CE" w14:textId="183CE947" w:rsidR="00BA0919" w:rsidRPr="00D876F4" w:rsidRDefault="00BA0919" w:rsidP="00F8584E">
      <w:pPr>
        <w:pStyle w:val="SingleTxtG"/>
        <w:pBdr>
          <w:top w:val="nil"/>
          <w:left w:val="nil"/>
          <w:bottom w:val="nil"/>
          <w:right w:val="nil"/>
          <w:between w:val="nil"/>
          <w:bar w:val="nil"/>
        </w:pBdr>
        <w:spacing w:line="240" w:lineRule="exact"/>
        <w:rPr>
          <w:color w:val="000000"/>
          <w:sz w:val="20"/>
          <w:szCs w:val="20"/>
        </w:rPr>
      </w:pPr>
      <w:r w:rsidRPr="00D876F4">
        <w:rPr>
          <w:sz w:val="20"/>
          <w:szCs w:val="20"/>
        </w:rPr>
        <w:t>4.</w:t>
      </w:r>
      <w:r w:rsidRPr="00D876F4">
        <w:rPr>
          <w:sz w:val="20"/>
          <w:szCs w:val="20"/>
        </w:rPr>
        <w:tab/>
      </w:r>
      <w:r w:rsidRPr="00D876F4">
        <w:rPr>
          <w:color w:val="000000"/>
          <w:sz w:val="20"/>
          <w:szCs w:val="20"/>
        </w:rPr>
        <w:t>The right to “the highest attainable standard of physical and mental health,”</w:t>
      </w:r>
      <w:r w:rsidRPr="00D876F4">
        <w:rPr>
          <w:color w:val="000000"/>
          <w:sz w:val="20"/>
          <w:szCs w:val="20"/>
          <w:vertAlign w:val="superscript"/>
        </w:rPr>
        <w:footnoteReference w:id="5"/>
      </w:r>
      <w:r w:rsidRPr="00D876F4">
        <w:rPr>
          <w:color w:val="000000"/>
          <w:sz w:val="20"/>
          <w:szCs w:val="20"/>
        </w:rPr>
        <w:t xml:space="preserve"> f</w:t>
      </w:r>
      <w:r w:rsidRPr="00D876F4">
        <w:rPr>
          <w:sz w:val="20"/>
          <w:szCs w:val="20"/>
        </w:rPr>
        <w:t xml:space="preserve">irst articulated in the Constitution of the World Health Organisation (WHO), </w:t>
      </w:r>
      <w:r w:rsidRPr="00D876F4">
        <w:rPr>
          <w:color w:val="000000"/>
          <w:sz w:val="20"/>
          <w:szCs w:val="20"/>
        </w:rPr>
        <w:t>was incorporated into a legally binding State obligation in the International Covenant on Economic, Social and Cultural Rights (ICESCR; art. 12). The right has subsequently been included in another five</w:t>
      </w:r>
      <w:r w:rsidR="00980F13">
        <w:rPr>
          <w:color w:val="000000"/>
          <w:sz w:val="20"/>
          <w:szCs w:val="20"/>
        </w:rPr>
        <w:t xml:space="preserve"> c</w:t>
      </w:r>
      <w:r w:rsidRPr="00D876F4">
        <w:rPr>
          <w:color w:val="000000"/>
          <w:sz w:val="20"/>
          <w:szCs w:val="20"/>
        </w:rPr>
        <w:t>ore international human rights treaties</w:t>
      </w:r>
      <w:r w:rsidRPr="00D876F4">
        <w:rPr>
          <w:color w:val="000000"/>
          <w:sz w:val="20"/>
          <w:szCs w:val="20"/>
          <w:vertAlign w:val="superscript"/>
        </w:rPr>
        <w:footnoteReference w:id="6"/>
      </w:r>
      <w:r w:rsidRPr="00D876F4">
        <w:rPr>
          <w:color w:val="000000"/>
          <w:sz w:val="20"/>
          <w:szCs w:val="20"/>
        </w:rPr>
        <w:t xml:space="preserve"> and in several regional treaties, conventions, and charters.</w:t>
      </w:r>
      <w:r w:rsidRPr="00D876F4">
        <w:rPr>
          <w:color w:val="000000"/>
          <w:sz w:val="20"/>
          <w:szCs w:val="20"/>
          <w:vertAlign w:val="superscript"/>
        </w:rPr>
        <w:footnoteReference w:id="7"/>
      </w:r>
      <w:r w:rsidRPr="00D876F4">
        <w:rPr>
          <w:color w:val="000000"/>
          <w:sz w:val="20"/>
          <w:szCs w:val="20"/>
        </w:rPr>
        <w:t xml:space="preserve"> It is also enshrined in at least 115 national constitutions.</w:t>
      </w:r>
      <w:r w:rsidRPr="00D876F4">
        <w:rPr>
          <w:color w:val="000000"/>
          <w:sz w:val="20"/>
          <w:szCs w:val="20"/>
          <w:vertAlign w:val="superscript"/>
        </w:rPr>
        <w:footnoteReference w:id="8"/>
      </w:r>
      <w:r w:rsidRPr="00D876F4">
        <w:rPr>
          <w:color w:val="000000"/>
          <w:sz w:val="20"/>
          <w:szCs w:val="20"/>
        </w:rPr>
        <w:t xml:space="preserve"> </w:t>
      </w:r>
    </w:p>
    <w:p w14:paraId="016B59B0" w14:textId="77777777" w:rsidR="00BA0919" w:rsidRPr="00D876F4" w:rsidRDefault="00BA0919" w:rsidP="00F8584E">
      <w:pPr>
        <w:pStyle w:val="SingleTxtG"/>
        <w:pBdr>
          <w:top w:val="nil"/>
          <w:left w:val="nil"/>
          <w:bottom w:val="nil"/>
          <w:right w:val="nil"/>
          <w:between w:val="nil"/>
          <w:bar w:val="nil"/>
        </w:pBdr>
        <w:spacing w:line="240" w:lineRule="exact"/>
        <w:rPr>
          <w:color w:val="000000"/>
          <w:sz w:val="20"/>
          <w:szCs w:val="20"/>
        </w:rPr>
      </w:pPr>
      <w:r w:rsidRPr="00D876F4">
        <w:rPr>
          <w:sz w:val="20"/>
          <w:szCs w:val="20"/>
        </w:rPr>
        <w:t>5.</w:t>
      </w:r>
      <w:r w:rsidRPr="00D876F4">
        <w:rPr>
          <w:sz w:val="20"/>
          <w:szCs w:val="20"/>
        </w:rPr>
        <w:tab/>
      </w:r>
      <w:r w:rsidRPr="00D876F4">
        <w:rPr>
          <w:color w:val="000000"/>
          <w:sz w:val="20"/>
          <w:szCs w:val="20"/>
        </w:rPr>
        <w:t>As the Committee on Economic, Social and Cultural Rights (CESCR) has affirmed, the right to health must be ensured to all without discrimination, based on any prohibited grounds, which has the intention or effect of nullifying or impairing its equal enjoyment or exercise.</w:t>
      </w:r>
      <w:r w:rsidRPr="00D876F4">
        <w:rPr>
          <w:color w:val="000000"/>
          <w:sz w:val="20"/>
          <w:szCs w:val="20"/>
          <w:vertAlign w:val="superscript"/>
        </w:rPr>
        <w:footnoteReference w:id="9"/>
      </w:r>
      <w:r w:rsidRPr="00D876F4">
        <w:rPr>
          <w:color w:val="000000"/>
          <w:sz w:val="20"/>
          <w:szCs w:val="20"/>
        </w:rPr>
        <w:t xml:space="preserve"> It is well established that sexual orientation and gender identity are prohibited </w:t>
      </w:r>
      <w:r w:rsidRPr="00D876F4">
        <w:rPr>
          <w:color w:val="000000"/>
          <w:sz w:val="20"/>
          <w:szCs w:val="20"/>
        </w:rPr>
        <w:lastRenderedPageBreak/>
        <w:t>grounds of discrimination under international human rights law.</w:t>
      </w:r>
      <w:r w:rsidRPr="00D876F4">
        <w:rPr>
          <w:color w:val="000000"/>
          <w:sz w:val="20"/>
          <w:szCs w:val="20"/>
          <w:vertAlign w:val="superscript"/>
        </w:rPr>
        <w:footnoteReference w:id="10"/>
      </w:r>
      <w:r w:rsidRPr="00D876F4">
        <w:rPr>
          <w:color w:val="000000"/>
          <w:sz w:val="20"/>
          <w:szCs w:val="20"/>
        </w:rPr>
        <w:t xml:space="preserve"> The right to health includes freedom to control one’s health and body, including sexual and reproductive freedom, and </w:t>
      </w:r>
      <w:r w:rsidRPr="00D876F4">
        <w:rPr>
          <w:sz w:val="20"/>
          <w:szCs w:val="20"/>
        </w:rPr>
        <w:t xml:space="preserve">freedom </w:t>
      </w:r>
      <w:r w:rsidRPr="00D876F4">
        <w:rPr>
          <w:color w:val="000000"/>
          <w:sz w:val="20"/>
          <w:szCs w:val="20"/>
        </w:rPr>
        <w:t>from non-consensual medical treatment and interference</w:t>
      </w:r>
      <w:r w:rsidRPr="00D876F4">
        <w:rPr>
          <w:sz w:val="20"/>
          <w:szCs w:val="20"/>
        </w:rPr>
        <w:t>,</w:t>
      </w:r>
      <w:r w:rsidRPr="00D876F4">
        <w:rPr>
          <w:color w:val="000000"/>
          <w:sz w:val="20"/>
          <w:szCs w:val="20"/>
        </w:rPr>
        <w:t xml:space="preserve"> as well as entitlements, including “the right to a system of health protection which provides equality of opportunity for people to enjoy the highest attainable level of health</w:t>
      </w:r>
      <w:r w:rsidRPr="00D876F4">
        <w:rPr>
          <w:sz w:val="20"/>
          <w:szCs w:val="20"/>
        </w:rPr>
        <w:t xml:space="preserve"> [and] </w:t>
      </w:r>
      <w:r w:rsidRPr="00D876F4">
        <w:rPr>
          <w:color w:val="000000"/>
          <w:sz w:val="20"/>
          <w:szCs w:val="20"/>
        </w:rPr>
        <w:t>a variety of facilities, goods, services and conditions.”</w:t>
      </w:r>
      <w:r w:rsidRPr="00D876F4">
        <w:rPr>
          <w:color w:val="000000"/>
          <w:sz w:val="20"/>
          <w:szCs w:val="20"/>
          <w:vertAlign w:val="superscript"/>
        </w:rPr>
        <w:footnoteReference w:id="11"/>
      </w:r>
    </w:p>
    <w:p w14:paraId="0E5C680B" w14:textId="52DC7C1C" w:rsidR="00BA0919" w:rsidRPr="00D876F4" w:rsidRDefault="00BA0919" w:rsidP="00F8584E">
      <w:pPr>
        <w:pStyle w:val="SingleTxtG"/>
        <w:pBdr>
          <w:top w:val="nil"/>
          <w:left w:val="nil"/>
          <w:bottom w:val="nil"/>
          <w:right w:val="nil"/>
          <w:between w:val="nil"/>
          <w:bar w:val="nil"/>
        </w:pBdr>
        <w:spacing w:line="240" w:lineRule="exact"/>
        <w:rPr>
          <w:color w:val="000000"/>
          <w:sz w:val="20"/>
          <w:szCs w:val="20"/>
        </w:rPr>
      </w:pPr>
      <w:r w:rsidRPr="00D876F4">
        <w:rPr>
          <w:sz w:val="20"/>
          <w:szCs w:val="20"/>
        </w:rPr>
        <w:t>6.</w:t>
      </w:r>
      <w:r w:rsidRPr="00D876F4">
        <w:rPr>
          <w:sz w:val="20"/>
          <w:szCs w:val="20"/>
        </w:rPr>
        <w:tab/>
      </w:r>
      <w:r w:rsidRPr="00D876F4">
        <w:rPr>
          <w:color w:val="000000"/>
          <w:sz w:val="20"/>
          <w:szCs w:val="20"/>
        </w:rPr>
        <w:t>The principles of equality, non-discrimination</w:t>
      </w:r>
      <w:r w:rsidR="00DE5C96">
        <w:rPr>
          <w:color w:val="000000"/>
          <w:sz w:val="20"/>
          <w:szCs w:val="20"/>
        </w:rPr>
        <w:t>,</w:t>
      </w:r>
      <w:r w:rsidRPr="00D876F4">
        <w:rPr>
          <w:color w:val="000000"/>
          <w:sz w:val="20"/>
          <w:szCs w:val="20"/>
        </w:rPr>
        <w:t xml:space="preserve"> and equity</w:t>
      </w:r>
      <w:r w:rsidRPr="00D876F4">
        <w:rPr>
          <w:color w:val="000000"/>
          <w:sz w:val="20"/>
          <w:szCs w:val="20"/>
          <w:vertAlign w:val="superscript"/>
        </w:rPr>
        <w:footnoteReference w:id="12"/>
      </w:r>
      <w:r w:rsidRPr="00D876F4">
        <w:rPr>
          <w:color w:val="000000"/>
          <w:sz w:val="20"/>
          <w:szCs w:val="20"/>
          <w:vertAlign w:val="superscript"/>
        </w:rPr>
        <w:t xml:space="preserve"> </w:t>
      </w:r>
      <w:r w:rsidRPr="00D876F4">
        <w:rPr>
          <w:color w:val="000000"/>
          <w:sz w:val="20"/>
          <w:szCs w:val="20"/>
        </w:rPr>
        <w:t>in health, and the practices of exclusion that flout them, are also a central concern of the 2030 Agenda for Sustainable Development agreed under UN auspices in 2015</w:t>
      </w:r>
      <w:r w:rsidRPr="00D876F4">
        <w:rPr>
          <w:sz w:val="20"/>
          <w:szCs w:val="20"/>
        </w:rPr>
        <w:t>. Anchored</w:t>
      </w:r>
      <w:r w:rsidRPr="00D876F4">
        <w:rPr>
          <w:color w:val="000000"/>
          <w:sz w:val="20"/>
          <w:szCs w:val="20"/>
        </w:rPr>
        <w:t xml:space="preserve"> in international human rights standards, the Agenda includes interrelated global goals and time-bound targets aimed at spurring equitable and universal access to health for all (SDG3), achieving gender equality, including by ensuring universal access to sexual and reproductive health and rights (SDG5), and eliminating discrimination, reducing inequalities and promoting the social, economic and political inclusion of all (SDG10 and SDG16). The cornerstone of the Agenda is the pledge to “leave no one behind” and to ​​see the goals and targets met “for all segments of society”, reaching “the furthest behind first.</w:t>
      </w:r>
      <w:r w:rsidRPr="00D876F4">
        <w:rPr>
          <w:sz w:val="20"/>
          <w:szCs w:val="20"/>
        </w:rPr>
        <w:t>”</w:t>
      </w:r>
      <w:r w:rsidRPr="00D876F4">
        <w:rPr>
          <w:sz w:val="20"/>
          <w:szCs w:val="20"/>
          <w:vertAlign w:val="superscript"/>
        </w:rPr>
        <w:footnoteReference w:id="13"/>
      </w:r>
      <w:r w:rsidRPr="00D876F4">
        <w:rPr>
          <w:color w:val="000000"/>
          <w:sz w:val="20"/>
          <w:szCs w:val="20"/>
        </w:rPr>
        <w:t xml:space="preserve">  </w:t>
      </w:r>
    </w:p>
    <w:p w14:paraId="272EC427" w14:textId="5570830A" w:rsidR="00BA0919" w:rsidRPr="00D876F4" w:rsidRDefault="00BA0919" w:rsidP="00A84CE6">
      <w:pPr>
        <w:pStyle w:val="SingleTxtG"/>
        <w:pBdr>
          <w:top w:val="nil"/>
          <w:left w:val="nil"/>
          <w:bottom w:val="nil"/>
          <w:right w:val="nil"/>
          <w:between w:val="nil"/>
          <w:bar w:val="nil"/>
        </w:pBdr>
        <w:spacing w:line="240" w:lineRule="exact"/>
        <w:rPr>
          <w:color w:val="000000"/>
          <w:sz w:val="20"/>
          <w:szCs w:val="20"/>
        </w:rPr>
      </w:pPr>
      <w:r w:rsidRPr="00D876F4">
        <w:rPr>
          <w:sz w:val="20"/>
          <w:szCs w:val="20"/>
        </w:rPr>
        <w:t>7.</w:t>
      </w:r>
      <w:r w:rsidRPr="00D876F4">
        <w:rPr>
          <w:sz w:val="20"/>
          <w:szCs w:val="20"/>
        </w:rPr>
        <w:tab/>
      </w:r>
      <w:r w:rsidRPr="00D876F4">
        <w:rPr>
          <w:color w:val="000000"/>
          <w:sz w:val="20"/>
          <w:szCs w:val="20"/>
        </w:rPr>
        <w:t>As the mid-point of Agenda 2030’s implementation draws near, this report uses SDG commitments as an entry point for analysing progress and obstacles in combating</w:t>
      </w:r>
      <w:r w:rsidRPr="00D876F4">
        <w:rPr>
          <w:sz w:val="20"/>
          <w:szCs w:val="20"/>
        </w:rPr>
        <w:t xml:space="preserve"> </w:t>
      </w:r>
      <w:r w:rsidRPr="00D876F4">
        <w:rPr>
          <w:color w:val="000000"/>
          <w:sz w:val="20"/>
          <w:szCs w:val="20"/>
        </w:rPr>
        <w:t>health</w:t>
      </w:r>
      <w:r w:rsidRPr="00D876F4">
        <w:rPr>
          <w:sz w:val="20"/>
          <w:szCs w:val="20"/>
        </w:rPr>
        <w:t>-</w:t>
      </w:r>
      <w:r w:rsidRPr="00D876F4">
        <w:rPr>
          <w:color w:val="000000"/>
          <w:sz w:val="20"/>
          <w:szCs w:val="20"/>
        </w:rPr>
        <w:t xml:space="preserve">related </w:t>
      </w:r>
      <w:r w:rsidR="00BC7D19">
        <w:rPr>
          <w:color w:val="000000"/>
          <w:sz w:val="20"/>
          <w:szCs w:val="20"/>
        </w:rPr>
        <w:t>discrimination and violence based on sexual orientation and gender identity (</w:t>
      </w:r>
      <w:r w:rsidRPr="00D876F4">
        <w:rPr>
          <w:color w:val="000000"/>
          <w:sz w:val="20"/>
          <w:szCs w:val="20"/>
        </w:rPr>
        <w:t>DV/SOG</w:t>
      </w:r>
      <w:r w:rsidRPr="00D876F4">
        <w:rPr>
          <w:sz w:val="20"/>
          <w:szCs w:val="20"/>
        </w:rPr>
        <w:t>I</w:t>
      </w:r>
      <w:r w:rsidR="00BC7D19">
        <w:rPr>
          <w:sz w:val="20"/>
          <w:szCs w:val="20"/>
        </w:rPr>
        <w:t>)</w:t>
      </w:r>
      <w:r w:rsidRPr="00D876F4">
        <w:rPr>
          <w:color w:val="000000"/>
          <w:sz w:val="20"/>
          <w:szCs w:val="20"/>
        </w:rPr>
        <w:t>.</w:t>
      </w:r>
      <w:r w:rsidRPr="00D876F4">
        <w:rPr>
          <w:color w:val="3C4043"/>
          <w:sz w:val="20"/>
          <w:szCs w:val="20"/>
          <w:highlight w:val="white"/>
        </w:rPr>
        <w:t xml:space="preserve"> </w:t>
      </w:r>
      <w:r w:rsidRPr="00D876F4">
        <w:rPr>
          <w:color w:val="000000"/>
          <w:sz w:val="20"/>
          <w:szCs w:val="20"/>
        </w:rPr>
        <w:t>It begins with an overview of the discriminatory</w:t>
      </w:r>
      <w:r w:rsidRPr="00D876F4">
        <w:rPr>
          <w:sz w:val="20"/>
          <w:szCs w:val="20"/>
        </w:rPr>
        <w:t>,</w:t>
      </w:r>
      <w:r w:rsidRPr="00D876F4">
        <w:rPr>
          <w:color w:val="000000"/>
          <w:sz w:val="20"/>
          <w:szCs w:val="20"/>
        </w:rPr>
        <w:t xml:space="preserve"> often violent barriers, and </w:t>
      </w:r>
      <w:r w:rsidRPr="00D876F4">
        <w:rPr>
          <w:sz w:val="20"/>
          <w:szCs w:val="20"/>
        </w:rPr>
        <w:t>the structural drivers of exclusion</w:t>
      </w:r>
      <w:r w:rsidRPr="00D876F4">
        <w:rPr>
          <w:color w:val="000000"/>
          <w:sz w:val="20"/>
          <w:szCs w:val="20"/>
        </w:rPr>
        <w:t xml:space="preserve"> faced by </w:t>
      </w:r>
      <w:r w:rsidR="00BC7D19">
        <w:rPr>
          <w:color w:val="000000"/>
          <w:sz w:val="20"/>
          <w:szCs w:val="20"/>
        </w:rPr>
        <w:t xml:space="preserve">LGBT, </w:t>
      </w:r>
      <w:r w:rsidRPr="00D876F4">
        <w:rPr>
          <w:sz w:val="20"/>
          <w:szCs w:val="20"/>
        </w:rPr>
        <w:t>as well as intersex persons,</w:t>
      </w:r>
      <w:r w:rsidRPr="00D876F4">
        <w:rPr>
          <w:color w:val="000000"/>
          <w:sz w:val="20"/>
          <w:szCs w:val="20"/>
        </w:rPr>
        <w:t xml:space="preserve"> impeding their full and equal enjoyment of the right to health. The report then brings a SOGI lens to health-related SDG commitments, with a particular focus on SDG3, identifying obstacles and challenges to implementation, as well as good practices by States and CSOs. It concludes by outlining six steps, based on the mandate’s ASPIRE guidelines, aimed at making the SDGs’ pledge to “leave no one behind” a reality for those facing DV/SOGI, an imperative if Agenda 2030 is to achieve its overarching aim of “realising the human rights of all.”   </w:t>
      </w:r>
    </w:p>
    <w:p w14:paraId="4827C0CE" w14:textId="264B04D0" w:rsidR="00BA0919" w:rsidRPr="00F8584E" w:rsidRDefault="00A84CE6" w:rsidP="00A84CE6">
      <w:pPr>
        <w:pStyle w:val="HChG"/>
      </w:pPr>
      <w:r>
        <w:rPr>
          <w:color w:val="000000"/>
        </w:rPr>
        <w:tab/>
      </w:r>
      <w:r w:rsidR="00BA0919" w:rsidRPr="00F8584E">
        <w:rPr>
          <w:color w:val="000000"/>
        </w:rPr>
        <w:t>I</w:t>
      </w:r>
      <w:r>
        <w:rPr>
          <w:color w:val="000000"/>
        </w:rPr>
        <w:t>II</w:t>
      </w:r>
      <w:r w:rsidR="00271AA4">
        <w:rPr>
          <w:color w:val="000000"/>
        </w:rPr>
        <w:t>.</w:t>
      </w:r>
      <w:r>
        <w:rPr>
          <w:color w:val="000000"/>
        </w:rPr>
        <w:tab/>
      </w:r>
      <w:r w:rsidR="00BA0919" w:rsidRPr="00F8584E">
        <w:rPr>
          <w:color w:val="000000"/>
        </w:rPr>
        <w:tab/>
      </w:r>
      <w:r w:rsidR="00BA0919" w:rsidRPr="00F8584E">
        <w:t>Structural drivers of health inequality</w:t>
      </w:r>
    </w:p>
    <w:p w14:paraId="381C7C9C" w14:textId="477E685F" w:rsidR="00BA0919" w:rsidRPr="00410532" w:rsidRDefault="00BA0919" w:rsidP="00410532">
      <w:pPr>
        <w:pStyle w:val="SingleTxtG"/>
        <w:rPr>
          <w:i/>
          <w:iCs/>
          <w:sz w:val="20"/>
          <w:szCs w:val="20"/>
        </w:rPr>
      </w:pPr>
      <w:r w:rsidRPr="00410532">
        <w:rPr>
          <w:i/>
          <w:iCs/>
          <w:sz w:val="20"/>
          <w:szCs w:val="20"/>
        </w:rPr>
        <w:t>“To talk about health and the right to health is to talk about politics, about resistance, about the right to a decent life, and about the social context</w:t>
      </w:r>
      <w:r w:rsidR="00A25A5C">
        <w:rPr>
          <w:i/>
          <w:iCs/>
          <w:sz w:val="20"/>
          <w:szCs w:val="20"/>
        </w:rPr>
        <w:t>.</w:t>
      </w:r>
      <w:r w:rsidRPr="00410532">
        <w:rPr>
          <w:i/>
          <w:iCs/>
          <w:sz w:val="20"/>
          <w:szCs w:val="20"/>
        </w:rPr>
        <w:t>”</w:t>
      </w:r>
      <w:r w:rsidRPr="00410532">
        <w:rPr>
          <w:i/>
          <w:iCs/>
          <w:sz w:val="20"/>
          <w:szCs w:val="20"/>
          <w:vertAlign w:val="superscript"/>
        </w:rPr>
        <w:footnoteReference w:id="14"/>
      </w:r>
    </w:p>
    <w:p w14:paraId="70C94D07" w14:textId="04532501" w:rsidR="00BA0919" w:rsidRPr="00D876F4" w:rsidRDefault="00BA0919" w:rsidP="0023426B">
      <w:pPr>
        <w:pStyle w:val="SingleTxtG"/>
        <w:pBdr>
          <w:top w:val="nil"/>
          <w:left w:val="nil"/>
          <w:bottom w:val="nil"/>
          <w:right w:val="nil"/>
          <w:between w:val="nil"/>
          <w:bar w:val="nil"/>
        </w:pBdr>
        <w:spacing w:line="240" w:lineRule="exact"/>
        <w:rPr>
          <w:color w:val="141413"/>
          <w:sz w:val="20"/>
          <w:szCs w:val="20"/>
        </w:rPr>
      </w:pPr>
      <w:r w:rsidRPr="00D876F4">
        <w:rPr>
          <w:color w:val="141413"/>
          <w:sz w:val="20"/>
          <w:szCs w:val="20"/>
        </w:rPr>
        <w:t>8.</w:t>
      </w:r>
      <w:r w:rsidRPr="00D876F4">
        <w:rPr>
          <w:color w:val="141413"/>
          <w:sz w:val="20"/>
          <w:szCs w:val="20"/>
        </w:rPr>
        <w:tab/>
        <w:t xml:space="preserve">A substantial body of work in social epidemiology describes stigma as the co-occurrence of processes of labelling, stereotyping, othering, devaluing </w:t>
      </w:r>
      <w:r w:rsidRPr="00D876F4">
        <w:rPr>
          <w:color w:val="000000"/>
          <w:sz w:val="20"/>
          <w:szCs w:val="20"/>
        </w:rPr>
        <w:t>and</w:t>
      </w:r>
      <w:r w:rsidRPr="00D876F4">
        <w:rPr>
          <w:color w:val="141413"/>
          <w:sz w:val="20"/>
          <w:szCs w:val="20"/>
        </w:rPr>
        <w:t xml:space="preserve"> excluding in the context of power exercised by hegemonic </w:t>
      </w:r>
      <w:r w:rsidRPr="00D876F4">
        <w:rPr>
          <w:sz w:val="20"/>
          <w:szCs w:val="20"/>
        </w:rPr>
        <w:t>groups</w:t>
      </w:r>
      <w:r w:rsidRPr="00D876F4">
        <w:rPr>
          <w:color w:val="141413"/>
          <w:sz w:val="20"/>
          <w:szCs w:val="20"/>
        </w:rPr>
        <w:t>.</w:t>
      </w:r>
      <w:r w:rsidRPr="00D876F4">
        <w:rPr>
          <w:color w:val="141413"/>
          <w:sz w:val="20"/>
          <w:szCs w:val="20"/>
          <w:vertAlign w:val="superscript"/>
        </w:rPr>
        <w:footnoteReference w:id="15"/>
      </w:r>
      <w:r w:rsidRPr="00D876F4">
        <w:rPr>
          <w:color w:val="141413"/>
          <w:sz w:val="20"/>
          <w:szCs w:val="20"/>
        </w:rPr>
        <w:t xml:space="preserve"> According to consistent findings by the mandate, these processes have the objective of instrumentalising LGBT lives to galvanise political constituencies, instil a fake sense of moral panic, and perpetuate patriarchal, binary and hetero/cisnormative social models. The work to dismantle DV/SOGI requires continued analysis of structural drivers of exclusion and, in this report, their relation</w:t>
      </w:r>
      <w:r w:rsidR="00A25A5C">
        <w:rPr>
          <w:color w:val="141413"/>
          <w:sz w:val="20"/>
          <w:szCs w:val="20"/>
        </w:rPr>
        <w:t>ship</w:t>
      </w:r>
      <w:r w:rsidRPr="00D876F4">
        <w:rPr>
          <w:color w:val="141413"/>
          <w:sz w:val="20"/>
          <w:szCs w:val="20"/>
        </w:rPr>
        <w:t xml:space="preserve"> with health inequality. </w:t>
      </w:r>
    </w:p>
    <w:p w14:paraId="759CFCAD" w14:textId="7786B07D" w:rsidR="00BA0919" w:rsidRPr="00D876F4" w:rsidRDefault="00A84CE6" w:rsidP="00A84CE6">
      <w:pPr>
        <w:pStyle w:val="H23G"/>
        <w:rPr>
          <w:sz w:val="20"/>
          <w:szCs w:val="20"/>
        </w:rPr>
      </w:pPr>
      <w:r>
        <w:tab/>
      </w:r>
      <w:r w:rsidRPr="00D876F4">
        <w:rPr>
          <w:sz w:val="20"/>
          <w:szCs w:val="20"/>
        </w:rPr>
        <w:tab/>
      </w:r>
      <w:r w:rsidR="00BA0919" w:rsidRPr="00D876F4">
        <w:rPr>
          <w:sz w:val="20"/>
          <w:szCs w:val="20"/>
        </w:rPr>
        <w:t>Criminalisation</w:t>
      </w:r>
    </w:p>
    <w:p w14:paraId="229671DC" w14:textId="4B94A691" w:rsidR="00BA0919" w:rsidRPr="00D876F4" w:rsidRDefault="00BA0919" w:rsidP="00F8584E">
      <w:pPr>
        <w:pStyle w:val="SingleTxtG"/>
        <w:pBdr>
          <w:top w:val="nil"/>
          <w:left w:val="nil"/>
          <w:bottom w:val="nil"/>
          <w:right w:val="nil"/>
          <w:between w:val="nil"/>
          <w:bar w:val="nil"/>
        </w:pBdr>
        <w:spacing w:line="240" w:lineRule="exact"/>
        <w:rPr>
          <w:color w:val="141413"/>
          <w:sz w:val="20"/>
          <w:szCs w:val="20"/>
        </w:rPr>
      </w:pPr>
      <w:r w:rsidRPr="00D876F4">
        <w:rPr>
          <w:color w:val="141413"/>
          <w:sz w:val="20"/>
          <w:szCs w:val="20"/>
        </w:rPr>
        <w:t>9.</w:t>
      </w:r>
      <w:r w:rsidRPr="00D876F4">
        <w:rPr>
          <w:color w:val="141413"/>
          <w:sz w:val="20"/>
          <w:szCs w:val="20"/>
        </w:rPr>
        <w:tab/>
        <w:t xml:space="preserve">Direct or indirect criminalisation of same-sex intimacy and gender identity is a form of State-sponsored discrimination. In 69 countries, </w:t>
      </w:r>
      <w:r w:rsidRPr="00D876F4">
        <w:rPr>
          <w:color w:val="000000"/>
          <w:sz w:val="20"/>
          <w:szCs w:val="20"/>
        </w:rPr>
        <w:t>discriminatory</w:t>
      </w:r>
      <w:r w:rsidRPr="00D876F4">
        <w:rPr>
          <w:color w:val="141413"/>
          <w:sz w:val="20"/>
          <w:szCs w:val="20"/>
        </w:rPr>
        <w:t xml:space="preserve"> laws criminali</w:t>
      </w:r>
      <w:r w:rsidR="00A25A5C">
        <w:rPr>
          <w:color w:val="141413"/>
          <w:sz w:val="20"/>
          <w:szCs w:val="20"/>
        </w:rPr>
        <w:t>z</w:t>
      </w:r>
      <w:r w:rsidRPr="00D876F4">
        <w:rPr>
          <w:color w:val="141413"/>
          <w:sz w:val="20"/>
          <w:szCs w:val="20"/>
        </w:rPr>
        <w:t xml:space="preserve">e private, </w:t>
      </w:r>
      <w:r w:rsidRPr="00D876F4">
        <w:rPr>
          <w:color w:val="141413"/>
          <w:sz w:val="20"/>
          <w:szCs w:val="20"/>
        </w:rPr>
        <w:lastRenderedPageBreak/>
        <w:t>consensual same-sex intimacy, exposing millions to the risk of arrest, prosecution, and imprisonment—and, in at least five countries, the death penalty.</w:t>
      </w:r>
      <w:r w:rsidRPr="00D876F4">
        <w:rPr>
          <w:color w:val="141413"/>
          <w:sz w:val="20"/>
          <w:szCs w:val="20"/>
          <w:vertAlign w:val="superscript"/>
        </w:rPr>
        <w:footnoteReference w:id="16"/>
      </w:r>
      <w:r w:rsidRPr="00D876F4">
        <w:rPr>
          <w:color w:val="141413"/>
          <w:sz w:val="20"/>
          <w:szCs w:val="20"/>
        </w:rPr>
        <w:t xml:space="preserve"> Criminal laws also discriminate explicitly or implicitly based on gender </w:t>
      </w:r>
      <w:r w:rsidRPr="00D876F4">
        <w:rPr>
          <w:sz w:val="20"/>
          <w:szCs w:val="20"/>
        </w:rPr>
        <w:t>identity</w:t>
      </w:r>
      <w:r w:rsidRPr="00D876F4">
        <w:rPr>
          <w:color w:val="141413"/>
          <w:sz w:val="20"/>
          <w:szCs w:val="20"/>
        </w:rPr>
        <w:t xml:space="preserve"> or expression: for example, in 10 countries of Asia, trans persons are criminali</w:t>
      </w:r>
      <w:r w:rsidR="00A25A5C">
        <w:rPr>
          <w:color w:val="141413"/>
          <w:sz w:val="20"/>
          <w:szCs w:val="20"/>
        </w:rPr>
        <w:t>z</w:t>
      </w:r>
      <w:r w:rsidRPr="00D876F4">
        <w:rPr>
          <w:color w:val="141413"/>
          <w:sz w:val="20"/>
          <w:szCs w:val="20"/>
        </w:rPr>
        <w:t>ed using so-called “cross-dressing”, “impersonation” and “disguise” law</w:t>
      </w:r>
      <w:r w:rsidRPr="00D876F4">
        <w:rPr>
          <w:color w:val="000000"/>
          <w:sz w:val="20"/>
          <w:szCs w:val="20"/>
          <w:highlight w:val="white"/>
        </w:rPr>
        <w:t>s</w:t>
      </w:r>
      <w:r w:rsidRPr="00D876F4">
        <w:rPr>
          <w:sz w:val="20"/>
          <w:szCs w:val="20"/>
          <w:highlight w:val="white"/>
        </w:rPr>
        <w:t>.</w:t>
      </w:r>
      <w:r w:rsidRPr="00D876F4">
        <w:rPr>
          <w:color w:val="000000"/>
          <w:sz w:val="20"/>
          <w:szCs w:val="20"/>
          <w:highlight w:val="white"/>
          <w:vertAlign w:val="superscript"/>
        </w:rPr>
        <w:footnoteReference w:id="17"/>
      </w:r>
      <w:r w:rsidRPr="00D876F4">
        <w:rPr>
          <w:sz w:val="20"/>
          <w:szCs w:val="20"/>
          <w:highlight w:val="white"/>
        </w:rPr>
        <w:t xml:space="preserve">. </w:t>
      </w:r>
      <w:r w:rsidRPr="00D876F4">
        <w:rPr>
          <w:color w:val="141413"/>
          <w:sz w:val="20"/>
          <w:szCs w:val="20"/>
        </w:rPr>
        <w:t xml:space="preserve">Criminal laws on abortion, sex-work and HIV transmission/non-disclosure also have discriminatory effects on women and LGBT people. </w:t>
      </w:r>
    </w:p>
    <w:p w14:paraId="009AC5E4" w14:textId="5860023B" w:rsidR="00BA0919" w:rsidRPr="00D876F4" w:rsidRDefault="00BA0919" w:rsidP="00F8584E">
      <w:pPr>
        <w:pStyle w:val="SingleTxtG"/>
        <w:pBdr>
          <w:top w:val="nil"/>
          <w:left w:val="nil"/>
          <w:bottom w:val="nil"/>
          <w:right w:val="nil"/>
          <w:between w:val="nil"/>
          <w:bar w:val="nil"/>
        </w:pBdr>
        <w:spacing w:line="240" w:lineRule="exact"/>
        <w:rPr>
          <w:color w:val="000000"/>
          <w:sz w:val="20"/>
          <w:szCs w:val="20"/>
        </w:rPr>
      </w:pPr>
      <w:r w:rsidRPr="00D876F4">
        <w:rPr>
          <w:sz w:val="20"/>
          <w:szCs w:val="20"/>
        </w:rPr>
        <w:t>10.</w:t>
      </w:r>
      <w:r w:rsidRPr="00D876F4">
        <w:rPr>
          <w:sz w:val="20"/>
          <w:szCs w:val="20"/>
        </w:rPr>
        <w:tab/>
      </w:r>
      <w:r w:rsidRPr="00D876F4">
        <w:rPr>
          <w:color w:val="000000"/>
          <w:sz w:val="20"/>
          <w:szCs w:val="20"/>
        </w:rPr>
        <w:t xml:space="preserve">Such laws </w:t>
      </w:r>
      <w:r w:rsidRPr="00D876F4">
        <w:rPr>
          <w:sz w:val="20"/>
          <w:szCs w:val="20"/>
        </w:rPr>
        <w:t xml:space="preserve">are contrary to international human rights obligations of all </w:t>
      </w:r>
      <w:r w:rsidR="0023426B" w:rsidRPr="00D876F4">
        <w:rPr>
          <w:sz w:val="20"/>
          <w:szCs w:val="20"/>
        </w:rPr>
        <w:t>States and</w:t>
      </w:r>
      <w:r w:rsidRPr="00D876F4">
        <w:rPr>
          <w:color w:val="000000"/>
          <w:sz w:val="20"/>
          <w:szCs w:val="20"/>
        </w:rPr>
        <w:t xml:space="preserve"> undermine health outcomes. Where </w:t>
      </w:r>
      <w:r w:rsidRPr="00D876F4">
        <w:rPr>
          <w:sz w:val="20"/>
          <w:szCs w:val="20"/>
        </w:rPr>
        <w:t>they exist</w:t>
      </w:r>
      <w:r w:rsidRPr="00D876F4">
        <w:rPr>
          <w:color w:val="000000"/>
          <w:sz w:val="20"/>
          <w:szCs w:val="20"/>
        </w:rPr>
        <w:t xml:space="preserve">, </w:t>
      </w:r>
      <w:r w:rsidRPr="00D876F4">
        <w:rPr>
          <w:sz w:val="20"/>
          <w:szCs w:val="20"/>
        </w:rPr>
        <w:t>services which should be tailored to these communities are suppressed,</w:t>
      </w:r>
      <w:r w:rsidRPr="00D876F4">
        <w:rPr>
          <w:sz w:val="20"/>
          <w:szCs w:val="20"/>
          <w:vertAlign w:val="superscript"/>
        </w:rPr>
        <w:footnoteReference w:id="18"/>
      </w:r>
      <w:r w:rsidRPr="00D876F4">
        <w:rPr>
          <w:sz w:val="20"/>
          <w:szCs w:val="20"/>
        </w:rPr>
        <w:t xml:space="preserve"> and </w:t>
      </w:r>
      <w:r w:rsidRPr="00D876F4">
        <w:rPr>
          <w:color w:val="000000"/>
          <w:sz w:val="20"/>
          <w:szCs w:val="20"/>
        </w:rPr>
        <w:t>LGBT persons are deterred from seeking generally available health services out of fear of being arrested and prosecuted.</w:t>
      </w:r>
      <w:r w:rsidRPr="00D876F4">
        <w:rPr>
          <w:color w:val="000000"/>
          <w:sz w:val="20"/>
          <w:szCs w:val="20"/>
          <w:vertAlign w:val="superscript"/>
        </w:rPr>
        <w:footnoteReference w:id="19"/>
      </w:r>
      <w:r w:rsidRPr="00D876F4">
        <w:rPr>
          <w:color w:val="000000"/>
          <w:sz w:val="20"/>
          <w:szCs w:val="20"/>
        </w:rPr>
        <w:t xml:space="preserve"> </w:t>
      </w:r>
      <w:r w:rsidR="005233B8" w:rsidRPr="00D876F4">
        <w:rPr>
          <w:color w:val="141413"/>
          <w:sz w:val="20"/>
          <w:szCs w:val="20"/>
        </w:rPr>
        <w:t>L</w:t>
      </w:r>
      <w:r w:rsidRPr="00D876F4">
        <w:rPr>
          <w:color w:val="141413"/>
          <w:sz w:val="20"/>
          <w:szCs w:val="20"/>
        </w:rPr>
        <w:t xml:space="preserve">aws criminalizing same-sex intimacy </w:t>
      </w:r>
      <w:r w:rsidRPr="00D876F4">
        <w:rPr>
          <w:sz w:val="20"/>
          <w:szCs w:val="20"/>
        </w:rPr>
        <w:t>deter</w:t>
      </w:r>
      <w:r w:rsidRPr="00D876F4">
        <w:rPr>
          <w:color w:val="000000"/>
          <w:sz w:val="20"/>
          <w:szCs w:val="20"/>
        </w:rPr>
        <w:t xml:space="preserve"> LGBT persons from participating in HIV prevention programs</w:t>
      </w:r>
      <w:r w:rsidRPr="00D876F4">
        <w:rPr>
          <w:sz w:val="20"/>
          <w:szCs w:val="20"/>
        </w:rPr>
        <w:t>: d</w:t>
      </w:r>
      <w:r w:rsidRPr="00D876F4">
        <w:rPr>
          <w:color w:val="000000"/>
          <w:sz w:val="20"/>
          <w:szCs w:val="20"/>
        </w:rPr>
        <w:t xml:space="preserve">uring his country visit to Tunisia, the </w:t>
      </w:r>
      <w:r w:rsidRPr="00D876F4">
        <w:rPr>
          <w:sz w:val="20"/>
          <w:szCs w:val="20"/>
        </w:rPr>
        <w:t>IE was informed</w:t>
      </w:r>
      <w:r w:rsidRPr="00D876F4">
        <w:rPr>
          <w:color w:val="000000"/>
          <w:sz w:val="20"/>
          <w:szCs w:val="20"/>
        </w:rPr>
        <w:t xml:space="preserve"> that over half of </w:t>
      </w:r>
      <w:r w:rsidR="00BC7D19">
        <w:rPr>
          <w:color w:val="000000"/>
          <w:sz w:val="20"/>
          <w:szCs w:val="20"/>
        </w:rPr>
        <w:t>lesbian, gay and bisexual persons,</w:t>
      </w:r>
      <w:r w:rsidRPr="00D876F4">
        <w:rPr>
          <w:color w:val="000000"/>
          <w:sz w:val="20"/>
          <w:szCs w:val="20"/>
        </w:rPr>
        <w:t xml:space="preserve"> and three-quarters of trans </w:t>
      </w:r>
      <w:r w:rsidRPr="00D876F4">
        <w:rPr>
          <w:sz w:val="20"/>
          <w:szCs w:val="20"/>
        </w:rPr>
        <w:t>persons</w:t>
      </w:r>
      <w:r w:rsidR="00BC7D19">
        <w:rPr>
          <w:sz w:val="20"/>
          <w:szCs w:val="20"/>
        </w:rPr>
        <w:t>,</w:t>
      </w:r>
      <w:r w:rsidRPr="00D876F4">
        <w:rPr>
          <w:color w:val="000000"/>
          <w:sz w:val="20"/>
          <w:szCs w:val="20"/>
        </w:rPr>
        <w:t xml:space="preserve"> d</w:t>
      </w:r>
      <w:r w:rsidRPr="00D876F4">
        <w:rPr>
          <w:sz w:val="20"/>
          <w:szCs w:val="20"/>
        </w:rPr>
        <w:t xml:space="preserve">on’t go </w:t>
      </w:r>
      <w:r w:rsidRPr="00D876F4">
        <w:rPr>
          <w:color w:val="000000"/>
          <w:sz w:val="20"/>
          <w:szCs w:val="20"/>
        </w:rPr>
        <w:t>to the doctor or undergo medical tests for fear of mockery, abuse by medical staff, or legal action.</w:t>
      </w:r>
      <w:r w:rsidRPr="00D876F4">
        <w:rPr>
          <w:color w:val="000000"/>
          <w:sz w:val="20"/>
          <w:szCs w:val="20"/>
          <w:vertAlign w:val="superscript"/>
        </w:rPr>
        <w:footnoteReference w:id="20"/>
      </w:r>
    </w:p>
    <w:p w14:paraId="4CA65B73" w14:textId="7C7A1074" w:rsidR="00BA0919" w:rsidRPr="00D876F4" w:rsidRDefault="00BA0919" w:rsidP="00F8584E">
      <w:pPr>
        <w:pStyle w:val="SingleTxtG"/>
        <w:pBdr>
          <w:top w:val="nil"/>
          <w:left w:val="nil"/>
          <w:bottom w:val="nil"/>
          <w:right w:val="nil"/>
          <w:between w:val="nil"/>
          <w:bar w:val="nil"/>
        </w:pBdr>
        <w:spacing w:line="240" w:lineRule="exact"/>
        <w:rPr>
          <w:sz w:val="20"/>
          <w:szCs w:val="20"/>
        </w:rPr>
      </w:pPr>
      <w:r w:rsidRPr="00D876F4">
        <w:rPr>
          <w:color w:val="141413"/>
          <w:sz w:val="20"/>
          <w:szCs w:val="20"/>
        </w:rPr>
        <w:t>11.</w:t>
      </w:r>
      <w:r w:rsidRPr="00D876F4">
        <w:rPr>
          <w:color w:val="141413"/>
          <w:sz w:val="20"/>
          <w:szCs w:val="20"/>
        </w:rPr>
        <w:tab/>
        <w:t>Sixty percent of countries report administering laws, regulations, or policies that present obstacles to effective HIV prevention, treatment, care</w:t>
      </w:r>
      <w:r w:rsidR="008D55B0">
        <w:rPr>
          <w:color w:val="141413"/>
          <w:sz w:val="20"/>
          <w:szCs w:val="20"/>
        </w:rPr>
        <w:t>,</w:t>
      </w:r>
      <w:r w:rsidRPr="00D876F4">
        <w:rPr>
          <w:color w:val="141413"/>
          <w:sz w:val="20"/>
          <w:szCs w:val="20"/>
        </w:rPr>
        <w:t xml:space="preserve"> and </w:t>
      </w:r>
      <w:r w:rsidRPr="00D876F4">
        <w:rPr>
          <w:color w:val="000000"/>
          <w:sz w:val="20"/>
          <w:szCs w:val="20"/>
        </w:rPr>
        <w:t>support</w:t>
      </w:r>
      <w:r w:rsidRPr="00D876F4">
        <w:rPr>
          <w:color w:val="141413"/>
          <w:sz w:val="20"/>
          <w:szCs w:val="20"/>
        </w:rPr>
        <w:t xml:space="preserve"> for people in key populations and high-risk groups.</w:t>
      </w:r>
      <w:r w:rsidRPr="00D876F4">
        <w:rPr>
          <w:color w:val="141413"/>
          <w:sz w:val="20"/>
          <w:szCs w:val="20"/>
          <w:vertAlign w:val="superscript"/>
        </w:rPr>
        <w:footnoteReference w:id="21"/>
      </w:r>
      <w:r w:rsidRPr="00D876F4">
        <w:rPr>
          <w:color w:val="141413"/>
          <w:sz w:val="20"/>
          <w:szCs w:val="20"/>
        </w:rPr>
        <w:t xml:space="preserve"> </w:t>
      </w:r>
      <w:r w:rsidRPr="00D876F4">
        <w:rPr>
          <w:sz w:val="20"/>
          <w:szCs w:val="20"/>
        </w:rPr>
        <w:t>Criminal laws impact particularly HIV prevention for persons living at the intersection of different identities or with increased exposure to risk of violence, such as LGBT persons in detention.</w:t>
      </w:r>
      <w:r w:rsidRPr="00D876F4">
        <w:rPr>
          <w:sz w:val="20"/>
          <w:szCs w:val="20"/>
          <w:vertAlign w:val="superscript"/>
        </w:rPr>
        <w:footnoteReference w:id="22"/>
      </w:r>
      <w:r w:rsidRPr="00D876F4">
        <w:rPr>
          <w:sz w:val="20"/>
          <w:szCs w:val="20"/>
        </w:rPr>
        <w:t xml:space="preserve"> </w:t>
      </w:r>
    </w:p>
    <w:p w14:paraId="250F1748" w14:textId="40EA3CB7" w:rsidR="00BA0919" w:rsidRPr="00D876F4" w:rsidRDefault="00A84CE6" w:rsidP="00A84CE6">
      <w:pPr>
        <w:pStyle w:val="H23G"/>
        <w:rPr>
          <w:sz w:val="20"/>
          <w:szCs w:val="20"/>
        </w:rPr>
      </w:pPr>
      <w:r w:rsidRPr="00D876F4">
        <w:rPr>
          <w:sz w:val="20"/>
          <w:szCs w:val="20"/>
        </w:rPr>
        <w:tab/>
      </w:r>
      <w:r w:rsidRPr="00D876F4">
        <w:rPr>
          <w:sz w:val="20"/>
          <w:szCs w:val="20"/>
        </w:rPr>
        <w:tab/>
      </w:r>
      <w:r w:rsidR="00BA0919" w:rsidRPr="00D876F4">
        <w:rPr>
          <w:sz w:val="20"/>
          <w:szCs w:val="20"/>
        </w:rPr>
        <w:t>Pathologisation</w:t>
      </w:r>
    </w:p>
    <w:p w14:paraId="4EFCF58E" w14:textId="6C28B8F6" w:rsidR="00BA0919" w:rsidRPr="00D876F4" w:rsidRDefault="00BA0919" w:rsidP="00A760B8">
      <w:pPr>
        <w:pStyle w:val="SingleTxtG"/>
        <w:pBdr>
          <w:top w:val="nil"/>
          <w:left w:val="nil"/>
          <w:bottom w:val="nil"/>
          <w:right w:val="nil"/>
          <w:between w:val="nil"/>
          <w:bar w:val="nil"/>
        </w:pBdr>
        <w:spacing w:line="240" w:lineRule="exact"/>
        <w:rPr>
          <w:color w:val="000000"/>
          <w:sz w:val="20"/>
          <w:szCs w:val="20"/>
        </w:rPr>
      </w:pPr>
      <w:r w:rsidRPr="00D876F4">
        <w:rPr>
          <w:sz w:val="20"/>
          <w:szCs w:val="20"/>
        </w:rPr>
        <w:t>12.</w:t>
      </w:r>
      <w:r w:rsidRPr="00D876F4">
        <w:rPr>
          <w:sz w:val="20"/>
          <w:szCs w:val="20"/>
        </w:rPr>
        <w:tab/>
      </w:r>
      <w:r w:rsidR="00D219B4" w:rsidRPr="00D876F4">
        <w:rPr>
          <w:sz w:val="20"/>
          <w:szCs w:val="20"/>
        </w:rPr>
        <w:t>H</w:t>
      </w:r>
      <w:r w:rsidRPr="00D876F4">
        <w:rPr>
          <w:sz w:val="20"/>
          <w:szCs w:val="20"/>
        </w:rPr>
        <w:t>omosexuality was removed from the International Classification of Diseases in 1990 and trans identities from the chapter on mental disorders in May 2019</w:t>
      </w:r>
      <w:r w:rsidR="00BC7D19">
        <w:rPr>
          <w:sz w:val="20"/>
          <w:szCs w:val="20"/>
        </w:rPr>
        <w:t>. Yet</w:t>
      </w:r>
      <w:r w:rsidR="00D219B4" w:rsidRPr="00D876F4">
        <w:rPr>
          <w:sz w:val="20"/>
          <w:szCs w:val="20"/>
        </w:rPr>
        <w:t xml:space="preserve"> </w:t>
      </w:r>
      <w:r w:rsidRPr="00D876F4">
        <w:rPr>
          <w:sz w:val="20"/>
          <w:szCs w:val="20"/>
        </w:rPr>
        <w:t xml:space="preserve">some countries continue to classify homosexuality as an illness and in almost all countries trans persons are treated as if they were </w:t>
      </w:r>
      <w:r w:rsidR="0023426B" w:rsidRPr="00D876F4">
        <w:rPr>
          <w:sz w:val="20"/>
          <w:szCs w:val="20"/>
        </w:rPr>
        <w:t>sick</w:t>
      </w:r>
      <w:r w:rsidRPr="00D876F4">
        <w:rPr>
          <w:sz w:val="20"/>
          <w:szCs w:val="20"/>
        </w:rPr>
        <w:t xml:space="preserve"> or disordered. As the Special Rapporteur on the right of everyone to the enjoyment of the highest attainable standard of physical and mental health (SRH) has concluded, “mental health diagnoses have been misused to pathologise identities and other diversities” and “the pathologisation of lesbian, gay, bisexual, transgender and intersex persons reduces their identities to diseases, which compounds stigma and discrimination.”</w:t>
      </w:r>
      <w:r w:rsidRPr="00D876F4">
        <w:rPr>
          <w:color w:val="000000"/>
          <w:sz w:val="20"/>
          <w:szCs w:val="20"/>
          <w:vertAlign w:val="superscript"/>
        </w:rPr>
        <w:footnoteReference w:id="23"/>
      </w:r>
      <w:r w:rsidRPr="00D876F4">
        <w:rPr>
          <w:color w:val="000000"/>
          <w:sz w:val="20"/>
          <w:szCs w:val="20"/>
        </w:rPr>
        <w:t xml:space="preserve"> </w:t>
      </w:r>
      <w:r w:rsidRPr="00D876F4">
        <w:rPr>
          <w:sz w:val="20"/>
          <w:szCs w:val="20"/>
        </w:rPr>
        <w:t>The</w:t>
      </w:r>
      <w:r w:rsidRPr="00D876F4">
        <w:rPr>
          <w:color w:val="000000"/>
          <w:sz w:val="20"/>
          <w:szCs w:val="20"/>
        </w:rPr>
        <w:t xml:space="preserve"> </w:t>
      </w:r>
      <w:r w:rsidRPr="00D876F4">
        <w:rPr>
          <w:sz w:val="20"/>
          <w:szCs w:val="20"/>
        </w:rPr>
        <w:t>IE</w:t>
      </w:r>
      <w:r w:rsidRPr="00D876F4">
        <w:rPr>
          <w:color w:val="000000"/>
          <w:sz w:val="20"/>
          <w:szCs w:val="20"/>
        </w:rPr>
        <w:t xml:space="preserve"> considers this to be the case for intersex </w:t>
      </w:r>
      <w:r w:rsidRPr="00D876F4">
        <w:rPr>
          <w:sz w:val="20"/>
          <w:szCs w:val="20"/>
        </w:rPr>
        <w:t>persons as well,</w:t>
      </w:r>
      <w:r w:rsidRPr="00D876F4">
        <w:rPr>
          <w:sz w:val="20"/>
          <w:szCs w:val="20"/>
          <w:vertAlign w:val="superscript"/>
        </w:rPr>
        <w:footnoteReference w:id="24"/>
      </w:r>
      <w:r w:rsidRPr="00D876F4">
        <w:rPr>
          <w:sz w:val="20"/>
          <w:szCs w:val="20"/>
        </w:rPr>
        <w:t xml:space="preserve"> and </w:t>
      </w:r>
      <w:r w:rsidRPr="00D876F4">
        <w:rPr>
          <w:color w:val="000000"/>
          <w:sz w:val="20"/>
          <w:szCs w:val="20"/>
        </w:rPr>
        <w:t xml:space="preserve">has called on States to address the deep grooves carved by pathologisation in all cases. </w:t>
      </w:r>
      <w:r w:rsidRPr="00D876F4">
        <w:rPr>
          <w:sz w:val="20"/>
          <w:szCs w:val="20"/>
        </w:rPr>
        <w:t>Since</w:t>
      </w:r>
      <w:r w:rsidRPr="00D876F4">
        <w:rPr>
          <w:color w:val="000000"/>
          <w:sz w:val="20"/>
          <w:szCs w:val="20"/>
        </w:rPr>
        <w:t xml:space="preserve"> 2019, the </w:t>
      </w:r>
      <w:r w:rsidRPr="00D876F4">
        <w:rPr>
          <w:sz w:val="20"/>
          <w:szCs w:val="20"/>
        </w:rPr>
        <w:t>IE</w:t>
      </w:r>
      <w:r w:rsidRPr="00D876F4">
        <w:rPr>
          <w:color w:val="000000"/>
          <w:sz w:val="20"/>
          <w:szCs w:val="20"/>
        </w:rPr>
        <w:t xml:space="preserve"> and the SRH </w:t>
      </w:r>
      <w:r w:rsidRPr="00D876F4">
        <w:rPr>
          <w:sz w:val="20"/>
          <w:szCs w:val="20"/>
        </w:rPr>
        <w:t>have called</w:t>
      </w:r>
      <w:r w:rsidRPr="00D876F4">
        <w:rPr>
          <w:color w:val="000000"/>
          <w:sz w:val="20"/>
          <w:szCs w:val="20"/>
        </w:rPr>
        <w:t xml:space="preserve"> on States to review their medical classifications and adopt proactive measures, including education and sensitization campaigns, to eliminate associated stigma.</w:t>
      </w:r>
      <w:r w:rsidRPr="00D876F4">
        <w:rPr>
          <w:sz w:val="20"/>
          <w:szCs w:val="20"/>
          <w:vertAlign w:val="superscript"/>
        </w:rPr>
        <w:footnoteReference w:id="25"/>
      </w:r>
    </w:p>
    <w:p w14:paraId="59651E9A" w14:textId="3F81A0B9" w:rsidR="00BA0919" w:rsidRPr="00D876F4" w:rsidRDefault="00BA0919" w:rsidP="00A760B8">
      <w:pPr>
        <w:pStyle w:val="SingleTxtG"/>
        <w:pBdr>
          <w:top w:val="nil"/>
          <w:left w:val="nil"/>
          <w:bottom w:val="nil"/>
          <w:right w:val="nil"/>
          <w:between w:val="nil"/>
          <w:bar w:val="nil"/>
        </w:pBdr>
        <w:spacing w:line="240" w:lineRule="exact"/>
        <w:rPr>
          <w:color w:val="000000"/>
          <w:sz w:val="20"/>
          <w:szCs w:val="20"/>
        </w:rPr>
      </w:pPr>
      <w:r w:rsidRPr="00D876F4">
        <w:rPr>
          <w:sz w:val="20"/>
          <w:szCs w:val="20"/>
        </w:rPr>
        <w:t>13.</w:t>
      </w:r>
      <w:r w:rsidRPr="00D876F4">
        <w:rPr>
          <w:sz w:val="20"/>
          <w:szCs w:val="20"/>
        </w:rPr>
        <w:tab/>
      </w:r>
      <w:r w:rsidRPr="00D876F4">
        <w:rPr>
          <w:color w:val="000000"/>
          <w:sz w:val="20"/>
          <w:szCs w:val="20"/>
        </w:rPr>
        <w:t xml:space="preserve">Some States are considering </w:t>
      </w:r>
      <w:r w:rsidRPr="00D876F4">
        <w:rPr>
          <w:sz w:val="20"/>
          <w:szCs w:val="20"/>
        </w:rPr>
        <w:t xml:space="preserve">measures that entrench </w:t>
      </w:r>
      <w:r w:rsidR="00D219B4" w:rsidRPr="00D876F4">
        <w:rPr>
          <w:sz w:val="20"/>
          <w:szCs w:val="20"/>
        </w:rPr>
        <w:t>pathologisation</w:t>
      </w:r>
      <w:r w:rsidRPr="00D876F4">
        <w:rPr>
          <w:color w:val="000000"/>
          <w:sz w:val="20"/>
          <w:szCs w:val="20"/>
        </w:rPr>
        <w:t xml:space="preserve">. In 2021 the mandate </w:t>
      </w:r>
      <w:r w:rsidRPr="00D876F4">
        <w:rPr>
          <w:sz w:val="20"/>
          <w:szCs w:val="20"/>
        </w:rPr>
        <w:t>conveyed its concerns to</w:t>
      </w:r>
      <w:r w:rsidRPr="00D876F4">
        <w:rPr>
          <w:color w:val="000000"/>
          <w:sz w:val="20"/>
          <w:szCs w:val="20"/>
        </w:rPr>
        <w:t xml:space="preserve"> Guatemala about proposed legislation that </w:t>
      </w:r>
      <w:r w:rsidRPr="00D876F4">
        <w:rPr>
          <w:sz w:val="20"/>
          <w:szCs w:val="20"/>
        </w:rPr>
        <w:t>sought to</w:t>
      </w:r>
      <w:r w:rsidRPr="00D876F4">
        <w:rPr>
          <w:color w:val="000000"/>
          <w:sz w:val="20"/>
          <w:szCs w:val="20"/>
        </w:rPr>
        <w:t xml:space="preserve"> protect children from the “disorder” and “trauma” of trans</w:t>
      </w:r>
      <w:r w:rsidR="008D55B0">
        <w:rPr>
          <w:color w:val="000000"/>
          <w:sz w:val="20"/>
          <w:szCs w:val="20"/>
        </w:rPr>
        <w:t xml:space="preserve"> </w:t>
      </w:r>
      <w:r w:rsidRPr="00D876F4">
        <w:rPr>
          <w:color w:val="000000"/>
          <w:sz w:val="20"/>
          <w:szCs w:val="20"/>
        </w:rPr>
        <w:t>gender identity</w:t>
      </w:r>
      <w:r w:rsidRPr="00D876F4">
        <w:rPr>
          <w:sz w:val="20"/>
          <w:szCs w:val="20"/>
        </w:rPr>
        <w:t>,</w:t>
      </w:r>
      <w:r w:rsidRPr="00D876F4">
        <w:rPr>
          <w:color w:val="000000"/>
          <w:sz w:val="20"/>
          <w:szCs w:val="20"/>
          <w:vertAlign w:val="superscript"/>
        </w:rPr>
        <w:footnoteReference w:id="26"/>
      </w:r>
      <w:r w:rsidRPr="00D876F4">
        <w:rPr>
          <w:color w:val="000000"/>
          <w:sz w:val="20"/>
          <w:szCs w:val="20"/>
        </w:rPr>
        <w:t xml:space="preserve"> </w:t>
      </w:r>
      <w:r w:rsidRPr="00D876F4">
        <w:rPr>
          <w:sz w:val="20"/>
          <w:szCs w:val="20"/>
        </w:rPr>
        <w:t xml:space="preserve">to </w:t>
      </w:r>
      <w:r w:rsidRPr="00D876F4">
        <w:rPr>
          <w:color w:val="000000"/>
          <w:sz w:val="20"/>
          <w:szCs w:val="20"/>
        </w:rPr>
        <w:t xml:space="preserve">Ghana about draft legislation that promotes practices of so-called “conversion therapy” by offering incentives to </w:t>
      </w:r>
      <w:r w:rsidRPr="00D876F4">
        <w:rPr>
          <w:sz w:val="20"/>
          <w:szCs w:val="20"/>
        </w:rPr>
        <w:t>trans persons</w:t>
      </w:r>
      <w:r w:rsidRPr="00D876F4">
        <w:rPr>
          <w:color w:val="000000"/>
          <w:sz w:val="20"/>
          <w:szCs w:val="20"/>
        </w:rPr>
        <w:t xml:space="preserve"> who “recant</w:t>
      </w:r>
      <w:r w:rsidR="00D219B4" w:rsidRPr="00D876F4">
        <w:rPr>
          <w:color w:val="000000"/>
          <w:sz w:val="20"/>
          <w:szCs w:val="20"/>
        </w:rPr>
        <w:t>,</w:t>
      </w:r>
      <w:r w:rsidRPr="00D876F4">
        <w:rPr>
          <w:color w:val="000000"/>
          <w:sz w:val="20"/>
          <w:szCs w:val="20"/>
        </w:rPr>
        <w:t>”</w:t>
      </w:r>
      <w:r w:rsidRPr="00D876F4">
        <w:rPr>
          <w:color w:val="000000"/>
          <w:sz w:val="20"/>
          <w:szCs w:val="20"/>
          <w:vertAlign w:val="superscript"/>
        </w:rPr>
        <w:footnoteReference w:id="27"/>
      </w:r>
      <w:r w:rsidR="00D219B4" w:rsidRPr="00D876F4">
        <w:rPr>
          <w:color w:val="000000"/>
          <w:sz w:val="20"/>
          <w:szCs w:val="20"/>
        </w:rPr>
        <w:t xml:space="preserve"> and to Poland, about the Polish Episcopal Conference’s call for the creation of so-called “clinics” purportedly offering services for people who want to </w:t>
      </w:r>
      <w:r w:rsidR="00D219B4" w:rsidRPr="00D876F4">
        <w:rPr>
          <w:sz w:val="20"/>
          <w:szCs w:val="20"/>
        </w:rPr>
        <w:t>“</w:t>
      </w:r>
      <w:r w:rsidR="00D219B4" w:rsidRPr="00D876F4">
        <w:rPr>
          <w:color w:val="000000"/>
          <w:sz w:val="20"/>
          <w:szCs w:val="20"/>
        </w:rPr>
        <w:t>regain</w:t>
      </w:r>
      <w:r w:rsidR="00D219B4" w:rsidRPr="00D876F4">
        <w:rPr>
          <w:sz w:val="20"/>
          <w:szCs w:val="20"/>
        </w:rPr>
        <w:t>”</w:t>
      </w:r>
      <w:r w:rsidR="00D219B4" w:rsidRPr="00D876F4">
        <w:rPr>
          <w:color w:val="000000"/>
          <w:sz w:val="20"/>
          <w:szCs w:val="20"/>
        </w:rPr>
        <w:t xml:space="preserve"> their so-called “natural</w:t>
      </w:r>
      <w:r w:rsidR="00D219B4" w:rsidRPr="00D876F4">
        <w:rPr>
          <w:sz w:val="20"/>
          <w:szCs w:val="20"/>
        </w:rPr>
        <w:t>”</w:t>
      </w:r>
      <w:r w:rsidR="00D219B4" w:rsidRPr="00D876F4">
        <w:rPr>
          <w:color w:val="000000"/>
          <w:sz w:val="20"/>
          <w:szCs w:val="20"/>
        </w:rPr>
        <w:t xml:space="preserve"> sexual orientation.</w:t>
      </w:r>
      <w:r w:rsidR="00D219B4" w:rsidRPr="00D876F4">
        <w:rPr>
          <w:color w:val="000000"/>
          <w:sz w:val="20"/>
          <w:szCs w:val="20"/>
          <w:vertAlign w:val="superscript"/>
        </w:rPr>
        <w:footnoteReference w:id="28"/>
      </w:r>
    </w:p>
    <w:p w14:paraId="1753E7DE" w14:textId="630EF3FD" w:rsidR="00BA0919" w:rsidRPr="00D876F4" w:rsidRDefault="00BA0919" w:rsidP="00A760B8">
      <w:pPr>
        <w:pStyle w:val="SingleTxtG"/>
        <w:pBdr>
          <w:top w:val="nil"/>
          <w:left w:val="nil"/>
          <w:bottom w:val="nil"/>
          <w:right w:val="nil"/>
          <w:between w:val="nil"/>
          <w:bar w:val="nil"/>
        </w:pBdr>
        <w:spacing w:line="240" w:lineRule="exact"/>
        <w:rPr>
          <w:color w:val="000000"/>
          <w:sz w:val="20"/>
          <w:szCs w:val="20"/>
        </w:rPr>
      </w:pPr>
      <w:r w:rsidRPr="00D876F4">
        <w:rPr>
          <w:sz w:val="20"/>
          <w:szCs w:val="20"/>
        </w:rPr>
        <w:lastRenderedPageBreak/>
        <w:t>14.</w:t>
      </w:r>
      <w:r w:rsidRPr="00D876F4">
        <w:rPr>
          <w:sz w:val="20"/>
          <w:szCs w:val="20"/>
        </w:rPr>
        <w:tab/>
      </w:r>
      <w:r w:rsidRPr="00D876F4">
        <w:rPr>
          <w:color w:val="000000"/>
          <w:sz w:val="20"/>
          <w:szCs w:val="20"/>
        </w:rPr>
        <w:t>In 2020,</w:t>
      </w:r>
      <w:r w:rsidRPr="00D876F4">
        <w:rPr>
          <w:color w:val="000000"/>
          <w:sz w:val="20"/>
          <w:szCs w:val="20"/>
          <w:vertAlign w:val="superscript"/>
        </w:rPr>
        <w:footnoteReference w:id="29"/>
      </w:r>
      <w:r w:rsidRPr="00D876F4">
        <w:rPr>
          <w:color w:val="000000"/>
          <w:sz w:val="20"/>
          <w:szCs w:val="20"/>
        </w:rPr>
        <w:t xml:space="preserve"> the mandate made a global call for a world free of </w:t>
      </w:r>
      <w:r w:rsidR="00D219B4" w:rsidRPr="00D876F4">
        <w:rPr>
          <w:color w:val="000000"/>
          <w:sz w:val="20"/>
          <w:szCs w:val="20"/>
        </w:rPr>
        <w:t>practices of so-called “conversion therapy”</w:t>
      </w:r>
      <w:r w:rsidRPr="00D876F4">
        <w:rPr>
          <w:color w:val="000000"/>
          <w:sz w:val="20"/>
          <w:szCs w:val="20"/>
        </w:rPr>
        <w:t xml:space="preserve"> after concluding that they are cruel, inhuman, and degrading treatment or punishment under international human rights law. The </w:t>
      </w:r>
      <w:r w:rsidRPr="00D876F4">
        <w:rPr>
          <w:sz w:val="20"/>
          <w:szCs w:val="20"/>
        </w:rPr>
        <w:t>IE</w:t>
      </w:r>
      <w:r w:rsidRPr="00D876F4">
        <w:rPr>
          <w:color w:val="000000"/>
          <w:sz w:val="20"/>
          <w:szCs w:val="20"/>
        </w:rPr>
        <w:t xml:space="preserve"> welcomes the 2021 medical ban </w:t>
      </w:r>
      <w:r w:rsidRPr="00D876F4">
        <w:rPr>
          <w:sz w:val="20"/>
          <w:szCs w:val="20"/>
        </w:rPr>
        <w:t xml:space="preserve">in Chile, directives issued by </w:t>
      </w:r>
      <w:r w:rsidRPr="00D876F4">
        <w:rPr>
          <w:color w:val="000000"/>
          <w:sz w:val="20"/>
          <w:szCs w:val="20"/>
        </w:rPr>
        <w:t>the</w:t>
      </w:r>
      <w:r w:rsidRPr="00D876F4">
        <w:rPr>
          <w:sz w:val="20"/>
          <w:szCs w:val="20"/>
        </w:rPr>
        <w:t xml:space="preserve"> Madras High Court in India to prohibit </w:t>
      </w:r>
      <w:r w:rsidR="00D219B4" w:rsidRPr="00D876F4">
        <w:rPr>
          <w:sz w:val="20"/>
          <w:szCs w:val="20"/>
        </w:rPr>
        <w:t>them</w:t>
      </w:r>
      <w:r w:rsidRPr="00D876F4">
        <w:rPr>
          <w:sz w:val="20"/>
          <w:szCs w:val="20"/>
        </w:rPr>
        <w:t xml:space="preserve">, as well as the issuance of </w:t>
      </w:r>
      <w:r w:rsidRPr="00D876F4">
        <w:rPr>
          <w:color w:val="000000"/>
          <w:sz w:val="20"/>
          <w:szCs w:val="20"/>
        </w:rPr>
        <w:t xml:space="preserve">laws seeking to end </w:t>
      </w:r>
      <w:r w:rsidR="00D219B4" w:rsidRPr="00D876F4">
        <w:rPr>
          <w:color w:val="000000"/>
          <w:sz w:val="20"/>
          <w:szCs w:val="20"/>
        </w:rPr>
        <w:t>them</w:t>
      </w:r>
      <w:r w:rsidRPr="00D876F4">
        <w:rPr>
          <w:color w:val="000000"/>
          <w:sz w:val="20"/>
          <w:szCs w:val="20"/>
        </w:rPr>
        <w:t xml:space="preserve"> in Germany in 2020, Canada and France in 2021, and New Zealand in 2022</w:t>
      </w:r>
      <w:r w:rsidR="00D219B4" w:rsidRPr="00D876F4">
        <w:rPr>
          <w:color w:val="000000"/>
          <w:sz w:val="20"/>
          <w:szCs w:val="20"/>
        </w:rPr>
        <w:t>;</w:t>
      </w:r>
      <w:r w:rsidRPr="00D876F4">
        <w:rPr>
          <w:color w:val="000000"/>
          <w:sz w:val="20"/>
          <w:szCs w:val="20"/>
        </w:rPr>
        <w:t xml:space="preserve"> similar legislation is currently under review in several other States.</w:t>
      </w:r>
      <w:r w:rsidR="00A760B8">
        <w:rPr>
          <w:color w:val="000000"/>
          <w:sz w:val="20"/>
          <w:szCs w:val="20"/>
        </w:rPr>
        <w:t xml:space="preserve"> Practices of conversion have also been banned at the local level in Mexico, Spain, the United States, and Australia.</w:t>
      </w:r>
    </w:p>
    <w:p w14:paraId="08F2F509" w14:textId="1D22C7A9" w:rsidR="00BA0919" w:rsidRPr="00D876F4" w:rsidRDefault="00A84CE6" w:rsidP="00A84CE6">
      <w:pPr>
        <w:pStyle w:val="H23G"/>
        <w:rPr>
          <w:sz w:val="20"/>
          <w:szCs w:val="20"/>
        </w:rPr>
      </w:pPr>
      <w:r w:rsidRPr="00D876F4">
        <w:rPr>
          <w:sz w:val="20"/>
          <w:szCs w:val="20"/>
        </w:rPr>
        <w:tab/>
      </w:r>
      <w:r w:rsidRPr="00D876F4">
        <w:rPr>
          <w:sz w:val="20"/>
          <w:szCs w:val="20"/>
        </w:rPr>
        <w:tab/>
      </w:r>
      <w:r w:rsidR="00BA0919" w:rsidRPr="00D876F4">
        <w:rPr>
          <w:sz w:val="20"/>
          <w:szCs w:val="20"/>
        </w:rPr>
        <w:t xml:space="preserve">Stigmatisation and </w:t>
      </w:r>
      <w:r w:rsidR="00BA0919" w:rsidRPr="00D876F4">
        <w:rPr>
          <w:color w:val="000000"/>
          <w:sz w:val="20"/>
          <w:szCs w:val="20"/>
        </w:rPr>
        <w:t>negation</w:t>
      </w:r>
    </w:p>
    <w:p w14:paraId="120742D0" w14:textId="2B521970" w:rsidR="00554D8D" w:rsidRPr="00D876F4" w:rsidRDefault="00BA0919" w:rsidP="00554D8D">
      <w:pPr>
        <w:pStyle w:val="SingleTxtG"/>
        <w:pBdr>
          <w:top w:val="nil"/>
          <w:left w:val="nil"/>
          <w:bottom w:val="nil"/>
          <w:right w:val="nil"/>
          <w:between w:val="nil"/>
          <w:bar w:val="nil"/>
        </w:pBdr>
        <w:spacing w:line="240" w:lineRule="exact"/>
        <w:rPr>
          <w:color w:val="000000"/>
          <w:sz w:val="20"/>
          <w:szCs w:val="20"/>
        </w:rPr>
      </w:pPr>
      <w:r w:rsidRPr="00D876F4">
        <w:rPr>
          <w:sz w:val="20"/>
          <w:szCs w:val="20"/>
        </w:rPr>
        <w:t>15.</w:t>
      </w:r>
      <w:r w:rsidRPr="00D876F4">
        <w:rPr>
          <w:sz w:val="20"/>
          <w:szCs w:val="20"/>
        </w:rPr>
        <w:tab/>
      </w:r>
      <w:r w:rsidR="00554D8D" w:rsidRPr="00D876F4">
        <w:rPr>
          <w:sz w:val="20"/>
          <w:szCs w:val="20"/>
        </w:rPr>
        <w:t xml:space="preserve">Negation is the position - still voiced with alarming frequency in intergovernmental debates on international human rights and sustainable development - that DV/SOGI does not exist because there </w:t>
      </w:r>
      <w:r w:rsidR="008D55B0" w:rsidRPr="00D876F4">
        <w:rPr>
          <w:sz w:val="20"/>
          <w:szCs w:val="20"/>
        </w:rPr>
        <w:t>is</w:t>
      </w:r>
      <w:r w:rsidR="00554D8D" w:rsidRPr="00D876F4">
        <w:rPr>
          <w:sz w:val="20"/>
          <w:szCs w:val="20"/>
        </w:rPr>
        <w:t xml:space="preserve"> no lesbian, gay, bisexual, trans or gender diverse persons in a given context. Stigmatisation and negation are deeply enmeshed with the criminalization and pathologisation of SOGI diversity, as well as the lack of related research, data</w:t>
      </w:r>
      <w:r w:rsidR="008D55B0">
        <w:rPr>
          <w:sz w:val="20"/>
          <w:szCs w:val="20"/>
        </w:rPr>
        <w:t>,</w:t>
      </w:r>
      <w:r w:rsidR="00554D8D" w:rsidRPr="00D876F4">
        <w:rPr>
          <w:sz w:val="20"/>
          <w:szCs w:val="20"/>
        </w:rPr>
        <w:t xml:space="preserve"> and public health policy resources. These drivers not only fuel DV/SOGI, but are used to condone it, perpetuating the impunity and invisibility surrounding it.  </w:t>
      </w:r>
    </w:p>
    <w:p w14:paraId="36D45CDE" w14:textId="0288A2D7" w:rsidR="00BA0919" w:rsidRPr="00D876F4" w:rsidRDefault="00554D8D" w:rsidP="00554D8D">
      <w:pPr>
        <w:pStyle w:val="SingleTxtG"/>
        <w:pBdr>
          <w:top w:val="nil"/>
          <w:left w:val="nil"/>
          <w:bottom w:val="nil"/>
          <w:right w:val="nil"/>
          <w:between w:val="nil"/>
          <w:bar w:val="nil"/>
        </w:pBdr>
        <w:spacing w:line="240" w:lineRule="exact"/>
        <w:rPr>
          <w:sz w:val="20"/>
          <w:szCs w:val="20"/>
        </w:rPr>
      </w:pPr>
      <w:r w:rsidRPr="00D876F4">
        <w:rPr>
          <w:color w:val="000000"/>
          <w:sz w:val="20"/>
          <w:szCs w:val="20"/>
        </w:rPr>
        <w:t>16.</w:t>
      </w:r>
      <w:r w:rsidRPr="00D876F4">
        <w:rPr>
          <w:color w:val="000000"/>
          <w:sz w:val="20"/>
          <w:szCs w:val="20"/>
        </w:rPr>
        <w:tab/>
      </w:r>
      <w:r w:rsidRPr="00D876F4">
        <w:rPr>
          <w:sz w:val="20"/>
          <w:szCs w:val="20"/>
        </w:rPr>
        <w:t>Seeking to consign LGBTI persons to invisibility by writing them out of international agreements makes a mockery of the principles of equality and non-discrimination that are their cornerstone. It is also a form of gross negligence in relation to health: valuing the lives and inherent dignity of all persons is key to effective and equitable health strategies and responses.</w:t>
      </w:r>
      <w:r w:rsidR="00251C39" w:rsidRPr="00D876F4" w:rsidDel="00251C39">
        <w:rPr>
          <w:sz w:val="20"/>
          <w:szCs w:val="20"/>
        </w:rPr>
        <w:t xml:space="preserve"> </w:t>
      </w:r>
    </w:p>
    <w:p w14:paraId="0BFB8BB1" w14:textId="580D669A" w:rsidR="00BA0919" w:rsidRPr="00D876F4" w:rsidRDefault="00BA0919" w:rsidP="00F8584E">
      <w:pPr>
        <w:pStyle w:val="SingleTxtG"/>
        <w:pBdr>
          <w:top w:val="nil"/>
          <w:left w:val="nil"/>
          <w:bottom w:val="nil"/>
          <w:right w:val="nil"/>
          <w:between w:val="nil"/>
          <w:bar w:val="nil"/>
        </w:pBdr>
        <w:spacing w:line="240" w:lineRule="exact"/>
        <w:rPr>
          <w:sz w:val="20"/>
          <w:szCs w:val="20"/>
        </w:rPr>
      </w:pPr>
      <w:r w:rsidRPr="00D876F4">
        <w:rPr>
          <w:sz w:val="20"/>
          <w:szCs w:val="20"/>
        </w:rPr>
        <w:t>17.</w:t>
      </w:r>
      <w:r w:rsidRPr="00D876F4">
        <w:rPr>
          <w:sz w:val="20"/>
          <w:szCs w:val="20"/>
        </w:rPr>
        <w:tab/>
        <w:t xml:space="preserve">Drivers of DV/SOGI also include </w:t>
      </w:r>
      <w:r w:rsidR="00487687" w:rsidRPr="00D876F4">
        <w:rPr>
          <w:sz w:val="20"/>
          <w:szCs w:val="20"/>
        </w:rPr>
        <w:t>stigmatization entrenched in</w:t>
      </w:r>
      <w:r w:rsidRPr="00D876F4">
        <w:rPr>
          <w:sz w:val="20"/>
          <w:szCs w:val="20"/>
        </w:rPr>
        <w:t xml:space="preserve"> the patriarchal and cisnormative sociocultural construction of same-sex intimacy, gender non-conformity and sexual pleasure as morally transgressive. Sexuality and gender identity are deeply </w:t>
      </w:r>
      <w:r w:rsidRPr="00D876F4">
        <w:rPr>
          <w:color w:val="000000"/>
          <w:sz w:val="20"/>
          <w:szCs w:val="20"/>
        </w:rPr>
        <w:t>rooted</w:t>
      </w:r>
      <w:r w:rsidRPr="00D876F4">
        <w:rPr>
          <w:sz w:val="20"/>
          <w:szCs w:val="20"/>
        </w:rPr>
        <w:t xml:space="preserve"> aspects of human personality that go to the core of every person’s </w:t>
      </w:r>
      <w:r w:rsidR="00AD01B0" w:rsidRPr="00D876F4">
        <w:rPr>
          <w:sz w:val="20"/>
          <w:szCs w:val="20"/>
        </w:rPr>
        <w:t>right</w:t>
      </w:r>
      <w:r w:rsidR="00B378ED">
        <w:rPr>
          <w:sz w:val="20"/>
          <w:szCs w:val="20"/>
        </w:rPr>
        <w:t>s</w:t>
      </w:r>
      <w:r w:rsidRPr="00D876F4">
        <w:rPr>
          <w:sz w:val="20"/>
          <w:szCs w:val="20"/>
        </w:rPr>
        <w:t xml:space="preserve"> to bodily and mental integrity, and to the highest attainable standard of physical and mental healt</w:t>
      </w:r>
      <w:r w:rsidR="00AD01B0" w:rsidRPr="00D876F4">
        <w:rPr>
          <w:sz w:val="20"/>
          <w:szCs w:val="20"/>
        </w:rPr>
        <w:t>h.</w:t>
      </w:r>
      <w:r w:rsidRPr="00D876F4">
        <w:rPr>
          <w:sz w:val="20"/>
          <w:szCs w:val="20"/>
          <w:vertAlign w:val="superscript"/>
        </w:rPr>
        <w:footnoteReference w:id="30"/>
      </w:r>
      <w:r w:rsidRPr="00D876F4">
        <w:rPr>
          <w:sz w:val="20"/>
          <w:szCs w:val="20"/>
        </w:rPr>
        <w:t xml:space="preserve"> Stigmatisation of LGBT persons leads to their dehumanisation, legitimises DV/SOGI and compounds the social and economic marginalisation and exclusion of persons affected by it. </w:t>
      </w:r>
    </w:p>
    <w:p w14:paraId="4C2AAD03" w14:textId="06967041" w:rsidR="00BA0919" w:rsidRPr="00F8584E" w:rsidRDefault="00A84CE6" w:rsidP="00A84CE6">
      <w:pPr>
        <w:pStyle w:val="HChG"/>
      </w:pPr>
      <w:r>
        <w:tab/>
      </w:r>
      <w:r w:rsidR="00BA0919" w:rsidRPr="00F8584E">
        <w:t>I</w:t>
      </w:r>
      <w:r>
        <w:t>V</w:t>
      </w:r>
      <w:r w:rsidR="00271AA4">
        <w:t>.</w:t>
      </w:r>
      <w:r w:rsidR="00271AA4">
        <w:tab/>
      </w:r>
      <w:r w:rsidR="00BA0919" w:rsidRPr="00F8584E">
        <w:t>Health-related discrimination and violence based on SOGI</w:t>
      </w:r>
    </w:p>
    <w:p w14:paraId="1C3C3045" w14:textId="77777777" w:rsidR="00BA0919" w:rsidRPr="00410532" w:rsidRDefault="00BA0919" w:rsidP="00410532">
      <w:pPr>
        <w:pStyle w:val="SingleTxtG"/>
        <w:rPr>
          <w:i/>
          <w:iCs/>
          <w:sz w:val="20"/>
          <w:szCs w:val="20"/>
        </w:rPr>
      </w:pPr>
      <w:r w:rsidRPr="00410532">
        <w:rPr>
          <w:i/>
          <w:iCs/>
          <w:sz w:val="20"/>
          <w:szCs w:val="20"/>
        </w:rPr>
        <w:t>“[N]o person, no community, and no country are exempt from the interaction of the social, economic, and political factors that determine health and healthcare.”</w:t>
      </w:r>
      <w:r w:rsidRPr="00410532">
        <w:rPr>
          <w:i/>
          <w:iCs/>
          <w:sz w:val="20"/>
          <w:szCs w:val="20"/>
          <w:vertAlign w:val="superscript"/>
        </w:rPr>
        <w:footnoteReference w:id="31"/>
      </w:r>
    </w:p>
    <w:p w14:paraId="4C149B49" w14:textId="6FFCBA7C" w:rsidR="00BA0919" w:rsidRPr="00D876F4" w:rsidRDefault="00BA0919" w:rsidP="005E2921">
      <w:pPr>
        <w:pStyle w:val="SingleTxtG"/>
        <w:pBdr>
          <w:top w:val="nil"/>
          <w:left w:val="nil"/>
          <w:bottom w:val="nil"/>
          <w:right w:val="nil"/>
          <w:between w:val="nil"/>
          <w:bar w:val="nil"/>
        </w:pBdr>
        <w:spacing w:line="240" w:lineRule="exact"/>
        <w:rPr>
          <w:color w:val="000000"/>
          <w:sz w:val="20"/>
          <w:szCs w:val="20"/>
        </w:rPr>
      </w:pPr>
      <w:r w:rsidRPr="00D876F4">
        <w:rPr>
          <w:sz w:val="20"/>
          <w:szCs w:val="20"/>
        </w:rPr>
        <w:t>18.</w:t>
      </w:r>
      <w:r w:rsidRPr="00D876F4">
        <w:rPr>
          <w:sz w:val="20"/>
          <w:szCs w:val="20"/>
        </w:rPr>
        <w:tab/>
        <w:t>T</w:t>
      </w:r>
      <w:r w:rsidRPr="00D876F4">
        <w:rPr>
          <w:color w:val="000000"/>
          <w:sz w:val="20"/>
          <w:szCs w:val="20"/>
        </w:rPr>
        <w:t>he evidence overwhelmingly suggests tha</w:t>
      </w:r>
      <w:r w:rsidR="00C15773" w:rsidRPr="00D876F4">
        <w:rPr>
          <w:color w:val="000000"/>
          <w:sz w:val="20"/>
          <w:szCs w:val="20"/>
        </w:rPr>
        <w:t>t</w:t>
      </w:r>
      <w:r w:rsidR="006F4DD4">
        <w:rPr>
          <w:color w:val="000000"/>
          <w:sz w:val="20"/>
          <w:szCs w:val="20"/>
        </w:rPr>
        <w:t xml:space="preserve"> </w:t>
      </w:r>
      <w:r w:rsidR="006F4DD4" w:rsidRPr="00D876F4">
        <w:rPr>
          <w:color w:val="000000"/>
          <w:sz w:val="20"/>
          <w:szCs w:val="20"/>
        </w:rPr>
        <w:t>SOGI-based discrimination has far-reaching detrimental effects on</w:t>
      </w:r>
      <w:r w:rsidR="006F4DD4">
        <w:rPr>
          <w:sz w:val="20"/>
          <w:szCs w:val="20"/>
        </w:rPr>
        <w:t xml:space="preserve"> </w:t>
      </w:r>
      <w:r w:rsidR="006F4DD4">
        <w:rPr>
          <w:color w:val="000000"/>
          <w:sz w:val="20"/>
          <w:szCs w:val="20"/>
        </w:rPr>
        <w:t xml:space="preserve">the </w:t>
      </w:r>
      <w:r w:rsidRPr="00D876F4">
        <w:rPr>
          <w:color w:val="000000"/>
          <w:sz w:val="20"/>
          <w:szCs w:val="20"/>
        </w:rPr>
        <w:t xml:space="preserve">mental and physical health </w:t>
      </w:r>
      <w:sdt>
        <w:sdtPr>
          <w:rPr>
            <w:sz w:val="20"/>
            <w:szCs w:val="20"/>
          </w:rPr>
          <w:tag w:val="goog_rdk_3"/>
          <w:id w:val="383835533"/>
        </w:sdtPr>
        <w:sdtEndPr/>
        <w:sdtContent>
          <w:r w:rsidRPr="00D876F4">
            <w:rPr>
              <w:color w:val="000000"/>
              <w:sz w:val="20"/>
              <w:szCs w:val="20"/>
            </w:rPr>
            <w:t>of</w:t>
          </w:r>
        </w:sdtContent>
      </w:sdt>
      <w:r w:rsidR="008D55B0">
        <w:rPr>
          <w:sz w:val="20"/>
          <w:szCs w:val="20"/>
        </w:rPr>
        <w:t xml:space="preserve"> </w:t>
      </w:r>
      <w:r w:rsidRPr="00D876F4">
        <w:rPr>
          <w:color w:val="000000"/>
          <w:sz w:val="20"/>
          <w:szCs w:val="20"/>
        </w:rPr>
        <w:t>LGBT persons.</w:t>
      </w:r>
      <w:r w:rsidRPr="00D876F4">
        <w:rPr>
          <w:color w:val="000000"/>
          <w:sz w:val="20"/>
          <w:szCs w:val="20"/>
          <w:vertAlign w:val="superscript"/>
        </w:rPr>
        <w:footnoteReference w:id="32"/>
      </w:r>
      <w:r w:rsidRPr="00D876F4">
        <w:rPr>
          <w:color w:val="000000"/>
          <w:sz w:val="20"/>
          <w:szCs w:val="20"/>
        </w:rPr>
        <w:t xml:space="preserve"> The</w:t>
      </w:r>
      <w:sdt>
        <w:sdtPr>
          <w:rPr>
            <w:sz w:val="20"/>
            <w:szCs w:val="20"/>
          </w:rPr>
          <w:tag w:val="goog_rdk_5"/>
          <w:id w:val="-1681037958"/>
          <w:showingPlcHdr/>
        </w:sdtPr>
        <w:sdtEndPr/>
        <w:sdtContent>
          <w:r w:rsidR="0023426B" w:rsidRPr="00D876F4">
            <w:rPr>
              <w:sz w:val="20"/>
              <w:szCs w:val="20"/>
            </w:rPr>
            <w:t xml:space="preserve">     </w:t>
          </w:r>
        </w:sdtContent>
      </w:sdt>
      <w:r w:rsidRPr="00D876F4">
        <w:rPr>
          <w:color w:val="000000"/>
          <w:sz w:val="20"/>
          <w:szCs w:val="20"/>
        </w:rPr>
        <w:t xml:space="preserve"> harms</w:t>
      </w:r>
      <w:r w:rsidR="00E868CD">
        <w:rPr>
          <w:color w:val="000000"/>
          <w:sz w:val="20"/>
          <w:szCs w:val="20"/>
        </w:rPr>
        <w:t xml:space="preserve"> it inflicts </w:t>
      </w:r>
      <w:r w:rsidRPr="00D876F4">
        <w:rPr>
          <w:color w:val="000000"/>
          <w:sz w:val="20"/>
          <w:szCs w:val="20"/>
        </w:rPr>
        <w:t>include</w:t>
      </w:r>
      <w:r w:rsidR="006F4DD4">
        <w:rPr>
          <w:color w:val="000000"/>
          <w:sz w:val="20"/>
          <w:szCs w:val="20"/>
        </w:rPr>
        <w:t xml:space="preserve"> </w:t>
      </w:r>
      <w:r w:rsidR="006F4DD4" w:rsidRPr="00D876F4">
        <w:rPr>
          <w:color w:val="000000"/>
          <w:sz w:val="20"/>
          <w:szCs w:val="20"/>
        </w:rPr>
        <w:t>rape and other sexual and gender-based violence</w:t>
      </w:r>
      <w:r w:rsidR="006F4DD4">
        <w:rPr>
          <w:color w:val="000000"/>
          <w:sz w:val="20"/>
          <w:szCs w:val="20"/>
        </w:rPr>
        <w:t xml:space="preserve">, </w:t>
      </w:r>
      <w:r w:rsidR="006F4DD4" w:rsidRPr="00D876F4">
        <w:rPr>
          <w:color w:val="000000"/>
          <w:sz w:val="20"/>
          <w:szCs w:val="20"/>
        </w:rPr>
        <w:t>forced sterilization, so-called “conversion therapies” and surgery without obtaining consent</w:t>
      </w:r>
      <w:r w:rsidR="005C6763">
        <w:rPr>
          <w:color w:val="000000"/>
          <w:sz w:val="20"/>
          <w:szCs w:val="20"/>
        </w:rPr>
        <w:t>,</w:t>
      </w:r>
      <w:r w:rsidR="006F4DD4" w:rsidRPr="00D876F4">
        <w:rPr>
          <w:color w:val="000000"/>
          <w:sz w:val="20"/>
          <w:szCs w:val="20"/>
        </w:rPr>
        <w:t xml:space="preserve"> increased risk of HIV/AIDS and sexually transmitted infections</w:t>
      </w:r>
      <w:r w:rsidR="005C6763">
        <w:rPr>
          <w:color w:val="000000"/>
          <w:sz w:val="20"/>
          <w:szCs w:val="20"/>
        </w:rPr>
        <w:t>,</w:t>
      </w:r>
      <w:r w:rsidR="006F4DD4" w:rsidRPr="00D876F4">
        <w:rPr>
          <w:color w:val="000000"/>
          <w:sz w:val="20"/>
          <w:szCs w:val="20"/>
        </w:rPr>
        <w:t xml:space="preserve"> and stress/trauma-related</w:t>
      </w:r>
      <w:r w:rsidR="006F4DD4">
        <w:rPr>
          <w:sz w:val="20"/>
          <w:szCs w:val="20"/>
        </w:rPr>
        <w:t xml:space="preserve"> </w:t>
      </w:r>
      <w:r w:rsidRPr="00D876F4">
        <w:rPr>
          <w:color w:val="000000"/>
          <w:sz w:val="20"/>
          <w:szCs w:val="20"/>
        </w:rPr>
        <w:t>depression</w:t>
      </w:r>
      <w:sdt>
        <w:sdtPr>
          <w:rPr>
            <w:sz w:val="20"/>
            <w:szCs w:val="20"/>
          </w:rPr>
          <w:tag w:val="goog_rdk_9"/>
          <w:id w:val="553043062"/>
        </w:sdtPr>
        <w:sdtEndPr/>
        <w:sdtContent>
          <w:r w:rsidRPr="00D876F4">
            <w:rPr>
              <w:color w:val="000000"/>
              <w:sz w:val="20"/>
              <w:szCs w:val="20"/>
            </w:rPr>
            <w:t xml:space="preserve"> and</w:t>
          </w:r>
        </w:sdtContent>
      </w:sdt>
      <w:sdt>
        <w:sdtPr>
          <w:rPr>
            <w:sz w:val="20"/>
            <w:szCs w:val="20"/>
          </w:rPr>
          <w:tag w:val="goog_rdk_10"/>
          <w:id w:val="1261264658"/>
          <w:showingPlcHdr/>
        </w:sdtPr>
        <w:sdtEndPr/>
        <w:sdtContent>
          <w:r w:rsidRPr="00D876F4">
            <w:rPr>
              <w:sz w:val="20"/>
              <w:szCs w:val="20"/>
            </w:rPr>
            <w:t xml:space="preserve">     </w:t>
          </w:r>
        </w:sdtContent>
      </w:sdt>
      <w:r w:rsidRPr="00D876F4">
        <w:rPr>
          <w:color w:val="000000"/>
          <w:sz w:val="20"/>
          <w:szCs w:val="20"/>
        </w:rPr>
        <w:t xml:space="preserve"> anxiety</w:t>
      </w:r>
      <w:r w:rsidR="006F4DD4">
        <w:rPr>
          <w:color w:val="000000"/>
          <w:sz w:val="20"/>
          <w:szCs w:val="20"/>
        </w:rPr>
        <w:t>, leading to increased risk of suicide</w:t>
      </w:r>
      <w:r w:rsidRPr="00D876F4">
        <w:rPr>
          <w:color w:val="000000"/>
          <w:sz w:val="20"/>
          <w:szCs w:val="20"/>
        </w:rPr>
        <w:t>,</w:t>
      </w:r>
      <w:r w:rsidR="006F4DD4">
        <w:rPr>
          <w:color w:val="000000"/>
          <w:sz w:val="20"/>
          <w:szCs w:val="20"/>
        </w:rPr>
        <w:t xml:space="preserve"> </w:t>
      </w:r>
      <w:r w:rsidRPr="00D876F4">
        <w:rPr>
          <w:color w:val="000000"/>
          <w:sz w:val="20"/>
          <w:szCs w:val="20"/>
        </w:rPr>
        <w:t>drug and substance abuse, body dysmorphia and disordered eating,</w:t>
      </w:r>
      <w:r w:rsidR="006F4DD4">
        <w:rPr>
          <w:color w:val="000000"/>
          <w:sz w:val="20"/>
          <w:szCs w:val="20"/>
        </w:rPr>
        <w:t xml:space="preserve"> among others.</w:t>
      </w:r>
    </w:p>
    <w:p w14:paraId="4D961FA7" w14:textId="3C84D273" w:rsidR="00BA0919" w:rsidRPr="00D876F4" w:rsidRDefault="00BA0919" w:rsidP="005E2921">
      <w:pPr>
        <w:pStyle w:val="SingleTxtG"/>
        <w:pBdr>
          <w:top w:val="nil"/>
          <w:left w:val="nil"/>
          <w:bottom w:val="nil"/>
          <w:right w:val="nil"/>
          <w:between w:val="nil"/>
          <w:bar w:val="nil"/>
        </w:pBdr>
        <w:spacing w:line="240" w:lineRule="exact"/>
        <w:rPr>
          <w:color w:val="000000"/>
          <w:sz w:val="20"/>
          <w:szCs w:val="20"/>
        </w:rPr>
      </w:pPr>
      <w:r w:rsidRPr="00D876F4">
        <w:rPr>
          <w:sz w:val="20"/>
          <w:szCs w:val="20"/>
        </w:rPr>
        <w:lastRenderedPageBreak/>
        <w:t>19.</w:t>
      </w:r>
      <w:r w:rsidRPr="00D876F4">
        <w:rPr>
          <w:sz w:val="20"/>
          <w:szCs w:val="20"/>
        </w:rPr>
        <w:tab/>
      </w:r>
      <w:r w:rsidR="00487687" w:rsidRPr="00D876F4">
        <w:rPr>
          <w:color w:val="000000"/>
          <w:sz w:val="20"/>
          <w:szCs w:val="20"/>
        </w:rPr>
        <w:t>P</w:t>
      </w:r>
      <w:r w:rsidRPr="00D876F4">
        <w:rPr>
          <w:sz w:val="20"/>
          <w:szCs w:val="20"/>
        </w:rPr>
        <w:t>reventing</w:t>
      </w:r>
      <w:r w:rsidRPr="00D876F4">
        <w:rPr>
          <w:color w:val="000000"/>
          <w:sz w:val="20"/>
          <w:szCs w:val="20"/>
        </w:rPr>
        <w:t xml:space="preserve"> these grave </w:t>
      </w:r>
      <w:r w:rsidR="005C6763">
        <w:rPr>
          <w:color w:val="000000"/>
          <w:sz w:val="20"/>
          <w:szCs w:val="20"/>
        </w:rPr>
        <w:t xml:space="preserve">harms </w:t>
      </w:r>
      <w:r w:rsidRPr="00D876F4">
        <w:rPr>
          <w:color w:val="000000"/>
          <w:sz w:val="20"/>
          <w:szCs w:val="20"/>
        </w:rPr>
        <w:t>is part of State</w:t>
      </w:r>
      <w:r w:rsidRPr="00D876F4">
        <w:rPr>
          <w:sz w:val="20"/>
          <w:szCs w:val="20"/>
        </w:rPr>
        <w:t>s’</w:t>
      </w:r>
      <w:r w:rsidRPr="00D876F4">
        <w:rPr>
          <w:color w:val="000000"/>
          <w:sz w:val="20"/>
          <w:szCs w:val="20"/>
        </w:rPr>
        <w:t xml:space="preserve"> human rights due diligence.</w:t>
      </w:r>
      <w:r w:rsidR="006F4DD4">
        <w:rPr>
          <w:color w:val="000000"/>
          <w:sz w:val="20"/>
          <w:szCs w:val="20"/>
        </w:rPr>
        <w:t xml:space="preserve"> They must be addressed through an intersectional </w:t>
      </w:r>
      <w:r w:rsidR="006F4DD4" w:rsidRPr="00D876F4">
        <w:rPr>
          <w:color w:val="000000"/>
          <w:sz w:val="20"/>
          <w:szCs w:val="20"/>
        </w:rPr>
        <w:t>lens that recognizes how factors such as race, class, gender, age</w:t>
      </w:r>
      <w:r w:rsidR="006F4DD4">
        <w:rPr>
          <w:color w:val="000000"/>
          <w:sz w:val="20"/>
          <w:szCs w:val="20"/>
        </w:rPr>
        <w:t>,</w:t>
      </w:r>
      <w:r w:rsidR="006F4DD4" w:rsidRPr="00D876F4">
        <w:rPr>
          <w:color w:val="000000"/>
          <w:sz w:val="20"/>
          <w:szCs w:val="20"/>
        </w:rPr>
        <w:t xml:space="preserve"> and disability compound SOGI discrimination in shaping health outcomes and inequalities</w:t>
      </w:r>
      <w:r w:rsidR="006F4DD4">
        <w:rPr>
          <w:color w:val="000000"/>
          <w:sz w:val="20"/>
          <w:szCs w:val="20"/>
        </w:rPr>
        <w:t>. S</w:t>
      </w:r>
      <w:r w:rsidRPr="00D876F4">
        <w:rPr>
          <w:color w:val="000000"/>
          <w:sz w:val="20"/>
          <w:szCs w:val="20"/>
        </w:rPr>
        <w:t xml:space="preserve">ome of the key manifestations of health-related discrimination and violence are outlined below. </w:t>
      </w:r>
    </w:p>
    <w:p w14:paraId="1349253C" w14:textId="6B3CC358" w:rsidR="00BA0919" w:rsidRPr="00D876F4" w:rsidRDefault="00A84CE6" w:rsidP="00A84CE6">
      <w:pPr>
        <w:pStyle w:val="H23G"/>
        <w:rPr>
          <w:color w:val="000000"/>
          <w:sz w:val="20"/>
          <w:szCs w:val="20"/>
        </w:rPr>
      </w:pPr>
      <w:r w:rsidRPr="00D876F4">
        <w:rPr>
          <w:sz w:val="20"/>
          <w:szCs w:val="20"/>
        </w:rPr>
        <w:tab/>
      </w:r>
      <w:r w:rsidRPr="00D876F4">
        <w:rPr>
          <w:sz w:val="20"/>
          <w:szCs w:val="20"/>
        </w:rPr>
        <w:tab/>
      </w:r>
      <w:r w:rsidR="00BA0919" w:rsidRPr="00D876F4">
        <w:rPr>
          <w:sz w:val="20"/>
          <w:szCs w:val="20"/>
        </w:rPr>
        <w:t xml:space="preserve">Discrimination by health </w:t>
      </w:r>
      <w:r w:rsidR="00BA0919" w:rsidRPr="00D876F4">
        <w:rPr>
          <w:color w:val="000000"/>
          <w:sz w:val="20"/>
          <w:szCs w:val="20"/>
        </w:rPr>
        <w:t>providers</w:t>
      </w:r>
      <w:r w:rsidR="00BA0919" w:rsidRPr="00D876F4">
        <w:rPr>
          <w:sz w:val="20"/>
          <w:szCs w:val="20"/>
        </w:rPr>
        <w:t xml:space="preserve"> and systems</w:t>
      </w:r>
    </w:p>
    <w:p w14:paraId="782620EC" w14:textId="1C5C07C0" w:rsidR="00BA0919" w:rsidRPr="00D876F4" w:rsidRDefault="00BA0919" w:rsidP="00FF04F4">
      <w:pPr>
        <w:pStyle w:val="SingleTxtG"/>
        <w:pBdr>
          <w:top w:val="nil"/>
          <w:left w:val="nil"/>
          <w:bottom w:val="nil"/>
          <w:right w:val="nil"/>
          <w:between w:val="nil"/>
          <w:bar w:val="nil"/>
        </w:pBdr>
        <w:spacing w:line="240" w:lineRule="exact"/>
        <w:rPr>
          <w:color w:val="000000"/>
          <w:sz w:val="20"/>
          <w:szCs w:val="20"/>
        </w:rPr>
      </w:pPr>
      <w:r w:rsidRPr="00D876F4">
        <w:rPr>
          <w:sz w:val="20"/>
          <w:szCs w:val="20"/>
        </w:rPr>
        <w:t>20.</w:t>
      </w:r>
      <w:r w:rsidRPr="00D876F4">
        <w:rPr>
          <w:sz w:val="20"/>
          <w:szCs w:val="20"/>
        </w:rPr>
        <w:tab/>
      </w:r>
      <w:r w:rsidRPr="00D876F4">
        <w:rPr>
          <w:color w:val="000000"/>
          <w:sz w:val="20"/>
          <w:szCs w:val="20"/>
        </w:rPr>
        <w:t>States</w:t>
      </w:r>
      <w:r w:rsidR="005E2921">
        <w:rPr>
          <w:color w:val="000000"/>
          <w:sz w:val="20"/>
          <w:szCs w:val="20"/>
        </w:rPr>
        <w:t xml:space="preserve"> have a duty to </w:t>
      </w:r>
      <w:r w:rsidRPr="00D876F4">
        <w:rPr>
          <w:color w:val="000000"/>
          <w:sz w:val="20"/>
          <w:szCs w:val="20"/>
        </w:rPr>
        <w:t>ensure that health systems and services are available in sufficient quantity, accessible to all without discrimination, culturally acceptable including for minority communities, and of good quality.</w:t>
      </w:r>
      <w:r w:rsidRPr="00D876F4">
        <w:rPr>
          <w:color w:val="000000"/>
          <w:sz w:val="20"/>
          <w:szCs w:val="20"/>
          <w:vertAlign w:val="superscript"/>
        </w:rPr>
        <w:footnoteReference w:id="33"/>
      </w:r>
      <w:r w:rsidRPr="00D876F4">
        <w:rPr>
          <w:color w:val="000000"/>
          <w:sz w:val="20"/>
          <w:szCs w:val="20"/>
        </w:rPr>
        <w:t xml:space="preserve"> Submissions received from across the globe indicate that most States are falling woefully short on these obligations because of widespread health inequities stemming from pervasive and longstanding DV/SOGI. </w:t>
      </w:r>
    </w:p>
    <w:p w14:paraId="69C9EB6D" w14:textId="77777777" w:rsidR="00BA0919" w:rsidRPr="00D876F4" w:rsidRDefault="00BA0919" w:rsidP="00FF04F4">
      <w:pPr>
        <w:pStyle w:val="SingleTxtG"/>
        <w:pBdr>
          <w:top w:val="nil"/>
          <w:left w:val="nil"/>
          <w:bottom w:val="nil"/>
          <w:right w:val="nil"/>
          <w:between w:val="nil"/>
          <w:bar w:val="nil"/>
        </w:pBdr>
        <w:spacing w:line="240" w:lineRule="exact"/>
        <w:rPr>
          <w:color w:val="000000"/>
          <w:sz w:val="20"/>
          <w:szCs w:val="20"/>
        </w:rPr>
      </w:pPr>
      <w:r w:rsidRPr="00D876F4">
        <w:rPr>
          <w:sz w:val="20"/>
          <w:szCs w:val="20"/>
        </w:rPr>
        <w:t>21.</w:t>
      </w:r>
      <w:r w:rsidRPr="00D876F4">
        <w:rPr>
          <w:sz w:val="20"/>
          <w:szCs w:val="20"/>
        </w:rPr>
        <w:tab/>
      </w:r>
      <w:r w:rsidRPr="00D876F4">
        <w:rPr>
          <w:color w:val="000000"/>
          <w:sz w:val="20"/>
          <w:szCs w:val="20"/>
        </w:rPr>
        <w:t>Reported instances of direct discrimination and ill treatment by medical providers include refusal to make clinic appointments or treat patients, treatment of patients with gross disrespect or inferior care, violation of medical privacy, private shaming and public disparagement.</w:t>
      </w:r>
      <w:r w:rsidRPr="00D876F4">
        <w:rPr>
          <w:color w:val="000000"/>
          <w:sz w:val="20"/>
          <w:szCs w:val="20"/>
          <w:vertAlign w:val="superscript"/>
        </w:rPr>
        <w:footnoteReference w:id="34"/>
      </w:r>
      <w:r w:rsidRPr="00D876F4">
        <w:rPr>
          <w:color w:val="000000"/>
          <w:sz w:val="20"/>
          <w:szCs w:val="20"/>
        </w:rPr>
        <w:t xml:space="preserve"> UNAIDS observes that the percentage of transgender people who avoid seeking HIV testing due to stigma and discrimination ranges from 47% to 73%,</w:t>
      </w:r>
      <w:r w:rsidRPr="00D876F4">
        <w:rPr>
          <w:color w:val="000000"/>
          <w:sz w:val="20"/>
          <w:szCs w:val="20"/>
          <w:vertAlign w:val="superscript"/>
        </w:rPr>
        <w:footnoteReference w:id="35"/>
      </w:r>
      <w:r w:rsidRPr="00D876F4">
        <w:rPr>
          <w:color w:val="000000"/>
          <w:sz w:val="20"/>
          <w:szCs w:val="20"/>
        </w:rPr>
        <w:t xml:space="preserve"> and surveys in sub-Saharan Africa found that between 10% and 40% of men who have sex with men delay or avoid health care due to fear of stigma.</w:t>
      </w:r>
      <w:r w:rsidRPr="00D876F4">
        <w:rPr>
          <w:color w:val="000000"/>
          <w:sz w:val="20"/>
          <w:szCs w:val="20"/>
          <w:vertAlign w:val="superscript"/>
        </w:rPr>
        <w:footnoteReference w:id="36"/>
      </w:r>
    </w:p>
    <w:p w14:paraId="0259B1CF" w14:textId="090AFF69" w:rsidR="00BA0919" w:rsidRPr="00D876F4" w:rsidRDefault="00BA0919" w:rsidP="00FF04F4">
      <w:pPr>
        <w:pStyle w:val="SingleTxtG"/>
        <w:pBdr>
          <w:top w:val="nil"/>
          <w:left w:val="nil"/>
          <w:bottom w:val="nil"/>
          <w:right w:val="nil"/>
          <w:between w:val="nil"/>
          <w:bar w:val="nil"/>
        </w:pBdr>
        <w:spacing w:line="240" w:lineRule="exact"/>
        <w:rPr>
          <w:color w:val="000000"/>
          <w:sz w:val="20"/>
          <w:szCs w:val="20"/>
        </w:rPr>
      </w:pPr>
      <w:r w:rsidRPr="00D876F4">
        <w:rPr>
          <w:sz w:val="20"/>
          <w:szCs w:val="20"/>
        </w:rPr>
        <w:t>22.</w:t>
      </w:r>
      <w:r w:rsidRPr="00D876F4">
        <w:rPr>
          <w:sz w:val="20"/>
          <w:szCs w:val="20"/>
        </w:rPr>
        <w:tab/>
        <w:t xml:space="preserve">The attitudes of health care providers make many LGBT persons reluctant to share </w:t>
      </w:r>
      <w:r w:rsidRPr="00D876F4">
        <w:rPr>
          <w:color w:val="000000"/>
          <w:sz w:val="20"/>
          <w:szCs w:val="20"/>
        </w:rPr>
        <w:t>personal</w:t>
      </w:r>
      <w:r w:rsidRPr="00D876F4">
        <w:rPr>
          <w:sz w:val="20"/>
          <w:szCs w:val="20"/>
        </w:rPr>
        <w:t xml:space="preserve"> and medical information:</w:t>
      </w:r>
      <w:r w:rsidRPr="00D876F4">
        <w:rPr>
          <w:color w:val="141413"/>
          <w:sz w:val="20"/>
          <w:szCs w:val="20"/>
          <w:vertAlign w:val="superscript"/>
        </w:rPr>
        <w:footnoteReference w:id="37"/>
      </w:r>
      <w:r w:rsidRPr="00D876F4">
        <w:rPr>
          <w:color w:val="000000"/>
          <w:sz w:val="20"/>
          <w:szCs w:val="20"/>
        </w:rPr>
        <w:t xml:space="preserve"> in a survey in Peru, 59% of respondents reported that the mental health providers were not properly trained to deal with LGBTI persons;</w:t>
      </w:r>
      <w:r w:rsidRPr="00D876F4">
        <w:rPr>
          <w:color w:val="000000"/>
          <w:sz w:val="20"/>
          <w:szCs w:val="20"/>
          <w:vertAlign w:val="superscript"/>
        </w:rPr>
        <w:footnoteReference w:id="38"/>
      </w:r>
      <w:r w:rsidRPr="00D876F4">
        <w:rPr>
          <w:color w:val="000000"/>
          <w:sz w:val="20"/>
          <w:szCs w:val="20"/>
        </w:rPr>
        <w:t xml:space="preserve"> and in a 2017 survey at a highly ranked hospital in Changsha, China, 87% of medical staff respondents said they were opposed to same-sex sex</w:t>
      </w:r>
      <w:sdt>
        <w:sdtPr>
          <w:rPr>
            <w:sz w:val="20"/>
            <w:szCs w:val="20"/>
          </w:rPr>
          <w:tag w:val="goog_rdk_24"/>
          <w:id w:val="1389000502"/>
        </w:sdtPr>
        <w:sdtEndPr/>
        <w:sdtContent>
          <w:r w:rsidRPr="00D876F4">
            <w:rPr>
              <w:color w:val="000000"/>
              <w:sz w:val="20"/>
              <w:szCs w:val="20"/>
            </w:rPr>
            <w:t>ual</w:t>
          </w:r>
        </w:sdtContent>
      </w:sdt>
      <w:r w:rsidRPr="00D876F4">
        <w:rPr>
          <w:color w:val="000000"/>
          <w:sz w:val="20"/>
          <w:szCs w:val="20"/>
        </w:rPr>
        <w:t xml:space="preserve"> behaviours.</w:t>
      </w:r>
      <w:r w:rsidRPr="00D876F4">
        <w:rPr>
          <w:color w:val="000000"/>
          <w:sz w:val="20"/>
          <w:szCs w:val="20"/>
          <w:vertAlign w:val="superscript"/>
        </w:rPr>
        <w:footnoteReference w:id="39"/>
      </w:r>
      <w:r w:rsidRPr="00D876F4">
        <w:rPr>
          <w:color w:val="000000"/>
          <w:sz w:val="20"/>
          <w:szCs w:val="20"/>
        </w:rPr>
        <w:t xml:space="preserve"> </w:t>
      </w:r>
    </w:p>
    <w:p w14:paraId="4606F351" w14:textId="66549587" w:rsidR="00BA0919" w:rsidRPr="00D876F4" w:rsidRDefault="00BA0919" w:rsidP="00FF04F4">
      <w:pPr>
        <w:pStyle w:val="SingleTxtG"/>
        <w:pBdr>
          <w:top w:val="nil"/>
          <w:left w:val="nil"/>
          <w:bottom w:val="nil"/>
          <w:right w:val="nil"/>
          <w:between w:val="nil"/>
          <w:bar w:val="nil"/>
        </w:pBdr>
        <w:spacing w:line="240" w:lineRule="exact"/>
        <w:rPr>
          <w:color w:val="000000"/>
          <w:sz w:val="20"/>
          <w:szCs w:val="20"/>
        </w:rPr>
      </w:pPr>
      <w:r w:rsidRPr="00D876F4">
        <w:rPr>
          <w:sz w:val="20"/>
          <w:szCs w:val="20"/>
        </w:rPr>
        <w:t>23.</w:t>
      </w:r>
      <w:r w:rsidRPr="00D876F4">
        <w:rPr>
          <w:sz w:val="20"/>
          <w:szCs w:val="20"/>
        </w:rPr>
        <w:tab/>
      </w:r>
      <w:r w:rsidRPr="00D876F4">
        <w:rPr>
          <w:color w:val="000000"/>
          <w:sz w:val="20"/>
          <w:szCs w:val="20"/>
        </w:rPr>
        <w:t xml:space="preserve">A submission referred to reports in Mexico </w:t>
      </w:r>
      <w:r w:rsidR="005C6763">
        <w:rPr>
          <w:color w:val="000000"/>
          <w:sz w:val="20"/>
          <w:szCs w:val="20"/>
        </w:rPr>
        <w:t>more than 1</w:t>
      </w:r>
      <w:r w:rsidRPr="00D876F4">
        <w:rPr>
          <w:color w:val="000000"/>
          <w:sz w:val="20"/>
          <w:szCs w:val="20"/>
        </w:rPr>
        <w:t xml:space="preserve">8% of over a thousand </w:t>
      </w:r>
      <w:sdt>
        <w:sdtPr>
          <w:rPr>
            <w:sz w:val="20"/>
            <w:szCs w:val="20"/>
          </w:rPr>
          <w:tag w:val="goog_rdk_29"/>
          <w:id w:val="1078950489"/>
        </w:sdtPr>
        <w:sdtEndPr/>
        <w:sdtContent>
          <w:r w:rsidRPr="00D876F4">
            <w:rPr>
              <w:color w:val="000000"/>
              <w:sz w:val="20"/>
              <w:szCs w:val="20"/>
            </w:rPr>
            <w:t>cases</w:t>
          </w:r>
        </w:sdtContent>
      </w:sdt>
      <w:r w:rsidR="00835F9E">
        <w:rPr>
          <w:sz w:val="20"/>
          <w:szCs w:val="20"/>
        </w:rPr>
        <w:t xml:space="preserve"> </w:t>
      </w:r>
      <w:r w:rsidRPr="00D876F4">
        <w:rPr>
          <w:color w:val="000000"/>
          <w:sz w:val="20"/>
          <w:szCs w:val="20"/>
        </w:rPr>
        <w:t>of violence and discrimination in healthcare settings were against bisexual persons.</w:t>
      </w:r>
      <w:r w:rsidRPr="00D876F4">
        <w:rPr>
          <w:color w:val="000000"/>
          <w:sz w:val="20"/>
          <w:szCs w:val="20"/>
          <w:vertAlign w:val="superscript"/>
        </w:rPr>
        <w:footnoteReference w:id="40"/>
      </w:r>
      <w:r w:rsidRPr="00D876F4">
        <w:rPr>
          <w:color w:val="000000"/>
          <w:sz w:val="20"/>
          <w:szCs w:val="20"/>
        </w:rPr>
        <w:t xml:space="preserve"> </w:t>
      </w:r>
      <w:r w:rsidRPr="00D876F4">
        <w:rPr>
          <w:sz w:val="20"/>
          <w:szCs w:val="20"/>
        </w:rPr>
        <w:t>Studies have documented therapists react</w:t>
      </w:r>
      <w:sdt>
        <w:sdtPr>
          <w:rPr>
            <w:sz w:val="20"/>
            <w:szCs w:val="20"/>
          </w:rPr>
          <w:tag w:val="goog_rdk_33"/>
          <w:id w:val="518361050"/>
        </w:sdtPr>
        <w:sdtEndPr/>
        <w:sdtContent>
          <w:r w:rsidRPr="00D876F4">
            <w:rPr>
              <w:sz w:val="20"/>
              <w:szCs w:val="20"/>
            </w:rPr>
            <w:t>ing</w:t>
          </w:r>
        </w:sdtContent>
      </w:sdt>
      <w:r w:rsidRPr="00D876F4">
        <w:rPr>
          <w:sz w:val="20"/>
          <w:szCs w:val="20"/>
        </w:rPr>
        <w:t xml:space="preserve"> to patients coming out to them as bisexual</w:t>
      </w:r>
      <w:r w:rsidR="00BE521D">
        <w:rPr>
          <w:sz w:val="20"/>
          <w:szCs w:val="20"/>
        </w:rPr>
        <w:t xml:space="preserve"> by telling them they </w:t>
      </w:r>
      <w:r w:rsidRPr="00D876F4">
        <w:rPr>
          <w:sz w:val="20"/>
          <w:szCs w:val="20"/>
        </w:rPr>
        <w:t>were “confused” and “had unresolved issues with [their] sexuality.”</w:t>
      </w:r>
      <w:r w:rsidRPr="00D876F4">
        <w:rPr>
          <w:sz w:val="20"/>
          <w:szCs w:val="20"/>
          <w:vertAlign w:val="superscript"/>
        </w:rPr>
        <w:footnoteReference w:id="41"/>
      </w:r>
      <w:r w:rsidRPr="00D876F4">
        <w:rPr>
          <w:sz w:val="20"/>
          <w:szCs w:val="20"/>
        </w:rPr>
        <w:t xml:space="preserve"> Data collection has not been adequately resourced but research suggests</w:t>
      </w:r>
      <w:r w:rsidRPr="00D876F4">
        <w:rPr>
          <w:color w:val="000000"/>
          <w:sz w:val="20"/>
          <w:szCs w:val="20"/>
        </w:rPr>
        <w:t xml:space="preserve"> that lesbian and bisexual women are less likely to have regular cervical </w:t>
      </w:r>
      <w:sdt>
        <w:sdtPr>
          <w:rPr>
            <w:sz w:val="20"/>
            <w:szCs w:val="20"/>
          </w:rPr>
          <w:tag w:val="goog_rdk_41"/>
          <w:id w:val="-1052148432"/>
        </w:sdtPr>
        <w:sdtEndPr/>
        <w:sdtContent>
          <w:r w:rsidRPr="00D876F4">
            <w:rPr>
              <w:color w:val="000000"/>
              <w:sz w:val="20"/>
              <w:szCs w:val="20"/>
            </w:rPr>
            <w:t xml:space="preserve">and </w:t>
          </w:r>
        </w:sdtContent>
      </w:sdt>
      <w:r w:rsidRPr="00D876F4">
        <w:rPr>
          <w:color w:val="000000"/>
          <w:sz w:val="20"/>
          <w:szCs w:val="20"/>
        </w:rPr>
        <w:t>breast cancer screenings and more likely to develop breast cancer as compared with heterosexual women.</w:t>
      </w:r>
      <w:sdt>
        <w:sdtPr>
          <w:rPr>
            <w:sz w:val="20"/>
            <w:szCs w:val="20"/>
          </w:rPr>
          <w:tag w:val="goog_rdk_42"/>
          <w:id w:val="1985046600"/>
        </w:sdtPr>
        <w:sdtEndPr/>
        <w:sdtContent>
          <w:r w:rsidRPr="00D876F4">
            <w:rPr>
              <w:color w:val="000000"/>
              <w:sz w:val="20"/>
              <w:szCs w:val="20"/>
              <w:vertAlign w:val="superscript"/>
            </w:rPr>
            <w:footnoteReference w:id="42"/>
          </w:r>
          <w:r w:rsidRPr="00D876F4">
            <w:rPr>
              <w:color w:val="000000"/>
              <w:sz w:val="20"/>
              <w:szCs w:val="20"/>
            </w:rPr>
            <w:t xml:space="preserve"> </w:t>
          </w:r>
        </w:sdtContent>
      </w:sdt>
      <w:r w:rsidR="00487687" w:rsidRPr="00D876F4">
        <w:rPr>
          <w:color w:val="000000"/>
          <w:sz w:val="20"/>
          <w:szCs w:val="20"/>
        </w:rPr>
        <w:t>A</w:t>
      </w:r>
      <w:r w:rsidRPr="00D876F4">
        <w:rPr>
          <w:sz w:val="20"/>
          <w:szCs w:val="20"/>
        </w:rPr>
        <w:t xml:space="preserve"> similar situation may affect trans men.</w:t>
      </w:r>
    </w:p>
    <w:p w14:paraId="13B14F36" w14:textId="600D0FA1" w:rsidR="00BA0919" w:rsidRPr="00D876F4" w:rsidRDefault="00A84CE6" w:rsidP="00A84CE6">
      <w:pPr>
        <w:pStyle w:val="H23G"/>
        <w:rPr>
          <w:sz w:val="20"/>
          <w:szCs w:val="20"/>
        </w:rPr>
      </w:pPr>
      <w:r w:rsidRPr="00D876F4">
        <w:rPr>
          <w:sz w:val="20"/>
          <w:szCs w:val="20"/>
        </w:rPr>
        <w:tab/>
      </w:r>
      <w:r w:rsidRPr="00D876F4">
        <w:rPr>
          <w:sz w:val="20"/>
          <w:szCs w:val="20"/>
        </w:rPr>
        <w:tab/>
      </w:r>
      <w:r w:rsidR="00BA0919" w:rsidRPr="00D876F4">
        <w:rPr>
          <w:sz w:val="20"/>
          <w:szCs w:val="20"/>
        </w:rPr>
        <w:t>Sexual and gender-based violence</w:t>
      </w:r>
    </w:p>
    <w:p w14:paraId="14387A80" w14:textId="045B69E7" w:rsidR="00BA0919" w:rsidRPr="00D876F4" w:rsidRDefault="00BA0919" w:rsidP="00FF04F4">
      <w:pPr>
        <w:pStyle w:val="SingleTxtG"/>
        <w:pBdr>
          <w:top w:val="nil"/>
          <w:left w:val="nil"/>
          <w:bottom w:val="nil"/>
          <w:right w:val="nil"/>
          <w:between w:val="nil"/>
          <w:bar w:val="nil"/>
        </w:pBdr>
        <w:spacing w:line="240" w:lineRule="exact"/>
        <w:rPr>
          <w:sz w:val="20"/>
          <w:szCs w:val="20"/>
        </w:rPr>
      </w:pPr>
      <w:r w:rsidRPr="00D876F4">
        <w:rPr>
          <w:sz w:val="20"/>
          <w:szCs w:val="20"/>
        </w:rPr>
        <w:t>24.</w:t>
      </w:r>
      <w:r w:rsidRPr="00D876F4">
        <w:rPr>
          <w:sz w:val="20"/>
          <w:szCs w:val="20"/>
        </w:rPr>
        <w:tab/>
      </w:r>
      <w:r w:rsidRPr="00D876F4">
        <w:rPr>
          <w:color w:val="000000"/>
          <w:sz w:val="20"/>
          <w:szCs w:val="20"/>
        </w:rPr>
        <w:t>Of all the manifestations of DV/SOGI, gender-based violence is perhaps the most devastating in its impacts on physical and mental integrity and health. In some settings, lesbian women are subjected</w:t>
      </w:r>
      <w:r w:rsidR="00D669F6">
        <w:rPr>
          <w:color w:val="000000"/>
          <w:sz w:val="20"/>
          <w:szCs w:val="20"/>
        </w:rPr>
        <w:t xml:space="preserve"> to killing, rape and other forms of torture and cruel, inhuman, and</w:t>
      </w:r>
      <w:r w:rsidRPr="00D876F4">
        <w:rPr>
          <w:color w:val="000000"/>
          <w:sz w:val="20"/>
          <w:szCs w:val="20"/>
        </w:rPr>
        <w:t xml:space="preserve"> degrading practices</w:t>
      </w:r>
      <w:r w:rsidRPr="00D876F4">
        <w:rPr>
          <w:sz w:val="20"/>
          <w:szCs w:val="20"/>
        </w:rPr>
        <w:t>.</w:t>
      </w:r>
      <w:r w:rsidRPr="00D876F4">
        <w:rPr>
          <w:color w:val="000000"/>
          <w:sz w:val="20"/>
          <w:szCs w:val="20"/>
          <w:vertAlign w:val="superscript"/>
        </w:rPr>
        <w:footnoteReference w:id="43"/>
      </w:r>
      <w:r w:rsidRPr="00D876F4">
        <w:rPr>
          <w:color w:val="000000"/>
          <w:sz w:val="20"/>
          <w:szCs w:val="20"/>
        </w:rPr>
        <w:t xml:space="preserve"> </w:t>
      </w:r>
      <w:r w:rsidRPr="00D876F4">
        <w:rPr>
          <w:sz w:val="20"/>
          <w:szCs w:val="20"/>
        </w:rPr>
        <w:t>In a South African study conducted among 591 women who have sex with women, o</w:t>
      </w:r>
      <w:r w:rsidRPr="00D876F4">
        <w:rPr>
          <w:color w:val="000000"/>
          <w:sz w:val="20"/>
          <w:szCs w:val="20"/>
        </w:rPr>
        <w:t xml:space="preserve">ne-third </w:t>
      </w:r>
      <w:r w:rsidRPr="00D876F4">
        <w:rPr>
          <w:sz w:val="20"/>
          <w:szCs w:val="20"/>
        </w:rPr>
        <w:t>r</w:t>
      </w:r>
      <w:r w:rsidRPr="00D876F4">
        <w:rPr>
          <w:color w:val="000000"/>
          <w:sz w:val="20"/>
          <w:szCs w:val="20"/>
        </w:rPr>
        <w:t>eported having</w:t>
      </w:r>
      <w:r w:rsidRPr="00D876F4">
        <w:rPr>
          <w:sz w:val="20"/>
          <w:szCs w:val="20"/>
        </w:rPr>
        <w:t xml:space="preserve"> </w:t>
      </w:r>
      <w:r w:rsidRPr="00D876F4">
        <w:rPr>
          <w:color w:val="000000"/>
          <w:sz w:val="20"/>
          <w:szCs w:val="20"/>
        </w:rPr>
        <w:t>experienced sexual violence.</w:t>
      </w:r>
      <w:r w:rsidRPr="00D876F4">
        <w:rPr>
          <w:color w:val="141413"/>
          <w:sz w:val="20"/>
          <w:szCs w:val="20"/>
          <w:vertAlign w:val="superscript"/>
        </w:rPr>
        <w:footnoteReference w:id="44"/>
      </w:r>
      <w:r w:rsidRPr="00D876F4">
        <w:rPr>
          <w:color w:val="141413"/>
          <w:sz w:val="20"/>
          <w:szCs w:val="20"/>
          <w:vertAlign w:val="superscript"/>
        </w:rPr>
        <w:t xml:space="preserve"> </w:t>
      </w:r>
      <w:r w:rsidRPr="00D876F4">
        <w:rPr>
          <w:color w:val="000000"/>
          <w:sz w:val="20"/>
          <w:szCs w:val="20"/>
        </w:rPr>
        <w:t>Research has revealed an association between high levels of violence against women</w:t>
      </w:r>
      <w:r w:rsidR="00B378ED">
        <w:rPr>
          <w:sz w:val="20"/>
          <w:szCs w:val="20"/>
        </w:rPr>
        <w:t xml:space="preserve"> </w:t>
      </w:r>
      <w:r w:rsidRPr="00D876F4">
        <w:rPr>
          <w:color w:val="000000"/>
          <w:sz w:val="20"/>
          <w:szCs w:val="20"/>
        </w:rPr>
        <w:t xml:space="preserve">and increased HIV </w:t>
      </w:r>
      <w:r w:rsidRPr="00D876F4">
        <w:rPr>
          <w:color w:val="000000"/>
          <w:sz w:val="20"/>
          <w:szCs w:val="20"/>
        </w:rPr>
        <w:lastRenderedPageBreak/>
        <w:t>infection risk</w:t>
      </w:r>
      <w:r w:rsidRPr="00D876F4">
        <w:rPr>
          <w:sz w:val="20"/>
          <w:szCs w:val="20"/>
        </w:rPr>
        <w:t>, risks of unwanted pregnancies, and underage pregnancies.</w:t>
      </w:r>
      <w:r w:rsidRPr="00D876F4">
        <w:rPr>
          <w:color w:val="141413"/>
          <w:sz w:val="20"/>
          <w:szCs w:val="20"/>
          <w:vertAlign w:val="superscript"/>
        </w:rPr>
        <w:footnoteReference w:id="45"/>
      </w:r>
      <w:r w:rsidRPr="00D876F4">
        <w:rPr>
          <w:color w:val="000000"/>
          <w:sz w:val="20"/>
          <w:szCs w:val="20"/>
        </w:rPr>
        <w:t xml:space="preserve"> Rights to sexual and reproductive health for many adolescent lesbian or bisexual girls are also compromised in other ways, including </w:t>
      </w:r>
      <w:r w:rsidR="003971CF">
        <w:rPr>
          <w:color w:val="000000"/>
          <w:sz w:val="20"/>
          <w:szCs w:val="20"/>
        </w:rPr>
        <w:t xml:space="preserve">rape, </w:t>
      </w:r>
      <w:r w:rsidRPr="00D876F4">
        <w:rPr>
          <w:color w:val="000000"/>
          <w:sz w:val="20"/>
          <w:szCs w:val="20"/>
        </w:rPr>
        <w:t>coercion into unwanted se</w:t>
      </w:r>
      <w:r w:rsidRPr="00D876F4">
        <w:rPr>
          <w:sz w:val="20"/>
          <w:szCs w:val="20"/>
        </w:rPr>
        <w:t>x or marriage,</w:t>
      </w:r>
      <w:r w:rsidR="003971CF">
        <w:rPr>
          <w:sz w:val="20"/>
          <w:szCs w:val="20"/>
        </w:rPr>
        <w:t xml:space="preserve"> and </w:t>
      </w:r>
      <w:r w:rsidRPr="00D876F4">
        <w:rPr>
          <w:sz w:val="20"/>
          <w:szCs w:val="20"/>
        </w:rPr>
        <w:t>unequal power relations that make it difficult for them to refuse sex or insist on safe sex practices.</w:t>
      </w:r>
      <w:r w:rsidRPr="00D876F4">
        <w:rPr>
          <w:color w:val="000000"/>
          <w:sz w:val="20"/>
          <w:szCs w:val="20"/>
          <w:vertAlign w:val="superscript"/>
        </w:rPr>
        <w:footnoteReference w:id="46"/>
      </w:r>
      <w:r w:rsidRPr="00D876F4">
        <w:rPr>
          <w:sz w:val="20"/>
          <w:szCs w:val="20"/>
        </w:rPr>
        <w:t xml:space="preserve"> Healthcare needs of lesbian and bisexual women and trans men, such as screening for cervical cancer, termination of pregnancy, and contraception, are often refused by service providers,</w:t>
      </w:r>
      <w:r w:rsidRPr="00D876F4">
        <w:rPr>
          <w:sz w:val="20"/>
          <w:szCs w:val="20"/>
          <w:vertAlign w:val="superscript"/>
        </w:rPr>
        <w:footnoteReference w:id="47"/>
      </w:r>
      <w:r w:rsidRPr="00D876F4">
        <w:rPr>
          <w:sz w:val="20"/>
          <w:szCs w:val="20"/>
        </w:rPr>
        <w:t xml:space="preserve"> as are other measures of gynaecological</w:t>
      </w:r>
      <w:r w:rsidRPr="00D876F4">
        <w:rPr>
          <w:sz w:val="20"/>
          <w:szCs w:val="20"/>
          <w:vertAlign w:val="superscript"/>
        </w:rPr>
        <w:footnoteReference w:id="48"/>
      </w:r>
      <w:r w:rsidRPr="00D876F4">
        <w:rPr>
          <w:sz w:val="20"/>
          <w:szCs w:val="20"/>
        </w:rPr>
        <w:t xml:space="preserve"> or andrological care, fertility treatment</w:t>
      </w:r>
      <w:sdt>
        <w:sdtPr>
          <w:rPr>
            <w:sz w:val="20"/>
            <w:szCs w:val="20"/>
          </w:rPr>
          <w:tag w:val="goog_rdk_52"/>
          <w:id w:val="-685595734"/>
        </w:sdtPr>
        <w:sdtEndPr/>
        <w:sdtContent>
          <w:r w:rsidRPr="00D876F4">
            <w:rPr>
              <w:sz w:val="20"/>
              <w:szCs w:val="20"/>
            </w:rPr>
            <w:t>,</w:t>
          </w:r>
        </w:sdtContent>
      </w:sdt>
      <w:r w:rsidRPr="00D876F4">
        <w:rPr>
          <w:sz w:val="20"/>
          <w:szCs w:val="20"/>
        </w:rPr>
        <w:t xml:space="preserve"> medical procreation techniques</w:t>
      </w:r>
      <w:r w:rsidR="003971CF">
        <w:rPr>
          <w:sz w:val="20"/>
          <w:szCs w:val="20"/>
        </w:rPr>
        <w:t xml:space="preserve"> and transition-related medical services.</w:t>
      </w:r>
      <w:r w:rsidRPr="00D876F4">
        <w:rPr>
          <w:sz w:val="20"/>
          <w:szCs w:val="20"/>
          <w:vertAlign w:val="superscript"/>
        </w:rPr>
        <w:footnoteReference w:id="49"/>
      </w:r>
      <w:r w:rsidRPr="00D876F4">
        <w:rPr>
          <w:sz w:val="20"/>
          <w:szCs w:val="20"/>
        </w:rPr>
        <w:t xml:space="preserve"> </w:t>
      </w:r>
    </w:p>
    <w:p w14:paraId="55C03699" w14:textId="2EBFD42F" w:rsidR="00BA0919" w:rsidRPr="00D876F4" w:rsidRDefault="00BA0919" w:rsidP="00FF04F4">
      <w:pPr>
        <w:pStyle w:val="SingleTxtG"/>
        <w:pBdr>
          <w:top w:val="nil"/>
          <w:left w:val="nil"/>
          <w:bottom w:val="nil"/>
          <w:right w:val="nil"/>
          <w:between w:val="nil"/>
          <w:bar w:val="nil"/>
        </w:pBdr>
        <w:spacing w:line="240" w:lineRule="exact"/>
        <w:rPr>
          <w:color w:val="000000"/>
          <w:sz w:val="20"/>
          <w:szCs w:val="20"/>
        </w:rPr>
      </w:pPr>
      <w:r w:rsidRPr="00D876F4">
        <w:rPr>
          <w:sz w:val="20"/>
          <w:szCs w:val="20"/>
        </w:rPr>
        <w:t>25.</w:t>
      </w:r>
      <w:r w:rsidRPr="00D876F4">
        <w:rPr>
          <w:sz w:val="20"/>
          <w:szCs w:val="20"/>
        </w:rPr>
        <w:tab/>
      </w:r>
      <w:r w:rsidRPr="00D876F4">
        <w:rPr>
          <w:color w:val="000000"/>
          <w:sz w:val="20"/>
          <w:szCs w:val="20"/>
        </w:rPr>
        <w:t>While a lack of disaggregated records by national authorities makes it difficult to determine the extent of DV/SOGI against trans people on a country-by-country basis, the Trans Murder Monitoring project has documented 4,042 murders in 66 countries between 2008 and 2021.</w:t>
      </w:r>
      <w:r w:rsidRPr="00D876F4">
        <w:rPr>
          <w:color w:val="000000"/>
          <w:sz w:val="20"/>
          <w:szCs w:val="20"/>
          <w:vertAlign w:val="superscript"/>
        </w:rPr>
        <w:footnoteReference w:id="50"/>
      </w:r>
    </w:p>
    <w:p w14:paraId="49FB6AF7" w14:textId="3C6220C5" w:rsidR="00BA0919" w:rsidRPr="00D876F4" w:rsidRDefault="00BA0919" w:rsidP="00FF04F4">
      <w:pPr>
        <w:pStyle w:val="SingleTxtG"/>
        <w:pBdr>
          <w:top w:val="nil"/>
          <w:left w:val="nil"/>
          <w:bottom w:val="nil"/>
          <w:right w:val="nil"/>
          <w:between w:val="nil"/>
          <w:bar w:val="nil"/>
        </w:pBdr>
        <w:spacing w:line="240" w:lineRule="exact"/>
        <w:rPr>
          <w:color w:val="000000"/>
          <w:sz w:val="20"/>
          <w:szCs w:val="20"/>
        </w:rPr>
      </w:pPr>
      <w:r w:rsidRPr="00D876F4">
        <w:rPr>
          <w:sz w:val="20"/>
          <w:szCs w:val="20"/>
        </w:rPr>
        <w:t>26.</w:t>
      </w:r>
      <w:r w:rsidRPr="00D876F4">
        <w:rPr>
          <w:sz w:val="20"/>
          <w:szCs w:val="20"/>
        </w:rPr>
        <w:tab/>
      </w:r>
      <w:r w:rsidRPr="00D876F4">
        <w:rPr>
          <w:color w:val="000000"/>
          <w:sz w:val="20"/>
          <w:szCs w:val="20"/>
        </w:rPr>
        <w:t>Intersex infants</w:t>
      </w:r>
      <w:r w:rsidRPr="00D876F4">
        <w:rPr>
          <w:sz w:val="20"/>
          <w:szCs w:val="20"/>
        </w:rPr>
        <w:t>,</w:t>
      </w:r>
      <w:r w:rsidRPr="00D876F4">
        <w:rPr>
          <w:color w:val="000000"/>
          <w:sz w:val="20"/>
          <w:szCs w:val="20"/>
        </w:rPr>
        <w:t xml:space="preserve"> children and adolescents are often subjected to surgeries aimed at modifying the appearance of their genitals</w:t>
      </w:r>
      <w:r w:rsidRPr="00D876F4">
        <w:rPr>
          <w:color w:val="000000"/>
          <w:sz w:val="20"/>
          <w:szCs w:val="20"/>
          <w:vertAlign w:val="superscript"/>
        </w:rPr>
        <w:footnoteReference w:id="51"/>
      </w:r>
      <w:r w:rsidRPr="00D876F4">
        <w:rPr>
          <w:color w:val="000000"/>
          <w:sz w:val="20"/>
          <w:szCs w:val="20"/>
        </w:rPr>
        <w:t xml:space="preserve"> in interventions</w:t>
      </w:r>
      <w:r w:rsidR="00D73121">
        <w:rPr>
          <w:sz w:val="20"/>
          <w:szCs w:val="20"/>
        </w:rPr>
        <w:t xml:space="preserve"> </w:t>
      </w:r>
      <w:r w:rsidRPr="00D876F4">
        <w:rPr>
          <w:color w:val="000000"/>
          <w:sz w:val="20"/>
          <w:szCs w:val="20"/>
        </w:rPr>
        <w:t>which amount</w:t>
      </w:r>
      <w:sdt>
        <w:sdtPr>
          <w:rPr>
            <w:sz w:val="20"/>
            <w:szCs w:val="20"/>
          </w:rPr>
          <w:tag w:val="goog_rdk_57"/>
          <w:id w:val="-1888863485"/>
        </w:sdtPr>
        <w:sdtEndPr/>
        <w:sdtContent>
          <w:r w:rsidRPr="00D876F4">
            <w:rPr>
              <w:color w:val="000000"/>
              <w:sz w:val="20"/>
              <w:szCs w:val="20"/>
            </w:rPr>
            <w:t>,</w:t>
          </w:r>
        </w:sdtContent>
      </w:sdt>
      <w:r w:rsidRPr="00D876F4">
        <w:rPr>
          <w:color w:val="000000"/>
          <w:sz w:val="20"/>
          <w:szCs w:val="20"/>
        </w:rPr>
        <w:t xml:space="preserve"> in the view of the </w:t>
      </w:r>
      <w:r w:rsidRPr="00D876F4">
        <w:rPr>
          <w:sz w:val="20"/>
          <w:szCs w:val="20"/>
        </w:rPr>
        <w:t>mandat</w:t>
      </w:r>
      <w:r w:rsidR="002C0506" w:rsidRPr="00D876F4">
        <w:rPr>
          <w:sz w:val="20"/>
          <w:szCs w:val="20"/>
        </w:rPr>
        <w:t>e</w:t>
      </w:r>
      <w:r w:rsidRPr="00D876F4">
        <w:rPr>
          <w:color w:val="000000"/>
          <w:sz w:val="20"/>
          <w:szCs w:val="20"/>
        </w:rPr>
        <w:t xml:space="preserve"> to gender-based violence and torture or cruel, inhuman and degrading treatment.</w:t>
      </w:r>
      <w:r w:rsidRPr="00D876F4">
        <w:rPr>
          <w:color w:val="000000"/>
          <w:sz w:val="20"/>
          <w:szCs w:val="20"/>
          <w:vertAlign w:val="superscript"/>
        </w:rPr>
        <w:footnoteReference w:id="52"/>
      </w:r>
      <w:r w:rsidRPr="00D876F4">
        <w:rPr>
          <w:color w:val="000000"/>
          <w:sz w:val="20"/>
          <w:szCs w:val="20"/>
        </w:rPr>
        <w:t xml:space="preserve"> </w:t>
      </w:r>
      <w:sdt>
        <w:sdtPr>
          <w:rPr>
            <w:sz w:val="20"/>
            <w:szCs w:val="20"/>
          </w:rPr>
          <w:tag w:val="goog_rdk_73"/>
          <w:id w:val="-1172562466"/>
        </w:sdtPr>
        <w:sdtEndPr/>
        <w:sdtContent>
          <w:r w:rsidRPr="00D876F4">
            <w:rPr>
              <w:color w:val="000000"/>
              <w:sz w:val="20"/>
              <w:szCs w:val="20"/>
            </w:rPr>
            <w:t>T</w:t>
          </w:r>
        </w:sdtContent>
      </w:sdt>
      <w:r w:rsidRPr="00D876F4">
        <w:rPr>
          <w:color w:val="000000"/>
          <w:sz w:val="20"/>
          <w:szCs w:val="20"/>
        </w:rPr>
        <w:t>he well-documented consequences of these interventions</w:t>
      </w:r>
      <w:r w:rsidRPr="00D876F4">
        <w:rPr>
          <w:color w:val="000000"/>
          <w:sz w:val="20"/>
          <w:szCs w:val="20"/>
          <w:vertAlign w:val="superscript"/>
        </w:rPr>
        <w:footnoteReference w:id="53"/>
      </w:r>
      <w:r w:rsidRPr="00D876F4">
        <w:rPr>
          <w:color w:val="000000"/>
          <w:sz w:val="20"/>
          <w:szCs w:val="20"/>
        </w:rPr>
        <w:t xml:space="preserve"> </w:t>
      </w:r>
      <w:r w:rsidR="00D219B4" w:rsidRPr="00D876F4">
        <w:rPr>
          <w:color w:val="000000"/>
          <w:sz w:val="20"/>
          <w:szCs w:val="20"/>
        </w:rPr>
        <w:t>include</w:t>
      </w:r>
      <w:r w:rsidRPr="00D876F4">
        <w:rPr>
          <w:color w:val="000000"/>
          <w:sz w:val="20"/>
          <w:szCs w:val="20"/>
        </w:rPr>
        <w:t xml:space="preserve"> permanent infertility/sterili</w:t>
      </w:r>
      <w:r w:rsidRPr="00D876F4">
        <w:rPr>
          <w:sz w:val="20"/>
          <w:szCs w:val="20"/>
        </w:rPr>
        <w:t>s</w:t>
      </w:r>
      <w:r w:rsidRPr="00D876F4">
        <w:rPr>
          <w:color w:val="000000"/>
          <w:sz w:val="20"/>
          <w:szCs w:val="20"/>
        </w:rPr>
        <w:t>ation, incontinence, loss of sexual function and sensation, and interventions tantamount to rape.</w:t>
      </w:r>
      <w:r w:rsidRPr="00D876F4">
        <w:rPr>
          <w:color w:val="000000"/>
          <w:sz w:val="20"/>
          <w:szCs w:val="20"/>
          <w:vertAlign w:val="superscript"/>
        </w:rPr>
        <w:footnoteReference w:id="54"/>
      </w:r>
      <w:r w:rsidRPr="00D876F4">
        <w:rPr>
          <w:color w:val="000000"/>
          <w:sz w:val="20"/>
          <w:szCs w:val="20"/>
        </w:rPr>
        <w:t xml:space="preserve"> The UN Committee on the Rights of the Child,</w:t>
      </w:r>
      <w:r w:rsidRPr="00D876F4">
        <w:rPr>
          <w:color w:val="000000"/>
          <w:sz w:val="20"/>
          <w:szCs w:val="20"/>
          <w:vertAlign w:val="superscript"/>
        </w:rPr>
        <w:footnoteReference w:id="55"/>
      </w:r>
      <w:r w:rsidRPr="00D876F4">
        <w:rPr>
          <w:color w:val="000000"/>
          <w:sz w:val="20"/>
          <w:szCs w:val="20"/>
        </w:rPr>
        <w:t xml:space="preserve"> the Committee against Torture and the Special Rapporteur on torture and other cruel, inhuman, or degrading treatment or punishment (SRT) have expressed concern over these surgeries,</w:t>
      </w:r>
      <w:r w:rsidRPr="00D876F4">
        <w:rPr>
          <w:color w:val="000000"/>
          <w:sz w:val="20"/>
          <w:szCs w:val="20"/>
          <w:vertAlign w:val="superscript"/>
        </w:rPr>
        <w:footnoteReference w:id="56"/>
      </w:r>
      <w:r w:rsidRPr="00D876F4">
        <w:rPr>
          <w:color w:val="000000"/>
          <w:sz w:val="20"/>
          <w:szCs w:val="20"/>
        </w:rPr>
        <w:t xml:space="preserve"> qualified by the SRH as genital mutilation.</w:t>
      </w:r>
      <w:r w:rsidRPr="00D876F4">
        <w:rPr>
          <w:color w:val="000000"/>
          <w:sz w:val="20"/>
          <w:szCs w:val="20"/>
          <w:vertAlign w:val="superscript"/>
        </w:rPr>
        <w:footnoteReference w:id="57"/>
      </w:r>
      <w:r w:rsidRPr="00D876F4">
        <w:rPr>
          <w:color w:val="000000"/>
          <w:sz w:val="20"/>
          <w:szCs w:val="20"/>
        </w:rPr>
        <w:t xml:space="preserve"> The mandate concurs with the SRH and concludes that States must ban all medically unnecessary surgeries on intersex infants and children</w:t>
      </w:r>
      <w:r w:rsidR="00D73121">
        <w:rPr>
          <w:color w:val="000000"/>
          <w:sz w:val="20"/>
          <w:szCs w:val="20"/>
        </w:rPr>
        <w:t>.</w:t>
      </w:r>
      <w:r w:rsidRPr="00D876F4">
        <w:rPr>
          <w:color w:val="000000"/>
          <w:sz w:val="20"/>
          <w:szCs w:val="20"/>
          <w:vertAlign w:val="superscript"/>
        </w:rPr>
        <w:footnoteReference w:id="58"/>
      </w:r>
      <w:r w:rsidRPr="00D876F4">
        <w:rPr>
          <w:color w:val="000000"/>
          <w:sz w:val="20"/>
          <w:szCs w:val="20"/>
        </w:rPr>
        <w:t xml:space="preserve"> Malta, Portugal, and Germany have already passed bans,</w:t>
      </w:r>
      <w:r w:rsidRPr="00D876F4">
        <w:rPr>
          <w:color w:val="000000"/>
          <w:sz w:val="20"/>
          <w:szCs w:val="20"/>
          <w:vertAlign w:val="superscript"/>
        </w:rPr>
        <w:footnoteReference w:id="59"/>
      </w:r>
      <w:r w:rsidRPr="00D876F4">
        <w:rPr>
          <w:color w:val="000000"/>
          <w:sz w:val="20"/>
          <w:szCs w:val="20"/>
        </w:rPr>
        <w:t xml:space="preserve"> as well as India’s Tamil Nadu state government,</w:t>
      </w:r>
      <w:r w:rsidRPr="00D876F4">
        <w:rPr>
          <w:color w:val="000000"/>
          <w:sz w:val="20"/>
          <w:szCs w:val="20"/>
          <w:vertAlign w:val="superscript"/>
        </w:rPr>
        <w:footnoteReference w:id="60"/>
      </w:r>
      <w:r w:rsidRPr="00D876F4">
        <w:rPr>
          <w:color w:val="000000"/>
          <w:sz w:val="20"/>
          <w:szCs w:val="20"/>
        </w:rPr>
        <w:t xml:space="preserve"> after an Indian court ruled that “[t]he consent of the parent cannot be considered as the consent of the child.”</w:t>
      </w:r>
      <w:r w:rsidRPr="00D876F4">
        <w:rPr>
          <w:color w:val="000000"/>
          <w:sz w:val="20"/>
          <w:szCs w:val="20"/>
          <w:vertAlign w:val="superscript"/>
        </w:rPr>
        <w:footnoteReference w:id="61"/>
      </w:r>
      <w:r w:rsidRPr="00D876F4">
        <w:rPr>
          <w:color w:val="000000"/>
          <w:sz w:val="20"/>
          <w:szCs w:val="20"/>
        </w:rPr>
        <w:t xml:space="preserve"> The European Parliament </w:t>
      </w:r>
      <w:sdt>
        <w:sdtPr>
          <w:rPr>
            <w:sz w:val="20"/>
            <w:szCs w:val="20"/>
          </w:rPr>
          <w:tag w:val="goog_rdk_78"/>
          <w:id w:val="-2061465923"/>
        </w:sdtPr>
        <w:sdtEndPr/>
        <w:sdtContent>
          <w:r w:rsidRPr="00D876F4">
            <w:rPr>
              <w:color w:val="000000"/>
              <w:sz w:val="20"/>
              <w:szCs w:val="20"/>
            </w:rPr>
            <w:t>has</w:t>
          </w:r>
        </w:sdtContent>
      </w:sdt>
      <w:sdt>
        <w:sdtPr>
          <w:rPr>
            <w:sz w:val="20"/>
            <w:szCs w:val="20"/>
          </w:rPr>
          <w:tag w:val="goog_rdk_79"/>
          <w:id w:val="1628121651"/>
          <w:showingPlcHdr/>
        </w:sdtPr>
        <w:sdtEndPr/>
        <w:sdtContent>
          <w:r w:rsidRPr="00D876F4">
            <w:rPr>
              <w:sz w:val="20"/>
              <w:szCs w:val="20"/>
            </w:rPr>
            <w:t xml:space="preserve">     </w:t>
          </w:r>
        </w:sdtContent>
      </w:sdt>
      <w:r w:rsidRPr="00D876F4">
        <w:rPr>
          <w:color w:val="000000"/>
          <w:sz w:val="20"/>
          <w:szCs w:val="20"/>
        </w:rPr>
        <w:t>strongly condemn</w:t>
      </w:r>
      <w:sdt>
        <w:sdtPr>
          <w:rPr>
            <w:sz w:val="20"/>
            <w:szCs w:val="20"/>
          </w:rPr>
          <w:tag w:val="goog_rdk_80"/>
          <w:id w:val="662441060"/>
        </w:sdtPr>
        <w:sdtEndPr/>
        <w:sdtContent>
          <w:r w:rsidRPr="00D876F4">
            <w:rPr>
              <w:color w:val="000000"/>
              <w:sz w:val="20"/>
              <w:szCs w:val="20"/>
            </w:rPr>
            <w:t>ed</w:t>
          </w:r>
        </w:sdtContent>
      </w:sdt>
      <w:sdt>
        <w:sdtPr>
          <w:rPr>
            <w:sz w:val="20"/>
            <w:szCs w:val="20"/>
          </w:rPr>
          <w:tag w:val="goog_rdk_81"/>
          <w:id w:val="-1786957117"/>
          <w:showingPlcHdr/>
        </w:sdtPr>
        <w:sdtEndPr/>
        <w:sdtContent>
          <w:r w:rsidRPr="00D876F4">
            <w:rPr>
              <w:sz w:val="20"/>
              <w:szCs w:val="20"/>
            </w:rPr>
            <w:t xml:space="preserve">     </w:t>
          </w:r>
        </w:sdtContent>
      </w:sdt>
      <w:r w:rsidRPr="00D876F4">
        <w:rPr>
          <w:color w:val="000000"/>
          <w:sz w:val="20"/>
          <w:szCs w:val="20"/>
        </w:rPr>
        <w:t xml:space="preserve"> </w:t>
      </w:r>
      <w:sdt>
        <w:sdtPr>
          <w:rPr>
            <w:sz w:val="20"/>
            <w:szCs w:val="20"/>
          </w:rPr>
          <w:tag w:val="goog_rdk_82"/>
          <w:id w:val="-1149056348"/>
        </w:sdtPr>
        <w:sdtEndPr/>
        <w:sdtContent>
          <w:r w:rsidRPr="00D876F4">
            <w:rPr>
              <w:color w:val="000000"/>
              <w:sz w:val="20"/>
              <w:szCs w:val="20"/>
            </w:rPr>
            <w:t xml:space="preserve">such </w:t>
          </w:r>
        </w:sdtContent>
      </w:sdt>
      <w:r w:rsidRPr="00D876F4">
        <w:rPr>
          <w:color w:val="000000"/>
          <w:sz w:val="20"/>
          <w:szCs w:val="20"/>
        </w:rPr>
        <w:t>surgery and encourag</w:t>
      </w:r>
      <w:r w:rsidR="005E2921">
        <w:rPr>
          <w:sz w:val="20"/>
          <w:szCs w:val="20"/>
        </w:rPr>
        <w:t xml:space="preserve">ed </w:t>
      </w:r>
      <w:r w:rsidRPr="00D876F4">
        <w:rPr>
          <w:color w:val="000000"/>
          <w:sz w:val="20"/>
          <w:szCs w:val="20"/>
        </w:rPr>
        <w:t>Member States to adopt legislation protect</w:t>
      </w:r>
      <w:sdt>
        <w:sdtPr>
          <w:rPr>
            <w:sz w:val="20"/>
            <w:szCs w:val="20"/>
          </w:rPr>
          <w:tag w:val="goog_rdk_87"/>
          <w:id w:val="1617409990"/>
        </w:sdtPr>
        <w:sdtEndPr/>
        <w:sdtContent>
          <w:r w:rsidRPr="00D876F4">
            <w:rPr>
              <w:color w:val="000000"/>
              <w:sz w:val="20"/>
              <w:szCs w:val="20"/>
            </w:rPr>
            <w:t>ing</w:t>
          </w:r>
        </w:sdtContent>
      </w:sdt>
      <w:r w:rsidRPr="00D876F4">
        <w:rPr>
          <w:color w:val="000000"/>
          <w:sz w:val="20"/>
          <w:szCs w:val="20"/>
        </w:rPr>
        <w:t xml:space="preserve"> the bodily integrity of intersex people “as soon as possible.”</w:t>
      </w:r>
      <w:r w:rsidRPr="00D876F4">
        <w:rPr>
          <w:color w:val="000000"/>
          <w:sz w:val="20"/>
          <w:szCs w:val="20"/>
          <w:vertAlign w:val="superscript"/>
        </w:rPr>
        <w:footnoteReference w:id="62"/>
      </w:r>
    </w:p>
    <w:p w14:paraId="4D436856" w14:textId="36EBFF2D" w:rsidR="00BA0919" w:rsidRPr="00D876F4" w:rsidRDefault="00A84CE6" w:rsidP="00A84CE6">
      <w:pPr>
        <w:pStyle w:val="H23G"/>
        <w:rPr>
          <w:sz w:val="20"/>
          <w:szCs w:val="20"/>
        </w:rPr>
      </w:pPr>
      <w:r w:rsidRPr="00D876F4">
        <w:rPr>
          <w:sz w:val="20"/>
          <w:szCs w:val="20"/>
        </w:rPr>
        <w:tab/>
      </w:r>
      <w:r w:rsidRPr="00D876F4">
        <w:rPr>
          <w:sz w:val="20"/>
          <w:szCs w:val="20"/>
        </w:rPr>
        <w:tab/>
      </w:r>
      <w:r w:rsidR="00BA0919" w:rsidRPr="00D876F4">
        <w:rPr>
          <w:sz w:val="20"/>
          <w:szCs w:val="20"/>
        </w:rPr>
        <w:t xml:space="preserve">Denial of legal </w:t>
      </w:r>
      <w:r w:rsidR="00BA0919" w:rsidRPr="00D876F4">
        <w:rPr>
          <w:color w:val="000000"/>
          <w:sz w:val="20"/>
          <w:szCs w:val="20"/>
        </w:rPr>
        <w:t>recognition</w:t>
      </w:r>
      <w:r w:rsidR="00BA0919" w:rsidRPr="00D876F4">
        <w:rPr>
          <w:sz w:val="20"/>
          <w:szCs w:val="20"/>
        </w:rPr>
        <w:t xml:space="preserve"> of gender identity and of gender-affirming health care</w:t>
      </w:r>
    </w:p>
    <w:p w14:paraId="2E068695" w14:textId="02AFED31" w:rsidR="00BA0919" w:rsidRPr="00D876F4" w:rsidRDefault="00BA0919" w:rsidP="00FF04F4">
      <w:pPr>
        <w:pStyle w:val="SingleTxtG"/>
        <w:pBdr>
          <w:top w:val="nil"/>
          <w:left w:val="nil"/>
          <w:bottom w:val="nil"/>
          <w:right w:val="nil"/>
          <w:between w:val="nil"/>
          <w:bar w:val="nil"/>
        </w:pBdr>
        <w:spacing w:line="240" w:lineRule="exact"/>
        <w:rPr>
          <w:color w:val="000000"/>
          <w:sz w:val="20"/>
          <w:szCs w:val="20"/>
        </w:rPr>
      </w:pPr>
      <w:r w:rsidRPr="00D876F4">
        <w:rPr>
          <w:sz w:val="20"/>
          <w:szCs w:val="20"/>
        </w:rPr>
        <w:t>27.</w:t>
      </w:r>
      <w:r w:rsidRPr="00D876F4">
        <w:rPr>
          <w:sz w:val="20"/>
          <w:szCs w:val="20"/>
        </w:rPr>
        <w:tab/>
      </w:r>
      <w:r w:rsidRPr="00D876F4">
        <w:rPr>
          <w:color w:val="000000"/>
          <w:sz w:val="20"/>
          <w:szCs w:val="20"/>
        </w:rPr>
        <w:t xml:space="preserve">People’s lived experience of their gender often defies stereotypical gender norms and imposed binaries, and evidence shows that acquiring </w:t>
      </w:r>
      <w:r w:rsidRPr="00D876F4">
        <w:rPr>
          <w:sz w:val="20"/>
          <w:szCs w:val="20"/>
        </w:rPr>
        <w:t>gender</w:t>
      </w:r>
      <w:r w:rsidRPr="00D876F4">
        <w:rPr>
          <w:color w:val="000000"/>
          <w:sz w:val="20"/>
          <w:szCs w:val="20"/>
        </w:rPr>
        <w:t xml:space="preserve"> characteristics congruent with the self-identified gender identity generally improves health, well-being</w:t>
      </w:r>
      <w:r w:rsidR="00D73121">
        <w:rPr>
          <w:color w:val="000000"/>
          <w:sz w:val="20"/>
          <w:szCs w:val="20"/>
        </w:rPr>
        <w:t>,</w:t>
      </w:r>
      <w:r w:rsidRPr="00D876F4">
        <w:rPr>
          <w:color w:val="000000"/>
          <w:sz w:val="20"/>
          <w:szCs w:val="20"/>
        </w:rPr>
        <w:t xml:space="preserve"> and quality of life. Conversely, not being able to live according to one’s self-identified gender identity is likely to exacerbat</w:t>
      </w:r>
      <w:sdt>
        <w:sdtPr>
          <w:rPr>
            <w:sz w:val="20"/>
            <w:szCs w:val="20"/>
          </w:rPr>
          <w:tag w:val="goog_rdk_89"/>
          <w:id w:val="283162742"/>
        </w:sdtPr>
        <w:sdtEndPr/>
        <w:sdtContent>
          <w:r w:rsidRPr="00D876F4">
            <w:rPr>
              <w:color w:val="000000"/>
              <w:sz w:val="20"/>
              <w:szCs w:val="20"/>
            </w:rPr>
            <w:t>e</w:t>
          </w:r>
        </w:sdtContent>
      </w:sdt>
      <w:r w:rsidR="00804E3D" w:rsidRPr="00D876F4">
        <w:rPr>
          <w:sz w:val="20"/>
          <w:szCs w:val="20"/>
        </w:rPr>
        <w:t xml:space="preserve"> </w:t>
      </w:r>
      <w:r w:rsidRPr="00D876F4">
        <w:rPr>
          <w:color w:val="000000"/>
          <w:sz w:val="20"/>
          <w:szCs w:val="20"/>
        </w:rPr>
        <w:t>other forms of ill health and</w:t>
      </w:r>
      <w:r w:rsidR="00804E3D" w:rsidRPr="00D876F4">
        <w:rPr>
          <w:color w:val="000000"/>
          <w:sz w:val="20"/>
          <w:szCs w:val="20"/>
        </w:rPr>
        <w:t xml:space="preserve"> </w:t>
      </w:r>
      <w:r w:rsidRPr="00D876F4">
        <w:rPr>
          <w:color w:val="000000"/>
          <w:sz w:val="20"/>
          <w:szCs w:val="20"/>
        </w:rPr>
        <w:t>erode</w:t>
      </w:r>
      <w:r w:rsidR="00804E3D" w:rsidRPr="00D876F4">
        <w:rPr>
          <w:sz w:val="20"/>
          <w:szCs w:val="20"/>
        </w:rPr>
        <w:t xml:space="preserve"> </w:t>
      </w:r>
      <w:r w:rsidRPr="00D876F4">
        <w:rPr>
          <w:sz w:val="20"/>
          <w:szCs w:val="20"/>
        </w:rPr>
        <w:t>dignity</w:t>
      </w:r>
      <w:r w:rsidRPr="00D876F4">
        <w:rPr>
          <w:color w:val="000000"/>
          <w:sz w:val="20"/>
          <w:szCs w:val="20"/>
        </w:rPr>
        <w:t xml:space="preserve">. Yet gender diversity continues to be repressed in the name of culture, religion, and tradition. </w:t>
      </w:r>
    </w:p>
    <w:p w14:paraId="4B65C5B7" w14:textId="6A39390B" w:rsidR="00BA0919" w:rsidRPr="00D876F4" w:rsidRDefault="00BA0919" w:rsidP="00FF04F4">
      <w:pPr>
        <w:pStyle w:val="SingleTxtG"/>
        <w:pBdr>
          <w:top w:val="nil"/>
          <w:left w:val="nil"/>
          <w:bottom w:val="nil"/>
          <w:right w:val="nil"/>
          <w:between w:val="nil"/>
          <w:bar w:val="nil"/>
        </w:pBdr>
        <w:spacing w:line="240" w:lineRule="exact"/>
        <w:rPr>
          <w:sz w:val="20"/>
          <w:szCs w:val="20"/>
        </w:rPr>
      </w:pPr>
      <w:r w:rsidRPr="00D876F4">
        <w:rPr>
          <w:sz w:val="20"/>
          <w:szCs w:val="20"/>
        </w:rPr>
        <w:lastRenderedPageBreak/>
        <w:t>28.</w:t>
      </w:r>
      <w:r w:rsidRPr="00D876F4">
        <w:rPr>
          <w:sz w:val="20"/>
          <w:szCs w:val="20"/>
        </w:rPr>
        <w:tab/>
      </w:r>
      <w:r w:rsidRPr="00D876F4">
        <w:rPr>
          <w:color w:val="000000"/>
          <w:sz w:val="20"/>
          <w:szCs w:val="20"/>
        </w:rPr>
        <w:t>One of the key forms this takes is that the vast majority of trans and gender-diverse persons around the world do not have access to legal recognition of their gender identit</w:t>
      </w:r>
      <w:r w:rsidR="00804E3D" w:rsidRPr="00D876F4">
        <w:rPr>
          <w:color w:val="000000"/>
          <w:sz w:val="20"/>
          <w:szCs w:val="20"/>
          <w:lang w:val="en-GB"/>
        </w:rPr>
        <w:t>y</w:t>
      </w:r>
      <w:r w:rsidR="00804E3D" w:rsidRPr="00D876F4">
        <w:rPr>
          <w:color w:val="000000"/>
          <w:sz w:val="20"/>
          <w:szCs w:val="20"/>
        </w:rPr>
        <w:t>.</w:t>
      </w:r>
      <w:r w:rsidRPr="00D876F4">
        <w:rPr>
          <w:color w:val="000000"/>
          <w:sz w:val="20"/>
          <w:szCs w:val="20"/>
          <w:vertAlign w:val="superscript"/>
        </w:rPr>
        <w:footnoteReference w:id="63"/>
      </w:r>
      <w:r w:rsidRPr="00D876F4">
        <w:rPr>
          <w:color w:val="000000"/>
          <w:sz w:val="20"/>
          <w:szCs w:val="20"/>
        </w:rPr>
        <w:t xml:space="preserve"> As mentioned in one submission, </w:t>
      </w:r>
      <w:r w:rsidR="00F81E6F">
        <w:rPr>
          <w:color w:val="000000"/>
          <w:sz w:val="20"/>
          <w:szCs w:val="20"/>
        </w:rPr>
        <w:t>“</w:t>
      </w:r>
      <w:r w:rsidRPr="00D876F4">
        <w:rPr>
          <w:color w:val="000000"/>
          <w:sz w:val="20"/>
          <w:szCs w:val="20"/>
        </w:rPr>
        <w:t xml:space="preserve">[e]very aspect of a trans and gender diverse person’s social life </w:t>
      </w:r>
      <w:r w:rsidR="00F81E6F">
        <w:rPr>
          <w:color w:val="000000"/>
          <w:sz w:val="20"/>
          <w:szCs w:val="20"/>
        </w:rPr>
        <w:t xml:space="preserve">[…] </w:t>
      </w:r>
      <w:r w:rsidRPr="00D876F4">
        <w:rPr>
          <w:color w:val="000000"/>
          <w:sz w:val="20"/>
          <w:szCs w:val="20"/>
        </w:rPr>
        <w:t>depends on the ability to show a valid identity card or documen</w:t>
      </w:r>
      <w:r w:rsidRPr="00D876F4">
        <w:rPr>
          <w:sz w:val="20"/>
          <w:szCs w:val="20"/>
        </w:rPr>
        <w:t>tation that aligns with gender identity and expression.”</w:t>
      </w:r>
      <w:r w:rsidRPr="00D876F4">
        <w:rPr>
          <w:sz w:val="20"/>
          <w:szCs w:val="20"/>
          <w:vertAlign w:val="superscript"/>
        </w:rPr>
        <w:footnoteReference w:id="64"/>
      </w:r>
      <w:r w:rsidRPr="00D876F4">
        <w:rPr>
          <w:sz w:val="20"/>
          <w:szCs w:val="20"/>
        </w:rPr>
        <w:t xml:space="preserve"> </w:t>
      </w:r>
    </w:p>
    <w:p w14:paraId="1A5ED12E" w14:textId="1164BA67" w:rsidR="00BA0919" w:rsidRPr="00D876F4" w:rsidRDefault="00BA0919" w:rsidP="00FF04F4">
      <w:pPr>
        <w:pStyle w:val="SingleTxtG"/>
        <w:pBdr>
          <w:top w:val="nil"/>
          <w:left w:val="nil"/>
          <w:bottom w:val="nil"/>
          <w:right w:val="nil"/>
          <w:between w:val="nil"/>
          <w:bar w:val="nil"/>
        </w:pBdr>
        <w:spacing w:line="240" w:lineRule="exact"/>
        <w:rPr>
          <w:sz w:val="20"/>
          <w:szCs w:val="20"/>
        </w:rPr>
      </w:pPr>
      <w:r w:rsidRPr="00D876F4">
        <w:rPr>
          <w:sz w:val="20"/>
          <w:szCs w:val="20"/>
        </w:rPr>
        <w:t>29.</w:t>
      </w:r>
      <w:r w:rsidRPr="00D876F4">
        <w:rPr>
          <w:sz w:val="20"/>
          <w:szCs w:val="20"/>
        </w:rPr>
        <w:tab/>
        <w:t>Gender-based violence and discrimination impacts trans and gender diverse persons who face cruel, inhuman and degrading treatment, and possibly torture, in the form of requirements for gender recognition</w:t>
      </w:r>
      <w:r w:rsidR="00804E3D" w:rsidRPr="00D876F4">
        <w:rPr>
          <w:sz w:val="20"/>
          <w:szCs w:val="20"/>
        </w:rPr>
        <w:t xml:space="preserve"> t</w:t>
      </w:r>
      <w:r w:rsidRPr="00D876F4">
        <w:rPr>
          <w:sz w:val="20"/>
          <w:szCs w:val="20"/>
        </w:rPr>
        <w:t xml:space="preserve">hat include genital and other forms of mutilation. In his 2018 country visit to Georgia, the IE observed that a majority of the trans men he interviewed were missing their middle finger and was subsequently shocked to learn that a medical authority entitled to certify a person as being a “true” trans person </w:t>
      </w:r>
      <w:sdt>
        <w:sdtPr>
          <w:rPr>
            <w:sz w:val="20"/>
            <w:szCs w:val="20"/>
          </w:rPr>
          <w:tag w:val="goog_rdk_95"/>
          <w:id w:val="-1052302671"/>
        </w:sdtPr>
        <w:sdtEndPr/>
        <w:sdtContent>
          <w:r w:rsidRPr="00D876F4">
            <w:rPr>
              <w:sz w:val="20"/>
              <w:szCs w:val="20"/>
            </w:rPr>
            <w:t xml:space="preserve">had </w:t>
          </w:r>
        </w:sdtContent>
      </w:sdt>
      <w:r w:rsidRPr="00D876F4">
        <w:rPr>
          <w:sz w:val="20"/>
          <w:szCs w:val="20"/>
        </w:rPr>
        <w:t xml:space="preserve">demanded that the </w:t>
      </w:r>
      <w:sdt>
        <w:sdtPr>
          <w:rPr>
            <w:sz w:val="20"/>
            <w:szCs w:val="20"/>
          </w:rPr>
          <w:tag w:val="goog_rdk_96"/>
          <w:id w:val="665599536"/>
          <w:showingPlcHdr/>
        </w:sdtPr>
        <w:sdtEndPr/>
        <w:sdtContent>
          <w:r w:rsidRPr="00D876F4">
            <w:rPr>
              <w:sz w:val="20"/>
              <w:szCs w:val="20"/>
            </w:rPr>
            <w:t xml:space="preserve">     </w:t>
          </w:r>
        </w:sdtContent>
      </w:sdt>
      <w:r w:rsidRPr="00D876F4">
        <w:rPr>
          <w:sz w:val="20"/>
          <w:szCs w:val="20"/>
        </w:rPr>
        <w:t>finger be amputated to create a prosthetic penis as part of the requirements for legal recognition</w:t>
      </w:r>
      <w:r w:rsidR="00F81E6F">
        <w:rPr>
          <w:sz w:val="20"/>
          <w:szCs w:val="20"/>
        </w:rPr>
        <w:t xml:space="preserve">. </w:t>
      </w:r>
      <w:r w:rsidR="00F81E6F" w:rsidRPr="00D876F4">
        <w:rPr>
          <w:sz w:val="20"/>
          <w:szCs w:val="20"/>
        </w:rPr>
        <w:t>A survey in the United States found that, among nearly 5,000 respondents, “transgender or gender non-conforming respondents reported experiencing the highest rates of discrimination and barriers to care</w:t>
      </w:r>
      <w:r w:rsidR="00F81E6F">
        <w:rPr>
          <w:sz w:val="20"/>
          <w:szCs w:val="20"/>
        </w:rPr>
        <w:t>”</w:t>
      </w:r>
      <w:r w:rsidRPr="00D876F4">
        <w:rPr>
          <w:sz w:val="20"/>
          <w:szCs w:val="20"/>
        </w:rPr>
        <w:t>.</w:t>
      </w:r>
      <w:sdt>
        <w:sdtPr>
          <w:rPr>
            <w:sz w:val="20"/>
            <w:szCs w:val="20"/>
          </w:rPr>
          <w:tag w:val="goog_rdk_97"/>
          <w:id w:val="-1430957394"/>
        </w:sdtPr>
        <w:sdtEndPr/>
        <w:sdtContent>
          <w:r w:rsidRPr="00D876F4">
            <w:rPr>
              <w:sz w:val="20"/>
              <w:szCs w:val="20"/>
              <w:vertAlign w:val="superscript"/>
            </w:rPr>
            <w:footnoteReference w:id="65"/>
          </w:r>
        </w:sdtContent>
      </w:sdt>
    </w:p>
    <w:p w14:paraId="428B8111" w14:textId="48EED9CE" w:rsidR="00BA0919" w:rsidRPr="00D876F4" w:rsidRDefault="00BA0919" w:rsidP="00FF04F4">
      <w:pPr>
        <w:pStyle w:val="SingleTxtG"/>
        <w:pBdr>
          <w:top w:val="nil"/>
          <w:left w:val="nil"/>
          <w:bottom w:val="nil"/>
          <w:right w:val="nil"/>
          <w:between w:val="nil"/>
          <w:bar w:val="nil"/>
        </w:pBdr>
        <w:spacing w:line="240" w:lineRule="exact"/>
        <w:rPr>
          <w:color w:val="141413"/>
          <w:sz w:val="20"/>
          <w:szCs w:val="20"/>
        </w:rPr>
      </w:pPr>
      <w:r w:rsidRPr="00D876F4">
        <w:rPr>
          <w:sz w:val="20"/>
          <w:szCs w:val="20"/>
        </w:rPr>
        <w:t>30.</w:t>
      </w:r>
      <w:r w:rsidRPr="00D876F4">
        <w:rPr>
          <w:sz w:val="20"/>
          <w:szCs w:val="20"/>
        </w:rPr>
        <w:tab/>
        <w:t xml:space="preserve">Other barriers to healthcare arise from </w:t>
      </w:r>
      <w:r w:rsidRPr="00D876F4">
        <w:rPr>
          <w:color w:val="000000"/>
          <w:sz w:val="20"/>
          <w:szCs w:val="20"/>
        </w:rPr>
        <w:t>financial limitations.</w:t>
      </w:r>
      <w:r w:rsidR="00804E3D" w:rsidRPr="00D876F4">
        <w:rPr>
          <w:color w:val="000000"/>
          <w:sz w:val="20"/>
          <w:szCs w:val="20"/>
        </w:rPr>
        <w:t xml:space="preserve"> </w:t>
      </w:r>
      <w:r w:rsidRPr="00D876F4">
        <w:rPr>
          <w:sz w:val="20"/>
          <w:szCs w:val="20"/>
        </w:rPr>
        <w:t>G</w:t>
      </w:r>
      <w:r w:rsidRPr="00D876F4">
        <w:rPr>
          <w:color w:val="000000"/>
          <w:sz w:val="20"/>
          <w:szCs w:val="20"/>
        </w:rPr>
        <w:t xml:space="preserve">ender-affirming surgeries, </w:t>
      </w:r>
      <w:r w:rsidR="00804E3D" w:rsidRPr="00D876F4">
        <w:rPr>
          <w:sz w:val="20"/>
          <w:szCs w:val="20"/>
        </w:rPr>
        <w:t>r</w:t>
      </w:r>
      <w:r w:rsidRPr="00D876F4">
        <w:rPr>
          <w:color w:val="000000"/>
          <w:sz w:val="20"/>
          <w:szCs w:val="20"/>
        </w:rPr>
        <w:t>eparative surgerie</w:t>
      </w:r>
      <w:r w:rsidRPr="00D876F4">
        <w:rPr>
          <w:sz w:val="20"/>
          <w:szCs w:val="20"/>
        </w:rPr>
        <w:t xml:space="preserve">s and ongoing treatment for </w:t>
      </w:r>
      <w:r w:rsidR="00274884">
        <w:rPr>
          <w:sz w:val="20"/>
          <w:szCs w:val="20"/>
        </w:rPr>
        <w:t xml:space="preserve">trans people and </w:t>
      </w:r>
      <w:r w:rsidRPr="00D876F4">
        <w:rPr>
          <w:sz w:val="20"/>
          <w:szCs w:val="20"/>
        </w:rPr>
        <w:t>people with intersex variations</w:t>
      </w:r>
      <w:r w:rsidRPr="00D876F4">
        <w:rPr>
          <w:color w:val="000000"/>
          <w:sz w:val="20"/>
          <w:szCs w:val="20"/>
        </w:rPr>
        <w:t xml:space="preserve"> may be unaffordable for those who seek them; for example, health insurance providers have denied reimbursement for surgical placement of breast implants for trans women.</w:t>
      </w:r>
      <w:r w:rsidRPr="00D876F4">
        <w:rPr>
          <w:color w:val="000000"/>
          <w:sz w:val="20"/>
          <w:szCs w:val="20"/>
          <w:vertAlign w:val="superscript"/>
        </w:rPr>
        <w:footnoteReference w:id="66"/>
      </w:r>
      <w:r w:rsidRPr="00D876F4">
        <w:rPr>
          <w:color w:val="000000"/>
          <w:sz w:val="20"/>
          <w:szCs w:val="20"/>
        </w:rPr>
        <w:t xml:space="preserve"> </w:t>
      </w:r>
      <w:r w:rsidR="00804E3D" w:rsidRPr="00D876F4">
        <w:rPr>
          <w:color w:val="000000"/>
          <w:sz w:val="20"/>
          <w:szCs w:val="20"/>
        </w:rPr>
        <w:t>Gender-affirming he</w:t>
      </w:r>
      <w:r w:rsidRPr="00D876F4">
        <w:rPr>
          <w:color w:val="141413"/>
          <w:sz w:val="20"/>
          <w:szCs w:val="20"/>
        </w:rPr>
        <w:t>althcare services for trans persons are often expensive and unsubsidized, meaning that trans people may be forced to obtain hormones of dubious quality through the black market</w:t>
      </w:r>
      <w:r w:rsidR="00B1038F">
        <w:rPr>
          <w:color w:val="141413"/>
          <w:sz w:val="20"/>
          <w:szCs w:val="20"/>
        </w:rPr>
        <w:t xml:space="preserve"> or resort to crude methods</w:t>
      </w:r>
      <w:r w:rsidRPr="00D876F4">
        <w:rPr>
          <w:color w:val="141413"/>
          <w:sz w:val="20"/>
          <w:szCs w:val="20"/>
        </w:rPr>
        <w:t xml:space="preserve"> without proper supervision, leading to serious health problems.</w:t>
      </w:r>
      <w:r w:rsidRPr="00D876F4">
        <w:rPr>
          <w:color w:val="141413"/>
          <w:sz w:val="20"/>
          <w:szCs w:val="20"/>
          <w:vertAlign w:val="superscript"/>
        </w:rPr>
        <w:footnoteReference w:id="67"/>
      </w:r>
      <w:r w:rsidRPr="00D876F4">
        <w:rPr>
          <w:color w:val="141413"/>
          <w:sz w:val="20"/>
          <w:szCs w:val="20"/>
        </w:rPr>
        <w:t xml:space="preserve"> </w:t>
      </w:r>
      <w:r w:rsidRPr="00D876F4">
        <w:rPr>
          <w:sz w:val="20"/>
          <w:szCs w:val="20"/>
        </w:rPr>
        <w:t>The CEDAW has</w:t>
      </w:r>
      <w:r w:rsidR="00274884">
        <w:rPr>
          <w:sz w:val="20"/>
          <w:szCs w:val="20"/>
        </w:rPr>
        <w:t xml:space="preserve"> called on </w:t>
      </w:r>
      <w:r w:rsidRPr="00D876F4">
        <w:rPr>
          <w:sz w:val="20"/>
          <w:szCs w:val="20"/>
        </w:rPr>
        <w:t>States</w:t>
      </w:r>
      <w:sdt>
        <w:sdtPr>
          <w:rPr>
            <w:sz w:val="20"/>
            <w:szCs w:val="20"/>
          </w:rPr>
          <w:tag w:val="goog_rdk_109"/>
          <w:id w:val="-2109643503"/>
        </w:sdtPr>
        <w:sdtEndPr/>
        <w:sdtContent>
          <w:r w:rsidRPr="00D876F4">
            <w:rPr>
              <w:sz w:val="20"/>
              <w:szCs w:val="20"/>
            </w:rPr>
            <w:t xml:space="preserve"> to</w:t>
          </w:r>
        </w:sdtContent>
      </w:sdt>
      <w:r w:rsidR="007664F5" w:rsidRPr="00D876F4">
        <w:rPr>
          <w:sz w:val="20"/>
          <w:szCs w:val="20"/>
        </w:rPr>
        <w:t xml:space="preserve"> </w:t>
      </w:r>
      <w:r w:rsidRPr="00D876F4">
        <w:rPr>
          <w:sz w:val="20"/>
          <w:szCs w:val="20"/>
        </w:rPr>
        <w:t>ensure that the costs for gender affirming interventions are reimbursed.</w:t>
      </w:r>
      <w:r w:rsidRPr="00D876F4">
        <w:rPr>
          <w:sz w:val="20"/>
          <w:szCs w:val="20"/>
          <w:vertAlign w:val="superscript"/>
        </w:rPr>
        <w:footnoteReference w:id="68"/>
      </w:r>
      <w:r w:rsidRPr="00D876F4">
        <w:rPr>
          <w:sz w:val="20"/>
          <w:szCs w:val="20"/>
        </w:rPr>
        <w:t xml:space="preserve"> </w:t>
      </w:r>
    </w:p>
    <w:p w14:paraId="7CE33B38" w14:textId="73CF4370" w:rsidR="00BA0919" w:rsidRPr="00D876F4" w:rsidRDefault="00A84CE6" w:rsidP="00A84CE6">
      <w:pPr>
        <w:pStyle w:val="H23G"/>
        <w:rPr>
          <w:sz w:val="20"/>
          <w:szCs w:val="20"/>
        </w:rPr>
      </w:pPr>
      <w:r w:rsidRPr="00D876F4">
        <w:rPr>
          <w:sz w:val="20"/>
          <w:szCs w:val="20"/>
        </w:rPr>
        <w:tab/>
      </w:r>
      <w:r w:rsidRPr="00D876F4">
        <w:rPr>
          <w:sz w:val="20"/>
          <w:szCs w:val="20"/>
        </w:rPr>
        <w:tab/>
      </w:r>
      <w:r w:rsidR="00BA0919" w:rsidRPr="00D876F4">
        <w:rPr>
          <w:sz w:val="20"/>
          <w:szCs w:val="20"/>
        </w:rPr>
        <w:t xml:space="preserve">Restrictions on SOGI </w:t>
      </w:r>
      <w:r w:rsidR="00BA0919" w:rsidRPr="00D876F4">
        <w:rPr>
          <w:color w:val="000000"/>
          <w:sz w:val="20"/>
          <w:szCs w:val="20"/>
        </w:rPr>
        <w:t>human</w:t>
      </w:r>
      <w:r w:rsidR="00BA0919" w:rsidRPr="00D876F4">
        <w:rPr>
          <w:sz w:val="20"/>
          <w:szCs w:val="20"/>
        </w:rPr>
        <w:t xml:space="preserve"> rights defenders and health advocacy organisations</w:t>
      </w:r>
    </w:p>
    <w:p w14:paraId="3463CF93" w14:textId="1F0AA956" w:rsidR="00BA0919" w:rsidRPr="00D876F4" w:rsidRDefault="00BA0919" w:rsidP="00FF04F4">
      <w:pPr>
        <w:pStyle w:val="SingleTxtG"/>
        <w:pBdr>
          <w:top w:val="nil"/>
          <w:left w:val="nil"/>
          <w:bottom w:val="nil"/>
          <w:right w:val="nil"/>
          <w:between w:val="nil"/>
          <w:bar w:val="nil"/>
        </w:pBdr>
        <w:spacing w:line="240" w:lineRule="exact"/>
        <w:rPr>
          <w:color w:val="000000"/>
          <w:sz w:val="20"/>
          <w:szCs w:val="20"/>
        </w:rPr>
      </w:pPr>
      <w:r w:rsidRPr="00D876F4">
        <w:rPr>
          <w:sz w:val="20"/>
          <w:szCs w:val="20"/>
        </w:rPr>
        <w:t>31.</w:t>
      </w:r>
      <w:r w:rsidRPr="00D876F4">
        <w:rPr>
          <w:sz w:val="20"/>
          <w:szCs w:val="20"/>
        </w:rPr>
        <w:tab/>
      </w:r>
      <w:r w:rsidRPr="00D876F4">
        <w:rPr>
          <w:color w:val="000000"/>
          <w:sz w:val="20"/>
          <w:szCs w:val="20"/>
        </w:rPr>
        <w:t>The mandate is concerned by legal and political obstacles for human rights defenders and CSOs working to realise the right to health of LGBTI people and communities.</w:t>
      </w:r>
      <w:r w:rsidRPr="00D876F4">
        <w:rPr>
          <w:color w:val="000000"/>
          <w:sz w:val="20"/>
          <w:szCs w:val="20"/>
          <w:vertAlign w:val="superscript"/>
        </w:rPr>
        <w:footnoteReference w:id="69"/>
      </w:r>
      <w:r w:rsidRPr="00D876F4">
        <w:rPr>
          <w:color w:val="000000"/>
          <w:sz w:val="20"/>
          <w:szCs w:val="20"/>
        </w:rPr>
        <w:t xml:space="preserve"> In at least 41 States, laws and regulations limit the ability of SOGI-related CSOs to legally register.</w:t>
      </w:r>
      <w:r w:rsidRPr="00D876F4">
        <w:rPr>
          <w:color w:val="000000"/>
          <w:sz w:val="20"/>
          <w:szCs w:val="20"/>
          <w:vertAlign w:val="superscript"/>
        </w:rPr>
        <w:footnoteReference w:id="70"/>
      </w:r>
      <w:r w:rsidRPr="00D876F4">
        <w:rPr>
          <w:color w:val="000000"/>
          <w:sz w:val="20"/>
          <w:szCs w:val="20"/>
          <w:vertAlign w:val="superscript"/>
        </w:rPr>
        <w:t xml:space="preserve"> </w:t>
      </w:r>
      <w:r w:rsidRPr="00D876F4">
        <w:rPr>
          <w:color w:val="000000"/>
          <w:sz w:val="20"/>
          <w:szCs w:val="20"/>
        </w:rPr>
        <w:t>Harassment, intimidation, persecution and violence are also perpetrated against human rights defenders</w:t>
      </w:r>
      <w:r w:rsidR="00B41536">
        <w:rPr>
          <w:color w:val="000000"/>
          <w:sz w:val="20"/>
          <w:szCs w:val="20"/>
        </w:rPr>
        <w:t xml:space="preserve"> </w:t>
      </w:r>
      <w:r w:rsidRPr="00D876F4">
        <w:rPr>
          <w:color w:val="000000"/>
          <w:sz w:val="20"/>
          <w:szCs w:val="20"/>
        </w:rPr>
        <w:t>and health rights advocates in other ways</w:t>
      </w:r>
      <w:r w:rsidRPr="00D876F4">
        <w:rPr>
          <w:sz w:val="20"/>
          <w:szCs w:val="20"/>
        </w:rPr>
        <w:t>, and</w:t>
      </w:r>
      <w:r w:rsidRPr="00D876F4">
        <w:rPr>
          <w:color w:val="000000"/>
          <w:sz w:val="20"/>
          <w:szCs w:val="20"/>
        </w:rPr>
        <w:t xml:space="preserve"> the mandate </w:t>
      </w:r>
      <w:r w:rsidRPr="00D876F4">
        <w:rPr>
          <w:sz w:val="20"/>
          <w:szCs w:val="20"/>
        </w:rPr>
        <w:t>engages</w:t>
      </w:r>
      <w:r w:rsidRPr="00D876F4">
        <w:rPr>
          <w:color w:val="000000"/>
          <w:sz w:val="20"/>
          <w:szCs w:val="20"/>
        </w:rPr>
        <w:t xml:space="preserve"> States from all regions with concerns about allegations of harassment and persecution</w:t>
      </w:r>
      <w:r w:rsidRPr="00D876F4">
        <w:rPr>
          <w:sz w:val="20"/>
          <w:szCs w:val="20"/>
        </w:rPr>
        <w:t>:</w:t>
      </w:r>
      <w:r w:rsidRPr="00D876F4">
        <w:rPr>
          <w:color w:val="000000"/>
          <w:sz w:val="20"/>
          <w:szCs w:val="20"/>
        </w:rPr>
        <w:t xml:space="preserve"> in 2021 alone, concerns were conveyed to Belarus,</w:t>
      </w:r>
      <w:r w:rsidRPr="00D876F4">
        <w:rPr>
          <w:color w:val="000000"/>
          <w:sz w:val="20"/>
          <w:szCs w:val="20"/>
          <w:vertAlign w:val="superscript"/>
        </w:rPr>
        <w:footnoteReference w:id="71"/>
      </w:r>
      <w:r w:rsidRPr="00D876F4">
        <w:rPr>
          <w:color w:val="000000"/>
          <w:sz w:val="20"/>
          <w:szCs w:val="20"/>
        </w:rPr>
        <w:t xml:space="preserve"> Tunisia,</w:t>
      </w:r>
      <w:r w:rsidRPr="00D876F4">
        <w:rPr>
          <w:color w:val="000000"/>
          <w:sz w:val="20"/>
          <w:szCs w:val="20"/>
          <w:vertAlign w:val="superscript"/>
        </w:rPr>
        <w:footnoteReference w:id="72"/>
      </w:r>
      <w:r w:rsidRPr="00D876F4">
        <w:rPr>
          <w:color w:val="000000"/>
          <w:sz w:val="20"/>
          <w:szCs w:val="20"/>
        </w:rPr>
        <w:t xml:space="preserve"> Poland,</w:t>
      </w:r>
      <w:r w:rsidRPr="00D876F4">
        <w:rPr>
          <w:color w:val="000000"/>
          <w:sz w:val="20"/>
          <w:szCs w:val="20"/>
          <w:vertAlign w:val="superscript"/>
        </w:rPr>
        <w:footnoteReference w:id="73"/>
      </w:r>
      <w:r w:rsidRPr="00D876F4">
        <w:rPr>
          <w:color w:val="000000"/>
          <w:sz w:val="20"/>
          <w:szCs w:val="20"/>
        </w:rPr>
        <w:t xml:space="preserve"> Honduras,</w:t>
      </w:r>
      <w:r w:rsidRPr="00D876F4">
        <w:rPr>
          <w:color w:val="000000"/>
          <w:sz w:val="20"/>
          <w:szCs w:val="20"/>
          <w:vertAlign w:val="superscript"/>
        </w:rPr>
        <w:footnoteReference w:id="74"/>
      </w:r>
      <w:r w:rsidRPr="00D876F4">
        <w:rPr>
          <w:color w:val="000000"/>
          <w:sz w:val="20"/>
          <w:szCs w:val="20"/>
        </w:rPr>
        <w:t xml:space="preserve"> Kazakhstan,</w:t>
      </w:r>
      <w:r w:rsidRPr="00D876F4">
        <w:rPr>
          <w:color w:val="000000"/>
          <w:sz w:val="20"/>
          <w:szCs w:val="20"/>
          <w:vertAlign w:val="superscript"/>
        </w:rPr>
        <w:footnoteReference w:id="75"/>
      </w:r>
      <w:r w:rsidRPr="00D876F4">
        <w:rPr>
          <w:color w:val="000000"/>
          <w:sz w:val="20"/>
          <w:szCs w:val="20"/>
        </w:rPr>
        <w:t xml:space="preserve"> Kyrgyzstan,</w:t>
      </w:r>
      <w:r w:rsidRPr="00D876F4">
        <w:rPr>
          <w:color w:val="000000"/>
          <w:sz w:val="20"/>
          <w:szCs w:val="20"/>
          <w:vertAlign w:val="superscript"/>
        </w:rPr>
        <w:footnoteReference w:id="76"/>
      </w:r>
      <w:r w:rsidRPr="00D876F4">
        <w:rPr>
          <w:color w:val="000000"/>
          <w:sz w:val="20"/>
          <w:szCs w:val="20"/>
        </w:rPr>
        <w:t xml:space="preserve"> Uzbekistan,</w:t>
      </w:r>
      <w:r w:rsidRPr="00D876F4">
        <w:rPr>
          <w:color w:val="000000"/>
          <w:sz w:val="20"/>
          <w:szCs w:val="20"/>
          <w:vertAlign w:val="superscript"/>
        </w:rPr>
        <w:footnoteReference w:id="77"/>
      </w:r>
      <w:r w:rsidRPr="00D876F4">
        <w:rPr>
          <w:color w:val="000000"/>
          <w:sz w:val="20"/>
          <w:szCs w:val="20"/>
        </w:rPr>
        <w:t xml:space="preserve"> Ghana,</w:t>
      </w:r>
      <w:r w:rsidRPr="00D876F4">
        <w:rPr>
          <w:color w:val="000000"/>
          <w:sz w:val="20"/>
          <w:szCs w:val="20"/>
          <w:vertAlign w:val="superscript"/>
        </w:rPr>
        <w:footnoteReference w:id="78"/>
      </w:r>
      <w:r w:rsidRPr="00D876F4">
        <w:rPr>
          <w:color w:val="000000"/>
          <w:sz w:val="20"/>
          <w:szCs w:val="20"/>
        </w:rPr>
        <w:t xml:space="preserve"> Nicaragua,</w:t>
      </w:r>
      <w:r w:rsidRPr="00D876F4">
        <w:rPr>
          <w:color w:val="000000"/>
          <w:sz w:val="20"/>
          <w:szCs w:val="20"/>
          <w:vertAlign w:val="superscript"/>
        </w:rPr>
        <w:footnoteReference w:id="79"/>
      </w:r>
      <w:r w:rsidRPr="00D876F4">
        <w:rPr>
          <w:color w:val="000000"/>
          <w:sz w:val="20"/>
          <w:szCs w:val="20"/>
        </w:rPr>
        <w:t xml:space="preserve"> Saudi Arabia,</w:t>
      </w:r>
      <w:r w:rsidRPr="00D876F4">
        <w:rPr>
          <w:color w:val="000000"/>
          <w:sz w:val="20"/>
          <w:szCs w:val="20"/>
          <w:vertAlign w:val="superscript"/>
        </w:rPr>
        <w:footnoteReference w:id="80"/>
      </w:r>
      <w:r w:rsidRPr="00D876F4">
        <w:rPr>
          <w:color w:val="000000"/>
          <w:sz w:val="20"/>
          <w:szCs w:val="20"/>
        </w:rPr>
        <w:t xml:space="preserve"> and Pakistan.</w:t>
      </w:r>
      <w:r w:rsidRPr="00D876F4">
        <w:rPr>
          <w:color w:val="000000"/>
          <w:sz w:val="20"/>
          <w:szCs w:val="20"/>
          <w:vertAlign w:val="superscript"/>
        </w:rPr>
        <w:footnoteReference w:id="81"/>
      </w:r>
    </w:p>
    <w:p w14:paraId="741F1A88" w14:textId="519EBEBC" w:rsidR="00BA0919" w:rsidRPr="00D876F4" w:rsidRDefault="00BA0919" w:rsidP="00FF04F4">
      <w:pPr>
        <w:pStyle w:val="SingleTxtG"/>
        <w:pBdr>
          <w:top w:val="nil"/>
          <w:left w:val="nil"/>
          <w:bottom w:val="nil"/>
          <w:right w:val="nil"/>
          <w:between w:val="nil"/>
          <w:bar w:val="nil"/>
        </w:pBdr>
        <w:spacing w:line="240" w:lineRule="exact"/>
        <w:rPr>
          <w:color w:val="000000"/>
          <w:sz w:val="20"/>
          <w:szCs w:val="20"/>
        </w:rPr>
      </w:pPr>
      <w:r w:rsidRPr="00D876F4">
        <w:rPr>
          <w:sz w:val="20"/>
          <w:szCs w:val="20"/>
        </w:rPr>
        <w:lastRenderedPageBreak/>
        <w:t>32.</w:t>
      </w:r>
      <w:r w:rsidRPr="00D876F4">
        <w:rPr>
          <w:sz w:val="20"/>
          <w:szCs w:val="20"/>
        </w:rPr>
        <w:tab/>
      </w:r>
      <w:r w:rsidR="00487687" w:rsidRPr="00D876F4">
        <w:rPr>
          <w:color w:val="000000"/>
          <w:sz w:val="20"/>
          <w:szCs w:val="20"/>
        </w:rPr>
        <w:t>I</w:t>
      </w:r>
      <w:r w:rsidRPr="00D876F4">
        <w:rPr>
          <w:color w:val="000000"/>
          <w:sz w:val="20"/>
          <w:szCs w:val="20"/>
        </w:rPr>
        <w:t>n at least 31 countries so-called “propaganda laws” restrict open discussion about LGBT health-related and other topics.</w:t>
      </w:r>
      <w:r w:rsidRPr="00D876F4">
        <w:rPr>
          <w:color w:val="000000"/>
          <w:sz w:val="20"/>
          <w:szCs w:val="20"/>
          <w:vertAlign w:val="superscript"/>
        </w:rPr>
        <w:footnoteReference w:id="82"/>
      </w:r>
      <w:r w:rsidRPr="00D876F4">
        <w:rPr>
          <w:color w:val="000000"/>
          <w:sz w:val="20"/>
          <w:szCs w:val="20"/>
        </w:rPr>
        <w:t xml:space="preserve"> In a study in Russia—where those who disseminate LGBT health information among minors are fined under “gay propaganda” legislation—72% of LGBT survey respondents reported experiencing discrimination after coming out to a doctor, including total refusal of essential care, medical personnel refusing to touch them, the use of excessive precautions, and being blamed for an HIV positive status and a “sinful lifestyle”. Over half agreed that health care providers’ attitudes had worsened since the “propaganda” legislation had been passed; 42% said they would likely no longer use medical services.</w:t>
      </w:r>
      <w:r w:rsidRPr="00D876F4">
        <w:rPr>
          <w:color w:val="141413"/>
          <w:sz w:val="20"/>
          <w:szCs w:val="20"/>
          <w:vertAlign w:val="superscript"/>
        </w:rPr>
        <w:footnoteReference w:id="83"/>
      </w:r>
    </w:p>
    <w:p w14:paraId="6849D554" w14:textId="76CE7C37" w:rsidR="00BA0919" w:rsidRPr="00D876F4" w:rsidRDefault="00A84CE6" w:rsidP="00A84CE6">
      <w:pPr>
        <w:pStyle w:val="H23G"/>
        <w:rPr>
          <w:sz w:val="20"/>
          <w:szCs w:val="20"/>
        </w:rPr>
      </w:pPr>
      <w:r w:rsidRPr="00D876F4">
        <w:rPr>
          <w:sz w:val="20"/>
          <w:szCs w:val="20"/>
        </w:rPr>
        <w:tab/>
      </w:r>
      <w:r w:rsidRPr="00D876F4">
        <w:rPr>
          <w:sz w:val="20"/>
          <w:szCs w:val="20"/>
        </w:rPr>
        <w:tab/>
      </w:r>
      <w:r w:rsidR="00BA0919" w:rsidRPr="00D876F4">
        <w:rPr>
          <w:sz w:val="20"/>
          <w:szCs w:val="20"/>
        </w:rPr>
        <w:t xml:space="preserve">Lack of </w:t>
      </w:r>
      <w:r w:rsidR="00BA0919" w:rsidRPr="00D876F4">
        <w:rPr>
          <w:color w:val="000000"/>
          <w:sz w:val="20"/>
          <w:szCs w:val="20"/>
        </w:rPr>
        <w:t>appropriate</w:t>
      </w:r>
      <w:r w:rsidR="00BA0919" w:rsidRPr="00D876F4">
        <w:rPr>
          <w:sz w:val="20"/>
          <w:szCs w:val="20"/>
        </w:rPr>
        <w:t xml:space="preserve"> and non-discriminatory health information and education</w:t>
      </w:r>
    </w:p>
    <w:p w14:paraId="7389F684" w14:textId="3935DC44" w:rsidR="00BA0919" w:rsidRPr="00D876F4" w:rsidRDefault="00BA0919" w:rsidP="00FF04F4">
      <w:pPr>
        <w:pStyle w:val="SingleTxtG"/>
        <w:pBdr>
          <w:top w:val="nil"/>
          <w:left w:val="nil"/>
          <w:bottom w:val="nil"/>
          <w:right w:val="nil"/>
          <w:between w:val="nil"/>
          <w:bar w:val="nil"/>
        </w:pBdr>
        <w:spacing w:line="240" w:lineRule="exact"/>
        <w:rPr>
          <w:sz w:val="20"/>
          <w:szCs w:val="20"/>
        </w:rPr>
      </w:pPr>
      <w:r w:rsidRPr="00D876F4">
        <w:rPr>
          <w:sz w:val="20"/>
          <w:szCs w:val="20"/>
        </w:rPr>
        <w:t>33.</w:t>
      </w:r>
      <w:r w:rsidRPr="00D876F4">
        <w:rPr>
          <w:sz w:val="20"/>
          <w:szCs w:val="20"/>
        </w:rPr>
        <w:tab/>
      </w:r>
      <w:r w:rsidRPr="00D876F4">
        <w:rPr>
          <w:color w:val="000000"/>
          <w:sz w:val="20"/>
          <w:szCs w:val="20"/>
        </w:rPr>
        <w:t>While many submissions referred to legislation creating obstacles for comprehensive sexual health and gender education,</w:t>
      </w:r>
      <w:r w:rsidRPr="00D876F4">
        <w:rPr>
          <w:color w:val="000000"/>
          <w:sz w:val="20"/>
          <w:szCs w:val="20"/>
          <w:vertAlign w:val="superscript"/>
        </w:rPr>
        <w:footnoteReference w:id="84"/>
      </w:r>
      <w:r w:rsidRPr="00D876F4">
        <w:rPr>
          <w:color w:val="000000"/>
          <w:sz w:val="20"/>
          <w:szCs w:val="20"/>
        </w:rPr>
        <w:t xml:space="preserve"> others provided evidence of bias and discrimination in educational curricula or sexual health information programs. For example, in a youth survey in the United States, 83% of responden</w:t>
      </w:r>
      <w:r w:rsidRPr="00D876F4">
        <w:rPr>
          <w:sz w:val="20"/>
          <w:szCs w:val="20"/>
        </w:rPr>
        <w:t xml:space="preserve">ts </w:t>
      </w:r>
      <w:r w:rsidRPr="00D876F4">
        <w:rPr>
          <w:color w:val="000000"/>
          <w:sz w:val="20"/>
          <w:szCs w:val="20"/>
        </w:rPr>
        <w:t>reported not having received comprehensive sexuality education at their current or previous academic institutions.</w:t>
      </w:r>
      <w:r w:rsidRPr="00D876F4">
        <w:rPr>
          <w:color w:val="000000"/>
          <w:sz w:val="20"/>
          <w:szCs w:val="20"/>
          <w:vertAlign w:val="superscript"/>
        </w:rPr>
        <w:footnoteReference w:id="85"/>
      </w:r>
      <w:r w:rsidRPr="00D876F4">
        <w:rPr>
          <w:color w:val="000000"/>
          <w:sz w:val="20"/>
          <w:szCs w:val="20"/>
        </w:rPr>
        <w:t xml:space="preserve"> To this must be added </w:t>
      </w:r>
      <w:r w:rsidRPr="00D876F4">
        <w:rPr>
          <w:sz w:val="20"/>
          <w:szCs w:val="20"/>
        </w:rPr>
        <w:t>censorship of online content on SOGI issues, websites, and community groups; and obstacles to access to information on safe sex and other health issues.</w:t>
      </w:r>
    </w:p>
    <w:p w14:paraId="0EC32197" w14:textId="77777777" w:rsidR="00BA0919" w:rsidRPr="00D876F4" w:rsidRDefault="00BA0919" w:rsidP="00FF04F4">
      <w:pPr>
        <w:pStyle w:val="SingleTxtG"/>
        <w:pBdr>
          <w:top w:val="nil"/>
          <w:left w:val="nil"/>
          <w:bottom w:val="nil"/>
          <w:right w:val="nil"/>
          <w:between w:val="nil"/>
          <w:bar w:val="nil"/>
        </w:pBdr>
        <w:spacing w:line="240" w:lineRule="exact"/>
        <w:rPr>
          <w:color w:val="000000"/>
          <w:sz w:val="20"/>
          <w:szCs w:val="20"/>
        </w:rPr>
      </w:pPr>
      <w:r w:rsidRPr="00D876F4">
        <w:rPr>
          <w:sz w:val="20"/>
          <w:szCs w:val="20"/>
        </w:rPr>
        <w:t>34.</w:t>
      </w:r>
      <w:r w:rsidRPr="00D876F4">
        <w:rPr>
          <w:sz w:val="20"/>
          <w:szCs w:val="20"/>
        </w:rPr>
        <w:tab/>
      </w:r>
      <w:r w:rsidRPr="00D876F4">
        <w:rPr>
          <w:color w:val="000000"/>
          <w:sz w:val="20"/>
          <w:szCs w:val="20"/>
        </w:rPr>
        <w:t>The adoption of comprehensive and SOGI-inclusive sexuality education can significantly reduce physical and psychological health risks for LGBT and gender-diverse youth, including with regard to sexual and reproductive health, and in addition help them avoid secondary effects such as substance abuse, mistrust of health services and self-medication.</w:t>
      </w:r>
      <w:r w:rsidRPr="00D876F4">
        <w:rPr>
          <w:color w:val="000000"/>
          <w:sz w:val="20"/>
          <w:szCs w:val="20"/>
          <w:vertAlign w:val="superscript"/>
        </w:rPr>
        <w:footnoteReference w:id="86"/>
      </w:r>
      <w:r w:rsidRPr="00D876F4">
        <w:rPr>
          <w:color w:val="000000"/>
          <w:sz w:val="20"/>
          <w:szCs w:val="20"/>
        </w:rPr>
        <w:t xml:space="preserve"> As the UN Secretary-General has noted “[u]</w:t>
      </w:r>
      <w:r w:rsidRPr="00D876F4">
        <w:rPr>
          <w:color w:val="141413"/>
          <w:sz w:val="20"/>
          <w:szCs w:val="20"/>
        </w:rPr>
        <w:t>nequal access to education, including comprehensive sexuality and HIV education also increas[es] women’s vulnerability to HIV transmission”.</w:t>
      </w:r>
      <w:r w:rsidRPr="00D876F4">
        <w:rPr>
          <w:color w:val="141413"/>
          <w:sz w:val="20"/>
          <w:szCs w:val="20"/>
          <w:vertAlign w:val="superscript"/>
        </w:rPr>
        <w:footnoteReference w:id="87"/>
      </w:r>
    </w:p>
    <w:p w14:paraId="6EEC463D" w14:textId="21CBEFE4" w:rsidR="00BA0919" w:rsidRPr="00F8584E" w:rsidRDefault="00A84CE6" w:rsidP="00A84CE6">
      <w:pPr>
        <w:pStyle w:val="HChG"/>
      </w:pPr>
      <w:r>
        <w:rPr>
          <w:color w:val="000000"/>
        </w:rPr>
        <w:tab/>
        <w:t>V</w:t>
      </w:r>
      <w:r w:rsidR="00BA0919" w:rsidRPr="00F8584E">
        <w:rPr>
          <w:color w:val="000000"/>
        </w:rPr>
        <w:t>.</w:t>
      </w:r>
      <w:r w:rsidR="00BA0919" w:rsidRPr="00F8584E">
        <w:tab/>
      </w:r>
      <w:r w:rsidR="00BA0919" w:rsidRPr="00F8584E">
        <w:tab/>
        <w:t>Sexual orientation and gender identity and SDGs</w:t>
      </w:r>
    </w:p>
    <w:p w14:paraId="794F8EB0" w14:textId="20491148" w:rsidR="00BA0919" w:rsidRPr="00D876F4" w:rsidRDefault="00A84CE6" w:rsidP="00A84CE6">
      <w:pPr>
        <w:keepNext/>
        <w:keepLines/>
        <w:pBdr>
          <w:top w:val="nil"/>
          <w:left w:val="nil"/>
          <w:bottom w:val="nil"/>
          <w:right w:val="nil"/>
          <w:between w:val="nil"/>
        </w:pBdr>
        <w:tabs>
          <w:tab w:val="right" w:pos="851"/>
        </w:tabs>
        <w:spacing w:after="240"/>
        <w:ind w:left="1134"/>
        <w:rPr>
          <w:b/>
          <w:color w:val="141413"/>
          <w:sz w:val="20"/>
          <w:szCs w:val="20"/>
        </w:rPr>
      </w:pPr>
      <w:r>
        <w:rPr>
          <w:i/>
        </w:rPr>
        <w:tab/>
      </w:r>
      <w:r w:rsidR="00CF06F1">
        <w:rPr>
          <w:i/>
        </w:rPr>
        <w:t>“</w:t>
      </w:r>
      <w:r w:rsidR="00BA0919" w:rsidRPr="00D876F4">
        <w:rPr>
          <w:i/>
          <w:sz w:val="20"/>
          <w:szCs w:val="20"/>
        </w:rPr>
        <w:t xml:space="preserve">There are 17 sustainable development goals all based on a single, guiding principle: to leave no one behind. We will only </w:t>
      </w:r>
      <w:r w:rsidR="00BA0919" w:rsidRPr="00D876F4">
        <w:rPr>
          <w:i/>
          <w:color w:val="141413"/>
          <w:sz w:val="20"/>
          <w:szCs w:val="20"/>
        </w:rPr>
        <w:t>realize</w:t>
      </w:r>
      <w:r w:rsidR="00BA0919" w:rsidRPr="00D876F4">
        <w:rPr>
          <w:i/>
          <w:sz w:val="20"/>
          <w:szCs w:val="20"/>
        </w:rPr>
        <w:t xml:space="preserve"> this vision if we reach all people regardless of their sexual orientation or gender identity.</w:t>
      </w:r>
      <w:r w:rsidR="00CF06F1">
        <w:rPr>
          <w:i/>
          <w:sz w:val="20"/>
          <w:szCs w:val="20"/>
        </w:rPr>
        <w:t>”</w:t>
      </w:r>
      <w:r w:rsidR="00BA0919" w:rsidRPr="00D876F4">
        <w:rPr>
          <w:sz w:val="20"/>
          <w:szCs w:val="20"/>
          <w:vertAlign w:val="superscript"/>
        </w:rPr>
        <w:footnoteReference w:id="88"/>
      </w:r>
    </w:p>
    <w:p w14:paraId="7C21F1F1" w14:textId="71985A95" w:rsidR="00BA0919" w:rsidRPr="00D876F4" w:rsidRDefault="00BA0919" w:rsidP="00FF04F4">
      <w:pPr>
        <w:pStyle w:val="SingleTxtG"/>
        <w:pBdr>
          <w:top w:val="nil"/>
          <w:left w:val="nil"/>
          <w:bottom w:val="nil"/>
          <w:right w:val="nil"/>
          <w:between w:val="nil"/>
          <w:bar w:val="nil"/>
        </w:pBdr>
        <w:spacing w:line="240" w:lineRule="exact"/>
        <w:rPr>
          <w:color w:val="141413"/>
          <w:sz w:val="20"/>
          <w:szCs w:val="20"/>
        </w:rPr>
      </w:pPr>
      <w:r w:rsidRPr="00D876F4">
        <w:rPr>
          <w:color w:val="141413"/>
          <w:sz w:val="20"/>
          <w:szCs w:val="20"/>
        </w:rPr>
        <w:t>35.</w:t>
      </w:r>
      <w:r w:rsidRPr="00D876F4">
        <w:rPr>
          <w:color w:val="141413"/>
          <w:sz w:val="20"/>
          <w:szCs w:val="20"/>
        </w:rPr>
        <w:tab/>
        <w:t>The 2030 Agenda for Sustainable Development has galvanised action by the international community to further equitable access to the right to health. The SDGs include comprehensive, time-bound</w:t>
      </w:r>
      <w:r w:rsidR="00865C6B">
        <w:rPr>
          <w:color w:val="141413"/>
          <w:sz w:val="20"/>
          <w:szCs w:val="20"/>
        </w:rPr>
        <w:t>,</w:t>
      </w:r>
      <w:r w:rsidRPr="00D876F4">
        <w:rPr>
          <w:color w:val="141413"/>
          <w:sz w:val="20"/>
          <w:szCs w:val="20"/>
        </w:rPr>
        <w:t xml:space="preserve"> and </w:t>
      </w:r>
      <w:r w:rsidR="00E978FE" w:rsidRPr="00D876F4">
        <w:rPr>
          <w:color w:val="141413"/>
          <w:sz w:val="20"/>
          <w:szCs w:val="20"/>
        </w:rPr>
        <w:t>universally applicable</w:t>
      </w:r>
      <w:r w:rsidRPr="00D876F4">
        <w:rPr>
          <w:color w:val="141413"/>
          <w:sz w:val="20"/>
          <w:szCs w:val="20"/>
        </w:rPr>
        <w:t xml:space="preserve"> commitments, </w:t>
      </w:r>
      <w:r w:rsidRPr="00D876F4">
        <w:rPr>
          <w:color w:val="000000"/>
          <w:sz w:val="20"/>
          <w:szCs w:val="20"/>
        </w:rPr>
        <w:t>anchored</w:t>
      </w:r>
      <w:r w:rsidRPr="00D876F4">
        <w:rPr>
          <w:color w:val="141413"/>
          <w:sz w:val="20"/>
          <w:szCs w:val="20"/>
        </w:rPr>
        <w:t xml:space="preserve"> in international human rights obligations, to be met by 2030</w:t>
      </w:r>
      <w:r w:rsidR="00D5790E">
        <w:rPr>
          <w:color w:val="141413"/>
          <w:sz w:val="20"/>
          <w:szCs w:val="20"/>
        </w:rPr>
        <w:t>. The 17 goals are closely interrelated and to be pursued in tandem.</w:t>
      </w:r>
    </w:p>
    <w:p w14:paraId="3D4B9C11" w14:textId="77777777" w:rsidR="00BA0919" w:rsidRPr="00D876F4" w:rsidRDefault="00BA0919" w:rsidP="00FF04F4">
      <w:pPr>
        <w:pStyle w:val="SingleTxtG"/>
        <w:pBdr>
          <w:top w:val="nil"/>
          <w:left w:val="nil"/>
          <w:bottom w:val="nil"/>
          <w:right w:val="nil"/>
          <w:between w:val="nil"/>
          <w:bar w:val="nil"/>
        </w:pBdr>
        <w:spacing w:line="240" w:lineRule="exact"/>
        <w:rPr>
          <w:color w:val="141413"/>
          <w:sz w:val="20"/>
          <w:szCs w:val="20"/>
        </w:rPr>
      </w:pPr>
      <w:r w:rsidRPr="00D876F4">
        <w:rPr>
          <w:color w:val="141413"/>
          <w:sz w:val="20"/>
          <w:szCs w:val="20"/>
        </w:rPr>
        <w:t>36.</w:t>
      </w:r>
      <w:r w:rsidRPr="00D876F4">
        <w:rPr>
          <w:color w:val="141413"/>
          <w:sz w:val="20"/>
          <w:szCs w:val="20"/>
        </w:rPr>
        <w:tab/>
        <w:t xml:space="preserve">SDG3 seeks to ensure healthy lives and promote well-being for all at all ages. Other goals include complementary commitments to </w:t>
      </w:r>
      <w:r w:rsidRPr="00D876F4">
        <w:rPr>
          <w:color w:val="000000"/>
          <w:sz w:val="20"/>
          <w:szCs w:val="20"/>
        </w:rPr>
        <w:t>tackle</w:t>
      </w:r>
      <w:r w:rsidRPr="00D876F4">
        <w:rPr>
          <w:color w:val="141413"/>
          <w:sz w:val="20"/>
          <w:szCs w:val="20"/>
        </w:rPr>
        <w:t xml:space="preserve"> health inequalities and the discrimination underpinning them. SDG5 on achieving gender equality pledges to ensure universal access to sexual and reproductive health and reproductive rights</w:t>
      </w:r>
      <w:sdt>
        <w:sdtPr>
          <w:rPr>
            <w:sz w:val="20"/>
            <w:szCs w:val="20"/>
          </w:rPr>
          <w:tag w:val="goog_rdk_115"/>
          <w:id w:val="-923257813"/>
        </w:sdtPr>
        <w:sdtEndPr/>
        <w:sdtContent>
          <w:r w:rsidRPr="00D876F4">
            <w:rPr>
              <w:color w:val="141413"/>
              <w:sz w:val="20"/>
              <w:szCs w:val="20"/>
            </w:rPr>
            <w:t>,</w:t>
          </w:r>
        </w:sdtContent>
      </w:sdt>
      <w:r w:rsidRPr="00D876F4">
        <w:rPr>
          <w:color w:val="141413"/>
          <w:sz w:val="20"/>
          <w:szCs w:val="20"/>
        </w:rPr>
        <w:t xml:space="preserve"> and to end all forms of discrimination and violence against women and girls. Under SDG10, States commit to reduce inequalities of outcome, including by eliminating discriminatory laws, policies, and practices. SDG16 on just and inclusive societies also pledges to promote and enforce non-discrimination through laws and policies, and to ensure legal identity and equal access to </w:t>
      </w:r>
      <w:r w:rsidRPr="00D876F4">
        <w:rPr>
          <w:color w:val="141413"/>
          <w:sz w:val="20"/>
          <w:szCs w:val="20"/>
        </w:rPr>
        <w:lastRenderedPageBreak/>
        <w:t xml:space="preserve">justice for all. SDG17, on means of implementation, seeks to enable monitoring and accountability through a significant increase in the availability of disaggregated data. </w:t>
      </w:r>
    </w:p>
    <w:p w14:paraId="1066E8B7" w14:textId="06B87CA0" w:rsidR="00BA0919" w:rsidRPr="00D876F4" w:rsidRDefault="00BA0919" w:rsidP="00A77303">
      <w:pPr>
        <w:pStyle w:val="SingleTxtG"/>
        <w:pBdr>
          <w:top w:val="nil"/>
          <w:left w:val="nil"/>
          <w:bottom w:val="nil"/>
          <w:right w:val="nil"/>
          <w:between w:val="nil"/>
          <w:bar w:val="nil"/>
        </w:pBdr>
        <w:spacing w:line="240" w:lineRule="exact"/>
        <w:rPr>
          <w:color w:val="141413"/>
          <w:sz w:val="20"/>
          <w:szCs w:val="20"/>
        </w:rPr>
      </w:pPr>
      <w:r w:rsidRPr="00D876F4">
        <w:rPr>
          <w:color w:val="141413"/>
          <w:sz w:val="20"/>
          <w:szCs w:val="20"/>
        </w:rPr>
        <w:t>37.</w:t>
      </w:r>
      <w:r w:rsidRPr="00D876F4">
        <w:rPr>
          <w:color w:val="141413"/>
          <w:sz w:val="20"/>
          <w:szCs w:val="20"/>
        </w:rPr>
        <w:tab/>
        <w:t xml:space="preserve">The pledge to “leave no one behind,” which lies at the foundation of the SDGs, must be operationalized in line with human rights </w:t>
      </w:r>
      <w:r w:rsidRPr="00D876F4">
        <w:rPr>
          <w:color w:val="000000"/>
          <w:sz w:val="20"/>
          <w:szCs w:val="20"/>
        </w:rPr>
        <w:t>principles</w:t>
      </w:r>
      <w:r w:rsidRPr="00D876F4">
        <w:rPr>
          <w:color w:val="141413"/>
          <w:sz w:val="20"/>
          <w:szCs w:val="20"/>
        </w:rPr>
        <w:t xml:space="preserve"> of substantive equality and non-discrimination, and demands clear understanding of the lived experience of persons, communities and populations historically subjected to discrimination and violence, including </w:t>
      </w:r>
      <w:r w:rsidR="00A77303" w:rsidRPr="00D876F4">
        <w:rPr>
          <w:color w:val="141413"/>
          <w:sz w:val="20"/>
          <w:szCs w:val="20"/>
        </w:rPr>
        <w:t>based o</w:t>
      </w:r>
      <w:r w:rsidR="00D5790E">
        <w:rPr>
          <w:color w:val="141413"/>
          <w:sz w:val="20"/>
          <w:szCs w:val="20"/>
        </w:rPr>
        <w:t xml:space="preserve">n SOGI. </w:t>
      </w:r>
      <w:r w:rsidRPr="00D876F4">
        <w:rPr>
          <w:color w:val="141413"/>
          <w:sz w:val="20"/>
          <w:szCs w:val="20"/>
        </w:rPr>
        <w:t xml:space="preserve">The following paragraphs illustrate </w:t>
      </w:r>
      <w:r w:rsidRPr="00D876F4">
        <w:rPr>
          <w:color w:val="000000"/>
          <w:sz w:val="20"/>
          <w:szCs w:val="20"/>
        </w:rPr>
        <w:t>several</w:t>
      </w:r>
      <w:r w:rsidRPr="00D876F4">
        <w:rPr>
          <w:color w:val="141413"/>
          <w:sz w:val="20"/>
          <w:szCs w:val="20"/>
        </w:rPr>
        <w:t xml:space="preserve"> health-related SDG commitments which are of salience.</w:t>
      </w:r>
    </w:p>
    <w:p w14:paraId="56FA5B84" w14:textId="67BF898D" w:rsidR="00BA0919" w:rsidRPr="00D876F4" w:rsidRDefault="00A84CE6" w:rsidP="00A84CE6">
      <w:pPr>
        <w:pStyle w:val="H23G"/>
        <w:rPr>
          <w:sz w:val="20"/>
          <w:szCs w:val="20"/>
        </w:rPr>
      </w:pPr>
      <w:r w:rsidRPr="00D876F4">
        <w:rPr>
          <w:sz w:val="20"/>
          <w:szCs w:val="20"/>
        </w:rPr>
        <w:tab/>
      </w:r>
      <w:r w:rsidRPr="00D876F4">
        <w:rPr>
          <w:sz w:val="20"/>
          <w:szCs w:val="20"/>
        </w:rPr>
        <w:tab/>
      </w:r>
      <w:r w:rsidR="00BA0919" w:rsidRPr="00D876F4">
        <w:rPr>
          <w:sz w:val="20"/>
          <w:szCs w:val="20"/>
        </w:rPr>
        <w:t>Infectious diseases</w:t>
      </w:r>
    </w:p>
    <w:p w14:paraId="5D95C924" w14:textId="67908342" w:rsidR="00BA0919" w:rsidRPr="00D876F4" w:rsidRDefault="00BA0919" w:rsidP="00FF04F4">
      <w:pPr>
        <w:pStyle w:val="SingleTxtG"/>
        <w:pBdr>
          <w:top w:val="nil"/>
          <w:left w:val="nil"/>
          <w:bottom w:val="nil"/>
          <w:right w:val="nil"/>
          <w:between w:val="nil"/>
          <w:bar w:val="nil"/>
        </w:pBdr>
        <w:spacing w:line="240" w:lineRule="exact"/>
        <w:rPr>
          <w:color w:val="141413"/>
          <w:sz w:val="20"/>
          <w:szCs w:val="20"/>
        </w:rPr>
      </w:pPr>
      <w:r w:rsidRPr="00D876F4">
        <w:rPr>
          <w:color w:val="141413"/>
          <w:sz w:val="20"/>
          <w:szCs w:val="20"/>
        </w:rPr>
        <w:t>39.</w:t>
      </w:r>
      <w:r w:rsidRPr="00D876F4">
        <w:rPr>
          <w:color w:val="141413"/>
          <w:sz w:val="20"/>
          <w:szCs w:val="20"/>
        </w:rPr>
        <w:tab/>
        <w:t>SDG3 Target 3.3 aims to end the epidemics of AIDS, tuberculosis, malaria and neglected tropical diseases and combat hepatitis, water-</w:t>
      </w:r>
      <w:r w:rsidRPr="00D876F4">
        <w:rPr>
          <w:color w:val="000000"/>
          <w:sz w:val="20"/>
          <w:szCs w:val="20"/>
        </w:rPr>
        <w:t>borne</w:t>
      </w:r>
      <w:r w:rsidRPr="00D876F4">
        <w:rPr>
          <w:color w:val="141413"/>
          <w:sz w:val="20"/>
          <w:szCs w:val="20"/>
        </w:rPr>
        <w:t xml:space="preserve"> diseases, and other communicable diseases. An indicator associated with this target is number of new HIV infections per 1,000 uninfected population, by sex, age, and key populations. </w:t>
      </w:r>
    </w:p>
    <w:p w14:paraId="56526363" w14:textId="1B900C4C" w:rsidR="00BA0919" w:rsidRPr="00D876F4" w:rsidRDefault="00BA0919" w:rsidP="00FF04F4">
      <w:pPr>
        <w:pStyle w:val="SingleTxtG"/>
        <w:pBdr>
          <w:top w:val="nil"/>
          <w:left w:val="nil"/>
          <w:bottom w:val="nil"/>
          <w:right w:val="nil"/>
          <w:between w:val="nil"/>
          <w:bar w:val="nil"/>
        </w:pBdr>
        <w:spacing w:line="240" w:lineRule="exact"/>
        <w:rPr>
          <w:color w:val="141413"/>
          <w:sz w:val="20"/>
          <w:szCs w:val="20"/>
        </w:rPr>
      </w:pPr>
      <w:r w:rsidRPr="00D876F4">
        <w:rPr>
          <w:color w:val="141413"/>
          <w:sz w:val="20"/>
          <w:szCs w:val="20"/>
        </w:rPr>
        <w:t>40.</w:t>
      </w:r>
      <w:r w:rsidRPr="00D876F4">
        <w:rPr>
          <w:color w:val="141413"/>
          <w:sz w:val="20"/>
          <w:szCs w:val="20"/>
        </w:rPr>
        <w:tab/>
        <w:t>While substantial progress has been made in reducing HIV infections and AIDS related deaths overall,</w:t>
      </w:r>
      <w:r w:rsidRPr="00D876F4">
        <w:rPr>
          <w:color w:val="141413"/>
          <w:sz w:val="20"/>
          <w:szCs w:val="20"/>
          <w:vertAlign w:val="superscript"/>
        </w:rPr>
        <w:footnoteReference w:id="89"/>
      </w:r>
      <w:r w:rsidRPr="00D876F4">
        <w:rPr>
          <w:color w:val="141413"/>
          <w:sz w:val="20"/>
          <w:szCs w:val="20"/>
          <w:vertAlign w:val="superscript"/>
        </w:rPr>
        <w:t xml:space="preserve"> </w:t>
      </w:r>
      <w:r w:rsidRPr="00D876F4">
        <w:rPr>
          <w:color w:val="141413"/>
          <w:sz w:val="20"/>
          <w:szCs w:val="20"/>
        </w:rPr>
        <w:t xml:space="preserve">it is estimated that annual infections have increased by 25% for </w:t>
      </w:r>
      <w:r w:rsidR="0096115A">
        <w:rPr>
          <w:color w:val="141413"/>
          <w:sz w:val="20"/>
          <w:szCs w:val="20"/>
        </w:rPr>
        <w:t>men who have sex with men</w:t>
      </w:r>
      <w:r w:rsidRPr="00D876F4">
        <w:rPr>
          <w:color w:val="141413"/>
          <w:sz w:val="20"/>
          <w:szCs w:val="20"/>
        </w:rPr>
        <w:t xml:space="preserve"> since 2010, accounting in 2020 for 23% of new infections globally.</w:t>
      </w:r>
      <w:r w:rsidRPr="00D876F4">
        <w:rPr>
          <w:color w:val="141413"/>
          <w:sz w:val="20"/>
          <w:szCs w:val="20"/>
          <w:vertAlign w:val="superscript"/>
        </w:rPr>
        <w:footnoteReference w:id="90"/>
      </w:r>
      <w:r w:rsidRPr="00D876F4">
        <w:rPr>
          <w:color w:val="141413"/>
          <w:sz w:val="20"/>
          <w:szCs w:val="20"/>
          <w:vertAlign w:val="superscript"/>
        </w:rPr>
        <w:t xml:space="preserve"> </w:t>
      </w:r>
      <w:r w:rsidRPr="00D876F4">
        <w:rPr>
          <w:color w:val="141413"/>
          <w:sz w:val="20"/>
          <w:szCs w:val="20"/>
        </w:rPr>
        <w:t xml:space="preserve">HIV </w:t>
      </w:r>
      <w:r w:rsidRPr="00D876F4">
        <w:rPr>
          <w:color w:val="000000"/>
          <w:sz w:val="20"/>
          <w:szCs w:val="20"/>
        </w:rPr>
        <w:t>also</w:t>
      </w:r>
      <w:r w:rsidRPr="00D876F4">
        <w:rPr>
          <w:color w:val="141413"/>
          <w:sz w:val="20"/>
          <w:szCs w:val="20"/>
        </w:rPr>
        <w:t xml:space="preserve"> continues to have a disproportionate impact upon women and girls, who in 2019 accounted for 48% of new infections worldwide and 59% in sub-Saharan Africa. In 2020 AIDS-related illnesses remained the leading cause of death among women of reproductive age globally.</w:t>
      </w:r>
      <w:r w:rsidRPr="00D876F4">
        <w:rPr>
          <w:color w:val="141413"/>
          <w:sz w:val="20"/>
          <w:szCs w:val="20"/>
          <w:vertAlign w:val="superscript"/>
        </w:rPr>
        <w:footnoteReference w:id="91"/>
      </w:r>
      <w:r w:rsidRPr="00D876F4">
        <w:rPr>
          <w:color w:val="141413"/>
          <w:sz w:val="20"/>
          <w:szCs w:val="20"/>
        </w:rPr>
        <w:t xml:space="preserve"> Trans women accounted for 2% of new infections globally and research in countries such as South Africa suggests that HIV prevalence among women who have sex with women is also disproportionately high.</w:t>
      </w:r>
      <w:r w:rsidRPr="00D876F4">
        <w:rPr>
          <w:color w:val="141413"/>
          <w:sz w:val="20"/>
          <w:szCs w:val="20"/>
          <w:vertAlign w:val="superscript"/>
        </w:rPr>
        <w:footnoteReference w:id="92"/>
      </w:r>
      <w:r w:rsidRPr="00D876F4">
        <w:rPr>
          <w:color w:val="141413"/>
          <w:sz w:val="20"/>
          <w:szCs w:val="20"/>
          <w:vertAlign w:val="superscript"/>
        </w:rPr>
        <w:t xml:space="preserve"> </w:t>
      </w:r>
      <w:r w:rsidRPr="00D876F4">
        <w:rPr>
          <w:color w:val="141413"/>
          <w:sz w:val="20"/>
          <w:szCs w:val="20"/>
        </w:rPr>
        <w:t>Submissions noted that in some contexts a very high proportion of new infections occur among young people from key populations.</w:t>
      </w:r>
      <w:r w:rsidRPr="00D876F4">
        <w:rPr>
          <w:color w:val="141413"/>
          <w:sz w:val="20"/>
          <w:szCs w:val="20"/>
          <w:vertAlign w:val="superscript"/>
        </w:rPr>
        <w:footnoteReference w:id="93"/>
      </w:r>
      <w:r w:rsidRPr="00D876F4">
        <w:rPr>
          <w:color w:val="141413"/>
          <w:sz w:val="20"/>
          <w:szCs w:val="20"/>
        </w:rPr>
        <w:t> </w:t>
      </w:r>
    </w:p>
    <w:p w14:paraId="31BBA9BA" w14:textId="1B0ABF9E" w:rsidR="00BA0919" w:rsidRPr="00D876F4" w:rsidRDefault="00A84CE6" w:rsidP="00A84CE6">
      <w:pPr>
        <w:pStyle w:val="H23G"/>
        <w:rPr>
          <w:sz w:val="20"/>
          <w:szCs w:val="20"/>
        </w:rPr>
      </w:pPr>
      <w:r w:rsidRPr="00D876F4">
        <w:rPr>
          <w:sz w:val="20"/>
          <w:szCs w:val="20"/>
        </w:rPr>
        <w:tab/>
      </w:r>
      <w:r w:rsidRPr="00D876F4">
        <w:rPr>
          <w:sz w:val="20"/>
          <w:szCs w:val="20"/>
        </w:rPr>
        <w:tab/>
      </w:r>
      <w:r w:rsidR="00BA0919" w:rsidRPr="00D876F4">
        <w:rPr>
          <w:sz w:val="20"/>
          <w:szCs w:val="20"/>
        </w:rPr>
        <w:t>Mental health</w:t>
      </w:r>
    </w:p>
    <w:p w14:paraId="076B1978" w14:textId="51BABFAD" w:rsidR="00BA0919" w:rsidRPr="00D876F4" w:rsidRDefault="00BA0919" w:rsidP="00FF04F4">
      <w:pPr>
        <w:pStyle w:val="SingleTxtG"/>
        <w:pBdr>
          <w:top w:val="nil"/>
          <w:left w:val="nil"/>
          <w:bottom w:val="nil"/>
          <w:right w:val="nil"/>
          <w:between w:val="nil"/>
          <w:bar w:val="nil"/>
        </w:pBdr>
        <w:spacing w:line="240" w:lineRule="exact"/>
        <w:rPr>
          <w:color w:val="141413"/>
          <w:sz w:val="20"/>
          <w:szCs w:val="20"/>
        </w:rPr>
      </w:pPr>
      <w:r w:rsidRPr="00D876F4">
        <w:rPr>
          <w:color w:val="141413"/>
          <w:sz w:val="20"/>
          <w:szCs w:val="20"/>
        </w:rPr>
        <w:t>41.</w:t>
      </w:r>
      <w:r w:rsidRPr="00D876F4">
        <w:rPr>
          <w:color w:val="141413"/>
          <w:sz w:val="20"/>
          <w:szCs w:val="20"/>
        </w:rPr>
        <w:tab/>
        <w:t>SDG3 target 3.4 aims, by 2030, to promote mental health and well-being, and sets an indicator of the number of deaths attributed annually to suicide, per 100,000.</w:t>
      </w:r>
      <w:r w:rsidRPr="00FD6708">
        <w:rPr>
          <w:bCs/>
          <w:color w:val="141413"/>
          <w:sz w:val="20"/>
          <w:szCs w:val="20"/>
          <w:vertAlign w:val="superscript"/>
        </w:rPr>
        <w:footnoteReference w:id="94"/>
      </w:r>
      <w:r w:rsidRPr="00FD6708">
        <w:rPr>
          <w:bCs/>
          <w:color w:val="141413"/>
          <w:sz w:val="20"/>
          <w:szCs w:val="20"/>
        </w:rPr>
        <w:t xml:space="preserve"> </w:t>
      </w:r>
      <w:r w:rsidRPr="00D876F4">
        <w:rPr>
          <w:color w:val="141413"/>
          <w:sz w:val="20"/>
          <w:szCs w:val="20"/>
        </w:rPr>
        <w:t xml:space="preserve">The pervasive discrimination and violence LGBTI people face, whether from family and community members or public officials, has a profoundly detrimental impact on their mental health and well-being. States have a duty to “create and sustain enabling environments that incorporate a rights-based approach to mental health, promoting a life of dignity and well-being for all people, including LGBTI people, throughout </w:t>
      </w:r>
      <w:r w:rsidRPr="00D876F4">
        <w:rPr>
          <w:color w:val="000000"/>
          <w:sz w:val="20"/>
          <w:szCs w:val="20"/>
        </w:rPr>
        <w:t>their</w:t>
      </w:r>
      <w:r w:rsidRPr="00D876F4">
        <w:rPr>
          <w:color w:val="141413"/>
          <w:sz w:val="20"/>
          <w:szCs w:val="20"/>
        </w:rPr>
        <w:t xml:space="preserve"> lifetimes.”</w:t>
      </w:r>
      <w:r w:rsidRPr="00D876F4">
        <w:rPr>
          <w:color w:val="141413"/>
          <w:sz w:val="20"/>
          <w:szCs w:val="20"/>
          <w:vertAlign w:val="superscript"/>
        </w:rPr>
        <w:footnoteReference w:id="95"/>
      </w:r>
      <w:r w:rsidRPr="00D876F4">
        <w:rPr>
          <w:color w:val="141413"/>
          <w:sz w:val="20"/>
          <w:szCs w:val="20"/>
        </w:rPr>
        <w:t xml:space="preserve"> </w:t>
      </w:r>
    </w:p>
    <w:p w14:paraId="32BCBC5A" w14:textId="3C006405" w:rsidR="00BA0919" w:rsidRPr="00D876F4" w:rsidRDefault="00BA0919" w:rsidP="00FF04F4">
      <w:pPr>
        <w:pStyle w:val="SingleTxtG"/>
        <w:pBdr>
          <w:top w:val="nil"/>
          <w:left w:val="nil"/>
          <w:bottom w:val="nil"/>
          <w:right w:val="nil"/>
          <w:between w:val="nil"/>
          <w:bar w:val="nil"/>
        </w:pBdr>
        <w:spacing w:line="240" w:lineRule="exact"/>
        <w:rPr>
          <w:color w:val="141413"/>
          <w:sz w:val="20"/>
          <w:szCs w:val="20"/>
        </w:rPr>
      </w:pPr>
      <w:r w:rsidRPr="00D876F4">
        <w:rPr>
          <w:color w:val="141413"/>
          <w:sz w:val="20"/>
          <w:szCs w:val="20"/>
        </w:rPr>
        <w:t>42.</w:t>
      </w:r>
      <w:r w:rsidRPr="00D876F4">
        <w:rPr>
          <w:color w:val="141413"/>
          <w:sz w:val="20"/>
          <w:szCs w:val="20"/>
        </w:rPr>
        <w:tab/>
        <w:t>Reports from West Africa, Europe and the Asia-Pacific all conclude that LGBT persons evidence a higher risk for suicide, often correlated with having survived physical or sexual violence.</w:t>
      </w:r>
      <w:r w:rsidRPr="00D876F4">
        <w:rPr>
          <w:color w:val="141413"/>
          <w:sz w:val="20"/>
          <w:szCs w:val="20"/>
          <w:vertAlign w:val="superscript"/>
        </w:rPr>
        <w:footnoteReference w:id="96"/>
      </w:r>
      <w:r w:rsidRPr="00D876F4">
        <w:rPr>
          <w:color w:val="141413"/>
          <w:sz w:val="20"/>
          <w:szCs w:val="20"/>
        </w:rPr>
        <w:t xml:space="preserve"> Similar findings from Latin America indicate that a quarter of young LGBTI persons report having attempted suicide at some stage. A study in Chile documented that the adolescent suicide rate is five times higher within that population, while a survey of young LGBT persons in Mexico during the pandemic found </w:t>
      </w:r>
      <w:r w:rsidRPr="00D876F4">
        <w:rPr>
          <w:color w:val="000000"/>
          <w:sz w:val="20"/>
          <w:szCs w:val="20"/>
        </w:rPr>
        <w:t>that</w:t>
      </w:r>
      <w:r w:rsidRPr="00D876F4">
        <w:rPr>
          <w:color w:val="141413"/>
          <w:sz w:val="20"/>
          <w:szCs w:val="20"/>
        </w:rPr>
        <w:t xml:space="preserve"> a quarter had had suicidal thoughts and 8% had attempted suicide.</w:t>
      </w:r>
      <w:r w:rsidRPr="00D876F4">
        <w:rPr>
          <w:color w:val="141413"/>
          <w:sz w:val="20"/>
          <w:szCs w:val="20"/>
          <w:vertAlign w:val="superscript"/>
        </w:rPr>
        <w:footnoteReference w:id="97"/>
      </w:r>
      <w:r w:rsidRPr="00D876F4">
        <w:rPr>
          <w:color w:val="141413"/>
          <w:sz w:val="20"/>
          <w:szCs w:val="20"/>
        </w:rPr>
        <w:t xml:space="preserve"> Studies in Europe and the United States have found </w:t>
      </w:r>
      <w:r w:rsidRPr="00D876F4">
        <w:rPr>
          <w:color w:val="141413"/>
          <w:sz w:val="20"/>
          <w:szCs w:val="20"/>
        </w:rPr>
        <w:lastRenderedPageBreak/>
        <w:t>high rates of attempted suicide among intersex people, linked to the particular mental health challenges they face as a result of</w:t>
      </w:r>
      <w:r w:rsidR="00FD6708">
        <w:rPr>
          <w:color w:val="141413"/>
          <w:sz w:val="20"/>
          <w:szCs w:val="20"/>
        </w:rPr>
        <w:t xml:space="preserve"> </w:t>
      </w:r>
      <w:r w:rsidRPr="00D876F4">
        <w:rPr>
          <w:color w:val="141413"/>
          <w:sz w:val="20"/>
          <w:szCs w:val="20"/>
        </w:rPr>
        <w:t>discrimination, often compounded by racism and ableism.</w:t>
      </w:r>
      <w:r w:rsidRPr="00D876F4">
        <w:rPr>
          <w:color w:val="141413"/>
          <w:sz w:val="20"/>
          <w:szCs w:val="20"/>
          <w:vertAlign w:val="superscript"/>
        </w:rPr>
        <w:footnoteReference w:id="98"/>
      </w:r>
    </w:p>
    <w:p w14:paraId="0D92A589" w14:textId="25D26E0C" w:rsidR="00BA0919" w:rsidRPr="00D876F4" w:rsidRDefault="00BA0919" w:rsidP="00FF04F4">
      <w:pPr>
        <w:pStyle w:val="SingleTxtG"/>
        <w:pBdr>
          <w:top w:val="nil"/>
          <w:left w:val="nil"/>
          <w:bottom w:val="nil"/>
          <w:right w:val="nil"/>
          <w:between w:val="nil"/>
          <w:bar w:val="nil"/>
        </w:pBdr>
        <w:spacing w:line="240" w:lineRule="exact"/>
        <w:rPr>
          <w:color w:val="FF0000"/>
          <w:sz w:val="20"/>
          <w:szCs w:val="20"/>
        </w:rPr>
      </w:pPr>
      <w:r w:rsidRPr="00D876F4">
        <w:rPr>
          <w:color w:val="141413"/>
          <w:sz w:val="20"/>
          <w:szCs w:val="20"/>
        </w:rPr>
        <w:t>43.</w:t>
      </w:r>
      <w:r w:rsidRPr="00D876F4">
        <w:rPr>
          <w:color w:val="141413"/>
          <w:sz w:val="20"/>
          <w:szCs w:val="20"/>
        </w:rPr>
        <w:tab/>
        <w:t>Reports received by the IE covered a broader range of mental health issues beyond suicide. For example, findings suggest that older adults affected by DV/SOGI face higher levels of psychological distress compared to older adults in general, compounded by multiple barriers to accessing equitable, culturally appropriate mental health and ageing services,</w:t>
      </w:r>
      <w:r w:rsidRPr="00D876F4">
        <w:rPr>
          <w:color w:val="141413"/>
          <w:sz w:val="20"/>
          <w:szCs w:val="20"/>
          <w:vertAlign w:val="superscript"/>
        </w:rPr>
        <w:footnoteReference w:id="99"/>
      </w:r>
      <w:r w:rsidRPr="00D876F4">
        <w:rPr>
          <w:color w:val="141413"/>
          <w:sz w:val="20"/>
          <w:szCs w:val="20"/>
        </w:rPr>
        <w:t xml:space="preserve"> as well as  a lack of emotional support from family or community members.</w:t>
      </w:r>
      <w:r w:rsidRPr="00D876F4">
        <w:rPr>
          <w:color w:val="141413"/>
          <w:sz w:val="20"/>
          <w:szCs w:val="20"/>
          <w:vertAlign w:val="superscript"/>
        </w:rPr>
        <w:footnoteReference w:id="100"/>
      </w:r>
      <w:r w:rsidRPr="00D876F4">
        <w:rPr>
          <w:color w:val="141413"/>
          <w:sz w:val="20"/>
          <w:szCs w:val="20"/>
        </w:rPr>
        <w:t xml:space="preserve"> Similarly, a survey of trans men and non-binary people in Argentina found that almost half of respondents reported serious mental health issues including depression, anxiety, and post-traumatic stress disorder.</w:t>
      </w:r>
      <w:r w:rsidRPr="00D876F4">
        <w:rPr>
          <w:color w:val="141413"/>
          <w:sz w:val="20"/>
          <w:szCs w:val="20"/>
          <w:vertAlign w:val="superscript"/>
        </w:rPr>
        <w:footnoteReference w:id="101"/>
      </w:r>
      <w:r w:rsidRPr="00D876F4">
        <w:rPr>
          <w:color w:val="141413"/>
          <w:sz w:val="20"/>
          <w:szCs w:val="20"/>
        </w:rPr>
        <w:t xml:space="preserve"> </w:t>
      </w:r>
    </w:p>
    <w:p w14:paraId="4DE52E45" w14:textId="0C70D383" w:rsidR="00BA0919" w:rsidRPr="00D876F4" w:rsidRDefault="00A84CE6" w:rsidP="00A84CE6">
      <w:pPr>
        <w:pStyle w:val="H23G"/>
        <w:rPr>
          <w:sz w:val="20"/>
          <w:szCs w:val="20"/>
        </w:rPr>
      </w:pPr>
      <w:r w:rsidRPr="00D876F4">
        <w:rPr>
          <w:sz w:val="20"/>
          <w:szCs w:val="20"/>
        </w:rPr>
        <w:tab/>
      </w:r>
      <w:r w:rsidRPr="00D876F4">
        <w:rPr>
          <w:sz w:val="20"/>
          <w:szCs w:val="20"/>
        </w:rPr>
        <w:tab/>
      </w:r>
      <w:r w:rsidR="00BA0919" w:rsidRPr="00D876F4">
        <w:rPr>
          <w:sz w:val="20"/>
          <w:szCs w:val="20"/>
        </w:rPr>
        <w:t>Substance abuse</w:t>
      </w:r>
    </w:p>
    <w:p w14:paraId="6C2CDB10" w14:textId="14D48FB0" w:rsidR="00BA0919" w:rsidRPr="00D876F4" w:rsidRDefault="00BA0919" w:rsidP="00FF04F4">
      <w:pPr>
        <w:pStyle w:val="SingleTxtG"/>
        <w:pBdr>
          <w:top w:val="nil"/>
          <w:left w:val="nil"/>
          <w:bottom w:val="nil"/>
          <w:right w:val="nil"/>
          <w:between w:val="nil"/>
          <w:bar w:val="nil"/>
        </w:pBdr>
        <w:spacing w:line="240" w:lineRule="exact"/>
        <w:rPr>
          <w:color w:val="141413"/>
          <w:sz w:val="20"/>
          <w:szCs w:val="20"/>
        </w:rPr>
      </w:pPr>
      <w:r w:rsidRPr="00D876F4">
        <w:rPr>
          <w:color w:val="141413"/>
          <w:sz w:val="20"/>
          <w:szCs w:val="20"/>
        </w:rPr>
        <w:t>44.</w:t>
      </w:r>
      <w:r w:rsidRPr="00D876F4">
        <w:rPr>
          <w:color w:val="141413"/>
          <w:sz w:val="20"/>
          <w:szCs w:val="20"/>
        </w:rPr>
        <w:tab/>
        <w:t xml:space="preserve">SDG3 Target 3.5 aims to strengthen the prevention and treatment of substance abuse, including narcotic drug abuse and harmful use of alcohol. An indicator associated with this target is coverage of treatment interventions for substance use disorders. </w:t>
      </w:r>
    </w:p>
    <w:p w14:paraId="0FDCF864" w14:textId="44BA1CD1" w:rsidR="00BA0919" w:rsidRPr="00D876F4" w:rsidRDefault="00BA0919" w:rsidP="00FF04F4">
      <w:pPr>
        <w:pStyle w:val="SingleTxtG"/>
        <w:pBdr>
          <w:top w:val="nil"/>
          <w:left w:val="nil"/>
          <w:bottom w:val="nil"/>
          <w:right w:val="nil"/>
          <w:between w:val="nil"/>
          <w:bar w:val="nil"/>
        </w:pBdr>
        <w:spacing w:line="240" w:lineRule="exact"/>
        <w:rPr>
          <w:color w:val="141413"/>
          <w:sz w:val="20"/>
          <w:szCs w:val="20"/>
        </w:rPr>
      </w:pPr>
      <w:r w:rsidRPr="00D876F4">
        <w:rPr>
          <w:color w:val="141413"/>
          <w:sz w:val="20"/>
          <w:szCs w:val="20"/>
        </w:rPr>
        <w:t>45.</w:t>
      </w:r>
      <w:r w:rsidRPr="00D876F4">
        <w:rPr>
          <w:color w:val="141413"/>
          <w:sz w:val="20"/>
          <w:szCs w:val="20"/>
        </w:rPr>
        <w:tab/>
        <w:t>Evidence suggests that persons who identify as LGBT or otherwise suffer from DV/SOGI are at increased risk for substance use, linked  to the mental health pressures resulting from societal discrimination.</w:t>
      </w:r>
      <w:r w:rsidRPr="00D876F4">
        <w:rPr>
          <w:color w:val="141413"/>
          <w:sz w:val="20"/>
          <w:szCs w:val="20"/>
          <w:vertAlign w:val="superscript"/>
        </w:rPr>
        <w:footnoteReference w:id="102"/>
      </w:r>
      <w:r w:rsidRPr="00D876F4">
        <w:rPr>
          <w:color w:val="141413"/>
          <w:sz w:val="20"/>
          <w:szCs w:val="20"/>
        </w:rPr>
        <w:t xml:space="preserve"> For example, a survey in Australia showed that lesbian, gay and bisexual persons are 1.5 times more likely to exceed lifetime risk guidelines on  drinking alcohol than heterosexual persons,</w:t>
      </w:r>
      <w:r w:rsidRPr="00D876F4">
        <w:rPr>
          <w:color w:val="141413"/>
          <w:sz w:val="20"/>
          <w:szCs w:val="20"/>
          <w:vertAlign w:val="superscript"/>
        </w:rPr>
        <w:footnoteReference w:id="103"/>
      </w:r>
      <w:r w:rsidRPr="00D876F4">
        <w:rPr>
          <w:color w:val="141413"/>
          <w:sz w:val="20"/>
          <w:szCs w:val="20"/>
        </w:rPr>
        <w:t xml:space="preserve"> and in the United States, studies suggest that bisexual and lesbian women experience higher rates of smoking, cocaine</w:t>
      </w:r>
      <w:r w:rsidR="00225D62">
        <w:rPr>
          <w:color w:val="141413"/>
          <w:sz w:val="20"/>
          <w:szCs w:val="20"/>
        </w:rPr>
        <w:t xml:space="preserve"> </w:t>
      </w:r>
      <w:r w:rsidRPr="00D876F4">
        <w:rPr>
          <w:color w:val="141413"/>
          <w:sz w:val="20"/>
          <w:szCs w:val="20"/>
        </w:rPr>
        <w:t>use, and  alcohol abuse.</w:t>
      </w:r>
      <w:r w:rsidRPr="00D876F4">
        <w:rPr>
          <w:color w:val="141413"/>
          <w:sz w:val="20"/>
          <w:szCs w:val="20"/>
          <w:vertAlign w:val="superscript"/>
        </w:rPr>
        <w:footnoteReference w:id="104"/>
      </w:r>
      <w:r w:rsidRPr="00D876F4">
        <w:rPr>
          <w:color w:val="141413"/>
          <w:sz w:val="20"/>
          <w:szCs w:val="20"/>
        </w:rPr>
        <w:t xml:space="preserve">       </w:t>
      </w:r>
    </w:p>
    <w:p w14:paraId="2B31C64F" w14:textId="3FA66B66" w:rsidR="00BA0919" w:rsidRPr="00D876F4" w:rsidRDefault="00A84CE6" w:rsidP="00A84CE6">
      <w:pPr>
        <w:pStyle w:val="H23G"/>
        <w:rPr>
          <w:sz w:val="20"/>
          <w:szCs w:val="20"/>
        </w:rPr>
      </w:pPr>
      <w:r w:rsidRPr="00D876F4">
        <w:rPr>
          <w:sz w:val="20"/>
          <w:szCs w:val="20"/>
        </w:rPr>
        <w:tab/>
      </w:r>
      <w:r w:rsidRPr="00D876F4">
        <w:rPr>
          <w:sz w:val="20"/>
          <w:szCs w:val="20"/>
        </w:rPr>
        <w:tab/>
      </w:r>
      <w:r w:rsidR="00BA0919" w:rsidRPr="00D876F4">
        <w:rPr>
          <w:sz w:val="20"/>
          <w:szCs w:val="20"/>
        </w:rPr>
        <w:t xml:space="preserve">Sexual and reproductive health </w:t>
      </w:r>
    </w:p>
    <w:p w14:paraId="2F917E18" w14:textId="5091E791" w:rsidR="00BA0919" w:rsidRPr="00D876F4" w:rsidRDefault="00BA0919" w:rsidP="00FF04F4">
      <w:pPr>
        <w:pStyle w:val="SingleTxtG"/>
        <w:pBdr>
          <w:top w:val="nil"/>
          <w:left w:val="nil"/>
          <w:bottom w:val="nil"/>
          <w:right w:val="nil"/>
          <w:between w:val="nil"/>
          <w:bar w:val="nil"/>
        </w:pBdr>
        <w:spacing w:line="240" w:lineRule="exact"/>
        <w:rPr>
          <w:color w:val="141413"/>
          <w:sz w:val="20"/>
          <w:szCs w:val="20"/>
        </w:rPr>
      </w:pPr>
      <w:bookmarkStart w:id="1" w:name="_heading=h.30j0zll" w:colFirst="0" w:colLast="0"/>
      <w:bookmarkEnd w:id="1"/>
      <w:r w:rsidRPr="00D876F4">
        <w:rPr>
          <w:color w:val="141413"/>
          <w:sz w:val="20"/>
          <w:szCs w:val="20"/>
        </w:rPr>
        <w:t>46.</w:t>
      </w:r>
      <w:r w:rsidRPr="00D876F4">
        <w:rPr>
          <w:color w:val="141413"/>
          <w:sz w:val="20"/>
          <w:szCs w:val="20"/>
        </w:rPr>
        <w:tab/>
        <w:t xml:space="preserve">SDG3 Target 3.7 aims to ensure universal access to sexual and reproductive health-care services, including for family planning, information and education, and the integration of reproductive health into national strategies and programs. It is complemented by SDG5 target 5.6 which clarifies that such access should be ensured in accordance with the 1994 International Conference on Population and Development (ICPD) Programme of Action, the 1995 Beijing Platform for Action, and the outcome </w:t>
      </w:r>
      <w:r w:rsidRPr="00D876F4">
        <w:rPr>
          <w:color w:val="000000"/>
          <w:sz w:val="20"/>
          <w:szCs w:val="20"/>
        </w:rPr>
        <w:t>documents</w:t>
      </w:r>
      <w:r w:rsidRPr="00D876F4">
        <w:rPr>
          <w:color w:val="141413"/>
          <w:sz w:val="20"/>
          <w:szCs w:val="20"/>
        </w:rPr>
        <w:t xml:space="preserve"> of their review conferences. These instruments assert the right of women to have control over and decide freely on matters of sexuality and reproduction free of discrimination, coercion and violence, and the need for state policies and programmes to recognize the diversity of family compositions and structures.</w:t>
      </w:r>
      <w:r w:rsidRPr="00D876F4">
        <w:rPr>
          <w:color w:val="141413"/>
          <w:sz w:val="20"/>
          <w:szCs w:val="20"/>
          <w:vertAlign w:val="superscript"/>
        </w:rPr>
        <w:footnoteReference w:id="105"/>
      </w:r>
      <w:r w:rsidRPr="00D876F4">
        <w:rPr>
          <w:color w:val="141413"/>
          <w:sz w:val="20"/>
          <w:szCs w:val="20"/>
        </w:rPr>
        <w:t xml:space="preserve"> </w:t>
      </w:r>
    </w:p>
    <w:p w14:paraId="7B9F3DCD" w14:textId="4A8904D6" w:rsidR="00BA0919" w:rsidRPr="00D876F4" w:rsidRDefault="00BA0919" w:rsidP="00FF04F4">
      <w:pPr>
        <w:pStyle w:val="SingleTxtG"/>
        <w:pBdr>
          <w:top w:val="nil"/>
          <w:left w:val="nil"/>
          <w:bottom w:val="nil"/>
          <w:right w:val="nil"/>
          <w:between w:val="nil"/>
          <w:bar w:val="nil"/>
        </w:pBdr>
        <w:spacing w:line="240" w:lineRule="exact"/>
        <w:rPr>
          <w:color w:val="141413"/>
          <w:sz w:val="20"/>
          <w:szCs w:val="20"/>
        </w:rPr>
      </w:pPr>
      <w:bookmarkStart w:id="2" w:name="_heading=h.ijrgs7h2iuyg" w:colFirst="0" w:colLast="0"/>
      <w:bookmarkEnd w:id="2"/>
      <w:r w:rsidRPr="00D876F4">
        <w:rPr>
          <w:color w:val="141413"/>
          <w:sz w:val="20"/>
          <w:szCs w:val="20"/>
        </w:rPr>
        <w:t>47.</w:t>
      </w:r>
      <w:r w:rsidRPr="00D876F4">
        <w:rPr>
          <w:color w:val="141413"/>
          <w:sz w:val="20"/>
          <w:szCs w:val="20"/>
        </w:rPr>
        <w:tab/>
        <w:t xml:space="preserve">Indicators for tracking progress on SDG3 and 5 include the adolescent birth rate; the proportion of women aged 15–49 years who make their own </w:t>
      </w:r>
      <w:r w:rsidRPr="00D876F4">
        <w:rPr>
          <w:color w:val="000000"/>
          <w:sz w:val="20"/>
          <w:szCs w:val="20"/>
        </w:rPr>
        <w:t>informed</w:t>
      </w:r>
      <w:r w:rsidRPr="00D876F4">
        <w:rPr>
          <w:color w:val="141413"/>
          <w:sz w:val="20"/>
          <w:szCs w:val="20"/>
        </w:rPr>
        <w:t xml:space="preserve"> decisions regarding sexual relations, contraceptive use</w:t>
      </w:r>
      <w:r w:rsidR="00225D62">
        <w:rPr>
          <w:color w:val="141413"/>
          <w:sz w:val="20"/>
          <w:szCs w:val="20"/>
        </w:rPr>
        <w:t>,</w:t>
      </w:r>
      <w:r w:rsidRPr="00D876F4">
        <w:rPr>
          <w:color w:val="141413"/>
          <w:sz w:val="20"/>
          <w:szCs w:val="20"/>
        </w:rPr>
        <w:t xml:space="preserve"> and reproductive health care; and the number of countries with laws and regulations that guarantee full and equal access to women and men aged 15 years and older to sexual and reproductive health care, information</w:t>
      </w:r>
      <w:r w:rsidR="00225D62">
        <w:rPr>
          <w:color w:val="141413"/>
          <w:sz w:val="20"/>
          <w:szCs w:val="20"/>
        </w:rPr>
        <w:t>,</w:t>
      </w:r>
      <w:r w:rsidRPr="00D876F4">
        <w:rPr>
          <w:color w:val="141413"/>
          <w:sz w:val="20"/>
          <w:szCs w:val="20"/>
        </w:rPr>
        <w:t xml:space="preserve"> and education.</w:t>
      </w:r>
    </w:p>
    <w:p w14:paraId="2712CE92" w14:textId="1A44FC55" w:rsidR="00BA0919" w:rsidRPr="00D876F4" w:rsidRDefault="00BA0919" w:rsidP="00FF04F4">
      <w:pPr>
        <w:pStyle w:val="SingleTxtG"/>
        <w:pBdr>
          <w:top w:val="nil"/>
          <w:left w:val="nil"/>
          <w:bottom w:val="nil"/>
          <w:right w:val="nil"/>
          <w:between w:val="nil"/>
          <w:bar w:val="nil"/>
        </w:pBdr>
        <w:spacing w:line="240" w:lineRule="exact"/>
        <w:rPr>
          <w:color w:val="141413"/>
          <w:sz w:val="20"/>
          <w:szCs w:val="20"/>
        </w:rPr>
      </w:pPr>
      <w:bookmarkStart w:id="3" w:name="_heading=h.z66i14ao0hla" w:colFirst="0" w:colLast="0"/>
      <w:bookmarkEnd w:id="3"/>
      <w:r w:rsidRPr="00D876F4">
        <w:rPr>
          <w:color w:val="141413"/>
          <w:sz w:val="20"/>
          <w:szCs w:val="20"/>
        </w:rPr>
        <w:lastRenderedPageBreak/>
        <w:t>48.</w:t>
      </w:r>
      <w:r w:rsidRPr="00D876F4">
        <w:rPr>
          <w:color w:val="141413"/>
          <w:sz w:val="20"/>
          <w:szCs w:val="20"/>
        </w:rPr>
        <w:tab/>
        <w:t xml:space="preserve">The IE has gathered abundant evidence of the many ways in which lesbian, bisexual, trans and gender non-confirming women are deprived of their sexual and reproductive rights due to discrimination and violence. These include targeted rape </w:t>
      </w:r>
      <w:r w:rsidRPr="00D876F4">
        <w:rPr>
          <w:color w:val="000000"/>
          <w:sz w:val="20"/>
          <w:szCs w:val="20"/>
        </w:rPr>
        <w:t>motivated</w:t>
      </w:r>
      <w:r w:rsidRPr="00D876F4">
        <w:rPr>
          <w:color w:val="141413"/>
          <w:sz w:val="20"/>
          <w:szCs w:val="20"/>
        </w:rPr>
        <w:t xml:space="preserve"> by their real or perceived sexual orientation, gender identity or expression; denial of access to sexual and reproductive health services and facilities due to the requirement that they be accompanied by a male partner or relative; and exclusion from sexual and reproductive health strategies targeted solely at heterosexual, cisgender women and aimed, in some cases, at deliberately stigmatizing other sexual orientations or gender identities.</w:t>
      </w:r>
      <w:r w:rsidRPr="00D876F4">
        <w:rPr>
          <w:color w:val="141413"/>
          <w:sz w:val="20"/>
          <w:szCs w:val="20"/>
          <w:vertAlign w:val="superscript"/>
        </w:rPr>
        <w:footnoteReference w:id="106"/>
      </w:r>
    </w:p>
    <w:p w14:paraId="5D33FC96" w14:textId="084C98A0" w:rsidR="00BA0919" w:rsidRPr="00D876F4" w:rsidRDefault="00BA0919" w:rsidP="00DC6122">
      <w:pPr>
        <w:pStyle w:val="SingleTxtG"/>
        <w:pBdr>
          <w:top w:val="nil"/>
          <w:left w:val="nil"/>
          <w:bottom w:val="nil"/>
          <w:right w:val="nil"/>
          <w:between w:val="nil"/>
          <w:bar w:val="nil"/>
        </w:pBdr>
        <w:spacing w:line="240" w:lineRule="exact"/>
        <w:rPr>
          <w:color w:val="141413"/>
          <w:sz w:val="20"/>
          <w:szCs w:val="20"/>
          <w:vertAlign w:val="superscript"/>
        </w:rPr>
      </w:pPr>
      <w:bookmarkStart w:id="4" w:name="_heading=h.qk1p23uatg8z" w:colFirst="0" w:colLast="0"/>
      <w:bookmarkEnd w:id="4"/>
      <w:r w:rsidRPr="00D876F4">
        <w:rPr>
          <w:color w:val="141413"/>
          <w:sz w:val="20"/>
          <w:szCs w:val="20"/>
        </w:rPr>
        <w:t>49.</w:t>
      </w:r>
      <w:r w:rsidRPr="00D876F4">
        <w:rPr>
          <w:color w:val="141413"/>
          <w:sz w:val="20"/>
          <w:szCs w:val="20"/>
        </w:rPr>
        <w:tab/>
        <w:t xml:space="preserve">A  number of submissions highlighted recent struggles around access to abortion in different national contexts and their implications for the rights of </w:t>
      </w:r>
      <w:r w:rsidRPr="00D876F4">
        <w:rPr>
          <w:color w:val="000000"/>
          <w:sz w:val="20"/>
          <w:szCs w:val="20"/>
        </w:rPr>
        <w:t>women</w:t>
      </w:r>
      <w:r w:rsidRPr="00D876F4">
        <w:rPr>
          <w:color w:val="141413"/>
          <w:sz w:val="20"/>
          <w:szCs w:val="20"/>
        </w:rPr>
        <w:t xml:space="preserve"> and all those facing DV/SOGI.</w:t>
      </w:r>
      <w:r w:rsidRPr="00D876F4">
        <w:rPr>
          <w:color w:val="141413"/>
          <w:sz w:val="20"/>
          <w:szCs w:val="20"/>
          <w:vertAlign w:val="superscript"/>
        </w:rPr>
        <w:footnoteReference w:id="107"/>
      </w:r>
      <w:r w:rsidRPr="00D876F4">
        <w:rPr>
          <w:color w:val="141413"/>
          <w:sz w:val="20"/>
          <w:szCs w:val="20"/>
        </w:rPr>
        <w:t xml:space="preserve"> In line with the long-standing commitments of the ICPD and Beijing processes and the juri</w:t>
      </w:r>
      <w:r w:rsidR="009915EB" w:rsidRPr="00D876F4">
        <w:rPr>
          <w:color w:val="141413"/>
          <w:sz w:val="20"/>
          <w:szCs w:val="20"/>
        </w:rPr>
        <w:t>s</w:t>
      </w:r>
      <w:r w:rsidRPr="00D876F4">
        <w:rPr>
          <w:color w:val="141413"/>
          <w:sz w:val="20"/>
          <w:szCs w:val="20"/>
        </w:rPr>
        <w:t xml:space="preserve">prudence of numerous human rights bodies, the IE considers that the ability to freely decide on termination of pregnancy, and to access abortion-related services which are safe, legally available and accessible to all without discrimination, are a fundamental element of sexual and reproductive health and rights, without which the SDG goals on health and gender equality cannot be achieved. </w:t>
      </w:r>
    </w:p>
    <w:p w14:paraId="0FEE00BE" w14:textId="47D5C5DE" w:rsidR="009915EB" w:rsidRPr="00D876F4" w:rsidRDefault="009915EB" w:rsidP="00A77303">
      <w:pPr>
        <w:pStyle w:val="SingleTxtG"/>
        <w:pBdr>
          <w:top w:val="nil"/>
          <w:left w:val="nil"/>
          <w:bottom w:val="nil"/>
          <w:right w:val="nil"/>
          <w:between w:val="nil"/>
          <w:bar w:val="nil"/>
        </w:pBdr>
        <w:spacing w:line="240" w:lineRule="exact"/>
        <w:rPr>
          <w:color w:val="141413"/>
          <w:sz w:val="20"/>
          <w:szCs w:val="20"/>
        </w:rPr>
      </w:pPr>
      <w:r w:rsidRPr="00D876F4">
        <w:rPr>
          <w:color w:val="141413"/>
          <w:sz w:val="20"/>
          <w:szCs w:val="20"/>
          <w:highlight w:val="white"/>
        </w:rPr>
        <w:t>5</w:t>
      </w:r>
      <w:r w:rsidR="00A77303" w:rsidRPr="00D876F4">
        <w:rPr>
          <w:color w:val="141413"/>
          <w:sz w:val="20"/>
          <w:szCs w:val="20"/>
          <w:highlight w:val="white"/>
        </w:rPr>
        <w:t>0</w:t>
      </w:r>
      <w:r w:rsidRPr="00D876F4">
        <w:rPr>
          <w:color w:val="141413"/>
          <w:sz w:val="20"/>
          <w:szCs w:val="20"/>
          <w:highlight w:val="white"/>
        </w:rPr>
        <w:t>.</w:t>
      </w:r>
      <w:r w:rsidRPr="00D876F4">
        <w:rPr>
          <w:color w:val="141413"/>
          <w:sz w:val="20"/>
          <w:szCs w:val="20"/>
          <w:highlight w:val="white"/>
        </w:rPr>
        <w:tab/>
        <w:t>Forced sterilisation is another pervasive denial of reproductive rights and has been used worldwide as a form of punishment and regulation against indigenous and other marginalized women.</w:t>
      </w:r>
      <w:r w:rsidRPr="00D876F4">
        <w:rPr>
          <w:color w:val="141413"/>
          <w:sz w:val="20"/>
          <w:szCs w:val="20"/>
        </w:rPr>
        <w:t xml:space="preserve"> Sterilisation also remains a requirement to legal gender recognition in many countries, imposing on trans and gender diverse persons the choice between the legal recognition of their gender or </w:t>
      </w:r>
      <w:r w:rsidRPr="00D876F4">
        <w:rPr>
          <w:color w:val="000000"/>
          <w:sz w:val="20"/>
          <w:szCs w:val="20"/>
        </w:rPr>
        <w:t>preserving</w:t>
      </w:r>
      <w:r w:rsidRPr="00D876F4">
        <w:rPr>
          <w:color w:val="141413"/>
          <w:sz w:val="20"/>
          <w:szCs w:val="20"/>
        </w:rPr>
        <w:t xml:space="preserve"> their capacity to have children.</w:t>
      </w:r>
      <w:r w:rsidRPr="00D876F4">
        <w:rPr>
          <w:color w:val="141413"/>
          <w:sz w:val="20"/>
          <w:szCs w:val="20"/>
          <w:vertAlign w:val="superscript"/>
        </w:rPr>
        <w:footnoteReference w:id="108"/>
      </w:r>
      <w:r w:rsidRPr="00D876F4">
        <w:rPr>
          <w:color w:val="141413"/>
          <w:sz w:val="20"/>
          <w:szCs w:val="20"/>
        </w:rPr>
        <w:t xml:space="preserve"> Although UN and regional human rights bodies have affirmed that States must abolish compulsory sterilisation or surgery for those seeking legal gender recognition,</w:t>
      </w:r>
      <w:r w:rsidRPr="00D876F4">
        <w:rPr>
          <w:color w:val="141413"/>
          <w:sz w:val="20"/>
          <w:szCs w:val="20"/>
          <w:vertAlign w:val="superscript"/>
        </w:rPr>
        <w:footnoteReference w:id="109"/>
      </w:r>
      <w:r w:rsidRPr="00D876F4">
        <w:rPr>
          <w:color w:val="141413"/>
          <w:sz w:val="20"/>
          <w:szCs w:val="20"/>
        </w:rPr>
        <w:t xml:space="preserve"> submissions made reference to sterilisation requirements in Japan,</w:t>
      </w:r>
      <w:r w:rsidRPr="00D876F4">
        <w:rPr>
          <w:color w:val="141413"/>
          <w:sz w:val="20"/>
          <w:szCs w:val="20"/>
          <w:vertAlign w:val="superscript"/>
        </w:rPr>
        <w:footnoteReference w:id="110"/>
      </w:r>
      <w:r w:rsidRPr="00D876F4">
        <w:rPr>
          <w:color w:val="141413"/>
          <w:sz w:val="20"/>
          <w:szCs w:val="20"/>
        </w:rPr>
        <w:t xml:space="preserve"> Singapore,</w:t>
      </w:r>
      <w:r w:rsidRPr="00D876F4">
        <w:rPr>
          <w:color w:val="141413"/>
          <w:sz w:val="20"/>
          <w:szCs w:val="20"/>
          <w:vertAlign w:val="superscript"/>
        </w:rPr>
        <w:footnoteReference w:id="111"/>
      </w:r>
      <w:r w:rsidRPr="00D876F4">
        <w:rPr>
          <w:color w:val="141413"/>
          <w:sz w:val="20"/>
          <w:szCs w:val="20"/>
        </w:rPr>
        <w:t xml:space="preserve"> and 13 Member States of the Council of Europe.</w:t>
      </w:r>
      <w:r w:rsidRPr="00D876F4">
        <w:rPr>
          <w:color w:val="141413"/>
          <w:sz w:val="20"/>
          <w:szCs w:val="20"/>
          <w:vertAlign w:val="superscript"/>
        </w:rPr>
        <w:footnoteReference w:id="112"/>
      </w:r>
      <w:r w:rsidRPr="00D876F4">
        <w:rPr>
          <w:color w:val="141413"/>
          <w:sz w:val="20"/>
          <w:szCs w:val="20"/>
          <w:vertAlign w:val="superscript"/>
        </w:rPr>
        <w:t xml:space="preserve">   </w:t>
      </w:r>
      <w:r w:rsidRPr="00D876F4">
        <w:rPr>
          <w:color w:val="141413"/>
          <w:sz w:val="20"/>
          <w:szCs w:val="20"/>
        </w:rPr>
        <w:t>Intersex persons are also subjected to sterilization. Several international UN human rights bodies and agencies have noted that reproductive organ surgeries and procedures commonly conducted on intersex persons, often without their consent, may result in the termination of all or some of their reproductive capacity.</w:t>
      </w:r>
      <w:r w:rsidRPr="00D876F4">
        <w:rPr>
          <w:color w:val="141413"/>
          <w:sz w:val="20"/>
          <w:szCs w:val="20"/>
          <w:vertAlign w:val="superscript"/>
        </w:rPr>
        <w:footnoteReference w:id="113"/>
      </w:r>
    </w:p>
    <w:p w14:paraId="2E6DE846" w14:textId="5EEFDC0D" w:rsidR="00BA0919" w:rsidRPr="00D876F4" w:rsidRDefault="00BA0919" w:rsidP="00FF04F4">
      <w:pPr>
        <w:pStyle w:val="SingleTxtG"/>
        <w:pBdr>
          <w:top w:val="nil"/>
          <w:left w:val="nil"/>
          <w:bottom w:val="nil"/>
          <w:right w:val="nil"/>
          <w:between w:val="nil"/>
          <w:bar w:val="nil"/>
        </w:pBdr>
        <w:spacing w:line="240" w:lineRule="exact"/>
        <w:rPr>
          <w:color w:val="141413"/>
          <w:sz w:val="20"/>
          <w:szCs w:val="20"/>
        </w:rPr>
      </w:pPr>
      <w:r w:rsidRPr="00D876F4">
        <w:rPr>
          <w:color w:val="141413"/>
          <w:sz w:val="20"/>
          <w:szCs w:val="20"/>
        </w:rPr>
        <w:t>5</w:t>
      </w:r>
      <w:r w:rsidR="00A77303" w:rsidRPr="00D876F4">
        <w:rPr>
          <w:color w:val="141413"/>
          <w:sz w:val="20"/>
          <w:szCs w:val="20"/>
        </w:rPr>
        <w:t>1</w:t>
      </w:r>
      <w:r w:rsidRPr="00D876F4">
        <w:rPr>
          <w:color w:val="141413"/>
          <w:sz w:val="20"/>
          <w:szCs w:val="20"/>
        </w:rPr>
        <w:t>.</w:t>
      </w:r>
      <w:r w:rsidRPr="00D876F4">
        <w:rPr>
          <w:color w:val="141413"/>
          <w:sz w:val="20"/>
          <w:szCs w:val="20"/>
        </w:rPr>
        <w:tab/>
      </w:r>
      <w:sdt>
        <w:sdtPr>
          <w:rPr>
            <w:sz w:val="20"/>
            <w:szCs w:val="20"/>
          </w:rPr>
          <w:tag w:val="goog_rdk_122"/>
          <w:id w:val="134845940"/>
        </w:sdtPr>
        <w:sdtEndPr/>
        <w:sdtContent/>
      </w:sdt>
      <w:r w:rsidRPr="00D876F4">
        <w:rPr>
          <w:color w:val="141413"/>
          <w:sz w:val="20"/>
          <w:szCs w:val="20"/>
        </w:rPr>
        <w:t>LGBT people are increasingly considering their fertility options as reproductive techniques grow. Laws governing sperm donation, egg donation, and surrogacy vary. Some countries ban surrogacy altogether while others have moved to restrict it.</w:t>
      </w:r>
      <w:r w:rsidRPr="00D876F4">
        <w:rPr>
          <w:color w:val="141413"/>
          <w:sz w:val="20"/>
          <w:szCs w:val="20"/>
          <w:vertAlign w:val="superscript"/>
        </w:rPr>
        <w:footnoteReference w:id="114"/>
      </w:r>
      <w:r w:rsidRPr="00D876F4">
        <w:rPr>
          <w:color w:val="141413"/>
          <w:sz w:val="20"/>
          <w:szCs w:val="20"/>
        </w:rPr>
        <w:t xml:space="preserve"> Access to reproductive health technologies such as in-vitro fertilisation, where available to </w:t>
      </w:r>
      <w:r w:rsidRPr="00D876F4">
        <w:rPr>
          <w:color w:val="000000"/>
          <w:sz w:val="20"/>
          <w:szCs w:val="20"/>
        </w:rPr>
        <w:t>LGBT</w:t>
      </w:r>
      <w:r w:rsidRPr="00D876F4">
        <w:rPr>
          <w:color w:val="141413"/>
          <w:sz w:val="20"/>
          <w:szCs w:val="20"/>
        </w:rPr>
        <w:t xml:space="preserve"> prospective parents, can be prohibitively expensive.</w:t>
      </w:r>
      <w:r w:rsidRPr="00D876F4">
        <w:rPr>
          <w:color w:val="141413"/>
          <w:sz w:val="20"/>
          <w:szCs w:val="20"/>
          <w:vertAlign w:val="superscript"/>
        </w:rPr>
        <w:footnoteReference w:id="115"/>
      </w:r>
      <w:r w:rsidRPr="00D876F4">
        <w:rPr>
          <w:color w:val="141413"/>
          <w:sz w:val="20"/>
          <w:szCs w:val="20"/>
        </w:rPr>
        <w:t xml:space="preserve"> Protection of the family cannot be premised on an understanding that values some families less than others or continues to deny the diversity of family forms celebrated in the ICPD almost three decades ago.</w:t>
      </w:r>
      <w:r w:rsidRPr="00D876F4">
        <w:rPr>
          <w:color w:val="141413"/>
          <w:sz w:val="20"/>
          <w:szCs w:val="20"/>
          <w:vertAlign w:val="superscript"/>
        </w:rPr>
        <w:footnoteReference w:id="116"/>
      </w:r>
      <w:r w:rsidRPr="00D876F4">
        <w:rPr>
          <w:color w:val="141413"/>
          <w:sz w:val="20"/>
          <w:szCs w:val="20"/>
        </w:rPr>
        <w:t xml:space="preserve"> As stated by the High Commissioner, “the consensus regarding the role of families in sustainable development is grounded in a number of common elements, including the need to recognize the diverse and changing forms of the family institution, in accordance with the different social, cultural and economic characteristics of every society'</w:t>
      </w:r>
      <w:r w:rsidR="00980F13">
        <w:rPr>
          <w:color w:val="141413"/>
          <w:sz w:val="20"/>
          <w:szCs w:val="20"/>
        </w:rPr>
        <w:t>”</w:t>
      </w:r>
      <w:r w:rsidRPr="00D876F4">
        <w:rPr>
          <w:color w:val="141413"/>
          <w:sz w:val="20"/>
          <w:szCs w:val="20"/>
        </w:rPr>
        <w:t>.</w:t>
      </w:r>
      <w:r w:rsidRPr="00D876F4">
        <w:rPr>
          <w:color w:val="141413"/>
          <w:sz w:val="20"/>
          <w:szCs w:val="20"/>
          <w:vertAlign w:val="superscript"/>
        </w:rPr>
        <w:footnoteReference w:id="117"/>
      </w:r>
      <w:r w:rsidRPr="00D876F4">
        <w:rPr>
          <w:color w:val="141413"/>
          <w:sz w:val="20"/>
          <w:szCs w:val="20"/>
        </w:rPr>
        <w:t xml:space="preserve">  </w:t>
      </w:r>
    </w:p>
    <w:p w14:paraId="1A4B4906" w14:textId="60F8DF5A" w:rsidR="00BA0919" w:rsidRPr="00D876F4" w:rsidRDefault="00BA0919" w:rsidP="00FF04F4">
      <w:pPr>
        <w:pStyle w:val="SingleTxtG"/>
        <w:pBdr>
          <w:top w:val="nil"/>
          <w:left w:val="nil"/>
          <w:bottom w:val="nil"/>
          <w:right w:val="nil"/>
          <w:between w:val="nil"/>
          <w:bar w:val="nil"/>
        </w:pBdr>
        <w:spacing w:line="240" w:lineRule="exact"/>
        <w:rPr>
          <w:color w:val="141413"/>
          <w:sz w:val="20"/>
          <w:szCs w:val="20"/>
        </w:rPr>
      </w:pPr>
      <w:r w:rsidRPr="00D876F4">
        <w:rPr>
          <w:color w:val="141413"/>
          <w:sz w:val="20"/>
          <w:szCs w:val="20"/>
        </w:rPr>
        <w:lastRenderedPageBreak/>
        <w:t>5</w:t>
      </w:r>
      <w:r w:rsidR="00A77303" w:rsidRPr="00D876F4">
        <w:rPr>
          <w:color w:val="141413"/>
          <w:sz w:val="20"/>
          <w:szCs w:val="20"/>
        </w:rPr>
        <w:t>2</w:t>
      </w:r>
      <w:r w:rsidRPr="00D876F4">
        <w:rPr>
          <w:color w:val="141413"/>
          <w:sz w:val="20"/>
          <w:szCs w:val="20"/>
        </w:rPr>
        <w:t>.</w:t>
      </w:r>
      <w:r w:rsidRPr="00D876F4">
        <w:rPr>
          <w:color w:val="141413"/>
          <w:sz w:val="20"/>
          <w:szCs w:val="20"/>
        </w:rPr>
        <w:tab/>
        <w:t xml:space="preserve">As outlined earlier, many submissions to the IE referred to the widespread lack of sexuality-related information and education that is inclusive of and tailored to the needs and rights of LGBT persons, including young people. Others, however, highlighted good </w:t>
      </w:r>
      <w:r w:rsidRPr="00D876F4">
        <w:rPr>
          <w:color w:val="000000"/>
          <w:sz w:val="20"/>
          <w:szCs w:val="20"/>
        </w:rPr>
        <w:t>practices</w:t>
      </w:r>
      <w:r w:rsidRPr="00D876F4">
        <w:rPr>
          <w:color w:val="141413"/>
          <w:sz w:val="20"/>
          <w:szCs w:val="20"/>
        </w:rPr>
        <w:t xml:space="preserve"> at the national and international levels. For example, in Sweden, school curricula integrate “sexuality, consent and relationships” as core components of good quality comprehensive sexuality education.</w:t>
      </w:r>
      <w:r w:rsidRPr="00D876F4">
        <w:rPr>
          <w:color w:val="141413"/>
          <w:sz w:val="20"/>
          <w:szCs w:val="20"/>
          <w:vertAlign w:val="superscript"/>
        </w:rPr>
        <w:footnoteReference w:id="118"/>
      </w:r>
      <w:r w:rsidRPr="00D876F4">
        <w:rPr>
          <w:color w:val="141413"/>
          <w:sz w:val="20"/>
          <w:szCs w:val="20"/>
        </w:rPr>
        <w:t xml:space="preserve"> </w:t>
      </w:r>
      <w:r w:rsidR="00980F13" w:rsidRPr="00D876F4">
        <w:rPr>
          <w:color w:val="141413"/>
          <w:sz w:val="20"/>
          <w:szCs w:val="20"/>
        </w:rPr>
        <w:t xml:space="preserve">UN Women and UNESCO </w:t>
      </w:r>
      <w:r w:rsidRPr="00D876F4">
        <w:rPr>
          <w:color w:val="141413"/>
          <w:sz w:val="20"/>
          <w:szCs w:val="20"/>
        </w:rPr>
        <w:t>have issued the International Technical Guidance on Sexuality Education</w:t>
      </w:r>
      <w:r w:rsidR="00980F13">
        <w:rPr>
          <w:color w:val="141413"/>
          <w:sz w:val="20"/>
          <w:szCs w:val="20"/>
        </w:rPr>
        <w:t xml:space="preserve">, a tool </w:t>
      </w:r>
      <w:r w:rsidRPr="00D876F4">
        <w:rPr>
          <w:color w:val="141413"/>
          <w:sz w:val="20"/>
          <w:szCs w:val="20"/>
        </w:rPr>
        <w:t xml:space="preserve">developed to assist education, health and other relevant authorities in the design and implementation of school-based and out-of-school comprehensive sexuality education programmes and materials, </w:t>
      </w:r>
      <w:r w:rsidR="00980F13">
        <w:rPr>
          <w:color w:val="141413"/>
          <w:sz w:val="20"/>
          <w:szCs w:val="20"/>
        </w:rPr>
        <w:t xml:space="preserve">inclusive of </w:t>
      </w:r>
      <w:r w:rsidRPr="00D876F4">
        <w:rPr>
          <w:color w:val="141413"/>
          <w:sz w:val="20"/>
          <w:szCs w:val="20"/>
        </w:rPr>
        <w:t>LGBTIQ+ people.</w:t>
      </w:r>
      <w:r w:rsidRPr="00D876F4">
        <w:rPr>
          <w:color w:val="141413"/>
          <w:sz w:val="20"/>
          <w:szCs w:val="20"/>
          <w:vertAlign w:val="superscript"/>
        </w:rPr>
        <w:footnoteReference w:id="119"/>
      </w:r>
      <w:r w:rsidRPr="00D876F4">
        <w:rPr>
          <w:color w:val="141413"/>
          <w:sz w:val="20"/>
          <w:szCs w:val="20"/>
        </w:rPr>
        <w:t xml:space="preserve">  </w:t>
      </w:r>
    </w:p>
    <w:p w14:paraId="553D3AC1" w14:textId="4EB4AD80" w:rsidR="00BA0919" w:rsidRPr="00D876F4" w:rsidRDefault="00A84CE6" w:rsidP="00A84CE6">
      <w:pPr>
        <w:pStyle w:val="H23G"/>
        <w:rPr>
          <w:sz w:val="20"/>
          <w:szCs w:val="20"/>
        </w:rPr>
      </w:pPr>
      <w:r w:rsidRPr="00D876F4">
        <w:rPr>
          <w:sz w:val="20"/>
          <w:szCs w:val="20"/>
        </w:rPr>
        <w:tab/>
      </w:r>
      <w:r w:rsidRPr="00D876F4">
        <w:rPr>
          <w:sz w:val="20"/>
          <w:szCs w:val="20"/>
        </w:rPr>
        <w:tab/>
      </w:r>
      <w:r w:rsidR="00BA0919" w:rsidRPr="00D876F4">
        <w:rPr>
          <w:sz w:val="20"/>
          <w:szCs w:val="20"/>
        </w:rPr>
        <w:t>Universal Health Coverage</w:t>
      </w:r>
    </w:p>
    <w:p w14:paraId="2903D435" w14:textId="0EE35F19" w:rsidR="00BA0919" w:rsidRPr="00D876F4" w:rsidRDefault="00BA0919" w:rsidP="00FF04F4">
      <w:pPr>
        <w:pStyle w:val="SingleTxtG"/>
        <w:pBdr>
          <w:top w:val="nil"/>
          <w:left w:val="nil"/>
          <w:bottom w:val="nil"/>
          <w:right w:val="nil"/>
          <w:between w:val="nil"/>
          <w:bar w:val="nil"/>
        </w:pBdr>
        <w:spacing w:line="240" w:lineRule="exact"/>
        <w:rPr>
          <w:color w:val="141413"/>
          <w:sz w:val="20"/>
          <w:szCs w:val="20"/>
        </w:rPr>
      </w:pPr>
      <w:r w:rsidRPr="00D876F4">
        <w:rPr>
          <w:color w:val="141413"/>
          <w:sz w:val="20"/>
          <w:szCs w:val="20"/>
        </w:rPr>
        <w:t>5</w:t>
      </w:r>
      <w:r w:rsidR="00A77303" w:rsidRPr="00D876F4">
        <w:rPr>
          <w:color w:val="141413"/>
          <w:sz w:val="20"/>
          <w:szCs w:val="20"/>
        </w:rPr>
        <w:t>3</w:t>
      </w:r>
      <w:r w:rsidRPr="00D876F4">
        <w:rPr>
          <w:color w:val="141413"/>
          <w:sz w:val="20"/>
          <w:szCs w:val="20"/>
        </w:rPr>
        <w:t>.</w:t>
      </w:r>
      <w:r w:rsidRPr="00D876F4">
        <w:rPr>
          <w:color w:val="141413"/>
          <w:sz w:val="20"/>
          <w:szCs w:val="20"/>
        </w:rPr>
        <w:tab/>
        <w:t>SDG</w:t>
      </w:r>
      <w:r w:rsidR="00E91648">
        <w:rPr>
          <w:color w:val="141413"/>
          <w:sz w:val="20"/>
          <w:szCs w:val="20"/>
        </w:rPr>
        <w:t>3</w:t>
      </w:r>
      <w:r w:rsidRPr="00D876F4">
        <w:rPr>
          <w:color w:val="141413"/>
          <w:sz w:val="20"/>
          <w:szCs w:val="20"/>
        </w:rPr>
        <w:t xml:space="preserve"> target 3.8 on achieving universal health coverage (UHC) by 2030 is perhaps the most overarching and potentially transformative health-related commitment of the SDGs. UHC means that all people and communities have access to the full spectrum of quality health services across the life course - from promotion to prevention, treatment, rehabilitation, and palliative care – </w:t>
      </w:r>
      <w:r w:rsidRPr="00D876F4">
        <w:rPr>
          <w:color w:val="000000"/>
          <w:sz w:val="20"/>
          <w:szCs w:val="20"/>
        </w:rPr>
        <w:t>without</w:t>
      </w:r>
      <w:r w:rsidRPr="00D876F4">
        <w:rPr>
          <w:color w:val="141413"/>
          <w:sz w:val="20"/>
          <w:szCs w:val="20"/>
        </w:rPr>
        <w:t xml:space="preserve"> being exposed to financial hardship.</w:t>
      </w:r>
      <w:r w:rsidRPr="00D876F4">
        <w:rPr>
          <w:color w:val="141413"/>
          <w:sz w:val="20"/>
          <w:szCs w:val="20"/>
          <w:vertAlign w:val="superscript"/>
        </w:rPr>
        <w:footnoteReference w:id="120"/>
      </w:r>
      <w:r w:rsidRPr="00D876F4">
        <w:rPr>
          <w:color w:val="141413"/>
          <w:sz w:val="20"/>
          <w:szCs w:val="20"/>
        </w:rPr>
        <w:t xml:space="preserve"> The inclusion of UHC in the SDGs is an opportunity to advance a comprehensive, inclusive, and rights-centred approach to health, focusing on strengthening health systems and tackling the structural factors that undermine them. Such factors include a widespread decline in health spending because of austerity measures worldwide, and growing deregulation, </w:t>
      </w:r>
      <w:r w:rsidR="00E91648">
        <w:rPr>
          <w:color w:val="141413"/>
          <w:sz w:val="20"/>
          <w:szCs w:val="20"/>
        </w:rPr>
        <w:t>privatization,</w:t>
      </w:r>
      <w:r w:rsidRPr="00D876F4">
        <w:rPr>
          <w:color w:val="141413"/>
          <w:sz w:val="20"/>
          <w:szCs w:val="20"/>
        </w:rPr>
        <w:t xml:space="preserve"> and commodification of health care as a result of the dominant neoliberal economic policy trends of recent decades.</w:t>
      </w:r>
      <w:r w:rsidRPr="00D876F4">
        <w:rPr>
          <w:color w:val="141413"/>
          <w:sz w:val="20"/>
          <w:szCs w:val="20"/>
          <w:vertAlign w:val="superscript"/>
        </w:rPr>
        <w:footnoteReference w:id="121"/>
      </w:r>
    </w:p>
    <w:p w14:paraId="12F0C3C8" w14:textId="141D3D6B" w:rsidR="00BA0919" w:rsidRPr="00D876F4" w:rsidRDefault="00BA0919" w:rsidP="00FF04F4">
      <w:pPr>
        <w:pStyle w:val="SingleTxtG"/>
        <w:pBdr>
          <w:top w:val="nil"/>
          <w:left w:val="nil"/>
          <w:bottom w:val="nil"/>
          <w:right w:val="nil"/>
          <w:between w:val="nil"/>
          <w:bar w:val="nil"/>
        </w:pBdr>
        <w:spacing w:line="240" w:lineRule="exact"/>
        <w:rPr>
          <w:color w:val="141413"/>
          <w:sz w:val="20"/>
          <w:szCs w:val="20"/>
        </w:rPr>
      </w:pPr>
      <w:r w:rsidRPr="00D876F4">
        <w:rPr>
          <w:color w:val="141413"/>
          <w:sz w:val="20"/>
          <w:szCs w:val="20"/>
        </w:rPr>
        <w:t>5</w:t>
      </w:r>
      <w:r w:rsidR="00A77303" w:rsidRPr="00D876F4">
        <w:rPr>
          <w:color w:val="141413"/>
          <w:sz w:val="20"/>
          <w:szCs w:val="20"/>
        </w:rPr>
        <w:t>4</w:t>
      </w:r>
      <w:r w:rsidRPr="00D876F4">
        <w:rPr>
          <w:color w:val="141413"/>
          <w:sz w:val="20"/>
          <w:szCs w:val="20"/>
        </w:rPr>
        <w:t>.</w:t>
      </w:r>
      <w:r w:rsidRPr="00D876F4">
        <w:rPr>
          <w:color w:val="141413"/>
          <w:sz w:val="20"/>
          <w:szCs w:val="20"/>
        </w:rPr>
        <w:tab/>
        <w:t>The trends have contributed to the social and economic exclusion of LGBTI people, fueling inequality and discrimination in their access to the highest attainable standard of health, as well as to other economic, social and cultural rights.</w:t>
      </w:r>
      <w:r w:rsidRPr="00D876F4">
        <w:rPr>
          <w:color w:val="141413"/>
          <w:sz w:val="20"/>
          <w:szCs w:val="20"/>
          <w:vertAlign w:val="superscript"/>
        </w:rPr>
        <w:footnoteReference w:id="122"/>
      </w:r>
      <w:r w:rsidRPr="00D876F4">
        <w:rPr>
          <w:color w:val="141413"/>
          <w:sz w:val="20"/>
          <w:szCs w:val="20"/>
        </w:rPr>
        <w:t xml:space="preserve"> </w:t>
      </w:r>
      <w:r w:rsidR="005233B8" w:rsidRPr="00D876F4">
        <w:rPr>
          <w:color w:val="141413"/>
          <w:sz w:val="20"/>
          <w:szCs w:val="20"/>
        </w:rPr>
        <w:t>T</w:t>
      </w:r>
      <w:r w:rsidRPr="00D876F4">
        <w:rPr>
          <w:color w:val="141413"/>
          <w:sz w:val="20"/>
          <w:szCs w:val="20"/>
        </w:rPr>
        <w:t>he COVID-19 pandemic has exacerbated health inequalities and other forms of socio-economic exclusion faced by persons on grounds of SOGI.</w:t>
      </w:r>
      <w:r w:rsidRPr="00D876F4">
        <w:rPr>
          <w:color w:val="141413"/>
          <w:sz w:val="20"/>
          <w:szCs w:val="20"/>
          <w:vertAlign w:val="superscript"/>
        </w:rPr>
        <w:footnoteReference w:id="123"/>
      </w:r>
      <w:r w:rsidRPr="00D876F4">
        <w:rPr>
          <w:color w:val="141413"/>
          <w:sz w:val="20"/>
          <w:szCs w:val="20"/>
        </w:rPr>
        <w:t xml:space="preserve"> It has also galvanised awareness of the need to invest in robust, comprehensive and equitable public health systems as a global public health imperative, making quality health care and services available, accessible and acceptable to all, as human rights standards require.</w:t>
      </w:r>
      <w:r w:rsidR="005233B8" w:rsidRPr="00D876F4">
        <w:rPr>
          <w:color w:val="141413"/>
          <w:sz w:val="20"/>
          <w:szCs w:val="20"/>
        </w:rPr>
        <w:t xml:space="preserve"> </w:t>
      </w:r>
      <w:r w:rsidRPr="00D876F4">
        <w:rPr>
          <w:color w:val="141413"/>
          <w:sz w:val="20"/>
          <w:szCs w:val="20"/>
        </w:rPr>
        <w:t xml:space="preserve">The SDG commitment to universal health </w:t>
      </w:r>
      <w:r w:rsidRPr="00D876F4">
        <w:rPr>
          <w:color w:val="000000"/>
          <w:sz w:val="20"/>
          <w:szCs w:val="20"/>
        </w:rPr>
        <w:t>coverage</w:t>
      </w:r>
      <w:r w:rsidRPr="00D876F4">
        <w:rPr>
          <w:color w:val="141413"/>
          <w:sz w:val="20"/>
          <w:szCs w:val="20"/>
        </w:rPr>
        <w:t xml:space="preserve"> is a vehicle for turning this awareness into action. UHC has now become a major goal for health reform in many countries, and a key focus of international cooperation and assistance efforts. However, making health coverage truly universal will demand a resolute fiscal commitment to ensuring the maximum available resources to </w:t>
      </w:r>
      <w:r w:rsidR="0029008A">
        <w:rPr>
          <w:color w:val="141413"/>
          <w:sz w:val="20"/>
          <w:szCs w:val="20"/>
        </w:rPr>
        <w:t xml:space="preserve">progressively </w:t>
      </w:r>
      <w:r w:rsidRPr="00D876F4">
        <w:rPr>
          <w:color w:val="141413"/>
          <w:sz w:val="20"/>
          <w:szCs w:val="20"/>
        </w:rPr>
        <w:t>realise the right to health for all, as well as a clear political commitment to dismantling the economic, social, cultural, and environmental barriers to the full inclusion of LGBTI persons in health systems and strategies.</w:t>
      </w:r>
    </w:p>
    <w:p w14:paraId="399390EB" w14:textId="234C542E" w:rsidR="00BA0919" w:rsidRPr="00D876F4" w:rsidRDefault="00190CEF" w:rsidP="00190CEF">
      <w:pPr>
        <w:pStyle w:val="H23G"/>
        <w:rPr>
          <w:sz w:val="20"/>
          <w:szCs w:val="20"/>
        </w:rPr>
      </w:pPr>
      <w:r w:rsidRPr="00D876F4">
        <w:rPr>
          <w:sz w:val="20"/>
          <w:szCs w:val="20"/>
        </w:rPr>
        <w:tab/>
      </w:r>
      <w:r w:rsidRPr="00D876F4">
        <w:rPr>
          <w:sz w:val="20"/>
          <w:szCs w:val="20"/>
        </w:rPr>
        <w:tab/>
        <w:t xml:space="preserve">Gender equality </w:t>
      </w:r>
    </w:p>
    <w:sdt>
      <w:sdtPr>
        <w:rPr>
          <w:sz w:val="20"/>
          <w:szCs w:val="20"/>
        </w:rPr>
        <w:tag w:val="goog_rdk_128"/>
        <w:id w:val="-1334063052"/>
      </w:sdtPr>
      <w:sdtEndPr>
        <w:rPr>
          <w:color w:val="141413"/>
        </w:rPr>
      </w:sdtEndPr>
      <w:sdtContent>
        <w:sdt>
          <w:sdtPr>
            <w:rPr>
              <w:color w:val="141413"/>
              <w:sz w:val="20"/>
              <w:szCs w:val="20"/>
            </w:rPr>
            <w:tag w:val="goog_rdk_127"/>
            <w:id w:val="904807949"/>
          </w:sdtPr>
          <w:sdtEndPr/>
          <w:sdtContent>
            <w:p w14:paraId="6D2B693A" w14:textId="6FF0BAA3" w:rsidR="00BA0919" w:rsidRPr="00D876F4" w:rsidRDefault="00BA0919" w:rsidP="005A2C21">
              <w:pPr>
                <w:pStyle w:val="SingleTxtG"/>
                <w:pBdr>
                  <w:top w:val="nil"/>
                  <w:left w:val="nil"/>
                  <w:bottom w:val="nil"/>
                  <w:right w:val="nil"/>
                  <w:between w:val="nil"/>
                  <w:bar w:val="nil"/>
                </w:pBdr>
                <w:spacing w:line="240" w:lineRule="exact"/>
                <w:rPr>
                  <w:color w:val="141413"/>
                  <w:sz w:val="20"/>
                  <w:szCs w:val="20"/>
                  <w:lang w:val="en-GB"/>
                </w:rPr>
              </w:pPr>
              <w:r w:rsidRPr="00D876F4">
                <w:rPr>
                  <w:color w:val="141413"/>
                  <w:sz w:val="20"/>
                  <w:szCs w:val="20"/>
                </w:rPr>
                <w:t>5</w:t>
              </w:r>
              <w:r w:rsidR="00A77303" w:rsidRPr="00D876F4">
                <w:rPr>
                  <w:color w:val="141413"/>
                  <w:sz w:val="20"/>
                  <w:szCs w:val="20"/>
                </w:rPr>
                <w:t>5</w:t>
              </w:r>
              <w:r w:rsidRPr="00D876F4">
                <w:rPr>
                  <w:color w:val="141413"/>
                  <w:sz w:val="20"/>
                  <w:szCs w:val="20"/>
                </w:rPr>
                <w:t>.</w:t>
              </w:r>
              <w:r w:rsidRPr="00D876F4">
                <w:rPr>
                  <w:color w:val="141413"/>
                  <w:sz w:val="20"/>
                  <w:szCs w:val="20"/>
                </w:rPr>
                <w:tab/>
              </w:r>
              <w:r w:rsidR="005A2C21" w:rsidRPr="00D876F4">
                <w:rPr>
                  <w:color w:val="141413"/>
                  <w:sz w:val="20"/>
                  <w:szCs w:val="20"/>
                </w:rPr>
                <w:t xml:space="preserve">Discrimination and violence based on SOGI cannot be effectively tackled without eradicating gender inequality. SDG5 seeks to address the structural inequalities women face in the legal, political, social, and economic spheres, and that manifests in myriad ways, including limits to women’s political participation and leadership, pervasive gender-based violence, </w:t>
              </w:r>
              <w:r w:rsidR="0029008A">
                <w:rPr>
                  <w:color w:val="141413"/>
                  <w:sz w:val="20"/>
                  <w:szCs w:val="20"/>
                </w:rPr>
                <w:t xml:space="preserve">child, </w:t>
              </w:r>
              <w:r w:rsidR="005A2C21" w:rsidRPr="00D876F4">
                <w:rPr>
                  <w:color w:val="141413"/>
                  <w:sz w:val="20"/>
                  <w:szCs w:val="20"/>
                </w:rPr>
                <w:t xml:space="preserve">early and forced marriage, unpaid labour and disproportionate care burdens, education disparities and unequal access to economic resources such as land, property and inheritance. Research on gender-based frameworks conducted by specialised UN bodies and the mandate has shown that these contextual realities shape the ability of lesbian, bisexual, trans and other gender non-conforming women to fully exercise their right to health and to </w:t>
              </w:r>
              <w:r w:rsidR="005A2C21" w:rsidRPr="00D876F4">
                <w:rPr>
                  <w:color w:val="141413"/>
                  <w:sz w:val="20"/>
                  <w:szCs w:val="20"/>
                </w:rPr>
                <w:lastRenderedPageBreak/>
                <w:t>decide freely on issues related to sexuality, gender expression and bodily autonomy.</w:t>
              </w:r>
              <w:r w:rsidR="0029008A">
                <w:rPr>
                  <w:rStyle w:val="FootnoteReference"/>
                  <w:color w:val="141413"/>
                  <w:szCs w:val="20"/>
                </w:rPr>
                <w:footnoteReference w:id="124"/>
              </w:r>
              <w:r w:rsidR="005A2C21" w:rsidRPr="00D876F4">
                <w:rPr>
                  <w:color w:val="141413"/>
                  <w:sz w:val="20"/>
                  <w:szCs w:val="20"/>
                </w:rPr>
                <w:t xml:space="preserve"> This will continue to be a cross-cutting concern for the </w:t>
              </w:r>
              <w:r w:rsidR="005233B8" w:rsidRPr="00D876F4">
                <w:rPr>
                  <w:color w:val="141413"/>
                  <w:sz w:val="20"/>
                  <w:szCs w:val="20"/>
                </w:rPr>
                <w:t>thematic agenda of the IE</w:t>
              </w:r>
              <w:r w:rsidR="005A2C21" w:rsidRPr="00D876F4">
                <w:rPr>
                  <w:color w:val="141413"/>
                  <w:sz w:val="20"/>
                  <w:szCs w:val="20"/>
                </w:rPr>
                <w:t>.</w:t>
              </w:r>
            </w:p>
          </w:sdtContent>
        </w:sdt>
      </w:sdtContent>
    </w:sdt>
    <w:p w14:paraId="3570B874" w14:textId="5C5523A7" w:rsidR="00BA0919" w:rsidRPr="00D876F4" w:rsidRDefault="00A84CE6" w:rsidP="00A84CE6">
      <w:pPr>
        <w:pStyle w:val="H23G"/>
        <w:rPr>
          <w:sz w:val="20"/>
          <w:szCs w:val="20"/>
        </w:rPr>
      </w:pPr>
      <w:r w:rsidRPr="00D876F4">
        <w:rPr>
          <w:sz w:val="20"/>
          <w:szCs w:val="20"/>
        </w:rPr>
        <w:tab/>
      </w:r>
      <w:r w:rsidRPr="00D876F4">
        <w:rPr>
          <w:sz w:val="20"/>
          <w:szCs w:val="20"/>
        </w:rPr>
        <w:tab/>
      </w:r>
      <w:r w:rsidR="00BA0919" w:rsidRPr="00D876F4">
        <w:rPr>
          <w:sz w:val="20"/>
          <w:szCs w:val="20"/>
        </w:rPr>
        <w:t xml:space="preserve">Discriminatory laws and non-discrimination guarantees </w:t>
      </w:r>
      <w:sdt>
        <w:sdtPr>
          <w:rPr>
            <w:sz w:val="20"/>
            <w:szCs w:val="20"/>
          </w:rPr>
          <w:tag w:val="goog_rdk_129"/>
          <w:id w:val="-919487380"/>
          <w:showingPlcHdr/>
        </w:sdtPr>
        <w:sdtEndPr/>
        <w:sdtContent>
          <w:r w:rsidR="00BA0919" w:rsidRPr="00D876F4">
            <w:rPr>
              <w:sz w:val="20"/>
              <w:szCs w:val="20"/>
            </w:rPr>
            <w:t xml:space="preserve">     </w:t>
          </w:r>
        </w:sdtContent>
      </w:sdt>
    </w:p>
    <w:p w14:paraId="406100A6" w14:textId="06F2A17E" w:rsidR="00BA0919" w:rsidRPr="00D876F4" w:rsidRDefault="00BA0919" w:rsidP="00FF04F4">
      <w:pPr>
        <w:pStyle w:val="SingleTxtG"/>
        <w:pBdr>
          <w:top w:val="nil"/>
          <w:left w:val="nil"/>
          <w:bottom w:val="nil"/>
          <w:right w:val="nil"/>
          <w:between w:val="nil"/>
          <w:bar w:val="nil"/>
        </w:pBdr>
        <w:spacing w:line="240" w:lineRule="exact"/>
        <w:rPr>
          <w:color w:val="141413"/>
          <w:sz w:val="20"/>
          <w:szCs w:val="20"/>
        </w:rPr>
      </w:pPr>
      <w:r w:rsidRPr="00D876F4">
        <w:rPr>
          <w:color w:val="141413"/>
          <w:sz w:val="20"/>
          <w:szCs w:val="20"/>
        </w:rPr>
        <w:t>5</w:t>
      </w:r>
      <w:r w:rsidR="00A77303" w:rsidRPr="00D876F4">
        <w:rPr>
          <w:color w:val="141413"/>
          <w:sz w:val="20"/>
          <w:szCs w:val="20"/>
        </w:rPr>
        <w:t>6</w:t>
      </w:r>
      <w:r w:rsidRPr="00D876F4">
        <w:rPr>
          <w:color w:val="141413"/>
          <w:sz w:val="20"/>
          <w:szCs w:val="20"/>
        </w:rPr>
        <w:t>.</w:t>
      </w:r>
      <w:r w:rsidRPr="00D876F4">
        <w:rPr>
          <w:color w:val="141413"/>
          <w:sz w:val="20"/>
          <w:szCs w:val="20"/>
        </w:rPr>
        <w:tab/>
        <w:t xml:space="preserve">Under SDG10, States committed to reduce inequalities of outcome, including by eliminating discriminatory laws, policies, and practices. Under SDG16, they pledged to “promote and enforce non-discriminatory laws and policies for sustainable development” as a step </w:t>
      </w:r>
      <w:r w:rsidRPr="00D876F4">
        <w:rPr>
          <w:color w:val="000000"/>
          <w:sz w:val="20"/>
          <w:szCs w:val="20"/>
        </w:rPr>
        <w:t>towards</w:t>
      </w:r>
      <w:r w:rsidRPr="00D876F4">
        <w:rPr>
          <w:color w:val="141413"/>
          <w:sz w:val="20"/>
          <w:szCs w:val="20"/>
        </w:rPr>
        <w:t xml:space="preserve"> more just and inclusive societies. These commitments are of potentially huge significance for combating DV/SOGI.</w:t>
      </w:r>
    </w:p>
    <w:p w14:paraId="6462B738" w14:textId="3E167738" w:rsidR="00BA0919" w:rsidRPr="00D876F4" w:rsidRDefault="00BA0919" w:rsidP="00FF04F4">
      <w:pPr>
        <w:pStyle w:val="SingleTxtG"/>
        <w:pBdr>
          <w:top w:val="nil"/>
          <w:left w:val="nil"/>
          <w:bottom w:val="nil"/>
          <w:right w:val="nil"/>
          <w:between w:val="nil"/>
          <w:bar w:val="nil"/>
        </w:pBdr>
        <w:spacing w:line="240" w:lineRule="exact"/>
        <w:rPr>
          <w:color w:val="141413"/>
          <w:sz w:val="20"/>
          <w:szCs w:val="20"/>
        </w:rPr>
      </w:pPr>
      <w:r w:rsidRPr="00D876F4">
        <w:rPr>
          <w:color w:val="141413"/>
          <w:sz w:val="20"/>
          <w:szCs w:val="20"/>
        </w:rPr>
        <w:t>5</w:t>
      </w:r>
      <w:r w:rsidR="009915EB" w:rsidRPr="00D876F4">
        <w:rPr>
          <w:color w:val="141413"/>
          <w:sz w:val="20"/>
          <w:szCs w:val="20"/>
        </w:rPr>
        <w:t>7</w:t>
      </w:r>
      <w:r w:rsidRPr="00D876F4">
        <w:rPr>
          <w:color w:val="141413"/>
          <w:sz w:val="20"/>
          <w:szCs w:val="20"/>
        </w:rPr>
        <w:t>.</w:t>
      </w:r>
      <w:r w:rsidRPr="00D876F4">
        <w:rPr>
          <w:color w:val="141413"/>
          <w:sz w:val="20"/>
          <w:szCs w:val="20"/>
        </w:rPr>
        <w:tab/>
        <w:t>The IE is concerned about the widespread persistence of criminal laws which overtly discriminate against people on grounds of SOGI, rendering their very identities illegal. In 2021, the IE along with nine other special procedures voiced concern to the Ghanaian authorities at draft legislation criminalizing a sweeping range of so-called “LGBTQI activities” including consensual sex, marriage</w:t>
      </w:r>
      <w:r w:rsidR="00AD48AB">
        <w:rPr>
          <w:color w:val="141413"/>
          <w:sz w:val="20"/>
          <w:szCs w:val="20"/>
        </w:rPr>
        <w:t>,</w:t>
      </w:r>
      <w:r w:rsidRPr="00D876F4">
        <w:rPr>
          <w:color w:val="141413"/>
          <w:sz w:val="20"/>
          <w:szCs w:val="20"/>
        </w:rPr>
        <w:t xml:space="preserve"> and public expressions of affection, as well as forming associations, producing educational materials or carrying out advocacy. The draft legislation also promotes conversion therapy and unnecessary medical interventions on intersex </w:t>
      </w:r>
      <w:r w:rsidRPr="00D876F4">
        <w:rPr>
          <w:color w:val="000000"/>
          <w:sz w:val="20"/>
          <w:szCs w:val="20"/>
        </w:rPr>
        <w:t>children</w:t>
      </w:r>
      <w:r w:rsidRPr="00D876F4">
        <w:rPr>
          <w:color w:val="141413"/>
          <w:sz w:val="20"/>
          <w:szCs w:val="20"/>
        </w:rPr>
        <w:t>. Such measures of state-sponsored discrimination and violence are not only in breach of international human rights law, they run counter to the worldwide trend towards the adoption of laws and policies aimed at ensuring protection from SOGI discrimination and violence. A notable recent example at the international level is the Global Strategy on HIV, Hepatitis and STIs for 2022 - 2030 adopted by the World Health Assembly of the WHO</w:t>
      </w:r>
      <w:r w:rsidR="00BB56F4">
        <w:rPr>
          <w:color w:val="141413"/>
          <w:sz w:val="20"/>
          <w:szCs w:val="20"/>
        </w:rPr>
        <w:t>.</w:t>
      </w:r>
      <w:r w:rsidR="00AD48AB">
        <w:rPr>
          <w:rStyle w:val="FootnoteReference"/>
          <w:color w:val="141413"/>
          <w:szCs w:val="20"/>
        </w:rPr>
        <w:footnoteReference w:id="125"/>
      </w:r>
    </w:p>
    <w:p w14:paraId="3A1BD428" w14:textId="34314533" w:rsidR="00BA0919" w:rsidRPr="00D876F4" w:rsidRDefault="009915EB" w:rsidP="00FF04F4">
      <w:pPr>
        <w:pStyle w:val="SingleTxtG"/>
        <w:pBdr>
          <w:top w:val="nil"/>
          <w:left w:val="nil"/>
          <w:bottom w:val="nil"/>
          <w:right w:val="nil"/>
          <w:between w:val="nil"/>
          <w:bar w:val="nil"/>
        </w:pBdr>
        <w:spacing w:line="240" w:lineRule="exact"/>
        <w:rPr>
          <w:color w:val="141413"/>
          <w:sz w:val="20"/>
          <w:szCs w:val="20"/>
        </w:rPr>
      </w:pPr>
      <w:r w:rsidRPr="00D876F4">
        <w:rPr>
          <w:color w:val="141413"/>
          <w:sz w:val="20"/>
          <w:szCs w:val="20"/>
        </w:rPr>
        <w:t>58</w:t>
      </w:r>
      <w:r w:rsidR="00BA0919" w:rsidRPr="00D876F4">
        <w:rPr>
          <w:color w:val="141413"/>
          <w:sz w:val="20"/>
          <w:szCs w:val="20"/>
        </w:rPr>
        <w:t>.</w:t>
      </w:r>
      <w:r w:rsidR="00BA0919" w:rsidRPr="00D876F4">
        <w:rPr>
          <w:color w:val="141413"/>
          <w:sz w:val="20"/>
          <w:szCs w:val="20"/>
        </w:rPr>
        <w:tab/>
        <w:t xml:space="preserve">Constitutional guarantees against SOGI discrimination - such as those adopted in South Africa, Fiji, Bolivia, </w:t>
      </w:r>
      <w:r w:rsidR="007F1F53" w:rsidRPr="00D876F4">
        <w:rPr>
          <w:color w:val="141413"/>
          <w:sz w:val="20"/>
          <w:szCs w:val="20"/>
        </w:rPr>
        <w:t>Ecuador,</w:t>
      </w:r>
      <w:r w:rsidR="00BA0919" w:rsidRPr="00D876F4">
        <w:rPr>
          <w:color w:val="141413"/>
          <w:sz w:val="20"/>
          <w:szCs w:val="20"/>
        </w:rPr>
        <w:t xml:space="preserve"> and Malta - are a fundamental part of the toolbox available to States to address DV/SOGI at the national level. Other countries, such as Thailand and Australia, have issued general laws on non-discrimination covering </w:t>
      </w:r>
      <w:r w:rsidR="00AD48AB">
        <w:rPr>
          <w:color w:val="141413"/>
          <w:sz w:val="20"/>
          <w:szCs w:val="20"/>
        </w:rPr>
        <w:t>SOGI</w:t>
      </w:r>
      <w:r w:rsidR="00BA0919" w:rsidRPr="00D876F4">
        <w:rPr>
          <w:color w:val="141413"/>
          <w:sz w:val="20"/>
          <w:szCs w:val="20"/>
        </w:rPr>
        <w:t xml:space="preserve">, while many, including Australia, Colombia, Costa Rica, Georgia, </w:t>
      </w:r>
      <w:r w:rsidR="005233B8" w:rsidRPr="00D876F4">
        <w:rPr>
          <w:color w:val="141413"/>
          <w:sz w:val="20"/>
          <w:szCs w:val="20"/>
        </w:rPr>
        <w:t>Mexico,</w:t>
      </w:r>
      <w:r w:rsidR="00BA0919" w:rsidRPr="00D876F4">
        <w:rPr>
          <w:color w:val="141413"/>
          <w:sz w:val="20"/>
          <w:szCs w:val="20"/>
        </w:rPr>
        <w:t xml:space="preserve"> and </w:t>
      </w:r>
      <w:r w:rsidR="007F1F53" w:rsidRPr="00D876F4">
        <w:rPr>
          <w:color w:val="141413"/>
          <w:sz w:val="20"/>
          <w:szCs w:val="20"/>
        </w:rPr>
        <w:t>Portugal have</w:t>
      </w:r>
      <w:r w:rsidR="00BA0919" w:rsidRPr="00D876F4">
        <w:rPr>
          <w:color w:val="141413"/>
          <w:sz w:val="20"/>
          <w:szCs w:val="20"/>
        </w:rPr>
        <w:t xml:space="preserve"> included prohibition of SOGI discrimination in health or other sectoral strategies.</w:t>
      </w:r>
    </w:p>
    <w:p w14:paraId="1A725A84" w14:textId="61388121" w:rsidR="00BA0919" w:rsidRPr="00D876F4" w:rsidRDefault="009915EB" w:rsidP="00190CEF">
      <w:pPr>
        <w:pStyle w:val="SingleTxtG"/>
        <w:pBdr>
          <w:top w:val="nil"/>
          <w:left w:val="nil"/>
          <w:bottom w:val="nil"/>
          <w:right w:val="nil"/>
          <w:between w:val="nil"/>
          <w:bar w:val="nil"/>
        </w:pBdr>
        <w:spacing w:line="240" w:lineRule="exact"/>
        <w:rPr>
          <w:color w:val="141413"/>
          <w:sz w:val="20"/>
          <w:szCs w:val="20"/>
        </w:rPr>
      </w:pPr>
      <w:r w:rsidRPr="00D876F4">
        <w:rPr>
          <w:color w:val="141413"/>
          <w:sz w:val="20"/>
          <w:szCs w:val="20"/>
        </w:rPr>
        <w:t>59</w:t>
      </w:r>
      <w:r w:rsidR="00BA0919" w:rsidRPr="00D876F4">
        <w:rPr>
          <w:color w:val="141413"/>
          <w:sz w:val="20"/>
          <w:szCs w:val="20"/>
        </w:rPr>
        <w:t>.</w:t>
      </w:r>
      <w:r w:rsidR="00BA0919" w:rsidRPr="00D876F4">
        <w:rPr>
          <w:color w:val="141413"/>
          <w:sz w:val="20"/>
          <w:szCs w:val="20"/>
        </w:rPr>
        <w:tab/>
      </w:r>
      <w:r w:rsidR="00487687" w:rsidRPr="00D876F4">
        <w:rPr>
          <w:color w:val="141413"/>
          <w:sz w:val="20"/>
          <w:szCs w:val="20"/>
        </w:rPr>
        <w:t>L</w:t>
      </w:r>
      <w:r w:rsidR="00BA0919" w:rsidRPr="00D876F4">
        <w:rPr>
          <w:color w:val="141413"/>
          <w:sz w:val="20"/>
          <w:szCs w:val="20"/>
        </w:rPr>
        <w:t>egal recognition of gender identity based on self-identification</w:t>
      </w:r>
      <w:r w:rsidR="005233B8" w:rsidRPr="00D876F4">
        <w:rPr>
          <w:color w:val="141413"/>
          <w:sz w:val="20"/>
          <w:szCs w:val="20"/>
        </w:rPr>
        <w:t xml:space="preserve"> is of fundamental importance, and </w:t>
      </w:r>
      <w:r w:rsidR="00BA0919" w:rsidRPr="00D876F4">
        <w:rPr>
          <w:color w:val="141413"/>
          <w:sz w:val="20"/>
          <w:szCs w:val="20"/>
        </w:rPr>
        <w:t>some Member States, including Argentina, Denmark, Malta, and Ireland, have implemented</w:t>
      </w:r>
      <w:r w:rsidR="005233B8" w:rsidRPr="00D876F4">
        <w:rPr>
          <w:color w:val="141413"/>
          <w:sz w:val="20"/>
          <w:szCs w:val="20"/>
        </w:rPr>
        <w:t xml:space="preserve"> it</w:t>
      </w:r>
      <w:r w:rsidR="00BA0919" w:rsidRPr="00D876F4">
        <w:rPr>
          <w:color w:val="141413"/>
          <w:sz w:val="20"/>
          <w:szCs w:val="20"/>
        </w:rPr>
        <w:t xml:space="preserve"> through specific legislation. In Argentina, a study found that after the law was introduced, the percentage of survey participants who reported experiencing discrimination based on gender identity dropped from 80% to 30%.</w:t>
      </w:r>
      <w:r w:rsidR="00AD48AB">
        <w:rPr>
          <w:rStyle w:val="FootnoteReference"/>
          <w:color w:val="141413"/>
          <w:szCs w:val="20"/>
        </w:rPr>
        <w:footnoteReference w:id="126"/>
      </w:r>
    </w:p>
    <w:p w14:paraId="300743E9" w14:textId="0BEA77CC" w:rsidR="00BA0919" w:rsidRPr="00F8584E" w:rsidRDefault="00190CEF" w:rsidP="00190CEF">
      <w:pPr>
        <w:pStyle w:val="HChG"/>
      </w:pPr>
      <w:r>
        <w:tab/>
      </w:r>
      <w:r w:rsidR="00BA0919" w:rsidRPr="00F8584E">
        <w:t>V</w:t>
      </w:r>
      <w:r>
        <w:t>I</w:t>
      </w:r>
      <w:r w:rsidR="003F3E83">
        <w:t>.</w:t>
      </w:r>
      <w:r>
        <w:tab/>
      </w:r>
      <w:r w:rsidR="00BA0919" w:rsidRPr="00F8584E">
        <w:tab/>
        <w:t>Progress and challenges in tackling DV/SOGI through the SDGs</w:t>
      </w:r>
    </w:p>
    <w:p w14:paraId="21C4FFD6" w14:textId="2BA4EEF6" w:rsidR="00BA0919" w:rsidRPr="00410532" w:rsidRDefault="000E1146" w:rsidP="00410532">
      <w:pPr>
        <w:pStyle w:val="SingleTxtG"/>
        <w:rPr>
          <w:i/>
          <w:iCs/>
          <w:sz w:val="20"/>
          <w:szCs w:val="20"/>
        </w:rPr>
      </w:pPr>
      <w:r>
        <w:rPr>
          <w:i/>
          <w:iCs/>
          <w:sz w:val="20"/>
          <w:szCs w:val="20"/>
        </w:rPr>
        <w:t>“</w:t>
      </w:r>
      <w:r w:rsidR="00BA0919" w:rsidRPr="00410532">
        <w:rPr>
          <w:i/>
          <w:iCs/>
          <w:sz w:val="20"/>
          <w:szCs w:val="20"/>
        </w:rPr>
        <w:t>At the core of LGBTI advocacy is the capability to define and express one’s own identity. In the development framework, this capability is not just an individual freedom, it is a powerful step to creating a future where all LGBTI people can live a life of their choosing.</w:t>
      </w:r>
      <w:r>
        <w:rPr>
          <w:i/>
          <w:iCs/>
          <w:sz w:val="20"/>
          <w:szCs w:val="20"/>
        </w:rPr>
        <w:t>”</w:t>
      </w:r>
      <w:r w:rsidR="00BA0919" w:rsidRPr="00410532">
        <w:rPr>
          <w:i/>
          <w:iCs/>
          <w:sz w:val="20"/>
          <w:szCs w:val="20"/>
          <w:vertAlign w:val="superscript"/>
        </w:rPr>
        <w:footnoteReference w:id="127"/>
      </w:r>
    </w:p>
    <w:p w14:paraId="1D978571" w14:textId="328AF847" w:rsidR="00BA0919" w:rsidRPr="00D876F4" w:rsidRDefault="00BA0919" w:rsidP="00FF04F4">
      <w:pPr>
        <w:pStyle w:val="SingleTxtG"/>
        <w:pBdr>
          <w:top w:val="nil"/>
          <w:left w:val="nil"/>
          <w:bottom w:val="nil"/>
          <w:right w:val="nil"/>
          <w:between w:val="nil"/>
          <w:bar w:val="nil"/>
        </w:pBdr>
        <w:spacing w:line="240" w:lineRule="exact"/>
        <w:rPr>
          <w:sz w:val="20"/>
          <w:szCs w:val="20"/>
        </w:rPr>
      </w:pPr>
      <w:r w:rsidRPr="00D876F4">
        <w:rPr>
          <w:sz w:val="20"/>
          <w:szCs w:val="20"/>
        </w:rPr>
        <w:t>6</w:t>
      </w:r>
      <w:r w:rsidR="009915EB" w:rsidRPr="00D876F4">
        <w:rPr>
          <w:sz w:val="20"/>
          <w:szCs w:val="20"/>
        </w:rPr>
        <w:t>0</w:t>
      </w:r>
      <w:r w:rsidRPr="00D876F4">
        <w:rPr>
          <w:sz w:val="20"/>
          <w:szCs w:val="20"/>
        </w:rPr>
        <w:t>.</w:t>
      </w:r>
      <w:r w:rsidRPr="00D876F4">
        <w:rPr>
          <w:sz w:val="20"/>
          <w:szCs w:val="20"/>
        </w:rPr>
        <w:tab/>
        <w:t>Issues of DV/SOGI were brought to the attention of member states during the Agenda 2030 civil society consultation process, and referenced in key preparatory documents</w:t>
      </w:r>
      <w:r w:rsidR="00FD24BE">
        <w:rPr>
          <w:sz w:val="20"/>
          <w:szCs w:val="20"/>
        </w:rPr>
        <w:t>.</w:t>
      </w:r>
      <w:r w:rsidRPr="00D876F4">
        <w:rPr>
          <w:sz w:val="20"/>
          <w:szCs w:val="20"/>
          <w:vertAlign w:val="superscript"/>
        </w:rPr>
        <w:footnoteReference w:id="128"/>
      </w:r>
      <w:r w:rsidR="00FD24BE">
        <w:rPr>
          <w:sz w:val="20"/>
          <w:szCs w:val="20"/>
        </w:rPr>
        <w:t xml:space="preserve"> </w:t>
      </w:r>
      <w:r w:rsidRPr="00D876F4">
        <w:rPr>
          <w:sz w:val="20"/>
          <w:szCs w:val="20"/>
        </w:rPr>
        <w:t xml:space="preserve">Although no explicit references to SOGI nor </w:t>
      </w:r>
      <w:r w:rsidRPr="00D876F4">
        <w:rPr>
          <w:color w:val="141413"/>
          <w:sz w:val="20"/>
          <w:szCs w:val="20"/>
        </w:rPr>
        <w:t>LGBTI</w:t>
      </w:r>
      <w:r w:rsidRPr="00D876F4">
        <w:rPr>
          <w:sz w:val="20"/>
          <w:szCs w:val="20"/>
        </w:rPr>
        <w:t xml:space="preserve"> were made in the final Agenda 2030 outcome document nor included in the indicators or metrics for monitoring SDG progress, the mandate </w:t>
      </w:r>
      <w:r w:rsidRPr="00D876F4">
        <w:rPr>
          <w:color w:val="000000"/>
          <w:sz w:val="20"/>
          <w:szCs w:val="20"/>
        </w:rPr>
        <w:t>believes</w:t>
      </w:r>
      <w:r w:rsidRPr="00D876F4">
        <w:rPr>
          <w:sz w:val="20"/>
          <w:szCs w:val="20"/>
        </w:rPr>
        <w:t xml:space="preserve"> that the goals cannot be achieved if those experiencing discrimination and violence based on SOGI continue to be left behind.</w:t>
      </w:r>
    </w:p>
    <w:p w14:paraId="58E70B94" w14:textId="6CD7DAF1" w:rsidR="00BA0919" w:rsidRPr="00D876F4" w:rsidRDefault="00BA0919" w:rsidP="00FF04F4">
      <w:pPr>
        <w:pStyle w:val="SingleTxtG"/>
        <w:pBdr>
          <w:top w:val="nil"/>
          <w:left w:val="nil"/>
          <w:bottom w:val="nil"/>
          <w:right w:val="nil"/>
          <w:between w:val="nil"/>
          <w:bar w:val="nil"/>
        </w:pBdr>
        <w:spacing w:line="240" w:lineRule="exact"/>
        <w:rPr>
          <w:sz w:val="20"/>
          <w:szCs w:val="20"/>
        </w:rPr>
      </w:pPr>
      <w:r w:rsidRPr="00D876F4">
        <w:rPr>
          <w:sz w:val="20"/>
          <w:szCs w:val="20"/>
        </w:rPr>
        <w:lastRenderedPageBreak/>
        <w:t>6</w:t>
      </w:r>
      <w:r w:rsidR="009915EB" w:rsidRPr="00D876F4">
        <w:rPr>
          <w:sz w:val="20"/>
          <w:szCs w:val="20"/>
        </w:rPr>
        <w:t>1</w:t>
      </w:r>
      <w:r w:rsidRPr="00D876F4">
        <w:rPr>
          <w:sz w:val="20"/>
          <w:szCs w:val="20"/>
        </w:rPr>
        <w:t>.</w:t>
      </w:r>
      <w:r w:rsidRPr="00D876F4">
        <w:rPr>
          <w:sz w:val="20"/>
          <w:szCs w:val="20"/>
        </w:rPr>
        <w:tab/>
        <w:t xml:space="preserve">The IE therefore welcomes increasing efforts by States to include DV/SOGI in their national implementation plans, as well as the steadfast work </w:t>
      </w:r>
      <w:r w:rsidRPr="00D876F4">
        <w:rPr>
          <w:color w:val="000000"/>
          <w:sz w:val="20"/>
          <w:szCs w:val="20"/>
        </w:rPr>
        <w:t>of</w:t>
      </w:r>
      <w:r w:rsidRPr="00D876F4">
        <w:rPr>
          <w:sz w:val="20"/>
          <w:szCs w:val="20"/>
        </w:rPr>
        <w:t xml:space="preserve"> CSOs bringing a SOGI lens to SDG monitoring and implementation at the national, </w:t>
      </w:r>
      <w:r w:rsidR="007F1F53" w:rsidRPr="00D876F4">
        <w:rPr>
          <w:sz w:val="20"/>
          <w:szCs w:val="20"/>
        </w:rPr>
        <w:t>regional,</w:t>
      </w:r>
      <w:r w:rsidRPr="00D876F4">
        <w:rPr>
          <w:sz w:val="20"/>
          <w:szCs w:val="20"/>
        </w:rPr>
        <w:t xml:space="preserve"> and global levels. Nevertheless, the mandate has observed three key challenges that need to be overcome if Agenda 2030 is to live up to its inclusive promise.  </w:t>
      </w:r>
    </w:p>
    <w:p w14:paraId="32B40A34" w14:textId="3E28CA6C" w:rsidR="00BA0919" w:rsidRPr="00D876F4" w:rsidRDefault="00190CEF" w:rsidP="00190CEF">
      <w:pPr>
        <w:pStyle w:val="H23G"/>
        <w:rPr>
          <w:sz w:val="20"/>
          <w:szCs w:val="20"/>
        </w:rPr>
      </w:pPr>
      <w:r w:rsidRPr="00D876F4">
        <w:rPr>
          <w:sz w:val="20"/>
          <w:szCs w:val="20"/>
        </w:rPr>
        <w:tab/>
      </w:r>
      <w:r w:rsidRPr="00D876F4">
        <w:rPr>
          <w:sz w:val="20"/>
          <w:szCs w:val="20"/>
        </w:rPr>
        <w:tab/>
      </w:r>
      <w:r w:rsidR="00BA0919" w:rsidRPr="00D876F4">
        <w:rPr>
          <w:sz w:val="20"/>
          <w:szCs w:val="20"/>
        </w:rPr>
        <w:t>Inadequate coverage of SOGI issues in SDG implementation &amp; tracking</w:t>
      </w:r>
    </w:p>
    <w:p w14:paraId="3FF833C6" w14:textId="31ADE6AC" w:rsidR="00BA0919" w:rsidRPr="00D876F4" w:rsidRDefault="00BA0919" w:rsidP="000E65E3">
      <w:pPr>
        <w:pStyle w:val="SingleTxtG"/>
        <w:pBdr>
          <w:top w:val="nil"/>
          <w:left w:val="nil"/>
          <w:bottom w:val="nil"/>
          <w:right w:val="nil"/>
          <w:between w:val="nil"/>
          <w:bar w:val="nil"/>
        </w:pBdr>
        <w:spacing w:line="240" w:lineRule="exact"/>
        <w:rPr>
          <w:sz w:val="20"/>
          <w:szCs w:val="20"/>
          <w:highlight w:val="white"/>
        </w:rPr>
      </w:pPr>
      <w:r w:rsidRPr="00D876F4">
        <w:rPr>
          <w:sz w:val="20"/>
          <w:szCs w:val="20"/>
        </w:rPr>
        <w:t>6</w:t>
      </w:r>
      <w:r w:rsidR="009915EB" w:rsidRPr="00D876F4">
        <w:rPr>
          <w:sz w:val="20"/>
          <w:szCs w:val="20"/>
        </w:rPr>
        <w:t>2</w:t>
      </w:r>
      <w:r w:rsidRPr="00D876F4">
        <w:rPr>
          <w:sz w:val="20"/>
          <w:szCs w:val="20"/>
        </w:rPr>
        <w:t>.</w:t>
      </w:r>
      <w:r w:rsidRPr="00D876F4">
        <w:rPr>
          <w:sz w:val="20"/>
          <w:szCs w:val="20"/>
        </w:rPr>
        <w:tab/>
        <w:t xml:space="preserve">A review of </w:t>
      </w:r>
      <w:r w:rsidR="00B67C35" w:rsidRPr="00D876F4">
        <w:rPr>
          <w:sz w:val="20"/>
          <w:szCs w:val="20"/>
        </w:rPr>
        <w:t xml:space="preserve">Voluntary </w:t>
      </w:r>
      <w:sdt>
        <w:sdtPr>
          <w:rPr>
            <w:sz w:val="20"/>
            <w:szCs w:val="20"/>
          </w:rPr>
          <w:tag w:val="goog_rdk_167"/>
          <w:id w:val="745071048"/>
        </w:sdtPr>
        <w:sdtEndPr/>
        <w:sdtContent>
          <w:r w:rsidR="00B67C35" w:rsidRPr="00D876F4">
            <w:rPr>
              <w:sz w:val="20"/>
              <w:szCs w:val="20"/>
            </w:rPr>
            <w:t xml:space="preserve">National </w:t>
          </w:r>
        </w:sdtContent>
      </w:sdt>
      <w:r w:rsidR="00B67C35" w:rsidRPr="00D876F4">
        <w:rPr>
          <w:sz w:val="20"/>
          <w:szCs w:val="20"/>
        </w:rPr>
        <w:t xml:space="preserve">Reviews </w:t>
      </w:r>
      <w:r w:rsidR="00B67C35">
        <w:rPr>
          <w:sz w:val="20"/>
          <w:szCs w:val="20"/>
        </w:rPr>
        <w:t>(</w:t>
      </w:r>
      <w:r w:rsidRPr="00D876F4">
        <w:rPr>
          <w:sz w:val="20"/>
          <w:szCs w:val="20"/>
        </w:rPr>
        <w:t>VNR</w:t>
      </w:r>
      <w:r w:rsidR="00B67C35">
        <w:rPr>
          <w:sz w:val="20"/>
          <w:szCs w:val="20"/>
        </w:rPr>
        <w:t>)</w:t>
      </w:r>
      <w:r w:rsidRPr="00D876F4">
        <w:rPr>
          <w:sz w:val="20"/>
          <w:szCs w:val="20"/>
        </w:rPr>
        <w:t xml:space="preserve"> synthesis reports from 2016–2021 indicates increasing albeit uneven attention to issues of DV/SOGI in national reports and plans</w:t>
      </w:r>
      <w:r w:rsidRPr="00D876F4">
        <w:rPr>
          <w:sz w:val="20"/>
          <w:szCs w:val="20"/>
          <w:highlight w:val="white"/>
        </w:rPr>
        <w:t xml:space="preserve">. In 2017 and 2018, Chile and Australia made specific reference to LGBTI persons in their VNRs: the former </w:t>
      </w:r>
      <w:r w:rsidRPr="00D876F4">
        <w:rPr>
          <w:color w:val="000000"/>
          <w:sz w:val="20"/>
          <w:szCs w:val="20"/>
        </w:rPr>
        <w:t>explaining</w:t>
      </w:r>
      <w:r w:rsidRPr="00D876F4">
        <w:rPr>
          <w:sz w:val="20"/>
          <w:szCs w:val="20"/>
          <w:highlight w:val="white"/>
        </w:rPr>
        <w:t xml:space="preserve"> difficulties faced in data collection and disaggregation; the later informing of LGBTIQ-oriented programmes.  Canada reported that it had designated an official to work with the LGBTQ community and address discrimination against them. Ireland reported that it had developed a LGBTI+ National Youth Strategy.</w:t>
      </w:r>
      <w:r w:rsidR="000E65E3">
        <w:rPr>
          <w:sz w:val="20"/>
          <w:szCs w:val="20"/>
          <w:highlight w:val="white"/>
        </w:rPr>
        <w:t xml:space="preserve"> </w:t>
      </w:r>
      <w:r w:rsidRPr="00D876F4">
        <w:rPr>
          <w:sz w:val="20"/>
          <w:szCs w:val="20"/>
          <w:highlight w:val="white"/>
        </w:rPr>
        <w:t xml:space="preserve">The 2020 and 2021 VNR synthesis reports include sections dedicated to progress in relation to LGTB persons, with examples of CSO-established community-based drop-in centers (Malawi, 2020) and the role of LGBT civil society groups (Estonia and Seychelles, 2020). Bhutan, Denmark, Dominican Republic, Norway, Sweden and Thailand also provided specific information on SOGI in their VNRs in 2021. </w:t>
      </w:r>
    </w:p>
    <w:p w14:paraId="2FE70654" w14:textId="49E68DE3" w:rsidR="00BA0919" w:rsidRPr="00D876F4" w:rsidRDefault="00BA0919" w:rsidP="00FF04F4">
      <w:pPr>
        <w:pStyle w:val="SingleTxtG"/>
        <w:pBdr>
          <w:top w:val="nil"/>
          <w:left w:val="nil"/>
          <w:bottom w:val="nil"/>
          <w:right w:val="nil"/>
          <w:between w:val="nil"/>
          <w:bar w:val="nil"/>
        </w:pBdr>
        <w:spacing w:line="240" w:lineRule="exact"/>
        <w:rPr>
          <w:sz w:val="20"/>
          <w:szCs w:val="20"/>
        </w:rPr>
      </w:pPr>
      <w:r w:rsidRPr="00D876F4">
        <w:rPr>
          <w:sz w:val="20"/>
          <w:szCs w:val="20"/>
        </w:rPr>
        <w:t>6</w:t>
      </w:r>
      <w:r w:rsidR="009915EB" w:rsidRPr="00D876F4">
        <w:rPr>
          <w:sz w:val="20"/>
          <w:szCs w:val="20"/>
        </w:rPr>
        <w:t>3</w:t>
      </w:r>
      <w:r w:rsidRPr="00D876F4">
        <w:rPr>
          <w:sz w:val="20"/>
          <w:szCs w:val="20"/>
        </w:rPr>
        <w:t>.</w:t>
      </w:r>
      <w:r w:rsidRPr="00D876F4">
        <w:rPr>
          <w:sz w:val="20"/>
          <w:szCs w:val="20"/>
        </w:rPr>
        <w:tab/>
        <w:t>Nevertheless, many submissions noted that strategies designed to implement the SDGs at national level lack references to SOGI,</w:t>
      </w:r>
      <w:r w:rsidRPr="00D876F4">
        <w:rPr>
          <w:sz w:val="20"/>
          <w:szCs w:val="20"/>
          <w:vertAlign w:val="superscript"/>
        </w:rPr>
        <w:t xml:space="preserve"> </w:t>
      </w:r>
      <w:r w:rsidRPr="00D876F4">
        <w:rPr>
          <w:sz w:val="20"/>
          <w:szCs w:val="20"/>
        </w:rPr>
        <w:t xml:space="preserve">and </w:t>
      </w:r>
      <w:r w:rsidRPr="00D876F4">
        <w:rPr>
          <w:color w:val="000000"/>
          <w:sz w:val="20"/>
          <w:szCs w:val="20"/>
        </w:rPr>
        <w:t>national</w:t>
      </w:r>
      <w:r w:rsidRPr="00D876F4">
        <w:rPr>
          <w:sz w:val="20"/>
          <w:szCs w:val="20"/>
        </w:rPr>
        <w:t xml:space="preserve"> entities in charge of monitoring SDG-related progress usually do not include information about LGBTI persons, a shortcoming that is then reflected in VNRs. Moreover, LGBT human rights defenders and organisations encounter significant barriers to participation in SDG monitoring processes, often encountering little support if not active persecution from their governments.</w:t>
      </w:r>
    </w:p>
    <w:p w14:paraId="4CEA7E5C" w14:textId="7B3DA16D" w:rsidR="00BA0919" w:rsidRPr="00D876F4" w:rsidRDefault="00190CEF" w:rsidP="00190CEF">
      <w:pPr>
        <w:pStyle w:val="H23G"/>
        <w:rPr>
          <w:sz w:val="20"/>
          <w:szCs w:val="20"/>
        </w:rPr>
      </w:pPr>
      <w:r w:rsidRPr="00D876F4">
        <w:rPr>
          <w:sz w:val="20"/>
          <w:szCs w:val="20"/>
        </w:rPr>
        <w:tab/>
      </w:r>
      <w:r w:rsidRPr="00D876F4">
        <w:rPr>
          <w:sz w:val="20"/>
          <w:szCs w:val="20"/>
        </w:rPr>
        <w:tab/>
      </w:r>
      <w:r w:rsidR="00BA0919" w:rsidRPr="00D876F4">
        <w:rPr>
          <w:sz w:val="20"/>
          <w:szCs w:val="20"/>
        </w:rPr>
        <w:t>Restrictions on LGBT rights defenders and barriers to participation in SDG processes</w:t>
      </w:r>
    </w:p>
    <w:p w14:paraId="5AFE71F4" w14:textId="28C4AE1D" w:rsidR="00BA0919" w:rsidRPr="00D876F4" w:rsidRDefault="00BA0919" w:rsidP="00FF04F4">
      <w:pPr>
        <w:pStyle w:val="SingleTxtG"/>
        <w:pBdr>
          <w:top w:val="nil"/>
          <w:left w:val="nil"/>
          <w:bottom w:val="nil"/>
          <w:right w:val="nil"/>
          <w:between w:val="nil"/>
          <w:bar w:val="nil"/>
        </w:pBdr>
        <w:spacing w:line="240" w:lineRule="exact"/>
        <w:rPr>
          <w:sz w:val="20"/>
          <w:szCs w:val="20"/>
          <w:highlight w:val="white"/>
        </w:rPr>
      </w:pPr>
      <w:r w:rsidRPr="00D876F4">
        <w:rPr>
          <w:sz w:val="20"/>
          <w:szCs w:val="20"/>
          <w:highlight w:val="white"/>
        </w:rPr>
        <w:t>6</w:t>
      </w:r>
      <w:r w:rsidR="009915EB" w:rsidRPr="00D876F4">
        <w:rPr>
          <w:sz w:val="20"/>
          <w:szCs w:val="20"/>
          <w:highlight w:val="white"/>
        </w:rPr>
        <w:t>4</w:t>
      </w:r>
      <w:r w:rsidRPr="00D876F4">
        <w:rPr>
          <w:sz w:val="20"/>
          <w:szCs w:val="20"/>
          <w:highlight w:val="white"/>
        </w:rPr>
        <w:t>.</w:t>
      </w:r>
      <w:r w:rsidRPr="00D876F4">
        <w:rPr>
          <w:sz w:val="20"/>
          <w:szCs w:val="20"/>
          <w:highlight w:val="white"/>
        </w:rPr>
        <w:tab/>
        <w:t xml:space="preserve">As the IE and the Special Rapporteur on Human Rights Defenders have jointly affirmed, </w:t>
      </w:r>
      <w:r w:rsidR="009A35D0" w:rsidRPr="00D876F4">
        <w:rPr>
          <w:sz w:val="20"/>
          <w:szCs w:val="20"/>
          <w:highlight w:val="white"/>
        </w:rPr>
        <w:t>human rights defenders working on SOGI issues</w:t>
      </w:r>
      <w:r w:rsidRPr="00D876F4">
        <w:rPr>
          <w:sz w:val="20"/>
          <w:szCs w:val="20"/>
          <w:highlight w:val="white"/>
        </w:rPr>
        <w:t xml:space="preserve"> and defenders of sexual and reproductive rights are among the most widely targeted in many parts of the world.</w:t>
      </w:r>
      <w:r w:rsidR="000E65E3">
        <w:rPr>
          <w:rStyle w:val="FootnoteReference"/>
          <w:szCs w:val="20"/>
          <w:highlight w:val="white"/>
        </w:rPr>
        <w:footnoteReference w:id="129"/>
      </w:r>
      <w:r w:rsidRPr="00D876F4">
        <w:rPr>
          <w:sz w:val="20"/>
          <w:szCs w:val="20"/>
          <w:highlight w:val="white"/>
        </w:rPr>
        <w:t xml:space="preserve"> As outlined above, the threats they face - from prosecution under “propaganda laws” or laws criminalising their identities, to hate speech and physical attacks - often have a crushing effect on LGBTI people’s access to the health information and services they need. </w:t>
      </w:r>
      <w:r w:rsidRPr="00D876F4">
        <w:rPr>
          <w:sz w:val="20"/>
          <w:szCs w:val="20"/>
        </w:rPr>
        <w:t>They</w:t>
      </w:r>
      <w:r w:rsidRPr="00D876F4">
        <w:rPr>
          <w:sz w:val="20"/>
          <w:szCs w:val="20"/>
          <w:highlight w:val="white"/>
        </w:rPr>
        <w:t xml:space="preserve"> also impede the participation of LGBT communities and organizations in the monitoring and implementation of the SDG agenda. SDG16 includes commitments aimed at creating an enabling environment for human rights defenders to carry out their work. In fulfilling their commitments, </w:t>
      </w:r>
      <w:r w:rsidR="005233B8" w:rsidRPr="00D876F4">
        <w:rPr>
          <w:sz w:val="20"/>
          <w:szCs w:val="20"/>
          <w:highlight w:val="white"/>
        </w:rPr>
        <w:t>S</w:t>
      </w:r>
      <w:r w:rsidRPr="00D876F4">
        <w:rPr>
          <w:sz w:val="20"/>
          <w:szCs w:val="20"/>
          <w:highlight w:val="white"/>
        </w:rPr>
        <w:t xml:space="preserve">tates must not only refrain from such attacks, but create a conducive legal and institutional environment in which LGBT and intersex rights defenders and their organizations can carry out their work without fear or arbitrary restriction. </w:t>
      </w:r>
    </w:p>
    <w:p w14:paraId="6E667202" w14:textId="603B1A3B" w:rsidR="00BA0919" w:rsidRPr="00D876F4" w:rsidRDefault="00BA0919" w:rsidP="00FF04F4">
      <w:pPr>
        <w:pStyle w:val="SingleTxtG"/>
        <w:pBdr>
          <w:top w:val="nil"/>
          <w:left w:val="nil"/>
          <w:bottom w:val="nil"/>
          <w:right w:val="nil"/>
          <w:between w:val="nil"/>
          <w:bar w:val="nil"/>
        </w:pBdr>
        <w:spacing w:line="240" w:lineRule="exact"/>
        <w:rPr>
          <w:sz w:val="20"/>
          <w:szCs w:val="20"/>
        </w:rPr>
      </w:pPr>
      <w:r w:rsidRPr="00D876F4">
        <w:rPr>
          <w:sz w:val="20"/>
          <w:szCs w:val="20"/>
        </w:rPr>
        <w:t>6</w:t>
      </w:r>
      <w:r w:rsidR="009915EB" w:rsidRPr="00D876F4">
        <w:rPr>
          <w:sz w:val="20"/>
          <w:szCs w:val="20"/>
        </w:rPr>
        <w:t>5</w:t>
      </w:r>
      <w:r w:rsidRPr="00D876F4">
        <w:rPr>
          <w:sz w:val="20"/>
          <w:szCs w:val="20"/>
        </w:rPr>
        <w:t>.</w:t>
      </w:r>
      <w:r w:rsidRPr="00D876F4">
        <w:rPr>
          <w:sz w:val="20"/>
          <w:szCs w:val="20"/>
        </w:rPr>
        <w:tab/>
        <w:t xml:space="preserve">Enabling the central role of CSOs (including LGBTI-serving and LGBTI-led health providers) in supplementing State action in the field of </w:t>
      </w:r>
      <w:r w:rsidRPr="00D876F4">
        <w:rPr>
          <w:color w:val="000000"/>
          <w:sz w:val="20"/>
          <w:szCs w:val="20"/>
        </w:rPr>
        <w:t>health</w:t>
      </w:r>
      <w:r w:rsidRPr="00D876F4">
        <w:rPr>
          <w:sz w:val="20"/>
          <w:szCs w:val="20"/>
        </w:rPr>
        <w:t xml:space="preserve"> requires resources. Yet LGBT organisations cannot always rely on domestic State funding or philanthropy, and in some environments are impeded from doing so. I</w:t>
      </w:r>
      <w:r w:rsidRPr="00D876F4">
        <w:rPr>
          <w:sz w:val="20"/>
          <w:szCs w:val="20"/>
          <w:highlight w:val="white"/>
        </w:rPr>
        <w:t>nternational health cooperation and assistance can be critical in supporting LGBT organisations and communities.</w:t>
      </w:r>
      <w:r w:rsidRPr="00D876F4">
        <w:rPr>
          <w:sz w:val="20"/>
          <w:szCs w:val="20"/>
        </w:rPr>
        <w:t xml:space="preserve"> </w:t>
      </w:r>
      <w:r w:rsidR="00CE1DD9">
        <w:rPr>
          <w:sz w:val="20"/>
          <w:szCs w:val="20"/>
          <w:highlight w:val="white"/>
        </w:rPr>
        <w:t>B</w:t>
      </w:r>
      <w:r w:rsidRPr="00D876F4">
        <w:rPr>
          <w:sz w:val="20"/>
          <w:szCs w:val="20"/>
          <w:highlight w:val="white"/>
        </w:rPr>
        <w:t>oth donor and recipient states</w:t>
      </w:r>
      <w:r w:rsidR="00CE1DD9">
        <w:rPr>
          <w:sz w:val="20"/>
          <w:szCs w:val="20"/>
          <w:highlight w:val="white"/>
        </w:rPr>
        <w:t xml:space="preserve"> should refrain from</w:t>
      </w:r>
      <w:r w:rsidRPr="00D876F4">
        <w:rPr>
          <w:sz w:val="20"/>
          <w:szCs w:val="20"/>
          <w:highlight w:val="white"/>
        </w:rPr>
        <w:t xml:space="preserve"> impos</w:t>
      </w:r>
      <w:r w:rsidR="00CE1DD9">
        <w:rPr>
          <w:sz w:val="20"/>
          <w:szCs w:val="20"/>
          <w:highlight w:val="white"/>
        </w:rPr>
        <w:t>ing</w:t>
      </w:r>
      <w:r w:rsidRPr="00D876F4">
        <w:rPr>
          <w:sz w:val="20"/>
          <w:szCs w:val="20"/>
          <w:highlight w:val="white"/>
        </w:rPr>
        <w:t xml:space="preserve"> </w:t>
      </w:r>
      <w:r w:rsidRPr="00D876F4">
        <w:rPr>
          <w:sz w:val="20"/>
          <w:szCs w:val="20"/>
        </w:rPr>
        <w:t>arbitrary conditions or limitations on international funding.</w:t>
      </w:r>
      <w:r w:rsidRPr="00D876F4">
        <w:rPr>
          <w:sz w:val="20"/>
          <w:szCs w:val="20"/>
          <w:highlight w:val="white"/>
        </w:rPr>
        <w:t xml:space="preserve"> </w:t>
      </w:r>
      <w:r w:rsidRPr="00D876F4">
        <w:rPr>
          <w:sz w:val="20"/>
          <w:szCs w:val="20"/>
        </w:rPr>
        <w:t xml:space="preserve">During his country visit to Mozambique, the IE found that several organizations had to close LGBT-serving facilities due to the </w:t>
      </w:r>
      <w:r w:rsidR="008C249F">
        <w:rPr>
          <w:sz w:val="20"/>
          <w:szCs w:val="20"/>
        </w:rPr>
        <w:t xml:space="preserve">United States’ policy known as </w:t>
      </w:r>
      <w:r w:rsidRPr="00D876F4">
        <w:rPr>
          <w:sz w:val="20"/>
          <w:szCs w:val="20"/>
        </w:rPr>
        <w:t>“global gag rule,” which cut funding to organisations offering abortion-related services and information.</w:t>
      </w:r>
    </w:p>
    <w:p w14:paraId="6B30A4CB" w14:textId="3BCD071B" w:rsidR="00BA0919" w:rsidRPr="00D876F4" w:rsidRDefault="00BA0919" w:rsidP="00FF04F4">
      <w:pPr>
        <w:pStyle w:val="SingleTxtG"/>
        <w:pBdr>
          <w:top w:val="nil"/>
          <w:left w:val="nil"/>
          <w:bottom w:val="nil"/>
          <w:right w:val="nil"/>
          <w:between w:val="nil"/>
          <w:bar w:val="nil"/>
        </w:pBdr>
        <w:spacing w:line="240" w:lineRule="exact"/>
        <w:rPr>
          <w:sz w:val="20"/>
          <w:szCs w:val="20"/>
        </w:rPr>
      </w:pPr>
      <w:r w:rsidRPr="00D876F4">
        <w:rPr>
          <w:color w:val="000000" w:themeColor="text1"/>
          <w:sz w:val="20"/>
          <w:szCs w:val="20"/>
        </w:rPr>
        <w:t>6</w:t>
      </w:r>
      <w:r w:rsidR="007F1F53" w:rsidRPr="00D876F4">
        <w:rPr>
          <w:color w:val="000000" w:themeColor="text1"/>
          <w:sz w:val="20"/>
          <w:szCs w:val="20"/>
        </w:rPr>
        <w:t>6</w:t>
      </w:r>
      <w:r w:rsidRPr="00D876F4">
        <w:rPr>
          <w:color w:val="000000" w:themeColor="text1"/>
          <w:sz w:val="20"/>
          <w:szCs w:val="20"/>
        </w:rPr>
        <w:t>.</w:t>
      </w:r>
      <w:r w:rsidRPr="00D876F4">
        <w:rPr>
          <w:color w:val="000000" w:themeColor="text1"/>
          <w:sz w:val="20"/>
          <w:szCs w:val="20"/>
        </w:rPr>
        <w:tab/>
        <w:t xml:space="preserve">Meaningful </w:t>
      </w:r>
      <w:r w:rsidRPr="00D876F4">
        <w:rPr>
          <w:sz w:val="20"/>
          <w:szCs w:val="20"/>
        </w:rPr>
        <w:t xml:space="preserve">participation of LGBT communities and organisations in the process through which the sustainable development agenda is monitored and implemented was a constant demand made by most submissions received by the IE. Involvement must be </w:t>
      </w:r>
      <w:r w:rsidRPr="00D876F4">
        <w:rPr>
          <w:color w:val="000000"/>
          <w:sz w:val="20"/>
          <w:szCs w:val="20"/>
        </w:rPr>
        <w:t>meaningful</w:t>
      </w:r>
      <w:r w:rsidRPr="00D876F4">
        <w:rPr>
          <w:sz w:val="20"/>
          <w:szCs w:val="20"/>
        </w:rPr>
        <w:t xml:space="preserve"> and effective: some submissions referred to purely performative consultation processes that did not open real spaces for incidence. Policymakers must also adopt measures </w:t>
      </w:r>
      <w:r w:rsidRPr="00D876F4">
        <w:rPr>
          <w:sz w:val="20"/>
          <w:szCs w:val="20"/>
        </w:rPr>
        <w:lastRenderedPageBreak/>
        <w:t>that build trust between LGBT communities and State agents to overcome the distrust created by historical State-sponsored or acquiesced violence.</w:t>
      </w:r>
    </w:p>
    <w:p w14:paraId="442EF981" w14:textId="2E81CBAE" w:rsidR="00BA0919" w:rsidRPr="00D876F4" w:rsidRDefault="00BA0919" w:rsidP="00FF04F4">
      <w:pPr>
        <w:pStyle w:val="SingleTxtG"/>
        <w:pBdr>
          <w:top w:val="nil"/>
          <w:left w:val="nil"/>
          <w:bottom w:val="nil"/>
          <w:right w:val="nil"/>
          <w:between w:val="nil"/>
          <w:bar w:val="nil"/>
        </w:pBdr>
        <w:spacing w:line="240" w:lineRule="exact"/>
        <w:rPr>
          <w:sz w:val="20"/>
          <w:szCs w:val="20"/>
        </w:rPr>
      </w:pPr>
      <w:r w:rsidRPr="00D876F4">
        <w:rPr>
          <w:sz w:val="20"/>
          <w:szCs w:val="20"/>
        </w:rPr>
        <w:t>6</w:t>
      </w:r>
      <w:r w:rsidR="007F1F53" w:rsidRPr="00D876F4">
        <w:rPr>
          <w:sz w:val="20"/>
          <w:szCs w:val="20"/>
        </w:rPr>
        <w:t>7</w:t>
      </w:r>
      <w:r w:rsidRPr="00D876F4">
        <w:rPr>
          <w:sz w:val="20"/>
          <w:szCs w:val="20"/>
        </w:rPr>
        <w:t>.</w:t>
      </w:r>
      <w:r w:rsidRPr="00D876F4">
        <w:rPr>
          <w:sz w:val="20"/>
          <w:szCs w:val="20"/>
        </w:rPr>
        <w:tab/>
        <w:t xml:space="preserve">Some positive developments </w:t>
      </w:r>
      <w:r w:rsidR="005233B8" w:rsidRPr="00D876F4">
        <w:rPr>
          <w:sz w:val="20"/>
          <w:szCs w:val="20"/>
        </w:rPr>
        <w:t>regarding</w:t>
      </w:r>
      <w:r w:rsidRPr="00D876F4">
        <w:rPr>
          <w:sz w:val="20"/>
          <w:szCs w:val="20"/>
        </w:rPr>
        <w:t xml:space="preserve"> LGBT representation and participation are noted at international level. For example, in 2019 a coalition of CSOs working to advance the rights of LGBTI people was formalised as a Stakeholder Group under the UN-convened structure for civil society </w:t>
      </w:r>
      <w:r w:rsidR="008C249F">
        <w:rPr>
          <w:sz w:val="20"/>
          <w:szCs w:val="20"/>
        </w:rPr>
        <w:t xml:space="preserve">and other stakeholder </w:t>
      </w:r>
      <w:r w:rsidRPr="00D876F4">
        <w:rPr>
          <w:sz w:val="20"/>
          <w:szCs w:val="20"/>
        </w:rPr>
        <w:t xml:space="preserve">engagement in the monitoring and review of Agenda 2030, the recommendations of which are </w:t>
      </w:r>
      <w:r w:rsidRPr="00D876F4">
        <w:rPr>
          <w:color w:val="000000"/>
          <w:sz w:val="20"/>
          <w:szCs w:val="20"/>
        </w:rPr>
        <w:t>invaluable</w:t>
      </w:r>
      <w:r w:rsidRPr="00D876F4">
        <w:rPr>
          <w:sz w:val="20"/>
          <w:szCs w:val="20"/>
        </w:rPr>
        <w:t xml:space="preserve">. </w:t>
      </w:r>
      <w:r w:rsidRPr="00D876F4">
        <w:rPr>
          <w:sz w:val="20"/>
          <w:szCs w:val="20"/>
          <w:highlight w:val="white"/>
        </w:rPr>
        <w:t xml:space="preserve">International NGOs working against DV/SOGI have played a leading role in facilitating participation by LGBT organisations in SDG implementation and </w:t>
      </w:r>
      <w:r w:rsidRPr="00D876F4">
        <w:rPr>
          <w:sz w:val="20"/>
          <w:szCs w:val="20"/>
        </w:rPr>
        <w:t>review</w:t>
      </w:r>
      <w:r w:rsidRPr="00D876F4">
        <w:rPr>
          <w:sz w:val="20"/>
          <w:szCs w:val="20"/>
          <w:highlight w:val="white"/>
        </w:rPr>
        <w:t xml:space="preserve"> processes. </w:t>
      </w:r>
      <w:sdt>
        <w:sdtPr>
          <w:rPr>
            <w:sz w:val="20"/>
            <w:szCs w:val="20"/>
          </w:rPr>
          <w:tag w:val="goog_rdk_138"/>
          <w:id w:val="1369483913"/>
        </w:sdtPr>
        <w:sdtEndPr/>
        <w:sdtContent>
          <w:r w:rsidRPr="00D876F4">
            <w:rPr>
              <w:sz w:val="20"/>
              <w:szCs w:val="20"/>
              <w:highlight w:val="white"/>
            </w:rPr>
            <w:t xml:space="preserve">Several </w:t>
          </w:r>
        </w:sdtContent>
      </w:sdt>
      <w:r w:rsidRPr="00D876F4">
        <w:rPr>
          <w:sz w:val="20"/>
          <w:szCs w:val="20"/>
          <w:highlight w:val="white"/>
        </w:rPr>
        <w:t xml:space="preserve">have authored guides on LGBT Inclusion in the SDGs, highlighting the specific challenges LGBTI people face and encouraging LGBTI civil society activists to submit their own “spotlight reports” alongside States’ VNRs at the </w:t>
      </w:r>
      <w:r w:rsidR="005233B8" w:rsidRPr="00D876F4">
        <w:rPr>
          <w:sz w:val="20"/>
          <w:szCs w:val="20"/>
          <w:highlight w:val="white"/>
        </w:rPr>
        <w:t>High-Level</w:t>
      </w:r>
      <w:r w:rsidRPr="00D876F4">
        <w:rPr>
          <w:sz w:val="20"/>
          <w:szCs w:val="20"/>
          <w:highlight w:val="white"/>
        </w:rPr>
        <w:t xml:space="preserve"> Political Forum.</w:t>
      </w:r>
      <w:sdt>
        <w:sdtPr>
          <w:rPr>
            <w:sz w:val="20"/>
            <w:szCs w:val="20"/>
          </w:rPr>
          <w:tag w:val="goog_rdk_139"/>
          <w:id w:val="-1568182094"/>
        </w:sdtPr>
        <w:sdtEndPr/>
        <w:sdtContent>
          <w:r w:rsidRPr="00D876F4">
            <w:rPr>
              <w:sz w:val="20"/>
              <w:szCs w:val="20"/>
              <w:highlight w:val="white"/>
              <w:vertAlign w:val="superscript"/>
            </w:rPr>
            <w:footnoteReference w:id="130"/>
          </w:r>
        </w:sdtContent>
      </w:sdt>
      <w:r w:rsidRPr="00D876F4">
        <w:rPr>
          <w:sz w:val="20"/>
          <w:szCs w:val="20"/>
          <w:highlight w:val="white"/>
        </w:rPr>
        <w:t xml:space="preserve"> </w:t>
      </w:r>
      <w:r w:rsidRPr="00D876F4">
        <w:rPr>
          <w:sz w:val="20"/>
          <w:szCs w:val="20"/>
        </w:rPr>
        <w:t>Nevertheless</w:t>
      </w:r>
      <w:r w:rsidRPr="00D876F4">
        <w:rPr>
          <w:sz w:val="20"/>
          <w:szCs w:val="20"/>
          <w:highlight w:val="white"/>
        </w:rPr>
        <w:t xml:space="preserve">, submissions indicated that national SDG-related </w:t>
      </w:r>
      <w:r w:rsidRPr="00D876F4">
        <w:rPr>
          <w:sz w:val="20"/>
          <w:szCs w:val="20"/>
        </w:rPr>
        <w:t xml:space="preserve">consultations with </w:t>
      </w:r>
      <w:r w:rsidR="00295E02">
        <w:rPr>
          <w:sz w:val="20"/>
          <w:szCs w:val="20"/>
        </w:rPr>
        <w:t>LGBT</w:t>
      </w:r>
      <w:r w:rsidRPr="00D876F4">
        <w:rPr>
          <w:sz w:val="20"/>
          <w:szCs w:val="20"/>
        </w:rPr>
        <w:t>-led organisations and individuals in some contexts are rare or non-existent.</w:t>
      </w:r>
      <w:r w:rsidRPr="00D876F4">
        <w:rPr>
          <w:sz w:val="20"/>
          <w:szCs w:val="20"/>
          <w:highlight w:val="white"/>
        </w:rPr>
        <w:t xml:space="preserve"> They also noted that </w:t>
      </w:r>
      <w:r w:rsidRPr="00D876F4">
        <w:rPr>
          <w:sz w:val="20"/>
          <w:szCs w:val="20"/>
        </w:rPr>
        <w:t>opportunities for participation in global and national consultative processes are often skewed by asymmetries of power within LGBT communities.</w:t>
      </w:r>
    </w:p>
    <w:p w14:paraId="5926AA25" w14:textId="33E51769" w:rsidR="00BA0919" w:rsidRPr="00D876F4" w:rsidRDefault="007F1F53" w:rsidP="00FF04F4">
      <w:pPr>
        <w:pStyle w:val="SingleTxtG"/>
        <w:pBdr>
          <w:top w:val="nil"/>
          <w:left w:val="nil"/>
          <w:bottom w:val="nil"/>
          <w:right w:val="nil"/>
          <w:between w:val="nil"/>
          <w:bar w:val="nil"/>
        </w:pBdr>
        <w:spacing w:line="240" w:lineRule="exact"/>
        <w:rPr>
          <w:i/>
          <w:sz w:val="20"/>
          <w:szCs w:val="20"/>
        </w:rPr>
      </w:pPr>
      <w:r w:rsidRPr="00D876F4">
        <w:rPr>
          <w:sz w:val="20"/>
          <w:szCs w:val="20"/>
        </w:rPr>
        <w:t>68</w:t>
      </w:r>
      <w:r w:rsidR="00BA0919" w:rsidRPr="00D876F4">
        <w:rPr>
          <w:sz w:val="20"/>
          <w:szCs w:val="20"/>
        </w:rPr>
        <w:t>.</w:t>
      </w:r>
      <w:r w:rsidR="00BA0919" w:rsidRPr="00D876F4">
        <w:rPr>
          <w:sz w:val="20"/>
          <w:szCs w:val="20"/>
        </w:rPr>
        <w:tab/>
        <w:t xml:space="preserve">Inter-governmental actors have made notable efforts to facilitate inclusion in SDG processes. For example, UNDP partnered with the World Bank and civil society partners to develop an LGBTI Inclusion Index to measure development outcomes for LGBTI people, </w:t>
      </w:r>
      <w:r w:rsidR="00BA0919" w:rsidRPr="00D876F4">
        <w:rPr>
          <w:color w:val="000000"/>
          <w:sz w:val="20"/>
          <w:szCs w:val="20"/>
        </w:rPr>
        <w:t>aligned</w:t>
      </w:r>
      <w:r w:rsidR="00BA0919" w:rsidRPr="00D876F4">
        <w:rPr>
          <w:sz w:val="20"/>
          <w:szCs w:val="20"/>
        </w:rPr>
        <w:t xml:space="preserve"> with the SDG global indicator framework.</w:t>
      </w:r>
      <w:sdt>
        <w:sdtPr>
          <w:rPr>
            <w:sz w:val="20"/>
            <w:szCs w:val="20"/>
          </w:rPr>
          <w:tag w:val="goog_rdk_140"/>
          <w:id w:val="59829207"/>
        </w:sdtPr>
        <w:sdtEndPr/>
        <w:sdtContent>
          <w:r w:rsidR="00BA0919" w:rsidRPr="00D876F4">
            <w:rPr>
              <w:sz w:val="20"/>
              <w:szCs w:val="20"/>
              <w:vertAlign w:val="superscript"/>
            </w:rPr>
            <w:footnoteReference w:id="131"/>
          </w:r>
        </w:sdtContent>
      </w:sdt>
      <w:r w:rsidR="00BA0919" w:rsidRPr="00D876F4">
        <w:rPr>
          <w:sz w:val="20"/>
          <w:szCs w:val="20"/>
        </w:rPr>
        <w:t xml:space="preserve"> Similarly, the Global AIDS Strategy 2021-2026 was developed through a process that prioritised the participation of some 10</w:t>
      </w:r>
      <w:sdt>
        <w:sdtPr>
          <w:rPr>
            <w:sz w:val="20"/>
            <w:szCs w:val="20"/>
          </w:rPr>
          <w:tag w:val="goog_rdk_141"/>
          <w:id w:val="-18245397"/>
        </w:sdtPr>
        <w:sdtEndPr/>
        <w:sdtContent>
          <w:r w:rsidR="00BA0919" w:rsidRPr="00D876F4">
            <w:rPr>
              <w:sz w:val="20"/>
              <w:szCs w:val="20"/>
            </w:rPr>
            <w:t>,</w:t>
          </w:r>
        </w:sdtContent>
      </w:sdt>
      <w:r w:rsidR="00BA0919" w:rsidRPr="00D876F4">
        <w:rPr>
          <w:sz w:val="20"/>
          <w:szCs w:val="20"/>
        </w:rPr>
        <w:t>000 persons from 160 countries, including LGBTI individuals and other key populations, as a result of which it contains strong targets in relation to community-led and key population-led responses.</w:t>
      </w:r>
      <w:r w:rsidR="00BA0919" w:rsidRPr="00D876F4">
        <w:rPr>
          <w:sz w:val="20"/>
          <w:szCs w:val="20"/>
          <w:vertAlign w:val="superscript"/>
        </w:rPr>
        <w:footnoteReference w:id="132"/>
      </w:r>
    </w:p>
    <w:p w14:paraId="3B5A36F1" w14:textId="30BA9F58" w:rsidR="00BA0919" w:rsidRPr="00D876F4" w:rsidRDefault="00190CEF" w:rsidP="00190CEF">
      <w:pPr>
        <w:pStyle w:val="H23G"/>
        <w:rPr>
          <w:sz w:val="20"/>
          <w:szCs w:val="20"/>
        </w:rPr>
      </w:pPr>
      <w:r w:rsidRPr="00D876F4">
        <w:rPr>
          <w:sz w:val="20"/>
          <w:szCs w:val="20"/>
        </w:rPr>
        <w:tab/>
      </w:r>
      <w:r w:rsidRPr="00D876F4">
        <w:rPr>
          <w:sz w:val="20"/>
          <w:szCs w:val="20"/>
        </w:rPr>
        <w:tab/>
      </w:r>
      <w:r w:rsidR="00BA0919" w:rsidRPr="00D876F4">
        <w:rPr>
          <w:sz w:val="20"/>
          <w:szCs w:val="20"/>
        </w:rPr>
        <w:t>Data and research gaps</w:t>
      </w:r>
    </w:p>
    <w:p w14:paraId="0EFA8BCD" w14:textId="55D46FFA" w:rsidR="00BA0919" w:rsidRPr="00D876F4" w:rsidRDefault="007F1F53" w:rsidP="00FF04F4">
      <w:pPr>
        <w:pStyle w:val="SingleTxtG"/>
        <w:pBdr>
          <w:top w:val="nil"/>
          <w:left w:val="nil"/>
          <w:bottom w:val="nil"/>
          <w:right w:val="nil"/>
          <w:between w:val="nil"/>
          <w:bar w:val="nil"/>
        </w:pBdr>
        <w:spacing w:line="240" w:lineRule="exact"/>
        <w:rPr>
          <w:sz w:val="20"/>
          <w:szCs w:val="20"/>
        </w:rPr>
      </w:pPr>
      <w:r w:rsidRPr="00D876F4">
        <w:rPr>
          <w:sz w:val="20"/>
          <w:szCs w:val="20"/>
        </w:rPr>
        <w:t>69</w:t>
      </w:r>
      <w:r w:rsidR="00BA0919" w:rsidRPr="00D876F4">
        <w:rPr>
          <w:sz w:val="20"/>
          <w:szCs w:val="20"/>
        </w:rPr>
        <w:t>.</w:t>
      </w:r>
      <w:r w:rsidR="00BA0919" w:rsidRPr="00D876F4">
        <w:rPr>
          <w:sz w:val="20"/>
          <w:szCs w:val="20"/>
        </w:rPr>
        <w:tab/>
        <w:t xml:space="preserve">Improving health outcomes for LGBTI persons and monitoring progress on the SDG commitments to “leave no one behind” will require a radical transformation in how data and evidence of DV/SOGI is gathered, </w:t>
      </w:r>
      <w:r w:rsidR="005233B8" w:rsidRPr="00D876F4">
        <w:rPr>
          <w:sz w:val="20"/>
          <w:szCs w:val="20"/>
        </w:rPr>
        <w:t>analysed,</w:t>
      </w:r>
      <w:r w:rsidR="00BA0919" w:rsidRPr="00D876F4">
        <w:rPr>
          <w:sz w:val="20"/>
          <w:szCs w:val="20"/>
        </w:rPr>
        <w:t xml:space="preserve"> and acted on. As noted by the mandate,</w:t>
      </w:r>
      <w:r w:rsidR="00BA0919" w:rsidRPr="00D876F4">
        <w:rPr>
          <w:sz w:val="20"/>
          <w:szCs w:val="20"/>
          <w:vertAlign w:val="superscript"/>
        </w:rPr>
        <w:t xml:space="preserve"> </w:t>
      </w:r>
      <w:r w:rsidR="00BA0919" w:rsidRPr="00D876F4">
        <w:rPr>
          <w:sz w:val="20"/>
          <w:szCs w:val="20"/>
        </w:rPr>
        <w:t xml:space="preserve">there is a dearth of accurate data regarding the scale, </w:t>
      </w:r>
      <w:r w:rsidR="005233B8" w:rsidRPr="00D876F4">
        <w:rPr>
          <w:sz w:val="20"/>
          <w:szCs w:val="20"/>
        </w:rPr>
        <w:t>prevalence,</w:t>
      </w:r>
      <w:r w:rsidR="00BA0919" w:rsidRPr="00D876F4">
        <w:rPr>
          <w:sz w:val="20"/>
          <w:szCs w:val="20"/>
        </w:rPr>
        <w:t xml:space="preserve"> and nature of DV/SOGI worldwide. The systematic collection, disaggregation and analysis of data allowing a comparison of population groups is a key step towards meeting States’ duty to exercise due diligence to protect those at risk of violence and discrimination and to take measures to tackle its causes.</w:t>
      </w:r>
    </w:p>
    <w:p w14:paraId="3CD1FF8E" w14:textId="6B9C04C9" w:rsidR="00BA0919" w:rsidRPr="00D876F4" w:rsidRDefault="007F1F53" w:rsidP="00FF04F4">
      <w:pPr>
        <w:pStyle w:val="SingleTxtG"/>
        <w:pBdr>
          <w:top w:val="nil"/>
          <w:left w:val="nil"/>
          <w:bottom w:val="nil"/>
          <w:right w:val="nil"/>
          <w:between w:val="nil"/>
          <w:bar w:val="nil"/>
        </w:pBdr>
        <w:spacing w:line="240" w:lineRule="exact"/>
        <w:rPr>
          <w:sz w:val="20"/>
          <w:szCs w:val="20"/>
          <w:highlight w:val="white"/>
        </w:rPr>
      </w:pPr>
      <w:r w:rsidRPr="00D876F4">
        <w:rPr>
          <w:sz w:val="20"/>
          <w:szCs w:val="20"/>
        </w:rPr>
        <w:t>70</w:t>
      </w:r>
      <w:r w:rsidR="00BA0919" w:rsidRPr="00D876F4">
        <w:rPr>
          <w:sz w:val="20"/>
          <w:szCs w:val="20"/>
        </w:rPr>
        <w:t>.</w:t>
      </w:r>
      <w:r w:rsidR="00BA0919" w:rsidRPr="00D876F4">
        <w:rPr>
          <w:sz w:val="20"/>
          <w:szCs w:val="20"/>
        </w:rPr>
        <w:tab/>
        <w:t>The mandate notes with great interest the implementation of some important initiatives in this realm. For example, in the United States, the National LGBTQ+ Women’s Community Survey</w:t>
      </w:r>
      <w:r w:rsidR="00876BC2">
        <w:rPr>
          <w:sz w:val="20"/>
          <w:szCs w:val="20"/>
        </w:rPr>
        <w:t xml:space="preserve"> </w:t>
      </w:r>
      <w:r w:rsidR="00BA0919" w:rsidRPr="00D876F4">
        <w:rPr>
          <w:sz w:val="20"/>
          <w:szCs w:val="20"/>
        </w:rPr>
        <w:t>collect</w:t>
      </w:r>
      <w:r w:rsidR="00876BC2">
        <w:rPr>
          <w:sz w:val="20"/>
          <w:szCs w:val="20"/>
        </w:rPr>
        <w:t>s</w:t>
      </w:r>
      <w:r w:rsidR="00BA0919" w:rsidRPr="00D876F4">
        <w:rPr>
          <w:sz w:val="20"/>
          <w:szCs w:val="20"/>
        </w:rPr>
        <w:t xml:space="preserve"> data from the experiences of women who partner with other women;</w:t>
      </w:r>
      <w:r w:rsidR="00BA0919" w:rsidRPr="00D876F4">
        <w:rPr>
          <w:sz w:val="20"/>
          <w:szCs w:val="20"/>
          <w:vertAlign w:val="superscript"/>
        </w:rPr>
        <w:footnoteReference w:id="133"/>
      </w:r>
      <w:r w:rsidR="00BA0919" w:rsidRPr="00D876F4">
        <w:rPr>
          <w:sz w:val="20"/>
          <w:szCs w:val="20"/>
        </w:rPr>
        <w:t xml:space="preserve"> in Mexico, the 2021 National Survey </w:t>
      </w:r>
      <w:r w:rsidR="00BA0919" w:rsidRPr="00D876F4">
        <w:rPr>
          <w:color w:val="000000"/>
          <w:sz w:val="20"/>
          <w:szCs w:val="20"/>
        </w:rPr>
        <w:t>on</w:t>
      </w:r>
      <w:r w:rsidR="00BA0919" w:rsidRPr="00D876F4">
        <w:rPr>
          <w:sz w:val="20"/>
          <w:szCs w:val="20"/>
        </w:rPr>
        <w:t xml:space="preserve"> Sexual and Gender Diversity includes specific data on access to health by LGBT persons;</w:t>
      </w:r>
      <w:r w:rsidR="00BA0919" w:rsidRPr="00D876F4">
        <w:rPr>
          <w:sz w:val="20"/>
          <w:szCs w:val="20"/>
          <w:vertAlign w:val="superscript"/>
        </w:rPr>
        <w:footnoteReference w:id="134"/>
      </w:r>
      <w:r w:rsidR="00BA0919" w:rsidRPr="00D876F4">
        <w:rPr>
          <w:sz w:val="20"/>
          <w:szCs w:val="20"/>
        </w:rPr>
        <w:t xml:space="preserve"> in Australia, the National Drug Strategy Household Survey disaggregates data on the use of alcohol and other drugs by sexuality for people aged 14 and over.</w:t>
      </w:r>
      <w:r w:rsidR="00BA0919" w:rsidRPr="00D876F4">
        <w:rPr>
          <w:sz w:val="20"/>
          <w:szCs w:val="20"/>
          <w:vertAlign w:val="superscript"/>
        </w:rPr>
        <w:footnoteReference w:id="135"/>
      </w:r>
      <w:r w:rsidR="00BA0919" w:rsidRPr="00D876F4">
        <w:rPr>
          <w:sz w:val="20"/>
          <w:szCs w:val="20"/>
        </w:rPr>
        <w:t xml:space="preserve"> Some countries are promoting research that can allow public health decision-makers and administrators to better serve LGBTI populations and further equity and inclusion. In Cuba, for example, the National Centre of Sexual Education was created by the Ministry of Public Health to carry out LGBT-inclusive research, training, capacity building and social communication. </w:t>
      </w:r>
      <w:r w:rsidR="00BA0919" w:rsidRPr="00D876F4">
        <w:rPr>
          <w:sz w:val="20"/>
          <w:szCs w:val="20"/>
          <w:highlight w:val="white"/>
        </w:rPr>
        <w:t>Some good practice research efforts can also be found at the regional and global level.</w:t>
      </w:r>
      <w:r w:rsidR="00BA0919" w:rsidRPr="00D876F4">
        <w:rPr>
          <w:sz w:val="20"/>
          <w:szCs w:val="20"/>
          <w:highlight w:val="white"/>
          <w:vertAlign w:val="superscript"/>
        </w:rPr>
        <w:footnoteReference w:id="136"/>
      </w:r>
      <w:r w:rsidR="00BA0919" w:rsidRPr="00D876F4">
        <w:rPr>
          <w:sz w:val="20"/>
          <w:szCs w:val="20"/>
          <w:highlight w:val="white"/>
        </w:rPr>
        <w:t xml:space="preserve"> </w:t>
      </w:r>
      <w:r w:rsidR="00BA0919" w:rsidRPr="00D876F4">
        <w:rPr>
          <w:sz w:val="20"/>
          <w:szCs w:val="20"/>
        </w:rPr>
        <w:t xml:space="preserve">The European Commission, for </w:t>
      </w:r>
      <w:r w:rsidR="00BA0919" w:rsidRPr="00D876F4">
        <w:rPr>
          <w:sz w:val="20"/>
          <w:szCs w:val="20"/>
        </w:rPr>
        <w:lastRenderedPageBreak/>
        <w:t>example, committed to support health research of relevance to LGBTI persons in its LGBTIQ Equality Strategy 2020-2025.</w:t>
      </w:r>
      <w:r w:rsidR="00BA0919" w:rsidRPr="00D876F4">
        <w:rPr>
          <w:sz w:val="20"/>
          <w:szCs w:val="20"/>
          <w:vertAlign w:val="superscript"/>
        </w:rPr>
        <w:footnoteReference w:id="137"/>
      </w:r>
      <w:r w:rsidR="00BA0919" w:rsidRPr="00D876F4">
        <w:rPr>
          <w:sz w:val="20"/>
          <w:szCs w:val="20"/>
        </w:rPr>
        <w:t xml:space="preserve"> </w:t>
      </w:r>
      <w:r w:rsidR="00876BC2">
        <w:rPr>
          <w:sz w:val="20"/>
          <w:szCs w:val="20"/>
        </w:rPr>
        <w:t xml:space="preserve">Furthermore, the </w:t>
      </w:r>
      <w:r w:rsidR="00BA0919" w:rsidRPr="00D876F4">
        <w:rPr>
          <w:sz w:val="20"/>
          <w:szCs w:val="20"/>
          <w:highlight w:val="white"/>
        </w:rPr>
        <w:t>Global Partnership for Action to Eliminate all Forms of HIV-related Stigma and Discrimination aims to increase coordinated technical assistance and support to country efforts to end stigma and discrimination across six settings: healthcare, justice, education, workplace, humanitarian and community.</w:t>
      </w:r>
      <w:r w:rsidR="00BA0919" w:rsidRPr="00D876F4">
        <w:rPr>
          <w:sz w:val="20"/>
          <w:szCs w:val="20"/>
          <w:highlight w:val="white"/>
          <w:vertAlign w:val="superscript"/>
        </w:rPr>
        <w:footnoteReference w:id="138"/>
      </w:r>
    </w:p>
    <w:p w14:paraId="5F45BA62" w14:textId="5087CBCA" w:rsidR="00BA0919" w:rsidRPr="00D876F4" w:rsidRDefault="007F1F53" w:rsidP="00FF04F4">
      <w:pPr>
        <w:pStyle w:val="SingleTxtG"/>
        <w:pBdr>
          <w:top w:val="nil"/>
          <w:left w:val="nil"/>
          <w:bottom w:val="nil"/>
          <w:right w:val="nil"/>
          <w:between w:val="nil"/>
          <w:bar w:val="nil"/>
        </w:pBdr>
        <w:spacing w:line="240" w:lineRule="exact"/>
        <w:rPr>
          <w:sz w:val="20"/>
          <w:szCs w:val="20"/>
        </w:rPr>
      </w:pPr>
      <w:r w:rsidRPr="00D876F4">
        <w:rPr>
          <w:sz w:val="20"/>
          <w:szCs w:val="20"/>
        </w:rPr>
        <w:t>71</w:t>
      </w:r>
      <w:r w:rsidR="00BA0919" w:rsidRPr="00D876F4">
        <w:rPr>
          <w:sz w:val="20"/>
          <w:szCs w:val="20"/>
        </w:rPr>
        <w:t>.</w:t>
      </w:r>
      <w:r w:rsidR="00BA0919" w:rsidRPr="00D876F4">
        <w:rPr>
          <w:sz w:val="20"/>
          <w:szCs w:val="20"/>
        </w:rPr>
        <w:tab/>
        <w:t xml:space="preserve">The IE is nevertheless aware of serious gaps in the evidence-base </w:t>
      </w:r>
      <w:r w:rsidR="00295E02" w:rsidRPr="00D876F4">
        <w:rPr>
          <w:sz w:val="20"/>
          <w:szCs w:val="20"/>
        </w:rPr>
        <w:t>regarding</w:t>
      </w:r>
      <w:r w:rsidR="00BA0919" w:rsidRPr="00D876F4">
        <w:rPr>
          <w:sz w:val="20"/>
          <w:szCs w:val="20"/>
        </w:rPr>
        <w:t xml:space="preserve"> health-related DV/SOGI. For example, very little contemporary </w:t>
      </w:r>
      <w:r w:rsidR="00BA0919" w:rsidRPr="00D876F4">
        <w:rPr>
          <w:color w:val="000000"/>
          <w:sz w:val="20"/>
          <w:szCs w:val="20"/>
        </w:rPr>
        <w:t>literature</w:t>
      </w:r>
      <w:r w:rsidR="00BA0919" w:rsidRPr="00D876F4">
        <w:rPr>
          <w:sz w:val="20"/>
          <w:szCs w:val="20"/>
        </w:rPr>
        <w:t xml:space="preserve"> exists that addresses the health and well‐being of older lesbian women. Similarly, there is a dearth of research on the right to health of trans men. A submission noted that the lack of discussion on trans pregnancy services leads to stigma and prejudice for trans men who get pregnant, and a hearing before the Inter-American Commission on Human Rights (IACHR) revealed that severe violence in the health sector is among the most common types of violence suffered by trans men.</w:t>
      </w:r>
    </w:p>
    <w:p w14:paraId="110C2C9A" w14:textId="71E0AB1D" w:rsidR="00BA0919" w:rsidRPr="00D876F4" w:rsidRDefault="007F1F53" w:rsidP="00FF04F4">
      <w:pPr>
        <w:pStyle w:val="SingleTxtG"/>
        <w:pBdr>
          <w:top w:val="nil"/>
          <w:left w:val="nil"/>
          <w:bottom w:val="nil"/>
          <w:right w:val="nil"/>
          <w:between w:val="nil"/>
          <w:bar w:val="nil"/>
        </w:pBdr>
        <w:spacing w:line="240" w:lineRule="exact"/>
        <w:rPr>
          <w:b/>
          <w:sz w:val="20"/>
          <w:szCs w:val="20"/>
        </w:rPr>
      </w:pPr>
      <w:r w:rsidRPr="00D876F4">
        <w:rPr>
          <w:sz w:val="20"/>
          <w:szCs w:val="20"/>
        </w:rPr>
        <w:t>72</w:t>
      </w:r>
      <w:r w:rsidR="00BA0919" w:rsidRPr="00D876F4">
        <w:rPr>
          <w:sz w:val="20"/>
          <w:szCs w:val="20"/>
        </w:rPr>
        <w:t>.</w:t>
      </w:r>
      <w:r w:rsidR="00BA0919" w:rsidRPr="00D876F4">
        <w:rPr>
          <w:sz w:val="20"/>
          <w:szCs w:val="20"/>
        </w:rPr>
        <w:tab/>
        <w:t>The SDGs have spurred a globally concerted effort to improve national and global level statistical gathering in areas related to health, inequality</w:t>
      </w:r>
      <w:r w:rsidR="00295E02">
        <w:rPr>
          <w:sz w:val="20"/>
          <w:szCs w:val="20"/>
        </w:rPr>
        <w:t>,</w:t>
      </w:r>
      <w:r w:rsidR="00BA0919" w:rsidRPr="00D876F4">
        <w:rPr>
          <w:sz w:val="20"/>
          <w:szCs w:val="20"/>
        </w:rPr>
        <w:t xml:space="preserve"> and exclusion. Such efforts must be made more responsive to the huge statistical blind spots rendering DV/SOGI largely </w:t>
      </w:r>
      <w:r w:rsidR="00BA0919" w:rsidRPr="00D876F4">
        <w:rPr>
          <w:color w:val="000000"/>
          <w:sz w:val="20"/>
          <w:szCs w:val="20"/>
        </w:rPr>
        <w:t>invisible</w:t>
      </w:r>
      <w:r w:rsidR="00BA0919" w:rsidRPr="00D876F4">
        <w:rPr>
          <w:sz w:val="20"/>
          <w:szCs w:val="20"/>
        </w:rPr>
        <w:t xml:space="preserve"> and therefore largely unaddressed. In contexts of criminalization and stigmatisation, these efforts should also guard against any data being misused for surveillance, harassment, entrapment, arrest, and persecution of LGBT people.</w:t>
      </w:r>
    </w:p>
    <w:p w14:paraId="7BE43E8E" w14:textId="479AC2A4" w:rsidR="00BA0919" w:rsidRPr="00190CEF" w:rsidRDefault="00190CEF" w:rsidP="00190CEF">
      <w:pPr>
        <w:pStyle w:val="HChG"/>
      </w:pPr>
      <w:r>
        <w:tab/>
      </w:r>
      <w:r w:rsidR="00BA0919" w:rsidRPr="00F8584E">
        <w:t>V</w:t>
      </w:r>
      <w:r>
        <w:t>II</w:t>
      </w:r>
      <w:r w:rsidR="00BA0919" w:rsidRPr="00F8584E">
        <w:t>.</w:t>
      </w:r>
      <w:r w:rsidR="00BA0919" w:rsidRPr="00F8584E">
        <w:tab/>
      </w:r>
      <w:r>
        <w:tab/>
      </w:r>
      <w:r w:rsidR="00BA0919" w:rsidRPr="00F8584E">
        <w:t>Conclusions and recommendations</w:t>
      </w:r>
    </w:p>
    <w:p w14:paraId="7E40CB3D" w14:textId="53117963" w:rsidR="00BA0919" w:rsidRPr="00D876F4" w:rsidRDefault="00BA0919" w:rsidP="00FF04F4">
      <w:pPr>
        <w:pStyle w:val="SingleTxtG"/>
        <w:pBdr>
          <w:top w:val="nil"/>
          <w:left w:val="nil"/>
          <w:bottom w:val="nil"/>
          <w:right w:val="nil"/>
          <w:between w:val="nil"/>
          <w:bar w:val="nil"/>
        </w:pBdr>
        <w:spacing w:line="240" w:lineRule="exact"/>
        <w:rPr>
          <w:sz w:val="20"/>
          <w:szCs w:val="20"/>
        </w:rPr>
      </w:pPr>
      <w:r w:rsidRPr="00D876F4">
        <w:rPr>
          <w:sz w:val="20"/>
          <w:szCs w:val="20"/>
        </w:rPr>
        <w:t>7</w:t>
      </w:r>
      <w:r w:rsidR="007F1F53" w:rsidRPr="00D876F4">
        <w:rPr>
          <w:sz w:val="20"/>
          <w:szCs w:val="20"/>
        </w:rPr>
        <w:t>3</w:t>
      </w:r>
      <w:r w:rsidRPr="00D876F4">
        <w:rPr>
          <w:sz w:val="20"/>
          <w:szCs w:val="20"/>
        </w:rPr>
        <w:t>.</w:t>
      </w:r>
      <w:r w:rsidRPr="00D876F4">
        <w:rPr>
          <w:sz w:val="20"/>
          <w:szCs w:val="20"/>
        </w:rPr>
        <w:tab/>
        <w:t xml:space="preserve">As any framework agreed by consensus, the SDGs result from a process in which political considerations shaped the content of the goals and the choice of metrics to monitor them.  The evidence collected for this report strongly suggests that neglecting to address the </w:t>
      </w:r>
      <w:r w:rsidRPr="00D876F4">
        <w:rPr>
          <w:color w:val="000000"/>
          <w:sz w:val="20"/>
          <w:szCs w:val="20"/>
        </w:rPr>
        <w:t>challenges</w:t>
      </w:r>
      <w:r w:rsidRPr="00D876F4">
        <w:rPr>
          <w:sz w:val="20"/>
          <w:szCs w:val="20"/>
        </w:rPr>
        <w:t xml:space="preserve"> created by DV/SOGI could significantly compromise achievement of the goals, creating risk that a significant segment of society will continue to be left behind. The contributions also highlight the considerable efforts made around the globe by LGBTI and women’s rights defenders, CSOs, intergovernmental agencies, national human rights institutions, and numerous member states to address this gap and to ensure that the implementation of the SDG Agenda fulfils its inclusive promise. </w:t>
      </w:r>
    </w:p>
    <w:p w14:paraId="16C1D488" w14:textId="5B707660" w:rsidR="00BA0919" w:rsidRPr="00D876F4" w:rsidRDefault="00BA0919" w:rsidP="00FF04F4">
      <w:pPr>
        <w:pStyle w:val="SingleTxtG"/>
        <w:pBdr>
          <w:top w:val="nil"/>
          <w:left w:val="nil"/>
          <w:bottom w:val="nil"/>
          <w:right w:val="nil"/>
          <w:between w:val="nil"/>
          <w:bar w:val="nil"/>
        </w:pBdr>
        <w:spacing w:line="240" w:lineRule="exact"/>
        <w:rPr>
          <w:sz w:val="20"/>
          <w:szCs w:val="20"/>
        </w:rPr>
      </w:pPr>
      <w:r w:rsidRPr="00D876F4">
        <w:rPr>
          <w:sz w:val="20"/>
          <w:szCs w:val="20"/>
        </w:rPr>
        <w:t>7</w:t>
      </w:r>
      <w:r w:rsidR="007F1F53" w:rsidRPr="00D876F4">
        <w:rPr>
          <w:sz w:val="20"/>
          <w:szCs w:val="20"/>
        </w:rPr>
        <w:t>4</w:t>
      </w:r>
      <w:r w:rsidRPr="00D876F4">
        <w:rPr>
          <w:sz w:val="20"/>
          <w:szCs w:val="20"/>
        </w:rPr>
        <w:t>.</w:t>
      </w:r>
      <w:r w:rsidRPr="00D876F4">
        <w:rPr>
          <w:sz w:val="20"/>
          <w:szCs w:val="20"/>
        </w:rPr>
        <w:tab/>
        <w:t>While underlining the need to remedy the consequences of negation, at the current juncture the SDG framework creates significant opportunities to address the consequences of DV/SOGI in the realm of health, as well as in other areas of exclusion. Compliance with the obligations stemming from the right to the highest attainable standard of health, buttressed by four cross-cutting principles: non-discrimination, participation, representation, and accountability</w:t>
      </w:r>
      <w:r w:rsidR="00FA253E">
        <w:rPr>
          <w:sz w:val="20"/>
          <w:szCs w:val="20"/>
        </w:rPr>
        <w:t>,</w:t>
      </w:r>
      <w:r w:rsidRPr="00D876F4">
        <w:rPr>
          <w:sz w:val="20"/>
          <w:szCs w:val="20"/>
          <w:vertAlign w:val="superscript"/>
        </w:rPr>
        <w:footnoteReference w:id="139"/>
      </w:r>
      <w:r w:rsidRPr="00D876F4">
        <w:rPr>
          <w:sz w:val="20"/>
          <w:szCs w:val="20"/>
        </w:rPr>
        <w:t xml:space="preserve"> is in essence the human rights-based approach that the mandate recommends. With due attention to the plethora of challenges existing in different contexts, this approach must also be implemented with due regard to </w:t>
      </w:r>
      <w:r w:rsidRPr="00D876F4">
        <w:rPr>
          <w:i/>
          <w:sz w:val="20"/>
          <w:szCs w:val="20"/>
        </w:rPr>
        <w:t>Do No Harm</w:t>
      </w:r>
      <w:r w:rsidRPr="00D876F4">
        <w:rPr>
          <w:sz w:val="20"/>
          <w:szCs w:val="20"/>
        </w:rPr>
        <w:t>, intersectional approaches, self-identification, privacy and transparency, and legality.</w:t>
      </w:r>
      <w:r w:rsidRPr="00D876F4">
        <w:rPr>
          <w:sz w:val="20"/>
          <w:szCs w:val="20"/>
          <w:vertAlign w:val="superscript"/>
        </w:rPr>
        <w:footnoteReference w:id="140"/>
      </w:r>
    </w:p>
    <w:p w14:paraId="25031224" w14:textId="2C5DA360" w:rsidR="00BA0919" w:rsidRPr="00D876F4" w:rsidRDefault="00BA0919" w:rsidP="00FF04F4">
      <w:pPr>
        <w:pStyle w:val="SingleTxtG"/>
        <w:pBdr>
          <w:top w:val="nil"/>
          <w:left w:val="nil"/>
          <w:bottom w:val="nil"/>
          <w:right w:val="nil"/>
          <w:between w:val="nil"/>
          <w:bar w:val="nil"/>
        </w:pBdr>
        <w:spacing w:line="240" w:lineRule="exact"/>
        <w:rPr>
          <w:sz w:val="20"/>
          <w:szCs w:val="20"/>
        </w:rPr>
      </w:pPr>
      <w:r w:rsidRPr="00D876F4">
        <w:rPr>
          <w:sz w:val="20"/>
          <w:szCs w:val="20"/>
        </w:rPr>
        <w:t>7</w:t>
      </w:r>
      <w:r w:rsidR="007F1F53" w:rsidRPr="00D876F4">
        <w:rPr>
          <w:sz w:val="20"/>
          <w:szCs w:val="20"/>
        </w:rPr>
        <w:t>5</w:t>
      </w:r>
      <w:r w:rsidRPr="00D876F4">
        <w:rPr>
          <w:sz w:val="20"/>
          <w:szCs w:val="20"/>
        </w:rPr>
        <w:t>.</w:t>
      </w:r>
      <w:r w:rsidRPr="00D876F4">
        <w:rPr>
          <w:sz w:val="20"/>
          <w:szCs w:val="20"/>
        </w:rPr>
        <w:tab/>
        <w:t>The need to advance an inclusive, rights-based approach to health is all the more urgent in the wake of the COVID-19 pandemic, which has highlighted the discriminatory and inequitable impacts of regressive health and socioeconomic policies that do not meet the standards and principles outlined above.</w:t>
      </w:r>
      <w:r w:rsidRPr="00D876F4">
        <w:rPr>
          <w:sz w:val="20"/>
          <w:szCs w:val="20"/>
          <w:vertAlign w:val="superscript"/>
        </w:rPr>
        <w:footnoteReference w:id="141"/>
      </w:r>
      <w:r w:rsidRPr="00D876F4">
        <w:rPr>
          <w:sz w:val="20"/>
          <w:szCs w:val="20"/>
        </w:rPr>
        <w:t xml:space="preserve"> The ASPIRE guidelines, issued by the IE SOGI in June 2020 to guide the design, </w:t>
      </w:r>
      <w:r w:rsidRPr="00D876F4">
        <w:rPr>
          <w:color w:val="000000"/>
          <w:sz w:val="20"/>
          <w:szCs w:val="20"/>
        </w:rPr>
        <w:t>implementation</w:t>
      </w:r>
      <w:r w:rsidRPr="00D876F4">
        <w:rPr>
          <w:sz w:val="20"/>
          <w:szCs w:val="20"/>
        </w:rPr>
        <w:t xml:space="preserve"> and evaluation of rights-based and non-discriminatory pandemic response and recovery measures, contain six steps that can frame a plan of action to fulfil the SDG pledge to “leave no one behind” and to “ensure healthy lives and promote well-being for all at all ages”, regardless of sexual orientation or gender identity.</w:t>
      </w:r>
      <w:r w:rsidR="00295E02">
        <w:rPr>
          <w:rStyle w:val="FootnoteReference"/>
          <w:szCs w:val="20"/>
        </w:rPr>
        <w:footnoteReference w:id="142"/>
      </w:r>
      <w:r w:rsidRPr="00D876F4">
        <w:rPr>
          <w:sz w:val="20"/>
          <w:szCs w:val="20"/>
        </w:rPr>
        <w:t xml:space="preserve"> T</w:t>
      </w:r>
      <w:r w:rsidR="000F11BE" w:rsidRPr="00D876F4">
        <w:rPr>
          <w:sz w:val="20"/>
          <w:szCs w:val="20"/>
        </w:rPr>
        <w:t>h</w:t>
      </w:r>
      <w:r w:rsidR="000F11BE">
        <w:rPr>
          <w:sz w:val="20"/>
          <w:szCs w:val="20"/>
        </w:rPr>
        <w:t>is</w:t>
      </w:r>
      <w:r w:rsidR="000F11BE" w:rsidRPr="00D876F4">
        <w:rPr>
          <w:sz w:val="20"/>
          <w:szCs w:val="20"/>
        </w:rPr>
        <w:t xml:space="preserve"> universal pledge </w:t>
      </w:r>
      <w:r w:rsidR="00B75D7A">
        <w:rPr>
          <w:sz w:val="20"/>
          <w:szCs w:val="20"/>
        </w:rPr>
        <w:t xml:space="preserve">made </w:t>
      </w:r>
      <w:r w:rsidR="000F11BE" w:rsidRPr="00D876F4">
        <w:rPr>
          <w:sz w:val="20"/>
          <w:szCs w:val="20"/>
        </w:rPr>
        <w:t xml:space="preserve">by UN member states and endorsed by an </w:t>
      </w:r>
      <w:r w:rsidR="000F11BE" w:rsidRPr="00D876F4">
        <w:rPr>
          <w:sz w:val="20"/>
          <w:szCs w:val="20"/>
        </w:rPr>
        <w:lastRenderedPageBreak/>
        <w:t>unprecedented range of intergovernmental and non-governmental stakeholders, is an unmissable opportunity to put the ASPIRE guidelines into practice as a tool for queering the SDGs and fulfilling their promise of “realising the human rights of all”.</w:t>
      </w:r>
    </w:p>
    <w:p w14:paraId="01DBB36B" w14:textId="4ACB0CBC" w:rsidR="00BA0919" w:rsidRPr="00D876F4" w:rsidRDefault="00BA0919" w:rsidP="00FF04F4">
      <w:pPr>
        <w:pStyle w:val="SingleTxtG"/>
        <w:pBdr>
          <w:top w:val="nil"/>
          <w:left w:val="nil"/>
          <w:bottom w:val="nil"/>
          <w:right w:val="nil"/>
          <w:between w:val="nil"/>
          <w:bar w:val="nil"/>
        </w:pBdr>
        <w:spacing w:line="240" w:lineRule="exact"/>
        <w:rPr>
          <w:sz w:val="20"/>
          <w:szCs w:val="20"/>
        </w:rPr>
      </w:pPr>
      <w:r w:rsidRPr="00D876F4">
        <w:rPr>
          <w:sz w:val="20"/>
          <w:szCs w:val="20"/>
        </w:rPr>
        <w:t>7</w:t>
      </w:r>
      <w:r w:rsidR="007F1F53" w:rsidRPr="00D876F4">
        <w:rPr>
          <w:sz w:val="20"/>
          <w:szCs w:val="20"/>
        </w:rPr>
        <w:t>6</w:t>
      </w:r>
      <w:r w:rsidRPr="00D876F4">
        <w:rPr>
          <w:sz w:val="20"/>
          <w:szCs w:val="20"/>
        </w:rPr>
        <w:t>.</w:t>
      </w:r>
      <w:r w:rsidRPr="00D876F4">
        <w:rPr>
          <w:sz w:val="20"/>
          <w:szCs w:val="20"/>
        </w:rPr>
        <w:tab/>
        <w:t>In dynamizing efforts to fulfil their SDG commitments, the mandate therefore recommends that States adopt the following measures:</w:t>
      </w:r>
    </w:p>
    <w:p w14:paraId="6C1F15C4" w14:textId="6979E064" w:rsidR="00BA0919" w:rsidRPr="00D876F4" w:rsidRDefault="00190CEF" w:rsidP="001C016B">
      <w:pPr>
        <w:pStyle w:val="H23G"/>
        <w:rPr>
          <w:sz w:val="20"/>
          <w:szCs w:val="20"/>
        </w:rPr>
      </w:pPr>
      <w:r w:rsidRPr="00D876F4">
        <w:rPr>
          <w:sz w:val="20"/>
          <w:szCs w:val="20"/>
        </w:rPr>
        <w:tab/>
      </w:r>
      <w:r w:rsidRPr="00D876F4">
        <w:rPr>
          <w:sz w:val="20"/>
          <w:szCs w:val="20"/>
        </w:rPr>
        <w:tab/>
      </w:r>
      <w:r w:rsidR="00BA0919" w:rsidRPr="00D876F4">
        <w:rPr>
          <w:sz w:val="20"/>
          <w:szCs w:val="20"/>
        </w:rPr>
        <w:t>Acknowledgement</w:t>
      </w:r>
    </w:p>
    <w:p w14:paraId="429AE8F3" w14:textId="7078C2C4" w:rsidR="00BA0919" w:rsidRPr="00D876F4" w:rsidRDefault="00BA0919" w:rsidP="003F3E83">
      <w:pPr>
        <w:numPr>
          <w:ilvl w:val="0"/>
          <w:numId w:val="13"/>
        </w:numPr>
        <w:spacing w:after="120"/>
        <w:ind w:left="1134" w:right="1134" w:firstLine="567"/>
        <w:jc w:val="both"/>
        <w:rPr>
          <w:sz w:val="20"/>
          <w:szCs w:val="20"/>
        </w:rPr>
      </w:pPr>
      <w:r w:rsidRPr="00D876F4">
        <w:rPr>
          <w:sz w:val="20"/>
          <w:szCs w:val="20"/>
        </w:rPr>
        <w:t>Acknowledge that ensuring healthy lives and promoting well-being for all, leaving no one behind, will only be achieved if discrimination and violence based on sexual orientation and gender identity, as well as on sex characteristics, are addressed through actions conducive to their eradication;</w:t>
      </w:r>
    </w:p>
    <w:p w14:paraId="0BE338FD" w14:textId="20AB15B5" w:rsidR="00BA0919" w:rsidRPr="00D876F4" w:rsidRDefault="00BA0919" w:rsidP="003F3E83">
      <w:pPr>
        <w:numPr>
          <w:ilvl w:val="0"/>
          <w:numId w:val="13"/>
        </w:numPr>
        <w:spacing w:after="120"/>
        <w:ind w:left="1134" w:right="1134" w:firstLine="567"/>
        <w:jc w:val="both"/>
        <w:rPr>
          <w:sz w:val="20"/>
          <w:szCs w:val="20"/>
        </w:rPr>
      </w:pPr>
      <w:r w:rsidRPr="00D876F4">
        <w:rPr>
          <w:sz w:val="20"/>
          <w:szCs w:val="20"/>
        </w:rPr>
        <w:t>Explicitly recognize lesbian, gay, bisexual, trans and other gender diverse persons, and intersex persons, as subjects of rights and agents of sustainable development in all global, regional and national SDG implementation plans in the future;</w:t>
      </w:r>
    </w:p>
    <w:p w14:paraId="5F4654B8" w14:textId="08C758CB" w:rsidR="00BA0919" w:rsidRPr="00D876F4" w:rsidRDefault="00BA0919" w:rsidP="003F3E83">
      <w:pPr>
        <w:numPr>
          <w:ilvl w:val="0"/>
          <w:numId w:val="13"/>
        </w:numPr>
        <w:spacing w:after="120"/>
        <w:ind w:left="1134" w:right="1134" w:firstLine="567"/>
        <w:jc w:val="both"/>
        <w:rPr>
          <w:sz w:val="20"/>
          <w:szCs w:val="20"/>
        </w:rPr>
      </w:pPr>
      <w:r w:rsidRPr="00D876F4">
        <w:rPr>
          <w:sz w:val="20"/>
          <w:szCs w:val="20"/>
        </w:rPr>
        <w:t xml:space="preserve">Acknowledge and act on the evidence that COVID-19 has had disproportionate impact on populations historically subjected to discrimination, including LGBT persons and their communities, as detailed in the report of the mandate on the matter (A/75/258);  </w:t>
      </w:r>
    </w:p>
    <w:p w14:paraId="61A99DC2" w14:textId="3A94BE47" w:rsidR="00BA0919" w:rsidRPr="00D876F4" w:rsidRDefault="00BA0919" w:rsidP="003F3E83">
      <w:pPr>
        <w:numPr>
          <w:ilvl w:val="0"/>
          <w:numId w:val="13"/>
        </w:numPr>
        <w:spacing w:after="120"/>
        <w:ind w:left="1134" w:right="1134" w:firstLine="567"/>
        <w:jc w:val="both"/>
        <w:rPr>
          <w:sz w:val="20"/>
          <w:szCs w:val="20"/>
        </w:rPr>
      </w:pPr>
      <w:r w:rsidRPr="00D876F4">
        <w:rPr>
          <w:sz w:val="20"/>
          <w:szCs w:val="20"/>
        </w:rPr>
        <w:t>Address issues concerning violence and discrimination based on sexual orientation and gender identity, as well as sex characteristics, under relevant items of the agenda of the High</w:t>
      </w:r>
      <w:r w:rsidR="00B75D7A">
        <w:rPr>
          <w:sz w:val="20"/>
          <w:szCs w:val="20"/>
        </w:rPr>
        <w:t>-</w:t>
      </w:r>
      <w:r w:rsidRPr="00D876F4">
        <w:rPr>
          <w:sz w:val="20"/>
          <w:szCs w:val="20"/>
        </w:rPr>
        <w:t>Level Political Forum in 2022, including in the thematic review of SDG5, as well as in the agenda of future review fora and monitoring processes at global, regional</w:t>
      </w:r>
      <w:r w:rsidR="00B75D7A">
        <w:rPr>
          <w:sz w:val="20"/>
          <w:szCs w:val="20"/>
        </w:rPr>
        <w:t>,</w:t>
      </w:r>
      <w:r w:rsidRPr="00D876F4">
        <w:rPr>
          <w:sz w:val="20"/>
          <w:szCs w:val="20"/>
        </w:rPr>
        <w:t xml:space="preserve"> and national level.</w:t>
      </w:r>
    </w:p>
    <w:p w14:paraId="3F4B1540" w14:textId="467ACD48" w:rsidR="00BA0919" w:rsidRPr="00D876F4" w:rsidRDefault="001C016B" w:rsidP="001C016B">
      <w:pPr>
        <w:pStyle w:val="H23G"/>
        <w:rPr>
          <w:sz w:val="20"/>
          <w:szCs w:val="20"/>
        </w:rPr>
      </w:pPr>
      <w:r w:rsidRPr="00D876F4">
        <w:rPr>
          <w:sz w:val="20"/>
          <w:szCs w:val="20"/>
        </w:rPr>
        <w:tab/>
      </w:r>
      <w:r w:rsidRPr="00D876F4">
        <w:rPr>
          <w:sz w:val="20"/>
          <w:szCs w:val="20"/>
        </w:rPr>
        <w:tab/>
      </w:r>
      <w:r w:rsidR="00BA0919" w:rsidRPr="00D876F4">
        <w:rPr>
          <w:sz w:val="20"/>
          <w:szCs w:val="20"/>
        </w:rPr>
        <w:t>Support</w:t>
      </w:r>
    </w:p>
    <w:p w14:paraId="10BCE1B0" w14:textId="047A1553" w:rsidR="00BA0919" w:rsidRPr="00D876F4" w:rsidRDefault="00BA0919" w:rsidP="003F3E83">
      <w:pPr>
        <w:numPr>
          <w:ilvl w:val="0"/>
          <w:numId w:val="10"/>
        </w:numPr>
        <w:pBdr>
          <w:top w:val="nil"/>
          <w:left w:val="nil"/>
          <w:bottom w:val="nil"/>
          <w:right w:val="nil"/>
          <w:between w:val="nil"/>
        </w:pBdr>
        <w:spacing w:after="120"/>
        <w:ind w:left="1134" w:right="1134" w:firstLine="567"/>
        <w:jc w:val="both"/>
        <w:rPr>
          <w:sz w:val="20"/>
          <w:szCs w:val="20"/>
        </w:rPr>
      </w:pPr>
      <w:r w:rsidRPr="00D876F4">
        <w:rPr>
          <w:sz w:val="20"/>
          <w:szCs w:val="20"/>
        </w:rPr>
        <w:t>Refrain from attacks on LGBT-led and serving, as well as intersex</w:t>
      </w:r>
      <w:r w:rsidR="00565D3F">
        <w:rPr>
          <w:sz w:val="20"/>
          <w:szCs w:val="20"/>
        </w:rPr>
        <w:t>-</w:t>
      </w:r>
      <w:r w:rsidRPr="00D876F4">
        <w:rPr>
          <w:sz w:val="20"/>
          <w:szCs w:val="20"/>
        </w:rPr>
        <w:t xml:space="preserve">led and serving CSOs, and immediately rescind any laws and policies placing arbitrary and discriminatory restrictions to their work. These organisations must be enabled to operate in a conducive legal, institutional and social environment, without fear or arbitrary restriction; </w:t>
      </w:r>
    </w:p>
    <w:p w14:paraId="3C5BEF3B" w14:textId="07401E53" w:rsidR="00BA0919" w:rsidRPr="00D876F4" w:rsidRDefault="00BA0919" w:rsidP="003F3E83">
      <w:pPr>
        <w:numPr>
          <w:ilvl w:val="0"/>
          <w:numId w:val="10"/>
        </w:numPr>
        <w:pBdr>
          <w:top w:val="nil"/>
          <w:left w:val="nil"/>
          <w:bottom w:val="nil"/>
          <w:right w:val="nil"/>
          <w:between w:val="nil"/>
        </w:pBdr>
        <w:spacing w:after="120"/>
        <w:ind w:left="1134" w:right="1134" w:firstLine="567"/>
        <w:jc w:val="both"/>
        <w:rPr>
          <w:sz w:val="20"/>
          <w:szCs w:val="20"/>
        </w:rPr>
      </w:pPr>
      <w:r w:rsidRPr="00D876F4">
        <w:rPr>
          <w:sz w:val="20"/>
          <w:szCs w:val="20"/>
        </w:rPr>
        <w:t>Recognize advocates working on sexual orientation and gender identity issues as human rights defenders, guaranteeing them and their organisations the full range of protections outlined in the Declaration on Human Rights Defenders;</w:t>
      </w:r>
    </w:p>
    <w:p w14:paraId="2DF57464" w14:textId="162C5EFE" w:rsidR="00BA0919" w:rsidRPr="00D876F4" w:rsidRDefault="00BA0919" w:rsidP="003F3E83">
      <w:pPr>
        <w:numPr>
          <w:ilvl w:val="0"/>
          <w:numId w:val="10"/>
        </w:numPr>
        <w:pBdr>
          <w:top w:val="nil"/>
          <w:left w:val="nil"/>
          <w:bottom w:val="nil"/>
          <w:right w:val="nil"/>
          <w:between w:val="nil"/>
        </w:pBdr>
        <w:spacing w:after="120"/>
        <w:ind w:left="1134" w:right="1134" w:firstLine="567"/>
        <w:jc w:val="both"/>
        <w:rPr>
          <w:sz w:val="20"/>
          <w:szCs w:val="20"/>
        </w:rPr>
      </w:pPr>
      <w:r w:rsidRPr="00D876F4">
        <w:rPr>
          <w:sz w:val="20"/>
          <w:szCs w:val="20"/>
        </w:rPr>
        <w:t>States in a position to do so should prioritise support for LGBTI human rights defenders and organisations when providing international cooperation and assistance in the areas of health and human rights, and affirm the value of their role and expertise through all relevant means. Both donor and recipient states should avoid the imposition of arbitrary restrictions or limitations on such assistance;</w:t>
      </w:r>
    </w:p>
    <w:p w14:paraId="1DCF15FC" w14:textId="7BE0B897" w:rsidR="00BA0919" w:rsidRPr="00D876F4" w:rsidRDefault="00BA0919" w:rsidP="003F3E83">
      <w:pPr>
        <w:numPr>
          <w:ilvl w:val="0"/>
          <w:numId w:val="10"/>
        </w:numPr>
        <w:pBdr>
          <w:top w:val="nil"/>
          <w:left w:val="nil"/>
          <w:bottom w:val="nil"/>
          <w:right w:val="nil"/>
          <w:between w:val="nil"/>
        </w:pBdr>
        <w:spacing w:after="120"/>
        <w:ind w:left="1134" w:right="1134" w:firstLine="567"/>
        <w:jc w:val="both"/>
        <w:rPr>
          <w:sz w:val="20"/>
          <w:szCs w:val="20"/>
        </w:rPr>
      </w:pPr>
      <w:r w:rsidRPr="00D876F4">
        <w:rPr>
          <w:sz w:val="20"/>
          <w:szCs w:val="20"/>
        </w:rPr>
        <w:t xml:space="preserve">Recognise the impact of the COVID-19 pandemic on such organisations and ensure, within the scope of the State’s functions, the adoption of all relevant measures to </w:t>
      </w:r>
      <w:sdt>
        <w:sdtPr>
          <w:rPr>
            <w:sz w:val="20"/>
            <w:szCs w:val="20"/>
          </w:rPr>
          <w:tag w:val="goog_rdk_154"/>
          <w:id w:val="726811985"/>
        </w:sdtPr>
        <w:sdtEndPr/>
        <w:sdtContent>
          <w:r w:rsidRPr="00D876F4">
            <w:rPr>
              <w:sz w:val="20"/>
              <w:szCs w:val="20"/>
            </w:rPr>
            <w:t>address</w:t>
          </w:r>
        </w:sdtContent>
      </w:sdt>
      <w:sdt>
        <w:sdtPr>
          <w:rPr>
            <w:sz w:val="20"/>
            <w:szCs w:val="20"/>
          </w:rPr>
          <w:tag w:val="goog_rdk_155"/>
          <w:id w:val="2079162197"/>
          <w:showingPlcHdr/>
        </w:sdtPr>
        <w:sdtEndPr/>
        <w:sdtContent>
          <w:r w:rsidRPr="00D876F4">
            <w:rPr>
              <w:sz w:val="20"/>
              <w:szCs w:val="20"/>
            </w:rPr>
            <w:t xml:space="preserve">     </w:t>
          </w:r>
        </w:sdtContent>
      </w:sdt>
      <w:r w:rsidRPr="00D876F4">
        <w:rPr>
          <w:sz w:val="20"/>
          <w:szCs w:val="20"/>
        </w:rPr>
        <w:t xml:space="preserve"> the resulting consequences.  </w:t>
      </w:r>
    </w:p>
    <w:p w14:paraId="6FAF69A4" w14:textId="13815EA3" w:rsidR="00BA0919" w:rsidRPr="00D876F4" w:rsidRDefault="001C016B" w:rsidP="001C016B">
      <w:pPr>
        <w:pStyle w:val="H23G"/>
        <w:rPr>
          <w:sz w:val="20"/>
          <w:szCs w:val="20"/>
        </w:rPr>
      </w:pPr>
      <w:r w:rsidRPr="00D876F4">
        <w:rPr>
          <w:sz w:val="20"/>
          <w:szCs w:val="20"/>
        </w:rPr>
        <w:tab/>
      </w:r>
      <w:r w:rsidRPr="00D876F4">
        <w:rPr>
          <w:sz w:val="20"/>
          <w:szCs w:val="20"/>
        </w:rPr>
        <w:tab/>
      </w:r>
      <w:r w:rsidR="00BA0919" w:rsidRPr="00D876F4">
        <w:rPr>
          <w:sz w:val="20"/>
          <w:szCs w:val="20"/>
        </w:rPr>
        <w:t>Protection</w:t>
      </w:r>
    </w:p>
    <w:p w14:paraId="12EA6D87" w14:textId="1A0850A2" w:rsidR="00BA0919" w:rsidRPr="00D876F4" w:rsidRDefault="00BA0919" w:rsidP="001C016B">
      <w:pPr>
        <w:numPr>
          <w:ilvl w:val="0"/>
          <w:numId w:val="14"/>
        </w:numPr>
        <w:pBdr>
          <w:top w:val="nil"/>
          <w:left w:val="nil"/>
          <w:bottom w:val="nil"/>
          <w:right w:val="nil"/>
          <w:between w:val="nil"/>
        </w:pBdr>
        <w:spacing w:after="120"/>
        <w:ind w:left="1134" w:right="1134" w:firstLine="0"/>
        <w:jc w:val="both"/>
        <w:rPr>
          <w:sz w:val="20"/>
          <w:szCs w:val="20"/>
        </w:rPr>
      </w:pPr>
      <w:r w:rsidRPr="00D876F4">
        <w:rPr>
          <w:sz w:val="20"/>
          <w:szCs w:val="20"/>
        </w:rPr>
        <w:t xml:space="preserve">Adopt all measures necessary for the consideration of constitutional or legal protection from violence and discrimination based on sexual orientation and gender identity, as well as sex characteristics, as detailed in the mandate’s report on the matter (A/HRC/35/36); </w:t>
      </w:r>
    </w:p>
    <w:p w14:paraId="1B4C8FF6" w14:textId="2183787A" w:rsidR="00BA0919" w:rsidRPr="00D876F4" w:rsidRDefault="00BA0919" w:rsidP="001C016B">
      <w:pPr>
        <w:numPr>
          <w:ilvl w:val="0"/>
          <w:numId w:val="14"/>
        </w:numPr>
        <w:pBdr>
          <w:top w:val="nil"/>
          <w:left w:val="nil"/>
          <w:bottom w:val="nil"/>
          <w:right w:val="nil"/>
          <w:between w:val="nil"/>
        </w:pBdr>
        <w:spacing w:after="120"/>
        <w:ind w:left="1134" w:right="1134" w:firstLine="0"/>
        <w:jc w:val="both"/>
        <w:rPr>
          <w:sz w:val="20"/>
          <w:szCs w:val="20"/>
        </w:rPr>
      </w:pPr>
      <w:r w:rsidRPr="00D876F4">
        <w:rPr>
          <w:sz w:val="20"/>
          <w:szCs w:val="20"/>
        </w:rPr>
        <w:t xml:space="preserve">Repeal all legislation </w:t>
      </w:r>
      <w:r w:rsidR="005A2C21" w:rsidRPr="00D876F4">
        <w:rPr>
          <w:sz w:val="20"/>
          <w:szCs w:val="20"/>
        </w:rPr>
        <w:t xml:space="preserve">enabling, promoting or acquiescing to the human rights violations perpetrated against lesbian, gay and bisexual persons, trans and other gender diverse persons, and intersex persons, as detailed in this report; </w:t>
      </w:r>
    </w:p>
    <w:p w14:paraId="00544395" w14:textId="21A2486C" w:rsidR="00BA0919" w:rsidRPr="00D876F4" w:rsidRDefault="00BA0919" w:rsidP="001C016B">
      <w:pPr>
        <w:numPr>
          <w:ilvl w:val="0"/>
          <w:numId w:val="14"/>
        </w:numPr>
        <w:pBdr>
          <w:top w:val="nil"/>
          <w:left w:val="nil"/>
          <w:bottom w:val="nil"/>
          <w:right w:val="nil"/>
          <w:between w:val="nil"/>
        </w:pBdr>
        <w:spacing w:after="120"/>
        <w:ind w:left="1134" w:right="1134" w:firstLine="0"/>
        <w:jc w:val="both"/>
        <w:rPr>
          <w:sz w:val="20"/>
          <w:szCs w:val="20"/>
        </w:rPr>
      </w:pPr>
      <w:r w:rsidRPr="00D876F4">
        <w:rPr>
          <w:sz w:val="20"/>
          <w:szCs w:val="20"/>
        </w:rPr>
        <w:t xml:space="preserve">Repeal legislative, administrative and other measures enabling, promoting or acquiescing to pathologising views of sexual orientation and gender identity, in line with the recommendations set out in the </w:t>
      </w:r>
      <w:r w:rsidR="00FA253E">
        <w:rPr>
          <w:sz w:val="20"/>
          <w:szCs w:val="20"/>
        </w:rPr>
        <w:t xml:space="preserve">previous </w:t>
      </w:r>
      <w:r w:rsidRPr="00D876F4">
        <w:rPr>
          <w:sz w:val="20"/>
          <w:szCs w:val="20"/>
        </w:rPr>
        <w:t>reports of the mandate (</w:t>
      </w:r>
      <w:r w:rsidR="00FA253E">
        <w:rPr>
          <w:sz w:val="20"/>
          <w:szCs w:val="20"/>
        </w:rPr>
        <w:t xml:space="preserve">A/73/152 and </w:t>
      </w:r>
      <w:r w:rsidRPr="00D876F4">
        <w:rPr>
          <w:sz w:val="20"/>
          <w:szCs w:val="20"/>
        </w:rPr>
        <w:t>A/HRC/44/53);</w:t>
      </w:r>
    </w:p>
    <w:p w14:paraId="1B59B695" w14:textId="3B098DF0" w:rsidR="00BA0919" w:rsidRPr="00D876F4" w:rsidRDefault="00BA0919" w:rsidP="001C016B">
      <w:pPr>
        <w:numPr>
          <w:ilvl w:val="0"/>
          <w:numId w:val="14"/>
        </w:numPr>
        <w:pBdr>
          <w:top w:val="nil"/>
          <w:left w:val="nil"/>
          <w:bottom w:val="nil"/>
          <w:right w:val="nil"/>
          <w:between w:val="nil"/>
        </w:pBdr>
        <w:spacing w:after="120"/>
        <w:ind w:left="1134" w:right="1134" w:firstLine="0"/>
        <w:jc w:val="both"/>
        <w:rPr>
          <w:sz w:val="20"/>
          <w:szCs w:val="20"/>
        </w:rPr>
      </w:pPr>
      <w:r w:rsidRPr="00D876F4">
        <w:rPr>
          <w:sz w:val="20"/>
          <w:szCs w:val="20"/>
        </w:rPr>
        <w:t>Provide recognition of gender identity based on self-identification through all relevant means, as detailed in the mandate’s report on the matter (A/73/152);</w:t>
      </w:r>
    </w:p>
    <w:p w14:paraId="2D196A6A" w14:textId="77F49E69" w:rsidR="00BA0919" w:rsidRPr="00D876F4" w:rsidRDefault="00BA0919" w:rsidP="003F3E83">
      <w:pPr>
        <w:numPr>
          <w:ilvl w:val="0"/>
          <w:numId w:val="14"/>
        </w:numPr>
        <w:pBdr>
          <w:top w:val="nil"/>
          <w:left w:val="nil"/>
          <w:bottom w:val="nil"/>
          <w:right w:val="nil"/>
          <w:between w:val="nil"/>
        </w:pBdr>
        <w:spacing w:after="120"/>
        <w:ind w:left="1134" w:right="1134" w:firstLine="567"/>
        <w:jc w:val="both"/>
        <w:rPr>
          <w:sz w:val="20"/>
          <w:szCs w:val="20"/>
        </w:rPr>
      </w:pPr>
      <w:r w:rsidRPr="00D876F4">
        <w:rPr>
          <w:sz w:val="20"/>
          <w:szCs w:val="20"/>
        </w:rPr>
        <w:lastRenderedPageBreak/>
        <w:t>Address violence and discrimination based on sexual orientation and gender identity, as well as on sex characteristics, in access to health through political, strategic and programmatic action;</w:t>
      </w:r>
    </w:p>
    <w:p w14:paraId="7A948EE8" w14:textId="2D934B12" w:rsidR="00BA0919" w:rsidRPr="00D876F4" w:rsidRDefault="00BA0919" w:rsidP="003F3E83">
      <w:pPr>
        <w:numPr>
          <w:ilvl w:val="0"/>
          <w:numId w:val="14"/>
        </w:numPr>
        <w:pBdr>
          <w:top w:val="nil"/>
          <w:left w:val="nil"/>
          <w:bottom w:val="nil"/>
          <w:right w:val="nil"/>
          <w:between w:val="nil"/>
        </w:pBdr>
        <w:spacing w:after="120"/>
        <w:ind w:left="1134" w:right="1134" w:firstLine="567"/>
        <w:jc w:val="both"/>
        <w:rPr>
          <w:sz w:val="20"/>
          <w:szCs w:val="20"/>
        </w:rPr>
      </w:pPr>
      <w:r w:rsidRPr="00D876F4">
        <w:rPr>
          <w:sz w:val="20"/>
          <w:szCs w:val="20"/>
        </w:rPr>
        <w:t>Provide training and sensitisation for public officials, including as a priority those working in the health, security, justice and education sectors, in relation to violence and discrimination based on sexual orientation and gender identity, as well as on sex characteristics;</w:t>
      </w:r>
    </w:p>
    <w:p w14:paraId="6E8CCA11" w14:textId="3B1533D5" w:rsidR="00BA0919" w:rsidRPr="00D876F4" w:rsidRDefault="001C016B" w:rsidP="001C016B">
      <w:pPr>
        <w:pStyle w:val="H23G"/>
        <w:rPr>
          <w:sz w:val="20"/>
          <w:szCs w:val="20"/>
        </w:rPr>
      </w:pPr>
      <w:r w:rsidRPr="00D876F4">
        <w:rPr>
          <w:sz w:val="20"/>
          <w:szCs w:val="20"/>
        </w:rPr>
        <w:tab/>
      </w:r>
      <w:r w:rsidRPr="00D876F4">
        <w:rPr>
          <w:sz w:val="20"/>
          <w:szCs w:val="20"/>
        </w:rPr>
        <w:tab/>
      </w:r>
      <w:r w:rsidR="00BA0919" w:rsidRPr="00D876F4">
        <w:rPr>
          <w:sz w:val="20"/>
          <w:szCs w:val="20"/>
        </w:rPr>
        <w:t>Indirect Discrimination</w:t>
      </w:r>
    </w:p>
    <w:p w14:paraId="302208FD" w14:textId="3245597C" w:rsidR="00BA0919" w:rsidRPr="00D876F4" w:rsidRDefault="00BA0919" w:rsidP="003F3E83">
      <w:pPr>
        <w:numPr>
          <w:ilvl w:val="0"/>
          <w:numId w:val="15"/>
        </w:numPr>
        <w:pBdr>
          <w:top w:val="nil"/>
          <w:left w:val="nil"/>
          <w:bottom w:val="nil"/>
          <w:right w:val="nil"/>
          <w:between w:val="nil"/>
        </w:pBdr>
        <w:spacing w:after="120"/>
        <w:ind w:left="1134" w:right="1134" w:firstLine="567"/>
        <w:jc w:val="both"/>
        <w:rPr>
          <w:sz w:val="20"/>
          <w:szCs w:val="20"/>
        </w:rPr>
      </w:pPr>
      <w:r w:rsidRPr="00D876F4">
        <w:rPr>
          <w:sz w:val="20"/>
          <w:szCs w:val="20"/>
        </w:rPr>
        <w:t>In furtherance of the principle of prevention, include adequate mechanisms in process design and implementation of legislative, administrative or any other State measure impacting access to health, so that all available expertise about possible indirect discriminatory impact is part of the process and is given timely, serious and consequential consideration;</w:t>
      </w:r>
    </w:p>
    <w:p w14:paraId="63B789C3" w14:textId="318C2852" w:rsidR="00BA0919" w:rsidRPr="00D876F4" w:rsidRDefault="00BA0919" w:rsidP="003F3E83">
      <w:pPr>
        <w:numPr>
          <w:ilvl w:val="0"/>
          <w:numId w:val="15"/>
        </w:numPr>
        <w:pBdr>
          <w:top w:val="nil"/>
          <w:left w:val="nil"/>
          <w:bottom w:val="nil"/>
          <w:right w:val="nil"/>
          <w:between w:val="nil"/>
        </w:pBdr>
        <w:spacing w:after="120"/>
        <w:ind w:left="1134" w:right="1134" w:firstLine="567"/>
        <w:jc w:val="both"/>
        <w:rPr>
          <w:sz w:val="20"/>
          <w:szCs w:val="20"/>
        </w:rPr>
      </w:pPr>
      <w:r w:rsidRPr="00D876F4">
        <w:rPr>
          <w:sz w:val="20"/>
          <w:szCs w:val="20"/>
        </w:rPr>
        <w:t>In furtherance of the principle of reparation, ensure the availability of adequate mechanisms so that actual indirect discriminatory impact of legislative, administrative or any other State measure can be identified and addressed in an efficient and efficacious manner, and that it includes all relevant considerations of non-repetition.</w:t>
      </w:r>
    </w:p>
    <w:p w14:paraId="3E0135DA" w14:textId="6537863D" w:rsidR="00BA0919" w:rsidRPr="00D876F4" w:rsidRDefault="001C016B" w:rsidP="001C016B">
      <w:pPr>
        <w:pStyle w:val="H23G"/>
        <w:rPr>
          <w:sz w:val="20"/>
          <w:szCs w:val="20"/>
        </w:rPr>
      </w:pPr>
      <w:r w:rsidRPr="00D876F4">
        <w:rPr>
          <w:sz w:val="20"/>
          <w:szCs w:val="20"/>
        </w:rPr>
        <w:tab/>
      </w:r>
      <w:r w:rsidRPr="00D876F4">
        <w:rPr>
          <w:sz w:val="20"/>
          <w:szCs w:val="20"/>
        </w:rPr>
        <w:tab/>
      </w:r>
      <w:r w:rsidR="00BA0919" w:rsidRPr="00D876F4">
        <w:rPr>
          <w:sz w:val="20"/>
          <w:szCs w:val="20"/>
        </w:rPr>
        <w:t>Representation</w:t>
      </w:r>
    </w:p>
    <w:p w14:paraId="5AD933E5" w14:textId="3E28B8CC" w:rsidR="00BA0919" w:rsidRPr="00D876F4" w:rsidRDefault="00BA0919" w:rsidP="003F3E83">
      <w:pPr>
        <w:numPr>
          <w:ilvl w:val="0"/>
          <w:numId w:val="11"/>
        </w:numPr>
        <w:spacing w:after="120"/>
        <w:ind w:left="1134" w:right="1134" w:firstLine="567"/>
        <w:jc w:val="both"/>
        <w:rPr>
          <w:sz w:val="20"/>
          <w:szCs w:val="20"/>
        </w:rPr>
      </w:pPr>
      <w:r w:rsidRPr="00D876F4">
        <w:rPr>
          <w:sz w:val="20"/>
          <w:szCs w:val="20"/>
        </w:rPr>
        <w:t>Proactively take action to include civil society organisations working to address violence and discrimination based on sexual orientation and gender identity, as well as sex characteristics, in SDG monitoring and review processes at the national, regional and global levels;</w:t>
      </w:r>
    </w:p>
    <w:p w14:paraId="3C5A59AF" w14:textId="69C12D2D" w:rsidR="00BA0919" w:rsidRPr="00D876F4" w:rsidRDefault="00BA0919" w:rsidP="003F3E83">
      <w:pPr>
        <w:numPr>
          <w:ilvl w:val="0"/>
          <w:numId w:val="11"/>
        </w:numPr>
        <w:spacing w:after="120"/>
        <w:ind w:left="1134" w:right="1134" w:firstLine="567"/>
        <w:jc w:val="both"/>
        <w:rPr>
          <w:sz w:val="20"/>
          <w:szCs w:val="20"/>
        </w:rPr>
      </w:pPr>
      <w:r w:rsidRPr="00D876F4">
        <w:rPr>
          <w:sz w:val="20"/>
          <w:szCs w:val="20"/>
        </w:rPr>
        <w:t>Recognise the legitimacy and indispensable nature of including LGBT-led and serving, as well as intersex</w:t>
      </w:r>
      <w:r w:rsidR="00FA5016">
        <w:rPr>
          <w:sz w:val="20"/>
          <w:szCs w:val="20"/>
        </w:rPr>
        <w:t>-</w:t>
      </w:r>
      <w:r w:rsidRPr="00D876F4">
        <w:rPr>
          <w:sz w:val="20"/>
          <w:szCs w:val="20"/>
        </w:rPr>
        <w:t xml:space="preserve">led and serving CSOs and the communities they </w:t>
      </w:r>
      <w:r w:rsidR="00FA5016" w:rsidRPr="00D876F4">
        <w:rPr>
          <w:sz w:val="20"/>
          <w:szCs w:val="20"/>
        </w:rPr>
        <w:t>serve in</w:t>
      </w:r>
      <w:r w:rsidRPr="00D876F4">
        <w:rPr>
          <w:sz w:val="20"/>
          <w:szCs w:val="20"/>
        </w:rPr>
        <w:t xml:space="preserve"> the implementation and monitoring of all SDGs, </w:t>
      </w:r>
      <w:r w:rsidR="00FA5016" w:rsidRPr="00D876F4">
        <w:rPr>
          <w:sz w:val="20"/>
          <w:szCs w:val="20"/>
        </w:rPr>
        <w:t>particularly in</w:t>
      </w:r>
      <w:r w:rsidRPr="00D876F4">
        <w:rPr>
          <w:sz w:val="20"/>
          <w:szCs w:val="20"/>
        </w:rPr>
        <w:t xml:space="preserve"> relation to the specific matters addressed in this report;</w:t>
      </w:r>
    </w:p>
    <w:p w14:paraId="431318B0" w14:textId="128D89CF" w:rsidR="00BA0919" w:rsidRPr="00D876F4" w:rsidRDefault="001C016B" w:rsidP="001C016B">
      <w:pPr>
        <w:pStyle w:val="H23G"/>
        <w:rPr>
          <w:sz w:val="20"/>
          <w:szCs w:val="20"/>
        </w:rPr>
      </w:pPr>
      <w:r w:rsidRPr="00D876F4">
        <w:rPr>
          <w:sz w:val="20"/>
          <w:szCs w:val="20"/>
        </w:rPr>
        <w:tab/>
      </w:r>
      <w:r w:rsidRPr="00D876F4">
        <w:rPr>
          <w:sz w:val="20"/>
          <w:szCs w:val="20"/>
        </w:rPr>
        <w:tab/>
      </w:r>
      <w:r w:rsidR="00BA0919" w:rsidRPr="00D876F4">
        <w:rPr>
          <w:sz w:val="20"/>
          <w:szCs w:val="20"/>
        </w:rPr>
        <w:t>Evidence-based action</w:t>
      </w:r>
    </w:p>
    <w:p w14:paraId="2E72B168" w14:textId="77777777" w:rsidR="00C30525" w:rsidRPr="00D876F4" w:rsidRDefault="00C30525" w:rsidP="003F3E83">
      <w:pPr>
        <w:numPr>
          <w:ilvl w:val="0"/>
          <w:numId w:val="22"/>
        </w:numPr>
        <w:spacing w:after="120"/>
        <w:ind w:left="1170" w:right="1134" w:firstLine="531"/>
        <w:jc w:val="both"/>
        <w:rPr>
          <w:sz w:val="20"/>
          <w:szCs w:val="20"/>
        </w:rPr>
      </w:pPr>
      <w:r w:rsidRPr="00D876F4">
        <w:rPr>
          <w:sz w:val="20"/>
          <w:szCs w:val="20"/>
        </w:rPr>
        <w:t>Explicitly adopt and follow a human rights-based approach in all evidence and data-gathering processes in relation to health inequalities and the SDGs. The overriding human rights principle of “do no harm” should always be respected through necessary safeguards to prevent the misuse of such data; all activities must take into consideration the principles of self-determination, privacy and confidentiality, lawful use, participation, right to information, transparency, accountability and impartiality in the terms expressed in the mandate’s report on data (A/HRC/41/41) and other relevant human rights sources;</w:t>
      </w:r>
    </w:p>
    <w:p w14:paraId="60C11087" w14:textId="0CB707AA" w:rsidR="00C30525" w:rsidRPr="00D876F4" w:rsidRDefault="00C30525" w:rsidP="003F3E83">
      <w:pPr>
        <w:numPr>
          <w:ilvl w:val="0"/>
          <w:numId w:val="22"/>
        </w:numPr>
        <w:spacing w:after="120"/>
        <w:ind w:left="1170" w:right="1134" w:firstLine="531"/>
        <w:jc w:val="both"/>
        <w:rPr>
          <w:sz w:val="20"/>
          <w:szCs w:val="20"/>
        </w:rPr>
      </w:pPr>
      <w:r w:rsidRPr="00D876F4">
        <w:rPr>
          <w:sz w:val="20"/>
          <w:szCs w:val="20"/>
        </w:rPr>
        <w:t xml:space="preserve">Design and implement comprehensive data collection procedures to uniformly and accurately assess the type, prevalence, trends and patterns of violence and discrimination against lesbian, gay, bisexual, trans and gender-diverse persons, and intersex persons, in general and in relation to the particular findings of this report, </w:t>
      </w:r>
      <w:r w:rsidR="00FA5016">
        <w:rPr>
          <w:sz w:val="20"/>
          <w:szCs w:val="20"/>
        </w:rPr>
        <w:t>regarding</w:t>
      </w:r>
      <w:r w:rsidRPr="00D876F4">
        <w:rPr>
          <w:sz w:val="20"/>
          <w:szCs w:val="20"/>
        </w:rPr>
        <w:t xml:space="preserve"> their access to the highest available standard of physical and mental health;</w:t>
      </w:r>
    </w:p>
    <w:p w14:paraId="50EC5F97" w14:textId="255FB63C" w:rsidR="00C30525" w:rsidRPr="00D876F4" w:rsidRDefault="00C30525" w:rsidP="003F3E83">
      <w:pPr>
        <w:numPr>
          <w:ilvl w:val="0"/>
          <w:numId w:val="22"/>
        </w:numPr>
        <w:spacing w:after="120"/>
        <w:ind w:left="1170" w:right="1134" w:firstLine="531"/>
        <w:jc w:val="both"/>
        <w:rPr>
          <w:sz w:val="20"/>
          <w:szCs w:val="20"/>
        </w:rPr>
      </w:pPr>
      <w:r w:rsidRPr="00D876F4">
        <w:rPr>
          <w:sz w:val="20"/>
          <w:szCs w:val="20"/>
        </w:rPr>
        <w:t>Adopt data processes that enable disaggregation according to populations, communities</w:t>
      </w:r>
      <w:r w:rsidR="003034C1">
        <w:rPr>
          <w:sz w:val="20"/>
          <w:szCs w:val="20"/>
        </w:rPr>
        <w:t>,</w:t>
      </w:r>
      <w:r w:rsidRPr="00D876F4">
        <w:rPr>
          <w:sz w:val="20"/>
          <w:szCs w:val="20"/>
        </w:rPr>
        <w:t xml:space="preserve"> and persons affected by discrimination and violence based on sexual orientation and gender identity, as well as by other relevant factors such as race, ethnicity, religion or belief, health status, age, class, caste and migration or economic status;</w:t>
      </w:r>
    </w:p>
    <w:p w14:paraId="269E75D3" w14:textId="0E7DDFB3" w:rsidR="00C30525" w:rsidRPr="00D876F4" w:rsidRDefault="00C30525" w:rsidP="003F3E83">
      <w:pPr>
        <w:numPr>
          <w:ilvl w:val="0"/>
          <w:numId w:val="22"/>
        </w:numPr>
        <w:spacing w:after="120"/>
        <w:ind w:left="1170" w:right="1134" w:firstLine="531"/>
        <w:jc w:val="both"/>
        <w:rPr>
          <w:sz w:val="20"/>
          <w:szCs w:val="20"/>
        </w:rPr>
      </w:pPr>
      <w:r w:rsidRPr="00D876F4">
        <w:rPr>
          <w:sz w:val="20"/>
          <w:szCs w:val="20"/>
        </w:rPr>
        <w:t>Use all available data to inform the policies and legislative actions of States with a view to prevent further acts of violence and discrimination and to address gaps in investigation, prosecution, remedies provided and sociocultural and economic inclusion;</w:t>
      </w:r>
    </w:p>
    <w:p w14:paraId="7BE47358" w14:textId="41D0F60E" w:rsidR="00BA0919" w:rsidRPr="00D876F4" w:rsidRDefault="00BA0919" w:rsidP="003F3E83">
      <w:pPr>
        <w:numPr>
          <w:ilvl w:val="0"/>
          <w:numId w:val="22"/>
        </w:numPr>
        <w:spacing w:after="120"/>
        <w:ind w:left="1170" w:right="1134" w:firstLine="531"/>
        <w:jc w:val="both"/>
        <w:rPr>
          <w:sz w:val="20"/>
          <w:szCs w:val="20"/>
        </w:rPr>
      </w:pPr>
      <w:r w:rsidRPr="00D876F4">
        <w:rPr>
          <w:sz w:val="20"/>
          <w:szCs w:val="20"/>
        </w:rPr>
        <w:t xml:space="preserve">Include data and analysis relevant to violence and discrimination based on sexual orientation and gender identity in Voluntary </w:t>
      </w:r>
      <w:sdt>
        <w:sdtPr>
          <w:rPr>
            <w:sz w:val="20"/>
            <w:szCs w:val="20"/>
          </w:rPr>
          <w:tag w:val="goog_rdk_167"/>
          <w:id w:val="474409639"/>
        </w:sdtPr>
        <w:sdtEndPr/>
        <w:sdtContent>
          <w:r w:rsidRPr="00D876F4">
            <w:rPr>
              <w:sz w:val="20"/>
              <w:szCs w:val="20"/>
            </w:rPr>
            <w:t xml:space="preserve">National </w:t>
          </w:r>
        </w:sdtContent>
      </w:sdt>
      <w:r w:rsidRPr="00D876F4">
        <w:rPr>
          <w:sz w:val="20"/>
          <w:szCs w:val="20"/>
        </w:rPr>
        <w:t>Review</w:t>
      </w:r>
      <w:r w:rsidR="00D57F38">
        <w:rPr>
          <w:sz w:val="20"/>
          <w:szCs w:val="20"/>
        </w:rPr>
        <w:t>s and relevant regional and global progress reports;</w:t>
      </w:r>
    </w:p>
    <w:p w14:paraId="40A960BD" w14:textId="58DB1D29" w:rsidR="00C30525" w:rsidRPr="00D876F4" w:rsidRDefault="00BA0919" w:rsidP="003F3E83">
      <w:pPr>
        <w:numPr>
          <w:ilvl w:val="0"/>
          <w:numId w:val="22"/>
        </w:numPr>
        <w:spacing w:after="120"/>
        <w:ind w:left="1170" w:right="1134" w:firstLine="531"/>
        <w:jc w:val="both"/>
        <w:rPr>
          <w:sz w:val="20"/>
          <w:szCs w:val="20"/>
        </w:rPr>
      </w:pPr>
      <w:r w:rsidRPr="00D876F4">
        <w:rPr>
          <w:sz w:val="20"/>
          <w:szCs w:val="20"/>
        </w:rPr>
        <w:t xml:space="preserve">Promote and support research activities to address the significant gaps in the evidence-base </w:t>
      </w:r>
      <w:r w:rsidR="00C30525" w:rsidRPr="00D876F4">
        <w:rPr>
          <w:sz w:val="20"/>
          <w:szCs w:val="20"/>
        </w:rPr>
        <w:t>regarding</w:t>
      </w:r>
      <w:r w:rsidRPr="00D876F4">
        <w:rPr>
          <w:sz w:val="20"/>
          <w:szCs w:val="20"/>
        </w:rPr>
        <w:t xml:space="preserve"> health-related discrimination and violence based on sexual orientation and gender identity,</w:t>
      </w:r>
      <w:r w:rsidR="00C30525" w:rsidRPr="00D876F4">
        <w:rPr>
          <w:sz w:val="20"/>
          <w:szCs w:val="20"/>
        </w:rPr>
        <w:t xml:space="preserve"> with due regard to communities, populations and persons underrepresented in research.</w:t>
      </w:r>
    </w:p>
    <w:p w14:paraId="0A3003C4" w14:textId="23CA3B05" w:rsidR="0017619F" w:rsidRPr="00271AA4" w:rsidRDefault="0017619F" w:rsidP="00271AA4">
      <w:pPr>
        <w:pStyle w:val="HChG"/>
      </w:pPr>
      <w:r w:rsidRPr="00271AA4">
        <w:lastRenderedPageBreak/>
        <w:t>Annex I</w:t>
      </w:r>
    </w:p>
    <w:p w14:paraId="6F0D28DA" w14:textId="2135CD57" w:rsidR="0017619F" w:rsidRPr="00271AA4" w:rsidRDefault="00271AA4" w:rsidP="00271AA4">
      <w:pPr>
        <w:pStyle w:val="H1G"/>
      </w:pPr>
      <w:r>
        <w:tab/>
      </w:r>
      <w:r>
        <w:tab/>
      </w:r>
      <w:r w:rsidR="0017619F" w:rsidRPr="00271AA4">
        <w:t>Activities 2021 - 2022</w:t>
      </w:r>
    </w:p>
    <w:p w14:paraId="66E52B4E" w14:textId="77777777" w:rsidR="0017619F" w:rsidRPr="0017619F" w:rsidRDefault="0017619F" w:rsidP="0017619F">
      <w:pPr>
        <w:pStyle w:val="SingleTxtG"/>
        <w:rPr>
          <w:sz w:val="20"/>
          <w:szCs w:val="20"/>
        </w:rPr>
      </w:pPr>
      <w:r w:rsidRPr="0017619F">
        <w:rPr>
          <w:sz w:val="20"/>
          <w:szCs w:val="20"/>
        </w:rPr>
        <w:t>1.</w:t>
      </w:r>
      <w:r w:rsidRPr="0017619F">
        <w:rPr>
          <w:sz w:val="20"/>
          <w:szCs w:val="20"/>
        </w:rPr>
        <w:tab/>
        <w:t>Violence and discrimination based on sexual orientation and gender identity are never justified and must be prevented, prosecuted and punished and, if relevant, be at the base of measures of reparation.</w:t>
      </w:r>
    </w:p>
    <w:p w14:paraId="00BB2FC6" w14:textId="77777777" w:rsidR="0017619F" w:rsidRPr="0017619F" w:rsidRDefault="0017619F" w:rsidP="0017619F">
      <w:pPr>
        <w:pStyle w:val="SingleTxtG"/>
        <w:rPr>
          <w:sz w:val="20"/>
          <w:szCs w:val="20"/>
        </w:rPr>
      </w:pPr>
      <w:r w:rsidRPr="0017619F">
        <w:rPr>
          <w:sz w:val="20"/>
          <w:szCs w:val="20"/>
        </w:rPr>
        <w:t>2.</w:t>
      </w:r>
      <w:r w:rsidRPr="0017619F">
        <w:rPr>
          <w:sz w:val="20"/>
          <w:szCs w:val="20"/>
        </w:rPr>
        <w:tab/>
        <w:t>Since his last report to the Human Rights Council in 2021, and given the continued challenges created by the ongoing COVID-19 pandemic, which affects populations and communities around the world very differently, the Independent Expert made efforts to maintain his virtual presence while steadily retaking in-person activities. Many events and activities were organized under hybrid formats, allowing for the engagement of a wider range of stakeholders.</w:t>
      </w:r>
    </w:p>
    <w:p w14:paraId="282469A4" w14:textId="46A33D5A" w:rsidR="0017619F" w:rsidRPr="0017619F" w:rsidRDefault="0017619F" w:rsidP="0017619F">
      <w:pPr>
        <w:pStyle w:val="SingleTxtG"/>
        <w:rPr>
          <w:sz w:val="20"/>
          <w:szCs w:val="20"/>
        </w:rPr>
      </w:pPr>
      <w:r w:rsidRPr="0017619F">
        <w:rPr>
          <w:sz w:val="20"/>
          <w:szCs w:val="20"/>
        </w:rPr>
        <w:t>3.</w:t>
      </w:r>
      <w:r w:rsidRPr="0017619F">
        <w:rPr>
          <w:sz w:val="20"/>
          <w:szCs w:val="20"/>
        </w:rPr>
        <w:tab/>
        <w:t xml:space="preserve">The Independent Expert organized seven virtual events in English or Spanish, including some with French or Portuguese interpretation, to increase the visibility of all areas of his work. Some of the events addressed topics in focus during the year, namely the Reports on Gender, while many others continued threads of work initiated previously, such as the impact of the COVID-19 pandemic on LGBT persons, practices of “conversion therapy”, and social inclusion. These events brought together thousands of participants from all regions of the world. One of the new initiatives </w:t>
      </w:r>
      <w:r w:rsidR="006F0AA0">
        <w:rPr>
          <w:sz w:val="20"/>
          <w:szCs w:val="20"/>
        </w:rPr>
        <w:t xml:space="preserve">was </w:t>
      </w:r>
      <w:r w:rsidRPr="0017619F">
        <w:rPr>
          <w:sz w:val="20"/>
          <w:szCs w:val="20"/>
        </w:rPr>
        <w:t>the campaign “Diversity in Adversity”, in partnership with the Mandate of the Special Rapporteur on the situation of human rights defenders</w:t>
      </w:r>
      <w:r w:rsidR="006F0AA0">
        <w:rPr>
          <w:sz w:val="20"/>
          <w:szCs w:val="20"/>
        </w:rPr>
        <w:t>. The launch of the initiative</w:t>
      </w:r>
      <w:r w:rsidRPr="0017619F">
        <w:rPr>
          <w:sz w:val="20"/>
          <w:szCs w:val="20"/>
        </w:rPr>
        <w:t xml:space="preserve"> had a record attendance of more than 300 simultaneous live viewers.</w:t>
      </w:r>
    </w:p>
    <w:p w14:paraId="17F58097" w14:textId="74A4C6B3" w:rsidR="0017619F" w:rsidRPr="0017619F" w:rsidRDefault="0017619F" w:rsidP="0017619F">
      <w:pPr>
        <w:pStyle w:val="SingleTxtG"/>
        <w:rPr>
          <w:sz w:val="20"/>
          <w:szCs w:val="20"/>
        </w:rPr>
      </w:pPr>
      <w:r w:rsidRPr="0017619F">
        <w:rPr>
          <w:sz w:val="20"/>
          <w:szCs w:val="20"/>
        </w:rPr>
        <w:t>4.</w:t>
      </w:r>
      <w:r w:rsidRPr="0017619F">
        <w:rPr>
          <w:sz w:val="20"/>
          <w:szCs w:val="20"/>
        </w:rPr>
        <w:tab/>
        <w:t>In June and October 2021, the Independent Expert participated in hybrid interactive dialogues with the Human Rights Council and the General Assembly. Throughout the year, he also maintained virtual contact with representatives of U</w:t>
      </w:r>
      <w:r w:rsidR="00A31B09">
        <w:rPr>
          <w:sz w:val="20"/>
          <w:szCs w:val="20"/>
        </w:rPr>
        <w:t>N</w:t>
      </w:r>
      <w:r w:rsidRPr="0017619F">
        <w:rPr>
          <w:sz w:val="20"/>
          <w:szCs w:val="20"/>
        </w:rPr>
        <w:t xml:space="preserve"> entities,</w:t>
      </w:r>
      <w:r w:rsidR="006F0AA0">
        <w:rPr>
          <w:sz w:val="20"/>
          <w:szCs w:val="20"/>
        </w:rPr>
        <w:t xml:space="preserve"> international organisations, </w:t>
      </w:r>
      <w:r w:rsidR="00A31B09">
        <w:rPr>
          <w:sz w:val="20"/>
          <w:szCs w:val="20"/>
        </w:rPr>
        <w:t>CSOs</w:t>
      </w:r>
      <w:r w:rsidRPr="0017619F">
        <w:rPr>
          <w:sz w:val="20"/>
          <w:szCs w:val="20"/>
        </w:rPr>
        <w:t>, and business leaders. At the regional level, activities were carried out with the OAS and its LGBTI Core Group, the IACHR, and the Council of Europe and European institutions. Dozens of bilateral exchanges with representatives of Member States were also held.</w:t>
      </w:r>
    </w:p>
    <w:p w14:paraId="4052CED3" w14:textId="77777777" w:rsidR="0017619F" w:rsidRPr="0017619F" w:rsidRDefault="0017619F" w:rsidP="0017619F">
      <w:pPr>
        <w:pStyle w:val="SingleTxtG"/>
        <w:rPr>
          <w:sz w:val="20"/>
          <w:szCs w:val="20"/>
        </w:rPr>
      </w:pPr>
      <w:r w:rsidRPr="0017619F">
        <w:rPr>
          <w:sz w:val="20"/>
          <w:szCs w:val="20"/>
        </w:rPr>
        <w:t>5.</w:t>
      </w:r>
      <w:r w:rsidRPr="0017619F">
        <w:rPr>
          <w:sz w:val="20"/>
          <w:szCs w:val="20"/>
        </w:rPr>
        <w:tab/>
        <w:t>The gradual return of in-person activities allowed for the Independent Expert to resume the work programme contingent on travels. During the period, he undertook a country visit to Tunisia as well as promotional and advisory visits to Copenhagen, Honduras, El Salvador and Guatemala</w:t>
      </w:r>
    </w:p>
    <w:p w14:paraId="43D54C0E" w14:textId="674E6A9B" w:rsidR="0017619F" w:rsidRPr="0017619F" w:rsidRDefault="0017619F" w:rsidP="0017619F">
      <w:pPr>
        <w:pStyle w:val="SingleTxtG"/>
        <w:rPr>
          <w:sz w:val="20"/>
          <w:szCs w:val="20"/>
        </w:rPr>
      </w:pPr>
      <w:r w:rsidRPr="0017619F">
        <w:rPr>
          <w:sz w:val="20"/>
          <w:szCs w:val="20"/>
        </w:rPr>
        <w:t>6.</w:t>
      </w:r>
      <w:r w:rsidRPr="0017619F">
        <w:rPr>
          <w:sz w:val="20"/>
          <w:szCs w:val="20"/>
        </w:rPr>
        <w:tab/>
      </w:r>
      <w:r w:rsidR="006F0AA0">
        <w:rPr>
          <w:sz w:val="20"/>
          <w:szCs w:val="20"/>
        </w:rPr>
        <w:t>T</w:t>
      </w:r>
      <w:r w:rsidRPr="0017619F">
        <w:rPr>
          <w:sz w:val="20"/>
          <w:szCs w:val="20"/>
        </w:rPr>
        <w:t>he work on practices of “conversion therapy” continued to provide an example of the manner in which the mandate hopes to add value to ongoing efforts</w:t>
      </w:r>
      <w:r w:rsidR="006F0AA0">
        <w:rPr>
          <w:sz w:val="20"/>
          <w:szCs w:val="20"/>
        </w:rPr>
        <w:t xml:space="preserve"> at</w:t>
      </w:r>
      <w:r w:rsidR="006F0AA0" w:rsidRPr="0017619F">
        <w:rPr>
          <w:sz w:val="20"/>
          <w:szCs w:val="20"/>
        </w:rPr>
        <w:t xml:space="preserve"> the domestic level</w:t>
      </w:r>
      <w:r w:rsidRPr="0017619F">
        <w:rPr>
          <w:sz w:val="20"/>
          <w:szCs w:val="20"/>
        </w:rPr>
        <w:t>. Since the publication of the mandate’s report on the issue, several countries have introduced legislation to ban practice</w:t>
      </w:r>
      <w:r w:rsidR="006F0AA0">
        <w:rPr>
          <w:sz w:val="20"/>
          <w:szCs w:val="20"/>
        </w:rPr>
        <w:t>s of conversion</w:t>
      </w:r>
      <w:r w:rsidRPr="0017619F">
        <w:rPr>
          <w:sz w:val="20"/>
          <w:szCs w:val="20"/>
        </w:rPr>
        <w:t>. The mandate was engaged with parliamentary commissions working on the issue in Canada and France, which have both concluded the process of adopting prohibitive legislation. Since May 2021, other countries have introduced administrative or professional directives against the practice, such as Chile and India, while New Zealand has criminalized attempts to change sexual orientation or gender identity of anyone under 18. Several other countries are still actively working on introducing bans, such as Ireland, Norway, Denmark and Finland.</w:t>
      </w:r>
    </w:p>
    <w:p w14:paraId="68D39DAF" w14:textId="68EF2ACF" w:rsidR="0017619F" w:rsidRPr="0017619F" w:rsidRDefault="0017619F" w:rsidP="0017619F">
      <w:pPr>
        <w:pStyle w:val="SingleTxtG"/>
        <w:rPr>
          <w:sz w:val="20"/>
          <w:szCs w:val="20"/>
        </w:rPr>
      </w:pPr>
      <w:r w:rsidRPr="0017619F">
        <w:rPr>
          <w:sz w:val="20"/>
          <w:szCs w:val="20"/>
        </w:rPr>
        <w:t>7.</w:t>
      </w:r>
      <w:r w:rsidRPr="0017619F">
        <w:rPr>
          <w:sz w:val="20"/>
          <w:szCs w:val="20"/>
        </w:rPr>
        <w:tab/>
        <w:t xml:space="preserve">Since May 2021, the Independent Expert attended official hearings with public agents from </w:t>
      </w:r>
      <w:r w:rsidR="00A31B09">
        <w:rPr>
          <w:sz w:val="20"/>
          <w:szCs w:val="20"/>
        </w:rPr>
        <w:t>multiple States’</w:t>
      </w:r>
      <w:r w:rsidRPr="0017619F">
        <w:rPr>
          <w:sz w:val="20"/>
          <w:szCs w:val="20"/>
        </w:rPr>
        <w:t xml:space="preserve"> legislative and executive branches to advise on legislation and policy in topics related to sexual orientation and gender identity. Some of the entities that were in dialogue with the Expert were the Parliament of Ghana, the House of Commons of the United Kingdom, the Ministry of Interior of Uruguay, the Ministry of Foreign Affairs of Costa Rica, </w:t>
      </w:r>
      <w:r w:rsidR="00A31B09">
        <w:rPr>
          <w:sz w:val="20"/>
          <w:szCs w:val="20"/>
        </w:rPr>
        <w:t xml:space="preserve">and </w:t>
      </w:r>
      <w:r w:rsidRPr="0017619F">
        <w:rPr>
          <w:sz w:val="20"/>
          <w:szCs w:val="20"/>
        </w:rPr>
        <w:t>the Committee on Equality and Non-Discrimination of the Parliamentary Assembly of the Council of Europe; among others.</w:t>
      </w:r>
    </w:p>
    <w:p w14:paraId="590DAA1B" w14:textId="5C3A0BA2" w:rsidR="008877A9" w:rsidRDefault="0017619F" w:rsidP="0017619F">
      <w:pPr>
        <w:pStyle w:val="SingleTxtG"/>
        <w:rPr>
          <w:sz w:val="20"/>
          <w:szCs w:val="20"/>
        </w:rPr>
      </w:pPr>
      <w:r w:rsidRPr="0017619F">
        <w:rPr>
          <w:sz w:val="20"/>
          <w:szCs w:val="20"/>
        </w:rPr>
        <w:t>8.</w:t>
      </w:r>
      <w:r w:rsidRPr="0017619F">
        <w:rPr>
          <w:sz w:val="20"/>
          <w:szCs w:val="20"/>
        </w:rPr>
        <w:tab/>
        <w:t>At the invitation of UN leadership,</w:t>
      </w:r>
      <w:r w:rsidR="00A31B09">
        <w:rPr>
          <w:sz w:val="20"/>
          <w:szCs w:val="20"/>
        </w:rPr>
        <w:t xml:space="preserve"> the</w:t>
      </w:r>
      <w:r w:rsidRPr="0017619F">
        <w:rPr>
          <w:sz w:val="20"/>
          <w:szCs w:val="20"/>
        </w:rPr>
        <w:t xml:space="preserve"> OHCHR, the United Nations High Commissioner for Refugees (UNHCR), the Joint United Nations Programme on HIV/AIDS (UNAIDS), the United Nations Development Programme (UNDP), the World Bank and other multilateral development banks, and the Commonwealth Secretariat (often in partnership with Governments, Parliaments, academia, and civil society partners), the </w:t>
      </w:r>
      <w:r w:rsidRPr="0017619F">
        <w:rPr>
          <w:sz w:val="20"/>
          <w:szCs w:val="20"/>
        </w:rPr>
        <w:lastRenderedPageBreak/>
        <w:t>Independent Expert took part in 12 meetings and events covering key issues related to sexual orientation and gender identity.</w:t>
      </w:r>
    </w:p>
    <w:p w14:paraId="63477E0B" w14:textId="77777777" w:rsidR="008877A9" w:rsidRPr="0017619F" w:rsidRDefault="008877A9" w:rsidP="0017619F">
      <w:pPr>
        <w:pStyle w:val="SingleTxtG"/>
        <w:rPr>
          <w:sz w:val="20"/>
          <w:szCs w:val="20"/>
        </w:rPr>
      </w:pPr>
      <w:r w:rsidRPr="0017619F">
        <w:rPr>
          <w:sz w:val="20"/>
          <w:szCs w:val="20"/>
        </w:rPr>
        <w:t>9.</w:t>
      </w:r>
      <w:r w:rsidRPr="0017619F">
        <w:rPr>
          <w:sz w:val="20"/>
          <w:szCs w:val="20"/>
        </w:rPr>
        <w:tab/>
        <w:t>Between 1 May 2021 and 30 April 2022, at the invitation of Member States, government representatives, academia, and CSOs, the Independent Expert participated in 41 panels and presentations during which he engaged with hundreds of stakeholders from all corners of the world.</w:t>
      </w:r>
    </w:p>
    <w:p w14:paraId="48BB5DA9" w14:textId="38786C92" w:rsidR="008877A9" w:rsidRPr="0017619F" w:rsidRDefault="008877A9" w:rsidP="0017619F">
      <w:pPr>
        <w:pStyle w:val="SingleTxtG"/>
        <w:rPr>
          <w:sz w:val="20"/>
          <w:szCs w:val="20"/>
        </w:rPr>
      </w:pPr>
      <w:r w:rsidRPr="0017619F">
        <w:rPr>
          <w:sz w:val="20"/>
          <w:szCs w:val="20"/>
        </w:rPr>
        <w:t>10.</w:t>
      </w:r>
      <w:r w:rsidRPr="0017619F">
        <w:rPr>
          <w:sz w:val="20"/>
          <w:szCs w:val="20"/>
        </w:rPr>
        <w:tab/>
        <w:t>During the reporting period, the Independent Expert gave more than 40 in-depth interviews for television, radio and print media</w:t>
      </w:r>
      <w:r w:rsidR="00A31B09">
        <w:rPr>
          <w:sz w:val="20"/>
          <w:szCs w:val="20"/>
        </w:rPr>
        <w:t xml:space="preserve">. He also </w:t>
      </w:r>
      <w:r w:rsidRPr="0017619F">
        <w:rPr>
          <w:sz w:val="20"/>
          <w:szCs w:val="20"/>
        </w:rPr>
        <w:t>issued essays, video messages</w:t>
      </w:r>
      <w:r w:rsidR="00A31B09">
        <w:rPr>
          <w:sz w:val="20"/>
          <w:szCs w:val="20"/>
        </w:rPr>
        <w:t>,</w:t>
      </w:r>
      <w:r w:rsidRPr="0017619F">
        <w:rPr>
          <w:sz w:val="20"/>
          <w:szCs w:val="20"/>
        </w:rPr>
        <w:t xml:space="preserve"> and op-eds, and developed an active social media presence</w:t>
      </w:r>
      <w:r w:rsidR="00A31B09">
        <w:rPr>
          <w:sz w:val="20"/>
          <w:szCs w:val="20"/>
        </w:rPr>
        <w:t>. A</w:t>
      </w:r>
      <w:r w:rsidRPr="0017619F">
        <w:rPr>
          <w:sz w:val="20"/>
          <w:szCs w:val="20"/>
        </w:rPr>
        <w:t>vailable</w:t>
      </w:r>
      <w:r w:rsidR="00A31B09">
        <w:rPr>
          <w:sz w:val="20"/>
          <w:szCs w:val="20"/>
        </w:rPr>
        <w:t xml:space="preserve"> data</w:t>
      </w:r>
      <w:r w:rsidRPr="0017619F">
        <w:rPr>
          <w:sz w:val="20"/>
          <w:szCs w:val="20"/>
        </w:rPr>
        <w:t xml:space="preserve"> shows that the mandate has built an audience across </w:t>
      </w:r>
      <w:r w:rsidR="00A31B09">
        <w:rPr>
          <w:sz w:val="20"/>
          <w:szCs w:val="20"/>
        </w:rPr>
        <w:t>different</w:t>
      </w:r>
      <w:r w:rsidRPr="0017619F">
        <w:rPr>
          <w:sz w:val="20"/>
          <w:szCs w:val="20"/>
        </w:rPr>
        <w:t xml:space="preserve"> regions of the world. He also issued 16 individual or joint official press releases and media statements, including on the situation of forcibly displaced LGBT persons and one thematic statement on the connections between right to freedom of religion and belief and right to live free from violence and discrimination based on sexual orientation and gender identity, on the occasion of the 2021 International Day against Homophobia, Transphobia and Biphobia, which was joined by a group of over 100 United Nations and regional independent experts.</w:t>
      </w:r>
    </w:p>
    <w:p w14:paraId="57050B4A" w14:textId="77777777" w:rsidR="008877A9" w:rsidRPr="0017619F" w:rsidRDefault="008877A9" w:rsidP="0017619F">
      <w:pPr>
        <w:pStyle w:val="SingleTxtG"/>
        <w:rPr>
          <w:sz w:val="20"/>
          <w:szCs w:val="20"/>
        </w:rPr>
      </w:pPr>
      <w:r w:rsidRPr="0017619F">
        <w:rPr>
          <w:sz w:val="20"/>
          <w:szCs w:val="20"/>
        </w:rPr>
        <w:t>11.</w:t>
      </w:r>
      <w:r w:rsidRPr="0017619F">
        <w:rPr>
          <w:sz w:val="20"/>
          <w:szCs w:val="20"/>
        </w:rPr>
        <w:tab/>
        <w:t>The Independent Expert sent 21 communications in which allegations of human rights violations in relation to sexual orientation and gender identity were raised with other Special Procedures and/or by which he sought to provide technical advice on legislation and policies.</w:t>
      </w:r>
    </w:p>
    <w:p w14:paraId="4CF600C8" w14:textId="5A5C34E5" w:rsidR="008877A9" w:rsidRPr="00271AA4" w:rsidRDefault="00271AA4" w:rsidP="00271AA4">
      <w:pPr>
        <w:pStyle w:val="SingleTxtG"/>
        <w:pBdr>
          <w:top w:val="nil"/>
          <w:left w:val="nil"/>
          <w:bottom w:val="nil"/>
          <w:right w:val="nil"/>
          <w:between w:val="nil"/>
          <w:bar w:val="nil"/>
        </w:pBdr>
        <w:suppressAutoHyphens/>
        <w:spacing w:before="240" w:after="0" w:line="240" w:lineRule="atLeast"/>
        <w:jc w:val="center"/>
        <w:rPr>
          <w:u w:val="single"/>
        </w:rPr>
      </w:pPr>
      <w:r>
        <w:rPr>
          <w:u w:val="single"/>
        </w:rPr>
        <w:tab/>
      </w:r>
      <w:r>
        <w:rPr>
          <w:u w:val="single"/>
        </w:rPr>
        <w:tab/>
      </w:r>
      <w:r>
        <w:rPr>
          <w:u w:val="single"/>
        </w:rPr>
        <w:tab/>
      </w:r>
      <w:r>
        <w:rPr>
          <w:u w:val="single"/>
        </w:rPr>
        <w:tab/>
      </w:r>
    </w:p>
    <w:sectPr w:rsidR="008877A9" w:rsidRPr="00271AA4" w:rsidSect="00CA1B04">
      <w:headerReference w:type="even" r:id="rId11"/>
      <w:headerReference w:type="default" r:id="rId12"/>
      <w:footerReference w:type="even" r:id="rId13"/>
      <w:footerReference w:type="defaul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C0B49" w14:textId="77777777" w:rsidR="00271AA4" w:rsidRPr="00C47B2E" w:rsidRDefault="00271AA4" w:rsidP="00C47B2E">
      <w:pPr>
        <w:pStyle w:val="Footer"/>
      </w:pPr>
    </w:p>
  </w:endnote>
  <w:endnote w:type="continuationSeparator" w:id="0">
    <w:p w14:paraId="51EEDC28" w14:textId="77777777" w:rsidR="00271AA4" w:rsidRPr="00C47B2E" w:rsidRDefault="00271AA4" w:rsidP="00C47B2E">
      <w:pPr>
        <w:pStyle w:val="Footer"/>
      </w:pPr>
    </w:p>
  </w:endnote>
  <w:endnote w:type="continuationNotice" w:id="1">
    <w:p w14:paraId="0FB4EE45" w14:textId="77777777" w:rsidR="00271AA4" w:rsidRPr="00C47B2E" w:rsidRDefault="00271AA4"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72624" w14:textId="2BEFFC6C" w:rsidR="00271AA4" w:rsidRDefault="00271AA4" w:rsidP="00D14925">
    <w:pPr>
      <w:pStyle w:val="Footer"/>
      <w:tabs>
        <w:tab w:val="right" w:pos="9638"/>
      </w:tabs>
    </w:pPr>
    <w:r w:rsidRPr="00D14925">
      <w:rPr>
        <w:b/>
        <w:bCs/>
        <w:sz w:val="18"/>
      </w:rPr>
      <w:fldChar w:fldCharType="begin"/>
    </w:r>
    <w:r w:rsidRPr="00D14925">
      <w:rPr>
        <w:b/>
        <w:bCs/>
        <w:sz w:val="18"/>
      </w:rPr>
      <w:instrText xml:space="preserve"> PAGE  \* MERGEFORMAT </w:instrText>
    </w:r>
    <w:r w:rsidRPr="00D14925">
      <w:rPr>
        <w:b/>
        <w:bCs/>
        <w:sz w:val="18"/>
      </w:rPr>
      <w:fldChar w:fldCharType="separate"/>
    </w:r>
    <w:r w:rsidR="0002048C">
      <w:rPr>
        <w:b/>
        <w:bCs/>
        <w:noProof/>
        <w:sz w:val="18"/>
      </w:rPr>
      <w:t>4</w:t>
    </w:r>
    <w:r w:rsidRPr="00D14925">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8BD1A" w14:textId="712FF243" w:rsidR="00271AA4" w:rsidRDefault="00271AA4" w:rsidP="00D14925">
    <w:pPr>
      <w:pStyle w:val="Footer"/>
      <w:tabs>
        <w:tab w:val="right" w:pos="9638"/>
      </w:tabs>
    </w:pPr>
    <w:r>
      <w:tab/>
    </w:r>
    <w:r w:rsidRPr="00D14925">
      <w:rPr>
        <w:b/>
        <w:bCs/>
        <w:sz w:val="18"/>
      </w:rPr>
      <w:fldChar w:fldCharType="begin"/>
    </w:r>
    <w:r w:rsidRPr="00D14925">
      <w:rPr>
        <w:b/>
        <w:bCs/>
        <w:sz w:val="18"/>
      </w:rPr>
      <w:instrText xml:space="preserve"> PAGE  \* MERGEFORMAT </w:instrText>
    </w:r>
    <w:r w:rsidRPr="00D14925">
      <w:rPr>
        <w:b/>
        <w:bCs/>
        <w:sz w:val="18"/>
      </w:rPr>
      <w:fldChar w:fldCharType="separate"/>
    </w:r>
    <w:r w:rsidR="0002048C">
      <w:rPr>
        <w:b/>
        <w:bCs/>
        <w:noProof/>
        <w:sz w:val="18"/>
      </w:rPr>
      <w:t>3</w:t>
    </w:r>
    <w:r w:rsidRPr="00D14925">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ECEB" w14:textId="6A0849DE" w:rsidR="00271AA4" w:rsidRPr="00562BE3" w:rsidRDefault="00271AA4" w:rsidP="00562BE3">
    <w:pPr>
      <w:pStyle w:val="Footer"/>
      <w:ind w:right="113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AF3A2" w14:textId="77777777" w:rsidR="00271AA4" w:rsidRPr="00C47B2E" w:rsidRDefault="00271AA4" w:rsidP="00C47B2E">
      <w:pPr>
        <w:tabs>
          <w:tab w:val="right" w:pos="2155"/>
        </w:tabs>
        <w:spacing w:after="80"/>
        <w:ind w:left="680"/>
      </w:pPr>
      <w:r>
        <w:rPr>
          <w:u w:val="single"/>
        </w:rPr>
        <w:tab/>
      </w:r>
    </w:p>
  </w:footnote>
  <w:footnote w:type="continuationSeparator" w:id="0">
    <w:p w14:paraId="463C17DE" w14:textId="77777777" w:rsidR="00271AA4" w:rsidRPr="00C47B2E" w:rsidRDefault="00271AA4" w:rsidP="005E716E">
      <w:pPr>
        <w:tabs>
          <w:tab w:val="right" w:pos="2155"/>
        </w:tabs>
        <w:spacing w:after="80"/>
        <w:ind w:left="680"/>
      </w:pPr>
      <w:r>
        <w:rPr>
          <w:u w:val="single"/>
        </w:rPr>
        <w:tab/>
      </w:r>
    </w:p>
  </w:footnote>
  <w:footnote w:type="continuationNotice" w:id="1">
    <w:p w14:paraId="7E0D671F" w14:textId="77777777" w:rsidR="00271AA4" w:rsidRPr="00C47B2E" w:rsidRDefault="00271AA4" w:rsidP="00C47B2E">
      <w:pPr>
        <w:pStyle w:val="Footer"/>
      </w:pPr>
    </w:p>
  </w:footnote>
  <w:footnote w:id="2">
    <w:p w14:paraId="48151A69" w14:textId="57DDECB7" w:rsidR="00271AA4" w:rsidRPr="00271AA4" w:rsidRDefault="00271AA4">
      <w:pPr>
        <w:pStyle w:val="FootnoteText"/>
        <w:rPr>
          <w:lang w:val="en-GB"/>
        </w:rPr>
      </w:pPr>
      <w:r>
        <w:rPr>
          <w:rStyle w:val="FootnoteReference"/>
        </w:rPr>
        <w:tab/>
      </w:r>
      <w:r w:rsidRPr="00271AA4">
        <w:rPr>
          <w:rStyle w:val="FootnoteReference"/>
          <w:sz w:val="20"/>
          <w:vertAlign w:val="baseline"/>
        </w:rPr>
        <w:t>*</w:t>
      </w:r>
      <w:r>
        <w:rPr>
          <w:rStyle w:val="FootnoteReference"/>
          <w:sz w:val="20"/>
          <w:vertAlign w:val="baseline"/>
        </w:rPr>
        <w:tab/>
      </w:r>
      <w:r w:rsidRPr="00776D9A">
        <w:rPr>
          <w:color w:val="000000"/>
          <w:szCs w:val="18"/>
        </w:rPr>
        <w:t xml:space="preserve">The report was </w:t>
      </w:r>
      <w:r w:rsidRPr="00CD2F9A">
        <w:rPr>
          <w:rFonts w:eastAsiaTheme="minorHAnsi"/>
          <w:szCs w:val="20"/>
          <w:lang w:val="en-GB" w:eastAsia="en-US"/>
        </w:rPr>
        <w:t>submitted</w:t>
      </w:r>
      <w:r w:rsidRPr="00776D9A">
        <w:rPr>
          <w:color w:val="000000"/>
          <w:szCs w:val="18"/>
        </w:rPr>
        <w:t xml:space="preserve"> after the deadline to allow consideration of the large number of submissions received.</w:t>
      </w:r>
    </w:p>
  </w:footnote>
  <w:footnote w:id="3">
    <w:p w14:paraId="7BC902BE" w14:textId="18ED0325" w:rsidR="00271AA4" w:rsidRPr="00271AA4" w:rsidRDefault="00271AA4" w:rsidP="00271AA4">
      <w:pPr>
        <w:ind w:left="851" w:hanging="425"/>
        <w:rPr>
          <w:sz w:val="18"/>
          <w:lang w:val="en-GB"/>
        </w:rPr>
      </w:pPr>
      <w:r>
        <w:rPr>
          <w:rStyle w:val="FootnoteReference"/>
        </w:rPr>
        <w:tab/>
      </w:r>
      <w:r w:rsidRPr="00271AA4">
        <w:rPr>
          <w:rStyle w:val="FootnoteReference"/>
          <w:sz w:val="20"/>
          <w:vertAlign w:val="baseline"/>
        </w:rPr>
        <w:t>**</w:t>
      </w:r>
      <w:r>
        <w:rPr>
          <w:rStyle w:val="FootnoteReference"/>
          <w:sz w:val="20"/>
          <w:vertAlign w:val="baseline"/>
        </w:rPr>
        <w:tab/>
      </w:r>
      <w:r w:rsidRPr="001010B7">
        <w:rPr>
          <w:sz w:val="18"/>
          <w:szCs w:val="18"/>
        </w:rPr>
        <w:t xml:space="preserve">The annex to the </w:t>
      </w:r>
      <w:r w:rsidRPr="001010B7">
        <w:rPr>
          <w:rFonts w:eastAsiaTheme="minorHAnsi"/>
          <w:sz w:val="18"/>
          <w:szCs w:val="18"/>
          <w:lang w:val="en-GB" w:eastAsia="en-US"/>
        </w:rPr>
        <w:t>report</w:t>
      </w:r>
      <w:r w:rsidRPr="001010B7">
        <w:rPr>
          <w:sz w:val="18"/>
          <w:szCs w:val="18"/>
        </w:rPr>
        <w:t xml:space="preserve"> is circulated as received, in the language of submission only.</w:t>
      </w:r>
    </w:p>
  </w:footnote>
  <w:footnote w:id="4">
    <w:p w14:paraId="416293F8" w14:textId="30B3C883"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Pr>
          <w:szCs w:val="18"/>
        </w:rPr>
        <w:tab/>
      </w:r>
      <w:hyperlink r:id="rId1" w:history="1">
        <w:r w:rsidRPr="00B3579A">
          <w:rPr>
            <w:rStyle w:val="Hyperlink"/>
            <w:szCs w:val="18"/>
          </w:rPr>
          <w:t>https://</w:t>
        </w:r>
        <w:r w:rsidRPr="00B3579A">
          <w:rPr>
            <w:rStyle w:val="Hyperlink"/>
            <w:rFonts w:eastAsiaTheme="minorHAnsi"/>
            <w:szCs w:val="20"/>
            <w:lang w:val="en-GB" w:eastAsia="en-US"/>
          </w:rPr>
          <w:t>www</w:t>
        </w:r>
        <w:r w:rsidRPr="00B3579A">
          <w:rPr>
            <w:rStyle w:val="Hyperlink"/>
            <w:szCs w:val="18"/>
          </w:rPr>
          <w:t>.ohchr.org/sites/default/files/Documents/Issues/Discrimination/LGBT/B</w:t>
        </w:r>
      </w:hyperlink>
      <w:r>
        <w:rPr>
          <w:szCs w:val="18"/>
        </w:rPr>
        <w:br/>
      </w:r>
      <w:r w:rsidRPr="00776D9A">
        <w:rPr>
          <w:szCs w:val="18"/>
        </w:rPr>
        <w:t>ackgroundNoteHumanRightsViolationsagainstIntersexPeople.pdf</w:t>
      </w:r>
      <w:r>
        <w:rPr>
          <w:szCs w:val="18"/>
        </w:rPr>
        <w:t>.</w:t>
      </w:r>
    </w:p>
  </w:footnote>
  <w:footnote w:id="5">
    <w:p w14:paraId="7DD35AE5" w14:textId="3C66AA51"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color w:val="000000"/>
          <w:szCs w:val="18"/>
        </w:rPr>
        <w:tab/>
      </w:r>
      <w:r w:rsidRPr="00776D9A">
        <w:rPr>
          <w:rStyle w:val="FootnoteReference"/>
          <w:szCs w:val="18"/>
        </w:rPr>
        <w:footnoteRef/>
      </w:r>
      <w:r w:rsidRPr="00776D9A">
        <w:rPr>
          <w:color w:val="000000"/>
          <w:szCs w:val="18"/>
        </w:rPr>
        <w:t xml:space="preserve"> </w:t>
      </w:r>
      <w:r>
        <w:rPr>
          <w:color w:val="000000"/>
          <w:szCs w:val="18"/>
        </w:rPr>
        <w:tab/>
      </w:r>
      <w:r>
        <w:rPr>
          <w:color w:val="000000"/>
          <w:szCs w:val="18"/>
        </w:rPr>
        <w:tab/>
      </w:r>
      <w:r w:rsidRPr="00CD2F9A">
        <w:rPr>
          <w:rFonts w:eastAsiaTheme="minorHAnsi"/>
          <w:szCs w:val="20"/>
          <w:lang w:val="en-GB" w:eastAsia="en-US"/>
        </w:rPr>
        <w:t>WHO</w:t>
      </w:r>
      <w:r w:rsidRPr="00776D9A">
        <w:rPr>
          <w:color w:val="000000"/>
          <w:szCs w:val="18"/>
        </w:rPr>
        <w:t>, Constitution of the World Health Organi</w:t>
      </w:r>
      <w:r w:rsidRPr="00776D9A">
        <w:rPr>
          <w:szCs w:val="18"/>
        </w:rPr>
        <w:t>s</w:t>
      </w:r>
      <w:r w:rsidRPr="00776D9A">
        <w:rPr>
          <w:color w:val="000000"/>
          <w:szCs w:val="18"/>
        </w:rPr>
        <w:t>ation (1948)</w:t>
      </w:r>
      <w:r>
        <w:rPr>
          <w:color w:val="000000"/>
          <w:szCs w:val="18"/>
        </w:rPr>
        <w:t>.</w:t>
      </w:r>
      <w:r w:rsidRPr="00776D9A">
        <w:rPr>
          <w:szCs w:val="18"/>
        </w:rPr>
        <w:t xml:space="preserve"> </w:t>
      </w:r>
    </w:p>
  </w:footnote>
  <w:footnote w:id="6">
    <w:p w14:paraId="3053002C" w14:textId="1AB12516"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CD2F9A">
        <w:rPr>
          <w:rFonts w:eastAsiaTheme="minorHAnsi"/>
          <w:szCs w:val="20"/>
          <w:lang w:val="en-GB" w:eastAsia="en-US"/>
        </w:rPr>
        <w:t>Convention</w:t>
      </w:r>
      <w:r w:rsidRPr="00776D9A">
        <w:rPr>
          <w:szCs w:val="18"/>
        </w:rPr>
        <w:t xml:space="preserve"> on the Elimination of All Forms of Discrimination against Women (CEDAW; art. 12), International Convention on Protection of the Rights of All Migrant Workers and Members of Their Families (arts. 28, 43, and 45), International Convention on the Elimination of Racial Discrimination (ICERD; art. 5), Convention on the Rights of the Child (CRC; art. 24), and Convention on the Rights of Persons with Disabilities (CRPD, art. 25). </w:t>
      </w:r>
    </w:p>
  </w:footnote>
  <w:footnote w:id="7">
    <w:p w14:paraId="7B3A70EC" w14:textId="1CCF8C7D"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color w:val="000000"/>
          <w:szCs w:val="18"/>
        </w:rPr>
        <w:tab/>
      </w:r>
      <w:r w:rsidRPr="00776D9A">
        <w:rPr>
          <w:rStyle w:val="FootnoteReference"/>
          <w:szCs w:val="18"/>
        </w:rPr>
        <w:footnoteRef/>
      </w:r>
      <w:r w:rsidRPr="00776D9A">
        <w:rPr>
          <w:color w:val="000000"/>
          <w:szCs w:val="18"/>
        </w:rPr>
        <w:t xml:space="preserve"> </w:t>
      </w:r>
      <w:r>
        <w:rPr>
          <w:color w:val="000000"/>
          <w:szCs w:val="18"/>
        </w:rPr>
        <w:tab/>
      </w:r>
      <w:r>
        <w:rPr>
          <w:color w:val="000000"/>
          <w:szCs w:val="18"/>
        </w:rPr>
        <w:tab/>
      </w:r>
      <w:r w:rsidRPr="00776D9A">
        <w:rPr>
          <w:szCs w:val="18"/>
        </w:rPr>
        <w:t xml:space="preserve">African </w:t>
      </w:r>
      <w:r w:rsidRPr="00CD2F9A">
        <w:rPr>
          <w:rFonts w:eastAsiaTheme="minorHAnsi"/>
          <w:szCs w:val="20"/>
          <w:lang w:val="en-GB" w:eastAsia="en-US"/>
        </w:rPr>
        <w:t>Charter</w:t>
      </w:r>
      <w:r w:rsidRPr="00776D9A">
        <w:rPr>
          <w:szCs w:val="18"/>
        </w:rPr>
        <w:t xml:space="preserve"> on Human and Peoples’ Rights (1981), 1988 Additional Protocol to the American Convention on Human Rights in the Area of Economic, Social and Cultural Rights (Protocol of San Salvador), European Social Charter (1961, revised in 1996), American Declaration on the Rights and Duties of Man (1969), and European Convention for the Promotion of Human Rights and Fundamental Freedoms (1950). </w:t>
      </w:r>
    </w:p>
  </w:footnote>
  <w:footnote w:id="8">
    <w:p w14:paraId="0C0AFEE1" w14:textId="300DE6F6"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color w:val="000000"/>
          <w:szCs w:val="18"/>
        </w:rPr>
        <w:tab/>
      </w:r>
      <w:r w:rsidRPr="00776D9A">
        <w:rPr>
          <w:rStyle w:val="FootnoteReference"/>
          <w:szCs w:val="18"/>
        </w:rPr>
        <w:footnoteRef/>
      </w:r>
      <w:r w:rsidRPr="00776D9A">
        <w:rPr>
          <w:color w:val="000000"/>
          <w:szCs w:val="18"/>
        </w:rPr>
        <w:t xml:space="preserve"> </w:t>
      </w:r>
      <w:r>
        <w:rPr>
          <w:color w:val="000000"/>
          <w:szCs w:val="18"/>
        </w:rPr>
        <w:tab/>
      </w:r>
      <w:r>
        <w:rPr>
          <w:color w:val="000000"/>
          <w:szCs w:val="18"/>
        </w:rPr>
        <w:tab/>
      </w:r>
      <w:hyperlink r:id="rId2" w:history="1">
        <w:r w:rsidRPr="002D4B53">
          <w:rPr>
            <w:rStyle w:val="Hyperlink"/>
            <w:szCs w:val="18"/>
          </w:rPr>
          <w:t>https://www.ohchr.org/</w:t>
        </w:r>
        <w:r w:rsidRPr="002D4B53">
          <w:rPr>
            <w:rStyle w:val="Hyperlink"/>
            <w:rFonts w:eastAsiaTheme="minorHAnsi"/>
            <w:szCs w:val="20"/>
            <w:lang w:val="en-GB" w:eastAsia="en-US"/>
          </w:rPr>
          <w:t>Documents</w:t>
        </w:r>
        <w:r w:rsidRPr="002D4B53">
          <w:rPr>
            <w:rStyle w:val="Hyperlink"/>
            <w:szCs w:val="18"/>
          </w:rPr>
          <w:t>/Publications/Factsheet31.pdf</w:t>
        </w:r>
      </w:hyperlink>
      <w:r w:rsidRPr="00776D9A">
        <w:rPr>
          <w:color w:val="000000"/>
          <w:szCs w:val="18"/>
        </w:rPr>
        <w:t>.</w:t>
      </w:r>
      <w:r>
        <w:rPr>
          <w:color w:val="000000"/>
          <w:szCs w:val="18"/>
        </w:rPr>
        <w:t xml:space="preserve"> </w:t>
      </w:r>
    </w:p>
  </w:footnote>
  <w:footnote w:id="9">
    <w:p w14:paraId="1CE0BC02" w14:textId="2D7B731E"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 xml:space="preserve">CESCR, General </w:t>
      </w:r>
      <w:r w:rsidRPr="00CD2F9A">
        <w:rPr>
          <w:rFonts w:eastAsiaTheme="minorHAnsi"/>
          <w:szCs w:val="20"/>
          <w:lang w:val="en-GB" w:eastAsia="en-US"/>
        </w:rPr>
        <w:t>Comment</w:t>
      </w:r>
      <w:r w:rsidRPr="00776D9A">
        <w:rPr>
          <w:szCs w:val="18"/>
        </w:rPr>
        <w:t xml:space="preserve"> No. 14: The Right to the Highest Attainable Standard of Health</w:t>
      </w:r>
      <w:r>
        <w:rPr>
          <w:szCs w:val="18"/>
        </w:rPr>
        <w:t xml:space="preserve">, </w:t>
      </w:r>
      <w:r w:rsidRPr="00776D9A">
        <w:rPr>
          <w:szCs w:val="18"/>
        </w:rPr>
        <w:t>para. 18.</w:t>
      </w:r>
    </w:p>
  </w:footnote>
  <w:footnote w:id="10">
    <w:p w14:paraId="74994A07" w14:textId="7CD2CB65"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color w:val="FF0000"/>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A/HRC/47/27, para</w:t>
      </w:r>
      <w:r>
        <w:rPr>
          <w:szCs w:val="18"/>
        </w:rPr>
        <w:t>s</w:t>
      </w:r>
      <w:r w:rsidRPr="00776D9A">
        <w:rPr>
          <w:szCs w:val="18"/>
        </w:rPr>
        <w:t>. 12-35.</w:t>
      </w:r>
    </w:p>
  </w:footnote>
  <w:footnote w:id="11">
    <w:p w14:paraId="37B9DC50" w14:textId="6FF5583A"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CESCR, General Comment No. 14: The Right to the Highest Attainable Standard of Health, para. 8, 9.</w:t>
      </w:r>
    </w:p>
  </w:footnote>
  <w:footnote w:id="12">
    <w:p w14:paraId="7045C6F2" w14:textId="3B12621D"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 xml:space="preserve">“Equity is the absence of unfair, avoidable, or remediable differences among groups of people, whether those groups are defined socially, economically, demographically, or geographically or by other dimensions of inequality (e.g., sex, gender, ethnicity, disability, or sexual orientation), and health equity is achieved when everyone can attain their full potential for health and well-being.” </w:t>
      </w:r>
      <w:r>
        <w:rPr>
          <w:szCs w:val="18"/>
        </w:rPr>
        <w:t>WHO</w:t>
      </w:r>
      <w:r w:rsidRPr="00776D9A">
        <w:rPr>
          <w:szCs w:val="18"/>
        </w:rPr>
        <w:t xml:space="preserve">, </w:t>
      </w:r>
      <w:r w:rsidRPr="00776D9A">
        <w:rPr>
          <w:i/>
          <w:szCs w:val="18"/>
        </w:rPr>
        <w:t>Health Equity</w:t>
      </w:r>
      <w:r>
        <w:rPr>
          <w:szCs w:val="18"/>
        </w:rPr>
        <w:t>,</w:t>
      </w:r>
      <w:r w:rsidRPr="00776D9A">
        <w:rPr>
          <w:szCs w:val="18"/>
        </w:rPr>
        <w:t xml:space="preserve"> </w:t>
      </w:r>
      <w:hyperlink r:id="rId3" w:anchor="tab=tab_1" w:history="1">
        <w:r w:rsidRPr="008F7FCF">
          <w:rPr>
            <w:rStyle w:val="Hyperlink"/>
            <w:szCs w:val="18"/>
          </w:rPr>
          <w:t>https://www.who.int/health-topics/health-equity#tab=tab_1</w:t>
        </w:r>
      </w:hyperlink>
      <w:r>
        <w:rPr>
          <w:szCs w:val="18"/>
        </w:rPr>
        <w:t>.</w:t>
      </w:r>
    </w:p>
  </w:footnote>
  <w:footnote w:id="13">
    <w:p w14:paraId="3FEE229B" w14:textId="0811E441"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Transforming our World: The 2030 Agenda for Sustainable Development (United Nations, 2015), para</w:t>
      </w:r>
      <w:r>
        <w:rPr>
          <w:szCs w:val="18"/>
        </w:rPr>
        <w:t>s.</w:t>
      </w:r>
      <w:r w:rsidRPr="00776D9A">
        <w:rPr>
          <w:szCs w:val="18"/>
        </w:rPr>
        <w:t xml:space="preserve"> 4, 7,14, 26.</w:t>
      </w:r>
    </w:p>
  </w:footnote>
  <w:footnote w:id="14">
    <w:p w14:paraId="2DB27558" w14:textId="48F1A9E1"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Caribe Afirmativo, submission p. 3.</w:t>
      </w:r>
    </w:p>
  </w:footnote>
  <w:footnote w:id="15">
    <w:p w14:paraId="324C6D10" w14:textId="6E7320BA"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Global Health Justice Partnership of the Yale Law School and the School of Public Health, submission p. 3.</w:t>
      </w:r>
    </w:p>
  </w:footnote>
  <w:footnote w:id="16">
    <w:p w14:paraId="3900CC37" w14:textId="33DA6330"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color w:val="000000"/>
          <w:szCs w:val="18"/>
        </w:rPr>
        <w:tab/>
      </w:r>
      <w:r w:rsidRPr="00776D9A">
        <w:rPr>
          <w:rStyle w:val="FootnoteReference"/>
          <w:szCs w:val="18"/>
        </w:rPr>
        <w:footnoteRef/>
      </w:r>
      <w:r w:rsidRPr="00776D9A">
        <w:rPr>
          <w:color w:val="000000"/>
          <w:szCs w:val="18"/>
        </w:rPr>
        <w:t xml:space="preserve"> </w:t>
      </w:r>
      <w:r>
        <w:rPr>
          <w:color w:val="000000"/>
          <w:szCs w:val="18"/>
        </w:rPr>
        <w:tab/>
      </w:r>
      <w:r>
        <w:rPr>
          <w:color w:val="000000"/>
          <w:szCs w:val="18"/>
        </w:rPr>
        <w:tab/>
      </w:r>
      <w:r w:rsidRPr="00776D9A">
        <w:rPr>
          <w:szCs w:val="18"/>
        </w:rPr>
        <w:t xml:space="preserve">A/HRC/35/36, para. 52. </w:t>
      </w:r>
    </w:p>
  </w:footnote>
  <w:footnote w:id="17">
    <w:p w14:paraId="6EA725CE" w14:textId="1D361325"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color w:val="000000"/>
          <w:szCs w:val="18"/>
        </w:rPr>
        <w:tab/>
      </w:r>
      <w:r w:rsidRPr="00776D9A">
        <w:rPr>
          <w:rStyle w:val="FootnoteReference"/>
          <w:szCs w:val="18"/>
        </w:rPr>
        <w:footnoteRef/>
      </w:r>
      <w:r w:rsidRPr="00776D9A">
        <w:rPr>
          <w:color w:val="000000"/>
          <w:szCs w:val="18"/>
        </w:rPr>
        <w:t xml:space="preserve"> </w:t>
      </w:r>
      <w:r>
        <w:rPr>
          <w:color w:val="000000"/>
          <w:szCs w:val="18"/>
        </w:rPr>
        <w:tab/>
      </w:r>
      <w:r>
        <w:rPr>
          <w:color w:val="000000"/>
          <w:szCs w:val="18"/>
        </w:rPr>
        <w:tab/>
      </w:r>
      <w:r w:rsidRPr="00CD2F9A">
        <w:rPr>
          <w:szCs w:val="18"/>
        </w:rPr>
        <w:t>APCOM</w:t>
      </w:r>
      <w:r w:rsidRPr="00776D9A">
        <w:rPr>
          <w:color w:val="000000"/>
          <w:szCs w:val="18"/>
        </w:rPr>
        <w:t>, submission p. 3.</w:t>
      </w:r>
    </w:p>
  </w:footnote>
  <w:footnote w:id="18">
    <w:p w14:paraId="1D624926" w14:textId="6C5DA3FE"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lang w:val="es-ES"/>
        </w:rPr>
      </w:pPr>
      <w:r w:rsidRPr="00DE5C96">
        <w:rPr>
          <w:szCs w:val="18"/>
          <w:lang w:val="en-GB"/>
        </w:rPr>
        <w:tab/>
      </w:r>
      <w:r w:rsidRPr="00776D9A">
        <w:rPr>
          <w:rStyle w:val="FootnoteReference"/>
          <w:szCs w:val="18"/>
        </w:rPr>
        <w:footnoteRef/>
      </w:r>
      <w:r w:rsidRPr="00776D9A">
        <w:rPr>
          <w:szCs w:val="18"/>
          <w:lang w:val="es-ES"/>
        </w:rPr>
        <w:t xml:space="preserve"> </w:t>
      </w:r>
      <w:r>
        <w:rPr>
          <w:szCs w:val="18"/>
          <w:lang w:val="es-ES"/>
        </w:rPr>
        <w:tab/>
      </w:r>
      <w:r>
        <w:rPr>
          <w:szCs w:val="18"/>
          <w:lang w:val="es-ES"/>
        </w:rPr>
        <w:tab/>
      </w:r>
      <w:r w:rsidRPr="00776D9A">
        <w:rPr>
          <w:szCs w:val="18"/>
          <w:lang w:val="es-ES"/>
        </w:rPr>
        <w:t>A/</w:t>
      </w:r>
      <w:r w:rsidRPr="00DE5C96">
        <w:rPr>
          <w:szCs w:val="18"/>
          <w:lang w:val="es-ES"/>
        </w:rPr>
        <w:t>HRC</w:t>
      </w:r>
      <w:r w:rsidRPr="00776D9A">
        <w:rPr>
          <w:szCs w:val="18"/>
          <w:lang w:val="es-ES"/>
        </w:rPr>
        <w:t>/14/20, para. 18.</w:t>
      </w:r>
    </w:p>
  </w:footnote>
  <w:footnote w:id="19">
    <w:p w14:paraId="5E9CED47" w14:textId="2F4B9D89"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color w:val="000000"/>
          <w:szCs w:val="18"/>
          <w:lang w:val="es-ES"/>
        </w:rPr>
      </w:pPr>
      <w:r>
        <w:rPr>
          <w:color w:val="000000"/>
          <w:szCs w:val="18"/>
          <w:lang w:val="es-ES"/>
        </w:rPr>
        <w:tab/>
      </w:r>
      <w:r w:rsidRPr="00776D9A">
        <w:rPr>
          <w:rStyle w:val="FootnoteReference"/>
          <w:szCs w:val="18"/>
        </w:rPr>
        <w:footnoteRef/>
      </w:r>
      <w:r w:rsidRPr="00776D9A">
        <w:rPr>
          <w:color w:val="000000"/>
          <w:szCs w:val="18"/>
          <w:lang w:val="es-ES"/>
        </w:rPr>
        <w:t xml:space="preserve"> </w:t>
      </w:r>
      <w:r>
        <w:rPr>
          <w:color w:val="000000"/>
          <w:szCs w:val="18"/>
          <w:lang w:val="es-ES"/>
        </w:rPr>
        <w:tab/>
      </w:r>
      <w:r>
        <w:rPr>
          <w:color w:val="000000"/>
          <w:szCs w:val="18"/>
          <w:lang w:val="es-ES"/>
        </w:rPr>
        <w:tab/>
      </w:r>
      <w:r w:rsidRPr="00776D9A">
        <w:rPr>
          <w:color w:val="000000"/>
          <w:szCs w:val="18"/>
          <w:lang w:val="es-ES"/>
        </w:rPr>
        <w:t>A/</w:t>
      </w:r>
      <w:r w:rsidRPr="00DE5C96">
        <w:rPr>
          <w:szCs w:val="18"/>
          <w:lang w:val="es-ES"/>
        </w:rPr>
        <w:t>HRC</w:t>
      </w:r>
      <w:r w:rsidRPr="00776D9A">
        <w:rPr>
          <w:color w:val="000000"/>
          <w:szCs w:val="18"/>
          <w:lang w:val="es-ES"/>
        </w:rPr>
        <w:t>/32/44, para. 58.</w:t>
      </w:r>
    </w:p>
  </w:footnote>
  <w:footnote w:id="20">
    <w:p w14:paraId="454798A8" w14:textId="5906E46C"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lang w:val="es-ES"/>
        </w:rPr>
      </w:pPr>
      <w:r>
        <w:rPr>
          <w:szCs w:val="18"/>
          <w:lang w:val="es-ES"/>
        </w:rPr>
        <w:tab/>
      </w:r>
      <w:r w:rsidRPr="00776D9A">
        <w:rPr>
          <w:rStyle w:val="FootnoteReference"/>
          <w:szCs w:val="18"/>
        </w:rPr>
        <w:footnoteRef/>
      </w:r>
      <w:r>
        <w:rPr>
          <w:szCs w:val="18"/>
          <w:lang w:val="es-ES"/>
        </w:rPr>
        <w:t xml:space="preserve"> </w:t>
      </w:r>
      <w:r>
        <w:rPr>
          <w:szCs w:val="18"/>
          <w:lang w:val="es-ES"/>
        </w:rPr>
        <w:tab/>
      </w:r>
      <w:r>
        <w:rPr>
          <w:szCs w:val="18"/>
          <w:lang w:val="es-ES"/>
        </w:rPr>
        <w:tab/>
      </w:r>
      <w:hyperlink r:id="rId4" w:history="1">
        <w:r w:rsidRPr="002D4B53">
          <w:rPr>
            <w:rStyle w:val="Hyperlink"/>
            <w:szCs w:val="18"/>
            <w:lang w:val="es-ES"/>
          </w:rPr>
          <w:t>https://www.ohchr.org/en/press-releases/2021/06/preliminary-observations-visit-tunisia-independent-expert-protection-against?LangID=E&amp;NewsID=27174</w:t>
        </w:r>
      </w:hyperlink>
      <w:r>
        <w:rPr>
          <w:szCs w:val="18"/>
          <w:lang w:val="es-ES"/>
        </w:rPr>
        <w:t>.</w:t>
      </w:r>
    </w:p>
  </w:footnote>
  <w:footnote w:id="21">
    <w:p w14:paraId="66B83308" w14:textId="617BA584"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lang w:val="es-ES"/>
        </w:rPr>
      </w:pPr>
      <w:r>
        <w:rPr>
          <w:color w:val="000000"/>
          <w:szCs w:val="18"/>
          <w:lang w:val="es-ES"/>
        </w:rPr>
        <w:tab/>
      </w:r>
      <w:r w:rsidRPr="00776D9A">
        <w:rPr>
          <w:rStyle w:val="FootnoteReference"/>
          <w:szCs w:val="18"/>
        </w:rPr>
        <w:footnoteRef/>
      </w:r>
      <w:r w:rsidRPr="00776D9A">
        <w:rPr>
          <w:color w:val="000000"/>
          <w:szCs w:val="18"/>
          <w:lang w:val="es-ES"/>
        </w:rPr>
        <w:t xml:space="preserve"> </w:t>
      </w:r>
      <w:r>
        <w:rPr>
          <w:color w:val="000000"/>
          <w:szCs w:val="18"/>
          <w:lang w:val="es-ES"/>
        </w:rPr>
        <w:tab/>
      </w:r>
      <w:r>
        <w:rPr>
          <w:color w:val="000000"/>
          <w:szCs w:val="18"/>
          <w:lang w:val="es-ES"/>
        </w:rPr>
        <w:tab/>
      </w:r>
      <w:r w:rsidRPr="00776D9A">
        <w:rPr>
          <w:color w:val="000000"/>
          <w:szCs w:val="18"/>
          <w:lang w:val="es-ES"/>
        </w:rPr>
        <w:t>A/69/</w:t>
      </w:r>
      <w:r w:rsidRPr="00DE5C96">
        <w:rPr>
          <w:szCs w:val="18"/>
          <w:lang w:val="es-ES"/>
        </w:rPr>
        <w:t>856</w:t>
      </w:r>
      <w:r w:rsidRPr="00776D9A">
        <w:rPr>
          <w:color w:val="000000"/>
          <w:szCs w:val="18"/>
          <w:lang w:val="es-ES"/>
        </w:rPr>
        <w:t>, para. 52.</w:t>
      </w:r>
    </w:p>
  </w:footnote>
  <w:footnote w:id="22">
    <w:p w14:paraId="438A971E" w14:textId="47397887"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lang w:val="es-ES"/>
        </w:rPr>
      </w:pPr>
      <w:r>
        <w:rPr>
          <w:szCs w:val="18"/>
          <w:lang w:val="es-ES"/>
        </w:rPr>
        <w:tab/>
      </w:r>
      <w:r w:rsidRPr="00776D9A">
        <w:rPr>
          <w:rStyle w:val="FootnoteReference"/>
          <w:szCs w:val="18"/>
        </w:rPr>
        <w:footnoteRef/>
      </w:r>
      <w:r>
        <w:rPr>
          <w:szCs w:val="18"/>
          <w:lang w:val="es-ES"/>
        </w:rPr>
        <w:t xml:space="preserve"> </w:t>
      </w:r>
      <w:r>
        <w:rPr>
          <w:szCs w:val="18"/>
          <w:lang w:val="es-ES"/>
        </w:rPr>
        <w:tab/>
      </w:r>
      <w:r>
        <w:rPr>
          <w:szCs w:val="18"/>
          <w:lang w:val="es-ES"/>
        </w:rPr>
        <w:tab/>
      </w:r>
      <w:hyperlink r:id="rId5" w:history="1">
        <w:r w:rsidRPr="002D4B53">
          <w:rPr>
            <w:rStyle w:val="Hyperlink"/>
            <w:szCs w:val="18"/>
            <w:lang w:val="es-ES"/>
          </w:rPr>
          <w:t>https://www.ohchr.org/en/press-releases/2021/06/preliminary-observations-visit-tunisia-independent-expert-protection-against?LangID=E&amp;NewsID=27174</w:t>
        </w:r>
      </w:hyperlink>
      <w:r>
        <w:rPr>
          <w:szCs w:val="18"/>
          <w:lang w:val="es-ES"/>
        </w:rPr>
        <w:t>.</w:t>
      </w:r>
    </w:p>
  </w:footnote>
  <w:footnote w:id="23">
    <w:p w14:paraId="36D4323D" w14:textId="6699C158" w:rsidR="00271AA4" w:rsidRPr="006A3731" w:rsidRDefault="00271AA4" w:rsidP="00CD2F9A">
      <w:pPr>
        <w:pStyle w:val="FootnoteText"/>
        <w:suppressAutoHyphens/>
        <w:kinsoku w:val="0"/>
        <w:overflowPunct w:val="0"/>
        <w:autoSpaceDE w:val="0"/>
        <w:autoSpaceDN w:val="0"/>
        <w:adjustRightInd w:val="0"/>
        <w:snapToGrid w:val="0"/>
        <w:spacing w:line="240" w:lineRule="auto"/>
        <w:jc w:val="both"/>
        <w:rPr>
          <w:szCs w:val="18"/>
          <w:lang w:val="es-ES"/>
        </w:rPr>
      </w:pPr>
      <w:r>
        <w:rPr>
          <w:szCs w:val="18"/>
          <w:lang w:val="es-ES"/>
        </w:rPr>
        <w:tab/>
      </w:r>
      <w:r w:rsidRPr="00776D9A">
        <w:rPr>
          <w:rStyle w:val="FootnoteReference"/>
          <w:szCs w:val="18"/>
        </w:rPr>
        <w:footnoteRef/>
      </w:r>
      <w:r w:rsidRPr="006A3731">
        <w:rPr>
          <w:szCs w:val="18"/>
          <w:lang w:val="es-ES"/>
        </w:rPr>
        <w:t xml:space="preserve"> </w:t>
      </w:r>
      <w:r>
        <w:rPr>
          <w:szCs w:val="18"/>
          <w:lang w:val="es-ES"/>
        </w:rPr>
        <w:tab/>
      </w:r>
      <w:r>
        <w:rPr>
          <w:szCs w:val="18"/>
          <w:lang w:val="es-ES"/>
        </w:rPr>
        <w:tab/>
      </w:r>
      <w:r w:rsidRPr="006A3731">
        <w:rPr>
          <w:szCs w:val="18"/>
          <w:lang w:val="es-ES"/>
        </w:rPr>
        <w:t>A/HRC/35/21, para. 48</w:t>
      </w:r>
      <w:r>
        <w:rPr>
          <w:szCs w:val="18"/>
          <w:lang w:val="es-ES"/>
        </w:rPr>
        <w:t>.</w:t>
      </w:r>
    </w:p>
  </w:footnote>
  <w:footnote w:id="24">
    <w:p w14:paraId="05982DEC" w14:textId="6F68CA08" w:rsidR="00271AA4" w:rsidRPr="00AD01B0" w:rsidRDefault="00271AA4" w:rsidP="00CD2F9A">
      <w:pPr>
        <w:pStyle w:val="FootnoteText"/>
        <w:suppressAutoHyphens/>
        <w:kinsoku w:val="0"/>
        <w:overflowPunct w:val="0"/>
        <w:autoSpaceDE w:val="0"/>
        <w:autoSpaceDN w:val="0"/>
        <w:adjustRightInd w:val="0"/>
        <w:snapToGrid w:val="0"/>
        <w:spacing w:line="240" w:lineRule="auto"/>
        <w:jc w:val="both"/>
        <w:rPr>
          <w:szCs w:val="18"/>
          <w:lang w:val="es-ES"/>
        </w:rPr>
      </w:pPr>
      <w:r>
        <w:rPr>
          <w:szCs w:val="18"/>
          <w:lang w:val="es-ES"/>
        </w:rPr>
        <w:tab/>
      </w:r>
      <w:r w:rsidRPr="00776D9A">
        <w:rPr>
          <w:rStyle w:val="FootnoteReference"/>
          <w:szCs w:val="18"/>
        </w:rPr>
        <w:footnoteRef/>
      </w:r>
      <w:r w:rsidRPr="006A3731">
        <w:rPr>
          <w:szCs w:val="18"/>
          <w:lang w:val="es-ES"/>
        </w:rPr>
        <w:t xml:space="preserve"> </w:t>
      </w:r>
      <w:r>
        <w:rPr>
          <w:szCs w:val="18"/>
          <w:lang w:val="es-ES"/>
        </w:rPr>
        <w:tab/>
      </w:r>
      <w:r>
        <w:rPr>
          <w:szCs w:val="18"/>
          <w:lang w:val="es-ES"/>
        </w:rPr>
        <w:tab/>
      </w:r>
      <w:hyperlink r:id="rId6" w:history="1">
        <w:r w:rsidRPr="002D4B53">
          <w:rPr>
            <w:rStyle w:val="Hyperlink"/>
            <w:szCs w:val="18"/>
            <w:lang w:val="es-ES"/>
          </w:rPr>
          <w:t>https://pubmed.ncbi.nlm.nih.gov/30568414/</w:t>
        </w:r>
      </w:hyperlink>
      <w:r>
        <w:rPr>
          <w:szCs w:val="18"/>
          <w:lang w:val="es-ES"/>
        </w:rPr>
        <w:t>.</w:t>
      </w:r>
    </w:p>
  </w:footnote>
  <w:footnote w:id="25">
    <w:p w14:paraId="3A266F75" w14:textId="76105EF8" w:rsidR="00271AA4" w:rsidRPr="00AD01B0" w:rsidRDefault="00271AA4" w:rsidP="00CD2F9A">
      <w:pPr>
        <w:pStyle w:val="FootnoteText"/>
        <w:suppressAutoHyphens/>
        <w:kinsoku w:val="0"/>
        <w:overflowPunct w:val="0"/>
        <w:autoSpaceDE w:val="0"/>
        <w:autoSpaceDN w:val="0"/>
        <w:adjustRightInd w:val="0"/>
        <w:snapToGrid w:val="0"/>
        <w:spacing w:line="240" w:lineRule="auto"/>
        <w:jc w:val="both"/>
        <w:rPr>
          <w:szCs w:val="18"/>
          <w:lang w:val="es-ES"/>
        </w:rPr>
      </w:pPr>
      <w:r>
        <w:rPr>
          <w:szCs w:val="18"/>
          <w:lang w:val="es-ES"/>
        </w:rPr>
        <w:tab/>
      </w:r>
      <w:r w:rsidRPr="00776D9A">
        <w:rPr>
          <w:rStyle w:val="FootnoteReference"/>
          <w:szCs w:val="18"/>
        </w:rPr>
        <w:footnoteRef/>
      </w:r>
      <w:r w:rsidRPr="00AD01B0">
        <w:rPr>
          <w:szCs w:val="18"/>
          <w:lang w:val="es-ES"/>
        </w:rPr>
        <w:t xml:space="preserve"> </w:t>
      </w:r>
      <w:r>
        <w:rPr>
          <w:szCs w:val="18"/>
          <w:lang w:val="es-ES"/>
        </w:rPr>
        <w:tab/>
      </w:r>
      <w:r>
        <w:rPr>
          <w:szCs w:val="18"/>
          <w:lang w:val="es-ES"/>
        </w:rPr>
        <w:tab/>
      </w:r>
      <w:r w:rsidRPr="00AD01B0">
        <w:rPr>
          <w:szCs w:val="18"/>
          <w:lang w:val="es-ES"/>
        </w:rPr>
        <w:t>A/HRC/35/21, paras. 48, 58.</w:t>
      </w:r>
    </w:p>
  </w:footnote>
  <w:footnote w:id="26">
    <w:p w14:paraId="6F8EA23C" w14:textId="67C347B5" w:rsidR="00271AA4" w:rsidRPr="00AD01B0" w:rsidRDefault="00271AA4" w:rsidP="00CD2F9A">
      <w:pPr>
        <w:pStyle w:val="FootnoteText"/>
        <w:suppressAutoHyphens/>
        <w:kinsoku w:val="0"/>
        <w:overflowPunct w:val="0"/>
        <w:autoSpaceDE w:val="0"/>
        <w:autoSpaceDN w:val="0"/>
        <w:adjustRightInd w:val="0"/>
        <w:snapToGrid w:val="0"/>
        <w:spacing w:line="240" w:lineRule="auto"/>
        <w:jc w:val="both"/>
        <w:rPr>
          <w:szCs w:val="18"/>
          <w:lang w:val="es-ES"/>
        </w:rPr>
      </w:pPr>
      <w:r>
        <w:rPr>
          <w:szCs w:val="18"/>
          <w:lang w:val="es-ES"/>
        </w:rPr>
        <w:tab/>
      </w:r>
      <w:r w:rsidRPr="00776D9A">
        <w:rPr>
          <w:rStyle w:val="FootnoteReference"/>
          <w:szCs w:val="18"/>
        </w:rPr>
        <w:footnoteRef/>
      </w:r>
      <w:r w:rsidRPr="00AD01B0">
        <w:rPr>
          <w:szCs w:val="18"/>
          <w:lang w:val="es-ES"/>
        </w:rPr>
        <w:t xml:space="preserve"> </w:t>
      </w:r>
      <w:r>
        <w:rPr>
          <w:szCs w:val="18"/>
          <w:lang w:val="es-ES"/>
        </w:rPr>
        <w:tab/>
      </w:r>
      <w:r>
        <w:rPr>
          <w:szCs w:val="18"/>
          <w:lang w:val="es-ES"/>
        </w:rPr>
        <w:tab/>
      </w:r>
      <w:r w:rsidRPr="00AD01B0">
        <w:rPr>
          <w:szCs w:val="18"/>
          <w:lang w:val="es-ES"/>
        </w:rPr>
        <w:t xml:space="preserve">OL </w:t>
      </w:r>
      <w:r w:rsidRPr="00DE5C96">
        <w:rPr>
          <w:szCs w:val="18"/>
          <w:lang w:val="es-ES"/>
        </w:rPr>
        <w:t>GTM</w:t>
      </w:r>
      <w:r w:rsidRPr="00AD01B0">
        <w:rPr>
          <w:szCs w:val="18"/>
          <w:lang w:val="es-ES"/>
        </w:rPr>
        <w:t xml:space="preserve"> 10/2021.</w:t>
      </w:r>
    </w:p>
  </w:footnote>
  <w:footnote w:id="27">
    <w:p w14:paraId="4DF2C39E" w14:textId="770E031C"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sidRPr="00DE5C96">
        <w:rPr>
          <w:szCs w:val="18"/>
          <w:lang w:val="es-ES"/>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OL GHA 3/2021</w:t>
      </w:r>
      <w:r>
        <w:rPr>
          <w:szCs w:val="18"/>
        </w:rPr>
        <w:t>.</w:t>
      </w:r>
    </w:p>
  </w:footnote>
  <w:footnote w:id="28">
    <w:p w14:paraId="559FD3E1" w14:textId="2AB57297"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OL OTH 89/2020</w:t>
      </w:r>
      <w:r>
        <w:rPr>
          <w:szCs w:val="18"/>
        </w:rPr>
        <w:t xml:space="preserve">; </w:t>
      </w:r>
      <w:r w:rsidRPr="00776D9A">
        <w:rPr>
          <w:szCs w:val="18"/>
        </w:rPr>
        <w:t>OL OTH 88/2020</w:t>
      </w:r>
      <w:r>
        <w:rPr>
          <w:szCs w:val="18"/>
        </w:rPr>
        <w:t>.</w:t>
      </w:r>
    </w:p>
  </w:footnote>
  <w:footnote w:id="29">
    <w:p w14:paraId="75476CEC" w14:textId="41647231"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A/HRC/44/53.</w:t>
      </w:r>
    </w:p>
  </w:footnote>
  <w:footnote w:id="30">
    <w:p w14:paraId="2454819B" w14:textId="30FDA0DF"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 xml:space="preserve">The Global Advisory Board on Health and Well-Being affirms that, “the experiences of human sexual pleasure are diverse, and sexual rights ensure that pleasure is a positive experience for all concerned and not obtained by violating other people’s human rights and wellbeing.” </w:t>
      </w:r>
      <w:hyperlink r:id="rId7" w:history="1">
        <w:r w:rsidRPr="007974C0">
          <w:rPr>
            <w:rStyle w:val="Hyperlink"/>
            <w:szCs w:val="18"/>
          </w:rPr>
          <w:t>https://www.gab-shw.org/our-work/working-definition-of-sexual-pleasure/</w:t>
        </w:r>
      </w:hyperlink>
      <w:r w:rsidRPr="00776D9A">
        <w:rPr>
          <w:szCs w:val="18"/>
        </w:rPr>
        <w:t xml:space="preserve">. </w:t>
      </w:r>
      <w:r>
        <w:rPr>
          <w:szCs w:val="18"/>
        </w:rPr>
        <w:t>Many</w:t>
      </w:r>
      <w:r w:rsidRPr="00776D9A">
        <w:rPr>
          <w:szCs w:val="18"/>
        </w:rPr>
        <w:t xml:space="preserve"> studies document the link between sexuality, sexual pleasure, and physical and mental health. See for example Woet L. </w:t>
      </w:r>
      <w:r>
        <w:rPr>
          <w:szCs w:val="18"/>
        </w:rPr>
        <w:t xml:space="preserve">et al. </w:t>
      </w:r>
      <w:r w:rsidRPr="00776D9A">
        <w:rPr>
          <w:szCs w:val="18"/>
        </w:rPr>
        <w:t>(2021) The Health Benefits of Sexual Expression, International Journal of Sexual Health, 33:4, 478-493</w:t>
      </w:r>
      <w:r>
        <w:rPr>
          <w:szCs w:val="18"/>
        </w:rPr>
        <w:t>;</w:t>
      </w:r>
      <w:r w:rsidRPr="00776D9A">
        <w:rPr>
          <w:szCs w:val="18"/>
        </w:rPr>
        <w:t xml:space="preserve"> A</w:t>
      </w:r>
      <w:r>
        <w:rPr>
          <w:szCs w:val="18"/>
        </w:rPr>
        <w:t>.</w:t>
      </w:r>
      <w:r w:rsidRPr="00776D9A">
        <w:rPr>
          <w:szCs w:val="18"/>
        </w:rPr>
        <w:t xml:space="preserve"> Miller</w:t>
      </w:r>
      <w:r>
        <w:rPr>
          <w:szCs w:val="18"/>
        </w:rPr>
        <w:t xml:space="preserve"> et al, </w:t>
      </w:r>
      <w:r w:rsidRPr="00776D9A">
        <w:rPr>
          <w:szCs w:val="18"/>
        </w:rPr>
        <w:t>“Sexual rights as human rights: a guide to authoritative sources and principles for applying human rights to sexuality and sexual health” in Reproductive Health Matters 23 (2015).</w:t>
      </w:r>
    </w:p>
  </w:footnote>
  <w:footnote w:id="31">
    <w:p w14:paraId="58FCD99E" w14:textId="75B02B04"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lang w:val="da-DK"/>
        </w:rPr>
        <w:tab/>
      </w:r>
      <w:r w:rsidRPr="00776D9A">
        <w:rPr>
          <w:rStyle w:val="FootnoteReference"/>
          <w:szCs w:val="18"/>
        </w:rPr>
        <w:footnoteRef/>
      </w:r>
      <w:r w:rsidRPr="00776D9A">
        <w:rPr>
          <w:szCs w:val="18"/>
          <w:lang w:val="da-DK"/>
        </w:rPr>
        <w:t xml:space="preserve"> </w:t>
      </w:r>
      <w:r>
        <w:rPr>
          <w:szCs w:val="18"/>
          <w:lang w:val="da-DK"/>
        </w:rPr>
        <w:tab/>
      </w:r>
      <w:r>
        <w:rPr>
          <w:szCs w:val="18"/>
          <w:lang w:val="da-DK"/>
        </w:rPr>
        <w:tab/>
      </w:r>
      <w:r w:rsidRPr="00776D9A">
        <w:rPr>
          <w:szCs w:val="18"/>
          <w:lang w:val="da-DK"/>
        </w:rPr>
        <w:t xml:space="preserve">Kenyon, </w:t>
      </w:r>
      <w:r w:rsidRPr="00CD2F9A">
        <w:rPr>
          <w:szCs w:val="18"/>
        </w:rPr>
        <w:t>Kristi</w:t>
      </w:r>
      <w:r w:rsidRPr="00776D9A">
        <w:rPr>
          <w:szCs w:val="18"/>
          <w:lang w:val="da-DK"/>
        </w:rPr>
        <w:t xml:space="preserve"> Heather et al. </w:t>
      </w:r>
      <w:r w:rsidRPr="00776D9A">
        <w:rPr>
          <w:szCs w:val="18"/>
        </w:rPr>
        <w:t xml:space="preserve">“Deepening the Relationship between Human Rights and the Social Determinants of Health: A Focus on Indivisibility and Power.” </w:t>
      </w:r>
      <w:r w:rsidRPr="00776D9A">
        <w:rPr>
          <w:i/>
          <w:szCs w:val="18"/>
        </w:rPr>
        <w:t>Health and Human Rights</w:t>
      </w:r>
      <w:r w:rsidRPr="00776D9A">
        <w:rPr>
          <w:szCs w:val="18"/>
        </w:rPr>
        <w:t>, vol. 20, no. 2, 2018, pp. 1–10</w:t>
      </w:r>
      <w:r>
        <w:rPr>
          <w:szCs w:val="18"/>
        </w:rPr>
        <w:t>.</w:t>
      </w:r>
    </w:p>
  </w:footnote>
  <w:footnote w:id="32">
    <w:p w14:paraId="77357915" w14:textId="5A981802"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b/>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hyperlink r:id="rId8" w:history="1">
        <w:r w:rsidRPr="002D4B53">
          <w:rPr>
            <w:rStyle w:val="Hyperlink"/>
            <w:szCs w:val="18"/>
          </w:rPr>
          <w:t>https://inequality.cornell.edu/news/research-portal-presents-link-between-discrimination-and-health-harms-lgbt-population</w:t>
        </w:r>
      </w:hyperlink>
      <w:r w:rsidRPr="00776D9A">
        <w:rPr>
          <w:szCs w:val="18"/>
        </w:rPr>
        <w:t>.</w:t>
      </w:r>
    </w:p>
  </w:footnote>
  <w:footnote w:id="33">
    <w:p w14:paraId="5973100A" w14:textId="6CCF4F3C"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t>CECSCR</w:t>
      </w:r>
      <w:r w:rsidRPr="00776D9A">
        <w:rPr>
          <w:szCs w:val="18"/>
        </w:rPr>
        <w:t xml:space="preserve"> General Comment No. 14: The Right to the Highest Attainable Standard of Health, para. 12.</w:t>
      </w:r>
    </w:p>
  </w:footnote>
  <w:footnote w:id="34">
    <w:p w14:paraId="2E3B41C0" w14:textId="15271448"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See, for example, HIV Legal Network, submission p. 4.</w:t>
      </w:r>
    </w:p>
  </w:footnote>
  <w:footnote w:id="35">
    <w:p w14:paraId="32562EBA" w14:textId="0D1161B5"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hyperlink r:id="rId9" w:history="1">
        <w:r w:rsidRPr="007974C0">
          <w:rPr>
            <w:rStyle w:val="Hyperlink"/>
            <w:szCs w:val="18"/>
          </w:rPr>
          <w:t>https://aidsinfo.unaids.org</w:t>
        </w:r>
      </w:hyperlink>
      <w:r>
        <w:rPr>
          <w:szCs w:val="18"/>
        </w:rPr>
        <w:t>.</w:t>
      </w:r>
    </w:p>
  </w:footnote>
  <w:footnote w:id="36">
    <w:p w14:paraId="2F4B7674" w14:textId="608CF6C5"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UNAIDS, submission p. 3.</w:t>
      </w:r>
    </w:p>
  </w:footnote>
  <w:footnote w:id="37">
    <w:p w14:paraId="7D0C14A8" w14:textId="0257F856"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hyperlink r:id="rId10" w:history="1">
        <w:r w:rsidRPr="002D4B53">
          <w:rPr>
            <w:rStyle w:val="Hyperlink"/>
            <w:szCs w:val="18"/>
          </w:rPr>
          <w:t>https://www.who.int/publications/i/item/9789241564984</w:t>
        </w:r>
      </w:hyperlink>
      <w:r>
        <w:rPr>
          <w:szCs w:val="18"/>
        </w:rPr>
        <w:t>.</w:t>
      </w:r>
    </w:p>
  </w:footnote>
  <w:footnote w:id="38">
    <w:p w14:paraId="53816D09" w14:textId="2323D5B4"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P</w:t>
      </w:r>
      <w:r>
        <w:rPr>
          <w:szCs w:val="18"/>
        </w:rPr>
        <w:t>romsex</w:t>
      </w:r>
      <w:r w:rsidRPr="00776D9A">
        <w:rPr>
          <w:szCs w:val="18"/>
        </w:rPr>
        <w:t>, submission p. 6.</w:t>
      </w:r>
    </w:p>
  </w:footnote>
  <w:footnote w:id="39">
    <w:p w14:paraId="2740E3CA" w14:textId="6137D9F2"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hyperlink r:id="rId11" w:history="1">
        <w:r w:rsidRPr="002D4B53">
          <w:rPr>
            <w:rStyle w:val="Hyperlink"/>
            <w:szCs w:val="18"/>
          </w:rPr>
          <w:t>http://www.cnki.com.cn/Article/CJFDTotal-XYZL201710051.htm</w:t>
        </w:r>
      </w:hyperlink>
    </w:p>
  </w:footnote>
  <w:footnote w:id="40">
    <w:p w14:paraId="7F6F76F9" w14:textId="762F924F"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color w:val="000000"/>
          <w:szCs w:val="18"/>
        </w:rPr>
        <w:tab/>
      </w:r>
      <w:r w:rsidRPr="00776D9A">
        <w:rPr>
          <w:rStyle w:val="FootnoteReference"/>
          <w:szCs w:val="18"/>
        </w:rPr>
        <w:footnoteRef/>
      </w:r>
      <w:r w:rsidRPr="00776D9A">
        <w:rPr>
          <w:color w:val="000000"/>
          <w:szCs w:val="18"/>
        </w:rPr>
        <w:t xml:space="preserve"> </w:t>
      </w:r>
      <w:r>
        <w:rPr>
          <w:color w:val="000000"/>
          <w:szCs w:val="18"/>
        </w:rPr>
        <w:tab/>
      </w:r>
      <w:r>
        <w:rPr>
          <w:color w:val="000000"/>
          <w:szCs w:val="18"/>
        </w:rPr>
        <w:tab/>
      </w:r>
      <w:r w:rsidRPr="00776D9A">
        <w:rPr>
          <w:color w:val="000000"/>
          <w:szCs w:val="18"/>
        </w:rPr>
        <w:t xml:space="preserve">AMICUS, </w:t>
      </w:r>
      <w:r w:rsidRPr="00CD2F9A">
        <w:rPr>
          <w:szCs w:val="18"/>
        </w:rPr>
        <w:t>submission</w:t>
      </w:r>
      <w:r w:rsidRPr="00776D9A">
        <w:rPr>
          <w:color w:val="000000"/>
          <w:szCs w:val="18"/>
        </w:rPr>
        <w:t xml:space="preserve"> p. 2.</w:t>
      </w:r>
    </w:p>
  </w:footnote>
  <w:footnote w:id="41">
    <w:p w14:paraId="7234304E" w14:textId="590A4EA1"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251C39">
        <w:rPr>
          <w:szCs w:val="18"/>
        </w:rPr>
        <w:t>https://www.mind.org.uk/media-a/4688/stand-bi-me.pdf</w:t>
      </w:r>
      <w:r w:rsidRPr="00776D9A">
        <w:rPr>
          <w:szCs w:val="18"/>
        </w:rPr>
        <w:t>, p. 8.</w:t>
      </w:r>
    </w:p>
  </w:footnote>
  <w:footnote w:id="42">
    <w:sdt>
      <w:sdtPr>
        <w:rPr>
          <w:szCs w:val="18"/>
        </w:rPr>
        <w:tag w:val="goog_rdk_211"/>
        <w:id w:val="-304090590"/>
      </w:sdtPr>
      <w:sdtEndPr/>
      <w:sdtContent>
        <w:p w14:paraId="1E66EE1C" w14:textId="207C1EAF" w:rsidR="00271AA4" w:rsidRPr="004D4086" w:rsidRDefault="00271AA4" w:rsidP="002442AD">
          <w:pPr>
            <w:pStyle w:val="FootnoteText"/>
            <w:suppressAutoHyphens/>
            <w:kinsoku w:val="0"/>
            <w:overflowPunct w:val="0"/>
            <w:autoSpaceDE w:val="0"/>
            <w:autoSpaceDN w:val="0"/>
            <w:adjustRightInd w:val="0"/>
            <w:snapToGrid w:val="0"/>
            <w:spacing w:line="240" w:lineRule="auto"/>
            <w:ind w:hanging="567"/>
            <w:jc w:val="both"/>
            <w:rPr>
              <w:szCs w:val="18"/>
              <w:lang w:val="fr-FR"/>
            </w:rPr>
          </w:pPr>
          <w:r>
            <w:rPr>
              <w:szCs w:val="18"/>
            </w:rPr>
            <w:t xml:space="preserve">       </w:t>
          </w:r>
          <w:r w:rsidRPr="00776D9A">
            <w:rPr>
              <w:rStyle w:val="FootnoteReference"/>
              <w:szCs w:val="18"/>
            </w:rPr>
            <w:footnoteRef/>
          </w:r>
          <w:sdt>
            <w:sdtPr>
              <w:rPr>
                <w:szCs w:val="18"/>
              </w:rPr>
              <w:tag w:val="goog_rdk_210"/>
              <w:id w:val="-1559701984"/>
            </w:sdtPr>
            <w:sdtEndPr/>
            <w:sdtContent>
              <w:r w:rsidRPr="00776D9A">
                <w:rPr>
                  <w:szCs w:val="18"/>
                </w:rPr>
                <w:t xml:space="preserve"> </w:t>
              </w:r>
              <w:r>
                <w:rPr>
                  <w:szCs w:val="18"/>
                </w:rPr>
                <w:tab/>
              </w:r>
              <w:r>
                <w:rPr>
                  <w:szCs w:val="18"/>
                </w:rPr>
                <w:tab/>
              </w:r>
              <w:r w:rsidRPr="00776D9A">
                <w:rPr>
                  <w:szCs w:val="18"/>
                </w:rPr>
                <w:t>Curmi, C.</w:t>
              </w:r>
              <w:r>
                <w:rPr>
                  <w:szCs w:val="18"/>
                </w:rPr>
                <w:t xml:space="preserve"> et al., </w:t>
              </w:r>
              <w:r w:rsidRPr="00776D9A">
                <w:rPr>
                  <w:szCs w:val="18"/>
                </w:rPr>
                <w:t xml:space="preserve">(2016), Barriers to cervical cancer screening experienced by lesbian women: a qualitative study. </w:t>
              </w:r>
              <w:r w:rsidRPr="004D4086">
                <w:rPr>
                  <w:szCs w:val="18"/>
                  <w:lang w:val="fr-FR"/>
                </w:rPr>
                <w:t xml:space="preserve">J Clin Nurs, 25: 3643-3651; </w:t>
              </w:r>
              <w:hyperlink r:id="rId12" w:history="1">
                <w:r w:rsidRPr="004D4086">
                  <w:rPr>
                    <w:rStyle w:val="Hyperlink"/>
                    <w:szCs w:val="18"/>
                    <w:lang w:val="fr-FR"/>
                  </w:rPr>
                  <w:t>https://www.hopkinsmedicine.org/health/wellness-and-prevention/lesbian-and-bisexual-womens-health-issues</w:t>
                </w:r>
              </w:hyperlink>
              <w:r w:rsidRPr="004D4086">
                <w:rPr>
                  <w:szCs w:val="18"/>
                  <w:lang w:val="fr-FR"/>
                </w:rPr>
                <w:t xml:space="preserve"> </w:t>
              </w:r>
            </w:sdtContent>
          </w:sdt>
        </w:p>
      </w:sdtContent>
    </w:sdt>
  </w:footnote>
  <w:footnote w:id="43">
    <w:p w14:paraId="6DC95B1F" w14:textId="23168F05" w:rsidR="00271AA4" w:rsidRPr="00DE5C96" w:rsidRDefault="00271AA4" w:rsidP="00271AA4">
      <w:pPr>
        <w:pStyle w:val="FootnoteText"/>
        <w:suppressAutoHyphens/>
        <w:kinsoku w:val="0"/>
        <w:overflowPunct w:val="0"/>
        <w:autoSpaceDE w:val="0"/>
        <w:autoSpaceDN w:val="0"/>
        <w:adjustRightInd w:val="0"/>
        <w:snapToGrid w:val="0"/>
        <w:spacing w:line="240" w:lineRule="auto"/>
        <w:rPr>
          <w:color w:val="000000"/>
          <w:szCs w:val="18"/>
          <w:lang w:val="fr-FR"/>
        </w:rPr>
      </w:pPr>
      <w:r w:rsidRPr="00DE5C96">
        <w:rPr>
          <w:color w:val="000000"/>
          <w:szCs w:val="18"/>
          <w:lang w:val="fr-FR"/>
        </w:rPr>
        <w:tab/>
      </w:r>
      <w:r w:rsidRPr="00776D9A">
        <w:rPr>
          <w:rStyle w:val="FootnoteReference"/>
          <w:szCs w:val="18"/>
        </w:rPr>
        <w:footnoteRef/>
      </w:r>
      <w:r w:rsidRPr="00DE5C96">
        <w:rPr>
          <w:color w:val="000000"/>
          <w:szCs w:val="18"/>
          <w:lang w:val="fr-FR"/>
        </w:rPr>
        <w:t xml:space="preserve"> </w:t>
      </w:r>
      <w:r w:rsidRPr="00DE5C96">
        <w:rPr>
          <w:color w:val="000000"/>
          <w:szCs w:val="18"/>
          <w:lang w:val="fr-FR"/>
        </w:rPr>
        <w:tab/>
      </w:r>
      <w:r w:rsidRPr="00DE5C96">
        <w:rPr>
          <w:color w:val="000000"/>
          <w:szCs w:val="18"/>
          <w:lang w:val="fr-FR"/>
        </w:rPr>
        <w:tab/>
        <w:t>See</w:t>
      </w:r>
      <w:r>
        <w:rPr>
          <w:color w:val="000000"/>
          <w:szCs w:val="18"/>
          <w:lang w:val="fr-FR"/>
        </w:rPr>
        <w:t xml:space="preserve"> </w:t>
      </w:r>
      <w:r w:rsidRPr="00DE5C96">
        <w:rPr>
          <w:color w:val="000000"/>
          <w:szCs w:val="18"/>
          <w:lang w:val="fr-FR"/>
        </w:rPr>
        <w:t xml:space="preserve">A/HRC/32/44, para. </w:t>
      </w:r>
      <w:r w:rsidRPr="00DE5C96">
        <w:rPr>
          <w:szCs w:val="18"/>
          <w:lang w:val="fr-FR"/>
        </w:rPr>
        <w:t>58</w:t>
      </w:r>
      <w:r w:rsidRPr="00DE5C96">
        <w:rPr>
          <w:color w:val="000000"/>
          <w:szCs w:val="18"/>
          <w:lang w:val="fr-FR"/>
        </w:rPr>
        <w:t xml:space="preserve">. </w:t>
      </w:r>
      <w:sdt>
        <w:sdtPr>
          <w:rPr>
            <w:szCs w:val="18"/>
          </w:rPr>
          <w:tag w:val="goog_rdk_194"/>
          <w:id w:val="-1666692532"/>
        </w:sdtPr>
        <w:sdtEndPr/>
        <w:sdtContent>
          <w:r w:rsidRPr="00DE5C96">
            <w:rPr>
              <w:color w:val="000000"/>
              <w:szCs w:val="18"/>
              <w:lang w:val="fr-FR"/>
            </w:rPr>
            <w:t xml:space="preserve"> A/HRC/29/23 para. 26; </w:t>
          </w:r>
          <w:hyperlink r:id="rId13" w:history="1">
            <w:r w:rsidRPr="00DE5C96">
              <w:rPr>
                <w:rStyle w:val="Hyperlink"/>
                <w:szCs w:val="18"/>
                <w:lang w:val="fr-FR"/>
              </w:rPr>
              <w:t>https://www.hrw.org/news/2022/04/29/inadequate-kenyan-police-response-brutal-killing-non-binary-lesbian</w:t>
            </w:r>
          </w:hyperlink>
          <w:r w:rsidRPr="00DE5C96">
            <w:rPr>
              <w:color w:val="000000"/>
              <w:szCs w:val="18"/>
              <w:lang w:val="fr-FR"/>
            </w:rPr>
            <w:t xml:space="preserve">. </w:t>
          </w:r>
        </w:sdtContent>
      </w:sdt>
    </w:p>
  </w:footnote>
  <w:footnote w:id="44">
    <w:p w14:paraId="60B9A1E1" w14:textId="059F2FBA"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sidRPr="00DE5C96">
        <w:rPr>
          <w:szCs w:val="18"/>
          <w:lang w:val="fr-FR"/>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 xml:space="preserve">Muller, A., Health for All? Sexual Orientation, Gender Identity, and the Implementation of the Right to Access to Health Care in South Africa, Health and Human Rights Journal, </w:t>
      </w:r>
      <w:r>
        <w:rPr>
          <w:szCs w:val="18"/>
        </w:rPr>
        <w:t>2016.</w:t>
      </w:r>
    </w:p>
  </w:footnote>
  <w:footnote w:id="45">
    <w:p w14:paraId="4C842B0D" w14:textId="77F04F3C"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lang w:val="es-ES"/>
        </w:rPr>
      </w:pPr>
      <w:r w:rsidRPr="00DE5C96">
        <w:rPr>
          <w:color w:val="000000"/>
          <w:szCs w:val="18"/>
          <w:lang w:val="en-GB"/>
        </w:rPr>
        <w:tab/>
      </w:r>
      <w:r w:rsidRPr="00776D9A">
        <w:rPr>
          <w:rStyle w:val="FootnoteReference"/>
          <w:szCs w:val="18"/>
        </w:rPr>
        <w:footnoteRef/>
      </w:r>
      <w:r w:rsidRPr="00776D9A">
        <w:rPr>
          <w:color w:val="000000"/>
          <w:szCs w:val="18"/>
          <w:lang w:val="es-ES"/>
        </w:rPr>
        <w:t xml:space="preserve"> </w:t>
      </w:r>
      <w:r>
        <w:rPr>
          <w:color w:val="000000"/>
          <w:szCs w:val="18"/>
          <w:lang w:val="es-ES"/>
        </w:rPr>
        <w:tab/>
      </w:r>
      <w:r>
        <w:rPr>
          <w:color w:val="000000"/>
          <w:szCs w:val="18"/>
          <w:lang w:val="es-ES"/>
        </w:rPr>
        <w:tab/>
      </w:r>
      <w:r w:rsidRPr="00776D9A">
        <w:rPr>
          <w:color w:val="000000"/>
          <w:szCs w:val="18"/>
          <w:lang w:val="es-ES"/>
        </w:rPr>
        <w:t xml:space="preserve">A/69/856, </w:t>
      </w:r>
      <w:r w:rsidRPr="00DE5C96">
        <w:rPr>
          <w:szCs w:val="18"/>
          <w:lang w:val="es-ES"/>
        </w:rPr>
        <w:t>para</w:t>
      </w:r>
      <w:r w:rsidRPr="00776D9A">
        <w:rPr>
          <w:color w:val="000000"/>
          <w:szCs w:val="18"/>
          <w:lang w:val="es-ES"/>
        </w:rPr>
        <w:t>. 47.</w:t>
      </w:r>
    </w:p>
  </w:footnote>
  <w:footnote w:id="46">
    <w:p w14:paraId="0574644C" w14:textId="39D7EF9A" w:rsidR="00271AA4" w:rsidRPr="00DE5C96" w:rsidRDefault="00271AA4" w:rsidP="00CD2F9A">
      <w:pPr>
        <w:pStyle w:val="FootnoteText"/>
        <w:suppressAutoHyphens/>
        <w:kinsoku w:val="0"/>
        <w:overflowPunct w:val="0"/>
        <w:autoSpaceDE w:val="0"/>
        <w:autoSpaceDN w:val="0"/>
        <w:adjustRightInd w:val="0"/>
        <w:snapToGrid w:val="0"/>
        <w:spacing w:line="240" w:lineRule="auto"/>
        <w:jc w:val="both"/>
        <w:rPr>
          <w:color w:val="000000"/>
          <w:szCs w:val="18"/>
          <w:lang w:val="es-ES"/>
        </w:rPr>
      </w:pPr>
      <w:r>
        <w:rPr>
          <w:color w:val="000000"/>
          <w:szCs w:val="18"/>
          <w:lang w:val="es-ES"/>
        </w:rPr>
        <w:tab/>
      </w:r>
      <w:r w:rsidRPr="00776D9A">
        <w:rPr>
          <w:rStyle w:val="FootnoteReference"/>
          <w:szCs w:val="18"/>
        </w:rPr>
        <w:footnoteRef/>
      </w:r>
      <w:r w:rsidRPr="00776D9A">
        <w:rPr>
          <w:color w:val="000000"/>
          <w:szCs w:val="18"/>
          <w:lang w:val="es-ES"/>
        </w:rPr>
        <w:t xml:space="preserve"> </w:t>
      </w:r>
      <w:r>
        <w:rPr>
          <w:color w:val="000000"/>
          <w:szCs w:val="18"/>
          <w:lang w:val="es-ES"/>
        </w:rPr>
        <w:tab/>
      </w:r>
      <w:r>
        <w:rPr>
          <w:color w:val="000000"/>
          <w:szCs w:val="18"/>
          <w:lang w:val="es-ES"/>
        </w:rPr>
        <w:tab/>
      </w:r>
      <w:r w:rsidRPr="00776D9A">
        <w:rPr>
          <w:color w:val="000000"/>
          <w:szCs w:val="18"/>
          <w:lang w:val="es-ES"/>
        </w:rPr>
        <w:t>A/HRC/</w:t>
      </w:r>
      <w:r w:rsidRPr="00DE5C96">
        <w:rPr>
          <w:szCs w:val="18"/>
          <w:lang w:val="es-ES"/>
        </w:rPr>
        <w:t>32</w:t>
      </w:r>
      <w:r w:rsidRPr="00776D9A">
        <w:rPr>
          <w:color w:val="000000"/>
          <w:szCs w:val="18"/>
          <w:lang w:val="es-ES"/>
        </w:rPr>
        <w:t xml:space="preserve">/32, para. </w:t>
      </w:r>
      <w:r w:rsidRPr="00DE5C96">
        <w:rPr>
          <w:color w:val="000000"/>
          <w:szCs w:val="18"/>
          <w:lang w:val="es-ES"/>
        </w:rPr>
        <w:t>84.</w:t>
      </w:r>
    </w:p>
  </w:footnote>
  <w:footnote w:id="47">
    <w:p w14:paraId="5D387187" w14:textId="2ECCE942" w:rsidR="00271AA4" w:rsidRPr="00DE5C96" w:rsidRDefault="00271AA4" w:rsidP="00CD2F9A">
      <w:pPr>
        <w:pStyle w:val="FootnoteText"/>
        <w:suppressAutoHyphens/>
        <w:kinsoku w:val="0"/>
        <w:overflowPunct w:val="0"/>
        <w:autoSpaceDE w:val="0"/>
        <w:autoSpaceDN w:val="0"/>
        <w:adjustRightInd w:val="0"/>
        <w:snapToGrid w:val="0"/>
        <w:spacing w:line="240" w:lineRule="auto"/>
        <w:jc w:val="both"/>
        <w:rPr>
          <w:szCs w:val="18"/>
          <w:lang w:val="es-ES"/>
        </w:rPr>
      </w:pPr>
      <w:r w:rsidRPr="00DE5C96">
        <w:rPr>
          <w:szCs w:val="18"/>
          <w:lang w:val="es-ES"/>
        </w:rPr>
        <w:tab/>
      </w:r>
      <w:r w:rsidRPr="00776D9A">
        <w:rPr>
          <w:rStyle w:val="FootnoteReference"/>
          <w:szCs w:val="18"/>
        </w:rPr>
        <w:footnoteRef/>
      </w:r>
      <w:r w:rsidRPr="00DE5C96">
        <w:rPr>
          <w:szCs w:val="18"/>
          <w:lang w:val="es-ES"/>
        </w:rPr>
        <w:t xml:space="preserve"> </w:t>
      </w:r>
      <w:r w:rsidRPr="00DE5C96">
        <w:rPr>
          <w:szCs w:val="18"/>
          <w:lang w:val="es-ES"/>
        </w:rPr>
        <w:tab/>
      </w:r>
      <w:r w:rsidRPr="00DE5C96">
        <w:rPr>
          <w:szCs w:val="18"/>
          <w:lang w:val="es-ES"/>
        </w:rPr>
        <w:tab/>
        <w:t>A/HRC/32/44, para. 58.</w:t>
      </w:r>
    </w:p>
  </w:footnote>
  <w:footnote w:id="48">
    <w:p w14:paraId="5968318A" w14:textId="0E23F4A2" w:rsidR="00271AA4" w:rsidRPr="00DE5C96" w:rsidRDefault="00271AA4" w:rsidP="00CD2F9A">
      <w:pPr>
        <w:pStyle w:val="FootnoteText"/>
        <w:suppressAutoHyphens/>
        <w:kinsoku w:val="0"/>
        <w:overflowPunct w:val="0"/>
        <w:autoSpaceDE w:val="0"/>
        <w:autoSpaceDN w:val="0"/>
        <w:adjustRightInd w:val="0"/>
        <w:snapToGrid w:val="0"/>
        <w:spacing w:line="240" w:lineRule="auto"/>
        <w:jc w:val="both"/>
        <w:rPr>
          <w:szCs w:val="18"/>
          <w:lang w:val="es-ES"/>
        </w:rPr>
      </w:pPr>
      <w:r w:rsidRPr="00DE5C96">
        <w:rPr>
          <w:szCs w:val="18"/>
          <w:lang w:val="es-ES"/>
        </w:rPr>
        <w:tab/>
      </w:r>
      <w:r w:rsidRPr="00776D9A">
        <w:rPr>
          <w:rStyle w:val="FootnoteReference"/>
          <w:szCs w:val="18"/>
        </w:rPr>
        <w:footnoteRef/>
      </w:r>
      <w:r w:rsidRPr="00DE5C96">
        <w:rPr>
          <w:szCs w:val="18"/>
          <w:lang w:val="es-ES"/>
        </w:rPr>
        <w:t xml:space="preserve"> </w:t>
      </w:r>
      <w:r w:rsidRPr="00DE5C96">
        <w:rPr>
          <w:szCs w:val="18"/>
          <w:lang w:val="es-ES"/>
        </w:rPr>
        <w:tab/>
      </w:r>
      <w:r w:rsidRPr="00DE5C96">
        <w:rPr>
          <w:szCs w:val="18"/>
          <w:lang w:val="es-ES"/>
        </w:rPr>
        <w:tab/>
        <w:t>Nyasa Rainbow Alliance, submission p. 5.</w:t>
      </w:r>
    </w:p>
  </w:footnote>
  <w:footnote w:id="49">
    <w:p w14:paraId="0D4171BF" w14:textId="10F0DC2B" w:rsidR="00271AA4" w:rsidRPr="00DE5C96" w:rsidRDefault="00271AA4" w:rsidP="00CD2F9A">
      <w:pPr>
        <w:pStyle w:val="FootnoteText"/>
        <w:suppressAutoHyphens/>
        <w:kinsoku w:val="0"/>
        <w:overflowPunct w:val="0"/>
        <w:autoSpaceDE w:val="0"/>
        <w:autoSpaceDN w:val="0"/>
        <w:adjustRightInd w:val="0"/>
        <w:snapToGrid w:val="0"/>
        <w:spacing w:line="240" w:lineRule="auto"/>
        <w:jc w:val="both"/>
        <w:rPr>
          <w:color w:val="141413"/>
          <w:szCs w:val="18"/>
          <w:lang w:val="es-ES"/>
        </w:rPr>
      </w:pPr>
      <w:r w:rsidRPr="00DE5C96">
        <w:rPr>
          <w:szCs w:val="18"/>
          <w:lang w:val="es-ES"/>
        </w:rPr>
        <w:tab/>
      </w:r>
      <w:r w:rsidRPr="002442AD">
        <w:rPr>
          <w:rStyle w:val="FootnoteReference"/>
          <w:szCs w:val="18"/>
        </w:rPr>
        <w:footnoteRef/>
      </w:r>
      <w:r w:rsidRPr="00DE5C96">
        <w:rPr>
          <w:szCs w:val="18"/>
          <w:lang w:val="es-ES"/>
        </w:rPr>
        <w:t xml:space="preserve"> </w:t>
      </w:r>
      <w:r w:rsidRPr="00DE5C96">
        <w:rPr>
          <w:szCs w:val="18"/>
          <w:lang w:val="es-ES"/>
        </w:rPr>
        <w:tab/>
      </w:r>
      <w:r w:rsidRPr="00DE5C96">
        <w:rPr>
          <w:szCs w:val="18"/>
          <w:lang w:val="es-ES"/>
        </w:rPr>
        <w:tab/>
      </w:r>
      <w:hyperlink r:id="rId14" w:history="1">
        <w:r w:rsidRPr="00DE5C96">
          <w:rPr>
            <w:rStyle w:val="Hyperlink"/>
            <w:szCs w:val="18"/>
            <w:lang w:val="es-ES"/>
          </w:rPr>
          <w:t>https://www.hrw.org/news/2018/07/23/us-lgbt-people-face-healthcare-barriers</w:t>
        </w:r>
      </w:hyperlink>
    </w:p>
  </w:footnote>
  <w:footnote w:id="50">
    <w:p w14:paraId="22B57478" w14:textId="2040347E" w:rsidR="00271AA4" w:rsidRPr="00DE5C96" w:rsidRDefault="00271AA4" w:rsidP="00CD2F9A">
      <w:pPr>
        <w:pStyle w:val="FootnoteText"/>
        <w:suppressAutoHyphens/>
        <w:kinsoku w:val="0"/>
        <w:overflowPunct w:val="0"/>
        <w:autoSpaceDE w:val="0"/>
        <w:autoSpaceDN w:val="0"/>
        <w:adjustRightInd w:val="0"/>
        <w:snapToGrid w:val="0"/>
        <w:spacing w:line="240" w:lineRule="auto"/>
        <w:jc w:val="both"/>
        <w:rPr>
          <w:szCs w:val="18"/>
          <w:lang w:val="es-ES"/>
        </w:rPr>
      </w:pPr>
      <w:r w:rsidRPr="00DE5C96">
        <w:rPr>
          <w:color w:val="000000"/>
          <w:szCs w:val="18"/>
          <w:lang w:val="es-ES"/>
        </w:rPr>
        <w:tab/>
      </w:r>
      <w:r w:rsidRPr="00776D9A">
        <w:rPr>
          <w:rStyle w:val="FootnoteReference"/>
          <w:szCs w:val="18"/>
        </w:rPr>
        <w:footnoteRef/>
      </w:r>
      <w:r w:rsidRPr="00DE5C96">
        <w:rPr>
          <w:color w:val="000000"/>
          <w:szCs w:val="18"/>
          <w:lang w:val="es-ES"/>
        </w:rPr>
        <w:t xml:space="preserve"> </w:t>
      </w:r>
      <w:r w:rsidRPr="00DE5C96">
        <w:rPr>
          <w:color w:val="000000"/>
          <w:szCs w:val="18"/>
          <w:lang w:val="es-ES"/>
        </w:rPr>
        <w:tab/>
      </w:r>
      <w:r w:rsidRPr="00DE5C96">
        <w:rPr>
          <w:color w:val="000000"/>
          <w:szCs w:val="18"/>
          <w:lang w:val="es-ES"/>
        </w:rPr>
        <w:tab/>
      </w:r>
      <w:hyperlink r:id="rId15" w:history="1">
        <w:r w:rsidRPr="00DE5C96">
          <w:rPr>
            <w:rStyle w:val="Hyperlink"/>
            <w:szCs w:val="18"/>
            <w:lang w:val="es-ES"/>
          </w:rPr>
          <w:t>https://transrespect.org/en/map/trans-murder-monitoring/</w:t>
        </w:r>
      </w:hyperlink>
      <w:r w:rsidRPr="00DE5C96">
        <w:rPr>
          <w:szCs w:val="18"/>
          <w:lang w:val="es-ES"/>
        </w:rPr>
        <w:t xml:space="preserve"> </w:t>
      </w:r>
    </w:p>
  </w:footnote>
  <w:footnote w:id="51">
    <w:p w14:paraId="2641EF65" w14:textId="223B27C9"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sidRPr="00DE5C96">
        <w:rPr>
          <w:szCs w:val="18"/>
          <w:lang w:val="es-ES"/>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See, for example, Campaign for Change, submission p. 3.</w:t>
      </w:r>
    </w:p>
  </w:footnote>
  <w:footnote w:id="52">
    <w:p w14:paraId="4A89BA53" w14:textId="2E0C4253"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t xml:space="preserve">See </w:t>
      </w:r>
      <w:r w:rsidRPr="00776D9A">
        <w:rPr>
          <w:szCs w:val="18"/>
        </w:rPr>
        <w:t>IACHR, Violence against Lesbian, Gay, Bisexual, Trans, and Intersex Persons in the Americas, OAS/Ser.L/V/II.rev.1, Doc. 36, 2015.</w:t>
      </w:r>
    </w:p>
  </w:footnote>
  <w:footnote w:id="53">
    <w:p w14:paraId="20BDEAAE" w14:textId="4C490FE3" w:rsidR="00271AA4" w:rsidRPr="00776D9A" w:rsidRDefault="00271AA4" w:rsidP="00271AA4">
      <w:pPr>
        <w:pStyle w:val="FootnoteText"/>
      </w:pPr>
      <w:r>
        <w:tab/>
      </w:r>
      <w:r w:rsidRPr="00776D9A">
        <w:rPr>
          <w:rStyle w:val="FootnoteReference"/>
          <w:szCs w:val="18"/>
        </w:rPr>
        <w:footnoteRef/>
      </w:r>
      <w:r>
        <w:tab/>
      </w:r>
      <w:hyperlink r:id="rId16" w:history="1">
        <w:r w:rsidRPr="00B3579A">
          <w:rPr>
            <w:rStyle w:val="Hyperlink"/>
            <w:szCs w:val="18"/>
          </w:rPr>
          <w:t>https://www.ohchr.org/sites/default/files/Documents/Issues/Discrimination/LGBT</w:t>
        </w:r>
        <w:r w:rsidRPr="00B3579A">
          <w:rPr>
            <w:rStyle w:val="Hyperlink"/>
            <w:szCs w:val="18"/>
          </w:rPr>
          <w:br/>
          <w:t>/BackgroundNoteHumanRightsViolationsagainstIntersexPeople.pdf</w:t>
        </w:r>
      </w:hyperlink>
      <w:r>
        <w:t>,</w:t>
      </w:r>
      <w:r w:rsidRPr="00776D9A">
        <w:t xml:space="preserve"> pp. 8-31.</w:t>
      </w:r>
    </w:p>
  </w:footnote>
  <w:footnote w:id="54">
    <w:p w14:paraId="30E0D799" w14:textId="5FCB0399"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ILGA World, submission p. 7; InterAct, submission pp. 3-5.</w:t>
      </w:r>
    </w:p>
  </w:footnote>
  <w:footnote w:id="55">
    <w:p w14:paraId="3CBBDFE0" w14:textId="09C26940"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lang w:val="es-ES"/>
        </w:rPr>
      </w:pPr>
      <w:r w:rsidRPr="00DE5C96">
        <w:rPr>
          <w:szCs w:val="18"/>
          <w:lang w:val="en-GB"/>
        </w:rPr>
        <w:tab/>
      </w:r>
      <w:r w:rsidRPr="00776D9A">
        <w:rPr>
          <w:rStyle w:val="FootnoteReference"/>
          <w:szCs w:val="18"/>
        </w:rPr>
        <w:footnoteRef/>
      </w:r>
      <w:r w:rsidRPr="00776D9A">
        <w:rPr>
          <w:szCs w:val="18"/>
          <w:lang w:val="es-ES"/>
        </w:rPr>
        <w:t xml:space="preserve"> </w:t>
      </w:r>
      <w:r>
        <w:rPr>
          <w:szCs w:val="18"/>
          <w:lang w:val="es-ES"/>
        </w:rPr>
        <w:tab/>
      </w:r>
      <w:r>
        <w:rPr>
          <w:szCs w:val="18"/>
          <w:lang w:val="es-ES"/>
        </w:rPr>
        <w:tab/>
      </w:r>
      <w:r w:rsidRPr="00776D9A">
        <w:rPr>
          <w:szCs w:val="18"/>
          <w:lang w:val="es-ES"/>
        </w:rPr>
        <w:t>CRC/C/NPL/CO/3-5, paras 38, 41-42.</w:t>
      </w:r>
    </w:p>
  </w:footnote>
  <w:footnote w:id="56">
    <w:p w14:paraId="0E885F4E" w14:textId="529796B1" w:rsidR="00271AA4" w:rsidRPr="00DE5C96" w:rsidRDefault="00271AA4" w:rsidP="00CD2F9A">
      <w:pPr>
        <w:pStyle w:val="FootnoteText"/>
        <w:suppressAutoHyphens/>
        <w:kinsoku w:val="0"/>
        <w:overflowPunct w:val="0"/>
        <w:autoSpaceDE w:val="0"/>
        <w:autoSpaceDN w:val="0"/>
        <w:adjustRightInd w:val="0"/>
        <w:snapToGrid w:val="0"/>
        <w:spacing w:line="240" w:lineRule="auto"/>
        <w:jc w:val="both"/>
        <w:rPr>
          <w:szCs w:val="18"/>
          <w:lang w:val="es-ES"/>
        </w:rPr>
      </w:pPr>
      <w:r>
        <w:rPr>
          <w:szCs w:val="18"/>
          <w:lang w:val="es-ES"/>
        </w:rPr>
        <w:tab/>
      </w:r>
      <w:r w:rsidRPr="00776D9A">
        <w:rPr>
          <w:rStyle w:val="FootnoteReference"/>
          <w:szCs w:val="18"/>
        </w:rPr>
        <w:footnoteRef/>
      </w:r>
      <w:r w:rsidRPr="00776D9A">
        <w:rPr>
          <w:szCs w:val="18"/>
          <w:lang w:val="es-ES"/>
        </w:rPr>
        <w:t xml:space="preserve"> </w:t>
      </w:r>
      <w:r>
        <w:rPr>
          <w:szCs w:val="18"/>
          <w:lang w:val="es-ES"/>
        </w:rPr>
        <w:tab/>
      </w:r>
      <w:r>
        <w:rPr>
          <w:szCs w:val="18"/>
          <w:lang w:val="es-ES"/>
        </w:rPr>
        <w:tab/>
      </w:r>
      <w:r w:rsidRPr="00776D9A">
        <w:rPr>
          <w:szCs w:val="18"/>
          <w:lang w:val="es-ES"/>
        </w:rPr>
        <w:t xml:space="preserve">CAT/C/DEU/CO/5, para. 20; A/HRC/22/53, para. 77; A/HRC/19/41, para. </w:t>
      </w:r>
      <w:r w:rsidRPr="00DE5C96">
        <w:rPr>
          <w:szCs w:val="18"/>
          <w:lang w:val="es-ES"/>
        </w:rPr>
        <w:t>57; A/HRC/50/28, par. 18.</w:t>
      </w:r>
    </w:p>
  </w:footnote>
  <w:footnote w:id="57">
    <w:p w14:paraId="20BCFF64" w14:textId="74800C56" w:rsidR="00271AA4" w:rsidRPr="00DE5C96" w:rsidRDefault="00271AA4" w:rsidP="00CD2F9A">
      <w:pPr>
        <w:pStyle w:val="FootnoteText"/>
        <w:suppressAutoHyphens/>
        <w:kinsoku w:val="0"/>
        <w:overflowPunct w:val="0"/>
        <w:autoSpaceDE w:val="0"/>
        <w:autoSpaceDN w:val="0"/>
        <w:adjustRightInd w:val="0"/>
        <w:snapToGrid w:val="0"/>
        <w:spacing w:line="240" w:lineRule="auto"/>
        <w:jc w:val="both"/>
        <w:rPr>
          <w:szCs w:val="18"/>
          <w:lang w:val="es-ES"/>
        </w:rPr>
      </w:pPr>
      <w:r w:rsidRPr="00DE5C96">
        <w:rPr>
          <w:szCs w:val="18"/>
          <w:lang w:val="es-ES"/>
        </w:rPr>
        <w:tab/>
      </w:r>
      <w:r w:rsidRPr="00776D9A">
        <w:rPr>
          <w:rStyle w:val="FootnoteReference"/>
          <w:szCs w:val="18"/>
        </w:rPr>
        <w:footnoteRef/>
      </w:r>
      <w:r w:rsidRPr="00DE5C96">
        <w:rPr>
          <w:szCs w:val="18"/>
          <w:lang w:val="es-ES"/>
        </w:rPr>
        <w:t xml:space="preserve"> </w:t>
      </w:r>
      <w:r w:rsidRPr="00DE5C96">
        <w:rPr>
          <w:szCs w:val="18"/>
          <w:lang w:val="es-ES"/>
        </w:rPr>
        <w:tab/>
      </w:r>
      <w:r w:rsidRPr="00DE5C96">
        <w:rPr>
          <w:szCs w:val="18"/>
          <w:lang w:val="es-ES"/>
        </w:rPr>
        <w:tab/>
        <w:t>A/HRC/50/28, para. 59.</w:t>
      </w:r>
    </w:p>
  </w:footnote>
  <w:footnote w:id="58">
    <w:p w14:paraId="0D9E60D2" w14:textId="1D996C11" w:rsidR="00271AA4" w:rsidRPr="00DE5C96" w:rsidRDefault="00271AA4" w:rsidP="00CD2F9A">
      <w:pPr>
        <w:pStyle w:val="FootnoteText"/>
        <w:suppressAutoHyphens/>
        <w:kinsoku w:val="0"/>
        <w:overflowPunct w:val="0"/>
        <w:autoSpaceDE w:val="0"/>
        <w:autoSpaceDN w:val="0"/>
        <w:adjustRightInd w:val="0"/>
        <w:snapToGrid w:val="0"/>
        <w:spacing w:line="240" w:lineRule="auto"/>
        <w:jc w:val="both"/>
        <w:rPr>
          <w:szCs w:val="18"/>
          <w:lang w:val="es-ES"/>
        </w:rPr>
      </w:pPr>
      <w:r w:rsidRPr="00DE5C96">
        <w:rPr>
          <w:szCs w:val="18"/>
          <w:lang w:val="es-ES"/>
        </w:rPr>
        <w:tab/>
      </w:r>
      <w:r w:rsidRPr="00776D9A">
        <w:rPr>
          <w:rStyle w:val="FootnoteReference"/>
          <w:szCs w:val="18"/>
        </w:rPr>
        <w:footnoteRef/>
      </w:r>
      <w:r w:rsidRPr="00DE5C96">
        <w:rPr>
          <w:szCs w:val="18"/>
          <w:lang w:val="es-ES"/>
        </w:rPr>
        <w:t xml:space="preserve"> </w:t>
      </w:r>
      <w:r w:rsidRPr="00DE5C96">
        <w:rPr>
          <w:szCs w:val="18"/>
          <w:lang w:val="es-ES"/>
        </w:rPr>
        <w:tab/>
      </w:r>
      <w:r w:rsidRPr="00DE5C96">
        <w:rPr>
          <w:szCs w:val="18"/>
          <w:lang w:val="es-ES"/>
        </w:rPr>
        <w:tab/>
        <w:t>A/HRC/50/28, para. 59.</w:t>
      </w:r>
    </w:p>
  </w:footnote>
  <w:footnote w:id="59">
    <w:p w14:paraId="0FF50254" w14:textId="4ED3519E" w:rsidR="00271AA4" w:rsidRPr="00DE5C96" w:rsidRDefault="00271AA4" w:rsidP="00CD2F9A">
      <w:pPr>
        <w:pStyle w:val="FootnoteText"/>
        <w:suppressAutoHyphens/>
        <w:kinsoku w:val="0"/>
        <w:overflowPunct w:val="0"/>
        <w:autoSpaceDE w:val="0"/>
        <w:autoSpaceDN w:val="0"/>
        <w:adjustRightInd w:val="0"/>
        <w:snapToGrid w:val="0"/>
        <w:spacing w:line="240" w:lineRule="auto"/>
        <w:jc w:val="both"/>
        <w:rPr>
          <w:szCs w:val="18"/>
          <w:lang w:val="es-ES"/>
        </w:rPr>
      </w:pPr>
      <w:r w:rsidRPr="00DE5C96">
        <w:rPr>
          <w:szCs w:val="18"/>
          <w:lang w:val="es-ES"/>
        </w:rPr>
        <w:tab/>
      </w:r>
      <w:r w:rsidRPr="00776D9A">
        <w:rPr>
          <w:rStyle w:val="FootnoteReference"/>
          <w:szCs w:val="18"/>
        </w:rPr>
        <w:footnoteRef/>
      </w:r>
      <w:r w:rsidRPr="00DE5C96">
        <w:rPr>
          <w:szCs w:val="18"/>
          <w:lang w:val="es-ES"/>
        </w:rPr>
        <w:t xml:space="preserve"> </w:t>
      </w:r>
      <w:r w:rsidRPr="00DE5C96">
        <w:rPr>
          <w:szCs w:val="18"/>
          <w:lang w:val="es-ES"/>
        </w:rPr>
        <w:tab/>
      </w:r>
      <w:r w:rsidRPr="00DE5C96">
        <w:rPr>
          <w:szCs w:val="18"/>
          <w:lang w:val="es-ES"/>
        </w:rPr>
        <w:tab/>
        <w:t>https://pinkadvocate.com/2021/04/06/loopholes-feared-in-new-german-laws-against-forced-intersex-surgery/</w:t>
      </w:r>
      <w:r>
        <w:rPr>
          <w:szCs w:val="18"/>
          <w:lang w:val="es-ES"/>
        </w:rPr>
        <w:t>.</w:t>
      </w:r>
    </w:p>
  </w:footnote>
  <w:footnote w:id="60">
    <w:p w14:paraId="4567002C" w14:textId="6BB9AC20" w:rsidR="00271AA4" w:rsidRPr="00DE5C96" w:rsidRDefault="00271AA4" w:rsidP="00CD2F9A">
      <w:pPr>
        <w:pStyle w:val="FootnoteText"/>
        <w:suppressAutoHyphens/>
        <w:kinsoku w:val="0"/>
        <w:overflowPunct w:val="0"/>
        <w:autoSpaceDE w:val="0"/>
        <w:autoSpaceDN w:val="0"/>
        <w:adjustRightInd w:val="0"/>
        <w:snapToGrid w:val="0"/>
        <w:spacing w:line="240" w:lineRule="auto"/>
        <w:jc w:val="both"/>
        <w:rPr>
          <w:szCs w:val="18"/>
          <w:lang w:val="es-ES"/>
        </w:rPr>
      </w:pPr>
      <w:r w:rsidRPr="00DE5C96">
        <w:rPr>
          <w:szCs w:val="18"/>
          <w:lang w:val="es-ES"/>
        </w:rPr>
        <w:tab/>
      </w:r>
      <w:r w:rsidRPr="00776D9A">
        <w:rPr>
          <w:rStyle w:val="FootnoteReference"/>
          <w:szCs w:val="18"/>
        </w:rPr>
        <w:footnoteRef/>
      </w:r>
      <w:r w:rsidRPr="00DE5C96">
        <w:rPr>
          <w:szCs w:val="18"/>
          <w:lang w:val="es-ES"/>
        </w:rPr>
        <w:t xml:space="preserve"> </w:t>
      </w:r>
      <w:r w:rsidRPr="00DE5C96">
        <w:rPr>
          <w:szCs w:val="18"/>
          <w:lang w:val="es-ES"/>
        </w:rPr>
        <w:tab/>
      </w:r>
      <w:r w:rsidRPr="00DE5C96">
        <w:rPr>
          <w:szCs w:val="18"/>
          <w:lang w:val="es-ES"/>
        </w:rPr>
        <w:tab/>
        <w:t>https://www.hrw.org/news/2019/08/29/indian-state-bans-unnecessary-surgery-intersex-children</w:t>
      </w:r>
    </w:p>
  </w:footnote>
  <w:footnote w:id="61">
    <w:p w14:paraId="1B7E5F8B" w14:textId="4D34A8C3" w:rsidR="00271AA4" w:rsidRPr="00DE5C96" w:rsidRDefault="00271AA4" w:rsidP="00CD2F9A">
      <w:pPr>
        <w:pStyle w:val="FootnoteText"/>
        <w:suppressAutoHyphens/>
        <w:kinsoku w:val="0"/>
        <w:overflowPunct w:val="0"/>
        <w:autoSpaceDE w:val="0"/>
        <w:autoSpaceDN w:val="0"/>
        <w:adjustRightInd w:val="0"/>
        <w:snapToGrid w:val="0"/>
        <w:spacing w:line="240" w:lineRule="auto"/>
        <w:jc w:val="both"/>
        <w:rPr>
          <w:szCs w:val="18"/>
          <w:lang w:val="es-ES"/>
        </w:rPr>
      </w:pPr>
      <w:r w:rsidRPr="00DE5C96">
        <w:rPr>
          <w:szCs w:val="18"/>
          <w:lang w:val="es-ES"/>
        </w:rPr>
        <w:tab/>
      </w:r>
      <w:r w:rsidRPr="00776D9A">
        <w:rPr>
          <w:rStyle w:val="FootnoteReference"/>
          <w:szCs w:val="18"/>
        </w:rPr>
        <w:footnoteRef/>
      </w:r>
      <w:r w:rsidRPr="00DE5C96">
        <w:rPr>
          <w:szCs w:val="18"/>
          <w:lang w:val="es-ES"/>
        </w:rPr>
        <w:t xml:space="preserve"> </w:t>
      </w:r>
      <w:r w:rsidRPr="00DE5C96">
        <w:rPr>
          <w:szCs w:val="18"/>
          <w:lang w:val="es-ES"/>
        </w:rPr>
        <w:tab/>
      </w:r>
      <w:r w:rsidRPr="00DE5C96">
        <w:rPr>
          <w:szCs w:val="18"/>
          <w:lang w:val="es-ES"/>
        </w:rPr>
        <w:tab/>
        <w:t>https://www.hrw.org/news/2019/04/29/indian-court-decides-favor-informed-consent-rights-intersex-people</w:t>
      </w:r>
      <w:r>
        <w:rPr>
          <w:szCs w:val="18"/>
          <w:lang w:val="es-ES"/>
        </w:rPr>
        <w:t>.</w:t>
      </w:r>
    </w:p>
  </w:footnote>
  <w:footnote w:id="62">
    <w:p w14:paraId="5A241CE1" w14:textId="34F69927"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sidRPr="00DE5C96">
        <w:rPr>
          <w:szCs w:val="18"/>
          <w:lang w:val="es-ES"/>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B8-0101/2019, European Parliament resolution on the rights of intersex people (2018/2878(RSP))</w:t>
      </w:r>
      <w:r>
        <w:rPr>
          <w:szCs w:val="18"/>
        </w:rPr>
        <w:t>.</w:t>
      </w:r>
    </w:p>
  </w:footnote>
  <w:footnote w:id="63">
    <w:p w14:paraId="3674C539" w14:textId="6C93F084"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Women’s Legal Centre, submission p. 5.</w:t>
      </w:r>
    </w:p>
  </w:footnote>
  <w:footnote w:id="64">
    <w:p w14:paraId="38BEDB3F" w14:textId="01112955"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Caribbean NGO Coalition, submission p. 1.</w:t>
      </w:r>
    </w:p>
  </w:footnote>
  <w:footnote w:id="65">
    <w:sdt>
      <w:sdtPr>
        <w:rPr>
          <w:szCs w:val="18"/>
        </w:rPr>
        <w:tag w:val="goog_rdk_215"/>
        <w:id w:val="1248918926"/>
      </w:sdtPr>
      <w:sdtEndPr/>
      <w:sdtContent>
        <w:p w14:paraId="0CEDDAEE" w14:textId="33725641" w:rsidR="00271AA4" w:rsidRPr="00776D9A" w:rsidRDefault="00271AA4" w:rsidP="00E204C4">
          <w:pPr>
            <w:pStyle w:val="FootnoteText"/>
            <w:suppressAutoHyphens/>
            <w:kinsoku w:val="0"/>
            <w:overflowPunct w:val="0"/>
            <w:autoSpaceDE w:val="0"/>
            <w:autoSpaceDN w:val="0"/>
            <w:adjustRightInd w:val="0"/>
            <w:snapToGrid w:val="0"/>
            <w:spacing w:line="240" w:lineRule="auto"/>
            <w:ind w:hanging="567"/>
            <w:jc w:val="both"/>
            <w:rPr>
              <w:szCs w:val="18"/>
            </w:rPr>
          </w:pPr>
          <w:r>
            <w:rPr>
              <w:szCs w:val="18"/>
            </w:rPr>
            <w:t xml:space="preserve">       </w:t>
          </w:r>
          <w:r w:rsidRPr="00776D9A">
            <w:rPr>
              <w:rStyle w:val="FootnoteReference"/>
              <w:szCs w:val="18"/>
            </w:rPr>
            <w:footnoteRef/>
          </w:r>
          <w:sdt>
            <w:sdtPr>
              <w:rPr>
                <w:szCs w:val="18"/>
              </w:rPr>
              <w:tag w:val="goog_rdk_213"/>
              <w:id w:val="328330628"/>
            </w:sdtPr>
            <w:sdtEndPr/>
            <w:sdtContent>
              <w:sdt>
                <w:sdtPr>
                  <w:rPr>
                    <w:szCs w:val="18"/>
                  </w:rPr>
                  <w:tag w:val="goog_rdk_214"/>
                  <w:id w:val="1605682226"/>
                </w:sdtPr>
                <w:sdtEndPr/>
                <w:sdtContent>
                  <w:r w:rsidRPr="00776D9A">
                    <w:rPr>
                      <w:szCs w:val="18"/>
                    </w:rPr>
                    <w:t xml:space="preserve"> </w:t>
                  </w:r>
                  <w:r>
                    <w:rPr>
                      <w:szCs w:val="18"/>
                    </w:rPr>
                    <w:tab/>
                  </w:r>
                  <w:r>
                    <w:rPr>
                      <w:szCs w:val="18"/>
                    </w:rPr>
                    <w:tab/>
                  </w:r>
                  <w:r w:rsidRPr="00776D9A">
                    <w:rPr>
                      <w:szCs w:val="18"/>
                    </w:rPr>
                    <w:t>Davis, S., &amp; Berlinger, N. (2014). Moral Progress in the Public Safety Net: Access for Transgender and LGB Patients. The Hastings Center Report, 44(5), S45–S47.</w:t>
                  </w:r>
                </w:sdtContent>
              </w:sdt>
            </w:sdtContent>
          </w:sdt>
        </w:p>
      </w:sdtContent>
    </w:sdt>
  </w:footnote>
  <w:footnote w:id="66">
    <w:p w14:paraId="1BF4842D" w14:textId="423AABD8"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CEDAW/C/NLD/CO/5, para. 46–47.</w:t>
      </w:r>
    </w:p>
  </w:footnote>
  <w:footnote w:id="67">
    <w:p w14:paraId="0E7F702B" w14:textId="6935C5F3"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6E0208">
        <w:rPr>
          <w:szCs w:val="18"/>
        </w:rPr>
        <w:t>https://apps.who.int/iris/bitstream/handle/10665/175556/9789241564984_eng.pdf</w:t>
      </w:r>
      <w:r w:rsidRPr="00776D9A">
        <w:rPr>
          <w:szCs w:val="18"/>
        </w:rPr>
        <w:t>, p. 25.</w:t>
      </w:r>
    </w:p>
  </w:footnote>
  <w:footnote w:id="68">
    <w:p w14:paraId="49FECF7A" w14:textId="52D8DEB4"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CEDAW/C/CHE/CO/4-5, para. 39(d).</w:t>
      </w:r>
    </w:p>
  </w:footnote>
  <w:footnote w:id="69">
    <w:p w14:paraId="4F6A5B74" w14:textId="71FF56CB"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See, for example, Impact Iran, submission p. 4.</w:t>
      </w:r>
    </w:p>
  </w:footnote>
  <w:footnote w:id="70">
    <w:p w14:paraId="3E434CB4" w14:textId="537BB895" w:rsidR="00271AA4" w:rsidRPr="00776D9A" w:rsidRDefault="00271AA4" w:rsidP="00271AA4">
      <w:pPr>
        <w:pStyle w:val="FootnoteText"/>
      </w:pPr>
      <w:r>
        <w:tab/>
      </w:r>
      <w:r w:rsidRPr="00776D9A">
        <w:rPr>
          <w:rStyle w:val="FootnoteReference"/>
          <w:szCs w:val="18"/>
        </w:rPr>
        <w:footnoteRef/>
      </w:r>
      <w:r>
        <w:tab/>
      </w:r>
      <w:r w:rsidRPr="00776D9A">
        <w:t xml:space="preserve"> </w:t>
      </w:r>
      <w:hyperlink r:id="rId17" w:history="1">
        <w:r w:rsidRPr="00B3579A">
          <w:rPr>
            <w:rStyle w:val="Hyperlink"/>
            <w:szCs w:val="18"/>
          </w:rPr>
          <w:t>https://www.unaids.org/sites/default/files/media_asset/JC2322_BackgroundCurrent</w:t>
        </w:r>
      </w:hyperlink>
      <w:r>
        <w:br/>
      </w:r>
      <w:r w:rsidRPr="00776D9A">
        <w:t>LandscapeCriminalisationHIV_en.pdf; in Outright Action International, submission p. 3.</w:t>
      </w:r>
    </w:p>
  </w:footnote>
  <w:footnote w:id="71">
    <w:p w14:paraId="36E26DE2" w14:textId="701DAC26"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AL BLR 10/2021 and JAL BLR 1/2021</w:t>
      </w:r>
      <w:r>
        <w:rPr>
          <w:szCs w:val="18"/>
        </w:rPr>
        <w:t>.</w:t>
      </w:r>
    </w:p>
  </w:footnote>
  <w:footnote w:id="72">
    <w:p w14:paraId="279E3E6F" w14:textId="02C4312D"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lang w:val="fr-FR"/>
        </w:rPr>
      </w:pPr>
      <w:r w:rsidRPr="00DE5C96">
        <w:rPr>
          <w:szCs w:val="18"/>
          <w:lang w:val="en-GB"/>
        </w:rPr>
        <w:tab/>
      </w:r>
      <w:r w:rsidRPr="00776D9A">
        <w:rPr>
          <w:rStyle w:val="FootnoteReference"/>
          <w:szCs w:val="18"/>
        </w:rPr>
        <w:footnoteRef/>
      </w:r>
      <w:r w:rsidRPr="00776D9A">
        <w:rPr>
          <w:szCs w:val="18"/>
          <w:lang w:val="fr-FR"/>
        </w:rPr>
        <w:t xml:space="preserve"> </w:t>
      </w:r>
      <w:r>
        <w:rPr>
          <w:szCs w:val="18"/>
          <w:lang w:val="fr-FR"/>
        </w:rPr>
        <w:tab/>
      </w:r>
      <w:r>
        <w:rPr>
          <w:szCs w:val="18"/>
          <w:lang w:val="fr-FR"/>
        </w:rPr>
        <w:tab/>
      </w:r>
      <w:r w:rsidRPr="00776D9A">
        <w:rPr>
          <w:szCs w:val="18"/>
          <w:lang w:val="fr-FR"/>
        </w:rPr>
        <w:t xml:space="preserve">JAL TUN 9/2021, JAL TUN 4/2021 </w:t>
      </w:r>
      <w:r w:rsidRPr="00DE5C96">
        <w:rPr>
          <w:szCs w:val="18"/>
          <w:lang w:val="fr-FR"/>
        </w:rPr>
        <w:t>and</w:t>
      </w:r>
      <w:r w:rsidRPr="00776D9A">
        <w:rPr>
          <w:szCs w:val="18"/>
          <w:lang w:val="fr-FR"/>
        </w:rPr>
        <w:t xml:space="preserve"> JAL TUN 3/2021</w:t>
      </w:r>
      <w:r>
        <w:rPr>
          <w:szCs w:val="18"/>
          <w:lang w:val="fr-FR"/>
        </w:rPr>
        <w:t>.</w:t>
      </w:r>
    </w:p>
  </w:footnote>
  <w:footnote w:id="73">
    <w:p w14:paraId="7CCDFF2A" w14:textId="5243AF59"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lang w:val="da-DK"/>
        </w:rPr>
      </w:pPr>
      <w:r>
        <w:rPr>
          <w:szCs w:val="18"/>
          <w:lang w:val="da-DK"/>
        </w:rPr>
        <w:tab/>
      </w:r>
      <w:r w:rsidRPr="00776D9A">
        <w:rPr>
          <w:rStyle w:val="FootnoteReference"/>
          <w:szCs w:val="18"/>
        </w:rPr>
        <w:footnoteRef/>
      </w:r>
      <w:r w:rsidRPr="00776D9A">
        <w:rPr>
          <w:szCs w:val="18"/>
          <w:lang w:val="da-DK"/>
        </w:rPr>
        <w:t xml:space="preserve"> </w:t>
      </w:r>
      <w:r>
        <w:rPr>
          <w:szCs w:val="18"/>
          <w:lang w:val="da-DK"/>
        </w:rPr>
        <w:tab/>
      </w:r>
      <w:r>
        <w:rPr>
          <w:szCs w:val="18"/>
          <w:lang w:val="da-DK"/>
        </w:rPr>
        <w:tab/>
      </w:r>
      <w:r w:rsidRPr="00776D9A">
        <w:rPr>
          <w:szCs w:val="18"/>
          <w:lang w:val="da-DK"/>
        </w:rPr>
        <w:t>AL POL 6/2021 and JAL POL 3/</w:t>
      </w:r>
      <w:r w:rsidRPr="00CD2F9A">
        <w:rPr>
          <w:szCs w:val="18"/>
        </w:rPr>
        <w:t>2021</w:t>
      </w:r>
      <w:r>
        <w:rPr>
          <w:szCs w:val="18"/>
        </w:rPr>
        <w:t>.</w:t>
      </w:r>
    </w:p>
  </w:footnote>
  <w:footnote w:id="74">
    <w:p w14:paraId="05C2DC1B" w14:textId="099B5BAD"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lang w:val="da-DK"/>
        </w:rPr>
      </w:pPr>
      <w:r>
        <w:rPr>
          <w:szCs w:val="18"/>
          <w:lang w:val="da-DK"/>
        </w:rPr>
        <w:tab/>
      </w:r>
      <w:r w:rsidRPr="00776D9A">
        <w:rPr>
          <w:rStyle w:val="FootnoteReference"/>
          <w:szCs w:val="18"/>
        </w:rPr>
        <w:footnoteRef/>
      </w:r>
      <w:r w:rsidRPr="00776D9A">
        <w:rPr>
          <w:szCs w:val="18"/>
          <w:lang w:val="da-DK"/>
        </w:rPr>
        <w:t xml:space="preserve"> </w:t>
      </w:r>
      <w:r>
        <w:rPr>
          <w:szCs w:val="18"/>
          <w:lang w:val="da-DK"/>
        </w:rPr>
        <w:tab/>
      </w:r>
      <w:r>
        <w:rPr>
          <w:szCs w:val="18"/>
          <w:lang w:val="da-DK"/>
        </w:rPr>
        <w:tab/>
      </w:r>
      <w:r w:rsidRPr="00776D9A">
        <w:rPr>
          <w:szCs w:val="18"/>
          <w:lang w:val="da-DK"/>
        </w:rPr>
        <w:t>JAL HND 6/</w:t>
      </w:r>
      <w:r w:rsidRPr="00CD2F9A">
        <w:rPr>
          <w:szCs w:val="18"/>
        </w:rPr>
        <w:t>2021</w:t>
      </w:r>
      <w:r>
        <w:rPr>
          <w:szCs w:val="18"/>
        </w:rPr>
        <w:t>.</w:t>
      </w:r>
    </w:p>
  </w:footnote>
  <w:footnote w:id="75">
    <w:p w14:paraId="1F82B660" w14:textId="4C770816"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lang w:val="da-DK"/>
        </w:rPr>
      </w:pPr>
      <w:r>
        <w:rPr>
          <w:szCs w:val="18"/>
          <w:lang w:val="da-DK"/>
        </w:rPr>
        <w:tab/>
      </w:r>
      <w:r w:rsidRPr="00776D9A">
        <w:rPr>
          <w:rStyle w:val="FootnoteReference"/>
          <w:szCs w:val="18"/>
        </w:rPr>
        <w:footnoteRef/>
      </w:r>
      <w:r w:rsidRPr="00776D9A">
        <w:rPr>
          <w:szCs w:val="18"/>
          <w:lang w:val="da-DK"/>
        </w:rPr>
        <w:t xml:space="preserve"> </w:t>
      </w:r>
      <w:r>
        <w:rPr>
          <w:szCs w:val="18"/>
          <w:lang w:val="da-DK"/>
        </w:rPr>
        <w:tab/>
      </w:r>
      <w:r>
        <w:rPr>
          <w:szCs w:val="18"/>
          <w:lang w:val="da-DK"/>
        </w:rPr>
        <w:tab/>
      </w:r>
      <w:r w:rsidRPr="00776D9A">
        <w:rPr>
          <w:szCs w:val="18"/>
          <w:lang w:val="da-DK"/>
        </w:rPr>
        <w:t>JAL KAZ 4/</w:t>
      </w:r>
      <w:r w:rsidRPr="00CD2F9A">
        <w:rPr>
          <w:szCs w:val="18"/>
        </w:rPr>
        <w:t>2021</w:t>
      </w:r>
      <w:r>
        <w:rPr>
          <w:szCs w:val="18"/>
        </w:rPr>
        <w:t>.</w:t>
      </w:r>
    </w:p>
  </w:footnote>
  <w:footnote w:id="76">
    <w:p w14:paraId="749B4E0C" w14:textId="1E084F5F"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lang w:val="da-DK"/>
        </w:rPr>
      </w:pPr>
      <w:r>
        <w:rPr>
          <w:szCs w:val="18"/>
          <w:lang w:val="da-DK"/>
        </w:rPr>
        <w:tab/>
      </w:r>
      <w:r w:rsidRPr="00776D9A">
        <w:rPr>
          <w:rStyle w:val="FootnoteReference"/>
          <w:szCs w:val="18"/>
        </w:rPr>
        <w:footnoteRef/>
      </w:r>
      <w:r w:rsidRPr="00776D9A">
        <w:rPr>
          <w:szCs w:val="18"/>
          <w:lang w:val="da-DK"/>
        </w:rPr>
        <w:t xml:space="preserve"> </w:t>
      </w:r>
      <w:r>
        <w:rPr>
          <w:szCs w:val="18"/>
          <w:lang w:val="da-DK"/>
        </w:rPr>
        <w:tab/>
      </w:r>
      <w:r>
        <w:rPr>
          <w:szCs w:val="18"/>
          <w:lang w:val="da-DK"/>
        </w:rPr>
        <w:tab/>
      </w:r>
      <w:r w:rsidRPr="00776D9A">
        <w:rPr>
          <w:szCs w:val="18"/>
          <w:lang w:val="da-DK"/>
        </w:rPr>
        <w:t>JAL KGZ 2/</w:t>
      </w:r>
      <w:r w:rsidRPr="00DE5C96">
        <w:rPr>
          <w:szCs w:val="18"/>
          <w:lang w:val="da-DK"/>
        </w:rPr>
        <w:t>2021</w:t>
      </w:r>
      <w:r>
        <w:rPr>
          <w:szCs w:val="18"/>
          <w:lang w:val="da-DK"/>
        </w:rPr>
        <w:t>.</w:t>
      </w:r>
    </w:p>
  </w:footnote>
  <w:footnote w:id="77">
    <w:p w14:paraId="050E2603" w14:textId="3C9D324D"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lang w:val="da-DK"/>
        </w:rPr>
      </w:pPr>
      <w:r>
        <w:rPr>
          <w:szCs w:val="18"/>
          <w:lang w:val="da-DK"/>
        </w:rPr>
        <w:tab/>
      </w:r>
      <w:r w:rsidRPr="00776D9A">
        <w:rPr>
          <w:rStyle w:val="FootnoteReference"/>
          <w:szCs w:val="18"/>
        </w:rPr>
        <w:footnoteRef/>
      </w:r>
      <w:r w:rsidRPr="00776D9A">
        <w:rPr>
          <w:szCs w:val="18"/>
          <w:lang w:val="da-DK"/>
        </w:rPr>
        <w:t xml:space="preserve"> </w:t>
      </w:r>
      <w:r>
        <w:rPr>
          <w:szCs w:val="18"/>
          <w:lang w:val="da-DK"/>
        </w:rPr>
        <w:tab/>
      </w:r>
      <w:r>
        <w:rPr>
          <w:szCs w:val="18"/>
          <w:lang w:val="da-DK"/>
        </w:rPr>
        <w:tab/>
      </w:r>
      <w:r w:rsidRPr="00776D9A">
        <w:rPr>
          <w:szCs w:val="18"/>
          <w:lang w:val="da-DK"/>
        </w:rPr>
        <w:t>JAL UZB 3/</w:t>
      </w:r>
      <w:r w:rsidRPr="00DE5C96">
        <w:rPr>
          <w:szCs w:val="18"/>
          <w:lang w:val="da-DK"/>
        </w:rPr>
        <w:t>2021</w:t>
      </w:r>
      <w:r>
        <w:rPr>
          <w:szCs w:val="18"/>
          <w:lang w:val="da-DK"/>
        </w:rPr>
        <w:t>.</w:t>
      </w:r>
    </w:p>
  </w:footnote>
  <w:footnote w:id="78">
    <w:p w14:paraId="0AD4FA1D" w14:textId="0A6A9ABE"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lang w:val="da-DK"/>
        </w:rPr>
      </w:pPr>
      <w:r>
        <w:rPr>
          <w:szCs w:val="18"/>
          <w:lang w:val="da-DK"/>
        </w:rPr>
        <w:tab/>
      </w:r>
      <w:r w:rsidRPr="00776D9A">
        <w:rPr>
          <w:rStyle w:val="FootnoteReference"/>
          <w:szCs w:val="18"/>
        </w:rPr>
        <w:footnoteRef/>
      </w:r>
      <w:r w:rsidRPr="00776D9A">
        <w:rPr>
          <w:szCs w:val="18"/>
          <w:lang w:val="da-DK"/>
        </w:rPr>
        <w:t xml:space="preserve"> </w:t>
      </w:r>
      <w:r>
        <w:rPr>
          <w:szCs w:val="18"/>
          <w:lang w:val="da-DK"/>
        </w:rPr>
        <w:tab/>
      </w:r>
      <w:r>
        <w:rPr>
          <w:szCs w:val="18"/>
          <w:lang w:val="da-DK"/>
        </w:rPr>
        <w:tab/>
      </w:r>
      <w:r w:rsidRPr="00776D9A">
        <w:rPr>
          <w:szCs w:val="18"/>
          <w:lang w:val="da-DK"/>
        </w:rPr>
        <w:t>JAL GHA 2/</w:t>
      </w:r>
      <w:r w:rsidRPr="00DE5C96">
        <w:rPr>
          <w:szCs w:val="18"/>
          <w:lang w:val="da-DK"/>
        </w:rPr>
        <w:t>2021</w:t>
      </w:r>
      <w:r>
        <w:rPr>
          <w:szCs w:val="18"/>
          <w:lang w:val="da-DK"/>
        </w:rPr>
        <w:t>.</w:t>
      </w:r>
    </w:p>
  </w:footnote>
  <w:footnote w:id="79">
    <w:p w14:paraId="278BE6C8" w14:textId="5CC132F5"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lang w:val="fr-FR"/>
        </w:rPr>
      </w:pPr>
      <w:r w:rsidRPr="00DE5C96">
        <w:rPr>
          <w:szCs w:val="18"/>
          <w:lang w:val="da-DK"/>
        </w:rPr>
        <w:tab/>
      </w:r>
      <w:r w:rsidRPr="00776D9A">
        <w:rPr>
          <w:rStyle w:val="FootnoteReference"/>
          <w:szCs w:val="18"/>
        </w:rPr>
        <w:footnoteRef/>
      </w:r>
      <w:r w:rsidRPr="00776D9A">
        <w:rPr>
          <w:szCs w:val="18"/>
          <w:lang w:val="fr-FR"/>
        </w:rPr>
        <w:t xml:space="preserve"> </w:t>
      </w:r>
      <w:r>
        <w:rPr>
          <w:szCs w:val="18"/>
          <w:lang w:val="fr-FR"/>
        </w:rPr>
        <w:tab/>
      </w:r>
      <w:r>
        <w:rPr>
          <w:szCs w:val="18"/>
          <w:lang w:val="fr-FR"/>
        </w:rPr>
        <w:tab/>
      </w:r>
      <w:r w:rsidRPr="00776D9A">
        <w:rPr>
          <w:szCs w:val="18"/>
          <w:lang w:val="fr-FR"/>
        </w:rPr>
        <w:t>JAL NIC 3/</w:t>
      </w:r>
      <w:r w:rsidRPr="00DE5C96">
        <w:rPr>
          <w:szCs w:val="18"/>
          <w:lang w:val="fr-FR"/>
        </w:rPr>
        <w:t>2021</w:t>
      </w:r>
      <w:r>
        <w:rPr>
          <w:szCs w:val="18"/>
          <w:lang w:val="fr-FR"/>
        </w:rPr>
        <w:t>.</w:t>
      </w:r>
    </w:p>
  </w:footnote>
  <w:footnote w:id="80">
    <w:p w14:paraId="3D213BA2" w14:textId="7B63BA53"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lang w:val="fr-FR"/>
        </w:rPr>
      </w:pPr>
      <w:r>
        <w:rPr>
          <w:szCs w:val="18"/>
          <w:lang w:val="fr-FR"/>
        </w:rPr>
        <w:tab/>
      </w:r>
      <w:r w:rsidRPr="00776D9A">
        <w:rPr>
          <w:rStyle w:val="FootnoteReference"/>
          <w:szCs w:val="18"/>
        </w:rPr>
        <w:footnoteRef/>
      </w:r>
      <w:r w:rsidRPr="00776D9A">
        <w:rPr>
          <w:szCs w:val="18"/>
          <w:lang w:val="fr-FR"/>
        </w:rPr>
        <w:t xml:space="preserve"> </w:t>
      </w:r>
      <w:r>
        <w:rPr>
          <w:szCs w:val="18"/>
          <w:lang w:val="fr-FR"/>
        </w:rPr>
        <w:tab/>
      </w:r>
      <w:r>
        <w:rPr>
          <w:szCs w:val="18"/>
          <w:lang w:val="fr-FR"/>
        </w:rPr>
        <w:tab/>
      </w:r>
      <w:r w:rsidRPr="00776D9A">
        <w:rPr>
          <w:szCs w:val="18"/>
          <w:lang w:val="fr-FR"/>
        </w:rPr>
        <w:t>JUA SAU 2/</w:t>
      </w:r>
      <w:r w:rsidRPr="00DE5C96">
        <w:rPr>
          <w:szCs w:val="18"/>
          <w:lang w:val="fr-FR"/>
        </w:rPr>
        <w:t>2021</w:t>
      </w:r>
      <w:r>
        <w:rPr>
          <w:szCs w:val="18"/>
          <w:lang w:val="fr-FR"/>
        </w:rPr>
        <w:t>.</w:t>
      </w:r>
    </w:p>
  </w:footnote>
  <w:footnote w:id="81">
    <w:p w14:paraId="3EF97970" w14:textId="1EC8F62A"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lang w:val="fr-FR"/>
        </w:rPr>
      </w:pPr>
      <w:r>
        <w:rPr>
          <w:szCs w:val="18"/>
          <w:lang w:val="fr-FR"/>
        </w:rPr>
        <w:tab/>
      </w:r>
      <w:r w:rsidRPr="00776D9A">
        <w:rPr>
          <w:rStyle w:val="FootnoteReference"/>
          <w:szCs w:val="18"/>
        </w:rPr>
        <w:footnoteRef/>
      </w:r>
      <w:r w:rsidRPr="00776D9A">
        <w:rPr>
          <w:szCs w:val="18"/>
          <w:lang w:val="fr-FR"/>
        </w:rPr>
        <w:t xml:space="preserve"> </w:t>
      </w:r>
      <w:r>
        <w:rPr>
          <w:szCs w:val="18"/>
          <w:lang w:val="fr-FR"/>
        </w:rPr>
        <w:tab/>
      </w:r>
      <w:r>
        <w:rPr>
          <w:szCs w:val="18"/>
          <w:lang w:val="fr-FR"/>
        </w:rPr>
        <w:tab/>
      </w:r>
      <w:r w:rsidRPr="00776D9A">
        <w:rPr>
          <w:szCs w:val="18"/>
          <w:lang w:val="fr-FR"/>
        </w:rPr>
        <w:t>JAL PAK 1/</w:t>
      </w:r>
      <w:r w:rsidRPr="00DE5C96">
        <w:rPr>
          <w:szCs w:val="18"/>
          <w:lang w:val="fr-FR"/>
        </w:rPr>
        <w:t>2021</w:t>
      </w:r>
      <w:r>
        <w:rPr>
          <w:szCs w:val="18"/>
          <w:lang w:val="fr-FR"/>
        </w:rPr>
        <w:t>.</w:t>
      </w:r>
    </w:p>
  </w:footnote>
  <w:footnote w:id="82">
    <w:p w14:paraId="03B49163" w14:textId="12C4BDDA" w:rsidR="00271AA4" w:rsidRPr="00E56A39" w:rsidRDefault="00271AA4" w:rsidP="00271AA4">
      <w:pPr>
        <w:pStyle w:val="FootnoteText"/>
      </w:pPr>
      <w:r>
        <w:rPr>
          <w:lang w:val="en-GB"/>
        </w:rPr>
        <w:tab/>
      </w:r>
      <w:r w:rsidRPr="00776D9A">
        <w:rPr>
          <w:rStyle w:val="FootnoteReference"/>
          <w:szCs w:val="18"/>
        </w:rPr>
        <w:footnoteRef/>
      </w:r>
      <w:r>
        <w:rPr>
          <w:lang w:val="en-GB"/>
        </w:rPr>
        <w:tab/>
      </w:r>
      <w:r w:rsidRPr="004D4086">
        <w:rPr>
          <w:lang w:val="en-GB"/>
        </w:rPr>
        <w:t xml:space="preserve"> </w:t>
      </w:r>
      <w:r>
        <w:rPr>
          <w:lang w:val="en-GB"/>
        </w:rPr>
        <w:t xml:space="preserve">See </w:t>
      </w:r>
      <w:r w:rsidRPr="004D4086">
        <w:rPr>
          <w:lang w:val="en-GB"/>
        </w:rPr>
        <w:t>https://</w:t>
      </w:r>
      <w:r w:rsidRPr="00CD2F9A">
        <w:t>ilga</w:t>
      </w:r>
      <w:r w:rsidRPr="004D4086">
        <w:rPr>
          <w:lang w:val="en-GB"/>
        </w:rPr>
        <w:t>.org/downloads/ILGA_World_State_Sponsored_Homophobia_report_global_legislation_</w:t>
      </w:r>
      <w:r>
        <w:rPr>
          <w:lang w:val="en-GB"/>
        </w:rPr>
        <w:br/>
      </w:r>
      <w:r w:rsidRPr="004D4086">
        <w:rPr>
          <w:lang w:val="en-GB"/>
        </w:rPr>
        <w:t>overview_update_December_2020.pdf</w:t>
      </w:r>
      <w:r>
        <w:rPr>
          <w:lang w:val="en-GB"/>
        </w:rPr>
        <w:t>.</w:t>
      </w:r>
    </w:p>
  </w:footnote>
  <w:footnote w:id="83">
    <w:p w14:paraId="413A3252" w14:textId="7FF801A4"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 xml:space="preserve">Kucheryavenko, O., </w:t>
      </w:r>
      <w:r>
        <w:rPr>
          <w:szCs w:val="18"/>
        </w:rPr>
        <w:t>et al</w:t>
      </w:r>
      <w:r w:rsidRPr="00776D9A">
        <w:rPr>
          <w:szCs w:val="18"/>
        </w:rPr>
        <w:t>, Cost of indulgence: Rise in violence and suicides among LGBT youth in Russia, Health and Human Rights Journal, 2013</w:t>
      </w:r>
      <w:r>
        <w:rPr>
          <w:szCs w:val="18"/>
        </w:rPr>
        <w:t>.</w:t>
      </w:r>
    </w:p>
  </w:footnote>
  <w:footnote w:id="84">
    <w:p w14:paraId="70A945D5" w14:textId="7F423AF4"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See, for example, Euroregional Centre for Public Initiatives, submission p. 3; Human Rights Watch, submission p. 3</w:t>
      </w:r>
      <w:r>
        <w:rPr>
          <w:szCs w:val="18"/>
        </w:rPr>
        <w:t>.</w:t>
      </w:r>
      <w:r w:rsidRPr="00776D9A">
        <w:rPr>
          <w:szCs w:val="18"/>
        </w:rPr>
        <w:t xml:space="preserve"> </w:t>
      </w:r>
    </w:p>
  </w:footnote>
  <w:footnote w:id="85">
    <w:p w14:paraId="28E8F89D" w14:textId="28AEBDCA"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United Nations Association Pride Affinity Group, submission p. 3.</w:t>
      </w:r>
    </w:p>
  </w:footnote>
  <w:footnote w:id="86">
    <w:p w14:paraId="0C9658CF" w14:textId="062288C9" w:rsidR="00271AA4" w:rsidRPr="006A3731" w:rsidRDefault="00271AA4" w:rsidP="00CD2F9A">
      <w:pPr>
        <w:pStyle w:val="FootnoteText"/>
        <w:suppressAutoHyphens/>
        <w:kinsoku w:val="0"/>
        <w:overflowPunct w:val="0"/>
        <w:autoSpaceDE w:val="0"/>
        <w:autoSpaceDN w:val="0"/>
        <w:adjustRightInd w:val="0"/>
        <w:snapToGrid w:val="0"/>
        <w:spacing w:line="240" w:lineRule="auto"/>
        <w:jc w:val="both"/>
        <w:rPr>
          <w:szCs w:val="18"/>
          <w:lang w:val="es-ES"/>
        </w:rPr>
      </w:pPr>
      <w:r w:rsidRPr="00DE5C96">
        <w:rPr>
          <w:szCs w:val="18"/>
          <w:lang w:val="en-GB"/>
        </w:rPr>
        <w:tab/>
      </w:r>
      <w:r w:rsidRPr="00776D9A">
        <w:rPr>
          <w:rStyle w:val="FootnoteReference"/>
          <w:szCs w:val="18"/>
        </w:rPr>
        <w:footnoteRef/>
      </w:r>
      <w:r w:rsidRPr="006A3731">
        <w:rPr>
          <w:szCs w:val="18"/>
          <w:lang w:val="es-ES"/>
        </w:rPr>
        <w:t xml:space="preserve"> </w:t>
      </w:r>
      <w:r>
        <w:rPr>
          <w:szCs w:val="18"/>
          <w:lang w:val="es-ES"/>
        </w:rPr>
        <w:tab/>
      </w:r>
      <w:r>
        <w:rPr>
          <w:szCs w:val="18"/>
          <w:lang w:val="es-ES"/>
        </w:rPr>
        <w:tab/>
      </w:r>
      <w:r w:rsidRPr="006A3731">
        <w:rPr>
          <w:szCs w:val="18"/>
          <w:lang w:val="es-ES"/>
        </w:rPr>
        <w:t>A/74/181, par. 8.</w:t>
      </w:r>
    </w:p>
  </w:footnote>
  <w:footnote w:id="87">
    <w:p w14:paraId="7ED9B265" w14:textId="1E09838E" w:rsidR="00271AA4" w:rsidRPr="006A3731" w:rsidRDefault="00271AA4" w:rsidP="00CD2F9A">
      <w:pPr>
        <w:pStyle w:val="FootnoteText"/>
        <w:suppressAutoHyphens/>
        <w:kinsoku w:val="0"/>
        <w:overflowPunct w:val="0"/>
        <w:autoSpaceDE w:val="0"/>
        <w:autoSpaceDN w:val="0"/>
        <w:adjustRightInd w:val="0"/>
        <w:snapToGrid w:val="0"/>
        <w:spacing w:line="240" w:lineRule="auto"/>
        <w:jc w:val="both"/>
        <w:rPr>
          <w:szCs w:val="18"/>
          <w:lang w:val="es-ES"/>
        </w:rPr>
      </w:pPr>
      <w:r>
        <w:rPr>
          <w:szCs w:val="18"/>
          <w:lang w:val="es-ES"/>
        </w:rPr>
        <w:tab/>
      </w:r>
      <w:r w:rsidRPr="00776D9A">
        <w:rPr>
          <w:rStyle w:val="FootnoteReference"/>
          <w:szCs w:val="18"/>
        </w:rPr>
        <w:footnoteRef/>
      </w:r>
      <w:r w:rsidRPr="006A3731">
        <w:rPr>
          <w:szCs w:val="18"/>
          <w:lang w:val="es-ES"/>
        </w:rPr>
        <w:t xml:space="preserve"> </w:t>
      </w:r>
      <w:r>
        <w:rPr>
          <w:szCs w:val="18"/>
          <w:lang w:val="es-ES"/>
        </w:rPr>
        <w:tab/>
      </w:r>
      <w:r>
        <w:rPr>
          <w:szCs w:val="18"/>
          <w:lang w:val="es-ES"/>
        </w:rPr>
        <w:tab/>
      </w:r>
      <w:r w:rsidRPr="006A3731">
        <w:rPr>
          <w:szCs w:val="18"/>
          <w:lang w:val="es-ES"/>
        </w:rPr>
        <w:t>A/69/856, para. 45.</w:t>
      </w:r>
    </w:p>
  </w:footnote>
  <w:footnote w:id="88">
    <w:p w14:paraId="009DCB8D" w14:textId="7162DDEA" w:rsidR="00271AA4" w:rsidRPr="006A3731" w:rsidRDefault="00271AA4" w:rsidP="00CD2F9A">
      <w:pPr>
        <w:pStyle w:val="FootnoteText"/>
        <w:suppressAutoHyphens/>
        <w:kinsoku w:val="0"/>
        <w:overflowPunct w:val="0"/>
        <w:autoSpaceDE w:val="0"/>
        <w:autoSpaceDN w:val="0"/>
        <w:adjustRightInd w:val="0"/>
        <w:snapToGrid w:val="0"/>
        <w:spacing w:line="240" w:lineRule="auto"/>
        <w:jc w:val="both"/>
        <w:rPr>
          <w:szCs w:val="18"/>
          <w:lang w:val="es-ES"/>
        </w:rPr>
      </w:pPr>
      <w:r>
        <w:rPr>
          <w:szCs w:val="18"/>
          <w:lang w:val="es-ES"/>
        </w:rPr>
        <w:tab/>
      </w:r>
      <w:r w:rsidRPr="00776D9A">
        <w:rPr>
          <w:rStyle w:val="FootnoteReference"/>
          <w:szCs w:val="18"/>
        </w:rPr>
        <w:footnoteRef/>
      </w:r>
      <w:r w:rsidRPr="006A3731">
        <w:rPr>
          <w:szCs w:val="18"/>
          <w:lang w:val="es-ES"/>
        </w:rPr>
        <w:t xml:space="preserve"> </w:t>
      </w:r>
      <w:r>
        <w:rPr>
          <w:szCs w:val="18"/>
          <w:lang w:val="es-ES"/>
        </w:rPr>
        <w:tab/>
      </w:r>
      <w:r>
        <w:rPr>
          <w:szCs w:val="18"/>
          <w:lang w:val="es-ES"/>
        </w:rPr>
        <w:tab/>
      </w:r>
      <w:r w:rsidRPr="006A3731">
        <w:rPr>
          <w:szCs w:val="18"/>
          <w:lang w:val="es-ES"/>
        </w:rPr>
        <w:t>https://www.un.org/sg/en/content/sg/statement/2015-09-29/secretary-generals-remarks-high-level-lgbt-core-group-event-leaving</w:t>
      </w:r>
      <w:r>
        <w:rPr>
          <w:szCs w:val="18"/>
          <w:lang w:val="es-ES"/>
        </w:rPr>
        <w:t>.</w:t>
      </w:r>
    </w:p>
  </w:footnote>
  <w:footnote w:id="89">
    <w:p w14:paraId="40968144" w14:textId="4D019211"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lang w:val="es-ES"/>
        </w:rPr>
      </w:pPr>
      <w:r w:rsidRPr="00DE5C96">
        <w:rPr>
          <w:szCs w:val="18"/>
          <w:lang w:val="es-ES"/>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 xml:space="preserve">UNAIDS, submission p. 1. </w:t>
      </w:r>
      <w:r w:rsidRPr="00776D9A">
        <w:rPr>
          <w:i/>
          <w:szCs w:val="18"/>
        </w:rPr>
        <w:t>See also</w:t>
      </w:r>
      <w:r w:rsidRPr="00776D9A">
        <w:rPr>
          <w:szCs w:val="18"/>
        </w:rPr>
        <w:t xml:space="preserve">, Report of the Secretary-General, Special edition: progress towards the Sustainable Development Goals. </w:t>
      </w:r>
      <w:r w:rsidRPr="00776D9A">
        <w:rPr>
          <w:szCs w:val="18"/>
          <w:lang w:val="es-ES"/>
        </w:rPr>
        <w:t>2019 (E/2019/68), p.</w:t>
      </w:r>
      <w:r>
        <w:rPr>
          <w:szCs w:val="18"/>
          <w:lang w:val="es-ES"/>
        </w:rPr>
        <w:t xml:space="preserve"> </w:t>
      </w:r>
      <w:r w:rsidRPr="00776D9A">
        <w:rPr>
          <w:szCs w:val="18"/>
          <w:lang w:val="es-ES"/>
        </w:rPr>
        <w:t>9</w:t>
      </w:r>
      <w:r>
        <w:rPr>
          <w:szCs w:val="18"/>
          <w:lang w:val="es-ES"/>
        </w:rPr>
        <w:t>.</w:t>
      </w:r>
    </w:p>
  </w:footnote>
  <w:footnote w:id="90">
    <w:p w14:paraId="68E9EB83" w14:textId="230618C5" w:rsidR="00271AA4" w:rsidRPr="001D37E9" w:rsidRDefault="00271AA4" w:rsidP="00CD2F9A">
      <w:pPr>
        <w:pStyle w:val="FootnoteText"/>
        <w:suppressAutoHyphens/>
        <w:kinsoku w:val="0"/>
        <w:overflowPunct w:val="0"/>
        <w:autoSpaceDE w:val="0"/>
        <w:autoSpaceDN w:val="0"/>
        <w:adjustRightInd w:val="0"/>
        <w:snapToGrid w:val="0"/>
        <w:spacing w:line="240" w:lineRule="auto"/>
        <w:jc w:val="both"/>
        <w:rPr>
          <w:szCs w:val="18"/>
          <w:lang w:val="es-ES"/>
        </w:rPr>
      </w:pPr>
      <w:r>
        <w:rPr>
          <w:szCs w:val="18"/>
          <w:lang w:val="es-ES"/>
        </w:rPr>
        <w:tab/>
      </w:r>
      <w:r w:rsidRPr="00776D9A">
        <w:rPr>
          <w:rStyle w:val="FootnoteReference"/>
          <w:szCs w:val="18"/>
        </w:rPr>
        <w:footnoteRef/>
      </w:r>
      <w:r w:rsidRPr="001D37E9">
        <w:rPr>
          <w:szCs w:val="18"/>
          <w:lang w:val="es-ES"/>
        </w:rPr>
        <w:t xml:space="preserve"> </w:t>
      </w:r>
      <w:r w:rsidRPr="001D37E9">
        <w:rPr>
          <w:szCs w:val="18"/>
          <w:lang w:val="es-ES"/>
        </w:rPr>
        <w:tab/>
      </w:r>
      <w:r w:rsidRPr="001D37E9">
        <w:rPr>
          <w:szCs w:val="18"/>
          <w:lang w:val="es-ES"/>
        </w:rPr>
        <w:tab/>
      </w:r>
      <w:hyperlink r:id="rId18" w:history="1">
        <w:r w:rsidRPr="001D37E9">
          <w:rPr>
            <w:rStyle w:val="Hyperlink"/>
            <w:szCs w:val="18"/>
            <w:lang w:val="es-ES"/>
          </w:rPr>
          <w:t>https://www.unaids.org/sites/default/files/media_asset/2020_global-aids-report_en.pdf</w:t>
        </w:r>
      </w:hyperlink>
      <w:r w:rsidRPr="001D37E9">
        <w:rPr>
          <w:szCs w:val="18"/>
          <w:lang w:val="es-ES"/>
        </w:rPr>
        <w:t>, pp. 46, 48-49</w:t>
      </w:r>
      <w:r w:rsidRPr="001D37E9">
        <w:rPr>
          <w:color w:val="141413"/>
          <w:szCs w:val="18"/>
          <w:lang w:val="es-ES"/>
        </w:rPr>
        <w:t>.</w:t>
      </w:r>
    </w:p>
  </w:footnote>
  <w:footnote w:id="91">
    <w:p w14:paraId="70FCF5C6" w14:textId="3ECF2D81" w:rsidR="00271AA4" w:rsidRPr="001D37E9" w:rsidRDefault="00271AA4" w:rsidP="00CD2F9A">
      <w:pPr>
        <w:pStyle w:val="FootnoteText"/>
        <w:suppressAutoHyphens/>
        <w:kinsoku w:val="0"/>
        <w:overflowPunct w:val="0"/>
        <w:autoSpaceDE w:val="0"/>
        <w:autoSpaceDN w:val="0"/>
        <w:adjustRightInd w:val="0"/>
        <w:snapToGrid w:val="0"/>
        <w:spacing w:line="240" w:lineRule="auto"/>
        <w:jc w:val="both"/>
        <w:rPr>
          <w:szCs w:val="18"/>
          <w:lang w:val="es-ES"/>
        </w:rPr>
      </w:pPr>
      <w:r w:rsidRPr="001D37E9">
        <w:rPr>
          <w:szCs w:val="18"/>
          <w:lang w:val="es-ES"/>
        </w:rPr>
        <w:tab/>
      </w:r>
      <w:r w:rsidRPr="00776D9A">
        <w:rPr>
          <w:rStyle w:val="FootnoteReference"/>
          <w:szCs w:val="18"/>
        </w:rPr>
        <w:footnoteRef/>
      </w:r>
      <w:r w:rsidRPr="001D37E9">
        <w:rPr>
          <w:szCs w:val="18"/>
          <w:lang w:val="es-ES"/>
        </w:rPr>
        <w:t xml:space="preserve"> </w:t>
      </w:r>
      <w:r w:rsidRPr="001D37E9">
        <w:rPr>
          <w:szCs w:val="18"/>
          <w:lang w:val="es-ES"/>
        </w:rPr>
        <w:tab/>
      </w:r>
      <w:r w:rsidRPr="001D37E9">
        <w:rPr>
          <w:szCs w:val="18"/>
          <w:lang w:val="es-ES"/>
        </w:rPr>
        <w:tab/>
        <w:t>https://www.unaids.org/sites/default/files/media_asset/2020_women-adolescent-girls-and-hiv_en.pdf</w:t>
      </w:r>
      <w:r>
        <w:rPr>
          <w:szCs w:val="18"/>
          <w:lang w:val="es-ES"/>
        </w:rPr>
        <w:t>.</w:t>
      </w:r>
    </w:p>
  </w:footnote>
  <w:footnote w:id="92">
    <w:p w14:paraId="336DB06E" w14:textId="255E34DF"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sidRPr="001D37E9">
        <w:rPr>
          <w:szCs w:val="18"/>
          <w:lang w:val="es-ES"/>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Centre for Human Rights of the University of Pretoria, submission p. 2.</w:t>
      </w:r>
    </w:p>
  </w:footnote>
  <w:footnote w:id="93">
    <w:p w14:paraId="12163D69" w14:textId="011DD915"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APCOM, submission p. 2.</w:t>
      </w:r>
    </w:p>
  </w:footnote>
  <w:footnote w:id="94">
    <w:p w14:paraId="7A3EA9A0" w14:textId="18E710CB"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Global SDG Indicator Platform, Indicator 3.4.2</w:t>
      </w:r>
      <w:r>
        <w:rPr>
          <w:szCs w:val="18"/>
        </w:rPr>
        <w:t>.</w:t>
      </w:r>
    </w:p>
  </w:footnote>
  <w:footnote w:id="95">
    <w:p w14:paraId="50FE6013" w14:textId="579867A9"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color w:val="000000"/>
          <w:szCs w:val="18"/>
        </w:rPr>
        <w:tab/>
      </w:r>
      <w:r w:rsidRPr="00776D9A">
        <w:rPr>
          <w:rStyle w:val="FootnoteReference"/>
          <w:szCs w:val="18"/>
        </w:rPr>
        <w:footnoteRef/>
      </w:r>
      <w:r w:rsidRPr="00776D9A">
        <w:rPr>
          <w:color w:val="000000"/>
          <w:szCs w:val="18"/>
        </w:rPr>
        <w:t xml:space="preserve"> </w:t>
      </w:r>
      <w:r>
        <w:rPr>
          <w:color w:val="000000"/>
          <w:szCs w:val="18"/>
        </w:rPr>
        <w:tab/>
      </w:r>
      <w:r>
        <w:rPr>
          <w:color w:val="000000"/>
          <w:szCs w:val="18"/>
        </w:rPr>
        <w:tab/>
      </w:r>
      <w:r w:rsidRPr="00776D9A">
        <w:rPr>
          <w:color w:val="000000"/>
          <w:szCs w:val="18"/>
        </w:rPr>
        <w:t>A/HRC/41/34</w:t>
      </w:r>
      <w:r>
        <w:rPr>
          <w:color w:val="000000"/>
          <w:szCs w:val="18"/>
        </w:rPr>
        <w:t>.</w:t>
      </w:r>
    </w:p>
  </w:footnote>
  <w:footnote w:id="96">
    <w:p w14:paraId="49B8A9F8" w14:textId="30468790"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 xml:space="preserve">Kugbe, Y. </w:t>
      </w:r>
      <w:r>
        <w:rPr>
          <w:szCs w:val="18"/>
        </w:rPr>
        <w:t>and</w:t>
      </w:r>
      <w:r w:rsidRPr="00776D9A">
        <w:rPr>
          <w:szCs w:val="18"/>
        </w:rPr>
        <w:t xml:space="preserve"> Akpokli, S. (2020), Breaking labyrinths: An insight into our lived experiences, COC Nederlands, p</w:t>
      </w:r>
      <w:r>
        <w:rPr>
          <w:szCs w:val="18"/>
        </w:rPr>
        <w:t>p</w:t>
      </w:r>
      <w:r w:rsidRPr="00776D9A">
        <w:rPr>
          <w:szCs w:val="18"/>
        </w:rPr>
        <w:t xml:space="preserve">. 70, 73; Björkenstam, C., Andersson, </w:t>
      </w:r>
      <w:r>
        <w:rPr>
          <w:szCs w:val="18"/>
        </w:rPr>
        <w:t>et al</w:t>
      </w:r>
      <w:r w:rsidRPr="00776D9A">
        <w:rPr>
          <w:szCs w:val="18"/>
        </w:rPr>
        <w:t>. (2016). Suicide in married couples in Sweden: Is the risk greater in same-sex couples? European Journal of Epidemiology, 31(7), 685–690; EL*C, submission p.</w:t>
      </w:r>
      <w:r>
        <w:rPr>
          <w:szCs w:val="18"/>
        </w:rPr>
        <w:t xml:space="preserve"> </w:t>
      </w:r>
      <w:r w:rsidRPr="00776D9A">
        <w:rPr>
          <w:szCs w:val="18"/>
        </w:rPr>
        <w:t>6.; Asia Pacific Transgender Network, submission p. 2.</w:t>
      </w:r>
    </w:p>
  </w:footnote>
  <w:footnote w:id="97">
    <w:sdt>
      <w:sdtPr>
        <w:tag w:val="goog_rdk_257"/>
        <w:id w:val="1020599396"/>
      </w:sdtPr>
      <w:sdtEndPr/>
      <w:sdtContent>
        <w:p w14:paraId="4C5D6C9B" w14:textId="5A6DB0A2" w:rsidR="00271AA4" w:rsidRPr="00776D9A" w:rsidRDefault="00271AA4" w:rsidP="00271AA4">
          <w:pPr>
            <w:pStyle w:val="FootnoteText"/>
            <w:tabs>
              <w:tab w:val="clear" w:pos="1021"/>
              <w:tab w:val="right" w:pos="567"/>
            </w:tabs>
            <w:ind w:hanging="283"/>
          </w:pPr>
          <w:r w:rsidRPr="00776D9A">
            <w:rPr>
              <w:rStyle w:val="FootnoteReference"/>
              <w:szCs w:val="18"/>
            </w:rPr>
            <w:footnoteRef/>
          </w:r>
          <w:r>
            <w:tab/>
          </w:r>
          <w:sdt>
            <w:sdtPr>
              <w:tag w:val="goog_rdk_256"/>
              <w:id w:val="-1079818095"/>
            </w:sdtPr>
            <w:sdtEndPr/>
            <w:sdtContent>
              <w:r>
                <w:tab/>
              </w:r>
              <w:r w:rsidRPr="00776D9A">
                <w:t>Sergio Urrego Foundation, submission p. 1; ILGA World, submission p. 4; Yaaj Mexico, submission p. 3.</w:t>
              </w:r>
            </w:sdtContent>
          </w:sdt>
        </w:p>
      </w:sdtContent>
    </w:sdt>
  </w:footnote>
  <w:footnote w:id="98">
    <w:p w14:paraId="371C4429" w14:textId="5A1DB81D"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color w:val="000000"/>
          <w:szCs w:val="18"/>
        </w:rPr>
        <w:tab/>
      </w:r>
      <w:r w:rsidRPr="00776D9A">
        <w:rPr>
          <w:rStyle w:val="FootnoteReference"/>
          <w:szCs w:val="18"/>
        </w:rPr>
        <w:footnoteRef/>
      </w:r>
      <w:r w:rsidRPr="00776D9A">
        <w:rPr>
          <w:color w:val="000000"/>
          <w:szCs w:val="18"/>
        </w:rPr>
        <w:t xml:space="preserve"> </w:t>
      </w:r>
      <w:r>
        <w:rPr>
          <w:color w:val="000000"/>
          <w:szCs w:val="18"/>
        </w:rPr>
        <w:tab/>
      </w:r>
      <w:r>
        <w:rPr>
          <w:color w:val="000000"/>
          <w:szCs w:val="18"/>
        </w:rPr>
        <w:tab/>
      </w:r>
      <w:r w:rsidRPr="00776D9A">
        <w:rPr>
          <w:color w:val="000000"/>
          <w:szCs w:val="18"/>
        </w:rPr>
        <w:t>Rosenwohl-</w:t>
      </w:r>
      <w:r w:rsidRPr="00CD2F9A">
        <w:rPr>
          <w:szCs w:val="18"/>
        </w:rPr>
        <w:t>Mack</w:t>
      </w:r>
      <w:r w:rsidRPr="00776D9A">
        <w:rPr>
          <w:color w:val="000000"/>
          <w:szCs w:val="18"/>
        </w:rPr>
        <w:t xml:space="preserve"> A.</w:t>
      </w:r>
      <w:r>
        <w:rPr>
          <w:color w:val="000000"/>
          <w:szCs w:val="18"/>
        </w:rPr>
        <w:t xml:space="preserve"> et al</w:t>
      </w:r>
      <w:r w:rsidRPr="00776D9A">
        <w:rPr>
          <w:color w:val="000000"/>
          <w:szCs w:val="18"/>
        </w:rPr>
        <w:t>. (2020) A national study on the physical and mental health of intersex adults in the U.S. PLoS ONE 15(10)</w:t>
      </w:r>
      <w:r w:rsidRPr="00776D9A">
        <w:rPr>
          <w:szCs w:val="18"/>
        </w:rPr>
        <w:t xml:space="preserve">; Falhammar, H., </w:t>
      </w:r>
      <w:r>
        <w:rPr>
          <w:szCs w:val="18"/>
        </w:rPr>
        <w:t xml:space="preserve">et al. </w:t>
      </w:r>
      <w:r w:rsidRPr="00776D9A">
        <w:rPr>
          <w:szCs w:val="18"/>
        </w:rPr>
        <w:t>(2018). Health status in 1040 adults with disorders of sex development (DSD): a European multicenter study, Endocrine Connections, 7(3), p. 466–478</w:t>
      </w:r>
      <w:r>
        <w:rPr>
          <w:szCs w:val="18"/>
        </w:rPr>
        <w:t>.</w:t>
      </w:r>
      <w:r w:rsidRPr="00776D9A">
        <w:rPr>
          <w:szCs w:val="18"/>
        </w:rPr>
        <w:t xml:space="preserve"> </w:t>
      </w:r>
    </w:p>
  </w:footnote>
  <w:footnote w:id="99">
    <w:p w14:paraId="526FA82B" w14:textId="78462BDE"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lang w:val="da-DK"/>
        </w:rPr>
        <w:tab/>
      </w:r>
      <w:r w:rsidRPr="00776D9A">
        <w:rPr>
          <w:rStyle w:val="FootnoteReference"/>
          <w:szCs w:val="18"/>
        </w:rPr>
        <w:footnoteRef/>
      </w:r>
      <w:r w:rsidRPr="00776D9A">
        <w:rPr>
          <w:szCs w:val="18"/>
          <w:lang w:val="da-DK"/>
        </w:rPr>
        <w:t xml:space="preserve"> </w:t>
      </w:r>
      <w:r>
        <w:rPr>
          <w:szCs w:val="18"/>
          <w:lang w:val="da-DK"/>
        </w:rPr>
        <w:tab/>
      </w:r>
      <w:r>
        <w:rPr>
          <w:szCs w:val="18"/>
          <w:lang w:val="da-DK"/>
        </w:rPr>
        <w:tab/>
      </w:r>
      <w:r w:rsidRPr="00776D9A">
        <w:rPr>
          <w:szCs w:val="18"/>
          <w:lang w:val="da-DK"/>
        </w:rPr>
        <w:t xml:space="preserve">Hoy-Ellis </w:t>
      </w:r>
      <w:r>
        <w:rPr>
          <w:szCs w:val="18"/>
          <w:lang w:val="da-DK"/>
        </w:rPr>
        <w:t>et al.</w:t>
      </w:r>
      <w:r w:rsidRPr="00776D9A">
        <w:rPr>
          <w:szCs w:val="18"/>
          <w:lang w:val="da-DK"/>
        </w:rPr>
        <w:t xml:space="preserve"> (2016). </w:t>
      </w:r>
      <w:r w:rsidRPr="00776D9A">
        <w:rPr>
          <w:szCs w:val="18"/>
        </w:rPr>
        <w:t>Innovative Approaches Address Aging and Mental Health Needs in LGBTQ Communities. Generations: Journal of the American Society on Aging, 40(2), 56–62</w:t>
      </w:r>
      <w:r>
        <w:rPr>
          <w:szCs w:val="18"/>
        </w:rPr>
        <w:t>.</w:t>
      </w:r>
    </w:p>
  </w:footnote>
  <w:footnote w:id="100">
    <w:p w14:paraId="20935A35" w14:textId="2AE8F8CE"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https://www.lgbtmap.org/file/invisible-majority.pdf</w:t>
      </w:r>
      <w:r>
        <w:rPr>
          <w:szCs w:val="18"/>
        </w:rPr>
        <w:t>.</w:t>
      </w:r>
    </w:p>
  </w:footnote>
  <w:footnote w:id="101">
    <w:p w14:paraId="4FF85BE6" w14:textId="169766DE"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color w:val="000000"/>
          <w:szCs w:val="18"/>
        </w:rPr>
        <w:tab/>
      </w:r>
      <w:r w:rsidRPr="00776D9A">
        <w:rPr>
          <w:rStyle w:val="FootnoteReference"/>
          <w:szCs w:val="18"/>
        </w:rPr>
        <w:footnoteRef/>
      </w:r>
      <w:r w:rsidRPr="00776D9A">
        <w:rPr>
          <w:color w:val="000000"/>
          <w:szCs w:val="18"/>
        </w:rPr>
        <w:t xml:space="preserve"> </w:t>
      </w:r>
      <w:r>
        <w:rPr>
          <w:color w:val="000000"/>
          <w:szCs w:val="18"/>
        </w:rPr>
        <w:tab/>
      </w:r>
      <w:r>
        <w:rPr>
          <w:color w:val="000000"/>
          <w:szCs w:val="18"/>
        </w:rPr>
        <w:tab/>
      </w:r>
      <w:r w:rsidRPr="00776D9A">
        <w:rPr>
          <w:color w:val="000000"/>
          <w:szCs w:val="18"/>
        </w:rPr>
        <w:t xml:space="preserve">ILGA </w:t>
      </w:r>
      <w:r w:rsidRPr="00CD2F9A">
        <w:rPr>
          <w:szCs w:val="18"/>
        </w:rPr>
        <w:t>World</w:t>
      </w:r>
      <w:r w:rsidRPr="00776D9A">
        <w:rPr>
          <w:color w:val="000000"/>
          <w:szCs w:val="18"/>
        </w:rPr>
        <w:t>, submission p. 5.</w:t>
      </w:r>
    </w:p>
  </w:footnote>
  <w:footnote w:id="102">
    <w:p w14:paraId="05EA6CB0" w14:textId="601F1206"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Feinstein, B. A.</w:t>
      </w:r>
      <w:r>
        <w:rPr>
          <w:szCs w:val="18"/>
        </w:rPr>
        <w:t xml:space="preserve"> and</w:t>
      </w:r>
      <w:r w:rsidRPr="00776D9A">
        <w:rPr>
          <w:szCs w:val="18"/>
        </w:rPr>
        <w:t xml:space="preserve"> Dyar, C. (2017). Bisexuality, minority stress, and health. Current sexual health reports, 9(1), 42–49; </w:t>
      </w:r>
      <w:r>
        <w:rPr>
          <w:szCs w:val="18"/>
        </w:rPr>
        <w:t>WHO</w:t>
      </w:r>
      <w:r w:rsidRPr="00776D9A">
        <w:rPr>
          <w:szCs w:val="18"/>
        </w:rPr>
        <w:t>, “Brief sexuality-related communication: recommendations for a public health approach,” 2015</w:t>
      </w:r>
      <w:r>
        <w:rPr>
          <w:szCs w:val="18"/>
        </w:rPr>
        <w:t>.</w:t>
      </w:r>
    </w:p>
  </w:footnote>
  <w:footnote w:id="103">
    <w:p w14:paraId="0D583F28" w14:textId="715DB258" w:rsidR="00271AA4" w:rsidRPr="00776D9A" w:rsidRDefault="00271AA4" w:rsidP="00271AA4">
      <w:pPr>
        <w:pStyle w:val="FootnoteText"/>
      </w:pPr>
      <w:r>
        <w:tab/>
      </w:r>
      <w:r w:rsidRPr="00776D9A">
        <w:rPr>
          <w:rStyle w:val="FootnoteReference"/>
          <w:szCs w:val="18"/>
        </w:rPr>
        <w:footnoteRef/>
      </w:r>
      <w:r>
        <w:tab/>
      </w:r>
      <w:r w:rsidRPr="00776D9A">
        <w:t>https://</w:t>
      </w:r>
      <w:r w:rsidRPr="00CD2F9A">
        <w:t>www</w:t>
      </w:r>
      <w:r w:rsidRPr="00776D9A">
        <w:t>.aihw.gov.au/reports/alcohol/alcohol-tobacco-other-drugs-australia/</w:t>
      </w:r>
      <w:r>
        <w:br/>
      </w:r>
      <w:r w:rsidRPr="00776D9A">
        <w:t>contents/priority-populations/people-identifying-as-lesbian-gay-bisexual-transgender-intersex-or-queer</w:t>
      </w:r>
      <w:r>
        <w:t>.</w:t>
      </w:r>
    </w:p>
  </w:footnote>
  <w:footnote w:id="104">
    <w:p w14:paraId="0D7BA33F" w14:textId="216879AE"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color w:val="000000"/>
          <w:szCs w:val="18"/>
        </w:rPr>
        <w:tab/>
      </w:r>
      <w:r w:rsidRPr="00776D9A">
        <w:rPr>
          <w:rStyle w:val="FootnoteReference"/>
          <w:szCs w:val="18"/>
        </w:rPr>
        <w:footnoteRef/>
      </w:r>
      <w:r w:rsidRPr="00776D9A">
        <w:rPr>
          <w:color w:val="000000"/>
          <w:szCs w:val="18"/>
        </w:rPr>
        <w:t xml:space="preserve"> </w:t>
      </w:r>
      <w:r>
        <w:rPr>
          <w:color w:val="000000"/>
          <w:szCs w:val="18"/>
        </w:rPr>
        <w:tab/>
      </w:r>
      <w:r>
        <w:rPr>
          <w:color w:val="000000"/>
          <w:szCs w:val="18"/>
        </w:rPr>
        <w:tab/>
      </w:r>
      <w:r w:rsidRPr="00776D9A">
        <w:rPr>
          <w:color w:val="000000"/>
          <w:szCs w:val="18"/>
        </w:rPr>
        <w:t>https://www.hopkinsmedicine.org/health/wellness-and-prevention/lesbian-and-bisexual-womens-health-issues</w:t>
      </w:r>
      <w:r>
        <w:rPr>
          <w:color w:val="000000"/>
          <w:szCs w:val="18"/>
        </w:rPr>
        <w:t>.</w:t>
      </w:r>
    </w:p>
  </w:footnote>
  <w:footnote w:id="105">
    <w:p w14:paraId="5B3266D3" w14:textId="6B232BC5"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color w:val="000000"/>
          <w:szCs w:val="18"/>
        </w:rPr>
        <w:tab/>
      </w:r>
      <w:r w:rsidRPr="00776D9A">
        <w:rPr>
          <w:rStyle w:val="FootnoteReference"/>
          <w:szCs w:val="18"/>
        </w:rPr>
        <w:footnoteRef/>
      </w:r>
      <w:r w:rsidRPr="00776D9A">
        <w:rPr>
          <w:color w:val="000000"/>
          <w:szCs w:val="18"/>
        </w:rPr>
        <w:t xml:space="preserve"> </w:t>
      </w:r>
      <w:r>
        <w:rPr>
          <w:color w:val="000000"/>
          <w:szCs w:val="18"/>
        </w:rPr>
        <w:tab/>
      </w:r>
      <w:r>
        <w:rPr>
          <w:color w:val="000000"/>
          <w:szCs w:val="18"/>
        </w:rPr>
        <w:tab/>
      </w:r>
      <w:r w:rsidRPr="00CD2F9A">
        <w:rPr>
          <w:szCs w:val="18"/>
        </w:rPr>
        <w:t>International</w:t>
      </w:r>
      <w:r w:rsidRPr="00776D9A">
        <w:rPr>
          <w:color w:val="000000"/>
          <w:szCs w:val="18"/>
        </w:rPr>
        <w:t xml:space="preserve"> Conference on Population and Development Programme of Action, </w:t>
      </w:r>
      <w:r w:rsidRPr="00776D9A">
        <w:rPr>
          <w:szCs w:val="18"/>
        </w:rPr>
        <w:t>paras 5.1</w:t>
      </w:r>
      <w:r w:rsidRPr="00776D9A">
        <w:rPr>
          <w:color w:val="000000"/>
          <w:szCs w:val="18"/>
        </w:rPr>
        <w:t xml:space="preserve"> and 7.3</w:t>
      </w:r>
      <w:r w:rsidRPr="00776D9A">
        <w:rPr>
          <w:szCs w:val="18"/>
        </w:rPr>
        <w:t>;  Beijing Platform for Action, para 96</w:t>
      </w:r>
      <w:r>
        <w:rPr>
          <w:szCs w:val="18"/>
        </w:rPr>
        <w:t>.</w:t>
      </w:r>
    </w:p>
  </w:footnote>
  <w:footnote w:id="106">
    <w:p w14:paraId="379F9CAC" w14:textId="6C803511"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 xml:space="preserve">See </w:t>
      </w:r>
      <w:r>
        <w:rPr>
          <w:szCs w:val="18"/>
        </w:rPr>
        <w:t>inter alia</w:t>
      </w:r>
      <w:r w:rsidRPr="00776D9A">
        <w:rPr>
          <w:szCs w:val="18"/>
        </w:rPr>
        <w:t xml:space="preserve"> Amicus, DH; CREA and partner</w:t>
      </w:r>
      <w:r>
        <w:rPr>
          <w:szCs w:val="18"/>
        </w:rPr>
        <w:t>s</w:t>
      </w:r>
      <w:r w:rsidRPr="00776D9A">
        <w:rPr>
          <w:szCs w:val="18"/>
        </w:rPr>
        <w:t>;  EL*C; ILGA World; Outright Action International; Promsex; Red de Litigantes LGBTI de las Americas.</w:t>
      </w:r>
    </w:p>
  </w:footnote>
  <w:footnote w:id="107">
    <w:p w14:paraId="014A3B2B" w14:textId="2FEFCC62"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 xml:space="preserve">CREA and partners, submission p. 7. </w:t>
      </w:r>
    </w:p>
  </w:footnote>
  <w:footnote w:id="108">
    <w:p w14:paraId="4E699170" w14:textId="4D3E0BA3"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 xml:space="preserve">See </w:t>
      </w:r>
      <w:hyperlink r:id="rId19">
        <w:r w:rsidRPr="00776D9A">
          <w:rPr>
            <w:color w:val="1155CC"/>
            <w:szCs w:val="18"/>
            <w:u w:val="single"/>
          </w:rPr>
          <w:t>https://ilga.org/downloads/ILGA_World_Trans_Legal_Mapping_Report_2019_EN.pdf</w:t>
        </w:r>
      </w:hyperlink>
      <w:r>
        <w:rPr>
          <w:color w:val="1155CC"/>
          <w:szCs w:val="18"/>
          <w:u w:val="single"/>
        </w:rPr>
        <w:t>.</w:t>
      </w:r>
    </w:p>
  </w:footnote>
  <w:footnote w:id="109">
    <w:p w14:paraId="42FD524D" w14:textId="64D04B33"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 xml:space="preserve">See CEDAW/C/BEL/CO/7, para. 45; CAT/C/CHN-HKG/CO/5, para. </w:t>
      </w:r>
      <w:r w:rsidRPr="00776D9A">
        <w:rPr>
          <w:szCs w:val="18"/>
          <w:lang w:val="es-ES"/>
        </w:rPr>
        <w:t xml:space="preserve">29(a); A/HRC/22/53, para. </w:t>
      </w:r>
      <w:r w:rsidRPr="00DE5C96">
        <w:rPr>
          <w:szCs w:val="18"/>
          <w:lang w:val="es-ES"/>
        </w:rPr>
        <w:t xml:space="preserve">88; CEDAW/C/CHE/CO/4-5, para. </w:t>
      </w:r>
      <w:r w:rsidRPr="00776D9A">
        <w:rPr>
          <w:szCs w:val="18"/>
        </w:rPr>
        <w:t>39(d); X and Y v. Romania, European Court of Human Rights (Application nos. 2145/16 20607/16), 19 Jan. 2021. See also Dunne, P. 2017. Transgender Sterilisation Requirements in Europe. Med Law Rev. 25 (4), p. 554</w:t>
      </w:r>
      <w:r>
        <w:rPr>
          <w:szCs w:val="18"/>
        </w:rPr>
        <w:t>.</w:t>
      </w:r>
    </w:p>
  </w:footnote>
  <w:footnote w:id="110">
    <w:p w14:paraId="0B4B1AEF" w14:textId="0D21FA4B"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Pr>
          <w:szCs w:val="18"/>
        </w:rPr>
        <w:t xml:space="preserve"> </w:t>
      </w:r>
      <w:r>
        <w:rPr>
          <w:szCs w:val="18"/>
        </w:rPr>
        <w:tab/>
      </w:r>
      <w:r>
        <w:rPr>
          <w:szCs w:val="18"/>
        </w:rPr>
        <w:tab/>
      </w:r>
      <w:r w:rsidRPr="00776D9A">
        <w:rPr>
          <w:szCs w:val="18"/>
        </w:rPr>
        <w:t xml:space="preserve">Asia Pacific Transgender Network, submission p. 3. </w:t>
      </w:r>
    </w:p>
  </w:footnote>
  <w:footnote w:id="111">
    <w:p w14:paraId="5B54F6D3" w14:textId="3851488C"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Ibid</w:t>
      </w:r>
      <w:r>
        <w:rPr>
          <w:szCs w:val="18"/>
        </w:rPr>
        <w:t>.</w:t>
      </w:r>
    </w:p>
  </w:footnote>
  <w:footnote w:id="112">
    <w:p w14:paraId="658DD8BD" w14:textId="18CD6249"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CoE submission, p. 4; see also Eastern European Coalition for LGBT+ Equality, submission p. 4.</w:t>
      </w:r>
    </w:p>
  </w:footnote>
  <w:footnote w:id="113">
    <w:p w14:paraId="33CF6486" w14:textId="798572F6" w:rsidR="00271AA4" w:rsidRPr="00487687" w:rsidRDefault="00271AA4" w:rsidP="00CD2F9A">
      <w:pPr>
        <w:pStyle w:val="FootnoteText"/>
        <w:suppressAutoHyphens/>
        <w:kinsoku w:val="0"/>
        <w:overflowPunct w:val="0"/>
        <w:autoSpaceDE w:val="0"/>
        <w:autoSpaceDN w:val="0"/>
        <w:adjustRightInd w:val="0"/>
        <w:snapToGrid w:val="0"/>
        <w:spacing w:line="240" w:lineRule="auto"/>
        <w:jc w:val="both"/>
      </w:pPr>
      <w:r>
        <w:tab/>
      </w:r>
      <w:r w:rsidRPr="00776D9A">
        <w:rPr>
          <w:rStyle w:val="FootnoteReference"/>
          <w:szCs w:val="18"/>
        </w:rPr>
        <w:footnoteRef/>
      </w:r>
      <w:r>
        <w:t xml:space="preserve"> </w:t>
      </w:r>
      <w:r>
        <w:tab/>
      </w:r>
      <w:r>
        <w:tab/>
      </w:r>
      <w:hyperlink r:id="rId20" w:history="1">
        <w:r w:rsidRPr="002D4B53">
          <w:rPr>
            <w:rStyle w:val="Hyperlink"/>
            <w:szCs w:val="18"/>
          </w:rPr>
          <w:t>https://www.unaids.org/sites/default/files/media_asset/201405_sterilization_en.pdf</w:t>
        </w:r>
      </w:hyperlink>
      <w:r>
        <w:rPr>
          <w:rStyle w:val="Hyperlink"/>
          <w:szCs w:val="18"/>
        </w:rPr>
        <w:t>.</w:t>
      </w:r>
      <w:r w:rsidRPr="00776D9A">
        <w:rPr>
          <w:szCs w:val="18"/>
        </w:rPr>
        <w:t xml:space="preserve"> </w:t>
      </w:r>
    </w:p>
  </w:footnote>
  <w:footnote w:id="114">
    <w:p w14:paraId="4166DE4A" w14:textId="2F7CD07E"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color w:val="000000"/>
          <w:szCs w:val="18"/>
        </w:rPr>
        <w:tab/>
      </w:r>
      <w:r w:rsidRPr="00776D9A">
        <w:rPr>
          <w:rStyle w:val="FootnoteReference"/>
          <w:szCs w:val="18"/>
        </w:rPr>
        <w:footnoteRef/>
      </w:r>
      <w:r w:rsidRPr="00776D9A">
        <w:rPr>
          <w:color w:val="000000"/>
          <w:szCs w:val="18"/>
        </w:rPr>
        <w:t xml:space="preserve"> </w:t>
      </w:r>
      <w:r>
        <w:rPr>
          <w:color w:val="000000"/>
          <w:szCs w:val="18"/>
        </w:rPr>
        <w:tab/>
      </w:r>
      <w:r>
        <w:rPr>
          <w:color w:val="000000"/>
          <w:szCs w:val="18"/>
        </w:rPr>
        <w:tab/>
      </w:r>
      <w:r w:rsidRPr="00776D9A">
        <w:rPr>
          <w:color w:val="000000"/>
          <w:szCs w:val="18"/>
        </w:rPr>
        <w:t>https://www.bbc.com/news/world-28679020</w:t>
      </w:r>
      <w:r>
        <w:rPr>
          <w:color w:val="000000"/>
          <w:szCs w:val="18"/>
        </w:rPr>
        <w:t>.</w:t>
      </w:r>
    </w:p>
  </w:footnote>
  <w:footnote w:id="115">
    <w:p w14:paraId="226A981C" w14:textId="78DF07A8"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color w:val="000000"/>
          <w:szCs w:val="18"/>
        </w:rPr>
        <w:tab/>
      </w:r>
      <w:r w:rsidRPr="00776D9A">
        <w:rPr>
          <w:rStyle w:val="FootnoteReference"/>
          <w:szCs w:val="18"/>
        </w:rPr>
        <w:footnoteRef/>
      </w:r>
      <w:r w:rsidRPr="00776D9A">
        <w:rPr>
          <w:color w:val="000000"/>
          <w:szCs w:val="18"/>
        </w:rPr>
        <w:t xml:space="preserve"> </w:t>
      </w:r>
      <w:r>
        <w:rPr>
          <w:color w:val="000000"/>
          <w:szCs w:val="18"/>
        </w:rPr>
        <w:tab/>
      </w:r>
      <w:r>
        <w:rPr>
          <w:color w:val="000000"/>
          <w:szCs w:val="18"/>
        </w:rPr>
        <w:tab/>
      </w:r>
      <w:r w:rsidRPr="00776D9A">
        <w:rPr>
          <w:color w:val="000000"/>
          <w:szCs w:val="18"/>
        </w:rPr>
        <w:t xml:space="preserve">See </w:t>
      </w:r>
      <w:r w:rsidRPr="00CD2F9A">
        <w:rPr>
          <w:szCs w:val="18"/>
        </w:rPr>
        <w:t>Chen</w:t>
      </w:r>
      <w:r w:rsidRPr="00776D9A">
        <w:rPr>
          <w:color w:val="000000"/>
          <w:szCs w:val="18"/>
        </w:rPr>
        <w:t xml:space="preserve">, D., </w:t>
      </w:r>
      <w:r>
        <w:rPr>
          <w:color w:val="000000"/>
          <w:szCs w:val="18"/>
        </w:rPr>
        <w:t>et al.</w:t>
      </w:r>
      <w:r w:rsidRPr="00776D9A">
        <w:rPr>
          <w:szCs w:val="18"/>
        </w:rPr>
        <w:t xml:space="preserve"> 2019. Factors Affecting Fertility Decision-Making Among Transgender Adolescents and Young Adults.</w:t>
      </w:r>
      <w:r w:rsidRPr="00776D9A">
        <w:rPr>
          <w:color w:val="000000"/>
          <w:szCs w:val="18"/>
        </w:rPr>
        <w:t xml:space="preserve"> LGBT Health</w:t>
      </w:r>
      <w:r w:rsidRPr="00776D9A">
        <w:rPr>
          <w:szCs w:val="18"/>
        </w:rPr>
        <w:t>.</w:t>
      </w:r>
      <w:r>
        <w:rPr>
          <w:szCs w:val="18"/>
        </w:rPr>
        <w:t xml:space="preserve"> </w:t>
      </w:r>
      <w:r w:rsidRPr="00776D9A">
        <w:rPr>
          <w:color w:val="000000"/>
          <w:szCs w:val="18"/>
        </w:rPr>
        <w:t>pp. 107-115</w:t>
      </w:r>
      <w:r>
        <w:rPr>
          <w:szCs w:val="18"/>
        </w:rPr>
        <w:t>.</w:t>
      </w:r>
    </w:p>
  </w:footnote>
  <w:footnote w:id="116">
    <w:p w14:paraId="6E5A3672" w14:textId="4014943E" w:rsidR="00271AA4" w:rsidRPr="00DE5C96" w:rsidRDefault="00271AA4" w:rsidP="00CD2F9A">
      <w:pPr>
        <w:pStyle w:val="FootnoteText"/>
        <w:suppressAutoHyphens/>
        <w:kinsoku w:val="0"/>
        <w:overflowPunct w:val="0"/>
        <w:autoSpaceDE w:val="0"/>
        <w:autoSpaceDN w:val="0"/>
        <w:adjustRightInd w:val="0"/>
        <w:snapToGrid w:val="0"/>
        <w:spacing w:line="240" w:lineRule="auto"/>
        <w:jc w:val="both"/>
        <w:rPr>
          <w:szCs w:val="18"/>
          <w:lang w:val="en-GB"/>
        </w:rPr>
      </w:pPr>
      <w:r>
        <w:rPr>
          <w:color w:val="000000"/>
          <w:szCs w:val="18"/>
        </w:rPr>
        <w:tab/>
      </w:r>
      <w:r w:rsidRPr="00776D9A">
        <w:rPr>
          <w:rStyle w:val="FootnoteReference"/>
          <w:szCs w:val="18"/>
        </w:rPr>
        <w:footnoteRef/>
      </w:r>
      <w:r w:rsidRPr="00776D9A">
        <w:rPr>
          <w:color w:val="000000"/>
          <w:szCs w:val="18"/>
        </w:rPr>
        <w:t xml:space="preserve"> </w:t>
      </w:r>
      <w:r>
        <w:rPr>
          <w:color w:val="000000"/>
          <w:szCs w:val="18"/>
        </w:rPr>
        <w:tab/>
      </w:r>
      <w:r>
        <w:rPr>
          <w:color w:val="000000"/>
          <w:szCs w:val="18"/>
        </w:rPr>
        <w:tab/>
      </w:r>
      <w:r w:rsidRPr="00776D9A">
        <w:rPr>
          <w:color w:val="000000"/>
          <w:szCs w:val="18"/>
        </w:rPr>
        <w:t>See A/</w:t>
      </w:r>
      <w:r w:rsidRPr="00CD2F9A">
        <w:rPr>
          <w:szCs w:val="18"/>
        </w:rPr>
        <w:t>74</w:t>
      </w:r>
      <w:r w:rsidRPr="00776D9A">
        <w:rPr>
          <w:color w:val="000000"/>
          <w:szCs w:val="18"/>
        </w:rPr>
        <w:t xml:space="preserve">/181, para. </w:t>
      </w:r>
      <w:r w:rsidRPr="00DE5C96">
        <w:rPr>
          <w:color w:val="000000"/>
          <w:szCs w:val="18"/>
          <w:lang w:val="en-GB"/>
        </w:rPr>
        <w:t xml:space="preserve">46, 60; A/75/258, para. 63; A/76/152, para. 22, 26, 33. </w:t>
      </w:r>
    </w:p>
  </w:footnote>
  <w:footnote w:id="117">
    <w:p w14:paraId="15E7B02C" w14:textId="52BBB27E"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sidRPr="00DE5C96">
        <w:rPr>
          <w:szCs w:val="18"/>
          <w:lang w:val="en-GB"/>
        </w:rPr>
        <w:tab/>
      </w:r>
      <w:r w:rsidRPr="00776D9A">
        <w:rPr>
          <w:rStyle w:val="FootnoteReference"/>
          <w:szCs w:val="18"/>
        </w:rPr>
        <w:footnoteRef/>
      </w:r>
      <w:r w:rsidRPr="00DE5C96">
        <w:rPr>
          <w:szCs w:val="18"/>
          <w:lang w:val="en-GB"/>
        </w:rPr>
        <w:t xml:space="preserve"> </w:t>
      </w:r>
      <w:r w:rsidRPr="00DE5C96">
        <w:rPr>
          <w:szCs w:val="18"/>
          <w:lang w:val="en-GB"/>
        </w:rPr>
        <w:tab/>
      </w:r>
      <w:r w:rsidRPr="00DE5C96">
        <w:rPr>
          <w:szCs w:val="18"/>
          <w:lang w:val="en-GB"/>
        </w:rPr>
        <w:tab/>
        <w:t xml:space="preserve">A/HRC/31/37, para. </w:t>
      </w:r>
      <w:r w:rsidRPr="00776D9A">
        <w:rPr>
          <w:szCs w:val="18"/>
        </w:rPr>
        <w:t>76.</w:t>
      </w:r>
    </w:p>
  </w:footnote>
  <w:footnote w:id="118">
    <w:p w14:paraId="329C6D17" w14:textId="51F39311"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Sweden, submission p. 4.</w:t>
      </w:r>
    </w:p>
  </w:footnote>
  <w:footnote w:id="119">
    <w:p w14:paraId="3611E0A0" w14:textId="3A58B213"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UN Women, submission p. 3.</w:t>
      </w:r>
    </w:p>
  </w:footnote>
  <w:footnote w:id="120">
    <w:p w14:paraId="66E328B9" w14:textId="39AF4A48"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hyperlink r:id="rId21" w:history="1">
        <w:r w:rsidRPr="002D4B53">
          <w:rPr>
            <w:rStyle w:val="Hyperlink"/>
            <w:szCs w:val="18"/>
          </w:rPr>
          <w:t>https://</w:t>
        </w:r>
        <w:r w:rsidRPr="002D4B53">
          <w:rPr>
            <w:rStyle w:val="Hyperlink"/>
          </w:rPr>
          <w:t>www</w:t>
        </w:r>
        <w:r w:rsidRPr="002D4B53">
          <w:rPr>
            <w:rStyle w:val="Hyperlink"/>
            <w:szCs w:val="18"/>
          </w:rPr>
          <w:t>.who.int/data/gho/data/major-themes/universal-health-coverage-major</w:t>
        </w:r>
      </w:hyperlink>
      <w:r>
        <w:rPr>
          <w:szCs w:val="18"/>
        </w:rPr>
        <w:t>.</w:t>
      </w:r>
    </w:p>
  </w:footnote>
  <w:footnote w:id="121">
    <w:p w14:paraId="339E2FCD" w14:textId="58A492B3"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Forman, L. 2020. The Evolution of the Right to Health in the Shadow of COVID-19. Health and Human Rights Journal.</w:t>
      </w:r>
    </w:p>
  </w:footnote>
  <w:footnote w:id="122">
    <w:p w14:paraId="569CA935" w14:textId="24AFB241"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See A/74/181.</w:t>
      </w:r>
    </w:p>
  </w:footnote>
  <w:footnote w:id="123">
    <w:p w14:paraId="53143902" w14:textId="4078974B" w:rsidR="00271AA4" w:rsidRPr="000E1146"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sidRPr="000E1146">
        <w:rPr>
          <w:szCs w:val="18"/>
        </w:rPr>
        <w:tab/>
      </w:r>
      <w:r w:rsidRPr="000E1146">
        <w:rPr>
          <w:rStyle w:val="FootnoteReference"/>
          <w:szCs w:val="18"/>
        </w:rPr>
        <w:footnoteRef/>
      </w:r>
      <w:r w:rsidRPr="000E1146">
        <w:rPr>
          <w:szCs w:val="18"/>
        </w:rPr>
        <w:t xml:space="preserve"> </w:t>
      </w:r>
      <w:r w:rsidRPr="000E1146">
        <w:rPr>
          <w:szCs w:val="18"/>
        </w:rPr>
        <w:tab/>
      </w:r>
      <w:r w:rsidRPr="000E1146">
        <w:rPr>
          <w:szCs w:val="18"/>
        </w:rPr>
        <w:tab/>
        <w:t>See A/75/258.</w:t>
      </w:r>
    </w:p>
  </w:footnote>
  <w:footnote w:id="124">
    <w:p w14:paraId="0134E426" w14:textId="1E1F9C06" w:rsidR="00271AA4" w:rsidRPr="004E450C" w:rsidRDefault="00271AA4" w:rsidP="007B1890">
      <w:pPr>
        <w:pStyle w:val="FootnoteText"/>
        <w:rPr>
          <w:szCs w:val="18"/>
          <w:lang w:val="en-GB"/>
        </w:rPr>
      </w:pPr>
      <w:r w:rsidRPr="004E450C">
        <w:rPr>
          <w:szCs w:val="18"/>
        </w:rPr>
        <w:tab/>
      </w:r>
      <w:r w:rsidRPr="004E450C">
        <w:rPr>
          <w:rStyle w:val="FootnoteReference"/>
          <w:szCs w:val="18"/>
        </w:rPr>
        <w:footnoteRef/>
      </w:r>
      <w:r w:rsidRPr="004E450C">
        <w:rPr>
          <w:szCs w:val="18"/>
        </w:rPr>
        <w:t xml:space="preserve"> </w:t>
      </w:r>
      <w:r w:rsidRPr="004E450C">
        <w:rPr>
          <w:szCs w:val="18"/>
        </w:rPr>
        <w:tab/>
      </w:r>
      <w:r w:rsidRPr="004E450C">
        <w:rPr>
          <w:szCs w:val="18"/>
        </w:rPr>
        <w:tab/>
        <w:t xml:space="preserve">See, inter alia, </w:t>
      </w:r>
      <w:r w:rsidRPr="004E450C">
        <w:rPr>
          <w:color w:val="000000"/>
          <w:szCs w:val="18"/>
        </w:rPr>
        <w:t xml:space="preserve">UN Women, Turning Promises into Action: Gender Equality in the 2030 Agenda for Sustainable Development (2018); </w:t>
      </w:r>
      <w:hyperlink r:id="rId22" w:history="1">
        <w:r w:rsidRPr="004E450C">
          <w:rPr>
            <w:rStyle w:val="Hyperlink"/>
            <w:szCs w:val="18"/>
          </w:rPr>
          <w:t>https://www.unwomen.org/en/digital-library/publications/2021/09/progress-on-the-sustainable-development-goals-the-gender-snapshot-2021</w:t>
        </w:r>
      </w:hyperlink>
      <w:r w:rsidRPr="004E450C">
        <w:rPr>
          <w:color w:val="000000"/>
          <w:szCs w:val="18"/>
        </w:rPr>
        <w:t xml:space="preserve">; </w:t>
      </w:r>
      <w:r w:rsidRPr="004E450C">
        <w:rPr>
          <w:color w:val="000000" w:themeColor="text1"/>
          <w:szCs w:val="18"/>
        </w:rPr>
        <w:t>A/HRC/47/27.</w:t>
      </w:r>
    </w:p>
  </w:footnote>
  <w:footnote w:id="125">
    <w:p w14:paraId="0C4D9DF1" w14:textId="272D7912" w:rsidR="00271AA4" w:rsidRPr="004E450C" w:rsidRDefault="00271AA4">
      <w:pPr>
        <w:pStyle w:val="FootnoteText"/>
        <w:rPr>
          <w:lang w:val="en-GB"/>
        </w:rPr>
      </w:pPr>
      <w:r w:rsidRPr="004E450C">
        <w:tab/>
      </w:r>
      <w:r w:rsidRPr="004E450C">
        <w:rPr>
          <w:rStyle w:val="FootnoteReference"/>
        </w:rPr>
        <w:footnoteRef/>
      </w:r>
      <w:r w:rsidRPr="004E450C">
        <w:t xml:space="preserve"> </w:t>
      </w:r>
      <w:r w:rsidRPr="004E450C">
        <w:tab/>
      </w:r>
      <w:r w:rsidRPr="004E450C">
        <w:tab/>
      </w:r>
      <w:hyperlink r:id="rId23" w:history="1">
        <w:r w:rsidRPr="004E450C">
          <w:rPr>
            <w:rStyle w:val="Hyperlink"/>
          </w:rPr>
          <w:t>https://cdn.who.int/media/docs/default-source/hq-hiv-hepatitis-and-stis-library/full-final-who-ghss-hiv-vh-sti_1-june2022.pdf?sfvrsn=7c074b36_9</w:t>
        </w:r>
      </w:hyperlink>
      <w:r w:rsidRPr="004E450C">
        <w:t>.</w:t>
      </w:r>
    </w:p>
  </w:footnote>
  <w:footnote w:id="126">
    <w:p w14:paraId="4FBEB364" w14:textId="3AE118B2" w:rsidR="00271AA4" w:rsidRPr="00AD48AB" w:rsidRDefault="00271AA4">
      <w:pPr>
        <w:pStyle w:val="FootnoteText"/>
        <w:rPr>
          <w:lang w:val="en-GB"/>
        </w:rPr>
      </w:pPr>
      <w:r w:rsidRPr="004E450C">
        <w:tab/>
      </w:r>
      <w:r w:rsidRPr="004E450C">
        <w:rPr>
          <w:rStyle w:val="FootnoteReference"/>
        </w:rPr>
        <w:footnoteRef/>
      </w:r>
      <w:r w:rsidRPr="004E450C">
        <w:t xml:space="preserve"> </w:t>
      </w:r>
      <w:r w:rsidRPr="004E450C">
        <w:tab/>
      </w:r>
      <w:r w:rsidRPr="004E450C">
        <w:tab/>
      </w:r>
      <w:r w:rsidRPr="004E450C">
        <w:rPr>
          <w:lang w:val="en-GB"/>
        </w:rPr>
        <w:t>UNAIDS, submission p. 3.</w:t>
      </w:r>
    </w:p>
  </w:footnote>
  <w:footnote w:id="127">
    <w:p w14:paraId="49DBEB00" w14:textId="2E24839B"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hyperlink r:id="rId24" w:history="1">
        <w:r w:rsidRPr="007974C0">
          <w:rPr>
            <w:rStyle w:val="Hyperlink"/>
            <w:szCs w:val="18"/>
          </w:rPr>
          <w:t>https://www.rfsl.se/wp-content/uploads/2019/04/FINAL_FORALL_RFSL_2019.pdf</w:t>
        </w:r>
      </w:hyperlink>
      <w:r>
        <w:rPr>
          <w:szCs w:val="18"/>
        </w:rPr>
        <w:t>.</w:t>
      </w:r>
    </w:p>
  </w:footnote>
  <w:footnote w:id="128">
    <w:p w14:paraId="14D340B6" w14:textId="1A180E4F"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r w:rsidRPr="00776D9A">
        <w:rPr>
          <w:szCs w:val="18"/>
        </w:rPr>
        <w:t>See for example A/69/700.</w:t>
      </w:r>
    </w:p>
  </w:footnote>
  <w:footnote w:id="129">
    <w:p w14:paraId="1C585BDD" w14:textId="543CA8C1" w:rsidR="00271AA4" w:rsidRPr="000E65E3" w:rsidRDefault="00271AA4">
      <w:pPr>
        <w:pStyle w:val="FootnoteText"/>
        <w:rPr>
          <w:lang w:val="en-GB"/>
        </w:rPr>
      </w:pPr>
      <w:r w:rsidRPr="004E450C">
        <w:tab/>
      </w:r>
      <w:r w:rsidRPr="004E450C">
        <w:rPr>
          <w:rStyle w:val="FootnoteReference"/>
        </w:rPr>
        <w:footnoteRef/>
      </w:r>
      <w:r w:rsidRPr="004E450C">
        <w:t xml:space="preserve"> </w:t>
      </w:r>
      <w:r w:rsidRPr="004E450C">
        <w:tab/>
      </w:r>
      <w:r w:rsidRPr="004E450C">
        <w:tab/>
      </w:r>
      <w:hyperlink r:id="rId25" w:history="1">
        <w:r w:rsidRPr="004E450C">
          <w:rPr>
            <w:rStyle w:val="Hyperlink"/>
          </w:rPr>
          <w:t>https://www.ohchr.org/en/statements/2022/03/defenders-human-rights-lgbt-persons-constantly-risk-warn-un-experts</w:t>
        </w:r>
      </w:hyperlink>
      <w:r w:rsidRPr="004E450C">
        <w:t>.</w:t>
      </w:r>
    </w:p>
  </w:footnote>
  <w:footnote w:id="130">
    <w:sdt>
      <w:sdtPr>
        <w:rPr>
          <w:szCs w:val="18"/>
        </w:rPr>
        <w:tag w:val="goog_rdk_232"/>
        <w:id w:val="1440103929"/>
      </w:sdtPr>
      <w:sdtEndPr/>
      <w:sdtContent>
        <w:p w14:paraId="07663434" w14:textId="5C8EF599" w:rsidR="00271AA4" w:rsidRPr="00776D9A" w:rsidRDefault="00271AA4" w:rsidP="003F3E83">
          <w:pPr>
            <w:pStyle w:val="FootnoteText"/>
            <w:rPr>
              <w:szCs w:val="18"/>
            </w:rPr>
          </w:pPr>
          <w:r>
            <w:rPr>
              <w:szCs w:val="18"/>
            </w:rPr>
            <w:t xml:space="preserve"> </w:t>
          </w:r>
          <w:r w:rsidR="003F3E83">
            <w:rPr>
              <w:szCs w:val="18"/>
            </w:rPr>
            <w:tab/>
          </w:r>
          <w:r w:rsidRPr="00776D9A">
            <w:rPr>
              <w:rStyle w:val="FootnoteReference"/>
              <w:szCs w:val="18"/>
            </w:rPr>
            <w:footnoteRef/>
          </w:r>
          <w:r w:rsidR="003F3E83">
            <w:rPr>
              <w:szCs w:val="18"/>
            </w:rPr>
            <w:tab/>
          </w:r>
          <w:sdt>
            <w:sdtPr>
              <w:rPr>
                <w:szCs w:val="18"/>
              </w:rPr>
              <w:tag w:val="goog_rdk_217"/>
              <w:id w:val="1515106237"/>
            </w:sdtPr>
            <w:sdtEndPr/>
            <w:sdtContent>
              <w:sdt>
                <w:sdtPr>
                  <w:rPr>
                    <w:szCs w:val="18"/>
                  </w:rPr>
                  <w:tag w:val="goog_rdk_218"/>
                  <w:id w:val="-1645337725"/>
                  <w:showingPlcHdr/>
                </w:sdtPr>
                <w:sdtEndPr/>
                <w:sdtContent>
                  <w:r w:rsidR="003F3E83">
                    <w:rPr>
                      <w:szCs w:val="18"/>
                    </w:rPr>
                    <w:t xml:space="preserve">     </w:t>
                  </w:r>
                </w:sdtContent>
              </w:sdt>
              <w:sdt>
                <w:sdtPr>
                  <w:rPr>
                    <w:szCs w:val="18"/>
                  </w:rPr>
                  <w:tag w:val="goog_rdk_219"/>
                  <w:id w:val="-1357953272"/>
                </w:sdtPr>
                <w:sdtEndPr/>
                <w:sdtContent>
                  <w:r>
                    <w:rPr>
                      <w:szCs w:val="18"/>
                    </w:rPr>
                    <w:t xml:space="preserve">See </w:t>
                  </w:r>
                </w:sdtContent>
              </w:sdt>
              <w:hyperlink r:id="rId26" w:history="1">
                <w:sdt>
                  <w:sdtPr>
                    <w:rPr>
                      <w:szCs w:val="18"/>
                    </w:rPr>
                    <w:tag w:val="goog_rdk_220"/>
                    <w:id w:val="1559513424"/>
                  </w:sdtPr>
                  <w:sdtEndPr/>
                  <w:sdtContent>
                    <w:r w:rsidRPr="00776D9A">
                      <w:rPr>
                        <w:color w:val="1155CC"/>
                        <w:szCs w:val="18"/>
                        <w:highlight w:val="white"/>
                        <w:u w:val="single"/>
                      </w:rPr>
                      <w:t>https://www.stonewall.org.uk/system/files/sdg-guide.pdf</w:t>
                    </w:r>
                  </w:sdtContent>
                </w:sdt>
              </w:hyperlink>
              <w:sdt>
                <w:sdtPr>
                  <w:rPr>
                    <w:szCs w:val="18"/>
                  </w:rPr>
                  <w:tag w:val="goog_rdk_221"/>
                  <w:id w:val="-511917004"/>
                </w:sdtPr>
                <w:sdtEndPr/>
                <w:sdtContent>
                  <w:r w:rsidRPr="00776D9A">
                    <w:rPr>
                      <w:szCs w:val="18"/>
                    </w:rPr>
                    <w:t xml:space="preserve">; </w:t>
                  </w:r>
                </w:sdtContent>
              </w:sdt>
              <w:hyperlink r:id="rId27" w:history="1">
                <w:sdt>
                  <w:sdtPr>
                    <w:rPr>
                      <w:szCs w:val="18"/>
                    </w:rPr>
                    <w:tag w:val="goog_rdk_222"/>
                    <w:id w:val="1658271406"/>
                  </w:sdtPr>
                  <w:sdtEndPr/>
                  <w:sdtContent>
                    <w:r w:rsidRPr="00776D9A">
                      <w:rPr>
                        <w:color w:val="1155CC"/>
                        <w:szCs w:val="18"/>
                        <w:u w:val="single"/>
                      </w:rPr>
                      <w:t>https://outrightinternational.org/sites/default/files/UNCoreGroup.pdf</w:t>
                    </w:r>
                  </w:sdtContent>
                </w:sdt>
              </w:hyperlink>
              <w:r>
                <w:rPr>
                  <w:szCs w:val="18"/>
                </w:rPr>
                <w:t xml:space="preserve">, </w:t>
              </w:r>
              <w:sdt>
                <w:sdtPr>
                  <w:rPr>
                    <w:szCs w:val="18"/>
                  </w:rPr>
                  <w:tag w:val="goog_rdk_225"/>
                  <w:id w:val="-1238245031"/>
                  <w:showingPlcHdr/>
                </w:sdtPr>
                <w:sdtEndPr/>
                <w:sdtContent>
                  <w:r>
                    <w:rPr>
                      <w:szCs w:val="18"/>
                    </w:rPr>
                    <w:t xml:space="preserve">     </w:t>
                  </w:r>
                </w:sdtContent>
              </w:sdt>
              <w:hyperlink r:id="rId28" w:history="1">
                <w:sdt>
                  <w:sdtPr>
                    <w:rPr>
                      <w:szCs w:val="18"/>
                    </w:rPr>
                    <w:tag w:val="goog_rdk_226"/>
                    <w:id w:val="1948497169"/>
                  </w:sdtPr>
                  <w:sdtEndPr/>
                  <w:sdtContent>
                    <w:r w:rsidRPr="00776D9A">
                      <w:rPr>
                        <w:color w:val="1155CC"/>
                        <w:szCs w:val="18"/>
                        <w:highlight w:val="white"/>
                        <w:u w:val="single"/>
                      </w:rPr>
                      <w:t>https://www.humanrights.dk/sites/humanrights.dk/files/media/document/Leveraging%20Human</w:t>
                    </w:r>
                    <w:r w:rsidRPr="00410532">
                      <w:rPr>
                        <w:color w:val="1155CC"/>
                        <w:szCs w:val="18"/>
                        <w:highlight w:val="white"/>
                      </w:rPr>
                      <w:t>%20</w:t>
                    </w:r>
                    <w:r w:rsidRPr="00776D9A">
                      <w:rPr>
                        <w:color w:val="1155CC"/>
                        <w:szCs w:val="18"/>
                        <w:highlight w:val="white"/>
                        <w:u w:val="single"/>
                      </w:rPr>
                      <w:t>Rights_ENG_web.pdf</w:t>
                    </w:r>
                  </w:sdtContent>
                </w:sdt>
              </w:hyperlink>
              <w:hyperlink r:id="rId29" w:history="1">
                <w:r w:rsidRPr="008F7FCF">
                  <w:rPr>
                    <w:rStyle w:val="Hyperlink"/>
                    <w:szCs w:val="18"/>
                  </w:rPr>
                  <w:t xml:space="preserve">; </w:t>
                </w:r>
                <w:r w:rsidRPr="008F7FCF">
                  <w:rPr>
                    <w:rStyle w:val="Hyperlink"/>
                    <w:szCs w:val="18"/>
                    <w:highlight w:val="white"/>
                  </w:rPr>
                  <w:t>https://mpactglobal.org/wp-content/uploads/2021/03/How-to-Engage-With-the-2030-Agenda-on-LGBTI-Issues.pdf</w:t>
                </w:r>
              </w:hyperlink>
              <w:r w:rsidR="003F3E83">
                <w:rPr>
                  <w:szCs w:val="18"/>
                </w:rPr>
                <w:t>.</w:t>
              </w:r>
            </w:sdtContent>
          </w:sdt>
        </w:p>
      </w:sdtContent>
    </w:sdt>
  </w:footnote>
  <w:footnote w:id="131">
    <w:sdt>
      <w:sdtPr>
        <w:rPr>
          <w:szCs w:val="18"/>
        </w:rPr>
        <w:tag w:val="goog_rdk_239"/>
        <w:id w:val="1293486326"/>
      </w:sdtPr>
      <w:sdtEndPr/>
      <w:sdtContent>
        <w:p w14:paraId="76ED5733" w14:textId="1F28AB91" w:rsidR="00271AA4" w:rsidRPr="00776D9A" w:rsidRDefault="00271AA4" w:rsidP="00C35637">
          <w:pPr>
            <w:pStyle w:val="FootnoteText"/>
            <w:suppressAutoHyphens/>
            <w:kinsoku w:val="0"/>
            <w:overflowPunct w:val="0"/>
            <w:autoSpaceDE w:val="0"/>
            <w:autoSpaceDN w:val="0"/>
            <w:adjustRightInd w:val="0"/>
            <w:snapToGrid w:val="0"/>
            <w:spacing w:line="240" w:lineRule="auto"/>
            <w:ind w:hanging="567"/>
            <w:jc w:val="both"/>
            <w:rPr>
              <w:szCs w:val="18"/>
            </w:rPr>
          </w:pPr>
          <w:r>
            <w:rPr>
              <w:szCs w:val="18"/>
            </w:rPr>
            <w:t xml:space="preserve">      </w:t>
          </w:r>
          <w:r w:rsidRPr="00776D9A">
            <w:rPr>
              <w:rStyle w:val="FootnoteReference"/>
              <w:szCs w:val="18"/>
            </w:rPr>
            <w:footnoteRef/>
          </w:r>
          <w:sdt>
            <w:sdtPr>
              <w:rPr>
                <w:szCs w:val="18"/>
              </w:rPr>
              <w:tag w:val="goog_rdk_234"/>
              <w:id w:val="1467240801"/>
            </w:sdtPr>
            <w:sdtEndPr/>
            <w:sdtContent>
              <w:sdt>
                <w:sdtPr>
                  <w:rPr>
                    <w:szCs w:val="18"/>
                  </w:rPr>
                  <w:tag w:val="goog_rdk_235"/>
                  <w:id w:val="-929508611"/>
                </w:sdtPr>
                <w:sdtEndPr/>
                <w:sdtContent>
                  <w:r w:rsidRPr="00776D9A">
                    <w:rPr>
                      <w:szCs w:val="18"/>
                    </w:rPr>
                    <w:t xml:space="preserve"> </w:t>
                  </w:r>
                </w:sdtContent>
              </w:sdt>
              <w:sdt>
                <w:sdtPr>
                  <w:rPr>
                    <w:szCs w:val="18"/>
                  </w:rPr>
                  <w:tag w:val="goog_rdk_236"/>
                  <w:id w:val="-1540118520"/>
                </w:sdtPr>
                <w:sdtEndPr/>
                <w:sdtContent>
                  <w:r>
                    <w:rPr>
                      <w:szCs w:val="18"/>
                    </w:rPr>
                    <w:tab/>
                  </w:r>
                  <w:r>
                    <w:rPr>
                      <w:szCs w:val="18"/>
                    </w:rPr>
                    <w:tab/>
                  </w:r>
                </w:sdtContent>
              </w:sdt>
              <w:hyperlink r:id="rId30" w:history="1">
                <w:sdt>
                  <w:sdtPr>
                    <w:rPr>
                      <w:szCs w:val="18"/>
                    </w:rPr>
                    <w:tag w:val="goog_rdk_237"/>
                    <w:id w:val="-1776781997"/>
                  </w:sdtPr>
                  <w:sdtEndPr/>
                  <w:sdtContent>
                    <w:r w:rsidRPr="00776D9A">
                      <w:rPr>
                        <w:color w:val="1155CC"/>
                        <w:szCs w:val="18"/>
                        <w:u w:val="single"/>
                      </w:rPr>
                      <w:t>https://www.undp.org/publications/lgbti-index</w:t>
                    </w:r>
                  </w:sdtContent>
                </w:sdt>
              </w:hyperlink>
              <w:sdt>
                <w:sdtPr>
                  <w:rPr>
                    <w:szCs w:val="18"/>
                  </w:rPr>
                  <w:tag w:val="goog_rdk_238"/>
                  <w:id w:val="1336802987"/>
                </w:sdtPr>
                <w:sdtEndPr/>
                <w:sdtContent>
                  <w:r w:rsidR="003F3E83">
                    <w:rPr>
                      <w:szCs w:val="18"/>
                    </w:rPr>
                    <w:t>.</w:t>
                  </w:r>
                </w:sdtContent>
              </w:sdt>
            </w:sdtContent>
          </w:sdt>
        </w:p>
      </w:sdtContent>
    </w:sdt>
  </w:footnote>
  <w:footnote w:id="132">
    <w:sdt>
      <w:sdtPr>
        <w:rPr>
          <w:szCs w:val="18"/>
        </w:rPr>
        <w:tag w:val="goog_rdk_243"/>
        <w:id w:val="-1315179769"/>
      </w:sdtPr>
      <w:sdtEndPr/>
      <w:sdtContent>
        <w:p w14:paraId="0A373518" w14:textId="37D8A51B" w:rsidR="00271AA4" w:rsidRPr="00776D9A" w:rsidRDefault="00271AA4" w:rsidP="00C35637">
          <w:pPr>
            <w:pStyle w:val="FootnoteText"/>
            <w:suppressAutoHyphens/>
            <w:kinsoku w:val="0"/>
            <w:overflowPunct w:val="0"/>
            <w:autoSpaceDE w:val="0"/>
            <w:autoSpaceDN w:val="0"/>
            <w:adjustRightInd w:val="0"/>
            <w:snapToGrid w:val="0"/>
            <w:spacing w:line="240" w:lineRule="auto"/>
            <w:ind w:hanging="567"/>
            <w:jc w:val="both"/>
            <w:rPr>
              <w:szCs w:val="18"/>
            </w:rPr>
          </w:pPr>
          <w:r>
            <w:rPr>
              <w:szCs w:val="18"/>
            </w:rPr>
            <w:t xml:space="preserve">      </w:t>
          </w:r>
          <w:r w:rsidRPr="00776D9A">
            <w:rPr>
              <w:rStyle w:val="FootnoteReference"/>
              <w:szCs w:val="18"/>
            </w:rPr>
            <w:footnoteRef/>
          </w:r>
          <w:sdt>
            <w:sdtPr>
              <w:rPr>
                <w:szCs w:val="18"/>
              </w:rPr>
              <w:tag w:val="goog_rdk_240"/>
              <w:id w:val="-28261879"/>
            </w:sdtPr>
            <w:sdtEndPr/>
            <w:sdtContent>
              <w:r w:rsidRPr="00776D9A">
                <w:rPr>
                  <w:szCs w:val="18"/>
                </w:rPr>
                <w:t xml:space="preserve"> </w:t>
              </w:r>
            </w:sdtContent>
          </w:sdt>
          <w:hyperlink r:id="rId31" w:history="1">
            <w:r w:rsidRPr="002D4B53">
              <w:rPr>
                <w:rStyle w:val="Hyperlink"/>
                <w:szCs w:val="18"/>
              </w:rPr>
              <w:tab/>
            </w:r>
            <w:r w:rsidRPr="002D4B53">
              <w:rPr>
                <w:rStyle w:val="Hyperlink"/>
                <w:szCs w:val="18"/>
              </w:rPr>
              <w:tab/>
              <w:t>https://www.unaids.org/en/resources/documents/2021/2021-2026-global-AIDS-strategy</w:t>
            </w:r>
          </w:hyperlink>
          <w:sdt>
            <w:sdtPr>
              <w:rPr>
                <w:szCs w:val="18"/>
              </w:rPr>
              <w:tag w:val="goog_rdk_242"/>
              <w:id w:val="-1060475957"/>
            </w:sdtPr>
            <w:sdtEndPr/>
            <w:sdtContent>
              <w:r w:rsidR="003F3E83">
                <w:rPr>
                  <w:szCs w:val="18"/>
                </w:rPr>
                <w:t>.</w:t>
              </w:r>
            </w:sdtContent>
          </w:sdt>
        </w:p>
      </w:sdtContent>
    </w:sdt>
  </w:footnote>
  <w:footnote w:id="133">
    <w:p w14:paraId="02FC8D0C" w14:textId="66C5FBDC" w:rsidR="00271AA4" w:rsidRPr="006A3731" w:rsidRDefault="00271AA4" w:rsidP="00CD2F9A">
      <w:pPr>
        <w:pStyle w:val="FootnoteText"/>
        <w:suppressAutoHyphens/>
        <w:kinsoku w:val="0"/>
        <w:overflowPunct w:val="0"/>
        <w:autoSpaceDE w:val="0"/>
        <w:autoSpaceDN w:val="0"/>
        <w:adjustRightInd w:val="0"/>
        <w:snapToGrid w:val="0"/>
        <w:spacing w:line="240" w:lineRule="auto"/>
        <w:jc w:val="both"/>
        <w:rPr>
          <w:szCs w:val="18"/>
          <w:lang w:val="es-ES"/>
        </w:rPr>
      </w:pPr>
      <w:r w:rsidRPr="00DE5C96">
        <w:rPr>
          <w:szCs w:val="18"/>
        </w:rPr>
        <w:tab/>
      </w:r>
      <w:r w:rsidRPr="00776D9A">
        <w:rPr>
          <w:rStyle w:val="FootnoteReference"/>
          <w:szCs w:val="18"/>
        </w:rPr>
        <w:footnoteRef/>
      </w:r>
      <w:r w:rsidRPr="006A3731">
        <w:rPr>
          <w:szCs w:val="18"/>
          <w:lang w:val="es-ES"/>
        </w:rPr>
        <w:t xml:space="preserve"> </w:t>
      </w:r>
      <w:r>
        <w:rPr>
          <w:szCs w:val="18"/>
          <w:lang w:val="es-ES"/>
        </w:rPr>
        <w:tab/>
      </w:r>
      <w:r>
        <w:rPr>
          <w:szCs w:val="18"/>
          <w:lang w:val="es-ES"/>
        </w:rPr>
        <w:tab/>
      </w:r>
      <w:hyperlink r:id="rId32" w:history="1">
        <w:r w:rsidRPr="002D4B53">
          <w:rPr>
            <w:rStyle w:val="Hyperlink"/>
            <w:szCs w:val="18"/>
            <w:lang w:val="es-ES"/>
          </w:rPr>
          <w:t>https://</w:t>
        </w:r>
        <w:r w:rsidRPr="00DE5C96">
          <w:rPr>
            <w:rStyle w:val="Hyperlink"/>
            <w:szCs w:val="18"/>
            <w:lang w:val="es-ES"/>
          </w:rPr>
          <w:t>www</w:t>
        </w:r>
        <w:r w:rsidRPr="002D4B53">
          <w:rPr>
            <w:rStyle w:val="Hyperlink"/>
            <w:szCs w:val="18"/>
            <w:lang w:val="es-ES"/>
          </w:rPr>
          <w:t>.lgbtqwomensurvey.org/</w:t>
        </w:r>
      </w:hyperlink>
      <w:r w:rsidR="003F3E83">
        <w:rPr>
          <w:szCs w:val="18"/>
          <w:lang w:val="es-ES"/>
        </w:rPr>
        <w:t>.</w:t>
      </w:r>
    </w:p>
  </w:footnote>
  <w:footnote w:id="134">
    <w:sdt>
      <w:sdtPr>
        <w:rPr>
          <w:szCs w:val="18"/>
        </w:rPr>
        <w:tag w:val="goog_rdk_245"/>
        <w:id w:val="-1292351906"/>
      </w:sdtPr>
      <w:sdtEndPr/>
      <w:sdtContent>
        <w:p w14:paraId="2DBBC919" w14:textId="0D5407D8" w:rsidR="00271AA4" w:rsidRPr="006A3731" w:rsidRDefault="00271AA4" w:rsidP="00C35637">
          <w:pPr>
            <w:pStyle w:val="FootnoteText"/>
            <w:suppressAutoHyphens/>
            <w:kinsoku w:val="0"/>
            <w:overflowPunct w:val="0"/>
            <w:autoSpaceDE w:val="0"/>
            <w:autoSpaceDN w:val="0"/>
            <w:adjustRightInd w:val="0"/>
            <w:snapToGrid w:val="0"/>
            <w:spacing w:line="240" w:lineRule="auto"/>
            <w:ind w:hanging="567"/>
            <w:jc w:val="both"/>
            <w:rPr>
              <w:szCs w:val="18"/>
              <w:lang w:val="es-ES"/>
            </w:rPr>
          </w:pPr>
          <w:r w:rsidRPr="00DE5C96">
            <w:rPr>
              <w:szCs w:val="18"/>
              <w:lang w:val="es-ES"/>
            </w:rPr>
            <w:t xml:space="preserve">      </w:t>
          </w:r>
          <w:r w:rsidRPr="00776D9A">
            <w:rPr>
              <w:rStyle w:val="FootnoteReference"/>
              <w:szCs w:val="18"/>
            </w:rPr>
            <w:footnoteRef/>
          </w:r>
          <w:sdt>
            <w:sdtPr>
              <w:rPr>
                <w:szCs w:val="18"/>
              </w:rPr>
              <w:tag w:val="goog_rdk_244"/>
              <w:id w:val="-737323099"/>
            </w:sdtPr>
            <w:sdtEndPr/>
            <w:sdtContent>
              <w:r w:rsidRPr="006A3731">
                <w:rPr>
                  <w:szCs w:val="18"/>
                  <w:lang w:val="es-ES"/>
                </w:rPr>
                <w:t xml:space="preserve"> </w:t>
              </w:r>
              <w:r>
                <w:rPr>
                  <w:szCs w:val="18"/>
                  <w:lang w:val="es-ES"/>
                </w:rPr>
                <w:tab/>
              </w:r>
              <w:r>
                <w:rPr>
                  <w:szCs w:val="18"/>
                  <w:lang w:val="es-ES"/>
                </w:rPr>
                <w:tab/>
              </w:r>
              <w:r w:rsidRPr="006A3731">
                <w:rPr>
                  <w:szCs w:val="18"/>
                  <w:lang w:val="es-ES"/>
                </w:rPr>
                <w:t xml:space="preserve">Mexico, </w:t>
              </w:r>
              <w:r w:rsidRPr="00DE5C96">
                <w:rPr>
                  <w:szCs w:val="18"/>
                  <w:lang w:val="es-ES"/>
                </w:rPr>
                <w:t>submission</w:t>
              </w:r>
              <w:r w:rsidRPr="006A3731">
                <w:rPr>
                  <w:szCs w:val="18"/>
                  <w:lang w:val="es-ES"/>
                </w:rPr>
                <w:t xml:space="preserve"> p. 2.</w:t>
              </w:r>
            </w:sdtContent>
          </w:sdt>
        </w:p>
      </w:sdtContent>
    </w:sdt>
  </w:footnote>
  <w:footnote w:id="135">
    <w:sdt>
      <w:sdtPr>
        <w:rPr>
          <w:szCs w:val="18"/>
        </w:rPr>
        <w:tag w:val="goog_rdk_249"/>
        <w:id w:val="929468468"/>
      </w:sdtPr>
      <w:sdtEndPr/>
      <w:sdtContent>
        <w:p w14:paraId="181E7F5B" w14:textId="2578FE0B" w:rsidR="00271AA4" w:rsidRPr="00776D9A" w:rsidRDefault="00271AA4" w:rsidP="00C35637">
          <w:pPr>
            <w:pStyle w:val="FootnoteText"/>
            <w:suppressAutoHyphens/>
            <w:kinsoku w:val="0"/>
            <w:overflowPunct w:val="0"/>
            <w:autoSpaceDE w:val="0"/>
            <w:autoSpaceDN w:val="0"/>
            <w:adjustRightInd w:val="0"/>
            <w:snapToGrid w:val="0"/>
            <w:spacing w:line="240" w:lineRule="auto"/>
            <w:ind w:hanging="567"/>
            <w:jc w:val="both"/>
            <w:rPr>
              <w:szCs w:val="18"/>
            </w:rPr>
          </w:pPr>
          <w:r>
            <w:rPr>
              <w:szCs w:val="18"/>
            </w:rPr>
            <w:t xml:space="preserve">      </w:t>
          </w:r>
          <w:r w:rsidRPr="00776D9A">
            <w:rPr>
              <w:rStyle w:val="FootnoteReference"/>
              <w:szCs w:val="18"/>
            </w:rPr>
            <w:footnoteRef/>
          </w:r>
          <w:sdt>
            <w:sdtPr>
              <w:rPr>
                <w:szCs w:val="18"/>
              </w:rPr>
              <w:tag w:val="goog_rdk_246"/>
              <w:id w:val="-610122450"/>
            </w:sdtPr>
            <w:sdtEndPr/>
            <w:sdtContent>
              <w:r w:rsidRPr="00776D9A">
                <w:rPr>
                  <w:szCs w:val="18"/>
                </w:rPr>
                <w:t xml:space="preserve"> </w:t>
              </w:r>
            </w:sdtContent>
          </w:sdt>
          <w:sdt>
            <w:sdtPr>
              <w:rPr>
                <w:szCs w:val="18"/>
              </w:rPr>
              <w:tag w:val="goog_rdk_247"/>
              <w:id w:val="1085812109"/>
            </w:sdtPr>
            <w:sdtEndPr/>
            <w:sdtContent>
              <w:r>
                <w:rPr>
                  <w:szCs w:val="18"/>
                </w:rPr>
                <w:tab/>
              </w:r>
              <w:r>
                <w:rPr>
                  <w:szCs w:val="18"/>
                </w:rPr>
                <w:tab/>
              </w:r>
              <w:r w:rsidRPr="00776D9A">
                <w:rPr>
                  <w:szCs w:val="18"/>
                </w:rPr>
                <w:t>Australia, submission p. 2.</w:t>
              </w:r>
            </w:sdtContent>
          </w:sdt>
          <w:sdt>
            <w:sdtPr>
              <w:rPr>
                <w:szCs w:val="18"/>
              </w:rPr>
              <w:tag w:val="goog_rdk_248"/>
              <w:id w:val="-981613430"/>
              <w:showingPlcHdr/>
            </w:sdtPr>
            <w:sdtEndPr/>
            <w:sdtContent>
              <w:r w:rsidRPr="00776D9A">
                <w:rPr>
                  <w:szCs w:val="18"/>
                </w:rPr>
                <w:t xml:space="preserve">     </w:t>
              </w:r>
            </w:sdtContent>
          </w:sdt>
        </w:p>
      </w:sdtContent>
    </w:sdt>
  </w:footnote>
  <w:footnote w:id="136">
    <w:sdt>
      <w:sdtPr>
        <w:tag w:val="goog_rdk_251"/>
        <w:id w:val="-1531724760"/>
      </w:sdtPr>
      <w:sdtEndPr/>
      <w:sdtContent>
        <w:p w14:paraId="6508842C" w14:textId="4B4B50AE" w:rsidR="00271AA4" w:rsidRPr="00776D9A" w:rsidRDefault="00271AA4" w:rsidP="003F3E83">
          <w:pPr>
            <w:pStyle w:val="FootnoteText"/>
          </w:pPr>
          <w:r>
            <w:t xml:space="preserve">      </w:t>
          </w:r>
          <w:r w:rsidRPr="00776D9A">
            <w:rPr>
              <w:rStyle w:val="FootnoteReference"/>
              <w:szCs w:val="18"/>
            </w:rPr>
            <w:footnoteRef/>
          </w:r>
          <w:sdt>
            <w:sdtPr>
              <w:tag w:val="goog_rdk_250"/>
              <w:id w:val="1837040726"/>
            </w:sdtPr>
            <w:sdtEndPr/>
            <w:sdtContent>
              <w:r w:rsidRPr="00776D9A">
                <w:t xml:space="preserve"> </w:t>
              </w:r>
              <w:r>
                <w:tab/>
              </w:r>
              <w:r>
                <w:tab/>
              </w:r>
              <w:r w:rsidRPr="00776D9A">
                <w:t>Cuba, submission p. 4.</w:t>
              </w:r>
            </w:sdtContent>
          </w:sdt>
        </w:p>
      </w:sdtContent>
    </w:sdt>
  </w:footnote>
  <w:footnote w:id="137">
    <w:sdt>
      <w:sdtPr>
        <w:rPr>
          <w:szCs w:val="18"/>
        </w:rPr>
        <w:tag w:val="goog_rdk_253"/>
        <w:id w:val="-1265759996"/>
      </w:sdtPr>
      <w:sdtEndPr/>
      <w:sdtContent>
        <w:p w14:paraId="12C37C15" w14:textId="5A2F4F39" w:rsidR="00271AA4" w:rsidRPr="00776D9A" w:rsidRDefault="00271AA4" w:rsidP="003F3E83">
          <w:pPr>
            <w:pStyle w:val="FootnoteText"/>
            <w:tabs>
              <w:tab w:val="clear" w:pos="1021"/>
            </w:tabs>
            <w:suppressAutoHyphens/>
            <w:kinsoku w:val="0"/>
            <w:overflowPunct w:val="0"/>
            <w:autoSpaceDE w:val="0"/>
            <w:autoSpaceDN w:val="0"/>
            <w:adjustRightInd w:val="0"/>
            <w:snapToGrid w:val="0"/>
            <w:spacing w:line="240" w:lineRule="auto"/>
            <w:ind w:hanging="283"/>
            <w:jc w:val="both"/>
            <w:rPr>
              <w:szCs w:val="18"/>
            </w:rPr>
          </w:pPr>
          <w:r w:rsidRPr="00776D9A">
            <w:rPr>
              <w:rStyle w:val="FootnoteReference"/>
              <w:szCs w:val="18"/>
            </w:rPr>
            <w:footnoteRef/>
          </w:r>
          <w:sdt>
            <w:sdtPr>
              <w:rPr>
                <w:szCs w:val="18"/>
              </w:rPr>
              <w:tag w:val="goog_rdk_252"/>
              <w:id w:val="-1104802595"/>
            </w:sdtPr>
            <w:sdtEndPr/>
            <w:sdtContent>
              <w:r w:rsidRPr="00776D9A">
                <w:rPr>
                  <w:szCs w:val="18"/>
                </w:rPr>
                <w:t xml:space="preserve"> </w:t>
              </w:r>
              <w:r>
                <w:rPr>
                  <w:szCs w:val="18"/>
                </w:rPr>
                <w:tab/>
              </w:r>
              <w:r>
                <w:rPr>
                  <w:szCs w:val="18"/>
                </w:rPr>
                <w:tab/>
              </w:r>
              <w:r w:rsidRPr="00776D9A">
                <w:rPr>
                  <w:szCs w:val="18"/>
                </w:rPr>
                <w:t>European Union, submission p. 2.</w:t>
              </w:r>
            </w:sdtContent>
          </w:sdt>
        </w:p>
      </w:sdtContent>
    </w:sdt>
  </w:footnote>
  <w:footnote w:id="138">
    <w:sdt>
      <w:sdtPr>
        <w:rPr>
          <w:szCs w:val="18"/>
        </w:rPr>
        <w:tag w:val="goog_rdk_255"/>
        <w:id w:val="1384600856"/>
      </w:sdtPr>
      <w:sdtEndPr/>
      <w:sdtContent>
        <w:p w14:paraId="707BDAE9" w14:textId="770F4C11" w:rsidR="00271AA4" w:rsidRPr="00776D9A" w:rsidRDefault="00271AA4" w:rsidP="003F3E83">
          <w:pPr>
            <w:pStyle w:val="FootnoteText"/>
            <w:tabs>
              <w:tab w:val="clear" w:pos="1021"/>
            </w:tabs>
            <w:suppressAutoHyphens/>
            <w:kinsoku w:val="0"/>
            <w:overflowPunct w:val="0"/>
            <w:autoSpaceDE w:val="0"/>
            <w:autoSpaceDN w:val="0"/>
            <w:adjustRightInd w:val="0"/>
            <w:snapToGrid w:val="0"/>
            <w:spacing w:line="240" w:lineRule="auto"/>
            <w:ind w:left="-142" w:firstLine="851"/>
            <w:jc w:val="both"/>
            <w:rPr>
              <w:szCs w:val="18"/>
            </w:rPr>
          </w:pPr>
          <w:r>
            <w:rPr>
              <w:szCs w:val="18"/>
            </w:rPr>
            <w:t xml:space="preserve"> </w:t>
          </w:r>
          <w:r w:rsidRPr="00776D9A">
            <w:rPr>
              <w:rStyle w:val="FootnoteReference"/>
              <w:szCs w:val="18"/>
            </w:rPr>
            <w:footnoteRef/>
          </w:r>
          <w:sdt>
            <w:sdtPr>
              <w:rPr>
                <w:szCs w:val="18"/>
              </w:rPr>
              <w:tag w:val="goog_rdk_254"/>
              <w:id w:val="711235535"/>
            </w:sdtPr>
            <w:sdtEndPr/>
            <w:sdtContent>
              <w:r w:rsidRPr="00776D9A">
                <w:rPr>
                  <w:szCs w:val="18"/>
                </w:rPr>
                <w:t xml:space="preserve"> </w:t>
              </w:r>
              <w:r>
                <w:rPr>
                  <w:szCs w:val="18"/>
                </w:rPr>
                <w:tab/>
              </w:r>
              <w:r w:rsidRPr="00776D9A">
                <w:rPr>
                  <w:szCs w:val="18"/>
                </w:rPr>
                <w:t>UNAIDS, submission p. 7.</w:t>
              </w:r>
            </w:sdtContent>
          </w:sdt>
        </w:p>
      </w:sdtContent>
    </w:sdt>
  </w:footnote>
  <w:footnote w:id="139">
    <w:p w14:paraId="5A8A2011" w14:textId="51236025"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rPr>
      </w:pPr>
      <w:r>
        <w:rPr>
          <w:szCs w:val="18"/>
        </w:rPr>
        <w:tab/>
      </w:r>
      <w:r w:rsidRPr="00776D9A">
        <w:rPr>
          <w:rStyle w:val="FootnoteReference"/>
          <w:szCs w:val="18"/>
        </w:rPr>
        <w:footnoteRef/>
      </w:r>
      <w:r w:rsidRPr="00776D9A">
        <w:rPr>
          <w:szCs w:val="18"/>
        </w:rPr>
        <w:t xml:space="preserve"> </w:t>
      </w:r>
      <w:r>
        <w:rPr>
          <w:szCs w:val="18"/>
        </w:rPr>
        <w:tab/>
      </w:r>
      <w:r>
        <w:rPr>
          <w:szCs w:val="18"/>
        </w:rPr>
        <w:tab/>
      </w:r>
      <w:hyperlink r:id="rId33" w:history="1">
        <w:r w:rsidRPr="002D4B53">
          <w:rPr>
            <w:rStyle w:val="Hyperlink"/>
            <w:szCs w:val="18"/>
          </w:rPr>
          <w:t>https://www.ohchr.org/sites/default/files/RGuide_HealthPolicyMakers.pdf</w:t>
        </w:r>
      </w:hyperlink>
      <w:r w:rsidR="003F3E83">
        <w:rPr>
          <w:szCs w:val="18"/>
        </w:rPr>
        <w:t>.</w:t>
      </w:r>
    </w:p>
  </w:footnote>
  <w:footnote w:id="140">
    <w:p w14:paraId="7FFD1D17" w14:textId="06A450AF" w:rsidR="00271AA4" w:rsidRPr="00776D9A" w:rsidRDefault="00271AA4" w:rsidP="00CD2F9A">
      <w:pPr>
        <w:pStyle w:val="FootnoteText"/>
        <w:suppressAutoHyphens/>
        <w:kinsoku w:val="0"/>
        <w:overflowPunct w:val="0"/>
        <w:autoSpaceDE w:val="0"/>
        <w:autoSpaceDN w:val="0"/>
        <w:adjustRightInd w:val="0"/>
        <w:snapToGrid w:val="0"/>
        <w:spacing w:line="240" w:lineRule="auto"/>
        <w:jc w:val="both"/>
        <w:rPr>
          <w:szCs w:val="18"/>
          <w:lang w:val="es-ES"/>
        </w:rPr>
      </w:pPr>
      <w:r w:rsidRPr="00DE5C96">
        <w:rPr>
          <w:szCs w:val="18"/>
        </w:rPr>
        <w:tab/>
      </w:r>
      <w:r w:rsidRPr="00776D9A">
        <w:rPr>
          <w:rStyle w:val="FootnoteReference"/>
          <w:szCs w:val="18"/>
        </w:rPr>
        <w:footnoteRef/>
      </w:r>
      <w:r w:rsidRPr="00776D9A">
        <w:rPr>
          <w:szCs w:val="18"/>
          <w:lang w:val="es-ES"/>
        </w:rPr>
        <w:t xml:space="preserve"> </w:t>
      </w:r>
      <w:r>
        <w:rPr>
          <w:szCs w:val="18"/>
          <w:lang w:val="es-ES"/>
        </w:rPr>
        <w:tab/>
      </w:r>
      <w:r>
        <w:rPr>
          <w:szCs w:val="18"/>
          <w:lang w:val="es-ES"/>
        </w:rPr>
        <w:tab/>
      </w:r>
      <w:r w:rsidRPr="00776D9A">
        <w:rPr>
          <w:szCs w:val="18"/>
          <w:lang w:val="es-ES"/>
        </w:rPr>
        <w:t>See A/HRC/35/36, para. 56; A/HRC/38/43, para. 22-25, 94; A/HRC/41/45, para. 47-57, 63-67, 80; A/74/181, para. 4; A/HRC/47/27, para. 23-28.</w:t>
      </w:r>
    </w:p>
  </w:footnote>
  <w:footnote w:id="141">
    <w:p w14:paraId="2C51F14B" w14:textId="3BC89B03" w:rsidR="00271AA4" w:rsidRPr="00CB0DC0" w:rsidRDefault="00271AA4" w:rsidP="00CD2F9A">
      <w:pPr>
        <w:pStyle w:val="FootnoteText"/>
        <w:suppressAutoHyphens/>
        <w:kinsoku w:val="0"/>
        <w:overflowPunct w:val="0"/>
        <w:autoSpaceDE w:val="0"/>
        <w:autoSpaceDN w:val="0"/>
        <w:adjustRightInd w:val="0"/>
        <w:snapToGrid w:val="0"/>
        <w:spacing w:line="240" w:lineRule="auto"/>
        <w:jc w:val="both"/>
        <w:rPr>
          <w:szCs w:val="18"/>
          <w:lang w:val="es-ES"/>
        </w:rPr>
      </w:pPr>
      <w:r>
        <w:rPr>
          <w:szCs w:val="18"/>
          <w:lang w:val="es-ES"/>
        </w:rPr>
        <w:tab/>
      </w:r>
      <w:r w:rsidRPr="00776D9A">
        <w:rPr>
          <w:rStyle w:val="FootnoteReference"/>
          <w:szCs w:val="18"/>
        </w:rPr>
        <w:footnoteRef/>
      </w:r>
      <w:r w:rsidRPr="00CB0DC0">
        <w:rPr>
          <w:szCs w:val="18"/>
          <w:lang w:val="es-ES"/>
        </w:rPr>
        <w:t xml:space="preserve"> </w:t>
      </w:r>
      <w:r>
        <w:rPr>
          <w:szCs w:val="18"/>
          <w:lang w:val="es-ES"/>
        </w:rPr>
        <w:tab/>
      </w:r>
      <w:r>
        <w:rPr>
          <w:szCs w:val="18"/>
          <w:lang w:val="es-ES"/>
        </w:rPr>
        <w:tab/>
      </w:r>
      <w:hyperlink r:id="rId34" w:anchor="_ednref4" w:history="1">
        <w:r w:rsidRPr="002D4B53">
          <w:rPr>
            <w:rStyle w:val="Hyperlink"/>
            <w:szCs w:val="18"/>
            <w:lang w:val="es-ES"/>
          </w:rPr>
          <w:t>https://www.</w:t>
        </w:r>
        <w:r w:rsidRPr="00DE5C96">
          <w:rPr>
            <w:rStyle w:val="Hyperlink"/>
            <w:szCs w:val="18"/>
            <w:lang w:val="es-ES"/>
          </w:rPr>
          <w:t>hhrjournal</w:t>
        </w:r>
        <w:r w:rsidRPr="002D4B53">
          <w:rPr>
            <w:rStyle w:val="Hyperlink"/>
            <w:szCs w:val="18"/>
            <w:lang w:val="es-ES"/>
          </w:rPr>
          <w:t>.org/2020/04/the-evolution-of-the-right-to-health-in-the-shadow-of-covid-19/#_ednref4</w:t>
        </w:r>
      </w:hyperlink>
      <w:r>
        <w:rPr>
          <w:szCs w:val="18"/>
          <w:lang w:val="es-ES"/>
        </w:rPr>
        <w:t>.</w:t>
      </w:r>
    </w:p>
  </w:footnote>
  <w:footnote w:id="142">
    <w:p w14:paraId="5EAC88A4" w14:textId="7D921853" w:rsidR="00271AA4" w:rsidRPr="00295E02" w:rsidRDefault="00271AA4">
      <w:pPr>
        <w:pStyle w:val="FootnoteText"/>
        <w:rPr>
          <w:lang w:val="es-ES"/>
        </w:rPr>
      </w:pPr>
      <w:r w:rsidRPr="004E450C">
        <w:rPr>
          <w:lang w:val="es-ES"/>
        </w:rPr>
        <w:tab/>
      </w:r>
      <w:r w:rsidRPr="004E450C">
        <w:rPr>
          <w:rStyle w:val="FootnoteReference"/>
        </w:rPr>
        <w:footnoteRef/>
      </w:r>
      <w:r w:rsidRPr="004E450C">
        <w:rPr>
          <w:lang w:val="es-ES"/>
        </w:rPr>
        <w:t xml:space="preserve"> </w:t>
      </w:r>
      <w:r w:rsidRPr="004E450C">
        <w:rPr>
          <w:lang w:val="es-ES"/>
        </w:rPr>
        <w:tab/>
      </w:r>
      <w:r w:rsidRPr="004E450C">
        <w:rPr>
          <w:lang w:val="es-ES"/>
        </w:rPr>
        <w:tab/>
      </w:r>
      <w:hyperlink r:id="rId35" w:history="1">
        <w:r w:rsidRPr="004E450C">
          <w:rPr>
            <w:rStyle w:val="Hyperlink"/>
            <w:lang w:val="es-ES"/>
          </w:rPr>
          <w:t>https://www.ohchr.org/sites/default/files/IESOGIASPIREGuidelinesReport_v5_20200622.pdf</w:t>
        </w:r>
      </w:hyperlink>
      <w:r w:rsidRPr="00295E02">
        <w:rPr>
          <w:highlight w:val="yellow"/>
          <w:lang w:val="es-ES"/>
        </w:rPr>
        <w:t>.</w:t>
      </w:r>
      <w:r>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87BF8" w14:textId="7C866075" w:rsidR="00271AA4" w:rsidRDefault="00271AA4" w:rsidP="00D14925">
    <w:pPr>
      <w:pStyle w:val="Header"/>
    </w:pPr>
    <w:r w:rsidRPr="00A64937">
      <w:t>A/HRC/50/</w:t>
    </w:r>
    <w:r>
      <w:t>27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EFFD2" w14:textId="72DE575B" w:rsidR="00271AA4" w:rsidRPr="00B25F6C" w:rsidRDefault="00271AA4" w:rsidP="00D14925">
    <w:pPr>
      <w:pStyle w:val="Header"/>
      <w:jc w:val="right"/>
      <w:rPr>
        <w:szCs w:val="18"/>
      </w:rPr>
    </w:pPr>
    <w:r w:rsidRPr="00443DD8">
      <w:rPr>
        <w:color w:val="242424"/>
        <w:szCs w:val="18"/>
        <w:shd w:val="clear" w:color="auto" w:fill="FFFFFF"/>
      </w:rPr>
      <w:t>A/HRC/50/</w:t>
    </w:r>
    <w:r>
      <w:rPr>
        <w:color w:val="242424"/>
        <w:szCs w:val="18"/>
        <w:shd w:val="clear" w:color="auto" w:fill="FFFFFF"/>
      </w:rPr>
      <w:t>27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AE56C08C"/>
    <w:lvl w:ilvl="0" w:tplc="36EC7456">
      <w:start w:val="1"/>
      <w:numFmt w:val="decimal"/>
      <w:pStyle w:val="ParaNoG"/>
      <w:lvlText w:val="%1."/>
      <w:lvlJc w:val="left"/>
      <w:pPr>
        <w:tabs>
          <w:tab w:val="num" w:pos="0"/>
        </w:tabs>
        <w:ind w:left="1134"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B42BAC"/>
    <w:multiLevelType w:val="multilevel"/>
    <w:tmpl w:val="501214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1354D41"/>
    <w:multiLevelType w:val="multilevel"/>
    <w:tmpl w:val="85DA7DA0"/>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7750FC2"/>
    <w:multiLevelType w:val="multilevel"/>
    <w:tmpl w:val="2AAA41C8"/>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8327407"/>
    <w:multiLevelType w:val="hybridMultilevel"/>
    <w:tmpl w:val="3932A58C"/>
    <w:lvl w:ilvl="0" w:tplc="5B867978">
      <w:start w:val="1"/>
      <w:numFmt w:val="decimal"/>
      <w:lvlText w:val="%1."/>
      <w:lvlJc w:val="left"/>
      <w:pPr>
        <w:ind w:left="1689" w:hanging="555"/>
      </w:pPr>
      <w:rPr>
        <w:rFonts w:eastAsia="Times New Roman" w:hint="default"/>
        <w:b w:val="0"/>
        <w:bCs/>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29CE6D8B"/>
    <w:multiLevelType w:val="hybridMultilevel"/>
    <w:tmpl w:val="6AACBB0E"/>
    <w:lvl w:ilvl="0" w:tplc="08090015">
      <w:start w:val="1"/>
      <w:numFmt w:val="upp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3490365B"/>
    <w:multiLevelType w:val="multilevel"/>
    <w:tmpl w:val="EA6A989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A9F1DD8"/>
    <w:multiLevelType w:val="hybridMultilevel"/>
    <w:tmpl w:val="3F1098A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3CD03150"/>
    <w:multiLevelType w:val="multilevel"/>
    <w:tmpl w:val="1A28EE18"/>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4B7C1A43"/>
    <w:multiLevelType w:val="multilevel"/>
    <w:tmpl w:val="73F03F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53215CA7"/>
    <w:multiLevelType w:val="multilevel"/>
    <w:tmpl w:val="11486140"/>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5ABD3CF6"/>
    <w:multiLevelType w:val="multilevel"/>
    <w:tmpl w:val="6D306D5C"/>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5C1675B7"/>
    <w:multiLevelType w:val="multilevel"/>
    <w:tmpl w:val="6A5E0B3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5CC8255C"/>
    <w:multiLevelType w:val="multilevel"/>
    <w:tmpl w:val="1C02F9C0"/>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67A8577D"/>
    <w:multiLevelType w:val="multilevel"/>
    <w:tmpl w:val="FD6A88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A6E31ED"/>
    <w:multiLevelType w:val="multilevel"/>
    <w:tmpl w:val="FD6A88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7B1F3921"/>
    <w:multiLevelType w:val="hybridMultilevel"/>
    <w:tmpl w:val="CDFCE7F0"/>
    <w:lvl w:ilvl="0" w:tplc="FE942530">
      <w:start w:val="1"/>
      <w:numFmt w:val="decimal"/>
      <w:pStyle w:val="SingleTxt"/>
      <w:lvlText w:val="%1."/>
      <w:lvlJc w:val="left"/>
      <w:pPr>
        <w:ind w:left="720" w:hanging="360"/>
      </w:pPr>
      <w:rPr>
        <w:b w:val="0"/>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7971D7"/>
    <w:multiLevelType w:val="multilevel"/>
    <w:tmpl w:val="04E63D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15"/>
  </w:num>
  <w:num w:numId="3">
    <w:abstractNumId w:val="18"/>
  </w:num>
  <w:num w:numId="4">
    <w:abstractNumId w:val="1"/>
  </w:num>
  <w:num w:numId="5">
    <w:abstractNumId w:val="17"/>
  </w:num>
  <w:num w:numId="6">
    <w:abstractNumId w:val="5"/>
  </w:num>
  <w:num w:numId="7">
    <w:abstractNumId w:val="20"/>
    <w:lvlOverride w:ilvl="0">
      <w:startOverride w:val="1"/>
    </w:lvlOverride>
  </w:num>
  <w:num w:numId="8">
    <w:abstractNumId w:val="6"/>
  </w:num>
  <w:num w:numId="9">
    <w:abstractNumId w:val="8"/>
  </w:num>
  <w:num w:numId="10">
    <w:abstractNumId w:val="9"/>
  </w:num>
  <w:num w:numId="11">
    <w:abstractNumId w:val="14"/>
  </w:num>
  <w:num w:numId="12">
    <w:abstractNumId w:val="21"/>
  </w:num>
  <w:num w:numId="13">
    <w:abstractNumId w:val="4"/>
  </w:num>
  <w:num w:numId="14">
    <w:abstractNumId w:val="3"/>
  </w:num>
  <w:num w:numId="15">
    <w:abstractNumId w:val="12"/>
  </w:num>
  <w:num w:numId="16">
    <w:abstractNumId w:val="13"/>
    <w:lvlOverride w:ilvl="0">
      <w:lvl w:ilvl="0">
        <w:numFmt w:val="lowerLetter"/>
        <w:lvlText w:val="%1."/>
        <w:lvlJc w:val="left"/>
      </w:lvl>
    </w:lvlOverride>
  </w:num>
  <w:num w:numId="17">
    <w:abstractNumId w:val="10"/>
    <w:lvlOverride w:ilvl="0">
      <w:lvl w:ilvl="0">
        <w:numFmt w:val="lowerLetter"/>
        <w:lvlText w:val="%1."/>
        <w:lvlJc w:val="left"/>
      </w:lvl>
    </w:lvlOverride>
  </w:num>
  <w:num w:numId="18">
    <w:abstractNumId w:val="7"/>
    <w:lvlOverride w:ilvl="0">
      <w:lvl w:ilvl="0">
        <w:numFmt w:val="lowerLetter"/>
        <w:lvlText w:val="%1."/>
        <w:lvlJc w:val="left"/>
      </w:lvl>
    </w:lvlOverride>
  </w:num>
  <w:num w:numId="19">
    <w:abstractNumId w:val="2"/>
    <w:lvlOverride w:ilvl="0">
      <w:lvl w:ilvl="0">
        <w:numFmt w:val="lowerLetter"/>
        <w:lvlText w:val="%1."/>
        <w:lvlJc w:val="left"/>
      </w:lvl>
    </w:lvlOverride>
  </w:num>
  <w:num w:numId="20">
    <w:abstractNumId w:val="16"/>
  </w:num>
  <w:num w:numId="21">
    <w:abstractNumId w:val="19"/>
  </w:num>
  <w:num w:numId="2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7B26C9"/>
    <w:rsid w:val="000010C6"/>
    <w:rsid w:val="000077D5"/>
    <w:rsid w:val="0001004F"/>
    <w:rsid w:val="00017470"/>
    <w:rsid w:val="00017BB7"/>
    <w:rsid w:val="0002048C"/>
    <w:rsid w:val="0002321B"/>
    <w:rsid w:val="000262F6"/>
    <w:rsid w:val="000314A4"/>
    <w:rsid w:val="00032169"/>
    <w:rsid w:val="0003433A"/>
    <w:rsid w:val="00036296"/>
    <w:rsid w:val="00040458"/>
    <w:rsid w:val="00044ABF"/>
    <w:rsid w:val="00046E92"/>
    <w:rsid w:val="000476E2"/>
    <w:rsid w:val="00051CC6"/>
    <w:rsid w:val="00053DEF"/>
    <w:rsid w:val="00056459"/>
    <w:rsid w:val="00063C90"/>
    <w:rsid w:val="00071B24"/>
    <w:rsid w:val="00072607"/>
    <w:rsid w:val="000731AF"/>
    <w:rsid w:val="00074046"/>
    <w:rsid w:val="000759EE"/>
    <w:rsid w:val="000776C7"/>
    <w:rsid w:val="00084330"/>
    <w:rsid w:val="000846B0"/>
    <w:rsid w:val="00086027"/>
    <w:rsid w:val="00095D3B"/>
    <w:rsid w:val="00096A4A"/>
    <w:rsid w:val="000A0C6B"/>
    <w:rsid w:val="000A1199"/>
    <w:rsid w:val="000A2CE8"/>
    <w:rsid w:val="000A331C"/>
    <w:rsid w:val="000A6280"/>
    <w:rsid w:val="000B29C7"/>
    <w:rsid w:val="000B4513"/>
    <w:rsid w:val="000B4743"/>
    <w:rsid w:val="000B63AB"/>
    <w:rsid w:val="000C3797"/>
    <w:rsid w:val="000C40B7"/>
    <w:rsid w:val="000C719C"/>
    <w:rsid w:val="000D094D"/>
    <w:rsid w:val="000D1713"/>
    <w:rsid w:val="000D21CB"/>
    <w:rsid w:val="000E1146"/>
    <w:rsid w:val="000E2523"/>
    <w:rsid w:val="000E2D6B"/>
    <w:rsid w:val="000E4373"/>
    <w:rsid w:val="000E65E3"/>
    <w:rsid w:val="000E6DBE"/>
    <w:rsid w:val="000F06E4"/>
    <w:rsid w:val="000F11BE"/>
    <w:rsid w:val="000F19B1"/>
    <w:rsid w:val="000F1E33"/>
    <w:rsid w:val="001000C7"/>
    <w:rsid w:val="00101B98"/>
    <w:rsid w:val="00102C86"/>
    <w:rsid w:val="00105D24"/>
    <w:rsid w:val="00106A00"/>
    <w:rsid w:val="001076C5"/>
    <w:rsid w:val="0011255B"/>
    <w:rsid w:val="0011256A"/>
    <w:rsid w:val="00115610"/>
    <w:rsid w:val="00116158"/>
    <w:rsid w:val="00117187"/>
    <w:rsid w:val="00121AF1"/>
    <w:rsid w:val="0012303A"/>
    <w:rsid w:val="00130B2A"/>
    <w:rsid w:val="00131B9E"/>
    <w:rsid w:val="00132FD2"/>
    <w:rsid w:val="00133DA6"/>
    <w:rsid w:val="00135A15"/>
    <w:rsid w:val="00135A40"/>
    <w:rsid w:val="00135FA8"/>
    <w:rsid w:val="0013739C"/>
    <w:rsid w:val="0014399C"/>
    <w:rsid w:val="0014487B"/>
    <w:rsid w:val="001518D6"/>
    <w:rsid w:val="00154C47"/>
    <w:rsid w:val="001557B6"/>
    <w:rsid w:val="00155F8B"/>
    <w:rsid w:val="0015758B"/>
    <w:rsid w:val="00160BC7"/>
    <w:rsid w:val="00174724"/>
    <w:rsid w:val="001750DD"/>
    <w:rsid w:val="00175309"/>
    <w:rsid w:val="0017619F"/>
    <w:rsid w:val="00176693"/>
    <w:rsid w:val="00177183"/>
    <w:rsid w:val="00180820"/>
    <w:rsid w:val="00184761"/>
    <w:rsid w:val="001865A0"/>
    <w:rsid w:val="00190CEF"/>
    <w:rsid w:val="001917CD"/>
    <w:rsid w:val="00193A16"/>
    <w:rsid w:val="00194842"/>
    <w:rsid w:val="00194C32"/>
    <w:rsid w:val="00197FDB"/>
    <w:rsid w:val="001A4B3E"/>
    <w:rsid w:val="001B215B"/>
    <w:rsid w:val="001B2987"/>
    <w:rsid w:val="001B643F"/>
    <w:rsid w:val="001C016B"/>
    <w:rsid w:val="001C24DC"/>
    <w:rsid w:val="001C52B1"/>
    <w:rsid w:val="001C595D"/>
    <w:rsid w:val="001C75E3"/>
    <w:rsid w:val="001D37E9"/>
    <w:rsid w:val="001D47CE"/>
    <w:rsid w:val="001D6FFE"/>
    <w:rsid w:val="001D7CCF"/>
    <w:rsid w:val="001E0C41"/>
    <w:rsid w:val="001E2AFE"/>
    <w:rsid w:val="001E41A2"/>
    <w:rsid w:val="001E464F"/>
    <w:rsid w:val="001E4BA8"/>
    <w:rsid w:val="001E667D"/>
    <w:rsid w:val="001E6EA4"/>
    <w:rsid w:val="001F6FC0"/>
    <w:rsid w:val="001F73E0"/>
    <w:rsid w:val="0020023F"/>
    <w:rsid w:val="00204AF0"/>
    <w:rsid w:val="002117A4"/>
    <w:rsid w:val="00214C21"/>
    <w:rsid w:val="002200E1"/>
    <w:rsid w:val="00222235"/>
    <w:rsid w:val="00225D62"/>
    <w:rsid w:val="00227F79"/>
    <w:rsid w:val="0023180C"/>
    <w:rsid w:val="002328C4"/>
    <w:rsid w:val="0023426B"/>
    <w:rsid w:val="00235BD9"/>
    <w:rsid w:val="0023663B"/>
    <w:rsid w:val="0024010C"/>
    <w:rsid w:val="00241A83"/>
    <w:rsid w:val="00241E83"/>
    <w:rsid w:val="00242CEE"/>
    <w:rsid w:val="002442AD"/>
    <w:rsid w:val="00245547"/>
    <w:rsid w:val="00246297"/>
    <w:rsid w:val="00247E2C"/>
    <w:rsid w:val="00250754"/>
    <w:rsid w:val="00251841"/>
    <w:rsid w:val="00251C39"/>
    <w:rsid w:val="00255742"/>
    <w:rsid w:val="00255EDC"/>
    <w:rsid w:val="0025764B"/>
    <w:rsid w:val="002618CB"/>
    <w:rsid w:val="00263323"/>
    <w:rsid w:val="002652B0"/>
    <w:rsid w:val="00266AFA"/>
    <w:rsid w:val="00266D10"/>
    <w:rsid w:val="002707E8"/>
    <w:rsid w:val="00271AA4"/>
    <w:rsid w:val="00274884"/>
    <w:rsid w:val="00275828"/>
    <w:rsid w:val="0028557D"/>
    <w:rsid w:val="002871AD"/>
    <w:rsid w:val="0029008A"/>
    <w:rsid w:val="00290461"/>
    <w:rsid w:val="00291AC4"/>
    <w:rsid w:val="00293491"/>
    <w:rsid w:val="00293F60"/>
    <w:rsid w:val="00295E02"/>
    <w:rsid w:val="002A32CB"/>
    <w:rsid w:val="002A6A91"/>
    <w:rsid w:val="002B319E"/>
    <w:rsid w:val="002B426F"/>
    <w:rsid w:val="002B6173"/>
    <w:rsid w:val="002C025E"/>
    <w:rsid w:val="002C0506"/>
    <w:rsid w:val="002C1C9D"/>
    <w:rsid w:val="002C7342"/>
    <w:rsid w:val="002C778E"/>
    <w:rsid w:val="002D6C53"/>
    <w:rsid w:val="002E0F5E"/>
    <w:rsid w:val="002E2637"/>
    <w:rsid w:val="002E57D4"/>
    <w:rsid w:val="002E5E72"/>
    <w:rsid w:val="002E7CE7"/>
    <w:rsid w:val="002F47D2"/>
    <w:rsid w:val="002F5595"/>
    <w:rsid w:val="002F72B6"/>
    <w:rsid w:val="002F7D0F"/>
    <w:rsid w:val="003034C1"/>
    <w:rsid w:val="00304084"/>
    <w:rsid w:val="003070B0"/>
    <w:rsid w:val="0030780B"/>
    <w:rsid w:val="00313504"/>
    <w:rsid w:val="00315575"/>
    <w:rsid w:val="003163E2"/>
    <w:rsid w:val="00316F54"/>
    <w:rsid w:val="00317CA9"/>
    <w:rsid w:val="00320A79"/>
    <w:rsid w:val="0032172B"/>
    <w:rsid w:val="003235BB"/>
    <w:rsid w:val="00324D25"/>
    <w:rsid w:val="003253D9"/>
    <w:rsid w:val="00325608"/>
    <w:rsid w:val="00326BCC"/>
    <w:rsid w:val="00332E4B"/>
    <w:rsid w:val="00334432"/>
    <w:rsid w:val="00334F6A"/>
    <w:rsid w:val="003367BA"/>
    <w:rsid w:val="0034216D"/>
    <w:rsid w:val="00342AC8"/>
    <w:rsid w:val="00343F93"/>
    <w:rsid w:val="00345F2E"/>
    <w:rsid w:val="003461B2"/>
    <w:rsid w:val="003503E0"/>
    <w:rsid w:val="00352A25"/>
    <w:rsid w:val="00353647"/>
    <w:rsid w:val="00355B95"/>
    <w:rsid w:val="00360920"/>
    <w:rsid w:val="00360F28"/>
    <w:rsid w:val="00364D0C"/>
    <w:rsid w:val="00364D54"/>
    <w:rsid w:val="00364FF7"/>
    <w:rsid w:val="00365A54"/>
    <w:rsid w:val="00373E39"/>
    <w:rsid w:val="003758ED"/>
    <w:rsid w:val="00375E3D"/>
    <w:rsid w:val="003778F9"/>
    <w:rsid w:val="0038638F"/>
    <w:rsid w:val="003868F9"/>
    <w:rsid w:val="00390A5E"/>
    <w:rsid w:val="003911FC"/>
    <w:rsid w:val="00391A0D"/>
    <w:rsid w:val="003927BC"/>
    <w:rsid w:val="00393AC9"/>
    <w:rsid w:val="00396148"/>
    <w:rsid w:val="003971CF"/>
    <w:rsid w:val="003A4317"/>
    <w:rsid w:val="003A47F1"/>
    <w:rsid w:val="003A6299"/>
    <w:rsid w:val="003A66EB"/>
    <w:rsid w:val="003B133B"/>
    <w:rsid w:val="003B2ABE"/>
    <w:rsid w:val="003B4550"/>
    <w:rsid w:val="003C0E73"/>
    <w:rsid w:val="003C4E5B"/>
    <w:rsid w:val="003C57A3"/>
    <w:rsid w:val="003C6289"/>
    <w:rsid w:val="003C6C4D"/>
    <w:rsid w:val="003C788A"/>
    <w:rsid w:val="003C7B7F"/>
    <w:rsid w:val="003D2AF2"/>
    <w:rsid w:val="003D5E24"/>
    <w:rsid w:val="003D6420"/>
    <w:rsid w:val="003D7153"/>
    <w:rsid w:val="003E08E7"/>
    <w:rsid w:val="003E2956"/>
    <w:rsid w:val="003E2F7D"/>
    <w:rsid w:val="003E40BC"/>
    <w:rsid w:val="003F0D2E"/>
    <w:rsid w:val="003F3063"/>
    <w:rsid w:val="003F3E83"/>
    <w:rsid w:val="003F4032"/>
    <w:rsid w:val="003F4ED5"/>
    <w:rsid w:val="0040017C"/>
    <w:rsid w:val="00400631"/>
    <w:rsid w:val="00410532"/>
    <w:rsid w:val="00412AE3"/>
    <w:rsid w:val="004138F8"/>
    <w:rsid w:val="00414CA5"/>
    <w:rsid w:val="004163A4"/>
    <w:rsid w:val="00423304"/>
    <w:rsid w:val="004247C5"/>
    <w:rsid w:val="00424EF0"/>
    <w:rsid w:val="00427D2B"/>
    <w:rsid w:val="004311B3"/>
    <w:rsid w:val="004374AC"/>
    <w:rsid w:val="004411E5"/>
    <w:rsid w:val="0044159D"/>
    <w:rsid w:val="00442D2E"/>
    <w:rsid w:val="00443DD8"/>
    <w:rsid w:val="00446AFC"/>
    <w:rsid w:val="00450CBE"/>
    <w:rsid w:val="00453178"/>
    <w:rsid w:val="00453865"/>
    <w:rsid w:val="0045453F"/>
    <w:rsid w:val="00461253"/>
    <w:rsid w:val="004641DC"/>
    <w:rsid w:val="0046664E"/>
    <w:rsid w:val="00467D0A"/>
    <w:rsid w:val="0047173C"/>
    <w:rsid w:val="004722DB"/>
    <w:rsid w:val="004758B8"/>
    <w:rsid w:val="00486E21"/>
    <w:rsid w:val="00487687"/>
    <w:rsid w:val="0049331E"/>
    <w:rsid w:val="00496B4C"/>
    <w:rsid w:val="00496EBE"/>
    <w:rsid w:val="004A1EA3"/>
    <w:rsid w:val="004A2814"/>
    <w:rsid w:val="004A51C0"/>
    <w:rsid w:val="004A7091"/>
    <w:rsid w:val="004B04FE"/>
    <w:rsid w:val="004B3A68"/>
    <w:rsid w:val="004B6E65"/>
    <w:rsid w:val="004C0622"/>
    <w:rsid w:val="004C5665"/>
    <w:rsid w:val="004C6F82"/>
    <w:rsid w:val="004C7EE5"/>
    <w:rsid w:val="004D1042"/>
    <w:rsid w:val="004D10F9"/>
    <w:rsid w:val="004D2690"/>
    <w:rsid w:val="004D26D6"/>
    <w:rsid w:val="004D2A9B"/>
    <w:rsid w:val="004D4086"/>
    <w:rsid w:val="004D6DF2"/>
    <w:rsid w:val="004D7665"/>
    <w:rsid w:val="004E450C"/>
    <w:rsid w:val="004E4982"/>
    <w:rsid w:val="004E6829"/>
    <w:rsid w:val="004F3469"/>
    <w:rsid w:val="004F3D2C"/>
    <w:rsid w:val="004F53A2"/>
    <w:rsid w:val="004F6519"/>
    <w:rsid w:val="004F660A"/>
    <w:rsid w:val="004F6F67"/>
    <w:rsid w:val="005007E9"/>
    <w:rsid w:val="005013FF"/>
    <w:rsid w:val="005042C2"/>
    <w:rsid w:val="00504A26"/>
    <w:rsid w:val="00507426"/>
    <w:rsid w:val="00507FD4"/>
    <w:rsid w:val="00510B87"/>
    <w:rsid w:val="00510CF2"/>
    <w:rsid w:val="005116B8"/>
    <w:rsid w:val="00517888"/>
    <w:rsid w:val="0052313E"/>
    <w:rsid w:val="005233B8"/>
    <w:rsid w:val="00523A87"/>
    <w:rsid w:val="00524C12"/>
    <w:rsid w:val="0052660D"/>
    <w:rsid w:val="005355C9"/>
    <w:rsid w:val="00535B52"/>
    <w:rsid w:val="005422F5"/>
    <w:rsid w:val="00543E5B"/>
    <w:rsid w:val="0054403B"/>
    <w:rsid w:val="005470DD"/>
    <w:rsid w:val="00550CF6"/>
    <w:rsid w:val="005522A2"/>
    <w:rsid w:val="00552DA2"/>
    <w:rsid w:val="0055391B"/>
    <w:rsid w:val="00554D8D"/>
    <w:rsid w:val="0055669B"/>
    <w:rsid w:val="00560741"/>
    <w:rsid w:val="00562BE3"/>
    <w:rsid w:val="00565D3F"/>
    <w:rsid w:val="00570C1C"/>
    <w:rsid w:val="00572758"/>
    <w:rsid w:val="00574F86"/>
    <w:rsid w:val="00580426"/>
    <w:rsid w:val="00583C31"/>
    <w:rsid w:val="0058486C"/>
    <w:rsid w:val="005934A5"/>
    <w:rsid w:val="0059445B"/>
    <w:rsid w:val="005A076D"/>
    <w:rsid w:val="005A0775"/>
    <w:rsid w:val="005A0804"/>
    <w:rsid w:val="005A2C21"/>
    <w:rsid w:val="005A4180"/>
    <w:rsid w:val="005A5207"/>
    <w:rsid w:val="005B07C8"/>
    <w:rsid w:val="005B2DCD"/>
    <w:rsid w:val="005B31BD"/>
    <w:rsid w:val="005B366A"/>
    <w:rsid w:val="005B3E4A"/>
    <w:rsid w:val="005C49D4"/>
    <w:rsid w:val="005C4F37"/>
    <w:rsid w:val="005C6763"/>
    <w:rsid w:val="005C6A9A"/>
    <w:rsid w:val="005D4C7B"/>
    <w:rsid w:val="005D644F"/>
    <w:rsid w:val="005D7BD8"/>
    <w:rsid w:val="005E0419"/>
    <w:rsid w:val="005E1ABE"/>
    <w:rsid w:val="005E287A"/>
    <w:rsid w:val="005E2921"/>
    <w:rsid w:val="005E2AD0"/>
    <w:rsid w:val="005E5810"/>
    <w:rsid w:val="005E648A"/>
    <w:rsid w:val="005E716E"/>
    <w:rsid w:val="005F35DE"/>
    <w:rsid w:val="005F5D3B"/>
    <w:rsid w:val="005F6486"/>
    <w:rsid w:val="00602A5D"/>
    <w:rsid w:val="00602FD1"/>
    <w:rsid w:val="0060412E"/>
    <w:rsid w:val="00607154"/>
    <w:rsid w:val="006074D5"/>
    <w:rsid w:val="00607849"/>
    <w:rsid w:val="006129D1"/>
    <w:rsid w:val="006153CE"/>
    <w:rsid w:val="0061716F"/>
    <w:rsid w:val="00622CF7"/>
    <w:rsid w:val="0062718D"/>
    <w:rsid w:val="006328B1"/>
    <w:rsid w:val="006364BD"/>
    <w:rsid w:val="00642124"/>
    <w:rsid w:val="00642409"/>
    <w:rsid w:val="0064421A"/>
    <w:rsid w:val="00645FB2"/>
    <w:rsid w:val="0064651E"/>
    <w:rsid w:val="00646916"/>
    <w:rsid w:val="00652342"/>
    <w:rsid w:val="006542CE"/>
    <w:rsid w:val="006547C8"/>
    <w:rsid w:val="0065586E"/>
    <w:rsid w:val="006562EB"/>
    <w:rsid w:val="00660731"/>
    <w:rsid w:val="00661076"/>
    <w:rsid w:val="006617C2"/>
    <w:rsid w:val="0066236E"/>
    <w:rsid w:val="00662B3D"/>
    <w:rsid w:val="0066543B"/>
    <w:rsid w:val="006655A6"/>
    <w:rsid w:val="00671529"/>
    <w:rsid w:val="00671A28"/>
    <w:rsid w:val="00690F57"/>
    <w:rsid w:val="006A049B"/>
    <w:rsid w:val="006A06DE"/>
    <w:rsid w:val="006A3731"/>
    <w:rsid w:val="006A49C0"/>
    <w:rsid w:val="006A623F"/>
    <w:rsid w:val="006A7340"/>
    <w:rsid w:val="006A7A49"/>
    <w:rsid w:val="006B15D2"/>
    <w:rsid w:val="006B62EF"/>
    <w:rsid w:val="006B77C2"/>
    <w:rsid w:val="006C2071"/>
    <w:rsid w:val="006C278E"/>
    <w:rsid w:val="006C3D98"/>
    <w:rsid w:val="006D0D9C"/>
    <w:rsid w:val="006D3DFD"/>
    <w:rsid w:val="006D7AFC"/>
    <w:rsid w:val="006D7E36"/>
    <w:rsid w:val="006E0208"/>
    <w:rsid w:val="006E43E8"/>
    <w:rsid w:val="006F0AA0"/>
    <w:rsid w:val="006F1851"/>
    <w:rsid w:val="006F1A6B"/>
    <w:rsid w:val="006F1AB0"/>
    <w:rsid w:val="006F4DD4"/>
    <w:rsid w:val="007004C0"/>
    <w:rsid w:val="00703DAE"/>
    <w:rsid w:val="0070489D"/>
    <w:rsid w:val="007068C3"/>
    <w:rsid w:val="0071265C"/>
    <w:rsid w:val="0071548E"/>
    <w:rsid w:val="0071559B"/>
    <w:rsid w:val="007166DF"/>
    <w:rsid w:val="0072285C"/>
    <w:rsid w:val="00724895"/>
    <w:rsid w:val="007268F9"/>
    <w:rsid w:val="007309B5"/>
    <w:rsid w:val="0073174D"/>
    <w:rsid w:val="00732601"/>
    <w:rsid w:val="00735804"/>
    <w:rsid w:val="00736063"/>
    <w:rsid w:val="007504A5"/>
    <w:rsid w:val="00752EFD"/>
    <w:rsid w:val="00753E9E"/>
    <w:rsid w:val="007541C5"/>
    <w:rsid w:val="007550EE"/>
    <w:rsid w:val="007629FA"/>
    <w:rsid w:val="007664F5"/>
    <w:rsid w:val="00770757"/>
    <w:rsid w:val="00770EC0"/>
    <w:rsid w:val="00775704"/>
    <w:rsid w:val="00776D9A"/>
    <w:rsid w:val="00780807"/>
    <w:rsid w:val="007813B0"/>
    <w:rsid w:val="00781A0B"/>
    <w:rsid w:val="00782BA8"/>
    <w:rsid w:val="00790A0C"/>
    <w:rsid w:val="007935D3"/>
    <w:rsid w:val="00794C34"/>
    <w:rsid w:val="00794D81"/>
    <w:rsid w:val="007A1125"/>
    <w:rsid w:val="007A25A1"/>
    <w:rsid w:val="007A33A8"/>
    <w:rsid w:val="007A46B4"/>
    <w:rsid w:val="007A5789"/>
    <w:rsid w:val="007A7980"/>
    <w:rsid w:val="007B1890"/>
    <w:rsid w:val="007B208A"/>
    <w:rsid w:val="007B26C9"/>
    <w:rsid w:val="007B490E"/>
    <w:rsid w:val="007B6053"/>
    <w:rsid w:val="007B6888"/>
    <w:rsid w:val="007B6A84"/>
    <w:rsid w:val="007C0D79"/>
    <w:rsid w:val="007C0E76"/>
    <w:rsid w:val="007C3F9B"/>
    <w:rsid w:val="007C52B0"/>
    <w:rsid w:val="007D38F5"/>
    <w:rsid w:val="007E36A1"/>
    <w:rsid w:val="007E3EA1"/>
    <w:rsid w:val="007F1F53"/>
    <w:rsid w:val="007F26AD"/>
    <w:rsid w:val="007F2F52"/>
    <w:rsid w:val="007F3939"/>
    <w:rsid w:val="00800549"/>
    <w:rsid w:val="00801991"/>
    <w:rsid w:val="00802F32"/>
    <w:rsid w:val="00804753"/>
    <w:rsid w:val="00804E3D"/>
    <w:rsid w:val="00805154"/>
    <w:rsid w:val="00806CE9"/>
    <w:rsid w:val="008129F9"/>
    <w:rsid w:val="00814588"/>
    <w:rsid w:val="00815308"/>
    <w:rsid w:val="00824A66"/>
    <w:rsid w:val="00825608"/>
    <w:rsid w:val="00826963"/>
    <w:rsid w:val="00830BE4"/>
    <w:rsid w:val="0083191F"/>
    <w:rsid w:val="00831E87"/>
    <w:rsid w:val="00834647"/>
    <w:rsid w:val="00835F9E"/>
    <w:rsid w:val="0083646B"/>
    <w:rsid w:val="0084031E"/>
    <w:rsid w:val="00842A7D"/>
    <w:rsid w:val="00844416"/>
    <w:rsid w:val="008527F1"/>
    <w:rsid w:val="00857EBE"/>
    <w:rsid w:val="00861B4E"/>
    <w:rsid w:val="00862EB1"/>
    <w:rsid w:val="00863F69"/>
    <w:rsid w:val="00865C6B"/>
    <w:rsid w:val="00870C7D"/>
    <w:rsid w:val="00874147"/>
    <w:rsid w:val="00875698"/>
    <w:rsid w:val="00876B68"/>
    <w:rsid w:val="00876BC2"/>
    <w:rsid w:val="008770B5"/>
    <w:rsid w:val="00882DAA"/>
    <w:rsid w:val="00883B37"/>
    <w:rsid w:val="00885B16"/>
    <w:rsid w:val="00885F4B"/>
    <w:rsid w:val="008877A9"/>
    <w:rsid w:val="00887ED5"/>
    <w:rsid w:val="00890101"/>
    <w:rsid w:val="008A1ED1"/>
    <w:rsid w:val="008A340F"/>
    <w:rsid w:val="008A6C95"/>
    <w:rsid w:val="008A7156"/>
    <w:rsid w:val="008B3D6B"/>
    <w:rsid w:val="008C05B8"/>
    <w:rsid w:val="008C249F"/>
    <w:rsid w:val="008C55BB"/>
    <w:rsid w:val="008C5958"/>
    <w:rsid w:val="008C5EA7"/>
    <w:rsid w:val="008C759D"/>
    <w:rsid w:val="008D55B0"/>
    <w:rsid w:val="008D58D7"/>
    <w:rsid w:val="008E04C4"/>
    <w:rsid w:val="008E0594"/>
    <w:rsid w:val="008E0E84"/>
    <w:rsid w:val="008E14B3"/>
    <w:rsid w:val="008E4203"/>
    <w:rsid w:val="008E5751"/>
    <w:rsid w:val="008F1AC0"/>
    <w:rsid w:val="008F56A7"/>
    <w:rsid w:val="008F68B0"/>
    <w:rsid w:val="00902782"/>
    <w:rsid w:val="009038E5"/>
    <w:rsid w:val="00905476"/>
    <w:rsid w:val="00920125"/>
    <w:rsid w:val="00922DCE"/>
    <w:rsid w:val="00923228"/>
    <w:rsid w:val="0092347A"/>
    <w:rsid w:val="00924EC7"/>
    <w:rsid w:val="00926F96"/>
    <w:rsid w:val="009300AE"/>
    <w:rsid w:val="00931FE5"/>
    <w:rsid w:val="009411B4"/>
    <w:rsid w:val="00943D14"/>
    <w:rsid w:val="009461FF"/>
    <w:rsid w:val="00954187"/>
    <w:rsid w:val="00954A2D"/>
    <w:rsid w:val="009550A7"/>
    <w:rsid w:val="009558ED"/>
    <w:rsid w:val="0096033C"/>
    <w:rsid w:val="0096115A"/>
    <w:rsid w:val="00961BDB"/>
    <w:rsid w:val="00962A56"/>
    <w:rsid w:val="00963BC1"/>
    <w:rsid w:val="009640DD"/>
    <w:rsid w:val="00965A40"/>
    <w:rsid w:val="00966DDD"/>
    <w:rsid w:val="0096750E"/>
    <w:rsid w:val="00970C84"/>
    <w:rsid w:val="009779D7"/>
    <w:rsid w:val="00980F13"/>
    <w:rsid w:val="00986690"/>
    <w:rsid w:val="009915EB"/>
    <w:rsid w:val="009949A1"/>
    <w:rsid w:val="00994F47"/>
    <w:rsid w:val="00996B18"/>
    <w:rsid w:val="009A0B6D"/>
    <w:rsid w:val="009A21E3"/>
    <w:rsid w:val="009A35D0"/>
    <w:rsid w:val="009A4499"/>
    <w:rsid w:val="009B4E82"/>
    <w:rsid w:val="009B616D"/>
    <w:rsid w:val="009B640D"/>
    <w:rsid w:val="009B72C9"/>
    <w:rsid w:val="009B7809"/>
    <w:rsid w:val="009C115F"/>
    <w:rsid w:val="009C41AF"/>
    <w:rsid w:val="009C702E"/>
    <w:rsid w:val="009D0139"/>
    <w:rsid w:val="009D3BB7"/>
    <w:rsid w:val="009D717D"/>
    <w:rsid w:val="009D72BD"/>
    <w:rsid w:val="009E3F6B"/>
    <w:rsid w:val="009E5DDC"/>
    <w:rsid w:val="009F1158"/>
    <w:rsid w:val="009F1361"/>
    <w:rsid w:val="009F3646"/>
    <w:rsid w:val="009F5CDC"/>
    <w:rsid w:val="009F5EAB"/>
    <w:rsid w:val="009F6BFC"/>
    <w:rsid w:val="009F6F4D"/>
    <w:rsid w:val="00A002C5"/>
    <w:rsid w:val="00A0358E"/>
    <w:rsid w:val="00A0534F"/>
    <w:rsid w:val="00A11200"/>
    <w:rsid w:val="00A12A6F"/>
    <w:rsid w:val="00A23EE2"/>
    <w:rsid w:val="00A25A5C"/>
    <w:rsid w:val="00A25FD0"/>
    <w:rsid w:val="00A313F9"/>
    <w:rsid w:val="00A31B09"/>
    <w:rsid w:val="00A3507F"/>
    <w:rsid w:val="00A40B78"/>
    <w:rsid w:val="00A43158"/>
    <w:rsid w:val="00A44328"/>
    <w:rsid w:val="00A52061"/>
    <w:rsid w:val="00A55050"/>
    <w:rsid w:val="00A56B98"/>
    <w:rsid w:val="00A57C14"/>
    <w:rsid w:val="00A62249"/>
    <w:rsid w:val="00A64937"/>
    <w:rsid w:val="00A65BD8"/>
    <w:rsid w:val="00A663B7"/>
    <w:rsid w:val="00A6700D"/>
    <w:rsid w:val="00A701BB"/>
    <w:rsid w:val="00A714B3"/>
    <w:rsid w:val="00A71906"/>
    <w:rsid w:val="00A71A4C"/>
    <w:rsid w:val="00A760B8"/>
    <w:rsid w:val="00A77303"/>
    <w:rsid w:val="00A775CF"/>
    <w:rsid w:val="00A812F8"/>
    <w:rsid w:val="00A81E3E"/>
    <w:rsid w:val="00A84CE6"/>
    <w:rsid w:val="00A85BD6"/>
    <w:rsid w:val="00A92250"/>
    <w:rsid w:val="00A93357"/>
    <w:rsid w:val="00A93C34"/>
    <w:rsid w:val="00A94701"/>
    <w:rsid w:val="00A96C0A"/>
    <w:rsid w:val="00AA7E28"/>
    <w:rsid w:val="00AB1102"/>
    <w:rsid w:val="00AB4EA9"/>
    <w:rsid w:val="00AB5841"/>
    <w:rsid w:val="00AB58FD"/>
    <w:rsid w:val="00AC20CD"/>
    <w:rsid w:val="00AC6D10"/>
    <w:rsid w:val="00AD01B0"/>
    <w:rsid w:val="00AD0821"/>
    <w:rsid w:val="00AD4049"/>
    <w:rsid w:val="00AD48AB"/>
    <w:rsid w:val="00AD4DC2"/>
    <w:rsid w:val="00AD5F37"/>
    <w:rsid w:val="00AD73A9"/>
    <w:rsid w:val="00AD78F1"/>
    <w:rsid w:val="00AE0A74"/>
    <w:rsid w:val="00AE120F"/>
    <w:rsid w:val="00AE2306"/>
    <w:rsid w:val="00AE23E1"/>
    <w:rsid w:val="00AE30D1"/>
    <w:rsid w:val="00AF1048"/>
    <w:rsid w:val="00AF104C"/>
    <w:rsid w:val="00AF1D54"/>
    <w:rsid w:val="00AF3B81"/>
    <w:rsid w:val="00AF4DB3"/>
    <w:rsid w:val="00AF62FA"/>
    <w:rsid w:val="00B020F7"/>
    <w:rsid w:val="00B05DF5"/>
    <w:rsid w:val="00B06045"/>
    <w:rsid w:val="00B0635A"/>
    <w:rsid w:val="00B1038F"/>
    <w:rsid w:val="00B17EDE"/>
    <w:rsid w:val="00B23476"/>
    <w:rsid w:val="00B24E8C"/>
    <w:rsid w:val="00B25F6C"/>
    <w:rsid w:val="00B303CA"/>
    <w:rsid w:val="00B33725"/>
    <w:rsid w:val="00B359CD"/>
    <w:rsid w:val="00B3626F"/>
    <w:rsid w:val="00B378ED"/>
    <w:rsid w:val="00B4047E"/>
    <w:rsid w:val="00B41536"/>
    <w:rsid w:val="00B4729B"/>
    <w:rsid w:val="00B5039D"/>
    <w:rsid w:val="00B503BA"/>
    <w:rsid w:val="00B52EF4"/>
    <w:rsid w:val="00B53525"/>
    <w:rsid w:val="00B556D7"/>
    <w:rsid w:val="00B566B5"/>
    <w:rsid w:val="00B56E35"/>
    <w:rsid w:val="00B63670"/>
    <w:rsid w:val="00B67897"/>
    <w:rsid w:val="00B67C35"/>
    <w:rsid w:val="00B7002A"/>
    <w:rsid w:val="00B720A0"/>
    <w:rsid w:val="00B73AFE"/>
    <w:rsid w:val="00B73C6C"/>
    <w:rsid w:val="00B74D39"/>
    <w:rsid w:val="00B75CF7"/>
    <w:rsid w:val="00B75D7A"/>
    <w:rsid w:val="00B83059"/>
    <w:rsid w:val="00B85465"/>
    <w:rsid w:val="00B85544"/>
    <w:rsid w:val="00B86BAB"/>
    <w:rsid w:val="00B9180A"/>
    <w:rsid w:val="00B93AF5"/>
    <w:rsid w:val="00BA051A"/>
    <w:rsid w:val="00BA0919"/>
    <w:rsid w:val="00BA28FE"/>
    <w:rsid w:val="00BA7F48"/>
    <w:rsid w:val="00BB1905"/>
    <w:rsid w:val="00BB3C14"/>
    <w:rsid w:val="00BB45FC"/>
    <w:rsid w:val="00BB56F4"/>
    <w:rsid w:val="00BC2C5E"/>
    <w:rsid w:val="00BC3C35"/>
    <w:rsid w:val="00BC5CD8"/>
    <w:rsid w:val="00BC6216"/>
    <w:rsid w:val="00BC6386"/>
    <w:rsid w:val="00BC651E"/>
    <w:rsid w:val="00BC7D19"/>
    <w:rsid w:val="00BD0D31"/>
    <w:rsid w:val="00BD1DF9"/>
    <w:rsid w:val="00BD3B60"/>
    <w:rsid w:val="00BD4D1E"/>
    <w:rsid w:val="00BD7144"/>
    <w:rsid w:val="00BD7F70"/>
    <w:rsid w:val="00BE23EF"/>
    <w:rsid w:val="00BE521D"/>
    <w:rsid w:val="00BE54A2"/>
    <w:rsid w:val="00BE7BAC"/>
    <w:rsid w:val="00BF0CAF"/>
    <w:rsid w:val="00C03015"/>
    <w:rsid w:val="00C0358D"/>
    <w:rsid w:val="00C057E6"/>
    <w:rsid w:val="00C066D8"/>
    <w:rsid w:val="00C131C4"/>
    <w:rsid w:val="00C14E79"/>
    <w:rsid w:val="00C15773"/>
    <w:rsid w:val="00C25485"/>
    <w:rsid w:val="00C30525"/>
    <w:rsid w:val="00C30686"/>
    <w:rsid w:val="00C318DD"/>
    <w:rsid w:val="00C31C26"/>
    <w:rsid w:val="00C33567"/>
    <w:rsid w:val="00C35637"/>
    <w:rsid w:val="00C359C3"/>
    <w:rsid w:val="00C35A27"/>
    <w:rsid w:val="00C37F1C"/>
    <w:rsid w:val="00C44DBA"/>
    <w:rsid w:val="00C46566"/>
    <w:rsid w:val="00C471FC"/>
    <w:rsid w:val="00C47B2E"/>
    <w:rsid w:val="00C62FB9"/>
    <w:rsid w:val="00C677D5"/>
    <w:rsid w:val="00C7110E"/>
    <w:rsid w:val="00C7323C"/>
    <w:rsid w:val="00C73E10"/>
    <w:rsid w:val="00C74381"/>
    <w:rsid w:val="00C76069"/>
    <w:rsid w:val="00C77BC5"/>
    <w:rsid w:val="00C80293"/>
    <w:rsid w:val="00C83CFA"/>
    <w:rsid w:val="00C86127"/>
    <w:rsid w:val="00C86CB7"/>
    <w:rsid w:val="00C879CD"/>
    <w:rsid w:val="00C96C65"/>
    <w:rsid w:val="00CA1B04"/>
    <w:rsid w:val="00CA28CC"/>
    <w:rsid w:val="00CB0DC0"/>
    <w:rsid w:val="00CB1143"/>
    <w:rsid w:val="00CB1C4A"/>
    <w:rsid w:val="00CB29F7"/>
    <w:rsid w:val="00CB2FC7"/>
    <w:rsid w:val="00CB3415"/>
    <w:rsid w:val="00CB436A"/>
    <w:rsid w:val="00CB5BF8"/>
    <w:rsid w:val="00CB6A91"/>
    <w:rsid w:val="00CB7486"/>
    <w:rsid w:val="00CB7508"/>
    <w:rsid w:val="00CC023B"/>
    <w:rsid w:val="00CC72FC"/>
    <w:rsid w:val="00CC74AF"/>
    <w:rsid w:val="00CD2E17"/>
    <w:rsid w:val="00CD2F9A"/>
    <w:rsid w:val="00CD3604"/>
    <w:rsid w:val="00CD5366"/>
    <w:rsid w:val="00CD5C30"/>
    <w:rsid w:val="00CD6ABF"/>
    <w:rsid w:val="00CD7806"/>
    <w:rsid w:val="00CE1DD9"/>
    <w:rsid w:val="00CE4567"/>
    <w:rsid w:val="00CE4D8A"/>
    <w:rsid w:val="00CF06F1"/>
    <w:rsid w:val="00D00453"/>
    <w:rsid w:val="00D05EBC"/>
    <w:rsid w:val="00D136D7"/>
    <w:rsid w:val="00D14100"/>
    <w:rsid w:val="00D14925"/>
    <w:rsid w:val="00D1578F"/>
    <w:rsid w:val="00D173BB"/>
    <w:rsid w:val="00D20F9F"/>
    <w:rsid w:val="00D219B4"/>
    <w:rsid w:val="00D22E4D"/>
    <w:rsid w:val="00D26EB5"/>
    <w:rsid w:val="00D315A9"/>
    <w:rsid w:val="00D3544F"/>
    <w:rsid w:val="00D3598F"/>
    <w:rsid w:val="00D36512"/>
    <w:rsid w:val="00D3719F"/>
    <w:rsid w:val="00D515D9"/>
    <w:rsid w:val="00D5249C"/>
    <w:rsid w:val="00D55E1D"/>
    <w:rsid w:val="00D56F61"/>
    <w:rsid w:val="00D5790E"/>
    <w:rsid w:val="00D57A23"/>
    <w:rsid w:val="00D57F38"/>
    <w:rsid w:val="00D639F3"/>
    <w:rsid w:val="00D669F6"/>
    <w:rsid w:val="00D73121"/>
    <w:rsid w:val="00D74ADA"/>
    <w:rsid w:val="00D7519F"/>
    <w:rsid w:val="00D8154A"/>
    <w:rsid w:val="00D818AE"/>
    <w:rsid w:val="00D844D2"/>
    <w:rsid w:val="00D869BE"/>
    <w:rsid w:val="00D876F4"/>
    <w:rsid w:val="00D927D2"/>
    <w:rsid w:val="00D93150"/>
    <w:rsid w:val="00D97220"/>
    <w:rsid w:val="00D9768F"/>
    <w:rsid w:val="00D97870"/>
    <w:rsid w:val="00DA6DDD"/>
    <w:rsid w:val="00DB0F92"/>
    <w:rsid w:val="00DB16B8"/>
    <w:rsid w:val="00DB1FA5"/>
    <w:rsid w:val="00DB29FA"/>
    <w:rsid w:val="00DC1F58"/>
    <w:rsid w:val="00DC456D"/>
    <w:rsid w:val="00DC6122"/>
    <w:rsid w:val="00DC642C"/>
    <w:rsid w:val="00DC6CA1"/>
    <w:rsid w:val="00DC712A"/>
    <w:rsid w:val="00DD0B0C"/>
    <w:rsid w:val="00DD2E41"/>
    <w:rsid w:val="00DD53E7"/>
    <w:rsid w:val="00DD7BFA"/>
    <w:rsid w:val="00DE5C96"/>
    <w:rsid w:val="00DE6DB0"/>
    <w:rsid w:val="00DE6E1B"/>
    <w:rsid w:val="00DF0A07"/>
    <w:rsid w:val="00DF31A0"/>
    <w:rsid w:val="00DF3B47"/>
    <w:rsid w:val="00DF4634"/>
    <w:rsid w:val="00DF4ABE"/>
    <w:rsid w:val="00DF6D0E"/>
    <w:rsid w:val="00E014B3"/>
    <w:rsid w:val="00E02C2B"/>
    <w:rsid w:val="00E14A34"/>
    <w:rsid w:val="00E1615A"/>
    <w:rsid w:val="00E17EAC"/>
    <w:rsid w:val="00E204C4"/>
    <w:rsid w:val="00E22339"/>
    <w:rsid w:val="00E325DF"/>
    <w:rsid w:val="00E32DB3"/>
    <w:rsid w:val="00E36045"/>
    <w:rsid w:val="00E3622A"/>
    <w:rsid w:val="00E37897"/>
    <w:rsid w:val="00E4010F"/>
    <w:rsid w:val="00E41413"/>
    <w:rsid w:val="00E41FF1"/>
    <w:rsid w:val="00E427A5"/>
    <w:rsid w:val="00E45B2D"/>
    <w:rsid w:val="00E460AF"/>
    <w:rsid w:val="00E5011A"/>
    <w:rsid w:val="00E51D2C"/>
    <w:rsid w:val="00E52109"/>
    <w:rsid w:val="00E5402A"/>
    <w:rsid w:val="00E56A39"/>
    <w:rsid w:val="00E6173A"/>
    <w:rsid w:val="00E61DC4"/>
    <w:rsid w:val="00E677E3"/>
    <w:rsid w:val="00E716F0"/>
    <w:rsid w:val="00E73195"/>
    <w:rsid w:val="00E73912"/>
    <w:rsid w:val="00E74BB7"/>
    <w:rsid w:val="00E75317"/>
    <w:rsid w:val="00E76668"/>
    <w:rsid w:val="00E838E1"/>
    <w:rsid w:val="00E85B9D"/>
    <w:rsid w:val="00E868CD"/>
    <w:rsid w:val="00E91648"/>
    <w:rsid w:val="00E91F26"/>
    <w:rsid w:val="00E921A3"/>
    <w:rsid w:val="00E93256"/>
    <w:rsid w:val="00E96CF4"/>
    <w:rsid w:val="00E96FD6"/>
    <w:rsid w:val="00E978FE"/>
    <w:rsid w:val="00EA0676"/>
    <w:rsid w:val="00EA07D4"/>
    <w:rsid w:val="00EA3282"/>
    <w:rsid w:val="00EA5144"/>
    <w:rsid w:val="00EB3D42"/>
    <w:rsid w:val="00EC102C"/>
    <w:rsid w:val="00EC2011"/>
    <w:rsid w:val="00ED0ABF"/>
    <w:rsid w:val="00ED34E2"/>
    <w:rsid w:val="00ED6C48"/>
    <w:rsid w:val="00EE0C5B"/>
    <w:rsid w:val="00EE3042"/>
    <w:rsid w:val="00EE338F"/>
    <w:rsid w:val="00EE340F"/>
    <w:rsid w:val="00EE3CD7"/>
    <w:rsid w:val="00EF2DF0"/>
    <w:rsid w:val="00EF53AB"/>
    <w:rsid w:val="00F03D1C"/>
    <w:rsid w:val="00F05F22"/>
    <w:rsid w:val="00F124CE"/>
    <w:rsid w:val="00F143A3"/>
    <w:rsid w:val="00F20970"/>
    <w:rsid w:val="00F20A94"/>
    <w:rsid w:val="00F25057"/>
    <w:rsid w:val="00F26F91"/>
    <w:rsid w:val="00F2796A"/>
    <w:rsid w:val="00F303CA"/>
    <w:rsid w:val="00F3515A"/>
    <w:rsid w:val="00F371BE"/>
    <w:rsid w:val="00F40432"/>
    <w:rsid w:val="00F41F7C"/>
    <w:rsid w:val="00F43C3C"/>
    <w:rsid w:val="00F445CD"/>
    <w:rsid w:val="00F46F5C"/>
    <w:rsid w:val="00F5096A"/>
    <w:rsid w:val="00F50FFC"/>
    <w:rsid w:val="00F534A9"/>
    <w:rsid w:val="00F53E95"/>
    <w:rsid w:val="00F61A75"/>
    <w:rsid w:val="00F63E36"/>
    <w:rsid w:val="00F641ED"/>
    <w:rsid w:val="00F65451"/>
    <w:rsid w:val="00F65F5D"/>
    <w:rsid w:val="00F662C3"/>
    <w:rsid w:val="00F67FC6"/>
    <w:rsid w:val="00F70ADA"/>
    <w:rsid w:val="00F71CF4"/>
    <w:rsid w:val="00F72C11"/>
    <w:rsid w:val="00F74372"/>
    <w:rsid w:val="00F80FD4"/>
    <w:rsid w:val="00F81553"/>
    <w:rsid w:val="00F81E6F"/>
    <w:rsid w:val="00F8584E"/>
    <w:rsid w:val="00F859E7"/>
    <w:rsid w:val="00F862D5"/>
    <w:rsid w:val="00F869BB"/>
    <w:rsid w:val="00F86A3A"/>
    <w:rsid w:val="00F87CDA"/>
    <w:rsid w:val="00F92F9A"/>
    <w:rsid w:val="00F9506B"/>
    <w:rsid w:val="00F9628C"/>
    <w:rsid w:val="00FA0565"/>
    <w:rsid w:val="00FA09AB"/>
    <w:rsid w:val="00FA253E"/>
    <w:rsid w:val="00FA5016"/>
    <w:rsid w:val="00FB09C8"/>
    <w:rsid w:val="00FB2BA7"/>
    <w:rsid w:val="00FC00E5"/>
    <w:rsid w:val="00FC0B1C"/>
    <w:rsid w:val="00FC73D9"/>
    <w:rsid w:val="00FD1022"/>
    <w:rsid w:val="00FD1E6F"/>
    <w:rsid w:val="00FD1F8D"/>
    <w:rsid w:val="00FD24BE"/>
    <w:rsid w:val="00FD263E"/>
    <w:rsid w:val="00FD6708"/>
    <w:rsid w:val="00FE0215"/>
    <w:rsid w:val="00FE1BC5"/>
    <w:rsid w:val="00FE1D4F"/>
    <w:rsid w:val="00FE2048"/>
    <w:rsid w:val="00FE3CB0"/>
    <w:rsid w:val="00FF0393"/>
    <w:rsid w:val="00FF04F4"/>
    <w:rsid w:val="00FF081B"/>
    <w:rsid w:val="00FF7035"/>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FDF35"/>
  <w15:docId w15:val="{A856FC3F-8591-4080-8CC4-2ED20C57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525"/>
    <w:pPr>
      <w:spacing w:after="0" w:line="240" w:lineRule="auto"/>
    </w:pPr>
    <w:rPr>
      <w:rFonts w:ascii="Times New Roman" w:eastAsia="Times New Roman" w:hAnsi="Times New Roman" w:cs="Times New Roman"/>
      <w:sz w:val="24"/>
      <w:szCs w:val="24"/>
      <w:lang w:val="en-US" w:eastAsia="en-GB"/>
    </w:rPr>
  </w:style>
  <w:style w:type="paragraph" w:styleId="Heading1">
    <w:name w:val="heading 1"/>
    <w:aliases w:val="Table_G"/>
    <w:basedOn w:val="SingleTxtG"/>
    <w:next w:val="SingleTxtG"/>
    <w:link w:val="Heading1Char"/>
    <w:qFormat/>
    <w:rsid w:val="004A2814"/>
    <w:pPr>
      <w:spacing w:after="0"/>
      <w:ind w:right="0"/>
      <w:jc w:val="left"/>
      <w:outlineLvl w:val="0"/>
    </w:pPr>
  </w:style>
  <w:style w:type="paragraph" w:styleId="Heading2">
    <w:name w:val="heading 2"/>
    <w:basedOn w:val="Normal"/>
    <w:next w:val="Normal"/>
    <w:link w:val="Heading2Char"/>
    <w:uiPriority w:val="9"/>
    <w:semiHidden/>
    <w:qFormat/>
    <w:rsid w:val="004A2814"/>
    <w:pPr>
      <w:outlineLvl w:val="1"/>
    </w:pPr>
  </w:style>
  <w:style w:type="paragraph" w:styleId="Heading3">
    <w:name w:val="heading 3"/>
    <w:basedOn w:val="Normal"/>
    <w:next w:val="Normal"/>
    <w:link w:val="Heading3Char"/>
    <w:semiHidden/>
    <w:rsid w:val="004A2814"/>
    <w:pPr>
      <w:outlineLvl w:val="2"/>
    </w:pPr>
  </w:style>
  <w:style w:type="paragraph" w:styleId="Heading4">
    <w:name w:val="heading 4"/>
    <w:basedOn w:val="Normal"/>
    <w:next w:val="Normal"/>
    <w:link w:val="Heading4Char"/>
    <w:semiHidden/>
    <w:rsid w:val="004A2814"/>
    <w:pPr>
      <w:outlineLvl w:val="3"/>
    </w:pPr>
  </w:style>
  <w:style w:type="paragraph" w:styleId="Heading5">
    <w:name w:val="heading 5"/>
    <w:basedOn w:val="Normal"/>
    <w:next w:val="Normal"/>
    <w:link w:val="Heading5Char"/>
    <w:semiHidden/>
    <w:rsid w:val="004A2814"/>
    <w:pPr>
      <w:outlineLvl w:val="4"/>
    </w:pPr>
  </w:style>
  <w:style w:type="paragraph" w:styleId="Heading6">
    <w:name w:val="heading 6"/>
    <w:basedOn w:val="Normal"/>
    <w:next w:val="Normal"/>
    <w:link w:val="Heading6Char"/>
    <w:semiHidden/>
    <w:rsid w:val="004A2814"/>
    <w:pPr>
      <w:outlineLvl w:val="5"/>
    </w:pPr>
  </w:style>
  <w:style w:type="paragraph" w:styleId="Heading7">
    <w:name w:val="heading 7"/>
    <w:basedOn w:val="Normal"/>
    <w:next w:val="Normal"/>
    <w:link w:val="Heading7Char"/>
    <w:semiHidden/>
    <w:rsid w:val="004A2814"/>
    <w:pPr>
      <w:outlineLvl w:val="6"/>
    </w:pPr>
  </w:style>
  <w:style w:type="paragraph" w:styleId="Heading8">
    <w:name w:val="heading 8"/>
    <w:basedOn w:val="Normal"/>
    <w:next w:val="Normal"/>
    <w:link w:val="Heading8Char"/>
    <w:semiHidden/>
    <w:rsid w:val="004A2814"/>
    <w:pPr>
      <w:outlineLvl w:val="7"/>
    </w:pPr>
  </w:style>
  <w:style w:type="paragraph" w:styleId="Heading9">
    <w:name w:val="heading 9"/>
    <w:basedOn w:val="Normal"/>
    <w:next w:val="Normal"/>
    <w:link w:val="Heading9Char"/>
    <w:semiHidden/>
    <w:rsid w:val="004A281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4A2814"/>
    <w:pPr>
      <w:pBdr>
        <w:bottom w:val="single" w:sz="4" w:space="4" w:color="auto"/>
      </w:pBdr>
    </w:pPr>
    <w:rPr>
      <w:b/>
      <w:sz w:val="18"/>
    </w:rPr>
  </w:style>
  <w:style w:type="character" w:customStyle="1" w:styleId="HeaderChar">
    <w:name w:val="Header Char"/>
    <w:aliases w:val="6_G Char"/>
    <w:basedOn w:val="DefaultParagraphFont"/>
    <w:link w:val="Header"/>
    <w:uiPriority w:val="99"/>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uiPriority w:val="99"/>
    <w:qFormat/>
    <w:rsid w:val="004A2814"/>
    <w:rPr>
      <w:sz w:val="16"/>
    </w:rPr>
  </w:style>
  <w:style w:type="character" w:customStyle="1" w:styleId="FooterChar">
    <w:name w:val="Footer Char"/>
    <w:aliases w:val="3_G Char"/>
    <w:basedOn w:val="DefaultParagraphFont"/>
    <w:link w:val="Footer"/>
    <w:uiPriority w:val="99"/>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uiPriority w:val="99"/>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uiPriority w:val="99"/>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iPriority w:val="99"/>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D14925"/>
    <w:pPr>
      <w:spacing w:after="0" w:line="240" w:lineRule="auto"/>
    </w:pPr>
    <w:rPr>
      <w:rFonts w:ascii="Times New Roman" w:eastAsiaTheme="minorHAnsi" w:hAnsi="Times New Roman" w:cs="Times New Roman"/>
      <w:sz w:val="20"/>
      <w:szCs w:val="20"/>
      <w:lang w:eastAsia="en-US"/>
    </w:rPr>
  </w:style>
  <w:style w:type="character" w:customStyle="1" w:styleId="UnresolvedMention1">
    <w:name w:val="Unresolved Mention1"/>
    <w:basedOn w:val="DefaultParagraphFont"/>
    <w:uiPriority w:val="99"/>
    <w:semiHidden/>
    <w:unhideWhenUsed/>
    <w:rsid w:val="00F26F91"/>
    <w:rPr>
      <w:color w:val="605E5C"/>
      <w:shd w:val="clear" w:color="auto" w:fill="E1DFDD"/>
    </w:rPr>
  </w:style>
  <w:style w:type="character" w:styleId="CommentReference">
    <w:name w:val="annotation reference"/>
    <w:basedOn w:val="DefaultParagraphFont"/>
    <w:uiPriority w:val="99"/>
    <w:semiHidden/>
    <w:unhideWhenUsed/>
    <w:rsid w:val="001E41A2"/>
    <w:rPr>
      <w:sz w:val="16"/>
      <w:szCs w:val="16"/>
    </w:rPr>
  </w:style>
  <w:style w:type="paragraph" w:styleId="CommentText">
    <w:name w:val="annotation text"/>
    <w:basedOn w:val="Normal"/>
    <w:link w:val="CommentTextChar"/>
    <w:uiPriority w:val="99"/>
    <w:unhideWhenUsed/>
    <w:rsid w:val="001E41A2"/>
  </w:style>
  <w:style w:type="character" w:customStyle="1" w:styleId="CommentTextChar">
    <w:name w:val="Comment Text Char"/>
    <w:basedOn w:val="DefaultParagraphFont"/>
    <w:link w:val="CommentText"/>
    <w:uiPriority w:val="99"/>
    <w:rsid w:val="001E41A2"/>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1E41A2"/>
    <w:rPr>
      <w:b/>
      <w:bCs/>
    </w:rPr>
  </w:style>
  <w:style w:type="character" w:customStyle="1" w:styleId="CommentSubjectChar">
    <w:name w:val="Comment Subject Char"/>
    <w:basedOn w:val="CommentTextChar"/>
    <w:link w:val="CommentSubject"/>
    <w:uiPriority w:val="99"/>
    <w:semiHidden/>
    <w:rsid w:val="001E41A2"/>
    <w:rPr>
      <w:rFonts w:ascii="Times New Roman" w:eastAsiaTheme="minorHAnsi" w:hAnsi="Times New Roman" w:cs="Times New Roman"/>
      <w:b/>
      <w:bCs/>
      <w:sz w:val="20"/>
      <w:szCs w:val="20"/>
      <w:lang w:eastAsia="en-US"/>
    </w:rPr>
  </w:style>
  <w:style w:type="paragraph" w:styleId="NormalWeb">
    <w:name w:val="Normal (Web)"/>
    <w:basedOn w:val="Normal"/>
    <w:uiPriority w:val="99"/>
    <w:semiHidden/>
    <w:unhideWhenUsed/>
    <w:rsid w:val="00DB1FA5"/>
  </w:style>
  <w:style w:type="paragraph" w:styleId="ListParagraph">
    <w:name w:val="List Paragraph"/>
    <w:basedOn w:val="Normal"/>
    <w:uiPriority w:val="34"/>
    <w:qFormat/>
    <w:rsid w:val="00D315A9"/>
    <w:pPr>
      <w:ind w:left="720"/>
      <w:contextualSpacing/>
    </w:pPr>
    <w:rPr>
      <w:rFonts w:asciiTheme="minorHAnsi" w:hAnsiTheme="minorHAnsi" w:cstheme="minorBidi"/>
    </w:rPr>
  </w:style>
  <w:style w:type="character" w:customStyle="1" w:styleId="UnresolvedMention2">
    <w:name w:val="Unresolved Mention2"/>
    <w:basedOn w:val="DefaultParagraphFont"/>
    <w:uiPriority w:val="99"/>
    <w:semiHidden/>
    <w:unhideWhenUsed/>
    <w:rsid w:val="007813B0"/>
    <w:rPr>
      <w:color w:val="605E5C"/>
      <w:shd w:val="clear" w:color="auto" w:fill="E1DFDD"/>
    </w:rPr>
  </w:style>
  <w:style w:type="paragraph" w:styleId="Caption">
    <w:name w:val="caption"/>
    <w:basedOn w:val="Normal"/>
    <w:next w:val="Normal"/>
    <w:uiPriority w:val="35"/>
    <w:unhideWhenUsed/>
    <w:qFormat/>
    <w:rsid w:val="00ED34E2"/>
    <w:pPr>
      <w:spacing w:after="200"/>
    </w:pPr>
    <w:rPr>
      <w:i/>
      <w:iCs/>
      <w:color w:val="1F497D" w:themeColor="text2"/>
      <w:sz w:val="18"/>
      <w:szCs w:val="18"/>
    </w:rPr>
  </w:style>
  <w:style w:type="character" w:customStyle="1" w:styleId="SingleTxtGChar">
    <w:name w:val="_ Single Txt_G Char"/>
    <w:link w:val="SingleTxtG"/>
    <w:rsid w:val="00C677D5"/>
    <w:rPr>
      <w:rFonts w:ascii="Times New Roman" w:eastAsiaTheme="minorHAnsi" w:hAnsi="Times New Roman" w:cs="Times New Roman"/>
      <w:sz w:val="20"/>
      <w:szCs w:val="20"/>
      <w:lang w:eastAsia="en-US"/>
    </w:rPr>
  </w:style>
  <w:style w:type="character" w:customStyle="1" w:styleId="NoneB">
    <w:name w:val="None B"/>
    <w:rsid w:val="00C677D5"/>
    <w:rPr>
      <w:lang w:val="en-US"/>
    </w:rPr>
  </w:style>
  <w:style w:type="character" w:customStyle="1" w:styleId="UnresolvedMention">
    <w:name w:val="Unresolved Mention"/>
    <w:basedOn w:val="DefaultParagraphFont"/>
    <w:uiPriority w:val="99"/>
    <w:semiHidden/>
    <w:unhideWhenUsed/>
    <w:rsid w:val="00423304"/>
    <w:rPr>
      <w:color w:val="605E5C"/>
      <w:shd w:val="clear" w:color="auto" w:fill="E1DFDD"/>
    </w:rPr>
  </w:style>
  <w:style w:type="paragraph" w:customStyle="1" w:styleId="SingleTxt">
    <w:name w:val="__Single Txt"/>
    <w:basedOn w:val="Normal"/>
    <w:rsid w:val="0065586E"/>
    <w:pPr>
      <w:numPr>
        <w:numId w:val="7"/>
      </w:num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1267"/>
      <w:jc w:val="both"/>
    </w:pPr>
  </w:style>
  <w:style w:type="character" w:customStyle="1" w:styleId="apple-tab-span">
    <w:name w:val="apple-tab-span"/>
    <w:basedOn w:val="DefaultParagraphFont"/>
    <w:rsid w:val="00554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007">
      <w:bodyDiv w:val="1"/>
      <w:marLeft w:val="0"/>
      <w:marRight w:val="0"/>
      <w:marTop w:val="0"/>
      <w:marBottom w:val="0"/>
      <w:divBdr>
        <w:top w:val="none" w:sz="0" w:space="0" w:color="auto"/>
        <w:left w:val="none" w:sz="0" w:space="0" w:color="auto"/>
        <w:bottom w:val="none" w:sz="0" w:space="0" w:color="auto"/>
        <w:right w:val="none" w:sz="0" w:space="0" w:color="auto"/>
      </w:divBdr>
    </w:div>
    <w:div w:id="132723498">
      <w:bodyDiv w:val="1"/>
      <w:marLeft w:val="0"/>
      <w:marRight w:val="0"/>
      <w:marTop w:val="0"/>
      <w:marBottom w:val="0"/>
      <w:divBdr>
        <w:top w:val="none" w:sz="0" w:space="0" w:color="auto"/>
        <w:left w:val="none" w:sz="0" w:space="0" w:color="auto"/>
        <w:bottom w:val="none" w:sz="0" w:space="0" w:color="auto"/>
        <w:right w:val="none" w:sz="0" w:space="0" w:color="auto"/>
      </w:divBdr>
    </w:div>
    <w:div w:id="176702039">
      <w:bodyDiv w:val="1"/>
      <w:marLeft w:val="0"/>
      <w:marRight w:val="0"/>
      <w:marTop w:val="0"/>
      <w:marBottom w:val="0"/>
      <w:divBdr>
        <w:top w:val="none" w:sz="0" w:space="0" w:color="auto"/>
        <w:left w:val="none" w:sz="0" w:space="0" w:color="auto"/>
        <w:bottom w:val="none" w:sz="0" w:space="0" w:color="auto"/>
        <w:right w:val="none" w:sz="0" w:space="0" w:color="auto"/>
      </w:divBdr>
    </w:div>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286856865">
      <w:bodyDiv w:val="1"/>
      <w:marLeft w:val="0"/>
      <w:marRight w:val="0"/>
      <w:marTop w:val="0"/>
      <w:marBottom w:val="0"/>
      <w:divBdr>
        <w:top w:val="none" w:sz="0" w:space="0" w:color="auto"/>
        <w:left w:val="none" w:sz="0" w:space="0" w:color="auto"/>
        <w:bottom w:val="none" w:sz="0" w:space="0" w:color="auto"/>
        <w:right w:val="none" w:sz="0" w:space="0" w:color="auto"/>
      </w:divBdr>
    </w:div>
    <w:div w:id="510534939">
      <w:bodyDiv w:val="1"/>
      <w:marLeft w:val="0"/>
      <w:marRight w:val="0"/>
      <w:marTop w:val="0"/>
      <w:marBottom w:val="0"/>
      <w:divBdr>
        <w:top w:val="none" w:sz="0" w:space="0" w:color="auto"/>
        <w:left w:val="none" w:sz="0" w:space="0" w:color="auto"/>
        <w:bottom w:val="none" w:sz="0" w:space="0" w:color="auto"/>
        <w:right w:val="none" w:sz="0" w:space="0" w:color="auto"/>
      </w:divBdr>
    </w:div>
    <w:div w:id="588538619">
      <w:bodyDiv w:val="1"/>
      <w:marLeft w:val="0"/>
      <w:marRight w:val="0"/>
      <w:marTop w:val="0"/>
      <w:marBottom w:val="0"/>
      <w:divBdr>
        <w:top w:val="none" w:sz="0" w:space="0" w:color="auto"/>
        <w:left w:val="none" w:sz="0" w:space="0" w:color="auto"/>
        <w:bottom w:val="none" w:sz="0" w:space="0" w:color="auto"/>
        <w:right w:val="none" w:sz="0" w:space="0" w:color="auto"/>
      </w:divBdr>
    </w:div>
    <w:div w:id="602151990">
      <w:bodyDiv w:val="1"/>
      <w:marLeft w:val="0"/>
      <w:marRight w:val="0"/>
      <w:marTop w:val="0"/>
      <w:marBottom w:val="0"/>
      <w:divBdr>
        <w:top w:val="none" w:sz="0" w:space="0" w:color="auto"/>
        <w:left w:val="none" w:sz="0" w:space="0" w:color="auto"/>
        <w:bottom w:val="none" w:sz="0" w:space="0" w:color="auto"/>
        <w:right w:val="none" w:sz="0" w:space="0" w:color="auto"/>
      </w:divBdr>
    </w:div>
    <w:div w:id="767118772">
      <w:bodyDiv w:val="1"/>
      <w:marLeft w:val="0"/>
      <w:marRight w:val="0"/>
      <w:marTop w:val="0"/>
      <w:marBottom w:val="0"/>
      <w:divBdr>
        <w:top w:val="none" w:sz="0" w:space="0" w:color="auto"/>
        <w:left w:val="none" w:sz="0" w:space="0" w:color="auto"/>
        <w:bottom w:val="none" w:sz="0" w:space="0" w:color="auto"/>
        <w:right w:val="none" w:sz="0" w:space="0" w:color="auto"/>
      </w:divBdr>
      <w:divsChild>
        <w:div w:id="1319723459">
          <w:marLeft w:val="0"/>
          <w:marRight w:val="0"/>
          <w:marTop w:val="0"/>
          <w:marBottom w:val="0"/>
          <w:divBdr>
            <w:top w:val="none" w:sz="0" w:space="0" w:color="auto"/>
            <w:left w:val="none" w:sz="0" w:space="0" w:color="auto"/>
            <w:bottom w:val="none" w:sz="0" w:space="0" w:color="auto"/>
            <w:right w:val="none" w:sz="0" w:space="0" w:color="auto"/>
          </w:divBdr>
          <w:divsChild>
            <w:div w:id="118037551">
              <w:marLeft w:val="0"/>
              <w:marRight w:val="0"/>
              <w:marTop w:val="0"/>
              <w:marBottom w:val="0"/>
              <w:divBdr>
                <w:top w:val="none" w:sz="0" w:space="0" w:color="auto"/>
                <w:left w:val="none" w:sz="0" w:space="0" w:color="auto"/>
                <w:bottom w:val="none" w:sz="0" w:space="0" w:color="auto"/>
                <w:right w:val="none" w:sz="0" w:space="0" w:color="auto"/>
              </w:divBdr>
              <w:divsChild>
                <w:div w:id="332533698">
                  <w:marLeft w:val="0"/>
                  <w:marRight w:val="0"/>
                  <w:marTop w:val="0"/>
                  <w:marBottom w:val="0"/>
                  <w:divBdr>
                    <w:top w:val="none" w:sz="0" w:space="0" w:color="auto"/>
                    <w:left w:val="none" w:sz="0" w:space="0" w:color="auto"/>
                    <w:bottom w:val="none" w:sz="0" w:space="0" w:color="auto"/>
                    <w:right w:val="none" w:sz="0" w:space="0" w:color="auto"/>
                  </w:divBdr>
                  <w:divsChild>
                    <w:div w:id="20843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990899">
      <w:bodyDiv w:val="1"/>
      <w:marLeft w:val="0"/>
      <w:marRight w:val="0"/>
      <w:marTop w:val="0"/>
      <w:marBottom w:val="0"/>
      <w:divBdr>
        <w:top w:val="none" w:sz="0" w:space="0" w:color="auto"/>
        <w:left w:val="none" w:sz="0" w:space="0" w:color="auto"/>
        <w:bottom w:val="none" w:sz="0" w:space="0" w:color="auto"/>
        <w:right w:val="none" w:sz="0" w:space="0" w:color="auto"/>
      </w:divBdr>
    </w:div>
    <w:div w:id="1501459987">
      <w:bodyDiv w:val="1"/>
      <w:marLeft w:val="0"/>
      <w:marRight w:val="0"/>
      <w:marTop w:val="0"/>
      <w:marBottom w:val="0"/>
      <w:divBdr>
        <w:top w:val="none" w:sz="0" w:space="0" w:color="auto"/>
        <w:left w:val="none" w:sz="0" w:space="0" w:color="auto"/>
        <w:bottom w:val="none" w:sz="0" w:space="0" w:color="auto"/>
        <w:right w:val="none" w:sz="0" w:space="0" w:color="auto"/>
      </w:divBdr>
      <w:divsChild>
        <w:div w:id="820539636">
          <w:marLeft w:val="0"/>
          <w:marRight w:val="0"/>
          <w:marTop w:val="0"/>
          <w:marBottom w:val="0"/>
          <w:divBdr>
            <w:top w:val="none" w:sz="0" w:space="0" w:color="auto"/>
            <w:left w:val="none" w:sz="0" w:space="0" w:color="auto"/>
            <w:bottom w:val="none" w:sz="0" w:space="0" w:color="auto"/>
            <w:right w:val="none" w:sz="0" w:space="0" w:color="auto"/>
          </w:divBdr>
          <w:divsChild>
            <w:div w:id="662657995">
              <w:marLeft w:val="0"/>
              <w:marRight w:val="0"/>
              <w:marTop w:val="0"/>
              <w:marBottom w:val="0"/>
              <w:divBdr>
                <w:top w:val="none" w:sz="0" w:space="0" w:color="auto"/>
                <w:left w:val="none" w:sz="0" w:space="0" w:color="auto"/>
                <w:bottom w:val="none" w:sz="0" w:space="0" w:color="auto"/>
                <w:right w:val="none" w:sz="0" w:space="0" w:color="auto"/>
              </w:divBdr>
              <w:divsChild>
                <w:div w:id="1957054777">
                  <w:marLeft w:val="0"/>
                  <w:marRight w:val="0"/>
                  <w:marTop w:val="0"/>
                  <w:marBottom w:val="0"/>
                  <w:divBdr>
                    <w:top w:val="none" w:sz="0" w:space="0" w:color="auto"/>
                    <w:left w:val="none" w:sz="0" w:space="0" w:color="auto"/>
                    <w:bottom w:val="none" w:sz="0" w:space="0" w:color="auto"/>
                    <w:right w:val="none" w:sz="0" w:space="0" w:color="auto"/>
                  </w:divBdr>
                  <w:divsChild>
                    <w:div w:id="7853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875022">
      <w:bodyDiv w:val="1"/>
      <w:marLeft w:val="0"/>
      <w:marRight w:val="0"/>
      <w:marTop w:val="0"/>
      <w:marBottom w:val="0"/>
      <w:divBdr>
        <w:top w:val="none" w:sz="0" w:space="0" w:color="auto"/>
        <w:left w:val="none" w:sz="0" w:space="0" w:color="auto"/>
        <w:bottom w:val="none" w:sz="0" w:space="0" w:color="auto"/>
        <w:right w:val="none" w:sz="0" w:space="0" w:color="auto"/>
      </w:divBdr>
    </w:div>
    <w:div w:id="1835148765">
      <w:bodyDiv w:val="1"/>
      <w:marLeft w:val="0"/>
      <w:marRight w:val="0"/>
      <w:marTop w:val="0"/>
      <w:marBottom w:val="0"/>
      <w:divBdr>
        <w:top w:val="none" w:sz="0" w:space="0" w:color="auto"/>
        <w:left w:val="none" w:sz="0" w:space="0" w:color="auto"/>
        <w:bottom w:val="none" w:sz="0" w:space="0" w:color="auto"/>
        <w:right w:val="none" w:sz="0" w:space="0" w:color="auto"/>
      </w:divBdr>
      <w:divsChild>
        <w:div w:id="876357617">
          <w:marLeft w:val="0"/>
          <w:marRight w:val="0"/>
          <w:marTop w:val="120"/>
          <w:marBottom w:val="0"/>
          <w:divBdr>
            <w:top w:val="none" w:sz="0" w:space="0" w:color="auto"/>
            <w:left w:val="none" w:sz="0" w:space="0" w:color="auto"/>
            <w:bottom w:val="none" w:sz="0" w:space="0" w:color="auto"/>
            <w:right w:val="none" w:sz="0" w:space="0" w:color="auto"/>
          </w:divBdr>
          <w:divsChild>
            <w:div w:id="1485463426">
              <w:marLeft w:val="0"/>
              <w:marRight w:val="0"/>
              <w:marTop w:val="0"/>
              <w:marBottom w:val="0"/>
              <w:divBdr>
                <w:top w:val="none" w:sz="0" w:space="0" w:color="auto"/>
                <w:left w:val="none" w:sz="0" w:space="0" w:color="auto"/>
                <w:bottom w:val="none" w:sz="0" w:space="0" w:color="auto"/>
                <w:right w:val="none" w:sz="0" w:space="0" w:color="auto"/>
              </w:divBdr>
            </w:div>
          </w:divsChild>
        </w:div>
        <w:div w:id="373651852">
          <w:marLeft w:val="0"/>
          <w:marRight w:val="0"/>
          <w:marTop w:val="120"/>
          <w:marBottom w:val="0"/>
          <w:divBdr>
            <w:top w:val="none" w:sz="0" w:space="0" w:color="auto"/>
            <w:left w:val="none" w:sz="0" w:space="0" w:color="auto"/>
            <w:bottom w:val="none" w:sz="0" w:space="0" w:color="auto"/>
            <w:right w:val="none" w:sz="0" w:space="0" w:color="auto"/>
          </w:divBdr>
          <w:divsChild>
            <w:div w:id="1240094209">
              <w:marLeft w:val="0"/>
              <w:marRight w:val="0"/>
              <w:marTop w:val="0"/>
              <w:marBottom w:val="0"/>
              <w:divBdr>
                <w:top w:val="none" w:sz="0" w:space="0" w:color="auto"/>
                <w:left w:val="none" w:sz="0" w:space="0" w:color="auto"/>
                <w:bottom w:val="none" w:sz="0" w:space="0" w:color="auto"/>
                <w:right w:val="none" w:sz="0" w:space="0" w:color="auto"/>
              </w:divBdr>
            </w:div>
          </w:divsChild>
        </w:div>
        <w:div w:id="490559376">
          <w:marLeft w:val="0"/>
          <w:marRight w:val="0"/>
          <w:marTop w:val="120"/>
          <w:marBottom w:val="0"/>
          <w:divBdr>
            <w:top w:val="none" w:sz="0" w:space="0" w:color="auto"/>
            <w:left w:val="none" w:sz="0" w:space="0" w:color="auto"/>
            <w:bottom w:val="none" w:sz="0" w:space="0" w:color="auto"/>
            <w:right w:val="none" w:sz="0" w:space="0" w:color="auto"/>
          </w:divBdr>
          <w:divsChild>
            <w:div w:id="594901612">
              <w:marLeft w:val="0"/>
              <w:marRight w:val="0"/>
              <w:marTop w:val="0"/>
              <w:marBottom w:val="0"/>
              <w:divBdr>
                <w:top w:val="none" w:sz="0" w:space="0" w:color="auto"/>
                <w:left w:val="none" w:sz="0" w:space="0" w:color="auto"/>
                <w:bottom w:val="none" w:sz="0" w:space="0" w:color="auto"/>
                <w:right w:val="none" w:sz="0" w:space="0" w:color="auto"/>
              </w:divBdr>
            </w:div>
          </w:divsChild>
        </w:div>
        <w:div w:id="479229812">
          <w:marLeft w:val="0"/>
          <w:marRight w:val="0"/>
          <w:marTop w:val="120"/>
          <w:marBottom w:val="0"/>
          <w:divBdr>
            <w:top w:val="none" w:sz="0" w:space="0" w:color="auto"/>
            <w:left w:val="none" w:sz="0" w:space="0" w:color="auto"/>
            <w:bottom w:val="none" w:sz="0" w:space="0" w:color="auto"/>
            <w:right w:val="none" w:sz="0" w:space="0" w:color="auto"/>
          </w:divBdr>
          <w:divsChild>
            <w:div w:id="1186401572">
              <w:marLeft w:val="0"/>
              <w:marRight w:val="0"/>
              <w:marTop w:val="0"/>
              <w:marBottom w:val="0"/>
              <w:divBdr>
                <w:top w:val="none" w:sz="0" w:space="0" w:color="auto"/>
                <w:left w:val="none" w:sz="0" w:space="0" w:color="auto"/>
                <w:bottom w:val="none" w:sz="0" w:space="0" w:color="auto"/>
                <w:right w:val="none" w:sz="0" w:space="0" w:color="auto"/>
              </w:divBdr>
            </w:div>
          </w:divsChild>
        </w:div>
        <w:div w:id="264920043">
          <w:marLeft w:val="0"/>
          <w:marRight w:val="0"/>
          <w:marTop w:val="120"/>
          <w:marBottom w:val="0"/>
          <w:divBdr>
            <w:top w:val="none" w:sz="0" w:space="0" w:color="auto"/>
            <w:left w:val="none" w:sz="0" w:space="0" w:color="auto"/>
            <w:bottom w:val="none" w:sz="0" w:space="0" w:color="auto"/>
            <w:right w:val="none" w:sz="0" w:space="0" w:color="auto"/>
          </w:divBdr>
          <w:divsChild>
            <w:div w:id="1539776021">
              <w:marLeft w:val="0"/>
              <w:marRight w:val="0"/>
              <w:marTop w:val="0"/>
              <w:marBottom w:val="0"/>
              <w:divBdr>
                <w:top w:val="none" w:sz="0" w:space="0" w:color="auto"/>
                <w:left w:val="none" w:sz="0" w:space="0" w:color="auto"/>
                <w:bottom w:val="none" w:sz="0" w:space="0" w:color="auto"/>
                <w:right w:val="none" w:sz="0" w:space="0" w:color="auto"/>
              </w:divBdr>
            </w:div>
          </w:divsChild>
        </w:div>
        <w:div w:id="1811705044">
          <w:marLeft w:val="0"/>
          <w:marRight w:val="0"/>
          <w:marTop w:val="120"/>
          <w:marBottom w:val="0"/>
          <w:divBdr>
            <w:top w:val="none" w:sz="0" w:space="0" w:color="auto"/>
            <w:left w:val="none" w:sz="0" w:space="0" w:color="auto"/>
            <w:bottom w:val="none" w:sz="0" w:space="0" w:color="auto"/>
            <w:right w:val="none" w:sz="0" w:space="0" w:color="auto"/>
          </w:divBdr>
          <w:divsChild>
            <w:div w:id="1755856172">
              <w:marLeft w:val="0"/>
              <w:marRight w:val="0"/>
              <w:marTop w:val="0"/>
              <w:marBottom w:val="0"/>
              <w:divBdr>
                <w:top w:val="none" w:sz="0" w:space="0" w:color="auto"/>
                <w:left w:val="none" w:sz="0" w:space="0" w:color="auto"/>
                <w:bottom w:val="none" w:sz="0" w:space="0" w:color="auto"/>
                <w:right w:val="none" w:sz="0" w:space="0" w:color="auto"/>
              </w:divBdr>
            </w:div>
          </w:divsChild>
        </w:div>
        <w:div w:id="1898009223">
          <w:marLeft w:val="0"/>
          <w:marRight w:val="0"/>
          <w:marTop w:val="120"/>
          <w:marBottom w:val="0"/>
          <w:divBdr>
            <w:top w:val="none" w:sz="0" w:space="0" w:color="auto"/>
            <w:left w:val="none" w:sz="0" w:space="0" w:color="auto"/>
            <w:bottom w:val="none" w:sz="0" w:space="0" w:color="auto"/>
            <w:right w:val="none" w:sz="0" w:space="0" w:color="auto"/>
          </w:divBdr>
          <w:divsChild>
            <w:div w:id="711542668">
              <w:marLeft w:val="0"/>
              <w:marRight w:val="0"/>
              <w:marTop w:val="0"/>
              <w:marBottom w:val="0"/>
              <w:divBdr>
                <w:top w:val="none" w:sz="0" w:space="0" w:color="auto"/>
                <w:left w:val="none" w:sz="0" w:space="0" w:color="auto"/>
                <w:bottom w:val="none" w:sz="0" w:space="0" w:color="auto"/>
                <w:right w:val="none" w:sz="0" w:space="0" w:color="auto"/>
              </w:divBdr>
            </w:div>
          </w:divsChild>
        </w:div>
        <w:div w:id="1101880193">
          <w:marLeft w:val="0"/>
          <w:marRight w:val="0"/>
          <w:marTop w:val="120"/>
          <w:marBottom w:val="0"/>
          <w:divBdr>
            <w:top w:val="none" w:sz="0" w:space="0" w:color="auto"/>
            <w:left w:val="none" w:sz="0" w:space="0" w:color="auto"/>
            <w:bottom w:val="none" w:sz="0" w:space="0" w:color="auto"/>
            <w:right w:val="none" w:sz="0" w:space="0" w:color="auto"/>
          </w:divBdr>
          <w:divsChild>
            <w:div w:id="933439272">
              <w:marLeft w:val="0"/>
              <w:marRight w:val="0"/>
              <w:marTop w:val="0"/>
              <w:marBottom w:val="0"/>
              <w:divBdr>
                <w:top w:val="none" w:sz="0" w:space="0" w:color="auto"/>
                <w:left w:val="none" w:sz="0" w:space="0" w:color="auto"/>
                <w:bottom w:val="none" w:sz="0" w:space="0" w:color="auto"/>
                <w:right w:val="none" w:sz="0" w:space="0" w:color="auto"/>
              </w:divBdr>
            </w:div>
          </w:divsChild>
        </w:div>
        <w:div w:id="1656568027">
          <w:marLeft w:val="0"/>
          <w:marRight w:val="0"/>
          <w:marTop w:val="120"/>
          <w:marBottom w:val="0"/>
          <w:divBdr>
            <w:top w:val="none" w:sz="0" w:space="0" w:color="auto"/>
            <w:left w:val="none" w:sz="0" w:space="0" w:color="auto"/>
            <w:bottom w:val="none" w:sz="0" w:space="0" w:color="auto"/>
            <w:right w:val="none" w:sz="0" w:space="0" w:color="auto"/>
          </w:divBdr>
          <w:divsChild>
            <w:div w:id="333535905">
              <w:marLeft w:val="0"/>
              <w:marRight w:val="0"/>
              <w:marTop w:val="0"/>
              <w:marBottom w:val="0"/>
              <w:divBdr>
                <w:top w:val="none" w:sz="0" w:space="0" w:color="auto"/>
                <w:left w:val="none" w:sz="0" w:space="0" w:color="auto"/>
                <w:bottom w:val="none" w:sz="0" w:space="0" w:color="auto"/>
                <w:right w:val="none" w:sz="0" w:space="0" w:color="auto"/>
              </w:divBdr>
            </w:div>
          </w:divsChild>
        </w:div>
        <w:div w:id="522325294">
          <w:marLeft w:val="0"/>
          <w:marRight w:val="0"/>
          <w:marTop w:val="120"/>
          <w:marBottom w:val="0"/>
          <w:divBdr>
            <w:top w:val="none" w:sz="0" w:space="0" w:color="auto"/>
            <w:left w:val="none" w:sz="0" w:space="0" w:color="auto"/>
            <w:bottom w:val="none" w:sz="0" w:space="0" w:color="auto"/>
            <w:right w:val="none" w:sz="0" w:space="0" w:color="auto"/>
          </w:divBdr>
          <w:divsChild>
            <w:div w:id="847869247">
              <w:marLeft w:val="0"/>
              <w:marRight w:val="0"/>
              <w:marTop w:val="0"/>
              <w:marBottom w:val="0"/>
              <w:divBdr>
                <w:top w:val="none" w:sz="0" w:space="0" w:color="auto"/>
                <w:left w:val="none" w:sz="0" w:space="0" w:color="auto"/>
                <w:bottom w:val="none" w:sz="0" w:space="0" w:color="auto"/>
                <w:right w:val="none" w:sz="0" w:space="0" w:color="auto"/>
              </w:divBdr>
            </w:div>
          </w:divsChild>
        </w:div>
        <w:div w:id="2113475954">
          <w:marLeft w:val="0"/>
          <w:marRight w:val="0"/>
          <w:marTop w:val="120"/>
          <w:marBottom w:val="0"/>
          <w:divBdr>
            <w:top w:val="none" w:sz="0" w:space="0" w:color="auto"/>
            <w:left w:val="none" w:sz="0" w:space="0" w:color="auto"/>
            <w:bottom w:val="none" w:sz="0" w:space="0" w:color="auto"/>
            <w:right w:val="none" w:sz="0" w:space="0" w:color="auto"/>
          </w:divBdr>
          <w:divsChild>
            <w:div w:id="406729361">
              <w:marLeft w:val="0"/>
              <w:marRight w:val="0"/>
              <w:marTop w:val="0"/>
              <w:marBottom w:val="0"/>
              <w:divBdr>
                <w:top w:val="none" w:sz="0" w:space="0" w:color="auto"/>
                <w:left w:val="none" w:sz="0" w:space="0" w:color="auto"/>
                <w:bottom w:val="none" w:sz="0" w:space="0" w:color="auto"/>
                <w:right w:val="none" w:sz="0" w:space="0" w:color="auto"/>
              </w:divBdr>
            </w:div>
          </w:divsChild>
        </w:div>
        <w:div w:id="85464536">
          <w:marLeft w:val="0"/>
          <w:marRight w:val="0"/>
          <w:marTop w:val="120"/>
          <w:marBottom w:val="0"/>
          <w:divBdr>
            <w:top w:val="none" w:sz="0" w:space="0" w:color="auto"/>
            <w:left w:val="none" w:sz="0" w:space="0" w:color="auto"/>
            <w:bottom w:val="none" w:sz="0" w:space="0" w:color="auto"/>
            <w:right w:val="none" w:sz="0" w:space="0" w:color="auto"/>
          </w:divBdr>
          <w:divsChild>
            <w:div w:id="1230386303">
              <w:marLeft w:val="0"/>
              <w:marRight w:val="0"/>
              <w:marTop w:val="0"/>
              <w:marBottom w:val="0"/>
              <w:divBdr>
                <w:top w:val="none" w:sz="0" w:space="0" w:color="auto"/>
                <w:left w:val="none" w:sz="0" w:space="0" w:color="auto"/>
                <w:bottom w:val="none" w:sz="0" w:space="0" w:color="auto"/>
                <w:right w:val="none" w:sz="0" w:space="0" w:color="auto"/>
              </w:divBdr>
            </w:div>
          </w:divsChild>
        </w:div>
        <w:div w:id="494031687">
          <w:marLeft w:val="0"/>
          <w:marRight w:val="0"/>
          <w:marTop w:val="120"/>
          <w:marBottom w:val="0"/>
          <w:divBdr>
            <w:top w:val="none" w:sz="0" w:space="0" w:color="auto"/>
            <w:left w:val="none" w:sz="0" w:space="0" w:color="auto"/>
            <w:bottom w:val="none" w:sz="0" w:space="0" w:color="auto"/>
            <w:right w:val="none" w:sz="0" w:space="0" w:color="auto"/>
          </w:divBdr>
          <w:divsChild>
            <w:div w:id="109128170">
              <w:marLeft w:val="0"/>
              <w:marRight w:val="0"/>
              <w:marTop w:val="0"/>
              <w:marBottom w:val="0"/>
              <w:divBdr>
                <w:top w:val="none" w:sz="0" w:space="0" w:color="auto"/>
                <w:left w:val="none" w:sz="0" w:space="0" w:color="auto"/>
                <w:bottom w:val="none" w:sz="0" w:space="0" w:color="auto"/>
                <w:right w:val="none" w:sz="0" w:space="0" w:color="auto"/>
              </w:divBdr>
            </w:div>
          </w:divsChild>
        </w:div>
        <w:div w:id="944266573">
          <w:marLeft w:val="0"/>
          <w:marRight w:val="0"/>
          <w:marTop w:val="120"/>
          <w:marBottom w:val="0"/>
          <w:divBdr>
            <w:top w:val="none" w:sz="0" w:space="0" w:color="auto"/>
            <w:left w:val="none" w:sz="0" w:space="0" w:color="auto"/>
            <w:bottom w:val="none" w:sz="0" w:space="0" w:color="auto"/>
            <w:right w:val="none" w:sz="0" w:space="0" w:color="auto"/>
          </w:divBdr>
          <w:divsChild>
            <w:div w:id="1914775863">
              <w:marLeft w:val="0"/>
              <w:marRight w:val="0"/>
              <w:marTop w:val="0"/>
              <w:marBottom w:val="0"/>
              <w:divBdr>
                <w:top w:val="none" w:sz="0" w:space="0" w:color="auto"/>
                <w:left w:val="none" w:sz="0" w:space="0" w:color="auto"/>
                <w:bottom w:val="none" w:sz="0" w:space="0" w:color="auto"/>
                <w:right w:val="none" w:sz="0" w:space="0" w:color="auto"/>
              </w:divBdr>
            </w:div>
          </w:divsChild>
        </w:div>
        <w:div w:id="1072041086">
          <w:marLeft w:val="0"/>
          <w:marRight w:val="0"/>
          <w:marTop w:val="120"/>
          <w:marBottom w:val="0"/>
          <w:divBdr>
            <w:top w:val="none" w:sz="0" w:space="0" w:color="auto"/>
            <w:left w:val="none" w:sz="0" w:space="0" w:color="auto"/>
            <w:bottom w:val="none" w:sz="0" w:space="0" w:color="auto"/>
            <w:right w:val="none" w:sz="0" w:space="0" w:color="auto"/>
          </w:divBdr>
          <w:divsChild>
            <w:div w:id="2060782981">
              <w:marLeft w:val="0"/>
              <w:marRight w:val="0"/>
              <w:marTop w:val="0"/>
              <w:marBottom w:val="0"/>
              <w:divBdr>
                <w:top w:val="none" w:sz="0" w:space="0" w:color="auto"/>
                <w:left w:val="none" w:sz="0" w:space="0" w:color="auto"/>
                <w:bottom w:val="none" w:sz="0" w:space="0" w:color="auto"/>
                <w:right w:val="none" w:sz="0" w:space="0" w:color="auto"/>
              </w:divBdr>
            </w:div>
          </w:divsChild>
        </w:div>
        <w:div w:id="55789522">
          <w:marLeft w:val="0"/>
          <w:marRight w:val="0"/>
          <w:marTop w:val="120"/>
          <w:marBottom w:val="0"/>
          <w:divBdr>
            <w:top w:val="none" w:sz="0" w:space="0" w:color="auto"/>
            <w:left w:val="none" w:sz="0" w:space="0" w:color="auto"/>
            <w:bottom w:val="none" w:sz="0" w:space="0" w:color="auto"/>
            <w:right w:val="none" w:sz="0" w:space="0" w:color="auto"/>
          </w:divBdr>
          <w:divsChild>
            <w:div w:id="11119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inequality.cornell.edu/news/research-portal-presents-link-between-discrimination-and-health-harms-lgbt-population" TargetMode="External"/><Relationship Id="rId13" Type="http://schemas.openxmlformats.org/officeDocument/2006/relationships/hyperlink" Target="https://www.hrw.org/news/2022/04/29/inadequate-kenyan-police-response-brutal-killing-non-binary-lesbian" TargetMode="External"/><Relationship Id="rId18" Type="http://schemas.openxmlformats.org/officeDocument/2006/relationships/hyperlink" Target="https://www.unaids.org/sites/default/files/media_asset/2020_global-aids-report_en.pdf" TargetMode="External"/><Relationship Id="rId26" Type="http://schemas.openxmlformats.org/officeDocument/2006/relationships/hyperlink" Target="https://www.stonewall.org.uk/system/files/sdg-guide.pdf" TargetMode="External"/><Relationship Id="rId3" Type="http://schemas.openxmlformats.org/officeDocument/2006/relationships/hyperlink" Target="https://www.who.int/health-topics/health-equity" TargetMode="External"/><Relationship Id="rId21" Type="http://schemas.openxmlformats.org/officeDocument/2006/relationships/hyperlink" Target="https://www.who.int/data/gho/data/major-themes/universal-health-coverage-major" TargetMode="External"/><Relationship Id="rId34" Type="http://schemas.openxmlformats.org/officeDocument/2006/relationships/hyperlink" Target="https://www.hhrjournal.org/2020/04/the-evolution-of-the-right-to-health-in-the-shadow-of-covid-19/" TargetMode="External"/><Relationship Id="rId7" Type="http://schemas.openxmlformats.org/officeDocument/2006/relationships/hyperlink" Target="https://www.gab-shw.org/our-work/working-definition-of-sexual-pleasure/" TargetMode="External"/><Relationship Id="rId12" Type="http://schemas.openxmlformats.org/officeDocument/2006/relationships/hyperlink" Target="https://www.hopkinsmedicine.org/health/wellness-and-prevention/lesbian-and-bisexual-womens-health-issues" TargetMode="External"/><Relationship Id="rId17" Type="http://schemas.openxmlformats.org/officeDocument/2006/relationships/hyperlink" Target="https://www.unaids.org/sites/default/files/media_asset/JC2322_BackgroundCurrent" TargetMode="External"/><Relationship Id="rId25" Type="http://schemas.openxmlformats.org/officeDocument/2006/relationships/hyperlink" Target="https://www.ohchr.org/en/statements/2022/03/defenders-human-rights-lgbt-persons-constantly-risk-warn-un-experts" TargetMode="External"/><Relationship Id="rId33" Type="http://schemas.openxmlformats.org/officeDocument/2006/relationships/hyperlink" Target="https://www.ohchr.org/sites/default/files/RGuide_HealthPolicyMakers.pdf" TargetMode="External"/><Relationship Id="rId2" Type="http://schemas.openxmlformats.org/officeDocument/2006/relationships/hyperlink" Target="https://www.ohchr.org/Documents/Publications/Factsheet31.pdf" TargetMode="External"/><Relationship Id="rId16" Type="http://schemas.openxmlformats.org/officeDocument/2006/relationships/hyperlink" Target="https://www.ohchr.org/sites/default/files/Documents/Issues/Discrimination/LGBT/BackgroundNoteHumanRightsViolationsagainstIntersexPeople.pdf" TargetMode="External"/><Relationship Id="rId20" Type="http://schemas.openxmlformats.org/officeDocument/2006/relationships/hyperlink" Target="https://www.unaids.org/sites/default/files/media_asset/201405_sterilization_en.pdf" TargetMode="External"/><Relationship Id="rId29" Type="http://schemas.openxmlformats.org/officeDocument/2006/relationships/hyperlink" Target="file:///C:\Users\Youcef.Seridj\AppData\Local\Microsoft\Windows\INetCache\Content.Outlook\19EDOY93\;%20https:\mpactglobal.org\wp-content\uploads\2021\03\How-to-Engage-With-the-2030-Agenda-on-LGBTI-Issues.pdf" TargetMode="External"/><Relationship Id="rId1" Type="http://schemas.openxmlformats.org/officeDocument/2006/relationships/hyperlink" Target="https://www.ohchr.org/sites/default/files/Documents/Issues/Discrimination/LGBT/B" TargetMode="External"/><Relationship Id="rId6" Type="http://schemas.openxmlformats.org/officeDocument/2006/relationships/hyperlink" Target="https://pubmed.ncbi.nlm.nih.gov/30568414/" TargetMode="External"/><Relationship Id="rId11" Type="http://schemas.openxmlformats.org/officeDocument/2006/relationships/hyperlink" Target="http://www.cnki.com.cn/Article/CJFDTotal-XYZL201710051.htm" TargetMode="External"/><Relationship Id="rId24" Type="http://schemas.openxmlformats.org/officeDocument/2006/relationships/hyperlink" Target="https://www.rfsl.se/wp-content/uploads/2019/04/FINAL_FORALL_RFSL_2019.pdf" TargetMode="External"/><Relationship Id="rId32" Type="http://schemas.openxmlformats.org/officeDocument/2006/relationships/hyperlink" Target="https://www.lgbtqwomensurvey.org/" TargetMode="External"/><Relationship Id="rId5" Type="http://schemas.openxmlformats.org/officeDocument/2006/relationships/hyperlink" Target="https://www.ohchr.org/en/press-releases/2021/06/preliminary-observations-visit-tunisia-independent-expert-protection-against?LangID=E&amp;NewsID=27174" TargetMode="External"/><Relationship Id="rId15" Type="http://schemas.openxmlformats.org/officeDocument/2006/relationships/hyperlink" Target="https://transrespect.org/en/map/trans-murder-monitoring/" TargetMode="External"/><Relationship Id="rId23" Type="http://schemas.openxmlformats.org/officeDocument/2006/relationships/hyperlink" Target="https://cdn.who.int/media/docs/default-source/hq-hiv-hepatitis-and-stis-library/full-final-who-ghss-hiv-vh-sti_1-june2022.pdf?sfvrsn=7c074b36_9" TargetMode="External"/><Relationship Id="rId28" Type="http://schemas.openxmlformats.org/officeDocument/2006/relationships/hyperlink" Target="https://www.humanrights.dk/sites/humanrights.dk/files/media/document/Leveraging%20Human%20Rights_ENG_web.pdf" TargetMode="External"/><Relationship Id="rId10" Type="http://schemas.openxmlformats.org/officeDocument/2006/relationships/hyperlink" Target="https://www.who.int/publications/i/item/9789241564984" TargetMode="External"/><Relationship Id="rId19" Type="http://schemas.openxmlformats.org/officeDocument/2006/relationships/hyperlink" Target="https://ilga.org/downloads/ILGA_World_Trans_Legal_Mapping_Report_2019_EN.pdf" TargetMode="External"/><Relationship Id="rId31" Type="http://schemas.openxmlformats.org/officeDocument/2006/relationships/hyperlink" Target="file:///C:\Users\manon.beury\AppData\Local\Microsoft\Windows\INetCache\Content.Outlook\LSMA8A6N\%09%09https:\www.unaids.org\en\resources\documents\2021\2021-2026-global-AIDS-strategy" TargetMode="External"/><Relationship Id="rId4" Type="http://schemas.openxmlformats.org/officeDocument/2006/relationships/hyperlink" Target="https://www.ohchr.org/en/press-releases/2021/06/preliminary-observations-visit-tunisia-independent-expert-protection-against?LangID=E&amp;NewsID=27174" TargetMode="External"/><Relationship Id="rId9" Type="http://schemas.openxmlformats.org/officeDocument/2006/relationships/hyperlink" Target="https://aidsinfo.unaids.org" TargetMode="External"/><Relationship Id="rId14" Type="http://schemas.openxmlformats.org/officeDocument/2006/relationships/hyperlink" Target="https://www.hrw.org/news/2018/07/23/us-lgbt-people-face-healthcare-barriers" TargetMode="External"/><Relationship Id="rId22" Type="http://schemas.openxmlformats.org/officeDocument/2006/relationships/hyperlink" Target="https://www.unwomen.org/en/digital-library/publications/2021/09/progress-on-the-sustainable-development-goals-the-gender-snapshot-2021" TargetMode="External"/><Relationship Id="rId27" Type="http://schemas.openxmlformats.org/officeDocument/2006/relationships/hyperlink" Target="https://outrightinternational.org/sites/default/files/UNCoreGroup.pdf" TargetMode="External"/><Relationship Id="rId30" Type="http://schemas.openxmlformats.org/officeDocument/2006/relationships/hyperlink" Target="https://www.undp.org/publications/lgbti-index" TargetMode="External"/><Relationship Id="rId35" Type="http://schemas.openxmlformats.org/officeDocument/2006/relationships/hyperlink" Target="https://www.ohchr.org/sites/default/files/IESOGIASPIREGuidelinesReport_v5_202006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42F048F6452148A50C1FA94B1DDBE8" ma:contentTypeVersion="4" ma:contentTypeDescription="Create a new document." ma:contentTypeScope="" ma:versionID="f65758d9bf1cfb0ef583e8a530725453">
  <xsd:schema xmlns:xsd="http://www.w3.org/2001/XMLSchema" xmlns:xs="http://www.w3.org/2001/XMLSchema" xmlns:p="http://schemas.microsoft.com/office/2006/metadata/properties" xmlns:ns2="6c33773d-66ed-4bf1-ab60-0ae20b1c302d" targetNamespace="http://schemas.microsoft.com/office/2006/metadata/properties" ma:root="true" ma:fieldsID="910f7b8924447a374e31b883ac5d0d60" ns2:_="">
    <xsd:import namespace="6c33773d-66ed-4bf1-ab60-0ae20b1c30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3773d-66ed-4bf1-ab60-0ae20b1c3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F67E7-1CB1-474F-8020-C9172D34CF2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c33773d-66ed-4bf1-ab60-0ae20b1c302d"/>
    <ds:schemaRef ds:uri="http://www.w3.org/XML/1998/namespace"/>
  </ds:schemaRefs>
</ds:datastoreItem>
</file>

<file path=customXml/itemProps2.xml><?xml version="1.0" encoding="utf-8"?>
<ds:datastoreItem xmlns:ds="http://schemas.openxmlformats.org/officeDocument/2006/customXml" ds:itemID="{6D7CFC3E-67B7-4B9F-BC89-FD765587B720}">
  <ds:schemaRefs>
    <ds:schemaRef ds:uri="http://schemas.microsoft.com/sharepoint/v3/contenttype/forms"/>
  </ds:schemaRefs>
</ds:datastoreItem>
</file>

<file path=customXml/itemProps3.xml><?xml version="1.0" encoding="utf-8"?>
<ds:datastoreItem xmlns:ds="http://schemas.openxmlformats.org/officeDocument/2006/customXml" ds:itemID="{65B066BE-1788-4A4F-8302-99AF0F7B9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3773d-66ed-4bf1-ab60-0ae20b1c3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0DCD7A-4AC3-4A7F-BBE0-EC6F011C1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10289</Words>
  <Characters>58653</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A/HRC/47/26</vt:lpstr>
    </vt:vector>
  </TitlesOfParts>
  <Company>DCM</Company>
  <LinksUpToDate>false</LinksUpToDate>
  <CharactersWithSpaces>68805</CharactersWithSpaces>
  <SharedDoc>false</SharedDoc>
  <HLinks>
    <vt:vector size="18" baseType="variant">
      <vt:variant>
        <vt:i4>1441802</vt:i4>
      </vt:variant>
      <vt:variant>
        <vt:i4>6</vt:i4>
      </vt:variant>
      <vt:variant>
        <vt:i4>0</vt:i4>
      </vt:variant>
      <vt:variant>
        <vt:i4>5</vt:i4>
      </vt:variant>
      <vt:variant>
        <vt:lpwstr>http://www.ohchr.org/EN/Issues/Women/SRWomen/Pages/SRVAW.aspx</vt:lpwstr>
      </vt:variant>
      <vt:variant>
        <vt:lpwstr/>
      </vt:variant>
      <vt:variant>
        <vt:i4>1441802</vt:i4>
      </vt:variant>
      <vt:variant>
        <vt:i4>3</vt:i4>
      </vt:variant>
      <vt:variant>
        <vt:i4>0</vt:i4>
      </vt:variant>
      <vt:variant>
        <vt:i4>5</vt:i4>
      </vt:variant>
      <vt:variant>
        <vt:lpwstr>http://www.ohchr.org/EN/Issues/Women/SRWomen/Pages/SRVAW.aspx</vt:lpwstr>
      </vt:variant>
      <vt:variant>
        <vt:lpwstr/>
      </vt:variant>
      <vt:variant>
        <vt:i4>2883691</vt:i4>
      </vt:variant>
      <vt:variant>
        <vt:i4>0</vt:i4>
      </vt:variant>
      <vt:variant>
        <vt:i4>0</vt:i4>
      </vt:variant>
      <vt:variant>
        <vt:i4>5</vt:i4>
      </vt:variant>
      <vt:variant>
        <vt:lpwstr>http://www.ohchr.org/Documents/Issues/Women/SR/Call_on_Rape/EGM_EN-SR_Report.pdf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A/HRC/47/26</dc:title>
  <dc:subject>2105162</dc:subject>
  <dc:creator>An Cuypers</dc:creator>
  <cp:keywords/>
  <dc:description/>
  <cp:lastModifiedBy>Veronique Lanz</cp:lastModifiedBy>
  <cp:revision>2</cp:revision>
  <cp:lastPrinted>2022-03-31T08:18:00Z</cp:lastPrinted>
  <dcterms:created xsi:type="dcterms:W3CDTF">2022-06-14T06:55:00Z</dcterms:created>
  <dcterms:modified xsi:type="dcterms:W3CDTF">2022-06-14T06:55:00Z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0x0101009742F048F6452148A50C1FA94B1DDBE8</vt:lpwstr>
  </property>
</Properties>
</file>