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28C" w:rsidRPr="0049092F" w:rsidRDefault="00AA1A85" w:rsidP="004B7B3A">
      <w:pPr>
        <w:spacing w:line="240" w:lineRule="auto"/>
        <w:jc w:val="center"/>
        <w:rPr>
          <w:rFonts w:ascii="Garamond" w:hAnsi="Garamond"/>
          <w:b/>
          <w:bCs/>
          <w:sz w:val="28"/>
          <w:szCs w:val="28"/>
          <w:u w:val="single"/>
        </w:rPr>
      </w:pPr>
      <w:r w:rsidRPr="0049092F">
        <w:rPr>
          <w:rFonts w:ascii="Garamond" w:hAnsi="Garamond"/>
          <w:b/>
          <w:bCs/>
          <w:sz w:val="28"/>
          <w:szCs w:val="28"/>
          <w:u w:val="single"/>
        </w:rPr>
        <w:t>The main guarantees that protect the rights of persons facing the death penalty according</w:t>
      </w:r>
      <w:r w:rsidR="00042804" w:rsidRPr="0049092F">
        <w:rPr>
          <w:rFonts w:ascii="Garamond" w:hAnsi="Garamond"/>
          <w:b/>
          <w:bCs/>
          <w:sz w:val="28"/>
          <w:szCs w:val="28"/>
          <w:u w:val="single"/>
        </w:rPr>
        <w:t xml:space="preserve"> to</w:t>
      </w:r>
      <w:r w:rsidRPr="0049092F">
        <w:rPr>
          <w:rFonts w:ascii="Garamond" w:hAnsi="Garamond"/>
          <w:b/>
          <w:bCs/>
          <w:sz w:val="28"/>
          <w:szCs w:val="28"/>
          <w:u w:val="single"/>
        </w:rPr>
        <w:t xml:space="preserve"> </w:t>
      </w:r>
      <w:r w:rsidR="004B7B3A" w:rsidRPr="0049092F">
        <w:rPr>
          <w:rFonts w:ascii="Garamond" w:hAnsi="Garamond"/>
          <w:b/>
          <w:bCs/>
          <w:sz w:val="28"/>
          <w:szCs w:val="28"/>
          <w:u w:val="single"/>
        </w:rPr>
        <w:t>Saudi Arabia's</w:t>
      </w:r>
      <w:r w:rsidRPr="0049092F">
        <w:rPr>
          <w:rFonts w:ascii="Garamond" w:hAnsi="Garamond"/>
          <w:b/>
          <w:bCs/>
          <w:sz w:val="28"/>
          <w:szCs w:val="28"/>
          <w:u w:val="single"/>
        </w:rPr>
        <w:t xml:space="preserve"> laws</w:t>
      </w:r>
    </w:p>
    <w:p w:rsidR="00AA1A85" w:rsidRPr="0049092F" w:rsidRDefault="00AA1A85" w:rsidP="00581525">
      <w:pPr>
        <w:spacing w:line="240" w:lineRule="auto"/>
        <w:jc w:val="both"/>
        <w:rPr>
          <w:rFonts w:ascii="Garamond" w:hAnsi="Garamond"/>
          <w:sz w:val="26"/>
          <w:szCs w:val="26"/>
        </w:rPr>
      </w:pPr>
    </w:p>
    <w:p w:rsidR="00AA1A85" w:rsidRPr="0049092F" w:rsidRDefault="00AA1A85" w:rsidP="0024595B">
      <w:pPr>
        <w:spacing w:line="240" w:lineRule="auto"/>
        <w:jc w:val="both"/>
        <w:rPr>
          <w:rFonts w:ascii="Garamond" w:hAnsi="Garamond"/>
          <w:sz w:val="26"/>
          <w:szCs w:val="26"/>
        </w:rPr>
      </w:pPr>
      <w:r w:rsidRPr="0049092F">
        <w:rPr>
          <w:rFonts w:ascii="Garamond" w:hAnsi="Garamond"/>
          <w:sz w:val="26"/>
          <w:szCs w:val="26"/>
        </w:rPr>
        <w:t xml:space="preserve">This </w:t>
      </w:r>
      <w:r w:rsidR="00B91ECF" w:rsidRPr="0049092F">
        <w:rPr>
          <w:rFonts w:ascii="Garamond" w:hAnsi="Garamond"/>
          <w:sz w:val="26"/>
          <w:szCs w:val="26"/>
        </w:rPr>
        <w:t>paper</w:t>
      </w:r>
      <w:r w:rsidRPr="0049092F">
        <w:rPr>
          <w:rFonts w:ascii="Garamond" w:hAnsi="Garamond"/>
          <w:sz w:val="26"/>
          <w:szCs w:val="26"/>
        </w:rPr>
        <w:t xml:space="preserve"> was prepared for contributing to the </w:t>
      </w:r>
      <w:r w:rsidR="00B91ECF" w:rsidRPr="0049092F">
        <w:rPr>
          <w:rFonts w:ascii="Garamond" w:hAnsi="Garamond"/>
          <w:sz w:val="26"/>
          <w:szCs w:val="26"/>
        </w:rPr>
        <w:t>preparation of the</w:t>
      </w:r>
      <w:r w:rsidRPr="0049092F">
        <w:rPr>
          <w:rFonts w:ascii="Garamond" w:hAnsi="Garamond"/>
          <w:sz w:val="26"/>
          <w:szCs w:val="26"/>
        </w:rPr>
        <w:t xml:space="preserve"> Secretary-General</w:t>
      </w:r>
      <w:r w:rsidR="00B91ECF" w:rsidRPr="0049092F">
        <w:t xml:space="preserve"> </w:t>
      </w:r>
      <w:r w:rsidR="00B91ECF" w:rsidRPr="0049092F">
        <w:rPr>
          <w:rFonts w:ascii="Garamond" w:hAnsi="Garamond"/>
          <w:sz w:val="26"/>
          <w:szCs w:val="26"/>
        </w:rPr>
        <w:t>report</w:t>
      </w:r>
      <w:r w:rsidRPr="0049092F">
        <w:rPr>
          <w:rFonts w:ascii="Garamond" w:hAnsi="Garamond"/>
          <w:sz w:val="26"/>
          <w:szCs w:val="26"/>
        </w:rPr>
        <w:t xml:space="preserve"> on the </w:t>
      </w:r>
      <w:r w:rsidR="00B91ECF" w:rsidRPr="0049092F">
        <w:rPr>
          <w:rFonts w:ascii="Garamond" w:hAnsi="Garamond"/>
          <w:sz w:val="26"/>
          <w:szCs w:val="26"/>
        </w:rPr>
        <w:t>question</w:t>
      </w:r>
      <w:r w:rsidRPr="0049092F">
        <w:rPr>
          <w:rFonts w:ascii="Garamond" w:hAnsi="Garamond"/>
          <w:sz w:val="26"/>
          <w:szCs w:val="26"/>
        </w:rPr>
        <w:t xml:space="preserve"> of</w:t>
      </w:r>
      <w:r w:rsidR="00B91ECF" w:rsidRPr="0049092F">
        <w:rPr>
          <w:rFonts w:ascii="Garamond" w:hAnsi="Garamond"/>
          <w:sz w:val="26"/>
          <w:szCs w:val="26"/>
        </w:rPr>
        <w:t xml:space="preserve"> the death penalty,</w:t>
      </w:r>
      <w:r w:rsidRPr="0049092F">
        <w:rPr>
          <w:rFonts w:ascii="Garamond" w:hAnsi="Garamond"/>
          <w:sz w:val="26"/>
          <w:szCs w:val="26"/>
        </w:rPr>
        <w:t xml:space="preserve"> </w:t>
      </w:r>
      <w:r w:rsidR="00B91ECF" w:rsidRPr="0049092F">
        <w:rPr>
          <w:rFonts w:ascii="Garamond" w:hAnsi="Garamond"/>
          <w:sz w:val="26"/>
          <w:szCs w:val="26"/>
        </w:rPr>
        <w:t>which</w:t>
      </w:r>
      <w:r w:rsidRPr="0049092F">
        <w:rPr>
          <w:rFonts w:ascii="Garamond" w:hAnsi="Garamond"/>
          <w:sz w:val="26"/>
          <w:szCs w:val="26"/>
        </w:rPr>
        <w:t xml:space="preserve"> included </w:t>
      </w:r>
      <w:r w:rsidR="00B91ECF" w:rsidRPr="0049092F">
        <w:rPr>
          <w:rFonts w:ascii="Garamond" w:hAnsi="Garamond"/>
          <w:sz w:val="26"/>
          <w:szCs w:val="26"/>
        </w:rPr>
        <w:t>the safeguards guaranteeing the</w:t>
      </w:r>
      <w:r w:rsidR="0024595B" w:rsidRPr="0049092F">
        <w:rPr>
          <w:rFonts w:ascii="Garamond" w:hAnsi="Garamond"/>
          <w:sz w:val="26"/>
          <w:szCs w:val="26"/>
        </w:rPr>
        <w:t xml:space="preserve"> protection of the rights of those facing death penalty</w:t>
      </w:r>
      <w:r w:rsidRPr="0049092F">
        <w:rPr>
          <w:rFonts w:ascii="Garamond" w:hAnsi="Garamond"/>
          <w:sz w:val="26"/>
          <w:szCs w:val="26"/>
        </w:rPr>
        <w:t xml:space="preserve">, and the </w:t>
      </w:r>
      <w:r w:rsidR="0024595B" w:rsidRPr="0049092F">
        <w:rPr>
          <w:rFonts w:ascii="Garamond" w:hAnsi="Garamond"/>
          <w:sz w:val="26"/>
          <w:szCs w:val="26"/>
        </w:rPr>
        <w:t>most notable</w:t>
      </w:r>
      <w:r w:rsidR="0024595B" w:rsidRPr="0049092F">
        <w:rPr>
          <w:rFonts w:ascii="Garamond" w:hAnsi="Garamond"/>
          <w:sz w:val="26"/>
          <w:szCs w:val="26"/>
        </w:rPr>
        <w:t xml:space="preserve"> </w:t>
      </w:r>
      <w:r w:rsidRPr="0049092F">
        <w:rPr>
          <w:rFonts w:ascii="Garamond" w:hAnsi="Garamond"/>
          <w:sz w:val="26"/>
          <w:szCs w:val="26"/>
        </w:rPr>
        <w:t>legislations related to this include the following:</w:t>
      </w:r>
    </w:p>
    <w:p w:rsidR="0024595B" w:rsidRPr="0049092F" w:rsidRDefault="0024595B" w:rsidP="0024595B">
      <w:pPr>
        <w:spacing w:line="240" w:lineRule="auto"/>
        <w:jc w:val="both"/>
        <w:rPr>
          <w:rFonts w:ascii="Garamond" w:hAnsi="Garamond"/>
          <w:sz w:val="26"/>
          <w:szCs w:val="26"/>
        </w:rPr>
      </w:pPr>
    </w:p>
    <w:p w:rsidR="00AA1A85" w:rsidRPr="0049092F" w:rsidRDefault="00AA1A85" w:rsidP="00633153">
      <w:pPr>
        <w:pStyle w:val="a5"/>
        <w:numPr>
          <w:ilvl w:val="0"/>
          <w:numId w:val="1"/>
        </w:numPr>
        <w:spacing w:line="240" w:lineRule="auto"/>
        <w:jc w:val="both"/>
        <w:rPr>
          <w:rFonts w:ascii="Garamond" w:hAnsi="Garamond"/>
          <w:sz w:val="26"/>
          <w:szCs w:val="26"/>
        </w:rPr>
      </w:pPr>
      <w:r w:rsidRPr="0049092F">
        <w:rPr>
          <w:rFonts w:ascii="Garamond" w:hAnsi="Garamond"/>
          <w:sz w:val="26"/>
          <w:szCs w:val="26"/>
        </w:rPr>
        <w:t xml:space="preserve">The death penalty in </w:t>
      </w:r>
      <w:r w:rsidR="00072642" w:rsidRPr="0049092F">
        <w:rPr>
          <w:rFonts w:ascii="Garamond" w:hAnsi="Garamond"/>
          <w:sz w:val="26"/>
          <w:szCs w:val="26"/>
        </w:rPr>
        <w:t>Saudi Arabia</w:t>
      </w:r>
      <w:r w:rsidRPr="0049092F">
        <w:rPr>
          <w:rFonts w:ascii="Garamond" w:hAnsi="Garamond"/>
          <w:sz w:val="26"/>
          <w:szCs w:val="26"/>
        </w:rPr>
        <w:t xml:space="preserve"> is imposed only in the most serious crimes,</w:t>
      </w:r>
      <w:r w:rsidR="00EB499C" w:rsidRPr="0049092F">
        <w:rPr>
          <w:rFonts w:ascii="Garamond" w:hAnsi="Garamond"/>
          <w:sz w:val="26"/>
          <w:szCs w:val="26"/>
        </w:rPr>
        <w:t xml:space="preserve"> and</w:t>
      </w:r>
      <w:r w:rsidRPr="0049092F">
        <w:rPr>
          <w:rFonts w:ascii="Garamond" w:hAnsi="Garamond"/>
          <w:sz w:val="26"/>
          <w:szCs w:val="26"/>
        </w:rPr>
        <w:t xml:space="preserve"> in accordance with a legislative </w:t>
      </w:r>
      <w:r w:rsidR="0093785F" w:rsidRPr="0049092F">
        <w:rPr>
          <w:rFonts w:ascii="Garamond" w:hAnsi="Garamond"/>
          <w:sz w:val="26"/>
          <w:szCs w:val="26"/>
        </w:rPr>
        <w:t>provision</w:t>
      </w:r>
      <w:r w:rsidR="00633153" w:rsidRPr="0049092F">
        <w:rPr>
          <w:rFonts w:ascii="Garamond" w:hAnsi="Garamond"/>
          <w:sz w:val="26"/>
          <w:szCs w:val="26"/>
        </w:rPr>
        <w:t>, it is issued only on the basis of conclusive and substantial evidence</w:t>
      </w:r>
      <w:r w:rsidRPr="0049092F">
        <w:rPr>
          <w:rFonts w:ascii="Garamond" w:hAnsi="Garamond"/>
          <w:sz w:val="26"/>
          <w:szCs w:val="26"/>
        </w:rPr>
        <w:t xml:space="preserve">, according to a final judgment issued by a competent court and after all legal guarantees </w:t>
      </w:r>
      <w:r w:rsidR="00633153" w:rsidRPr="0049092F">
        <w:rPr>
          <w:rFonts w:ascii="Garamond" w:hAnsi="Garamond"/>
          <w:sz w:val="26"/>
          <w:szCs w:val="26"/>
        </w:rPr>
        <w:t>fulfilling</w:t>
      </w:r>
      <w:r w:rsidRPr="0049092F">
        <w:rPr>
          <w:rFonts w:ascii="Garamond" w:hAnsi="Garamond"/>
          <w:sz w:val="26"/>
          <w:szCs w:val="26"/>
        </w:rPr>
        <w:t xml:space="preserve">, including </w:t>
      </w:r>
      <w:r w:rsidR="00350654" w:rsidRPr="0049092F">
        <w:rPr>
          <w:rFonts w:ascii="Garamond" w:hAnsi="Garamond"/>
          <w:sz w:val="26"/>
          <w:szCs w:val="26"/>
        </w:rPr>
        <w:t>access to legal assistance.</w:t>
      </w:r>
      <w:r w:rsidRPr="0049092F">
        <w:rPr>
          <w:rFonts w:ascii="Garamond" w:hAnsi="Garamond"/>
          <w:sz w:val="26"/>
          <w:szCs w:val="26"/>
        </w:rPr>
        <w:t xml:space="preserve"> </w:t>
      </w:r>
      <w:r w:rsidR="00350654" w:rsidRPr="0049092F">
        <w:rPr>
          <w:rFonts w:ascii="Garamond" w:hAnsi="Garamond"/>
          <w:sz w:val="26"/>
          <w:szCs w:val="26"/>
        </w:rPr>
        <w:t>T</w:t>
      </w:r>
      <w:r w:rsidRPr="0049092F">
        <w:rPr>
          <w:rFonts w:ascii="Garamond" w:hAnsi="Garamond"/>
          <w:sz w:val="26"/>
          <w:szCs w:val="26"/>
        </w:rPr>
        <w:t>he death sentence issued by the Court of First Instance is subject to the Mandatory Appeal to the Court of Appeal, and subsequently reviewed by the Supreme Court, and therefore such cases are considered by (13) judges in the various stages of judicial review.</w:t>
      </w:r>
    </w:p>
    <w:p w:rsidR="003B06D3" w:rsidRPr="0049092F" w:rsidRDefault="003B06D3" w:rsidP="003B06D3">
      <w:pPr>
        <w:pStyle w:val="a5"/>
        <w:numPr>
          <w:ilvl w:val="0"/>
          <w:numId w:val="1"/>
        </w:numPr>
        <w:spacing w:line="240" w:lineRule="auto"/>
        <w:jc w:val="both"/>
        <w:rPr>
          <w:rFonts w:ascii="Garamond" w:hAnsi="Garamond"/>
          <w:sz w:val="26"/>
          <w:szCs w:val="26"/>
        </w:rPr>
      </w:pPr>
      <w:r w:rsidRPr="0049092F">
        <w:rPr>
          <w:rFonts w:ascii="Garamond" w:hAnsi="Garamond"/>
          <w:sz w:val="26"/>
          <w:szCs w:val="26"/>
        </w:rPr>
        <w:t>8.</w:t>
      </w:r>
      <w:r w:rsidRPr="0049092F">
        <w:rPr>
          <w:rFonts w:ascii="Garamond" w:hAnsi="Garamond"/>
          <w:sz w:val="26"/>
          <w:szCs w:val="26"/>
        </w:rPr>
        <w:tab/>
        <w:t>With regard to the prohibition of applying the death penalty to people under the age of 18 when committing the crime, the Juveniles Law which issued under Royal Decree No. (M/113) dated July 31, 2018, which</w:t>
      </w:r>
      <w:r w:rsidRPr="0049092F">
        <w:rPr>
          <w:rFonts w:ascii="Garamond" w:hAnsi="Garamond"/>
          <w:sz w:val="26"/>
          <w:szCs w:val="26"/>
        </w:rPr>
        <w:t xml:space="preserve"> </w:t>
      </w:r>
      <w:r w:rsidRPr="0049092F">
        <w:rPr>
          <w:rFonts w:ascii="Garamond" w:hAnsi="Garamond"/>
          <w:sz w:val="26"/>
          <w:szCs w:val="26"/>
        </w:rPr>
        <w:t>contain</w:t>
      </w:r>
      <w:r w:rsidRPr="0049092F">
        <w:rPr>
          <w:rFonts w:ascii="Garamond" w:hAnsi="Garamond"/>
          <w:sz w:val="26"/>
          <w:szCs w:val="26"/>
        </w:rPr>
        <w:t xml:space="preserve"> the provisions and measures necessary for dealing with juvenile delinquents, including arrest, investigation and prosecution, in a manner appropriate to their age</w:t>
      </w:r>
      <w:r w:rsidRPr="0049092F">
        <w:t xml:space="preserve"> </w:t>
      </w:r>
      <w:r w:rsidRPr="0049092F">
        <w:rPr>
          <w:rFonts w:ascii="Garamond" w:hAnsi="Garamond"/>
          <w:sz w:val="26"/>
          <w:szCs w:val="26"/>
        </w:rPr>
        <w:t>in order to rehabilitate them, and</w:t>
      </w:r>
      <w:r w:rsidRPr="0049092F">
        <w:rPr>
          <w:rFonts w:ascii="Garamond" w:hAnsi="Garamond"/>
          <w:sz w:val="26"/>
          <w:szCs w:val="26"/>
        </w:rPr>
        <w:t xml:space="preserve"> Article </w:t>
      </w:r>
      <w:r w:rsidRPr="0049092F">
        <w:rPr>
          <w:rFonts w:ascii="Garamond" w:hAnsi="Garamond"/>
          <w:sz w:val="26"/>
          <w:szCs w:val="26"/>
        </w:rPr>
        <w:t>(</w:t>
      </w:r>
      <w:r w:rsidRPr="0049092F">
        <w:rPr>
          <w:rFonts w:ascii="Garamond" w:hAnsi="Garamond"/>
          <w:sz w:val="26"/>
          <w:szCs w:val="26"/>
        </w:rPr>
        <w:t>15</w:t>
      </w:r>
      <w:r w:rsidRPr="0049092F">
        <w:rPr>
          <w:rFonts w:ascii="Garamond" w:hAnsi="Garamond"/>
          <w:sz w:val="26"/>
          <w:szCs w:val="26"/>
        </w:rPr>
        <w:t>)</w:t>
      </w:r>
      <w:r w:rsidRPr="0049092F">
        <w:rPr>
          <w:rFonts w:ascii="Garamond" w:hAnsi="Garamond"/>
          <w:sz w:val="26"/>
          <w:szCs w:val="26"/>
        </w:rPr>
        <w:t xml:space="preserve"> states</w:t>
      </w:r>
      <w:r w:rsidRPr="0049092F">
        <w:rPr>
          <w:rFonts w:ascii="Garamond" w:hAnsi="Garamond"/>
          <w:sz w:val="26"/>
          <w:szCs w:val="26"/>
        </w:rPr>
        <w:t xml:space="preserve"> that</w:t>
      </w:r>
      <w:r w:rsidRPr="0049092F">
        <w:rPr>
          <w:rFonts w:ascii="Garamond" w:hAnsi="Garamond"/>
          <w:sz w:val="26"/>
          <w:szCs w:val="26"/>
        </w:rPr>
        <w:t xml:space="preserve"> if the crime committed by the juvenile is punishable by death, the sentence shall be reduced to a term of not more than 10 years detentio</w:t>
      </w:r>
      <w:bookmarkStart w:id="0" w:name="_GoBack"/>
      <w:bookmarkEnd w:id="0"/>
      <w:r w:rsidRPr="0049092F">
        <w:rPr>
          <w:rFonts w:ascii="Garamond" w:hAnsi="Garamond"/>
          <w:sz w:val="26"/>
          <w:szCs w:val="26"/>
        </w:rPr>
        <w:t>n in a juvenile detention institution.</w:t>
      </w:r>
    </w:p>
    <w:p w:rsidR="003B06D3" w:rsidRPr="0049092F" w:rsidRDefault="003B06D3" w:rsidP="003B06D3">
      <w:pPr>
        <w:pStyle w:val="a5"/>
        <w:numPr>
          <w:ilvl w:val="0"/>
          <w:numId w:val="1"/>
        </w:numPr>
        <w:spacing w:line="240" w:lineRule="auto"/>
        <w:jc w:val="both"/>
        <w:rPr>
          <w:rFonts w:ascii="Garamond" w:hAnsi="Garamond"/>
          <w:sz w:val="26"/>
          <w:szCs w:val="26"/>
        </w:rPr>
      </w:pPr>
      <w:r w:rsidRPr="0049092F">
        <w:rPr>
          <w:rFonts w:ascii="Garamond" w:hAnsi="Garamond"/>
          <w:sz w:val="26"/>
          <w:szCs w:val="26"/>
        </w:rPr>
        <w:t>Issuance of the Royal order in 2020, that ending the application of the death penalty for individuals convicted of crimes committed while they were minors before the Juveniles Law came into force.</w:t>
      </w:r>
    </w:p>
    <w:p w:rsidR="009F4D40" w:rsidRPr="0049092F" w:rsidRDefault="009F4D40" w:rsidP="00581525">
      <w:pPr>
        <w:pStyle w:val="a5"/>
        <w:numPr>
          <w:ilvl w:val="0"/>
          <w:numId w:val="1"/>
        </w:numPr>
        <w:spacing w:line="240" w:lineRule="auto"/>
        <w:jc w:val="both"/>
        <w:rPr>
          <w:rFonts w:ascii="Garamond" w:hAnsi="Garamond"/>
          <w:sz w:val="26"/>
          <w:szCs w:val="26"/>
        </w:rPr>
      </w:pPr>
      <w:r w:rsidRPr="0049092F">
        <w:rPr>
          <w:rFonts w:ascii="Garamond" w:hAnsi="Garamond"/>
          <w:sz w:val="26"/>
          <w:szCs w:val="26"/>
        </w:rPr>
        <w:t>Regarding pregnant women facing death penalty, Article (157/3) of the Executive Regulations of the Criminal Procedures Law stipulates that the execution of the death penalty shall be postponed for a pregnant or breastfeeding woman until the termination of her pregnancy and the period of breastfeeding her child.</w:t>
      </w:r>
    </w:p>
    <w:p w:rsidR="009F4D40" w:rsidRPr="0049092F" w:rsidRDefault="00637365" w:rsidP="00E440BE">
      <w:pPr>
        <w:pStyle w:val="a5"/>
        <w:numPr>
          <w:ilvl w:val="0"/>
          <w:numId w:val="1"/>
        </w:numPr>
        <w:spacing w:line="240" w:lineRule="auto"/>
        <w:jc w:val="both"/>
        <w:rPr>
          <w:rFonts w:ascii="Garamond" w:hAnsi="Garamond"/>
          <w:sz w:val="26"/>
          <w:szCs w:val="26"/>
        </w:rPr>
      </w:pPr>
      <w:r w:rsidRPr="0049092F">
        <w:rPr>
          <w:rFonts w:ascii="Garamond" w:hAnsi="Garamond"/>
          <w:sz w:val="26"/>
          <w:szCs w:val="26"/>
        </w:rPr>
        <w:t xml:space="preserve">For people with mental or intellectual disabilities, </w:t>
      </w:r>
      <w:r w:rsidR="00D51614" w:rsidRPr="0049092F">
        <w:rPr>
          <w:rFonts w:ascii="Garamond" w:hAnsi="Garamond"/>
          <w:sz w:val="26"/>
          <w:szCs w:val="26"/>
        </w:rPr>
        <w:t xml:space="preserve">the </w:t>
      </w:r>
      <w:r w:rsidRPr="0049092F">
        <w:rPr>
          <w:rFonts w:ascii="Garamond" w:hAnsi="Garamond"/>
          <w:sz w:val="26"/>
          <w:szCs w:val="26"/>
        </w:rPr>
        <w:t>criminal judgments are issued only to those who were fully competent and legally responsible when committing the crime</w:t>
      </w:r>
      <w:r w:rsidR="00D51614" w:rsidRPr="0049092F">
        <w:rPr>
          <w:rFonts w:ascii="Garamond" w:hAnsi="Garamond"/>
          <w:sz w:val="26"/>
          <w:szCs w:val="26"/>
        </w:rPr>
        <w:t>.</w:t>
      </w:r>
    </w:p>
    <w:p w:rsidR="00637365" w:rsidRPr="0049092F" w:rsidRDefault="00637365" w:rsidP="006339F5">
      <w:pPr>
        <w:pStyle w:val="a5"/>
        <w:numPr>
          <w:ilvl w:val="0"/>
          <w:numId w:val="1"/>
        </w:numPr>
        <w:spacing w:line="240" w:lineRule="auto"/>
        <w:jc w:val="both"/>
        <w:rPr>
          <w:rFonts w:ascii="Garamond" w:hAnsi="Garamond"/>
          <w:sz w:val="26"/>
          <w:szCs w:val="26"/>
        </w:rPr>
      </w:pPr>
      <w:r w:rsidRPr="0049092F">
        <w:rPr>
          <w:rFonts w:ascii="Garamond" w:hAnsi="Garamond"/>
          <w:sz w:val="26"/>
          <w:szCs w:val="26"/>
        </w:rPr>
        <w:t xml:space="preserve">With regard to children of parents </w:t>
      </w:r>
      <w:r w:rsidR="005C7687" w:rsidRPr="0049092F">
        <w:rPr>
          <w:rFonts w:ascii="Garamond" w:hAnsi="Garamond"/>
          <w:sz w:val="26"/>
          <w:szCs w:val="26"/>
        </w:rPr>
        <w:t>facing the</w:t>
      </w:r>
      <w:r w:rsidRPr="0049092F">
        <w:rPr>
          <w:rFonts w:ascii="Garamond" w:hAnsi="Garamond"/>
          <w:sz w:val="26"/>
          <w:szCs w:val="26"/>
        </w:rPr>
        <w:t xml:space="preserve"> death</w:t>
      </w:r>
      <w:r w:rsidR="005C7687" w:rsidRPr="0049092F">
        <w:rPr>
          <w:rFonts w:ascii="Garamond" w:hAnsi="Garamond"/>
          <w:sz w:val="26"/>
          <w:szCs w:val="26"/>
        </w:rPr>
        <w:t xml:space="preserve"> penalty</w:t>
      </w:r>
      <w:r w:rsidRPr="0049092F">
        <w:rPr>
          <w:rFonts w:ascii="Garamond" w:hAnsi="Garamond"/>
          <w:sz w:val="26"/>
          <w:szCs w:val="26"/>
        </w:rPr>
        <w:t xml:space="preserve">, the Child Protection Law issued by Royal Decree No. (M/14) dated 11/25/2014 included provisions that protect every person under the age of 18 by facing abuse and neglect that may be exposed to them. The law also required taking the measures </w:t>
      </w:r>
      <w:r w:rsidR="00AD465D" w:rsidRPr="0049092F">
        <w:rPr>
          <w:rFonts w:ascii="Garamond" w:hAnsi="Garamond"/>
          <w:sz w:val="26"/>
          <w:szCs w:val="26"/>
        </w:rPr>
        <w:t>to</w:t>
      </w:r>
      <w:r w:rsidRPr="0049092F">
        <w:rPr>
          <w:rFonts w:ascii="Garamond" w:hAnsi="Garamond"/>
          <w:sz w:val="26"/>
          <w:szCs w:val="26"/>
        </w:rPr>
        <w:t xml:space="preserve"> provid</w:t>
      </w:r>
      <w:r w:rsidR="00AD465D" w:rsidRPr="0049092F">
        <w:rPr>
          <w:rFonts w:ascii="Garamond" w:hAnsi="Garamond"/>
          <w:sz w:val="26"/>
          <w:szCs w:val="26"/>
        </w:rPr>
        <w:t>e</w:t>
      </w:r>
      <w:r w:rsidRPr="0049092F">
        <w:rPr>
          <w:rFonts w:ascii="Garamond" w:hAnsi="Garamond"/>
          <w:sz w:val="26"/>
          <w:szCs w:val="26"/>
        </w:rPr>
        <w:t xml:space="preserve"> the necessary care to the child who is subject to such a situation.</w:t>
      </w:r>
      <w:r w:rsidR="00AD465D" w:rsidRPr="0049092F">
        <w:rPr>
          <w:rFonts w:ascii="Garamond" w:hAnsi="Garamond"/>
          <w:sz w:val="26"/>
          <w:szCs w:val="26"/>
        </w:rPr>
        <w:t xml:space="preserve"> The Executive R</w:t>
      </w:r>
      <w:r w:rsidRPr="0049092F">
        <w:rPr>
          <w:rFonts w:ascii="Garamond" w:hAnsi="Garamond"/>
          <w:sz w:val="26"/>
          <w:szCs w:val="26"/>
        </w:rPr>
        <w:t xml:space="preserve">egulations of the Child Protection Law included that in case of child’s </w:t>
      </w:r>
      <w:proofErr w:type="gramStart"/>
      <w:r w:rsidRPr="0049092F">
        <w:rPr>
          <w:rFonts w:ascii="Garamond" w:hAnsi="Garamond"/>
          <w:sz w:val="26"/>
          <w:szCs w:val="26"/>
        </w:rPr>
        <w:t>parents</w:t>
      </w:r>
      <w:proofErr w:type="gramEnd"/>
      <w:r w:rsidRPr="0049092F">
        <w:rPr>
          <w:rFonts w:ascii="Garamond" w:hAnsi="Garamond"/>
          <w:sz w:val="26"/>
          <w:szCs w:val="26"/>
        </w:rPr>
        <w:t xml:space="preserve"> absence due to death, imprisonment or </w:t>
      </w:r>
      <w:r w:rsidR="009F3814" w:rsidRPr="0049092F">
        <w:rPr>
          <w:rFonts w:ascii="Garamond" w:hAnsi="Garamond"/>
          <w:sz w:val="26"/>
          <w:szCs w:val="26"/>
        </w:rPr>
        <w:t xml:space="preserve">any other </w:t>
      </w:r>
      <w:r w:rsidR="009F3814" w:rsidRPr="0049092F">
        <w:rPr>
          <w:rFonts w:ascii="Garamond" w:hAnsi="Garamond"/>
          <w:sz w:val="26"/>
          <w:szCs w:val="26"/>
        </w:rPr>
        <w:lastRenderedPageBreak/>
        <w:t>reasons</w:t>
      </w:r>
      <w:r w:rsidRPr="0049092F">
        <w:rPr>
          <w:rFonts w:ascii="Garamond" w:hAnsi="Garamond"/>
          <w:sz w:val="26"/>
          <w:szCs w:val="26"/>
        </w:rPr>
        <w:t>, the relevant authorities shall take all necessary measures and actions to protect this child from deviation that endangers his psychological or physical safety.</w:t>
      </w:r>
    </w:p>
    <w:p w:rsidR="00637365" w:rsidRPr="0049092F" w:rsidRDefault="00637365" w:rsidP="00FA7E02">
      <w:pPr>
        <w:pStyle w:val="a5"/>
        <w:numPr>
          <w:ilvl w:val="0"/>
          <w:numId w:val="1"/>
        </w:numPr>
        <w:jc w:val="both"/>
        <w:rPr>
          <w:rFonts w:ascii="Garamond" w:hAnsi="Garamond"/>
          <w:sz w:val="26"/>
          <w:szCs w:val="26"/>
        </w:rPr>
      </w:pPr>
      <w:r w:rsidRPr="0049092F">
        <w:rPr>
          <w:rFonts w:ascii="Garamond" w:hAnsi="Garamond"/>
          <w:sz w:val="26"/>
          <w:szCs w:val="26"/>
        </w:rPr>
        <w:t xml:space="preserve">The Criminal Procedures Law </w:t>
      </w:r>
      <w:r w:rsidR="00AA32CA" w:rsidRPr="0049092F">
        <w:rPr>
          <w:rFonts w:ascii="Garamond" w:hAnsi="Garamond"/>
          <w:sz w:val="26"/>
          <w:szCs w:val="26"/>
        </w:rPr>
        <w:t>stipulates</w:t>
      </w:r>
      <w:r w:rsidR="00A70ACB" w:rsidRPr="0049092F">
        <w:rPr>
          <w:rFonts w:ascii="Garamond" w:hAnsi="Garamond"/>
          <w:sz w:val="26"/>
          <w:szCs w:val="26"/>
        </w:rPr>
        <w:t xml:space="preserve"> in Article (2) of the Criminal Procedures Law stipulates that “A person under arrest may not be subjected to any bodily or moral harm, nor torture or degrading treatment.”, and in Article 4 that “An accused person may seek the assistance of a</w:t>
      </w:r>
      <w:r w:rsidR="00FA7E02" w:rsidRPr="0049092F">
        <w:t xml:space="preserve"> </w:t>
      </w:r>
      <w:r w:rsidR="00FA7E02" w:rsidRPr="0049092F">
        <w:rPr>
          <w:rFonts w:ascii="Garamond" w:hAnsi="Garamond"/>
          <w:sz w:val="26"/>
          <w:szCs w:val="26"/>
        </w:rPr>
        <w:t xml:space="preserve">legal representative </w:t>
      </w:r>
      <w:r w:rsidR="00A70ACB" w:rsidRPr="0049092F">
        <w:rPr>
          <w:rFonts w:ascii="Garamond" w:hAnsi="Garamond"/>
          <w:sz w:val="26"/>
          <w:szCs w:val="26"/>
        </w:rPr>
        <w:t>or an attorney to defend him during investigation and trial,” and the accused person shall be notified upon his arrest or detention of this right in accordance with Article (22) of the executive regulations of the Criminal Procedures Law, and in Article (102) of the same law stipulates that “The interrogation shall be conducted in a manner not affecting the will of the accused in making his statements. The accused may not be asked to take an oath nor subjected to any duress measures …”.</w:t>
      </w:r>
      <w:r w:rsidR="00AA32CA" w:rsidRPr="0049092F">
        <w:rPr>
          <w:rFonts w:ascii="Garamond" w:hAnsi="Garamond"/>
          <w:sz w:val="26"/>
          <w:szCs w:val="26"/>
        </w:rPr>
        <w:t xml:space="preserve"> </w:t>
      </w:r>
    </w:p>
    <w:p w:rsidR="00AA32CA" w:rsidRPr="0049092F" w:rsidRDefault="00DB4249" w:rsidP="00FA7E02">
      <w:pPr>
        <w:pStyle w:val="a5"/>
        <w:numPr>
          <w:ilvl w:val="0"/>
          <w:numId w:val="1"/>
        </w:numPr>
        <w:spacing w:line="240" w:lineRule="auto"/>
        <w:jc w:val="both"/>
        <w:rPr>
          <w:rFonts w:ascii="Garamond" w:hAnsi="Garamond"/>
          <w:sz w:val="26"/>
          <w:szCs w:val="26"/>
        </w:rPr>
      </w:pPr>
      <w:r w:rsidRPr="0049092F">
        <w:rPr>
          <w:rFonts w:ascii="Garamond" w:hAnsi="Garamond"/>
          <w:sz w:val="26"/>
          <w:szCs w:val="26"/>
        </w:rPr>
        <w:t xml:space="preserve">Article (70) of the Criminal Procedures Law stipulates that “The investigator may not, during the investigation, separate the accused from his </w:t>
      </w:r>
      <w:r w:rsidR="0035252E" w:rsidRPr="0049092F">
        <w:rPr>
          <w:rFonts w:ascii="Garamond" w:hAnsi="Garamond"/>
          <w:sz w:val="26"/>
          <w:szCs w:val="26"/>
        </w:rPr>
        <w:t>legal representative or</w:t>
      </w:r>
      <w:r w:rsidRPr="0049092F">
        <w:rPr>
          <w:rFonts w:ascii="Garamond" w:hAnsi="Garamond"/>
          <w:sz w:val="26"/>
          <w:szCs w:val="26"/>
        </w:rPr>
        <w:t xml:space="preserve"> attorney. The </w:t>
      </w:r>
      <w:r w:rsidR="0035252E" w:rsidRPr="0049092F">
        <w:rPr>
          <w:rFonts w:ascii="Garamond" w:hAnsi="Garamond"/>
          <w:sz w:val="26"/>
          <w:szCs w:val="26"/>
        </w:rPr>
        <w:t>legal representative</w:t>
      </w:r>
      <w:r w:rsidRPr="0049092F">
        <w:rPr>
          <w:rFonts w:ascii="Garamond" w:hAnsi="Garamond"/>
          <w:sz w:val="26"/>
          <w:szCs w:val="26"/>
        </w:rPr>
        <w:t xml:space="preserve"> or attorney may not intervene in the investigation except with the permission of the investigator. In all cases, the </w:t>
      </w:r>
      <w:r w:rsidR="00FA7E02" w:rsidRPr="0049092F">
        <w:rPr>
          <w:rFonts w:ascii="Garamond" w:hAnsi="Garamond"/>
          <w:sz w:val="26"/>
          <w:szCs w:val="26"/>
        </w:rPr>
        <w:t>legal representative</w:t>
      </w:r>
      <w:r w:rsidRPr="0049092F">
        <w:rPr>
          <w:rFonts w:ascii="Garamond" w:hAnsi="Garamond"/>
          <w:sz w:val="26"/>
          <w:szCs w:val="26"/>
        </w:rPr>
        <w:t xml:space="preserve"> or attorney may deliver to the investigator a written memorandum of his comments and the investigator shall attach such memorandum to the case file”.</w:t>
      </w:r>
    </w:p>
    <w:p w:rsidR="00DB4249" w:rsidRPr="0049092F" w:rsidRDefault="00DB4249" w:rsidP="00581525">
      <w:pPr>
        <w:pStyle w:val="a5"/>
        <w:numPr>
          <w:ilvl w:val="0"/>
          <w:numId w:val="1"/>
        </w:numPr>
        <w:spacing w:line="240" w:lineRule="auto"/>
        <w:jc w:val="both"/>
        <w:rPr>
          <w:rFonts w:ascii="Garamond" w:hAnsi="Garamond"/>
          <w:sz w:val="26"/>
          <w:szCs w:val="26"/>
        </w:rPr>
      </w:pPr>
      <w:r w:rsidRPr="0049092F">
        <w:rPr>
          <w:rFonts w:ascii="Garamond" w:hAnsi="Garamond"/>
          <w:sz w:val="26"/>
          <w:szCs w:val="26"/>
        </w:rPr>
        <w:t>Article (139) of the Criminal Procedures Law stipulates that “</w:t>
      </w:r>
      <w:r w:rsidR="00A4085E" w:rsidRPr="0049092F">
        <w:rPr>
          <w:rFonts w:ascii="Garamond" w:hAnsi="Garamond"/>
          <w:sz w:val="26"/>
          <w:szCs w:val="26"/>
        </w:rPr>
        <w:t>I</w:t>
      </w:r>
      <w:r w:rsidRPr="0049092F">
        <w:rPr>
          <w:rFonts w:ascii="Garamond" w:hAnsi="Garamond"/>
          <w:sz w:val="26"/>
          <w:szCs w:val="26"/>
        </w:rPr>
        <w:t xml:space="preserve">n major crimes, the accused shall personally appear before the court, without prejudice to his right to seek legal assistance. If the accused </w:t>
      </w:r>
      <w:r w:rsidR="00501B26" w:rsidRPr="0049092F">
        <w:rPr>
          <w:rFonts w:ascii="Garamond" w:hAnsi="Garamond"/>
          <w:sz w:val="26"/>
          <w:szCs w:val="26"/>
        </w:rPr>
        <w:t xml:space="preserve">person </w:t>
      </w:r>
      <w:r w:rsidRPr="0049092F">
        <w:rPr>
          <w:rFonts w:ascii="Garamond" w:hAnsi="Garamond"/>
          <w:sz w:val="26"/>
          <w:szCs w:val="26"/>
        </w:rPr>
        <w:t>cannot afford appointing an attorney, he</w:t>
      </w:r>
      <w:r w:rsidR="00501B26" w:rsidRPr="0049092F">
        <w:rPr>
          <w:rFonts w:ascii="Garamond" w:hAnsi="Garamond"/>
          <w:sz w:val="26"/>
          <w:szCs w:val="26"/>
        </w:rPr>
        <w:t>/she</w:t>
      </w:r>
      <w:r w:rsidRPr="0049092F">
        <w:rPr>
          <w:rFonts w:ascii="Garamond" w:hAnsi="Garamond"/>
          <w:sz w:val="26"/>
          <w:szCs w:val="26"/>
        </w:rPr>
        <w:t xml:space="preserve"> may request the court to appoint one for his defense at the expense of the State in accordance with the regulations”. The “Mechanism for Hiring a Lawyer at the State’s Expense for the Accused in Major Crimes” was also issued, clarifying the mechanism for disbursing the entitlements of lawyers appointed by the state to defend the accused in these crimes.</w:t>
      </w:r>
    </w:p>
    <w:p w:rsidR="00581525" w:rsidRPr="0049092F" w:rsidRDefault="00581525" w:rsidP="00581525">
      <w:pPr>
        <w:spacing w:line="240" w:lineRule="auto"/>
        <w:jc w:val="center"/>
        <w:rPr>
          <w:rFonts w:ascii="Garamond" w:hAnsi="Garamond"/>
          <w:sz w:val="26"/>
          <w:szCs w:val="26"/>
        </w:rPr>
      </w:pPr>
      <w:r w:rsidRPr="0049092F">
        <w:rPr>
          <w:rFonts w:ascii="Garamond" w:hAnsi="Garamond"/>
          <w:sz w:val="26"/>
          <w:szCs w:val="26"/>
        </w:rPr>
        <w:t>***</w:t>
      </w:r>
    </w:p>
    <w:sectPr w:rsidR="00581525" w:rsidRPr="004909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77C" w:rsidRDefault="0019677C" w:rsidP="00581525">
      <w:pPr>
        <w:spacing w:line="240" w:lineRule="auto"/>
      </w:pPr>
      <w:r>
        <w:separator/>
      </w:r>
    </w:p>
  </w:endnote>
  <w:endnote w:type="continuationSeparator" w:id="0">
    <w:p w:rsidR="0019677C" w:rsidRDefault="0019677C" w:rsidP="005815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525" w:rsidRDefault="00581525" w:rsidP="00581525">
    <w:pPr>
      <w:pStyle w:val="a8"/>
      <w:jc w:val="center"/>
    </w:pPr>
    <w:r>
      <w:fldChar w:fldCharType="begin"/>
    </w:r>
    <w:r>
      <w:instrText xml:space="preserve"> PAGE   \* MERGEFORMAT </w:instrText>
    </w:r>
    <w:r>
      <w:fldChar w:fldCharType="separate"/>
    </w:r>
    <w:r w:rsidR="0049092F" w:rsidRPr="0049092F">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77C" w:rsidRDefault="0019677C" w:rsidP="00581525">
      <w:pPr>
        <w:spacing w:line="240" w:lineRule="auto"/>
      </w:pPr>
      <w:r>
        <w:separator/>
      </w:r>
    </w:p>
  </w:footnote>
  <w:footnote w:type="continuationSeparator" w:id="0">
    <w:p w:rsidR="0019677C" w:rsidRDefault="0019677C" w:rsidP="005815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B14" w:rsidRPr="00B02B14" w:rsidRDefault="00B02B14" w:rsidP="00B02B14">
    <w:pPr>
      <w:tabs>
        <w:tab w:val="left" w:pos="7482"/>
      </w:tabs>
      <w:bidi/>
      <w:spacing w:line="240" w:lineRule="auto"/>
      <w:rPr>
        <w:rFonts w:ascii="Sakkal Majalla" w:eastAsia="Calibri" w:hAnsi="Sakkal Majalla" w:cs="Sakkal Majalla"/>
        <w:b/>
        <w:bCs/>
        <w:color w:val="002060"/>
        <w:sz w:val="32"/>
        <w:szCs w:val="32"/>
        <w:rtl/>
      </w:rPr>
    </w:pPr>
    <w:r w:rsidRPr="00B02B14">
      <w:rPr>
        <w:rFonts w:ascii="Calibri" w:eastAsia="Calibri" w:hAnsi="Calibri" w:hint="cs"/>
        <w:noProof/>
        <w:rtl/>
      </w:rPr>
      <w:drawing>
        <wp:anchor distT="0" distB="0" distL="114300" distR="114300" simplePos="0" relativeHeight="251661312" behindDoc="1" locked="0" layoutInCell="1" allowOverlap="1" wp14:anchorId="2AA4BC2D" wp14:editId="0CD3C10C">
          <wp:simplePos x="0" y="0"/>
          <wp:positionH relativeFrom="margin">
            <wp:align>center</wp:align>
          </wp:positionH>
          <wp:positionV relativeFrom="paragraph">
            <wp:posOffset>91440</wp:posOffset>
          </wp:positionV>
          <wp:extent cx="1116487" cy="1080000"/>
          <wp:effectExtent l="0" t="0" r="7620" b="635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شعار الهيئة.jpg"/>
                  <pic:cNvPicPr/>
                </pic:nvPicPr>
                <pic:blipFill>
                  <a:blip r:embed="rId1">
                    <a:extLst>
                      <a:ext uri="{28A0092B-C50C-407E-A947-70E740481C1C}">
                        <a14:useLocalDpi xmlns:a14="http://schemas.microsoft.com/office/drawing/2010/main" val="0"/>
                      </a:ext>
                    </a:extLst>
                  </a:blip>
                  <a:stretch>
                    <a:fillRect/>
                  </a:stretch>
                </pic:blipFill>
                <pic:spPr>
                  <a:xfrm>
                    <a:off x="0" y="0"/>
                    <a:ext cx="1116487" cy="1080000"/>
                  </a:xfrm>
                  <a:prstGeom prst="rect">
                    <a:avLst/>
                  </a:prstGeom>
                </pic:spPr>
              </pic:pic>
            </a:graphicData>
          </a:graphic>
          <wp14:sizeRelH relativeFrom="margin">
            <wp14:pctWidth>0</wp14:pctWidth>
          </wp14:sizeRelH>
          <wp14:sizeRelV relativeFrom="margin">
            <wp14:pctHeight>0</wp14:pctHeight>
          </wp14:sizeRelV>
        </wp:anchor>
      </w:drawing>
    </w:r>
    <w:r w:rsidRPr="00B02B14">
      <w:rPr>
        <w:rFonts w:ascii="Calibri" w:eastAsia="Calibri" w:hAnsi="Calibri"/>
        <w:rtl/>
      </w:rPr>
      <w:tab/>
    </w:r>
  </w:p>
  <w:p w:rsidR="00B02B14" w:rsidRDefault="00B02B14" w:rsidP="00332AA6">
    <w:pPr>
      <w:tabs>
        <w:tab w:val="left" w:pos="7693"/>
      </w:tabs>
      <w:bidi/>
      <w:spacing w:line="240" w:lineRule="auto"/>
      <w:rPr>
        <w:rFonts w:ascii="Sakkal Majalla" w:eastAsia="Calibri" w:hAnsi="Sakkal Majalla" w:cs="Sakkal Majalla"/>
        <w:b/>
        <w:bCs/>
        <w:color w:val="002060"/>
        <w:sz w:val="32"/>
        <w:szCs w:val="32"/>
        <w:rtl/>
      </w:rPr>
    </w:pPr>
    <w:r w:rsidRPr="00B02B14">
      <w:rPr>
        <w:rFonts w:ascii="Simplified Arabic" w:eastAsia="Calibri" w:hAnsi="Simplified Arabic" w:cs="Simplified Arabic"/>
        <w:b/>
        <w:bCs/>
        <w:noProof/>
        <w:color w:val="002060"/>
        <w:sz w:val="28"/>
        <w:szCs w:val="28"/>
        <w:rtl/>
      </w:rPr>
      <mc:AlternateContent>
        <mc:Choice Requires="wps">
          <w:drawing>
            <wp:anchor distT="45720" distB="45720" distL="114300" distR="114300" simplePos="0" relativeHeight="251660288" behindDoc="1" locked="0" layoutInCell="1" allowOverlap="1" wp14:anchorId="4897F3AF" wp14:editId="086C6907">
              <wp:simplePos x="0" y="0"/>
              <wp:positionH relativeFrom="margin">
                <wp:align>left</wp:align>
              </wp:positionH>
              <wp:positionV relativeFrom="paragraph">
                <wp:posOffset>5604</wp:posOffset>
              </wp:positionV>
              <wp:extent cx="2401294" cy="1280160"/>
              <wp:effectExtent l="0" t="0" r="0" b="0"/>
              <wp:wrapNone/>
              <wp:docPr id="3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01294" cy="1280160"/>
                      </a:xfrm>
                      <a:prstGeom prst="rect">
                        <a:avLst/>
                      </a:prstGeom>
                      <a:solidFill>
                        <a:srgbClr val="FFFFFF"/>
                      </a:solidFill>
                      <a:ln w="9525">
                        <a:noFill/>
                        <a:miter lim="800000"/>
                        <a:headEnd/>
                        <a:tailEnd/>
                      </a:ln>
                    </wps:spPr>
                    <wps:txbx>
                      <w:txbxContent>
                        <w:p w:rsidR="00B02B14" w:rsidRPr="00157B8C" w:rsidRDefault="00B02B14" w:rsidP="00B02B14">
                          <w:pPr>
                            <w:spacing w:before="100" w:beforeAutospacing="1" w:after="100" w:afterAutospacing="1" w:line="400" w:lineRule="exact"/>
                            <w:jc w:val="center"/>
                            <w:rPr>
                              <w:rFonts w:ascii="Sakkal Majalla" w:hAnsi="Sakkal Majalla" w:cs="Sakkal Majalla"/>
                              <w:b/>
                              <w:bCs/>
                              <w:color w:val="002060"/>
                              <w:sz w:val="32"/>
                              <w:szCs w:val="32"/>
                            </w:rPr>
                          </w:pPr>
                          <w:r w:rsidRPr="00157B8C">
                            <w:rPr>
                              <w:rFonts w:ascii="Sakkal Majalla" w:hAnsi="Sakkal Majalla" w:cs="Sakkal Majalla"/>
                              <w:b/>
                              <w:bCs/>
                              <w:color w:val="002060"/>
                              <w:sz w:val="32"/>
                              <w:szCs w:val="32"/>
                            </w:rPr>
                            <w:t>Deputy of Reports &amp; Treaty</w:t>
                          </w:r>
                        </w:p>
                        <w:p w:rsidR="00B02B14" w:rsidRPr="00157B8C" w:rsidRDefault="00B02B14" w:rsidP="00B02B14">
                          <w:pPr>
                            <w:spacing w:before="100" w:beforeAutospacing="1" w:after="100" w:afterAutospacing="1" w:line="400" w:lineRule="exact"/>
                            <w:jc w:val="center"/>
                            <w:rPr>
                              <w:rFonts w:ascii="Sakkal Majalla" w:hAnsi="Sakkal Majalla" w:cs="Sakkal Majalla"/>
                              <w:b/>
                              <w:bCs/>
                              <w:color w:val="002060"/>
                              <w:sz w:val="32"/>
                              <w:szCs w:val="32"/>
                            </w:rPr>
                          </w:pPr>
                          <w:r w:rsidRPr="00157B8C">
                            <w:rPr>
                              <w:rFonts w:ascii="Sakkal Majalla" w:hAnsi="Sakkal Majalla" w:cs="Sakkal Majalla"/>
                              <w:b/>
                              <w:bCs/>
                              <w:color w:val="002060"/>
                              <w:sz w:val="32"/>
                              <w:szCs w:val="32"/>
                            </w:rPr>
                            <w:t>General Department of Reports &amp; Treaty</w:t>
                          </w:r>
                        </w:p>
                        <w:p w:rsidR="00B02B14" w:rsidRPr="00157B8C" w:rsidRDefault="00B02B14" w:rsidP="00B02B14">
                          <w:pPr>
                            <w:jc w:val="right"/>
                            <w:rPr>
                              <w:sz w:val="28"/>
                              <w:szCs w:val="28"/>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97F3AF" id="_x0000_t202" coordsize="21600,21600" o:spt="202" path="m,l,21600r21600,l21600,xe">
              <v:stroke joinstyle="miter"/>
              <v:path gradientshapeok="t" o:connecttype="rect"/>
            </v:shapetype>
            <v:shape id="مربع نص 2" o:spid="_x0000_s1026" type="#_x0000_t202" style="position:absolute;left:0;text-align:left;margin-left:0;margin-top:.45pt;width:189.1pt;height:100.8pt;flip:x;z-index:-2516561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" stroked="f">
              <v:textbox>
                <w:txbxContent>
                  <w:p w:rsidR="00B02B14" w:rsidRPr="00157B8C" w:rsidRDefault="00B02B14" w:rsidP="00B02B14">
                    <w:pPr>
                      <w:spacing w:before="100" w:beforeAutospacing="1" w:after="100" w:afterAutospacing="1" w:line="400" w:lineRule="exact"/>
                      <w:jc w:val="center"/>
                      <w:rPr>
                        <w:rFonts w:ascii="Sakkal Majalla" w:hAnsi="Sakkal Majalla" w:cs="Sakkal Majalla"/>
                        <w:b/>
                        <w:bCs/>
                        <w:color w:val="002060"/>
                        <w:sz w:val="32"/>
                        <w:szCs w:val="32"/>
                      </w:rPr>
                    </w:pPr>
                    <w:r w:rsidRPr="00157B8C">
                      <w:rPr>
                        <w:rFonts w:ascii="Sakkal Majalla" w:hAnsi="Sakkal Majalla" w:cs="Sakkal Majalla"/>
                        <w:b/>
                        <w:bCs/>
                        <w:color w:val="002060"/>
                        <w:sz w:val="32"/>
                        <w:szCs w:val="32"/>
                      </w:rPr>
                      <w:t>Deputy of Reports &amp; Treaty</w:t>
                    </w:r>
                  </w:p>
                  <w:p w:rsidR="00B02B14" w:rsidRPr="00157B8C" w:rsidRDefault="00B02B14" w:rsidP="00B02B14">
                    <w:pPr>
                      <w:spacing w:before="100" w:beforeAutospacing="1" w:after="100" w:afterAutospacing="1" w:line="400" w:lineRule="exact"/>
                      <w:jc w:val="center"/>
                      <w:rPr>
                        <w:rFonts w:ascii="Sakkal Majalla" w:hAnsi="Sakkal Majalla" w:cs="Sakkal Majalla"/>
                        <w:b/>
                        <w:bCs/>
                        <w:color w:val="002060"/>
                        <w:sz w:val="32"/>
                        <w:szCs w:val="32"/>
                      </w:rPr>
                    </w:pPr>
                    <w:r w:rsidRPr="00157B8C">
                      <w:rPr>
                        <w:rFonts w:ascii="Sakkal Majalla" w:hAnsi="Sakkal Majalla" w:cs="Sakkal Majalla"/>
                        <w:b/>
                        <w:bCs/>
                        <w:color w:val="002060"/>
                        <w:sz w:val="32"/>
                        <w:szCs w:val="32"/>
                      </w:rPr>
                      <w:t>General Department of Reports &amp; Treaty</w:t>
                    </w:r>
                  </w:p>
                  <w:p w:rsidR="00B02B14" w:rsidRPr="00157B8C" w:rsidRDefault="00B02B14" w:rsidP="00B02B14">
                    <w:pPr>
                      <w:jc w:val="right"/>
                      <w:rPr>
                        <w:sz w:val="28"/>
                        <w:szCs w:val="28"/>
                        <w:rtl/>
                      </w:rPr>
                    </w:pPr>
                  </w:p>
                </w:txbxContent>
              </v:textbox>
              <w10:wrap anchorx="margin"/>
            </v:shape>
          </w:pict>
        </mc:Fallback>
      </mc:AlternateContent>
    </w:r>
    <w:r w:rsidRPr="00B02B14">
      <w:rPr>
        <w:rFonts w:ascii="Simplified Arabic" w:eastAsia="Calibri" w:hAnsi="Simplified Arabic" w:cs="Simplified Arabic"/>
        <w:b/>
        <w:bCs/>
        <w:noProof/>
        <w:color w:val="002060"/>
        <w:sz w:val="28"/>
        <w:szCs w:val="28"/>
        <w:rtl/>
      </w:rPr>
      <mc:AlternateContent>
        <mc:Choice Requires="wps">
          <w:drawing>
            <wp:anchor distT="45720" distB="45720" distL="114300" distR="114300" simplePos="0" relativeHeight="251659264" behindDoc="1" locked="0" layoutInCell="1" allowOverlap="1" wp14:anchorId="4205ECF6" wp14:editId="786074C7">
              <wp:simplePos x="0" y="0"/>
              <wp:positionH relativeFrom="margin">
                <wp:align>right</wp:align>
              </wp:positionH>
              <wp:positionV relativeFrom="paragraph">
                <wp:posOffset>8834</wp:posOffset>
              </wp:positionV>
              <wp:extent cx="2286000" cy="923925"/>
              <wp:effectExtent l="0" t="0" r="0" b="9525"/>
              <wp:wrapNone/>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86000" cy="923925"/>
                      </a:xfrm>
                      <a:prstGeom prst="rect">
                        <a:avLst/>
                      </a:prstGeom>
                      <a:solidFill>
                        <a:srgbClr val="FFFFFF"/>
                      </a:solidFill>
                      <a:ln w="9525">
                        <a:noFill/>
                        <a:miter lim="800000"/>
                        <a:headEnd/>
                        <a:tailEnd/>
                      </a:ln>
                    </wps:spPr>
                    <wps:txbx>
                      <w:txbxContent>
                        <w:p w:rsidR="00B02B14" w:rsidRPr="00DB4CEE" w:rsidRDefault="00332AA6" w:rsidP="00B02B14">
                          <w:pPr>
                            <w:spacing w:line="240" w:lineRule="auto"/>
                            <w:jc w:val="center"/>
                            <w:rPr>
                              <w:rFonts w:ascii="Sakkal Majalla" w:hAnsi="Sakkal Majalla" w:cs="Sakkal Majalla"/>
                              <w:b/>
                              <w:bCs/>
                              <w:color w:val="002060"/>
                              <w:sz w:val="32"/>
                              <w:szCs w:val="32"/>
                              <w:rtl/>
                            </w:rPr>
                          </w:pPr>
                          <w:r>
                            <w:rPr>
                              <w:rFonts w:ascii="Sakkal Majalla" w:hAnsi="Sakkal Majalla" w:cs="Sakkal Majalla"/>
                              <w:b/>
                              <w:bCs/>
                              <w:color w:val="002060"/>
                              <w:sz w:val="32"/>
                              <w:szCs w:val="32"/>
                            </w:rPr>
                            <w:t>Ref: HRC/DRT/TR/66</w:t>
                          </w:r>
                        </w:p>
                        <w:p w:rsidR="00B02B14" w:rsidRPr="00157B8C" w:rsidRDefault="00332AA6" w:rsidP="00B02B14">
                          <w:pPr>
                            <w:spacing w:before="100" w:beforeAutospacing="1" w:after="100" w:afterAutospacing="1" w:line="400" w:lineRule="exact"/>
                            <w:jc w:val="center"/>
                            <w:rPr>
                              <w:rFonts w:ascii="Sakkal Majalla" w:hAnsi="Sakkal Majalla" w:cs="Sakkal Majalla"/>
                              <w:b/>
                              <w:bCs/>
                              <w:color w:val="002060"/>
                              <w:sz w:val="32"/>
                              <w:szCs w:val="32"/>
                              <w:rtl/>
                            </w:rPr>
                          </w:pPr>
                          <w:r>
                            <w:rPr>
                              <w:rFonts w:ascii="Sakkal Majalla" w:hAnsi="Sakkal Majalla" w:cs="Sakkal Majalla"/>
                              <w:b/>
                              <w:bCs/>
                              <w:color w:val="002060"/>
                              <w:sz w:val="32"/>
                              <w:szCs w:val="32"/>
                            </w:rPr>
                            <w:t>Date: 21</w:t>
                          </w:r>
                          <w:r w:rsidR="00B02B14" w:rsidRPr="00157B8C">
                            <w:rPr>
                              <w:rFonts w:ascii="Sakkal Majalla" w:hAnsi="Sakkal Majalla" w:cs="Sakkal Majalla"/>
                              <w:b/>
                              <w:bCs/>
                              <w:color w:val="002060"/>
                              <w:sz w:val="32"/>
                              <w:szCs w:val="32"/>
                            </w:rPr>
                            <w:t>/03/2022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05ECF6" id="_x0000_s1027" type="#_x0000_t202" style="position:absolute;left:0;text-align:left;margin-left:128.8pt;margin-top:.7pt;width:180pt;height:72.75pt;flip:x;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" stroked="f">
              <v:textbox>
                <w:txbxContent>
                  <w:p w:rsidR="00B02B14" w:rsidRPr="00DB4CEE" w:rsidRDefault="00332AA6" w:rsidP="00B02B14">
                    <w:pPr>
                      <w:spacing w:line="240" w:lineRule="auto"/>
                      <w:jc w:val="center"/>
                      <w:rPr>
                        <w:rFonts w:ascii="Sakkal Majalla" w:hAnsi="Sakkal Majalla" w:cs="Sakkal Majalla"/>
                        <w:b/>
                        <w:bCs/>
                        <w:color w:val="002060"/>
                        <w:sz w:val="32"/>
                        <w:szCs w:val="32"/>
                        <w:rtl/>
                      </w:rPr>
                    </w:pPr>
                    <w:r>
                      <w:rPr>
                        <w:rFonts w:ascii="Sakkal Majalla" w:hAnsi="Sakkal Majalla" w:cs="Sakkal Majalla"/>
                        <w:b/>
                        <w:bCs/>
                        <w:color w:val="002060"/>
                        <w:sz w:val="32"/>
                        <w:szCs w:val="32"/>
                      </w:rPr>
                      <w:t>Ref: HRC/DRT/TR/66</w:t>
                    </w:r>
                  </w:p>
                  <w:p w:rsidR="00B02B14" w:rsidRPr="00157B8C" w:rsidRDefault="00332AA6" w:rsidP="00B02B14">
                    <w:pPr>
                      <w:spacing w:before="100" w:beforeAutospacing="1" w:after="100" w:afterAutospacing="1" w:line="400" w:lineRule="exact"/>
                      <w:jc w:val="center"/>
                      <w:rPr>
                        <w:rFonts w:ascii="Sakkal Majalla" w:hAnsi="Sakkal Majalla" w:cs="Sakkal Majalla"/>
                        <w:b/>
                        <w:bCs/>
                        <w:color w:val="002060"/>
                        <w:sz w:val="32"/>
                        <w:szCs w:val="32"/>
                        <w:rtl/>
                      </w:rPr>
                    </w:pPr>
                    <w:r>
                      <w:rPr>
                        <w:rFonts w:ascii="Sakkal Majalla" w:hAnsi="Sakkal Majalla" w:cs="Sakkal Majalla"/>
                        <w:b/>
                        <w:bCs/>
                        <w:color w:val="002060"/>
                        <w:sz w:val="32"/>
                        <w:szCs w:val="32"/>
                      </w:rPr>
                      <w:t>Date: 21</w:t>
                    </w:r>
                    <w:r w:rsidR="00B02B14" w:rsidRPr="00157B8C">
                      <w:rPr>
                        <w:rFonts w:ascii="Sakkal Majalla" w:hAnsi="Sakkal Majalla" w:cs="Sakkal Majalla"/>
                        <w:b/>
                        <w:bCs/>
                        <w:color w:val="002060"/>
                        <w:sz w:val="32"/>
                        <w:szCs w:val="32"/>
                      </w:rPr>
                      <w:t>/03/2022</w:t>
                    </w:r>
                  </w:p>
                </w:txbxContent>
              </v:textbox>
              <w10:wrap anchorx="margin"/>
            </v:shape>
          </w:pict>
        </mc:Fallback>
      </mc:AlternateContent>
    </w:r>
  </w:p>
  <w:p w:rsidR="00332AA6" w:rsidRPr="00B02B14" w:rsidRDefault="00332AA6" w:rsidP="00332AA6">
    <w:pPr>
      <w:tabs>
        <w:tab w:val="left" w:pos="7693"/>
      </w:tabs>
      <w:bidi/>
      <w:spacing w:line="240" w:lineRule="auto"/>
      <w:rPr>
        <w:rFonts w:ascii="Sakkal Majalla" w:eastAsia="Calibri" w:hAnsi="Sakkal Majalla" w:cs="Sakkal Majalla" w:hint="cs"/>
        <w:b/>
        <w:bCs/>
        <w:color w:val="002060"/>
        <w:sz w:val="32"/>
        <w:szCs w:val="32"/>
      </w:rPr>
    </w:pPr>
  </w:p>
  <w:p w:rsidR="00581525" w:rsidRDefault="00581525">
    <w:pPr>
      <w:pStyle w:val="a7"/>
    </w:pPr>
  </w:p>
  <w:p w:rsidR="00B02B14" w:rsidRDefault="00B02B14">
    <w:pPr>
      <w:pStyle w:val="a7"/>
    </w:pPr>
  </w:p>
  <w:p w:rsidR="00B02B14" w:rsidRDefault="00B02B14">
    <w:pPr>
      <w:pStyle w:val="a7"/>
    </w:pPr>
  </w:p>
  <w:p w:rsidR="00B02B14" w:rsidRDefault="00B02B14">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088F"/>
    <w:multiLevelType w:val="hybridMultilevel"/>
    <w:tmpl w:val="25A6B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1DD"/>
    <w:rsid w:val="00042804"/>
    <w:rsid w:val="00072642"/>
    <w:rsid w:val="000F1B1D"/>
    <w:rsid w:val="001527A4"/>
    <w:rsid w:val="0019677C"/>
    <w:rsid w:val="001C61EE"/>
    <w:rsid w:val="0024595B"/>
    <w:rsid w:val="00267EB2"/>
    <w:rsid w:val="002A6D96"/>
    <w:rsid w:val="002C1593"/>
    <w:rsid w:val="003024E0"/>
    <w:rsid w:val="00332AA6"/>
    <w:rsid w:val="00350654"/>
    <w:rsid w:val="0035252E"/>
    <w:rsid w:val="003B06D3"/>
    <w:rsid w:val="004353EB"/>
    <w:rsid w:val="0049092F"/>
    <w:rsid w:val="004B7B3A"/>
    <w:rsid w:val="004F7C9A"/>
    <w:rsid w:val="00501B26"/>
    <w:rsid w:val="005053CD"/>
    <w:rsid w:val="00581525"/>
    <w:rsid w:val="005C7687"/>
    <w:rsid w:val="00633153"/>
    <w:rsid w:val="006339F5"/>
    <w:rsid w:val="00637365"/>
    <w:rsid w:val="00660DFF"/>
    <w:rsid w:val="006871DD"/>
    <w:rsid w:val="007633B9"/>
    <w:rsid w:val="0093785F"/>
    <w:rsid w:val="00967707"/>
    <w:rsid w:val="00985FC0"/>
    <w:rsid w:val="009E42F6"/>
    <w:rsid w:val="009F3814"/>
    <w:rsid w:val="009F4D40"/>
    <w:rsid w:val="00A4085E"/>
    <w:rsid w:val="00A70ACB"/>
    <w:rsid w:val="00AA1A85"/>
    <w:rsid w:val="00AA32CA"/>
    <w:rsid w:val="00AD465D"/>
    <w:rsid w:val="00B02B14"/>
    <w:rsid w:val="00B91ECF"/>
    <w:rsid w:val="00C46B9B"/>
    <w:rsid w:val="00C644F4"/>
    <w:rsid w:val="00CA346B"/>
    <w:rsid w:val="00D1177E"/>
    <w:rsid w:val="00D5007A"/>
    <w:rsid w:val="00D51614"/>
    <w:rsid w:val="00D767BC"/>
    <w:rsid w:val="00DB4249"/>
    <w:rsid w:val="00E440BE"/>
    <w:rsid w:val="00E9524E"/>
    <w:rsid w:val="00EB499C"/>
    <w:rsid w:val="00F4228C"/>
    <w:rsid w:val="00F941D2"/>
    <w:rsid w:val="00FA7E02"/>
    <w:rsid w:val="00FE1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334E6"/>
  <w15:chartTrackingRefBased/>
  <w15:docId w15:val="{4A663F6A-C5B7-428E-B500-F0C02F15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3EB"/>
  </w:style>
  <w:style w:type="paragraph" w:styleId="1">
    <w:name w:val="heading 1"/>
    <w:basedOn w:val="a"/>
    <w:next w:val="a"/>
    <w:link w:val="1Char"/>
    <w:uiPriority w:val="9"/>
    <w:qFormat/>
    <w:rsid w:val="004353EB"/>
    <w:pPr>
      <w:keepNext/>
      <w:keepLines/>
      <w:spacing w:before="400" w:after="120"/>
      <w:outlineLvl w:val="0"/>
    </w:pPr>
    <w:rPr>
      <w:sz w:val="40"/>
      <w:szCs w:val="40"/>
    </w:rPr>
  </w:style>
  <w:style w:type="paragraph" w:styleId="2">
    <w:name w:val="heading 2"/>
    <w:basedOn w:val="a"/>
    <w:next w:val="a"/>
    <w:link w:val="2Char"/>
    <w:uiPriority w:val="9"/>
    <w:semiHidden/>
    <w:unhideWhenUsed/>
    <w:qFormat/>
    <w:rsid w:val="004353EB"/>
    <w:pPr>
      <w:keepNext/>
      <w:keepLines/>
      <w:spacing w:before="360" w:after="120"/>
      <w:outlineLvl w:val="1"/>
    </w:pPr>
    <w:rPr>
      <w:sz w:val="32"/>
      <w:szCs w:val="32"/>
    </w:rPr>
  </w:style>
  <w:style w:type="paragraph" w:styleId="3">
    <w:name w:val="heading 3"/>
    <w:basedOn w:val="a"/>
    <w:next w:val="a"/>
    <w:link w:val="3Char"/>
    <w:uiPriority w:val="9"/>
    <w:semiHidden/>
    <w:unhideWhenUsed/>
    <w:qFormat/>
    <w:rsid w:val="004353EB"/>
    <w:pPr>
      <w:keepNext/>
      <w:keepLines/>
      <w:spacing w:before="320" w:after="80"/>
      <w:outlineLvl w:val="2"/>
    </w:pPr>
    <w:rPr>
      <w:color w:val="434343"/>
      <w:sz w:val="28"/>
      <w:szCs w:val="28"/>
    </w:rPr>
  </w:style>
  <w:style w:type="paragraph" w:styleId="4">
    <w:name w:val="heading 4"/>
    <w:basedOn w:val="a"/>
    <w:next w:val="a"/>
    <w:link w:val="4Char"/>
    <w:uiPriority w:val="9"/>
    <w:semiHidden/>
    <w:unhideWhenUsed/>
    <w:qFormat/>
    <w:rsid w:val="004353EB"/>
    <w:pPr>
      <w:keepNext/>
      <w:keepLines/>
      <w:spacing w:before="280" w:after="80"/>
      <w:outlineLvl w:val="3"/>
    </w:pPr>
    <w:rPr>
      <w:color w:val="666666"/>
      <w:sz w:val="24"/>
      <w:szCs w:val="24"/>
    </w:rPr>
  </w:style>
  <w:style w:type="paragraph" w:styleId="5">
    <w:name w:val="heading 5"/>
    <w:basedOn w:val="a"/>
    <w:next w:val="a"/>
    <w:link w:val="5Char"/>
    <w:uiPriority w:val="9"/>
    <w:semiHidden/>
    <w:unhideWhenUsed/>
    <w:qFormat/>
    <w:rsid w:val="004353EB"/>
    <w:pPr>
      <w:keepNext/>
      <w:keepLines/>
      <w:spacing w:before="240" w:after="80"/>
      <w:outlineLvl w:val="4"/>
    </w:pPr>
    <w:rPr>
      <w:color w:val="666666"/>
    </w:rPr>
  </w:style>
  <w:style w:type="paragraph" w:styleId="6">
    <w:name w:val="heading 6"/>
    <w:basedOn w:val="a"/>
    <w:next w:val="a"/>
    <w:link w:val="6Char"/>
    <w:uiPriority w:val="9"/>
    <w:semiHidden/>
    <w:unhideWhenUsed/>
    <w:qFormat/>
    <w:rsid w:val="004353EB"/>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4353EB"/>
    <w:rPr>
      <w:sz w:val="40"/>
      <w:szCs w:val="40"/>
    </w:rPr>
  </w:style>
  <w:style w:type="character" w:customStyle="1" w:styleId="2Char">
    <w:name w:val="عنوان 2 Char"/>
    <w:basedOn w:val="a0"/>
    <w:link w:val="2"/>
    <w:uiPriority w:val="9"/>
    <w:semiHidden/>
    <w:rsid w:val="004353EB"/>
    <w:rPr>
      <w:sz w:val="32"/>
      <w:szCs w:val="32"/>
    </w:rPr>
  </w:style>
  <w:style w:type="character" w:customStyle="1" w:styleId="3Char">
    <w:name w:val="عنوان 3 Char"/>
    <w:basedOn w:val="a0"/>
    <w:link w:val="3"/>
    <w:uiPriority w:val="9"/>
    <w:semiHidden/>
    <w:rsid w:val="004353EB"/>
    <w:rPr>
      <w:color w:val="434343"/>
      <w:sz w:val="28"/>
      <w:szCs w:val="28"/>
    </w:rPr>
  </w:style>
  <w:style w:type="character" w:customStyle="1" w:styleId="4Char">
    <w:name w:val="عنوان 4 Char"/>
    <w:basedOn w:val="a0"/>
    <w:link w:val="4"/>
    <w:uiPriority w:val="9"/>
    <w:semiHidden/>
    <w:rsid w:val="004353EB"/>
    <w:rPr>
      <w:color w:val="666666"/>
      <w:sz w:val="24"/>
      <w:szCs w:val="24"/>
    </w:rPr>
  </w:style>
  <w:style w:type="character" w:customStyle="1" w:styleId="5Char">
    <w:name w:val="عنوان 5 Char"/>
    <w:basedOn w:val="a0"/>
    <w:link w:val="5"/>
    <w:uiPriority w:val="9"/>
    <w:semiHidden/>
    <w:rsid w:val="004353EB"/>
    <w:rPr>
      <w:color w:val="666666"/>
    </w:rPr>
  </w:style>
  <w:style w:type="character" w:customStyle="1" w:styleId="6Char">
    <w:name w:val="عنوان 6 Char"/>
    <w:basedOn w:val="a0"/>
    <w:link w:val="6"/>
    <w:uiPriority w:val="9"/>
    <w:semiHidden/>
    <w:rsid w:val="004353EB"/>
    <w:rPr>
      <w:i/>
      <w:color w:val="666666"/>
    </w:rPr>
  </w:style>
  <w:style w:type="paragraph" w:styleId="a3">
    <w:name w:val="Title"/>
    <w:basedOn w:val="a"/>
    <w:next w:val="a"/>
    <w:link w:val="Char"/>
    <w:uiPriority w:val="10"/>
    <w:qFormat/>
    <w:rsid w:val="004353EB"/>
    <w:pPr>
      <w:keepNext/>
      <w:keepLines/>
      <w:spacing w:after="60"/>
    </w:pPr>
    <w:rPr>
      <w:sz w:val="52"/>
      <w:szCs w:val="52"/>
    </w:rPr>
  </w:style>
  <w:style w:type="character" w:customStyle="1" w:styleId="Char">
    <w:name w:val="العنوان Char"/>
    <w:basedOn w:val="a0"/>
    <w:link w:val="a3"/>
    <w:uiPriority w:val="10"/>
    <w:rsid w:val="004353EB"/>
    <w:rPr>
      <w:sz w:val="52"/>
      <w:szCs w:val="52"/>
    </w:rPr>
  </w:style>
  <w:style w:type="paragraph" w:styleId="a4">
    <w:name w:val="Subtitle"/>
    <w:basedOn w:val="a"/>
    <w:next w:val="a"/>
    <w:link w:val="Char0"/>
    <w:uiPriority w:val="11"/>
    <w:qFormat/>
    <w:rsid w:val="004353EB"/>
    <w:pPr>
      <w:keepNext/>
      <w:keepLines/>
      <w:spacing w:after="320"/>
    </w:pPr>
    <w:rPr>
      <w:color w:val="666666"/>
      <w:sz w:val="30"/>
      <w:szCs w:val="30"/>
    </w:rPr>
  </w:style>
  <w:style w:type="character" w:customStyle="1" w:styleId="Char0">
    <w:name w:val="عنوان فرعي Char"/>
    <w:basedOn w:val="a0"/>
    <w:link w:val="a4"/>
    <w:uiPriority w:val="11"/>
    <w:rsid w:val="004353EB"/>
    <w:rPr>
      <w:color w:val="666666"/>
      <w:sz w:val="30"/>
      <w:szCs w:val="30"/>
    </w:rPr>
  </w:style>
  <w:style w:type="paragraph" w:styleId="a5">
    <w:name w:val="List Paragraph"/>
    <w:basedOn w:val="a"/>
    <w:uiPriority w:val="34"/>
    <w:qFormat/>
    <w:rsid w:val="004353EB"/>
    <w:pPr>
      <w:ind w:left="720"/>
      <w:contextualSpacing/>
    </w:pPr>
  </w:style>
  <w:style w:type="character" w:styleId="a6">
    <w:name w:val="Intense Reference"/>
    <w:basedOn w:val="a0"/>
    <w:uiPriority w:val="32"/>
    <w:qFormat/>
    <w:rsid w:val="004353EB"/>
    <w:rPr>
      <w:b/>
      <w:bCs/>
      <w:smallCaps/>
      <w:color w:val="4F81BD" w:themeColor="accent1"/>
      <w:spacing w:val="5"/>
    </w:rPr>
  </w:style>
  <w:style w:type="paragraph" w:styleId="a7">
    <w:name w:val="header"/>
    <w:basedOn w:val="a"/>
    <w:link w:val="Char1"/>
    <w:uiPriority w:val="99"/>
    <w:unhideWhenUsed/>
    <w:rsid w:val="00581525"/>
    <w:pPr>
      <w:tabs>
        <w:tab w:val="center" w:pos="4680"/>
        <w:tab w:val="right" w:pos="9360"/>
      </w:tabs>
      <w:spacing w:line="240" w:lineRule="auto"/>
    </w:pPr>
  </w:style>
  <w:style w:type="character" w:customStyle="1" w:styleId="Char1">
    <w:name w:val="رأس الصفحة Char"/>
    <w:basedOn w:val="a0"/>
    <w:link w:val="a7"/>
    <w:uiPriority w:val="99"/>
    <w:rsid w:val="00581525"/>
  </w:style>
  <w:style w:type="paragraph" w:styleId="a8">
    <w:name w:val="footer"/>
    <w:basedOn w:val="a"/>
    <w:link w:val="Char2"/>
    <w:uiPriority w:val="99"/>
    <w:unhideWhenUsed/>
    <w:rsid w:val="00581525"/>
    <w:pPr>
      <w:tabs>
        <w:tab w:val="center" w:pos="4680"/>
        <w:tab w:val="right" w:pos="9360"/>
      </w:tabs>
      <w:spacing w:line="240" w:lineRule="auto"/>
    </w:pPr>
  </w:style>
  <w:style w:type="character" w:customStyle="1" w:styleId="Char2">
    <w:name w:val="تذييل الصفحة Char"/>
    <w:basedOn w:val="a0"/>
    <w:link w:val="a8"/>
    <w:uiPriority w:val="99"/>
    <w:rsid w:val="00581525"/>
  </w:style>
  <w:style w:type="table" w:styleId="a9">
    <w:name w:val="Table Grid"/>
    <w:basedOn w:val="a1"/>
    <w:uiPriority w:val="39"/>
    <w:rsid w:val="00581525"/>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Char3"/>
    <w:uiPriority w:val="99"/>
    <w:semiHidden/>
    <w:unhideWhenUsed/>
    <w:rsid w:val="007633B9"/>
    <w:pPr>
      <w:spacing w:line="240" w:lineRule="auto"/>
    </w:pPr>
    <w:rPr>
      <w:rFonts w:ascii="Tahoma" w:hAnsi="Tahoma" w:cs="Tahoma"/>
      <w:sz w:val="18"/>
      <w:szCs w:val="18"/>
    </w:rPr>
  </w:style>
  <w:style w:type="character" w:customStyle="1" w:styleId="Char3">
    <w:name w:val="نص في بالون Char"/>
    <w:basedOn w:val="a0"/>
    <w:link w:val="aa"/>
    <w:uiPriority w:val="99"/>
    <w:semiHidden/>
    <w:rsid w:val="007633B9"/>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1AB5E-36F9-4CE3-A2C9-66A0BADB6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Pages>
  <Words>734</Words>
  <Characters>4185</Characters>
  <Application>Microsoft Office Word</Application>
  <DocSecurity>0</DocSecurity>
  <Lines>34</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Sameh Hawash</dc:creator>
  <cp:keywords/>
  <dc:description/>
  <cp:lastModifiedBy>نور الغامدي</cp:lastModifiedBy>
  <cp:revision>39</cp:revision>
  <cp:lastPrinted>2022-03-21T11:11:00Z</cp:lastPrinted>
  <dcterms:created xsi:type="dcterms:W3CDTF">2022-03-21T05:44:00Z</dcterms:created>
  <dcterms:modified xsi:type="dcterms:W3CDTF">2022-03-21T12:43:00Z</dcterms:modified>
</cp:coreProperties>
</file>