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AB" w:rsidRPr="00354419" w:rsidRDefault="00EB08AB" w:rsidP="00EB08AB">
      <w:pPr>
        <w:spacing w:after="0" w:line="240" w:lineRule="auto"/>
        <w:rPr>
          <w:rFonts w:ascii="Garamond" w:hAnsi="Garamond" w:cs="Arial"/>
          <w:b/>
        </w:rPr>
      </w:pPr>
      <w:r>
        <w:rPr>
          <w:rFonts w:ascii="Garamond" w:hAnsi="Garamond" w:cs="Arial"/>
          <w:b/>
          <w:noProof/>
          <w:lang w:eastAsia="fr-FR"/>
        </w:rPr>
        <mc:AlternateContent>
          <mc:Choice Requires="wps">
            <w:drawing>
              <wp:anchor distT="0" distB="0" distL="114300" distR="114300" simplePos="0" relativeHeight="251659264" behindDoc="0" locked="0" layoutInCell="1" allowOverlap="1" wp14:anchorId="2C47B0B3" wp14:editId="55528CAE">
                <wp:simplePos x="0" y="0"/>
                <wp:positionH relativeFrom="column">
                  <wp:posOffset>4234180</wp:posOffset>
                </wp:positionH>
                <wp:positionV relativeFrom="paragraph">
                  <wp:posOffset>22225</wp:posOffset>
                </wp:positionV>
                <wp:extent cx="1562100" cy="7334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33425"/>
                        </a:xfrm>
                        <a:prstGeom prst="rect">
                          <a:avLst/>
                        </a:prstGeom>
                        <a:solidFill>
                          <a:srgbClr val="FFFFFF"/>
                        </a:solidFill>
                        <a:ln w="9525">
                          <a:solidFill>
                            <a:srgbClr val="000000"/>
                          </a:solidFill>
                          <a:miter lim="800000"/>
                          <a:headEnd/>
                          <a:tailEnd/>
                        </a:ln>
                      </wps:spPr>
                      <wps:txbx>
                        <w:txbxContent>
                          <w:p w:rsidR="00EB08AB" w:rsidRDefault="00EB08AB" w:rsidP="00EB08AB">
                            <w:pPr>
                              <w:jc w:val="center"/>
                            </w:pPr>
                            <w:r w:rsidRPr="00A462CB">
                              <w:rPr>
                                <w:noProof/>
                                <w:lang w:eastAsia="fr-FR"/>
                              </w:rPr>
                              <w:drawing>
                                <wp:inline distT="0" distB="0" distL="0" distR="0" wp14:anchorId="2B7306AB" wp14:editId="76D3A7A8">
                                  <wp:extent cx="1438275" cy="676275"/>
                                  <wp:effectExtent l="19050" t="0" r="9525" b="0"/>
                                  <wp:docPr id="7" name="Image 7" descr="H:\Association-ADAKO\Statut et règlement intérieur\final status\IMAGE  ADACO OR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sociation-ADAKO\Statut et règlement intérieur\final status\IMAGE  ADACO ORIGI.png"/>
                                          <pic:cNvPicPr>
                                            <a:picLocks noChangeAspect="1" noChangeArrowheads="1"/>
                                          </pic:cNvPicPr>
                                        </pic:nvPicPr>
                                        <pic:blipFill>
                                          <a:blip r:embed="rId7" cstate="print"/>
                                          <a:srcRect/>
                                          <a:stretch>
                                            <a:fillRect/>
                                          </a:stretch>
                                        </pic:blipFill>
                                        <pic:spPr bwMode="auto">
                                          <a:xfrm>
                                            <a:off x="0" y="0"/>
                                            <a:ext cx="1447769" cy="68073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7B0B3" id="Rectangle 3" o:spid="_x0000_s1026" style="position:absolute;margin-left:333.4pt;margin-top:1.75pt;width:123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">
                <v:textbox>
                  <w:txbxContent>
                    <w:p w:rsidR="00EB08AB" w:rsidRDefault="00EB08AB" w:rsidP="00EB08AB">
                      <w:pPr>
                        <w:jc w:val="center"/>
                      </w:pPr>
                      <w:r w:rsidRPr="00A462CB">
                        <w:rPr>
                          <w:noProof/>
                          <w:lang w:eastAsia="fr-FR"/>
                        </w:rPr>
                        <w:drawing>
                          <wp:inline distT="0" distB="0" distL="0" distR="0" wp14:anchorId="2B7306AB" wp14:editId="76D3A7A8">
                            <wp:extent cx="1438275" cy="676275"/>
                            <wp:effectExtent l="19050" t="0" r="9525" b="0"/>
                            <wp:docPr id="7" name="Image 7" descr="H:\Association-ADAKO\Statut et règlement intérieur\final status\IMAGE  ADACO OR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sociation-ADAKO\Statut et règlement intérieur\final status\IMAGE  ADACO ORIGI.png"/>
                                    <pic:cNvPicPr>
                                      <a:picLocks noChangeAspect="1" noChangeArrowheads="1"/>
                                    </pic:cNvPicPr>
                                  </pic:nvPicPr>
                                  <pic:blipFill>
                                    <a:blip r:embed="rId7" cstate="print"/>
                                    <a:srcRect/>
                                    <a:stretch>
                                      <a:fillRect/>
                                    </a:stretch>
                                  </pic:blipFill>
                                  <pic:spPr bwMode="auto">
                                    <a:xfrm>
                                      <a:off x="0" y="0"/>
                                      <a:ext cx="1447769" cy="680739"/>
                                    </a:xfrm>
                                    <a:prstGeom prst="rect">
                                      <a:avLst/>
                                    </a:prstGeom>
                                    <a:noFill/>
                                    <a:ln w="9525">
                                      <a:noFill/>
                                      <a:miter lim="800000"/>
                                      <a:headEnd/>
                                      <a:tailEnd/>
                                    </a:ln>
                                  </pic:spPr>
                                </pic:pic>
                              </a:graphicData>
                            </a:graphic>
                          </wp:inline>
                        </w:drawing>
                      </w:r>
                    </w:p>
                  </w:txbxContent>
                </v:textbox>
              </v:rect>
            </w:pict>
          </mc:Fallback>
        </mc:AlternateContent>
      </w:r>
      <w:r w:rsidRPr="00354419">
        <w:rPr>
          <w:rFonts w:ascii="Garamond" w:hAnsi="Garamond" w:cs="Arial"/>
          <w:b/>
        </w:rPr>
        <w:t>ASSOCIATION POUR LE DEVENIR</w:t>
      </w:r>
    </w:p>
    <w:p w:rsidR="00EB08AB" w:rsidRPr="00354419" w:rsidRDefault="00EB08AB" w:rsidP="00EB08AB">
      <w:pPr>
        <w:spacing w:after="0" w:line="240" w:lineRule="auto"/>
        <w:rPr>
          <w:rFonts w:ascii="Garamond" w:hAnsi="Garamond" w:cs="Arial"/>
          <w:b/>
        </w:rPr>
      </w:pPr>
      <w:r w:rsidRPr="00354419">
        <w:rPr>
          <w:rFonts w:ascii="Garamond" w:hAnsi="Garamond" w:cs="Arial"/>
          <w:b/>
        </w:rPr>
        <w:t xml:space="preserve"> DES AUTOCHTONES ET DE LEUR</w:t>
      </w:r>
    </w:p>
    <w:p w:rsidR="00EB08AB" w:rsidRDefault="00EB08AB" w:rsidP="00EB08AB">
      <w:pPr>
        <w:spacing w:after="0" w:line="240" w:lineRule="auto"/>
        <w:rPr>
          <w:rFonts w:ascii="Garamond" w:hAnsi="Garamond" w:cs="Arial"/>
          <w:b/>
        </w:rPr>
      </w:pPr>
      <w:r w:rsidRPr="00354419">
        <w:rPr>
          <w:rFonts w:ascii="Garamond" w:hAnsi="Garamond" w:cs="Arial"/>
          <w:b/>
        </w:rPr>
        <w:t xml:space="preserve">   CONNAISSANCE ORIGINELLE</w:t>
      </w:r>
    </w:p>
    <w:p w:rsidR="00EB08AB" w:rsidRPr="00D43DC8" w:rsidRDefault="00EB08AB" w:rsidP="00EB08AB">
      <w:pPr>
        <w:spacing w:after="0" w:line="240" w:lineRule="auto"/>
        <w:rPr>
          <w:rFonts w:ascii="Garamond" w:hAnsi="Garamond" w:cs="Arial"/>
          <w:b/>
          <w:sz w:val="4"/>
          <w:szCs w:val="4"/>
        </w:rPr>
      </w:pPr>
    </w:p>
    <w:p w:rsidR="00EB08AB" w:rsidRPr="001374D0" w:rsidRDefault="00EB08AB" w:rsidP="00EB08AB">
      <w:pPr>
        <w:spacing w:after="0" w:line="240" w:lineRule="auto"/>
        <w:rPr>
          <w:rFonts w:ascii="Garamond" w:hAnsi="Garamond" w:cs="Arial"/>
          <w:b/>
          <w:sz w:val="20"/>
          <w:szCs w:val="20"/>
        </w:rPr>
      </w:pPr>
      <w:r>
        <w:rPr>
          <w:rFonts w:ascii="Garamond" w:hAnsi="Garamond" w:cs="Arial"/>
          <w:b/>
          <w:sz w:val="20"/>
          <w:szCs w:val="20"/>
        </w:rPr>
        <w:t xml:space="preserve">           N°……</w:t>
      </w:r>
      <w:r w:rsidRPr="001374D0">
        <w:rPr>
          <w:rFonts w:ascii="Garamond" w:hAnsi="Garamond" w:cs="Arial"/>
          <w:b/>
          <w:sz w:val="20"/>
          <w:szCs w:val="20"/>
        </w:rPr>
        <w:t>ADACO</w:t>
      </w:r>
      <w:r>
        <w:rPr>
          <w:rStyle w:val="Appelnotedebasdep"/>
          <w:rFonts w:ascii="Garamond" w:hAnsi="Garamond" w:cs="Arial"/>
          <w:b/>
          <w:sz w:val="20"/>
          <w:szCs w:val="20"/>
        </w:rPr>
        <w:footnoteReference w:id="1"/>
      </w:r>
      <w:r w:rsidRPr="001374D0">
        <w:rPr>
          <w:rFonts w:ascii="Garamond" w:hAnsi="Garamond" w:cs="Arial"/>
          <w:b/>
          <w:sz w:val="20"/>
          <w:szCs w:val="20"/>
        </w:rPr>
        <w:t>/PR</w:t>
      </w:r>
      <w:r>
        <w:rPr>
          <w:rFonts w:ascii="Garamond" w:hAnsi="Garamond" w:cs="Arial"/>
          <w:b/>
          <w:sz w:val="20"/>
          <w:szCs w:val="20"/>
        </w:rPr>
        <w:t>/SG</w:t>
      </w:r>
    </w:p>
    <w:p w:rsidR="00EB08AB" w:rsidRDefault="00EB08AB" w:rsidP="00EB08AB">
      <w:pPr>
        <w:spacing w:after="0" w:line="240" w:lineRule="auto"/>
        <w:rPr>
          <w:rFonts w:ascii="Garamond" w:hAnsi="Garamond" w:cs="Arial"/>
          <w:sz w:val="4"/>
          <w:szCs w:val="4"/>
        </w:rPr>
      </w:pPr>
    </w:p>
    <w:p w:rsidR="00EB08AB" w:rsidRPr="00EB08AB" w:rsidRDefault="00EB08AB" w:rsidP="00EB08AB">
      <w:pPr>
        <w:spacing w:after="0" w:line="240" w:lineRule="auto"/>
        <w:rPr>
          <w:rFonts w:ascii="Garamond" w:hAnsi="Garamond" w:cs="Arial"/>
          <w:sz w:val="4"/>
          <w:szCs w:val="4"/>
        </w:rPr>
      </w:pPr>
    </w:p>
    <w:p w:rsidR="00EB08AB" w:rsidRPr="00EB08AB" w:rsidRDefault="00EB08AB" w:rsidP="00EB08AB">
      <w:pPr>
        <w:spacing w:after="0" w:line="240" w:lineRule="auto"/>
        <w:rPr>
          <w:rFonts w:ascii="Garamond" w:hAnsi="Garamond" w:cs="Arial"/>
          <w:sz w:val="4"/>
          <w:szCs w:val="4"/>
        </w:rPr>
      </w:pPr>
    </w:p>
    <w:p w:rsidR="00EB08AB" w:rsidRPr="00EB08AB" w:rsidRDefault="00EB08AB" w:rsidP="00EB08AB">
      <w:pPr>
        <w:spacing w:after="0" w:line="240" w:lineRule="auto"/>
        <w:rPr>
          <w:rFonts w:ascii="Garamond" w:hAnsi="Garamond" w:cs="Arial"/>
          <w:sz w:val="4"/>
          <w:szCs w:val="4"/>
        </w:rPr>
      </w:pPr>
    </w:p>
    <w:p w:rsidR="00EB08AB" w:rsidRPr="00EB08AB" w:rsidRDefault="00EB08AB" w:rsidP="00EB08AB">
      <w:pPr>
        <w:spacing w:after="0" w:line="240" w:lineRule="auto"/>
        <w:rPr>
          <w:rFonts w:ascii="Garamond" w:hAnsi="Garamond" w:cs="Arial"/>
          <w:sz w:val="4"/>
          <w:szCs w:val="4"/>
        </w:rPr>
      </w:pPr>
    </w:p>
    <w:p w:rsidR="00EB08AB" w:rsidRPr="00EB08AB" w:rsidRDefault="00EB08AB" w:rsidP="00EB08AB">
      <w:pPr>
        <w:spacing w:after="0" w:line="240" w:lineRule="auto"/>
        <w:rPr>
          <w:rFonts w:ascii="Garamond" w:hAnsi="Garamond" w:cs="Arial"/>
          <w:sz w:val="4"/>
          <w:szCs w:val="4"/>
        </w:rPr>
      </w:pPr>
      <w:r w:rsidRPr="00EB08AB">
        <w:rPr>
          <w:rFonts w:ascii="Garamond" w:hAnsi="Garamond" w:cs="Arial"/>
          <w:sz w:val="20"/>
          <w:szCs w:val="20"/>
        </w:rPr>
        <w:t xml:space="preserve">                                                                                                                                                       </w:t>
      </w:r>
      <w:r w:rsidRPr="00EB08AB">
        <w:rPr>
          <w:rFonts w:ascii="Garamond" w:hAnsi="Garamond" w:cs="Arial"/>
          <w:sz w:val="4"/>
          <w:szCs w:val="4"/>
        </w:rPr>
        <w:t>…………………………………………………………</w:t>
      </w:r>
    </w:p>
    <w:p w:rsidR="00EB08AB" w:rsidRPr="002210CE" w:rsidRDefault="00EB08AB" w:rsidP="00EB08AB">
      <w:pPr>
        <w:spacing w:after="0" w:line="240" w:lineRule="auto"/>
        <w:rPr>
          <w:rFonts w:ascii="Garamond" w:hAnsi="Garamond" w:cs="Arial"/>
          <w:sz w:val="4"/>
          <w:szCs w:val="4"/>
        </w:rPr>
      </w:pPr>
    </w:p>
    <w:p w:rsidR="00EB08AB" w:rsidRPr="000C31E9" w:rsidRDefault="00EB08AB" w:rsidP="00EB08AB">
      <w:pPr>
        <w:spacing w:after="0" w:line="240" w:lineRule="auto"/>
        <w:rPr>
          <w:rFonts w:ascii="Garamond" w:hAnsi="Garamond" w:cs="Arial"/>
          <w:b/>
          <w:sz w:val="2"/>
        </w:rPr>
      </w:pPr>
      <w:r>
        <w:rPr>
          <w:rFonts w:ascii="Garamond" w:hAnsi="Garamond" w:cs="Arial"/>
          <w:b/>
          <w:noProof/>
          <w:sz w:val="20"/>
          <w:szCs w:val="20"/>
        </w:rPr>
        <w:t xml:space="preserve">                                                                                                                                           </w:t>
      </w:r>
      <w:r>
        <w:rPr>
          <w:rFonts w:ascii="Garamond" w:hAnsi="Garamond" w:cs="Arial"/>
          <w:b/>
          <w:noProof/>
          <w:sz w:val="20"/>
          <w:szCs w:val="20"/>
          <w:lang w:eastAsia="fr-FR"/>
        </w:rPr>
        <mc:AlternateContent>
          <mc:Choice Requires="wps">
            <w:drawing>
              <wp:inline distT="0" distB="0" distL="0" distR="0" wp14:anchorId="5AEBDE41" wp14:editId="25BA44CC">
                <wp:extent cx="1308735" cy="114300"/>
                <wp:effectExtent l="0" t="0" r="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8735" cy="114300"/>
                        </a:xfrm>
                        <a:prstGeom prst="rect">
                          <a:avLst/>
                        </a:prstGeom>
                        <a:extLst>
                          <a:ext uri="{AF507438-7753-43E0-B8FC-AC1667EBCBE1}">
                            <a14:hiddenEffects xmlns:a14="http://schemas.microsoft.com/office/drawing/2010/main">
                              <a:effectLst/>
                            </a14:hiddenEffects>
                          </a:ext>
                        </a:extLst>
                      </wps:spPr>
                      <wps:txbx>
                        <w:txbxContent>
                          <w:p w:rsidR="00EB08AB" w:rsidRPr="00E20F8C" w:rsidRDefault="00EB08AB" w:rsidP="00EB08AB">
                            <w:pPr>
                              <w:pStyle w:val="NormalWeb"/>
                              <w:spacing w:before="0" w:beforeAutospacing="0" w:after="0" w:afterAutospacing="0"/>
                              <w:jc w:val="center"/>
                              <w:rPr>
                                <w:sz w:val="20"/>
                                <w:szCs w:val="20"/>
                              </w:rPr>
                            </w:pPr>
                            <w:r w:rsidRPr="00E20F8C">
                              <w:rPr>
                                <w:color w:val="000000"/>
                                <w:sz w:val="20"/>
                                <w:szCs w:val="20"/>
                                <w14:textOutline w14:w="9525" w14:cap="flat" w14:cmpd="sng" w14:algn="ctr">
                                  <w14:solidFill>
                                    <w14:srgbClr w14:val="000000"/>
                                  </w14:solidFill>
                                  <w14:prstDash w14:val="solid"/>
                                  <w14:round/>
                                </w14:textOutline>
                              </w:rPr>
                              <w:t>Unité-Egalité-Partage</w:t>
                            </w:r>
                          </w:p>
                        </w:txbxContent>
                      </wps:txbx>
                      <wps:bodyPr wrap="square" numCol="1" fromWordArt="1">
                        <a:prstTxWarp prst="textCanDown">
                          <a:avLst>
                            <a:gd name="adj" fmla="val 33333"/>
                          </a:avLst>
                        </a:prstTxWarp>
                        <a:spAutoFit/>
                      </wps:bodyPr>
                    </wps:wsp>
                  </a:graphicData>
                </a:graphic>
              </wp:inline>
            </w:drawing>
          </mc:Choice>
          <mc:Fallback>
            <w:pict>
              <v:shapetype w14:anchorId="5AEBDE41" id="_x0000_t202" coordsize="21600,21600" o:spt="202" path="m,l,21600r21600,l21600,xe">
                <v:stroke joinstyle="miter"/>
                <v:path gradientshapeok="t" o:connecttype="rect"/>
              </v:shapetype>
              <v:shape id="Zone de texte 2" o:spid="_x0000_s1027" type="#_x0000_t202" style="width:103.0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" filled="f" stroked="f">
                <o:lock v:ext="edit" shapetype="t"/>
                <v:textbox style="mso-fit-shape-to-text:t">
                  <w:txbxContent>
                    <w:p w:rsidR="00EB08AB" w:rsidRPr="00E20F8C" w:rsidRDefault="00EB08AB" w:rsidP="00EB08AB">
                      <w:pPr>
                        <w:pStyle w:val="NormalWeb"/>
                        <w:spacing w:before="0" w:beforeAutospacing="0" w:after="0" w:afterAutospacing="0"/>
                        <w:jc w:val="center"/>
                        <w:rPr>
                          <w:sz w:val="20"/>
                          <w:szCs w:val="20"/>
                        </w:rPr>
                      </w:pPr>
                      <w:r w:rsidRPr="00E20F8C">
                        <w:rPr>
                          <w:color w:val="000000"/>
                          <w:sz w:val="20"/>
                          <w:szCs w:val="20"/>
                          <w14:textOutline w14:w="9525" w14:cap="flat" w14:cmpd="sng" w14:algn="ctr">
                            <w14:solidFill>
                              <w14:srgbClr w14:val="000000"/>
                            </w14:solidFill>
                            <w14:prstDash w14:val="solid"/>
                            <w14:round/>
                          </w14:textOutline>
                        </w:rPr>
                        <w:t>Unité-Egalité-Partage</w:t>
                      </w:r>
                    </w:p>
                  </w:txbxContent>
                </v:textbox>
                <w10:anchorlock/>
              </v:shape>
            </w:pict>
          </mc:Fallback>
        </mc:AlternateContent>
      </w:r>
    </w:p>
    <w:p w:rsidR="00EB08AB" w:rsidRPr="00EE4CC9" w:rsidRDefault="00EB08AB" w:rsidP="00EB08AB">
      <w:pPr>
        <w:spacing w:after="0" w:line="240" w:lineRule="auto"/>
        <w:rPr>
          <w:rFonts w:ascii="Garamond" w:hAnsi="Garamond"/>
          <w:sz w:val="24"/>
          <w:szCs w:val="24"/>
        </w:rPr>
      </w:pPr>
    </w:p>
    <w:p w:rsidR="00EB08AB" w:rsidRPr="00B433EC" w:rsidRDefault="00EB08AB" w:rsidP="00EE4CC9">
      <w:pPr>
        <w:shd w:val="clear" w:color="auto" w:fill="FFFFFF"/>
        <w:spacing w:after="0" w:line="240" w:lineRule="auto"/>
        <w:jc w:val="center"/>
        <w:outlineLvl w:val="1"/>
        <w:rPr>
          <w:rFonts w:ascii="Arial" w:eastAsia="Times New Roman" w:hAnsi="Arial" w:cs="Arial"/>
          <w:bCs/>
          <w:sz w:val="24"/>
          <w:szCs w:val="24"/>
          <w:lang w:eastAsia="fr-FR"/>
        </w:rPr>
      </w:pPr>
      <w:r w:rsidRPr="00B433EC">
        <w:rPr>
          <w:rFonts w:ascii="Arial" w:hAnsi="Arial" w:cs="Arial"/>
          <w:b/>
          <w:sz w:val="24"/>
          <w:szCs w:val="24"/>
        </w:rPr>
        <w:t>Propositions de l’association ADACO relatives à l’appel</w:t>
      </w:r>
      <w:r w:rsidRPr="00B433EC">
        <w:rPr>
          <w:rFonts w:ascii="Arial" w:eastAsia="Times New Roman" w:hAnsi="Arial" w:cs="Arial"/>
          <w:b/>
          <w:bCs/>
          <w:sz w:val="24"/>
          <w:szCs w:val="24"/>
          <w:lang w:eastAsia="fr-FR"/>
        </w:rPr>
        <w:t xml:space="preserve"> à soumissions sur l’Étude sur les </w:t>
      </w:r>
      <w:r w:rsidRPr="00B433EC">
        <w:rPr>
          <w:rFonts w:ascii="Arial" w:eastAsia="Times New Roman" w:hAnsi="Arial" w:cs="Arial"/>
          <w:b/>
          <w:bCs/>
          <w:i/>
          <w:sz w:val="24"/>
          <w:szCs w:val="24"/>
          <w:lang w:eastAsia="fr-FR"/>
        </w:rPr>
        <w:t>« Traités, accords et autres arrangements constructifs entre les peuples autochtones et les États, y compris les accords de paix et les initiatives de réconciliation, et leur reconnaissance constitutionnelle »</w:t>
      </w:r>
    </w:p>
    <w:p w:rsidR="00B433EC" w:rsidRPr="00B433EC" w:rsidRDefault="00B433EC" w:rsidP="00B433EC">
      <w:pPr>
        <w:shd w:val="clear" w:color="auto" w:fill="FFFFFF"/>
        <w:spacing w:after="0" w:line="240" w:lineRule="auto"/>
        <w:jc w:val="both"/>
        <w:outlineLvl w:val="1"/>
        <w:rPr>
          <w:rFonts w:ascii="Arial" w:eastAsia="Times New Roman" w:hAnsi="Arial" w:cs="Arial"/>
          <w:bCs/>
          <w:sz w:val="16"/>
          <w:szCs w:val="16"/>
          <w:lang w:eastAsia="fr-FR"/>
        </w:rPr>
      </w:pPr>
    </w:p>
    <w:p w:rsidR="00B433EC" w:rsidRPr="00EE4CC9" w:rsidRDefault="00B433EC" w:rsidP="00B433EC">
      <w:pPr>
        <w:shd w:val="clear" w:color="auto" w:fill="FFFFFF"/>
        <w:spacing w:after="0" w:line="240" w:lineRule="auto"/>
        <w:jc w:val="center"/>
        <w:outlineLvl w:val="1"/>
        <w:rPr>
          <w:rFonts w:ascii="Arial" w:eastAsia="Times New Roman" w:hAnsi="Arial" w:cs="Arial"/>
          <w:bCs/>
          <w:sz w:val="24"/>
          <w:szCs w:val="24"/>
          <w:lang w:eastAsia="fr-FR"/>
        </w:rPr>
      </w:pPr>
      <w:r w:rsidRPr="00EE4CC9">
        <w:rPr>
          <w:rFonts w:ascii="Arial" w:eastAsia="Times New Roman" w:hAnsi="Arial" w:cs="Arial"/>
          <w:bCs/>
          <w:sz w:val="24"/>
          <w:szCs w:val="24"/>
          <w:lang w:eastAsia="fr-FR"/>
        </w:rPr>
        <w:t>………………………………………</w:t>
      </w:r>
    </w:p>
    <w:p w:rsidR="00EB08AB" w:rsidRPr="00EE4CC9" w:rsidRDefault="00EB08AB" w:rsidP="00EE4CC9">
      <w:pPr>
        <w:spacing w:after="0" w:line="240" w:lineRule="auto"/>
        <w:jc w:val="both"/>
        <w:rPr>
          <w:rFonts w:ascii="Arial" w:hAnsi="Arial" w:cs="Arial"/>
          <w:b/>
          <w:sz w:val="24"/>
          <w:szCs w:val="24"/>
        </w:rPr>
      </w:pPr>
    </w:p>
    <w:p w:rsidR="00B433EC" w:rsidRPr="00EE4CC9" w:rsidRDefault="006B0595"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sidRPr="00EE4CC9">
        <w:rPr>
          <w:rFonts w:ascii="Arial" w:eastAsia="Times New Roman" w:hAnsi="Arial" w:cs="Arial"/>
          <w:b/>
          <w:sz w:val="24"/>
          <w:szCs w:val="24"/>
          <w:lang w:eastAsia="fr-FR"/>
        </w:rPr>
        <w:t xml:space="preserve">1 </w:t>
      </w:r>
      <w:r w:rsidR="00B433EC" w:rsidRPr="00EE4CC9">
        <w:rPr>
          <w:rFonts w:ascii="Arial" w:eastAsia="Times New Roman" w:hAnsi="Arial" w:cs="Arial"/>
          <w:b/>
          <w:sz w:val="24"/>
          <w:szCs w:val="24"/>
          <w:lang w:eastAsia="fr-FR"/>
        </w:rPr>
        <w:t>• Examiner les types de traités, accords et autres arrangements constructifs que les peuples autochtones ont conclus ou sont en train de conclure avec les États, y compris les accords de paix et les initiatives de réconciliation, et leur reconnaissance constitutionnelle</w:t>
      </w:r>
      <w:r w:rsidR="00B433EC" w:rsidRPr="00EE4CC9">
        <w:rPr>
          <w:rFonts w:ascii="Arial" w:eastAsia="Times New Roman" w:hAnsi="Arial" w:cs="Arial"/>
          <w:sz w:val="24"/>
          <w:szCs w:val="24"/>
          <w:lang w:eastAsia="fr-FR"/>
        </w:rPr>
        <w:t>.</w:t>
      </w:r>
    </w:p>
    <w:p w:rsidR="00EE4CC9" w:rsidRPr="00EE4CC9" w:rsidRDefault="00EE4CC9"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F14E0F" w:rsidRDefault="00F14E0F"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ab/>
      </w:r>
      <w:r w:rsidR="00EE4CC9" w:rsidRPr="00EE4CC9">
        <w:rPr>
          <w:rFonts w:ascii="Arial" w:hAnsi="Arial" w:cs="Arial"/>
          <w:sz w:val="24"/>
          <w:szCs w:val="24"/>
        </w:rPr>
        <w:t xml:space="preserve">La législation Gabonaise </w:t>
      </w:r>
      <w:r>
        <w:rPr>
          <w:rFonts w:ascii="Arial" w:hAnsi="Arial" w:cs="Arial"/>
          <w:sz w:val="24"/>
          <w:szCs w:val="24"/>
        </w:rPr>
        <w:t>ne reconnait pas le concept de « peuple autochtones » mais certains</w:t>
      </w:r>
      <w:r w:rsidR="00EE4CC9" w:rsidRPr="00EE4CC9">
        <w:rPr>
          <w:rFonts w:ascii="Arial" w:hAnsi="Arial" w:cs="Arial"/>
          <w:sz w:val="24"/>
          <w:szCs w:val="24"/>
        </w:rPr>
        <w:t xml:space="preserve"> textes prévoient le concept de « communautés locales » ou de « communautés villageoises » qui b</w:t>
      </w:r>
      <w:r>
        <w:rPr>
          <w:rFonts w:ascii="Arial" w:hAnsi="Arial" w:cs="Arial"/>
          <w:sz w:val="24"/>
          <w:szCs w:val="24"/>
        </w:rPr>
        <w:t>énéficient de droits coutumiers</w:t>
      </w:r>
      <w:r w:rsidR="00EE4CC9" w:rsidRPr="00EE4CC9">
        <w:rPr>
          <w:rFonts w:ascii="Arial" w:hAnsi="Arial" w:cs="Arial"/>
          <w:sz w:val="24"/>
          <w:szCs w:val="24"/>
        </w:rPr>
        <w:t xml:space="preserve"> notamment en matière foncière et forestières.</w:t>
      </w:r>
      <w:r>
        <w:rPr>
          <w:rFonts w:ascii="Arial" w:hAnsi="Arial" w:cs="Arial"/>
          <w:sz w:val="24"/>
          <w:szCs w:val="24"/>
        </w:rPr>
        <w:t xml:space="preserve"> </w:t>
      </w:r>
    </w:p>
    <w:p w:rsidR="00EE4CC9" w:rsidRDefault="00F14E0F"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ab/>
        <w:t xml:space="preserve">Ainsi, la </w:t>
      </w:r>
      <w:r w:rsidR="00EE4CC9" w:rsidRPr="00EE4CC9">
        <w:rPr>
          <w:rFonts w:ascii="Arial" w:hAnsi="Arial" w:cs="Arial"/>
          <w:sz w:val="24"/>
          <w:szCs w:val="24"/>
        </w:rPr>
        <w:t>Constitution de la République Gabonaise</w:t>
      </w:r>
      <w:r>
        <w:rPr>
          <w:rFonts w:ascii="Arial" w:hAnsi="Arial" w:cs="Arial"/>
          <w:sz w:val="24"/>
          <w:szCs w:val="24"/>
        </w:rPr>
        <w:t xml:space="preserve"> prévoit ce qui suit</w:t>
      </w:r>
      <w:r w:rsidR="00EE4CC9" w:rsidRPr="00EE4CC9">
        <w:rPr>
          <w:rFonts w:ascii="Arial" w:hAnsi="Arial" w:cs="Arial"/>
          <w:sz w:val="24"/>
          <w:szCs w:val="24"/>
        </w:rPr>
        <w:t xml:space="preserve"> : </w:t>
      </w:r>
    </w:p>
    <w:p w:rsidR="00F14E0F" w:rsidRDefault="00EE4CC9" w:rsidP="00F14E0F">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Article 2 : reconnait « l’égalité de tous les citoyens devant la loi, sans distinction d’origine, de race, de</w:t>
      </w:r>
      <w:r w:rsidR="00F14E0F">
        <w:rPr>
          <w:rFonts w:ascii="Arial" w:hAnsi="Arial" w:cs="Arial"/>
          <w:sz w:val="24"/>
          <w:szCs w:val="24"/>
        </w:rPr>
        <w:t xml:space="preserve"> sexe, d’opinion ou de religion</w:t>
      </w:r>
      <w:r w:rsidRPr="00F14E0F">
        <w:rPr>
          <w:rFonts w:ascii="Arial" w:hAnsi="Arial" w:cs="Arial"/>
          <w:sz w:val="24"/>
          <w:szCs w:val="24"/>
        </w:rPr>
        <w:t xml:space="preserve"> »</w:t>
      </w:r>
      <w:r w:rsidR="00F14E0F">
        <w:rPr>
          <w:rFonts w:ascii="Arial" w:hAnsi="Arial" w:cs="Arial"/>
          <w:sz w:val="24"/>
          <w:szCs w:val="24"/>
        </w:rPr>
        <w:t>.</w:t>
      </w:r>
      <w:r w:rsidRPr="00F14E0F">
        <w:rPr>
          <w:rFonts w:ascii="Arial" w:hAnsi="Arial" w:cs="Arial"/>
          <w:sz w:val="24"/>
          <w:szCs w:val="24"/>
        </w:rPr>
        <w:t xml:space="preserve"> </w:t>
      </w:r>
    </w:p>
    <w:p w:rsidR="00EE4CC9" w:rsidRPr="00F14E0F" w:rsidRDefault="00EE4CC9" w:rsidP="00F14E0F">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 xml:space="preserve">Loi n° 016/2001 portant code forestier en République Gabonaise </w:t>
      </w:r>
      <w:r w:rsidR="00F14E0F" w:rsidRPr="00F14E0F">
        <w:rPr>
          <w:rFonts w:ascii="Arial" w:hAnsi="Arial" w:cs="Arial"/>
          <w:sz w:val="24"/>
          <w:szCs w:val="24"/>
        </w:rPr>
        <w:t xml:space="preserve">stipule </w:t>
      </w:r>
      <w:r w:rsidRPr="00F14E0F">
        <w:rPr>
          <w:rFonts w:ascii="Arial" w:hAnsi="Arial" w:cs="Arial"/>
          <w:sz w:val="24"/>
          <w:szCs w:val="24"/>
        </w:rPr>
        <w:t xml:space="preserve">: </w:t>
      </w:r>
    </w:p>
    <w:p w:rsidR="00F14E0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Article 4 : Les communautés locales sont identifiées de manière générale comme étant des « communautés autochtones et villageoises »</w:t>
      </w:r>
      <w:r w:rsidR="00F14E0F">
        <w:rPr>
          <w:rFonts w:ascii="Arial" w:hAnsi="Arial" w:cs="Arial"/>
          <w:sz w:val="24"/>
          <w:szCs w:val="24"/>
        </w:rPr>
        <w:t>.</w:t>
      </w:r>
      <w:r w:rsidRPr="00F14E0F">
        <w:rPr>
          <w:rFonts w:ascii="Arial" w:hAnsi="Arial" w:cs="Arial"/>
          <w:sz w:val="24"/>
          <w:szCs w:val="24"/>
        </w:rPr>
        <w:t xml:space="preserve"> </w:t>
      </w:r>
    </w:p>
    <w:p w:rsidR="00F14E0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Article 12 : Le domaine forestier rural est constitué des terres et forêts dont la jouissance est réservée aux communautés villageoises, selon les modalités déterminées par voie réglementai</w:t>
      </w:r>
      <w:r w:rsidR="00F14E0F">
        <w:rPr>
          <w:rFonts w:ascii="Arial" w:hAnsi="Arial" w:cs="Arial"/>
          <w:sz w:val="24"/>
          <w:szCs w:val="24"/>
        </w:rPr>
        <w:t>re.</w:t>
      </w:r>
    </w:p>
    <w:p w:rsidR="00F14E0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Article 14 : Reconnait que ces communautés jouissent de « droits d’usage coutumiers »</w:t>
      </w:r>
      <w:r w:rsidR="00F14E0F">
        <w:rPr>
          <w:rFonts w:ascii="Arial" w:hAnsi="Arial" w:cs="Arial"/>
          <w:sz w:val="24"/>
          <w:szCs w:val="24"/>
        </w:rPr>
        <w:t>.</w:t>
      </w:r>
      <w:r w:rsidRPr="00F14E0F">
        <w:rPr>
          <w:rFonts w:ascii="Arial" w:hAnsi="Arial" w:cs="Arial"/>
          <w:sz w:val="24"/>
          <w:szCs w:val="24"/>
        </w:rPr>
        <w:t xml:space="preserve"> </w:t>
      </w:r>
    </w:p>
    <w:p w:rsidR="00F14E0F" w:rsidRPr="00F14E0F" w:rsidRDefault="00EE4CC9" w:rsidP="00F14E0F">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Décret n° 692/PR/MEFEPEPN fixant les conditions d'exercice des droits d'usage coutumiers en matière de forêt, de faune, de chasse et de pêche</w:t>
      </w:r>
      <w:r w:rsidR="00F14E0F">
        <w:rPr>
          <w:rFonts w:ascii="Arial" w:hAnsi="Arial" w:cs="Arial"/>
          <w:sz w:val="24"/>
          <w:szCs w:val="24"/>
        </w:rPr>
        <w:t xml:space="preserve"> précise que </w:t>
      </w:r>
      <w:r w:rsidRPr="00F14E0F">
        <w:rPr>
          <w:rFonts w:ascii="Arial" w:hAnsi="Arial" w:cs="Arial"/>
          <w:sz w:val="24"/>
          <w:szCs w:val="24"/>
        </w:rPr>
        <w:t xml:space="preserve">: </w:t>
      </w:r>
    </w:p>
    <w:p w:rsidR="00F14E0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Article 2 : Les droits d’</w:t>
      </w:r>
      <w:r w:rsidR="00F14E0F">
        <w:rPr>
          <w:rFonts w:ascii="Arial" w:hAnsi="Arial" w:cs="Arial"/>
          <w:sz w:val="24"/>
          <w:szCs w:val="24"/>
        </w:rPr>
        <w:t>usage coutumiers portent sur :</w:t>
      </w:r>
      <w:r w:rsidRPr="00F14E0F">
        <w:rPr>
          <w:rFonts w:ascii="Arial" w:hAnsi="Arial" w:cs="Arial"/>
          <w:sz w:val="24"/>
          <w:szCs w:val="24"/>
        </w:rPr>
        <w:t xml:space="preserve"> </w:t>
      </w:r>
    </w:p>
    <w:p w:rsidR="00F14E0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 xml:space="preserve">L’utilisation des arbres comme bois de construction et du bois mort ou des </w:t>
      </w:r>
      <w:r w:rsidR="00F14E0F">
        <w:rPr>
          <w:rFonts w:ascii="Arial" w:hAnsi="Arial" w:cs="Arial"/>
          <w:sz w:val="24"/>
          <w:szCs w:val="24"/>
        </w:rPr>
        <w:t xml:space="preserve">branchages comme bois de feu ; </w:t>
      </w:r>
    </w:p>
    <w:p w:rsidR="006F42D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La récolte des produits forestiers secondaires tels que les écorces, le latex, les champignons, les plantes médicinales</w:t>
      </w:r>
      <w:r w:rsidR="006F42DF">
        <w:rPr>
          <w:rFonts w:ascii="Arial" w:hAnsi="Arial" w:cs="Arial"/>
          <w:sz w:val="24"/>
          <w:szCs w:val="24"/>
        </w:rPr>
        <w:t xml:space="preserve"> ou comestibles, les pierres ;</w:t>
      </w:r>
    </w:p>
    <w:p w:rsidR="006F42D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L’agriculture, la chasse</w:t>
      </w:r>
      <w:r w:rsidR="006F42DF">
        <w:rPr>
          <w:rFonts w:ascii="Arial" w:hAnsi="Arial" w:cs="Arial"/>
          <w:sz w:val="24"/>
          <w:szCs w:val="24"/>
        </w:rPr>
        <w:t xml:space="preserve"> et la pêche de subsistance ;</w:t>
      </w:r>
    </w:p>
    <w:p w:rsidR="006F42D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Le pâturage en clairières et l'utilisation de branches e</w:t>
      </w:r>
      <w:r w:rsidR="006F42DF">
        <w:rPr>
          <w:rFonts w:ascii="Arial" w:hAnsi="Arial" w:cs="Arial"/>
          <w:sz w:val="24"/>
          <w:szCs w:val="24"/>
        </w:rPr>
        <w:t>t feuilles pour le fourrage;</w:t>
      </w:r>
    </w:p>
    <w:p w:rsidR="006F42D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Les droits de pas</w:t>
      </w:r>
      <w:r w:rsidR="006F42DF">
        <w:rPr>
          <w:rFonts w:ascii="Arial" w:hAnsi="Arial" w:cs="Arial"/>
          <w:sz w:val="24"/>
          <w:szCs w:val="24"/>
        </w:rPr>
        <w:t>sage et d'utilisation des eaux.</w:t>
      </w:r>
    </w:p>
    <w:p w:rsidR="006F42D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F14E0F">
        <w:rPr>
          <w:rFonts w:ascii="Arial" w:hAnsi="Arial" w:cs="Arial"/>
          <w:sz w:val="24"/>
          <w:szCs w:val="24"/>
        </w:rPr>
        <w:t>Article 5 : À l'exception du ramassage du bois mort gisant à terre et sous réserve des autorisations spécifiques prévues par les textes en vigueur, l'exercice des</w:t>
      </w:r>
      <w:r w:rsidR="006F42DF">
        <w:rPr>
          <w:rFonts w:ascii="Arial" w:hAnsi="Arial" w:cs="Arial"/>
          <w:sz w:val="24"/>
          <w:szCs w:val="24"/>
        </w:rPr>
        <w:t xml:space="preserve"> </w:t>
      </w:r>
      <w:r w:rsidRPr="00F14E0F">
        <w:rPr>
          <w:rFonts w:ascii="Arial" w:hAnsi="Arial" w:cs="Arial"/>
          <w:sz w:val="24"/>
          <w:szCs w:val="24"/>
        </w:rPr>
        <w:lastRenderedPageBreak/>
        <w:t xml:space="preserve">droits d'usage coutumiers est réglementé dans les forêts domaniales classées et dans les forêts productives </w:t>
      </w:r>
      <w:r w:rsidR="006F42DF">
        <w:rPr>
          <w:rFonts w:ascii="Arial" w:hAnsi="Arial" w:cs="Arial"/>
          <w:sz w:val="24"/>
          <w:szCs w:val="24"/>
        </w:rPr>
        <w:t>enregistrées.</w:t>
      </w:r>
    </w:p>
    <w:p w:rsidR="006F42DF" w:rsidRDefault="00EE4CC9" w:rsidP="00EE4CC9">
      <w:pPr>
        <w:pStyle w:val="Paragraphedelist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F42DF">
        <w:rPr>
          <w:rFonts w:ascii="Arial" w:hAnsi="Arial" w:cs="Arial"/>
          <w:sz w:val="24"/>
          <w:szCs w:val="24"/>
        </w:rPr>
        <w:t xml:space="preserve">Article 6 : Dans les forêts domaniales productives enregistrées faisant l'objet d'un plan d'aménagement, l'exercice des droits d'usage coutumiers s'appuie sur l'affectation des terres prévue dans le plan d'aménagement en vue de garantir la pérennité et la sédentarisation de l'activité agricole. </w:t>
      </w:r>
    </w:p>
    <w:p w:rsidR="00EE4CC9" w:rsidRPr="006F42DF" w:rsidRDefault="00EE4CC9" w:rsidP="006F42DF">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F42DF">
        <w:rPr>
          <w:rFonts w:ascii="Arial" w:hAnsi="Arial" w:cs="Arial"/>
          <w:sz w:val="24"/>
          <w:szCs w:val="24"/>
        </w:rPr>
        <w:t>Décret n° 001028-PR-MEFEPEPN du 01/12/2004, fixant les conditions de créatio</w:t>
      </w:r>
      <w:r w:rsidR="006F42DF">
        <w:rPr>
          <w:rFonts w:ascii="Arial" w:hAnsi="Arial" w:cs="Arial"/>
          <w:sz w:val="24"/>
          <w:szCs w:val="24"/>
        </w:rPr>
        <w:t>n des Forêts Communautaires :</w:t>
      </w:r>
      <w:r w:rsidRPr="006F42DF">
        <w:rPr>
          <w:rFonts w:ascii="Arial" w:hAnsi="Arial" w:cs="Arial"/>
          <w:sz w:val="24"/>
          <w:szCs w:val="24"/>
        </w:rPr>
        <w:t xml:space="preserve"> </w:t>
      </w:r>
    </w:p>
    <w:p w:rsidR="006F42DF" w:rsidRDefault="00EE4CC9" w:rsidP="006F42DF">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F42DF">
        <w:rPr>
          <w:rFonts w:ascii="Arial" w:hAnsi="Arial" w:cs="Arial"/>
          <w:sz w:val="24"/>
          <w:szCs w:val="24"/>
        </w:rPr>
        <w:t>Article 2: une communauté locale est « une entité villageoise, un groupement de villages ou un canton agissant dans le cad</w:t>
      </w:r>
      <w:r w:rsidR="006F42DF">
        <w:rPr>
          <w:rFonts w:ascii="Arial" w:hAnsi="Arial" w:cs="Arial"/>
          <w:sz w:val="24"/>
          <w:szCs w:val="24"/>
        </w:rPr>
        <w:t>re d’une association reconnue ».</w:t>
      </w:r>
    </w:p>
    <w:p w:rsidR="006F42DF" w:rsidRDefault="00EE4CC9" w:rsidP="00EE4CC9">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F42DF">
        <w:rPr>
          <w:rFonts w:ascii="Arial" w:hAnsi="Arial" w:cs="Arial"/>
          <w:sz w:val="24"/>
          <w:szCs w:val="24"/>
        </w:rPr>
        <w:t>Arrêté n° 018-MEF-SG-DGF</w:t>
      </w:r>
      <w:r w:rsidR="006F42DF">
        <w:rPr>
          <w:rFonts w:ascii="Arial" w:hAnsi="Arial" w:cs="Arial"/>
          <w:sz w:val="24"/>
          <w:szCs w:val="24"/>
        </w:rPr>
        <w:t>-DFC du 31/01/2013, fixant les p</w:t>
      </w:r>
      <w:r w:rsidRPr="006F42DF">
        <w:rPr>
          <w:rFonts w:ascii="Arial" w:hAnsi="Arial" w:cs="Arial"/>
          <w:sz w:val="24"/>
          <w:szCs w:val="24"/>
        </w:rPr>
        <w:t>rocédures d’Attribution et de Gest</w:t>
      </w:r>
      <w:r w:rsidR="006F42DF">
        <w:rPr>
          <w:rFonts w:ascii="Arial" w:hAnsi="Arial" w:cs="Arial"/>
          <w:sz w:val="24"/>
          <w:szCs w:val="24"/>
        </w:rPr>
        <w:t>ion des Forêts Communautaires :</w:t>
      </w:r>
    </w:p>
    <w:p w:rsidR="00FB2D4F" w:rsidRPr="006F42DF" w:rsidRDefault="00EE4CC9" w:rsidP="00EE4CC9">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F42DF">
        <w:rPr>
          <w:rFonts w:ascii="Arial" w:hAnsi="Arial" w:cs="Arial"/>
          <w:sz w:val="24"/>
          <w:szCs w:val="24"/>
        </w:rPr>
        <w:t>Article 3 précise que « au sens du concept de foresterie communautaire, on entend p</w:t>
      </w:r>
      <w:r w:rsidR="006F42DF">
        <w:rPr>
          <w:rFonts w:ascii="Arial" w:hAnsi="Arial" w:cs="Arial"/>
          <w:sz w:val="24"/>
          <w:szCs w:val="24"/>
        </w:rPr>
        <w:t>ar communauté villageoise, une communauté de résidence</w:t>
      </w:r>
      <w:r w:rsidRPr="006F42DF">
        <w:rPr>
          <w:rFonts w:ascii="Arial" w:hAnsi="Arial" w:cs="Arial"/>
          <w:sz w:val="24"/>
          <w:szCs w:val="24"/>
        </w:rPr>
        <w:t xml:space="preserve"> composée d’hommes, de femmes et d’enfants liés par des normes et des valeurs acceptées par tous, vivant à proximité de la forêt ou elle exerce son droit d’usage coutumier et économique »</w:t>
      </w:r>
    </w:p>
    <w:p w:rsidR="00EE4CC9" w:rsidRPr="00EE4CC9" w:rsidRDefault="00EE4CC9"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EE4CC9" w:rsidRPr="006F42DF" w:rsidRDefault="00EE4CC9" w:rsidP="006F42DF">
      <w:pPr>
        <w:keepNext/>
        <w:spacing w:after="0" w:line="240" w:lineRule="auto"/>
        <w:jc w:val="both"/>
        <w:outlineLvl w:val="1"/>
        <w:rPr>
          <w:rFonts w:ascii="Arial" w:eastAsia="Times New Roman" w:hAnsi="Arial" w:cs="Arial"/>
          <w:b/>
          <w:bCs/>
          <w:iCs/>
          <w:sz w:val="24"/>
          <w:szCs w:val="24"/>
          <w:lang w:eastAsia="x-none"/>
        </w:rPr>
      </w:pPr>
      <w:r w:rsidRPr="00EE4CC9">
        <w:rPr>
          <w:rFonts w:ascii="Arial" w:hAnsi="Arial" w:cs="Arial"/>
          <w:b/>
          <w:sz w:val="24"/>
          <w:szCs w:val="24"/>
        </w:rPr>
        <w:t xml:space="preserve">Le </w:t>
      </w:r>
      <w:r w:rsidRPr="00EE4CC9">
        <w:rPr>
          <w:rFonts w:ascii="Arial" w:eastAsia="Times New Roman" w:hAnsi="Arial" w:cs="Arial"/>
          <w:b/>
          <w:bCs/>
          <w:iCs/>
          <w:sz w:val="24"/>
          <w:szCs w:val="24"/>
          <w:lang w:eastAsia="x-none"/>
        </w:rPr>
        <w:t>cadre institutionnel et opérationnel des consultations</w:t>
      </w:r>
    </w:p>
    <w:p w:rsidR="00EE4CC9" w:rsidRPr="00EE4CC9" w:rsidRDefault="00EE4CC9" w:rsidP="00EE4CC9">
      <w:pPr>
        <w:spacing w:after="0" w:line="240" w:lineRule="auto"/>
        <w:ind w:firstLine="708"/>
        <w:jc w:val="both"/>
        <w:rPr>
          <w:rFonts w:ascii="Arial" w:hAnsi="Arial" w:cs="Arial"/>
          <w:sz w:val="24"/>
          <w:szCs w:val="24"/>
        </w:rPr>
      </w:pPr>
      <w:r w:rsidRPr="00EE4CC9">
        <w:rPr>
          <w:rFonts w:ascii="Arial" w:hAnsi="Arial" w:cs="Arial"/>
          <w:sz w:val="24"/>
          <w:szCs w:val="24"/>
        </w:rPr>
        <w:t>Dans le cadre de la gestion de la faune sauvage et des aires protégées au Gabon, il est institué les Comités Consultatif de Gestion Locale (CCGL). Ces Comités permettent une meilleure participation des populations locales à la gestion des parcs ciblés et soutiennent les communautés locales en augmentant les opportunités d’amélioration de leurs moyens de subsistance à travers la réhabilitation des pistes d’accès aux communautés riveraines, la réhabilitation d’ouvrages franchissement des voies accès aux communautés riveraines, la réhabilitation et l’équipement des écoles primaires et le développement des forages hydrauliques villageoises.</w:t>
      </w:r>
    </w:p>
    <w:p w:rsidR="00EE4CC9" w:rsidRPr="00EE4CC9" w:rsidRDefault="00EE4CC9" w:rsidP="00EE4CC9">
      <w:pPr>
        <w:spacing w:after="0" w:line="240" w:lineRule="auto"/>
        <w:jc w:val="both"/>
        <w:rPr>
          <w:rFonts w:ascii="Arial" w:hAnsi="Arial" w:cs="Arial"/>
          <w:sz w:val="24"/>
          <w:szCs w:val="24"/>
        </w:rPr>
      </w:pPr>
      <w:r w:rsidRPr="00EE4CC9">
        <w:rPr>
          <w:rFonts w:ascii="Arial" w:hAnsi="Arial" w:cs="Arial"/>
          <w:sz w:val="24"/>
          <w:szCs w:val="24"/>
        </w:rPr>
        <w:t xml:space="preserve"> </w:t>
      </w:r>
    </w:p>
    <w:p w:rsidR="00EE4CC9" w:rsidRPr="00EE4CC9" w:rsidRDefault="00EE4CC9" w:rsidP="00EE4CC9">
      <w:pPr>
        <w:keepNext/>
        <w:spacing w:after="0" w:line="240" w:lineRule="auto"/>
        <w:jc w:val="both"/>
        <w:outlineLvl w:val="0"/>
        <w:rPr>
          <w:rFonts w:ascii="Arial" w:eastAsia="Times New Roman" w:hAnsi="Arial" w:cs="Arial"/>
          <w:b/>
          <w:bCs/>
          <w:i/>
          <w:kern w:val="32"/>
          <w:sz w:val="24"/>
          <w:szCs w:val="24"/>
          <w:lang w:val="en-US" w:eastAsia="x-none"/>
        </w:rPr>
      </w:pPr>
      <w:r w:rsidRPr="00EE4CC9">
        <w:rPr>
          <w:rFonts w:ascii="Arial" w:eastAsia="Times New Roman" w:hAnsi="Arial" w:cs="Arial"/>
          <w:b/>
          <w:bCs/>
          <w:kern w:val="32"/>
          <w:sz w:val="24"/>
          <w:szCs w:val="24"/>
          <w:lang w:val="en-US" w:eastAsia="x-none"/>
        </w:rPr>
        <w:t>Mécanisme de gestion des plaintes</w:t>
      </w:r>
    </w:p>
    <w:p w:rsidR="00EE4CC9" w:rsidRPr="00EE4CC9" w:rsidRDefault="00EE4CC9" w:rsidP="00EE4CC9">
      <w:pPr>
        <w:spacing w:after="0" w:line="240" w:lineRule="auto"/>
        <w:ind w:firstLine="708"/>
        <w:jc w:val="both"/>
        <w:rPr>
          <w:rFonts w:ascii="Arial" w:eastAsia="Times New Roman" w:hAnsi="Arial" w:cs="Arial"/>
          <w:sz w:val="24"/>
          <w:szCs w:val="24"/>
        </w:rPr>
      </w:pPr>
      <w:r w:rsidRPr="00EE4CC9">
        <w:rPr>
          <w:rFonts w:ascii="Arial" w:eastAsia="Times New Roman" w:hAnsi="Arial" w:cs="Arial"/>
          <w:sz w:val="24"/>
          <w:szCs w:val="24"/>
        </w:rPr>
        <w:t xml:space="preserve">La gestion des plaintes est mise en œuvre par le Comité de Gestion des Plaintes (CGP) installé par le Ministre des Eaux et Forêts par arrêté portant création, attributions, composition et fonctionnement des organes de gestion des plaintes des populations locales sensibles dans </w:t>
      </w:r>
      <w:r w:rsidR="006F42DF">
        <w:rPr>
          <w:rFonts w:ascii="Arial" w:eastAsia="Times New Roman" w:hAnsi="Arial" w:cs="Arial"/>
          <w:sz w:val="24"/>
          <w:szCs w:val="24"/>
        </w:rPr>
        <w:t>un parc national. Ce comité a</w:t>
      </w:r>
      <w:r w:rsidRPr="00EE4CC9">
        <w:rPr>
          <w:rFonts w:ascii="Arial" w:eastAsia="Times New Roman" w:hAnsi="Arial" w:cs="Arial"/>
          <w:sz w:val="24"/>
          <w:szCs w:val="24"/>
        </w:rPr>
        <w:t xml:space="preserve"> pour mission de recevoir </w:t>
      </w:r>
      <w:r w:rsidR="006F42DF">
        <w:rPr>
          <w:rFonts w:ascii="Arial" w:eastAsia="Times New Roman" w:hAnsi="Arial" w:cs="Arial"/>
          <w:sz w:val="24"/>
          <w:szCs w:val="24"/>
        </w:rPr>
        <w:t>et de gérer les plaintes de la Population Locale S</w:t>
      </w:r>
      <w:r w:rsidRPr="00EE4CC9">
        <w:rPr>
          <w:rFonts w:ascii="Arial" w:eastAsia="Times New Roman" w:hAnsi="Arial" w:cs="Arial"/>
          <w:sz w:val="24"/>
          <w:szCs w:val="24"/>
        </w:rPr>
        <w:t xml:space="preserve">ensible (PLS). </w:t>
      </w:r>
    </w:p>
    <w:p w:rsidR="00EE4CC9" w:rsidRPr="00EE4CC9" w:rsidRDefault="00EE4CC9" w:rsidP="00EE4CC9">
      <w:pPr>
        <w:spacing w:after="0" w:line="240" w:lineRule="auto"/>
        <w:ind w:firstLine="708"/>
        <w:jc w:val="both"/>
        <w:rPr>
          <w:rFonts w:ascii="Arial" w:eastAsia="Times New Roman" w:hAnsi="Arial" w:cs="Arial"/>
          <w:sz w:val="24"/>
          <w:szCs w:val="24"/>
        </w:rPr>
      </w:pPr>
    </w:p>
    <w:p w:rsidR="00EE4CC9" w:rsidRPr="00EE4CC9" w:rsidRDefault="00EE4CC9" w:rsidP="00EE4CC9">
      <w:pPr>
        <w:spacing w:after="0" w:line="240" w:lineRule="auto"/>
        <w:ind w:firstLine="708"/>
        <w:jc w:val="both"/>
        <w:rPr>
          <w:rFonts w:ascii="Arial" w:eastAsia="Times New Roman" w:hAnsi="Arial" w:cs="Arial"/>
          <w:sz w:val="24"/>
          <w:szCs w:val="24"/>
        </w:rPr>
      </w:pPr>
      <w:r w:rsidRPr="00EE4CC9">
        <w:rPr>
          <w:rFonts w:ascii="Arial" w:eastAsia="Times New Roman" w:hAnsi="Arial" w:cs="Arial"/>
          <w:sz w:val="24"/>
          <w:szCs w:val="24"/>
          <w:lang w:val="en-US"/>
        </w:rPr>
        <w:t xml:space="preserve">A ce titre, il </w:t>
      </w:r>
      <w:proofErr w:type="gramStart"/>
      <w:r w:rsidRPr="00EE4CC9">
        <w:rPr>
          <w:rFonts w:ascii="Arial" w:eastAsia="Times New Roman" w:hAnsi="Arial" w:cs="Arial"/>
          <w:sz w:val="24"/>
          <w:szCs w:val="24"/>
          <w:lang w:val="en-US"/>
        </w:rPr>
        <w:t>est</w:t>
      </w:r>
      <w:proofErr w:type="gramEnd"/>
      <w:r w:rsidRPr="00EE4CC9">
        <w:rPr>
          <w:rFonts w:ascii="Arial" w:eastAsia="Times New Roman" w:hAnsi="Arial" w:cs="Arial"/>
          <w:sz w:val="24"/>
          <w:szCs w:val="24"/>
          <w:lang w:val="en-US"/>
        </w:rPr>
        <w:t xml:space="preserve"> chargé de:</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Informer les PLS sur l’existence et les attributions du Comité de gestion des Plaintes ;</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Recevoir et gérer les plaintes ;</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Suivre la procédure de gestion ;</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Négocier avec les plaignants des mesures d’élimination ou d’atténuation de correction des préjudices ;</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Superviser le processus de mise en place de solutions en faveur des plaignants;</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Veiller au respect des lois et règlements nationaux, ainsi que de la politique PO 4.10 de la Banque Mondiale dan</w:t>
      </w:r>
      <w:r w:rsidR="006F42DF">
        <w:rPr>
          <w:rFonts w:ascii="Arial" w:eastAsia="Times New Roman" w:hAnsi="Arial" w:cs="Arial"/>
          <w:sz w:val="24"/>
          <w:szCs w:val="24"/>
        </w:rPr>
        <w:t>s le cadre des activités du Plan des Peuples Autochtones</w:t>
      </w:r>
      <w:r w:rsidRPr="00EE4CC9">
        <w:rPr>
          <w:rFonts w:ascii="Arial" w:eastAsia="Times New Roman" w:hAnsi="Arial" w:cs="Arial"/>
          <w:sz w:val="24"/>
          <w:szCs w:val="24"/>
        </w:rPr>
        <w:t> ;</w:t>
      </w:r>
    </w:p>
    <w:p w:rsidR="00EE4CC9" w:rsidRPr="00EE4CC9" w:rsidRDefault="00EE4CC9" w:rsidP="00EE4CC9">
      <w:pPr>
        <w:pStyle w:val="Paragraphedeliste"/>
        <w:numPr>
          <w:ilvl w:val="0"/>
          <w:numId w:val="5"/>
        </w:num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Garantir la participation effective et continue des plaignants à toutes les étapes du processus de gestion de la plainte ;</w:t>
      </w:r>
    </w:p>
    <w:p w:rsidR="00EE4CC9" w:rsidRPr="00EE4CC9" w:rsidRDefault="00EE4CC9" w:rsidP="00EE4CC9">
      <w:p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 xml:space="preserve">   </w:t>
      </w:r>
    </w:p>
    <w:p w:rsidR="00EE4CC9" w:rsidRPr="00EE4CC9" w:rsidRDefault="00EE4CC9" w:rsidP="00EE4CC9">
      <w:pPr>
        <w:spacing w:after="0" w:line="240" w:lineRule="auto"/>
        <w:ind w:firstLine="360"/>
        <w:jc w:val="both"/>
        <w:rPr>
          <w:rFonts w:ascii="Arial" w:eastAsia="Times New Roman" w:hAnsi="Arial" w:cs="Arial"/>
          <w:sz w:val="24"/>
          <w:szCs w:val="24"/>
        </w:rPr>
      </w:pPr>
      <w:r w:rsidRPr="00EE4CC9">
        <w:rPr>
          <w:rFonts w:ascii="Arial" w:eastAsia="Times New Roman" w:hAnsi="Arial" w:cs="Arial"/>
          <w:sz w:val="24"/>
          <w:szCs w:val="24"/>
        </w:rPr>
        <w:t>Le Comité de Gestion des Plaintes (CGP) est composé de :</w:t>
      </w:r>
    </w:p>
    <w:p w:rsidR="00EE4CC9" w:rsidRPr="00EE4CC9" w:rsidRDefault="00EE4CC9" w:rsidP="00EE4CC9">
      <w:pPr>
        <w:spacing w:after="0" w:line="240" w:lineRule="auto"/>
        <w:jc w:val="both"/>
        <w:rPr>
          <w:rFonts w:ascii="Arial" w:eastAsia="Times New Roman" w:hAnsi="Arial" w:cs="Arial"/>
          <w:sz w:val="24"/>
          <w:szCs w:val="24"/>
        </w:rPr>
      </w:pPr>
      <w:r w:rsidRPr="006F42DF">
        <w:rPr>
          <w:rFonts w:ascii="Arial" w:eastAsia="Times New Roman" w:hAnsi="Arial" w:cs="Arial"/>
          <w:sz w:val="24"/>
          <w:szCs w:val="24"/>
        </w:rPr>
        <w:t>Président </w:t>
      </w:r>
      <w:r w:rsidRPr="00EE4CC9">
        <w:rPr>
          <w:rFonts w:ascii="Arial" w:eastAsia="Times New Roman" w:hAnsi="Arial" w:cs="Arial"/>
          <w:sz w:val="24"/>
          <w:szCs w:val="24"/>
        </w:rPr>
        <w:t>: Directeur Général de la Faune et des Aires Protégées (DGFAP);</w:t>
      </w:r>
    </w:p>
    <w:p w:rsidR="00EE4CC9" w:rsidRPr="00EE4CC9" w:rsidRDefault="00EE4CC9" w:rsidP="00EE4CC9">
      <w:pPr>
        <w:spacing w:after="0" w:line="240" w:lineRule="auto"/>
        <w:jc w:val="both"/>
        <w:rPr>
          <w:rFonts w:ascii="Arial" w:eastAsia="Times New Roman" w:hAnsi="Arial" w:cs="Arial"/>
          <w:sz w:val="24"/>
          <w:szCs w:val="24"/>
        </w:rPr>
      </w:pPr>
      <w:r w:rsidRPr="006F42DF">
        <w:rPr>
          <w:rFonts w:ascii="Arial" w:eastAsia="Times New Roman" w:hAnsi="Arial" w:cs="Arial"/>
          <w:sz w:val="24"/>
          <w:szCs w:val="24"/>
        </w:rPr>
        <w:lastRenderedPageBreak/>
        <w:t>Vice-président</w:t>
      </w:r>
      <w:r w:rsidRPr="00EE4CC9">
        <w:rPr>
          <w:rFonts w:ascii="Arial" w:eastAsia="Times New Roman" w:hAnsi="Arial" w:cs="Arial"/>
          <w:sz w:val="24"/>
          <w:szCs w:val="24"/>
        </w:rPr>
        <w:t xml:space="preserve"> : Secrétaire Exécutif de l’Agence Nationale des Parcs Nationaux (SE/ANPN) ; </w:t>
      </w:r>
    </w:p>
    <w:p w:rsidR="00EE4CC9" w:rsidRPr="006F42DF" w:rsidRDefault="00EE4CC9" w:rsidP="00EE4CC9">
      <w:pPr>
        <w:spacing w:after="0" w:line="240" w:lineRule="auto"/>
        <w:jc w:val="both"/>
        <w:rPr>
          <w:rFonts w:ascii="Arial" w:eastAsia="Times New Roman" w:hAnsi="Arial" w:cs="Arial"/>
          <w:sz w:val="24"/>
          <w:szCs w:val="24"/>
        </w:rPr>
      </w:pPr>
      <w:r w:rsidRPr="006F42DF">
        <w:rPr>
          <w:rFonts w:ascii="Arial" w:eastAsia="Times New Roman" w:hAnsi="Arial" w:cs="Arial"/>
          <w:sz w:val="24"/>
          <w:szCs w:val="24"/>
        </w:rPr>
        <w:t>1</w:t>
      </w:r>
      <w:r w:rsidRPr="006F42DF">
        <w:rPr>
          <w:rFonts w:ascii="Arial" w:eastAsia="Times New Roman" w:hAnsi="Arial" w:cs="Arial"/>
          <w:sz w:val="24"/>
          <w:szCs w:val="24"/>
          <w:vertAlign w:val="superscript"/>
        </w:rPr>
        <w:t>er</w:t>
      </w:r>
      <w:r w:rsidRPr="006F42DF">
        <w:rPr>
          <w:rFonts w:ascii="Arial" w:eastAsia="Times New Roman" w:hAnsi="Arial" w:cs="Arial"/>
          <w:sz w:val="24"/>
          <w:szCs w:val="24"/>
        </w:rPr>
        <w:t xml:space="preserve"> Rapporteur : Coordonnateur de l’Unité de Gestion du Projet (C/UGP) ;               </w:t>
      </w:r>
    </w:p>
    <w:p w:rsidR="00EE4CC9" w:rsidRPr="006F42DF" w:rsidRDefault="00EE4CC9" w:rsidP="00EE4CC9">
      <w:pPr>
        <w:spacing w:after="0" w:line="240" w:lineRule="auto"/>
        <w:jc w:val="both"/>
        <w:rPr>
          <w:rFonts w:ascii="Arial" w:eastAsia="Times New Roman" w:hAnsi="Arial" w:cs="Arial"/>
          <w:sz w:val="24"/>
          <w:szCs w:val="24"/>
        </w:rPr>
      </w:pPr>
      <w:r w:rsidRPr="006F42DF">
        <w:rPr>
          <w:rFonts w:ascii="Arial" w:eastAsia="Times New Roman" w:hAnsi="Arial" w:cs="Arial"/>
          <w:sz w:val="24"/>
          <w:szCs w:val="24"/>
        </w:rPr>
        <w:t>2</w:t>
      </w:r>
      <w:r w:rsidRPr="006F42DF">
        <w:rPr>
          <w:rFonts w:ascii="Arial" w:eastAsia="Times New Roman" w:hAnsi="Arial" w:cs="Arial"/>
          <w:sz w:val="24"/>
          <w:szCs w:val="24"/>
          <w:vertAlign w:val="superscript"/>
        </w:rPr>
        <w:t>ème</w:t>
      </w:r>
      <w:r w:rsidRPr="006F42DF">
        <w:rPr>
          <w:rFonts w:ascii="Arial" w:eastAsia="Times New Roman" w:hAnsi="Arial" w:cs="Arial"/>
          <w:sz w:val="24"/>
          <w:szCs w:val="24"/>
        </w:rPr>
        <w:t xml:space="preserve"> Rapporteur : Préfet de Fougamou ou son représentant ;</w:t>
      </w:r>
    </w:p>
    <w:p w:rsidR="00EE4CC9" w:rsidRPr="00EE4CC9" w:rsidRDefault="00EE4CC9" w:rsidP="00EE4CC9">
      <w:pPr>
        <w:spacing w:after="0" w:line="240" w:lineRule="auto"/>
        <w:jc w:val="both"/>
        <w:rPr>
          <w:rFonts w:ascii="Arial" w:eastAsia="Times New Roman" w:hAnsi="Arial" w:cs="Arial"/>
          <w:sz w:val="24"/>
          <w:szCs w:val="24"/>
        </w:rPr>
      </w:pPr>
      <w:r w:rsidRPr="006F42DF">
        <w:rPr>
          <w:rFonts w:ascii="Arial" w:eastAsia="Times New Roman" w:hAnsi="Arial" w:cs="Arial"/>
          <w:sz w:val="24"/>
          <w:szCs w:val="24"/>
        </w:rPr>
        <w:t>3</w:t>
      </w:r>
      <w:r w:rsidRPr="006F42DF">
        <w:rPr>
          <w:rFonts w:ascii="Arial" w:eastAsia="Times New Roman" w:hAnsi="Arial" w:cs="Arial"/>
          <w:sz w:val="24"/>
          <w:szCs w:val="24"/>
          <w:vertAlign w:val="superscript"/>
        </w:rPr>
        <w:t>ème</w:t>
      </w:r>
      <w:r w:rsidRPr="006F42DF">
        <w:rPr>
          <w:rFonts w:ascii="Arial" w:eastAsia="Times New Roman" w:hAnsi="Arial" w:cs="Arial"/>
          <w:sz w:val="24"/>
          <w:szCs w:val="24"/>
        </w:rPr>
        <w:t xml:space="preserve"> Rapporteur</w:t>
      </w:r>
      <w:r w:rsidRPr="00EE4CC9">
        <w:rPr>
          <w:rFonts w:ascii="Arial" w:eastAsia="Times New Roman" w:hAnsi="Arial" w:cs="Arial"/>
          <w:sz w:val="24"/>
          <w:szCs w:val="24"/>
        </w:rPr>
        <w:t> : le Président du Conseil Départemental ou son Représentant;</w:t>
      </w:r>
    </w:p>
    <w:p w:rsidR="00EE4CC9" w:rsidRPr="00EE4CC9" w:rsidRDefault="00EE4CC9" w:rsidP="00EE4CC9">
      <w:pPr>
        <w:spacing w:after="0" w:line="240" w:lineRule="auto"/>
        <w:jc w:val="both"/>
        <w:rPr>
          <w:rFonts w:ascii="Arial" w:eastAsia="Times New Roman" w:hAnsi="Arial" w:cs="Arial"/>
          <w:sz w:val="24"/>
          <w:szCs w:val="24"/>
        </w:rPr>
      </w:pPr>
    </w:p>
    <w:p w:rsidR="00EE4CC9" w:rsidRPr="00EE4CC9" w:rsidRDefault="00EE4CC9" w:rsidP="00EE4CC9">
      <w:pPr>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Le Comité de Gestion des Plaintes (</w:t>
      </w:r>
      <w:r w:rsidR="006F42DF">
        <w:rPr>
          <w:rFonts w:ascii="Arial" w:eastAsia="Times New Roman" w:hAnsi="Arial" w:cs="Arial"/>
          <w:sz w:val="24"/>
          <w:szCs w:val="24"/>
        </w:rPr>
        <w:t>CGP) est situé</w:t>
      </w:r>
      <w:r w:rsidRPr="00EE4CC9">
        <w:rPr>
          <w:rFonts w:ascii="Arial" w:eastAsia="Times New Roman" w:hAnsi="Arial" w:cs="Arial"/>
          <w:sz w:val="24"/>
          <w:szCs w:val="24"/>
        </w:rPr>
        <w:t xml:space="preserve"> à deux niveaux :</w:t>
      </w:r>
    </w:p>
    <w:p w:rsidR="00EE4CC9" w:rsidRPr="00EE4CC9" w:rsidRDefault="00EE4CC9" w:rsidP="00EE4CC9">
      <w:pPr>
        <w:numPr>
          <w:ilvl w:val="0"/>
          <w:numId w:val="4"/>
        </w:numPr>
        <w:spacing w:after="0" w:line="240" w:lineRule="auto"/>
        <w:ind w:left="0"/>
        <w:contextualSpacing/>
        <w:jc w:val="both"/>
        <w:rPr>
          <w:rFonts w:ascii="Arial" w:eastAsia="Times New Roman" w:hAnsi="Arial" w:cs="Arial"/>
          <w:sz w:val="24"/>
          <w:szCs w:val="24"/>
        </w:rPr>
      </w:pPr>
      <w:proofErr w:type="gramStart"/>
      <w:r w:rsidRPr="00EE4CC9">
        <w:rPr>
          <w:rFonts w:ascii="Arial" w:eastAsia="Times New Roman" w:hAnsi="Arial" w:cs="Arial"/>
          <w:b/>
          <w:sz w:val="24"/>
          <w:szCs w:val="24"/>
        </w:rPr>
        <w:t>au</w:t>
      </w:r>
      <w:proofErr w:type="gramEnd"/>
      <w:r w:rsidRPr="00EE4CC9">
        <w:rPr>
          <w:rFonts w:ascii="Arial" w:eastAsia="Times New Roman" w:hAnsi="Arial" w:cs="Arial"/>
          <w:b/>
          <w:sz w:val="24"/>
          <w:szCs w:val="24"/>
        </w:rPr>
        <w:t xml:space="preserve"> niveau local</w:t>
      </w:r>
      <w:r w:rsidR="006F42DF">
        <w:rPr>
          <w:rFonts w:ascii="Arial" w:eastAsia="Times New Roman" w:hAnsi="Arial" w:cs="Arial"/>
          <w:sz w:val="24"/>
          <w:szCs w:val="24"/>
        </w:rPr>
        <w:t xml:space="preserve">, il y </w:t>
      </w:r>
      <w:r w:rsidRPr="00EE4CC9">
        <w:rPr>
          <w:rFonts w:ascii="Arial" w:eastAsia="Times New Roman" w:hAnsi="Arial" w:cs="Arial"/>
          <w:sz w:val="24"/>
          <w:szCs w:val="24"/>
        </w:rPr>
        <w:t xml:space="preserve">a : </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w:t>
      </w:r>
      <w:proofErr w:type="gramEnd"/>
      <w:r w:rsidRPr="00EE4CC9">
        <w:rPr>
          <w:rFonts w:ascii="Arial" w:eastAsia="Times New Roman" w:hAnsi="Arial" w:cs="Arial"/>
          <w:sz w:val="24"/>
          <w:szCs w:val="24"/>
        </w:rPr>
        <w:t xml:space="preserve"> Conservateur  du Parc National ;</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r w:rsidRPr="00EE4CC9">
        <w:rPr>
          <w:rFonts w:ascii="Arial" w:eastAsia="Times New Roman" w:hAnsi="Arial" w:cs="Arial"/>
          <w:sz w:val="24"/>
          <w:szCs w:val="24"/>
        </w:rPr>
        <w:t>Le responsable de l’implication communautaire du Parc ;</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w:t>
      </w:r>
      <w:proofErr w:type="gramEnd"/>
      <w:r w:rsidRPr="00EE4CC9">
        <w:rPr>
          <w:rFonts w:ascii="Arial" w:eastAsia="Times New Roman" w:hAnsi="Arial" w:cs="Arial"/>
          <w:sz w:val="24"/>
          <w:szCs w:val="24"/>
        </w:rPr>
        <w:t xml:space="preserve"> Président du Comité Consultatif de Gestion Locale (CCGL) ;</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w:t>
      </w:r>
      <w:proofErr w:type="gramEnd"/>
      <w:r w:rsidRPr="00EE4CC9">
        <w:rPr>
          <w:rFonts w:ascii="Arial" w:eastAsia="Times New Roman" w:hAnsi="Arial" w:cs="Arial"/>
          <w:sz w:val="24"/>
          <w:szCs w:val="24"/>
        </w:rPr>
        <w:t xml:space="preserve"> Sous-Préfet de la localité ;</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les</w:t>
      </w:r>
      <w:proofErr w:type="gramEnd"/>
      <w:r w:rsidRPr="00EE4CC9">
        <w:rPr>
          <w:rFonts w:ascii="Arial" w:eastAsia="Times New Roman" w:hAnsi="Arial" w:cs="Arial"/>
          <w:sz w:val="24"/>
          <w:szCs w:val="24"/>
        </w:rPr>
        <w:t xml:space="preserve"> Chefs de Regroupement des districts des localités ;</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les</w:t>
      </w:r>
      <w:proofErr w:type="gramEnd"/>
      <w:r w:rsidRPr="00EE4CC9">
        <w:rPr>
          <w:rFonts w:ascii="Arial" w:eastAsia="Times New Roman" w:hAnsi="Arial" w:cs="Arial"/>
          <w:sz w:val="24"/>
          <w:szCs w:val="24"/>
        </w:rPr>
        <w:t xml:space="preserve"> chefs des villages des populations locales sensibles (villages des pygmées)</w:t>
      </w:r>
    </w:p>
    <w:p w:rsidR="00EE4CC9" w:rsidRPr="00EE4CC9" w:rsidRDefault="00EE4CC9" w:rsidP="00EE4CC9">
      <w:pPr>
        <w:tabs>
          <w:tab w:val="left" w:pos="3786"/>
        </w:tabs>
        <w:spacing w:after="0" w:line="240" w:lineRule="auto"/>
        <w:jc w:val="both"/>
        <w:rPr>
          <w:rFonts w:ascii="Arial" w:eastAsia="Times New Roman" w:hAnsi="Arial" w:cs="Arial"/>
          <w:sz w:val="24"/>
          <w:szCs w:val="24"/>
        </w:rPr>
      </w:pPr>
      <w:r w:rsidRPr="00EE4CC9">
        <w:rPr>
          <w:rFonts w:ascii="Arial" w:eastAsia="Times New Roman" w:hAnsi="Arial" w:cs="Arial"/>
          <w:sz w:val="24"/>
          <w:szCs w:val="24"/>
        </w:rPr>
        <w:tab/>
      </w:r>
    </w:p>
    <w:p w:rsidR="00EE4CC9" w:rsidRPr="00EE4CC9" w:rsidRDefault="00EE4CC9" w:rsidP="00EE4CC9">
      <w:pPr>
        <w:numPr>
          <w:ilvl w:val="0"/>
          <w:numId w:val="4"/>
        </w:numPr>
        <w:spacing w:after="0" w:line="240" w:lineRule="auto"/>
        <w:ind w:left="0"/>
        <w:contextualSpacing/>
        <w:jc w:val="both"/>
        <w:rPr>
          <w:rFonts w:ascii="Arial" w:eastAsia="Times New Roman" w:hAnsi="Arial" w:cs="Arial"/>
          <w:sz w:val="24"/>
          <w:szCs w:val="24"/>
        </w:rPr>
      </w:pPr>
      <w:proofErr w:type="gramStart"/>
      <w:r w:rsidRPr="00EE4CC9">
        <w:rPr>
          <w:rFonts w:ascii="Arial" w:eastAsia="Times New Roman" w:hAnsi="Arial" w:cs="Arial"/>
          <w:b/>
          <w:sz w:val="24"/>
          <w:szCs w:val="24"/>
        </w:rPr>
        <w:t>au</w:t>
      </w:r>
      <w:proofErr w:type="gramEnd"/>
      <w:r w:rsidRPr="00EE4CC9">
        <w:rPr>
          <w:rFonts w:ascii="Arial" w:eastAsia="Times New Roman" w:hAnsi="Arial" w:cs="Arial"/>
          <w:b/>
          <w:sz w:val="24"/>
          <w:szCs w:val="24"/>
        </w:rPr>
        <w:t xml:space="preserve"> niveau national</w:t>
      </w:r>
      <w:r w:rsidR="00BF7E34">
        <w:rPr>
          <w:rFonts w:ascii="Arial" w:eastAsia="Times New Roman" w:hAnsi="Arial" w:cs="Arial"/>
          <w:sz w:val="24"/>
          <w:szCs w:val="24"/>
        </w:rPr>
        <w:t xml:space="preserve">, il y </w:t>
      </w:r>
      <w:r w:rsidRPr="00EE4CC9">
        <w:rPr>
          <w:rFonts w:ascii="Arial" w:eastAsia="Times New Roman" w:hAnsi="Arial" w:cs="Arial"/>
          <w:sz w:val="24"/>
          <w:szCs w:val="24"/>
        </w:rPr>
        <w:t>a :</w:t>
      </w:r>
    </w:p>
    <w:p w:rsidR="00EE4CC9" w:rsidRPr="00EE4CC9" w:rsidRDefault="00EE4CC9" w:rsidP="00EE4CC9">
      <w:pPr>
        <w:numPr>
          <w:ilvl w:val="0"/>
          <w:numId w:val="3"/>
        </w:numPr>
        <w:spacing w:after="0" w:line="240" w:lineRule="auto"/>
        <w:ind w:left="0"/>
        <w:contextualSpacing/>
        <w:jc w:val="both"/>
        <w:rPr>
          <w:rFonts w:ascii="Arial" w:eastAsia="Times New Roman" w:hAnsi="Arial" w:cs="Arial"/>
          <w:sz w:val="24"/>
          <w:szCs w:val="24"/>
        </w:rPr>
      </w:pPr>
      <w:proofErr w:type="gramStart"/>
      <w:r w:rsidRPr="00EE4CC9">
        <w:rPr>
          <w:rFonts w:ascii="Arial" w:eastAsia="Times New Roman" w:hAnsi="Arial" w:cs="Arial"/>
          <w:sz w:val="24"/>
          <w:szCs w:val="24"/>
        </w:rPr>
        <w:t>le</w:t>
      </w:r>
      <w:proofErr w:type="gramEnd"/>
      <w:r w:rsidRPr="00EE4CC9">
        <w:rPr>
          <w:rFonts w:ascii="Arial" w:eastAsia="Times New Roman" w:hAnsi="Arial" w:cs="Arial"/>
          <w:sz w:val="24"/>
          <w:szCs w:val="24"/>
        </w:rPr>
        <w:t xml:space="preserve"> Coordonnateur de l’Unité de Gestion du Projet (C/UGP)</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w:t>
      </w:r>
      <w:proofErr w:type="gramEnd"/>
      <w:r w:rsidRPr="00EE4CC9">
        <w:rPr>
          <w:rFonts w:ascii="Arial" w:eastAsia="Times New Roman" w:hAnsi="Arial" w:cs="Arial"/>
          <w:sz w:val="24"/>
          <w:szCs w:val="24"/>
        </w:rPr>
        <w:t xml:space="preserve"> Spécialiste en Environnementale de l’ANPN;</w:t>
      </w:r>
    </w:p>
    <w:p w:rsidR="00EE4CC9" w:rsidRPr="00EE4CC9" w:rsidRDefault="00EE4CC9" w:rsidP="00EE4CC9">
      <w:pPr>
        <w:numPr>
          <w:ilvl w:val="0"/>
          <w:numId w:val="3"/>
        </w:numPr>
        <w:spacing w:after="0" w:line="240" w:lineRule="auto"/>
        <w:ind w:left="0"/>
        <w:jc w:val="both"/>
        <w:rPr>
          <w:rFonts w:ascii="Arial" w:eastAsia="Times New Roman" w:hAnsi="Arial" w:cs="Arial"/>
          <w:sz w:val="24"/>
          <w:szCs w:val="24"/>
        </w:rPr>
      </w:pPr>
      <w:proofErr w:type="gramStart"/>
      <w:r w:rsidRPr="00EE4CC9">
        <w:rPr>
          <w:rFonts w:ascii="Arial" w:eastAsia="Times New Roman" w:hAnsi="Arial" w:cs="Arial"/>
          <w:sz w:val="24"/>
          <w:szCs w:val="24"/>
        </w:rPr>
        <w:t>le</w:t>
      </w:r>
      <w:proofErr w:type="gramEnd"/>
      <w:r w:rsidRPr="00EE4CC9">
        <w:rPr>
          <w:rFonts w:ascii="Arial" w:eastAsia="Times New Roman" w:hAnsi="Arial" w:cs="Arial"/>
          <w:sz w:val="24"/>
          <w:szCs w:val="24"/>
        </w:rPr>
        <w:t xml:space="preserve"> spécialiste en suivi évaluation</w:t>
      </w:r>
    </w:p>
    <w:p w:rsidR="00EE4CC9" w:rsidRPr="00EE4CC9" w:rsidRDefault="00EE4CC9" w:rsidP="00EE4CC9">
      <w:pPr>
        <w:suppressAutoHyphens/>
        <w:spacing w:after="0" w:line="240" w:lineRule="auto"/>
        <w:jc w:val="both"/>
        <w:rPr>
          <w:rFonts w:ascii="Arial" w:eastAsia="Times New Roman" w:hAnsi="Arial" w:cs="Arial"/>
          <w:b/>
          <w:sz w:val="24"/>
          <w:szCs w:val="24"/>
          <w:lang w:val="x-none" w:eastAsia="ar-SA"/>
        </w:rPr>
      </w:pPr>
    </w:p>
    <w:p w:rsidR="00EE4CC9" w:rsidRPr="00EE4CC9" w:rsidRDefault="00EE4CC9" w:rsidP="00EE4CC9">
      <w:pPr>
        <w:suppressAutoHyphens/>
        <w:spacing w:after="0" w:line="240" w:lineRule="auto"/>
        <w:ind w:firstLine="708"/>
        <w:jc w:val="both"/>
        <w:rPr>
          <w:rFonts w:ascii="Arial" w:eastAsia="Calibri" w:hAnsi="Arial" w:cs="Arial"/>
          <w:sz w:val="24"/>
          <w:szCs w:val="24"/>
        </w:rPr>
      </w:pPr>
      <w:r w:rsidRPr="00EE4CC9">
        <w:rPr>
          <w:rFonts w:ascii="Arial" w:eastAsia="Calibri" w:hAnsi="Arial" w:cs="Arial"/>
          <w:sz w:val="24"/>
          <w:szCs w:val="24"/>
        </w:rPr>
        <w:t>Les coûts liés au fonctionnement du C</w:t>
      </w:r>
      <w:r w:rsidR="00BF7E34">
        <w:rPr>
          <w:rFonts w:ascii="Arial" w:eastAsia="Calibri" w:hAnsi="Arial" w:cs="Arial"/>
          <w:sz w:val="24"/>
          <w:szCs w:val="24"/>
        </w:rPr>
        <w:t xml:space="preserve">omité de </w:t>
      </w:r>
      <w:r w:rsidRPr="00EE4CC9">
        <w:rPr>
          <w:rFonts w:ascii="Arial" w:eastAsia="Calibri" w:hAnsi="Arial" w:cs="Arial"/>
          <w:sz w:val="24"/>
          <w:szCs w:val="24"/>
        </w:rPr>
        <w:t>G</w:t>
      </w:r>
      <w:r w:rsidR="00BF7E34">
        <w:rPr>
          <w:rFonts w:ascii="Arial" w:eastAsia="Calibri" w:hAnsi="Arial" w:cs="Arial"/>
          <w:sz w:val="24"/>
          <w:szCs w:val="24"/>
        </w:rPr>
        <w:t xml:space="preserve">estion du </w:t>
      </w:r>
      <w:r w:rsidRPr="00EE4CC9">
        <w:rPr>
          <w:rFonts w:ascii="Arial" w:eastAsia="Calibri" w:hAnsi="Arial" w:cs="Arial"/>
          <w:sz w:val="24"/>
          <w:szCs w:val="24"/>
        </w:rPr>
        <w:t>P</w:t>
      </w:r>
      <w:r w:rsidR="00BF7E34">
        <w:rPr>
          <w:rFonts w:ascii="Arial" w:eastAsia="Calibri" w:hAnsi="Arial" w:cs="Arial"/>
          <w:sz w:val="24"/>
          <w:szCs w:val="24"/>
        </w:rPr>
        <w:t>rojet</w:t>
      </w:r>
      <w:r w:rsidRPr="00EE4CC9">
        <w:rPr>
          <w:rFonts w:ascii="Arial" w:eastAsia="Calibri" w:hAnsi="Arial" w:cs="Arial"/>
          <w:sz w:val="24"/>
          <w:szCs w:val="24"/>
        </w:rPr>
        <w:t xml:space="preserve"> seront prévus dans l’</w:t>
      </w:r>
      <w:r w:rsidRPr="00EE4CC9">
        <w:rPr>
          <w:rFonts w:ascii="Arial" w:eastAsia="Times New Roman" w:hAnsi="Arial" w:cs="Arial"/>
          <w:sz w:val="24"/>
          <w:szCs w:val="24"/>
          <w:lang w:eastAsia="ar-SA"/>
        </w:rPr>
        <w:t xml:space="preserve">arrêté portant création, attributions, composition et fonctionnement des organes de gestion des plaintes des populations locales sensibles du parc national </w:t>
      </w:r>
      <w:r w:rsidRPr="00EE4CC9">
        <w:rPr>
          <w:rFonts w:ascii="Arial" w:eastAsia="Calibri" w:hAnsi="Arial" w:cs="Arial"/>
          <w:sz w:val="24"/>
          <w:szCs w:val="24"/>
        </w:rPr>
        <w:t xml:space="preserve">: les ressources nécessaires au fonctionnement du Comité sont imputables sur les fonds de contrepartie de l’Etat Gabonais. Les plaintes seront d’abord reçues au niveau local à travers un système qui sera mis en place pour simplifier la réception des plaintes. Ce système est représenté au niveau </w:t>
      </w:r>
      <w:r w:rsidR="00BF7E34">
        <w:rPr>
          <w:rFonts w:ascii="Arial" w:eastAsia="Calibri" w:hAnsi="Arial" w:cs="Arial"/>
          <w:sz w:val="24"/>
          <w:szCs w:val="24"/>
        </w:rPr>
        <w:t xml:space="preserve">du </w:t>
      </w:r>
      <w:r w:rsidRPr="00EE4CC9">
        <w:rPr>
          <w:rFonts w:ascii="Arial" w:eastAsia="Calibri" w:hAnsi="Arial" w:cs="Arial"/>
          <w:sz w:val="24"/>
          <w:szCs w:val="24"/>
        </w:rPr>
        <w:t>village par les membres du comité de gestion et de suivi des plaintes que sont le chef du village et le président du CCGL. L’une des deux personnes peut recevoir la plainte par écrit à travers le formulaire de plainte ou oralement et transcrit sur ledit formulaire. Il saisit ensuite le comité au plan local décrit plus haut qui se réuni dans un délai</w:t>
      </w:r>
      <w:r w:rsidR="00BF7E34">
        <w:rPr>
          <w:rFonts w:ascii="Arial" w:eastAsia="Calibri" w:hAnsi="Arial" w:cs="Arial"/>
          <w:sz w:val="24"/>
          <w:szCs w:val="24"/>
        </w:rPr>
        <w:t xml:space="preserve"> d’une semaine pour connaitre</w:t>
      </w:r>
      <w:r w:rsidRPr="00EE4CC9">
        <w:rPr>
          <w:rFonts w:ascii="Arial" w:eastAsia="Calibri" w:hAnsi="Arial" w:cs="Arial"/>
          <w:sz w:val="24"/>
          <w:szCs w:val="24"/>
        </w:rPr>
        <w:t xml:space="preserve"> la plainte. Les plaintes sont traitées au niveau local si elles relèvent de la compétence des autorités locales. Les plaintes dépassant le cadre local doivent être transmises dans un délai d’une semaine au niveau national.</w:t>
      </w:r>
      <w:bookmarkStart w:id="0" w:name="_Toc438643871"/>
    </w:p>
    <w:p w:rsidR="00EE4CC9" w:rsidRPr="00EE4CC9" w:rsidRDefault="00EE4CC9" w:rsidP="00EE4CC9">
      <w:pPr>
        <w:suppressAutoHyphens/>
        <w:spacing w:after="0" w:line="240" w:lineRule="auto"/>
        <w:jc w:val="both"/>
        <w:rPr>
          <w:rFonts w:ascii="Arial" w:eastAsia="Calibri" w:hAnsi="Arial" w:cs="Arial"/>
          <w:sz w:val="24"/>
          <w:szCs w:val="24"/>
        </w:rPr>
      </w:pPr>
    </w:p>
    <w:p w:rsidR="00EE4CC9" w:rsidRPr="00EE4CC9" w:rsidRDefault="00EE4CC9" w:rsidP="00EE4CC9">
      <w:pPr>
        <w:spacing w:after="0" w:line="240" w:lineRule="auto"/>
        <w:jc w:val="both"/>
        <w:rPr>
          <w:rFonts w:ascii="Arial" w:eastAsia="MS Mincho" w:hAnsi="Arial" w:cs="Arial"/>
          <w:b/>
          <w:sz w:val="24"/>
          <w:szCs w:val="24"/>
        </w:rPr>
      </w:pPr>
      <w:r w:rsidRPr="00EE4CC9">
        <w:rPr>
          <w:rFonts w:ascii="Arial" w:eastAsia="MS Mincho" w:hAnsi="Arial" w:cs="Arial"/>
          <w:b/>
          <w:sz w:val="24"/>
          <w:szCs w:val="24"/>
        </w:rPr>
        <w:t xml:space="preserve">Implication des populations locales dans la </w:t>
      </w:r>
      <w:proofErr w:type="spellStart"/>
      <w:r w:rsidRPr="00EE4CC9">
        <w:rPr>
          <w:rFonts w:ascii="Arial" w:eastAsia="MS Mincho" w:hAnsi="Arial" w:cs="Arial"/>
          <w:b/>
          <w:sz w:val="24"/>
          <w:szCs w:val="24"/>
        </w:rPr>
        <w:t>co-gestion</w:t>
      </w:r>
      <w:proofErr w:type="spellEnd"/>
      <w:r w:rsidRPr="00EE4CC9">
        <w:rPr>
          <w:rFonts w:ascii="Arial" w:eastAsia="MS Mincho" w:hAnsi="Arial" w:cs="Arial"/>
          <w:b/>
          <w:sz w:val="24"/>
          <w:szCs w:val="24"/>
        </w:rPr>
        <w:t xml:space="preserve"> du parc  </w:t>
      </w:r>
    </w:p>
    <w:p w:rsidR="00EE4CC9" w:rsidRPr="00EE4CC9" w:rsidRDefault="00EE4CC9" w:rsidP="00BF7E34">
      <w:pPr>
        <w:spacing w:after="0" w:line="240" w:lineRule="auto"/>
        <w:ind w:firstLine="708"/>
        <w:jc w:val="both"/>
        <w:rPr>
          <w:rFonts w:ascii="Arial" w:eastAsia="MS Mincho" w:hAnsi="Arial" w:cs="Arial"/>
          <w:sz w:val="24"/>
          <w:szCs w:val="24"/>
        </w:rPr>
      </w:pPr>
      <w:r w:rsidRPr="00EE4CC9">
        <w:rPr>
          <w:rFonts w:ascii="Arial" w:eastAsia="MS Mincho" w:hAnsi="Arial" w:cs="Arial"/>
          <w:sz w:val="24"/>
          <w:szCs w:val="24"/>
        </w:rPr>
        <w:t>Les</w:t>
      </w:r>
      <w:r w:rsidRPr="00EE4CC9">
        <w:rPr>
          <w:rFonts w:ascii="Arial" w:eastAsia="MS Mincho" w:hAnsi="Arial" w:cs="Arial"/>
          <w:b/>
          <w:sz w:val="24"/>
          <w:szCs w:val="24"/>
        </w:rPr>
        <w:t xml:space="preserve"> </w:t>
      </w:r>
      <w:r w:rsidRPr="00EE4CC9">
        <w:rPr>
          <w:rFonts w:ascii="Arial" w:eastAsia="MS Mincho" w:hAnsi="Arial" w:cs="Arial"/>
          <w:sz w:val="24"/>
          <w:szCs w:val="24"/>
        </w:rPr>
        <w:t>populations locales participent par le biais de leurs délégués à l’élection du bureau du CCGL. Ce CCGL inclut une plate-forme villageoise et censée défendre les intérêts des localités riveraines du parc dont celles des pygmées n’est pas fonctionnel. Ainsi, il est indispensable de procéder au renforcement des capacités des CCGL notamment sur le fonctionnement de leurs bureaux, incluant la dotation d’équipements, de fournitures, de formations, ainsi que l'appui à des rencontres régulières (semestrielles). Les activités de formation adopteront l’approche « formation des formateurs », les agents ANPN/DGFAP étant formés pour former les CCGL et les organisations locales connexes.</w:t>
      </w:r>
    </w:p>
    <w:p w:rsidR="00EE4CC9" w:rsidRPr="00EE4CC9" w:rsidRDefault="00EE4CC9" w:rsidP="00EE4CC9">
      <w:pPr>
        <w:autoSpaceDE w:val="0"/>
        <w:autoSpaceDN w:val="0"/>
        <w:adjustRightInd w:val="0"/>
        <w:spacing w:after="0" w:line="240" w:lineRule="auto"/>
        <w:ind w:firstLine="708"/>
        <w:jc w:val="both"/>
        <w:rPr>
          <w:rFonts w:ascii="Arial" w:eastAsia="Times New Roman" w:hAnsi="Arial" w:cs="Arial"/>
          <w:sz w:val="24"/>
          <w:szCs w:val="24"/>
        </w:rPr>
      </w:pPr>
      <w:r w:rsidRPr="00EE4CC9">
        <w:rPr>
          <w:rFonts w:ascii="Arial" w:eastAsia="Times New Roman" w:hAnsi="Arial" w:cs="Arial"/>
          <w:sz w:val="24"/>
          <w:szCs w:val="24"/>
        </w:rPr>
        <w:t>Le renforcement des capacités du Comité Consultatif de Gestion Locale (CCGL) impliquera une meilleure compréhension de la gestion des ressources naturelles par les membres du CCGL et leur fonctionnement permettra des activités au sein des villages pygmées ; la création d’emplois et l’augmentation de revenus pour les populations locales qui produisent sans possibilité d’écoulement (lutte contre la pa</w:t>
      </w:r>
      <w:r w:rsidR="00BF7E34">
        <w:rPr>
          <w:rFonts w:ascii="Arial" w:eastAsia="Times New Roman" w:hAnsi="Arial" w:cs="Arial"/>
          <w:sz w:val="24"/>
          <w:szCs w:val="24"/>
        </w:rPr>
        <w:t>uvreté). Il est également prévu</w:t>
      </w:r>
      <w:r w:rsidRPr="00EE4CC9">
        <w:rPr>
          <w:rFonts w:ascii="Arial" w:eastAsia="Times New Roman" w:hAnsi="Arial" w:cs="Arial"/>
          <w:sz w:val="24"/>
          <w:szCs w:val="24"/>
        </w:rPr>
        <w:t xml:space="preserve"> le recrutement et la formation des éco-gardes </w:t>
      </w:r>
      <w:r w:rsidR="005C1E02">
        <w:rPr>
          <w:rFonts w:ascii="Arial" w:eastAsia="Times New Roman" w:hAnsi="Arial" w:cs="Arial"/>
          <w:sz w:val="24"/>
          <w:szCs w:val="24"/>
        </w:rPr>
        <w:t xml:space="preserve">qui </w:t>
      </w:r>
      <w:r w:rsidRPr="00EE4CC9">
        <w:rPr>
          <w:rFonts w:ascii="Arial" w:eastAsia="Times New Roman" w:hAnsi="Arial" w:cs="Arial"/>
          <w:sz w:val="24"/>
          <w:szCs w:val="24"/>
        </w:rPr>
        <w:t>sont prioritairement recrutés parmi les populations locales riveraines des parcs.</w:t>
      </w:r>
      <w:bookmarkEnd w:id="0"/>
      <w:r w:rsidRPr="00EE4CC9">
        <w:rPr>
          <w:rFonts w:ascii="Arial" w:eastAsia="Times New Roman" w:hAnsi="Arial" w:cs="Arial"/>
          <w:sz w:val="24"/>
          <w:szCs w:val="24"/>
        </w:rPr>
        <w:t xml:space="preserve"> Pour </w:t>
      </w:r>
      <w:r w:rsidRPr="00EE4CC9">
        <w:rPr>
          <w:rFonts w:ascii="Arial" w:eastAsia="Times New Roman" w:hAnsi="Arial" w:cs="Arial"/>
          <w:sz w:val="24"/>
          <w:szCs w:val="24"/>
        </w:rPr>
        <w:lastRenderedPageBreak/>
        <w:t>assurer la réalisation efficiente des projets en faveur des populations locales, le CCGL, le personnel du Parc national (éco-gardes, Conservateur, responsable du service en charge de l’implication communautaire, Conservateur), l’Unité de Gestion du Projet (UPG), le spécialiste en sauvegarde environnementale et sociale et la direction de l’ANPN doivent chacun en ce qui le concerne jouer convenablement sa partition.</w:t>
      </w:r>
    </w:p>
    <w:p w:rsidR="00EE4CC9" w:rsidRPr="00EE4CC9" w:rsidRDefault="00EE4CC9" w:rsidP="00EE4CC9">
      <w:pPr>
        <w:autoSpaceDE w:val="0"/>
        <w:autoSpaceDN w:val="0"/>
        <w:adjustRightInd w:val="0"/>
        <w:spacing w:after="0" w:line="240" w:lineRule="auto"/>
        <w:ind w:firstLine="708"/>
        <w:jc w:val="both"/>
        <w:rPr>
          <w:rFonts w:ascii="Arial" w:eastAsia="Times New Roman" w:hAnsi="Arial" w:cs="Arial"/>
          <w:sz w:val="24"/>
          <w:szCs w:val="24"/>
        </w:rPr>
      </w:pPr>
    </w:p>
    <w:p w:rsidR="00EE4CC9" w:rsidRDefault="005C1E02" w:rsidP="00EE4CC9">
      <w:pPr>
        <w:spacing w:after="0" w:line="240" w:lineRule="auto"/>
        <w:ind w:firstLine="708"/>
        <w:contextualSpacing/>
        <w:jc w:val="both"/>
        <w:rPr>
          <w:rFonts w:ascii="Arial" w:eastAsia="Times New Roman" w:hAnsi="Arial" w:cs="Arial"/>
          <w:sz w:val="24"/>
          <w:szCs w:val="24"/>
        </w:rPr>
      </w:pPr>
      <w:r>
        <w:rPr>
          <w:rFonts w:ascii="Arial" w:eastAsia="Times New Roman" w:hAnsi="Arial" w:cs="Arial"/>
          <w:sz w:val="24"/>
          <w:szCs w:val="24"/>
        </w:rPr>
        <w:t>Par ailleurs</w:t>
      </w:r>
      <w:r w:rsidR="00EE4CC9" w:rsidRPr="00EE4CC9">
        <w:rPr>
          <w:rFonts w:ascii="Arial" w:eastAsia="Times New Roman" w:hAnsi="Arial" w:cs="Arial"/>
          <w:sz w:val="24"/>
          <w:szCs w:val="24"/>
        </w:rPr>
        <w:t>, le personnel du parc national ainsi que l’Unité de Gestion du Projet par le biais du spécialiste en sauvegarde environnementale et sociale du projet devront s’atteler, dès le démarrage du projet, à établir avec le CCGL et les représentants des peuples autochtones, une planification détaillée des activités prévues au début de chaque année. Au niveau du volet « Réhabilitation d’infrastructures », l’Unité de Gestion du Projet, le Conservateur du parc, le spécialiste en sauvegarde environnementale et sociale ainsi que le Service en charge de l’implication communautaire doivent identifier avec les représentants des populations locales, les activités auxquelles elles peuvent participer et qui tiennent compte du respect de l’environnement, du mode de vie et de la culture des populations locales sensibles. L’Unité de Gestion et la direction de l’ANPN devront accompagner les efforts du parc en assurant la célérité dans les procédures d’exécution du budget.</w:t>
      </w:r>
    </w:p>
    <w:p w:rsidR="005C1E02" w:rsidRDefault="005C1E02" w:rsidP="00EE4CC9">
      <w:pPr>
        <w:spacing w:after="0" w:line="240" w:lineRule="auto"/>
        <w:ind w:firstLine="708"/>
        <w:contextualSpacing/>
        <w:jc w:val="both"/>
        <w:rPr>
          <w:rFonts w:ascii="Arial" w:eastAsia="Times New Roman" w:hAnsi="Arial" w:cs="Arial"/>
          <w:sz w:val="24"/>
          <w:szCs w:val="24"/>
        </w:rPr>
      </w:pPr>
    </w:p>
    <w:p w:rsidR="005C1E02" w:rsidRPr="00EE4CC9" w:rsidRDefault="005C1E02" w:rsidP="00EE4CC9">
      <w:pPr>
        <w:spacing w:after="0" w:line="240" w:lineRule="auto"/>
        <w:ind w:firstLine="708"/>
        <w:contextualSpacing/>
        <w:jc w:val="both"/>
        <w:rPr>
          <w:rFonts w:ascii="Arial" w:eastAsia="Times New Roman" w:hAnsi="Arial" w:cs="Arial"/>
          <w:sz w:val="24"/>
          <w:szCs w:val="24"/>
        </w:rPr>
      </w:pPr>
      <w:r>
        <w:rPr>
          <w:rFonts w:ascii="Arial" w:eastAsia="Times New Roman" w:hAnsi="Arial" w:cs="Arial"/>
          <w:sz w:val="24"/>
          <w:szCs w:val="24"/>
        </w:rPr>
        <w:t>Cependant, le CCGL fait face à des difficultés fonctionnelles et financières. Il ne dispose pas de moyens pour assurer ses activités.</w:t>
      </w:r>
    </w:p>
    <w:p w:rsidR="00B433EC" w:rsidRPr="00EE4CC9" w:rsidRDefault="00B433EC"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B433EC" w:rsidRPr="00EE4CC9" w:rsidRDefault="006B0595" w:rsidP="00EE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sidRPr="00EE4CC9">
        <w:rPr>
          <w:rFonts w:ascii="Arial" w:eastAsia="Times New Roman" w:hAnsi="Arial" w:cs="Arial"/>
          <w:b/>
          <w:sz w:val="24"/>
          <w:szCs w:val="24"/>
          <w:lang w:eastAsia="fr-FR"/>
        </w:rPr>
        <w:t xml:space="preserve">2 </w:t>
      </w:r>
      <w:r w:rsidR="00B433EC" w:rsidRPr="00EE4CC9">
        <w:rPr>
          <w:rFonts w:ascii="Arial" w:eastAsia="Times New Roman" w:hAnsi="Arial" w:cs="Arial"/>
          <w:b/>
          <w:sz w:val="24"/>
          <w:szCs w:val="24"/>
          <w:lang w:eastAsia="fr-FR"/>
        </w:rPr>
        <w:t>• Examiner les obstacles (structurels, politiques, économiques et sociaux) et les conditions propices nécessaires à la promotion d'un dialogue constructif entre les États et les peuples autochtones pour l'établissement de traités, accords et autres arrangements constructifs, y compris les accords de paix et les initiatives de réconciliation, et leur reconnaissance constitutionnelle</w:t>
      </w:r>
      <w:r w:rsidR="00B433EC" w:rsidRPr="00EE4CC9">
        <w:rPr>
          <w:rFonts w:ascii="Arial" w:eastAsia="Times New Roman" w:hAnsi="Arial" w:cs="Arial"/>
          <w:sz w:val="24"/>
          <w:szCs w:val="24"/>
          <w:lang w:eastAsia="fr-FR"/>
        </w:rPr>
        <w:t>.</w:t>
      </w:r>
    </w:p>
    <w:p w:rsidR="000E6B98" w:rsidRPr="00A34B51" w:rsidRDefault="000E6B98"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0E6B98" w:rsidRPr="00A34B51" w:rsidRDefault="000E6B98" w:rsidP="00A34B51">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 xml:space="preserve">Structurels : </w:t>
      </w:r>
    </w:p>
    <w:p w:rsidR="00EE4CC9" w:rsidRDefault="005C1E02"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ab/>
        <w:t>Les populations autochtones pygmées ont toujours des difficultés à s’intégrer dans</w:t>
      </w:r>
      <w:r w:rsidR="00824A3A" w:rsidRPr="00A34B51">
        <w:rPr>
          <w:rFonts w:ascii="Arial" w:hAnsi="Arial" w:cs="Arial"/>
          <w:sz w:val="24"/>
          <w:szCs w:val="24"/>
        </w:rPr>
        <w:t xml:space="preserve"> la société</w:t>
      </w:r>
      <w:r>
        <w:rPr>
          <w:rFonts w:ascii="Arial" w:hAnsi="Arial" w:cs="Arial"/>
          <w:sz w:val="24"/>
          <w:szCs w:val="24"/>
        </w:rPr>
        <w:t xml:space="preserve"> gabonaise. Il </w:t>
      </w:r>
      <w:r w:rsidR="00446EB3">
        <w:rPr>
          <w:rFonts w:ascii="Arial" w:hAnsi="Arial" w:cs="Arial"/>
          <w:sz w:val="24"/>
          <w:szCs w:val="24"/>
        </w:rPr>
        <w:t>n’existe</w:t>
      </w:r>
      <w:r>
        <w:rPr>
          <w:rFonts w:ascii="Arial" w:hAnsi="Arial" w:cs="Arial"/>
          <w:sz w:val="24"/>
          <w:szCs w:val="24"/>
        </w:rPr>
        <w:t xml:space="preserve"> pas </w:t>
      </w:r>
      <w:r w:rsidR="00446EB3">
        <w:rPr>
          <w:rFonts w:ascii="Arial" w:hAnsi="Arial" w:cs="Arial"/>
          <w:sz w:val="24"/>
          <w:szCs w:val="24"/>
        </w:rPr>
        <w:t>de mécanisme adapté ou de structure simplifiée qui leur permette d’accéder à l’éducation, à la</w:t>
      </w:r>
      <w:r w:rsidR="00824A3A" w:rsidRPr="00A34B51">
        <w:rPr>
          <w:rFonts w:ascii="Arial" w:hAnsi="Arial" w:cs="Arial"/>
          <w:sz w:val="24"/>
          <w:szCs w:val="24"/>
        </w:rPr>
        <w:t xml:space="preserve"> </w:t>
      </w:r>
      <w:r w:rsidR="00446EB3">
        <w:rPr>
          <w:rFonts w:ascii="Arial" w:hAnsi="Arial" w:cs="Arial"/>
          <w:sz w:val="24"/>
          <w:szCs w:val="24"/>
        </w:rPr>
        <w:t>santé et à l’emploi.</w:t>
      </w:r>
    </w:p>
    <w:p w:rsidR="00446EB3" w:rsidRPr="00A34B51" w:rsidRDefault="00446EB3"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0E6B98" w:rsidRPr="00A34B51" w:rsidRDefault="000E6B98" w:rsidP="00A34B51">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Politiques :</w:t>
      </w:r>
    </w:p>
    <w:p w:rsidR="00446EB3" w:rsidRDefault="00446EB3"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ab/>
      </w:r>
      <w:r>
        <w:rPr>
          <w:rFonts w:ascii="Arial" w:hAnsi="Arial" w:cs="Arial"/>
          <w:sz w:val="24"/>
          <w:szCs w:val="24"/>
        </w:rPr>
        <w:t>L’Etat doit leurs accorder les</w:t>
      </w:r>
      <w:r w:rsidR="00824A3A" w:rsidRPr="00A34B51">
        <w:rPr>
          <w:rFonts w:ascii="Arial" w:hAnsi="Arial" w:cs="Arial"/>
          <w:sz w:val="24"/>
          <w:szCs w:val="24"/>
        </w:rPr>
        <w:t xml:space="preserve"> droits fondame</w:t>
      </w:r>
      <w:r>
        <w:rPr>
          <w:rFonts w:ascii="Arial" w:hAnsi="Arial" w:cs="Arial"/>
          <w:sz w:val="24"/>
          <w:szCs w:val="24"/>
        </w:rPr>
        <w:t>ntaux en fonction d</w:t>
      </w:r>
      <w:r w:rsidR="00824A3A" w:rsidRPr="00A34B51">
        <w:rPr>
          <w:rFonts w:ascii="Arial" w:hAnsi="Arial" w:cs="Arial"/>
          <w:sz w:val="24"/>
          <w:szCs w:val="24"/>
        </w:rPr>
        <w:t xml:space="preserve">es dispositions des articles 2 et 25 du Pacte international relatif aux droits civils et politiques et des articles 6, 12 et 13 du Pacte international relatif aux droits économique, sociaux et </w:t>
      </w:r>
      <w:r>
        <w:rPr>
          <w:rFonts w:ascii="Arial" w:hAnsi="Arial" w:cs="Arial"/>
          <w:sz w:val="24"/>
          <w:szCs w:val="24"/>
        </w:rPr>
        <w:t>culturels</w:t>
      </w:r>
      <w:r w:rsidR="00824A3A" w:rsidRPr="00A34B51">
        <w:rPr>
          <w:rFonts w:ascii="Arial" w:hAnsi="Arial" w:cs="Arial"/>
          <w:sz w:val="24"/>
          <w:szCs w:val="24"/>
        </w:rPr>
        <w:t>.</w:t>
      </w:r>
    </w:p>
    <w:p w:rsidR="00446EB3" w:rsidRPr="00A34B51" w:rsidRDefault="00446EB3"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0E6B98" w:rsidRPr="00A34B51" w:rsidRDefault="000E6B98" w:rsidP="00A34B51">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Économiques :</w:t>
      </w:r>
    </w:p>
    <w:p w:rsidR="00EE4CC9" w:rsidRDefault="00446EB3" w:rsidP="00A34B5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24"/>
          <w:szCs w:val="24"/>
        </w:rPr>
      </w:pPr>
      <w:r>
        <w:rPr>
          <w:rFonts w:ascii="Arial" w:hAnsi="Arial" w:cs="Arial"/>
          <w:sz w:val="24"/>
          <w:szCs w:val="24"/>
        </w:rPr>
        <w:tab/>
      </w:r>
      <w:r w:rsidRPr="00A34B51">
        <w:rPr>
          <w:rFonts w:ascii="Arial" w:hAnsi="Arial" w:cs="Arial"/>
          <w:sz w:val="24"/>
          <w:szCs w:val="24"/>
        </w:rPr>
        <w:t>Les</w:t>
      </w:r>
      <w:r w:rsidR="000847EB">
        <w:rPr>
          <w:rFonts w:ascii="Arial" w:hAnsi="Arial" w:cs="Arial"/>
          <w:sz w:val="24"/>
          <w:szCs w:val="24"/>
        </w:rPr>
        <w:t xml:space="preserve"> droits économiques</w:t>
      </w:r>
      <w:r w:rsidR="00110029" w:rsidRPr="00A34B51">
        <w:rPr>
          <w:rFonts w:ascii="Arial" w:hAnsi="Arial" w:cs="Arial"/>
          <w:sz w:val="24"/>
          <w:szCs w:val="24"/>
        </w:rPr>
        <w:t xml:space="preserve"> ne sont pas totalement satisfaits pour les pygmées du Gabon.</w:t>
      </w:r>
    </w:p>
    <w:p w:rsidR="00446EB3" w:rsidRPr="00A34B51" w:rsidRDefault="00446EB3" w:rsidP="00A34B5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p>
    <w:p w:rsidR="000E6B98" w:rsidRPr="00A34B51" w:rsidRDefault="000E6B98" w:rsidP="00A34B51">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Sociaux :</w:t>
      </w:r>
    </w:p>
    <w:p w:rsidR="00033A02" w:rsidRDefault="000847EB"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ab/>
        <w:t xml:space="preserve">Certains autochtones ont accès à la </w:t>
      </w:r>
      <w:r w:rsidR="00033A02" w:rsidRPr="00A34B51">
        <w:rPr>
          <w:rFonts w:ascii="Arial" w:eastAsia="Times New Roman" w:hAnsi="Arial" w:cs="Arial"/>
          <w:sz w:val="24"/>
          <w:szCs w:val="24"/>
          <w:lang w:eastAsia="fr-FR"/>
        </w:rPr>
        <w:t>C</w:t>
      </w:r>
      <w:r>
        <w:rPr>
          <w:rFonts w:ascii="Arial" w:eastAsia="Times New Roman" w:hAnsi="Arial" w:cs="Arial"/>
          <w:sz w:val="24"/>
          <w:szCs w:val="24"/>
          <w:lang w:eastAsia="fr-FR"/>
        </w:rPr>
        <w:t xml:space="preserve">aisse </w:t>
      </w:r>
      <w:r w:rsidR="00033A02" w:rsidRPr="00A34B51">
        <w:rPr>
          <w:rFonts w:ascii="Arial" w:eastAsia="Times New Roman" w:hAnsi="Arial" w:cs="Arial"/>
          <w:sz w:val="24"/>
          <w:szCs w:val="24"/>
          <w:lang w:eastAsia="fr-FR"/>
        </w:rPr>
        <w:t>N</w:t>
      </w:r>
      <w:r>
        <w:rPr>
          <w:rFonts w:ascii="Arial" w:eastAsia="Times New Roman" w:hAnsi="Arial" w:cs="Arial"/>
          <w:sz w:val="24"/>
          <w:szCs w:val="24"/>
          <w:lang w:eastAsia="fr-FR"/>
        </w:rPr>
        <w:t>ationale d’</w:t>
      </w:r>
      <w:r w:rsidR="00033A02" w:rsidRPr="00A34B51">
        <w:rPr>
          <w:rFonts w:ascii="Arial" w:eastAsia="Times New Roman" w:hAnsi="Arial" w:cs="Arial"/>
          <w:sz w:val="24"/>
          <w:szCs w:val="24"/>
          <w:lang w:eastAsia="fr-FR"/>
        </w:rPr>
        <w:t>A</w:t>
      </w:r>
      <w:r>
        <w:rPr>
          <w:rFonts w:ascii="Arial" w:eastAsia="Times New Roman" w:hAnsi="Arial" w:cs="Arial"/>
          <w:sz w:val="24"/>
          <w:szCs w:val="24"/>
          <w:lang w:eastAsia="fr-FR"/>
        </w:rPr>
        <w:t xml:space="preserve">ssurance </w:t>
      </w:r>
      <w:r w:rsidR="00033A02" w:rsidRPr="00A34B51">
        <w:rPr>
          <w:rFonts w:ascii="Arial" w:eastAsia="Times New Roman" w:hAnsi="Arial" w:cs="Arial"/>
          <w:sz w:val="24"/>
          <w:szCs w:val="24"/>
          <w:lang w:eastAsia="fr-FR"/>
        </w:rPr>
        <w:t>M</w:t>
      </w:r>
      <w:r>
        <w:rPr>
          <w:rFonts w:ascii="Arial" w:eastAsia="Times New Roman" w:hAnsi="Arial" w:cs="Arial"/>
          <w:sz w:val="24"/>
          <w:szCs w:val="24"/>
          <w:lang w:eastAsia="fr-FR"/>
        </w:rPr>
        <w:t xml:space="preserve">aladie et de </w:t>
      </w:r>
      <w:r w:rsidR="00033A02" w:rsidRPr="00A34B51">
        <w:rPr>
          <w:rFonts w:ascii="Arial" w:eastAsia="Times New Roman" w:hAnsi="Arial" w:cs="Arial"/>
          <w:sz w:val="24"/>
          <w:szCs w:val="24"/>
          <w:lang w:eastAsia="fr-FR"/>
        </w:rPr>
        <w:t>G</w:t>
      </w:r>
      <w:r>
        <w:rPr>
          <w:rFonts w:ascii="Arial" w:eastAsia="Times New Roman" w:hAnsi="Arial" w:cs="Arial"/>
          <w:sz w:val="24"/>
          <w:szCs w:val="24"/>
          <w:lang w:eastAsia="fr-FR"/>
        </w:rPr>
        <w:t xml:space="preserve">arantie </w:t>
      </w:r>
      <w:r w:rsidR="00033A02" w:rsidRPr="00A34B51">
        <w:rPr>
          <w:rFonts w:ascii="Arial" w:eastAsia="Times New Roman" w:hAnsi="Arial" w:cs="Arial"/>
          <w:sz w:val="24"/>
          <w:szCs w:val="24"/>
          <w:lang w:eastAsia="fr-FR"/>
        </w:rPr>
        <w:t>S</w:t>
      </w:r>
      <w:r>
        <w:rPr>
          <w:rFonts w:ascii="Arial" w:eastAsia="Times New Roman" w:hAnsi="Arial" w:cs="Arial"/>
          <w:sz w:val="24"/>
          <w:szCs w:val="24"/>
          <w:lang w:eastAsia="fr-FR"/>
        </w:rPr>
        <w:t xml:space="preserve">ociale et l’Etat à fait énormément d’effort dans ce sens. Mais, les autres autochtones qui vivent proche des parcs nationaux ne </w:t>
      </w:r>
      <w:r w:rsidR="00834B02">
        <w:rPr>
          <w:rFonts w:ascii="Arial" w:eastAsia="Times New Roman" w:hAnsi="Arial" w:cs="Arial"/>
          <w:sz w:val="24"/>
          <w:szCs w:val="24"/>
          <w:lang w:eastAsia="fr-FR"/>
        </w:rPr>
        <w:t>bénéficient pas toujours de ce dispositif. L’Etat doit aller vers ces populations pour les établir les documents administratifs appropriés, à savoir : la carte nationale d’identité, la carte de CNAMGS etc.</w:t>
      </w:r>
    </w:p>
    <w:p w:rsidR="000847EB" w:rsidRPr="00A34B51" w:rsidRDefault="000847EB"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824A3A" w:rsidRPr="00A34B51" w:rsidRDefault="00824A3A" w:rsidP="00A34B51">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Culturels</w:t>
      </w:r>
      <w:r w:rsidRPr="00A34B51">
        <w:rPr>
          <w:rFonts w:ascii="Arial" w:eastAsia="Times New Roman" w:hAnsi="Arial" w:cs="Arial"/>
          <w:sz w:val="24"/>
          <w:szCs w:val="24"/>
          <w:lang w:eastAsia="fr-FR"/>
        </w:rPr>
        <w:t> :</w:t>
      </w:r>
    </w:p>
    <w:p w:rsidR="00B433EC" w:rsidRDefault="00824A3A"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B51">
        <w:rPr>
          <w:rFonts w:ascii="Arial" w:eastAsia="Times New Roman" w:hAnsi="Arial" w:cs="Arial"/>
          <w:sz w:val="24"/>
          <w:szCs w:val="24"/>
          <w:lang w:eastAsia="fr-FR"/>
        </w:rPr>
        <w:lastRenderedPageBreak/>
        <w:tab/>
      </w:r>
      <w:r w:rsidR="00834B02">
        <w:rPr>
          <w:rFonts w:ascii="Arial" w:hAnsi="Arial" w:cs="Arial"/>
          <w:sz w:val="24"/>
          <w:szCs w:val="24"/>
        </w:rPr>
        <w:t xml:space="preserve">Il n’existe pas au Gabon </w:t>
      </w:r>
      <w:r w:rsidRPr="00A34B51">
        <w:rPr>
          <w:rFonts w:ascii="Arial" w:hAnsi="Arial" w:cs="Arial"/>
          <w:sz w:val="24"/>
          <w:szCs w:val="24"/>
        </w:rPr>
        <w:t>un cadre réglementaire ou lé</w:t>
      </w:r>
      <w:r w:rsidR="00834B02">
        <w:rPr>
          <w:rFonts w:ascii="Arial" w:hAnsi="Arial" w:cs="Arial"/>
          <w:sz w:val="24"/>
          <w:szCs w:val="24"/>
        </w:rPr>
        <w:t>gislatif précis permettant</w:t>
      </w:r>
      <w:r w:rsidRPr="00A34B51">
        <w:rPr>
          <w:rFonts w:ascii="Arial" w:hAnsi="Arial" w:cs="Arial"/>
          <w:sz w:val="24"/>
          <w:szCs w:val="24"/>
        </w:rPr>
        <w:t xml:space="preserve"> la mise en œuvre du droit à la consultation préalable et éclairée des peuples autochtones dans le cadre des processus de prise de décisions concernant l’exploitation des ressources naturelles sur </w:t>
      </w:r>
      <w:r w:rsidR="00834B02">
        <w:rPr>
          <w:rFonts w:ascii="Arial" w:hAnsi="Arial" w:cs="Arial"/>
          <w:sz w:val="24"/>
          <w:szCs w:val="24"/>
        </w:rPr>
        <w:t>leurs territoires traditionnels</w:t>
      </w:r>
      <w:r w:rsidRPr="00A34B51">
        <w:rPr>
          <w:rFonts w:ascii="Arial" w:hAnsi="Arial" w:cs="Arial"/>
          <w:sz w:val="24"/>
          <w:szCs w:val="24"/>
        </w:rPr>
        <w:t xml:space="preserve">. </w:t>
      </w:r>
    </w:p>
    <w:p w:rsidR="00834B02" w:rsidRPr="00A34B51" w:rsidRDefault="00834B02"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B433EC" w:rsidRPr="00A34B51" w:rsidRDefault="000E6B98"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3</w:t>
      </w:r>
      <w:r w:rsidR="006B0595" w:rsidRPr="00A34B51">
        <w:rPr>
          <w:rFonts w:ascii="Arial" w:eastAsia="Times New Roman" w:hAnsi="Arial" w:cs="Arial"/>
          <w:b/>
          <w:sz w:val="24"/>
          <w:szCs w:val="24"/>
          <w:lang w:eastAsia="fr-FR"/>
        </w:rPr>
        <w:t xml:space="preserve"> </w:t>
      </w:r>
      <w:r w:rsidR="00B433EC" w:rsidRPr="00A34B51">
        <w:rPr>
          <w:rFonts w:ascii="Arial" w:eastAsia="Times New Roman" w:hAnsi="Arial" w:cs="Arial"/>
          <w:b/>
          <w:sz w:val="24"/>
          <w:szCs w:val="24"/>
          <w:lang w:eastAsia="fr-FR"/>
        </w:rPr>
        <w:t>• Des mécanismes nationaux ayant compétence pour résoudre les conflits entre les États et les peuples autochtones concernant les traités, accords et autres arrangements constructifs, y compris les accords de paix et les initiatives de réconciliation, et leur reconnaissance constitutionnelle</w:t>
      </w:r>
      <w:r w:rsidR="00B433EC" w:rsidRPr="00A34B51">
        <w:rPr>
          <w:rFonts w:ascii="Arial" w:eastAsia="Times New Roman" w:hAnsi="Arial" w:cs="Arial"/>
          <w:sz w:val="24"/>
          <w:szCs w:val="24"/>
          <w:lang w:eastAsia="fr-FR"/>
        </w:rPr>
        <w:t>.</w:t>
      </w:r>
    </w:p>
    <w:p w:rsidR="00635C58" w:rsidRPr="00A34B51" w:rsidRDefault="00635C58"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B433EC" w:rsidRPr="00A34B51" w:rsidRDefault="002115E7" w:rsidP="00A34B5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sz w:val="24"/>
          <w:szCs w:val="24"/>
          <w:lang w:eastAsia="fr-FR"/>
        </w:rPr>
      </w:pPr>
      <w:r w:rsidRPr="00A34B51">
        <w:rPr>
          <w:rFonts w:ascii="Arial" w:eastAsia="Times New Roman" w:hAnsi="Arial" w:cs="Arial"/>
          <w:b/>
          <w:sz w:val="24"/>
          <w:szCs w:val="24"/>
          <w:lang w:eastAsia="fr-FR"/>
        </w:rPr>
        <w:t>Mécanismes nationaux de résolution des conflits</w:t>
      </w:r>
      <w:r w:rsidRPr="00A34B51">
        <w:rPr>
          <w:rFonts w:ascii="Arial" w:eastAsia="Times New Roman" w:hAnsi="Arial" w:cs="Arial"/>
          <w:sz w:val="24"/>
          <w:szCs w:val="24"/>
          <w:lang w:eastAsia="fr-FR"/>
        </w:rPr>
        <w:t> :</w:t>
      </w:r>
    </w:p>
    <w:p w:rsidR="00834B02" w:rsidRDefault="00834B02"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5F627C" w:rsidRPr="00A34B51" w:rsidRDefault="00834B02"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ab/>
        <w:t xml:space="preserve">Dans le cadre du </w:t>
      </w:r>
      <w:r w:rsidRPr="00834B02">
        <w:rPr>
          <w:rFonts w:ascii="Arial" w:hAnsi="Arial" w:cs="Arial"/>
          <w:color w:val="202124"/>
          <w:sz w:val="24"/>
          <w:szCs w:val="24"/>
        </w:rPr>
        <w:t>Projet d'Appui à la Promotion et Protection des Droits de l'Homme (PAPPDH) au Gabon</w:t>
      </w:r>
      <w:r>
        <w:rPr>
          <w:rFonts w:ascii="Arial" w:hAnsi="Arial" w:cs="Arial"/>
          <w:color w:val="202124"/>
          <w:sz w:val="24"/>
          <w:szCs w:val="24"/>
        </w:rPr>
        <w:t xml:space="preserve"> financé par l’Union Européenne au Gabon, il était prévu de procéder </w:t>
      </w:r>
      <w:r w:rsidR="00D44A76">
        <w:rPr>
          <w:rFonts w:ascii="Arial" w:hAnsi="Arial" w:cs="Arial"/>
          <w:color w:val="202124"/>
          <w:sz w:val="24"/>
          <w:szCs w:val="24"/>
        </w:rPr>
        <w:t>à l’élaboration</w:t>
      </w:r>
      <w:r>
        <w:rPr>
          <w:rFonts w:ascii="Arial" w:hAnsi="Arial" w:cs="Arial"/>
          <w:color w:val="202124"/>
          <w:sz w:val="24"/>
          <w:szCs w:val="24"/>
        </w:rPr>
        <w:t xml:space="preserve"> du</w:t>
      </w:r>
      <w:r w:rsidR="00BD6CB5" w:rsidRPr="00A34B51">
        <w:rPr>
          <w:rFonts w:ascii="Arial" w:hAnsi="Arial" w:cs="Arial"/>
          <w:sz w:val="24"/>
          <w:szCs w:val="24"/>
        </w:rPr>
        <w:t xml:space="preserve"> nouveau texte portant organisation et fonctionnement de la C</w:t>
      </w:r>
      <w:r w:rsidR="00D44A76">
        <w:rPr>
          <w:rFonts w:ascii="Arial" w:hAnsi="Arial" w:cs="Arial"/>
          <w:sz w:val="24"/>
          <w:szCs w:val="24"/>
        </w:rPr>
        <w:t xml:space="preserve">ommission </w:t>
      </w:r>
      <w:r w:rsidR="00BD6CB5" w:rsidRPr="00A34B51">
        <w:rPr>
          <w:rFonts w:ascii="Arial" w:hAnsi="Arial" w:cs="Arial"/>
          <w:sz w:val="24"/>
          <w:szCs w:val="24"/>
        </w:rPr>
        <w:t>N</w:t>
      </w:r>
      <w:r w:rsidR="00D44A76">
        <w:rPr>
          <w:rFonts w:ascii="Arial" w:hAnsi="Arial" w:cs="Arial"/>
          <w:sz w:val="24"/>
          <w:szCs w:val="24"/>
        </w:rPr>
        <w:t xml:space="preserve">ationale des </w:t>
      </w:r>
      <w:r w:rsidR="00BD6CB5" w:rsidRPr="00A34B51">
        <w:rPr>
          <w:rFonts w:ascii="Arial" w:hAnsi="Arial" w:cs="Arial"/>
          <w:sz w:val="24"/>
          <w:szCs w:val="24"/>
        </w:rPr>
        <w:t>D</w:t>
      </w:r>
      <w:r w:rsidR="00D44A76">
        <w:rPr>
          <w:rFonts w:ascii="Arial" w:hAnsi="Arial" w:cs="Arial"/>
          <w:sz w:val="24"/>
          <w:szCs w:val="24"/>
        </w:rPr>
        <w:t>roits de l’</w:t>
      </w:r>
      <w:r w:rsidR="00BD6CB5" w:rsidRPr="00A34B51">
        <w:rPr>
          <w:rFonts w:ascii="Arial" w:hAnsi="Arial" w:cs="Arial"/>
          <w:sz w:val="24"/>
          <w:szCs w:val="24"/>
        </w:rPr>
        <w:t>H</w:t>
      </w:r>
      <w:r w:rsidR="00D44A76">
        <w:rPr>
          <w:rFonts w:ascii="Arial" w:hAnsi="Arial" w:cs="Arial"/>
          <w:sz w:val="24"/>
          <w:szCs w:val="24"/>
        </w:rPr>
        <w:t xml:space="preserve">omme. Ce projet devrait aussi mettre en place un Mécanisme de Dialogue entre l’Etat et la Société Civile Gabonaise. Cependant, le texte est encore en discussion à l’Assemblée Nationale du Gabon et le projet a été réalisé en partie.   </w:t>
      </w:r>
    </w:p>
    <w:p w:rsidR="002115E7" w:rsidRPr="00A34B51" w:rsidRDefault="002115E7"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rsidR="00B433EC" w:rsidRPr="00A34B51" w:rsidRDefault="000E6B98" w:rsidP="00A3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sidRPr="00A34B51">
        <w:rPr>
          <w:rFonts w:ascii="Arial" w:hAnsi="Arial" w:cs="Arial"/>
          <w:b/>
          <w:sz w:val="24"/>
          <w:szCs w:val="24"/>
        </w:rPr>
        <w:t>4</w:t>
      </w:r>
      <w:r w:rsidR="006B0595" w:rsidRPr="00A34B51">
        <w:rPr>
          <w:rFonts w:ascii="Arial" w:eastAsia="Times New Roman" w:hAnsi="Arial" w:cs="Arial"/>
          <w:b/>
          <w:sz w:val="24"/>
          <w:szCs w:val="24"/>
          <w:lang w:eastAsia="fr-FR"/>
        </w:rPr>
        <w:t xml:space="preserve"> </w:t>
      </w:r>
      <w:r w:rsidR="00B433EC" w:rsidRPr="00A34B51">
        <w:rPr>
          <w:rFonts w:ascii="Arial" w:eastAsia="Times New Roman" w:hAnsi="Arial" w:cs="Arial"/>
          <w:b/>
          <w:sz w:val="24"/>
          <w:szCs w:val="24"/>
          <w:lang w:eastAsia="fr-FR"/>
        </w:rPr>
        <w:t>• De nouvelles approches conjointes de résolution de problèmes qui facilitent un dialogue constructif entre les États et les peuples autochtones</w:t>
      </w:r>
      <w:r w:rsidR="00B433EC" w:rsidRPr="00A34B51">
        <w:rPr>
          <w:rFonts w:ascii="Arial" w:eastAsia="Times New Roman" w:hAnsi="Arial" w:cs="Arial"/>
          <w:sz w:val="24"/>
          <w:szCs w:val="24"/>
          <w:lang w:eastAsia="fr-FR"/>
        </w:rPr>
        <w:t>.</w:t>
      </w:r>
    </w:p>
    <w:p w:rsidR="00B433EC" w:rsidRPr="00A34B51" w:rsidRDefault="00B433EC" w:rsidP="00A34B51">
      <w:pPr>
        <w:spacing w:after="0" w:line="240" w:lineRule="auto"/>
        <w:jc w:val="both"/>
        <w:rPr>
          <w:rFonts w:ascii="Arial" w:hAnsi="Arial" w:cs="Arial"/>
          <w:sz w:val="24"/>
          <w:szCs w:val="24"/>
        </w:rPr>
      </w:pPr>
    </w:p>
    <w:p w:rsidR="00075CF3" w:rsidRPr="00A34B51" w:rsidRDefault="002115E7" w:rsidP="00A34B51">
      <w:pPr>
        <w:pStyle w:val="Paragraphedeliste"/>
        <w:numPr>
          <w:ilvl w:val="0"/>
          <w:numId w:val="1"/>
        </w:numPr>
        <w:spacing w:after="0" w:line="240" w:lineRule="auto"/>
        <w:ind w:left="0"/>
        <w:jc w:val="both"/>
        <w:rPr>
          <w:rFonts w:ascii="Arial" w:hAnsi="Arial" w:cs="Arial"/>
          <w:sz w:val="24"/>
          <w:szCs w:val="24"/>
        </w:rPr>
      </w:pPr>
      <w:r w:rsidRPr="00A34B51">
        <w:rPr>
          <w:rFonts w:ascii="Arial" w:eastAsia="Times New Roman" w:hAnsi="Arial" w:cs="Arial"/>
          <w:b/>
          <w:sz w:val="24"/>
          <w:szCs w:val="24"/>
          <w:lang w:eastAsia="fr-FR"/>
        </w:rPr>
        <w:t>Nouvelles approches conjointes de résolution de problèmes :</w:t>
      </w:r>
    </w:p>
    <w:p w:rsidR="00EE4CC9" w:rsidRDefault="00EE4CC9" w:rsidP="00A34B51">
      <w:pPr>
        <w:spacing w:after="0" w:line="240" w:lineRule="auto"/>
        <w:jc w:val="both"/>
        <w:rPr>
          <w:rFonts w:ascii="Arial" w:hAnsi="Arial" w:cs="Arial"/>
          <w:sz w:val="24"/>
          <w:szCs w:val="24"/>
        </w:rPr>
      </w:pPr>
    </w:p>
    <w:p w:rsidR="007B6C10" w:rsidRDefault="007B6C10" w:rsidP="007B6C10">
      <w:pPr>
        <w:spacing w:after="0" w:line="240" w:lineRule="auto"/>
        <w:ind w:firstLine="708"/>
        <w:jc w:val="both"/>
        <w:rPr>
          <w:rFonts w:ascii="Arial" w:hAnsi="Arial" w:cs="Arial"/>
          <w:sz w:val="24"/>
          <w:szCs w:val="24"/>
        </w:rPr>
      </w:pPr>
      <w:r>
        <w:rPr>
          <w:rFonts w:ascii="Arial" w:hAnsi="Arial" w:cs="Arial"/>
          <w:sz w:val="24"/>
          <w:szCs w:val="24"/>
        </w:rPr>
        <w:t xml:space="preserve">L’Etat gabonais devrait mettre en place un dispositif inclusif qui tienne compte des droits des peuples autochtones pygmées. Il est indispensable de renforcer les </w:t>
      </w:r>
      <w:r w:rsidR="00D92396">
        <w:rPr>
          <w:rFonts w:ascii="Arial" w:hAnsi="Arial" w:cs="Arial"/>
          <w:sz w:val="24"/>
          <w:szCs w:val="24"/>
        </w:rPr>
        <w:t>capacités</w:t>
      </w:r>
      <w:r>
        <w:rPr>
          <w:rFonts w:ascii="Arial" w:hAnsi="Arial" w:cs="Arial"/>
          <w:sz w:val="24"/>
          <w:szCs w:val="24"/>
        </w:rPr>
        <w:t xml:space="preserve"> du CCGL et de </w:t>
      </w:r>
      <w:r w:rsidR="00D92396">
        <w:rPr>
          <w:rFonts w:ascii="Arial" w:hAnsi="Arial" w:cs="Arial"/>
          <w:sz w:val="24"/>
          <w:szCs w:val="24"/>
        </w:rPr>
        <w:t>lui</w:t>
      </w:r>
      <w:r>
        <w:rPr>
          <w:rFonts w:ascii="Arial" w:hAnsi="Arial" w:cs="Arial"/>
          <w:sz w:val="24"/>
          <w:szCs w:val="24"/>
        </w:rPr>
        <w:t xml:space="preserve"> donner les moye</w:t>
      </w:r>
      <w:r w:rsidR="00D92396">
        <w:rPr>
          <w:rFonts w:ascii="Arial" w:hAnsi="Arial" w:cs="Arial"/>
          <w:sz w:val="24"/>
          <w:szCs w:val="24"/>
        </w:rPr>
        <w:t>ns d’</w:t>
      </w:r>
      <w:r>
        <w:rPr>
          <w:rFonts w:ascii="Arial" w:hAnsi="Arial" w:cs="Arial"/>
          <w:sz w:val="24"/>
          <w:szCs w:val="24"/>
        </w:rPr>
        <w:t xml:space="preserve">accomplir ses missions. </w:t>
      </w:r>
      <w:r w:rsidR="00DB290B">
        <w:rPr>
          <w:rFonts w:ascii="Arial" w:hAnsi="Arial" w:cs="Arial"/>
          <w:sz w:val="24"/>
          <w:szCs w:val="24"/>
        </w:rPr>
        <w:t>Ainsi, il est judicieux de procéder régulièrement aux consultations avec ces communautés autochtones vulnérables et les ONG qui les représentent afin d’identifier leurs besoins réels. Le but de ces consultations est de mettre en œuvre des projets locaux gérés par eux-mêmes dans les régions où ces populations vivent.</w:t>
      </w:r>
    </w:p>
    <w:p w:rsidR="007B6C10" w:rsidRDefault="007B6C10" w:rsidP="00A34B51">
      <w:pPr>
        <w:spacing w:after="0" w:line="240" w:lineRule="auto"/>
        <w:jc w:val="both"/>
        <w:rPr>
          <w:rFonts w:ascii="Arial" w:hAnsi="Arial" w:cs="Arial"/>
          <w:sz w:val="24"/>
          <w:szCs w:val="24"/>
        </w:rPr>
      </w:pPr>
    </w:p>
    <w:p w:rsidR="007B6C10" w:rsidRDefault="007B6C10" w:rsidP="00A34B51">
      <w:pPr>
        <w:spacing w:after="0" w:line="240" w:lineRule="auto"/>
        <w:jc w:val="both"/>
        <w:rPr>
          <w:rFonts w:ascii="Arial" w:hAnsi="Arial" w:cs="Arial"/>
          <w:sz w:val="24"/>
          <w:szCs w:val="24"/>
        </w:rPr>
      </w:pPr>
    </w:p>
    <w:p w:rsidR="007B6C10" w:rsidRDefault="007B6C10" w:rsidP="007B6C10">
      <w:pPr>
        <w:jc w:val="center"/>
        <w:rPr>
          <w:rFonts w:ascii="Arial" w:hAnsi="Arial" w:cs="Arial"/>
          <w:color w:val="4472C4" w:themeColor="accent5"/>
          <w:sz w:val="24"/>
          <w:szCs w:val="24"/>
        </w:rPr>
      </w:pPr>
      <w:r>
        <w:rPr>
          <w:rFonts w:ascii="Arial" w:hAnsi="Arial" w:cs="Arial"/>
          <w:sz w:val="24"/>
          <w:szCs w:val="24"/>
        </w:rPr>
        <w:t xml:space="preserve">Fait à Libreville, </w:t>
      </w:r>
      <w:r>
        <w:rPr>
          <w:rFonts w:ascii="Arial" w:hAnsi="Arial" w:cs="Arial"/>
          <w:color w:val="4472C4" w:themeColor="accent5"/>
          <w:sz w:val="24"/>
          <w:szCs w:val="24"/>
        </w:rPr>
        <w:t>le 30</w:t>
      </w:r>
      <w:r w:rsidRPr="00C650E4">
        <w:rPr>
          <w:rFonts w:ascii="Arial" w:hAnsi="Arial" w:cs="Arial"/>
          <w:color w:val="4472C4" w:themeColor="accent5"/>
          <w:sz w:val="24"/>
          <w:szCs w:val="24"/>
        </w:rPr>
        <w:t xml:space="preserve"> janvier 2022</w:t>
      </w:r>
    </w:p>
    <w:p w:rsidR="003E3B0D" w:rsidRDefault="003E3B0D" w:rsidP="007B6C10">
      <w:pPr>
        <w:jc w:val="center"/>
        <w:rPr>
          <w:rFonts w:ascii="Arial" w:hAnsi="Arial" w:cs="Arial"/>
          <w:color w:val="4472C4" w:themeColor="accent5"/>
          <w:sz w:val="24"/>
          <w:szCs w:val="24"/>
        </w:rPr>
      </w:pPr>
      <w:r w:rsidRPr="0080381C">
        <w:rPr>
          <w:rFonts w:ascii="Garamond" w:eastAsiaTheme="minorEastAsia" w:hAnsi="Garamond" w:cs="Arial"/>
          <w:noProof/>
          <w:sz w:val="28"/>
          <w:szCs w:val="28"/>
          <w:lang w:eastAsia="fr-FR"/>
        </w:rPr>
        <mc:AlternateContent>
          <mc:Choice Requires="wps">
            <w:drawing>
              <wp:anchor distT="0" distB="0" distL="114300" distR="114300" simplePos="0" relativeHeight="251661312" behindDoc="0" locked="0" layoutInCell="1" allowOverlap="1" wp14:anchorId="399A61C2" wp14:editId="72A5353A">
                <wp:simplePos x="0" y="0"/>
                <wp:positionH relativeFrom="margin">
                  <wp:align>center</wp:align>
                </wp:positionH>
                <wp:positionV relativeFrom="paragraph">
                  <wp:posOffset>182245</wp:posOffset>
                </wp:positionV>
                <wp:extent cx="1455089" cy="1001864"/>
                <wp:effectExtent l="0" t="0" r="1206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089" cy="1001864"/>
                        </a:xfrm>
                        <a:prstGeom prst="rect">
                          <a:avLst/>
                        </a:prstGeom>
                        <a:solidFill>
                          <a:srgbClr val="FFFFFF"/>
                        </a:solidFill>
                        <a:ln w="9525">
                          <a:solidFill>
                            <a:srgbClr val="000000"/>
                          </a:solidFill>
                          <a:miter lim="800000"/>
                          <a:headEnd/>
                          <a:tailEnd/>
                        </a:ln>
                      </wps:spPr>
                      <wps:txbx>
                        <w:txbxContent>
                          <w:p w:rsidR="007B6C10" w:rsidRDefault="007B6C10" w:rsidP="007B6C10">
                            <w:r w:rsidRPr="00037F16">
                              <w:rPr>
                                <w:noProof/>
                                <w:lang w:eastAsia="fr-FR"/>
                              </w:rPr>
                              <w:drawing>
                                <wp:inline distT="0" distB="0" distL="0" distR="0" wp14:anchorId="6C1204A6" wp14:editId="0A49551C">
                                  <wp:extent cx="1271517" cy="867382"/>
                                  <wp:effectExtent l="0" t="0" r="5080" b="9525"/>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74680" cy="93775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A61C2" id="Rectangle 10" o:spid="_x0000_s1028" style="position:absolute;left:0;text-align:left;margin-left:0;margin-top:14.35pt;width:114.55pt;height:78.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">
                <v:textbox>
                  <w:txbxContent>
                    <w:p w:rsidR="007B6C10" w:rsidRDefault="007B6C10" w:rsidP="007B6C10">
                      <w:r w:rsidRPr="00037F16">
                        <w:rPr>
                          <w:noProof/>
                          <w:lang w:eastAsia="fr-FR"/>
                        </w:rPr>
                        <w:drawing>
                          <wp:inline distT="0" distB="0" distL="0" distR="0" wp14:anchorId="6C1204A6" wp14:editId="0A49551C">
                            <wp:extent cx="1271517" cy="867382"/>
                            <wp:effectExtent l="0" t="0" r="5080" b="9525"/>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74680" cy="937756"/>
                                    </a:xfrm>
                                    <a:prstGeom prst="rect">
                                      <a:avLst/>
                                    </a:prstGeom>
                                    <a:noFill/>
                                    <a:ln w="9525">
                                      <a:noFill/>
                                      <a:miter lim="800000"/>
                                      <a:headEnd/>
                                      <a:tailEnd/>
                                    </a:ln>
                                  </pic:spPr>
                                </pic:pic>
                              </a:graphicData>
                            </a:graphic>
                          </wp:inline>
                        </w:drawing>
                      </w:r>
                    </w:p>
                  </w:txbxContent>
                </v:textbox>
                <w10:wrap anchorx="margin"/>
              </v:rect>
            </w:pict>
          </mc:Fallback>
        </mc:AlternateContent>
      </w:r>
    </w:p>
    <w:p w:rsidR="007B6C10" w:rsidRDefault="007B6C10" w:rsidP="007B6C10">
      <w:pPr>
        <w:jc w:val="center"/>
        <w:rPr>
          <w:rFonts w:ascii="Arial" w:hAnsi="Arial" w:cs="Arial"/>
          <w:color w:val="4472C4" w:themeColor="accent5"/>
          <w:sz w:val="24"/>
          <w:szCs w:val="24"/>
        </w:rPr>
      </w:pPr>
    </w:p>
    <w:p w:rsidR="007B6C10" w:rsidRDefault="007B6C10" w:rsidP="007B6C10">
      <w:pPr>
        <w:jc w:val="center"/>
        <w:rPr>
          <w:rFonts w:ascii="Arial" w:hAnsi="Arial" w:cs="Arial"/>
          <w:color w:val="4472C4" w:themeColor="accent5"/>
          <w:sz w:val="24"/>
          <w:szCs w:val="24"/>
        </w:rPr>
      </w:pPr>
      <w:bookmarkStart w:id="1" w:name="_GoBack"/>
      <w:bookmarkEnd w:id="1"/>
    </w:p>
    <w:p w:rsidR="007B6C10" w:rsidRDefault="007B6C10" w:rsidP="007B6C10">
      <w:pPr>
        <w:jc w:val="center"/>
        <w:rPr>
          <w:rFonts w:ascii="Arial" w:hAnsi="Arial" w:cs="Arial"/>
          <w:color w:val="4472C4" w:themeColor="accent5"/>
          <w:sz w:val="24"/>
          <w:szCs w:val="24"/>
        </w:rPr>
      </w:pPr>
    </w:p>
    <w:p w:rsidR="007B6C10" w:rsidRDefault="007B6C10" w:rsidP="007B6C10">
      <w:pPr>
        <w:jc w:val="center"/>
        <w:rPr>
          <w:rFonts w:ascii="Arial" w:hAnsi="Arial" w:cs="Arial"/>
          <w:color w:val="4472C4" w:themeColor="accent5"/>
          <w:sz w:val="24"/>
          <w:szCs w:val="24"/>
        </w:rPr>
      </w:pPr>
    </w:p>
    <w:p w:rsidR="007B6C10" w:rsidRPr="002A2CD7" w:rsidRDefault="007B6C10" w:rsidP="007B6C10">
      <w:pPr>
        <w:jc w:val="center"/>
        <w:rPr>
          <w:rFonts w:ascii="Arial" w:hAnsi="Arial" w:cs="Arial"/>
          <w:b/>
          <w:color w:val="4472C4" w:themeColor="accent5"/>
          <w:sz w:val="24"/>
          <w:szCs w:val="24"/>
        </w:rPr>
      </w:pPr>
      <w:r w:rsidRPr="002A2CD7">
        <w:rPr>
          <w:rFonts w:ascii="Arial" w:hAnsi="Arial" w:cs="Arial"/>
          <w:b/>
          <w:color w:val="4472C4" w:themeColor="accent5"/>
          <w:sz w:val="24"/>
          <w:szCs w:val="24"/>
        </w:rPr>
        <w:t>Le Bureau Exécutif de l’ADACO</w:t>
      </w:r>
    </w:p>
    <w:p w:rsidR="007B6C10" w:rsidRPr="00A34B51" w:rsidRDefault="007B6C10" w:rsidP="007B6C10">
      <w:pPr>
        <w:spacing w:after="0" w:line="240" w:lineRule="auto"/>
        <w:jc w:val="center"/>
        <w:rPr>
          <w:rFonts w:ascii="Arial" w:hAnsi="Arial" w:cs="Arial"/>
          <w:sz w:val="24"/>
          <w:szCs w:val="24"/>
        </w:rPr>
      </w:pPr>
    </w:p>
    <w:sectPr w:rsidR="007B6C10" w:rsidRPr="00A34B51" w:rsidSect="00EE4CC9">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AB" w:rsidRDefault="00EB08AB" w:rsidP="00EB08AB">
      <w:pPr>
        <w:spacing w:after="0" w:line="240" w:lineRule="auto"/>
      </w:pPr>
      <w:r>
        <w:separator/>
      </w:r>
    </w:p>
  </w:endnote>
  <w:endnote w:type="continuationSeparator" w:id="0">
    <w:p w:rsidR="00EB08AB" w:rsidRDefault="00EB08AB" w:rsidP="00EB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AB" w:rsidRDefault="00EB08AB" w:rsidP="00EB08AB">
      <w:pPr>
        <w:spacing w:after="0" w:line="240" w:lineRule="auto"/>
      </w:pPr>
      <w:r>
        <w:separator/>
      </w:r>
    </w:p>
  </w:footnote>
  <w:footnote w:type="continuationSeparator" w:id="0">
    <w:p w:rsidR="00EB08AB" w:rsidRDefault="00EB08AB" w:rsidP="00EB08AB">
      <w:pPr>
        <w:spacing w:after="0" w:line="240" w:lineRule="auto"/>
      </w:pPr>
      <w:r>
        <w:continuationSeparator/>
      </w:r>
    </w:p>
  </w:footnote>
  <w:footnote w:id="1">
    <w:p w:rsidR="00EB08AB" w:rsidRPr="006B0595" w:rsidRDefault="00EB08AB" w:rsidP="006B0595">
      <w:pPr>
        <w:spacing w:after="0" w:line="240" w:lineRule="auto"/>
        <w:rPr>
          <w:rFonts w:ascii="Arial" w:hAnsi="Arial" w:cs="Arial"/>
          <w:sz w:val="20"/>
          <w:szCs w:val="20"/>
        </w:rPr>
      </w:pPr>
      <w:r w:rsidRPr="006B0595">
        <w:rPr>
          <w:rStyle w:val="Appelnotedebasdep"/>
          <w:rFonts w:ascii="Arial" w:hAnsi="Arial" w:cs="Arial"/>
          <w:sz w:val="20"/>
          <w:szCs w:val="20"/>
        </w:rPr>
        <w:footnoteRef/>
      </w:r>
      <w:r w:rsidRPr="006B0595">
        <w:rPr>
          <w:rFonts w:ascii="Arial" w:hAnsi="Arial" w:cs="Arial"/>
          <w:sz w:val="20"/>
          <w:szCs w:val="20"/>
        </w:rPr>
        <w:t xml:space="preserve"> Association pour le Devenir des Autochtones et de leur Connaissance Originelle (A.D.A.C.O)</w:t>
      </w:r>
    </w:p>
    <w:p w:rsidR="00EB08AB" w:rsidRPr="006B0595" w:rsidRDefault="00EB08AB" w:rsidP="006B0595">
      <w:pPr>
        <w:spacing w:after="0" w:line="240" w:lineRule="auto"/>
        <w:rPr>
          <w:rFonts w:ascii="Arial" w:hAnsi="Arial" w:cs="Arial"/>
          <w:sz w:val="20"/>
          <w:szCs w:val="20"/>
        </w:rPr>
      </w:pPr>
      <w:r w:rsidRPr="006B0595">
        <w:rPr>
          <w:rFonts w:ascii="Arial" w:hAnsi="Arial" w:cs="Arial"/>
          <w:sz w:val="20"/>
          <w:szCs w:val="20"/>
        </w:rPr>
        <w:t xml:space="preserve">Boite Postale: 10132, Libreville (Gabon). Téléphones : 077.69.85.64/ 066.32.30.13                                                                                     E-mails : </w:t>
      </w:r>
      <w:hyperlink r:id="rId1" w:history="1">
        <w:r w:rsidRPr="006B0595">
          <w:rPr>
            <w:rStyle w:val="Lienhypertexte"/>
            <w:rFonts w:ascii="Arial" w:hAnsi="Arial" w:cs="Arial"/>
            <w:color w:val="auto"/>
            <w:sz w:val="20"/>
            <w:szCs w:val="20"/>
            <w:u w:val="none"/>
          </w:rPr>
          <w:t>association-ADACO@outlook.com</w:t>
        </w:r>
      </w:hyperlink>
      <w:r w:rsidRPr="006B0595">
        <w:rPr>
          <w:rFonts w:ascii="Arial" w:hAnsi="Arial" w:cs="Arial"/>
          <w:sz w:val="20"/>
          <w:szCs w:val="20"/>
        </w:rPr>
        <w:t xml:space="preserve"> ou pouatydav@yahoo.fr</w:t>
      </w:r>
    </w:p>
    <w:p w:rsidR="00EB08AB" w:rsidRDefault="00EB08AB" w:rsidP="00EB08A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13E"/>
    <w:multiLevelType w:val="hybridMultilevel"/>
    <w:tmpl w:val="6DE20606"/>
    <w:lvl w:ilvl="0" w:tplc="0E788A38">
      <w:start w:val="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719F6"/>
    <w:multiLevelType w:val="hybridMultilevel"/>
    <w:tmpl w:val="32F2C42A"/>
    <w:lvl w:ilvl="0" w:tplc="77160938">
      <w:start w:val="2"/>
      <w:numFmt w:val="bullet"/>
      <w:lvlText w:val="-"/>
      <w:lvlJc w:val="left"/>
      <w:pPr>
        <w:ind w:left="720" w:hanging="360"/>
      </w:pPr>
      <w:rPr>
        <w:rFonts w:ascii="Candara" w:eastAsia="Calibri"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5479B"/>
    <w:multiLevelType w:val="hybridMultilevel"/>
    <w:tmpl w:val="006EC6F6"/>
    <w:lvl w:ilvl="0" w:tplc="77160938">
      <w:start w:val="2"/>
      <w:numFmt w:val="bullet"/>
      <w:lvlText w:val="-"/>
      <w:lvlJc w:val="left"/>
      <w:pPr>
        <w:ind w:left="720" w:hanging="360"/>
      </w:pPr>
      <w:rPr>
        <w:rFonts w:ascii="Candara" w:eastAsia="Calibri"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893BC4"/>
    <w:multiLevelType w:val="hybridMultilevel"/>
    <w:tmpl w:val="3A7069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C3489B"/>
    <w:multiLevelType w:val="hybridMultilevel"/>
    <w:tmpl w:val="550E5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595871"/>
    <w:multiLevelType w:val="hybridMultilevel"/>
    <w:tmpl w:val="C3AEA0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F160E7"/>
    <w:multiLevelType w:val="hybridMultilevel"/>
    <w:tmpl w:val="982A2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521956"/>
    <w:multiLevelType w:val="hybridMultilevel"/>
    <w:tmpl w:val="2EB2E87A"/>
    <w:lvl w:ilvl="0" w:tplc="77160938">
      <w:start w:val="2"/>
      <w:numFmt w:val="bullet"/>
      <w:lvlText w:val="-"/>
      <w:lvlJc w:val="left"/>
      <w:pPr>
        <w:ind w:left="720" w:hanging="360"/>
      </w:pPr>
      <w:rPr>
        <w:rFonts w:ascii="Candara" w:eastAsia="Calibri"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5910EB"/>
    <w:multiLevelType w:val="hybridMultilevel"/>
    <w:tmpl w:val="C77EB3EA"/>
    <w:lvl w:ilvl="0" w:tplc="040C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8"/>
  </w:num>
  <w:num w:numId="5">
    <w:abstractNumId w:val="0"/>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65"/>
    <w:rsid w:val="00033A02"/>
    <w:rsid w:val="00042813"/>
    <w:rsid w:val="000847EB"/>
    <w:rsid w:val="000E6B98"/>
    <w:rsid w:val="00110029"/>
    <w:rsid w:val="002115E7"/>
    <w:rsid w:val="002E021B"/>
    <w:rsid w:val="002F17C1"/>
    <w:rsid w:val="003E3B0D"/>
    <w:rsid w:val="00446EB3"/>
    <w:rsid w:val="005320AC"/>
    <w:rsid w:val="005C1E02"/>
    <w:rsid w:val="005F627C"/>
    <w:rsid w:val="00625997"/>
    <w:rsid w:val="00635C58"/>
    <w:rsid w:val="006B0595"/>
    <w:rsid w:val="006F42DF"/>
    <w:rsid w:val="00701C99"/>
    <w:rsid w:val="00732D5A"/>
    <w:rsid w:val="007B6C10"/>
    <w:rsid w:val="00824A3A"/>
    <w:rsid w:val="00834B02"/>
    <w:rsid w:val="009078E9"/>
    <w:rsid w:val="00A34B51"/>
    <w:rsid w:val="00A8691F"/>
    <w:rsid w:val="00B433EC"/>
    <w:rsid w:val="00B45C65"/>
    <w:rsid w:val="00BD6CB5"/>
    <w:rsid w:val="00BF7E34"/>
    <w:rsid w:val="00C32052"/>
    <w:rsid w:val="00D44A76"/>
    <w:rsid w:val="00D92396"/>
    <w:rsid w:val="00DB290B"/>
    <w:rsid w:val="00EB08AB"/>
    <w:rsid w:val="00EE4CC9"/>
    <w:rsid w:val="00F14E0F"/>
    <w:rsid w:val="00FB2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6DEB"/>
  <w15:chartTrackingRefBased/>
  <w15:docId w15:val="{A5D48479-0FD9-445E-A15B-E6D8704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08AB"/>
    <w:rPr>
      <w:color w:val="0563C1" w:themeColor="hyperlink"/>
      <w:u w:val="single"/>
    </w:rPr>
  </w:style>
  <w:style w:type="paragraph" w:styleId="NormalWeb">
    <w:name w:val="Normal (Web)"/>
    <w:basedOn w:val="Normal"/>
    <w:uiPriority w:val="99"/>
    <w:semiHidden/>
    <w:unhideWhenUsed/>
    <w:rsid w:val="00EB08A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Notedebasdepage">
    <w:name w:val="footnote text"/>
    <w:basedOn w:val="Normal"/>
    <w:link w:val="NotedebasdepageCar"/>
    <w:uiPriority w:val="99"/>
    <w:semiHidden/>
    <w:unhideWhenUsed/>
    <w:rsid w:val="00EB08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08AB"/>
    <w:rPr>
      <w:sz w:val="20"/>
      <w:szCs w:val="20"/>
    </w:rPr>
  </w:style>
  <w:style w:type="character" w:styleId="Appelnotedebasdep">
    <w:name w:val="footnote reference"/>
    <w:basedOn w:val="Policepardfaut"/>
    <w:uiPriority w:val="99"/>
    <w:semiHidden/>
    <w:unhideWhenUsed/>
    <w:rsid w:val="00EB08AB"/>
    <w:rPr>
      <w:vertAlign w:val="superscript"/>
    </w:rPr>
  </w:style>
  <w:style w:type="paragraph" w:styleId="Paragraphedeliste">
    <w:name w:val="List Paragraph"/>
    <w:basedOn w:val="Normal"/>
    <w:uiPriority w:val="34"/>
    <w:qFormat/>
    <w:rsid w:val="00A86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ssociation-ADACO@outloo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2198</Words>
  <Characters>12090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2022-01-25T14:43:00Z</dcterms:created>
  <dcterms:modified xsi:type="dcterms:W3CDTF">2022-01-31T00:45:00Z</dcterms:modified>
</cp:coreProperties>
</file>