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6A92" w14:textId="4CC774C6" w:rsidR="00B63F30" w:rsidRDefault="00984526" w:rsidP="001A517A">
      <w:pPr>
        <w:spacing w:line="240" w:lineRule="auto"/>
        <w:contextualSpacing/>
        <w:rPr>
          <w:rFonts w:asciiTheme="minorHAnsi" w:hAnsiTheme="minorHAnsi" w:cstheme="minorHAnsi"/>
          <w:sz w:val="22"/>
        </w:rPr>
      </w:pPr>
      <w:r>
        <w:rPr>
          <w:noProof/>
          <w:bdr w:val="none" w:sz="0" w:space="0" w:color="auto" w:frame="1"/>
        </w:rPr>
        <w:drawing>
          <wp:anchor distT="0" distB="0" distL="114300" distR="114300" simplePos="0" relativeHeight="251658240" behindDoc="1" locked="0" layoutInCell="1" allowOverlap="1" wp14:anchorId="75913D1B" wp14:editId="775AED5A">
            <wp:simplePos x="0" y="0"/>
            <wp:positionH relativeFrom="column">
              <wp:posOffset>5005287</wp:posOffset>
            </wp:positionH>
            <wp:positionV relativeFrom="paragraph">
              <wp:posOffset>54628</wp:posOffset>
            </wp:positionV>
            <wp:extent cx="954405" cy="976630"/>
            <wp:effectExtent l="0" t="0" r="0" b="0"/>
            <wp:wrapTight wrapText="bothSides">
              <wp:wrapPolygon edited="0">
                <wp:start x="0" y="0"/>
                <wp:lineTo x="0" y="21066"/>
                <wp:lineTo x="21126" y="21066"/>
                <wp:lineTo x="2112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405"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3D4">
        <w:rPr>
          <w:rFonts w:asciiTheme="minorHAnsi" w:hAnsiTheme="minorHAnsi" w:cstheme="minorHAnsi"/>
          <w:sz w:val="22"/>
        </w:rPr>
        <w:t>30</w:t>
      </w:r>
      <w:r w:rsidR="00192C97">
        <w:rPr>
          <w:rFonts w:asciiTheme="minorHAnsi" w:hAnsiTheme="minorHAnsi" w:cstheme="minorHAnsi"/>
          <w:sz w:val="22"/>
        </w:rPr>
        <w:t xml:space="preserve"> January 2022</w:t>
      </w:r>
      <w:r w:rsidR="00644E50">
        <w:rPr>
          <w:rFonts w:asciiTheme="minorHAnsi" w:hAnsiTheme="minorHAnsi" w:cstheme="minorHAnsi"/>
          <w:sz w:val="22"/>
        </w:rPr>
        <w:tab/>
      </w:r>
      <w:r w:rsidR="00644E50">
        <w:rPr>
          <w:rFonts w:asciiTheme="minorHAnsi" w:hAnsiTheme="minorHAnsi" w:cstheme="minorHAnsi"/>
          <w:sz w:val="22"/>
        </w:rPr>
        <w:tab/>
      </w:r>
      <w:r w:rsidR="00644E50">
        <w:rPr>
          <w:rFonts w:asciiTheme="minorHAnsi" w:hAnsiTheme="minorHAnsi" w:cstheme="minorHAnsi"/>
          <w:sz w:val="22"/>
        </w:rPr>
        <w:tab/>
      </w:r>
      <w:r w:rsidR="00644E50">
        <w:rPr>
          <w:rFonts w:asciiTheme="minorHAnsi" w:hAnsiTheme="minorHAnsi" w:cstheme="minorHAnsi"/>
          <w:sz w:val="22"/>
        </w:rPr>
        <w:tab/>
      </w:r>
      <w:r w:rsidR="00644E50">
        <w:rPr>
          <w:rFonts w:asciiTheme="minorHAnsi" w:hAnsiTheme="minorHAnsi" w:cstheme="minorHAnsi"/>
          <w:sz w:val="22"/>
        </w:rPr>
        <w:tab/>
      </w:r>
      <w:r w:rsidR="00644E50">
        <w:rPr>
          <w:rFonts w:asciiTheme="minorHAnsi" w:hAnsiTheme="minorHAnsi" w:cstheme="minorHAnsi"/>
          <w:sz w:val="22"/>
        </w:rPr>
        <w:tab/>
      </w:r>
      <w:r w:rsidR="00644E50">
        <w:rPr>
          <w:rFonts w:asciiTheme="minorHAnsi" w:hAnsiTheme="minorHAnsi" w:cstheme="minorHAnsi"/>
          <w:sz w:val="22"/>
        </w:rPr>
        <w:tab/>
      </w:r>
    </w:p>
    <w:p w14:paraId="25675EB4" w14:textId="7F781656" w:rsidR="001A517A" w:rsidRDefault="001A517A" w:rsidP="00DF6D46">
      <w:pPr>
        <w:spacing w:line="240" w:lineRule="auto"/>
        <w:contextualSpacing/>
        <w:rPr>
          <w:rFonts w:asciiTheme="minorHAnsi" w:hAnsiTheme="minorHAnsi" w:cstheme="minorHAnsi"/>
          <w:sz w:val="22"/>
        </w:rPr>
      </w:pPr>
    </w:p>
    <w:p w14:paraId="3C954B88" w14:textId="7BAE3B86" w:rsidR="001A517A" w:rsidRDefault="009A349D"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United Nations</w:t>
      </w:r>
      <w:r w:rsidR="00630152" w:rsidRPr="00630152">
        <w:rPr>
          <w:rFonts w:asciiTheme="minorHAnsi" w:hAnsiTheme="minorHAnsi" w:cstheme="minorHAnsi"/>
          <w:sz w:val="22"/>
        </w:rPr>
        <w:t xml:space="preserve"> </w:t>
      </w:r>
    </w:p>
    <w:p w14:paraId="6987363F" w14:textId="2E0B8470" w:rsidR="009A349D" w:rsidRPr="00165852" w:rsidRDefault="00630152"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Office of the High Commissioner</w:t>
      </w:r>
      <w:r w:rsidR="00644E50">
        <w:rPr>
          <w:rFonts w:asciiTheme="minorHAnsi" w:hAnsiTheme="minorHAnsi" w:cstheme="minorHAnsi"/>
          <w:sz w:val="22"/>
        </w:rPr>
        <w:tab/>
      </w:r>
      <w:r w:rsidR="00644E50">
        <w:rPr>
          <w:rFonts w:asciiTheme="minorHAnsi" w:hAnsiTheme="minorHAnsi" w:cstheme="minorHAnsi"/>
          <w:sz w:val="22"/>
        </w:rPr>
        <w:tab/>
      </w:r>
      <w:r w:rsidR="00644E50">
        <w:rPr>
          <w:rFonts w:asciiTheme="minorHAnsi" w:hAnsiTheme="minorHAnsi" w:cstheme="minorHAnsi"/>
          <w:sz w:val="22"/>
        </w:rPr>
        <w:tab/>
      </w:r>
      <w:r w:rsidR="001A517A">
        <w:rPr>
          <w:rFonts w:asciiTheme="minorHAnsi" w:hAnsiTheme="minorHAnsi" w:cstheme="minorHAnsi"/>
          <w:sz w:val="22"/>
        </w:rPr>
        <w:tab/>
      </w:r>
      <w:r w:rsidR="001A517A">
        <w:rPr>
          <w:rFonts w:asciiTheme="minorHAnsi" w:hAnsiTheme="minorHAnsi" w:cstheme="minorHAnsi"/>
          <w:sz w:val="22"/>
        </w:rPr>
        <w:tab/>
      </w:r>
      <w:bookmarkStart w:id="0" w:name="_Hlk94429286"/>
      <w:bookmarkEnd w:id="0"/>
    </w:p>
    <w:p w14:paraId="156A55EB" w14:textId="06A5C74B" w:rsidR="009A349D" w:rsidRDefault="009A349D"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Expert Mechanism on the Rights of Indigenous Peoples</w:t>
      </w:r>
    </w:p>
    <w:p w14:paraId="36C5B363" w14:textId="03392553" w:rsidR="00B63F30" w:rsidRPr="00165852" w:rsidRDefault="00B63F30" w:rsidP="00DF6D46">
      <w:pPr>
        <w:spacing w:line="240" w:lineRule="auto"/>
        <w:contextualSpacing/>
        <w:rPr>
          <w:rFonts w:asciiTheme="minorHAnsi" w:hAnsiTheme="minorHAnsi" w:cstheme="minorHAnsi"/>
          <w:sz w:val="22"/>
        </w:rPr>
      </w:pPr>
      <w:r>
        <w:rPr>
          <w:rFonts w:asciiTheme="minorHAnsi" w:hAnsiTheme="minorHAnsi" w:cstheme="minorHAnsi"/>
          <w:sz w:val="22"/>
        </w:rPr>
        <w:t>Emailed:</w:t>
      </w:r>
      <w:r w:rsidR="003D41F2">
        <w:rPr>
          <w:rFonts w:asciiTheme="minorHAnsi" w:hAnsiTheme="minorHAnsi" w:cstheme="minorHAnsi"/>
          <w:sz w:val="22"/>
        </w:rPr>
        <w:t xml:space="preserve"> </w:t>
      </w:r>
      <w:hyperlink r:id="rId9" w:history="1">
        <w:r w:rsidR="00FB7EB0" w:rsidRPr="00FB7EB0">
          <w:rPr>
            <w:rStyle w:val="Hyperlink"/>
            <w:rFonts w:ascii="Verdana" w:hAnsi="Verdana"/>
            <w:color w:val="auto"/>
            <w:sz w:val="19"/>
            <w:szCs w:val="19"/>
            <w:u w:val="none"/>
            <w:shd w:val="clear" w:color="auto" w:fill="FFFFFF"/>
          </w:rPr>
          <w:t>ohchr-expertmechanism@un.org</w:t>
        </w:r>
      </w:hyperlink>
    </w:p>
    <w:p w14:paraId="4DDBA351" w14:textId="1BF591ED" w:rsidR="00192C97" w:rsidRDefault="00192C97" w:rsidP="001A517A">
      <w:pPr>
        <w:spacing w:line="240" w:lineRule="auto"/>
        <w:ind w:left="7920"/>
        <w:contextualSpacing/>
        <w:rPr>
          <w:rFonts w:asciiTheme="minorHAnsi" w:hAnsiTheme="minorHAnsi" w:cstheme="minorHAnsi"/>
          <w:sz w:val="22"/>
        </w:rPr>
      </w:pPr>
    </w:p>
    <w:p w14:paraId="27948526" w14:textId="4AD31718" w:rsidR="00192C97" w:rsidRDefault="00192C97" w:rsidP="00192C97">
      <w:pPr>
        <w:spacing w:line="240" w:lineRule="auto"/>
        <w:contextualSpacing/>
        <w:rPr>
          <w:rFonts w:asciiTheme="minorHAnsi" w:hAnsiTheme="minorHAnsi" w:cstheme="minorHAnsi"/>
          <w:sz w:val="22"/>
        </w:rPr>
      </w:pPr>
      <w:r>
        <w:rPr>
          <w:rFonts w:asciiTheme="minorHAnsi" w:hAnsiTheme="minorHAnsi" w:cstheme="minorHAnsi"/>
          <w:sz w:val="22"/>
        </w:rPr>
        <w:t>The American Indian Movement-West welcomes the opportunity to provide</w:t>
      </w:r>
      <w:r w:rsidR="009A349D" w:rsidRPr="00165852">
        <w:rPr>
          <w:rFonts w:asciiTheme="minorHAnsi" w:hAnsiTheme="minorHAnsi" w:cstheme="minorHAnsi"/>
          <w:sz w:val="22"/>
        </w:rPr>
        <w:t xml:space="preserve"> the Expert Mechanism on the Rights of Indigenous Peoples</w:t>
      </w:r>
      <w:r>
        <w:rPr>
          <w:rFonts w:asciiTheme="minorHAnsi" w:hAnsiTheme="minorHAnsi" w:cstheme="minorHAnsi"/>
          <w:sz w:val="22"/>
        </w:rPr>
        <w:t xml:space="preserve"> (EMRIP)</w:t>
      </w:r>
      <w:r w:rsidR="009A349D" w:rsidRPr="00165852">
        <w:rPr>
          <w:rFonts w:asciiTheme="minorHAnsi" w:hAnsiTheme="minorHAnsi" w:cstheme="minorHAnsi"/>
          <w:sz w:val="22"/>
        </w:rPr>
        <w:t xml:space="preserve"> </w:t>
      </w:r>
      <w:r>
        <w:rPr>
          <w:rFonts w:asciiTheme="minorHAnsi" w:hAnsiTheme="minorHAnsi" w:cstheme="minorHAnsi"/>
          <w:sz w:val="22"/>
        </w:rPr>
        <w:t>with the following submission to inform the study on “Treaties, agreements, and other constructive arrangements between Indigenous Peoples and States, including peace accords and reconciliation initiatives, and their constitutional recognition.”</w:t>
      </w:r>
    </w:p>
    <w:p w14:paraId="1F29C47E" w14:textId="2063E846" w:rsidR="00192C97" w:rsidRDefault="00192C97" w:rsidP="00192C97">
      <w:pPr>
        <w:spacing w:line="240" w:lineRule="auto"/>
        <w:contextualSpacing/>
        <w:rPr>
          <w:rFonts w:asciiTheme="minorHAnsi" w:hAnsiTheme="minorHAnsi" w:cstheme="minorHAnsi"/>
          <w:sz w:val="22"/>
        </w:rPr>
      </w:pPr>
    </w:p>
    <w:p w14:paraId="6C5731C9" w14:textId="77777777" w:rsidR="007A440B" w:rsidRPr="00165852" w:rsidRDefault="007A440B" w:rsidP="007A440B">
      <w:pPr>
        <w:spacing w:line="240" w:lineRule="auto"/>
        <w:contextualSpacing/>
        <w:rPr>
          <w:rFonts w:asciiTheme="minorHAnsi" w:hAnsiTheme="minorHAnsi" w:cstheme="minorHAnsi"/>
          <w:sz w:val="22"/>
        </w:rPr>
      </w:pPr>
      <w:r w:rsidRPr="00165852">
        <w:rPr>
          <w:rFonts w:asciiTheme="minorHAnsi" w:hAnsiTheme="minorHAnsi" w:cstheme="minorHAnsi"/>
          <w:sz w:val="22"/>
        </w:rPr>
        <w:t>Introduction</w:t>
      </w:r>
    </w:p>
    <w:p w14:paraId="2AC1CE9F" w14:textId="0D89885E" w:rsidR="00CD7EA8" w:rsidRPr="00064E7B" w:rsidRDefault="00843108" w:rsidP="00CD7EA8">
      <w:pPr>
        <w:spacing w:line="240" w:lineRule="auto"/>
        <w:contextualSpacing/>
        <w:rPr>
          <w:rFonts w:asciiTheme="minorHAnsi" w:hAnsiTheme="minorHAnsi" w:cstheme="minorHAnsi"/>
          <w:sz w:val="18"/>
          <w:szCs w:val="18"/>
          <w:shd w:val="clear" w:color="auto" w:fill="FFFFFF"/>
        </w:rPr>
      </w:pPr>
      <w:r>
        <w:rPr>
          <w:rFonts w:asciiTheme="minorHAnsi" w:hAnsiTheme="minorHAnsi" w:cstheme="minorHAnsi"/>
          <w:sz w:val="22"/>
        </w:rPr>
        <w:t>We, the</w:t>
      </w:r>
      <w:r w:rsidRPr="00165852">
        <w:rPr>
          <w:rFonts w:asciiTheme="minorHAnsi" w:hAnsiTheme="minorHAnsi" w:cstheme="minorHAnsi"/>
          <w:sz w:val="22"/>
        </w:rPr>
        <w:t xml:space="preserve"> undersigned </w:t>
      </w:r>
      <w:proofErr w:type="gramStart"/>
      <w:r w:rsidRPr="00165852">
        <w:rPr>
          <w:rFonts w:asciiTheme="minorHAnsi" w:hAnsiTheme="minorHAnsi" w:cstheme="minorHAnsi"/>
          <w:sz w:val="22"/>
        </w:rPr>
        <w:t>organizations</w:t>
      </w:r>
      <w:proofErr w:type="gramEnd"/>
      <w:r w:rsidRPr="00165852">
        <w:rPr>
          <w:rFonts w:asciiTheme="minorHAnsi" w:hAnsiTheme="minorHAnsi" w:cstheme="minorHAnsi"/>
          <w:sz w:val="22"/>
        </w:rPr>
        <w:t xml:space="preserve"> and individuals</w:t>
      </w:r>
      <w:r>
        <w:rPr>
          <w:rFonts w:asciiTheme="minorHAnsi" w:hAnsiTheme="minorHAnsi" w:cstheme="minorHAnsi"/>
          <w:sz w:val="22"/>
        </w:rPr>
        <w:t>,</w:t>
      </w:r>
      <w:r w:rsidRPr="00165852">
        <w:rPr>
          <w:rFonts w:asciiTheme="minorHAnsi" w:hAnsiTheme="minorHAnsi" w:cstheme="minorHAnsi"/>
          <w:sz w:val="22"/>
        </w:rPr>
        <w:t xml:space="preserve"> are united by a deep commitment to the goals set out</w:t>
      </w:r>
      <w:r>
        <w:rPr>
          <w:rFonts w:asciiTheme="minorHAnsi" w:hAnsiTheme="minorHAnsi" w:cstheme="minorHAnsi"/>
          <w:sz w:val="22"/>
        </w:rPr>
        <w:t xml:space="preserve"> by</w:t>
      </w:r>
      <w:r w:rsidRPr="00165852">
        <w:rPr>
          <w:rFonts w:asciiTheme="minorHAnsi" w:hAnsiTheme="minorHAnsi" w:cstheme="minorHAnsi"/>
          <w:sz w:val="22"/>
        </w:rPr>
        <w:t xml:space="preserve"> the EMRIP.</w:t>
      </w:r>
      <w:r w:rsidR="003D41F2">
        <w:rPr>
          <w:rFonts w:asciiTheme="minorHAnsi" w:hAnsiTheme="minorHAnsi" w:cstheme="minorHAnsi"/>
          <w:sz w:val="22"/>
        </w:rPr>
        <w:t xml:space="preserve"> </w:t>
      </w:r>
      <w:r>
        <w:rPr>
          <w:rFonts w:asciiTheme="minorHAnsi" w:hAnsiTheme="minorHAnsi" w:cstheme="minorHAnsi"/>
          <w:sz w:val="22"/>
        </w:rPr>
        <w:t xml:space="preserve">We assert that the Treaty of Guadalupe Hidalgo (the Treaty) merits further scrutiny by EMRIP to fulfill the aspirations and human rights of Chicanos (Indigenous Mexican Americans) in the United States of America and indigenous peoples around the world </w:t>
      </w:r>
      <w:r w:rsidRPr="00165852">
        <w:rPr>
          <w:rFonts w:asciiTheme="minorHAnsi" w:hAnsiTheme="minorHAnsi" w:cstheme="minorHAnsi"/>
          <w:sz w:val="18"/>
          <w:szCs w:val="18"/>
        </w:rPr>
        <w:t>(</w:t>
      </w:r>
      <w:r>
        <w:rPr>
          <w:rFonts w:asciiTheme="minorHAnsi" w:hAnsiTheme="minorHAnsi" w:cstheme="minorHAnsi"/>
          <w:sz w:val="18"/>
          <w:szCs w:val="18"/>
        </w:rPr>
        <w:t>s</w:t>
      </w:r>
      <w:r w:rsidR="00CD7EA8" w:rsidRPr="00064E7B">
        <w:rPr>
          <w:rFonts w:asciiTheme="minorHAnsi" w:hAnsiTheme="minorHAnsi" w:cstheme="minorHAnsi"/>
          <w:sz w:val="18"/>
          <w:szCs w:val="18"/>
        </w:rPr>
        <w:t xml:space="preserve">ee copy of the Treaty of Guadalupe Hidalgo: </w:t>
      </w:r>
      <w:hyperlink r:id="rId10" w:history="1">
        <w:r w:rsidR="00CD7EA8" w:rsidRPr="00BB2010">
          <w:rPr>
            <w:rStyle w:val="Hyperlink"/>
            <w:rFonts w:asciiTheme="minorHAnsi" w:hAnsiTheme="minorHAnsi" w:cstheme="minorHAnsi"/>
            <w:color w:val="000000" w:themeColor="text1"/>
            <w:sz w:val="18"/>
            <w:szCs w:val="18"/>
            <w:u w:val="none"/>
            <w:shd w:val="clear" w:color="auto" w:fill="FFFFFF"/>
          </w:rPr>
          <w:t>https://www.ourdocuments.gov/doc.php?flash=false&amp;doc=26&amp;page=transcript</w:t>
        </w:r>
      </w:hyperlink>
    </w:p>
    <w:p w14:paraId="33D27862" w14:textId="68206780" w:rsidR="00192C97" w:rsidRDefault="00192C97" w:rsidP="00192C97">
      <w:pPr>
        <w:spacing w:line="240" w:lineRule="auto"/>
        <w:contextualSpacing/>
        <w:rPr>
          <w:rFonts w:asciiTheme="minorHAnsi" w:hAnsiTheme="minorHAnsi" w:cstheme="minorHAnsi"/>
          <w:sz w:val="22"/>
        </w:rPr>
      </w:pPr>
    </w:p>
    <w:p w14:paraId="301301CE" w14:textId="785776CA" w:rsidR="00DF56EB" w:rsidRDefault="00DF56EB" w:rsidP="00192C97">
      <w:pPr>
        <w:spacing w:line="240" w:lineRule="auto"/>
        <w:contextualSpacing/>
        <w:rPr>
          <w:rFonts w:asciiTheme="minorHAnsi" w:hAnsiTheme="minorHAnsi" w:cstheme="minorHAnsi"/>
          <w:sz w:val="22"/>
        </w:rPr>
      </w:pPr>
      <w:r>
        <w:rPr>
          <w:rFonts w:asciiTheme="minorHAnsi" w:hAnsiTheme="minorHAnsi" w:cstheme="minorHAnsi"/>
          <w:sz w:val="22"/>
        </w:rPr>
        <w:t>The Treaty, signed on February 2, 1848, concluded armed conflict between the United States of America (U.S.) and the United Mexican States (Mexico).</w:t>
      </w:r>
      <w:r w:rsidR="003D41F2">
        <w:rPr>
          <w:rFonts w:asciiTheme="minorHAnsi" w:hAnsiTheme="minorHAnsi" w:cstheme="minorHAnsi"/>
          <w:sz w:val="22"/>
        </w:rPr>
        <w:t xml:space="preserve"> </w:t>
      </w:r>
      <w:r>
        <w:rPr>
          <w:rFonts w:asciiTheme="minorHAnsi" w:hAnsiTheme="minorHAnsi" w:cstheme="minorHAnsi"/>
          <w:sz w:val="22"/>
        </w:rPr>
        <w:t>By its terms, Mexico ceded 55 percent of its territory, including parts of present-day Arizona, California, New Mexico, Texas, Colorado, Nevada, and Utah, to the U.S.</w:t>
      </w:r>
      <w:r w:rsidR="003D41F2">
        <w:rPr>
          <w:rFonts w:asciiTheme="minorHAnsi" w:hAnsiTheme="minorHAnsi" w:cstheme="minorHAnsi"/>
          <w:sz w:val="22"/>
        </w:rPr>
        <w:t xml:space="preserve"> </w:t>
      </w:r>
      <w:r>
        <w:rPr>
          <w:rFonts w:asciiTheme="minorHAnsi" w:hAnsiTheme="minorHAnsi" w:cstheme="minorHAnsi"/>
          <w:sz w:val="22"/>
        </w:rPr>
        <w:t xml:space="preserve">In the “Study on treaties, agreements and other constructive arrangements between States and </w:t>
      </w:r>
      <w:r w:rsidR="00D10774">
        <w:rPr>
          <w:rFonts w:asciiTheme="minorHAnsi" w:hAnsiTheme="minorHAnsi" w:cstheme="minorHAnsi"/>
          <w:sz w:val="22"/>
        </w:rPr>
        <w:t xml:space="preserve">indigenous </w:t>
      </w:r>
      <w:r w:rsidR="00B85002">
        <w:rPr>
          <w:rFonts w:asciiTheme="minorHAnsi" w:hAnsiTheme="minorHAnsi" w:cstheme="minorHAnsi"/>
          <w:sz w:val="22"/>
        </w:rPr>
        <w:t>populations</w:t>
      </w:r>
      <w:r w:rsidR="00D10774">
        <w:rPr>
          <w:rFonts w:asciiTheme="minorHAnsi" w:hAnsiTheme="minorHAnsi" w:cstheme="minorHAnsi"/>
          <w:sz w:val="22"/>
        </w:rPr>
        <w:t xml:space="preserve">: final report” by Miguel Alfonso </w:t>
      </w:r>
      <w:r w:rsidR="009627FD">
        <w:rPr>
          <w:rFonts w:asciiTheme="minorHAnsi" w:hAnsiTheme="minorHAnsi" w:cstheme="minorHAnsi"/>
          <w:sz w:val="22"/>
        </w:rPr>
        <w:t xml:space="preserve">Martínez </w:t>
      </w:r>
      <w:r w:rsidR="00D10774">
        <w:rPr>
          <w:rFonts w:asciiTheme="minorHAnsi" w:hAnsiTheme="minorHAnsi" w:cstheme="minorHAnsi"/>
          <w:sz w:val="22"/>
        </w:rPr>
        <w:t xml:space="preserve">, Special Rapporteur, </w:t>
      </w:r>
      <w:r w:rsidR="009627FD">
        <w:rPr>
          <w:rFonts w:asciiTheme="minorHAnsi" w:hAnsiTheme="minorHAnsi" w:cstheme="minorHAnsi"/>
          <w:sz w:val="22"/>
        </w:rPr>
        <w:t>Martínez</w:t>
      </w:r>
      <w:r w:rsidR="003D41F2">
        <w:rPr>
          <w:rFonts w:asciiTheme="minorHAnsi" w:hAnsiTheme="minorHAnsi" w:cstheme="minorHAnsi"/>
          <w:sz w:val="22"/>
        </w:rPr>
        <w:t xml:space="preserve"> </w:t>
      </w:r>
      <w:r w:rsidR="00D10774">
        <w:rPr>
          <w:rFonts w:asciiTheme="minorHAnsi" w:hAnsiTheme="minorHAnsi" w:cstheme="minorHAnsi"/>
          <w:sz w:val="22"/>
        </w:rPr>
        <w:t>highlights that the Treaty warrants further scrutiny because “of apparent special significance for the indigenous nations along the borders of the United States” (</w:t>
      </w:r>
      <w:r w:rsidR="00131CD7">
        <w:rPr>
          <w:rFonts w:ascii="Calibri" w:hAnsi="Calibri" w:cs="Calibri"/>
          <w:color w:val="000000"/>
          <w:sz w:val="18"/>
          <w:szCs w:val="18"/>
        </w:rPr>
        <w:t>s</w:t>
      </w:r>
      <w:r w:rsidR="00131CD7" w:rsidRPr="009418DC">
        <w:rPr>
          <w:rFonts w:ascii="Calibri" w:hAnsi="Calibri" w:cs="Calibri"/>
          <w:color w:val="000000"/>
          <w:sz w:val="18"/>
          <w:szCs w:val="18"/>
        </w:rPr>
        <w:t xml:space="preserve">ee Appendix </w:t>
      </w:r>
      <w:r w:rsidR="00131CD7">
        <w:rPr>
          <w:rFonts w:ascii="Calibri" w:hAnsi="Calibri" w:cs="Calibri"/>
          <w:color w:val="000000"/>
          <w:sz w:val="18"/>
          <w:szCs w:val="18"/>
        </w:rPr>
        <w:t>G</w:t>
      </w:r>
      <w:r w:rsidR="00131CD7" w:rsidRPr="009418DC">
        <w:rPr>
          <w:rFonts w:ascii="Calibri" w:hAnsi="Calibri" w:cs="Calibri"/>
          <w:color w:val="000000"/>
          <w:sz w:val="18"/>
          <w:szCs w:val="18"/>
        </w:rPr>
        <w:t xml:space="preserve"> </w:t>
      </w:r>
      <w:r w:rsidR="00131CD7">
        <w:rPr>
          <w:rFonts w:ascii="Calibri" w:hAnsi="Calibri" w:cs="Calibri"/>
          <w:color w:val="000000"/>
          <w:sz w:val="18"/>
          <w:szCs w:val="18"/>
        </w:rPr>
        <w:t>review the complete report of</w:t>
      </w:r>
      <w:r w:rsidR="00131CD7" w:rsidRPr="009418DC">
        <w:rPr>
          <w:rFonts w:ascii="Calibri" w:hAnsi="Calibri" w:cs="Calibri"/>
          <w:color w:val="000000"/>
          <w:sz w:val="18"/>
          <w:szCs w:val="18"/>
        </w:rPr>
        <w:t xml:space="preserve"> the Study on treaties, agreements and other constructive arrangements between States and indigenous populations.” Final report by Miguel Alfonso Martínez, Special Rapporteur, 22 June 1999</w:t>
      </w:r>
      <w:r w:rsidR="00131CD7">
        <w:rPr>
          <w:rFonts w:ascii="Calibri" w:hAnsi="Calibri" w:cs="Calibri"/>
          <w:color w:val="000000"/>
          <w:sz w:val="18"/>
          <w:szCs w:val="18"/>
        </w:rPr>
        <w:t xml:space="preserve"> </w:t>
      </w:r>
      <w:r w:rsidR="00D10774" w:rsidRPr="00131CD7">
        <w:rPr>
          <w:rFonts w:asciiTheme="minorHAnsi" w:hAnsiTheme="minorHAnsi" w:cstheme="minorHAnsi"/>
          <w:sz w:val="18"/>
          <w:szCs w:val="18"/>
        </w:rPr>
        <w:t>E/CN.4/Sub.2/1999/20).</w:t>
      </w:r>
    </w:p>
    <w:p w14:paraId="26EFB495" w14:textId="54EF7C9D" w:rsidR="00D10774" w:rsidRDefault="00D10774" w:rsidP="00192C97">
      <w:pPr>
        <w:spacing w:line="240" w:lineRule="auto"/>
        <w:contextualSpacing/>
        <w:rPr>
          <w:rFonts w:asciiTheme="minorHAnsi" w:hAnsiTheme="minorHAnsi" w:cstheme="minorHAnsi"/>
          <w:sz w:val="22"/>
        </w:rPr>
      </w:pPr>
    </w:p>
    <w:p w14:paraId="028C6DA1" w14:textId="7E61A921" w:rsidR="00D10774" w:rsidRPr="00843108" w:rsidRDefault="00D10774" w:rsidP="00192C97">
      <w:pPr>
        <w:spacing w:line="240" w:lineRule="auto"/>
        <w:contextualSpacing/>
        <w:rPr>
          <w:rFonts w:asciiTheme="minorHAnsi" w:hAnsiTheme="minorHAnsi" w:cstheme="minorHAnsi"/>
          <w:sz w:val="22"/>
        </w:rPr>
      </w:pPr>
      <w:r>
        <w:rPr>
          <w:rFonts w:asciiTheme="minorHAnsi" w:hAnsiTheme="minorHAnsi" w:cstheme="minorHAnsi"/>
          <w:sz w:val="22"/>
        </w:rPr>
        <w:t xml:space="preserve">The Treaty is a prime example of the </w:t>
      </w:r>
      <w:r w:rsidR="00B85002">
        <w:rPr>
          <w:rFonts w:asciiTheme="minorHAnsi" w:hAnsiTheme="minorHAnsi" w:cstheme="minorHAnsi"/>
          <w:sz w:val="22"/>
        </w:rPr>
        <w:t>consequences</w:t>
      </w:r>
      <w:r>
        <w:rPr>
          <w:rFonts w:asciiTheme="minorHAnsi" w:hAnsiTheme="minorHAnsi" w:cstheme="minorHAnsi"/>
          <w:sz w:val="22"/>
        </w:rPr>
        <w:t xml:space="preserve"> of a State with dominant power dictating the </w:t>
      </w:r>
      <w:r w:rsidR="00B85002">
        <w:rPr>
          <w:rFonts w:asciiTheme="minorHAnsi" w:hAnsiTheme="minorHAnsi" w:cstheme="minorHAnsi"/>
          <w:sz w:val="22"/>
        </w:rPr>
        <w:t>terms</w:t>
      </w:r>
      <w:r>
        <w:rPr>
          <w:rFonts w:asciiTheme="minorHAnsi" w:hAnsiTheme="minorHAnsi" w:cstheme="minorHAnsi"/>
          <w:sz w:val="22"/>
        </w:rPr>
        <w:t xml:space="preserve"> of surrender and responsibilities of the </w:t>
      </w:r>
      <w:r w:rsidR="00F02EF7">
        <w:rPr>
          <w:rFonts w:asciiTheme="minorHAnsi" w:hAnsiTheme="minorHAnsi" w:cstheme="minorHAnsi"/>
          <w:sz w:val="22"/>
        </w:rPr>
        <w:t>P</w:t>
      </w:r>
      <w:r>
        <w:rPr>
          <w:rFonts w:asciiTheme="minorHAnsi" w:hAnsiTheme="minorHAnsi" w:cstheme="minorHAnsi"/>
          <w:sz w:val="22"/>
        </w:rPr>
        <w:t>arties.</w:t>
      </w:r>
      <w:r w:rsidR="003D41F2">
        <w:rPr>
          <w:rFonts w:asciiTheme="minorHAnsi" w:hAnsiTheme="minorHAnsi" w:cstheme="minorHAnsi"/>
          <w:sz w:val="22"/>
        </w:rPr>
        <w:t xml:space="preserve"> </w:t>
      </w:r>
      <w:r>
        <w:rPr>
          <w:rFonts w:asciiTheme="minorHAnsi" w:hAnsiTheme="minorHAnsi" w:cstheme="minorHAnsi"/>
          <w:sz w:val="22"/>
        </w:rPr>
        <w:t>It also exemplifies the lack of consultation with indigenous peoples by colonial-settler States in treaty negotiation processes, which included critical issues of land, citizenship, relocation, and an imposed State border that continue to impact the rights and liv</w:t>
      </w:r>
      <w:r w:rsidR="00B85002">
        <w:rPr>
          <w:rFonts w:asciiTheme="minorHAnsi" w:hAnsiTheme="minorHAnsi" w:cstheme="minorHAnsi"/>
          <w:sz w:val="22"/>
        </w:rPr>
        <w:t>elihood of indigenous peoples.</w:t>
      </w:r>
    </w:p>
    <w:p w14:paraId="7C9EED45" w14:textId="150F92AD" w:rsidR="00C56153" w:rsidRPr="00165852" w:rsidRDefault="00C56153" w:rsidP="00DF6D46">
      <w:pPr>
        <w:spacing w:line="240" w:lineRule="auto"/>
        <w:contextualSpacing/>
        <w:rPr>
          <w:rFonts w:asciiTheme="minorHAnsi" w:hAnsiTheme="minorHAnsi" w:cstheme="minorHAnsi"/>
          <w:sz w:val="22"/>
        </w:rPr>
      </w:pPr>
    </w:p>
    <w:p w14:paraId="117AB497" w14:textId="5CA0F3A2" w:rsidR="00C56153" w:rsidRPr="00165852" w:rsidRDefault="00C56153"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Bilateral Agreement</w:t>
      </w:r>
    </w:p>
    <w:p w14:paraId="6B710A38" w14:textId="0708D857" w:rsidR="00A216EA" w:rsidRDefault="00C56153"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 xml:space="preserve">The Treaty is a bilateral agreement between two States </w:t>
      </w:r>
      <w:r w:rsidR="00F8518D">
        <w:rPr>
          <w:rFonts w:asciiTheme="minorHAnsi" w:hAnsiTheme="minorHAnsi" w:cstheme="minorHAnsi"/>
          <w:sz w:val="22"/>
        </w:rPr>
        <w:t>that</w:t>
      </w:r>
      <w:r w:rsidRPr="00165852">
        <w:rPr>
          <w:rFonts w:asciiTheme="minorHAnsi" w:hAnsiTheme="minorHAnsi" w:cstheme="minorHAnsi"/>
          <w:sz w:val="22"/>
        </w:rPr>
        <w:t xml:space="preserve"> denied </w:t>
      </w:r>
      <w:r w:rsidR="00D26229" w:rsidRPr="00165852">
        <w:rPr>
          <w:rFonts w:asciiTheme="minorHAnsi" w:hAnsiTheme="minorHAnsi" w:cstheme="minorHAnsi"/>
          <w:sz w:val="22"/>
        </w:rPr>
        <w:t xml:space="preserve">the participation </w:t>
      </w:r>
      <w:r w:rsidR="00F8518D">
        <w:rPr>
          <w:rFonts w:asciiTheme="minorHAnsi" w:hAnsiTheme="minorHAnsi" w:cstheme="minorHAnsi"/>
          <w:sz w:val="22"/>
        </w:rPr>
        <w:t>of</w:t>
      </w:r>
      <w:r w:rsidR="00D26229" w:rsidRPr="00165852">
        <w:rPr>
          <w:rFonts w:asciiTheme="minorHAnsi" w:hAnsiTheme="minorHAnsi" w:cstheme="minorHAnsi"/>
          <w:sz w:val="22"/>
        </w:rPr>
        <w:t xml:space="preserve"> the affected peoples living</w:t>
      </w:r>
      <w:r w:rsidR="00F8518D">
        <w:rPr>
          <w:rFonts w:asciiTheme="minorHAnsi" w:hAnsiTheme="minorHAnsi" w:cstheme="minorHAnsi"/>
          <w:sz w:val="22"/>
        </w:rPr>
        <w:t xml:space="preserve"> in</w:t>
      </w:r>
      <w:r w:rsidR="00A216EA">
        <w:rPr>
          <w:rFonts w:asciiTheme="minorHAnsi" w:hAnsiTheme="minorHAnsi" w:cstheme="minorHAnsi"/>
          <w:sz w:val="22"/>
        </w:rPr>
        <w:t xml:space="preserve"> </w:t>
      </w:r>
      <w:r w:rsidR="00D26229" w:rsidRPr="00165852">
        <w:rPr>
          <w:rFonts w:asciiTheme="minorHAnsi" w:hAnsiTheme="minorHAnsi" w:cstheme="minorHAnsi"/>
          <w:sz w:val="22"/>
        </w:rPr>
        <w:t>the “conquered” territory</w:t>
      </w:r>
      <w:r w:rsidR="00A216EA">
        <w:rPr>
          <w:rFonts w:asciiTheme="minorHAnsi" w:hAnsiTheme="minorHAnsi" w:cstheme="minorHAnsi"/>
          <w:sz w:val="22"/>
        </w:rPr>
        <w:t>.</w:t>
      </w:r>
      <w:r w:rsidR="003D41F2">
        <w:rPr>
          <w:rFonts w:asciiTheme="minorHAnsi" w:hAnsiTheme="minorHAnsi" w:cstheme="minorHAnsi"/>
          <w:sz w:val="22"/>
        </w:rPr>
        <w:t xml:space="preserve"> </w:t>
      </w:r>
      <w:r w:rsidR="00A216EA">
        <w:rPr>
          <w:rFonts w:asciiTheme="minorHAnsi" w:hAnsiTheme="minorHAnsi" w:cstheme="minorHAnsi"/>
          <w:sz w:val="22"/>
        </w:rPr>
        <w:t>S</w:t>
      </w:r>
      <w:r w:rsidR="00D26229" w:rsidRPr="00165852">
        <w:rPr>
          <w:rFonts w:asciiTheme="minorHAnsi" w:hAnsiTheme="minorHAnsi" w:cstheme="minorHAnsi"/>
          <w:sz w:val="22"/>
        </w:rPr>
        <w:t xml:space="preserve">pecifically, </w:t>
      </w:r>
      <w:r w:rsidR="00A216EA">
        <w:rPr>
          <w:rFonts w:asciiTheme="minorHAnsi" w:hAnsiTheme="minorHAnsi" w:cstheme="minorHAnsi"/>
          <w:sz w:val="22"/>
        </w:rPr>
        <w:t>it excluded</w:t>
      </w:r>
      <w:r w:rsidR="00D26229" w:rsidRPr="00165852">
        <w:rPr>
          <w:rFonts w:asciiTheme="minorHAnsi" w:hAnsiTheme="minorHAnsi" w:cstheme="minorHAnsi"/>
          <w:sz w:val="22"/>
        </w:rPr>
        <w:t xml:space="preserve"> </w:t>
      </w:r>
      <w:r w:rsidR="008A22A0" w:rsidRPr="00165852">
        <w:rPr>
          <w:rFonts w:asciiTheme="minorHAnsi" w:hAnsiTheme="minorHAnsi" w:cstheme="minorHAnsi"/>
          <w:sz w:val="22"/>
        </w:rPr>
        <w:t>Mexicans of indigenous origin an</w:t>
      </w:r>
      <w:r w:rsidR="00A216EA">
        <w:rPr>
          <w:rFonts w:asciiTheme="minorHAnsi" w:hAnsiTheme="minorHAnsi" w:cstheme="minorHAnsi"/>
          <w:sz w:val="22"/>
        </w:rPr>
        <w:t xml:space="preserve">d </w:t>
      </w:r>
      <w:r w:rsidR="008A22A0" w:rsidRPr="00165852">
        <w:rPr>
          <w:rFonts w:asciiTheme="minorHAnsi" w:hAnsiTheme="minorHAnsi" w:cstheme="minorHAnsi"/>
          <w:sz w:val="22"/>
        </w:rPr>
        <w:t xml:space="preserve">the </w:t>
      </w:r>
      <w:r w:rsidR="00D26229" w:rsidRPr="00165852">
        <w:rPr>
          <w:rFonts w:asciiTheme="minorHAnsi" w:hAnsiTheme="minorHAnsi" w:cstheme="minorHAnsi"/>
          <w:sz w:val="22"/>
        </w:rPr>
        <w:t>indigenous peoples that have populated the area since time immemorial</w:t>
      </w:r>
      <w:r w:rsidR="00A216EA">
        <w:rPr>
          <w:rFonts w:asciiTheme="minorHAnsi" w:hAnsiTheme="minorHAnsi" w:cstheme="minorHAnsi"/>
          <w:sz w:val="22"/>
        </w:rPr>
        <w:t>, termed “Indians” and “savage tribes.”</w:t>
      </w:r>
    </w:p>
    <w:p w14:paraId="61B47F21" w14:textId="77777777" w:rsidR="00A216EA" w:rsidRDefault="00A216EA" w:rsidP="00DF6D46">
      <w:pPr>
        <w:spacing w:line="240" w:lineRule="auto"/>
        <w:contextualSpacing/>
        <w:rPr>
          <w:rFonts w:asciiTheme="minorHAnsi" w:hAnsiTheme="minorHAnsi" w:cstheme="minorHAnsi"/>
          <w:sz w:val="22"/>
        </w:rPr>
      </w:pPr>
    </w:p>
    <w:p w14:paraId="507C12F3" w14:textId="12340C2B" w:rsidR="00A216EA" w:rsidRDefault="00D26229"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The Treaty codifie</w:t>
      </w:r>
      <w:r w:rsidR="00A216EA">
        <w:rPr>
          <w:rFonts w:asciiTheme="minorHAnsi" w:hAnsiTheme="minorHAnsi" w:cstheme="minorHAnsi"/>
          <w:sz w:val="22"/>
        </w:rPr>
        <w:t>d international legal obligations for each State to fulfill toward the peoples living in the newly annexed territory.</w:t>
      </w:r>
      <w:r w:rsidR="003D41F2">
        <w:rPr>
          <w:rFonts w:asciiTheme="minorHAnsi" w:hAnsiTheme="minorHAnsi" w:cstheme="minorHAnsi"/>
          <w:sz w:val="22"/>
        </w:rPr>
        <w:t xml:space="preserve"> </w:t>
      </w:r>
      <w:r w:rsidR="00A216EA">
        <w:rPr>
          <w:rFonts w:asciiTheme="minorHAnsi" w:hAnsiTheme="minorHAnsi" w:cstheme="minorHAnsi"/>
          <w:sz w:val="22"/>
        </w:rPr>
        <w:t>Once the Treaty went into effect, these obligations were immediately abrogated and disregarded over time.</w:t>
      </w:r>
      <w:r w:rsidR="003D41F2">
        <w:rPr>
          <w:rFonts w:asciiTheme="minorHAnsi" w:hAnsiTheme="minorHAnsi" w:cstheme="minorHAnsi"/>
          <w:sz w:val="22"/>
        </w:rPr>
        <w:t xml:space="preserve"> </w:t>
      </w:r>
      <w:r w:rsidR="00A216EA">
        <w:rPr>
          <w:rFonts w:asciiTheme="minorHAnsi" w:hAnsiTheme="minorHAnsi" w:cstheme="minorHAnsi"/>
          <w:sz w:val="22"/>
        </w:rPr>
        <w:t xml:space="preserve">Thus, the Treaty was not just an instrument to end war or set a new State borderline; it conveys international human rights affecting indigenous peoples. </w:t>
      </w:r>
    </w:p>
    <w:p w14:paraId="36297B5A" w14:textId="706E0A54" w:rsidR="00EE1EB1" w:rsidRPr="00165852" w:rsidRDefault="00EE1EB1" w:rsidP="00DF6D46">
      <w:pPr>
        <w:spacing w:line="240" w:lineRule="auto"/>
        <w:contextualSpacing/>
        <w:rPr>
          <w:rFonts w:asciiTheme="minorHAnsi" w:hAnsiTheme="minorHAnsi" w:cstheme="minorHAnsi"/>
          <w:sz w:val="22"/>
        </w:rPr>
      </w:pPr>
    </w:p>
    <w:p w14:paraId="488F222A" w14:textId="721082B3" w:rsidR="00EE1EB1" w:rsidRPr="00165852" w:rsidRDefault="00EE1EB1"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Unilateral Amendments</w:t>
      </w:r>
    </w:p>
    <w:p w14:paraId="1113D8E8" w14:textId="7339B964" w:rsidR="00AA1D03" w:rsidRDefault="00EE1EB1"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 xml:space="preserve">Critical questions exist as to the </w:t>
      </w:r>
      <w:r w:rsidR="00EA488C" w:rsidRPr="00165852">
        <w:rPr>
          <w:rFonts w:asciiTheme="minorHAnsi" w:hAnsiTheme="minorHAnsi" w:cstheme="minorHAnsi"/>
          <w:sz w:val="22"/>
        </w:rPr>
        <w:t xml:space="preserve">actual validity of the Treaty because of </w:t>
      </w:r>
      <w:r w:rsidR="00640877">
        <w:rPr>
          <w:rFonts w:asciiTheme="minorHAnsi" w:hAnsiTheme="minorHAnsi" w:cstheme="minorHAnsi"/>
          <w:sz w:val="22"/>
        </w:rPr>
        <w:t xml:space="preserve">particular </w:t>
      </w:r>
      <w:r w:rsidR="00640877" w:rsidRPr="00165852">
        <w:rPr>
          <w:rFonts w:asciiTheme="minorHAnsi" w:hAnsiTheme="minorHAnsi" w:cstheme="minorHAnsi"/>
          <w:sz w:val="22"/>
        </w:rPr>
        <w:t>factors</w:t>
      </w:r>
      <w:r w:rsidR="00EA488C" w:rsidRPr="00165852">
        <w:rPr>
          <w:rFonts w:asciiTheme="minorHAnsi" w:hAnsiTheme="minorHAnsi" w:cstheme="minorHAnsi"/>
          <w:sz w:val="22"/>
        </w:rPr>
        <w:t xml:space="preserve"> such as whether the appointed consul for the U</w:t>
      </w:r>
      <w:r w:rsidR="00AA1D03">
        <w:rPr>
          <w:rFonts w:asciiTheme="minorHAnsi" w:hAnsiTheme="minorHAnsi" w:cstheme="minorHAnsi"/>
          <w:sz w:val="22"/>
        </w:rPr>
        <w:t>.S.</w:t>
      </w:r>
      <w:r w:rsidR="00EA488C" w:rsidRPr="00165852">
        <w:rPr>
          <w:rFonts w:asciiTheme="minorHAnsi" w:hAnsiTheme="minorHAnsi" w:cstheme="minorHAnsi"/>
          <w:sz w:val="22"/>
        </w:rPr>
        <w:t xml:space="preserve">, Nicholas Trist, had appropriate authority to sign the Treaty on behalf of the </w:t>
      </w:r>
      <w:r w:rsidR="00AA1D03">
        <w:rPr>
          <w:rFonts w:asciiTheme="minorHAnsi" w:hAnsiTheme="minorHAnsi" w:cstheme="minorHAnsi"/>
          <w:sz w:val="22"/>
        </w:rPr>
        <w:t>U.S.</w:t>
      </w:r>
      <w:r w:rsidR="00EA488C" w:rsidRPr="00165852">
        <w:rPr>
          <w:rFonts w:asciiTheme="minorHAnsi" w:hAnsiTheme="minorHAnsi" w:cstheme="minorHAnsi"/>
          <w:sz w:val="22"/>
        </w:rPr>
        <w:t xml:space="preserve">, whether </w:t>
      </w:r>
      <w:r w:rsidR="00AA1D03">
        <w:rPr>
          <w:rFonts w:asciiTheme="minorHAnsi" w:hAnsiTheme="minorHAnsi" w:cstheme="minorHAnsi"/>
          <w:sz w:val="22"/>
        </w:rPr>
        <w:t>the U.S. Congress properly instituted the Treaty</w:t>
      </w:r>
      <w:r w:rsidR="004113DE">
        <w:rPr>
          <w:rFonts w:asciiTheme="minorHAnsi" w:hAnsiTheme="minorHAnsi" w:cstheme="minorHAnsi"/>
          <w:sz w:val="22"/>
        </w:rPr>
        <w:t>, and whether the actions of the U.S. Congress willfully violated its implementation.</w:t>
      </w:r>
      <w:r w:rsidR="003D41F2">
        <w:rPr>
          <w:rFonts w:asciiTheme="minorHAnsi" w:hAnsiTheme="minorHAnsi" w:cstheme="minorHAnsi"/>
          <w:sz w:val="22"/>
        </w:rPr>
        <w:t xml:space="preserve"> </w:t>
      </w:r>
      <w:r w:rsidR="004113DE">
        <w:rPr>
          <w:rFonts w:asciiTheme="minorHAnsi" w:hAnsiTheme="minorHAnsi" w:cstheme="minorHAnsi"/>
          <w:sz w:val="22"/>
        </w:rPr>
        <w:t>For example, the U.S. Congress arbitrarily and unilaterally altered Article IX and struck Article X of the Treaty, ensuring land rights for those Mexicans holding Spanish or Mexican land grants.</w:t>
      </w:r>
    </w:p>
    <w:p w14:paraId="0742C984" w14:textId="77777777" w:rsidR="00B63F30" w:rsidRDefault="00B63F30" w:rsidP="00DF6D46">
      <w:pPr>
        <w:spacing w:line="240" w:lineRule="auto"/>
        <w:contextualSpacing/>
        <w:rPr>
          <w:rFonts w:asciiTheme="minorHAnsi" w:hAnsiTheme="minorHAnsi" w:cstheme="minorHAnsi"/>
          <w:sz w:val="22"/>
        </w:rPr>
      </w:pPr>
    </w:p>
    <w:p w14:paraId="60BEBB57" w14:textId="6D6643C5" w:rsidR="004113DE" w:rsidRDefault="004113DE" w:rsidP="00DF6D46">
      <w:pPr>
        <w:spacing w:line="240" w:lineRule="auto"/>
        <w:contextualSpacing/>
        <w:rPr>
          <w:rFonts w:asciiTheme="minorHAnsi" w:hAnsiTheme="minorHAnsi" w:cstheme="minorHAnsi"/>
          <w:sz w:val="22"/>
        </w:rPr>
      </w:pPr>
      <w:r>
        <w:rPr>
          <w:rFonts w:asciiTheme="minorHAnsi" w:hAnsiTheme="minorHAnsi" w:cstheme="minorHAnsi"/>
          <w:sz w:val="22"/>
        </w:rPr>
        <w:t>Equal Guarantees</w:t>
      </w:r>
    </w:p>
    <w:p w14:paraId="63437D32" w14:textId="1EDD1341" w:rsidR="00BE15C0" w:rsidRPr="004113DE" w:rsidRDefault="002E0F79"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lastRenderedPageBreak/>
        <w:t>Article VIII</w:t>
      </w:r>
      <w:r w:rsidR="004113DE">
        <w:rPr>
          <w:rFonts w:asciiTheme="minorHAnsi" w:hAnsiTheme="minorHAnsi" w:cstheme="minorHAnsi"/>
          <w:sz w:val="22"/>
        </w:rPr>
        <w:t xml:space="preserve"> states,</w:t>
      </w:r>
      <w:r w:rsidRPr="00165852">
        <w:rPr>
          <w:rFonts w:asciiTheme="minorHAnsi" w:hAnsiTheme="minorHAnsi" w:cstheme="minorHAnsi"/>
          <w:sz w:val="22"/>
        </w:rPr>
        <w:t xml:space="preserve"> “In the said territories, property of every kind, now belonging to Mexicans now established there, shall be </w:t>
      </w:r>
      <w:r w:rsidR="000F7B6E">
        <w:rPr>
          <w:rFonts w:asciiTheme="minorHAnsi" w:hAnsiTheme="minorHAnsi" w:cstheme="minorHAnsi"/>
          <w:sz w:val="22"/>
        </w:rPr>
        <w:t>inviolabl</w:t>
      </w:r>
      <w:r w:rsidR="003D41F2">
        <w:rPr>
          <w:rFonts w:asciiTheme="minorHAnsi" w:hAnsiTheme="minorHAnsi" w:cstheme="minorHAnsi"/>
          <w:sz w:val="22"/>
        </w:rPr>
        <w:t>y</w:t>
      </w:r>
      <w:r w:rsidRPr="00165852">
        <w:rPr>
          <w:rFonts w:asciiTheme="minorHAnsi" w:hAnsiTheme="minorHAnsi" w:cstheme="minorHAnsi"/>
          <w:sz w:val="22"/>
        </w:rPr>
        <w:t xml:space="preserve"> respected.</w:t>
      </w:r>
      <w:r w:rsidR="003D41F2">
        <w:rPr>
          <w:rFonts w:asciiTheme="minorHAnsi" w:hAnsiTheme="minorHAnsi" w:cstheme="minorHAnsi"/>
          <w:sz w:val="22"/>
        </w:rPr>
        <w:t xml:space="preserve"> </w:t>
      </w:r>
      <w:r w:rsidRPr="00165852">
        <w:rPr>
          <w:rFonts w:asciiTheme="minorHAnsi" w:hAnsiTheme="minorHAnsi" w:cstheme="minorHAnsi"/>
          <w:sz w:val="22"/>
        </w:rPr>
        <w:t xml:space="preserve">The present owners, the heirs of these, and all Mexicans who may hereafter acquire said property by contract, shall enjoy with respect to it, guarantees equally </w:t>
      </w:r>
      <w:r w:rsidRPr="004113DE">
        <w:rPr>
          <w:rFonts w:asciiTheme="minorHAnsi" w:hAnsiTheme="minorHAnsi" w:cstheme="minorHAnsi"/>
          <w:sz w:val="22"/>
        </w:rPr>
        <w:t>ample as if the same belonged to citizens</w:t>
      </w:r>
      <w:r w:rsidR="0080386F" w:rsidRPr="004113DE">
        <w:rPr>
          <w:rFonts w:asciiTheme="minorHAnsi" w:hAnsiTheme="minorHAnsi" w:cstheme="minorHAnsi"/>
          <w:sz w:val="22"/>
        </w:rPr>
        <w:t xml:space="preserve"> of the United States.”</w:t>
      </w:r>
      <w:r w:rsidR="00BE15C0" w:rsidRPr="004113DE">
        <w:rPr>
          <w:rFonts w:asciiTheme="minorHAnsi" w:hAnsiTheme="minorHAnsi" w:cstheme="minorHAnsi"/>
          <w:sz w:val="22"/>
        </w:rPr>
        <w:t xml:space="preserve"> (Article VIII, Treaty of Guadalupe Hidalgo, 9 U.S. Statutes 922 </w:t>
      </w:r>
      <w:r w:rsidR="00EF128D">
        <w:rPr>
          <w:rFonts w:asciiTheme="minorHAnsi" w:hAnsiTheme="minorHAnsi" w:cstheme="minorHAnsi"/>
          <w:sz w:val="22"/>
        </w:rPr>
        <w:t>[</w:t>
      </w:r>
      <w:r w:rsidR="00BE15C0" w:rsidRPr="004113DE">
        <w:rPr>
          <w:rFonts w:asciiTheme="minorHAnsi" w:hAnsiTheme="minorHAnsi" w:cstheme="minorHAnsi"/>
          <w:sz w:val="22"/>
        </w:rPr>
        <w:t>1848</w:t>
      </w:r>
      <w:r w:rsidR="00EF128D">
        <w:rPr>
          <w:rFonts w:asciiTheme="minorHAnsi" w:hAnsiTheme="minorHAnsi" w:cstheme="minorHAnsi"/>
          <w:sz w:val="22"/>
        </w:rPr>
        <w:t>])</w:t>
      </w:r>
      <w:r w:rsidR="00BE15C0" w:rsidRPr="004113DE">
        <w:rPr>
          <w:rFonts w:asciiTheme="minorHAnsi" w:hAnsiTheme="minorHAnsi" w:cstheme="minorHAnsi"/>
          <w:sz w:val="22"/>
        </w:rPr>
        <w:t>.</w:t>
      </w:r>
      <w:r w:rsidR="003D41F2">
        <w:rPr>
          <w:rFonts w:asciiTheme="minorHAnsi" w:hAnsiTheme="minorHAnsi" w:cstheme="minorHAnsi"/>
          <w:sz w:val="22"/>
        </w:rPr>
        <w:t xml:space="preserve"> </w:t>
      </w:r>
      <w:r w:rsidR="004113DE" w:rsidRPr="004113DE">
        <w:rPr>
          <w:rFonts w:asciiTheme="minorHAnsi" w:hAnsiTheme="minorHAnsi" w:cstheme="minorHAnsi"/>
          <w:sz w:val="22"/>
        </w:rPr>
        <w:t>The A</w:t>
      </w:r>
      <w:r w:rsidR="00BE15C0" w:rsidRPr="004113DE">
        <w:rPr>
          <w:rFonts w:asciiTheme="minorHAnsi" w:hAnsiTheme="minorHAnsi" w:cstheme="minorHAnsi"/>
          <w:sz w:val="22"/>
        </w:rPr>
        <w:t>rticle also</w:t>
      </w:r>
      <w:r w:rsidR="004113DE" w:rsidRPr="004113DE">
        <w:rPr>
          <w:rFonts w:asciiTheme="minorHAnsi" w:hAnsiTheme="minorHAnsi" w:cstheme="minorHAnsi"/>
          <w:sz w:val="22"/>
        </w:rPr>
        <w:t xml:space="preserve"> specifies</w:t>
      </w:r>
      <w:r w:rsidR="00BE15C0" w:rsidRPr="004113DE">
        <w:rPr>
          <w:rFonts w:asciiTheme="minorHAnsi" w:hAnsiTheme="minorHAnsi" w:cstheme="minorHAnsi"/>
          <w:sz w:val="22"/>
        </w:rPr>
        <w:t xml:space="preserve"> </w:t>
      </w:r>
      <w:r w:rsidR="004113DE" w:rsidRPr="004113DE">
        <w:rPr>
          <w:rFonts w:asciiTheme="minorHAnsi" w:hAnsiTheme="minorHAnsi" w:cstheme="minorHAnsi"/>
          <w:sz w:val="22"/>
        </w:rPr>
        <w:t>the</w:t>
      </w:r>
      <w:r w:rsidR="00BE15C0" w:rsidRPr="004113DE">
        <w:rPr>
          <w:rFonts w:asciiTheme="minorHAnsi" w:hAnsiTheme="minorHAnsi" w:cstheme="minorHAnsi"/>
          <w:sz w:val="22"/>
        </w:rPr>
        <w:t xml:space="preserve"> citizenship rights of Mexicans living in the ceded territories.</w:t>
      </w:r>
      <w:r w:rsidR="003D41F2">
        <w:rPr>
          <w:rFonts w:asciiTheme="minorHAnsi" w:hAnsiTheme="minorHAnsi" w:cstheme="minorHAnsi"/>
          <w:sz w:val="22"/>
        </w:rPr>
        <w:t xml:space="preserve"> </w:t>
      </w:r>
      <w:r w:rsidR="00BE15C0" w:rsidRPr="004113DE">
        <w:rPr>
          <w:rFonts w:asciiTheme="minorHAnsi" w:hAnsiTheme="minorHAnsi" w:cstheme="minorHAnsi"/>
          <w:sz w:val="22"/>
        </w:rPr>
        <w:t>The U</w:t>
      </w:r>
      <w:r w:rsidR="004113DE" w:rsidRPr="004113DE">
        <w:rPr>
          <w:rFonts w:asciiTheme="minorHAnsi" w:hAnsiTheme="minorHAnsi" w:cstheme="minorHAnsi"/>
          <w:sz w:val="22"/>
        </w:rPr>
        <w:t>.S.</w:t>
      </w:r>
      <w:r w:rsidR="00BE15C0" w:rsidRPr="004113DE">
        <w:rPr>
          <w:rFonts w:asciiTheme="minorHAnsi" w:hAnsiTheme="minorHAnsi" w:cstheme="minorHAnsi"/>
          <w:sz w:val="22"/>
        </w:rPr>
        <w:t xml:space="preserve"> Senate left Article VIII intact and approved it.</w:t>
      </w:r>
    </w:p>
    <w:p w14:paraId="6D7241E5" w14:textId="7BB71814" w:rsidR="004113DE" w:rsidRDefault="004113DE" w:rsidP="00755D09">
      <w:pPr>
        <w:spacing w:line="240" w:lineRule="auto"/>
        <w:contextualSpacing/>
        <w:rPr>
          <w:rFonts w:asciiTheme="minorHAnsi" w:hAnsiTheme="minorHAnsi" w:cstheme="minorHAnsi"/>
          <w:sz w:val="22"/>
        </w:rPr>
      </w:pPr>
    </w:p>
    <w:p w14:paraId="3A23A09E" w14:textId="0E3FE55E" w:rsidR="00755D09" w:rsidRDefault="00755D09" w:rsidP="00755D09">
      <w:pPr>
        <w:spacing w:line="240" w:lineRule="auto"/>
        <w:contextualSpacing/>
        <w:rPr>
          <w:rFonts w:asciiTheme="minorHAnsi" w:hAnsiTheme="minorHAnsi" w:cstheme="minorHAnsi"/>
          <w:sz w:val="22"/>
        </w:rPr>
      </w:pPr>
      <w:r>
        <w:rPr>
          <w:rFonts w:asciiTheme="minorHAnsi" w:hAnsiTheme="minorHAnsi" w:cstheme="minorHAnsi"/>
          <w:sz w:val="22"/>
        </w:rPr>
        <w:t>Postponed Enjoyment of All Rights</w:t>
      </w:r>
    </w:p>
    <w:p w14:paraId="7DB26E8D" w14:textId="27785D9F" w:rsidR="00D125A2" w:rsidRPr="00165852" w:rsidRDefault="00BE15C0" w:rsidP="00755D09">
      <w:pPr>
        <w:spacing w:line="240" w:lineRule="auto"/>
        <w:contextualSpacing/>
        <w:rPr>
          <w:rFonts w:asciiTheme="minorHAnsi" w:hAnsiTheme="minorHAnsi" w:cstheme="minorHAnsi"/>
          <w:sz w:val="22"/>
        </w:rPr>
      </w:pPr>
      <w:r w:rsidRPr="00165852">
        <w:rPr>
          <w:rFonts w:asciiTheme="minorHAnsi" w:hAnsiTheme="minorHAnsi" w:cstheme="minorHAnsi"/>
          <w:sz w:val="22"/>
        </w:rPr>
        <w:t xml:space="preserve">Article IX, as originally drafted, sought to protect the rights of the Mexican citizens by assuring that the </w:t>
      </w:r>
      <w:r w:rsidR="00755D09">
        <w:rPr>
          <w:rFonts w:asciiTheme="minorHAnsi" w:hAnsiTheme="minorHAnsi" w:cstheme="minorHAnsi"/>
          <w:sz w:val="22"/>
        </w:rPr>
        <w:t xml:space="preserve">ceded territory would be admitted to one or more states of the U.S. </w:t>
      </w:r>
      <w:r w:rsidR="00D125A2" w:rsidRPr="00165852">
        <w:rPr>
          <w:rFonts w:asciiTheme="minorHAnsi" w:hAnsiTheme="minorHAnsi" w:cstheme="minorHAnsi"/>
          <w:sz w:val="22"/>
        </w:rPr>
        <w:t>“as soon as possible.”</w:t>
      </w:r>
      <w:r w:rsidR="003D41F2">
        <w:rPr>
          <w:rFonts w:asciiTheme="minorHAnsi" w:hAnsiTheme="minorHAnsi" w:cstheme="minorHAnsi"/>
          <w:sz w:val="22"/>
        </w:rPr>
        <w:t xml:space="preserve"> </w:t>
      </w:r>
      <w:r w:rsidR="00755D09">
        <w:rPr>
          <w:rFonts w:asciiTheme="minorHAnsi" w:hAnsiTheme="minorHAnsi" w:cstheme="minorHAnsi"/>
          <w:sz w:val="22"/>
        </w:rPr>
        <w:t>Contrarily, t</w:t>
      </w:r>
      <w:r w:rsidR="00D125A2" w:rsidRPr="00165852">
        <w:rPr>
          <w:rFonts w:asciiTheme="minorHAnsi" w:hAnsiTheme="minorHAnsi" w:cstheme="minorHAnsi"/>
          <w:sz w:val="22"/>
        </w:rPr>
        <w:t>he U</w:t>
      </w:r>
      <w:r w:rsidR="00755D09">
        <w:rPr>
          <w:rFonts w:asciiTheme="minorHAnsi" w:hAnsiTheme="minorHAnsi" w:cstheme="minorHAnsi"/>
          <w:sz w:val="22"/>
        </w:rPr>
        <w:t>.S.</w:t>
      </w:r>
      <w:r w:rsidR="00D125A2" w:rsidRPr="00165852">
        <w:rPr>
          <w:rFonts w:asciiTheme="minorHAnsi" w:hAnsiTheme="minorHAnsi" w:cstheme="minorHAnsi"/>
          <w:sz w:val="22"/>
        </w:rPr>
        <w:t xml:space="preserve"> Senate changed Article IX </w:t>
      </w:r>
      <w:r w:rsidR="00755D09">
        <w:rPr>
          <w:rFonts w:asciiTheme="minorHAnsi" w:hAnsiTheme="minorHAnsi" w:cstheme="minorHAnsi"/>
          <w:sz w:val="22"/>
        </w:rPr>
        <w:t xml:space="preserve">to </w:t>
      </w:r>
      <w:r w:rsidR="00D125A2" w:rsidRPr="00165852">
        <w:rPr>
          <w:rFonts w:asciiTheme="minorHAnsi" w:hAnsiTheme="minorHAnsi" w:cstheme="minorHAnsi"/>
          <w:sz w:val="22"/>
        </w:rPr>
        <w:t xml:space="preserve">read that the ceded territory “shall be incorporated into the Union of the United States and be admitted, at the proper time (to be judged by </w:t>
      </w:r>
      <w:r w:rsidR="00846086">
        <w:rPr>
          <w:rFonts w:asciiTheme="minorHAnsi" w:hAnsiTheme="minorHAnsi" w:cstheme="minorHAnsi"/>
          <w:sz w:val="22"/>
        </w:rPr>
        <w:t>the</w:t>
      </w:r>
      <w:r w:rsidR="00D125A2" w:rsidRPr="00165852">
        <w:rPr>
          <w:rFonts w:asciiTheme="minorHAnsi" w:hAnsiTheme="minorHAnsi" w:cstheme="minorHAnsi"/>
          <w:sz w:val="22"/>
        </w:rPr>
        <w:t xml:space="preserve"> </w:t>
      </w:r>
      <w:r w:rsidR="00846086">
        <w:rPr>
          <w:rFonts w:asciiTheme="minorHAnsi" w:hAnsiTheme="minorHAnsi" w:cstheme="minorHAnsi"/>
          <w:sz w:val="22"/>
        </w:rPr>
        <w:t xml:space="preserve">U.S. </w:t>
      </w:r>
      <w:r w:rsidR="00D125A2" w:rsidRPr="00165852">
        <w:rPr>
          <w:rFonts w:asciiTheme="minorHAnsi" w:hAnsiTheme="minorHAnsi" w:cstheme="minorHAnsi"/>
          <w:sz w:val="22"/>
        </w:rPr>
        <w:t>Congress) to the enjoyment of all the rights of citizens of the United States according to the principles of the Constitution.”</w:t>
      </w:r>
    </w:p>
    <w:p w14:paraId="739EDDC1" w14:textId="77777777" w:rsidR="00846086" w:rsidRDefault="00846086" w:rsidP="00DF6D46">
      <w:pPr>
        <w:spacing w:line="240" w:lineRule="auto"/>
        <w:contextualSpacing/>
        <w:rPr>
          <w:rFonts w:asciiTheme="minorHAnsi" w:hAnsiTheme="minorHAnsi" w:cstheme="minorHAnsi"/>
          <w:sz w:val="22"/>
        </w:rPr>
      </w:pPr>
    </w:p>
    <w:p w14:paraId="324F7FA4" w14:textId="339FFE69" w:rsidR="00846086" w:rsidRDefault="00846086" w:rsidP="00DF6D46">
      <w:pPr>
        <w:spacing w:line="240" w:lineRule="auto"/>
        <w:contextualSpacing/>
        <w:rPr>
          <w:rFonts w:asciiTheme="minorHAnsi" w:hAnsiTheme="minorHAnsi" w:cstheme="minorHAnsi"/>
          <w:sz w:val="22"/>
        </w:rPr>
      </w:pPr>
      <w:r>
        <w:rPr>
          <w:rFonts w:asciiTheme="minorHAnsi" w:hAnsiTheme="minorHAnsi" w:cstheme="minorHAnsi"/>
          <w:sz w:val="22"/>
        </w:rPr>
        <w:t>Unilateral Annulment of Land Rights</w:t>
      </w:r>
    </w:p>
    <w:p w14:paraId="7413C70E" w14:textId="23048983" w:rsidR="008C5DE7" w:rsidRPr="00165852" w:rsidRDefault="00D125A2"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Article X</w:t>
      </w:r>
      <w:r w:rsidR="00846086">
        <w:rPr>
          <w:rFonts w:asciiTheme="minorHAnsi" w:hAnsiTheme="minorHAnsi" w:cstheme="minorHAnsi"/>
          <w:sz w:val="22"/>
        </w:rPr>
        <w:t xml:space="preserve"> states,</w:t>
      </w:r>
      <w:r w:rsidRPr="00165852">
        <w:rPr>
          <w:rFonts w:asciiTheme="minorHAnsi" w:hAnsiTheme="minorHAnsi" w:cstheme="minorHAnsi"/>
          <w:sz w:val="22"/>
        </w:rPr>
        <w:t xml:space="preserve"> “All grants of land made by the Mexican Government or by the competent authorities</w:t>
      </w:r>
      <w:r w:rsidR="0080542A" w:rsidRPr="00165852">
        <w:rPr>
          <w:rFonts w:asciiTheme="minorHAnsi" w:hAnsiTheme="minorHAnsi" w:cstheme="minorHAnsi"/>
          <w:sz w:val="22"/>
        </w:rPr>
        <w:t>…shall be respected as valid, to the same extent that the same grants would be valid, if the said</w:t>
      </w:r>
      <w:r w:rsidR="00390E94" w:rsidRPr="00165852">
        <w:rPr>
          <w:rFonts w:asciiTheme="minorHAnsi" w:hAnsiTheme="minorHAnsi" w:cstheme="minorHAnsi"/>
          <w:sz w:val="22"/>
        </w:rPr>
        <w:t xml:space="preserve"> territories had remained within the limits of Mexico.”</w:t>
      </w:r>
      <w:r w:rsidR="003D41F2">
        <w:rPr>
          <w:rFonts w:asciiTheme="minorHAnsi" w:hAnsiTheme="minorHAnsi" w:cstheme="minorHAnsi"/>
          <w:sz w:val="22"/>
        </w:rPr>
        <w:t xml:space="preserve"> </w:t>
      </w:r>
      <w:r w:rsidR="00390E94" w:rsidRPr="00165852">
        <w:rPr>
          <w:rFonts w:asciiTheme="minorHAnsi" w:hAnsiTheme="minorHAnsi" w:cstheme="minorHAnsi"/>
          <w:sz w:val="22"/>
        </w:rPr>
        <w:t>The U</w:t>
      </w:r>
      <w:r w:rsidR="00846086">
        <w:rPr>
          <w:rFonts w:asciiTheme="minorHAnsi" w:hAnsiTheme="minorHAnsi" w:cstheme="minorHAnsi"/>
          <w:sz w:val="22"/>
        </w:rPr>
        <w:t>.S.</w:t>
      </w:r>
      <w:r w:rsidR="00390E94" w:rsidRPr="00165852">
        <w:rPr>
          <w:rFonts w:asciiTheme="minorHAnsi" w:hAnsiTheme="minorHAnsi" w:cstheme="minorHAnsi"/>
          <w:sz w:val="22"/>
        </w:rPr>
        <w:t xml:space="preserve"> Senate, at President Polk’s</w:t>
      </w:r>
      <w:r w:rsidR="009B10A0" w:rsidRPr="00165852">
        <w:rPr>
          <w:rFonts w:asciiTheme="minorHAnsi" w:hAnsiTheme="minorHAnsi" w:cstheme="minorHAnsi"/>
          <w:sz w:val="22"/>
        </w:rPr>
        <w:t xml:space="preserve"> recommendation, refused to approve </w:t>
      </w:r>
      <w:r w:rsidR="00360D93" w:rsidRPr="00165852">
        <w:rPr>
          <w:rFonts w:asciiTheme="minorHAnsi" w:hAnsiTheme="minorHAnsi" w:cstheme="minorHAnsi"/>
          <w:sz w:val="22"/>
        </w:rPr>
        <w:t>Article</w:t>
      </w:r>
      <w:r w:rsidR="009B10A0" w:rsidRPr="00165852">
        <w:rPr>
          <w:rFonts w:asciiTheme="minorHAnsi" w:hAnsiTheme="minorHAnsi" w:cstheme="minorHAnsi"/>
          <w:sz w:val="22"/>
        </w:rPr>
        <w:t xml:space="preserve"> </w:t>
      </w:r>
      <w:r w:rsidR="00360D93" w:rsidRPr="00165852">
        <w:rPr>
          <w:rFonts w:asciiTheme="minorHAnsi" w:hAnsiTheme="minorHAnsi" w:cstheme="minorHAnsi"/>
          <w:sz w:val="22"/>
        </w:rPr>
        <w:t xml:space="preserve">X as drafted by </w:t>
      </w:r>
      <w:r w:rsidR="00640877">
        <w:rPr>
          <w:rFonts w:asciiTheme="minorHAnsi" w:hAnsiTheme="minorHAnsi" w:cstheme="minorHAnsi"/>
          <w:sz w:val="22"/>
        </w:rPr>
        <w:t>U.S.</w:t>
      </w:r>
      <w:r w:rsidR="00360D93" w:rsidRPr="00165852">
        <w:rPr>
          <w:rFonts w:asciiTheme="minorHAnsi" w:hAnsiTheme="minorHAnsi" w:cstheme="minorHAnsi"/>
          <w:sz w:val="22"/>
        </w:rPr>
        <w:t xml:space="preserve"> and Mexican diplomats and ratified by the Mexican legislature.</w:t>
      </w:r>
    </w:p>
    <w:p w14:paraId="4E576703" w14:textId="43B664FF" w:rsidR="00846086" w:rsidRDefault="00846086" w:rsidP="00DF6D46">
      <w:pPr>
        <w:spacing w:line="240" w:lineRule="auto"/>
        <w:contextualSpacing/>
        <w:rPr>
          <w:rFonts w:asciiTheme="minorHAnsi" w:hAnsiTheme="minorHAnsi" w:cstheme="minorHAnsi"/>
          <w:sz w:val="22"/>
        </w:rPr>
      </w:pPr>
    </w:p>
    <w:p w14:paraId="4AF7F722" w14:textId="038B0EE3" w:rsidR="00846086" w:rsidRDefault="00846086" w:rsidP="00DF6D46">
      <w:pPr>
        <w:spacing w:line="240" w:lineRule="auto"/>
        <w:contextualSpacing/>
        <w:rPr>
          <w:rFonts w:asciiTheme="minorHAnsi" w:hAnsiTheme="minorHAnsi" w:cstheme="minorHAnsi"/>
          <w:sz w:val="22"/>
        </w:rPr>
      </w:pPr>
      <w:r>
        <w:rPr>
          <w:rFonts w:asciiTheme="minorHAnsi" w:hAnsiTheme="minorHAnsi" w:cstheme="minorHAnsi"/>
          <w:sz w:val="22"/>
        </w:rPr>
        <w:t>Reaffirmed Land Rights</w:t>
      </w:r>
    </w:p>
    <w:p w14:paraId="63CD7BDA" w14:textId="146F83CE" w:rsidR="008C5DE7" w:rsidRPr="00165852" w:rsidRDefault="008C5DE7"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After the U</w:t>
      </w:r>
      <w:r w:rsidR="00846086">
        <w:rPr>
          <w:rFonts w:asciiTheme="minorHAnsi" w:hAnsiTheme="minorHAnsi" w:cstheme="minorHAnsi"/>
          <w:sz w:val="22"/>
        </w:rPr>
        <w:t>.S.</w:t>
      </w:r>
      <w:r w:rsidRPr="00165852">
        <w:rPr>
          <w:rFonts w:asciiTheme="minorHAnsi" w:hAnsiTheme="minorHAnsi" w:cstheme="minorHAnsi"/>
          <w:sz w:val="22"/>
        </w:rPr>
        <w:t xml:space="preserve"> Senate removed Article </w:t>
      </w:r>
      <w:r w:rsidR="00846086" w:rsidRPr="00165852">
        <w:rPr>
          <w:rFonts w:asciiTheme="minorHAnsi" w:hAnsiTheme="minorHAnsi" w:cstheme="minorHAnsi"/>
          <w:sz w:val="22"/>
        </w:rPr>
        <w:t>X</w:t>
      </w:r>
      <w:r w:rsidR="00846086">
        <w:rPr>
          <w:rFonts w:asciiTheme="minorHAnsi" w:hAnsiTheme="minorHAnsi" w:cstheme="minorHAnsi"/>
          <w:sz w:val="22"/>
        </w:rPr>
        <w:t xml:space="preserve"> and</w:t>
      </w:r>
      <w:r w:rsidRPr="00165852">
        <w:rPr>
          <w:rFonts w:asciiTheme="minorHAnsi" w:hAnsiTheme="minorHAnsi" w:cstheme="minorHAnsi"/>
          <w:sz w:val="22"/>
        </w:rPr>
        <w:t xml:space="preserve"> following objection to its removal by the Mexican government, diplomatic discussions resulted in the</w:t>
      </w:r>
      <w:r w:rsidR="00846086">
        <w:rPr>
          <w:rFonts w:asciiTheme="minorHAnsi" w:hAnsiTheme="minorHAnsi" w:cstheme="minorHAnsi"/>
          <w:sz w:val="22"/>
        </w:rPr>
        <w:t xml:space="preserve"> Protocol of</w:t>
      </w:r>
      <w:r w:rsidRPr="00165852">
        <w:rPr>
          <w:rFonts w:asciiTheme="minorHAnsi" w:hAnsiTheme="minorHAnsi" w:cstheme="minorHAnsi"/>
          <w:sz w:val="22"/>
        </w:rPr>
        <w:t xml:space="preserve"> Queret</w:t>
      </w:r>
      <w:r w:rsidR="00846086">
        <w:rPr>
          <w:rFonts w:asciiTheme="minorHAnsi" w:hAnsiTheme="minorHAnsi" w:cstheme="minorHAnsi"/>
          <w:sz w:val="22"/>
        </w:rPr>
        <w:t>a</w:t>
      </w:r>
      <w:r w:rsidRPr="00165852">
        <w:rPr>
          <w:rFonts w:asciiTheme="minorHAnsi" w:hAnsiTheme="minorHAnsi" w:cstheme="minorHAnsi"/>
          <w:sz w:val="22"/>
        </w:rPr>
        <w:t>ro signed</w:t>
      </w:r>
      <w:r w:rsidR="00846086">
        <w:rPr>
          <w:rFonts w:asciiTheme="minorHAnsi" w:hAnsiTheme="minorHAnsi" w:cstheme="minorHAnsi"/>
          <w:sz w:val="22"/>
        </w:rPr>
        <w:t xml:space="preserve"> on</w:t>
      </w:r>
      <w:r w:rsidRPr="00165852">
        <w:rPr>
          <w:rFonts w:asciiTheme="minorHAnsi" w:hAnsiTheme="minorHAnsi" w:cstheme="minorHAnsi"/>
          <w:sz w:val="22"/>
        </w:rPr>
        <w:t xml:space="preserve"> 26 May 1848 by Mexican and U</w:t>
      </w:r>
      <w:r w:rsidR="00846086">
        <w:rPr>
          <w:rFonts w:asciiTheme="minorHAnsi" w:hAnsiTheme="minorHAnsi" w:cstheme="minorHAnsi"/>
          <w:sz w:val="22"/>
        </w:rPr>
        <w:t>.S.</w:t>
      </w:r>
      <w:r w:rsidRPr="00165852">
        <w:rPr>
          <w:rFonts w:asciiTheme="minorHAnsi" w:hAnsiTheme="minorHAnsi" w:cstheme="minorHAnsi"/>
          <w:sz w:val="22"/>
        </w:rPr>
        <w:t xml:space="preserve"> diplomats just before the Treaty’s formal ratification on 30 May 1848.</w:t>
      </w:r>
    </w:p>
    <w:p w14:paraId="713903D2" w14:textId="77777777" w:rsidR="00846086" w:rsidRDefault="00846086" w:rsidP="00DF6D46">
      <w:pPr>
        <w:spacing w:line="240" w:lineRule="auto"/>
        <w:contextualSpacing/>
        <w:rPr>
          <w:rFonts w:asciiTheme="minorHAnsi" w:hAnsiTheme="minorHAnsi" w:cstheme="minorHAnsi"/>
          <w:sz w:val="22"/>
        </w:rPr>
      </w:pPr>
    </w:p>
    <w:p w14:paraId="2B43F6BF" w14:textId="53CA1132" w:rsidR="00CA1D93" w:rsidRPr="00165852" w:rsidRDefault="00CA1D93"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The Protocol</w:t>
      </w:r>
      <w:r w:rsidR="00037851">
        <w:rPr>
          <w:rFonts w:asciiTheme="minorHAnsi" w:hAnsiTheme="minorHAnsi" w:cstheme="minorHAnsi"/>
          <w:sz w:val="22"/>
        </w:rPr>
        <w:t xml:space="preserve"> of Queretaro states, </w:t>
      </w:r>
      <w:r w:rsidRPr="00165852">
        <w:rPr>
          <w:rFonts w:asciiTheme="minorHAnsi" w:hAnsiTheme="minorHAnsi" w:cstheme="minorHAnsi"/>
          <w:sz w:val="22"/>
        </w:rPr>
        <w:t xml:space="preserve">“The American Government, by suppressing the </w:t>
      </w:r>
      <w:proofErr w:type="spellStart"/>
      <w:r w:rsidRPr="00165852">
        <w:rPr>
          <w:rFonts w:asciiTheme="minorHAnsi" w:hAnsiTheme="minorHAnsi" w:cstheme="minorHAnsi"/>
          <w:sz w:val="22"/>
        </w:rPr>
        <w:t>Xth</w:t>
      </w:r>
      <w:proofErr w:type="spellEnd"/>
      <w:r w:rsidRPr="00165852">
        <w:rPr>
          <w:rFonts w:asciiTheme="minorHAnsi" w:hAnsiTheme="minorHAnsi" w:cstheme="minorHAnsi"/>
          <w:sz w:val="22"/>
        </w:rPr>
        <w:t xml:space="preserve"> article of the Treaty of Guadalupe Hidalgo did not in any way intend to annul the grants of lands made by Mexico in the ceded territories.</w:t>
      </w:r>
      <w:r w:rsidR="003D41F2">
        <w:rPr>
          <w:rFonts w:asciiTheme="minorHAnsi" w:hAnsiTheme="minorHAnsi" w:cstheme="minorHAnsi"/>
          <w:sz w:val="22"/>
        </w:rPr>
        <w:t xml:space="preserve"> </w:t>
      </w:r>
      <w:r w:rsidRPr="00165852">
        <w:rPr>
          <w:rFonts w:asciiTheme="minorHAnsi" w:hAnsiTheme="minorHAnsi" w:cstheme="minorHAnsi"/>
          <w:sz w:val="22"/>
        </w:rPr>
        <w:t>These grants of land, notwithstanding the suppression of the article of the Treaty, preserve the legal value which they may possess; and the grantees may cause their legitimate titles to be acknowledged before the American tribunals.”</w:t>
      </w:r>
    </w:p>
    <w:p w14:paraId="5F13D014" w14:textId="16227A31" w:rsidR="00037851" w:rsidRDefault="00037851" w:rsidP="00DF6D46">
      <w:pPr>
        <w:spacing w:line="240" w:lineRule="auto"/>
        <w:contextualSpacing/>
        <w:rPr>
          <w:rFonts w:asciiTheme="minorHAnsi" w:hAnsiTheme="minorHAnsi" w:cstheme="minorHAnsi"/>
          <w:sz w:val="22"/>
        </w:rPr>
      </w:pPr>
    </w:p>
    <w:p w14:paraId="714051F8" w14:textId="35A306A8" w:rsidR="00D566D3" w:rsidRPr="00102C40" w:rsidRDefault="00DE1077"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These questions, notwithstanding, the Treaty remains an act of international consequence.</w:t>
      </w:r>
      <w:r w:rsidR="003D41F2">
        <w:rPr>
          <w:rFonts w:asciiTheme="minorHAnsi" w:hAnsiTheme="minorHAnsi" w:cstheme="minorHAnsi"/>
          <w:sz w:val="22"/>
        </w:rPr>
        <w:t xml:space="preserve"> </w:t>
      </w:r>
      <w:r w:rsidRPr="00165852">
        <w:rPr>
          <w:rFonts w:asciiTheme="minorHAnsi" w:hAnsiTheme="minorHAnsi" w:cstheme="minorHAnsi"/>
          <w:sz w:val="22"/>
        </w:rPr>
        <w:t>It specifically affected the former Mexican (indigenous) citizens</w:t>
      </w:r>
      <w:r w:rsidR="00D566D3">
        <w:rPr>
          <w:rFonts w:asciiTheme="minorHAnsi" w:hAnsiTheme="minorHAnsi" w:cstheme="minorHAnsi"/>
          <w:sz w:val="22"/>
        </w:rPr>
        <w:t>. T</w:t>
      </w:r>
      <w:r w:rsidR="00097A19" w:rsidRPr="00165852">
        <w:rPr>
          <w:rFonts w:asciiTheme="minorHAnsi" w:hAnsiTheme="minorHAnsi" w:cstheme="minorHAnsi"/>
          <w:sz w:val="22"/>
        </w:rPr>
        <w:t xml:space="preserve">he </w:t>
      </w:r>
      <w:r w:rsidR="00D566D3">
        <w:rPr>
          <w:rFonts w:asciiTheme="minorHAnsi" w:hAnsiTheme="minorHAnsi" w:cstheme="minorHAnsi"/>
          <w:sz w:val="22"/>
        </w:rPr>
        <w:t>very act of remaining in their homeland, north of the new border and beyond one year following enactment of the Treaty, entitled them to full citizenship and the many indigenous peoples who were de facto made wards of the U.S.</w:t>
      </w:r>
      <w:r w:rsidR="003D41F2">
        <w:rPr>
          <w:rFonts w:asciiTheme="minorHAnsi" w:hAnsiTheme="minorHAnsi" w:cstheme="minorHAnsi"/>
          <w:sz w:val="22"/>
        </w:rPr>
        <w:t xml:space="preserve"> </w:t>
      </w:r>
      <w:r w:rsidR="00D566D3">
        <w:rPr>
          <w:rFonts w:asciiTheme="minorHAnsi" w:hAnsiTheme="minorHAnsi" w:cstheme="minorHAnsi"/>
          <w:sz w:val="22"/>
        </w:rPr>
        <w:t>Although the U.S. Congress unilaterally struck out Article X, a critical section</w:t>
      </w:r>
      <w:r w:rsidR="00102C40">
        <w:rPr>
          <w:rFonts w:asciiTheme="minorHAnsi" w:hAnsiTheme="minorHAnsi" w:cstheme="minorHAnsi"/>
          <w:sz w:val="22"/>
        </w:rPr>
        <w:t>, the intent of Article X is no less viable and therefore pleads for attention and review.</w:t>
      </w:r>
    </w:p>
    <w:p w14:paraId="5EBE9A66" w14:textId="77777777" w:rsidR="00102C40" w:rsidRDefault="00012261"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ab/>
      </w:r>
    </w:p>
    <w:p w14:paraId="7FA58D9E" w14:textId="7FAAA426" w:rsidR="00102C40" w:rsidRDefault="00102C40" w:rsidP="00DF6D46">
      <w:pPr>
        <w:spacing w:line="240" w:lineRule="auto"/>
        <w:contextualSpacing/>
        <w:rPr>
          <w:rFonts w:asciiTheme="minorHAnsi" w:hAnsiTheme="minorHAnsi" w:cstheme="minorHAnsi"/>
          <w:sz w:val="22"/>
        </w:rPr>
      </w:pPr>
      <w:r>
        <w:rPr>
          <w:rFonts w:asciiTheme="minorHAnsi" w:hAnsiTheme="minorHAnsi" w:cstheme="minorHAnsi"/>
          <w:sz w:val="22"/>
        </w:rPr>
        <w:t>Warrant Further Scrutiny</w:t>
      </w:r>
    </w:p>
    <w:p w14:paraId="0C891AA4" w14:textId="7C76AC2E" w:rsidR="00102C40" w:rsidRDefault="00102C40" w:rsidP="00DF6D46">
      <w:pPr>
        <w:spacing w:line="240" w:lineRule="auto"/>
        <w:contextualSpacing/>
        <w:rPr>
          <w:rFonts w:asciiTheme="minorHAnsi" w:hAnsiTheme="minorHAnsi" w:cstheme="minorHAnsi"/>
          <w:sz w:val="22"/>
        </w:rPr>
      </w:pPr>
      <w:r>
        <w:rPr>
          <w:rFonts w:asciiTheme="minorHAnsi" w:hAnsiTheme="minorHAnsi" w:cstheme="minorHAnsi"/>
          <w:sz w:val="22"/>
        </w:rPr>
        <w:t>B</w:t>
      </w:r>
      <w:r w:rsidR="00012261" w:rsidRPr="00165852">
        <w:rPr>
          <w:rFonts w:asciiTheme="minorHAnsi" w:hAnsiTheme="minorHAnsi" w:cstheme="minorHAnsi"/>
          <w:sz w:val="22"/>
        </w:rPr>
        <w:t>asic principles</w:t>
      </w:r>
      <w:r w:rsidR="004F7507" w:rsidRPr="00165852">
        <w:rPr>
          <w:rFonts w:asciiTheme="minorHAnsi" w:hAnsiTheme="minorHAnsi" w:cstheme="minorHAnsi"/>
          <w:sz w:val="22"/>
        </w:rPr>
        <w:t xml:space="preserve"> of </w:t>
      </w:r>
      <w:r w:rsidR="004304F1">
        <w:rPr>
          <w:rFonts w:asciiTheme="minorHAnsi" w:hAnsiTheme="minorHAnsi" w:cstheme="minorHAnsi"/>
          <w:sz w:val="22"/>
        </w:rPr>
        <w:t>t</w:t>
      </w:r>
      <w:r w:rsidR="004F7507" w:rsidRPr="00165852">
        <w:rPr>
          <w:rFonts w:asciiTheme="minorHAnsi" w:hAnsiTheme="minorHAnsi" w:cstheme="minorHAnsi"/>
          <w:sz w:val="22"/>
        </w:rPr>
        <w:t>reaty law</w:t>
      </w:r>
      <w:r>
        <w:rPr>
          <w:rFonts w:asciiTheme="minorHAnsi" w:hAnsiTheme="minorHAnsi" w:cstheme="minorHAnsi"/>
          <w:sz w:val="22"/>
        </w:rPr>
        <w:t xml:space="preserve">, principles of international human rights, and the </w:t>
      </w:r>
      <w:r w:rsidR="009627FD">
        <w:rPr>
          <w:rFonts w:asciiTheme="minorHAnsi" w:hAnsiTheme="minorHAnsi" w:cstheme="minorHAnsi"/>
          <w:sz w:val="22"/>
        </w:rPr>
        <w:t>Martínez</w:t>
      </w:r>
      <w:r w:rsidR="003D41F2">
        <w:rPr>
          <w:rFonts w:asciiTheme="minorHAnsi" w:hAnsiTheme="minorHAnsi" w:cstheme="minorHAnsi"/>
          <w:sz w:val="22"/>
        </w:rPr>
        <w:t xml:space="preserve"> </w:t>
      </w:r>
      <w:r>
        <w:rPr>
          <w:rFonts w:asciiTheme="minorHAnsi" w:hAnsiTheme="minorHAnsi" w:cstheme="minorHAnsi"/>
          <w:sz w:val="22"/>
        </w:rPr>
        <w:t>Report are the basis for EMRIP</w:t>
      </w:r>
      <w:r w:rsidR="00E135CF">
        <w:rPr>
          <w:rFonts w:asciiTheme="minorHAnsi" w:hAnsiTheme="minorHAnsi" w:cstheme="minorHAnsi"/>
          <w:sz w:val="22"/>
        </w:rPr>
        <w:t xml:space="preserve"> to “warrant further scrutiny” of the Treaty.</w:t>
      </w:r>
      <w:r w:rsidR="003D41F2">
        <w:rPr>
          <w:rFonts w:asciiTheme="minorHAnsi" w:hAnsiTheme="minorHAnsi" w:cstheme="minorHAnsi"/>
          <w:sz w:val="22"/>
        </w:rPr>
        <w:t xml:space="preserve"> </w:t>
      </w:r>
      <w:r w:rsidR="00E135CF">
        <w:rPr>
          <w:rFonts w:asciiTheme="minorHAnsi" w:hAnsiTheme="minorHAnsi" w:cstheme="minorHAnsi"/>
          <w:sz w:val="22"/>
        </w:rPr>
        <w:t>This may entail EMRIP creat</w:t>
      </w:r>
      <w:r w:rsidR="00DA39F6">
        <w:rPr>
          <w:rFonts w:asciiTheme="minorHAnsi" w:hAnsiTheme="minorHAnsi" w:cstheme="minorHAnsi"/>
          <w:sz w:val="22"/>
        </w:rPr>
        <w:t>ing</w:t>
      </w:r>
      <w:r w:rsidR="00E135CF">
        <w:rPr>
          <w:rFonts w:asciiTheme="minorHAnsi" w:hAnsiTheme="minorHAnsi" w:cstheme="minorHAnsi"/>
          <w:sz w:val="22"/>
        </w:rPr>
        <w:t xml:space="preserve"> a means by which Mexico and the U.S. are brought together, including representatives of the Chicanos and other indigenous peoples living in the territory encompassed by the Treaty.</w:t>
      </w:r>
      <w:r w:rsidR="003D41F2">
        <w:rPr>
          <w:rFonts w:asciiTheme="minorHAnsi" w:hAnsiTheme="minorHAnsi" w:cstheme="minorHAnsi"/>
          <w:sz w:val="22"/>
        </w:rPr>
        <w:t xml:space="preserve"> </w:t>
      </w:r>
      <w:r w:rsidR="004140CF">
        <w:rPr>
          <w:rFonts w:asciiTheme="minorHAnsi" w:hAnsiTheme="minorHAnsi" w:cstheme="minorHAnsi"/>
          <w:sz w:val="22"/>
        </w:rPr>
        <w:t>Facilitating</w:t>
      </w:r>
      <w:r w:rsidR="00E135CF">
        <w:rPr>
          <w:rFonts w:asciiTheme="minorHAnsi" w:hAnsiTheme="minorHAnsi" w:cstheme="minorHAnsi"/>
          <w:sz w:val="22"/>
        </w:rPr>
        <w:t xml:space="preserve"> </w:t>
      </w:r>
      <w:r w:rsidR="004140CF">
        <w:rPr>
          <w:rFonts w:asciiTheme="minorHAnsi" w:hAnsiTheme="minorHAnsi" w:cstheme="minorHAnsi"/>
          <w:sz w:val="22"/>
        </w:rPr>
        <w:t>such sessions can serve to assess the rights conveyed in the Treaty, how they are to be re-instituted or implemented today.</w:t>
      </w:r>
    </w:p>
    <w:p w14:paraId="7751305D" w14:textId="77777777" w:rsidR="00102C40" w:rsidRDefault="00102C40" w:rsidP="00DF6D46">
      <w:pPr>
        <w:spacing w:line="240" w:lineRule="auto"/>
        <w:contextualSpacing/>
        <w:rPr>
          <w:rFonts w:asciiTheme="minorHAnsi" w:hAnsiTheme="minorHAnsi" w:cstheme="minorHAnsi"/>
          <w:sz w:val="22"/>
        </w:rPr>
      </w:pPr>
    </w:p>
    <w:p w14:paraId="6DBB7C92" w14:textId="4C4CB788" w:rsidR="006D276A" w:rsidRPr="00165852" w:rsidRDefault="00BF0F5D"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Notably, the Expert Seminar on Treaties, Agreements and Other Constructive Arrangements Between States and Indigenous Peoples</w:t>
      </w:r>
      <w:r w:rsidR="006D276A" w:rsidRPr="00165852">
        <w:rPr>
          <w:rFonts w:asciiTheme="minorHAnsi" w:hAnsiTheme="minorHAnsi" w:cstheme="minorHAnsi"/>
          <w:sz w:val="22"/>
        </w:rPr>
        <w:t xml:space="preserve"> (</w:t>
      </w:r>
      <w:r w:rsidR="00D9097C">
        <w:rPr>
          <w:rFonts w:asciiTheme="minorHAnsi" w:hAnsiTheme="minorHAnsi" w:cstheme="minorHAnsi"/>
          <w:sz w:val="22"/>
        </w:rPr>
        <w:t xml:space="preserve">E/CN.4/Sub.2/AC.4/2004/7, </w:t>
      </w:r>
      <w:r w:rsidR="006D276A" w:rsidRPr="00165852">
        <w:rPr>
          <w:rFonts w:asciiTheme="minorHAnsi" w:hAnsiTheme="minorHAnsi" w:cstheme="minorHAnsi"/>
          <w:sz w:val="22"/>
        </w:rPr>
        <w:t>Geneva, 15-17 December 2003) concluded, among other things, that:</w:t>
      </w:r>
      <w:r w:rsidR="004140CF">
        <w:rPr>
          <w:rFonts w:asciiTheme="minorHAnsi" w:hAnsiTheme="minorHAnsi" w:cstheme="minorHAnsi"/>
          <w:sz w:val="22"/>
        </w:rPr>
        <w:t xml:space="preserve"> </w:t>
      </w:r>
      <w:r w:rsidR="006D276A" w:rsidRPr="00165852">
        <w:rPr>
          <w:rFonts w:asciiTheme="minorHAnsi" w:hAnsiTheme="minorHAnsi" w:cstheme="minorHAnsi"/>
          <w:sz w:val="22"/>
        </w:rPr>
        <w:t>The experts note that historical treaties, agreements</w:t>
      </w:r>
      <w:r w:rsidR="000B7D6B" w:rsidRPr="00165852">
        <w:rPr>
          <w:rFonts w:asciiTheme="minorHAnsi" w:hAnsiTheme="minorHAnsi" w:cstheme="minorHAnsi"/>
          <w:sz w:val="22"/>
        </w:rPr>
        <w:t xml:space="preserve"> </w:t>
      </w:r>
      <w:r w:rsidR="006D276A" w:rsidRPr="00165852">
        <w:rPr>
          <w:rFonts w:asciiTheme="minorHAnsi" w:hAnsiTheme="minorHAnsi" w:cstheme="minorHAnsi"/>
          <w:sz w:val="22"/>
        </w:rPr>
        <w:t xml:space="preserve">and other constructive arrangements between States and </w:t>
      </w:r>
      <w:r w:rsidR="00252949" w:rsidRPr="00165852">
        <w:rPr>
          <w:rFonts w:asciiTheme="minorHAnsi" w:hAnsiTheme="minorHAnsi" w:cstheme="minorHAnsi"/>
          <w:sz w:val="22"/>
        </w:rPr>
        <w:t>i</w:t>
      </w:r>
      <w:r w:rsidR="006D276A" w:rsidRPr="00165852">
        <w:rPr>
          <w:rFonts w:asciiTheme="minorHAnsi" w:hAnsiTheme="minorHAnsi" w:cstheme="minorHAnsi"/>
          <w:sz w:val="22"/>
        </w:rPr>
        <w:t xml:space="preserve">ndigenous </w:t>
      </w:r>
      <w:r w:rsidR="00252949" w:rsidRPr="00165852">
        <w:rPr>
          <w:rFonts w:asciiTheme="minorHAnsi" w:hAnsiTheme="minorHAnsi" w:cstheme="minorHAnsi"/>
          <w:sz w:val="22"/>
        </w:rPr>
        <w:t>p</w:t>
      </w:r>
      <w:r w:rsidR="006D276A" w:rsidRPr="00165852">
        <w:rPr>
          <w:rFonts w:asciiTheme="minorHAnsi" w:hAnsiTheme="minorHAnsi" w:cstheme="minorHAnsi"/>
          <w:sz w:val="22"/>
        </w:rPr>
        <w:t xml:space="preserve">eoples should be understood and implemented in accordance with the spirit </w:t>
      </w:r>
      <w:r w:rsidR="000B7D6B" w:rsidRPr="00165852">
        <w:rPr>
          <w:rFonts w:asciiTheme="minorHAnsi" w:hAnsiTheme="minorHAnsi" w:cstheme="minorHAnsi"/>
          <w:sz w:val="22"/>
        </w:rPr>
        <w:t>in which they were agreed upon.</w:t>
      </w:r>
      <w:r w:rsidR="003D41F2">
        <w:rPr>
          <w:rFonts w:asciiTheme="minorHAnsi" w:hAnsiTheme="minorHAnsi" w:cstheme="minorHAnsi"/>
          <w:sz w:val="22"/>
        </w:rPr>
        <w:t xml:space="preserve"> </w:t>
      </w:r>
      <w:r w:rsidR="000B7D6B" w:rsidRPr="00165852">
        <w:rPr>
          <w:rFonts w:asciiTheme="minorHAnsi" w:hAnsiTheme="minorHAnsi" w:cstheme="minorHAnsi"/>
          <w:sz w:val="22"/>
        </w:rPr>
        <w:t xml:space="preserve">The experts also note that treaties, agreements and other constructive arrangements between </w:t>
      </w:r>
      <w:r w:rsidR="00CA0CED" w:rsidRPr="00165852">
        <w:rPr>
          <w:rFonts w:asciiTheme="minorHAnsi" w:hAnsiTheme="minorHAnsi" w:cstheme="minorHAnsi"/>
          <w:sz w:val="22"/>
        </w:rPr>
        <w:t>States and</w:t>
      </w:r>
      <w:r w:rsidR="00CA6937">
        <w:rPr>
          <w:rFonts w:asciiTheme="minorHAnsi" w:hAnsiTheme="minorHAnsi" w:cstheme="minorHAnsi"/>
          <w:sz w:val="22"/>
        </w:rPr>
        <w:t xml:space="preserve"> </w:t>
      </w:r>
      <w:r w:rsidR="00252949" w:rsidRPr="00165852">
        <w:rPr>
          <w:rFonts w:asciiTheme="minorHAnsi" w:hAnsiTheme="minorHAnsi" w:cstheme="minorHAnsi"/>
          <w:sz w:val="22"/>
        </w:rPr>
        <w:t>i</w:t>
      </w:r>
      <w:r w:rsidR="00CA0CED" w:rsidRPr="00165852">
        <w:rPr>
          <w:rFonts w:asciiTheme="minorHAnsi" w:hAnsiTheme="minorHAnsi" w:cstheme="minorHAnsi"/>
          <w:sz w:val="22"/>
        </w:rPr>
        <w:t xml:space="preserve">ndigenous </w:t>
      </w:r>
      <w:r w:rsidR="00252949" w:rsidRPr="00165852">
        <w:rPr>
          <w:rFonts w:asciiTheme="minorHAnsi" w:hAnsiTheme="minorHAnsi" w:cstheme="minorHAnsi"/>
          <w:sz w:val="22"/>
        </w:rPr>
        <w:t>p</w:t>
      </w:r>
      <w:r w:rsidR="00CA0CED" w:rsidRPr="00165852">
        <w:rPr>
          <w:rFonts w:asciiTheme="minorHAnsi" w:hAnsiTheme="minorHAnsi" w:cstheme="minorHAnsi"/>
          <w:sz w:val="22"/>
        </w:rPr>
        <w:t>eoples have not been respected</w:t>
      </w:r>
      <w:r w:rsidR="00CD17FB" w:rsidRPr="00165852">
        <w:rPr>
          <w:rFonts w:asciiTheme="minorHAnsi" w:hAnsiTheme="minorHAnsi" w:cstheme="minorHAnsi"/>
          <w:sz w:val="22"/>
        </w:rPr>
        <w:t xml:space="preserve">, leading to </w:t>
      </w:r>
      <w:r w:rsidR="004140CF">
        <w:rPr>
          <w:rFonts w:asciiTheme="minorHAnsi" w:hAnsiTheme="minorHAnsi" w:cstheme="minorHAnsi"/>
          <w:sz w:val="22"/>
        </w:rPr>
        <w:t xml:space="preserve">the </w:t>
      </w:r>
      <w:r w:rsidR="00CD17FB" w:rsidRPr="00165852">
        <w:rPr>
          <w:rFonts w:asciiTheme="minorHAnsi" w:hAnsiTheme="minorHAnsi" w:cstheme="minorHAnsi"/>
          <w:sz w:val="22"/>
        </w:rPr>
        <w:t>loss of lands, resources, and rights.</w:t>
      </w:r>
      <w:r w:rsidR="003D41F2">
        <w:rPr>
          <w:rFonts w:asciiTheme="minorHAnsi" w:hAnsiTheme="minorHAnsi" w:cstheme="minorHAnsi"/>
          <w:sz w:val="22"/>
        </w:rPr>
        <w:t xml:space="preserve"> </w:t>
      </w:r>
      <w:r w:rsidR="00CD17FB" w:rsidRPr="00165852">
        <w:rPr>
          <w:rFonts w:asciiTheme="minorHAnsi" w:hAnsiTheme="minorHAnsi" w:cstheme="minorHAnsi"/>
          <w:sz w:val="22"/>
        </w:rPr>
        <w:t xml:space="preserve">That non-implementation threatens </w:t>
      </w:r>
      <w:r w:rsidR="00252949" w:rsidRPr="00165852">
        <w:rPr>
          <w:rFonts w:asciiTheme="minorHAnsi" w:hAnsiTheme="minorHAnsi" w:cstheme="minorHAnsi"/>
          <w:sz w:val="22"/>
        </w:rPr>
        <w:t>i</w:t>
      </w:r>
      <w:r w:rsidR="00CD17FB" w:rsidRPr="00165852">
        <w:rPr>
          <w:rFonts w:asciiTheme="minorHAnsi" w:hAnsiTheme="minorHAnsi" w:cstheme="minorHAnsi"/>
          <w:sz w:val="22"/>
        </w:rPr>
        <w:t xml:space="preserve">ndigenous </w:t>
      </w:r>
      <w:r w:rsidR="00252949" w:rsidRPr="00165852">
        <w:rPr>
          <w:rFonts w:asciiTheme="minorHAnsi" w:hAnsiTheme="minorHAnsi" w:cstheme="minorHAnsi"/>
          <w:sz w:val="22"/>
        </w:rPr>
        <w:t>p</w:t>
      </w:r>
      <w:r w:rsidR="00CD17FB" w:rsidRPr="00165852">
        <w:rPr>
          <w:rFonts w:asciiTheme="minorHAnsi" w:hAnsiTheme="minorHAnsi" w:cstheme="minorHAnsi"/>
          <w:sz w:val="22"/>
        </w:rPr>
        <w:t>eoples’ survival</w:t>
      </w:r>
      <w:r w:rsidR="00940905" w:rsidRPr="00165852">
        <w:rPr>
          <w:rFonts w:asciiTheme="minorHAnsi" w:hAnsiTheme="minorHAnsi" w:cstheme="minorHAnsi"/>
          <w:sz w:val="22"/>
        </w:rPr>
        <w:t xml:space="preserve"> as distinct peoples.</w:t>
      </w:r>
      <w:r w:rsidR="003D41F2">
        <w:rPr>
          <w:rFonts w:asciiTheme="minorHAnsi" w:hAnsiTheme="minorHAnsi" w:cstheme="minorHAnsi"/>
          <w:sz w:val="22"/>
        </w:rPr>
        <w:t xml:space="preserve"> </w:t>
      </w:r>
    </w:p>
    <w:p w14:paraId="7EC977A5" w14:textId="77777777" w:rsidR="004140CF" w:rsidRDefault="00940905"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ab/>
      </w:r>
    </w:p>
    <w:p w14:paraId="258E859E" w14:textId="3B2C3784" w:rsidR="004140CF" w:rsidRDefault="004140CF" w:rsidP="00DF6D46">
      <w:pPr>
        <w:spacing w:line="240" w:lineRule="auto"/>
        <w:contextualSpacing/>
        <w:rPr>
          <w:rFonts w:asciiTheme="minorHAnsi" w:hAnsiTheme="minorHAnsi" w:cstheme="minorHAnsi"/>
          <w:sz w:val="22"/>
        </w:rPr>
      </w:pPr>
      <w:r>
        <w:rPr>
          <w:rFonts w:asciiTheme="minorHAnsi" w:hAnsiTheme="minorHAnsi" w:cstheme="minorHAnsi"/>
          <w:sz w:val="22"/>
        </w:rPr>
        <w:t>Free, Prior, and Informed Consent (FPIC)</w:t>
      </w:r>
    </w:p>
    <w:p w14:paraId="662FC775" w14:textId="3F8C28B8" w:rsidR="00532D02" w:rsidRDefault="004140CF" w:rsidP="00DF6D46">
      <w:pPr>
        <w:spacing w:line="240" w:lineRule="auto"/>
        <w:contextualSpacing/>
        <w:rPr>
          <w:rFonts w:asciiTheme="minorHAnsi" w:hAnsiTheme="minorHAnsi" w:cstheme="minorHAnsi"/>
          <w:sz w:val="22"/>
        </w:rPr>
      </w:pPr>
      <w:r>
        <w:rPr>
          <w:rFonts w:asciiTheme="minorHAnsi" w:hAnsiTheme="minorHAnsi" w:cstheme="minorHAnsi"/>
          <w:sz w:val="22"/>
        </w:rPr>
        <w:t>Al</w:t>
      </w:r>
      <w:r w:rsidR="00940905" w:rsidRPr="00165852">
        <w:rPr>
          <w:rFonts w:asciiTheme="minorHAnsi" w:hAnsiTheme="minorHAnsi" w:cstheme="minorHAnsi"/>
          <w:sz w:val="22"/>
        </w:rPr>
        <w:t xml:space="preserve">though the Treaty is a bilateral agreement between Mexico and the </w:t>
      </w:r>
      <w:r w:rsidR="00A33399">
        <w:rPr>
          <w:rFonts w:asciiTheme="minorHAnsi" w:hAnsiTheme="minorHAnsi" w:cstheme="minorHAnsi"/>
          <w:sz w:val="22"/>
        </w:rPr>
        <w:t>U.S.</w:t>
      </w:r>
      <w:r w:rsidR="00940905" w:rsidRPr="00165852">
        <w:rPr>
          <w:rFonts w:asciiTheme="minorHAnsi" w:hAnsiTheme="minorHAnsi" w:cstheme="minorHAnsi"/>
          <w:sz w:val="22"/>
        </w:rPr>
        <w:t xml:space="preserve">, it includes articles and provisions about </w:t>
      </w:r>
      <w:r w:rsidR="00252949" w:rsidRPr="00165852">
        <w:rPr>
          <w:rFonts w:asciiTheme="minorHAnsi" w:hAnsiTheme="minorHAnsi" w:cstheme="minorHAnsi"/>
          <w:sz w:val="22"/>
        </w:rPr>
        <w:t>i</w:t>
      </w:r>
      <w:r w:rsidR="00940905" w:rsidRPr="00165852">
        <w:rPr>
          <w:rFonts w:asciiTheme="minorHAnsi" w:hAnsiTheme="minorHAnsi" w:cstheme="minorHAnsi"/>
          <w:sz w:val="22"/>
        </w:rPr>
        <w:t xml:space="preserve">ndigenous </w:t>
      </w:r>
      <w:r w:rsidR="00252949" w:rsidRPr="00165852">
        <w:rPr>
          <w:rFonts w:asciiTheme="minorHAnsi" w:hAnsiTheme="minorHAnsi" w:cstheme="minorHAnsi"/>
          <w:sz w:val="22"/>
        </w:rPr>
        <w:t>p</w:t>
      </w:r>
      <w:r w:rsidR="00940905" w:rsidRPr="00165852">
        <w:rPr>
          <w:rFonts w:asciiTheme="minorHAnsi" w:hAnsiTheme="minorHAnsi" w:cstheme="minorHAnsi"/>
          <w:sz w:val="22"/>
        </w:rPr>
        <w:t>eoples negotiated without consultation.</w:t>
      </w:r>
      <w:r w:rsidR="003D41F2">
        <w:rPr>
          <w:rFonts w:asciiTheme="minorHAnsi" w:hAnsiTheme="minorHAnsi" w:cstheme="minorHAnsi"/>
          <w:sz w:val="22"/>
        </w:rPr>
        <w:t xml:space="preserve"> </w:t>
      </w:r>
      <w:r w:rsidR="00940905" w:rsidRPr="00165852">
        <w:rPr>
          <w:rFonts w:asciiTheme="minorHAnsi" w:hAnsiTheme="minorHAnsi" w:cstheme="minorHAnsi"/>
          <w:sz w:val="22"/>
        </w:rPr>
        <w:t xml:space="preserve">Thus, the caution expressed by the Expert Seminar suggests that greater harm could result where </w:t>
      </w:r>
      <w:r w:rsidR="00252949" w:rsidRPr="00165852">
        <w:rPr>
          <w:rFonts w:asciiTheme="minorHAnsi" w:hAnsiTheme="minorHAnsi" w:cstheme="minorHAnsi"/>
          <w:sz w:val="22"/>
        </w:rPr>
        <w:t>i</w:t>
      </w:r>
      <w:r w:rsidR="00940905" w:rsidRPr="00165852">
        <w:rPr>
          <w:rFonts w:asciiTheme="minorHAnsi" w:hAnsiTheme="minorHAnsi" w:cstheme="minorHAnsi"/>
          <w:sz w:val="22"/>
        </w:rPr>
        <w:t xml:space="preserve">ndigenous </w:t>
      </w:r>
      <w:r w:rsidR="00252949" w:rsidRPr="00165852">
        <w:rPr>
          <w:rFonts w:asciiTheme="minorHAnsi" w:hAnsiTheme="minorHAnsi" w:cstheme="minorHAnsi"/>
          <w:sz w:val="22"/>
        </w:rPr>
        <w:t>p</w:t>
      </w:r>
      <w:r w:rsidR="00940905" w:rsidRPr="00165852">
        <w:rPr>
          <w:rFonts w:asciiTheme="minorHAnsi" w:hAnsiTheme="minorHAnsi" w:cstheme="minorHAnsi"/>
          <w:sz w:val="22"/>
        </w:rPr>
        <w:t>eoples were ignored or silenced.</w:t>
      </w:r>
      <w:r w:rsidR="003D41F2">
        <w:rPr>
          <w:rFonts w:asciiTheme="minorHAnsi" w:hAnsiTheme="minorHAnsi" w:cstheme="minorHAnsi"/>
          <w:sz w:val="22"/>
        </w:rPr>
        <w:t xml:space="preserve"> </w:t>
      </w:r>
      <w:r w:rsidR="00940905" w:rsidRPr="00165852">
        <w:rPr>
          <w:rFonts w:asciiTheme="minorHAnsi" w:hAnsiTheme="minorHAnsi" w:cstheme="minorHAnsi"/>
          <w:sz w:val="22"/>
        </w:rPr>
        <w:t>Of the more than 400 treaties the U</w:t>
      </w:r>
      <w:r>
        <w:rPr>
          <w:rFonts w:asciiTheme="minorHAnsi" w:hAnsiTheme="minorHAnsi" w:cstheme="minorHAnsi"/>
          <w:sz w:val="22"/>
        </w:rPr>
        <w:t>.S.</w:t>
      </w:r>
      <w:r w:rsidR="00940905" w:rsidRPr="00165852">
        <w:rPr>
          <w:rFonts w:asciiTheme="minorHAnsi" w:hAnsiTheme="minorHAnsi" w:cstheme="minorHAnsi"/>
          <w:sz w:val="22"/>
        </w:rPr>
        <w:t xml:space="preserve"> has signed with</w:t>
      </w:r>
      <w:r w:rsidR="00252949" w:rsidRPr="00165852">
        <w:rPr>
          <w:rFonts w:asciiTheme="minorHAnsi" w:hAnsiTheme="minorHAnsi" w:cstheme="minorHAnsi"/>
          <w:sz w:val="22"/>
        </w:rPr>
        <w:t xml:space="preserve"> indigenous peoples, the Treaty may be the only one of its kind that lacked indigenous peoples’ </w:t>
      </w:r>
      <w:r w:rsidR="005D3449">
        <w:rPr>
          <w:rFonts w:asciiTheme="minorHAnsi" w:hAnsiTheme="minorHAnsi" w:cstheme="minorHAnsi"/>
          <w:sz w:val="22"/>
        </w:rPr>
        <w:t>consultatio</w:t>
      </w:r>
      <w:r w:rsidR="00252949" w:rsidRPr="00165852">
        <w:rPr>
          <w:rFonts w:asciiTheme="minorHAnsi" w:hAnsiTheme="minorHAnsi" w:cstheme="minorHAnsi"/>
          <w:sz w:val="22"/>
        </w:rPr>
        <w:t>n when it was negotiated.</w:t>
      </w:r>
      <w:r w:rsidR="003D41F2">
        <w:rPr>
          <w:rFonts w:asciiTheme="minorHAnsi" w:hAnsiTheme="minorHAnsi" w:cstheme="minorHAnsi"/>
          <w:sz w:val="22"/>
        </w:rPr>
        <w:t xml:space="preserve"> </w:t>
      </w:r>
      <w:r w:rsidR="005D3449">
        <w:rPr>
          <w:rFonts w:asciiTheme="minorHAnsi" w:hAnsiTheme="minorHAnsi" w:cstheme="minorHAnsi"/>
          <w:sz w:val="22"/>
        </w:rPr>
        <w:t>Similarly, t</w:t>
      </w:r>
      <w:r w:rsidR="00252949" w:rsidRPr="00165852">
        <w:rPr>
          <w:rFonts w:asciiTheme="minorHAnsi" w:hAnsiTheme="minorHAnsi" w:cstheme="minorHAnsi"/>
          <w:sz w:val="22"/>
        </w:rPr>
        <w:t>he Jay Treaty involved the U</w:t>
      </w:r>
      <w:r w:rsidR="005D3449">
        <w:rPr>
          <w:rFonts w:asciiTheme="minorHAnsi" w:hAnsiTheme="minorHAnsi" w:cstheme="minorHAnsi"/>
          <w:sz w:val="22"/>
        </w:rPr>
        <w:t>.S.</w:t>
      </w:r>
      <w:r w:rsidR="00252949" w:rsidRPr="00165852">
        <w:rPr>
          <w:rFonts w:asciiTheme="minorHAnsi" w:hAnsiTheme="minorHAnsi" w:cstheme="minorHAnsi"/>
          <w:sz w:val="22"/>
        </w:rPr>
        <w:t xml:space="preserve"> and Canada and granted certain rights</w:t>
      </w:r>
      <w:r w:rsidR="00C915D5" w:rsidRPr="00165852">
        <w:rPr>
          <w:rFonts w:asciiTheme="minorHAnsi" w:hAnsiTheme="minorHAnsi" w:cstheme="minorHAnsi"/>
          <w:sz w:val="22"/>
        </w:rPr>
        <w:t xml:space="preserve"> of passage and commerce to the “natives</w:t>
      </w:r>
      <w:r w:rsidR="00DA39F6">
        <w:rPr>
          <w:rFonts w:asciiTheme="minorHAnsi" w:hAnsiTheme="minorHAnsi" w:cstheme="minorHAnsi"/>
          <w:sz w:val="22"/>
        </w:rPr>
        <w:t>,</w:t>
      </w:r>
      <w:r w:rsidR="00C915D5" w:rsidRPr="00165852">
        <w:rPr>
          <w:rFonts w:asciiTheme="minorHAnsi" w:hAnsiTheme="minorHAnsi" w:cstheme="minorHAnsi"/>
          <w:sz w:val="22"/>
        </w:rPr>
        <w:t xml:space="preserve">” but did </w:t>
      </w:r>
      <w:r w:rsidR="005D3449">
        <w:rPr>
          <w:rFonts w:asciiTheme="minorHAnsi" w:hAnsiTheme="minorHAnsi" w:cstheme="minorHAnsi"/>
          <w:sz w:val="22"/>
        </w:rPr>
        <w:t>resolve an armed conflict.</w:t>
      </w:r>
    </w:p>
    <w:p w14:paraId="76AFDD01" w14:textId="77777777" w:rsidR="00532D02" w:rsidRDefault="00532D02" w:rsidP="00DF6D46">
      <w:pPr>
        <w:spacing w:line="240" w:lineRule="auto"/>
        <w:contextualSpacing/>
        <w:rPr>
          <w:rFonts w:asciiTheme="minorHAnsi" w:hAnsiTheme="minorHAnsi" w:cstheme="minorHAnsi"/>
          <w:sz w:val="22"/>
        </w:rPr>
      </w:pPr>
    </w:p>
    <w:p w14:paraId="3AE6FD5C" w14:textId="79D5E1B7" w:rsidR="00C915D5" w:rsidRPr="00165852" w:rsidRDefault="00C915D5" w:rsidP="00DF6D46">
      <w:pPr>
        <w:spacing w:line="240" w:lineRule="auto"/>
        <w:contextualSpacing/>
        <w:rPr>
          <w:rFonts w:asciiTheme="minorHAnsi" w:hAnsiTheme="minorHAnsi" w:cstheme="minorHAnsi"/>
          <w:sz w:val="22"/>
        </w:rPr>
      </w:pPr>
      <w:r w:rsidRPr="00165852">
        <w:rPr>
          <w:rFonts w:asciiTheme="minorHAnsi" w:hAnsiTheme="minorHAnsi" w:cstheme="minorHAnsi"/>
          <w:sz w:val="22"/>
        </w:rPr>
        <w:t>The Treaty is notable</w:t>
      </w:r>
      <w:r w:rsidR="00DD6686">
        <w:rPr>
          <w:rFonts w:asciiTheme="minorHAnsi" w:hAnsiTheme="minorHAnsi" w:cstheme="minorHAnsi"/>
          <w:sz w:val="22"/>
        </w:rPr>
        <w:t xml:space="preserve"> for</w:t>
      </w:r>
      <w:r w:rsidRPr="00165852">
        <w:rPr>
          <w:rFonts w:asciiTheme="minorHAnsi" w:hAnsiTheme="minorHAnsi" w:cstheme="minorHAnsi"/>
          <w:sz w:val="22"/>
        </w:rPr>
        <w:t xml:space="preserve"> the following factors:</w:t>
      </w:r>
    </w:p>
    <w:p w14:paraId="21AB7AF3" w14:textId="7B60FE6E" w:rsidR="0085192E" w:rsidRPr="000903B9" w:rsidRDefault="00C915D5" w:rsidP="008A689A">
      <w:pPr>
        <w:pStyle w:val="ListParagraph"/>
        <w:numPr>
          <w:ilvl w:val="0"/>
          <w:numId w:val="1"/>
        </w:numPr>
        <w:spacing w:line="240" w:lineRule="auto"/>
        <w:rPr>
          <w:rFonts w:asciiTheme="minorHAnsi" w:hAnsiTheme="minorHAnsi" w:cstheme="minorHAnsi"/>
          <w:sz w:val="22"/>
        </w:rPr>
      </w:pPr>
      <w:r w:rsidRPr="0085192E">
        <w:rPr>
          <w:rFonts w:asciiTheme="minorHAnsi" w:hAnsiTheme="minorHAnsi" w:cstheme="minorHAnsi"/>
          <w:sz w:val="22"/>
        </w:rPr>
        <w:t xml:space="preserve">The Treaty is a living international document, in </w:t>
      </w:r>
      <w:r w:rsidR="00DD6686" w:rsidRPr="0085192E">
        <w:rPr>
          <w:rFonts w:asciiTheme="minorHAnsi" w:hAnsiTheme="minorHAnsi" w:cstheme="minorHAnsi"/>
          <w:sz w:val="22"/>
        </w:rPr>
        <w:t xml:space="preserve">full </w:t>
      </w:r>
      <w:r w:rsidRPr="0085192E">
        <w:rPr>
          <w:rFonts w:asciiTheme="minorHAnsi" w:hAnsiTheme="minorHAnsi" w:cstheme="minorHAnsi"/>
          <w:sz w:val="22"/>
        </w:rPr>
        <w:t>force</w:t>
      </w:r>
      <w:r w:rsidR="00DD6686" w:rsidRPr="0085192E">
        <w:rPr>
          <w:rFonts w:asciiTheme="minorHAnsi" w:hAnsiTheme="minorHAnsi" w:cstheme="minorHAnsi"/>
          <w:sz w:val="22"/>
        </w:rPr>
        <w:t xml:space="preserve"> and effect</w:t>
      </w:r>
      <w:r w:rsidRPr="0085192E">
        <w:rPr>
          <w:rFonts w:asciiTheme="minorHAnsi" w:hAnsiTheme="minorHAnsi" w:cstheme="minorHAnsi"/>
          <w:sz w:val="22"/>
        </w:rPr>
        <w:t xml:space="preserve">, </w:t>
      </w:r>
      <w:r w:rsidR="00DD6686" w:rsidRPr="0085192E">
        <w:rPr>
          <w:rFonts w:asciiTheme="minorHAnsi" w:hAnsiTheme="minorHAnsi" w:cstheme="minorHAnsi"/>
          <w:sz w:val="22"/>
        </w:rPr>
        <w:t>explicitly protecting certain human rights of indigenous peoples.</w:t>
      </w:r>
      <w:r w:rsidR="003D41F2" w:rsidRPr="0085192E">
        <w:rPr>
          <w:rFonts w:asciiTheme="minorHAnsi" w:hAnsiTheme="minorHAnsi" w:cstheme="minorHAnsi"/>
          <w:sz w:val="22"/>
        </w:rPr>
        <w:t xml:space="preserve"> </w:t>
      </w:r>
      <w:r w:rsidR="00DD6686" w:rsidRPr="0085192E">
        <w:rPr>
          <w:rFonts w:asciiTheme="minorHAnsi" w:hAnsiTheme="minorHAnsi" w:cstheme="minorHAnsi"/>
          <w:sz w:val="22"/>
        </w:rPr>
        <w:t xml:space="preserve">Numerous cases involving indigenous peoples’ rights to religious, cultural, and traditional freedoms and practices; land rights including access to communal grazing areas, water access, and property ownership based on Spanish and Mexican land grants; and boundary claims related to the border between the U.S. and Mexico have been adjudicated for decades </w:t>
      </w:r>
      <w:r w:rsidR="00DD6686" w:rsidRPr="0085192E">
        <w:rPr>
          <w:rFonts w:asciiTheme="minorHAnsi" w:hAnsiTheme="minorHAnsi" w:cstheme="minorHAnsi"/>
          <w:color w:val="222222"/>
          <w:sz w:val="18"/>
          <w:szCs w:val="18"/>
        </w:rPr>
        <w:t xml:space="preserve">(see </w:t>
      </w:r>
      <w:proofErr w:type="spellStart"/>
      <w:r w:rsidR="00DD6686" w:rsidRPr="0085192E">
        <w:rPr>
          <w:rFonts w:asciiTheme="minorHAnsi" w:hAnsiTheme="minorHAnsi" w:cstheme="minorHAnsi"/>
          <w:i/>
          <w:iCs/>
          <w:color w:val="222222"/>
          <w:sz w:val="18"/>
          <w:szCs w:val="18"/>
        </w:rPr>
        <w:t>Botiller</w:t>
      </w:r>
      <w:proofErr w:type="spellEnd"/>
      <w:r w:rsidR="00DD6686" w:rsidRPr="0085192E">
        <w:rPr>
          <w:rFonts w:asciiTheme="minorHAnsi" w:hAnsiTheme="minorHAnsi" w:cstheme="minorHAnsi"/>
          <w:i/>
          <w:iCs/>
          <w:color w:val="222222"/>
          <w:sz w:val="18"/>
          <w:szCs w:val="18"/>
        </w:rPr>
        <w:t xml:space="preserve"> v Dominguez</w:t>
      </w:r>
      <w:r w:rsidR="00DD6686" w:rsidRPr="0085192E">
        <w:rPr>
          <w:rFonts w:asciiTheme="minorHAnsi" w:hAnsiTheme="minorHAnsi" w:cstheme="minorHAnsi"/>
          <w:color w:val="222222"/>
          <w:sz w:val="18"/>
          <w:szCs w:val="18"/>
        </w:rPr>
        <w:t xml:space="preserve"> 130 U.S. 238(1889) Supreme Court holding contradicting previous legal precedent in relation to treaty law</w:t>
      </w:r>
      <w:r w:rsidR="00A33399" w:rsidRPr="0085192E">
        <w:rPr>
          <w:rFonts w:asciiTheme="minorHAnsi" w:hAnsiTheme="minorHAnsi" w:cstheme="minorHAnsi"/>
          <w:color w:val="222222"/>
          <w:sz w:val="18"/>
          <w:szCs w:val="18"/>
        </w:rPr>
        <w:t>;</w:t>
      </w:r>
      <w:r w:rsidR="00DD6686" w:rsidRPr="0085192E">
        <w:rPr>
          <w:rFonts w:asciiTheme="minorHAnsi" w:hAnsiTheme="minorHAnsi" w:cstheme="minorHAnsi"/>
          <w:color w:val="222222"/>
          <w:sz w:val="18"/>
          <w:szCs w:val="18"/>
        </w:rPr>
        <w:t xml:space="preserve"> </w:t>
      </w:r>
      <w:r w:rsidR="00A33399" w:rsidRPr="0085192E">
        <w:rPr>
          <w:rFonts w:asciiTheme="minorHAnsi" w:hAnsiTheme="minorHAnsi" w:cstheme="minorHAnsi"/>
          <w:color w:val="222222"/>
          <w:sz w:val="18"/>
          <w:szCs w:val="18"/>
        </w:rPr>
        <w:t>s</w:t>
      </w:r>
      <w:r w:rsidR="00DD6686" w:rsidRPr="0085192E">
        <w:rPr>
          <w:rFonts w:asciiTheme="minorHAnsi" w:hAnsiTheme="minorHAnsi" w:cstheme="minorHAnsi"/>
          <w:color w:val="222222"/>
          <w:sz w:val="18"/>
          <w:szCs w:val="18"/>
        </w:rPr>
        <w:t>ee also United States v. Julian Sandoval 167 U.S.278(1897) U.S. Supreme Court ruled against land grant heirs in relation to communal land holdings</w:t>
      </w:r>
      <w:r w:rsidR="00A33399" w:rsidRPr="0085192E">
        <w:rPr>
          <w:rFonts w:asciiTheme="minorHAnsi" w:hAnsiTheme="minorHAnsi" w:cstheme="minorHAnsi"/>
          <w:color w:val="222222"/>
          <w:sz w:val="18"/>
          <w:szCs w:val="18"/>
        </w:rPr>
        <w:t>; s</w:t>
      </w:r>
      <w:r w:rsidR="00DD6686" w:rsidRPr="0085192E">
        <w:rPr>
          <w:rFonts w:asciiTheme="minorHAnsi" w:hAnsiTheme="minorHAnsi" w:cstheme="minorHAnsi"/>
          <w:color w:val="222222"/>
          <w:sz w:val="18"/>
          <w:szCs w:val="18"/>
        </w:rPr>
        <w:t>ee</w:t>
      </w:r>
      <w:r w:rsidR="00A33399" w:rsidRPr="0085192E">
        <w:rPr>
          <w:rFonts w:asciiTheme="minorHAnsi" w:hAnsiTheme="minorHAnsi" w:cstheme="minorHAnsi"/>
          <w:color w:val="222222"/>
          <w:sz w:val="18"/>
          <w:szCs w:val="18"/>
        </w:rPr>
        <w:t xml:space="preserve"> also</w:t>
      </w:r>
      <w:r w:rsidR="00DD6686" w:rsidRPr="0085192E">
        <w:rPr>
          <w:rFonts w:asciiTheme="minorHAnsi" w:hAnsiTheme="minorHAnsi" w:cstheme="minorHAnsi"/>
          <w:color w:val="222222"/>
          <w:sz w:val="18"/>
          <w:szCs w:val="18"/>
        </w:rPr>
        <w:t xml:space="preserve"> United States v. Abeyta holding that the Treaty of Guadalupe Hidalgo protected Indians in the free exercise of their religion</w:t>
      </w:r>
      <w:r w:rsidR="00A33399" w:rsidRPr="0085192E">
        <w:rPr>
          <w:rFonts w:asciiTheme="minorHAnsi" w:hAnsiTheme="minorHAnsi" w:cstheme="minorHAnsi"/>
          <w:color w:val="222222"/>
          <w:sz w:val="18"/>
          <w:szCs w:val="18"/>
        </w:rPr>
        <w:t>; s</w:t>
      </w:r>
      <w:r w:rsidR="00DD6686" w:rsidRPr="0085192E">
        <w:rPr>
          <w:rFonts w:asciiTheme="minorHAnsi" w:hAnsiTheme="minorHAnsi" w:cstheme="minorHAnsi"/>
          <w:color w:val="222222"/>
          <w:sz w:val="18"/>
          <w:szCs w:val="18"/>
        </w:rPr>
        <w:t xml:space="preserve">ee also Havasupai Tribe v. United States 752 F.Supp.1471 (District Court Arizona) 1990 Denying that the Treaty provided any other rights to the religious protections of Indian people other than that provided by US Constitution. For further legal cases on the Treaty see APPENDIX </w:t>
      </w:r>
      <w:r w:rsidR="0085192E" w:rsidRPr="0085192E">
        <w:rPr>
          <w:rFonts w:asciiTheme="minorHAnsi" w:hAnsiTheme="minorHAnsi" w:cstheme="minorHAnsi"/>
          <w:color w:val="222222"/>
          <w:sz w:val="18"/>
          <w:szCs w:val="18"/>
        </w:rPr>
        <w:t>A</w:t>
      </w:r>
      <w:r w:rsidR="00DD6686" w:rsidRPr="0085192E">
        <w:rPr>
          <w:rFonts w:asciiTheme="minorHAnsi" w:hAnsiTheme="minorHAnsi" w:cstheme="minorHAnsi"/>
          <w:color w:val="222222"/>
          <w:sz w:val="18"/>
          <w:szCs w:val="18"/>
        </w:rPr>
        <w:t>.</w:t>
      </w:r>
    </w:p>
    <w:p w14:paraId="530DB0DB" w14:textId="77777777" w:rsidR="000903B9" w:rsidRPr="008A689A" w:rsidRDefault="000903B9" w:rsidP="000903B9">
      <w:pPr>
        <w:pStyle w:val="ListParagraph"/>
        <w:spacing w:line="240" w:lineRule="auto"/>
        <w:rPr>
          <w:rFonts w:asciiTheme="minorHAnsi" w:hAnsiTheme="minorHAnsi" w:cstheme="minorHAnsi"/>
          <w:sz w:val="22"/>
        </w:rPr>
      </w:pPr>
    </w:p>
    <w:p w14:paraId="6B4625A1" w14:textId="77777777" w:rsidR="0085192E" w:rsidRPr="0085192E" w:rsidRDefault="0085192E" w:rsidP="008A689A">
      <w:pPr>
        <w:pStyle w:val="ListParagraph"/>
        <w:numPr>
          <w:ilvl w:val="0"/>
          <w:numId w:val="1"/>
        </w:numPr>
        <w:spacing w:before="120" w:line="240" w:lineRule="auto"/>
        <w:rPr>
          <w:rFonts w:asciiTheme="minorHAnsi" w:hAnsiTheme="minorHAnsi" w:cstheme="minorHAnsi"/>
          <w:sz w:val="18"/>
          <w:szCs w:val="18"/>
          <w:shd w:val="clear" w:color="auto" w:fill="FFFFFF"/>
        </w:rPr>
      </w:pPr>
      <w:r w:rsidRPr="0085192E">
        <w:rPr>
          <w:rFonts w:ascii="Calibri" w:eastAsia="Times New Roman" w:hAnsi="Calibri" w:cs="Calibri"/>
          <w:color w:val="000000"/>
          <w:sz w:val="22"/>
        </w:rPr>
        <w:t xml:space="preserve">The Treaty complies with the implied reference to human rights protections in the founding documents of both the U.S. and Mexico, and other Treaty and international agreements of the time which can be traced to the present-day system and practice of international law which formally recognize the principles of human rights, that is, rights which adhere to the human person by their nature as opposed to rights which are protected by reason of place of birth </w:t>
      </w:r>
      <w:r w:rsidRPr="0085192E">
        <w:rPr>
          <w:rFonts w:ascii="Calibri" w:eastAsia="Times New Roman" w:hAnsi="Calibri" w:cs="Calibri"/>
          <w:color w:val="000000"/>
          <w:sz w:val="18"/>
          <w:szCs w:val="18"/>
        </w:rPr>
        <w:t xml:space="preserve">( see a copy of The Treaty of Guadalupe Hidalgo and its Modern Implications for the Rights of Mexican Americans, Treatise by Armando Rendón, The American University Law School, 1982, at </w:t>
      </w:r>
      <w:hyperlink r:id="rId11" w:history="1">
        <w:r w:rsidRPr="00BB2010">
          <w:rPr>
            <w:rStyle w:val="Hyperlink"/>
            <w:rFonts w:asciiTheme="minorHAnsi" w:hAnsiTheme="minorHAnsi" w:cstheme="minorHAnsi"/>
            <w:color w:val="000000" w:themeColor="text1"/>
            <w:sz w:val="18"/>
            <w:szCs w:val="18"/>
            <w:u w:val="none"/>
            <w:shd w:val="clear" w:color="auto" w:fill="FFFFFF"/>
          </w:rPr>
          <w:t>https://docs.google.com/document/d/e/2PACX-1vT2Xbbr-91QkFprPidNaTk9fWEDHIWWukpsbrwjmTO52YCBP6lrAvlLQ2XTRAYEEjceaXUyZWwseaNd/pub</w:t>
        </w:r>
      </w:hyperlink>
      <w:r w:rsidRPr="00BB2010">
        <w:rPr>
          <w:rFonts w:asciiTheme="minorHAnsi" w:hAnsiTheme="minorHAnsi" w:cstheme="minorHAnsi"/>
          <w:color w:val="000000" w:themeColor="text1"/>
          <w:sz w:val="18"/>
          <w:szCs w:val="18"/>
          <w:shd w:val="clear" w:color="auto" w:fill="FFFFFF"/>
        </w:rPr>
        <w:t>)</w:t>
      </w:r>
    </w:p>
    <w:p w14:paraId="562B92C3" w14:textId="77777777" w:rsidR="0085192E" w:rsidRDefault="0085192E" w:rsidP="0085192E">
      <w:pPr>
        <w:numPr>
          <w:ilvl w:val="0"/>
          <w:numId w:val="1"/>
        </w:numPr>
        <w:pBdr>
          <w:top w:val="nil"/>
          <w:left w:val="nil"/>
          <w:bottom w:val="nil"/>
          <w:right w:val="nil"/>
          <w:between w:val="nil"/>
        </w:pBdr>
        <w:spacing w:line="240" w:lineRule="auto"/>
        <w:rPr>
          <w:rFonts w:ascii="Calibri" w:eastAsia="Calibri" w:hAnsi="Calibri" w:cs="Calibri"/>
          <w:color w:val="000000"/>
          <w:sz w:val="22"/>
        </w:rPr>
      </w:pPr>
      <w:r>
        <w:rPr>
          <w:rFonts w:ascii="Calibri" w:eastAsia="Calibri" w:hAnsi="Calibri" w:cs="Calibri"/>
          <w:color w:val="000000"/>
          <w:sz w:val="22"/>
        </w:rPr>
        <w:t xml:space="preserve">With reference to the call for papers by the EMRIP, we explicitly assert that the Treaty is precisely the type of instrument that </w:t>
      </w:r>
      <w:r>
        <w:rPr>
          <w:rFonts w:ascii="Calibri" w:eastAsia="Calibri" w:hAnsi="Calibri" w:cs="Calibri"/>
          <w:color w:val="0E101A"/>
          <w:sz w:val="22"/>
        </w:rPr>
        <w:t xml:space="preserve">the UNHRC obligates EMRIP </w:t>
      </w:r>
      <w:r>
        <w:rPr>
          <w:rFonts w:ascii="Calibri" w:eastAsia="Calibri" w:hAnsi="Calibri" w:cs="Calibri"/>
          <w:color w:val="000000"/>
          <w:sz w:val="22"/>
        </w:rPr>
        <w:t>to address and, “that there is an urgent need to respect and promote the rights of indigenous peoples affirmed in treaties, agreements and other constructive arrangements made between States and indigenous peoples, the implementation of which can contribute to the implementation of the UN Declaration of the Rights of Indigenous Peoples at the domestic or national level.”</w:t>
      </w:r>
    </w:p>
    <w:p w14:paraId="40B7D883" w14:textId="1D12FCE6" w:rsidR="00B91F0D" w:rsidRDefault="00B91F0D" w:rsidP="00DF6D46">
      <w:pPr>
        <w:spacing w:line="240" w:lineRule="auto"/>
        <w:contextualSpacing/>
        <w:rPr>
          <w:rFonts w:asciiTheme="minorHAnsi" w:hAnsiTheme="minorHAnsi" w:cstheme="minorHAnsi"/>
          <w:sz w:val="22"/>
        </w:rPr>
      </w:pPr>
      <w:r>
        <w:rPr>
          <w:rFonts w:asciiTheme="minorHAnsi" w:hAnsiTheme="minorHAnsi" w:cstheme="minorHAnsi"/>
          <w:sz w:val="22"/>
        </w:rPr>
        <w:t>Regarding #3, above, ample evidence exists that Chicanos are an indigenous people</w:t>
      </w:r>
      <w:r w:rsidR="00F8218E">
        <w:rPr>
          <w:rFonts w:asciiTheme="minorHAnsi" w:hAnsiTheme="minorHAnsi" w:cstheme="minorHAnsi"/>
          <w:sz w:val="22"/>
        </w:rPr>
        <w:t>s</w:t>
      </w:r>
      <w:r>
        <w:rPr>
          <w:rFonts w:asciiTheme="minorHAnsi" w:hAnsiTheme="minorHAnsi" w:cstheme="minorHAnsi"/>
          <w:sz w:val="22"/>
        </w:rPr>
        <w:t xml:space="preserve"> and, they, along with the many other indigenous peoples within the Treaty territory are party to this international document and thereby should have standing as an indigenous people</w:t>
      </w:r>
      <w:r w:rsidR="00F8218E">
        <w:rPr>
          <w:rFonts w:asciiTheme="minorHAnsi" w:hAnsiTheme="minorHAnsi" w:cstheme="minorHAnsi"/>
          <w:sz w:val="22"/>
        </w:rPr>
        <w:t>s</w:t>
      </w:r>
      <w:r>
        <w:rPr>
          <w:rFonts w:asciiTheme="minorHAnsi" w:hAnsiTheme="minorHAnsi" w:cstheme="minorHAnsi"/>
          <w:sz w:val="22"/>
        </w:rPr>
        <w:t xml:space="preserve"> within the criteria of international laws protecting indigenous peoples.</w:t>
      </w:r>
      <w:r w:rsidR="003D41F2">
        <w:rPr>
          <w:rFonts w:asciiTheme="minorHAnsi" w:hAnsiTheme="minorHAnsi" w:cstheme="minorHAnsi"/>
          <w:sz w:val="22"/>
        </w:rPr>
        <w:t xml:space="preserve"> </w:t>
      </w:r>
      <w:r>
        <w:rPr>
          <w:rFonts w:asciiTheme="minorHAnsi" w:hAnsiTheme="minorHAnsi" w:cstheme="minorHAnsi"/>
          <w:sz w:val="22"/>
        </w:rPr>
        <w:t>We would welcome a thorough review and analysis of our assertions</w:t>
      </w:r>
      <w:r w:rsidR="005A419F">
        <w:rPr>
          <w:rFonts w:asciiTheme="minorHAnsi" w:hAnsiTheme="minorHAnsi" w:cstheme="minorHAnsi"/>
          <w:sz w:val="22"/>
        </w:rPr>
        <w:t>.</w:t>
      </w:r>
    </w:p>
    <w:p w14:paraId="32456990" w14:textId="2BEF95DA" w:rsidR="00E613DD" w:rsidRDefault="00E613DD" w:rsidP="00DF6D46">
      <w:pPr>
        <w:spacing w:line="240" w:lineRule="auto"/>
        <w:contextualSpacing/>
        <w:rPr>
          <w:rFonts w:asciiTheme="minorHAnsi" w:hAnsiTheme="minorHAnsi" w:cstheme="minorHAnsi"/>
          <w:sz w:val="22"/>
        </w:rPr>
      </w:pPr>
    </w:p>
    <w:p w14:paraId="4AE87BC2" w14:textId="07BC1505" w:rsidR="00274DB7" w:rsidRDefault="005A419F" w:rsidP="00DF6D46">
      <w:pPr>
        <w:spacing w:line="240" w:lineRule="auto"/>
        <w:contextualSpacing/>
        <w:rPr>
          <w:rFonts w:asciiTheme="minorHAnsi" w:hAnsiTheme="minorHAnsi" w:cstheme="minorHAnsi"/>
          <w:sz w:val="22"/>
        </w:rPr>
      </w:pPr>
      <w:r>
        <w:rPr>
          <w:rFonts w:asciiTheme="minorHAnsi" w:hAnsiTheme="minorHAnsi" w:cstheme="minorHAnsi"/>
          <w:sz w:val="22"/>
        </w:rPr>
        <w:t xml:space="preserve">In the Treaty, the terms </w:t>
      </w:r>
      <w:r w:rsidR="00B63F30">
        <w:rPr>
          <w:rFonts w:asciiTheme="minorHAnsi" w:hAnsiTheme="minorHAnsi" w:cstheme="minorHAnsi"/>
          <w:sz w:val="22"/>
        </w:rPr>
        <w:t>“</w:t>
      </w:r>
      <w:r>
        <w:rPr>
          <w:rFonts w:asciiTheme="minorHAnsi" w:hAnsiTheme="minorHAnsi" w:cstheme="minorHAnsi"/>
          <w:sz w:val="22"/>
        </w:rPr>
        <w:t>Mexican</w:t>
      </w:r>
      <w:r w:rsidR="00B63F30">
        <w:rPr>
          <w:rFonts w:asciiTheme="minorHAnsi" w:hAnsiTheme="minorHAnsi" w:cstheme="minorHAnsi"/>
          <w:sz w:val="22"/>
        </w:rPr>
        <w:t>”</w:t>
      </w:r>
      <w:r>
        <w:rPr>
          <w:rFonts w:asciiTheme="minorHAnsi" w:hAnsiTheme="minorHAnsi" w:cstheme="minorHAnsi"/>
          <w:sz w:val="22"/>
        </w:rPr>
        <w:t xml:space="preserve"> and “savage</w:t>
      </w:r>
      <w:r w:rsidR="00E613DD">
        <w:rPr>
          <w:rFonts w:asciiTheme="minorHAnsi" w:hAnsiTheme="minorHAnsi" w:cstheme="minorHAnsi"/>
          <w:sz w:val="22"/>
        </w:rPr>
        <w:t xml:space="preserve"> tribe</w:t>
      </w:r>
      <w:r>
        <w:rPr>
          <w:rFonts w:asciiTheme="minorHAnsi" w:hAnsiTheme="minorHAnsi" w:cstheme="minorHAnsi"/>
          <w:sz w:val="22"/>
        </w:rPr>
        <w:t xml:space="preserve">s” are used to discriminate between two essentially indigenous peoples based on a questionable distinction: Mexicans in the “ceded” territory, even though </w:t>
      </w:r>
      <w:r w:rsidR="00E613DD">
        <w:rPr>
          <w:rFonts w:asciiTheme="minorHAnsi" w:hAnsiTheme="minorHAnsi" w:cstheme="minorHAnsi"/>
          <w:sz w:val="22"/>
        </w:rPr>
        <w:t xml:space="preserve">they </w:t>
      </w:r>
      <w:r>
        <w:rPr>
          <w:rFonts w:asciiTheme="minorHAnsi" w:hAnsiTheme="minorHAnsi" w:cstheme="minorHAnsi"/>
          <w:sz w:val="22"/>
        </w:rPr>
        <w:t>were of indigenous origin,</w:t>
      </w:r>
      <w:r w:rsidR="00E613DD">
        <w:rPr>
          <w:rFonts w:asciiTheme="minorHAnsi" w:hAnsiTheme="minorHAnsi" w:cstheme="minorHAnsi"/>
          <w:sz w:val="22"/>
        </w:rPr>
        <w:t xml:space="preserve"> were</w:t>
      </w:r>
      <w:r>
        <w:rPr>
          <w:rFonts w:asciiTheme="minorHAnsi" w:hAnsiTheme="minorHAnsi" w:cstheme="minorHAnsi"/>
          <w:sz w:val="22"/>
        </w:rPr>
        <w:t xml:space="preserve"> ex</w:t>
      </w:r>
      <w:r w:rsidR="00FE3614">
        <w:rPr>
          <w:rFonts w:asciiTheme="minorHAnsi" w:hAnsiTheme="minorHAnsi" w:cstheme="minorHAnsi"/>
          <w:sz w:val="22"/>
        </w:rPr>
        <w:t>tended citizenship as Americans under the Treaty because they had been citizens of another country, however, “savage</w:t>
      </w:r>
      <w:r w:rsidR="00220EAC">
        <w:rPr>
          <w:rFonts w:asciiTheme="minorHAnsi" w:hAnsiTheme="minorHAnsi" w:cstheme="minorHAnsi"/>
          <w:sz w:val="22"/>
        </w:rPr>
        <w:t xml:space="preserve"> tribes</w:t>
      </w:r>
      <w:r w:rsidR="00FE3614">
        <w:rPr>
          <w:rFonts w:asciiTheme="minorHAnsi" w:hAnsiTheme="minorHAnsi" w:cstheme="minorHAnsi"/>
          <w:sz w:val="22"/>
        </w:rPr>
        <w:t>,” meaning other indigenous peoples were not.</w:t>
      </w:r>
      <w:r w:rsidR="003D41F2">
        <w:rPr>
          <w:rFonts w:asciiTheme="minorHAnsi" w:hAnsiTheme="minorHAnsi" w:cstheme="minorHAnsi"/>
          <w:sz w:val="22"/>
        </w:rPr>
        <w:t xml:space="preserve"> </w:t>
      </w:r>
      <w:r w:rsidR="00FE3614">
        <w:rPr>
          <w:rFonts w:asciiTheme="minorHAnsi" w:hAnsiTheme="minorHAnsi" w:cstheme="minorHAnsi"/>
          <w:sz w:val="22"/>
        </w:rPr>
        <w:t>Yet, recent actions by indigenous peoples in the U</w:t>
      </w:r>
      <w:r w:rsidR="00B63F30">
        <w:rPr>
          <w:rFonts w:asciiTheme="minorHAnsi" w:hAnsiTheme="minorHAnsi" w:cstheme="minorHAnsi"/>
          <w:sz w:val="22"/>
        </w:rPr>
        <w:t>.S.</w:t>
      </w:r>
      <w:r w:rsidR="00FE3614">
        <w:rPr>
          <w:rFonts w:asciiTheme="minorHAnsi" w:hAnsiTheme="minorHAnsi" w:cstheme="minorHAnsi"/>
          <w:sz w:val="22"/>
        </w:rPr>
        <w:t xml:space="preserve"> and multi-indigenous organizations attest, Chicanos</w:t>
      </w:r>
      <w:r w:rsidR="00173E10">
        <w:rPr>
          <w:rFonts w:asciiTheme="minorHAnsi" w:hAnsiTheme="minorHAnsi" w:cstheme="minorHAnsi"/>
          <w:sz w:val="22"/>
        </w:rPr>
        <w:t xml:space="preserve"> (</w:t>
      </w:r>
      <w:r w:rsidR="00FE3614">
        <w:rPr>
          <w:rFonts w:asciiTheme="minorHAnsi" w:hAnsiTheme="minorHAnsi" w:cstheme="minorHAnsi"/>
          <w:sz w:val="22"/>
        </w:rPr>
        <w:t>Mexican Americans</w:t>
      </w:r>
      <w:r w:rsidR="00173E10">
        <w:rPr>
          <w:rFonts w:asciiTheme="minorHAnsi" w:hAnsiTheme="minorHAnsi" w:cstheme="minorHAnsi"/>
          <w:sz w:val="22"/>
        </w:rPr>
        <w:t>)</w:t>
      </w:r>
      <w:r w:rsidR="00FE3614">
        <w:rPr>
          <w:rFonts w:asciiTheme="minorHAnsi" w:hAnsiTheme="minorHAnsi" w:cstheme="minorHAnsi"/>
          <w:sz w:val="22"/>
        </w:rPr>
        <w:t>, are recognized as an indigenous people</w:t>
      </w:r>
      <w:r w:rsidR="00F8218E">
        <w:rPr>
          <w:rFonts w:asciiTheme="minorHAnsi" w:hAnsiTheme="minorHAnsi" w:cstheme="minorHAnsi"/>
          <w:sz w:val="22"/>
        </w:rPr>
        <w:t>s</w:t>
      </w:r>
      <w:r w:rsidR="00FE3614">
        <w:rPr>
          <w:rFonts w:asciiTheme="minorHAnsi" w:hAnsiTheme="minorHAnsi" w:cstheme="minorHAnsi"/>
          <w:sz w:val="22"/>
        </w:rPr>
        <w:t>.</w:t>
      </w:r>
    </w:p>
    <w:p w14:paraId="557F0455" w14:textId="77777777" w:rsidR="008A689A" w:rsidRDefault="008A689A" w:rsidP="00DF6D46">
      <w:pPr>
        <w:spacing w:line="240" w:lineRule="auto"/>
        <w:contextualSpacing/>
        <w:rPr>
          <w:rFonts w:asciiTheme="minorHAnsi" w:hAnsiTheme="minorHAnsi" w:cstheme="minorHAnsi"/>
          <w:sz w:val="22"/>
        </w:rPr>
      </w:pPr>
    </w:p>
    <w:p w14:paraId="5E8C9D06" w14:textId="7D373B3D" w:rsidR="00FE3614" w:rsidRDefault="00FE3614" w:rsidP="00DF6D46">
      <w:pPr>
        <w:spacing w:line="240" w:lineRule="auto"/>
        <w:contextualSpacing/>
        <w:rPr>
          <w:rFonts w:asciiTheme="minorHAnsi" w:hAnsiTheme="minorHAnsi" w:cstheme="minorHAnsi"/>
          <w:sz w:val="22"/>
        </w:rPr>
      </w:pPr>
      <w:r>
        <w:rPr>
          <w:rFonts w:asciiTheme="minorHAnsi" w:hAnsiTheme="minorHAnsi" w:cstheme="minorHAnsi"/>
          <w:sz w:val="22"/>
        </w:rPr>
        <w:t>For example, at the Sixth International Indian Treaty Conference held in Fort Belknap, Montana, in 1980, by Resolution, the Assembly of 98 Indian Nations of the Western Hemisphere, stated:</w:t>
      </w:r>
    </w:p>
    <w:p w14:paraId="39891D43" w14:textId="77777777" w:rsidR="00E613DD" w:rsidRDefault="00E613DD" w:rsidP="00DF6D46">
      <w:pPr>
        <w:spacing w:line="240" w:lineRule="auto"/>
        <w:contextualSpacing/>
        <w:rPr>
          <w:rFonts w:asciiTheme="minorHAnsi" w:hAnsiTheme="minorHAnsi" w:cstheme="minorHAnsi"/>
          <w:sz w:val="22"/>
        </w:rPr>
      </w:pPr>
    </w:p>
    <w:p w14:paraId="769CD332" w14:textId="1C240A9E" w:rsidR="00FE3614" w:rsidRDefault="00FE3614" w:rsidP="00DF6D46">
      <w:pPr>
        <w:spacing w:line="240" w:lineRule="auto"/>
        <w:ind w:left="720"/>
        <w:contextualSpacing/>
        <w:rPr>
          <w:rFonts w:asciiTheme="minorHAnsi" w:hAnsiTheme="minorHAnsi" w:cstheme="minorHAnsi"/>
          <w:sz w:val="22"/>
        </w:rPr>
      </w:pPr>
      <w:r>
        <w:rPr>
          <w:rFonts w:asciiTheme="minorHAnsi" w:hAnsiTheme="minorHAnsi" w:cstheme="minorHAnsi"/>
          <w:sz w:val="22"/>
        </w:rPr>
        <w:t>“</w:t>
      </w:r>
      <w:r>
        <w:rPr>
          <w:rFonts w:asciiTheme="minorHAnsi" w:hAnsiTheme="minorHAnsi" w:cstheme="minorHAnsi"/>
          <w:i/>
          <w:iCs/>
          <w:sz w:val="22"/>
        </w:rPr>
        <w:t>Recognizing</w:t>
      </w:r>
      <w:r>
        <w:rPr>
          <w:rFonts w:asciiTheme="minorHAnsi" w:hAnsiTheme="minorHAnsi" w:cstheme="minorHAnsi"/>
          <w:sz w:val="22"/>
        </w:rPr>
        <w:t xml:space="preserve"> the Treaty of Guadalupe Hidalgo was signed in good </w:t>
      </w:r>
      <w:r w:rsidR="00E62F2F">
        <w:rPr>
          <w:rFonts w:asciiTheme="minorHAnsi" w:hAnsiTheme="minorHAnsi" w:cstheme="minorHAnsi"/>
          <w:sz w:val="22"/>
        </w:rPr>
        <w:t>faith,</w:t>
      </w:r>
      <w:r>
        <w:rPr>
          <w:rFonts w:asciiTheme="minorHAnsi" w:hAnsiTheme="minorHAnsi" w:cstheme="minorHAnsi"/>
          <w:sz w:val="22"/>
        </w:rPr>
        <w:t xml:space="preserve"> but the articles not adhered to, specifically the Mexican land grants</w:t>
      </w:r>
      <w:r w:rsidR="00C1422E">
        <w:rPr>
          <w:rFonts w:asciiTheme="minorHAnsi" w:hAnsiTheme="minorHAnsi" w:cstheme="minorHAnsi"/>
          <w:sz w:val="22"/>
        </w:rPr>
        <w:t>, Indian rights and the assaults on the sovereignty of Indian peoples and their land</w:t>
      </w:r>
      <w:r w:rsidR="00BC5C7A">
        <w:rPr>
          <w:rFonts w:asciiTheme="minorHAnsi" w:hAnsiTheme="minorHAnsi" w:cstheme="minorHAnsi"/>
          <w:sz w:val="22"/>
        </w:rPr>
        <w:t>…</w:t>
      </w:r>
    </w:p>
    <w:p w14:paraId="5D1D78B3" w14:textId="65B6E259" w:rsidR="00745650" w:rsidRDefault="00745650" w:rsidP="00DF6D46">
      <w:pPr>
        <w:spacing w:line="240" w:lineRule="auto"/>
        <w:ind w:left="720"/>
        <w:contextualSpacing/>
        <w:rPr>
          <w:rFonts w:asciiTheme="minorHAnsi" w:hAnsiTheme="minorHAnsi" w:cstheme="minorHAnsi"/>
          <w:sz w:val="22"/>
        </w:rPr>
      </w:pPr>
      <w:r>
        <w:rPr>
          <w:rFonts w:asciiTheme="minorHAnsi" w:hAnsiTheme="minorHAnsi" w:cstheme="minorHAnsi"/>
          <w:i/>
          <w:iCs/>
          <w:sz w:val="22"/>
        </w:rPr>
        <w:t>Hereby resolves</w:t>
      </w:r>
      <w:r>
        <w:rPr>
          <w:rFonts w:asciiTheme="minorHAnsi" w:hAnsiTheme="minorHAnsi" w:cstheme="minorHAnsi"/>
          <w:sz w:val="22"/>
        </w:rPr>
        <w:t xml:space="preserve"> that the liberation struggle of the Chicano people and the Papago be supported in their right to self-determination and of the recognition of their indigenous heritage to the spiritual land of Aztlan</w:t>
      </w:r>
      <w:r w:rsidR="000463D4">
        <w:rPr>
          <w:rFonts w:asciiTheme="minorHAnsi" w:hAnsiTheme="minorHAnsi" w:cstheme="minorHAnsi"/>
          <w:sz w:val="22"/>
        </w:rPr>
        <w:t>.</w:t>
      </w:r>
      <w:r>
        <w:rPr>
          <w:rFonts w:asciiTheme="minorHAnsi" w:hAnsiTheme="minorHAnsi" w:cstheme="minorHAnsi"/>
          <w:sz w:val="22"/>
        </w:rPr>
        <w:t xml:space="preserve">” </w:t>
      </w:r>
    </w:p>
    <w:p w14:paraId="604506CA" w14:textId="77777777" w:rsidR="00E613DD" w:rsidRDefault="00E613DD" w:rsidP="00E613DD">
      <w:pPr>
        <w:spacing w:line="240" w:lineRule="auto"/>
        <w:contextualSpacing/>
        <w:rPr>
          <w:rFonts w:asciiTheme="minorHAnsi" w:hAnsiTheme="minorHAnsi" w:cstheme="minorHAnsi"/>
          <w:sz w:val="22"/>
        </w:rPr>
      </w:pPr>
    </w:p>
    <w:p w14:paraId="07BC1B1D" w14:textId="1A62A7B8" w:rsidR="00B97ABC" w:rsidRPr="00A711A2" w:rsidRDefault="00745650" w:rsidP="00E613DD">
      <w:pPr>
        <w:spacing w:line="240" w:lineRule="auto"/>
        <w:contextualSpacing/>
        <w:rPr>
          <w:rFonts w:asciiTheme="minorHAnsi" w:hAnsiTheme="minorHAnsi" w:cstheme="minorHAnsi"/>
          <w:sz w:val="22"/>
        </w:rPr>
      </w:pPr>
      <w:r>
        <w:rPr>
          <w:rFonts w:asciiTheme="minorHAnsi" w:hAnsiTheme="minorHAnsi" w:cstheme="minorHAnsi"/>
          <w:sz w:val="22"/>
        </w:rPr>
        <w:t>Through the process of colonization inflicted for centuries on Chicanos and other indigenous peoples: relegating their children to segregated schools and boarding schools; erasing their history through de jure</w:t>
      </w:r>
      <w:r w:rsidR="00B97ABC">
        <w:rPr>
          <w:rFonts w:asciiTheme="minorHAnsi" w:hAnsiTheme="minorHAnsi" w:cstheme="minorHAnsi"/>
          <w:sz w:val="22"/>
        </w:rPr>
        <w:t xml:space="preserve"> governmental actions; maintaining these peoples as a subordinate working class; denying access to the ballot; and further segregating them through redlining and other means of substandard housing in poverty areas and reservations, the stage was set for creating a second-class people of both the Mexicans and the “savage</w:t>
      </w:r>
      <w:r w:rsidR="00D74712">
        <w:rPr>
          <w:rFonts w:asciiTheme="minorHAnsi" w:hAnsiTheme="minorHAnsi" w:cstheme="minorHAnsi"/>
          <w:sz w:val="22"/>
        </w:rPr>
        <w:t xml:space="preserve"> tribes</w:t>
      </w:r>
      <w:r w:rsidR="00B97ABC">
        <w:rPr>
          <w:rFonts w:asciiTheme="minorHAnsi" w:hAnsiTheme="minorHAnsi" w:cstheme="minorHAnsi"/>
          <w:sz w:val="22"/>
        </w:rPr>
        <w:t>.”</w:t>
      </w:r>
      <w:r w:rsidR="003D41F2">
        <w:rPr>
          <w:rFonts w:asciiTheme="minorHAnsi" w:hAnsiTheme="minorHAnsi" w:cstheme="minorHAnsi"/>
          <w:sz w:val="22"/>
        </w:rPr>
        <w:t xml:space="preserve"> </w:t>
      </w:r>
      <w:r w:rsidR="00B97ABC">
        <w:rPr>
          <w:rFonts w:asciiTheme="minorHAnsi" w:hAnsiTheme="minorHAnsi" w:cstheme="minorHAnsi"/>
          <w:sz w:val="22"/>
        </w:rPr>
        <w:t>Historically then, when asserting their human rights under the Treaty, Chicanos and other indigenous peoples have been silenced, ignored, or rejected</w:t>
      </w:r>
      <w:r w:rsidR="00A711A2">
        <w:rPr>
          <w:rFonts w:asciiTheme="minorHAnsi" w:hAnsiTheme="minorHAnsi" w:cstheme="minorHAnsi"/>
          <w:sz w:val="22"/>
        </w:rPr>
        <w:t xml:space="preserve"> </w:t>
      </w:r>
      <w:r w:rsidR="00B97ABC">
        <w:rPr>
          <w:rFonts w:ascii="Calibri" w:hAnsi="Calibri" w:cs="Calibri"/>
          <w:color w:val="000000"/>
          <w:sz w:val="18"/>
          <w:szCs w:val="18"/>
        </w:rPr>
        <w:t>(</w:t>
      </w:r>
      <w:r w:rsidR="00B97ABC">
        <w:rPr>
          <w:rFonts w:ascii="Calibri" w:hAnsi="Calibri" w:cs="Calibri"/>
          <w:color w:val="222222"/>
          <w:sz w:val="18"/>
          <w:szCs w:val="18"/>
        </w:rPr>
        <w:t>see Francisco Maestas et al. v. George H. Shone et al. (1914), filed by Mexican Americans in Alamosa, Colorado, against the Alamosa School District Superintendent and Board of Education in 1913. Alamosa County. Combined Court. Alamosa, CO 81101. District Civil Roll #1</w:t>
      </w:r>
      <w:r w:rsidR="00A711A2">
        <w:rPr>
          <w:rFonts w:ascii="Calibri" w:hAnsi="Calibri" w:cs="Calibri"/>
          <w:color w:val="222222"/>
          <w:sz w:val="18"/>
          <w:szCs w:val="18"/>
        </w:rPr>
        <w:t>,</w:t>
      </w:r>
      <w:r w:rsidR="00A711A2" w:rsidRPr="00A711A2">
        <w:rPr>
          <w:rFonts w:ascii="Calibri" w:hAnsi="Calibri" w:cs="Calibri"/>
          <w:color w:val="000000"/>
          <w:sz w:val="18"/>
          <w:szCs w:val="18"/>
        </w:rPr>
        <w:t xml:space="preserve"> </w:t>
      </w:r>
      <w:r w:rsidR="00A711A2">
        <w:rPr>
          <w:rFonts w:ascii="Calibri" w:hAnsi="Calibri" w:cs="Calibri"/>
          <w:color w:val="000000"/>
          <w:sz w:val="18"/>
          <w:szCs w:val="18"/>
        </w:rPr>
        <w:t>f</w:t>
      </w:r>
      <w:r w:rsidR="00A711A2">
        <w:rPr>
          <w:rFonts w:ascii="Calibri" w:hAnsi="Calibri" w:cs="Calibri"/>
          <w:color w:val="222222"/>
          <w:sz w:val="18"/>
          <w:szCs w:val="18"/>
        </w:rPr>
        <w:t>or an early school (and successful) school desegregation case</w:t>
      </w:r>
      <w:r w:rsidR="00B97ABC">
        <w:rPr>
          <w:rFonts w:ascii="Calibri" w:hAnsi="Calibri" w:cs="Calibri"/>
          <w:color w:val="222222"/>
          <w:sz w:val="18"/>
          <w:szCs w:val="18"/>
        </w:rPr>
        <w:t>)</w:t>
      </w:r>
      <w:r w:rsidR="00A711A2">
        <w:rPr>
          <w:rFonts w:ascii="Calibri" w:hAnsi="Calibri" w:cs="Calibri"/>
          <w:color w:val="222222"/>
          <w:sz w:val="22"/>
        </w:rPr>
        <w:t>.</w:t>
      </w:r>
    </w:p>
    <w:p w14:paraId="53299A41" w14:textId="55E13FF0" w:rsidR="00CD6239" w:rsidRDefault="00CD6239" w:rsidP="00DF6D46">
      <w:pPr>
        <w:spacing w:line="240" w:lineRule="auto"/>
        <w:contextualSpacing/>
        <w:rPr>
          <w:rFonts w:asciiTheme="minorHAnsi" w:hAnsiTheme="minorHAnsi" w:cstheme="minorHAnsi"/>
          <w:sz w:val="22"/>
        </w:rPr>
      </w:pPr>
      <w:bookmarkStart w:id="1" w:name="_Hlk94430934"/>
      <w:bookmarkStart w:id="2" w:name="_Hlk94429496"/>
    </w:p>
    <w:p w14:paraId="4FDB5103" w14:textId="77777777" w:rsidR="00F06746" w:rsidRPr="00CE62CC" w:rsidRDefault="00F06746" w:rsidP="00F06746">
      <w:pPr>
        <w:spacing w:line="240" w:lineRule="auto"/>
        <w:contextualSpacing/>
        <w:rPr>
          <w:rFonts w:asciiTheme="minorHAnsi" w:hAnsiTheme="minorHAnsi" w:cstheme="minorHAnsi"/>
          <w:sz w:val="22"/>
        </w:rPr>
      </w:pPr>
      <w:r w:rsidRPr="00CE62CC">
        <w:rPr>
          <w:rFonts w:asciiTheme="minorHAnsi" w:hAnsiTheme="minorHAnsi" w:cstheme="minorHAnsi"/>
          <w:sz w:val="22"/>
        </w:rPr>
        <w:t>The UN Declaration on the Rights of Indigenous Peoples, Article 37</w:t>
      </w:r>
      <w:r w:rsidRPr="00CE62CC">
        <w:rPr>
          <w:rFonts w:cstheme="minorHAnsi"/>
        </w:rPr>
        <w:t xml:space="preserve"> </w:t>
      </w:r>
      <w:r w:rsidRPr="00CE62CC">
        <w:rPr>
          <w:rFonts w:asciiTheme="minorHAnsi" w:hAnsiTheme="minorHAnsi" w:cstheme="minorHAnsi"/>
          <w:sz w:val="22"/>
        </w:rPr>
        <w:t>states that, “indigenous peoples have the right to the recognition, observance and enforcement of treaties, agreements and other constructive arrangements concluded with States or their successors and to have States honour and respect such treaties, agreements and other constructive arrangements.”</w:t>
      </w:r>
    </w:p>
    <w:p w14:paraId="2BBFB4C3" w14:textId="77777777" w:rsidR="00F06746" w:rsidRPr="00CE62CC" w:rsidRDefault="00F06746" w:rsidP="00F06746">
      <w:pPr>
        <w:spacing w:line="240" w:lineRule="auto"/>
        <w:contextualSpacing/>
        <w:rPr>
          <w:rFonts w:cstheme="minorHAnsi"/>
        </w:rPr>
      </w:pPr>
    </w:p>
    <w:p w14:paraId="3D5EB766" w14:textId="5375B7B9" w:rsidR="00F06746" w:rsidRPr="00CE62CC" w:rsidRDefault="00F06746" w:rsidP="00F06746">
      <w:pPr>
        <w:spacing w:line="240" w:lineRule="auto"/>
        <w:contextualSpacing/>
        <w:rPr>
          <w:rFonts w:asciiTheme="minorHAnsi" w:hAnsiTheme="minorHAnsi" w:cstheme="minorHAnsi"/>
          <w:sz w:val="22"/>
        </w:rPr>
      </w:pPr>
      <w:r w:rsidRPr="00CE62CC">
        <w:rPr>
          <w:rFonts w:asciiTheme="minorHAnsi" w:hAnsiTheme="minorHAnsi" w:cstheme="minorHAnsi"/>
          <w:sz w:val="22"/>
        </w:rPr>
        <w:t xml:space="preserve">Article 37 does not preclude indigenous peoples affected by treaties between two or more States but who were denied participation in the negotiation of those treaties </w:t>
      </w:r>
      <w:r w:rsidR="00245E09" w:rsidRPr="00CE62CC">
        <w:rPr>
          <w:rFonts w:asciiTheme="minorHAnsi" w:hAnsiTheme="minorHAnsi" w:cstheme="minorHAnsi"/>
          <w:sz w:val="22"/>
        </w:rPr>
        <w:t>from ever</w:t>
      </w:r>
      <w:r w:rsidRPr="00CE62CC">
        <w:rPr>
          <w:rFonts w:asciiTheme="minorHAnsi" w:hAnsiTheme="minorHAnsi" w:cstheme="minorHAnsi"/>
          <w:sz w:val="22"/>
        </w:rPr>
        <w:t xml:space="preserve"> attain</w:t>
      </w:r>
      <w:r w:rsidRPr="00CE62CC">
        <w:rPr>
          <w:rFonts w:cstheme="minorHAnsi"/>
        </w:rPr>
        <w:t>ing</w:t>
      </w:r>
      <w:r w:rsidRPr="00CE62CC">
        <w:rPr>
          <w:rFonts w:asciiTheme="minorHAnsi" w:hAnsiTheme="minorHAnsi" w:cstheme="minorHAnsi"/>
          <w:sz w:val="22"/>
        </w:rPr>
        <w:t xml:space="preserve"> the status of a formal party to such</w:t>
      </w:r>
      <w:r w:rsidRPr="00CE62CC">
        <w:rPr>
          <w:rFonts w:cstheme="minorHAnsi"/>
        </w:rPr>
        <w:t xml:space="preserve"> </w:t>
      </w:r>
      <w:r w:rsidRPr="00CE62CC">
        <w:rPr>
          <w:rFonts w:asciiTheme="minorHAnsi" w:hAnsiTheme="minorHAnsi" w:cstheme="minorHAnsi"/>
          <w:sz w:val="22"/>
        </w:rPr>
        <w:t>a treaty. While the Treaty of Guadalupe Hidalgo was not signed between a State and an indigenous peoples, it does contain provisions affecting indigenous peoples, as third parties. Further, Article 37 indicates that there is no statute of limitations to interpreting the meaning of the UN Declaration to open the Treaty to further study.</w:t>
      </w:r>
    </w:p>
    <w:p w14:paraId="49B303CC" w14:textId="77777777" w:rsidR="00F06746" w:rsidRPr="00CE62CC" w:rsidRDefault="00F06746" w:rsidP="00DF6D46">
      <w:pPr>
        <w:spacing w:line="240" w:lineRule="auto"/>
        <w:contextualSpacing/>
        <w:rPr>
          <w:rFonts w:asciiTheme="minorHAnsi" w:hAnsiTheme="minorHAnsi" w:cstheme="minorHAnsi"/>
          <w:sz w:val="22"/>
        </w:rPr>
      </w:pPr>
    </w:p>
    <w:bookmarkEnd w:id="2"/>
    <w:p w14:paraId="45E3402A" w14:textId="14AEAD01" w:rsidR="009418DC" w:rsidRPr="00CE62CC" w:rsidRDefault="009418DC" w:rsidP="00DF6D46">
      <w:pPr>
        <w:spacing w:line="240" w:lineRule="auto"/>
        <w:contextualSpacing/>
        <w:rPr>
          <w:rFonts w:ascii="Calibri" w:hAnsi="Calibri" w:cs="Calibri"/>
          <w:color w:val="000000"/>
          <w:sz w:val="22"/>
        </w:rPr>
      </w:pPr>
      <w:r w:rsidRPr="00CE62CC">
        <w:rPr>
          <w:rFonts w:ascii="Calibri" w:hAnsi="Calibri" w:cs="Calibri"/>
          <w:color w:val="000000"/>
          <w:sz w:val="22"/>
        </w:rPr>
        <w:t>Special Rapporteur Miguel Alfonso Martínez intimated as much when, in presenting his international study of Indigenous Peoples’ Rights in 1999, he stated: “The Special Rapporteur is of the opinion that one should avoid making oneself a prisoner of existing terminology.” Martínez</w:t>
      </w:r>
      <w:r w:rsidRPr="00CE62CC">
        <w:rPr>
          <w:rFonts w:ascii="Calibri" w:hAnsi="Calibri" w:cs="Calibri"/>
          <w:color w:val="C00000"/>
          <w:sz w:val="22"/>
        </w:rPr>
        <w:t xml:space="preserve"> </w:t>
      </w:r>
      <w:r w:rsidRPr="00CE62CC">
        <w:rPr>
          <w:rFonts w:ascii="Calibri" w:hAnsi="Calibri" w:cs="Calibri"/>
          <w:color w:val="000000"/>
          <w:sz w:val="22"/>
        </w:rPr>
        <w:t xml:space="preserve">adds in Paragraph 54: “a narrow definition of ‘a treaty’ and ‘treaty-making’ would hinder or pre-empt any innovative thinking in the field. Yet it is precisely innovative thinking that is needed to solve the predicament in which many indigenous peoples find themselves at present,” and at Paragraph 55, it “would impede (or even preclude) any proper account of indigenous views on these issues, simply because of the widely-held rationale that indigenous peoples are not “States” in the current sense of the term in international law” </w:t>
      </w:r>
      <w:r w:rsidRPr="00CE62CC">
        <w:rPr>
          <w:rFonts w:ascii="Calibri" w:hAnsi="Calibri" w:cs="Calibri"/>
          <w:color w:val="000000"/>
          <w:sz w:val="18"/>
          <w:szCs w:val="18"/>
        </w:rPr>
        <w:t>(Study on treaties, agreements and other constructive arrangements between States and indigenous populations.” Final report by Miguel Alfonso Martínez, Special Rapporteur, 22 June 1999</w:t>
      </w:r>
      <w:r w:rsidR="00131CD7" w:rsidRPr="00CE62CC">
        <w:rPr>
          <w:rFonts w:ascii="Calibri" w:hAnsi="Calibri" w:cs="Calibri"/>
          <w:color w:val="000000"/>
          <w:sz w:val="18"/>
          <w:szCs w:val="18"/>
        </w:rPr>
        <w:t>)</w:t>
      </w:r>
      <w:r w:rsidR="00BE1E6B" w:rsidRPr="00CE62CC">
        <w:rPr>
          <w:rFonts w:ascii="Calibri" w:hAnsi="Calibri" w:cs="Calibri"/>
          <w:color w:val="000000"/>
          <w:sz w:val="22"/>
        </w:rPr>
        <w:t>.</w:t>
      </w:r>
    </w:p>
    <w:p w14:paraId="506B3F76" w14:textId="77777777" w:rsidR="00CD6239" w:rsidRPr="00CE62CC" w:rsidRDefault="00CD6239" w:rsidP="00DF6D46">
      <w:pPr>
        <w:spacing w:line="240" w:lineRule="auto"/>
        <w:contextualSpacing/>
        <w:rPr>
          <w:rFonts w:asciiTheme="minorHAnsi" w:hAnsiTheme="minorHAnsi" w:cstheme="minorHAnsi"/>
          <w:sz w:val="22"/>
        </w:rPr>
      </w:pPr>
    </w:p>
    <w:p w14:paraId="08D60A2B" w14:textId="317458B0" w:rsidR="009418DC" w:rsidRPr="00CE62CC" w:rsidRDefault="00EC60C0" w:rsidP="00DF6D46">
      <w:pPr>
        <w:spacing w:line="240" w:lineRule="auto"/>
        <w:contextualSpacing/>
        <w:rPr>
          <w:rFonts w:asciiTheme="minorHAnsi" w:hAnsiTheme="minorHAnsi" w:cstheme="minorHAnsi"/>
          <w:sz w:val="22"/>
        </w:rPr>
      </w:pPr>
      <w:r w:rsidRPr="00CE62CC">
        <w:rPr>
          <w:rFonts w:asciiTheme="minorHAnsi" w:hAnsiTheme="minorHAnsi" w:cstheme="minorHAnsi"/>
          <w:sz w:val="22"/>
        </w:rPr>
        <w:t xml:space="preserve">In addition, Special Rapporteur </w:t>
      </w:r>
      <w:r w:rsidR="009627FD" w:rsidRPr="00CE62CC">
        <w:rPr>
          <w:rFonts w:asciiTheme="minorHAnsi" w:hAnsiTheme="minorHAnsi" w:cstheme="minorHAnsi"/>
          <w:sz w:val="22"/>
        </w:rPr>
        <w:t>Martínez</w:t>
      </w:r>
      <w:r w:rsidRPr="00CE62CC">
        <w:rPr>
          <w:rFonts w:asciiTheme="minorHAnsi" w:hAnsiTheme="minorHAnsi" w:cstheme="minorHAnsi"/>
          <w:sz w:val="22"/>
        </w:rPr>
        <w:t xml:space="preserve"> made specific reference to the Treaty in Paragraph</w:t>
      </w:r>
      <w:r w:rsidR="00EB7686" w:rsidRPr="00CE62CC">
        <w:rPr>
          <w:rFonts w:asciiTheme="minorHAnsi" w:hAnsiTheme="minorHAnsi" w:cstheme="minorHAnsi"/>
          <w:sz w:val="22"/>
        </w:rPr>
        <w:t xml:space="preserve"> 49: “It follows that the issue of treaties affecting indigenous peoples as third parties may continue to be relevant insofar as they remain in force and insofar as indigenous peoples already participate – or may in the future – in the implementation of their provisions.</w:t>
      </w:r>
      <w:r w:rsidR="003D41F2" w:rsidRPr="00CE62CC">
        <w:rPr>
          <w:rFonts w:asciiTheme="minorHAnsi" w:hAnsiTheme="minorHAnsi" w:cstheme="minorHAnsi"/>
          <w:sz w:val="22"/>
        </w:rPr>
        <w:t xml:space="preserve"> </w:t>
      </w:r>
      <w:r w:rsidR="00EB7686" w:rsidRPr="00CE62CC">
        <w:rPr>
          <w:rFonts w:asciiTheme="minorHAnsi" w:hAnsiTheme="minorHAnsi" w:cstheme="minorHAnsi"/>
          <w:sz w:val="22"/>
        </w:rPr>
        <w:t>Among the 10 instruments previously considered for analysis, apart from the Lapp Codicil, several others would warrant further scrutiny, among them the 1794 Jay Treaty</w:t>
      </w:r>
      <w:r w:rsidR="00D2096C" w:rsidRPr="00CE62CC">
        <w:rPr>
          <w:rFonts w:asciiTheme="minorHAnsi" w:hAnsiTheme="minorHAnsi" w:cstheme="minorHAnsi"/>
          <w:sz w:val="22"/>
        </w:rPr>
        <w:t xml:space="preserve"> </w:t>
      </w:r>
      <w:r w:rsidR="00D2096C" w:rsidRPr="00CE62CC">
        <w:rPr>
          <w:rFonts w:asciiTheme="minorHAnsi" w:hAnsiTheme="minorHAnsi" w:cstheme="minorHAnsi"/>
          <w:sz w:val="18"/>
          <w:szCs w:val="18"/>
        </w:rPr>
        <w:t xml:space="preserve">(see </w:t>
      </w:r>
      <w:r w:rsidR="00D2096C" w:rsidRPr="00CE62CC">
        <w:rPr>
          <w:rFonts w:asciiTheme="minorHAnsi" w:hAnsiTheme="minorHAnsi" w:cstheme="minorHAnsi"/>
          <w:sz w:val="18"/>
          <w:szCs w:val="18"/>
          <w:shd w:val="clear" w:color="auto" w:fill="FFFFFF"/>
        </w:rPr>
        <w:t>c</w:t>
      </w:r>
      <w:r w:rsidR="00D2096C" w:rsidRPr="00CE62CC">
        <w:rPr>
          <w:rFonts w:asciiTheme="minorHAnsi" w:hAnsiTheme="minorHAnsi" w:cstheme="minorHAnsi"/>
          <w:sz w:val="18"/>
          <w:szCs w:val="18"/>
          <w:shd w:val="clear" w:color="auto" w:fill="FFFFFF"/>
        </w:rPr>
        <w:t>opy of the Jay Treaty</w:t>
      </w:r>
      <w:r w:rsidR="00D2096C" w:rsidRPr="00CE62CC">
        <w:rPr>
          <w:rFonts w:asciiTheme="minorHAnsi" w:hAnsiTheme="minorHAnsi" w:cstheme="minorHAnsi"/>
          <w:sz w:val="18"/>
          <w:szCs w:val="18"/>
          <w:shd w:val="clear" w:color="auto" w:fill="FFFFFF"/>
        </w:rPr>
        <w:t xml:space="preserve"> at </w:t>
      </w:r>
      <w:hyperlink r:id="rId12" w:history="1">
        <w:r w:rsidR="00D2096C" w:rsidRPr="00CE62CC">
          <w:rPr>
            <w:rStyle w:val="Hyperlink"/>
            <w:rFonts w:asciiTheme="minorHAnsi" w:hAnsiTheme="minorHAnsi" w:cstheme="minorHAnsi"/>
            <w:sz w:val="18"/>
            <w:szCs w:val="18"/>
            <w:shd w:val="clear" w:color="auto" w:fill="FFFFFF"/>
          </w:rPr>
          <w:t>https://avalon.law.yale.edu/18th_century/jay.asp</w:t>
        </w:r>
      </w:hyperlink>
      <w:r w:rsidR="00EB7686" w:rsidRPr="00CE62CC">
        <w:rPr>
          <w:rFonts w:asciiTheme="minorHAnsi" w:hAnsiTheme="minorHAnsi" w:cstheme="minorHAnsi"/>
          <w:sz w:val="22"/>
        </w:rPr>
        <w:t xml:space="preserve"> and the 1848 Treaty of Guadalupe Hidalgo, both of apparent special significance for the indigenous nations along the borders of the United States with Canada and Mexico respectively.”</w:t>
      </w:r>
      <w:r w:rsidR="003D41F2" w:rsidRPr="00CE62CC">
        <w:rPr>
          <w:rFonts w:asciiTheme="minorHAnsi" w:hAnsiTheme="minorHAnsi" w:cstheme="minorHAnsi"/>
          <w:sz w:val="22"/>
        </w:rPr>
        <w:t xml:space="preserve"> </w:t>
      </w:r>
      <w:r w:rsidR="009627FD" w:rsidRPr="00CE62CC">
        <w:rPr>
          <w:rFonts w:asciiTheme="minorHAnsi" w:hAnsiTheme="minorHAnsi" w:cstheme="minorHAnsi"/>
          <w:sz w:val="22"/>
        </w:rPr>
        <w:t>Martínez</w:t>
      </w:r>
      <w:r w:rsidR="003D41F2" w:rsidRPr="00CE62CC">
        <w:rPr>
          <w:rFonts w:asciiTheme="minorHAnsi" w:hAnsiTheme="minorHAnsi" w:cstheme="minorHAnsi"/>
          <w:sz w:val="22"/>
        </w:rPr>
        <w:t xml:space="preserve"> </w:t>
      </w:r>
      <w:r w:rsidR="00EB7686" w:rsidRPr="00CE62CC">
        <w:rPr>
          <w:rFonts w:asciiTheme="minorHAnsi" w:hAnsiTheme="minorHAnsi" w:cstheme="minorHAnsi"/>
          <w:sz w:val="22"/>
        </w:rPr>
        <w:t xml:space="preserve">is asserting that the same rules should apply for treaties between a </w:t>
      </w:r>
      <w:r w:rsidR="00154C59" w:rsidRPr="00CE62CC">
        <w:rPr>
          <w:rFonts w:asciiTheme="minorHAnsi" w:hAnsiTheme="minorHAnsi" w:cstheme="minorHAnsi"/>
          <w:sz w:val="22"/>
        </w:rPr>
        <w:t>State</w:t>
      </w:r>
      <w:r w:rsidR="00EB7686" w:rsidRPr="00CE62CC">
        <w:rPr>
          <w:rFonts w:asciiTheme="minorHAnsi" w:hAnsiTheme="minorHAnsi" w:cstheme="minorHAnsi"/>
          <w:sz w:val="22"/>
        </w:rPr>
        <w:t xml:space="preserve"> and an indigenous people</w:t>
      </w:r>
      <w:r w:rsidR="00303321" w:rsidRPr="00CE62CC">
        <w:rPr>
          <w:rFonts w:asciiTheme="minorHAnsi" w:hAnsiTheme="minorHAnsi" w:cstheme="minorHAnsi"/>
          <w:sz w:val="22"/>
        </w:rPr>
        <w:t>s</w:t>
      </w:r>
      <w:r w:rsidR="00EB7686" w:rsidRPr="00CE62CC">
        <w:rPr>
          <w:rFonts w:asciiTheme="minorHAnsi" w:hAnsiTheme="minorHAnsi" w:cstheme="minorHAnsi"/>
          <w:sz w:val="22"/>
        </w:rPr>
        <w:t xml:space="preserve"> and for treaties between two or more </w:t>
      </w:r>
      <w:r w:rsidR="00154C59" w:rsidRPr="00CE62CC">
        <w:rPr>
          <w:rFonts w:asciiTheme="minorHAnsi" w:hAnsiTheme="minorHAnsi" w:cstheme="minorHAnsi"/>
          <w:sz w:val="22"/>
        </w:rPr>
        <w:t>States</w:t>
      </w:r>
      <w:r w:rsidR="00EB7686" w:rsidRPr="00CE62CC">
        <w:rPr>
          <w:rFonts w:asciiTheme="minorHAnsi" w:hAnsiTheme="minorHAnsi" w:cstheme="minorHAnsi"/>
          <w:sz w:val="22"/>
        </w:rPr>
        <w:t xml:space="preserve"> where indigenous peoples are excluded from participating as third parties</w:t>
      </w:r>
      <w:r w:rsidR="00991D93" w:rsidRPr="00CE62CC">
        <w:rPr>
          <w:rFonts w:asciiTheme="minorHAnsi" w:hAnsiTheme="minorHAnsi" w:cstheme="minorHAnsi"/>
          <w:sz w:val="22"/>
        </w:rPr>
        <w:t>, but</w:t>
      </w:r>
      <w:r w:rsidR="00991D93" w:rsidRPr="00CE62CC">
        <w:rPr>
          <w:rFonts w:asciiTheme="minorHAnsi" w:hAnsiTheme="minorHAnsi" w:cstheme="minorHAnsi"/>
          <w:b/>
          <w:bCs/>
          <w:sz w:val="22"/>
        </w:rPr>
        <w:t xml:space="preserve"> “</w:t>
      </w:r>
      <w:r w:rsidR="00D2096C" w:rsidRPr="00CE62CC">
        <w:rPr>
          <w:rFonts w:asciiTheme="minorHAnsi" w:hAnsiTheme="minorHAnsi" w:cstheme="minorHAnsi"/>
          <w:b/>
          <w:bCs/>
          <w:sz w:val="22"/>
        </w:rPr>
        <w:t>…</w:t>
      </w:r>
      <w:r w:rsidR="00991D93" w:rsidRPr="00CE62CC">
        <w:rPr>
          <w:rFonts w:asciiTheme="minorHAnsi" w:hAnsiTheme="minorHAnsi" w:cstheme="minorHAnsi"/>
          <w:b/>
          <w:bCs/>
          <w:sz w:val="22"/>
        </w:rPr>
        <w:t>may in the future</w:t>
      </w:r>
      <w:r w:rsidR="00991D93" w:rsidRPr="00CE62CC">
        <w:rPr>
          <w:rFonts w:asciiTheme="minorHAnsi" w:hAnsiTheme="minorHAnsi" w:cstheme="minorHAnsi"/>
          <w:sz w:val="22"/>
        </w:rPr>
        <w:t>.” (Emphasis added)</w:t>
      </w:r>
    </w:p>
    <w:p w14:paraId="5F353169" w14:textId="77777777" w:rsidR="00853BDF" w:rsidRPr="00CE62CC" w:rsidRDefault="00853BDF" w:rsidP="00DF6D46">
      <w:pPr>
        <w:spacing w:line="240" w:lineRule="auto"/>
        <w:contextualSpacing/>
        <w:rPr>
          <w:rFonts w:asciiTheme="minorHAnsi" w:hAnsiTheme="minorHAnsi" w:cstheme="minorHAnsi"/>
          <w:sz w:val="22"/>
        </w:rPr>
      </w:pPr>
    </w:p>
    <w:p w14:paraId="546D0868" w14:textId="77777777" w:rsidR="00853BDF" w:rsidRDefault="00853BDF" w:rsidP="00853BDF">
      <w:pPr>
        <w:spacing w:line="240" w:lineRule="auto"/>
        <w:contextualSpacing/>
        <w:rPr>
          <w:rFonts w:asciiTheme="minorHAnsi" w:hAnsiTheme="minorHAnsi" w:cstheme="minorHAnsi"/>
          <w:sz w:val="22"/>
        </w:rPr>
      </w:pPr>
      <w:r w:rsidRPr="00CE62CC">
        <w:rPr>
          <w:rFonts w:asciiTheme="minorHAnsi" w:hAnsiTheme="minorHAnsi" w:cstheme="minorHAnsi"/>
          <w:sz w:val="22"/>
        </w:rPr>
        <w:t>The issue then is whether a State, here Mexico and the U.S., can foreclose a right to an indigenous people covered in the Treaty simply because it has chosen to do so. We argue that a thorough scrutiny of the Treaty will show that it is very much in effect and open to current analysis and practice of international principles of law and human rights.</w:t>
      </w:r>
    </w:p>
    <w:p w14:paraId="4161C2CA" w14:textId="23A1B20C" w:rsidR="00154C59" w:rsidRDefault="00154C59" w:rsidP="00DF6D46">
      <w:pPr>
        <w:spacing w:line="240" w:lineRule="auto"/>
        <w:contextualSpacing/>
        <w:rPr>
          <w:rFonts w:asciiTheme="minorHAnsi" w:hAnsiTheme="minorHAnsi" w:cstheme="minorHAnsi"/>
          <w:sz w:val="22"/>
        </w:rPr>
      </w:pPr>
    </w:p>
    <w:p w14:paraId="536E2AA9" w14:textId="6B1855D2" w:rsidR="00CD6239" w:rsidRPr="00A857E5" w:rsidRDefault="00154C59" w:rsidP="00DF6D46">
      <w:pPr>
        <w:spacing w:after="120" w:line="240" w:lineRule="auto"/>
        <w:contextualSpacing/>
        <w:rPr>
          <w:rFonts w:ascii="Calibri" w:eastAsia="Times New Roman" w:hAnsi="Calibri" w:cs="Calibri"/>
          <w:color w:val="000000"/>
          <w:sz w:val="22"/>
        </w:rPr>
      </w:pPr>
      <w:r w:rsidRPr="00154C59">
        <w:rPr>
          <w:rFonts w:ascii="Calibri" w:eastAsia="Times New Roman" w:hAnsi="Calibri" w:cs="Calibri"/>
          <w:color w:val="000000"/>
          <w:sz w:val="22"/>
        </w:rPr>
        <w:t>We recommend that EMRIP:</w:t>
      </w:r>
    </w:p>
    <w:p w14:paraId="52B53958" w14:textId="48AFAD05" w:rsidR="00CD6239" w:rsidRDefault="00C74BA5" w:rsidP="00DF6D46">
      <w:pPr>
        <w:numPr>
          <w:ilvl w:val="0"/>
          <w:numId w:val="4"/>
        </w:numPr>
        <w:spacing w:after="0" w:line="240" w:lineRule="auto"/>
        <w:contextualSpacing/>
        <w:textAlignment w:val="baseline"/>
        <w:rPr>
          <w:rFonts w:ascii="Calibri" w:eastAsia="Times New Roman" w:hAnsi="Calibri" w:cs="Calibri"/>
          <w:color w:val="000000"/>
          <w:sz w:val="22"/>
        </w:rPr>
      </w:pPr>
      <w:r>
        <w:rPr>
          <w:rFonts w:ascii="Calibri" w:eastAsia="Times New Roman" w:hAnsi="Calibri" w:cs="Calibri"/>
          <w:color w:val="000000"/>
          <w:sz w:val="22"/>
        </w:rPr>
        <w:t>Include in this current study</w:t>
      </w:r>
      <w:r w:rsidR="008D59FF">
        <w:rPr>
          <w:rFonts w:ascii="Calibri" w:eastAsia="Times New Roman" w:hAnsi="Calibri" w:cs="Calibri"/>
          <w:color w:val="000000"/>
          <w:sz w:val="22"/>
        </w:rPr>
        <w:t>,</w:t>
      </w:r>
      <w:r>
        <w:rPr>
          <w:rFonts w:ascii="Calibri" w:eastAsia="Times New Roman" w:hAnsi="Calibri" w:cs="Calibri"/>
          <w:color w:val="000000"/>
          <w:sz w:val="22"/>
        </w:rPr>
        <w:t xml:space="preserve"> the Treaty of Guadalupe Hidalgo in which indigenous peoples were not formal </w:t>
      </w:r>
      <w:r w:rsidR="004F2AA0">
        <w:rPr>
          <w:rFonts w:ascii="Calibri" w:eastAsia="Times New Roman" w:hAnsi="Calibri" w:cs="Calibri"/>
          <w:color w:val="000000"/>
          <w:sz w:val="22"/>
        </w:rPr>
        <w:t>P</w:t>
      </w:r>
      <w:r>
        <w:rPr>
          <w:rFonts w:ascii="Calibri" w:eastAsia="Times New Roman" w:hAnsi="Calibri" w:cs="Calibri"/>
          <w:color w:val="000000"/>
          <w:sz w:val="22"/>
        </w:rPr>
        <w:t>arties to the Treaty but have been and are adversely affected by the denial of rights under such a treaty and as</w:t>
      </w:r>
      <w:r w:rsidR="00CD6239">
        <w:rPr>
          <w:rFonts w:ascii="Calibri" w:eastAsia="Times New Roman" w:hAnsi="Calibri" w:cs="Calibri"/>
          <w:color w:val="000000"/>
          <w:sz w:val="22"/>
        </w:rPr>
        <w:t xml:space="preserve"> recommended by Mart</w:t>
      </w:r>
      <w:r w:rsidR="009627FD">
        <w:rPr>
          <w:rFonts w:ascii="Calibri" w:eastAsia="Times New Roman" w:hAnsi="Calibri" w:cs="Calibri"/>
          <w:color w:val="000000"/>
          <w:sz w:val="22"/>
        </w:rPr>
        <w:t>í</w:t>
      </w:r>
      <w:r w:rsidR="00CD6239">
        <w:rPr>
          <w:rFonts w:ascii="Calibri" w:eastAsia="Times New Roman" w:hAnsi="Calibri" w:cs="Calibri"/>
          <w:color w:val="000000"/>
          <w:sz w:val="22"/>
        </w:rPr>
        <w:t>nez in the original</w:t>
      </w:r>
      <w:r>
        <w:rPr>
          <w:rFonts w:ascii="Calibri" w:eastAsia="Times New Roman" w:hAnsi="Calibri" w:cs="Calibri"/>
          <w:color w:val="000000"/>
          <w:sz w:val="22"/>
        </w:rPr>
        <w:t xml:space="preserve"> study of </w:t>
      </w:r>
      <w:r w:rsidR="008D59FF">
        <w:rPr>
          <w:rFonts w:ascii="Calibri" w:eastAsia="Times New Roman" w:hAnsi="Calibri" w:cs="Calibri"/>
          <w:color w:val="000000"/>
          <w:sz w:val="22"/>
        </w:rPr>
        <w:t>t</w:t>
      </w:r>
      <w:r>
        <w:rPr>
          <w:rFonts w:ascii="Calibri" w:eastAsia="Times New Roman" w:hAnsi="Calibri" w:cs="Calibri"/>
          <w:color w:val="000000"/>
          <w:sz w:val="22"/>
        </w:rPr>
        <w:t>reaties.</w:t>
      </w:r>
    </w:p>
    <w:bookmarkEnd w:id="1"/>
    <w:p w14:paraId="02F11509" w14:textId="2CC91E53" w:rsidR="00C74BA5" w:rsidRDefault="00C74BA5" w:rsidP="00C74BA5">
      <w:pPr>
        <w:numPr>
          <w:ilvl w:val="0"/>
          <w:numId w:val="4"/>
        </w:numPr>
        <w:spacing w:after="0" w:line="240" w:lineRule="auto"/>
        <w:contextualSpacing/>
        <w:textAlignment w:val="baseline"/>
        <w:rPr>
          <w:rFonts w:ascii="Calibri" w:eastAsia="Times New Roman" w:hAnsi="Calibri" w:cs="Calibri"/>
          <w:color w:val="000000"/>
          <w:sz w:val="22"/>
        </w:rPr>
      </w:pPr>
      <w:r>
        <w:rPr>
          <w:rFonts w:ascii="Calibri" w:eastAsia="Times New Roman" w:hAnsi="Calibri" w:cs="Calibri"/>
          <w:color w:val="000000"/>
          <w:sz w:val="22"/>
        </w:rPr>
        <w:t>Request the Special Rapporteur on the Rights of Indigenous Peoples to consider rights violated in this border area, with specific consideration of the Treaty.</w:t>
      </w:r>
    </w:p>
    <w:p w14:paraId="3A9D25CD" w14:textId="396D3E48" w:rsidR="00C74BA5" w:rsidRPr="00CA44ED" w:rsidRDefault="00CA44ED" w:rsidP="00C74BA5">
      <w:pPr>
        <w:numPr>
          <w:ilvl w:val="0"/>
          <w:numId w:val="4"/>
        </w:numPr>
        <w:spacing w:after="0" w:line="240" w:lineRule="auto"/>
        <w:contextualSpacing/>
        <w:textAlignment w:val="baseline"/>
        <w:rPr>
          <w:rFonts w:ascii="Calibri" w:eastAsia="Times New Roman" w:hAnsi="Calibri" w:cs="Calibri"/>
          <w:color w:val="000000"/>
          <w:sz w:val="22"/>
        </w:rPr>
      </w:pPr>
      <w:r>
        <w:rPr>
          <w:rFonts w:ascii="Calibri" w:eastAsia="Times New Roman" w:hAnsi="Calibri" w:cs="Calibri"/>
          <w:color w:val="000000"/>
          <w:sz w:val="22"/>
        </w:rPr>
        <w:t xml:space="preserve">Study the Treaty of </w:t>
      </w:r>
      <w:r>
        <w:rPr>
          <w:rFonts w:ascii="Calibri" w:hAnsi="Calibri" w:cs="Calibri"/>
          <w:color w:val="000000"/>
          <w:sz w:val="22"/>
        </w:rPr>
        <w:t xml:space="preserve">Guadalupe Hidalgo, based on #11 of the EMRIP Concept Note, </w:t>
      </w:r>
      <w:r w:rsidR="00303321">
        <w:rPr>
          <w:rFonts w:ascii="Calibri" w:hAnsi="Calibri" w:cs="Calibri"/>
          <w:color w:val="000000"/>
          <w:sz w:val="22"/>
        </w:rPr>
        <w:t xml:space="preserve">to </w:t>
      </w:r>
      <w:r>
        <w:rPr>
          <w:rFonts w:ascii="Calibri" w:hAnsi="Calibri" w:cs="Calibri"/>
          <w:color w:val="000000"/>
          <w:sz w:val="22"/>
        </w:rPr>
        <w:t>“assess the extent to which Article 37 of the UN Declaration has been and is being implemented or considered nationally…I</w:t>
      </w:r>
      <w:r w:rsidR="00F8218E">
        <w:rPr>
          <w:rFonts w:ascii="Calibri" w:hAnsi="Calibri" w:cs="Calibri"/>
          <w:color w:val="000000"/>
          <w:sz w:val="22"/>
        </w:rPr>
        <w:t>t</w:t>
      </w:r>
      <w:r>
        <w:rPr>
          <w:rFonts w:ascii="Calibri" w:hAnsi="Calibri" w:cs="Calibri"/>
          <w:color w:val="000000"/>
          <w:sz w:val="22"/>
        </w:rPr>
        <w:t xml:space="preserve"> will demonstrate the connection between article 37 and other rights notably the right to self-determination, the right to maintain and strengthen their political, legal, economic, social, cultural institutions, the right to lands, territories and resources, and the right to redress, as outlined in the UN Declaration…”</w:t>
      </w:r>
    </w:p>
    <w:p w14:paraId="67406AA2" w14:textId="0D705C2F" w:rsidR="009C2197" w:rsidRPr="009C2197" w:rsidRDefault="00CA44ED" w:rsidP="009C2197">
      <w:pPr>
        <w:numPr>
          <w:ilvl w:val="0"/>
          <w:numId w:val="4"/>
        </w:numPr>
        <w:spacing w:after="0" w:line="240" w:lineRule="auto"/>
        <w:contextualSpacing/>
        <w:textAlignment w:val="baseline"/>
        <w:rPr>
          <w:rFonts w:ascii="Calibri" w:eastAsia="Times New Roman" w:hAnsi="Calibri" w:cs="Calibri"/>
          <w:color w:val="000000"/>
          <w:sz w:val="22"/>
        </w:rPr>
      </w:pPr>
      <w:r>
        <w:rPr>
          <w:rFonts w:ascii="Calibri" w:hAnsi="Calibri" w:cs="Calibri"/>
          <w:color w:val="000000"/>
          <w:sz w:val="22"/>
        </w:rPr>
        <w:t>Specify</w:t>
      </w:r>
      <w:r w:rsidR="003D41F2">
        <w:rPr>
          <w:rFonts w:ascii="Calibri" w:hAnsi="Calibri" w:cs="Calibri"/>
          <w:color w:val="000000"/>
          <w:sz w:val="22"/>
        </w:rPr>
        <w:t xml:space="preserve"> </w:t>
      </w:r>
      <w:r>
        <w:rPr>
          <w:rFonts w:ascii="Calibri" w:hAnsi="Calibri" w:cs="Calibri"/>
          <w:color w:val="000000"/>
          <w:sz w:val="22"/>
        </w:rPr>
        <w:t xml:space="preserve">the need for new joint problem solving approaches that correct the lack of FPIC and to facilitate constructive dialogue to include the Parties to the Treaty of Guadalupe Hidalgo, Chicanos and other indigenous peoples affected within the boundaries of the current Southwest U.S., </w:t>
      </w:r>
      <w:r w:rsidR="00857848" w:rsidRPr="00857848">
        <w:rPr>
          <w:rFonts w:ascii="Calibri" w:hAnsi="Calibri" w:cs="Calibri"/>
          <w:color w:val="000000"/>
          <w:sz w:val="22"/>
        </w:rPr>
        <w:t>understanding that the Treaty is a human rights document that affords a legal framework of international human rights law to address the shortcomings of the Treaty, and recommend methods to create respect for and promote the cultural, economic and political rights of Chicanos and other indigenous peoples afforded by human rights law and international norms.</w:t>
      </w:r>
    </w:p>
    <w:p w14:paraId="39050361" w14:textId="653305BD" w:rsidR="00C57060" w:rsidRPr="004F5B67" w:rsidRDefault="00857848" w:rsidP="004F5B67">
      <w:pPr>
        <w:numPr>
          <w:ilvl w:val="0"/>
          <w:numId w:val="4"/>
        </w:numPr>
        <w:spacing w:after="0" w:line="240" w:lineRule="auto"/>
        <w:contextualSpacing/>
        <w:textAlignment w:val="baseline"/>
        <w:rPr>
          <w:rFonts w:ascii="Calibri" w:eastAsia="Times New Roman" w:hAnsi="Calibri" w:cs="Calibri"/>
          <w:color w:val="000000"/>
          <w:sz w:val="22"/>
        </w:rPr>
      </w:pPr>
      <w:r w:rsidRPr="009C2197">
        <w:rPr>
          <w:rFonts w:ascii="Calibri" w:hAnsi="Calibri" w:cs="Calibri"/>
          <w:color w:val="000000"/>
          <w:sz w:val="22"/>
        </w:rPr>
        <w:t>Recognize the need for a framework integrating offices under the UNHRC to oversee negotiating between the Parties of the Treaty of Guadalupe Hidalgo, drafting of appropriate documents, and ensuring legal principles and practice are applied through a juridical process as necessary. This would fulfill the recommendations made in the Martínez Study on the Rights of Indigenous Peoples</w:t>
      </w:r>
      <w:r w:rsidR="00245E09">
        <w:rPr>
          <w:rFonts w:ascii="Calibri" w:hAnsi="Calibri" w:cs="Calibri"/>
          <w:color w:val="000000"/>
          <w:sz w:val="22"/>
        </w:rPr>
        <w:t>.</w:t>
      </w:r>
    </w:p>
    <w:p w14:paraId="32A6D28B" w14:textId="44E7EBE6" w:rsidR="004F5B67" w:rsidRDefault="004F5B67" w:rsidP="004F5B67">
      <w:pPr>
        <w:spacing w:after="0" w:line="240" w:lineRule="auto"/>
        <w:contextualSpacing/>
        <w:textAlignment w:val="baseline"/>
        <w:rPr>
          <w:rFonts w:ascii="Calibri" w:hAnsi="Calibri" w:cs="Calibri"/>
          <w:color w:val="000000"/>
          <w:sz w:val="22"/>
        </w:rPr>
      </w:pPr>
    </w:p>
    <w:p w14:paraId="762309CD" w14:textId="459D2E4C" w:rsidR="008174BE" w:rsidRPr="007D3D41" w:rsidRDefault="00630152" w:rsidP="00E2531D">
      <w:pPr>
        <w:pStyle w:val="NormalWeb"/>
        <w:spacing w:before="0" w:beforeAutospacing="0" w:after="0" w:afterAutospacing="0"/>
        <w:contextualSpacing/>
        <w:jc w:val="center"/>
        <w:textAlignment w:val="baseline"/>
        <w:rPr>
          <w:rFonts w:ascii="Calibri" w:hAnsi="Calibri" w:cs="Calibri"/>
          <w:b/>
          <w:bCs/>
          <w:color w:val="000000"/>
          <w:sz w:val="22"/>
          <w:szCs w:val="22"/>
        </w:rPr>
      </w:pPr>
      <w:r w:rsidRPr="007D3D41">
        <w:rPr>
          <w:rFonts w:ascii="Calibri" w:hAnsi="Calibri" w:cs="Calibri"/>
          <w:b/>
          <w:bCs/>
          <w:color w:val="000000"/>
          <w:sz w:val="22"/>
          <w:szCs w:val="22"/>
        </w:rPr>
        <w:t>SIGNATORS</w:t>
      </w:r>
    </w:p>
    <w:tbl>
      <w:tblPr>
        <w:tblStyle w:val="TableGrid"/>
        <w:tblpPr w:leftFromText="180" w:rightFromText="180" w:vertAnchor="text" w:horzAnchor="margin" w:tblpXSpec="right" w:tblpY="432"/>
        <w:tblW w:w="99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310"/>
      </w:tblGrid>
      <w:tr w:rsidR="002D2C94" w:rsidRPr="00F87EA1" w14:paraId="4E35D829" w14:textId="77777777" w:rsidTr="002D2C94">
        <w:tc>
          <w:tcPr>
            <w:tcW w:w="4680" w:type="dxa"/>
          </w:tcPr>
          <w:p w14:paraId="753A12A7" w14:textId="38EA8EF5" w:rsidR="002D2C94" w:rsidRPr="008C6AA2" w:rsidRDefault="002D2C94" w:rsidP="00E442F0">
            <w:pPr>
              <w:rPr>
                <w:rFonts w:asciiTheme="minorHAnsi" w:eastAsia="Times New Roman" w:hAnsiTheme="minorHAnsi" w:cstheme="minorHAnsi"/>
                <w:sz w:val="22"/>
                <w:szCs w:val="22"/>
                <w:lang w:val="es-MX"/>
              </w:rPr>
            </w:pPr>
            <w:r w:rsidRPr="008C6AA2">
              <w:rPr>
                <w:rFonts w:asciiTheme="minorHAnsi" w:eastAsia="Times New Roman" w:hAnsiTheme="minorHAnsi" w:cstheme="minorHAnsi"/>
                <w:b/>
                <w:bCs/>
                <w:sz w:val="22"/>
                <w:szCs w:val="22"/>
                <w:lang w:val="es-MX"/>
              </w:rPr>
              <w:t>Amb</w:t>
            </w:r>
            <w:r w:rsidR="0034488D" w:rsidRPr="008C6AA2">
              <w:rPr>
                <w:rFonts w:asciiTheme="minorHAnsi" w:eastAsia="Times New Roman" w:hAnsiTheme="minorHAnsi" w:cstheme="minorHAnsi"/>
                <w:b/>
                <w:bCs/>
                <w:sz w:val="22"/>
                <w:szCs w:val="22"/>
                <w:lang w:val="es-MX"/>
              </w:rPr>
              <w:t>e</w:t>
            </w:r>
            <w:r w:rsidRPr="008C6AA2">
              <w:rPr>
                <w:rFonts w:asciiTheme="minorHAnsi" w:eastAsia="Times New Roman" w:hAnsiTheme="minorHAnsi" w:cstheme="minorHAnsi"/>
                <w:b/>
                <w:bCs/>
                <w:sz w:val="22"/>
                <w:szCs w:val="22"/>
                <w:lang w:val="es-MX"/>
              </w:rPr>
              <w:t xml:space="preserve">r </w:t>
            </w:r>
            <w:r w:rsidR="0011592E" w:rsidRPr="008C6AA2">
              <w:rPr>
                <w:rFonts w:asciiTheme="minorHAnsi" w:eastAsia="Times New Roman" w:hAnsiTheme="minorHAnsi" w:cstheme="minorHAnsi"/>
                <w:b/>
                <w:bCs/>
                <w:sz w:val="22"/>
                <w:szCs w:val="22"/>
                <w:lang w:val="es-MX"/>
              </w:rPr>
              <w:t xml:space="preserve">Lee </w:t>
            </w:r>
            <w:r w:rsidRPr="008C6AA2">
              <w:rPr>
                <w:rFonts w:asciiTheme="minorHAnsi" w:eastAsia="Times New Roman" w:hAnsiTheme="minorHAnsi" w:cstheme="minorHAnsi"/>
                <w:b/>
                <w:bCs/>
                <w:sz w:val="22"/>
                <w:szCs w:val="22"/>
                <w:lang w:val="es-MX"/>
              </w:rPr>
              <w:t>Ortega</w:t>
            </w:r>
            <w:r w:rsidR="0011592E" w:rsidRPr="008C6AA2">
              <w:rPr>
                <w:rFonts w:asciiTheme="minorHAnsi" w:eastAsia="Times New Roman" w:hAnsiTheme="minorHAnsi" w:cstheme="minorHAnsi"/>
                <w:sz w:val="22"/>
                <w:szCs w:val="22"/>
                <w:lang w:val="es-MX"/>
              </w:rPr>
              <w:t xml:space="preserve">, </w:t>
            </w:r>
            <w:r w:rsidR="0011592E" w:rsidRPr="008C6AA2">
              <w:rPr>
                <w:rFonts w:asciiTheme="minorHAnsi" w:hAnsiTheme="minorHAnsi" w:cstheme="minorHAnsi"/>
                <w:color w:val="222222"/>
                <w:sz w:val="22"/>
                <w:szCs w:val="22"/>
                <w:shd w:val="clear" w:color="auto" w:fill="FFFFFF"/>
              </w:rPr>
              <w:t xml:space="preserve">member of Tohono O'odham Nation (Desert People), a descendant of </w:t>
            </w:r>
            <w:proofErr w:type="spellStart"/>
            <w:r w:rsidR="0011592E" w:rsidRPr="008C6AA2">
              <w:rPr>
                <w:rFonts w:asciiTheme="minorHAnsi" w:hAnsiTheme="minorHAnsi" w:cstheme="minorHAnsi"/>
                <w:color w:val="222222"/>
                <w:sz w:val="22"/>
                <w:szCs w:val="22"/>
                <w:shd w:val="clear" w:color="auto" w:fill="FFFFFF"/>
              </w:rPr>
              <w:t>Hia-Ced</w:t>
            </w:r>
            <w:proofErr w:type="spellEnd"/>
            <w:r w:rsidR="0011592E" w:rsidRPr="008C6AA2">
              <w:rPr>
                <w:rFonts w:asciiTheme="minorHAnsi" w:hAnsiTheme="minorHAnsi" w:cstheme="minorHAnsi"/>
                <w:color w:val="222222"/>
                <w:sz w:val="22"/>
                <w:szCs w:val="22"/>
                <w:shd w:val="clear" w:color="auto" w:fill="FFFFFF"/>
              </w:rPr>
              <w:t xml:space="preserve"> O'odham (Sand People), and descendant of </w:t>
            </w:r>
            <w:proofErr w:type="spellStart"/>
            <w:r w:rsidR="0011592E" w:rsidRPr="008C6AA2">
              <w:rPr>
                <w:rFonts w:asciiTheme="minorHAnsi" w:hAnsiTheme="minorHAnsi" w:cstheme="minorHAnsi"/>
                <w:color w:val="222222"/>
                <w:sz w:val="22"/>
                <w:szCs w:val="22"/>
                <w:shd w:val="clear" w:color="auto" w:fill="FFFFFF"/>
              </w:rPr>
              <w:t>A'al</w:t>
            </w:r>
            <w:proofErr w:type="spellEnd"/>
            <w:r w:rsidR="0011592E" w:rsidRPr="008C6AA2">
              <w:rPr>
                <w:rFonts w:asciiTheme="minorHAnsi" w:hAnsiTheme="minorHAnsi" w:cstheme="minorHAnsi"/>
                <w:color w:val="222222"/>
                <w:sz w:val="22"/>
                <w:szCs w:val="22"/>
                <w:shd w:val="clear" w:color="auto" w:fill="FFFFFF"/>
              </w:rPr>
              <w:t xml:space="preserve"> </w:t>
            </w:r>
            <w:proofErr w:type="spellStart"/>
            <w:r w:rsidR="0011592E" w:rsidRPr="008C6AA2">
              <w:rPr>
                <w:rFonts w:asciiTheme="minorHAnsi" w:hAnsiTheme="minorHAnsi" w:cstheme="minorHAnsi"/>
                <w:color w:val="222222"/>
                <w:sz w:val="22"/>
                <w:szCs w:val="22"/>
                <w:shd w:val="clear" w:color="auto" w:fill="FFFFFF"/>
              </w:rPr>
              <w:t>Vaippia</w:t>
            </w:r>
            <w:proofErr w:type="spellEnd"/>
            <w:r w:rsidR="0011592E" w:rsidRPr="008C6AA2">
              <w:rPr>
                <w:rFonts w:asciiTheme="minorHAnsi" w:hAnsiTheme="minorHAnsi" w:cstheme="minorHAnsi"/>
                <w:color w:val="222222"/>
                <w:sz w:val="22"/>
                <w:szCs w:val="22"/>
                <w:shd w:val="clear" w:color="auto" w:fill="FFFFFF"/>
              </w:rPr>
              <w:t xml:space="preserve"> (</w:t>
            </w:r>
            <w:proofErr w:type="spellStart"/>
            <w:r w:rsidR="0011592E" w:rsidRPr="008C6AA2">
              <w:rPr>
                <w:rFonts w:asciiTheme="minorHAnsi" w:hAnsiTheme="minorHAnsi" w:cstheme="minorHAnsi"/>
                <w:color w:val="222222"/>
                <w:sz w:val="22"/>
                <w:szCs w:val="22"/>
                <w:shd w:val="clear" w:color="auto" w:fill="FFFFFF"/>
              </w:rPr>
              <w:t>Quitobaquito</w:t>
            </w:r>
            <w:proofErr w:type="spellEnd"/>
            <w:r w:rsidR="0011592E" w:rsidRPr="008C6AA2">
              <w:rPr>
                <w:rFonts w:asciiTheme="minorHAnsi" w:hAnsiTheme="minorHAnsi" w:cstheme="minorHAnsi"/>
                <w:color w:val="222222"/>
                <w:sz w:val="22"/>
                <w:szCs w:val="22"/>
                <w:shd w:val="clear" w:color="auto" w:fill="FFFFFF"/>
              </w:rPr>
              <w:t xml:space="preserve"> Springs)</w:t>
            </w:r>
          </w:p>
          <w:p w14:paraId="4FEA870E" w14:textId="77777777" w:rsidR="002D2C94" w:rsidRPr="008C6AA2" w:rsidRDefault="002D2C94" w:rsidP="00E442F0">
            <w:pPr>
              <w:rPr>
                <w:rFonts w:asciiTheme="minorHAnsi" w:eastAsia="Times New Roman" w:hAnsiTheme="minorHAnsi" w:cstheme="minorHAnsi"/>
                <w:sz w:val="22"/>
                <w:szCs w:val="22"/>
                <w:lang w:val="es-MX"/>
              </w:rPr>
            </w:pPr>
          </w:p>
        </w:tc>
        <w:tc>
          <w:tcPr>
            <w:tcW w:w="5310" w:type="dxa"/>
          </w:tcPr>
          <w:p w14:paraId="454DBF49" w14:textId="77777777" w:rsidR="002D2C94" w:rsidRPr="008C6AA2" w:rsidRDefault="002D2C94" w:rsidP="00E442F0">
            <w:pPr>
              <w:rPr>
                <w:rFonts w:asciiTheme="minorHAnsi" w:hAnsiTheme="minorHAnsi" w:cstheme="minorHAnsi"/>
                <w:sz w:val="22"/>
                <w:szCs w:val="22"/>
              </w:rPr>
            </w:pPr>
            <w:r w:rsidRPr="008C6AA2">
              <w:rPr>
                <w:rFonts w:asciiTheme="minorHAnsi" w:hAnsiTheme="minorHAnsi" w:cstheme="minorHAnsi"/>
                <w:b/>
                <w:bCs/>
                <w:sz w:val="22"/>
                <w:szCs w:val="22"/>
              </w:rPr>
              <w:t>David J. Garcia</w:t>
            </w:r>
            <w:r w:rsidRPr="008C6AA2">
              <w:rPr>
                <w:rFonts w:asciiTheme="minorHAnsi" w:hAnsiTheme="minorHAnsi" w:cstheme="minorHAnsi"/>
                <w:sz w:val="22"/>
                <w:szCs w:val="22"/>
              </w:rPr>
              <w:t>, Tohono O'odham Nation (Desert People) O'odham Elders Council (Grass Roots) Former Tohono O'odham Legislator</w:t>
            </w:r>
          </w:p>
          <w:p w14:paraId="52B03D8B" w14:textId="77777777" w:rsidR="002D2C94" w:rsidRPr="008C6AA2" w:rsidRDefault="002D2C94" w:rsidP="00E442F0">
            <w:pPr>
              <w:rPr>
                <w:rFonts w:asciiTheme="minorHAnsi" w:hAnsiTheme="minorHAnsi" w:cstheme="minorHAnsi"/>
                <w:sz w:val="22"/>
                <w:szCs w:val="22"/>
              </w:rPr>
            </w:pPr>
          </w:p>
        </w:tc>
      </w:tr>
      <w:tr w:rsidR="002D2C94" w:rsidRPr="00F87EA1" w14:paraId="00FEFDDE" w14:textId="77777777" w:rsidTr="002D2C94">
        <w:tc>
          <w:tcPr>
            <w:tcW w:w="4680" w:type="dxa"/>
          </w:tcPr>
          <w:p w14:paraId="1245AA33" w14:textId="717EB0D5" w:rsidR="002D2C94" w:rsidRPr="008C6AA2" w:rsidRDefault="002D2C94" w:rsidP="00E442F0">
            <w:pPr>
              <w:rPr>
                <w:rFonts w:asciiTheme="minorHAnsi" w:hAnsiTheme="minorHAnsi" w:cstheme="minorHAnsi"/>
                <w:sz w:val="22"/>
                <w:szCs w:val="22"/>
                <w:lang w:val="es-MX"/>
              </w:rPr>
            </w:pPr>
            <w:r w:rsidRPr="008C6AA2">
              <w:rPr>
                <w:rFonts w:asciiTheme="minorHAnsi" w:hAnsiTheme="minorHAnsi" w:cstheme="minorHAnsi"/>
                <w:b/>
                <w:bCs/>
                <w:sz w:val="22"/>
                <w:szCs w:val="22"/>
                <w:lang w:val="es-MX"/>
              </w:rPr>
              <w:t>Antonio Gonzales</w:t>
            </w:r>
            <w:r w:rsidRPr="008C6AA2">
              <w:rPr>
                <w:rFonts w:asciiTheme="minorHAnsi" w:hAnsiTheme="minorHAnsi" w:cstheme="minorHAnsi"/>
                <w:sz w:val="22"/>
                <w:szCs w:val="22"/>
                <w:lang w:val="es-MX"/>
              </w:rPr>
              <w:t>, Executive Director</w:t>
            </w:r>
            <w:r w:rsidR="008174BE" w:rsidRPr="008C6AA2">
              <w:rPr>
                <w:rFonts w:asciiTheme="minorHAnsi" w:hAnsiTheme="minorHAnsi" w:cstheme="minorHAnsi"/>
                <w:sz w:val="22"/>
                <w:szCs w:val="22"/>
                <w:lang w:val="es-MX"/>
              </w:rPr>
              <w:t>,</w:t>
            </w:r>
          </w:p>
          <w:p w14:paraId="159F1284" w14:textId="77777777" w:rsidR="002D2C94" w:rsidRPr="008C6AA2" w:rsidRDefault="002D2C94" w:rsidP="00E442F0">
            <w:pPr>
              <w:rPr>
                <w:rFonts w:asciiTheme="minorHAnsi" w:hAnsiTheme="minorHAnsi" w:cstheme="minorHAnsi"/>
                <w:sz w:val="22"/>
                <w:szCs w:val="22"/>
                <w:lang w:val="es-MX"/>
              </w:rPr>
            </w:pPr>
            <w:r w:rsidRPr="008C6AA2">
              <w:rPr>
                <w:rFonts w:asciiTheme="minorHAnsi" w:hAnsiTheme="minorHAnsi" w:cstheme="minorHAnsi"/>
                <w:sz w:val="22"/>
                <w:szCs w:val="22"/>
                <w:lang w:val="es-MX"/>
              </w:rPr>
              <w:t>AIM-West</w:t>
            </w:r>
          </w:p>
          <w:p w14:paraId="12960DF9" w14:textId="77777777" w:rsidR="002D2C94" w:rsidRPr="008C6AA2" w:rsidRDefault="002D2C94" w:rsidP="00E442F0">
            <w:pPr>
              <w:rPr>
                <w:rFonts w:asciiTheme="minorHAnsi" w:hAnsiTheme="minorHAnsi" w:cstheme="minorHAnsi"/>
                <w:sz w:val="22"/>
                <w:szCs w:val="22"/>
                <w:lang w:val="es-MX"/>
              </w:rPr>
            </w:pPr>
          </w:p>
        </w:tc>
        <w:tc>
          <w:tcPr>
            <w:tcW w:w="5310" w:type="dxa"/>
          </w:tcPr>
          <w:p w14:paraId="7E0E2DC6" w14:textId="106115B9" w:rsidR="002D2C94" w:rsidRPr="008C6AA2" w:rsidRDefault="002D2C94" w:rsidP="00E442F0">
            <w:pPr>
              <w:rPr>
                <w:rFonts w:asciiTheme="minorHAnsi" w:hAnsiTheme="minorHAnsi" w:cstheme="minorHAnsi"/>
                <w:sz w:val="22"/>
                <w:szCs w:val="22"/>
              </w:rPr>
            </w:pPr>
            <w:r w:rsidRPr="008C6AA2">
              <w:rPr>
                <w:rFonts w:asciiTheme="minorHAnsi" w:hAnsiTheme="minorHAnsi" w:cstheme="minorHAnsi"/>
                <w:b/>
                <w:bCs/>
                <w:sz w:val="22"/>
                <w:szCs w:val="22"/>
              </w:rPr>
              <w:t>Ernesto Mireles</w:t>
            </w:r>
            <w:r w:rsidR="00E2531D" w:rsidRPr="008C6AA2">
              <w:rPr>
                <w:rFonts w:asciiTheme="minorHAnsi" w:hAnsiTheme="minorHAnsi" w:cstheme="minorHAnsi"/>
                <w:sz w:val="22"/>
                <w:szCs w:val="22"/>
              </w:rPr>
              <w:t xml:space="preserve">, </w:t>
            </w:r>
            <w:r w:rsidR="0011592E" w:rsidRPr="008C6AA2">
              <w:rPr>
                <w:rFonts w:asciiTheme="minorHAnsi" w:hAnsiTheme="minorHAnsi" w:cstheme="minorHAnsi"/>
                <w:sz w:val="22"/>
                <w:szCs w:val="22"/>
              </w:rPr>
              <w:t xml:space="preserve">Chair, </w:t>
            </w:r>
            <w:proofErr w:type="spellStart"/>
            <w:r w:rsidR="0011592E" w:rsidRPr="008C6AA2">
              <w:rPr>
                <w:rFonts w:asciiTheme="minorHAnsi" w:hAnsiTheme="minorHAnsi" w:cstheme="minorHAnsi"/>
                <w:sz w:val="22"/>
                <w:szCs w:val="22"/>
              </w:rPr>
              <w:t>MeXicanos</w:t>
            </w:r>
            <w:proofErr w:type="spellEnd"/>
            <w:r w:rsidR="0011592E" w:rsidRPr="008C6AA2">
              <w:rPr>
                <w:rFonts w:asciiTheme="minorHAnsi" w:hAnsiTheme="minorHAnsi" w:cstheme="minorHAnsi"/>
                <w:sz w:val="22"/>
                <w:szCs w:val="22"/>
              </w:rPr>
              <w:t xml:space="preserve"> 2070</w:t>
            </w:r>
            <w:r w:rsidR="00602F72">
              <w:rPr>
                <w:rFonts w:asciiTheme="minorHAnsi" w:hAnsiTheme="minorHAnsi" w:cstheme="minorHAnsi"/>
                <w:sz w:val="22"/>
                <w:szCs w:val="22"/>
              </w:rPr>
              <w:t xml:space="preserve"> Board of Directors</w:t>
            </w:r>
          </w:p>
        </w:tc>
      </w:tr>
      <w:tr w:rsidR="002D2C94" w:rsidRPr="001858FF" w14:paraId="637E2F63" w14:textId="77777777" w:rsidTr="002D2C94">
        <w:tc>
          <w:tcPr>
            <w:tcW w:w="4680" w:type="dxa"/>
          </w:tcPr>
          <w:p w14:paraId="06D360D8" w14:textId="23E90055" w:rsidR="00C258DF" w:rsidRPr="008C6AA2" w:rsidRDefault="002D2C94" w:rsidP="00E442F0">
            <w:pPr>
              <w:rPr>
                <w:rFonts w:asciiTheme="minorHAnsi" w:hAnsiTheme="minorHAnsi" w:cstheme="minorHAnsi"/>
                <w:sz w:val="22"/>
                <w:szCs w:val="22"/>
                <w:lang w:val="es-ES"/>
              </w:rPr>
            </w:pPr>
            <w:r w:rsidRPr="008C6AA2">
              <w:rPr>
                <w:rFonts w:asciiTheme="minorHAnsi" w:hAnsiTheme="minorHAnsi" w:cstheme="minorHAnsi"/>
                <w:b/>
                <w:bCs/>
                <w:sz w:val="22"/>
                <w:szCs w:val="22"/>
                <w:lang w:val="es-ES"/>
              </w:rPr>
              <w:t>Armando Rend</w:t>
            </w:r>
            <w:r w:rsidR="0034488D" w:rsidRPr="008C6AA2">
              <w:rPr>
                <w:rFonts w:asciiTheme="minorHAnsi" w:hAnsiTheme="minorHAnsi" w:cstheme="minorHAnsi"/>
                <w:b/>
                <w:bCs/>
                <w:sz w:val="22"/>
                <w:szCs w:val="22"/>
                <w:lang w:val="es-ES"/>
              </w:rPr>
              <w:t>ó</w:t>
            </w:r>
            <w:r w:rsidRPr="008C6AA2">
              <w:rPr>
                <w:rFonts w:asciiTheme="minorHAnsi" w:hAnsiTheme="minorHAnsi" w:cstheme="minorHAnsi"/>
                <w:b/>
                <w:bCs/>
                <w:sz w:val="22"/>
                <w:szCs w:val="22"/>
                <w:lang w:val="es-ES"/>
              </w:rPr>
              <w:t>n, Esq</w:t>
            </w:r>
            <w:r w:rsidRPr="008C6AA2">
              <w:rPr>
                <w:rFonts w:asciiTheme="minorHAnsi" w:hAnsiTheme="minorHAnsi" w:cstheme="minorHAnsi"/>
                <w:sz w:val="22"/>
                <w:szCs w:val="22"/>
                <w:lang w:val="es-ES"/>
              </w:rPr>
              <w:t>.,</w:t>
            </w:r>
            <w:r w:rsidR="00C258DF" w:rsidRPr="008C6AA2">
              <w:rPr>
                <w:rFonts w:asciiTheme="minorHAnsi" w:hAnsiTheme="minorHAnsi" w:cstheme="minorHAnsi"/>
                <w:sz w:val="22"/>
                <w:szCs w:val="22"/>
                <w:lang w:val="es-ES"/>
              </w:rPr>
              <w:t xml:space="preserve"> </w:t>
            </w:r>
            <w:proofErr w:type="spellStart"/>
            <w:r w:rsidR="004B0F3D">
              <w:rPr>
                <w:rFonts w:asciiTheme="minorHAnsi" w:hAnsiTheme="minorHAnsi" w:cstheme="minorHAnsi"/>
                <w:sz w:val="22"/>
                <w:szCs w:val="22"/>
                <w:lang w:val="es-ES"/>
              </w:rPr>
              <w:t>Founding</w:t>
            </w:r>
            <w:proofErr w:type="spellEnd"/>
            <w:r w:rsidR="004B0F3D">
              <w:rPr>
                <w:rFonts w:asciiTheme="minorHAnsi" w:hAnsiTheme="minorHAnsi" w:cstheme="minorHAnsi"/>
                <w:sz w:val="22"/>
                <w:szCs w:val="22"/>
                <w:lang w:val="es-ES"/>
              </w:rPr>
              <w:t xml:space="preserve"> </w:t>
            </w:r>
            <w:proofErr w:type="spellStart"/>
            <w:r w:rsidR="009627FD" w:rsidRPr="008C6AA2">
              <w:rPr>
                <w:rFonts w:asciiTheme="minorHAnsi" w:hAnsiTheme="minorHAnsi" w:cstheme="minorHAnsi"/>
                <w:sz w:val="22"/>
                <w:szCs w:val="22"/>
                <w:lang w:val="es-ES"/>
              </w:rPr>
              <w:t>Board</w:t>
            </w:r>
            <w:proofErr w:type="spellEnd"/>
            <w:r w:rsidR="009627FD" w:rsidRPr="008C6AA2">
              <w:rPr>
                <w:rFonts w:asciiTheme="minorHAnsi" w:hAnsiTheme="minorHAnsi" w:cstheme="minorHAnsi"/>
                <w:sz w:val="22"/>
                <w:szCs w:val="22"/>
                <w:lang w:val="es-ES"/>
              </w:rPr>
              <w:t xml:space="preserve"> </w:t>
            </w:r>
            <w:proofErr w:type="spellStart"/>
            <w:r w:rsidR="004B0F3D">
              <w:rPr>
                <w:rFonts w:asciiTheme="minorHAnsi" w:hAnsiTheme="minorHAnsi" w:cstheme="minorHAnsi"/>
                <w:sz w:val="22"/>
                <w:szCs w:val="22"/>
                <w:lang w:val="es-ES"/>
              </w:rPr>
              <w:t>M</w:t>
            </w:r>
            <w:r w:rsidR="009627FD" w:rsidRPr="008C6AA2">
              <w:rPr>
                <w:rFonts w:asciiTheme="minorHAnsi" w:hAnsiTheme="minorHAnsi" w:cstheme="minorHAnsi"/>
                <w:sz w:val="22"/>
                <w:szCs w:val="22"/>
                <w:lang w:val="es-ES"/>
              </w:rPr>
              <w:t>ember</w:t>
            </w:r>
            <w:proofErr w:type="spellEnd"/>
            <w:r w:rsidR="009627FD" w:rsidRPr="008C6AA2">
              <w:rPr>
                <w:rFonts w:asciiTheme="minorHAnsi" w:hAnsiTheme="minorHAnsi" w:cstheme="minorHAnsi"/>
                <w:sz w:val="22"/>
                <w:szCs w:val="22"/>
                <w:lang w:val="es-ES"/>
              </w:rPr>
              <w:t xml:space="preserve"> </w:t>
            </w:r>
            <w:proofErr w:type="spellStart"/>
            <w:r w:rsidR="009627FD" w:rsidRPr="008C6AA2">
              <w:rPr>
                <w:rFonts w:asciiTheme="minorHAnsi" w:hAnsiTheme="minorHAnsi" w:cstheme="minorHAnsi"/>
                <w:sz w:val="22"/>
                <w:szCs w:val="22"/>
                <w:lang w:val="es-ES"/>
              </w:rPr>
              <w:t>of</w:t>
            </w:r>
            <w:proofErr w:type="spellEnd"/>
            <w:r w:rsidR="009627FD" w:rsidRPr="008C6AA2">
              <w:rPr>
                <w:rFonts w:asciiTheme="minorHAnsi" w:hAnsiTheme="minorHAnsi" w:cstheme="minorHAnsi"/>
                <w:sz w:val="22"/>
                <w:szCs w:val="22"/>
                <w:lang w:val="es-ES"/>
              </w:rPr>
              <w:t xml:space="preserve"> </w:t>
            </w:r>
            <w:proofErr w:type="spellStart"/>
            <w:proofErr w:type="gramStart"/>
            <w:r w:rsidR="009627FD" w:rsidRPr="008C6AA2">
              <w:rPr>
                <w:rFonts w:asciiTheme="minorHAnsi" w:hAnsiTheme="minorHAnsi" w:cstheme="minorHAnsi"/>
                <w:sz w:val="22"/>
                <w:szCs w:val="22"/>
                <w:lang w:val="es-ES"/>
              </w:rPr>
              <w:t>MeXicanos</w:t>
            </w:r>
            <w:proofErr w:type="spellEnd"/>
            <w:proofErr w:type="gramEnd"/>
            <w:r w:rsidR="009627FD" w:rsidRPr="008C6AA2">
              <w:rPr>
                <w:rFonts w:asciiTheme="minorHAnsi" w:hAnsiTheme="minorHAnsi" w:cstheme="minorHAnsi"/>
                <w:sz w:val="22"/>
                <w:szCs w:val="22"/>
                <w:lang w:val="es-ES"/>
              </w:rPr>
              <w:t xml:space="preserve"> 2070</w:t>
            </w:r>
          </w:p>
        </w:tc>
        <w:tc>
          <w:tcPr>
            <w:tcW w:w="5310" w:type="dxa"/>
          </w:tcPr>
          <w:p w14:paraId="221BCE6C" w14:textId="16C07CC1" w:rsidR="002D2C94" w:rsidRPr="008C6AA2" w:rsidRDefault="002D2C94" w:rsidP="00E442F0">
            <w:pPr>
              <w:rPr>
                <w:rFonts w:asciiTheme="minorHAnsi" w:hAnsiTheme="minorHAnsi" w:cstheme="minorHAnsi"/>
                <w:sz w:val="22"/>
                <w:szCs w:val="22"/>
              </w:rPr>
            </w:pPr>
            <w:r w:rsidRPr="008C6AA2">
              <w:rPr>
                <w:rFonts w:asciiTheme="minorHAnsi" w:hAnsiTheme="minorHAnsi" w:cstheme="minorHAnsi"/>
                <w:b/>
                <w:bCs/>
                <w:sz w:val="22"/>
                <w:szCs w:val="22"/>
              </w:rPr>
              <w:t>Gabriel Hernandez</w:t>
            </w:r>
            <w:r w:rsidRPr="008C6AA2">
              <w:rPr>
                <w:rFonts w:asciiTheme="minorHAnsi" w:hAnsiTheme="minorHAnsi" w:cstheme="minorHAnsi"/>
                <w:sz w:val="22"/>
                <w:szCs w:val="22"/>
              </w:rPr>
              <w:t>, Founding Board Member</w:t>
            </w:r>
            <w:r w:rsidR="008174BE" w:rsidRPr="008C6AA2">
              <w:rPr>
                <w:rFonts w:asciiTheme="minorHAnsi" w:hAnsiTheme="minorHAnsi" w:cstheme="minorHAnsi"/>
                <w:sz w:val="22"/>
                <w:szCs w:val="22"/>
              </w:rPr>
              <w:t>,</w:t>
            </w:r>
          </w:p>
          <w:p w14:paraId="1FCAC96C" w14:textId="77777777" w:rsidR="002D2C94" w:rsidRPr="008C6AA2" w:rsidRDefault="002D2C94" w:rsidP="00E442F0">
            <w:pPr>
              <w:rPr>
                <w:rFonts w:asciiTheme="minorHAnsi" w:hAnsiTheme="minorHAnsi" w:cstheme="minorHAnsi"/>
                <w:sz w:val="22"/>
                <w:szCs w:val="22"/>
              </w:rPr>
            </w:pPr>
            <w:r w:rsidRPr="008C6AA2">
              <w:rPr>
                <w:rFonts w:asciiTheme="minorHAnsi" w:hAnsiTheme="minorHAnsi" w:cstheme="minorHAnsi"/>
                <w:sz w:val="22"/>
                <w:szCs w:val="22"/>
              </w:rPr>
              <w:t xml:space="preserve">National </w:t>
            </w:r>
            <w:proofErr w:type="spellStart"/>
            <w:r w:rsidRPr="008C6AA2">
              <w:rPr>
                <w:rFonts w:asciiTheme="minorHAnsi" w:hAnsiTheme="minorHAnsi" w:cstheme="minorHAnsi"/>
                <w:sz w:val="22"/>
                <w:szCs w:val="22"/>
              </w:rPr>
              <w:t>Xicano</w:t>
            </w:r>
            <w:proofErr w:type="spellEnd"/>
            <w:r w:rsidRPr="008C6AA2">
              <w:rPr>
                <w:rFonts w:asciiTheme="minorHAnsi" w:hAnsiTheme="minorHAnsi" w:cstheme="minorHAnsi"/>
                <w:sz w:val="22"/>
                <w:szCs w:val="22"/>
              </w:rPr>
              <w:t xml:space="preserve"> Human Rights Council</w:t>
            </w:r>
          </w:p>
          <w:p w14:paraId="419DF2F3" w14:textId="77777777" w:rsidR="002D2C94" w:rsidRPr="008C6AA2" w:rsidRDefault="002D2C94" w:rsidP="00E442F0">
            <w:pPr>
              <w:rPr>
                <w:rFonts w:asciiTheme="minorHAnsi" w:hAnsiTheme="minorHAnsi" w:cstheme="minorHAnsi"/>
                <w:sz w:val="22"/>
                <w:szCs w:val="22"/>
              </w:rPr>
            </w:pPr>
          </w:p>
        </w:tc>
      </w:tr>
      <w:tr w:rsidR="002D2C94" w:rsidRPr="001858FF" w14:paraId="4B641C64" w14:textId="77777777" w:rsidTr="002D2C94">
        <w:tc>
          <w:tcPr>
            <w:tcW w:w="4680" w:type="dxa"/>
          </w:tcPr>
          <w:p w14:paraId="7E76E5C8" w14:textId="77777777" w:rsidR="002D2C94" w:rsidRPr="008C6AA2" w:rsidRDefault="002D2C94" w:rsidP="00E442F0">
            <w:pPr>
              <w:rPr>
                <w:rFonts w:asciiTheme="minorHAnsi" w:hAnsiTheme="minorHAnsi" w:cstheme="minorHAnsi"/>
                <w:sz w:val="22"/>
                <w:szCs w:val="22"/>
                <w:lang w:val="es-ES"/>
              </w:rPr>
            </w:pPr>
            <w:r w:rsidRPr="008C6AA2">
              <w:rPr>
                <w:rFonts w:asciiTheme="minorHAnsi" w:hAnsiTheme="minorHAnsi" w:cstheme="minorHAnsi"/>
                <w:b/>
                <w:bCs/>
                <w:sz w:val="22"/>
                <w:szCs w:val="22"/>
                <w:lang w:val="es-ES"/>
              </w:rPr>
              <w:t xml:space="preserve">Carlos </w:t>
            </w:r>
            <w:proofErr w:type="spellStart"/>
            <w:r w:rsidRPr="008C6AA2">
              <w:rPr>
                <w:rFonts w:asciiTheme="minorHAnsi" w:hAnsiTheme="minorHAnsi" w:cstheme="minorHAnsi"/>
                <w:b/>
                <w:bCs/>
                <w:sz w:val="22"/>
                <w:szCs w:val="22"/>
                <w:lang w:val="es-ES"/>
              </w:rPr>
              <w:t>Hernandez</w:t>
            </w:r>
            <w:proofErr w:type="spellEnd"/>
            <w:r w:rsidRPr="008C6AA2">
              <w:rPr>
                <w:rFonts w:asciiTheme="minorHAnsi" w:hAnsiTheme="minorHAnsi" w:cstheme="minorHAnsi"/>
                <w:b/>
                <w:bCs/>
                <w:sz w:val="22"/>
                <w:szCs w:val="22"/>
                <w:lang w:val="es-ES"/>
              </w:rPr>
              <w:t>, J.D.</w:t>
            </w:r>
            <w:r w:rsidRPr="008C6AA2">
              <w:rPr>
                <w:rFonts w:asciiTheme="minorHAnsi" w:hAnsiTheme="minorHAnsi" w:cstheme="minorHAnsi"/>
                <w:sz w:val="22"/>
                <w:szCs w:val="22"/>
                <w:lang w:val="es-ES"/>
              </w:rPr>
              <w:t xml:space="preserve">, </w:t>
            </w:r>
            <w:proofErr w:type="spellStart"/>
            <w:proofErr w:type="gramStart"/>
            <w:r w:rsidRPr="008C6AA2">
              <w:rPr>
                <w:rFonts w:asciiTheme="minorHAnsi" w:hAnsiTheme="minorHAnsi" w:cstheme="minorHAnsi"/>
                <w:sz w:val="22"/>
                <w:szCs w:val="22"/>
                <w:lang w:val="es-ES"/>
              </w:rPr>
              <w:t>MeXicanos</w:t>
            </w:r>
            <w:proofErr w:type="spellEnd"/>
            <w:proofErr w:type="gramEnd"/>
            <w:r w:rsidRPr="008C6AA2">
              <w:rPr>
                <w:rFonts w:asciiTheme="minorHAnsi" w:hAnsiTheme="minorHAnsi" w:cstheme="minorHAnsi"/>
                <w:sz w:val="22"/>
                <w:szCs w:val="22"/>
                <w:lang w:val="es-ES"/>
              </w:rPr>
              <w:t xml:space="preserve"> 2070</w:t>
            </w:r>
          </w:p>
        </w:tc>
        <w:tc>
          <w:tcPr>
            <w:tcW w:w="5310" w:type="dxa"/>
          </w:tcPr>
          <w:p w14:paraId="677695F7" w14:textId="66F5452B" w:rsidR="002D2C94" w:rsidRPr="008C6AA2" w:rsidRDefault="002D2C94" w:rsidP="00E442F0">
            <w:pPr>
              <w:rPr>
                <w:rFonts w:asciiTheme="minorHAnsi" w:hAnsiTheme="minorHAnsi" w:cstheme="minorHAnsi"/>
                <w:sz w:val="22"/>
                <w:szCs w:val="22"/>
              </w:rPr>
            </w:pPr>
            <w:r w:rsidRPr="008C6AA2">
              <w:rPr>
                <w:rFonts w:asciiTheme="minorHAnsi" w:hAnsiTheme="minorHAnsi" w:cstheme="minorHAnsi"/>
                <w:b/>
                <w:bCs/>
                <w:sz w:val="22"/>
                <w:szCs w:val="22"/>
              </w:rPr>
              <w:t>Joel Cabral</w:t>
            </w:r>
            <w:r w:rsidR="008174BE" w:rsidRPr="008C6AA2">
              <w:rPr>
                <w:rFonts w:asciiTheme="minorHAnsi" w:hAnsiTheme="minorHAnsi" w:cstheme="minorHAnsi"/>
                <w:sz w:val="22"/>
                <w:szCs w:val="22"/>
              </w:rPr>
              <w:t>,</w:t>
            </w:r>
            <w:r w:rsidR="008174BE" w:rsidRPr="008C6AA2">
              <w:rPr>
                <w:rFonts w:asciiTheme="minorHAnsi" w:hAnsiTheme="minorHAnsi" w:cstheme="minorHAnsi"/>
                <w:b/>
                <w:bCs/>
                <w:sz w:val="22"/>
                <w:szCs w:val="22"/>
              </w:rPr>
              <w:t xml:space="preserve"> </w:t>
            </w:r>
            <w:r w:rsidR="008174BE" w:rsidRPr="008C6AA2">
              <w:rPr>
                <w:rFonts w:asciiTheme="minorHAnsi" w:hAnsiTheme="minorHAnsi" w:cstheme="minorHAnsi"/>
                <w:color w:val="222222"/>
                <w:sz w:val="22"/>
                <w:szCs w:val="22"/>
                <w:shd w:val="clear" w:color="auto" w:fill="FFFFFF"/>
              </w:rPr>
              <w:t xml:space="preserve">Jefe de la </w:t>
            </w:r>
            <w:proofErr w:type="spellStart"/>
            <w:r w:rsidR="008174BE" w:rsidRPr="008C6AA2">
              <w:rPr>
                <w:rFonts w:asciiTheme="minorHAnsi" w:hAnsiTheme="minorHAnsi" w:cstheme="minorHAnsi"/>
                <w:color w:val="222222"/>
                <w:sz w:val="22"/>
                <w:szCs w:val="22"/>
                <w:shd w:val="clear" w:color="auto" w:fill="FFFFFF"/>
              </w:rPr>
              <w:t>Tribu</w:t>
            </w:r>
            <w:proofErr w:type="spellEnd"/>
            <w:r w:rsidR="008174BE" w:rsidRPr="008C6AA2">
              <w:rPr>
                <w:rFonts w:asciiTheme="minorHAnsi" w:hAnsiTheme="minorHAnsi" w:cstheme="minorHAnsi"/>
                <w:color w:val="222222"/>
                <w:sz w:val="22"/>
                <w:szCs w:val="22"/>
                <w:shd w:val="clear" w:color="auto" w:fill="FFFFFF"/>
              </w:rPr>
              <w:t xml:space="preserve"> Lipan Apache de Mexico</w:t>
            </w:r>
          </w:p>
        </w:tc>
      </w:tr>
      <w:tr w:rsidR="002D2C94" w:rsidRPr="00F87EA1" w14:paraId="3B07339D" w14:textId="77777777" w:rsidTr="002D2C94">
        <w:tc>
          <w:tcPr>
            <w:tcW w:w="4680" w:type="dxa"/>
          </w:tcPr>
          <w:p w14:paraId="5AA2053D" w14:textId="77777777" w:rsidR="002D2C94" w:rsidRPr="008C6AA2" w:rsidRDefault="002D2C94" w:rsidP="00E442F0">
            <w:pPr>
              <w:rPr>
                <w:rFonts w:asciiTheme="minorHAnsi" w:hAnsiTheme="minorHAnsi" w:cstheme="minorHAnsi"/>
                <w:sz w:val="22"/>
                <w:szCs w:val="22"/>
                <w:lang w:val="es-ES"/>
              </w:rPr>
            </w:pPr>
          </w:p>
          <w:p w14:paraId="01B2B6C2" w14:textId="582FAD15" w:rsidR="002D2C94" w:rsidRPr="008C6AA2" w:rsidRDefault="002D2C94" w:rsidP="00E442F0">
            <w:pPr>
              <w:rPr>
                <w:rFonts w:asciiTheme="minorHAnsi" w:hAnsiTheme="minorHAnsi" w:cstheme="minorHAnsi"/>
                <w:sz w:val="22"/>
                <w:szCs w:val="22"/>
                <w:lang w:val="es-ES"/>
              </w:rPr>
            </w:pPr>
          </w:p>
        </w:tc>
        <w:tc>
          <w:tcPr>
            <w:tcW w:w="5310" w:type="dxa"/>
          </w:tcPr>
          <w:p w14:paraId="5DF7CA00" w14:textId="77777777" w:rsidR="00E2531D" w:rsidRPr="008C6AA2" w:rsidRDefault="00E2531D" w:rsidP="00E442F0">
            <w:pPr>
              <w:rPr>
                <w:rFonts w:asciiTheme="minorHAnsi" w:hAnsiTheme="minorHAnsi" w:cstheme="minorHAnsi"/>
                <w:b/>
                <w:bCs/>
                <w:sz w:val="22"/>
                <w:szCs w:val="22"/>
              </w:rPr>
            </w:pPr>
          </w:p>
          <w:p w14:paraId="495ACA14" w14:textId="5BC31B50" w:rsidR="002D2C94" w:rsidRPr="0026717C" w:rsidRDefault="008C6AA2" w:rsidP="00E442F0">
            <w:pPr>
              <w:rPr>
                <w:rFonts w:asciiTheme="minorHAnsi" w:hAnsiTheme="minorHAnsi" w:cstheme="minorHAnsi"/>
                <w:b/>
                <w:bCs/>
                <w:sz w:val="22"/>
                <w:szCs w:val="22"/>
              </w:rPr>
            </w:pPr>
            <w:r w:rsidRPr="0026717C">
              <w:rPr>
                <w:rFonts w:asciiTheme="minorHAnsi" w:hAnsiTheme="minorHAnsi" w:cstheme="minorHAnsi"/>
                <w:b/>
                <w:bCs/>
                <w:color w:val="000000" w:themeColor="text1"/>
                <w:sz w:val="22"/>
                <w:szCs w:val="22"/>
                <w:shd w:val="clear" w:color="auto" w:fill="FFFFFF"/>
              </w:rPr>
              <w:t xml:space="preserve">Continental Network </w:t>
            </w:r>
            <w:r w:rsidR="0026717C">
              <w:rPr>
                <w:rFonts w:asciiTheme="minorHAnsi" w:hAnsiTheme="minorHAnsi" w:cstheme="minorHAnsi"/>
                <w:b/>
                <w:bCs/>
                <w:color w:val="000000" w:themeColor="text1"/>
                <w:sz w:val="22"/>
                <w:szCs w:val="22"/>
                <w:shd w:val="clear" w:color="auto" w:fill="FFFFFF"/>
              </w:rPr>
              <w:t>o</w:t>
            </w:r>
            <w:r w:rsidRPr="0026717C">
              <w:rPr>
                <w:rFonts w:asciiTheme="minorHAnsi" w:hAnsiTheme="minorHAnsi" w:cstheme="minorHAnsi"/>
                <w:b/>
                <w:bCs/>
                <w:color w:val="000000" w:themeColor="text1"/>
                <w:sz w:val="22"/>
                <w:szCs w:val="22"/>
                <w:shd w:val="clear" w:color="auto" w:fill="FFFFFF"/>
              </w:rPr>
              <w:t>f Indigenous Women of the Americas</w:t>
            </w:r>
          </w:p>
        </w:tc>
      </w:tr>
    </w:tbl>
    <w:p w14:paraId="0584A6F0" w14:textId="7650838A" w:rsidR="008174BE" w:rsidRDefault="008174BE" w:rsidP="00984526">
      <w:pPr>
        <w:spacing w:after="0" w:line="240" w:lineRule="auto"/>
        <w:ind w:firstLine="720"/>
        <w:contextualSpacing/>
        <w:textAlignment w:val="baseline"/>
        <w:rPr>
          <w:rFonts w:ascii="Calibri" w:eastAsia="Times New Roman" w:hAnsi="Calibri" w:cs="Calibri"/>
          <w:color w:val="000000"/>
          <w:sz w:val="22"/>
        </w:rPr>
      </w:pPr>
    </w:p>
    <w:p w14:paraId="0F5108CA" w14:textId="32CADC5D" w:rsidR="00984526" w:rsidRDefault="00984526">
      <w:pPr>
        <w:rPr>
          <w:rFonts w:ascii="Calibri" w:eastAsia="Times New Roman" w:hAnsi="Calibri" w:cs="Calibri"/>
          <w:color w:val="000000"/>
          <w:sz w:val="22"/>
        </w:rPr>
      </w:pPr>
      <w:r>
        <w:rPr>
          <w:rFonts w:ascii="Calibri" w:eastAsia="Times New Roman" w:hAnsi="Calibri" w:cs="Calibri"/>
          <w:color w:val="000000"/>
          <w:sz w:val="22"/>
        </w:rPr>
        <w:br w:type="page"/>
      </w:r>
    </w:p>
    <w:p w14:paraId="78D8EADC" w14:textId="3629C89B" w:rsidR="007A2BA4" w:rsidRDefault="007A2BA4" w:rsidP="007A2BA4">
      <w:pPr>
        <w:spacing w:line="240" w:lineRule="auto"/>
        <w:contextualSpacing/>
        <w:rPr>
          <w:rFonts w:asciiTheme="minorHAnsi" w:hAnsiTheme="minorHAnsi" w:cstheme="minorHAnsi"/>
          <w:sz w:val="22"/>
          <w:shd w:val="clear" w:color="auto" w:fill="FFFFFF"/>
        </w:rPr>
      </w:pPr>
      <w:r>
        <w:rPr>
          <w:rFonts w:asciiTheme="minorHAnsi" w:hAnsiTheme="minorHAnsi" w:cstheme="minorHAnsi"/>
          <w:sz w:val="22"/>
          <w:shd w:val="clear" w:color="auto" w:fill="FFFFFF"/>
        </w:rPr>
        <w:t xml:space="preserve">APPENDIX </w:t>
      </w:r>
      <w:r w:rsidR="00D2096C">
        <w:rPr>
          <w:rFonts w:asciiTheme="minorHAnsi" w:hAnsiTheme="minorHAnsi" w:cstheme="minorHAnsi"/>
          <w:sz w:val="22"/>
          <w:shd w:val="clear" w:color="auto" w:fill="FFFFFF"/>
        </w:rPr>
        <w:t>A</w:t>
      </w:r>
    </w:p>
    <w:p w14:paraId="7C01A0DF" w14:textId="77777777" w:rsidR="00BB2010" w:rsidRDefault="00BB2010" w:rsidP="007A2BA4">
      <w:pPr>
        <w:spacing w:line="240" w:lineRule="auto"/>
        <w:contextualSpacing/>
        <w:rPr>
          <w:rFonts w:asciiTheme="minorHAnsi" w:hAnsiTheme="minorHAnsi" w:cstheme="minorHAnsi"/>
          <w:sz w:val="22"/>
          <w:shd w:val="clear" w:color="auto" w:fill="FFFFFF"/>
        </w:rPr>
      </w:pPr>
    </w:p>
    <w:p w14:paraId="0DA333C5" w14:textId="77777777" w:rsidR="00FA6A64" w:rsidRPr="00FA6A64" w:rsidRDefault="00FA6A64" w:rsidP="00FA6A64">
      <w:pPr>
        <w:rPr>
          <w:rFonts w:asciiTheme="minorHAnsi" w:hAnsiTheme="minorHAnsi" w:cstheme="minorHAnsi"/>
          <w:b/>
          <w:sz w:val="22"/>
        </w:rPr>
      </w:pPr>
      <w:r w:rsidRPr="00FA6A64">
        <w:rPr>
          <w:rFonts w:asciiTheme="minorHAnsi" w:hAnsiTheme="minorHAnsi" w:cstheme="minorHAnsi"/>
          <w:b/>
          <w:sz w:val="22"/>
        </w:rPr>
        <w:t>Court Cases and the Treaty of Guadalupe Hidalgo</w:t>
      </w:r>
    </w:p>
    <w:p w14:paraId="4905B9AC" w14:textId="77777777" w:rsidR="00FA6A64" w:rsidRPr="00FA6A64" w:rsidRDefault="00FA6A64" w:rsidP="00FA6A64">
      <w:pPr>
        <w:rPr>
          <w:rFonts w:asciiTheme="minorHAnsi" w:hAnsiTheme="minorHAnsi" w:cstheme="minorHAnsi"/>
          <w:sz w:val="22"/>
        </w:rPr>
      </w:pPr>
      <w:r w:rsidRPr="00FA6A64">
        <w:rPr>
          <w:rFonts w:asciiTheme="minorHAnsi" w:hAnsiTheme="minorHAnsi" w:cstheme="minorHAnsi"/>
          <w:sz w:val="22"/>
        </w:rPr>
        <w:t xml:space="preserve">The following are examples of court decisions within the United States judicial system that interpret the Treaty of Guadalupe Hidalgo. The cases cited were chosen due to their contradictory interpretations of the Treaty of Guadalupe Hidalgo and demonstrate how these contradictions have adversely effected the rights of indigenous and Chicano people. The following case law are not exhaustive by any means, as whole volumes could be written about the contradictory interpretations of the Treaty of Guadalupe Hidalgo. Further scrutiny of the Treaty of Guadalupe Hidalgo, as recommended by Former Rapporteur Miguel Alfonso Martinez, could </w:t>
      </w:r>
      <w:proofErr w:type="gramStart"/>
      <w:r w:rsidRPr="00FA6A64">
        <w:rPr>
          <w:rFonts w:asciiTheme="minorHAnsi" w:hAnsiTheme="minorHAnsi" w:cstheme="minorHAnsi"/>
          <w:sz w:val="22"/>
        </w:rPr>
        <w:t>clarify</w:t>
      </w:r>
      <w:proofErr w:type="gramEnd"/>
      <w:r w:rsidRPr="00FA6A64">
        <w:rPr>
          <w:rFonts w:asciiTheme="minorHAnsi" w:hAnsiTheme="minorHAnsi" w:cstheme="minorHAnsi"/>
          <w:sz w:val="22"/>
        </w:rPr>
        <w:t xml:space="preserve"> and remove potential barriers to the full breath and implementation of article 37 of the UN Declaration on the Rights of Indigenous People.             </w:t>
      </w:r>
    </w:p>
    <w:p w14:paraId="7BB0E2A8" w14:textId="77777777" w:rsidR="00FA6A64" w:rsidRPr="00FA6A64" w:rsidRDefault="00FA6A64" w:rsidP="00FA6A64">
      <w:pPr>
        <w:rPr>
          <w:rFonts w:asciiTheme="minorHAnsi" w:hAnsiTheme="minorHAnsi" w:cstheme="minorHAnsi"/>
          <w:sz w:val="22"/>
        </w:rPr>
      </w:pPr>
      <w:proofErr w:type="spellStart"/>
      <w:r w:rsidRPr="00FA6A64">
        <w:rPr>
          <w:rFonts w:asciiTheme="minorHAnsi" w:hAnsiTheme="minorHAnsi" w:cstheme="minorHAnsi"/>
          <w:b/>
          <w:i/>
          <w:sz w:val="22"/>
        </w:rPr>
        <w:t>Botiller</w:t>
      </w:r>
      <w:proofErr w:type="spellEnd"/>
      <w:r w:rsidRPr="00FA6A64">
        <w:rPr>
          <w:rFonts w:asciiTheme="minorHAnsi" w:hAnsiTheme="minorHAnsi" w:cstheme="minorHAnsi"/>
          <w:b/>
          <w:i/>
          <w:sz w:val="22"/>
        </w:rPr>
        <w:t xml:space="preserve"> vs Dominguez </w:t>
      </w:r>
      <w:r w:rsidRPr="00FA6A64">
        <w:rPr>
          <w:rFonts w:asciiTheme="minorHAnsi" w:hAnsiTheme="minorHAnsi" w:cstheme="minorHAnsi"/>
          <w:b/>
          <w:sz w:val="22"/>
        </w:rPr>
        <w:t>130 U.S. 238(1889</w:t>
      </w:r>
      <w:r w:rsidRPr="00FA6A64">
        <w:rPr>
          <w:rFonts w:asciiTheme="minorHAnsi" w:hAnsiTheme="minorHAnsi" w:cstheme="minorHAnsi"/>
          <w:sz w:val="22"/>
        </w:rPr>
        <w:t xml:space="preserve">) </w:t>
      </w:r>
    </w:p>
    <w:p w14:paraId="4BF44BCE" w14:textId="77777777" w:rsidR="00FA6A64" w:rsidRPr="00FA6A64" w:rsidRDefault="00FA6A64" w:rsidP="00FA6A64">
      <w:pPr>
        <w:rPr>
          <w:rFonts w:asciiTheme="minorHAnsi" w:hAnsiTheme="minorHAnsi" w:cstheme="minorHAnsi"/>
          <w:sz w:val="22"/>
        </w:rPr>
      </w:pPr>
      <w:r w:rsidRPr="00FA6A64">
        <w:rPr>
          <w:rFonts w:asciiTheme="minorHAnsi" w:hAnsiTheme="minorHAnsi" w:cstheme="minorHAnsi"/>
          <w:sz w:val="22"/>
        </w:rPr>
        <w:t>United States Supreme court decision in</w:t>
      </w:r>
      <w:r w:rsidRPr="00FA6A64">
        <w:rPr>
          <w:rFonts w:asciiTheme="minorHAnsi" w:hAnsiTheme="minorHAnsi" w:cstheme="minorHAnsi"/>
          <w:i/>
          <w:sz w:val="22"/>
        </w:rPr>
        <w:t xml:space="preserve"> </w:t>
      </w:r>
      <w:proofErr w:type="spellStart"/>
      <w:r w:rsidRPr="00FA6A64">
        <w:rPr>
          <w:rFonts w:asciiTheme="minorHAnsi" w:hAnsiTheme="minorHAnsi" w:cstheme="minorHAnsi"/>
          <w:i/>
          <w:sz w:val="22"/>
        </w:rPr>
        <w:t>Botiller</w:t>
      </w:r>
      <w:proofErr w:type="spellEnd"/>
      <w:r w:rsidRPr="00FA6A64">
        <w:rPr>
          <w:rFonts w:asciiTheme="minorHAnsi" w:hAnsiTheme="minorHAnsi" w:cstheme="minorHAnsi"/>
          <w:i/>
          <w:sz w:val="22"/>
        </w:rPr>
        <w:t xml:space="preserve"> </w:t>
      </w:r>
      <w:r w:rsidRPr="00FA6A64">
        <w:rPr>
          <w:rFonts w:asciiTheme="minorHAnsi" w:hAnsiTheme="minorHAnsi" w:cstheme="minorHAnsi"/>
          <w:sz w:val="22"/>
        </w:rPr>
        <w:t xml:space="preserve">overruled California Supreme Court decision in the case of Dominga Dominguez. </w:t>
      </w:r>
    </w:p>
    <w:p w14:paraId="760CF294" w14:textId="71E61959" w:rsidR="00FA6A64" w:rsidRPr="00FA6A64" w:rsidRDefault="00FA6A64" w:rsidP="00FA6A64">
      <w:pPr>
        <w:rPr>
          <w:rFonts w:asciiTheme="minorHAnsi" w:hAnsiTheme="minorHAnsi" w:cstheme="minorHAnsi"/>
          <w:sz w:val="22"/>
        </w:rPr>
      </w:pPr>
      <w:r w:rsidRPr="00FA6A64">
        <w:rPr>
          <w:rFonts w:asciiTheme="minorHAnsi" w:hAnsiTheme="minorHAnsi" w:cstheme="minorHAnsi"/>
          <w:sz w:val="22"/>
        </w:rPr>
        <w:t>Dominguez sought to recover possession of her land that had been claimed by settlers under homestead laws</w:t>
      </w:r>
      <w:r w:rsidRPr="00FA6A64">
        <w:rPr>
          <w:rFonts w:asciiTheme="minorHAnsi" w:hAnsiTheme="minorHAnsi" w:cstheme="minorHAnsi"/>
          <w:noProof/>
          <w:sz w:val="22"/>
        </w:rPr>
        <w:t xml:space="preserve"> </w:t>
      </w:r>
      <w:r w:rsidRPr="00FA6A64">
        <w:rPr>
          <w:rStyle w:val="FootnoteReference"/>
          <w:rFonts w:asciiTheme="minorHAnsi" w:hAnsiTheme="minorHAnsi" w:cstheme="minorHAnsi"/>
          <w:sz w:val="22"/>
        </w:rPr>
        <w:footnoteReference w:id="1"/>
      </w:r>
      <w:r w:rsidRPr="00FA6A64">
        <w:rPr>
          <w:rFonts w:asciiTheme="minorHAnsi" w:hAnsiTheme="minorHAnsi" w:cstheme="minorHAnsi"/>
          <w:noProof/>
          <w:sz w:val="22"/>
        </w:rPr>
        <w:t xml:space="preserve"> The settlers argued Dominguez had no legal title to her land due to her not proving ownership to the California Board of Land Commisioners , as stipulated by the California  Land Act of 1851.  </w:t>
      </w:r>
      <w:r w:rsidRPr="00FA6A64">
        <w:rPr>
          <w:rFonts w:asciiTheme="minorHAnsi" w:hAnsiTheme="minorHAnsi" w:cstheme="minorHAnsi"/>
          <w:sz w:val="22"/>
        </w:rPr>
        <w:t>Dominguez argued that since she had “perfect” title</w:t>
      </w:r>
      <w:r w:rsidR="004B0F3D">
        <w:rPr>
          <w:rFonts w:asciiTheme="minorHAnsi" w:hAnsiTheme="minorHAnsi" w:cstheme="minorHAnsi"/>
          <w:sz w:val="22"/>
        </w:rPr>
        <w:t>,</w:t>
      </w:r>
      <w:r w:rsidRPr="00FA6A64">
        <w:rPr>
          <w:rFonts w:asciiTheme="minorHAnsi" w:hAnsiTheme="minorHAnsi" w:cstheme="minorHAnsi"/>
          <w:sz w:val="22"/>
        </w:rPr>
        <w:t xml:space="preserve"> the treaty protections applied to her and it was not necessary to confirm with the California Land claims commission which was established by the California Land act of 1851. </w:t>
      </w:r>
    </w:p>
    <w:p w14:paraId="69C30250" w14:textId="26637279" w:rsidR="00FA6A64" w:rsidRPr="00FA6A64" w:rsidRDefault="00FA6A64" w:rsidP="00FA6A64">
      <w:pPr>
        <w:rPr>
          <w:rFonts w:asciiTheme="minorHAnsi" w:hAnsiTheme="minorHAnsi" w:cstheme="minorHAnsi"/>
          <w:color w:val="333333"/>
          <w:sz w:val="22"/>
          <w:shd w:val="clear" w:color="auto" w:fill="FFFFFF"/>
        </w:rPr>
      </w:pPr>
      <w:r w:rsidRPr="00FA6A64">
        <w:rPr>
          <w:rFonts w:asciiTheme="minorHAnsi" w:hAnsiTheme="minorHAnsi" w:cstheme="minorHAnsi"/>
          <w:sz w:val="22"/>
        </w:rPr>
        <w:t>The district court and the California Supreme Court agreed, however, when the case appeared before the U</w:t>
      </w:r>
      <w:r w:rsidR="004B0F3D">
        <w:rPr>
          <w:rFonts w:asciiTheme="minorHAnsi" w:hAnsiTheme="minorHAnsi" w:cstheme="minorHAnsi"/>
          <w:sz w:val="22"/>
        </w:rPr>
        <w:t>.</w:t>
      </w:r>
      <w:r w:rsidRPr="00FA6A64">
        <w:rPr>
          <w:rFonts w:asciiTheme="minorHAnsi" w:hAnsiTheme="minorHAnsi" w:cstheme="minorHAnsi"/>
          <w:sz w:val="22"/>
        </w:rPr>
        <w:t>S</w:t>
      </w:r>
      <w:r w:rsidR="004B0F3D">
        <w:rPr>
          <w:rFonts w:asciiTheme="minorHAnsi" w:hAnsiTheme="minorHAnsi" w:cstheme="minorHAnsi"/>
          <w:sz w:val="22"/>
        </w:rPr>
        <w:t>.</w:t>
      </w:r>
      <w:r w:rsidRPr="00FA6A64">
        <w:rPr>
          <w:rFonts w:asciiTheme="minorHAnsi" w:hAnsiTheme="minorHAnsi" w:cstheme="minorHAnsi"/>
          <w:sz w:val="22"/>
        </w:rPr>
        <w:t xml:space="preserve"> Supreme Court</w:t>
      </w:r>
      <w:r w:rsidR="004B0F3D">
        <w:rPr>
          <w:rFonts w:asciiTheme="minorHAnsi" w:hAnsiTheme="minorHAnsi" w:cstheme="minorHAnsi"/>
          <w:sz w:val="22"/>
        </w:rPr>
        <w:t>,</w:t>
      </w:r>
      <w:r w:rsidRPr="00FA6A64">
        <w:rPr>
          <w:rFonts w:asciiTheme="minorHAnsi" w:hAnsiTheme="minorHAnsi" w:cstheme="minorHAnsi"/>
          <w:sz w:val="22"/>
        </w:rPr>
        <w:t xml:space="preserve"> the Supreme Court reversed the decision of the California Supreme Court and held that no title of Spanish or Mexican origin can be valid unless </w:t>
      </w:r>
      <w:r w:rsidR="004B0F3D">
        <w:rPr>
          <w:rFonts w:asciiTheme="minorHAnsi" w:hAnsiTheme="minorHAnsi" w:cstheme="minorHAnsi"/>
          <w:sz w:val="22"/>
        </w:rPr>
        <w:t>confirmed</w:t>
      </w:r>
      <w:r w:rsidRPr="00FA6A64">
        <w:rPr>
          <w:rFonts w:asciiTheme="minorHAnsi" w:hAnsiTheme="minorHAnsi" w:cstheme="minorHAnsi"/>
          <w:sz w:val="22"/>
        </w:rPr>
        <w:t xml:space="preserve"> by the claims commission within the allotted time period. What’s interesting here is the court</w:t>
      </w:r>
      <w:r w:rsidR="004B0F3D">
        <w:rPr>
          <w:rFonts w:asciiTheme="minorHAnsi" w:hAnsiTheme="minorHAnsi" w:cstheme="minorHAnsi"/>
          <w:sz w:val="22"/>
        </w:rPr>
        <w:t>’</w:t>
      </w:r>
      <w:r w:rsidRPr="00FA6A64">
        <w:rPr>
          <w:rFonts w:asciiTheme="minorHAnsi" w:hAnsiTheme="minorHAnsi" w:cstheme="minorHAnsi"/>
          <w:sz w:val="22"/>
        </w:rPr>
        <w:t>s language and the insights it gives into the thinking that undergirds its holding, as stated</w:t>
      </w:r>
      <w:r w:rsidRPr="00FA6A64">
        <w:rPr>
          <w:rFonts w:asciiTheme="minorHAnsi" w:hAnsiTheme="minorHAnsi" w:cstheme="minorHAnsi"/>
          <w:color w:val="333333"/>
          <w:sz w:val="22"/>
          <w:shd w:val="clear" w:color="auto" w:fill="FFFFFF"/>
        </w:rPr>
        <w:t xml:space="preserve"> </w:t>
      </w:r>
    </w:p>
    <w:p w14:paraId="793C9C4A" w14:textId="77777777" w:rsidR="00FA6A64" w:rsidRPr="00FA6A64" w:rsidRDefault="00FA6A64" w:rsidP="00FA6A64">
      <w:pPr>
        <w:rPr>
          <w:rFonts w:asciiTheme="minorHAnsi" w:hAnsiTheme="minorHAnsi" w:cstheme="minorHAnsi"/>
          <w:color w:val="333333"/>
          <w:sz w:val="22"/>
          <w:shd w:val="clear" w:color="auto" w:fill="FFFFFF"/>
        </w:rPr>
      </w:pPr>
      <w:r w:rsidRPr="00FA6A64">
        <w:rPr>
          <w:rFonts w:asciiTheme="minorHAnsi" w:hAnsiTheme="minorHAnsi" w:cstheme="minorHAnsi"/>
          <w:b/>
          <w:color w:val="333333"/>
          <w:sz w:val="22"/>
          <w:shd w:val="clear" w:color="auto" w:fill="FFFFFF"/>
        </w:rPr>
        <w:t>“</w:t>
      </w:r>
      <w:r w:rsidRPr="00FA6A64">
        <w:rPr>
          <w:rFonts w:asciiTheme="minorHAnsi" w:hAnsiTheme="minorHAnsi" w:cstheme="minorHAnsi"/>
          <w:color w:val="333333"/>
          <w:sz w:val="22"/>
          <w:shd w:val="clear" w:color="auto" w:fill="FFFFFF"/>
        </w:rPr>
        <w:t xml:space="preserve">That portion of this territory which afterwards became a part of the United States, under the designation of the 'State of California,' had been taken possession of during the war, in the year 1846. Most of it was in a wild state of nature, with very few resident white persons, and very little land cultivated within its limits. </w:t>
      </w:r>
      <w:r w:rsidRPr="00FA6A64">
        <w:rPr>
          <w:rStyle w:val="FootnoteReference"/>
          <w:rFonts w:asciiTheme="minorHAnsi" w:hAnsiTheme="minorHAnsi" w:cstheme="minorHAnsi"/>
          <w:color w:val="333333"/>
          <w:sz w:val="22"/>
          <w:shd w:val="clear" w:color="auto" w:fill="FFFFFF"/>
        </w:rPr>
        <w:footnoteReference w:id="2"/>
      </w:r>
    </w:p>
    <w:p w14:paraId="2544ABEF" w14:textId="73FC2510" w:rsidR="00FA6A64" w:rsidRPr="00FA6A64" w:rsidRDefault="00FA6A64" w:rsidP="00FA6A64">
      <w:pPr>
        <w:rPr>
          <w:rFonts w:asciiTheme="minorHAnsi" w:hAnsiTheme="minorHAnsi" w:cstheme="minorHAnsi"/>
          <w:color w:val="333333"/>
          <w:sz w:val="22"/>
          <w:shd w:val="clear" w:color="auto" w:fill="FFFFFF"/>
        </w:rPr>
      </w:pPr>
      <w:r w:rsidRPr="00FA6A64">
        <w:rPr>
          <w:rFonts w:asciiTheme="minorHAnsi" w:hAnsiTheme="minorHAnsi" w:cstheme="minorHAnsi"/>
          <w:color w:val="333333"/>
          <w:sz w:val="22"/>
          <w:shd w:val="clear" w:color="auto" w:fill="FFFFFF"/>
        </w:rPr>
        <w:t xml:space="preserve">And later the Supreme Court acknowledges it won’t or can’t rule on a case involving a treaty between two nations, </w:t>
      </w:r>
      <w:proofErr w:type="gramStart"/>
      <w:r w:rsidRPr="00FA6A64">
        <w:rPr>
          <w:rFonts w:asciiTheme="minorHAnsi" w:hAnsiTheme="minorHAnsi" w:cstheme="minorHAnsi"/>
          <w:color w:val="333333"/>
          <w:sz w:val="22"/>
          <w:shd w:val="clear" w:color="auto" w:fill="FFFFFF"/>
        </w:rPr>
        <w:t>Mexico</w:t>
      </w:r>
      <w:proofErr w:type="gramEnd"/>
      <w:r w:rsidRPr="00FA6A64">
        <w:rPr>
          <w:rFonts w:asciiTheme="minorHAnsi" w:hAnsiTheme="minorHAnsi" w:cstheme="minorHAnsi"/>
          <w:color w:val="333333"/>
          <w:sz w:val="22"/>
          <w:shd w:val="clear" w:color="auto" w:fill="FFFFFF"/>
        </w:rPr>
        <w:t xml:space="preserve"> and the United States</w:t>
      </w:r>
      <w:r w:rsidR="004B0F3D">
        <w:rPr>
          <w:rFonts w:asciiTheme="minorHAnsi" w:hAnsiTheme="minorHAnsi" w:cstheme="minorHAnsi"/>
          <w:color w:val="333333"/>
          <w:sz w:val="22"/>
          <w:shd w:val="clear" w:color="auto" w:fill="FFFFFF"/>
        </w:rPr>
        <w:t>:</w:t>
      </w:r>
      <w:r w:rsidR="00B50214">
        <w:rPr>
          <w:rFonts w:asciiTheme="minorHAnsi" w:hAnsiTheme="minorHAnsi" w:cstheme="minorHAnsi"/>
          <w:color w:val="333333"/>
          <w:sz w:val="22"/>
          <w:shd w:val="clear" w:color="auto" w:fill="FFFFFF"/>
        </w:rPr>
        <w:t>+</w:t>
      </w:r>
    </w:p>
    <w:p w14:paraId="5684BCC6" w14:textId="77777777" w:rsidR="00FA6A64" w:rsidRPr="00FA6A64" w:rsidRDefault="00FA6A64" w:rsidP="00FA6A64">
      <w:pPr>
        <w:rPr>
          <w:rFonts w:asciiTheme="minorHAnsi" w:hAnsiTheme="minorHAnsi" w:cstheme="minorHAnsi"/>
          <w:b/>
          <w:color w:val="333333"/>
          <w:sz w:val="22"/>
          <w:shd w:val="clear" w:color="auto" w:fill="FFFFFF"/>
        </w:rPr>
      </w:pPr>
      <w:r w:rsidRPr="00FA6A64">
        <w:rPr>
          <w:rFonts w:asciiTheme="minorHAnsi" w:hAnsiTheme="minorHAnsi" w:cstheme="minorHAnsi"/>
          <w:color w:val="333333"/>
          <w:sz w:val="22"/>
          <w:shd w:val="clear" w:color="auto" w:fill="FFFFFF"/>
        </w:rPr>
        <w:t>“With regard to the first of these propositions it may be said that so far as the act of congress is in conflict with the treaty with Mexico, that is a matter in which the court is bound to follow the statutory enactments of its own government. If the treaty was violated by this general statute, enacted for the purpose of ascertaining the validity of claims derived from the Mexican government, it was a matter of international concern, which the two states must determine by treaty, or by such other means as enables one state to enforce upon another the obligations of a treaty. This court, in a class of cases like the present, has no power to set itself up as the instrumentality for enforcing the</w:t>
      </w:r>
      <w:r w:rsidRPr="00FA6A64">
        <w:rPr>
          <w:rFonts w:asciiTheme="minorHAnsi" w:hAnsiTheme="minorHAnsi" w:cstheme="minorHAnsi"/>
          <w:b/>
          <w:color w:val="333333"/>
          <w:sz w:val="22"/>
          <w:shd w:val="clear" w:color="auto" w:fill="FFFFFF"/>
        </w:rPr>
        <w:t xml:space="preserve"> </w:t>
      </w:r>
      <w:r w:rsidRPr="00FA6A64">
        <w:rPr>
          <w:rFonts w:asciiTheme="minorHAnsi" w:hAnsiTheme="minorHAnsi" w:cstheme="minorHAnsi"/>
          <w:color w:val="333333"/>
          <w:sz w:val="22"/>
          <w:shd w:val="clear" w:color="auto" w:fill="FFFFFF"/>
        </w:rPr>
        <w:t>provisions of a treaty</w:t>
      </w:r>
      <w:r w:rsidRPr="00FA6A64">
        <w:rPr>
          <w:rFonts w:asciiTheme="minorHAnsi" w:hAnsiTheme="minorHAnsi" w:cstheme="minorHAnsi"/>
          <w:b/>
          <w:color w:val="333333"/>
          <w:sz w:val="22"/>
          <w:shd w:val="clear" w:color="auto" w:fill="FFFFFF"/>
        </w:rPr>
        <w:t xml:space="preserve"> </w:t>
      </w:r>
      <w:r w:rsidRPr="00FA6A64">
        <w:rPr>
          <w:rFonts w:asciiTheme="minorHAnsi" w:hAnsiTheme="minorHAnsi" w:cstheme="minorHAnsi"/>
          <w:color w:val="333333"/>
          <w:sz w:val="22"/>
          <w:shd w:val="clear" w:color="auto" w:fill="FFFFFF"/>
        </w:rPr>
        <w:t>with a foreign nation which the government of the United States, as a sovereign power, chooses to disregard.</w:t>
      </w:r>
      <w:r w:rsidRPr="00FA6A64">
        <w:rPr>
          <w:rStyle w:val="FootnoteReference"/>
          <w:rFonts w:asciiTheme="minorHAnsi" w:hAnsiTheme="minorHAnsi" w:cstheme="minorHAnsi"/>
          <w:color w:val="333333"/>
          <w:sz w:val="22"/>
          <w:shd w:val="clear" w:color="auto" w:fill="FFFFFF"/>
        </w:rPr>
        <w:footnoteReference w:id="3"/>
      </w:r>
    </w:p>
    <w:p w14:paraId="3D4AE6AD" w14:textId="77777777" w:rsidR="00FA6A64" w:rsidRPr="00FA6A64" w:rsidRDefault="00FA6A64" w:rsidP="00FA6A64">
      <w:pPr>
        <w:rPr>
          <w:rFonts w:asciiTheme="minorHAnsi" w:hAnsiTheme="minorHAnsi" w:cstheme="minorHAnsi"/>
          <w:color w:val="333333"/>
          <w:sz w:val="22"/>
          <w:shd w:val="clear" w:color="auto" w:fill="FFFFFF"/>
        </w:rPr>
      </w:pPr>
      <w:r w:rsidRPr="00FA6A64">
        <w:rPr>
          <w:rFonts w:asciiTheme="minorHAnsi" w:hAnsiTheme="minorHAnsi" w:cstheme="minorHAnsi"/>
          <w:color w:val="333333"/>
          <w:sz w:val="22"/>
          <w:shd w:val="clear" w:color="auto" w:fill="FFFFFF"/>
        </w:rPr>
        <w:t xml:space="preserve">The Supreme Court’s decision in </w:t>
      </w:r>
      <w:proofErr w:type="spellStart"/>
      <w:r w:rsidRPr="00FA6A64">
        <w:rPr>
          <w:rFonts w:asciiTheme="minorHAnsi" w:hAnsiTheme="minorHAnsi" w:cstheme="minorHAnsi"/>
          <w:i/>
          <w:color w:val="333333"/>
          <w:sz w:val="22"/>
          <w:shd w:val="clear" w:color="auto" w:fill="FFFFFF"/>
        </w:rPr>
        <w:t>Botiller</w:t>
      </w:r>
      <w:proofErr w:type="spellEnd"/>
      <w:r w:rsidRPr="00FA6A64">
        <w:rPr>
          <w:rFonts w:asciiTheme="minorHAnsi" w:hAnsiTheme="minorHAnsi" w:cstheme="minorHAnsi"/>
          <w:color w:val="333333"/>
          <w:sz w:val="22"/>
          <w:shd w:val="clear" w:color="auto" w:fill="FFFFFF"/>
        </w:rPr>
        <w:t xml:space="preserve"> contradicted previous holdings in regard to self-executing treaties, and in the event that congress violated the terms of the treaty it was a matter of international law (which would necessitate discussions between Mexico, the United States and effected third parties)</w:t>
      </w:r>
      <w:r w:rsidRPr="00FA6A64">
        <w:rPr>
          <w:rStyle w:val="FootnoteReference"/>
          <w:rFonts w:asciiTheme="minorHAnsi" w:hAnsiTheme="minorHAnsi" w:cstheme="minorHAnsi"/>
          <w:color w:val="333333"/>
          <w:sz w:val="22"/>
          <w:shd w:val="clear" w:color="auto" w:fill="FFFFFF"/>
        </w:rPr>
        <w:footnoteReference w:id="4"/>
      </w:r>
      <w:r w:rsidRPr="00FA6A64">
        <w:rPr>
          <w:rFonts w:asciiTheme="minorHAnsi" w:hAnsiTheme="minorHAnsi" w:cstheme="minorHAnsi"/>
          <w:color w:val="333333"/>
          <w:sz w:val="22"/>
          <w:shd w:val="clear" w:color="auto" w:fill="FFFFFF"/>
        </w:rPr>
        <w:t xml:space="preserve">. </w:t>
      </w:r>
    </w:p>
    <w:p w14:paraId="7D804027" w14:textId="2B26D811" w:rsidR="00FA6A64" w:rsidRPr="00FA6A64" w:rsidRDefault="00FA6A64" w:rsidP="00FA6A64">
      <w:pPr>
        <w:rPr>
          <w:rFonts w:asciiTheme="minorHAnsi" w:hAnsiTheme="minorHAnsi" w:cstheme="minorHAnsi"/>
          <w:color w:val="333333"/>
          <w:sz w:val="22"/>
          <w:shd w:val="clear" w:color="auto" w:fill="FFFFFF"/>
        </w:rPr>
      </w:pPr>
      <w:r w:rsidRPr="00FA6A64">
        <w:rPr>
          <w:rFonts w:asciiTheme="minorHAnsi" w:hAnsiTheme="minorHAnsi" w:cstheme="minorHAnsi"/>
          <w:color w:val="333333"/>
          <w:sz w:val="22"/>
          <w:shd w:val="clear" w:color="auto" w:fill="FFFFFF"/>
        </w:rPr>
        <w:t xml:space="preserve">The Decision in </w:t>
      </w:r>
      <w:proofErr w:type="spellStart"/>
      <w:r w:rsidRPr="00FA6A64">
        <w:rPr>
          <w:rFonts w:asciiTheme="minorHAnsi" w:hAnsiTheme="minorHAnsi" w:cstheme="minorHAnsi"/>
          <w:i/>
          <w:color w:val="333333"/>
          <w:sz w:val="22"/>
          <w:shd w:val="clear" w:color="auto" w:fill="FFFFFF"/>
        </w:rPr>
        <w:t>Botiller</w:t>
      </w:r>
      <w:proofErr w:type="spellEnd"/>
      <w:r w:rsidRPr="00FA6A64">
        <w:rPr>
          <w:rFonts w:asciiTheme="minorHAnsi" w:hAnsiTheme="minorHAnsi" w:cstheme="minorHAnsi"/>
          <w:i/>
          <w:color w:val="333333"/>
          <w:sz w:val="22"/>
          <w:shd w:val="clear" w:color="auto" w:fill="FFFFFF"/>
        </w:rPr>
        <w:t xml:space="preserve"> </w:t>
      </w:r>
      <w:r w:rsidRPr="00FA6A64">
        <w:rPr>
          <w:rFonts w:asciiTheme="minorHAnsi" w:hAnsiTheme="minorHAnsi" w:cstheme="minorHAnsi"/>
          <w:color w:val="333333"/>
          <w:sz w:val="22"/>
          <w:shd w:val="clear" w:color="auto" w:fill="FFFFFF"/>
        </w:rPr>
        <w:t xml:space="preserve">has been relied on as recently as 2004 in the General Accounting Office Report on Treaty of Guadalupe Hidalgo Findings and Possible Options Regarding Longstanding Community Land Grant Claims in New Mexico (GAO Report 2004). </w:t>
      </w:r>
    </w:p>
    <w:p w14:paraId="3C2A190C" w14:textId="3DBA3254" w:rsidR="00FA6A64" w:rsidRPr="00FA6A64" w:rsidRDefault="00FA6A64" w:rsidP="00FA6A64">
      <w:pPr>
        <w:rPr>
          <w:rFonts w:asciiTheme="minorHAnsi" w:hAnsiTheme="minorHAnsi" w:cstheme="minorHAnsi"/>
          <w:color w:val="333333"/>
          <w:sz w:val="22"/>
          <w:shd w:val="clear" w:color="auto" w:fill="FFFFFF"/>
        </w:rPr>
      </w:pPr>
      <w:r w:rsidRPr="00FA6A64">
        <w:rPr>
          <w:rFonts w:asciiTheme="minorHAnsi" w:hAnsiTheme="minorHAnsi" w:cstheme="minorHAnsi"/>
          <w:color w:val="333333"/>
          <w:sz w:val="22"/>
          <w:shd w:val="clear" w:color="auto" w:fill="FFFFFF"/>
        </w:rPr>
        <w:t>The report makes no mention of the</w:t>
      </w:r>
      <w:r w:rsidRPr="00FA6A64">
        <w:rPr>
          <w:rFonts w:asciiTheme="minorHAnsi" w:hAnsiTheme="minorHAnsi" w:cstheme="minorHAnsi"/>
          <w:i/>
          <w:color w:val="333333"/>
          <w:sz w:val="22"/>
          <w:shd w:val="clear" w:color="auto" w:fill="FFFFFF"/>
        </w:rPr>
        <w:t xml:space="preserve"> </w:t>
      </w:r>
      <w:proofErr w:type="spellStart"/>
      <w:r w:rsidRPr="00FA6A64">
        <w:rPr>
          <w:rFonts w:asciiTheme="minorHAnsi" w:hAnsiTheme="minorHAnsi" w:cstheme="minorHAnsi"/>
          <w:i/>
          <w:color w:val="333333"/>
          <w:sz w:val="22"/>
          <w:shd w:val="clear" w:color="auto" w:fill="FFFFFF"/>
        </w:rPr>
        <w:t>Botiller</w:t>
      </w:r>
      <w:proofErr w:type="spellEnd"/>
      <w:r w:rsidRPr="00FA6A64">
        <w:rPr>
          <w:rFonts w:asciiTheme="minorHAnsi" w:hAnsiTheme="minorHAnsi" w:cstheme="minorHAnsi"/>
          <w:color w:val="333333"/>
          <w:sz w:val="22"/>
          <w:shd w:val="clear" w:color="auto" w:fill="FFFFFF"/>
        </w:rPr>
        <w:t xml:space="preserve"> holding being potentially in conflict with customary international law “law of nations</w:t>
      </w:r>
      <w:r w:rsidR="00B50214">
        <w:rPr>
          <w:rFonts w:asciiTheme="minorHAnsi" w:hAnsiTheme="minorHAnsi" w:cstheme="minorHAnsi"/>
          <w:color w:val="333333"/>
          <w:sz w:val="22"/>
          <w:shd w:val="clear" w:color="auto" w:fill="FFFFFF"/>
        </w:rPr>
        <w:t>,</w:t>
      </w:r>
      <w:r w:rsidRPr="00FA6A64">
        <w:rPr>
          <w:rFonts w:asciiTheme="minorHAnsi" w:hAnsiTheme="minorHAnsi" w:cstheme="minorHAnsi"/>
          <w:color w:val="333333"/>
          <w:sz w:val="22"/>
          <w:shd w:val="clear" w:color="auto" w:fill="FFFFFF"/>
        </w:rPr>
        <w:t>”</w:t>
      </w:r>
      <w:r w:rsidR="00B50214">
        <w:rPr>
          <w:rFonts w:asciiTheme="minorHAnsi" w:hAnsiTheme="minorHAnsi" w:cstheme="minorHAnsi"/>
          <w:color w:val="333333"/>
          <w:sz w:val="22"/>
          <w:shd w:val="clear" w:color="auto" w:fill="FFFFFF"/>
        </w:rPr>
        <w:t xml:space="preserve"> a</w:t>
      </w:r>
      <w:r w:rsidRPr="00FA6A64">
        <w:rPr>
          <w:rFonts w:asciiTheme="minorHAnsi" w:hAnsiTheme="minorHAnsi" w:cstheme="minorHAnsi"/>
          <w:color w:val="333333"/>
          <w:sz w:val="22"/>
          <w:shd w:val="clear" w:color="auto" w:fill="FFFFFF"/>
        </w:rPr>
        <w:t>nother example of lack of consistency in domestic courts with regard to the Treaty of Guadalupe Hidalgo</w:t>
      </w:r>
      <w:r w:rsidRPr="00FA6A64">
        <w:rPr>
          <w:rStyle w:val="FootnoteReference"/>
          <w:rFonts w:asciiTheme="minorHAnsi" w:hAnsiTheme="minorHAnsi" w:cstheme="minorHAnsi"/>
          <w:color w:val="333333"/>
          <w:sz w:val="22"/>
          <w:shd w:val="clear" w:color="auto" w:fill="FFFFFF"/>
        </w:rPr>
        <w:footnoteReference w:id="5"/>
      </w:r>
      <w:r w:rsidRPr="00FA6A64">
        <w:rPr>
          <w:rFonts w:asciiTheme="minorHAnsi" w:hAnsiTheme="minorHAnsi" w:cstheme="minorHAnsi"/>
          <w:color w:val="333333"/>
          <w:sz w:val="22"/>
          <w:shd w:val="clear" w:color="auto" w:fill="FFFFFF"/>
        </w:rPr>
        <w:t xml:space="preserve">. The fact that the General Accounting Office would rely on the </w:t>
      </w:r>
      <w:proofErr w:type="spellStart"/>
      <w:r w:rsidRPr="00FA6A64">
        <w:rPr>
          <w:rFonts w:asciiTheme="minorHAnsi" w:hAnsiTheme="minorHAnsi" w:cstheme="minorHAnsi"/>
          <w:i/>
          <w:color w:val="333333"/>
          <w:sz w:val="22"/>
          <w:shd w:val="clear" w:color="auto" w:fill="FFFFFF"/>
        </w:rPr>
        <w:t>Botiller</w:t>
      </w:r>
      <w:proofErr w:type="spellEnd"/>
      <w:r w:rsidRPr="00FA6A64">
        <w:rPr>
          <w:rFonts w:asciiTheme="minorHAnsi" w:hAnsiTheme="minorHAnsi" w:cstheme="minorHAnsi"/>
          <w:color w:val="333333"/>
          <w:sz w:val="22"/>
          <w:shd w:val="clear" w:color="auto" w:fill="FFFFFF"/>
        </w:rPr>
        <w:t xml:space="preserve"> holding, a case which one legal scholar characterized as</w:t>
      </w:r>
      <w:r w:rsidR="00B50214">
        <w:rPr>
          <w:rFonts w:asciiTheme="minorHAnsi" w:hAnsiTheme="minorHAnsi" w:cstheme="minorHAnsi"/>
          <w:color w:val="333333"/>
          <w:sz w:val="22"/>
          <w:shd w:val="clear" w:color="auto" w:fill="FFFFFF"/>
        </w:rPr>
        <w:t xml:space="preserve"> “</w:t>
      </w:r>
      <w:r w:rsidRPr="00FA6A64">
        <w:rPr>
          <w:rFonts w:asciiTheme="minorHAnsi" w:hAnsiTheme="minorHAnsi" w:cstheme="minorHAnsi"/>
          <w:sz w:val="22"/>
        </w:rPr>
        <w:t xml:space="preserve">Decisions such as </w:t>
      </w:r>
      <w:proofErr w:type="spellStart"/>
      <w:r w:rsidRPr="00FA6A64">
        <w:rPr>
          <w:rFonts w:asciiTheme="minorHAnsi" w:hAnsiTheme="minorHAnsi" w:cstheme="minorHAnsi"/>
          <w:i/>
          <w:sz w:val="22"/>
        </w:rPr>
        <w:t>Botiller</w:t>
      </w:r>
      <w:proofErr w:type="spellEnd"/>
      <w:r w:rsidRPr="00FA6A64">
        <w:rPr>
          <w:rFonts w:asciiTheme="minorHAnsi" w:hAnsiTheme="minorHAnsi" w:cstheme="minorHAnsi"/>
          <w:sz w:val="22"/>
        </w:rPr>
        <w:t xml:space="preserve"> .. </w:t>
      </w:r>
      <w:r w:rsidR="00B50214">
        <w:rPr>
          <w:rFonts w:asciiTheme="minorHAnsi" w:hAnsiTheme="minorHAnsi" w:cstheme="minorHAnsi"/>
          <w:sz w:val="22"/>
        </w:rPr>
        <w:t>j</w:t>
      </w:r>
      <w:r w:rsidRPr="00FA6A64">
        <w:rPr>
          <w:rFonts w:asciiTheme="minorHAnsi" w:hAnsiTheme="minorHAnsi" w:cstheme="minorHAnsi"/>
          <w:sz w:val="22"/>
        </w:rPr>
        <w:t xml:space="preserve">oin ranks with relatively contemporaneous cases such as </w:t>
      </w:r>
      <w:r w:rsidRPr="00FA6A64">
        <w:rPr>
          <w:rFonts w:asciiTheme="minorHAnsi" w:hAnsiTheme="minorHAnsi" w:cstheme="minorHAnsi"/>
          <w:i/>
          <w:sz w:val="22"/>
        </w:rPr>
        <w:t>Plessy v. Ferguson,</w:t>
      </w:r>
      <w:r w:rsidRPr="00FA6A64">
        <w:rPr>
          <w:rFonts w:asciiTheme="minorHAnsi" w:hAnsiTheme="minorHAnsi" w:cstheme="minorHAnsi"/>
          <w:sz w:val="22"/>
        </w:rPr>
        <w:t xml:space="preserve"> </w:t>
      </w:r>
      <w:r w:rsidRPr="00FA6A64">
        <w:rPr>
          <w:rFonts w:asciiTheme="minorHAnsi" w:hAnsiTheme="minorHAnsi" w:cstheme="minorHAnsi"/>
          <w:i/>
          <w:sz w:val="22"/>
        </w:rPr>
        <w:t>Dred Scott v. Sandford</w:t>
      </w:r>
      <w:r w:rsidRPr="00FA6A64">
        <w:rPr>
          <w:rFonts w:asciiTheme="minorHAnsi" w:hAnsiTheme="minorHAnsi" w:cstheme="minorHAnsi"/>
          <w:sz w:val="22"/>
        </w:rPr>
        <w:t xml:space="preserve">, and </w:t>
      </w:r>
      <w:r w:rsidRPr="00FA6A64">
        <w:rPr>
          <w:rFonts w:asciiTheme="minorHAnsi" w:hAnsiTheme="minorHAnsi" w:cstheme="minorHAnsi"/>
          <w:i/>
          <w:sz w:val="22"/>
        </w:rPr>
        <w:t>The Chinese Exclusion Case</w:t>
      </w:r>
      <w:r w:rsidRPr="00FA6A64">
        <w:rPr>
          <w:rFonts w:asciiTheme="minorHAnsi" w:hAnsiTheme="minorHAnsi" w:cstheme="minorHAnsi"/>
          <w:sz w:val="22"/>
        </w:rPr>
        <w:t xml:space="preserve"> as stark reminders of a not-so-distant and intolerant past”</w:t>
      </w:r>
      <w:r w:rsidRPr="00FA6A64">
        <w:rPr>
          <w:rStyle w:val="FootnoteReference"/>
          <w:rFonts w:asciiTheme="minorHAnsi" w:hAnsiTheme="minorHAnsi" w:cstheme="minorHAnsi"/>
          <w:sz w:val="22"/>
        </w:rPr>
        <w:footnoteReference w:id="6"/>
      </w:r>
      <w:r w:rsidRPr="00FA6A64">
        <w:rPr>
          <w:rFonts w:asciiTheme="minorHAnsi" w:hAnsiTheme="minorHAnsi" w:cstheme="minorHAnsi"/>
          <w:color w:val="333333"/>
          <w:sz w:val="22"/>
          <w:shd w:val="clear" w:color="auto" w:fill="FFFFFF"/>
        </w:rPr>
        <w:t xml:space="preserve"> </w:t>
      </w:r>
      <w:r w:rsidR="00B50214">
        <w:rPr>
          <w:rFonts w:asciiTheme="minorHAnsi" w:hAnsiTheme="minorHAnsi" w:cstheme="minorHAnsi"/>
          <w:color w:val="333333"/>
          <w:sz w:val="22"/>
          <w:shd w:val="clear" w:color="auto" w:fill="FFFFFF"/>
        </w:rPr>
        <w:t>It further d</w:t>
      </w:r>
      <w:r w:rsidRPr="00FA6A64">
        <w:rPr>
          <w:rFonts w:asciiTheme="minorHAnsi" w:hAnsiTheme="minorHAnsi" w:cstheme="minorHAnsi"/>
          <w:color w:val="333333"/>
          <w:sz w:val="22"/>
          <w:shd w:val="clear" w:color="auto" w:fill="FFFFFF"/>
        </w:rPr>
        <w:t xml:space="preserve">emonstrates the adverse effect, through a mishmash of rulings, the judicial bodies have had on the self-determination and sovereignty of the indigenous and Chicano peoples. </w:t>
      </w:r>
    </w:p>
    <w:p w14:paraId="360FA505" w14:textId="59ECF2F4" w:rsidR="00FA6A64" w:rsidRPr="00FA6A64" w:rsidRDefault="00FA6A64" w:rsidP="00FA6A64">
      <w:pPr>
        <w:rPr>
          <w:rFonts w:asciiTheme="minorHAnsi" w:hAnsiTheme="minorHAnsi" w:cstheme="minorHAnsi"/>
          <w:color w:val="333333"/>
          <w:sz w:val="22"/>
          <w:shd w:val="clear" w:color="auto" w:fill="FFFFFF"/>
        </w:rPr>
      </w:pPr>
      <w:r w:rsidRPr="00FA6A64">
        <w:rPr>
          <w:rFonts w:asciiTheme="minorHAnsi" w:hAnsiTheme="minorHAnsi" w:cstheme="minorHAnsi"/>
          <w:color w:val="333333"/>
          <w:sz w:val="22"/>
          <w:shd w:val="clear" w:color="auto" w:fill="FFFFFF"/>
        </w:rPr>
        <w:t xml:space="preserve">The following cases are examples of conflicting court decisions </w:t>
      </w:r>
      <w:r w:rsidR="00B50214" w:rsidRPr="00FA6A64">
        <w:rPr>
          <w:rFonts w:asciiTheme="minorHAnsi" w:hAnsiTheme="minorHAnsi" w:cstheme="minorHAnsi"/>
          <w:color w:val="333333"/>
          <w:sz w:val="22"/>
          <w:shd w:val="clear" w:color="auto" w:fill="FFFFFF"/>
        </w:rPr>
        <w:t>in regard to</w:t>
      </w:r>
      <w:r w:rsidRPr="00FA6A64">
        <w:rPr>
          <w:rFonts w:asciiTheme="minorHAnsi" w:hAnsiTheme="minorHAnsi" w:cstheme="minorHAnsi"/>
          <w:color w:val="333333"/>
          <w:sz w:val="22"/>
          <w:shd w:val="clear" w:color="auto" w:fill="FFFFFF"/>
        </w:rPr>
        <w:t xml:space="preserve"> the religious freedoms guaranteed to indigenous people</w:t>
      </w:r>
      <w:r w:rsidR="00B50214">
        <w:rPr>
          <w:rFonts w:asciiTheme="minorHAnsi" w:hAnsiTheme="minorHAnsi" w:cstheme="minorHAnsi"/>
          <w:color w:val="333333"/>
          <w:sz w:val="22"/>
          <w:shd w:val="clear" w:color="auto" w:fill="FFFFFF"/>
        </w:rPr>
        <w:t>s</w:t>
      </w:r>
      <w:r w:rsidRPr="00FA6A64">
        <w:rPr>
          <w:rFonts w:asciiTheme="minorHAnsi" w:hAnsiTheme="minorHAnsi" w:cstheme="minorHAnsi"/>
          <w:color w:val="333333"/>
          <w:sz w:val="22"/>
          <w:shd w:val="clear" w:color="auto" w:fill="FFFFFF"/>
        </w:rPr>
        <w:t xml:space="preserve"> under the Treaty of Guadalupe Hidalgo.</w:t>
      </w:r>
    </w:p>
    <w:p w14:paraId="113A8B7C" w14:textId="72316171" w:rsidR="00FA6A64" w:rsidRPr="00FA6A64" w:rsidRDefault="00FA6A64" w:rsidP="00FA6A64">
      <w:pPr>
        <w:pStyle w:val="Heading1"/>
        <w:spacing w:before="240" w:beforeAutospacing="0" w:after="180" w:afterAutospacing="0"/>
        <w:rPr>
          <w:rStyle w:val="Strong"/>
          <w:rFonts w:asciiTheme="minorHAnsi" w:hAnsiTheme="minorHAnsi" w:cstheme="minorHAnsi"/>
          <w:b/>
          <w:color w:val="000000"/>
          <w:sz w:val="22"/>
          <w:szCs w:val="22"/>
        </w:rPr>
      </w:pPr>
      <w:r w:rsidRPr="00FA6A64">
        <w:rPr>
          <w:rFonts w:asciiTheme="minorHAnsi" w:hAnsiTheme="minorHAnsi" w:cstheme="minorHAnsi"/>
          <w:color w:val="1A1A1A"/>
          <w:sz w:val="22"/>
          <w:szCs w:val="22"/>
        </w:rPr>
        <w:t>United States v. Abeyta, 632 F. Supp. 1301 (D.N.M. 1986)</w:t>
      </w:r>
      <w:r w:rsidRPr="00FA6A64">
        <w:rPr>
          <w:rStyle w:val="Strong"/>
          <w:rFonts w:asciiTheme="minorHAnsi" w:hAnsiTheme="minorHAnsi" w:cstheme="minorHAnsi"/>
          <w:color w:val="000000"/>
          <w:sz w:val="22"/>
          <w:szCs w:val="22"/>
        </w:rPr>
        <w:t xml:space="preserve"> US District Court for the District of New Mexico - 632 F. Supp. 1301 (D.N.M. 1986) April 9, 1986</w:t>
      </w:r>
    </w:p>
    <w:p w14:paraId="0E05BF49" w14:textId="75E249C0" w:rsidR="00FA6A64" w:rsidRPr="00FA6A64" w:rsidRDefault="00FA6A64" w:rsidP="00FA6A64">
      <w:pPr>
        <w:pStyle w:val="Heading1"/>
        <w:spacing w:before="240" w:beforeAutospacing="0" w:after="180" w:afterAutospacing="0"/>
        <w:rPr>
          <w:rStyle w:val="Strong"/>
          <w:rFonts w:asciiTheme="minorHAnsi" w:hAnsiTheme="minorHAnsi" w:cstheme="minorHAnsi"/>
          <w:color w:val="000000"/>
          <w:sz w:val="22"/>
          <w:szCs w:val="22"/>
        </w:rPr>
      </w:pPr>
      <w:r w:rsidRPr="00FA6A64">
        <w:rPr>
          <w:rStyle w:val="Strong"/>
          <w:rFonts w:asciiTheme="minorHAnsi" w:hAnsiTheme="minorHAnsi" w:cstheme="minorHAnsi"/>
          <w:color w:val="000000"/>
          <w:sz w:val="22"/>
          <w:szCs w:val="22"/>
        </w:rPr>
        <w:t xml:space="preserve">The United States v. Abeyta case involved issues of religious freedom and protections of these freedoms guaranteed by the Treaty of Guadalupe Hidalgo and the First </w:t>
      </w:r>
      <w:r w:rsidR="00B50214">
        <w:rPr>
          <w:rStyle w:val="Strong"/>
          <w:rFonts w:asciiTheme="minorHAnsi" w:hAnsiTheme="minorHAnsi" w:cstheme="minorHAnsi"/>
          <w:color w:val="000000"/>
          <w:sz w:val="22"/>
          <w:szCs w:val="22"/>
        </w:rPr>
        <w:t>A</w:t>
      </w:r>
      <w:r w:rsidRPr="00FA6A64">
        <w:rPr>
          <w:rStyle w:val="Strong"/>
          <w:rFonts w:asciiTheme="minorHAnsi" w:hAnsiTheme="minorHAnsi" w:cstheme="minorHAnsi"/>
          <w:color w:val="000000"/>
          <w:sz w:val="22"/>
          <w:szCs w:val="22"/>
        </w:rPr>
        <w:t xml:space="preserve">mendment of the </w:t>
      </w:r>
      <w:r w:rsidR="00B50214">
        <w:rPr>
          <w:rStyle w:val="Strong"/>
          <w:rFonts w:asciiTheme="minorHAnsi" w:hAnsiTheme="minorHAnsi" w:cstheme="minorHAnsi"/>
          <w:color w:val="000000"/>
          <w:sz w:val="22"/>
          <w:szCs w:val="22"/>
        </w:rPr>
        <w:t>U.S.</w:t>
      </w:r>
      <w:r w:rsidRPr="00FA6A64">
        <w:rPr>
          <w:rStyle w:val="Strong"/>
          <w:rFonts w:asciiTheme="minorHAnsi" w:hAnsiTheme="minorHAnsi" w:cstheme="minorHAnsi"/>
          <w:color w:val="000000"/>
          <w:sz w:val="22"/>
          <w:szCs w:val="22"/>
        </w:rPr>
        <w:t xml:space="preserve"> </w:t>
      </w:r>
      <w:r w:rsidR="00B50214">
        <w:rPr>
          <w:rStyle w:val="Strong"/>
          <w:rFonts w:asciiTheme="minorHAnsi" w:hAnsiTheme="minorHAnsi" w:cstheme="minorHAnsi"/>
          <w:color w:val="000000"/>
          <w:sz w:val="22"/>
          <w:szCs w:val="22"/>
        </w:rPr>
        <w:t>C</w:t>
      </w:r>
      <w:r w:rsidRPr="00FA6A64">
        <w:rPr>
          <w:rStyle w:val="Strong"/>
          <w:rFonts w:asciiTheme="minorHAnsi" w:hAnsiTheme="minorHAnsi" w:cstheme="minorHAnsi"/>
          <w:color w:val="000000"/>
          <w:sz w:val="22"/>
          <w:szCs w:val="22"/>
        </w:rPr>
        <w:t>onstitution.</w:t>
      </w:r>
    </w:p>
    <w:p w14:paraId="0D87FF95" w14:textId="053444AA" w:rsidR="00FA6A64" w:rsidRPr="00FA6A64" w:rsidRDefault="00FA6A64" w:rsidP="00FA6A64">
      <w:pPr>
        <w:pStyle w:val="Heading1"/>
        <w:spacing w:before="240" w:beforeAutospacing="0" w:after="180" w:afterAutospacing="0"/>
        <w:rPr>
          <w:rStyle w:val="Strong"/>
          <w:rFonts w:asciiTheme="minorHAnsi" w:hAnsiTheme="minorHAnsi" w:cstheme="minorHAnsi"/>
          <w:color w:val="000000"/>
          <w:sz w:val="22"/>
          <w:szCs w:val="22"/>
        </w:rPr>
      </w:pPr>
      <w:r w:rsidRPr="00FA6A64">
        <w:rPr>
          <w:rStyle w:val="Strong"/>
          <w:rFonts w:asciiTheme="minorHAnsi" w:hAnsiTheme="minorHAnsi" w:cstheme="minorHAnsi"/>
          <w:color w:val="000000"/>
          <w:sz w:val="22"/>
          <w:szCs w:val="22"/>
        </w:rPr>
        <w:t>Defendant Abeyta, a member of the Isleta Pueblo, was charged with violating The Bald and Golden Eagle Protection Act</w:t>
      </w:r>
      <w:r w:rsidR="00B50214">
        <w:rPr>
          <w:rStyle w:val="Strong"/>
          <w:rFonts w:asciiTheme="minorHAnsi" w:hAnsiTheme="minorHAnsi" w:cstheme="minorHAnsi"/>
          <w:color w:val="000000"/>
          <w:sz w:val="22"/>
          <w:szCs w:val="22"/>
        </w:rPr>
        <w:t>,</w:t>
      </w:r>
      <w:r w:rsidRPr="00FA6A64">
        <w:rPr>
          <w:rStyle w:val="Strong"/>
          <w:rFonts w:asciiTheme="minorHAnsi" w:hAnsiTheme="minorHAnsi" w:cstheme="minorHAnsi"/>
          <w:color w:val="000000"/>
          <w:sz w:val="22"/>
          <w:szCs w:val="22"/>
        </w:rPr>
        <w:t xml:space="preserve"> 16 USC § 668. Abeyta filed a motion to dismiss the action for the reason that the Act does not apply to him </w:t>
      </w:r>
      <w:r w:rsidRPr="00FA6A64">
        <w:rPr>
          <w:rStyle w:val="FootnoteReference"/>
          <w:rFonts w:asciiTheme="minorHAnsi" w:hAnsiTheme="minorHAnsi" w:cstheme="minorHAnsi"/>
          <w:b w:val="0"/>
          <w:bCs w:val="0"/>
          <w:color w:val="000000"/>
          <w:sz w:val="22"/>
          <w:szCs w:val="22"/>
        </w:rPr>
        <w:footnoteReference w:id="7"/>
      </w:r>
      <w:r w:rsidRPr="00FA6A64">
        <w:rPr>
          <w:rStyle w:val="Strong"/>
          <w:rFonts w:asciiTheme="minorHAnsi" w:hAnsiTheme="minorHAnsi" w:cstheme="minorHAnsi"/>
          <w:color w:val="000000"/>
          <w:sz w:val="22"/>
          <w:szCs w:val="22"/>
        </w:rPr>
        <w:t xml:space="preserve">  Abeyta stated this due to  the protections afforded him by the Treaty of Guadalupe. The District Court of New Mexico agreed with Abeyta and granted his Motion to Dismiss</w:t>
      </w:r>
      <w:r w:rsidRPr="00FA6A64">
        <w:rPr>
          <w:rStyle w:val="FootnoteReference"/>
          <w:rFonts w:asciiTheme="minorHAnsi" w:hAnsiTheme="minorHAnsi" w:cstheme="minorHAnsi"/>
          <w:b w:val="0"/>
          <w:bCs w:val="0"/>
          <w:color w:val="000000"/>
          <w:sz w:val="22"/>
          <w:szCs w:val="22"/>
        </w:rPr>
        <w:footnoteReference w:id="8"/>
      </w:r>
      <w:r w:rsidRPr="00FA6A64">
        <w:rPr>
          <w:rStyle w:val="Strong"/>
          <w:rFonts w:asciiTheme="minorHAnsi" w:hAnsiTheme="minorHAnsi" w:cstheme="minorHAnsi"/>
          <w:color w:val="000000"/>
          <w:sz w:val="22"/>
          <w:szCs w:val="22"/>
        </w:rPr>
        <w:t xml:space="preserve"> </w:t>
      </w:r>
    </w:p>
    <w:p w14:paraId="3564A31D" w14:textId="77777777" w:rsidR="00FA6A64" w:rsidRPr="00FA6A64" w:rsidRDefault="00FA6A64" w:rsidP="00FA6A64">
      <w:pPr>
        <w:pStyle w:val="Heading1"/>
        <w:spacing w:before="240" w:beforeAutospacing="0" w:after="180" w:afterAutospacing="0"/>
        <w:rPr>
          <w:rStyle w:val="Strong"/>
          <w:rFonts w:asciiTheme="minorHAnsi" w:hAnsiTheme="minorHAnsi" w:cstheme="minorHAnsi"/>
          <w:color w:val="000000"/>
          <w:sz w:val="22"/>
          <w:szCs w:val="22"/>
        </w:rPr>
      </w:pPr>
      <w:r w:rsidRPr="00FA6A64">
        <w:rPr>
          <w:rStyle w:val="Strong"/>
          <w:rFonts w:asciiTheme="minorHAnsi" w:hAnsiTheme="minorHAnsi" w:cstheme="minorHAnsi"/>
          <w:color w:val="000000"/>
          <w:sz w:val="22"/>
          <w:szCs w:val="22"/>
        </w:rPr>
        <w:t xml:space="preserve">The court was unequivocal in its language and stated firmly that the Treaty of Guadalupe provided for legal and religious freedoms of the native people, as stated </w:t>
      </w:r>
    </w:p>
    <w:p w14:paraId="70D25AE9" w14:textId="77777777" w:rsidR="00FA6A64" w:rsidRPr="00FA6A64" w:rsidRDefault="00FA6A64" w:rsidP="00FA6A64">
      <w:pPr>
        <w:pStyle w:val="Heading1"/>
        <w:spacing w:before="240" w:beforeAutospacing="0" w:after="180" w:afterAutospacing="0"/>
        <w:rPr>
          <w:rStyle w:val="Strong"/>
          <w:rFonts w:asciiTheme="minorHAnsi" w:hAnsiTheme="minorHAnsi" w:cstheme="minorHAnsi"/>
          <w:color w:val="000000"/>
          <w:sz w:val="22"/>
          <w:szCs w:val="22"/>
        </w:rPr>
      </w:pPr>
      <w:r w:rsidRPr="00FA6A64">
        <w:rPr>
          <w:rStyle w:val="Strong"/>
          <w:rFonts w:asciiTheme="minorHAnsi" w:hAnsiTheme="minorHAnsi" w:cstheme="minorHAnsi"/>
          <w:color w:val="000000"/>
          <w:sz w:val="22"/>
          <w:szCs w:val="22"/>
        </w:rPr>
        <w:t>“</w:t>
      </w:r>
      <w:r w:rsidRPr="00FA6A64">
        <w:rPr>
          <w:rFonts w:asciiTheme="minorHAnsi" w:hAnsiTheme="minorHAnsi" w:cstheme="minorHAnsi"/>
          <w:b w:val="0"/>
          <w:color w:val="000000"/>
          <w:sz w:val="22"/>
          <w:szCs w:val="22"/>
        </w:rPr>
        <w:t>The court agrees that the Treaty of Guadalupe Hidalgo did confirm and perpetuate religious rights, including the use of eagle feathers in the rituals of Abeyta's religious fellowship, and that Congress did not abrogate this protection when it sought to conserve and nurture America's eagle population</w:t>
      </w:r>
      <w:r w:rsidRPr="00FA6A64">
        <w:rPr>
          <w:rStyle w:val="Strong"/>
          <w:rFonts w:asciiTheme="minorHAnsi" w:hAnsiTheme="minorHAnsi" w:cstheme="minorHAnsi"/>
          <w:color w:val="000000"/>
          <w:sz w:val="22"/>
          <w:szCs w:val="22"/>
        </w:rPr>
        <w:t xml:space="preserve"> “</w:t>
      </w:r>
      <w:r w:rsidRPr="00FA6A64">
        <w:rPr>
          <w:rStyle w:val="FootnoteReference"/>
          <w:rFonts w:asciiTheme="minorHAnsi" w:hAnsiTheme="minorHAnsi" w:cstheme="minorHAnsi"/>
          <w:b w:val="0"/>
          <w:bCs w:val="0"/>
          <w:color w:val="000000"/>
          <w:sz w:val="22"/>
          <w:szCs w:val="22"/>
        </w:rPr>
        <w:footnoteReference w:id="9"/>
      </w:r>
      <w:r w:rsidRPr="00FA6A64">
        <w:rPr>
          <w:rStyle w:val="Strong"/>
          <w:rFonts w:asciiTheme="minorHAnsi" w:hAnsiTheme="minorHAnsi" w:cstheme="minorHAnsi"/>
          <w:color w:val="000000"/>
          <w:sz w:val="22"/>
          <w:szCs w:val="22"/>
        </w:rPr>
        <w:t xml:space="preserve">  </w:t>
      </w:r>
    </w:p>
    <w:p w14:paraId="50F69282" w14:textId="413ACF40" w:rsidR="00FA6A64" w:rsidRPr="00FA6A64" w:rsidRDefault="00FA6A64" w:rsidP="00FA6A64">
      <w:pPr>
        <w:pStyle w:val="Heading1"/>
        <w:spacing w:before="240" w:beforeAutospacing="0" w:after="180" w:afterAutospacing="0"/>
        <w:rPr>
          <w:rStyle w:val="Strong"/>
          <w:rFonts w:asciiTheme="minorHAnsi" w:hAnsiTheme="minorHAnsi" w:cstheme="minorHAnsi"/>
          <w:color w:val="000000"/>
          <w:sz w:val="22"/>
          <w:szCs w:val="22"/>
        </w:rPr>
      </w:pPr>
      <w:r w:rsidRPr="00FA6A64">
        <w:rPr>
          <w:rStyle w:val="Strong"/>
          <w:rFonts w:asciiTheme="minorHAnsi" w:hAnsiTheme="minorHAnsi" w:cstheme="minorHAnsi"/>
          <w:color w:val="000000"/>
          <w:sz w:val="22"/>
          <w:szCs w:val="22"/>
        </w:rPr>
        <w:t>The District Court goes on to state</w:t>
      </w:r>
      <w:r w:rsidR="00B50214">
        <w:rPr>
          <w:rStyle w:val="Strong"/>
          <w:rFonts w:asciiTheme="minorHAnsi" w:hAnsiTheme="minorHAnsi" w:cstheme="minorHAnsi"/>
          <w:color w:val="000000"/>
          <w:sz w:val="22"/>
          <w:szCs w:val="22"/>
        </w:rPr>
        <w:t>:</w:t>
      </w:r>
    </w:p>
    <w:p w14:paraId="1E5F546E" w14:textId="77777777" w:rsidR="00FA6A64" w:rsidRPr="00FA6A64" w:rsidRDefault="00FA6A64" w:rsidP="00FA6A64">
      <w:pPr>
        <w:pStyle w:val="NormalWeb"/>
        <w:rPr>
          <w:rFonts w:asciiTheme="minorHAnsi" w:hAnsiTheme="minorHAnsi" w:cstheme="minorHAnsi"/>
          <w:color w:val="000000"/>
          <w:sz w:val="22"/>
          <w:szCs w:val="22"/>
        </w:rPr>
      </w:pPr>
      <w:r w:rsidRPr="00FA6A64">
        <w:rPr>
          <w:rFonts w:asciiTheme="minorHAnsi" w:hAnsiTheme="minorHAnsi" w:cstheme="minorHAnsi"/>
          <w:color w:val="000000"/>
          <w:sz w:val="22"/>
          <w:szCs w:val="22"/>
        </w:rPr>
        <w:t xml:space="preserve">“Because the Treaty of Guadalupe Hidalgo afforded protection to the pueblos, however, it is in this dimension more than a settlement between then hostile nations: </w:t>
      </w:r>
      <w:r w:rsidRPr="00FA6A64">
        <w:rPr>
          <w:rFonts w:asciiTheme="minorHAnsi" w:hAnsiTheme="minorHAnsi" w:cstheme="minorHAnsi"/>
          <w:i/>
          <w:color w:val="000000"/>
          <w:sz w:val="22"/>
          <w:szCs w:val="22"/>
        </w:rPr>
        <w:t>it is a living Indian treaty. It memorializes a pledge to the Mexican nation that the United States would honor the rights of Indians living in the ceded territory at the time the treaty was executed. As such, it is a treaty of the United States securing the rights of Native Americans, and it is to be construed according to the special principles controlling interpretation of Indian</w:t>
      </w:r>
      <w:r w:rsidRPr="002338B4">
        <w:rPr>
          <w:rFonts w:asciiTheme="minorHAnsi" w:hAnsiTheme="minorHAnsi" w:cstheme="minorHAnsi"/>
          <w:bCs/>
          <w:i/>
          <w:iCs/>
          <w:color w:val="000000"/>
          <w:sz w:val="22"/>
          <w:szCs w:val="22"/>
        </w:rPr>
        <w:t xml:space="preserve"> treaties</w:t>
      </w:r>
      <w:r w:rsidRPr="00FA6A64">
        <w:rPr>
          <w:rFonts w:asciiTheme="minorHAnsi" w:hAnsiTheme="minorHAnsi" w:cstheme="minorHAnsi"/>
          <w:b/>
          <w:color w:val="000000"/>
          <w:sz w:val="22"/>
          <w:szCs w:val="22"/>
        </w:rPr>
        <w:t>. </w:t>
      </w:r>
      <w:r w:rsidRPr="00FA6A64">
        <w:rPr>
          <w:rStyle w:val="Emphasis"/>
          <w:rFonts w:asciiTheme="minorHAnsi" w:hAnsiTheme="minorHAnsi" w:cstheme="minorHAnsi"/>
          <w:color w:val="000000"/>
          <w:sz w:val="22"/>
          <w:szCs w:val="22"/>
        </w:rPr>
        <w:t xml:space="preserve">See State of New Mexico v. </w:t>
      </w:r>
      <w:proofErr w:type="spellStart"/>
      <w:r w:rsidRPr="00FA6A64">
        <w:rPr>
          <w:rStyle w:val="Emphasis"/>
          <w:rFonts w:asciiTheme="minorHAnsi" w:hAnsiTheme="minorHAnsi" w:cstheme="minorHAnsi"/>
          <w:color w:val="000000"/>
          <w:sz w:val="22"/>
          <w:szCs w:val="22"/>
        </w:rPr>
        <w:t>Aamodt</w:t>
      </w:r>
      <w:proofErr w:type="spellEnd"/>
      <w:r w:rsidRPr="00FA6A64">
        <w:rPr>
          <w:rStyle w:val="Emphasis"/>
          <w:rFonts w:asciiTheme="minorHAnsi" w:hAnsiTheme="minorHAnsi" w:cstheme="minorHAnsi"/>
          <w:color w:val="000000"/>
          <w:sz w:val="22"/>
          <w:szCs w:val="22"/>
        </w:rPr>
        <w:t>,</w:t>
      </w:r>
      <w:r w:rsidRPr="00FA6A64">
        <w:rPr>
          <w:rFonts w:asciiTheme="minorHAnsi" w:hAnsiTheme="minorHAnsi" w:cstheme="minorHAnsi"/>
          <w:color w:val="000000"/>
          <w:sz w:val="22"/>
          <w:szCs w:val="22"/>
        </w:rPr>
        <w:t> 537 F.2d 1102 (10th Cir. 1976), </w:t>
      </w:r>
      <w:r w:rsidRPr="00FA6A64">
        <w:rPr>
          <w:rStyle w:val="Emphasis"/>
          <w:rFonts w:asciiTheme="minorHAnsi" w:hAnsiTheme="minorHAnsi" w:cstheme="minorHAnsi"/>
          <w:color w:val="000000"/>
          <w:sz w:val="22"/>
          <w:szCs w:val="22"/>
        </w:rPr>
        <w:t>cert. denied,</w:t>
      </w:r>
      <w:r w:rsidRPr="00FA6A64">
        <w:rPr>
          <w:rFonts w:asciiTheme="minorHAnsi" w:hAnsiTheme="minorHAnsi" w:cstheme="minorHAnsi"/>
          <w:color w:val="000000"/>
          <w:sz w:val="22"/>
          <w:szCs w:val="22"/>
        </w:rPr>
        <w:t> 429 U.S. 1121, 97 S. Ct. 1157, 51 L. Ed. 2d 572 (1977); </w:t>
      </w:r>
      <w:r w:rsidRPr="00FA6A64">
        <w:rPr>
          <w:rStyle w:val="Emphasis"/>
          <w:rFonts w:asciiTheme="minorHAnsi" w:hAnsiTheme="minorHAnsi" w:cstheme="minorHAnsi"/>
          <w:color w:val="000000"/>
          <w:sz w:val="22"/>
          <w:szCs w:val="22"/>
        </w:rPr>
        <w:t>see also Pueblo of Isleta v. Universal Constructors, Inc.,</w:t>
      </w:r>
      <w:r w:rsidRPr="00FA6A64">
        <w:rPr>
          <w:rFonts w:asciiTheme="minorHAnsi" w:hAnsiTheme="minorHAnsi" w:cstheme="minorHAnsi"/>
          <w:color w:val="000000"/>
          <w:sz w:val="22"/>
          <w:szCs w:val="22"/>
        </w:rPr>
        <w:t> 570 F.2d 300 (10th Cir.1978) “</w:t>
      </w:r>
      <w:r w:rsidRPr="00FA6A64">
        <w:rPr>
          <w:rStyle w:val="FootnoteReference"/>
          <w:rFonts w:asciiTheme="minorHAnsi" w:hAnsiTheme="minorHAnsi" w:cstheme="minorHAnsi"/>
          <w:color w:val="000000"/>
          <w:sz w:val="22"/>
          <w:szCs w:val="22"/>
        </w:rPr>
        <w:footnoteReference w:id="10"/>
      </w:r>
      <w:r w:rsidRPr="00FA6A64">
        <w:rPr>
          <w:rFonts w:asciiTheme="minorHAnsi" w:hAnsiTheme="minorHAnsi" w:cstheme="minorHAnsi"/>
          <w:color w:val="000000"/>
          <w:sz w:val="22"/>
          <w:szCs w:val="22"/>
        </w:rPr>
        <w:t xml:space="preserve">. </w:t>
      </w:r>
    </w:p>
    <w:p w14:paraId="4A36B336" w14:textId="77777777" w:rsidR="00FA6A64" w:rsidRPr="00FA6A64" w:rsidRDefault="00FA6A64" w:rsidP="00FA6A64">
      <w:pPr>
        <w:pStyle w:val="NormalWeb"/>
        <w:rPr>
          <w:rFonts w:asciiTheme="minorHAnsi" w:hAnsiTheme="minorHAnsi" w:cstheme="minorHAnsi"/>
          <w:color w:val="000000"/>
          <w:sz w:val="22"/>
          <w:szCs w:val="22"/>
        </w:rPr>
      </w:pPr>
      <w:r w:rsidRPr="00FA6A64">
        <w:rPr>
          <w:rFonts w:asciiTheme="minorHAnsi" w:hAnsiTheme="minorHAnsi" w:cstheme="minorHAnsi"/>
          <w:color w:val="000000"/>
          <w:sz w:val="22"/>
          <w:szCs w:val="22"/>
        </w:rPr>
        <w:t xml:space="preserve">And again </w:t>
      </w:r>
    </w:p>
    <w:p w14:paraId="2F8601C0" w14:textId="77777777" w:rsidR="00FA6A64" w:rsidRPr="00FA6A64" w:rsidRDefault="00FA6A64" w:rsidP="00FA6A64">
      <w:pPr>
        <w:pStyle w:val="NormalWeb"/>
        <w:rPr>
          <w:rFonts w:asciiTheme="minorHAnsi" w:hAnsiTheme="minorHAnsi" w:cstheme="minorHAnsi"/>
          <w:color w:val="000000"/>
          <w:sz w:val="22"/>
          <w:szCs w:val="22"/>
        </w:rPr>
      </w:pPr>
      <w:r w:rsidRPr="00FA6A64">
        <w:rPr>
          <w:rFonts w:asciiTheme="minorHAnsi" w:hAnsiTheme="minorHAnsi" w:cstheme="minorHAnsi"/>
          <w:color w:val="000000"/>
          <w:sz w:val="22"/>
          <w:szCs w:val="22"/>
        </w:rPr>
        <w:t>“The treaty rights asserted by Abeyta are of high import. The Treaty of Guadalupe Hidalgo, unlike the treaties considered by other courts, is an international compact securing </w:t>
      </w:r>
      <w:r w:rsidRPr="00FA6A64">
        <w:rPr>
          <w:rStyle w:val="Emphasis"/>
          <w:rFonts w:asciiTheme="minorHAnsi" w:hAnsiTheme="minorHAnsi" w:cstheme="minorHAnsi"/>
          <w:color w:val="000000"/>
          <w:sz w:val="22"/>
          <w:szCs w:val="22"/>
        </w:rPr>
        <w:t>religious freedom</w:t>
      </w:r>
      <w:r w:rsidRPr="00FA6A64">
        <w:rPr>
          <w:rFonts w:asciiTheme="minorHAnsi" w:hAnsiTheme="minorHAnsi" w:cstheme="minorHAnsi"/>
          <w:color w:val="000000"/>
          <w:sz w:val="22"/>
          <w:szCs w:val="22"/>
        </w:rPr>
        <w:t> to Mexican citizens in the ceded territories. The court need not and does not decide what hunting rights might attach to the New Mexico pueblos by virtue of the 1848 accords between the United States and Mexico. It is the guarantee of religious liberty in article IX of the treaty that, according to the government, Congress abrogated when it enacted the eagle protection laws”</w:t>
      </w:r>
      <w:r w:rsidRPr="00FA6A64">
        <w:rPr>
          <w:rStyle w:val="FootnoteReference"/>
          <w:rFonts w:asciiTheme="minorHAnsi" w:hAnsiTheme="minorHAnsi" w:cstheme="minorHAnsi"/>
          <w:color w:val="000000"/>
          <w:sz w:val="22"/>
          <w:szCs w:val="22"/>
        </w:rPr>
        <w:footnoteReference w:id="11"/>
      </w:r>
      <w:r w:rsidRPr="00FA6A64">
        <w:rPr>
          <w:rFonts w:asciiTheme="minorHAnsi" w:hAnsiTheme="minorHAnsi" w:cstheme="minorHAnsi"/>
          <w:color w:val="000000"/>
          <w:sz w:val="22"/>
          <w:szCs w:val="22"/>
        </w:rPr>
        <w:t>.</w:t>
      </w:r>
    </w:p>
    <w:p w14:paraId="42FDE224" w14:textId="07B2EB49" w:rsidR="00FA6A64" w:rsidRPr="00FA6A64" w:rsidRDefault="00FA6A64" w:rsidP="00FA6A64">
      <w:pPr>
        <w:pStyle w:val="Heading1"/>
        <w:spacing w:before="240" w:beforeAutospacing="0" w:after="180" w:afterAutospacing="0"/>
        <w:rPr>
          <w:rFonts w:asciiTheme="minorHAnsi" w:hAnsiTheme="minorHAnsi" w:cstheme="minorHAnsi"/>
          <w:b w:val="0"/>
          <w:color w:val="1A1A1A"/>
          <w:sz w:val="22"/>
          <w:szCs w:val="22"/>
        </w:rPr>
      </w:pPr>
      <w:r w:rsidRPr="00FA6A64">
        <w:rPr>
          <w:rFonts w:asciiTheme="minorHAnsi" w:hAnsiTheme="minorHAnsi" w:cstheme="minorHAnsi"/>
          <w:b w:val="0"/>
          <w:color w:val="000000"/>
          <w:sz w:val="22"/>
          <w:szCs w:val="22"/>
        </w:rPr>
        <w:t xml:space="preserve">However, in </w:t>
      </w:r>
      <w:r w:rsidRPr="00FA6A64">
        <w:rPr>
          <w:rFonts w:asciiTheme="minorHAnsi" w:hAnsiTheme="minorHAnsi" w:cstheme="minorHAnsi"/>
          <w:color w:val="1A1A1A"/>
          <w:sz w:val="22"/>
          <w:szCs w:val="22"/>
        </w:rPr>
        <w:t>Havasupai Tribe v. United States, 752 F. Supp. 1471 (D. Ariz. 1990</w:t>
      </w:r>
      <w:r w:rsidRPr="00FA6A64">
        <w:rPr>
          <w:rFonts w:asciiTheme="minorHAnsi" w:hAnsiTheme="minorHAnsi" w:cstheme="minorHAnsi"/>
          <w:b w:val="0"/>
          <w:color w:val="1A1A1A"/>
          <w:sz w:val="22"/>
          <w:szCs w:val="22"/>
        </w:rPr>
        <w:t>)</w:t>
      </w:r>
      <w:r w:rsidR="002338B4">
        <w:rPr>
          <w:rFonts w:asciiTheme="minorHAnsi" w:hAnsiTheme="minorHAnsi" w:cstheme="minorHAnsi"/>
          <w:b w:val="0"/>
          <w:color w:val="1A1A1A"/>
          <w:sz w:val="22"/>
          <w:szCs w:val="22"/>
        </w:rPr>
        <w:t>,</w:t>
      </w:r>
    </w:p>
    <w:p w14:paraId="20D94C2E" w14:textId="75F901DE" w:rsidR="00FA6A64" w:rsidRPr="00FA6A64" w:rsidRDefault="00FA6A64" w:rsidP="00FA6A64">
      <w:pPr>
        <w:pStyle w:val="NormalWeb"/>
        <w:rPr>
          <w:rFonts w:asciiTheme="minorHAnsi" w:hAnsiTheme="minorHAnsi" w:cstheme="minorHAnsi"/>
          <w:color w:val="000000"/>
          <w:sz w:val="22"/>
          <w:szCs w:val="22"/>
        </w:rPr>
      </w:pPr>
      <w:r w:rsidRPr="00FA6A64">
        <w:rPr>
          <w:rFonts w:asciiTheme="minorHAnsi" w:hAnsiTheme="minorHAnsi" w:cstheme="minorHAnsi"/>
          <w:color w:val="000000"/>
          <w:sz w:val="22"/>
          <w:szCs w:val="22"/>
        </w:rPr>
        <w:t xml:space="preserve">The Arizona district court arrived at a completely different holding and outright challenged the District Court of New Mexico’s interpretation in the previously mentioned Abeyta case. </w:t>
      </w:r>
    </w:p>
    <w:p w14:paraId="4B4C5707" w14:textId="77777777" w:rsidR="00FA6A64" w:rsidRPr="00FA6A64" w:rsidRDefault="00FA6A64" w:rsidP="00FA6A64">
      <w:pPr>
        <w:pStyle w:val="NormalWeb"/>
        <w:rPr>
          <w:rFonts w:asciiTheme="minorHAnsi" w:hAnsiTheme="minorHAnsi" w:cstheme="minorHAnsi"/>
          <w:color w:val="000000"/>
          <w:sz w:val="22"/>
          <w:szCs w:val="22"/>
        </w:rPr>
      </w:pPr>
      <w:r w:rsidRPr="00FA6A64">
        <w:rPr>
          <w:rFonts w:asciiTheme="minorHAnsi" w:hAnsiTheme="minorHAnsi" w:cstheme="minorHAnsi"/>
          <w:color w:val="000000"/>
          <w:sz w:val="22"/>
          <w:szCs w:val="22"/>
        </w:rPr>
        <w:t xml:space="preserve">The Havasupai nation in its complaint alleged that the Plan by Forest Service violated several rights and protections among these, the right to free exercise of religion and aboriginal right of access. The Havasupai invoked the Treaty as giving them protection and a religious right of access.  The Arizona district court was not convinced by this argument and stated </w:t>
      </w:r>
    </w:p>
    <w:p w14:paraId="4AB38AF9" w14:textId="77777777" w:rsidR="00FA6A64" w:rsidRPr="00FA6A64" w:rsidRDefault="00FA6A64" w:rsidP="00FA6A64">
      <w:pPr>
        <w:pStyle w:val="NormalWeb"/>
        <w:shd w:val="clear" w:color="auto" w:fill="FFFFFF"/>
        <w:rPr>
          <w:rFonts w:asciiTheme="minorHAnsi" w:hAnsiTheme="minorHAnsi" w:cstheme="minorHAnsi"/>
          <w:color w:val="000000"/>
          <w:sz w:val="22"/>
          <w:szCs w:val="22"/>
        </w:rPr>
      </w:pPr>
      <w:r w:rsidRPr="00FA6A64">
        <w:rPr>
          <w:rFonts w:asciiTheme="minorHAnsi" w:hAnsiTheme="minorHAnsi" w:cstheme="minorHAnsi"/>
          <w:color w:val="000000"/>
          <w:sz w:val="22"/>
          <w:szCs w:val="22"/>
        </w:rPr>
        <w:t>“The District Court for the District of New Mexico determined that the Bald Eagle Protection Act did not repudiate the guarantee of religious freedom under the Treaty of Guadalupe Hidalgo. The district court considered the Treaty as an international compact securing religious freedom to Mexican citizens in the ceded territories. </w:t>
      </w:r>
      <w:r w:rsidRPr="00FA6A64">
        <w:rPr>
          <w:rStyle w:val="Emphasis"/>
          <w:rFonts w:asciiTheme="minorHAnsi" w:hAnsiTheme="minorHAnsi" w:cstheme="minorHAnsi"/>
          <w:color w:val="000000"/>
          <w:sz w:val="22"/>
          <w:szCs w:val="22"/>
        </w:rPr>
        <w:t>Id.</w:t>
      </w:r>
      <w:r w:rsidRPr="00FA6A64">
        <w:rPr>
          <w:rFonts w:asciiTheme="minorHAnsi" w:hAnsiTheme="minorHAnsi" w:cstheme="minorHAnsi"/>
          <w:color w:val="000000"/>
          <w:sz w:val="22"/>
          <w:szCs w:val="22"/>
        </w:rPr>
        <w:t> at 1306. The district court concluded that it was up to Congress to abrogate the Treaty. </w:t>
      </w:r>
      <w:r w:rsidRPr="00FA6A64">
        <w:rPr>
          <w:rStyle w:val="Emphasis"/>
          <w:rFonts w:asciiTheme="minorHAnsi" w:hAnsiTheme="minorHAnsi" w:cstheme="minorHAnsi"/>
          <w:color w:val="000000"/>
          <w:sz w:val="22"/>
          <w:szCs w:val="22"/>
        </w:rPr>
        <w:t>Id.</w:t>
      </w:r>
      <w:r w:rsidRPr="00FA6A64">
        <w:rPr>
          <w:rFonts w:asciiTheme="minorHAnsi" w:hAnsiTheme="minorHAnsi" w:cstheme="minorHAnsi"/>
          <w:color w:val="000000"/>
          <w:sz w:val="22"/>
          <w:szCs w:val="22"/>
        </w:rPr>
        <w:t> at 1306-07. In light of the fiduciary relationship to the Indians, the district court determined that Congress did not intend to repudiate the protections the court believed had been created by the Treaty. </w:t>
      </w:r>
      <w:r w:rsidRPr="00FA6A64">
        <w:rPr>
          <w:rStyle w:val="Emphasis"/>
          <w:rFonts w:asciiTheme="minorHAnsi" w:hAnsiTheme="minorHAnsi" w:cstheme="minorHAnsi"/>
          <w:color w:val="000000"/>
          <w:sz w:val="22"/>
          <w:szCs w:val="22"/>
        </w:rPr>
        <w:t>Id.</w:t>
      </w:r>
      <w:r w:rsidRPr="00FA6A64">
        <w:rPr>
          <w:rFonts w:asciiTheme="minorHAnsi" w:hAnsiTheme="minorHAnsi" w:cstheme="minorHAnsi"/>
          <w:color w:val="000000"/>
          <w:sz w:val="22"/>
          <w:szCs w:val="22"/>
        </w:rPr>
        <w:t> at 1306-07”</w:t>
      </w:r>
      <w:r w:rsidRPr="00FA6A64">
        <w:rPr>
          <w:rStyle w:val="FootnoteReference"/>
          <w:rFonts w:asciiTheme="minorHAnsi" w:hAnsiTheme="minorHAnsi" w:cstheme="minorHAnsi"/>
          <w:color w:val="000000"/>
          <w:sz w:val="22"/>
          <w:szCs w:val="22"/>
        </w:rPr>
        <w:footnoteReference w:id="12"/>
      </w:r>
      <w:r w:rsidRPr="00FA6A64">
        <w:rPr>
          <w:rFonts w:asciiTheme="minorHAnsi" w:hAnsiTheme="minorHAnsi" w:cstheme="minorHAnsi"/>
          <w:color w:val="000000"/>
          <w:sz w:val="22"/>
          <w:szCs w:val="22"/>
        </w:rPr>
        <w:t xml:space="preserve">. </w:t>
      </w:r>
    </w:p>
    <w:p w14:paraId="64E74DB8" w14:textId="4547296D" w:rsidR="00FA6A64" w:rsidRPr="00FA6A64" w:rsidRDefault="00FA6A64" w:rsidP="00FA6A64">
      <w:pPr>
        <w:pStyle w:val="NormalWeb"/>
        <w:shd w:val="clear" w:color="auto" w:fill="FFFFFF"/>
        <w:rPr>
          <w:rFonts w:asciiTheme="minorHAnsi" w:hAnsiTheme="minorHAnsi" w:cstheme="minorHAnsi"/>
          <w:color w:val="000000"/>
          <w:sz w:val="22"/>
          <w:szCs w:val="22"/>
        </w:rPr>
      </w:pPr>
      <w:r w:rsidRPr="00FA6A64">
        <w:rPr>
          <w:rFonts w:asciiTheme="minorHAnsi" w:hAnsiTheme="minorHAnsi" w:cstheme="minorHAnsi"/>
          <w:color w:val="000000"/>
          <w:sz w:val="22"/>
          <w:szCs w:val="22"/>
        </w:rPr>
        <w:t>The court</w:t>
      </w:r>
      <w:r w:rsidR="002338B4">
        <w:rPr>
          <w:rFonts w:asciiTheme="minorHAnsi" w:hAnsiTheme="minorHAnsi" w:cstheme="minorHAnsi"/>
          <w:color w:val="000000"/>
          <w:sz w:val="22"/>
          <w:szCs w:val="22"/>
        </w:rPr>
        <w:t>’</w:t>
      </w:r>
      <w:r w:rsidRPr="00FA6A64">
        <w:rPr>
          <w:rFonts w:asciiTheme="minorHAnsi" w:hAnsiTheme="minorHAnsi" w:cstheme="minorHAnsi"/>
          <w:color w:val="000000"/>
          <w:sz w:val="22"/>
          <w:szCs w:val="22"/>
        </w:rPr>
        <w:t>s rationale continues</w:t>
      </w:r>
      <w:r w:rsidR="002338B4">
        <w:rPr>
          <w:rFonts w:asciiTheme="minorHAnsi" w:hAnsiTheme="minorHAnsi" w:cstheme="minorHAnsi"/>
          <w:color w:val="000000"/>
          <w:sz w:val="22"/>
          <w:szCs w:val="22"/>
        </w:rPr>
        <w:t>:</w:t>
      </w:r>
      <w:r w:rsidRPr="00FA6A64">
        <w:rPr>
          <w:rFonts w:asciiTheme="minorHAnsi" w:hAnsiTheme="minorHAnsi" w:cstheme="minorHAnsi"/>
          <w:color w:val="000000"/>
          <w:sz w:val="22"/>
          <w:szCs w:val="22"/>
        </w:rPr>
        <w:t xml:space="preserve"> “This decision from the District Court for the District of New Mexico is not binding upon this court, nor does this court find it to be persuasive. First, the validity of the decision is questionable in light of </w:t>
      </w:r>
      <w:r w:rsidRPr="00FA6A64">
        <w:rPr>
          <w:rStyle w:val="Emphasis"/>
          <w:rFonts w:asciiTheme="minorHAnsi" w:hAnsiTheme="minorHAnsi" w:cstheme="minorHAnsi"/>
          <w:color w:val="000000"/>
          <w:sz w:val="22"/>
          <w:szCs w:val="22"/>
        </w:rPr>
        <w:t>United States v. Dion,</w:t>
      </w:r>
      <w:r w:rsidRPr="00FA6A64">
        <w:rPr>
          <w:rFonts w:asciiTheme="minorHAnsi" w:hAnsiTheme="minorHAnsi" w:cstheme="minorHAnsi"/>
          <w:color w:val="000000"/>
          <w:sz w:val="22"/>
          <w:szCs w:val="22"/>
        </w:rPr>
        <w:t> </w:t>
      </w:r>
      <w:hyperlink r:id="rId13" w:history="1">
        <w:r w:rsidRPr="00FA6A64">
          <w:rPr>
            <w:rStyle w:val="Hyperlink"/>
            <w:rFonts w:asciiTheme="minorHAnsi" w:hAnsiTheme="minorHAnsi" w:cstheme="minorHAnsi"/>
            <w:color w:val="06357A"/>
            <w:sz w:val="22"/>
            <w:szCs w:val="22"/>
          </w:rPr>
          <w:t>476 U.S. 734</w:t>
        </w:r>
      </w:hyperlink>
      <w:r w:rsidRPr="00FA6A64">
        <w:rPr>
          <w:rFonts w:asciiTheme="minorHAnsi" w:hAnsiTheme="minorHAnsi" w:cstheme="minorHAnsi"/>
          <w:color w:val="000000"/>
          <w:sz w:val="22"/>
          <w:szCs w:val="22"/>
        </w:rPr>
        <w:t>, 106 S. Ct. 2216, 90 L. Ed. 2d 767 (1986). In </w:t>
      </w:r>
      <w:r w:rsidRPr="00FA6A64">
        <w:rPr>
          <w:rStyle w:val="Emphasis"/>
          <w:rFonts w:asciiTheme="minorHAnsi" w:hAnsiTheme="minorHAnsi" w:cstheme="minorHAnsi"/>
          <w:color w:val="000000"/>
          <w:sz w:val="22"/>
          <w:szCs w:val="22"/>
        </w:rPr>
        <w:t>Dion,</w:t>
      </w:r>
      <w:r w:rsidRPr="00FA6A64">
        <w:rPr>
          <w:rFonts w:asciiTheme="minorHAnsi" w:hAnsiTheme="minorHAnsi" w:cstheme="minorHAnsi"/>
          <w:color w:val="000000"/>
          <w:sz w:val="22"/>
          <w:szCs w:val="22"/>
        </w:rPr>
        <w:t> the Supreme Court concluded that a treaty</w:t>
      </w:r>
      <w:r w:rsidRPr="00FA6A64">
        <w:rPr>
          <w:rFonts w:asciiTheme="minorHAnsi" w:hAnsiTheme="minorHAnsi" w:cstheme="minorHAnsi"/>
          <w:color w:val="000000"/>
          <w:sz w:val="22"/>
          <w:szCs w:val="22"/>
          <w:vertAlign w:val="superscript"/>
        </w:rPr>
        <w:t>[9]</w:t>
      </w:r>
      <w:r w:rsidRPr="00FA6A64">
        <w:rPr>
          <w:rFonts w:asciiTheme="minorHAnsi" w:hAnsiTheme="minorHAnsi" w:cstheme="minorHAnsi"/>
          <w:color w:val="000000"/>
          <w:sz w:val="22"/>
          <w:szCs w:val="22"/>
        </w:rPr>
        <w:t> with the Yankton Sioux Tribe did not protect an Indian from prosecution under the Bald Eagle Protection Act. </w:t>
      </w:r>
      <w:r w:rsidRPr="00FA6A64">
        <w:rPr>
          <w:rStyle w:val="Emphasis"/>
          <w:rFonts w:asciiTheme="minorHAnsi" w:hAnsiTheme="minorHAnsi" w:cstheme="minorHAnsi"/>
          <w:color w:val="000000"/>
          <w:sz w:val="22"/>
          <w:szCs w:val="22"/>
        </w:rPr>
        <w:t>Id.</w:t>
      </w:r>
      <w:r w:rsidRPr="00FA6A64">
        <w:rPr>
          <w:rFonts w:asciiTheme="minorHAnsi" w:hAnsiTheme="minorHAnsi" w:cstheme="minorHAnsi"/>
          <w:color w:val="000000"/>
          <w:sz w:val="22"/>
          <w:szCs w:val="22"/>
        </w:rPr>
        <w:t> at 743, 106 S. Ct. at 2222. </w:t>
      </w:r>
      <w:r w:rsidRPr="00FA6A64">
        <w:rPr>
          <w:rStyle w:val="Emphasis"/>
          <w:rFonts w:asciiTheme="minorHAnsi" w:hAnsiTheme="minorHAnsi" w:cstheme="minorHAnsi"/>
          <w:color w:val="000000"/>
          <w:sz w:val="22"/>
          <w:szCs w:val="22"/>
        </w:rPr>
        <w:t>See, also, U.S. v. Thirty Eight Golden Eagles,</w:t>
      </w:r>
      <w:r w:rsidRPr="00FA6A64">
        <w:rPr>
          <w:rFonts w:asciiTheme="minorHAnsi" w:hAnsiTheme="minorHAnsi" w:cstheme="minorHAnsi"/>
          <w:color w:val="000000"/>
          <w:sz w:val="22"/>
          <w:szCs w:val="22"/>
        </w:rPr>
        <w:t> </w:t>
      </w:r>
      <w:hyperlink r:id="rId14" w:history="1">
        <w:r w:rsidRPr="00FA6A64">
          <w:rPr>
            <w:rStyle w:val="Hyperlink"/>
            <w:rFonts w:asciiTheme="minorHAnsi" w:hAnsiTheme="minorHAnsi" w:cstheme="minorHAnsi"/>
            <w:color w:val="06357A"/>
            <w:sz w:val="22"/>
            <w:szCs w:val="22"/>
          </w:rPr>
          <w:t>649 F. Supp. 269</w:t>
        </w:r>
      </w:hyperlink>
      <w:r w:rsidRPr="00FA6A64">
        <w:rPr>
          <w:rFonts w:asciiTheme="minorHAnsi" w:hAnsiTheme="minorHAnsi" w:cstheme="minorHAnsi"/>
          <w:color w:val="000000"/>
          <w:sz w:val="22"/>
          <w:szCs w:val="22"/>
        </w:rPr>
        <w:t>, 277-278 (D.Nev.1986) (holding, contrary to </w:t>
      </w:r>
      <w:r w:rsidRPr="00FA6A64">
        <w:rPr>
          <w:rStyle w:val="Emphasis"/>
          <w:rFonts w:asciiTheme="minorHAnsi" w:hAnsiTheme="minorHAnsi" w:cstheme="minorHAnsi"/>
          <w:color w:val="000000"/>
          <w:sz w:val="22"/>
          <w:szCs w:val="22"/>
        </w:rPr>
        <w:t>Abeyta,</w:t>
      </w:r>
      <w:r w:rsidRPr="00FA6A64">
        <w:rPr>
          <w:rFonts w:asciiTheme="minorHAnsi" w:hAnsiTheme="minorHAnsi" w:cstheme="minorHAnsi"/>
          <w:color w:val="000000"/>
          <w:sz w:val="22"/>
          <w:szCs w:val="22"/>
        </w:rPr>
        <w:t xml:space="preserve"> that Bald Eagle Protection Act </w:t>
      </w:r>
      <w:r w:rsidR="008A09DE">
        <w:rPr>
          <w:rFonts w:asciiTheme="minorHAnsi" w:hAnsiTheme="minorHAnsi" w:cstheme="minorHAnsi"/>
          <w:color w:val="000000"/>
          <w:sz w:val="22"/>
          <w:szCs w:val="22"/>
        </w:rPr>
        <w:t>was “</w:t>
      </w:r>
      <w:r w:rsidRPr="00FA6A64">
        <w:rPr>
          <w:rFonts w:asciiTheme="minorHAnsi" w:hAnsiTheme="minorHAnsi" w:cstheme="minorHAnsi"/>
          <w:color w:val="000000"/>
          <w:sz w:val="22"/>
          <w:szCs w:val="22"/>
        </w:rPr>
        <w:t xml:space="preserve">not </w:t>
      </w:r>
      <w:r w:rsidR="008A09DE">
        <w:rPr>
          <w:rFonts w:asciiTheme="minorHAnsi" w:hAnsiTheme="minorHAnsi" w:cstheme="minorHAnsi"/>
          <w:color w:val="000000"/>
          <w:sz w:val="22"/>
          <w:szCs w:val="22"/>
        </w:rPr>
        <w:t xml:space="preserve">a </w:t>
      </w:r>
      <w:r w:rsidRPr="00FA6A64">
        <w:rPr>
          <w:rFonts w:asciiTheme="minorHAnsi" w:hAnsiTheme="minorHAnsi" w:cstheme="minorHAnsi"/>
          <w:color w:val="000000"/>
          <w:sz w:val="22"/>
          <w:szCs w:val="22"/>
        </w:rPr>
        <w:t xml:space="preserve">facially unconstitutional burden to </w:t>
      </w:r>
      <w:r w:rsidR="008A09DE">
        <w:rPr>
          <w:rFonts w:asciiTheme="minorHAnsi" w:hAnsiTheme="minorHAnsi" w:cstheme="minorHAnsi"/>
          <w:color w:val="000000"/>
          <w:sz w:val="22"/>
          <w:szCs w:val="22"/>
        </w:rPr>
        <w:t xml:space="preserve">an </w:t>
      </w:r>
      <w:r w:rsidRPr="00FA6A64">
        <w:rPr>
          <w:rFonts w:asciiTheme="minorHAnsi" w:hAnsiTheme="minorHAnsi" w:cstheme="minorHAnsi"/>
          <w:color w:val="000000"/>
          <w:sz w:val="22"/>
          <w:szCs w:val="22"/>
        </w:rPr>
        <w:t>Indian's right to free exercise of religion)”</w:t>
      </w:r>
      <w:r w:rsidRPr="00FA6A64">
        <w:rPr>
          <w:rStyle w:val="FootnoteReference"/>
          <w:rFonts w:asciiTheme="minorHAnsi" w:hAnsiTheme="minorHAnsi" w:cstheme="minorHAnsi"/>
          <w:color w:val="000000"/>
          <w:sz w:val="22"/>
          <w:szCs w:val="22"/>
        </w:rPr>
        <w:footnoteReference w:id="13"/>
      </w:r>
      <w:r w:rsidRPr="00FA6A64">
        <w:rPr>
          <w:rFonts w:asciiTheme="minorHAnsi" w:hAnsiTheme="minorHAnsi" w:cstheme="minorHAnsi"/>
          <w:color w:val="000000"/>
          <w:sz w:val="22"/>
          <w:szCs w:val="22"/>
        </w:rPr>
        <w:t xml:space="preserve"> </w:t>
      </w:r>
    </w:p>
    <w:p w14:paraId="189D6ED4" w14:textId="1B0CD602" w:rsidR="00FA6A64" w:rsidRPr="00FA6A64" w:rsidRDefault="00FA6A64" w:rsidP="00FA6A64">
      <w:pPr>
        <w:pStyle w:val="NormalWeb"/>
        <w:shd w:val="clear" w:color="auto" w:fill="FFFFFF"/>
        <w:rPr>
          <w:rFonts w:asciiTheme="minorHAnsi" w:hAnsiTheme="minorHAnsi" w:cstheme="minorHAnsi"/>
          <w:color w:val="000000"/>
          <w:sz w:val="22"/>
          <w:szCs w:val="22"/>
        </w:rPr>
      </w:pPr>
      <w:r w:rsidRPr="00FA6A64">
        <w:rPr>
          <w:rFonts w:asciiTheme="minorHAnsi" w:hAnsiTheme="minorHAnsi" w:cstheme="minorHAnsi"/>
          <w:color w:val="000000"/>
          <w:sz w:val="22"/>
          <w:szCs w:val="22"/>
        </w:rPr>
        <w:t>And most telling</w:t>
      </w:r>
      <w:r w:rsidR="008A09DE">
        <w:rPr>
          <w:rFonts w:asciiTheme="minorHAnsi" w:hAnsiTheme="minorHAnsi" w:cstheme="minorHAnsi"/>
          <w:color w:val="000000"/>
          <w:sz w:val="22"/>
          <w:szCs w:val="22"/>
        </w:rPr>
        <w:t>,</w:t>
      </w:r>
    </w:p>
    <w:p w14:paraId="4D83258A" w14:textId="5104D08D" w:rsidR="00CA696F" w:rsidRDefault="00FA6A64" w:rsidP="00CA696F">
      <w:pPr>
        <w:pStyle w:val="NormalWeb"/>
        <w:shd w:val="clear" w:color="auto" w:fill="FFFFFF"/>
        <w:spacing w:before="0" w:beforeAutospacing="0" w:after="0" w:afterAutospacing="0"/>
        <w:rPr>
          <w:rFonts w:asciiTheme="minorHAnsi" w:hAnsiTheme="minorHAnsi" w:cstheme="minorHAnsi"/>
          <w:color w:val="000000"/>
          <w:sz w:val="22"/>
          <w:szCs w:val="22"/>
        </w:rPr>
      </w:pPr>
      <w:r w:rsidRPr="00FA6A64">
        <w:rPr>
          <w:rFonts w:asciiTheme="minorHAnsi" w:hAnsiTheme="minorHAnsi" w:cstheme="minorHAnsi"/>
          <w:color w:val="000000"/>
          <w:sz w:val="22"/>
          <w:szCs w:val="22"/>
        </w:rPr>
        <w:t>“</w:t>
      </w:r>
      <w:r w:rsidRPr="00FA6A64">
        <w:rPr>
          <w:rFonts w:asciiTheme="minorHAnsi" w:hAnsiTheme="minorHAnsi" w:cstheme="minorHAnsi"/>
          <w:i/>
          <w:color w:val="000000"/>
          <w:sz w:val="22"/>
          <w:szCs w:val="22"/>
        </w:rPr>
        <w:t>The second and more compelling reason, however, is the plain language of the Treaty of Guadalupe Hidalgo itself</w:t>
      </w:r>
      <w:r w:rsidRPr="00FA6A64">
        <w:rPr>
          <w:rFonts w:asciiTheme="minorHAnsi" w:hAnsiTheme="minorHAnsi" w:cstheme="minorHAnsi"/>
          <w:color w:val="000000"/>
          <w:sz w:val="22"/>
          <w:szCs w:val="22"/>
        </w:rPr>
        <w:t xml:space="preserve">. The Treaty residents of what is now Arizona and New Mexico, formerly of Mexico, </w:t>
      </w:r>
      <w:r w:rsidR="00CA696F">
        <w:rPr>
          <w:rFonts w:asciiTheme="minorHAnsi" w:hAnsiTheme="minorHAnsi" w:cstheme="minorHAnsi"/>
          <w:color w:val="000000"/>
          <w:sz w:val="22"/>
          <w:szCs w:val="22"/>
        </w:rPr>
        <w:t xml:space="preserve">had </w:t>
      </w:r>
      <w:r w:rsidRPr="00FA6A64">
        <w:rPr>
          <w:rFonts w:asciiTheme="minorHAnsi" w:hAnsiTheme="minorHAnsi" w:cstheme="minorHAnsi"/>
          <w:color w:val="000000"/>
          <w:sz w:val="22"/>
          <w:szCs w:val="22"/>
        </w:rPr>
        <w:t>the right to</w:t>
      </w:r>
      <w:r w:rsidR="008A09DE">
        <w:rPr>
          <w:rFonts w:asciiTheme="minorHAnsi" w:hAnsiTheme="minorHAnsi" w:cstheme="minorHAnsi"/>
          <w:color w:val="000000"/>
          <w:sz w:val="22"/>
          <w:szCs w:val="22"/>
        </w:rPr>
        <w:t>,</w:t>
      </w:r>
      <w:r w:rsidR="00CA696F">
        <w:rPr>
          <w:rFonts w:asciiTheme="minorHAnsi" w:hAnsiTheme="minorHAnsi" w:cstheme="minorHAnsi"/>
          <w:color w:val="000000"/>
          <w:sz w:val="22"/>
          <w:szCs w:val="22"/>
        </w:rPr>
        <w:t xml:space="preserve"> </w:t>
      </w:r>
    </w:p>
    <w:p w14:paraId="339B0CF0" w14:textId="0DF6BB7B" w:rsidR="00FA6A64" w:rsidRPr="00FA6A64" w:rsidRDefault="00FA6A64" w:rsidP="00CA696F">
      <w:pPr>
        <w:pStyle w:val="NormalWeb"/>
        <w:shd w:val="clear" w:color="auto" w:fill="FFFFFF"/>
        <w:spacing w:before="0" w:beforeAutospacing="0" w:after="0" w:afterAutospacing="0"/>
        <w:rPr>
          <w:rFonts w:asciiTheme="minorHAnsi" w:hAnsiTheme="minorHAnsi" w:cstheme="minorHAnsi"/>
          <w:color w:val="000000"/>
          <w:sz w:val="22"/>
          <w:szCs w:val="22"/>
        </w:rPr>
      </w:pPr>
      <w:r w:rsidRPr="00FA6A64">
        <w:rPr>
          <w:rFonts w:asciiTheme="minorHAnsi" w:hAnsiTheme="minorHAnsi" w:cstheme="minorHAnsi"/>
          <w:color w:val="000000"/>
          <w:sz w:val="22"/>
          <w:szCs w:val="22"/>
        </w:rPr>
        <w:t xml:space="preserve">"Free exercise of their religion without restriction" until they became "incorporated into the Union of the United States." Thereafter they would be entitled to "the enjoyment of all the rights of citizens of the United States, according to the principles of the constitution." </w:t>
      </w:r>
      <w:r w:rsidRPr="00FA6A64">
        <w:rPr>
          <w:rFonts w:asciiTheme="minorHAnsi" w:hAnsiTheme="minorHAnsi" w:cstheme="minorHAnsi"/>
          <w:i/>
          <w:color w:val="000000"/>
          <w:sz w:val="22"/>
          <w:szCs w:val="22"/>
        </w:rPr>
        <w:t>The Treaty, by its own terms, does not create any right beyond the constitutional religious freedom rights. The Treaty simply affords those rights to residents in the area prior to statehood. The court finds and concludes that no specific fiduciary duty is created by the Treaty of Guadalupe Hidalgo”</w:t>
      </w:r>
      <w:r w:rsidRPr="00FA6A64">
        <w:rPr>
          <w:rStyle w:val="FootnoteReference"/>
          <w:rFonts w:asciiTheme="minorHAnsi" w:hAnsiTheme="minorHAnsi" w:cstheme="minorHAnsi"/>
          <w:i/>
          <w:color w:val="000000"/>
          <w:sz w:val="22"/>
          <w:szCs w:val="22"/>
        </w:rPr>
        <w:footnoteReference w:id="14"/>
      </w:r>
      <w:r w:rsidRPr="00FA6A64">
        <w:rPr>
          <w:rFonts w:asciiTheme="minorHAnsi" w:hAnsiTheme="minorHAnsi" w:cstheme="minorHAnsi"/>
          <w:color w:val="000000"/>
          <w:sz w:val="22"/>
          <w:szCs w:val="22"/>
        </w:rPr>
        <w:t>.</w:t>
      </w:r>
    </w:p>
    <w:p w14:paraId="5E4C28C1" w14:textId="17EA2F44" w:rsidR="00FA6A64" w:rsidRPr="00FA6A64" w:rsidRDefault="00FA6A64" w:rsidP="00FA6A64">
      <w:pPr>
        <w:pStyle w:val="NormalWeb"/>
        <w:shd w:val="clear" w:color="auto" w:fill="FFFFFF"/>
        <w:rPr>
          <w:rFonts w:asciiTheme="minorHAnsi" w:hAnsiTheme="minorHAnsi" w:cstheme="minorHAnsi"/>
          <w:color w:val="000000"/>
          <w:sz w:val="22"/>
          <w:szCs w:val="22"/>
        </w:rPr>
      </w:pPr>
      <w:r w:rsidRPr="00FA6A64">
        <w:rPr>
          <w:rFonts w:asciiTheme="minorHAnsi" w:hAnsiTheme="minorHAnsi" w:cstheme="minorHAnsi"/>
          <w:color w:val="000000"/>
          <w:sz w:val="22"/>
          <w:szCs w:val="22"/>
        </w:rPr>
        <w:t>Both Courts are interpreting the Treaty of Guadalupe Hidalgo (which as a treaty should serve as the supreme law of the land) and both arrive at two very different conclusions. The inconsistent and at times harmful holdings of the United States</w:t>
      </w:r>
      <w:r w:rsidR="00CA696F">
        <w:rPr>
          <w:rFonts w:asciiTheme="minorHAnsi" w:hAnsiTheme="minorHAnsi" w:cstheme="minorHAnsi"/>
          <w:color w:val="000000"/>
          <w:sz w:val="22"/>
          <w:szCs w:val="22"/>
        </w:rPr>
        <w:t>’</w:t>
      </w:r>
      <w:r w:rsidRPr="00FA6A64">
        <w:rPr>
          <w:rFonts w:asciiTheme="minorHAnsi" w:hAnsiTheme="minorHAnsi" w:cstheme="minorHAnsi"/>
          <w:color w:val="000000"/>
          <w:sz w:val="22"/>
          <w:szCs w:val="22"/>
        </w:rPr>
        <w:t xml:space="preserve"> judicial bodies, from state, district and even to the Supreme Court level have served as barriers to the right to self-determination, the right to maintain and strengthen distinct political, legal, economic, social, cultural institutions, the right to lands, and territories and resources and right to redress. </w:t>
      </w:r>
    </w:p>
    <w:p w14:paraId="2AC45E97" w14:textId="14E85039" w:rsidR="00FA6A64" w:rsidRPr="00FA6A64" w:rsidRDefault="00FA6A64" w:rsidP="00FA6A64">
      <w:pPr>
        <w:pStyle w:val="NormalWeb"/>
        <w:shd w:val="clear" w:color="auto" w:fill="FFFFFF"/>
        <w:rPr>
          <w:rFonts w:asciiTheme="minorHAnsi" w:hAnsiTheme="minorHAnsi" w:cstheme="minorHAnsi"/>
          <w:sz w:val="22"/>
          <w:szCs w:val="22"/>
        </w:rPr>
      </w:pPr>
      <w:r w:rsidRPr="00FA6A64">
        <w:rPr>
          <w:rFonts w:asciiTheme="minorHAnsi" w:hAnsiTheme="minorHAnsi" w:cstheme="minorHAnsi"/>
          <w:sz w:val="22"/>
          <w:szCs w:val="22"/>
        </w:rPr>
        <w:t xml:space="preserve">The following are other examples that attest to the confusing and inconsistent holdings of US courts </w:t>
      </w:r>
      <w:r w:rsidR="00CA696F" w:rsidRPr="00FA6A64">
        <w:rPr>
          <w:rFonts w:asciiTheme="minorHAnsi" w:hAnsiTheme="minorHAnsi" w:cstheme="minorHAnsi"/>
          <w:sz w:val="22"/>
          <w:szCs w:val="22"/>
        </w:rPr>
        <w:t>in regard to</w:t>
      </w:r>
      <w:r w:rsidRPr="00FA6A64">
        <w:rPr>
          <w:rFonts w:asciiTheme="minorHAnsi" w:hAnsiTheme="minorHAnsi" w:cstheme="minorHAnsi"/>
          <w:sz w:val="22"/>
          <w:szCs w:val="22"/>
        </w:rPr>
        <w:t xml:space="preserve"> the Treaty of Guadalupe Hidalgo.</w:t>
      </w:r>
    </w:p>
    <w:p w14:paraId="659EB92D" w14:textId="2F5A4F02" w:rsidR="00FA6A64" w:rsidRPr="00FA6A64" w:rsidRDefault="00FA6A64" w:rsidP="00FA6A64">
      <w:pPr>
        <w:contextualSpacing/>
        <w:jc w:val="both"/>
        <w:rPr>
          <w:rStyle w:val="Strong"/>
          <w:rFonts w:asciiTheme="minorHAnsi" w:hAnsiTheme="minorHAnsi" w:cstheme="minorHAnsi"/>
          <w:b w:val="0"/>
          <w:color w:val="000000"/>
          <w:sz w:val="22"/>
          <w:shd w:val="clear" w:color="auto" w:fill="FFFFFF"/>
          <w:lang w:val="es-MX"/>
        </w:rPr>
      </w:pPr>
      <w:r w:rsidRPr="00FA6A64">
        <w:rPr>
          <w:rStyle w:val="Strong"/>
          <w:rFonts w:asciiTheme="minorHAnsi" w:hAnsiTheme="minorHAnsi" w:cstheme="minorHAnsi"/>
          <w:color w:val="000000"/>
          <w:sz w:val="22"/>
          <w:shd w:val="clear" w:color="auto" w:fill="FFFFFF"/>
          <w:lang w:val="es-MX"/>
        </w:rPr>
        <w:t>RAEL V. TAYLOR</w:t>
      </w:r>
      <w:r w:rsidRPr="00BB2010">
        <w:rPr>
          <w:rStyle w:val="Strong"/>
          <w:rFonts w:asciiTheme="minorHAnsi" w:hAnsiTheme="minorHAnsi" w:cstheme="minorHAnsi"/>
          <w:b w:val="0"/>
          <w:bCs w:val="0"/>
          <w:iCs/>
          <w:color w:val="000000"/>
          <w:sz w:val="22"/>
          <w:shd w:val="clear" w:color="auto" w:fill="FFFFFF"/>
          <w:lang w:val="es-MX"/>
        </w:rPr>
        <w:t>,</w:t>
      </w:r>
      <w:r w:rsidRPr="00BB2010">
        <w:rPr>
          <w:rStyle w:val="Strong"/>
          <w:rFonts w:asciiTheme="minorHAnsi" w:hAnsiTheme="minorHAnsi" w:cstheme="minorHAnsi"/>
          <w:b w:val="0"/>
          <w:bCs w:val="0"/>
          <w:i/>
          <w:color w:val="000000"/>
          <w:sz w:val="22"/>
          <w:shd w:val="clear" w:color="auto" w:fill="FFFFFF"/>
          <w:lang w:val="es-MX"/>
        </w:rPr>
        <w:t xml:space="preserve"> </w:t>
      </w:r>
      <w:r w:rsidRPr="00BB2010">
        <w:rPr>
          <w:rStyle w:val="Strong"/>
          <w:rFonts w:asciiTheme="minorHAnsi" w:hAnsiTheme="minorHAnsi" w:cstheme="minorHAnsi"/>
          <w:b w:val="0"/>
          <w:bCs w:val="0"/>
          <w:color w:val="000000"/>
          <w:sz w:val="22"/>
          <w:shd w:val="clear" w:color="auto" w:fill="FFFFFF"/>
          <w:lang w:val="es-MX"/>
        </w:rPr>
        <w:t xml:space="preserve">876 P.2d 1210 (Colorado Supreme </w:t>
      </w:r>
      <w:proofErr w:type="spellStart"/>
      <w:r w:rsidRPr="00BB2010">
        <w:rPr>
          <w:rStyle w:val="Strong"/>
          <w:rFonts w:asciiTheme="minorHAnsi" w:hAnsiTheme="minorHAnsi" w:cstheme="minorHAnsi"/>
          <w:b w:val="0"/>
          <w:bCs w:val="0"/>
          <w:color w:val="000000"/>
          <w:sz w:val="22"/>
          <w:shd w:val="clear" w:color="auto" w:fill="FFFFFF"/>
          <w:lang w:val="es-MX"/>
        </w:rPr>
        <w:t>Court</w:t>
      </w:r>
      <w:proofErr w:type="spellEnd"/>
      <w:r w:rsidR="00CA696F" w:rsidRPr="00BB2010">
        <w:rPr>
          <w:rStyle w:val="Strong"/>
          <w:rFonts w:asciiTheme="minorHAnsi" w:hAnsiTheme="minorHAnsi" w:cstheme="minorHAnsi"/>
          <w:b w:val="0"/>
          <w:bCs w:val="0"/>
          <w:color w:val="000000"/>
          <w:sz w:val="22"/>
          <w:shd w:val="clear" w:color="auto" w:fill="FFFFFF"/>
          <w:lang w:val="es-MX"/>
        </w:rPr>
        <w:t>,</w:t>
      </w:r>
      <w:r w:rsidRPr="00BB2010">
        <w:rPr>
          <w:rStyle w:val="Strong"/>
          <w:rFonts w:asciiTheme="minorHAnsi" w:hAnsiTheme="minorHAnsi" w:cstheme="minorHAnsi"/>
          <w:b w:val="0"/>
          <w:bCs w:val="0"/>
          <w:color w:val="000000"/>
          <w:sz w:val="22"/>
          <w:shd w:val="clear" w:color="auto" w:fill="FFFFFF"/>
          <w:lang w:val="es-MX"/>
        </w:rPr>
        <w:t xml:space="preserve"> 1994).</w:t>
      </w:r>
      <w:r w:rsidRPr="00FA6A64">
        <w:rPr>
          <w:rStyle w:val="Strong"/>
          <w:rFonts w:asciiTheme="minorHAnsi" w:hAnsiTheme="minorHAnsi" w:cstheme="minorHAnsi"/>
          <w:color w:val="000000"/>
          <w:sz w:val="22"/>
          <w:shd w:val="clear" w:color="auto" w:fill="FFFFFF"/>
          <w:lang w:val="es-MX"/>
        </w:rPr>
        <w:t xml:space="preserve">  </w:t>
      </w:r>
    </w:p>
    <w:p w14:paraId="1532EE62" w14:textId="77777777" w:rsidR="00FA6A64" w:rsidRPr="00FA6A64" w:rsidRDefault="00FA6A64" w:rsidP="00FA6A64">
      <w:pPr>
        <w:contextualSpacing/>
        <w:jc w:val="both"/>
        <w:rPr>
          <w:rStyle w:val="Strong"/>
          <w:rFonts w:asciiTheme="minorHAnsi" w:hAnsiTheme="minorHAnsi" w:cstheme="minorHAnsi"/>
          <w:b w:val="0"/>
          <w:color w:val="000000"/>
          <w:sz w:val="22"/>
          <w:shd w:val="clear" w:color="auto" w:fill="FFFFFF"/>
          <w:lang w:val="es-MX"/>
        </w:rPr>
      </w:pPr>
    </w:p>
    <w:p w14:paraId="5DEFE2D1" w14:textId="40A2569D"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r w:rsidRPr="00FA6A64">
        <w:rPr>
          <w:rStyle w:val="Strong"/>
          <w:rFonts w:asciiTheme="minorHAnsi" w:hAnsiTheme="minorHAnsi" w:cstheme="minorHAnsi"/>
          <w:b w:val="0"/>
          <w:bCs w:val="0"/>
          <w:color w:val="000000"/>
          <w:sz w:val="22"/>
          <w:shd w:val="clear" w:color="auto" w:fill="FFFFFF"/>
        </w:rPr>
        <w:t xml:space="preserve">Case involving a 77,000 acre parcel of land that is part of the </w:t>
      </w:r>
      <w:r w:rsidRPr="00FA6A64">
        <w:rPr>
          <w:rStyle w:val="Strong"/>
          <w:rFonts w:asciiTheme="minorHAnsi" w:hAnsiTheme="minorHAnsi" w:cstheme="minorHAnsi"/>
          <w:b w:val="0"/>
          <w:bCs w:val="0"/>
          <w:i/>
          <w:color w:val="000000"/>
          <w:sz w:val="22"/>
          <w:shd w:val="clear" w:color="auto" w:fill="FFFFFF"/>
        </w:rPr>
        <w:t xml:space="preserve">Sangre de Cristo </w:t>
      </w:r>
      <w:r w:rsidRPr="00FA6A64">
        <w:rPr>
          <w:rStyle w:val="Strong"/>
          <w:rFonts w:asciiTheme="minorHAnsi" w:hAnsiTheme="minorHAnsi" w:cstheme="minorHAnsi"/>
          <w:b w:val="0"/>
          <w:bCs w:val="0"/>
          <w:color w:val="000000"/>
          <w:sz w:val="22"/>
          <w:shd w:val="clear" w:color="auto" w:fill="FFFFFF"/>
        </w:rPr>
        <w:t xml:space="preserve">Land Grant. The </w:t>
      </w:r>
      <w:r w:rsidRPr="00FA6A64">
        <w:rPr>
          <w:rStyle w:val="Strong"/>
          <w:rFonts w:asciiTheme="minorHAnsi" w:hAnsiTheme="minorHAnsi" w:cstheme="minorHAnsi"/>
          <w:b w:val="0"/>
          <w:bCs w:val="0"/>
          <w:i/>
          <w:color w:val="000000"/>
          <w:sz w:val="22"/>
          <w:shd w:val="clear" w:color="auto" w:fill="FFFFFF"/>
        </w:rPr>
        <w:t xml:space="preserve">Sangre de Cristo </w:t>
      </w:r>
      <w:r w:rsidRPr="00FA6A64">
        <w:rPr>
          <w:rStyle w:val="Strong"/>
          <w:rFonts w:asciiTheme="minorHAnsi" w:hAnsiTheme="minorHAnsi" w:cstheme="minorHAnsi"/>
          <w:b w:val="0"/>
          <w:bCs w:val="0"/>
          <w:color w:val="000000"/>
          <w:sz w:val="22"/>
          <w:shd w:val="clear" w:color="auto" w:fill="FFFFFF"/>
        </w:rPr>
        <w:t>Grant was awarded by Mexico in 1843 to Narciso Beaubien, the son of a nationalized Mexican citizen of French</w:t>
      </w:r>
      <w:r w:rsidR="0075303B">
        <w:rPr>
          <w:rStyle w:val="Strong"/>
          <w:rFonts w:asciiTheme="minorHAnsi" w:hAnsiTheme="minorHAnsi" w:cstheme="minorHAnsi"/>
          <w:b w:val="0"/>
          <w:bCs w:val="0"/>
          <w:color w:val="000000"/>
          <w:sz w:val="22"/>
          <w:shd w:val="clear" w:color="auto" w:fill="FFFFFF"/>
        </w:rPr>
        <w:t>-</w:t>
      </w:r>
      <w:r w:rsidRPr="00FA6A64">
        <w:rPr>
          <w:rStyle w:val="Strong"/>
          <w:rFonts w:asciiTheme="minorHAnsi" w:hAnsiTheme="minorHAnsi" w:cstheme="minorHAnsi"/>
          <w:b w:val="0"/>
          <w:bCs w:val="0"/>
          <w:color w:val="000000"/>
          <w:sz w:val="22"/>
          <w:shd w:val="clear" w:color="auto" w:fill="FFFFFF"/>
        </w:rPr>
        <w:t xml:space="preserve">Canadian heritage.  The grant was for more than one million acres in what was then part of NM territory, today Colorado.    By 1854, following the 1848 Mexican Cession, Charles (aka Carlos) Beaubien, Narciso’s father, had inherited the grant when Narciso was killed in the 1847 Taos Revolt.  </w:t>
      </w:r>
    </w:p>
    <w:p w14:paraId="56DD5520" w14:textId="77777777"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r w:rsidRPr="00FA6A64">
        <w:rPr>
          <w:rStyle w:val="Strong"/>
          <w:rFonts w:asciiTheme="minorHAnsi" w:hAnsiTheme="minorHAnsi" w:cstheme="minorHAnsi"/>
          <w:b w:val="0"/>
          <w:bCs w:val="0"/>
          <w:color w:val="000000"/>
          <w:sz w:val="22"/>
          <w:shd w:val="clear" w:color="auto" w:fill="FFFFFF"/>
        </w:rPr>
        <w:t xml:space="preserve">Carlos petitioned the surveyor general who recommended and the U S Congress confirmed the grant.  See Sánchez, </w:t>
      </w:r>
      <w:r w:rsidRPr="00FA6A64">
        <w:rPr>
          <w:rStyle w:val="Strong"/>
          <w:rFonts w:asciiTheme="minorHAnsi" w:hAnsiTheme="minorHAnsi" w:cstheme="minorHAnsi"/>
          <w:b w:val="0"/>
          <w:bCs w:val="0"/>
          <w:i/>
          <w:color w:val="000000"/>
          <w:sz w:val="22"/>
          <w:shd w:val="clear" w:color="auto" w:fill="FFFFFF"/>
        </w:rPr>
        <w:t>supra at 31-35, 95-97.</w:t>
      </w:r>
      <w:r w:rsidRPr="00FA6A64">
        <w:rPr>
          <w:rStyle w:val="Strong"/>
          <w:rFonts w:asciiTheme="minorHAnsi" w:hAnsiTheme="minorHAnsi" w:cstheme="minorHAnsi"/>
          <w:b w:val="0"/>
          <w:bCs w:val="0"/>
          <w:color w:val="000000"/>
          <w:sz w:val="22"/>
          <w:shd w:val="clear" w:color="auto" w:fill="FFFFFF"/>
        </w:rPr>
        <w:t xml:space="preserve">  This extensive grant became the scene of much speculation and chicanery although life in the established villages continued in same fashion until the 1960s when a North Carolina lumber baron named Taylor purchased 77,000 acres of theretofore communal land at a “dirt cheap” price.  Taylor “fenced out” the land grant heirs and in 1965 obtained a court ruling confirming his ownership and denying the heirs any right to the land.  Life in the villages was upset and many heirs left to work in nearby cities.  Other heirs stayed and fought against the injustice which included periodic “range wars.”  The issue of land became one focal point during the Chicano Movement years; </w:t>
      </w:r>
      <w:proofErr w:type="spellStart"/>
      <w:r w:rsidRPr="00FA6A64">
        <w:rPr>
          <w:rStyle w:val="Strong"/>
          <w:rFonts w:asciiTheme="minorHAnsi" w:hAnsiTheme="minorHAnsi" w:cstheme="minorHAnsi"/>
          <w:b w:val="0"/>
          <w:bCs w:val="0"/>
          <w:color w:val="000000"/>
          <w:sz w:val="22"/>
          <w:shd w:val="clear" w:color="auto" w:fill="FFFFFF"/>
        </w:rPr>
        <w:t>Reies</w:t>
      </w:r>
      <w:proofErr w:type="spellEnd"/>
      <w:r w:rsidRPr="00FA6A64">
        <w:rPr>
          <w:rStyle w:val="Strong"/>
          <w:rFonts w:asciiTheme="minorHAnsi" w:hAnsiTheme="minorHAnsi" w:cstheme="minorHAnsi"/>
          <w:b w:val="0"/>
          <w:bCs w:val="0"/>
          <w:color w:val="000000"/>
          <w:sz w:val="22"/>
          <w:shd w:val="clear" w:color="auto" w:fill="FFFFFF"/>
        </w:rPr>
        <w:t xml:space="preserve"> López Tijerina being most frequently associated with this effort.  And it was young Chicano Movement activists who picked up the fight and led what ultimately resulted in a 1994 Colorado Supreme Court ruling that the heirs have “access rights” to the grant although the court did not disturb Taylor’s fee simple title.  </w:t>
      </w:r>
    </w:p>
    <w:p w14:paraId="0417875E" w14:textId="77777777"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p>
    <w:p w14:paraId="15B0D35A" w14:textId="77777777"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r w:rsidRPr="00FA6A64">
        <w:rPr>
          <w:rStyle w:val="Strong"/>
          <w:rFonts w:asciiTheme="minorHAnsi" w:hAnsiTheme="minorHAnsi" w:cstheme="minorHAnsi"/>
          <w:b w:val="0"/>
          <w:bCs w:val="0"/>
          <w:color w:val="000000"/>
          <w:sz w:val="22"/>
          <w:shd w:val="clear" w:color="auto" w:fill="FFFFFF"/>
        </w:rPr>
        <w:t xml:space="preserve">Summary:  The </w:t>
      </w:r>
      <w:r w:rsidRPr="00FA6A64">
        <w:rPr>
          <w:rStyle w:val="Strong"/>
          <w:rFonts w:asciiTheme="minorHAnsi" w:hAnsiTheme="minorHAnsi" w:cstheme="minorHAnsi"/>
          <w:b w:val="0"/>
          <w:bCs w:val="0"/>
          <w:i/>
          <w:color w:val="000000"/>
          <w:sz w:val="22"/>
          <w:shd w:val="clear" w:color="auto" w:fill="FFFFFF"/>
        </w:rPr>
        <w:t xml:space="preserve">Rael </w:t>
      </w:r>
      <w:r w:rsidRPr="00FA6A64">
        <w:rPr>
          <w:rStyle w:val="Strong"/>
          <w:rFonts w:asciiTheme="minorHAnsi" w:hAnsiTheme="minorHAnsi" w:cstheme="minorHAnsi"/>
          <w:b w:val="0"/>
          <w:bCs w:val="0"/>
          <w:color w:val="000000"/>
          <w:sz w:val="22"/>
          <w:shd w:val="clear" w:color="auto" w:fill="FFFFFF"/>
        </w:rPr>
        <w:t xml:space="preserve">case illustrates how land grants were coveted, manipulated, and sources of speculation following the 1848 Mexican Cession which resulted in great land loss to </w:t>
      </w:r>
      <w:proofErr w:type="spellStart"/>
      <w:r w:rsidRPr="00FA6A64">
        <w:rPr>
          <w:rStyle w:val="Strong"/>
          <w:rFonts w:asciiTheme="minorHAnsi" w:hAnsiTheme="minorHAnsi" w:cstheme="minorHAnsi"/>
          <w:b w:val="0"/>
          <w:bCs w:val="0"/>
          <w:color w:val="000000"/>
          <w:sz w:val="22"/>
          <w:shd w:val="clear" w:color="auto" w:fill="FFFFFF"/>
        </w:rPr>
        <w:t>Mexicanos</w:t>
      </w:r>
      <w:proofErr w:type="spellEnd"/>
      <w:r w:rsidRPr="00FA6A64">
        <w:rPr>
          <w:rStyle w:val="Strong"/>
          <w:rFonts w:asciiTheme="minorHAnsi" w:hAnsiTheme="minorHAnsi" w:cstheme="minorHAnsi"/>
          <w:b w:val="0"/>
          <w:bCs w:val="0"/>
          <w:color w:val="000000"/>
          <w:sz w:val="22"/>
          <w:shd w:val="clear" w:color="auto" w:fill="FFFFFF"/>
        </w:rPr>
        <w:t xml:space="preserve"> and in violation of the TGH. </w:t>
      </w:r>
    </w:p>
    <w:p w14:paraId="3BA8F1FF" w14:textId="77777777" w:rsidR="00FA6A64" w:rsidRPr="00FA6A64" w:rsidRDefault="00FA6A64" w:rsidP="00FA6A64">
      <w:pPr>
        <w:contextualSpacing/>
        <w:jc w:val="both"/>
        <w:rPr>
          <w:rStyle w:val="Strong"/>
          <w:rFonts w:asciiTheme="minorHAnsi" w:hAnsiTheme="minorHAnsi" w:cstheme="minorHAnsi"/>
          <w:b w:val="0"/>
          <w:color w:val="000000"/>
          <w:sz w:val="22"/>
          <w:shd w:val="clear" w:color="auto" w:fill="FFFFFF"/>
        </w:rPr>
      </w:pPr>
    </w:p>
    <w:p w14:paraId="5B58965B" w14:textId="77777777"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r w:rsidRPr="00FA6A64">
        <w:rPr>
          <w:rStyle w:val="Strong"/>
          <w:rFonts w:asciiTheme="minorHAnsi" w:hAnsiTheme="minorHAnsi" w:cstheme="minorHAnsi"/>
          <w:color w:val="000000"/>
          <w:sz w:val="22"/>
          <w:shd w:val="clear" w:color="auto" w:fill="FFFFFF"/>
        </w:rPr>
        <w:t>UNITED STATES V. JOSEPH</w:t>
      </w:r>
      <w:r w:rsidRPr="00FA6A64">
        <w:rPr>
          <w:rStyle w:val="Strong"/>
          <w:rFonts w:asciiTheme="minorHAnsi" w:hAnsiTheme="minorHAnsi" w:cstheme="minorHAnsi"/>
          <w:b w:val="0"/>
          <w:bCs w:val="0"/>
          <w:color w:val="000000"/>
          <w:sz w:val="22"/>
          <w:shd w:val="clear" w:color="auto" w:fill="FFFFFF"/>
        </w:rPr>
        <w:t xml:space="preserve">, 94 U.S. 614 (1877).  Following the reasoning in the </w:t>
      </w:r>
      <w:r w:rsidRPr="00FA6A64">
        <w:rPr>
          <w:rStyle w:val="Strong"/>
          <w:rFonts w:asciiTheme="minorHAnsi" w:hAnsiTheme="minorHAnsi" w:cstheme="minorHAnsi"/>
          <w:b w:val="0"/>
          <w:bCs w:val="0"/>
          <w:i/>
          <w:color w:val="000000"/>
          <w:sz w:val="22"/>
          <w:shd w:val="clear" w:color="auto" w:fill="FFFFFF"/>
        </w:rPr>
        <w:t>Lucero</w:t>
      </w:r>
      <w:r w:rsidRPr="00FA6A64">
        <w:rPr>
          <w:rStyle w:val="Strong"/>
          <w:rFonts w:asciiTheme="minorHAnsi" w:hAnsiTheme="minorHAnsi" w:cstheme="minorHAnsi"/>
          <w:b w:val="0"/>
          <w:bCs w:val="0"/>
          <w:color w:val="000000"/>
          <w:sz w:val="22"/>
          <w:shd w:val="clear" w:color="auto" w:fill="FFFFFF"/>
        </w:rPr>
        <w:t xml:space="preserve"> case (below) the U.S. Supreme Court ruled that Taos Pueblo Indians were not “Indians” for purposes of federal policy since under Mexican law they were distinctive from Indians and the court upheld their land grants.  During this same period the Court and Congress were reluctant to confirm collectively-owned land grants of </w:t>
      </w:r>
      <w:proofErr w:type="spellStart"/>
      <w:r w:rsidRPr="00FA6A64">
        <w:rPr>
          <w:rStyle w:val="Strong"/>
          <w:rFonts w:asciiTheme="minorHAnsi" w:hAnsiTheme="minorHAnsi" w:cstheme="minorHAnsi"/>
          <w:b w:val="0"/>
          <w:bCs w:val="0"/>
          <w:color w:val="000000"/>
          <w:sz w:val="22"/>
          <w:shd w:val="clear" w:color="auto" w:fill="FFFFFF"/>
        </w:rPr>
        <w:t>Mexicano</w:t>
      </w:r>
      <w:proofErr w:type="spellEnd"/>
      <w:r w:rsidRPr="00FA6A64">
        <w:rPr>
          <w:rStyle w:val="Strong"/>
          <w:rFonts w:asciiTheme="minorHAnsi" w:hAnsiTheme="minorHAnsi" w:cstheme="minorHAnsi"/>
          <w:b w:val="0"/>
          <w:bCs w:val="0"/>
          <w:color w:val="000000"/>
          <w:sz w:val="22"/>
          <w:shd w:val="clear" w:color="auto" w:fill="FFFFFF"/>
        </w:rPr>
        <w:t xml:space="preserve"> communities.  See Conejos Land Grant above.</w:t>
      </w:r>
    </w:p>
    <w:p w14:paraId="708D0F47" w14:textId="77777777"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p>
    <w:p w14:paraId="6E8FF80C" w14:textId="77777777"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r w:rsidRPr="00FA6A64">
        <w:rPr>
          <w:rStyle w:val="Strong"/>
          <w:rFonts w:asciiTheme="minorHAnsi" w:hAnsiTheme="minorHAnsi" w:cstheme="minorHAnsi"/>
          <w:b w:val="0"/>
          <w:bCs w:val="0"/>
          <w:color w:val="000000"/>
          <w:sz w:val="22"/>
          <w:shd w:val="clear" w:color="auto" w:fill="FFFFFF"/>
        </w:rPr>
        <w:t xml:space="preserve">Summary:  Congress and the U. S. Supreme Court treated Pueblo land grants and land grants to </w:t>
      </w:r>
      <w:proofErr w:type="spellStart"/>
      <w:r w:rsidRPr="00FA6A64">
        <w:rPr>
          <w:rStyle w:val="Strong"/>
          <w:rFonts w:asciiTheme="minorHAnsi" w:hAnsiTheme="minorHAnsi" w:cstheme="minorHAnsi"/>
          <w:b w:val="0"/>
          <w:bCs w:val="0"/>
          <w:color w:val="000000"/>
          <w:sz w:val="22"/>
          <w:shd w:val="clear" w:color="auto" w:fill="FFFFFF"/>
        </w:rPr>
        <w:t>Mexicanos</w:t>
      </w:r>
      <w:proofErr w:type="spellEnd"/>
      <w:r w:rsidRPr="00FA6A64">
        <w:rPr>
          <w:rStyle w:val="Strong"/>
          <w:rFonts w:asciiTheme="minorHAnsi" w:hAnsiTheme="minorHAnsi" w:cstheme="minorHAnsi"/>
          <w:b w:val="0"/>
          <w:bCs w:val="0"/>
          <w:color w:val="000000"/>
          <w:sz w:val="22"/>
          <w:shd w:val="clear" w:color="auto" w:fill="FFFFFF"/>
        </w:rPr>
        <w:t xml:space="preserve"> differently even when their reasoning should have been the same. </w:t>
      </w:r>
    </w:p>
    <w:p w14:paraId="242BDBDF" w14:textId="77777777"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p>
    <w:p w14:paraId="419EC910" w14:textId="77777777"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color w:val="000000"/>
          <w:sz w:val="22"/>
          <w:shd w:val="clear" w:color="auto" w:fill="FFFFFF"/>
        </w:rPr>
        <w:t>UNITED STATES V. LUCERO</w:t>
      </w:r>
      <w:r w:rsidRPr="00FA6A64">
        <w:rPr>
          <w:rStyle w:val="Strong"/>
          <w:rFonts w:asciiTheme="minorHAnsi" w:hAnsiTheme="minorHAnsi" w:cstheme="minorHAnsi"/>
          <w:b w:val="0"/>
          <w:bCs w:val="0"/>
          <w:color w:val="000000"/>
          <w:sz w:val="22"/>
          <w:shd w:val="clear" w:color="auto" w:fill="FFFFFF"/>
        </w:rPr>
        <w:t>, 1 N.M. 422,</w:t>
      </w:r>
      <w:r w:rsidRPr="00FA6A64">
        <w:rPr>
          <w:rStyle w:val="Strong"/>
          <w:rFonts w:asciiTheme="minorHAnsi" w:hAnsiTheme="minorHAnsi" w:cstheme="minorHAnsi"/>
          <w:b w:val="0"/>
          <w:bCs w:val="0"/>
          <w:color w:val="FF0000"/>
          <w:sz w:val="22"/>
          <w:shd w:val="clear" w:color="auto" w:fill="FFFFFF"/>
        </w:rPr>
        <w:t xml:space="preserve"> </w:t>
      </w:r>
      <w:r w:rsidRPr="00FA6A64">
        <w:rPr>
          <w:rStyle w:val="Strong"/>
          <w:rFonts w:asciiTheme="minorHAnsi" w:hAnsiTheme="minorHAnsi" w:cstheme="minorHAnsi"/>
          <w:b w:val="0"/>
          <w:bCs w:val="0"/>
          <w:sz w:val="22"/>
          <w:shd w:val="clear" w:color="auto" w:fill="FFFFFF"/>
        </w:rPr>
        <w:t xml:space="preserve">(1869).  </w:t>
      </w:r>
    </w:p>
    <w:p w14:paraId="0394367E" w14:textId="70646F64"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b w:val="0"/>
          <w:bCs w:val="0"/>
          <w:sz w:val="22"/>
          <w:shd w:val="clear" w:color="auto" w:fill="FFFFFF"/>
        </w:rPr>
        <w:t xml:space="preserve">This case involved a land dispute between </w:t>
      </w:r>
      <w:proofErr w:type="spellStart"/>
      <w:r w:rsidRPr="00FA6A64">
        <w:rPr>
          <w:rStyle w:val="Strong"/>
          <w:rFonts w:asciiTheme="minorHAnsi" w:hAnsiTheme="minorHAnsi" w:cstheme="minorHAnsi"/>
          <w:b w:val="0"/>
          <w:bCs w:val="0"/>
          <w:sz w:val="22"/>
          <w:shd w:val="clear" w:color="auto" w:fill="FFFFFF"/>
        </w:rPr>
        <w:t>Mexicanos</w:t>
      </w:r>
      <w:proofErr w:type="spellEnd"/>
      <w:r w:rsidRPr="00FA6A64">
        <w:rPr>
          <w:rStyle w:val="Strong"/>
          <w:rFonts w:asciiTheme="minorHAnsi" w:hAnsiTheme="minorHAnsi" w:cstheme="minorHAnsi"/>
          <w:b w:val="0"/>
          <w:bCs w:val="0"/>
          <w:sz w:val="22"/>
          <w:shd w:val="clear" w:color="auto" w:fill="FFFFFF"/>
        </w:rPr>
        <w:t xml:space="preserve"> and Cochiti Pueblo.  The precedential stakes in the case were high as the case would decide whether Pueblo land could be bought and sold as Congress had in 1858 confirmed the titles of 17 Spanish land grants to seventeen Pueblos in NM.  One issue was whether Pueblo Indians became federal citizens under the </w:t>
      </w:r>
      <w:r w:rsidR="0075303B">
        <w:rPr>
          <w:rStyle w:val="Strong"/>
          <w:rFonts w:asciiTheme="minorHAnsi" w:hAnsiTheme="minorHAnsi" w:cstheme="minorHAnsi"/>
          <w:b w:val="0"/>
          <w:bCs w:val="0"/>
          <w:sz w:val="22"/>
          <w:shd w:val="clear" w:color="auto" w:fill="FFFFFF"/>
        </w:rPr>
        <w:t>Treaty of Guadalupe Hidalgo</w:t>
      </w:r>
      <w:r w:rsidRPr="00FA6A64">
        <w:rPr>
          <w:rStyle w:val="Strong"/>
          <w:rFonts w:asciiTheme="minorHAnsi" w:hAnsiTheme="minorHAnsi" w:cstheme="minorHAnsi"/>
          <w:b w:val="0"/>
          <w:bCs w:val="0"/>
          <w:sz w:val="22"/>
          <w:shd w:val="clear" w:color="auto" w:fill="FFFFFF"/>
        </w:rPr>
        <w:t xml:space="preserve"> thereby occupying a distinctive position as opposed to other Indians and that Congress did not intend to treat Pueblos as other Indians.  Mexico had extended citizenship rights to “civilized” Indians.  Other Indians were seen as “savages.”  Another issue set off a decades-long legal contest with the executive branch that advocated treating Pueblos like other Indians.  If the Indian Trade and Intercourse Act of 1834 (which prohibited the sale of Indian lands) did not apply to the Pueblos then their property could be bought and sold.  The </w:t>
      </w:r>
      <w:r w:rsidRPr="00FA6A64">
        <w:rPr>
          <w:rStyle w:val="Strong"/>
          <w:rFonts w:asciiTheme="minorHAnsi" w:hAnsiTheme="minorHAnsi" w:cstheme="minorHAnsi"/>
          <w:b w:val="0"/>
          <w:bCs w:val="0"/>
          <w:i/>
          <w:sz w:val="22"/>
          <w:shd w:val="clear" w:color="auto" w:fill="FFFFFF"/>
        </w:rPr>
        <w:t xml:space="preserve">Lucero </w:t>
      </w:r>
      <w:r w:rsidRPr="00FA6A64">
        <w:rPr>
          <w:rStyle w:val="Strong"/>
          <w:rFonts w:asciiTheme="minorHAnsi" w:hAnsiTheme="minorHAnsi" w:cstheme="minorHAnsi"/>
          <w:b w:val="0"/>
          <w:bCs w:val="0"/>
          <w:sz w:val="22"/>
          <w:shd w:val="clear" w:color="auto" w:fill="FFFFFF"/>
        </w:rPr>
        <w:t xml:space="preserve">court “uplifted” the Pueblos by considering them “civilized” but “shafted” them by allowing their land to be bought and sold.  The case also served to reinforce the divide between </w:t>
      </w:r>
      <w:proofErr w:type="spellStart"/>
      <w:r w:rsidRPr="00FA6A64">
        <w:rPr>
          <w:rStyle w:val="Strong"/>
          <w:rFonts w:asciiTheme="minorHAnsi" w:hAnsiTheme="minorHAnsi" w:cstheme="minorHAnsi"/>
          <w:b w:val="0"/>
          <w:bCs w:val="0"/>
          <w:sz w:val="22"/>
          <w:shd w:val="clear" w:color="auto" w:fill="FFFFFF"/>
        </w:rPr>
        <w:t>Mexicanos</w:t>
      </w:r>
      <w:proofErr w:type="spellEnd"/>
      <w:r w:rsidRPr="00FA6A64">
        <w:rPr>
          <w:rStyle w:val="Strong"/>
          <w:rFonts w:asciiTheme="minorHAnsi" w:hAnsiTheme="minorHAnsi" w:cstheme="minorHAnsi"/>
          <w:b w:val="0"/>
          <w:bCs w:val="0"/>
          <w:sz w:val="22"/>
          <w:shd w:val="clear" w:color="auto" w:fill="FFFFFF"/>
        </w:rPr>
        <w:t xml:space="preserve"> and the Pueblos in terms of “whiteness.”  </w:t>
      </w:r>
    </w:p>
    <w:p w14:paraId="67FB44C8" w14:textId="77777777"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p>
    <w:p w14:paraId="2D8A91A9" w14:textId="6B872D30"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b w:val="0"/>
          <w:bCs w:val="0"/>
          <w:sz w:val="22"/>
          <w:shd w:val="clear" w:color="auto" w:fill="FFFFFF"/>
        </w:rPr>
        <w:t xml:space="preserve">Summary:  The </w:t>
      </w:r>
      <w:r w:rsidRPr="00FA6A64">
        <w:rPr>
          <w:rStyle w:val="Strong"/>
          <w:rFonts w:asciiTheme="minorHAnsi" w:hAnsiTheme="minorHAnsi" w:cstheme="minorHAnsi"/>
          <w:b w:val="0"/>
          <w:bCs w:val="0"/>
          <w:i/>
          <w:sz w:val="22"/>
          <w:shd w:val="clear" w:color="auto" w:fill="FFFFFF"/>
        </w:rPr>
        <w:t xml:space="preserve">Lucero </w:t>
      </w:r>
      <w:r w:rsidRPr="00FA6A64">
        <w:rPr>
          <w:rStyle w:val="Strong"/>
          <w:rFonts w:asciiTheme="minorHAnsi" w:hAnsiTheme="minorHAnsi" w:cstheme="minorHAnsi"/>
          <w:b w:val="0"/>
          <w:bCs w:val="0"/>
          <w:sz w:val="22"/>
          <w:shd w:val="clear" w:color="auto" w:fill="FFFFFF"/>
        </w:rPr>
        <w:t>decision underscores the legal thicket resulting from the different classifications of Indians under the T</w:t>
      </w:r>
      <w:r w:rsidR="0075303B">
        <w:rPr>
          <w:rStyle w:val="Strong"/>
          <w:rFonts w:asciiTheme="minorHAnsi" w:hAnsiTheme="minorHAnsi" w:cstheme="minorHAnsi"/>
          <w:b w:val="0"/>
          <w:bCs w:val="0"/>
          <w:sz w:val="22"/>
          <w:shd w:val="clear" w:color="auto" w:fill="FFFFFF"/>
        </w:rPr>
        <w:t>reaty</w:t>
      </w:r>
      <w:r w:rsidRPr="00FA6A64">
        <w:rPr>
          <w:rStyle w:val="Strong"/>
          <w:rFonts w:asciiTheme="minorHAnsi" w:hAnsiTheme="minorHAnsi" w:cstheme="minorHAnsi"/>
          <w:b w:val="0"/>
          <w:bCs w:val="0"/>
          <w:sz w:val="22"/>
          <w:shd w:val="clear" w:color="auto" w:fill="FFFFFF"/>
        </w:rPr>
        <w:t>.  All of this is important because at the core of all the legal wrangling was the need to create a legal pretense that would permit additional land speculation by North</w:t>
      </w:r>
      <w:r w:rsidR="0075303B">
        <w:rPr>
          <w:rStyle w:val="Strong"/>
          <w:rFonts w:asciiTheme="minorHAnsi" w:hAnsiTheme="minorHAnsi" w:cstheme="minorHAnsi"/>
          <w:b w:val="0"/>
          <w:bCs w:val="0"/>
          <w:sz w:val="22"/>
          <w:shd w:val="clear" w:color="auto" w:fill="FFFFFF"/>
        </w:rPr>
        <w:t xml:space="preserve"> A</w:t>
      </w:r>
      <w:r w:rsidRPr="00FA6A64">
        <w:rPr>
          <w:rStyle w:val="Strong"/>
          <w:rFonts w:asciiTheme="minorHAnsi" w:hAnsiTheme="minorHAnsi" w:cstheme="minorHAnsi"/>
          <w:b w:val="0"/>
          <w:bCs w:val="0"/>
          <w:sz w:val="22"/>
          <w:shd w:val="clear" w:color="auto" w:fill="FFFFFF"/>
        </w:rPr>
        <w:t xml:space="preserve">mericans at the expense of native people.  </w:t>
      </w:r>
      <w:r w:rsidRPr="00FA6A64">
        <w:rPr>
          <w:rStyle w:val="Strong"/>
          <w:rFonts w:asciiTheme="minorHAnsi" w:hAnsiTheme="minorHAnsi" w:cstheme="minorHAnsi"/>
          <w:b w:val="0"/>
          <w:bCs w:val="0"/>
          <w:i/>
          <w:sz w:val="22"/>
          <w:shd w:val="clear" w:color="auto" w:fill="FFFFFF"/>
        </w:rPr>
        <w:t xml:space="preserve"> </w:t>
      </w:r>
      <w:r w:rsidRPr="00FA6A64">
        <w:rPr>
          <w:rStyle w:val="Strong"/>
          <w:rFonts w:asciiTheme="minorHAnsi" w:hAnsiTheme="minorHAnsi" w:cstheme="minorHAnsi"/>
          <w:b w:val="0"/>
          <w:bCs w:val="0"/>
          <w:sz w:val="22"/>
          <w:shd w:val="clear" w:color="auto" w:fill="FFFFFF"/>
        </w:rPr>
        <w:t xml:space="preserve"> </w:t>
      </w:r>
    </w:p>
    <w:p w14:paraId="3802D48A" w14:textId="77777777" w:rsidR="00FA6A64" w:rsidRPr="00FA6A64" w:rsidRDefault="00FA6A64" w:rsidP="00FA6A64">
      <w:pPr>
        <w:contextualSpacing/>
        <w:jc w:val="both"/>
        <w:rPr>
          <w:rStyle w:val="Strong"/>
          <w:rFonts w:asciiTheme="minorHAnsi" w:hAnsiTheme="minorHAnsi" w:cstheme="minorHAnsi"/>
          <w:b w:val="0"/>
          <w:color w:val="000000"/>
          <w:sz w:val="22"/>
          <w:shd w:val="clear" w:color="auto" w:fill="FFFFFF"/>
        </w:rPr>
      </w:pPr>
      <w:r w:rsidRPr="00FA6A64">
        <w:rPr>
          <w:rStyle w:val="Strong"/>
          <w:rFonts w:asciiTheme="minorHAnsi" w:hAnsiTheme="minorHAnsi" w:cstheme="minorHAnsi"/>
          <w:color w:val="000000"/>
          <w:sz w:val="22"/>
          <w:shd w:val="clear" w:color="auto" w:fill="FFFFFF"/>
        </w:rPr>
        <w:t xml:space="preserve"> </w:t>
      </w:r>
    </w:p>
    <w:p w14:paraId="5FA08B4C" w14:textId="77777777" w:rsidR="00FA6A64" w:rsidRPr="00FA6A64" w:rsidRDefault="00FA6A64" w:rsidP="00FA6A64">
      <w:pPr>
        <w:contextualSpacing/>
        <w:jc w:val="both"/>
        <w:rPr>
          <w:rStyle w:val="Strong"/>
          <w:rFonts w:asciiTheme="minorHAnsi" w:hAnsiTheme="minorHAnsi" w:cstheme="minorHAnsi"/>
          <w:b w:val="0"/>
          <w:bCs w:val="0"/>
          <w:color w:val="000000"/>
          <w:sz w:val="22"/>
          <w:shd w:val="clear" w:color="auto" w:fill="FFFFFF"/>
        </w:rPr>
      </w:pPr>
      <w:r w:rsidRPr="00FA6A64">
        <w:rPr>
          <w:rStyle w:val="Strong"/>
          <w:rFonts w:asciiTheme="minorHAnsi" w:hAnsiTheme="minorHAnsi" w:cstheme="minorHAnsi"/>
          <w:sz w:val="22"/>
          <w:shd w:val="clear" w:color="auto" w:fill="FFFFFF"/>
        </w:rPr>
        <w:t>UNITED STATES V. JULIAN SANDOVAL</w:t>
      </w:r>
      <w:r w:rsidRPr="00FA6A64">
        <w:rPr>
          <w:rStyle w:val="Strong"/>
          <w:rFonts w:asciiTheme="minorHAnsi" w:hAnsiTheme="minorHAnsi" w:cstheme="minorHAnsi"/>
          <w:b w:val="0"/>
          <w:bCs w:val="0"/>
          <w:sz w:val="22"/>
          <w:shd w:val="clear" w:color="auto" w:fill="FFFFFF"/>
        </w:rPr>
        <w:t xml:space="preserve">, 167 U.S. 278 (1897) </w:t>
      </w:r>
    </w:p>
    <w:p w14:paraId="2D0CC24B" w14:textId="21BC466F"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b w:val="0"/>
          <w:bCs w:val="0"/>
          <w:sz w:val="22"/>
          <w:shd w:val="clear" w:color="auto" w:fill="FFFFFF"/>
        </w:rPr>
        <w:t xml:space="preserve">One of the major consequences of the 1848 Mexican Cession was the massive transfer of wealth – overwhelmingly in the form of land – from Indians and </w:t>
      </w:r>
      <w:proofErr w:type="spellStart"/>
      <w:r w:rsidRPr="00FA6A64">
        <w:rPr>
          <w:rStyle w:val="Strong"/>
          <w:rFonts w:asciiTheme="minorHAnsi" w:hAnsiTheme="minorHAnsi" w:cstheme="minorHAnsi"/>
          <w:b w:val="0"/>
          <w:bCs w:val="0"/>
          <w:sz w:val="22"/>
          <w:shd w:val="clear" w:color="auto" w:fill="FFFFFF"/>
        </w:rPr>
        <w:t>Mexicanos</w:t>
      </w:r>
      <w:proofErr w:type="spellEnd"/>
      <w:r w:rsidRPr="00FA6A64">
        <w:rPr>
          <w:rStyle w:val="Strong"/>
          <w:rFonts w:asciiTheme="minorHAnsi" w:hAnsiTheme="minorHAnsi" w:cstheme="minorHAnsi"/>
          <w:b w:val="0"/>
          <w:bCs w:val="0"/>
          <w:sz w:val="22"/>
          <w:shd w:val="clear" w:color="auto" w:fill="FFFFFF"/>
        </w:rPr>
        <w:t>, who had proprietary claims to millions of acres of land, to the U.S. Government and North</w:t>
      </w:r>
      <w:r w:rsidR="0075303B">
        <w:rPr>
          <w:rStyle w:val="Strong"/>
          <w:rFonts w:asciiTheme="minorHAnsi" w:hAnsiTheme="minorHAnsi" w:cstheme="minorHAnsi"/>
          <w:b w:val="0"/>
          <w:bCs w:val="0"/>
          <w:sz w:val="22"/>
          <w:shd w:val="clear" w:color="auto" w:fill="FFFFFF"/>
        </w:rPr>
        <w:t xml:space="preserve"> </w:t>
      </w:r>
      <w:r w:rsidR="0075303B" w:rsidRPr="00FA6A64">
        <w:rPr>
          <w:rStyle w:val="Strong"/>
          <w:rFonts w:asciiTheme="minorHAnsi" w:hAnsiTheme="minorHAnsi" w:cstheme="minorHAnsi"/>
          <w:b w:val="0"/>
          <w:bCs w:val="0"/>
          <w:sz w:val="22"/>
          <w:shd w:val="clear" w:color="auto" w:fill="FFFFFF"/>
        </w:rPr>
        <w:t>American</w:t>
      </w:r>
      <w:r w:rsidRPr="00FA6A64">
        <w:rPr>
          <w:rStyle w:val="Strong"/>
          <w:rFonts w:asciiTheme="minorHAnsi" w:hAnsiTheme="minorHAnsi" w:cstheme="minorHAnsi"/>
          <w:b w:val="0"/>
          <w:bCs w:val="0"/>
          <w:sz w:val="22"/>
          <w:shd w:val="clear" w:color="auto" w:fill="FFFFFF"/>
        </w:rPr>
        <w:t xml:space="preserve"> individuals and corporations.  This loss of land base resulted in the impoverishment of indigenous people and enrichment of the federal government and private parties.  Much of this lost land became part of the U.S. Forest Service and Bureau of Land Management while other parts were distributed to private parties under the Donation Land Claim Act of 1850, Homestead Acts of 1862, 1866, 1873, 1904, 1906, 1909, 1916 and 1930, and Desert Lands Act of 1877.  </w:t>
      </w:r>
    </w:p>
    <w:p w14:paraId="5D868F5C" w14:textId="77777777" w:rsidR="00FA6A64" w:rsidRPr="00FA6A64" w:rsidRDefault="00FA6A64" w:rsidP="00FA6A64">
      <w:pPr>
        <w:contextualSpacing/>
        <w:jc w:val="both"/>
        <w:rPr>
          <w:rStyle w:val="Strong"/>
          <w:rFonts w:asciiTheme="minorHAnsi" w:hAnsiTheme="minorHAnsi" w:cstheme="minorHAnsi"/>
          <w:b w:val="0"/>
          <w:sz w:val="22"/>
          <w:shd w:val="clear" w:color="auto" w:fill="FFFFFF"/>
        </w:rPr>
      </w:pPr>
    </w:p>
    <w:p w14:paraId="0E36ADA4" w14:textId="77777777"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b w:val="0"/>
          <w:bCs w:val="0"/>
          <w:sz w:val="22"/>
          <w:shd w:val="clear" w:color="auto" w:fill="FFFFFF"/>
        </w:rPr>
        <w:t xml:space="preserve">In 1894 heirs to the San Miguel del Vado community land grant petitioned the U.S. Court of Private Land Claims for recognition of their 315,000 acre Spanish land grant of 1794.  The heirs were </w:t>
      </w:r>
      <w:proofErr w:type="spellStart"/>
      <w:r w:rsidRPr="00FA6A64">
        <w:rPr>
          <w:rStyle w:val="Strong"/>
          <w:rFonts w:asciiTheme="minorHAnsi" w:hAnsiTheme="minorHAnsi" w:cstheme="minorHAnsi"/>
          <w:b w:val="0"/>
          <w:bCs w:val="0"/>
          <w:i/>
          <w:sz w:val="22"/>
          <w:shd w:val="clear" w:color="auto" w:fill="FFFFFF"/>
        </w:rPr>
        <w:t>genizaros</w:t>
      </w:r>
      <w:proofErr w:type="spellEnd"/>
      <w:r w:rsidRPr="00FA6A64">
        <w:rPr>
          <w:rStyle w:val="Strong"/>
          <w:rFonts w:asciiTheme="minorHAnsi" w:hAnsiTheme="minorHAnsi" w:cstheme="minorHAnsi"/>
          <w:b w:val="0"/>
          <w:bCs w:val="0"/>
          <w:i/>
          <w:sz w:val="22"/>
          <w:shd w:val="clear" w:color="auto" w:fill="FFFFFF"/>
        </w:rPr>
        <w:t>/mestizos</w:t>
      </w:r>
      <w:r w:rsidRPr="00FA6A64">
        <w:rPr>
          <w:rStyle w:val="Strong"/>
          <w:rFonts w:asciiTheme="minorHAnsi" w:hAnsiTheme="minorHAnsi" w:cstheme="minorHAnsi"/>
          <w:b w:val="0"/>
          <w:bCs w:val="0"/>
          <w:sz w:val="22"/>
          <w:shd w:val="clear" w:color="auto" w:fill="FFFFFF"/>
        </w:rPr>
        <w:t xml:space="preserve">.  The U.S. Supreme Court confirmed a mere 5,000 acres when it confirmed individual plots but ruled that the communally owned lands belonged to the sovereign; meaning that following the 1848 Mexican Cession the communally owned lands now belonged to the federal government.  </w:t>
      </w:r>
    </w:p>
    <w:p w14:paraId="62B031A9" w14:textId="77777777"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p>
    <w:p w14:paraId="1C6E0C5E" w14:textId="1B057C80"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b w:val="0"/>
          <w:bCs w:val="0"/>
          <w:sz w:val="22"/>
          <w:shd w:val="clear" w:color="auto" w:fill="FFFFFF"/>
        </w:rPr>
        <w:t>Summary:  The San Miguel del Vado/Sandoval case symbolizes the failure of the U.S. government to abide by the property rights Article VIII of the T</w:t>
      </w:r>
      <w:r w:rsidR="0050081A">
        <w:rPr>
          <w:rStyle w:val="Strong"/>
          <w:rFonts w:asciiTheme="minorHAnsi" w:hAnsiTheme="minorHAnsi" w:cstheme="minorHAnsi"/>
          <w:b w:val="0"/>
          <w:bCs w:val="0"/>
          <w:sz w:val="22"/>
          <w:shd w:val="clear" w:color="auto" w:fill="FFFFFF"/>
        </w:rPr>
        <w:t>reaty</w:t>
      </w:r>
      <w:r w:rsidRPr="00FA6A64">
        <w:rPr>
          <w:rStyle w:val="Strong"/>
          <w:rFonts w:asciiTheme="minorHAnsi" w:hAnsiTheme="minorHAnsi" w:cstheme="minorHAnsi"/>
          <w:b w:val="0"/>
          <w:bCs w:val="0"/>
          <w:sz w:val="22"/>
          <w:shd w:val="clear" w:color="auto" w:fill="FFFFFF"/>
        </w:rPr>
        <w:t>.</w:t>
      </w:r>
    </w:p>
    <w:p w14:paraId="44DD422C" w14:textId="77777777" w:rsidR="00FA6A64" w:rsidRPr="00FA6A64" w:rsidRDefault="00FA6A64" w:rsidP="00FA6A64">
      <w:pPr>
        <w:contextualSpacing/>
        <w:jc w:val="both"/>
        <w:rPr>
          <w:rStyle w:val="Strong"/>
          <w:rFonts w:asciiTheme="minorHAnsi" w:hAnsiTheme="minorHAnsi" w:cstheme="minorHAnsi"/>
          <w:b w:val="0"/>
          <w:sz w:val="22"/>
          <w:shd w:val="clear" w:color="auto" w:fill="FFFFFF"/>
        </w:rPr>
      </w:pPr>
    </w:p>
    <w:p w14:paraId="77406B85" w14:textId="280CCD31"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sz w:val="22"/>
          <w:shd w:val="clear" w:color="auto" w:fill="FFFFFF"/>
        </w:rPr>
        <w:t>U.S.A. V. AMBER ORTEGA</w:t>
      </w:r>
      <w:r w:rsidRPr="00FA6A64">
        <w:rPr>
          <w:rStyle w:val="Strong"/>
          <w:rFonts w:asciiTheme="minorHAnsi" w:hAnsiTheme="minorHAnsi" w:cstheme="minorHAnsi"/>
          <w:b w:val="0"/>
          <w:bCs w:val="0"/>
          <w:sz w:val="22"/>
          <w:shd w:val="clear" w:color="auto" w:fill="FFFFFF"/>
        </w:rPr>
        <w:t xml:space="preserve">, CASE NO. </w:t>
      </w:r>
      <w:r w:rsidRPr="00BB2010">
        <w:rPr>
          <w:rFonts w:asciiTheme="minorHAnsi" w:hAnsiTheme="minorHAnsi" w:cstheme="minorHAnsi"/>
          <w:sz w:val="22"/>
        </w:rPr>
        <w:t>20-mj-08904-N/A-LAB</w:t>
      </w:r>
      <w:r w:rsidRPr="00FA6A64">
        <w:rPr>
          <w:rStyle w:val="Strong"/>
          <w:rFonts w:asciiTheme="minorHAnsi" w:hAnsiTheme="minorHAnsi" w:cstheme="minorHAnsi"/>
          <w:b w:val="0"/>
          <w:bCs w:val="0"/>
          <w:sz w:val="22"/>
          <w:shd w:val="clear" w:color="auto" w:fill="FFFFFF"/>
        </w:rPr>
        <w:t>, U.S. District Court, Tucson Division</w:t>
      </w:r>
      <w:r w:rsidRPr="00FA6A64">
        <w:rPr>
          <w:rStyle w:val="Strong"/>
          <w:rFonts w:asciiTheme="minorHAnsi" w:hAnsiTheme="minorHAnsi" w:cstheme="minorHAnsi"/>
          <w:b w:val="0"/>
          <w:bCs w:val="0"/>
          <w:sz w:val="22"/>
          <w:u w:val="single"/>
          <w:shd w:val="clear" w:color="auto" w:fill="FFFFFF"/>
        </w:rPr>
        <w:t>.</w:t>
      </w:r>
      <w:r w:rsidRPr="00FA6A64">
        <w:rPr>
          <w:rStyle w:val="Strong"/>
          <w:rFonts w:asciiTheme="minorHAnsi" w:hAnsiTheme="minorHAnsi" w:cstheme="minorHAnsi"/>
          <w:b w:val="0"/>
          <w:bCs w:val="0"/>
          <w:sz w:val="22"/>
          <w:shd w:val="clear" w:color="auto" w:fill="FFFFFF"/>
        </w:rPr>
        <w:t xml:space="preserve">  </w:t>
      </w:r>
    </w:p>
    <w:p w14:paraId="5F575521" w14:textId="2714FA8E"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b w:val="0"/>
          <w:bCs w:val="0"/>
          <w:sz w:val="22"/>
          <w:shd w:val="clear" w:color="auto" w:fill="FFFFFF"/>
        </w:rPr>
        <w:t>In 2020</w:t>
      </w:r>
      <w:r w:rsidR="0050081A">
        <w:rPr>
          <w:rStyle w:val="Strong"/>
          <w:rFonts w:asciiTheme="minorHAnsi" w:hAnsiTheme="minorHAnsi" w:cstheme="minorHAnsi"/>
          <w:b w:val="0"/>
          <w:bCs w:val="0"/>
          <w:sz w:val="22"/>
          <w:shd w:val="clear" w:color="auto" w:fill="FFFFFF"/>
        </w:rPr>
        <w:t>,</w:t>
      </w:r>
      <w:r w:rsidRPr="00FA6A64">
        <w:rPr>
          <w:rStyle w:val="Strong"/>
          <w:rFonts w:asciiTheme="minorHAnsi" w:hAnsiTheme="minorHAnsi" w:cstheme="minorHAnsi"/>
          <w:b w:val="0"/>
          <w:bCs w:val="0"/>
          <w:sz w:val="22"/>
          <w:shd w:val="clear" w:color="auto" w:fill="FFFFFF"/>
        </w:rPr>
        <w:t xml:space="preserve"> Ortega was charged with misdemeanor counts of interference with agency functions and violation of a closure order when she and others were protesting construction of the border wall along the Mexican border.  The area of the protest had a long history of food gathering and sacred ceremonies by the Tohono O’odham indigenous nation.  Ortega’s defense hinged on the 1993 Religious Freedom Restoration Act which states that the federal government may not “substantially burden a person’s exercise of religion.”  Protection of cultural rights is also a part of the Treaty of Guadalupe Hidalgo.  In November 2021 the trial court judge ruled against Ortega and refused to allow Ortega to defend herself in this fashion.  Then in January 2022 the same judge reversed her prior ruling and found Ortega not guilty based on new evidence that proved the government had placed a “substantial burden” on Ortega’s exercise of religion.</w:t>
      </w:r>
    </w:p>
    <w:p w14:paraId="3469ADBA" w14:textId="77777777"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p>
    <w:p w14:paraId="553A9122" w14:textId="77777777" w:rsidR="00FA6A64" w:rsidRPr="00FA6A64" w:rsidRDefault="00FA6A64" w:rsidP="00FA6A64">
      <w:pPr>
        <w:contextualSpacing/>
        <w:jc w:val="both"/>
        <w:rPr>
          <w:rStyle w:val="Strong"/>
          <w:rFonts w:asciiTheme="minorHAnsi" w:hAnsiTheme="minorHAnsi" w:cstheme="minorHAnsi"/>
          <w:b w:val="0"/>
          <w:bCs w:val="0"/>
          <w:sz w:val="22"/>
          <w:shd w:val="clear" w:color="auto" w:fill="FFFFFF"/>
        </w:rPr>
      </w:pPr>
      <w:r w:rsidRPr="00FA6A64">
        <w:rPr>
          <w:rStyle w:val="Strong"/>
          <w:rFonts w:asciiTheme="minorHAnsi" w:hAnsiTheme="minorHAnsi" w:cstheme="minorHAnsi"/>
          <w:b w:val="0"/>
          <w:bCs w:val="0"/>
          <w:sz w:val="22"/>
          <w:shd w:val="clear" w:color="auto" w:fill="FFFFFF"/>
        </w:rPr>
        <w:t xml:space="preserve">Summary:  The Ortega case illustrates that as society moves towards greater understanding and appreciation of cultural differences, new laws are enacted protecting these human rights, many of which are part of earlier treaty rights that had not been enforced. The Ortega case also demonstrates how many of the legal issues and challenges faced by indigenous peoples in previous centuries are still present today.    </w:t>
      </w:r>
    </w:p>
    <w:p w14:paraId="3298C34D" w14:textId="77777777" w:rsidR="007A2BA4" w:rsidRPr="00FA6A64" w:rsidRDefault="007A2BA4" w:rsidP="007A2BA4">
      <w:pPr>
        <w:spacing w:line="240" w:lineRule="auto"/>
        <w:contextualSpacing/>
        <w:rPr>
          <w:rFonts w:asciiTheme="minorHAnsi" w:hAnsiTheme="minorHAnsi" w:cstheme="minorHAnsi"/>
          <w:sz w:val="22"/>
          <w:shd w:val="clear" w:color="auto" w:fill="FFFFFF"/>
        </w:rPr>
      </w:pPr>
    </w:p>
    <w:p w14:paraId="148CEBED" w14:textId="1ECF9E0E" w:rsidR="008A689A" w:rsidRPr="00910994" w:rsidRDefault="008A689A" w:rsidP="007A2BA4">
      <w:pPr>
        <w:spacing w:line="240" w:lineRule="auto"/>
        <w:contextualSpacing/>
        <w:rPr>
          <w:rFonts w:asciiTheme="minorHAnsi" w:hAnsiTheme="minorHAnsi" w:cstheme="minorHAnsi"/>
          <w:sz w:val="22"/>
        </w:rPr>
      </w:pPr>
      <w:r w:rsidRPr="00910994">
        <w:rPr>
          <w:rFonts w:asciiTheme="minorHAnsi" w:hAnsiTheme="minorHAnsi" w:cstheme="minorHAnsi"/>
          <w:sz w:val="22"/>
        </w:rPr>
        <w:t xml:space="preserve">APPENDIX </w:t>
      </w:r>
      <w:r w:rsidR="00910994" w:rsidRPr="00910994">
        <w:rPr>
          <w:rFonts w:asciiTheme="minorHAnsi" w:hAnsiTheme="minorHAnsi" w:cstheme="minorHAnsi"/>
          <w:sz w:val="22"/>
        </w:rPr>
        <w:t>B</w:t>
      </w:r>
    </w:p>
    <w:p w14:paraId="50464687" w14:textId="4E561448" w:rsidR="008A689A" w:rsidRDefault="008A689A" w:rsidP="00B8101E">
      <w:pPr>
        <w:spacing w:after="0" w:line="240" w:lineRule="auto"/>
        <w:contextualSpacing/>
        <w:rPr>
          <w:rFonts w:asciiTheme="minorHAnsi" w:hAnsiTheme="minorHAnsi" w:cstheme="minorHAnsi"/>
          <w:sz w:val="22"/>
        </w:rPr>
      </w:pPr>
      <w:r w:rsidRPr="0050081A">
        <w:rPr>
          <w:rFonts w:asciiTheme="minorHAnsi" w:hAnsiTheme="minorHAnsi" w:cstheme="minorHAnsi"/>
          <w:b/>
          <w:bCs/>
          <w:sz w:val="22"/>
        </w:rPr>
        <w:t>Contributors to preparation of this reply to EMRIP</w:t>
      </w:r>
      <w:r w:rsidRPr="003778EE">
        <w:rPr>
          <w:rFonts w:asciiTheme="minorHAnsi" w:hAnsiTheme="minorHAnsi" w:cstheme="minorHAnsi"/>
          <w:sz w:val="22"/>
        </w:rPr>
        <w:t>:</w:t>
      </w:r>
    </w:p>
    <w:p w14:paraId="2934B44C" w14:textId="77777777" w:rsidR="00B8101E" w:rsidRPr="003778EE" w:rsidRDefault="00B8101E" w:rsidP="0050081A">
      <w:pPr>
        <w:spacing w:after="0"/>
        <w:ind w:left="720"/>
        <w:rPr>
          <w:rFonts w:asciiTheme="minorHAnsi" w:hAnsiTheme="minorHAnsi" w:cstheme="minorHAnsi"/>
          <w:sz w:val="22"/>
        </w:rPr>
      </w:pPr>
      <w:r w:rsidRPr="003778EE">
        <w:rPr>
          <w:rFonts w:asciiTheme="minorHAnsi" w:hAnsiTheme="minorHAnsi" w:cstheme="minorHAnsi"/>
          <w:sz w:val="22"/>
        </w:rPr>
        <w:t>David J. Garcia, Tohono O'odham Nation (Desert People) O'odham Elders Council (Grass Roots) Former Tohono O'odham Legislator</w:t>
      </w:r>
    </w:p>
    <w:p w14:paraId="6E0347C6" w14:textId="79CC357D" w:rsidR="008C5410" w:rsidRPr="00BE651C" w:rsidRDefault="008A689A" w:rsidP="0050081A">
      <w:pPr>
        <w:spacing w:after="0" w:line="240" w:lineRule="auto"/>
        <w:ind w:left="720"/>
        <w:contextualSpacing/>
        <w:rPr>
          <w:rFonts w:asciiTheme="minorHAnsi" w:hAnsiTheme="minorHAnsi" w:cstheme="minorHAnsi"/>
          <w:sz w:val="22"/>
        </w:rPr>
      </w:pPr>
      <w:r w:rsidRPr="00BE651C">
        <w:rPr>
          <w:rFonts w:asciiTheme="minorHAnsi" w:hAnsiTheme="minorHAnsi" w:cstheme="minorHAnsi"/>
          <w:sz w:val="22"/>
        </w:rPr>
        <w:t xml:space="preserve">Antonio Gonzales, </w:t>
      </w:r>
      <w:r w:rsidR="00BE651C" w:rsidRPr="00BE651C">
        <w:rPr>
          <w:rFonts w:asciiTheme="minorHAnsi" w:hAnsiTheme="minorHAnsi" w:cstheme="minorHAnsi"/>
          <w:color w:val="222222"/>
          <w:sz w:val="22"/>
          <w:shd w:val="clear" w:color="auto" w:fill="FFFFFF"/>
        </w:rPr>
        <w:t>(</w:t>
      </w:r>
      <w:proofErr w:type="spellStart"/>
      <w:r w:rsidR="00BE651C" w:rsidRPr="00BE651C">
        <w:rPr>
          <w:rFonts w:asciiTheme="minorHAnsi" w:hAnsiTheme="minorHAnsi" w:cstheme="minorHAnsi"/>
          <w:color w:val="222222"/>
          <w:sz w:val="22"/>
          <w:shd w:val="clear" w:color="auto" w:fill="FFFFFF"/>
        </w:rPr>
        <w:t>Comca’Ac</w:t>
      </w:r>
      <w:proofErr w:type="spellEnd"/>
      <w:r w:rsidR="00BE651C" w:rsidRPr="00BE651C">
        <w:rPr>
          <w:rFonts w:asciiTheme="minorHAnsi" w:hAnsiTheme="minorHAnsi" w:cstheme="minorHAnsi"/>
          <w:color w:val="222222"/>
          <w:sz w:val="22"/>
          <w:shd w:val="clear" w:color="auto" w:fill="FFFFFF"/>
        </w:rPr>
        <w:t>/Chicano), Executive Director</w:t>
      </w:r>
      <w:r w:rsidR="00BE651C">
        <w:rPr>
          <w:rFonts w:asciiTheme="minorHAnsi" w:hAnsiTheme="minorHAnsi" w:cstheme="minorHAnsi"/>
          <w:color w:val="222222"/>
          <w:sz w:val="22"/>
          <w:shd w:val="clear" w:color="auto" w:fill="FFFFFF"/>
        </w:rPr>
        <w:t>,</w:t>
      </w:r>
      <w:r w:rsidR="00BE651C" w:rsidRPr="00BE651C">
        <w:rPr>
          <w:rFonts w:asciiTheme="minorHAnsi" w:hAnsiTheme="minorHAnsi" w:cstheme="minorHAnsi"/>
          <w:color w:val="222222"/>
          <w:sz w:val="22"/>
          <w:shd w:val="clear" w:color="auto" w:fill="FFFFFF"/>
        </w:rPr>
        <w:t xml:space="preserve"> AIM-West</w:t>
      </w:r>
      <w:r w:rsidR="00BE651C">
        <w:rPr>
          <w:rFonts w:asciiTheme="minorHAnsi" w:hAnsiTheme="minorHAnsi" w:cstheme="minorHAnsi"/>
          <w:color w:val="222222"/>
          <w:sz w:val="22"/>
          <w:shd w:val="clear" w:color="auto" w:fill="FFFFFF"/>
        </w:rPr>
        <w:t xml:space="preserve"> (</w:t>
      </w:r>
      <w:hyperlink r:id="rId15" w:tgtFrame="_blank" w:history="1">
        <w:r w:rsidR="00BE651C" w:rsidRPr="00BE651C">
          <w:rPr>
            <w:rFonts w:asciiTheme="minorHAnsi" w:hAnsiTheme="minorHAnsi" w:cstheme="minorHAnsi"/>
            <w:color w:val="000000" w:themeColor="text1"/>
            <w:sz w:val="22"/>
            <w:shd w:val="clear" w:color="auto" w:fill="FFFFFF"/>
          </w:rPr>
          <w:t>www.aim-west.org</w:t>
        </w:r>
      </w:hyperlink>
      <w:r w:rsidR="00BE651C" w:rsidRPr="00BE651C">
        <w:rPr>
          <w:rFonts w:asciiTheme="minorHAnsi" w:hAnsiTheme="minorHAnsi" w:cstheme="minorHAnsi"/>
          <w:color w:val="000000" w:themeColor="text1"/>
          <w:sz w:val="22"/>
        </w:rPr>
        <w:t>)</w:t>
      </w:r>
      <w:r w:rsidR="00BE651C" w:rsidRPr="00BE651C">
        <w:rPr>
          <w:rFonts w:asciiTheme="minorHAnsi" w:hAnsiTheme="minorHAnsi" w:cstheme="minorHAnsi"/>
          <w:color w:val="000000" w:themeColor="text1"/>
          <w:sz w:val="22"/>
          <w:shd w:val="clear" w:color="auto" w:fill="FFFFFF"/>
        </w:rPr>
        <w:t xml:space="preserve">  </w:t>
      </w:r>
      <w:r w:rsidR="00BE651C">
        <w:rPr>
          <w:rFonts w:asciiTheme="minorHAnsi" w:hAnsiTheme="minorHAnsi" w:cstheme="minorHAnsi"/>
          <w:color w:val="222222"/>
          <w:sz w:val="22"/>
          <w:shd w:val="clear" w:color="auto" w:fill="FFFFFF"/>
        </w:rPr>
        <w:t>participant in numerous</w:t>
      </w:r>
      <w:r w:rsidR="00BE651C" w:rsidRPr="00BE651C">
        <w:rPr>
          <w:rFonts w:asciiTheme="minorHAnsi" w:hAnsiTheme="minorHAnsi" w:cstheme="minorHAnsi"/>
          <w:color w:val="222222"/>
          <w:sz w:val="22"/>
          <w:shd w:val="clear" w:color="auto" w:fill="FFFFFF"/>
        </w:rPr>
        <w:t xml:space="preserve"> UN bodies since 1983 including the annual Permanent Forum on Indigenous Issues since 2009.  </w:t>
      </w:r>
      <w:r w:rsidR="00BE651C" w:rsidRPr="00BE651C">
        <w:rPr>
          <w:rFonts w:asciiTheme="minorHAnsi" w:hAnsiTheme="minorHAnsi" w:cstheme="minorHAnsi"/>
          <w:sz w:val="22"/>
        </w:rPr>
        <w:t xml:space="preserve"> </w:t>
      </w:r>
    </w:p>
    <w:p w14:paraId="28E6FD81" w14:textId="08E09C3A" w:rsidR="008A689A" w:rsidRPr="003778EE" w:rsidRDefault="008C5410" w:rsidP="0050081A">
      <w:pPr>
        <w:spacing w:after="0" w:line="240" w:lineRule="auto"/>
        <w:ind w:left="720"/>
        <w:contextualSpacing/>
        <w:rPr>
          <w:rFonts w:asciiTheme="minorHAnsi" w:hAnsiTheme="minorHAnsi" w:cstheme="minorHAnsi"/>
          <w:sz w:val="22"/>
        </w:rPr>
      </w:pPr>
      <w:r w:rsidRPr="003778EE">
        <w:rPr>
          <w:rFonts w:asciiTheme="minorHAnsi" w:hAnsiTheme="minorHAnsi" w:cstheme="minorHAnsi"/>
          <w:sz w:val="22"/>
        </w:rPr>
        <w:t xml:space="preserve">Gabriel Hernandez, Founding </w:t>
      </w:r>
      <w:r w:rsidR="003778EE">
        <w:rPr>
          <w:rFonts w:asciiTheme="minorHAnsi" w:hAnsiTheme="minorHAnsi" w:cstheme="minorHAnsi"/>
          <w:sz w:val="22"/>
        </w:rPr>
        <w:t xml:space="preserve">Board </w:t>
      </w:r>
      <w:r w:rsidRPr="003778EE">
        <w:rPr>
          <w:rFonts w:asciiTheme="minorHAnsi" w:hAnsiTheme="minorHAnsi" w:cstheme="minorHAnsi"/>
          <w:sz w:val="22"/>
        </w:rPr>
        <w:t>Member</w:t>
      </w:r>
      <w:r w:rsidR="003778EE">
        <w:rPr>
          <w:rFonts w:asciiTheme="minorHAnsi" w:hAnsiTheme="minorHAnsi" w:cstheme="minorHAnsi"/>
          <w:sz w:val="22"/>
        </w:rPr>
        <w:t>,</w:t>
      </w:r>
      <w:r w:rsidRPr="003778EE">
        <w:rPr>
          <w:rFonts w:asciiTheme="minorHAnsi" w:hAnsiTheme="minorHAnsi" w:cstheme="minorHAnsi"/>
          <w:sz w:val="22"/>
        </w:rPr>
        <w:t xml:space="preserve"> National </w:t>
      </w:r>
      <w:proofErr w:type="spellStart"/>
      <w:r w:rsidRPr="003778EE">
        <w:rPr>
          <w:rFonts w:asciiTheme="minorHAnsi" w:hAnsiTheme="minorHAnsi" w:cstheme="minorHAnsi"/>
          <w:sz w:val="22"/>
        </w:rPr>
        <w:t>Xicano</w:t>
      </w:r>
      <w:proofErr w:type="spellEnd"/>
      <w:r w:rsidRPr="003778EE">
        <w:rPr>
          <w:rFonts w:asciiTheme="minorHAnsi" w:hAnsiTheme="minorHAnsi" w:cstheme="minorHAnsi"/>
          <w:sz w:val="22"/>
        </w:rPr>
        <w:t xml:space="preserve"> Human Rights</w:t>
      </w:r>
      <w:r w:rsidR="003778EE">
        <w:rPr>
          <w:rFonts w:asciiTheme="minorHAnsi" w:hAnsiTheme="minorHAnsi" w:cstheme="minorHAnsi"/>
          <w:sz w:val="22"/>
        </w:rPr>
        <w:t xml:space="preserve"> Council</w:t>
      </w:r>
    </w:p>
    <w:p w14:paraId="5D237599" w14:textId="5C6DDE59" w:rsidR="00B8101E" w:rsidRPr="003778EE" w:rsidRDefault="00B8101E" w:rsidP="0050081A">
      <w:pPr>
        <w:spacing w:after="0" w:line="240" w:lineRule="auto"/>
        <w:ind w:left="720"/>
        <w:contextualSpacing/>
        <w:rPr>
          <w:rFonts w:asciiTheme="minorHAnsi" w:hAnsiTheme="minorHAnsi" w:cstheme="minorHAnsi"/>
          <w:sz w:val="22"/>
        </w:rPr>
      </w:pPr>
      <w:r w:rsidRPr="003778EE">
        <w:rPr>
          <w:rFonts w:asciiTheme="minorHAnsi" w:hAnsiTheme="minorHAnsi" w:cstheme="minorHAnsi"/>
          <w:sz w:val="22"/>
        </w:rPr>
        <w:t xml:space="preserve">Carlos Hernandez, </w:t>
      </w:r>
      <w:r w:rsidR="00BE651C" w:rsidRPr="003778EE">
        <w:rPr>
          <w:rFonts w:asciiTheme="minorHAnsi" w:hAnsiTheme="minorHAnsi" w:cstheme="minorHAnsi"/>
          <w:sz w:val="22"/>
        </w:rPr>
        <w:t xml:space="preserve">Founding </w:t>
      </w:r>
      <w:r w:rsidR="00BE651C">
        <w:rPr>
          <w:rFonts w:asciiTheme="minorHAnsi" w:hAnsiTheme="minorHAnsi" w:cstheme="minorHAnsi"/>
          <w:sz w:val="22"/>
        </w:rPr>
        <w:t xml:space="preserve">Board </w:t>
      </w:r>
      <w:r w:rsidR="00BE651C" w:rsidRPr="003778EE">
        <w:rPr>
          <w:rFonts w:asciiTheme="minorHAnsi" w:hAnsiTheme="minorHAnsi" w:cstheme="minorHAnsi"/>
          <w:sz w:val="22"/>
        </w:rPr>
        <w:t>Member</w:t>
      </w:r>
      <w:r w:rsidR="00BE651C">
        <w:rPr>
          <w:rFonts w:asciiTheme="minorHAnsi" w:hAnsiTheme="minorHAnsi" w:cstheme="minorHAnsi"/>
          <w:sz w:val="22"/>
        </w:rPr>
        <w:t>,</w:t>
      </w:r>
      <w:r w:rsidR="00BE651C" w:rsidRPr="003778EE">
        <w:rPr>
          <w:rFonts w:asciiTheme="minorHAnsi" w:hAnsiTheme="minorHAnsi" w:cstheme="minorHAnsi"/>
          <w:sz w:val="22"/>
        </w:rPr>
        <w:t xml:space="preserve"> </w:t>
      </w:r>
      <w:proofErr w:type="spellStart"/>
      <w:r w:rsidRPr="003778EE">
        <w:rPr>
          <w:rFonts w:asciiTheme="minorHAnsi" w:hAnsiTheme="minorHAnsi" w:cstheme="minorHAnsi"/>
          <w:sz w:val="22"/>
        </w:rPr>
        <w:t>MeXicanos</w:t>
      </w:r>
      <w:proofErr w:type="spellEnd"/>
      <w:r w:rsidRPr="003778EE">
        <w:rPr>
          <w:rFonts w:asciiTheme="minorHAnsi" w:hAnsiTheme="minorHAnsi" w:cstheme="minorHAnsi"/>
          <w:sz w:val="22"/>
        </w:rPr>
        <w:t xml:space="preserve"> 2070</w:t>
      </w:r>
    </w:p>
    <w:p w14:paraId="7EEF37B1" w14:textId="77777777" w:rsidR="00B8101E" w:rsidRPr="003778EE" w:rsidRDefault="00B8101E" w:rsidP="0050081A">
      <w:pPr>
        <w:spacing w:after="0"/>
        <w:ind w:left="720"/>
        <w:rPr>
          <w:rFonts w:asciiTheme="minorHAnsi" w:eastAsia="Times New Roman" w:hAnsiTheme="minorHAnsi" w:cstheme="minorHAnsi"/>
          <w:sz w:val="22"/>
          <w:lang w:val="es-MX"/>
        </w:rPr>
      </w:pPr>
      <w:r w:rsidRPr="003778EE">
        <w:rPr>
          <w:rFonts w:asciiTheme="minorHAnsi" w:eastAsia="Times New Roman" w:hAnsiTheme="minorHAnsi" w:cstheme="minorHAnsi"/>
          <w:sz w:val="22"/>
          <w:lang w:val="es-MX"/>
        </w:rPr>
        <w:t xml:space="preserve">Amber Lee Ortega, </w:t>
      </w:r>
      <w:r w:rsidRPr="003778EE">
        <w:rPr>
          <w:rFonts w:asciiTheme="minorHAnsi" w:hAnsiTheme="minorHAnsi" w:cstheme="minorHAnsi"/>
          <w:color w:val="222222"/>
          <w:sz w:val="22"/>
          <w:shd w:val="clear" w:color="auto" w:fill="FFFFFF"/>
        </w:rPr>
        <w:t xml:space="preserve">member of Tohono O'odham Nation (Desert People), a descendant of </w:t>
      </w:r>
      <w:proofErr w:type="spellStart"/>
      <w:r w:rsidRPr="003778EE">
        <w:rPr>
          <w:rFonts w:asciiTheme="minorHAnsi" w:hAnsiTheme="minorHAnsi" w:cstheme="minorHAnsi"/>
          <w:color w:val="222222"/>
          <w:sz w:val="22"/>
          <w:shd w:val="clear" w:color="auto" w:fill="FFFFFF"/>
        </w:rPr>
        <w:t>Hia-Ced</w:t>
      </w:r>
      <w:proofErr w:type="spellEnd"/>
      <w:r w:rsidRPr="003778EE">
        <w:rPr>
          <w:rFonts w:asciiTheme="minorHAnsi" w:hAnsiTheme="minorHAnsi" w:cstheme="minorHAnsi"/>
          <w:color w:val="222222"/>
          <w:sz w:val="22"/>
          <w:shd w:val="clear" w:color="auto" w:fill="FFFFFF"/>
        </w:rPr>
        <w:t xml:space="preserve"> O'odham (Sand People), and descendant of </w:t>
      </w:r>
      <w:proofErr w:type="spellStart"/>
      <w:r w:rsidRPr="003778EE">
        <w:rPr>
          <w:rFonts w:asciiTheme="minorHAnsi" w:hAnsiTheme="minorHAnsi" w:cstheme="minorHAnsi"/>
          <w:color w:val="222222"/>
          <w:sz w:val="22"/>
          <w:shd w:val="clear" w:color="auto" w:fill="FFFFFF"/>
        </w:rPr>
        <w:t>A'al</w:t>
      </w:r>
      <w:proofErr w:type="spellEnd"/>
      <w:r w:rsidRPr="003778EE">
        <w:rPr>
          <w:rFonts w:asciiTheme="minorHAnsi" w:hAnsiTheme="minorHAnsi" w:cstheme="minorHAnsi"/>
          <w:color w:val="222222"/>
          <w:sz w:val="22"/>
          <w:shd w:val="clear" w:color="auto" w:fill="FFFFFF"/>
        </w:rPr>
        <w:t xml:space="preserve"> </w:t>
      </w:r>
      <w:proofErr w:type="spellStart"/>
      <w:r w:rsidRPr="003778EE">
        <w:rPr>
          <w:rFonts w:asciiTheme="minorHAnsi" w:hAnsiTheme="minorHAnsi" w:cstheme="minorHAnsi"/>
          <w:color w:val="222222"/>
          <w:sz w:val="22"/>
          <w:shd w:val="clear" w:color="auto" w:fill="FFFFFF"/>
        </w:rPr>
        <w:t>Vaippia</w:t>
      </w:r>
      <w:proofErr w:type="spellEnd"/>
      <w:r w:rsidRPr="003778EE">
        <w:rPr>
          <w:rFonts w:asciiTheme="minorHAnsi" w:hAnsiTheme="minorHAnsi" w:cstheme="minorHAnsi"/>
          <w:color w:val="222222"/>
          <w:sz w:val="22"/>
          <w:shd w:val="clear" w:color="auto" w:fill="FFFFFF"/>
        </w:rPr>
        <w:t xml:space="preserve"> (</w:t>
      </w:r>
      <w:proofErr w:type="spellStart"/>
      <w:r w:rsidRPr="003778EE">
        <w:rPr>
          <w:rFonts w:asciiTheme="minorHAnsi" w:hAnsiTheme="minorHAnsi" w:cstheme="minorHAnsi"/>
          <w:color w:val="222222"/>
          <w:sz w:val="22"/>
          <w:shd w:val="clear" w:color="auto" w:fill="FFFFFF"/>
        </w:rPr>
        <w:t>Quitobaquito</w:t>
      </w:r>
      <w:proofErr w:type="spellEnd"/>
      <w:r w:rsidRPr="003778EE">
        <w:rPr>
          <w:rFonts w:asciiTheme="minorHAnsi" w:hAnsiTheme="minorHAnsi" w:cstheme="minorHAnsi"/>
          <w:color w:val="222222"/>
          <w:sz w:val="22"/>
          <w:shd w:val="clear" w:color="auto" w:fill="FFFFFF"/>
        </w:rPr>
        <w:t xml:space="preserve"> Springs)</w:t>
      </w:r>
    </w:p>
    <w:p w14:paraId="0AFBF4E9" w14:textId="48F280C0" w:rsidR="00B8101E" w:rsidRPr="00FA6A64" w:rsidRDefault="003778EE" w:rsidP="0050081A">
      <w:pPr>
        <w:spacing w:line="240" w:lineRule="auto"/>
        <w:ind w:left="720"/>
        <w:contextualSpacing/>
        <w:rPr>
          <w:rFonts w:asciiTheme="minorHAnsi" w:hAnsiTheme="minorHAnsi" w:cstheme="minorHAnsi"/>
          <w:sz w:val="22"/>
        </w:rPr>
      </w:pPr>
      <w:r>
        <w:rPr>
          <w:rFonts w:asciiTheme="minorHAnsi" w:hAnsiTheme="minorHAnsi" w:cstheme="minorHAnsi"/>
          <w:sz w:val="22"/>
        </w:rPr>
        <w:t xml:space="preserve">Armando Rendón, </w:t>
      </w:r>
      <w:r w:rsidR="00BE651C">
        <w:rPr>
          <w:rFonts w:asciiTheme="minorHAnsi" w:hAnsiTheme="minorHAnsi" w:cstheme="minorHAnsi"/>
          <w:sz w:val="22"/>
        </w:rPr>
        <w:t>(Kickapoo/</w:t>
      </w:r>
      <w:r w:rsidR="00267B21">
        <w:rPr>
          <w:rFonts w:asciiTheme="minorHAnsi" w:hAnsiTheme="minorHAnsi" w:cstheme="minorHAnsi"/>
          <w:sz w:val="22"/>
        </w:rPr>
        <w:t>Chicano</w:t>
      </w:r>
      <w:r w:rsidR="00BE651C">
        <w:rPr>
          <w:rFonts w:asciiTheme="minorHAnsi" w:hAnsiTheme="minorHAnsi" w:cstheme="minorHAnsi"/>
          <w:sz w:val="22"/>
        </w:rPr>
        <w:t xml:space="preserve">) </w:t>
      </w:r>
      <w:r>
        <w:rPr>
          <w:rFonts w:asciiTheme="minorHAnsi" w:hAnsiTheme="minorHAnsi" w:cstheme="minorHAnsi"/>
          <w:sz w:val="22"/>
        </w:rPr>
        <w:t xml:space="preserve">Founding </w:t>
      </w:r>
      <w:r w:rsidR="00BE651C">
        <w:rPr>
          <w:rFonts w:asciiTheme="minorHAnsi" w:hAnsiTheme="minorHAnsi" w:cstheme="minorHAnsi"/>
          <w:sz w:val="22"/>
        </w:rPr>
        <w:t xml:space="preserve">Board </w:t>
      </w:r>
      <w:r>
        <w:rPr>
          <w:rFonts w:asciiTheme="minorHAnsi" w:hAnsiTheme="minorHAnsi" w:cstheme="minorHAnsi"/>
          <w:sz w:val="22"/>
        </w:rPr>
        <w:t xml:space="preserve">Member, </w:t>
      </w:r>
      <w:proofErr w:type="spellStart"/>
      <w:r>
        <w:rPr>
          <w:rFonts w:asciiTheme="minorHAnsi" w:hAnsiTheme="minorHAnsi" w:cstheme="minorHAnsi"/>
          <w:sz w:val="22"/>
        </w:rPr>
        <w:t>MeXicanos</w:t>
      </w:r>
      <w:proofErr w:type="spellEnd"/>
      <w:r>
        <w:rPr>
          <w:rFonts w:asciiTheme="minorHAnsi" w:hAnsiTheme="minorHAnsi" w:cstheme="minorHAnsi"/>
          <w:sz w:val="22"/>
        </w:rPr>
        <w:t xml:space="preserve"> 2070; CEO, Somos en escrito Literary Foundation</w:t>
      </w:r>
    </w:p>
    <w:sectPr w:rsidR="00B8101E" w:rsidRPr="00FA6A64" w:rsidSect="00C258DF">
      <w:footerReference w:type="default" r:id="rId16"/>
      <w:pgSz w:w="12240" w:h="15840"/>
      <w:pgMar w:top="1008"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626A" w14:textId="77777777" w:rsidR="009833DB" w:rsidRDefault="009833DB" w:rsidP="00390E94">
      <w:pPr>
        <w:spacing w:after="0" w:line="240" w:lineRule="auto"/>
      </w:pPr>
      <w:r>
        <w:separator/>
      </w:r>
    </w:p>
  </w:endnote>
  <w:endnote w:type="continuationSeparator" w:id="0">
    <w:p w14:paraId="7EF141BC" w14:textId="77777777" w:rsidR="009833DB" w:rsidRDefault="009833DB" w:rsidP="0039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83509"/>
      <w:docPartObj>
        <w:docPartGallery w:val="Page Numbers (Bottom of Page)"/>
        <w:docPartUnique/>
      </w:docPartObj>
    </w:sdtPr>
    <w:sdtEndPr>
      <w:rPr>
        <w:noProof/>
      </w:rPr>
    </w:sdtEndPr>
    <w:sdtContent>
      <w:p w14:paraId="1EA913BF" w14:textId="309928A3" w:rsidR="00390E94" w:rsidRDefault="00390E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CFAF01" w14:textId="77777777" w:rsidR="00390E94" w:rsidRDefault="00390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1699" w14:textId="77777777" w:rsidR="009833DB" w:rsidRDefault="009833DB" w:rsidP="00390E94">
      <w:pPr>
        <w:spacing w:after="0" w:line="240" w:lineRule="auto"/>
      </w:pPr>
      <w:r>
        <w:separator/>
      </w:r>
    </w:p>
  </w:footnote>
  <w:footnote w:type="continuationSeparator" w:id="0">
    <w:p w14:paraId="45DC090E" w14:textId="77777777" w:rsidR="009833DB" w:rsidRDefault="009833DB" w:rsidP="00390E94">
      <w:pPr>
        <w:spacing w:after="0" w:line="240" w:lineRule="auto"/>
      </w:pPr>
      <w:r>
        <w:continuationSeparator/>
      </w:r>
    </w:p>
  </w:footnote>
  <w:footnote w:id="1">
    <w:p w14:paraId="42DEBA04" w14:textId="77777777" w:rsidR="00FA6A64" w:rsidRDefault="00FA6A64" w:rsidP="00FA6A64">
      <w:pPr>
        <w:pStyle w:val="FootnoteText"/>
      </w:pPr>
      <w:r>
        <w:rPr>
          <w:rStyle w:val="FootnoteReference"/>
        </w:rPr>
        <w:footnoteRef/>
      </w:r>
      <w:r>
        <w:t xml:space="preserve"> Griswold del Castillo , The Treaty of Guadalupe A Legacy of Conflict (1990) pgs.75-77 </w:t>
      </w:r>
    </w:p>
  </w:footnote>
  <w:footnote w:id="2">
    <w:p w14:paraId="7592FE2C" w14:textId="77777777" w:rsidR="00FA6A64" w:rsidRPr="00385C28" w:rsidRDefault="00FA6A64" w:rsidP="00FA6A64">
      <w:pPr>
        <w:pStyle w:val="FootnoteText"/>
      </w:pPr>
      <w:r>
        <w:rPr>
          <w:rStyle w:val="FootnoteReference"/>
        </w:rPr>
        <w:footnoteRef/>
      </w:r>
      <w:r w:rsidRPr="00385C28">
        <w:t xml:space="preserve"> </w:t>
      </w:r>
      <w:proofErr w:type="spellStart"/>
      <w:r w:rsidRPr="00385C28">
        <w:t>Botiller</w:t>
      </w:r>
      <w:proofErr w:type="spellEnd"/>
      <w:r w:rsidRPr="00385C28">
        <w:t xml:space="preserve"> et al. v. Domínguez 130U.S.238(1889)</w:t>
      </w:r>
    </w:p>
  </w:footnote>
  <w:footnote w:id="3">
    <w:p w14:paraId="232DCC35" w14:textId="77777777" w:rsidR="00FA6A64" w:rsidRDefault="00FA6A64" w:rsidP="00FA6A64">
      <w:pPr>
        <w:pStyle w:val="FootnoteText"/>
      </w:pPr>
      <w:r>
        <w:rPr>
          <w:rStyle w:val="FootnoteReference"/>
        </w:rPr>
        <w:footnoteRef/>
      </w:r>
      <w:r>
        <w:t xml:space="preserve"> Ibid</w:t>
      </w:r>
    </w:p>
  </w:footnote>
  <w:footnote w:id="4">
    <w:p w14:paraId="2EFFC839" w14:textId="77777777" w:rsidR="00FA6A64" w:rsidRDefault="00FA6A64" w:rsidP="00FA6A64">
      <w:pPr>
        <w:pStyle w:val="FootnoteText"/>
      </w:pPr>
      <w:r>
        <w:rPr>
          <w:rStyle w:val="FootnoteReference"/>
        </w:rPr>
        <w:footnoteRef/>
      </w:r>
      <w:r>
        <w:t xml:space="preserve"> DAVID BENAVIDES &amp; RYAN GOLTEN, Righting the Record: A Response to the GAO’s 2004 Report Treaty of Guadalupe Hidalgo: Findings and Possible Options Regarding Longstanding Community Land Grant Claims in New Mexico</w:t>
      </w:r>
    </w:p>
  </w:footnote>
  <w:footnote w:id="5">
    <w:p w14:paraId="25B10AAD" w14:textId="77777777" w:rsidR="00FA6A64" w:rsidRDefault="00FA6A64" w:rsidP="00FA6A64">
      <w:pPr>
        <w:pStyle w:val="FootnoteText"/>
      </w:pPr>
      <w:r>
        <w:rPr>
          <w:rStyle w:val="FootnoteReference"/>
        </w:rPr>
        <w:footnoteRef/>
      </w:r>
      <w:r>
        <w:t xml:space="preserve"> Ibid</w:t>
      </w:r>
    </w:p>
  </w:footnote>
  <w:footnote w:id="6">
    <w:p w14:paraId="13F34BC4" w14:textId="77777777" w:rsidR="00FA6A64" w:rsidRDefault="00FA6A64" w:rsidP="00FA6A64">
      <w:pPr>
        <w:pStyle w:val="FootnoteText"/>
      </w:pPr>
      <w:r>
        <w:rPr>
          <w:rStyle w:val="FootnoteReference"/>
        </w:rPr>
        <w:footnoteRef/>
      </w:r>
      <w:r>
        <w:t xml:space="preserve"> Christine Klein, Treaties of Conquest: Property Rights, Indian Treaties, and the Treaty of Guadalupe Hidalgo, 26 N.M. L. REV. (1996).</w:t>
      </w:r>
    </w:p>
  </w:footnote>
  <w:footnote w:id="7">
    <w:p w14:paraId="77AE6B87" w14:textId="77777777" w:rsidR="00FA6A64" w:rsidRDefault="00FA6A64" w:rsidP="00FA6A64">
      <w:pPr>
        <w:pStyle w:val="FootnoteText"/>
      </w:pPr>
      <w:r>
        <w:rPr>
          <w:rStyle w:val="FootnoteReference"/>
        </w:rPr>
        <w:footnoteRef/>
      </w:r>
      <w:r>
        <w:t xml:space="preserve"> United States v. Abeyta  632 F.Supp.1301 (1986)</w:t>
      </w:r>
    </w:p>
  </w:footnote>
  <w:footnote w:id="8">
    <w:p w14:paraId="79600543" w14:textId="77777777" w:rsidR="00FA6A64" w:rsidRDefault="00FA6A64" w:rsidP="00FA6A64">
      <w:pPr>
        <w:pStyle w:val="FootnoteText"/>
      </w:pPr>
      <w:r>
        <w:rPr>
          <w:rStyle w:val="FootnoteReference"/>
        </w:rPr>
        <w:footnoteRef/>
      </w:r>
      <w:r>
        <w:t xml:space="preserve"> Ibid</w:t>
      </w:r>
    </w:p>
    <w:p w14:paraId="73B6D8D8" w14:textId="77777777" w:rsidR="00FA6A64" w:rsidRDefault="00FA6A64" w:rsidP="00FA6A64">
      <w:pPr>
        <w:pStyle w:val="FootnoteText"/>
      </w:pPr>
    </w:p>
  </w:footnote>
  <w:footnote w:id="9">
    <w:p w14:paraId="48A9B9E6" w14:textId="77777777" w:rsidR="00FA6A64" w:rsidRDefault="00FA6A64" w:rsidP="00FA6A64">
      <w:pPr>
        <w:pStyle w:val="FootnoteText"/>
      </w:pPr>
      <w:r>
        <w:rPr>
          <w:rStyle w:val="FootnoteReference"/>
        </w:rPr>
        <w:footnoteRef/>
      </w:r>
      <w:r>
        <w:t xml:space="preserve"> Ibid</w:t>
      </w:r>
    </w:p>
  </w:footnote>
  <w:footnote w:id="10">
    <w:p w14:paraId="324D87E5" w14:textId="77777777" w:rsidR="00FA6A64" w:rsidRDefault="00FA6A64" w:rsidP="00FA6A64">
      <w:pPr>
        <w:pStyle w:val="FootnoteText"/>
      </w:pPr>
      <w:r>
        <w:rPr>
          <w:rStyle w:val="FootnoteReference"/>
        </w:rPr>
        <w:footnoteRef/>
      </w:r>
      <w:r>
        <w:t xml:space="preserve"> Ibid </w:t>
      </w:r>
    </w:p>
  </w:footnote>
  <w:footnote w:id="11">
    <w:p w14:paraId="63631FC6" w14:textId="77777777" w:rsidR="00FA6A64" w:rsidRDefault="00FA6A64" w:rsidP="00FA6A64">
      <w:pPr>
        <w:pStyle w:val="FootnoteText"/>
      </w:pPr>
      <w:r>
        <w:rPr>
          <w:rStyle w:val="FootnoteReference"/>
        </w:rPr>
        <w:footnoteRef/>
      </w:r>
      <w:r>
        <w:t xml:space="preserve"> Ibid </w:t>
      </w:r>
    </w:p>
  </w:footnote>
  <w:footnote w:id="12">
    <w:p w14:paraId="6CC6E8FC" w14:textId="77777777" w:rsidR="00FA6A64" w:rsidRPr="00B86A14" w:rsidRDefault="00FA6A64" w:rsidP="00FA6A64">
      <w:pPr>
        <w:pStyle w:val="Heading1"/>
        <w:spacing w:before="240" w:beforeAutospacing="0" w:after="180" w:afterAutospacing="0"/>
        <w:rPr>
          <w:b w:val="0"/>
          <w:color w:val="1A1A1A"/>
          <w:sz w:val="20"/>
          <w:szCs w:val="20"/>
        </w:rPr>
      </w:pPr>
      <w:r w:rsidRPr="00B86A14">
        <w:rPr>
          <w:rStyle w:val="FootnoteReference"/>
          <w:b w:val="0"/>
          <w:sz w:val="24"/>
          <w:szCs w:val="24"/>
        </w:rPr>
        <w:footnoteRef/>
      </w:r>
      <w:r w:rsidRPr="00B86A14">
        <w:rPr>
          <w:b w:val="0"/>
          <w:sz w:val="24"/>
          <w:szCs w:val="24"/>
        </w:rPr>
        <w:t xml:space="preserve"> </w:t>
      </w:r>
      <w:r w:rsidRPr="00B86A14">
        <w:rPr>
          <w:b w:val="0"/>
          <w:color w:val="1A1A1A"/>
          <w:sz w:val="20"/>
          <w:szCs w:val="20"/>
        </w:rPr>
        <w:t>Havasupai Tribe v. United States, 752 F. Supp. 1471 (D. Ariz. 1990)</w:t>
      </w:r>
    </w:p>
    <w:p w14:paraId="25E507A1" w14:textId="77777777" w:rsidR="00FA6A64" w:rsidRDefault="00FA6A64" w:rsidP="00FA6A64">
      <w:pPr>
        <w:pStyle w:val="FootnoteText"/>
      </w:pPr>
    </w:p>
  </w:footnote>
  <w:footnote w:id="13">
    <w:p w14:paraId="5E627D89" w14:textId="77777777" w:rsidR="00FA6A64" w:rsidRDefault="00FA6A64" w:rsidP="00FA6A64">
      <w:pPr>
        <w:pStyle w:val="FootnoteText"/>
      </w:pPr>
      <w:r>
        <w:rPr>
          <w:rStyle w:val="FootnoteReference"/>
        </w:rPr>
        <w:footnoteRef/>
      </w:r>
      <w:r>
        <w:t xml:space="preserve"> Ibid </w:t>
      </w:r>
    </w:p>
  </w:footnote>
  <w:footnote w:id="14">
    <w:p w14:paraId="0376C6A4" w14:textId="77777777" w:rsidR="00FA6A64" w:rsidRDefault="00FA6A64" w:rsidP="00FA6A64">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C56"/>
    <w:multiLevelType w:val="multilevel"/>
    <w:tmpl w:val="6FBC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57E02"/>
    <w:multiLevelType w:val="multilevel"/>
    <w:tmpl w:val="F39C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61D3B"/>
    <w:multiLevelType w:val="multilevel"/>
    <w:tmpl w:val="270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527FE"/>
    <w:multiLevelType w:val="hybridMultilevel"/>
    <w:tmpl w:val="8F7C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4344A"/>
    <w:multiLevelType w:val="multilevel"/>
    <w:tmpl w:val="716C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71795C"/>
    <w:multiLevelType w:val="multilevel"/>
    <w:tmpl w:val="366C3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B73E51"/>
    <w:multiLevelType w:val="multilevel"/>
    <w:tmpl w:val="C318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F15D8"/>
    <w:multiLevelType w:val="multilevel"/>
    <w:tmpl w:val="4AEC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lvlOverride w:ilvl="0">
      <w:lvl w:ilvl="0">
        <w:numFmt w:val="decimal"/>
        <w:lvlText w:val="%1."/>
        <w:lvlJc w:val="left"/>
      </w:lvl>
    </w:lvlOverride>
  </w:num>
  <w:num w:numId="4">
    <w:abstractNumId w:val="6"/>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9D"/>
    <w:rsid w:val="00011344"/>
    <w:rsid w:val="00012261"/>
    <w:rsid w:val="00037851"/>
    <w:rsid w:val="0004253A"/>
    <w:rsid w:val="000463D4"/>
    <w:rsid w:val="00067289"/>
    <w:rsid w:val="000903B9"/>
    <w:rsid w:val="00097A19"/>
    <w:rsid w:val="000B7D6B"/>
    <w:rsid w:val="000F7B6E"/>
    <w:rsid w:val="00101573"/>
    <w:rsid w:val="00102C40"/>
    <w:rsid w:val="0011592E"/>
    <w:rsid w:val="00131CD7"/>
    <w:rsid w:val="001510EA"/>
    <w:rsid w:val="00154C59"/>
    <w:rsid w:val="00165852"/>
    <w:rsid w:val="00173E10"/>
    <w:rsid w:val="001858FF"/>
    <w:rsid w:val="00192C97"/>
    <w:rsid w:val="001A517A"/>
    <w:rsid w:val="00220EAC"/>
    <w:rsid w:val="00230AD0"/>
    <w:rsid w:val="002338B4"/>
    <w:rsid w:val="002431E3"/>
    <w:rsid w:val="00245E09"/>
    <w:rsid w:val="00252949"/>
    <w:rsid w:val="0026717C"/>
    <w:rsid w:val="00267B21"/>
    <w:rsid w:val="00274DB7"/>
    <w:rsid w:val="002A2B2A"/>
    <w:rsid w:val="002D0A9F"/>
    <w:rsid w:val="002D2C94"/>
    <w:rsid w:val="002E0F79"/>
    <w:rsid w:val="00303321"/>
    <w:rsid w:val="003153A1"/>
    <w:rsid w:val="00343B16"/>
    <w:rsid w:val="0034488D"/>
    <w:rsid w:val="00360D93"/>
    <w:rsid w:val="003778EE"/>
    <w:rsid w:val="00390E94"/>
    <w:rsid w:val="003D2E78"/>
    <w:rsid w:val="003D41F2"/>
    <w:rsid w:val="003D5B9D"/>
    <w:rsid w:val="004113DE"/>
    <w:rsid w:val="004140CF"/>
    <w:rsid w:val="004304F1"/>
    <w:rsid w:val="004B0F3D"/>
    <w:rsid w:val="004B62BC"/>
    <w:rsid w:val="004F2AA0"/>
    <w:rsid w:val="004F4295"/>
    <w:rsid w:val="004F5B67"/>
    <w:rsid w:val="004F7507"/>
    <w:rsid w:val="0050081A"/>
    <w:rsid w:val="00517F8F"/>
    <w:rsid w:val="00532D02"/>
    <w:rsid w:val="0056351A"/>
    <w:rsid w:val="005A419F"/>
    <w:rsid w:val="005D3449"/>
    <w:rsid w:val="00602F72"/>
    <w:rsid w:val="00610167"/>
    <w:rsid w:val="00630152"/>
    <w:rsid w:val="00640877"/>
    <w:rsid w:val="00644E50"/>
    <w:rsid w:val="006A665F"/>
    <w:rsid w:val="006D276A"/>
    <w:rsid w:val="006D2DD3"/>
    <w:rsid w:val="006D74D2"/>
    <w:rsid w:val="00710E45"/>
    <w:rsid w:val="00745650"/>
    <w:rsid w:val="0075303B"/>
    <w:rsid w:val="00755D09"/>
    <w:rsid w:val="007A2BA4"/>
    <w:rsid w:val="007A440B"/>
    <w:rsid w:val="007D3D41"/>
    <w:rsid w:val="007E35B9"/>
    <w:rsid w:val="0080386F"/>
    <w:rsid w:val="0080542A"/>
    <w:rsid w:val="0080690E"/>
    <w:rsid w:val="00813A28"/>
    <w:rsid w:val="008174BE"/>
    <w:rsid w:val="00834097"/>
    <w:rsid w:val="00843108"/>
    <w:rsid w:val="00846086"/>
    <w:rsid w:val="0085192E"/>
    <w:rsid w:val="0085253C"/>
    <w:rsid w:val="00853BDF"/>
    <w:rsid w:val="00857848"/>
    <w:rsid w:val="00862E66"/>
    <w:rsid w:val="00872868"/>
    <w:rsid w:val="00890A0F"/>
    <w:rsid w:val="008940CE"/>
    <w:rsid w:val="008A09DE"/>
    <w:rsid w:val="008A22A0"/>
    <w:rsid w:val="008A689A"/>
    <w:rsid w:val="008C5410"/>
    <w:rsid w:val="008C5DE7"/>
    <w:rsid w:val="008C6AA2"/>
    <w:rsid w:val="008D59FF"/>
    <w:rsid w:val="008D754E"/>
    <w:rsid w:val="009043D3"/>
    <w:rsid w:val="00910994"/>
    <w:rsid w:val="00940905"/>
    <w:rsid w:val="009418DC"/>
    <w:rsid w:val="009627FD"/>
    <w:rsid w:val="009833DB"/>
    <w:rsid w:val="00984526"/>
    <w:rsid w:val="00991D93"/>
    <w:rsid w:val="009A349D"/>
    <w:rsid w:val="009B10A0"/>
    <w:rsid w:val="009C2197"/>
    <w:rsid w:val="009E0100"/>
    <w:rsid w:val="00A216EA"/>
    <w:rsid w:val="00A33399"/>
    <w:rsid w:val="00A37972"/>
    <w:rsid w:val="00A4245D"/>
    <w:rsid w:val="00A57129"/>
    <w:rsid w:val="00A711A2"/>
    <w:rsid w:val="00A857E5"/>
    <w:rsid w:val="00A96B5B"/>
    <w:rsid w:val="00AA0A08"/>
    <w:rsid w:val="00AA1D03"/>
    <w:rsid w:val="00B06574"/>
    <w:rsid w:val="00B50214"/>
    <w:rsid w:val="00B63F30"/>
    <w:rsid w:val="00B8101E"/>
    <w:rsid w:val="00B85002"/>
    <w:rsid w:val="00B91F0D"/>
    <w:rsid w:val="00B97ABC"/>
    <w:rsid w:val="00BB2010"/>
    <w:rsid w:val="00BC5C7A"/>
    <w:rsid w:val="00BD5D6C"/>
    <w:rsid w:val="00BE15C0"/>
    <w:rsid w:val="00BE1E6B"/>
    <w:rsid w:val="00BE651C"/>
    <w:rsid w:val="00BF0F5D"/>
    <w:rsid w:val="00C1422E"/>
    <w:rsid w:val="00C258DF"/>
    <w:rsid w:val="00C56153"/>
    <w:rsid w:val="00C57060"/>
    <w:rsid w:val="00C62E2C"/>
    <w:rsid w:val="00C63027"/>
    <w:rsid w:val="00C74BA5"/>
    <w:rsid w:val="00C915D5"/>
    <w:rsid w:val="00CA0CED"/>
    <w:rsid w:val="00CA1D93"/>
    <w:rsid w:val="00CA44ED"/>
    <w:rsid w:val="00CA6937"/>
    <w:rsid w:val="00CA696F"/>
    <w:rsid w:val="00CD17FB"/>
    <w:rsid w:val="00CD6239"/>
    <w:rsid w:val="00CD7EA8"/>
    <w:rsid w:val="00CE62CC"/>
    <w:rsid w:val="00D10774"/>
    <w:rsid w:val="00D125A2"/>
    <w:rsid w:val="00D2096C"/>
    <w:rsid w:val="00D26229"/>
    <w:rsid w:val="00D566D3"/>
    <w:rsid w:val="00D64229"/>
    <w:rsid w:val="00D74712"/>
    <w:rsid w:val="00D83DCC"/>
    <w:rsid w:val="00D9097C"/>
    <w:rsid w:val="00DA39F6"/>
    <w:rsid w:val="00DD348D"/>
    <w:rsid w:val="00DD6686"/>
    <w:rsid w:val="00DE1077"/>
    <w:rsid w:val="00DF56EB"/>
    <w:rsid w:val="00DF6D46"/>
    <w:rsid w:val="00E135CF"/>
    <w:rsid w:val="00E2531D"/>
    <w:rsid w:val="00E34F3E"/>
    <w:rsid w:val="00E442F0"/>
    <w:rsid w:val="00E613DD"/>
    <w:rsid w:val="00E62F2F"/>
    <w:rsid w:val="00E763DF"/>
    <w:rsid w:val="00EA488C"/>
    <w:rsid w:val="00EB7686"/>
    <w:rsid w:val="00EC60C0"/>
    <w:rsid w:val="00ED1BC7"/>
    <w:rsid w:val="00EE1EB1"/>
    <w:rsid w:val="00EF128D"/>
    <w:rsid w:val="00F02EF7"/>
    <w:rsid w:val="00F06746"/>
    <w:rsid w:val="00F24FE1"/>
    <w:rsid w:val="00F42221"/>
    <w:rsid w:val="00F47ACC"/>
    <w:rsid w:val="00F8218E"/>
    <w:rsid w:val="00F8518D"/>
    <w:rsid w:val="00FA6A64"/>
    <w:rsid w:val="00FB7EB0"/>
    <w:rsid w:val="00FE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7694"/>
  <w15:chartTrackingRefBased/>
  <w15:docId w15:val="{8FCAD869-551C-43B5-AEA6-0C0E1B4D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1E"/>
  </w:style>
  <w:style w:type="paragraph" w:styleId="Heading1">
    <w:name w:val="heading 1"/>
    <w:basedOn w:val="Normal"/>
    <w:link w:val="Heading1Char"/>
    <w:uiPriority w:val="9"/>
    <w:qFormat/>
    <w:rsid w:val="00FA6A6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E94"/>
  </w:style>
  <w:style w:type="paragraph" w:styleId="Footer">
    <w:name w:val="footer"/>
    <w:basedOn w:val="Normal"/>
    <w:link w:val="FooterChar"/>
    <w:uiPriority w:val="99"/>
    <w:unhideWhenUsed/>
    <w:rsid w:val="00390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E94"/>
  </w:style>
  <w:style w:type="paragraph" w:styleId="ListParagraph">
    <w:name w:val="List Paragraph"/>
    <w:basedOn w:val="Normal"/>
    <w:uiPriority w:val="34"/>
    <w:qFormat/>
    <w:rsid w:val="00C915D5"/>
    <w:pPr>
      <w:ind w:left="720"/>
      <w:contextualSpacing/>
    </w:pPr>
  </w:style>
  <w:style w:type="paragraph" w:styleId="NormalWeb">
    <w:name w:val="Normal (Web)"/>
    <w:basedOn w:val="Normal"/>
    <w:uiPriority w:val="99"/>
    <w:unhideWhenUsed/>
    <w:rsid w:val="00101573"/>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644E50"/>
    <w:pPr>
      <w:spacing w:after="0" w:line="240" w:lineRule="auto"/>
    </w:pPr>
    <w:rPr>
      <w:rFonts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EB0"/>
    <w:rPr>
      <w:color w:val="0000FF"/>
      <w:u w:val="single"/>
    </w:rPr>
  </w:style>
  <w:style w:type="paragraph" w:customStyle="1" w:styleId="c2">
    <w:name w:val="c2"/>
    <w:basedOn w:val="Normal"/>
    <w:rsid w:val="007A2BA4"/>
    <w:pPr>
      <w:spacing w:before="100" w:beforeAutospacing="1" w:after="100" w:afterAutospacing="1" w:line="240" w:lineRule="auto"/>
    </w:pPr>
    <w:rPr>
      <w:rFonts w:eastAsia="Times New Roman" w:cs="Times New Roman"/>
      <w:szCs w:val="24"/>
    </w:rPr>
  </w:style>
  <w:style w:type="character" w:customStyle="1" w:styleId="c1">
    <w:name w:val="c1"/>
    <w:basedOn w:val="DefaultParagraphFont"/>
    <w:rsid w:val="007A2BA4"/>
  </w:style>
  <w:style w:type="character" w:customStyle="1" w:styleId="Heading1Char">
    <w:name w:val="Heading 1 Char"/>
    <w:basedOn w:val="DefaultParagraphFont"/>
    <w:link w:val="Heading1"/>
    <w:uiPriority w:val="9"/>
    <w:rsid w:val="00FA6A64"/>
    <w:rPr>
      <w:rFonts w:eastAsia="Times New Roman" w:cs="Times New Roman"/>
      <w:b/>
      <w:bCs/>
      <w:kern w:val="36"/>
      <w:sz w:val="48"/>
      <w:szCs w:val="48"/>
    </w:rPr>
  </w:style>
  <w:style w:type="paragraph" w:styleId="FootnoteText">
    <w:name w:val="footnote text"/>
    <w:basedOn w:val="Normal"/>
    <w:link w:val="FootnoteTextChar"/>
    <w:uiPriority w:val="99"/>
    <w:semiHidden/>
    <w:unhideWhenUsed/>
    <w:rsid w:val="00FA6A6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A6A64"/>
    <w:rPr>
      <w:rFonts w:asciiTheme="minorHAnsi" w:hAnsiTheme="minorHAnsi"/>
      <w:sz w:val="20"/>
      <w:szCs w:val="20"/>
    </w:rPr>
  </w:style>
  <w:style w:type="character" w:styleId="FootnoteReference">
    <w:name w:val="footnote reference"/>
    <w:basedOn w:val="DefaultParagraphFont"/>
    <w:uiPriority w:val="99"/>
    <w:semiHidden/>
    <w:unhideWhenUsed/>
    <w:rsid w:val="00FA6A64"/>
    <w:rPr>
      <w:vertAlign w:val="superscript"/>
    </w:rPr>
  </w:style>
  <w:style w:type="character" w:styleId="Strong">
    <w:name w:val="Strong"/>
    <w:basedOn w:val="DefaultParagraphFont"/>
    <w:uiPriority w:val="22"/>
    <w:qFormat/>
    <w:rsid w:val="00FA6A64"/>
    <w:rPr>
      <w:b/>
      <w:bCs/>
    </w:rPr>
  </w:style>
  <w:style w:type="character" w:styleId="Emphasis">
    <w:name w:val="Emphasis"/>
    <w:basedOn w:val="DefaultParagraphFont"/>
    <w:uiPriority w:val="20"/>
    <w:qFormat/>
    <w:rsid w:val="00FA6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598">
      <w:bodyDiv w:val="1"/>
      <w:marLeft w:val="0"/>
      <w:marRight w:val="0"/>
      <w:marTop w:val="0"/>
      <w:marBottom w:val="0"/>
      <w:divBdr>
        <w:top w:val="none" w:sz="0" w:space="0" w:color="auto"/>
        <w:left w:val="none" w:sz="0" w:space="0" w:color="auto"/>
        <w:bottom w:val="none" w:sz="0" w:space="0" w:color="auto"/>
        <w:right w:val="none" w:sz="0" w:space="0" w:color="auto"/>
      </w:divBdr>
    </w:div>
    <w:div w:id="162210224">
      <w:bodyDiv w:val="1"/>
      <w:marLeft w:val="0"/>
      <w:marRight w:val="0"/>
      <w:marTop w:val="0"/>
      <w:marBottom w:val="0"/>
      <w:divBdr>
        <w:top w:val="none" w:sz="0" w:space="0" w:color="auto"/>
        <w:left w:val="none" w:sz="0" w:space="0" w:color="auto"/>
        <w:bottom w:val="none" w:sz="0" w:space="0" w:color="auto"/>
        <w:right w:val="none" w:sz="0" w:space="0" w:color="auto"/>
      </w:divBdr>
    </w:div>
    <w:div w:id="396175028">
      <w:bodyDiv w:val="1"/>
      <w:marLeft w:val="0"/>
      <w:marRight w:val="0"/>
      <w:marTop w:val="0"/>
      <w:marBottom w:val="0"/>
      <w:divBdr>
        <w:top w:val="none" w:sz="0" w:space="0" w:color="auto"/>
        <w:left w:val="none" w:sz="0" w:space="0" w:color="auto"/>
        <w:bottom w:val="none" w:sz="0" w:space="0" w:color="auto"/>
        <w:right w:val="none" w:sz="0" w:space="0" w:color="auto"/>
      </w:divBdr>
    </w:div>
    <w:div w:id="423456127">
      <w:bodyDiv w:val="1"/>
      <w:marLeft w:val="0"/>
      <w:marRight w:val="0"/>
      <w:marTop w:val="0"/>
      <w:marBottom w:val="0"/>
      <w:divBdr>
        <w:top w:val="none" w:sz="0" w:space="0" w:color="auto"/>
        <w:left w:val="none" w:sz="0" w:space="0" w:color="auto"/>
        <w:bottom w:val="none" w:sz="0" w:space="0" w:color="auto"/>
        <w:right w:val="none" w:sz="0" w:space="0" w:color="auto"/>
      </w:divBdr>
    </w:div>
    <w:div w:id="958688006">
      <w:bodyDiv w:val="1"/>
      <w:marLeft w:val="0"/>
      <w:marRight w:val="0"/>
      <w:marTop w:val="0"/>
      <w:marBottom w:val="0"/>
      <w:divBdr>
        <w:top w:val="none" w:sz="0" w:space="0" w:color="auto"/>
        <w:left w:val="none" w:sz="0" w:space="0" w:color="auto"/>
        <w:bottom w:val="none" w:sz="0" w:space="0" w:color="auto"/>
        <w:right w:val="none" w:sz="0" w:space="0" w:color="auto"/>
      </w:divBdr>
    </w:div>
    <w:div w:id="958989880">
      <w:bodyDiv w:val="1"/>
      <w:marLeft w:val="0"/>
      <w:marRight w:val="0"/>
      <w:marTop w:val="0"/>
      <w:marBottom w:val="0"/>
      <w:divBdr>
        <w:top w:val="none" w:sz="0" w:space="0" w:color="auto"/>
        <w:left w:val="none" w:sz="0" w:space="0" w:color="auto"/>
        <w:bottom w:val="none" w:sz="0" w:space="0" w:color="auto"/>
        <w:right w:val="none" w:sz="0" w:space="0" w:color="auto"/>
      </w:divBdr>
    </w:div>
    <w:div w:id="13901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reme.justia.com/cases/federal/us/476/7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valon.law.yale.edu/18th_century/jay.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e/2PACX-1vT2Xbbr-91QkFprPidNaTk9fWEDHIWWukpsbrwjmTO52YCBP6lrAvlLQ2XTRAYEEjceaXUyZWwseaNd/pub" TargetMode="External"/><Relationship Id="rId5" Type="http://schemas.openxmlformats.org/officeDocument/2006/relationships/webSettings" Target="webSettings.xml"/><Relationship Id="rId15" Type="http://schemas.openxmlformats.org/officeDocument/2006/relationships/hyperlink" Target="http://www.aim-west.org/" TargetMode="External"/><Relationship Id="rId10" Type="http://schemas.openxmlformats.org/officeDocument/2006/relationships/hyperlink" Target="https://www.ourdocuments.gov/doc.php?flash=false&amp;doc=26&amp;page=transcript" TargetMode="External"/><Relationship Id="rId4" Type="http://schemas.openxmlformats.org/officeDocument/2006/relationships/settings" Target="settings.xml"/><Relationship Id="rId9" Type="http://schemas.openxmlformats.org/officeDocument/2006/relationships/hyperlink" Target="mailto:ohchr-expertmechanism@un.org" TargetMode="External"/><Relationship Id="rId14" Type="http://schemas.openxmlformats.org/officeDocument/2006/relationships/hyperlink" Target="https://law.justia.com/cases/federal/district-courts/FSupp/649/269/1631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D3AC-5B57-4FD3-B41F-BF810F69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11</Pages>
  <Words>5882</Words>
  <Characters>33532</Characters>
  <Application>Microsoft Office Word</Application>
  <DocSecurity>0</DocSecurity>
  <Lines>279</Lines>
  <Paragraphs>78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United States v. Abeyta, 632 F. Supp. 1301 (D.N.M. 1986) US District Court for t</vt:lpstr>
      <vt:lpstr>The United States v. Abeyta case involved issues of religious freedom and protec</vt:lpstr>
      <vt:lpstr>Defendant Abeyta, a member of the Isleta Pueblo, was charged with violating The </vt:lpstr>
      <vt:lpstr>The court was unequivocal in its language and stated firmly that the Treaty of G</vt:lpstr>
      <vt:lpstr>“The court agrees that the Treaty of Guadalupe Hidalgo did confirm and perpetuat</vt:lpstr>
      <vt:lpstr>The District Court goes on to state:</vt:lpstr>
      <vt:lpstr>However, in Havasupai Tribe v. United States, 752 F. Supp. 1471 (D. Ariz. 1990),</vt:lpstr>
    </vt:vector>
  </TitlesOfParts>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Hernandez</dc:creator>
  <cp:keywords/>
  <dc:description/>
  <cp:lastModifiedBy>Armando Rendon</cp:lastModifiedBy>
  <cp:revision>18</cp:revision>
  <dcterms:created xsi:type="dcterms:W3CDTF">2022-01-30T00:47:00Z</dcterms:created>
  <dcterms:modified xsi:type="dcterms:W3CDTF">2022-01-31T04:07:00Z</dcterms:modified>
</cp:coreProperties>
</file>