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92E3" w14:textId="09956CB2" w:rsidR="00193BA0" w:rsidRPr="003D2856" w:rsidRDefault="002963BC">
      <w:pPr>
        <w:ind w:left="-283" w:right="-294"/>
        <w:jc w:val="both"/>
        <w:rPr>
          <w:rFonts w:ascii="Gill Sans MT" w:eastAsia="Gill Sans" w:hAnsi="Gill Sans MT" w:cs="Gill Sans"/>
        </w:rPr>
      </w:pPr>
      <w:r w:rsidRPr="003D2856">
        <w:rPr>
          <w:rFonts w:ascii="Gill Sans MT" w:hAnsi="Gill Sans MT"/>
          <w:noProof/>
        </w:rPr>
        <w:drawing>
          <wp:anchor distT="114300" distB="114300" distL="114300" distR="114300" simplePos="0" relativeHeight="251660288" behindDoc="0" locked="0" layoutInCell="1" hidden="0" allowOverlap="1" wp14:anchorId="1B37883E" wp14:editId="73C2BE48">
            <wp:simplePos x="0" y="0"/>
            <wp:positionH relativeFrom="column">
              <wp:posOffset>2457450</wp:posOffset>
            </wp:positionH>
            <wp:positionV relativeFrom="paragraph">
              <wp:posOffset>182</wp:posOffset>
            </wp:positionV>
            <wp:extent cx="1624013" cy="87784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24013" cy="877845"/>
                    </a:xfrm>
                    <a:prstGeom prst="rect">
                      <a:avLst/>
                    </a:prstGeom>
                    <a:ln/>
                  </pic:spPr>
                </pic:pic>
              </a:graphicData>
            </a:graphic>
          </wp:anchor>
        </w:drawing>
      </w:r>
      <w:r w:rsidR="00187CED" w:rsidRPr="003D2856">
        <w:rPr>
          <w:rFonts w:ascii="Gill Sans MT" w:hAnsi="Gill Sans MT"/>
          <w:noProof/>
        </w:rPr>
        <w:drawing>
          <wp:anchor distT="114300" distB="114300" distL="114300" distR="114300" simplePos="0" relativeHeight="251658240" behindDoc="0" locked="0" layoutInCell="1" hidden="0" allowOverlap="1" wp14:anchorId="3AC60A95" wp14:editId="5A90DA9B">
            <wp:simplePos x="0" y="0"/>
            <wp:positionH relativeFrom="column">
              <wp:posOffset>114300</wp:posOffset>
            </wp:positionH>
            <wp:positionV relativeFrom="paragraph">
              <wp:posOffset>114300</wp:posOffset>
            </wp:positionV>
            <wp:extent cx="2114550" cy="61820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14550" cy="618207"/>
                    </a:xfrm>
                    <a:prstGeom prst="rect">
                      <a:avLst/>
                    </a:prstGeom>
                    <a:ln/>
                  </pic:spPr>
                </pic:pic>
              </a:graphicData>
            </a:graphic>
          </wp:anchor>
        </w:drawing>
      </w:r>
      <w:r w:rsidR="00187CED" w:rsidRPr="003D2856">
        <w:rPr>
          <w:rFonts w:ascii="Gill Sans MT" w:hAnsi="Gill Sans MT"/>
          <w:noProof/>
        </w:rPr>
        <w:drawing>
          <wp:anchor distT="114300" distB="114300" distL="114300" distR="114300" simplePos="0" relativeHeight="251659264" behindDoc="0" locked="0" layoutInCell="1" hidden="0" allowOverlap="1" wp14:anchorId="021F5C68" wp14:editId="573E9912">
            <wp:simplePos x="0" y="0"/>
            <wp:positionH relativeFrom="column">
              <wp:posOffset>4269112</wp:posOffset>
            </wp:positionH>
            <wp:positionV relativeFrom="paragraph">
              <wp:posOffset>114300</wp:posOffset>
            </wp:positionV>
            <wp:extent cx="1576388" cy="102962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76388" cy="1029622"/>
                    </a:xfrm>
                    <a:prstGeom prst="rect">
                      <a:avLst/>
                    </a:prstGeom>
                    <a:ln/>
                  </pic:spPr>
                </pic:pic>
              </a:graphicData>
            </a:graphic>
          </wp:anchor>
        </w:drawing>
      </w:r>
    </w:p>
    <w:p w14:paraId="7DBBE381" w14:textId="77777777" w:rsidR="00193BA0" w:rsidRPr="003D2856" w:rsidRDefault="00193BA0">
      <w:pPr>
        <w:ind w:left="-283" w:right="-294"/>
        <w:rPr>
          <w:rFonts w:ascii="Gill Sans MT" w:eastAsia="Gill Sans" w:hAnsi="Gill Sans MT" w:cs="Gill Sans"/>
        </w:rPr>
      </w:pPr>
    </w:p>
    <w:p w14:paraId="2C13D249" w14:textId="77777777" w:rsidR="00193BA0" w:rsidRPr="003D2856" w:rsidRDefault="00193BA0">
      <w:pPr>
        <w:ind w:left="-283" w:right="-294"/>
        <w:rPr>
          <w:rFonts w:ascii="Gill Sans MT" w:eastAsia="Gill Sans" w:hAnsi="Gill Sans MT" w:cs="Gill Sans"/>
        </w:rPr>
      </w:pPr>
    </w:p>
    <w:p w14:paraId="0F770F44" w14:textId="77777777" w:rsidR="00193BA0" w:rsidRPr="003D2856" w:rsidRDefault="00193BA0">
      <w:pPr>
        <w:ind w:left="-283" w:right="-294"/>
        <w:rPr>
          <w:rFonts w:ascii="Gill Sans MT" w:eastAsia="Gill Sans" w:hAnsi="Gill Sans MT" w:cs="Gill Sans"/>
        </w:rPr>
      </w:pPr>
    </w:p>
    <w:p w14:paraId="659167E3" w14:textId="77777777" w:rsidR="00193BA0" w:rsidRPr="003D2856" w:rsidRDefault="00193BA0">
      <w:pPr>
        <w:ind w:left="-283" w:right="-294"/>
        <w:rPr>
          <w:rFonts w:ascii="Gill Sans MT" w:eastAsia="Gill Sans" w:hAnsi="Gill Sans MT" w:cs="Gill Sans"/>
        </w:rPr>
      </w:pPr>
    </w:p>
    <w:p w14:paraId="164B548C" w14:textId="77777777" w:rsidR="00193BA0" w:rsidRPr="003D2856" w:rsidRDefault="00193BA0">
      <w:pPr>
        <w:ind w:left="-283" w:right="-294"/>
        <w:rPr>
          <w:rFonts w:ascii="Gill Sans MT" w:eastAsia="Gill Sans" w:hAnsi="Gill Sans MT" w:cs="Gill Sans"/>
        </w:rPr>
      </w:pPr>
    </w:p>
    <w:p w14:paraId="62F7339B" w14:textId="77777777" w:rsidR="00193BA0" w:rsidRPr="003D2856" w:rsidRDefault="00193BA0">
      <w:pPr>
        <w:ind w:left="-283" w:right="-294"/>
        <w:rPr>
          <w:rFonts w:ascii="Gill Sans MT" w:eastAsia="Gill Sans" w:hAnsi="Gill Sans MT" w:cs="Gill Sans"/>
        </w:rPr>
      </w:pPr>
    </w:p>
    <w:p w14:paraId="4083BCB7" w14:textId="77777777" w:rsidR="00193BA0" w:rsidRPr="003D2856" w:rsidRDefault="00193BA0">
      <w:pPr>
        <w:ind w:left="-283" w:right="-294"/>
        <w:rPr>
          <w:rFonts w:ascii="Gill Sans MT" w:eastAsia="Gill Sans" w:hAnsi="Gill Sans MT" w:cs="Gill Sans"/>
        </w:rPr>
      </w:pPr>
    </w:p>
    <w:p w14:paraId="18EB988B" w14:textId="77777777" w:rsidR="00193BA0" w:rsidRPr="003D2856" w:rsidRDefault="00193BA0">
      <w:pPr>
        <w:ind w:left="-283" w:right="-294"/>
        <w:rPr>
          <w:rFonts w:ascii="Gill Sans MT" w:eastAsia="Gill Sans" w:hAnsi="Gill Sans MT" w:cs="Gill Sans"/>
        </w:rPr>
      </w:pPr>
    </w:p>
    <w:p w14:paraId="2147BABB" w14:textId="77777777" w:rsidR="00193BA0" w:rsidRPr="003D2856" w:rsidRDefault="00193BA0">
      <w:pPr>
        <w:ind w:left="-283" w:right="-294"/>
        <w:rPr>
          <w:rFonts w:ascii="Gill Sans MT" w:eastAsia="Gill Sans" w:hAnsi="Gill Sans MT" w:cs="Gill Sans"/>
        </w:rPr>
      </w:pPr>
    </w:p>
    <w:p w14:paraId="57D34E2E" w14:textId="77777777" w:rsidR="00193BA0" w:rsidRPr="003D2856" w:rsidRDefault="00193BA0">
      <w:pPr>
        <w:ind w:left="-283" w:right="-294"/>
        <w:rPr>
          <w:rFonts w:ascii="Gill Sans MT" w:eastAsia="Gill Sans" w:hAnsi="Gill Sans MT" w:cs="Gill Sans"/>
        </w:rPr>
      </w:pPr>
    </w:p>
    <w:p w14:paraId="606B2808" w14:textId="77777777" w:rsidR="00193BA0" w:rsidRPr="003D2856" w:rsidRDefault="00193BA0">
      <w:pPr>
        <w:ind w:left="-283" w:right="-294"/>
        <w:rPr>
          <w:rFonts w:ascii="Gill Sans MT" w:eastAsia="Gill Sans" w:hAnsi="Gill Sans MT" w:cs="Gill Sans"/>
        </w:rPr>
      </w:pPr>
    </w:p>
    <w:p w14:paraId="09EB9546" w14:textId="77777777" w:rsidR="00193BA0" w:rsidRPr="003D2856" w:rsidRDefault="00193BA0">
      <w:pPr>
        <w:ind w:left="-283" w:right="-294"/>
        <w:rPr>
          <w:rFonts w:ascii="Gill Sans MT" w:eastAsia="Gill Sans" w:hAnsi="Gill Sans MT" w:cs="Gill Sans"/>
        </w:rPr>
      </w:pPr>
    </w:p>
    <w:p w14:paraId="2DCA5428" w14:textId="77777777" w:rsidR="00193BA0" w:rsidRPr="003D2856" w:rsidRDefault="00193BA0">
      <w:pPr>
        <w:ind w:left="-283" w:right="-294"/>
        <w:rPr>
          <w:rFonts w:ascii="Gill Sans MT" w:eastAsia="Gill Sans" w:hAnsi="Gill Sans MT" w:cs="Gill Sans"/>
        </w:rPr>
      </w:pPr>
    </w:p>
    <w:p w14:paraId="460B3F13" w14:textId="77777777" w:rsidR="00193BA0" w:rsidRPr="003D2856" w:rsidRDefault="00193BA0">
      <w:pPr>
        <w:ind w:left="-283" w:right="-294"/>
        <w:rPr>
          <w:rFonts w:ascii="Gill Sans MT" w:eastAsia="Gill Sans" w:hAnsi="Gill Sans MT" w:cs="Gill Sans"/>
        </w:rPr>
      </w:pPr>
    </w:p>
    <w:p w14:paraId="387F8CC0" w14:textId="77777777" w:rsidR="00193BA0" w:rsidRPr="003D2856" w:rsidRDefault="00193BA0">
      <w:pPr>
        <w:ind w:left="-283" w:right="-294"/>
        <w:rPr>
          <w:rFonts w:ascii="Gill Sans MT" w:eastAsia="Gill Sans" w:hAnsi="Gill Sans MT" w:cs="Gill Sans"/>
        </w:rPr>
      </w:pPr>
    </w:p>
    <w:p w14:paraId="10477B38" w14:textId="77777777" w:rsidR="00193BA0" w:rsidRPr="003D2856" w:rsidRDefault="00193BA0">
      <w:pPr>
        <w:ind w:left="-283" w:right="-294"/>
        <w:rPr>
          <w:rFonts w:ascii="Gill Sans MT" w:eastAsia="Gill Sans" w:hAnsi="Gill Sans MT" w:cs="Gill Sans"/>
        </w:rPr>
      </w:pPr>
    </w:p>
    <w:p w14:paraId="214EC22D" w14:textId="77777777" w:rsidR="00193BA0" w:rsidRPr="003D2856" w:rsidRDefault="00193BA0">
      <w:pPr>
        <w:ind w:left="-283" w:right="-294"/>
        <w:rPr>
          <w:rFonts w:ascii="Gill Sans MT" w:eastAsia="Gill Sans" w:hAnsi="Gill Sans MT" w:cs="Gill Sans"/>
        </w:rPr>
      </w:pPr>
    </w:p>
    <w:p w14:paraId="657BFFFA" w14:textId="77777777" w:rsidR="00193BA0" w:rsidRPr="003D2856" w:rsidRDefault="00187CED">
      <w:pPr>
        <w:pStyle w:val="Title"/>
        <w:keepNext w:val="0"/>
        <w:keepLines w:val="0"/>
        <w:shd w:val="clear" w:color="auto" w:fill="FFFFFF"/>
        <w:spacing w:before="280" w:line="335" w:lineRule="auto"/>
        <w:ind w:left="-283" w:right="-294"/>
        <w:rPr>
          <w:rFonts w:ascii="Gill Sans MT" w:eastAsia="Gill Sans" w:hAnsi="Gill Sans MT" w:cs="Gill Sans"/>
          <w:b/>
          <w:sz w:val="38"/>
          <w:szCs w:val="38"/>
        </w:rPr>
      </w:pPr>
      <w:bookmarkStart w:id="0" w:name="_6syewkhznsss" w:colFirst="0" w:colLast="0"/>
      <w:bookmarkEnd w:id="0"/>
      <w:r w:rsidRPr="003D2856">
        <w:rPr>
          <w:rFonts w:ascii="Gill Sans MT" w:eastAsia="Gill Sans" w:hAnsi="Gill Sans MT" w:cs="Gill Sans"/>
          <w:b/>
          <w:sz w:val="38"/>
          <w:szCs w:val="38"/>
        </w:rPr>
        <w:t>Treaties, Agreements and Other Constructive Arrangements between Indigenous peoples and States</w:t>
      </w:r>
    </w:p>
    <w:p w14:paraId="61180C89" w14:textId="77777777" w:rsidR="00193BA0" w:rsidRPr="003D2856" w:rsidRDefault="00187CED">
      <w:pPr>
        <w:pStyle w:val="Title"/>
        <w:keepNext w:val="0"/>
        <w:keepLines w:val="0"/>
        <w:shd w:val="clear" w:color="auto" w:fill="FFFFFF"/>
        <w:spacing w:before="280" w:line="335" w:lineRule="auto"/>
        <w:ind w:left="-283" w:right="-294"/>
        <w:rPr>
          <w:rFonts w:ascii="Gill Sans MT" w:eastAsia="Gill Sans" w:hAnsi="Gill Sans MT" w:cs="Gill Sans"/>
          <w:i/>
          <w:sz w:val="32"/>
          <w:szCs w:val="32"/>
        </w:rPr>
      </w:pPr>
      <w:bookmarkStart w:id="1" w:name="_nbo6pibhe7b0" w:colFirst="0" w:colLast="0"/>
      <w:bookmarkEnd w:id="1"/>
      <w:r w:rsidRPr="003D2856">
        <w:rPr>
          <w:rFonts w:ascii="Gill Sans MT" w:eastAsia="Gill Sans" w:hAnsi="Gill Sans MT" w:cs="Gill Sans"/>
          <w:i/>
          <w:sz w:val="32"/>
          <w:szCs w:val="32"/>
        </w:rPr>
        <w:t>Submission to the Expert Mechanism on the rights of Indigenous peoples</w:t>
      </w:r>
    </w:p>
    <w:p w14:paraId="72A5C121" w14:textId="77777777" w:rsidR="00193BA0" w:rsidRPr="003D2856" w:rsidRDefault="00193BA0">
      <w:pPr>
        <w:ind w:left="-283" w:right="-294"/>
        <w:rPr>
          <w:rFonts w:ascii="Gill Sans MT" w:eastAsia="Gill Sans" w:hAnsi="Gill Sans MT" w:cs="Gill Sans"/>
          <w:b/>
          <w:sz w:val="24"/>
          <w:szCs w:val="24"/>
        </w:rPr>
      </w:pPr>
    </w:p>
    <w:p w14:paraId="5BEEF544" w14:textId="77777777" w:rsidR="00193BA0" w:rsidRPr="003D2856" w:rsidRDefault="00187CED">
      <w:pPr>
        <w:ind w:left="-283" w:right="-294"/>
        <w:rPr>
          <w:rFonts w:ascii="Gill Sans MT" w:eastAsia="Gill Sans" w:hAnsi="Gill Sans MT" w:cs="Gill Sans"/>
          <w:b/>
          <w:sz w:val="26"/>
          <w:szCs w:val="26"/>
        </w:rPr>
      </w:pPr>
      <w:r w:rsidRPr="003D2856">
        <w:rPr>
          <w:rFonts w:ascii="Gill Sans MT" w:eastAsia="Gill Sans" w:hAnsi="Gill Sans MT" w:cs="Gill Sans"/>
          <w:b/>
          <w:sz w:val="26"/>
          <w:szCs w:val="26"/>
        </w:rPr>
        <w:t xml:space="preserve">Castan Centre for Human Rights Law </w:t>
      </w:r>
    </w:p>
    <w:p w14:paraId="7944094B" w14:textId="77777777" w:rsidR="00193BA0" w:rsidRPr="003D2856" w:rsidRDefault="00193BA0">
      <w:pPr>
        <w:ind w:left="-283" w:right="-294"/>
        <w:rPr>
          <w:rFonts w:ascii="Gill Sans MT" w:eastAsia="Gill Sans" w:hAnsi="Gill Sans MT" w:cs="Gill Sans"/>
          <w:b/>
          <w:sz w:val="24"/>
          <w:szCs w:val="24"/>
        </w:rPr>
      </w:pPr>
    </w:p>
    <w:p w14:paraId="4225690C" w14:textId="77777777" w:rsidR="00193BA0" w:rsidRPr="003D2856" w:rsidRDefault="00187CED">
      <w:pPr>
        <w:ind w:left="-283" w:right="-294"/>
        <w:rPr>
          <w:rFonts w:ascii="Gill Sans MT" w:eastAsia="Gill Sans" w:hAnsi="Gill Sans MT" w:cs="Gill Sans"/>
          <w:sz w:val="24"/>
          <w:szCs w:val="24"/>
        </w:rPr>
      </w:pPr>
      <w:r w:rsidRPr="003D2856">
        <w:rPr>
          <w:rFonts w:ascii="Gill Sans MT" w:eastAsia="Gill Sans" w:hAnsi="Gill Sans MT" w:cs="Gill Sans"/>
          <w:sz w:val="24"/>
          <w:szCs w:val="24"/>
        </w:rPr>
        <w:t xml:space="preserve">Prepared by: </w:t>
      </w:r>
    </w:p>
    <w:p w14:paraId="303BD34B" w14:textId="77777777" w:rsidR="00193BA0" w:rsidRPr="003D2856" w:rsidRDefault="00193BA0">
      <w:pPr>
        <w:ind w:left="-283" w:right="-294"/>
        <w:rPr>
          <w:rFonts w:ascii="Gill Sans MT" w:eastAsia="Gill Sans" w:hAnsi="Gill Sans MT" w:cs="Gill Sans"/>
          <w:sz w:val="24"/>
          <w:szCs w:val="24"/>
        </w:rPr>
      </w:pPr>
    </w:p>
    <w:p w14:paraId="22C2A6FA" w14:textId="7284943A" w:rsidR="00C52DAA" w:rsidRDefault="00C52DAA" w:rsidP="00C52DAA">
      <w:pPr>
        <w:spacing w:line="360" w:lineRule="auto"/>
        <w:ind w:left="-283" w:right="-294"/>
        <w:rPr>
          <w:rFonts w:ascii="Gill Sans MT" w:eastAsia="Gill Sans" w:hAnsi="Gill Sans MT" w:cs="Gill Sans"/>
          <w:sz w:val="24"/>
          <w:szCs w:val="24"/>
        </w:rPr>
      </w:pPr>
      <w:r w:rsidRPr="003D2856">
        <w:rPr>
          <w:rFonts w:ascii="Gill Sans MT" w:eastAsia="Gill Sans" w:hAnsi="Gill Sans MT" w:cs="Gill Sans"/>
          <w:sz w:val="24"/>
          <w:szCs w:val="24"/>
        </w:rPr>
        <w:t>Scott Walker, Researcher</w:t>
      </w:r>
    </w:p>
    <w:p w14:paraId="6337640A" w14:textId="77EE0BDA" w:rsidR="00C52DAA" w:rsidRDefault="00C52DAA" w:rsidP="00C52DAA">
      <w:pPr>
        <w:spacing w:line="360" w:lineRule="auto"/>
        <w:ind w:left="-283" w:right="-294"/>
        <w:rPr>
          <w:rFonts w:ascii="Gill Sans MT" w:eastAsia="Gill Sans" w:hAnsi="Gill Sans MT" w:cs="Gill Sans"/>
          <w:sz w:val="24"/>
          <w:szCs w:val="24"/>
        </w:rPr>
      </w:pPr>
      <w:r w:rsidRPr="003D2856">
        <w:rPr>
          <w:rFonts w:ascii="Gill Sans MT" w:eastAsia="Gill Sans" w:hAnsi="Gill Sans MT" w:cs="Gill Sans"/>
          <w:sz w:val="24"/>
          <w:szCs w:val="24"/>
        </w:rPr>
        <w:t>Andrea Olivares Jones, Policy Manager</w:t>
      </w:r>
    </w:p>
    <w:p w14:paraId="798D6B1B" w14:textId="16777179" w:rsidR="00193BA0" w:rsidRDefault="00187CED">
      <w:pPr>
        <w:spacing w:line="360" w:lineRule="auto"/>
        <w:ind w:left="-283" w:right="-294"/>
        <w:rPr>
          <w:rFonts w:ascii="Gill Sans MT" w:eastAsia="Gill Sans" w:hAnsi="Gill Sans MT" w:cs="Gill Sans"/>
          <w:sz w:val="24"/>
          <w:szCs w:val="24"/>
        </w:rPr>
      </w:pPr>
      <w:r w:rsidRPr="003D2856">
        <w:rPr>
          <w:rFonts w:ascii="Gill Sans MT" w:eastAsia="Gill Sans" w:hAnsi="Gill Sans MT" w:cs="Gill Sans"/>
          <w:sz w:val="24"/>
          <w:szCs w:val="24"/>
        </w:rPr>
        <w:t xml:space="preserve">Dr Katie O’Bryan, Academic </w:t>
      </w:r>
    </w:p>
    <w:p w14:paraId="2D0EEC5F" w14:textId="77777777" w:rsidR="00C52DAA" w:rsidRPr="003D2856" w:rsidRDefault="00C52DAA" w:rsidP="00C52DAA">
      <w:pPr>
        <w:spacing w:line="360" w:lineRule="auto"/>
        <w:ind w:left="-283" w:right="-294"/>
        <w:rPr>
          <w:rFonts w:ascii="Gill Sans MT" w:eastAsia="Gill Sans" w:hAnsi="Gill Sans MT" w:cs="Gill Sans"/>
          <w:sz w:val="24"/>
          <w:szCs w:val="24"/>
        </w:rPr>
      </w:pPr>
      <w:r w:rsidRPr="003D2856">
        <w:rPr>
          <w:rFonts w:ascii="Gill Sans MT" w:eastAsia="Gill Sans" w:hAnsi="Gill Sans MT" w:cs="Gill Sans"/>
          <w:sz w:val="24"/>
          <w:szCs w:val="24"/>
        </w:rPr>
        <w:t>Associate Professor Melissa Castan, Academic Director</w:t>
      </w:r>
    </w:p>
    <w:p w14:paraId="23A1AB44" w14:textId="1A88BB44" w:rsidR="00193BA0" w:rsidRPr="003D2856" w:rsidRDefault="00193BA0" w:rsidP="00C52DAA">
      <w:pPr>
        <w:spacing w:line="360" w:lineRule="auto"/>
        <w:ind w:right="-294"/>
        <w:rPr>
          <w:rFonts w:ascii="Gill Sans MT" w:eastAsia="Gill Sans" w:hAnsi="Gill Sans MT" w:cs="Gill Sans"/>
          <w:sz w:val="24"/>
          <w:szCs w:val="24"/>
        </w:rPr>
      </w:pPr>
    </w:p>
    <w:p w14:paraId="0C341949" w14:textId="77777777" w:rsidR="00193BA0" w:rsidRPr="003D2856" w:rsidRDefault="00193BA0">
      <w:pPr>
        <w:spacing w:line="360" w:lineRule="auto"/>
        <w:ind w:left="-283" w:right="-294"/>
        <w:rPr>
          <w:rFonts w:ascii="Gill Sans MT" w:eastAsia="Gill Sans" w:hAnsi="Gill Sans MT" w:cs="Gill Sans"/>
          <w:sz w:val="26"/>
          <w:szCs w:val="26"/>
        </w:rPr>
      </w:pPr>
    </w:p>
    <w:p w14:paraId="45BAC73B" w14:textId="77777777" w:rsidR="00193BA0" w:rsidRPr="003D2856" w:rsidRDefault="00187CED">
      <w:pPr>
        <w:ind w:left="-283" w:right="-294"/>
        <w:rPr>
          <w:rFonts w:ascii="Gill Sans MT" w:eastAsia="Gill Sans" w:hAnsi="Gill Sans MT" w:cs="Gill Sans"/>
          <w:b/>
          <w:sz w:val="28"/>
          <w:szCs w:val="28"/>
        </w:rPr>
      </w:pPr>
      <w:r w:rsidRPr="003D2856">
        <w:rPr>
          <w:rFonts w:ascii="Gill Sans MT" w:eastAsia="Gill Sans" w:hAnsi="Gill Sans MT" w:cs="Gill Sans"/>
          <w:b/>
          <w:sz w:val="28"/>
          <w:szCs w:val="28"/>
        </w:rPr>
        <w:t>January 2022</w:t>
      </w:r>
    </w:p>
    <w:p w14:paraId="297A07BD" w14:textId="77777777" w:rsidR="00193BA0" w:rsidRPr="003D2856" w:rsidRDefault="00193BA0">
      <w:pPr>
        <w:ind w:left="-283" w:right="-294"/>
        <w:rPr>
          <w:rFonts w:ascii="Gill Sans MT" w:eastAsia="Gill Sans" w:hAnsi="Gill Sans MT" w:cs="Gill Sans"/>
          <w:b/>
          <w:sz w:val="28"/>
          <w:szCs w:val="28"/>
        </w:rPr>
      </w:pPr>
    </w:p>
    <w:tbl>
      <w:tblPr>
        <w:tblStyle w:val="TableGrid"/>
        <w:tblW w:w="9639" w:type="dxa"/>
        <w:tblInd w:w="-289" w:type="dxa"/>
        <w:tblLook w:val="04A0" w:firstRow="1" w:lastRow="0" w:firstColumn="1" w:lastColumn="0" w:noHBand="0" w:noVBand="1"/>
      </w:tblPr>
      <w:tblGrid>
        <w:gridCol w:w="9639"/>
      </w:tblGrid>
      <w:tr w:rsidR="002963BC" w14:paraId="522E7CA3" w14:textId="77777777" w:rsidTr="002963BC">
        <w:trPr>
          <w:trHeight w:val="480"/>
        </w:trPr>
        <w:tc>
          <w:tcPr>
            <w:tcW w:w="9639" w:type="dxa"/>
            <w:shd w:val="clear" w:color="auto" w:fill="000000" w:themeFill="text1"/>
          </w:tcPr>
          <w:p w14:paraId="62C59D40" w14:textId="2011874A" w:rsidR="002963BC" w:rsidRPr="002963BC" w:rsidRDefault="002963BC" w:rsidP="002963BC">
            <w:pPr>
              <w:pStyle w:val="Heading1"/>
              <w:numPr>
                <w:ilvl w:val="0"/>
                <w:numId w:val="1"/>
              </w:numPr>
              <w:spacing w:before="120"/>
              <w:ind w:left="-284" w:right="-295" w:firstLine="0"/>
              <w:outlineLvl w:val="0"/>
              <w:rPr>
                <w:rFonts w:ascii="Gill Sans MT" w:eastAsia="Gill Sans" w:hAnsi="Gill Sans MT" w:cs="Gill Sans"/>
              </w:rPr>
            </w:pPr>
            <w:bookmarkStart w:id="2" w:name="_860o4inewp2e" w:colFirst="0" w:colLast="0"/>
            <w:bookmarkEnd w:id="2"/>
            <w:r>
              <w:rPr>
                <w:rFonts w:ascii="Gill Sans MT" w:eastAsia="Gill Sans" w:hAnsi="Gill Sans MT" w:cs="Gill Sans"/>
              </w:rPr>
              <w:lastRenderedPageBreak/>
              <w:t xml:space="preserve">1. </w:t>
            </w:r>
            <w:r w:rsidRPr="003D2856">
              <w:rPr>
                <w:rFonts w:ascii="Gill Sans MT" w:eastAsia="Gill Sans" w:hAnsi="Gill Sans MT" w:cs="Gill Sans"/>
              </w:rPr>
              <w:t xml:space="preserve">Background </w:t>
            </w:r>
          </w:p>
        </w:tc>
      </w:tr>
    </w:tbl>
    <w:p w14:paraId="2B033F90" w14:textId="49BBFCF2" w:rsidR="00FE2321" w:rsidRPr="003D2856" w:rsidRDefault="00187CED" w:rsidP="002963BC">
      <w:pPr>
        <w:spacing w:before="120"/>
        <w:ind w:left="-284" w:right="-295"/>
        <w:jc w:val="both"/>
        <w:rPr>
          <w:rFonts w:ascii="Gill Sans MT" w:eastAsia="Gill Sans" w:hAnsi="Gill Sans MT" w:cs="Gill Sans"/>
        </w:rPr>
      </w:pPr>
      <w:r w:rsidRPr="003D2856">
        <w:rPr>
          <w:rFonts w:ascii="Gill Sans MT" w:eastAsia="Gill Sans" w:hAnsi="Gill Sans MT" w:cs="Gill Sans"/>
        </w:rPr>
        <w:t xml:space="preserve">The </w:t>
      </w:r>
      <w:hyperlink r:id="rId11">
        <w:r w:rsidRPr="003D2856">
          <w:rPr>
            <w:rFonts w:ascii="Gill Sans MT" w:eastAsia="Gill Sans" w:hAnsi="Gill Sans MT" w:cs="Gill Sans"/>
            <w:color w:val="1155CC"/>
            <w:u w:val="single"/>
          </w:rPr>
          <w:t>Castan Centre for Human Rights Law</w:t>
        </w:r>
      </w:hyperlink>
      <w:r w:rsidRPr="003D2856">
        <w:rPr>
          <w:rFonts w:ascii="Gill Sans MT" w:eastAsia="Gill Sans" w:hAnsi="Gill Sans MT" w:cs="Gill Sans"/>
        </w:rPr>
        <w:t xml:space="preserve"> is a world-renowned academic research centre within the Faculty of Law at Monash University in Australia. We advocate for the respect and promotion of human rights to allow all people to flourish in freedom and dignity. We welcome the opportunity to provide a submission to the Expert Mechanism</w:t>
      </w:r>
      <w:r w:rsidR="00510736" w:rsidRPr="003D2856">
        <w:rPr>
          <w:rFonts w:ascii="Gill Sans MT" w:eastAsia="Gill Sans" w:hAnsi="Gill Sans MT" w:cs="Gill Sans"/>
        </w:rPr>
        <w:t xml:space="preserve"> on the rights of Indigenous peoples</w:t>
      </w:r>
      <w:r w:rsidR="003D2856" w:rsidRPr="003D2856">
        <w:rPr>
          <w:rFonts w:ascii="Gill Sans MT" w:eastAsia="Gill Sans" w:hAnsi="Gill Sans MT" w:cs="Gill Sans"/>
        </w:rPr>
        <w:t xml:space="preserve"> on the above subject.</w:t>
      </w:r>
    </w:p>
    <w:p w14:paraId="3CDBAF27" w14:textId="6B7D6127" w:rsidR="00FE2321" w:rsidRDefault="00FE2321" w:rsidP="00FE2321">
      <w:pPr>
        <w:ind w:left="-283" w:right="-294"/>
        <w:jc w:val="both"/>
        <w:rPr>
          <w:rFonts w:ascii="Gill Sans MT" w:eastAsia="Gill Sans" w:hAnsi="Gill Sans MT" w:cs="Gill Sans"/>
        </w:rPr>
      </w:pPr>
    </w:p>
    <w:p w14:paraId="158FA942" w14:textId="27A7B689" w:rsidR="002963BC" w:rsidRDefault="003C4D39" w:rsidP="00E44A9F">
      <w:pPr>
        <w:spacing w:after="120"/>
        <w:ind w:left="-284" w:right="-295"/>
        <w:jc w:val="both"/>
        <w:rPr>
          <w:rFonts w:ascii="Gill Sans MT" w:eastAsia="Gill Sans" w:hAnsi="Gill Sans MT" w:cs="Gill Sans"/>
        </w:rPr>
      </w:pPr>
      <w:r>
        <w:rPr>
          <w:rFonts w:ascii="Gill Sans MT" w:eastAsia="Gill Sans" w:hAnsi="Gill Sans MT" w:cs="Gill Sans"/>
        </w:rPr>
        <w:t xml:space="preserve">While we recognise that some progress towards </w:t>
      </w:r>
      <w:r w:rsidRPr="003D2856">
        <w:rPr>
          <w:rFonts w:ascii="Gill Sans MT" w:eastAsia="Gill Sans" w:hAnsi="Gill Sans MT" w:cs="Gill Sans"/>
        </w:rPr>
        <w:t>treaties, agreements, constructive arrangements and joint problem-solving initiatives</w:t>
      </w:r>
      <w:r>
        <w:rPr>
          <w:rFonts w:ascii="Gill Sans MT" w:eastAsia="Gill Sans" w:hAnsi="Gill Sans MT" w:cs="Gill Sans"/>
        </w:rPr>
        <w:t xml:space="preserve"> has been made to varying degrees in differing jurisdictions within Australia,</w:t>
      </w:r>
      <w:r>
        <w:rPr>
          <w:rStyle w:val="FootnoteReference"/>
          <w:rFonts w:ascii="Gill Sans MT" w:eastAsia="Gill Sans" w:hAnsi="Gill Sans MT" w:cs="Gill Sans"/>
        </w:rPr>
        <w:footnoteReference w:id="1"/>
      </w:r>
      <w:r>
        <w:rPr>
          <w:rFonts w:ascii="Gill Sans MT" w:eastAsia="Gill Sans" w:hAnsi="Gill Sans MT" w:cs="Gill Sans"/>
        </w:rPr>
        <w:t xml:space="preserve"> this particular submission will focus on initiatives that </w:t>
      </w:r>
      <w:r w:rsidR="00FE2321" w:rsidRPr="003D2856">
        <w:rPr>
          <w:rFonts w:ascii="Gill Sans MT" w:eastAsia="Gill Sans" w:hAnsi="Gill Sans MT" w:cs="Gill Sans"/>
        </w:rPr>
        <w:t>have been</w:t>
      </w:r>
      <w:r>
        <w:rPr>
          <w:rFonts w:ascii="Gill Sans MT" w:eastAsia="Gill Sans" w:hAnsi="Gill Sans MT" w:cs="Gill Sans"/>
        </w:rPr>
        <w:t xml:space="preserve"> advanced</w:t>
      </w:r>
      <w:r w:rsidR="00FE2321" w:rsidRPr="003D2856">
        <w:rPr>
          <w:rFonts w:ascii="Gill Sans MT" w:eastAsia="Gill Sans" w:hAnsi="Gill Sans MT" w:cs="Gill Sans"/>
        </w:rPr>
        <w:t xml:space="preserve"> at a </w:t>
      </w:r>
      <w:r w:rsidR="00FE2321" w:rsidRPr="003D2856">
        <w:rPr>
          <w:rFonts w:ascii="Gill Sans MT" w:eastAsia="Gill Sans" w:hAnsi="Gill Sans MT" w:cs="Gill Sans"/>
          <w:b/>
          <w:bCs/>
        </w:rPr>
        <w:t>national level</w:t>
      </w:r>
      <w:r w:rsidR="00FE2321" w:rsidRPr="003D2856">
        <w:rPr>
          <w:rFonts w:ascii="Gill Sans MT" w:eastAsia="Gill Sans" w:hAnsi="Gill Sans MT" w:cs="Gill Sans"/>
        </w:rPr>
        <w:t xml:space="preserve">. It will further highlight </w:t>
      </w:r>
      <w:r w:rsidR="00F77EFA" w:rsidRPr="003D2856">
        <w:rPr>
          <w:rFonts w:ascii="Gill Sans MT" w:eastAsia="Gill Sans" w:hAnsi="Gill Sans MT" w:cs="Gill Sans"/>
        </w:rPr>
        <w:t xml:space="preserve">progress </w:t>
      </w:r>
      <w:r w:rsidR="00FE2321" w:rsidRPr="003D2856">
        <w:rPr>
          <w:rFonts w:ascii="Gill Sans MT" w:eastAsia="Gill Sans" w:hAnsi="Gill Sans MT" w:cs="Gill Sans"/>
        </w:rPr>
        <w:t xml:space="preserve">in the state of </w:t>
      </w:r>
      <w:r w:rsidR="00FE2321" w:rsidRPr="003D2856">
        <w:rPr>
          <w:rFonts w:ascii="Gill Sans MT" w:eastAsia="Gill Sans" w:hAnsi="Gill Sans MT" w:cs="Gill Sans"/>
          <w:b/>
          <w:bCs/>
        </w:rPr>
        <w:t>Victoria,</w:t>
      </w:r>
      <w:r w:rsidR="00FE2321" w:rsidRPr="003D2856">
        <w:rPr>
          <w:rFonts w:ascii="Gill Sans MT" w:eastAsia="Gill Sans" w:hAnsi="Gill Sans MT" w:cs="Gill Sans"/>
        </w:rPr>
        <w:t xml:space="preserve"> which is leading the country i</w:t>
      </w:r>
      <w:r w:rsidR="00F77EFA" w:rsidRPr="003D2856">
        <w:rPr>
          <w:rFonts w:ascii="Gill Sans MT" w:eastAsia="Gill Sans" w:hAnsi="Gill Sans MT" w:cs="Gill Sans"/>
        </w:rPr>
        <w:t>n the development of a treaty with First Nations</w:t>
      </w:r>
      <w:r w:rsidR="003D2856" w:rsidRPr="003D2856">
        <w:rPr>
          <w:rFonts w:ascii="Gill Sans MT" w:eastAsia="Gill Sans" w:hAnsi="Gill Sans MT" w:cs="Gill Sans"/>
          <w:vertAlign w:val="superscript"/>
        </w:rPr>
        <w:footnoteReference w:id="2"/>
      </w:r>
      <w:r w:rsidR="00F77EFA" w:rsidRPr="003D2856">
        <w:rPr>
          <w:rFonts w:ascii="Gill Sans MT" w:eastAsia="Gill Sans" w:hAnsi="Gill Sans MT" w:cs="Gill Sans"/>
        </w:rPr>
        <w:t xml:space="preserve"> peoples</w:t>
      </w:r>
      <w:r w:rsidR="003D2856" w:rsidRPr="003D2856">
        <w:rPr>
          <w:rFonts w:ascii="Gill Sans MT" w:eastAsia="Gill Sans" w:hAnsi="Gill Sans MT" w:cs="Gill Sans"/>
        </w:rPr>
        <w:t>, as well as acknowledge the Noongar Settlement</w:t>
      </w:r>
      <w:r>
        <w:rPr>
          <w:rFonts w:ascii="Gill Sans MT" w:eastAsia="Gill Sans" w:hAnsi="Gill Sans MT" w:cs="Gill Sans"/>
        </w:rPr>
        <w:t xml:space="preserve">, a notable agreement in </w:t>
      </w:r>
      <w:r w:rsidRPr="003C4D39">
        <w:rPr>
          <w:rFonts w:ascii="Gill Sans MT" w:eastAsia="Gill Sans" w:hAnsi="Gill Sans MT" w:cs="Gill Sans"/>
          <w:b/>
          <w:bCs/>
        </w:rPr>
        <w:t>Western Australia.</w:t>
      </w:r>
      <w:r>
        <w:rPr>
          <w:rFonts w:ascii="Gill Sans MT" w:eastAsia="Gill Sans" w:hAnsi="Gill Sans MT" w:cs="Gill Sans"/>
        </w:rPr>
        <w:t xml:space="preserve"> </w:t>
      </w:r>
    </w:p>
    <w:tbl>
      <w:tblPr>
        <w:tblStyle w:val="TableGrid"/>
        <w:tblW w:w="9634" w:type="dxa"/>
        <w:tblInd w:w="-283" w:type="dxa"/>
        <w:tblLook w:val="04A0" w:firstRow="1" w:lastRow="0" w:firstColumn="1" w:lastColumn="0" w:noHBand="0" w:noVBand="1"/>
      </w:tblPr>
      <w:tblGrid>
        <w:gridCol w:w="9634"/>
      </w:tblGrid>
      <w:tr w:rsidR="002963BC" w14:paraId="214E3A3A" w14:textId="77777777" w:rsidTr="002963BC">
        <w:tc>
          <w:tcPr>
            <w:tcW w:w="9634" w:type="dxa"/>
            <w:shd w:val="clear" w:color="auto" w:fill="000000" w:themeFill="text1"/>
          </w:tcPr>
          <w:p w14:paraId="35D4019A" w14:textId="08144912" w:rsidR="002963BC" w:rsidRPr="002963BC" w:rsidRDefault="002963BC" w:rsidP="002963BC">
            <w:pPr>
              <w:pStyle w:val="Heading1"/>
              <w:numPr>
                <w:ilvl w:val="0"/>
                <w:numId w:val="1"/>
              </w:numPr>
              <w:spacing w:before="120"/>
              <w:ind w:left="0" w:hanging="357"/>
              <w:outlineLvl w:val="0"/>
              <w:rPr>
                <w:rFonts w:ascii="Gill Sans MT" w:eastAsia="Gill Sans" w:hAnsi="Gill Sans MT"/>
              </w:rPr>
            </w:pPr>
            <w:r>
              <w:rPr>
                <w:rFonts w:ascii="Gill Sans MT" w:hAnsi="Gill Sans MT"/>
                <w:lang w:val="en-AU"/>
              </w:rPr>
              <w:t xml:space="preserve">2. </w:t>
            </w:r>
            <w:r w:rsidRPr="002963BC">
              <w:rPr>
                <w:rFonts w:ascii="Gill Sans MT" w:hAnsi="Gill Sans MT"/>
                <w:lang w:val="en-AU"/>
              </w:rPr>
              <w:t>Types of Treaties, Agreements, Constructive Arrangements and Other Joint Problem-Solving Initiatives</w:t>
            </w:r>
          </w:p>
        </w:tc>
      </w:tr>
    </w:tbl>
    <w:p w14:paraId="0F847025" w14:textId="3114B76D" w:rsidR="00FE2321" w:rsidRPr="002963BC" w:rsidRDefault="00187CED" w:rsidP="006C2BFD">
      <w:pPr>
        <w:spacing w:before="120" w:after="120" w:line="240" w:lineRule="auto"/>
        <w:ind w:left="-284" w:right="-295"/>
        <w:jc w:val="both"/>
        <w:rPr>
          <w:rFonts w:ascii="Gill Sans MT" w:eastAsia="Gill Sans" w:hAnsi="Gill Sans MT" w:cs="Gill Sans"/>
          <w:b/>
          <w:bCs/>
          <w:color w:val="808080" w:themeColor="background1" w:themeShade="80"/>
        </w:rPr>
      </w:pPr>
      <w:r w:rsidRPr="002963BC">
        <w:rPr>
          <w:rFonts w:ascii="Gill Sans MT" w:eastAsia="Gill Sans" w:hAnsi="Gill Sans MT" w:cs="Gill Sans"/>
          <w:b/>
          <w:bCs/>
          <w:color w:val="808080" w:themeColor="background1" w:themeShade="80"/>
        </w:rPr>
        <w:t>2.1 Commonwealth</w:t>
      </w:r>
    </w:p>
    <w:p w14:paraId="04736464" w14:textId="722DEAA8" w:rsidR="00FE2321" w:rsidRPr="00CE69BF" w:rsidRDefault="00187CED" w:rsidP="006C2BFD">
      <w:pPr>
        <w:pStyle w:val="ListParagraph"/>
        <w:numPr>
          <w:ilvl w:val="0"/>
          <w:numId w:val="2"/>
        </w:numPr>
        <w:spacing w:before="120" w:after="120"/>
        <w:ind w:left="142" w:right="-295" w:hanging="357"/>
        <w:jc w:val="both"/>
        <w:rPr>
          <w:rFonts w:ascii="Gill Sans MT" w:eastAsia="Gill Sans" w:hAnsi="Gill Sans MT" w:cs="Gill Sans"/>
          <w:i/>
          <w:iCs/>
          <w:color w:val="000000" w:themeColor="text1"/>
        </w:rPr>
      </w:pPr>
      <w:r w:rsidRPr="002963BC">
        <w:rPr>
          <w:rFonts w:ascii="Gill Sans MT" w:eastAsia="Gill Sans" w:hAnsi="Gill Sans MT" w:cs="Gill Sans"/>
          <w:i/>
          <w:iCs/>
          <w:color w:val="000000" w:themeColor="text1"/>
        </w:rPr>
        <w:t>Constitutional Re</w:t>
      </w:r>
      <w:r w:rsidR="00F77EFA" w:rsidRPr="002963BC">
        <w:rPr>
          <w:rFonts w:ascii="Gill Sans MT" w:eastAsia="Gill Sans" w:hAnsi="Gill Sans MT" w:cs="Gill Sans"/>
          <w:i/>
          <w:iCs/>
          <w:color w:val="000000" w:themeColor="text1"/>
        </w:rPr>
        <w:t>cognition</w:t>
      </w:r>
    </w:p>
    <w:p w14:paraId="5B42C65D" w14:textId="173C832C" w:rsidR="00193BA0" w:rsidRPr="003D2856" w:rsidRDefault="00FE2321">
      <w:pPr>
        <w:ind w:left="-283" w:right="-294"/>
        <w:jc w:val="both"/>
        <w:rPr>
          <w:rFonts w:ascii="Gill Sans MT" w:eastAsia="Gill Sans" w:hAnsi="Gill Sans MT" w:cs="Gill Sans"/>
        </w:rPr>
      </w:pPr>
      <w:r w:rsidRPr="003D2856">
        <w:rPr>
          <w:rFonts w:ascii="Gill Sans MT" w:eastAsia="Gill Sans" w:hAnsi="Gill Sans MT" w:cs="Gill Sans"/>
        </w:rPr>
        <w:t xml:space="preserve">Australia </w:t>
      </w:r>
      <w:r w:rsidR="00187CED" w:rsidRPr="003D2856">
        <w:rPr>
          <w:rFonts w:ascii="Gill Sans MT" w:eastAsia="Gill Sans" w:hAnsi="Gill Sans MT" w:cs="Gill Sans"/>
        </w:rPr>
        <w:t>does not currently have any treaties with its Indigenous peoples, nor does it recognise them in the Australian Constitution. Recognition of the self-determination of First Nations peoples</w:t>
      </w:r>
      <w:r w:rsidR="00F77EFA" w:rsidRPr="003D2856">
        <w:rPr>
          <w:rFonts w:ascii="Gill Sans MT" w:eastAsia="Gill Sans" w:hAnsi="Gill Sans MT" w:cs="Gill Sans"/>
        </w:rPr>
        <w:t xml:space="preserve"> </w:t>
      </w:r>
      <w:r w:rsidR="00187CED" w:rsidRPr="003D2856">
        <w:rPr>
          <w:rFonts w:ascii="Gill Sans MT" w:eastAsia="Gill Sans" w:hAnsi="Gill Sans MT" w:cs="Gill Sans"/>
        </w:rPr>
        <w:t>is also not a stated policy goal of the Australian Government.</w:t>
      </w:r>
      <w:bookmarkStart w:id="3" w:name="_Ref94287460"/>
      <w:r w:rsidR="00187CED" w:rsidRPr="003D2856">
        <w:rPr>
          <w:rFonts w:ascii="Gill Sans MT" w:eastAsia="Gill Sans" w:hAnsi="Gill Sans MT" w:cs="Gill Sans"/>
          <w:vertAlign w:val="superscript"/>
        </w:rPr>
        <w:footnoteReference w:id="3"/>
      </w:r>
      <w:bookmarkEnd w:id="3"/>
      <w:r w:rsidR="00187CED" w:rsidRPr="003D2856">
        <w:rPr>
          <w:rFonts w:ascii="Gill Sans MT" w:eastAsia="Gill Sans" w:hAnsi="Gill Sans MT" w:cs="Gill Sans"/>
        </w:rPr>
        <w:t xml:space="preserve"> </w:t>
      </w:r>
    </w:p>
    <w:p w14:paraId="2BC0CC9B" w14:textId="77777777" w:rsidR="00193BA0" w:rsidRPr="003D2856" w:rsidRDefault="00193BA0">
      <w:pPr>
        <w:ind w:left="-283" w:right="-294"/>
        <w:jc w:val="both"/>
        <w:rPr>
          <w:rFonts w:ascii="Gill Sans MT" w:eastAsia="Gill Sans" w:hAnsi="Gill Sans MT" w:cs="Gill Sans"/>
        </w:rPr>
      </w:pPr>
    </w:p>
    <w:p w14:paraId="449F5554" w14:textId="068718C5" w:rsidR="006C2BFD" w:rsidRDefault="00187CED" w:rsidP="006C2BFD">
      <w:pPr>
        <w:ind w:left="-283" w:right="-294"/>
        <w:jc w:val="both"/>
        <w:rPr>
          <w:rFonts w:ascii="Gill Sans MT" w:eastAsia="Gill Sans" w:hAnsi="Gill Sans MT" w:cs="Gill Sans"/>
        </w:rPr>
      </w:pPr>
      <w:r w:rsidRPr="003D2856">
        <w:rPr>
          <w:rFonts w:ascii="Gill Sans MT" w:eastAsia="Gill Sans" w:hAnsi="Gill Sans MT" w:cs="Gill Sans"/>
        </w:rPr>
        <w:t xml:space="preserve">Notwithstanding, </w:t>
      </w:r>
      <w:r w:rsidR="00FE2321" w:rsidRPr="003D2856">
        <w:rPr>
          <w:rFonts w:ascii="Gill Sans MT" w:eastAsia="Gill Sans" w:hAnsi="Gill Sans MT" w:cs="Gill Sans"/>
        </w:rPr>
        <w:t xml:space="preserve">Australia </w:t>
      </w:r>
      <w:r w:rsidR="00926A6A">
        <w:rPr>
          <w:rFonts w:ascii="Gill Sans MT" w:eastAsia="Gill Sans" w:hAnsi="Gill Sans MT" w:cs="Gill Sans"/>
        </w:rPr>
        <w:t>is</w:t>
      </w:r>
      <w:r w:rsidRPr="003D2856">
        <w:rPr>
          <w:rFonts w:ascii="Gill Sans MT" w:eastAsia="Gill Sans" w:hAnsi="Gill Sans MT" w:cs="Gill Sans"/>
        </w:rPr>
        <w:t xml:space="preserve"> in the midst of a long and robust dialogue with First Nations peoples on the form and substance of constitutional recognition</w:t>
      </w:r>
      <w:r w:rsidRPr="003D2856">
        <w:rPr>
          <w:rFonts w:ascii="Gill Sans MT" w:eastAsia="Gill Sans" w:hAnsi="Gill Sans MT" w:cs="Gill Sans"/>
          <w:vertAlign w:val="superscript"/>
        </w:rPr>
        <w:footnoteReference w:id="4"/>
      </w:r>
      <w:r w:rsidRPr="003D2856">
        <w:rPr>
          <w:rFonts w:ascii="Gill Sans MT" w:eastAsia="Gill Sans" w:hAnsi="Gill Sans MT" w:cs="Gill Sans"/>
        </w:rPr>
        <w:t xml:space="preserve"> (as well as, to </w:t>
      </w:r>
      <w:r w:rsidR="00643299">
        <w:rPr>
          <w:rFonts w:ascii="Gill Sans MT" w:eastAsia="Gill Sans" w:hAnsi="Gill Sans MT" w:cs="Gill Sans"/>
        </w:rPr>
        <w:t xml:space="preserve">some </w:t>
      </w:r>
      <w:r w:rsidRPr="003D2856">
        <w:rPr>
          <w:rFonts w:ascii="Gill Sans MT" w:eastAsia="Gill Sans" w:hAnsi="Gill Sans MT" w:cs="Gill Sans"/>
        </w:rPr>
        <w:t>degree, treaties, agreement-making and other reconciliation initiatives).</w:t>
      </w:r>
      <w:r w:rsidRPr="003D2856">
        <w:rPr>
          <w:rFonts w:ascii="Gill Sans MT" w:eastAsia="Gill Sans" w:hAnsi="Gill Sans MT" w:cs="Gill Sans"/>
          <w:vertAlign w:val="superscript"/>
        </w:rPr>
        <w:footnoteReference w:id="5"/>
      </w:r>
      <w:r w:rsidRPr="003D2856">
        <w:rPr>
          <w:rFonts w:ascii="Gill Sans MT" w:eastAsia="Gill Sans" w:hAnsi="Gill Sans MT" w:cs="Gill Sans"/>
        </w:rPr>
        <w:t xml:space="preserve"> First Nations leaders have emphasised that recognition in this context requires more than symbolic ‘acknowledgement’</w:t>
      </w:r>
      <w:r w:rsidR="00510736" w:rsidRPr="003D2856">
        <w:rPr>
          <w:rFonts w:ascii="Gill Sans MT" w:eastAsia="Gill Sans" w:hAnsi="Gill Sans MT" w:cs="Gill Sans"/>
        </w:rPr>
        <w:t>, but rather require</w:t>
      </w:r>
      <w:r w:rsidR="00643299">
        <w:rPr>
          <w:rFonts w:ascii="Gill Sans MT" w:eastAsia="Gill Sans" w:hAnsi="Gill Sans MT" w:cs="Gill Sans"/>
        </w:rPr>
        <w:t>s</w:t>
      </w:r>
      <w:r w:rsidR="00510736" w:rsidRPr="003D2856">
        <w:rPr>
          <w:rFonts w:ascii="Gill Sans MT" w:eastAsia="Gill Sans" w:hAnsi="Gill Sans MT" w:cs="Gill Sans"/>
        </w:rPr>
        <w:t xml:space="preserve"> substantive structural reform</w:t>
      </w:r>
      <w:r w:rsidRPr="003D2856">
        <w:rPr>
          <w:rFonts w:ascii="Gill Sans MT" w:eastAsia="Gill Sans" w:hAnsi="Gill Sans MT" w:cs="Gill Sans"/>
        </w:rPr>
        <w:t>.</w:t>
      </w:r>
      <w:r w:rsidRPr="003D2856">
        <w:rPr>
          <w:rFonts w:ascii="Gill Sans MT" w:eastAsia="Gill Sans" w:hAnsi="Gill Sans MT" w:cs="Gill Sans"/>
          <w:vertAlign w:val="superscript"/>
        </w:rPr>
        <w:footnoteReference w:id="6"/>
      </w:r>
      <w:r w:rsidRPr="003D2856">
        <w:rPr>
          <w:rFonts w:ascii="Gill Sans MT" w:eastAsia="Gill Sans" w:hAnsi="Gill Sans MT" w:cs="Gill Sans"/>
        </w:rPr>
        <w:t xml:space="preserve"> Indeed in 2017, following extensive dialogues</w:t>
      </w:r>
      <w:bookmarkStart w:id="4" w:name="_Ref94287951"/>
      <w:r w:rsidRPr="003D2856">
        <w:rPr>
          <w:rFonts w:ascii="Gill Sans MT" w:eastAsia="Gill Sans" w:hAnsi="Gill Sans MT" w:cs="Gill Sans"/>
          <w:vertAlign w:val="superscript"/>
        </w:rPr>
        <w:footnoteReference w:id="7"/>
      </w:r>
      <w:bookmarkEnd w:id="4"/>
      <w:r w:rsidRPr="003D2856">
        <w:rPr>
          <w:rFonts w:ascii="Gill Sans MT" w:eastAsia="Gill Sans" w:hAnsi="Gill Sans MT" w:cs="Gill Sans"/>
        </w:rPr>
        <w:t xml:space="preserve"> between First Nations peoples facilitated by the Referendum Council, the Australian people were presented with the </w:t>
      </w:r>
      <w:r w:rsidRPr="003D2856">
        <w:rPr>
          <w:rFonts w:ascii="Gill Sans MT" w:eastAsia="Gill Sans" w:hAnsi="Gill Sans MT" w:cs="Gill Sans"/>
          <w:i/>
        </w:rPr>
        <w:t>Uluru Statement from the Heart</w:t>
      </w:r>
      <w:r w:rsidRPr="003D2856">
        <w:rPr>
          <w:rFonts w:ascii="Gill Sans MT" w:eastAsia="Gill Sans" w:hAnsi="Gill Sans MT" w:cs="Gill Sans"/>
        </w:rPr>
        <w:t xml:space="preserve"> (</w:t>
      </w:r>
      <w:r w:rsidRPr="003D2856">
        <w:rPr>
          <w:rFonts w:ascii="Gill Sans MT" w:eastAsia="Gill Sans" w:hAnsi="Gill Sans MT" w:cs="Gill Sans"/>
          <w:b/>
        </w:rPr>
        <w:t>Uluru Statement</w:t>
      </w:r>
      <w:r w:rsidRPr="003D2856">
        <w:rPr>
          <w:rFonts w:ascii="Gill Sans MT" w:eastAsia="Gill Sans" w:hAnsi="Gill Sans MT" w:cs="Gill Sans"/>
        </w:rPr>
        <w:t>). This powerful document saw First Nations peoples ‘invite’ non-Indigenous Australians to ‘walk with [them] in a movement of the Australian people for a better future’.</w:t>
      </w:r>
      <w:r w:rsidR="006C2BFD">
        <w:rPr>
          <w:rFonts w:ascii="Gill Sans MT" w:eastAsia="Gill Sans" w:hAnsi="Gill Sans MT" w:cs="Gill Sans"/>
        </w:rPr>
        <w:t xml:space="preserve"> </w:t>
      </w:r>
      <w:r w:rsidR="00C52DAA">
        <w:rPr>
          <w:rFonts w:ascii="Gill Sans MT" w:eastAsia="Gill Sans" w:hAnsi="Gill Sans MT" w:cs="Gill Sans"/>
        </w:rPr>
        <w:t xml:space="preserve">The Castan Centre strongly endorses the Uluru Statement and a constitutionally entrenched First Nations Voice as manifestations of Indigenous self-determination. </w:t>
      </w:r>
    </w:p>
    <w:p w14:paraId="34BD8A80" w14:textId="5B7C24DF" w:rsidR="00193BA0" w:rsidRPr="003D2856" w:rsidRDefault="00187CED" w:rsidP="006C2BFD">
      <w:pPr>
        <w:ind w:left="-283" w:right="-294"/>
        <w:jc w:val="both"/>
        <w:rPr>
          <w:rFonts w:ascii="Gill Sans MT" w:eastAsia="Gill Sans" w:hAnsi="Gill Sans MT" w:cs="Gill Sans"/>
        </w:rPr>
      </w:pPr>
      <w:r w:rsidRPr="003D2856">
        <w:rPr>
          <w:rFonts w:ascii="Gill Sans MT" w:eastAsia="Gill Sans" w:hAnsi="Gill Sans MT" w:cs="Gill Sans"/>
        </w:rPr>
        <w:lastRenderedPageBreak/>
        <w:t xml:space="preserve">The central claims arising from the Uluru Statement are that of Voice, Treaty, Truth. The </w:t>
      </w:r>
      <w:r w:rsidR="00510736" w:rsidRPr="003D2856">
        <w:rPr>
          <w:rFonts w:ascii="Gill Sans MT" w:eastAsia="Gill Sans" w:hAnsi="Gill Sans MT" w:cs="Gill Sans"/>
        </w:rPr>
        <w:t>Uluru S</w:t>
      </w:r>
      <w:r w:rsidRPr="003D2856">
        <w:rPr>
          <w:rFonts w:ascii="Gill Sans MT" w:eastAsia="Gill Sans" w:hAnsi="Gill Sans MT" w:cs="Gill Sans"/>
        </w:rPr>
        <w:t>tatement prioritises</w:t>
      </w:r>
      <w:r w:rsidR="00510736" w:rsidRPr="003D2856">
        <w:rPr>
          <w:rFonts w:ascii="Gill Sans MT" w:eastAsia="Gill Sans" w:hAnsi="Gill Sans MT" w:cs="Gill Sans"/>
        </w:rPr>
        <w:t xml:space="preserve"> </w:t>
      </w:r>
      <w:r w:rsidRPr="003D2856">
        <w:rPr>
          <w:rFonts w:ascii="Gill Sans MT" w:eastAsia="Gill Sans" w:hAnsi="Gill Sans MT" w:cs="Gill Sans"/>
        </w:rPr>
        <w:t xml:space="preserve">establishing a </w:t>
      </w:r>
      <w:r w:rsidRPr="003D2856">
        <w:rPr>
          <w:rFonts w:ascii="Gill Sans MT" w:eastAsia="Gill Sans" w:hAnsi="Gill Sans MT" w:cs="Gill Sans"/>
          <w:i/>
        </w:rPr>
        <w:t xml:space="preserve">constitutionally </w:t>
      </w:r>
      <w:r w:rsidRPr="003D2856">
        <w:rPr>
          <w:rFonts w:ascii="Gill Sans MT" w:eastAsia="Gill Sans" w:hAnsi="Gill Sans MT" w:cs="Gill Sans"/>
        </w:rPr>
        <w:t>enshrined First Nations Voice to Parliament,</w:t>
      </w:r>
      <w:r w:rsidRPr="003D2856">
        <w:rPr>
          <w:rFonts w:ascii="Gill Sans MT" w:eastAsia="Gill Sans" w:hAnsi="Gill Sans MT" w:cs="Gill Sans"/>
          <w:vertAlign w:val="superscript"/>
        </w:rPr>
        <w:footnoteReference w:id="8"/>
      </w:r>
      <w:r w:rsidRPr="003D2856">
        <w:rPr>
          <w:rFonts w:ascii="Gill Sans MT" w:eastAsia="Gill Sans" w:hAnsi="Gill Sans MT" w:cs="Gill Sans"/>
        </w:rPr>
        <w:t xml:space="preserve"> as a necessary</w:t>
      </w:r>
      <w:r w:rsidR="00510736" w:rsidRPr="003D2856">
        <w:rPr>
          <w:rFonts w:ascii="Gill Sans MT" w:eastAsia="Gill Sans" w:hAnsi="Gill Sans MT" w:cs="Gill Sans"/>
        </w:rPr>
        <w:t xml:space="preserve"> first step towards</w:t>
      </w:r>
      <w:r w:rsidRPr="003D2856">
        <w:rPr>
          <w:rFonts w:ascii="Gill Sans MT" w:eastAsia="Gill Sans" w:hAnsi="Gill Sans MT" w:cs="Gill Sans"/>
        </w:rPr>
        <w:t xml:space="preserve"> structural reform. The Voice is intended to ‘redistribute public power via the Constitution’ and create an ‘institutional relationship between governments and First Nations that will compel the state to listen to Aboriginal and Torres Strait Islander peoples in policy and decision-making’.</w:t>
      </w:r>
      <w:bookmarkStart w:id="5" w:name="_Ref94287485"/>
      <w:r w:rsidRPr="003D2856">
        <w:rPr>
          <w:rFonts w:ascii="Gill Sans MT" w:eastAsia="Gill Sans" w:hAnsi="Gill Sans MT" w:cs="Gill Sans"/>
          <w:vertAlign w:val="superscript"/>
        </w:rPr>
        <w:footnoteReference w:id="9"/>
      </w:r>
      <w:bookmarkEnd w:id="5"/>
      <w:r w:rsidRPr="003D2856">
        <w:rPr>
          <w:rFonts w:ascii="Gill Sans MT" w:eastAsia="Gill Sans" w:hAnsi="Gill Sans MT" w:cs="Gill Sans"/>
        </w:rPr>
        <w:t xml:space="preserve"> The Voice would not have the same powers of a House of Parliament (i.e. the ability to initiate, pass or reject bills).</w:t>
      </w:r>
      <w:r w:rsidRPr="003D2856">
        <w:rPr>
          <w:rFonts w:ascii="Gill Sans MT" w:eastAsia="Gill Sans" w:hAnsi="Gill Sans MT" w:cs="Gill Sans"/>
          <w:vertAlign w:val="superscript"/>
        </w:rPr>
        <w:footnoteReference w:id="10"/>
      </w:r>
      <w:r w:rsidRPr="003D2856">
        <w:rPr>
          <w:rFonts w:ascii="Gill Sans MT" w:eastAsia="Gill Sans" w:hAnsi="Gill Sans MT" w:cs="Gill Sans"/>
        </w:rPr>
        <w:t xml:space="preserve"> </w:t>
      </w:r>
    </w:p>
    <w:p w14:paraId="667727A4" w14:textId="77777777" w:rsidR="00193BA0" w:rsidRPr="003D2856" w:rsidRDefault="00193BA0">
      <w:pPr>
        <w:ind w:left="-283" w:right="-294"/>
        <w:jc w:val="both"/>
        <w:rPr>
          <w:rFonts w:ascii="Gill Sans MT" w:eastAsia="Gill Sans" w:hAnsi="Gill Sans MT" w:cs="Gill Sans"/>
        </w:rPr>
      </w:pPr>
    </w:p>
    <w:p w14:paraId="0836D737" w14:textId="41DAB5A3" w:rsidR="00F77EFA" w:rsidRPr="003D2856" w:rsidRDefault="00187CED" w:rsidP="00CE69BF">
      <w:pPr>
        <w:ind w:left="-283" w:right="-294"/>
        <w:jc w:val="both"/>
        <w:rPr>
          <w:rFonts w:ascii="Gill Sans MT" w:eastAsia="Gill Sans" w:hAnsi="Gill Sans MT" w:cs="Gill Sans"/>
        </w:rPr>
      </w:pPr>
      <w:r w:rsidRPr="003D2856">
        <w:rPr>
          <w:rFonts w:ascii="Gill Sans MT" w:eastAsia="Gill Sans" w:hAnsi="Gill Sans MT" w:cs="Gill Sans"/>
        </w:rPr>
        <w:t>In 2019, the Australian Government announced the Indigenous Voice Co-design Process to consult and engage on the mechanism of a Voice.</w:t>
      </w:r>
      <w:r w:rsidRPr="003D2856">
        <w:rPr>
          <w:rFonts w:ascii="Gill Sans MT" w:eastAsia="Gill Sans" w:hAnsi="Gill Sans MT" w:cs="Gill Sans"/>
          <w:vertAlign w:val="superscript"/>
        </w:rPr>
        <w:footnoteReference w:id="11"/>
      </w:r>
      <w:r w:rsidRPr="003D2856">
        <w:rPr>
          <w:rFonts w:ascii="Gill Sans MT" w:eastAsia="Gill Sans" w:hAnsi="Gill Sans MT" w:cs="Gill Sans"/>
        </w:rPr>
        <w:t xml:space="preserve"> The Co-Design’s final model for the Voice, announced </w:t>
      </w:r>
      <w:r w:rsidR="00F77EFA" w:rsidRPr="003D2856">
        <w:rPr>
          <w:rFonts w:ascii="Gill Sans MT" w:eastAsia="Gill Sans" w:hAnsi="Gill Sans MT" w:cs="Gill Sans"/>
        </w:rPr>
        <w:t>in</w:t>
      </w:r>
      <w:r w:rsidRPr="003D2856">
        <w:rPr>
          <w:rFonts w:ascii="Gill Sans MT" w:eastAsia="Gill Sans" w:hAnsi="Gill Sans MT" w:cs="Gill Sans"/>
        </w:rPr>
        <w:t xml:space="preserve"> December 2021,</w:t>
      </w:r>
      <w:r w:rsidRPr="003D2856">
        <w:rPr>
          <w:rFonts w:ascii="Gill Sans MT" w:eastAsia="Gill Sans" w:hAnsi="Gill Sans MT" w:cs="Gill Sans"/>
          <w:vertAlign w:val="superscript"/>
        </w:rPr>
        <w:footnoteReference w:id="12"/>
      </w:r>
      <w:r w:rsidRPr="003D2856">
        <w:rPr>
          <w:rFonts w:ascii="Gill Sans MT" w:eastAsia="Gill Sans" w:hAnsi="Gill Sans MT" w:cs="Gill Sans"/>
        </w:rPr>
        <w:t xml:space="preserve"> is a </w:t>
      </w:r>
      <w:r w:rsidRPr="003D2856">
        <w:rPr>
          <w:rFonts w:ascii="Gill Sans MT" w:eastAsia="Gill Sans" w:hAnsi="Gill Sans MT" w:cs="Gill Sans"/>
          <w:i/>
          <w:iCs/>
        </w:rPr>
        <w:t>legislated</w:t>
      </w:r>
      <w:r w:rsidRPr="003D2856">
        <w:rPr>
          <w:rFonts w:ascii="Gill Sans MT" w:eastAsia="Gill Sans" w:hAnsi="Gill Sans MT" w:cs="Gill Sans"/>
        </w:rPr>
        <w:t xml:space="preserve"> one which consists of a National Voice</w:t>
      </w:r>
      <w:r w:rsidR="00510736" w:rsidRPr="003D2856">
        <w:rPr>
          <w:rFonts w:ascii="Gill Sans MT" w:eastAsia="Gill Sans" w:hAnsi="Gill Sans MT" w:cs="Gill Sans"/>
        </w:rPr>
        <w:t>, as well as</w:t>
      </w:r>
      <w:r w:rsidRPr="003D2856">
        <w:rPr>
          <w:rFonts w:ascii="Gill Sans MT" w:eastAsia="Gill Sans" w:hAnsi="Gill Sans MT" w:cs="Gill Sans"/>
        </w:rPr>
        <w:t xml:space="preserve"> Local and Regional Voices.</w:t>
      </w:r>
      <w:bookmarkStart w:id="6" w:name="_Ref94287990"/>
      <w:r w:rsidRPr="003D2856">
        <w:rPr>
          <w:rFonts w:ascii="Gill Sans MT" w:eastAsia="Gill Sans" w:hAnsi="Gill Sans MT" w:cs="Gill Sans"/>
          <w:vertAlign w:val="superscript"/>
        </w:rPr>
        <w:footnoteReference w:id="13"/>
      </w:r>
      <w:bookmarkEnd w:id="6"/>
      <w:r w:rsidRPr="003D2856">
        <w:rPr>
          <w:rFonts w:ascii="Gill Sans MT" w:eastAsia="Gill Sans" w:hAnsi="Gill Sans MT" w:cs="Gill Sans"/>
        </w:rPr>
        <w:t xml:space="preserve"> Under this proposal, the Australian Parliament and Government ‘would be “obliged” to ask the National Voice for advice on a defined and limited number of proposed laws and policies that </w:t>
      </w:r>
      <w:r w:rsidRPr="003D2856">
        <w:rPr>
          <w:rFonts w:ascii="Gill Sans MT" w:eastAsia="Gill Sans" w:hAnsi="Gill Sans MT" w:cs="Gill Sans"/>
          <w:i/>
        </w:rPr>
        <w:t xml:space="preserve">overwhelmingly </w:t>
      </w:r>
      <w:r w:rsidRPr="003D2856">
        <w:rPr>
          <w:rFonts w:ascii="Gill Sans MT" w:eastAsia="Gill Sans" w:hAnsi="Gill Sans MT" w:cs="Gill Sans"/>
        </w:rPr>
        <w:t>affect Aboriginal and Torres Strait Islander peoples’.</w:t>
      </w:r>
      <w:r w:rsidRPr="003D2856">
        <w:rPr>
          <w:rFonts w:ascii="Gill Sans MT" w:eastAsia="Gill Sans" w:hAnsi="Gill Sans MT" w:cs="Gill Sans"/>
          <w:vertAlign w:val="superscript"/>
        </w:rPr>
        <w:footnoteReference w:id="14"/>
      </w:r>
      <w:r w:rsidRPr="003D2856">
        <w:rPr>
          <w:rFonts w:ascii="Gill Sans MT" w:eastAsia="Gill Sans" w:hAnsi="Gill Sans MT" w:cs="Gill Sans"/>
        </w:rPr>
        <w:t xml:space="preserve"> There are considerable barriers to </w:t>
      </w:r>
      <w:r w:rsidR="00643299">
        <w:rPr>
          <w:rFonts w:ascii="Gill Sans MT" w:eastAsia="Gill Sans" w:hAnsi="Gill Sans MT" w:cs="Gill Sans"/>
        </w:rPr>
        <w:t>e</w:t>
      </w:r>
      <w:r w:rsidRPr="003D2856">
        <w:rPr>
          <w:rFonts w:ascii="Gill Sans MT" w:eastAsia="Gill Sans" w:hAnsi="Gill Sans MT" w:cs="Gill Sans"/>
        </w:rPr>
        <w:t xml:space="preserve">ffecting this reform (see </w:t>
      </w:r>
      <w:r w:rsidR="00FD2D88">
        <w:rPr>
          <w:rFonts w:ascii="Gill Sans MT" w:eastAsia="Gill Sans" w:hAnsi="Gill Sans MT" w:cs="Gill Sans"/>
        </w:rPr>
        <w:t>Part 3</w:t>
      </w:r>
      <w:r w:rsidRPr="003D2856">
        <w:rPr>
          <w:rFonts w:ascii="Gill Sans MT" w:eastAsia="Gill Sans" w:hAnsi="Gill Sans MT" w:cs="Gill Sans"/>
        </w:rPr>
        <w:t xml:space="preserve">). </w:t>
      </w:r>
    </w:p>
    <w:p w14:paraId="352866E8" w14:textId="4BF6E4BF" w:rsidR="002963BC" w:rsidRPr="00CE69BF" w:rsidRDefault="00F77EFA" w:rsidP="006C2BFD">
      <w:pPr>
        <w:pStyle w:val="ListParagraph"/>
        <w:numPr>
          <w:ilvl w:val="0"/>
          <w:numId w:val="2"/>
        </w:numPr>
        <w:spacing w:before="120" w:after="120"/>
        <w:ind w:left="142" w:right="-295" w:hanging="357"/>
        <w:jc w:val="both"/>
        <w:rPr>
          <w:rFonts w:ascii="Gill Sans MT" w:eastAsia="Gill Sans" w:hAnsi="Gill Sans MT" w:cs="Gill Sans"/>
          <w:i/>
          <w:iCs/>
          <w:color w:val="000000" w:themeColor="text1"/>
        </w:rPr>
      </w:pPr>
      <w:r w:rsidRPr="002963BC">
        <w:rPr>
          <w:rFonts w:ascii="Gill Sans MT" w:eastAsia="Gill Sans" w:hAnsi="Gill Sans MT" w:cs="Gill Sans"/>
          <w:i/>
          <w:iCs/>
          <w:color w:val="000000" w:themeColor="text1"/>
        </w:rPr>
        <w:t>Native Title</w:t>
      </w:r>
    </w:p>
    <w:p w14:paraId="69689770" w14:textId="30C31A80" w:rsidR="00193BA0" w:rsidRPr="003D2856" w:rsidRDefault="00187CED" w:rsidP="005066D2">
      <w:pPr>
        <w:ind w:left="-283" w:right="-294"/>
        <w:jc w:val="both"/>
        <w:rPr>
          <w:rFonts w:ascii="Gill Sans MT" w:eastAsia="Gill Sans" w:hAnsi="Gill Sans MT" w:cs="Gill Sans"/>
        </w:rPr>
      </w:pPr>
      <w:r w:rsidRPr="003D2856">
        <w:rPr>
          <w:rFonts w:ascii="Gill Sans MT" w:eastAsia="Gill Sans" w:hAnsi="Gill Sans MT" w:cs="Gill Sans"/>
        </w:rPr>
        <w:t>Another constructive arrangement under Australian law is native title, which sees the recognition of First Nations’ pre-existing rights and interests over land and waters.</w:t>
      </w:r>
      <w:r w:rsidRPr="003D2856">
        <w:rPr>
          <w:rFonts w:ascii="Gill Sans MT" w:eastAsia="Gill Sans" w:hAnsi="Gill Sans MT" w:cs="Gill Sans"/>
          <w:vertAlign w:val="superscript"/>
        </w:rPr>
        <w:footnoteReference w:id="15"/>
      </w:r>
      <w:r w:rsidRPr="003D2856">
        <w:rPr>
          <w:rFonts w:ascii="Gill Sans MT" w:eastAsia="Gill Sans" w:hAnsi="Gill Sans MT" w:cs="Gill Sans"/>
        </w:rPr>
        <w:t xml:space="preserve">  </w:t>
      </w:r>
      <w:r w:rsidR="00DB598C">
        <w:rPr>
          <w:rFonts w:ascii="Gill Sans MT" w:eastAsia="Gill Sans" w:hAnsi="Gill Sans MT" w:cs="Gill Sans"/>
        </w:rPr>
        <w:t xml:space="preserve">The case of </w:t>
      </w:r>
      <w:r w:rsidR="00DB598C">
        <w:rPr>
          <w:rFonts w:ascii="Gill Sans MT" w:eastAsia="Gill Sans" w:hAnsi="Gill Sans MT" w:cs="Gill Sans"/>
          <w:i/>
          <w:iCs/>
        </w:rPr>
        <w:t xml:space="preserve">Mabo v Queensland </w:t>
      </w:r>
      <w:r w:rsidR="00DB598C">
        <w:rPr>
          <w:rFonts w:ascii="Gill Sans MT" w:eastAsia="Gill Sans" w:hAnsi="Gill Sans MT" w:cs="Gill Sans"/>
        </w:rPr>
        <w:t xml:space="preserve">(No 2), and subsequent enactment of the </w:t>
      </w:r>
      <w:r w:rsidR="00DB598C">
        <w:rPr>
          <w:rFonts w:ascii="Gill Sans MT" w:eastAsia="Gill Sans" w:hAnsi="Gill Sans MT" w:cs="Gill Sans"/>
          <w:i/>
          <w:iCs/>
        </w:rPr>
        <w:t>Native Title Act</w:t>
      </w:r>
      <w:r w:rsidR="00A95083">
        <w:rPr>
          <w:rFonts w:ascii="Gill Sans MT" w:eastAsia="Gill Sans" w:hAnsi="Gill Sans MT" w:cs="Gill Sans"/>
          <w:i/>
          <w:iCs/>
        </w:rPr>
        <w:t xml:space="preserve"> </w:t>
      </w:r>
      <w:r w:rsidR="00A95083">
        <w:rPr>
          <w:rFonts w:ascii="Gill Sans MT" w:eastAsia="Gill Sans" w:hAnsi="Gill Sans MT" w:cs="Gill Sans"/>
        </w:rPr>
        <w:t>(</w:t>
      </w:r>
      <w:r w:rsidR="00A95083" w:rsidRPr="00A95083">
        <w:rPr>
          <w:rFonts w:ascii="Gill Sans MT" w:eastAsia="Gill Sans" w:hAnsi="Gill Sans MT" w:cs="Gill Sans"/>
          <w:b/>
          <w:bCs/>
        </w:rPr>
        <w:t>NTA</w:t>
      </w:r>
      <w:r w:rsidR="00A95083">
        <w:rPr>
          <w:rFonts w:ascii="Gill Sans MT" w:eastAsia="Gill Sans" w:hAnsi="Gill Sans MT" w:cs="Gill Sans"/>
        </w:rPr>
        <w:t>)</w:t>
      </w:r>
      <w:r w:rsidR="00DB598C">
        <w:rPr>
          <w:rFonts w:ascii="Gill Sans MT" w:eastAsia="Gill Sans" w:hAnsi="Gill Sans MT" w:cs="Gill Sans"/>
          <w:i/>
          <w:iCs/>
        </w:rPr>
        <w:t xml:space="preserve"> </w:t>
      </w:r>
      <w:r w:rsidR="00DB598C">
        <w:rPr>
          <w:rFonts w:ascii="Gill Sans MT" w:eastAsia="Gill Sans" w:hAnsi="Gill Sans MT" w:cs="Gill Sans"/>
        </w:rPr>
        <w:t>allowed for the transformation of First Nations peoples’ moral claims to land</w:t>
      </w:r>
      <w:r w:rsidR="00643299">
        <w:rPr>
          <w:rFonts w:ascii="Gill Sans MT" w:eastAsia="Gill Sans" w:hAnsi="Gill Sans MT" w:cs="Gill Sans"/>
        </w:rPr>
        <w:t xml:space="preserve"> and waters</w:t>
      </w:r>
      <w:r w:rsidR="00DB598C">
        <w:rPr>
          <w:rFonts w:ascii="Gill Sans MT" w:eastAsia="Gill Sans" w:hAnsi="Gill Sans MT" w:cs="Gill Sans"/>
        </w:rPr>
        <w:t>, into legal rights.</w:t>
      </w:r>
      <w:bookmarkStart w:id="7" w:name="_Ref94289427"/>
      <w:r w:rsidR="00DB598C">
        <w:rPr>
          <w:rStyle w:val="FootnoteReference"/>
          <w:rFonts w:ascii="Gill Sans MT" w:eastAsia="Gill Sans" w:hAnsi="Gill Sans MT" w:cs="Gill Sans"/>
        </w:rPr>
        <w:footnoteReference w:id="16"/>
      </w:r>
      <w:bookmarkEnd w:id="7"/>
      <w:r w:rsidR="00DB598C">
        <w:rPr>
          <w:rFonts w:ascii="Gill Sans MT" w:eastAsia="Gill Sans" w:hAnsi="Gill Sans MT" w:cs="Gill Sans"/>
        </w:rPr>
        <w:t xml:space="preserve"> </w:t>
      </w:r>
      <w:r w:rsidR="00A95083">
        <w:rPr>
          <w:rFonts w:ascii="Gill Sans MT" w:eastAsia="Gill Sans" w:hAnsi="Gill Sans MT" w:cs="Gill Sans"/>
        </w:rPr>
        <w:t>While the NTA covers all Australian states and territories,</w:t>
      </w:r>
      <w:r w:rsidR="006C2BFD">
        <w:rPr>
          <w:rStyle w:val="FootnoteReference"/>
          <w:rFonts w:ascii="Gill Sans MT" w:eastAsia="Gill Sans" w:hAnsi="Gill Sans MT" w:cs="Gill Sans"/>
        </w:rPr>
        <w:footnoteReference w:id="17"/>
      </w:r>
      <w:r w:rsidR="00A95083">
        <w:rPr>
          <w:rFonts w:ascii="Gill Sans MT" w:eastAsia="Gill Sans" w:hAnsi="Gill Sans MT" w:cs="Gill Sans"/>
        </w:rPr>
        <w:t xml:space="preserve"> </w:t>
      </w:r>
      <w:r w:rsidR="006441D6">
        <w:rPr>
          <w:rFonts w:ascii="Gill Sans MT" w:eastAsia="Gill Sans" w:hAnsi="Gill Sans MT" w:cs="Gill Sans"/>
        </w:rPr>
        <w:t>there are other</w:t>
      </w:r>
      <w:r w:rsidR="00A95083">
        <w:rPr>
          <w:rFonts w:ascii="Gill Sans MT" w:eastAsia="Gill Sans" w:hAnsi="Gill Sans MT" w:cs="Gill Sans"/>
        </w:rPr>
        <w:t xml:space="preserve"> legislative frameworks</w:t>
      </w:r>
      <w:r w:rsidR="006C2BFD">
        <w:rPr>
          <w:rFonts w:ascii="Gill Sans MT" w:eastAsia="Gill Sans" w:hAnsi="Gill Sans MT" w:cs="Gill Sans"/>
        </w:rPr>
        <w:t xml:space="preserve"> on First Nations peoples’ rights to land </w:t>
      </w:r>
      <w:r w:rsidR="006441D6">
        <w:rPr>
          <w:rFonts w:ascii="Gill Sans MT" w:eastAsia="Gill Sans" w:hAnsi="Gill Sans MT" w:cs="Gill Sans"/>
        </w:rPr>
        <w:t>that</w:t>
      </w:r>
      <w:r w:rsidR="0043490B">
        <w:rPr>
          <w:rFonts w:ascii="Gill Sans MT" w:eastAsia="Gill Sans" w:hAnsi="Gill Sans MT" w:cs="Gill Sans"/>
        </w:rPr>
        <w:t xml:space="preserve"> </w:t>
      </w:r>
      <w:r w:rsidR="006C2BFD">
        <w:rPr>
          <w:rFonts w:ascii="Gill Sans MT" w:eastAsia="Gill Sans" w:hAnsi="Gill Sans MT" w:cs="Gill Sans"/>
        </w:rPr>
        <w:t>vary between jurisdictions</w:t>
      </w:r>
      <w:r w:rsidR="00A95083">
        <w:rPr>
          <w:rFonts w:ascii="Gill Sans MT" w:eastAsia="Gill Sans" w:hAnsi="Gill Sans MT" w:cs="Gill Sans"/>
        </w:rPr>
        <w:t>.</w:t>
      </w:r>
      <w:r w:rsidR="00A95083">
        <w:rPr>
          <w:rStyle w:val="FootnoteReference"/>
          <w:rFonts w:ascii="Gill Sans MT" w:eastAsia="Gill Sans" w:hAnsi="Gill Sans MT" w:cs="Gill Sans"/>
        </w:rPr>
        <w:footnoteReference w:id="18"/>
      </w:r>
    </w:p>
    <w:p w14:paraId="23582B3F" w14:textId="087FD7BF" w:rsidR="00642B39" w:rsidRPr="00CE69BF" w:rsidRDefault="00187CED" w:rsidP="00642B39">
      <w:pPr>
        <w:spacing w:before="120" w:after="120" w:line="240" w:lineRule="auto"/>
        <w:ind w:left="-284" w:right="-295"/>
        <w:jc w:val="both"/>
        <w:rPr>
          <w:rFonts w:ascii="Gill Sans MT" w:eastAsia="Gill Sans" w:hAnsi="Gill Sans MT" w:cs="Gill Sans"/>
          <w:b/>
          <w:bCs/>
          <w:color w:val="808080" w:themeColor="background1" w:themeShade="80"/>
        </w:rPr>
      </w:pPr>
      <w:r w:rsidRPr="002963BC">
        <w:rPr>
          <w:rFonts w:ascii="Gill Sans MT" w:eastAsia="Gill Sans" w:hAnsi="Gill Sans MT" w:cs="Gill Sans"/>
          <w:b/>
          <w:bCs/>
          <w:color w:val="808080" w:themeColor="background1" w:themeShade="80"/>
        </w:rPr>
        <w:t>2.2 Victori</w:t>
      </w:r>
      <w:r w:rsidR="00F77EFA" w:rsidRPr="002963BC">
        <w:rPr>
          <w:rFonts w:ascii="Gill Sans MT" w:eastAsia="Gill Sans" w:hAnsi="Gill Sans MT" w:cs="Gill Sans"/>
          <w:b/>
          <w:bCs/>
          <w:color w:val="808080" w:themeColor="background1" w:themeShade="80"/>
        </w:rPr>
        <w:t>a</w:t>
      </w:r>
    </w:p>
    <w:p w14:paraId="0D80734D" w14:textId="3A29C454" w:rsidR="002963BC" w:rsidRPr="002963BC" w:rsidRDefault="00187CED" w:rsidP="006C2BFD">
      <w:pPr>
        <w:pStyle w:val="ListParagraph"/>
        <w:numPr>
          <w:ilvl w:val="0"/>
          <w:numId w:val="5"/>
        </w:numPr>
        <w:spacing w:before="120" w:after="120"/>
        <w:ind w:left="142" w:right="-295"/>
        <w:jc w:val="both"/>
        <w:rPr>
          <w:rFonts w:ascii="Gill Sans MT" w:eastAsia="Gill Sans" w:hAnsi="Gill Sans MT" w:cs="Gill Sans"/>
          <w:i/>
          <w:iCs/>
          <w:color w:val="000000" w:themeColor="text1"/>
        </w:rPr>
      </w:pPr>
      <w:r w:rsidRPr="002963BC">
        <w:rPr>
          <w:rFonts w:ascii="Gill Sans MT" w:eastAsia="Gill Sans" w:hAnsi="Gill Sans MT" w:cs="Gill Sans"/>
          <w:i/>
          <w:iCs/>
          <w:color w:val="000000" w:themeColor="text1"/>
        </w:rPr>
        <w:t xml:space="preserve">Treaty </w:t>
      </w:r>
      <w:r w:rsidR="003D2856" w:rsidRPr="002963BC">
        <w:rPr>
          <w:rFonts w:ascii="Gill Sans MT" w:eastAsia="Gill Sans" w:hAnsi="Gill Sans MT" w:cs="Gill Sans"/>
          <w:i/>
          <w:iCs/>
          <w:color w:val="000000" w:themeColor="text1"/>
        </w:rPr>
        <w:t xml:space="preserve">Process </w:t>
      </w:r>
    </w:p>
    <w:p w14:paraId="12975103" w14:textId="77777777" w:rsidR="00E44A9F" w:rsidRDefault="00187CED" w:rsidP="007C66B6">
      <w:pPr>
        <w:ind w:left="-283" w:right="-294"/>
        <w:jc w:val="both"/>
        <w:rPr>
          <w:rFonts w:ascii="Gill Sans MT" w:eastAsia="Gill Sans" w:hAnsi="Gill Sans MT" w:cs="Gill Sans"/>
        </w:rPr>
      </w:pPr>
      <w:r w:rsidRPr="003D2856">
        <w:rPr>
          <w:rFonts w:ascii="Gill Sans MT" w:eastAsia="Gill Sans" w:hAnsi="Gill Sans MT" w:cs="Gill Sans"/>
        </w:rPr>
        <w:t>The State of Victoria is the first in the country to formally commence developing a treaty with Aboriginal Victorians and Traditional Owners.</w:t>
      </w:r>
      <w:bookmarkStart w:id="8" w:name="_Ref94287616"/>
      <w:r w:rsidRPr="003D2856">
        <w:rPr>
          <w:rFonts w:ascii="Gill Sans MT" w:eastAsia="Gill Sans" w:hAnsi="Gill Sans MT" w:cs="Gill Sans"/>
          <w:vertAlign w:val="superscript"/>
        </w:rPr>
        <w:footnoteReference w:id="19"/>
      </w:r>
      <w:bookmarkEnd w:id="8"/>
      <w:r w:rsidRPr="003D2856">
        <w:rPr>
          <w:rFonts w:ascii="Gill Sans MT" w:eastAsia="Gill Sans" w:hAnsi="Gill Sans MT" w:cs="Gill Sans"/>
        </w:rPr>
        <w:t xml:space="preserve"> The treaty process is governed by the </w:t>
      </w:r>
      <w:r w:rsidRPr="003D2856">
        <w:rPr>
          <w:rFonts w:ascii="Gill Sans MT" w:eastAsia="Gill Sans" w:hAnsi="Gill Sans MT" w:cs="Gill Sans"/>
          <w:i/>
        </w:rPr>
        <w:t xml:space="preserve">Advancing the Treaty Process with Aboriginal Victorians Act 2018 </w:t>
      </w:r>
      <w:r w:rsidRPr="003D2856">
        <w:rPr>
          <w:rFonts w:ascii="Gill Sans MT" w:eastAsia="Gill Sans" w:hAnsi="Gill Sans MT" w:cs="Gill Sans"/>
        </w:rPr>
        <w:t>(Vic) (</w:t>
      </w:r>
      <w:r w:rsidRPr="003D2856">
        <w:rPr>
          <w:rFonts w:ascii="Gill Sans MT" w:eastAsia="Gill Sans" w:hAnsi="Gill Sans MT" w:cs="Gill Sans"/>
          <w:b/>
        </w:rPr>
        <w:t>Advancing Treaty Act</w:t>
      </w:r>
      <w:r w:rsidRPr="003D2856">
        <w:rPr>
          <w:rFonts w:ascii="Gill Sans MT" w:eastAsia="Gill Sans" w:hAnsi="Gill Sans MT" w:cs="Gill Sans"/>
        </w:rPr>
        <w:t>), which requires an Aboriginal Representative Body to work in partnership with the State to ‘establish the entities, rules and resource base necessary to facilitate future treaty negotiations’.</w:t>
      </w:r>
      <w:r w:rsidRPr="003D2856">
        <w:rPr>
          <w:rFonts w:ascii="Gill Sans MT" w:eastAsia="Gill Sans" w:hAnsi="Gill Sans MT" w:cs="Gill Sans"/>
          <w:vertAlign w:val="superscript"/>
        </w:rPr>
        <w:footnoteReference w:id="20"/>
      </w:r>
      <w:r w:rsidRPr="003D2856">
        <w:rPr>
          <w:rFonts w:ascii="Gill Sans MT" w:eastAsia="Gill Sans" w:hAnsi="Gill Sans MT" w:cs="Gill Sans"/>
        </w:rPr>
        <w:t xml:space="preserve"> The treaty process in Victoria has three phases: (1) establishing an Aboriginal Representative Body; (2) developing a treaty framework; and (3) negotiating treaties.</w:t>
      </w:r>
      <w:r w:rsidRPr="003D2856">
        <w:rPr>
          <w:rFonts w:ascii="Gill Sans MT" w:eastAsia="Gill Sans" w:hAnsi="Gill Sans MT" w:cs="Gill Sans"/>
          <w:vertAlign w:val="superscript"/>
        </w:rPr>
        <w:footnoteReference w:id="21"/>
      </w:r>
      <w:r w:rsidRPr="003D2856">
        <w:rPr>
          <w:rFonts w:ascii="Gill Sans MT" w:eastAsia="Gill Sans" w:hAnsi="Gill Sans MT" w:cs="Gill Sans"/>
        </w:rPr>
        <w:t xml:space="preserve"> </w:t>
      </w:r>
    </w:p>
    <w:p w14:paraId="1AFD7114" w14:textId="37C572B8" w:rsidR="00F77EFA" w:rsidRPr="003D2856" w:rsidRDefault="00187CED" w:rsidP="00660FDD">
      <w:pPr>
        <w:ind w:left="-283" w:right="-294"/>
        <w:jc w:val="both"/>
        <w:rPr>
          <w:rFonts w:ascii="Gill Sans MT" w:eastAsia="Gill Sans" w:hAnsi="Gill Sans MT" w:cs="Gill Sans"/>
        </w:rPr>
      </w:pPr>
      <w:r w:rsidRPr="003D2856">
        <w:rPr>
          <w:rFonts w:ascii="Gill Sans MT" w:eastAsia="Gill Sans" w:hAnsi="Gill Sans MT" w:cs="Gill Sans"/>
        </w:rPr>
        <w:lastRenderedPageBreak/>
        <w:t>The first phase saw the establishment in 2019 of the First Peoples’ Assembly of Victoria (</w:t>
      </w:r>
      <w:r w:rsidRPr="003D2856">
        <w:rPr>
          <w:rFonts w:ascii="Gill Sans MT" w:eastAsia="Gill Sans" w:hAnsi="Gill Sans MT" w:cs="Gill Sans"/>
          <w:b/>
        </w:rPr>
        <w:t>Assembly</w:t>
      </w:r>
      <w:r w:rsidRPr="003D2856">
        <w:rPr>
          <w:rFonts w:ascii="Gill Sans MT" w:eastAsia="Gill Sans" w:hAnsi="Gill Sans MT" w:cs="Gill Sans"/>
        </w:rPr>
        <w:t>) -a democratically elected representative body for First Nations people in the State.</w:t>
      </w:r>
      <w:r w:rsidRPr="003D2856">
        <w:rPr>
          <w:rFonts w:ascii="Gill Sans MT" w:eastAsia="Gill Sans" w:hAnsi="Gill Sans MT" w:cs="Gill Sans"/>
          <w:vertAlign w:val="superscript"/>
        </w:rPr>
        <w:footnoteReference w:id="22"/>
      </w:r>
      <w:r w:rsidRPr="003D2856">
        <w:rPr>
          <w:rFonts w:ascii="Gill Sans MT" w:eastAsia="Gill Sans" w:hAnsi="Gill Sans MT" w:cs="Gill Sans"/>
        </w:rPr>
        <w:t xml:space="preserve"> </w:t>
      </w:r>
      <w:r w:rsidR="00B37C48">
        <w:rPr>
          <w:rFonts w:ascii="Gill Sans MT" w:eastAsia="Gill Sans" w:hAnsi="Gill Sans MT" w:cs="Gill Sans"/>
        </w:rPr>
        <w:t>The treaty process is</w:t>
      </w:r>
      <w:r w:rsidR="00B37C48" w:rsidRPr="003D2856">
        <w:rPr>
          <w:rFonts w:ascii="Gill Sans MT" w:eastAsia="Gill Sans" w:hAnsi="Gill Sans MT" w:cs="Gill Sans"/>
        </w:rPr>
        <w:t xml:space="preserve"> currently in phase 2</w:t>
      </w:r>
      <w:r w:rsidR="00B37C48">
        <w:rPr>
          <w:rFonts w:ascii="Gill Sans MT" w:eastAsia="Gill Sans" w:hAnsi="Gill Sans MT" w:cs="Gill Sans"/>
        </w:rPr>
        <w:t>,</w:t>
      </w:r>
      <w:r w:rsidR="00B37C48" w:rsidRPr="003D2856">
        <w:rPr>
          <w:rFonts w:ascii="Gill Sans MT" w:eastAsia="Gill Sans" w:hAnsi="Gill Sans MT" w:cs="Gill Sans"/>
          <w:vertAlign w:val="superscript"/>
        </w:rPr>
        <w:footnoteReference w:id="23"/>
      </w:r>
      <w:r w:rsidR="00B37C48">
        <w:rPr>
          <w:rFonts w:ascii="Gill Sans MT" w:eastAsia="Gill Sans" w:hAnsi="Gill Sans MT" w:cs="Gill Sans"/>
        </w:rPr>
        <w:t xml:space="preserve"> which involves </w:t>
      </w:r>
      <w:r w:rsidR="00E44A9F">
        <w:rPr>
          <w:rFonts w:ascii="Gill Sans MT" w:eastAsia="Gill Sans" w:hAnsi="Gill Sans MT" w:cs="Gill Sans"/>
        </w:rPr>
        <w:t>collaboration between the</w:t>
      </w:r>
      <w:r w:rsidR="00B37C48">
        <w:rPr>
          <w:rFonts w:ascii="Gill Sans MT" w:eastAsia="Gill Sans" w:hAnsi="Gill Sans MT" w:cs="Gill Sans"/>
        </w:rPr>
        <w:t xml:space="preserve"> </w:t>
      </w:r>
      <w:r w:rsidRPr="003D2856">
        <w:rPr>
          <w:rFonts w:ascii="Gill Sans MT" w:eastAsia="Gill Sans" w:hAnsi="Gill Sans MT" w:cs="Gill Sans"/>
        </w:rPr>
        <w:t xml:space="preserve">Assembly </w:t>
      </w:r>
      <w:r w:rsidR="00E44A9F">
        <w:rPr>
          <w:rFonts w:ascii="Gill Sans MT" w:eastAsia="Gill Sans" w:hAnsi="Gill Sans MT" w:cs="Gill Sans"/>
        </w:rPr>
        <w:t>and the</w:t>
      </w:r>
      <w:r w:rsidRPr="003D2856">
        <w:rPr>
          <w:rFonts w:ascii="Gill Sans MT" w:eastAsia="Gill Sans" w:hAnsi="Gill Sans MT" w:cs="Gill Sans"/>
        </w:rPr>
        <w:t xml:space="preserve"> </w:t>
      </w:r>
      <w:r w:rsidR="00E44A9F">
        <w:rPr>
          <w:rFonts w:ascii="Gill Sans MT" w:eastAsia="Gill Sans" w:hAnsi="Gill Sans MT" w:cs="Gill Sans"/>
        </w:rPr>
        <w:t>State</w:t>
      </w:r>
      <w:r w:rsidRPr="003D2856">
        <w:rPr>
          <w:rFonts w:ascii="Gill Sans MT" w:eastAsia="Gill Sans" w:hAnsi="Gill Sans MT" w:cs="Gill Sans"/>
        </w:rPr>
        <w:t xml:space="preserve"> to develop a framework for the negotiation of treaties.</w:t>
      </w:r>
      <w:r w:rsidRPr="003D2856">
        <w:rPr>
          <w:rFonts w:ascii="Gill Sans MT" w:eastAsia="Gill Sans" w:hAnsi="Gill Sans MT" w:cs="Gill Sans"/>
          <w:vertAlign w:val="superscript"/>
        </w:rPr>
        <w:footnoteReference w:id="24"/>
      </w:r>
      <w:r w:rsidRPr="003D2856">
        <w:rPr>
          <w:rFonts w:ascii="Gill Sans MT" w:eastAsia="Gill Sans" w:hAnsi="Gill Sans MT" w:cs="Gill Sans"/>
        </w:rPr>
        <w:t xml:space="preserve"> Th</w:t>
      </w:r>
      <w:r w:rsidR="00B37C48">
        <w:rPr>
          <w:rFonts w:ascii="Gill Sans MT" w:eastAsia="Gill Sans" w:hAnsi="Gill Sans MT" w:cs="Gill Sans"/>
        </w:rPr>
        <w:t>e Treaty Negotiation Framework</w:t>
      </w:r>
      <w:r w:rsidRPr="003D2856">
        <w:rPr>
          <w:rFonts w:ascii="Gill Sans MT" w:eastAsia="Gill Sans" w:hAnsi="Gill Sans MT" w:cs="Gill Sans"/>
        </w:rPr>
        <w:t xml:space="preserve"> will determine whether there should be one or multiple treaties, the content of treaties, and who negotiates and is represented by the treaties.</w:t>
      </w:r>
      <w:r w:rsidRPr="003D2856">
        <w:rPr>
          <w:rFonts w:ascii="Gill Sans MT" w:eastAsia="Gill Sans" w:hAnsi="Gill Sans MT" w:cs="Gill Sans"/>
          <w:vertAlign w:val="superscript"/>
        </w:rPr>
        <w:footnoteReference w:id="25"/>
      </w:r>
      <w:r w:rsidRPr="003D2856">
        <w:rPr>
          <w:rFonts w:ascii="Gill Sans MT" w:eastAsia="Gill Sans" w:hAnsi="Gill Sans MT" w:cs="Gill Sans"/>
        </w:rPr>
        <w:t xml:space="preserve"> The framework must ensure negotiations cover key issues, including the recognition of historic wrongs, addressing ongoing injustices, supporting reconciliation, ‘promoting the fundamental human rights of Aboriginal peoples, including the right to self-determination’, </w:t>
      </w:r>
      <w:r w:rsidR="00B37C48">
        <w:rPr>
          <w:rFonts w:ascii="Gill Sans MT" w:eastAsia="Gill Sans" w:hAnsi="Gill Sans MT" w:cs="Gill Sans"/>
        </w:rPr>
        <w:t xml:space="preserve">and </w:t>
      </w:r>
      <w:r w:rsidRPr="003D2856">
        <w:rPr>
          <w:rFonts w:ascii="Gill Sans MT" w:eastAsia="Gill Sans" w:hAnsi="Gill Sans MT" w:cs="Gill Sans"/>
        </w:rPr>
        <w:t>acknowledging the importance of culture to Aboriginal identity</w:t>
      </w:r>
      <w:r w:rsidR="00B37C48">
        <w:rPr>
          <w:rFonts w:ascii="Gill Sans MT" w:eastAsia="Gill Sans" w:hAnsi="Gill Sans MT" w:cs="Gill Sans"/>
        </w:rPr>
        <w:t>, among</w:t>
      </w:r>
      <w:r w:rsidRPr="003D2856">
        <w:rPr>
          <w:rFonts w:ascii="Gill Sans MT" w:eastAsia="Gill Sans" w:hAnsi="Gill Sans MT" w:cs="Gill Sans"/>
        </w:rPr>
        <w:t xml:space="preserve"> other objectives.</w:t>
      </w:r>
      <w:r w:rsidRPr="003D2856">
        <w:rPr>
          <w:rFonts w:ascii="Gill Sans MT" w:eastAsia="Gill Sans" w:hAnsi="Gill Sans MT" w:cs="Gill Sans"/>
          <w:vertAlign w:val="superscript"/>
        </w:rPr>
        <w:footnoteReference w:id="26"/>
      </w:r>
      <w:r w:rsidRPr="003D2856">
        <w:rPr>
          <w:rFonts w:ascii="Gill Sans MT" w:eastAsia="Gill Sans" w:hAnsi="Gill Sans MT" w:cs="Gill Sans"/>
        </w:rPr>
        <w:t xml:space="preserve"> The Assembly is also </w:t>
      </w:r>
      <w:r w:rsidR="008227CF">
        <w:rPr>
          <w:rFonts w:ascii="Gill Sans MT" w:eastAsia="Gill Sans" w:hAnsi="Gill Sans MT" w:cs="Gill Sans"/>
        </w:rPr>
        <w:t>working to</w:t>
      </w:r>
      <w:r w:rsidRPr="003D2856">
        <w:rPr>
          <w:rFonts w:ascii="Gill Sans MT" w:eastAsia="Gill Sans" w:hAnsi="Gill Sans MT" w:cs="Gill Sans"/>
        </w:rPr>
        <w:t xml:space="preserve"> establish:</w:t>
      </w:r>
      <w:r w:rsidRPr="003D2856">
        <w:rPr>
          <w:rFonts w:ascii="Gill Sans MT" w:eastAsia="Gill Sans" w:hAnsi="Gill Sans MT" w:cs="Gill Sans"/>
          <w:vertAlign w:val="superscript"/>
        </w:rPr>
        <w:footnoteReference w:id="27"/>
      </w:r>
      <w:r w:rsidRPr="003D2856">
        <w:rPr>
          <w:rFonts w:ascii="Gill Sans MT" w:eastAsia="Gill Sans" w:hAnsi="Gill Sans MT" w:cs="Gill Sans"/>
        </w:rPr>
        <w:t>an Elders’ Voice;</w:t>
      </w:r>
      <w:r w:rsidRPr="003D2856">
        <w:rPr>
          <w:rFonts w:ascii="Gill Sans MT" w:eastAsia="Gill Sans" w:hAnsi="Gill Sans MT" w:cs="Gill Sans"/>
          <w:vertAlign w:val="superscript"/>
        </w:rPr>
        <w:footnoteReference w:id="28"/>
      </w:r>
      <w:r w:rsidRPr="003D2856">
        <w:rPr>
          <w:rFonts w:ascii="Gill Sans MT" w:eastAsia="Gill Sans" w:hAnsi="Gill Sans MT" w:cs="Gill Sans"/>
        </w:rPr>
        <w:t xml:space="preserve"> a Self-determination Fund;</w:t>
      </w:r>
      <w:r w:rsidRPr="003D2856">
        <w:rPr>
          <w:rFonts w:ascii="Gill Sans MT" w:eastAsia="Gill Sans" w:hAnsi="Gill Sans MT" w:cs="Gill Sans"/>
          <w:vertAlign w:val="superscript"/>
        </w:rPr>
        <w:footnoteReference w:id="29"/>
      </w:r>
      <w:r w:rsidRPr="003D2856">
        <w:rPr>
          <w:rFonts w:ascii="Gill Sans MT" w:eastAsia="Gill Sans" w:hAnsi="Gill Sans MT" w:cs="Gill Sans"/>
        </w:rPr>
        <w:t xml:space="preserve"> and a Treaty Authority.</w:t>
      </w:r>
      <w:r w:rsidRPr="003D2856">
        <w:rPr>
          <w:rFonts w:ascii="Gill Sans MT" w:eastAsia="Gill Sans" w:hAnsi="Gill Sans MT" w:cs="Gill Sans"/>
          <w:vertAlign w:val="superscript"/>
        </w:rPr>
        <w:footnoteReference w:id="30"/>
      </w:r>
    </w:p>
    <w:p w14:paraId="4B516EB1" w14:textId="5EE69889" w:rsidR="00193BA0" w:rsidRPr="00CE69BF" w:rsidRDefault="00F77EFA" w:rsidP="00CE69BF">
      <w:pPr>
        <w:pStyle w:val="ListParagraph"/>
        <w:numPr>
          <w:ilvl w:val="0"/>
          <w:numId w:val="5"/>
        </w:numPr>
        <w:spacing w:before="120" w:after="120"/>
        <w:ind w:left="284" w:right="-295"/>
        <w:jc w:val="both"/>
        <w:rPr>
          <w:rFonts w:ascii="Gill Sans MT" w:eastAsia="Gill Sans" w:hAnsi="Gill Sans MT" w:cs="Gill Sans"/>
          <w:i/>
          <w:iCs/>
          <w:color w:val="000000" w:themeColor="text1"/>
        </w:rPr>
      </w:pPr>
      <w:r w:rsidRPr="002963BC">
        <w:rPr>
          <w:rFonts w:ascii="Gill Sans MT" w:eastAsia="Gill Sans" w:hAnsi="Gill Sans MT" w:cs="Gill Sans"/>
          <w:i/>
          <w:iCs/>
          <w:color w:val="000000" w:themeColor="text1"/>
        </w:rPr>
        <w:t>Truth Commission</w:t>
      </w:r>
    </w:p>
    <w:p w14:paraId="22DFBD31" w14:textId="02F2E2E5" w:rsidR="008227CF" w:rsidRDefault="00187CED" w:rsidP="008227CF">
      <w:pPr>
        <w:ind w:left="-283" w:right="-294"/>
        <w:jc w:val="both"/>
        <w:rPr>
          <w:rFonts w:ascii="Gill Sans MT" w:eastAsia="Gill Sans" w:hAnsi="Gill Sans MT" w:cs="Gill Sans"/>
        </w:rPr>
      </w:pPr>
      <w:r w:rsidRPr="003D2856">
        <w:rPr>
          <w:rFonts w:ascii="Gill Sans MT" w:eastAsia="Gill Sans" w:hAnsi="Gill Sans MT" w:cs="Gill Sans"/>
        </w:rPr>
        <w:t>Victoria has also established a truth telling commission, the Yoorrook Justice Commission.</w:t>
      </w:r>
      <w:r w:rsidRPr="003D2856">
        <w:rPr>
          <w:rFonts w:ascii="Gill Sans MT" w:eastAsia="Gill Sans" w:hAnsi="Gill Sans MT" w:cs="Gill Sans"/>
          <w:vertAlign w:val="superscript"/>
        </w:rPr>
        <w:footnoteReference w:id="31"/>
      </w:r>
      <w:r w:rsidRPr="003D2856">
        <w:rPr>
          <w:rFonts w:ascii="Gill Sans MT" w:eastAsia="Gill Sans" w:hAnsi="Gill Sans MT" w:cs="Gill Sans"/>
        </w:rPr>
        <w:t xml:space="preserve"> The role of the Commission is to ‘look into both past and ongoing injustices experienced by Traditional Owners and First Peoples in Victoria in all areas of life since colonisation,’ and includes [making] recommendations for healing, system reform and practical changes to laws, policy and education, as well as to matters to be included in future treaties.’</w:t>
      </w:r>
      <w:r w:rsidRPr="003D2856">
        <w:rPr>
          <w:rFonts w:ascii="Gill Sans MT" w:eastAsia="Gill Sans" w:hAnsi="Gill Sans MT" w:cs="Gill Sans"/>
          <w:vertAlign w:val="superscript"/>
        </w:rPr>
        <w:footnoteReference w:id="32"/>
      </w:r>
    </w:p>
    <w:p w14:paraId="3AF7117B" w14:textId="33666E8F" w:rsidR="008227CF" w:rsidRDefault="008227CF" w:rsidP="008227CF">
      <w:pPr>
        <w:ind w:left="-283" w:right="-294"/>
        <w:jc w:val="both"/>
        <w:rPr>
          <w:rFonts w:ascii="Gill Sans MT" w:eastAsia="Gill Sans" w:hAnsi="Gill Sans MT" w:cs="Gill Sans"/>
        </w:rPr>
      </w:pPr>
    </w:p>
    <w:p w14:paraId="7BAC2A61" w14:textId="22F9A50E" w:rsidR="008227CF" w:rsidRPr="003D2856" w:rsidRDefault="008227CF" w:rsidP="008227CF">
      <w:pPr>
        <w:ind w:left="-283" w:right="-294"/>
        <w:jc w:val="both"/>
        <w:rPr>
          <w:rFonts w:ascii="Gill Sans MT" w:eastAsia="Gill Sans" w:hAnsi="Gill Sans MT" w:cs="Gill Sans"/>
        </w:rPr>
      </w:pPr>
      <w:r>
        <w:rPr>
          <w:rFonts w:ascii="Gill Sans MT" w:eastAsia="Gill Sans" w:hAnsi="Gill Sans MT" w:cs="Gill Sans"/>
        </w:rPr>
        <w:t>The Castan Centre strongly endorses the First Peoples’ Assembly</w:t>
      </w:r>
      <w:r w:rsidR="00737143">
        <w:rPr>
          <w:rFonts w:ascii="Gill Sans MT" w:eastAsia="Gill Sans" w:hAnsi="Gill Sans MT" w:cs="Gill Sans"/>
        </w:rPr>
        <w:t xml:space="preserve"> of Victoria</w:t>
      </w:r>
      <w:r>
        <w:rPr>
          <w:rFonts w:ascii="Gill Sans MT" w:eastAsia="Gill Sans" w:hAnsi="Gill Sans MT" w:cs="Gill Sans"/>
        </w:rPr>
        <w:t xml:space="preserve"> and the Yoorrook Justice Commission as manifestations of Indigenous self-determination. </w:t>
      </w:r>
    </w:p>
    <w:p w14:paraId="6CA43628" w14:textId="4501F7DF" w:rsidR="00CE69BF" w:rsidRDefault="00187CED" w:rsidP="00660FDD">
      <w:pPr>
        <w:spacing w:before="120" w:after="80" w:line="240" w:lineRule="auto"/>
        <w:ind w:left="-142" w:right="-295"/>
        <w:jc w:val="both"/>
        <w:rPr>
          <w:rFonts w:ascii="Gill Sans MT" w:eastAsia="Gill Sans" w:hAnsi="Gill Sans MT" w:cs="Gill Sans"/>
          <w:b/>
          <w:bCs/>
          <w:color w:val="808080" w:themeColor="background1" w:themeShade="80"/>
        </w:rPr>
      </w:pPr>
      <w:r w:rsidRPr="00CE69BF">
        <w:rPr>
          <w:rFonts w:ascii="Gill Sans MT" w:eastAsia="Gill Sans" w:hAnsi="Gill Sans MT" w:cs="Gill Sans"/>
          <w:b/>
          <w:bCs/>
          <w:color w:val="808080" w:themeColor="background1" w:themeShade="80"/>
        </w:rPr>
        <w:t>2.3 Western Australia</w:t>
      </w:r>
    </w:p>
    <w:p w14:paraId="25C1CB27" w14:textId="1C1AA393" w:rsidR="00193BA0" w:rsidRPr="00CE69BF" w:rsidRDefault="00187CED" w:rsidP="00660FDD">
      <w:pPr>
        <w:pStyle w:val="ListParagraph"/>
        <w:numPr>
          <w:ilvl w:val="0"/>
          <w:numId w:val="6"/>
        </w:numPr>
        <w:spacing w:before="120" w:after="80"/>
        <w:ind w:left="283" w:right="-295" w:hanging="357"/>
        <w:jc w:val="both"/>
        <w:rPr>
          <w:rFonts w:ascii="Gill Sans MT" w:eastAsia="Gill Sans" w:hAnsi="Gill Sans MT" w:cs="Gill Sans"/>
          <w:i/>
          <w:iCs/>
          <w:color w:val="000000" w:themeColor="text1"/>
        </w:rPr>
      </w:pPr>
      <w:r w:rsidRPr="00CE69BF">
        <w:rPr>
          <w:rFonts w:ascii="Gill Sans MT" w:eastAsia="Gill Sans" w:hAnsi="Gill Sans MT" w:cs="Gill Sans"/>
          <w:i/>
          <w:iCs/>
          <w:color w:val="000000" w:themeColor="text1"/>
        </w:rPr>
        <w:t xml:space="preserve">The Noongar Settlement </w:t>
      </w:r>
    </w:p>
    <w:p w14:paraId="45CEAAC9" w14:textId="47B13595" w:rsidR="00CE69BF" w:rsidRDefault="00187CED" w:rsidP="007C66B6">
      <w:pPr>
        <w:ind w:left="-283" w:right="-294"/>
        <w:jc w:val="both"/>
        <w:rPr>
          <w:rFonts w:ascii="Gill Sans MT" w:eastAsia="Gill Sans" w:hAnsi="Gill Sans MT" w:cs="Gill Sans"/>
        </w:rPr>
      </w:pPr>
      <w:r w:rsidRPr="003D2856">
        <w:rPr>
          <w:rFonts w:ascii="Gill Sans MT" w:eastAsia="Gill Sans" w:hAnsi="Gill Sans MT" w:cs="Gill Sans"/>
        </w:rPr>
        <w:t>A further agreement which has origins in native title is the ‘Noongar Settlement’</w:t>
      </w:r>
      <w:r w:rsidR="00660FDD">
        <w:rPr>
          <w:rFonts w:ascii="Gill Sans MT" w:eastAsia="Gill Sans" w:hAnsi="Gill Sans MT" w:cs="Gill Sans"/>
        </w:rPr>
        <w:t>,</w:t>
      </w:r>
      <w:r w:rsidRPr="003D2856">
        <w:rPr>
          <w:rFonts w:ascii="Gill Sans MT" w:eastAsia="Gill Sans" w:hAnsi="Gill Sans MT" w:cs="Gill Sans"/>
        </w:rPr>
        <w:t xml:space="preserve"> ‘the largest and “most comprehensive” agreement to settle Aboriginal interests in land in Australian history’.</w:t>
      </w:r>
      <w:bookmarkStart w:id="9" w:name="_Ref94289157"/>
      <w:r w:rsidRPr="003D2856">
        <w:rPr>
          <w:rFonts w:ascii="Gill Sans MT" w:eastAsia="Gill Sans" w:hAnsi="Gill Sans MT" w:cs="Gill Sans"/>
          <w:vertAlign w:val="superscript"/>
        </w:rPr>
        <w:footnoteReference w:id="33"/>
      </w:r>
      <w:bookmarkEnd w:id="9"/>
      <w:r w:rsidRPr="003D2856">
        <w:rPr>
          <w:rFonts w:ascii="Gill Sans MT" w:eastAsia="Gill Sans" w:hAnsi="Gill Sans MT" w:cs="Gill Sans"/>
        </w:rPr>
        <w:t xml:space="preserve"> The agreement</w:t>
      </w:r>
      <w:r w:rsidR="00833FA7">
        <w:rPr>
          <w:rFonts w:ascii="Gill Sans MT" w:eastAsia="Gill Sans" w:hAnsi="Gill Sans MT" w:cs="Gill Sans"/>
        </w:rPr>
        <w:t>, which involves 30,000 Noongar people, and covers 200,000 km</w:t>
      </w:r>
      <w:r w:rsidR="00833FA7" w:rsidRPr="00833FA7">
        <w:rPr>
          <w:rFonts w:ascii="Gill Sans MT" w:eastAsia="Gill Sans" w:hAnsi="Gill Sans MT" w:cs="Gill Sans"/>
          <w:vertAlign w:val="superscript"/>
        </w:rPr>
        <w:t>2</w:t>
      </w:r>
      <w:r w:rsidRPr="003D2856">
        <w:rPr>
          <w:rFonts w:ascii="Gill Sans MT" w:eastAsia="Gill Sans" w:hAnsi="Gill Sans MT" w:cs="Gill Sans"/>
        </w:rPr>
        <w:t xml:space="preserve"> </w:t>
      </w:r>
      <w:r w:rsidR="00833FA7">
        <w:rPr>
          <w:rFonts w:ascii="Gill Sans MT" w:eastAsia="Gill Sans" w:hAnsi="Gill Sans MT" w:cs="Gill Sans"/>
        </w:rPr>
        <w:t>of land in the south</w:t>
      </w:r>
      <w:r w:rsidR="000F42ED">
        <w:rPr>
          <w:rFonts w:ascii="Gill Sans MT" w:eastAsia="Gill Sans" w:hAnsi="Gill Sans MT" w:cs="Gill Sans"/>
        </w:rPr>
        <w:t xml:space="preserve"> </w:t>
      </w:r>
      <w:r w:rsidR="00833FA7">
        <w:rPr>
          <w:rFonts w:ascii="Gill Sans MT" w:eastAsia="Gill Sans" w:hAnsi="Gill Sans MT" w:cs="Gill Sans"/>
        </w:rPr>
        <w:t>west of Western Australia, resolves all native title claims to that area.</w:t>
      </w:r>
      <w:r w:rsidR="00833FA7">
        <w:rPr>
          <w:rStyle w:val="FootnoteReference"/>
          <w:rFonts w:ascii="Gill Sans MT" w:eastAsia="Gill Sans" w:hAnsi="Gill Sans MT" w:cs="Gill Sans"/>
        </w:rPr>
        <w:footnoteReference w:id="34"/>
      </w:r>
      <w:r w:rsidR="00833FA7">
        <w:rPr>
          <w:rFonts w:ascii="Gill Sans MT" w:eastAsia="Gill Sans" w:hAnsi="Gill Sans MT" w:cs="Gill Sans"/>
        </w:rPr>
        <w:t xml:space="preserve"> It includes agreement on ‘rights, obligations and opportunities relating to land, resources, governance, finance and cultural heritage’.</w:t>
      </w:r>
      <w:r w:rsidR="00833FA7">
        <w:rPr>
          <w:rStyle w:val="FootnoteReference"/>
          <w:rFonts w:ascii="Gill Sans MT" w:eastAsia="Gill Sans" w:hAnsi="Gill Sans MT" w:cs="Gill Sans"/>
        </w:rPr>
        <w:footnoteReference w:id="35"/>
      </w:r>
      <w:r w:rsidR="009708E2">
        <w:rPr>
          <w:rFonts w:ascii="Gill Sans MT" w:eastAsia="Gill Sans" w:hAnsi="Gill Sans MT" w:cs="Gill Sans"/>
        </w:rPr>
        <w:t xml:space="preserve"> While c</w:t>
      </w:r>
      <w:r w:rsidR="009708E2" w:rsidRPr="003D2856">
        <w:rPr>
          <w:rFonts w:ascii="Gill Sans MT" w:eastAsia="Gill Sans" w:hAnsi="Gill Sans MT" w:cs="Gill Sans"/>
        </w:rPr>
        <w:t xml:space="preserve">onstitutional and Indigenous rights scholars Harry Hobbs and George Williams </w:t>
      </w:r>
      <w:r w:rsidR="00660FDD">
        <w:rPr>
          <w:rFonts w:ascii="Gill Sans MT" w:eastAsia="Gill Sans" w:hAnsi="Gill Sans MT" w:cs="Gill Sans"/>
        </w:rPr>
        <w:t>contend that</w:t>
      </w:r>
      <w:r w:rsidR="009708E2" w:rsidRPr="003D2856">
        <w:rPr>
          <w:rFonts w:ascii="Gill Sans MT" w:eastAsia="Gill Sans" w:hAnsi="Gill Sans MT" w:cs="Gill Sans"/>
        </w:rPr>
        <w:t xml:space="preserve"> the Noongar</w:t>
      </w:r>
      <w:r w:rsidR="000F42ED">
        <w:rPr>
          <w:rFonts w:ascii="Gill Sans MT" w:eastAsia="Gill Sans" w:hAnsi="Gill Sans MT" w:cs="Gill Sans"/>
        </w:rPr>
        <w:t xml:space="preserve"> S</w:t>
      </w:r>
      <w:r w:rsidR="009708E2" w:rsidRPr="003D2856">
        <w:rPr>
          <w:rFonts w:ascii="Gill Sans MT" w:eastAsia="Gill Sans" w:hAnsi="Gill Sans MT" w:cs="Gill Sans"/>
        </w:rPr>
        <w:t>ettlement constitute</w:t>
      </w:r>
      <w:r w:rsidR="00660FDD">
        <w:rPr>
          <w:rFonts w:ascii="Gill Sans MT" w:eastAsia="Gill Sans" w:hAnsi="Gill Sans MT" w:cs="Gill Sans"/>
        </w:rPr>
        <w:t>s</w:t>
      </w:r>
      <w:r w:rsidR="009708E2">
        <w:rPr>
          <w:rFonts w:ascii="Gill Sans MT" w:eastAsia="Gill Sans" w:hAnsi="Gill Sans MT" w:cs="Gill Sans"/>
        </w:rPr>
        <w:t xml:space="preserve"> </w:t>
      </w:r>
      <w:r w:rsidR="009708E2" w:rsidRPr="003D2856">
        <w:rPr>
          <w:rFonts w:ascii="Gill Sans MT" w:eastAsia="Gill Sans" w:hAnsi="Gill Sans MT" w:cs="Gill Sans"/>
        </w:rPr>
        <w:t>Australia’s first treaty between First Nations and the State</w:t>
      </w:r>
      <w:r w:rsidR="009708E2">
        <w:rPr>
          <w:rFonts w:ascii="Gill Sans MT" w:eastAsia="Gill Sans" w:hAnsi="Gill Sans MT" w:cs="Gill Sans"/>
        </w:rPr>
        <w:t>,</w:t>
      </w:r>
      <w:r w:rsidR="009708E2" w:rsidRPr="009708E2">
        <w:rPr>
          <w:rFonts w:ascii="Gill Sans MT" w:eastAsia="Gill Sans" w:hAnsi="Gill Sans MT" w:cs="Gill Sans"/>
          <w:vertAlign w:val="superscript"/>
        </w:rPr>
        <w:t xml:space="preserve"> </w:t>
      </w:r>
      <w:r w:rsidR="009708E2" w:rsidRPr="003D2856">
        <w:rPr>
          <w:rFonts w:ascii="Gill Sans MT" w:eastAsia="Gill Sans" w:hAnsi="Gill Sans MT" w:cs="Gill Sans"/>
          <w:vertAlign w:val="superscript"/>
        </w:rPr>
        <w:footnoteReference w:id="36"/>
      </w:r>
      <w:r w:rsidR="009708E2">
        <w:rPr>
          <w:rFonts w:ascii="Gill Sans MT" w:eastAsia="Gill Sans" w:hAnsi="Gill Sans MT" w:cs="Gill Sans"/>
        </w:rPr>
        <w:t xml:space="preserve">  it is important to note that the Noongar Settlement was ‘not conducted under an explicit treaty framework’.</w:t>
      </w:r>
      <w:r w:rsidR="009708E2">
        <w:rPr>
          <w:rStyle w:val="FootnoteReference"/>
          <w:rFonts w:ascii="Gill Sans MT" w:eastAsia="Gill Sans" w:hAnsi="Gill Sans MT" w:cs="Gill Sans"/>
        </w:rPr>
        <w:footnoteReference w:id="37"/>
      </w:r>
    </w:p>
    <w:p w14:paraId="7461696C" w14:textId="77777777" w:rsidR="00660FDD" w:rsidRDefault="00660FDD" w:rsidP="007C66B6">
      <w:pPr>
        <w:ind w:left="-283" w:right="-294"/>
        <w:jc w:val="both"/>
        <w:rPr>
          <w:rFonts w:ascii="Gill Sans MT" w:eastAsia="Gill Sans" w:hAnsi="Gill Sans MT" w:cs="Gill Sans"/>
        </w:rPr>
      </w:pPr>
    </w:p>
    <w:tbl>
      <w:tblPr>
        <w:tblStyle w:val="TableGrid"/>
        <w:tblW w:w="10059" w:type="dxa"/>
        <w:tblInd w:w="-283" w:type="dxa"/>
        <w:tblLook w:val="04A0" w:firstRow="1" w:lastRow="0" w:firstColumn="1" w:lastColumn="0" w:noHBand="0" w:noVBand="1"/>
      </w:tblPr>
      <w:tblGrid>
        <w:gridCol w:w="10059"/>
      </w:tblGrid>
      <w:tr w:rsidR="00CE69BF" w14:paraId="11C45515" w14:textId="77777777" w:rsidTr="00CE69BF">
        <w:tc>
          <w:tcPr>
            <w:tcW w:w="10059" w:type="dxa"/>
            <w:shd w:val="clear" w:color="auto" w:fill="000000" w:themeFill="text1"/>
          </w:tcPr>
          <w:p w14:paraId="6D37D3C6" w14:textId="4FF2A35C" w:rsidR="00CE69BF" w:rsidRDefault="00CE69BF" w:rsidP="00CE69BF">
            <w:pPr>
              <w:pStyle w:val="Heading1"/>
              <w:spacing w:before="120"/>
              <w:ind w:left="29" w:right="170" w:firstLine="0"/>
              <w:outlineLvl w:val="0"/>
              <w:rPr>
                <w:rFonts w:ascii="Gill Sans MT" w:eastAsia="Gill Sans" w:hAnsi="Gill Sans MT" w:cs="Gill Sans"/>
              </w:rPr>
            </w:pPr>
            <w:r w:rsidRPr="003D2856">
              <w:rPr>
                <w:rFonts w:ascii="Gill Sans MT" w:eastAsia="Gill Sans" w:hAnsi="Gill Sans MT" w:cs="Gill Sans"/>
              </w:rPr>
              <w:t>3.</w:t>
            </w:r>
            <w:r w:rsidR="00DE6EBE">
              <w:rPr>
                <w:rFonts w:ascii="Gill Sans MT" w:eastAsia="Gill Sans" w:hAnsi="Gill Sans MT" w:cs="Gill Sans"/>
              </w:rPr>
              <w:t xml:space="preserve"> </w:t>
            </w:r>
            <w:r w:rsidRPr="003D2856">
              <w:rPr>
                <w:rFonts w:ascii="Gill Sans MT" w:eastAsia="Gill Sans" w:hAnsi="Gill Sans MT" w:cs="Gill Sans"/>
              </w:rPr>
              <w:t xml:space="preserve">Barriers to, and Enabling Conditions Necessary to Promote, Constructive Dialogue on such Arrangements </w:t>
            </w:r>
          </w:p>
        </w:tc>
      </w:tr>
    </w:tbl>
    <w:p w14:paraId="253E4AC9" w14:textId="77777777" w:rsidR="00193BA0" w:rsidRPr="00CE69BF" w:rsidRDefault="00187CED" w:rsidP="005066D2">
      <w:pPr>
        <w:spacing w:before="120" w:after="120" w:line="240" w:lineRule="auto"/>
        <w:ind w:left="-142" w:right="-295"/>
        <w:jc w:val="both"/>
        <w:rPr>
          <w:rFonts w:ascii="Gill Sans MT" w:eastAsia="Gill Sans" w:hAnsi="Gill Sans MT" w:cs="Gill Sans"/>
          <w:b/>
          <w:bCs/>
          <w:color w:val="808080" w:themeColor="background1" w:themeShade="80"/>
        </w:rPr>
      </w:pPr>
      <w:r w:rsidRPr="00CE69BF">
        <w:rPr>
          <w:rFonts w:ascii="Gill Sans MT" w:eastAsia="Gill Sans" w:hAnsi="Gill Sans MT" w:cs="Gill Sans"/>
          <w:b/>
          <w:bCs/>
          <w:color w:val="808080" w:themeColor="background1" w:themeShade="80"/>
        </w:rPr>
        <w:t xml:space="preserve">3.1 Barriers to Establishing a Voice </w:t>
      </w:r>
    </w:p>
    <w:p w14:paraId="61C7C7E6" w14:textId="77777777" w:rsidR="00193BA0" w:rsidRPr="003D2856" w:rsidRDefault="00187CED">
      <w:pPr>
        <w:ind w:left="-283" w:right="-294"/>
        <w:jc w:val="both"/>
        <w:rPr>
          <w:rFonts w:ascii="Gill Sans MT" w:eastAsia="Gill Sans" w:hAnsi="Gill Sans MT" w:cs="Gill Sans"/>
        </w:rPr>
      </w:pPr>
      <w:r w:rsidRPr="003D2856">
        <w:rPr>
          <w:rFonts w:ascii="Gill Sans MT" w:eastAsia="Gill Sans" w:hAnsi="Gill Sans MT" w:cs="Gill Sans"/>
        </w:rPr>
        <w:t>The immediate political response to the Uluru Statement was dismissive, particularly of the Voice reform. The then Prime Minister argued that such a reform was ‘[not] capable of winning acceptance in a [constitutional] referendum’, and would be ‘seen as a third chamber of Parliament’.</w:t>
      </w:r>
      <w:r w:rsidRPr="003D2856">
        <w:rPr>
          <w:rFonts w:ascii="Gill Sans MT" w:eastAsia="Gill Sans" w:hAnsi="Gill Sans MT" w:cs="Gill Sans"/>
          <w:vertAlign w:val="superscript"/>
        </w:rPr>
        <w:footnoteReference w:id="38"/>
      </w:r>
      <w:r w:rsidRPr="003D2856">
        <w:rPr>
          <w:rFonts w:ascii="Gill Sans MT" w:eastAsia="Gill Sans" w:hAnsi="Gill Sans MT" w:cs="Gill Sans"/>
        </w:rPr>
        <w:t xml:space="preserve"> The current Prime Minister,</w:t>
      </w:r>
      <w:r w:rsidRPr="003D2856">
        <w:rPr>
          <w:rFonts w:ascii="Gill Sans MT" w:eastAsia="Gill Sans" w:hAnsi="Gill Sans MT" w:cs="Gill Sans"/>
          <w:vertAlign w:val="superscript"/>
        </w:rPr>
        <w:footnoteReference w:id="39"/>
      </w:r>
      <w:r w:rsidRPr="003D2856">
        <w:rPr>
          <w:rFonts w:ascii="Gill Sans MT" w:eastAsia="Gill Sans" w:hAnsi="Gill Sans MT" w:cs="Gill Sans"/>
        </w:rPr>
        <w:t xml:space="preserve"> Deputy Prime Minister</w:t>
      </w:r>
      <w:r w:rsidRPr="003D2856">
        <w:rPr>
          <w:rFonts w:ascii="Gill Sans MT" w:eastAsia="Gill Sans" w:hAnsi="Gill Sans MT" w:cs="Gill Sans"/>
          <w:vertAlign w:val="superscript"/>
        </w:rPr>
        <w:footnoteReference w:id="40"/>
      </w:r>
      <w:r w:rsidRPr="003D2856">
        <w:rPr>
          <w:rFonts w:ascii="Gill Sans MT" w:eastAsia="Gill Sans" w:hAnsi="Gill Sans MT" w:cs="Gill Sans"/>
        </w:rPr>
        <w:t xml:space="preserve">  and Minister for Home Affairs</w:t>
      </w:r>
      <w:r w:rsidRPr="003D2856">
        <w:rPr>
          <w:rFonts w:ascii="Gill Sans MT" w:eastAsia="Gill Sans" w:hAnsi="Gill Sans MT" w:cs="Gill Sans"/>
          <w:vertAlign w:val="superscript"/>
        </w:rPr>
        <w:footnoteReference w:id="41"/>
      </w:r>
      <w:r w:rsidRPr="003D2856">
        <w:rPr>
          <w:rFonts w:ascii="Gill Sans MT" w:eastAsia="Gill Sans" w:hAnsi="Gill Sans MT" w:cs="Gill Sans"/>
        </w:rPr>
        <w:t xml:space="preserve"> have also made similar claims- although scholars have dismissed these claims as unfounded.</w:t>
      </w:r>
      <w:r w:rsidRPr="003D2856">
        <w:rPr>
          <w:rFonts w:ascii="Gill Sans MT" w:eastAsia="Gill Sans" w:hAnsi="Gill Sans MT" w:cs="Gill Sans"/>
          <w:vertAlign w:val="superscript"/>
        </w:rPr>
        <w:footnoteReference w:id="42"/>
      </w:r>
    </w:p>
    <w:p w14:paraId="484CBC50" w14:textId="77777777" w:rsidR="00193BA0" w:rsidRPr="003D2856" w:rsidRDefault="00193BA0">
      <w:pPr>
        <w:ind w:left="-283" w:right="-294"/>
        <w:jc w:val="both"/>
        <w:rPr>
          <w:rFonts w:ascii="Gill Sans MT" w:eastAsia="Gill Sans" w:hAnsi="Gill Sans MT" w:cs="Gill Sans"/>
        </w:rPr>
      </w:pPr>
    </w:p>
    <w:p w14:paraId="42E12945" w14:textId="7907D886" w:rsidR="00193BA0" w:rsidRPr="003D2856" w:rsidRDefault="00187CED">
      <w:pPr>
        <w:ind w:left="-283" w:right="-294"/>
        <w:jc w:val="both"/>
        <w:rPr>
          <w:rFonts w:ascii="Gill Sans MT" w:eastAsia="Gill Sans" w:hAnsi="Gill Sans MT" w:cs="Gill Sans"/>
        </w:rPr>
      </w:pPr>
      <w:r w:rsidRPr="003D2856">
        <w:rPr>
          <w:rFonts w:ascii="Gill Sans MT" w:eastAsia="Gill Sans" w:hAnsi="Gill Sans MT" w:cs="Gill Sans"/>
        </w:rPr>
        <w:t>The Opposition, however, supports</w:t>
      </w:r>
      <w:r w:rsidRPr="003D2856">
        <w:rPr>
          <w:rFonts w:ascii="Gill Sans MT" w:eastAsia="Gill Sans" w:hAnsi="Gill Sans MT" w:cs="Gill Sans"/>
          <w:i/>
        </w:rPr>
        <w:t xml:space="preserve"> constitutional </w:t>
      </w:r>
      <w:r w:rsidRPr="003D2856">
        <w:rPr>
          <w:rFonts w:ascii="Gill Sans MT" w:eastAsia="Gill Sans" w:hAnsi="Gill Sans MT" w:cs="Gill Sans"/>
        </w:rPr>
        <w:t>enshrinement,</w:t>
      </w:r>
      <w:r w:rsidRPr="003D2856">
        <w:rPr>
          <w:rFonts w:ascii="Gill Sans MT" w:eastAsia="Gill Sans" w:hAnsi="Gill Sans MT" w:cs="Gill Sans"/>
          <w:vertAlign w:val="superscript"/>
        </w:rPr>
        <w:footnoteReference w:id="43"/>
      </w:r>
      <w:r w:rsidRPr="003D2856">
        <w:rPr>
          <w:rFonts w:ascii="Gill Sans MT" w:eastAsia="Gill Sans" w:hAnsi="Gill Sans MT" w:cs="Gill Sans"/>
        </w:rPr>
        <w:t xml:space="preserve"> and considers the Government’s proposal to be inconsistent with the Uluru Statement.</w:t>
      </w:r>
      <w:r w:rsidRPr="003D2856">
        <w:rPr>
          <w:rFonts w:ascii="Gill Sans MT" w:eastAsia="Gill Sans" w:hAnsi="Gill Sans MT" w:cs="Gill Sans"/>
          <w:vertAlign w:val="superscript"/>
        </w:rPr>
        <w:footnoteReference w:id="44"/>
      </w:r>
      <w:r w:rsidRPr="003D2856">
        <w:rPr>
          <w:rFonts w:ascii="Gill Sans MT" w:eastAsia="Gill Sans" w:hAnsi="Gill Sans MT" w:cs="Gill Sans"/>
        </w:rPr>
        <w:t xml:space="preserve"> There has also been criticism of the co-design process,</w:t>
      </w:r>
      <w:r w:rsidRPr="003D2856">
        <w:rPr>
          <w:rFonts w:ascii="Gill Sans MT" w:eastAsia="Gill Sans" w:hAnsi="Gill Sans MT" w:cs="Gill Sans"/>
          <w:vertAlign w:val="superscript"/>
        </w:rPr>
        <w:footnoteReference w:id="45"/>
      </w:r>
      <w:r w:rsidRPr="003D2856">
        <w:rPr>
          <w:rFonts w:ascii="Gill Sans MT" w:eastAsia="Gill Sans" w:hAnsi="Gill Sans MT" w:cs="Gill Sans"/>
        </w:rPr>
        <w:t xml:space="preserve"> and there remains continued disagreement about how to best achieve constitutional recognition,</w:t>
      </w:r>
      <w:r w:rsidRPr="003D2856">
        <w:rPr>
          <w:rFonts w:ascii="Gill Sans MT" w:eastAsia="Gill Sans" w:hAnsi="Gill Sans MT" w:cs="Gill Sans"/>
          <w:vertAlign w:val="superscript"/>
        </w:rPr>
        <w:footnoteReference w:id="46"/>
      </w:r>
      <w:r w:rsidRPr="003D2856">
        <w:rPr>
          <w:rFonts w:ascii="Gill Sans MT" w:eastAsia="Gill Sans" w:hAnsi="Gill Sans MT" w:cs="Gill Sans"/>
        </w:rPr>
        <w:t xml:space="preserve"> and the nature of the Voice, with considerable public support for a constitutionally enshrined Voice.</w:t>
      </w:r>
      <w:r w:rsidRPr="003D2856">
        <w:rPr>
          <w:rFonts w:ascii="Gill Sans MT" w:eastAsia="Gill Sans" w:hAnsi="Gill Sans MT" w:cs="Gill Sans"/>
          <w:vertAlign w:val="superscript"/>
        </w:rPr>
        <w:footnoteReference w:id="47"/>
      </w:r>
      <w:r w:rsidRPr="003D2856">
        <w:rPr>
          <w:rFonts w:ascii="Gill Sans MT" w:eastAsia="Gill Sans" w:hAnsi="Gill Sans MT" w:cs="Gill Sans"/>
        </w:rPr>
        <w:t xml:space="preserve"> A constitutional Voice would ‘benefit from greater stability because its existence would be guaranteed’, and would also provide for the recognition sought by many Aboriginal and Torres Strait Islander peoples.</w:t>
      </w:r>
      <w:r w:rsidRPr="003D2856">
        <w:rPr>
          <w:rFonts w:ascii="Gill Sans MT" w:eastAsia="Gill Sans" w:hAnsi="Gill Sans MT" w:cs="Gill Sans"/>
          <w:vertAlign w:val="superscript"/>
        </w:rPr>
        <w:footnoteReference w:id="48"/>
      </w:r>
    </w:p>
    <w:p w14:paraId="52F91E99" w14:textId="77777777" w:rsidR="00193BA0" w:rsidRPr="003D2856" w:rsidRDefault="00193BA0">
      <w:pPr>
        <w:ind w:left="-283" w:right="-294"/>
        <w:jc w:val="both"/>
        <w:rPr>
          <w:rFonts w:ascii="Gill Sans MT" w:eastAsia="Gill Sans" w:hAnsi="Gill Sans MT" w:cs="Gill Sans"/>
        </w:rPr>
      </w:pPr>
    </w:p>
    <w:p w14:paraId="5C6064CC" w14:textId="246F534F" w:rsidR="00404B24" w:rsidRPr="005066D2" w:rsidRDefault="00187CED" w:rsidP="005066D2">
      <w:pPr>
        <w:spacing w:after="80"/>
        <w:ind w:left="-284" w:right="-295"/>
        <w:jc w:val="both"/>
        <w:rPr>
          <w:rFonts w:ascii="Gill Sans MT" w:eastAsia="Gill Sans" w:hAnsi="Gill Sans MT" w:cs="Gill Sans"/>
        </w:rPr>
      </w:pPr>
      <w:r w:rsidRPr="003D2856">
        <w:rPr>
          <w:rFonts w:ascii="Gill Sans MT" w:eastAsia="Gill Sans" w:hAnsi="Gill Sans MT" w:cs="Gill Sans"/>
        </w:rPr>
        <w:t xml:space="preserve">Despite early commitments by the Australian Government to engage in Indigenous Voice reform before the end of the 46th Parliament, no such legislation has been enacted to date, and there is no indication that such a Bill will be introduced before the conclusion of the current Parliament, with the General Election required by </w:t>
      </w:r>
      <w:r w:rsidR="00510736" w:rsidRPr="003D2856">
        <w:rPr>
          <w:rFonts w:ascii="Gill Sans MT" w:eastAsia="Gill Sans" w:hAnsi="Gill Sans MT" w:cs="Gill Sans"/>
        </w:rPr>
        <w:t>May</w:t>
      </w:r>
      <w:r w:rsidRPr="003D2856">
        <w:rPr>
          <w:rFonts w:ascii="Gill Sans MT" w:eastAsia="Gill Sans" w:hAnsi="Gill Sans MT" w:cs="Gill Sans"/>
        </w:rPr>
        <w:t xml:space="preserve"> 2022.</w:t>
      </w:r>
      <w:r w:rsidRPr="003D2856">
        <w:rPr>
          <w:rFonts w:ascii="Gill Sans MT" w:eastAsia="Gill Sans" w:hAnsi="Gill Sans MT" w:cs="Gill Sans"/>
          <w:vertAlign w:val="superscript"/>
        </w:rPr>
        <w:footnoteReference w:id="49"/>
      </w:r>
    </w:p>
    <w:tbl>
      <w:tblPr>
        <w:tblStyle w:val="TableGrid"/>
        <w:tblW w:w="9634" w:type="dxa"/>
        <w:tblInd w:w="-283" w:type="dxa"/>
        <w:tblLook w:val="04A0" w:firstRow="1" w:lastRow="0" w:firstColumn="1" w:lastColumn="0" w:noHBand="0" w:noVBand="1"/>
      </w:tblPr>
      <w:tblGrid>
        <w:gridCol w:w="9634"/>
      </w:tblGrid>
      <w:tr w:rsidR="000F42ED" w14:paraId="3ACD6ED1" w14:textId="77777777" w:rsidTr="00404B24">
        <w:tc>
          <w:tcPr>
            <w:tcW w:w="9634" w:type="dxa"/>
            <w:shd w:val="clear" w:color="auto" w:fill="000000" w:themeFill="text1"/>
          </w:tcPr>
          <w:p w14:paraId="169DB24A" w14:textId="18F6A739" w:rsidR="000F42ED" w:rsidRDefault="000F42ED" w:rsidP="000F42ED">
            <w:pPr>
              <w:spacing w:before="120" w:after="120"/>
              <w:ind w:left="29" w:right="27"/>
              <w:jc w:val="both"/>
              <w:rPr>
                <w:rFonts w:ascii="Gill Sans MT" w:eastAsia="Gill Sans" w:hAnsi="Gill Sans MT" w:cs="Gill Sans"/>
                <w:b/>
                <w:sz w:val="24"/>
                <w:szCs w:val="24"/>
              </w:rPr>
            </w:pPr>
            <w:r w:rsidRPr="003D2856">
              <w:rPr>
                <w:rFonts w:ascii="Gill Sans MT" w:eastAsia="Gill Sans" w:hAnsi="Gill Sans MT" w:cs="Gill Sans"/>
                <w:b/>
                <w:sz w:val="24"/>
                <w:szCs w:val="24"/>
              </w:rPr>
              <w:t>4.</w:t>
            </w:r>
            <w:r>
              <w:rPr>
                <w:rFonts w:ascii="Gill Sans MT" w:eastAsia="Gill Sans" w:hAnsi="Gill Sans MT" w:cs="Gill Sans"/>
                <w:b/>
                <w:sz w:val="24"/>
                <w:szCs w:val="24"/>
              </w:rPr>
              <w:t xml:space="preserve"> </w:t>
            </w:r>
            <w:r w:rsidRPr="003D2856">
              <w:rPr>
                <w:rFonts w:ascii="Gill Sans MT" w:eastAsia="Gill Sans" w:hAnsi="Gill Sans MT" w:cs="Gill Sans"/>
                <w:b/>
                <w:sz w:val="24"/>
                <w:szCs w:val="24"/>
              </w:rPr>
              <w:t>Barriers to Implementation of Treaties, Agreements and Other Constructive Arrangements etc</w:t>
            </w:r>
          </w:p>
        </w:tc>
      </w:tr>
    </w:tbl>
    <w:p w14:paraId="3411EE02" w14:textId="0F966F22" w:rsidR="00193BA0" w:rsidRPr="005066D2" w:rsidRDefault="00187CED" w:rsidP="005066D2">
      <w:pPr>
        <w:spacing w:before="120" w:after="120" w:line="240" w:lineRule="auto"/>
        <w:ind w:left="-142" w:right="-295"/>
        <w:jc w:val="both"/>
        <w:rPr>
          <w:rFonts w:ascii="Gill Sans MT" w:eastAsia="Gill Sans" w:hAnsi="Gill Sans MT" w:cs="Gill Sans"/>
          <w:b/>
          <w:bCs/>
          <w:color w:val="808080" w:themeColor="background1" w:themeShade="80"/>
        </w:rPr>
      </w:pPr>
      <w:r w:rsidRPr="005066D2">
        <w:rPr>
          <w:rFonts w:ascii="Gill Sans MT" w:eastAsia="Gill Sans" w:hAnsi="Gill Sans MT" w:cs="Gill Sans"/>
          <w:b/>
          <w:bCs/>
          <w:color w:val="808080" w:themeColor="background1" w:themeShade="80"/>
        </w:rPr>
        <w:t>4.1 Truth Alone is Insufficient</w:t>
      </w:r>
    </w:p>
    <w:p w14:paraId="2EE49DB1" w14:textId="0D21A24F" w:rsidR="00193BA0" w:rsidRPr="003D2856" w:rsidRDefault="00187CED">
      <w:pPr>
        <w:ind w:left="-283" w:right="-294"/>
        <w:jc w:val="both"/>
        <w:rPr>
          <w:rFonts w:ascii="Gill Sans MT" w:eastAsia="Gill Sans" w:hAnsi="Gill Sans MT" w:cs="Gill Sans"/>
        </w:rPr>
      </w:pPr>
      <w:r w:rsidRPr="003D2856">
        <w:rPr>
          <w:rFonts w:ascii="Gill Sans MT" w:eastAsia="Gill Sans" w:hAnsi="Gill Sans MT" w:cs="Gill Sans"/>
        </w:rPr>
        <w:t>The Australian experience has shown that ‘[t]he idea that truth automatically will lead to justice is fraught’.</w:t>
      </w:r>
      <w:r w:rsidRPr="003D2856">
        <w:rPr>
          <w:rFonts w:ascii="Gill Sans MT" w:eastAsia="Gill Sans" w:hAnsi="Gill Sans MT" w:cs="Gill Sans"/>
          <w:vertAlign w:val="superscript"/>
        </w:rPr>
        <w:footnoteReference w:id="50"/>
      </w:r>
      <w:r w:rsidRPr="003D2856">
        <w:rPr>
          <w:rFonts w:ascii="Gill Sans MT" w:eastAsia="Gill Sans" w:hAnsi="Gill Sans MT" w:cs="Gill Sans"/>
        </w:rPr>
        <w:t xml:space="preserve"> Indeed, there have been many attempts at truth-telling in Australia on laws, policies, and practices impacting </w:t>
      </w:r>
      <w:r w:rsidRPr="003D2856">
        <w:rPr>
          <w:rFonts w:ascii="Gill Sans MT" w:eastAsia="Gill Sans" w:hAnsi="Gill Sans MT" w:cs="Gill Sans"/>
        </w:rPr>
        <w:lastRenderedPageBreak/>
        <w:t xml:space="preserve">upon First Nations peoples, including the 1991 Royal Commission into Aboriginal Deaths in Custody, the 1997 Australian Human Rights Commission </w:t>
      </w:r>
      <w:r w:rsidRPr="003D2856">
        <w:rPr>
          <w:rFonts w:ascii="Gill Sans MT" w:eastAsia="Gill Sans" w:hAnsi="Gill Sans MT" w:cs="Gill Sans"/>
          <w:i/>
        </w:rPr>
        <w:t xml:space="preserve">Bringing Them Home </w:t>
      </w:r>
      <w:r w:rsidRPr="003D2856">
        <w:rPr>
          <w:rFonts w:ascii="Gill Sans MT" w:eastAsia="Gill Sans" w:hAnsi="Gill Sans MT" w:cs="Gill Sans"/>
        </w:rPr>
        <w:t xml:space="preserve">Report and the 2017 Royal Commission into the Protection and Detention of Children in the Northern Territory. None </w:t>
      </w:r>
      <w:r w:rsidR="00404B24">
        <w:rPr>
          <w:rFonts w:ascii="Gill Sans MT" w:eastAsia="Gill Sans" w:hAnsi="Gill Sans MT" w:cs="Gill Sans"/>
        </w:rPr>
        <w:t>have</w:t>
      </w:r>
      <w:r w:rsidRPr="003D2856">
        <w:rPr>
          <w:rFonts w:ascii="Gill Sans MT" w:eastAsia="Gill Sans" w:hAnsi="Gill Sans MT" w:cs="Gill Sans"/>
        </w:rPr>
        <w:t xml:space="preserve"> led to systemic reform of law, policy, or practice. </w:t>
      </w:r>
      <w:r w:rsidR="00404B24">
        <w:rPr>
          <w:rFonts w:ascii="Gill Sans MT" w:eastAsia="Gill Sans" w:hAnsi="Gill Sans MT" w:cs="Gill Sans"/>
        </w:rPr>
        <w:t>Accordingly, First Nations peoples have placed great</w:t>
      </w:r>
      <w:r w:rsidRPr="003D2856">
        <w:rPr>
          <w:rFonts w:ascii="Gill Sans MT" w:eastAsia="Gill Sans" w:hAnsi="Gill Sans MT" w:cs="Gill Sans"/>
        </w:rPr>
        <w:t xml:space="preserve"> emphasis on mechanisms for </w:t>
      </w:r>
      <w:r w:rsidR="00404B24">
        <w:rPr>
          <w:rFonts w:ascii="Gill Sans MT" w:eastAsia="Gill Sans" w:hAnsi="Gill Sans MT" w:cs="Gill Sans"/>
        </w:rPr>
        <w:t xml:space="preserve">meaningful </w:t>
      </w:r>
      <w:r w:rsidRPr="003D2856">
        <w:rPr>
          <w:rFonts w:ascii="Gill Sans MT" w:eastAsia="Gill Sans" w:hAnsi="Gill Sans MT" w:cs="Gill Sans"/>
        </w:rPr>
        <w:t>structural reform</w:t>
      </w:r>
      <w:r w:rsidR="00404B24">
        <w:rPr>
          <w:rFonts w:ascii="Gill Sans MT" w:eastAsia="Gill Sans" w:hAnsi="Gill Sans MT" w:cs="Gill Sans"/>
        </w:rPr>
        <w:t xml:space="preserve"> before </w:t>
      </w:r>
      <w:r w:rsidRPr="003D2856">
        <w:rPr>
          <w:rFonts w:ascii="Gill Sans MT" w:eastAsia="Gill Sans" w:hAnsi="Gill Sans MT" w:cs="Gill Sans"/>
        </w:rPr>
        <w:t>more truth-telling</w:t>
      </w:r>
      <w:r w:rsidR="00404B24">
        <w:rPr>
          <w:rFonts w:ascii="Gill Sans MT" w:eastAsia="Gill Sans" w:hAnsi="Gill Sans MT" w:cs="Gill Sans"/>
        </w:rPr>
        <w:t xml:space="preserve"> initiatives</w:t>
      </w:r>
      <w:r w:rsidRPr="003D2856">
        <w:rPr>
          <w:rFonts w:ascii="Gill Sans MT" w:eastAsia="Gill Sans" w:hAnsi="Gill Sans MT" w:cs="Gill Sans"/>
        </w:rPr>
        <w:t xml:space="preserve">. </w:t>
      </w:r>
    </w:p>
    <w:p w14:paraId="13825669" w14:textId="77777777" w:rsidR="00193BA0" w:rsidRPr="003D2856" w:rsidRDefault="00193BA0">
      <w:pPr>
        <w:ind w:left="-283" w:right="-294"/>
        <w:jc w:val="both"/>
        <w:rPr>
          <w:rFonts w:ascii="Gill Sans MT" w:eastAsia="Gill Sans" w:hAnsi="Gill Sans MT" w:cs="Gill Sans"/>
        </w:rPr>
      </w:pPr>
    </w:p>
    <w:p w14:paraId="354DE03D" w14:textId="357A652C" w:rsidR="005066D2" w:rsidRDefault="00187CED" w:rsidP="005066D2">
      <w:pPr>
        <w:ind w:left="-283" w:right="-294"/>
        <w:jc w:val="both"/>
        <w:rPr>
          <w:rFonts w:ascii="Gill Sans MT" w:eastAsia="Gill Sans" w:hAnsi="Gill Sans MT" w:cs="Gill Sans"/>
        </w:rPr>
      </w:pPr>
      <w:r w:rsidRPr="003D2856">
        <w:rPr>
          <w:rFonts w:ascii="Gill Sans MT" w:eastAsia="Gill Sans" w:hAnsi="Gill Sans MT" w:cs="Gill Sans"/>
        </w:rPr>
        <w:t xml:space="preserve">The Victorian treaty and truth-telling </w:t>
      </w:r>
      <w:r w:rsidR="00634204">
        <w:rPr>
          <w:rFonts w:ascii="Gill Sans MT" w:eastAsia="Gill Sans" w:hAnsi="Gill Sans MT" w:cs="Gill Sans"/>
        </w:rPr>
        <w:t xml:space="preserve">process (see Part 2.2) </w:t>
      </w:r>
      <w:r w:rsidRPr="003D2856">
        <w:rPr>
          <w:rFonts w:ascii="Gill Sans MT" w:eastAsia="Gill Sans" w:hAnsi="Gill Sans MT" w:cs="Gill Sans"/>
        </w:rPr>
        <w:t>provides an illustration of a mechanism which recognises the need for structural reform to recognise First People’s sovereignty and self-determination (</w:t>
      </w:r>
      <w:r w:rsidR="00634204">
        <w:rPr>
          <w:rFonts w:ascii="Gill Sans MT" w:eastAsia="Gill Sans" w:hAnsi="Gill Sans MT" w:cs="Gill Sans"/>
        </w:rPr>
        <w:t>i.e.</w:t>
      </w:r>
      <w:r w:rsidRPr="003D2856">
        <w:rPr>
          <w:rFonts w:ascii="Gill Sans MT" w:eastAsia="Gill Sans" w:hAnsi="Gill Sans MT" w:cs="Gill Sans"/>
        </w:rPr>
        <w:t xml:space="preserve"> First Peoples’ Assembly and treaty process) </w:t>
      </w:r>
      <w:r w:rsidRPr="00634204">
        <w:rPr>
          <w:rFonts w:ascii="Gill Sans MT" w:eastAsia="Gill Sans" w:hAnsi="Gill Sans MT" w:cs="Gill Sans"/>
        </w:rPr>
        <w:t>as well</w:t>
      </w:r>
      <w:r w:rsidRPr="003D2856">
        <w:rPr>
          <w:rFonts w:ascii="Gill Sans MT" w:eastAsia="Gill Sans" w:hAnsi="Gill Sans MT" w:cs="Gill Sans"/>
        </w:rPr>
        <w:t xml:space="preserve"> as the truth-telling exercise to be undertaken by the Yoorrook Justice Commission</w:t>
      </w:r>
      <w:r w:rsidR="00634204">
        <w:rPr>
          <w:rFonts w:ascii="Gill Sans MT" w:eastAsia="Gill Sans" w:hAnsi="Gill Sans MT" w:cs="Gill Sans"/>
        </w:rPr>
        <w:t>. The Commission’s design and process is</w:t>
      </w:r>
      <w:r w:rsidRPr="003D2856">
        <w:rPr>
          <w:rFonts w:ascii="Gill Sans MT" w:eastAsia="Gill Sans" w:hAnsi="Gill Sans MT" w:cs="Gill Sans"/>
        </w:rPr>
        <w:t xml:space="preserve"> informed by the self-determination of Victoria’s First Peoples which complements, but does not overshadow, the structural reform agenda.</w:t>
      </w:r>
      <w:r w:rsidRPr="003D2856">
        <w:rPr>
          <w:rFonts w:ascii="Gill Sans MT" w:eastAsia="Gill Sans" w:hAnsi="Gill Sans MT" w:cs="Gill Sans"/>
          <w:vertAlign w:val="superscript"/>
        </w:rPr>
        <w:footnoteReference w:id="51"/>
      </w:r>
    </w:p>
    <w:p w14:paraId="63F14579" w14:textId="6F933517" w:rsidR="00193BA0" w:rsidRPr="005066D2" w:rsidRDefault="005066D2" w:rsidP="005066D2">
      <w:pPr>
        <w:spacing w:before="120" w:after="120" w:line="240" w:lineRule="auto"/>
        <w:ind w:left="-142" w:right="-295"/>
        <w:jc w:val="both"/>
        <w:rPr>
          <w:rFonts w:ascii="Gill Sans MT" w:eastAsia="Gill Sans" w:hAnsi="Gill Sans MT" w:cs="Gill Sans"/>
          <w:b/>
          <w:bCs/>
          <w:color w:val="808080" w:themeColor="background1" w:themeShade="80"/>
        </w:rPr>
      </w:pPr>
      <w:r w:rsidRPr="005066D2">
        <w:rPr>
          <w:rFonts w:ascii="Gill Sans MT" w:eastAsia="Gill Sans" w:hAnsi="Gill Sans MT" w:cs="Gill Sans"/>
          <w:b/>
          <w:bCs/>
          <w:color w:val="808080" w:themeColor="background1" w:themeShade="80"/>
        </w:rPr>
        <w:t>4.2 Barriers to Establishing Native Title</w:t>
      </w:r>
    </w:p>
    <w:p w14:paraId="7D29D9EB" w14:textId="499A1A49" w:rsidR="00A95083" w:rsidRPr="003D2856" w:rsidRDefault="00187CED" w:rsidP="00A95083">
      <w:pPr>
        <w:spacing w:after="200"/>
        <w:ind w:left="-283" w:right="-294"/>
        <w:jc w:val="both"/>
        <w:rPr>
          <w:rFonts w:ascii="Gill Sans MT" w:eastAsia="Gill Sans" w:hAnsi="Gill Sans MT" w:cs="Gill Sans"/>
        </w:rPr>
      </w:pPr>
      <w:r w:rsidRPr="003D2856">
        <w:rPr>
          <w:rFonts w:ascii="Gill Sans MT" w:eastAsia="Gill Sans" w:hAnsi="Gill Sans MT" w:cs="Gill Sans"/>
        </w:rPr>
        <w:t>The limitations inherent in the recognition of native title ‘have constrained Indigenous peoples’ ability to transform their moral interests into legally enforceable rights’.</w:t>
      </w:r>
      <w:r w:rsidRPr="003D2856">
        <w:rPr>
          <w:rFonts w:ascii="Gill Sans MT" w:eastAsia="Gill Sans" w:hAnsi="Gill Sans MT" w:cs="Gill Sans"/>
          <w:vertAlign w:val="superscript"/>
        </w:rPr>
        <w:footnoteReference w:id="52"/>
      </w:r>
      <w:r w:rsidRPr="003D2856">
        <w:rPr>
          <w:rFonts w:ascii="Gill Sans MT" w:eastAsia="Gill Sans" w:hAnsi="Gill Sans MT" w:cs="Gill Sans"/>
        </w:rPr>
        <w:t>As Hobbs and Williams note, native title reflects the desire of governments to pursue what it considers to be practical mechanisms to the recognition of First Nations land rights, rather than any broader claim for self-determination and sovereignty beyond the process of colonisation.</w:t>
      </w:r>
      <w:r w:rsidRPr="003D2856">
        <w:rPr>
          <w:rFonts w:ascii="Gill Sans MT" w:eastAsia="Gill Sans" w:hAnsi="Gill Sans MT" w:cs="Gill Sans"/>
          <w:vertAlign w:val="superscript"/>
        </w:rPr>
        <w:footnoteReference w:id="53"/>
      </w:r>
      <w:r w:rsidRPr="003D2856">
        <w:rPr>
          <w:rFonts w:ascii="Gill Sans MT" w:eastAsia="Gill Sans" w:hAnsi="Gill Sans MT" w:cs="Gill Sans"/>
        </w:rPr>
        <w:t xml:space="preserve"> The Noongar Settlement can therefore be seen as an outlier and the real ability of native title agreements to deliver upon the sorts of claims First Nations people are making for self-determination can be questioned. Further, the native title process has been recognised as ‘highly resource intensive’ with costs borne ‘most acutely’ by First Nations people, such as ‘in the need for detailed evidence relating to connection [to the land] to be brought by [First Nations] claimants’.</w:t>
      </w:r>
      <w:r w:rsidRPr="003D2856">
        <w:rPr>
          <w:rFonts w:ascii="Gill Sans MT" w:eastAsia="Gill Sans" w:hAnsi="Gill Sans MT" w:cs="Gill Sans"/>
          <w:vertAlign w:val="superscript"/>
        </w:rPr>
        <w:footnoteReference w:id="54"/>
      </w:r>
      <w:r w:rsidRPr="003D2856">
        <w:rPr>
          <w:rFonts w:ascii="Gill Sans MT" w:eastAsia="Gill Sans" w:hAnsi="Gill Sans MT" w:cs="Gill Sans"/>
        </w:rPr>
        <w:t xml:space="preserve"> </w:t>
      </w:r>
    </w:p>
    <w:tbl>
      <w:tblPr>
        <w:tblStyle w:val="TableGrid"/>
        <w:tblW w:w="9634" w:type="dxa"/>
        <w:tblInd w:w="-283" w:type="dxa"/>
        <w:tblLook w:val="04A0" w:firstRow="1" w:lastRow="0" w:firstColumn="1" w:lastColumn="0" w:noHBand="0" w:noVBand="1"/>
      </w:tblPr>
      <w:tblGrid>
        <w:gridCol w:w="9634"/>
      </w:tblGrid>
      <w:tr w:rsidR="006C2BFD" w14:paraId="035F8E55" w14:textId="77777777" w:rsidTr="006C2BFD">
        <w:tc>
          <w:tcPr>
            <w:tcW w:w="9634" w:type="dxa"/>
            <w:shd w:val="clear" w:color="auto" w:fill="000000" w:themeFill="text1"/>
          </w:tcPr>
          <w:p w14:paraId="2942D12E" w14:textId="285852F7" w:rsidR="006C2BFD" w:rsidRDefault="006C2BFD" w:rsidP="006C2BFD">
            <w:pPr>
              <w:pStyle w:val="Heading1"/>
              <w:spacing w:before="120"/>
              <w:ind w:left="0" w:right="-295" w:firstLine="0"/>
              <w:outlineLvl w:val="0"/>
              <w:rPr>
                <w:rFonts w:ascii="Gill Sans MT" w:eastAsia="Gill Sans" w:hAnsi="Gill Sans MT" w:cs="Gill Sans"/>
              </w:rPr>
            </w:pPr>
            <w:bookmarkStart w:id="10" w:name="_xsc3p8r8plm5" w:colFirst="0" w:colLast="0"/>
            <w:bookmarkEnd w:id="10"/>
            <w:r w:rsidRPr="003D2856">
              <w:rPr>
                <w:rFonts w:ascii="Gill Sans MT" w:eastAsia="Gill Sans" w:hAnsi="Gill Sans MT" w:cs="Gill Sans"/>
              </w:rPr>
              <w:t xml:space="preserve">5. </w:t>
            </w:r>
            <w:r w:rsidRPr="006C2BFD">
              <w:rPr>
                <w:rFonts w:ascii="Gill Sans MT" w:eastAsia="Gill Sans" w:hAnsi="Gill Sans MT" w:cs="Gill Sans"/>
                <w:shd w:val="clear" w:color="auto" w:fill="000000" w:themeFill="text1"/>
              </w:rPr>
              <w:t>Mechanisms for Conflict Resolution</w:t>
            </w:r>
          </w:p>
        </w:tc>
      </w:tr>
    </w:tbl>
    <w:p w14:paraId="1AE631A8" w14:textId="2C412B20" w:rsidR="005066D2" w:rsidRPr="005066D2" w:rsidRDefault="005066D2" w:rsidP="005066D2">
      <w:pPr>
        <w:spacing w:before="120" w:after="120" w:line="240" w:lineRule="auto"/>
        <w:ind w:left="-142" w:right="-295"/>
        <w:jc w:val="both"/>
        <w:rPr>
          <w:rFonts w:ascii="Gill Sans MT" w:eastAsia="Gill Sans" w:hAnsi="Gill Sans MT" w:cs="Gill Sans"/>
          <w:b/>
          <w:bCs/>
          <w:color w:val="808080" w:themeColor="background1" w:themeShade="80"/>
        </w:rPr>
      </w:pPr>
      <w:r w:rsidRPr="005066D2">
        <w:rPr>
          <w:rFonts w:ascii="Gill Sans MT" w:eastAsia="Gill Sans" w:hAnsi="Gill Sans MT" w:cs="Gill Sans"/>
          <w:b/>
          <w:bCs/>
          <w:color w:val="808080" w:themeColor="background1" w:themeShade="80"/>
        </w:rPr>
        <w:t xml:space="preserve">5.1 Victoria’s </w:t>
      </w:r>
      <w:r w:rsidR="00A95083">
        <w:rPr>
          <w:rFonts w:ascii="Gill Sans MT" w:eastAsia="Gill Sans" w:hAnsi="Gill Sans MT" w:cs="Gill Sans"/>
          <w:b/>
          <w:bCs/>
          <w:color w:val="808080" w:themeColor="background1" w:themeShade="80"/>
        </w:rPr>
        <w:t>Treaty Process</w:t>
      </w:r>
      <w:r w:rsidR="001276EE">
        <w:rPr>
          <w:rFonts w:ascii="Gill Sans MT" w:eastAsia="Gill Sans" w:hAnsi="Gill Sans MT" w:cs="Gill Sans"/>
          <w:b/>
          <w:bCs/>
          <w:color w:val="808080" w:themeColor="background1" w:themeShade="80"/>
        </w:rPr>
        <w:t xml:space="preserve"> and National Native Title Tribunal</w:t>
      </w:r>
    </w:p>
    <w:p w14:paraId="7008607E" w14:textId="03132410" w:rsidR="007C66B6" w:rsidRDefault="00187CED" w:rsidP="001276EE">
      <w:pPr>
        <w:ind w:left="-283" w:right="-294"/>
        <w:jc w:val="both"/>
        <w:rPr>
          <w:rFonts w:ascii="Gill Sans MT" w:eastAsia="Gill Sans" w:hAnsi="Gill Sans MT" w:cs="Gill Sans"/>
        </w:rPr>
      </w:pPr>
      <w:r w:rsidRPr="003D2856">
        <w:rPr>
          <w:rFonts w:ascii="Gill Sans MT" w:eastAsia="Gill Sans" w:hAnsi="Gill Sans MT" w:cs="Gill Sans"/>
        </w:rPr>
        <w:t>Although no treaty process has been finalised as yet,</w:t>
      </w:r>
      <w:r w:rsidRPr="003D2856">
        <w:rPr>
          <w:rFonts w:ascii="Gill Sans MT" w:eastAsia="Gill Sans" w:hAnsi="Gill Sans MT" w:cs="Gill Sans"/>
          <w:vertAlign w:val="superscript"/>
        </w:rPr>
        <w:footnoteReference w:id="55"/>
      </w:r>
      <w:r w:rsidRPr="003D2856">
        <w:rPr>
          <w:rFonts w:ascii="Gill Sans MT" w:eastAsia="Gill Sans" w:hAnsi="Gill Sans MT" w:cs="Gill Sans"/>
        </w:rPr>
        <w:t xml:space="preserve"> Victoria’s Advancing Treaty Act sets out the treaty process and recognises a number of institutional and procedural mechanisms for delivery of a treaty with Victoria’s First Peoples. The Act requires that </w:t>
      </w:r>
      <w:r w:rsidR="005066D2">
        <w:rPr>
          <w:rFonts w:ascii="Gill Sans MT" w:eastAsia="Gill Sans" w:hAnsi="Gill Sans MT" w:cs="Gill Sans"/>
        </w:rPr>
        <w:t>parties to</w:t>
      </w:r>
      <w:r w:rsidRPr="003D2856">
        <w:rPr>
          <w:rFonts w:ascii="Gill Sans MT" w:eastAsia="Gill Sans" w:hAnsi="Gill Sans MT" w:cs="Gill Sans"/>
        </w:rPr>
        <w:t xml:space="preserve"> ‘work together to establish the dispute resolution process by agreement’.</w:t>
      </w:r>
      <w:r w:rsidRPr="003D2856">
        <w:rPr>
          <w:rFonts w:ascii="Gill Sans MT" w:eastAsia="Gill Sans" w:hAnsi="Gill Sans MT" w:cs="Gill Sans"/>
          <w:vertAlign w:val="superscript"/>
        </w:rPr>
        <w:footnoteReference w:id="56"/>
      </w:r>
      <w:r w:rsidRPr="003D2856">
        <w:rPr>
          <w:rFonts w:ascii="Gill Sans MT" w:eastAsia="Gill Sans" w:hAnsi="Gill Sans MT" w:cs="Gill Sans"/>
        </w:rPr>
        <w:t xml:space="preserve"> The interim dispute resolution process—which also provides standards of conduct for negotiation discussions—was finalised in January 2021</w:t>
      </w:r>
      <w:r w:rsidRPr="003D2856">
        <w:rPr>
          <w:rFonts w:ascii="Gill Sans MT" w:eastAsia="Gill Sans" w:hAnsi="Gill Sans MT" w:cs="Gill Sans"/>
          <w:vertAlign w:val="superscript"/>
        </w:rPr>
        <w:footnoteReference w:id="57"/>
      </w:r>
      <w:r w:rsidRPr="003D2856">
        <w:rPr>
          <w:rFonts w:ascii="Gill Sans MT" w:eastAsia="Gill Sans" w:hAnsi="Gill Sans MT" w:cs="Gill Sans"/>
        </w:rPr>
        <w:t xml:space="preserve"> and signed in February 2021.</w:t>
      </w:r>
      <w:r w:rsidRPr="003D2856">
        <w:rPr>
          <w:rFonts w:ascii="Gill Sans MT" w:eastAsia="Gill Sans" w:hAnsi="Gill Sans MT" w:cs="Gill Sans"/>
          <w:vertAlign w:val="superscript"/>
        </w:rPr>
        <w:footnoteReference w:id="58"/>
      </w:r>
      <w:r w:rsidRPr="003D2856">
        <w:rPr>
          <w:rFonts w:ascii="Gill Sans MT" w:eastAsia="Gill Sans" w:hAnsi="Gill Sans MT" w:cs="Gill Sans"/>
        </w:rPr>
        <w:t xml:space="preserve"> The F</w:t>
      </w:r>
      <w:r w:rsidR="005066D2">
        <w:rPr>
          <w:rFonts w:ascii="Gill Sans MT" w:eastAsia="Gill Sans" w:hAnsi="Gill Sans MT" w:cs="Gill Sans"/>
        </w:rPr>
        <w:t>i</w:t>
      </w:r>
      <w:r w:rsidRPr="003D2856">
        <w:rPr>
          <w:rFonts w:ascii="Gill Sans MT" w:eastAsia="Gill Sans" w:hAnsi="Gill Sans MT" w:cs="Gill Sans"/>
        </w:rPr>
        <w:t>rst Peoples’ Assembly has said that this process ‘will ensure our future negotiations are done in good faith, on an equal playing field and honouring Aboriginal ways of doing business’.</w:t>
      </w:r>
      <w:r w:rsidRPr="003D2856">
        <w:rPr>
          <w:rFonts w:ascii="Gill Sans MT" w:eastAsia="Gill Sans" w:hAnsi="Gill Sans MT" w:cs="Gill Sans"/>
          <w:vertAlign w:val="superscript"/>
        </w:rPr>
        <w:footnoteReference w:id="59"/>
      </w:r>
      <w:r w:rsidRPr="003D2856">
        <w:rPr>
          <w:rFonts w:ascii="Gill Sans MT" w:eastAsia="Gill Sans" w:hAnsi="Gill Sans MT" w:cs="Gill Sans"/>
        </w:rPr>
        <w:t xml:space="preserve"> The Treaty Negotiation Framework and Treaty Authority (once established) will formalise and decide upon final dispute resolution mechanisms.</w:t>
      </w:r>
      <w:r w:rsidRPr="003D2856">
        <w:rPr>
          <w:rFonts w:ascii="Gill Sans MT" w:eastAsia="Gill Sans" w:hAnsi="Gill Sans MT" w:cs="Gill Sans"/>
          <w:vertAlign w:val="superscript"/>
        </w:rPr>
        <w:footnoteReference w:id="60"/>
      </w:r>
      <w:r w:rsidRPr="003D2856">
        <w:rPr>
          <w:rFonts w:ascii="Gill Sans MT" w:eastAsia="Gill Sans" w:hAnsi="Gill Sans MT" w:cs="Gill Sans"/>
        </w:rPr>
        <w:t xml:space="preserve"> </w:t>
      </w:r>
    </w:p>
    <w:p w14:paraId="7E658C9E" w14:textId="77777777" w:rsidR="001276EE" w:rsidRDefault="001276EE" w:rsidP="001276EE">
      <w:pPr>
        <w:ind w:left="-283" w:right="-294"/>
        <w:jc w:val="both"/>
        <w:rPr>
          <w:rFonts w:ascii="Gill Sans MT" w:eastAsia="Gill Sans" w:hAnsi="Gill Sans MT" w:cs="Gill Sans"/>
          <w:b/>
          <w:bCs/>
          <w:color w:val="808080" w:themeColor="background1" w:themeShade="80"/>
        </w:rPr>
      </w:pPr>
    </w:p>
    <w:p w14:paraId="75E2AE1A" w14:textId="4ECD76A5" w:rsidR="007C66B6" w:rsidRPr="00660FDD" w:rsidRDefault="00642B39" w:rsidP="00660FDD">
      <w:pPr>
        <w:ind w:left="-283" w:right="-294"/>
        <w:jc w:val="both"/>
        <w:rPr>
          <w:rFonts w:ascii="Gill Sans MT" w:eastAsia="Gill Sans" w:hAnsi="Gill Sans MT" w:cs="Gill Sans"/>
          <w:lang w:val="en-AU"/>
        </w:rPr>
      </w:pPr>
      <w:r>
        <w:rPr>
          <w:rFonts w:ascii="Gill Sans MT" w:eastAsia="Gill Sans" w:hAnsi="Gill Sans MT" w:cs="Gill Sans"/>
          <w:lang w:val="en-AU"/>
        </w:rPr>
        <w:t>We also briefly note that t</w:t>
      </w:r>
      <w:r w:rsidR="001276EE" w:rsidRPr="001276EE">
        <w:rPr>
          <w:rFonts w:ascii="Gill Sans MT" w:eastAsia="Gill Sans" w:hAnsi="Gill Sans MT" w:cs="Gill Sans"/>
          <w:lang w:val="en-AU"/>
        </w:rPr>
        <w:t>he National Native Title Tribunal</w:t>
      </w:r>
      <w:r w:rsidR="001276EE">
        <w:rPr>
          <w:rFonts w:ascii="Gill Sans MT" w:eastAsia="Gill Sans" w:hAnsi="Gill Sans MT" w:cs="Gill Sans"/>
          <w:lang w:val="en-AU"/>
        </w:rPr>
        <w:t xml:space="preserve"> </w:t>
      </w:r>
      <w:r w:rsidR="001276EE" w:rsidRPr="001276EE">
        <w:rPr>
          <w:rFonts w:ascii="Gill Sans MT" w:eastAsia="Gill Sans" w:hAnsi="Gill Sans MT" w:cs="Gill Sans"/>
          <w:lang w:val="en-AU"/>
        </w:rPr>
        <w:t xml:space="preserve">has functions relating to conflict resolution </w:t>
      </w:r>
      <w:r w:rsidR="007F70F4">
        <w:rPr>
          <w:rFonts w:ascii="Gill Sans MT" w:eastAsia="Gill Sans" w:hAnsi="Gill Sans MT" w:cs="Gill Sans"/>
          <w:lang w:val="en-AU"/>
        </w:rPr>
        <w:t xml:space="preserve">involving native title matters </w:t>
      </w:r>
      <w:r w:rsidR="001276EE" w:rsidRPr="001276EE">
        <w:rPr>
          <w:rFonts w:ascii="Gill Sans MT" w:eastAsia="Gill Sans" w:hAnsi="Gill Sans MT" w:cs="Gill Sans"/>
          <w:lang w:val="en-AU"/>
        </w:rPr>
        <w:t>(</w:t>
      </w:r>
      <w:r w:rsidR="001276EE">
        <w:rPr>
          <w:rFonts w:ascii="Gill Sans MT" w:eastAsia="Gill Sans" w:hAnsi="Gill Sans MT" w:cs="Gill Sans"/>
          <w:lang w:val="en-AU"/>
        </w:rPr>
        <w:t xml:space="preserve">for example, </w:t>
      </w:r>
      <w:r w:rsidR="001276EE" w:rsidRPr="001276EE">
        <w:rPr>
          <w:rFonts w:ascii="Gill Sans MT" w:eastAsia="Gill Sans" w:hAnsi="Gill Sans MT" w:cs="Gill Sans"/>
          <w:lang w:val="en-AU"/>
        </w:rPr>
        <w:t>mediation, inquires etc</w:t>
      </w:r>
      <w:r w:rsidR="001276EE">
        <w:rPr>
          <w:rFonts w:ascii="Gill Sans MT" w:eastAsia="Gill Sans" w:hAnsi="Gill Sans MT" w:cs="Gill Sans"/>
          <w:lang w:val="en-AU"/>
        </w:rPr>
        <w:t>),</w:t>
      </w:r>
      <w:r w:rsidR="00634204">
        <w:rPr>
          <w:rFonts w:ascii="Gill Sans MT" w:eastAsia="Gill Sans" w:hAnsi="Gill Sans MT" w:cs="Gill Sans"/>
          <w:lang w:val="en-AU"/>
        </w:rPr>
        <w:t xml:space="preserve"> </w:t>
      </w:r>
      <w:r w:rsidR="001276EE">
        <w:rPr>
          <w:rFonts w:ascii="Gill Sans MT" w:eastAsia="Gill Sans" w:hAnsi="Gill Sans MT" w:cs="Gill Sans"/>
          <w:lang w:val="en-AU"/>
        </w:rPr>
        <w:t>as does the Federal Court of Australia.</w:t>
      </w:r>
      <w:r w:rsidR="00634204" w:rsidRPr="00634204">
        <w:rPr>
          <w:rStyle w:val="FootnoteReference"/>
          <w:rFonts w:ascii="Gill Sans MT" w:eastAsia="Gill Sans" w:hAnsi="Gill Sans MT" w:cs="Gill Sans"/>
          <w:lang w:val="en-AU"/>
        </w:rPr>
        <w:t xml:space="preserve"> </w:t>
      </w:r>
      <w:r w:rsidR="00634204">
        <w:rPr>
          <w:rStyle w:val="FootnoteReference"/>
          <w:rFonts w:ascii="Gill Sans MT" w:eastAsia="Gill Sans" w:hAnsi="Gill Sans MT" w:cs="Gill Sans"/>
          <w:lang w:val="en-AU"/>
        </w:rPr>
        <w:footnoteReference w:id="61"/>
      </w:r>
    </w:p>
    <w:sectPr w:rsidR="007C66B6" w:rsidRPr="00660FDD">
      <w:headerReference w:type="default" r:id="rId12"/>
      <w:footerReference w:type="default" r:id="rId13"/>
      <w:headerReference w:type="first" r:id="rId14"/>
      <w:footerReference w:type="first" r:id="rId15"/>
      <w:pgSz w:w="11909" w:h="16834"/>
      <w:pgMar w:top="1275" w:right="1440" w:bottom="968" w:left="141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A225" w14:textId="77777777" w:rsidR="00531567" w:rsidRDefault="00531567">
      <w:pPr>
        <w:spacing w:line="240" w:lineRule="auto"/>
      </w:pPr>
      <w:r>
        <w:separator/>
      </w:r>
    </w:p>
  </w:endnote>
  <w:endnote w:type="continuationSeparator" w:id="0">
    <w:p w14:paraId="64F8FF3B" w14:textId="77777777" w:rsidR="00531567" w:rsidRDefault="00531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FD8A" w14:textId="77777777" w:rsidR="00193BA0" w:rsidRDefault="00187CED">
    <w:pPr>
      <w:jc w:val="right"/>
    </w:pPr>
    <w:r>
      <w:fldChar w:fldCharType="begin"/>
    </w:r>
    <w:r>
      <w:instrText>PAGE</w:instrText>
    </w:r>
    <w:r>
      <w:fldChar w:fldCharType="separate"/>
    </w:r>
    <w:r w:rsidR="0051073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5608" w14:textId="77777777" w:rsidR="00193BA0" w:rsidRDefault="00193BA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83AF" w14:textId="77777777" w:rsidR="00531567" w:rsidRDefault="00531567">
      <w:pPr>
        <w:spacing w:line="240" w:lineRule="auto"/>
      </w:pPr>
      <w:r>
        <w:separator/>
      </w:r>
    </w:p>
  </w:footnote>
  <w:footnote w:type="continuationSeparator" w:id="0">
    <w:p w14:paraId="5E542031" w14:textId="77777777" w:rsidR="00531567" w:rsidRDefault="00531567">
      <w:pPr>
        <w:spacing w:line="240" w:lineRule="auto"/>
      </w:pPr>
      <w:r>
        <w:continuationSeparator/>
      </w:r>
    </w:p>
  </w:footnote>
  <w:footnote w:id="1">
    <w:p w14:paraId="38DFE2A4" w14:textId="18CBFF91" w:rsidR="003C4D39" w:rsidRPr="003C4D39" w:rsidRDefault="003C4D39" w:rsidP="003C4D39">
      <w:pPr>
        <w:pStyle w:val="FootnoteText"/>
        <w:ind w:left="567" w:right="-304" w:hanging="567"/>
        <w:jc w:val="both"/>
        <w:rPr>
          <w:lang w:val="en-AU"/>
        </w:rPr>
      </w:pPr>
      <w:r>
        <w:rPr>
          <w:rStyle w:val="FootnoteReference"/>
        </w:rPr>
        <w:footnoteRef/>
      </w:r>
      <w:r>
        <w:t xml:space="preserve"> </w:t>
      </w:r>
      <w:r>
        <w:tab/>
      </w:r>
      <w:r>
        <w:rPr>
          <w:rFonts w:ascii="Gill Sans MT" w:eastAsia="Open Sans" w:hAnsi="Gill Sans MT" w:cs="Open Sans"/>
          <w:sz w:val="16"/>
          <w:szCs w:val="16"/>
        </w:rPr>
        <w:t>Progress towards treaty has taken place (to varying degrees) in the</w:t>
      </w:r>
      <w:r w:rsidRPr="003D2856">
        <w:rPr>
          <w:rFonts w:ascii="Gill Sans MT" w:eastAsia="Open Sans" w:hAnsi="Gill Sans MT" w:cs="Open Sans"/>
          <w:sz w:val="16"/>
          <w:szCs w:val="16"/>
        </w:rPr>
        <w:t xml:space="preserve"> Northern Territory, Queensland and Tasmania. See </w:t>
      </w:r>
      <w:r>
        <w:rPr>
          <w:rFonts w:ascii="Gill Sans MT" w:eastAsia="Open Sans" w:hAnsi="Gill Sans MT" w:cs="Open Sans"/>
          <w:sz w:val="16"/>
          <w:szCs w:val="16"/>
        </w:rPr>
        <w:t xml:space="preserve">eg, </w:t>
      </w:r>
      <w:r w:rsidRPr="003D2856">
        <w:rPr>
          <w:rFonts w:ascii="Gill Sans MT" w:eastAsia="Open Sans" w:hAnsi="Gill Sans MT" w:cs="Open Sans"/>
          <w:sz w:val="16"/>
          <w:szCs w:val="16"/>
        </w:rPr>
        <w:t xml:space="preserve">‘Home’, </w:t>
      </w:r>
      <w:r w:rsidRPr="003D2856">
        <w:rPr>
          <w:rFonts w:ascii="Gill Sans MT" w:eastAsia="Open Sans" w:hAnsi="Gill Sans MT" w:cs="Open Sans"/>
          <w:i/>
          <w:sz w:val="16"/>
          <w:szCs w:val="16"/>
        </w:rPr>
        <w:t xml:space="preserve">Northern Territory Treaty Commission </w:t>
      </w:r>
      <w:r w:rsidRPr="003D2856">
        <w:rPr>
          <w:rFonts w:ascii="Gill Sans MT" w:eastAsia="Open Sans" w:hAnsi="Gill Sans MT" w:cs="Open Sans"/>
          <w:sz w:val="16"/>
          <w:szCs w:val="16"/>
        </w:rPr>
        <w:t>(Web Page) &lt;</w:t>
      </w:r>
      <w:hyperlink r:id="rId1">
        <w:r w:rsidRPr="003D2856">
          <w:rPr>
            <w:rFonts w:ascii="Gill Sans MT" w:eastAsia="Open Sans" w:hAnsi="Gill Sans MT" w:cs="Open Sans"/>
            <w:color w:val="1155CC"/>
            <w:sz w:val="16"/>
            <w:szCs w:val="16"/>
            <w:u w:val="single"/>
          </w:rPr>
          <w:t>https://treatynt.com.au/</w:t>
        </w:r>
      </w:hyperlink>
      <w:r w:rsidRPr="003D2856">
        <w:rPr>
          <w:rFonts w:ascii="Gill Sans MT" w:eastAsia="Open Sans" w:hAnsi="Gill Sans MT" w:cs="Open Sans"/>
          <w:sz w:val="16"/>
          <w:szCs w:val="16"/>
        </w:rPr>
        <w:t xml:space="preserve">&gt;; ‘Queensland Government’s historic commitment to Treaty-making process’, </w:t>
      </w:r>
      <w:r w:rsidRPr="003D2856">
        <w:rPr>
          <w:rFonts w:ascii="Gill Sans MT" w:eastAsia="Open Sans" w:hAnsi="Gill Sans MT" w:cs="Open Sans"/>
          <w:i/>
          <w:sz w:val="16"/>
          <w:szCs w:val="16"/>
        </w:rPr>
        <w:t xml:space="preserve">Queensland Department of Premier and Cabinet </w:t>
      </w:r>
      <w:r w:rsidRPr="003D2856">
        <w:rPr>
          <w:rFonts w:ascii="Gill Sans MT" w:eastAsia="Open Sans" w:hAnsi="Gill Sans MT" w:cs="Open Sans"/>
          <w:sz w:val="16"/>
          <w:szCs w:val="16"/>
        </w:rPr>
        <w:t>(Media Release, 13 August 2020) &lt;</w:t>
      </w:r>
      <w:hyperlink r:id="rId2">
        <w:r w:rsidRPr="003D2856">
          <w:rPr>
            <w:rFonts w:ascii="Gill Sans MT" w:eastAsia="Open Sans" w:hAnsi="Gill Sans MT" w:cs="Open Sans"/>
            <w:color w:val="1155CC"/>
            <w:sz w:val="16"/>
            <w:szCs w:val="16"/>
            <w:u w:val="single"/>
          </w:rPr>
          <w:t>https://statements.qld.gov.au/statements/90413</w:t>
        </w:r>
      </w:hyperlink>
      <w:r w:rsidRPr="003D2856">
        <w:rPr>
          <w:rFonts w:ascii="Gill Sans MT" w:eastAsia="Open Sans" w:hAnsi="Gill Sans MT" w:cs="Open Sans"/>
          <w:sz w:val="16"/>
          <w:szCs w:val="16"/>
        </w:rPr>
        <w:t xml:space="preserve">&gt;; Lucy Shannon, ‘Tasmanian government commits to time frame for truth-telling, treaty talks with Indigenous community’, </w:t>
      </w:r>
      <w:r w:rsidRPr="003D2856">
        <w:rPr>
          <w:rFonts w:ascii="Gill Sans MT" w:eastAsia="Open Sans" w:hAnsi="Gill Sans MT" w:cs="Open Sans"/>
          <w:i/>
          <w:sz w:val="16"/>
          <w:szCs w:val="16"/>
        </w:rPr>
        <w:t xml:space="preserve">ABC News </w:t>
      </w:r>
      <w:r w:rsidRPr="003D2856">
        <w:rPr>
          <w:rFonts w:ascii="Gill Sans MT" w:eastAsia="Open Sans" w:hAnsi="Gill Sans MT" w:cs="Open Sans"/>
          <w:sz w:val="16"/>
          <w:szCs w:val="16"/>
        </w:rPr>
        <w:t>(online, 23 June 2021) &lt;</w:t>
      </w:r>
      <w:hyperlink r:id="rId3">
        <w:r w:rsidRPr="003D2856">
          <w:rPr>
            <w:rFonts w:ascii="Gill Sans MT" w:eastAsia="Open Sans" w:hAnsi="Gill Sans MT" w:cs="Open Sans"/>
            <w:color w:val="1155CC"/>
            <w:sz w:val="16"/>
            <w:szCs w:val="16"/>
            <w:u w:val="single"/>
          </w:rPr>
          <w:t>https://www.abc.net.au/news/2021-06-23/tasmanian-aboriginal-truth-telling-treaty-discussions/100235634</w:t>
        </w:r>
      </w:hyperlink>
      <w:r w:rsidRPr="003D2856">
        <w:rPr>
          <w:rFonts w:ascii="Gill Sans MT" w:eastAsia="Open Sans" w:hAnsi="Gill Sans MT" w:cs="Open Sans"/>
          <w:sz w:val="16"/>
          <w:szCs w:val="16"/>
        </w:rPr>
        <w:t>&gt;.</w:t>
      </w:r>
    </w:p>
  </w:footnote>
  <w:footnote w:id="2">
    <w:p w14:paraId="76D54EE6" w14:textId="77777777" w:rsidR="003D2856" w:rsidRPr="003D2856" w:rsidRDefault="003D2856"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In recognition of the diversity of Indigenous peoples in Australia, this submission utilises the term ‘First Nations peoples’ when referring to this broader group. In doing so we acknowledge that some groups of Indigenous peoples within Australia may adopt different language: The Australian Institute of Aboriginal and Torres Strait Islander Studies, ‘Australia's First Peoples’, </w:t>
      </w:r>
      <w:r w:rsidRPr="003D2856">
        <w:rPr>
          <w:rFonts w:ascii="Gill Sans MT" w:eastAsia="Open Sans" w:hAnsi="Gill Sans MT" w:cs="Open Sans"/>
          <w:i/>
          <w:sz w:val="16"/>
          <w:szCs w:val="16"/>
        </w:rPr>
        <w:t xml:space="preserve"> </w:t>
      </w:r>
      <w:r w:rsidRPr="003D2856">
        <w:rPr>
          <w:rFonts w:ascii="Gill Sans MT" w:eastAsia="Open Sans" w:hAnsi="Gill Sans MT" w:cs="Open Sans"/>
          <w:sz w:val="16"/>
          <w:szCs w:val="16"/>
        </w:rPr>
        <w:t>(Web Page) &lt;</w:t>
      </w:r>
      <w:hyperlink r:id="rId4">
        <w:r w:rsidRPr="003D2856">
          <w:rPr>
            <w:rFonts w:ascii="Gill Sans MT" w:eastAsia="Open Sans" w:hAnsi="Gill Sans MT" w:cs="Open Sans"/>
            <w:color w:val="1155CC"/>
            <w:sz w:val="16"/>
            <w:szCs w:val="16"/>
            <w:u w:val="single"/>
          </w:rPr>
          <w:t>https://aiatsis.gov.au/explore/australias-first-peoples</w:t>
        </w:r>
      </w:hyperlink>
      <w:r w:rsidRPr="003D2856">
        <w:rPr>
          <w:rFonts w:ascii="Gill Sans MT" w:eastAsia="Open Sans" w:hAnsi="Gill Sans MT" w:cs="Open Sans"/>
          <w:sz w:val="16"/>
          <w:szCs w:val="16"/>
        </w:rPr>
        <w:t xml:space="preserve">&gt;. </w:t>
      </w:r>
    </w:p>
  </w:footnote>
  <w:footnote w:id="3">
    <w:p w14:paraId="769309B2"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Pr="003D2856">
        <w:rPr>
          <w:rFonts w:ascii="Gill Sans MT" w:hAnsi="Gill Sans MT"/>
          <w:sz w:val="16"/>
          <w:szCs w:val="16"/>
        </w:rPr>
        <w:tab/>
      </w:r>
      <w:r w:rsidRPr="003D2856">
        <w:rPr>
          <w:rFonts w:ascii="Gill Sans MT" w:eastAsia="Open Sans" w:hAnsi="Gill Sans MT" w:cs="Open Sans"/>
          <w:sz w:val="16"/>
          <w:szCs w:val="16"/>
        </w:rPr>
        <w:t xml:space="preserve">However, this has not always been the case. See, eg, Will Sanders, ‘Towards an Indigenous Order of Australian Government: Rethinking Self-Determination as Indigenous Affairs Policy’ (Centre for Aboriginal Economic Policy Research, Research Paper No 230/2002); Megan Davis, ‘Listening but Not Hearing: When Process Trumps Substance’ (2016) 51 </w:t>
      </w:r>
      <w:r w:rsidRPr="003D2856">
        <w:rPr>
          <w:rFonts w:ascii="Gill Sans MT" w:eastAsia="Open Sans" w:hAnsi="Gill Sans MT" w:cs="Open Sans"/>
          <w:i/>
          <w:sz w:val="16"/>
          <w:szCs w:val="16"/>
        </w:rPr>
        <w:t>Griffith Review</w:t>
      </w:r>
      <w:r w:rsidRPr="003D2856">
        <w:rPr>
          <w:rFonts w:ascii="Gill Sans MT" w:eastAsia="Open Sans" w:hAnsi="Gill Sans MT" w:cs="Open Sans"/>
          <w:sz w:val="16"/>
          <w:szCs w:val="16"/>
        </w:rPr>
        <w:t xml:space="preserve"> 73, 74-5, 83. </w:t>
      </w:r>
    </w:p>
  </w:footnote>
  <w:footnote w:id="4">
    <w:p w14:paraId="01E7F013"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See summary of key historical developments in this area in Megan Davis and George Williams, </w:t>
      </w:r>
      <w:r w:rsidRPr="003D2856">
        <w:rPr>
          <w:rFonts w:ascii="Gill Sans MT" w:eastAsia="Open Sans" w:hAnsi="Gill Sans MT" w:cs="Open Sans"/>
          <w:i/>
          <w:sz w:val="16"/>
          <w:szCs w:val="16"/>
        </w:rPr>
        <w:t xml:space="preserve">Everything You Need to Know About the Uluru Statement from the Heart </w:t>
      </w:r>
      <w:r w:rsidRPr="003D2856">
        <w:rPr>
          <w:rFonts w:ascii="Gill Sans MT" w:eastAsia="Open Sans" w:hAnsi="Gill Sans MT" w:cs="Open Sans"/>
          <w:sz w:val="16"/>
          <w:szCs w:val="16"/>
        </w:rPr>
        <w:t xml:space="preserve">(NewSouth Publishing, 2021); Harry Hobbs, ‘Self-Determination and Treaty-Making in Australia’ in Paula Gerber and Melissa Castan (eds), </w:t>
      </w:r>
      <w:r w:rsidRPr="003D2856">
        <w:rPr>
          <w:rFonts w:ascii="Gill Sans MT" w:eastAsia="Open Sans" w:hAnsi="Gill Sans MT" w:cs="Open Sans"/>
          <w:i/>
          <w:sz w:val="16"/>
          <w:szCs w:val="16"/>
        </w:rPr>
        <w:t xml:space="preserve">Critical Perspectives on Human Rights Law in Australia </w:t>
      </w:r>
      <w:r w:rsidRPr="003D2856">
        <w:rPr>
          <w:rFonts w:ascii="Gill Sans MT" w:eastAsia="Open Sans" w:hAnsi="Gill Sans MT" w:cs="Open Sans"/>
          <w:sz w:val="16"/>
          <w:szCs w:val="16"/>
        </w:rPr>
        <w:t xml:space="preserve">(Lawbook Co, 2021) vol 1, 353. </w:t>
      </w:r>
    </w:p>
  </w:footnote>
  <w:footnote w:id="5">
    <w:p w14:paraId="39F1B449" w14:textId="48C195DB"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For a First Nations’ perspective on the struggle against colonisation and for the recognition of sovereignty and self-determination see, Inala Cooper and Shannan Dodson, ‘Marrul (Changing Season)’ in Paula Gerber and Melissa Castan (eds), (n </w:t>
      </w:r>
      <w:r w:rsidR="00B37C48">
        <w:rPr>
          <w:rFonts w:ascii="Gill Sans MT" w:eastAsia="Open Sans" w:hAnsi="Gill Sans MT" w:cs="Open Sans"/>
          <w:sz w:val="16"/>
          <w:szCs w:val="16"/>
        </w:rPr>
        <w:fldChar w:fldCharType="begin"/>
      </w:r>
      <w:r w:rsidR="00B37C48">
        <w:rPr>
          <w:rFonts w:ascii="Gill Sans MT" w:eastAsia="Open Sans" w:hAnsi="Gill Sans MT" w:cs="Open Sans"/>
          <w:sz w:val="16"/>
          <w:szCs w:val="16"/>
        </w:rPr>
        <w:instrText xml:space="preserve"> NOTEREF _Ref94287460 \h </w:instrText>
      </w:r>
      <w:r w:rsidR="00B37C48">
        <w:rPr>
          <w:rFonts w:ascii="Gill Sans MT" w:eastAsia="Open Sans" w:hAnsi="Gill Sans MT" w:cs="Open Sans"/>
          <w:sz w:val="16"/>
          <w:szCs w:val="16"/>
        </w:rPr>
      </w:r>
      <w:r w:rsidR="00B37C48">
        <w:rPr>
          <w:rFonts w:ascii="Gill Sans MT" w:eastAsia="Open Sans" w:hAnsi="Gill Sans MT" w:cs="Open Sans"/>
          <w:sz w:val="16"/>
          <w:szCs w:val="16"/>
        </w:rPr>
        <w:fldChar w:fldCharType="separate"/>
      </w:r>
      <w:r w:rsidR="00B37C48">
        <w:rPr>
          <w:rFonts w:ascii="Gill Sans MT" w:eastAsia="Open Sans" w:hAnsi="Gill Sans MT" w:cs="Open Sans"/>
          <w:sz w:val="16"/>
          <w:szCs w:val="16"/>
        </w:rPr>
        <w:t>3</w:t>
      </w:r>
      <w:r w:rsidR="00B37C48">
        <w:rPr>
          <w:rFonts w:ascii="Gill Sans MT" w:eastAsia="Open Sans" w:hAnsi="Gill Sans MT" w:cs="Open Sans"/>
          <w:sz w:val="16"/>
          <w:szCs w:val="16"/>
        </w:rPr>
        <w:fldChar w:fldCharType="end"/>
      </w:r>
      <w:r w:rsidRPr="003D2856">
        <w:rPr>
          <w:rFonts w:ascii="Gill Sans MT" w:eastAsia="Open Sans" w:hAnsi="Gill Sans MT" w:cs="Open Sans"/>
          <w:sz w:val="16"/>
          <w:szCs w:val="16"/>
        </w:rPr>
        <w:t>) , 339.</w:t>
      </w:r>
    </w:p>
  </w:footnote>
  <w:footnote w:id="6">
    <w:p w14:paraId="089E34E2"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See, eg, Megan Davis, ‘Constitutional recognition for Indigenous Australians must involve structural change, not mere symbolism’, </w:t>
      </w:r>
      <w:r w:rsidRPr="003D2856">
        <w:rPr>
          <w:rFonts w:ascii="Gill Sans MT" w:eastAsia="Open Sans" w:hAnsi="Gill Sans MT" w:cs="Open Sans"/>
          <w:i/>
          <w:sz w:val="16"/>
          <w:szCs w:val="16"/>
        </w:rPr>
        <w:t xml:space="preserve">The Conversation </w:t>
      </w:r>
      <w:r w:rsidRPr="003D2856">
        <w:rPr>
          <w:rFonts w:ascii="Gill Sans MT" w:eastAsia="Open Sans" w:hAnsi="Gill Sans MT" w:cs="Open Sans"/>
          <w:sz w:val="16"/>
          <w:szCs w:val="16"/>
        </w:rPr>
        <w:t>(18 February 2020) &lt;</w:t>
      </w:r>
      <w:hyperlink r:id="rId5">
        <w:r w:rsidRPr="003D2856">
          <w:rPr>
            <w:rFonts w:ascii="Gill Sans MT" w:eastAsia="Open Sans" w:hAnsi="Gill Sans MT" w:cs="Open Sans"/>
            <w:color w:val="1155CC"/>
            <w:sz w:val="16"/>
            <w:szCs w:val="16"/>
            <w:u w:val="single"/>
          </w:rPr>
          <w:t>https://theconversation.com/constitutional-recognition-for-indigenous-australians-must-involve-structural-change-not-mere-symbolism-131751</w:t>
        </w:r>
      </w:hyperlink>
      <w:r w:rsidRPr="003D2856">
        <w:rPr>
          <w:rFonts w:ascii="Gill Sans MT" w:eastAsia="Open Sans" w:hAnsi="Gill Sans MT" w:cs="Open Sans"/>
          <w:sz w:val="16"/>
          <w:szCs w:val="16"/>
        </w:rPr>
        <w:t xml:space="preserve">&gt;. </w:t>
      </w:r>
    </w:p>
  </w:footnote>
  <w:footnote w:id="7">
    <w:p w14:paraId="385F7CD9"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For an explanation of the dialogues see, Referendum Council (Final Report, 30 June 2017) ch 2.</w:t>
      </w:r>
    </w:p>
  </w:footnote>
  <w:footnote w:id="8">
    <w:p w14:paraId="424553E5"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Megan Davis, ‘Constitutional Recognition: Two Decades On’, </w:t>
      </w:r>
      <w:r w:rsidRPr="003D2856">
        <w:rPr>
          <w:rFonts w:ascii="Gill Sans MT" w:eastAsia="Open Sans" w:hAnsi="Gill Sans MT" w:cs="Open Sans"/>
          <w:i/>
          <w:sz w:val="16"/>
          <w:szCs w:val="16"/>
        </w:rPr>
        <w:t xml:space="preserve">Indigenous Constitutional Law </w:t>
      </w:r>
      <w:r w:rsidRPr="003D2856">
        <w:rPr>
          <w:rFonts w:ascii="Gill Sans MT" w:eastAsia="Open Sans" w:hAnsi="Gill Sans MT" w:cs="Open Sans"/>
          <w:sz w:val="16"/>
          <w:szCs w:val="16"/>
        </w:rPr>
        <w:t>(Blog Post, 1 March 2021) &lt;</w:t>
      </w:r>
      <w:hyperlink r:id="rId6">
        <w:r w:rsidRPr="003D2856">
          <w:rPr>
            <w:rFonts w:ascii="Gill Sans MT" w:eastAsia="Open Sans" w:hAnsi="Gill Sans MT" w:cs="Open Sans"/>
            <w:color w:val="1155CC"/>
            <w:sz w:val="16"/>
            <w:szCs w:val="16"/>
            <w:u w:val="single"/>
          </w:rPr>
          <w:t>https://www.indigconlaw.org/home/constitutional-recognition-two-decades-on</w:t>
        </w:r>
      </w:hyperlink>
      <w:r w:rsidRPr="003D2856">
        <w:rPr>
          <w:rFonts w:ascii="Gill Sans MT" w:eastAsia="Open Sans" w:hAnsi="Gill Sans MT" w:cs="Open Sans"/>
          <w:sz w:val="16"/>
          <w:szCs w:val="16"/>
        </w:rPr>
        <w:t xml:space="preserve">&gt;. </w:t>
      </w:r>
    </w:p>
  </w:footnote>
  <w:footnote w:id="9">
    <w:p w14:paraId="78B04178"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Megan Davis and George Williams, </w:t>
      </w:r>
      <w:r w:rsidRPr="003D2856">
        <w:rPr>
          <w:rFonts w:ascii="Gill Sans MT" w:eastAsia="Open Sans" w:hAnsi="Gill Sans MT" w:cs="Open Sans"/>
          <w:i/>
          <w:sz w:val="16"/>
          <w:szCs w:val="16"/>
        </w:rPr>
        <w:t xml:space="preserve">Everything You Need to Know About the Uluru Statement from the Heart </w:t>
      </w:r>
      <w:r w:rsidRPr="003D2856">
        <w:rPr>
          <w:rFonts w:ascii="Gill Sans MT" w:eastAsia="Open Sans" w:hAnsi="Gill Sans MT" w:cs="Open Sans"/>
          <w:sz w:val="16"/>
          <w:szCs w:val="16"/>
        </w:rPr>
        <w:t xml:space="preserve">(NewSouth Publishing, 2021) 151-2. See also  Anne Twomey, ‘Why an Indigenous Voice would not be 'third chamber' of Parliament’, </w:t>
      </w:r>
      <w:r w:rsidRPr="003D2856">
        <w:rPr>
          <w:rFonts w:ascii="Gill Sans MT" w:eastAsia="Open Sans" w:hAnsi="Gill Sans MT" w:cs="Open Sans"/>
          <w:i/>
          <w:sz w:val="16"/>
          <w:szCs w:val="16"/>
        </w:rPr>
        <w:t xml:space="preserve">The Sydney Morning Herald </w:t>
      </w:r>
      <w:r w:rsidRPr="003D2856">
        <w:rPr>
          <w:rFonts w:ascii="Gill Sans MT" w:eastAsia="Open Sans" w:hAnsi="Gill Sans MT" w:cs="Open Sans"/>
          <w:sz w:val="16"/>
          <w:szCs w:val="16"/>
        </w:rPr>
        <w:t>(online, 28 May 2019) &lt;</w:t>
      </w:r>
      <w:hyperlink r:id="rId7">
        <w:r w:rsidRPr="003D2856">
          <w:rPr>
            <w:rFonts w:ascii="Gill Sans MT" w:eastAsia="Open Sans" w:hAnsi="Gill Sans MT" w:cs="Open Sans"/>
            <w:color w:val="1155CC"/>
            <w:sz w:val="16"/>
            <w:szCs w:val="16"/>
            <w:u w:val="single"/>
          </w:rPr>
          <w:t>https://www.smh.com.au/national/why-an-indigenous-voice-would-not-be-third-chamber-of-parliament-20190526-p51r7t.html</w:t>
        </w:r>
      </w:hyperlink>
      <w:r w:rsidRPr="003D2856">
        <w:rPr>
          <w:rFonts w:ascii="Gill Sans MT" w:eastAsia="Open Sans" w:hAnsi="Gill Sans MT" w:cs="Open Sans"/>
          <w:sz w:val="16"/>
          <w:szCs w:val="16"/>
        </w:rPr>
        <w:t xml:space="preserve">&gt;. </w:t>
      </w:r>
    </w:p>
  </w:footnote>
  <w:footnote w:id="10">
    <w:p w14:paraId="1CCC8B29" w14:textId="7D37630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Twomey (n </w:t>
      </w:r>
      <w:r w:rsidR="00B37C48">
        <w:rPr>
          <w:rFonts w:ascii="Gill Sans MT" w:eastAsia="Open Sans" w:hAnsi="Gill Sans MT" w:cs="Open Sans"/>
          <w:sz w:val="16"/>
          <w:szCs w:val="16"/>
        </w:rPr>
        <w:fldChar w:fldCharType="begin"/>
      </w:r>
      <w:r w:rsidR="00B37C48">
        <w:rPr>
          <w:rFonts w:ascii="Gill Sans MT" w:eastAsia="Open Sans" w:hAnsi="Gill Sans MT" w:cs="Open Sans"/>
          <w:sz w:val="16"/>
          <w:szCs w:val="16"/>
        </w:rPr>
        <w:instrText xml:space="preserve"> NOTEREF _Ref94287485 \h </w:instrText>
      </w:r>
      <w:r w:rsidR="00B37C48">
        <w:rPr>
          <w:rFonts w:ascii="Gill Sans MT" w:eastAsia="Open Sans" w:hAnsi="Gill Sans MT" w:cs="Open Sans"/>
          <w:sz w:val="16"/>
          <w:szCs w:val="16"/>
        </w:rPr>
      </w:r>
      <w:r w:rsidR="00B37C48">
        <w:rPr>
          <w:rFonts w:ascii="Gill Sans MT" w:eastAsia="Open Sans" w:hAnsi="Gill Sans MT" w:cs="Open Sans"/>
          <w:sz w:val="16"/>
          <w:szCs w:val="16"/>
        </w:rPr>
        <w:fldChar w:fldCharType="separate"/>
      </w:r>
      <w:r w:rsidR="00B37C48">
        <w:rPr>
          <w:rFonts w:ascii="Gill Sans MT" w:eastAsia="Open Sans" w:hAnsi="Gill Sans MT" w:cs="Open Sans"/>
          <w:sz w:val="16"/>
          <w:szCs w:val="16"/>
        </w:rPr>
        <w:t>9</w:t>
      </w:r>
      <w:r w:rsidR="00B37C48">
        <w:rPr>
          <w:rFonts w:ascii="Gill Sans MT" w:eastAsia="Open Sans" w:hAnsi="Gill Sans MT" w:cs="Open Sans"/>
          <w:sz w:val="16"/>
          <w:szCs w:val="16"/>
        </w:rPr>
        <w:fldChar w:fldCharType="end"/>
      </w:r>
      <w:r w:rsidRPr="003D2856">
        <w:rPr>
          <w:rFonts w:ascii="Gill Sans MT" w:eastAsia="Open Sans" w:hAnsi="Gill Sans MT" w:cs="Open Sans"/>
          <w:sz w:val="16"/>
          <w:szCs w:val="16"/>
        </w:rPr>
        <w:t xml:space="preserve">). </w:t>
      </w:r>
    </w:p>
  </w:footnote>
  <w:footnote w:id="11">
    <w:p w14:paraId="6E037364"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Australian National Indigenous Australians Agency, ‘Indigenous Voice’ (Web Page) &lt;</w:t>
      </w:r>
      <w:hyperlink r:id="rId8">
        <w:r w:rsidRPr="003D2856">
          <w:rPr>
            <w:rFonts w:ascii="Gill Sans MT" w:eastAsia="Open Sans" w:hAnsi="Gill Sans MT" w:cs="Open Sans"/>
            <w:color w:val="1155CC"/>
            <w:sz w:val="16"/>
            <w:szCs w:val="16"/>
            <w:u w:val="single"/>
          </w:rPr>
          <w:t>https://www.niaa.gov.au/indigenous-affairs/indigenous-voice</w:t>
        </w:r>
      </w:hyperlink>
      <w:r w:rsidRPr="003D2856">
        <w:rPr>
          <w:rFonts w:ascii="Gill Sans MT" w:eastAsia="Open Sans" w:hAnsi="Gill Sans MT" w:cs="Open Sans"/>
          <w:sz w:val="16"/>
          <w:szCs w:val="16"/>
        </w:rPr>
        <w:t xml:space="preserve">&gt;.   </w:t>
      </w:r>
    </w:p>
  </w:footnote>
  <w:footnote w:id="12">
    <w:p w14:paraId="156EB8D2"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Ibid.</w:t>
      </w:r>
    </w:p>
  </w:footnote>
  <w:footnote w:id="13">
    <w:p w14:paraId="53B4FC92"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Marcia Langton and Tom Calma, ‘Indigenous Voice Co-Design Process’ (Final Report, July 2021) ch 1-2.</w:t>
      </w:r>
    </w:p>
  </w:footnote>
  <w:footnote w:id="14">
    <w:p w14:paraId="614A544A"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Ibid 11 (emphasis added).</w:t>
      </w:r>
    </w:p>
  </w:footnote>
  <w:footnote w:id="15">
    <w:p w14:paraId="7B908042" w14:textId="0F4DD81A" w:rsidR="00193BA0" w:rsidRPr="003D2856" w:rsidRDefault="00187CED" w:rsidP="00A607EE">
      <w:pPr>
        <w:spacing w:line="240" w:lineRule="auto"/>
        <w:ind w:right="-304"/>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00A607EE">
        <w:rPr>
          <w:rFonts w:ascii="Gill Sans MT" w:eastAsia="Open Sans" w:hAnsi="Gill Sans MT" w:cs="Open Sans"/>
          <w:sz w:val="16"/>
          <w:szCs w:val="16"/>
        </w:rPr>
        <w:t xml:space="preserve">         </w:t>
      </w:r>
      <w:r w:rsidRPr="003D2856">
        <w:rPr>
          <w:rFonts w:ascii="Gill Sans MT" w:eastAsia="Open Sans" w:hAnsi="Gill Sans MT" w:cs="Open Sans"/>
          <w:i/>
          <w:sz w:val="16"/>
          <w:szCs w:val="16"/>
        </w:rPr>
        <w:t xml:space="preserve">Native Title Act 1993 </w:t>
      </w:r>
      <w:r w:rsidRPr="003D2856">
        <w:rPr>
          <w:rFonts w:ascii="Gill Sans MT" w:eastAsia="Open Sans" w:hAnsi="Gill Sans MT" w:cs="Open Sans"/>
          <w:sz w:val="16"/>
          <w:szCs w:val="16"/>
        </w:rPr>
        <w:t xml:space="preserve">(Cth) s 223. </w:t>
      </w:r>
    </w:p>
  </w:footnote>
  <w:footnote w:id="16">
    <w:p w14:paraId="68982658" w14:textId="5C1359C3" w:rsidR="00DB598C" w:rsidRPr="00A95083" w:rsidRDefault="00DB598C" w:rsidP="009708E2">
      <w:pPr>
        <w:spacing w:line="240" w:lineRule="auto"/>
        <w:ind w:left="567" w:right="-306" w:hanging="567"/>
        <w:jc w:val="both"/>
        <w:rPr>
          <w:rFonts w:ascii="Gill Sans MT" w:hAnsi="Gill Sans MT"/>
          <w:sz w:val="16"/>
          <w:szCs w:val="16"/>
          <w:lang w:val="en-AU"/>
        </w:rPr>
      </w:pPr>
      <w:r w:rsidRPr="009708E2">
        <w:rPr>
          <w:rStyle w:val="FootnoteReference"/>
          <w:rFonts w:ascii="Gill Sans MT" w:hAnsi="Gill Sans MT"/>
          <w:sz w:val="16"/>
          <w:szCs w:val="16"/>
        </w:rPr>
        <w:footnoteRef/>
      </w:r>
      <w:r w:rsidR="009708E2">
        <w:rPr>
          <w:rFonts w:ascii="Gill Sans MT" w:hAnsi="Gill Sans MT"/>
          <w:sz w:val="16"/>
          <w:szCs w:val="16"/>
        </w:rPr>
        <w:t xml:space="preserve">         </w:t>
      </w:r>
      <w:r w:rsidRPr="009708E2">
        <w:rPr>
          <w:rFonts w:ascii="Gill Sans MT" w:hAnsi="Gill Sans MT"/>
          <w:sz w:val="16"/>
          <w:szCs w:val="16"/>
        </w:rPr>
        <w:t xml:space="preserve"> </w:t>
      </w:r>
      <w:r w:rsidR="009708E2" w:rsidRPr="009708E2">
        <w:rPr>
          <w:rFonts w:ascii="Gill Sans MT" w:hAnsi="Gill Sans MT"/>
          <w:sz w:val="16"/>
          <w:szCs w:val="16"/>
        </w:rPr>
        <w:t>Harry Hobbes and George Williams, ‘</w:t>
      </w:r>
      <w:r w:rsidR="009708E2" w:rsidRPr="009708E2">
        <w:rPr>
          <w:rFonts w:ascii="Gill Sans MT" w:hAnsi="Gill Sans MT"/>
          <w:sz w:val="16"/>
          <w:szCs w:val="16"/>
          <w:lang w:val="en-AU"/>
        </w:rPr>
        <w:t xml:space="preserve">The Noongar Settlement: Australia's First Treaty’ (2018) 40(1) </w:t>
      </w:r>
      <w:r w:rsidR="009708E2" w:rsidRPr="009708E2">
        <w:rPr>
          <w:rFonts w:ascii="Gill Sans MT" w:hAnsi="Gill Sans MT"/>
          <w:i/>
          <w:iCs/>
          <w:sz w:val="16"/>
          <w:szCs w:val="16"/>
          <w:lang w:val="en-AU"/>
        </w:rPr>
        <w:t xml:space="preserve">Sydney Law Review </w:t>
      </w:r>
      <w:r w:rsidR="009708E2" w:rsidRPr="009708E2">
        <w:rPr>
          <w:rFonts w:ascii="Gill Sans MT" w:hAnsi="Gill Sans MT"/>
          <w:sz w:val="16"/>
          <w:szCs w:val="16"/>
          <w:lang w:val="en-AU"/>
        </w:rPr>
        <w:t xml:space="preserve">1. </w:t>
      </w:r>
      <w:r w:rsidR="00A95083">
        <w:rPr>
          <w:rFonts w:ascii="Gill Sans MT" w:hAnsi="Gill Sans MT"/>
          <w:sz w:val="16"/>
          <w:szCs w:val="16"/>
          <w:lang w:val="en-AU"/>
        </w:rPr>
        <w:t xml:space="preserve">See </w:t>
      </w:r>
      <w:r w:rsidR="00A95083">
        <w:rPr>
          <w:rFonts w:ascii="Gill Sans MT" w:hAnsi="Gill Sans MT"/>
          <w:i/>
          <w:iCs/>
          <w:sz w:val="16"/>
          <w:szCs w:val="16"/>
          <w:lang w:val="en-AU"/>
        </w:rPr>
        <w:t xml:space="preserve">Native Title Act 1993 </w:t>
      </w:r>
      <w:r w:rsidR="00A95083">
        <w:rPr>
          <w:rFonts w:ascii="Gill Sans MT" w:hAnsi="Gill Sans MT"/>
          <w:sz w:val="16"/>
          <w:szCs w:val="16"/>
          <w:lang w:val="en-AU"/>
        </w:rPr>
        <w:t>(Cth).</w:t>
      </w:r>
    </w:p>
  </w:footnote>
  <w:footnote w:id="17">
    <w:p w14:paraId="44D570E1" w14:textId="4A55DAC0" w:rsidR="006C2BFD" w:rsidRPr="006C2BFD" w:rsidRDefault="006C2BFD" w:rsidP="006C2BFD">
      <w:pPr>
        <w:pStyle w:val="FootnoteText"/>
        <w:ind w:left="567" w:hanging="567"/>
        <w:rPr>
          <w:rFonts w:ascii="Gill Sans MT" w:hAnsi="Gill Sans MT"/>
          <w:sz w:val="16"/>
          <w:szCs w:val="16"/>
          <w:lang w:val="en-AU"/>
        </w:rPr>
      </w:pPr>
      <w:r w:rsidRPr="006C2BFD">
        <w:rPr>
          <w:rStyle w:val="FootnoteReference"/>
          <w:rFonts w:ascii="Gill Sans MT" w:hAnsi="Gill Sans MT"/>
          <w:sz w:val="16"/>
          <w:szCs w:val="16"/>
        </w:rPr>
        <w:footnoteRef/>
      </w:r>
      <w:r w:rsidRPr="006C2BFD">
        <w:rPr>
          <w:rFonts w:ascii="Gill Sans MT" w:hAnsi="Gill Sans MT"/>
          <w:sz w:val="16"/>
          <w:szCs w:val="16"/>
        </w:rPr>
        <w:t xml:space="preserve"> </w:t>
      </w:r>
      <w:r>
        <w:rPr>
          <w:rFonts w:ascii="Gill Sans MT" w:hAnsi="Gill Sans MT"/>
          <w:sz w:val="16"/>
          <w:szCs w:val="16"/>
        </w:rPr>
        <w:tab/>
      </w:r>
      <w:r w:rsidRPr="006C2BFD">
        <w:rPr>
          <w:rFonts w:ascii="Gill Sans MT" w:hAnsi="Gill Sans MT"/>
          <w:sz w:val="16"/>
          <w:szCs w:val="16"/>
          <w:lang w:val="en-AU"/>
        </w:rPr>
        <w:t xml:space="preserve">Australian Law Reform Commission, </w:t>
      </w:r>
      <w:r w:rsidRPr="006C2BFD">
        <w:rPr>
          <w:rFonts w:ascii="Gill Sans MT" w:hAnsi="Gill Sans MT"/>
          <w:i/>
          <w:iCs/>
          <w:sz w:val="16"/>
          <w:szCs w:val="16"/>
          <w:lang w:val="en-AU"/>
        </w:rPr>
        <w:t xml:space="preserve">Connection to Country: Review of the Native Title Act 1993 (Cth) </w:t>
      </w:r>
      <w:r w:rsidRPr="006C2BFD">
        <w:rPr>
          <w:rFonts w:ascii="Gill Sans MT" w:hAnsi="Gill Sans MT"/>
          <w:sz w:val="16"/>
          <w:szCs w:val="16"/>
          <w:lang w:val="en-AU"/>
        </w:rPr>
        <w:t>(ALRC Report 126) [3.19]-[3.40].</w:t>
      </w:r>
    </w:p>
  </w:footnote>
  <w:footnote w:id="18">
    <w:p w14:paraId="518A3BFF" w14:textId="75457E64" w:rsidR="00A95083" w:rsidRPr="006C2BFD" w:rsidRDefault="00A95083" w:rsidP="006C2BFD">
      <w:pPr>
        <w:pStyle w:val="FootnoteText"/>
        <w:ind w:left="567" w:hanging="567"/>
        <w:rPr>
          <w:rFonts w:ascii="Gill Sans MT" w:hAnsi="Gill Sans MT"/>
          <w:sz w:val="16"/>
          <w:szCs w:val="16"/>
          <w:lang w:val="en-AU"/>
        </w:rPr>
      </w:pPr>
      <w:r w:rsidRPr="006C2BFD">
        <w:rPr>
          <w:rStyle w:val="FootnoteReference"/>
          <w:rFonts w:ascii="Gill Sans MT" w:hAnsi="Gill Sans MT"/>
          <w:sz w:val="16"/>
          <w:szCs w:val="16"/>
        </w:rPr>
        <w:footnoteRef/>
      </w:r>
      <w:r w:rsidRPr="006C2BFD">
        <w:rPr>
          <w:rFonts w:ascii="Gill Sans MT" w:hAnsi="Gill Sans MT"/>
          <w:sz w:val="16"/>
          <w:szCs w:val="16"/>
        </w:rPr>
        <w:t xml:space="preserve"> </w:t>
      </w:r>
      <w:r w:rsidR="006C2BFD">
        <w:rPr>
          <w:rFonts w:ascii="Gill Sans MT" w:hAnsi="Gill Sans MT"/>
          <w:sz w:val="16"/>
          <w:szCs w:val="16"/>
        </w:rPr>
        <w:tab/>
      </w:r>
      <w:r w:rsidRPr="006C2BFD">
        <w:rPr>
          <w:rFonts w:ascii="Gill Sans MT" w:hAnsi="Gill Sans MT"/>
          <w:sz w:val="16"/>
          <w:szCs w:val="16"/>
          <w:lang w:val="en-AU"/>
        </w:rPr>
        <w:t xml:space="preserve">See eg, </w:t>
      </w:r>
      <w:r w:rsidRPr="00A43D6A">
        <w:rPr>
          <w:rFonts w:ascii="Gill Sans MT" w:hAnsi="Gill Sans MT"/>
          <w:i/>
          <w:iCs/>
          <w:sz w:val="16"/>
          <w:szCs w:val="16"/>
          <w:lang w:val="en-AU"/>
        </w:rPr>
        <w:t>Traditional Owner Settlement Act 2010</w:t>
      </w:r>
      <w:r w:rsidRPr="006C2BFD">
        <w:rPr>
          <w:rFonts w:ascii="Gill Sans MT" w:hAnsi="Gill Sans MT"/>
          <w:sz w:val="16"/>
          <w:szCs w:val="16"/>
          <w:lang w:val="en-AU"/>
        </w:rPr>
        <w:t xml:space="preserve"> (Vic)</w:t>
      </w:r>
      <w:r w:rsidR="00A43D6A">
        <w:rPr>
          <w:rFonts w:ascii="Gill Sans MT" w:hAnsi="Gill Sans MT"/>
          <w:sz w:val="16"/>
          <w:szCs w:val="16"/>
          <w:lang w:val="en-AU"/>
        </w:rPr>
        <w:t>;</w:t>
      </w:r>
      <w:r w:rsidRPr="006C2BFD">
        <w:rPr>
          <w:rFonts w:ascii="Gill Sans MT" w:hAnsi="Gill Sans MT"/>
          <w:sz w:val="16"/>
          <w:szCs w:val="16"/>
          <w:lang w:val="en-AU"/>
        </w:rPr>
        <w:t xml:space="preserve">  ‘Native Title’, </w:t>
      </w:r>
      <w:r w:rsidRPr="006C2BFD">
        <w:rPr>
          <w:rFonts w:ascii="Gill Sans MT" w:hAnsi="Gill Sans MT"/>
          <w:i/>
          <w:iCs/>
          <w:sz w:val="16"/>
          <w:szCs w:val="16"/>
          <w:lang w:val="en-AU"/>
        </w:rPr>
        <w:t xml:space="preserve">Victorian Government Department of Justice and Community Safety </w:t>
      </w:r>
      <w:r w:rsidRPr="006C2BFD">
        <w:rPr>
          <w:rFonts w:ascii="Gill Sans MT" w:hAnsi="Gill Sans MT"/>
          <w:sz w:val="16"/>
          <w:szCs w:val="16"/>
          <w:lang w:val="en-AU"/>
        </w:rPr>
        <w:t>(Web Page) &lt;https://www.justice.vic.gov.au/your-rights/native-title&gt;.</w:t>
      </w:r>
      <w:r w:rsidR="00A43D6A">
        <w:rPr>
          <w:rFonts w:ascii="Gill Sans MT" w:hAnsi="Gill Sans MT"/>
          <w:sz w:val="16"/>
          <w:szCs w:val="16"/>
          <w:lang w:val="en-AU"/>
        </w:rPr>
        <w:t xml:space="preserve"> See also </w:t>
      </w:r>
      <w:r w:rsidR="00A43D6A" w:rsidRPr="00A43D6A">
        <w:rPr>
          <w:rFonts w:ascii="Gill Sans MT" w:hAnsi="Gill Sans MT"/>
          <w:sz w:val="16"/>
          <w:szCs w:val="16"/>
        </w:rPr>
        <w:t xml:space="preserve">the </w:t>
      </w:r>
      <w:r w:rsidR="00A43D6A" w:rsidRPr="00A43D6A">
        <w:rPr>
          <w:rFonts w:ascii="Gill Sans MT" w:hAnsi="Gill Sans MT"/>
          <w:i/>
          <w:iCs/>
          <w:sz w:val="16"/>
          <w:szCs w:val="16"/>
        </w:rPr>
        <w:t>Aboriginal (Northern Territory) Land Rights Act</w:t>
      </w:r>
      <w:r w:rsidR="00A43D6A" w:rsidRPr="00A43D6A">
        <w:rPr>
          <w:rFonts w:ascii="Gill Sans MT" w:hAnsi="Gill Sans MT"/>
          <w:sz w:val="16"/>
          <w:szCs w:val="16"/>
        </w:rPr>
        <w:t xml:space="preserve"> 1976 (Cth)</w:t>
      </w:r>
      <w:r w:rsidR="00A43D6A">
        <w:rPr>
          <w:rFonts w:ascii="Gill Sans MT" w:hAnsi="Gill Sans MT"/>
          <w:sz w:val="16"/>
          <w:szCs w:val="16"/>
        </w:rPr>
        <w:t xml:space="preserve">; </w:t>
      </w:r>
      <w:r w:rsidR="00A43D6A" w:rsidRPr="00A43D6A">
        <w:rPr>
          <w:rFonts w:ascii="Gill Sans MT" w:hAnsi="Gill Sans MT"/>
          <w:i/>
          <w:iCs/>
          <w:sz w:val="16"/>
          <w:szCs w:val="16"/>
        </w:rPr>
        <w:t>Aboriginal Land Rights Act 1983</w:t>
      </w:r>
      <w:r w:rsidR="00A43D6A" w:rsidRPr="00A43D6A">
        <w:rPr>
          <w:rFonts w:ascii="Gill Sans MT" w:hAnsi="Gill Sans MT"/>
          <w:sz w:val="16"/>
          <w:szCs w:val="16"/>
        </w:rPr>
        <w:t xml:space="preserve"> (NSW). </w:t>
      </w:r>
    </w:p>
  </w:footnote>
  <w:footnote w:id="19">
    <w:p w14:paraId="71955AF6" w14:textId="16C69A59"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First Peoples’ Assembly of Victoria,  ‘Treaty in Victoria’, </w:t>
      </w:r>
      <w:r w:rsidRPr="003D2856">
        <w:rPr>
          <w:rFonts w:ascii="Gill Sans MT" w:eastAsia="Open Sans" w:hAnsi="Gill Sans MT" w:cs="Open Sans"/>
          <w:i/>
          <w:sz w:val="16"/>
          <w:szCs w:val="16"/>
        </w:rPr>
        <w:t xml:space="preserve">First Peoples - State Relations </w:t>
      </w:r>
      <w:r w:rsidRPr="003D2856">
        <w:rPr>
          <w:rFonts w:ascii="Gill Sans MT" w:eastAsia="Open Sans" w:hAnsi="Gill Sans MT" w:cs="Open Sans"/>
          <w:sz w:val="16"/>
          <w:szCs w:val="16"/>
        </w:rPr>
        <w:t>(Web Page) &lt;</w:t>
      </w:r>
      <w:hyperlink r:id="rId9">
        <w:r w:rsidRPr="003D2856">
          <w:rPr>
            <w:rFonts w:ascii="Gill Sans MT" w:eastAsia="Open Sans" w:hAnsi="Gill Sans MT" w:cs="Open Sans"/>
            <w:color w:val="1155CC"/>
            <w:sz w:val="16"/>
            <w:szCs w:val="16"/>
            <w:u w:val="single"/>
          </w:rPr>
          <w:t>https://www.firstpeoplesrelations.vic.gov.au/treaty</w:t>
        </w:r>
      </w:hyperlink>
      <w:r w:rsidRPr="003D2856">
        <w:rPr>
          <w:rFonts w:ascii="Gill Sans MT" w:eastAsia="Open Sans" w:hAnsi="Gill Sans MT" w:cs="Open Sans"/>
          <w:sz w:val="16"/>
          <w:szCs w:val="16"/>
        </w:rPr>
        <w:t xml:space="preserve">&gt;. </w:t>
      </w:r>
    </w:p>
  </w:footnote>
  <w:footnote w:id="20">
    <w:p w14:paraId="09CF7A4B" w14:textId="2169BF90" w:rsidR="00193BA0" w:rsidRPr="003D2856" w:rsidRDefault="00187CED" w:rsidP="003C4D39">
      <w:pPr>
        <w:spacing w:line="240" w:lineRule="auto"/>
        <w:ind w:left="566" w:right="-304" w:hanging="566"/>
        <w:jc w:val="both"/>
        <w:rPr>
          <w:rFonts w:ascii="Gill Sans MT" w:hAnsi="Gill Sans MT"/>
          <w:sz w:val="16"/>
          <w:szCs w:val="16"/>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Pr="003D2856">
        <w:rPr>
          <w:rFonts w:ascii="Gill Sans MT" w:hAnsi="Gill Sans MT"/>
          <w:sz w:val="16"/>
          <w:szCs w:val="16"/>
        </w:rPr>
        <w:tab/>
      </w:r>
      <w:r w:rsidRPr="003D2856">
        <w:rPr>
          <w:rFonts w:ascii="Gill Sans MT" w:eastAsia="Open Sans" w:hAnsi="Gill Sans MT" w:cs="Open Sans"/>
          <w:i/>
          <w:sz w:val="16"/>
          <w:szCs w:val="16"/>
        </w:rPr>
        <w:t xml:space="preserve">Advancing the Treaty Process with Aboriginal Victorians Act 2018 </w:t>
      </w:r>
      <w:r w:rsidRPr="003D2856">
        <w:rPr>
          <w:rFonts w:ascii="Gill Sans MT" w:eastAsia="Open Sans" w:hAnsi="Gill Sans MT" w:cs="Open Sans"/>
          <w:sz w:val="16"/>
          <w:szCs w:val="16"/>
        </w:rPr>
        <w:t xml:space="preserve">(Vic) preamble. See also </w:t>
      </w:r>
      <w:r w:rsidRPr="003D2856">
        <w:rPr>
          <w:rFonts w:ascii="Gill Sans MT" w:eastAsia="Open Sans" w:hAnsi="Gill Sans MT" w:cs="Open Sans"/>
          <w:i/>
          <w:sz w:val="16"/>
          <w:szCs w:val="16"/>
        </w:rPr>
        <w:t xml:space="preserve">Advancing the Treaty Process with Aboriginal Victorians Act 2018 </w:t>
      </w:r>
      <w:r w:rsidRPr="003D2856">
        <w:rPr>
          <w:rFonts w:ascii="Gill Sans MT" w:eastAsia="Open Sans" w:hAnsi="Gill Sans MT" w:cs="Open Sans"/>
          <w:sz w:val="16"/>
          <w:szCs w:val="16"/>
        </w:rPr>
        <w:t>(Vic) s 1. The Act also contains guiding principles for the treaty process</w:t>
      </w:r>
      <w:r w:rsidR="00404B24">
        <w:rPr>
          <w:rFonts w:ascii="Gill Sans MT" w:eastAsia="Open Sans" w:hAnsi="Gill Sans MT" w:cs="Open Sans"/>
          <w:sz w:val="16"/>
          <w:szCs w:val="16"/>
        </w:rPr>
        <w:t xml:space="preserve"> in </w:t>
      </w:r>
      <w:r w:rsidRPr="003D2856">
        <w:rPr>
          <w:rFonts w:ascii="Gill Sans MT" w:eastAsia="Open Sans" w:hAnsi="Gill Sans MT" w:cs="Open Sans"/>
          <w:sz w:val="16"/>
          <w:szCs w:val="16"/>
        </w:rPr>
        <w:t>ss 20-26.</w:t>
      </w:r>
    </w:p>
  </w:footnote>
  <w:footnote w:id="21">
    <w:p w14:paraId="77934A83" w14:textId="5A71A26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First Peoples’ Assembly of Victoria (n </w:t>
      </w:r>
      <w:r w:rsidR="00A607EE">
        <w:rPr>
          <w:rFonts w:ascii="Gill Sans MT" w:eastAsia="Open Sans" w:hAnsi="Gill Sans MT" w:cs="Open Sans"/>
          <w:sz w:val="16"/>
          <w:szCs w:val="16"/>
        </w:rPr>
        <w:fldChar w:fldCharType="begin"/>
      </w:r>
      <w:r w:rsidR="00A607EE">
        <w:rPr>
          <w:rFonts w:ascii="Gill Sans MT" w:eastAsia="Open Sans" w:hAnsi="Gill Sans MT" w:cs="Open Sans"/>
          <w:sz w:val="16"/>
          <w:szCs w:val="16"/>
        </w:rPr>
        <w:instrText xml:space="preserve"> NOTEREF _Ref94287616 \h </w:instrText>
      </w:r>
      <w:r w:rsidR="00A607EE">
        <w:rPr>
          <w:rFonts w:ascii="Gill Sans MT" w:eastAsia="Open Sans" w:hAnsi="Gill Sans MT" w:cs="Open Sans"/>
          <w:sz w:val="16"/>
          <w:szCs w:val="16"/>
        </w:rPr>
      </w:r>
      <w:r w:rsidR="00A607EE">
        <w:rPr>
          <w:rFonts w:ascii="Gill Sans MT" w:eastAsia="Open Sans" w:hAnsi="Gill Sans MT" w:cs="Open Sans"/>
          <w:sz w:val="16"/>
          <w:szCs w:val="16"/>
        </w:rPr>
        <w:fldChar w:fldCharType="separate"/>
      </w:r>
      <w:r w:rsidR="00A607EE">
        <w:rPr>
          <w:rFonts w:ascii="Gill Sans MT" w:eastAsia="Open Sans" w:hAnsi="Gill Sans MT" w:cs="Open Sans"/>
          <w:sz w:val="16"/>
          <w:szCs w:val="16"/>
        </w:rPr>
        <w:t>16</w:t>
      </w:r>
      <w:r w:rsidR="00A607EE">
        <w:rPr>
          <w:rFonts w:ascii="Gill Sans MT" w:eastAsia="Open Sans" w:hAnsi="Gill Sans MT" w:cs="Open Sans"/>
          <w:sz w:val="16"/>
          <w:szCs w:val="16"/>
        </w:rPr>
        <w:fldChar w:fldCharType="end"/>
      </w:r>
      <w:r w:rsidRPr="003D2856">
        <w:rPr>
          <w:rFonts w:ascii="Gill Sans MT" w:eastAsia="Open Sans" w:hAnsi="Gill Sans MT" w:cs="Open Sans"/>
          <w:sz w:val="16"/>
          <w:szCs w:val="16"/>
        </w:rPr>
        <w:t xml:space="preserve">). </w:t>
      </w:r>
    </w:p>
  </w:footnote>
  <w:footnote w:id="22">
    <w:p w14:paraId="225889E9" w14:textId="54702128"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Ibid. The Assembly  is made up of 31 members (11 reserved seats representing formally recognised Traditional Owner groups, and 21 general member seats) to reflect diverse First Nations voices</w:t>
      </w:r>
      <w:r w:rsidR="00A607EE">
        <w:rPr>
          <w:rFonts w:ascii="Gill Sans MT" w:eastAsia="Open Sans" w:hAnsi="Gill Sans MT" w:cs="Open Sans"/>
          <w:sz w:val="16"/>
          <w:szCs w:val="16"/>
        </w:rPr>
        <w:t>.</w:t>
      </w:r>
    </w:p>
  </w:footnote>
  <w:footnote w:id="23">
    <w:p w14:paraId="34B73981" w14:textId="0211944E" w:rsidR="00B37C48" w:rsidRPr="003D2856" w:rsidRDefault="00B37C48" w:rsidP="00A607EE">
      <w:pPr>
        <w:spacing w:line="240" w:lineRule="auto"/>
        <w:ind w:right="-304"/>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00A607EE">
        <w:rPr>
          <w:rFonts w:ascii="Gill Sans MT" w:eastAsia="Open Sans" w:hAnsi="Gill Sans MT" w:cs="Open Sans"/>
          <w:sz w:val="16"/>
          <w:szCs w:val="16"/>
        </w:rPr>
        <w:t xml:space="preserve">          </w:t>
      </w:r>
      <w:r w:rsidRPr="003D2856">
        <w:rPr>
          <w:rFonts w:ascii="Gill Sans MT" w:eastAsia="Open Sans" w:hAnsi="Gill Sans MT" w:cs="Open Sans"/>
          <w:sz w:val="16"/>
          <w:szCs w:val="16"/>
        </w:rPr>
        <w:t>Ibid.</w:t>
      </w:r>
    </w:p>
  </w:footnote>
  <w:footnote w:id="24">
    <w:p w14:paraId="39AF660B"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First Peoples’ Assembly of Victoria, ‘The Assembly’(Web Page) &lt;</w:t>
      </w:r>
      <w:hyperlink r:id="rId10">
        <w:r w:rsidRPr="003D2856">
          <w:rPr>
            <w:rFonts w:ascii="Gill Sans MT" w:eastAsia="Open Sans" w:hAnsi="Gill Sans MT" w:cs="Open Sans"/>
            <w:color w:val="1155CC"/>
            <w:sz w:val="16"/>
            <w:szCs w:val="16"/>
            <w:u w:val="single"/>
          </w:rPr>
          <w:t>https://www.firstpeoplesvic.org/about/the-assembly/</w:t>
        </w:r>
      </w:hyperlink>
      <w:r w:rsidRPr="003D2856">
        <w:rPr>
          <w:rFonts w:ascii="Gill Sans MT" w:eastAsia="Open Sans" w:hAnsi="Gill Sans MT" w:cs="Open Sans"/>
          <w:sz w:val="16"/>
          <w:szCs w:val="16"/>
        </w:rPr>
        <w:t xml:space="preserve">&gt;. </w:t>
      </w:r>
    </w:p>
  </w:footnote>
  <w:footnote w:id="25">
    <w:p w14:paraId="18EA88E4"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First Peoples’ Assembly of Victoria, ‘Treaty Negotiation Framework’</w:t>
      </w:r>
      <w:r w:rsidRPr="003D2856">
        <w:rPr>
          <w:rFonts w:ascii="Gill Sans MT" w:eastAsia="Open Sans" w:hAnsi="Gill Sans MT" w:cs="Open Sans"/>
          <w:i/>
          <w:sz w:val="16"/>
          <w:szCs w:val="16"/>
        </w:rPr>
        <w:t xml:space="preserve"> </w:t>
      </w:r>
      <w:r w:rsidRPr="003D2856">
        <w:rPr>
          <w:rFonts w:ascii="Gill Sans MT" w:eastAsia="Open Sans" w:hAnsi="Gill Sans MT" w:cs="Open Sans"/>
          <w:sz w:val="16"/>
          <w:szCs w:val="16"/>
        </w:rPr>
        <w:t>(Web Page) &lt;</w:t>
      </w:r>
      <w:hyperlink r:id="rId11">
        <w:r w:rsidRPr="003D2856">
          <w:rPr>
            <w:rFonts w:ascii="Gill Sans MT" w:eastAsia="Open Sans" w:hAnsi="Gill Sans MT" w:cs="Open Sans"/>
            <w:color w:val="1155CC"/>
            <w:sz w:val="16"/>
            <w:szCs w:val="16"/>
            <w:u w:val="single"/>
          </w:rPr>
          <w:t>https://www.firstpeoplesvic.org/our-work/treaty-negotiation-framework/</w:t>
        </w:r>
      </w:hyperlink>
      <w:r w:rsidRPr="003D2856">
        <w:rPr>
          <w:rFonts w:ascii="Gill Sans MT" w:eastAsia="Open Sans" w:hAnsi="Gill Sans MT" w:cs="Open Sans"/>
          <w:sz w:val="16"/>
          <w:szCs w:val="16"/>
        </w:rPr>
        <w:t xml:space="preserve">&gt;. </w:t>
      </w:r>
    </w:p>
  </w:footnote>
  <w:footnote w:id="26">
    <w:p w14:paraId="789264F2"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r>
      <w:r w:rsidRPr="003D2856">
        <w:rPr>
          <w:rFonts w:ascii="Gill Sans MT" w:eastAsia="Open Sans" w:hAnsi="Gill Sans MT" w:cs="Open Sans"/>
          <w:i/>
          <w:sz w:val="16"/>
          <w:szCs w:val="16"/>
        </w:rPr>
        <w:t xml:space="preserve">Advancing the Treaty Process with Aboriginal Victorians Act 2018 </w:t>
      </w:r>
      <w:r w:rsidRPr="003D2856">
        <w:rPr>
          <w:rFonts w:ascii="Gill Sans MT" w:eastAsia="Open Sans" w:hAnsi="Gill Sans MT" w:cs="Open Sans"/>
          <w:sz w:val="16"/>
          <w:szCs w:val="16"/>
        </w:rPr>
        <w:t>(Vic) ss 30-31.</w:t>
      </w:r>
    </w:p>
  </w:footnote>
  <w:footnote w:id="27">
    <w:p w14:paraId="23379B1E" w14:textId="2275994E" w:rsidR="00193BA0" w:rsidRPr="003D2856" w:rsidRDefault="00187CED" w:rsidP="00A607EE">
      <w:pPr>
        <w:spacing w:line="240" w:lineRule="auto"/>
        <w:ind w:right="-304"/>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00A607EE">
        <w:rPr>
          <w:rFonts w:ascii="Gill Sans MT" w:eastAsia="Open Sans" w:hAnsi="Gill Sans MT" w:cs="Open Sans"/>
          <w:sz w:val="16"/>
          <w:szCs w:val="16"/>
        </w:rPr>
        <w:t xml:space="preserve">         </w:t>
      </w:r>
      <w:r w:rsidRPr="003D2856">
        <w:rPr>
          <w:rFonts w:ascii="Gill Sans MT" w:eastAsia="Open Sans" w:hAnsi="Gill Sans MT" w:cs="Open Sans"/>
          <w:sz w:val="16"/>
          <w:szCs w:val="16"/>
        </w:rPr>
        <w:t xml:space="preserve">Ibid. See also, </w:t>
      </w:r>
      <w:r w:rsidRPr="003D2856">
        <w:rPr>
          <w:rFonts w:ascii="Gill Sans MT" w:eastAsia="Open Sans" w:hAnsi="Gill Sans MT" w:cs="Open Sans"/>
          <w:i/>
          <w:sz w:val="16"/>
          <w:szCs w:val="16"/>
        </w:rPr>
        <w:t xml:space="preserve">Advancing the Treaty Process with Aboriginal Victorians Act 2018 </w:t>
      </w:r>
      <w:r w:rsidRPr="003D2856">
        <w:rPr>
          <w:rFonts w:ascii="Gill Sans MT" w:eastAsia="Open Sans" w:hAnsi="Gill Sans MT" w:cs="Open Sans"/>
          <w:sz w:val="16"/>
          <w:szCs w:val="16"/>
        </w:rPr>
        <w:t>(Vic) ss 27, 30, 35.</w:t>
      </w:r>
    </w:p>
  </w:footnote>
  <w:footnote w:id="28">
    <w:p w14:paraId="27468379" w14:textId="23E6116E" w:rsidR="00193BA0" w:rsidRPr="003D2856" w:rsidRDefault="00187CED" w:rsidP="00A607EE">
      <w:pPr>
        <w:spacing w:line="240" w:lineRule="auto"/>
        <w:ind w:left="567" w:right="-306" w:hanging="567"/>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00A607EE">
        <w:rPr>
          <w:rFonts w:ascii="Gill Sans MT" w:eastAsia="Open Sans" w:hAnsi="Gill Sans MT" w:cs="Open Sans"/>
          <w:sz w:val="16"/>
          <w:szCs w:val="16"/>
        </w:rPr>
        <w:tab/>
      </w:r>
      <w:r w:rsidR="008227CF">
        <w:rPr>
          <w:rFonts w:ascii="Gill Sans MT" w:eastAsia="Open Sans" w:hAnsi="Gill Sans MT" w:cs="Open Sans"/>
          <w:sz w:val="16"/>
          <w:szCs w:val="16"/>
        </w:rPr>
        <w:t>A</w:t>
      </w:r>
      <w:r w:rsidR="008227CF" w:rsidRPr="008227CF">
        <w:rPr>
          <w:rFonts w:ascii="Gill Sans MT" w:eastAsia="Open Sans" w:hAnsi="Gill Sans MT" w:cs="Open Sans"/>
          <w:sz w:val="16"/>
          <w:szCs w:val="16"/>
        </w:rPr>
        <w:t xml:space="preserve"> permanent body to provide ‘guidance, wisdom and cultural oversight’ to the work of the Assembly</w:t>
      </w:r>
      <w:r w:rsidR="008227CF">
        <w:rPr>
          <w:rFonts w:ascii="Gill Sans MT" w:eastAsia="Open Sans" w:hAnsi="Gill Sans MT" w:cs="Open Sans"/>
          <w:sz w:val="16"/>
          <w:szCs w:val="16"/>
        </w:rPr>
        <w:t>. See</w:t>
      </w:r>
      <w:r w:rsidR="008227CF" w:rsidRPr="008227CF">
        <w:rPr>
          <w:rFonts w:ascii="Gill Sans MT" w:eastAsia="Open Sans" w:hAnsi="Gill Sans MT" w:cs="Open Sans"/>
          <w:sz w:val="16"/>
          <w:szCs w:val="16"/>
        </w:rPr>
        <w:t xml:space="preserve"> </w:t>
      </w:r>
      <w:r w:rsidRPr="003D2856">
        <w:rPr>
          <w:rFonts w:ascii="Gill Sans MT" w:eastAsia="Open Sans" w:hAnsi="Gill Sans MT" w:cs="Open Sans"/>
          <w:sz w:val="16"/>
          <w:szCs w:val="16"/>
        </w:rPr>
        <w:t>First Peoples’ Assembly of Victoria</w:t>
      </w:r>
      <w:r w:rsidRPr="003D2856">
        <w:rPr>
          <w:rFonts w:ascii="Gill Sans MT" w:eastAsia="Open Sans" w:hAnsi="Gill Sans MT" w:cs="Open Sans"/>
          <w:i/>
          <w:sz w:val="16"/>
          <w:szCs w:val="16"/>
        </w:rPr>
        <w:t xml:space="preserve">, </w:t>
      </w:r>
      <w:r w:rsidRPr="003D2856">
        <w:rPr>
          <w:rFonts w:ascii="Gill Sans MT" w:eastAsia="Open Sans" w:hAnsi="Gill Sans MT" w:cs="Open Sans"/>
          <w:sz w:val="16"/>
          <w:szCs w:val="16"/>
        </w:rPr>
        <w:t>‘Elders’ Voice’</w:t>
      </w:r>
      <w:r w:rsidR="00A607EE">
        <w:rPr>
          <w:rFonts w:ascii="Gill Sans MT" w:eastAsia="Open Sans" w:hAnsi="Gill Sans MT" w:cs="Open Sans"/>
          <w:sz w:val="16"/>
          <w:szCs w:val="16"/>
        </w:rPr>
        <w:t xml:space="preserve"> </w:t>
      </w:r>
      <w:r w:rsidRPr="003D2856">
        <w:rPr>
          <w:rFonts w:ascii="Gill Sans MT" w:eastAsia="Open Sans" w:hAnsi="Gill Sans MT" w:cs="Open Sans"/>
          <w:sz w:val="16"/>
          <w:szCs w:val="16"/>
        </w:rPr>
        <w:t>(Web Page) &lt;</w:t>
      </w:r>
      <w:hyperlink r:id="rId12">
        <w:r w:rsidRPr="003D2856">
          <w:rPr>
            <w:rFonts w:ascii="Gill Sans MT" w:eastAsia="Open Sans" w:hAnsi="Gill Sans MT" w:cs="Open Sans"/>
            <w:color w:val="1155CC"/>
            <w:sz w:val="16"/>
            <w:szCs w:val="16"/>
            <w:u w:val="single"/>
          </w:rPr>
          <w:t>https://www.firstpeoplesvic.org/our-work/elders-voice/</w:t>
        </w:r>
      </w:hyperlink>
      <w:r w:rsidRPr="003D2856">
        <w:rPr>
          <w:rFonts w:ascii="Gill Sans MT" w:eastAsia="Open Sans" w:hAnsi="Gill Sans MT" w:cs="Open Sans"/>
          <w:sz w:val="16"/>
          <w:szCs w:val="16"/>
        </w:rPr>
        <w:t>&gt;</w:t>
      </w:r>
      <w:r w:rsidR="000F42ED">
        <w:rPr>
          <w:rFonts w:ascii="Gill Sans MT" w:eastAsia="Open Sans" w:hAnsi="Gill Sans MT" w:cs="Open Sans"/>
          <w:sz w:val="16"/>
          <w:szCs w:val="16"/>
        </w:rPr>
        <w:t xml:space="preserve">; </w:t>
      </w:r>
      <w:r w:rsidRPr="003D2856">
        <w:rPr>
          <w:rFonts w:ascii="Gill Sans MT" w:eastAsia="Open Sans" w:hAnsi="Gill Sans MT" w:cs="Open Sans"/>
          <w:sz w:val="16"/>
          <w:szCs w:val="16"/>
        </w:rPr>
        <w:t>First Peoples’ Assembly of Victoria,  ‘Interim Model Guiding Document’ (Web Page) &lt;</w:t>
      </w:r>
      <w:hyperlink r:id="rId13">
        <w:r w:rsidRPr="003D2856">
          <w:rPr>
            <w:rFonts w:ascii="Gill Sans MT" w:eastAsia="Open Sans" w:hAnsi="Gill Sans MT" w:cs="Open Sans"/>
            <w:color w:val="1155CC"/>
            <w:sz w:val="16"/>
            <w:szCs w:val="16"/>
            <w:u w:val="single"/>
          </w:rPr>
          <w:t>https://www.firstpeoplesvic.org/committees/elders-voice/elders-voice-interim-model-guiding-document/</w:t>
        </w:r>
      </w:hyperlink>
      <w:r w:rsidRPr="003D2856">
        <w:rPr>
          <w:rFonts w:ascii="Gill Sans MT" w:eastAsia="Open Sans" w:hAnsi="Gill Sans MT" w:cs="Open Sans"/>
          <w:sz w:val="16"/>
          <w:szCs w:val="16"/>
        </w:rPr>
        <w:t xml:space="preserve">&gt;. </w:t>
      </w:r>
    </w:p>
  </w:footnote>
  <w:footnote w:id="29">
    <w:p w14:paraId="572E8DED" w14:textId="28C7A940"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r>
      <w:r w:rsidR="008227CF">
        <w:rPr>
          <w:rFonts w:ascii="Gill Sans MT" w:eastAsia="Open Sans" w:hAnsi="Gill Sans MT" w:cs="Open Sans"/>
          <w:sz w:val="16"/>
          <w:szCs w:val="16"/>
        </w:rPr>
        <w:t>I</w:t>
      </w:r>
      <w:r w:rsidR="008227CF" w:rsidRPr="008227CF">
        <w:rPr>
          <w:rFonts w:ascii="Gill Sans MT" w:eastAsia="Open Sans" w:hAnsi="Gill Sans MT" w:cs="Open Sans"/>
          <w:sz w:val="16"/>
          <w:szCs w:val="16"/>
        </w:rPr>
        <w:t>ntended to facilitate negotiations ‘on an equal standing’ between Aboriginal groups and the Victorian Government</w:t>
      </w:r>
      <w:r w:rsidR="008227CF">
        <w:rPr>
          <w:rFonts w:ascii="Gill Sans MT" w:eastAsia="Open Sans" w:hAnsi="Gill Sans MT" w:cs="Open Sans"/>
          <w:sz w:val="16"/>
          <w:szCs w:val="16"/>
        </w:rPr>
        <w:t xml:space="preserve">. </w:t>
      </w:r>
      <w:r w:rsidRPr="003D2856">
        <w:rPr>
          <w:rFonts w:ascii="Gill Sans MT" w:eastAsia="Open Sans" w:hAnsi="Gill Sans MT" w:cs="Open Sans"/>
          <w:sz w:val="16"/>
          <w:szCs w:val="16"/>
        </w:rPr>
        <w:t>See, First Peoples’ Assembly of Victoria,  ‘Self-Determination Fund’</w:t>
      </w:r>
      <w:r w:rsidR="000F42ED">
        <w:rPr>
          <w:rFonts w:ascii="Gill Sans MT" w:eastAsia="Open Sans" w:hAnsi="Gill Sans MT" w:cs="Open Sans"/>
          <w:sz w:val="16"/>
          <w:szCs w:val="16"/>
        </w:rPr>
        <w:t xml:space="preserve"> </w:t>
      </w:r>
      <w:r w:rsidRPr="003D2856">
        <w:rPr>
          <w:rFonts w:ascii="Gill Sans MT" w:eastAsia="Open Sans" w:hAnsi="Gill Sans MT" w:cs="Open Sans"/>
          <w:sz w:val="16"/>
          <w:szCs w:val="16"/>
        </w:rPr>
        <w:t>(Web Page) &lt;</w:t>
      </w:r>
      <w:hyperlink r:id="rId14">
        <w:r w:rsidRPr="003D2856">
          <w:rPr>
            <w:rFonts w:ascii="Gill Sans MT" w:eastAsia="Open Sans" w:hAnsi="Gill Sans MT" w:cs="Open Sans"/>
            <w:color w:val="1155CC"/>
            <w:sz w:val="16"/>
            <w:szCs w:val="16"/>
            <w:u w:val="single"/>
          </w:rPr>
          <w:t>https://www.firstpeoplesvic.org/our-work/self-determination-fund/</w:t>
        </w:r>
      </w:hyperlink>
      <w:r w:rsidRPr="003D2856">
        <w:rPr>
          <w:rFonts w:ascii="Gill Sans MT" w:eastAsia="Open Sans" w:hAnsi="Gill Sans MT" w:cs="Open Sans"/>
          <w:sz w:val="16"/>
          <w:szCs w:val="16"/>
        </w:rPr>
        <w:t>&gt;. The Fund will also provide independent resources to ‘support capacity, wealth and prosperity building’, and support any other function agreed by both the parties</w:t>
      </w:r>
    </w:p>
  </w:footnote>
  <w:footnote w:id="30">
    <w:p w14:paraId="30079630" w14:textId="2CCECDEB"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r>
      <w:r w:rsidR="008227CF">
        <w:rPr>
          <w:rFonts w:ascii="Gill Sans MT" w:eastAsia="Open Sans" w:hAnsi="Gill Sans MT" w:cs="Open Sans"/>
          <w:sz w:val="16"/>
          <w:szCs w:val="16"/>
        </w:rPr>
        <w:t>I</w:t>
      </w:r>
      <w:r w:rsidR="008227CF" w:rsidRPr="008227CF">
        <w:rPr>
          <w:rFonts w:ascii="Gill Sans MT" w:eastAsia="Open Sans" w:hAnsi="Gill Sans MT" w:cs="Open Sans"/>
          <w:sz w:val="16"/>
          <w:szCs w:val="16"/>
        </w:rPr>
        <w:t>ntended to be ‘Aboriginal-led, culturally strong and underpinned by the principles of Aboriginal self-determination)</w:t>
      </w:r>
      <w:r w:rsidR="008227CF">
        <w:rPr>
          <w:rFonts w:ascii="Gill Sans MT" w:eastAsia="Open Sans" w:hAnsi="Gill Sans MT" w:cs="Open Sans"/>
          <w:sz w:val="16"/>
          <w:szCs w:val="16"/>
        </w:rPr>
        <w:t xml:space="preserve">. See </w:t>
      </w:r>
      <w:r w:rsidRPr="003D2856">
        <w:rPr>
          <w:rFonts w:ascii="Gill Sans MT" w:eastAsia="Open Sans" w:hAnsi="Gill Sans MT" w:cs="Open Sans"/>
          <w:sz w:val="16"/>
          <w:szCs w:val="16"/>
        </w:rPr>
        <w:t>First Peoples’ Assembly of Victoria, ‘Treaty Authority’ (Web Page) &lt;</w:t>
      </w:r>
      <w:hyperlink r:id="rId15">
        <w:r w:rsidRPr="003D2856">
          <w:rPr>
            <w:rFonts w:ascii="Gill Sans MT" w:eastAsia="Open Sans" w:hAnsi="Gill Sans MT" w:cs="Open Sans"/>
            <w:color w:val="1155CC"/>
            <w:sz w:val="16"/>
            <w:szCs w:val="16"/>
            <w:u w:val="single"/>
          </w:rPr>
          <w:t>https://www.firstpeoplesvic.org/our-work/treaty-authority-2/</w:t>
        </w:r>
      </w:hyperlink>
      <w:r w:rsidRPr="003D2856">
        <w:rPr>
          <w:rFonts w:ascii="Gill Sans MT" w:eastAsia="Open Sans" w:hAnsi="Gill Sans MT" w:cs="Open Sans"/>
          <w:sz w:val="16"/>
          <w:szCs w:val="16"/>
        </w:rPr>
        <w:t>&gt;. The Authority will ensure timely, just and fair negotiations through effective and independent oversight of the treaty process and the parties in negotiations.</w:t>
      </w:r>
    </w:p>
  </w:footnote>
  <w:footnote w:id="31">
    <w:p w14:paraId="2E198827"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Yoorrook Justice Commission, </w:t>
      </w:r>
      <w:r w:rsidRPr="003D2856">
        <w:rPr>
          <w:rFonts w:ascii="Gill Sans MT" w:eastAsia="Open Sans" w:hAnsi="Gill Sans MT" w:cs="Open Sans"/>
          <w:i/>
          <w:sz w:val="16"/>
          <w:szCs w:val="16"/>
        </w:rPr>
        <w:t xml:space="preserve">Letters Patent </w:t>
      </w:r>
      <w:r w:rsidRPr="003D2856">
        <w:rPr>
          <w:rFonts w:ascii="Gill Sans MT" w:eastAsia="Open Sans" w:hAnsi="Gill Sans MT" w:cs="Open Sans"/>
          <w:sz w:val="16"/>
          <w:szCs w:val="16"/>
        </w:rPr>
        <w:t>(12 May 2021) &lt;</w:t>
      </w:r>
      <w:hyperlink r:id="rId16">
        <w:r w:rsidRPr="003D2856">
          <w:rPr>
            <w:rFonts w:ascii="Gill Sans MT" w:eastAsia="Open Sans" w:hAnsi="Gill Sans MT" w:cs="Open Sans"/>
            <w:color w:val="1155CC"/>
            <w:sz w:val="16"/>
            <w:szCs w:val="16"/>
            <w:u w:val="single"/>
          </w:rPr>
          <w:t>https://yoorrookjusticecommission.org.au/wp-content/uploads/2021/09/Letters-Patent-Yoo-rrook-Justice-Commission-signed-10-1.pdf</w:t>
        </w:r>
      </w:hyperlink>
      <w:r w:rsidRPr="003D2856">
        <w:rPr>
          <w:rFonts w:ascii="Gill Sans MT" w:eastAsia="Open Sans" w:hAnsi="Gill Sans MT" w:cs="Open Sans"/>
          <w:sz w:val="16"/>
          <w:szCs w:val="16"/>
        </w:rPr>
        <w:t xml:space="preserve">&gt;. </w:t>
      </w:r>
    </w:p>
  </w:footnote>
  <w:footnote w:id="32">
    <w:p w14:paraId="24891C68"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Yoorrook Justice Commission, ‘Overview and Timeline’ &lt;</w:t>
      </w:r>
      <w:hyperlink r:id="rId17">
        <w:r w:rsidRPr="003D2856">
          <w:rPr>
            <w:rFonts w:ascii="Gill Sans MT" w:eastAsia="Open Sans" w:hAnsi="Gill Sans MT" w:cs="Open Sans"/>
            <w:color w:val="1155CC"/>
            <w:sz w:val="16"/>
            <w:szCs w:val="16"/>
            <w:u w:val="single"/>
          </w:rPr>
          <w:t>https://yoorrookjusticecommission.org.au/overview/</w:t>
        </w:r>
      </w:hyperlink>
      <w:r w:rsidRPr="003D2856">
        <w:rPr>
          <w:rFonts w:ascii="Gill Sans MT" w:eastAsia="Open Sans" w:hAnsi="Gill Sans MT" w:cs="Open Sans"/>
          <w:sz w:val="16"/>
          <w:szCs w:val="16"/>
        </w:rPr>
        <w:t xml:space="preserve">&gt;. </w:t>
      </w:r>
    </w:p>
  </w:footnote>
  <w:footnote w:id="33">
    <w:p w14:paraId="3B138C43" w14:textId="199A4CB8" w:rsidR="00193BA0" w:rsidRPr="002A5E4D" w:rsidRDefault="00187CED" w:rsidP="00833FA7">
      <w:pPr>
        <w:spacing w:line="240" w:lineRule="auto"/>
        <w:ind w:left="567" w:right="-306" w:hanging="567"/>
        <w:jc w:val="both"/>
        <w:rPr>
          <w:rFonts w:ascii="Gill Sans MT" w:hAnsi="Gill Sans MT"/>
          <w:sz w:val="16"/>
          <w:szCs w:val="16"/>
          <w:lang w:val="en-AU"/>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002A5E4D">
        <w:rPr>
          <w:rFonts w:ascii="Gill Sans MT" w:hAnsi="Gill Sans MT"/>
          <w:sz w:val="16"/>
          <w:szCs w:val="16"/>
        </w:rPr>
        <w:t xml:space="preserve">        </w:t>
      </w:r>
      <w:r w:rsidR="00833FA7">
        <w:rPr>
          <w:rFonts w:ascii="Gill Sans MT" w:hAnsi="Gill Sans MT"/>
          <w:sz w:val="16"/>
          <w:szCs w:val="16"/>
        </w:rPr>
        <w:t xml:space="preserve"> </w:t>
      </w:r>
      <w:r w:rsidR="00A607EE">
        <w:rPr>
          <w:rFonts w:ascii="Gill Sans MT" w:hAnsi="Gill Sans MT"/>
          <w:sz w:val="16"/>
          <w:szCs w:val="16"/>
        </w:rPr>
        <w:t>Hobbs and Williams</w:t>
      </w:r>
      <w:r w:rsidR="009708E2">
        <w:rPr>
          <w:rFonts w:ascii="Gill Sans MT" w:hAnsi="Gill Sans MT"/>
          <w:sz w:val="16"/>
          <w:szCs w:val="16"/>
        </w:rPr>
        <w:t xml:space="preserve"> (n </w:t>
      </w:r>
      <w:r w:rsidR="009708E2">
        <w:rPr>
          <w:rFonts w:ascii="Gill Sans MT" w:hAnsi="Gill Sans MT"/>
          <w:sz w:val="16"/>
          <w:szCs w:val="16"/>
        </w:rPr>
        <w:fldChar w:fldCharType="begin"/>
      </w:r>
      <w:r w:rsidR="009708E2">
        <w:rPr>
          <w:rFonts w:ascii="Gill Sans MT" w:hAnsi="Gill Sans MT"/>
          <w:sz w:val="16"/>
          <w:szCs w:val="16"/>
        </w:rPr>
        <w:instrText xml:space="preserve"> NOTEREF _Ref94289427 \h </w:instrText>
      </w:r>
      <w:r w:rsidR="009708E2">
        <w:rPr>
          <w:rFonts w:ascii="Gill Sans MT" w:hAnsi="Gill Sans MT"/>
          <w:sz w:val="16"/>
          <w:szCs w:val="16"/>
        </w:rPr>
      </w:r>
      <w:r w:rsidR="009708E2">
        <w:rPr>
          <w:rFonts w:ascii="Gill Sans MT" w:hAnsi="Gill Sans MT"/>
          <w:sz w:val="16"/>
          <w:szCs w:val="16"/>
        </w:rPr>
        <w:fldChar w:fldCharType="separate"/>
      </w:r>
      <w:r w:rsidR="009708E2">
        <w:rPr>
          <w:rFonts w:ascii="Gill Sans MT" w:hAnsi="Gill Sans MT"/>
          <w:sz w:val="16"/>
          <w:szCs w:val="16"/>
        </w:rPr>
        <w:t>16</w:t>
      </w:r>
      <w:r w:rsidR="009708E2">
        <w:rPr>
          <w:rFonts w:ascii="Gill Sans MT" w:hAnsi="Gill Sans MT"/>
          <w:sz w:val="16"/>
          <w:szCs w:val="16"/>
        </w:rPr>
        <w:fldChar w:fldCharType="end"/>
      </w:r>
      <w:r w:rsidR="009708E2">
        <w:rPr>
          <w:rFonts w:ascii="Gill Sans MT" w:hAnsi="Gill Sans MT"/>
          <w:sz w:val="16"/>
          <w:szCs w:val="16"/>
        </w:rPr>
        <w:t>)</w:t>
      </w:r>
      <w:r w:rsidR="002A5E4D">
        <w:rPr>
          <w:rFonts w:ascii="Gill Sans MT" w:hAnsi="Gill Sans MT"/>
          <w:sz w:val="16"/>
          <w:szCs w:val="16"/>
          <w:lang w:val="en-AU"/>
        </w:rPr>
        <w:t xml:space="preserve"> </w:t>
      </w:r>
      <w:r w:rsidR="00A95083">
        <w:rPr>
          <w:rFonts w:ascii="Gill Sans MT" w:hAnsi="Gill Sans MT"/>
          <w:sz w:val="16"/>
          <w:szCs w:val="16"/>
          <w:lang w:val="en-AU"/>
        </w:rPr>
        <w:t xml:space="preserve">31. </w:t>
      </w:r>
    </w:p>
  </w:footnote>
  <w:footnote w:id="34">
    <w:p w14:paraId="7657D393" w14:textId="7EBC0822" w:rsidR="00833FA7" w:rsidRPr="00833FA7" w:rsidRDefault="00833FA7">
      <w:pPr>
        <w:pStyle w:val="FootnoteText"/>
        <w:rPr>
          <w:rFonts w:ascii="Gill Sans MT" w:hAnsi="Gill Sans MT"/>
          <w:sz w:val="16"/>
          <w:szCs w:val="16"/>
          <w:lang w:val="en-AU"/>
        </w:rPr>
      </w:pPr>
      <w:r w:rsidRPr="00833FA7">
        <w:rPr>
          <w:rStyle w:val="FootnoteReference"/>
          <w:rFonts w:ascii="Gill Sans MT" w:hAnsi="Gill Sans MT"/>
          <w:sz w:val="16"/>
          <w:szCs w:val="16"/>
        </w:rPr>
        <w:footnoteRef/>
      </w:r>
      <w:r w:rsidRPr="00833FA7">
        <w:rPr>
          <w:rFonts w:ascii="Gill Sans MT" w:hAnsi="Gill Sans MT"/>
          <w:sz w:val="16"/>
          <w:szCs w:val="16"/>
        </w:rPr>
        <w:t xml:space="preserve"> </w:t>
      </w:r>
      <w:r>
        <w:rPr>
          <w:rFonts w:ascii="Gill Sans MT" w:hAnsi="Gill Sans MT"/>
          <w:sz w:val="16"/>
          <w:szCs w:val="16"/>
        </w:rPr>
        <w:t xml:space="preserve">         </w:t>
      </w:r>
      <w:r w:rsidRPr="00833FA7">
        <w:rPr>
          <w:rFonts w:ascii="Gill Sans MT" w:hAnsi="Gill Sans MT"/>
          <w:sz w:val="16"/>
          <w:szCs w:val="16"/>
          <w:lang w:val="en-AU"/>
        </w:rPr>
        <w:t>Ibid.</w:t>
      </w:r>
      <w:r w:rsidRPr="00833FA7">
        <w:rPr>
          <w:rFonts w:ascii="Gill Sans MT" w:eastAsia="Open Sans" w:hAnsi="Gill Sans MT" w:cs="Open Sans"/>
          <w:sz w:val="16"/>
          <w:szCs w:val="16"/>
        </w:rPr>
        <w:t xml:space="preserve"> </w:t>
      </w:r>
      <w:r w:rsidRPr="003D2856">
        <w:rPr>
          <w:rFonts w:ascii="Gill Sans MT" w:eastAsia="Open Sans" w:hAnsi="Gill Sans MT" w:cs="Open Sans"/>
          <w:sz w:val="16"/>
          <w:szCs w:val="16"/>
        </w:rPr>
        <w:t xml:space="preserve">The Noongar Settlement is recognised by statute in the </w:t>
      </w:r>
      <w:r w:rsidRPr="003D2856">
        <w:rPr>
          <w:rFonts w:ascii="Gill Sans MT" w:eastAsia="Open Sans" w:hAnsi="Gill Sans MT" w:cs="Open Sans"/>
          <w:i/>
          <w:sz w:val="16"/>
          <w:szCs w:val="16"/>
        </w:rPr>
        <w:t xml:space="preserve">Land Administration (South West Native Title Settlement Act 2016 </w:t>
      </w:r>
      <w:r w:rsidRPr="003D2856">
        <w:rPr>
          <w:rFonts w:ascii="Gill Sans MT" w:eastAsia="Open Sans" w:hAnsi="Gill Sans MT" w:cs="Open Sans"/>
          <w:sz w:val="16"/>
          <w:szCs w:val="16"/>
        </w:rPr>
        <w:t xml:space="preserve">(WA). </w:t>
      </w:r>
      <w:r>
        <w:rPr>
          <w:rFonts w:ascii="Gill Sans MT" w:hAnsi="Gill Sans MT"/>
          <w:sz w:val="16"/>
          <w:szCs w:val="16"/>
        </w:rPr>
        <w:t xml:space="preserve"> </w:t>
      </w:r>
    </w:p>
  </w:footnote>
  <w:footnote w:id="35">
    <w:p w14:paraId="2F334251" w14:textId="1B8AF55C" w:rsidR="00833FA7" w:rsidRPr="00833FA7" w:rsidRDefault="00833FA7">
      <w:pPr>
        <w:pStyle w:val="FootnoteText"/>
        <w:rPr>
          <w:rFonts w:ascii="Gill Sans MT" w:hAnsi="Gill Sans MT"/>
          <w:sz w:val="16"/>
          <w:szCs w:val="16"/>
          <w:lang w:val="en-AU"/>
        </w:rPr>
      </w:pPr>
      <w:r w:rsidRPr="00833FA7">
        <w:rPr>
          <w:rStyle w:val="FootnoteReference"/>
          <w:rFonts w:ascii="Gill Sans MT" w:hAnsi="Gill Sans MT"/>
          <w:sz w:val="16"/>
          <w:szCs w:val="16"/>
        </w:rPr>
        <w:footnoteRef/>
      </w:r>
      <w:r w:rsidRPr="00833FA7">
        <w:rPr>
          <w:rFonts w:ascii="Gill Sans MT" w:hAnsi="Gill Sans MT"/>
          <w:sz w:val="16"/>
          <w:szCs w:val="16"/>
        </w:rPr>
        <w:t xml:space="preserve"> </w:t>
      </w:r>
      <w:r>
        <w:rPr>
          <w:rFonts w:ascii="Gill Sans MT" w:hAnsi="Gill Sans MT"/>
          <w:sz w:val="16"/>
          <w:szCs w:val="16"/>
        </w:rPr>
        <w:t xml:space="preserve">         </w:t>
      </w:r>
      <w:r w:rsidR="009708E2">
        <w:rPr>
          <w:rFonts w:ascii="Gill Sans MT" w:hAnsi="Gill Sans MT"/>
          <w:sz w:val="16"/>
          <w:szCs w:val="16"/>
        </w:rPr>
        <w:t xml:space="preserve">Hobbs and Williams (n </w:t>
      </w:r>
      <w:r w:rsidR="009708E2">
        <w:rPr>
          <w:rFonts w:ascii="Gill Sans MT" w:hAnsi="Gill Sans MT"/>
          <w:sz w:val="16"/>
          <w:szCs w:val="16"/>
        </w:rPr>
        <w:fldChar w:fldCharType="begin"/>
      </w:r>
      <w:r w:rsidR="009708E2">
        <w:rPr>
          <w:rFonts w:ascii="Gill Sans MT" w:hAnsi="Gill Sans MT"/>
          <w:sz w:val="16"/>
          <w:szCs w:val="16"/>
        </w:rPr>
        <w:instrText xml:space="preserve"> NOTEREF _Ref94289427 \h </w:instrText>
      </w:r>
      <w:r w:rsidR="009708E2">
        <w:rPr>
          <w:rFonts w:ascii="Gill Sans MT" w:hAnsi="Gill Sans MT"/>
          <w:sz w:val="16"/>
          <w:szCs w:val="16"/>
        </w:rPr>
      </w:r>
      <w:r w:rsidR="009708E2">
        <w:rPr>
          <w:rFonts w:ascii="Gill Sans MT" w:hAnsi="Gill Sans MT"/>
          <w:sz w:val="16"/>
          <w:szCs w:val="16"/>
        </w:rPr>
        <w:fldChar w:fldCharType="separate"/>
      </w:r>
      <w:r w:rsidR="009708E2">
        <w:rPr>
          <w:rFonts w:ascii="Gill Sans MT" w:hAnsi="Gill Sans MT"/>
          <w:sz w:val="16"/>
          <w:szCs w:val="16"/>
        </w:rPr>
        <w:t>16</w:t>
      </w:r>
      <w:r w:rsidR="009708E2">
        <w:rPr>
          <w:rFonts w:ascii="Gill Sans MT" w:hAnsi="Gill Sans MT"/>
          <w:sz w:val="16"/>
          <w:szCs w:val="16"/>
        </w:rPr>
        <w:fldChar w:fldCharType="end"/>
      </w:r>
      <w:r w:rsidR="009708E2">
        <w:rPr>
          <w:rFonts w:ascii="Gill Sans MT" w:hAnsi="Gill Sans MT"/>
          <w:sz w:val="16"/>
          <w:szCs w:val="16"/>
        </w:rPr>
        <w:t>)</w:t>
      </w:r>
      <w:r w:rsidR="00A95083">
        <w:rPr>
          <w:rFonts w:ascii="Gill Sans MT" w:hAnsi="Gill Sans MT"/>
          <w:sz w:val="16"/>
          <w:szCs w:val="16"/>
        </w:rPr>
        <w:t xml:space="preserve"> 18.</w:t>
      </w:r>
    </w:p>
  </w:footnote>
  <w:footnote w:id="36">
    <w:p w14:paraId="6D23D887" w14:textId="77777777" w:rsidR="009708E2" w:rsidRPr="003D2856" w:rsidRDefault="009708E2" w:rsidP="009708E2">
      <w:pPr>
        <w:spacing w:line="240" w:lineRule="auto"/>
        <w:ind w:right="-304"/>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Pr>
          <w:rFonts w:ascii="Gill Sans MT" w:eastAsia="Open Sans" w:hAnsi="Gill Sans MT" w:cs="Open Sans"/>
          <w:sz w:val="16"/>
          <w:szCs w:val="16"/>
        </w:rPr>
        <w:t xml:space="preserve">         </w:t>
      </w:r>
      <w:r w:rsidRPr="003D2856">
        <w:rPr>
          <w:rFonts w:ascii="Gill Sans MT" w:eastAsia="Open Sans" w:hAnsi="Gill Sans MT" w:cs="Open Sans"/>
          <w:sz w:val="16"/>
          <w:szCs w:val="16"/>
        </w:rPr>
        <w:t>Ibid 34-7.</w:t>
      </w:r>
    </w:p>
  </w:footnote>
  <w:footnote w:id="37">
    <w:p w14:paraId="0A782AC1" w14:textId="1C39D6CF" w:rsidR="009708E2" w:rsidRPr="009708E2" w:rsidRDefault="009708E2" w:rsidP="009708E2">
      <w:pPr>
        <w:pStyle w:val="FootnoteText"/>
        <w:ind w:left="567" w:hanging="567"/>
        <w:rPr>
          <w:rFonts w:ascii="Gill Sans MT" w:hAnsi="Gill Sans MT"/>
          <w:sz w:val="16"/>
          <w:szCs w:val="16"/>
          <w:lang w:val="en-AU"/>
        </w:rPr>
      </w:pPr>
      <w:r w:rsidRPr="009708E2">
        <w:rPr>
          <w:rStyle w:val="FootnoteReference"/>
          <w:rFonts w:ascii="Gill Sans MT" w:hAnsi="Gill Sans MT"/>
          <w:sz w:val="16"/>
          <w:szCs w:val="16"/>
        </w:rPr>
        <w:footnoteRef/>
      </w:r>
      <w:r w:rsidRPr="009708E2">
        <w:rPr>
          <w:rFonts w:ascii="Gill Sans MT" w:hAnsi="Gill Sans MT"/>
          <w:sz w:val="16"/>
          <w:szCs w:val="16"/>
        </w:rPr>
        <w:t xml:space="preserve"> </w:t>
      </w:r>
      <w:r>
        <w:rPr>
          <w:rFonts w:ascii="Gill Sans MT" w:hAnsi="Gill Sans MT"/>
          <w:sz w:val="16"/>
          <w:szCs w:val="16"/>
        </w:rPr>
        <w:tab/>
      </w:r>
      <w:r w:rsidRPr="009708E2">
        <w:rPr>
          <w:rFonts w:ascii="Gill Sans MT" w:hAnsi="Gill Sans MT"/>
          <w:sz w:val="16"/>
          <w:szCs w:val="16"/>
        </w:rPr>
        <w:t xml:space="preserve">Harry Hobbs, 'The Noongar Settlement: Two Lessons for Treaty Making in Australia’, </w:t>
      </w:r>
      <w:r w:rsidRPr="009708E2">
        <w:rPr>
          <w:rFonts w:ascii="Gill Sans MT" w:hAnsi="Gill Sans MT"/>
          <w:i/>
          <w:iCs/>
          <w:sz w:val="16"/>
          <w:szCs w:val="16"/>
        </w:rPr>
        <w:t xml:space="preserve">AusPubLaw </w:t>
      </w:r>
      <w:r w:rsidRPr="009708E2">
        <w:rPr>
          <w:rFonts w:ascii="Gill Sans MT" w:hAnsi="Gill Sans MT"/>
          <w:sz w:val="16"/>
          <w:szCs w:val="16"/>
        </w:rPr>
        <w:t>(Blog, 24 October 2010) &lt; https://auspublaw.org/2018/10/the-noongar-settlement-two-lessons-for-treaty-making-in-australia/&gt;.</w:t>
      </w:r>
    </w:p>
  </w:footnote>
  <w:footnote w:id="38">
    <w:p w14:paraId="63144423" w14:textId="759D0C76"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Pr="003D2856">
        <w:rPr>
          <w:rFonts w:ascii="Gill Sans MT" w:hAnsi="Gill Sans MT"/>
          <w:sz w:val="16"/>
          <w:szCs w:val="16"/>
        </w:rPr>
        <w:tab/>
      </w:r>
      <w:r w:rsidRPr="003D2856">
        <w:rPr>
          <w:rFonts w:ascii="Gill Sans MT" w:eastAsia="Open Sans" w:hAnsi="Gill Sans MT" w:cs="Open Sans"/>
          <w:sz w:val="16"/>
          <w:szCs w:val="16"/>
        </w:rPr>
        <w:t>Malcolm Turnbull, ‘Response to Referendum Council’s Report on Constitutional Recognition’ (Media Release, 26 October 2017) &lt;https://www.malcolmturnbull.com.au/media/response-to-referendum-councils-report-on-constitutional-recognition&gt;</w:t>
      </w:r>
      <w:r w:rsidR="00642B39">
        <w:rPr>
          <w:rFonts w:ascii="Gill Sans MT" w:eastAsia="Open Sans" w:hAnsi="Gill Sans MT" w:cs="Open Sans"/>
          <w:sz w:val="16"/>
          <w:szCs w:val="16"/>
        </w:rPr>
        <w:t xml:space="preserve">. </w:t>
      </w:r>
      <w:r w:rsidRPr="003D2856">
        <w:rPr>
          <w:rFonts w:ascii="Gill Sans MT" w:eastAsia="Open Sans" w:hAnsi="Gill Sans MT" w:cs="Open Sans"/>
          <w:sz w:val="16"/>
          <w:szCs w:val="16"/>
        </w:rPr>
        <w:t xml:space="preserve"> </w:t>
      </w:r>
    </w:p>
  </w:footnote>
  <w:footnote w:id="39">
    <w:p w14:paraId="1B86DDDD" w14:textId="0B828CF9"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Pr="003D2856">
        <w:rPr>
          <w:rFonts w:ascii="Gill Sans MT" w:eastAsia="Open Sans" w:hAnsi="Gill Sans MT" w:cs="Open Sans"/>
          <w:sz w:val="16"/>
          <w:szCs w:val="16"/>
        </w:rPr>
        <w:tab/>
        <w:t xml:space="preserve">Paul Karp, ‘Scott Morrison Claims Indigenous Voice to Parliament Would be a Third Chamber’, </w:t>
      </w:r>
      <w:r w:rsidRPr="003D2856">
        <w:rPr>
          <w:rFonts w:ascii="Gill Sans MT" w:eastAsia="Open Sans" w:hAnsi="Gill Sans MT" w:cs="Open Sans"/>
          <w:i/>
          <w:sz w:val="16"/>
          <w:szCs w:val="16"/>
        </w:rPr>
        <w:t xml:space="preserve">The Guardian </w:t>
      </w:r>
      <w:r w:rsidRPr="003D2856">
        <w:rPr>
          <w:rFonts w:ascii="Gill Sans MT" w:eastAsia="Open Sans" w:hAnsi="Gill Sans MT" w:cs="Open Sans"/>
          <w:sz w:val="16"/>
          <w:szCs w:val="16"/>
        </w:rPr>
        <w:t>(online, 26 September 2018</w:t>
      </w:r>
      <w:r w:rsidR="00642B39">
        <w:rPr>
          <w:rFonts w:ascii="Gill Sans MT" w:eastAsia="Open Sans" w:hAnsi="Gill Sans MT" w:cs="Open Sans"/>
          <w:sz w:val="16"/>
          <w:szCs w:val="16"/>
        </w:rPr>
        <w:t xml:space="preserve">) </w:t>
      </w:r>
      <w:r w:rsidRPr="003D2856">
        <w:rPr>
          <w:rFonts w:ascii="Gill Sans MT" w:eastAsia="Open Sans" w:hAnsi="Gill Sans MT" w:cs="Open Sans"/>
          <w:sz w:val="16"/>
          <w:szCs w:val="16"/>
        </w:rPr>
        <w:t xml:space="preserve">&lt;https://www.theguardian.com/australia-news/2018/sep/26/scott-morrison-claims-indigenous-voice-to-parliament-would-be-a-third-chamber&gt;. Anne Twomey has rejected this claim: see, Anne Twomey </w:t>
      </w:r>
      <w:r w:rsidR="002A5E4D" w:rsidRPr="003D2856">
        <w:rPr>
          <w:rFonts w:ascii="Gill Sans MT" w:eastAsia="Open Sans" w:hAnsi="Gill Sans MT" w:cs="Open Sans"/>
          <w:sz w:val="16"/>
          <w:szCs w:val="16"/>
        </w:rPr>
        <w:t xml:space="preserve">(n </w:t>
      </w:r>
      <w:r w:rsidR="002A5E4D">
        <w:rPr>
          <w:rFonts w:ascii="Gill Sans MT" w:eastAsia="Open Sans" w:hAnsi="Gill Sans MT" w:cs="Open Sans"/>
          <w:sz w:val="16"/>
          <w:szCs w:val="16"/>
        </w:rPr>
        <w:fldChar w:fldCharType="begin"/>
      </w:r>
      <w:r w:rsidR="002A5E4D">
        <w:rPr>
          <w:rFonts w:ascii="Gill Sans MT" w:eastAsia="Open Sans" w:hAnsi="Gill Sans MT" w:cs="Open Sans"/>
          <w:sz w:val="16"/>
          <w:szCs w:val="16"/>
        </w:rPr>
        <w:instrText xml:space="preserve"> NOTEREF _Ref94287485 \h </w:instrText>
      </w:r>
      <w:r w:rsidR="002A5E4D">
        <w:rPr>
          <w:rFonts w:ascii="Gill Sans MT" w:eastAsia="Open Sans" w:hAnsi="Gill Sans MT" w:cs="Open Sans"/>
          <w:sz w:val="16"/>
          <w:szCs w:val="16"/>
        </w:rPr>
      </w:r>
      <w:r w:rsidR="002A5E4D">
        <w:rPr>
          <w:rFonts w:ascii="Gill Sans MT" w:eastAsia="Open Sans" w:hAnsi="Gill Sans MT" w:cs="Open Sans"/>
          <w:sz w:val="16"/>
          <w:szCs w:val="16"/>
        </w:rPr>
        <w:fldChar w:fldCharType="separate"/>
      </w:r>
      <w:r w:rsidR="002A5E4D">
        <w:rPr>
          <w:rFonts w:ascii="Gill Sans MT" w:eastAsia="Open Sans" w:hAnsi="Gill Sans MT" w:cs="Open Sans"/>
          <w:sz w:val="16"/>
          <w:szCs w:val="16"/>
        </w:rPr>
        <w:t>9</w:t>
      </w:r>
      <w:r w:rsidR="002A5E4D">
        <w:rPr>
          <w:rFonts w:ascii="Gill Sans MT" w:eastAsia="Open Sans" w:hAnsi="Gill Sans MT" w:cs="Open Sans"/>
          <w:sz w:val="16"/>
          <w:szCs w:val="16"/>
        </w:rPr>
        <w:fldChar w:fldCharType="end"/>
      </w:r>
      <w:r w:rsidR="002A5E4D" w:rsidRPr="003D2856">
        <w:rPr>
          <w:rFonts w:ascii="Gill Sans MT" w:eastAsia="Open Sans" w:hAnsi="Gill Sans MT" w:cs="Open Sans"/>
          <w:sz w:val="16"/>
          <w:szCs w:val="16"/>
        </w:rPr>
        <w:t>).</w:t>
      </w:r>
    </w:p>
  </w:footnote>
  <w:footnote w:id="40">
    <w:p w14:paraId="1FFA3763" w14:textId="60562BF0" w:rsidR="00193BA0" w:rsidRPr="003D2856" w:rsidRDefault="00187CED" w:rsidP="00642B39">
      <w:pPr>
        <w:spacing w:line="240" w:lineRule="auto"/>
        <w:ind w:left="566" w:right="-304" w:hanging="566"/>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hAnsi="Gill Sans MT"/>
          <w:sz w:val="16"/>
          <w:szCs w:val="16"/>
        </w:rPr>
        <w:t xml:space="preserve"> </w:t>
      </w:r>
      <w:r w:rsidRPr="003D2856">
        <w:rPr>
          <w:rFonts w:ascii="Gill Sans MT" w:hAnsi="Gill Sans MT"/>
          <w:sz w:val="16"/>
          <w:szCs w:val="16"/>
        </w:rPr>
        <w:tab/>
      </w:r>
      <w:r w:rsidRPr="003D2856">
        <w:rPr>
          <w:rFonts w:ascii="Gill Sans MT" w:eastAsia="Open Sans" w:hAnsi="Gill Sans MT" w:cs="Open Sans"/>
          <w:sz w:val="16"/>
          <w:szCs w:val="16"/>
        </w:rPr>
        <w:t xml:space="preserve">Amy Remeikis, ‘Barnaby Joyce “Apologises” for Calling Indigenous Voice a Third Chamber of Parliament’, The Guardian (online, 18 July 2019). &lt;https://www.theguardian.com/australia-news/2019/jul/18/barnaby-joyce-apologises-for-calling-indigenous-voice-a-third-chamber-of-parliament&gt;. </w:t>
      </w:r>
      <w:r w:rsidR="00642B39">
        <w:rPr>
          <w:rFonts w:ascii="Gill Sans MT" w:eastAsia="Open Sans" w:hAnsi="Gill Sans MT" w:cs="Open Sans"/>
          <w:sz w:val="16"/>
          <w:szCs w:val="16"/>
        </w:rPr>
        <w:t>Despite later</w:t>
      </w:r>
      <w:r w:rsidRPr="003D2856">
        <w:rPr>
          <w:rFonts w:ascii="Gill Sans MT" w:eastAsia="Open Sans" w:hAnsi="Gill Sans MT" w:cs="Open Sans"/>
          <w:sz w:val="16"/>
          <w:szCs w:val="16"/>
        </w:rPr>
        <w:t xml:space="preserve"> apologis</w:t>
      </w:r>
      <w:r w:rsidR="00642B39">
        <w:rPr>
          <w:rFonts w:ascii="Gill Sans MT" w:eastAsia="Open Sans" w:hAnsi="Gill Sans MT" w:cs="Open Sans"/>
          <w:sz w:val="16"/>
          <w:szCs w:val="16"/>
        </w:rPr>
        <w:t>ing</w:t>
      </w:r>
      <w:r w:rsidRPr="003D2856">
        <w:rPr>
          <w:rFonts w:ascii="Gill Sans MT" w:eastAsia="Open Sans" w:hAnsi="Gill Sans MT" w:cs="Open Sans"/>
          <w:sz w:val="16"/>
          <w:szCs w:val="16"/>
        </w:rPr>
        <w:t xml:space="preserve"> for this statement, he still does not support a constitutionally enshrined Voice.</w:t>
      </w:r>
    </w:p>
  </w:footnote>
  <w:footnote w:id="41">
    <w:p w14:paraId="5D2B8B1C"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Amy Remeikis, ‘Peter Dutton rules out voice to parliament, labelling it a 'third chamber'’, </w:t>
      </w:r>
      <w:r w:rsidRPr="003D2856">
        <w:rPr>
          <w:rFonts w:ascii="Gill Sans MT" w:eastAsia="Open Sans" w:hAnsi="Gill Sans MT" w:cs="Open Sans"/>
          <w:i/>
          <w:sz w:val="16"/>
          <w:szCs w:val="16"/>
        </w:rPr>
        <w:t xml:space="preserve">The Guardian </w:t>
      </w:r>
      <w:r w:rsidRPr="003D2856">
        <w:rPr>
          <w:rFonts w:ascii="Gill Sans MT" w:eastAsia="Open Sans" w:hAnsi="Gill Sans MT" w:cs="Open Sans"/>
          <w:sz w:val="16"/>
          <w:szCs w:val="16"/>
        </w:rPr>
        <w:t>(online, 12 July 2019) &lt;</w:t>
      </w:r>
      <w:hyperlink r:id="rId18">
        <w:r w:rsidRPr="003D2856">
          <w:rPr>
            <w:rFonts w:ascii="Gill Sans MT" w:eastAsia="Open Sans" w:hAnsi="Gill Sans MT" w:cs="Open Sans"/>
            <w:color w:val="1155CC"/>
            <w:sz w:val="16"/>
            <w:szCs w:val="16"/>
            <w:u w:val="single"/>
          </w:rPr>
          <w:t>https://www.theguardian.com/australia-news/2019/jul/12/peter-dutton-rules-out-voice-to-parliament-labelling-it-a-third-chamber</w:t>
        </w:r>
      </w:hyperlink>
      <w:r w:rsidRPr="003D2856">
        <w:rPr>
          <w:rFonts w:ascii="Gill Sans MT" w:eastAsia="Open Sans" w:hAnsi="Gill Sans MT" w:cs="Open Sans"/>
          <w:sz w:val="16"/>
          <w:szCs w:val="16"/>
        </w:rPr>
        <w:t xml:space="preserve">&gt;. </w:t>
      </w:r>
    </w:p>
  </w:footnote>
  <w:footnote w:id="42">
    <w:p w14:paraId="6A848936"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See above Part 2.1. </w:t>
      </w:r>
    </w:p>
  </w:footnote>
  <w:footnote w:id="43">
    <w:p w14:paraId="7990C6DD"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James Massola, ‘Albanese to ramp up pressure for constitutional Voice to Parliament on Uluru trip’, </w:t>
      </w:r>
      <w:r w:rsidRPr="003D2856">
        <w:rPr>
          <w:rFonts w:ascii="Gill Sans MT" w:eastAsia="Open Sans" w:hAnsi="Gill Sans MT" w:cs="Open Sans"/>
          <w:i/>
          <w:sz w:val="16"/>
          <w:szCs w:val="16"/>
        </w:rPr>
        <w:t xml:space="preserve">The Sydney Morning Herald </w:t>
      </w:r>
      <w:r w:rsidRPr="003D2856">
        <w:rPr>
          <w:rFonts w:ascii="Gill Sans MT" w:eastAsia="Open Sans" w:hAnsi="Gill Sans MT" w:cs="Open Sans"/>
          <w:sz w:val="16"/>
          <w:szCs w:val="16"/>
        </w:rPr>
        <w:t>(online, 25 April 2021) &lt;</w:t>
      </w:r>
      <w:hyperlink r:id="rId19">
        <w:r w:rsidRPr="003D2856">
          <w:rPr>
            <w:rFonts w:ascii="Gill Sans MT" w:eastAsia="Open Sans" w:hAnsi="Gill Sans MT" w:cs="Open Sans"/>
            <w:color w:val="1155CC"/>
            <w:sz w:val="16"/>
            <w:szCs w:val="16"/>
            <w:u w:val="single"/>
          </w:rPr>
          <w:t>https://www.smh.com.au/politics/federal/albanese-to-ramp-up-pressure-for-constitutional-voice-to-parliament-on-uluru-trip-20210423-p57lr6.html</w:t>
        </w:r>
      </w:hyperlink>
      <w:r w:rsidRPr="003D2856">
        <w:rPr>
          <w:rFonts w:ascii="Gill Sans MT" w:eastAsia="Open Sans" w:hAnsi="Gill Sans MT" w:cs="Open Sans"/>
          <w:sz w:val="16"/>
          <w:szCs w:val="16"/>
        </w:rPr>
        <w:t xml:space="preserve">&gt;. </w:t>
      </w:r>
    </w:p>
  </w:footnote>
  <w:footnote w:id="44">
    <w:p w14:paraId="4229FBDB"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Shahni Wellington and Kiristie Wellauer, ‘Indigenous Voice to Parliament Plan Revealed After Years of Lobbying, but Labor Gives it a “Fail”’, </w:t>
      </w:r>
      <w:r w:rsidRPr="003D2856">
        <w:rPr>
          <w:rFonts w:ascii="Gill Sans MT" w:eastAsia="Open Sans" w:hAnsi="Gill Sans MT" w:cs="Open Sans"/>
          <w:i/>
          <w:sz w:val="16"/>
          <w:szCs w:val="16"/>
        </w:rPr>
        <w:t xml:space="preserve">ABC News </w:t>
      </w:r>
      <w:r w:rsidRPr="003D2856">
        <w:rPr>
          <w:rFonts w:ascii="Gill Sans MT" w:eastAsia="Open Sans" w:hAnsi="Gill Sans MT" w:cs="Open Sans"/>
          <w:sz w:val="16"/>
          <w:szCs w:val="16"/>
        </w:rPr>
        <w:t xml:space="preserve">(online, 17 December 2021) &lt;https://www.abc.net.au/news/2021-12-17/indigenous-voice-to-parliament/100708186&gt;. </w:t>
      </w:r>
    </w:p>
  </w:footnote>
  <w:footnote w:id="45">
    <w:p w14:paraId="5FAFC5DE" w14:textId="24904AE9"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Davis (n</w:t>
      </w:r>
      <w:r w:rsidR="002A5E4D">
        <w:rPr>
          <w:rFonts w:ascii="Gill Sans MT" w:eastAsia="Open Sans" w:hAnsi="Gill Sans MT" w:cs="Open Sans"/>
          <w:sz w:val="16"/>
          <w:szCs w:val="16"/>
        </w:rPr>
        <w:t xml:space="preserve"> </w:t>
      </w:r>
      <w:r w:rsidR="002A5E4D">
        <w:rPr>
          <w:rFonts w:ascii="Gill Sans MT" w:eastAsia="Open Sans" w:hAnsi="Gill Sans MT" w:cs="Open Sans"/>
          <w:sz w:val="16"/>
          <w:szCs w:val="16"/>
        </w:rPr>
        <w:fldChar w:fldCharType="begin"/>
      </w:r>
      <w:r w:rsidR="002A5E4D">
        <w:rPr>
          <w:rFonts w:ascii="Gill Sans MT" w:eastAsia="Open Sans" w:hAnsi="Gill Sans MT" w:cs="Open Sans"/>
          <w:sz w:val="16"/>
          <w:szCs w:val="16"/>
        </w:rPr>
        <w:instrText xml:space="preserve"> NOTEREF _Ref94287951 \h </w:instrText>
      </w:r>
      <w:r w:rsidR="002A5E4D">
        <w:rPr>
          <w:rFonts w:ascii="Gill Sans MT" w:eastAsia="Open Sans" w:hAnsi="Gill Sans MT" w:cs="Open Sans"/>
          <w:sz w:val="16"/>
          <w:szCs w:val="16"/>
        </w:rPr>
      </w:r>
      <w:r w:rsidR="002A5E4D">
        <w:rPr>
          <w:rFonts w:ascii="Gill Sans MT" w:eastAsia="Open Sans" w:hAnsi="Gill Sans MT" w:cs="Open Sans"/>
          <w:sz w:val="16"/>
          <w:szCs w:val="16"/>
        </w:rPr>
        <w:fldChar w:fldCharType="separate"/>
      </w:r>
      <w:r w:rsidR="002A5E4D">
        <w:rPr>
          <w:rFonts w:ascii="Gill Sans MT" w:eastAsia="Open Sans" w:hAnsi="Gill Sans MT" w:cs="Open Sans"/>
          <w:sz w:val="16"/>
          <w:szCs w:val="16"/>
        </w:rPr>
        <w:t>7</w:t>
      </w:r>
      <w:r w:rsidR="002A5E4D">
        <w:rPr>
          <w:rFonts w:ascii="Gill Sans MT" w:eastAsia="Open Sans" w:hAnsi="Gill Sans MT" w:cs="Open Sans"/>
          <w:sz w:val="16"/>
          <w:szCs w:val="16"/>
        </w:rPr>
        <w:fldChar w:fldCharType="end"/>
      </w:r>
      <w:r w:rsidRPr="003D2856">
        <w:rPr>
          <w:rFonts w:ascii="Gill Sans MT" w:eastAsia="Open Sans" w:hAnsi="Gill Sans MT" w:cs="Open Sans"/>
          <w:sz w:val="16"/>
          <w:szCs w:val="16"/>
        </w:rPr>
        <w:t xml:space="preserve">).  </w:t>
      </w:r>
    </w:p>
  </w:footnote>
  <w:footnote w:id="46">
    <w:p w14:paraId="7546B029"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See eg, Anne Twomey, ‘There Are Many Ways to Achieve Indigenous Recognition in the Constitution – We Must Find One We Can Agree On’, </w:t>
      </w:r>
      <w:r w:rsidRPr="003D2856">
        <w:rPr>
          <w:rFonts w:ascii="Gill Sans MT" w:eastAsia="Open Sans" w:hAnsi="Gill Sans MT" w:cs="Open Sans"/>
          <w:i/>
          <w:sz w:val="16"/>
          <w:szCs w:val="16"/>
        </w:rPr>
        <w:t xml:space="preserve">The Conversation </w:t>
      </w:r>
      <w:r w:rsidRPr="003D2856">
        <w:rPr>
          <w:rFonts w:ascii="Gill Sans MT" w:eastAsia="Open Sans" w:hAnsi="Gill Sans MT" w:cs="Open Sans"/>
          <w:sz w:val="16"/>
          <w:szCs w:val="16"/>
        </w:rPr>
        <w:t>(online, 8 July 2020) &lt;</w:t>
      </w:r>
      <w:hyperlink r:id="rId20">
        <w:r w:rsidRPr="003D2856">
          <w:rPr>
            <w:rFonts w:ascii="Gill Sans MT" w:eastAsia="Open Sans" w:hAnsi="Gill Sans MT" w:cs="Open Sans"/>
            <w:color w:val="1155CC"/>
            <w:sz w:val="16"/>
            <w:szCs w:val="16"/>
            <w:u w:val="single"/>
          </w:rPr>
          <w:t>https://theconversation.com/there-are-many-ways-to-achieve-indigenous-recognition-in-the-constitution-we-must-find-one-we-can-agree-on-142163</w:t>
        </w:r>
      </w:hyperlink>
      <w:r w:rsidRPr="003D2856">
        <w:rPr>
          <w:rFonts w:ascii="Gill Sans MT" w:eastAsia="Open Sans" w:hAnsi="Gill Sans MT" w:cs="Open Sans"/>
          <w:sz w:val="16"/>
          <w:szCs w:val="16"/>
        </w:rPr>
        <w:t xml:space="preserve">&gt;. </w:t>
      </w:r>
    </w:p>
  </w:footnote>
  <w:footnote w:id="47">
    <w:p w14:paraId="33E0FEEB" w14:textId="6CCBBB1F" w:rsidR="00193BA0" w:rsidRPr="003D2856" w:rsidRDefault="00187CED" w:rsidP="003C4D39">
      <w:pPr>
        <w:spacing w:line="240" w:lineRule="auto"/>
        <w:ind w:left="566" w:right="-304" w:hanging="566"/>
        <w:jc w:val="both"/>
        <w:rPr>
          <w:rFonts w:ascii="Gill Sans MT" w:hAnsi="Gill Sans MT"/>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Langton and Calma (n </w:t>
      </w:r>
      <w:r w:rsidR="002A5E4D">
        <w:rPr>
          <w:rFonts w:ascii="Gill Sans MT" w:eastAsia="Open Sans" w:hAnsi="Gill Sans MT" w:cs="Open Sans"/>
          <w:sz w:val="16"/>
          <w:szCs w:val="16"/>
        </w:rPr>
        <w:fldChar w:fldCharType="begin"/>
      </w:r>
      <w:r w:rsidR="002A5E4D">
        <w:rPr>
          <w:rFonts w:ascii="Gill Sans MT" w:eastAsia="Open Sans" w:hAnsi="Gill Sans MT" w:cs="Open Sans"/>
          <w:sz w:val="16"/>
          <w:szCs w:val="16"/>
        </w:rPr>
        <w:instrText xml:space="preserve"> NOTEREF _Ref94287990 \h </w:instrText>
      </w:r>
      <w:r w:rsidR="002A5E4D">
        <w:rPr>
          <w:rFonts w:ascii="Gill Sans MT" w:eastAsia="Open Sans" w:hAnsi="Gill Sans MT" w:cs="Open Sans"/>
          <w:sz w:val="16"/>
          <w:szCs w:val="16"/>
        </w:rPr>
      </w:r>
      <w:r w:rsidR="002A5E4D">
        <w:rPr>
          <w:rFonts w:ascii="Gill Sans MT" w:eastAsia="Open Sans" w:hAnsi="Gill Sans MT" w:cs="Open Sans"/>
          <w:sz w:val="16"/>
          <w:szCs w:val="16"/>
        </w:rPr>
        <w:fldChar w:fldCharType="separate"/>
      </w:r>
      <w:r w:rsidR="002A5E4D">
        <w:rPr>
          <w:rFonts w:ascii="Gill Sans MT" w:eastAsia="Open Sans" w:hAnsi="Gill Sans MT" w:cs="Open Sans"/>
          <w:sz w:val="16"/>
          <w:szCs w:val="16"/>
        </w:rPr>
        <w:t>13</w:t>
      </w:r>
      <w:r w:rsidR="002A5E4D">
        <w:rPr>
          <w:rFonts w:ascii="Gill Sans MT" w:eastAsia="Open Sans" w:hAnsi="Gill Sans MT" w:cs="Open Sans"/>
          <w:sz w:val="16"/>
          <w:szCs w:val="16"/>
        </w:rPr>
        <w:fldChar w:fldCharType="end"/>
      </w:r>
      <w:r w:rsidRPr="003D2856">
        <w:rPr>
          <w:rFonts w:ascii="Gill Sans MT" w:eastAsia="Open Sans" w:hAnsi="Gill Sans MT" w:cs="Open Sans"/>
          <w:sz w:val="16"/>
          <w:szCs w:val="16"/>
        </w:rPr>
        <w:t xml:space="preserve">) 7, 14. See also Ron Levy and Ian McAllister, ‘Our Research Shows Public Support for a First Nations Voice is Not Only High, It’s Deeply Entrenched’, </w:t>
      </w:r>
      <w:r w:rsidRPr="003D2856">
        <w:rPr>
          <w:rFonts w:ascii="Gill Sans MT" w:eastAsia="Open Sans" w:hAnsi="Gill Sans MT" w:cs="Open Sans"/>
          <w:i/>
          <w:sz w:val="16"/>
          <w:szCs w:val="16"/>
        </w:rPr>
        <w:t xml:space="preserve">The Conversation </w:t>
      </w:r>
      <w:r w:rsidRPr="003D2856">
        <w:rPr>
          <w:rFonts w:ascii="Gill Sans MT" w:eastAsia="Open Sans" w:hAnsi="Gill Sans MT" w:cs="Open Sans"/>
          <w:sz w:val="16"/>
          <w:szCs w:val="16"/>
        </w:rPr>
        <w:t>(online, 9 December 2021) &lt;</w:t>
      </w:r>
      <w:hyperlink r:id="rId21">
        <w:r w:rsidRPr="003D2856">
          <w:rPr>
            <w:rFonts w:ascii="Gill Sans MT" w:eastAsia="Open Sans" w:hAnsi="Gill Sans MT" w:cs="Open Sans"/>
            <w:color w:val="1155CC"/>
            <w:sz w:val="16"/>
            <w:szCs w:val="16"/>
            <w:u w:val="single"/>
          </w:rPr>
          <w:t>https://theconversation.com/our-research-shows-public-support-for-a-first-nations-voice-is-not-only-high-its-deeply-entrenched-172851</w:t>
        </w:r>
      </w:hyperlink>
      <w:r w:rsidRPr="003D2856">
        <w:rPr>
          <w:rFonts w:ascii="Gill Sans MT" w:eastAsia="Open Sans" w:hAnsi="Gill Sans MT" w:cs="Open Sans"/>
          <w:sz w:val="16"/>
          <w:szCs w:val="16"/>
        </w:rPr>
        <w:t xml:space="preserve">&gt;; Francis Markham and William Sanders, ‘What Do We Know About Public Attitudes to a First Nations Voice?’ (Blog Post, 15 May 2021) </w:t>
      </w:r>
      <w:r w:rsidRPr="003D2856">
        <w:rPr>
          <w:rFonts w:ascii="Gill Sans MT" w:hAnsi="Gill Sans MT"/>
          <w:sz w:val="16"/>
          <w:szCs w:val="16"/>
        </w:rPr>
        <w:t>&lt;https://www.indigconlaw.org/home/what-do-we-know-about-public-attitudes-to-a-first-nations-voice&gt;.</w:t>
      </w:r>
    </w:p>
  </w:footnote>
  <w:footnote w:id="48">
    <w:p w14:paraId="59A0581C"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Jacob Deem, AJ Brown and Susan Bird, ‘Most Australians support First Nations Voice to parliament: survey’, </w:t>
      </w:r>
      <w:r w:rsidRPr="003D2856">
        <w:rPr>
          <w:rFonts w:ascii="Gill Sans MT" w:eastAsia="Open Sans" w:hAnsi="Gill Sans MT" w:cs="Open Sans"/>
          <w:i/>
          <w:sz w:val="16"/>
          <w:szCs w:val="16"/>
        </w:rPr>
        <w:t xml:space="preserve">The Conversation </w:t>
      </w:r>
      <w:r w:rsidRPr="003D2856">
        <w:rPr>
          <w:rFonts w:ascii="Gill Sans MT" w:eastAsia="Open Sans" w:hAnsi="Gill Sans MT" w:cs="Open Sans"/>
          <w:sz w:val="16"/>
          <w:szCs w:val="16"/>
        </w:rPr>
        <w:t>(online 9 April 2021) &lt;</w:t>
      </w:r>
      <w:hyperlink r:id="rId22">
        <w:r w:rsidRPr="003D2856">
          <w:rPr>
            <w:rFonts w:ascii="Gill Sans MT" w:eastAsia="Open Sans" w:hAnsi="Gill Sans MT" w:cs="Open Sans"/>
            <w:color w:val="1155CC"/>
            <w:sz w:val="16"/>
            <w:szCs w:val="16"/>
            <w:u w:val="single"/>
          </w:rPr>
          <w:t>https://theconversation.com/most-australians-support-first-nations-voice-to-parliament-survey-157964</w:t>
        </w:r>
      </w:hyperlink>
      <w:r w:rsidRPr="003D2856">
        <w:rPr>
          <w:rFonts w:ascii="Gill Sans MT" w:eastAsia="Open Sans" w:hAnsi="Gill Sans MT" w:cs="Open Sans"/>
          <w:sz w:val="16"/>
          <w:szCs w:val="16"/>
        </w:rPr>
        <w:t xml:space="preserve">&gt;. </w:t>
      </w:r>
    </w:p>
  </w:footnote>
  <w:footnote w:id="49">
    <w:p w14:paraId="776102BC"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Cameron Gooley, ‘Wyatt walks back timeline on Indigenous Voice’, </w:t>
      </w:r>
      <w:r w:rsidRPr="003D2856">
        <w:rPr>
          <w:rFonts w:ascii="Gill Sans MT" w:eastAsia="Open Sans" w:hAnsi="Gill Sans MT" w:cs="Open Sans"/>
          <w:i/>
          <w:sz w:val="16"/>
          <w:szCs w:val="16"/>
        </w:rPr>
        <w:t xml:space="preserve">The Sydney Morning Herald </w:t>
      </w:r>
      <w:r w:rsidRPr="003D2856">
        <w:rPr>
          <w:rFonts w:ascii="Gill Sans MT" w:eastAsia="Open Sans" w:hAnsi="Gill Sans MT" w:cs="Open Sans"/>
          <w:sz w:val="16"/>
          <w:szCs w:val="16"/>
        </w:rPr>
        <w:t>(online, 2 August 2021) &lt;</w:t>
      </w:r>
      <w:hyperlink r:id="rId23">
        <w:r w:rsidRPr="003D2856">
          <w:rPr>
            <w:rFonts w:ascii="Gill Sans MT" w:eastAsia="Open Sans" w:hAnsi="Gill Sans MT" w:cs="Open Sans"/>
            <w:color w:val="1155CC"/>
            <w:sz w:val="16"/>
            <w:szCs w:val="16"/>
            <w:u w:val="single"/>
          </w:rPr>
          <w:t>https://www.smh.com.au/politics/federal/wyatt-walks-back-timeline-on-indigenous-voice-20210730-p58ehu.html</w:t>
        </w:r>
      </w:hyperlink>
      <w:r w:rsidRPr="003D2856">
        <w:rPr>
          <w:rFonts w:ascii="Gill Sans MT" w:eastAsia="Open Sans" w:hAnsi="Gill Sans MT" w:cs="Open Sans"/>
          <w:sz w:val="16"/>
          <w:szCs w:val="16"/>
        </w:rPr>
        <w:t xml:space="preserve">&gt;. </w:t>
      </w:r>
    </w:p>
  </w:footnote>
  <w:footnote w:id="50">
    <w:p w14:paraId="5FB2DAF5"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Megan Davis, ‘The Truth About Truth-Telling’ (</w:t>
      </w:r>
      <w:r w:rsidRPr="003D2856">
        <w:rPr>
          <w:rFonts w:ascii="Gill Sans MT" w:eastAsia="Open Sans" w:hAnsi="Gill Sans MT" w:cs="Open Sans"/>
          <w:i/>
          <w:sz w:val="16"/>
          <w:szCs w:val="16"/>
        </w:rPr>
        <w:t>The Monthly</w:t>
      </w:r>
      <w:r w:rsidRPr="003D2856">
        <w:rPr>
          <w:rFonts w:ascii="Gill Sans MT" w:eastAsia="Open Sans" w:hAnsi="Gill Sans MT" w:cs="Open Sans"/>
          <w:sz w:val="16"/>
          <w:szCs w:val="16"/>
        </w:rPr>
        <w:t>,</w:t>
      </w:r>
      <w:r w:rsidRPr="003D2856">
        <w:rPr>
          <w:rFonts w:ascii="Gill Sans MT" w:eastAsia="Open Sans" w:hAnsi="Gill Sans MT" w:cs="Open Sans"/>
          <w:i/>
          <w:sz w:val="16"/>
          <w:szCs w:val="16"/>
        </w:rPr>
        <w:t xml:space="preserve"> </w:t>
      </w:r>
      <w:r w:rsidRPr="003D2856">
        <w:rPr>
          <w:rFonts w:ascii="Gill Sans MT" w:eastAsia="Open Sans" w:hAnsi="Gill Sans MT" w:cs="Open Sans"/>
          <w:sz w:val="16"/>
          <w:szCs w:val="16"/>
        </w:rPr>
        <w:t>December 2021-January 2022) 12.</w:t>
      </w:r>
    </w:p>
  </w:footnote>
  <w:footnote w:id="51">
    <w:p w14:paraId="6B86E229"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See further, First Peoples’ Assembly of Victoria, </w:t>
      </w:r>
      <w:r w:rsidRPr="003D2856">
        <w:rPr>
          <w:rFonts w:ascii="Gill Sans MT" w:eastAsia="Open Sans" w:hAnsi="Gill Sans MT" w:cs="Open Sans"/>
          <w:i/>
          <w:sz w:val="16"/>
          <w:szCs w:val="16"/>
        </w:rPr>
        <w:t xml:space="preserve">Tyerri-Yoorrook (Seed of Truth): Report to the Yoo-rrook Justice Commission from the First Peoples’ Assembly of Victoria </w:t>
      </w:r>
      <w:r w:rsidRPr="003D2856">
        <w:rPr>
          <w:rFonts w:ascii="Gill Sans MT" w:eastAsia="Open Sans" w:hAnsi="Gill Sans MT" w:cs="Open Sans"/>
          <w:sz w:val="16"/>
          <w:szCs w:val="16"/>
        </w:rPr>
        <w:t xml:space="preserve">(Report, June 2020). </w:t>
      </w:r>
    </w:p>
  </w:footnote>
  <w:footnote w:id="52">
    <w:p w14:paraId="309F3415" w14:textId="7710A00E" w:rsidR="00193BA0" w:rsidRPr="003D2856" w:rsidRDefault="00187CED" w:rsidP="005066D2">
      <w:pPr>
        <w:spacing w:line="240" w:lineRule="auto"/>
        <w:ind w:right="-304"/>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005066D2">
        <w:rPr>
          <w:rFonts w:ascii="Gill Sans MT" w:eastAsia="Open Sans" w:hAnsi="Gill Sans MT" w:cs="Open Sans"/>
          <w:sz w:val="16"/>
          <w:szCs w:val="16"/>
        </w:rPr>
        <w:t xml:space="preserve">         </w:t>
      </w:r>
      <w:r w:rsidR="005066D2">
        <w:rPr>
          <w:rFonts w:ascii="Gill Sans MT" w:hAnsi="Gill Sans MT"/>
          <w:sz w:val="16"/>
          <w:szCs w:val="16"/>
        </w:rPr>
        <w:t xml:space="preserve">Hobbs and Williams (n </w:t>
      </w:r>
      <w:r w:rsidR="005066D2">
        <w:rPr>
          <w:rFonts w:ascii="Gill Sans MT" w:hAnsi="Gill Sans MT"/>
          <w:sz w:val="16"/>
          <w:szCs w:val="16"/>
        </w:rPr>
        <w:fldChar w:fldCharType="begin"/>
      </w:r>
      <w:r w:rsidR="005066D2">
        <w:rPr>
          <w:rFonts w:ascii="Gill Sans MT" w:hAnsi="Gill Sans MT"/>
          <w:sz w:val="16"/>
          <w:szCs w:val="16"/>
        </w:rPr>
        <w:instrText xml:space="preserve"> NOTEREF _Ref94289427 \h </w:instrText>
      </w:r>
      <w:r w:rsidR="005066D2">
        <w:rPr>
          <w:rFonts w:ascii="Gill Sans MT" w:hAnsi="Gill Sans MT"/>
          <w:sz w:val="16"/>
          <w:szCs w:val="16"/>
        </w:rPr>
      </w:r>
      <w:r w:rsidR="005066D2">
        <w:rPr>
          <w:rFonts w:ascii="Gill Sans MT" w:hAnsi="Gill Sans MT"/>
          <w:sz w:val="16"/>
          <w:szCs w:val="16"/>
        </w:rPr>
        <w:fldChar w:fldCharType="separate"/>
      </w:r>
      <w:r w:rsidR="005066D2">
        <w:rPr>
          <w:rFonts w:ascii="Gill Sans MT" w:hAnsi="Gill Sans MT"/>
          <w:sz w:val="16"/>
          <w:szCs w:val="16"/>
        </w:rPr>
        <w:t>16</w:t>
      </w:r>
      <w:r w:rsidR="005066D2">
        <w:rPr>
          <w:rFonts w:ascii="Gill Sans MT" w:hAnsi="Gill Sans MT"/>
          <w:sz w:val="16"/>
          <w:szCs w:val="16"/>
        </w:rPr>
        <w:fldChar w:fldCharType="end"/>
      </w:r>
      <w:r w:rsidR="005066D2">
        <w:rPr>
          <w:rFonts w:ascii="Gill Sans MT" w:hAnsi="Gill Sans MT"/>
          <w:sz w:val="16"/>
          <w:szCs w:val="16"/>
        </w:rPr>
        <w:t>)</w:t>
      </w:r>
      <w:r w:rsidRPr="003D2856">
        <w:rPr>
          <w:rFonts w:ascii="Gill Sans MT" w:eastAsia="Open Sans" w:hAnsi="Gill Sans MT" w:cs="Open Sans"/>
          <w:sz w:val="16"/>
          <w:szCs w:val="16"/>
        </w:rPr>
        <w:t xml:space="preserve"> 27.</w:t>
      </w:r>
    </w:p>
  </w:footnote>
  <w:footnote w:id="53">
    <w:p w14:paraId="669DE6C3"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Ibid. </w:t>
      </w:r>
    </w:p>
  </w:footnote>
  <w:footnote w:id="54">
    <w:p w14:paraId="52AABE93"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Australian Law Reform Commission, </w:t>
      </w:r>
      <w:r w:rsidRPr="003D2856">
        <w:rPr>
          <w:rFonts w:ascii="Gill Sans MT" w:eastAsia="Open Sans" w:hAnsi="Gill Sans MT" w:cs="Open Sans"/>
          <w:i/>
          <w:sz w:val="16"/>
          <w:szCs w:val="16"/>
        </w:rPr>
        <w:t xml:space="preserve">Connection to Country: Review of the Native Title Act 1993 (Cth) </w:t>
      </w:r>
      <w:r w:rsidRPr="003D2856">
        <w:rPr>
          <w:rFonts w:ascii="Gill Sans MT" w:eastAsia="Open Sans" w:hAnsi="Gill Sans MT" w:cs="Open Sans"/>
          <w:sz w:val="16"/>
          <w:szCs w:val="16"/>
        </w:rPr>
        <w:t xml:space="preserve">(Final Report No 126, April 2015) 42 [1.34]. </w:t>
      </w:r>
    </w:p>
  </w:footnote>
  <w:footnote w:id="55">
    <w:p w14:paraId="7B5DF147"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In this context ‘treaty’  is used to refer to agreements between the State and First Nations people  labelled as such and leaves aside the Noongar Settlement. </w:t>
      </w:r>
    </w:p>
  </w:footnote>
  <w:footnote w:id="56">
    <w:p w14:paraId="5DFE35DD"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r>
      <w:r w:rsidRPr="003D2856">
        <w:rPr>
          <w:rFonts w:ascii="Gill Sans MT" w:eastAsia="Open Sans" w:hAnsi="Gill Sans MT" w:cs="Open Sans"/>
          <w:i/>
          <w:sz w:val="16"/>
          <w:szCs w:val="16"/>
        </w:rPr>
        <w:t xml:space="preserve">Advancing the Treaty Process with Aboriginal Victorians Act 2018 </w:t>
      </w:r>
      <w:r w:rsidRPr="003D2856">
        <w:rPr>
          <w:rFonts w:ascii="Gill Sans MT" w:eastAsia="Open Sans" w:hAnsi="Gill Sans MT" w:cs="Open Sans"/>
          <w:sz w:val="16"/>
          <w:szCs w:val="16"/>
        </w:rPr>
        <w:t>(Vic) s 38.</w:t>
      </w:r>
    </w:p>
  </w:footnote>
  <w:footnote w:id="57">
    <w:p w14:paraId="7C654FE6"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First Peoples’ Assembly of Victoria, ‘The Treaty Journey so Far’ (Web Page) &lt;https://www.firstpeoplesvic.org/about/the-treaty-journey-so-far/&gt;. </w:t>
      </w:r>
    </w:p>
  </w:footnote>
  <w:footnote w:id="58">
    <w:p w14:paraId="55B72AFB"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First Peoples’ Assembly of Victoria, ‘Historic Step Towards Treaty with Signing of the Dispute Resolution Process’ (Web Page, 8 February 2021) &lt;https://www.firstpeoplesvic.org/news/historic-step-towards-treaty-with-the-signing-of-the-dispute-resolution-process/&gt;. </w:t>
      </w:r>
    </w:p>
  </w:footnote>
  <w:footnote w:id="59">
    <w:p w14:paraId="6EF8C5E8" w14:textId="77777777" w:rsidR="00193BA0" w:rsidRPr="003D2856" w:rsidRDefault="00187CED" w:rsidP="003C4D39">
      <w:pPr>
        <w:spacing w:line="240" w:lineRule="auto"/>
        <w:ind w:left="570" w:right="-304" w:hanging="570"/>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Ibid. </w:t>
      </w:r>
    </w:p>
  </w:footnote>
  <w:footnote w:id="60">
    <w:p w14:paraId="58CD569B" w14:textId="77777777" w:rsidR="00193BA0" w:rsidRPr="003D2856" w:rsidRDefault="00187CED" w:rsidP="003C4D39">
      <w:pPr>
        <w:spacing w:line="240" w:lineRule="auto"/>
        <w:ind w:left="566" w:right="-304" w:hanging="566"/>
        <w:jc w:val="both"/>
        <w:rPr>
          <w:rFonts w:ascii="Gill Sans MT" w:eastAsia="Open Sans" w:hAnsi="Gill Sans MT" w:cs="Open Sans"/>
          <w:sz w:val="16"/>
          <w:szCs w:val="16"/>
        </w:rPr>
      </w:pPr>
      <w:r w:rsidRPr="003D2856">
        <w:rPr>
          <w:rFonts w:ascii="Gill Sans MT" w:hAnsi="Gill Sans MT"/>
          <w:sz w:val="16"/>
          <w:szCs w:val="16"/>
          <w:vertAlign w:val="superscript"/>
        </w:rPr>
        <w:footnoteRef/>
      </w:r>
      <w:r w:rsidRPr="003D2856">
        <w:rPr>
          <w:rFonts w:ascii="Gill Sans MT" w:eastAsia="Open Sans" w:hAnsi="Gill Sans MT" w:cs="Open Sans"/>
          <w:sz w:val="16"/>
          <w:szCs w:val="16"/>
        </w:rPr>
        <w:t xml:space="preserve"> </w:t>
      </w:r>
      <w:r w:rsidRPr="003D2856">
        <w:rPr>
          <w:rFonts w:ascii="Gill Sans MT" w:eastAsia="Open Sans" w:hAnsi="Gill Sans MT" w:cs="Open Sans"/>
          <w:sz w:val="16"/>
          <w:szCs w:val="16"/>
        </w:rPr>
        <w:tab/>
        <w:t xml:space="preserve">First Peoples’ Assembly of Victoria, ‘Setting the Rules for Treaties Negotiations’ (Web Page) &lt;https://www.firstpeoplesvic.org/our-work/treaty-negotiation-framework/&gt;. </w:t>
      </w:r>
    </w:p>
  </w:footnote>
  <w:footnote w:id="61">
    <w:p w14:paraId="13E2D7A2" w14:textId="2570439D" w:rsidR="00634204" w:rsidRPr="001276EE" w:rsidRDefault="00634204" w:rsidP="00634204">
      <w:pPr>
        <w:pStyle w:val="FootnoteText"/>
        <w:ind w:left="567" w:hanging="567"/>
        <w:rPr>
          <w:rFonts w:ascii="Gill Sans MT" w:hAnsi="Gill Sans MT"/>
          <w:sz w:val="16"/>
          <w:szCs w:val="16"/>
          <w:lang w:val="en-AU"/>
        </w:rPr>
      </w:pPr>
      <w:r w:rsidRPr="001276EE">
        <w:rPr>
          <w:rStyle w:val="FootnoteReference"/>
          <w:rFonts w:ascii="Gill Sans MT" w:hAnsi="Gill Sans MT"/>
          <w:sz w:val="16"/>
          <w:szCs w:val="16"/>
        </w:rPr>
        <w:footnoteRef/>
      </w:r>
      <w:r w:rsidRPr="001276EE">
        <w:rPr>
          <w:rFonts w:ascii="Gill Sans MT" w:hAnsi="Gill Sans MT"/>
          <w:sz w:val="16"/>
          <w:szCs w:val="16"/>
        </w:rPr>
        <w:t xml:space="preserve"> </w:t>
      </w:r>
      <w:r>
        <w:rPr>
          <w:rFonts w:ascii="Gill Sans MT" w:hAnsi="Gill Sans MT"/>
          <w:sz w:val="16"/>
          <w:szCs w:val="16"/>
        </w:rPr>
        <w:t xml:space="preserve">         See </w:t>
      </w:r>
      <w:r w:rsidRPr="001276EE">
        <w:rPr>
          <w:rFonts w:ascii="Gill Sans MT" w:hAnsi="Gill Sans MT"/>
          <w:sz w:val="16"/>
          <w:szCs w:val="16"/>
          <w:lang w:val="en-AU"/>
        </w:rPr>
        <w:t xml:space="preserve">‘Home’, </w:t>
      </w:r>
      <w:r w:rsidRPr="001276EE">
        <w:rPr>
          <w:rFonts w:ascii="Gill Sans MT" w:hAnsi="Gill Sans MT"/>
          <w:i/>
          <w:iCs/>
          <w:sz w:val="16"/>
          <w:szCs w:val="16"/>
          <w:lang w:val="en-AU"/>
        </w:rPr>
        <w:t xml:space="preserve">National Native Title Tribunal </w:t>
      </w:r>
      <w:r w:rsidRPr="001276EE">
        <w:rPr>
          <w:rFonts w:ascii="Gill Sans MT" w:hAnsi="Gill Sans MT"/>
          <w:sz w:val="16"/>
          <w:szCs w:val="16"/>
          <w:lang w:val="en-AU"/>
        </w:rPr>
        <w:t>(Web Page) &lt;http://www.nntt.gov.au/aboutus/Pages/default.aspx&gt;.</w:t>
      </w:r>
      <w:r>
        <w:rPr>
          <w:rFonts w:ascii="Gill Sans MT" w:hAnsi="Gill Sans MT"/>
          <w:sz w:val="16"/>
          <w:szCs w:val="16"/>
          <w:lang w:val="en-AU"/>
        </w:rPr>
        <w:t xml:space="preserve"> See also ‘Native Title’, </w:t>
      </w:r>
      <w:r>
        <w:rPr>
          <w:rFonts w:ascii="Gill Sans MT" w:hAnsi="Gill Sans MT"/>
          <w:i/>
          <w:iCs/>
          <w:sz w:val="16"/>
          <w:szCs w:val="16"/>
          <w:lang w:val="en-AU"/>
        </w:rPr>
        <w:t xml:space="preserve">Federal Court of Australia </w:t>
      </w:r>
      <w:r>
        <w:rPr>
          <w:rFonts w:ascii="Gill Sans MT" w:hAnsi="Gill Sans MT"/>
          <w:sz w:val="16"/>
          <w:szCs w:val="16"/>
          <w:lang w:val="en-AU"/>
        </w:rPr>
        <w:t>(Web Page) &lt;</w:t>
      </w:r>
      <w:r w:rsidRPr="001276EE">
        <w:rPr>
          <w:rFonts w:ascii="Gill Sans MT" w:hAnsi="Gill Sans MT"/>
          <w:sz w:val="16"/>
          <w:szCs w:val="16"/>
          <w:lang w:val="en-AU"/>
        </w:rPr>
        <w:t>https://www.fedcourt.gov.au/law-and-practice/national-practice-areas/native-title/more</w:t>
      </w:r>
      <w:r>
        <w:rPr>
          <w:rFonts w:ascii="Gill Sans MT" w:hAnsi="Gill Sans MT"/>
          <w:sz w:val="16"/>
          <w:szCs w:val="16"/>
          <w:lang w:val="en-AU"/>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97AD" w14:textId="77777777" w:rsidR="00193BA0" w:rsidRDefault="00193BA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671" w14:textId="77777777" w:rsidR="00193BA0" w:rsidRDefault="00193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89E"/>
    <w:multiLevelType w:val="multilevel"/>
    <w:tmpl w:val="2ADED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1771B3"/>
    <w:multiLevelType w:val="hybridMultilevel"/>
    <w:tmpl w:val="B204BA1C"/>
    <w:lvl w:ilvl="0" w:tplc="0CA0B314">
      <w:start w:val="1"/>
      <w:numFmt w:val="lowerLetter"/>
      <w:lvlText w:val="(%1)"/>
      <w:lvlJc w:val="left"/>
      <w:pPr>
        <w:ind w:left="77" w:hanging="360"/>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 w15:restartNumberingAfterBreak="0">
    <w:nsid w:val="684B45B6"/>
    <w:multiLevelType w:val="hybridMultilevel"/>
    <w:tmpl w:val="39804DD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6F834FEA"/>
    <w:multiLevelType w:val="hybridMultilevel"/>
    <w:tmpl w:val="39804DDE"/>
    <w:lvl w:ilvl="0" w:tplc="CA6666A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48E31D2"/>
    <w:multiLevelType w:val="hybridMultilevel"/>
    <w:tmpl w:val="39804DD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78AF1818"/>
    <w:multiLevelType w:val="hybridMultilevel"/>
    <w:tmpl w:val="711E1236"/>
    <w:lvl w:ilvl="0" w:tplc="416C3A2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A0"/>
    <w:rsid w:val="000F42ED"/>
    <w:rsid w:val="001276EE"/>
    <w:rsid w:val="00187CED"/>
    <w:rsid w:val="00193BA0"/>
    <w:rsid w:val="002963BC"/>
    <w:rsid w:val="002A5E4D"/>
    <w:rsid w:val="003C4D39"/>
    <w:rsid w:val="003D2856"/>
    <w:rsid w:val="00404B24"/>
    <w:rsid w:val="0043490B"/>
    <w:rsid w:val="005066D2"/>
    <w:rsid w:val="00510736"/>
    <w:rsid w:val="00531567"/>
    <w:rsid w:val="00634204"/>
    <w:rsid w:val="00642B39"/>
    <w:rsid w:val="00643299"/>
    <w:rsid w:val="006441D6"/>
    <w:rsid w:val="00644975"/>
    <w:rsid w:val="00660FDD"/>
    <w:rsid w:val="006C2BFD"/>
    <w:rsid w:val="00737143"/>
    <w:rsid w:val="007705ED"/>
    <w:rsid w:val="007C66B6"/>
    <w:rsid w:val="007F70F4"/>
    <w:rsid w:val="008227CF"/>
    <w:rsid w:val="00833FA7"/>
    <w:rsid w:val="008363EF"/>
    <w:rsid w:val="008626AE"/>
    <w:rsid w:val="00926A6A"/>
    <w:rsid w:val="009708E2"/>
    <w:rsid w:val="00A022E4"/>
    <w:rsid w:val="00A43D6A"/>
    <w:rsid w:val="00A607EE"/>
    <w:rsid w:val="00A95083"/>
    <w:rsid w:val="00B37C48"/>
    <w:rsid w:val="00C52DAA"/>
    <w:rsid w:val="00C723EF"/>
    <w:rsid w:val="00CE69BF"/>
    <w:rsid w:val="00DA1338"/>
    <w:rsid w:val="00DB598C"/>
    <w:rsid w:val="00DE6EBE"/>
    <w:rsid w:val="00E44A9F"/>
    <w:rsid w:val="00E63E23"/>
    <w:rsid w:val="00F77EFA"/>
    <w:rsid w:val="00FD2D88"/>
    <w:rsid w:val="00FE2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DD8"/>
  <w15:docId w15:val="{51D7D7FC-24A1-BA40-8D3D-2736DCD1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720" w:hanging="360"/>
      <w:jc w:val="both"/>
      <w:outlineLvl w:val="0"/>
    </w:pPr>
    <w:rPr>
      <w:rFonts w:ascii="Open Sans" w:eastAsia="Open Sans" w:hAnsi="Open Sans" w:cs="Open Sans"/>
      <w:b/>
      <w:sz w:val="24"/>
      <w:szCs w:val="24"/>
    </w:rPr>
  </w:style>
  <w:style w:type="paragraph" w:styleId="Heading2">
    <w:name w:val="heading 2"/>
    <w:basedOn w:val="Normal"/>
    <w:next w:val="Normal"/>
    <w:uiPriority w:val="9"/>
    <w:unhideWhenUsed/>
    <w:qFormat/>
    <w:pPr>
      <w:keepNext/>
      <w:keepLines/>
      <w:spacing w:before="360" w:after="120"/>
      <w:outlineLvl w:val="1"/>
    </w:pPr>
    <w:rPr>
      <w:rFonts w:ascii="Open Sans" w:eastAsia="Open Sans" w:hAnsi="Open Sans" w:cs="Open Sans"/>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E2321"/>
    <w:pPr>
      <w:ind w:left="720"/>
      <w:contextualSpacing/>
    </w:pPr>
  </w:style>
  <w:style w:type="paragraph" w:styleId="FootnoteText">
    <w:name w:val="footnote text"/>
    <w:basedOn w:val="Normal"/>
    <w:link w:val="FootnoteTextChar"/>
    <w:uiPriority w:val="99"/>
    <w:semiHidden/>
    <w:unhideWhenUsed/>
    <w:rsid w:val="003C4D39"/>
    <w:pPr>
      <w:spacing w:line="240" w:lineRule="auto"/>
    </w:pPr>
    <w:rPr>
      <w:sz w:val="20"/>
      <w:szCs w:val="20"/>
    </w:rPr>
  </w:style>
  <w:style w:type="character" w:customStyle="1" w:styleId="FootnoteTextChar">
    <w:name w:val="Footnote Text Char"/>
    <w:basedOn w:val="DefaultParagraphFont"/>
    <w:link w:val="FootnoteText"/>
    <w:uiPriority w:val="99"/>
    <w:semiHidden/>
    <w:rsid w:val="003C4D39"/>
    <w:rPr>
      <w:sz w:val="20"/>
      <w:szCs w:val="20"/>
    </w:rPr>
  </w:style>
  <w:style w:type="character" w:styleId="FootnoteReference">
    <w:name w:val="footnote reference"/>
    <w:basedOn w:val="DefaultParagraphFont"/>
    <w:uiPriority w:val="99"/>
    <w:semiHidden/>
    <w:unhideWhenUsed/>
    <w:rsid w:val="003C4D39"/>
    <w:rPr>
      <w:vertAlign w:val="superscript"/>
    </w:rPr>
  </w:style>
  <w:style w:type="table" w:styleId="TableGrid">
    <w:name w:val="Table Grid"/>
    <w:basedOn w:val="TableNormal"/>
    <w:uiPriority w:val="39"/>
    <w:rsid w:val="002963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2D88"/>
    <w:rPr>
      <w:b/>
      <w:bCs/>
    </w:rPr>
  </w:style>
  <w:style w:type="character" w:customStyle="1" w:styleId="CommentSubjectChar">
    <w:name w:val="Comment Subject Char"/>
    <w:basedOn w:val="CommentTextChar"/>
    <w:link w:val="CommentSubject"/>
    <w:uiPriority w:val="99"/>
    <w:semiHidden/>
    <w:rsid w:val="00FD2D88"/>
    <w:rPr>
      <w:b/>
      <w:bCs/>
      <w:sz w:val="20"/>
      <w:szCs w:val="20"/>
    </w:rPr>
  </w:style>
  <w:style w:type="paragraph" w:styleId="NormalWeb">
    <w:name w:val="Normal (Web)"/>
    <w:basedOn w:val="Normal"/>
    <w:uiPriority w:val="99"/>
    <w:semiHidden/>
    <w:unhideWhenUsed/>
    <w:rsid w:val="00DB598C"/>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DB598C"/>
    <w:rPr>
      <w:color w:val="0000FF"/>
      <w:u w:val="single"/>
    </w:rPr>
  </w:style>
  <w:style w:type="character" w:styleId="UnresolvedMention">
    <w:name w:val="Unresolved Mention"/>
    <w:basedOn w:val="DefaultParagraphFont"/>
    <w:uiPriority w:val="99"/>
    <w:semiHidden/>
    <w:unhideWhenUsed/>
    <w:rsid w:val="009708E2"/>
    <w:rPr>
      <w:color w:val="605E5C"/>
      <w:shd w:val="clear" w:color="auto" w:fill="E1DFDD"/>
    </w:rPr>
  </w:style>
  <w:style w:type="paragraph" w:styleId="Revision">
    <w:name w:val="Revision"/>
    <w:hidden/>
    <w:uiPriority w:val="99"/>
    <w:semiHidden/>
    <w:rsid w:val="00926A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3424">
      <w:bodyDiv w:val="1"/>
      <w:marLeft w:val="0"/>
      <w:marRight w:val="0"/>
      <w:marTop w:val="0"/>
      <w:marBottom w:val="0"/>
      <w:divBdr>
        <w:top w:val="none" w:sz="0" w:space="0" w:color="auto"/>
        <w:left w:val="none" w:sz="0" w:space="0" w:color="auto"/>
        <w:bottom w:val="none" w:sz="0" w:space="0" w:color="auto"/>
        <w:right w:val="none" w:sz="0" w:space="0" w:color="auto"/>
      </w:divBdr>
    </w:div>
    <w:div w:id="361637538">
      <w:bodyDiv w:val="1"/>
      <w:marLeft w:val="0"/>
      <w:marRight w:val="0"/>
      <w:marTop w:val="0"/>
      <w:marBottom w:val="0"/>
      <w:divBdr>
        <w:top w:val="none" w:sz="0" w:space="0" w:color="auto"/>
        <w:left w:val="none" w:sz="0" w:space="0" w:color="auto"/>
        <w:bottom w:val="none" w:sz="0" w:space="0" w:color="auto"/>
        <w:right w:val="none" w:sz="0" w:space="0" w:color="auto"/>
      </w:divBdr>
    </w:div>
    <w:div w:id="892083557">
      <w:bodyDiv w:val="1"/>
      <w:marLeft w:val="0"/>
      <w:marRight w:val="0"/>
      <w:marTop w:val="0"/>
      <w:marBottom w:val="0"/>
      <w:divBdr>
        <w:top w:val="none" w:sz="0" w:space="0" w:color="auto"/>
        <w:left w:val="none" w:sz="0" w:space="0" w:color="auto"/>
        <w:bottom w:val="none" w:sz="0" w:space="0" w:color="auto"/>
        <w:right w:val="none" w:sz="0" w:space="0" w:color="auto"/>
      </w:divBdr>
    </w:div>
    <w:div w:id="977027240">
      <w:bodyDiv w:val="1"/>
      <w:marLeft w:val="0"/>
      <w:marRight w:val="0"/>
      <w:marTop w:val="0"/>
      <w:marBottom w:val="0"/>
      <w:divBdr>
        <w:top w:val="none" w:sz="0" w:space="0" w:color="auto"/>
        <w:left w:val="none" w:sz="0" w:space="0" w:color="auto"/>
        <w:bottom w:val="none" w:sz="0" w:space="0" w:color="auto"/>
        <w:right w:val="none" w:sz="0" w:space="0" w:color="auto"/>
      </w:divBdr>
    </w:div>
    <w:div w:id="995568140">
      <w:bodyDiv w:val="1"/>
      <w:marLeft w:val="0"/>
      <w:marRight w:val="0"/>
      <w:marTop w:val="0"/>
      <w:marBottom w:val="0"/>
      <w:divBdr>
        <w:top w:val="none" w:sz="0" w:space="0" w:color="auto"/>
        <w:left w:val="none" w:sz="0" w:space="0" w:color="auto"/>
        <w:bottom w:val="none" w:sz="0" w:space="0" w:color="auto"/>
        <w:right w:val="none" w:sz="0" w:space="0" w:color="auto"/>
      </w:divBdr>
    </w:div>
    <w:div w:id="1032413017">
      <w:bodyDiv w:val="1"/>
      <w:marLeft w:val="0"/>
      <w:marRight w:val="0"/>
      <w:marTop w:val="0"/>
      <w:marBottom w:val="0"/>
      <w:divBdr>
        <w:top w:val="none" w:sz="0" w:space="0" w:color="auto"/>
        <w:left w:val="none" w:sz="0" w:space="0" w:color="auto"/>
        <w:bottom w:val="none" w:sz="0" w:space="0" w:color="auto"/>
        <w:right w:val="none" w:sz="0" w:space="0" w:color="auto"/>
      </w:divBdr>
    </w:div>
    <w:div w:id="1137184703">
      <w:bodyDiv w:val="1"/>
      <w:marLeft w:val="0"/>
      <w:marRight w:val="0"/>
      <w:marTop w:val="0"/>
      <w:marBottom w:val="0"/>
      <w:divBdr>
        <w:top w:val="none" w:sz="0" w:space="0" w:color="auto"/>
        <w:left w:val="none" w:sz="0" w:space="0" w:color="auto"/>
        <w:bottom w:val="none" w:sz="0" w:space="0" w:color="auto"/>
        <w:right w:val="none" w:sz="0" w:space="0" w:color="auto"/>
      </w:divBdr>
    </w:div>
    <w:div w:id="1263687873">
      <w:bodyDiv w:val="1"/>
      <w:marLeft w:val="0"/>
      <w:marRight w:val="0"/>
      <w:marTop w:val="0"/>
      <w:marBottom w:val="0"/>
      <w:divBdr>
        <w:top w:val="none" w:sz="0" w:space="0" w:color="auto"/>
        <w:left w:val="none" w:sz="0" w:space="0" w:color="auto"/>
        <w:bottom w:val="none" w:sz="0" w:space="0" w:color="auto"/>
        <w:right w:val="none" w:sz="0" w:space="0" w:color="auto"/>
      </w:divBdr>
    </w:div>
    <w:div w:id="1556548207">
      <w:bodyDiv w:val="1"/>
      <w:marLeft w:val="0"/>
      <w:marRight w:val="0"/>
      <w:marTop w:val="0"/>
      <w:marBottom w:val="0"/>
      <w:divBdr>
        <w:top w:val="none" w:sz="0" w:space="0" w:color="auto"/>
        <w:left w:val="none" w:sz="0" w:space="0" w:color="auto"/>
        <w:bottom w:val="none" w:sz="0" w:space="0" w:color="auto"/>
        <w:right w:val="none" w:sz="0" w:space="0" w:color="auto"/>
      </w:divBdr>
    </w:div>
    <w:div w:id="1820684642">
      <w:bodyDiv w:val="1"/>
      <w:marLeft w:val="0"/>
      <w:marRight w:val="0"/>
      <w:marTop w:val="0"/>
      <w:marBottom w:val="0"/>
      <w:divBdr>
        <w:top w:val="none" w:sz="0" w:space="0" w:color="auto"/>
        <w:left w:val="none" w:sz="0" w:space="0" w:color="auto"/>
        <w:bottom w:val="none" w:sz="0" w:space="0" w:color="auto"/>
        <w:right w:val="none" w:sz="0" w:space="0" w:color="auto"/>
      </w:divBdr>
    </w:div>
    <w:div w:id="1863783065">
      <w:bodyDiv w:val="1"/>
      <w:marLeft w:val="0"/>
      <w:marRight w:val="0"/>
      <w:marTop w:val="0"/>
      <w:marBottom w:val="0"/>
      <w:divBdr>
        <w:top w:val="none" w:sz="0" w:space="0" w:color="auto"/>
        <w:left w:val="none" w:sz="0" w:space="0" w:color="auto"/>
        <w:bottom w:val="none" w:sz="0" w:space="0" w:color="auto"/>
        <w:right w:val="none" w:sz="0" w:space="0" w:color="auto"/>
      </w:divBdr>
    </w:div>
    <w:div w:id="1911890128">
      <w:bodyDiv w:val="1"/>
      <w:marLeft w:val="0"/>
      <w:marRight w:val="0"/>
      <w:marTop w:val="0"/>
      <w:marBottom w:val="0"/>
      <w:divBdr>
        <w:top w:val="none" w:sz="0" w:space="0" w:color="auto"/>
        <w:left w:val="none" w:sz="0" w:space="0" w:color="auto"/>
        <w:bottom w:val="none" w:sz="0" w:space="0" w:color="auto"/>
        <w:right w:val="none" w:sz="0" w:space="0" w:color="auto"/>
      </w:divBdr>
    </w:div>
    <w:div w:id="2005235990">
      <w:bodyDiv w:val="1"/>
      <w:marLeft w:val="0"/>
      <w:marRight w:val="0"/>
      <w:marTop w:val="0"/>
      <w:marBottom w:val="0"/>
      <w:divBdr>
        <w:top w:val="none" w:sz="0" w:space="0" w:color="auto"/>
        <w:left w:val="none" w:sz="0" w:space="0" w:color="auto"/>
        <w:bottom w:val="none" w:sz="0" w:space="0" w:color="auto"/>
        <w:right w:val="none" w:sz="0" w:space="0" w:color="auto"/>
      </w:divBdr>
    </w:div>
    <w:div w:id="211736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sh.edu/law/research/centres/castancent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niaa.gov.au/indigenous-affairs/indigenous-voice" TargetMode="External"/><Relationship Id="rId13" Type="http://schemas.openxmlformats.org/officeDocument/2006/relationships/hyperlink" Target="https://www.firstpeoplesvic.org/committees/elders-voice/elders-voice-interim-model-guiding-document/" TargetMode="External"/><Relationship Id="rId18" Type="http://schemas.openxmlformats.org/officeDocument/2006/relationships/hyperlink" Target="https://www.theguardian.com/australia-news/2019/jul/12/peter-dutton-rules-out-voice-to-parliament-labelling-it-a-third-chamber" TargetMode="External"/><Relationship Id="rId3" Type="http://schemas.openxmlformats.org/officeDocument/2006/relationships/hyperlink" Target="https://www.abc.net.au/news/2021-06-23/tasmanian-aboriginal-truth-telling-treaty-discussions/100235634" TargetMode="External"/><Relationship Id="rId21" Type="http://schemas.openxmlformats.org/officeDocument/2006/relationships/hyperlink" Target="https://theconversation.com/our-research-shows-public-support-for-a-first-nations-voice-is-not-only-high-its-deeply-entrenched-172851" TargetMode="External"/><Relationship Id="rId7" Type="http://schemas.openxmlformats.org/officeDocument/2006/relationships/hyperlink" Target="https://www.smh.com.au/national/why-an-indigenous-voice-would-not-be-third-chamber-of-parliament-20190526-p51r7t.html" TargetMode="External"/><Relationship Id="rId12" Type="http://schemas.openxmlformats.org/officeDocument/2006/relationships/hyperlink" Target="https://www.firstpeoplesvic.org/our-work/elders-voice/" TargetMode="External"/><Relationship Id="rId17" Type="http://schemas.openxmlformats.org/officeDocument/2006/relationships/hyperlink" Target="https://yoorrookjusticecommission.org.au/overview/" TargetMode="External"/><Relationship Id="rId2" Type="http://schemas.openxmlformats.org/officeDocument/2006/relationships/hyperlink" Target="https://statements.qld.gov.au/statements/90413" TargetMode="External"/><Relationship Id="rId16" Type="http://schemas.openxmlformats.org/officeDocument/2006/relationships/hyperlink" Target="https://yoorrookjusticecommission.org.au/wp-content/uploads/2021/09/Letters-Patent-Yoo-rrook-Justice-Commission-signed-10-1.pdf" TargetMode="External"/><Relationship Id="rId20" Type="http://schemas.openxmlformats.org/officeDocument/2006/relationships/hyperlink" Target="https://theconversation.com/there-are-many-ways-to-achieve-indigenous-recognition-in-the-constitution-we-must-find-one-we-can-agree-on-142163" TargetMode="External"/><Relationship Id="rId1" Type="http://schemas.openxmlformats.org/officeDocument/2006/relationships/hyperlink" Target="https://treatynt.com.au/" TargetMode="External"/><Relationship Id="rId6" Type="http://schemas.openxmlformats.org/officeDocument/2006/relationships/hyperlink" Target="https://www.indigconlaw.org/home/constitutional-recognition-two-decades-on" TargetMode="External"/><Relationship Id="rId11" Type="http://schemas.openxmlformats.org/officeDocument/2006/relationships/hyperlink" Target="https://www.firstpeoplesvic.org/our-work/treaty-negotiation-framework/" TargetMode="External"/><Relationship Id="rId5" Type="http://schemas.openxmlformats.org/officeDocument/2006/relationships/hyperlink" Target="https://theconversation.com/constitutional-recognition-for-indigenous-australians-must-involve-structural-change-not-mere-symbolism-131751" TargetMode="External"/><Relationship Id="rId15" Type="http://schemas.openxmlformats.org/officeDocument/2006/relationships/hyperlink" Target="https://www.firstpeoplesvic.org/our-work/treaty-authority-2/" TargetMode="External"/><Relationship Id="rId23" Type="http://schemas.openxmlformats.org/officeDocument/2006/relationships/hyperlink" Target="https://www.smh.com.au/politics/federal/wyatt-walks-back-timeline-on-indigenous-voice-20210730-p58ehu.html" TargetMode="External"/><Relationship Id="rId10" Type="http://schemas.openxmlformats.org/officeDocument/2006/relationships/hyperlink" Target="https://www.firstpeoplesvic.org/about/the-assembly/" TargetMode="External"/><Relationship Id="rId19" Type="http://schemas.openxmlformats.org/officeDocument/2006/relationships/hyperlink" Target="https://www.smh.com.au/politics/federal/albanese-to-ramp-up-pressure-for-constitutional-voice-to-parliament-on-uluru-trip-20210423-p57lr6.html" TargetMode="External"/><Relationship Id="rId4" Type="http://schemas.openxmlformats.org/officeDocument/2006/relationships/hyperlink" Target="https://aiatsis.gov.au/explore/australias-first-peoples" TargetMode="External"/><Relationship Id="rId9" Type="http://schemas.openxmlformats.org/officeDocument/2006/relationships/hyperlink" Target="https://www.firstpeoplesrelations.vic.gov.au/treaty" TargetMode="External"/><Relationship Id="rId14" Type="http://schemas.openxmlformats.org/officeDocument/2006/relationships/hyperlink" Target="https://www.firstpeoplesvic.org/our-work/self-determination-fund/" TargetMode="External"/><Relationship Id="rId22" Type="http://schemas.openxmlformats.org/officeDocument/2006/relationships/hyperlink" Target="https://theconversation.com/most-australians-support-first-nations-voice-to-parliament-survey-157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860042-5987-534B-B9C5-5458E267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Andrea Olivares Jones</cp:lastModifiedBy>
  <cp:revision>4</cp:revision>
  <dcterms:created xsi:type="dcterms:W3CDTF">2022-01-31T04:36:00Z</dcterms:created>
  <dcterms:modified xsi:type="dcterms:W3CDTF">2022-01-31T04:43:00Z</dcterms:modified>
</cp:coreProperties>
</file>