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B36A8" w14:textId="77777777" w:rsidR="00584B44" w:rsidRPr="00462B4E" w:rsidRDefault="00182AAE" w:rsidP="00E12FC9">
      <w:pPr>
        <w:pStyle w:val="NoSpacing"/>
        <w:jc w:val="center"/>
        <w:rPr>
          <w:b/>
          <w:bCs/>
          <w:sz w:val="24"/>
          <w:szCs w:val="24"/>
        </w:rPr>
      </w:pPr>
      <w:r w:rsidRPr="00462B4E">
        <w:rPr>
          <w:b/>
          <w:bCs/>
          <w:sz w:val="24"/>
          <w:szCs w:val="24"/>
        </w:rPr>
        <w:t>Submission</w:t>
      </w:r>
      <w:r w:rsidR="00D946E9" w:rsidRPr="00462B4E">
        <w:rPr>
          <w:b/>
          <w:bCs/>
          <w:sz w:val="24"/>
          <w:szCs w:val="24"/>
        </w:rPr>
        <w:t xml:space="preserve"> of Franciscans International </w:t>
      </w:r>
    </w:p>
    <w:p w14:paraId="484065A7" w14:textId="77777777" w:rsidR="002A3E1C" w:rsidRDefault="002A3E1C" w:rsidP="002A3E1C">
      <w:pPr>
        <w:pStyle w:val="NoSpacing"/>
        <w:jc w:val="center"/>
        <w:rPr>
          <w:b/>
          <w:bCs/>
        </w:rPr>
      </w:pPr>
    </w:p>
    <w:p w14:paraId="67819AB4" w14:textId="509A85EE" w:rsidR="00182AAE" w:rsidRPr="00AB1083" w:rsidRDefault="00182AAE" w:rsidP="002A3E1C">
      <w:pPr>
        <w:pStyle w:val="NoSpacing"/>
        <w:jc w:val="center"/>
        <w:rPr>
          <w:b/>
          <w:bCs/>
        </w:rPr>
      </w:pPr>
      <w:r w:rsidRPr="00AB1083">
        <w:rPr>
          <w:b/>
          <w:bCs/>
        </w:rPr>
        <w:t>EMRIP</w:t>
      </w:r>
      <w:r w:rsidR="00E12FC9" w:rsidRPr="00AB1083">
        <w:rPr>
          <w:b/>
          <w:bCs/>
        </w:rPr>
        <w:t xml:space="preserve"> Study </w:t>
      </w:r>
      <w:r w:rsidR="00CE7028" w:rsidRPr="00AB1083">
        <w:rPr>
          <w:b/>
          <w:bCs/>
        </w:rPr>
        <w:t>on</w:t>
      </w:r>
      <w:r w:rsidR="002A3E1C" w:rsidRPr="00AB1083">
        <w:rPr>
          <w:b/>
          <w:bCs/>
        </w:rPr>
        <w:t xml:space="preserve"> </w:t>
      </w:r>
      <w:r w:rsidRPr="00AB1083">
        <w:rPr>
          <w:b/>
          <w:bCs/>
        </w:rPr>
        <w:t>Treaties, agreements and other constructive arrangements, between indigenous peoples and States, including peace accords and reconciliation initiatives, and their constitutional recognition</w:t>
      </w:r>
      <w:r w:rsidR="002A3E1C" w:rsidRPr="00AB1083">
        <w:rPr>
          <w:b/>
          <w:bCs/>
        </w:rPr>
        <w:t>.</w:t>
      </w:r>
    </w:p>
    <w:p w14:paraId="682C8A31" w14:textId="77777777" w:rsidR="00182AAE" w:rsidRDefault="00182AAE" w:rsidP="00E12FC9">
      <w:pPr>
        <w:pStyle w:val="NoSpacing"/>
        <w:jc w:val="center"/>
      </w:pPr>
    </w:p>
    <w:p w14:paraId="08C8EBF4" w14:textId="32B9E076" w:rsidR="00182AAE" w:rsidRDefault="00182AAE" w:rsidP="00D10AEA">
      <w:pPr>
        <w:pStyle w:val="NoSpacing"/>
        <w:jc w:val="center"/>
      </w:pPr>
      <w:r>
        <w:t>The submission</w:t>
      </w:r>
      <w:r w:rsidR="00051FCC">
        <w:rPr>
          <w:rStyle w:val="FootnoteReference"/>
        </w:rPr>
        <w:footnoteReference w:id="2"/>
      </w:r>
      <w:r>
        <w:t xml:space="preserve"> focus</w:t>
      </w:r>
      <w:r w:rsidR="0027208B">
        <w:t>es</w:t>
      </w:r>
      <w:r>
        <w:t xml:space="preserve"> on the situation of indigenous peoples </w:t>
      </w:r>
      <w:r w:rsidR="240B3389">
        <w:t xml:space="preserve">in </w:t>
      </w:r>
      <w:r w:rsidR="002A3E1C">
        <w:t>West Papua</w:t>
      </w:r>
      <w:r w:rsidR="0181A95B">
        <w:t>,</w:t>
      </w:r>
      <w:r>
        <w:t xml:space="preserve"> Indonesia</w:t>
      </w:r>
      <w:r w:rsidR="00462B4E">
        <w:t>.</w:t>
      </w:r>
    </w:p>
    <w:p w14:paraId="03756B03" w14:textId="77777777" w:rsidR="00182AAE" w:rsidRPr="00182AAE" w:rsidRDefault="00182AAE" w:rsidP="00E12FC9">
      <w:pPr>
        <w:pStyle w:val="NoSpacing"/>
      </w:pPr>
    </w:p>
    <w:p w14:paraId="6C3FC3B0" w14:textId="2CB88DF2" w:rsidR="00AC7B34" w:rsidRDefault="00C75558" w:rsidP="00E12FC9">
      <w:pPr>
        <w:pStyle w:val="NoSpacing"/>
        <w:rPr>
          <w:b/>
          <w:bCs/>
          <w:lang w:val="nb-NO"/>
        </w:rPr>
      </w:pPr>
      <w:r w:rsidRPr="00E31469">
        <w:rPr>
          <w:b/>
          <w:bCs/>
          <w:lang w:val="nb-NO"/>
        </w:rPr>
        <w:t>The s</w:t>
      </w:r>
      <w:r w:rsidR="007979A6" w:rsidRPr="00E31469">
        <w:rPr>
          <w:b/>
          <w:bCs/>
          <w:lang w:val="nb-NO"/>
        </w:rPr>
        <w:t xml:space="preserve">tatus of indigenous peoples in </w:t>
      </w:r>
      <w:r w:rsidR="00593B6E" w:rsidRPr="00E31469">
        <w:rPr>
          <w:b/>
          <w:bCs/>
          <w:lang w:val="nb-NO"/>
        </w:rPr>
        <w:t xml:space="preserve">Indonesia </w:t>
      </w:r>
    </w:p>
    <w:p w14:paraId="3265BB56" w14:textId="77777777" w:rsidR="00E31469" w:rsidRPr="00E31469" w:rsidRDefault="00E31469" w:rsidP="00E12FC9">
      <w:pPr>
        <w:pStyle w:val="NoSpacing"/>
        <w:rPr>
          <w:b/>
          <w:bCs/>
          <w:lang w:val="nb-NO"/>
        </w:rPr>
      </w:pPr>
    </w:p>
    <w:p w14:paraId="1C429C7A" w14:textId="2152CF9D" w:rsidR="00357C29" w:rsidRPr="00357C29" w:rsidRDefault="00A2154D" w:rsidP="00357C29">
      <w:pPr>
        <w:pStyle w:val="ListParagraph"/>
        <w:numPr>
          <w:ilvl w:val="0"/>
          <w:numId w:val="6"/>
        </w:numPr>
        <w:rPr>
          <w:rFonts w:asciiTheme="minorHAnsi" w:eastAsiaTheme="minorEastAsia" w:hAnsiTheme="minorHAnsi" w:cstheme="minorBidi"/>
        </w:rPr>
      </w:pPr>
      <w:r w:rsidRPr="752B12BD">
        <w:rPr>
          <w:rFonts w:asciiTheme="minorHAnsi" w:eastAsiaTheme="minorEastAsia" w:hAnsiTheme="minorHAnsi" w:cstheme="minorBidi"/>
        </w:rPr>
        <w:t>The</w:t>
      </w:r>
      <w:r w:rsidR="00E82707" w:rsidRPr="752B12BD">
        <w:rPr>
          <w:rFonts w:asciiTheme="minorHAnsi" w:eastAsiaTheme="minorEastAsia" w:hAnsiTheme="minorHAnsi" w:cstheme="minorBidi"/>
        </w:rPr>
        <w:t xml:space="preserve"> Indonesian Constitution recognizes the rights of Indigenous </w:t>
      </w:r>
      <w:r w:rsidR="00415506" w:rsidRPr="752B12BD">
        <w:rPr>
          <w:rFonts w:asciiTheme="minorHAnsi" w:eastAsiaTheme="minorEastAsia" w:hAnsiTheme="minorHAnsi" w:cstheme="minorBidi"/>
        </w:rPr>
        <w:t xml:space="preserve">Law </w:t>
      </w:r>
      <w:r w:rsidR="0022539C" w:rsidRPr="752B12BD">
        <w:rPr>
          <w:rFonts w:asciiTheme="minorHAnsi" w:eastAsiaTheme="minorEastAsia" w:hAnsiTheme="minorHAnsi" w:cstheme="minorBidi"/>
        </w:rPr>
        <w:t>Communities (</w:t>
      </w:r>
      <w:r w:rsidRPr="752B12BD">
        <w:rPr>
          <w:rFonts w:asciiTheme="minorHAnsi" w:eastAsiaTheme="minorEastAsia" w:hAnsiTheme="minorHAnsi" w:cstheme="minorBidi"/>
          <w:i/>
        </w:rPr>
        <w:t>Masyar</w:t>
      </w:r>
      <w:r w:rsidR="000105FC" w:rsidRPr="00280975">
        <w:rPr>
          <w:i/>
          <w:iCs/>
        </w:rPr>
        <w:t>a</w:t>
      </w:r>
      <w:r w:rsidRPr="752B12BD">
        <w:rPr>
          <w:rFonts w:asciiTheme="minorHAnsi" w:eastAsiaTheme="minorEastAsia" w:hAnsiTheme="minorHAnsi" w:cstheme="minorBidi"/>
          <w:i/>
        </w:rPr>
        <w:t>kat Hukum Adat</w:t>
      </w:r>
      <w:r w:rsidRPr="752B12BD">
        <w:rPr>
          <w:rFonts w:asciiTheme="minorHAnsi" w:eastAsiaTheme="minorEastAsia" w:hAnsiTheme="minorHAnsi" w:cstheme="minorBidi"/>
        </w:rPr>
        <w:t xml:space="preserve">) </w:t>
      </w:r>
      <w:r w:rsidR="00E82707" w:rsidRPr="752B12BD">
        <w:rPr>
          <w:rFonts w:asciiTheme="minorHAnsi" w:eastAsiaTheme="minorEastAsia" w:hAnsiTheme="minorHAnsi" w:cstheme="minorBidi"/>
        </w:rPr>
        <w:t>in Article 18b-2.</w:t>
      </w:r>
      <w:r w:rsidR="005F7E5D">
        <w:t xml:space="preserve"> </w:t>
      </w:r>
      <w:r w:rsidR="268878C6">
        <w:t xml:space="preserve">However, </w:t>
      </w:r>
      <w:r w:rsidR="6F1FE32E" w:rsidRPr="752B12BD">
        <w:rPr>
          <w:rFonts w:asciiTheme="minorHAnsi" w:eastAsiaTheme="minorEastAsia" w:hAnsiTheme="minorHAnsi" w:cstheme="minorBidi"/>
        </w:rPr>
        <w:t>w</w:t>
      </w:r>
      <w:r w:rsidR="00357C29" w:rsidRPr="752B12BD">
        <w:rPr>
          <w:rFonts w:asciiTheme="minorHAnsi" w:eastAsiaTheme="minorEastAsia" w:hAnsiTheme="minorHAnsi" w:cstheme="minorBidi"/>
        </w:rPr>
        <w:t>hile supporting the United Nations Declaration on the Rights of Indigenous Peoples (UNDRIP), the Government of Indonesia (</w:t>
      </w:r>
      <w:proofErr w:type="spellStart"/>
      <w:r w:rsidR="00357C29" w:rsidRPr="752B12BD">
        <w:rPr>
          <w:rFonts w:asciiTheme="minorHAnsi" w:eastAsiaTheme="minorEastAsia" w:hAnsiTheme="minorHAnsi" w:cstheme="minorBidi"/>
        </w:rPr>
        <w:t>G</w:t>
      </w:r>
      <w:r w:rsidR="00BD2FDA" w:rsidRPr="752B12BD">
        <w:rPr>
          <w:rFonts w:asciiTheme="minorHAnsi" w:eastAsiaTheme="minorEastAsia" w:hAnsiTheme="minorHAnsi" w:cstheme="minorBidi"/>
        </w:rPr>
        <w:t>o</w:t>
      </w:r>
      <w:r w:rsidR="00357C29" w:rsidRPr="752B12BD">
        <w:rPr>
          <w:rFonts w:asciiTheme="minorHAnsi" w:eastAsiaTheme="minorEastAsia" w:hAnsiTheme="minorHAnsi" w:cstheme="minorBidi"/>
        </w:rPr>
        <w:t>I</w:t>
      </w:r>
      <w:proofErr w:type="spellEnd"/>
      <w:r w:rsidR="00357C29" w:rsidRPr="752B12BD">
        <w:rPr>
          <w:rFonts w:asciiTheme="minorHAnsi" w:eastAsiaTheme="minorEastAsia" w:hAnsiTheme="minorHAnsi" w:cstheme="minorBidi"/>
        </w:rPr>
        <w:t xml:space="preserve">) does not recognise the applicability of the concept of </w:t>
      </w:r>
      <w:r w:rsidR="005636BF">
        <w:rPr>
          <w:rFonts w:asciiTheme="minorHAnsi" w:eastAsiaTheme="minorEastAsia" w:hAnsiTheme="minorHAnsi" w:cstheme="minorBidi"/>
        </w:rPr>
        <w:t>i</w:t>
      </w:r>
      <w:r w:rsidR="00357C29" w:rsidRPr="752B12BD">
        <w:rPr>
          <w:rFonts w:asciiTheme="minorHAnsi" w:eastAsiaTheme="minorEastAsia" w:hAnsiTheme="minorHAnsi" w:cstheme="minorBidi"/>
        </w:rPr>
        <w:t xml:space="preserve">ndigenous </w:t>
      </w:r>
      <w:r w:rsidR="005636BF">
        <w:rPr>
          <w:rFonts w:asciiTheme="minorHAnsi" w:eastAsiaTheme="minorEastAsia" w:hAnsiTheme="minorHAnsi" w:cstheme="minorBidi"/>
        </w:rPr>
        <w:t>p</w:t>
      </w:r>
      <w:r w:rsidR="00357C29" w:rsidRPr="752B12BD">
        <w:rPr>
          <w:rFonts w:asciiTheme="minorHAnsi" w:eastAsiaTheme="minorEastAsia" w:hAnsiTheme="minorHAnsi" w:cstheme="minorBidi"/>
        </w:rPr>
        <w:t>eoples</w:t>
      </w:r>
      <w:r w:rsidR="00E256B3">
        <w:rPr>
          <w:rFonts w:asciiTheme="minorHAnsi" w:eastAsiaTheme="minorEastAsia" w:hAnsiTheme="minorHAnsi" w:cstheme="minorBidi"/>
        </w:rPr>
        <w:t xml:space="preserve">. For the </w:t>
      </w:r>
      <w:proofErr w:type="spellStart"/>
      <w:r w:rsidR="00E256B3">
        <w:rPr>
          <w:rFonts w:asciiTheme="minorHAnsi" w:eastAsiaTheme="minorEastAsia" w:hAnsiTheme="minorHAnsi" w:cstheme="minorBidi"/>
        </w:rPr>
        <w:t>GoI</w:t>
      </w:r>
      <w:proofErr w:type="spellEnd"/>
      <w:r w:rsidR="00FE1B0B">
        <w:rPr>
          <w:rFonts w:asciiTheme="minorHAnsi" w:eastAsiaTheme="minorEastAsia" w:hAnsiTheme="minorHAnsi" w:cstheme="minorBidi"/>
        </w:rPr>
        <w:t xml:space="preserve">, </w:t>
      </w:r>
      <w:r w:rsidR="00357C29" w:rsidRPr="752B12BD">
        <w:rPr>
          <w:rFonts w:asciiTheme="minorHAnsi" w:eastAsiaTheme="minorEastAsia" w:hAnsiTheme="minorHAnsi" w:cstheme="minorBidi"/>
        </w:rPr>
        <w:t xml:space="preserve">Indonesia </w:t>
      </w:r>
      <w:r w:rsidR="00356AB1">
        <w:rPr>
          <w:rFonts w:asciiTheme="minorHAnsi" w:eastAsiaTheme="minorEastAsia" w:hAnsiTheme="minorHAnsi" w:cstheme="minorBidi"/>
        </w:rPr>
        <w:t>is</w:t>
      </w:r>
      <w:r w:rsidR="00357C29" w:rsidRPr="752B12BD">
        <w:rPr>
          <w:rFonts w:asciiTheme="minorHAnsi" w:eastAsiaTheme="minorEastAsia" w:hAnsiTheme="minorHAnsi" w:cstheme="minorBidi"/>
        </w:rPr>
        <w:t xml:space="preserve"> a multicultural and multi-ethic nation with unchanged demographic composition at the time before and after independence.</w:t>
      </w:r>
      <w:r w:rsidR="00357C29" w:rsidRPr="752B12BD">
        <w:rPr>
          <w:rStyle w:val="FootnoteReference"/>
          <w:rFonts w:asciiTheme="minorHAnsi" w:eastAsiaTheme="minorEastAsia" w:hAnsiTheme="minorHAnsi" w:cstheme="minorBidi"/>
        </w:rPr>
        <w:footnoteReference w:id="3"/>
      </w:r>
      <w:r w:rsidR="00357C29" w:rsidRPr="752B12BD">
        <w:rPr>
          <w:rFonts w:asciiTheme="minorHAnsi" w:eastAsiaTheme="minorEastAsia" w:hAnsiTheme="minorHAnsi" w:cstheme="minorBidi"/>
        </w:rPr>
        <w:t xml:space="preserve"> </w:t>
      </w:r>
      <w:r w:rsidR="00861E87">
        <w:rPr>
          <w:rFonts w:asciiTheme="minorHAnsi" w:eastAsiaTheme="minorEastAsia" w:hAnsiTheme="minorHAnsi" w:cstheme="minorBidi"/>
        </w:rPr>
        <w:t>This constitute</w:t>
      </w:r>
      <w:r w:rsidR="005C78E1">
        <w:rPr>
          <w:rFonts w:asciiTheme="minorHAnsi" w:eastAsiaTheme="minorEastAsia" w:hAnsiTheme="minorHAnsi" w:cstheme="minorBidi"/>
        </w:rPr>
        <w:t xml:space="preserve">s as a reason of the non-applicability of the </w:t>
      </w:r>
      <w:r w:rsidR="00F02E6F">
        <w:rPr>
          <w:rFonts w:asciiTheme="minorHAnsi" w:eastAsiaTheme="minorEastAsia" w:hAnsiTheme="minorHAnsi" w:cstheme="minorBidi"/>
        </w:rPr>
        <w:t>notion</w:t>
      </w:r>
      <w:r w:rsidR="00AA27FA">
        <w:rPr>
          <w:rFonts w:asciiTheme="minorHAnsi" w:eastAsiaTheme="minorEastAsia" w:hAnsiTheme="minorHAnsi" w:cstheme="minorBidi"/>
        </w:rPr>
        <w:t xml:space="preserve"> </w:t>
      </w:r>
      <w:r w:rsidR="00F02E6F">
        <w:rPr>
          <w:rFonts w:asciiTheme="minorHAnsi" w:eastAsiaTheme="minorEastAsia" w:hAnsiTheme="minorHAnsi" w:cstheme="minorBidi"/>
        </w:rPr>
        <w:t xml:space="preserve">of indigenous peoples </w:t>
      </w:r>
      <w:r w:rsidR="00AA27FA">
        <w:rPr>
          <w:rFonts w:asciiTheme="minorHAnsi" w:eastAsiaTheme="minorEastAsia" w:hAnsiTheme="minorHAnsi" w:cstheme="minorBidi"/>
        </w:rPr>
        <w:t>according</w:t>
      </w:r>
      <w:r w:rsidR="00F02E6F">
        <w:rPr>
          <w:rFonts w:asciiTheme="minorHAnsi" w:eastAsiaTheme="minorEastAsia" w:hAnsiTheme="minorHAnsi" w:cstheme="minorBidi"/>
        </w:rPr>
        <w:t xml:space="preserve"> to UNDRIP in the context of Indonesia. </w:t>
      </w:r>
      <w:r w:rsidR="00071448" w:rsidRPr="752B12BD">
        <w:rPr>
          <w:rFonts w:asciiTheme="minorHAnsi" w:eastAsiaTheme="minorEastAsia" w:hAnsiTheme="minorHAnsi" w:cstheme="minorBidi"/>
        </w:rPr>
        <w:t>T</w:t>
      </w:r>
      <w:r w:rsidR="00357C29" w:rsidRPr="752B12BD">
        <w:rPr>
          <w:rFonts w:asciiTheme="minorHAnsi" w:eastAsiaTheme="minorEastAsia" w:hAnsiTheme="minorHAnsi" w:cstheme="minorBidi"/>
        </w:rPr>
        <w:t xml:space="preserve">he </w:t>
      </w:r>
      <w:proofErr w:type="spellStart"/>
      <w:r w:rsidR="00357C29" w:rsidRPr="752B12BD">
        <w:rPr>
          <w:rFonts w:asciiTheme="minorHAnsi" w:eastAsiaTheme="minorEastAsia" w:hAnsiTheme="minorHAnsi" w:cstheme="minorBidi"/>
        </w:rPr>
        <w:t>G</w:t>
      </w:r>
      <w:r w:rsidR="00BD2FDA" w:rsidRPr="752B12BD">
        <w:rPr>
          <w:rFonts w:asciiTheme="minorHAnsi" w:eastAsiaTheme="minorEastAsia" w:hAnsiTheme="minorHAnsi" w:cstheme="minorBidi"/>
        </w:rPr>
        <w:t>o</w:t>
      </w:r>
      <w:r w:rsidR="00357C29" w:rsidRPr="752B12BD">
        <w:rPr>
          <w:rFonts w:asciiTheme="minorHAnsi" w:eastAsiaTheme="minorEastAsia" w:hAnsiTheme="minorHAnsi" w:cstheme="minorBidi"/>
        </w:rPr>
        <w:t>I</w:t>
      </w:r>
      <w:proofErr w:type="spellEnd"/>
      <w:r w:rsidR="00357C29" w:rsidRPr="752B12BD">
        <w:rPr>
          <w:rFonts w:asciiTheme="minorHAnsi" w:eastAsiaTheme="minorEastAsia" w:hAnsiTheme="minorHAnsi" w:cstheme="minorBidi"/>
        </w:rPr>
        <w:t xml:space="preserve"> has rejected calls for the </w:t>
      </w:r>
      <w:r w:rsidR="085BAF19" w:rsidRPr="752B12BD">
        <w:rPr>
          <w:rFonts w:asciiTheme="minorHAnsi" w:eastAsiaTheme="minorEastAsia" w:hAnsiTheme="minorHAnsi" w:cstheme="minorBidi"/>
        </w:rPr>
        <w:t xml:space="preserve">recognition of </w:t>
      </w:r>
      <w:r w:rsidR="00357C29" w:rsidRPr="752B12BD">
        <w:rPr>
          <w:rFonts w:asciiTheme="minorHAnsi" w:eastAsiaTheme="minorEastAsia" w:hAnsiTheme="minorHAnsi" w:cstheme="minorBidi"/>
        </w:rPr>
        <w:t xml:space="preserve">the specific needs of groups that identify themselves as </w:t>
      </w:r>
      <w:r w:rsidR="5582C2C9" w:rsidRPr="752B12BD">
        <w:rPr>
          <w:rFonts w:asciiTheme="minorHAnsi" w:eastAsiaTheme="minorEastAsia" w:hAnsiTheme="minorHAnsi" w:cstheme="minorBidi"/>
        </w:rPr>
        <w:t>i</w:t>
      </w:r>
      <w:r w:rsidR="00357C29" w:rsidRPr="752B12BD">
        <w:rPr>
          <w:rFonts w:asciiTheme="minorHAnsi" w:eastAsiaTheme="minorEastAsia" w:hAnsiTheme="minorHAnsi" w:cstheme="minorBidi"/>
        </w:rPr>
        <w:t>ndigenous</w:t>
      </w:r>
      <w:r w:rsidR="1757C11D" w:rsidRPr="752B12BD">
        <w:rPr>
          <w:rFonts w:asciiTheme="minorHAnsi" w:eastAsiaTheme="minorEastAsia" w:hAnsiTheme="minorHAnsi" w:cstheme="minorBidi"/>
        </w:rPr>
        <w:t xml:space="preserve">, which </w:t>
      </w:r>
      <w:r w:rsidR="00357C29" w:rsidRPr="752B12BD">
        <w:rPr>
          <w:rFonts w:asciiTheme="minorHAnsi" w:eastAsiaTheme="minorEastAsia" w:hAnsiTheme="minorHAnsi" w:cstheme="minorBidi"/>
        </w:rPr>
        <w:t xml:space="preserve">creates </w:t>
      </w:r>
      <w:r w:rsidR="00357C29">
        <w:t xml:space="preserve">legal uncertainty, </w:t>
      </w:r>
      <w:r w:rsidR="0DC11197">
        <w:t>and results</w:t>
      </w:r>
      <w:r w:rsidR="00357C29">
        <w:t xml:space="preserve"> in </w:t>
      </w:r>
      <w:r w:rsidR="7161A60F">
        <w:t>a</w:t>
      </w:r>
      <w:r w:rsidR="00357C29">
        <w:t xml:space="preserve"> lack of access </w:t>
      </w:r>
      <w:r w:rsidR="77CB7FB5">
        <w:t>to justice for</w:t>
      </w:r>
      <w:r w:rsidR="00357C29">
        <w:t xml:space="preserve"> indigenous peoples.</w:t>
      </w:r>
    </w:p>
    <w:p w14:paraId="0FCAA1DA" w14:textId="77777777" w:rsidR="00357C29" w:rsidRDefault="00357C29" w:rsidP="00357C29">
      <w:pPr>
        <w:pStyle w:val="ListParagraph"/>
        <w:rPr>
          <w:rFonts w:asciiTheme="minorHAnsi" w:eastAsiaTheme="minorHAnsi" w:hAnsiTheme="minorHAnsi" w:cstheme="minorBidi"/>
        </w:rPr>
      </w:pPr>
    </w:p>
    <w:p w14:paraId="366C5501" w14:textId="46126358" w:rsidR="00FA364B" w:rsidRPr="00D77820" w:rsidRDefault="00177A34" w:rsidP="00FA364B">
      <w:pPr>
        <w:numPr>
          <w:ilvl w:val="0"/>
          <w:numId w:val="6"/>
        </w:numPr>
        <w:spacing w:after="0" w:line="240" w:lineRule="auto"/>
        <w:rPr>
          <w:rFonts w:ascii="Calibri" w:eastAsia="Calibri" w:hAnsi="Calibri" w:cs="Calibri"/>
        </w:rPr>
      </w:pPr>
      <w:r>
        <w:t>T</w:t>
      </w:r>
      <w:r w:rsidR="007F2E86">
        <w:t xml:space="preserve">he </w:t>
      </w:r>
      <w:proofErr w:type="spellStart"/>
      <w:r w:rsidR="007F2E86">
        <w:t>G</w:t>
      </w:r>
      <w:r w:rsidR="00BD2FDA">
        <w:t>o</w:t>
      </w:r>
      <w:r w:rsidR="007F2E86">
        <w:t>I</w:t>
      </w:r>
      <w:proofErr w:type="spellEnd"/>
      <w:r w:rsidR="007F2E86">
        <w:t xml:space="preserve"> and </w:t>
      </w:r>
      <w:r w:rsidR="004A64F1">
        <w:t xml:space="preserve">the House of Representatives have yet to formulate the Indigenous Community Law as mandated in the Constitution. </w:t>
      </w:r>
      <w:r w:rsidR="00FA364B">
        <w:rPr>
          <w:rFonts w:ascii="Calibri" w:eastAsia="Calibri" w:hAnsi="Calibri" w:cs="Calibri"/>
        </w:rPr>
        <w:t xml:space="preserve">The Draft Law on the Recognition and Protection of the Rights of Indigenous Peoples, which would streamline processes for legal recognition of indigenous peoples’ rights, has been languishing in the Parliament for over a decade despite repeated supporting statements made by some members of </w:t>
      </w:r>
      <w:r w:rsidR="2551D2FD">
        <w:rPr>
          <w:rFonts w:ascii="Calibri" w:eastAsia="Calibri" w:hAnsi="Calibri" w:cs="Calibri"/>
        </w:rPr>
        <w:t>the</w:t>
      </w:r>
      <w:r w:rsidR="00FA364B">
        <w:rPr>
          <w:rFonts w:ascii="Calibri" w:eastAsia="Calibri" w:hAnsi="Calibri" w:cs="Calibri"/>
        </w:rPr>
        <w:t xml:space="preserve"> Parliament.</w:t>
      </w:r>
      <w:r w:rsidR="00FA364B">
        <w:rPr>
          <w:rFonts w:ascii="Calibri" w:eastAsia="Calibri" w:hAnsi="Calibri" w:cs="Calibri"/>
          <w:vertAlign w:val="superscript"/>
        </w:rPr>
        <w:footnoteReference w:id="4"/>
      </w:r>
    </w:p>
    <w:p w14:paraId="1CC717F1" w14:textId="77777777" w:rsidR="007F2E86" w:rsidRDefault="007F2E86" w:rsidP="007F2E86">
      <w:pPr>
        <w:pStyle w:val="ListParagraph"/>
      </w:pPr>
    </w:p>
    <w:p w14:paraId="3E0BC53F" w14:textId="7B8FB42C" w:rsidR="00B935C6" w:rsidRPr="0048767C" w:rsidRDefault="00F24FB7" w:rsidP="00593B6E">
      <w:pPr>
        <w:pStyle w:val="ListParagraph"/>
        <w:numPr>
          <w:ilvl w:val="0"/>
          <w:numId w:val="6"/>
        </w:numPr>
        <w:rPr>
          <w:rFonts w:asciiTheme="minorHAnsi" w:eastAsiaTheme="minorEastAsia" w:hAnsiTheme="minorHAnsi" w:cstheme="minorBidi"/>
        </w:rPr>
      </w:pPr>
      <w:r w:rsidRPr="752B12BD">
        <w:rPr>
          <w:rFonts w:asciiTheme="minorHAnsi" w:eastAsiaTheme="minorEastAsia" w:hAnsiTheme="minorHAnsi" w:cstheme="minorBidi"/>
        </w:rPr>
        <w:t>Law No. 5/1960 on Basic Agrarian Regulation,</w:t>
      </w:r>
      <w:r w:rsidR="00B75A0D" w:rsidRPr="752B12BD">
        <w:rPr>
          <w:rStyle w:val="FootnoteReference"/>
          <w:rFonts w:asciiTheme="minorHAnsi" w:eastAsiaTheme="minorEastAsia" w:hAnsiTheme="minorHAnsi" w:cstheme="minorBidi"/>
        </w:rPr>
        <w:footnoteReference w:id="5"/>
      </w:r>
      <w:r w:rsidRPr="752B12BD">
        <w:rPr>
          <w:rFonts w:asciiTheme="minorHAnsi" w:eastAsiaTheme="minorEastAsia" w:hAnsiTheme="minorHAnsi" w:cstheme="minorBidi"/>
        </w:rPr>
        <w:t xml:space="preserve"> Law No. 39/1999 on Human Rights and the Decree of MPR No X / 2001 on Agrarian Reform </w:t>
      </w:r>
      <w:r w:rsidR="00E82707" w:rsidRPr="752B12BD">
        <w:rPr>
          <w:rFonts w:asciiTheme="minorHAnsi" w:eastAsiaTheme="minorEastAsia" w:hAnsiTheme="minorHAnsi" w:cstheme="minorBidi"/>
        </w:rPr>
        <w:t>implicit</w:t>
      </w:r>
      <w:r w:rsidRPr="752B12BD">
        <w:rPr>
          <w:rFonts w:asciiTheme="minorHAnsi" w:eastAsiaTheme="minorEastAsia" w:hAnsiTheme="minorHAnsi" w:cstheme="minorBidi"/>
        </w:rPr>
        <w:t>ly</w:t>
      </w:r>
      <w:r w:rsidR="00E82707" w:rsidRPr="752B12BD">
        <w:rPr>
          <w:rFonts w:asciiTheme="minorHAnsi" w:eastAsiaTheme="minorEastAsia" w:hAnsiTheme="minorHAnsi" w:cstheme="minorBidi"/>
        </w:rPr>
        <w:t xml:space="preserve"> recogni</w:t>
      </w:r>
      <w:r w:rsidRPr="752B12BD">
        <w:rPr>
          <w:rFonts w:asciiTheme="minorHAnsi" w:eastAsiaTheme="minorEastAsia" w:hAnsiTheme="minorHAnsi" w:cstheme="minorBidi"/>
        </w:rPr>
        <w:t xml:space="preserve">se </w:t>
      </w:r>
      <w:r w:rsidR="00E82707" w:rsidRPr="752B12BD">
        <w:rPr>
          <w:rFonts w:asciiTheme="minorHAnsi" w:eastAsiaTheme="minorEastAsia" w:hAnsiTheme="minorHAnsi" w:cstheme="minorBidi"/>
        </w:rPr>
        <w:t xml:space="preserve">some rights </w:t>
      </w:r>
      <w:r w:rsidR="000B3CBE" w:rsidRPr="752B12BD">
        <w:rPr>
          <w:rFonts w:asciiTheme="minorHAnsi" w:eastAsiaTheme="minorEastAsia" w:hAnsiTheme="minorHAnsi" w:cstheme="minorBidi"/>
        </w:rPr>
        <w:t>of</w:t>
      </w:r>
      <w:r w:rsidR="00E82707" w:rsidRPr="752B12BD">
        <w:rPr>
          <w:rFonts w:asciiTheme="minorHAnsi" w:eastAsiaTheme="minorEastAsia" w:hAnsiTheme="minorHAnsi" w:cstheme="minorBidi"/>
        </w:rPr>
        <w:t xml:space="preserve"> </w:t>
      </w:r>
      <w:r w:rsidR="00E82707" w:rsidRPr="752B12BD">
        <w:rPr>
          <w:rFonts w:asciiTheme="minorHAnsi" w:eastAsiaTheme="minorEastAsia" w:hAnsiTheme="minorHAnsi" w:cstheme="minorBidi"/>
          <w:i/>
        </w:rPr>
        <w:t xml:space="preserve">Masyarakat </w:t>
      </w:r>
      <w:r w:rsidR="00300324" w:rsidRPr="752B12BD">
        <w:rPr>
          <w:rFonts w:asciiTheme="minorHAnsi" w:eastAsiaTheme="minorEastAsia" w:hAnsiTheme="minorHAnsi" w:cstheme="minorBidi"/>
          <w:i/>
        </w:rPr>
        <w:t>H</w:t>
      </w:r>
      <w:r w:rsidR="00E82707" w:rsidRPr="752B12BD">
        <w:rPr>
          <w:rFonts w:asciiTheme="minorHAnsi" w:eastAsiaTheme="minorEastAsia" w:hAnsiTheme="minorHAnsi" w:cstheme="minorBidi"/>
          <w:i/>
        </w:rPr>
        <w:t xml:space="preserve">ukum </w:t>
      </w:r>
      <w:r w:rsidR="00300324" w:rsidRPr="752B12BD">
        <w:rPr>
          <w:rFonts w:asciiTheme="minorHAnsi" w:eastAsiaTheme="minorEastAsia" w:hAnsiTheme="minorHAnsi" w:cstheme="minorBidi"/>
          <w:i/>
        </w:rPr>
        <w:t>A</w:t>
      </w:r>
      <w:r w:rsidR="00E82707" w:rsidRPr="752B12BD">
        <w:rPr>
          <w:rFonts w:asciiTheme="minorHAnsi" w:eastAsiaTheme="minorEastAsia" w:hAnsiTheme="minorHAnsi" w:cstheme="minorBidi"/>
          <w:i/>
        </w:rPr>
        <w:t>dat</w:t>
      </w:r>
      <w:r w:rsidR="1753D6A0" w:rsidRPr="752B12BD">
        <w:rPr>
          <w:rFonts w:asciiTheme="minorHAnsi" w:eastAsiaTheme="minorEastAsia" w:hAnsiTheme="minorHAnsi" w:cstheme="minorBidi"/>
          <w:i/>
          <w:iCs/>
        </w:rPr>
        <w:t xml:space="preserve"> -</w:t>
      </w:r>
      <w:r w:rsidR="4F92256D" w:rsidRPr="752B12BD">
        <w:rPr>
          <w:rFonts w:asciiTheme="minorHAnsi" w:eastAsiaTheme="minorEastAsia" w:hAnsiTheme="minorHAnsi" w:cstheme="minorBidi"/>
        </w:rPr>
        <w:t>.</w:t>
      </w:r>
      <w:r w:rsidR="000B3CBE" w:rsidRPr="752B12BD">
        <w:rPr>
          <w:rFonts w:asciiTheme="minorHAnsi" w:eastAsiaTheme="minorEastAsia" w:hAnsiTheme="minorHAnsi" w:cstheme="minorBidi"/>
        </w:rPr>
        <w:t xml:space="preserve"> </w:t>
      </w:r>
      <w:r w:rsidR="00E82707" w:rsidRPr="752B12BD">
        <w:rPr>
          <w:rFonts w:asciiTheme="minorHAnsi" w:eastAsiaTheme="minorEastAsia" w:hAnsiTheme="minorHAnsi" w:cstheme="minorBidi"/>
        </w:rPr>
        <w:t xml:space="preserve"> </w:t>
      </w:r>
      <w:r w:rsidR="00E82707" w:rsidRPr="0048767C">
        <w:t xml:space="preserve">Law No. 27/2007 on </w:t>
      </w:r>
      <w:r w:rsidR="00EE53EF" w:rsidRPr="0048767C">
        <w:t>C</w:t>
      </w:r>
      <w:r w:rsidR="00E82707" w:rsidRPr="0048767C">
        <w:t xml:space="preserve">oastal and </w:t>
      </w:r>
      <w:r w:rsidR="00EE53EF" w:rsidRPr="0048767C">
        <w:t>S</w:t>
      </w:r>
      <w:r w:rsidR="00E82707" w:rsidRPr="0048767C">
        <w:t xml:space="preserve">mall </w:t>
      </w:r>
      <w:r w:rsidR="00EE53EF" w:rsidRPr="0048767C">
        <w:t>I</w:t>
      </w:r>
      <w:r w:rsidR="00E82707" w:rsidRPr="0048767C">
        <w:t>slands</w:t>
      </w:r>
      <w:r w:rsidR="008A0323" w:rsidRPr="0048767C">
        <w:t xml:space="preserve"> Management</w:t>
      </w:r>
      <w:r w:rsidR="006715DB" w:rsidRPr="0048767C">
        <w:rPr>
          <w:rStyle w:val="FootnoteReference"/>
        </w:rPr>
        <w:footnoteReference w:id="6"/>
      </w:r>
      <w:r w:rsidR="00E82707" w:rsidRPr="0048767C">
        <w:t xml:space="preserve"> and Law No. 32/20</w:t>
      </w:r>
      <w:r w:rsidR="005D21AC" w:rsidRPr="0048767C">
        <w:t>09</w:t>
      </w:r>
      <w:r w:rsidR="008A0323" w:rsidRPr="0048767C">
        <w:t xml:space="preserve"> on Environment Protection and Management </w:t>
      </w:r>
      <w:r w:rsidR="00264A15" w:rsidRPr="0048767C">
        <w:rPr>
          <w:rStyle w:val="FootnoteReference"/>
        </w:rPr>
        <w:footnoteReference w:id="7"/>
      </w:r>
      <w:r w:rsidR="00700E8E" w:rsidRPr="0048767C">
        <w:t xml:space="preserve"> </w:t>
      </w:r>
      <w:r w:rsidR="00E82707" w:rsidRPr="0048767C">
        <w:t xml:space="preserve">use the term </w:t>
      </w:r>
      <w:r w:rsidR="00E82707" w:rsidRPr="0048767C">
        <w:rPr>
          <w:i/>
          <w:iCs/>
        </w:rPr>
        <w:t>Masyarakat Adat</w:t>
      </w:r>
      <w:r w:rsidR="00E82707" w:rsidRPr="0048767C">
        <w:t xml:space="preserve">. The </w:t>
      </w:r>
      <w:r w:rsidR="00F83FE9" w:rsidRPr="0048767C">
        <w:t xml:space="preserve">Indonesian </w:t>
      </w:r>
      <w:r w:rsidR="00E82707" w:rsidRPr="0048767C">
        <w:t xml:space="preserve">Constitutional Court confirmed the constitutional rights of </w:t>
      </w:r>
      <w:r w:rsidR="00C84E33">
        <w:t>i</w:t>
      </w:r>
      <w:r w:rsidR="00E82707" w:rsidRPr="0048767C">
        <w:t xml:space="preserve">ndigenous </w:t>
      </w:r>
      <w:r w:rsidR="00C84E33">
        <w:t>p</w:t>
      </w:r>
      <w:r w:rsidR="00E82707" w:rsidRPr="0048767C">
        <w:t xml:space="preserve">eoples over their lands and territories in May </w:t>
      </w:r>
      <w:r w:rsidR="00E82707" w:rsidRPr="0048767C">
        <w:lastRenderedPageBreak/>
        <w:t>2013, including their collective rights over traditional forests.</w:t>
      </w:r>
      <w:r w:rsidR="00B54236" w:rsidRPr="0048767C">
        <w:t xml:space="preserve"> This </w:t>
      </w:r>
      <w:r w:rsidR="00C75558" w:rsidRPr="0048767C">
        <w:t>decision has been considered as a landmark decision on the recognition of the rights of indigenous people t</w:t>
      </w:r>
      <w:r w:rsidR="00E50F9F" w:rsidRPr="0048767C">
        <w:t>o their customary forest.</w:t>
      </w:r>
      <w:r w:rsidR="00E50F9F" w:rsidRPr="0048767C">
        <w:rPr>
          <w:rStyle w:val="FootnoteReference"/>
        </w:rPr>
        <w:footnoteReference w:id="8"/>
      </w:r>
      <w:r w:rsidR="00E50F9F" w:rsidRPr="0048767C">
        <w:t xml:space="preserve"> </w:t>
      </w:r>
    </w:p>
    <w:p w14:paraId="094FABD7" w14:textId="77777777" w:rsidR="00D10AEA" w:rsidRDefault="00D10AEA" w:rsidP="00593B6E">
      <w:pPr>
        <w:rPr>
          <w:b/>
          <w:bCs/>
        </w:rPr>
      </w:pPr>
    </w:p>
    <w:p w14:paraId="143997BD" w14:textId="0A459BF6" w:rsidR="00593B6E" w:rsidRPr="00E31469" w:rsidRDefault="00C20DB5" w:rsidP="00593B6E">
      <w:pPr>
        <w:rPr>
          <w:b/>
          <w:bCs/>
        </w:rPr>
      </w:pPr>
      <w:r w:rsidRPr="1F151FFF">
        <w:rPr>
          <w:b/>
          <w:bCs/>
        </w:rPr>
        <w:t xml:space="preserve">Indigenous </w:t>
      </w:r>
      <w:r w:rsidR="004773B2" w:rsidRPr="1F151FFF">
        <w:rPr>
          <w:b/>
          <w:bCs/>
        </w:rPr>
        <w:t>p</w:t>
      </w:r>
      <w:r w:rsidRPr="1F151FFF">
        <w:rPr>
          <w:b/>
          <w:bCs/>
        </w:rPr>
        <w:t>eople</w:t>
      </w:r>
      <w:r w:rsidR="5411A1D3" w:rsidRPr="1F151FFF">
        <w:rPr>
          <w:b/>
          <w:bCs/>
        </w:rPr>
        <w:t>s</w:t>
      </w:r>
      <w:r w:rsidRPr="1F151FFF">
        <w:rPr>
          <w:b/>
          <w:bCs/>
        </w:rPr>
        <w:t xml:space="preserve"> in West Papua, Indonesia </w:t>
      </w:r>
    </w:p>
    <w:p w14:paraId="28A63AF5" w14:textId="5A92E152" w:rsidR="00D32FF1" w:rsidRPr="0048767C" w:rsidRDefault="003D2EB2" w:rsidP="003D2EB2">
      <w:pPr>
        <w:pStyle w:val="ListParagraph"/>
        <w:numPr>
          <w:ilvl w:val="0"/>
          <w:numId w:val="6"/>
        </w:numPr>
        <w:rPr>
          <w:rFonts w:asciiTheme="minorHAnsi" w:eastAsiaTheme="minorEastAsia" w:hAnsiTheme="minorHAnsi" w:cstheme="minorBidi"/>
        </w:rPr>
      </w:pPr>
      <w:r w:rsidRPr="752B12BD">
        <w:rPr>
          <w:rFonts w:asciiTheme="minorHAnsi" w:eastAsiaTheme="minorEastAsia" w:hAnsiTheme="minorHAnsi" w:cstheme="minorBidi"/>
        </w:rPr>
        <w:t>Indonesia’s Papua region is known internationally as West Papua</w:t>
      </w:r>
      <w:r w:rsidR="00125164" w:rsidRPr="752B12BD">
        <w:rPr>
          <w:rStyle w:val="FootnoteReference"/>
          <w:rFonts w:asciiTheme="minorHAnsi" w:eastAsiaTheme="minorEastAsia" w:hAnsiTheme="minorHAnsi" w:cstheme="minorBidi"/>
        </w:rPr>
        <w:footnoteReference w:id="9"/>
      </w:r>
      <w:r w:rsidRPr="752B12BD">
        <w:rPr>
          <w:rFonts w:asciiTheme="minorHAnsi" w:eastAsiaTheme="minorEastAsia" w:hAnsiTheme="minorHAnsi" w:cstheme="minorBidi"/>
        </w:rPr>
        <w:t xml:space="preserve"> and refers to the western half of the island of New Guinea. </w:t>
      </w:r>
      <w:r w:rsidR="00BA4E47" w:rsidRPr="752B12BD">
        <w:rPr>
          <w:rFonts w:asciiTheme="minorHAnsi" w:eastAsiaTheme="minorEastAsia" w:hAnsiTheme="minorHAnsi" w:cstheme="minorBidi"/>
        </w:rPr>
        <w:t>Under the New York agreement, Indonesia was mandated</w:t>
      </w:r>
      <w:r w:rsidR="009F6805" w:rsidRPr="752B12BD">
        <w:rPr>
          <w:rFonts w:asciiTheme="minorHAnsi" w:eastAsiaTheme="minorEastAsia" w:hAnsiTheme="minorHAnsi" w:cstheme="minorBidi"/>
        </w:rPr>
        <w:t xml:space="preserve"> by the United Nations</w:t>
      </w:r>
      <w:r w:rsidR="00C23077" w:rsidRPr="752B12BD">
        <w:rPr>
          <w:rFonts w:asciiTheme="minorHAnsi" w:eastAsiaTheme="minorEastAsia" w:hAnsiTheme="minorHAnsi" w:cstheme="minorBidi"/>
        </w:rPr>
        <w:t xml:space="preserve"> (UN)</w:t>
      </w:r>
      <w:r w:rsidR="00BA4E47" w:rsidRPr="752B12BD">
        <w:rPr>
          <w:rFonts w:asciiTheme="minorHAnsi" w:eastAsiaTheme="minorEastAsia" w:hAnsiTheme="minorHAnsi" w:cstheme="minorBidi"/>
        </w:rPr>
        <w:t xml:space="preserve"> </w:t>
      </w:r>
      <w:r w:rsidR="009745D4" w:rsidRPr="752B12BD">
        <w:rPr>
          <w:rFonts w:asciiTheme="minorHAnsi" w:eastAsiaTheme="minorEastAsia" w:hAnsiTheme="minorHAnsi" w:cstheme="minorBidi"/>
        </w:rPr>
        <w:t xml:space="preserve">to </w:t>
      </w:r>
      <w:r w:rsidR="0084437A" w:rsidRPr="752B12BD">
        <w:rPr>
          <w:rFonts w:asciiTheme="minorHAnsi" w:eastAsiaTheme="minorEastAsia" w:hAnsiTheme="minorHAnsi" w:cstheme="minorBidi"/>
        </w:rPr>
        <w:t xml:space="preserve">administer a referendum in West Papua </w:t>
      </w:r>
      <w:r w:rsidR="00427622" w:rsidRPr="752B12BD">
        <w:rPr>
          <w:rFonts w:asciiTheme="minorHAnsi" w:eastAsiaTheme="minorEastAsia" w:hAnsiTheme="minorHAnsi" w:cstheme="minorBidi"/>
        </w:rPr>
        <w:t>i</w:t>
      </w:r>
      <w:r w:rsidR="0084437A" w:rsidRPr="752B12BD">
        <w:rPr>
          <w:rFonts w:asciiTheme="minorHAnsi" w:eastAsiaTheme="minorEastAsia" w:hAnsiTheme="minorHAnsi" w:cstheme="minorBidi"/>
        </w:rPr>
        <w:t xml:space="preserve">n </w:t>
      </w:r>
      <w:r w:rsidR="009F6805" w:rsidRPr="752B12BD">
        <w:rPr>
          <w:rFonts w:asciiTheme="minorHAnsi" w:eastAsiaTheme="minorEastAsia" w:hAnsiTheme="minorHAnsi" w:cstheme="minorBidi"/>
        </w:rPr>
        <w:t>1969</w:t>
      </w:r>
      <w:r w:rsidR="00E920A3" w:rsidRPr="752B12BD">
        <w:rPr>
          <w:rFonts w:asciiTheme="minorHAnsi" w:eastAsiaTheme="minorEastAsia" w:hAnsiTheme="minorHAnsi" w:cstheme="minorBidi"/>
        </w:rPr>
        <w:t xml:space="preserve"> to decide whether the region would join Indonesia or decide to be independent. </w:t>
      </w:r>
      <w:r w:rsidR="001E5403" w:rsidRPr="752B12BD">
        <w:rPr>
          <w:rFonts w:asciiTheme="minorHAnsi" w:eastAsiaTheme="minorEastAsia" w:hAnsiTheme="minorHAnsi" w:cstheme="minorBidi"/>
        </w:rPr>
        <w:t>The referendum was supposed to be</w:t>
      </w:r>
      <w:r w:rsidR="00427622" w:rsidRPr="752B12BD">
        <w:rPr>
          <w:rFonts w:asciiTheme="minorHAnsi" w:eastAsiaTheme="minorEastAsia" w:hAnsiTheme="minorHAnsi" w:cstheme="minorBidi"/>
        </w:rPr>
        <w:t xml:space="preserve"> based on </w:t>
      </w:r>
      <w:r w:rsidR="0084437A" w:rsidRPr="752B12BD">
        <w:rPr>
          <w:rFonts w:asciiTheme="minorHAnsi" w:eastAsiaTheme="minorEastAsia" w:hAnsiTheme="minorHAnsi" w:cstheme="minorBidi"/>
        </w:rPr>
        <w:t xml:space="preserve">the principle </w:t>
      </w:r>
      <w:r w:rsidR="354B2E6A" w:rsidRPr="752B12BD">
        <w:rPr>
          <w:rFonts w:asciiTheme="minorHAnsi" w:eastAsiaTheme="minorEastAsia" w:hAnsiTheme="minorHAnsi" w:cstheme="minorBidi"/>
        </w:rPr>
        <w:t xml:space="preserve">of </w:t>
      </w:r>
      <w:r w:rsidR="0084437A" w:rsidRPr="752B12BD">
        <w:rPr>
          <w:rFonts w:asciiTheme="minorHAnsi" w:eastAsiaTheme="minorEastAsia" w:hAnsiTheme="minorHAnsi" w:cstheme="minorBidi"/>
        </w:rPr>
        <w:t>one man one vote.</w:t>
      </w:r>
      <w:r w:rsidR="001E5403" w:rsidRPr="752B12BD">
        <w:rPr>
          <w:rFonts w:asciiTheme="minorHAnsi" w:eastAsiaTheme="minorEastAsia" w:hAnsiTheme="minorHAnsi" w:cstheme="minorBidi"/>
        </w:rPr>
        <w:t xml:space="preserve"> However, t</w:t>
      </w:r>
      <w:r w:rsidR="00427622" w:rsidRPr="752B12BD">
        <w:rPr>
          <w:rFonts w:asciiTheme="minorHAnsi" w:eastAsiaTheme="minorEastAsia" w:hAnsiTheme="minorHAnsi" w:cstheme="minorBidi"/>
        </w:rPr>
        <w:t xml:space="preserve">here </w:t>
      </w:r>
      <w:r w:rsidR="00B63AFF" w:rsidRPr="752B12BD">
        <w:rPr>
          <w:rFonts w:asciiTheme="minorHAnsi" w:eastAsiaTheme="minorEastAsia" w:hAnsiTheme="minorHAnsi" w:cstheme="minorBidi"/>
        </w:rPr>
        <w:t>were</w:t>
      </w:r>
      <w:r w:rsidR="00427622" w:rsidRPr="752B12BD">
        <w:rPr>
          <w:rFonts w:asciiTheme="minorHAnsi" w:eastAsiaTheme="minorEastAsia" w:hAnsiTheme="minorHAnsi" w:cstheme="minorBidi"/>
        </w:rPr>
        <w:t xml:space="preserve"> only 1.026</w:t>
      </w:r>
      <w:r w:rsidR="004A78EE" w:rsidRPr="752B12BD">
        <w:rPr>
          <w:rFonts w:asciiTheme="minorHAnsi" w:eastAsiaTheme="minorEastAsia" w:hAnsiTheme="minorHAnsi" w:cstheme="minorBidi"/>
        </w:rPr>
        <w:t xml:space="preserve"> </w:t>
      </w:r>
      <w:r w:rsidR="001E5403" w:rsidRPr="752B12BD">
        <w:rPr>
          <w:rFonts w:asciiTheme="minorHAnsi" w:eastAsiaTheme="minorEastAsia" w:hAnsiTheme="minorHAnsi" w:cstheme="minorBidi"/>
        </w:rPr>
        <w:t xml:space="preserve">Papuan </w:t>
      </w:r>
      <w:r w:rsidR="00991517" w:rsidRPr="752B12BD">
        <w:rPr>
          <w:rFonts w:asciiTheme="minorHAnsi" w:eastAsiaTheme="minorEastAsia" w:hAnsiTheme="minorHAnsi" w:cstheme="minorBidi"/>
        </w:rPr>
        <w:t>tribal leaders</w:t>
      </w:r>
      <w:r w:rsidR="00B770C9" w:rsidRPr="752B12BD">
        <w:rPr>
          <w:rFonts w:asciiTheme="minorHAnsi" w:eastAsiaTheme="minorEastAsia" w:hAnsiTheme="minorHAnsi" w:cstheme="minorBidi"/>
        </w:rPr>
        <w:t xml:space="preserve"> participat</w:t>
      </w:r>
      <w:r w:rsidR="6D897D37" w:rsidRPr="752B12BD">
        <w:rPr>
          <w:rFonts w:asciiTheme="minorHAnsi" w:eastAsiaTheme="minorEastAsia" w:hAnsiTheme="minorHAnsi" w:cstheme="minorBidi"/>
        </w:rPr>
        <w:t>ing</w:t>
      </w:r>
      <w:r w:rsidR="00B63AFF" w:rsidRPr="752B12BD">
        <w:rPr>
          <w:rFonts w:asciiTheme="minorHAnsi" w:eastAsiaTheme="minorEastAsia" w:hAnsiTheme="minorHAnsi" w:cstheme="minorBidi"/>
        </w:rPr>
        <w:t>,</w:t>
      </w:r>
      <w:r w:rsidR="00991517" w:rsidRPr="752B12BD">
        <w:rPr>
          <w:rFonts w:asciiTheme="minorHAnsi" w:eastAsiaTheme="minorEastAsia" w:hAnsiTheme="minorHAnsi" w:cstheme="minorBidi"/>
        </w:rPr>
        <w:t xml:space="preserve"> out of </w:t>
      </w:r>
      <w:r w:rsidR="367D70AB" w:rsidRPr="752B12BD">
        <w:rPr>
          <w:rFonts w:asciiTheme="minorHAnsi" w:eastAsiaTheme="minorEastAsia" w:hAnsiTheme="minorHAnsi" w:cstheme="minorBidi"/>
        </w:rPr>
        <w:t>an</w:t>
      </w:r>
      <w:r w:rsidR="00B770C9" w:rsidRPr="752B12BD">
        <w:rPr>
          <w:rFonts w:asciiTheme="minorHAnsi" w:eastAsiaTheme="minorEastAsia" w:hAnsiTheme="minorHAnsi" w:cstheme="minorBidi"/>
        </w:rPr>
        <w:t xml:space="preserve"> </w:t>
      </w:r>
      <w:r w:rsidR="00991517" w:rsidRPr="752B12BD">
        <w:rPr>
          <w:rFonts w:asciiTheme="minorHAnsi" w:eastAsiaTheme="minorEastAsia" w:hAnsiTheme="minorHAnsi" w:cstheme="minorBidi"/>
        </w:rPr>
        <w:t xml:space="preserve">estimated </w:t>
      </w:r>
      <w:r w:rsidR="00B770C9" w:rsidRPr="752B12BD">
        <w:rPr>
          <w:rFonts w:asciiTheme="minorHAnsi" w:eastAsiaTheme="minorEastAsia" w:hAnsiTheme="minorHAnsi" w:cstheme="minorBidi"/>
        </w:rPr>
        <w:t>population</w:t>
      </w:r>
      <w:r w:rsidR="6A764E67" w:rsidRPr="752B12BD">
        <w:rPr>
          <w:rFonts w:asciiTheme="minorHAnsi" w:eastAsiaTheme="minorEastAsia" w:hAnsiTheme="minorHAnsi" w:cstheme="minorBidi"/>
        </w:rPr>
        <w:t xml:space="preserve"> of 800.000</w:t>
      </w:r>
      <w:r w:rsidR="00B770C9" w:rsidRPr="752B12BD">
        <w:rPr>
          <w:rFonts w:asciiTheme="minorHAnsi" w:eastAsiaTheme="minorEastAsia" w:hAnsiTheme="minorHAnsi" w:cstheme="minorBidi"/>
        </w:rPr>
        <w:t>.</w:t>
      </w:r>
      <w:r w:rsidR="00547563" w:rsidRPr="752B12BD">
        <w:rPr>
          <w:rFonts w:asciiTheme="minorHAnsi" w:eastAsiaTheme="minorEastAsia" w:hAnsiTheme="minorHAnsi" w:cstheme="minorBidi"/>
        </w:rPr>
        <w:t xml:space="preserve"> </w:t>
      </w:r>
      <w:r w:rsidR="00AC531D" w:rsidRPr="752B12BD">
        <w:rPr>
          <w:rFonts w:asciiTheme="minorHAnsi" w:eastAsiaTheme="minorEastAsia" w:hAnsiTheme="minorHAnsi" w:cstheme="minorBidi"/>
        </w:rPr>
        <w:t xml:space="preserve">The result was overwhelmingly the integration of West Papua to Indonesia. Since then, </w:t>
      </w:r>
      <w:r w:rsidR="008F1CAB" w:rsidRPr="752B12BD">
        <w:rPr>
          <w:rFonts w:asciiTheme="minorHAnsi" w:eastAsiaTheme="minorEastAsia" w:hAnsiTheme="minorHAnsi" w:cstheme="minorBidi"/>
        </w:rPr>
        <w:t xml:space="preserve">West Papua has been internationally recognised as part of Indonesia, </w:t>
      </w:r>
      <w:r w:rsidR="00161956" w:rsidRPr="752B12BD">
        <w:rPr>
          <w:rFonts w:asciiTheme="minorHAnsi" w:eastAsiaTheme="minorEastAsia" w:hAnsiTheme="minorHAnsi" w:cstheme="minorBidi"/>
        </w:rPr>
        <w:t>even though</w:t>
      </w:r>
      <w:r w:rsidR="008F1CAB" w:rsidRPr="752B12BD">
        <w:rPr>
          <w:rFonts w:asciiTheme="minorHAnsi" w:eastAsiaTheme="minorEastAsia" w:hAnsiTheme="minorHAnsi" w:cstheme="minorBidi"/>
        </w:rPr>
        <w:t xml:space="preserve"> some groups in West Papua challenged the </w:t>
      </w:r>
      <w:r w:rsidR="00EC1517" w:rsidRPr="752B12BD">
        <w:rPr>
          <w:rFonts w:asciiTheme="minorHAnsi" w:eastAsiaTheme="minorEastAsia" w:hAnsiTheme="minorHAnsi" w:cstheme="minorBidi"/>
        </w:rPr>
        <w:t xml:space="preserve">conduct of </w:t>
      </w:r>
      <w:r w:rsidR="309B0C69" w:rsidRPr="752B12BD">
        <w:rPr>
          <w:rFonts w:asciiTheme="minorHAnsi" w:eastAsiaTheme="minorEastAsia" w:hAnsiTheme="minorHAnsi" w:cstheme="minorBidi"/>
        </w:rPr>
        <w:t xml:space="preserve">the </w:t>
      </w:r>
      <w:r w:rsidR="00D31F4A" w:rsidRPr="752B12BD">
        <w:rPr>
          <w:rFonts w:asciiTheme="minorHAnsi" w:eastAsiaTheme="minorEastAsia" w:hAnsiTheme="minorHAnsi" w:cstheme="minorBidi"/>
        </w:rPr>
        <w:t xml:space="preserve">referendum process. </w:t>
      </w:r>
    </w:p>
    <w:p w14:paraId="45DEFF6C" w14:textId="77777777" w:rsidR="00FF05BA" w:rsidRPr="0048767C" w:rsidRDefault="00FF05BA" w:rsidP="00FF05BA">
      <w:pPr>
        <w:pStyle w:val="ListParagraph"/>
        <w:rPr>
          <w:rFonts w:asciiTheme="minorHAnsi" w:eastAsiaTheme="minorHAnsi" w:hAnsiTheme="minorHAnsi" w:cstheme="minorBidi"/>
        </w:rPr>
      </w:pPr>
    </w:p>
    <w:p w14:paraId="11370D59" w14:textId="6D9E1FAD" w:rsidR="00FF05BA" w:rsidRPr="0048767C" w:rsidRDefault="00F061D9" w:rsidP="003D2EB2">
      <w:pPr>
        <w:pStyle w:val="ListParagraph"/>
        <w:numPr>
          <w:ilvl w:val="0"/>
          <w:numId w:val="6"/>
        </w:numPr>
        <w:rPr>
          <w:rFonts w:asciiTheme="minorHAnsi" w:eastAsiaTheme="minorEastAsia" w:hAnsiTheme="minorHAnsi" w:cstheme="minorBidi"/>
        </w:rPr>
      </w:pPr>
      <w:r w:rsidRPr="752B12BD">
        <w:rPr>
          <w:rFonts w:asciiTheme="minorHAnsi" w:eastAsiaTheme="minorEastAsia" w:hAnsiTheme="minorHAnsi" w:cstheme="minorBidi"/>
        </w:rPr>
        <w:t xml:space="preserve">Currently in Indonesia, it is only in the West Papua region that the country faces both peaceful and armed independence movements. </w:t>
      </w:r>
      <w:r w:rsidR="00FF05BA" w:rsidRPr="752B12BD">
        <w:rPr>
          <w:rFonts w:asciiTheme="minorHAnsi" w:eastAsiaTheme="minorEastAsia" w:hAnsiTheme="minorHAnsi" w:cstheme="minorBidi"/>
        </w:rPr>
        <w:t xml:space="preserve">Those who oppose the integration of West Papua formed pro-independent armed groups, </w:t>
      </w:r>
      <w:r w:rsidR="1877DFC7" w:rsidRPr="752B12BD">
        <w:rPr>
          <w:rFonts w:asciiTheme="minorHAnsi" w:eastAsiaTheme="minorEastAsia" w:hAnsiTheme="minorHAnsi" w:cstheme="minorBidi"/>
        </w:rPr>
        <w:t xml:space="preserve">who </w:t>
      </w:r>
      <w:r w:rsidR="00EE0A65" w:rsidRPr="752B12BD">
        <w:rPr>
          <w:rFonts w:asciiTheme="minorHAnsi" w:eastAsiaTheme="minorEastAsia" w:hAnsiTheme="minorHAnsi" w:cstheme="minorBidi"/>
        </w:rPr>
        <w:t>are</w:t>
      </w:r>
      <w:r w:rsidR="00FF05BA" w:rsidRPr="752B12BD">
        <w:rPr>
          <w:rFonts w:asciiTheme="minorHAnsi" w:eastAsiaTheme="minorEastAsia" w:hAnsiTheme="minorHAnsi" w:cstheme="minorBidi"/>
        </w:rPr>
        <w:t xml:space="preserve"> under the coordination of </w:t>
      </w:r>
      <w:r w:rsidR="00FF05BA" w:rsidRPr="752B12BD">
        <w:rPr>
          <w:rFonts w:asciiTheme="minorHAnsi" w:eastAsiaTheme="minorEastAsia" w:hAnsiTheme="minorHAnsi" w:cstheme="minorBidi"/>
          <w:i/>
        </w:rPr>
        <w:t xml:space="preserve">the </w:t>
      </w:r>
      <w:proofErr w:type="spellStart"/>
      <w:r w:rsidR="00FF05BA" w:rsidRPr="752B12BD">
        <w:rPr>
          <w:rFonts w:asciiTheme="minorHAnsi" w:eastAsiaTheme="minorEastAsia" w:hAnsiTheme="minorHAnsi" w:cstheme="minorBidi"/>
          <w:i/>
        </w:rPr>
        <w:t>Tentara</w:t>
      </w:r>
      <w:proofErr w:type="spellEnd"/>
      <w:r w:rsidR="00FF05BA" w:rsidRPr="752B12BD">
        <w:rPr>
          <w:rFonts w:asciiTheme="minorHAnsi" w:eastAsiaTheme="minorEastAsia" w:hAnsiTheme="minorHAnsi" w:cstheme="minorBidi"/>
          <w:i/>
        </w:rPr>
        <w:t xml:space="preserve"> </w:t>
      </w:r>
      <w:proofErr w:type="spellStart"/>
      <w:r w:rsidR="00FF05BA" w:rsidRPr="752B12BD">
        <w:rPr>
          <w:rFonts w:asciiTheme="minorHAnsi" w:eastAsiaTheme="minorEastAsia" w:hAnsiTheme="minorHAnsi" w:cstheme="minorBidi"/>
          <w:i/>
        </w:rPr>
        <w:t>Pembebasan</w:t>
      </w:r>
      <w:proofErr w:type="spellEnd"/>
      <w:r w:rsidR="00FF05BA" w:rsidRPr="752B12BD">
        <w:rPr>
          <w:rFonts w:asciiTheme="minorHAnsi" w:eastAsiaTheme="minorEastAsia" w:hAnsiTheme="minorHAnsi" w:cstheme="minorBidi"/>
          <w:i/>
        </w:rPr>
        <w:t xml:space="preserve"> National Papua Barat</w:t>
      </w:r>
      <w:r w:rsidR="00FF05BA" w:rsidRPr="752B12BD">
        <w:rPr>
          <w:rFonts w:asciiTheme="minorHAnsi" w:eastAsiaTheme="minorEastAsia" w:hAnsiTheme="minorHAnsi" w:cstheme="minorBidi"/>
        </w:rPr>
        <w:t xml:space="preserve"> (</w:t>
      </w:r>
      <w:r w:rsidR="00FF05BA" w:rsidRPr="752B12BD">
        <w:rPr>
          <w:rFonts w:asciiTheme="minorHAnsi" w:eastAsiaTheme="minorEastAsia" w:hAnsiTheme="minorHAnsi" w:cstheme="minorBidi"/>
          <w:i/>
        </w:rPr>
        <w:t>TPNPB</w:t>
      </w:r>
      <w:r w:rsidR="00FF05BA" w:rsidRPr="752B12BD">
        <w:rPr>
          <w:rFonts w:asciiTheme="minorHAnsi" w:eastAsiaTheme="minorEastAsia" w:hAnsiTheme="minorHAnsi" w:cstheme="minorBidi"/>
        </w:rPr>
        <w:t xml:space="preserve"> </w:t>
      </w:r>
      <w:r w:rsidR="00393C3D" w:rsidRPr="752B12BD">
        <w:rPr>
          <w:rFonts w:asciiTheme="minorHAnsi" w:eastAsiaTheme="minorEastAsia" w:hAnsiTheme="minorHAnsi" w:cstheme="minorBidi"/>
        </w:rPr>
        <w:t xml:space="preserve">– the armed wing of the </w:t>
      </w:r>
      <w:r w:rsidR="00E36C6E" w:rsidRPr="752B12BD">
        <w:rPr>
          <w:rFonts w:asciiTheme="minorHAnsi" w:eastAsiaTheme="minorEastAsia" w:hAnsiTheme="minorHAnsi" w:cstheme="minorBidi"/>
        </w:rPr>
        <w:t xml:space="preserve">Papua Freedom Organisation or West Papua National Liberation Army). </w:t>
      </w:r>
      <w:r w:rsidR="003E3ECF" w:rsidRPr="752B12BD">
        <w:rPr>
          <w:rFonts w:asciiTheme="minorHAnsi" w:eastAsiaTheme="minorEastAsia" w:hAnsiTheme="minorHAnsi" w:cstheme="minorBidi"/>
        </w:rPr>
        <w:t xml:space="preserve"> There has been an on-going armed conflict between TPNPB </w:t>
      </w:r>
      <w:r w:rsidR="755F7E77" w:rsidRPr="752B12BD">
        <w:rPr>
          <w:rFonts w:asciiTheme="minorHAnsi" w:eastAsiaTheme="minorEastAsia" w:hAnsiTheme="minorHAnsi" w:cstheme="minorBidi"/>
        </w:rPr>
        <w:t>and</w:t>
      </w:r>
      <w:r w:rsidR="003E3ECF" w:rsidRPr="752B12BD">
        <w:rPr>
          <w:rFonts w:asciiTheme="minorHAnsi" w:eastAsiaTheme="minorEastAsia" w:hAnsiTheme="minorHAnsi" w:cstheme="minorBidi"/>
        </w:rPr>
        <w:t xml:space="preserve"> the Indonesian Security Forces. </w:t>
      </w:r>
    </w:p>
    <w:p w14:paraId="1BB5DC61" w14:textId="77777777" w:rsidR="006C3BB8" w:rsidRPr="0048767C" w:rsidRDefault="006C3BB8" w:rsidP="006C3BB8">
      <w:pPr>
        <w:pStyle w:val="ListParagraph"/>
        <w:rPr>
          <w:rFonts w:asciiTheme="minorHAnsi" w:eastAsiaTheme="minorHAnsi" w:hAnsiTheme="minorHAnsi" w:cstheme="minorBidi"/>
        </w:rPr>
      </w:pPr>
    </w:p>
    <w:p w14:paraId="3F8839CA" w14:textId="24B68F20" w:rsidR="00D32FF1" w:rsidRPr="0048767C" w:rsidRDefault="000D4CC9" w:rsidP="000C07F8">
      <w:pPr>
        <w:pStyle w:val="ListParagraph"/>
        <w:numPr>
          <w:ilvl w:val="0"/>
          <w:numId w:val="6"/>
        </w:numPr>
        <w:rPr>
          <w:rFonts w:asciiTheme="minorHAnsi" w:eastAsiaTheme="minorEastAsia" w:hAnsiTheme="minorHAnsi" w:cstheme="minorBidi"/>
        </w:rPr>
      </w:pPr>
      <w:r w:rsidRPr="752B12BD">
        <w:rPr>
          <w:rFonts w:asciiTheme="minorHAnsi" w:eastAsiaTheme="minorEastAsia" w:hAnsiTheme="minorHAnsi" w:cstheme="minorBidi"/>
        </w:rPr>
        <w:t>Since the inclusion of West Papua</w:t>
      </w:r>
      <w:r w:rsidR="00045DF2" w:rsidRPr="752B12BD">
        <w:rPr>
          <w:rFonts w:asciiTheme="minorHAnsi" w:eastAsiaTheme="minorEastAsia" w:hAnsiTheme="minorHAnsi" w:cstheme="minorBidi"/>
        </w:rPr>
        <w:t xml:space="preserve"> </w:t>
      </w:r>
      <w:r w:rsidR="25D950E9" w:rsidRPr="752B12BD">
        <w:rPr>
          <w:rFonts w:asciiTheme="minorHAnsi" w:eastAsiaTheme="minorEastAsia" w:hAnsiTheme="minorHAnsi" w:cstheme="minorBidi"/>
        </w:rPr>
        <w:t>in</w:t>
      </w:r>
      <w:r w:rsidR="00045DF2" w:rsidRPr="752B12BD">
        <w:rPr>
          <w:rFonts w:asciiTheme="minorHAnsi" w:eastAsiaTheme="minorEastAsia" w:hAnsiTheme="minorHAnsi" w:cstheme="minorBidi"/>
        </w:rPr>
        <w:t xml:space="preserve"> Indonesia, there ha</w:t>
      </w:r>
      <w:r w:rsidR="5278BD37" w:rsidRPr="752B12BD">
        <w:rPr>
          <w:rFonts w:asciiTheme="minorHAnsi" w:eastAsiaTheme="minorEastAsia" w:hAnsiTheme="minorHAnsi" w:cstheme="minorBidi"/>
        </w:rPr>
        <w:t>ve</w:t>
      </w:r>
      <w:r w:rsidR="00045DF2" w:rsidRPr="752B12BD">
        <w:rPr>
          <w:rFonts w:asciiTheme="minorHAnsi" w:eastAsiaTheme="minorEastAsia" w:hAnsiTheme="minorHAnsi" w:cstheme="minorBidi"/>
        </w:rPr>
        <w:t xml:space="preserve"> been concerns </w:t>
      </w:r>
      <w:r w:rsidR="00A3FD00" w:rsidRPr="752B12BD">
        <w:rPr>
          <w:rFonts w:asciiTheme="minorHAnsi" w:eastAsiaTheme="minorEastAsia" w:hAnsiTheme="minorHAnsi" w:cstheme="minorBidi"/>
        </w:rPr>
        <w:t>about</w:t>
      </w:r>
      <w:r w:rsidR="00045DF2" w:rsidRPr="752B12BD">
        <w:rPr>
          <w:rFonts w:asciiTheme="minorHAnsi" w:eastAsiaTheme="minorEastAsia" w:hAnsiTheme="minorHAnsi" w:cstheme="minorBidi"/>
        </w:rPr>
        <w:t xml:space="preserve"> human rights violation</w:t>
      </w:r>
      <w:r w:rsidR="23EE705C" w:rsidRPr="752B12BD">
        <w:rPr>
          <w:rFonts w:asciiTheme="minorHAnsi" w:eastAsiaTheme="minorEastAsia" w:hAnsiTheme="minorHAnsi" w:cstheme="minorBidi"/>
        </w:rPr>
        <w:t>s</w:t>
      </w:r>
      <w:r w:rsidR="00045DF2" w:rsidRPr="752B12BD">
        <w:rPr>
          <w:rFonts w:asciiTheme="minorHAnsi" w:eastAsiaTheme="minorEastAsia" w:hAnsiTheme="minorHAnsi" w:cstheme="minorBidi"/>
        </w:rPr>
        <w:t xml:space="preserve"> in the region, </w:t>
      </w:r>
      <w:r w:rsidR="00EC3D85" w:rsidRPr="752B12BD">
        <w:rPr>
          <w:rFonts w:asciiTheme="minorHAnsi" w:eastAsiaTheme="minorEastAsia" w:hAnsiTheme="minorHAnsi" w:cstheme="minorBidi"/>
        </w:rPr>
        <w:t xml:space="preserve">in particular </w:t>
      </w:r>
      <w:r w:rsidR="340463A9" w:rsidRPr="752B12BD">
        <w:rPr>
          <w:rFonts w:asciiTheme="minorHAnsi" w:eastAsiaTheme="minorEastAsia" w:hAnsiTheme="minorHAnsi" w:cstheme="minorBidi"/>
        </w:rPr>
        <w:t>affecting</w:t>
      </w:r>
      <w:r w:rsidR="00EC3D85" w:rsidRPr="752B12BD">
        <w:rPr>
          <w:rFonts w:asciiTheme="minorHAnsi" w:eastAsiaTheme="minorEastAsia" w:hAnsiTheme="minorHAnsi" w:cstheme="minorBidi"/>
        </w:rPr>
        <w:t xml:space="preserve"> the indigenous Papuan population. </w:t>
      </w:r>
      <w:r w:rsidR="00695DF1" w:rsidRPr="752B12BD">
        <w:rPr>
          <w:rFonts w:asciiTheme="minorHAnsi" w:eastAsiaTheme="minorEastAsia" w:hAnsiTheme="minorHAnsi" w:cstheme="minorBidi"/>
        </w:rPr>
        <w:t>The violation</w:t>
      </w:r>
      <w:r w:rsidR="2ADF12D8" w:rsidRPr="752B12BD">
        <w:rPr>
          <w:rFonts w:asciiTheme="minorHAnsi" w:eastAsiaTheme="minorEastAsia" w:hAnsiTheme="minorHAnsi" w:cstheme="minorBidi"/>
        </w:rPr>
        <w:t>s</w:t>
      </w:r>
      <w:r w:rsidR="00695DF1" w:rsidRPr="752B12BD">
        <w:rPr>
          <w:rFonts w:asciiTheme="minorHAnsi" w:eastAsiaTheme="minorEastAsia" w:hAnsiTheme="minorHAnsi" w:cstheme="minorBidi"/>
        </w:rPr>
        <w:t xml:space="preserve"> include </w:t>
      </w:r>
      <w:r w:rsidR="00986097" w:rsidRPr="752B12BD">
        <w:rPr>
          <w:rFonts w:asciiTheme="minorHAnsi" w:eastAsiaTheme="minorEastAsia" w:hAnsiTheme="minorHAnsi" w:cstheme="minorBidi"/>
        </w:rPr>
        <w:t xml:space="preserve">not only </w:t>
      </w:r>
      <w:r w:rsidR="00695DF1" w:rsidRPr="752B12BD">
        <w:rPr>
          <w:rFonts w:asciiTheme="minorHAnsi" w:eastAsiaTheme="minorEastAsia" w:hAnsiTheme="minorHAnsi" w:cstheme="minorBidi"/>
        </w:rPr>
        <w:t>cases of ar</w:t>
      </w:r>
      <w:r w:rsidR="00C43168" w:rsidRPr="752B12BD">
        <w:rPr>
          <w:rFonts w:asciiTheme="minorHAnsi" w:eastAsiaTheme="minorEastAsia" w:hAnsiTheme="minorHAnsi" w:cstheme="minorBidi"/>
        </w:rPr>
        <w:t xml:space="preserve">bitrary detentions, torture, </w:t>
      </w:r>
      <w:r w:rsidR="00695DF1" w:rsidRPr="752B12BD">
        <w:rPr>
          <w:rFonts w:asciiTheme="minorHAnsi" w:eastAsiaTheme="minorEastAsia" w:hAnsiTheme="minorHAnsi" w:cstheme="minorBidi"/>
        </w:rPr>
        <w:t xml:space="preserve">extrajudicial </w:t>
      </w:r>
      <w:r w:rsidR="00986097" w:rsidRPr="752B12BD">
        <w:rPr>
          <w:rFonts w:asciiTheme="minorHAnsi" w:eastAsiaTheme="minorEastAsia" w:hAnsiTheme="minorHAnsi" w:cstheme="minorBidi"/>
        </w:rPr>
        <w:t xml:space="preserve">killings, but also </w:t>
      </w:r>
      <w:r w:rsidR="6645270A" w:rsidRPr="752B12BD">
        <w:rPr>
          <w:rFonts w:asciiTheme="minorHAnsi" w:eastAsiaTheme="minorEastAsia" w:hAnsiTheme="minorHAnsi" w:cstheme="minorBidi"/>
        </w:rPr>
        <w:t>undue restrictions on</w:t>
      </w:r>
      <w:r w:rsidR="00986097" w:rsidRPr="752B12BD">
        <w:rPr>
          <w:rFonts w:asciiTheme="minorHAnsi" w:eastAsiaTheme="minorEastAsia" w:hAnsiTheme="minorHAnsi" w:cstheme="minorBidi"/>
        </w:rPr>
        <w:t xml:space="preserve"> freedom of expression and peaceful assembly.</w:t>
      </w:r>
      <w:r w:rsidR="00161956" w:rsidRPr="752B12BD">
        <w:rPr>
          <w:rFonts w:asciiTheme="minorHAnsi" w:eastAsiaTheme="minorEastAsia" w:hAnsiTheme="minorHAnsi" w:cstheme="minorBidi"/>
        </w:rPr>
        <w:t xml:space="preserve"> </w:t>
      </w:r>
      <w:r w:rsidR="00D344C0" w:rsidRPr="752B12BD">
        <w:rPr>
          <w:rFonts w:asciiTheme="minorHAnsi" w:eastAsiaTheme="minorEastAsia" w:hAnsiTheme="minorHAnsi" w:cstheme="minorBidi"/>
        </w:rPr>
        <w:t xml:space="preserve">In addition, development </w:t>
      </w:r>
      <w:r w:rsidR="00F077CA" w:rsidRPr="752B12BD">
        <w:rPr>
          <w:rFonts w:asciiTheme="minorHAnsi" w:eastAsiaTheme="minorEastAsia" w:hAnsiTheme="minorHAnsi" w:cstheme="minorBidi"/>
        </w:rPr>
        <w:t xml:space="preserve">projects </w:t>
      </w:r>
      <w:r w:rsidR="00743F96" w:rsidRPr="752B12BD">
        <w:rPr>
          <w:rFonts w:asciiTheme="minorHAnsi" w:eastAsiaTheme="minorEastAsia" w:hAnsiTheme="minorHAnsi" w:cstheme="minorBidi"/>
        </w:rPr>
        <w:t>of the</w:t>
      </w:r>
      <w:r w:rsidR="004814C5" w:rsidRPr="752B12BD">
        <w:rPr>
          <w:rFonts w:asciiTheme="minorHAnsi" w:eastAsiaTheme="minorEastAsia" w:hAnsiTheme="minorHAnsi" w:cstheme="minorBidi"/>
        </w:rPr>
        <w:t xml:space="preserve"> Indonesian government </w:t>
      </w:r>
      <w:r w:rsidR="003A359D" w:rsidRPr="752B12BD">
        <w:rPr>
          <w:rFonts w:asciiTheme="minorHAnsi" w:eastAsiaTheme="minorEastAsia" w:hAnsiTheme="minorHAnsi" w:cstheme="minorBidi"/>
        </w:rPr>
        <w:t xml:space="preserve">in West Papua </w:t>
      </w:r>
      <w:r w:rsidR="00743F96" w:rsidRPr="752B12BD">
        <w:rPr>
          <w:rFonts w:asciiTheme="minorHAnsi" w:eastAsiaTheme="minorEastAsia" w:hAnsiTheme="minorHAnsi" w:cstheme="minorBidi"/>
        </w:rPr>
        <w:t>are</w:t>
      </w:r>
      <w:r w:rsidR="0077576E" w:rsidRPr="752B12BD">
        <w:rPr>
          <w:rFonts w:asciiTheme="minorHAnsi" w:eastAsiaTheme="minorEastAsia" w:hAnsiTheme="minorHAnsi" w:cstheme="minorBidi"/>
        </w:rPr>
        <w:t xml:space="preserve"> considered </w:t>
      </w:r>
      <w:r w:rsidR="02159205" w:rsidRPr="752B12BD">
        <w:rPr>
          <w:rFonts w:asciiTheme="minorHAnsi" w:eastAsiaTheme="minorEastAsia" w:hAnsiTheme="minorHAnsi" w:cstheme="minorBidi"/>
        </w:rPr>
        <w:t>by many indigenous Papuans</w:t>
      </w:r>
      <w:r w:rsidR="0077576E" w:rsidRPr="752B12BD">
        <w:rPr>
          <w:rFonts w:asciiTheme="minorHAnsi" w:eastAsiaTheme="minorEastAsia" w:hAnsiTheme="minorHAnsi" w:cstheme="minorBidi"/>
        </w:rPr>
        <w:t xml:space="preserve"> to bring benefits </w:t>
      </w:r>
      <w:r w:rsidR="65AB1F6F" w:rsidRPr="752B12BD">
        <w:rPr>
          <w:rFonts w:asciiTheme="minorHAnsi" w:eastAsiaTheme="minorEastAsia" w:hAnsiTheme="minorHAnsi" w:cstheme="minorBidi"/>
        </w:rPr>
        <w:t>only to</w:t>
      </w:r>
      <w:r w:rsidR="0077576E" w:rsidRPr="752B12BD">
        <w:rPr>
          <w:rFonts w:asciiTheme="minorHAnsi" w:eastAsiaTheme="minorEastAsia" w:hAnsiTheme="minorHAnsi" w:cstheme="minorBidi"/>
        </w:rPr>
        <w:t xml:space="preserve"> the non-Papuans who</w:t>
      </w:r>
      <w:r w:rsidR="004814C5" w:rsidRPr="752B12BD">
        <w:rPr>
          <w:rFonts w:asciiTheme="minorHAnsi" w:eastAsiaTheme="minorEastAsia" w:hAnsiTheme="minorHAnsi" w:cstheme="minorBidi"/>
        </w:rPr>
        <w:t xml:space="preserve"> now constitute the majority of the </w:t>
      </w:r>
      <w:r w:rsidR="00CC242F" w:rsidRPr="752B12BD">
        <w:rPr>
          <w:rFonts w:asciiTheme="minorHAnsi" w:eastAsiaTheme="minorEastAsia" w:hAnsiTheme="minorHAnsi" w:cstheme="minorBidi"/>
        </w:rPr>
        <w:t xml:space="preserve">population in </w:t>
      </w:r>
      <w:r w:rsidR="004814C5" w:rsidRPr="752B12BD">
        <w:rPr>
          <w:rFonts w:asciiTheme="minorHAnsi" w:eastAsiaTheme="minorEastAsia" w:hAnsiTheme="minorHAnsi" w:cstheme="minorBidi"/>
        </w:rPr>
        <w:t>West Papua</w:t>
      </w:r>
      <w:r w:rsidR="003A359D" w:rsidRPr="752B12BD">
        <w:rPr>
          <w:rFonts w:asciiTheme="minorHAnsi" w:eastAsiaTheme="minorEastAsia" w:hAnsiTheme="minorHAnsi" w:cstheme="minorBidi"/>
        </w:rPr>
        <w:t xml:space="preserve">, creating </w:t>
      </w:r>
      <w:r w:rsidR="00CC242F" w:rsidRPr="752B12BD">
        <w:rPr>
          <w:rFonts w:asciiTheme="minorHAnsi" w:eastAsiaTheme="minorEastAsia" w:hAnsiTheme="minorHAnsi" w:cstheme="minorBidi"/>
        </w:rPr>
        <w:t xml:space="preserve">a </w:t>
      </w:r>
      <w:r w:rsidR="003A359D" w:rsidRPr="752B12BD">
        <w:rPr>
          <w:rFonts w:asciiTheme="minorHAnsi" w:eastAsiaTheme="minorEastAsia" w:hAnsiTheme="minorHAnsi" w:cstheme="minorBidi"/>
        </w:rPr>
        <w:t xml:space="preserve">deeper gap </w:t>
      </w:r>
      <w:r w:rsidR="0C56BD44" w:rsidRPr="752B12BD">
        <w:rPr>
          <w:rFonts w:asciiTheme="minorHAnsi" w:eastAsiaTheme="minorEastAsia" w:hAnsiTheme="minorHAnsi" w:cstheme="minorBidi"/>
        </w:rPr>
        <w:t>and tensions</w:t>
      </w:r>
      <w:r w:rsidR="003A359D" w:rsidRPr="752B12BD">
        <w:rPr>
          <w:rFonts w:asciiTheme="minorHAnsi" w:eastAsiaTheme="minorEastAsia" w:hAnsiTheme="minorHAnsi" w:cstheme="minorBidi"/>
        </w:rPr>
        <w:t xml:space="preserve"> between </w:t>
      </w:r>
      <w:r w:rsidR="00CC242F" w:rsidRPr="752B12BD">
        <w:rPr>
          <w:rFonts w:asciiTheme="minorHAnsi" w:eastAsiaTheme="minorEastAsia" w:hAnsiTheme="minorHAnsi" w:cstheme="minorBidi"/>
        </w:rPr>
        <w:t xml:space="preserve">the </w:t>
      </w:r>
      <w:r w:rsidR="003A359D" w:rsidRPr="752B12BD">
        <w:rPr>
          <w:rFonts w:asciiTheme="minorHAnsi" w:eastAsiaTheme="minorEastAsia" w:hAnsiTheme="minorHAnsi" w:cstheme="minorBidi"/>
        </w:rPr>
        <w:t xml:space="preserve">indigenous Papuans and </w:t>
      </w:r>
      <w:r w:rsidR="00CE5CDD">
        <w:rPr>
          <w:rFonts w:asciiTheme="minorHAnsi" w:eastAsiaTheme="minorEastAsia" w:hAnsiTheme="minorHAnsi" w:cstheme="minorBidi"/>
        </w:rPr>
        <w:t>non-Papuans</w:t>
      </w:r>
      <w:r w:rsidR="004814C5" w:rsidRPr="752B12BD">
        <w:rPr>
          <w:rFonts w:asciiTheme="minorHAnsi" w:eastAsiaTheme="minorEastAsia" w:hAnsiTheme="minorHAnsi" w:cstheme="minorBidi"/>
        </w:rPr>
        <w:t xml:space="preserve">. </w:t>
      </w:r>
    </w:p>
    <w:p w14:paraId="57DDEEBB" w14:textId="77777777" w:rsidR="00482BD4" w:rsidRPr="0048767C" w:rsidRDefault="00482BD4" w:rsidP="00482BD4">
      <w:pPr>
        <w:pStyle w:val="ListParagraph"/>
        <w:rPr>
          <w:rFonts w:asciiTheme="minorHAnsi" w:eastAsiaTheme="minorHAnsi" w:hAnsiTheme="minorHAnsi" w:cstheme="minorBidi"/>
        </w:rPr>
      </w:pPr>
    </w:p>
    <w:p w14:paraId="6EE09566" w14:textId="63ABB0EB" w:rsidR="003D2EB2" w:rsidRPr="0048767C" w:rsidRDefault="003D2EB2" w:rsidP="003D2EB2">
      <w:pPr>
        <w:pStyle w:val="ListParagraph"/>
        <w:numPr>
          <w:ilvl w:val="0"/>
          <w:numId w:val="6"/>
        </w:numPr>
        <w:rPr>
          <w:rFonts w:asciiTheme="minorHAnsi" w:eastAsiaTheme="minorEastAsia" w:hAnsiTheme="minorHAnsi" w:cstheme="minorBidi"/>
        </w:rPr>
      </w:pPr>
      <w:r w:rsidRPr="752B12BD">
        <w:rPr>
          <w:rFonts w:asciiTheme="minorHAnsi" w:eastAsiaTheme="minorEastAsia" w:hAnsiTheme="minorHAnsi" w:cstheme="minorBidi"/>
        </w:rPr>
        <w:t>According to the Indonesian State Institute of Sciences (</w:t>
      </w:r>
      <w:r w:rsidRPr="752B12BD">
        <w:rPr>
          <w:rFonts w:asciiTheme="minorHAnsi" w:eastAsiaTheme="minorEastAsia" w:hAnsiTheme="minorHAnsi" w:cstheme="minorBidi"/>
          <w:i/>
        </w:rPr>
        <w:t>LIPI</w:t>
      </w:r>
      <w:r w:rsidR="00A50600" w:rsidRPr="752B12BD">
        <w:rPr>
          <w:rFonts w:asciiTheme="minorHAnsi" w:eastAsiaTheme="minorEastAsia" w:hAnsiTheme="minorHAnsi" w:cstheme="minorBidi"/>
          <w:i/>
        </w:rPr>
        <w:t xml:space="preserve"> – Lembaga </w:t>
      </w:r>
      <w:proofErr w:type="spellStart"/>
      <w:r w:rsidR="00A50600" w:rsidRPr="752B12BD">
        <w:rPr>
          <w:rFonts w:asciiTheme="minorHAnsi" w:eastAsiaTheme="minorEastAsia" w:hAnsiTheme="minorHAnsi" w:cstheme="minorBidi"/>
          <w:i/>
        </w:rPr>
        <w:t>Ilmu</w:t>
      </w:r>
      <w:proofErr w:type="spellEnd"/>
      <w:r w:rsidR="00A50600" w:rsidRPr="752B12BD">
        <w:rPr>
          <w:rFonts w:asciiTheme="minorHAnsi" w:eastAsiaTheme="minorEastAsia" w:hAnsiTheme="minorHAnsi" w:cstheme="minorBidi"/>
          <w:i/>
        </w:rPr>
        <w:t xml:space="preserve"> </w:t>
      </w:r>
      <w:proofErr w:type="spellStart"/>
      <w:r w:rsidR="00A50600" w:rsidRPr="752B12BD">
        <w:rPr>
          <w:rFonts w:asciiTheme="minorHAnsi" w:eastAsiaTheme="minorEastAsia" w:hAnsiTheme="minorHAnsi" w:cstheme="minorBidi"/>
          <w:i/>
        </w:rPr>
        <w:t>Pengetahuan</w:t>
      </w:r>
      <w:proofErr w:type="spellEnd"/>
      <w:r w:rsidR="00A50600" w:rsidRPr="752B12BD">
        <w:rPr>
          <w:rFonts w:asciiTheme="minorHAnsi" w:eastAsiaTheme="minorEastAsia" w:hAnsiTheme="minorHAnsi" w:cstheme="minorBidi"/>
          <w:i/>
        </w:rPr>
        <w:t xml:space="preserve"> Indonesia</w:t>
      </w:r>
      <w:r w:rsidRPr="752B12BD">
        <w:rPr>
          <w:rFonts w:asciiTheme="minorHAnsi" w:eastAsiaTheme="minorEastAsia" w:hAnsiTheme="minorHAnsi" w:cstheme="minorBidi"/>
        </w:rPr>
        <w:t>)</w:t>
      </w:r>
      <w:r w:rsidR="48A9D5A8" w:rsidRPr="752B12BD">
        <w:rPr>
          <w:rFonts w:asciiTheme="minorHAnsi" w:eastAsiaTheme="minorEastAsia" w:hAnsiTheme="minorHAnsi" w:cstheme="minorBidi"/>
        </w:rPr>
        <w:t>,</w:t>
      </w:r>
      <w:r w:rsidRPr="752B12BD">
        <w:rPr>
          <w:rFonts w:asciiTheme="minorHAnsi" w:eastAsiaTheme="minorEastAsia" w:hAnsiTheme="minorHAnsi" w:cstheme="minorBidi"/>
        </w:rPr>
        <w:t xml:space="preserve"> </w:t>
      </w:r>
      <w:r w:rsidR="44443397" w:rsidRPr="752B12BD">
        <w:rPr>
          <w:rFonts w:asciiTheme="minorHAnsi" w:eastAsiaTheme="minorEastAsia" w:hAnsiTheme="minorHAnsi" w:cstheme="minorBidi"/>
        </w:rPr>
        <w:t>the</w:t>
      </w:r>
      <w:r w:rsidRPr="752B12BD">
        <w:rPr>
          <w:rFonts w:asciiTheme="minorHAnsi" w:eastAsiaTheme="minorEastAsia" w:hAnsiTheme="minorHAnsi" w:cstheme="minorBidi"/>
        </w:rPr>
        <w:t xml:space="preserve"> main sources of the conflict in West Papua are different interpretations of the West Papuan political status in terms of integration into Indonesia, ongoing human rights violations with impunity, the failure of development </w:t>
      </w:r>
      <w:r w:rsidR="007E5A4E">
        <w:rPr>
          <w:rFonts w:asciiTheme="minorHAnsi" w:eastAsiaTheme="minorEastAsia" w:hAnsiTheme="minorHAnsi" w:cstheme="minorBidi"/>
        </w:rPr>
        <w:t xml:space="preserve">policies </w:t>
      </w:r>
      <w:r w:rsidRPr="752B12BD">
        <w:rPr>
          <w:rFonts w:asciiTheme="minorHAnsi" w:eastAsiaTheme="minorEastAsia" w:hAnsiTheme="minorHAnsi" w:cstheme="minorBidi"/>
        </w:rPr>
        <w:t>in the region</w:t>
      </w:r>
      <w:r w:rsidR="00F44B7B">
        <w:rPr>
          <w:rFonts w:asciiTheme="minorHAnsi" w:eastAsiaTheme="minorEastAsia" w:hAnsiTheme="minorHAnsi" w:cstheme="minorBidi"/>
        </w:rPr>
        <w:t xml:space="preserve"> – which have been considered as bringing </w:t>
      </w:r>
      <w:r w:rsidR="004D5D6F" w:rsidRPr="004D5D6F">
        <w:rPr>
          <w:rFonts w:asciiTheme="minorHAnsi" w:eastAsiaTheme="minorEastAsia" w:hAnsiTheme="minorHAnsi" w:cstheme="minorBidi"/>
        </w:rPr>
        <w:t>the unequal benefits of development efforts among the population in the region</w:t>
      </w:r>
      <w:r w:rsidR="004D5D6F" w:rsidRPr="004D5D6F" w:rsidDel="004D5D6F">
        <w:rPr>
          <w:rFonts w:asciiTheme="minorHAnsi" w:eastAsiaTheme="minorEastAsia" w:hAnsiTheme="minorHAnsi" w:cstheme="minorBidi"/>
        </w:rPr>
        <w:t xml:space="preserve"> </w:t>
      </w:r>
      <w:r w:rsidR="00DF13AD">
        <w:rPr>
          <w:rFonts w:asciiTheme="minorHAnsi" w:eastAsiaTheme="minorEastAsia" w:hAnsiTheme="minorHAnsi" w:cstheme="minorBidi"/>
        </w:rPr>
        <w:t xml:space="preserve">, leading </w:t>
      </w:r>
      <w:r w:rsidR="00F44B7B">
        <w:rPr>
          <w:rFonts w:asciiTheme="minorHAnsi" w:eastAsiaTheme="minorEastAsia" w:hAnsiTheme="minorHAnsi" w:cstheme="minorBidi"/>
        </w:rPr>
        <w:t xml:space="preserve">to </w:t>
      </w:r>
      <w:r w:rsidRPr="752B12BD">
        <w:rPr>
          <w:rFonts w:asciiTheme="minorHAnsi" w:eastAsiaTheme="minorEastAsia" w:hAnsiTheme="minorHAnsi" w:cstheme="minorBidi"/>
        </w:rPr>
        <w:t>the marginalization and discrimination of indigenous Papuans.</w:t>
      </w:r>
      <w:r w:rsidR="00D916E9" w:rsidRPr="752B12BD">
        <w:rPr>
          <w:rStyle w:val="FootnoteReference"/>
          <w:rFonts w:asciiTheme="minorHAnsi" w:eastAsiaTheme="minorEastAsia" w:hAnsiTheme="minorHAnsi" w:cstheme="minorBidi"/>
        </w:rPr>
        <w:footnoteReference w:id="10"/>
      </w:r>
      <w:r w:rsidRPr="752B12BD">
        <w:rPr>
          <w:rFonts w:asciiTheme="minorHAnsi" w:eastAsiaTheme="minorEastAsia" w:hAnsiTheme="minorHAnsi" w:cstheme="minorBidi"/>
        </w:rPr>
        <w:t xml:space="preserve">  The </w:t>
      </w:r>
      <w:proofErr w:type="spellStart"/>
      <w:r w:rsidR="00BD2FDA" w:rsidRPr="752B12BD">
        <w:rPr>
          <w:rFonts w:asciiTheme="minorHAnsi" w:eastAsiaTheme="minorEastAsia" w:hAnsiTheme="minorHAnsi" w:cstheme="minorBidi"/>
        </w:rPr>
        <w:t>GoI</w:t>
      </w:r>
      <w:proofErr w:type="spellEnd"/>
      <w:r w:rsidR="00BD2FDA" w:rsidRPr="752B12BD">
        <w:rPr>
          <w:rFonts w:asciiTheme="minorHAnsi" w:eastAsiaTheme="minorEastAsia" w:hAnsiTheme="minorHAnsi" w:cstheme="minorBidi"/>
        </w:rPr>
        <w:t xml:space="preserve"> </w:t>
      </w:r>
      <w:r w:rsidRPr="752B12BD">
        <w:rPr>
          <w:rFonts w:asciiTheme="minorHAnsi" w:eastAsiaTheme="minorEastAsia" w:hAnsiTheme="minorHAnsi" w:cstheme="minorBidi"/>
        </w:rPr>
        <w:t xml:space="preserve">grants very limited access to West Papua </w:t>
      </w:r>
      <w:r w:rsidR="2E81EEA1" w:rsidRPr="752B12BD">
        <w:rPr>
          <w:rFonts w:asciiTheme="minorHAnsi" w:eastAsiaTheme="minorEastAsia" w:hAnsiTheme="minorHAnsi" w:cstheme="minorBidi"/>
        </w:rPr>
        <w:t>to</w:t>
      </w:r>
      <w:r w:rsidRPr="752B12BD">
        <w:rPr>
          <w:rFonts w:asciiTheme="minorHAnsi" w:eastAsiaTheme="minorEastAsia" w:hAnsiTheme="minorHAnsi" w:cstheme="minorBidi"/>
        </w:rPr>
        <w:t xml:space="preserve"> international human rights observers and has shown little tolerance for freedom of expression.</w:t>
      </w:r>
    </w:p>
    <w:p w14:paraId="50226BE1" w14:textId="77777777" w:rsidR="003D2EB2" w:rsidRPr="0048767C" w:rsidRDefault="003D2EB2" w:rsidP="003D2EB2">
      <w:pPr>
        <w:spacing w:after="0" w:line="240" w:lineRule="auto"/>
        <w:ind w:left="720"/>
      </w:pPr>
    </w:p>
    <w:p w14:paraId="0C3CC605" w14:textId="6B65EA23" w:rsidR="00A9267F" w:rsidRDefault="00A96229" w:rsidP="00AC7B34">
      <w:pPr>
        <w:numPr>
          <w:ilvl w:val="0"/>
          <w:numId w:val="6"/>
        </w:numPr>
        <w:spacing w:after="0" w:line="240" w:lineRule="auto"/>
        <w:rPr>
          <w:rFonts w:ascii="Calibri" w:eastAsia="Calibri" w:hAnsi="Calibri" w:cs="Calibri"/>
        </w:rPr>
      </w:pPr>
      <w:r w:rsidRPr="0048767C">
        <w:rPr>
          <w:rFonts w:ascii="Calibri" w:eastAsia="Calibri" w:hAnsi="Calibri" w:cs="Calibri"/>
        </w:rPr>
        <w:lastRenderedPageBreak/>
        <w:t xml:space="preserve">In 2001, the </w:t>
      </w:r>
      <w:proofErr w:type="spellStart"/>
      <w:r w:rsidRPr="0048767C">
        <w:rPr>
          <w:rFonts w:ascii="Calibri" w:eastAsia="Calibri" w:hAnsi="Calibri" w:cs="Calibri"/>
        </w:rPr>
        <w:t>GoI</w:t>
      </w:r>
      <w:proofErr w:type="spellEnd"/>
      <w:r w:rsidRPr="0048767C">
        <w:rPr>
          <w:rFonts w:ascii="Calibri" w:eastAsia="Calibri" w:hAnsi="Calibri" w:cs="Calibri"/>
        </w:rPr>
        <w:t xml:space="preserve"> adopted </w:t>
      </w:r>
      <w:r w:rsidRPr="0048767C">
        <w:t>Law of the Republic of Indonesia No. 21 Year 2001</w:t>
      </w:r>
      <w:r w:rsidR="00404BDA" w:rsidRPr="0048767C">
        <w:t xml:space="preserve"> o</w:t>
      </w:r>
      <w:r w:rsidRPr="0048767C">
        <w:t>n Special Autonomy for the Papua</w:t>
      </w:r>
      <w:r w:rsidR="00936201" w:rsidRPr="0048767C">
        <w:t xml:space="preserve"> Province</w:t>
      </w:r>
      <w:r w:rsidR="00E75750">
        <w:t xml:space="preserve"> </w:t>
      </w:r>
      <w:r w:rsidR="00E75750" w:rsidRPr="0048767C">
        <w:rPr>
          <w:rFonts w:ascii="Calibri" w:eastAsia="Calibri" w:hAnsi="Calibri" w:cs="Calibri"/>
        </w:rPr>
        <w:t>(</w:t>
      </w:r>
      <w:r w:rsidR="00E75750" w:rsidRPr="0048767C">
        <w:rPr>
          <w:rFonts w:ascii="Calibri" w:eastAsia="Calibri" w:hAnsi="Calibri" w:cs="Calibri"/>
          <w:i/>
          <w:iCs/>
        </w:rPr>
        <w:t>OTSUS Law for Papua</w:t>
      </w:r>
      <w:r w:rsidR="00E75750" w:rsidRPr="0048767C">
        <w:rPr>
          <w:rFonts w:ascii="Calibri" w:eastAsia="Calibri" w:hAnsi="Calibri" w:cs="Calibri"/>
        </w:rPr>
        <w:t>)</w:t>
      </w:r>
      <w:r w:rsidR="00CF1D41" w:rsidRPr="0048767C">
        <w:t>,</w:t>
      </w:r>
      <w:r w:rsidR="00AC7B34" w:rsidRPr="0048767C">
        <w:rPr>
          <w:rFonts w:ascii="Calibri" w:eastAsia="Calibri" w:hAnsi="Calibri" w:cs="Calibri"/>
          <w:vertAlign w:val="superscript"/>
        </w:rPr>
        <w:footnoteReference w:id="11"/>
      </w:r>
      <w:r w:rsidR="00AC7B34" w:rsidRPr="0048767C">
        <w:rPr>
          <w:rFonts w:ascii="Calibri" w:eastAsia="Calibri" w:hAnsi="Calibri" w:cs="Calibri"/>
        </w:rPr>
        <w:t xml:space="preserve"> </w:t>
      </w:r>
      <w:r w:rsidR="00CF1D41" w:rsidRPr="0048767C">
        <w:rPr>
          <w:rFonts w:ascii="Calibri" w:eastAsia="Calibri" w:hAnsi="Calibri" w:cs="Calibri"/>
        </w:rPr>
        <w:t>which is applicable to Papua and Papua Barat Provinces.</w:t>
      </w:r>
      <w:r w:rsidR="006F0AEB" w:rsidRPr="0048767C">
        <w:rPr>
          <w:rStyle w:val="FootnoteReference"/>
          <w:rFonts w:ascii="Calibri" w:eastAsia="Calibri" w:hAnsi="Calibri" w:cs="Calibri"/>
        </w:rPr>
        <w:footnoteReference w:id="12"/>
      </w:r>
      <w:r w:rsidR="00CF1D41" w:rsidRPr="0048767C">
        <w:rPr>
          <w:rFonts w:ascii="Calibri" w:eastAsia="Calibri" w:hAnsi="Calibri" w:cs="Calibri"/>
        </w:rPr>
        <w:t xml:space="preserve"> </w:t>
      </w:r>
      <w:r w:rsidR="00B661A7">
        <w:rPr>
          <w:rFonts w:ascii="Calibri" w:eastAsia="Calibri" w:hAnsi="Calibri" w:cs="Calibri"/>
        </w:rPr>
        <w:t xml:space="preserve">In its considerations, </w:t>
      </w:r>
      <w:r w:rsidR="00CB2997" w:rsidRPr="00FF5567">
        <w:rPr>
          <w:rFonts w:ascii="Calibri" w:eastAsia="Calibri" w:hAnsi="Calibri" w:cs="Calibri"/>
          <w:i/>
          <w:iCs/>
        </w:rPr>
        <w:t>OTSUS Law for Papua</w:t>
      </w:r>
      <w:r w:rsidR="00CB2997">
        <w:rPr>
          <w:rFonts w:ascii="Calibri" w:eastAsia="Calibri" w:hAnsi="Calibri" w:cs="Calibri"/>
        </w:rPr>
        <w:t xml:space="preserve"> stipulate</w:t>
      </w:r>
      <w:r w:rsidR="00AB7D42">
        <w:rPr>
          <w:rFonts w:ascii="Calibri" w:eastAsia="Calibri" w:hAnsi="Calibri" w:cs="Calibri"/>
        </w:rPr>
        <w:t>s</w:t>
      </w:r>
      <w:r w:rsidR="00CB2997">
        <w:rPr>
          <w:rFonts w:ascii="Calibri" w:eastAsia="Calibri" w:hAnsi="Calibri" w:cs="Calibri"/>
        </w:rPr>
        <w:t xml:space="preserve"> that </w:t>
      </w:r>
      <w:r w:rsidR="00BB09B4">
        <w:rPr>
          <w:rFonts w:ascii="Calibri" w:eastAsia="Calibri" w:hAnsi="Calibri" w:cs="Calibri"/>
        </w:rPr>
        <w:t>“t</w:t>
      </w:r>
      <w:r w:rsidR="00BB09B4">
        <w:t>hat the administration and development of the Papua Province has not complied with the feeling of justification, has not yet achieved prosperity for the whole people, has not yet fully supported legal enforcement and has not yet shown respect to the Human Rights in the Papua Province, in particular the Papua community</w:t>
      </w:r>
      <w:r w:rsidR="00BB09B4">
        <w:t>”</w:t>
      </w:r>
      <w:r w:rsidR="002A3581">
        <w:t>.</w:t>
      </w:r>
      <w:r w:rsidR="00FF5567">
        <w:rPr>
          <w:rStyle w:val="FootnoteReference"/>
        </w:rPr>
        <w:footnoteReference w:id="13"/>
      </w:r>
      <w:r w:rsidR="00BB09B4">
        <w:t xml:space="preserve"> </w:t>
      </w:r>
      <w:r w:rsidR="00B255A7" w:rsidRPr="0048767C">
        <w:rPr>
          <w:rFonts w:ascii="Calibri" w:eastAsia="Calibri" w:hAnsi="Calibri" w:cs="Calibri"/>
        </w:rPr>
        <w:t xml:space="preserve">The </w:t>
      </w:r>
      <w:r w:rsidR="00C433CC" w:rsidRPr="00C433CC">
        <w:rPr>
          <w:rFonts w:ascii="Calibri" w:eastAsia="Calibri" w:hAnsi="Calibri" w:cs="Calibri"/>
          <w:i/>
          <w:iCs/>
        </w:rPr>
        <w:t>OTSUS Law for Papua</w:t>
      </w:r>
      <w:r w:rsidR="00B255A7" w:rsidRPr="0048767C">
        <w:rPr>
          <w:rFonts w:ascii="Calibri" w:eastAsia="Calibri" w:hAnsi="Calibri" w:cs="Calibri"/>
        </w:rPr>
        <w:t xml:space="preserve"> </w:t>
      </w:r>
      <w:r w:rsidR="00AC7B34" w:rsidRPr="0048767C">
        <w:rPr>
          <w:rFonts w:ascii="Calibri" w:eastAsia="Calibri" w:hAnsi="Calibri" w:cs="Calibri"/>
        </w:rPr>
        <w:t xml:space="preserve">recognizes the existence and rights of </w:t>
      </w:r>
      <w:r w:rsidR="008D7545" w:rsidRPr="0048767C">
        <w:rPr>
          <w:rFonts w:ascii="Calibri" w:eastAsia="Calibri" w:hAnsi="Calibri" w:cs="Calibri"/>
        </w:rPr>
        <w:t xml:space="preserve">native </w:t>
      </w:r>
      <w:r w:rsidR="00AC7B34" w:rsidRPr="0048767C">
        <w:rPr>
          <w:rFonts w:ascii="Calibri" w:eastAsia="Calibri" w:hAnsi="Calibri" w:cs="Calibri"/>
        </w:rPr>
        <w:t>Papua</w:t>
      </w:r>
      <w:r w:rsidR="008D7545" w:rsidRPr="0048767C">
        <w:rPr>
          <w:rFonts w:ascii="Calibri" w:eastAsia="Calibri" w:hAnsi="Calibri" w:cs="Calibri"/>
        </w:rPr>
        <w:t>ns</w:t>
      </w:r>
      <w:r w:rsidR="004906A1">
        <w:rPr>
          <w:rFonts w:ascii="Calibri" w:eastAsia="Calibri" w:hAnsi="Calibri" w:cs="Calibri"/>
        </w:rPr>
        <w:t xml:space="preserve"> </w:t>
      </w:r>
      <w:r w:rsidR="004906A1" w:rsidRPr="0048767C">
        <w:t>(</w:t>
      </w:r>
      <w:r w:rsidR="004906A1" w:rsidRPr="0048767C">
        <w:rPr>
          <w:i/>
          <w:iCs/>
        </w:rPr>
        <w:t>OAP</w:t>
      </w:r>
      <w:r w:rsidR="004906A1" w:rsidRPr="0048767C">
        <w:t xml:space="preserve"> -</w:t>
      </w:r>
      <w:r w:rsidR="004906A1" w:rsidRPr="0048767C">
        <w:rPr>
          <w:i/>
          <w:iCs/>
        </w:rPr>
        <w:t>Orang Asli Papua</w:t>
      </w:r>
      <w:r w:rsidR="004906A1" w:rsidRPr="0048767C">
        <w:t>)</w:t>
      </w:r>
      <w:r w:rsidR="00191FA2" w:rsidRPr="0048767C">
        <w:rPr>
          <w:rFonts w:ascii="Calibri" w:eastAsia="Calibri" w:hAnsi="Calibri" w:cs="Calibri"/>
        </w:rPr>
        <w:t>.</w:t>
      </w:r>
      <w:r w:rsidR="00404BDA" w:rsidRPr="0048767C">
        <w:rPr>
          <w:rStyle w:val="FootnoteReference"/>
          <w:rFonts w:ascii="Calibri" w:eastAsia="Calibri" w:hAnsi="Calibri" w:cs="Calibri"/>
        </w:rPr>
        <w:footnoteReference w:id="14"/>
      </w:r>
      <w:r w:rsidR="00191FA2" w:rsidRPr="0048767C">
        <w:rPr>
          <w:rFonts w:ascii="Calibri" w:eastAsia="Calibri" w:hAnsi="Calibri" w:cs="Calibri"/>
        </w:rPr>
        <w:t xml:space="preserve"> </w:t>
      </w:r>
      <w:r w:rsidR="00EB7E0B">
        <w:rPr>
          <w:rFonts w:ascii="Calibri" w:eastAsia="Calibri" w:hAnsi="Calibri" w:cs="Calibri"/>
        </w:rPr>
        <w:t xml:space="preserve">This shows that </w:t>
      </w:r>
      <w:r w:rsidR="00197AED">
        <w:rPr>
          <w:rFonts w:ascii="Calibri" w:eastAsia="Calibri" w:hAnsi="Calibri" w:cs="Calibri"/>
        </w:rPr>
        <w:t>the Law was adopted to respond to the on</w:t>
      </w:r>
      <w:r w:rsidR="007573BC">
        <w:rPr>
          <w:rFonts w:ascii="Calibri" w:eastAsia="Calibri" w:hAnsi="Calibri" w:cs="Calibri"/>
        </w:rPr>
        <w:t xml:space="preserve">-going concerns of </w:t>
      </w:r>
      <w:r w:rsidR="00A9267F">
        <w:rPr>
          <w:rFonts w:ascii="Calibri" w:eastAsia="Calibri" w:hAnsi="Calibri" w:cs="Calibri"/>
        </w:rPr>
        <w:t>injustice felt by the indigenous Papuans.</w:t>
      </w:r>
    </w:p>
    <w:p w14:paraId="12856411" w14:textId="77777777" w:rsidR="00A9267F" w:rsidRDefault="00A9267F" w:rsidP="00FF5567">
      <w:pPr>
        <w:pStyle w:val="ListParagraph"/>
        <w:rPr>
          <w:rFonts w:cs="Calibri"/>
        </w:rPr>
      </w:pPr>
    </w:p>
    <w:p w14:paraId="3A110B1E" w14:textId="4398D59F" w:rsidR="00AC7B34" w:rsidRPr="0048767C" w:rsidRDefault="00191FA2" w:rsidP="00AC7B34">
      <w:pPr>
        <w:numPr>
          <w:ilvl w:val="0"/>
          <w:numId w:val="6"/>
        </w:numPr>
        <w:spacing w:after="0" w:line="240" w:lineRule="auto"/>
        <w:rPr>
          <w:rFonts w:ascii="Calibri" w:eastAsia="Calibri" w:hAnsi="Calibri" w:cs="Calibri"/>
        </w:rPr>
      </w:pPr>
      <w:r w:rsidRPr="0048767C">
        <w:rPr>
          <w:rFonts w:ascii="Calibri" w:eastAsia="Calibri" w:hAnsi="Calibri" w:cs="Calibri"/>
        </w:rPr>
        <w:t xml:space="preserve">The </w:t>
      </w:r>
      <w:r w:rsidR="004D6EFC" w:rsidRPr="0048767C">
        <w:rPr>
          <w:rFonts w:ascii="Calibri" w:eastAsia="Calibri" w:hAnsi="Calibri" w:cs="Calibri"/>
          <w:i/>
          <w:iCs/>
        </w:rPr>
        <w:t xml:space="preserve">OTSUS </w:t>
      </w:r>
      <w:r w:rsidR="00EA7995" w:rsidRPr="0048767C">
        <w:rPr>
          <w:rFonts w:ascii="Calibri" w:eastAsia="Calibri" w:hAnsi="Calibri" w:cs="Calibri"/>
          <w:i/>
          <w:iCs/>
        </w:rPr>
        <w:t xml:space="preserve">Law </w:t>
      </w:r>
      <w:r w:rsidR="005E1074" w:rsidRPr="0048767C">
        <w:rPr>
          <w:rFonts w:ascii="Calibri" w:eastAsia="Calibri" w:hAnsi="Calibri" w:cs="Calibri"/>
          <w:i/>
          <w:iCs/>
        </w:rPr>
        <w:t>for</w:t>
      </w:r>
      <w:r w:rsidR="006258BC" w:rsidRPr="0048767C">
        <w:rPr>
          <w:rFonts w:ascii="Calibri" w:eastAsia="Calibri" w:hAnsi="Calibri" w:cs="Calibri"/>
          <w:i/>
          <w:iCs/>
        </w:rPr>
        <w:t xml:space="preserve"> Papua</w:t>
      </w:r>
      <w:r w:rsidRPr="0048767C">
        <w:rPr>
          <w:rFonts w:ascii="Calibri" w:eastAsia="Calibri" w:hAnsi="Calibri" w:cs="Calibri"/>
        </w:rPr>
        <w:t xml:space="preserve"> has </w:t>
      </w:r>
      <w:r w:rsidR="006258BC" w:rsidRPr="0048767C">
        <w:rPr>
          <w:rFonts w:ascii="Calibri" w:eastAsia="Calibri" w:hAnsi="Calibri" w:cs="Calibri"/>
        </w:rPr>
        <w:t>a specific</w:t>
      </w:r>
      <w:r w:rsidRPr="0048767C">
        <w:rPr>
          <w:rFonts w:ascii="Calibri" w:eastAsia="Calibri" w:hAnsi="Calibri" w:cs="Calibri"/>
        </w:rPr>
        <w:t xml:space="preserve"> provision </w:t>
      </w:r>
      <w:r w:rsidR="006258BC" w:rsidRPr="0048767C">
        <w:rPr>
          <w:rFonts w:ascii="Calibri" w:eastAsia="Calibri" w:hAnsi="Calibri" w:cs="Calibri"/>
        </w:rPr>
        <w:t>on</w:t>
      </w:r>
      <w:r w:rsidRPr="0048767C">
        <w:rPr>
          <w:rFonts w:ascii="Calibri" w:eastAsia="Calibri" w:hAnsi="Calibri" w:cs="Calibri"/>
        </w:rPr>
        <w:t xml:space="preserve"> the</w:t>
      </w:r>
      <w:r w:rsidR="00397670" w:rsidRPr="0048767C">
        <w:rPr>
          <w:rFonts w:ascii="Calibri" w:eastAsia="Calibri" w:hAnsi="Calibri" w:cs="Calibri"/>
        </w:rPr>
        <w:t xml:space="preserve"> </w:t>
      </w:r>
      <w:r w:rsidRPr="0048767C">
        <w:rPr>
          <w:rFonts w:ascii="Calibri" w:eastAsia="Calibri" w:hAnsi="Calibri" w:cs="Calibri"/>
        </w:rPr>
        <w:t xml:space="preserve">establishment of </w:t>
      </w:r>
      <w:r w:rsidR="1CAA3139" w:rsidRPr="0048767C">
        <w:rPr>
          <w:rFonts w:ascii="Calibri" w:eastAsia="Calibri" w:hAnsi="Calibri" w:cs="Calibri"/>
        </w:rPr>
        <w:t xml:space="preserve">a </w:t>
      </w:r>
      <w:r w:rsidR="00E70AF7" w:rsidRPr="0048767C">
        <w:rPr>
          <w:rFonts w:ascii="Calibri" w:eastAsia="Calibri" w:hAnsi="Calibri" w:cs="Calibri"/>
        </w:rPr>
        <w:t>Papua People’s Assembly (</w:t>
      </w:r>
      <w:r w:rsidR="002C40B8" w:rsidRPr="0048767C">
        <w:rPr>
          <w:rFonts w:ascii="Calibri" w:eastAsia="Calibri" w:hAnsi="Calibri" w:cs="Calibri"/>
          <w:i/>
          <w:iCs/>
        </w:rPr>
        <w:t>MRP</w:t>
      </w:r>
      <w:r w:rsidR="002C40B8" w:rsidRPr="0048767C">
        <w:rPr>
          <w:rFonts w:ascii="Calibri" w:eastAsia="Calibri" w:hAnsi="Calibri" w:cs="Calibri"/>
        </w:rPr>
        <w:t xml:space="preserve"> - </w:t>
      </w:r>
      <w:proofErr w:type="spellStart"/>
      <w:r w:rsidR="00E70AF7" w:rsidRPr="0048767C">
        <w:rPr>
          <w:rFonts w:ascii="Calibri" w:eastAsia="Calibri" w:hAnsi="Calibri" w:cs="Calibri"/>
          <w:i/>
          <w:iCs/>
        </w:rPr>
        <w:t>Majelis</w:t>
      </w:r>
      <w:proofErr w:type="spellEnd"/>
      <w:r w:rsidR="00E70AF7" w:rsidRPr="0048767C">
        <w:rPr>
          <w:rFonts w:ascii="Calibri" w:eastAsia="Calibri" w:hAnsi="Calibri" w:cs="Calibri"/>
          <w:i/>
          <w:iCs/>
        </w:rPr>
        <w:t xml:space="preserve"> Rakyat Papua</w:t>
      </w:r>
      <w:r w:rsidR="00E70AF7" w:rsidRPr="0048767C">
        <w:rPr>
          <w:rFonts w:ascii="Calibri" w:eastAsia="Calibri" w:hAnsi="Calibri" w:cs="Calibri"/>
        </w:rPr>
        <w:t>)</w:t>
      </w:r>
      <w:r w:rsidR="00AC7B34" w:rsidRPr="0048767C">
        <w:rPr>
          <w:rFonts w:ascii="Calibri" w:eastAsia="Calibri" w:hAnsi="Calibri" w:cs="Calibri"/>
        </w:rPr>
        <w:t xml:space="preserve"> </w:t>
      </w:r>
      <w:r w:rsidRPr="0048767C">
        <w:rPr>
          <w:rFonts w:ascii="Calibri" w:eastAsia="Calibri" w:hAnsi="Calibri" w:cs="Calibri"/>
        </w:rPr>
        <w:t xml:space="preserve">as </w:t>
      </w:r>
      <w:r w:rsidR="00A849D1" w:rsidRPr="0048767C">
        <w:t>the cultural representative of the</w:t>
      </w:r>
      <w:r w:rsidR="00795738">
        <w:t xml:space="preserve"> native</w:t>
      </w:r>
      <w:r w:rsidR="00A849D1" w:rsidRPr="0048767C">
        <w:t xml:space="preserve"> Papu</w:t>
      </w:r>
      <w:r w:rsidR="004906A1">
        <w:t>an</w:t>
      </w:r>
      <w:r w:rsidR="00A849D1" w:rsidRPr="0048767C">
        <w:t>s</w:t>
      </w:r>
      <w:r w:rsidR="009B66A1" w:rsidRPr="0048767C">
        <w:t xml:space="preserve"> </w:t>
      </w:r>
      <w:r w:rsidR="00A849D1" w:rsidRPr="0048767C">
        <w:t>which has a certain authority in protecting the rights of the Papua natives, based on respect of the customs and culture</w:t>
      </w:r>
      <w:r w:rsidR="00CA7E06" w:rsidRPr="0048767C">
        <w:t xml:space="preserve"> (</w:t>
      </w:r>
      <w:r w:rsidR="00887592" w:rsidRPr="0048767C">
        <w:t>among</w:t>
      </w:r>
      <w:r w:rsidR="00CA7E06" w:rsidRPr="0048767C">
        <w:t xml:space="preserve"> others)</w:t>
      </w:r>
      <w:r w:rsidR="0032539D" w:rsidRPr="0048767C">
        <w:t>.</w:t>
      </w:r>
      <w:r w:rsidR="0032539D" w:rsidRPr="0048767C">
        <w:rPr>
          <w:rStyle w:val="FootnoteReference"/>
        </w:rPr>
        <w:footnoteReference w:id="15"/>
      </w:r>
      <w:r w:rsidR="00B57708">
        <w:t xml:space="preserve"> It has several mandates including </w:t>
      </w:r>
      <w:r w:rsidR="00826AB0">
        <w:t>to give approval of the candidacy of the position of Governor and Vice Governor in Papua</w:t>
      </w:r>
      <w:r w:rsidR="00DE407D">
        <w:t xml:space="preserve">; to provide </w:t>
      </w:r>
      <w:r w:rsidR="00BF5E9D">
        <w:t xml:space="preserve">view and opinions on the adoption of provincial legislations; </w:t>
      </w:r>
      <w:r w:rsidR="0039760C">
        <w:t xml:space="preserve">to provide considerations on matters related the </w:t>
      </w:r>
      <w:r w:rsidR="007A7D41">
        <w:t xml:space="preserve">protection of the </w:t>
      </w:r>
      <w:r w:rsidR="0039760C">
        <w:t>rights of the</w:t>
      </w:r>
      <w:r w:rsidR="007A7D41">
        <w:t xml:space="preserve"> indigenous Papuans.</w:t>
      </w:r>
      <w:r w:rsidR="007A7D41">
        <w:rPr>
          <w:rStyle w:val="FootnoteReference"/>
        </w:rPr>
        <w:footnoteReference w:id="16"/>
      </w:r>
      <w:r w:rsidR="007A7D41">
        <w:t xml:space="preserve"> </w:t>
      </w:r>
    </w:p>
    <w:p w14:paraId="24683EDE" w14:textId="77777777" w:rsidR="007979A6" w:rsidRPr="0048767C" w:rsidRDefault="007979A6" w:rsidP="007979A6">
      <w:pPr>
        <w:pStyle w:val="ListParagraph"/>
        <w:rPr>
          <w:rFonts w:cs="Calibri"/>
        </w:rPr>
      </w:pPr>
    </w:p>
    <w:p w14:paraId="0C40B46C" w14:textId="28E1D4D6" w:rsidR="00815EFA" w:rsidRDefault="00D80169" w:rsidP="00501F31">
      <w:pPr>
        <w:numPr>
          <w:ilvl w:val="0"/>
          <w:numId w:val="6"/>
        </w:numPr>
        <w:spacing w:after="0" w:line="240" w:lineRule="auto"/>
        <w:rPr>
          <w:rFonts w:ascii="Calibri" w:eastAsia="Calibri" w:hAnsi="Calibri" w:cs="Calibri"/>
        </w:rPr>
      </w:pPr>
      <w:r>
        <w:rPr>
          <w:rFonts w:ascii="Calibri" w:eastAsia="Calibri" w:hAnsi="Calibri" w:cs="Calibri"/>
        </w:rPr>
        <w:t xml:space="preserve">With regards to addressing human rights </w:t>
      </w:r>
      <w:r w:rsidRPr="752B12BD">
        <w:rPr>
          <w:rFonts w:ascii="Calibri" w:eastAsia="Calibri" w:hAnsi="Calibri" w:cs="Calibri"/>
        </w:rPr>
        <w:t>violation</w:t>
      </w:r>
      <w:r w:rsidR="761A3F8F" w:rsidRPr="752B12BD">
        <w:rPr>
          <w:rFonts w:ascii="Calibri" w:eastAsia="Calibri" w:hAnsi="Calibri" w:cs="Calibri"/>
        </w:rPr>
        <w:t>s</w:t>
      </w:r>
      <w:r>
        <w:rPr>
          <w:rFonts w:ascii="Calibri" w:eastAsia="Calibri" w:hAnsi="Calibri" w:cs="Calibri"/>
        </w:rPr>
        <w:t>, the a</w:t>
      </w:r>
      <w:r w:rsidR="001C0F99" w:rsidRPr="0048767C">
        <w:rPr>
          <w:rFonts w:ascii="Calibri" w:eastAsia="Calibri" w:hAnsi="Calibri" w:cs="Calibri"/>
        </w:rPr>
        <w:t xml:space="preserve">rticle </w:t>
      </w:r>
      <w:r w:rsidR="001C7E6B" w:rsidRPr="0048767C">
        <w:rPr>
          <w:rFonts w:ascii="Calibri" w:eastAsia="Calibri" w:hAnsi="Calibri" w:cs="Calibri"/>
        </w:rPr>
        <w:t>45 of</w:t>
      </w:r>
      <w:r w:rsidR="00D91AE1" w:rsidRPr="0048767C">
        <w:rPr>
          <w:rFonts w:ascii="Calibri" w:eastAsia="Calibri" w:hAnsi="Calibri" w:cs="Calibri"/>
        </w:rPr>
        <w:t xml:space="preserve"> </w:t>
      </w:r>
      <w:r w:rsidR="00A77638" w:rsidRPr="0048767C">
        <w:rPr>
          <w:rFonts w:ascii="Calibri" w:eastAsia="Calibri" w:hAnsi="Calibri" w:cs="Calibri"/>
          <w:i/>
          <w:iCs/>
        </w:rPr>
        <w:t>OTSUS Law</w:t>
      </w:r>
      <w:r w:rsidR="00462967" w:rsidRPr="0048767C">
        <w:rPr>
          <w:rFonts w:ascii="Calibri" w:eastAsia="Calibri" w:hAnsi="Calibri" w:cs="Calibri"/>
          <w:i/>
          <w:iCs/>
        </w:rPr>
        <w:t xml:space="preserve"> for</w:t>
      </w:r>
      <w:r w:rsidR="00936201" w:rsidRPr="0048767C">
        <w:rPr>
          <w:rFonts w:ascii="Calibri" w:eastAsia="Calibri" w:hAnsi="Calibri" w:cs="Calibri"/>
          <w:i/>
          <w:iCs/>
        </w:rPr>
        <w:t xml:space="preserve"> Papua</w:t>
      </w:r>
      <w:r w:rsidR="004C72C0" w:rsidRPr="0048767C">
        <w:rPr>
          <w:rFonts w:ascii="Calibri" w:eastAsia="Calibri" w:hAnsi="Calibri" w:cs="Calibri"/>
        </w:rPr>
        <w:t xml:space="preserve"> </w:t>
      </w:r>
      <w:r w:rsidR="00826ADF" w:rsidRPr="0048767C">
        <w:rPr>
          <w:rFonts w:ascii="Calibri" w:eastAsia="Calibri" w:hAnsi="Calibri" w:cs="Calibri"/>
        </w:rPr>
        <w:t>contains th</w:t>
      </w:r>
      <w:r>
        <w:rPr>
          <w:rFonts w:ascii="Calibri" w:eastAsia="Calibri" w:hAnsi="Calibri" w:cs="Calibri"/>
        </w:rPr>
        <w:t>ree key</w:t>
      </w:r>
      <w:r w:rsidR="00826ADF" w:rsidRPr="0048767C">
        <w:rPr>
          <w:rFonts w:ascii="Calibri" w:eastAsia="Calibri" w:hAnsi="Calibri" w:cs="Calibri"/>
        </w:rPr>
        <w:t xml:space="preserve"> provision</w:t>
      </w:r>
      <w:r w:rsidR="00AA3539" w:rsidRPr="0048767C">
        <w:rPr>
          <w:rFonts w:ascii="Calibri" w:eastAsia="Calibri" w:hAnsi="Calibri" w:cs="Calibri"/>
        </w:rPr>
        <w:t>s</w:t>
      </w:r>
      <w:r>
        <w:rPr>
          <w:rFonts w:ascii="Calibri" w:eastAsia="Calibri" w:hAnsi="Calibri" w:cs="Calibri"/>
        </w:rPr>
        <w:t xml:space="preserve">. </w:t>
      </w:r>
      <w:r w:rsidR="220F93B7" w:rsidRPr="752B12BD">
        <w:rPr>
          <w:rFonts w:ascii="Calibri" w:eastAsia="Calibri" w:hAnsi="Calibri" w:cs="Calibri"/>
        </w:rPr>
        <w:t xml:space="preserve">The </w:t>
      </w:r>
      <w:r w:rsidR="7DD36B1B" w:rsidRPr="752B12BD">
        <w:rPr>
          <w:rFonts w:ascii="Calibri" w:eastAsia="Calibri" w:hAnsi="Calibri" w:cs="Calibri"/>
        </w:rPr>
        <w:t>f</w:t>
      </w:r>
      <w:r w:rsidRPr="752B12BD">
        <w:rPr>
          <w:rFonts w:ascii="Calibri" w:eastAsia="Calibri" w:hAnsi="Calibri" w:cs="Calibri"/>
        </w:rPr>
        <w:t>irst</w:t>
      </w:r>
      <w:r>
        <w:rPr>
          <w:rFonts w:ascii="Calibri" w:eastAsia="Calibri" w:hAnsi="Calibri" w:cs="Calibri"/>
        </w:rPr>
        <w:t xml:space="preserve"> is </w:t>
      </w:r>
      <w:r w:rsidR="004C72C0" w:rsidRPr="0048767C">
        <w:rPr>
          <w:rFonts w:ascii="Calibri" w:eastAsia="Calibri" w:hAnsi="Calibri" w:cs="Calibri"/>
        </w:rPr>
        <w:t xml:space="preserve">the appointment of a representative of </w:t>
      </w:r>
      <w:r w:rsidR="00D91AE1" w:rsidRPr="0048767C">
        <w:rPr>
          <w:rFonts w:ascii="Calibri" w:eastAsia="Calibri" w:hAnsi="Calibri" w:cs="Calibri"/>
        </w:rPr>
        <w:t xml:space="preserve">the </w:t>
      </w:r>
      <w:r w:rsidR="001C7E6B" w:rsidRPr="0048767C">
        <w:rPr>
          <w:rFonts w:ascii="Calibri" w:eastAsia="Calibri" w:hAnsi="Calibri" w:cs="Calibri"/>
        </w:rPr>
        <w:t>National Commission for Human Rights in Papua</w:t>
      </w:r>
      <w:r w:rsidR="00815EFA">
        <w:rPr>
          <w:rFonts w:ascii="Calibri" w:eastAsia="Calibri" w:hAnsi="Calibri" w:cs="Calibri"/>
        </w:rPr>
        <w:t xml:space="preserve">. This provision has been implemented by the establishment of the </w:t>
      </w:r>
      <w:r w:rsidR="0030138B">
        <w:rPr>
          <w:rFonts w:ascii="Calibri" w:eastAsia="Calibri" w:hAnsi="Calibri" w:cs="Calibri"/>
        </w:rPr>
        <w:t xml:space="preserve">representative of the National Commission for Human Rights (KOMNAS HAM) in Jayapura, Papua Province. The second provision is the </w:t>
      </w:r>
      <w:r w:rsidR="00E76FBD">
        <w:rPr>
          <w:rFonts w:ascii="Calibri" w:eastAsia="Calibri" w:hAnsi="Calibri" w:cs="Calibri"/>
        </w:rPr>
        <w:t xml:space="preserve">establishment of </w:t>
      </w:r>
      <w:r w:rsidR="005D06E0">
        <w:rPr>
          <w:rFonts w:ascii="Calibri" w:eastAsia="Calibri" w:hAnsi="Calibri" w:cs="Calibri"/>
        </w:rPr>
        <w:t>the Human Rights Court</w:t>
      </w:r>
      <w:r w:rsidR="009F590F">
        <w:rPr>
          <w:rFonts w:ascii="Calibri" w:eastAsia="Calibri" w:hAnsi="Calibri" w:cs="Calibri"/>
        </w:rPr>
        <w:t xml:space="preserve">. </w:t>
      </w:r>
      <w:r w:rsidR="00256AFD">
        <w:rPr>
          <w:rFonts w:ascii="Calibri" w:eastAsia="Calibri" w:hAnsi="Calibri" w:cs="Calibri"/>
        </w:rPr>
        <w:t xml:space="preserve">The </w:t>
      </w:r>
      <w:proofErr w:type="spellStart"/>
      <w:r w:rsidR="00256AFD">
        <w:rPr>
          <w:rFonts w:ascii="Calibri" w:eastAsia="Calibri" w:hAnsi="Calibri" w:cs="Calibri"/>
        </w:rPr>
        <w:t>GoI</w:t>
      </w:r>
      <w:proofErr w:type="spellEnd"/>
      <w:r w:rsidR="00256AFD">
        <w:rPr>
          <w:rFonts w:ascii="Calibri" w:eastAsia="Calibri" w:hAnsi="Calibri" w:cs="Calibri"/>
        </w:rPr>
        <w:t xml:space="preserve"> has yet</w:t>
      </w:r>
      <w:r w:rsidR="7CEBB243" w:rsidRPr="752B12BD">
        <w:rPr>
          <w:rFonts w:ascii="Calibri" w:eastAsia="Calibri" w:hAnsi="Calibri" w:cs="Calibri"/>
        </w:rPr>
        <w:t xml:space="preserve"> to</w:t>
      </w:r>
      <w:r w:rsidR="00256AFD">
        <w:rPr>
          <w:rFonts w:ascii="Calibri" w:eastAsia="Calibri" w:hAnsi="Calibri" w:cs="Calibri"/>
        </w:rPr>
        <w:t xml:space="preserve"> establish the Court. T</w:t>
      </w:r>
      <w:r w:rsidR="009F590F">
        <w:rPr>
          <w:rFonts w:ascii="Calibri" w:eastAsia="Calibri" w:hAnsi="Calibri" w:cs="Calibri"/>
        </w:rPr>
        <w:t xml:space="preserve">he third is the establishment of the </w:t>
      </w:r>
      <w:r w:rsidR="00256AFD" w:rsidRPr="0048767C">
        <w:rPr>
          <w:rFonts w:ascii="Calibri" w:eastAsia="Calibri" w:hAnsi="Calibri" w:cs="Calibri"/>
        </w:rPr>
        <w:t>Truth and Reconciliation Commission (</w:t>
      </w:r>
      <w:proofErr w:type="spellStart"/>
      <w:r w:rsidR="00256AFD" w:rsidRPr="0048767C">
        <w:rPr>
          <w:rFonts w:ascii="Calibri" w:eastAsia="Calibri" w:hAnsi="Calibri" w:cs="Calibri"/>
          <w:i/>
          <w:iCs/>
        </w:rPr>
        <w:t>Komisi</w:t>
      </w:r>
      <w:proofErr w:type="spellEnd"/>
      <w:r w:rsidR="00256AFD" w:rsidRPr="0048767C">
        <w:rPr>
          <w:rFonts w:ascii="Calibri" w:eastAsia="Calibri" w:hAnsi="Calibri" w:cs="Calibri"/>
          <w:i/>
          <w:iCs/>
        </w:rPr>
        <w:t xml:space="preserve"> </w:t>
      </w:r>
      <w:proofErr w:type="spellStart"/>
      <w:r w:rsidR="00256AFD" w:rsidRPr="0048767C">
        <w:rPr>
          <w:rFonts w:ascii="Calibri" w:eastAsia="Calibri" w:hAnsi="Calibri" w:cs="Calibri"/>
          <w:i/>
          <w:iCs/>
        </w:rPr>
        <w:t>Kebenaran</w:t>
      </w:r>
      <w:proofErr w:type="spellEnd"/>
      <w:r w:rsidR="00256AFD" w:rsidRPr="0048767C">
        <w:rPr>
          <w:rFonts w:ascii="Calibri" w:eastAsia="Calibri" w:hAnsi="Calibri" w:cs="Calibri"/>
          <w:i/>
          <w:iCs/>
        </w:rPr>
        <w:t xml:space="preserve"> dan </w:t>
      </w:r>
      <w:proofErr w:type="spellStart"/>
      <w:r w:rsidR="00256AFD" w:rsidRPr="0048767C">
        <w:rPr>
          <w:rFonts w:ascii="Calibri" w:eastAsia="Calibri" w:hAnsi="Calibri" w:cs="Calibri"/>
          <w:i/>
          <w:iCs/>
        </w:rPr>
        <w:t>Rekonsiliasi</w:t>
      </w:r>
      <w:proofErr w:type="spellEnd"/>
      <w:r w:rsidR="00256AFD" w:rsidRPr="0048767C">
        <w:rPr>
          <w:rFonts w:ascii="Calibri" w:eastAsia="Calibri" w:hAnsi="Calibri" w:cs="Calibri"/>
          <w:i/>
          <w:iCs/>
        </w:rPr>
        <w:t xml:space="preserve"> – KKR</w:t>
      </w:r>
      <w:r w:rsidR="00256AFD" w:rsidRPr="0048767C">
        <w:rPr>
          <w:rFonts w:ascii="Calibri" w:eastAsia="Calibri" w:hAnsi="Calibri" w:cs="Calibri"/>
        </w:rPr>
        <w:t>)</w:t>
      </w:r>
      <w:r w:rsidR="00256AFD">
        <w:rPr>
          <w:rFonts w:ascii="Calibri" w:eastAsia="Calibri" w:hAnsi="Calibri" w:cs="Calibri"/>
        </w:rPr>
        <w:t xml:space="preserve"> which is supposed to be </w:t>
      </w:r>
      <w:r w:rsidR="007D590A">
        <w:rPr>
          <w:rFonts w:ascii="Calibri" w:eastAsia="Calibri" w:hAnsi="Calibri" w:cs="Calibri"/>
        </w:rPr>
        <w:t>established by</w:t>
      </w:r>
      <w:r w:rsidR="00256AFD">
        <w:rPr>
          <w:rFonts w:ascii="Calibri" w:eastAsia="Calibri" w:hAnsi="Calibri" w:cs="Calibri"/>
        </w:rPr>
        <w:t xml:space="preserve"> a Presidential Decree</w:t>
      </w:r>
      <w:r w:rsidR="00CC30A6">
        <w:rPr>
          <w:rFonts w:ascii="Calibri" w:eastAsia="Calibri" w:hAnsi="Calibri" w:cs="Calibri"/>
        </w:rPr>
        <w:t xml:space="preserve">. </w:t>
      </w:r>
      <w:r w:rsidR="001C3864">
        <w:rPr>
          <w:rFonts w:ascii="Calibri" w:eastAsia="Calibri" w:hAnsi="Calibri" w:cs="Calibri"/>
        </w:rPr>
        <w:t xml:space="preserve">Further, Article 46 of the Law explains that the task of the Commission is to </w:t>
      </w:r>
      <w:r w:rsidR="00654408">
        <w:rPr>
          <w:rFonts w:ascii="Calibri" w:eastAsia="Calibri" w:hAnsi="Calibri" w:cs="Calibri"/>
        </w:rPr>
        <w:t>have historical clarification on Papua</w:t>
      </w:r>
      <w:r w:rsidR="007A47C3">
        <w:rPr>
          <w:rFonts w:ascii="Calibri" w:eastAsia="Calibri" w:hAnsi="Calibri" w:cs="Calibri"/>
        </w:rPr>
        <w:t xml:space="preserve">, and to take steps toward reconciliation. </w:t>
      </w:r>
      <w:r w:rsidR="008362C3" w:rsidRPr="0048767C">
        <w:t>T</w:t>
      </w:r>
      <w:r w:rsidR="008362C3" w:rsidRPr="0048767C">
        <w:rPr>
          <w:rFonts w:ascii="Calibri" w:eastAsia="Calibri" w:hAnsi="Calibri" w:cs="Calibri"/>
        </w:rPr>
        <w:t xml:space="preserve">he Commission </w:t>
      </w:r>
      <w:r w:rsidR="008362C3">
        <w:rPr>
          <w:rFonts w:ascii="Calibri" w:eastAsia="Calibri" w:hAnsi="Calibri" w:cs="Calibri"/>
        </w:rPr>
        <w:t xml:space="preserve">has no </w:t>
      </w:r>
      <w:r w:rsidR="008362C3" w:rsidRPr="0048767C">
        <w:rPr>
          <w:rFonts w:ascii="Calibri" w:eastAsia="Calibri" w:hAnsi="Calibri" w:cs="Calibri"/>
        </w:rPr>
        <w:t>mandate to carry out judicial investigation</w:t>
      </w:r>
      <w:r w:rsidR="00E26955">
        <w:rPr>
          <w:rFonts w:ascii="Calibri" w:eastAsia="Calibri" w:hAnsi="Calibri" w:cs="Calibri"/>
        </w:rPr>
        <w:t xml:space="preserve">. </w:t>
      </w:r>
      <w:r w:rsidR="00E26955">
        <w:t>So far, no such decree on the establishment of the Commission has been issued.</w:t>
      </w:r>
    </w:p>
    <w:p w14:paraId="295642BE" w14:textId="77777777" w:rsidR="00815EFA" w:rsidRDefault="00815EFA" w:rsidP="00815EFA">
      <w:pPr>
        <w:pStyle w:val="ListParagraph"/>
        <w:rPr>
          <w:rFonts w:cs="Calibri"/>
        </w:rPr>
      </w:pPr>
    </w:p>
    <w:p w14:paraId="1C5CFABE" w14:textId="2B91AABB" w:rsidR="00785426" w:rsidRDefault="00932863" w:rsidP="0095612A">
      <w:pPr>
        <w:numPr>
          <w:ilvl w:val="0"/>
          <w:numId w:val="6"/>
        </w:numPr>
        <w:spacing w:after="0" w:line="240" w:lineRule="auto"/>
        <w:rPr>
          <w:rFonts w:ascii="Calibri" w:eastAsia="Calibri" w:hAnsi="Calibri" w:cs="Calibri"/>
        </w:rPr>
      </w:pPr>
      <w:r>
        <w:rPr>
          <w:rFonts w:ascii="Calibri" w:eastAsia="Calibri" w:hAnsi="Calibri" w:cs="Calibri"/>
        </w:rPr>
        <w:t xml:space="preserve">The </w:t>
      </w:r>
      <w:r w:rsidR="004D0D4E">
        <w:rPr>
          <w:rFonts w:ascii="Calibri" w:eastAsia="Calibri" w:hAnsi="Calibri" w:cs="Calibri"/>
          <w:i/>
          <w:iCs/>
        </w:rPr>
        <w:t>OTSUS</w:t>
      </w:r>
      <w:r w:rsidRPr="00E46C64">
        <w:rPr>
          <w:rFonts w:ascii="Calibri" w:eastAsia="Calibri" w:hAnsi="Calibri" w:cs="Calibri"/>
          <w:i/>
          <w:iCs/>
        </w:rPr>
        <w:t xml:space="preserve"> Law for Papua</w:t>
      </w:r>
      <w:r>
        <w:rPr>
          <w:rFonts w:ascii="Calibri" w:eastAsia="Calibri" w:hAnsi="Calibri" w:cs="Calibri"/>
        </w:rPr>
        <w:t xml:space="preserve"> </w:t>
      </w:r>
      <w:r w:rsidR="006A1B62">
        <w:rPr>
          <w:rFonts w:ascii="Calibri" w:eastAsia="Calibri" w:hAnsi="Calibri" w:cs="Calibri"/>
        </w:rPr>
        <w:t>might not be seen as a consensual agreement between the indigenous Papuans with the central government. Rather, it serves a</w:t>
      </w:r>
      <w:r w:rsidR="003468B7">
        <w:rPr>
          <w:rFonts w:ascii="Calibri" w:eastAsia="Calibri" w:hAnsi="Calibri" w:cs="Calibri"/>
        </w:rPr>
        <w:t xml:space="preserve"> </w:t>
      </w:r>
      <w:r w:rsidR="00037DE3">
        <w:rPr>
          <w:rFonts w:ascii="Calibri" w:eastAsia="Calibri" w:hAnsi="Calibri" w:cs="Calibri"/>
        </w:rPr>
        <w:t xml:space="preserve">tangible </w:t>
      </w:r>
      <w:r w:rsidR="003468B7">
        <w:rPr>
          <w:rFonts w:ascii="Calibri" w:eastAsia="Calibri" w:hAnsi="Calibri" w:cs="Calibri"/>
        </w:rPr>
        <w:t xml:space="preserve">legal product of the central government to reduce </w:t>
      </w:r>
      <w:r w:rsidR="004D58B4">
        <w:rPr>
          <w:rFonts w:ascii="Calibri" w:eastAsia="Calibri" w:hAnsi="Calibri" w:cs="Calibri"/>
        </w:rPr>
        <w:t xml:space="preserve">and resolve </w:t>
      </w:r>
      <w:r w:rsidR="003468B7">
        <w:rPr>
          <w:rFonts w:ascii="Calibri" w:eastAsia="Calibri" w:hAnsi="Calibri" w:cs="Calibri"/>
        </w:rPr>
        <w:t>the conflict in P</w:t>
      </w:r>
      <w:r w:rsidR="00037DE3">
        <w:rPr>
          <w:rFonts w:ascii="Calibri" w:eastAsia="Calibri" w:hAnsi="Calibri" w:cs="Calibri"/>
        </w:rPr>
        <w:t>apua</w:t>
      </w:r>
      <w:r w:rsidR="004D58B4">
        <w:rPr>
          <w:rFonts w:ascii="Calibri" w:eastAsia="Calibri" w:hAnsi="Calibri" w:cs="Calibri"/>
        </w:rPr>
        <w:t>.</w:t>
      </w:r>
      <w:r w:rsidR="004D58B4">
        <w:rPr>
          <w:rStyle w:val="FootnoteReference"/>
          <w:rFonts w:ascii="Calibri" w:eastAsia="Calibri" w:hAnsi="Calibri" w:cs="Calibri"/>
        </w:rPr>
        <w:footnoteReference w:id="17"/>
      </w:r>
      <w:r w:rsidR="004D58B4">
        <w:rPr>
          <w:rFonts w:ascii="Calibri" w:eastAsia="Calibri" w:hAnsi="Calibri" w:cs="Calibri"/>
        </w:rPr>
        <w:t xml:space="preserve"> </w:t>
      </w:r>
      <w:r w:rsidR="00037DE3">
        <w:rPr>
          <w:rFonts w:ascii="Calibri" w:eastAsia="Calibri" w:hAnsi="Calibri" w:cs="Calibri"/>
        </w:rPr>
        <w:t xml:space="preserve"> </w:t>
      </w:r>
      <w:r w:rsidR="00E46C64">
        <w:rPr>
          <w:rFonts w:ascii="Calibri" w:eastAsia="Calibri" w:hAnsi="Calibri" w:cs="Calibri"/>
        </w:rPr>
        <w:t xml:space="preserve">Some Papuans would consider this law as </w:t>
      </w:r>
      <w:r w:rsidR="004D0D4E">
        <w:rPr>
          <w:rFonts w:ascii="Calibri" w:eastAsia="Calibri" w:hAnsi="Calibri" w:cs="Calibri"/>
        </w:rPr>
        <w:t xml:space="preserve">the </w:t>
      </w:r>
      <w:r w:rsidR="5AAE579A">
        <w:rPr>
          <w:rFonts w:ascii="Calibri" w:eastAsia="Calibri" w:hAnsi="Calibri" w:cs="Calibri"/>
        </w:rPr>
        <w:t>tool</w:t>
      </w:r>
      <w:r w:rsidR="004D0D4E">
        <w:rPr>
          <w:rFonts w:ascii="Calibri" w:eastAsia="Calibri" w:hAnsi="Calibri" w:cs="Calibri"/>
        </w:rPr>
        <w:t xml:space="preserve"> of the central government to stop their resistance. </w:t>
      </w:r>
      <w:r w:rsidR="00DE0252" w:rsidRPr="0095612A">
        <w:rPr>
          <w:rFonts w:ascii="Calibri" w:eastAsia="Calibri" w:hAnsi="Calibri" w:cs="Calibri"/>
        </w:rPr>
        <w:t xml:space="preserve">Since its adoption, </w:t>
      </w:r>
      <w:r w:rsidR="00077A53" w:rsidRPr="0095612A">
        <w:rPr>
          <w:rFonts w:ascii="Calibri" w:eastAsia="Calibri" w:hAnsi="Calibri" w:cs="Calibri"/>
        </w:rPr>
        <w:t xml:space="preserve">several civil society organisations, </w:t>
      </w:r>
      <w:r w:rsidR="005B2192" w:rsidRPr="0095612A">
        <w:rPr>
          <w:rFonts w:ascii="Calibri" w:eastAsia="Calibri" w:hAnsi="Calibri" w:cs="Calibri"/>
        </w:rPr>
        <w:t xml:space="preserve">student movements and </w:t>
      </w:r>
      <w:r w:rsidR="000533BA" w:rsidRPr="0095612A">
        <w:rPr>
          <w:rFonts w:ascii="Calibri" w:eastAsia="Calibri" w:hAnsi="Calibri" w:cs="Calibri"/>
        </w:rPr>
        <w:t xml:space="preserve">other elements of society, in West Papua and outside West Papua have expressed their concerns </w:t>
      </w:r>
      <w:r w:rsidR="51EE582F" w:rsidRPr="0095612A">
        <w:rPr>
          <w:rFonts w:ascii="Calibri" w:eastAsia="Calibri" w:hAnsi="Calibri" w:cs="Calibri"/>
        </w:rPr>
        <w:t>about</w:t>
      </w:r>
      <w:r w:rsidR="000533BA" w:rsidRPr="0095612A">
        <w:rPr>
          <w:rFonts w:ascii="Calibri" w:eastAsia="Calibri" w:hAnsi="Calibri" w:cs="Calibri"/>
        </w:rPr>
        <w:t xml:space="preserve"> the </w:t>
      </w:r>
      <w:r w:rsidR="00887592" w:rsidRPr="0095612A">
        <w:rPr>
          <w:rFonts w:ascii="Calibri" w:eastAsia="Calibri" w:hAnsi="Calibri" w:cs="Calibri"/>
        </w:rPr>
        <w:t xml:space="preserve">effective </w:t>
      </w:r>
      <w:r w:rsidR="000533BA" w:rsidRPr="0095612A">
        <w:rPr>
          <w:rFonts w:ascii="Calibri" w:eastAsia="Calibri" w:hAnsi="Calibri" w:cs="Calibri"/>
        </w:rPr>
        <w:t>implementation</w:t>
      </w:r>
      <w:r w:rsidR="00ED770D" w:rsidRPr="0095612A">
        <w:rPr>
          <w:rFonts w:ascii="Calibri" w:eastAsia="Calibri" w:hAnsi="Calibri" w:cs="Calibri"/>
        </w:rPr>
        <w:t xml:space="preserve"> of </w:t>
      </w:r>
      <w:r w:rsidR="00A77638" w:rsidRPr="0095612A">
        <w:rPr>
          <w:rFonts w:ascii="Calibri" w:eastAsia="Calibri" w:hAnsi="Calibri" w:cs="Calibri"/>
          <w:i/>
          <w:iCs/>
        </w:rPr>
        <w:t xml:space="preserve">OTSUS Law </w:t>
      </w:r>
      <w:r w:rsidR="00462967" w:rsidRPr="0095612A">
        <w:rPr>
          <w:rFonts w:ascii="Calibri" w:eastAsia="Calibri" w:hAnsi="Calibri" w:cs="Calibri"/>
          <w:i/>
          <w:iCs/>
        </w:rPr>
        <w:t xml:space="preserve">for </w:t>
      </w:r>
      <w:r w:rsidR="00936201" w:rsidRPr="0095612A">
        <w:rPr>
          <w:rFonts w:ascii="Calibri" w:eastAsia="Calibri" w:hAnsi="Calibri" w:cs="Calibri"/>
          <w:i/>
          <w:iCs/>
        </w:rPr>
        <w:t>Papua</w:t>
      </w:r>
      <w:r w:rsidR="00ED770D" w:rsidRPr="0095612A">
        <w:rPr>
          <w:rFonts w:ascii="Calibri" w:eastAsia="Calibri" w:hAnsi="Calibri" w:cs="Calibri"/>
        </w:rPr>
        <w:t xml:space="preserve">.  The Special Autonomy Law </w:t>
      </w:r>
      <w:r w:rsidR="00AF2286" w:rsidRPr="0095612A">
        <w:rPr>
          <w:rFonts w:ascii="Calibri" w:eastAsia="Calibri" w:hAnsi="Calibri" w:cs="Calibri"/>
        </w:rPr>
        <w:t xml:space="preserve">has </w:t>
      </w:r>
      <w:r w:rsidR="00C76D27" w:rsidRPr="0095612A">
        <w:rPr>
          <w:rFonts w:ascii="Calibri" w:eastAsia="Calibri" w:hAnsi="Calibri" w:cs="Calibri"/>
        </w:rPr>
        <w:t xml:space="preserve">been </w:t>
      </w:r>
      <w:r w:rsidR="00DE7669" w:rsidRPr="0095612A">
        <w:rPr>
          <w:rFonts w:ascii="Calibri" w:eastAsia="Calibri" w:hAnsi="Calibri" w:cs="Calibri"/>
        </w:rPr>
        <w:t>criticized</w:t>
      </w:r>
      <w:r w:rsidR="00C76D27" w:rsidRPr="0095612A">
        <w:rPr>
          <w:rFonts w:ascii="Calibri" w:eastAsia="Calibri" w:hAnsi="Calibri" w:cs="Calibri"/>
        </w:rPr>
        <w:t xml:space="preserve"> </w:t>
      </w:r>
      <w:r w:rsidR="00AF2286" w:rsidRPr="0095612A">
        <w:rPr>
          <w:rFonts w:ascii="Calibri" w:eastAsia="Calibri" w:hAnsi="Calibri" w:cs="Calibri"/>
        </w:rPr>
        <w:t xml:space="preserve">not only </w:t>
      </w:r>
      <w:r w:rsidR="74784CD9" w:rsidRPr="0095612A">
        <w:rPr>
          <w:rFonts w:ascii="Calibri" w:eastAsia="Calibri" w:hAnsi="Calibri" w:cs="Calibri"/>
        </w:rPr>
        <w:t>for</w:t>
      </w:r>
      <w:r w:rsidR="00AF2286" w:rsidRPr="0095612A">
        <w:rPr>
          <w:rFonts w:ascii="Calibri" w:eastAsia="Calibri" w:hAnsi="Calibri" w:cs="Calibri"/>
        </w:rPr>
        <w:t xml:space="preserve"> fail</w:t>
      </w:r>
      <w:r w:rsidR="563352FA" w:rsidRPr="0095612A">
        <w:rPr>
          <w:rFonts w:ascii="Calibri" w:eastAsia="Calibri" w:hAnsi="Calibri" w:cs="Calibri"/>
        </w:rPr>
        <w:t>ing</w:t>
      </w:r>
      <w:r w:rsidR="00AF2286" w:rsidRPr="0095612A">
        <w:rPr>
          <w:rFonts w:ascii="Calibri" w:eastAsia="Calibri" w:hAnsi="Calibri" w:cs="Calibri"/>
        </w:rPr>
        <w:t xml:space="preserve"> to bring prosperity </w:t>
      </w:r>
      <w:r w:rsidR="1998FB49" w:rsidRPr="0095612A">
        <w:rPr>
          <w:rFonts w:ascii="Calibri" w:eastAsia="Calibri" w:hAnsi="Calibri" w:cs="Calibri"/>
        </w:rPr>
        <w:t>to</w:t>
      </w:r>
      <w:r w:rsidR="00AF2286" w:rsidRPr="0095612A">
        <w:rPr>
          <w:rFonts w:ascii="Calibri" w:eastAsia="Calibri" w:hAnsi="Calibri" w:cs="Calibri"/>
        </w:rPr>
        <w:t xml:space="preserve"> </w:t>
      </w:r>
      <w:r w:rsidR="00B62858">
        <w:rPr>
          <w:rFonts w:ascii="Calibri" w:eastAsia="Calibri" w:hAnsi="Calibri" w:cs="Calibri"/>
        </w:rPr>
        <w:t>i</w:t>
      </w:r>
      <w:r w:rsidR="00AF2286" w:rsidRPr="0095612A">
        <w:rPr>
          <w:rFonts w:ascii="Calibri" w:eastAsia="Calibri" w:hAnsi="Calibri" w:cs="Calibri"/>
        </w:rPr>
        <w:t xml:space="preserve">ndigenous Papuans, but also </w:t>
      </w:r>
      <w:r w:rsidR="589C5884" w:rsidRPr="0095612A">
        <w:rPr>
          <w:rFonts w:ascii="Calibri" w:eastAsia="Calibri" w:hAnsi="Calibri" w:cs="Calibri"/>
        </w:rPr>
        <w:t xml:space="preserve">for failing </w:t>
      </w:r>
      <w:r w:rsidR="00AF2286" w:rsidRPr="0095612A">
        <w:rPr>
          <w:rFonts w:ascii="Calibri" w:eastAsia="Calibri" w:hAnsi="Calibri" w:cs="Calibri"/>
        </w:rPr>
        <w:t>t</w:t>
      </w:r>
      <w:r w:rsidR="00914B2D" w:rsidRPr="0095612A">
        <w:rPr>
          <w:rFonts w:ascii="Calibri" w:eastAsia="Calibri" w:hAnsi="Calibri" w:cs="Calibri"/>
        </w:rPr>
        <w:t>o</w:t>
      </w:r>
      <w:r w:rsidR="00AF2286" w:rsidRPr="0095612A">
        <w:rPr>
          <w:rFonts w:ascii="Calibri" w:eastAsia="Calibri" w:hAnsi="Calibri" w:cs="Calibri"/>
        </w:rPr>
        <w:t xml:space="preserve"> improve the human rights situation in West Papua.</w:t>
      </w:r>
      <w:r w:rsidR="001E484B" w:rsidRPr="0048767C">
        <w:rPr>
          <w:rStyle w:val="FootnoteReference"/>
          <w:rFonts w:ascii="Calibri" w:eastAsia="Calibri" w:hAnsi="Calibri" w:cs="Calibri"/>
        </w:rPr>
        <w:footnoteReference w:id="18"/>
      </w:r>
      <w:r w:rsidR="00AF2286" w:rsidRPr="0095612A">
        <w:rPr>
          <w:rFonts w:ascii="Calibri" w:eastAsia="Calibri" w:hAnsi="Calibri" w:cs="Calibri"/>
        </w:rPr>
        <w:t xml:space="preserve"> </w:t>
      </w:r>
    </w:p>
    <w:p w14:paraId="360C04CB" w14:textId="77777777" w:rsidR="00785426" w:rsidRDefault="00785426" w:rsidP="00785426">
      <w:pPr>
        <w:pStyle w:val="ListParagraph"/>
        <w:rPr>
          <w:rFonts w:cs="Calibri"/>
        </w:rPr>
      </w:pPr>
    </w:p>
    <w:p w14:paraId="3CEB68FC" w14:textId="48F3DDD9" w:rsidR="00E11E55" w:rsidRDefault="00E14578" w:rsidP="0095612A">
      <w:pPr>
        <w:numPr>
          <w:ilvl w:val="0"/>
          <w:numId w:val="6"/>
        </w:numPr>
        <w:spacing w:after="0" w:line="240" w:lineRule="auto"/>
        <w:rPr>
          <w:rFonts w:ascii="Calibri" w:eastAsia="Calibri" w:hAnsi="Calibri" w:cs="Calibri"/>
        </w:rPr>
      </w:pPr>
      <w:r>
        <w:rPr>
          <w:rFonts w:ascii="Calibri" w:eastAsia="Calibri" w:hAnsi="Calibri" w:cs="Calibri"/>
        </w:rPr>
        <w:t xml:space="preserve">The </w:t>
      </w:r>
      <w:r w:rsidRPr="00B070BC">
        <w:rPr>
          <w:rFonts w:ascii="Calibri" w:eastAsia="Calibri" w:hAnsi="Calibri" w:cs="Calibri"/>
          <w:i/>
          <w:iCs/>
        </w:rPr>
        <w:t>OTSUS Law for Papua</w:t>
      </w:r>
      <w:r>
        <w:rPr>
          <w:rFonts w:ascii="Calibri" w:eastAsia="Calibri" w:hAnsi="Calibri" w:cs="Calibri"/>
        </w:rPr>
        <w:t xml:space="preserve"> was </w:t>
      </w:r>
      <w:r w:rsidR="00B070BC">
        <w:rPr>
          <w:rFonts w:ascii="Calibri" w:eastAsia="Calibri" w:hAnsi="Calibri" w:cs="Calibri"/>
        </w:rPr>
        <w:t xml:space="preserve">amended for the first time in 2008 </w:t>
      </w:r>
      <w:r w:rsidR="78CB4EDF">
        <w:rPr>
          <w:rFonts w:ascii="Calibri" w:eastAsia="Calibri" w:hAnsi="Calibri" w:cs="Calibri"/>
        </w:rPr>
        <w:t xml:space="preserve">on the occasion </w:t>
      </w:r>
      <w:r w:rsidR="006031AD">
        <w:rPr>
          <w:rFonts w:ascii="Calibri" w:eastAsia="Calibri" w:hAnsi="Calibri" w:cs="Calibri"/>
        </w:rPr>
        <w:t>of</w:t>
      </w:r>
      <w:r w:rsidR="00B070BC">
        <w:rPr>
          <w:rFonts w:ascii="Calibri" w:eastAsia="Calibri" w:hAnsi="Calibri" w:cs="Calibri"/>
        </w:rPr>
        <w:t xml:space="preserve"> the </w:t>
      </w:r>
      <w:r w:rsidR="009420E4">
        <w:rPr>
          <w:rFonts w:ascii="Calibri" w:eastAsia="Calibri" w:hAnsi="Calibri" w:cs="Calibri"/>
        </w:rPr>
        <w:t xml:space="preserve">establishment of </w:t>
      </w:r>
      <w:r w:rsidR="00B070BC">
        <w:rPr>
          <w:rFonts w:ascii="Calibri" w:eastAsia="Calibri" w:hAnsi="Calibri" w:cs="Calibri"/>
        </w:rPr>
        <w:t>Papua Barat Province</w:t>
      </w:r>
      <w:r w:rsidR="009420E4">
        <w:rPr>
          <w:rFonts w:ascii="Calibri" w:eastAsia="Calibri" w:hAnsi="Calibri" w:cs="Calibri"/>
        </w:rPr>
        <w:t>, in addition to the existing Papua Province</w:t>
      </w:r>
      <w:r w:rsidR="00B070BC">
        <w:rPr>
          <w:rFonts w:ascii="Calibri" w:eastAsia="Calibri" w:hAnsi="Calibri" w:cs="Calibri"/>
        </w:rPr>
        <w:t xml:space="preserve">. </w:t>
      </w:r>
      <w:r w:rsidR="00183B18">
        <w:rPr>
          <w:rFonts w:ascii="Calibri" w:eastAsia="Calibri" w:hAnsi="Calibri" w:cs="Calibri"/>
        </w:rPr>
        <w:t xml:space="preserve"> </w:t>
      </w:r>
      <w:r w:rsidR="00DC402F">
        <w:rPr>
          <w:rFonts w:ascii="Calibri" w:eastAsia="Calibri" w:hAnsi="Calibri" w:cs="Calibri"/>
        </w:rPr>
        <w:t>In 2020, t</w:t>
      </w:r>
      <w:r w:rsidR="00160E7F">
        <w:rPr>
          <w:rFonts w:ascii="Calibri" w:eastAsia="Calibri" w:hAnsi="Calibri" w:cs="Calibri"/>
        </w:rPr>
        <w:t xml:space="preserve">hrough </w:t>
      </w:r>
      <w:r w:rsidR="00160E7F">
        <w:t>Presidential Letter No. R-47/ Pres/12/2020</w:t>
      </w:r>
      <w:r w:rsidR="001A0D0A">
        <w:t xml:space="preserve">, </w:t>
      </w:r>
      <w:r w:rsidR="006073DA">
        <w:rPr>
          <w:rFonts w:ascii="Calibri" w:eastAsia="Calibri" w:hAnsi="Calibri" w:cs="Calibri"/>
        </w:rPr>
        <w:t xml:space="preserve">President </w:t>
      </w:r>
      <w:r w:rsidR="001A0D0A">
        <w:rPr>
          <w:rFonts w:ascii="Calibri" w:eastAsia="Calibri" w:hAnsi="Calibri" w:cs="Calibri"/>
        </w:rPr>
        <w:t xml:space="preserve">Joko Widodo </w:t>
      </w:r>
      <w:r w:rsidR="006073DA">
        <w:rPr>
          <w:rFonts w:ascii="Calibri" w:eastAsia="Calibri" w:hAnsi="Calibri" w:cs="Calibri"/>
        </w:rPr>
        <w:t xml:space="preserve">submitted </w:t>
      </w:r>
      <w:r w:rsidR="00E11E55">
        <w:rPr>
          <w:rFonts w:ascii="Calibri" w:eastAsia="Calibri" w:hAnsi="Calibri" w:cs="Calibri"/>
        </w:rPr>
        <w:t>to the House of Representative</w:t>
      </w:r>
      <w:r w:rsidR="002B0D20">
        <w:rPr>
          <w:rFonts w:ascii="Calibri" w:eastAsia="Calibri" w:hAnsi="Calibri" w:cs="Calibri"/>
        </w:rPr>
        <w:t xml:space="preserve"> </w:t>
      </w:r>
      <w:r w:rsidR="2C488C53">
        <w:rPr>
          <w:rFonts w:ascii="Calibri" w:eastAsia="Calibri" w:hAnsi="Calibri" w:cs="Calibri"/>
        </w:rPr>
        <w:t xml:space="preserve">a </w:t>
      </w:r>
      <w:r w:rsidR="002B0D20">
        <w:rPr>
          <w:rFonts w:ascii="Calibri" w:eastAsia="Calibri" w:hAnsi="Calibri" w:cs="Calibri"/>
        </w:rPr>
        <w:t xml:space="preserve">second amendment of the Law. </w:t>
      </w:r>
      <w:r w:rsidR="00CD290D">
        <w:rPr>
          <w:rStyle w:val="FootnoteReference"/>
          <w:rFonts w:ascii="Calibri" w:eastAsia="Calibri" w:hAnsi="Calibri" w:cs="Calibri"/>
        </w:rPr>
        <w:footnoteReference w:id="19"/>
      </w:r>
      <w:r w:rsidR="00E11E55">
        <w:rPr>
          <w:rFonts w:ascii="Calibri" w:eastAsia="Calibri" w:hAnsi="Calibri" w:cs="Calibri"/>
        </w:rPr>
        <w:t xml:space="preserve"> </w:t>
      </w:r>
      <w:r w:rsidR="00D177D8">
        <w:rPr>
          <w:rFonts w:ascii="Calibri" w:eastAsia="Calibri" w:hAnsi="Calibri" w:cs="Calibri"/>
        </w:rPr>
        <w:t>The government proposed amendments of three articles,</w:t>
      </w:r>
      <w:r w:rsidR="00EA789A">
        <w:rPr>
          <w:rFonts w:ascii="Calibri" w:eastAsia="Calibri" w:hAnsi="Calibri" w:cs="Calibri"/>
        </w:rPr>
        <w:t xml:space="preserve"> </w:t>
      </w:r>
      <w:r w:rsidR="001220AE">
        <w:t xml:space="preserve">namely Article 1 on definitions of terms used in this Law; Article 34 concerning the Special Autonomy Fund, and Article 76 concerning proliferation of province and regency level administration. The Indonesian </w:t>
      </w:r>
      <w:r w:rsidR="00DC402F">
        <w:t>House of Representative</w:t>
      </w:r>
      <w:r w:rsidR="001220AE">
        <w:t>, however, proposed amendments to 19 articles.</w:t>
      </w:r>
      <w:r w:rsidR="002D2F25">
        <w:rPr>
          <w:rStyle w:val="FootnoteReference"/>
        </w:rPr>
        <w:footnoteReference w:id="20"/>
      </w:r>
      <w:r w:rsidR="0043663F">
        <w:rPr>
          <w:rFonts w:ascii="Calibri" w:eastAsia="Calibri" w:hAnsi="Calibri" w:cs="Calibri"/>
        </w:rPr>
        <w:t xml:space="preserve"> </w:t>
      </w:r>
    </w:p>
    <w:p w14:paraId="2E276CE1" w14:textId="77777777" w:rsidR="00E11E55" w:rsidRDefault="00E11E55" w:rsidP="00E11E55">
      <w:pPr>
        <w:pStyle w:val="ListParagraph"/>
        <w:rPr>
          <w:rFonts w:cs="Calibri"/>
        </w:rPr>
      </w:pPr>
    </w:p>
    <w:p w14:paraId="535CAD4D" w14:textId="10C2B4F9" w:rsidR="007D73B0" w:rsidRPr="0095612A" w:rsidRDefault="00D0289D" w:rsidP="0095612A">
      <w:pPr>
        <w:numPr>
          <w:ilvl w:val="0"/>
          <w:numId w:val="6"/>
        </w:numPr>
        <w:spacing w:after="0" w:line="240" w:lineRule="auto"/>
        <w:rPr>
          <w:rFonts w:ascii="Calibri" w:eastAsia="Calibri" w:hAnsi="Calibri" w:cs="Calibri"/>
        </w:rPr>
      </w:pPr>
      <w:r>
        <w:rPr>
          <w:rFonts w:ascii="Calibri" w:eastAsia="Calibri" w:hAnsi="Calibri" w:cs="Calibri"/>
        </w:rPr>
        <w:t xml:space="preserve">The </w:t>
      </w:r>
      <w:r w:rsidR="00917B4E">
        <w:rPr>
          <w:rFonts w:ascii="Calibri" w:eastAsia="Calibri" w:hAnsi="Calibri" w:cs="Calibri"/>
        </w:rPr>
        <w:t>proposal of the second amendment</w:t>
      </w:r>
      <w:r w:rsidR="00BE2472" w:rsidRPr="0095612A">
        <w:rPr>
          <w:rFonts w:ascii="Calibri" w:eastAsia="Calibri" w:hAnsi="Calibri" w:cs="Calibri"/>
        </w:rPr>
        <w:t xml:space="preserve"> was responded by </w:t>
      </w:r>
      <w:r w:rsidR="008006E8">
        <w:rPr>
          <w:rFonts w:ascii="Calibri" w:eastAsia="Calibri" w:hAnsi="Calibri" w:cs="Calibri"/>
        </w:rPr>
        <w:t xml:space="preserve">strong reactions </w:t>
      </w:r>
      <w:r w:rsidR="00BE2472" w:rsidRPr="0095612A">
        <w:rPr>
          <w:rFonts w:ascii="Calibri" w:eastAsia="Calibri" w:hAnsi="Calibri" w:cs="Calibri"/>
        </w:rPr>
        <w:t>in West Papua</w:t>
      </w:r>
      <w:r w:rsidR="00655A0E">
        <w:rPr>
          <w:rFonts w:ascii="Calibri" w:eastAsia="Calibri" w:hAnsi="Calibri" w:cs="Calibri"/>
        </w:rPr>
        <w:t>, including by the Papuan People’s Representative Council (DPRP)</w:t>
      </w:r>
      <w:r w:rsidR="00095D87">
        <w:rPr>
          <w:rFonts w:ascii="Calibri" w:eastAsia="Calibri" w:hAnsi="Calibri" w:cs="Calibri"/>
        </w:rPr>
        <w:t>,</w:t>
      </w:r>
      <w:r w:rsidR="00655A0E">
        <w:rPr>
          <w:rFonts w:ascii="Calibri" w:eastAsia="Calibri" w:hAnsi="Calibri" w:cs="Calibri"/>
        </w:rPr>
        <w:t xml:space="preserve"> MRP</w:t>
      </w:r>
      <w:r w:rsidR="00BD3AB2">
        <w:rPr>
          <w:rFonts w:ascii="Calibri" w:eastAsia="Calibri" w:hAnsi="Calibri" w:cs="Calibri"/>
        </w:rPr>
        <w:t>,</w:t>
      </w:r>
      <w:r w:rsidR="00655A0E">
        <w:rPr>
          <w:rFonts w:ascii="Calibri" w:eastAsia="Calibri" w:hAnsi="Calibri" w:cs="Calibri"/>
        </w:rPr>
        <w:t xml:space="preserve"> as well as civil society organisations</w:t>
      </w:r>
      <w:r w:rsidR="00403DBF">
        <w:rPr>
          <w:rFonts w:ascii="Calibri" w:eastAsia="Calibri" w:hAnsi="Calibri" w:cs="Calibri"/>
        </w:rPr>
        <w:t xml:space="preserve">, arguing </w:t>
      </w:r>
      <w:r w:rsidR="003161D1">
        <w:rPr>
          <w:rFonts w:ascii="Calibri" w:eastAsia="Calibri" w:hAnsi="Calibri" w:cs="Calibri"/>
        </w:rPr>
        <w:t>that any amendment should</w:t>
      </w:r>
      <w:r w:rsidR="00403DBF">
        <w:rPr>
          <w:rFonts w:ascii="Calibri" w:eastAsia="Calibri" w:hAnsi="Calibri" w:cs="Calibri"/>
        </w:rPr>
        <w:t xml:space="preserve"> consult the Papuan people first</w:t>
      </w:r>
      <w:r w:rsidR="003161D1">
        <w:rPr>
          <w:rFonts w:ascii="Calibri" w:eastAsia="Calibri" w:hAnsi="Calibri" w:cs="Calibri"/>
        </w:rPr>
        <w:t xml:space="preserve"> which is represented by DPRP and MR</w:t>
      </w:r>
      <w:r w:rsidR="00CD308F">
        <w:rPr>
          <w:rFonts w:ascii="Calibri" w:eastAsia="Calibri" w:hAnsi="Calibri" w:cs="Calibri"/>
        </w:rPr>
        <w:t>P,</w:t>
      </w:r>
      <w:r w:rsidR="00CD308F">
        <w:rPr>
          <w:rStyle w:val="FootnoteReference"/>
          <w:rFonts w:ascii="Calibri" w:eastAsia="Calibri" w:hAnsi="Calibri" w:cs="Calibri"/>
        </w:rPr>
        <w:footnoteReference w:id="21"/>
      </w:r>
      <w:r w:rsidR="00CD308F">
        <w:rPr>
          <w:rFonts w:ascii="Calibri" w:eastAsia="Calibri" w:hAnsi="Calibri" w:cs="Calibri"/>
        </w:rPr>
        <w:t xml:space="preserve"> </w:t>
      </w:r>
      <w:r w:rsidR="00403DBF">
        <w:rPr>
          <w:rFonts w:ascii="Calibri" w:eastAsia="Calibri" w:hAnsi="Calibri" w:cs="Calibri"/>
        </w:rPr>
        <w:t xml:space="preserve">as mandated </w:t>
      </w:r>
      <w:r w:rsidR="00CD308F">
        <w:rPr>
          <w:rFonts w:ascii="Calibri" w:eastAsia="Calibri" w:hAnsi="Calibri" w:cs="Calibri"/>
        </w:rPr>
        <w:t xml:space="preserve">by the several provision in the </w:t>
      </w:r>
      <w:r w:rsidR="00CD308F">
        <w:rPr>
          <w:rFonts w:ascii="Calibri" w:eastAsia="Calibri" w:hAnsi="Calibri" w:cs="Calibri"/>
          <w:i/>
          <w:iCs/>
        </w:rPr>
        <w:t>OTSUS Law for Papua</w:t>
      </w:r>
      <w:r w:rsidR="00CD308F">
        <w:rPr>
          <w:rFonts w:ascii="Calibri" w:eastAsia="Calibri" w:hAnsi="Calibri" w:cs="Calibri"/>
        </w:rPr>
        <w:t xml:space="preserve"> itself</w:t>
      </w:r>
      <w:r w:rsidR="00BE2472" w:rsidRPr="0095612A">
        <w:rPr>
          <w:rFonts w:ascii="Calibri" w:eastAsia="Calibri" w:hAnsi="Calibri" w:cs="Calibri"/>
        </w:rPr>
        <w:t xml:space="preserve">. </w:t>
      </w:r>
      <w:r w:rsidR="009D4459">
        <w:rPr>
          <w:rFonts w:ascii="Calibri" w:eastAsia="Calibri" w:hAnsi="Calibri" w:cs="Calibri"/>
        </w:rPr>
        <w:t xml:space="preserve">In addition, </w:t>
      </w:r>
      <w:r w:rsidR="002A6A2B">
        <w:rPr>
          <w:rFonts w:ascii="Calibri" w:eastAsia="Calibri" w:hAnsi="Calibri" w:cs="Calibri"/>
        </w:rPr>
        <w:t xml:space="preserve">there was a strong concern on </w:t>
      </w:r>
      <w:r w:rsidR="00703AFC" w:rsidRPr="0095612A">
        <w:rPr>
          <w:rFonts w:ascii="Calibri" w:eastAsia="Calibri" w:hAnsi="Calibri" w:cs="Calibri"/>
        </w:rPr>
        <w:t xml:space="preserve">the </w:t>
      </w:r>
      <w:r w:rsidR="002A6A2B">
        <w:rPr>
          <w:rFonts w:ascii="Calibri" w:eastAsia="Calibri" w:hAnsi="Calibri" w:cs="Calibri"/>
        </w:rPr>
        <w:t xml:space="preserve">ongoing human rights violation </w:t>
      </w:r>
      <w:r w:rsidR="009E3841">
        <w:rPr>
          <w:rFonts w:ascii="Calibri" w:eastAsia="Calibri" w:hAnsi="Calibri" w:cs="Calibri"/>
        </w:rPr>
        <w:t xml:space="preserve">in </w:t>
      </w:r>
      <w:r w:rsidR="00802B73">
        <w:rPr>
          <w:rFonts w:ascii="Calibri" w:eastAsia="Calibri" w:hAnsi="Calibri" w:cs="Calibri"/>
        </w:rPr>
        <w:t xml:space="preserve">Papua and Papua Barat </w:t>
      </w:r>
      <w:r w:rsidR="00703AFC" w:rsidRPr="0095612A">
        <w:rPr>
          <w:rFonts w:ascii="Calibri" w:eastAsia="Calibri" w:hAnsi="Calibri" w:cs="Calibri"/>
        </w:rPr>
        <w:t xml:space="preserve">provinces </w:t>
      </w:r>
      <w:r w:rsidR="009E3841">
        <w:rPr>
          <w:rFonts w:ascii="Calibri" w:eastAsia="Calibri" w:hAnsi="Calibri" w:cs="Calibri"/>
        </w:rPr>
        <w:t xml:space="preserve">that have not been addressed by the central government. </w:t>
      </w:r>
      <w:r w:rsidR="00802B73">
        <w:rPr>
          <w:rFonts w:ascii="Calibri" w:eastAsia="Calibri" w:hAnsi="Calibri" w:cs="Calibri"/>
        </w:rPr>
        <w:t>The Papuan also expressed their concern that</w:t>
      </w:r>
      <w:r w:rsidR="00703AFC" w:rsidRPr="0095612A">
        <w:rPr>
          <w:rFonts w:ascii="Calibri" w:eastAsia="Calibri" w:hAnsi="Calibri" w:cs="Calibri"/>
        </w:rPr>
        <w:t xml:space="preserve"> the </w:t>
      </w:r>
      <w:r w:rsidR="00DE088F" w:rsidRPr="0095612A">
        <w:rPr>
          <w:rFonts w:ascii="Calibri" w:eastAsia="Calibri" w:hAnsi="Calibri" w:cs="Calibri"/>
        </w:rPr>
        <w:t xml:space="preserve">development approach </w:t>
      </w:r>
      <w:r w:rsidR="00936057">
        <w:rPr>
          <w:rFonts w:ascii="Calibri" w:eastAsia="Calibri" w:hAnsi="Calibri" w:cs="Calibri"/>
        </w:rPr>
        <w:t xml:space="preserve">by the central government </w:t>
      </w:r>
      <w:r w:rsidR="00DE088F" w:rsidRPr="0095612A">
        <w:rPr>
          <w:rFonts w:ascii="Calibri" w:eastAsia="Calibri" w:hAnsi="Calibri" w:cs="Calibri"/>
        </w:rPr>
        <w:t>benefited only for a few</w:t>
      </w:r>
      <w:r w:rsidR="00936057">
        <w:rPr>
          <w:rFonts w:ascii="Calibri" w:eastAsia="Calibri" w:hAnsi="Calibri" w:cs="Calibri"/>
        </w:rPr>
        <w:t xml:space="preserve"> in West Papua</w:t>
      </w:r>
      <w:r w:rsidR="00D969CE">
        <w:rPr>
          <w:rFonts w:ascii="Calibri" w:eastAsia="Calibri" w:hAnsi="Calibri" w:cs="Calibri"/>
        </w:rPr>
        <w:t>, and the indigenous people remain at the disadvantage position. T</w:t>
      </w:r>
      <w:r w:rsidR="004B3A2F" w:rsidRPr="0095612A">
        <w:rPr>
          <w:rFonts w:ascii="Calibri" w:eastAsia="Calibri" w:hAnsi="Calibri" w:cs="Calibri"/>
        </w:rPr>
        <w:t xml:space="preserve">he central government was also considered to block the enactment of </w:t>
      </w:r>
      <w:r w:rsidR="00CE30FA" w:rsidRPr="0095612A">
        <w:rPr>
          <w:rFonts w:ascii="Calibri" w:eastAsia="Calibri" w:hAnsi="Calibri" w:cs="Calibri"/>
        </w:rPr>
        <w:t xml:space="preserve">several </w:t>
      </w:r>
      <w:r w:rsidR="000745EA" w:rsidRPr="0095612A">
        <w:rPr>
          <w:rFonts w:ascii="Calibri" w:eastAsia="Calibri" w:hAnsi="Calibri" w:cs="Calibri"/>
        </w:rPr>
        <w:t xml:space="preserve">by-laws </w:t>
      </w:r>
      <w:r w:rsidR="00CE30FA" w:rsidRPr="0095612A">
        <w:rPr>
          <w:rFonts w:ascii="Calibri" w:eastAsia="Calibri" w:hAnsi="Calibri" w:cs="Calibri"/>
        </w:rPr>
        <w:t xml:space="preserve">which were considered as contradicting to the national interests, such as the </w:t>
      </w:r>
      <w:r w:rsidR="00EA74A7" w:rsidRPr="0095612A">
        <w:rPr>
          <w:rFonts w:ascii="Calibri" w:eastAsia="Calibri" w:hAnsi="Calibri" w:cs="Calibri"/>
        </w:rPr>
        <w:t>establishment of local political parties in West Papua.</w:t>
      </w:r>
      <w:r w:rsidR="0097169D" w:rsidRPr="0048767C">
        <w:rPr>
          <w:rStyle w:val="FootnoteReference"/>
          <w:rFonts w:ascii="Calibri" w:eastAsia="Calibri" w:hAnsi="Calibri" w:cs="Calibri"/>
        </w:rPr>
        <w:footnoteReference w:id="22"/>
      </w:r>
    </w:p>
    <w:p w14:paraId="257136E5" w14:textId="77777777" w:rsidR="007D73B0" w:rsidRPr="0048767C" w:rsidRDefault="007D73B0" w:rsidP="007D73B0">
      <w:pPr>
        <w:pStyle w:val="ListParagraph"/>
        <w:rPr>
          <w:rFonts w:cs="Calibri"/>
        </w:rPr>
      </w:pPr>
    </w:p>
    <w:p w14:paraId="1AA098AC" w14:textId="22AF803D" w:rsidR="00EF79C5" w:rsidRPr="0048767C" w:rsidRDefault="009D4459" w:rsidP="00501F31">
      <w:pPr>
        <w:numPr>
          <w:ilvl w:val="0"/>
          <w:numId w:val="6"/>
        </w:numPr>
        <w:spacing w:after="0" w:line="240" w:lineRule="auto"/>
        <w:rPr>
          <w:rFonts w:ascii="Calibri" w:eastAsia="Calibri" w:hAnsi="Calibri" w:cs="Calibri"/>
        </w:rPr>
      </w:pPr>
      <w:r>
        <w:rPr>
          <w:rFonts w:ascii="Calibri" w:eastAsia="Calibri" w:hAnsi="Calibri" w:cs="Calibri"/>
        </w:rPr>
        <w:t>I</w:t>
      </w:r>
      <w:r w:rsidR="00EB16CE" w:rsidRPr="0048767C">
        <w:rPr>
          <w:rFonts w:ascii="Calibri" w:eastAsia="Calibri" w:hAnsi="Calibri" w:cs="Calibri"/>
        </w:rPr>
        <w:t xml:space="preserve">n November 2020, the </w:t>
      </w:r>
      <w:r w:rsidR="005559E8" w:rsidRPr="0048767C">
        <w:rPr>
          <w:rFonts w:ascii="Calibri" w:eastAsia="Calibri" w:hAnsi="Calibri" w:cs="Calibri"/>
        </w:rPr>
        <w:t xml:space="preserve">MRP </w:t>
      </w:r>
      <w:r w:rsidR="00FD10C9" w:rsidRPr="0048767C">
        <w:rPr>
          <w:rFonts w:ascii="Calibri" w:eastAsia="Calibri" w:hAnsi="Calibri" w:cs="Calibri"/>
        </w:rPr>
        <w:t xml:space="preserve">as a statutory body of the </w:t>
      </w:r>
      <w:r w:rsidR="00A77638" w:rsidRPr="0048767C">
        <w:rPr>
          <w:rFonts w:ascii="Calibri" w:eastAsia="Calibri" w:hAnsi="Calibri" w:cs="Calibri"/>
          <w:i/>
          <w:iCs/>
        </w:rPr>
        <w:t xml:space="preserve">OTSUS Law </w:t>
      </w:r>
      <w:r w:rsidR="00462967" w:rsidRPr="0048767C">
        <w:rPr>
          <w:rFonts w:ascii="Calibri" w:eastAsia="Calibri" w:hAnsi="Calibri" w:cs="Calibri"/>
          <w:i/>
          <w:iCs/>
        </w:rPr>
        <w:t xml:space="preserve">for </w:t>
      </w:r>
      <w:r w:rsidR="00FD10C9" w:rsidRPr="0048767C">
        <w:rPr>
          <w:rFonts w:ascii="Calibri" w:eastAsia="Calibri" w:hAnsi="Calibri" w:cs="Calibri"/>
          <w:i/>
          <w:iCs/>
        </w:rPr>
        <w:t xml:space="preserve">Papua </w:t>
      </w:r>
      <w:r w:rsidR="005559E8" w:rsidRPr="0048767C">
        <w:rPr>
          <w:rFonts w:ascii="Calibri" w:eastAsia="Calibri" w:hAnsi="Calibri" w:cs="Calibri"/>
        </w:rPr>
        <w:t xml:space="preserve">launched </w:t>
      </w:r>
      <w:r w:rsidR="00316218" w:rsidRPr="0048767C">
        <w:rPr>
          <w:rFonts w:ascii="Calibri" w:eastAsia="Calibri" w:hAnsi="Calibri" w:cs="Calibri"/>
        </w:rPr>
        <w:t xml:space="preserve">an initiative to organise series </w:t>
      </w:r>
      <w:r w:rsidR="00624E6E" w:rsidRPr="0048767C">
        <w:rPr>
          <w:rFonts w:ascii="Calibri" w:eastAsia="Calibri" w:hAnsi="Calibri" w:cs="Calibri"/>
        </w:rPr>
        <w:t xml:space="preserve">of consultation </w:t>
      </w:r>
      <w:r w:rsidR="00572D9B" w:rsidRPr="0048767C">
        <w:rPr>
          <w:rFonts w:ascii="Calibri" w:eastAsia="Calibri" w:hAnsi="Calibri" w:cs="Calibri"/>
        </w:rPr>
        <w:t xml:space="preserve">and </w:t>
      </w:r>
      <w:r w:rsidR="00FC0EDC" w:rsidRPr="0048767C">
        <w:rPr>
          <w:rFonts w:ascii="Calibri" w:eastAsia="Calibri" w:hAnsi="Calibri" w:cs="Calibri"/>
        </w:rPr>
        <w:t>hearing</w:t>
      </w:r>
      <w:r w:rsidR="00572D9B" w:rsidRPr="0048767C">
        <w:rPr>
          <w:rFonts w:ascii="Calibri" w:eastAsia="Calibri" w:hAnsi="Calibri" w:cs="Calibri"/>
        </w:rPr>
        <w:t>s</w:t>
      </w:r>
      <w:r w:rsidR="00FC0EDC" w:rsidRPr="0048767C">
        <w:rPr>
          <w:rFonts w:ascii="Calibri" w:eastAsia="Calibri" w:hAnsi="Calibri" w:cs="Calibri"/>
        </w:rPr>
        <w:t xml:space="preserve"> </w:t>
      </w:r>
      <w:r w:rsidR="00624E6E" w:rsidRPr="0048767C">
        <w:rPr>
          <w:rFonts w:ascii="Calibri" w:eastAsia="Calibri" w:hAnsi="Calibri" w:cs="Calibri"/>
        </w:rPr>
        <w:t xml:space="preserve">in Papua and Papua </w:t>
      </w:r>
      <w:r w:rsidR="005116F1" w:rsidRPr="0048767C">
        <w:rPr>
          <w:rFonts w:ascii="Calibri" w:eastAsia="Calibri" w:hAnsi="Calibri" w:cs="Calibri"/>
        </w:rPr>
        <w:t xml:space="preserve">Barat </w:t>
      </w:r>
      <w:r w:rsidR="00624E6E" w:rsidRPr="0048767C">
        <w:rPr>
          <w:rFonts w:ascii="Calibri" w:eastAsia="Calibri" w:hAnsi="Calibri" w:cs="Calibri"/>
        </w:rPr>
        <w:t>Provinces,</w:t>
      </w:r>
      <w:r w:rsidR="00FC0EDC" w:rsidRPr="0048767C">
        <w:rPr>
          <w:rFonts w:ascii="Calibri" w:eastAsia="Calibri" w:hAnsi="Calibri" w:cs="Calibri"/>
        </w:rPr>
        <w:t xml:space="preserve"> to collect </w:t>
      </w:r>
      <w:r w:rsidR="00316218" w:rsidRPr="0048767C">
        <w:rPr>
          <w:rFonts w:ascii="Calibri" w:eastAsia="Calibri" w:hAnsi="Calibri" w:cs="Calibri"/>
        </w:rPr>
        <w:t xml:space="preserve">views and </w:t>
      </w:r>
      <w:r w:rsidR="00FC0EDC" w:rsidRPr="0048767C">
        <w:rPr>
          <w:rFonts w:ascii="Calibri" w:eastAsia="Calibri" w:hAnsi="Calibri" w:cs="Calibri"/>
        </w:rPr>
        <w:t>inputs from the Papuans</w:t>
      </w:r>
      <w:r w:rsidR="00572D9B" w:rsidRPr="0048767C">
        <w:rPr>
          <w:rFonts w:ascii="Calibri" w:eastAsia="Calibri" w:hAnsi="Calibri" w:cs="Calibri"/>
        </w:rPr>
        <w:t>, in accordance with Article 77 of the</w:t>
      </w:r>
      <w:r w:rsidR="00683705" w:rsidRPr="0048767C">
        <w:rPr>
          <w:rFonts w:ascii="Calibri" w:eastAsia="Calibri" w:hAnsi="Calibri" w:cs="Calibri"/>
        </w:rPr>
        <w:t xml:space="preserve"> Law. The consultations which were expected to take place </w:t>
      </w:r>
      <w:r w:rsidR="0076160E" w:rsidRPr="0048767C">
        <w:rPr>
          <w:rFonts w:ascii="Calibri" w:eastAsia="Calibri" w:hAnsi="Calibri" w:cs="Calibri"/>
        </w:rPr>
        <w:t xml:space="preserve">between 17 and 18 November 2020 in five customary areas of West Papua were finally </w:t>
      </w:r>
      <w:r w:rsidR="00AE1E94" w:rsidRPr="0048767C">
        <w:rPr>
          <w:rFonts w:ascii="Calibri" w:eastAsia="Calibri" w:hAnsi="Calibri" w:cs="Calibri"/>
        </w:rPr>
        <w:t xml:space="preserve">cancelled due to the intimidation and obstructions from some </w:t>
      </w:r>
      <w:r w:rsidR="0002762F" w:rsidRPr="0048767C">
        <w:rPr>
          <w:rFonts w:ascii="Calibri" w:eastAsia="Calibri" w:hAnsi="Calibri" w:cs="Calibri"/>
        </w:rPr>
        <w:t>pro-government groups.</w:t>
      </w:r>
      <w:r w:rsidR="00EA5B48" w:rsidRPr="0048767C">
        <w:rPr>
          <w:rFonts w:ascii="Calibri" w:eastAsia="Calibri" w:hAnsi="Calibri" w:cs="Calibri"/>
        </w:rPr>
        <w:t xml:space="preserve"> </w:t>
      </w:r>
      <w:r w:rsidR="004234D7" w:rsidRPr="0048767C">
        <w:rPr>
          <w:rFonts w:ascii="Calibri" w:eastAsia="Calibri" w:hAnsi="Calibri" w:cs="Calibri"/>
        </w:rPr>
        <w:t>On 17 November 2020</w:t>
      </w:r>
      <w:r w:rsidR="009B0194" w:rsidRPr="0048767C">
        <w:rPr>
          <w:rFonts w:ascii="Calibri" w:eastAsia="Calibri" w:hAnsi="Calibri" w:cs="Calibri"/>
        </w:rPr>
        <w:t xml:space="preserve"> in Merauke, Papua Province, </w:t>
      </w:r>
      <w:r w:rsidR="00CE26B8" w:rsidRPr="0048767C">
        <w:rPr>
          <w:rFonts w:ascii="Calibri" w:eastAsia="Calibri" w:hAnsi="Calibri" w:cs="Calibri"/>
        </w:rPr>
        <w:t xml:space="preserve">the police arrested </w:t>
      </w:r>
      <w:r w:rsidR="00846BB7" w:rsidRPr="0048767C">
        <w:rPr>
          <w:rFonts w:ascii="Calibri" w:eastAsia="Calibri" w:hAnsi="Calibri" w:cs="Calibri"/>
        </w:rPr>
        <w:t>55 persons who were in the town to participate in the MRP consultation and hearing</w:t>
      </w:r>
      <w:r w:rsidR="00602CCC" w:rsidRPr="0048767C">
        <w:rPr>
          <w:rFonts w:ascii="Calibri" w:eastAsia="Calibri" w:hAnsi="Calibri" w:cs="Calibri"/>
        </w:rPr>
        <w:t xml:space="preserve">. Among them were MRP members, </w:t>
      </w:r>
      <w:r w:rsidR="00B66D58" w:rsidRPr="0048767C">
        <w:rPr>
          <w:rFonts w:ascii="Calibri" w:eastAsia="Calibri" w:hAnsi="Calibri" w:cs="Calibri"/>
        </w:rPr>
        <w:t>resource persons and civil society representatives.</w:t>
      </w:r>
      <w:r w:rsidR="00B66D58" w:rsidRPr="0048767C">
        <w:rPr>
          <w:rStyle w:val="FootnoteReference"/>
          <w:rFonts w:ascii="Calibri" w:eastAsia="Calibri" w:hAnsi="Calibri" w:cs="Calibri"/>
        </w:rPr>
        <w:footnoteReference w:id="23"/>
      </w:r>
      <w:r w:rsidR="004234D7" w:rsidRPr="0048767C">
        <w:rPr>
          <w:rFonts w:ascii="Calibri" w:eastAsia="Calibri" w:hAnsi="Calibri" w:cs="Calibri"/>
        </w:rPr>
        <w:t xml:space="preserve"> </w:t>
      </w:r>
      <w:r w:rsidR="002658AB" w:rsidRPr="0048767C">
        <w:rPr>
          <w:rFonts w:ascii="Calibri" w:eastAsia="Calibri" w:hAnsi="Calibri" w:cs="Calibri"/>
        </w:rPr>
        <w:t xml:space="preserve">They were released on the next </w:t>
      </w:r>
      <w:r w:rsidR="00523FB0" w:rsidRPr="0048767C">
        <w:rPr>
          <w:rFonts w:ascii="Calibri" w:eastAsia="Calibri" w:hAnsi="Calibri" w:cs="Calibri"/>
        </w:rPr>
        <w:t>day.</w:t>
      </w:r>
      <w:r w:rsidR="00A865F1" w:rsidRPr="0048767C">
        <w:rPr>
          <w:rFonts w:ascii="Calibri" w:eastAsia="Calibri" w:hAnsi="Calibri" w:cs="Calibri"/>
        </w:rPr>
        <w:t xml:space="preserve"> However, t</w:t>
      </w:r>
      <w:r w:rsidR="00523FB0" w:rsidRPr="0048767C">
        <w:rPr>
          <w:rFonts w:ascii="Calibri" w:eastAsia="Calibri" w:hAnsi="Calibri" w:cs="Calibri"/>
        </w:rPr>
        <w:t xml:space="preserve">hey </w:t>
      </w:r>
      <w:r w:rsidR="002658AB" w:rsidRPr="0048767C">
        <w:rPr>
          <w:rFonts w:ascii="Calibri" w:eastAsia="Calibri" w:hAnsi="Calibri" w:cs="Calibri"/>
        </w:rPr>
        <w:t>were summoned for further interrogation on 19 November 2020</w:t>
      </w:r>
      <w:r w:rsidR="004B3F4D" w:rsidRPr="0048767C">
        <w:rPr>
          <w:rFonts w:ascii="Calibri" w:eastAsia="Calibri" w:hAnsi="Calibri" w:cs="Calibri"/>
        </w:rPr>
        <w:t xml:space="preserve"> by the Police</w:t>
      </w:r>
      <w:r w:rsidR="002658AB" w:rsidRPr="0048767C">
        <w:rPr>
          <w:rFonts w:ascii="Calibri" w:eastAsia="Calibri" w:hAnsi="Calibri" w:cs="Calibri"/>
        </w:rPr>
        <w:t xml:space="preserve">. </w:t>
      </w:r>
    </w:p>
    <w:p w14:paraId="085D28AA" w14:textId="77777777" w:rsidR="00450189" w:rsidRPr="0048767C" w:rsidRDefault="00450189" w:rsidP="00450189">
      <w:pPr>
        <w:spacing w:after="0" w:line="240" w:lineRule="auto"/>
        <w:rPr>
          <w:rFonts w:ascii="Calibri" w:eastAsia="Calibri" w:hAnsi="Calibri" w:cs="Calibri"/>
        </w:rPr>
      </w:pPr>
    </w:p>
    <w:p w14:paraId="4B384E3F" w14:textId="566431A7" w:rsidR="00AC7B34" w:rsidRPr="00443B72" w:rsidRDefault="000402C6" w:rsidP="00443B72">
      <w:pPr>
        <w:numPr>
          <w:ilvl w:val="0"/>
          <w:numId w:val="6"/>
        </w:numPr>
        <w:spacing w:after="0" w:line="240" w:lineRule="auto"/>
        <w:rPr>
          <w:rFonts w:ascii="Calibri" w:eastAsia="Calibri" w:hAnsi="Calibri" w:cs="Calibri"/>
        </w:rPr>
      </w:pPr>
      <w:r w:rsidRPr="00443B72">
        <w:rPr>
          <w:rFonts w:ascii="Calibri" w:eastAsia="Calibri" w:hAnsi="Calibri" w:cs="Calibri"/>
        </w:rPr>
        <w:t>Despite the protest and widespread rejection, o</w:t>
      </w:r>
      <w:r w:rsidR="00D66DBA" w:rsidRPr="00443B72">
        <w:rPr>
          <w:rFonts w:ascii="Calibri" w:eastAsia="Calibri" w:hAnsi="Calibri" w:cs="Calibri"/>
        </w:rPr>
        <w:t>n 19 July 2021, the President of Indonesia adopted a decision</w:t>
      </w:r>
      <w:r w:rsidR="009164C9" w:rsidRPr="00443B72">
        <w:rPr>
          <w:rFonts w:ascii="Calibri" w:eastAsia="Calibri" w:hAnsi="Calibri" w:cs="Calibri"/>
        </w:rPr>
        <w:t xml:space="preserve"> on the amendments of the Special Autonomy Law for Papua Province.</w:t>
      </w:r>
      <w:r w:rsidR="00520122" w:rsidRPr="0048767C">
        <w:rPr>
          <w:rStyle w:val="FootnoteReference"/>
          <w:rFonts w:ascii="Calibri" w:eastAsia="Calibri" w:hAnsi="Calibri" w:cs="Calibri"/>
        </w:rPr>
        <w:footnoteReference w:id="24"/>
      </w:r>
      <w:r w:rsidR="00D66DBA" w:rsidRPr="00443B72">
        <w:rPr>
          <w:rFonts w:ascii="Calibri" w:eastAsia="Calibri" w:hAnsi="Calibri" w:cs="Calibri"/>
        </w:rPr>
        <w:t xml:space="preserve"> </w:t>
      </w:r>
      <w:r w:rsidR="00740033" w:rsidRPr="00443B72">
        <w:rPr>
          <w:rFonts w:ascii="Calibri" w:eastAsia="Calibri" w:hAnsi="Calibri" w:cs="Calibri"/>
        </w:rPr>
        <w:t xml:space="preserve">Some of the key issues in the amendments include the </w:t>
      </w:r>
      <w:r w:rsidR="00A024BE" w:rsidRPr="00443B72">
        <w:rPr>
          <w:rFonts w:ascii="Calibri" w:eastAsia="Calibri" w:hAnsi="Calibri" w:cs="Calibri"/>
        </w:rPr>
        <w:t>decision to create new provinces, in addition to the existing Papua and Papua Barat Provinces</w:t>
      </w:r>
      <w:r w:rsidR="00B55659" w:rsidRPr="00443B72">
        <w:rPr>
          <w:rFonts w:ascii="Calibri" w:eastAsia="Calibri" w:hAnsi="Calibri" w:cs="Calibri"/>
        </w:rPr>
        <w:t xml:space="preserve"> and the increase of the Special Autonomy Law </w:t>
      </w:r>
      <w:r w:rsidR="005373D6" w:rsidRPr="00443B72">
        <w:rPr>
          <w:rFonts w:ascii="Calibri" w:eastAsia="Calibri" w:hAnsi="Calibri" w:cs="Calibri"/>
        </w:rPr>
        <w:t xml:space="preserve">from 2% </w:t>
      </w:r>
      <w:r w:rsidR="00B55659" w:rsidRPr="00443B72">
        <w:rPr>
          <w:rFonts w:ascii="Calibri" w:eastAsia="Calibri" w:hAnsi="Calibri" w:cs="Calibri"/>
        </w:rPr>
        <w:t>of the national budget</w:t>
      </w:r>
      <w:r w:rsidR="00DD3DEE" w:rsidRPr="00443B72">
        <w:rPr>
          <w:rFonts w:ascii="Calibri" w:eastAsia="Calibri" w:hAnsi="Calibri" w:cs="Calibri"/>
        </w:rPr>
        <w:t xml:space="preserve"> in the period of 2001 to 2021</w:t>
      </w:r>
      <w:r w:rsidR="006B0F7E" w:rsidRPr="00443B72">
        <w:rPr>
          <w:rFonts w:ascii="Calibri" w:eastAsia="Calibri" w:hAnsi="Calibri" w:cs="Calibri"/>
        </w:rPr>
        <w:t xml:space="preserve"> to 2</w:t>
      </w:r>
      <w:r w:rsidR="00F37C46" w:rsidRPr="00443B72">
        <w:rPr>
          <w:rFonts w:ascii="Calibri" w:eastAsia="Calibri" w:hAnsi="Calibri" w:cs="Calibri"/>
        </w:rPr>
        <w:t>.25%</w:t>
      </w:r>
      <w:r w:rsidR="0044728C" w:rsidRPr="00443B72">
        <w:rPr>
          <w:rFonts w:ascii="Calibri" w:eastAsia="Calibri" w:hAnsi="Calibri" w:cs="Calibri"/>
        </w:rPr>
        <w:t xml:space="preserve"> of the national budge</w:t>
      </w:r>
      <w:r w:rsidR="007F51BC" w:rsidRPr="00443B72">
        <w:rPr>
          <w:rFonts w:ascii="Calibri" w:eastAsia="Calibri" w:hAnsi="Calibri" w:cs="Calibri"/>
        </w:rPr>
        <w:t>.</w:t>
      </w:r>
      <w:r w:rsidR="007F51BC" w:rsidRPr="0048767C">
        <w:rPr>
          <w:rStyle w:val="FootnoteReference"/>
          <w:rFonts w:ascii="Calibri" w:eastAsia="Calibri" w:hAnsi="Calibri" w:cs="Calibri"/>
        </w:rPr>
        <w:footnoteReference w:id="25"/>
      </w:r>
      <w:r w:rsidR="007F51BC" w:rsidRPr="00443B72">
        <w:rPr>
          <w:rFonts w:ascii="Calibri" w:eastAsia="Calibri" w:hAnsi="Calibri" w:cs="Calibri"/>
        </w:rPr>
        <w:t xml:space="preserve"> </w:t>
      </w:r>
      <w:r w:rsidR="00CF5DF3" w:rsidRPr="00443B72">
        <w:rPr>
          <w:rFonts w:ascii="Calibri" w:eastAsia="Calibri" w:hAnsi="Calibri" w:cs="Calibri"/>
        </w:rPr>
        <w:t>While the increase seems</w:t>
      </w:r>
      <w:r w:rsidR="00A04E67" w:rsidRPr="00443B72">
        <w:rPr>
          <w:rFonts w:ascii="Calibri" w:eastAsia="Calibri" w:hAnsi="Calibri" w:cs="Calibri"/>
        </w:rPr>
        <w:t xml:space="preserve"> encouraging, there </w:t>
      </w:r>
      <w:r w:rsidR="00A568B8" w:rsidRPr="00443B72">
        <w:rPr>
          <w:rFonts w:ascii="Calibri" w:eastAsia="Calibri" w:hAnsi="Calibri" w:cs="Calibri"/>
        </w:rPr>
        <w:t>was</w:t>
      </w:r>
      <w:r w:rsidR="00A04E67" w:rsidRPr="00443B72">
        <w:rPr>
          <w:rFonts w:ascii="Calibri" w:eastAsia="Calibri" w:hAnsi="Calibri" w:cs="Calibri"/>
        </w:rPr>
        <w:t xml:space="preserve"> no </w:t>
      </w:r>
      <w:r w:rsidR="00CB0BF4" w:rsidRPr="00443B72">
        <w:rPr>
          <w:rFonts w:ascii="Calibri" w:eastAsia="Calibri" w:hAnsi="Calibri" w:cs="Calibri"/>
        </w:rPr>
        <w:t xml:space="preserve">comprehensive </w:t>
      </w:r>
      <w:r w:rsidR="00947810" w:rsidRPr="00443B72">
        <w:rPr>
          <w:rFonts w:ascii="Calibri" w:eastAsia="Calibri" w:hAnsi="Calibri" w:cs="Calibri"/>
        </w:rPr>
        <w:t xml:space="preserve">monitoring and </w:t>
      </w:r>
      <w:r w:rsidR="00CB0BF4" w:rsidRPr="00443B72">
        <w:rPr>
          <w:rFonts w:ascii="Calibri" w:eastAsia="Calibri" w:hAnsi="Calibri" w:cs="Calibri"/>
        </w:rPr>
        <w:t>evaluation on how the budget was implemented</w:t>
      </w:r>
      <w:r w:rsidR="00A568B8" w:rsidRPr="00443B72">
        <w:rPr>
          <w:rFonts w:ascii="Calibri" w:eastAsia="Calibri" w:hAnsi="Calibri" w:cs="Calibri"/>
        </w:rPr>
        <w:t xml:space="preserve">, whether the indigenous Papuans have benefited </w:t>
      </w:r>
      <w:r w:rsidR="002B73A3" w:rsidRPr="00443B72">
        <w:rPr>
          <w:rFonts w:ascii="Calibri" w:eastAsia="Calibri" w:hAnsi="Calibri" w:cs="Calibri"/>
        </w:rPr>
        <w:t xml:space="preserve">from the </w:t>
      </w:r>
      <w:r w:rsidR="00344158" w:rsidRPr="00443B72">
        <w:rPr>
          <w:rFonts w:ascii="Calibri" w:eastAsia="Calibri" w:hAnsi="Calibri" w:cs="Calibri"/>
        </w:rPr>
        <w:t xml:space="preserve">Special Autonomy Law </w:t>
      </w:r>
      <w:r w:rsidR="00344158" w:rsidRPr="00443B72">
        <w:rPr>
          <w:rFonts w:ascii="Calibri" w:eastAsia="Calibri" w:hAnsi="Calibri" w:cs="Calibri"/>
        </w:rPr>
        <w:lastRenderedPageBreak/>
        <w:t xml:space="preserve">Fund. The </w:t>
      </w:r>
      <w:r w:rsidR="00CE70D1" w:rsidRPr="00443B72">
        <w:rPr>
          <w:rFonts w:ascii="Calibri" w:eastAsia="Calibri" w:hAnsi="Calibri" w:cs="Calibri"/>
        </w:rPr>
        <w:t xml:space="preserve">deepening gap on the living condition between the indigenous Papuans and non-Papuan provides </w:t>
      </w:r>
      <w:r w:rsidR="0012695F" w:rsidRPr="00443B72">
        <w:rPr>
          <w:rFonts w:ascii="Calibri" w:eastAsia="Calibri" w:hAnsi="Calibri" w:cs="Calibri"/>
        </w:rPr>
        <w:t xml:space="preserve">the </w:t>
      </w:r>
      <w:r w:rsidR="00497018" w:rsidRPr="00443B72">
        <w:rPr>
          <w:rFonts w:ascii="Calibri" w:eastAsia="Calibri" w:hAnsi="Calibri" w:cs="Calibri"/>
        </w:rPr>
        <w:t>thinking</w:t>
      </w:r>
      <w:r w:rsidR="0012695F" w:rsidRPr="00443B72">
        <w:rPr>
          <w:rFonts w:ascii="Calibri" w:eastAsia="Calibri" w:hAnsi="Calibri" w:cs="Calibri"/>
        </w:rPr>
        <w:t xml:space="preserve"> that the Fund </w:t>
      </w:r>
      <w:r w:rsidR="007566FE" w:rsidRPr="00443B72">
        <w:rPr>
          <w:rFonts w:ascii="Calibri" w:eastAsia="Calibri" w:hAnsi="Calibri" w:cs="Calibri"/>
        </w:rPr>
        <w:t>had not been used effectively</w:t>
      </w:r>
      <w:r w:rsidR="00983332" w:rsidRPr="00443B72">
        <w:rPr>
          <w:rFonts w:ascii="Calibri" w:eastAsia="Calibri" w:hAnsi="Calibri" w:cs="Calibri"/>
        </w:rPr>
        <w:t xml:space="preserve"> in </w:t>
      </w:r>
      <w:r w:rsidR="00E1681C" w:rsidRPr="00443B72">
        <w:rPr>
          <w:rFonts w:ascii="Calibri" w:eastAsia="Calibri" w:hAnsi="Calibri" w:cs="Calibri"/>
        </w:rPr>
        <w:t>improving</w:t>
      </w:r>
      <w:r w:rsidR="00983332" w:rsidRPr="00443B72">
        <w:rPr>
          <w:rFonts w:ascii="Calibri" w:eastAsia="Calibri" w:hAnsi="Calibri" w:cs="Calibri"/>
        </w:rPr>
        <w:t xml:space="preserve"> the </w:t>
      </w:r>
      <w:r w:rsidR="001B3402" w:rsidRPr="00443B72">
        <w:rPr>
          <w:rFonts w:ascii="Calibri" w:eastAsia="Calibri" w:hAnsi="Calibri" w:cs="Calibri"/>
        </w:rPr>
        <w:t>living condition of the indigenous Papuans.</w:t>
      </w:r>
      <w:r w:rsidR="00F12EDA" w:rsidRPr="00443B72">
        <w:rPr>
          <w:rFonts w:ascii="Calibri" w:eastAsia="Calibri" w:hAnsi="Calibri" w:cs="Calibri"/>
        </w:rPr>
        <w:t xml:space="preserve"> </w:t>
      </w:r>
      <w:r w:rsidR="000D3A04" w:rsidRPr="00443B72">
        <w:rPr>
          <w:rFonts w:ascii="Calibri" w:eastAsia="Calibri" w:hAnsi="Calibri" w:cs="Calibri"/>
        </w:rPr>
        <w:t>Despite the concerns of the on-going human rights situation in West Papua</w:t>
      </w:r>
      <w:r w:rsidR="00B751B0" w:rsidRPr="00443B72">
        <w:rPr>
          <w:rFonts w:ascii="Calibri" w:eastAsia="Calibri" w:hAnsi="Calibri" w:cs="Calibri"/>
        </w:rPr>
        <w:t>, t</w:t>
      </w:r>
      <w:r w:rsidR="00F12EDA" w:rsidRPr="00443B72">
        <w:rPr>
          <w:rFonts w:ascii="Calibri" w:eastAsia="Calibri" w:hAnsi="Calibri" w:cs="Calibri"/>
        </w:rPr>
        <w:t xml:space="preserve">he amendments did not </w:t>
      </w:r>
      <w:r w:rsidR="00B751B0" w:rsidRPr="00443B72">
        <w:rPr>
          <w:rFonts w:ascii="Calibri" w:eastAsia="Calibri" w:hAnsi="Calibri" w:cs="Calibri"/>
        </w:rPr>
        <w:t xml:space="preserve">specifically </w:t>
      </w:r>
      <w:r w:rsidR="00F12EDA" w:rsidRPr="00443B72">
        <w:rPr>
          <w:rFonts w:ascii="Calibri" w:eastAsia="Calibri" w:hAnsi="Calibri" w:cs="Calibri"/>
        </w:rPr>
        <w:t>addre</w:t>
      </w:r>
      <w:r w:rsidR="00EE07DC" w:rsidRPr="00443B72">
        <w:rPr>
          <w:rFonts w:ascii="Calibri" w:eastAsia="Calibri" w:hAnsi="Calibri" w:cs="Calibri"/>
        </w:rPr>
        <w:t>ss the</w:t>
      </w:r>
      <w:r w:rsidR="00B751B0" w:rsidRPr="00443B72">
        <w:rPr>
          <w:rFonts w:ascii="Calibri" w:eastAsia="Calibri" w:hAnsi="Calibri" w:cs="Calibri"/>
        </w:rPr>
        <w:t>se</w:t>
      </w:r>
      <w:r w:rsidR="00EE07DC" w:rsidRPr="00443B72">
        <w:rPr>
          <w:rFonts w:ascii="Calibri" w:eastAsia="Calibri" w:hAnsi="Calibri" w:cs="Calibri"/>
        </w:rPr>
        <w:t xml:space="preserve"> concern</w:t>
      </w:r>
      <w:r w:rsidR="00B751B0" w:rsidRPr="00443B72">
        <w:rPr>
          <w:rFonts w:ascii="Calibri" w:eastAsia="Calibri" w:hAnsi="Calibri" w:cs="Calibri"/>
        </w:rPr>
        <w:t xml:space="preserve">s. </w:t>
      </w:r>
      <w:r w:rsidR="004B3F4D" w:rsidRPr="00443B72">
        <w:rPr>
          <w:rFonts w:ascii="Calibri" w:eastAsia="Calibri" w:hAnsi="Calibri" w:cs="Calibri"/>
        </w:rPr>
        <w:t xml:space="preserve">In reaction to </w:t>
      </w:r>
      <w:r w:rsidR="00B751B0" w:rsidRPr="00443B72">
        <w:rPr>
          <w:rFonts w:ascii="Calibri" w:eastAsia="Calibri" w:hAnsi="Calibri" w:cs="Calibri"/>
        </w:rPr>
        <w:t xml:space="preserve">the </w:t>
      </w:r>
      <w:r w:rsidR="004B3F4D" w:rsidRPr="00443B72">
        <w:rPr>
          <w:rFonts w:ascii="Calibri" w:eastAsia="Calibri" w:hAnsi="Calibri" w:cs="Calibri"/>
        </w:rPr>
        <w:t>decision</w:t>
      </w:r>
      <w:r w:rsidR="00B751B0" w:rsidRPr="00443B72">
        <w:rPr>
          <w:rFonts w:ascii="Calibri" w:eastAsia="Calibri" w:hAnsi="Calibri" w:cs="Calibri"/>
        </w:rPr>
        <w:t xml:space="preserve"> on the amendments</w:t>
      </w:r>
      <w:r w:rsidR="004B3F4D" w:rsidRPr="00443B72">
        <w:rPr>
          <w:rFonts w:ascii="Calibri" w:eastAsia="Calibri" w:hAnsi="Calibri" w:cs="Calibri"/>
        </w:rPr>
        <w:t xml:space="preserve">, KOMNAS HAM </w:t>
      </w:r>
      <w:r w:rsidR="006D5B2D" w:rsidRPr="00443B72">
        <w:rPr>
          <w:rFonts w:ascii="Calibri" w:eastAsia="Calibri" w:hAnsi="Calibri" w:cs="Calibri"/>
        </w:rPr>
        <w:t>expressed its concern regarding</w:t>
      </w:r>
      <w:r w:rsidR="00E2693F" w:rsidRPr="00443B72">
        <w:rPr>
          <w:rFonts w:ascii="Calibri" w:eastAsia="Calibri" w:hAnsi="Calibri" w:cs="Calibri"/>
        </w:rPr>
        <w:t xml:space="preserve"> the State obligation under th</w:t>
      </w:r>
      <w:r w:rsidR="00431741" w:rsidRPr="00443B72">
        <w:rPr>
          <w:rFonts w:ascii="Calibri" w:eastAsia="Calibri" w:hAnsi="Calibri" w:cs="Calibri"/>
        </w:rPr>
        <w:t xml:space="preserve">e </w:t>
      </w:r>
      <w:r w:rsidR="00A77638" w:rsidRPr="00443B72">
        <w:rPr>
          <w:rFonts w:ascii="Calibri" w:eastAsia="Calibri" w:hAnsi="Calibri" w:cs="Calibri"/>
          <w:i/>
          <w:iCs/>
        </w:rPr>
        <w:t xml:space="preserve">OTSUS Law </w:t>
      </w:r>
      <w:r w:rsidR="00462967" w:rsidRPr="00443B72">
        <w:rPr>
          <w:rFonts w:ascii="Calibri" w:eastAsia="Calibri" w:hAnsi="Calibri" w:cs="Calibri"/>
          <w:i/>
          <w:iCs/>
        </w:rPr>
        <w:t xml:space="preserve">for </w:t>
      </w:r>
      <w:r w:rsidR="00431741" w:rsidRPr="00443B72">
        <w:rPr>
          <w:rFonts w:ascii="Calibri" w:eastAsia="Calibri" w:hAnsi="Calibri" w:cs="Calibri"/>
          <w:i/>
          <w:iCs/>
        </w:rPr>
        <w:t>Papua</w:t>
      </w:r>
      <w:r w:rsidR="00431741" w:rsidRPr="00443B72">
        <w:rPr>
          <w:rFonts w:ascii="Calibri" w:eastAsia="Calibri" w:hAnsi="Calibri" w:cs="Calibri"/>
        </w:rPr>
        <w:t xml:space="preserve"> </w:t>
      </w:r>
      <w:r w:rsidR="00A52D21" w:rsidRPr="00443B72">
        <w:rPr>
          <w:rFonts w:ascii="Calibri" w:eastAsia="Calibri" w:hAnsi="Calibri" w:cs="Calibri"/>
        </w:rPr>
        <w:t>to protect, respect and fulfil the human rights in Papua, in particular for the indigenous Papuans.</w:t>
      </w:r>
      <w:r w:rsidR="00A52D21" w:rsidRPr="0048767C">
        <w:rPr>
          <w:rStyle w:val="FootnoteReference"/>
          <w:rFonts w:ascii="Calibri" w:eastAsia="Calibri" w:hAnsi="Calibri" w:cs="Calibri"/>
        </w:rPr>
        <w:footnoteReference w:id="26"/>
      </w:r>
      <w:r w:rsidR="00A52D21" w:rsidRPr="00443B72">
        <w:rPr>
          <w:rFonts w:ascii="Calibri" w:eastAsia="Calibri" w:hAnsi="Calibri" w:cs="Calibri"/>
        </w:rPr>
        <w:t xml:space="preserve"> </w:t>
      </w:r>
      <w:r w:rsidR="006D5B2D" w:rsidRPr="00443B72">
        <w:rPr>
          <w:rFonts w:ascii="Calibri" w:eastAsia="Calibri" w:hAnsi="Calibri" w:cs="Calibri"/>
        </w:rPr>
        <w:t xml:space="preserve"> </w:t>
      </w:r>
      <w:r w:rsidR="004B3F4D" w:rsidRPr="00443B72">
        <w:rPr>
          <w:rFonts w:ascii="Calibri" w:eastAsia="Calibri" w:hAnsi="Calibri" w:cs="Calibri"/>
        </w:rPr>
        <w:t xml:space="preserve"> </w:t>
      </w:r>
    </w:p>
    <w:p w14:paraId="5F2FDA3E" w14:textId="77777777" w:rsidR="007A19BB" w:rsidRPr="0048767C" w:rsidRDefault="007A19BB" w:rsidP="00E12FC9">
      <w:pPr>
        <w:pStyle w:val="NoSpacing"/>
      </w:pPr>
    </w:p>
    <w:p w14:paraId="60E92567" w14:textId="26185804" w:rsidR="007A19BB" w:rsidRPr="00E1073F" w:rsidRDefault="007A19BB" w:rsidP="007A19BB">
      <w:pPr>
        <w:keepNext/>
        <w:keepLines/>
        <w:tabs>
          <w:tab w:val="right" w:pos="851"/>
        </w:tabs>
        <w:rPr>
          <w:b/>
          <w:bCs/>
        </w:rPr>
      </w:pPr>
      <w:r w:rsidRPr="00E1073F">
        <w:rPr>
          <w:b/>
          <w:bCs/>
        </w:rPr>
        <w:t>Right to self-determination</w:t>
      </w:r>
      <w:r w:rsidR="00102115" w:rsidRPr="00E1073F">
        <w:rPr>
          <w:b/>
          <w:bCs/>
        </w:rPr>
        <w:t xml:space="preserve"> </w:t>
      </w:r>
      <w:r w:rsidR="00E1073F" w:rsidRPr="00E1073F">
        <w:rPr>
          <w:b/>
          <w:bCs/>
        </w:rPr>
        <w:t>of indigenous peoples in West Papua</w:t>
      </w:r>
      <w:r w:rsidR="00E1073F" w:rsidRPr="00E1073F">
        <w:rPr>
          <w:b/>
          <w:bCs/>
        </w:rPr>
        <w:t xml:space="preserve"> (Indonesia)</w:t>
      </w:r>
      <w:r w:rsidR="00E1073F" w:rsidRPr="00E1073F">
        <w:rPr>
          <w:b/>
          <w:bCs/>
        </w:rPr>
        <w:t xml:space="preserve">, </w:t>
      </w:r>
      <w:r w:rsidR="00E80F5E">
        <w:rPr>
          <w:b/>
          <w:bCs/>
        </w:rPr>
        <w:t xml:space="preserve">and </w:t>
      </w:r>
      <w:r w:rsidR="00E80F5E" w:rsidRPr="00E1073F">
        <w:rPr>
          <w:b/>
          <w:bCs/>
        </w:rPr>
        <w:t>the</w:t>
      </w:r>
      <w:r w:rsidR="00E1073F" w:rsidRPr="00E1073F">
        <w:rPr>
          <w:b/>
          <w:bCs/>
        </w:rPr>
        <w:t xml:space="preserve"> right to</w:t>
      </w:r>
      <w:r w:rsidRPr="00E1073F">
        <w:rPr>
          <w:b/>
          <w:bCs/>
        </w:rPr>
        <w:t xml:space="preserve"> </w:t>
      </w:r>
      <w:r w:rsidR="00102115" w:rsidRPr="00E1073F">
        <w:rPr>
          <w:b/>
          <w:bCs/>
        </w:rPr>
        <w:t xml:space="preserve">freely dispose of their natural wealth and resources without prejudice to any obligations arising out of international economic co-operation, based upon the principle of mutual benefit, and international law  </w:t>
      </w:r>
    </w:p>
    <w:p w14:paraId="6B4CCDE3" w14:textId="0943AA12" w:rsidR="007A19BB" w:rsidRPr="0048767C" w:rsidRDefault="007A19BB" w:rsidP="004773B2">
      <w:pPr>
        <w:numPr>
          <w:ilvl w:val="0"/>
          <w:numId w:val="6"/>
        </w:numPr>
        <w:spacing w:after="0" w:line="240" w:lineRule="auto"/>
        <w:rPr>
          <w:rFonts w:ascii="Calibri" w:eastAsia="Calibri" w:hAnsi="Calibri" w:cs="Calibri"/>
        </w:rPr>
      </w:pPr>
      <w:r w:rsidRPr="0048767C">
        <w:rPr>
          <w:rFonts w:ascii="Calibri" w:eastAsia="Calibri" w:hAnsi="Calibri" w:cs="Calibri"/>
        </w:rPr>
        <w:t xml:space="preserve">In the current legal system in Indonesia, there is limited legal recognition of indigenous peoples’ ownership and control of their customary lands. There is no legal requirement to obtain the consent of the indigenous peoples prior to either the issuance of concessions or the commencement of commercial activities on the customary lands. The customary land holders have limited opportunities to participate in decision-making processes. They are presented with a fait accompli with respect to the establishment of a development project.  Their right to use their lands is subordinated to the interests of the companies having the concessions for the development projects. </w:t>
      </w:r>
    </w:p>
    <w:p w14:paraId="71949EE2" w14:textId="77777777" w:rsidR="00B56781" w:rsidRPr="0048767C" w:rsidRDefault="00B56781" w:rsidP="004773B2">
      <w:pPr>
        <w:spacing w:after="0" w:line="240" w:lineRule="auto"/>
        <w:ind w:left="720"/>
        <w:rPr>
          <w:rFonts w:ascii="Calibri" w:eastAsia="Calibri" w:hAnsi="Calibri" w:cs="Calibri"/>
        </w:rPr>
      </w:pPr>
    </w:p>
    <w:p w14:paraId="4C61261A" w14:textId="02383530" w:rsidR="00B56781" w:rsidRPr="0048767C" w:rsidRDefault="00E83109" w:rsidP="00B56781">
      <w:pPr>
        <w:numPr>
          <w:ilvl w:val="0"/>
          <w:numId w:val="6"/>
        </w:numPr>
        <w:spacing w:after="0" w:line="240" w:lineRule="auto"/>
        <w:rPr>
          <w:rFonts w:ascii="Calibri" w:eastAsia="Calibri" w:hAnsi="Calibri" w:cs="Calibri"/>
        </w:rPr>
      </w:pPr>
      <w:r w:rsidRPr="0048767C">
        <w:rPr>
          <w:rFonts w:ascii="Calibri" w:eastAsia="Calibri" w:hAnsi="Calibri" w:cs="Calibri"/>
        </w:rPr>
        <w:t xml:space="preserve">While there is a certain recognition on the rights of </w:t>
      </w:r>
      <w:r w:rsidR="00A11D05" w:rsidRPr="0048767C">
        <w:rPr>
          <w:rFonts w:ascii="Calibri" w:eastAsia="Calibri" w:hAnsi="Calibri" w:cs="Calibri"/>
        </w:rPr>
        <w:t>indigenous Papuan in the</w:t>
      </w:r>
      <w:r w:rsidR="00B56781" w:rsidRPr="0048767C">
        <w:rPr>
          <w:rFonts w:ascii="Calibri" w:eastAsia="Calibri" w:hAnsi="Calibri" w:cs="Calibri"/>
        </w:rPr>
        <w:t xml:space="preserve"> </w:t>
      </w:r>
      <w:r w:rsidR="00A77638" w:rsidRPr="0048767C">
        <w:rPr>
          <w:rFonts w:ascii="Calibri" w:eastAsia="Calibri" w:hAnsi="Calibri" w:cs="Calibri"/>
          <w:i/>
          <w:iCs/>
        </w:rPr>
        <w:t xml:space="preserve">OTSUS Law </w:t>
      </w:r>
      <w:r w:rsidR="00462967" w:rsidRPr="0048767C">
        <w:rPr>
          <w:rFonts w:ascii="Calibri" w:eastAsia="Calibri" w:hAnsi="Calibri" w:cs="Calibri"/>
          <w:i/>
          <w:iCs/>
        </w:rPr>
        <w:t>for</w:t>
      </w:r>
      <w:r w:rsidR="00B56781" w:rsidRPr="0048767C">
        <w:rPr>
          <w:rFonts w:ascii="Calibri" w:eastAsia="Calibri" w:hAnsi="Calibri" w:cs="Calibri"/>
          <w:i/>
          <w:iCs/>
        </w:rPr>
        <w:t xml:space="preserve"> Papua</w:t>
      </w:r>
      <w:r w:rsidR="00A11D05" w:rsidRPr="0048767C">
        <w:rPr>
          <w:rFonts w:ascii="Calibri" w:eastAsia="Calibri" w:hAnsi="Calibri" w:cs="Calibri"/>
        </w:rPr>
        <w:t xml:space="preserve"> and other </w:t>
      </w:r>
      <w:r w:rsidR="00166E3C" w:rsidRPr="0048767C">
        <w:rPr>
          <w:rFonts w:ascii="Calibri" w:eastAsia="Calibri" w:hAnsi="Calibri" w:cs="Calibri"/>
        </w:rPr>
        <w:t xml:space="preserve">laws, the </w:t>
      </w:r>
      <w:r w:rsidR="00B56781" w:rsidRPr="0048767C">
        <w:rPr>
          <w:rFonts w:ascii="Calibri" w:eastAsia="Calibri" w:hAnsi="Calibri" w:cs="Calibri"/>
        </w:rPr>
        <w:t>current laws prescribe burdensome and costly processes for indigenous groups</w:t>
      </w:r>
      <w:r w:rsidR="00D32273">
        <w:rPr>
          <w:rFonts w:ascii="Calibri" w:eastAsia="Calibri" w:hAnsi="Calibri" w:cs="Calibri"/>
        </w:rPr>
        <w:t xml:space="preserve">. </w:t>
      </w:r>
      <w:r w:rsidR="00B56781" w:rsidRPr="0048767C">
        <w:rPr>
          <w:rFonts w:ascii="Calibri" w:eastAsia="Calibri" w:hAnsi="Calibri" w:cs="Calibri"/>
        </w:rPr>
        <w:t xml:space="preserve"> </w:t>
      </w:r>
      <w:r w:rsidR="008C52E3">
        <w:rPr>
          <w:rFonts w:ascii="Calibri" w:eastAsia="Calibri" w:hAnsi="Calibri" w:cs="Calibri"/>
        </w:rPr>
        <w:t>For example</w:t>
      </w:r>
      <w:r w:rsidR="00156B3C">
        <w:rPr>
          <w:rFonts w:ascii="Calibri" w:eastAsia="Calibri" w:hAnsi="Calibri" w:cs="Calibri"/>
        </w:rPr>
        <w:t xml:space="preserve">, the process for customary forest recognition put </w:t>
      </w:r>
      <w:r w:rsidR="00F70393">
        <w:rPr>
          <w:rFonts w:ascii="Calibri" w:eastAsia="Calibri" w:hAnsi="Calibri" w:cs="Calibri"/>
        </w:rPr>
        <w:t xml:space="preserve">the </w:t>
      </w:r>
      <w:r w:rsidR="00156B3C">
        <w:rPr>
          <w:rFonts w:ascii="Calibri" w:eastAsia="Calibri" w:hAnsi="Calibri" w:cs="Calibri"/>
        </w:rPr>
        <w:t xml:space="preserve">burden </w:t>
      </w:r>
      <w:r w:rsidR="00B56781" w:rsidRPr="0048767C">
        <w:rPr>
          <w:rFonts w:ascii="Calibri" w:eastAsia="Calibri" w:hAnsi="Calibri" w:cs="Calibri"/>
        </w:rPr>
        <w:t xml:space="preserve">to prove </w:t>
      </w:r>
      <w:r w:rsidR="00240728">
        <w:rPr>
          <w:rFonts w:ascii="Calibri" w:eastAsia="Calibri" w:hAnsi="Calibri" w:cs="Calibri"/>
        </w:rPr>
        <w:t xml:space="preserve">to the indigenous groups. </w:t>
      </w:r>
      <w:r w:rsidR="00240728">
        <w:t>This process requires submission of the regulation formally recognising the customary group together with evidence of the group’s territory and forest, and proof of rights. A letter of consensus developed through consultation among key stakeholders and outlining the scope of authorities of the customary group is also required. Following satisfactory fulfilment of requirements and verification, a ministerial decree is issued</w:t>
      </w:r>
      <w:r w:rsidR="00B24D20">
        <w:rPr>
          <w:rFonts w:ascii="Calibri" w:eastAsia="Calibri" w:hAnsi="Calibri" w:cs="Calibri"/>
        </w:rPr>
        <w:t>.</w:t>
      </w:r>
      <w:r w:rsidR="00E031A1">
        <w:rPr>
          <w:rStyle w:val="FootnoteReference"/>
          <w:rFonts w:ascii="Calibri" w:eastAsia="Calibri" w:hAnsi="Calibri" w:cs="Calibri"/>
        </w:rPr>
        <w:footnoteReference w:id="27"/>
      </w:r>
      <w:r w:rsidR="00B24D20">
        <w:rPr>
          <w:rFonts w:ascii="Calibri" w:eastAsia="Calibri" w:hAnsi="Calibri" w:cs="Calibri"/>
        </w:rPr>
        <w:t xml:space="preserve"> </w:t>
      </w:r>
      <w:r w:rsidR="00B56781" w:rsidRPr="0048767C">
        <w:rPr>
          <w:rFonts w:ascii="Calibri" w:eastAsia="Calibri" w:hAnsi="Calibri" w:cs="Calibri"/>
        </w:rPr>
        <w:t xml:space="preserve">Even though legislation exists in some provincial and district-level jurisdictions to recognize the rights of indigenous peoples, </w:t>
      </w:r>
      <w:r w:rsidR="00CB050C">
        <w:rPr>
          <w:rFonts w:ascii="Calibri" w:eastAsia="Calibri" w:hAnsi="Calibri" w:cs="Calibri"/>
        </w:rPr>
        <w:t xml:space="preserve">only a </w:t>
      </w:r>
      <w:r w:rsidR="00B56781" w:rsidRPr="0048767C">
        <w:rPr>
          <w:rFonts w:ascii="Calibri" w:eastAsia="Calibri" w:hAnsi="Calibri" w:cs="Calibri"/>
        </w:rPr>
        <w:t>few recognition processes have been effectively carried out in the twenty years since the enactment of</w:t>
      </w:r>
      <w:r w:rsidR="00166E3C" w:rsidRPr="0048767C">
        <w:rPr>
          <w:rFonts w:ascii="Calibri" w:eastAsia="Calibri" w:hAnsi="Calibri" w:cs="Calibri"/>
        </w:rPr>
        <w:t xml:space="preserve"> the</w:t>
      </w:r>
      <w:r w:rsidR="00B56781" w:rsidRPr="0048767C">
        <w:rPr>
          <w:rFonts w:ascii="Calibri" w:eastAsia="Calibri" w:hAnsi="Calibri" w:cs="Calibri"/>
        </w:rPr>
        <w:t xml:space="preserve"> </w:t>
      </w:r>
      <w:r w:rsidR="004D6EFC" w:rsidRPr="0048767C">
        <w:rPr>
          <w:rFonts w:ascii="Calibri" w:eastAsia="Calibri" w:hAnsi="Calibri" w:cs="Calibri"/>
          <w:i/>
          <w:iCs/>
        </w:rPr>
        <w:t xml:space="preserve">OTSUS </w:t>
      </w:r>
      <w:r w:rsidR="00EA7995" w:rsidRPr="0048767C">
        <w:rPr>
          <w:rFonts w:ascii="Calibri" w:eastAsia="Calibri" w:hAnsi="Calibri" w:cs="Calibri"/>
          <w:i/>
          <w:iCs/>
        </w:rPr>
        <w:t xml:space="preserve">Law </w:t>
      </w:r>
      <w:r w:rsidR="005A13D2" w:rsidRPr="0048767C">
        <w:rPr>
          <w:rFonts w:ascii="Calibri" w:eastAsia="Calibri" w:hAnsi="Calibri" w:cs="Calibri"/>
          <w:i/>
          <w:iCs/>
        </w:rPr>
        <w:t xml:space="preserve">for </w:t>
      </w:r>
      <w:r w:rsidR="00166E3C" w:rsidRPr="0048767C">
        <w:rPr>
          <w:rFonts w:ascii="Calibri" w:eastAsia="Calibri" w:hAnsi="Calibri" w:cs="Calibri"/>
          <w:i/>
          <w:iCs/>
        </w:rPr>
        <w:t>Papua</w:t>
      </w:r>
      <w:r w:rsidR="00B56781" w:rsidRPr="0048767C">
        <w:rPr>
          <w:rFonts w:ascii="Calibri" w:eastAsia="Calibri" w:hAnsi="Calibri" w:cs="Calibri"/>
        </w:rPr>
        <w:t>.</w:t>
      </w:r>
      <w:r w:rsidR="00B56781" w:rsidRPr="0048767C">
        <w:rPr>
          <w:rFonts w:ascii="Calibri" w:eastAsia="Calibri" w:hAnsi="Calibri" w:cs="Calibri"/>
          <w:vertAlign w:val="superscript"/>
        </w:rPr>
        <w:footnoteReference w:id="28"/>
      </w:r>
      <w:r w:rsidR="00B56781" w:rsidRPr="0048767C">
        <w:rPr>
          <w:rFonts w:ascii="Calibri" w:eastAsia="Calibri" w:hAnsi="Calibri" w:cs="Calibri"/>
        </w:rPr>
        <w:t xml:space="preserve"> </w:t>
      </w:r>
    </w:p>
    <w:p w14:paraId="45FF8B09" w14:textId="77777777" w:rsidR="00B56781" w:rsidRPr="0048767C" w:rsidRDefault="00B56781" w:rsidP="004773B2">
      <w:pPr>
        <w:spacing w:after="0" w:line="240" w:lineRule="auto"/>
        <w:ind w:left="720"/>
        <w:rPr>
          <w:rFonts w:ascii="Calibri" w:eastAsia="Calibri" w:hAnsi="Calibri" w:cs="Calibri"/>
        </w:rPr>
      </w:pPr>
    </w:p>
    <w:p w14:paraId="7AC83720" w14:textId="33D2E103" w:rsidR="007A19BB" w:rsidRPr="0048767C" w:rsidRDefault="007A19BB" w:rsidP="000C7853">
      <w:pPr>
        <w:numPr>
          <w:ilvl w:val="0"/>
          <w:numId w:val="6"/>
        </w:numPr>
        <w:spacing w:after="0" w:line="240" w:lineRule="auto"/>
        <w:rPr>
          <w:rFonts w:ascii="Calibri" w:eastAsia="Calibri" w:hAnsi="Calibri" w:cs="Calibri"/>
        </w:rPr>
      </w:pPr>
      <w:r w:rsidRPr="0048767C">
        <w:rPr>
          <w:rFonts w:ascii="Calibri" w:eastAsia="Calibri" w:hAnsi="Calibri" w:cs="Calibri"/>
        </w:rPr>
        <w:t xml:space="preserve">In cases where </w:t>
      </w:r>
      <w:r w:rsidR="66988F66" w:rsidRPr="0048767C">
        <w:rPr>
          <w:rFonts w:ascii="Calibri" w:eastAsia="Calibri" w:hAnsi="Calibri" w:cs="Calibri"/>
        </w:rPr>
        <w:t>legislations</w:t>
      </w:r>
      <w:r w:rsidRPr="0048767C">
        <w:rPr>
          <w:rFonts w:ascii="Calibri" w:eastAsia="Calibri" w:hAnsi="Calibri" w:cs="Calibri"/>
        </w:rPr>
        <w:t xml:space="preserve"> exist, authorities take years to process applications.</w:t>
      </w:r>
      <w:r w:rsidRPr="0048767C">
        <w:rPr>
          <w:rFonts w:ascii="Calibri" w:eastAsia="Calibri" w:hAnsi="Calibri" w:cs="Calibri"/>
          <w:vertAlign w:val="superscript"/>
        </w:rPr>
        <w:footnoteReference w:id="29"/>
      </w:r>
      <w:r w:rsidRPr="0048767C">
        <w:rPr>
          <w:rFonts w:ascii="Calibri" w:eastAsia="Calibri" w:hAnsi="Calibri" w:cs="Calibri"/>
        </w:rPr>
        <w:t xml:space="preserve"> In the meantime, the Government of Indonesia passed new laws that may severely undermine the rights of indigenous peoples. This is the case for instance of the Omnibus Law on Job Creation (Law No. 11/2020), that does not include the participation of indigenous representatives in the law-making processes.</w:t>
      </w:r>
      <w:r w:rsidRPr="0048767C">
        <w:rPr>
          <w:rFonts w:ascii="Calibri" w:eastAsia="Calibri" w:hAnsi="Calibri" w:cs="Calibri"/>
          <w:vertAlign w:val="superscript"/>
        </w:rPr>
        <w:footnoteReference w:id="30"/>
      </w:r>
      <w:r w:rsidRPr="0048767C">
        <w:rPr>
          <w:rFonts w:ascii="Calibri" w:eastAsia="Calibri" w:hAnsi="Calibri" w:cs="Calibri"/>
        </w:rPr>
        <w:t xml:space="preserve">  In November 2021, Indonesia’s Constitutional Court issued an order to the Government and Parliament to amend parts of the Omnibus Law on Job Creation. The Court also prohibited the passing of any </w:t>
      </w:r>
      <w:r w:rsidRPr="0048767C">
        <w:rPr>
          <w:rFonts w:ascii="Calibri" w:eastAsia="Calibri" w:hAnsi="Calibri" w:cs="Calibri"/>
        </w:rPr>
        <w:lastRenderedPageBreak/>
        <w:t>further implementing regulations and policies associated with the law in a two-year grace period. If the necessary changes are not made within two years, the Court ordered that the Omnibus Law would become “permanently unconstitutional” and void. </w:t>
      </w:r>
    </w:p>
    <w:p w14:paraId="753DDA35" w14:textId="77777777" w:rsidR="007A19BB" w:rsidRDefault="007A19BB" w:rsidP="00E12FC9">
      <w:pPr>
        <w:pStyle w:val="NoSpacing"/>
        <w:rPr>
          <w:b/>
          <w:bCs/>
        </w:rPr>
      </w:pPr>
    </w:p>
    <w:p w14:paraId="19E25717" w14:textId="215EFD73" w:rsidR="00FD5400" w:rsidRDefault="00FD5400" w:rsidP="00FD5400">
      <w:r>
        <w:t xml:space="preserve"> </w:t>
      </w:r>
      <w:r w:rsidR="00D10AEA">
        <w:rPr>
          <w:b/>
          <w:bCs/>
        </w:rPr>
        <w:t>R</w:t>
      </w:r>
      <w:r w:rsidRPr="00B75F74">
        <w:rPr>
          <w:b/>
          <w:bCs/>
        </w:rPr>
        <w:t>ecommendations</w:t>
      </w:r>
      <w:r>
        <w:t>:</w:t>
      </w:r>
    </w:p>
    <w:p w14:paraId="22432829" w14:textId="7946D10A" w:rsidR="00B75F74" w:rsidRPr="00B7650D" w:rsidRDefault="2BF4E400" w:rsidP="00837CEF">
      <w:pPr>
        <w:pStyle w:val="ListParagraph"/>
        <w:numPr>
          <w:ilvl w:val="0"/>
          <w:numId w:val="8"/>
        </w:numPr>
        <w:ind w:hanging="360"/>
        <w:rPr>
          <w:rStyle w:val="normaltextrun"/>
        </w:rPr>
      </w:pPr>
      <w:r w:rsidRPr="752B12BD">
        <w:rPr>
          <w:rStyle w:val="normaltextrun"/>
          <w:rFonts w:cs="Calibri"/>
          <w:i/>
          <w:iCs/>
          <w:color w:val="000000"/>
          <w:shd w:val="clear" w:color="auto" w:fill="FFFFFF"/>
          <w:lang w:val="en-ID"/>
        </w:rPr>
        <w:t xml:space="preserve">The </w:t>
      </w:r>
      <w:r w:rsidR="00BB465B">
        <w:rPr>
          <w:rStyle w:val="normaltextrun"/>
          <w:rFonts w:cs="Calibri"/>
          <w:i/>
          <w:iCs/>
          <w:color w:val="000000"/>
          <w:shd w:val="clear" w:color="auto" w:fill="FFFFFF"/>
          <w:lang w:val="en-ID"/>
        </w:rPr>
        <w:t>State should e</w:t>
      </w:r>
      <w:r w:rsidR="00837CEF">
        <w:rPr>
          <w:rStyle w:val="normaltextrun"/>
          <w:rFonts w:cs="Calibri"/>
          <w:i/>
          <w:iCs/>
          <w:color w:val="000000"/>
          <w:shd w:val="clear" w:color="auto" w:fill="FFFFFF"/>
          <w:lang w:val="en-ID"/>
        </w:rPr>
        <w:t>xpedite the</w:t>
      </w:r>
      <w:r w:rsidR="00BB465B">
        <w:rPr>
          <w:rStyle w:val="normaltextrun"/>
          <w:rFonts w:cs="Calibri"/>
          <w:i/>
          <w:iCs/>
          <w:color w:val="000000"/>
          <w:shd w:val="clear" w:color="auto" w:fill="FFFFFF"/>
          <w:lang w:val="en-ID"/>
        </w:rPr>
        <w:t xml:space="preserve"> constitutional recognition of the </w:t>
      </w:r>
      <w:r w:rsidR="00F603CE">
        <w:rPr>
          <w:rStyle w:val="normaltextrun"/>
          <w:rFonts w:cs="Calibri"/>
          <w:i/>
          <w:iCs/>
          <w:color w:val="000000"/>
          <w:shd w:val="clear" w:color="auto" w:fill="FFFFFF"/>
          <w:lang w:val="en-ID"/>
        </w:rPr>
        <w:t>indigenous peoples in accordance with the UN Declaration on the Rights of Indigenous Peoples (UNDRIP)</w:t>
      </w:r>
    </w:p>
    <w:p w14:paraId="65E35201" w14:textId="0AD0A712" w:rsidR="0098007D" w:rsidRPr="00B7650D" w:rsidRDefault="0B475699" w:rsidP="0098007D">
      <w:pPr>
        <w:pStyle w:val="ListParagraph"/>
        <w:numPr>
          <w:ilvl w:val="0"/>
          <w:numId w:val="8"/>
        </w:numPr>
        <w:ind w:hanging="360"/>
        <w:rPr>
          <w:rStyle w:val="normaltextrun"/>
        </w:rPr>
      </w:pPr>
      <w:r w:rsidRPr="752B12BD">
        <w:rPr>
          <w:rStyle w:val="normaltextrun"/>
          <w:rFonts w:cs="Calibri"/>
          <w:i/>
          <w:iCs/>
          <w:color w:val="000000"/>
          <w:shd w:val="clear" w:color="auto" w:fill="FFFFFF"/>
          <w:lang w:val="en-ID"/>
        </w:rPr>
        <w:t xml:space="preserve">The </w:t>
      </w:r>
      <w:r w:rsidR="00B7650D">
        <w:rPr>
          <w:rStyle w:val="normaltextrun"/>
          <w:rFonts w:cs="Calibri"/>
          <w:i/>
          <w:iCs/>
          <w:color w:val="000000"/>
          <w:shd w:val="clear" w:color="auto" w:fill="FFFFFF"/>
          <w:lang w:val="en-ID"/>
        </w:rPr>
        <w:t xml:space="preserve">State should guarantee the </w:t>
      </w:r>
      <w:r w:rsidR="5052D22E" w:rsidRPr="752B12BD">
        <w:rPr>
          <w:rStyle w:val="normaltextrun"/>
          <w:rFonts w:cs="Calibri"/>
          <w:i/>
          <w:iCs/>
          <w:color w:val="000000"/>
          <w:shd w:val="clear" w:color="auto" w:fill="FFFFFF"/>
          <w:lang w:val="en-ID"/>
        </w:rPr>
        <w:t>respect</w:t>
      </w:r>
      <w:r w:rsidR="002C6A04">
        <w:rPr>
          <w:rStyle w:val="normaltextrun"/>
          <w:rFonts w:cs="Calibri"/>
          <w:i/>
          <w:iCs/>
          <w:color w:val="000000"/>
          <w:shd w:val="clear" w:color="auto" w:fill="FFFFFF"/>
          <w:lang w:val="en-ID"/>
        </w:rPr>
        <w:t xml:space="preserve"> of the </w:t>
      </w:r>
      <w:r w:rsidR="5052D22E" w:rsidRPr="752B12BD">
        <w:rPr>
          <w:rStyle w:val="normaltextrun"/>
          <w:rFonts w:cs="Calibri"/>
          <w:i/>
          <w:iCs/>
          <w:color w:val="000000"/>
          <w:shd w:val="clear" w:color="auto" w:fill="FFFFFF"/>
          <w:lang w:val="en-ID"/>
        </w:rPr>
        <w:t xml:space="preserve">principle of </w:t>
      </w:r>
      <w:r w:rsidR="76E2C3D7" w:rsidRPr="752B12BD">
        <w:rPr>
          <w:rStyle w:val="normaltextrun"/>
          <w:rFonts w:cs="Calibri"/>
          <w:i/>
          <w:iCs/>
          <w:color w:val="000000"/>
          <w:shd w:val="clear" w:color="auto" w:fill="FFFFFF"/>
          <w:lang w:val="en-ID"/>
        </w:rPr>
        <w:t>f</w:t>
      </w:r>
      <w:r w:rsidR="002C6A04" w:rsidRPr="752B12BD">
        <w:rPr>
          <w:rStyle w:val="normaltextrun"/>
          <w:rFonts w:cs="Calibri"/>
          <w:i/>
          <w:iCs/>
          <w:color w:val="000000"/>
          <w:shd w:val="clear" w:color="auto" w:fill="FFFFFF"/>
          <w:lang w:val="en-ID"/>
        </w:rPr>
        <w:t xml:space="preserve">ree, </w:t>
      </w:r>
      <w:r w:rsidR="35A43518" w:rsidRPr="752B12BD">
        <w:rPr>
          <w:rStyle w:val="normaltextrun"/>
          <w:rFonts w:cs="Calibri"/>
          <w:i/>
          <w:iCs/>
          <w:color w:val="000000"/>
          <w:shd w:val="clear" w:color="auto" w:fill="FFFFFF"/>
          <w:lang w:val="en-ID"/>
        </w:rPr>
        <w:t>p</w:t>
      </w:r>
      <w:r w:rsidR="002C6A04" w:rsidRPr="752B12BD">
        <w:rPr>
          <w:rStyle w:val="normaltextrun"/>
          <w:rFonts w:cs="Calibri"/>
          <w:i/>
          <w:iCs/>
          <w:color w:val="000000"/>
          <w:shd w:val="clear" w:color="auto" w:fill="FFFFFF"/>
          <w:lang w:val="en-ID"/>
        </w:rPr>
        <w:t>rior</w:t>
      </w:r>
      <w:r w:rsidR="002C6A04">
        <w:rPr>
          <w:rStyle w:val="normaltextrun"/>
          <w:rFonts w:cs="Calibri"/>
          <w:i/>
          <w:iCs/>
          <w:color w:val="000000"/>
          <w:shd w:val="clear" w:color="auto" w:fill="FFFFFF"/>
          <w:lang w:val="en-ID"/>
        </w:rPr>
        <w:t xml:space="preserve"> and </w:t>
      </w:r>
      <w:r w:rsidR="62730252" w:rsidRPr="752B12BD">
        <w:rPr>
          <w:rStyle w:val="normaltextrun"/>
          <w:rFonts w:cs="Calibri"/>
          <w:i/>
          <w:iCs/>
          <w:color w:val="000000"/>
          <w:shd w:val="clear" w:color="auto" w:fill="FFFFFF"/>
          <w:lang w:val="en-ID"/>
        </w:rPr>
        <w:t>i</w:t>
      </w:r>
      <w:r w:rsidR="002C6A04" w:rsidRPr="752B12BD">
        <w:rPr>
          <w:rStyle w:val="normaltextrun"/>
          <w:rFonts w:cs="Calibri"/>
          <w:i/>
          <w:iCs/>
          <w:color w:val="000000"/>
          <w:shd w:val="clear" w:color="auto" w:fill="FFFFFF"/>
          <w:lang w:val="en-ID"/>
        </w:rPr>
        <w:t xml:space="preserve">nformed </w:t>
      </w:r>
      <w:r w:rsidR="02418355" w:rsidRPr="752B12BD">
        <w:rPr>
          <w:rStyle w:val="normaltextrun"/>
          <w:rFonts w:cs="Calibri"/>
          <w:i/>
          <w:iCs/>
          <w:color w:val="000000"/>
          <w:shd w:val="clear" w:color="auto" w:fill="FFFFFF"/>
          <w:lang w:val="en-ID"/>
        </w:rPr>
        <w:t>c</w:t>
      </w:r>
      <w:r w:rsidR="002C6A04" w:rsidRPr="752B12BD">
        <w:rPr>
          <w:rStyle w:val="normaltextrun"/>
          <w:rFonts w:cs="Calibri"/>
          <w:i/>
          <w:iCs/>
          <w:color w:val="000000"/>
          <w:shd w:val="clear" w:color="auto" w:fill="FFFFFF"/>
          <w:lang w:val="en-ID"/>
        </w:rPr>
        <w:t xml:space="preserve">onsent </w:t>
      </w:r>
      <w:r w:rsidR="25603FE5" w:rsidRPr="752B12BD">
        <w:rPr>
          <w:rStyle w:val="normaltextrun"/>
          <w:rFonts w:cs="Calibri"/>
          <w:i/>
          <w:iCs/>
          <w:color w:val="000000"/>
          <w:shd w:val="clear" w:color="auto" w:fill="FFFFFF"/>
          <w:lang w:val="en-ID"/>
        </w:rPr>
        <w:t>of</w:t>
      </w:r>
      <w:r w:rsidR="002C6A04">
        <w:rPr>
          <w:rStyle w:val="normaltextrun"/>
          <w:rFonts w:cs="Calibri"/>
          <w:i/>
          <w:iCs/>
          <w:color w:val="000000"/>
          <w:shd w:val="clear" w:color="auto" w:fill="FFFFFF"/>
          <w:lang w:val="en-ID"/>
        </w:rPr>
        <w:t xml:space="preserve"> indigenous </w:t>
      </w:r>
      <w:r w:rsidR="25603FE5" w:rsidRPr="752B12BD">
        <w:rPr>
          <w:rStyle w:val="normaltextrun"/>
          <w:rFonts w:cs="Calibri"/>
          <w:i/>
          <w:iCs/>
          <w:color w:val="000000"/>
          <w:shd w:val="clear" w:color="auto" w:fill="FFFFFF"/>
          <w:lang w:val="en-ID"/>
        </w:rPr>
        <w:t xml:space="preserve">peoples on issues that affect </w:t>
      </w:r>
      <w:r w:rsidR="0092098E" w:rsidRPr="752B12BD">
        <w:rPr>
          <w:rStyle w:val="normaltextrun"/>
          <w:rFonts w:cs="Calibri"/>
          <w:i/>
          <w:iCs/>
          <w:color w:val="000000"/>
          <w:shd w:val="clear" w:color="auto" w:fill="FFFFFF"/>
          <w:lang w:val="en-ID"/>
        </w:rPr>
        <w:t>them</w:t>
      </w:r>
      <w:r w:rsidR="0092098E">
        <w:rPr>
          <w:rStyle w:val="normaltextrun"/>
          <w:rFonts w:cs="Calibri"/>
          <w:i/>
          <w:iCs/>
          <w:color w:val="000000"/>
          <w:shd w:val="clear" w:color="auto" w:fill="FFFFFF"/>
          <w:lang w:val="en-ID"/>
        </w:rPr>
        <w:t xml:space="preserve"> in</w:t>
      </w:r>
      <w:r w:rsidR="0098007D">
        <w:rPr>
          <w:rStyle w:val="normaltextrun"/>
          <w:rFonts w:cs="Calibri"/>
          <w:i/>
          <w:iCs/>
          <w:color w:val="000000"/>
          <w:shd w:val="clear" w:color="auto" w:fill="FFFFFF"/>
          <w:lang w:val="en-ID"/>
        </w:rPr>
        <w:t xml:space="preserve"> accordance with the UN Declaration on the Rights of Indigenous Peoples (UNDRIP)</w:t>
      </w:r>
    </w:p>
    <w:p w14:paraId="04569DA7" w14:textId="476EDD82" w:rsidR="00B7650D" w:rsidRPr="009A524F" w:rsidRDefault="4D8D5B55" w:rsidP="00837CEF">
      <w:pPr>
        <w:pStyle w:val="ListParagraph"/>
        <w:numPr>
          <w:ilvl w:val="0"/>
          <w:numId w:val="8"/>
        </w:numPr>
        <w:ind w:hanging="360"/>
        <w:rPr>
          <w:rStyle w:val="normaltextrun"/>
          <w:i/>
          <w:iCs/>
        </w:rPr>
      </w:pPr>
      <w:r w:rsidRPr="752B12BD">
        <w:rPr>
          <w:rStyle w:val="normaltextrun"/>
          <w:i/>
          <w:iCs/>
        </w:rPr>
        <w:t xml:space="preserve">The </w:t>
      </w:r>
      <w:r w:rsidR="00937FBF" w:rsidRPr="009A524F">
        <w:rPr>
          <w:rStyle w:val="normaltextrun"/>
          <w:i/>
          <w:iCs/>
        </w:rPr>
        <w:t>State should</w:t>
      </w:r>
      <w:r w:rsidR="00613925" w:rsidRPr="009A524F">
        <w:rPr>
          <w:rStyle w:val="normaltextrun"/>
          <w:i/>
          <w:iCs/>
        </w:rPr>
        <w:t xml:space="preserve"> ensure </w:t>
      </w:r>
      <w:r w:rsidR="089120FC" w:rsidRPr="752B12BD">
        <w:rPr>
          <w:rStyle w:val="normaltextrun"/>
          <w:i/>
          <w:iCs/>
        </w:rPr>
        <w:t xml:space="preserve">the </w:t>
      </w:r>
      <w:r w:rsidR="00E0711E" w:rsidRPr="009A524F">
        <w:rPr>
          <w:rStyle w:val="normaltextrun"/>
          <w:i/>
          <w:iCs/>
        </w:rPr>
        <w:t>effective</w:t>
      </w:r>
      <w:r w:rsidR="00613925" w:rsidRPr="009A524F">
        <w:rPr>
          <w:rStyle w:val="normaltextrun"/>
          <w:i/>
          <w:iCs/>
        </w:rPr>
        <w:t xml:space="preserve"> implementation of </w:t>
      </w:r>
      <w:r w:rsidR="00DE16C2">
        <w:rPr>
          <w:rStyle w:val="normaltextrun"/>
          <w:i/>
          <w:iCs/>
        </w:rPr>
        <w:t xml:space="preserve">Special Autonomy Law for the indigenous people, such as the case in West Papua </w:t>
      </w:r>
      <w:r w:rsidR="00E0711E" w:rsidRPr="009A524F">
        <w:rPr>
          <w:rStyle w:val="normaltextrun"/>
          <w:i/>
          <w:iCs/>
        </w:rPr>
        <w:t xml:space="preserve">and the </w:t>
      </w:r>
      <w:r w:rsidR="00E0711E" w:rsidRPr="752B12BD">
        <w:rPr>
          <w:rStyle w:val="normaltextrun"/>
          <w:i/>
          <w:iCs/>
        </w:rPr>
        <w:t>involve</w:t>
      </w:r>
      <w:r w:rsidR="360BDB2B" w:rsidRPr="752B12BD">
        <w:rPr>
          <w:rStyle w:val="normaltextrun"/>
          <w:i/>
          <w:iCs/>
        </w:rPr>
        <w:t>ment</w:t>
      </w:r>
      <w:r w:rsidR="00E0711E" w:rsidRPr="009A524F">
        <w:rPr>
          <w:rStyle w:val="normaltextrun"/>
          <w:i/>
          <w:iCs/>
        </w:rPr>
        <w:t xml:space="preserve"> of </w:t>
      </w:r>
      <w:r w:rsidR="00E0711E" w:rsidRPr="752B12BD">
        <w:rPr>
          <w:rStyle w:val="normaltextrun"/>
          <w:i/>
          <w:iCs/>
        </w:rPr>
        <w:t>the</w:t>
      </w:r>
      <w:r w:rsidR="3B0C1949" w:rsidRPr="752B12BD">
        <w:rPr>
          <w:rStyle w:val="normaltextrun"/>
          <w:i/>
          <w:iCs/>
        </w:rPr>
        <w:t>ir</w:t>
      </w:r>
      <w:r w:rsidR="00E0711E" w:rsidRPr="752B12BD">
        <w:rPr>
          <w:rStyle w:val="normaltextrun"/>
          <w:i/>
          <w:iCs/>
        </w:rPr>
        <w:t xml:space="preserve"> representative</w:t>
      </w:r>
      <w:r w:rsidR="1876BEFF" w:rsidRPr="752B12BD">
        <w:rPr>
          <w:rStyle w:val="normaltextrun"/>
          <w:i/>
          <w:iCs/>
        </w:rPr>
        <w:t>s</w:t>
      </w:r>
      <w:r w:rsidR="00E0711E" w:rsidRPr="009A524F">
        <w:rPr>
          <w:rStyle w:val="normaltextrun"/>
          <w:i/>
          <w:iCs/>
        </w:rPr>
        <w:t xml:space="preserve"> in the monitoring, </w:t>
      </w:r>
      <w:r w:rsidR="00D10AEA" w:rsidRPr="009A524F">
        <w:rPr>
          <w:rStyle w:val="normaltextrun"/>
          <w:i/>
          <w:iCs/>
        </w:rPr>
        <w:t>evaluation,</w:t>
      </w:r>
      <w:r w:rsidR="00E0711E" w:rsidRPr="009A524F">
        <w:rPr>
          <w:rStyle w:val="normaltextrun"/>
          <w:i/>
          <w:iCs/>
        </w:rPr>
        <w:t xml:space="preserve"> and eventual </w:t>
      </w:r>
      <w:r w:rsidR="009A524F" w:rsidRPr="009A524F">
        <w:rPr>
          <w:rStyle w:val="normaltextrun"/>
          <w:i/>
          <w:iCs/>
        </w:rPr>
        <w:t>amendments</w:t>
      </w:r>
      <w:r w:rsidR="256CE089" w:rsidRPr="752B12BD">
        <w:rPr>
          <w:rStyle w:val="normaltextrun"/>
          <w:i/>
          <w:iCs/>
        </w:rPr>
        <w:t xml:space="preserve"> of such </w:t>
      </w:r>
      <w:r w:rsidR="00D26A22">
        <w:rPr>
          <w:rStyle w:val="normaltextrun"/>
          <w:i/>
          <w:iCs/>
        </w:rPr>
        <w:t>Law</w:t>
      </w:r>
      <w:r w:rsidR="009A524F" w:rsidRPr="752B12BD">
        <w:rPr>
          <w:rStyle w:val="normaltextrun"/>
          <w:i/>
          <w:iCs/>
        </w:rPr>
        <w:t>.</w:t>
      </w:r>
    </w:p>
    <w:p w14:paraId="5BE7CACB" w14:textId="77777777" w:rsidR="006C5618" w:rsidRPr="00A322BF" w:rsidRDefault="006C5618" w:rsidP="00A322BF">
      <w:pPr>
        <w:rPr>
          <w:rStyle w:val="normaltextrun"/>
          <w:rFonts w:cs="Calibri"/>
          <w:i/>
          <w:iCs/>
          <w:color w:val="000000"/>
          <w:shd w:val="clear" w:color="auto" w:fill="FFFFFF"/>
          <w:lang w:val="en-ID"/>
        </w:rPr>
      </w:pPr>
    </w:p>
    <w:p w14:paraId="2AEF8343" w14:textId="77777777" w:rsidR="00FD5400" w:rsidRPr="00FD5400" w:rsidRDefault="00FD5400" w:rsidP="00FD5400"/>
    <w:p w14:paraId="1A165E08" w14:textId="77777777" w:rsidR="00FD5400" w:rsidRDefault="00FD5400" w:rsidP="00FD5400">
      <w:pPr>
        <w:rPr>
          <w:b/>
          <w:bCs/>
        </w:rPr>
      </w:pPr>
    </w:p>
    <w:p w14:paraId="207B5AB0" w14:textId="3752E5A2" w:rsidR="00FD5400" w:rsidRPr="00FD5400" w:rsidRDefault="00FD5400" w:rsidP="00FD5400">
      <w:pPr>
        <w:tabs>
          <w:tab w:val="left" w:pos="3765"/>
        </w:tabs>
      </w:pPr>
      <w:r>
        <w:tab/>
      </w:r>
    </w:p>
    <w:sectPr w:rsidR="00FD5400" w:rsidRPr="00FD5400" w:rsidSect="00FD5400">
      <w:footerReference w:type="default" r:id="rId11"/>
      <w:pgSz w:w="11906" w:h="16838"/>
      <w:pgMar w:top="1701" w:right="1133" w:bottom="993"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AEFE0" w14:textId="77777777" w:rsidR="00517023" w:rsidRDefault="00517023" w:rsidP="00AC7B34">
      <w:pPr>
        <w:spacing w:after="0" w:line="240" w:lineRule="auto"/>
      </w:pPr>
      <w:r>
        <w:separator/>
      </w:r>
    </w:p>
  </w:endnote>
  <w:endnote w:type="continuationSeparator" w:id="0">
    <w:p w14:paraId="5B9E3025" w14:textId="77777777" w:rsidR="00517023" w:rsidRDefault="00517023" w:rsidP="00AC7B34">
      <w:pPr>
        <w:spacing w:after="0" w:line="240" w:lineRule="auto"/>
      </w:pPr>
      <w:r>
        <w:continuationSeparator/>
      </w:r>
    </w:p>
  </w:endnote>
  <w:endnote w:type="continuationNotice" w:id="1">
    <w:p w14:paraId="3936457A" w14:textId="77777777" w:rsidR="00517023" w:rsidRDefault="005170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485259"/>
      <w:docPartObj>
        <w:docPartGallery w:val="Page Numbers (Bottom of Page)"/>
        <w:docPartUnique/>
      </w:docPartObj>
    </w:sdtPr>
    <w:sdtEndPr>
      <w:rPr>
        <w:noProof/>
      </w:rPr>
    </w:sdtEndPr>
    <w:sdtContent>
      <w:p w14:paraId="5D9DA123" w14:textId="21272BC7" w:rsidR="00FD5400" w:rsidRDefault="00FD54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6C1593" w14:textId="77777777" w:rsidR="00FD5400" w:rsidRDefault="00FD5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6899C" w14:textId="77777777" w:rsidR="00517023" w:rsidRDefault="00517023" w:rsidP="00AC7B34">
      <w:pPr>
        <w:spacing w:after="0" w:line="240" w:lineRule="auto"/>
      </w:pPr>
      <w:r>
        <w:separator/>
      </w:r>
    </w:p>
  </w:footnote>
  <w:footnote w:type="continuationSeparator" w:id="0">
    <w:p w14:paraId="276BAA70" w14:textId="77777777" w:rsidR="00517023" w:rsidRDefault="00517023" w:rsidP="00AC7B34">
      <w:pPr>
        <w:spacing w:after="0" w:line="240" w:lineRule="auto"/>
      </w:pPr>
      <w:r>
        <w:continuationSeparator/>
      </w:r>
    </w:p>
  </w:footnote>
  <w:footnote w:type="continuationNotice" w:id="1">
    <w:p w14:paraId="1F85B188" w14:textId="77777777" w:rsidR="00517023" w:rsidRDefault="00517023">
      <w:pPr>
        <w:spacing w:after="0" w:line="240" w:lineRule="auto"/>
      </w:pPr>
    </w:p>
  </w:footnote>
  <w:footnote w:id="2">
    <w:p w14:paraId="106818D4" w14:textId="18867DCA" w:rsidR="00051FCC" w:rsidRPr="00051FCC" w:rsidRDefault="00051FCC">
      <w:pPr>
        <w:pStyle w:val="FootnoteText"/>
      </w:pPr>
      <w:r>
        <w:rPr>
          <w:rStyle w:val="FootnoteReference"/>
        </w:rPr>
        <w:footnoteRef/>
      </w:r>
      <w:r>
        <w:t xml:space="preserve"> </w:t>
      </w:r>
      <w:r w:rsidR="00EF672F">
        <w:t>The information of this submission was taken from the two joint submission</w:t>
      </w:r>
      <w:r w:rsidR="002850A0">
        <w:t>s</w:t>
      </w:r>
      <w:r w:rsidR="00EF672F">
        <w:t xml:space="preserve"> of Franciscans International with other NGOs for the </w:t>
      </w:r>
      <w:r w:rsidR="002850A0">
        <w:t xml:space="preserve">CEDAW Review of Indonesia in October 2021 </w:t>
      </w:r>
      <w:r w:rsidR="000A3FB2">
        <w:t xml:space="preserve">available at </w:t>
      </w:r>
      <w:hyperlink r:id="rId1" w:history="1">
        <w:r w:rsidR="000A3FB2" w:rsidRPr="00BB42C5">
          <w:rPr>
            <w:rStyle w:val="Hyperlink"/>
          </w:rPr>
          <w:t>https://tbinternet.ohchr.org/_layouts/15/treatybodyexternal/Download.aspx?symbolno=INT%2fCEDAW%2fNGO%2fIDN%2f46761&amp;Lang=en</w:t>
        </w:r>
      </w:hyperlink>
      <w:r w:rsidR="000A3FB2">
        <w:t xml:space="preserve"> </w:t>
      </w:r>
      <w:r w:rsidR="002850A0">
        <w:t xml:space="preserve">and the List of Issues of the CESCR Indonesia </w:t>
      </w:r>
      <w:r w:rsidR="752B12BD">
        <w:t>in</w:t>
      </w:r>
      <w:r w:rsidR="007D1694">
        <w:t xml:space="preserve"> January 2022</w:t>
      </w:r>
      <w:r w:rsidR="00D10AEA">
        <w:t xml:space="preserve">, available at </w:t>
      </w:r>
      <w:hyperlink r:id="rId2" w:history="1">
        <w:r w:rsidR="00D10AEA" w:rsidRPr="00BB42C5">
          <w:rPr>
            <w:rStyle w:val="Hyperlink"/>
          </w:rPr>
          <w:t>https://tbinternet.ohchr.org/_layouts/15/treatybodyexternal/Download.aspx?symbolno=INT%2fCESCR%2fICO%2fIDN%2f47590&amp;Lang=en</w:t>
        </w:r>
      </w:hyperlink>
      <w:r w:rsidR="00D10AEA">
        <w:t xml:space="preserve"> </w:t>
      </w:r>
    </w:p>
  </w:footnote>
  <w:footnote w:id="3">
    <w:p w14:paraId="53A7E66E" w14:textId="26EA67A2" w:rsidR="00357C29" w:rsidRPr="002E2360" w:rsidRDefault="00357C29" w:rsidP="00357C29">
      <w:pPr>
        <w:pStyle w:val="FootnoteText"/>
      </w:pPr>
      <w:r>
        <w:rPr>
          <w:rStyle w:val="FootnoteReference"/>
        </w:rPr>
        <w:footnoteRef/>
      </w:r>
      <w:r>
        <w:t xml:space="preserve"> Statement of by the delegation </w:t>
      </w:r>
      <w:r w:rsidR="00E80F5E">
        <w:t>of Indonesia</w:t>
      </w:r>
      <w:r>
        <w:t xml:space="preserve"> in General Debate Item 5 during the 38</w:t>
      </w:r>
      <w:r w:rsidRPr="001D08EF">
        <w:rPr>
          <w:vertAlign w:val="superscript"/>
        </w:rPr>
        <w:t>th</w:t>
      </w:r>
      <w:r>
        <w:t xml:space="preserve"> Session of the UN Human Rights Council, 16 September 2016. Available at </w:t>
      </w:r>
      <w:hyperlink r:id="rId3" w:history="1">
        <w:r w:rsidRPr="00871948">
          <w:rPr>
            <w:rStyle w:val="Hyperlink"/>
          </w:rPr>
          <w:t>https://mission-indonesia.org/2016/09/21/statement-by-the-delegation-of-indonesia-general-debate-item-5/</w:t>
        </w:r>
      </w:hyperlink>
      <w:r>
        <w:t xml:space="preserve"> </w:t>
      </w:r>
    </w:p>
  </w:footnote>
  <w:footnote w:id="4">
    <w:p w14:paraId="7D07E049" w14:textId="77777777" w:rsidR="00FA364B" w:rsidRDefault="00FA364B" w:rsidP="00584B44">
      <w:pPr>
        <w:pStyle w:val="NoSpacing"/>
        <w:rPr>
          <w:rFonts w:ascii="Calibri" w:eastAsia="Calibri" w:hAnsi="Calibri" w:cs="Calibri"/>
          <w:sz w:val="20"/>
          <w:szCs w:val="20"/>
        </w:rPr>
      </w:pPr>
      <w:r>
        <w:rPr>
          <w:rStyle w:val="FootnoteReference"/>
        </w:rPr>
        <w:footnoteRef/>
      </w:r>
      <w:r>
        <w:rPr>
          <w:rFonts w:ascii="Calibri" w:eastAsia="Calibri" w:hAnsi="Calibri" w:cs="Calibri"/>
          <w:sz w:val="20"/>
          <w:szCs w:val="20"/>
        </w:rPr>
        <w:t xml:space="preserve"> DPR RI, Legislator </w:t>
      </w:r>
      <w:proofErr w:type="spellStart"/>
      <w:r>
        <w:rPr>
          <w:rFonts w:ascii="Calibri" w:eastAsia="Calibri" w:hAnsi="Calibri" w:cs="Calibri"/>
          <w:sz w:val="20"/>
          <w:szCs w:val="20"/>
        </w:rPr>
        <w:t>Dorong</w:t>
      </w:r>
      <w:proofErr w:type="spellEnd"/>
      <w:r>
        <w:rPr>
          <w:rFonts w:ascii="Calibri" w:eastAsia="Calibri" w:hAnsi="Calibri" w:cs="Calibri"/>
          <w:sz w:val="20"/>
          <w:szCs w:val="20"/>
        </w:rPr>
        <w:t xml:space="preserve"> RUU MHA </w:t>
      </w:r>
      <w:proofErr w:type="spellStart"/>
      <w:r>
        <w:rPr>
          <w:rFonts w:ascii="Calibri" w:eastAsia="Calibri" w:hAnsi="Calibri" w:cs="Calibri"/>
          <w:sz w:val="20"/>
          <w:szCs w:val="20"/>
        </w:rPr>
        <w:t>Mengakomodasi</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Kepentingan</w:t>
      </w:r>
      <w:proofErr w:type="spellEnd"/>
      <w:r>
        <w:rPr>
          <w:rFonts w:ascii="Calibri" w:eastAsia="Calibri" w:hAnsi="Calibri" w:cs="Calibri"/>
          <w:sz w:val="20"/>
          <w:szCs w:val="20"/>
        </w:rPr>
        <w:t xml:space="preserve"> Masyarakat Adat, 2 September 2021, available at: </w:t>
      </w:r>
      <w:hyperlink r:id="rId4">
        <w:r>
          <w:rPr>
            <w:rFonts w:ascii="Calibri" w:eastAsia="Calibri" w:hAnsi="Calibri" w:cs="Calibri"/>
            <w:sz w:val="20"/>
            <w:szCs w:val="20"/>
            <w:u w:val="single"/>
          </w:rPr>
          <w:t>https://www.dpr.go.id/berita/detail/id/34421/t/Legislator+Dorong+RUU+MHA+Mengakomodasi+Kepentingan+Masyarakat+Adat</w:t>
        </w:r>
      </w:hyperlink>
      <w:r>
        <w:rPr>
          <w:rFonts w:ascii="Calibri" w:eastAsia="Calibri" w:hAnsi="Calibri" w:cs="Calibri"/>
          <w:sz w:val="20"/>
          <w:szCs w:val="20"/>
        </w:rPr>
        <w:t>.</w:t>
      </w:r>
    </w:p>
  </w:footnote>
  <w:footnote w:id="5">
    <w:p w14:paraId="6AA11960" w14:textId="33D79549" w:rsidR="00B75A0D" w:rsidRPr="00066387" w:rsidRDefault="00B75A0D" w:rsidP="00A54F3C">
      <w:pPr>
        <w:pStyle w:val="NoSpacing"/>
        <w:rPr>
          <w:sz w:val="20"/>
          <w:szCs w:val="20"/>
        </w:rPr>
      </w:pPr>
      <w:r w:rsidRPr="00066387">
        <w:rPr>
          <w:rStyle w:val="FootnoteReference"/>
          <w:sz w:val="20"/>
          <w:szCs w:val="20"/>
        </w:rPr>
        <w:footnoteRef/>
      </w:r>
      <w:r w:rsidRPr="00066387">
        <w:rPr>
          <w:sz w:val="20"/>
          <w:szCs w:val="20"/>
        </w:rPr>
        <w:t xml:space="preserve"> </w:t>
      </w:r>
      <w:r w:rsidR="00A208E6" w:rsidRPr="00066387">
        <w:rPr>
          <w:sz w:val="20"/>
          <w:szCs w:val="20"/>
        </w:rPr>
        <w:t>Article 2.4</w:t>
      </w:r>
      <w:r w:rsidRPr="00066387">
        <w:rPr>
          <w:sz w:val="20"/>
          <w:szCs w:val="20"/>
        </w:rPr>
        <w:t xml:space="preserve"> the unofficial</w:t>
      </w:r>
      <w:r w:rsidR="00BC3E62">
        <w:rPr>
          <w:sz w:val="20"/>
          <w:szCs w:val="20"/>
        </w:rPr>
        <w:t xml:space="preserve"> English</w:t>
      </w:r>
      <w:r w:rsidRPr="00066387">
        <w:rPr>
          <w:sz w:val="20"/>
          <w:szCs w:val="20"/>
        </w:rPr>
        <w:t xml:space="preserve"> translation of </w:t>
      </w:r>
      <w:r w:rsidR="00621694" w:rsidRPr="00066387">
        <w:rPr>
          <w:sz w:val="20"/>
          <w:szCs w:val="20"/>
        </w:rPr>
        <w:t xml:space="preserve">Law No.5/1960 on Basic Agrarian Regulation </w:t>
      </w:r>
      <w:r w:rsidR="00346533" w:rsidRPr="00066387">
        <w:rPr>
          <w:sz w:val="20"/>
          <w:szCs w:val="20"/>
        </w:rPr>
        <w:t xml:space="preserve">available at </w:t>
      </w:r>
      <w:hyperlink r:id="rId5" w:history="1">
        <w:r w:rsidR="00346533" w:rsidRPr="00066387">
          <w:rPr>
            <w:rStyle w:val="Hyperlink"/>
            <w:sz w:val="20"/>
            <w:szCs w:val="20"/>
          </w:rPr>
          <w:t>https://zerosugar.files.wordpress.com/2014/08/law-no-5-of-1960-on-basic-agrarian-principles-etlj.pdf</w:t>
        </w:r>
      </w:hyperlink>
      <w:r w:rsidR="00346533" w:rsidRPr="00066387">
        <w:rPr>
          <w:sz w:val="20"/>
          <w:szCs w:val="20"/>
        </w:rPr>
        <w:t xml:space="preserve"> </w:t>
      </w:r>
    </w:p>
  </w:footnote>
  <w:footnote w:id="6">
    <w:p w14:paraId="3819BCDD" w14:textId="390EB787" w:rsidR="006715DB" w:rsidRPr="00F662A1" w:rsidRDefault="006715DB" w:rsidP="009B2825">
      <w:pPr>
        <w:pStyle w:val="FootnoteText"/>
      </w:pPr>
      <w:r>
        <w:rPr>
          <w:rStyle w:val="FootnoteReference"/>
        </w:rPr>
        <w:footnoteRef/>
      </w:r>
      <w:r>
        <w:t xml:space="preserve"> </w:t>
      </w:r>
      <w:r w:rsidR="00F662A1">
        <w:t>Article 1.33 of Law No 27/2007</w:t>
      </w:r>
      <w:r w:rsidR="006D0921">
        <w:t xml:space="preserve"> on Coastal and Small Islands Management</w:t>
      </w:r>
      <w:r w:rsidR="00F662A1">
        <w:t xml:space="preserve"> defines </w:t>
      </w:r>
      <w:r w:rsidR="00F662A1">
        <w:rPr>
          <w:i/>
          <w:iCs/>
        </w:rPr>
        <w:t>Masyarakat Adat</w:t>
      </w:r>
      <w:r w:rsidR="009B2825">
        <w:t xml:space="preserve"> </w:t>
      </w:r>
      <w:r w:rsidR="00DD5E2B">
        <w:t>as a group</w:t>
      </w:r>
      <w:r w:rsidR="0036004C">
        <w:t xml:space="preserve"> of communities living traditionally in a specific geographic area</w:t>
      </w:r>
      <w:r w:rsidR="004A4BC9">
        <w:t xml:space="preserve"> because of binding in origin of ancestor, </w:t>
      </w:r>
      <w:r w:rsidR="00D955E1">
        <w:t>strong relation with the environment as well as system of values</w:t>
      </w:r>
      <w:r w:rsidR="00DB300F">
        <w:t xml:space="preserve"> determining economic, political, social and legal structures</w:t>
      </w:r>
      <w:r w:rsidR="00B50CCF">
        <w:t>.</w:t>
      </w:r>
      <w:r w:rsidR="009B2825">
        <w:t xml:space="preserve"> The Indonesian version of the law is available at </w:t>
      </w:r>
      <w:hyperlink r:id="rId6" w:history="1">
        <w:r w:rsidR="00E7578E" w:rsidRPr="00871948">
          <w:rPr>
            <w:rStyle w:val="Hyperlink"/>
          </w:rPr>
          <w:t>https://peraturan.bpk.go.id/Home/Details/39911/uu-no-27-tahun-2007</w:t>
        </w:r>
      </w:hyperlink>
      <w:r w:rsidR="00E7578E">
        <w:t xml:space="preserve"> </w:t>
      </w:r>
    </w:p>
  </w:footnote>
  <w:footnote w:id="7">
    <w:p w14:paraId="6E53108D" w14:textId="1181B689" w:rsidR="00264A15" w:rsidRPr="003270C0" w:rsidRDefault="00264A15">
      <w:pPr>
        <w:pStyle w:val="FootnoteText"/>
      </w:pPr>
      <w:r>
        <w:rPr>
          <w:rStyle w:val="FootnoteReference"/>
        </w:rPr>
        <w:footnoteRef/>
      </w:r>
      <w:r>
        <w:t xml:space="preserve"> </w:t>
      </w:r>
      <w:r w:rsidR="00BE672D">
        <w:t>Article 1.31 of Law No 29/2009 on E</w:t>
      </w:r>
      <w:r w:rsidR="00977254">
        <w:t xml:space="preserve">nvironmental Protection and Management has the same </w:t>
      </w:r>
      <w:r w:rsidR="0039068D">
        <w:t>definition</w:t>
      </w:r>
      <w:r w:rsidR="00977254">
        <w:t xml:space="preserve"> of </w:t>
      </w:r>
      <w:r w:rsidR="00977254" w:rsidRPr="003270C0">
        <w:rPr>
          <w:i/>
          <w:iCs/>
        </w:rPr>
        <w:t>Masyar</w:t>
      </w:r>
      <w:r w:rsidR="0039068D">
        <w:rPr>
          <w:i/>
          <w:iCs/>
        </w:rPr>
        <w:t>a</w:t>
      </w:r>
      <w:r w:rsidR="00977254" w:rsidRPr="003270C0">
        <w:rPr>
          <w:i/>
          <w:iCs/>
        </w:rPr>
        <w:t xml:space="preserve">kat Adat </w:t>
      </w:r>
      <w:r w:rsidR="003270C0">
        <w:t xml:space="preserve">as Article1.33 of Law No 27/2007 on </w:t>
      </w:r>
      <w:r w:rsidR="001524D4">
        <w:t xml:space="preserve">Coastal and Small Islands Management. </w:t>
      </w:r>
      <w:r w:rsidR="0039068D">
        <w:t>T</w:t>
      </w:r>
      <w:r w:rsidR="001524D4">
        <w:t>he English version of the Law No</w:t>
      </w:r>
      <w:r w:rsidR="0039068D">
        <w:t xml:space="preserve"> 29/2009 is available at </w:t>
      </w:r>
      <w:hyperlink r:id="rId7" w:anchor=":~:text=Law%20No.,and%20control%20of%20the%20environment" w:history="1">
        <w:r w:rsidR="0039068D" w:rsidRPr="00871948">
          <w:rPr>
            <w:rStyle w:val="Hyperlink"/>
          </w:rPr>
          <w:t>https://www.fao.org/faolex/results/details/en/c/LEX-FAOC097643/#:~:text=Law%20No.,and%20control%20of%20the%20environment</w:t>
        </w:r>
      </w:hyperlink>
      <w:r w:rsidR="0039068D" w:rsidRPr="0039068D">
        <w:t>.</w:t>
      </w:r>
      <w:r w:rsidR="0039068D">
        <w:t xml:space="preserve"> </w:t>
      </w:r>
    </w:p>
  </w:footnote>
  <w:footnote w:id="8">
    <w:p w14:paraId="279AE723" w14:textId="49FBA3F5" w:rsidR="00E50F9F" w:rsidRPr="00E50F9F" w:rsidRDefault="00E50F9F">
      <w:pPr>
        <w:pStyle w:val="FootnoteText"/>
      </w:pPr>
      <w:r>
        <w:rPr>
          <w:rStyle w:val="FootnoteReference"/>
        </w:rPr>
        <w:footnoteRef/>
      </w:r>
      <w:r>
        <w:t xml:space="preserve"> </w:t>
      </w:r>
      <w:r w:rsidR="00D10404">
        <w:t>Th</w:t>
      </w:r>
      <w:r w:rsidR="00BC3E62">
        <w:t>e</w:t>
      </w:r>
      <w:r w:rsidR="00D10404">
        <w:t xml:space="preserve"> ruling of the Indonesian Constitutional Court was made </w:t>
      </w:r>
      <w:r w:rsidR="00D10404" w:rsidRPr="00D10404">
        <w:t xml:space="preserve">in response to a petition filed by the </w:t>
      </w:r>
      <w:r w:rsidR="00D10404">
        <w:t>N</w:t>
      </w:r>
      <w:r w:rsidR="00D10404" w:rsidRPr="00D10404">
        <w:t xml:space="preserve">ational </w:t>
      </w:r>
      <w:r w:rsidR="00D10404">
        <w:t>I</w:t>
      </w:r>
      <w:r w:rsidR="00D10404" w:rsidRPr="00D10404">
        <w:t xml:space="preserve">ndigenous </w:t>
      </w:r>
      <w:r w:rsidR="00D10404">
        <w:t>P</w:t>
      </w:r>
      <w:r w:rsidR="00D10404" w:rsidRPr="00D10404">
        <w:t xml:space="preserve">eoples' </w:t>
      </w:r>
      <w:r w:rsidR="00D10404">
        <w:t>O</w:t>
      </w:r>
      <w:r w:rsidR="00D10404" w:rsidRPr="00D10404">
        <w:t xml:space="preserve">rganisation </w:t>
      </w:r>
      <w:r w:rsidR="00D10404">
        <w:t>(</w:t>
      </w:r>
      <w:r w:rsidR="00D10404" w:rsidRPr="00D10404">
        <w:t>AMAN</w:t>
      </w:r>
      <w:r w:rsidR="00D10404">
        <w:t xml:space="preserve">- </w:t>
      </w:r>
      <w:proofErr w:type="spellStart"/>
      <w:r w:rsidR="00D10404" w:rsidRPr="00D10404">
        <w:rPr>
          <w:i/>
          <w:iCs/>
        </w:rPr>
        <w:t>Aliansi</w:t>
      </w:r>
      <w:proofErr w:type="spellEnd"/>
      <w:r w:rsidR="00D10404" w:rsidRPr="00D10404">
        <w:rPr>
          <w:i/>
          <w:iCs/>
        </w:rPr>
        <w:t xml:space="preserve"> Masyarakat Adat Nusantara</w:t>
      </w:r>
      <w:r w:rsidR="00D10404" w:rsidRPr="00D10404">
        <w:t>)</w:t>
      </w:r>
      <w:r w:rsidR="00D10404">
        <w:t xml:space="preserve"> in 20</w:t>
      </w:r>
      <w:r w:rsidR="0013362C">
        <w:t xml:space="preserve">09. The unofficial English translation of the ruling is available at </w:t>
      </w:r>
      <w:hyperlink r:id="rId8" w:history="1">
        <w:r w:rsidR="00F15AAB" w:rsidRPr="00871948">
          <w:rPr>
            <w:rStyle w:val="Hyperlink"/>
          </w:rPr>
          <w:t>https://www.forestpeoples.org/sites/default/files/news/2013/05/Constitutional_Court_Ruling_Indonesia_16_May_2013_English.pdf</w:t>
        </w:r>
      </w:hyperlink>
      <w:r w:rsidR="00547B23">
        <w:t xml:space="preserve">. The Bahasa Indonesia version of the ruling is available at </w:t>
      </w:r>
      <w:hyperlink r:id="rId9" w:history="1">
        <w:r w:rsidR="00547B23" w:rsidRPr="00871948">
          <w:rPr>
            <w:rStyle w:val="Hyperlink"/>
          </w:rPr>
          <w:t>https://www.aman.or.id/wp-content/uploads/2018/05/putusan_sidang_35-PUU-2012-Kehutanan-telah-ucap-16-Mei-2013.pdf</w:t>
        </w:r>
      </w:hyperlink>
      <w:r w:rsidR="00D13967">
        <w:t xml:space="preserve">. </w:t>
      </w:r>
    </w:p>
  </w:footnote>
  <w:footnote w:id="9">
    <w:p w14:paraId="6770CC6D" w14:textId="3257302C" w:rsidR="00125164" w:rsidRPr="00125164" w:rsidRDefault="00125164">
      <w:pPr>
        <w:pStyle w:val="FootnoteText"/>
      </w:pPr>
      <w:r>
        <w:rPr>
          <w:rStyle w:val="FootnoteReference"/>
        </w:rPr>
        <w:footnoteRef/>
      </w:r>
      <w:r>
        <w:t xml:space="preserve"> </w:t>
      </w:r>
      <w:r w:rsidRPr="003D2EB2">
        <w:t xml:space="preserve">In this submission, West Papua </w:t>
      </w:r>
      <w:r w:rsidR="002C103A">
        <w:t xml:space="preserve">term </w:t>
      </w:r>
      <w:r w:rsidRPr="003D2EB2">
        <w:t xml:space="preserve">is used to refer to </w:t>
      </w:r>
      <w:r>
        <w:t xml:space="preserve">the Provinces of Papua and Papua Barat. </w:t>
      </w:r>
      <w:r w:rsidR="006E4FE8">
        <w:t xml:space="preserve">In 2003, the Government of Indonesia decided to split West Papua into those two provinces. </w:t>
      </w:r>
    </w:p>
  </w:footnote>
  <w:footnote w:id="10">
    <w:p w14:paraId="6A4A2FFB" w14:textId="07EB733F" w:rsidR="00D916E9" w:rsidRPr="00066387" w:rsidRDefault="00D916E9" w:rsidP="00A54F3C">
      <w:pPr>
        <w:pStyle w:val="NoSpacing"/>
        <w:rPr>
          <w:sz w:val="20"/>
          <w:szCs w:val="20"/>
        </w:rPr>
      </w:pPr>
      <w:r w:rsidRPr="00066387">
        <w:rPr>
          <w:rStyle w:val="FootnoteReference"/>
          <w:sz w:val="20"/>
          <w:szCs w:val="20"/>
        </w:rPr>
        <w:footnoteRef/>
      </w:r>
      <w:r w:rsidRPr="00066387">
        <w:rPr>
          <w:sz w:val="20"/>
          <w:szCs w:val="20"/>
        </w:rPr>
        <w:t xml:space="preserve"> </w:t>
      </w:r>
      <w:r w:rsidRPr="00066387">
        <w:rPr>
          <w:rFonts w:ascii="Calibri" w:eastAsia="Calibri" w:hAnsi="Calibri" w:cs="Calibri"/>
          <w:sz w:val="20"/>
          <w:szCs w:val="20"/>
        </w:rPr>
        <w:t xml:space="preserve">Indonesian </w:t>
      </w:r>
      <w:r w:rsidR="003D17E1">
        <w:rPr>
          <w:rFonts w:ascii="Calibri" w:eastAsia="Calibri" w:hAnsi="Calibri" w:cs="Calibri"/>
          <w:sz w:val="20"/>
          <w:szCs w:val="20"/>
        </w:rPr>
        <w:t xml:space="preserve">State </w:t>
      </w:r>
      <w:r w:rsidRPr="00066387">
        <w:rPr>
          <w:rFonts w:ascii="Calibri" w:eastAsia="Calibri" w:hAnsi="Calibri" w:cs="Calibri"/>
          <w:sz w:val="20"/>
          <w:szCs w:val="20"/>
        </w:rPr>
        <w:t>Institute of Science (LIPI), Updating Papua Road Map; Peace, Process, Youth Politics and Papuan Diaspora, 2017, available at:</w:t>
      </w:r>
      <w:hyperlink r:id="rId10">
        <w:r w:rsidRPr="00066387">
          <w:rPr>
            <w:rFonts w:ascii="Calibri" w:eastAsia="Calibri" w:hAnsi="Calibri" w:cs="Calibri"/>
            <w:sz w:val="20"/>
            <w:szCs w:val="20"/>
          </w:rPr>
          <w:t xml:space="preserve"> </w:t>
        </w:r>
      </w:hyperlink>
      <w:hyperlink r:id="rId11">
        <w:r w:rsidRPr="00066387">
          <w:rPr>
            <w:rFonts w:ascii="Calibri" w:eastAsia="Calibri" w:hAnsi="Calibri" w:cs="Calibri"/>
            <w:color w:val="1155CC"/>
            <w:sz w:val="20"/>
            <w:szCs w:val="20"/>
            <w:u w:val="single"/>
          </w:rPr>
          <w:t>http://www.politik.lipi.go.id/downloadpap/newsletter-preview/Exsum%20Updating%20Papua%20Road%20Map%20-%20LIPI%202017.pdf</w:t>
        </w:r>
      </w:hyperlink>
      <w:r w:rsidRPr="00066387">
        <w:rPr>
          <w:rFonts w:ascii="Calibri" w:eastAsia="Calibri" w:hAnsi="Calibri" w:cs="Calibri"/>
          <w:color w:val="1155CC"/>
          <w:sz w:val="20"/>
          <w:szCs w:val="20"/>
          <w:u w:val="single"/>
        </w:rPr>
        <w:t xml:space="preserve"> </w:t>
      </w:r>
    </w:p>
  </w:footnote>
  <w:footnote w:id="11">
    <w:p w14:paraId="1619B973" w14:textId="69696151" w:rsidR="00AC7B34" w:rsidRPr="00066387" w:rsidRDefault="00AC7B34" w:rsidP="00A54F3C">
      <w:pPr>
        <w:pStyle w:val="NoSpacing"/>
        <w:rPr>
          <w:rFonts w:ascii="Calibri" w:eastAsia="Calibri" w:hAnsi="Calibri" w:cs="Calibri"/>
          <w:sz w:val="20"/>
          <w:szCs w:val="20"/>
        </w:rPr>
      </w:pPr>
      <w:r w:rsidRPr="00066387">
        <w:rPr>
          <w:rStyle w:val="FootnoteReference"/>
          <w:sz w:val="20"/>
          <w:szCs w:val="20"/>
        </w:rPr>
        <w:footnoteRef/>
      </w:r>
      <w:r w:rsidRPr="00066387">
        <w:rPr>
          <w:rFonts w:ascii="Calibri" w:eastAsia="Calibri" w:hAnsi="Calibri" w:cs="Calibri"/>
          <w:sz w:val="20"/>
          <w:szCs w:val="20"/>
        </w:rPr>
        <w:t xml:space="preserve"> Special Autonomy Law for Papua No. 21/2001, </w:t>
      </w:r>
      <w:r w:rsidR="0091575A">
        <w:rPr>
          <w:rFonts w:ascii="Calibri" w:eastAsia="Calibri" w:hAnsi="Calibri" w:cs="Calibri"/>
          <w:sz w:val="20"/>
          <w:szCs w:val="20"/>
        </w:rPr>
        <w:t xml:space="preserve">the </w:t>
      </w:r>
      <w:r w:rsidRPr="00066387">
        <w:rPr>
          <w:rFonts w:ascii="Calibri" w:eastAsia="Calibri" w:hAnsi="Calibri" w:cs="Calibri"/>
          <w:sz w:val="20"/>
          <w:szCs w:val="20"/>
        </w:rPr>
        <w:t xml:space="preserve">unofficial English translation </w:t>
      </w:r>
      <w:r w:rsidR="0091575A">
        <w:rPr>
          <w:rFonts w:ascii="Calibri" w:eastAsia="Calibri" w:hAnsi="Calibri" w:cs="Calibri"/>
          <w:sz w:val="20"/>
          <w:szCs w:val="20"/>
        </w:rPr>
        <w:t xml:space="preserve">by </w:t>
      </w:r>
      <w:r w:rsidR="00D347D1">
        <w:rPr>
          <w:rFonts w:ascii="Calibri" w:eastAsia="Calibri" w:hAnsi="Calibri" w:cs="Calibri"/>
          <w:sz w:val="20"/>
          <w:szCs w:val="20"/>
        </w:rPr>
        <w:t>the United Nations</w:t>
      </w:r>
      <w:r w:rsidR="00776100">
        <w:rPr>
          <w:rFonts w:ascii="Calibri" w:eastAsia="Calibri" w:hAnsi="Calibri" w:cs="Calibri"/>
          <w:sz w:val="20"/>
          <w:szCs w:val="20"/>
        </w:rPr>
        <w:t xml:space="preserve"> Refugee Agency (UNRA) </w:t>
      </w:r>
      <w:r w:rsidR="0091575A">
        <w:rPr>
          <w:rFonts w:ascii="Calibri" w:eastAsia="Calibri" w:hAnsi="Calibri" w:cs="Calibri"/>
          <w:sz w:val="20"/>
          <w:szCs w:val="20"/>
        </w:rPr>
        <w:t xml:space="preserve">is </w:t>
      </w:r>
      <w:r w:rsidRPr="00066387">
        <w:rPr>
          <w:rFonts w:ascii="Calibri" w:eastAsia="Calibri" w:hAnsi="Calibri" w:cs="Calibri"/>
          <w:sz w:val="20"/>
          <w:szCs w:val="20"/>
        </w:rPr>
        <w:t xml:space="preserve">available at: </w:t>
      </w:r>
      <w:hyperlink r:id="rId12">
        <w:r w:rsidRPr="00066387">
          <w:rPr>
            <w:rFonts w:ascii="Calibri" w:eastAsia="Calibri" w:hAnsi="Calibri" w:cs="Calibri"/>
            <w:color w:val="0563C1"/>
            <w:sz w:val="20"/>
            <w:szCs w:val="20"/>
            <w:u w:val="single"/>
          </w:rPr>
          <w:t>https://www.ilo.org/dyn/natlex/natlex4.detail?p_lang=&amp;p_isn=84431</w:t>
        </w:r>
      </w:hyperlink>
      <w:r w:rsidRPr="00066387">
        <w:rPr>
          <w:rFonts w:ascii="Calibri" w:eastAsia="Calibri" w:hAnsi="Calibri" w:cs="Calibri"/>
          <w:sz w:val="20"/>
          <w:szCs w:val="20"/>
        </w:rPr>
        <w:t>)</w:t>
      </w:r>
    </w:p>
  </w:footnote>
  <w:footnote w:id="12">
    <w:p w14:paraId="6F5B09F1" w14:textId="6476EFED" w:rsidR="006F0AEB" w:rsidRPr="00066387" w:rsidRDefault="006F0AEB" w:rsidP="00A54F3C">
      <w:pPr>
        <w:pStyle w:val="NoSpacing"/>
        <w:rPr>
          <w:sz w:val="20"/>
          <w:szCs w:val="20"/>
        </w:rPr>
      </w:pPr>
      <w:r w:rsidRPr="00066387">
        <w:rPr>
          <w:rStyle w:val="FootnoteReference"/>
          <w:sz w:val="20"/>
          <w:szCs w:val="20"/>
        </w:rPr>
        <w:footnoteRef/>
      </w:r>
      <w:r w:rsidRPr="00066387">
        <w:rPr>
          <w:sz w:val="20"/>
          <w:szCs w:val="20"/>
        </w:rPr>
        <w:t xml:space="preserve"> </w:t>
      </w:r>
      <w:r w:rsidR="003643AE" w:rsidRPr="00066387">
        <w:rPr>
          <w:sz w:val="20"/>
          <w:szCs w:val="20"/>
        </w:rPr>
        <w:t xml:space="preserve">In February 2003, the GOI decided to divide </w:t>
      </w:r>
      <w:r w:rsidR="752B12BD" w:rsidRPr="00066387">
        <w:rPr>
          <w:sz w:val="20"/>
          <w:szCs w:val="20"/>
        </w:rPr>
        <w:t xml:space="preserve">West </w:t>
      </w:r>
      <w:r w:rsidR="003643AE" w:rsidRPr="00066387">
        <w:rPr>
          <w:sz w:val="20"/>
          <w:szCs w:val="20"/>
        </w:rPr>
        <w:t xml:space="preserve">Papua into Papua Province and Papua Barat Province. </w:t>
      </w:r>
    </w:p>
  </w:footnote>
  <w:footnote w:id="13">
    <w:p w14:paraId="3FD4421E" w14:textId="748A2EE8" w:rsidR="00FF5567" w:rsidRPr="00FF5567" w:rsidRDefault="00FF5567">
      <w:pPr>
        <w:pStyle w:val="FootnoteText"/>
      </w:pPr>
      <w:r>
        <w:rPr>
          <w:rStyle w:val="FootnoteReference"/>
        </w:rPr>
        <w:footnoteRef/>
      </w:r>
      <w:r>
        <w:t xml:space="preserve"> </w:t>
      </w:r>
      <w:r w:rsidR="00EF3CEB" w:rsidRPr="00066387">
        <w:rPr>
          <w:rFonts w:ascii="Calibri" w:eastAsia="Calibri" w:hAnsi="Calibri" w:cs="Calibri"/>
        </w:rPr>
        <w:t>Special Autonomy Law for Papua No. 21/2001,</w:t>
      </w:r>
      <w:r w:rsidR="00EF3CEB">
        <w:rPr>
          <w:rFonts w:ascii="Calibri" w:eastAsia="Calibri" w:hAnsi="Calibri" w:cs="Calibri"/>
        </w:rPr>
        <w:t xml:space="preserve"> </w:t>
      </w:r>
      <w:r w:rsidR="00235AC5">
        <w:rPr>
          <w:rFonts w:ascii="Calibri" w:eastAsia="Calibri" w:hAnsi="Calibri" w:cs="Calibri"/>
        </w:rPr>
        <w:t xml:space="preserve">Preambular Paragraph f. </w:t>
      </w:r>
    </w:p>
  </w:footnote>
  <w:footnote w:id="14">
    <w:p w14:paraId="2AD398E6" w14:textId="76D030E3" w:rsidR="00404BDA" w:rsidRPr="00066387" w:rsidRDefault="00404BDA" w:rsidP="00A54F3C">
      <w:pPr>
        <w:pStyle w:val="NoSpacing"/>
        <w:rPr>
          <w:sz w:val="20"/>
          <w:szCs w:val="20"/>
        </w:rPr>
      </w:pPr>
      <w:r w:rsidRPr="00066387">
        <w:rPr>
          <w:rStyle w:val="FootnoteReference"/>
          <w:sz w:val="20"/>
          <w:szCs w:val="20"/>
        </w:rPr>
        <w:footnoteRef/>
      </w:r>
      <w:r w:rsidRPr="00066387">
        <w:rPr>
          <w:sz w:val="20"/>
          <w:szCs w:val="20"/>
        </w:rPr>
        <w:t xml:space="preserve"> </w:t>
      </w:r>
      <w:r w:rsidR="00287A2E" w:rsidRPr="00066387">
        <w:rPr>
          <w:sz w:val="20"/>
          <w:szCs w:val="20"/>
        </w:rPr>
        <w:t xml:space="preserve"> Article 1.t of t</w:t>
      </w:r>
      <w:r w:rsidR="003D2D6A" w:rsidRPr="00066387">
        <w:rPr>
          <w:sz w:val="20"/>
          <w:szCs w:val="20"/>
        </w:rPr>
        <w:t>he Special Autonomy Law for Papua defines Papua</w:t>
      </w:r>
      <w:r w:rsidR="001D0FEA" w:rsidRPr="00066387">
        <w:rPr>
          <w:sz w:val="20"/>
          <w:szCs w:val="20"/>
        </w:rPr>
        <w:t xml:space="preserve"> native as </w:t>
      </w:r>
      <w:r w:rsidR="00287A2E" w:rsidRPr="00066387">
        <w:rPr>
          <w:sz w:val="20"/>
          <w:szCs w:val="20"/>
        </w:rPr>
        <w:t>a person originating from the Melanesian race group, comprising native ethnic groups in Papua Province and/o</w:t>
      </w:r>
      <w:r w:rsidR="00AE76C4" w:rsidRPr="00066387">
        <w:rPr>
          <w:sz w:val="20"/>
          <w:szCs w:val="20"/>
        </w:rPr>
        <w:t xml:space="preserve">r a person accepted and acknowledged as a Papua native by the Papua </w:t>
      </w:r>
      <w:r w:rsidR="009E4F1C" w:rsidRPr="00066387">
        <w:rPr>
          <w:sz w:val="20"/>
          <w:szCs w:val="20"/>
        </w:rPr>
        <w:t>A</w:t>
      </w:r>
      <w:r w:rsidR="00AE76C4" w:rsidRPr="00066387">
        <w:rPr>
          <w:sz w:val="20"/>
          <w:szCs w:val="20"/>
        </w:rPr>
        <w:t xml:space="preserve">dat </w:t>
      </w:r>
      <w:r w:rsidR="009E4F1C" w:rsidRPr="00066387">
        <w:rPr>
          <w:sz w:val="20"/>
          <w:szCs w:val="20"/>
        </w:rPr>
        <w:t>community.</w:t>
      </w:r>
    </w:p>
  </w:footnote>
  <w:footnote w:id="15">
    <w:p w14:paraId="3BA83443" w14:textId="5451077B" w:rsidR="007A7D41" w:rsidRPr="00066387" w:rsidRDefault="0032539D" w:rsidP="00A54F3C">
      <w:pPr>
        <w:pStyle w:val="NoSpacing"/>
        <w:rPr>
          <w:sz w:val="20"/>
          <w:szCs w:val="20"/>
        </w:rPr>
      </w:pPr>
      <w:r w:rsidRPr="00066387">
        <w:rPr>
          <w:rStyle w:val="FootnoteReference"/>
          <w:sz w:val="20"/>
          <w:szCs w:val="20"/>
        </w:rPr>
        <w:footnoteRef/>
      </w:r>
      <w:r w:rsidRPr="00066387">
        <w:rPr>
          <w:sz w:val="20"/>
          <w:szCs w:val="20"/>
        </w:rPr>
        <w:t xml:space="preserve"> Idem, Article 1.g </w:t>
      </w:r>
    </w:p>
  </w:footnote>
  <w:footnote w:id="16">
    <w:p w14:paraId="594809BB" w14:textId="28B29C9A" w:rsidR="007A7D41" w:rsidRPr="00266A7C" w:rsidRDefault="007A7D41">
      <w:pPr>
        <w:pStyle w:val="FootnoteText"/>
      </w:pPr>
      <w:r>
        <w:rPr>
          <w:rStyle w:val="FootnoteReference"/>
        </w:rPr>
        <w:footnoteRef/>
      </w:r>
      <w:r w:rsidRPr="00266A7C">
        <w:t xml:space="preserve"> </w:t>
      </w:r>
      <w:r w:rsidRPr="00EC44B7">
        <w:t xml:space="preserve">Idem, Article </w:t>
      </w:r>
      <w:r w:rsidR="00266A7C" w:rsidRPr="00EC44B7">
        <w:t>19 to 24 on th</w:t>
      </w:r>
      <w:r w:rsidR="00266A7C">
        <w:t xml:space="preserve">e </w:t>
      </w:r>
      <w:r w:rsidR="00266A7C" w:rsidRPr="0048767C">
        <w:rPr>
          <w:rFonts w:ascii="Calibri" w:eastAsia="Calibri" w:hAnsi="Calibri" w:cs="Calibri"/>
        </w:rPr>
        <w:t>Papua People’s Assembly</w:t>
      </w:r>
      <w:r w:rsidR="00266A7C">
        <w:rPr>
          <w:rFonts w:ascii="Calibri" w:eastAsia="Calibri" w:hAnsi="Calibri" w:cs="Calibri"/>
        </w:rPr>
        <w:t xml:space="preserve">. </w:t>
      </w:r>
    </w:p>
  </w:footnote>
  <w:footnote w:id="17">
    <w:p w14:paraId="455FF0DB" w14:textId="6CEC7080" w:rsidR="004D58B4" w:rsidRPr="004D58B4" w:rsidRDefault="004D58B4">
      <w:pPr>
        <w:pStyle w:val="FootnoteText"/>
      </w:pPr>
      <w:r>
        <w:rPr>
          <w:rStyle w:val="FootnoteReference"/>
        </w:rPr>
        <w:footnoteRef/>
      </w:r>
      <w:r w:rsidRPr="00EC44B7">
        <w:rPr>
          <w:lang w:val="fr-CH"/>
        </w:rPr>
        <w:t xml:space="preserve"> </w:t>
      </w:r>
      <w:proofErr w:type="spellStart"/>
      <w:r w:rsidR="00B2358A" w:rsidRPr="00EC44B7">
        <w:rPr>
          <w:lang w:val="fr-CH"/>
        </w:rPr>
        <w:t>Pelupessy</w:t>
      </w:r>
      <w:proofErr w:type="spellEnd"/>
      <w:r w:rsidR="00B2358A" w:rsidRPr="00EC44B7">
        <w:rPr>
          <w:lang w:val="fr-CH"/>
        </w:rPr>
        <w:t xml:space="preserve">, Eddy. </w:t>
      </w:r>
      <w:r w:rsidR="009C64C0">
        <w:rPr>
          <w:i/>
          <w:iCs/>
        </w:rPr>
        <w:t xml:space="preserve">The Land Rights of Indigenous Peoples: Revaluation of Papua Special Autonomy. </w:t>
      </w:r>
      <w:proofErr w:type="spellStart"/>
      <w:r w:rsidR="008248F5">
        <w:t>Harlev</w:t>
      </w:r>
      <w:proofErr w:type="spellEnd"/>
      <w:r w:rsidR="008248F5">
        <w:t xml:space="preserve">, </w:t>
      </w:r>
      <w:r w:rsidR="00B2358A">
        <w:t>Volu</w:t>
      </w:r>
      <w:r w:rsidR="008248F5">
        <w:t>me</w:t>
      </w:r>
      <w:r w:rsidR="00B2358A">
        <w:t xml:space="preserve"> 3 Issue 1, A</w:t>
      </w:r>
      <w:r w:rsidR="008248F5">
        <w:t xml:space="preserve">pril </w:t>
      </w:r>
      <w:r w:rsidR="00E10117">
        <w:t xml:space="preserve">2017, pp 077-090. Faculty of Law, </w:t>
      </w:r>
      <w:proofErr w:type="spellStart"/>
      <w:r w:rsidR="00E10117">
        <w:t>Hasanuddin</w:t>
      </w:r>
      <w:proofErr w:type="spellEnd"/>
      <w:r w:rsidR="00E10117">
        <w:t xml:space="preserve"> University, Makassar, South Sulawesi</w:t>
      </w:r>
      <w:r w:rsidR="00205A3C">
        <w:t xml:space="preserve">, Indonesia. ISSN: 2442-9880. </w:t>
      </w:r>
    </w:p>
  </w:footnote>
  <w:footnote w:id="18">
    <w:p w14:paraId="405E8338" w14:textId="56282B6B" w:rsidR="001E484B" w:rsidRPr="00066387" w:rsidRDefault="001E484B" w:rsidP="00A54F3C">
      <w:pPr>
        <w:pStyle w:val="NoSpacing"/>
        <w:rPr>
          <w:sz w:val="20"/>
          <w:szCs w:val="20"/>
        </w:rPr>
      </w:pPr>
      <w:r w:rsidRPr="00066387">
        <w:rPr>
          <w:rStyle w:val="FootnoteReference"/>
          <w:sz w:val="20"/>
          <w:szCs w:val="20"/>
        </w:rPr>
        <w:footnoteRef/>
      </w:r>
      <w:r w:rsidRPr="00066387">
        <w:rPr>
          <w:sz w:val="20"/>
          <w:szCs w:val="20"/>
        </w:rPr>
        <w:t xml:space="preserve"> </w:t>
      </w:r>
      <w:r w:rsidR="00DF1961" w:rsidRPr="00066387">
        <w:rPr>
          <w:sz w:val="20"/>
          <w:szCs w:val="20"/>
        </w:rPr>
        <w:t>Human Rights in West Papua, the Seventh</w:t>
      </w:r>
      <w:r w:rsidR="00A50600">
        <w:rPr>
          <w:sz w:val="20"/>
          <w:szCs w:val="20"/>
        </w:rPr>
        <w:t xml:space="preserve"> </w:t>
      </w:r>
      <w:r w:rsidR="00DF1961" w:rsidRPr="00066387">
        <w:rPr>
          <w:sz w:val="20"/>
          <w:szCs w:val="20"/>
        </w:rPr>
        <w:t xml:space="preserve">report of the International Coalition for Papua (ICP) </w:t>
      </w:r>
      <w:r w:rsidR="00772869" w:rsidRPr="00066387">
        <w:rPr>
          <w:sz w:val="20"/>
          <w:szCs w:val="20"/>
        </w:rPr>
        <w:t xml:space="preserve">provides an </w:t>
      </w:r>
      <w:r w:rsidR="004D6EFC" w:rsidRPr="00066387">
        <w:rPr>
          <w:sz w:val="20"/>
          <w:szCs w:val="20"/>
        </w:rPr>
        <w:t>analysis</w:t>
      </w:r>
      <w:r w:rsidR="00772869" w:rsidRPr="00066387">
        <w:rPr>
          <w:sz w:val="20"/>
          <w:szCs w:val="20"/>
        </w:rPr>
        <w:t xml:space="preserve"> of violations from January 2019 until 2020. September 2021.</w:t>
      </w:r>
      <w:r w:rsidR="00454AF2" w:rsidRPr="00066387">
        <w:rPr>
          <w:sz w:val="20"/>
          <w:szCs w:val="20"/>
        </w:rPr>
        <w:t xml:space="preserve"> pp</w:t>
      </w:r>
      <w:r w:rsidR="00772869" w:rsidRPr="00066387">
        <w:rPr>
          <w:sz w:val="20"/>
          <w:szCs w:val="20"/>
        </w:rPr>
        <w:t xml:space="preserve"> </w:t>
      </w:r>
      <w:r w:rsidR="002658AB" w:rsidRPr="00066387">
        <w:rPr>
          <w:sz w:val="20"/>
          <w:szCs w:val="20"/>
        </w:rPr>
        <w:t xml:space="preserve">112-113. </w:t>
      </w:r>
      <w:r w:rsidR="00772869" w:rsidRPr="00066387">
        <w:rPr>
          <w:sz w:val="20"/>
          <w:szCs w:val="20"/>
        </w:rPr>
        <w:t>Acce</w:t>
      </w:r>
      <w:r w:rsidR="002D6D85" w:rsidRPr="00066387">
        <w:rPr>
          <w:sz w:val="20"/>
          <w:szCs w:val="20"/>
        </w:rPr>
        <w:t xml:space="preserve">ssible in </w:t>
      </w:r>
      <w:hyperlink r:id="rId13" w:history="1">
        <w:r w:rsidR="00421BEA" w:rsidRPr="00066387">
          <w:rPr>
            <w:rStyle w:val="Hyperlink"/>
            <w:sz w:val="20"/>
            <w:szCs w:val="20"/>
          </w:rPr>
          <w:t>https://humanrightspapua.org/hrreport/2021/</w:t>
        </w:r>
      </w:hyperlink>
      <w:r w:rsidR="00421BEA" w:rsidRPr="00066387">
        <w:rPr>
          <w:sz w:val="20"/>
          <w:szCs w:val="20"/>
        </w:rPr>
        <w:t xml:space="preserve"> </w:t>
      </w:r>
    </w:p>
  </w:footnote>
  <w:footnote w:id="19">
    <w:p w14:paraId="6FB99241" w14:textId="62650BB1" w:rsidR="00CD290D" w:rsidRPr="004C7F77" w:rsidRDefault="00CD290D">
      <w:pPr>
        <w:pStyle w:val="FootnoteText"/>
      </w:pPr>
      <w:r>
        <w:rPr>
          <w:rStyle w:val="FootnoteReference"/>
        </w:rPr>
        <w:footnoteRef/>
      </w:r>
      <w:r>
        <w:t xml:space="preserve"> </w:t>
      </w:r>
      <w:r w:rsidR="00BA5A80">
        <w:t xml:space="preserve">Katharina, </w:t>
      </w:r>
      <w:proofErr w:type="spellStart"/>
      <w:r w:rsidR="00BA5A80">
        <w:t>Riris</w:t>
      </w:r>
      <w:proofErr w:type="spellEnd"/>
      <w:r w:rsidR="00BA5A80">
        <w:t xml:space="preserve"> and </w:t>
      </w:r>
      <w:proofErr w:type="spellStart"/>
      <w:r w:rsidR="00BA5A80">
        <w:t>Amrynudin</w:t>
      </w:r>
      <w:proofErr w:type="spellEnd"/>
      <w:r w:rsidR="00BA5A80">
        <w:t>,</w:t>
      </w:r>
      <w:r w:rsidR="00BA5A80" w:rsidRPr="00BA5A80">
        <w:t xml:space="preserve"> </w:t>
      </w:r>
      <w:proofErr w:type="spellStart"/>
      <w:r w:rsidR="00BA5A80">
        <w:t>Anin</w:t>
      </w:r>
      <w:proofErr w:type="spellEnd"/>
      <w:r w:rsidR="00BA5A80">
        <w:t xml:space="preserve"> </w:t>
      </w:r>
      <w:proofErr w:type="spellStart"/>
      <w:r w:rsidR="00BA5A80">
        <w:t>Dhita</w:t>
      </w:r>
      <w:proofErr w:type="spellEnd"/>
      <w:r w:rsidR="00BA5A80">
        <w:t xml:space="preserve"> </w:t>
      </w:r>
      <w:proofErr w:type="spellStart"/>
      <w:r w:rsidR="00BA5A80">
        <w:t>Kiky</w:t>
      </w:r>
      <w:proofErr w:type="spellEnd"/>
      <w:r w:rsidR="004C7F77">
        <w:t xml:space="preserve">. </w:t>
      </w:r>
      <w:r w:rsidR="004C7F77">
        <w:rPr>
          <w:i/>
          <w:iCs/>
        </w:rPr>
        <w:t>Revision of Papua Special Autonomy Law In Public Policy Perspective.</w:t>
      </w:r>
      <w:r w:rsidR="004C7F77">
        <w:t xml:space="preserve"> </w:t>
      </w:r>
      <w:r w:rsidR="003F0B68">
        <w:t xml:space="preserve">Info </w:t>
      </w:r>
      <w:proofErr w:type="spellStart"/>
      <w:r w:rsidR="003F0B68">
        <w:t>Singkat</w:t>
      </w:r>
      <w:proofErr w:type="spellEnd"/>
      <w:r w:rsidR="003F0B68">
        <w:t xml:space="preserve">, A Brief Study of </w:t>
      </w:r>
      <w:r w:rsidR="003666EA">
        <w:t xml:space="preserve">Actual and Strategic Issues, </w:t>
      </w:r>
      <w:proofErr w:type="spellStart"/>
      <w:r w:rsidR="003666EA">
        <w:t>Vol.XIII</w:t>
      </w:r>
      <w:proofErr w:type="spellEnd"/>
      <w:r w:rsidR="003666EA">
        <w:t>, No.14/II/</w:t>
      </w:r>
      <w:proofErr w:type="spellStart"/>
      <w:r w:rsidR="003666EA">
        <w:t>Puslit</w:t>
      </w:r>
      <w:proofErr w:type="spellEnd"/>
      <w:r w:rsidR="003666EA">
        <w:t>/July/2021, pp</w:t>
      </w:r>
      <w:r w:rsidR="002761F1">
        <w:t xml:space="preserve"> 25-31. Research </w:t>
      </w:r>
      <w:proofErr w:type="spellStart"/>
      <w:r w:rsidR="002761F1">
        <w:t>Center</w:t>
      </w:r>
      <w:proofErr w:type="spellEnd"/>
      <w:r w:rsidR="002761F1">
        <w:t xml:space="preserve"> Expertise Agency of the House of Representative of Indonesia. Available at </w:t>
      </w:r>
      <w:hyperlink r:id="rId14" w:history="1">
        <w:r w:rsidR="0043663F" w:rsidRPr="003C3F79">
          <w:rPr>
            <w:rStyle w:val="Hyperlink"/>
          </w:rPr>
          <w:t>https://berkas.dpr.go.id/puslit/files/info_singkat/Info%20Singkat-XIII-14-II-P3DI-Juli-2021-176-EN.pdf</w:t>
        </w:r>
      </w:hyperlink>
      <w:r w:rsidR="0043663F">
        <w:t xml:space="preserve"> </w:t>
      </w:r>
    </w:p>
  </w:footnote>
  <w:footnote w:id="20">
    <w:p w14:paraId="0F3A7F54" w14:textId="102DA3D0" w:rsidR="002D2F25" w:rsidRPr="005205D5" w:rsidRDefault="002D2F25">
      <w:pPr>
        <w:pStyle w:val="FootnoteText"/>
      </w:pPr>
      <w:r>
        <w:rPr>
          <w:rStyle w:val="FootnoteReference"/>
        </w:rPr>
        <w:footnoteRef/>
      </w:r>
      <w:r>
        <w:t xml:space="preserve"> </w:t>
      </w:r>
      <w:proofErr w:type="spellStart"/>
      <w:r>
        <w:t>Surpiatna</w:t>
      </w:r>
      <w:proofErr w:type="spellEnd"/>
      <w:r>
        <w:t>, Made</w:t>
      </w:r>
      <w:r w:rsidR="00DD65BA">
        <w:t xml:space="preserve">. </w:t>
      </w:r>
      <w:r w:rsidR="00DD65BA">
        <w:rPr>
          <w:i/>
          <w:iCs/>
        </w:rPr>
        <w:t>The second Amendment to Papua’s Special Autonomy Law and Recentra</w:t>
      </w:r>
      <w:r w:rsidR="00C00433">
        <w:rPr>
          <w:i/>
          <w:iCs/>
        </w:rPr>
        <w:t>l</w:t>
      </w:r>
      <w:r w:rsidR="00DD65BA">
        <w:rPr>
          <w:i/>
          <w:iCs/>
        </w:rPr>
        <w:t>ization of</w:t>
      </w:r>
      <w:r w:rsidR="005205D5">
        <w:rPr>
          <w:i/>
          <w:iCs/>
        </w:rPr>
        <w:t xml:space="preserve"> Power to Jakarta.</w:t>
      </w:r>
      <w:r w:rsidR="005205D5">
        <w:t xml:space="preserve"> Perspective</w:t>
      </w:r>
      <w:r w:rsidR="0005108F">
        <w:t xml:space="preserve">, ISEAS Yusof Ishak Institute, Issue: 2021, No 23. </w:t>
      </w:r>
      <w:r w:rsidR="00C00433">
        <w:t xml:space="preserve"> 21 September 2021. Available at </w:t>
      </w:r>
      <w:hyperlink r:id="rId15" w:history="1">
        <w:r w:rsidR="00D0289D" w:rsidRPr="003C3F79">
          <w:rPr>
            <w:rStyle w:val="Hyperlink"/>
          </w:rPr>
          <w:t>https://www.iseas.edu.sg/wp-content/uploads/2021/09/ISEAS_Perspective_2021_123.pdf</w:t>
        </w:r>
      </w:hyperlink>
      <w:r w:rsidR="00D0289D">
        <w:t xml:space="preserve"> </w:t>
      </w:r>
    </w:p>
  </w:footnote>
  <w:footnote w:id="21">
    <w:p w14:paraId="226264AF" w14:textId="07B0561F" w:rsidR="00CD308F" w:rsidRPr="00CD308F" w:rsidRDefault="00CD308F">
      <w:pPr>
        <w:pStyle w:val="FootnoteText"/>
      </w:pPr>
      <w:r>
        <w:rPr>
          <w:rStyle w:val="FootnoteReference"/>
        </w:rPr>
        <w:footnoteRef/>
      </w:r>
      <w:r>
        <w:t xml:space="preserve"> Idem. </w:t>
      </w:r>
    </w:p>
  </w:footnote>
  <w:footnote w:id="22">
    <w:p w14:paraId="307C81FF" w14:textId="6D445F18" w:rsidR="0097169D" w:rsidRPr="00066387" w:rsidRDefault="0097169D" w:rsidP="00A54F3C">
      <w:pPr>
        <w:pStyle w:val="NoSpacing"/>
        <w:rPr>
          <w:sz w:val="20"/>
          <w:szCs w:val="20"/>
        </w:rPr>
      </w:pPr>
      <w:r w:rsidRPr="00066387">
        <w:rPr>
          <w:rStyle w:val="FootnoteReference"/>
          <w:sz w:val="20"/>
          <w:szCs w:val="20"/>
        </w:rPr>
        <w:footnoteRef/>
      </w:r>
      <w:r w:rsidRPr="00066387">
        <w:rPr>
          <w:sz w:val="20"/>
          <w:szCs w:val="20"/>
        </w:rPr>
        <w:t xml:space="preserve"> </w:t>
      </w:r>
      <w:r w:rsidR="00005AA5" w:rsidRPr="00066387">
        <w:rPr>
          <w:sz w:val="20"/>
          <w:szCs w:val="20"/>
        </w:rPr>
        <w:t>Article 8</w:t>
      </w:r>
      <w:r w:rsidR="00EB3E07" w:rsidRPr="00066387">
        <w:rPr>
          <w:sz w:val="20"/>
          <w:szCs w:val="20"/>
        </w:rPr>
        <w:t>.1</w:t>
      </w:r>
      <w:r w:rsidR="00005AA5" w:rsidRPr="00066387">
        <w:rPr>
          <w:sz w:val="20"/>
          <w:szCs w:val="20"/>
        </w:rPr>
        <w:t xml:space="preserve"> of </w:t>
      </w:r>
      <w:r w:rsidR="00523FB0" w:rsidRPr="00066387">
        <w:rPr>
          <w:sz w:val="20"/>
          <w:szCs w:val="20"/>
        </w:rPr>
        <w:t xml:space="preserve">Law No 2/2001 on the </w:t>
      </w:r>
      <w:r w:rsidR="00005AA5" w:rsidRPr="00066387">
        <w:rPr>
          <w:sz w:val="20"/>
          <w:szCs w:val="20"/>
        </w:rPr>
        <w:t xml:space="preserve">Special Autonomy Law for Papua Province stipulates </w:t>
      </w:r>
      <w:r w:rsidR="00EB3E07" w:rsidRPr="00066387">
        <w:rPr>
          <w:sz w:val="20"/>
          <w:szCs w:val="20"/>
        </w:rPr>
        <w:t xml:space="preserve">that “The population of the Papua Province shall be entitled to form Political Parties.” </w:t>
      </w:r>
      <w:r w:rsidR="00005AA5" w:rsidRPr="00066387">
        <w:rPr>
          <w:sz w:val="20"/>
          <w:szCs w:val="20"/>
        </w:rPr>
        <w:t xml:space="preserve"> </w:t>
      </w:r>
    </w:p>
  </w:footnote>
  <w:footnote w:id="23">
    <w:p w14:paraId="161DC63B" w14:textId="007CC9CC" w:rsidR="00B66D58" w:rsidRPr="00066387" w:rsidRDefault="00B66D58" w:rsidP="00A54F3C">
      <w:pPr>
        <w:pStyle w:val="NoSpacing"/>
        <w:rPr>
          <w:i/>
          <w:iCs/>
          <w:sz w:val="20"/>
          <w:szCs w:val="20"/>
        </w:rPr>
      </w:pPr>
      <w:r w:rsidRPr="00066387">
        <w:rPr>
          <w:rStyle w:val="FootnoteReference"/>
          <w:sz w:val="20"/>
          <w:szCs w:val="20"/>
        </w:rPr>
        <w:footnoteRef/>
      </w:r>
      <w:r w:rsidRPr="00066387">
        <w:rPr>
          <w:sz w:val="20"/>
          <w:szCs w:val="20"/>
        </w:rPr>
        <w:t xml:space="preserve"> </w:t>
      </w:r>
      <w:r w:rsidR="00454AF2" w:rsidRPr="00066387">
        <w:rPr>
          <w:sz w:val="20"/>
          <w:szCs w:val="20"/>
        </w:rPr>
        <w:t xml:space="preserve">Human Rights in West Papua, </w:t>
      </w:r>
      <w:r w:rsidR="00454AF2" w:rsidRPr="00066387">
        <w:rPr>
          <w:i/>
          <w:iCs/>
          <w:sz w:val="20"/>
          <w:szCs w:val="20"/>
        </w:rPr>
        <w:t xml:space="preserve">idem. Pp 114-115. </w:t>
      </w:r>
    </w:p>
  </w:footnote>
  <w:footnote w:id="24">
    <w:p w14:paraId="7220EFB3" w14:textId="67F43AAD" w:rsidR="00520122" w:rsidRPr="00407F61" w:rsidRDefault="00520122" w:rsidP="00407F61">
      <w:pPr>
        <w:pStyle w:val="NoSpacing"/>
        <w:rPr>
          <w:sz w:val="20"/>
          <w:szCs w:val="20"/>
        </w:rPr>
      </w:pPr>
      <w:r w:rsidRPr="00407F61">
        <w:rPr>
          <w:rStyle w:val="FootnoteReference"/>
          <w:sz w:val="20"/>
          <w:szCs w:val="20"/>
        </w:rPr>
        <w:footnoteRef/>
      </w:r>
      <w:r w:rsidRPr="00407F61">
        <w:rPr>
          <w:sz w:val="20"/>
          <w:szCs w:val="20"/>
        </w:rPr>
        <w:t xml:space="preserve"> See the full version in Bahasa Indonesia of the decision including the amended articles is available at </w:t>
      </w:r>
      <w:hyperlink r:id="rId16" w:history="1">
        <w:r w:rsidR="00D116BD" w:rsidRPr="00407F61">
          <w:rPr>
            <w:rStyle w:val="Hyperlink"/>
            <w:sz w:val="20"/>
            <w:szCs w:val="20"/>
          </w:rPr>
          <w:t>https://peraturan.bpk.go.id/Home/Details/172403/uu-no-2-tahun-2021</w:t>
        </w:r>
      </w:hyperlink>
      <w:r w:rsidR="00D116BD" w:rsidRPr="00407F61">
        <w:rPr>
          <w:sz w:val="20"/>
          <w:szCs w:val="20"/>
        </w:rPr>
        <w:t xml:space="preserve"> </w:t>
      </w:r>
    </w:p>
  </w:footnote>
  <w:footnote w:id="25">
    <w:p w14:paraId="0D52C07D" w14:textId="0861B000" w:rsidR="007F51BC" w:rsidRPr="00407F61" w:rsidRDefault="007F51BC" w:rsidP="00407F61">
      <w:pPr>
        <w:pStyle w:val="NoSpacing"/>
        <w:rPr>
          <w:sz w:val="20"/>
          <w:szCs w:val="20"/>
        </w:rPr>
      </w:pPr>
      <w:r w:rsidRPr="00407F61">
        <w:rPr>
          <w:rStyle w:val="FootnoteReference"/>
          <w:sz w:val="20"/>
          <w:szCs w:val="20"/>
        </w:rPr>
        <w:footnoteRef/>
      </w:r>
      <w:r w:rsidRPr="00407F61">
        <w:rPr>
          <w:sz w:val="20"/>
          <w:szCs w:val="20"/>
        </w:rPr>
        <w:t xml:space="preserve"> </w:t>
      </w:r>
      <w:r w:rsidR="001053B1" w:rsidRPr="00407F61">
        <w:rPr>
          <w:sz w:val="20"/>
          <w:szCs w:val="20"/>
        </w:rPr>
        <w:t xml:space="preserve">See the Article </w:t>
      </w:r>
      <w:r w:rsidR="009D18B1" w:rsidRPr="00407F61">
        <w:rPr>
          <w:sz w:val="20"/>
          <w:szCs w:val="20"/>
        </w:rPr>
        <w:t>34</w:t>
      </w:r>
      <w:r w:rsidR="001053B1" w:rsidRPr="00407F61">
        <w:rPr>
          <w:sz w:val="20"/>
          <w:szCs w:val="20"/>
        </w:rPr>
        <w:t xml:space="preserve"> of </w:t>
      </w:r>
      <w:r w:rsidR="00997D86" w:rsidRPr="00407F61">
        <w:rPr>
          <w:sz w:val="20"/>
          <w:szCs w:val="20"/>
        </w:rPr>
        <w:t>Law No 2/2001 on the</w:t>
      </w:r>
      <w:r w:rsidR="001053B1" w:rsidRPr="00407F61">
        <w:rPr>
          <w:sz w:val="20"/>
          <w:szCs w:val="20"/>
        </w:rPr>
        <w:t xml:space="preserve"> Special Autonomy Law for Papua Pr</w:t>
      </w:r>
      <w:r w:rsidR="009D18B1" w:rsidRPr="00407F61">
        <w:rPr>
          <w:sz w:val="20"/>
          <w:szCs w:val="20"/>
        </w:rPr>
        <w:t xml:space="preserve">ovince 2001 as amended on 19 July 2021. </w:t>
      </w:r>
    </w:p>
  </w:footnote>
  <w:footnote w:id="26">
    <w:p w14:paraId="4EBBD007" w14:textId="7D7D2669" w:rsidR="00A52D21" w:rsidRPr="00407F61" w:rsidRDefault="00A52D21" w:rsidP="00407F61">
      <w:pPr>
        <w:pStyle w:val="NoSpacing"/>
        <w:rPr>
          <w:sz w:val="20"/>
          <w:szCs w:val="20"/>
        </w:rPr>
      </w:pPr>
      <w:r w:rsidRPr="00407F61">
        <w:rPr>
          <w:rStyle w:val="FootnoteReference"/>
          <w:sz w:val="20"/>
          <w:szCs w:val="20"/>
        </w:rPr>
        <w:footnoteRef/>
      </w:r>
      <w:r w:rsidRPr="00407F61">
        <w:rPr>
          <w:sz w:val="20"/>
          <w:szCs w:val="20"/>
        </w:rPr>
        <w:t xml:space="preserve"> The statement of the </w:t>
      </w:r>
      <w:r w:rsidR="00F722EB" w:rsidRPr="00407F61">
        <w:rPr>
          <w:sz w:val="20"/>
          <w:szCs w:val="20"/>
        </w:rPr>
        <w:t xml:space="preserve">Vice </w:t>
      </w:r>
      <w:r w:rsidRPr="00407F61">
        <w:rPr>
          <w:sz w:val="20"/>
          <w:szCs w:val="20"/>
        </w:rPr>
        <w:t xml:space="preserve">Chair of KOMNAS HAM, Mr. </w:t>
      </w:r>
      <w:proofErr w:type="spellStart"/>
      <w:r w:rsidR="00F722EB" w:rsidRPr="00407F61">
        <w:rPr>
          <w:sz w:val="20"/>
          <w:szCs w:val="20"/>
        </w:rPr>
        <w:t>Amiruddin</w:t>
      </w:r>
      <w:proofErr w:type="spellEnd"/>
      <w:r w:rsidR="00F722EB" w:rsidRPr="00407F61">
        <w:rPr>
          <w:sz w:val="20"/>
          <w:szCs w:val="20"/>
        </w:rPr>
        <w:t xml:space="preserve"> Al Rahab, available </w:t>
      </w:r>
      <w:r w:rsidR="00883F1C" w:rsidRPr="00407F61">
        <w:rPr>
          <w:sz w:val="20"/>
          <w:szCs w:val="20"/>
        </w:rPr>
        <w:t xml:space="preserve">at </w:t>
      </w:r>
      <w:hyperlink r:id="rId17" w:history="1">
        <w:r w:rsidR="00883F1C" w:rsidRPr="00407F61">
          <w:rPr>
            <w:rStyle w:val="Hyperlink"/>
            <w:sz w:val="20"/>
            <w:szCs w:val="20"/>
          </w:rPr>
          <w:t>https://www.komnasham.go.id/index.php/news/2021/7/21/1851/perubahan-uu-otsus-papua-disahkan-komnas-ham-ingatkan-komitmen-pemerintah.html</w:t>
        </w:r>
      </w:hyperlink>
      <w:r w:rsidR="00883F1C" w:rsidRPr="00407F61">
        <w:rPr>
          <w:sz w:val="20"/>
          <w:szCs w:val="20"/>
        </w:rPr>
        <w:t xml:space="preserve"> </w:t>
      </w:r>
    </w:p>
  </w:footnote>
  <w:footnote w:id="27">
    <w:p w14:paraId="03FB0FD6" w14:textId="18ED5C9B" w:rsidR="00E031A1" w:rsidRPr="003F636B" w:rsidRDefault="00E031A1">
      <w:pPr>
        <w:pStyle w:val="FootnoteText"/>
      </w:pPr>
      <w:r>
        <w:rPr>
          <w:rStyle w:val="FootnoteReference"/>
        </w:rPr>
        <w:footnoteRef/>
      </w:r>
      <w:r>
        <w:t xml:space="preserve"> </w:t>
      </w:r>
      <w:r>
        <w:t>Broadhead, Jeremy</w:t>
      </w:r>
      <w:r>
        <w:t xml:space="preserve">; </w:t>
      </w:r>
      <w:r>
        <w:t xml:space="preserve"> </w:t>
      </w:r>
      <w:proofErr w:type="spellStart"/>
      <w:r>
        <w:t>Steni</w:t>
      </w:r>
      <w:proofErr w:type="spellEnd"/>
      <w:r>
        <w:t>,</w:t>
      </w:r>
      <w:r>
        <w:t xml:space="preserve"> </w:t>
      </w:r>
      <w:proofErr w:type="spellStart"/>
      <w:r>
        <w:t>Bernadinus</w:t>
      </w:r>
      <w:proofErr w:type="spellEnd"/>
      <w:r>
        <w:t xml:space="preserve">; </w:t>
      </w:r>
      <w:r>
        <w:t>and Hinrichs</w:t>
      </w:r>
      <w:r>
        <w:t>,</w:t>
      </w:r>
      <w:r w:rsidRPr="00E031A1">
        <w:t xml:space="preserve"> </w:t>
      </w:r>
      <w:r>
        <w:t>Alexander</w:t>
      </w:r>
      <w:r w:rsidR="004A4309">
        <w:t xml:space="preserve">. </w:t>
      </w:r>
      <w:r w:rsidR="004A4309" w:rsidRPr="00121481">
        <w:rPr>
          <w:i/>
          <w:iCs/>
        </w:rPr>
        <w:t>Implementing SVLK in customary forests</w:t>
      </w:r>
      <w:r w:rsidR="004A4309">
        <w:t xml:space="preserve">. </w:t>
      </w:r>
      <w:r w:rsidR="004A4309">
        <w:rPr>
          <w:i/>
          <w:iCs/>
        </w:rPr>
        <w:t xml:space="preserve">Working Paper. </w:t>
      </w:r>
      <w:r w:rsidR="003F636B">
        <w:rPr>
          <w:i/>
          <w:iCs/>
        </w:rPr>
        <w:t xml:space="preserve">November 2018. </w:t>
      </w:r>
      <w:r w:rsidR="003F636B">
        <w:t xml:space="preserve">EU FLED REDD Facilities. </w:t>
      </w:r>
      <w:r w:rsidR="00986DCA">
        <w:t xml:space="preserve">Available at </w:t>
      </w:r>
      <w:hyperlink r:id="rId18" w:history="1">
        <w:r w:rsidR="00986DCA" w:rsidRPr="0056306E">
          <w:rPr>
            <w:rStyle w:val="Hyperlink"/>
          </w:rPr>
          <w:t>https://www.euredd.efi.int/documents/10180/463214/Working+paper+-+Implementing+SVLK+in+customary+forests.pdf</w:t>
        </w:r>
      </w:hyperlink>
      <w:r w:rsidR="00986DCA">
        <w:t xml:space="preserve"> </w:t>
      </w:r>
    </w:p>
  </w:footnote>
  <w:footnote w:id="28">
    <w:p w14:paraId="60FFF778" w14:textId="66FC7A37" w:rsidR="00B56781" w:rsidRPr="00407F61" w:rsidRDefault="00B56781" w:rsidP="00407F61">
      <w:pPr>
        <w:pStyle w:val="NoSpacing"/>
        <w:rPr>
          <w:rFonts w:ascii="Calibri" w:eastAsia="Calibri" w:hAnsi="Calibri" w:cs="Calibri"/>
          <w:sz w:val="20"/>
          <w:szCs w:val="20"/>
        </w:rPr>
      </w:pPr>
      <w:r w:rsidRPr="00407F61">
        <w:rPr>
          <w:rStyle w:val="FootnoteReference"/>
          <w:sz w:val="20"/>
          <w:szCs w:val="20"/>
        </w:rPr>
        <w:footnoteRef/>
      </w:r>
      <w:r w:rsidRPr="00407F61">
        <w:rPr>
          <w:rFonts w:ascii="Calibri" w:eastAsia="Calibri" w:hAnsi="Calibri" w:cs="Calibri"/>
          <w:sz w:val="20"/>
          <w:szCs w:val="20"/>
        </w:rPr>
        <w:t xml:space="preserve"> </w:t>
      </w:r>
      <w:r w:rsidR="00AB4670">
        <w:rPr>
          <w:rFonts w:ascii="Calibri" w:eastAsia="Calibri" w:hAnsi="Calibri" w:cs="Calibri"/>
          <w:sz w:val="20"/>
          <w:szCs w:val="20"/>
        </w:rPr>
        <w:t>So</w:t>
      </w:r>
      <w:r w:rsidRPr="00407F61">
        <w:rPr>
          <w:rFonts w:ascii="Calibri" w:eastAsia="Calibri" w:hAnsi="Calibri" w:cs="Calibri"/>
          <w:sz w:val="20"/>
          <w:szCs w:val="20"/>
        </w:rPr>
        <w:t xml:space="preserve"> far, </w:t>
      </w:r>
      <w:r w:rsidR="00AB4670">
        <w:rPr>
          <w:rFonts w:ascii="Calibri" w:eastAsia="Calibri" w:hAnsi="Calibri" w:cs="Calibri"/>
          <w:sz w:val="20"/>
          <w:szCs w:val="20"/>
        </w:rPr>
        <w:t xml:space="preserve">there are </w:t>
      </w:r>
      <w:r w:rsidRPr="00407F61">
        <w:rPr>
          <w:rFonts w:ascii="Calibri" w:eastAsia="Calibri" w:hAnsi="Calibri" w:cs="Calibri"/>
          <w:sz w:val="20"/>
          <w:szCs w:val="20"/>
        </w:rPr>
        <w:t xml:space="preserve">only 3 Recognition Decrees on indigenous peoples’ rights have been enacted. These initiatives have not come from the Government of Indonesia, but the communities themselves with the support of Non-Governmental Organisations. </w:t>
      </w:r>
    </w:p>
  </w:footnote>
  <w:footnote w:id="29">
    <w:p w14:paraId="606483FC" w14:textId="77777777" w:rsidR="007A19BB" w:rsidRPr="00407F61" w:rsidRDefault="007A19BB" w:rsidP="00407F61">
      <w:pPr>
        <w:pStyle w:val="NoSpacing"/>
        <w:rPr>
          <w:rFonts w:ascii="Calibri" w:eastAsia="Calibri" w:hAnsi="Calibri" w:cs="Calibri"/>
          <w:b/>
          <w:sz w:val="20"/>
          <w:szCs w:val="20"/>
        </w:rPr>
      </w:pPr>
      <w:r w:rsidRPr="00407F61">
        <w:rPr>
          <w:rStyle w:val="FootnoteReference"/>
          <w:sz w:val="20"/>
          <w:szCs w:val="20"/>
        </w:rPr>
        <w:footnoteRef/>
      </w:r>
      <w:r w:rsidRPr="00407F61">
        <w:rPr>
          <w:rFonts w:ascii="Calibri" w:eastAsia="Calibri" w:hAnsi="Calibri" w:cs="Calibri"/>
          <w:sz w:val="20"/>
          <w:szCs w:val="20"/>
        </w:rPr>
        <w:t xml:space="preserve"> According to a leading local nongovernmental initiative (Badan </w:t>
      </w:r>
      <w:proofErr w:type="spellStart"/>
      <w:r w:rsidRPr="00407F61">
        <w:rPr>
          <w:rFonts w:ascii="Calibri" w:eastAsia="Calibri" w:hAnsi="Calibri" w:cs="Calibri"/>
          <w:sz w:val="20"/>
          <w:szCs w:val="20"/>
        </w:rPr>
        <w:t>Registrasi</w:t>
      </w:r>
      <w:proofErr w:type="spellEnd"/>
      <w:r w:rsidRPr="00407F61">
        <w:rPr>
          <w:rFonts w:ascii="Calibri" w:eastAsia="Calibri" w:hAnsi="Calibri" w:cs="Calibri"/>
          <w:sz w:val="20"/>
          <w:szCs w:val="20"/>
        </w:rPr>
        <w:t xml:space="preserve"> Wilayah Adat), as of December 2018, of 1,100 Indigenous territories spread over more than 14 million hectares, only 35, 094 hectares has been legally titled across Indonesia.</w:t>
      </w:r>
    </w:p>
  </w:footnote>
  <w:footnote w:id="30">
    <w:p w14:paraId="0B2853A2" w14:textId="0D633E4F" w:rsidR="007A19BB" w:rsidRDefault="007A19BB" w:rsidP="00407F61">
      <w:pPr>
        <w:pStyle w:val="NoSpacing"/>
        <w:rPr>
          <w:rFonts w:ascii="Calibri" w:eastAsia="Calibri" w:hAnsi="Calibri" w:cs="Calibri"/>
        </w:rPr>
      </w:pPr>
      <w:r w:rsidRPr="00407F61">
        <w:rPr>
          <w:rStyle w:val="FootnoteReference"/>
          <w:sz w:val="20"/>
          <w:szCs w:val="20"/>
        </w:rPr>
        <w:footnoteRef/>
      </w:r>
      <w:r w:rsidRPr="00407F61">
        <w:rPr>
          <w:rFonts w:ascii="Calibri" w:eastAsia="Calibri" w:hAnsi="Calibri" w:cs="Calibri"/>
          <w:sz w:val="20"/>
          <w:szCs w:val="20"/>
        </w:rPr>
        <w:t xml:space="preserve"> IWGIA (the International Work Group for Indigenous Affairs), the Indigenous World 2021 35th Edition, April </w:t>
      </w:r>
      <w:r w:rsidR="00D214BC" w:rsidRPr="00407F61">
        <w:rPr>
          <w:rFonts w:ascii="Calibri" w:eastAsia="Calibri" w:hAnsi="Calibri" w:cs="Calibri"/>
          <w:sz w:val="20"/>
          <w:szCs w:val="20"/>
        </w:rPr>
        <w:t>2021, p.</w:t>
      </w:r>
      <w:r w:rsidRPr="00407F61">
        <w:rPr>
          <w:rFonts w:ascii="Calibri" w:eastAsia="Calibri" w:hAnsi="Calibri" w:cs="Calibri"/>
          <w:sz w:val="20"/>
          <w:szCs w:val="20"/>
        </w:rPr>
        <w:t xml:space="preserve"> 223, available at </w:t>
      </w:r>
      <w:hyperlink r:id="rId19">
        <w:r w:rsidRPr="00407F61">
          <w:rPr>
            <w:rFonts w:ascii="Calibri" w:eastAsia="Calibri" w:hAnsi="Calibri" w:cs="Calibri"/>
            <w:color w:val="1155CC"/>
            <w:sz w:val="20"/>
            <w:szCs w:val="20"/>
            <w:u w:val="single"/>
          </w:rPr>
          <w:t>https://www.iwgia.org/en/resources/indigenous-world.html</w:t>
        </w:r>
      </w:hyperlink>
      <w:r w:rsidRPr="00407F61">
        <w:rPr>
          <w:rFonts w:ascii="Calibri" w:eastAsia="Calibri" w:hAnsi="Calibri" w:cs="Calibri"/>
          <w:sz w:val="20"/>
          <w:szCs w:val="20"/>
        </w:rPr>
        <w:t>.</w:t>
      </w:r>
      <w:r>
        <w:rPr>
          <w:rFonts w:ascii="Calibri" w:eastAsia="Calibri" w:hAnsi="Calibri" w:cs="Calibr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2083"/>
    <w:multiLevelType w:val="hybridMultilevel"/>
    <w:tmpl w:val="0CDCD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43606"/>
    <w:multiLevelType w:val="multilevel"/>
    <w:tmpl w:val="D23CCA34"/>
    <w:lvl w:ilvl="0">
      <w:start w:val="1"/>
      <w:numFmt w:val="bullet"/>
      <w:lvlText w:val=""/>
      <w:lvlJc w:val="left"/>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76930DF"/>
    <w:multiLevelType w:val="hybridMultilevel"/>
    <w:tmpl w:val="12FA45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4B6E97"/>
    <w:multiLevelType w:val="hybridMultilevel"/>
    <w:tmpl w:val="C2C6A070"/>
    <w:lvl w:ilvl="0" w:tplc="0809000F">
      <w:start w:val="1"/>
      <w:numFmt w:val="decimal"/>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CB271FB"/>
    <w:multiLevelType w:val="multilevel"/>
    <w:tmpl w:val="D23CCA34"/>
    <w:lvl w:ilvl="0">
      <w:start w:val="1"/>
      <w:numFmt w:val="bullet"/>
      <w:lvlText w:val=""/>
      <w:lvlJc w:val="left"/>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4EC73D2"/>
    <w:multiLevelType w:val="multilevel"/>
    <w:tmpl w:val="B57E1C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6B73831"/>
    <w:multiLevelType w:val="multilevel"/>
    <w:tmpl w:val="D23CCA34"/>
    <w:lvl w:ilvl="0">
      <w:start w:val="1"/>
      <w:numFmt w:val="bullet"/>
      <w:lvlText w:val=""/>
      <w:lvlJc w:val="left"/>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BD76BFB"/>
    <w:multiLevelType w:val="hybridMultilevel"/>
    <w:tmpl w:val="7F80E7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E5376C"/>
    <w:multiLevelType w:val="multilevel"/>
    <w:tmpl w:val="B57E1C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B3208A8"/>
    <w:multiLevelType w:val="hybridMultilevel"/>
    <w:tmpl w:val="9C168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2"/>
  </w:num>
  <w:num w:numId="5">
    <w:abstractNumId w:val="9"/>
  </w:num>
  <w:num w:numId="6">
    <w:abstractNumId w:val="8"/>
  </w:num>
  <w:num w:numId="7">
    <w:abstractNumId w:val="5"/>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AE"/>
    <w:rsid w:val="00005AA5"/>
    <w:rsid w:val="000105FC"/>
    <w:rsid w:val="0001062E"/>
    <w:rsid w:val="00013054"/>
    <w:rsid w:val="0001744D"/>
    <w:rsid w:val="0002762F"/>
    <w:rsid w:val="00034EEC"/>
    <w:rsid w:val="00037DE3"/>
    <w:rsid w:val="000402C6"/>
    <w:rsid w:val="0004380F"/>
    <w:rsid w:val="00045585"/>
    <w:rsid w:val="00045DF2"/>
    <w:rsid w:val="0005108F"/>
    <w:rsid w:val="00051CE8"/>
    <w:rsid w:val="00051FCC"/>
    <w:rsid w:val="00052C3C"/>
    <w:rsid w:val="000533BA"/>
    <w:rsid w:val="00066387"/>
    <w:rsid w:val="00071448"/>
    <w:rsid w:val="000745EA"/>
    <w:rsid w:val="00077A53"/>
    <w:rsid w:val="0008213F"/>
    <w:rsid w:val="00095D87"/>
    <w:rsid w:val="000A3FB2"/>
    <w:rsid w:val="000B3CBE"/>
    <w:rsid w:val="000B486C"/>
    <w:rsid w:val="000B6194"/>
    <w:rsid w:val="000C7853"/>
    <w:rsid w:val="000D2A3E"/>
    <w:rsid w:val="000D3A04"/>
    <w:rsid w:val="000D4CC9"/>
    <w:rsid w:val="000E7BD7"/>
    <w:rsid w:val="00102115"/>
    <w:rsid w:val="001053B1"/>
    <w:rsid w:val="00111A63"/>
    <w:rsid w:val="00120035"/>
    <w:rsid w:val="00121481"/>
    <w:rsid w:val="001220AE"/>
    <w:rsid w:val="0012305C"/>
    <w:rsid w:val="00125164"/>
    <w:rsid w:val="0012695F"/>
    <w:rsid w:val="0013362C"/>
    <w:rsid w:val="001524D4"/>
    <w:rsid w:val="00156B3C"/>
    <w:rsid w:val="0016039F"/>
    <w:rsid w:val="00160E7F"/>
    <w:rsid w:val="00161956"/>
    <w:rsid w:val="00166E3C"/>
    <w:rsid w:val="00177A34"/>
    <w:rsid w:val="00182AAE"/>
    <w:rsid w:val="00183B18"/>
    <w:rsid w:val="00191FA2"/>
    <w:rsid w:val="00197AED"/>
    <w:rsid w:val="001A0D0A"/>
    <w:rsid w:val="001A4045"/>
    <w:rsid w:val="001A78B8"/>
    <w:rsid w:val="001B3402"/>
    <w:rsid w:val="001B5A37"/>
    <w:rsid w:val="001C0F99"/>
    <w:rsid w:val="001C3864"/>
    <w:rsid w:val="001C4D48"/>
    <w:rsid w:val="001C55B7"/>
    <w:rsid w:val="001C5DEB"/>
    <w:rsid w:val="001C7E6B"/>
    <w:rsid w:val="001D08EF"/>
    <w:rsid w:val="001D0FEA"/>
    <w:rsid w:val="001D348D"/>
    <w:rsid w:val="001E484B"/>
    <w:rsid w:val="001E50DB"/>
    <w:rsid w:val="001E5403"/>
    <w:rsid w:val="001E664A"/>
    <w:rsid w:val="001F197E"/>
    <w:rsid w:val="002017FC"/>
    <w:rsid w:val="00205A3C"/>
    <w:rsid w:val="0021776F"/>
    <w:rsid w:val="00222B64"/>
    <w:rsid w:val="0022539C"/>
    <w:rsid w:val="00235AC5"/>
    <w:rsid w:val="00235CC1"/>
    <w:rsid w:val="00240728"/>
    <w:rsid w:val="00247D00"/>
    <w:rsid w:val="00253365"/>
    <w:rsid w:val="00253F11"/>
    <w:rsid w:val="0025626C"/>
    <w:rsid w:val="00256AFD"/>
    <w:rsid w:val="00257587"/>
    <w:rsid w:val="00264A15"/>
    <w:rsid w:val="002658AB"/>
    <w:rsid w:val="00266A7C"/>
    <w:rsid w:val="0027208B"/>
    <w:rsid w:val="002761F1"/>
    <w:rsid w:val="00280975"/>
    <w:rsid w:val="00283699"/>
    <w:rsid w:val="00283AF0"/>
    <w:rsid w:val="002850A0"/>
    <w:rsid w:val="00287A2E"/>
    <w:rsid w:val="002967B2"/>
    <w:rsid w:val="002A3581"/>
    <w:rsid w:val="002A3E1C"/>
    <w:rsid w:val="002A6A2B"/>
    <w:rsid w:val="002B0D20"/>
    <w:rsid w:val="002B73A3"/>
    <w:rsid w:val="002C103A"/>
    <w:rsid w:val="002C40B8"/>
    <w:rsid w:val="002C6A04"/>
    <w:rsid w:val="002D2F25"/>
    <w:rsid w:val="002D6D85"/>
    <w:rsid w:val="002E1DFF"/>
    <w:rsid w:val="002E2360"/>
    <w:rsid w:val="00300324"/>
    <w:rsid w:val="0030138B"/>
    <w:rsid w:val="003161D1"/>
    <w:rsid w:val="00316218"/>
    <w:rsid w:val="0032539D"/>
    <w:rsid w:val="003270C0"/>
    <w:rsid w:val="0034011A"/>
    <w:rsid w:val="00340DC6"/>
    <w:rsid w:val="00344158"/>
    <w:rsid w:val="00346533"/>
    <w:rsid w:val="003468B7"/>
    <w:rsid w:val="003470DD"/>
    <w:rsid w:val="0035159C"/>
    <w:rsid w:val="00356680"/>
    <w:rsid w:val="00356AB1"/>
    <w:rsid w:val="00357C29"/>
    <w:rsid w:val="0036004C"/>
    <w:rsid w:val="003613ED"/>
    <w:rsid w:val="003643AE"/>
    <w:rsid w:val="003666EA"/>
    <w:rsid w:val="00381F1E"/>
    <w:rsid w:val="0039068D"/>
    <w:rsid w:val="00393C3D"/>
    <w:rsid w:val="00396CFB"/>
    <w:rsid w:val="0039760C"/>
    <w:rsid w:val="00397670"/>
    <w:rsid w:val="003A359D"/>
    <w:rsid w:val="003B478D"/>
    <w:rsid w:val="003C4607"/>
    <w:rsid w:val="003D17E1"/>
    <w:rsid w:val="003D2D6A"/>
    <w:rsid w:val="003D2EB2"/>
    <w:rsid w:val="003E3ECF"/>
    <w:rsid w:val="003F0B68"/>
    <w:rsid w:val="003F636B"/>
    <w:rsid w:val="003F6D0A"/>
    <w:rsid w:val="00403DBF"/>
    <w:rsid w:val="00404BDA"/>
    <w:rsid w:val="00407F61"/>
    <w:rsid w:val="00415506"/>
    <w:rsid w:val="00420FB0"/>
    <w:rsid w:val="00421BEA"/>
    <w:rsid w:val="004234D7"/>
    <w:rsid w:val="00427622"/>
    <w:rsid w:val="00431741"/>
    <w:rsid w:val="0043663F"/>
    <w:rsid w:val="00436B9D"/>
    <w:rsid w:val="00443B72"/>
    <w:rsid w:val="0044728C"/>
    <w:rsid w:val="00450189"/>
    <w:rsid w:val="00454AF2"/>
    <w:rsid w:val="00462967"/>
    <w:rsid w:val="00462B4E"/>
    <w:rsid w:val="00465FF4"/>
    <w:rsid w:val="004773B2"/>
    <w:rsid w:val="004814C5"/>
    <w:rsid w:val="00482BD4"/>
    <w:rsid w:val="00483B17"/>
    <w:rsid w:val="0048767C"/>
    <w:rsid w:val="004906A1"/>
    <w:rsid w:val="00497018"/>
    <w:rsid w:val="004A4309"/>
    <w:rsid w:val="004A4BC9"/>
    <w:rsid w:val="004A64F1"/>
    <w:rsid w:val="004A78EE"/>
    <w:rsid w:val="004B3A2F"/>
    <w:rsid w:val="004B3F4D"/>
    <w:rsid w:val="004C72C0"/>
    <w:rsid w:val="004C7F77"/>
    <w:rsid w:val="004D0D4E"/>
    <w:rsid w:val="004D58B4"/>
    <w:rsid w:val="004D5D6F"/>
    <w:rsid w:val="004D6EFC"/>
    <w:rsid w:val="004E48AE"/>
    <w:rsid w:val="004E64CD"/>
    <w:rsid w:val="004F128F"/>
    <w:rsid w:val="004F6D4A"/>
    <w:rsid w:val="00501F31"/>
    <w:rsid w:val="005116F1"/>
    <w:rsid w:val="00517023"/>
    <w:rsid w:val="00520122"/>
    <w:rsid w:val="005205D5"/>
    <w:rsid w:val="00523FB0"/>
    <w:rsid w:val="00536006"/>
    <w:rsid w:val="005373D6"/>
    <w:rsid w:val="00543043"/>
    <w:rsid w:val="00546D99"/>
    <w:rsid w:val="00547563"/>
    <w:rsid w:val="00547B23"/>
    <w:rsid w:val="005559E8"/>
    <w:rsid w:val="005636BF"/>
    <w:rsid w:val="00563F73"/>
    <w:rsid w:val="00572D9B"/>
    <w:rsid w:val="005740D2"/>
    <w:rsid w:val="00575B3C"/>
    <w:rsid w:val="00575D01"/>
    <w:rsid w:val="00577760"/>
    <w:rsid w:val="00582F00"/>
    <w:rsid w:val="00584B44"/>
    <w:rsid w:val="00586FE3"/>
    <w:rsid w:val="00593B6E"/>
    <w:rsid w:val="005A13D2"/>
    <w:rsid w:val="005B2192"/>
    <w:rsid w:val="005B2EC1"/>
    <w:rsid w:val="005C56AF"/>
    <w:rsid w:val="005C78E1"/>
    <w:rsid w:val="005D06E0"/>
    <w:rsid w:val="005D21AC"/>
    <w:rsid w:val="005E1074"/>
    <w:rsid w:val="005F4469"/>
    <w:rsid w:val="005F7E5D"/>
    <w:rsid w:val="00602CCC"/>
    <w:rsid w:val="006031AD"/>
    <w:rsid w:val="006073DA"/>
    <w:rsid w:val="0061314E"/>
    <w:rsid w:val="00613925"/>
    <w:rsid w:val="006156CF"/>
    <w:rsid w:val="00620299"/>
    <w:rsid w:val="00621694"/>
    <w:rsid w:val="00624E6E"/>
    <w:rsid w:val="006258BC"/>
    <w:rsid w:val="00654408"/>
    <w:rsid w:val="00654A8A"/>
    <w:rsid w:val="00655A0E"/>
    <w:rsid w:val="006715DB"/>
    <w:rsid w:val="00683705"/>
    <w:rsid w:val="00692B9C"/>
    <w:rsid w:val="00695DF1"/>
    <w:rsid w:val="006A13B1"/>
    <w:rsid w:val="006A1B62"/>
    <w:rsid w:val="006A5179"/>
    <w:rsid w:val="006A7459"/>
    <w:rsid w:val="006B0F7E"/>
    <w:rsid w:val="006C3BB8"/>
    <w:rsid w:val="006C5618"/>
    <w:rsid w:val="006D0921"/>
    <w:rsid w:val="006D5B2D"/>
    <w:rsid w:val="006D6983"/>
    <w:rsid w:val="006E0E7D"/>
    <w:rsid w:val="006E1FEA"/>
    <w:rsid w:val="006E4DB0"/>
    <w:rsid w:val="006E4FE8"/>
    <w:rsid w:val="006E5465"/>
    <w:rsid w:val="006F0AEB"/>
    <w:rsid w:val="006F1BC0"/>
    <w:rsid w:val="006F7733"/>
    <w:rsid w:val="006F777E"/>
    <w:rsid w:val="00700E8E"/>
    <w:rsid w:val="00703AFC"/>
    <w:rsid w:val="00727FE3"/>
    <w:rsid w:val="00740033"/>
    <w:rsid w:val="00740585"/>
    <w:rsid w:val="00743F96"/>
    <w:rsid w:val="007506F0"/>
    <w:rsid w:val="007566FE"/>
    <w:rsid w:val="007573BC"/>
    <w:rsid w:val="0076160E"/>
    <w:rsid w:val="00772869"/>
    <w:rsid w:val="0077576E"/>
    <w:rsid w:val="00776100"/>
    <w:rsid w:val="00782EA6"/>
    <w:rsid w:val="00785426"/>
    <w:rsid w:val="00785BBD"/>
    <w:rsid w:val="007876F4"/>
    <w:rsid w:val="00795738"/>
    <w:rsid w:val="007979A6"/>
    <w:rsid w:val="007A19BB"/>
    <w:rsid w:val="007A47C3"/>
    <w:rsid w:val="007A7D41"/>
    <w:rsid w:val="007C2C13"/>
    <w:rsid w:val="007C6A41"/>
    <w:rsid w:val="007D1694"/>
    <w:rsid w:val="007D590A"/>
    <w:rsid w:val="007D73B0"/>
    <w:rsid w:val="007E5A4E"/>
    <w:rsid w:val="007E73EC"/>
    <w:rsid w:val="007F2E86"/>
    <w:rsid w:val="007F51BC"/>
    <w:rsid w:val="008006E8"/>
    <w:rsid w:val="00802B73"/>
    <w:rsid w:val="0081277D"/>
    <w:rsid w:val="008154CC"/>
    <w:rsid w:val="00815EFA"/>
    <w:rsid w:val="0082197C"/>
    <w:rsid w:val="008248F5"/>
    <w:rsid w:val="00826AB0"/>
    <w:rsid w:val="00826ADF"/>
    <w:rsid w:val="00830B9B"/>
    <w:rsid w:val="00833182"/>
    <w:rsid w:val="0083465A"/>
    <w:rsid w:val="008362C3"/>
    <w:rsid w:val="00837CEF"/>
    <w:rsid w:val="00840040"/>
    <w:rsid w:val="0084437A"/>
    <w:rsid w:val="00846BB7"/>
    <w:rsid w:val="0085052B"/>
    <w:rsid w:val="00861E87"/>
    <w:rsid w:val="0088277D"/>
    <w:rsid w:val="00883F1C"/>
    <w:rsid w:val="0088591D"/>
    <w:rsid w:val="00887592"/>
    <w:rsid w:val="00891AC2"/>
    <w:rsid w:val="008A0323"/>
    <w:rsid w:val="008C52E3"/>
    <w:rsid w:val="008D10B4"/>
    <w:rsid w:val="008D7545"/>
    <w:rsid w:val="008F1CAB"/>
    <w:rsid w:val="00900950"/>
    <w:rsid w:val="009040FD"/>
    <w:rsid w:val="00914B2D"/>
    <w:rsid w:val="0091575A"/>
    <w:rsid w:val="009164C9"/>
    <w:rsid w:val="00917B4E"/>
    <w:rsid w:val="0092098E"/>
    <w:rsid w:val="009224DF"/>
    <w:rsid w:val="00926A2B"/>
    <w:rsid w:val="00932863"/>
    <w:rsid w:val="00936057"/>
    <w:rsid w:val="00936201"/>
    <w:rsid w:val="00937FBF"/>
    <w:rsid w:val="009420E4"/>
    <w:rsid w:val="00946F60"/>
    <w:rsid w:val="00947810"/>
    <w:rsid w:val="0095612A"/>
    <w:rsid w:val="0097169D"/>
    <w:rsid w:val="00974075"/>
    <w:rsid w:val="009745D4"/>
    <w:rsid w:val="00975B69"/>
    <w:rsid w:val="00977254"/>
    <w:rsid w:val="0098007D"/>
    <w:rsid w:val="00983332"/>
    <w:rsid w:val="00986097"/>
    <w:rsid w:val="00986DCA"/>
    <w:rsid w:val="00991517"/>
    <w:rsid w:val="009942C3"/>
    <w:rsid w:val="00997D86"/>
    <w:rsid w:val="009A524F"/>
    <w:rsid w:val="009A5E45"/>
    <w:rsid w:val="009B0194"/>
    <w:rsid w:val="009B2825"/>
    <w:rsid w:val="009B66A1"/>
    <w:rsid w:val="009C64C0"/>
    <w:rsid w:val="009D18B1"/>
    <w:rsid w:val="009D4459"/>
    <w:rsid w:val="009E3841"/>
    <w:rsid w:val="009E4F1C"/>
    <w:rsid w:val="009F590F"/>
    <w:rsid w:val="009F6805"/>
    <w:rsid w:val="00A024BE"/>
    <w:rsid w:val="00A04D7C"/>
    <w:rsid w:val="00A04E67"/>
    <w:rsid w:val="00A11D05"/>
    <w:rsid w:val="00A12532"/>
    <w:rsid w:val="00A208E6"/>
    <w:rsid w:val="00A2154D"/>
    <w:rsid w:val="00A2273F"/>
    <w:rsid w:val="00A322BF"/>
    <w:rsid w:val="00A35ECB"/>
    <w:rsid w:val="00A3FD00"/>
    <w:rsid w:val="00A42717"/>
    <w:rsid w:val="00A50600"/>
    <w:rsid w:val="00A52474"/>
    <w:rsid w:val="00A52D21"/>
    <w:rsid w:val="00A54F3C"/>
    <w:rsid w:val="00A568B8"/>
    <w:rsid w:val="00A77638"/>
    <w:rsid w:val="00A849D1"/>
    <w:rsid w:val="00A865F1"/>
    <w:rsid w:val="00A9267F"/>
    <w:rsid w:val="00A96229"/>
    <w:rsid w:val="00AA27FA"/>
    <w:rsid w:val="00AA3539"/>
    <w:rsid w:val="00AB1083"/>
    <w:rsid w:val="00AB3CA5"/>
    <w:rsid w:val="00AB4670"/>
    <w:rsid w:val="00AB46BC"/>
    <w:rsid w:val="00AB6B0B"/>
    <w:rsid w:val="00AB7D42"/>
    <w:rsid w:val="00AC531D"/>
    <w:rsid w:val="00AC58C7"/>
    <w:rsid w:val="00AC7998"/>
    <w:rsid w:val="00AC7B34"/>
    <w:rsid w:val="00AD42E5"/>
    <w:rsid w:val="00AE1E94"/>
    <w:rsid w:val="00AE76C4"/>
    <w:rsid w:val="00AF1F4C"/>
    <w:rsid w:val="00AF2286"/>
    <w:rsid w:val="00B043FE"/>
    <w:rsid w:val="00B070BC"/>
    <w:rsid w:val="00B1021C"/>
    <w:rsid w:val="00B125E0"/>
    <w:rsid w:val="00B2358A"/>
    <w:rsid w:val="00B24D20"/>
    <w:rsid w:val="00B255A7"/>
    <w:rsid w:val="00B46960"/>
    <w:rsid w:val="00B507F4"/>
    <w:rsid w:val="00B50CCF"/>
    <w:rsid w:val="00B51CE6"/>
    <w:rsid w:val="00B54236"/>
    <w:rsid w:val="00B55659"/>
    <w:rsid w:val="00B56781"/>
    <w:rsid w:val="00B57708"/>
    <w:rsid w:val="00B62858"/>
    <w:rsid w:val="00B63AFF"/>
    <w:rsid w:val="00B661A7"/>
    <w:rsid w:val="00B66D58"/>
    <w:rsid w:val="00B751B0"/>
    <w:rsid w:val="00B75A0D"/>
    <w:rsid w:val="00B75F74"/>
    <w:rsid w:val="00B7650D"/>
    <w:rsid w:val="00B770C9"/>
    <w:rsid w:val="00B80560"/>
    <w:rsid w:val="00B8202D"/>
    <w:rsid w:val="00B928F7"/>
    <w:rsid w:val="00B935C6"/>
    <w:rsid w:val="00B9500E"/>
    <w:rsid w:val="00BA050D"/>
    <w:rsid w:val="00BA4E47"/>
    <w:rsid w:val="00BA5A80"/>
    <w:rsid w:val="00BB09B4"/>
    <w:rsid w:val="00BB141E"/>
    <w:rsid w:val="00BB1C81"/>
    <w:rsid w:val="00BB465B"/>
    <w:rsid w:val="00BC3E62"/>
    <w:rsid w:val="00BD2FDA"/>
    <w:rsid w:val="00BD3AB2"/>
    <w:rsid w:val="00BD7572"/>
    <w:rsid w:val="00BE2472"/>
    <w:rsid w:val="00BE5D4E"/>
    <w:rsid w:val="00BE672D"/>
    <w:rsid w:val="00BF5E9D"/>
    <w:rsid w:val="00C00433"/>
    <w:rsid w:val="00C01591"/>
    <w:rsid w:val="00C20DB5"/>
    <w:rsid w:val="00C23077"/>
    <w:rsid w:val="00C43168"/>
    <w:rsid w:val="00C433CC"/>
    <w:rsid w:val="00C67767"/>
    <w:rsid w:val="00C75558"/>
    <w:rsid w:val="00C76080"/>
    <w:rsid w:val="00C76D27"/>
    <w:rsid w:val="00C84E33"/>
    <w:rsid w:val="00C931AB"/>
    <w:rsid w:val="00C94DD6"/>
    <w:rsid w:val="00CA1276"/>
    <w:rsid w:val="00CA12A0"/>
    <w:rsid w:val="00CA607C"/>
    <w:rsid w:val="00CA7E06"/>
    <w:rsid w:val="00CB050C"/>
    <w:rsid w:val="00CB0BF4"/>
    <w:rsid w:val="00CB2997"/>
    <w:rsid w:val="00CC242F"/>
    <w:rsid w:val="00CC30A6"/>
    <w:rsid w:val="00CD01D2"/>
    <w:rsid w:val="00CD290D"/>
    <w:rsid w:val="00CD308F"/>
    <w:rsid w:val="00CD49EE"/>
    <w:rsid w:val="00CD65FF"/>
    <w:rsid w:val="00CD7E4C"/>
    <w:rsid w:val="00CE26B8"/>
    <w:rsid w:val="00CE30FA"/>
    <w:rsid w:val="00CE5CDD"/>
    <w:rsid w:val="00CE7028"/>
    <w:rsid w:val="00CE70D1"/>
    <w:rsid w:val="00CF1D41"/>
    <w:rsid w:val="00CF5DF3"/>
    <w:rsid w:val="00D0289D"/>
    <w:rsid w:val="00D10404"/>
    <w:rsid w:val="00D10AEA"/>
    <w:rsid w:val="00D116BD"/>
    <w:rsid w:val="00D13967"/>
    <w:rsid w:val="00D155AB"/>
    <w:rsid w:val="00D17307"/>
    <w:rsid w:val="00D177D8"/>
    <w:rsid w:val="00D214BC"/>
    <w:rsid w:val="00D25C35"/>
    <w:rsid w:val="00D26A22"/>
    <w:rsid w:val="00D31A08"/>
    <w:rsid w:val="00D31F4A"/>
    <w:rsid w:val="00D32273"/>
    <w:rsid w:val="00D32FF1"/>
    <w:rsid w:val="00D344C0"/>
    <w:rsid w:val="00D347D1"/>
    <w:rsid w:val="00D43F74"/>
    <w:rsid w:val="00D4590C"/>
    <w:rsid w:val="00D52BBE"/>
    <w:rsid w:val="00D625AD"/>
    <w:rsid w:val="00D65FFD"/>
    <w:rsid w:val="00D66029"/>
    <w:rsid w:val="00D66DBA"/>
    <w:rsid w:val="00D80169"/>
    <w:rsid w:val="00D81D73"/>
    <w:rsid w:val="00D86598"/>
    <w:rsid w:val="00D916E9"/>
    <w:rsid w:val="00D91AE1"/>
    <w:rsid w:val="00D946E9"/>
    <w:rsid w:val="00D955E1"/>
    <w:rsid w:val="00D969CE"/>
    <w:rsid w:val="00DA6CD7"/>
    <w:rsid w:val="00DB300F"/>
    <w:rsid w:val="00DB3494"/>
    <w:rsid w:val="00DC402F"/>
    <w:rsid w:val="00DC430F"/>
    <w:rsid w:val="00DD39F1"/>
    <w:rsid w:val="00DD3DEE"/>
    <w:rsid w:val="00DD5E2B"/>
    <w:rsid w:val="00DD65BA"/>
    <w:rsid w:val="00DD6EA6"/>
    <w:rsid w:val="00DE0252"/>
    <w:rsid w:val="00DE088F"/>
    <w:rsid w:val="00DE16C2"/>
    <w:rsid w:val="00DE2113"/>
    <w:rsid w:val="00DE4005"/>
    <w:rsid w:val="00DE407D"/>
    <w:rsid w:val="00DE7669"/>
    <w:rsid w:val="00DF13AD"/>
    <w:rsid w:val="00DF1961"/>
    <w:rsid w:val="00E031A1"/>
    <w:rsid w:val="00E04C86"/>
    <w:rsid w:val="00E0711E"/>
    <w:rsid w:val="00E10117"/>
    <w:rsid w:val="00E1073F"/>
    <w:rsid w:val="00E11E55"/>
    <w:rsid w:val="00E12FC9"/>
    <w:rsid w:val="00E14578"/>
    <w:rsid w:val="00E1681C"/>
    <w:rsid w:val="00E256B3"/>
    <w:rsid w:val="00E2693F"/>
    <w:rsid w:val="00E26955"/>
    <w:rsid w:val="00E31469"/>
    <w:rsid w:val="00E35CE5"/>
    <w:rsid w:val="00E36C6E"/>
    <w:rsid w:val="00E46C64"/>
    <w:rsid w:val="00E47D66"/>
    <w:rsid w:val="00E50F9F"/>
    <w:rsid w:val="00E67052"/>
    <w:rsid w:val="00E67EA2"/>
    <w:rsid w:val="00E70AF7"/>
    <w:rsid w:val="00E75750"/>
    <w:rsid w:val="00E7578E"/>
    <w:rsid w:val="00E76FBD"/>
    <w:rsid w:val="00E80F5E"/>
    <w:rsid w:val="00E82707"/>
    <w:rsid w:val="00E83109"/>
    <w:rsid w:val="00E920A3"/>
    <w:rsid w:val="00EA5B48"/>
    <w:rsid w:val="00EA74A7"/>
    <w:rsid w:val="00EA789A"/>
    <w:rsid w:val="00EA7995"/>
    <w:rsid w:val="00EB16CE"/>
    <w:rsid w:val="00EB2890"/>
    <w:rsid w:val="00EB3D29"/>
    <w:rsid w:val="00EB3E07"/>
    <w:rsid w:val="00EB5785"/>
    <w:rsid w:val="00EB7E0B"/>
    <w:rsid w:val="00EC0FF9"/>
    <w:rsid w:val="00EC1517"/>
    <w:rsid w:val="00EC3D85"/>
    <w:rsid w:val="00EC44B7"/>
    <w:rsid w:val="00EC5921"/>
    <w:rsid w:val="00ED770D"/>
    <w:rsid w:val="00EE07DC"/>
    <w:rsid w:val="00EE0A65"/>
    <w:rsid w:val="00EE53EF"/>
    <w:rsid w:val="00EF3CEB"/>
    <w:rsid w:val="00EF4B4B"/>
    <w:rsid w:val="00EF672F"/>
    <w:rsid w:val="00EF74B4"/>
    <w:rsid w:val="00EF79C5"/>
    <w:rsid w:val="00F02E6F"/>
    <w:rsid w:val="00F061D9"/>
    <w:rsid w:val="00F07743"/>
    <w:rsid w:val="00F077CA"/>
    <w:rsid w:val="00F07E10"/>
    <w:rsid w:val="00F12EDA"/>
    <w:rsid w:val="00F14DA3"/>
    <w:rsid w:val="00F15AAB"/>
    <w:rsid w:val="00F24FB7"/>
    <w:rsid w:val="00F261C5"/>
    <w:rsid w:val="00F37C46"/>
    <w:rsid w:val="00F438FB"/>
    <w:rsid w:val="00F44B7B"/>
    <w:rsid w:val="00F512EF"/>
    <w:rsid w:val="00F5268D"/>
    <w:rsid w:val="00F603CE"/>
    <w:rsid w:val="00F63454"/>
    <w:rsid w:val="00F63BB1"/>
    <w:rsid w:val="00F662A1"/>
    <w:rsid w:val="00F70393"/>
    <w:rsid w:val="00F71C7F"/>
    <w:rsid w:val="00F722EB"/>
    <w:rsid w:val="00F740F6"/>
    <w:rsid w:val="00F759D2"/>
    <w:rsid w:val="00F76370"/>
    <w:rsid w:val="00F76E1E"/>
    <w:rsid w:val="00F83FE9"/>
    <w:rsid w:val="00FA364B"/>
    <w:rsid w:val="00FB260F"/>
    <w:rsid w:val="00FC0EDC"/>
    <w:rsid w:val="00FD10C9"/>
    <w:rsid w:val="00FD4EE0"/>
    <w:rsid w:val="00FD5400"/>
    <w:rsid w:val="00FE1B0B"/>
    <w:rsid w:val="00FF05BA"/>
    <w:rsid w:val="00FF270E"/>
    <w:rsid w:val="00FF2D48"/>
    <w:rsid w:val="00FF507A"/>
    <w:rsid w:val="00FF5567"/>
    <w:rsid w:val="0181A95B"/>
    <w:rsid w:val="02159205"/>
    <w:rsid w:val="02418355"/>
    <w:rsid w:val="03FD361C"/>
    <w:rsid w:val="0508B0EB"/>
    <w:rsid w:val="056B3EB2"/>
    <w:rsid w:val="06A3ABC2"/>
    <w:rsid w:val="085BAF19"/>
    <w:rsid w:val="089120FC"/>
    <w:rsid w:val="0B475699"/>
    <w:rsid w:val="0C56BD44"/>
    <w:rsid w:val="0C9C6B47"/>
    <w:rsid w:val="0DC11197"/>
    <w:rsid w:val="0E5BD8A3"/>
    <w:rsid w:val="0F1A0E7E"/>
    <w:rsid w:val="10B5DEDF"/>
    <w:rsid w:val="1632DBED"/>
    <w:rsid w:val="16AF7169"/>
    <w:rsid w:val="17252063"/>
    <w:rsid w:val="1753D6A0"/>
    <w:rsid w:val="1757C11D"/>
    <w:rsid w:val="1876BEFF"/>
    <w:rsid w:val="1877DFC7"/>
    <w:rsid w:val="18D9BE17"/>
    <w:rsid w:val="1998FB49"/>
    <w:rsid w:val="1BF89186"/>
    <w:rsid w:val="1C5DABD6"/>
    <w:rsid w:val="1CAA3139"/>
    <w:rsid w:val="1F151FFF"/>
    <w:rsid w:val="220F93B7"/>
    <w:rsid w:val="23EE705C"/>
    <w:rsid w:val="240B3389"/>
    <w:rsid w:val="245063C4"/>
    <w:rsid w:val="2551D2FD"/>
    <w:rsid w:val="25603FE5"/>
    <w:rsid w:val="256CE089"/>
    <w:rsid w:val="25D950E9"/>
    <w:rsid w:val="268878C6"/>
    <w:rsid w:val="2ADF12D8"/>
    <w:rsid w:val="2B410E28"/>
    <w:rsid w:val="2B4D7F85"/>
    <w:rsid w:val="2BF4E400"/>
    <w:rsid w:val="2C488C53"/>
    <w:rsid w:val="2E81EEA1"/>
    <w:rsid w:val="2F859A3A"/>
    <w:rsid w:val="309B0C69"/>
    <w:rsid w:val="31A398AC"/>
    <w:rsid w:val="32BA7458"/>
    <w:rsid w:val="340463A9"/>
    <w:rsid w:val="347BEC2D"/>
    <w:rsid w:val="354B2E6A"/>
    <w:rsid w:val="35A43518"/>
    <w:rsid w:val="360BDB2B"/>
    <w:rsid w:val="367D70AB"/>
    <w:rsid w:val="3866B9A9"/>
    <w:rsid w:val="3AAC5DE0"/>
    <w:rsid w:val="3B0C1949"/>
    <w:rsid w:val="3CE64B53"/>
    <w:rsid w:val="41B9BC76"/>
    <w:rsid w:val="43BB758D"/>
    <w:rsid w:val="44443397"/>
    <w:rsid w:val="47D19E3F"/>
    <w:rsid w:val="488EE6B0"/>
    <w:rsid w:val="48A9D5A8"/>
    <w:rsid w:val="4920C119"/>
    <w:rsid w:val="4D8D5B55"/>
    <w:rsid w:val="4F0615BA"/>
    <w:rsid w:val="4F92256D"/>
    <w:rsid w:val="5052D22E"/>
    <w:rsid w:val="5139B0B4"/>
    <w:rsid w:val="5174932B"/>
    <w:rsid w:val="51EE582F"/>
    <w:rsid w:val="520C5DC4"/>
    <w:rsid w:val="5278BD37"/>
    <w:rsid w:val="53D986DD"/>
    <w:rsid w:val="5411A1D3"/>
    <w:rsid w:val="54715176"/>
    <w:rsid w:val="54C55C4A"/>
    <w:rsid w:val="5575573E"/>
    <w:rsid w:val="5582C2C9"/>
    <w:rsid w:val="55A5122F"/>
    <w:rsid w:val="563352FA"/>
    <w:rsid w:val="56FE5419"/>
    <w:rsid w:val="589C5884"/>
    <w:rsid w:val="5A2AA7D6"/>
    <w:rsid w:val="5AAE579A"/>
    <w:rsid w:val="5CDCEA24"/>
    <w:rsid w:val="5FAE13ED"/>
    <w:rsid w:val="620A564B"/>
    <w:rsid w:val="62730252"/>
    <w:rsid w:val="62E5B4AF"/>
    <w:rsid w:val="64197BE3"/>
    <w:rsid w:val="65AB1F6F"/>
    <w:rsid w:val="6645270A"/>
    <w:rsid w:val="66988F66"/>
    <w:rsid w:val="679BFD49"/>
    <w:rsid w:val="6A764E67"/>
    <w:rsid w:val="6D897D37"/>
    <w:rsid w:val="6F1FE32E"/>
    <w:rsid w:val="700CF7E4"/>
    <w:rsid w:val="708E60C4"/>
    <w:rsid w:val="7161A60F"/>
    <w:rsid w:val="734498A6"/>
    <w:rsid w:val="73D272E3"/>
    <w:rsid w:val="74784CD9"/>
    <w:rsid w:val="74C740AA"/>
    <w:rsid w:val="752B12BD"/>
    <w:rsid w:val="755F7E77"/>
    <w:rsid w:val="761A3F8F"/>
    <w:rsid w:val="76E2C3D7"/>
    <w:rsid w:val="775BEF4D"/>
    <w:rsid w:val="77748ACA"/>
    <w:rsid w:val="77CB7FB5"/>
    <w:rsid w:val="781809C9"/>
    <w:rsid w:val="78CB4EDF"/>
    <w:rsid w:val="7AA6CEB7"/>
    <w:rsid w:val="7CEBB243"/>
    <w:rsid w:val="7DD36B1B"/>
    <w:rsid w:val="7E5DE01B"/>
    <w:rsid w:val="7F4F7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D2A4F"/>
  <w15:chartTrackingRefBased/>
  <w15:docId w15:val="{A955CAF7-FEF7-4249-BAC3-943E52E3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rsid w:val="00182AAE"/>
    <w:pPr>
      <w:spacing w:after="0" w:line="240" w:lineRule="auto"/>
    </w:pPr>
    <w:rPr>
      <w:rFonts w:ascii="Calibri" w:eastAsia="Calibri" w:hAnsi="Calibri" w:cs="Times New Roman"/>
    </w:rPr>
  </w:style>
  <w:style w:type="paragraph" w:styleId="ListParagraph">
    <w:name w:val="List Paragraph"/>
    <w:basedOn w:val="Normal1"/>
    <w:uiPriority w:val="34"/>
    <w:qFormat/>
    <w:rsid w:val="00182AAE"/>
    <w:pPr>
      <w:ind w:left="720"/>
      <w:contextualSpacing/>
    </w:pPr>
  </w:style>
  <w:style w:type="paragraph" w:customStyle="1" w:styleId="Corpo">
    <w:name w:val="Corpo"/>
    <w:rsid w:val="00182AAE"/>
    <w:pPr>
      <w:pBdr>
        <w:top w:val="nil"/>
        <w:left w:val="nil"/>
        <w:bottom w:val="nil"/>
        <w:right w:val="nil"/>
        <w:between w:val="nil"/>
        <w:bar w:val="nil"/>
      </w:pBdr>
    </w:pPr>
    <w:rPr>
      <w:rFonts w:ascii="Calibri" w:eastAsia="Calibri" w:hAnsi="Calibri" w:cs="Calibri"/>
      <w:color w:val="000000"/>
      <w:u w:color="000000"/>
      <w:bdr w:val="nil"/>
      <w:lang w:val="nb-NO" w:eastAsia="nb-NO"/>
    </w:rPr>
  </w:style>
  <w:style w:type="paragraph" w:styleId="NoSpacing">
    <w:name w:val="No Spacing"/>
    <w:uiPriority w:val="1"/>
    <w:qFormat/>
    <w:rsid w:val="00E12FC9"/>
    <w:pPr>
      <w:spacing w:after="0" w:line="240" w:lineRule="auto"/>
    </w:pPr>
  </w:style>
  <w:style w:type="character" w:styleId="FootnoteReference">
    <w:name w:val="footnote reference"/>
    <w:basedOn w:val="DefaultParagraphFont"/>
    <w:uiPriority w:val="99"/>
    <w:semiHidden/>
    <w:unhideWhenUsed/>
    <w:qFormat/>
    <w:rsid w:val="00AC7B34"/>
    <w:rPr>
      <w:vertAlign w:val="superscript"/>
    </w:rPr>
  </w:style>
  <w:style w:type="paragraph" w:styleId="FootnoteText">
    <w:name w:val="footnote text"/>
    <w:basedOn w:val="Normal"/>
    <w:link w:val="FootnoteTextChar"/>
    <w:uiPriority w:val="99"/>
    <w:semiHidden/>
    <w:unhideWhenUsed/>
    <w:rsid w:val="00D916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16E9"/>
    <w:rPr>
      <w:sz w:val="20"/>
      <w:szCs w:val="20"/>
    </w:rPr>
  </w:style>
  <w:style w:type="character" w:styleId="Hyperlink">
    <w:name w:val="Hyperlink"/>
    <w:basedOn w:val="DefaultParagraphFont"/>
    <w:uiPriority w:val="99"/>
    <w:unhideWhenUsed/>
    <w:rsid w:val="001D08EF"/>
    <w:rPr>
      <w:color w:val="0563C1" w:themeColor="hyperlink"/>
      <w:u w:val="single"/>
    </w:rPr>
  </w:style>
  <w:style w:type="character" w:styleId="UnresolvedMention">
    <w:name w:val="Unresolved Mention"/>
    <w:basedOn w:val="DefaultParagraphFont"/>
    <w:uiPriority w:val="99"/>
    <w:semiHidden/>
    <w:unhideWhenUsed/>
    <w:rsid w:val="001D08EF"/>
    <w:rPr>
      <w:color w:val="605E5C"/>
      <w:shd w:val="clear" w:color="auto" w:fill="E1DFDD"/>
    </w:rPr>
  </w:style>
  <w:style w:type="paragraph" w:styleId="Header">
    <w:name w:val="header"/>
    <w:basedOn w:val="Normal"/>
    <w:link w:val="HeaderChar"/>
    <w:uiPriority w:val="99"/>
    <w:unhideWhenUsed/>
    <w:rsid w:val="00FD54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5400"/>
  </w:style>
  <w:style w:type="paragraph" w:styleId="Footer">
    <w:name w:val="footer"/>
    <w:basedOn w:val="Normal"/>
    <w:link w:val="FooterChar"/>
    <w:uiPriority w:val="99"/>
    <w:unhideWhenUsed/>
    <w:rsid w:val="00FD5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400"/>
  </w:style>
  <w:style w:type="character" w:customStyle="1" w:styleId="normaltextrun">
    <w:name w:val="normaltextrun"/>
    <w:basedOn w:val="DefaultParagraphFont"/>
    <w:rsid w:val="00837CEF"/>
  </w:style>
  <w:style w:type="character" w:customStyle="1" w:styleId="eop">
    <w:name w:val="eop"/>
    <w:basedOn w:val="DefaultParagraphFont"/>
    <w:rsid w:val="00837CEF"/>
  </w:style>
  <w:style w:type="paragraph" w:styleId="CommentText">
    <w:name w:val="annotation text"/>
    <w:basedOn w:val="Normal"/>
    <w:link w:val="CommentTextChar"/>
    <w:uiPriority w:val="99"/>
    <w:semiHidden/>
    <w:unhideWhenUsed/>
    <w:rsid w:val="006E1FEA"/>
    <w:pPr>
      <w:spacing w:line="240" w:lineRule="auto"/>
    </w:pPr>
    <w:rPr>
      <w:sz w:val="20"/>
      <w:szCs w:val="20"/>
    </w:rPr>
  </w:style>
  <w:style w:type="character" w:customStyle="1" w:styleId="CommentTextChar">
    <w:name w:val="Comment Text Char"/>
    <w:basedOn w:val="DefaultParagraphFont"/>
    <w:link w:val="CommentText"/>
    <w:uiPriority w:val="99"/>
    <w:semiHidden/>
    <w:rsid w:val="006E1FEA"/>
    <w:rPr>
      <w:sz w:val="20"/>
      <w:szCs w:val="20"/>
    </w:rPr>
  </w:style>
  <w:style w:type="character" w:styleId="CommentReference">
    <w:name w:val="annotation reference"/>
    <w:basedOn w:val="DefaultParagraphFont"/>
    <w:uiPriority w:val="99"/>
    <w:semiHidden/>
    <w:unhideWhenUsed/>
    <w:rsid w:val="006E1FEA"/>
    <w:rPr>
      <w:sz w:val="16"/>
      <w:szCs w:val="16"/>
    </w:rPr>
  </w:style>
  <w:style w:type="paragraph" w:styleId="Revision">
    <w:name w:val="Revision"/>
    <w:hidden/>
    <w:uiPriority w:val="99"/>
    <w:semiHidden/>
    <w:rsid w:val="006E1FEA"/>
    <w:pPr>
      <w:spacing w:after="0" w:line="240" w:lineRule="auto"/>
    </w:pPr>
  </w:style>
  <w:style w:type="character" w:styleId="FollowedHyperlink">
    <w:name w:val="FollowedHyperlink"/>
    <w:basedOn w:val="DefaultParagraphFont"/>
    <w:uiPriority w:val="99"/>
    <w:semiHidden/>
    <w:unhideWhenUsed/>
    <w:rsid w:val="001C5D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251411">
      <w:bodyDiv w:val="1"/>
      <w:marLeft w:val="0"/>
      <w:marRight w:val="0"/>
      <w:marTop w:val="0"/>
      <w:marBottom w:val="0"/>
      <w:divBdr>
        <w:top w:val="none" w:sz="0" w:space="0" w:color="auto"/>
        <w:left w:val="none" w:sz="0" w:space="0" w:color="auto"/>
        <w:bottom w:val="none" w:sz="0" w:space="0" w:color="auto"/>
        <w:right w:val="none" w:sz="0" w:space="0" w:color="auto"/>
      </w:divBdr>
    </w:div>
    <w:div w:id="1333990759">
      <w:bodyDiv w:val="1"/>
      <w:marLeft w:val="0"/>
      <w:marRight w:val="0"/>
      <w:marTop w:val="0"/>
      <w:marBottom w:val="0"/>
      <w:divBdr>
        <w:top w:val="none" w:sz="0" w:space="0" w:color="auto"/>
        <w:left w:val="none" w:sz="0" w:space="0" w:color="auto"/>
        <w:bottom w:val="none" w:sz="0" w:space="0" w:color="auto"/>
        <w:right w:val="none" w:sz="0" w:space="0" w:color="auto"/>
      </w:divBdr>
    </w:div>
    <w:div w:id="154108988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forestpeoples.org/sites/default/files/news/2013/05/Constitutional_Court_Ruling_Indonesia_16_May_2013_English.pdf" TargetMode="External"/><Relationship Id="rId13" Type="http://schemas.openxmlformats.org/officeDocument/2006/relationships/hyperlink" Target="https://humanrightspapua.org/hrreport/2021/" TargetMode="External"/><Relationship Id="rId18" Type="http://schemas.openxmlformats.org/officeDocument/2006/relationships/hyperlink" Target="https://www.euredd.efi.int/documents/10180/463214/Working+paper+-+Implementing+SVLK+in+customary+forests.pdf" TargetMode="External"/><Relationship Id="rId3" Type="http://schemas.openxmlformats.org/officeDocument/2006/relationships/hyperlink" Target="https://mission-indonesia.org/2016/09/21/statement-by-the-delegation-of-indonesia-general-debate-item-5/" TargetMode="External"/><Relationship Id="rId7" Type="http://schemas.openxmlformats.org/officeDocument/2006/relationships/hyperlink" Target="https://www.fao.org/faolex/results/details/en/c/LEX-FAOC097643/" TargetMode="External"/><Relationship Id="rId12" Type="http://schemas.openxmlformats.org/officeDocument/2006/relationships/hyperlink" Target="https://www.ilo.org/dyn/natlex/natlex4.detail?p_lang=&amp;p_isn=84431" TargetMode="External"/><Relationship Id="rId17" Type="http://schemas.openxmlformats.org/officeDocument/2006/relationships/hyperlink" Target="https://www.komnasham.go.id/index.php/news/2021/7/21/1851/perubahan-uu-otsus-papua-disahkan-komnas-ham-ingatkan-komitmen-pemerintah.html" TargetMode="External"/><Relationship Id="rId2" Type="http://schemas.openxmlformats.org/officeDocument/2006/relationships/hyperlink" Target="https://tbinternet.ohchr.org/_layouts/15/treatybodyexternal/Download.aspx?symbolno=INT%2fCESCR%2fICO%2fIDN%2f47590&amp;Lang=en" TargetMode="External"/><Relationship Id="rId16" Type="http://schemas.openxmlformats.org/officeDocument/2006/relationships/hyperlink" Target="https://peraturan.bpk.go.id/Home/Details/172403/uu-no-2-tahun-2021" TargetMode="External"/><Relationship Id="rId1" Type="http://schemas.openxmlformats.org/officeDocument/2006/relationships/hyperlink" Target="https://tbinternet.ohchr.org/_layouts/15/treatybodyexternal/Download.aspx?symbolno=INT%2fCEDAW%2fNGO%2fIDN%2f46761&amp;Lang=en" TargetMode="External"/><Relationship Id="rId6" Type="http://schemas.openxmlformats.org/officeDocument/2006/relationships/hyperlink" Target="https://peraturan.bpk.go.id/Home/Details/39911/uu-no-27-tahun-2007" TargetMode="External"/><Relationship Id="rId11" Type="http://schemas.openxmlformats.org/officeDocument/2006/relationships/hyperlink" Target="http://www.politik.lipi.go.id/downloadpap/newsletter-preview/Exsum%20Updating%20Papua%20Road%20Map%20-%20LIPI%202017.pdf" TargetMode="External"/><Relationship Id="rId5" Type="http://schemas.openxmlformats.org/officeDocument/2006/relationships/hyperlink" Target="https://zerosugar.files.wordpress.com/2014/08/law-no-5-of-1960-on-basic-agrarian-principles-etlj.pdf" TargetMode="External"/><Relationship Id="rId15" Type="http://schemas.openxmlformats.org/officeDocument/2006/relationships/hyperlink" Target="https://www.iseas.edu.sg/wp-content/uploads/2021/09/ISEAS_Perspective_2021_123.pdf" TargetMode="External"/><Relationship Id="rId10" Type="http://schemas.openxmlformats.org/officeDocument/2006/relationships/hyperlink" Target="https://cupdf.com/document/papua-road-map.html" TargetMode="External"/><Relationship Id="rId19" Type="http://schemas.openxmlformats.org/officeDocument/2006/relationships/hyperlink" Target="https://www.iwgia.org/en/resources/indigenous-world.html" TargetMode="External"/><Relationship Id="rId4" Type="http://schemas.openxmlformats.org/officeDocument/2006/relationships/hyperlink" Target="https://www.dpr.go.id/berita/detail/id/34421/t/Legislator+Dorong+RUU+MHA+Mengakomodasi+Kepentingan+Masyarakat+Adat" TargetMode="External"/><Relationship Id="rId9" Type="http://schemas.openxmlformats.org/officeDocument/2006/relationships/hyperlink" Target="https://www.aman.or.id/wp-content/uploads/2018/05/putusan_sidang_35-PUU-2012-Kehutanan-telah-ucap-16-Mei-2013.pdf" TargetMode="External"/><Relationship Id="rId14" Type="http://schemas.openxmlformats.org/officeDocument/2006/relationships/hyperlink" Target="https://berkas.dpr.go.id/puslit/files/info_singkat/Info%20Singkat-XIII-14-II-P3DI-Juli-2021-176-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90CCED21F5184EBA64D48C8A315389" ma:contentTypeVersion="14" ma:contentTypeDescription="Create a new document." ma:contentTypeScope="" ma:versionID="44ce2fbe09bbe1fc28d57be1c22d06fe">
  <xsd:schema xmlns:xsd="http://www.w3.org/2001/XMLSchema" xmlns:xs="http://www.w3.org/2001/XMLSchema" xmlns:p="http://schemas.microsoft.com/office/2006/metadata/properties" xmlns:ns1="http://schemas.microsoft.com/sharepoint/v3" xmlns:ns2="169b912a-3102-4fd4-bdd7-6339cee3bbc9" xmlns:ns3="63551598-73e7-4116-9c96-da7493a2a1ab" targetNamespace="http://schemas.microsoft.com/office/2006/metadata/properties" ma:root="true" ma:fieldsID="19180e6413be1391f2f628c38b462e61" ns1:_="" ns2:_="" ns3:_="">
    <xsd:import namespace="http://schemas.microsoft.com/sharepoint/v3"/>
    <xsd:import namespace="169b912a-3102-4fd4-bdd7-6339cee3bbc9"/>
    <xsd:import namespace="63551598-73e7-4116-9c96-da7493a2a1ab"/>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9b912a-3102-4fd4-bdd7-6339cee3bb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551598-73e7-4116-9c96-da7493a2a1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63551598-73e7-4116-9c96-da7493a2a1ab">
      <UserInfo>
        <DisplayName>Sandra Epal-Ratjen</DisplayName>
        <AccountId>41</AccountId>
        <AccountType/>
      </UserInfo>
    </SharedWithUsers>
  </documentManagement>
</p:properties>
</file>

<file path=customXml/itemProps1.xml><?xml version="1.0" encoding="utf-8"?>
<ds:datastoreItem xmlns:ds="http://schemas.openxmlformats.org/officeDocument/2006/customXml" ds:itemID="{BB57A394-44A8-41D7-8641-609F3D34EFDD}">
  <ds:schemaRefs>
    <ds:schemaRef ds:uri="http://schemas.microsoft.com/sharepoint/v3/contenttype/forms"/>
  </ds:schemaRefs>
</ds:datastoreItem>
</file>

<file path=customXml/itemProps2.xml><?xml version="1.0" encoding="utf-8"?>
<ds:datastoreItem xmlns:ds="http://schemas.openxmlformats.org/officeDocument/2006/customXml" ds:itemID="{608530CA-554D-4242-B8B1-9520EF3EA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9b912a-3102-4fd4-bdd7-6339cee3bbc9"/>
    <ds:schemaRef ds:uri="63551598-73e7-4116-9c96-da7493a2a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1229BA-B3EB-485F-8FAC-AC709FBDA1EA}">
  <ds:schemaRefs>
    <ds:schemaRef ds:uri="http://schemas.openxmlformats.org/officeDocument/2006/bibliography"/>
  </ds:schemaRefs>
</ds:datastoreItem>
</file>

<file path=customXml/itemProps4.xml><?xml version="1.0" encoding="utf-8"?>
<ds:datastoreItem xmlns:ds="http://schemas.openxmlformats.org/officeDocument/2006/customXml" ds:itemID="{1EE17044-58E0-4D54-9854-82E6BB3831C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2297</Words>
  <Characters>13093</Characters>
  <Application>Microsoft Office Word</Application>
  <DocSecurity>0</DocSecurity>
  <Lines>109</Lines>
  <Paragraphs>30</Paragraphs>
  <ScaleCrop>false</ScaleCrop>
  <Company/>
  <LinksUpToDate>false</LinksUpToDate>
  <CharactersWithSpaces>15360</CharactersWithSpaces>
  <SharedDoc>false</SharedDoc>
  <HLinks>
    <vt:vector size="108" baseType="variant">
      <vt:variant>
        <vt:i4>4587589</vt:i4>
      </vt:variant>
      <vt:variant>
        <vt:i4>51</vt:i4>
      </vt:variant>
      <vt:variant>
        <vt:i4>0</vt:i4>
      </vt:variant>
      <vt:variant>
        <vt:i4>5</vt:i4>
      </vt:variant>
      <vt:variant>
        <vt:lpwstr>https://www.iwgia.org/en/resources/indigenous-world.html</vt:lpwstr>
      </vt:variant>
      <vt:variant>
        <vt:lpwstr/>
      </vt:variant>
      <vt:variant>
        <vt:i4>5570574</vt:i4>
      </vt:variant>
      <vt:variant>
        <vt:i4>48</vt:i4>
      </vt:variant>
      <vt:variant>
        <vt:i4>0</vt:i4>
      </vt:variant>
      <vt:variant>
        <vt:i4>5</vt:i4>
      </vt:variant>
      <vt:variant>
        <vt:lpwstr>https://www.komnasham.go.id/index.php/news/2021/7/21/1851/perubahan-uu-otsus-papua-disahkan-komnas-ham-ingatkan-komitmen-pemerintah.html</vt:lpwstr>
      </vt:variant>
      <vt:variant>
        <vt:lpwstr/>
      </vt:variant>
      <vt:variant>
        <vt:i4>6750244</vt:i4>
      </vt:variant>
      <vt:variant>
        <vt:i4>45</vt:i4>
      </vt:variant>
      <vt:variant>
        <vt:i4>0</vt:i4>
      </vt:variant>
      <vt:variant>
        <vt:i4>5</vt:i4>
      </vt:variant>
      <vt:variant>
        <vt:lpwstr>https://peraturan.bpk.go.id/Home/Details/172403/uu-no-2-tahun-2021</vt:lpwstr>
      </vt:variant>
      <vt:variant>
        <vt:lpwstr/>
      </vt:variant>
      <vt:variant>
        <vt:i4>6619207</vt:i4>
      </vt:variant>
      <vt:variant>
        <vt:i4>42</vt:i4>
      </vt:variant>
      <vt:variant>
        <vt:i4>0</vt:i4>
      </vt:variant>
      <vt:variant>
        <vt:i4>5</vt:i4>
      </vt:variant>
      <vt:variant>
        <vt:lpwstr>https://www.iseas.edu.sg/wp-content/uploads/2021/09/ISEAS_Perspective_2021_123.pdf</vt:lpwstr>
      </vt:variant>
      <vt:variant>
        <vt:lpwstr/>
      </vt:variant>
      <vt:variant>
        <vt:i4>4194427</vt:i4>
      </vt:variant>
      <vt:variant>
        <vt:i4>39</vt:i4>
      </vt:variant>
      <vt:variant>
        <vt:i4>0</vt:i4>
      </vt:variant>
      <vt:variant>
        <vt:i4>5</vt:i4>
      </vt:variant>
      <vt:variant>
        <vt:lpwstr>https://berkas.dpr.go.id/puslit/files/info_singkat/Info Singkat-XIII-14-II-P3DI-Juli-2021-176-EN.pdf</vt:lpwstr>
      </vt:variant>
      <vt:variant>
        <vt:lpwstr/>
      </vt:variant>
      <vt:variant>
        <vt:i4>3866674</vt:i4>
      </vt:variant>
      <vt:variant>
        <vt:i4>36</vt:i4>
      </vt:variant>
      <vt:variant>
        <vt:i4>0</vt:i4>
      </vt:variant>
      <vt:variant>
        <vt:i4>5</vt:i4>
      </vt:variant>
      <vt:variant>
        <vt:lpwstr>https://humanrightspapua.org/hrreport/2021/</vt:lpwstr>
      </vt:variant>
      <vt:variant>
        <vt:lpwstr/>
      </vt:variant>
      <vt:variant>
        <vt:i4>1048595</vt:i4>
      </vt:variant>
      <vt:variant>
        <vt:i4>33</vt:i4>
      </vt:variant>
      <vt:variant>
        <vt:i4>0</vt:i4>
      </vt:variant>
      <vt:variant>
        <vt:i4>5</vt:i4>
      </vt:variant>
      <vt:variant>
        <vt:lpwstr>https://www.ilo.org/dyn/natlex/natlex4.detail?p_lang=&amp;p_isn=84431</vt:lpwstr>
      </vt:variant>
      <vt:variant>
        <vt:lpwstr/>
      </vt:variant>
      <vt:variant>
        <vt:i4>8061037</vt:i4>
      </vt:variant>
      <vt:variant>
        <vt:i4>30</vt:i4>
      </vt:variant>
      <vt:variant>
        <vt:i4>0</vt:i4>
      </vt:variant>
      <vt:variant>
        <vt:i4>5</vt:i4>
      </vt:variant>
      <vt:variant>
        <vt:lpwstr>http://www.politik.lipi.go.id/downloadpap/newsletter-preview/Exsum Updating Papua Road Map - LIPI 2017.pdf</vt:lpwstr>
      </vt:variant>
      <vt:variant>
        <vt:lpwstr/>
      </vt:variant>
      <vt:variant>
        <vt:i4>7143482</vt:i4>
      </vt:variant>
      <vt:variant>
        <vt:i4>27</vt:i4>
      </vt:variant>
      <vt:variant>
        <vt:i4>0</vt:i4>
      </vt:variant>
      <vt:variant>
        <vt:i4>5</vt:i4>
      </vt:variant>
      <vt:variant>
        <vt:lpwstr>https://cupdf.com/document/papua-road-map.html</vt:lpwstr>
      </vt:variant>
      <vt:variant>
        <vt:lpwstr/>
      </vt:variant>
      <vt:variant>
        <vt:i4>8192037</vt:i4>
      </vt:variant>
      <vt:variant>
        <vt:i4>24</vt:i4>
      </vt:variant>
      <vt:variant>
        <vt:i4>0</vt:i4>
      </vt:variant>
      <vt:variant>
        <vt:i4>5</vt:i4>
      </vt:variant>
      <vt:variant>
        <vt:lpwstr>https://www.aman.or.id/wp-content/uploads/2018/05/putusan_sidang_35-PUU-2012-Kehutanan-telah-ucap-16-Mei-2013.pdf</vt:lpwstr>
      </vt:variant>
      <vt:variant>
        <vt:lpwstr/>
      </vt:variant>
      <vt:variant>
        <vt:i4>5963834</vt:i4>
      </vt:variant>
      <vt:variant>
        <vt:i4>21</vt:i4>
      </vt:variant>
      <vt:variant>
        <vt:i4>0</vt:i4>
      </vt:variant>
      <vt:variant>
        <vt:i4>5</vt:i4>
      </vt:variant>
      <vt:variant>
        <vt:lpwstr>https://www.forestpeoples.org/sites/default/files/news/2013/05/Constitutional_Court_Ruling_Indonesia_16_May_2013_English.pdf</vt:lpwstr>
      </vt:variant>
      <vt:variant>
        <vt:lpwstr/>
      </vt:variant>
      <vt:variant>
        <vt:i4>2293807</vt:i4>
      </vt:variant>
      <vt:variant>
        <vt:i4>18</vt:i4>
      </vt:variant>
      <vt:variant>
        <vt:i4>0</vt:i4>
      </vt:variant>
      <vt:variant>
        <vt:i4>5</vt:i4>
      </vt:variant>
      <vt:variant>
        <vt:lpwstr>https://www.fao.org/faolex/results/details/en/c/LEX-FAOC097643/</vt:lpwstr>
      </vt:variant>
      <vt:variant>
        <vt:lpwstr>:~:text=Law%20No.,and%20control%20of%20the%20environment</vt:lpwstr>
      </vt:variant>
      <vt:variant>
        <vt:i4>7667765</vt:i4>
      </vt:variant>
      <vt:variant>
        <vt:i4>15</vt:i4>
      </vt:variant>
      <vt:variant>
        <vt:i4>0</vt:i4>
      </vt:variant>
      <vt:variant>
        <vt:i4>5</vt:i4>
      </vt:variant>
      <vt:variant>
        <vt:lpwstr>https://peraturan.bpk.go.id/Home/Details/39911/uu-no-27-tahun-2007</vt:lpwstr>
      </vt:variant>
      <vt:variant>
        <vt:lpwstr/>
      </vt:variant>
      <vt:variant>
        <vt:i4>851983</vt:i4>
      </vt:variant>
      <vt:variant>
        <vt:i4>12</vt:i4>
      </vt:variant>
      <vt:variant>
        <vt:i4>0</vt:i4>
      </vt:variant>
      <vt:variant>
        <vt:i4>5</vt:i4>
      </vt:variant>
      <vt:variant>
        <vt:lpwstr>https://zerosugar.files.wordpress.com/2014/08/law-no-5-of-1960-on-basic-agrarian-principles-etlj.pdf</vt:lpwstr>
      </vt:variant>
      <vt:variant>
        <vt:lpwstr/>
      </vt:variant>
      <vt:variant>
        <vt:i4>2621485</vt:i4>
      </vt:variant>
      <vt:variant>
        <vt:i4>9</vt:i4>
      </vt:variant>
      <vt:variant>
        <vt:i4>0</vt:i4>
      </vt:variant>
      <vt:variant>
        <vt:i4>5</vt:i4>
      </vt:variant>
      <vt:variant>
        <vt:lpwstr>https://www.dpr.go.id/berita/detail/id/34421/t/Legislator+Dorong+RUU+MHA+Mengakomodasi+Kepentingan+Masyarakat+Adat</vt:lpwstr>
      </vt:variant>
      <vt:variant>
        <vt:lpwstr/>
      </vt:variant>
      <vt:variant>
        <vt:i4>5505092</vt:i4>
      </vt:variant>
      <vt:variant>
        <vt:i4>6</vt:i4>
      </vt:variant>
      <vt:variant>
        <vt:i4>0</vt:i4>
      </vt:variant>
      <vt:variant>
        <vt:i4>5</vt:i4>
      </vt:variant>
      <vt:variant>
        <vt:lpwstr>https://mission-indonesia.org/2016/09/21/statement-by-the-delegation-of-indonesia-general-debate-item-5/</vt:lpwstr>
      </vt:variant>
      <vt:variant>
        <vt:lpwstr/>
      </vt:variant>
      <vt:variant>
        <vt:i4>4653104</vt:i4>
      </vt:variant>
      <vt:variant>
        <vt:i4>3</vt:i4>
      </vt:variant>
      <vt:variant>
        <vt:i4>0</vt:i4>
      </vt:variant>
      <vt:variant>
        <vt:i4>5</vt:i4>
      </vt:variant>
      <vt:variant>
        <vt:lpwstr>https://tbinternet.ohchr.org/_layouts/15/treatybodyexternal/Download.aspx?symbolno=INT%2fCESCR%2fICO%2fIDN%2f47590&amp;Lang=en</vt:lpwstr>
      </vt:variant>
      <vt:variant>
        <vt:lpwstr/>
      </vt:variant>
      <vt:variant>
        <vt:i4>5308472</vt:i4>
      </vt:variant>
      <vt:variant>
        <vt:i4>0</vt:i4>
      </vt:variant>
      <vt:variant>
        <vt:i4>0</vt:i4>
      </vt:variant>
      <vt:variant>
        <vt:i4>5</vt:i4>
      </vt:variant>
      <vt:variant>
        <vt:lpwstr>https://tbinternet.ohchr.org/_layouts/15/treatybodyexternal/Download.aspx?symbolno=INT%2fCEDAW%2fNGO%2fIDN%2f46761&amp;Lang=en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Budi Tjahjono</dc:creator>
  <cp:keywords/>
  <dc:description/>
  <cp:lastModifiedBy>Budi Tjahjono</cp:lastModifiedBy>
  <cp:revision>3</cp:revision>
  <dcterms:created xsi:type="dcterms:W3CDTF">2022-01-31T12:24:00Z</dcterms:created>
  <dcterms:modified xsi:type="dcterms:W3CDTF">2022-01-31T12:25:00Z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0x010100A690CCED21F5184EBA64D48C8A315389</vt:lpwstr>
  </property>
</Properties>
</file>