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76CE" w14:textId="505E915C" w:rsidR="005B1CE3" w:rsidRPr="00612238" w:rsidRDefault="005B1CE3" w:rsidP="00642927">
      <w:pPr>
        <w:pBdr>
          <w:bottom w:val="single" w:sz="12" w:space="1" w:color="auto"/>
        </w:pBdr>
        <w:rPr>
          <w:sz w:val="22"/>
          <w:szCs w:val="22"/>
        </w:rPr>
      </w:pPr>
    </w:p>
    <w:p w14:paraId="56FB4791" w14:textId="71F3F840" w:rsidR="005B1CE3" w:rsidRPr="00612238" w:rsidRDefault="005B1CE3" w:rsidP="00642927">
      <w:pPr>
        <w:pBdr>
          <w:bottom w:val="single" w:sz="12" w:space="1" w:color="auto"/>
        </w:pBdr>
        <w:rPr>
          <w:sz w:val="22"/>
          <w:szCs w:val="22"/>
        </w:rPr>
      </w:pPr>
      <w:r w:rsidRPr="00612238">
        <w:rPr>
          <w:sz w:val="22"/>
          <w:szCs w:val="22"/>
        </w:rPr>
        <w:t>January 28, 2022</w:t>
      </w:r>
    </w:p>
    <w:p w14:paraId="3787942E" w14:textId="674C75F6" w:rsidR="005B1CE3" w:rsidRPr="00612238" w:rsidRDefault="005B1CE3" w:rsidP="00642927">
      <w:pPr>
        <w:pBdr>
          <w:bottom w:val="single" w:sz="12" w:space="1" w:color="auto"/>
        </w:pBdr>
        <w:rPr>
          <w:sz w:val="22"/>
          <w:szCs w:val="22"/>
        </w:rPr>
      </w:pPr>
    </w:p>
    <w:p w14:paraId="76B769A9" w14:textId="3746A8F3" w:rsidR="005B1CE3" w:rsidRPr="00612238" w:rsidRDefault="005B1CE3" w:rsidP="005B1CE3">
      <w:pPr>
        <w:pBdr>
          <w:bottom w:val="single" w:sz="12" w:space="1" w:color="auto"/>
        </w:pBdr>
        <w:rPr>
          <w:i/>
          <w:iCs/>
          <w:sz w:val="22"/>
          <w:szCs w:val="22"/>
        </w:rPr>
      </w:pPr>
      <w:r w:rsidRPr="00612238">
        <w:rPr>
          <w:i/>
          <w:iCs/>
          <w:sz w:val="22"/>
          <w:szCs w:val="22"/>
        </w:rPr>
        <w:t xml:space="preserve">Via email </w:t>
      </w:r>
      <w:hyperlink r:id="rId7" w:history="1">
        <w:r w:rsidRPr="00E90B91">
          <w:rPr>
            <w:rStyle w:val="Hyperlink"/>
            <w:i/>
            <w:iCs/>
            <w:color w:val="4472C4" w:themeColor="accent1"/>
            <w:sz w:val="22"/>
            <w:szCs w:val="22"/>
          </w:rPr>
          <w:t>ohchr-expertmechanism@un.org</w:t>
        </w:r>
      </w:hyperlink>
      <w:r w:rsidRPr="00E90B91">
        <w:rPr>
          <w:i/>
          <w:iCs/>
          <w:color w:val="4472C4" w:themeColor="accent1"/>
          <w:sz w:val="22"/>
          <w:szCs w:val="22"/>
        </w:rPr>
        <w:t> </w:t>
      </w:r>
    </w:p>
    <w:p w14:paraId="2CCC4E5E" w14:textId="34E728B1" w:rsidR="005B1CE3" w:rsidRPr="00612238" w:rsidRDefault="005B1CE3" w:rsidP="005B1CE3">
      <w:pPr>
        <w:pBdr>
          <w:bottom w:val="single" w:sz="12" w:space="1" w:color="auto"/>
        </w:pBdr>
        <w:rPr>
          <w:i/>
          <w:iCs/>
          <w:sz w:val="22"/>
          <w:szCs w:val="22"/>
        </w:rPr>
      </w:pPr>
    </w:p>
    <w:p w14:paraId="69A35BCF" w14:textId="77777777" w:rsidR="005B1CE3" w:rsidRPr="00612238" w:rsidRDefault="005B1CE3" w:rsidP="005B1CE3">
      <w:pPr>
        <w:pBdr>
          <w:bottom w:val="single" w:sz="12" w:space="1" w:color="auto"/>
        </w:pBdr>
        <w:rPr>
          <w:b/>
          <w:bCs/>
          <w:sz w:val="22"/>
          <w:szCs w:val="22"/>
        </w:rPr>
      </w:pPr>
      <w:r w:rsidRPr="00612238">
        <w:rPr>
          <w:b/>
          <w:bCs/>
          <w:sz w:val="22"/>
          <w:szCs w:val="22"/>
        </w:rPr>
        <w:t xml:space="preserve">RE: </w:t>
      </w:r>
      <w:r w:rsidRPr="00612238">
        <w:rPr>
          <w:b/>
          <w:bCs/>
          <w:sz w:val="22"/>
          <w:szCs w:val="22"/>
        </w:rPr>
        <w:tab/>
        <w:t>Submission from the Friends of the Attawapiskat River</w:t>
      </w:r>
      <w:r w:rsidRPr="00612238">
        <w:rPr>
          <w:b/>
          <w:bCs/>
          <w:sz w:val="22"/>
          <w:szCs w:val="22"/>
        </w:rPr>
        <w:br/>
      </w:r>
      <w:r w:rsidRPr="00612238">
        <w:rPr>
          <w:b/>
          <w:bCs/>
          <w:sz w:val="22"/>
          <w:szCs w:val="22"/>
        </w:rPr>
        <w:tab/>
        <w:t xml:space="preserve">United Nations Expert Mechanism on the Rights of Indigenous Peoples </w:t>
      </w:r>
    </w:p>
    <w:p w14:paraId="2310DF27" w14:textId="77777777" w:rsidR="005B1CE3" w:rsidRPr="00612238" w:rsidRDefault="005B1CE3" w:rsidP="005B1CE3">
      <w:pPr>
        <w:pBdr>
          <w:bottom w:val="single" w:sz="12" w:space="1" w:color="auto"/>
        </w:pBdr>
        <w:rPr>
          <w:sz w:val="22"/>
          <w:szCs w:val="22"/>
        </w:rPr>
      </w:pPr>
    </w:p>
    <w:p w14:paraId="68E35454" w14:textId="77777777" w:rsidR="000C4A2D" w:rsidRPr="00612238" w:rsidRDefault="000C4A2D" w:rsidP="00642927">
      <w:pPr>
        <w:rPr>
          <w:sz w:val="22"/>
          <w:szCs w:val="22"/>
        </w:rPr>
      </w:pPr>
    </w:p>
    <w:p w14:paraId="15F01493" w14:textId="5FBE8BCD" w:rsidR="00F06AB4" w:rsidRPr="00612238" w:rsidRDefault="00073E88" w:rsidP="005B1CE3">
      <w:pPr>
        <w:rPr>
          <w:sz w:val="22"/>
          <w:szCs w:val="22"/>
        </w:rPr>
      </w:pPr>
      <w:r w:rsidRPr="00612238">
        <w:rPr>
          <w:sz w:val="22"/>
          <w:szCs w:val="22"/>
        </w:rPr>
        <w:t>The Friends of the Attawapiskat River</w:t>
      </w:r>
      <w:r w:rsidR="00F06AB4" w:rsidRPr="00612238">
        <w:rPr>
          <w:sz w:val="22"/>
          <w:szCs w:val="22"/>
        </w:rPr>
        <w:t xml:space="preserve"> (the “Friends”),</w:t>
      </w:r>
      <w:r w:rsidRPr="00612238">
        <w:rPr>
          <w:sz w:val="22"/>
          <w:szCs w:val="22"/>
        </w:rPr>
        <w:t xml:space="preserve"> </w:t>
      </w:r>
      <w:r w:rsidR="00F06AB4" w:rsidRPr="00612238">
        <w:rPr>
          <w:sz w:val="22"/>
          <w:szCs w:val="22"/>
        </w:rPr>
        <w:t>represented by legal counsel at the Canadian Environmental Law Association (CELA),</w:t>
      </w:r>
      <w:r w:rsidR="00C97D1F">
        <w:rPr>
          <w:rStyle w:val="FootnoteReference"/>
          <w:sz w:val="22"/>
          <w:szCs w:val="22"/>
        </w:rPr>
        <w:footnoteReference w:id="1"/>
      </w:r>
      <w:r w:rsidR="00F06AB4" w:rsidRPr="00612238">
        <w:rPr>
          <w:sz w:val="22"/>
          <w:szCs w:val="22"/>
        </w:rPr>
        <w:t xml:space="preserve"> welcome this opportunity to provide submissions </w:t>
      </w:r>
      <w:r w:rsidR="009D3C06" w:rsidRPr="00612238">
        <w:rPr>
          <w:sz w:val="22"/>
          <w:szCs w:val="22"/>
        </w:rPr>
        <w:t>to</w:t>
      </w:r>
      <w:r w:rsidR="00F06AB4" w:rsidRPr="00612238">
        <w:rPr>
          <w:sz w:val="22"/>
          <w:szCs w:val="22"/>
        </w:rPr>
        <w:t xml:space="preserve"> the United Nations’ “Expert mechanism on the rights of Indigenous peoples.” </w:t>
      </w:r>
    </w:p>
    <w:p w14:paraId="4F8EC4AB" w14:textId="77777777" w:rsidR="00CF6CC1" w:rsidRPr="00612238" w:rsidRDefault="00CF6CC1" w:rsidP="00CF6CC1">
      <w:pPr>
        <w:rPr>
          <w:sz w:val="22"/>
          <w:szCs w:val="22"/>
        </w:rPr>
      </w:pPr>
    </w:p>
    <w:p w14:paraId="24785728" w14:textId="1D596D0D" w:rsidR="00964FC9" w:rsidRPr="00612238" w:rsidRDefault="00964FC9" w:rsidP="00CF6CC1">
      <w:pPr>
        <w:rPr>
          <w:sz w:val="22"/>
          <w:szCs w:val="22"/>
        </w:rPr>
      </w:pPr>
      <w:r w:rsidRPr="00612238">
        <w:rPr>
          <w:sz w:val="22"/>
          <w:szCs w:val="22"/>
        </w:rPr>
        <w:t xml:space="preserve">The Friends are </w:t>
      </w:r>
      <w:r w:rsidR="009D3C06" w:rsidRPr="00612238">
        <w:rPr>
          <w:sz w:val="22"/>
          <w:szCs w:val="22"/>
        </w:rPr>
        <w:t xml:space="preserve">an </w:t>
      </w:r>
      <w:r w:rsidRPr="00612238">
        <w:rPr>
          <w:sz w:val="22"/>
          <w:szCs w:val="22"/>
        </w:rPr>
        <w:t>Indigenous grassroots</w:t>
      </w:r>
      <w:r w:rsidR="009D3C06" w:rsidRPr="00612238">
        <w:rPr>
          <w:sz w:val="22"/>
          <w:szCs w:val="22"/>
        </w:rPr>
        <w:t xml:space="preserve"> group based in </w:t>
      </w:r>
      <w:r w:rsidRPr="00612238">
        <w:rPr>
          <w:sz w:val="22"/>
          <w:szCs w:val="22"/>
        </w:rPr>
        <w:t>Treaty 9</w:t>
      </w:r>
      <w:r w:rsidR="009D3C06" w:rsidRPr="00612238">
        <w:rPr>
          <w:sz w:val="22"/>
          <w:szCs w:val="22"/>
        </w:rPr>
        <w:t>, in the far north of Ontario, Canada,</w:t>
      </w:r>
      <w:r w:rsidR="00355A97">
        <w:rPr>
          <w:sz w:val="22"/>
          <w:szCs w:val="22"/>
        </w:rPr>
        <w:t xml:space="preserve"> </w:t>
      </w:r>
      <w:r w:rsidRPr="00612238">
        <w:rPr>
          <w:sz w:val="22"/>
          <w:szCs w:val="22"/>
        </w:rPr>
        <w:t>dedicated to protecting the health of the waters, people</w:t>
      </w:r>
      <w:r w:rsidR="00C75156">
        <w:rPr>
          <w:sz w:val="22"/>
          <w:szCs w:val="22"/>
        </w:rPr>
        <w:t>,</w:t>
      </w:r>
      <w:r w:rsidRPr="00612238">
        <w:rPr>
          <w:sz w:val="22"/>
          <w:szCs w:val="22"/>
        </w:rPr>
        <w:t xml:space="preserve"> and communities living downstream of the proposed </w:t>
      </w:r>
      <w:r w:rsidR="006D51D1" w:rsidRPr="00612238">
        <w:rPr>
          <w:sz w:val="22"/>
          <w:szCs w:val="22"/>
        </w:rPr>
        <w:t>‘</w:t>
      </w:r>
      <w:r w:rsidRPr="00612238">
        <w:rPr>
          <w:sz w:val="22"/>
          <w:szCs w:val="22"/>
        </w:rPr>
        <w:t>Ring of Fire</w:t>
      </w:r>
      <w:r w:rsidR="00BE78C1">
        <w:rPr>
          <w:sz w:val="22"/>
          <w:szCs w:val="22"/>
        </w:rPr>
        <w:t>.’</w:t>
      </w:r>
      <w:r w:rsidR="006D51D1" w:rsidRPr="00612238">
        <w:rPr>
          <w:rStyle w:val="FootnoteReference"/>
          <w:sz w:val="22"/>
          <w:szCs w:val="22"/>
        </w:rPr>
        <w:t xml:space="preserve"> </w:t>
      </w:r>
      <w:r w:rsidR="006D51D1" w:rsidRPr="00612238">
        <w:rPr>
          <w:rStyle w:val="FootnoteReference"/>
          <w:sz w:val="22"/>
          <w:szCs w:val="22"/>
        </w:rPr>
        <w:footnoteReference w:id="2"/>
      </w:r>
      <w:r w:rsidRPr="00612238">
        <w:rPr>
          <w:sz w:val="22"/>
          <w:szCs w:val="22"/>
        </w:rPr>
        <w:t xml:space="preserve"> As Treaty 9 people, the Friends have a shared responsibility to protect Treaty lands from exploitation and degradation. This means safeguarding the integrity of the boreal and muskeg of the Hudson Bay-James Bay lowlands, its significant contribution to mitigating climate change, and the health of their grandchildren and those not yet born.  </w:t>
      </w:r>
    </w:p>
    <w:p w14:paraId="49F2F0C3" w14:textId="77777777" w:rsidR="00CF6CC1" w:rsidRPr="00612238" w:rsidRDefault="00CF6CC1" w:rsidP="00CF6CC1">
      <w:pPr>
        <w:rPr>
          <w:sz w:val="22"/>
          <w:szCs w:val="22"/>
        </w:rPr>
      </w:pPr>
    </w:p>
    <w:p w14:paraId="50D4FA20" w14:textId="0AB356A9" w:rsidR="006D51D1" w:rsidRPr="00612238" w:rsidRDefault="006D51D1" w:rsidP="00CF6CC1">
      <w:pPr>
        <w:rPr>
          <w:sz w:val="22"/>
          <w:szCs w:val="22"/>
        </w:rPr>
      </w:pPr>
      <w:r w:rsidRPr="00612238">
        <w:rPr>
          <w:sz w:val="22"/>
          <w:szCs w:val="22"/>
        </w:rPr>
        <w:t xml:space="preserve">By way of this letter, the </w:t>
      </w:r>
      <w:r w:rsidR="00C75156" w:rsidRPr="00612238">
        <w:rPr>
          <w:sz w:val="22"/>
          <w:szCs w:val="22"/>
        </w:rPr>
        <w:t>Friends provide</w:t>
      </w:r>
      <w:r w:rsidRPr="00612238">
        <w:rPr>
          <w:sz w:val="22"/>
          <w:szCs w:val="22"/>
        </w:rPr>
        <w:t xml:space="preserve"> its submission to the United Nations (UN) for the purpose of its Expert Mechanism pursuant to Human Rights Council resolution 33/25.</w:t>
      </w:r>
      <w:r w:rsidRPr="00612238">
        <w:rPr>
          <w:rStyle w:val="FootnoteReference"/>
          <w:sz w:val="22"/>
          <w:szCs w:val="22"/>
        </w:rPr>
        <w:footnoteReference w:id="3"/>
      </w:r>
      <w:r w:rsidRPr="00612238">
        <w:rPr>
          <w:sz w:val="22"/>
          <w:szCs w:val="22"/>
        </w:rPr>
        <w:t xml:space="preserve"> As the Friends’ actions are based on activities occurring in Treaty 9 lands and many of its members are the descendants of the Treaty signatories, this submission will focus on </w:t>
      </w:r>
      <w:r w:rsidR="009D3C06" w:rsidRPr="00612238">
        <w:rPr>
          <w:sz w:val="22"/>
          <w:szCs w:val="22"/>
        </w:rPr>
        <w:t xml:space="preserve">our experience and the extent to which Canada has sought to meaningfully protect and respect treaty rights. </w:t>
      </w:r>
    </w:p>
    <w:p w14:paraId="4F8D6E40" w14:textId="77777777" w:rsidR="00964FC9" w:rsidRPr="00612238" w:rsidRDefault="00964FC9" w:rsidP="00642927">
      <w:pPr>
        <w:ind w:firstLine="720"/>
        <w:rPr>
          <w:sz w:val="22"/>
          <w:szCs w:val="22"/>
        </w:rPr>
      </w:pPr>
    </w:p>
    <w:p w14:paraId="310A35E7" w14:textId="02BD70E5" w:rsidR="00CF6CC1" w:rsidRPr="00612238" w:rsidRDefault="006D51D1" w:rsidP="006D51D1">
      <w:pPr>
        <w:rPr>
          <w:b/>
          <w:bCs/>
          <w:sz w:val="22"/>
          <w:szCs w:val="22"/>
        </w:rPr>
      </w:pPr>
      <w:r w:rsidRPr="00612238">
        <w:rPr>
          <w:b/>
          <w:bCs/>
          <w:sz w:val="22"/>
          <w:szCs w:val="22"/>
        </w:rPr>
        <w:t xml:space="preserve">ABOUT THE ‘RING OF FIRE’ </w:t>
      </w:r>
    </w:p>
    <w:p w14:paraId="1133E66E" w14:textId="3606B15A" w:rsidR="00C31FC7" w:rsidRPr="00612238" w:rsidRDefault="006D51D1" w:rsidP="00C31FC7">
      <w:pPr>
        <w:rPr>
          <w:sz w:val="22"/>
          <w:szCs w:val="22"/>
          <w:lang w:val="en-US"/>
        </w:rPr>
      </w:pPr>
      <w:r w:rsidRPr="00612238">
        <w:rPr>
          <w:b/>
          <w:bCs/>
          <w:sz w:val="22"/>
          <w:szCs w:val="22"/>
        </w:rPr>
        <w:br/>
      </w:r>
      <w:r w:rsidR="00C31FC7" w:rsidRPr="00612238">
        <w:rPr>
          <w:sz w:val="22"/>
          <w:szCs w:val="22"/>
        </w:rPr>
        <w:t>The region dubbed the ‘Ring of Fire</w:t>
      </w:r>
      <w:r w:rsidR="00C21796">
        <w:rPr>
          <w:sz w:val="22"/>
          <w:szCs w:val="22"/>
        </w:rPr>
        <w:t>’</w:t>
      </w:r>
      <w:r w:rsidR="00C31FC7" w:rsidRPr="00612238">
        <w:rPr>
          <w:sz w:val="22"/>
          <w:szCs w:val="22"/>
        </w:rPr>
        <w:t xml:space="preserve"> is located 500km northeast of Thunder Bay, Ontario in the Hudson - James Bay Lowlands region (HJBL)</w:t>
      </w:r>
      <w:r w:rsidR="00480D33" w:rsidRPr="00612238">
        <w:rPr>
          <w:sz w:val="22"/>
          <w:szCs w:val="22"/>
        </w:rPr>
        <w:t xml:space="preserve"> and in the lands </w:t>
      </w:r>
      <w:r w:rsidR="00C21796">
        <w:rPr>
          <w:sz w:val="22"/>
          <w:szCs w:val="22"/>
        </w:rPr>
        <w:t xml:space="preserve">of </w:t>
      </w:r>
      <w:r w:rsidR="00480D33" w:rsidRPr="00612238">
        <w:rPr>
          <w:sz w:val="22"/>
          <w:szCs w:val="22"/>
        </w:rPr>
        <w:t>Treaty 9</w:t>
      </w:r>
      <w:r w:rsidR="00C31FC7" w:rsidRPr="00612238">
        <w:rPr>
          <w:sz w:val="22"/>
          <w:szCs w:val="22"/>
        </w:rPr>
        <w:t>.</w:t>
      </w:r>
      <w:r w:rsidR="00C31FC7" w:rsidRPr="00612238">
        <w:rPr>
          <w:rStyle w:val="FootnoteReference"/>
          <w:sz w:val="22"/>
          <w:szCs w:val="22"/>
        </w:rPr>
        <w:footnoteReference w:id="4"/>
      </w:r>
      <w:r w:rsidR="00C31FC7" w:rsidRPr="00612238">
        <w:rPr>
          <w:sz w:val="22"/>
          <w:szCs w:val="22"/>
        </w:rPr>
        <w:t xml:space="preserve"> While the area has been touted for its potential abundance of valuable minerals, such as chromite, copper, and gold,</w:t>
      </w:r>
      <w:r w:rsidR="00C31FC7" w:rsidRPr="00612238">
        <w:rPr>
          <w:rStyle w:val="FootnoteReference"/>
          <w:sz w:val="22"/>
          <w:szCs w:val="22"/>
        </w:rPr>
        <w:footnoteReference w:id="5"/>
      </w:r>
      <w:r w:rsidR="00C31FC7" w:rsidRPr="00612238">
        <w:rPr>
          <w:sz w:val="22"/>
          <w:szCs w:val="22"/>
        </w:rPr>
        <w:t xml:space="preserve"> </w:t>
      </w:r>
      <w:r w:rsidR="00107CDA">
        <w:rPr>
          <w:sz w:val="22"/>
          <w:szCs w:val="22"/>
        </w:rPr>
        <w:t xml:space="preserve">the region is </w:t>
      </w:r>
      <w:r w:rsidR="00C31FC7" w:rsidRPr="00612238">
        <w:rPr>
          <w:sz w:val="22"/>
          <w:szCs w:val="22"/>
        </w:rPr>
        <w:t xml:space="preserve">also home to nearly </w:t>
      </w:r>
      <w:r w:rsidR="00C31FC7" w:rsidRPr="00612238">
        <w:rPr>
          <w:sz w:val="22"/>
          <w:szCs w:val="22"/>
          <w:lang w:val="en-US"/>
        </w:rPr>
        <w:t xml:space="preserve">40,000 Indigenous peoples across 34 communities. The HJBL region in northern Ontario is the largest wetland in North America and the second largest peatland complex in the world, covering over 325,000km². It is the homeland of the </w:t>
      </w:r>
      <w:proofErr w:type="spellStart"/>
      <w:r w:rsidR="00C31FC7" w:rsidRPr="00612238">
        <w:rPr>
          <w:sz w:val="22"/>
          <w:szCs w:val="22"/>
          <w:lang w:val="en-US"/>
        </w:rPr>
        <w:t>Omushkego</w:t>
      </w:r>
      <w:proofErr w:type="spellEnd"/>
      <w:r w:rsidR="00C31FC7" w:rsidRPr="00612238">
        <w:rPr>
          <w:sz w:val="22"/>
          <w:szCs w:val="22"/>
          <w:lang w:val="en-US"/>
        </w:rPr>
        <w:t xml:space="preserve"> Nations providing food, and medicine, as well as cultural and sacred spaces for traditional practices and ceremony.  However, mineral extraction both in the HJBL (e.g., De Beers Victor Diamond Mine) and upstream, particularly in the area known as the Ring of Fire, have historically impacted and promise to cause unprecedented change to this ecosystem and its people in the years to come.</w:t>
      </w:r>
    </w:p>
    <w:p w14:paraId="513ACED7" w14:textId="77777777" w:rsidR="00612238" w:rsidRPr="00612238" w:rsidRDefault="00612238" w:rsidP="00C31FC7">
      <w:pPr>
        <w:rPr>
          <w:sz w:val="22"/>
          <w:szCs w:val="22"/>
          <w:lang w:val="en-US"/>
        </w:rPr>
      </w:pPr>
    </w:p>
    <w:p w14:paraId="294C3B22" w14:textId="071FCDED" w:rsidR="006D51D1" w:rsidRDefault="00480D33" w:rsidP="006D51D1">
      <w:pPr>
        <w:rPr>
          <w:sz w:val="22"/>
          <w:szCs w:val="22"/>
        </w:rPr>
      </w:pPr>
      <w:r w:rsidRPr="00612238">
        <w:rPr>
          <w:sz w:val="22"/>
          <w:szCs w:val="22"/>
        </w:rPr>
        <w:t>T</w:t>
      </w:r>
      <w:r w:rsidR="006D51D1" w:rsidRPr="00612238">
        <w:rPr>
          <w:sz w:val="22"/>
          <w:szCs w:val="22"/>
        </w:rPr>
        <w:t>he</w:t>
      </w:r>
      <w:r w:rsidR="00CF6CC1" w:rsidRPr="00612238">
        <w:rPr>
          <w:sz w:val="22"/>
          <w:szCs w:val="22"/>
        </w:rPr>
        <w:t xml:space="preserve"> peatland (or</w:t>
      </w:r>
      <w:r w:rsidR="006D51D1" w:rsidRPr="00612238">
        <w:rPr>
          <w:sz w:val="22"/>
          <w:szCs w:val="22"/>
        </w:rPr>
        <w:t xml:space="preserve"> muskeg</w:t>
      </w:r>
      <w:r w:rsidR="00CF6CC1" w:rsidRPr="00612238">
        <w:rPr>
          <w:sz w:val="22"/>
          <w:szCs w:val="22"/>
        </w:rPr>
        <w:t>)</w:t>
      </w:r>
      <w:r w:rsidR="006D51D1" w:rsidRPr="00612238">
        <w:rPr>
          <w:sz w:val="22"/>
          <w:szCs w:val="22"/>
        </w:rPr>
        <w:t xml:space="preserve"> </w:t>
      </w:r>
      <w:r w:rsidRPr="00612238">
        <w:rPr>
          <w:sz w:val="22"/>
          <w:szCs w:val="22"/>
        </w:rPr>
        <w:t xml:space="preserve">and the many </w:t>
      </w:r>
      <w:r w:rsidR="006D51D1" w:rsidRPr="00612238">
        <w:rPr>
          <w:sz w:val="22"/>
          <w:szCs w:val="22"/>
        </w:rPr>
        <w:t xml:space="preserve">watersheds </w:t>
      </w:r>
      <w:r w:rsidRPr="00612238">
        <w:rPr>
          <w:sz w:val="22"/>
          <w:szCs w:val="22"/>
        </w:rPr>
        <w:t xml:space="preserve">that intersect </w:t>
      </w:r>
      <w:r w:rsidR="006D51D1" w:rsidRPr="00612238">
        <w:rPr>
          <w:sz w:val="22"/>
          <w:szCs w:val="22"/>
        </w:rPr>
        <w:t>in the Ring of Fire</w:t>
      </w:r>
      <w:r w:rsidRPr="00612238">
        <w:rPr>
          <w:sz w:val="22"/>
          <w:szCs w:val="22"/>
        </w:rPr>
        <w:t xml:space="preserve">, </w:t>
      </w:r>
      <w:r w:rsidR="006D51D1" w:rsidRPr="00612238">
        <w:rPr>
          <w:sz w:val="22"/>
          <w:szCs w:val="22"/>
        </w:rPr>
        <w:t xml:space="preserve">are inherent to Indigenous culture and well-being since </w:t>
      </w:r>
      <w:r w:rsidRPr="00612238">
        <w:rPr>
          <w:sz w:val="22"/>
          <w:szCs w:val="22"/>
        </w:rPr>
        <w:t>time immemorial</w:t>
      </w:r>
      <w:r w:rsidR="006D51D1" w:rsidRPr="00612238">
        <w:rPr>
          <w:sz w:val="22"/>
          <w:szCs w:val="22"/>
        </w:rPr>
        <w:t xml:space="preserve">. Water and the muskeg hold incredible importance in </w:t>
      </w:r>
      <w:r w:rsidR="006253DC" w:rsidRPr="00612238">
        <w:rPr>
          <w:sz w:val="22"/>
          <w:szCs w:val="22"/>
        </w:rPr>
        <w:t>I</w:t>
      </w:r>
      <w:r w:rsidR="006D51D1" w:rsidRPr="00612238">
        <w:rPr>
          <w:sz w:val="22"/>
          <w:szCs w:val="22"/>
        </w:rPr>
        <w:t xml:space="preserve">ndigenous spirituality and represent an ongoing relationship with the </w:t>
      </w:r>
      <w:r w:rsidR="00355A97">
        <w:rPr>
          <w:sz w:val="22"/>
          <w:szCs w:val="22"/>
        </w:rPr>
        <w:t>C</w:t>
      </w:r>
      <w:r w:rsidR="006D51D1" w:rsidRPr="00612238">
        <w:rPr>
          <w:sz w:val="22"/>
          <w:szCs w:val="22"/>
        </w:rPr>
        <w:t xml:space="preserve">reator. The </w:t>
      </w:r>
      <w:r w:rsidR="006D51D1" w:rsidRPr="00612238">
        <w:rPr>
          <w:sz w:val="22"/>
          <w:szCs w:val="22"/>
        </w:rPr>
        <w:lastRenderedPageBreak/>
        <w:t xml:space="preserve">watershed and muskeg are sacred to Indigenous peoples in the area. </w:t>
      </w:r>
      <w:r w:rsidR="00107CDA">
        <w:rPr>
          <w:sz w:val="22"/>
          <w:szCs w:val="22"/>
        </w:rPr>
        <w:t>The 100-year min</w:t>
      </w:r>
      <w:r w:rsidR="004B124A">
        <w:rPr>
          <w:sz w:val="22"/>
          <w:szCs w:val="22"/>
        </w:rPr>
        <w:t xml:space="preserve">ing </w:t>
      </w:r>
      <w:r w:rsidR="00107CDA">
        <w:rPr>
          <w:sz w:val="22"/>
          <w:szCs w:val="22"/>
        </w:rPr>
        <w:t>d</w:t>
      </w:r>
      <w:r w:rsidR="006D51D1" w:rsidRPr="00612238">
        <w:rPr>
          <w:sz w:val="22"/>
          <w:szCs w:val="22"/>
        </w:rPr>
        <w:t>evelopment</w:t>
      </w:r>
      <w:r w:rsidR="00107CDA">
        <w:rPr>
          <w:sz w:val="22"/>
          <w:szCs w:val="22"/>
        </w:rPr>
        <w:t xml:space="preserve"> proposed for </w:t>
      </w:r>
      <w:r w:rsidRPr="00612238">
        <w:rPr>
          <w:sz w:val="22"/>
          <w:szCs w:val="22"/>
        </w:rPr>
        <w:t>this area would not</w:t>
      </w:r>
      <w:r w:rsidR="00107CDA">
        <w:rPr>
          <w:sz w:val="22"/>
          <w:szCs w:val="22"/>
        </w:rPr>
        <w:t xml:space="preserve"> only</w:t>
      </w:r>
      <w:r w:rsidRPr="00612238">
        <w:rPr>
          <w:sz w:val="22"/>
          <w:szCs w:val="22"/>
        </w:rPr>
        <w:t xml:space="preserve"> lead to unprecedented cumulative impacts and threaten the land that has been home to Indigenous nations since time immemorial</w:t>
      </w:r>
      <w:r w:rsidR="00107CDA">
        <w:rPr>
          <w:sz w:val="22"/>
          <w:szCs w:val="22"/>
        </w:rPr>
        <w:t xml:space="preserve">, but </w:t>
      </w:r>
      <w:r w:rsidR="004B124A">
        <w:rPr>
          <w:sz w:val="22"/>
          <w:szCs w:val="22"/>
        </w:rPr>
        <w:t>carcinogenic exposures and emissions of heavy metals from mining operations would add to many communities’ pre-existing health crises</w:t>
      </w:r>
      <w:r w:rsidR="00107CDA">
        <w:rPr>
          <w:sz w:val="22"/>
          <w:szCs w:val="22"/>
        </w:rPr>
        <w:t>.</w:t>
      </w:r>
    </w:p>
    <w:p w14:paraId="38CDA3D9" w14:textId="77777777" w:rsidR="00612238" w:rsidRPr="00612238" w:rsidRDefault="00612238" w:rsidP="006D51D1">
      <w:pPr>
        <w:rPr>
          <w:sz w:val="22"/>
          <w:szCs w:val="22"/>
        </w:rPr>
      </w:pPr>
    </w:p>
    <w:p w14:paraId="362329D0" w14:textId="0E090880" w:rsidR="003842FC" w:rsidRPr="00612238" w:rsidRDefault="003842FC" w:rsidP="00CF6CC1">
      <w:pPr>
        <w:rPr>
          <w:sz w:val="22"/>
          <w:szCs w:val="22"/>
        </w:rPr>
      </w:pPr>
      <w:r w:rsidRPr="00612238">
        <w:rPr>
          <w:b/>
          <w:bCs/>
          <w:sz w:val="22"/>
          <w:szCs w:val="22"/>
        </w:rPr>
        <w:t>COMMENTS TO THE EXPERT MECHANISM ON INDIGENOUS RIGHTS</w:t>
      </w:r>
      <w:r w:rsidRPr="00612238">
        <w:rPr>
          <w:sz w:val="22"/>
          <w:szCs w:val="22"/>
        </w:rPr>
        <w:t xml:space="preserve"> </w:t>
      </w:r>
      <w:r w:rsidRPr="00612238">
        <w:rPr>
          <w:sz w:val="22"/>
          <w:szCs w:val="22"/>
        </w:rPr>
        <w:br/>
      </w:r>
    </w:p>
    <w:p w14:paraId="022D85DE" w14:textId="7F0BD247" w:rsidR="003842FC" w:rsidRPr="00612238" w:rsidRDefault="003842FC" w:rsidP="005B1CE3">
      <w:pPr>
        <w:rPr>
          <w:b/>
          <w:bCs/>
          <w:sz w:val="22"/>
          <w:szCs w:val="22"/>
        </w:rPr>
      </w:pPr>
      <w:r w:rsidRPr="00612238">
        <w:rPr>
          <w:b/>
          <w:bCs/>
          <w:sz w:val="22"/>
          <w:szCs w:val="22"/>
        </w:rPr>
        <w:t>1.</w:t>
      </w:r>
      <w:r w:rsidRPr="00612238">
        <w:rPr>
          <w:b/>
          <w:bCs/>
          <w:sz w:val="22"/>
          <w:szCs w:val="22"/>
        </w:rPr>
        <w:tab/>
        <w:t>The need for Canada to uphold the UNDRIP</w:t>
      </w:r>
      <w:r w:rsidR="00CF6CC1" w:rsidRPr="00612238">
        <w:rPr>
          <w:b/>
          <w:bCs/>
          <w:sz w:val="22"/>
          <w:szCs w:val="22"/>
        </w:rPr>
        <w:t xml:space="preserve">, </w:t>
      </w:r>
      <w:r w:rsidRPr="00612238">
        <w:rPr>
          <w:b/>
          <w:bCs/>
          <w:sz w:val="22"/>
          <w:szCs w:val="22"/>
        </w:rPr>
        <w:t>Article 37</w:t>
      </w:r>
      <w:r w:rsidR="00CF6CC1" w:rsidRPr="00612238">
        <w:rPr>
          <w:b/>
          <w:bCs/>
          <w:sz w:val="22"/>
          <w:szCs w:val="22"/>
        </w:rPr>
        <w:t xml:space="preserve"> in the context of Treaty 9</w:t>
      </w:r>
      <w:r w:rsidRPr="00612238">
        <w:rPr>
          <w:b/>
          <w:bCs/>
          <w:sz w:val="22"/>
          <w:szCs w:val="22"/>
        </w:rPr>
        <w:br/>
      </w:r>
    </w:p>
    <w:p w14:paraId="7FDBE685" w14:textId="3DE39E7A" w:rsidR="00073E88" w:rsidRPr="00612238" w:rsidRDefault="003842FC" w:rsidP="005B1CE3">
      <w:pPr>
        <w:rPr>
          <w:sz w:val="22"/>
          <w:szCs w:val="22"/>
        </w:rPr>
      </w:pPr>
      <w:r w:rsidRPr="00612238">
        <w:rPr>
          <w:sz w:val="22"/>
          <w:szCs w:val="22"/>
        </w:rPr>
        <w:t>The Friends submit Canada has not upheld the spirit and intent of Article 37 of the United Nations Declaration for the Rights of Indigenous Peoples (UNDRIP)</w:t>
      </w:r>
      <w:r w:rsidR="0060277F" w:rsidRPr="00612238">
        <w:rPr>
          <w:sz w:val="22"/>
          <w:szCs w:val="22"/>
        </w:rPr>
        <w:t xml:space="preserve"> and must </w:t>
      </w:r>
      <w:r w:rsidR="00834754" w:rsidRPr="00612238">
        <w:rPr>
          <w:sz w:val="22"/>
          <w:szCs w:val="22"/>
        </w:rPr>
        <w:t>be accountable</w:t>
      </w:r>
      <w:r w:rsidR="00CC1397" w:rsidRPr="00612238">
        <w:rPr>
          <w:sz w:val="22"/>
          <w:szCs w:val="22"/>
        </w:rPr>
        <w:t xml:space="preserve"> to </w:t>
      </w:r>
      <w:r w:rsidR="0031564A" w:rsidRPr="00612238">
        <w:rPr>
          <w:sz w:val="22"/>
          <w:szCs w:val="22"/>
        </w:rPr>
        <w:t>the Indigenous nations present in Treaty 9 territory</w:t>
      </w:r>
      <w:r w:rsidR="0060277F" w:rsidRPr="00612238">
        <w:rPr>
          <w:sz w:val="22"/>
          <w:szCs w:val="22"/>
        </w:rPr>
        <w:t>.</w:t>
      </w:r>
      <w:r w:rsidR="00612238">
        <w:rPr>
          <w:sz w:val="22"/>
          <w:szCs w:val="22"/>
        </w:rPr>
        <w:t xml:space="preserve"> As </w:t>
      </w:r>
      <w:r w:rsidR="00CC1397" w:rsidRPr="00612238">
        <w:rPr>
          <w:sz w:val="22"/>
          <w:szCs w:val="22"/>
        </w:rPr>
        <w:t xml:space="preserve">Article 37 of UNDRIP </w:t>
      </w:r>
      <w:r w:rsidR="0060277F" w:rsidRPr="00612238">
        <w:rPr>
          <w:sz w:val="22"/>
          <w:szCs w:val="22"/>
        </w:rPr>
        <w:t>states</w:t>
      </w:r>
      <w:r w:rsidR="00CC1397" w:rsidRPr="00612238">
        <w:rPr>
          <w:sz w:val="22"/>
          <w:szCs w:val="22"/>
        </w:rPr>
        <w:t>:</w:t>
      </w:r>
    </w:p>
    <w:p w14:paraId="32579143" w14:textId="77777777" w:rsidR="00CC1397" w:rsidRPr="00612238" w:rsidRDefault="00CC1397" w:rsidP="00642927">
      <w:pPr>
        <w:ind w:firstLine="720"/>
        <w:rPr>
          <w:sz w:val="22"/>
          <w:szCs w:val="22"/>
        </w:rPr>
      </w:pPr>
    </w:p>
    <w:p w14:paraId="7F7CC817" w14:textId="4CAA153E" w:rsidR="00CC1397" w:rsidRPr="00612238" w:rsidRDefault="00CC1397" w:rsidP="00642927">
      <w:pPr>
        <w:spacing w:after="160"/>
        <w:ind w:left="720"/>
        <w:rPr>
          <w:sz w:val="22"/>
          <w:szCs w:val="22"/>
        </w:rPr>
      </w:pPr>
      <w:r w:rsidRPr="00612238">
        <w:rPr>
          <w:sz w:val="22"/>
          <w:szCs w:val="22"/>
        </w:rPr>
        <w:t xml:space="preserve">1. Indigenous peoples have the right to the recognition, observance and enforcement of treaties, agreements and other constructive arrangements concluded with States or their successors and to have States honour and respect such treaties, </w:t>
      </w:r>
      <w:proofErr w:type="gramStart"/>
      <w:r w:rsidRPr="00612238">
        <w:rPr>
          <w:sz w:val="22"/>
          <w:szCs w:val="22"/>
        </w:rPr>
        <w:t>agreements</w:t>
      </w:r>
      <w:proofErr w:type="gramEnd"/>
      <w:r w:rsidRPr="00612238">
        <w:rPr>
          <w:sz w:val="22"/>
          <w:szCs w:val="22"/>
        </w:rPr>
        <w:t xml:space="preserve"> and other constructive arrangements. </w:t>
      </w:r>
    </w:p>
    <w:p w14:paraId="71151430" w14:textId="33FDDBC4" w:rsidR="00CC1397" w:rsidRPr="00612238" w:rsidRDefault="00CC1397" w:rsidP="00642927">
      <w:pPr>
        <w:spacing w:after="160"/>
        <w:ind w:left="720"/>
        <w:rPr>
          <w:sz w:val="22"/>
          <w:szCs w:val="22"/>
        </w:rPr>
      </w:pPr>
      <w:r w:rsidRPr="00612238">
        <w:rPr>
          <w:sz w:val="22"/>
          <w:szCs w:val="22"/>
        </w:rPr>
        <w:t xml:space="preserve">2. Nothing in this Declaration may be interpreted as diminishing or eliminating the rights of indigenous peoples contained in treaties, </w:t>
      </w:r>
      <w:proofErr w:type="gramStart"/>
      <w:r w:rsidRPr="00612238">
        <w:rPr>
          <w:sz w:val="22"/>
          <w:szCs w:val="22"/>
        </w:rPr>
        <w:t>agreements</w:t>
      </w:r>
      <w:proofErr w:type="gramEnd"/>
      <w:r w:rsidRPr="00612238">
        <w:rPr>
          <w:sz w:val="22"/>
          <w:szCs w:val="22"/>
        </w:rPr>
        <w:t xml:space="preserve"> and other constructive arrangements.</w:t>
      </w:r>
    </w:p>
    <w:p w14:paraId="147EF565" w14:textId="4B4545BA" w:rsidR="00CF6CC1" w:rsidRPr="00612238" w:rsidRDefault="00CF6CC1" w:rsidP="00706924">
      <w:pPr>
        <w:rPr>
          <w:sz w:val="22"/>
          <w:szCs w:val="22"/>
        </w:rPr>
      </w:pPr>
      <w:r w:rsidRPr="00612238">
        <w:rPr>
          <w:sz w:val="22"/>
          <w:szCs w:val="22"/>
        </w:rPr>
        <w:t xml:space="preserve">In recent </w:t>
      </w:r>
      <w:r w:rsidR="00480D33" w:rsidRPr="00612238">
        <w:rPr>
          <w:sz w:val="22"/>
          <w:szCs w:val="22"/>
        </w:rPr>
        <w:t xml:space="preserve">years, Canada has commenced federal impact assessment in the region for the Ring of Fire mining project and its accompanying infrastructure. </w:t>
      </w:r>
      <w:r w:rsidR="00C21796" w:rsidRPr="00612238">
        <w:rPr>
          <w:sz w:val="22"/>
          <w:szCs w:val="22"/>
        </w:rPr>
        <w:t>The province of Ontario in Canada</w:t>
      </w:r>
      <w:r w:rsidRPr="00612238">
        <w:rPr>
          <w:sz w:val="22"/>
          <w:szCs w:val="22"/>
        </w:rPr>
        <w:t xml:space="preserve"> has </w:t>
      </w:r>
      <w:r w:rsidR="00480D33" w:rsidRPr="00612238">
        <w:rPr>
          <w:sz w:val="22"/>
          <w:szCs w:val="22"/>
        </w:rPr>
        <w:t xml:space="preserve">approved </w:t>
      </w:r>
      <w:r w:rsidRPr="00612238">
        <w:rPr>
          <w:sz w:val="22"/>
          <w:szCs w:val="22"/>
        </w:rPr>
        <w:t xml:space="preserve">thousands of mining claims to be staked and exploration activities to occur in Treaty 9 </w:t>
      </w:r>
      <w:r w:rsidR="00C21796" w:rsidRPr="00612238">
        <w:rPr>
          <w:sz w:val="22"/>
          <w:szCs w:val="22"/>
        </w:rPr>
        <w:t>lands.</w:t>
      </w:r>
      <w:r w:rsidRPr="00612238">
        <w:rPr>
          <w:sz w:val="22"/>
          <w:szCs w:val="22"/>
        </w:rPr>
        <w:t xml:space="preserve"> </w:t>
      </w:r>
      <w:r w:rsidR="00480D33" w:rsidRPr="00612238">
        <w:rPr>
          <w:sz w:val="22"/>
          <w:szCs w:val="22"/>
        </w:rPr>
        <w:t>However, as detailed in this submission, the Friends has repeated</w:t>
      </w:r>
      <w:r w:rsidR="00287DB3">
        <w:rPr>
          <w:sz w:val="22"/>
          <w:szCs w:val="22"/>
        </w:rPr>
        <w:t>ly</w:t>
      </w:r>
      <w:r w:rsidR="00480D33" w:rsidRPr="00612238">
        <w:rPr>
          <w:sz w:val="22"/>
          <w:szCs w:val="22"/>
        </w:rPr>
        <w:t xml:space="preserve"> shared with Canada and the province that t</w:t>
      </w:r>
      <w:r w:rsidRPr="00612238">
        <w:rPr>
          <w:sz w:val="22"/>
          <w:szCs w:val="22"/>
        </w:rPr>
        <w:t xml:space="preserve">hese developments and accompanying government </w:t>
      </w:r>
      <w:r w:rsidR="00C21796" w:rsidRPr="00612238">
        <w:rPr>
          <w:sz w:val="22"/>
          <w:szCs w:val="22"/>
        </w:rPr>
        <w:t>decisions are</w:t>
      </w:r>
      <w:r w:rsidRPr="00612238">
        <w:rPr>
          <w:sz w:val="22"/>
          <w:szCs w:val="22"/>
        </w:rPr>
        <w:t xml:space="preserve"> moving forward </w:t>
      </w:r>
      <w:r w:rsidR="00480D33" w:rsidRPr="00612238">
        <w:rPr>
          <w:sz w:val="22"/>
          <w:szCs w:val="22"/>
        </w:rPr>
        <w:t xml:space="preserve">absent </w:t>
      </w:r>
      <w:r w:rsidRPr="00612238">
        <w:rPr>
          <w:sz w:val="22"/>
          <w:szCs w:val="22"/>
        </w:rPr>
        <w:t>the full and fair involvement</w:t>
      </w:r>
      <w:r w:rsidR="006253DC" w:rsidRPr="00612238">
        <w:rPr>
          <w:sz w:val="22"/>
          <w:szCs w:val="22"/>
        </w:rPr>
        <w:t>,</w:t>
      </w:r>
      <w:r w:rsidRPr="00612238">
        <w:rPr>
          <w:sz w:val="22"/>
          <w:szCs w:val="22"/>
        </w:rPr>
        <w:t xml:space="preserve"> </w:t>
      </w:r>
      <w:r w:rsidR="00480D33" w:rsidRPr="00612238">
        <w:rPr>
          <w:sz w:val="22"/>
          <w:szCs w:val="22"/>
        </w:rPr>
        <w:t xml:space="preserve">and </w:t>
      </w:r>
      <w:r w:rsidRPr="00612238">
        <w:rPr>
          <w:sz w:val="22"/>
          <w:szCs w:val="22"/>
        </w:rPr>
        <w:t xml:space="preserve">consent of Indigenous </w:t>
      </w:r>
      <w:r w:rsidR="00480D33" w:rsidRPr="00612238">
        <w:rPr>
          <w:sz w:val="22"/>
          <w:szCs w:val="22"/>
        </w:rPr>
        <w:t xml:space="preserve">and Treaty 9 </w:t>
      </w:r>
      <w:r w:rsidRPr="00612238">
        <w:rPr>
          <w:sz w:val="22"/>
          <w:szCs w:val="22"/>
        </w:rPr>
        <w:t xml:space="preserve">rights holders. </w:t>
      </w:r>
    </w:p>
    <w:p w14:paraId="2A65DF74" w14:textId="2CE4CBCA" w:rsidR="0060277F" w:rsidRPr="00612238" w:rsidRDefault="0060277F" w:rsidP="00642927">
      <w:pPr>
        <w:rPr>
          <w:b/>
          <w:bCs/>
          <w:sz w:val="22"/>
          <w:szCs w:val="22"/>
        </w:rPr>
      </w:pPr>
    </w:p>
    <w:p w14:paraId="18CE2C7E" w14:textId="4334B9C6" w:rsidR="00133E92" w:rsidRPr="00612238" w:rsidRDefault="0060277F" w:rsidP="00642927">
      <w:pPr>
        <w:rPr>
          <w:b/>
          <w:bCs/>
          <w:sz w:val="22"/>
          <w:szCs w:val="22"/>
        </w:rPr>
      </w:pPr>
      <w:r w:rsidRPr="00612238">
        <w:rPr>
          <w:b/>
          <w:bCs/>
          <w:sz w:val="22"/>
          <w:szCs w:val="22"/>
        </w:rPr>
        <w:t xml:space="preserve">2. </w:t>
      </w:r>
      <w:r w:rsidRPr="00612238">
        <w:rPr>
          <w:b/>
          <w:bCs/>
          <w:sz w:val="22"/>
          <w:szCs w:val="22"/>
        </w:rPr>
        <w:tab/>
        <w:t xml:space="preserve">Treaty interpretation </w:t>
      </w:r>
      <w:r w:rsidR="00EB67ED" w:rsidRPr="00612238">
        <w:rPr>
          <w:b/>
          <w:bCs/>
          <w:sz w:val="22"/>
          <w:szCs w:val="22"/>
        </w:rPr>
        <w:t xml:space="preserve">and the wrongful denial of </w:t>
      </w:r>
      <w:r w:rsidRPr="00612238">
        <w:rPr>
          <w:b/>
          <w:bCs/>
          <w:sz w:val="22"/>
          <w:szCs w:val="22"/>
        </w:rPr>
        <w:t xml:space="preserve">Treaty rights </w:t>
      </w:r>
    </w:p>
    <w:p w14:paraId="1F601772" w14:textId="44703B58" w:rsidR="00133E92" w:rsidRPr="00612238" w:rsidRDefault="00133E92" w:rsidP="00642927">
      <w:pPr>
        <w:ind w:firstLine="720"/>
        <w:rPr>
          <w:b/>
          <w:bCs/>
          <w:sz w:val="22"/>
          <w:szCs w:val="22"/>
        </w:rPr>
      </w:pPr>
    </w:p>
    <w:p w14:paraId="1C8F152D" w14:textId="38EAB0F0" w:rsidR="00CF6CC1" w:rsidRPr="00612238" w:rsidRDefault="00480D33" w:rsidP="002661AD">
      <w:pPr>
        <w:rPr>
          <w:sz w:val="22"/>
          <w:szCs w:val="22"/>
        </w:rPr>
      </w:pPr>
      <w:r w:rsidRPr="00612238">
        <w:rPr>
          <w:sz w:val="22"/>
          <w:szCs w:val="22"/>
        </w:rPr>
        <w:t xml:space="preserve">The </w:t>
      </w:r>
      <w:r w:rsidR="00314554" w:rsidRPr="00612238">
        <w:rPr>
          <w:sz w:val="22"/>
          <w:szCs w:val="22"/>
        </w:rPr>
        <w:t xml:space="preserve">lands where the </w:t>
      </w:r>
      <w:r w:rsidRPr="00612238">
        <w:rPr>
          <w:sz w:val="22"/>
          <w:szCs w:val="22"/>
        </w:rPr>
        <w:t>Ring of Fire</w:t>
      </w:r>
      <w:r w:rsidR="00314554" w:rsidRPr="00612238">
        <w:rPr>
          <w:sz w:val="22"/>
          <w:szCs w:val="22"/>
        </w:rPr>
        <w:t xml:space="preserve"> exists are </w:t>
      </w:r>
      <w:r w:rsidRPr="00612238">
        <w:rPr>
          <w:sz w:val="22"/>
          <w:szCs w:val="22"/>
        </w:rPr>
        <w:t>subject to a treaty known as Treaty 9</w:t>
      </w:r>
      <w:r w:rsidR="00C97D1F">
        <w:rPr>
          <w:sz w:val="22"/>
          <w:szCs w:val="22"/>
        </w:rPr>
        <w:t xml:space="preserve">. Treaty 9 </w:t>
      </w:r>
      <w:r w:rsidRPr="00612238">
        <w:rPr>
          <w:sz w:val="22"/>
          <w:szCs w:val="22"/>
        </w:rPr>
        <w:t>was signed in 1905 by First Nations and the Crow</w:t>
      </w:r>
      <w:r w:rsidR="00C97D1F">
        <w:rPr>
          <w:sz w:val="22"/>
          <w:szCs w:val="22"/>
        </w:rPr>
        <w:t>n, h</w:t>
      </w:r>
      <w:r w:rsidRPr="00612238">
        <w:rPr>
          <w:sz w:val="22"/>
          <w:szCs w:val="22"/>
        </w:rPr>
        <w:t xml:space="preserve">owever, </w:t>
      </w:r>
      <w:r w:rsidR="00612238">
        <w:rPr>
          <w:sz w:val="22"/>
          <w:szCs w:val="22"/>
        </w:rPr>
        <w:t>a</w:t>
      </w:r>
      <w:r w:rsidR="00314554" w:rsidRPr="00612238">
        <w:rPr>
          <w:sz w:val="22"/>
          <w:szCs w:val="22"/>
        </w:rPr>
        <w:t>s many, including legal scholars have remarked, t</w:t>
      </w:r>
      <w:r w:rsidR="0052081E" w:rsidRPr="00612238">
        <w:rPr>
          <w:sz w:val="22"/>
          <w:szCs w:val="22"/>
        </w:rPr>
        <w:t>reaties were generally entered in bad faith on the side of the Crown government, resulting in dishonesty, broken promises, and sharp dealings with the Indigenous nations at the time</w:t>
      </w:r>
      <w:r w:rsidR="00BC2196" w:rsidRPr="00612238">
        <w:rPr>
          <w:rStyle w:val="FootnoteReference"/>
          <w:sz w:val="22"/>
          <w:szCs w:val="22"/>
        </w:rPr>
        <w:footnoteReference w:id="6"/>
      </w:r>
      <w:r w:rsidR="0052081E" w:rsidRPr="00612238">
        <w:rPr>
          <w:sz w:val="22"/>
          <w:szCs w:val="22"/>
        </w:rPr>
        <w:t xml:space="preserve">. For instance, one of the most significant treaties signed between the Crown and the Indigenous nations at the time of European arrival was the Treaty of Niagara. </w:t>
      </w:r>
      <w:r w:rsidR="0060277F" w:rsidRPr="00612238">
        <w:rPr>
          <w:sz w:val="22"/>
          <w:szCs w:val="22"/>
        </w:rPr>
        <w:t xml:space="preserve"> T</w:t>
      </w:r>
      <w:r w:rsidR="0052081E" w:rsidRPr="00612238">
        <w:rPr>
          <w:sz w:val="22"/>
          <w:szCs w:val="22"/>
        </w:rPr>
        <w:t xml:space="preserve">his </w:t>
      </w:r>
      <w:r w:rsidR="00BC2196" w:rsidRPr="00612238">
        <w:rPr>
          <w:sz w:val="22"/>
          <w:szCs w:val="22"/>
        </w:rPr>
        <w:t>treaty mentions</w:t>
      </w:r>
      <w:r w:rsidR="0052081E" w:rsidRPr="00612238">
        <w:rPr>
          <w:sz w:val="22"/>
          <w:szCs w:val="22"/>
        </w:rPr>
        <w:t xml:space="preserve"> several phrases that </w:t>
      </w:r>
      <w:r w:rsidR="00AE3F24" w:rsidRPr="00612238">
        <w:rPr>
          <w:sz w:val="22"/>
          <w:szCs w:val="22"/>
        </w:rPr>
        <w:t>claim</w:t>
      </w:r>
      <w:r w:rsidR="0052081E" w:rsidRPr="00612238">
        <w:rPr>
          <w:sz w:val="22"/>
          <w:szCs w:val="22"/>
        </w:rPr>
        <w:t xml:space="preserve"> Indigenous communities </w:t>
      </w:r>
      <w:r w:rsidR="00AE3F24" w:rsidRPr="00612238">
        <w:rPr>
          <w:sz w:val="22"/>
          <w:szCs w:val="22"/>
        </w:rPr>
        <w:t xml:space="preserve">were </w:t>
      </w:r>
      <w:r w:rsidR="0052081E" w:rsidRPr="00612238">
        <w:rPr>
          <w:sz w:val="22"/>
          <w:szCs w:val="22"/>
        </w:rPr>
        <w:t>willingly signing over or ‘selling’ their lands in return for Crown protection</w:t>
      </w:r>
      <w:r w:rsidR="00CC4932" w:rsidRPr="00612238">
        <w:rPr>
          <w:rStyle w:val="FootnoteReference"/>
          <w:sz w:val="22"/>
          <w:szCs w:val="22"/>
        </w:rPr>
        <w:footnoteReference w:id="7"/>
      </w:r>
      <w:r w:rsidR="0052081E" w:rsidRPr="00612238">
        <w:rPr>
          <w:sz w:val="22"/>
          <w:szCs w:val="22"/>
        </w:rPr>
        <w:t xml:space="preserve">. However, </w:t>
      </w:r>
      <w:r w:rsidR="00314554" w:rsidRPr="00612238">
        <w:rPr>
          <w:sz w:val="22"/>
          <w:szCs w:val="22"/>
        </w:rPr>
        <w:t xml:space="preserve">documented </w:t>
      </w:r>
      <w:proofErr w:type="gramStart"/>
      <w:r w:rsidR="00314554" w:rsidRPr="00612238">
        <w:rPr>
          <w:sz w:val="22"/>
          <w:szCs w:val="22"/>
        </w:rPr>
        <w:t>E</w:t>
      </w:r>
      <w:r w:rsidR="0052081E" w:rsidRPr="00612238">
        <w:rPr>
          <w:sz w:val="22"/>
          <w:szCs w:val="22"/>
        </w:rPr>
        <w:t>lder</w:t>
      </w:r>
      <w:proofErr w:type="gramEnd"/>
      <w:r w:rsidR="0052081E" w:rsidRPr="00612238">
        <w:rPr>
          <w:sz w:val="22"/>
          <w:szCs w:val="22"/>
        </w:rPr>
        <w:t xml:space="preserve"> testimony</w:t>
      </w:r>
      <w:r w:rsidR="0060277F" w:rsidRPr="00612238">
        <w:rPr>
          <w:sz w:val="22"/>
          <w:szCs w:val="22"/>
        </w:rPr>
        <w:t xml:space="preserve"> </w:t>
      </w:r>
      <w:r w:rsidR="00BC2196" w:rsidRPr="00612238">
        <w:rPr>
          <w:sz w:val="22"/>
          <w:szCs w:val="22"/>
        </w:rPr>
        <w:t>and Indigenous</w:t>
      </w:r>
      <w:r w:rsidR="0052081E" w:rsidRPr="00612238">
        <w:rPr>
          <w:sz w:val="22"/>
          <w:szCs w:val="22"/>
        </w:rPr>
        <w:t xml:space="preserve"> treaty items in the form of wampum, </w:t>
      </w:r>
      <w:r w:rsidR="00AE3F24" w:rsidRPr="00612238">
        <w:rPr>
          <w:sz w:val="22"/>
          <w:szCs w:val="22"/>
        </w:rPr>
        <w:t xml:space="preserve">paint </w:t>
      </w:r>
      <w:r w:rsidR="0052081E" w:rsidRPr="00612238">
        <w:rPr>
          <w:sz w:val="22"/>
          <w:szCs w:val="22"/>
        </w:rPr>
        <w:t>a much clearer picture</w:t>
      </w:r>
      <w:r w:rsidR="00AE3F24" w:rsidRPr="00612238">
        <w:rPr>
          <w:sz w:val="22"/>
          <w:szCs w:val="22"/>
        </w:rPr>
        <w:t xml:space="preserve"> of what was actually agreed upon by the two sovereign nations. Contrary to the</w:t>
      </w:r>
      <w:r w:rsidR="0060277F" w:rsidRPr="00612238">
        <w:rPr>
          <w:sz w:val="22"/>
          <w:szCs w:val="22"/>
        </w:rPr>
        <w:t xml:space="preserve"> text of the</w:t>
      </w:r>
      <w:r w:rsidR="00AE3F24" w:rsidRPr="00612238">
        <w:rPr>
          <w:sz w:val="22"/>
          <w:szCs w:val="22"/>
        </w:rPr>
        <w:t xml:space="preserve"> written treaty,</w:t>
      </w:r>
      <w:r w:rsidR="0052081E" w:rsidRPr="00612238">
        <w:rPr>
          <w:sz w:val="22"/>
          <w:szCs w:val="22"/>
        </w:rPr>
        <w:t xml:space="preserve"> </w:t>
      </w:r>
      <w:r w:rsidR="00AE3F24" w:rsidRPr="00612238">
        <w:rPr>
          <w:sz w:val="22"/>
          <w:szCs w:val="22"/>
        </w:rPr>
        <w:t>the agreement did not</w:t>
      </w:r>
      <w:r w:rsidR="0052081E" w:rsidRPr="00612238">
        <w:rPr>
          <w:sz w:val="22"/>
          <w:szCs w:val="22"/>
        </w:rPr>
        <w:t xml:space="preserve"> involve any land ceding at all, but rather, </w:t>
      </w:r>
      <w:r w:rsidR="0060277F" w:rsidRPr="00612238">
        <w:rPr>
          <w:sz w:val="22"/>
          <w:szCs w:val="22"/>
        </w:rPr>
        <w:t xml:space="preserve">a </w:t>
      </w:r>
      <w:r w:rsidR="0052081E" w:rsidRPr="00612238">
        <w:rPr>
          <w:sz w:val="22"/>
          <w:szCs w:val="22"/>
        </w:rPr>
        <w:t xml:space="preserve">willingness to peacefully share the lands with </w:t>
      </w:r>
      <w:r w:rsidR="00BC2196" w:rsidRPr="00612238">
        <w:rPr>
          <w:sz w:val="22"/>
          <w:szCs w:val="22"/>
        </w:rPr>
        <w:t>colonial settlers</w:t>
      </w:r>
      <w:r w:rsidR="00CC4932" w:rsidRPr="00612238">
        <w:rPr>
          <w:rStyle w:val="FootnoteReference"/>
          <w:sz w:val="22"/>
          <w:szCs w:val="22"/>
        </w:rPr>
        <w:footnoteReference w:id="8"/>
      </w:r>
      <w:r w:rsidR="0052081E" w:rsidRPr="00612238">
        <w:rPr>
          <w:sz w:val="22"/>
          <w:szCs w:val="22"/>
        </w:rPr>
        <w:t>.</w:t>
      </w:r>
      <w:r w:rsidR="00A979DE" w:rsidRPr="00612238">
        <w:rPr>
          <w:sz w:val="22"/>
          <w:szCs w:val="22"/>
        </w:rPr>
        <w:t xml:space="preserve"> For instance, at the Treaty of Niagara, a wampum belt was given as a symbol of peaceful coexistence with </w:t>
      </w:r>
      <w:r w:rsidR="00AE3F24" w:rsidRPr="00612238">
        <w:rPr>
          <w:sz w:val="22"/>
          <w:szCs w:val="22"/>
        </w:rPr>
        <w:t>I</w:t>
      </w:r>
      <w:r w:rsidR="00A979DE" w:rsidRPr="00612238">
        <w:rPr>
          <w:sz w:val="22"/>
          <w:szCs w:val="22"/>
        </w:rPr>
        <w:t>ndigenous nations</w:t>
      </w:r>
      <w:r w:rsidR="00CC4932" w:rsidRPr="00612238">
        <w:rPr>
          <w:rStyle w:val="FootnoteReference"/>
          <w:sz w:val="22"/>
          <w:szCs w:val="22"/>
        </w:rPr>
        <w:footnoteReference w:id="9"/>
      </w:r>
      <w:r w:rsidR="00A979DE" w:rsidRPr="00612238">
        <w:rPr>
          <w:sz w:val="22"/>
          <w:szCs w:val="22"/>
        </w:rPr>
        <w:t xml:space="preserve">. </w:t>
      </w:r>
    </w:p>
    <w:p w14:paraId="1AC75F16" w14:textId="77777777" w:rsidR="00CF6CC1" w:rsidRPr="00612238" w:rsidRDefault="00CF6CC1" w:rsidP="00CF6CC1">
      <w:pPr>
        <w:rPr>
          <w:sz w:val="22"/>
          <w:szCs w:val="22"/>
        </w:rPr>
      </w:pPr>
    </w:p>
    <w:p w14:paraId="20A16B06" w14:textId="007C8A47" w:rsidR="00133E92" w:rsidRPr="00612238" w:rsidRDefault="00A979DE" w:rsidP="00CF6CC1">
      <w:pPr>
        <w:rPr>
          <w:sz w:val="22"/>
          <w:szCs w:val="22"/>
        </w:rPr>
      </w:pPr>
      <w:r w:rsidRPr="00612238">
        <w:rPr>
          <w:sz w:val="22"/>
          <w:szCs w:val="22"/>
        </w:rPr>
        <w:t xml:space="preserve">The wampum is considered sacred in Indigenous culture. Further, the specific Wampum used at this treaty signing contained a design that represented two distinct nations, peacefully coexisting on the land at an </w:t>
      </w:r>
      <w:r w:rsidR="00DB6A59" w:rsidRPr="00612238">
        <w:rPr>
          <w:sz w:val="22"/>
          <w:szCs w:val="22"/>
        </w:rPr>
        <w:t>arm’s length</w:t>
      </w:r>
      <w:r w:rsidR="00D04A40" w:rsidRPr="00612238">
        <w:rPr>
          <w:rStyle w:val="FootnoteReference"/>
          <w:sz w:val="22"/>
          <w:szCs w:val="22"/>
        </w:rPr>
        <w:footnoteReference w:id="10"/>
      </w:r>
      <w:r w:rsidRPr="00612238">
        <w:rPr>
          <w:sz w:val="22"/>
          <w:szCs w:val="22"/>
        </w:rPr>
        <w:t>. Despite this</w:t>
      </w:r>
      <w:r w:rsidR="00AE3F24" w:rsidRPr="00612238">
        <w:rPr>
          <w:sz w:val="22"/>
          <w:szCs w:val="22"/>
        </w:rPr>
        <w:t xml:space="preserve"> meaning which has been repeatedly and consistently expressed by elders</w:t>
      </w:r>
      <w:r w:rsidRPr="00612238">
        <w:rPr>
          <w:sz w:val="22"/>
          <w:szCs w:val="22"/>
        </w:rPr>
        <w:t xml:space="preserve">, </w:t>
      </w:r>
      <w:r w:rsidRPr="00612238">
        <w:rPr>
          <w:sz w:val="22"/>
          <w:szCs w:val="22"/>
        </w:rPr>
        <w:lastRenderedPageBreak/>
        <w:t>the wording of the treaty</w:t>
      </w:r>
      <w:r w:rsidR="00AE3F24" w:rsidRPr="00612238">
        <w:rPr>
          <w:sz w:val="22"/>
          <w:szCs w:val="22"/>
        </w:rPr>
        <w:sym w:font="Symbol" w:char="F02D"/>
      </w:r>
      <w:r w:rsidRPr="00612238">
        <w:rPr>
          <w:sz w:val="22"/>
          <w:szCs w:val="22"/>
        </w:rPr>
        <w:t>which was written in a language that Indigenous nations could not understand</w:t>
      </w:r>
      <w:r w:rsidR="00AE3F24" w:rsidRPr="00612238">
        <w:rPr>
          <w:sz w:val="22"/>
          <w:szCs w:val="22"/>
        </w:rPr>
        <w:sym w:font="Symbol" w:char="F02D"/>
      </w:r>
      <w:r w:rsidRPr="00612238">
        <w:rPr>
          <w:sz w:val="22"/>
          <w:szCs w:val="22"/>
        </w:rPr>
        <w:t xml:space="preserve"> </w:t>
      </w:r>
      <w:r w:rsidR="00AE3F24" w:rsidRPr="00612238">
        <w:rPr>
          <w:sz w:val="22"/>
          <w:szCs w:val="22"/>
        </w:rPr>
        <w:t>was relied upon by the Crown</w:t>
      </w:r>
      <w:r w:rsidR="00D04A40" w:rsidRPr="00612238">
        <w:rPr>
          <w:sz w:val="22"/>
          <w:szCs w:val="22"/>
        </w:rPr>
        <w:t xml:space="preserve"> </w:t>
      </w:r>
      <w:r w:rsidR="0060277F" w:rsidRPr="00612238">
        <w:rPr>
          <w:sz w:val="22"/>
          <w:szCs w:val="22"/>
        </w:rPr>
        <w:t xml:space="preserve">and taken up </w:t>
      </w:r>
      <w:r w:rsidR="00D04A40" w:rsidRPr="00612238">
        <w:rPr>
          <w:sz w:val="22"/>
          <w:szCs w:val="22"/>
        </w:rPr>
        <w:t>in Canadian law.</w:t>
      </w:r>
      <w:r w:rsidR="00AE3F24" w:rsidRPr="00612238">
        <w:rPr>
          <w:sz w:val="22"/>
          <w:szCs w:val="22"/>
        </w:rPr>
        <w:t xml:space="preserve"> </w:t>
      </w:r>
      <w:r w:rsidR="00D04A40" w:rsidRPr="00612238">
        <w:rPr>
          <w:sz w:val="22"/>
          <w:szCs w:val="22"/>
        </w:rPr>
        <w:t xml:space="preserve">This resulted in the widespread colonial belief </w:t>
      </w:r>
      <w:r w:rsidRPr="00612238">
        <w:rPr>
          <w:sz w:val="22"/>
          <w:szCs w:val="22"/>
        </w:rPr>
        <w:t>that the lands that were traditionally Indigenous territory, w</w:t>
      </w:r>
      <w:r w:rsidR="00AE3F24" w:rsidRPr="00612238">
        <w:rPr>
          <w:sz w:val="22"/>
          <w:szCs w:val="22"/>
        </w:rPr>
        <w:t>ere</w:t>
      </w:r>
      <w:r w:rsidRPr="00612238">
        <w:rPr>
          <w:sz w:val="22"/>
          <w:szCs w:val="22"/>
        </w:rPr>
        <w:t xml:space="preserve"> given up or ceded to the Crown</w:t>
      </w:r>
      <w:r w:rsidR="00EB67ED" w:rsidRPr="00612238">
        <w:rPr>
          <w:sz w:val="22"/>
          <w:szCs w:val="22"/>
        </w:rPr>
        <w:t xml:space="preserve"> when instead, they were taken without consent. </w:t>
      </w:r>
    </w:p>
    <w:p w14:paraId="1D24706A" w14:textId="5EA5ECA8" w:rsidR="00EB67ED" w:rsidRPr="00612238" w:rsidRDefault="00EB67ED" w:rsidP="00CF6CC1">
      <w:pPr>
        <w:rPr>
          <w:sz w:val="22"/>
          <w:szCs w:val="22"/>
        </w:rPr>
      </w:pPr>
    </w:p>
    <w:p w14:paraId="5BF61B23" w14:textId="5CD5F5BF" w:rsidR="00EB67ED" w:rsidRPr="00612238" w:rsidRDefault="00EB67ED" w:rsidP="00EB67ED">
      <w:pPr>
        <w:rPr>
          <w:sz w:val="22"/>
          <w:szCs w:val="22"/>
        </w:rPr>
      </w:pPr>
      <w:r w:rsidRPr="00612238">
        <w:rPr>
          <w:sz w:val="22"/>
          <w:szCs w:val="22"/>
        </w:rPr>
        <w:t>Courts have begun to create more holistic rules to treaty interpretation in Canada</w:t>
      </w:r>
      <w:r w:rsidRPr="00612238">
        <w:rPr>
          <w:rStyle w:val="FootnoteReference"/>
          <w:sz w:val="22"/>
          <w:szCs w:val="22"/>
        </w:rPr>
        <w:footnoteReference w:id="11"/>
      </w:r>
      <w:r w:rsidRPr="00612238">
        <w:rPr>
          <w:sz w:val="22"/>
          <w:szCs w:val="22"/>
        </w:rPr>
        <w:t xml:space="preserve">. For instance, oral testimony and the circumstances at the time of the treaty are </w:t>
      </w:r>
      <w:r w:rsidR="00D0021C">
        <w:rPr>
          <w:sz w:val="22"/>
          <w:szCs w:val="22"/>
        </w:rPr>
        <w:t xml:space="preserve">now </w:t>
      </w:r>
      <w:r w:rsidRPr="00612238">
        <w:rPr>
          <w:sz w:val="22"/>
          <w:szCs w:val="22"/>
        </w:rPr>
        <w:t>given equal weight to the specific writing in the treaty</w:t>
      </w:r>
      <w:r w:rsidRPr="00612238">
        <w:rPr>
          <w:rStyle w:val="FootnoteReference"/>
          <w:sz w:val="22"/>
          <w:szCs w:val="22"/>
        </w:rPr>
        <w:footnoteReference w:id="12"/>
      </w:r>
      <w:r w:rsidRPr="00612238">
        <w:rPr>
          <w:sz w:val="22"/>
          <w:szCs w:val="22"/>
        </w:rPr>
        <w:t>. The reason for this is that courts now state that treaty interpretation must occur in accordance with the common intention of the treaty partners</w:t>
      </w:r>
      <w:r w:rsidRPr="00612238">
        <w:rPr>
          <w:rStyle w:val="FootnoteReference"/>
          <w:sz w:val="22"/>
          <w:szCs w:val="22"/>
        </w:rPr>
        <w:footnoteReference w:id="13"/>
      </w:r>
      <w:r w:rsidRPr="00612238">
        <w:rPr>
          <w:sz w:val="22"/>
          <w:szCs w:val="22"/>
        </w:rPr>
        <w:t xml:space="preserve">. </w:t>
      </w:r>
    </w:p>
    <w:p w14:paraId="0B7BE529" w14:textId="77777777" w:rsidR="00EB67ED" w:rsidRPr="00612238" w:rsidRDefault="00EB67ED" w:rsidP="00EB67ED">
      <w:pPr>
        <w:ind w:firstLine="720"/>
        <w:rPr>
          <w:sz w:val="22"/>
          <w:szCs w:val="22"/>
        </w:rPr>
      </w:pPr>
    </w:p>
    <w:p w14:paraId="2B130866" w14:textId="77777777" w:rsidR="00EB67ED" w:rsidRPr="00612238" w:rsidRDefault="00EB67ED" w:rsidP="00EB67ED">
      <w:pPr>
        <w:rPr>
          <w:sz w:val="22"/>
          <w:szCs w:val="22"/>
        </w:rPr>
      </w:pPr>
      <w:r w:rsidRPr="00612238">
        <w:rPr>
          <w:sz w:val="22"/>
          <w:szCs w:val="22"/>
        </w:rPr>
        <w:t>In the context of Treaty 9, Indigenous leaders have consistently argued that lands were never ceded and the writing on the treaty was never explicitly told to chiefs at the time of signing</w:t>
      </w:r>
      <w:r w:rsidRPr="00612238">
        <w:rPr>
          <w:rStyle w:val="FootnoteReference"/>
          <w:sz w:val="22"/>
          <w:szCs w:val="22"/>
        </w:rPr>
        <w:footnoteReference w:id="14"/>
      </w:r>
      <w:r w:rsidRPr="00612238">
        <w:rPr>
          <w:sz w:val="22"/>
          <w:szCs w:val="22"/>
        </w:rPr>
        <w:t xml:space="preserve">. In addition to landmark cases which now require the use of holistic evidence when interpreting treaties in Canadian law, the terms of the treaty can reasonably be assumed to be of similar terms as treaties that Indigenous nations have been carrying out for thousands of years with other sovereign nations prior to European arrival. </w:t>
      </w:r>
      <w:proofErr w:type="gramStart"/>
      <w:r w:rsidRPr="00612238">
        <w:rPr>
          <w:sz w:val="22"/>
          <w:szCs w:val="22"/>
        </w:rPr>
        <w:t>Similar to</w:t>
      </w:r>
      <w:proofErr w:type="gramEnd"/>
      <w:r w:rsidRPr="00612238">
        <w:rPr>
          <w:sz w:val="22"/>
          <w:szCs w:val="22"/>
        </w:rPr>
        <w:t xml:space="preserve"> what the wampum at Niagara truly meant to Indigenous Nations at the time, Treaty 9 represented a solemn agreement with the Government of Canada to peacefully coexist on the lands as two equals. </w:t>
      </w:r>
    </w:p>
    <w:p w14:paraId="1435F4DE" w14:textId="77777777" w:rsidR="00EB67ED" w:rsidRPr="00612238" w:rsidRDefault="00EB67ED" w:rsidP="00EB67ED">
      <w:pPr>
        <w:rPr>
          <w:sz w:val="22"/>
          <w:szCs w:val="22"/>
        </w:rPr>
      </w:pPr>
    </w:p>
    <w:p w14:paraId="74FFAAE2" w14:textId="77777777" w:rsidR="00EB67ED" w:rsidRPr="00612238" w:rsidRDefault="00EB67ED" w:rsidP="00EB67ED">
      <w:pPr>
        <w:rPr>
          <w:sz w:val="22"/>
          <w:szCs w:val="22"/>
        </w:rPr>
      </w:pPr>
      <w:r w:rsidRPr="00612238">
        <w:rPr>
          <w:sz w:val="22"/>
          <w:szCs w:val="22"/>
        </w:rPr>
        <w:t>On this basis, the terms of treaty have been violated for the past century with residential schools, assimilationist practices, and the lack of clean drinking water and health services provided to Indigenous communities, all of which are essential in colonized settler areas in Canada</w:t>
      </w:r>
      <w:r w:rsidRPr="00612238">
        <w:rPr>
          <w:rStyle w:val="FootnoteReference"/>
          <w:sz w:val="22"/>
          <w:szCs w:val="22"/>
        </w:rPr>
        <w:footnoteReference w:id="15"/>
      </w:r>
      <w:r w:rsidRPr="00612238">
        <w:rPr>
          <w:sz w:val="22"/>
          <w:szCs w:val="22"/>
        </w:rPr>
        <w:t>. It continues in the context of the Ring of Fire, where mining development continues absent the free, prior, and informed consent of Treaty 9 members and commitments by Canada to uphold and respect Treaty 9 rights.</w:t>
      </w:r>
    </w:p>
    <w:p w14:paraId="55D3953C" w14:textId="31110EAB" w:rsidR="00513F32" w:rsidRPr="00612238" w:rsidRDefault="00513F32" w:rsidP="00642927">
      <w:pPr>
        <w:ind w:firstLine="720"/>
        <w:rPr>
          <w:sz w:val="22"/>
          <w:szCs w:val="22"/>
        </w:rPr>
      </w:pPr>
    </w:p>
    <w:p w14:paraId="766C70DD" w14:textId="384BCC7C" w:rsidR="00513F32" w:rsidRPr="00612238" w:rsidRDefault="0060277F" w:rsidP="00642927">
      <w:pPr>
        <w:rPr>
          <w:b/>
          <w:bCs/>
          <w:sz w:val="22"/>
          <w:szCs w:val="22"/>
        </w:rPr>
      </w:pPr>
      <w:r w:rsidRPr="00612238">
        <w:rPr>
          <w:b/>
          <w:bCs/>
          <w:sz w:val="22"/>
          <w:szCs w:val="22"/>
        </w:rPr>
        <w:t>3.</w:t>
      </w:r>
      <w:r w:rsidRPr="00612238">
        <w:rPr>
          <w:b/>
          <w:bCs/>
          <w:sz w:val="22"/>
          <w:szCs w:val="22"/>
        </w:rPr>
        <w:tab/>
        <w:t>The promotion</w:t>
      </w:r>
      <w:r w:rsidR="00EB67ED" w:rsidRPr="00612238">
        <w:rPr>
          <w:b/>
          <w:bCs/>
          <w:sz w:val="22"/>
          <w:szCs w:val="22"/>
        </w:rPr>
        <w:t xml:space="preserve"> and respect of</w:t>
      </w:r>
      <w:r w:rsidRPr="00612238">
        <w:rPr>
          <w:b/>
          <w:bCs/>
          <w:sz w:val="22"/>
          <w:szCs w:val="22"/>
        </w:rPr>
        <w:t xml:space="preserve"> treaty rights must be based on Indigenous </w:t>
      </w:r>
      <w:r w:rsidR="00CF6CC1" w:rsidRPr="00612238">
        <w:rPr>
          <w:b/>
          <w:bCs/>
          <w:sz w:val="22"/>
          <w:szCs w:val="22"/>
        </w:rPr>
        <w:t>worldviews</w:t>
      </w:r>
      <w:r w:rsidRPr="00612238">
        <w:rPr>
          <w:b/>
          <w:bCs/>
          <w:sz w:val="22"/>
          <w:szCs w:val="22"/>
        </w:rPr>
        <w:t xml:space="preserve"> </w:t>
      </w:r>
    </w:p>
    <w:p w14:paraId="6D34F08F" w14:textId="77777777" w:rsidR="00CF6CC1" w:rsidRPr="00612238" w:rsidRDefault="00CF6CC1" w:rsidP="00CF6CC1">
      <w:pPr>
        <w:rPr>
          <w:sz w:val="22"/>
          <w:szCs w:val="22"/>
        </w:rPr>
      </w:pPr>
    </w:p>
    <w:p w14:paraId="649C4B90" w14:textId="1741864B" w:rsidR="00A979DE" w:rsidRPr="00612238" w:rsidRDefault="00EB67ED" w:rsidP="00CF6CC1">
      <w:pPr>
        <w:rPr>
          <w:sz w:val="22"/>
          <w:szCs w:val="22"/>
        </w:rPr>
      </w:pPr>
      <w:r w:rsidRPr="00612238">
        <w:rPr>
          <w:sz w:val="22"/>
          <w:szCs w:val="22"/>
        </w:rPr>
        <w:t xml:space="preserve">The Friends submit </w:t>
      </w:r>
      <w:r w:rsidR="00A979DE" w:rsidRPr="00612238">
        <w:rPr>
          <w:sz w:val="22"/>
          <w:szCs w:val="22"/>
        </w:rPr>
        <w:t xml:space="preserve">Indigenous </w:t>
      </w:r>
      <w:r w:rsidR="00CF6CC1" w:rsidRPr="00612238">
        <w:rPr>
          <w:sz w:val="22"/>
          <w:szCs w:val="22"/>
        </w:rPr>
        <w:t>w</w:t>
      </w:r>
      <w:r w:rsidR="00A979DE" w:rsidRPr="00612238">
        <w:rPr>
          <w:sz w:val="22"/>
          <w:szCs w:val="22"/>
        </w:rPr>
        <w:t xml:space="preserve">orldviews </w:t>
      </w:r>
      <w:r w:rsidRPr="00612238">
        <w:rPr>
          <w:sz w:val="22"/>
          <w:szCs w:val="22"/>
        </w:rPr>
        <w:t xml:space="preserve">must be </w:t>
      </w:r>
      <w:r w:rsidR="00A979DE" w:rsidRPr="00612238">
        <w:rPr>
          <w:sz w:val="22"/>
          <w:szCs w:val="22"/>
        </w:rPr>
        <w:t>consider</w:t>
      </w:r>
      <w:r w:rsidRPr="00612238">
        <w:rPr>
          <w:sz w:val="22"/>
          <w:szCs w:val="22"/>
        </w:rPr>
        <w:t>ed</w:t>
      </w:r>
      <w:r w:rsidR="00A979DE" w:rsidRPr="00612238">
        <w:rPr>
          <w:sz w:val="22"/>
          <w:szCs w:val="22"/>
        </w:rPr>
        <w:t xml:space="preserve"> when </w:t>
      </w:r>
      <w:r w:rsidRPr="00612238">
        <w:rPr>
          <w:sz w:val="22"/>
          <w:szCs w:val="22"/>
        </w:rPr>
        <w:t xml:space="preserve">assessing </w:t>
      </w:r>
      <w:r w:rsidR="00A979DE" w:rsidRPr="00612238">
        <w:rPr>
          <w:sz w:val="22"/>
          <w:szCs w:val="22"/>
        </w:rPr>
        <w:t>treaty relationships and Canada</w:t>
      </w:r>
      <w:r w:rsidRPr="00612238">
        <w:rPr>
          <w:sz w:val="22"/>
          <w:szCs w:val="22"/>
        </w:rPr>
        <w:t>’s will to uphold and respect treaty rights</w:t>
      </w:r>
      <w:r w:rsidR="00A979DE" w:rsidRPr="00612238">
        <w:rPr>
          <w:sz w:val="22"/>
          <w:szCs w:val="22"/>
        </w:rPr>
        <w:t>. The work of Indigenous scholars</w:t>
      </w:r>
      <w:r w:rsidRPr="00612238">
        <w:rPr>
          <w:sz w:val="22"/>
          <w:szCs w:val="22"/>
        </w:rPr>
        <w:t>, for instance,</w:t>
      </w:r>
      <w:r w:rsidR="00A979DE" w:rsidRPr="00612238">
        <w:rPr>
          <w:sz w:val="22"/>
          <w:szCs w:val="22"/>
        </w:rPr>
        <w:t xml:space="preserve"> outline how </w:t>
      </w:r>
      <w:r w:rsidR="00513F32" w:rsidRPr="00612238">
        <w:rPr>
          <w:sz w:val="22"/>
          <w:szCs w:val="22"/>
        </w:rPr>
        <w:t>I</w:t>
      </w:r>
      <w:r w:rsidR="00A979DE" w:rsidRPr="00612238">
        <w:rPr>
          <w:sz w:val="22"/>
          <w:szCs w:val="22"/>
        </w:rPr>
        <w:t>ndigenous worldviews are rooted in relationships</w:t>
      </w:r>
      <w:r w:rsidR="006F1397" w:rsidRPr="00612238">
        <w:rPr>
          <w:rStyle w:val="FootnoteReference"/>
          <w:sz w:val="22"/>
          <w:szCs w:val="22"/>
        </w:rPr>
        <w:footnoteReference w:id="16"/>
      </w:r>
      <w:r w:rsidR="00A979DE" w:rsidRPr="00612238">
        <w:rPr>
          <w:sz w:val="22"/>
          <w:szCs w:val="22"/>
        </w:rPr>
        <w:t xml:space="preserve">. </w:t>
      </w:r>
      <w:r w:rsidR="00513F32" w:rsidRPr="00612238">
        <w:rPr>
          <w:sz w:val="22"/>
          <w:szCs w:val="22"/>
        </w:rPr>
        <w:t>While Western views consider</w:t>
      </w:r>
      <w:r w:rsidR="00A979DE" w:rsidRPr="00612238">
        <w:rPr>
          <w:sz w:val="22"/>
          <w:szCs w:val="22"/>
        </w:rPr>
        <w:t xml:space="preserve"> objects like lands and natural resources </w:t>
      </w:r>
      <w:r w:rsidR="00513F32" w:rsidRPr="00612238">
        <w:rPr>
          <w:sz w:val="22"/>
          <w:szCs w:val="22"/>
        </w:rPr>
        <w:t>as inanimate, in Indigenous cultures</w:t>
      </w:r>
      <w:r w:rsidR="00C52CE8" w:rsidRPr="00612238">
        <w:rPr>
          <w:sz w:val="22"/>
          <w:szCs w:val="22"/>
        </w:rPr>
        <w:t xml:space="preserve">, these lands </w:t>
      </w:r>
      <w:r w:rsidR="00A979DE" w:rsidRPr="00612238">
        <w:rPr>
          <w:sz w:val="22"/>
          <w:szCs w:val="22"/>
        </w:rPr>
        <w:t>are considered to have capacity</w:t>
      </w:r>
      <w:r w:rsidR="00C52CE8" w:rsidRPr="00612238">
        <w:rPr>
          <w:sz w:val="22"/>
          <w:szCs w:val="22"/>
        </w:rPr>
        <w:t xml:space="preserve">, </w:t>
      </w:r>
      <w:r w:rsidR="00A979DE" w:rsidRPr="00612238">
        <w:rPr>
          <w:sz w:val="22"/>
          <w:szCs w:val="22"/>
        </w:rPr>
        <w:t>conscience</w:t>
      </w:r>
      <w:r w:rsidR="00D0021C">
        <w:rPr>
          <w:sz w:val="22"/>
          <w:szCs w:val="22"/>
        </w:rPr>
        <w:t>,</w:t>
      </w:r>
      <w:r w:rsidR="00A979DE" w:rsidRPr="00612238">
        <w:rPr>
          <w:sz w:val="22"/>
          <w:szCs w:val="22"/>
        </w:rPr>
        <w:t xml:space="preserve"> </w:t>
      </w:r>
      <w:r w:rsidR="00C52CE8" w:rsidRPr="00612238">
        <w:rPr>
          <w:sz w:val="22"/>
          <w:szCs w:val="22"/>
        </w:rPr>
        <w:t xml:space="preserve">and a sacred element </w:t>
      </w:r>
      <w:r w:rsidR="00A979DE" w:rsidRPr="00612238">
        <w:rPr>
          <w:sz w:val="22"/>
          <w:szCs w:val="22"/>
        </w:rPr>
        <w:t>in Indigenous spirituality</w:t>
      </w:r>
      <w:r w:rsidR="006F1397" w:rsidRPr="00612238">
        <w:rPr>
          <w:rStyle w:val="FootnoteReference"/>
          <w:sz w:val="22"/>
          <w:szCs w:val="22"/>
        </w:rPr>
        <w:footnoteReference w:id="17"/>
      </w:r>
      <w:r w:rsidR="00A979DE" w:rsidRPr="00612238">
        <w:rPr>
          <w:sz w:val="22"/>
          <w:szCs w:val="22"/>
        </w:rPr>
        <w:t>. Further, Indigenous worldviews place a responsibility to each member of the nation to maintain a good relationship with other beings that provide for them</w:t>
      </w:r>
      <w:r w:rsidR="006F1397" w:rsidRPr="00612238">
        <w:rPr>
          <w:rStyle w:val="FootnoteReference"/>
          <w:sz w:val="22"/>
          <w:szCs w:val="22"/>
        </w:rPr>
        <w:footnoteReference w:id="18"/>
      </w:r>
      <w:r w:rsidR="00A979DE" w:rsidRPr="00612238">
        <w:rPr>
          <w:sz w:val="22"/>
          <w:szCs w:val="22"/>
        </w:rPr>
        <w:t xml:space="preserve">. In this sense, the </w:t>
      </w:r>
      <w:r w:rsidR="002C3186" w:rsidRPr="00612238">
        <w:rPr>
          <w:sz w:val="22"/>
          <w:szCs w:val="22"/>
        </w:rPr>
        <w:t xml:space="preserve">land is seen as a ‘being’ </w:t>
      </w:r>
      <w:r w:rsidR="00C52CE8" w:rsidRPr="00612238">
        <w:rPr>
          <w:sz w:val="22"/>
          <w:szCs w:val="22"/>
        </w:rPr>
        <w:t xml:space="preserve">or having a spirit, </w:t>
      </w:r>
      <w:r w:rsidR="002C3186" w:rsidRPr="00612238">
        <w:rPr>
          <w:sz w:val="22"/>
          <w:szCs w:val="22"/>
        </w:rPr>
        <w:t xml:space="preserve">and therefore is in a relationship with </w:t>
      </w:r>
      <w:r w:rsidR="00C52CE8" w:rsidRPr="00612238">
        <w:rPr>
          <w:sz w:val="22"/>
          <w:szCs w:val="22"/>
        </w:rPr>
        <w:t>I</w:t>
      </w:r>
      <w:r w:rsidR="002C3186" w:rsidRPr="00612238">
        <w:rPr>
          <w:sz w:val="22"/>
          <w:szCs w:val="22"/>
        </w:rPr>
        <w:t xml:space="preserve">ndigenous peoples. </w:t>
      </w:r>
      <w:r w:rsidR="00C52CE8" w:rsidRPr="00612238">
        <w:rPr>
          <w:sz w:val="22"/>
          <w:szCs w:val="22"/>
        </w:rPr>
        <w:t>As such,</w:t>
      </w:r>
      <w:r w:rsidR="002C3186" w:rsidRPr="00612238">
        <w:rPr>
          <w:sz w:val="22"/>
          <w:szCs w:val="22"/>
        </w:rPr>
        <w:t xml:space="preserve"> the land cannot be owned according to their worldview as it has its own capacity and standing in the eyes of the </w:t>
      </w:r>
      <w:r w:rsidR="00355A97">
        <w:rPr>
          <w:sz w:val="22"/>
          <w:szCs w:val="22"/>
        </w:rPr>
        <w:t>C</w:t>
      </w:r>
      <w:r w:rsidR="002C3186" w:rsidRPr="00612238">
        <w:rPr>
          <w:sz w:val="22"/>
          <w:szCs w:val="22"/>
        </w:rPr>
        <w:t xml:space="preserve">reator. </w:t>
      </w:r>
    </w:p>
    <w:p w14:paraId="04D26CF8" w14:textId="77777777" w:rsidR="00CF6CC1" w:rsidRPr="00612238" w:rsidRDefault="00CF6CC1" w:rsidP="00CF6CC1">
      <w:pPr>
        <w:rPr>
          <w:sz w:val="22"/>
          <w:szCs w:val="22"/>
        </w:rPr>
      </w:pPr>
    </w:p>
    <w:p w14:paraId="35D1EA98" w14:textId="41951651" w:rsidR="00086696" w:rsidRPr="00612238" w:rsidRDefault="00EB67ED" w:rsidP="002661AD">
      <w:pPr>
        <w:ind w:left="720" w:hanging="720"/>
        <w:rPr>
          <w:b/>
          <w:bCs/>
          <w:sz w:val="22"/>
          <w:szCs w:val="22"/>
        </w:rPr>
      </w:pPr>
      <w:r w:rsidRPr="00612238">
        <w:rPr>
          <w:b/>
          <w:bCs/>
          <w:sz w:val="22"/>
          <w:szCs w:val="22"/>
        </w:rPr>
        <w:t>4</w:t>
      </w:r>
      <w:r w:rsidR="003A2FE9" w:rsidRPr="00612238">
        <w:rPr>
          <w:b/>
          <w:bCs/>
          <w:sz w:val="22"/>
          <w:szCs w:val="22"/>
        </w:rPr>
        <w:t xml:space="preserve">. </w:t>
      </w:r>
      <w:r w:rsidR="003A2FE9" w:rsidRPr="00612238">
        <w:rPr>
          <w:b/>
          <w:bCs/>
          <w:sz w:val="22"/>
          <w:szCs w:val="22"/>
        </w:rPr>
        <w:tab/>
        <w:t xml:space="preserve">Government decisions </w:t>
      </w:r>
      <w:r w:rsidR="006D51D1" w:rsidRPr="00612238">
        <w:rPr>
          <w:b/>
          <w:bCs/>
          <w:sz w:val="22"/>
          <w:szCs w:val="22"/>
        </w:rPr>
        <w:t xml:space="preserve">on the ‘Ring of Fire’ mining proposal must include </w:t>
      </w:r>
      <w:r w:rsidR="003A2FE9" w:rsidRPr="00612238">
        <w:rPr>
          <w:b/>
          <w:bCs/>
          <w:sz w:val="22"/>
          <w:szCs w:val="22"/>
        </w:rPr>
        <w:t xml:space="preserve">Treaty 9 </w:t>
      </w:r>
      <w:r w:rsidR="006D51D1" w:rsidRPr="00612238">
        <w:rPr>
          <w:b/>
          <w:bCs/>
          <w:sz w:val="22"/>
          <w:szCs w:val="22"/>
        </w:rPr>
        <w:t>rights holders</w:t>
      </w:r>
      <w:r w:rsidR="003A2FE9" w:rsidRPr="00612238">
        <w:rPr>
          <w:b/>
          <w:bCs/>
          <w:sz w:val="22"/>
          <w:szCs w:val="22"/>
        </w:rPr>
        <w:t xml:space="preserve"> </w:t>
      </w:r>
      <w:r w:rsidR="002661AD" w:rsidRPr="00612238">
        <w:rPr>
          <w:b/>
          <w:bCs/>
          <w:sz w:val="22"/>
          <w:szCs w:val="22"/>
        </w:rPr>
        <w:t xml:space="preserve">and uphold their rights </w:t>
      </w:r>
    </w:p>
    <w:p w14:paraId="64A5C720" w14:textId="46D4FD0D" w:rsidR="007E21EB" w:rsidRPr="00612238" w:rsidRDefault="007E21EB" w:rsidP="00642927">
      <w:pPr>
        <w:rPr>
          <w:b/>
          <w:bCs/>
          <w:sz w:val="22"/>
          <w:szCs w:val="22"/>
        </w:rPr>
      </w:pPr>
    </w:p>
    <w:p w14:paraId="7C5B61A7" w14:textId="7ABE5F60" w:rsidR="00EA7565" w:rsidRPr="00612238" w:rsidRDefault="006D51D1" w:rsidP="00642927">
      <w:pPr>
        <w:rPr>
          <w:rFonts w:eastAsia="Noto Sans Yi"/>
          <w:sz w:val="22"/>
          <w:szCs w:val="22"/>
        </w:rPr>
      </w:pPr>
      <w:r w:rsidRPr="00612238">
        <w:rPr>
          <w:sz w:val="22"/>
          <w:szCs w:val="22"/>
        </w:rPr>
        <w:t xml:space="preserve">Canada’s consultation on the Ring of Fire must include Treaty and inherent rights holders and respect </w:t>
      </w:r>
      <w:r w:rsidR="005A635E" w:rsidRPr="00612238">
        <w:rPr>
          <w:sz w:val="22"/>
          <w:szCs w:val="22"/>
        </w:rPr>
        <w:t xml:space="preserve">Indigenous </w:t>
      </w:r>
      <w:r w:rsidR="00612238" w:rsidRPr="00612238">
        <w:rPr>
          <w:sz w:val="22"/>
          <w:szCs w:val="22"/>
        </w:rPr>
        <w:t>communities</w:t>
      </w:r>
      <w:r w:rsidR="005A635E" w:rsidRPr="00612238">
        <w:rPr>
          <w:sz w:val="22"/>
          <w:szCs w:val="22"/>
        </w:rPr>
        <w:t xml:space="preserve">’ </w:t>
      </w:r>
      <w:r w:rsidRPr="00612238">
        <w:rPr>
          <w:sz w:val="22"/>
          <w:szCs w:val="22"/>
        </w:rPr>
        <w:t xml:space="preserve">views on engagement and consent, as based on inherent laws and the Spirit of </w:t>
      </w:r>
      <w:r w:rsidRPr="00612238">
        <w:rPr>
          <w:sz w:val="22"/>
          <w:szCs w:val="22"/>
        </w:rPr>
        <w:lastRenderedPageBreak/>
        <w:t xml:space="preserve">Intent of Treaties.  </w:t>
      </w:r>
      <w:r w:rsidR="00964FC9" w:rsidRPr="00612238">
        <w:rPr>
          <w:rFonts w:eastAsia="Noto Sans Yi"/>
          <w:sz w:val="22"/>
          <w:szCs w:val="22"/>
        </w:rPr>
        <w:t>To date, obligations to protect the sacred Treaty have not been met.  The Friends</w:t>
      </w:r>
      <w:r w:rsidR="005A635E" w:rsidRPr="00612238">
        <w:rPr>
          <w:rFonts w:eastAsia="Noto Sans Yi"/>
          <w:sz w:val="22"/>
          <w:szCs w:val="22"/>
        </w:rPr>
        <w:t xml:space="preserve"> provide a synopsis of their efforts to date, illustrating </w:t>
      </w:r>
      <w:r w:rsidR="00D0021C" w:rsidRPr="00612238">
        <w:rPr>
          <w:rFonts w:eastAsia="Noto Sans Yi"/>
          <w:sz w:val="22"/>
          <w:szCs w:val="22"/>
        </w:rPr>
        <w:t>that Canada</w:t>
      </w:r>
      <w:r w:rsidR="00964FC9" w:rsidRPr="00612238">
        <w:rPr>
          <w:rFonts w:eastAsia="Noto Sans Yi"/>
          <w:sz w:val="22"/>
          <w:szCs w:val="22"/>
        </w:rPr>
        <w:t xml:space="preserve"> has not discharged its duty to work in the best interests of title holders, which is the Indigenous grassroots. Nor, has Article 37 of UNDRIP, which seeks to promote and respect treaty rights, been upheld.</w:t>
      </w:r>
      <w:r w:rsidRPr="00612238">
        <w:rPr>
          <w:rFonts w:eastAsia="Noto Sans Yi"/>
          <w:sz w:val="22"/>
          <w:szCs w:val="22"/>
        </w:rPr>
        <w:t xml:space="preserve"> In support of this submission, we provide the following examples. </w:t>
      </w:r>
      <w:r w:rsidR="00964FC9" w:rsidRPr="00612238">
        <w:rPr>
          <w:rFonts w:eastAsia="Noto Sans Yi"/>
          <w:sz w:val="22"/>
          <w:szCs w:val="22"/>
        </w:rPr>
        <w:t xml:space="preserve"> </w:t>
      </w:r>
    </w:p>
    <w:p w14:paraId="5F963ECF" w14:textId="6E15FF82" w:rsidR="006D51D1" w:rsidRPr="00612238" w:rsidRDefault="006D51D1" w:rsidP="00642927">
      <w:pPr>
        <w:rPr>
          <w:b/>
          <w:bCs/>
          <w:i/>
          <w:iCs/>
          <w:sz w:val="22"/>
          <w:szCs w:val="22"/>
        </w:rPr>
      </w:pPr>
    </w:p>
    <w:p w14:paraId="1E8BB4B5" w14:textId="29AC9802" w:rsidR="0014080B" w:rsidRDefault="006D51D1" w:rsidP="00642927">
      <w:pPr>
        <w:rPr>
          <w:b/>
          <w:bCs/>
          <w:i/>
          <w:iCs/>
          <w:sz w:val="22"/>
          <w:szCs w:val="22"/>
        </w:rPr>
      </w:pPr>
      <w:r w:rsidRPr="00612238">
        <w:rPr>
          <w:b/>
          <w:bCs/>
          <w:i/>
          <w:iCs/>
          <w:sz w:val="22"/>
          <w:szCs w:val="22"/>
        </w:rPr>
        <w:t xml:space="preserve">a. </w:t>
      </w:r>
      <w:r w:rsidR="005B0548" w:rsidRPr="00612238">
        <w:rPr>
          <w:b/>
          <w:bCs/>
          <w:i/>
          <w:iCs/>
          <w:sz w:val="22"/>
          <w:szCs w:val="22"/>
        </w:rPr>
        <w:tab/>
      </w:r>
      <w:r w:rsidRPr="00612238">
        <w:rPr>
          <w:b/>
          <w:bCs/>
          <w:i/>
          <w:iCs/>
          <w:sz w:val="22"/>
          <w:szCs w:val="22"/>
        </w:rPr>
        <w:t xml:space="preserve">Impact Assessments and consideration of Indigenous rights </w:t>
      </w:r>
    </w:p>
    <w:p w14:paraId="5D5040AB" w14:textId="77777777" w:rsidR="00C97D1F" w:rsidRPr="00612238" w:rsidRDefault="00C97D1F" w:rsidP="00642927">
      <w:pPr>
        <w:rPr>
          <w:b/>
          <w:bCs/>
          <w:i/>
          <w:iCs/>
          <w:sz w:val="22"/>
          <w:szCs w:val="22"/>
        </w:rPr>
      </w:pPr>
    </w:p>
    <w:p w14:paraId="6E978118" w14:textId="69E0CBBE" w:rsidR="005B0548" w:rsidRPr="00612238" w:rsidRDefault="005B0548" w:rsidP="00642927">
      <w:pPr>
        <w:rPr>
          <w:sz w:val="22"/>
          <w:szCs w:val="22"/>
        </w:rPr>
      </w:pPr>
      <w:r w:rsidRPr="00612238">
        <w:rPr>
          <w:sz w:val="22"/>
          <w:szCs w:val="22"/>
        </w:rPr>
        <w:t xml:space="preserve">A number of impact assessments (IA), led by Canada, are being carried out in the Ring of Fire area. While </w:t>
      </w:r>
      <w:r w:rsidR="00E4769F" w:rsidRPr="00612238">
        <w:rPr>
          <w:sz w:val="22"/>
          <w:szCs w:val="22"/>
        </w:rPr>
        <w:t xml:space="preserve">the Friends of the Attawapiskat river provided comments </w:t>
      </w:r>
      <w:r w:rsidRPr="00612238">
        <w:rPr>
          <w:sz w:val="22"/>
          <w:szCs w:val="22"/>
        </w:rPr>
        <w:t xml:space="preserve">to Canada urging the IAs </w:t>
      </w:r>
      <w:r w:rsidR="00E4769F" w:rsidRPr="00612238">
        <w:rPr>
          <w:sz w:val="22"/>
          <w:szCs w:val="22"/>
        </w:rPr>
        <w:t>promote consultation</w:t>
      </w:r>
      <w:r w:rsidRPr="00612238">
        <w:rPr>
          <w:sz w:val="22"/>
          <w:szCs w:val="22"/>
        </w:rPr>
        <w:t xml:space="preserve"> within communities,</w:t>
      </w:r>
      <w:r w:rsidR="00102FF0" w:rsidRPr="00612238">
        <w:rPr>
          <w:rStyle w:val="FootnoteReference"/>
          <w:sz w:val="22"/>
          <w:szCs w:val="22"/>
        </w:rPr>
        <w:footnoteReference w:id="19"/>
      </w:r>
      <w:r w:rsidRPr="00612238">
        <w:rPr>
          <w:sz w:val="22"/>
          <w:szCs w:val="22"/>
        </w:rPr>
        <w:t xml:space="preserve"> </w:t>
      </w:r>
      <w:r w:rsidR="00E4769F" w:rsidRPr="00612238">
        <w:rPr>
          <w:sz w:val="22"/>
          <w:szCs w:val="22"/>
        </w:rPr>
        <w:t xml:space="preserve"> communities </w:t>
      </w:r>
      <w:r w:rsidR="00834754" w:rsidRPr="00612238">
        <w:rPr>
          <w:sz w:val="22"/>
          <w:szCs w:val="22"/>
        </w:rPr>
        <w:t>remain minimally</w:t>
      </w:r>
      <w:r w:rsidR="00E4769F" w:rsidRPr="00612238">
        <w:rPr>
          <w:sz w:val="22"/>
          <w:szCs w:val="22"/>
        </w:rPr>
        <w:t xml:space="preserve"> consulted</w:t>
      </w:r>
      <w:r w:rsidRPr="00612238">
        <w:rPr>
          <w:sz w:val="22"/>
          <w:szCs w:val="22"/>
        </w:rPr>
        <w:t xml:space="preserve">. This </w:t>
      </w:r>
      <w:r w:rsidR="00834754" w:rsidRPr="00612238">
        <w:rPr>
          <w:sz w:val="22"/>
          <w:szCs w:val="22"/>
        </w:rPr>
        <w:t>means many</w:t>
      </w:r>
      <w:r w:rsidR="00E4769F" w:rsidRPr="00612238">
        <w:rPr>
          <w:sz w:val="22"/>
          <w:szCs w:val="22"/>
        </w:rPr>
        <w:t xml:space="preserve"> community members </w:t>
      </w:r>
      <w:r w:rsidRPr="00612238">
        <w:rPr>
          <w:sz w:val="22"/>
          <w:szCs w:val="22"/>
        </w:rPr>
        <w:t xml:space="preserve">are </w:t>
      </w:r>
      <w:r w:rsidR="00E4769F" w:rsidRPr="00612238">
        <w:rPr>
          <w:sz w:val="22"/>
          <w:szCs w:val="22"/>
        </w:rPr>
        <w:t xml:space="preserve">completely unaware of the thousands of mining claims currently being staked directly upstream </w:t>
      </w:r>
      <w:r w:rsidRPr="00612238">
        <w:rPr>
          <w:sz w:val="22"/>
          <w:szCs w:val="22"/>
        </w:rPr>
        <w:t>of their communities</w:t>
      </w:r>
      <w:r w:rsidR="00E4769F" w:rsidRPr="00612238">
        <w:rPr>
          <w:sz w:val="22"/>
          <w:szCs w:val="22"/>
        </w:rPr>
        <w:t xml:space="preserve">. </w:t>
      </w:r>
    </w:p>
    <w:p w14:paraId="79107B0E" w14:textId="77777777" w:rsidR="005B0548" w:rsidRPr="00612238" w:rsidRDefault="005B0548" w:rsidP="00642927">
      <w:pPr>
        <w:rPr>
          <w:sz w:val="22"/>
          <w:szCs w:val="22"/>
        </w:rPr>
      </w:pPr>
    </w:p>
    <w:p w14:paraId="25542F70" w14:textId="77777777" w:rsidR="00C97D1F" w:rsidRDefault="005B0548" w:rsidP="00642927">
      <w:pPr>
        <w:rPr>
          <w:b/>
          <w:bCs/>
          <w:i/>
          <w:iCs/>
          <w:sz w:val="22"/>
          <w:szCs w:val="22"/>
        </w:rPr>
      </w:pPr>
      <w:r w:rsidRPr="00612238">
        <w:rPr>
          <w:b/>
          <w:bCs/>
          <w:i/>
          <w:iCs/>
          <w:sz w:val="22"/>
          <w:szCs w:val="22"/>
        </w:rPr>
        <w:t xml:space="preserve">b. </w:t>
      </w:r>
      <w:r w:rsidR="00DA19CC" w:rsidRPr="00612238">
        <w:rPr>
          <w:b/>
          <w:bCs/>
          <w:i/>
          <w:iCs/>
          <w:sz w:val="22"/>
          <w:szCs w:val="22"/>
        </w:rPr>
        <w:tab/>
      </w:r>
      <w:r w:rsidRPr="00612238">
        <w:rPr>
          <w:b/>
          <w:bCs/>
          <w:i/>
          <w:iCs/>
          <w:sz w:val="22"/>
          <w:szCs w:val="22"/>
        </w:rPr>
        <w:t>M</w:t>
      </w:r>
      <w:r w:rsidR="00DA19CC" w:rsidRPr="00612238">
        <w:rPr>
          <w:b/>
          <w:bCs/>
          <w:i/>
          <w:iCs/>
          <w:sz w:val="22"/>
          <w:szCs w:val="22"/>
        </w:rPr>
        <w:t>oratorium on mineral claims and exploration</w:t>
      </w:r>
    </w:p>
    <w:p w14:paraId="2F854114" w14:textId="5078C8A3" w:rsidR="00DA19CC" w:rsidRPr="00612238" w:rsidRDefault="00DA19CC" w:rsidP="00642927">
      <w:pPr>
        <w:rPr>
          <w:sz w:val="22"/>
          <w:szCs w:val="22"/>
        </w:rPr>
      </w:pPr>
      <w:r w:rsidRPr="00612238">
        <w:rPr>
          <w:i/>
          <w:iCs/>
          <w:sz w:val="22"/>
          <w:szCs w:val="22"/>
        </w:rPr>
        <w:br/>
      </w:r>
      <w:r w:rsidR="005B0548" w:rsidRPr="00612238">
        <w:rPr>
          <w:i/>
          <w:iCs/>
          <w:sz w:val="22"/>
          <w:szCs w:val="22"/>
        </w:rPr>
        <w:t xml:space="preserve"> </w:t>
      </w:r>
      <w:r w:rsidR="00E4769F" w:rsidRPr="00612238">
        <w:rPr>
          <w:sz w:val="22"/>
          <w:szCs w:val="22"/>
        </w:rPr>
        <w:t xml:space="preserve">The Friends called on the government in November 2020 to stop the approval of mining permits due to </w:t>
      </w:r>
      <w:r w:rsidR="00982453" w:rsidRPr="00612238">
        <w:rPr>
          <w:sz w:val="22"/>
          <w:szCs w:val="22"/>
        </w:rPr>
        <w:t xml:space="preserve">concern over the </w:t>
      </w:r>
      <w:r w:rsidR="00E4769F" w:rsidRPr="00612238">
        <w:rPr>
          <w:sz w:val="22"/>
          <w:szCs w:val="22"/>
        </w:rPr>
        <w:t xml:space="preserve">growing numbers of claims </w:t>
      </w:r>
      <w:r w:rsidR="005A635E" w:rsidRPr="00612238">
        <w:rPr>
          <w:sz w:val="22"/>
          <w:szCs w:val="22"/>
        </w:rPr>
        <w:t xml:space="preserve">being granted </w:t>
      </w:r>
      <w:r w:rsidR="00E4769F" w:rsidRPr="00612238">
        <w:rPr>
          <w:sz w:val="22"/>
          <w:szCs w:val="22"/>
        </w:rPr>
        <w:t xml:space="preserve">without any </w:t>
      </w:r>
      <w:r w:rsidR="00982453" w:rsidRPr="00612238">
        <w:rPr>
          <w:sz w:val="22"/>
          <w:szCs w:val="22"/>
        </w:rPr>
        <w:t>I</w:t>
      </w:r>
      <w:r w:rsidR="00E4769F" w:rsidRPr="00612238">
        <w:rPr>
          <w:sz w:val="22"/>
          <w:szCs w:val="22"/>
        </w:rPr>
        <w:t>ndigenous approval</w:t>
      </w:r>
      <w:r w:rsidR="00102FF0" w:rsidRPr="00612238">
        <w:rPr>
          <w:rStyle w:val="FootnoteReference"/>
          <w:sz w:val="22"/>
          <w:szCs w:val="22"/>
        </w:rPr>
        <w:footnoteReference w:id="20"/>
      </w:r>
      <w:r w:rsidR="00E4769F" w:rsidRPr="00612238">
        <w:rPr>
          <w:sz w:val="22"/>
          <w:szCs w:val="22"/>
        </w:rPr>
        <w:t xml:space="preserve">. With little to no </w:t>
      </w:r>
      <w:r w:rsidR="00982453" w:rsidRPr="00612238">
        <w:rPr>
          <w:sz w:val="22"/>
          <w:szCs w:val="22"/>
        </w:rPr>
        <w:t>I</w:t>
      </w:r>
      <w:r w:rsidR="00E4769F" w:rsidRPr="00612238">
        <w:rPr>
          <w:sz w:val="22"/>
          <w:szCs w:val="22"/>
        </w:rPr>
        <w:t xml:space="preserve">ndigenous engagement, </w:t>
      </w:r>
      <w:r w:rsidR="00982453" w:rsidRPr="00612238">
        <w:rPr>
          <w:sz w:val="22"/>
          <w:szCs w:val="22"/>
        </w:rPr>
        <w:t xml:space="preserve">in February 2021, </w:t>
      </w:r>
      <w:r w:rsidR="00E4769F" w:rsidRPr="00612238">
        <w:rPr>
          <w:sz w:val="22"/>
          <w:szCs w:val="22"/>
        </w:rPr>
        <w:t xml:space="preserve">the </w:t>
      </w:r>
      <w:r w:rsidRPr="00612238">
        <w:rPr>
          <w:sz w:val="22"/>
          <w:szCs w:val="22"/>
        </w:rPr>
        <w:t>Friends</w:t>
      </w:r>
      <w:r w:rsidR="00E4769F" w:rsidRPr="00612238">
        <w:rPr>
          <w:sz w:val="22"/>
          <w:szCs w:val="22"/>
        </w:rPr>
        <w:t xml:space="preserve"> called upon the government yet again for a moratorium on projects in the Ring of Fire until proper environmental assessments and plans were in place to determine the severe environmental and health effects of the projects</w:t>
      </w:r>
      <w:r w:rsidR="00102FF0" w:rsidRPr="00612238">
        <w:rPr>
          <w:rStyle w:val="FootnoteReference"/>
          <w:sz w:val="22"/>
          <w:szCs w:val="22"/>
        </w:rPr>
        <w:footnoteReference w:id="21"/>
      </w:r>
      <w:r w:rsidR="00E4769F" w:rsidRPr="00612238">
        <w:rPr>
          <w:sz w:val="22"/>
          <w:szCs w:val="22"/>
        </w:rPr>
        <w:t xml:space="preserve">. </w:t>
      </w:r>
      <w:r w:rsidRPr="00612238">
        <w:rPr>
          <w:sz w:val="22"/>
          <w:szCs w:val="22"/>
        </w:rPr>
        <w:t>To date, no action has been taken by the government to pause mineral claims and exploration activities</w:t>
      </w:r>
      <w:r w:rsidR="005A635E" w:rsidRPr="00612238">
        <w:rPr>
          <w:sz w:val="22"/>
          <w:szCs w:val="22"/>
        </w:rPr>
        <w:t xml:space="preserve"> nor develop protection plans for this unique and </w:t>
      </w:r>
      <w:r w:rsidR="00D0021C" w:rsidRPr="00612238">
        <w:rPr>
          <w:sz w:val="22"/>
          <w:szCs w:val="22"/>
        </w:rPr>
        <w:t>at-risk</w:t>
      </w:r>
      <w:r w:rsidR="005A635E" w:rsidRPr="00612238">
        <w:rPr>
          <w:sz w:val="22"/>
          <w:szCs w:val="22"/>
        </w:rPr>
        <w:t xml:space="preserve"> region</w:t>
      </w:r>
      <w:r w:rsidR="00107CDA">
        <w:rPr>
          <w:sz w:val="22"/>
          <w:szCs w:val="22"/>
        </w:rPr>
        <w:t>.</w:t>
      </w:r>
    </w:p>
    <w:p w14:paraId="34F324BE" w14:textId="7BD5C44F" w:rsidR="00DA19CC" w:rsidRPr="00612238" w:rsidRDefault="00DA19CC" w:rsidP="00642927">
      <w:pPr>
        <w:rPr>
          <w:sz w:val="22"/>
          <w:szCs w:val="22"/>
        </w:rPr>
      </w:pPr>
    </w:p>
    <w:p w14:paraId="527BF737" w14:textId="77777777" w:rsidR="00C97D1F" w:rsidRDefault="00DA19CC" w:rsidP="00642927">
      <w:pPr>
        <w:rPr>
          <w:b/>
          <w:bCs/>
          <w:i/>
          <w:iCs/>
          <w:sz w:val="22"/>
          <w:szCs w:val="22"/>
        </w:rPr>
      </w:pPr>
      <w:r w:rsidRPr="00612238">
        <w:rPr>
          <w:b/>
          <w:bCs/>
          <w:i/>
          <w:iCs/>
          <w:sz w:val="22"/>
          <w:szCs w:val="22"/>
        </w:rPr>
        <w:t>c.</w:t>
      </w:r>
      <w:r w:rsidRPr="00612238">
        <w:rPr>
          <w:b/>
          <w:bCs/>
          <w:i/>
          <w:iCs/>
          <w:sz w:val="22"/>
          <w:szCs w:val="22"/>
        </w:rPr>
        <w:tab/>
        <w:t>Consultation during the COVID-19 pandemic</w:t>
      </w:r>
    </w:p>
    <w:p w14:paraId="549D33E2" w14:textId="32AA834D" w:rsidR="00DA19CC" w:rsidRDefault="00DA19CC" w:rsidP="00642927">
      <w:pPr>
        <w:rPr>
          <w:sz w:val="22"/>
          <w:szCs w:val="22"/>
        </w:rPr>
      </w:pPr>
      <w:r w:rsidRPr="00612238">
        <w:rPr>
          <w:i/>
          <w:iCs/>
          <w:sz w:val="22"/>
          <w:szCs w:val="22"/>
        </w:rPr>
        <w:br/>
      </w:r>
      <w:r w:rsidRPr="00612238">
        <w:rPr>
          <w:sz w:val="22"/>
          <w:szCs w:val="22"/>
        </w:rPr>
        <w:t>In December 2021, Canada released a draft Agreement which inform</w:t>
      </w:r>
      <w:r w:rsidR="005A635E" w:rsidRPr="00612238">
        <w:rPr>
          <w:sz w:val="22"/>
          <w:szCs w:val="22"/>
        </w:rPr>
        <w:t>s</w:t>
      </w:r>
      <w:r w:rsidRPr="00612238">
        <w:rPr>
          <w:sz w:val="22"/>
          <w:szCs w:val="22"/>
        </w:rPr>
        <w:t xml:space="preserve"> a regional, impact assessment</w:t>
      </w:r>
      <w:r w:rsidR="005A635E" w:rsidRPr="00612238">
        <w:rPr>
          <w:sz w:val="22"/>
          <w:szCs w:val="22"/>
        </w:rPr>
        <w:t xml:space="preserve"> for the Ring of Fire</w:t>
      </w:r>
      <w:r w:rsidRPr="00612238">
        <w:rPr>
          <w:sz w:val="22"/>
          <w:szCs w:val="22"/>
        </w:rPr>
        <w:t>.</w:t>
      </w:r>
      <w:r w:rsidR="005A635E" w:rsidRPr="00612238">
        <w:rPr>
          <w:rStyle w:val="FootnoteReference"/>
          <w:sz w:val="22"/>
          <w:szCs w:val="22"/>
        </w:rPr>
        <w:footnoteReference w:id="22"/>
      </w:r>
      <w:r w:rsidRPr="00612238">
        <w:rPr>
          <w:sz w:val="22"/>
          <w:szCs w:val="22"/>
        </w:rPr>
        <w:t xml:space="preserve"> In the lead up to this, the Friends </w:t>
      </w:r>
      <w:r w:rsidR="005A635E" w:rsidRPr="00612238">
        <w:rPr>
          <w:sz w:val="22"/>
          <w:szCs w:val="22"/>
        </w:rPr>
        <w:t xml:space="preserve">- </w:t>
      </w:r>
      <w:r w:rsidRPr="00612238">
        <w:rPr>
          <w:sz w:val="22"/>
          <w:szCs w:val="22"/>
        </w:rPr>
        <w:t>joined by a number of leading civil society and environmental organizations</w:t>
      </w:r>
      <w:r w:rsidR="005A635E" w:rsidRPr="00612238">
        <w:rPr>
          <w:sz w:val="22"/>
          <w:szCs w:val="22"/>
        </w:rPr>
        <w:t xml:space="preserve"> - </w:t>
      </w:r>
      <w:r w:rsidRPr="00612238">
        <w:rPr>
          <w:sz w:val="22"/>
          <w:szCs w:val="22"/>
        </w:rPr>
        <w:t xml:space="preserve">asked the following </w:t>
      </w:r>
      <w:proofErr w:type="gramStart"/>
      <w:r w:rsidRPr="00612238">
        <w:rPr>
          <w:sz w:val="22"/>
          <w:szCs w:val="22"/>
        </w:rPr>
        <w:t>be</w:t>
      </w:r>
      <w:proofErr w:type="gramEnd"/>
      <w:r w:rsidRPr="00612238">
        <w:rPr>
          <w:sz w:val="22"/>
          <w:szCs w:val="22"/>
        </w:rPr>
        <w:t xml:space="preserve"> prioritized</w:t>
      </w:r>
      <w:r w:rsidR="005A635E" w:rsidRPr="00612238">
        <w:rPr>
          <w:rStyle w:val="FootnoteReference"/>
          <w:sz w:val="22"/>
          <w:szCs w:val="22"/>
        </w:rPr>
        <w:footnoteReference w:id="23"/>
      </w:r>
      <w:r w:rsidRPr="00612238">
        <w:rPr>
          <w:sz w:val="22"/>
          <w:szCs w:val="22"/>
        </w:rPr>
        <w:t xml:space="preserve">: </w:t>
      </w:r>
    </w:p>
    <w:p w14:paraId="71B4AED9" w14:textId="77777777" w:rsidR="00612238" w:rsidRPr="00612238" w:rsidRDefault="00612238" w:rsidP="00642927">
      <w:pPr>
        <w:rPr>
          <w:sz w:val="22"/>
          <w:szCs w:val="22"/>
        </w:rPr>
      </w:pPr>
    </w:p>
    <w:p w14:paraId="2AFB3145" w14:textId="77777777" w:rsidR="00DA19CC" w:rsidRPr="00612238" w:rsidRDefault="00DA19CC" w:rsidP="005B1CE3">
      <w:pPr>
        <w:ind w:left="720"/>
        <w:rPr>
          <w:sz w:val="22"/>
          <w:szCs w:val="22"/>
        </w:rPr>
      </w:pPr>
      <w:r w:rsidRPr="00612238">
        <w:rPr>
          <w:b/>
          <w:bCs/>
          <w:sz w:val="22"/>
          <w:szCs w:val="22"/>
        </w:rPr>
        <w:t>1)</w:t>
      </w:r>
      <w:r w:rsidRPr="00612238">
        <w:rPr>
          <w:sz w:val="22"/>
          <w:szCs w:val="22"/>
        </w:rPr>
        <w:t xml:space="preserve"> Ensure all decision-making and planning is driven by a commitment to advance Indigenous rights of self-determination </w:t>
      </w:r>
    </w:p>
    <w:p w14:paraId="019DFA63" w14:textId="77777777" w:rsidR="00DA19CC" w:rsidRPr="00612238" w:rsidRDefault="00DA19CC" w:rsidP="005B1CE3">
      <w:pPr>
        <w:ind w:left="720"/>
        <w:rPr>
          <w:sz w:val="22"/>
          <w:szCs w:val="22"/>
        </w:rPr>
      </w:pPr>
      <w:r w:rsidRPr="00612238">
        <w:rPr>
          <w:b/>
          <w:bCs/>
          <w:sz w:val="22"/>
          <w:szCs w:val="22"/>
        </w:rPr>
        <w:t>2)</w:t>
      </w:r>
      <w:r w:rsidRPr="00612238">
        <w:rPr>
          <w:sz w:val="22"/>
          <w:szCs w:val="22"/>
        </w:rPr>
        <w:t xml:space="preserve"> Complete an assessment of cumulative impacts, based on both scientific knowledge and Indigenous Knowledge, before authorizing prospecting, exploration, and development activities to safeguard watersheds (including the Attawapiskat, Albany, Ekwan and Winisk), the Hudson Bay Lowland, and critical habitat of boreal caribou ranges </w:t>
      </w:r>
    </w:p>
    <w:p w14:paraId="249B6509" w14:textId="77777777" w:rsidR="00DA19CC" w:rsidRPr="00612238" w:rsidRDefault="00DA19CC" w:rsidP="005B1CE3">
      <w:pPr>
        <w:ind w:left="720"/>
        <w:rPr>
          <w:sz w:val="22"/>
          <w:szCs w:val="22"/>
        </w:rPr>
      </w:pPr>
      <w:r w:rsidRPr="00612238">
        <w:rPr>
          <w:b/>
          <w:bCs/>
          <w:sz w:val="22"/>
          <w:szCs w:val="22"/>
        </w:rPr>
        <w:t>3)</w:t>
      </w:r>
      <w:r w:rsidRPr="00612238">
        <w:rPr>
          <w:sz w:val="22"/>
          <w:szCs w:val="22"/>
        </w:rPr>
        <w:t xml:space="preserve"> Critically review the scope and objectives of the Regional Assessment to ensure the future scenarios include any proposed ferrochrome smelter and processing of other metals that may be extracted from the region </w:t>
      </w:r>
    </w:p>
    <w:p w14:paraId="787FBF2B" w14:textId="77777777" w:rsidR="00DA19CC" w:rsidRPr="00612238" w:rsidRDefault="00DA19CC" w:rsidP="005B1CE3">
      <w:pPr>
        <w:ind w:left="720"/>
        <w:rPr>
          <w:sz w:val="22"/>
          <w:szCs w:val="22"/>
        </w:rPr>
      </w:pPr>
      <w:r w:rsidRPr="00612238">
        <w:rPr>
          <w:b/>
          <w:bCs/>
          <w:sz w:val="22"/>
          <w:szCs w:val="22"/>
        </w:rPr>
        <w:t>4)</w:t>
      </w:r>
      <w:r w:rsidRPr="00612238">
        <w:rPr>
          <w:sz w:val="22"/>
          <w:szCs w:val="22"/>
        </w:rPr>
        <w:t xml:space="preserve"> Address fundamental knowledge gaps, combined with projected scenarios, to identify outcomes which align with Indigenous values and rights, as well as federal and provincial commitments to biodiversity and climate change goals </w:t>
      </w:r>
    </w:p>
    <w:p w14:paraId="57D5C31A" w14:textId="77777777" w:rsidR="00DA19CC" w:rsidRPr="00612238" w:rsidRDefault="00DA19CC" w:rsidP="005B1CE3">
      <w:pPr>
        <w:ind w:left="720"/>
        <w:rPr>
          <w:sz w:val="22"/>
          <w:szCs w:val="22"/>
        </w:rPr>
      </w:pPr>
      <w:r w:rsidRPr="00612238">
        <w:rPr>
          <w:b/>
          <w:bCs/>
          <w:sz w:val="22"/>
          <w:szCs w:val="22"/>
        </w:rPr>
        <w:lastRenderedPageBreak/>
        <w:t>5)</w:t>
      </w:r>
      <w:r w:rsidRPr="00612238">
        <w:rPr>
          <w:sz w:val="22"/>
          <w:szCs w:val="22"/>
        </w:rPr>
        <w:t xml:space="preserve"> Proactively consider mining-induced change and address legacy impacts of current mineral exploration and developments in the Ring Fire on Indigenous rights, including impacts on cultural values, traditional economies, and ecosystems </w:t>
      </w:r>
    </w:p>
    <w:p w14:paraId="3EAAA306" w14:textId="77777777" w:rsidR="00DA19CC" w:rsidRPr="00612238" w:rsidRDefault="00DA19CC" w:rsidP="005B1CE3">
      <w:pPr>
        <w:ind w:left="720"/>
        <w:rPr>
          <w:sz w:val="22"/>
          <w:szCs w:val="22"/>
        </w:rPr>
      </w:pPr>
      <w:r w:rsidRPr="00612238">
        <w:rPr>
          <w:b/>
          <w:bCs/>
          <w:sz w:val="22"/>
          <w:szCs w:val="22"/>
        </w:rPr>
        <w:t>6)</w:t>
      </w:r>
      <w:r w:rsidRPr="00612238">
        <w:rPr>
          <w:sz w:val="22"/>
          <w:szCs w:val="22"/>
        </w:rPr>
        <w:t xml:space="preserve"> Address fundamental knowledge gaps and limitations in policy that result in a piecemeal approach to impact assessment on the environment, Indigenous rights, and the public interest </w:t>
      </w:r>
    </w:p>
    <w:p w14:paraId="333CEA35" w14:textId="77777777" w:rsidR="00DA19CC" w:rsidRPr="00612238" w:rsidRDefault="00DA19CC" w:rsidP="005B1CE3">
      <w:pPr>
        <w:ind w:left="720"/>
        <w:rPr>
          <w:sz w:val="22"/>
          <w:szCs w:val="22"/>
        </w:rPr>
      </w:pPr>
      <w:r w:rsidRPr="00612238">
        <w:rPr>
          <w:b/>
          <w:bCs/>
          <w:sz w:val="22"/>
          <w:szCs w:val="22"/>
        </w:rPr>
        <w:t>7)</w:t>
      </w:r>
      <w:r w:rsidRPr="00612238">
        <w:rPr>
          <w:sz w:val="22"/>
          <w:szCs w:val="22"/>
        </w:rPr>
        <w:t xml:space="preserve"> Undertake a full review of the De Beers Victor diamond mine project, including predicted and actual effects on the social-ecological system in the Attawapiskat River and Hudson Bay Lowland, to fulfill communities’ right to information and to apply “lessons learned” to any proposed future developments  </w:t>
      </w:r>
    </w:p>
    <w:p w14:paraId="6217405A" w14:textId="77777777" w:rsidR="00DA19CC" w:rsidRPr="00612238" w:rsidRDefault="00DA19CC" w:rsidP="00642927">
      <w:pPr>
        <w:rPr>
          <w:sz w:val="22"/>
          <w:szCs w:val="22"/>
        </w:rPr>
      </w:pPr>
    </w:p>
    <w:p w14:paraId="0FAC0587" w14:textId="1EE949A8" w:rsidR="00DA19CC" w:rsidRPr="00612238" w:rsidRDefault="00DA19CC" w:rsidP="00642927">
      <w:pPr>
        <w:rPr>
          <w:sz w:val="22"/>
          <w:szCs w:val="22"/>
        </w:rPr>
      </w:pPr>
      <w:r w:rsidRPr="00612238">
        <w:rPr>
          <w:sz w:val="22"/>
          <w:szCs w:val="22"/>
        </w:rPr>
        <w:t xml:space="preserve">Unfortunately, there is no indication </w:t>
      </w:r>
      <w:r w:rsidR="005A635E" w:rsidRPr="00612238">
        <w:rPr>
          <w:sz w:val="22"/>
          <w:szCs w:val="22"/>
        </w:rPr>
        <w:t xml:space="preserve">at this stage of </w:t>
      </w:r>
      <w:r w:rsidRPr="00612238">
        <w:rPr>
          <w:sz w:val="22"/>
          <w:szCs w:val="22"/>
        </w:rPr>
        <w:t>early engagement</w:t>
      </w:r>
      <w:r w:rsidR="005A635E" w:rsidRPr="00612238">
        <w:rPr>
          <w:sz w:val="22"/>
          <w:szCs w:val="22"/>
        </w:rPr>
        <w:t xml:space="preserve"> on the regional assessment that the </w:t>
      </w:r>
      <w:r w:rsidRPr="00612238">
        <w:rPr>
          <w:sz w:val="22"/>
          <w:szCs w:val="22"/>
        </w:rPr>
        <w:t xml:space="preserve">feedback by the Friends has been taken up. Instead, </w:t>
      </w:r>
      <w:r w:rsidR="005A635E" w:rsidRPr="00612238">
        <w:rPr>
          <w:sz w:val="22"/>
          <w:szCs w:val="22"/>
        </w:rPr>
        <w:t xml:space="preserve">regional </w:t>
      </w:r>
      <w:r w:rsidRPr="00612238">
        <w:rPr>
          <w:sz w:val="22"/>
          <w:szCs w:val="22"/>
        </w:rPr>
        <w:t xml:space="preserve">assessment </w:t>
      </w:r>
      <w:r w:rsidR="00951C0C" w:rsidRPr="00612238">
        <w:rPr>
          <w:sz w:val="22"/>
          <w:szCs w:val="22"/>
        </w:rPr>
        <w:t>places Canada</w:t>
      </w:r>
      <w:r w:rsidRPr="00612238">
        <w:rPr>
          <w:sz w:val="22"/>
          <w:szCs w:val="22"/>
        </w:rPr>
        <w:t xml:space="preserve"> with Ontario as leads, and Indigenous roles being assigned advisory or supportive functions only. Contrary to our suggestions, the assessment also defines the geographic boundary of the assessment by the Ring of Fire mineral deposits, and not the Attawapiskat, Albany, Ekwan</w:t>
      </w:r>
      <w:r w:rsidR="003314EE">
        <w:rPr>
          <w:sz w:val="22"/>
          <w:szCs w:val="22"/>
        </w:rPr>
        <w:t>,</w:t>
      </w:r>
      <w:r w:rsidRPr="00612238">
        <w:rPr>
          <w:sz w:val="22"/>
          <w:szCs w:val="22"/>
        </w:rPr>
        <w:t xml:space="preserve"> and Winisk watersheds. Having a watershed approach is crucial if we are to protect lands and </w:t>
      </w:r>
      <w:r w:rsidR="00951C0C" w:rsidRPr="00612238">
        <w:rPr>
          <w:sz w:val="22"/>
          <w:szCs w:val="22"/>
        </w:rPr>
        <w:t>waters before</w:t>
      </w:r>
      <w:r w:rsidRPr="00612238">
        <w:rPr>
          <w:sz w:val="22"/>
          <w:szCs w:val="22"/>
        </w:rPr>
        <w:t xml:space="preserve"> irreversible damage occurs. Altogether lacking from the regional assessment’s priorities are considerations of protecting Indigenous rights, </w:t>
      </w:r>
      <w:r w:rsidR="00951C0C" w:rsidRPr="00612238">
        <w:rPr>
          <w:sz w:val="22"/>
          <w:szCs w:val="22"/>
        </w:rPr>
        <w:t>biodiversity,</w:t>
      </w:r>
      <w:r w:rsidRPr="00612238">
        <w:rPr>
          <w:sz w:val="22"/>
          <w:szCs w:val="22"/>
        </w:rPr>
        <w:t xml:space="preserve"> and climate.</w:t>
      </w:r>
    </w:p>
    <w:p w14:paraId="4C009855" w14:textId="00062778" w:rsidR="00DA19CC" w:rsidRPr="00612238" w:rsidRDefault="00DA19CC" w:rsidP="00642927">
      <w:pPr>
        <w:rPr>
          <w:sz w:val="22"/>
          <w:szCs w:val="22"/>
        </w:rPr>
      </w:pPr>
    </w:p>
    <w:p w14:paraId="62F49F54" w14:textId="38A6D915" w:rsidR="00982453" w:rsidRPr="00612238" w:rsidRDefault="00FD1175" w:rsidP="00642927">
      <w:pPr>
        <w:rPr>
          <w:b/>
          <w:bCs/>
          <w:sz w:val="22"/>
          <w:szCs w:val="22"/>
        </w:rPr>
      </w:pPr>
      <w:r w:rsidRPr="00612238">
        <w:rPr>
          <w:sz w:val="22"/>
          <w:szCs w:val="22"/>
        </w:rPr>
        <w:t xml:space="preserve">Canada has also chosen to proceed with a time-barred planning process for the regional assessment during the COVID-19 pandemic, when Omicron has forced travel restrictions and </w:t>
      </w:r>
      <w:r w:rsidR="002661AD" w:rsidRPr="00612238">
        <w:rPr>
          <w:sz w:val="22"/>
          <w:szCs w:val="22"/>
        </w:rPr>
        <w:t>lockdowns</w:t>
      </w:r>
      <w:r w:rsidRPr="00612238">
        <w:rPr>
          <w:sz w:val="22"/>
          <w:szCs w:val="22"/>
        </w:rPr>
        <w:t xml:space="preserve"> within Indigenous communities. The Friends communicated this to Canada in a letter, however the request for any change to the </w:t>
      </w:r>
      <w:r w:rsidR="00951C0C" w:rsidRPr="00612238">
        <w:rPr>
          <w:sz w:val="22"/>
          <w:szCs w:val="22"/>
        </w:rPr>
        <w:t>60-day</w:t>
      </w:r>
      <w:r w:rsidRPr="00612238">
        <w:rPr>
          <w:sz w:val="22"/>
          <w:szCs w:val="22"/>
        </w:rPr>
        <w:t xml:space="preserve"> public comment window went unheeded. </w:t>
      </w:r>
      <w:r w:rsidR="00951C0C" w:rsidRPr="00612238">
        <w:rPr>
          <w:sz w:val="22"/>
          <w:szCs w:val="22"/>
        </w:rPr>
        <w:t>Ultimately, Canada</w:t>
      </w:r>
      <w:r w:rsidR="00E4769F" w:rsidRPr="00612238">
        <w:rPr>
          <w:sz w:val="22"/>
          <w:szCs w:val="22"/>
        </w:rPr>
        <w:t xml:space="preserve"> continues to move forward unilaterally</w:t>
      </w:r>
      <w:r w:rsidRPr="00612238">
        <w:rPr>
          <w:sz w:val="22"/>
          <w:szCs w:val="22"/>
        </w:rPr>
        <w:t>, when instead</w:t>
      </w:r>
      <w:r w:rsidR="00DD1E86" w:rsidRPr="00612238">
        <w:rPr>
          <w:sz w:val="22"/>
          <w:szCs w:val="22"/>
        </w:rPr>
        <w:t>,</w:t>
      </w:r>
      <w:r w:rsidRPr="00612238">
        <w:rPr>
          <w:sz w:val="22"/>
          <w:szCs w:val="22"/>
        </w:rPr>
        <w:t xml:space="preserve"> Canada should allow Indigenous peoples to lead a process, in </w:t>
      </w:r>
      <w:r w:rsidR="002661AD" w:rsidRPr="00612238">
        <w:rPr>
          <w:sz w:val="22"/>
          <w:szCs w:val="22"/>
        </w:rPr>
        <w:t>an area</w:t>
      </w:r>
      <w:r w:rsidRPr="00612238">
        <w:rPr>
          <w:sz w:val="22"/>
          <w:szCs w:val="22"/>
        </w:rPr>
        <w:t xml:space="preserve"> which is exclusively occupied by Indigenous communities, to determine the future of their homelands.</w:t>
      </w:r>
    </w:p>
    <w:p w14:paraId="103C608F" w14:textId="77777777" w:rsidR="002661AD" w:rsidRPr="00612238" w:rsidRDefault="002661AD" w:rsidP="00642927">
      <w:pPr>
        <w:rPr>
          <w:b/>
          <w:bCs/>
          <w:sz w:val="22"/>
          <w:szCs w:val="22"/>
        </w:rPr>
      </w:pPr>
    </w:p>
    <w:p w14:paraId="0891BDA0" w14:textId="51644F20" w:rsidR="000D4CB2" w:rsidRPr="00612238" w:rsidRDefault="00FD1175" w:rsidP="00642927">
      <w:pPr>
        <w:rPr>
          <w:b/>
          <w:bCs/>
          <w:sz w:val="22"/>
          <w:szCs w:val="22"/>
        </w:rPr>
      </w:pPr>
      <w:r w:rsidRPr="00612238">
        <w:rPr>
          <w:b/>
          <w:bCs/>
          <w:sz w:val="22"/>
          <w:szCs w:val="22"/>
        </w:rPr>
        <w:t>CONCLUSION</w:t>
      </w:r>
    </w:p>
    <w:p w14:paraId="7C03897F" w14:textId="77777777" w:rsidR="002661AD" w:rsidRPr="00612238" w:rsidRDefault="002661AD" w:rsidP="002661AD">
      <w:pPr>
        <w:rPr>
          <w:b/>
          <w:bCs/>
          <w:sz w:val="22"/>
          <w:szCs w:val="22"/>
        </w:rPr>
      </w:pPr>
    </w:p>
    <w:p w14:paraId="5FBB23F5" w14:textId="567DC30B" w:rsidR="002661AD" w:rsidRPr="00612238" w:rsidRDefault="002661AD" w:rsidP="002661AD">
      <w:pPr>
        <w:rPr>
          <w:sz w:val="22"/>
          <w:szCs w:val="22"/>
        </w:rPr>
      </w:pPr>
      <w:r w:rsidRPr="00612238">
        <w:rPr>
          <w:sz w:val="22"/>
          <w:szCs w:val="22"/>
        </w:rPr>
        <w:t xml:space="preserve">The Friends appreciate this opportunity to provide comments to the Expert Mechanism on Indigenous Rights and would welcome further opportunities to </w:t>
      </w:r>
      <w:r w:rsidR="00655BDB" w:rsidRPr="00612238">
        <w:rPr>
          <w:sz w:val="22"/>
          <w:szCs w:val="22"/>
        </w:rPr>
        <w:t xml:space="preserve">share their </w:t>
      </w:r>
      <w:r w:rsidRPr="00612238">
        <w:rPr>
          <w:sz w:val="22"/>
          <w:szCs w:val="22"/>
        </w:rPr>
        <w:t xml:space="preserve">experience with you. </w:t>
      </w:r>
    </w:p>
    <w:p w14:paraId="4834310E" w14:textId="77777777" w:rsidR="002661AD" w:rsidRPr="00612238" w:rsidRDefault="002661AD" w:rsidP="002661AD">
      <w:pPr>
        <w:rPr>
          <w:sz w:val="22"/>
          <w:szCs w:val="22"/>
        </w:rPr>
      </w:pPr>
    </w:p>
    <w:p w14:paraId="4D658458" w14:textId="77777777" w:rsidR="00CC78AE" w:rsidRDefault="00D726E9" w:rsidP="002661AD">
      <w:pPr>
        <w:rPr>
          <w:sz w:val="22"/>
          <w:szCs w:val="22"/>
        </w:rPr>
      </w:pPr>
      <w:r w:rsidRPr="00612238">
        <w:rPr>
          <w:sz w:val="22"/>
          <w:szCs w:val="22"/>
        </w:rPr>
        <w:t>As the Friends’ most recent petition for Treaty 9 members notes,</w:t>
      </w:r>
      <w:r w:rsidR="002661AD" w:rsidRPr="00612238">
        <w:rPr>
          <w:rStyle w:val="FootnoteReference"/>
          <w:sz w:val="22"/>
          <w:szCs w:val="22"/>
        </w:rPr>
        <w:footnoteReference w:id="24"/>
      </w:r>
      <w:r w:rsidRPr="00612238">
        <w:rPr>
          <w:sz w:val="22"/>
          <w:szCs w:val="22"/>
        </w:rPr>
        <w:t xml:space="preserve"> Canada’s approach</w:t>
      </w:r>
      <w:r w:rsidR="002661AD" w:rsidRPr="00612238">
        <w:rPr>
          <w:sz w:val="22"/>
          <w:szCs w:val="22"/>
        </w:rPr>
        <w:t xml:space="preserve"> on the Ring of Fire</w:t>
      </w:r>
      <w:r w:rsidRPr="00612238">
        <w:rPr>
          <w:sz w:val="22"/>
          <w:szCs w:val="22"/>
        </w:rPr>
        <w:t xml:space="preserve"> stands contrary to the</w:t>
      </w:r>
      <w:r w:rsidR="002661AD" w:rsidRPr="00612238">
        <w:rPr>
          <w:sz w:val="22"/>
          <w:szCs w:val="22"/>
        </w:rPr>
        <w:t xml:space="preserve"> </w:t>
      </w:r>
      <w:r w:rsidRPr="00612238">
        <w:rPr>
          <w:sz w:val="22"/>
          <w:szCs w:val="22"/>
        </w:rPr>
        <w:t xml:space="preserve">principles enshrined in the </w:t>
      </w:r>
      <w:r w:rsidR="00655BDB" w:rsidRPr="00612238">
        <w:rPr>
          <w:sz w:val="22"/>
          <w:szCs w:val="22"/>
        </w:rPr>
        <w:t>UNDRIP</w:t>
      </w:r>
      <w:r w:rsidRPr="00612238">
        <w:rPr>
          <w:sz w:val="22"/>
          <w:szCs w:val="22"/>
        </w:rPr>
        <w:t xml:space="preserve"> which safeguard the individual and collective rights of Indigenous people, imposing a duty on Canada to achieve </w:t>
      </w:r>
      <w:r w:rsidR="00655BDB" w:rsidRPr="00612238">
        <w:rPr>
          <w:sz w:val="22"/>
          <w:szCs w:val="22"/>
        </w:rPr>
        <w:t xml:space="preserve">the </w:t>
      </w:r>
      <w:r w:rsidRPr="00612238">
        <w:rPr>
          <w:sz w:val="22"/>
          <w:szCs w:val="22"/>
        </w:rPr>
        <w:t xml:space="preserve">free, </w:t>
      </w:r>
      <w:proofErr w:type="gramStart"/>
      <w:r w:rsidRPr="00612238">
        <w:rPr>
          <w:sz w:val="22"/>
          <w:szCs w:val="22"/>
        </w:rPr>
        <w:t>prior</w:t>
      </w:r>
      <w:proofErr w:type="gramEnd"/>
      <w:r w:rsidRPr="00612238">
        <w:rPr>
          <w:sz w:val="22"/>
          <w:szCs w:val="22"/>
        </w:rPr>
        <w:t xml:space="preserve"> and informed consent</w:t>
      </w:r>
      <w:r w:rsidR="00655BDB" w:rsidRPr="00612238">
        <w:rPr>
          <w:sz w:val="22"/>
          <w:szCs w:val="22"/>
        </w:rPr>
        <w:t xml:space="preserve"> of Treaty 9 members</w:t>
      </w:r>
      <w:r w:rsidRPr="00612238">
        <w:rPr>
          <w:sz w:val="22"/>
          <w:szCs w:val="22"/>
        </w:rPr>
        <w:t xml:space="preserve"> before any development or use of resources on </w:t>
      </w:r>
      <w:r w:rsidR="00655BDB" w:rsidRPr="00612238">
        <w:rPr>
          <w:sz w:val="22"/>
          <w:szCs w:val="22"/>
        </w:rPr>
        <w:t xml:space="preserve">the </w:t>
      </w:r>
      <w:r w:rsidRPr="00612238">
        <w:rPr>
          <w:sz w:val="22"/>
          <w:szCs w:val="22"/>
        </w:rPr>
        <w:t>land occurs</w:t>
      </w:r>
      <w:r w:rsidR="002661AD" w:rsidRPr="00612238">
        <w:rPr>
          <w:sz w:val="22"/>
          <w:szCs w:val="22"/>
        </w:rPr>
        <w:t xml:space="preserve">. The Friends are among the Indigenous grassroots </w:t>
      </w:r>
      <w:r w:rsidRPr="00612238">
        <w:rPr>
          <w:sz w:val="22"/>
          <w:szCs w:val="22"/>
        </w:rPr>
        <w:t xml:space="preserve">rising up to protect </w:t>
      </w:r>
      <w:r w:rsidR="002661AD" w:rsidRPr="00612238">
        <w:rPr>
          <w:sz w:val="22"/>
          <w:szCs w:val="22"/>
        </w:rPr>
        <w:t>their</w:t>
      </w:r>
      <w:r w:rsidRPr="00612238">
        <w:rPr>
          <w:sz w:val="22"/>
          <w:szCs w:val="22"/>
        </w:rPr>
        <w:t xml:space="preserve"> inherent and Treaty rights promised</w:t>
      </w:r>
      <w:r w:rsidR="002661AD" w:rsidRPr="00612238">
        <w:rPr>
          <w:sz w:val="22"/>
          <w:szCs w:val="22"/>
        </w:rPr>
        <w:t xml:space="preserve"> by Treat</w:t>
      </w:r>
      <w:r w:rsidR="00655BDB" w:rsidRPr="00612238">
        <w:rPr>
          <w:sz w:val="22"/>
          <w:szCs w:val="22"/>
        </w:rPr>
        <w:t>y</w:t>
      </w:r>
      <w:r w:rsidR="002661AD" w:rsidRPr="00612238">
        <w:rPr>
          <w:sz w:val="22"/>
          <w:szCs w:val="22"/>
        </w:rPr>
        <w:t xml:space="preserve"> 9 “for </w:t>
      </w:r>
      <w:r w:rsidRPr="00612238">
        <w:rPr>
          <w:sz w:val="22"/>
          <w:szCs w:val="22"/>
        </w:rPr>
        <w:t>as long as the sun shines, as long as the waters flow, as long as the grass grows, and as long as the winds blow.</w:t>
      </w:r>
      <w:r w:rsidR="003528D9">
        <w:rPr>
          <w:sz w:val="22"/>
          <w:szCs w:val="22"/>
        </w:rPr>
        <w:t>”</w:t>
      </w:r>
    </w:p>
    <w:p w14:paraId="07E8DFE6" w14:textId="229A0E2D" w:rsidR="00DC0A92" w:rsidRPr="00612238" w:rsidRDefault="00D726E9" w:rsidP="002661AD">
      <w:pPr>
        <w:rPr>
          <w:sz w:val="22"/>
          <w:szCs w:val="22"/>
        </w:rPr>
      </w:pPr>
      <w:r w:rsidRPr="00612238">
        <w:rPr>
          <w:sz w:val="22"/>
          <w:szCs w:val="22"/>
        </w:rPr>
        <w:br/>
      </w:r>
      <w:r w:rsidR="002661AD" w:rsidRPr="00612238">
        <w:rPr>
          <w:sz w:val="22"/>
          <w:szCs w:val="22"/>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977"/>
        <w:gridCol w:w="3543"/>
      </w:tblGrid>
      <w:tr w:rsidR="00287DB3" w14:paraId="74C9F852" w14:textId="77777777" w:rsidTr="000E32AE">
        <w:tc>
          <w:tcPr>
            <w:tcW w:w="2830" w:type="dxa"/>
          </w:tcPr>
          <w:p w14:paraId="3495C8D7" w14:textId="24E388F6" w:rsidR="000E32AE" w:rsidRDefault="000E32AE" w:rsidP="000E32AE">
            <w:pPr>
              <w:rPr>
                <w:sz w:val="22"/>
                <w:szCs w:val="22"/>
              </w:rPr>
            </w:pPr>
          </w:p>
          <w:p w14:paraId="480A04D5" w14:textId="77777777" w:rsidR="000454C1" w:rsidRDefault="000454C1" w:rsidP="000E32AE">
            <w:pPr>
              <w:rPr>
                <w:sz w:val="22"/>
                <w:szCs w:val="22"/>
              </w:rPr>
            </w:pPr>
          </w:p>
          <w:p w14:paraId="6ACA79C3" w14:textId="792C53BF" w:rsidR="00287DB3" w:rsidRDefault="000E32AE" w:rsidP="000E32AE">
            <w:pPr>
              <w:rPr>
                <w:sz w:val="22"/>
                <w:szCs w:val="22"/>
              </w:rPr>
            </w:pPr>
            <w:r w:rsidRPr="000454C1">
              <w:rPr>
                <w:b/>
                <w:bCs/>
                <w:sz w:val="22"/>
                <w:szCs w:val="22"/>
              </w:rPr>
              <w:t>M</w:t>
            </w:r>
            <w:r w:rsidR="00287DB3" w:rsidRPr="000454C1">
              <w:rPr>
                <w:b/>
                <w:bCs/>
                <w:sz w:val="22"/>
                <w:szCs w:val="22"/>
              </w:rPr>
              <w:t xml:space="preserve">ichel </w:t>
            </w:r>
            <w:proofErr w:type="spellStart"/>
            <w:r w:rsidR="00287DB3" w:rsidRPr="000454C1">
              <w:rPr>
                <w:b/>
                <w:bCs/>
                <w:sz w:val="22"/>
                <w:szCs w:val="22"/>
              </w:rPr>
              <w:t>Koostachin</w:t>
            </w:r>
            <w:proofErr w:type="spellEnd"/>
            <w:r w:rsidR="00287DB3">
              <w:rPr>
                <w:sz w:val="22"/>
                <w:szCs w:val="22"/>
              </w:rPr>
              <w:br/>
              <w:t>Friends of the Attawapiskat River</w:t>
            </w:r>
          </w:p>
        </w:tc>
        <w:tc>
          <w:tcPr>
            <w:tcW w:w="2977" w:type="dxa"/>
          </w:tcPr>
          <w:p w14:paraId="56B1EFB5" w14:textId="230551A3" w:rsidR="00287DB3" w:rsidRPr="000E32AE" w:rsidRDefault="00287DB3" w:rsidP="002661AD">
            <w:pPr>
              <w:rPr>
                <w:sz w:val="22"/>
                <w:szCs w:val="22"/>
                <w:u w:val="single"/>
              </w:rPr>
            </w:pPr>
          </w:p>
          <w:p w14:paraId="1D3C4489" w14:textId="77777777" w:rsidR="00287DB3" w:rsidRDefault="00287DB3" w:rsidP="002661AD">
            <w:pPr>
              <w:rPr>
                <w:sz w:val="22"/>
                <w:szCs w:val="22"/>
              </w:rPr>
            </w:pPr>
          </w:p>
          <w:p w14:paraId="74AE1F0E" w14:textId="02E07E71" w:rsidR="00287DB3" w:rsidRDefault="00287DB3" w:rsidP="002661AD">
            <w:pPr>
              <w:rPr>
                <w:sz w:val="22"/>
                <w:szCs w:val="22"/>
              </w:rPr>
            </w:pPr>
            <w:r w:rsidRPr="000454C1">
              <w:rPr>
                <w:b/>
                <w:bCs/>
                <w:sz w:val="22"/>
                <w:szCs w:val="22"/>
              </w:rPr>
              <w:t>Kerrie Blaise</w:t>
            </w:r>
            <w:r w:rsidR="000454C1">
              <w:rPr>
                <w:sz w:val="22"/>
                <w:szCs w:val="22"/>
              </w:rPr>
              <w:br/>
            </w:r>
            <w:r>
              <w:rPr>
                <w:sz w:val="22"/>
                <w:szCs w:val="22"/>
              </w:rPr>
              <w:t>Legal Counsel</w:t>
            </w:r>
            <w:r>
              <w:rPr>
                <w:sz w:val="22"/>
                <w:szCs w:val="22"/>
              </w:rPr>
              <w:br/>
              <w:t>Canadian Environmental Law Association</w:t>
            </w:r>
          </w:p>
        </w:tc>
        <w:tc>
          <w:tcPr>
            <w:tcW w:w="3543" w:type="dxa"/>
          </w:tcPr>
          <w:p w14:paraId="323CA827" w14:textId="77777777" w:rsidR="000454C1" w:rsidRDefault="000454C1" w:rsidP="000454C1">
            <w:pPr>
              <w:rPr>
                <w:sz w:val="22"/>
                <w:szCs w:val="22"/>
              </w:rPr>
            </w:pPr>
          </w:p>
          <w:p w14:paraId="48F45003" w14:textId="77777777" w:rsidR="000454C1" w:rsidRDefault="000454C1" w:rsidP="000454C1">
            <w:pPr>
              <w:rPr>
                <w:sz w:val="22"/>
                <w:szCs w:val="22"/>
              </w:rPr>
            </w:pPr>
          </w:p>
          <w:p w14:paraId="56EA479B" w14:textId="60847A45" w:rsidR="00287DB3" w:rsidRDefault="00287DB3" w:rsidP="000454C1">
            <w:pPr>
              <w:rPr>
                <w:sz w:val="22"/>
                <w:szCs w:val="22"/>
              </w:rPr>
            </w:pPr>
            <w:r w:rsidRPr="000454C1">
              <w:rPr>
                <w:b/>
                <w:bCs/>
                <w:sz w:val="22"/>
                <w:szCs w:val="22"/>
              </w:rPr>
              <w:t>Adam Meadows</w:t>
            </w:r>
            <w:r w:rsidR="000454C1">
              <w:rPr>
                <w:sz w:val="22"/>
                <w:szCs w:val="22"/>
              </w:rPr>
              <w:br/>
            </w:r>
            <w:r w:rsidRPr="000454C1">
              <w:rPr>
                <w:sz w:val="22"/>
                <w:szCs w:val="22"/>
              </w:rPr>
              <w:t>JD Candidate 2023</w:t>
            </w:r>
            <w:r w:rsidR="000454C1">
              <w:rPr>
                <w:sz w:val="22"/>
                <w:szCs w:val="22"/>
              </w:rPr>
              <w:t xml:space="preserve">, </w:t>
            </w:r>
            <w:r>
              <w:rPr>
                <w:sz w:val="22"/>
                <w:szCs w:val="22"/>
              </w:rPr>
              <w:t>Osgoode Hall Law School</w:t>
            </w:r>
            <w:r w:rsidR="000454C1">
              <w:rPr>
                <w:sz w:val="22"/>
                <w:szCs w:val="22"/>
              </w:rPr>
              <w:br/>
            </w:r>
            <w:r>
              <w:rPr>
                <w:sz w:val="22"/>
                <w:szCs w:val="22"/>
              </w:rPr>
              <w:t>Intensive Program on Indigenous Lands, Resources and Government</w:t>
            </w:r>
          </w:p>
        </w:tc>
      </w:tr>
    </w:tbl>
    <w:p w14:paraId="3FE74312" w14:textId="77777777" w:rsidR="00287DB3" w:rsidRPr="00612238" w:rsidRDefault="00287DB3" w:rsidP="003528D9">
      <w:pPr>
        <w:rPr>
          <w:sz w:val="22"/>
          <w:szCs w:val="22"/>
        </w:rPr>
      </w:pPr>
    </w:p>
    <w:sectPr w:rsidR="00287DB3" w:rsidRPr="00612238" w:rsidSect="00612238">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A0DE" w14:textId="77777777" w:rsidR="0047415E" w:rsidRDefault="0047415E" w:rsidP="00EA7565">
      <w:r>
        <w:separator/>
      </w:r>
    </w:p>
  </w:endnote>
  <w:endnote w:type="continuationSeparator" w:id="0">
    <w:p w14:paraId="2DEACC90" w14:textId="77777777" w:rsidR="0047415E" w:rsidRDefault="0047415E" w:rsidP="00E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Yi">
    <w:altName w:val="Noto Sans Yi"/>
    <w:charset w:val="00"/>
    <w:family w:val="swiss"/>
    <w:pitch w:val="variable"/>
    <w:sig w:usb0="00000003" w:usb1="00050000" w:usb2="0008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5064" w14:textId="77777777" w:rsidR="0047415E" w:rsidRDefault="0047415E" w:rsidP="00EA7565">
      <w:r>
        <w:separator/>
      </w:r>
    </w:p>
  </w:footnote>
  <w:footnote w:type="continuationSeparator" w:id="0">
    <w:p w14:paraId="18B965A9" w14:textId="77777777" w:rsidR="0047415E" w:rsidRDefault="0047415E" w:rsidP="00EA7565">
      <w:r>
        <w:continuationSeparator/>
      </w:r>
    </w:p>
  </w:footnote>
  <w:footnote w:id="1">
    <w:p w14:paraId="2C061D87" w14:textId="6AAFF97D" w:rsidR="00C97D1F" w:rsidRPr="00C97D1F" w:rsidRDefault="00C97D1F">
      <w:pPr>
        <w:pStyle w:val="FootnoteText"/>
        <w:rPr>
          <w:rFonts w:ascii="Times New Roman" w:hAnsi="Times New Roman" w:cs="Times New Roman"/>
          <w:lang w:val="en-CA"/>
        </w:rPr>
      </w:pPr>
      <w:r w:rsidRPr="00C97D1F">
        <w:rPr>
          <w:rStyle w:val="FootnoteReference"/>
          <w:rFonts w:ascii="Times New Roman" w:hAnsi="Times New Roman" w:cs="Times New Roman"/>
        </w:rPr>
        <w:footnoteRef/>
      </w:r>
      <w:r w:rsidRPr="00C97D1F">
        <w:rPr>
          <w:rFonts w:ascii="Times New Roman" w:hAnsi="Times New Roman" w:cs="Times New Roman"/>
        </w:rPr>
        <w:t xml:space="preserve"> CELA is an environmental, legal aid clinic, founded in 1970. Our </w:t>
      </w:r>
      <w:r>
        <w:rPr>
          <w:rFonts w:ascii="Times New Roman" w:hAnsi="Times New Roman" w:cs="Times New Roman"/>
        </w:rPr>
        <w:t xml:space="preserve">advocacy on behalf of the </w:t>
      </w:r>
      <w:r w:rsidRPr="00C97D1F">
        <w:rPr>
          <w:rFonts w:ascii="Times New Roman" w:hAnsi="Times New Roman" w:cs="Times New Roman"/>
        </w:rPr>
        <w:t xml:space="preserve">Friends is available online: </w:t>
      </w:r>
      <w:hyperlink r:id="rId1" w:history="1">
        <w:r w:rsidRPr="00596EE2">
          <w:rPr>
            <w:rStyle w:val="Hyperlink"/>
            <w:rFonts w:ascii="Times New Roman" w:hAnsi="Times New Roman" w:cs="Times New Roman"/>
          </w:rPr>
          <w:t>https://cela.ca/casework-mining-justice-and-indigenous-rights/</w:t>
        </w:r>
      </w:hyperlink>
      <w:r>
        <w:rPr>
          <w:rFonts w:ascii="Times New Roman" w:hAnsi="Times New Roman" w:cs="Times New Roman"/>
          <w:lang w:val="en-CA"/>
        </w:rPr>
        <w:t xml:space="preserve"> </w:t>
      </w:r>
    </w:p>
  </w:footnote>
  <w:footnote w:id="2">
    <w:p w14:paraId="4482B798" w14:textId="77777777" w:rsidR="006D51D1" w:rsidRPr="00655BDB" w:rsidRDefault="006D51D1" w:rsidP="006D51D1">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lang w:val="en-CA"/>
        </w:rPr>
        <w:t xml:space="preserve">Online: </w:t>
      </w:r>
      <w:hyperlink r:id="rId2" w:history="1">
        <w:r w:rsidRPr="00655BDB">
          <w:rPr>
            <w:rStyle w:val="Hyperlink"/>
            <w:rFonts w:ascii="Times New Roman" w:hAnsi="Times New Roman" w:cs="Times New Roman"/>
            <w:lang w:val="en-CA"/>
          </w:rPr>
          <w:t>https://attawapiskatriverprotectors.com/</w:t>
        </w:r>
      </w:hyperlink>
      <w:r w:rsidRPr="00655BDB">
        <w:rPr>
          <w:rFonts w:ascii="Times New Roman" w:hAnsi="Times New Roman" w:cs="Times New Roman"/>
          <w:lang w:val="en-CA"/>
        </w:rPr>
        <w:t xml:space="preserve"> </w:t>
      </w:r>
    </w:p>
  </w:footnote>
  <w:footnote w:id="3">
    <w:p w14:paraId="62A6EFA1" w14:textId="50730F50" w:rsidR="00253DA1" w:rsidRPr="00655BDB" w:rsidRDefault="006D51D1" w:rsidP="006D51D1">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lang w:val="en-CA"/>
        </w:rPr>
        <w:t xml:space="preserve">Online: </w:t>
      </w:r>
      <w:hyperlink r:id="rId3" w:history="1">
        <w:r w:rsidR="00D94CC0" w:rsidRPr="00596EE2">
          <w:rPr>
            <w:rStyle w:val="Hyperlink"/>
            <w:rFonts w:ascii="Times New Roman" w:hAnsi="Times New Roman" w:cs="Times New Roman"/>
            <w:lang w:val="en-CA"/>
          </w:rPr>
          <w:t>https://www.ohchr.org/EN/Issue</w:t>
        </w:r>
        <w:r w:rsidR="00D94CC0" w:rsidRPr="00596EE2">
          <w:rPr>
            <w:rStyle w:val="Hyperlink"/>
            <w:rFonts w:ascii="Times New Roman" w:hAnsi="Times New Roman" w:cs="Times New Roman"/>
            <w:lang w:val="en-CA"/>
          </w:rPr>
          <w:t>s</w:t>
        </w:r>
        <w:r w:rsidR="00D94CC0" w:rsidRPr="00596EE2">
          <w:rPr>
            <w:rStyle w:val="Hyperlink"/>
            <w:rFonts w:ascii="Times New Roman" w:hAnsi="Times New Roman" w:cs="Times New Roman"/>
            <w:lang w:val="en-CA"/>
          </w:rPr>
          <w:t>/IPeoples/EMRIP/Pages/Treaties-Constructive-Agreements.aspx</w:t>
        </w:r>
      </w:hyperlink>
      <w:r w:rsidR="00D94CC0">
        <w:rPr>
          <w:rFonts w:ascii="Times New Roman" w:hAnsi="Times New Roman" w:cs="Times New Roman"/>
          <w:lang w:val="en-CA"/>
        </w:rPr>
        <w:t xml:space="preserve"> </w:t>
      </w:r>
    </w:p>
  </w:footnote>
  <w:footnote w:id="4">
    <w:p w14:paraId="7CC54B12" w14:textId="77777777" w:rsidR="00C31FC7" w:rsidRPr="00655BDB" w:rsidRDefault="00C31FC7" w:rsidP="00C31FC7">
      <w:pPr>
        <w:autoSpaceDE w:val="0"/>
        <w:autoSpaceDN w:val="0"/>
        <w:adjustRightInd w:val="0"/>
        <w:rPr>
          <w:color w:val="212529"/>
          <w:sz w:val="20"/>
          <w:szCs w:val="20"/>
        </w:rPr>
      </w:pPr>
      <w:r w:rsidRPr="00655BDB">
        <w:rPr>
          <w:rStyle w:val="FootnoteReference"/>
          <w:sz w:val="20"/>
          <w:szCs w:val="20"/>
        </w:rPr>
        <w:footnoteRef/>
      </w:r>
      <w:r w:rsidRPr="00655BDB">
        <w:rPr>
          <w:sz w:val="20"/>
          <w:szCs w:val="20"/>
        </w:rPr>
        <w:t xml:space="preserve"> </w:t>
      </w:r>
      <w:r w:rsidRPr="00655BDB">
        <w:rPr>
          <w:color w:val="212529"/>
          <w:sz w:val="20"/>
          <w:szCs w:val="20"/>
        </w:rPr>
        <w:t>Scott et al. "Synthesis Report: Implementing a Regional, Indigenous-Led and Sustainability-Informed Impact</w:t>
      </w:r>
    </w:p>
    <w:p w14:paraId="37DDE587" w14:textId="77777777" w:rsidR="00C31FC7" w:rsidRPr="00655BDB" w:rsidRDefault="00C31FC7" w:rsidP="00C31FC7">
      <w:pPr>
        <w:pStyle w:val="FootnoteText"/>
        <w:rPr>
          <w:rFonts w:ascii="Times New Roman" w:hAnsi="Times New Roman" w:cs="Times New Roman"/>
          <w:lang w:val="en-CA"/>
        </w:rPr>
      </w:pPr>
      <w:r w:rsidRPr="00655BDB">
        <w:rPr>
          <w:rFonts w:ascii="Times New Roman" w:hAnsi="Times New Roman" w:cs="Times New Roman"/>
          <w:color w:val="212529"/>
        </w:rPr>
        <w:t xml:space="preserve">Assessment in Ontario’ Ring of Fire” (2020) </w:t>
      </w:r>
      <w:proofErr w:type="spellStart"/>
      <w:r w:rsidRPr="00655BDB">
        <w:rPr>
          <w:rFonts w:ascii="Times New Roman" w:hAnsi="Times New Roman" w:cs="Times New Roman"/>
          <w:color w:val="212529"/>
        </w:rPr>
        <w:t>Osgoode</w:t>
      </w:r>
      <w:proofErr w:type="spellEnd"/>
      <w:r w:rsidRPr="00655BDB">
        <w:rPr>
          <w:rFonts w:ascii="Times New Roman" w:hAnsi="Times New Roman" w:cs="Times New Roman"/>
          <w:color w:val="212529"/>
        </w:rPr>
        <w:t xml:space="preserve"> Digital Commons 2807.</w:t>
      </w:r>
    </w:p>
  </w:footnote>
  <w:footnote w:id="5">
    <w:p w14:paraId="56BB4CC6" w14:textId="77777777" w:rsidR="00C31FC7" w:rsidRPr="00655BDB" w:rsidRDefault="00C31FC7" w:rsidP="00C31FC7">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i/>
          <w:iCs/>
        </w:rPr>
        <w:t>Ibid</w:t>
      </w:r>
      <w:r w:rsidRPr="00655BDB">
        <w:rPr>
          <w:rFonts w:ascii="Times New Roman" w:hAnsi="Times New Roman" w:cs="Times New Roman"/>
        </w:rPr>
        <w:t xml:space="preserve"> at 3.</w:t>
      </w:r>
    </w:p>
  </w:footnote>
  <w:footnote w:id="6">
    <w:p w14:paraId="149B7018" w14:textId="76D00310" w:rsidR="00BC2196" w:rsidRPr="00655BDB" w:rsidRDefault="00BC2196" w:rsidP="00951C0C">
      <w:pPr>
        <w:rPr>
          <w:sz w:val="20"/>
          <w:szCs w:val="20"/>
        </w:rPr>
      </w:pPr>
      <w:r w:rsidRPr="00655BDB">
        <w:rPr>
          <w:rStyle w:val="FootnoteReference"/>
          <w:sz w:val="20"/>
          <w:szCs w:val="20"/>
        </w:rPr>
        <w:footnoteRef/>
      </w:r>
      <w:r w:rsidRPr="00655BDB">
        <w:rPr>
          <w:sz w:val="20"/>
          <w:szCs w:val="20"/>
        </w:rPr>
        <w:t xml:space="preserve"> </w:t>
      </w:r>
      <w:r w:rsidRPr="00655BDB">
        <w:rPr>
          <w:color w:val="212529"/>
          <w:sz w:val="20"/>
          <w:szCs w:val="20"/>
          <w:shd w:val="clear" w:color="auto" w:fill="FFFFFF"/>
          <w:lang w:val="en-US"/>
        </w:rPr>
        <w:t xml:space="preserve">Sharon H. </w:t>
      </w:r>
      <w:proofErr w:type="spellStart"/>
      <w:r w:rsidRPr="00655BDB">
        <w:rPr>
          <w:color w:val="212529"/>
          <w:sz w:val="20"/>
          <w:szCs w:val="20"/>
          <w:shd w:val="clear" w:color="auto" w:fill="FFFFFF"/>
          <w:lang w:val="en-US"/>
        </w:rPr>
        <w:t>Venne</w:t>
      </w:r>
      <w:proofErr w:type="spellEnd"/>
      <w:r w:rsidRPr="00655BDB">
        <w:rPr>
          <w:color w:val="212529"/>
          <w:sz w:val="20"/>
          <w:szCs w:val="20"/>
          <w:shd w:val="clear" w:color="auto" w:fill="FFFFFF"/>
          <w:lang w:val="en-US"/>
        </w:rPr>
        <w:t xml:space="preserve">, </w:t>
      </w:r>
      <w:r w:rsidR="00E90B91">
        <w:rPr>
          <w:color w:val="212529"/>
          <w:sz w:val="20"/>
          <w:szCs w:val="20"/>
          <w:shd w:val="clear" w:color="auto" w:fill="FFFFFF"/>
          <w:lang w:val="en-US"/>
        </w:rPr>
        <w:t>“</w:t>
      </w:r>
      <w:r w:rsidRPr="00655BDB">
        <w:rPr>
          <w:color w:val="212529"/>
          <w:sz w:val="20"/>
          <w:szCs w:val="20"/>
          <w:shd w:val="clear" w:color="auto" w:fill="FFFFFF"/>
          <w:lang w:val="en-US"/>
        </w:rPr>
        <w:t>Treaties Made in Good Faith</w:t>
      </w:r>
      <w:r w:rsidR="00E90B91">
        <w:rPr>
          <w:color w:val="212529"/>
          <w:sz w:val="20"/>
          <w:szCs w:val="20"/>
          <w:shd w:val="clear" w:color="auto" w:fill="FFFFFF"/>
          <w:lang w:val="en-US"/>
        </w:rPr>
        <w:t>,”</w:t>
      </w:r>
      <w:r w:rsidRPr="00655BDB">
        <w:rPr>
          <w:color w:val="212529"/>
          <w:sz w:val="20"/>
          <w:szCs w:val="20"/>
          <w:shd w:val="clear" w:color="auto" w:fill="FFFFFF"/>
          <w:lang w:val="en-US"/>
        </w:rPr>
        <w:t> </w:t>
      </w:r>
      <w:r w:rsidRPr="00655BDB">
        <w:rPr>
          <w:i/>
          <w:iCs/>
          <w:color w:val="212529"/>
          <w:sz w:val="20"/>
          <w:szCs w:val="20"/>
          <w:shd w:val="clear" w:color="auto" w:fill="FFFFFF"/>
          <w:lang w:val="en-US"/>
        </w:rPr>
        <w:t xml:space="preserve">Canadian Review of Comparative Literature/Revue Canadienne de </w:t>
      </w:r>
      <w:proofErr w:type="spellStart"/>
      <w:r w:rsidRPr="00655BDB">
        <w:rPr>
          <w:i/>
          <w:iCs/>
          <w:color w:val="212529"/>
          <w:sz w:val="20"/>
          <w:szCs w:val="20"/>
          <w:shd w:val="clear" w:color="auto" w:fill="FFFFFF"/>
          <w:lang w:val="en-US"/>
        </w:rPr>
        <w:t>Littérature</w:t>
      </w:r>
      <w:proofErr w:type="spellEnd"/>
      <w:r w:rsidRPr="00655BDB">
        <w:rPr>
          <w:i/>
          <w:iCs/>
          <w:color w:val="212529"/>
          <w:sz w:val="20"/>
          <w:szCs w:val="20"/>
          <w:shd w:val="clear" w:color="auto" w:fill="FFFFFF"/>
          <w:lang w:val="en-US"/>
        </w:rPr>
        <w:t xml:space="preserve"> </w:t>
      </w:r>
      <w:proofErr w:type="spellStart"/>
      <w:r w:rsidRPr="00655BDB">
        <w:rPr>
          <w:i/>
          <w:iCs/>
          <w:color w:val="212529"/>
          <w:sz w:val="20"/>
          <w:szCs w:val="20"/>
          <w:shd w:val="clear" w:color="auto" w:fill="FFFFFF"/>
          <w:lang w:val="en-US"/>
        </w:rPr>
        <w:t>Comparée</w:t>
      </w:r>
      <w:proofErr w:type="spellEnd"/>
      <w:r w:rsidRPr="00655BDB">
        <w:rPr>
          <w:i/>
          <w:iCs/>
          <w:color w:val="212529"/>
          <w:sz w:val="20"/>
          <w:szCs w:val="20"/>
          <w:shd w:val="clear" w:color="auto" w:fill="FFFFFF"/>
          <w:lang w:val="en-US"/>
        </w:rPr>
        <w:t> </w:t>
      </w:r>
      <w:r w:rsidRPr="00655BDB">
        <w:rPr>
          <w:color w:val="212529"/>
          <w:sz w:val="20"/>
          <w:szCs w:val="20"/>
          <w:shd w:val="clear" w:color="auto" w:fill="FFFFFF"/>
          <w:lang w:val="en-US"/>
        </w:rPr>
        <w:t>34, no. 1 (2011)</w:t>
      </w:r>
    </w:p>
  </w:footnote>
  <w:footnote w:id="7">
    <w:p w14:paraId="58CC80B8" w14:textId="5B0BECD6" w:rsidR="00CC4932" w:rsidRPr="00655BDB" w:rsidRDefault="00CC4932" w:rsidP="00CC4932">
      <w:pPr>
        <w:rPr>
          <w:sz w:val="20"/>
          <w:szCs w:val="20"/>
        </w:rPr>
      </w:pPr>
      <w:r w:rsidRPr="00655BDB">
        <w:rPr>
          <w:rStyle w:val="FootnoteReference"/>
          <w:sz w:val="20"/>
          <w:szCs w:val="20"/>
        </w:rPr>
        <w:footnoteRef/>
      </w:r>
      <w:r w:rsidRPr="00655BDB">
        <w:rPr>
          <w:sz w:val="20"/>
          <w:szCs w:val="20"/>
        </w:rPr>
        <w:t xml:space="preserve"> </w:t>
      </w:r>
      <w:r w:rsidRPr="00655BDB">
        <w:rPr>
          <w:color w:val="212529"/>
          <w:sz w:val="20"/>
          <w:szCs w:val="20"/>
          <w:shd w:val="clear" w:color="auto" w:fill="FFFFFF"/>
        </w:rPr>
        <w:t>John Borrows, "Wampum at Niagara: The Royal Proclamation," </w:t>
      </w:r>
      <w:r w:rsidRPr="00655BDB">
        <w:rPr>
          <w:i/>
          <w:iCs/>
          <w:color w:val="212529"/>
          <w:sz w:val="20"/>
          <w:szCs w:val="20"/>
          <w:shd w:val="clear" w:color="auto" w:fill="FFFFFF"/>
        </w:rPr>
        <w:t>Canadian Legal History.</w:t>
      </w:r>
    </w:p>
  </w:footnote>
  <w:footnote w:id="8">
    <w:p w14:paraId="0735FF88" w14:textId="4826A242" w:rsidR="00CC4932" w:rsidRPr="00655BDB" w:rsidRDefault="00CC4932">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i/>
          <w:iCs/>
          <w:lang w:val="en-CA"/>
        </w:rPr>
        <w:t>Ibid.</w:t>
      </w:r>
    </w:p>
  </w:footnote>
  <w:footnote w:id="9">
    <w:p w14:paraId="5D6EB2F5" w14:textId="643966EE" w:rsidR="00CC4932" w:rsidRPr="00655BDB" w:rsidRDefault="00CC4932">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i/>
          <w:iCs/>
        </w:rPr>
        <w:t>Supra</w:t>
      </w:r>
      <w:r w:rsidRPr="00655BDB">
        <w:rPr>
          <w:rFonts w:ascii="Times New Roman" w:hAnsi="Times New Roman" w:cs="Times New Roman"/>
        </w:rPr>
        <w:t xml:space="preserve"> note </w:t>
      </w:r>
      <w:r w:rsidR="00DD1E86" w:rsidRPr="00655BDB">
        <w:rPr>
          <w:rFonts w:ascii="Times New Roman" w:hAnsi="Times New Roman" w:cs="Times New Roman"/>
        </w:rPr>
        <w:t>10</w:t>
      </w:r>
      <w:r w:rsidRPr="00655BDB">
        <w:rPr>
          <w:rFonts w:ascii="Times New Roman" w:hAnsi="Times New Roman" w:cs="Times New Roman"/>
        </w:rPr>
        <w:t>.</w:t>
      </w:r>
    </w:p>
  </w:footnote>
  <w:footnote w:id="10">
    <w:p w14:paraId="075B53C7" w14:textId="4A6D5CD6" w:rsidR="00D04A40" w:rsidRPr="00655BDB" w:rsidRDefault="00D04A40">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i/>
          <w:iCs/>
        </w:rPr>
        <w:t>Supra</w:t>
      </w:r>
      <w:r w:rsidRPr="00655BDB">
        <w:rPr>
          <w:rFonts w:ascii="Times New Roman" w:hAnsi="Times New Roman" w:cs="Times New Roman"/>
        </w:rPr>
        <w:t xml:space="preserve"> note </w:t>
      </w:r>
      <w:r w:rsidR="00DD1E86" w:rsidRPr="00655BDB">
        <w:rPr>
          <w:rFonts w:ascii="Times New Roman" w:hAnsi="Times New Roman" w:cs="Times New Roman"/>
        </w:rPr>
        <w:t>10</w:t>
      </w:r>
      <w:r w:rsidRPr="00655BDB">
        <w:rPr>
          <w:rFonts w:ascii="Times New Roman" w:hAnsi="Times New Roman" w:cs="Times New Roman"/>
        </w:rPr>
        <w:t>.</w:t>
      </w:r>
    </w:p>
  </w:footnote>
  <w:footnote w:id="11">
    <w:p w14:paraId="0F4B8FD3" w14:textId="77777777" w:rsidR="00EB67ED" w:rsidRPr="00655BDB" w:rsidRDefault="00EB67ED" w:rsidP="00EB67ED">
      <w:pPr>
        <w:rPr>
          <w:sz w:val="20"/>
          <w:szCs w:val="20"/>
        </w:rPr>
      </w:pPr>
      <w:r w:rsidRPr="00655BDB">
        <w:rPr>
          <w:rStyle w:val="FootnoteReference"/>
          <w:sz w:val="20"/>
          <w:szCs w:val="20"/>
        </w:rPr>
        <w:footnoteRef/>
      </w:r>
      <w:r w:rsidRPr="00655BDB">
        <w:rPr>
          <w:sz w:val="20"/>
          <w:szCs w:val="20"/>
        </w:rPr>
        <w:t xml:space="preserve"> </w:t>
      </w:r>
      <w:r w:rsidRPr="00655BDB">
        <w:rPr>
          <w:i/>
          <w:iCs/>
          <w:color w:val="000000"/>
          <w:sz w:val="20"/>
          <w:szCs w:val="20"/>
        </w:rPr>
        <w:t>Marshall,</w:t>
      </w:r>
      <w:r w:rsidRPr="00655BDB">
        <w:rPr>
          <w:color w:val="000000"/>
          <w:sz w:val="20"/>
          <w:szCs w:val="20"/>
        </w:rPr>
        <w:t xml:space="preserve"> at para 78.</w:t>
      </w:r>
    </w:p>
  </w:footnote>
  <w:footnote w:id="12">
    <w:p w14:paraId="60D93E88" w14:textId="77777777" w:rsidR="00EB67ED" w:rsidRPr="00655BDB" w:rsidRDefault="00EB67ED" w:rsidP="00EB67ED">
      <w:pPr>
        <w:rPr>
          <w:sz w:val="20"/>
          <w:szCs w:val="20"/>
        </w:rPr>
      </w:pPr>
      <w:r w:rsidRPr="00655BDB">
        <w:rPr>
          <w:rStyle w:val="FootnoteReference"/>
          <w:sz w:val="20"/>
          <w:szCs w:val="20"/>
        </w:rPr>
        <w:footnoteRef/>
      </w:r>
      <w:r w:rsidRPr="00655BDB">
        <w:rPr>
          <w:sz w:val="20"/>
          <w:szCs w:val="20"/>
        </w:rPr>
        <w:t xml:space="preserve"> </w:t>
      </w:r>
      <w:r w:rsidRPr="00655BDB">
        <w:rPr>
          <w:i/>
          <w:iCs/>
          <w:color w:val="000000"/>
          <w:sz w:val="20"/>
          <w:szCs w:val="20"/>
        </w:rPr>
        <w:t>Delgamuukw v. British Columbia</w:t>
      </w:r>
      <w:r w:rsidRPr="00655BDB">
        <w:rPr>
          <w:color w:val="000000"/>
          <w:sz w:val="20"/>
          <w:szCs w:val="20"/>
        </w:rPr>
        <w:t>, 1997 3 SCR 1010, at para 87.</w:t>
      </w:r>
    </w:p>
  </w:footnote>
  <w:footnote w:id="13">
    <w:p w14:paraId="0940E00B" w14:textId="77777777" w:rsidR="00EB67ED" w:rsidRPr="00655BDB" w:rsidRDefault="00EB67ED" w:rsidP="00EB67ED">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lang w:val="en-CA"/>
        </w:rPr>
        <w:t>Coyle &amp; Borrows, (2017) at p 8.</w:t>
      </w:r>
    </w:p>
  </w:footnote>
  <w:footnote w:id="14">
    <w:p w14:paraId="5C64CB66" w14:textId="77777777" w:rsidR="00EB67ED" w:rsidRPr="00655BDB" w:rsidRDefault="00EB67ED" w:rsidP="00EB67ED">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i/>
          <w:iCs/>
        </w:rPr>
        <w:t>Ibid.</w:t>
      </w:r>
      <w:r w:rsidRPr="00655BDB">
        <w:rPr>
          <w:rFonts w:ascii="Times New Roman" w:hAnsi="Times New Roman" w:cs="Times New Roman"/>
        </w:rPr>
        <w:t xml:space="preserve"> </w:t>
      </w:r>
    </w:p>
  </w:footnote>
  <w:footnote w:id="15">
    <w:p w14:paraId="21DBFD2B" w14:textId="24F32ADA" w:rsidR="00EB67ED" w:rsidRPr="00655BDB" w:rsidRDefault="00EB67ED" w:rsidP="00EB67ED">
      <w:pPr>
        <w:autoSpaceDE w:val="0"/>
        <w:autoSpaceDN w:val="0"/>
        <w:adjustRightInd w:val="0"/>
        <w:rPr>
          <w:rFonts w:eastAsiaTheme="minorHAnsi"/>
          <w:sz w:val="20"/>
          <w:szCs w:val="20"/>
          <w:lang w:val="en-US"/>
        </w:rPr>
      </w:pPr>
      <w:r w:rsidRPr="00655BDB">
        <w:rPr>
          <w:rStyle w:val="FootnoteReference"/>
          <w:sz w:val="20"/>
          <w:szCs w:val="20"/>
        </w:rPr>
        <w:footnoteRef/>
      </w:r>
      <w:r w:rsidRPr="00655BDB">
        <w:rPr>
          <w:rFonts w:eastAsiaTheme="minorHAnsi"/>
          <w:sz w:val="20"/>
          <w:szCs w:val="20"/>
          <w:lang w:val="en-US"/>
        </w:rPr>
        <w:t>Online: CBC news</w:t>
      </w:r>
      <w:r w:rsidR="00D94CC0">
        <w:rPr>
          <w:rFonts w:eastAsiaTheme="minorHAnsi"/>
          <w:sz w:val="20"/>
          <w:szCs w:val="20"/>
          <w:lang w:val="en-US"/>
        </w:rPr>
        <w:t xml:space="preserve">, </w:t>
      </w:r>
      <w:hyperlink r:id="rId4" w:history="1">
        <w:r w:rsidR="00D94CC0" w:rsidRPr="00596EE2">
          <w:rPr>
            <w:rStyle w:val="Hyperlink"/>
            <w:rFonts w:eastAsiaTheme="minorHAnsi"/>
            <w:sz w:val="20"/>
            <w:szCs w:val="20"/>
            <w:lang w:val="en-US"/>
          </w:rPr>
          <w:t>https://newsinteractives.cbc.ca/longform/st-anne-residential-school-opp-documents</w:t>
        </w:r>
      </w:hyperlink>
      <w:r w:rsidR="00D94CC0">
        <w:rPr>
          <w:rFonts w:eastAsiaTheme="minorHAnsi"/>
          <w:sz w:val="20"/>
          <w:szCs w:val="20"/>
          <w:lang w:val="en-US"/>
        </w:rPr>
        <w:t xml:space="preserve"> </w:t>
      </w:r>
      <w:r w:rsidRPr="00655BDB">
        <w:rPr>
          <w:rFonts w:eastAsiaTheme="minorHAnsi"/>
          <w:sz w:val="20"/>
          <w:szCs w:val="20"/>
          <w:lang w:val="en-US"/>
        </w:rPr>
        <w:t xml:space="preserve"> </w:t>
      </w:r>
    </w:p>
  </w:footnote>
  <w:footnote w:id="16">
    <w:p w14:paraId="1247AA36" w14:textId="31AC91A1" w:rsidR="006F1397" w:rsidRPr="00655BDB" w:rsidRDefault="006F1397" w:rsidP="006F1397">
      <w:pPr>
        <w:rPr>
          <w:sz w:val="20"/>
          <w:szCs w:val="20"/>
        </w:rPr>
      </w:pPr>
      <w:r w:rsidRPr="00655BDB">
        <w:rPr>
          <w:rStyle w:val="FootnoteReference"/>
          <w:sz w:val="20"/>
          <w:szCs w:val="20"/>
        </w:rPr>
        <w:footnoteRef/>
      </w:r>
      <w:r w:rsidRPr="00655BDB">
        <w:rPr>
          <w:sz w:val="20"/>
          <w:szCs w:val="20"/>
        </w:rPr>
        <w:t xml:space="preserve"> </w:t>
      </w:r>
      <w:r w:rsidRPr="00655BDB">
        <w:rPr>
          <w:color w:val="212529"/>
          <w:sz w:val="20"/>
          <w:szCs w:val="20"/>
          <w:shd w:val="clear" w:color="auto" w:fill="FFFFFF"/>
        </w:rPr>
        <w:t>Leroy Little Bear, "Jagged Worldviews Colliding," </w:t>
      </w:r>
      <w:r w:rsidRPr="00655BDB">
        <w:rPr>
          <w:i/>
          <w:iCs/>
          <w:color w:val="212529"/>
          <w:sz w:val="20"/>
          <w:szCs w:val="20"/>
          <w:shd w:val="clear" w:color="auto" w:fill="FFFFFF"/>
        </w:rPr>
        <w:t>Reclaiming Indigenous Voice and Vision</w:t>
      </w:r>
      <w:r w:rsidRPr="00655BDB">
        <w:rPr>
          <w:color w:val="212529"/>
          <w:sz w:val="20"/>
          <w:szCs w:val="20"/>
          <w:shd w:val="clear" w:color="auto" w:fill="FFFFFF"/>
        </w:rPr>
        <w:t> (2000).</w:t>
      </w:r>
    </w:p>
  </w:footnote>
  <w:footnote w:id="17">
    <w:p w14:paraId="48F0767C" w14:textId="5E104825" w:rsidR="006F1397" w:rsidRPr="00655BDB" w:rsidRDefault="006F1397">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i/>
          <w:iCs/>
          <w:lang w:val="en-CA"/>
        </w:rPr>
        <w:t>Ibid.</w:t>
      </w:r>
    </w:p>
  </w:footnote>
  <w:footnote w:id="18">
    <w:p w14:paraId="0749A011" w14:textId="7792901D" w:rsidR="006F1397" w:rsidRPr="00655BDB" w:rsidRDefault="006F1397">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i/>
          <w:iCs/>
        </w:rPr>
        <w:t>Supra</w:t>
      </w:r>
      <w:r w:rsidRPr="00655BDB">
        <w:rPr>
          <w:rFonts w:ascii="Times New Roman" w:hAnsi="Times New Roman" w:cs="Times New Roman"/>
        </w:rPr>
        <w:t xml:space="preserve"> note </w:t>
      </w:r>
      <w:r w:rsidR="00951C0C" w:rsidRPr="00655BDB">
        <w:rPr>
          <w:rFonts w:ascii="Times New Roman" w:hAnsi="Times New Roman" w:cs="Times New Roman"/>
        </w:rPr>
        <w:t>1</w:t>
      </w:r>
      <w:r w:rsidR="00DD1E86" w:rsidRPr="00655BDB">
        <w:rPr>
          <w:rFonts w:ascii="Times New Roman" w:hAnsi="Times New Roman" w:cs="Times New Roman"/>
        </w:rPr>
        <w:t>5</w:t>
      </w:r>
      <w:r w:rsidRPr="00655BDB">
        <w:rPr>
          <w:rFonts w:ascii="Times New Roman" w:hAnsi="Times New Roman" w:cs="Times New Roman"/>
        </w:rPr>
        <w:t>.</w:t>
      </w:r>
    </w:p>
  </w:footnote>
  <w:footnote w:id="19">
    <w:p w14:paraId="17D9B4C3" w14:textId="2B0E606F" w:rsidR="00102FF0" w:rsidRPr="00655BDB" w:rsidRDefault="00102FF0">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00253DA1" w:rsidRPr="00655BDB">
        <w:rPr>
          <w:rFonts w:ascii="Times New Roman" w:hAnsi="Times New Roman" w:cs="Times New Roman"/>
        </w:rPr>
        <w:t>O</w:t>
      </w:r>
      <w:r w:rsidRPr="00655BDB">
        <w:rPr>
          <w:rFonts w:ascii="Times New Roman" w:hAnsi="Times New Roman" w:cs="Times New Roman"/>
        </w:rPr>
        <w:t>nline</w:t>
      </w:r>
      <w:r w:rsidR="00655BDB">
        <w:rPr>
          <w:rFonts w:ascii="Times New Roman" w:hAnsi="Times New Roman" w:cs="Times New Roman"/>
        </w:rPr>
        <w:t xml:space="preserve">: </w:t>
      </w:r>
      <w:hyperlink r:id="rId5" w:history="1">
        <w:r w:rsidR="00655BDB" w:rsidRPr="00596EE2">
          <w:rPr>
            <w:rStyle w:val="Hyperlink"/>
            <w:rFonts w:ascii="Times New Roman" w:hAnsi="Times New Roman" w:cs="Times New Roman"/>
          </w:rPr>
          <w:t>https://cela.ca/friends-of-the-attawapiskat-river-comments-on-ring-of-fire/</w:t>
        </w:r>
      </w:hyperlink>
      <w:r w:rsidR="00655BDB">
        <w:rPr>
          <w:rFonts w:ascii="Times New Roman" w:hAnsi="Times New Roman" w:cs="Times New Roman"/>
        </w:rPr>
        <w:t xml:space="preserve">   </w:t>
      </w:r>
    </w:p>
  </w:footnote>
  <w:footnote w:id="20">
    <w:p w14:paraId="6994DBF0" w14:textId="3F3E85E9" w:rsidR="00102FF0" w:rsidRPr="00655BDB" w:rsidRDefault="00102FF0" w:rsidP="00102FF0">
      <w:pPr>
        <w:rPr>
          <w:sz w:val="20"/>
          <w:szCs w:val="20"/>
        </w:rPr>
      </w:pPr>
      <w:r w:rsidRPr="00655BDB">
        <w:rPr>
          <w:rStyle w:val="FootnoteReference"/>
          <w:sz w:val="20"/>
          <w:szCs w:val="20"/>
        </w:rPr>
        <w:footnoteRef/>
      </w:r>
      <w:r w:rsidRPr="00655BDB">
        <w:rPr>
          <w:sz w:val="20"/>
          <w:szCs w:val="20"/>
        </w:rPr>
        <w:t xml:space="preserve"> </w:t>
      </w:r>
      <w:r w:rsidR="00253DA1" w:rsidRPr="00655BDB">
        <w:rPr>
          <w:sz w:val="20"/>
          <w:szCs w:val="20"/>
        </w:rPr>
        <w:t>O</w:t>
      </w:r>
      <w:r w:rsidRPr="00655BDB">
        <w:rPr>
          <w:sz w:val="20"/>
          <w:szCs w:val="20"/>
        </w:rPr>
        <w:t>nline</w:t>
      </w:r>
      <w:r w:rsidR="00655BDB">
        <w:rPr>
          <w:sz w:val="20"/>
          <w:szCs w:val="20"/>
        </w:rPr>
        <w:t>:</w:t>
      </w:r>
      <w:r w:rsidR="00655BDB" w:rsidRPr="00655BDB">
        <w:t xml:space="preserve"> </w:t>
      </w:r>
      <w:hyperlink r:id="rId6" w:history="1">
        <w:r w:rsidR="00655BDB" w:rsidRPr="00596EE2">
          <w:rPr>
            <w:rStyle w:val="Hyperlink"/>
            <w:sz w:val="20"/>
            <w:szCs w:val="20"/>
          </w:rPr>
          <w:t>https://cela.ca/joint-request-to-pause-decisions-on-ring-of-fire-exploration-permits/</w:t>
        </w:r>
      </w:hyperlink>
      <w:r w:rsidR="00655BDB">
        <w:rPr>
          <w:sz w:val="20"/>
          <w:szCs w:val="20"/>
        </w:rPr>
        <w:t xml:space="preserve"> </w:t>
      </w:r>
    </w:p>
  </w:footnote>
  <w:footnote w:id="21">
    <w:p w14:paraId="4ACF7D87" w14:textId="7C992C10" w:rsidR="00102FF0" w:rsidRPr="00655BDB" w:rsidRDefault="00102FF0" w:rsidP="00253DA1">
      <w:pPr>
        <w:rPr>
          <w:sz w:val="20"/>
          <w:szCs w:val="20"/>
        </w:rPr>
      </w:pPr>
      <w:r w:rsidRPr="00655BDB">
        <w:rPr>
          <w:rStyle w:val="FootnoteReference"/>
          <w:sz w:val="20"/>
          <w:szCs w:val="20"/>
        </w:rPr>
        <w:footnoteRef/>
      </w:r>
      <w:r w:rsidR="00951C0C" w:rsidRPr="00655BDB">
        <w:rPr>
          <w:sz w:val="20"/>
          <w:szCs w:val="20"/>
        </w:rPr>
        <w:t>O</w:t>
      </w:r>
      <w:r w:rsidRPr="00655BDB">
        <w:rPr>
          <w:sz w:val="20"/>
          <w:szCs w:val="20"/>
        </w:rPr>
        <w:t>nline</w:t>
      </w:r>
      <w:r w:rsidR="00655BDB">
        <w:rPr>
          <w:sz w:val="20"/>
          <w:szCs w:val="20"/>
        </w:rPr>
        <w:t>:</w:t>
      </w:r>
      <w:r w:rsidR="00655BDB" w:rsidRPr="00655BDB">
        <w:t xml:space="preserve"> </w:t>
      </w:r>
      <w:hyperlink r:id="rId7" w:history="1">
        <w:r w:rsidR="00D94CC0" w:rsidRPr="00596EE2">
          <w:rPr>
            <w:rStyle w:val="Hyperlink"/>
            <w:sz w:val="20"/>
            <w:szCs w:val="20"/>
          </w:rPr>
          <w:t>https://cela.ca/letter-to-canada-and-ontario-calling-for-a-moratorium-in-the-ring-of-fire-to-protect-watersheds-and-indigenous-rights/</w:t>
        </w:r>
      </w:hyperlink>
      <w:r w:rsidR="00D94CC0">
        <w:rPr>
          <w:sz w:val="20"/>
          <w:szCs w:val="20"/>
        </w:rPr>
        <w:t xml:space="preserve"> </w:t>
      </w:r>
    </w:p>
  </w:footnote>
  <w:footnote w:id="22">
    <w:p w14:paraId="4BBD04A4" w14:textId="3639C55A" w:rsidR="005A635E" w:rsidRPr="00655BDB" w:rsidRDefault="005A635E">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lang w:val="en-CA"/>
        </w:rPr>
        <w:t xml:space="preserve">Online: </w:t>
      </w:r>
      <w:hyperlink r:id="rId8" w:history="1">
        <w:r w:rsidR="00D94CC0" w:rsidRPr="00596EE2">
          <w:rPr>
            <w:rStyle w:val="Hyperlink"/>
            <w:rFonts w:ascii="Times New Roman" w:hAnsi="Times New Roman" w:cs="Times New Roman"/>
            <w:lang w:val="en-CA"/>
          </w:rPr>
          <w:t>https://iaac-aeic.gc.ca/050/evaluations/proj/80468</w:t>
        </w:r>
      </w:hyperlink>
      <w:r w:rsidR="00D94CC0">
        <w:rPr>
          <w:rFonts w:ascii="Times New Roman" w:hAnsi="Times New Roman" w:cs="Times New Roman"/>
          <w:lang w:val="en-CA"/>
        </w:rPr>
        <w:t xml:space="preserve"> </w:t>
      </w:r>
    </w:p>
  </w:footnote>
  <w:footnote w:id="23">
    <w:p w14:paraId="3B72C0C5" w14:textId="334EF6BD" w:rsidR="005A635E" w:rsidRPr="00655BDB" w:rsidRDefault="005A635E">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lang w:val="en-CA"/>
        </w:rPr>
        <w:t xml:space="preserve">Online: </w:t>
      </w:r>
      <w:hyperlink r:id="rId9" w:history="1">
        <w:r w:rsidRPr="00655BDB">
          <w:rPr>
            <w:rStyle w:val="Hyperlink"/>
            <w:rFonts w:ascii="Times New Roman" w:hAnsi="Times New Roman" w:cs="Times New Roman"/>
            <w:lang w:val="en-CA"/>
          </w:rPr>
          <w:t>https://cela.ca/call-for-moratorium-in-ring-of-fire/</w:t>
        </w:r>
      </w:hyperlink>
      <w:r w:rsidRPr="00655BDB">
        <w:rPr>
          <w:rFonts w:ascii="Times New Roman" w:hAnsi="Times New Roman" w:cs="Times New Roman"/>
          <w:lang w:val="en-CA"/>
        </w:rPr>
        <w:t xml:space="preserve"> </w:t>
      </w:r>
    </w:p>
  </w:footnote>
  <w:footnote w:id="24">
    <w:p w14:paraId="24ACD7EE" w14:textId="7A5FB5F5" w:rsidR="002661AD" w:rsidRPr="00655BDB" w:rsidRDefault="002661AD">
      <w:pPr>
        <w:pStyle w:val="FootnoteText"/>
        <w:rPr>
          <w:rFonts w:ascii="Times New Roman" w:hAnsi="Times New Roman" w:cs="Times New Roman"/>
          <w:lang w:val="en-CA"/>
        </w:rPr>
      </w:pPr>
      <w:r w:rsidRPr="00655BDB">
        <w:rPr>
          <w:rStyle w:val="FootnoteReference"/>
          <w:rFonts w:ascii="Times New Roman" w:hAnsi="Times New Roman" w:cs="Times New Roman"/>
        </w:rPr>
        <w:footnoteRef/>
      </w:r>
      <w:r w:rsidRPr="00655BDB">
        <w:rPr>
          <w:rFonts w:ascii="Times New Roman" w:hAnsi="Times New Roman" w:cs="Times New Roman"/>
        </w:rPr>
        <w:t xml:space="preserve"> </w:t>
      </w:r>
      <w:r w:rsidRPr="00655BDB">
        <w:rPr>
          <w:rFonts w:ascii="Times New Roman" w:hAnsi="Times New Roman" w:cs="Times New Roman"/>
          <w:lang w:val="en-CA"/>
        </w:rPr>
        <w:t xml:space="preserve">Online: </w:t>
      </w:r>
      <w:hyperlink r:id="rId10" w:history="1">
        <w:r w:rsidR="00E90B91" w:rsidRPr="00596EE2">
          <w:rPr>
            <w:rStyle w:val="Hyperlink"/>
            <w:rFonts w:ascii="Times New Roman" w:hAnsi="Times New Roman" w:cs="Times New Roman"/>
            <w:lang w:val="en-CA"/>
          </w:rPr>
          <w:t>https://attawapiskatriverprotectors.com/have-a-say-in-the-environmental-assessments/</w:t>
        </w:r>
      </w:hyperlink>
      <w:r w:rsidR="00E90B91">
        <w:rPr>
          <w:rFonts w:ascii="Times New Roman" w:hAnsi="Times New Roman" w:cs="Times New Roman"/>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3ADE" w14:textId="798C4DB0" w:rsidR="001C2A89" w:rsidRDefault="001C2A89">
    <w:pPr>
      <w:pStyle w:val="Header"/>
      <w:jc w:val="right"/>
    </w:pPr>
    <w:r>
      <w:rPr>
        <w:i/>
        <w:iCs/>
      </w:rPr>
      <w:t xml:space="preserve">Letter from CELA - </w:t>
    </w:r>
    <w:sdt>
      <w:sdtPr>
        <w:id w:val="11416939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92BFE18" w14:textId="77777777" w:rsidR="001C2A89" w:rsidRDefault="001C2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9A7D" w14:textId="1C844D00" w:rsidR="00CF6CC1" w:rsidRDefault="00CF6CC1">
    <w:pPr>
      <w:pStyle w:val="Header"/>
    </w:pPr>
    <w:r>
      <w:rPr>
        <w:noProof/>
        <w:lang w:eastAsia="en-CA"/>
      </w:rPr>
      <w:drawing>
        <wp:inline distT="0" distB="0" distL="0" distR="0" wp14:anchorId="1A8AB64B" wp14:editId="5680250D">
          <wp:extent cx="2178050" cy="622300"/>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84" cy="6246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88"/>
    <w:rsid w:val="000454C1"/>
    <w:rsid w:val="00073E88"/>
    <w:rsid w:val="00086696"/>
    <w:rsid w:val="000C4A2D"/>
    <w:rsid w:val="000D4CB2"/>
    <w:rsid w:val="000E32AE"/>
    <w:rsid w:val="00102FF0"/>
    <w:rsid w:val="00107CDA"/>
    <w:rsid w:val="00115F5B"/>
    <w:rsid w:val="00133E92"/>
    <w:rsid w:val="0014080B"/>
    <w:rsid w:val="00176DE2"/>
    <w:rsid w:val="001A78C9"/>
    <w:rsid w:val="001C2A89"/>
    <w:rsid w:val="00253DA1"/>
    <w:rsid w:val="002661AD"/>
    <w:rsid w:val="00287DB3"/>
    <w:rsid w:val="002B2A6E"/>
    <w:rsid w:val="002C3186"/>
    <w:rsid w:val="00314554"/>
    <w:rsid w:val="0031564A"/>
    <w:rsid w:val="003314EE"/>
    <w:rsid w:val="0034345A"/>
    <w:rsid w:val="003528D9"/>
    <w:rsid w:val="00355A97"/>
    <w:rsid w:val="003842FC"/>
    <w:rsid w:val="003A2FE9"/>
    <w:rsid w:val="00407339"/>
    <w:rsid w:val="00413E0D"/>
    <w:rsid w:val="004310C0"/>
    <w:rsid w:val="0047415E"/>
    <w:rsid w:val="00480D33"/>
    <w:rsid w:val="004B124A"/>
    <w:rsid w:val="004B5199"/>
    <w:rsid w:val="00513F32"/>
    <w:rsid w:val="0052081E"/>
    <w:rsid w:val="00573B8E"/>
    <w:rsid w:val="005A635E"/>
    <w:rsid w:val="005B0548"/>
    <w:rsid w:val="005B1CE3"/>
    <w:rsid w:val="0060277F"/>
    <w:rsid w:val="00612238"/>
    <w:rsid w:val="00612EFC"/>
    <w:rsid w:val="006253DC"/>
    <w:rsid w:val="00642927"/>
    <w:rsid w:val="00642E9A"/>
    <w:rsid w:val="00655BDB"/>
    <w:rsid w:val="006854FD"/>
    <w:rsid w:val="00685D65"/>
    <w:rsid w:val="006D51D1"/>
    <w:rsid w:val="006E205B"/>
    <w:rsid w:val="006F1397"/>
    <w:rsid w:val="006F1E0A"/>
    <w:rsid w:val="00706924"/>
    <w:rsid w:val="007656BD"/>
    <w:rsid w:val="0079618A"/>
    <w:rsid w:val="007B325D"/>
    <w:rsid w:val="007B3371"/>
    <w:rsid w:val="007C7EE5"/>
    <w:rsid w:val="007E012B"/>
    <w:rsid w:val="007E21EB"/>
    <w:rsid w:val="00824E1B"/>
    <w:rsid w:val="00834754"/>
    <w:rsid w:val="00873EB0"/>
    <w:rsid w:val="00880008"/>
    <w:rsid w:val="00880686"/>
    <w:rsid w:val="008D7833"/>
    <w:rsid w:val="00900C8E"/>
    <w:rsid w:val="00922A8D"/>
    <w:rsid w:val="00951C0C"/>
    <w:rsid w:val="00964FC9"/>
    <w:rsid w:val="00982453"/>
    <w:rsid w:val="009922E0"/>
    <w:rsid w:val="00995C7F"/>
    <w:rsid w:val="009B3DF0"/>
    <w:rsid w:val="009D3C06"/>
    <w:rsid w:val="009E1232"/>
    <w:rsid w:val="00A109DF"/>
    <w:rsid w:val="00A179C8"/>
    <w:rsid w:val="00A95CC6"/>
    <w:rsid w:val="00A979DE"/>
    <w:rsid w:val="00AE3F24"/>
    <w:rsid w:val="00B44B3C"/>
    <w:rsid w:val="00B8132B"/>
    <w:rsid w:val="00BC2196"/>
    <w:rsid w:val="00BE5566"/>
    <w:rsid w:val="00BE78C1"/>
    <w:rsid w:val="00C21796"/>
    <w:rsid w:val="00C31FC7"/>
    <w:rsid w:val="00C52CE8"/>
    <w:rsid w:val="00C67470"/>
    <w:rsid w:val="00C75156"/>
    <w:rsid w:val="00C97D1F"/>
    <w:rsid w:val="00CC1397"/>
    <w:rsid w:val="00CC4932"/>
    <w:rsid w:val="00CC78AE"/>
    <w:rsid w:val="00CF6CC1"/>
    <w:rsid w:val="00D0021C"/>
    <w:rsid w:val="00D04A40"/>
    <w:rsid w:val="00D42D5A"/>
    <w:rsid w:val="00D476F9"/>
    <w:rsid w:val="00D726E9"/>
    <w:rsid w:val="00D915DC"/>
    <w:rsid w:val="00D94CC0"/>
    <w:rsid w:val="00DA19CC"/>
    <w:rsid w:val="00DB3DE0"/>
    <w:rsid w:val="00DB6A59"/>
    <w:rsid w:val="00DC0A92"/>
    <w:rsid w:val="00DD1E86"/>
    <w:rsid w:val="00DD4636"/>
    <w:rsid w:val="00E4769F"/>
    <w:rsid w:val="00E90B91"/>
    <w:rsid w:val="00EA7565"/>
    <w:rsid w:val="00EA7BB5"/>
    <w:rsid w:val="00EB67ED"/>
    <w:rsid w:val="00EF018A"/>
    <w:rsid w:val="00F06AB4"/>
    <w:rsid w:val="00F236B6"/>
    <w:rsid w:val="00F41C60"/>
    <w:rsid w:val="00F66996"/>
    <w:rsid w:val="00F717FA"/>
    <w:rsid w:val="00F85E2E"/>
    <w:rsid w:val="00FA44DC"/>
    <w:rsid w:val="00FB6B3F"/>
    <w:rsid w:val="00FD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2C879"/>
  <w14:defaultImageDpi w14:val="32767"/>
  <w15:chartTrackingRefBased/>
  <w15:docId w15:val="{5608FA7E-74CF-AE4B-B4D1-ADA12695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1397"/>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7565"/>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EA7565"/>
    <w:rPr>
      <w:sz w:val="20"/>
      <w:szCs w:val="20"/>
    </w:rPr>
  </w:style>
  <w:style w:type="character" w:styleId="FootnoteReference">
    <w:name w:val="footnote reference"/>
    <w:basedOn w:val="DefaultParagraphFont"/>
    <w:uiPriority w:val="99"/>
    <w:semiHidden/>
    <w:unhideWhenUsed/>
    <w:rsid w:val="00EA7565"/>
    <w:rPr>
      <w:vertAlign w:val="superscript"/>
    </w:rPr>
  </w:style>
  <w:style w:type="paragraph" w:customStyle="1" w:styleId="xmsonormal">
    <w:name w:val="x_msonormal"/>
    <w:basedOn w:val="Normal"/>
    <w:rsid w:val="00DC0A92"/>
    <w:pPr>
      <w:spacing w:before="100" w:beforeAutospacing="1" w:after="100" w:afterAutospacing="1"/>
    </w:pPr>
  </w:style>
  <w:style w:type="character" w:styleId="Hyperlink">
    <w:name w:val="Hyperlink"/>
    <w:basedOn w:val="DefaultParagraphFont"/>
    <w:uiPriority w:val="99"/>
    <w:unhideWhenUsed/>
    <w:rsid w:val="009B3DF0"/>
    <w:rPr>
      <w:color w:val="0563C1" w:themeColor="hyperlink"/>
      <w:u w:val="single"/>
    </w:rPr>
  </w:style>
  <w:style w:type="character" w:styleId="UnresolvedMention">
    <w:name w:val="Unresolved Mention"/>
    <w:basedOn w:val="DefaultParagraphFont"/>
    <w:uiPriority w:val="99"/>
    <w:rsid w:val="009B3DF0"/>
    <w:rPr>
      <w:color w:val="605E5C"/>
      <w:shd w:val="clear" w:color="auto" w:fill="E1DFDD"/>
    </w:rPr>
  </w:style>
  <w:style w:type="paragraph" w:styleId="ListParagraph">
    <w:name w:val="List Paragraph"/>
    <w:basedOn w:val="Normal"/>
    <w:uiPriority w:val="34"/>
    <w:qFormat/>
    <w:rsid w:val="00102FF0"/>
    <w:pPr>
      <w:ind w:left="720"/>
      <w:contextualSpacing/>
    </w:pPr>
    <w:rPr>
      <w:rFonts w:asciiTheme="minorHAnsi" w:eastAsiaTheme="minorHAnsi" w:hAnsiTheme="minorHAnsi" w:cstheme="minorBidi"/>
      <w:lang w:val="en-US"/>
    </w:rPr>
  </w:style>
  <w:style w:type="paragraph" w:styleId="Revision">
    <w:name w:val="Revision"/>
    <w:hidden/>
    <w:uiPriority w:val="99"/>
    <w:semiHidden/>
    <w:rsid w:val="00A95CC6"/>
    <w:rPr>
      <w:rFonts w:ascii="Times New Roman" w:eastAsia="Times New Roman" w:hAnsi="Times New Roman" w:cs="Times New Roman"/>
      <w:lang w:val="en-CA"/>
    </w:rPr>
  </w:style>
  <w:style w:type="character" w:styleId="CommentReference">
    <w:name w:val="annotation reference"/>
    <w:basedOn w:val="DefaultParagraphFont"/>
    <w:uiPriority w:val="99"/>
    <w:semiHidden/>
    <w:unhideWhenUsed/>
    <w:rsid w:val="0060277F"/>
    <w:rPr>
      <w:sz w:val="16"/>
      <w:szCs w:val="16"/>
    </w:rPr>
  </w:style>
  <w:style w:type="paragraph" w:styleId="CommentText">
    <w:name w:val="annotation text"/>
    <w:basedOn w:val="Normal"/>
    <w:link w:val="CommentTextChar"/>
    <w:uiPriority w:val="99"/>
    <w:semiHidden/>
    <w:unhideWhenUsed/>
    <w:rsid w:val="0060277F"/>
    <w:rPr>
      <w:sz w:val="20"/>
      <w:szCs w:val="20"/>
    </w:rPr>
  </w:style>
  <w:style w:type="character" w:customStyle="1" w:styleId="CommentTextChar">
    <w:name w:val="Comment Text Char"/>
    <w:basedOn w:val="DefaultParagraphFont"/>
    <w:link w:val="CommentText"/>
    <w:uiPriority w:val="99"/>
    <w:semiHidden/>
    <w:rsid w:val="0060277F"/>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60277F"/>
    <w:rPr>
      <w:b/>
      <w:bCs/>
    </w:rPr>
  </w:style>
  <w:style w:type="character" w:customStyle="1" w:styleId="CommentSubjectChar">
    <w:name w:val="Comment Subject Char"/>
    <w:basedOn w:val="CommentTextChar"/>
    <w:link w:val="CommentSubject"/>
    <w:uiPriority w:val="99"/>
    <w:semiHidden/>
    <w:rsid w:val="0060277F"/>
    <w:rPr>
      <w:rFonts w:ascii="Times New Roman" w:eastAsia="Times New Roman" w:hAnsi="Times New Roman" w:cs="Times New Roman"/>
      <w:b/>
      <w:bCs/>
      <w:sz w:val="20"/>
      <w:szCs w:val="20"/>
      <w:lang w:val="en-CA"/>
    </w:rPr>
  </w:style>
  <w:style w:type="paragraph" w:styleId="Header">
    <w:name w:val="header"/>
    <w:basedOn w:val="Normal"/>
    <w:link w:val="HeaderChar"/>
    <w:uiPriority w:val="99"/>
    <w:unhideWhenUsed/>
    <w:rsid w:val="005B1CE3"/>
    <w:pPr>
      <w:tabs>
        <w:tab w:val="center" w:pos="4680"/>
        <w:tab w:val="right" w:pos="9360"/>
      </w:tabs>
    </w:pPr>
  </w:style>
  <w:style w:type="character" w:customStyle="1" w:styleId="HeaderChar">
    <w:name w:val="Header Char"/>
    <w:basedOn w:val="DefaultParagraphFont"/>
    <w:link w:val="Header"/>
    <w:uiPriority w:val="99"/>
    <w:rsid w:val="005B1CE3"/>
    <w:rPr>
      <w:rFonts w:ascii="Times New Roman" w:eastAsia="Times New Roman" w:hAnsi="Times New Roman" w:cs="Times New Roman"/>
      <w:lang w:val="en-CA"/>
    </w:rPr>
  </w:style>
  <w:style w:type="paragraph" w:styleId="Footer">
    <w:name w:val="footer"/>
    <w:basedOn w:val="Normal"/>
    <w:link w:val="FooterChar"/>
    <w:uiPriority w:val="99"/>
    <w:unhideWhenUsed/>
    <w:rsid w:val="005B1CE3"/>
    <w:pPr>
      <w:tabs>
        <w:tab w:val="center" w:pos="4680"/>
        <w:tab w:val="right" w:pos="9360"/>
      </w:tabs>
    </w:pPr>
  </w:style>
  <w:style w:type="character" w:customStyle="1" w:styleId="FooterChar">
    <w:name w:val="Footer Char"/>
    <w:basedOn w:val="DefaultParagraphFont"/>
    <w:link w:val="Footer"/>
    <w:uiPriority w:val="99"/>
    <w:rsid w:val="005B1CE3"/>
    <w:rPr>
      <w:rFonts w:ascii="Times New Roman" w:eastAsia="Times New Roman" w:hAnsi="Times New Roman" w:cs="Times New Roman"/>
      <w:lang w:val="en-CA"/>
    </w:rPr>
  </w:style>
  <w:style w:type="table" w:styleId="TableGrid">
    <w:name w:val="Table Grid"/>
    <w:basedOn w:val="TableNormal"/>
    <w:uiPriority w:val="39"/>
    <w:rsid w:val="0028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4C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9669">
      <w:bodyDiv w:val="1"/>
      <w:marLeft w:val="0"/>
      <w:marRight w:val="0"/>
      <w:marTop w:val="0"/>
      <w:marBottom w:val="0"/>
      <w:divBdr>
        <w:top w:val="none" w:sz="0" w:space="0" w:color="auto"/>
        <w:left w:val="none" w:sz="0" w:space="0" w:color="auto"/>
        <w:bottom w:val="none" w:sz="0" w:space="0" w:color="auto"/>
        <w:right w:val="none" w:sz="0" w:space="0" w:color="auto"/>
      </w:divBdr>
    </w:div>
    <w:div w:id="389771107">
      <w:bodyDiv w:val="1"/>
      <w:marLeft w:val="0"/>
      <w:marRight w:val="0"/>
      <w:marTop w:val="0"/>
      <w:marBottom w:val="0"/>
      <w:divBdr>
        <w:top w:val="none" w:sz="0" w:space="0" w:color="auto"/>
        <w:left w:val="none" w:sz="0" w:space="0" w:color="auto"/>
        <w:bottom w:val="none" w:sz="0" w:space="0" w:color="auto"/>
        <w:right w:val="none" w:sz="0" w:space="0" w:color="auto"/>
      </w:divBdr>
    </w:div>
    <w:div w:id="673068568">
      <w:bodyDiv w:val="1"/>
      <w:marLeft w:val="0"/>
      <w:marRight w:val="0"/>
      <w:marTop w:val="0"/>
      <w:marBottom w:val="0"/>
      <w:divBdr>
        <w:top w:val="none" w:sz="0" w:space="0" w:color="auto"/>
        <w:left w:val="none" w:sz="0" w:space="0" w:color="auto"/>
        <w:bottom w:val="none" w:sz="0" w:space="0" w:color="auto"/>
        <w:right w:val="none" w:sz="0" w:space="0" w:color="auto"/>
      </w:divBdr>
    </w:div>
    <w:div w:id="1440757823">
      <w:bodyDiv w:val="1"/>
      <w:marLeft w:val="0"/>
      <w:marRight w:val="0"/>
      <w:marTop w:val="0"/>
      <w:marBottom w:val="0"/>
      <w:divBdr>
        <w:top w:val="none" w:sz="0" w:space="0" w:color="auto"/>
        <w:left w:val="none" w:sz="0" w:space="0" w:color="auto"/>
        <w:bottom w:val="none" w:sz="0" w:space="0" w:color="auto"/>
        <w:right w:val="none" w:sz="0" w:space="0" w:color="auto"/>
      </w:divBdr>
    </w:div>
    <w:div w:id="1451780566">
      <w:bodyDiv w:val="1"/>
      <w:marLeft w:val="0"/>
      <w:marRight w:val="0"/>
      <w:marTop w:val="0"/>
      <w:marBottom w:val="0"/>
      <w:divBdr>
        <w:top w:val="none" w:sz="0" w:space="0" w:color="auto"/>
        <w:left w:val="none" w:sz="0" w:space="0" w:color="auto"/>
        <w:bottom w:val="none" w:sz="0" w:space="0" w:color="auto"/>
        <w:right w:val="none" w:sz="0" w:space="0" w:color="auto"/>
      </w:divBdr>
    </w:div>
    <w:div w:id="17641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hchr-expertmechanism@u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iaac-aeic.gc.ca/050/evaluations/proj/80468" TargetMode="External"/><Relationship Id="rId3" Type="http://schemas.openxmlformats.org/officeDocument/2006/relationships/hyperlink" Target="https://www.ohchr.org/EN/Issues/IPeoples/EMRIP/Pages/Treaties-Constructive-Agreements.aspx" TargetMode="External"/><Relationship Id="rId7" Type="http://schemas.openxmlformats.org/officeDocument/2006/relationships/hyperlink" Target="https://cela.ca/letter-to-canada-and-ontario-calling-for-a-moratorium-in-the-ring-of-fire-to-protect-watersheds-and-indigenous-rights/" TargetMode="External"/><Relationship Id="rId2" Type="http://schemas.openxmlformats.org/officeDocument/2006/relationships/hyperlink" Target="https://attawapiskatriverprotectors.com/" TargetMode="External"/><Relationship Id="rId1" Type="http://schemas.openxmlformats.org/officeDocument/2006/relationships/hyperlink" Target="https://cela.ca/casework-mining-justice-and-indigenous-rights/" TargetMode="External"/><Relationship Id="rId6" Type="http://schemas.openxmlformats.org/officeDocument/2006/relationships/hyperlink" Target="https://cela.ca/joint-request-to-pause-decisions-on-ring-of-fire-exploration-permits/" TargetMode="External"/><Relationship Id="rId5" Type="http://schemas.openxmlformats.org/officeDocument/2006/relationships/hyperlink" Target="https://cela.ca/friends-of-the-attawapiskat-river-comments-on-ring-of-fire/" TargetMode="External"/><Relationship Id="rId10" Type="http://schemas.openxmlformats.org/officeDocument/2006/relationships/hyperlink" Target="https://attawapiskatriverprotectors.com/have-a-say-in-the-environmental-assessments/" TargetMode="External"/><Relationship Id="rId4" Type="http://schemas.openxmlformats.org/officeDocument/2006/relationships/hyperlink" Target="https://newsinteractives.cbc.ca/longform/st-anne-residential-school-opp-documents" TargetMode="External"/><Relationship Id="rId9" Type="http://schemas.openxmlformats.org/officeDocument/2006/relationships/hyperlink" Target="https://cela.ca/call-for-moratorium-in-ring-of-fi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2700A63-7C5D-C74A-9C75-CA85151B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Arthur Joseph Meadows</dc:creator>
  <cp:keywords/>
  <dc:description/>
  <cp:lastModifiedBy>Kerrie Blaise</cp:lastModifiedBy>
  <cp:revision>3</cp:revision>
  <cp:lastPrinted>2022-01-28T20:15:00Z</cp:lastPrinted>
  <dcterms:created xsi:type="dcterms:W3CDTF">2022-01-28T20:10:00Z</dcterms:created>
  <dcterms:modified xsi:type="dcterms:W3CDTF">2022-01-28T20:18:00Z</dcterms:modified>
</cp:coreProperties>
</file>