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4D7A" w14:textId="23D1BDFF" w:rsidR="005607AB" w:rsidRPr="002C4660" w:rsidRDefault="00C007CD" w:rsidP="005607AB">
      <w:pPr>
        <w:spacing w:after="120"/>
        <w:jc w:val="both"/>
        <w:rPr>
          <w:rFonts w:ascii="Franklin Gothic Book" w:hAnsi="Franklin Gothic Book" w:cs="Times New Roman"/>
        </w:rPr>
      </w:pPr>
      <w:r>
        <w:rPr>
          <w:rFonts w:ascii="Franklin Gothic Book" w:hAnsi="Franklin Gothic Book" w:cs="Times New Roman"/>
          <w:noProof/>
        </w:rPr>
        <mc:AlternateContent>
          <mc:Choice Requires="wps">
            <w:drawing>
              <wp:anchor distT="0" distB="0" distL="114300" distR="114300" simplePos="0" relativeHeight="251662336" behindDoc="0" locked="0" layoutInCell="1" allowOverlap="1" wp14:anchorId="4BD90595" wp14:editId="0667C18C">
                <wp:simplePos x="0" y="0"/>
                <wp:positionH relativeFrom="column">
                  <wp:posOffset>742949</wp:posOffset>
                </wp:positionH>
                <wp:positionV relativeFrom="paragraph">
                  <wp:posOffset>-46723</wp:posOffset>
                </wp:positionV>
                <wp:extent cx="5271407" cy="9984"/>
                <wp:effectExtent l="19050" t="19050" r="24765" b="28575"/>
                <wp:wrapNone/>
                <wp:docPr id="10" name="Straight Connector 10"/>
                <wp:cNvGraphicFramePr/>
                <a:graphic xmlns:a="http://schemas.openxmlformats.org/drawingml/2006/main">
                  <a:graphicData uri="http://schemas.microsoft.com/office/word/2010/wordprocessingShape">
                    <wps:wsp>
                      <wps:cNvCnPr/>
                      <wps:spPr>
                        <a:xfrm flipV="1">
                          <a:off x="0" y="0"/>
                          <a:ext cx="5271407" cy="9984"/>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160CB"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7pt" to="47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" strokecolor="#c45911 [2405]" strokeweight="2.25pt">
                <v:stroke joinstyle="miter"/>
              </v:line>
            </w:pict>
          </mc:Fallback>
        </mc:AlternateContent>
      </w:r>
      <w:r w:rsidR="001B7A9E" w:rsidRPr="009B60A4">
        <w:rPr>
          <w:rFonts w:ascii="Franklin Gothic Book" w:hAnsi="Franklin Gothic Book" w:cs="Times New Roman"/>
          <w:noProof/>
        </w:rPr>
        <mc:AlternateContent>
          <mc:Choice Requires="wps">
            <w:drawing>
              <wp:anchor distT="45720" distB="45720" distL="114300" distR="114300" simplePos="0" relativeHeight="251660288" behindDoc="0" locked="0" layoutInCell="1" allowOverlap="1" wp14:anchorId="2F7140AB" wp14:editId="5D790CE8">
                <wp:simplePos x="0" y="0"/>
                <wp:positionH relativeFrom="column">
                  <wp:posOffset>632460</wp:posOffset>
                </wp:positionH>
                <wp:positionV relativeFrom="paragraph">
                  <wp:posOffset>-624840</wp:posOffset>
                </wp:positionV>
                <wp:extent cx="4869180" cy="5924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592455"/>
                        </a:xfrm>
                        <a:prstGeom prst="rect">
                          <a:avLst/>
                        </a:prstGeom>
                        <a:noFill/>
                        <a:ln w="9525">
                          <a:noFill/>
                          <a:miter lim="800000"/>
                          <a:headEnd/>
                          <a:tailEnd/>
                        </a:ln>
                      </wps:spPr>
                      <wps:txbx>
                        <w:txbxContent>
                          <w:p w14:paraId="3EBFF7F0" w14:textId="670E7B4C" w:rsidR="005607AB" w:rsidRPr="001B7A9E" w:rsidRDefault="001B7A9E" w:rsidP="005607AB">
                            <w:pPr>
                              <w:rPr>
                                <w:rFonts w:ascii="Franklin Gothic Book" w:hAnsi="Franklin Gothic Book" w:cs="Times New Roman"/>
                                <w:b/>
                                <w:bCs/>
                                <w:sz w:val="28"/>
                                <w:szCs w:val="28"/>
                              </w:rPr>
                            </w:pPr>
                            <w:r>
                              <w:rPr>
                                <w:rFonts w:ascii="Franklin Gothic Book" w:hAnsi="Franklin Gothic Book" w:cs="Times New Roman"/>
                                <w:b/>
                                <w:bCs/>
                                <w:sz w:val="28"/>
                                <w:szCs w:val="28"/>
                              </w:rPr>
                              <w:t xml:space="preserve">Call for Inputs: </w:t>
                            </w:r>
                            <w:r w:rsidRPr="001B7A9E">
                              <w:rPr>
                                <w:rFonts w:ascii="Franklin Gothic Book" w:hAnsi="Franklin Gothic Book" w:cs="Times New Roman"/>
                                <w:b/>
                                <w:bCs/>
                                <w:sz w:val="28"/>
                                <w:szCs w:val="28"/>
                              </w:rPr>
                              <w:t xml:space="preserve">Study on the </w:t>
                            </w:r>
                            <w:r>
                              <w:rPr>
                                <w:rFonts w:ascii="Franklin Gothic Book" w:hAnsi="Franklin Gothic Book" w:cs="Times New Roman"/>
                                <w:b/>
                                <w:bCs/>
                                <w:sz w:val="28"/>
                                <w:szCs w:val="28"/>
                              </w:rPr>
                              <w:t>i</w:t>
                            </w:r>
                            <w:r w:rsidRPr="001B7A9E">
                              <w:rPr>
                                <w:rFonts w:ascii="Franklin Gothic Book" w:hAnsi="Franklin Gothic Book" w:cs="Times New Roman"/>
                                <w:b/>
                                <w:bCs/>
                                <w:sz w:val="28"/>
                                <w:szCs w:val="28"/>
                              </w:rPr>
                              <w:t>mpact of the COVID-19 pandemic on human rights of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140AB" id="_x0000_t202" coordsize="21600,21600" o:spt="202" path="m,l,21600r21600,l21600,xe">
                <v:stroke joinstyle="miter"/>
                <v:path gradientshapeok="t" o:connecttype="rect"/>
              </v:shapetype>
              <v:shape id="Text Box 2" o:spid="_x0000_s1026" type="#_x0000_t202" style="position:absolute;left:0;text-align:left;margin-left:49.8pt;margin-top:-49.2pt;width:383.4pt;height:4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" filled="f" stroked="f">
                <v:textbox>
                  <w:txbxContent>
                    <w:p w14:paraId="3EBFF7F0" w14:textId="670E7B4C" w:rsidR="005607AB" w:rsidRPr="001B7A9E" w:rsidRDefault="001B7A9E" w:rsidP="005607AB">
                      <w:pPr>
                        <w:rPr>
                          <w:rFonts w:ascii="Franklin Gothic Book" w:hAnsi="Franklin Gothic Book" w:cs="Times New Roman"/>
                          <w:b/>
                          <w:bCs/>
                          <w:sz w:val="28"/>
                          <w:szCs w:val="28"/>
                        </w:rPr>
                      </w:pPr>
                      <w:r>
                        <w:rPr>
                          <w:rFonts w:ascii="Franklin Gothic Book" w:hAnsi="Franklin Gothic Book" w:cs="Times New Roman"/>
                          <w:b/>
                          <w:bCs/>
                          <w:sz w:val="28"/>
                          <w:szCs w:val="28"/>
                        </w:rPr>
                        <w:t xml:space="preserve">Call for Inputs: </w:t>
                      </w:r>
                      <w:r w:rsidRPr="001B7A9E">
                        <w:rPr>
                          <w:rFonts w:ascii="Franklin Gothic Book" w:hAnsi="Franklin Gothic Book" w:cs="Times New Roman"/>
                          <w:b/>
                          <w:bCs/>
                          <w:sz w:val="28"/>
                          <w:szCs w:val="28"/>
                        </w:rPr>
                        <w:t xml:space="preserve">Study on the </w:t>
                      </w:r>
                      <w:r>
                        <w:rPr>
                          <w:rFonts w:ascii="Franklin Gothic Book" w:hAnsi="Franklin Gothic Book" w:cs="Times New Roman"/>
                          <w:b/>
                          <w:bCs/>
                          <w:sz w:val="28"/>
                          <w:szCs w:val="28"/>
                        </w:rPr>
                        <w:t>i</w:t>
                      </w:r>
                      <w:r w:rsidRPr="001B7A9E">
                        <w:rPr>
                          <w:rFonts w:ascii="Franklin Gothic Book" w:hAnsi="Franklin Gothic Book" w:cs="Times New Roman"/>
                          <w:b/>
                          <w:bCs/>
                          <w:sz w:val="28"/>
                          <w:szCs w:val="28"/>
                        </w:rPr>
                        <w:t>mpact of the COVID-19 pandemic on human rights of young people</w:t>
                      </w:r>
                    </w:p>
                  </w:txbxContent>
                </v:textbox>
              </v:shape>
            </w:pict>
          </mc:Fallback>
        </mc:AlternateContent>
      </w:r>
      <w:r w:rsidR="005607AB" w:rsidRPr="009B60A4">
        <w:rPr>
          <w:rFonts w:ascii="Franklin Gothic Book" w:hAnsi="Franklin Gothic Book" w:cs="Times New Roman"/>
          <w:noProof/>
        </w:rPr>
        <mc:AlternateContent>
          <mc:Choice Requires="wps">
            <w:drawing>
              <wp:anchor distT="45720" distB="45720" distL="114300" distR="114300" simplePos="0" relativeHeight="251661312" behindDoc="0" locked="0" layoutInCell="1" allowOverlap="1" wp14:anchorId="464D9214" wp14:editId="28E9EBF3">
                <wp:simplePos x="0" y="0"/>
                <wp:positionH relativeFrom="margin">
                  <wp:posOffset>629107</wp:posOffset>
                </wp:positionH>
                <wp:positionV relativeFrom="paragraph">
                  <wp:posOffset>0</wp:posOffset>
                </wp:positionV>
                <wp:extent cx="5723890" cy="386893"/>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86893"/>
                        </a:xfrm>
                        <a:prstGeom prst="rect">
                          <a:avLst/>
                        </a:prstGeom>
                        <a:noFill/>
                        <a:ln w="9525">
                          <a:noFill/>
                          <a:miter lim="800000"/>
                          <a:headEnd/>
                          <a:tailEnd/>
                        </a:ln>
                      </wps:spPr>
                      <wps:txbx>
                        <w:txbxContent>
                          <w:p w14:paraId="6597825C" w14:textId="77777777" w:rsidR="005607AB" w:rsidRPr="0037262E" w:rsidRDefault="005607AB" w:rsidP="005607AB">
                            <w:pPr>
                              <w:rPr>
                                <w:rFonts w:ascii="Franklin Gothic Book" w:hAnsi="Franklin Gothic Book"/>
                                <w:sz w:val="14"/>
                                <w:szCs w:val="14"/>
                                <w:lang w:val="en-US"/>
                              </w:rPr>
                            </w:pPr>
                            <w:r w:rsidRPr="0037262E">
                              <w:rPr>
                                <w:rFonts w:ascii="Franklin Gothic Book" w:hAnsi="Franklin Gothic Book" w:cs="Times New Roman"/>
                                <w:sz w:val="24"/>
                                <w:szCs w:val="24"/>
                              </w:rPr>
                              <w:t>Submission by the International Federation of Library Associations and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9214" id="_x0000_s1027" type="#_x0000_t202" style="position:absolute;left:0;text-align:left;margin-left:49.55pt;margin-top:0;width:450.7pt;height:30.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" filled="f" stroked="f">
                <v:textbox>
                  <w:txbxContent>
                    <w:p w14:paraId="6597825C" w14:textId="77777777" w:rsidR="005607AB" w:rsidRPr="0037262E" w:rsidRDefault="005607AB" w:rsidP="005607AB">
                      <w:pPr>
                        <w:rPr>
                          <w:rFonts w:ascii="Franklin Gothic Book" w:hAnsi="Franklin Gothic Book"/>
                          <w:sz w:val="14"/>
                          <w:szCs w:val="14"/>
                          <w:lang w:val="en-US"/>
                        </w:rPr>
                      </w:pPr>
                      <w:r w:rsidRPr="0037262E">
                        <w:rPr>
                          <w:rFonts w:ascii="Franklin Gothic Book" w:hAnsi="Franklin Gothic Book" w:cs="Times New Roman"/>
                          <w:sz w:val="24"/>
                          <w:szCs w:val="24"/>
                        </w:rPr>
                        <w:t>Submission by the International Federation of Library Associations and Institutions</w:t>
                      </w:r>
                    </w:p>
                  </w:txbxContent>
                </v:textbox>
                <w10:wrap anchorx="margin"/>
              </v:shape>
            </w:pict>
          </mc:Fallback>
        </mc:AlternateContent>
      </w:r>
      <w:r w:rsidR="005607AB" w:rsidRPr="002C4660">
        <w:rPr>
          <w:rFonts w:ascii="Franklin Gothic Book" w:hAnsi="Franklin Gothic Book"/>
          <w:noProof/>
        </w:rPr>
        <w:drawing>
          <wp:anchor distT="0" distB="0" distL="114300" distR="114300" simplePos="0" relativeHeight="251659264" behindDoc="0" locked="0" layoutInCell="1" allowOverlap="1" wp14:anchorId="310D8539" wp14:editId="6EBC9B2B">
            <wp:simplePos x="0" y="0"/>
            <wp:positionH relativeFrom="margin">
              <wp:posOffset>-206209</wp:posOffset>
            </wp:positionH>
            <wp:positionV relativeFrom="paragraph">
              <wp:posOffset>-548088</wp:posOffset>
            </wp:positionV>
            <wp:extent cx="780585" cy="834887"/>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585" cy="834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2A883" w14:textId="77777777" w:rsidR="00CB231C" w:rsidRDefault="00CB231C" w:rsidP="00CB231C">
      <w:pPr>
        <w:spacing w:before="240" w:after="240" w:line="276" w:lineRule="auto"/>
      </w:pPr>
    </w:p>
    <w:p w14:paraId="540186B7" w14:textId="10C1C942"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The International Federation of Library Associations and Institutions (IFLA) welcomes the initiative of the Office of the United Nations High Commissioner for Human Rights to further examine the impacts of the COVID-19 pandemic on the enjoyment of fundamental human rights by children and young people. IFLA is a global organisation for libraries and information professionals, and the submission below draws on the library field’s experiences with providing services to children and young adults during the pandemic, and their support of the human rights and the Sustainable Development Goals. </w:t>
      </w:r>
    </w:p>
    <w:p w14:paraId="599A0A33"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We are grateful in particular to the </w:t>
      </w:r>
      <w:r w:rsidRPr="00CB231C">
        <w:rPr>
          <w:rFonts w:ascii="Franklin Gothic Book" w:eastAsia="Libre Franklin" w:hAnsi="Franklin Gothic Book" w:cs="Libre Franklin"/>
          <w:i/>
        </w:rPr>
        <w:t>Libraries for Children and Young Adults</w:t>
      </w:r>
      <w:r w:rsidRPr="00CB231C">
        <w:rPr>
          <w:rFonts w:ascii="Franklin Gothic Book" w:eastAsia="Libre Franklin" w:hAnsi="Franklin Gothic Book" w:cs="Libre Franklin"/>
        </w:rPr>
        <w:t xml:space="preserve"> Section of IFLA for their work on this submission.</w:t>
      </w:r>
    </w:p>
    <w:p w14:paraId="058619B4" w14:textId="77777777" w:rsidR="00CB231C" w:rsidRPr="00CB231C" w:rsidRDefault="00CB231C" w:rsidP="00DA57D7">
      <w:pPr>
        <w:spacing w:before="240" w:after="0" w:line="276" w:lineRule="auto"/>
        <w:jc w:val="both"/>
        <w:rPr>
          <w:rFonts w:ascii="Franklin Gothic Book" w:eastAsia="Libre Franklin" w:hAnsi="Franklin Gothic Book" w:cs="Libre Franklin"/>
          <w:i/>
          <w:sz w:val="18"/>
          <w:szCs w:val="18"/>
        </w:rPr>
      </w:pPr>
      <w:r w:rsidRPr="00CB231C">
        <w:rPr>
          <w:rFonts w:ascii="Franklin Gothic Book" w:eastAsia="Libre Franklin" w:hAnsi="Franklin Gothic Book" w:cs="Libre Franklin"/>
          <w:i/>
          <w:sz w:val="18"/>
          <w:szCs w:val="18"/>
        </w:rPr>
        <w:t xml:space="preserve">Many thanks for this opportunity to provide inputs for this consultation. </w:t>
      </w:r>
    </w:p>
    <w:p w14:paraId="0494B356" w14:textId="1DA93D59" w:rsidR="00CB231C" w:rsidRDefault="00CB231C" w:rsidP="00DA57D7">
      <w:pPr>
        <w:spacing w:after="240" w:line="276" w:lineRule="auto"/>
        <w:jc w:val="both"/>
        <w:rPr>
          <w:rFonts w:ascii="Franklin Gothic Book" w:eastAsia="Libre Franklin" w:hAnsi="Franklin Gothic Book" w:cs="Libre Franklin"/>
          <w:i/>
          <w:sz w:val="18"/>
          <w:szCs w:val="18"/>
        </w:rPr>
      </w:pPr>
      <w:r w:rsidRPr="00CB231C">
        <w:rPr>
          <w:rFonts w:ascii="Franklin Gothic Book" w:eastAsia="Libre Franklin" w:hAnsi="Franklin Gothic Book" w:cs="Libre Franklin"/>
          <w:i/>
          <w:sz w:val="18"/>
          <w:szCs w:val="18"/>
        </w:rPr>
        <w:t>Because IFLA is a global organisation, we would like to highlight several insights from different regions which we hope may be useful for OHCHR’s work on the upcoming report, and focus on sections 1 and 2 of the questionnaire.</w:t>
      </w:r>
    </w:p>
    <w:p w14:paraId="00A33343" w14:textId="77777777" w:rsidR="000114C9" w:rsidRDefault="000114C9" w:rsidP="00DA57D7">
      <w:pPr>
        <w:spacing w:after="240" w:line="276" w:lineRule="auto"/>
        <w:jc w:val="both"/>
        <w:rPr>
          <w:rFonts w:ascii="Franklin Gothic Book" w:eastAsia="Libre Franklin" w:hAnsi="Franklin Gothic Book" w:cs="Libre Franklin"/>
          <w:i/>
          <w:sz w:val="18"/>
          <w:szCs w:val="18"/>
        </w:rPr>
      </w:pPr>
    </w:p>
    <w:p w14:paraId="57B08C69" w14:textId="77777777" w:rsidR="00CB231C" w:rsidRPr="00CB231C" w:rsidRDefault="00CB231C" w:rsidP="00DA57D7">
      <w:pPr>
        <w:spacing w:before="240" w:after="240" w:line="276" w:lineRule="auto"/>
        <w:jc w:val="both"/>
        <w:rPr>
          <w:rFonts w:ascii="Franklin Gothic Book" w:eastAsia="Libre Franklin" w:hAnsi="Franklin Gothic Book" w:cs="Libre Franklin"/>
          <w:b/>
        </w:rPr>
      </w:pPr>
      <w:r w:rsidRPr="00CB231C">
        <w:rPr>
          <w:rFonts w:ascii="Franklin Gothic Book" w:eastAsia="Libre Franklin" w:hAnsi="Franklin Gothic Book" w:cs="Libre Franklin"/>
          <w:b/>
        </w:rPr>
        <w:t xml:space="preserve">The right to education - </w:t>
      </w:r>
      <w:r w:rsidRPr="00CB231C">
        <w:rPr>
          <w:rFonts w:ascii="Franklin Gothic Book" w:eastAsia="Libre Franklin" w:hAnsi="Franklin Gothic Book" w:cs="Libre Franklin"/>
          <w:b/>
          <w:i/>
        </w:rPr>
        <w:t>the digital divide</w:t>
      </w:r>
    </w:p>
    <w:p w14:paraId="2B076B64"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1) </w:t>
      </w:r>
      <w:r w:rsidRPr="00CB231C">
        <w:rPr>
          <w:rFonts w:ascii="Franklin Gothic Book" w:eastAsia="Libre Franklin" w:hAnsi="Franklin Gothic Book" w:cs="Libre Franklin"/>
          <w:b/>
          <w:i/>
        </w:rPr>
        <w:t>Challenges.</w:t>
      </w:r>
      <w:r w:rsidRPr="00CB231C">
        <w:rPr>
          <w:rFonts w:ascii="Franklin Gothic Book" w:eastAsia="Libre Franklin" w:hAnsi="Franklin Gothic Book" w:cs="Libre Franklin"/>
        </w:rPr>
        <w:t xml:space="preserve"> As emphasised by innumerable stakeholders, the pandemic has had an enormous impact on education – the full extent of which is yet to be measured and quantified in its entirety. To begin with, it would of course be remiss not to mention the digital divide, which has emerged as one of the most prominent challenges during school closures. </w:t>
      </w:r>
    </w:p>
    <w:p w14:paraId="56AFAD99"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Broadly speaking, a 2021 Human Rights Watch report has outlined several key categories comprising the digital divides in access to education. On the students’ side, these include: a lack of electricity at home, lack of access to broadcasting channels such as TV or radio (which in some cases were used to roll out lessons substituting in-person education), no internet access (including due to internet shutdowns of unaffordability), unreliable internet access, lack of access to devices, inadequate devices or insufficient access to them, and under-utilisation of existing resources when the ICT infrastructure is in place.</w:t>
      </w:r>
      <w:r w:rsidRPr="00CB231C">
        <w:rPr>
          <w:rFonts w:ascii="Franklin Gothic Book" w:eastAsia="Libre Franklin" w:hAnsi="Franklin Gothic Book" w:cs="Libre Franklin"/>
          <w:vertAlign w:val="superscript"/>
        </w:rPr>
        <w:footnoteReference w:id="1"/>
      </w:r>
    </w:p>
    <w:p w14:paraId="2CA3B15B"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2) </w:t>
      </w:r>
      <w:r w:rsidRPr="00CB231C">
        <w:rPr>
          <w:rFonts w:ascii="Franklin Gothic Book" w:eastAsia="Libre Franklin" w:hAnsi="Franklin Gothic Book" w:cs="Libre Franklin"/>
          <w:b/>
          <w:i/>
        </w:rPr>
        <w:t>Measures taken</w:t>
      </w:r>
      <w:r w:rsidRPr="00CB231C">
        <w:rPr>
          <w:rFonts w:ascii="Franklin Gothic Book" w:eastAsia="Libre Franklin" w:hAnsi="Franklin Gothic Book" w:cs="Libre Franklin"/>
        </w:rPr>
        <w:t>. These inequalities have also been noted by libraries serving young patrons. Public access-based solutions are among the responses and measures taken to address such digital divides. In the USA alone, 93% of public libraries surveyed in 2020 indicated that they leave WiFi available when the library building is closed.</w:t>
      </w:r>
      <w:r w:rsidRPr="00CB231C">
        <w:rPr>
          <w:rFonts w:ascii="Franklin Gothic Book" w:eastAsia="Libre Franklin" w:hAnsi="Franklin Gothic Book" w:cs="Libre Franklin"/>
          <w:vertAlign w:val="superscript"/>
        </w:rPr>
        <w:footnoteReference w:id="2"/>
      </w:r>
      <w:r w:rsidRPr="00CB231C">
        <w:rPr>
          <w:rFonts w:ascii="Franklin Gothic Book" w:eastAsia="Libre Franklin" w:hAnsi="Franklin Gothic Book" w:cs="Libre Franklin"/>
        </w:rPr>
        <w:t xml:space="preserve"> Such measures, in turn, saw numerous reports about library “parking lot” internet used extensively to help students close the homework internet gap. Other widespread measures adopted by libraries in different countries include free hotspot, laptop and tablet loans, and more free shared internet access spots installed in outdoor areas, or delivered through library bookmobiles. </w:t>
      </w:r>
    </w:p>
    <w:p w14:paraId="1ED7C3AE"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lastRenderedPageBreak/>
        <w:t>Many such measures have been taken at a library level, while other policies and projects seek to systematically leverage public access solutions. This includes, for example, recent funding support to further expand the number of tablets, laptops and printers available in public libraries across Jamaica, aiming to enable more people to meaningfully participate in online learning.</w:t>
      </w:r>
      <w:r w:rsidRPr="00CB231C">
        <w:rPr>
          <w:rFonts w:ascii="Franklin Gothic Book" w:eastAsia="Libre Franklin" w:hAnsi="Franklin Gothic Book" w:cs="Libre Franklin"/>
          <w:vertAlign w:val="superscript"/>
        </w:rPr>
        <w:footnoteReference w:id="3"/>
      </w:r>
      <w:r w:rsidRPr="00CB231C">
        <w:rPr>
          <w:rFonts w:ascii="Franklin Gothic Book" w:eastAsia="Libre Franklin" w:hAnsi="Franklin Gothic Book" w:cs="Libre Franklin"/>
        </w:rPr>
        <w:t xml:space="preserve"> </w:t>
      </w:r>
    </w:p>
    <w:p w14:paraId="567AB8F6" w14:textId="77777777" w:rsidR="00CB231C" w:rsidRPr="00CB231C" w:rsidRDefault="00CB231C" w:rsidP="00DA57D7">
      <w:pPr>
        <w:spacing w:before="240" w:after="240" w:line="276" w:lineRule="auto"/>
        <w:jc w:val="both"/>
        <w:rPr>
          <w:rFonts w:ascii="Franklin Gothic Book" w:eastAsia="Libre Franklin" w:hAnsi="Franklin Gothic Book" w:cs="Libre Franklin"/>
          <w:i/>
        </w:rPr>
      </w:pPr>
      <w:r w:rsidRPr="00CB231C">
        <w:rPr>
          <w:rFonts w:ascii="Franklin Gothic Book" w:eastAsia="Libre Franklin" w:hAnsi="Franklin Gothic Book" w:cs="Libre Franklin"/>
          <w:i/>
        </w:rPr>
        <w:t>Such considerations continue to be relevant given the latest wave of (e.g. partial) school closures and class-level quarantines, and we encourage further support for these and other measures to address the digital divides among students.</w:t>
      </w:r>
    </w:p>
    <w:p w14:paraId="3D168B89" w14:textId="77777777" w:rsidR="00CB231C" w:rsidRPr="00CB231C" w:rsidRDefault="00CB231C" w:rsidP="00DA57D7">
      <w:pPr>
        <w:spacing w:before="240" w:after="240" w:line="276" w:lineRule="auto"/>
        <w:jc w:val="both"/>
        <w:rPr>
          <w:rFonts w:ascii="Franklin Gothic Book" w:eastAsia="Libre Franklin" w:hAnsi="Franklin Gothic Book" w:cs="Libre Franklin"/>
          <w:b/>
        </w:rPr>
      </w:pPr>
      <w:r w:rsidRPr="00CB231C">
        <w:rPr>
          <w:rFonts w:ascii="Franklin Gothic Book" w:eastAsia="Libre Franklin" w:hAnsi="Franklin Gothic Book" w:cs="Libre Franklin"/>
          <w:b/>
        </w:rPr>
        <w:t xml:space="preserve">The right to education - </w:t>
      </w:r>
      <w:r w:rsidRPr="00CB231C">
        <w:rPr>
          <w:rFonts w:ascii="Franklin Gothic Book" w:eastAsia="Libre Franklin" w:hAnsi="Franklin Gothic Book" w:cs="Libre Franklin"/>
          <w:b/>
          <w:i/>
        </w:rPr>
        <w:t>access to learning materials</w:t>
      </w:r>
    </w:p>
    <w:p w14:paraId="24F3DC44"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1) </w:t>
      </w:r>
      <w:r w:rsidRPr="00CB231C">
        <w:rPr>
          <w:rFonts w:ascii="Franklin Gothic Book" w:eastAsia="Libre Franklin" w:hAnsi="Franklin Gothic Book" w:cs="Libre Franklin"/>
          <w:b/>
          <w:i/>
        </w:rPr>
        <w:t>Challenges.</w:t>
      </w:r>
      <w:r w:rsidRPr="00CB231C">
        <w:rPr>
          <w:rFonts w:ascii="Franklin Gothic Book" w:eastAsia="Libre Franklin" w:hAnsi="Franklin Gothic Book" w:cs="Libre Franklin"/>
        </w:rPr>
        <w:t xml:space="preserve"> A related impact on the enjoyment of the right to education during the pandemic is linked to access to learning materials. Data gathered for a joint report by UNESCO and the International Association for the Evaluation of Educational Achievement (IEA) suggests that a “lack of learning materials for remote teaching” was reported as a limitation for remote learning by more than half of surveyed school principals in several of the 11 countries the report covers.</w:t>
      </w:r>
      <w:r w:rsidRPr="00CB231C">
        <w:rPr>
          <w:rFonts w:ascii="Franklin Gothic Book" w:eastAsia="Libre Franklin" w:hAnsi="Franklin Gothic Book" w:cs="Libre Franklin"/>
          <w:vertAlign w:val="superscript"/>
        </w:rPr>
        <w:footnoteReference w:id="4"/>
      </w:r>
    </w:p>
    <w:p w14:paraId="3A55D9D8"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A shift to digital remote learning in many parts of the world  has also prompted an important discussion about the e-book and digital academic resources markets – particularly around affordability and usage terms and conditions (including copyright). Notable examples here include, for example, the #ebooksos campaigns in the UK and Ireland, which draw attention to these pressing challenges.</w:t>
      </w:r>
      <w:r w:rsidRPr="00CB231C">
        <w:rPr>
          <w:rFonts w:ascii="Franklin Gothic Book" w:eastAsia="Libre Franklin" w:hAnsi="Franklin Gothic Book" w:cs="Libre Franklin"/>
          <w:vertAlign w:val="superscript"/>
        </w:rPr>
        <w:footnoteReference w:id="5"/>
      </w:r>
      <w:r w:rsidRPr="00CB231C">
        <w:rPr>
          <w:rFonts w:ascii="Franklin Gothic Book" w:eastAsia="Libre Franklin" w:hAnsi="Franklin Gothic Book" w:cs="Libre Franklin"/>
        </w:rPr>
        <w:t xml:space="preserve"> </w:t>
      </w:r>
    </w:p>
    <w:p w14:paraId="0A9315B4"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The importance of these policy dialogues in light of the right to education continues alongside the demand for digital learning resources. In a 2021 survey by the Scholarly Publishing and Academic Resources Coalition (SPARC), 97% of respondents from the US, Canada and Australia indicated that they expect “increased demand for online resources from faculty &amp; students” to have a long-term impact on the (academic) library landscape which will continue beyond the pandemic.</w:t>
      </w:r>
      <w:r w:rsidRPr="00CB231C">
        <w:rPr>
          <w:rFonts w:ascii="Franklin Gothic Book" w:eastAsia="Libre Franklin" w:hAnsi="Franklin Gothic Book" w:cs="Libre Franklin"/>
          <w:vertAlign w:val="superscript"/>
        </w:rPr>
        <w:footnoteReference w:id="6"/>
      </w:r>
    </w:p>
    <w:p w14:paraId="47B452E3"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2) </w:t>
      </w:r>
      <w:r w:rsidRPr="00CB231C">
        <w:rPr>
          <w:rFonts w:ascii="Franklin Gothic Book" w:eastAsia="Libre Franklin" w:hAnsi="Franklin Gothic Book" w:cs="Libre Franklin"/>
          <w:b/>
          <w:i/>
        </w:rPr>
        <w:t>Measures taken</w:t>
      </w:r>
      <w:r w:rsidRPr="00CB231C">
        <w:rPr>
          <w:rFonts w:ascii="Franklin Gothic Book" w:eastAsia="Libre Franklin" w:hAnsi="Franklin Gothic Book" w:cs="Libre Franklin"/>
        </w:rPr>
        <w:t>. Alongside the #ebooksos campaign mentioned above, numerous actions have been taken at both library system- and organisational levels, to provide more access to digital learning and educational materials. In some cases, where possible, this has been achieved by expanding digital collections users can access – as is the case, for example, with the National Library Board of Singapore and many others.</w:t>
      </w:r>
      <w:r w:rsidRPr="00CB231C">
        <w:rPr>
          <w:rFonts w:ascii="Franklin Gothic Book" w:eastAsia="Libre Franklin" w:hAnsi="Franklin Gothic Book" w:cs="Libre Franklin"/>
          <w:vertAlign w:val="superscript"/>
        </w:rPr>
        <w:footnoteReference w:id="7"/>
      </w:r>
    </w:p>
    <w:p w14:paraId="6BDCA6A7"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There are also examples of initiatives exploring various channels for digital content delivery, to further boost access to educational materials. One example is, for instance, a government public library in Kota Rajasthan, India – which works to deliver a range of key digital resources through a dedicated WhatsApp group, including materials for both formal study and lifelong learning.</w:t>
      </w:r>
      <w:r w:rsidRPr="00CB231C">
        <w:rPr>
          <w:rFonts w:ascii="Franklin Gothic Book" w:eastAsia="Libre Franklin" w:hAnsi="Franklin Gothic Book" w:cs="Libre Franklin"/>
          <w:vertAlign w:val="superscript"/>
        </w:rPr>
        <w:footnoteReference w:id="8"/>
      </w:r>
      <w:r w:rsidRPr="00CB231C">
        <w:rPr>
          <w:rFonts w:ascii="Franklin Gothic Book" w:eastAsia="Libre Franklin" w:hAnsi="Franklin Gothic Book" w:cs="Libre Franklin"/>
        </w:rPr>
        <w:t xml:space="preserve"> </w:t>
      </w:r>
    </w:p>
    <w:p w14:paraId="0AF24CDB" w14:textId="77777777" w:rsidR="00CB231C" w:rsidRPr="00CB231C" w:rsidRDefault="00CB231C" w:rsidP="00DA57D7">
      <w:pPr>
        <w:spacing w:before="240" w:after="240" w:line="276" w:lineRule="auto"/>
        <w:jc w:val="both"/>
        <w:rPr>
          <w:rFonts w:ascii="Franklin Gothic Book" w:eastAsia="Libre Franklin" w:hAnsi="Franklin Gothic Book" w:cs="Libre Franklin"/>
          <w:i/>
        </w:rPr>
      </w:pPr>
      <w:r w:rsidRPr="00CB231C">
        <w:rPr>
          <w:rFonts w:ascii="Franklin Gothic Book" w:eastAsia="Libre Franklin" w:hAnsi="Franklin Gothic Book" w:cs="Libre Franklin"/>
          <w:i/>
        </w:rPr>
        <w:t>In light of these needs and evolving practices, we encourage further attention to policy dialogues and measures which foster equitable access to educational and learning content, including in digital formats.</w:t>
      </w:r>
    </w:p>
    <w:p w14:paraId="0C7B2E86" w14:textId="78337202" w:rsidR="00CB231C" w:rsidRPr="00CB231C" w:rsidRDefault="00CB231C" w:rsidP="00DA57D7">
      <w:pPr>
        <w:spacing w:before="240" w:after="240" w:line="276" w:lineRule="auto"/>
        <w:jc w:val="both"/>
        <w:rPr>
          <w:rFonts w:ascii="Franklin Gothic Book" w:eastAsia="Libre Franklin" w:hAnsi="Franklin Gothic Book" w:cs="Libre Franklin"/>
          <w:b/>
        </w:rPr>
      </w:pPr>
      <w:r w:rsidRPr="00CB231C">
        <w:rPr>
          <w:rFonts w:ascii="Franklin Gothic Book" w:eastAsia="Libre Franklin" w:hAnsi="Franklin Gothic Book" w:cs="Libre Franklin"/>
          <w:b/>
        </w:rPr>
        <w:lastRenderedPageBreak/>
        <w:t xml:space="preserve">The right to education – </w:t>
      </w:r>
      <w:r w:rsidRPr="00CB231C">
        <w:rPr>
          <w:rFonts w:ascii="Franklin Gothic Book" w:eastAsia="Libre Franklin" w:hAnsi="Franklin Gothic Book" w:cs="Libre Franklin"/>
          <w:b/>
          <w:i/>
        </w:rPr>
        <w:t>learning outcomes</w:t>
      </w:r>
    </w:p>
    <w:p w14:paraId="6CB490A9" w14:textId="3671B6BB"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1) </w:t>
      </w:r>
      <w:r w:rsidRPr="00CB231C">
        <w:rPr>
          <w:rFonts w:ascii="Franklin Gothic Book" w:eastAsia="Libre Franklin" w:hAnsi="Franklin Gothic Book" w:cs="Libre Franklin"/>
          <w:b/>
          <w:i/>
        </w:rPr>
        <w:t>Challenges.</w:t>
      </w:r>
      <w:r w:rsidRPr="00CB231C">
        <w:rPr>
          <w:rFonts w:ascii="Franklin Gothic Book" w:eastAsia="Libre Franklin" w:hAnsi="Franklin Gothic Book" w:cs="Libre Franklin"/>
        </w:rPr>
        <w:t xml:space="preserve"> It is also crucial to consider the emerging evidence around the impacts of the pandemic on educational outcomes and attainment. Clearly, students who may never return to school following school closures is one of the most pressing concerns in this area, with some early data following school closures in several countries suggesting decreases in </w:t>
      </w:r>
      <w:r w:rsidR="00751300" w:rsidRPr="00CB231C">
        <w:rPr>
          <w:rFonts w:ascii="Franklin Gothic Book" w:eastAsia="Libre Franklin" w:hAnsi="Franklin Gothic Book" w:cs="Libre Franklin"/>
        </w:rPr>
        <w:t>enrol</w:t>
      </w:r>
      <w:r w:rsidR="00751300">
        <w:rPr>
          <w:rFonts w:ascii="Franklin Gothic Book" w:eastAsia="Libre Franklin" w:hAnsi="Franklin Gothic Book" w:cs="Libre Franklin"/>
        </w:rPr>
        <w:t>m</w:t>
      </w:r>
      <w:r w:rsidR="00751300" w:rsidRPr="00CB231C">
        <w:rPr>
          <w:rFonts w:ascii="Franklin Gothic Book" w:eastAsia="Libre Franklin" w:hAnsi="Franklin Gothic Book" w:cs="Libre Franklin"/>
        </w:rPr>
        <w:t>ent</w:t>
      </w:r>
      <w:r w:rsidRPr="00CB231C">
        <w:rPr>
          <w:rFonts w:ascii="Franklin Gothic Book" w:eastAsia="Libre Franklin" w:hAnsi="Franklin Gothic Book" w:cs="Libre Franklin"/>
        </w:rPr>
        <w:t>, while possible increases in grade repetition rates present another concern.</w:t>
      </w:r>
      <w:r w:rsidRPr="00CB231C">
        <w:rPr>
          <w:rFonts w:ascii="Franklin Gothic Book" w:eastAsia="Libre Franklin" w:hAnsi="Franklin Gothic Book" w:cs="Libre Franklin"/>
          <w:vertAlign w:val="superscript"/>
        </w:rPr>
        <w:footnoteReference w:id="9"/>
      </w:r>
    </w:p>
    <w:p w14:paraId="661E9642"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At the same time, emerging evidence sheds more light on how the pandemic has impacted key skills acquisition among school-age learners. Encouraging evidence from Australia, for instance, suggests that there has been no significant decrease in student performance at the National Assessment Program for Literacy and Numeracy exams in 2019 and 2021. However, on a larger scale, a 2021 report The State of the Global Education Crisis: A Path to Recovery by World Bank, UNESCO and UNICEF suggests significant losses in reading and maths skills in several countries in different world regions.</w:t>
      </w:r>
      <w:r w:rsidRPr="00CB231C">
        <w:rPr>
          <w:rFonts w:ascii="Franklin Gothic Book" w:eastAsia="Libre Franklin" w:hAnsi="Franklin Gothic Book" w:cs="Libre Franklin"/>
          <w:vertAlign w:val="superscript"/>
        </w:rPr>
        <w:footnoteReference w:id="10"/>
      </w:r>
      <w:r w:rsidRPr="00CB231C">
        <w:rPr>
          <w:rFonts w:ascii="Franklin Gothic Book" w:eastAsia="Libre Franklin" w:hAnsi="Franklin Gothic Book" w:cs="Libre Franklin"/>
        </w:rPr>
        <w:t xml:space="preserve"> </w:t>
      </w:r>
    </w:p>
    <w:p w14:paraId="3E774D59"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Crucially, much like several other key factors impacting children’s enjoyment of human rights during the pandemic (such as digital exclusion), the report highlights the multiplication of inequalities – with e.g. girls, children with disabilities, younger students and those from lower-income backgrounds more likely to be impacted by learning losses.</w:t>
      </w:r>
    </w:p>
    <w:p w14:paraId="01DF3457"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2) </w:t>
      </w:r>
      <w:r w:rsidRPr="00CB231C">
        <w:rPr>
          <w:rFonts w:ascii="Franklin Gothic Book" w:eastAsia="Libre Franklin" w:hAnsi="Franklin Gothic Book" w:cs="Libre Franklin"/>
          <w:b/>
          <w:i/>
        </w:rPr>
        <w:t>Measures taken</w:t>
      </w:r>
      <w:r w:rsidRPr="00CB231C">
        <w:rPr>
          <w:rFonts w:ascii="Franklin Gothic Book" w:eastAsia="Libre Franklin" w:hAnsi="Franklin Gothic Book" w:cs="Libre Franklin"/>
        </w:rPr>
        <w:t>. Clearly, efforts to further support learning recovery continue to be critical. One of the tools in the arsenal so far has been non-formal and semi-formal learning support. Various examples of this can be seen in many parts of the world, e.g. in the form of homework and study help (including from libraries in Italy, the UK and other countries). In the US, for instance, the 2020 Public Library Technology Survey reported 36.9% of libraries offering their communities online homework assistance resources.</w:t>
      </w:r>
      <w:r w:rsidRPr="00CB231C">
        <w:rPr>
          <w:rFonts w:ascii="Franklin Gothic Book" w:eastAsia="Libre Franklin" w:hAnsi="Franklin Gothic Book" w:cs="Libre Franklin"/>
          <w:vertAlign w:val="superscript"/>
        </w:rPr>
        <w:footnoteReference w:id="11"/>
      </w:r>
      <w:r w:rsidRPr="00CB231C">
        <w:rPr>
          <w:rFonts w:ascii="Franklin Gothic Book" w:eastAsia="Libre Franklin" w:hAnsi="Franklin Gothic Book" w:cs="Libre Franklin"/>
        </w:rPr>
        <w:t xml:space="preserve">  </w:t>
      </w:r>
    </w:p>
    <w:p w14:paraId="6AE79B62" w14:textId="5B91BFBF"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There are efforts to implement different formulas for such initiatives, to best match local community needs and interests. In January 2020, the New York Public Library, for example, introduced a pilot drop-in (rather than </w:t>
      </w:r>
      <w:r w:rsidR="000114C9" w:rsidRPr="00CB231C">
        <w:rPr>
          <w:rFonts w:ascii="Franklin Gothic Book" w:eastAsia="Libre Franklin" w:hAnsi="Franklin Gothic Book" w:cs="Libre Franklin"/>
        </w:rPr>
        <w:t>enrolment</w:t>
      </w:r>
      <w:r w:rsidRPr="00CB231C">
        <w:rPr>
          <w:rFonts w:ascii="Franklin Gothic Book" w:eastAsia="Libre Franklin" w:hAnsi="Franklin Gothic Book" w:cs="Libre Franklin"/>
        </w:rPr>
        <w:t>-based) model for homework help, with tutors and trained young volunteers. A return to in-person help in 2021 saw the programme expanded, offering further opportunities to help counter pandemic-related learning losses.</w:t>
      </w:r>
      <w:r w:rsidRPr="00CB231C">
        <w:rPr>
          <w:rFonts w:ascii="Franklin Gothic Book" w:eastAsia="Libre Franklin" w:hAnsi="Franklin Gothic Book" w:cs="Libre Franklin"/>
          <w:vertAlign w:val="superscript"/>
        </w:rPr>
        <w:footnoteReference w:id="12"/>
      </w:r>
      <w:r w:rsidRPr="00CB231C">
        <w:rPr>
          <w:rFonts w:ascii="Franklin Gothic Book" w:eastAsia="Libre Franklin" w:hAnsi="Franklin Gothic Book" w:cs="Libre Franklin"/>
        </w:rPr>
        <w:t xml:space="preserve"> </w:t>
      </w:r>
    </w:p>
    <w:p w14:paraId="5240FE22" w14:textId="77777777"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There are also extensive and varied efforts to facilitate reading habits and competencies. For example, the </w:t>
      </w:r>
      <w:r w:rsidRPr="00CB231C">
        <w:rPr>
          <w:rFonts w:ascii="Franklin Gothic Book" w:eastAsia="Libre Franklin" w:hAnsi="Franklin Gothic Book" w:cs="Libre Franklin"/>
          <w:i/>
        </w:rPr>
        <w:t>Ireland Reads</w:t>
      </w:r>
      <w:r w:rsidRPr="00CB231C">
        <w:rPr>
          <w:rFonts w:ascii="Franklin Gothic Book" w:eastAsia="Libre Franklin" w:hAnsi="Franklin Gothic Book" w:cs="Libre Franklin"/>
        </w:rPr>
        <w:t xml:space="preserve"> campaign matches readers with a book fit for their reading skills and preferred genres, which in 2021 saw members of the public pledge more than 900.000 reading minutes for the Ireland Reads Day, February 25.</w:t>
      </w:r>
      <w:r w:rsidRPr="00CB231C">
        <w:rPr>
          <w:rFonts w:ascii="Franklin Gothic Book" w:eastAsia="Libre Franklin" w:hAnsi="Franklin Gothic Book" w:cs="Libre Franklin"/>
          <w:vertAlign w:val="superscript"/>
        </w:rPr>
        <w:footnoteReference w:id="13"/>
      </w:r>
    </w:p>
    <w:p w14:paraId="22622EC0" w14:textId="77777777" w:rsidR="00CB231C" w:rsidRPr="00CB231C" w:rsidRDefault="00CB231C" w:rsidP="00DA57D7">
      <w:pPr>
        <w:spacing w:before="240" w:after="240" w:line="276" w:lineRule="auto"/>
        <w:jc w:val="both"/>
        <w:rPr>
          <w:rFonts w:ascii="Franklin Gothic Book" w:eastAsia="Libre Franklin" w:hAnsi="Franklin Gothic Book" w:cs="Libre Franklin"/>
          <w:i/>
        </w:rPr>
      </w:pPr>
      <w:r w:rsidRPr="00CB231C">
        <w:rPr>
          <w:rFonts w:ascii="Franklin Gothic Book" w:eastAsia="Libre Franklin" w:hAnsi="Franklin Gothic Book" w:cs="Libre Franklin"/>
          <w:i/>
        </w:rPr>
        <w:lastRenderedPageBreak/>
        <w:t>In short, non-formal and semi-formal learning support, such as homework assistance in libraries and similar organisations, can be a helpful tool in broadening strategies to address learning losses caused by the pandemic.</w:t>
      </w:r>
    </w:p>
    <w:p w14:paraId="2BA851C5" w14:textId="437BF8FA" w:rsidR="00CB231C" w:rsidRPr="00CB231C" w:rsidRDefault="00CB231C" w:rsidP="00DA57D7">
      <w:pPr>
        <w:spacing w:before="240" w:after="240" w:line="276" w:lineRule="auto"/>
        <w:jc w:val="both"/>
        <w:rPr>
          <w:rFonts w:ascii="Franklin Gothic Book" w:eastAsia="Libre Franklin" w:hAnsi="Franklin Gothic Book" w:cs="Libre Franklin"/>
          <w:b/>
        </w:rPr>
      </w:pPr>
      <w:r w:rsidRPr="00CB231C">
        <w:rPr>
          <w:rFonts w:ascii="Franklin Gothic Book" w:eastAsia="Libre Franklin" w:hAnsi="Franklin Gothic Book" w:cs="Libre Franklin"/>
          <w:b/>
        </w:rPr>
        <w:t xml:space="preserve">The right to health – </w:t>
      </w:r>
      <w:r w:rsidRPr="00CB231C">
        <w:rPr>
          <w:rFonts w:ascii="Franklin Gothic Book" w:eastAsia="Libre Franklin" w:hAnsi="Franklin Gothic Book" w:cs="Libre Franklin"/>
          <w:b/>
          <w:i/>
        </w:rPr>
        <w:t>mental health and well</w:t>
      </w:r>
      <w:r w:rsidR="00751300">
        <w:rPr>
          <w:rFonts w:ascii="Franklin Gothic Book" w:eastAsia="Libre Franklin" w:hAnsi="Franklin Gothic Book" w:cs="Libre Franklin"/>
          <w:b/>
          <w:i/>
        </w:rPr>
        <w:t>-</w:t>
      </w:r>
      <w:r w:rsidRPr="00CB231C">
        <w:rPr>
          <w:rFonts w:ascii="Franklin Gothic Book" w:eastAsia="Libre Franklin" w:hAnsi="Franklin Gothic Book" w:cs="Libre Franklin"/>
          <w:b/>
          <w:i/>
        </w:rPr>
        <w:t>being</w:t>
      </w:r>
    </w:p>
    <w:p w14:paraId="7355BA1F" w14:textId="060B6EE2"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1) </w:t>
      </w:r>
      <w:r w:rsidRPr="00CB231C">
        <w:rPr>
          <w:rFonts w:ascii="Franklin Gothic Book" w:eastAsia="Libre Franklin" w:hAnsi="Franklin Gothic Book" w:cs="Libre Franklin"/>
          <w:b/>
          <w:i/>
        </w:rPr>
        <w:t>Challenges.</w:t>
      </w:r>
      <w:r w:rsidRPr="00CB231C">
        <w:rPr>
          <w:rFonts w:ascii="Franklin Gothic Book" w:eastAsia="Libre Franklin" w:hAnsi="Franklin Gothic Book" w:cs="Libre Franklin"/>
        </w:rPr>
        <w:t xml:space="preserve"> There are significant negative documented impacts on children’s and young adults’ mental health and well</w:t>
      </w:r>
      <w:r w:rsidR="00751300">
        <w:rPr>
          <w:rFonts w:ascii="Franklin Gothic Book" w:eastAsia="Libre Franklin" w:hAnsi="Franklin Gothic Book" w:cs="Libre Franklin"/>
        </w:rPr>
        <w:t>-</w:t>
      </w:r>
      <w:r w:rsidRPr="00CB231C">
        <w:rPr>
          <w:rFonts w:ascii="Franklin Gothic Book" w:eastAsia="Libre Franklin" w:hAnsi="Franklin Gothic Book" w:cs="Libre Franklin"/>
        </w:rPr>
        <w:t xml:space="preserve">being linked to the pandemic – including isolation, stress and anxiety, and fewer opportunities </w:t>
      </w:r>
      <w:r w:rsidR="000114C9" w:rsidRPr="00CB231C">
        <w:rPr>
          <w:rFonts w:ascii="Franklin Gothic Book" w:eastAsia="Libre Franklin" w:hAnsi="Franklin Gothic Book" w:cs="Libre Franklin"/>
        </w:rPr>
        <w:t>for socialisation</w:t>
      </w:r>
      <w:r w:rsidRPr="00CB231C">
        <w:rPr>
          <w:rFonts w:ascii="Franklin Gothic Book" w:eastAsia="Libre Franklin" w:hAnsi="Franklin Gothic Book" w:cs="Libre Franklin"/>
        </w:rPr>
        <w:t xml:space="preserve">. </w:t>
      </w:r>
    </w:p>
    <w:p w14:paraId="3AD22302" w14:textId="7FA98254"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In Singapore, for example, a survey rolled out in autumn 2021 reflected “a mix of optimism and anxiety” among youth, with “stressed out” and “anxious” as the most widely reported mental states over the past two months (41% and 37% respectively, followed by “calm” (31%), “overwhelmed” (28%) and “happy” (25%).</w:t>
      </w:r>
      <w:r w:rsidRPr="00CB231C">
        <w:rPr>
          <w:rFonts w:ascii="Franklin Gothic Book" w:eastAsia="Libre Franklin" w:hAnsi="Franklin Gothic Book" w:cs="Libre Franklin"/>
          <w:vertAlign w:val="superscript"/>
        </w:rPr>
        <w:footnoteReference w:id="14"/>
      </w:r>
      <w:r w:rsidRPr="00CB231C">
        <w:rPr>
          <w:rFonts w:ascii="Franklin Gothic Book" w:eastAsia="Libre Franklin" w:hAnsi="Franklin Gothic Book" w:cs="Libre Franklin"/>
        </w:rPr>
        <w:t xml:space="preserve"> The </w:t>
      </w:r>
      <w:r w:rsidRPr="00CB231C">
        <w:rPr>
          <w:rFonts w:ascii="Franklin Gothic Book" w:eastAsia="Libre Franklin" w:hAnsi="Franklin Gothic Book" w:cs="Libre Franklin"/>
          <w:i/>
        </w:rPr>
        <w:t>National Online Survey of Children’s Well-being During the COVID-19 Pandemic in Japan</w:t>
      </w:r>
      <w:r w:rsidRPr="00CB231C">
        <w:rPr>
          <w:rFonts w:ascii="Franklin Gothic Book" w:eastAsia="Libre Franklin" w:hAnsi="Franklin Gothic Book" w:cs="Libre Franklin"/>
        </w:rPr>
        <w:t xml:space="preserve"> tracks school-age students and guardians’ responses on children’s well</w:t>
      </w:r>
      <w:r w:rsidR="00751300">
        <w:rPr>
          <w:rFonts w:ascii="Franklin Gothic Book" w:eastAsia="Libre Franklin" w:hAnsi="Franklin Gothic Book" w:cs="Libre Franklin"/>
        </w:rPr>
        <w:t>-</w:t>
      </w:r>
      <w:r w:rsidRPr="00CB231C">
        <w:rPr>
          <w:rFonts w:ascii="Franklin Gothic Book" w:eastAsia="Libre Franklin" w:hAnsi="Franklin Gothic Book" w:cs="Libre Franklin"/>
        </w:rPr>
        <w:t>being – including mental health, studying, and exercise. The September 2021 survey results indicated, for example, that 38% of children felt uncomfortable thinking about COVID-19, and more than 25% had difficulties concentrating or were easily irritated.</w:t>
      </w:r>
      <w:r w:rsidRPr="00CB231C">
        <w:rPr>
          <w:rFonts w:ascii="Franklin Gothic Book" w:eastAsia="Libre Franklin" w:hAnsi="Franklin Gothic Book" w:cs="Libre Franklin"/>
          <w:vertAlign w:val="superscript"/>
        </w:rPr>
        <w:footnoteReference w:id="15"/>
      </w:r>
      <w:r w:rsidRPr="00CB231C">
        <w:rPr>
          <w:rFonts w:ascii="Franklin Gothic Book" w:eastAsia="Libre Franklin" w:hAnsi="Franklin Gothic Book" w:cs="Libre Franklin"/>
        </w:rPr>
        <w:t xml:space="preserve"> </w:t>
      </w:r>
    </w:p>
    <w:p w14:paraId="2A95E55C" w14:textId="27F0D47E"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2) </w:t>
      </w:r>
      <w:r w:rsidRPr="00CB231C">
        <w:rPr>
          <w:rFonts w:ascii="Franklin Gothic Book" w:eastAsia="Libre Franklin" w:hAnsi="Franklin Gothic Book" w:cs="Libre Franklin"/>
          <w:b/>
          <w:i/>
        </w:rPr>
        <w:t>Measures taken</w:t>
      </w:r>
      <w:r w:rsidRPr="00CB231C">
        <w:rPr>
          <w:rFonts w:ascii="Franklin Gothic Book" w:eastAsia="Libre Franklin" w:hAnsi="Franklin Gothic Book" w:cs="Libre Franklin"/>
        </w:rPr>
        <w:t>. Clearly this remains a crucial issue which necessitates a multifaceted response. Within the library field, particularly during library closures, one of the frequently voiced concerns (e.g. in the 2020 School Library Survey UK) has been around reduced access to the physical space of libraries, which provide social and safe spaces for students and support for the more vulnerable or marginalised students.</w:t>
      </w:r>
      <w:r w:rsidRPr="00CB231C">
        <w:rPr>
          <w:rFonts w:ascii="Franklin Gothic Book" w:eastAsia="Libre Franklin" w:hAnsi="Franklin Gothic Book" w:cs="Libre Franklin"/>
          <w:vertAlign w:val="superscript"/>
        </w:rPr>
        <w:footnoteReference w:id="16"/>
      </w:r>
    </w:p>
    <w:p w14:paraId="538CC7E6" w14:textId="03D1F000"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However, there has been a wide range of efforts to replicate such support both online and, where possible, on-site. One example is “bibliotherapy” (e.g. offered in libraries in Lithuania, Turkey, Australia and other countries),</w:t>
      </w:r>
      <w:r w:rsidRPr="00CB231C">
        <w:rPr>
          <w:rFonts w:ascii="Franklin Gothic Book" w:eastAsia="Libre Franklin" w:hAnsi="Franklin Gothic Book" w:cs="Libre Franklin"/>
          <w:vertAlign w:val="superscript"/>
        </w:rPr>
        <w:footnoteReference w:id="17"/>
      </w:r>
      <w:r w:rsidRPr="00CB231C">
        <w:rPr>
          <w:rFonts w:ascii="Franklin Gothic Book" w:eastAsia="Libre Franklin" w:hAnsi="Franklin Gothic Book" w:cs="Libre Franklin"/>
        </w:rPr>
        <w:t xml:space="preserve"> in which books or texts spotlighting, depicting or related to a specific issue are offered to help with coping and addressing the issue and promote overall well-being. Making mental health resources more easily available is another approach libraries have taken to help address these concerns.</w:t>
      </w:r>
    </w:p>
    <w:p w14:paraId="5ADD9559" w14:textId="24F9D37E" w:rsidR="00CB231C" w:rsidRPr="00CB231C" w:rsidRDefault="00CB231C" w:rsidP="00DA57D7">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Other initiatives that focus on social and emotional well-being, aim to offer children and young adults socialisation and engagement opportunities to support their overall well</w:t>
      </w:r>
      <w:r w:rsidR="00751300">
        <w:rPr>
          <w:rFonts w:ascii="Franklin Gothic Book" w:eastAsia="Libre Franklin" w:hAnsi="Franklin Gothic Book" w:cs="Libre Franklin"/>
        </w:rPr>
        <w:t>-</w:t>
      </w:r>
      <w:r w:rsidRPr="00CB231C">
        <w:rPr>
          <w:rFonts w:ascii="Franklin Gothic Book" w:eastAsia="Libre Franklin" w:hAnsi="Franklin Gothic Book" w:cs="Libre Franklin"/>
        </w:rPr>
        <w:t xml:space="preserve">being, particularly when there are fewer physical opportunities available elsewhere. For instance, in Singapore, the National Library Board’s Children’s and Teen services hosted </w:t>
      </w:r>
      <w:r w:rsidRPr="00CB231C">
        <w:rPr>
          <w:rFonts w:ascii="Franklin Gothic Book" w:eastAsia="Libre Franklin" w:hAnsi="Franklin Gothic Book" w:cs="Libre Franklin"/>
          <w:i/>
        </w:rPr>
        <w:t>Teens Takeover,</w:t>
      </w:r>
      <w:r w:rsidRPr="00CB231C">
        <w:rPr>
          <w:rFonts w:ascii="Franklin Gothic Book" w:eastAsia="Libre Franklin" w:hAnsi="Franklin Gothic Book" w:cs="Libre Franklin"/>
        </w:rPr>
        <w:t xml:space="preserve"> a programme comprising various online and offline activities, ranging from skills-building workshops and opportunities to study online together to opportunities for socialising and entertainment.</w:t>
      </w:r>
      <w:r w:rsidRPr="00CB231C">
        <w:rPr>
          <w:rFonts w:ascii="Franklin Gothic Book" w:eastAsia="Libre Franklin" w:hAnsi="Franklin Gothic Book" w:cs="Libre Franklin"/>
          <w:vertAlign w:val="superscript"/>
        </w:rPr>
        <w:footnoteReference w:id="18"/>
      </w:r>
      <w:r w:rsidRPr="00CB231C">
        <w:rPr>
          <w:rFonts w:ascii="Franklin Gothic Book" w:eastAsia="Libre Franklin" w:hAnsi="Franklin Gothic Book" w:cs="Libre Franklin"/>
        </w:rPr>
        <w:t xml:space="preserve"> In many countries, libraries have been hosting discussion and reading groups and story times for younger children and toddlers as a means of supporting both social inclusion and learning during the pandemic either online or outdoors when safe indoor, in-person activities are not possible. And in the US, there is also a renewed focus on including mindfulness as part of library programming.</w:t>
      </w:r>
    </w:p>
    <w:p w14:paraId="01B76C86" w14:textId="1F334FBC" w:rsidR="00CB231C" w:rsidRPr="00CB231C" w:rsidRDefault="00CB231C" w:rsidP="00DA57D7">
      <w:pPr>
        <w:spacing w:before="240" w:after="240" w:line="276" w:lineRule="auto"/>
        <w:jc w:val="both"/>
        <w:rPr>
          <w:rFonts w:ascii="Franklin Gothic Book" w:eastAsia="Libre Franklin" w:hAnsi="Franklin Gothic Book" w:cs="Libre Franklin"/>
          <w:vertAlign w:val="superscript"/>
        </w:rPr>
      </w:pPr>
      <w:r w:rsidRPr="00CB231C">
        <w:rPr>
          <w:rFonts w:ascii="Franklin Gothic Book" w:eastAsia="Libre Franklin" w:hAnsi="Franklin Gothic Book" w:cs="Libre Franklin"/>
        </w:rPr>
        <w:lastRenderedPageBreak/>
        <w:t>While several types of initiatives outlined above are rooted in library practices predating the pandemic, many have been adapted, spotlighted, digitised and/or scaled up to help address the mental health challenges that children and young adults face more recently. In April 2021, for example, Libraries Connected compiled a list of some of the common challenges around children’s mental health and well</w:t>
      </w:r>
      <w:r w:rsidR="00751300">
        <w:rPr>
          <w:rFonts w:ascii="Franklin Gothic Book" w:eastAsia="Libre Franklin" w:hAnsi="Franklin Gothic Book" w:cs="Libre Franklin"/>
        </w:rPr>
        <w:t>-</w:t>
      </w:r>
      <w:r w:rsidRPr="00CB231C">
        <w:rPr>
          <w:rFonts w:ascii="Franklin Gothic Book" w:eastAsia="Libre Franklin" w:hAnsi="Franklin Gothic Book" w:cs="Libre Franklin"/>
        </w:rPr>
        <w:t>being, and the ways libraries work to help address these, as well as further resources they can draw on.</w:t>
      </w:r>
      <w:r w:rsidRPr="00CB231C">
        <w:rPr>
          <w:rFonts w:ascii="Franklin Gothic Book" w:eastAsia="Libre Franklin" w:hAnsi="Franklin Gothic Book" w:cs="Libre Franklin"/>
          <w:vertAlign w:val="superscript"/>
        </w:rPr>
        <w:footnoteReference w:id="19"/>
      </w:r>
    </w:p>
    <w:p w14:paraId="74CB0773" w14:textId="0E86934D" w:rsidR="00CB231C" w:rsidRPr="00CB231C" w:rsidRDefault="00CB231C" w:rsidP="00DA57D7">
      <w:pPr>
        <w:spacing w:before="240" w:after="240" w:line="276" w:lineRule="auto"/>
        <w:jc w:val="both"/>
        <w:rPr>
          <w:rFonts w:ascii="Franklin Gothic Book" w:eastAsia="Libre Franklin" w:hAnsi="Franklin Gothic Book" w:cs="Libre Franklin"/>
          <w:i/>
        </w:rPr>
      </w:pPr>
      <w:r w:rsidRPr="00CB231C">
        <w:rPr>
          <w:rFonts w:ascii="Franklin Gothic Book" w:eastAsia="Libre Franklin" w:hAnsi="Franklin Gothic Book" w:cs="Libre Franklin"/>
          <w:i/>
        </w:rPr>
        <w:t>In short, to help address the range of concerns around mental health and well</w:t>
      </w:r>
      <w:r w:rsidR="00751300">
        <w:rPr>
          <w:rFonts w:ascii="Franklin Gothic Book" w:eastAsia="Libre Franklin" w:hAnsi="Franklin Gothic Book" w:cs="Libre Franklin"/>
          <w:i/>
        </w:rPr>
        <w:t>-</w:t>
      </w:r>
      <w:r w:rsidRPr="00CB231C">
        <w:rPr>
          <w:rFonts w:ascii="Franklin Gothic Book" w:eastAsia="Libre Franklin" w:hAnsi="Franklin Gothic Book" w:cs="Libre Franklin"/>
          <w:i/>
        </w:rPr>
        <w:t>being of children and young adults, supporting existing efforts by libraries and other community-based organisations can be one of the tools to make help more widely available.</w:t>
      </w:r>
    </w:p>
    <w:p w14:paraId="2BE9BE84" w14:textId="77777777" w:rsidR="00CB231C" w:rsidRPr="00CB231C" w:rsidRDefault="00CB231C" w:rsidP="00DA57D7">
      <w:pPr>
        <w:spacing w:before="240" w:after="240" w:line="276" w:lineRule="auto"/>
        <w:jc w:val="both"/>
        <w:rPr>
          <w:rFonts w:ascii="Franklin Gothic Book" w:eastAsia="Libre Franklin" w:hAnsi="Franklin Gothic Book" w:cs="Libre Franklin"/>
          <w:b/>
          <w:i/>
        </w:rPr>
      </w:pPr>
      <w:r w:rsidRPr="00CB231C">
        <w:rPr>
          <w:rFonts w:ascii="Franklin Gothic Book" w:eastAsia="Libre Franklin" w:hAnsi="Franklin Gothic Book" w:cs="Libre Franklin"/>
          <w:b/>
        </w:rPr>
        <w:t xml:space="preserve">Right to an adequate standard of living – </w:t>
      </w:r>
      <w:r w:rsidRPr="00CB231C">
        <w:rPr>
          <w:rFonts w:ascii="Franklin Gothic Book" w:eastAsia="Libre Franklin" w:hAnsi="Franklin Gothic Book" w:cs="Libre Franklin"/>
          <w:b/>
          <w:i/>
        </w:rPr>
        <w:t>addressing food insecurity</w:t>
      </w:r>
    </w:p>
    <w:p w14:paraId="55144601" w14:textId="3DDEA3C0" w:rsidR="000967C8" w:rsidRDefault="00CB231C" w:rsidP="00904F36">
      <w:pPr>
        <w:spacing w:before="240" w:after="240" w:line="276" w:lineRule="auto"/>
        <w:jc w:val="both"/>
        <w:rPr>
          <w:rFonts w:ascii="Franklin Gothic Book" w:eastAsia="Libre Franklin" w:hAnsi="Franklin Gothic Book" w:cs="Libre Franklin"/>
        </w:rPr>
      </w:pPr>
      <w:r w:rsidRPr="00CB231C">
        <w:rPr>
          <w:rFonts w:ascii="Franklin Gothic Book" w:eastAsia="Libre Franklin" w:hAnsi="Franklin Gothic Book" w:cs="Libre Franklin"/>
        </w:rPr>
        <w:t xml:space="preserve">Clearly, the pandemic </w:t>
      </w:r>
      <w:r w:rsidR="00904F36">
        <w:rPr>
          <w:rFonts w:ascii="Franklin Gothic Book" w:eastAsia="Libre Franklin" w:hAnsi="Franklin Gothic Book" w:cs="Libre Franklin"/>
        </w:rPr>
        <w:t>has strongly impacted</w:t>
      </w:r>
      <w:r w:rsidR="000114C9">
        <w:rPr>
          <w:rFonts w:ascii="Franklin Gothic Book" w:eastAsia="Libre Franklin" w:hAnsi="Franklin Gothic Book" w:cs="Libre Franklin"/>
        </w:rPr>
        <w:t xml:space="preserve"> young people’s </w:t>
      </w:r>
      <w:r w:rsidR="00904F36">
        <w:rPr>
          <w:rFonts w:ascii="Franklin Gothic Book" w:eastAsia="Libre Franklin" w:hAnsi="Franklin Gothic Book" w:cs="Libre Franklin"/>
        </w:rPr>
        <w:t xml:space="preserve">enjoyment of </w:t>
      </w:r>
      <w:r w:rsidR="000114C9">
        <w:rPr>
          <w:rFonts w:ascii="Franklin Gothic Book" w:eastAsia="Libre Franklin" w:hAnsi="Franklin Gothic Book" w:cs="Libre Franklin"/>
        </w:rPr>
        <w:t xml:space="preserve">fundamental rights in other </w:t>
      </w:r>
      <w:r w:rsidR="002D3B2B">
        <w:rPr>
          <w:rFonts w:ascii="Franklin Gothic Book" w:eastAsia="Libre Franklin" w:hAnsi="Franklin Gothic Book" w:cs="Libre Franklin"/>
        </w:rPr>
        <w:t xml:space="preserve">key </w:t>
      </w:r>
      <w:r w:rsidR="000114C9">
        <w:rPr>
          <w:rFonts w:ascii="Franklin Gothic Book" w:eastAsia="Libre Franklin" w:hAnsi="Franklin Gothic Book" w:cs="Libre Franklin"/>
        </w:rPr>
        <w:t xml:space="preserve">areas as well. </w:t>
      </w:r>
      <w:r w:rsidRPr="00CB231C">
        <w:rPr>
          <w:rFonts w:ascii="Franklin Gothic Book" w:eastAsia="Libre Franklin" w:hAnsi="Franklin Gothic Book" w:cs="Libre Franklin"/>
        </w:rPr>
        <w:t xml:space="preserve">The pandemic has caused increased poverty and food insecurity for many </w:t>
      </w:r>
      <w:r w:rsidR="00FE5E9D">
        <w:rPr>
          <w:rFonts w:ascii="Franklin Gothic Book" w:eastAsia="Libre Franklin" w:hAnsi="Franklin Gothic Book" w:cs="Libre Franklin"/>
        </w:rPr>
        <w:t xml:space="preserve">households across the globe, </w:t>
      </w:r>
      <w:r w:rsidR="00904F36">
        <w:rPr>
          <w:rFonts w:ascii="Franklin Gothic Book" w:eastAsia="Libre Franklin" w:hAnsi="Franklin Gothic Book" w:cs="Libre Franklin"/>
        </w:rPr>
        <w:t xml:space="preserve">particularly </w:t>
      </w:r>
      <w:r w:rsidR="002D3B2B">
        <w:rPr>
          <w:rFonts w:ascii="Franklin Gothic Book" w:eastAsia="Libre Franklin" w:hAnsi="Franklin Gothic Book" w:cs="Libre Franklin"/>
        </w:rPr>
        <w:t xml:space="preserve">for </w:t>
      </w:r>
      <w:r w:rsidR="00904F36">
        <w:rPr>
          <w:rFonts w:ascii="Franklin Gothic Book" w:eastAsia="Libre Franklin" w:hAnsi="Franklin Gothic Book" w:cs="Libre Franklin"/>
        </w:rPr>
        <w:t>vulnerable households and families</w:t>
      </w:r>
      <w:r w:rsidRPr="00CB231C">
        <w:rPr>
          <w:rFonts w:ascii="Franklin Gothic Book" w:eastAsia="Libre Franklin" w:hAnsi="Franklin Gothic Book" w:cs="Libre Franklin"/>
        </w:rPr>
        <w:t>.</w:t>
      </w:r>
      <w:r w:rsidR="00FE5E9D">
        <w:rPr>
          <w:rStyle w:val="FootnoteReference"/>
          <w:rFonts w:ascii="Franklin Gothic Book" w:eastAsia="Libre Franklin" w:hAnsi="Franklin Gothic Book" w:cs="Libre Franklin"/>
        </w:rPr>
        <w:footnoteReference w:id="20"/>
      </w:r>
      <w:r w:rsidRPr="00CB231C">
        <w:rPr>
          <w:rFonts w:ascii="Franklin Gothic Book" w:eastAsia="Libre Franklin" w:hAnsi="Franklin Gothic Book" w:cs="Libre Franklin"/>
        </w:rPr>
        <w:t xml:space="preserve"> </w:t>
      </w:r>
      <w:r w:rsidR="00686ECA">
        <w:rPr>
          <w:rFonts w:ascii="Franklin Gothic Book" w:eastAsia="Libre Franklin" w:hAnsi="Franklin Gothic Book" w:cs="Libre Franklin"/>
        </w:rPr>
        <w:t xml:space="preserve">A 2021 report by </w:t>
      </w:r>
      <w:r w:rsidR="002D6AF2" w:rsidRPr="002D6AF2">
        <w:rPr>
          <w:rFonts w:ascii="Franklin Gothic Book" w:eastAsia="Libre Franklin" w:hAnsi="Franklin Gothic Book" w:cs="Libre Franklin"/>
        </w:rPr>
        <w:t xml:space="preserve">UNICEF Office of Research – Innocenti and the World Food Programme </w:t>
      </w:r>
      <w:r w:rsidR="002D6AF2">
        <w:rPr>
          <w:rFonts w:ascii="Franklin Gothic Book" w:eastAsia="Libre Franklin" w:hAnsi="Franklin Gothic Book" w:cs="Libre Franklin"/>
        </w:rPr>
        <w:t>estimated that</w:t>
      </w:r>
      <w:r w:rsidR="006A2BB6">
        <w:rPr>
          <w:rFonts w:ascii="Franklin Gothic Book" w:eastAsia="Libre Franklin" w:hAnsi="Franklin Gothic Book" w:cs="Libre Franklin"/>
        </w:rPr>
        <w:t xml:space="preserve"> due to school closures 3</w:t>
      </w:r>
      <w:r w:rsidR="002D6AF2" w:rsidRPr="002D6AF2">
        <w:rPr>
          <w:rFonts w:ascii="Franklin Gothic Book" w:eastAsia="Libre Franklin" w:hAnsi="Franklin Gothic Book" w:cs="Libre Franklin"/>
        </w:rPr>
        <w:t xml:space="preserve">70 million children </w:t>
      </w:r>
      <w:r w:rsidR="002D6AF2">
        <w:rPr>
          <w:rFonts w:ascii="Franklin Gothic Book" w:eastAsia="Libre Franklin" w:hAnsi="Franklin Gothic Book" w:cs="Libre Franklin"/>
        </w:rPr>
        <w:t xml:space="preserve">worldwide </w:t>
      </w:r>
      <w:r w:rsidR="006A2BB6">
        <w:rPr>
          <w:rFonts w:ascii="Franklin Gothic Book" w:eastAsia="Libre Franklin" w:hAnsi="Franklin Gothic Book" w:cs="Libre Franklin"/>
        </w:rPr>
        <w:t xml:space="preserve">have </w:t>
      </w:r>
      <w:r w:rsidR="002D6AF2">
        <w:rPr>
          <w:rFonts w:ascii="Franklin Gothic Book" w:eastAsia="Libre Franklin" w:hAnsi="Franklin Gothic Book" w:cs="Libre Franklin"/>
        </w:rPr>
        <w:t xml:space="preserve">missed 40% of school meals, a </w:t>
      </w:r>
      <w:r w:rsidR="00686ECA">
        <w:rPr>
          <w:rFonts w:ascii="Franklin Gothic Book" w:eastAsia="Libre Franklin" w:hAnsi="Franklin Gothic Book" w:cs="Libre Franklin"/>
        </w:rPr>
        <w:t>crucial</w:t>
      </w:r>
      <w:r w:rsidR="002D6AF2">
        <w:rPr>
          <w:rFonts w:ascii="Franklin Gothic Book" w:eastAsia="Libre Franklin" w:hAnsi="Franklin Gothic Book" w:cs="Libre Franklin"/>
        </w:rPr>
        <w:t xml:space="preserve"> source of nutrition for many</w:t>
      </w:r>
      <w:r w:rsidR="00686ECA">
        <w:rPr>
          <w:rFonts w:ascii="Franklin Gothic Book" w:eastAsia="Libre Franklin" w:hAnsi="Franklin Gothic Book" w:cs="Libre Franklin"/>
        </w:rPr>
        <w:t xml:space="preserve"> of them</w:t>
      </w:r>
      <w:r w:rsidR="002D6AF2">
        <w:rPr>
          <w:rFonts w:ascii="Franklin Gothic Book" w:eastAsia="Libre Franklin" w:hAnsi="Franklin Gothic Book" w:cs="Libre Franklin"/>
        </w:rPr>
        <w:t>.</w:t>
      </w:r>
      <w:r w:rsidR="00686ECA">
        <w:rPr>
          <w:rStyle w:val="FootnoteReference"/>
          <w:rFonts w:ascii="Franklin Gothic Book" w:eastAsia="Libre Franklin" w:hAnsi="Franklin Gothic Book" w:cs="Libre Franklin"/>
        </w:rPr>
        <w:footnoteReference w:id="21"/>
      </w:r>
      <w:r w:rsidR="00686ECA">
        <w:rPr>
          <w:rFonts w:ascii="Franklin Gothic Book" w:eastAsia="Libre Franklin" w:hAnsi="Franklin Gothic Book" w:cs="Libre Franklin"/>
        </w:rPr>
        <w:t xml:space="preserve"> </w:t>
      </w:r>
      <w:r w:rsidR="00A17584">
        <w:rPr>
          <w:rFonts w:ascii="Franklin Gothic Book" w:eastAsia="Libre Franklin" w:hAnsi="Franklin Gothic Book" w:cs="Libre Franklin"/>
        </w:rPr>
        <w:t>These findings</w:t>
      </w:r>
      <w:r w:rsidR="00F002E1">
        <w:rPr>
          <w:rFonts w:ascii="Franklin Gothic Book" w:eastAsia="Libre Franklin" w:hAnsi="Franklin Gothic Book" w:cs="Libre Franklin"/>
        </w:rPr>
        <w:t xml:space="preserve"> </w:t>
      </w:r>
      <w:r w:rsidR="00A17584">
        <w:rPr>
          <w:rFonts w:ascii="Franklin Gothic Book" w:eastAsia="Libre Franklin" w:hAnsi="Franklin Gothic Book" w:cs="Libre Franklin"/>
        </w:rPr>
        <w:t xml:space="preserve">therefore </w:t>
      </w:r>
      <w:r w:rsidR="00F002E1">
        <w:rPr>
          <w:rFonts w:ascii="Franklin Gothic Book" w:eastAsia="Libre Franklin" w:hAnsi="Franklin Gothic Book" w:cs="Libre Franklin"/>
        </w:rPr>
        <w:t xml:space="preserve">highlight the </w:t>
      </w:r>
      <w:r w:rsidR="002D3B2B">
        <w:rPr>
          <w:rFonts w:ascii="Franklin Gothic Book" w:eastAsia="Libre Franklin" w:hAnsi="Franklin Gothic Book" w:cs="Libre Franklin"/>
        </w:rPr>
        <w:t>vital importance of</w:t>
      </w:r>
      <w:r w:rsidR="00F002E1">
        <w:rPr>
          <w:rFonts w:ascii="Franklin Gothic Book" w:eastAsia="Libre Franklin" w:hAnsi="Franklin Gothic Book" w:cs="Libre Franklin"/>
        </w:rPr>
        <w:t xml:space="preserve"> comprehensive nutrition services. </w:t>
      </w:r>
    </w:p>
    <w:p w14:paraId="5A671227" w14:textId="61B6F558" w:rsidR="00904F36" w:rsidRDefault="00F002E1" w:rsidP="00904F36">
      <w:pPr>
        <w:spacing w:before="240" w:after="240" w:line="276" w:lineRule="auto"/>
        <w:jc w:val="both"/>
        <w:rPr>
          <w:rFonts w:ascii="Franklin Gothic Book" w:hAnsi="Franklin Gothic Book"/>
          <w:iCs/>
        </w:rPr>
      </w:pPr>
      <w:r>
        <w:rPr>
          <w:rFonts w:ascii="Franklin Gothic Book" w:eastAsia="Libre Franklin" w:hAnsi="Franklin Gothic Book" w:cs="Libre Franklin"/>
        </w:rPr>
        <w:t xml:space="preserve">Simultaneously, solutions that further </w:t>
      </w:r>
      <w:r w:rsidR="000967C8">
        <w:rPr>
          <w:rFonts w:ascii="Franklin Gothic Book" w:eastAsia="Libre Franklin" w:hAnsi="Franklin Gothic Book" w:cs="Libre Franklin"/>
        </w:rPr>
        <w:t>assist and enable</w:t>
      </w:r>
      <w:r>
        <w:rPr>
          <w:rFonts w:ascii="Franklin Gothic Book" w:eastAsia="Libre Franklin" w:hAnsi="Franklin Gothic Book" w:cs="Libre Franklin"/>
        </w:rPr>
        <w:t xml:space="preserve"> food distribution are </w:t>
      </w:r>
      <w:r w:rsidR="00E66160">
        <w:rPr>
          <w:rFonts w:ascii="Franklin Gothic Book" w:eastAsia="Libre Franklin" w:hAnsi="Franklin Gothic Book" w:cs="Libre Franklin"/>
        </w:rPr>
        <w:t>crucial</w:t>
      </w:r>
      <w:r w:rsidR="000967C8">
        <w:rPr>
          <w:rFonts w:ascii="Franklin Gothic Book" w:eastAsia="Libre Franklin" w:hAnsi="Franklin Gothic Book" w:cs="Libre Franklin"/>
        </w:rPr>
        <w:t xml:space="preserve"> to reach as wide a network of vulnerable community members as possible</w:t>
      </w:r>
      <w:r>
        <w:rPr>
          <w:rFonts w:ascii="Franklin Gothic Book" w:eastAsia="Libre Franklin" w:hAnsi="Franklin Gothic Book" w:cs="Libre Franklin"/>
        </w:rPr>
        <w:t xml:space="preserve">. In the USA and Canada, there are examples </w:t>
      </w:r>
      <w:r w:rsidR="00E66160">
        <w:rPr>
          <w:rFonts w:ascii="Franklin Gothic Book" w:eastAsia="Libre Franklin" w:hAnsi="Franklin Gothic Book" w:cs="Libre Franklin"/>
        </w:rPr>
        <w:t>of l</w:t>
      </w:r>
      <w:r w:rsidR="00CB231C" w:rsidRPr="00CB231C">
        <w:rPr>
          <w:rFonts w:ascii="Franklin Gothic Book" w:eastAsia="Libre Franklin" w:hAnsi="Franklin Gothic Book" w:cs="Libre Franklin"/>
        </w:rPr>
        <w:t xml:space="preserve">ibraries </w:t>
      </w:r>
      <w:r w:rsidR="00E66160">
        <w:rPr>
          <w:rFonts w:ascii="Franklin Gothic Book" w:eastAsia="Libre Franklin" w:hAnsi="Franklin Gothic Book" w:cs="Libre Franklin"/>
        </w:rPr>
        <w:t>partnering</w:t>
      </w:r>
      <w:r w:rsidR="00CB231C" w:rsidRPr="00CB231C">
        <w:rPr>
          <w:rFonts w:ascii="Franklin Gothic Book" w:eastAsia="Libre Franklin" w:hAnsi="Franklin Gothic Book" w:cs="Libre Franklin"/>
        </w:rPr>
        <w:t xml:space="preserve"> with food </w:t>
      </w:r>
      <w:r w:rsidR="00E66160">
        <w:rPr>
          <w:rFonts w:ascii="Franklin Gothic Book" w:eastAsia="Libre Franklin" w:hAnsi="Franklin Gothic Book" w:cs="Libre Franklin"/>
        </w:rPr>
        <w:t xml:space="preserve">banks and </w:t>
      </w:r>
      <w:r w:rsidR="000967C8">
        <w:rPr>
          <w:rFonts w:ascii="Franklin Gothic Book" w:eastAsia="Libre Franklin" w:hAnsi="Franklin Gothic Book" w:cs="Libre Franklin"/>
        </w:rPr>
        <w:t xml:space="preserve">food </w:t>
      </w:r>
      <w:r w:rsidR="00CB231C" w:rsidRPr="00CB231C">
        <w:rPr>
          <w:rFonts w:ascii="Franklin Gothic Book" w:eastAsia="Libre Franklin" w:hAnsi="Franklin Gothic Book" w:cs="Libre Franklin"/>
        </w:rPr>
        <w:t>pantries to provide free lunches, snacks, and in some cases, meals for familie</w:t>
      </w:r>
      <w:r w:rsidR="00E66160">
        <w:rPr>
          <w:rFonts w:ascii="Franklin Gothic Book" w:eastAsia="Libre Franklin" w:hAnsi="Franklin Gothic Book" w:cs="Libre Franklin"/>
        </w:rPr>
        <w:t>s</w:t>
      </w:r>
      <w:r w:rsidR="001A644E">
        <w:rPr>
          <w:rFonts w:ascii="Franklin Gothic Book" w:eastAsia="Libre Franklin" w:hAnsi="Franklin Gothic Book" w:cs="Libre Franklin"/>
        </w:rPr>
        <w:t>;</w:t>
      </w:r>
      <w:r w:rsidR="00E66160">
        <w:rPr>
          <w:rStyle w:val="FootnoteReference"/>
          <w:rFonts w:ascii="Franklin Gothic Book" w:eastAsia="Libre Franklin" w:hAnsi="Franklin Gothic Book" w:cs="Libre Franklin"/>
        </w:rPr>
        <w:footnoteReference w:id="22"/>
      </w:r>
      <w:r w:rsidR="00E66160">
        <w:rPr>
          <w:rFonts w:ascii="Franklin Gothic Book" w:eastAsia="Libre Franklin" w:hAnsi="Franklin Gothic Book" w:cs="Libre Franklin"/>
        </w:rPr>
        <w:t xml:space="preserve"> in Greece</w:t>
      </w:r>
      <w:r w:rsidR="001A644E">
        <w:rPr>
          <w:rFonts w:ascii="Franklin Gothic Book" w:eastAsia="Libre Franklin" w:hAnsi="Franklin Gothic Book" w:cs="Libre Franklin"/>
        </w:rPr>
        <w:t>,</w:t>
      </w:r>
      <w:r w:rsidR="00E66160">
        <w:rPr>
          <w:rFonts w:ascii="Franklin Gothic Book" w:eastAsia="Libre Franklin" w:hAnsi="Franklin Gothic Book" w:cs="Libre Franklin"/>
        </w:rPr>
        <w:t xml:space="preserve"> the ECHO mobile library </w:t>
      </w:r>
      <w:r w:rsidR="001A644E">
        <w:rPr>
          <w:rFonts w:ascii="Franklin Gothic Book" w:eastAsia="Libre Franklin" w:hAnsi="Franklin Gothic Book" w:cs="Libre Franklin"/>
        </w:rPr>
        <w:t>has been used as a food delivery vehicle</w:t>
      </w:r>
      <w:r w:rsidR="000967C8">
        <w:rPr>
          <w:rFonts w:ascii="Franklin Gothic Book" w:eastAsia="Libre Franklin" w:hAnsi="Franklin Gothic Book" w:cs="Libre Franklin"/>
        </w:rPr>
        <w:t xml:space="preserve"> in cooperation with a free food kitchen</w:t>
      </w:r>
      <w:r w:rsidR="00CB231C" w:rsidRPr="00CB231C">
        <w:rPr>
          <w:rFonts w:ascii="Franklin Gothic Book" w:eastAsia="Libre Franklin" w:hAnsi="Franklin Gothic Book" w:cs="Libre Franklin"/>
        </w:rPr>
        <w:t>.</w:t>
      </w:r>
      <w:r w:rsidR="001A644E">
        <w:rPr>
          <w:rStyle w:val="FootnoteReference"/>
          <w:rFonts w:ascii="Franklin Gothic Book" w:eastAsia="Libre Franklin" w:hAnsi="Franklin Gothic Book" w:cs="Libre Franklin"/>
        </w:rPr>
        <w:footnoteReference w:id="23"/>
      </w:r>
      <w:r w:rsidR="00513904">
        <w:rPr>
          <w:rFonts w:ascii="Franklin Gothic Book" w:eastAsia="Libre Franklin" w:hAnsi="Franklin Gothic Book" w:cs="Libre Franklin"/>
        </w:rPr>
        <w:t xml:space="preserve"> </w:t>
      </w:r>
      <w:r w:rsidR="001A644E">
        <w:rPr>
          <w:rFonts w:ascii="Franklin Gothic Book" w:eastAsia="Libre Franklin" w:hAnsi="Franklin Gothic Book" w:cs="Libre Franklin"/>
        </w:rPr>
        <w:t xml:space="preserve">Broadly, this highlights the </w:t>
      </w:r>
      <w:r w:rsidR="00413251">
        <w:rPr>
          <w:rFonts w:ascii="Franklin Gothic Book" w:eastAsia="Libre Franklin" w:hAnsi="Franklin Gothic Book" w:cs="Libre Franklin"/>
        </w:rPr>
        <w:t xml:space="preserve">diverse ways </w:t>
      </w:r>
      <w:r w:rsidR="00280A51">
        <w:rPr>
          <w:rFonts w:ascii="Franklin Gothic Book" w:eastAsia="Libre Franklin" w:hAnsi="Franklin Gothic Book" w:cs="Libre Franklin"/>
        </w:rPr>
        <w:t xml:space="preserve">that </w:t>
      </w:r>
      <w:r w:rsidR="001A644E">
        <w:rPr>
          <w:rFonts w:ascii="Franklin Gothic Book" w:eastAsia="Libre Franklin" w:hAnsi="Franklin Gothic Book" w:cs="Libre Franklin"/>
        </w:rPr>
        <w:t>available networks and</w:t>
      </w:r>
      <w:r w:rsidR="00413251">
        <w:rPr>
          <w:rFonts w:ascii="Franklin Gothic Book" w:eastAsia="Libre Franklin" w:hAnsi="Franklin Gothic Book" w:cs="Libre Franklin"/>
        </w:rPr>
        <w:t xml:space="preserve"> existing</w:t>
      </w:r>
      <w:r w:rsidR="001A644E">
        <w:rPr>
          <w:rFonts w:ascii="Franklin Gothic Book" w:eastAsia="Libre Franklin" w:hAnsi="Franklin Gothic Book" w:cs="Libre Franklin"/>
        </w:rPr>
        <w:t xml:space="preserve"> infrastructure</w:t>
      </w:r>
      <w:r w:rsidR="00413251">
        <w:rPr>
          <w:rFonts w:ascii="Franklin Gothic Book" w:eastAsia="Libre Franklin" w:hAnsi="Franklin Gothic Book" w:cs="Libre Franklin"/>
        </w:rPr>
        <w:t xml:space="preserve"> can be leveraged</w:t>
      </w:r>
      <w:r w:rsidR="001A644E">
        <w:rPr>
          <w:rFonts w:ascii="Franklin Gothic Book" w:eastAsia="Libre Franklin" w:hAnsi="Franklin Gothic Book" w:cs="Libre Franklin"/>
        </w:rPr>
        <w:t xml:space="preserve"> </w:t>
      </w:r>
      <w:r w:rsidR="00413251">
        <w:rPr>
          <w:rFonts w:ascii="Franklin Gothic Book" w:eastAsia="Libre Franklin" w:hAnsi="Franklin Gothic Book" w:cs="Libre Franklin"/>
        </w:rPr>
        <w:t>to further assist the distribution of</w:t>
      </w:r>
      <w:r w:rsidR="001A644E">
        <w:rPr>
          <w:rFonts w:ascii="Franklin Gothic Book" w:eastAsia="Libre Franklin" w:hAnsi="Franklin Gothic Book" w:cs="Libre Franklin"/>
        </w:rPr>
        <w:t xml:space="preserve"> vital resources and </w:t>
      </w:r>
      <w:r w:rsidR="0073540B">
        <w:rPr>
          <w:rFonts w:ascii="Franklin Gothic Book" w:eastAsia="Libre Franklin" w:hAnsi="Franklin Gothic Book" w:cs="Libre Franklin"/>
        </w:rPr>
        <w:t>assistance</w:t>
      </w:r>
      <w:r w:rsidR="001A644E">
        <w:rPr>
          <w:rFonts w:ascii="Franklin Gothic Book" w:eastAsia="Libre Franklin" w:hAnsi="Franklin Gothic Book" w:cs="Libre Franklin"/>
        </w:rPr>
        <w:t xml:space="preserve"> during the pandemic.</w:t>
      </w:r>
    </w:p>
    <w:p w14:paraId="4F6C663B" w14:textId="0222A7BD" w:rsidR="00904F36" w:rsidRPr="00904F36" w:rsidRDefault="00904F36" w:rsidP="00904F36">
      <w:pPr>
        <w:spacing w:before="240" w:after="240" w:line="276" w:lineRule="auto"/>
        <w:jc w:val="both"/>
        <w:rPr>
          <w:rFonts w:ascii="Franklin Gothic Book" w:hAnsi="Franklin Gothic Book"/>
          <w:b/>
          <w:bCs/>
          <w:iCs/>
        </w:rPr>
      </w:pPr>
      <w:r w:rsidRPr="00904F36">
        <w:rPr>
          <w:rFonts w:ascii="Franklin Gothic Book" w:hAnsi="Franklin Gothic Book"/>
          <w:b/>
          <w:bCs/>
          <w:iCs/>
        </w:rPr>
        <w:t>Conclusion</w:t>
      </w:r>
    </w:p>
    <w:p w14:paraId="1DC3A219" w14:textId="38828EB3" w:rsidR="00904F36" w:rsidRDefault="00904F36" w:rsidP="00904F36">
      <w:pPr>
        <w:spacing w:before="240" w:after="240" w:line="276" w:lineRule="auto"/>
        <w:jc w:val="both"/>
        <w:rPr>
          <w:rFonts w:ascii="Franklin Gothic Book" w:hAnsi="Franklin Gothic Book"/>
          <w:iCs/>
        </w:rPr>
      </w:pPr>
      <w:r w:rsidRPr="00904F36">
        <w:rPr>
          <w:rFonts w:ascii="Franklin Gothic Book" w:hAnsi="Franklin Gothic Book"/>
          <w:iCs/>
        </w:rPr>
        <w:t xml:space="preserve">During the pandemic, </w:t>
      </w:r>
      <w:r w:rsidR="001A644E">
        <w:rPr>
          <w:rFonts w:ascii="Franklin Gothic Book" w:hAnsi="Franklin Gothic Book"/>
          <w:iCs/>
        </w:rPr>
        <w:t>a</w:t>
      </w:r>
      <w:r w:rsidRPr="00904F36">
        <w:rPr>
          <w:rFonts w:ascii="Franklin Gothic Book" w:hAnsi="Franklin Gothic Book"/>
          <w:iCs/>
        </w:rPr>
        <w:t xml:space="preserve">s schools closed and </w:t>
      </w:r>
      <w:r w:rsidR="001A644E">
        <w:rPr>
          <w:rFonts w:ascii="Franklin Gothic Book" w:hAnsi="Franklin Gothic Book"/>
          <w:iCs/>
        </w:rPr>
        <w:t xml:space="preserve">many </w:t>
      </w:r>
      <w:r w:rsidRPr="00904F36">
        <w:rPr>
          <w:rFonts w:ascii="Franklin Gothic Book" w:hAnsi="Franklin Gothic Book"/>
          <w:iCs/>
        </w:rPr>
        <w:t>young people’s formal education moved online, the digital divide</w:t>
      </w:r>
      <w:r w:rsidR="003E0C7D">
        <w:rPr>
          <w:rFonts w:ascii="Franklin Gothic Book" w:hAnsi="Franklin Gothic Book"/>
          <w:iCs/>
        </w:rPr>
        <w:t>s</w:t>
      </w:r>
      <w:r w:rsidRPr="00904F36">
        <w:rPr>
          <w:rFonts w:ascii="Franklin Gothic Book" w:hAnsi="Franklin Gothic Book"/>
          <w:iCs/>
        </w:rPr>
        <w:t xml:space="preserve"> ha</w:t>
      </w:r>
      <w:r w:rsidR="003E0C7D">
        <w:rPr>
          <w:rFonts w:ascii="Franklin Gothic Book" w:hAnsi="Franklin Gothic Book"/>
          <w:iCs/>
        </w:rPr>
        <w:t>ve</w:t>
      </w:r>
      <w:r w:rsidRPr="00904F36">
        <w:rPr>
          <w:rFonts w:ascii="Franklin Gothic Book" w:hAnsi="Franklin Gothic Book"/>
          <w:iCs/>
        </w:rPr>
        <w:t xml:space="preserve"> been a major source of disruption. The pandemic caused increased poverty and hunger for </w:t>
      </w:r>
      <w:r w:rsidR="00413251">
        <w:rPr>
          <w:rFonts w:ascii="Franklin Gothic Book" w:hAnsi="Franklin Gothic Book"/>
          <w:iCs/>
        </w:rPr>
        <w:t>vulnerable households</w:t>
      </w:r>
      <w:r w:rsidRPr="00904F36">
        <w:rPr>
          <w:rFonts w:ascii="Franklin Gothic Book" w:hAnsi="Franklin Gothic Book"/>
          <w:iCs/>
        </w:rPr>
        <w:t xml:space="preserve">, </w:t>
      </w:r>
      <w:r w:rsidR="001A644E">
        <w:rPr>
          <w:rFonts w:ascii="Franklin Gothic Book" w:hAnsi="Franklin Gothic Book"/>
          <w:iCs/>
        </w:rPr>
        <w:t>impacts on the</w:t>
      </w:r>
      <w:r w:rsidRPr="00904F36">
        <w:rPr>
          <w:rFonts w:ascii="Franklin Gothic Book" w:hAnsi="Franklin Gothic Book"/>
          <w:iCs/>
        </w:rPr>
        <w:t xml:space="preserve"> mental health </w:t>
      </w:r>
      <w:r w:rsidR="001A644E">
        <w:rPr>
          <w:rFonts w:ascii="Franklin Gothic Book" w:hAnsi="Franklin Gothic Book"/>
          <w:iCs/>
        </w:rPr>
        <w:t>and well</w:t>
      </w:r>
      <w:r w:rsidR="00751300">
        <w:rPr>
          <w:rFonts w:ascii="Franklin Gothic Book" w:hAnsi="Franklin Gothic Book"/>
          <w:iCs/>
        </w:rPr>
        <w:t>-</w:t>
      </w:r>
      <w:r w:rsidR="001A644E">
        <w:rPr>
          <w:rFonts w:ascii="Franklin Gothic Book" w:hAnsi="Franklin Gothic Book"/>
          <w:iCs/>
        </w:rPr>
        <w:t>being</w:t>
      </w:r>
      <w:r w:rsidRPr="00904F36">
        <w:rPr>
          <w:rFonts w:ascii="Franklin Gothic Book" w:hAnsi="Franklin Gothic Book"/>
          <w:iCs/>
        </w:rPr>
        <w:t xml:space="preserve"> for young people unable to socialise and learn with their peers, and </w:t>
      </w:r>
      <w:r w:rsidR="00413251">
        <w:rPr>
          <w:rFonts w:ascii="Franklin Gothic Book" w:hAnsi="Franklin Gothic Book"/>
          <w:iCs/>
        </w:rPr>
        <w:t>multiplied existing</w:t>
      </w:r>
      <w:r w:rsidRPr="00904F36">
        <w:rPr>
          <w:rFonts w:ascii="Franklin Gothic Book" w:hAnsi="Franklin Gothic Book"/>
          <w:iCs/>
        </w:rPr>
        <w:t xml:space="preserve"> inequalities</w:t>
      </w:r>
      <w:r w:rsidR="00413251">
        <w:rPr>
          <w:rFonts w:ascii="Franklin Gothic Book" w:hAnsi="Franklin Gothic Book"/>
          <w:iCs/>
        </w:rPr>
        <w:t>, including educational ones</w:t>
      </w:r>
      <w:r w:rsidRPr="00904F36">
        <w:rPr>
          <w:rFonts w:ascii="Franklin Gothic Book" w:hAnsi="Franklin Gothic Book"/>
          <w:iCs/>
        </w:rPr>
        <w:t xml:space="preserve">. </w:t>
      </w:r>
      <w:r w:rsidR="001A644E">
        <w:rPr>
          <w:rFonts w:ascii="Franklin Gothic Book" w:hAnsi="Franklin Gothic Book"/>
          <w:iCs/>
        </w:rPr>
        <w:t>L</w:t>
      </w:r>
      <w:r w:rsidRPr="00904F36">
        <w:rPr>
          <w:rFonts w:ascii="Franklin Gothic Book" w:hAnsi="Franklin Gothic Book"/>
          <w:iCs/>
        </w:rPr>
        <w:t xml:space="preserve">ibraries around the world have implemented initiatives to help </w:t>
      </w:r>
      <w:r w:rsidR="001855AD">
        <w:rPr>
          <w:rFonts w:ascii="Franklin Gothic Book" w:hAnsi="Franklin Gothic Book"/>
          <w:iCs/>
        </w:rPr>
        <w:t>uphold</w:t>
      </w:r>
      <w:r w:rsidRPr="00904F36">
        <w:rPr>
          <w:rFonts w:ascii="Franklin Gothic Book" w:hAnsi="Franklin Gothic Book"/>
          <w:iCs/>
        </w:rPr>
        <w:t xml:space="preserve"> and deliver on young people’s human rights</w:t>
      </w:r>
      <w:r w:rsidR="001A644E">
        <w:rPr>
          <w:rFonts w:ascii="Franklin Gothic Book" w:hAnsi="Franklin Gothic Book"/>
          <w:iCs/>
        </w:rPr>
        <w:t xml:space="preserve"> -</w:t>
      </w:r>
      <w:r w:rsidRPr="00904F36">
        <w:rPr>
          <w:rFonts w:ascii="Franklin Gothic Book" w:hAnsi="Franklin Gothic Book"/>
          <w:iCs/>
        </w:rPr>
        <w:t xml:space="preserve"> working to help </w:t>
      </w:r>
      <w:r w:rsidR="008C337C">
        <w:rPr>
          <w:rFonts w:ascii="Franklin Gothic Book" w:hAnsi="Franklin Gothic Book"/>
          <w:iCs/>
        </w:rPr>
        <w:t>bridge</w:t>
      </w:r>
      <w:r w:rsidRPr="00904F36">
        <w:rPr>
          <w:rFonts w:ascii="Franklin Gothic Book" w:hAnsi="Franklin Gothic Book"/>
          <w:iCs/>
        </w:rPr>
        <w:t xml:space="preserve"> the digital divide</w:t>
      </w:r>
      <w:r w:rsidR="001855AD">
        <w:rPr>
          <w:rFonts w:ascii="Franklin Gothic Book" w:hAnsi="Franklin Gothic Book"/>
          <w:iCs/>
        </w:rPr>
        <w:t>s</w:t>
      </w:r>
      <w:r w:rsidRPr="00904F36">
        <w:rPr>
          <w:rFonts w:ascii="Franklin Gothic Book" w:hAnsi="Franklin Gothic Book"/>
          <w:iCs/>
        </w:rPr>
        <w:t>, offering non-formal and semi-formal educational support, engaging young people and their families online</w:t>
      </w:r>
      <w:r w:rsidR="008C337C">
        <w:rPr>
          <w:rFonts w:ascii="Franklin Gothic Book" w:hAnsi="Franklin Gothic Book"/>
          <w:iCs/>
        </w:rPr>
        <w:t xml:space="preserve"> and facilitating access to assistance and resources; b</w:t>
      </w:r>
      <w:r w:rsidRPr="00904F36">
        <w:rPr>
          <w:rFonts w:ascii="Franklin Gothic Book" w:hAnsi="Franklin Gothic Book"/>
          <w:iCs/>
        </w:rPr>
        <w:t>uil</w:t>
      </w:r>
      <w:r w:rsidR="009F30F1">
        <w:rPr>
          <w:rFonts w:ascii="Franklin Gothic Book" w:hAnsi="Franklin Gothic Book"/>
          <w:iCs/>
        </w:rPr>
        <w:t>ding</w:t>
      </w:r>
      <w:r w:rsidRPr="00904F36">
        <w:rPr>
          <w:rFonts w:ascii="Franklin Gothic Book" w:hAnsi="Franklin Gothic Book"/>
          <w:iCs/>
        </w:rPr>
        <w:t xml:space="preserve"> upon</w:t>
      </w:r>
      <w:r w:rsidR="009F30F1">
        <w:rPr>
          <w:rFonts w:ascii="Franklin Gothic Book" w:hAnsi="Franklin Gothic Book"/>
          <w:iCs/>
        </w:rPr>
        <w:t>, expanding or adapting</w:t>
      </w:r>
      <w:r w:rsidRPr="00904F36">
        <w:rPr>
          <w:rFonts w:ascii="Franklin Gothic Book" w:hAnsi="Franklin Gothic Book"/>
          <w:iCs/>
        </w:rPr>
        <w:t xml:space="preserve"> the services they provide</w:t>
      </w:r>
      <w:r w:rsidR="009F30F1">
        <w:rPr>
          <w:rFonts w:ascii="Franklin Gothic Book" w:hAnsi="Franklin Gothic Book"/>
          <w:iCs/>
        </w:rPr>
        <w:t xml:space="preserve"> to further support the well</w:t>
      </w:r>
      <w:r w:rsidR="00751300">
        <w:rPr>
          <w:rFonts w:ascii="Franklin Gothic Book" w:hAnsi="Franklin Gothic Book"/>
          <w:iCs/>
        </w:rPr>
        <w:t>-</w:t>
      </w:r>
      <w:r w:rsidR="009F30F1">
        <w:rPr>
          <w:rFonts w:ascii="Franklin Gothic Book" w:hAnsi="Franklin Gothic Book"/>
          <w:iCs/>
        </w:rPr>
        <w:t>being</w:t>
      </w:r>
      <w:r w:rsidRPr="00904F36">
        <w:rPr>
          <w:rFonts w:ascii="Franklin Gothic Book" w:hAnsi="Franklin Gothic Book"/>
          <w:iCs/>
        </w:rPr>
        <w:t xml:space="preserve"> of young people and their families</w:t>
      </w:r>
      <w:r w:rsidR="00413251">
        <w:rPr>
          <w:rFonts w:ascii="Franklin Gothic Book" w:hAnsi="Franklin Gothic Book"/>
          <w:iCs/>
        </w:rPr>
        <w:t>.</w:t>
      </w:r>
    </w:p>
    <w:sectPr w:rsidR="00904F3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3CB0" w14:textId="77777777" w:rsidR="005C30AF" w:rsidRDefault="005C30AF" w:rsidP="00CC70D6">
      <w:pPr>
        <w:spacing w:after="0" w:line="240" w:lineRule="auto"/>
      </w:pPr>
      <w:r>
        <w:separator/>
      </w:r>
    </w:p>
  </w:endnote>
  <w:endnote w:type="continuationSeparator" w:id="0">
    <w:p w14:paraId="206EA49E" w14:textId="77777777" w:rsidR="005C30AF" w:rsidRDefault="005C30AF" w:rsidP="00CC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329874"/>
      <w:docPartObj>
        <w:docPartGallery w:val="Page Numbers (Bottom of Page)"/>
        <w:docPartUnique/>
      </w:docPartObj>
    </w:sdtPr>
    <w:sdtEndPr>
      <w:rPr>
        <w:noProof/>
      </w:rPr>
    </w:sdtEndPr>
    <w:sdtContent>
      <w:p w14:paraId="3564FE29" w14:textId="3EB1C7B2" w:rsidR="008C337C" w:rsidRDefault="008C3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76B62" w14:textId="77777777" w:rsidR="008C337C" w:rsidRDefault="008C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E0EF" w14:textId="77777777" w:rsidR="005C30AF" w:rsidRDefault="005C30AF" w:rsidP="00CC70D6">
      <w:pPr>
        <w:spacing w:after="0" w:line="240" w:lineRule="auto"/>
      </w:pPr>
      <w:r>
        <w:separator/>
      </w:r>
    </w:p>
  </w:footnote>
  <w:footnote w:type="continuationSeparator" w:id="0">
    <w:p w14:paraId="70FDC125" w14:textId="77777777" w:rsidR="005C30AF" w:rsidRDefault="005C30AF" w:rsidP="00CC70D6">
      <w:pPr>
        <w:spacing w:after="0" w:line="240" w:lineRule="auto"/>
      </w:pPr>
      <w:r>
        <w:continuationSeparator/>
      </w:r>
    </w:p>
  </w:footnote>
  <w:footnote w:id="1">
    <w:p w14:paraId="3C13B021" w14:textId="77777777" w:rsidR="00CB231C" w:rsidRPr="00EE1F84" w:rsidRDefault="00CB231C" w:rsidP="00CB231C">
      <w:pPr>
        <w:spacing w:after="0" w:line="240" w:lineRule="auto"/>
        <w:rPr>
          <w:rFonts w:ascii="Franklin Gothic Book" w:eastAsia="Calibri" w:hAnsi="Franklin Gothic Book" w:cs="Calibri"/>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https://www.hrw.org/report/2021/05/17/years-dont-wait-them/increased-inequalities-childrens-right-education-due-covid</w:t>
      </w:r>
    </w:p>
  </w:footnote>
  <w:footnote w:id="2">
    <w:p w14:paraId="5A58B755" w14:textId="77777777" w:rsidR="00CB231C" w:rsidRDefault="00CB231C" w:rsidP="00CB231C">
      <w:pPr>
        <w:spacing w:after="0" w:line="240" w:lineRule="auto"/>
        <w:rPr>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https://www.ala.org/pla/sites/ala.org.pla/files/content/advocacy/covid-19/PLA-Libraries-Respond-Survey_Aggregate-Results_FINAL2.pdf</w:t>
      </w:r>
    </w:p>
  </w:footnote>
  <w:footnote w:id="3">
    <w:p w14:paraId="187E0D73"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https://jis.gov.jm/features/chase-fund-boosting-services-provided-by-libraries/</w:t>
      </w:r>
    </w:p>
  </w:footnote>
  <w:footnote w:id="4">
    <w:p w14:paraId="36D6B8E3"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https://unesdoc.unesco.org/ark:/48223/pf0000380398</w:t>
      </w:r>
    </w:p>
  </w:footnote>
  <w:footnote w:id="5">
    <w:p w14:paraId="667FBA93"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https://www.libraryassociation.ie/the-ebooksos-campaign-in-ireland</w:t>
      </w:r>
    </w:p>
  </w:footnote>
  <w:footnote w:id="6">
    <w:p w14:paraId="4D2578A3"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https://sparcopen.org/wp-content/uploads/2021/09/SPARC-COVID-Impact-Survey-092021.pdf</w:t>
      </w:r>
    </w:p>
  </w:footnote>
  <w:footnote w:id="7">
    <w:p w14:paraId="3191D9E3"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https://www.straitstimes.com/lifestyle/arts/nlb-adds-8000-e-books-and-other-digital-offerings</w:t>
      </w:r>
    </w:p>
  </w:footnote>
  <w:footnote w:id="8">
    <w:p w14:paraId="436096AE" w14:textId="77777777" w:rsidR="00CB231C" w:rsidRDefault="00CB231C" w:rsidP="00CB231C">
      <w:pPr>
        <w:spacing w:after="0" w:line="240" w:lineRule="auto"/>
        <w:rPr>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https://princh.com/blog-public-library-covid-19-adaptations/</w:t>
      </w:r>
    </w:p>
  </w:footnote>
  <w:footnote w:id="9">
    <w:p w14:paraId="6B817A68" w14:textId="27948013"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w:t>
      </w:r>
      <w:r w:rsidR="00652F47" w:rsidRPr="00EE1F84">
        <w:rPr>
          <w:rFonts w:ascii="Franklin Gothic Book" w:hAnsi="Franklin Gothic Book"/>
          <w:color w:val="000000"/>
          <w:sz w:val="20"/>
          <w:szCs w:val="20"/>
        </w:rPr>
        <w:t xml:space="preserve">https://www.unicef.org/media/111621/file/%20The%20State%20of%20the%20Global%20Education </w:t>
      </w:r>
      <w:r w:rsidRPr="00EE1F84">
        <w:rPr>
          <w:rFonts w:ascii="Franklin Gothic Book" w:hAnsi="Franklin Gothic Book"/>
          <w:color w:val="000000"/>
          <w:sz w:val="20"/>
          <w:szCs w:val="20"/>
        </w:rPr>
        <w:t>%20Crisis.pdf%20.pdf</w:t>
      </w:r>
    </w:p>
  </w:footnote>
  <w:footnote w:id="10">
    <w:p w14:paraId="6141E8E2"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Ibid.</w:t>
      </w:r>
    </w:p>
  </w:footnote>
  <w:footnote w:id="11">
    <w:p w14:paraId="388FFEBE"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https://www.ala.org/pla/sites/ala.org.pla/files/content/data/PLA-2020-Technology-Survey-Summary-Report.pdf</w:t>
      </w:r>
    </w:p>
  </w:footnote>
  <w:footnote w:id="12">
    <w:p w14:paraId="072C944C"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https://nycfuture.org/pdf/CUF_Branches_to_Recovery.pdf</w:t>
      </w:r>
    </w:p>
  </w:footnote>
  <w:footnote w:id="13">
    <w:p w14:paraId="5441CFD8" w14:textId="77777777" w:rsidR="00CB231C" w:rsidRDefault="00CB231C" w:rsidP="00CB231C">
      <w:pPr>
        <w:spacing w:after="0" w:line="240" w:lineRule="auto"/>
        <w:rPr>
          <w:color w:val="000000"/>
          <w:sz w:val="16"/>
          <w:szCs w:val="16"/>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https://www.lgma.ie/en/news/public-pledges-900-000-reading-minutes-for-ireland-reads-campaign.html</w:t>
      </w:r>
    </w:p>
  </w:footnote>
  <w:footnote w:id="14">
    <w:p w14:paraId="7BCF800F" w14:textId="77777777" w:rsidR="00CB231C" w:rsidRPr="00EE1F84" w:rsidRDefault="00CB231C" w:rsidP="00CB231C">
      <w:pPr>
        <w:spacing w:after="0" w:line="240" w:lineRule="auto"/>
        <w:contextualSpacing/>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https://www.todayonline.com/singapore/today-youth-survey-majority-more-fearful-less-sociable-due-covid-19-hopeful-better-life</w:t>
      </w:r>
    </w:p>
  </w:footnote>
  <w:footnote w:id="15">
    <w:p w14:paraId="6270C38C" w14:textId="77777777" w:rsidR="00CB231C" w:rsidRPr="00EE1F84" w:rsidRDefault="00CB231C" w:rsidP="00CB231C">
      <w:pPr>
        <w:spacing w:after="0" w:line="240" w:lineRule="auto"/>
        <w:contextualSpacing/>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https://www.ncchd.go.jp/center/activity/covid19_kodomo/report/CxC6_digestEn.pdf</w:t>
      </w:r>
    </w:p>
  </w:footnote>
  <w:footnote w:id="16">
    <w:p w14:paraId="1B0AB4B1" w14:textId="77777777" w:rsidR="00CB231C" w:rsidRPr="00EE1F84" w:rsidRDefault="00CB231C" w:rsidP="00CB231C">
      <w:pPr>
        <w:spacing w:after="0" w:line="240" w:lineRule="auto"/>
        <w:contextualSpacing/>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https://www.softlinkint.com/blog/impact-of-covid-school-libraries-uk/</w:t>
      </w:r>
    </w:p>
  </w:footnote>
  <w:footnote w:id="17">
    <w:p w14:paraId="04C2B42F" w14:textId="597D3E44" w:rsidR="00CB231C" w:rsidRPr="00EE1F84" w:rsidRDefault="00CB231C" w:rsidP="00CB231C">
      <w:pPr>
        <w:spacing w:after="0" w:line="240" w:lineRule="auto"/>
        <w:contextualSpacing/>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w:t>
      </w:r>
      <w:r w:rsidRPr="00EE1F84">
        <w:rPr>
          <w:rFonts w:ascii="Franklin Gothic Book" w:hAnsi="Franklin Gothic Book"/>
          <w:sz w:val="20"/>
          <w:szCs w:val="20"/>
        </w:rPr>
        <w:t>https://www.ifla.org/news/literacy-cannot-wait-how-libraries-have-continued-to-fulfil-their-mission-to-promote-literacy-during-covid-19/</w:t>
      </w:r>
      <w:r w:rsidRPr="00EE1F84">
        <w:rPr>
          <w:rFonts w:ascii="Franklin Gothic Book" w:hAnsi="Franklin Gothic Book"/>
          <w:color w:val="000000"/>
          <w:sz w:val="20"/>
          <w:szCs w:val="20"/>
        </w:rPr>
        <w:t>, https://journals.lnb.lt/relevant-tomorrow/article/view/760</w:t>
      </w:r>
    </w:p>
  </w:footnote>
  <w:footnote w:id="18">
    <w:p w14:paraId="3C87264C" w14:textId="77777777" w:rsidR="00CB231C" w:rsidRPr="00652F47" w:rsidRDefault="00CB231C" w:rsidP="00CB231C">
      <w:pPr>
        <w:spacing w:after="0" w:line="240" w:lineRule="auto"/>
        <w:contextualSpacing/>
        <w:rPr>
          <w:color w:val="000000"/>
          <w:sz w:val="18"/>
          <w:szCs w:val="18"/>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https://childrenandteens.nlb.gov.sg/services/programmes/teenstakeover</w:t>
      </w:r>
    </w:p>
  </w:footnote>
  <w:footnote w:id="19">
    <w:p w14:paraId="27D5066E" w14:textId="77777777" w:rsidR="00CB231C" w:rsidRPr="00EE1F84" w:rsidRDefault="00CB231C" w:rsidP="00CB231C">
      <w:pPr>
        <w:spacing w:after="0" w:line="240" w:lineRule="auto"/>
        <w:rPr>
          <w:rFonts w:ascii="Franklin Gothic Book" w:hAnsi="Franklin Gothic Book"/>
          <w:color w:val="000000"/>
          <w:sz w:val="20"/>
          <w:szCs w:val="20"/>
        </w:rPr>
      </w:pPr>
      <w:r w:rsidRPr="00EE1F84">
        <w:rPr>
          <w:rStyle w:val="FootnoteReference"/>
          <w:rFonts w:ascii="Franklin Gothic Book" w:hAnsi="Franklin Gothic Book"/>
          <w:sz w:val="20"/>
          <w:szCs w:val="20"/>
        </w:rPr>
        <w:footnoteRef/>
      </w:r>
      <w:r w:rsidRPr="00EE1F84">
        <w:rPr>
          <w:rFonts w:ascii="Franklin Gothic Book" w:hAnsi="Franklin Gothic Book"/>
          <w:color w:val="000000"/>
          <w:sz w:val="20"/>
          <w:szCs w:val="20"/>
        </w:rPr>
        <w:t xml:space="preserve"> https://www.librariesconnected.org.uk/resource/childrens-mental-health-and-wellbeing-guide</w:t>
      </w:r>
    </w:p>
  </w:footnote>
  <w:footnote w:id="20">
    <w:p w14:paraId="4A0EBC6C" w14:textId="0946F0CF" w:rsidR="00FE5E9D" w:rsidRPr="00EE1F84" w:rsidRDefault="00FE5E9D">
      <w:pPr>
        <w:pStyle w:val="FootnoteText"/>
        <w:rPr>
          <w:rFonts w:ascii="Franklin Gothic Book" w:hAnsi="Franklin Gothic Book"/>
          <w:lang w:val="en-US"/>
        </w:rPr>
      </w:pPr>
      <w:r w:rsidRPr="00EE1F84">
        <w:rPr>
          <w:rStyle w:val="FootnoteReference"/>
          <w:rFonts w:ascii="Franklin Gothic Book" w:hAnsi="Franklin Gothic Book"/>
        </w:rPr>
        <w:footnoteRef/>
      </w:r>
      <w:r w:rsidRPr="00EE1F84">
        <w:rPr>
          <w:rFonts w:ascii="Franklin Gothic Book" w:hAnsi="Franklin Gothic Book"/>
        </w:rPr>
        <w:t xml:space="preserve"> https://www.worldbank.org/en/topic/agriculture/brief/food-security-and-covid-19</w:t>
      </w:r>
    </w:p>
  </w:footnote>
  <w:footnote w:id="21">
    <w:p w14:paraId="3C78B698" w14:textId="731CB81B" w:rsidR="00686ECA" w:rsidRPr="00EE1F84" w:rsidRDefault="00686ECA">
      <w:pPr>
        <w:pStyle w:val="FootnoteText"/>
        <w:rPr>
          <w:rFonts w:ascii="Franklin Gothic Book" w:hAnsi="Franklin Gothic Book"/>
          <w:lang w:val="en-US"/>
        </w:rPr>
      </w:pPr>
      <w:r w:rsidRPr="00EE1F84">
        <w:rPr>
          <w:rStyle w:val="FootnoteReference"/>
          <w:rFonts w:ascii="Franklin Gothic Book" w:hAnsi="Franklin Gothic Book"/>
        </w:rPr>
        <w:footnoteRef/>
      </w:r>
      <w:r w:rsidRPr="00EE1F84">
        <w:rPr>
          <w:rFonts w:ascii="Franklin Gothic Book" w:hAnsi="Franklin Gothic Book"/>
        </w:rPr>
        <w:t xml:space="preserve"> https://www.unicef.org/rosa/press-releases/nutrition-crisis-looms-more-39-billion-school-meals-missed-start-pandemic-unicef-and</w:t>
      </w:r>
    </w:p>
  </w:footnote>
  <w:footnote w:id="22">
    <w:p w14:paraId="32F3E03A" w14:textId="7409BE1C" w:rsidR="00E66160" w:rsidRPr="00EE1F84" w:rsidRDefault="00E66160">
      <w:pPr>
        <w:pStyle w:val="FootnoteText"/>
        <w:rPr>
          <w:rFonts w:ascii="Franklin Gothic Book" w:hAnsi="Franklin Gothic Book"/>
          <w:sz w:val="24"/>
          <w:szCs w:val="24"/>
          <w:lang w:val="en-US"/>
        </w:rPr>
      </w:pPr>
      <w:r w:rsidRPr="00EE1F84">
        <w:rPr>
          <w:rStyle w:val="FootnoteReference"/>
          <w:rFonts w:ascii="Franklin Gothic Book" w:hAnsi="Franklin Gothic Book"/>
        </w:rPr>
        <w:footnoteRef/>
      </w:r>
      <w:r w:rsidRPr="00EE1F84">
        <w:rPr>
          <w:rFonts w:ascii="Franklin Gothic Book" w:hAnsi="Franklin Gothic Book"/>
        </w:rPr>
        <w:t xml:space="preserve"> See e.g. https://theconversation.com/why-more-public-libraries-are-doubling-as-food-distribution-hubs-160674, https://www.oclc.org/content/dam/research/publications/2021/oclcresearch-new-model-library-a4.pdf</w:t>
      </w:r>
    </w:p>
  </w:footnote>
  <w:footnote w:id="23">
    <w:p w14:paraId="6B0BE68F" w14:textId="72484110" w:rsidR="001A644E" w:rsidRPr="001A644E" w:rsidRDefault="001A644E">
      <w:pPr>
        <w:pStyle w:val="FootnoteText"/>
        <w:rPr>
          <w:sz w:val="16"/>
          <w:szCs w:val="16"/>
          <w:lang w:val="en-US"/>
        </w:rPr>
      </w:pPr>
      <w:r w:rsidRPr="00EE1F84">
        <w:rPr>
          <w:rStyle w:val="FootnoteReference"/>
          <w:rFonts w:ascii="Franklin Gothic Book" w:hAnsi="Franklin Gothic Book"/>
        </w:rPr>
        <w:footnoteRef/>
      </w:r>
      <w:r w:rsidRPr="00EE1F84">
        <w:rPr>
          <w:rFonts w:ascii="Franklin Gothic Book" w:hAnsi="Franklin Gothic Book"/>
        </w:rPr>
        <w:t xml:space="preserve"> https://culturalfoundation.eu/stories/echo-mobile-library-mobile-cultural-exchanges/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273"/>
    <w:multiLevelType w:val="hybridMultilevel"/>
    <w:tmpl w:val="5C1AAE50"/>
    <w:lvl w:ilvl="0" w:tplc="6E10F66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C755891"/>
    <w:multiLevelType w:val="hybridMultilevel"/>
    <w:tmpl w:val="B832D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EA"/>
    <w:rsid w:val="00000FC1"/>
    <w:rsid w:val="00003643"/>
    <w:rsid w:val="00003930"/>
    <w:rsid w:val="000114C9"/>
    <w:rsid w:val="00021F7E"/>
    <w:rsid w:val="00041AED"/>
    <w:rsid w:val="0005387B"/>
    <w:rsid w:val="00053E05"/>
    <w:rsid w:val="000666FA"/>
    <w:rsid w:val="0007775D"/>
    <w:rsid w:val="00083DA3"/>
    <w:rsid w:val="00091A69"/>
    <w:rsid w:val="000965D0"/>
    <w:rsid w:val="000967C8"/>
    <w:rsid w:val="00096C6D"/>
    <w:rsid w:val="000A60C1"/>
    <w:rsid w:val="000B03F6"/>
    <w:rsid w:val="000B380C"/>
    <w:rsid w:val="000B4CD3"/>
    <w:rsid w:val="000B6CF5"/>
    <w:rsid w:val="000C0332"/>
    <w:rsid w:val="000C4399"/>
    <w:rsid w:val="000E1522"/>
    <w:rsid w:val="000F4F6F"/>
    <w:rsid w:val="00112BBE"/>
    <w:rsid w:val="00123B98"/>
    <w:rsid w:val="001341EA"/>
    <w:rsid w:val="0013740B"/>
    <w:rsid w:val="00147FF9"/>
    <w:rsid w:val="00157C08"/>
    <w:rsid w:val="001772D4"/>
    <w:rsid w:val="001855AD"/>
    <w:rsid w:val="001911CF"/>
    <w:rsid w:val="001A644E"/>
    <w:rsid w:val="001B7A9E"/>
    <w:rsid w:val="001C6C77"/>
    <w:rsid w:val="002022BD"/>
    <w:rsid w:val="00226351"/>
    <w:rsid w:val="00226AC8"/>
    <w:rsid w:val="002341FE"/>
    <w:rsid w:val="0025256D"/>
    <w:rsid w:val="00256B50"/>
    <w:rsid w:val="00261C62"/>
    <w:rsid w:val="0027021E"/>
    <w:rsid w:val="00280A51"/>
    <w:rsid w:val="002A3AF4"/>
    <w:rsid w:val="002C4FC4"/>
    <w:rsid w:val="002D3B2B"/>
    <w:rsid w:val="002D6AF2"/>
    <w:rsid w:val="002E0612"/>
    <w:rsid w:val="002E2B3E"/>
    <w:rsid w:val="002F741A"/>
    <w:rsid w:val="00304462"/>
    <w:rsid w:val="00305F3E"/>
    <w:rsid w:val="00307DE6"/>
    <w:rsid w:val="00323429"/>
    <w:rsid w:val="00327E59"/>
    <w:rsid w:val="00335F20"/>
    <w:rsid w:val="0034702F"/>
    <w:rsid w:val="0037040A"/>
    <w:rsid w:val="003843F3"/>
    <w:rsid w:val="00394E51"/>
    <w:rsid w:val="003A2457"/>
    <w:rsid w:val="003B5FF5"/>
    <w:rsid w:val="003C7DCB"/>
    <w:rsid w:val="003D115A"/>
    <w:rsid w:val="003E0C7D"/>
    <w:rsid w:val="003F7C8E"/>
    <w:rsid w:val="0041235D"/>
    <w:rsid w:val="00413251"/>
    <w:rsid w:val="00416D06"/>
    <w:rsid w:val="004259D5"/>
    <w:rsid w:val="00426A3D"/>
    <w:rsid w:val="00447D0E"/>
    <w:rsid w:val="00465787"/>
    <w:rsid w:val="004741B5"/>
    <w:rsid w:val="00483D9A"/>
    <w:rsid w:val="00490784"/>
    <w:rsid w:val="00494BFC"/>
    <w:rsid w:val="004C7FC7"/>
    <w:rsid w:val="004F4368"/>
    <w:rsid w:val="00503A32"/>
    <w:rsid w:val="00513904"/>
    <w:rsid w:val="005407BA"/>
    <w:rsid w:val="00543D15"/>
    <w:rsid w:val="005524D5"/>
    <w:rsid w:val="00553264"/>
    <w:rsid w:val="00557562"/>
    <w:rsid w:val="005607AB"/>
    <w:rsid w:val="00562D0C"/>
    <w:rsid w:val="00577494"/>
    <w:rsid w:val="005B7CE8"/>
    <w:rsid w:val="005C30AF"/>
    <w:rsid w:val="005D0757"/>
    <w:rsid w:val="005D3BD4"/>
    <w:rsid w:val="005E4D43"/>
    <w:rsid w:val="00615EA2"/>
    <w:rsid w:val="00620545"/>
    <w:rsid w:val="006236D9"/>
    <w:rsid w:val="00631056"/>
    <w:rsid w:val="00652F47"/>
    <w:rsid w:val="00661E1D"/>
    <w:rsid w:val="006745E0"/>
    <w:rsid w:val="0068436E"/>
    <w:rsid w:val="00686ECA"/>
    <w:rsid w:val="006A0690"/>
    <w:rsid w:val="006A2BB6"/>
    <w:rsid w:val="006A2E3B"/>
    <w:rsid w:val="006C16B4"/>
    <w:rsid w:val="006D7CEF"/>
    <w:rsid w:val="006E4BD0"/>
    <w:rsid w:val="006F7FFB"/>
    <w:rsid w:val="00707DCE"/>
    <w:rsid w:val="0073540B"/>
    <w:rsid w:val="00742310"/>
    <w:rsid w:val="00751300"/>
    <w:rsid w:val="007524F9"/>
    <w:rsid w:val="007852F9"/>
    <w:rsid w:val="007878A0"/>
    <w:rsid w:val="0079174F"/>
    <w:rsid w:val="00796F81"/>
    <w:rsid w:val="007971E6"/>
    <w:rsid w:val="007979BD"/>
    <w:rsid w:val="007A6007"/>
    <w:rsid w:val="007B22D6"/>
    <w:rsid w:val="007B7CEC"/>
    <w:rsid w:val="007C2CFA"/>
    <w:rsid w:val="007D2E7A"/>
    <w:rsid w:val="007D32FD"/>
    <w:rsid w:val="007D38E0"/>
    <w:rsid w:val="007D5959"/>
    <w:rsid w:val="007E0AF5"/>
    <w:rsid w:val="0080769B"/>
    <w:rsid w:val="00810C9C"/>
    <w:rsid w:val="008603EB"/>
    <w:rsid w:val="00861FCA"/>
    <w:rsid w:val="0087414A"/>
    <w:rsid w:val="008A692C"/>
    <w:rsid w:val="008B0068"/>
    <w:rsid w:val="008B2C3D"/>
    <w:rsid w:val="008C337C"/>
    <w:rsid w:val="008C371E"/>
    <w:rsid w:val="008C4D76"/>
    <w:rsid w:val="008C60DE"/>
    <w:rsid w:val="008D5CAF"/>
    <w:rsid w:val="00904F36"/>
    <w:rsid w:val="00906E1C"/>
    <w:rsid w:val="0097589B"/>
    <w:rsid w:val="0097619C"/>
    <w:rsid w:val="00984D86"/>
    <w:rsid w:val="009900DA"/>
    <w:rsid w:val="0099182C"/>
    <w:rsid w:val="009974A5"/>
    <w:rsid w:val="009A1697"/>
    <w:rsid w:val="009B04CA"/>
    <w:rsid w:val="009B5E49"/>
    <w:rsid w:val="009C05F4"/>
    <w:rsid w:val="009D5E0B"/>
    <w:rsid w:val="009E07B4"/>
    <w:rsid w:val="009F30F1"/>
    <w:rsid w:val="009F5350"/>
    <w:rsid w:val="00A17584"/>
    <w:rsid w:val="00A258C2"/>
    <w:rsid w:val="00A2754B"/>
    <w:rsid w:val="00A47E5E"/>
    <w:rsid w:val="00A517D0"/>
    <w:rsid w:val="00A52993"/>
    <w:rsid w:val="00A74280"/>
    <w:rsid w:val="00A82A7A"/>
    <w:rsid w:val="00A92D3A"/>
    <w:rsid w:val="00AA385B"/>
    <w:rsid w:val="00AB25CB"/>
    <w:rsid w:val="00AC34B0"/>
    <w:rsid w:val="00AC41E1"/>
    <w:rsid w:val="00AD25CF"/>
    <w:rsid w:val="00AD34B8"/>
    <w:rsid w:val="00AD7572"/>
    <w:rsid w:val="00B004A6"/>
    <w:rsid w:val="00B054B2"/>
    <w:rsid w:val="00B26104"/>
    <w:rsid w:val="00B81EF5"/>
    <w:rsid w:val="00BB4632"/>
    <w:rsid w:val="00BF0D14"/>
    <w:rsid w:val="00BF4282"/>
    <w:rsid w:val="00C007CD"/>
    <w:rsid w:val="00C21441"/>
    <w:rsid w:val="00C3069A"/>
    <w:rsid w:val="00C37FF1"/>
    <w:rsid w:val="00C52B3B"/>
    <w:rsid w:val="00C76534"/>
    <w:rsid w:val="00C76C10"/>
    <w:rsid w:val="00C778E6"/>
    <w:rsid w:val="00C87DB7"/>
    <w:rsid w:val="00C94B40"/>
    <w:rsid w:val="00C97E8E"/>
    <w:rsid w:val="00CA18DB"/>
    <w:rsid w:val="00CA2D50"/>
    <w:rsid w:val="00CA368F"/>
    <w:rsid w:val="00CA6354"/>
    <w:rsid w:val="00CB121D"/>
    <w:rsid w:val="00CB231C"/>
    <w:rsid w:val="00CC373E"/>
    <w:rsid w:val="00CC55D1"/>
    <w:rsid w:val="00CC70D6"/>
    <w:rsid w:val="00CF0906"/>
    <w:rsid w:val="00D11898"/>
    <w:rsid w:val="00D1481A"/>
    <w:rsid w:val="00D16831"/>
    <w:rsid w:val="00D17CC8"/>
    <w:rsid w:val="00D5177F"/>
    <w:rsid w:val="00D60B86"/>
    <w:rsid w:val="00D62B57"/>
    <w:rsid w:val="00D6740F"/>
    <w:rsid w:val="00D72467"/>
    <w:rsid w:val="00D75655"/>
    <w:rsid w:val="00DA57D7"/>
    <w:rsid w:val="00DA78F6"/>
    <w:rsid w:val="00DD00ED"/>
    <w:rsid w:val="00DD4EF9"/>
    <w:rsid w:val="00E06003"/>
    <w:rsid w:val="00E34719"/>
    <w:rsid w:val="00E36CA7"/>
    <w:rsid w:val="00E40411"/>
    <w:rsid w:val="00E56D28"/>
    <w:rsid w:val="00E66160"/>
    <w:rsid w:val="00E70C69"/>
    <w:rsid w:val="00E72708"/>
    <w:rsid w:val="00E8455A"/>
    <w:rsid w:val="00E8577D"/>
    <w:rsid w:val="00E8783E"/>
    <w:rsid w:val="00EA0E79"/>
    <w:rsid w:val="00EA2832"/>
    <w:rsid w:val="00EA7687"/>
    <w:rsid w:val="00EA77B1"/>
    <w:rsid w:val="00EC067A"/>
    <w:rsid w:val="00EE1F84"/>
    <w:rsid w:val="00EF0CE1"/>
    <w:rsid w:val="00F002E1"/>
    <w:rsid w:val="00F0053F"/>
    <w:rsid w:val="00F052EF"/>
    <w:rsid w:val="00F13146"/>
    <w:rsid w:val="00F21586"/>
    <w:rsid w:val="00F305DD"/>
    <w:rsid w:val="00F350EE"/>
    <w:rsid w:val="00F43EAB"/>
    <w:rsid w:val="00F729F3"/>
    <w:rsid w:val="00F73C8B"/>
    <w:rsid w:val="00F90041"/>
    <w:rsid w:val="00FA2238"/>
    <w:rsid w:val="00FB1693"/>
    <w:rsid w:val="00FB668D"/>
    <w:rsid w:val="00FC3571"/>
    <w:rsid w:val="00FC770B"/>
    <w:rsid w:val="00FE5E9D"/>
    <w:rsid w:val="00FF0D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BE22"/>
  <w15:chartTrackingRefBased/>
  <w15:docId w15:val="{713D65F0-EB32-48A9-864A-8C9E9A4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1EA"/>
    <w:rPr>
      <w:color w:val="0563C1" w:themeColor="hyperlink"/>
      <w:u w:val="single"/>
    </w:rPr>
  </w:style>
  <w:style w:type="character" w:styleId="UnresolvedMention">
    <w:name w:val="Unresolved Mention"/>
    <w:basedOn w:val="DefaultParagraphFont"/>
    <w:uiPriority w:val="99"/>
    <w:semiHidden/>
    <w:unhideWhenUsed/>
    <w:rsid w:val="001341EA"/>
    <w:rPr>
      <w:color w:val="605E5C"/>
      <w:shd w:val="clear" w:color="auto" w:fill="E1DFDD"/>
    </w:rPr>
  </w:style>
  <w:style w:type="paragraph" w:styleId="ListParagraph">
    <w:name w:val="List Paragraph"/>
    <w:basedOn w:val="Normal"/>
    <w:uiPriority w:val="34"/>
    <w:qFormat/>
    <w:rsid w:val="00C97E8E"/>
    <w:pPr>
      <w:ind w:left="720"/>
      <w:contextualSpacing/>
    </w:pPr>
  </w:style>
  <w:style w:type="character" w:styleId="FollowedHyperlink">
    <w:name w:val="FollowedHyperlink"/>
    <w:basedOn w:val="DefaultParagraphFont"/>
    <w:uiPriority w:val="99"/>
    <w:semiHidden/>
    <w:unhideWhenUsed/>
    <w:rsid w:val="006745E0"/>
    <w:rPr>
      <w:color w:val="954F72" w:themeColor="followedHyperlink"/>
      <w:u w:val="single"/>
    </w:rPr>
  </w:style>
  <w:style w:type="paragraph" w:styleId="NormalWeb">
    <w:name w:val="Normal (Web)"/>
    <w:basedOn w:val="Normal"/>
    <w:uiPriority w:val="99"/>
    <w:semiHidden/>
    <w:unhideWhenUsed/>
    <w:rsid w:val="00F729F3"/>
    <w:pPr>
      <w:spacing w:before="100" w:beforeAutospacing="1" w:after="100" w:afterAutospacing="1" w:line="240" w:lineRule="auto"/>
    </w:pPr>
    <w:rPr>
      <w:rFonts w:ascii="Times New Roman" w:eastAsia="Times New Roman" w:hAnsi="Times New Roman" w:cs="Times New Roman"/>
      <w:sz w:val="24"/>
      <w:szCs w:val="24"/>
      <w:lang/>
    </w:rPr>
  </w:style>
  <w:style w:type="character" w:styleId="CommentReference">
    <w:name w:val="annotation reference"/>
    <w:basedOn w:val="DefaultParagraphFont"/>
    <w:uiPriority w:val="99"/>
    <w:semiHidden/>
    <w:unhideWhenUsed/>
    <w:rsid w:val="00796F81"/>
    <w:rPr>
      <w:sz w:val="16"/>
      <w:szCs w:val="16"/>
    </w:rPr>
  </w:style>
  <w:style w:type="paragraph" w:styleId="CommentText">
    <w:name w:val="annotation text"/>
    <w:basedOn w:val="Normal"/>
    <w:link w:val="CommentTextChar"/>
    <w:uiPriority w:val="99"/>
    <w:semiHidden/>
    <w:unhideWhenUsed/>
    <w:rsid w:val="00796F81"/>
    <w:pPr>
      <w:spacing w:line="240" w:lineRule="auto"/>
    </w:pPr>
    <w:rPr>
      <w:sz w:val="20"/>
      <w:szCs w:val="20"/>
    </w:rPr>
  </w:style>
  <w:style w:type="character" w:customStyle="1" w:styleId="CommentTextChar">
    <w:name w:val="Comment Text Char"/>
    <w:basedOn w:val="DefaultParagraphFont"/>
    <w:link w:val="CommentText"/>
    <w:uiPriority w:val="99"/>
    <w:semiHidden/>
    <w:rsid w:val="00796F81"/>
    <w:rPr>
      <w:sz w:val="20"/>
      <w:szCs w:val="20"/>
      <w:lang w:val="en-GB"/>
    </w:rPr>
  </w:style>
  <w:style w:type="paragraph" w:styleId="CommentSubject">
    <w:name w:val="annotation subject"/>
    <w:basedOn w:val="CommentText"/>
    <w:next w:val="CommentText"/>
    <w:link w:val="CommentSubjectChar"/>
    <w:uiPriority w:val="99"/>
    <w:semiHidden/>
    <w:unhideWhenUsed/>
    <w:rsid w:val="00796F81"/>
    <w:rPr>
      <w:b/>
      <w:bCs/>
    </w:rPr>
  </w:style>
  <w:style w:type="character" w:customStyle="1" w:styleId="CommentSubjectChar">
    <w:name w:val="Comment Subject Char"/>
    <w:basedOn w:val="CommentTextChar"/>
    <w:link w:val="CommentSubject"/>
    <w:uiPriority w:val="99"/>
    <w:semiHidden/>
    <w:rsid w:val="00796F81"/>
    <w:rPr>
      <w:b/>
      <w:bCs/>
      <w:sz w:val="20"/>
      <w:szCs w:val="20"/>
      <w:lang w:val="en-GB"/>
    </w:rPr>
  </w:style>
  <w:style w:type="paragraph" w:styleId="FootnoteText">
    <w:name w:val="footnote text"/>
    <w:basedOn w:val="Normal"/>
    <w:link w:val="FootnoteTextChar"/>
    <w:uiPriority w:val="99"/>
    <w:semiHidden/>
    <w:unhideWhenUsed/>
    <w:rsid w:val="00CC7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0D6"/>
    <w:rPr>
      <w:sz w:val="20"/>
      <w:szCs w:val="20"/>
      <w:lang w:val="en-GB"/>
    </w:rPr>
  </w:style>
  <w:style w:type="character" w:styleId="FootnoteReference">
    <w:name w:val="footnote reference"/>
    <w:basedOn w:val="DefaultParagraphFont"/>
    <w:uiPriority w:val="99"/>
    <w:semiHidden/>
    <w:unhideWhenUsed/>
    <w:rsid w:val="00CC70D6"/>
    <w:rPr>
      <w:vertAlign w:val="superscript"/>
    </w:rPr>
  </w:style>
  <w:style w:type="paragraph" w:styleId="Header">
    <w:name w:val="header"/>
    <w:basedOn w:val="Normal"/>
    <w:link w:val="HeaderChar"/>
    <w:uiPriority w:val="99"/>
    <w:unhideWhenUsed/>
    <w:rsid w:val="008C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37C"/>
    <w:rPr>
      <w:lang w:val="en-GB"/>
    </w:rPr>
  </w:style>
  <w:style w:type="paragraph" w:styleId="Footer">
    <w:name w:val="footer"/>
    <w:basedOn w:val="Normal"/>
    <w:link w:val="FooterChar"/>
    <w:uiPriority w:val="99"/>
    <w:unhideWhenUsed/>
    <w:rsid w:val="008C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3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332">
      <w:bodyDiv w:val="1"/>
      <w:marLeft w:val="0"/>
      <w:marRight w:val="0"/>
      <w:marTop w:val="0"/>
      <w:marBottom w:val="0"/>
      <w:divBdr>
        <w:top w:val="none" w:sz="0" w:space="0" w:color="auto"/>
        <w:left w:val="none" w:sz="0" w:space="0" w:color="auto"/>
        <w:bottom w:val="none" w:sz="0" w:space="0" w:color="auto"/>
        <w:right w:val="none" w:sz="0" w:space="0" w:color="auto"/>
      </w:divBdr>
    </w:div>
    <w:div w:id="338504050">
      <w:bodyDiv w:val="1"/>
      <w:marLeft w:val="0"/>
      <w:marRight w:val="0"/>
      <w:marTop w:val="0"/>
      <w:marBottom w:val="0"/>
      <w:divBdr>
        <w:top w:val="none" w:sz="0" w:space="0" w:color="auto"/>
        <w:left w:val="none" w:sz="0" w:space="0" w:color="auto"/>
        <w:bottom w:val="none" w:sz="0" w:space="0" w:color="auto"/>
        <w:right w:val="none" w:sz="0" w:space="0" w:color="auto"/>
      </w:divBdr>
    </w:div>
    <w:div w:id="907037451">
      <w:bodyDiv w:val="1"/>
      <w:marLeft w:val="0"/>
      <w:marRight w:val="0"/>
      <w:marTop w:val="0"/>
      <w:marBottom w:val="0"/>
      <w:divBdr>
        <w:top w:val="none" w:sz="0" w:space="0" w:color="auto"/>
        <w:left w:val="none" w:sz="0" w:space="0" w:color="auto"/>
        <w:bottom w:val="none" w:sz="0" w:space="0" w:color="auto"/>
        <w:right w:val="none" w:sz="0" w:space="0" w:color="auto"/>
      </w:divBdr>
    </w:div>
    <w:div w:id="157092387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989820662">
      <w:bodyDiv w:val="1"/>
      <w:marLeft w:val="0"/>
      <w:marRight w:val="0"/>
      <w:marTop w:val="0"/>
      <w:marBottom w:val="0"/>
      <w:divBdr>
        <w:top w:val="none" w:sz="0" w:space="0" w:color="auto"/>
        <w:left w:val="none" w:sz="0" w:space="0" w:color="auto"/>
        <w:bottom w:val="none" w:sz="0" w:space="0" w:color="auto"/>
        <w:right w:val="none" w:sz="0" w:space="0" w:color="auto"/>
      </w:divBdr>
    </w:div>
    <w:div w:id="2051105863">
      <w:bodyDiv w:val="1"/>
      <w:marLeft w:val="0"/>
      <w:marRight w:val="0"/>
      <w:marTop w:val="0"/>
      <w:marBottom w:val="0"/>
      <w:divBdr>
        <w:top w:val="none" w:sz="0" w:space="0" w:color="auto"/>
        <w:left w:val="none" w:sz="0" w:space="0" w:color="auto"/>
        <w:bottom w:val="none" w:sz="0" w:space="0" w:color="auto"/>
        <w:right w:val="none" w:sz="0" w:space="0" w:color="auto"/>
      </w:divBdr>
    </w:div>
    <w:div w:id="20511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D2701-6935-4D89-84EE-7E0BFBC33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7D1B1-9C3E-45F0-8977-DDB3F2CC6110}">
  <ds:schemaRefs>
    <ds:schemaRef ds:uri="http://schemas.openxmlformats.org/officeDocument/2006/bibliography"/>
  </ds:schemaRefs>
</ds:datastoreItem>
</file>

<file path=customXml/itemProps3.xml><?xml version="1.0" encoding="utf-8"?>
<ds:datastoreItem xmlns:ds="http://schemas.openxmlformats.org/officeDocument/2006/customXml" ds:itemID="{A2258CAA-55E3-4DE3-85C2-08EB3FD72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5EE673-F652-4839-A025-5017E741F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Valensiya Dresvyannikova</dc:creator>
  <cp:keywords/>
  <dc:description/>
  <cp:lastModifiedBy>KOSHELEVA Daria</cp:lastModifiedBy>
  <cp:revision>2</cp:revision>
  <dcterms:created xsi:type="dcterms:W3CDTF">2022-04-06T12:28:00Z</dcterms:created>
  <dcterms:modified xsi:type="dcterms:W3CDTF">2022-04-06T12:28:00Z</dcterms:modified>
</cp:coreProperties>
</file>