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057BC0" w:rsidRPr="00DB58B5" w14:paraId="249EA6EF" w14:textId="77777777" w:rsidTr="00B26E71">
        <w:trPr>
          <w:trHeight w:hRule="exact" w:val="851"/>
        </w:trPr>
        <w:tc>
          <w:tcPr>
            <w:tcW w:w="1276" w:type="dxa"/>
            <w:tcBorders>
              <w:bottom w:val="single" w:sz="4" w:space="0" w:color="auto"/>
            </w:tcBorders>
          </w:tcPr>
          <w:p w14:paraId="2916DD8F" w14:textId="77777777" w:rsidR="00057BC0" w:rsidRPr="00DB58B5" w:rsidRDefault="00057BC0" w:rsidP="00186254"/>
        </w:tc>
        <w:tc>
          <w:tcPr>
            <w:tcW w:w="2268" w:type="dxa"/>
            <w:tcBorders>
              <w:bottom w:val="single" w:sz="4" w:space="0" w:color="auto"/>
            </w:tcBorders>
            <w:vAlign w:val="bottom"/>
          </w:tcPr>
          <w:p w14:paraId="6D3E7B48" w14:textId="0C03A730" w:rsidR="00057BC0" w:rsidRPr="00DB58B5" w:rsidRDefault="00057BC0" w:rsidP="00186254">
            <w:pPr>
              <w:spacing w:after="80" w:line="300" w:lineRule="exact"/>
              <w:rPr>
                <w:sz w:val="28"/>
              </w:rPr>
            </w:pPr>
            <w:bookmarkStart w:id="0" w:name="_GoBack"/>
            <w:bookmarkEnd w:id="0"/>
          </w:p>
        </w:tc>
        <w:tc>
          <w:tcPr>
            <w:tcW w:w="6095" w:type="dxa"/>
            <w:gridSpan w:val="2"/>
            <w:tcBorders>
              <w:bottom w:val="single" w:sz="4" w:space="0" w:color="auto"/>
            </w:tcBorders>
            <w:vAlign w:val="bottom"/>
          </w:tcPr>
          <w:p w14:paraId="110C6C2D" w14:textId="15AEBE48" w:rsidR="00057BC0" w:rsidRPr="00DB58B5" w:rsidRDefault="00B26E71" w:rsidP="00B26E71">
            <w:pPr>
              <w:jc w:val="right"/>
            </w:pPr>
            <w:r w:rsidRPr="00592838">
              <w:rPr>
                <w:sz w:val="40"/>
              </w:rPr>
              <w:t>A</w:t>
            </w:r>
            <w:r w:rsidRPr="00592838">
              <w:t>/HRC/51/44</w:t>
            </w:r>
          </w:p>
        </w:tc>
      </w:tr>
      <w:tr w:rsidR="00057BC0" w:rsidRPr="00DB58B5" w14:paraId="05A9F941" w14:textId="77777777" w:rsidTr="00186254">
        <w:trPr>
          <w:trHeight w:hRule="exact" w:val="2835"/>
        </w:trPr>
        <w:tc>
          <w:tcPr>
            <w:tcW w:w="1276" w:type="dxa"/>
            <w:tcBorders>
              <w:top w:val="single" w:sz="4" w:space="0" w:color="auto"/>
              <w:bottom w:val="single" w:sz="12" w:space="0" w:color="auto"/>
            </w:tcBorders>
          </w:tcPr>
          <w:p w14:paraId="7576D538" w14:textId="4309AEA9" w:rsidR="00057BC0" w:rsidRPr="00DB58B5" w:rsidRDefault="00057BC0" w:rsidP="00186254">
            <w:pPr>
              <w:spacing w:before="120"/>
              <w:jc w:val="center"/>
            </w:pPr>
          </w:p>
        </w:tc>
        <w:tc>
          <w:tcPr>
            <w:tcW w:w="5528" w:type="dxa"/>
            <w:gridSpan w:val="2"/>
            <w:tcBorders>
              <w:top w:val="single" w:sz="4" w:space="0" w:color="auto"/>
              <w:bottom w:val="single" w:sz="12" w:space="0" w:color="auto"/>
            </w:tcBorders>
          </w:tcPr>
          <w:p w14:paraId="6ADEC099" w14:textId="17A3F6F2" w:rsidR="00057BC0" w:rsidRPr="00740562" w:rsidRDefault="00C15359" w:rsidP="00186254">
            <w:pPr>
              <w:spacing w:before="120" w:line="420" w:lineRule="exact"/>
              <w:rPr>
                <w:b/>
                <w:sz w:val="40"/>
                <w:szCs w:val="40"/>
              </w:rPr>
            </w:pPr>
            <w:r>
              <w:rPr>
                <w:b/>
                <w:sz w:val="40"/>
                <w:szCs w:val="40"/>
              </w:rPr>
              <w:t xml:space="preserve">Advance </w:t>
            </w:r>
            <w:proofErr w:type="spellStart"/>
            <w:r>
              <w:rPr>
                <w:b/>
                <w:sz w:val="40"/>
                <w:szCs w:val="40"/>
              </w:rPr>
              <w:t>Edited</w:t>
            </w:r>
            <w:proofErr w:type="spellEnd"/>
            <w:r>
              <w:rPr>
                <w:b/>
                <w:sz w:val="40"/>
                <w:szCs w:val="40"/>
              </w:rPr>
              <w:t xml:space="preserve"> Version</w:t>
            </w:r>
          </w:p>
        </w:tc>
        <w:tc>
          <w:tcPr>
            <w:tcW w:w="2835" w:type="dxa"/>
            <w:tcBorders>
              <w:top w:val="single" w:sz="4" w:space="0" w:color="auto"/>
              <w:bottom w:val="single" w:sz="12" w:space="0" w:color="auto"/>
            </w:tcBorders>
          </w:tcPr>
          <w:p w14:paraId="7E8FA623" w14:textId="1D526D78" w:rsidR="00057BC0" w:rsidRDefault="00B26E71" w:rsidP="00B26E71">
            <w:pPr>
              <w:spacing w:before="240" w:line="240" w:lineRule="exact"/>
            </w:pPr>
            <w:proofErr w:type="spellStart"/>
            <w:r>
              <w:t>Distr</w:t>
            </w:r>
            <w:proofErr w:type="spellEnd"/>
            <w:r>
              <w:t xml:space="preserve">. </w:t>
            </w:r>
            <w:proofErr w:type="gramStart"/>
            <w:r w:rsidR="002A24EB">
              <w:t>g</w:t>
            </w:r>
            <w:r>
              <w:t>énérale</w:t>
            </w:r>
            <w:proofErr w:type="gramEnd"/>
          </w:p>
          <w:p w14:paraId="67E596F5" w14:textId="0D6898E6" w:rsidR="00B26E71" w:rsidRDefault="00EC25CB" w:rsidP="00B26E71">
            <w:pPr>
              <w:spacing w:line="240" w:lineRule="exact"/>
            </w:pPr>
            <w:r>
              <w:t>1</w:t>
            </w:r>
            <w:r w:rsidR="00564133">
              <w:t>3</w:t>
            </w:r>
            <w:r w:rsidR="002A24EB">
              <w:t> septembre</w:t>
            </w:r>
            <w:r w:rsidR="00B26E71">
              <w:t xml:space="preserve"> 2022</w:t>
            </w:r>
          </w:p>
          <w:p w14:paraId="6DDD13C9" w14:textId="77777777" w:rsidR="00B26E71" w:rsidRDefault="00B26E71" w:rsidP="00B26E71">
            <w:pPr>
              <w:spacing w:line="240" w:lineRule="exact"/>
            </w:pPr>
          </w:p>
          <w:p w14:paraId="554CFD9B" w14:textId="77777777" w:rsidR="00B26E71" w:rsidRPr="00DB58B5" w:rsidRDefault="00B26E71" w:rsidP="00B26E71">
            <w:pPr>
              <w:spacing w:line="240" w:lineRule="exact"/>
            </w:pPr>
            <w:r>
              <w:t>Original : français</w:t>
            </w:r>
          </w:p>
        </w:tc>
      </w:tr>
    </w:tbl>
    <w:p w14:paraId="04C26DC0" w14:textId="04054CB5" w:rsidR="001D6108" w:rsidRPr="004E6233" w:rsidRDefault="001D6108" w:rsidP="00344DB9">
      <w:pPr>
        <w:spacing w:before="120"/>
        <w:rPr>
          <w:b/>
          <w:sz w:val="24"/>
          <w:szCs w:val="24"/>
        </w:rPr>
      </w:pPr>
      <w:r w:rsidRPr="00EC12F6">
        <w:rPr>
          <w:b/>
          <w:sz w:val="24"/>
          <w:szCs w:val="24"/>
        </w:rPr>
        <w:t>Conseil des droits de l’homme</w:t>
      </w:r>
    </w:p>
    <w:p w14:paraId="7B34E5F6" w14:textId="77777777" w:rsidR="009A4C26" w:rsidRDefault="009A4C26" w:rsidP="009A4C26">
      <w:pPr>
        <w:spacing w:line="240" w:lineRule="auto"/>
        <w:rPr>
          <w:b/>
        </w:rPr>
      </w:pPr>
      <w:r>
        <w:rPr>
          <w:b/>
          <w:lang w:val="fr-FR"/>
        </w:rPr>
        <w:t xml:space="preserve">Cinquante et unième </w:t>
      </w:r>
      <w:r w:rsidRPr="00EC12F6">
        <w:rPr>
          <w:b/>
        </w:rPr>
        <w:t>session</w:t>
      </w:r>
    </w:p>
    <w:p w14:paraId="7C4F5F1D" w14:textId="22FD853C" w:rsidR="00F05B09" w:rsidRDefault="001D6108" w:rsidP="00794671">
      <w:pPr>
        <w:rPr>
          <w:color w:val="000000" w:themeColor="text1"/>
        </w:rPr>
      </w:pPr>
      <w:r w:rsidRPr="004E6233">
        <w:rPr>
          <w:rFonts w:eastAsia="Calibri"/>
          <w:bCs/>
          <w:lang w:val="fr-FR"/>
        </w:rPr>
        <w:t>12</w:t>
      </w:r>
      <w:r w:rsidRPr="00592838">
        <w:rPr>
          <w:rFonts w:eastAsia="Calibri"/>
          <w:bCs/>
          <w:lang w:val="fr-FR"/>
        </w:rPr>
        <w:t xml:space="preserve"> </w:t>
      </w:r>
      <w:r w:rsidR="00EC4248">
        <w:rPr>
          <w:rFonts w:eastAsia="Calibri"/>
          <w:bCs/>
          <w:lang w:val="fr-FR"/>
        </w:rPr>
        <w:t>s</w:t>
      </w:r>
      <w:r w:rsidR="00B12FB0">
        <w:rPr>
          <w:rFonts w:eastAsia="Calibri"/>
          <w:bCs/>
          <w:lang w:val="fr-FR"/>
        </w:rPr>
        <w:t xml:space="preserve">eptembre-7 </w:t>
      </w:r>
      <w:r w:rsidR="00EC4248">
        <w:rPr>
          <w:rFonts w:eastAsia="Calibri"/>
          <w:bCs/>
          <w:lang w:val="fr-FR"/>
        </w:rPr>
        <w:t>o</w:t>
      </w:r>
      <w:r w:rsidR="00B12FB0">
        <w:rPr>
          <w:rFonts w:eastAsia="Calibri"/>
          <w:bCs/>
          <w:lang w:val="fr-FR"/>
        </w:rPr>
        <w:t>ctobre</w:t>
      </w:r>
      <w:r w:rsidRPr="004E6233">
        <w:rPr>
          <w:rFonts w:eastAsia="Calibri"/>
          <w:bCs/>
          <w:lang w:val="fr-FR"/>
        </w:rPr>
        <w:t xml:space="preserve"> 2022</w:t>
      </w:r>
      <w:r>
        <w:rPr>
          <w:color w:val="000000" w:themeColor="text1"/>
        </w:rPr>
        <w:t xml:space="preserve"> </w:t>
      </w:r>
    </w:p>
    <w:p w14:paraId="7F3DDB64" w14:textId="1D61BE2E" w:rsidR="0008167F" w:rsidRDefault="001D6108" w:rsidP="00794671">
      <w:r w:rsidRPr="00EC12F6">
        <w:t xml:space="preserve">Point </w:t>
      </w:r>
      <w:r w:rsidR="00792BD7">
        <w:rPr>
          <w:lang w:val="fr-FR"/>
        </w:rPr>
        <w:t>4</w:t>
      </w:r>
      <w:r>
        <w:t xml:space="preserve"> de l’ordre du jour</w:t>
      </w:r>
    </w:p>
    <w:p w14:paraId="6BEC5EEC" w14:textId="77777777" w:rsidR="007B3D13" w:rsidRDefault="007B3D13" w:rsidP="00794671">
      <w:pPr>
        <w:rPr>
          <w:b/>
        </w:rPr>
      </w:pPr>
      <w:r w:rsidRPr="007B3D13">
        <w:rPr>
          <w:b/>
        </w:rPr>
        <w:t xml:space="preserve">Situations relatives aux droits de l’homme </w:t>
      </w:r>
    </w:p>
    <w:p w14:paraId="031692CD" w14:textId="736E5CD5" w:rsidR="00B26E71" w:rsidRPr="007B3D13" w:rsidRDefault="007B3D13" w:rsidP="00794671">
      <w:pPr>
        <w:rPr>
          <w:b/>
        </w:rPr>
      </w:pPr>
      <w:proofErr w:type="gramStart"/>
      <w:r w:rsidRPr="007B3D13">
        <w:rPr>
          <w:b/>
        </w:rPr>
        <w:t>qui</w:t>
      </w:r>
      <w:proofErr w:type="gramEnd"/>
      <w:r w:rsidRPr="007B3D13">
        <w:rPr>
          <w:b/>
        </w:rPr>
        <w:t xml:space="preserve"> re</w:t>
      </w:r>
      <w:r>
        <w:rPr>
          <w:b/>
        </w:rPr>
        <w:t>quièrent l’attention du Conseil</w:t>
      </w:r>
    </w:p>
    <w:p w14:paraId="140A8589" w14:textId="72ED20C4" w:rsidR="00B26E71" w:rsidRDefault="00B26E71" w:rsidP="00B26E71">
      <w:pPr>
        <w:pStyle w:val="HChG"/>
      </w:pPr>
      <w:r>
        <w:tab/>
      </w:r>
      <w:r>
        <w:tab/>
      </w:r>
      <w:r w:rsidR="009A4C26">
        <w:t>Situation</w:t>
      </w:r>
      <w:r w:rsidRPr="00C36219">
        <w:t xml:space="preserve"> des droits de l</w:t>
      </w:r>
      <w:r w:rsidR="00F11D0A">
        <w:t>’</w:t>
      </w:r>
      <w:r w:rsidRPr="00C36219">
        <w:t>homme au Burundi</w:t>
      </w:r>
    </w:p>
    <w:p w14:paraId="72B1A20D" w14:textId="2CD5BD41" w:rsidR="00B26E71" w:rsidRPr="00592838" w:rsidRDefault="00B26E71" w:rsidP="00B26E71">
      <w:pPr>
        <w:pStyle w:val="H1G"/>
        <w:rPr>
          <w:lang w:val="fr-FR"/>
        </w:rPr>
      </w:pPr>
      <w:r w:rsidRPr="00424E57">
        <w:rPr>
          <w:lang w:val="fr-FR"/>
        </w:rPr>
        <w:tab/>
      </w:r>
      <w:r w:rsidRPr="00424E57">
        <w:rPr>
          <w:lang w:val="fr-FR"/>
        </w:rPr>
        <w:tab/>
      </w:r>
      <w:r w:rsidR="00091368" w:rsidRPr="0070634B">
        <w:rPr>
          <w:lang w:val="fr-FR"/>
        </w:rPr>
        <w:t>Rapport d</w:t>
      </w:r>
      <w:r w:rsidR="00091368">
        <w:rPr>
          <w:lang w:val="fr-FR"/>
        </w:rPr>
        <w:t xml:space="preserve">u Rapporteur Spécial </w:t>
      </w:r>
      <w:r w:rsidR="00091368" w:rsidRPr="0070634B">
        <w:rPr>
          <w:lang w:val="fr-FR"/>
        </w:rPr>
        <w:t>sur la situation des droits de l</w:t>
      </w:r>
      <w:r w:rsidR="00091368">
        <w:rPr>
          <w:lang w:val="fr-FR"/>
        </w:rPr>
        <w:t>’</w:t>
      </w:r>
      <w:r w:rsidR="00091368" w:rsidRPr="0070634B">
        <w:rPr>
          <w:lang w:val="fr-FR"/>
        </w:rPr>
        <w:t xml:space="preserve">homme </w:t>
      </w:r>
      <w:r w:rsidR="00091368">
        <w:rPr>
          <w:lang w:val="fr-FR"/>
        </w:rPr>
        <w:br/>
        <w:t>au Burundi</w:t>
      </w:r>
      <w:r w:rsidR="00203B25">
        <w:rPr>
          <w:lang w:val="fr-FR"/>
        </w:rPr>
        <w:t xml:space="preserve">, </w:t>
      </w:r>
      <w:r w:rsidR="00AF7497">
        <w:rPr>
          <w:lang w:val="fr-FR"/>
        </w:rPr>
        <w:t xml:space="preserve">Fortuné Gaetan </w:t>
      </w:r>
      <w:proofErr w:type="spellStart"/>
      <w:r w:rsidR="00AF7497">
        <w:rPr>
          <w:lang w:val="fr-FR"/>
        </w:rPr>
        <w:t>Zongo</w:t>
      </w:r>
      <w:proofErr w:type="spellEnd"/>
      <w:r w:rsidR="002C22BA" w:rsidRPr="002C22BA">
        <w:rPr>
          <w:rStyle w:val="FootnoteReference"/>
          <w:b w:val="0"/>
          <w:sz w:val="20"/>
          <w:vertAlign w:val="baseline"/>
        </w:rPr>
        <w:footnoteReference w:customMarkFollows="1" w:id="2"/>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B26E71" w14:paraId="334403D2" w14:textId="77777777" w:rsidTr="00FF67BA">
        <w:trPr>
          <w:jc w:val="center"/>
        </w:trPr>
        <w:tc>
          <w:tcPr>
            <w:tcW w:w="9637" w:type="dxa"/>
            <w:shd w:val="clear" w:color="auto" w:fill="auto"/>
          </w:tcPr>
          <w:p w14:paraId="23A2AFEE" w14:textId="77777777" w:rsidR="00B26E71" w:rsidRPr="00C6263E" w:rsidRDefault="00B26E71" w:rsidP="00FF67BA">
            <w:pPr>
              <w:spacing w:before="240" w:after="120"/>
              <w:ind w:left="255"/>
              <w:rPr>
                <w:i/>
                <w:sz w:val="24"/>
              </w:rPr>
            </w:pPr>
            <w:r w:rsidRPr="00C6263E">
              <w:rPr>
                <w:i/>
                <w:sz w:val="24"/>
              </w:rPr>
              <w:t xml:space="preserve">Résumé </w:t>
            </w:r>
          </w:p>
        </w:tc>
      </w:tr>
      <w:tr w:rsidR="00B26E71" w14:paraId="3F6E25C2" w14:textId="77777777" w:rsidTr="00FF67BA">
        <w:trPr>
          <w:jc w:val="center"/>
        </w:trPr>
        <w:tc>
          <w:tcPr>
            <w:tcW w:w="9637" w:type="dxa"/>
            <w:shd w:val="clear" w:color="auto" w:fill="auto"/>
          </w:tcPr>
          <w:p w14:paraId="53535845" w14:textId="4FED60BC" w:rsidR="00B26E71" w:rsidRDefault="00B26E71" w:rsidP="00B26E71">
            <w:pPr>
              <w:pStyle w:val="SingleTxtG"/>
              <w:ind w:firstLine="567"/>
            </w:pPr>
            <w:r w:rsidRPr="00C36219">
              <w:rPr>
                <w:color w:val="000000" w:themeColor="text1"/>
              </w:rPr>
              <w:t>Le Conseil des droits de l</w:t>
            </w:r>
            <w:r w:rsidR="00F11D0A">
              <w:rPr>
                <w:color w:val="000000" w:themeColor="text1"/>
              </w:rPr>
              <w:t>’</w:t>
            </w:r>
            <w:r w:rsidRPr="00C36219">
              <w:rPr>
                <w:color w:val="000000" w:themeColor="text1"/>
              </w:rPr>
              <w:t>homme, au paragraphe 20 de sa résolution 48/16 sur la situation des droits de l</w:t>
            </w:r>
            <w:r w:rsidR="00F11D0A">
              <w:rPr>
                <w:color w:val="000000" w:themeColor="text1"/>
              </w:rPr>
              <w:t>’</w:t>
            </w:r>
            <w:r w:rsidRPr="00C36219">
              <w:rPr>
                <w:color w:val="000000" w:themeColor="text1"/>
              </w:rPr>
              <w:t xml:space="preserve">homme au Burundi, a décidé de nommer un </w:t>
            </w:r>
            <w:r w:rsidR="00E0614E">
              <w:rPr>
                <w:color w:val="000000" w:themeColor="text1"/>
              </w:rPr>
              <w:t>r</w:t>
            </w:r>
            <w:r w:rsidRPr="00C36219">
              <w:rPr>
                <w:color w:val="000000" w:themeColor="text1"/>
              </w:rPr>
              <w:t>apporteur spécial chargé de surveiller la situation des droits de l</w:t>
            </w:r>
            <w:r w:rsidR="00F11D0A">
              <w:rPr>
                <w:color w:val="000000" w:themeColor="text1"/>
              </w:rPr>
              <w:t>’</w:t>
            </w:r>
            <w:r w:rsidRPr="00C36219">
              <w:rPr>
                <w:color w:val="000000" w:themeColor="text1"/>
              </w:rPr>
              <w:t>homme au Burundi, de faire des recommandations pour l</w:t>
            </w:r>
            <w:r w:rsidR="00F11D0A">
              <w:rPr>
                <w:color w:val="000000" w:themeColor="text1"/>
              </w:rPr>
              <w:t>’</w:t>
            </w:r>
            <w:r w:rsidRPr="00C36219">
              <w:rPr>
                <w:color w:val="000000" w:themeColor="text1"/>
              </w:rPr>
              <w:t xml:space="preserve">améliorer, </w:t>
            </w:r>
            <w:r w:rsidR="001F277A">
              <w:rPr>
                <w:color w:val="000000" w:themeColor="text1"/>
              </w:rPr>
              <w:t xml:space="preserve">et </w:t>
            </w:r>
            <w:r w:rsidRPr="00C36219">
              <w:rPr>
                <w:color w:val="000000" w:themeColor="text1"/>
              </w:rPr>
              <w:t>de recueillir, d</w:t>
            </w:r>
            <w:r w:rsidR="00F11D0A">
              <w:rPr>
                <w:color w:val="000000" w:themeColor="text1"/>
              </w:rPr>
              <w:t>’</w:t>
            </w:r>
            <w:r w:rsidRPr="00C36219">
              <w:rPr>
                <w:color w:val="000000" w:themeColor="text1"/>
              </w:rPr>
              <w:t>examiner et d</w:t>
            </w:r>
            <w:r w:rsidR="00F11D0A">
              <w:rPr>
                <w:color w:val="000000" w:themeColor="text1"/>
              </w:rPr>
              <w:t>’</w:t>
            </w:r>
            <w:r w:rsidRPr="00C36219">
              <w:rPr>
                <w:color w:val="000000" w:themeColor="text1"/>
              </w:rPr>
              <w:t>évaluer les informations provenant de toutes les parties prenantes concernant les droits de l</w:t>
            </w:r>
            <w:r w:rsidR="00F11D0A">
              <w:rPr>
                <w:color w:val="000000" w:themeColor="text1"/>
              </w:rPr>
              <w:t>’</w:t>
            </w:r>
            <w:r w:rsidRPr="00C36219">
              <w:rPr>
                <w:color w:val="000000" w:themeColor="text1"/>
              </w:rPr>
              <w:t>homme au Burundi. Au paragraphe 21 de la résolution, le Rapporteur spécial est prié de présenter au Conseil, à sa cinquantième session, une mise à jour orale de la situation des droits de l</w:t>
            </w:r>
            <w:r w:rsidR="00F11D0A">
              <w:rPr>
                <w:color w:val="000000" w:themeColor="text1"/>
              </w:rPr>
              <w:t>’</w:t>
            </w:r>
            <w:r w:rsidRPr="00C36219">
              <w:rPr>
                <w:color w:val="000000" w:themeColor="text1"/>
              </w:rPr>
              <w:t xml:space="preserve">homme au Burundi, et de </w:t>
            </w:r>
            <w:r w:rsidR="006064B8">
              <w:rPr>
                <w:color w:val="000000" w:themeColor="text1"/>
              </w:rPr>
              <w:t xml:space="preserve">lui </w:t>
            </w:r>
            <w:r w:rsidRPr="00C36219">
              <w:rPr>
                <w:color w:val="000000" w:themeColor="text1"/>
              </w:rPr>
              <w:t>soumettre, à sa cinquante et unième session, et à l</w:t>
            </w:r>
            <w:r w:rsidR="00F11D0A">
              <w:rPr>
                <w:color w:val="000000" w:themeColor="text1"/>
              </w:rPr>
              <w:t>’</w:t>
            </w:r>
            <w:r w:rsidRPr="00C36219">
              <w:rPr>
                <w:color w:val="000000" w:themeColor="text1"/>
              </w:rPr>
              <w:t xml:space="preserve">Assemblée </w:t>
            </w:r>
            <w:r w:rsidR="00C44857">
              <w:rPr>
                <w:color w:val="000000" w:themeColor="text1"/>
              </w:rPr>
              <w:t>g</w:t>
            </w:r>
            <w:r w:rsidRPr="00C36219">
              <w:rPr>
                <w:color w:val="000000" w:themeColor="text1"/>
              </w:rPr>
              <w:t>énérale, à sa soixante-dix-septième session, un rapport écrit complet.</w:t>
            </w:r>
          </w:p>
        </w:tc>
      </w:tr>
      <w:tr w:rsidR="00B26E71" w14:paraId="6D10939F" w14:textId="77777777" w:rsidTr="00FF67BA">
        <w:trPr>
          <w:jc w:val="center"/>
        </w:trPr>
        <w:tc>
          <w:tcPr>
            <w:tcW w:w="9637" w:type="dxa"/>
            <w:shd w:val="clear" w:color="auto" w:fill="auto"/>
          </w:tcPr>
          <w:p w14:paraId="7FAB6362" w14:textId="77777777" w:rsidR="00B26E71" w:rsidRDefault="00B26E71" w:rsidP="00FF67BA"/>
        </w:tc>
      </w:tr>
    </w:tbl>
    <w:p w14:paraId="7658968D" w14:textId="77777777" w:rsidR="0089161E" w:rsidRDefault="0089161E">
      <w:pPr>
        <w:suppressAutoHyphens w:val="0"/>
        <w:spacing w:line="240" w:lineRule="auto"/>
      </w:pPr>
      <w:r>
        <w:br w:type="page"/>
      </w:r>
    </w:p>
    <w:p w14:paraId="3F94837A" w14:textId="77777777" w:rsidR="00B26E71" w:rsidRDefault="0089161E" w:rsidP="0089161E">
      <w:pPr>
        <w:pStyle w:val="HChG"/>
      </w:pPr>
      <w:r>
        <w:lastRenderedPageBreak/>
        <w:tab/>
      </w:r>
      <w:r w:rsidRPr="00C36219">
        <w:t>I.</w:t>
      </w:r>
      <w:r w:rsidRPr="00C36219">
        <w:tab/>
        <w:t>Présentation et contexte du mandat</w:t>
      </w:r>
    </w:p>
    <w:p w14:paraId="3F84BAA9" w14:textId="04A7EFE0" w:rsidR="0089161E" w:rsidRPr="00424E57" w:rsidRDefault="0089161E" w:rsidP="0089161E">
      <w:pPr>
        <w:pStyle w:val="H1G"/>
        <w:rPr>
          <w:lang w:val="fr-FR"/>
        </w:rPr>
      </w:pPr>
      <w:r w:rsidRPr="00424E57">
        <w:rPr>
          <w:lang w:val="fr-FR"/>
        </w:rPr>
        <w:tab/>
        <w:t>A.</w:t>
      </w:r>
      <w:r w:rsidRPr="00424E57">
        <w:rPr>
          <w:lang w:val="fr-FR"/>
        </w:rPr>
        <w:tab/>
      </w:r>
      <w:r w:rsidR="001663C2">
        <w:rPr>
          <w:lang w:val="fr-FR"/>
        </w:rPr>
        <w:t>C</w:t>
      </w:r>
      <w:r w:rsidRPr="00424E57">
        <w:rPr>
          <w:lang w:val="fr-FR"/>
        </w:rPr>
        <w:t>ontexte général</w:t>
      </w:r>
    </w:p>
    <w:p w14:paraId="61F9A8FA" w14:textId="3CD5E412" w:rsidR="0089161E" w:rsidRPr="002C5197" w:rsidRDefault="002C5197" w:rsidP="002C5197">
      <w:pPr>
        <w:pStyle w:val="SingleTxtG"/>
      </w:pPr>
      <w:r w:rsidRPr="00590742">
        <w:t>1.</w:t>
      </w:r>
      <w:r w:rsidR="00590742" w:rsidRPr="00590742">
        <w:tab/>
      </w:r>
      <w:r w:rsidR="0089161E" w:rsidRPr="00590742">
        <w:t>Depuis son accession à l’indépendance, le Burundi a connu des violences cycliques caractérisées par des coups d’État répétés, des luttes intestines et des affrontements civils</w:t>
      </w:r>
      <w:r w:rsidR="0089161E" w:rsidRPr="00590742">
        <w:rPr>
          <w:rStyle w:val="EndnoteReference"/>
        </w:rPr>
        <w:footnoteReference w:id="3"/>
      </w:r>
      <w:r w:rsidR="0089161E" w:rsidRPr="00590742">
        <w:t xml:space="preserve">. Les plus importantes sont </w:t>
      </w:r>
      <w:r w:rsidR="007551BA">
        <w:t>survenues en</w:t>
      </w:r>
      <w:r w:rsidR="0089161E" w:rsidRPr="00590742">
        <w:t xml:space="preserve"> 1965, 1969, 1</w:t>
      </w:r>
      <w:r w:rsidR="007551BA">
        <w:t>9</w:t>
      </w:r>
      <w:r w:rsidR="0089161E" w:rsidRPr="00590742">
        <w:t>72, 1988,</w:t>
      </w:r>
      <w:r w:rsidR="007551BA">
        <w:t xml:space="preserve"> </w:t>
      </w:r>
      <w:r w:rsidR="0089161E" w:rsidRPr="00590742">
        <w:t xml:space="preserve">1991, 1993 et 2015. La crise de 1993 a abouti, sous l’égide de Nelson Mandela, à l’Accord </w:t>
      </w:r>
      <w:r w:rsidR="00EE2CC8">
        <w:t xml:space="preserve">d’Arusha </w:t>
      </w:r>
      <w:r w:rsidR="0089161E" w:rsidRPr="00590742">
        <w:t xml:space="preserve">pour la </w:t>
      </w:r>
      <w:r w:rsidR="00BF1856">
        <w:t>p</w:t>
      </w:r>
      <w:r w:rsidR="0089161E" w:rsidRPr="00590742">
        <w:t xml:space="preserve">aix et la </w:t>
      </w:r>
      <w:r w:rsidR="00BF1856">
        <w:t>r</w:t>
      </w:r>
      <w:r w:rsidR="0089161E" w:rsidRPr="00590742">
        <w:t>éconciliation au Burundi</w:t>
      </w:r>
      <w:r w:rsidR="00BF1856">
        <w:t>,</w:t>
      </w:r>
      <w:r w:rsidR="0089161E" w:rsidRPr="00590742">
        <w:t xml:space="preserve"> </w:t>
      </w:r>
      <w:r w:rsidR="005D07D5">
        <w:t>signé le</w:t>
      </w:r>
      <w:r w:rsidR="0089161E" w:rsidRPr="00590742">
        <w:t xml:space="preserve"> 28 août 2000 à Arusha, en </w:t>
      </w:r>
      <w:r w:rsidR="009A3F55">
        <w:t xml:space="preserve">République-Unie de </w:t>
      </w:r>
      <w:r w:rsidR="0089161E" w:rsidRPr="00590742">
        <w:t xml:space="preserve">Tanzanie. Cet </w:t>
      </w:r>
      <w:r w:rsidR="001B428C">
        <w:t>a</w:t>
      </w:r>
      <w:r w:rsidR="0089161E" w:rsidRPr="00590742">
        <w:t>ccord</w:t>
      </w:r>
      <w:r w:rsidR="001B428C">
        <w:t>,</w:t>
      </w:r>
      <w:r w:rsidR="0089161E" w:rsidRPr="00590742">
        <w:t xml:space="preserve"> qui est entré en vigueur le 1</w:t>
      </w:r>
      <w:r w:rsidR="00840001" w:rsidRPr="00840001">
        <w:rPr>
          <w:vertAlign w:val="superscript"/>
        </w:rPr>
        <w:t>er</w:t>
      </w:r>
      <w:r w:rsidR="00840001">
        <w:t xml:space="preserve"> </w:t>
      </w:r>
      <w:r w:rsidR="0089161E" w:rsidRPr="00590742">
        <w:t>novembre 2001, a identifié de manière consensuelle la nature et les causes des conflits au Burundi et a proposé des solutions pour y faire face en posant les bases d’un État de droit</w:t>
      </w:r>
      <w:r w:rsidR="00B150B9">
        <w:t>,</w:t>
      </w:r>
      <w:r w:rsidR="0089161E" w:rsidRPr="00590742">
        <w:t xml:space="preserve"> d’un développement durable ainsi que d’un modèle de société pluraliste et inclusif, caractérisé notamment par la mise en place d’un système </w:t>
      </w:r>
      <w:r w:rsidR="0016438B" w:rsidRPr="00590742">
        <w:t xml:space="preserve">de </w:t>
      </w:r>
      <w:r w:rsidR="0089161E" w:rsidRPr="00590742">
        <w:t xml:space="preserve">représentation équitable des groupes ethniques </w:t>
      </w:r>
      <w:r w:rsidR="0016438B" w:rsidRPr="00590742">
        <w:t>au sein d</w:t>
      </w:r>
      <w:r w:rsidR="0089161E" w:rsidRPr="00590742">
        <w:t>es institutions burundaise</w:t>
      </w:r>
      <w:r w:rsidR="0089161E" w:rsidRPr="002C5197">
        <w:t>s</w:t>
      </w:r>
      <w:r w:rsidR="0089161E" w:rsidRPr="00887E1C">
        <w:rPr>
          <w:rStyle w:val="EndnoteReference"/>
        </w:rPr>
        <w:footnoteReference w:id="4"/>
      </w:r>
      <w:r w:rsidR="0089161E" w:rsidRPr="002C5197">
        <w:t>.</w:t>
      </w:r>
    </w:p>
    <w:p w14:paraId="41D478E1" w14:textId="65B12C2F" w:rsidR="0089161E" w:rsidRPr="002C5197" w:rsidRDefault="002C5197" w:rsidP="002C5197">
      <w:pPr>
        <w:pStyle w:val="SingleTxtG"/>
      </w:pPr>
      <w:r>
        <w:t>2.</w:t>
      </w:r>
      <w:r w:rsidR="00590742">
        <w:tab/>
      </w:r>
      <w:r w:rsidR="000E3063">
        <w:t>Dans l</w:t>
      </w:r>
      <w:r w:rsidR="0089161E" w:rsidRPr="002C5197">
        <w:t>’Accord d’Arusha</w:t>
      </w:r>
      <w:r w:rsidR="000E3063">
        <w:t>,</w:t>
      </w:r>
      <w:r w:rsidR="0089161E" w:rsidRPr="002C5197">
        <w:t xml:space="preserve"> le conflit burundais </w:t>
      </w:r>
      <w:r w:rsidR="000E3063">
        <w:t xml:space="preserve">est qualifié </w:t>
      </w:r>
      <w:r w:rsidR="0089161E" w:rsidRPr="002C5197">
        <w:t xml:space="preserve">de </w:t>
      </w:r>
      <w:r w:rsidR="0089161E" w:rsidRPr="00590742">
        <w:t>« fondamentalement politique avec des dimensions ethniques extrêmement importantes</w:t>
      </w:r>
      <w:r w:rsidR="009B48E5">
        <w:t> </w:t>
      </w:r>
      <w:r w:rsidR="009B48E5" w:rsidRPr="00590742">
        <w:t>»</w:t>
      </w:r>
      <w:r w:rsidR="0089161E" w:rsidRPr="00590742">
        <w:t xml:space="preserve"> </w:t>
      </w:r>
      <w:r w:rsidR="009B48E5">
        <w:t>et</w:t>
      </w:r>
      <w:r w:rsidR="0089161E" w:rsidRPr="00590742">
        <w:t xml:space="preserve"> </w:t>
      </w:r>
      <w:r w:rsidR="009B48E5" w:rsidRPr="00590742">
        <w:t>« </w:t>
      </w:r>
      <w:r w:rsidR="0089161E" w:rsidRPr="00590742">
        <w:t>découlant d’une lutte de la classe politique pour accéder au pouvoir et/ou s’y maintenir »</w:t>
      </w:r>
      <w:r w:rsidR="0089161E" w:rsidRPr="00887E1C">
        <w:rPr>
          <w:rStyle w:val="EndnoteReference"/>
        </w:rPr>
        <w:footnoteReference w:id="5"/>
      </w:r>
      <w:r w:rsidR="000B012B">
        <w:t>.</w:t>
      </w:r>
    </w:p>
    <w:p w14:paraId="0F2E2576" w14:textId="1C9A0857" w:rsidR="0089161E" w:rsidRPr="002C5197" w:rsidRDefault="002C5197" w:rsidP="002C5197">
      <w:pPr>
        <w:pStyle w:val="SingleTxtG"/>
      </w:pPr>
      <w:r>
        <w:t>3.</w:t>
      </w:r>
      <w:r w:rsidR="00590742">
        <w:tab/>
        <w:t>D</w:t>
      </w:r>
      <w:r w:rsidR="0089161E" w:rsidRPr="002C5197">
        <w:t>’après l’Accord d’Arusha, les principales causes de la violence et de l’insécurité au Burundi sont</w:t>
      </w:r>
      <w:r w:rsidR="009A5A85">
        <w:t xml:space="preserve"> notamment les suivantes</w:t>
      </w:r>
      <w:r w:rsidR="00942942">
        <w:t> </w:t>
      </w:r>
      <w:r w:rsidR="0089161E" w:rsidRPr="002C5197">
        <w:t>:</w:t>
      </w:r>
    </w:p>
    <w:p w14:paraId="785FCB8C" w14:textId="519036FD" w:rsidR="0089161E" w:rsidRDefault="0089161E" w:rsidP="00592838">
      <w:pPr>
        <w:pStyle w:val="SingleTxtG"/>
        <w:ind w:left="1701" w:firstLine="567"/>
      </w:pPr>
      <w:r w:rsidRPr="00590742">
        <w:t>L’impunité des auteurs de crimes politiques et de violations des droits de l’homme […] et la corruption ;</w:t>
      </w:r>
    </w:p>
    <w:p w14:paraId="2E5AB00B" w14:textId="0F9A9DE5" w:rsidR="0034193D" w:rsidRPr="00590742" w:rsidRDefault="0034193D" w:rsidP="00592838">
      <w:pPr>
        <w:pStyle w:val="SingleTxtG"/>
        <w:ind w:left="1701" w:firstLine="567"/>
      </w:pPr>
      <w:r>
        <w:tab/>
        <w:t>[…]</w:t>
      </w:r>
    </w:p>
    <w:p w14:paraId="0E10B618" w14:textId="52262E9A" w:rsidR="0089161E" w:rsidRPr="00590742" w:rsidRDefault="0089161E" w:rsidP="00592838">
      <w:pPr>
        <w:pStyle w:val="SingleTxtG"/>
        <w:ind w:left="1701" w:firstLine="567"/>
      </w:pPr>
      <w:r w:rsidRPr="00590742">
        <w:t>L’insatisfaction des besoins de base des citoyens résultant du sous-développement économique et de l’absence d’une bonne politique de développement […] ;</w:t>
      </w:r>
    </w:p>
    <w:p w14:paraId="2A3FC562" w14:textId="72FDD9D4" w:rsidR="00E2276B" w:rsidRDefault="00E2276B" w:rsidP="00592838">
      <w:pPr>
        <w:pStyle w:val="SingleTxtG"/>
        <w:ind w:left="1701" w:firstLine="567"/>
      </w:pPr>
      <w:r>
        <w:tab/>
        <w:t>[…]</w:t>
      </w:r>
    </w:p>
    <w:p w14:paraId="3226707D" w14:textId="1DD6A9B5" w:rsidR="0089161E" w:rsidRPr="00590742" w:rsidRDefault="0089161E" w:rsidP="00592838">
      <w:pPr>
        <w:pStyle w:val="SingleTxtG"/>
        <w:ind w:left="1701" w:firstLine="567"/>
      </w:pPr>
      <w:r w:rsidRPr="00590742">
        <w:t>La lutte acharnée pour le pouvoir qui […] a entraîné le recours à la violence et à la manipulation délibérée des sentiments ethniques comme méthodes légitimes d’accès et de maintien au pouvoir ;</w:t>
      </w:r>
    </w:p>
    <w:p w14:paraId="07B646FA" w14:textId="4F393D79" w:rsidR="0089161E" w:rsidRPr="00590742" w:rsidRDefault="0089161E" w:rsidP="00592838">
      <w:pPr>
        <w:pStyle w:val="SingleTxtG"/>
        <w:ind w:left="1701" w:firstLine="567"/>
      </w:pPr>
      <w:r w:rsidRPr="00590742">
        <w:t>Le non-respect par certains acteurs politiques des règles et principes normatifs fondamentaux de la bonne gouvernance, en particulier ceux concernant la séparation des pouvoirs législatif, exécutif et judiciaire ; l’indépendance de la magistrature, la satisfaction des besoins humains élémentaires, le maintien de l’ordre et de la sécurité pour tous ;</w:t>
      </w:r>
    </w:p>
    <w:p w14:paraId="76CD96F2" w14:textId="61F8380D" w:rsidR="0089161E" w:rsidRPr="00590742" w:rsidRDefault="0089161E" w:rsidP="00592838">
      <w:pPr>
        <w:pStyle w:val="SingleTxtG"/>
        <w:ind w:left="1701" w:firstLine="567"/>
      </w:pPr>
      <w:r w:rsidRPr="00590742">
        <w:t>Le non-respect des traditions, des normes et principes fondamentaux du système démocratique, notamment la tolérance et le respect des droits inaliénables de la personne humaine, en particulier le droit à la vie ;</w:t>
      </w:r>
    </w:p>
    <w:p w14:paraId="4824AF9C" w14:textId="19B85AF3" w:rsidR="0089161E" w:rsidRPr="002C5197" w:rsidRDefault="0089161E" w:rsidP="00592838">
      <w:pPr>
        <w:pStyle w:val="SingleTxtG"/>
        <w:ind w:left="1701" w:firstLine="567"/>
      </w:pPr>
      <w:r w:rsidRPr="00590742">
        <w:t>La non-acceptation de la coexistence pacifique, de la diversité et du pluralisme comme principes directeurs de la vie et base de la cohésion, de l’unité et de la solidarité nationales</w:t>
      </w:r>
      <w:r w:rsidRPr="00887E1C">
        <w:rPr>
          <w:rStyle w:val="EndnoteReference"/>
        </w:rPr>
        <w:footnoteReference w:id="6"/>
      </w:r>
      <w:r w:rsidRPr="002C5197">
        <w:t>.</w:t>
      </w:r>
    </w:p>
    <w:p w14:paraId="6297C994" w14:textId="738DB276" w:rsidR="00232316" w:rsidRDefault="002C5197" w:rsidP="00A63E42">
      <w:pPr>
        <w:pStyle w:val="SingleTxtG"/>
      </w:pPr>
      <w:r>
        <w:t>4.</w:t>
      </w:r>
      <w:r w:rsidR="00590742">
        <w:tab/>
      </w:r>
      <w:r w:rsidR="0089161E" w:rsidRPr="002C5197">
        <w:t xml:space="preserve">En dépit de restrictions aux libertés publiques, </w:t>
      </w:r>
      <w:r w:rsidR="000520BC">
        <w:t xml:space="preserve">certains </w:t>
      </w:r>
      <w:r w:rsidR="0089161E" w:rsidRPr="002C5197">
        <w:t xml:space="preserve">progrès </w:t>
      </w:r>
      <w:r w:rsidR="000A12E4">
        <w:t>ont</w:t>
      </w:r>
      <w:r w:rsidR="0089161E" w:rsidRPr="002C5197">
        <w:t xml:space="preserve"> été observés en 2013 dans le domaine des droits de l’homme, avec la conclusion d’accords politiques et électoraux et le retour au Burundi de membres de l’opposition en exil</w:t>
      </w:r>
      <w:r w:rsidR="000520BC">
        <w:t>.</w:t>
      </w:r>
      <w:r w:rsidR="004914D9">
        <w:t xml:space="preserve"> L</w:t>
      </w:r>
      <w:r w:rsidR="000520BC" w:rsidRPr="002C5197">
        <w:t xml:space="preserve">’année </w:t>
      </w:r>
      <w:r w:rsidR="0089161E" w:rsidRPr="002C5197">
        <w:t xml:space="preserve">2014 a </w:t>
      </w:r>
      <w:r w:rsidR="000E6126">
        <w:t>v</w:t>
      </w:r>
      <w:r w:rsidR="0089161E" w:rsidRPr="002C5197">
        <w:t xml:space="preserve">u une résurgence des tensions politiques et des entraves aux libertés publiques. En 2015, les </w:t>
      </w:r>
      <w:r w:rsidR="000E6126">
        <w:t>contestations</w:t>
      </w:r>
      <w:r w:rsidR="0089161E" w:rsidRPr="002C5197">
        <w:t xml:space="preserve"> </w:t>
      </w:r>
      <w:r w:rsidR="004914D9">
        <w:t xml:space="preserve">autour de </w:t>
      </w:r>
      <w:r w:rsidR="0089161E" w:rsidRPr="002C5197">
        <w:t xml:space="preserve">la </w:t>
      </w:r>
      <w:r w:rsidR="000E6126">
        <w:t xml:space="preserve">candidature </w:t>
      </w:r>
      <w:r w:rsidR="004914D9">
        <w:t xml:space="preserve">de </w:t>
      </w:r>
      <w:r w:rsidR="0089161E" w:rsidRPr="00813998">
        <w:t xml:space="preserve">Pierre </w:t>
      </w:r>
      <w:proofErr w:type="spellStart"/>
      <w:r w:rsidR="0089161E" w:rsidRPr="00813998">
        <w:t>Nkurunziza</w:t>
      </w:r>
      <w:proofErr w:type="spellEnd"/>
      <w:r w:rsidR="000946AF">
        <w:t xml:space="preserve"> </w:t>
      </w:r>
      <w:r w:rsidR="00337824">
        <w:t>à</w:t>
      </w:r>
      <w:r w:rsidR="0089161E" w:rsidRPr="00813998">
        <w:t xml:space="preserve"> un </w:t>
      </w:r>
      <w:r w:rsidR="0016438B" w:rsidRPr="00813998">
        <w:t>troisième</w:t>
      </w:r>
      <w:r w:rsidR="0089161E" w:rsidRPr="00813998">
        <w:t xml:space="preserve"> mandat</w:t>
      </w:r>
      <w:r w:rsidR="000946AF">
        <w:t xml:space="preserve"> de </w:t>
      </w:r>
      <w:r w:rsidR="000946AF">
        <w:lastRenderedPageBreak/>
        <w:t>Président de la République</w:t>
      </w:r>
      <w:r w:rsidR="00232316" w:rsidRPr="00813998">
        <w:rPr>
          <w:rStyle w:val="FootnoteReference"/>
        </w:rPr>
        <w:footnoteReference w:id="7"/>
      </w:r>
      <w:r w:rsidR="0089161E" w:rsidRPr="00813998">
        <w:t xml:space="preserve">, les violences </w:t>
      </w:r>
      <w:r w:rsidR="00840001">
        <w:t xml:space="preserve">et la polarisation de la vie politique </w:t>
      </w:r>
      <w:r w:rsidR="00232316" w:rsidRPr="00232316">
        <w:t>ont entaché les élections municipales, législatives, sénatoriales et présidentielle de juin et juillet 2015, et ont eu un impact direct sur la situation des droits de l’homme, qui s’est progressivement détériorée durant toute l’année 2015</w:t>
      </w:r>
      <w:r w:rsidR="00232316">
        <w:t>.</w:t>
      </w:r>
    </w:p>
    <w:p w14:paraId="2F8F639E" w14:textId="617A1711" w:rsidR="00A63E42" w:rsidRPr="002C5197" w:rsidRDefault="002C5197" w:rsidP="00A63E42">
      <w:pPr>
        <w:pStyle w:val="SingleTxtG"/>
      </w:pPr>
      <w:r>
        <w:t>5.</w:t>
      </w:r>
      <w:r w:rsidR="00590742">
        <w:tab/>
      </w:r>
      <w:r w:rsidR="00317E9C">
        <w:t>L</w:t>
      </w:r>
      <w:r w:rsidR="00317E9C" w:rsidRPr="002C5197">
        <w:t>e 30 septembre 2016</w:t>
      </w:r>
      <w:r w:rsidR="00317E9C">
        <w:t xml:space="preserve">, </w:t>
      </w:r>
      <w:r w:rsidR="0089161E" w:rsidRPr="002C5197">
        <w:t xml:space="preserve">par </w:t>
      </w:r>
      <w:r w:rsidR="00317E9C">
        <w:t>s</w:t>
      </w:r>
      <w:r w:rsidR="0089161E" w:rsidRPr="002C5197">
        <w:t xml:space="preserve">a résolution 33/24 </w:t>
      </w:r>
      <w:r w:rsidR="008F4AED">
        <w:t>sur la s</w:t>
      </w:r>
      <w:r w:rsidR="0089161E" w:rsidRPr="00590742">
        <w:t xml:space="preserve">ituation des droits de l’homme au Burundi, </w:t>
      </w:r>
      <w:r w:rsidR="00385900">
        <w:t>l</w:t>
      </w:r>
      <w:r w:rsidR="00385900" w:rsidRPr="002C5197">
        <w:t xml:space="preserve">e </w:t>
      </w:r>
      <w:r w:rsidR="00385900">
        <w:t>Conseil des droits de l’homme</w:t>
      </w:r>
      <w:r w:rsidR="00385900" w:rsidRPr="00590742">
        <w:t xml:space="preserve"> </w:t>
      </w:r>
      <w:r w:rsidR="00385900">
        <w:t xml:space="preserve">a décidé, </w:t>
      </w:r>
      <w:r w:rsidR="0089161E" w:rsidRPr="00590742">
        <w:t>sur</w:t>
      </w:r>
      <w:r w:rsidR="0089161E" w:rsidRPr="002C5197">
        <w:t xml:space="preserve"> la base des conclusions des experts indépendants, d’établir une </w:t>
      </w:r>
      <w:r w:rsidR="00844595">
        <w:t>c</w:t>
      </w:r>
      <w:r w:rsidR="0089161E" w:rsidRPr="002C5197">
        <w:t>ommission d’</w:t>
      </w:r>
      <w:r w:rsidR="00844595">
        <w:t>e</w:t>
      </w:r>
      <w:r w:rsidR="0089161E" w:rsidRPr="002C5197">
        <w:t>nquête</w:t>
      </w:r>
      <w:r w:rsidR="00C360FD">
        <w:t xml:space="preserve"> sur le Burundi</w:t>
      </w:r>
      <w:r w:rsidR="0089161E" w:rsidRPr="00606873">
        <w:rPr>
          <w:rStyle w:val="EndnoteReference"/>
        </w:rPr>
        <w:footnoteReference w:id="8"/>
      </w:r>
      <w:r w:rsidR="0089161E" w:rsidRPr="002C5197">
        <w:t>.</w:t>
      </w:r>
      <w:r w:rsidR="00A63E42">
        <w:t xml:space="preserve"> </w:t>
      </w:r>
      <w:r w:rsidR="00A63E42" w:rsidRPr="00A63E42">
        <w:t xml:space="preserve">Dans son premier rapport au </w:t>
      </w:r>
      <w:r w:rsidR="00C360FD">
        <w:t xml:space="preserve">Conseil, la </w:t>
      </w:r>
      <w:r w:rsidR="00022A16">
        <w:t>Commission d’enquête</w:t>
      </w:r>
      <w:r w:rsidR="00A63E42" w:rsidRPr="00A63E42">
        <w:t xml:space="preserve"> a déterminé que des violations flagrantes et systématiques des droits de l</w:t>
      </w:r>
      <w:r w:rsidR="00F11D0A">
        <w:t>’</w:t>
      </w:r>
      <w:r w:rsidR="00A63E42" w:rsidRPr="00A63E42">
        <w:t>homme avaient été perpétrées au Burundi depuis avril 2015, principalement par de</w:t>
      </w:r>
      <w:r w:rsidR="00A63E42">
        <w:t>s agents de l</w:t>
      </w:r>
      <w:r w:rsidR="00F11D0A">
        <w:t>’</w:t>
      </w:r>
      <w:r w:rsidR="00A63E42">
        <w:t>État au plus haut niveau</w:t>
      </w:r>
      <w:r w:rsidR="00A63E42" w:rsidRPr="00A63E42">
        <w:t xml:space="preserve">, dont certaines </w:t>
      </w:r>
      <w:r w:rsidR="00022A16">
        <w:t>pouvaient</w:t>
      </w:r>
      <w:r w:rsidR="00A63E42" w:rsidRPr="00A63E42">
        <w:t xml:space="preserve"> constituer des crimes contre l</w:t>
      </w:r>
      <w:r w:rsidR="00F11D0A">
        <w:t>’</w:t>
      </w:r>
      <w:r w:rsidR="00A63E42" w:rsidRPr="00A63E42">
        <w:t>humanité</w:t>
      </w:r>
      <w:r w:rsidR="00870002">
        <w:rPr>
          <w:rStyle w:val="FootnoteReference"/>
        </w:rPr>
        <w:footnoteReference w:id="9"/>
      </w:r>
      <w:r w:rsidR="00A63E42" w:rsidRPr="00A63E42">
        <w:t>.</w:t>
      </w:r>
    </w:p>
    <w:p w14:paraId="2EA5141B" w14:textId="2B8249C0" w:rsidR="0089161E" w:rsidRPr="00590742" w:rsidRDefault="002C5197" w:rsidP="002C5197">
      <w:pPr>
        <w:pStyle w:val="SingleTxtG"/>
      </w:pPr>
      <w:r>
        <w:t>6.</w:t>
      </w:r>
      <w:r w:rsidR="00590742">
        <w:tab/>
      </w:r>
      <w:r w:rsidR="00C360FD">
        <w:t xml:space="preserve">Au terme du mandat de la </w:t>
      </w:r>
      <w:r w:rsidR="006C494D">
        <w:t>Commission d’enquête</w:t>
      </w:r>
      <w:r w:rsidR="00B9177C" w:rsidRPr="00B9177C">
        <w:t xml:space="preserve"> </w:t>
      </w:r>
      <w:r w:rsidR="00B9177C">
        <w:t>sur le Burundi</w:t>
      </w:r>
      <w:r w:rsidR="0089161E" w:rsidRPr="002C5197">
        <w:t xml:space="preserve">, par </w:t>
      </w:r>
      <w:r w:rsidR="008A777C">
        <w:t>sa</w:t>
      </w:r>
      <w:r w:rsidR="0089161E" w:rsidRPr="002C5197">
        <w:t xml:space="preserve"> résolution 48/16</w:t>
      </w:r>
      <w:r w:rsidR="008A777C">
        <w:t xml:space="preserve">, </w:t>
      </w:r>
      <w:r w:rsidR="008A777C" w:rsidRPr="002C5197">
        <w:t>le Conseil des droits de l’homme</w:t>
      </w:r>
      <w:r w:rsidR="008A777C">
        <w:t xml:space="preserve"> a décidé</w:t>
      </w:r>
      <w:r w:rsidR="0089161E" w:rsidRPr="002C5197">
        <w:t xml:space="preserve"> </w:t>
      </w:r>
      <w:r w:rsidR="008A777C">
        <w:t>le</w:t>
      </w:r>
      <w:r w:rsidR="0089161E" w:rsidRPr="002C5197">
        <w:t xml:space="preserve"> 13 octobre 2021 </w:t>
      </w:r>
      <w:r w:rsidR="008A777C">
        <w:t xml:space="preserve">de nommer </w:t>
      </w:r>
      <w:r w:rsidR="0089161E" w:rsidRPr="002C5197">
        <w:t xml:space="preserve">un rapporteur spécial sur la situation des droits de l’homme au Burundi. </w:t>
      </w:r>
      <w:r w:rsidR="001C2DF6">
        <w:t>Au paragraphe 20 de sa résolution, l</w:t>
      </w:r>
      <w:r w:rsidR="00C360FD">
        <w:t>e Conseil</w:t>
      </w:r>
      <w:r w:rsidR="0089161E" w:rsidRPr="002C5197">
        <w:t xml:space="preserve"> charge le </w:t>
      </w:r>
      <w:r w:rsidR="001C2DF6">
        <w:t>R</w:t>
      </w:r>
      <w:r w:rsidR="0089161E" w:rsidRPr="002C5197">
        <w:t xml:space="preserve">apporteur spécial de </w:t>
      </w:r>
      <w:bookmarkStart w:id="2" w:name="_Hlk113518666"/>
      <w:r w:rsidR="001C2DF6">
        <w:t>s</w:t>
      </w:r>
      <w:r w:rsidR="0089161E" w:rsidRPr="00590742">
        <w:t>urveiller la situation des droits de l’homme au Burundi et de faire des recommandations en vue de l’améliorer, de recueillir, d’examiner et d’évaluer les informations fournies par toutes les parties prenantes en faisant fond sur le travail de la Commission d’enquête, de conseiller le Gouvernement burundais pour qu’il s’acquitte des obligations en matière de droits de l’homme mises à sa charge par les traités internationaux</w:t>
      </w:r>
      <w:r w:rsidR="00B467A1">
        <w:t>,</w:t>
      </w:r>
      <w:r w:rsidR="0089161E" w:rsidRPr="00590742">
        <w:t xml:space="preserve"> et d’offrir conseils et assistance à la société civile et à la Commission nationale indépendante des droits de l’homme, qu’il aidera à s’acquitter de son mandat indépendant de promotion et de protection des droits de l’homme et à faire mieux connaître les questions relatives aux droits de l’homme.</w:t>
      </w:r>
      <w:bookmarkEnd w:id="2"/>
    </w:p>
    <w:p w14:paraId="102C65A8" w14:textId="405402A6" w:rsidR="003C73B7" w:rsidRPr="002C5197" w:rsidRDefault="002C5197" w:rsidP="003C73B7">
      <w:pPr>
        <w:pStyle w:val="SingleTxtG"/>
      </w:pPr>
      <w:r>
        <w:t>7.</w:t>
      </w:r>
      <w:r w:rsidR="00590742">
        <w:tab/>
      </w:r>
      <w:r w:rsidR="0089161E" w:rsidRPr="002C5197">
        <w:t xml:space="preserve">La résolution </w:t>
      </w:r>
      <w:r w:rsidR="0021671B">
        <w:t xml:space="preserve">48/16 </w:t>
      </w:r>
      <w:r w:rsidR="0089161E" w:rsidRPr="002C5197">
        <w:t xml:space="preserve">classe le mandat du </w:t>
      </w:r>
      <w:r w:rsidR="00813998">
        <w:t>R</w:t>
      </w:r>
      <w:r w:rsidR="0089161E" w:rsidRPr="002C5197">
        <w:t xml:space="preserve">apporteur spécial sous le </w:t>
      </w:r>
      <w:r w:rsidR="0021671B">
        <w:t>p</w:t>
      </w:r>
      <w:r w:rsidR="0089161E" w:rsidRPr="002C5197">
        <w:t xml:space="preserve">oint 4 de l’ordre du jour du Conseil des </w:t>
      </w:r>
      <w:r w:rsidR="004B77C1">
        <w:t>d</w:t>
      </w:r>
      <w:r w:rsidR="0089161E" w:rsidRPr="002C5197">
        <w:t>roits de l’</w:t>
      </w:r>
      <w:r w:rsidR="004B77C1">
        <w:t>h</w:t>
      </w:r>
      <w:r w:rsidR="0089161E" w:rsidRPr="002C5197">
        <w:t>omme</w:t>
      </w:r>
      <w:r w:rsidR="0021671B">
        <w:t>,</w:t>
      </w:r>
      <w:r w:rsidR="0089161E" w:rsidRPr="002C5197">
        <w:t xml:space="preserve"> c’est-à-dire celui des mandats qui requièrent son attention.</w:t>
      </w:r>
    </w:p>
    <w:p w14:paraId="59AB24E3" w14:textId="71F6611C" w:rsidR="00B26E71" w:rsidRPr="00590742" w:rsidRDefault="00F16D10" w:rsidP="00590742">
      <w:pPr>
        <w:pStyle w:val="H23G"/>
      </w:pPr>
      <w:r w:rsidRPr="00590742">
        <w:tab/>
      </w:r>
      <w:r w:rsidR="00590742">
        <w:tab/>
      </w:r>
      <w:r w:rsidRPr="00590742">
        <w:t>Approche méthodologique</w:t>
      </w:r>
    </w:p>
    <w:p w14:paraId="0DBB83DD" w14:textId="46F18CF9" w:rsidR="00F16D10" w:rsidRPr="00F16D10" w:rsidRDefault="00F16D10" w:rsidP="00A63E42">
      <w:pPr>
        <w:pStyle w:val="SingleTxtG"/>
      </w:pPr>
      <w:r>
        <w:t>8.</w:t>
      </w:r>
      <w:r w:rsidR="00590742">
        <w:tab/>
      </w:r>
      <w:r w:rsidRPr="00F16D10">
        <w:t xml:space="preserve">Le </w:t>
      </w:r>
      <w:r w:rsidR="00813998">
        <w:t>R</w:t>
      </w:r>
      <w:r w:rsidRPr="00F16D10">
        <w:t xml:space="preserve">apporteur </w:t>
      </w:r>
      <w:r w:rsidR="004B77C1">
        <w:t>s</w:t>
      </w:r>
      <w:r w:rsidRPr="00F16D10">
        <w:t xml:space="preserve">pécial conduit son mandat conformément au Code de conduite pour les titulaires de mandat au titre des procédures spéciales du Conseil des droits de l’homme. Il estime nécessaire de se faire une opinion par lui-même de la situation des droits de l’homme au Burundi. C’est dans cette perspective que sa mission se fonde sur une feuille de route soutenue par le vœu de revoir </w:t>
      </w:r>
      <w:r w:rsidR="003B6DF3">
        <w:t>les autorités burundaises</w:t>
      </w:r>
      <w:r w:rsidRPr="00F16D10">
        <w:t xml:space="preserve"> autour de la table des discussions </w:t>
      </w:r>
      <w:r w:rsidR="00E05E36">
        <w:t xml:space="preserve">et </w:t>
      </w:r>
      <w:r w:rsidR="00E05E36">
        <w:lastRenderedPageBreak/>
        <w:t xml:space="preserve">d’établir </w:t>
      </w:r>
      <w:r w:rsidRPr="00F16D10">
        <w:t xml:space="preserve">un cadre de dialogue et de coopération franc, afin de mieux faire valoir les avancées et défis du Burundi et </w:t>
      </w:r>
      <w:r w:rsidR="00316FB3">
        <w:t xml:space="preserve">de </w:t>
      </w:r>
      <w:r w:rsidRPr="00F16D10">
        <w:t xml:space="preserve">soutenir ses efforts. </w:t>
      </w:r>
    </w:p>
    <w:p w14:paraId="6DBE713A" w14:textId="4A66E736" w:rsidR="00F16D10" w:rsidRPr="00F16D10" w:rsidRDefault="004B77C1" w:rsidP="00F16D10">
      <w:pPr>
        <w:pStyle w:val="SingleTxtG"/>
      </w:pPr>
      <w:r w:rsidRPr="00A176FA">
        <w:t>9</w:t>
      </w:r>
      <w:r w:rsidR="00F16D10" w:rsidRPr="00A176FA">
        <w:t>.</w:t>
      </w:r>
      <w:r w:rsidR="00590742">
        <w:tab/>
      </w:r>
      <w:r w:rsidR="00F16D10" w:rsidRPr="00F16D10">
        <w:t xml:space="preserve">Le </w:t>
      </w:r>
      <w:r w:rsidR="00FF2E08">
        <w:t>R</w:t>
      </w:r>
      <w:r w:rsidR="00F16D10" w:rsidRPr="00F16D10">
        <w:t>apporteur spécial s’est attelé</w:t>
      </w:r>
      <w:r w:rsidR="006C6333">
        <w:t>,</w:t>
      </w:r>
      <w:r w:rsidR="00F16D10" w:rsidRPr="00F16D10">
        <w:t xml:space="preserve"> depuis sa prise de fonction</w:t>
      </w:r>
      <w:r w:rsidR="006C6333">
        <w:t>,</w:t>
      </w:r>
      <w:r w:rsidR="00F16D10" w:rsidRPr="00F16D10">
        <w:t xml:space="preserve"> à comprendre l’histoire, la situation sociopolitique, </w:t>
      </w:r>
      <w:r w:rsidR="00C360FD">
        <w:t xml:space="preserve">le cadre juridique, </w:t>
      </w:r>
      <w:r w:rsidR="00F16D10" w:rsidRPr="00F16D10">
        <w:t>l’économie</w:t>
      </w:r>
      <w:r w:rsidR="001633A0">
        <w:t xml:space="preserve"> et</w:t>
      </w:r>
      <w:r w:rsidR="00F16D10" w:rsidRPr="00F16D10">
        <w:t xml:space="preserve"> le contexte du Burundi dans la perspective </w:t>
      </w:r>
      <w:r w:rsidR="0032737F">
        <w:t>d’évaluer</w:t>
      </w:r>
      <w:r w:rsidR="00F16D10" w:rsidRPr="00F16D10">
        <w:t xml:space="preserve"> la situation des droits de l’homme. De ce point de vue, il appara</w:t>
      </w:r>
      <w:r w:rsidR="0032737F">
        <w:t>î</w:t>
      </w:r>
      <w:r w:rsidR="00F16D10" w:rsidRPr="00F16D10">
        <w:t xml:space="preserve">t important d’appréhender les causes profondes de la situation actuelle. </w:t>
      </w:r>
      <w:r w:rsidR="0032737F">
        <w:t>Le Rapporteur spécial</w:t>
      </w:r>
      <w:r w:rsidR="00F16D10" w:rsidRPr="00F16D10">
        <w:t xml:space="preserve"> </w:t>
      </w:r>
      <w:r w:rsidR="00813998">
        <w:t>a</w:t>
      </w:r>
      <w:r w:rsidR="00F16D10" w:rsidRPr="00F16D10">
        <w:t xml:space="preserve"> pour ce faire </w:t>
      </w:r>
      <w:r w:rsidR="00813998">
        <w:t xml:space="preserve">entrepris </w:t>
      </w:r>
      <w:r w:rsidR="00F16D10" w:rsidRPr="00F16D10">
        <w:t xml:space="preserve">d’identifier les opportunités et </w:t>
      </w:r>
      <w:r w:rsidR="006A3F25">
        <w:t xml:space="preserve">les </w:t>
      </w:r>
      <w:r w:rsidR="00F16D10" w:rsidRPr="00F16D10">
        <w:t xml:space="preserve">défis </w:t>
      </w:r>
      <w:r w:rsidR="00813998">
        <w:t xml:space="preserve">à l’effet </w:t>
      </w:r>
      <w:r>
        <w:t>d’</w:t>
      </w:r>
      <w:r w:rsidR="00813998">
        <w:t>étudie</w:t>
      </w:r>
      <w:r w:rsidR="00F16D10" w:rsidRPr="00F16D10">
        <w:t xml:space="preserve">r les voies et moyens visant à surmonter les obstacles </w:t>
      </w:r>
      <w:r w:rsidR="0045504C">
        <w:t>à la</w:t>
      </w:r>
      <w:r w:rsidR="00F16D10" w:rsidRPr="00F16D10">
        <w:t xml:space="preserve"> protection complète et e</w:t>
      </w:r>
      <w:r w:rsidR="001A158E">
        <w:t>ffective des droits de l’homme.</w:t>
      </w:r>
    </w:p>
    <w:p w14:paraId="3E0AA3E6" w14:textId="2D4E77E3" w:rsidR="00F16D10" w:rsidRDefault="00F16D10" w:rsidP="00F16D10">
      <w:pPr>
        <w:pStyle w:val="SingleTxtG"/>
      </w:pPr>
      <w:r>
        <w:t>1</w:t>
      </w:r>
      <w:r w:rsidR="00A176FA">
        <w:t>0</w:t>
      </w:r>
      <w:r>
        <w:t>.</w:t>
      </w:r>
      <w:r w:rsidR="00590742">
        <w:tab/>
      </w:r>
      <w:r w:rsidRPr="00F16D10">
        <w:t>N’ayant pas visité le Burundi à ce jour</w:t>
      </w:r>
      <w:r w:rsidR="004B77C1">
        <w:rPr>
          <w:rStyle w:val="FootnoteReference"/>
        </w:rPr>
        <w:footnoteReference w:id="10"/>
      </w:r>
      <w:r w:rsidRPr="00F16D10">
        <w:t xml:space="preserve">, le Rapporteur spécial a fondé ses analyses sur des informations officielles, </w:t>
      </w:r>
      <w:r w:rsidR="00DB273B">
        <w:t>l</w:t>
      </w:r>
      <w:r w:rsidRPr="00F16D10">
        <w:t>es déclarations du Gouvernement, les informations reçues d’acteurs de la société civile</w:t>
      </w:r>
      <w:r w:rsidR="0089241A">
        <w:t xml:space="preserve"> et</w:t>
      </w:r>
      <w:r w:rsidRPr="00F16D10">
        <w:t xml:space="preserve"> de défenseurs des droits de l’homme, des rapports de la communauté diplomatique</w:t>
      </w:r>
      <w:r w:rsidR="00DB273B">
        <w:t>,</w:t>
      </w:r>
      <w:r w:rsidRPr="00F16D10">
        <w:t xml:space="preserve"> </w:t>
      </w:r>
      <w:r w:rsidR="0089241A">
        <w:t>d’</w:t>
      </w:r>
      <w:r w:rsidRPr="00F16D10">
        <w:t xml:space="preserve">agences </w:t>
      </w:r>
      <w:r w:rsidR="00C360FD">
        <w:t xml:space="preserve">du </w:t>
      </w:r>
      <w:r w:rsidR="0089241A">
        <w:t>s</w:t>
      </w:r>
      <w:r w:rsidR="00C360FD">
        <w:t>ystème des Nations Unies</w:t>
      </w:r>
      <w:r w:rsidR="0089241A">
        <w:t xml:space="preserve"> et</w:t>
      </w:r>
      <w:r w:rsidR="00C360FD">
        <w:t xml:space="preserve"> </w:t>
      </w:r>
      <w:r w:rsidR="0089241A">
        <w:t>d’</w:t>
      </w:r>
      <w:r w:rsidRPr="00F16D10">
        <w:t xml:space="preserve">organisations internationales et régionales, des rapports du Haut-Commissariat </w:t>
      </w:r>
      <w:r w:rsidR="0089241A">
        <w:t xml:space="preserve">des Nations Unies </w:t>
      </w:r>
      <w:r w:rsidRPr="00F16D10">
        <w:t>aux droits de l’homme</w:t>
      </w:r>
      <w:r w:rsidR="003E498D">
        <w:t xml:space="preserve">, des </w:t>
      </w:r>
      <w:r w:rsidR="00FF2E08">
        <w:t>r</w:t>
      </w:r>
      <w:r w:rsidR="003E498D">
        <w:t>apports de la Commission</w:t>
      </w:r>
      <w:r w:rsidR="00C360FD">
        <w:t xml:space="preserve"> d’</w:t>
      </w:r>
      <w:r w:rsidR="0089241A">
        <w:t>e</w:t>
      </w:r>
      <w:r w:rsidR="00C360FD">
        <w:t>nquête sur le Burundi,</w:t>
      </w:r>
      <w:r w:rsidRPr="00F16D10">
        <w:t xml:space="preserve"> des recommandati</w:t>
      </w:r>
      <w:r w:rsidR="00D34FF0">
        <w:t xml:space="preserve">ons acceptées dans le cadre de l’Examen </w:t>
      </w:r>
      <w:r w:rsidR="0089241A">
        <w:t>p</w:t>
      </w:r>
      <w:r w:rsidR="00D34FF0">
        <w:t xml:space="preserve">ériodique </w:t>
      </w:r>
      <w:r w:rsidR="0089241A">
        <w:t>u</w:t>
      </w:r>
      <w:r w:rsidR="00D34FF0">
        <w:t xml:space="preserve">niversel ainsi que </w:t>
      </w:r>
      <w:r w:rsidR="00FF2E08">
        <w:t>celles formulées par l</w:t>
      </w:r>
      <w:r w:rsidR="00D34FF0">
        <w:t xml:space="preserve">es organes conventionnels et </w:t>
      </w:r>
      <w:r w:rsidR="00FF2E08">
        <w:t xml:space="preserve">les </w:t>
      </w:r>
      <w:r w:rsidR="00D34FF0">
        <w:t>procédures spéciales</w:t>
      </w:r>
      <w:r w:rsidRPr="00F16D10">
        <w:t>.</w:t>
      </w:r>
    </w:p>
    <w:p w14:paraId="5894D329" w14:textId="3997F65D" w:rsidR="00CC4474" w:rsidRPr="00F16D10" w:rsidRDefault="00CC4474" w:rsidP="00F16D10">
      <w:pPr>
        <w:pStyle w:val="SingleTxtG"/>
      </w:pPr>
      <w:r>
        <w:t>1</w:t>
      </w:r>
      <w:r w:rsidR="00A176FA">
        <w:t>1</w:t>
      </w:r>
      <w:r>
        <w:t>.</w:t>
      </w:r>
      <w:r w:rsidR="00590742">
        <w:tab/>
      </w:r>
      <w:r w:rsidRPr="00CC4474">
        <w:t xml:space="preserve">Bien que le présent rapport couvre la période d’octobre 2021 à </w:t>
      </w:r>
      <w:r w:rsidR="00184F13">
        <w:t>a</w:t>
      </w:r>
      <w:r w:rsidRPr="00CC4474">
        <w:t>o</w:t>
      </w:r>
      <w:r w:rsidR="00FF2E08">
        <w:t>û</w:t>
      </w:r>
      <w:r w:rsidRPr="00CC4474">
        <w:t xml:space="preserve">t 2022, le </w:t>
      </w:r>
      <w:r w:rsidR="00FF2E08">
        <w:t>R</w:t>
      </w:r>
      <w:r w:rsidRPr="00CC4474">
        <w:t xml:space="preserve">apporteur spécial énumère et analyse certains sujets de préoccupation antérieurs à la période considérée, dont les répercussions </w:t>
      </w:r>
      <w:r w:rsidR="003E498D">
        <w:t>continuent d’avoir</w:t>
      </w:r>
      <w:r w:rsidRPr="00CC4474">
        <w:t xml:space="preserve"> une incidence sur l</w:t>
      </w:r>
      <w:r w:rsidR="003E498D">
        <w:t>a situation d</w:t>
      </w:r>
      <w:r w:rsidRPr="00CC4474">
        <w:t>es droits de l’homme</w:t>
      </w:r>
      <w:r w:rsidR="003E498D">
        <w:t xml:space="preserve"> au Burundi</w:t>
      </w:r>
      <w:r w:rsidR="001A158E">
        <w:t>.</w:t>
      </w:r>
    </w:p>
    <w:p w14:paraId="393E82B3" w14:textId="761A803F" w:rsidR="00B26E71" w:rsidRPr="00660A1D" w:rsidRDefault="00590742" w:rsidP="00590742">
      <w:pPr>
        <w:pStyle w:val="H1G"/>
        <w:rPr>
          <w:lang w:val="fr-FR"/>
        </w:rPr>
      </w:pPr>
      <w:r w:rsidRPr="001A158E">
        <w:rPr>
          <w:lang w:val="fr-FR"/>
        </w:rPr>
        <w:tab/>
      </w:r>
      <w:r w:rsidR="00F16D10" w:rsidRPr="00660A1D">
        <w:rPr>
          <w:lang w:val="fr-FR"/>
        </w:rPr>
        <w:t>B.</w:t>
      </w:r>
      <w:r w:rsidRPr="00660A1D">
        <w:rPr>
          <w:lang w:val="fr-FR"/>
        </w:rPr>
        <w:tab/>
      </w:r>
      <w:r w:rsidR="00F16D10" w:rsidRPr="00660A1D">
        <w:rPr>
          <w:lang w:val="fr-FR"/>
        </w:rPr>
        <w:t>Coopération</w:t>
      </w:r>
    </w:p>
    <w:p w14:paraId="2E28E632" w14:textId="7BE8BD97" w:rsidR="00B26E71" w:rsidRPr="00590742" w:rsidRDefault="00F16D10" w:rsidP="00590742">
      <w:pPr>
        <w:pStyle w:val="H23G"/>
      </w:pPr>
      <w:r w:rsidRPr="00590742">
        <w:tab/>
        <w:t>1.</w:t>
      </w:r>
      <w:r w:rsidR="00590742">
        <w:tab/>
      </w:r>
      <w:r w:rsidRPr="00590742">
        <w:t xml:space="preserve">Coopération avec </w:t>
      </w:r>
      <w:r w:rsidR="00FF2E08" w:rsidRPr="00590742">
        <w:t xml:space="preserve">les </w:t>
      </w:r>
      <w:r w:rsidRPr="00590742">
        <w:t>mécanismes internationaux de protection des droits de l’homme</w:t>
      </w:r>
    </w:p>
    <w:p w14:paraId="790F36DE" w14:textId="15D31292" w:rsidR="001C4AB5" w:rsidRDefault="00F16D10" w:rsidP="00F16D10">
      <w:pPr>
        <w:pStyle w:val="SingleTxtG"/>
      </w:pPr>
      <w:r>
        <w:t>1</w:t>
      </w:r>
      <w:r w:rsidR="00400922">
        <w:t>2.</w:t>
      </w:r>
      <w:r w:rsidR="00590742">
        <w:tab/>
      </w:r>
      <w:r w:rsidR="00DB273B">
        <w:t>Le R</w:t>
      </w:r>
      <w:r w:rsidR="00400922" w:rsidRPr="00400922">
        <w:t>apporteur spécial souligne que le Burundi a adressé une invitation permanente aux procédures spéciales le 13 juin 2013</w:t>
      </w:r>
      <w:r w:rsidR="00EA1DAA">
        <w:t>,</w:t>
      </w:r>
      <w:r w:rsidR="00400922" w:rsidRPr="00400922">
        <w:t xml:space="preserve"> affichant ainsi sa volonté politique </w:t>
      </w:r>
      <w:r w:rsidR="00294291">
        <w:t xml:space="preserve">de </w:t>
      </w:r>
      <w:r w:rsidR="00294291" w:rsidRPr="00400922">
        <w:t>renforcer</w:t>
      </w:r>
      <w:r w:rsidR="00400922" w:rsidRPr="00400922">
        <w:t xml:space="preserve"> la protection et la promotion des droits de l’homme. L’opportunité de la présentation </w:t>
      </w:r>
      <w:r w:rsidR="008C2569">
        <w:t>du présent</w:t>
      </w:r>
      <w:r w:rsidR="00400922" w:rsidRPr="00400922">
        <w:t xml:space="preserve"> rapport permet au Rapporteur spécial d’encourager le Burundi à </w:t>
      </w:r>
      <w:r w:rsidR="00294291">
        <w:t>renforcer le</w:t>
      </w:r>
      <w:r w:rsidR="00400922" w:rsidRPr="00400922">
        <w:t xml:space="preserve"> cadre de dialogue avec les mécanismes </w:t>
      </w:r>
      <w:r w:rsidR="00DB273B">
        <w:t xml:space="preserve">internationaux </w:t>
      </w:r>
      <w:r w:rsidR="00294291">
        <w:t xml:space="preserve">de protection </w:t>
      </w:r>
      <w:r w:rsidR="00400922" w:rsidRPr="00400922">
        <w:t>des droits de l’homme.</w:t>
      </w:r>
    </w:p>
    <w:p w14:paraId="7213C57B" w14:textId="445DF8BF" w:rsidR="00F16D10" w:rsidRPr="00F16D10" w:rsidRDefault="00590742" w:rsidP="00F16D10">
      <w:pPr>
        <w:pStyle w:val="SingleTxtG"/>
      </w:pPr>
      <w:r>
        <w:t>13.</w:t>
      </w:r>
      <w:r>
        <w:tab/>
      </w:r>
      <w:r w:rsidR="00B365C1">
        <w:t>Au</w:t>
      </w:r>
      <w:r w:rsidR="00F16D10" w:rsidRPr="00F16D10">
        <w:t xml:space="preserve"> paragraphe 22 de </w:t>
      </w:r>
      <w:r w:rsidR="00B365C1">
        <w:t>sa</w:t>
      </w:r>
      <w:r w:rsidR="00F16D10" w:rsidRPr="00F16D10">
        <w:t xml:space="preserve"> résolution 48/16</w:t>
      </w:r>
      <w:r w:rsidR="00B365C1">
        <w:t>, le Conseil</w:t>
      </w:r>
      <w:r w:rsidR="00421259">
        <w:t xml:space="preserve"> des droits de l’homme</w:t>
      </w:r>
      <w:r w:rsidR="00F16D10" w:rsidRPr="00F16D10">
        <w:t xml:space="preserve"> </w:t>
      </w:r>
      <w:r w:rsidR="00204B84">
        <w:t xml:space="preserve">a </w:t>
      </w:r>
      <w:r w:rsidR="00F16D10" w:rsidRPr="00F16D10">
        <w:t>demand</w:t>
      </w:r>
      <w:r w:rsidR="00204B84">
        <w:t>é</w:t>
      </w:r>
      <w:r w:rsidR="00F16D10" w:rsidRPr="00F16D10">
        <w:t xml:space="preserve"> au Gouvernement burundais de coopérer pleinement avec le titulaire de mandat, d’accorder à l’intéressé un accès sans entrave au pays et de lui fournir toutes les informations nécessaires à la bonne exécution de son mandat, conformément aux engagements publics pris par l’administration actuelle de faire progresser les droits de l’homme et de renouer le dialogue avec la communauté internationale.</w:t>
      </w:r>
    </w:p>
    <w:p w14:paraId="7B8BFE29" w14:textId="17B8FA93" w:rsidR="00F16D10" w:rsidRPr="00F16D10" w:rsidRDefault="00590742" w:rsidP="00F16D10">
      <w:pPr>
        <w:pStyle w:val="SingleTxtG"/>
      </w:pPr>
      <w:r>
        <w:t>14</w:t>
      </w:r>
      <w:r w:rsidR="00F16D10">
        <w:t>.</w:t>
      </w:r>
      <w:r>
        <w:tab/>
      </w:r>
      <w:r w:rsidR="00F16D10" w:rsidRPr="00F16D10">
        <w:t xml:space="preserve">Depuis sa nomination, le Rapporteur spécial a transmis trois notes verbales de demande d’audience et une note verbale de demande de visite de pays à la Mission permanente du Burundi à Genève, </w:t>
      </w:r>
      <w:r w:rsidR="00A83C99">
        <w:t xml:space="preserve">et </w:t>
      </w:r>
      <w:r w:rsidR="00F16D10" w:rsidRPr="00F16D10">
        <w:t>une note verbale de transmission de l’appel à contributions en vue de l’élaboration du présent rapport.</w:t>
      </w:r>
      <w:r w:rsidR="00A63E42">
        <w:t xml:space="preserve"> </w:t>
      </w:r>
      <w:r w:rsidR="00FF2E08">
        <w:t>Il a également adressé u</w:t>
      </w:r>
      <w:r w:rsidR="00A63E42">
        <w:t xml:space="preserve">ne lettre de transmission de l’appel à contributions au présent rapport à la Commission </w:t>
      </w:r>
      <w:r w:rsidR="004C13A3">
        <w:t>n</w:t>
      </w:r>
      <w:r w:rsidR="00A63E42">
        <w:t xml:space="preserve">ationale </w:t>
      </w:r>
      <w:r w:rsidR="004C13A3">
        <w:t>i</w:t>
      </w:r>
      <w:r w:rsidR="00A63E42">
        <w:t xml:space="preserve">ndépendante des </w:t>
      </w:r>
      <w:r w:rsidR="004C13A3">
        <w:t>d</w:t>
      </w:r>
      <w:r w:rsidR="00A63E42">
        <w:t>roits de l’</w:t>
      </w:r>
      <w:r w:rsidR="004C13A3">
        <w:t>h</w:t>
      </w:r>
      <w:r w:rsidR="00A63E42">
        <w:t>omme. Ces requêtes</w:t>
      </w:r>
      <w:r w:rsidR="00F16D10">
        <w:t xml:space="preserve"> sont restées sans suite.</w:t>
      </w:r>
    </w:p>
    <w:p w14:paraId="44A25C1C" w14:textId="5E5DF7E4" w:rsidR="00F16D10" w:rsidRPr="000E1879" w:rsidRDefault="00590742" w:rsidP="00F16D10">
      <w:pPr>
        <w:pStyle w:val="SingleTxtG"/>
        <w:rPr>
          <w:highlight w:val="cyan"/>
        </w:rPr>
      </w:pPr>
      <w:r>
        <w:t>15</w:t>
      </w:r>
      <w:r w:rsidR="00F16D10">
        <w:t>.</w:t>
      </w:r>
      <w:r>
        <w:tab/>
      </w:r>
      <w:r w:rsidR="00F16D10" w:rsidRPr="00484FA8">
        <w:t xml:space="preserve">Le </w:t>
      </w:r>
      <w:r w:rsidR="00EA1DAA" w:rsidRPr="00484FA8">
        <w:t>R</w:t>
      </w:r>
      <w:r w:rsidR="00F16D10" w:rsidRPr="00484FA8">
        <w:t>apporteur spécial a participé au dialogue interactif sur le Burundi le 29 juin 2022</w:t>
      </w:r>
      <w:r w:rsidR="007A7485">
        <w:t>,</w:t>
      </w:r>
      <w:r w:rsidR="00F16D10" w:rsidRPr="00484FA8">
        <w:t xml:space="preserve"> au cours de la </w:t>
      </w:r>
      <w:r w:rsidR="004C13A3">
        <w:t>cinquanti</w:t>
      </w:r>
      <w:r w:rsidR="00F16D10" w:rsidRPr="00484FA8">
        <w:t xml:space="preserve">ème session du Conseil des </w:t>
      </w:r>
      <w:r w:rsidR="00EA1DAA" w:rsidRPr="00484FA8">
        <w:t>d</w:t>
      </w:r>
      <w:r w:rsidR="00F16D10" w:rsidRPr="00484FA8">
        <w:t>roits de l’</w:t>
      </w:r>
      <w:r w:rsidR="00EA1DAA" w:rsidRPr="00484FA8">
        <w:t>h</w:t>
      </w:r>
      <w:r w:rsidR="00F16D10" w:rsidRPr="00484FA8">
        <w:t>omme</w:t>
      </w:r>
      <w:r w:rsidR="00EA1DAA" w:rsidRPr="00484FA8">
        <w:t>,</w:t>
      </w:r>
      <w:r w:rsidR="00F16D10" w:rsidRPr="00484FA8">
        <w:t xml:space="preserve"> en marge </w:t>
      </w:r>
      <w:r w:rsidR="00EA1DAA" w:rsidRPr="00484FA8">
        <w:t xml:space="preserve">duquel </w:t>
      </w:r>
      <w:r w:rsidR="00F16D10" w:rsidRPr="00484FA8">
        <w:t xml:space="preserve">il a rencontré le Président du Conseil, le </w:t>
      </w:r>
      <w:r w:rsidR="00EA1DAA" w:rsidRPr="00484FA8">
        <w:t>R</w:t>
      </w:r>
      <w:r w:rsidR="00F16D10" w:rsidRPr="00484FA8">
        <w:t xml:space="preserve">eprésentant permanent </w:t>
      </w:r>
      <w:r w:rsidR="00FB5168">
        <w:t xml:space="preserve">de la Mission </w:t>
      </w:r>
      <w:r w:rsidR="006D3160">
        <w:t xml:space="preserve">permanente </w:t>
      </w:r>
      <w:r w:rsidR="00FB5168">
        <w:t xml:space="preserve">de Côte d’Ivoire </w:t>
      </w:r>
      <w:r w:rsidR="006627BE" w:rsidRPr="006627BE">
        <w:t>à Genève</w:t>
      </w:r>
      <w:r w:rsidR="006627BE">
        <w:t xml:space="preserve"> </w:t>
      </w:r>
      <w:r w:rsidR="005A7F22">
        <w:t xml:space="preserve">– </w:t>
      </w:r>
      <w:r w:rsidR="00FB5168">
        <w:t xml:space="preserve">également Président </w:t>
      </w:r>
      <w:r w:rsidR="00F16D10" w:rsidRPr="00484FA8">
        <w:t>du Groupe africain</w:t>
      </w:r>
      <w:r w:rsidR="005A7F22">
        <w:t xml:space="preserve"> –</w:t>
      </w:r>
      <w:r w:rsidR="00F16D10" w:rsidRPr="00484FA8">
        <w:t xml:space="preserve">, </w:t>
      </w:r>
      <w:r w:rsidR="006F7928" w:rsidRPr="00484FA8">
        <w:t xml:space="preserve">et </w:t>
      </w:r>
      <w:r w:rsidR="00F16D10" w:rsidRPr="00484FA8">
        <w:t xml:space="preserve">les </w:t>
      </w:r>
      <w:r w:rsidR="00AC5C88">
        <w:t>m</w:t>
      </w:r>
      <w:r w:rsidR="00F16D10" w:rsidRPr="00484FA8">
        <w:t>issions permanentes d</w:t>
      </w:r>
      <w:r w:rsidR="00BE5D7E">
        <w:t>e l</w:t>
      </w:r>
      <w:r w:rsidR="00F16D10" w:rsidRPr="00484FA8">
        <w:t>’Afrique du Sud</w:t>
      </w:r>
      <w:r w:rsidR="00AC5C88">
        <w:t xml:space="preserve"> et</w:t>
      </w:r>
      <w:r w:rsidR="00F16D10" w:rsidRPr="00484FA8">
        <w:t xml:space="preserve"> de l’Ouganda à Genève. Il a échangé avec l’Envoyé spécial du Secrétaire </w:t>
      </w:r>
      <w:r w:rsidR="00AD5349">
        <w:t>g</w:t>
      </w:r>
      <w:r w:rsidR="00F16D10" w:rsidRPr="00484FA8">
        <w:t xml:space="preserve">énéral pour la région des </w:t>
      </w:r>
      <w:r w:rsidR="006F7928" w:rsidRPr="00484FA8">
        <w:t>G</w:t>
      </w:r>
      <w:r w:rsidR="00F16D10" w:rsidRPr="00484FA8">
        <w:t xml:space="preserve">rands </w:t>
      </w:r>
      <w:r w:rsidR="006F7928" w:rsidRPr="00484FA8">
        <w:t>L</w:t>
      </w:r>
      <w:r w:rsidR="00F16D10" w:rsidRPr="00484FA8">
        <w:t xml:space="preserve">acs, </w:t>
      </w:r>
      <w:r w:rsidR="006F7928" w:rsidRPr="00484FA8">
        <w:t xml:space="preserve">la </w:t>
      </w:r>
      <w:r w:rsidR="00F16D10" w:rsidRPr="00484FA8">
        <w:t>Délégation permanente de l</w:t>
      </w:r>
      <w:r w:rsidR="00F11D0A">
        <w:t>’</w:t>
      </w:r>
      <w:r w:rsidR="00F16D10" w:rsidRPr="00484FA8">
        <w:t xml:space="preserve">Union européenne </w:t>
      </w:r>
      <w:r w:rsidR="006F7928" w:rsidRPr="00484FA8">
        <w:t>à Genève</w:t>
      </w:r>
      <w:r w:rsidR="00F16D10" w:rsidRPr="00484FA8">
        <w:t xml:space="preserve">, le Coordonnateur </w:t>
      </w:r>
      <w:r w:rsidR="00E35E04">
        <w:t>r</w:t>
      </w:r>
      <w:r w:rsidR="00F16D10" w:rsidRPr="00484FA8">
        <w:t>ésident des Nations Unies au Burundi, l’</w:t>
      </w:r>
      <w:r w:rsidR="006F7928" w:rsidRPr="00484FA8">
        <w:t>A</w:t>
      </w:r>
      <w:r w:rsidR="00F16D10" w:rsidRPr="00484FA8">
        <w:t xml:space="preserve">mbassadrice des </w:t>
      </w:r>
      <w:r w:rsidR="00E35E04">
        <w:t>É</w:t>
      </w:r>
      <w:r w:rsidR="00F16D10" w:rsidRPr="00484FA8">
        <w:t>tats</w:t>
      </w:r>
      <w:r w:rsidR="00E35E04">
        <w:t>-</w:t>
      </w:r>
      <w:r w:rsidR="00F16D10" w:rsidRPr="00484FA8">
        <w:t>Unis au Burundi, le Groupe d’</w:t>
      </w:r>
      <w:r w:rsidR="007536D4">
        <w:t>a</w:t>
      </w:r>
      <w:r w:rsidR="00F16D10" w:rsidRPr="00484FA8">
        <w:t xml:space="preserve">lerte </w:t>
      </w:r>
      <w:r w:rsidR="007536D4">
        <w:t>p</w:t>
      </w:r>
      <w:r w:rsidR="00F16D10" w:rsidRPr="00484FA8">
        <w:t xml:space="preserve">récoce pour la protection des </w:t>
      </w:r>
      <w:r w:rsidR="007536D4">
        <w:lastRenderedPageBreak/>
        <w:t>d</w:t>
      </w:r>
      <w:r w:rsidR="00F16D10" w:rsidRPr="00484FA8">
        <w:t>roits de l’</w:t>
      </w:r>
      <w:r w:rsidR="007536D4">
        <w:t>h</w:t>
      </w:r>
      <w:r w:rsidR="00F16D10" w:rsidRPr="00484FA8">
        <w:t>omme</w:t>
      </w:r>
      <w:r w:rsidR="00F16D10" w:rsidRPr="00484FA8">
        <w:rPr>
          <w:rStyle w:val="EndnoteReference"/>
        </w:rPr>
        <w:footnoteReference w:id="11"/>
      </w:r>
      <w:r w:rsidR="00F16D10" w:rsidRPr="00484FA8">
        <w:t xml:space="preserve">, </w:t>
      </w:r>
      <w:r w:rsidR="007466DB" w:rsidRPr="00484FA8">
        <w:t>la Commission d’</w:t>
      </w:r>
      <w:r w:rsidR="00A524A8">
        <w:t>e</w:t>
      </w:r>
      <w:r w:rsidR="007466DB" w:rsidRPr="00484FA8">
        <w:t xml:space="preserve">nquête sur le Burundi, </w:t>
      </w:r>
      <w:r w:rsidR="00F16D10" w:rsidRPr="00484FA8">
        <w:t xml:space="preserve">la Commission </w:t>
      </w:r>
      <w:r w:rsidR="00C85737">
        <w:t>n</w:t>
      </w:r>
      <w:r w:rsidR="00F16D10" w:rsidRPr="00484FA8">
        <w:t xml:space="preserve">ationale </w:t>
      </w:r>
      <w:r w:rsidR="00C85737">
        <w:t>i</w:t>
      </w:r>
      <w:r w:rsidR="00F16D10" w:rsidRPr="00484FA8">
        <w:t xml:space="preserve">ndépendante des </w:t>
      </w:r>
      <w:r w:rsidR="00C85737">
        <w:t>d</w:t>
      </w:r>
      <w:r w:rsidR="00F16D10" w:rsidRPr="00484FA8">
        <w:t>roits de l’</w:t>
      </w:r>
      <w:r w:rsidR="00C85737">
        <w:t>h</w:t>
      </w:r>
      <w:r w:rsidR="00F16D10" w:rsidRPr="00484FA8">
        <w:t>omme du Burundi ainsi que plusieurs organisations de la société civile.</w:t>
      </w:r>
    </w:p>
    <w:p w14:paraId="23B489B2" w14:textId="3D57B1CD" w:rsidR="00F16D10" w:rsidRPr="00F16D10" w:rsidRDefault="00590742" w:rsidP="00F16D10">
      <w:pPr>
        <w:pStyle w:val="SingleTxtG"/>
      </w:pPr>
      <w:r>
        <w:t>16</w:t>
      </w:r>
      <w:r w:rsidR="00F16D10" w:rsidRPr="00F74318">
        <w:t>.</w:t>
      </w:r>
      <w:r>
        <w:tab/>
      </w:r>
      <w:r w:rsidR="00F16D10" w:rsidRPr="00F74318">
        <w:t xml:space="preserve">Le </w:t>
      </w:r>
      <w:r w:rsidR="006F7928" w:rsidRPr="00F74318">
        <w:t>R</w:t>
      </w:r>
      <w:r w:rsidR="00F16D10" w:rsidRPr="00F74318">
        <w:t xml:space="preserve">apporteur spécial note avec satisfaction </w:t>
      </w:r>
      <w:r w:rsidR="003647FA">
        <w:t xml:space="preserve">que, </w:t>
      </w:r>
      <w:r w:rsidR="00F16D10" w:rsidRPr="00F74318">
        <w:t xml:space="preserve">conformément au paragraphe 23 de la </w:t>
      </w:r>
      <w:r w:rsidR="002E74DA" w:rsidRPr="00F74318">
        <w:t xml:space="preserve">résolution </w:t>
      </w:r>
      <w:r w:rsidR="00F16D10" w:rsidRPr="00F74318">
        <w:t xml:space="preserve">48/16 du </w:t>
      </w:r>
      <w:r w:rsidR="003647FA">
        <w:t>Conseil des droits de l’homme</w:t>
      </w:r>
      <w:r w:rsidR="00F16D10" w:rsidRPr="00F74318">
        <w:t>, le Haut-Commissariat des Nations Unies aux droits de l’homme a fourni au titulaire du mandat toute l’assistance et les ressources nécessaires aux fins de l’exécution de son mandat.</w:t>
      </w:r>
    </w:p>
    <w:p w14:paraId="60133E3D" w14:textId="424A717F" w:rsidR="00F16D10" w:rsidRPr="00F16D10" w:rsidRDefault="00590742" w:rsidP="00F16D10">
      <w:pPr>
        <w:pStyle w:val="SingleTxtG"/>
      </w:pPr>
      <w:r>
        <w:t>17</w:t>
      </w:r>
      <w:r w:rsidR="00F16D10">
        <w:t>.</w:t>
      </w:r>
      <w:r>
        <w:tab/>
      </w:r>
      <w:r w:rsidR="00F16D10" w:rsidRPr="00F16D10">
        <w:t xml:space="preserve">L’article 19 de la Constitution </w:t>
      </w:r>
      <w:r w:rsidR="00F215D9">
        <w:t>de</w:t>
      </w:r>
      <w:r w:rsidR="00F16D10" w:rsidRPr="00F16D10">
        <w:t xml:space="preserve"> 2018 dispose que les droits et devoirs proclamés et garantis par les textes internationaux relatifs aux droits de l’homme régulièrement ratifiés font partie intégrante de la Constitution. Le Burundi a ratifié sept des principales conventions internationales en matière de droits de l’homme</w:t>
      </w:r>
      <w:r w:rsidR="003507EC">
        <w:t xml:space="preserve"> ou y a adhéré</w:t>
      </w:r>
      <w:r w:rsidR="00F16D10" w:rsidRPr="00F16D10">
        <w:t>, à savoir</w:t>
      </w:r>
      <w:r w:rsidR="00790CB4">
        <w:t> :</w:t>
      </w:r>
      <w:r w:rsidR="00F16D10" w:rsidRPr="00F16D10">
        <w:t xml:space="preserve"> le Pacte international relatif aux droits civils et politiques</w:t>
      </w:r>
      <w:r w:rsidR="00790CB4">
        <w:t> ;</w:t>
      </w:r>
      <w:r w:rsidR="00F16D10" w:rsidRPr="00F16D10">
        <w:t xml:space="preserve"> le Pacte international relatif aux droits économiques, sociaux et culturels</w:t>
      </w:r>
      <w:r w:rsidR="00790CB4">
        <w:t> ;</w:t>
      </w:r>
      <w:r w:rsidR="00F16D10" w:rsidRPr="00F16D10">
        <w:t xml:space="preserve"> la Convention internationale sur l</w:t>
      </w:r>
      <w:r w:rsidR="00F11D0A">
        <w:t>’</w:t>
      </w:r>
      <w:r w:rsidR="00F16D10" w:rsidRPr="00F16D10">
        <w:t>élimination de toutes les formes de discrimination raciale</w:t>
      </w:r>
      <w:r w:rsidR="00790CB4">
        <w:t> ;</w:t>
      </w:r>
      <w:r w:rsidR="00F16D10" w:rsidRPr="00F16D10">
        <w:t xml:space="preserve"> la Convention contre la torture et autres peines ou traitements cruels, inhumains ou dégradants </w:t>
      </w:r>
      <w:r w:rsidR="005421A6">
        <w:t>(</w:t>
      </w:r>
      <w:r w:rsidR="00F16D10" w:rsidRPr="00F16D10">
        <w:t xml:space="preserve">et </w:t>
      </w:r>
      <w:r w:rsidR="00810B04">
        <w:t>le</w:t>
      </w:r>
      <w:r w:rsidR="00F16D10" w:rsidRPr="00F16D10">
        <w:t xml:space="preserve"> </w:t>
      </w:r>
      <w:r w:rsidR="00810B04">
        <w:t>P</w:t>
      </w:r>
      <w:r w:rsidR="00F16D10" w:rsidRPr="00F16D10">
        <w:t>rotocole facultatif</w:t>
      </w:r>
      <w:r w:rsidR="00810B04">
        <w:t xml:space="preserve"> s’y rapportant</w:t>
      </w:r>
      <w:r w:rsidR="005421A6">
        <w:t>)</w:t>
      </w:r>
      <w:r w:rsidR="00790CB4">
        <w:t> ;</w:t>
      </w:r>
      <w:r w:rsidR="00F16D10" w:rsidRPr="00F16D10">
        <w:t xml:space="preserve"> la Convention sur l</w:t>
      </w:r>
      <w:r w:rsidR="00F11D0A">
        <w:t>’</w:t>
      </w:r>
      <w:r w:rsidR="00F16D10" w:rsidRPr="00F16D10">
        <w:t>élimination de toutes les formes de discrimination à l</w:t>
      </w:r>
      <w:r w:rsidR="00F11D0A">
        <w:t>’</w:t>
      </w:r>
      <w:r w:rsidR="00F16D10" w:rsidRPr="00F16D10">
        <w:t>égard des femmes</w:t>
      </w:r>
      <w:r w:rsidR="00790CB4">
        <w:t> ;</w:t>
      </w:r>
      <w:r w:rsidR="00F16D10" w:rsidRPr="00F16D10">
        <w:t xml:space="preserve"> la Convention relative aux droits de l</w:t>
      </w:r>
      <w:r w:rsidR="00F11D0A">
        <w:t>’</w:t>
      </w:r>
      <w:r w:rsidR="00F16D10" w:rsidRPr="00F16D10">
        <w:t xml:space="preserve">enfant </w:t>
      </w:r>
      <w:r w:rsidR="0036481B">
        <w:t>(</w:t>
      </w:r>
      <w:r w:rsidR="005421A6">
        <w:t xml:space="preserve">ainsi que </w:t>
      </w:r>
      <w:r w:rsidR="00ED1A63">
        <w:t xml:space="preserve">le Protocole facultatif </w:t>
      </w:r>
      <w:r w:rsidR="00ED1A63" w:rsidRPr="00ED1A63">
        <w:t>concernant l’implication d’enfants dans les conflits armés</w:t>
      </w:r>
      <w:r w:rsidR="0036481B">
        <w:t>, et</w:t>
      </w:r>
      <w:r w:rsidR="00ED1A63" w:rsidRPr="00ED1A63">
        <w:t xml:space="preserve"> </w:t>
      </w:r>
      <w:r w:rsidR="00ED1A63">
        <w:t xml:space="preserve">le Protocole facultatif </w:t>
      </w:r>
      <w:r w:rsidR="00ED1A63" w:rsidRPr="00ED1A63">
        <w:t>concernant</w:t>
      </w:r>
      <w:r w:rsidR="00E15DCA" w:rsidRPr="00E15DCA">
        <w:t xml:space="preserve"> la vente d</w:t>
      </w:r>
      <w:r w:rsidR="00E15DCA">
        <w:t>’</w:t>
      </w:r>
      <w:r w:rsidR="00E15DCA" w:rsidRPr="00E15DCA">
        <w:t>enfants, la prostitution des enfants et la pornographie mettant en scène des enfants</w:t>
      </w:r>
      <w:r w:rsidR="007E3133">
        <w:t>)</w:t>
      </w:r>
      <w:r w:rsidR="00E15DCA">
        <w:t> ;</w:t>
      </w:r>
      <w:r w:rsidR="00F16D10" w:rsidRPr="00F16D10">
        <w:t xml:space="preserve"> et la Convention relative</w:t>
      </w:r>
      <w:r w:rsidR="00424E57">
        <w:t xml:space="preserve"> aux droits des personnes</w:t>
      </w:r>
      <w:r w:rsidR="00F16D10" w:rsidRPr="00F16D10">
        <w:t xml:space="preserve"> handicapées. Si le Burundi a </w:t>
      </w:r>
      <w:r w:rsidR="00D3496E">
        <w:t>adhéré au</w:t>
      </w:r>
      <w:r w:rsidR="00F16D10" w:rsidRPr="00F16D10">
        <w:t xml:space="preserve"> </w:t>
      </w:r>
      <w:r w:rsidR="00A14315">
        <w:t>P</w:t>
      </w:r>
      <w:r w:rsidR="00F16D10" w:rsidRPr="00F16D10">
        <w:t xml:space="preserve">rotocole facultatif </w:t>
      </w:r>
      <w:r w:rsidR="00407E05">
        <w:t xml:space="preserve">se rapportant </w:t>
      </w:r>
      <w:r w:rsidR="00F16D10" w:rsidRPr="00F16D10">
        <w:t xml:space="preserve">à la Convention contre la </w:t>
      </w:r>
      <w:r w:rsidR="00407E05">
        <w:t>t</w:t>
      </w:r>
      <w:r w:rsidR="00F16D10" w:rsidRPr="00F16D10">
        <w:t>orture</w:t>
      </w:r>
      <w:r w:rsidR="00407E05" w:rsidRPr="00407E05">
        <w:t xml:space="preserve"> </w:t>
      </w:r>
      <w:r w:rsidR="00407E05" w:rsidRPr="00F16D10">
        <w:t>et autres peines ou traitements cruels, inhumains ou dégradants</w:t>
      </w:r>
      <w:r w:rsidR="00F16D10" w:rsidRPr="00F16D10">
        <w:t xml:space="preserve"> en octobre 2013, il n’a </w:t>
      </w:r>
      <w:r w:rsidR="00D3496E">
        <w:t xml:space="preserve">en revanche </w:t>
      </w:r>
      <w:r w:rsidR="00F16D10" w:rsidRPr="00F16D10">
        <w:t xml:space="preserve">toujours pas mis en place un </w:t>
      </w:r>
      <w:r w:rsidR="003A5000">
        <w:t>m</w:t>
      </w:r>
      <w:r w:rsidR="00F16D10" w:rsidRPr="00F16D10">
        <w:t>écanisme national de prévention</w:t>
      </w:r>
      <w:r w:rsidR="000B012B">
        <w:t xml:space="preserve">. </w:t>
      </w:r>
      <w:r w:rsidR="00F16D10" w:rsidRPr="00F16D10">
        <w:t xml:space="preserve">En 2009, le </w:t>
      </w:r>
      <w:r w:rsidR="00003593">
        <w:t>G</w:t>
      </w:r>
      <w:r w:rsidR="00F16D10" w:rsidRPr="00F16D10">
        <w:t>ouvernement a aboli la peine de mort</w:t>
      </w:r>
      <w:r w:rsidR="00003593">
        <w:t>,</w:t>
      </w:r>
      <w:r w:rsidR="00F16D10" w:rsidRPr="00F16D10">
        <w:t xml:space="preserve"> sans toutefois ratifier le </w:t>
      </w:r>
      <w:r w:rsidR="00F76FCC">
        <w:t>Deuxième</w:t>
      </w:r>
      <w:r w:rsidR="00F16D10" w:rsidRPr="00F16D10">
        <w:t xml:space="preserve"> </w:t>
      </w:r>
      <w:r w:rsidR="00F76FCC">
        <w:t>P</w:t>
      </w:r>
      <w:r w:rsidR="00F16D10" w:rsidRPr="00F16D10">
        <w:t xml:space="preserve">rotocole facultatif </w:t>
      </w:r>
      <w:r w:rsidR="003D71CB">
        <w:t xml:space="preserve">se rapportant </w:t>
      </w:r>
      <w:r w:rsidR="00F16D10" w:rsidRPr="00F16D10">
        <w:t>au P</w:t>
      </w:r>
      <w:r w:rsidR="00424E57">
        <w:t xml:space="preserve">acte </w:t>
      </w:r>
      <w:r w:rsidR="003D71CB">
        <w:t>i</w:t>
      </w:r>
      <w:r w:rsidR="00424E57">
        <w:t xml:space="preserve">nternational relatif aux </w:t>
      </w:r>
      <w:r w:rsidR="003D71CB">
        <w:t>d</w:t>
      </w:r>
      <w:r w:rsidR="00424E57">
        <w:t xml:space="preserve">roits </w:t>
      </w:r>
      <w:r w:rsidR="003D71CB">
        <w:t>c</w:t>
      </w:r>
      <w:r w:rsidR="00424E57">
        <w:t>ivils et politiques</w:t>
      </w:r>
      <w:r w:rsidR="00F76FCC">
        <w:t>, visant à abolir la peine de mort</w:t>
      </w:r>
      <w:r w:rsidR="00F16D10" w:rsidRPr="00F16D10">
        <w:t>.</w:t>
      </w:r>
    </w:p>
    <w:p w14:paraId="5D479C6D" w14:textId="2FD82B2B" w:rsidR="00F16D10" w:rsidRPr="00F16D10" w:rsidRDefault="00590742" w:rsidP="00F16D10">
      <w:pPr>
        <w:pStyle w:val="SingleTxtG"/>
      </w:pPr>
      <w:r>
        <w:t>18</w:t>
      </w:r>
      <w:r w:rsidR="00F16D10">
        <w:t>.</w:t>
      </w:r>
      <w:r>
        <w:tab/>
      </w:r>
      <w:r w:rsidR="00F16D10" w:rsidRPr="00F16D10">
        <w:t xml:space="preserve">Eu égard au nombre d’affaires en instance devant le Groupe de travail sur les disparitions forcées ou involontaires et </w:t>
      </w:r>
      <w:r w:rsidR="003A5000">
        <w:t>aux nombreux rapports</w:t>
      </w:r>
      <w:r w:rsidR="00F16D10" w:rsidRPr="00F16D10">
        <w:t xml:space="preserve"> sur les disparitions forcées</w:t>
      </w:r>
      <w:r w:rsidR="002E74DA">
        <w:t>,</w:t>
      </w:r>
      <w:r w:rsidR="00F16D10" w:rsidRPr="00F16D10">
        <w:t xml:space="preserve"> le </w:t>
      </w:r>
      <w:r w:rsidR="002E74DA">
        <w:t>R</w:t>
      </w:r>
      <w:r w:rsidR="00F16D10" w:rsidRPr="00F16D10">
        <w:t>apporteur spécial encourage le Burundi à ratifier la Convention internationale pour la protection de toutes les personnes contre les disparitions forcées</w:t>
      </w:r>
      <w:r w:rsidR="002E74DA">
        <w:t xml:space="preserve">. </w:t>
      </w:r>
      <w:r w:rsidR="00FA03B7">
        <w:t>Il</w:t>
      </w:r>
      <w:r w:rsidR="0081064C">
        <w:t xml:space="preserve"> </w:t>
      </w:r>
      <w:r w:rsidR="00FA03B7">
        <w:t>l’</w:t>
      </w:r>
      <w:r w:rsidR="0081064C">
        <w:t xml:space="preserve">encourage également </w:t>
      </w:r>
      <w:r w:rsidR="00FA03B7">
        <w:t>à ratifier</w:t>
      </w:r>
      <w:r w:rsidR="0081064C">
        <w:t xml:space="preserve"> l</w:t>
      </w:r>
      <w:r w:rsidR="00D247A2" w:rsidRPr="00F16D10">
        <w:t>a</w:t>
      </w:r>
      <w:r w:rsidR="00F16D10" w:rsidRPr="00F16D10">
        <w:t xml:space="preserve"> Convention internationale sur la protection des droits de tous les travailleurs migrants et des membres de leur famille, </w:t>
      </w:r>
      <w:r w:rsidR="009A39D7">
        <w:t xml:space="preserve">et </w:t>
      </w:r>
      <w:r w:rsidR="00954596">
        <w:t>le</w:t>
      </w:r>
      <w:r w:rsidR="00F16D10" w:rsidRPr="00F16D10">
        <w:t xml:space="preserve"> Deuxième </w:t>
      </w:r>
      <w:r w:rsidR="00954596">
        <w:t>P</w:t>
      </w:r>
      <w:r w:rsidR="00F16D10" w:rsidRPr="00F16D10">
        <w:t>rotocole facultatif se rapportant au Pacte international relatif aux droits civils et politiques, visant à abolir la peine de mort</w:t>
      </w:r>
      <w:r w:rsidR="003A5000">
        <w:t>.</w:t>
      </w:r>
      <w:r w:rsidR="00F16D10" w:rsidRPr="00F16D10">
        <w:t xml:space="preserve"> Le Rapporteur Spécial rappelle que plusieurs rapports initiaux ou périodiques restent attendus par les organes </w:t>
      </w:r>
      <w:r w:rsidR="009A39D7">
        <w:t>conventionnels</w:t>
      </w:r>
      <w:r w:rsidR="00AC05B5">
        <w:t>,</w:t>
      </w:r>
      <w:r w:rsidR="00954596">
        <w:t xml:space="preserve"> ou attendent d’être examinés</w:t>
      </w:r>
      <w:r w:rsidR="00F16D10" w:rsidRPr="00F16D10">
        <w:t>.</w:t>
      </w:r>
    </w:p>
    <w:p w14:paraId="1F48DB84" w14:textId="12FCD5B5" w:rsidR="00F16D10" w:rsidRPr="00F16D10" w:rsidRDefault="00590742" w:rsidP="00F16D10">
      <w:pPr>
        <w:pStyle w:val="SingleTxtG"/>
      </w:pPr>
      <w:r>
        <w:t>19</w:t>
      </w:r>
      <w:r w:rsidR="00F16D10">
        <w:t>.</w:t>
      </w:r>
      <w:r>
        <w:tab/>
      </w:r>
      <w:r w:rsidR="0081064C">
        <w:t>L</w:t>
      </w:r>
      <w:r w:rsidR="00F16D10" w:rsidRPr="00F16D10">
        <w:t xml:space="preserve">e Burundi s’est retiré du Statut de Rome </w:t>
      </w:r>
      <w:r w:rsidR="00AC05B5">
        <w:t>de</w:t>
      </w:r>
      <w:r w:rsidR="00F16D10" w:rsidRPr="00F16D10">
        <w:t xml:space="preserve"> la Cour pénale internationale, un retrait qui n’a cependant pas de conséquence</w:t>
      </w:r>
      <w:r w:rsidR="0081064C">
        <w:t>s</w:t>
      </w:r>
      <w:r w:rsidR="00F16D10" w:rsidRPr="00F16D10">
        <w:t xml:space="preserve"> sur l’examen préliminaire en cours auprès de cette instance depuis le 27 octobre 2017. Il reste </w:t>
      </w:r>
      <w:r w:rsidR="00F16D10" w:rsidRPr="00030036">
        <w:t>partie à la Convention pour la prévention et la répression du crime de génocide</w:t>
      </w:r>
      <w:r w:rsidR="001A158E">
        <w:t>.</w:t>
      </w:r>
    </w:p>
    <w:p w14:paraId="491A093B" w14:textId="01F937BE" w:rsidR="00F16D10" w:rsidRPr="00F16D10" w:rsidRDefault="00590742" w:rsidP="00F16D10">
      <w:pPr>
        <w:pStyle w:val="SingleTxtG"/>
      </w:pPr>
      <w:r>
        <w:t>20</w:t>
      </w:r>
      <w:r w:rsidR="001C4AB5">
        <w:t>.</w:t>
      </w:r>
      <w:r>
        <w:tab/>
      </w:r>
      <w:r w:rsidR="00F16D10" w:rsidRPr="00F16D10">
        <w:t>Les trois premiers cycles de l’</w:t>
      </w:r>
      <w:r w:rsidR="00FB5BE5">
        <w:t>Examen périodique universel</w:t>
      </w:r>
      <w:r w:rsidR="00954596">
        <w:t xml:space="preserve"> </w:t>
      </w:r>
      <w:r w:rsidR="00F16D10" w:rsidRPr="00F16D10">
        <w:t xml:space="preserve">du Burundi ont eu lieu en décembre 2008, en janvier 2013 et en janvier 2018. Lors du troisième cycle, le Burundi a reçu </w:t>
      </w:r>
      <w:r w:rsidR="0087148E">
        <w:t>242 </w:t>
      </w:r>
      <w:r w:rsidR="00F16D10" w:rsidRPr="00F16D10">
        <w:t xml:space="preserve">recommandations, desquelles </w:t>
      </w:r>
      <w:r w:rsidR="00720F76">
        <w:t>125</w:t>
      </w:r>
      <w:r w:rsidR="00F16D10" w:rsidRPr="00F16D10">
        <w:t xml:space="preserve"> ont été acceptées. Le Rapporteur </w:t>
      </w:r>
      <w:r w:rsidR="002E74DA">
        <w:t>s</w:t>
      </w:r>
      <w:r w:rsidR="00F16D10" w:rsidRPr="00F16D10">
        <w:t>pécial salue</w:t>
      </w:r>
      <w:r w:rsidR="009A7D18">
        <w:t xml:space="preserve"> la préparation en cours de son</w:t>
      </w:r>
      <w:r w:rsidR="00954596">
        <w:t xml:space="preserve"> prochain </w:t>
      </w:r>
      <w:r w:rsidR="00F16D10" w:rsidRPr="00F16D10">
        <w:t>passage et marque sa disponibilité à accompagner la mise en œuvre des recommandations qui en découleront.</w:t>
      </w:r>
    </w:p>
    <w:p w14:paraId="06E0F1B5" w14:textId="2EDFF9FD" w:rsidR="00F16D10" w:rsidRPr="00F16D10" w:rsidRDefault="00590742" w:rsidP="00F16D10">
      <w:pPr>
        <w:pStyle w:val="SingleTxtG"/>
      </w:pPr>
      <w:r>
        <w:t>21</w:t>
      </w:r>
      <w:r w:rsidR="00F16D10">
        <w:t>.</w:t>
      </w:r>
      <w:r>
        <w:tab/>
      </w:r>
      <w:r w:rsidR="00F16D10" w:rsidRPr="00F16D10">
        <w:t>L’institutionnalisation</w:t>
      </w:r>
      <w:r w:rsidR="00870002">
        <w:t xml:space="preserve"> du Comité p</w:t>
      </w:r>
      <w:r w:rsidR="00F16D10" w:rsidRPr="00F16D10">
        <w:t>ermanent chargé des rapports initiaux et périodiques constitue une avancée majeure</w:t>
      </w:r>
      <w:r w:rsidR="00B61897">
        <w:t>,</w:t>
      </w:r>
      <w:r w:rsidR="00F16D10" w:rsidRPr="00F16D10">
        <w:t xml:space="preserve"> à la fois pour l’intégration des questions </w:t>
      </w:r>
      <w:r w:rsidR="00B61897">
        <w:t>relatives aux</w:t>
      </w:r>
      <w:r w:rsidR="00F16D10" w:rsidRPr="00F16D10">
        <w:t xml:space="preserve"> droits de l’homme dans l’action gouvernementale</w:t>
      </w:r>
      <w:r w:rsidR="00B61897">
        <w:t>,</w:t>
      </w:r>
      <w:r w:rsidR="00F16D10" w:rsidRPr="00F16D10">
        <w:t xml:space="preserve"> mais également pour l’appropriation et le transfert des compétences nationales. L</w:t>
      </w:r>
      <w:r w:rsidR="004E5A60">
        <w:t>a mise à disposition</w:t>
      </w:r>
      <w:r w:rsidR="00F16D10" w:rsidRPr="00F16D10">
        <w:t xml:space="preserve"> de ressources humaines, budgétaires et matérielles adéquates</w:t>
      </w:r>
      <w:r w:rsidR="00B61897">
        <w:t>,</w:t>
      </w:r>
      <w:r w:rsidR="00F16D10" w:rsidRPr="00F16D10">
        <w:t xml:space="preserve"> y compris le renforcement des capacités de ses membres en matière de coordination et de suivi</w:t>
      </w:r>
      <w:r w:rsidR="00DB3485">
        <w:t>-</w:t>
      </w:r>
      <w:r w:rsidR="00F16D10" w:rsidRPr="00F16D10">
        <w:t>évaluation</w:t>
      </w:r>
      <w:r w:rsidR="00DB3485">
        <w:t>,</w:t>
      </w:r>
      <w:r w:rsidR="00F16D10" w:rsidRPr="00F16D10">
        <w:t xml:space="preserve"> </w:t>
      </w:r>
      <w:r w:rsidR="00FC4661">
        <w:t>incite à</w:t>
      </w:r>
      <w:r w:rsidR="00F16D10" w:rsidRPr="00F16D10">
        <w:t xml:space="preserve"> l’établissement d’une collaboration soutenue avec les différents </w:t>
      </w:r>
      <w:r w:rsidR="00954596">
        <w:t>mécanismes</w:t>
      </w:r>
      <w:r w:rsidR="0081064C">
        <w:t xml:space="preserve"> internationaux et régionaux de protection des droits de l’homme</w:t>
      </w:r>
      <w:r w:rsidR="00F16D10" w:rsidRPr="00F16D10">
        <w:t>.</w:t>
      </w:r>
    </w:p>
    <w:p w14:paraId="7EA554FD" w14:textId="73E01F11" w:rsidR="00B26E71" w:rsidRPr="00590742" w:rsidRDefault="00F16D10" w:rsidP="00590742">
      <w:pPr>
        <w:pStyle w:val="H23G"/>
      </w:pPr>
      <w:r w:rsidRPr="00590742">
        <w:lastRenderedPageBreak/>
        <w:tab/>
        <w:t>2.</w:t>
      </w:r>
      <w:r w:rsidR="00590742">
        <w:tab/>
      </w:r>
      <w:r w:rsidR="00F74318" w:rsidRPr="00590742">
        <w:t>Coopération</w:t>
      </w:r>
      <w:r w:rsidRPr="00590742">
        <w:t xml:space="preserve"> avec le Haut-Commissariat aux </w:t>
      </w:r>
      <w:r w:rsidR="00FC4661">
        <w:t>d</w:t>
      </w:r>
      <w:r w:rsidRPr="00590742">
        <w:t>roits de l’</w:t>
      </w:r>
      <w:r w:rsidR="00FC4661">
        <w:t>h</w:t>
      </w:r>
      <w:r w:rsidRPr="00590742">
        <w:t>omme</w:t>
      </w:r>
    </w:p>
    <w:p w14:paraId="27BA5C82" w14:textId="272F2B0B" w:rsidR="00F16D10" w:rsidRPr="00F16D10" w:rsidRDefault="00590742" w:rsidP="00F16D10">
      <w:pPr>
        <w:pStyle w:val="SingleTxtG"/>
      </w:pPr>
      <w:r>
        <w:t>22</w:t>
      </w:r>
      <w:r w:rsidR="00F16D10">
        <w:t>.</w:t>
      </w:r>
      <w:r>
        <w:tab/>
      </w:r>
      <w:r w:rsidR="00F16D10" w:rsidRPr="00F16D10">
        <w:t xml:space="preserve">Le 28 février 2019, à la demande du </w:t>
      </w:r>
      <w:r w:rsidR="00D10380">
        <w:t>G</w:t>
      </w:r>
      <w:r w:rsidR="00F16D10" w:rsidRPr="00F16D10">
        <w:t xml:space="preserve">ouvernement, le Haut-Commissariat </w:t>
      </w:r>
      <w:r w:rsidR="0089241A">
        <w:t>aux</w:t>
      </w:r>
      <w:r w:rsidR="00F16D10" w:rsidRPr="00F16D10">
        <w:t xml:space="preserve"> </w:t>
      </w:r>
      <w:r w:rsidR="0089241A">
        <w:t>d</w:t>
      </w:r>
      <w:r w:rsidR="00F16D10" w:rsidRPr="00F16D10">
        <w:t>roits de l</w:t>
      </w:r>
      <w:r w:rsidR="00F11D0A">
        <w:t>’</w:t>
      </w:r>
      <w:r w:rsidR="0089241A">
        <w:t>h</w:t>
      </w:r>
      <w:r w:rsidR="00F16D10" w:rsidRPr="00F16D10">
        <w:t xml:space="preserve">omme a fermé son bureau au Burundi, mettant un terme à plus de </w:t>
      </w:r>
      <w:r w:rsidR="003773F4">
        <w:t>vingt-trois</w:t>
      </w:r>
      <w:r w:rsidR="00F16D10" w:rsidRPr="00F16D10">
        <w:t xml:space="preserve"> ans de soutien dans différents domaines de protection et de promotion des droits de l’homme. Le Rapporteur spécial souligne que les institutions nationales actuelles ne sont</w:t>
      </w:r>
      <w:r w:rsidR="003773F4">
        <w:t>,</w:t>
      </w:r>
      <w:r w:rsidR="00F16D10" w:rsidRPr="00F16D10">
        <w:t xml:space="preserve"> pour le moment</w:t>
      </w:r>
      <w:r w:rsidR="003773F4">
        <w:t>, pas</w:t>
      </w:r>
      <w:r w:rsidR="00F16D10" w:rsidRPr="00F16D10">
        <w:t xml:space="preserve"> suffisamment outillées pour répondre aux préoccupations en matière de protection et de promotion des droits de l’homme. </w:t>
      </w:r>
      <w:r w:rsidR="00594442">
        <w:t>À</w:t>
      </w:r>
      <w:r w:rsidR="00F16D10" w:rsidRPr="00F16D10">
        <w:t xml:space="preserve"> cet égard, </w:t>
      </w:r>
      <w:r w:rsidR="00594442">
        <w:t>il</w:t>
      </w:r>
      <w:r w:rsidR="00F16D10" w:rsidRPr="00F16D10">
        <w:t xml:space="preserve"> encourage le </w:t>
      </w:r>
      <w:r w:rsidR="00594442">
        <w:t>G</w:t>
      </w:r>
      <w:r w:rsidR="00F16D10" w:rsidRPr="00F16D10">
        <w:t>ouvernement à reconsidérer sa décision en autorisant la réouverture d</w:t>
      </w:r>
      <w:r w:rsidR="00F97E47">
        <w:t xml:space="preserve">’un </w:t>
      </w:r>
      <w:r w:rsidR="00594442">
        <w:t>b</w:t>
      </w:r>
      <w:r w:rsidR="00F74318">
        <w:t xml:space="preserve">ureau </w:t>
      </w:r>
      <w:r w:rsidR="00F74318" w:rsidRPr="00F16D10">
        <w:t>du</w:t>
      </w:r>
      <w:r w:rsidR="00F16D10" w:rsidRPr="00F16D10">
        <w:t xml:space="preserve"> Haut-Commissa</w:t>
      </w:r>
      <w:r w:rsidR="00594442">
        <w:t>riat</w:t>
      </w:r>
      <w:r w:rsidR="00F16D10" w:rsidRPr="00F16D10">
        <w:t xml:space="preserve"> au Burundi.</w:t>
      </w:r>
    </w:p>
    <w:p w14:paraId="337B9E9A" w14:textId="60576A34" w:rsidR="00B26E71" w:rsidRPr="00590742" w:rsidRDefault="00590742" w:rsidP="00590742">
      <w:pPr>
        <w:pStyle w:val="HChG"/>
      </w:pPr>
      <w:r>
        <w:tab/>
      </w:r>
      <w:r w:rsidR="00F16D10" w:rsidRPr="00590742">
        <w:t>II.</w:t>
      </w:r>
      <w:r>
        <w:tab/>
      </w:r>
      <w:r w:rsidR="00F16D10" w:rsidRPr="00590742">
        <w:t>Avancées notables</w:t>
      </w:r>
    </w:p>
    <w:p w14:paraId="28803657" w14:textId="26E0092C" w:rsidR="00F16D10" w:rsidRPr="00F16D10" w:rsidRDefault="00590742" w:rsidP="00F16D10">
      <w:pPr>
        <w:pStyle w:val="SingleTxtG"/>
      </w:pPr>
      <w:r>
        <w:t>23.</w:t>
      </w:r>
      <w:r>
        <w:tab/>
      </w:r>
      <w:r w:rsidR="00F16D10" w:rsidRPr="00F16D10">
        <w:t xml:space="preserve">Le Rapporteur spécial se félicite de la participation accrue du Burundi aux sessions des instances </w:t>
      </w:r>
      <w:r w:rsidR="00F97E47">
        <w:t xml:space="preserve">internationales, régionales et </w:t>
      </w:r>
      <w:proofErr w:type="spellStart"/>
      <w:r w:rsidR="00F16D10" w:rsidRPr="00F16D10">
        <w:t>sous</w:t>
      </w:r>
      <w:r w:rsidR="009623A8">
        <w:t>-</w:t>
      </w:r>
      <w:r w:rsidR="00F16D10" w:rsidRPr="00F16D10">
        <w:t>régionales</w:t>
      </w:r>
      <w:proofErr w:type="spellEnd"/>
      <w:r w:rsidR="00F16D10" w:rsidRPr="00F16D10">
        <w:t>, ainsi que de</w:t>
      </w:r>
      <w:r w:rsidR="0026259F">
        <w:t>s discours</w:t>
      </w:r>
      <w:r w:rsidR="00F16D10" w:rsidRPr="00F16D10">
        <w:t xml:space="preserve"> du Président de la République</w:t>
      </w:r>
      <w:r w:rsidR="009623A8">
        <w:t>,</w:t>
      </w:r>
      <w:r w:rsidR="00F16D10" w:rsidRPr="00F16D10">
        <w:t xml:space="preserve"> </w:t>
      </w:r>
      <w:r w:rsidR="000F42CF">
        <w:t>É</w:t>
      </w:r>
      <w:r w:rsidR="00F16D10" w:rsidRPr="00F16D10">
        <w:t xml:space="preserve">variste </w:t>
      </w:r>
      <w:proofErr w:type="spellStart"/>
      <w:r w:rsidR="00F16D10" w:rsidRPr="00F16D10">
        <w:t>Ndayishimiye</w:t>
      </w:r>
      <w:proofErr w:type="spellEnd"/>
      <w:r w:rsidR="000F42CF">
        <w:t>,</w:t>
      </w:r>
      <w:r w:rsidR="00F16D10" w:rsidRPr="00F16D10">
        <w:t xml:space="preserve"> </w:t>
      </w:r>
      <w:r w:rsidR="005C0AAF">
        <w:t>qui a affirmé vouloir lancer</w:t>
      </w:r>
      <w:r w:rsidR="00F16D10" w:rsidRPr="00F16D10">
        <w:t xml:space="preserve"> des réformes </w:t>
      </w:r>
      <w:r w:rsidR="0026259F">
        <w:t>du système judiciaire</w:t>
      </w:r>
      <w:r w:rsidR="005C0AAF">
        <w:t xml:space="preserve"> et</w:t>
      </w:r>
      <w:r w:rsidR="00F215D9">
        <w:t xml:space="preserve"> lutter contre la corruption. Il en est de même</w:t>
      </w:r>
      <w:r w:rsidR="00F16D10" w:rsidRPr="00F16D10">
        <w:t xml:space="preserve"> de </w:t>
      </w:r>
      <w:r w:rsidR="0026259F" w:rsidRPr="0026259F">
        <w:t xml:space="preserve">la volonté affichée </w:t>
      </w:r>
      <w:r w:rsidR="0026259F">
        <w:t xml:space="preserve">de </w:t>
      </w:r>
      <w:r w:rsidR="00F16D10" w:rsidRPr="00F16D10">
        <w:t xml:space="preserve">reprendre le dialogue avec les partenaires </w:t>
      </w:r>
      <w:r w:rsidR="007C4ACF">
        <w:t xml:space="preserve">régionaux, </w:t>
      </w:r>
      <w:proofErr w:type="spellStart"/>
      <w:r w:rsidR="007C4ACF">
        <w:t>sous</w:t>
      </w:r>
      <w:r w:rsidR="005C0AAF">
        <w:t>-</w:t>
      </w:r>
      <w:r w:rsidR="007C4ACF">
        <w:t>régionaux</w:t>
      </w:r>
      <w:proofErr w:type="spellEnd"/>
      <w:r w:rsidR="007C4ACF">
        <w:t xml:space="preserve"> </w:t>
      </w:r>
      <w:r w:rsidR="00F16D10" w:rsidRPr="00F16D10">
        <w:t>et internationaux</w:t>
      </w:r>
      <w:r w:rsidR="005C0AAF">
        <w:t>,</w:t>
      </w:r>
      <w:r w:rsidR="00F16D10" w:rsidRPr="00F16D10">
        <w:t xml:space="preserve"> ou d’améliorer les relations diplomatiques entre le Burundi, l’Union </w:t>
      </w:r>
      <w:r w:rsidR="005C0AAF">
        <w:t>e</w:t>
      </w:r>
      <w:r w:rsidR="00F16D10" w:rsidRPr="00F16D10">
        <w:t>uropéenne, le Rwanda</w:t>
      </w:r>
      <w:r w:rsidR="0000092A">
        <w:t xml:space="preserve"> ou encore</w:t>
      </w:r>
      <w:r w:rsidR="00F16D10" w:rsidRPr="00F16D10">
        <w:t xml:space="preserve"> l’O</w:t>
      </w:r>
      <w:r w:rsidR="004E5A60">
        <w:t xml:space="preserve">rganisation </w:t>
      </w:r>
      <w:r w:rsidR="0000092A">
        <w:t>i</w:t>
      </w:r>
      <w:r w:rsidR="004E5A60">
        <w:t xml:space="preserve">nternationale de la </w:t>
      </w:r>
      <w:r w:rsidR="00F16D10" w:rsidRPr="00F16D10">
        <w:t>F</w:t>
      </w:r>
      <w:r w:rsidR="004E5A60">
        <w:t>rancophonie</w:t>
      </w:r>
      <w:r w:rsidR="00F16D10">
        <w:t>.</w:t>
      </w:r>
    </w:p>
    <w:p w14:paraId="59B16A84" w14:textId="669DB711" w:rsidR="00F16D10" w:rsidRPr="00F16D10" w:rsidRDefault="00F16D10" w:rsidP="00F16D10">
      <w:pPr>
        <w:pStyle w:val="SingleTxtG"/>
      </w:pPr>
      <w:r>
        <w:t>2</w:t>
      </w:r>
      <w:r w:rsidR="00590742">
        <w:t>4</w:t>
      </w:r>
      <w:r>
        <w:t>.</w:t>
      </w:r>
      <w:r w:rsidR="00590742">
        <w:tab/>
      </w:r>
      <w:r w:rsidRPr="00F16D10">
        <w:t>Dans le domaine de la lutte contre la traite des ê</w:t>
      </w:r>
      <w:r w:rsidR="00B12F0F">
        <w:t>tres humains, le</w:t>
      </w:r>
      <w:r w:rsidRPr="00F16D10">
        <w:t xml:space="preserve"> Burundi a </w:t>
      </w:r>
      <w:r w:rsidR="00136782">
        <w:t>lancé</w:t>
      </w:r>
      <w:r w:rsidR="00F215D9">
        <w:t xml:space="preserve"> plusieurs enquêtes et d</w:t>
      </w:r>
      <w:r w:rsidRPr="00F16D10">
        <w:t xml:space="preserve">es poursuites concernant les </w:t>
      </w:r>
      <w:r w:rsidR="001E2529">
        <w:t xml:space="preserve">infractions présumées liées à </w:t>
      </w:r>
      <w:r w:rsidR="00643DCC">
        <w:t>ce fléau</w:t>
      </w:r>
      <w:r w:rsidR="00F97E47">
        <w:t>.</w:t>
      </w:r>
      <w:r w:rsidRPr="00F16D10">
        <w:t xml:space="preserve"> </w:t>
      </w:r>
      <w:r w:rsidR="00F97E47">
        <w:t>I</w:t>
      </w:r>
      <w:r w:rsidR="00F97E47" w:rsidRPr="00F16D10">
        <w:t>l</w:t>
      </w:r>
      <w:r w:rsidR="00BA6AD6">
        <w:t> </w:t>
      </w:r>
      <w:r w:rsidRPr="00F16D10">
        <w:t xml:space="preserve">a condamné des trafiquants et a orienté les victimes pour une assistance. Le pays a également institutionnalisé la formation à la lutte contre la traite pour </w:t>
      </w:r>
      <w:r w:rsidR="00BE624E">
        <w:t xml:space="preserve">les </w:t>
      </w:r>
      <w:r w:rsidR="001E2529">
        <w:t>agents d’application des lois</w:t>
      </w:r>
      <w:r w:rsidR="00BF49F5">
        <w:rPr>
          <w:rStyle w:val="FootnoteReference"/>
        </w:rPr>
        <w:footnoteReference w:id="12"/>
      </w:r>
      <w:r w:rsidRPr="00F16D10">
        <w:t xml:space="preserve">. Le </w:t>
      </w:r>
      <w:r w:rsidR="00084286">
        <w:t>G</w:t>
      </w:r>
      <w:r w:rsidRPr="00F16D10">
        <w:t>ouvernement a</w:t>
      </w:r>
      <w:r w:rsidR="00BE624E">
        <w:t xml:space="preserve"> </w:t>
      </w:r>
      <w:r w:rsidR="00084286">
        <w:t>en outre</w:t>
      </w:r>
      <w:r w:rsidR="000F6C68">
        <w:t xml:space="preserve"> </w:t>
      </w:r>
      <w:r w:rsidR="000F6C68" w:rsidRPr="00F16D10">
        <w:t>adopté</w:t>
      </w:r>
      <w:r w:rsidRPr="00F16D10">
        <w:t xml:space="preserve"> </w:t>
      </w:r>
      <w:r w:rsidR="00BF49F5">
        <w:t>la loi n</w:t>
      </w:r>
      <w:r w:rsidR="00847ED6" w:rsidRPr="00246EDD">
        <w:rPr>
          <w:vertAlign w:val="superscript"/>
          <w:lang w:val="fr-FR"/>
        </w:rPr>
        <w:t>o</w:t>
      </w:r>
      <w:r w:rsidR="00847ED6">
        <w:rPr>
          <w:lang w:val="fr-FR"/>
        </w:rPr>
        <w:t> </w:t>
      </w:r>
      <w:r w:rsidR="00BF49F5">
        <w:t xml:space="preserve">1/25 du 5 novembre 2021 portant réglementation des migrations au </w:t>
      </w:r>
      <w:r w:rsidR="001E2529">
        <w:t>Burundi.</w:t>
      </w:r>
    </w:p>
    <w:p w14:paraId="06502BAA" w14:textId="0B50F880" w:rsidR="00F16D10" w:rsidRPr="00F16D10" w:rsidRDefault="00590742" w:rsidP="00F16D10">
      <w:pPr>
        <w:pStyle w:val="SingleTxtG"/>
      </w:pPr>
      <w:r>
        <w:t>25</w:t>
      </w:r>
      <w:r w:rsidR="00F16D10">
        <w:t>.</w:t>
      </w:r>
      <w:r>
        <w:tab/>
      </w:r>
      <w:r w:rsidR="00F16D10" w:rsidRPr="00F16D10">
        <w:t>La mise en œuvre des accords tripartite</w:t>
      </w:r>
      <w:r w:rsidR="00B12F0F">
        <w:t>s</w:t>
      </w:r>
      <w:r w:rsidR="00F16D10" w:rsidRPr="00F16D10">
        <w:t xml:space="preserve"> concernant le rapatriement des réfugiés burundais </w:t>
      </w:r>
      <w:r w:rsidR="00D05083">
        <w:t xml:space="preserve">que le Burundi a </w:t>
      </w:r>
      <w:r w:rsidR="00F16D10" w:rsidRPr="00F16D10">
        <w:t xml:space="preserve">signés </w:t>
      </w:r>
      <w:r w:rsidR="00B26A3B">
        <w:t>avec</w:t>
      </w:r>
      <w:r w:rsidR="00F16D10" w:rsidRPr="00F16D10">
        <w:t xml:space="preserve"> le </w:t>
      </w:r>
      <w:r w:rsidR="00411E0C" w:rsidRPr="00F16D10">
        <w:t>H</w:t>
      </w:r>
      <w:r w:rsidR="00411E0C">
        <w:t>aut-</w:t>
      </w:r>
      <w:r w:rsidR="00411E0C" w:rsidRPr="00F16D10">
        <w:t>C</w:t>
      </w:r>
      <w:r w:rsidR="00411E0C">
        <w:t xml:space="preserve">ommissariat </w:t>
      </w:r>
      <w:r w:rsidR="00040319">
        <w:t xml:space="preserve">des Nations Unies </w:t>
      </w:r>
      <w:r w:rsidR="00411E0C">
        <w:t xml:space="preserve">pour les </w:t>
      </w:r>
      <w:r w:rsidR="00040319">
        <w:rPr>
          <w:lang w:val="fr-FR"/>
        </w:rPr>
        <w:t>r</w:t>
      </w:r>
      <w:r w:rsidR="000F738A">
        <w:rPr>
          <w:lang w:val="fr-FR"/>
        </w:rPr>
        <w:t>éfugiés</w:t>
      </w:r>
      <w:r w:rsidR="00D05083">
        <w:t xml:space="preserve"> et</w:t>
      </w:r>
      <w:r w:rsidR="00F16D10" w:rsidRPr="00F16D10">
        <w:t xml:space="preserve"> la </w:t>
      </w:r>
      <w:r w:rsidR="00C7426D">
        <w:t xml:space="preserve">République-Unie de </w:t>
      </w:r>
      <w:r w:rsidR="00F16D10" w:rsidRPr="00F16D10">
        <w:t>Tanzanie</w:t>
      </w:r>
      <w:r w:rsidR="00D05083">
        <w:t>,</w:t>
      </w:r>
      <w:r w:rsidR="004C20B4">
        <w:t xml:space="preserve"> d’une part,</w:t>
      </w:r>
      <w:r w:rsidR="00F16D10" w:rsidRPr="00F16D10">
        <w:t xml:space="preserve"> et </w:t>
      </w:r>
      <w:r w:rsidR="004C20B4">
        <w:t xml:space="preserve">avec </w:t>
      </w:r>
      <w:r w:rsidR="00D05083">
        <w:t xml:space="preserve">le Haut-Commissariat et </w:t>
      </w:r>
      <w:r w:rsidR="00F16D10" w:rsidRPr="00F16D10">
        <w:t>le Rwanda</w:t>
      </w:r>
      <w:r w:rsidR="00F072D0">
        <w:t>,</w:t>
      </w:r>
      <w:r w:rsidR="004C20B4">
        <w:t xml:space="preserve"> d’autre part,</w:t>
      </w:r>
      <w:r w:rsidR="00F16D10" w:rsidRPr="00F16D10">
        <w:t xml:space="preserve"> </w:t>
      </w:r>
      <w:r w:rsidR="009114DB">
        <w:t>entraînant</w:t>
      </w:r>
      <w:r w:rsidR="00F16D10" w:rsidRPr="00F16D10">
        <w:t xml:space="preserve"> le retour progressif de réfugiés burundais</w:t>
      </w:r>
      <w:r w:rsidR="00F072D0">
        <w:t>,</w:t>
      </w:r>
      <w:r w:rsidR="00F16D10" w:rsidRPr="00F16D10">
        <w:t xml:space="preserve"> est également à saluer</w:t>
      </w:r>
      <w:r w:rsidR="00F97E47">
        <w:t>,</w:t>
      </w:r>
      <w:r w:rsidR="00F16D10" w:rsidRPr="00F16D10">
        <w:t xml:space="preserve"> bien que des appuis plus importants so</w:t>
      </w:r>
      <w:r w:rsidR="00F072D0">
        <w:t>ie</w:t>
      </w:r>
      <w:r w:rsidR="00F16D10" w:rsidRPr="00F16D10">
        <w:t xml:space="preserve">nt nécessaires pour parvenir à une réintégration durable, tant pour les personnes </w:t>
      </w:r>
      <w:r w:rsidR="000D1753">
        <w:t>revenues au pays</w:t>
      </w:r>
      <w:r w:rsidR="00F16D10" w:rsidRPr="00F16D10">
        <w:t xml:space="preserve"> que pour les communautés d’accueil au Burundi</w:t>
      </w:r>
      <w:r w:rsidR="00F4311D">
        <w:t>,</w:t>
      </w:r>
      <w:r w:rsidR="006841F3">
        <w:t xml:space="preserve"> et que des allégations </w:t>
      </w:r>
      <w:r w:rsidR="00964A4F">
        <w:t xml:space="preserve">fassent état </w:t>
      </w:r>
      <w:r w:rsidR="006841F3">
        <w:t xml:space="preserve">de mauvais traitements </w:t>
      </w:r>
      <w:r w:rsidR="00964A4F">
        <w:t xml:space="preserve">qui </w:t>
      </w:r>
      <w:r w:rsidR="002E1F05">
        <w:t>pourraient attiser des tensions ethniques</w:t>
      </w:r>
      <w:r w:rsidR="002E1F05">
        <w:rPr>
          <w:rStyle w:val="FootnoteReference"/>
        </w:rPr>
        <w:footnoteReference w:id="13"/>
      </w:r>
      <w:r w:rsidR="00F16D10" w:rsidRPr="00F16D10">
        <w:t>.</w:t>
      </w:r>
    </w:p>
    <w:p w14:paraId="4CA7C6D7" w14:textId="650B2424" w:rsidR="00F16D10" w:rsidRPr="00F16D10" w:rsidRDefault="00590742" w:rsidP="00F16D10">
      <w:pPr>
        <w:pStyle w:val="SingleTxtG"/>
      </w:pPr>
      <w:r>
        <w:t>26</w:t>
      </w:r>
      <w:r w:rsidR="00F16D10">
        <w:t>.</w:t>
      </w:r>
      <w:r>
        <w:tab/>
      </w:r>
      <w:r w:rsidR="00F16D10" w:rsidRPr="00F16D10">
        <w:t xml:space="preserve">Le Rapporteur spécial souligne que ces avancées gagneraient à se traduire en pratique pour l’amélioration des conditions de vie des </w:t>
      </w:r>
      <w:r w:rsidR="00930310">
        <w:t>B</w:t>
      </w:r>
      <w:r w:rsidR="00F16D10" w:rsidRPr="00F16D10">
        <w:t xml:space="preserve">urundais et des </w:t>
      </w:r>
      <w:r w:rsidR="00930310">
        <w:t>B</w:t>
      </w:r>
      <w:r w:rsidR="00F16D10" w:rsidRPr="00F16D10">
        <w:t>urundaises.</w:t>
      </w:r>
    </w:p>
    <w:p w14:paraId="5B83F4C7" w14:textId="07B3F074" w:rsidR="00B26E71" w:rsidRPr="00590742" w:rsidRDefault="00F16D10" w:rsidP="00590742">
      <w:pPr>
        <w:pStyle w:val="HChG"/>
      </w:pPr>
      <w:r w:rsidRPr="00590742">
        <w:tab/>
        <w:t>III.</w:t>
      </w:r>
      <w:r w:rsidRPr="00590742">
        <w:tab/>
      </w:r>
      <w:r w:rsidR="00F511E2" w:rsidRPr="00590742">
        <w:t>Préoccupation</w:t>
      </w:r>
      <w:r w:rsidR="00215297" w:rsidRPr="00590742">
        <w:t>s</w:t>
      </w:r>
      <w:r w:rsidR="00F511E2" w:rsidRPr="00590742">
        <w:t xml:space="preserve"> en matière des</w:t>
      </w:r>
      <w:r w:rsidRPr="00590742">
        <w:t xml:space="preserve"> droits de l’homme</w:t>
      </w:r>
    </w:p>
    <w:p w14:paraId="25008A2D" w14:textId="777676BB" w:rsidR="00B26E71" w:rsidRPr="00590742" w:rsidRDefault="00F16D10" w:rsidP="00590742">
      <w:pPr>
        <w:pStyle w:val="H1G"/>
        <w:rPr>
          <w:lang w:val="fr-FR"/>
        </w:rPr>
      </w:pPr>
      <w:r w:rsidRPr="00660A1D">
        <w:rPr>
          <w:lang w:val="fr-FR"/>
        </w:rPr>
        <w:tab/>
      </w:r>
      <w:r w:rsidRPr="00590742">
        <w:rPr>
          <w:lang w:val="fr-FR"/>
        </w:rPr>
        <w:t>A.</w:t>
      </w:r>
      <w:r w:rsidR="00590742" w:rsidRPr="00590742">
        <w:rPr>
          <w:lang w:val="fr-FR"/>
        </w:rPr>
        <w:tab/>
      </w:r>
      <w:r w:rsidR="00EB3F24">
        <w:rPr>
          <w:lang w:val="fr-FR"/>
        </w:rPr>
        <w:t>D</w:t>
      </w:r>
      <w:r w:rsidR="00640B9E" w:rsidRPr="00590742">
        <w:rPr>
          <w:lang w:val="fr-FR"/>
        </w:rPr>
        <w:t>roit</w:t>
      </w:r>
      <w:r w:rsidR="00EB3F24">
        <w:rPr>
          <w:lang w:val="fr-FR"/>
        </w:rPr>
        <w:t>s</w:t>
      </w:r>
      <w:r w:rsidR="00640B9E" w:rsidRPr="00590742">
        <w:rPr>
          <w:lang w:val="fr-FR"/>
        </w:rPr>
        <w:t xml:space="preserve"> </w:t>
      </w:r>
      <w:r w:rsidR="002C09D3" w:rsidRPr="00590742">
        <w:rPr>
          <w:lang w:val="fr-FR"/>
        </w:rPr>
        <w:t>civils et politiques</w:t>
      </w:r>
    </w:p>
    <w:p w14:paraId="3EB5474A" w14:textId="748FBE1B" w:rsidR="00B26E71" w:rsidRPr="00590742" w:rsidRDefault="00F16D10" w:rsidP="00590742">
      <w:pPr>
        <w:pStyle w:val="H23G"/>
      </w:pPr>
      <w:r w:rsidRPr="00590742">
        <w:tab/>
        <w:t>1.</w:t>
      </w:r>
      <w:r w:rsidR="00590742">
        <w:tab/>
      </w:r>
      <w:r w:rsidR="00660A1D">
        <w:t>D</w:t>
      </w:r>
      <w:r w:rsidR="000F738A" w:rsidRPr="00590742">
        <w:t>roit</w:t>
      </w:r>
      <w:r w:rsidR="001A158E">
        <w:t xml:space="preserve"> à la vie</w:t>
      </w:r>
    </w:p>
    <w:p w14:paraId="7DB96AD9" w14:textId="077BA471" w:rsidR="00590742" w:rsidRDefault="008F67B8" w:rsidP="00E935AF">
      <w:pPr>
        <w:pStyle w:val="SingleTxtG"/>
      </w:pPr>
      <w:r>
        <w:t>2</w:t>
      </w:r>
      <w:r w:rsidR="00590742">
        <w:t>7</w:t>
      </w:r>
      <w:r>
        <w:t>.</w:t>
      </w:r>
      <w:r w:rsidR="00590742">
        <w:tab/>
      </w:r>
      <w:r>
        <w:t>Le droit</w:t>
      </w:r>
      <w:r w:rsidRPr="00C36219">
        <w:t xml:space="preserve"> à la vie est consacr</w:t>
      </w:r>
      <w:r>
        <w:t xml:space="preserve">é </w:t>
      </w:r>
      <w:r w:rsidR="002E60E7">
        <w:t>à l’article 24 de</w:t>
      </w:r>
      <w:r>
        <w:t xml:space="preserve"> la Constitution</w:t>
      </w:r>
      <w:r w:rsidR="00F215D9">
        <w:t xml:space="preserve"> du Burundi</w:t>
      </w:r>
      <w:r w:rsidRPr="00882BDE">
        <w:t>.</w:t>
      </w:r>
      <w:r w:rsidRPr="00C36219">
        <w:t xml:space="preserve"> </w:t>
      </w:r>
      <w:r>
        <w:t>Le R</w:t>
      </w:r>
      <w:r w:rsidRPr="00C36219">
        <w:t xml:space="preserve">apporteur </w:t>
      </w:r>
      <w:r>
        <w:t xml:space="preserve">spécial </w:t>
      </w:r>
      <w:r w:rsidRPr="00C36219">
        <w:t>constate à l’analyse de</w:t>
      </w:r>
      <w:r w:rsidR="00304688">
        <w:t>s rapports</w:t>
      </w:r>
      <w:r w:rsidRPr="00C36219">
        <w:t xml:space="preserve"> de la </w:t>
      </w:r>
      <w:r w:rsidR="00792831">
        <w:t>Commission d’enquête sur le Burundi</w:t>
      </w:r>
      <w:r>
        <w:t xml:space="preserve"> et </w:t>
      </w:r>
      <w:r w:rsidR="002C3A8D">
        <w:t xml:space="preserve">de </w:t>
      </w:r>
      <w:r>
        <w:t>bien d’autres sources</w:t>
      </w:r>
      <w:r w:rsidRPr="00C36219">
        <w:t xml:space="preserve"> </w:t>
      </w:r>
      <w:r>
        <w:t>que de nombreuses violation</w:t>
      </w:r>
      <w:r w:rsidR="00F97E47">
        <w:t>s</w:t>
      </w:r>
      <w:r>
        <w:t xml:space="preserve"> du</w:t>
      </w:r>
      <w:r w:rsidRPr="00C36219">
        <w:t xml:space="preserve"> droit à </w:t>
      </w:r>
      <w:r w:rsidR="00411E0C">
        <w:t xml:space="preserve">la </w:t>
      </w:r>
      <w:r w:rsidRPr="00C36219">
        <w:t>vie</w:t>
      </w:r>
      <w:r w:rsidR="002C3A8D">
        <w:t xml:space="preserve"> et atteintes à celui-ci</w:t>
      </w:r>
      <w:r w:rsidRPr="00C36219">
        <w:t xml:space="preserve"> </w:t>
      </w:r>
      <w:r>
        <w:t>ont été commis</w:t>
      </w:r>
      <w:r w:rsidR="003C3BC5">
        <w:t>es depuis 2015</w:t>
      </w:r>
      <w:r w:rsidR="00304688">
        <w:t xml:space="preserve">. </w:t>
      </w:r>
      <w:r w:rsidR="000F07FF">
        <w:t>À</w:t>
      </w:r>
      <w:r w:rsidR="00304688" w:rsidRPr="00304688">
        <w:t xml:space="preserve"> titre d’illustration, </w:t>
      </w:r>
      <w:r w:rsidR="0076635A">
        <w:t>la Commission</w:t>
      </w:r>
      <w:r w:rsidR="00EE49EA">
        <w:t xml:space="preserve"> d’enquête cite dans son</w:t>
      </w:r>
      <w:r w:rsidR="00304688" w:rsidRPr="00304688">
        <w:t xml:space="preserve"> rapport </w:t>
      </w:r>
      <w:r w:rsidR="00EE49EA">
        <w:t xml:space="preserve">de </w:t>
      </w:r>
      <w:r w:rsidR="00304688" w:rsidRPr="00304688">
        <w:t xml:space="preserve">2021 la Ligue </w:t>
      </w:r>
      <w:proofErr w:type="spellStart"/>
      <w:r w:rsidR="00304688" w:rsidRPr="00304688">
        <w:t>Iteka</w:t>
      </w:r>
      <w:proofErr w:type="spellEnd"/>
      <w:r w:rsidR="00304688" w:rsidRPr="00304688">
        <w:t xml:space="preserve"> et souligne que </w:t>
      </w:r>
      <w:r w:rsidR="00140AE4">
        <w:t>d</w:t>
      </w:r>
      <w:r w:rsidR="00304688" w:rsidRPr="00590742">
        <w:t xml:space="preserve">e nombreux cadavres ont été régulièrement retrouvés dans l’espace public, notamment près d’axes routiers ou de cours d’eau. </w:t>
      </w:r>
      <w:r w:rsidR="00DA39E2">
        <w:t>Elle précise que l</w:t>
      </w:r>
      <w:r w:rsidR="00304688" w:rsidRPr="00590742">
        <w:t xml:space="preserve">es autorités locales ont continué à les inhumer immédiatement sans chercher à identifier les personnes décédées ni enquêter sur les causes des décès et les </w:t>
      </w:r>
      <w:r w:rsidR="00304688" w:rsidRPr="00590742">
        <w:lastRenderedPageBreak/>
        <w:t>éventuels responsables, alors que la plupart des dépouilles présentaient des signes de mort violente</w:t>
      </w:r>
      <w:r w:rsidR="004B4B06" w:rsidRPr="00590742">
        <w:rPr>
          <w:rStyle w:val="EndnoteReference"/>
        </w:rPr>
        <w:footnoteReference w:id="14"/>
      </w:r>
      <w:r w:rsidR="004B4B06">
        <w:t>.</w:t>
      </w:r>
    </w:p>
    <w:p w14:paraId="3581FB01" w14:textId="02317FAD" w:rsidR="00B26E71" w:rsidRDefault="008F67B8" w:rsidP="00E935AF">
      <w:pPr>
        <w:pStyle w:val="SingleTxtG"/>
      </w:pPr>
      <w:r>
        <w:t>2</w:t>
      </w:r>
      <w:r w:rsidR="00590742">
        <w:t>8</w:t>
      </w:r>
      <w:r>
        <w:t>.</w:t>
      </w:r>
      <w:r w:rsidR="00590742">
        <w:tab/>
      </w:r>
      <w:r w:rsidRPr="00D247A2">
        <w:t>L’</w:t>
      </w:r>
      <w:r w:rsidR="002D668F">
        <w:t>É</w:t>
      </w:r>
      <w:r w:rsidRPr="00D247A2">
        <w:t>tat burundais a l</w:t>
      </w:r>
      <w:r w:rsidR="00042263">
        <w:t>a responsabilité</w:t>
      </w:r>
      <w:r w:rsidRPr="00D247A2">
        <w:t xml:space="preserve"> de protéger l’ensemble des personnes se trouvant sur son territoire. </w:t>
      </w:r>
      <w:r w:rsidR="00FF798B">
        <w:t xml:space="preserve">La </w:t>
      </w:r>
      <w:r w:rsidR="002D668F">
        <w:t>Commission d’enquête sur le Burundi</w:t>
      </w:r>
      <w:r w:rsidR="00FF798B">
        <w:t xml:space="preserve"> a souligné que les exécutions arbitraires liées à la crise politique avai</w:t>
      </w:r>
      <w:r w:rsidR="00762C70">
        <w:t>en</w:t>
      </w:r>
      <w:r w:rsidR="00FF798B">
        <w:t>t été commis</w:t>
      </w:r>
      <w:r w:rsidR="00762C70">
        <w:t>es</w:t>
      </w:r>
      <w:r w:rsidR="00FF798B">
        <w:t xml:space="preserve"> par d</w:t>
      </w:r>
      <w:r w:rsidR="00F215D9">
        <w:t>ifférentes composantes des forces</w:t>
      </w:r>
      <w:r w:rsidR="00FF798B">
        <w:t xml:space="preserve"> de défense et de sécurité</w:t>
      </w:r>
      <w:r w:rsidR="002D668F">
        <w:t>,</w:t>
      </w:r>
      <w:r w:rsidR="00FF798B">
        <w:t xml:space="preserve"> notamment des agents du S</w:t>
      </w:r>
      <w:r w:rsidR="003C3BC5">
        <w:t xml:space="preserve">ervice </w:t>
      </w:r>
      <w:r w:rsidR="00274C27">
        <w:t>n</w:t>
      </w:r>
      <w:r w:rsidR="003C3BC5">
        <w:t xml:space="preserve">ational de </w:t>
      </w:r>
      <w:r w:rsidR="00AE1101">
        <w:t>r</w:t>
      </w:r>
      <w:r w:rsidR="003C3BC5">
        <w:t>enseignement</w:t>
      </w:r>
      <w:r w:rsidR="00762C70">
        <w:t xml:space="preserve"> et de la police, plus particulièrement des unités spécialisées comme </w:t>
      </w:r>
      <w:r w:rsidR="00AE1101">
        <w:t xml:space="preserve">celle de </w:t>
      </w:r>
      <w:r w:rsidR="00762C70">
        <w:t>l’</w:t>
      </w:r>
      <w:r w:rsidR="00AE1101">
        <w:t>a</w:t>
      </w:r>
      <w:r w:rsidR="00762C70">
        <w:t xml:space="preserve">ppui aux institutions et la Brigade </w:t>
      </w:r>
      <w:r w:rsidR="000C5C74">
        <w:t>anti-émeute</w:t>
      </w:r>
      <w:r w:rsidR="00582C1C">
        <w:t>,</w:t>
      </w:r>
      <w:r w:rsidR="00762C70">
        <w:t xml:space="preserve"> </w:t>
      </w:r>
      <w:r w:rsidR="007E24B5">
        <w:t xml:space="preserve">et </w:t>
      </w:r>
      <w:r w:rsidR="00582C1C">
        <w:t>d</w:t>
      </w:r>
      <w:r w:rsidR="00762C70">
        <w:t>es éléments de l’armée</w:t>
      </w:r>
      <w:r w:rsidR="00582C1C">
        <w:t>,</w:t>
      </w:r>
      <w:r w:rsidR="00762C70">
        <w:t xml:space="preserve"> issus notamment du </w:t>
      </w:r>
      <w:r w:rsidR="000A5356">
        <w:t>b</w:t>
      </w:r>
      <w:r w:rsidR="00762C70">
        <w:t xml:space="preserve">ataillon </w:t>
      </w:r>
      <w:r w:rsidR="000A5356">
        <w:t xml:space="preserve">de </w:t>
      </w:r>
      <w:r w:rsidR="00762C70">
        <w:t xml:space="preserve">génie de combat (camp </w:t>
      </w:r>
      <w:proofErr w:type="spellStart"/>
      <w:r w:rsidR="00762C70">
        <w:t>Muzinda</w:t>
      </w:r>
      <w:proofErr w:type="spellEnd"/>
      <w:r w:rsidR="00762C70">
        <w:t>)</w:t>
      </w:r>
      <w:r w:rsidR="007E24B5">
        <w:t>, qui,</w:t>
      </w:r>
      <w:r w:rsidR="00660A1D">
        <w:t xml:space="preserve"> </w:t>
      </w:r>
      <w:r w:rsidR="00762C70">
        <w:t xml:space="preserve">dans plusieurs cas, avaient agi conjointement avec les </w:t>
      </w:r>
      <w:proofErr w:type="spellStart"/>
      <w:r w:rsidR="00762C70">
        <w:t>Imbonerakure</w:t>
      </w:r>
      <w:proofErr w:type="spellEnd"/>
      <w:r w:rsidR="00762C70">
        <w:rPr>
          <w:rStyle w:val="FootnoteReference"/>
        </w:rPr>
        <w:footnoteReference w:id="15"/>
      </w:r>
      <w:r w:rsidR="00D77D2C">
        <w:t>,</w:t>
      </w:r>
      <w:r w:rsidR="00D77D2C" w:rsidRPr="00D77D2C">
        <w:t xml:space="preserve"> </w:t>
      </w:r>
      <w:r w:rsidR="00D77D2C">
        <w:t>m</w:t>
      </w:r>
      <w:r w:rsidR="00D77D2C" w:rsidRPr="00D77D2C">
        <w:t>ouvement politique de la jeunesse burundais</w:t>
      </w:r>
      <w:r w:rsidR="003C3BC5">
        <w:t>e</w:t>
      </w:r>
      <w:r w:rsidR="00D77D2C" w:rsidRPr="00D77D2C">
        <w:t xml:space="preserve"> affilié au Conseil national pour la défense de la démocratie-Forces </w:t>
      </w:r>
      <w:r w:rsidR="006C4127">
        <w:t>pour la</w:t>
      </w:r>
      <w:r w:rsidR="00D77D2C" w:rsidRPr="00D77D2C">
        <w:t xml:space="preserve"> défense de la démocratie (CNDD-FDD), parti au pouvoir</w:t>
      </w:r>
      <w:r w:rsidR="00762C70">
        <w:t>.</w:t>
      </w:r>
      <w:r w:rsidR="00FF798B">
        <w:t xml:space="preserve"> </w:t>
      </w:r>
      <w:r w:rsidR="000437AD">
        <w:t xml:space="preserve">La </w:t>
      </w:r>
      <w:r w:rsidR="006D5D5A">
        <w:t>Commission d’enquête</w:t>
      </w:r>
      <w:r w:rsidR="000437AD">
        <w:t xml:space="preserve"> a </w:t>
      </w:r>
      <w:r w:rsidR="006D5D5A">
        <w:t xml:space="preserve">de plus </w:t>
      </w:r>
      <w:r w:rsidR="000437AD">
        <w:t xml:space="preserve">qualifié d’atteintes aux droits de l’homme les exécutions commises par les </w:t>
      </w:r>
      <w:proofErr w:type="spellStart"/>
      <w:r w:rsidR="000437AD">
        <w:t>Imbonerakure</w:t>
      </w:r>
      <w:proofErr w:type="spellEnd"/>
      <w:r w:rsidR="000437AD">
        <w:t xml:space="preserve"> agissant de leur propre chef</w:t>
      </w:r>
      <w:r w:rsidR="00AE2304">
        <w:rPr>
          <w:rStyle w:val="FootnoteReference"/>
        </w:rPr>
        <w:footnoteReference w:id="16"/>
      </w:r>
      <w:r w:rsidR="000437AD">
        <w:t xml:space="preserve">. </w:t>
      </w:r>
      <w:r w:rsidRPr="00D247A2">
        <w:t>Le Rapporteur spécial recommande d’engager la responsabilité pénale de</w:t>
      </w:r>
      <w:r w:rsidR="000C5C74">
        <w:t>s a</w:t>
      </w:r>
      <w:r w:rsidRPr="00D247A2">
        <w:t>gents en cause et d’adopter des mesures de réparation.</w:t>
      </w:r>
    </w:p>
    <w:p w14:paraId="56872D41" w14:textId="38F4D50A" w:rsidR="00B26E71" w:rsidRPr="000E1879" w:rsidRDefault="00590742" w:rsidP="00590742">
      <w:pPr>
        <w:pStyle w:val="H23G"/>
        <w:rPr>
          <w:i/>
        </w:rPr>
      </w:pPr>
      <w:r>
        <w:tab/>
      </w:r>
      <w:r w:rsidR="000474E5" w:rsidRPr="00F62CC8">
        <w:rPr>
          <w:bCs/>
        </w:rPr>
        <w:t>2</w:t>
      </w:r>
      <w:r w:rsidR="000E1879" w:rsidRPr="00F62CC8">
        <w:rPr>
          <w:bCs/>
        </w:rPr>
        <w:t>.</w:t>
      </w:r>
      <w:r>
        <w:rPr>
          <w:bCs/>
        </w:rPr>
        <w:tab/>
      </w:r>
      <w:r w:rsidR="003C3BC5">
        <w:t>T</w:t>
      </w:r>
      <w:r w:rsidR="000437AD" w:rsidRPr="00030036">
        <w:t>orture et autres peines ou traitements cruels, inhumains ou dégradants</w:t>
      </w:r>
    </w:p>
    <w:p w14:paraId="59D98DB0" w14:textId="43E799AF" w:rsidR="00456882" w:rsidRDefault="00590742" w:rsidP="00522571">
      <w:pPr>
        <w:pStyle w:val="SingleTxtG"/>
      </w:pPr>
      <w:r>
        <w:t>29</w:t>
      </w:r>
      <w:r w:rsidR="00522571">
        <w:t>.</w:t>
      </w:r>
      <w:r>
        <w:tab/>
      </w:r>
      <w:r w:rsidR="00522571">
        <w:t>Le R</w:t>
      </w:r>
      <w:r w:rsidR="00522571" w:rsidRPr="00C36219">
        <w:t xml:space="preserve">apporteur </w:t>
      </w:r>
      <w:r w:rsidR="00522571">
        <w:t xml:space="preserve">spécial </w:t>
      </w:r>
      <w:r w:rsidR="00522571" w:rsidRPr="00C36219">
        <w:t>note que la tortur</w:t>
      </w:r>
      <w:r w:rsidR="00522571">
        <w:t>e est réprimé</w:t>
      </w:r>
      <w:r w:rsidR="004B00F8">
        <w:t>e</w:t>
      </w:r>
      <w:r w:rsidR="00522571">
        <w:t xml:space="preserve"> par le C</w:t>
      </w:r>
      <w:r w:rsidR="00522571" w:rsidRPr="00C36219">
        <w:t>ode pénal</w:t>
      </w:r>
      <w:r w:rsidR="003D0A78">
        <w:t>,</w:t>
      </w:r>
      <w:r w:rsidR="00522571" w:rsidRPr="00C36219">
        <w:t xml:space="preserve"> qui dispose </w:t>
      </w:r>
      <w:r w:rsidR="003D0A78">
        <w:t>ce qui suit</w:t>
      </w:r>
      <w:r w:rsidR="004B00F8">
        <w:t> :</w:t>
      </w:r>
      <w:r w:rsidR="00522571" w:rsidRPr="00C36219">
        <w:t xml:space="preserve"> </w:t>
      </w:r>
    </w:p>
    <w:p w14:paraId="1ADFF2ED" w14:textId="6829AFA4" w:rsidR="00522571" w:rsidRPr="00522571" w:rsidRDefault="00522571" w:rsidP="00592838">
      <w:pPr>
        <w:pStyle w:val="SingleTxtG"/>
        <w:ind w:left="1701"/>
        <w:rPr>
          <w:i/>
          <w:iCs/>
          <w:szCs w:val="18"/>
        </w:rPr>
      </w:pPr>
      <w:r w:rsidRPr="00590742">
        <w:rPr>
          <w:iCs/>
          <w:szCs w:val="18"/>
        </w:rPr>
        <w:t>Est considéré comme torture tout acte par lequel une douleur ou des souffrances aigu</w:t>
      </w:r>
      <w:r w:rsidR="00AD4952">
        <w:rPr>
          <w:iCs/>
          <w:szCs w:val="18"/>
        </w:rPr>
        <w:t>ë</w:t>
      </w:r>
      <w:r w:rsidRPr="00590742">
        <w:rPr>
          <w:iCs/>
          <w:szCs w:val="18"/>
        </w:rPr>
        <w:t>s, physiques ou mentales sont intentionnellement infligées à une personne aux fins notamment d’obtenir d’elle ou d’une tierce personne des renseignements ou des aveux, de la punir d’un acte qu’elle ou une tierce personne a commis ou est soupçonnée d’avoir commis, de l’intimider ou de faire pression sur elle ou d’intimider ou de faire pression sur une tierce personne ou pour tout autre motif fondé sur une forme de discrimination quelle qu’elle soit,</w:t>
      </w:r>
      <w:r w:rsidR="003E498D" w:rsidRPr="00590742">
        <w:rPr>
          <w:iCs/>
          <w:szCs w:val="18"/>
        </w:rPr>
        <w:t xml:space="preserve"> </w:t>
      </w:r>
      <w:r w:rsidRPr="00590742">
        <w:rPr>
          <w:iCs/>
          <w:szCs w:val="18"/>
        </w:rPr>
        <w:t>lorsqu’une telle douleur ou de telles souffrances sont infligées par un agent public ou tout</w:t>
      </w:r>
      <w:r w:rsidR="00622B21">
        <w:rPr>
          <w:iCs/>
          <w:szCs w:val="18"/>
        </w:rPr>
        <w:t>e</w:t>
      </w:r>
      <w:r w:rsidRPr="00590742">
        <w:rPr>
          <w:iCs/>
          <w:szCs w:val="18"/>
        </w:rPr>
        <w:t xml:space="preserve"> autre personne agissant à titre officiel ou à son instigation ou avec son consentement exprès ou tacite.</w:t>
      </w:r>
      <w:r w:rsidR="003E498D" w:rsidRPr="00590742">
        <w:rPr>
          <w:iCs/>
          <w:szCs w:val="18"/>
        </w:rPr>
        <w:t xml:space="preserve"> </w:t>
      </w:r>
      <w:r w:rsidR="008E379D">
        <w:rPr>
          <w:iCs/>
          <w:szCs w:val="18"/>
        </w:rPr>
        <w:t xml:space="preserve">[…] </w:t>
      </w:r>
      <w:r w:rsidRPr="00590742">
        <w:rPr>
          <w:iCs/>
          <w:szCs w:val="18"/>
        </w:rPr>
        <w:t>Aucune circonstance exceptionnelle, quelle qu’elle soit, qu’il s’agisse de l’état de guerre ou de menace de guerre, d’instabilité politique intérieure ou de tout autre état d’exception, ne peut être invoquée pour justifier la torture</w:t>
      </w:r>
      <w:r w:rsidR="00F1420B">
        <w:rPr>
          <w:iCs/>
          <w:szCs w:val="18"/>
        </w:rPr>
        <w:t xml:space="preserve"> </w:t>
      </w:r>
      <w:r w:rsidR="0063008E">
        <w:rPr>
          <w:iCs/>
          <w:szCs w:val="18"/>
        </w:rPr>
        <w:t>[…]</w:t>
      </w:r>
      <w:r w:rsidR="0063008E">
        <w:rPr>
          <w:rStyle w:val="FootnoteReference"/>
          <w:szCs w:val="18"/>
        </w:rPr>
        <w:footnoteReference w:id="17"/>
      </w:r>
      <w:r>
        <w:rPr>
          <w:szCs w:val="18"/>
        </w:rPr>
        <w:t>.</w:t>
      </w:r>
    </w:p>
    <w:p w14:paraId="1C773F8C" w14:textId="4C952AC0" w:rsidR="00522571" w:rsidRDefault="00590742" w:rsidP="00522571">
      <w:pPr>
        <w:pStyle w:val="SingleTxtG"/>
      </w:pPr>
      <w:r>
        <w:t>30.</w:t>
      </w:r>
      <w:r>
        <w:tab/>
      </w:r>
      <w:r w:rsidR="00522571" w:rsidRPr="00C36219">
        <w:t xml:space="preserve">Le </w:t>
      </w:r>
      <w:r w:rsidR="00876AD7">
        <w:t>R</w:t>
      </w:r>
      <w:r w:rsidR="00522571" w:rsidRPr="00C36219">
        <w:t>apporteur spécial note également l</w:t>
      </w:r>
      <w:r w:rsidR="00F215D9">
        <w:t>’institutionnalisation</w:t>
      </w:r>
      <w:r w:rsidR="00522571" w:rsidRPr="00C36219">
        <w:t xml:space="preserve"> à travers </w:t>
      </w:r>
      <w:r w:rsidR="00876AD7">
        <w:t xml:space="preserve">les </w:t>
      </w:r>
      <w:r w:rsidR="00522571" w:rsidRPr="00C36219">
        <w:rPr>
          <w:szCs w:val="18"/>
        </w:rPr>
        <w:t>articles 289 et 290 du Code de procédure pénale</w:t>
      </w:r>
      <w:r w:rsidR="00BE6020">
        <w:rPr>
          <w:szCs w:val="18"/>
        </w:rPr>
        <w:t xml:space="preserve"> </w:t>
      </w:r>
      <w:r w:rsidR="00522571" w:rsidRPr="00C36219">
        <w:rPr>
          <w:szCs w:val="18"/>
        </w:rPr>
        <w:t xml:space="preserve">d’un fonds d’indemnisation des victimes de la torture. </w:t>
      </w:r>
      <w:r w:rsidR="007528B4">
        <w:rPr>
          <w:szCs w:val="18"/>
        </w:rPr>
        <w:t>La</w:t>
      </w:r>
      <w:r w:rsidR="00522571" w:rsidRPr="00C36219">
        <w:rPr>
          <w:szCs w:val="18"/>
        </w:rPr>
        <w:t xml:space="preserve"> littérature </w:t>
      </w:r>
      <w:r w:rsidR="00187316">
        <w:rPr>
          <w:szCs w:val="18"/>
        </w:rPr>
        <w:t xml:space="preserve">sur le sujet </w:t>
      </w:r>
      <w:r w:rsidR="00522571" w:rsidRPr="00C36219">
        <w:rPr>
          <w:szCs w:val="18"/>
        </w:rPr>
        <w:t xml:space="preserve">fait régulièrement mention </w:t>
      </w:r>
      <w:r w:rsidR="00187316">
        <w:rPr>
          <w:szCs w:val="18"/>
        </w:rPr>
        <w:t>d’</w:t>
      </w:r>
      <w:r w:rsidR="00522571" w:rsidRPr="00C36219">
        <w:rPr>
          <w:szCs w:val="18"/>
        </w:rPr>
        <w:t xml:space="preserve">atteintes à l’intégrité physique par les agents </w:t>
      </w:r>
      <w:r w:rsidR="00187316">
        <w:rPr>
          <w:szCs w:val="18"/>
        </w:rPr>
        <w:t>chargés</w:t>
      </w:r>
      <w:r w:rsidR="00522571" w:rsidRPr="00C36219">
        <w:rPr>
          <w:szCs w:val="18"/>
        </w:rPr>
        <w:t xml:space="preserve"> de l’application de la loi ou de </w:t>
      </w:r>
      <w:r w:rsidR="003A59C9">
        <w:rPr>
          <w:szCs w:val="18"/>
        </w:rPr>
        <w:t xml:space="preserve">la </w:t>
      </w:r>
      <w:r w:rsidR="00522571" w:rsidRPr="00C36219">
        <w:rPr>
          <w:szCs w:val="18"/>
        </w:rPr>
        <w:t xml:space="preserve">défense du territoire. Le </w:t>
      </w:r>
      <w:r w:rsidR="00876AD7">
        <w:rPr>
          <w:szCs w:val="18"/>
        </w:rPr>
        <w:t>R</w:t>
      </w:r>
      <w:r w:rsidR="00522571" w:rsidRPr="00C36219">
        <w:rPr>
          <w:szCs w:val="18"/>
        </w:rPr>
        <w:t xml:space="preserve">apporteur spécial note avec satisfaction que le cadre juridique institué notamment </w:t>
      </w:r>
      <w:r w:rsidR="003A59C9">
        <w:rPr>
          <w:szCs w:val="18"/>
        </w:rPr>
        <w:t>par</w:t>
      </w:r>
      <w:r w:rsidR="00522571" w:rsidRPr="00C36219">
        <w:rPr>
          <w:szCs w:val="18"/>
        </w:rPr>
        <w:t xml:space="preserve"> la loi n</w:t>
      </w:r>
      <w:r w:rsidR="00847ED6" w:rsidRPr="00246EDD">
        <w:rPr>
          <w:vertAlign w:val="superscript"/>
          <w:lang w:val="fr-FR"/>
        </w:rPr>
        <w:t>o</w:t>
      </w:r>
      <w:r w:rsidR="00847ED6">
        <w:rPr>
          <w:lang w:val="fr-FR"/>
        </w:rPr>
        <w:t> </w:t>
      </w:r>
      <w:r w:rsidR="00522571" w:rsidRPr="00C36219">
        <w:rPr>
          <w:szCs w:val="18"/>
        </w:rPr>
        <w:t>1/27 du 29</w:t>
      </w:r>
      <w:r w:rsidR="00847ED6">
        <w:rPr>
          <w:szCs w:val="18"/>
        </w:rPr>
        <w:t> </w:t>
      </w:r>
      <w:r w:rsidR="00522571" w:rsidRPr="00C36219">
        <w:rPr>
          <w:szCs w:val="18"/>
        </w:rPr>
        <w:t>décembre 2017 portant révision du Code pénal et la loi n</w:t>
      </w:r>
      <w:r w:rsidR="00847ED6" w:rsidRPr="00246EDD">
        <w:rPr>
          <w:vertAlign w:val="superscript"/>
          <w:lang w:val="fr-FR"/>
        </w:rPr>
        <w:t>o</w:t>
      </w:r>
      <w:r w:rsidR="00847ED6">
        <w:rPr>
          <w:lang w:val="fr-FR"/>
        </w:rPr>
        <w:t> </w:t>
      </w:r>
      <w:r w:rsidR="00522571" w:rsidRPr="00C36219">
        <w:rPr>
          <w:szCs w:val="18"/>
        </w:rPr>
        <w:t>1/09 du 11 mai 2018 portant modification du Code de procédure pénale réprime c</w:t>
      </w:r>
      <w:r w:rsidR="00522571">
        <w:rPr>
          <w:szCs w:val="18"/>
        </w:rPr>
        <w:t>es atteintes.</w:t>
      </w:r>
      <w:r w:rsidR="00522571" w:rsidRPr="00C36219">
        <w:t xml:space="preserve"> Si le </w:t>
      </w:r>
      <w:r w:rsidR="00522571">
        <w:t>cadre juridique garanti</w:t>
      </w:r>
      <w:r w:rsidR="004D322A">
        <w:t>t</w:t>
      </w:r>
      <w:r w:rsidR="00522571" w:rsidRPr="00C36219">
        <w:t xml:space="preserve"> la mise en œuvre des obligations de l’</w:t>
      </w:r>
      <w:r w:rsidR="00B91738">
        <w:t>État</w:t>
      </w:r>
      <w:r w:rsidR="00522571" w:rsidRPr="00C36219">
        <w:t xml:space="preserve"> en matière de </w:t>
      </w:r>
      <w:r w:rsidR="000437AD" w:rsidRPr="00C36219">
        <w:t>protection,</w:t>
      </w:r>
      <w:r w:rsidR="000437AD">
        <w:t xml:space="preserve"> </w:t>
      </w:r>
      <w:r w:rsidR="00B91738">
        <w:t>l’</w:t>
      </w:r>
      <w:r w:rsidR="003A59C9">
        <w:t xml:space="preserve">accent doit être mis sur </w:t>
      </w:r>
      <w:r w:rsidR="000474E5">
        <w:t xml:space="preserve">leur application </w:t>
      </w:r>
      <w:r w:rsidR="006376E8">
        <w:t>rigoureuse</w:t>
      </w:r>
      <w:r w:rsidR="000474E5">
        <w:t xml:space="preserve"> et </w:t>
      </w:r>
      <w:r w:rsidR="00F215D9">
        <w:t>d</w:t>
      </w:r>
      <w:r w:rsidR="003A59C9">
        <w:t>es mesures</w:t>
      </w:r>
      <w:r w:rsidR="00522571" w:rsidRPr="00C36219">
        <w:t xml:space="preserve"> de </w:t>
      </w:r>
      <w:r w:rsidR="00DB5150" w:rsidRPr="00C36219">
        <w:t>prévention.</w:t>
      </w:r>
      <w:r w:rsidR="00501D01">
        <w:t xml:space="preserve"> </w:t>
      </w:r>
      <w:r w:rsidR="00501D01" w:rsidRPr="00501D01">
        <w:t xml:space="preserve">Par ailleurs, le Burundi a </w:t>
      </w:r>
      <w:r w:rsidR="00447003">
        <w:t>adhéré au</w:t>
      </w:r>
      <w:r w:rsidR="00DB5150">
        <w:t xml:space="preserve"> Protocole </w:t>
      </w:r>
      <w:r w:rsidR="00447003">
        <w:t xml:space="preserve">facultatif se rapportant </w:t>
      </w:r>
      <w:r w:rsidR="00DB5150">
        <w:t>à l</w:t>
      </w:r>
      <w:r w:rsidR="00501D01" w:rsidRPr="00501D01">
        <w:t>a Convention contre la torture</w:t>
      </w:r>
      <w:r w:rsidR="00447003">
        <w:t xml:space="preserve"> et autres peines ou traitements cruels, inhumains ou dégradants</w:t>
      </w:r>
      <w:r w:rsidR="00501D01" w:rsidRPr="00501D01">
        <w:t xml:space="preserve"> et</w:t>
      </w:r>
      <w:r w:rsidR="003B7FD0">
        <w:t>,</w:t>
      </w:r>
      <w:r w:rsidR="00501D01" w:rsidRPr="00501D01">
        <w:t xml:space="preserve"> par conséquent</w:t>
      </w:r>
      <w:r w:rsidR="003B7FD0">
        <w:t>,</w:t>
      </w:r>
      <w:r w:rsidR="00501D01" w:rsidRPr="00501D01">
        <w:t xml:space="preserve"> accepté que le </w:t>
      </w:r>
      <w:r w:rsidR="00F224BB">
        <w:t>S</w:t>
      </w:r>
      <w:r w:rsidR="00501D01" w:rsidRPr="00501D01">
        <w:t>ous-</w:t>
      </w:r>
      <w:r w:rsidR="00F224BB">
        <w:t>C</w:t>
      </w:r>
      <w:r w:rsidR="00501D01" w:rsidRPr="00501D01">
        <w:t xml:space="preserve">omité pour </w:t>
      </w:r>
      <w:r w:rsidR="00F224BB">
        <w:t xml:space="preserve">la </w:t>
      </w:r>
      <w:r w:rsidR="00501D01" w:rsidRPr="00501D01">
        <w:t xml:space="preserve">prévention de la torture </w:t>
      </w:r>
      <w:r w:rsidR="00DC430A">
        <w:t>et autres peines ou traitements cruels, inhumains ou dégradants</w:t>
      </w:r>
      <w:r w:rsidR="00DC430A" w:rsidRPr="00501D01">
        <w:t xml:space="preserve"> </w:t>
      </w:r>
      <w:r w:rsidR="00501D01" w:rsidRPr="00501D01">
        <w:t xml:space="preserve">visite le pays. En </w:t>
      </w:r>
      <w:r w:rsidR="00EB03CD">
        <w:t>dépit</w:t>
      </w:r>
      <w:r w:rsidR="00501D01" w:rsidRPr="00501D01">
        <w:t xml:space="preserve"> de cette obligation, le </w:t>
      </w:r>
      <w:r w:rsidR="00DC430A">
        <w:t>Sous-Comité</w:t>
      </w:r>
      <w:r w:rsidR="00501D01" w:rsidRPr="00501D01">
        <w:t xml:space="preserve"> n’a toujours pas effectué </w:t>
      </w:r>
      <w:r w:rsidR="00EB03CD">
        <w:t>de</w:t>
      </w:r>
      <w:r w:rsidR="00501D01" w:rsidRPr="00501D01">
        <w:t xml:space="preserve"> visite </w:t>
      </w:r>
      <w:r w:rsidR="00EB03CD">
        <w:t>au Burundi</w:t>
      </w:r>
      <w:r w:rsidR="00501D01" w:rsidRPr="00501D01">
        <w:t>.</w:t>
      </w:r>
    </w:p>
    <w:p w14:paraId="25CDA259" w14:textId="0F889C17" w:rsidR="00522571" w:rsidRPr="00C36219" w:rsidRDefault="00522571" w:rsidP="00522571">
      <w:pPr>
        <w:pStyle w:val="SingleTxtG"/>
      </w:pPr>
      <w:r>
        <w:t>3</w:t>
      </w:r>
      <w:r w:rsidR="00590742">
        <w:t>1</w:t>
      </w:r>
      <w:r>
        <w:t>.</w:t>
      </w:r>
      <w:r w:rsidR="00590742">
        <w:tab/>
      </w:r>
      <w:r w:rsidR="000E6B0B">
        <w:t>Le Rapporteur spécial note que</w:t>
      </w:r>
      <w:r w:rsidR="006554AD">
        <w:t>,</w:t>
      </w:r>
      <w:r w:rsidR="000E6B0B">
        <w:t xml:space="preserve"> pour la </w:t>
      </w:r>
      <w:r w:rsidR="004E7886">
        <w:t>Commission d’enquête sur le Burundi</w:t>
      </w:r>
      <w:r w:rsidR="000E6B0B">
        <w:t>, les cas de torture et de traitement cruel, inhumain ou dégradant, y compris sous la forme de violences sexuelles touchant aussi bien les hommes que les femmes</w:t>
      </w:r>
      <w:r w:rsidR="006554AD">
        <w:t>,</w:t>
      </w:r>
      <w:r w:rsidR="000E6B0B">
        <w:t xml:space="preserve"> ont principalement eu lieu au siège </w:t>
      </w:r>
      <w:r w:rsidR="000E6B0B">
        <w:lastRenderedPageBreak/>
        <w:t xml:space="preserve">du </w:t>
      </w:r>
      <w:r w:rsidR="006554AD">
        <w:t>Service national de renseignement</w:t>
      </w:r>
      <w:r w:rsidR="000E6B0B">
        <w:t xml:space="preserve"> à Bujumbura</w:t>
      </w:r>
      <w:r w:rsidR="006554AD">
        <w:t>,</w:t>
      </w:r>
      <w:r w:rsidR="000E6B0B">
        <w:t xml:space="preserve"> ou dans des centres de détention officiels et non officiels </w:t>
      </w:r>
      <w:r w:rsidR="006554AD">
        <w:t xml:space="preserve">placés </w:t>
      </w:r>
      <w:r w:rsidR="000E6B0B">
        <w:t xml:space="preserve">sous </w:t>
      </w:r>
      <w:r w:rsidR="006554AD">
        <w:t>sa</w:t>
      </w:r>
      <w:r w:rsidR="000E6B0B">
        <w:t xml:space="preserve"> supervision</w:t>
      </w:r>
      <w:r w:rsidR="000E6B0B">
        <w:rPr>
          <w:rStyle w:val="FootnoteReference"/>
        </w:rPr>
        <w:footnoteReference w:id="18"/>
      </w:r>
      <w:r w:rsidR="003E498D">
        <w:t xml:space="preserve">. </w:t>
      </w:r>
      <w:r w:rsidR="00343033">
        <w:t>Le Rapporteur spécial déplore que p</w:t>
      </w:r>
      <w:r w:rsidR="003E498D">
        <w:t xml:space="preserve">lusieurs victimes vivent avec des </w:t>
      </w:r>
      <w:r w:rsidR="00E71000">
        <w:t>séquelles physiques et psychologiques.</w:t>
      </w:r>
      <w:r w:rsidR="009A7D18" w:rsidRPr="009A7D18">
        <w:t xml:space="preserve"> </w:t>
      </w:r>
      <w:r w:rsidR="00F215D9">
        <w:t>Il</w:t>
      </w:r>
      <w:r w:rsidR="009A7D18" w:rsidRPr="009A7D18">
        <w:t xml:space="preserve"> rappelle la recommandation du Comité des droits de l’homme</w:t>
      </w:r>
      <w:r w:rsidR="00462A7E">
        <w:t>,</w:t>
      </w:r>
      <w:r w:rsidR="009A7D18" w:rsidRPr="009A7D18">
        <w:t xml:space="preserve"> qui souligne que </w:t>
      </w:r>
      <w:r w:rsidR="00462A7E">
        <w:t>l</w:t>
      </w:r>
      <w:r w:rsidR="009A7D18" w:rsidRPr="009A7D18">
        <w:t>’État partie devrait créer un mécanisme indépendant chargé d’enquêter sur les plaintes pour les faits de torture et de mauvais traitements commis par des membres des forces de police et de sécurité ainsi que les services de renseignements et favoriser le dépôt de plaintes par les victimes</w:t>
      </w:r>
      <w:r w:rsidR="007046B2">
        <w:rPr>
          <w:rStyle w:val="FootnoteReference"/>
        </w:rPr>
        <w:footnoteReference w:id="19"/>
      </w:r>
      <w:r w:rsidR="009A7D18" w:rsidRPr="009A7D18">
        <w:t>.</w:t>
      </w:r>
    </w:p>
    <w:p w14:paraId="1171AE09" w14:textId="6A1D2926" w:rsidR="007B32D0" w:rsidRPr="00590742" w:rsidRDefault="00522571" w:rsidP="00590742">
      <w:pPr>
        <w:pStyle w:val="H23G"/>
      </w:pPr>
      <w:r w:rsidRPr="00590742">
        <w:tab/>
      </w:r>
      <w:r w:rsidR="00344C03" w:rsidRPr="00590742">
        <w:t>3</w:t>
      </w:r>
      <w:r w:rsidRPr="00590742">
        <w:t>.</w:t>
      </w:r>
      <w:r w:rsidR="00590742">
        <w:tab/>
      </w:r>
      <w:r w:rsidR="00660A1D">
        <w:t>Arrestations et</w:t>
      </w:r>
      <w:r w:rsidR="00DB5150" w:rsidRPr="00590742">
        <w:t xml:space="preserve"> </w:t>
      </w:r>
      <w:r w:rsidRPr="00590742">
        <w:t>détentions arbitraires</w:t>
      </w:r>
    </w:p>
    <w:p w14:paraId="790088AB" w14:textId="4B3A899B" w:rsidR="00B26E71" w:rsidRDefault="00522571" w:rsidP="00522571">
      <w:pPr>
        <w:pStyle w:val="SingleTxtG"/>
      </w:pPr>
      <w:r>
        <w:t>3</w:t>
      </w:r>
      <w:r w:rsidR="00590742">
        <w:t>2</w:t>
      </w:r>
      <w:r>
        <w:t>.</w:t>
      </w:r>
      <w:r w:rsidR="00590742">
        <w:tab/>
      </w:r>
      <w:r w:rsidR="00751F84">
        <w:t>Les arrestations et détentions arbitraires constituent les</w:t>
      </w:r>
      <w:r w:rsidR="00BC1067">
        <w:t xml:space="preserve"> violations les plus documentées par la </w:t>
      </w:r>
      <w:r w:rsidR="00B9177C">
        <w:t>Commission d’enquête</w:t>
      </w:r>
      <w:r w:rsidR="00B9177C" w:rsidRPr="00B9177C">
        <w:t xml:space="preserve"> </w:t>
      </w:r>
      <w:r w:rsidR="00B9177C">
        <w:t>sur le Burundi</w:t>
      </w:r>
      <w:r w:rsidR="009329A3">
        <w:t>. Celles-ci ont entra</w:t>
      </w:r>
      <w:r w:rsidR="00751F84">
        <w:t>î</w:t>
      </w:r>
      <w:r w:rsidR="009329A3">
        <w:t>né plusieurs autres violations</w:t>
      </w:r>
      <w:r w:rsidR="00B3142C">
        <w:t>,</w:t>
      </w:r>
      <w:r w:rsidR="009329A3">
        <w:t xml:space="preserve"> à l’exemple des exécutions extrajudiciaires, des disparitions forcées, des cas de torture et de traitements cruels</w:t>
      </w:r>
      <w:r w:rsidR="00FD4E38">
        <w:t>,</w:t>
      </w:r>
      <w:r w:rsidR="009329A3">
        <w:t xml:space="preserve"> inhumains ou dégradants</w:t>
      </w:r>
      <w:r w:rsidR="00B3142C">
        <w:t>,</w:t>
      </w:r>
      <w:r w:rsidR="009329A3">
        <w:t xml:space="preserve"> et des violences sexuelles</w:t>
      </w:r>
      <w:r w:rsidR="009329A3">
        <w:rPr>
          <w:rStyle w:val="FootnoteReference"/>
        </w:rPr>
        <w:footnoteReference w:id="20"/>
      </w:r>
      <w:r w:rsidRPr="00E4047B">
        <w:t>.</w:t>
      </w:r>
      <w:r w:rsidR="005E6676">
        <w:t xml:space="preserve"> </w:t>
      </w:r>
      <w:r w:rsidR="00343033">
        <w:t xml:space="preserve">La </w:t>
      </w:r>
      <w:r w:rsidR="00B9177C">
        <w:t>Commission d’enquête</w:t>
      </w:r>
      <w:r w:rsidR="005E6676">
        <w:t xml:space="preserve"> a également documenté des témoignages faisant état de lieux de détention non officiels où des victimes ont souvent fait l’objet de torture ou de violences sexuelles</w:t>
      </w:r>
      <w:r w:rsidR="005E6676">
        <w:rPr>
          <w:rStyle w:val="FootnoteReference"/>
        </w:rPr>
        <w:footnoteReference w:id="21"/>
      </w:r>
      <w:r w:rsidR="005E6676">
        <w:t>.</w:t>
      </w:r>
      <w:r w:rsidR="0056606F">
        <w:t xml:space="preserve"> Le Rapporteur spécial est</w:t>
      </w:r>
      <w:r w:rsidR="00884CBE">
        <w:t xml:space="preserve"> préoccupé par le cas de l’avocat Tony Germain </w:t>
      </w:r>
      <w:proofErr w:type="spellStart"/>
      <w:r w:rsidR="00884CBE">
        <w:t>Nkina</w:t>
      </w:r>
      <w:proofErr w:type="spellEnd"/>
      <w:r w:rsidR="00FE42CA">
        <w:t>,</w:t>
      </w:r>
      <w:r w:rsidR="00884CBE">
        <w:t xml:space="preserve"> </w:t>
      </w:r>
      <w:r w:rsidR="00567934">
        <w:t>dont la condamnation</w:t>
      </w:r>
      <w:r w:rsidR="00343033">
        <w:t xml:space="preserve"> </w:t>
      </w:r>
      <w:r w:rsidR="00884CBE">
        <w:t xml:space="preserve">à </w:t>
      </w:r>
      <w:r w:rsidR="001C60E9">
        <w:t>cinq</w:t>
      </w:r>
      <w:r w:rsidR="00884CBE">
        <w:t xml:space="preserve"> ans de prison </w:t>
      </w:r>
      <w:r w:rsidR="006E1E19">
        <w:t>serait</w:t>
      </w:r>
      <w:r w:rsidR="00884CBE">
        <w:t xml:space="preserve"> en lien avec ses fonctions au sein de l’A</w:t>
      </w:r>
      <w:r w:rsidR="0061519F">
        <w:t xml:space="preserve">ssociation </w:t>
      </w:r>
      <w:r w:rsidR="00FE42CA">
        <w:t>b</w:t>
      </w:r>
      <w:r w:rsidR="0061519F">
        <w:t xml:space="preserve">urundaise pour la </w:t>
      </w:r>
      <w:r w:rsidR="00FE42CA">
        <w:t>p</w:t>
      </w:r>
      <w:r w:rsidR="0061519F">
        <w:t xml:space="preserve">rotection des </w:t>
      </w:r>
      <w:r w:rsidR="00FE42CA">
        <w:t>d</w:t>
      </w:r>
      <w:r w:rsidR="0061519F">
        <w:t xml:space="preserve">roits </w:t>
      </w:r>
      <w:r w:rsidR="00FE42CA">
        <w:t>h</w:t>
      </w:r>
      <w:r w:rsidR="0061519F">
        <w:t xml:space="preserve">umains et des </w:t>
      </w:r>
      <w:r w:rsidR="00567934">
        <w:t>p</w:t>
      </w:r>
      <w:r w:rsidR="0061519F">
        <w:t xml:space="preserve">ersonnes </w:t>
      </w:r>
      <w:r w:rsidR="00567934">
        <w:t>d</w:t>
      </w:r>
      <w:r w:rsidR="0061519F">
        <w:t>étenues</w:t>
      </w:r>
      <w:r w:rsidR="00884CBE">
        <w:t>, une organisation de la société civile</w:t>
      </w:r>
      <w:r w:rsidR="00884CBE">
        <w:rPr>
          <w:rStyle w:val="FootnoteReference"/>
        </w:rPr>
        <w:footnoteReference w:id="22"/>
      </w:r>
      <w:r w:rsidR="00884CBE">
        <w:t>.</w:t>
      </w:r>
    </w:p>
    <w:p w14:paraId="79416CCC" w14:textId="26964B05" w:rsidR="00BC1067" w:rsidRPr="00030036" w:rsidRDefault="00BC1067" w:rsidP="00590742">
      <w:pPr>
        <w:pStyle w:val="H23G"/>
      </w:pPr>
      <w:r>
        <w:t xml:space="preserve"> </w:t>
      </w:r>
      <w:r w:rsidR="00590742">
        <w:tab/>
      </w:r>
      <w:r w:rsidRPr="00E62573">
        <w:rPr>
          <w:bCs/>
        </w:rPr>
        <w:t>4.</w:t>
      </w:r>
      <w:r w:rsidR="00590742">
        <w:rPr>
          <w:bCs/>
        </w:rPr>
        <w:tab/>
      </w:r>
      <w:r w:rsidR="00660A1D">
        <w:t>D</w:t>
      </w:r>
      <w:r w:rsidRPr="00030036">
        <w:t>isparitions forcées</w:t>
      </w:r>
    </w:p>
    <w:p w14:paraId="6EACFDA6" w14:textId="79948998" w:rsidR="0056606F" w:rsidRDefault="0056606F" w:rsidP="00E935AF">
      <w:pPr>
        <w:pStyle w:val="SingleTxtG"/>
      </w:pPr>
      <w:r>
        <w:t>3</w:t>
      </w:r>
      <w:r w:rsidR="00590742">
        <w:t>3</w:t>
      </w:r>
      <w:r>
        <w:t>.</w:t>
      </w:r>
      <w:r w:rsidR="00590742">
        <w:tab/>
      </w:r>
      <w:r w:rsidR="00E62573" w:rsidRPr="00590742">
        <w:t>Le</w:t>
      </w:r>
      <w:r w:rsidR="00D231A4" w:rsidRPr="00590742">
        <w:t xml:space="preserve"> Rapporteur spécial note que plusieurs cas de disparitions forcées d’opposants</w:t>
      </w:r>
      <w:r w:rsidR="00590742">
        <w:t xml:space="preserve"> p</w:t>
      </w:r>
      <w:r w:rsidR="00D231A4" w:rsidRPr="00590742">
        <w:t>olitiques</w:t>
      </w:r>
      <w:r w:rsidR="00F50D9F" w:rsidRPr="00590742">
        <w:t xml:space="preserve"> ou d’</w:t>
      </w:r>
      <w:proofErr w:type="spellStart"/>
      <w:r w:rsidR="00F50D9F" w:rsidRPr="00590742">
        <w:t>Imbonerakure</w:t>
      </w:r>
      <w:proofErr w:type="spellEnd"/>
      <w:r w:rsidR="00F50D9F" w:rsidRPr="00590742">
        <w:t xml:space="preserve"> soupçonnés de collaborer avec les groupes armés de l’opposition ou des rapatriés ont été documentés par la </w:t>
      </w:r>
      <w:r w:rsidR="00B9177C">
        <w:t>Commission d’enquête</w:t>
      </w:r>
      <w:r w:rsidR="00B9177C" w:rsidRPr="00B9177C">
        <w:t xml:space="preserve"> </w:t>
      </w:r>
      <w:r w:rsidR="00B9177C">
        <w:t>sur le Burundi</w:t>
      </w:r>
      <w:r w:rsidR="00C3506A">
        <w:rPr>
          <w:rStyle w:val="FootnoteReference"/>
        </w:rPr>
        <w:footnoteReference w:id="23"/>
      </w:r>
      <w:r w:rsidR="00F50D9F" w:rsidRPr="00590742">
        <w:t>.</w:t>
      </w:r>
      <w:r w:rsidR="000D4A55" w:rsidRPr="00590742">
        <w:t xml:space="preserve"> </w:t>
      </w:r>
      <w:r w:rsidR="00C43C87" w:rsidRPr="00590742">
        <w:t>Celle-ci</w:t>
      </w:r>
      <w:r w:rsidR="000D4A55" w:rsidRPr="00590742">
        <w:t xml:space="preserve"> a par exemple confirmé </w:t>
      </w:r>
      <w:r w:rsidR="003E0258">
        <w:t xml:space="preserve">qu’il existait </w:t>
      </w:r>
      <w:r w:rsidR="000D4A55" w:rsidRPr="00590742">
        <w:t>des motifs raisonnables de croire que Marie</w:t>
      </w:r>
      <w:r w:rsidR="00A51440">
        <w:t>-</w:t>
      </w:r>
      <w:r w:rsidR="000D4A55" w:rsidRPr="00590742">
        <w:t xml:space="preserve">Claudette </w:t>
      </w:r>
      <w:proofErr w:type="spellStart"/>
      <w:r w:rsidR="000D4A55" w:rsidRPr="00590742">
        <w:t>Kwi</w:t>
      </w:r>
      <w:r w:rsidR="00A51440">
        <w:t>z</w:t>
      </w:r>
      <w:r w:rsidR="000D4A55" w:rsidRPr="00590742">
        <w:t>era</w:t>
      </w:r>
      <w:proofErr w:type="spellEnd"/>
      <w:r w:rsidR="000D4A55" w:rsidRPr="00590742">
        <w:t xml:space="preserve">, trésorière de la Ligue </w:t>
      </w:r>
      <w:proofErr w:type="spellStart"/>
      <w:r w:rsidR="000D4A55" w:rsidRPr="00590742">
        <w:t>Iteka</w:t>
      </w:r>
      <w:proofErr w:type="spellEnd"/>
      <w:r w:rsidR="000D4A55" w:rsidRPr="00590742">
        <w:t xml:space="preserve">, et Oscar </w:t>
      </w:r>
      <w:proofErr w:type="spellStart"/>
      <w:r w:rsidR="000D4A55" w:rsidRPr="00590742">
        <w:t>Ntasano</w:t>
      </w:r>
      <w:proofErr w:type="spellEnd"/>
      <w:r w:rsidR="000D4A55" w:rsidRPr="00590742">
        <w:t xml:space="preserve">, homme d’affaires membre du CNDD-FDD, ancien sénateur et député, </w:t>
      </w:r>
      <w:r w:rsidR="005D648B">
        <w:t>avaient</w:t>
      </w:r>
      <w:r w:rsidR="000D4A55" w:rsidRPr="00590742">
        <w:t xml:space="preserve"> bien été victimes de disparitions forcées</w:t>
      </w:r>
      <w:r w:rsidR="00C3506A">
        <w:rPr>
          <w:rStyle w:val="FootnoteReference"/>
        </w:rPr>
        <w:footnoteReference w:id="24"/>
      </w:r>
      <w:r w:rsidR="000D4A55" w:rsidRPr="00590742">
        <w:t>.</w:t>
      </w:r>
      <w:r w:rsidR="002369C5" w:rsidRPr="00590742">
        <w:t xml:space="preserve"> La </w:t>
      </w:r>
      <w:r w:rsidR="00B9177C">
        <w:t>Commission d’enquête</w:t>
      </w:r>
      <w:r w:rsidR="002369C5" w:rsidRPr="00590742">
        <w:t xml:space="preserve"> a souligné que les</w:t>
      </w:r>
      <w:r w:rsidR="00C43C87" w:rsidRPr="00590742">
        <w:t xml:space="preserve"> </w:t>
      </w:r>
      <w:r w:rsidR="00D50350" w:rsidRPr="00590742">
        <w:t xml:space="preserve">personnes disparues </w:t>
      </w:r>
      <w:r w:rsidR="00E4181E">
        <w:t>avaient</w:t>
      </w:r>
      <w:r w:rsidR="00D50350" w:rsidRPr="00590742">
        <w:t xml:space="preserve"> souvent été vues pour la dernière fois alors qu’elles étaien</w:t>
      </w:r>
      <w:r w:rsidR="007D04C2">
        <w:t xml:space="preserve">t emmenées par les </w:t>
      </w:r>
      <w:proofErr w:type="spellStart"/>
      <w:r w:rsidR="007D04C2">
        <w:t>Imbonerakure</w:t>
      </w:r>
      <w:proofErr w:type="spellEnd"/>
      <w:r w:rsidR="00EE3781">
        <w:t>,</w:t>
      </w:r>
      <w:r w:rsidR="00D50350" w:rsidRPr="00590742">
        <w:t xml:space="preserve"> </w:t>
      </w:r>
      <w:r w:rsidR="00EE3781">
        <w:t>par</w:t>
      </w:r>
      <w:r w:rsidR="00D50350" w:rsidRPr="00590742">
        <w:t xml:space="preserve"> </w:t>
      </w:r>
      <w:r w:rsidR="00C43C87" w:rsidRPr="00590742">
        <w:t xml:space="preserve">suite </w:t>
      </w:r>
      <w:r w:rsidR="00D50350" w:rsidRPr="00590742">
        <w:t xml:space="preserve">de visites </w:t>
      </w:r>
      <w:r w:rsidR="004752D4">
        <w:t xml:space="preserve">dans la nuit </w:t>
      </w:r>
      <w:r w:rsidR="00D50350" w:rsidRPr="00590742">
        <w:t>de groupes d’hommes armés de bâtons et</w:t>
      </w:r>
      <w:r w:rsidR="00D50350">
        <w:t xml:space="preserve"> parfois d’armes à feu</w:t>
      </w:r>
      <w:r w:rsidR="00D50350">
        <w:rPr>
          <w:rStyle w:val="FootnoteReference"/>
        </w:rPr>
        <w:footnoteReference w:id="25"/>
      </w:r>
      <w:r w:rsidR="00D50350">
        <w:t>.</w:t>
      </w:r>
      <w:r w:rsidR="00C3506A">
        <w:t xml:space="preserve"> </w:t>
      </w:r>
      <w:r w:rsidR="006B1512">
        <w:t>En août</w:t>
      </w:r>
      <w:r w:rsidR="0078092A">
        <w:t xml:space="preserve"> 2021, le Groupe de travail sur les disparitions forcées</w:t>
      </w:r>
      <w:r w:rsidR="008E2B55">
        <w:t xml:space="preserve"> ou involontaires</w:t>
      </w:r>
      <w:r w:rsidR="0078092A">
        <w:t xml:space="preserve"> avait ouvert 250 cas concernant le Burundi</w:t>
      </w:r>
      <w:r w:rsidR="0078092A">
        <w:rPr>
          <w:rStyle w:val="FootnoteReference"/>
        </w:rPr>
        <w:footnoteReference w:id="26"/>
      </w:r>
      <w:r w:rsidR="0078092A">
        <w:t>.</w:t>
      </w:r>
    </w:p>
    <w:p w14:paraId="4661AB0C" w14:textId="06A2410E" w:rsidR="001A158E" w:rsidRPr="001A158E" w:rsidRDefault="00590742" w:rsidP="001A158E">
      <w:pPr>
        <w:pStyle w:val="H23G"/>
      </w:pPr>
      <w:r>
        <w:rPr>
          <w:bCs/>
        </w:rPr>
        <w:tab/>
      </w:r>
      <w:r w:rsidR="00344C03" w:rsidRPr="00E62573">
        <w:rPr>
          <w:bCs/>
        </w:rPr>
        <w:t>5.</w:t>
      </w:r>
      <w:r>
        <w:rPr>
          <w:bCs/>
        </w:rPr>
        <w:tab/>
      </w:r>
      <w:r w:rsidR="00C43C87">
        <w:t>D</w:t>
      </w:r>
      <w:r w:rsidR="00C27698" w:rsidRPr="00030036">
        <w:t>ysfonctionnements</w:t>
      </w:r>
      <w:r w:rsidR="00674F49" w:rsidRPr="00030036">
        <w:t xml:space="preserve"> de la </w:t>
      </w:r>
      <w:r w:rsidR="00522571" w:rsidRPr="00030036">
        <w:t>justice</w:t>
      </w:r>
      <w:r w:rsidR="00674F49" w:rsidRPr="00030036">
        <w:t xml:space="preserve">, y </w:t>
      </w:r>
      <w:r w:rsidR="00C27698" w:rsidRPr="00030036">
        <w:t>compris</w:t>
      </w:r>
      <w:r w:rsidR="00E61EFE" w:rsidRPr="00030036">
        <w:t xml:space="preserve"> l</w:t>
      </w:r>
      <w:r w:rsidR="00344C03">
        <w:t>a lutte contre l’</w:t>
      </w:r>
      <w:r w:rsidR="00674F49" w:rsidRPr="00030036">
        <w:t>impunité</w:t>
      </w:r>
    </w:p>
    <w:p w14:paraId="10163C86" w14:textId="794CB61B" w:rsidR="00522571" w:rsidRDefault="00522571" w:rsidP="00522571">
      <w:pPr>
        <w:pStyle w:val="SingleTxtG"/>
      </w:pPr>
      <w:r>
        <w:t>3</w:t>
      </w:r>
      <w:r w:rsidR="00590742">
        <w:t>4</w:t>
      </w:r>
      <w:r>
        <w:t>.</w:t>
      </w:r>
      <w:r w:rsidR="00590742">
        <w:tab/>
      </w:r>
      <w:r>
        <w:t xml:space="preserve">L’indépendance est </w:t>
      </w:r>
      <w:r w:rsidRPr="00C36219">
        <w:t>la clé de vo</w:t>
      </w:r>
      <w:r w:rsidR="00C43C87">
        <w:t>û</w:t>
      </w:r>
      <w:r w:rsidRPr="00C36219">
        <w:t>te du pouvoir judiciaire. La Constitution</w:t>
      </w:r>
      <w:r w:rsidR="00465C54">
        <w:t>,</w:t>
      </w:r>
      <w:r w:rsidRPr="00C36219">
        <w:t xml:space="preserve"> à ce propos</w:t>
      </w:r>
      <w:r w:rsidR="00465C54">
        <w:t>,</w:t>
      </w:r>
      <w:r w:rsidRPr="00C36219">
        <w:t xml:space="preserve"> énonce clairement </w:t>
      </w:r>
      <w:r w:rsidR="00CF7326">
        <w:t xml:space="preserve">à l’article 214 </w:t>
      </w:r>
      <w:r w:rsidRPr="00C36219">
        <w:t>que le P</w:t>
      </w:r>
      <w:r>
        <w:t>résident de la R</w:t>
      </w:r>
      <w:r w:rsidRPr="00C36219">
        <w:t xml:space="preserve">épublique, </w:t>
      </w:r>
      <w:r w:rsidR="00D06F00">
        <w:t>C</w:t>
      </w:r>
      <w:r w:rsidRPr="00C36219">
        <w:t>hef de l’</w:t>
      </w:r>
      <w:r w:rsidR="00441C87">
        <w:t>É</w:t>
      </w:r>
      <w:r w:rsidRPr="00C36219">
        <w:t>tat</w:t>
      </w:r>
      <w:r w:rsidR="00441C87">
        <w:t>,</w:t>
      </w:r>
      <w:r w:rsidRPr="00C36219">
        <w:t xml:space="preserve"> est garant de l’indépendance de la magistrature et précise qu’il est assisté dans cette mission par le Conseil supérieur de la magistrature.</w:t>
      </w:r>
      <w:r>
        <w:t xml:space="preserve"> </w:t>
      </w:r>
      <w:r w:rsidR="00C853E1">
        <w:t>Le même article</w:t>
      </w:r>
      <w:r w:rsidRPr="00C36219">
        <w:t xml:space="preserve"> pose également le principe de l’indépendance et de l’impartialité du pouvoir judiciaire </w:t>
      </w:r>
      <w:r w:rsidR="00CF7326">
        <w:t>par rapport</w:t>
      </w:r>
      <w:r w:rsidRPr="00C36219">
        <w:t xml:space="preserve"> au pouvoir législatif et au pouvoir exécutif. Si</w:t>
      </w:r>
      <w:r>
        <w:t xml:space="preserve"> le principe est posé</w:t>
      </w:r>
      <w:r w:rsidRPr="00C36219">
        <w:t xml:space="preserve">, il reste que dans sa mise en œuvre, le pouvoir judiciaire est </w:t>
      </w:r>
      <w:r w:rsidR="00884840">
        <w:t>dans une grande mesure</w:t>
      </w:r>
      <w:r w:rsidR="00884840" w:rsidRPr="00C36219">
        <w:t xml:space="preserve"> </w:t>
      </w:r>
      <w:r w:rsidRPr="00C36219">
        <w:t>dépendant du pouvoir exécutif. Ainsi,</w:t>
      </w:r>
      <w:r w:rsidR="003F0BC9">
        <w:t xml:space="preserve"> </w:t>
      </w:r>
      <w:r w:rsidR="00D06F00">
        <w:t>l’article 2</w:t>
      </w:r>
      <w:r w:rsidR="003F0BC9">
        <w:t xml:space="preserve">19 de la Constitution prévoit que </w:t>
      </w:r>
      <w:r w:rsidRPr="00C36219">
        <w:t>l</w:t>
      </w:r>
      <w:r>
        <w:t xml:space="preserve">e Président de la </w:t>
      </w:r>
      <w:r w:rsidR="00884840">
        <w:t>R</w:t>
      </w:r>
      <w:r>
        <w:t>épublique</w:t>
      </w:r>
      <w:r w:rsidR="00E61EFE">
        <w:t xml:space="preserve"> </w:t>
      </w:r>
      <w:r w:rsidR="00011AEF">
        <w:t xml:space="preserve">nomme </w:t>
      </w:r>
      <w:r w:rsidR="00011AEF" w:rsidRPr="00C36219">
        <w:t>les</w:t>
      </w:r>
      <w:r w:rsidRPr="00C36219">
        <w:t xml:space="preserve"> magistrats sur proposition du </w:t>
      </w:r>
      <w:r w:rsidR="00297D9B">
        <w:t>M</w:t>
      </w:r>
      <w:r w:rsidRPr="00C36219">
        <w:t xml:space="preserve">inistre de la </w:t>
      </w:r>
      <w:r w:rsidR="00297D9B">
        <w:t>j</w:t>
      </w:r>
      <w:r w:rsidRPr="00C36219">
        <w:t>ustice, après avis du Consei</w:t>
      </w:r>
      <w:r>
        <w:t>l supérieur de la magistrature.</w:t>
      </w:r>
    </w:p>
    <w:p w14:paraId="401CACA8" w14:textId="7C37AEFF" w:rsidR="00522571" w:rsidRPr="00C36219" w:rsidRDefault="00522571" w:rsidP="00FC6F48">
      <w:pPr>
        <w:pStyle w:val="SingleTxtG"/>
        <w:keepNext/>
        <w:keepLines/>
      </w:pPr>
      <w:r>
        <w:lastRenderedPageBreak/>
        <w:t>3</w:t>
      </w:r>
      <w:r w:rsidR="00590742">
        <w:t>5</w:t>
      </w:r>
      <w:r>
        <w:t>.</w:t>
      </w:r>
      <w:r w:rsidR="00590742">
        <w:tab/>
      </w:r>
      <w:r w:rsidRPr="00C36219">
        <w:t xml:space="preserve">Par ailleurs, la rémunération des magistrats est également contrôlée et décidée par le pouvoir exécutif. Il existe une dépendance structurelle et profonde du pouvoir judiciaire qui fait douter de son indépendance réelle. La </w:t>
      </w:r>
      <w:r w:rsidR="00B9177C">
        <w:t>Commission d’enquête</w:t>
      </w:r>
      <w:r w:rsidR="00B9177C" w:rsidRPr="00B9177C">
        <w:t xml:space="preserve"> </w:t>
      </w:r>
      <w:r w:rsidR="00B9177C">
        <w:t>sur le Burundi</w:t>
      </w:r>
      <w:r>
        <w:t xml:space="preserve"> </w:t>
      </w:r>
      <w:r w:rsidRPr="00C36219">
        <w:t>relevait en 2018 que les dysfonctionnements de la justice perdur</w:t>
      </w:r>
      <w:r w:rsidR="00297D9B">
        <w:t>ai</w:t>
      </w:r>
      <w:r w:rsidRPr="00C36219">
        <w:t>ent</w:t>
      </w:r>
      <w:r w:rsidR="007B6214">
        <w:t>,</w:t>
      </w:r>
      <w:r w:rsidRPr="00C36219">
        <w:t xml:space="preserve"> et que les victimes de violations rest</w:t>
      </w:r>
      <w:r w:rsidR="00297D9B">
        <w:t>ai</w:t>
      </w:r>
      <w:r w:rsidRPr="00C36219">
        <w:t>ent privées de voie</w:t>
      </w:r>
      <w:r w:rsidR="00640771">
        <w:t>s</w:t>
      </w:r>
      <w:r w:rsidRPr="00C36219">
        <w:t xml:space="preserve"> de recours utile</w:t>
      </w:r>
      <w:r w:rsidR="00640771">
        <w:t>s</w:t>
      </w:r>
      <w:r w:rsidRPr="00C36219">
        <w:t xml:space="preserve"> et </w:t>
      </w:r>
      <w:r w:rsidR="007B6214">
        <w:t>avaient</w:t>
      </w:r>
      <w:r w:rsidRPr="00C36219">
        <w:t xml:space="preserve"> continué à faire l’objet de menaces et d’intimidations</w:t>
      </w:r>
      <w:r w:rsidRPr="00C36219">
        <w:rPr>
          <w:rStyle w:val="FootnoteReference"/>
          <w:color w:val="000000" w:themeColor="text1"/>
        </w:rPr>
        <w:footnoteReference w:id="27"/>
      </w:r>
      <w:r w:rsidR="000B012B">
        <w:t>.</w:t>
      </w:r>
      <w:r w:rsidRPr="00C36219">
        <w:t xml:space="preserve"> Elle relevait </w:t>
      </w:r>
      <w:r w:rsidR="00AB7B0B">
        <w:t>entre autre</w:t>
      </w:r>
      <w:r w:rsidR="00237685">
        <w:t>s</w:t>
      </w:r>
      <w:r w:rsidRPr="00C36219">
        <w:rPr>
          <w:rStyle w:val="FootnoteReference"/>
          <w:color w:val="000000" w:themeColor="text1"/>
        </w:rPr>
        <w:footnoteReference w:id="28"/>
      </w:r>
      <w:r>
        <w:t xml:space="preserve"> l’a</w:t>
      </w:r>
      <w:r w:rsidRPr="00C36219">
        <w:t>bsence de garantie d’inamovib</w:t>
      </w:r>
      <w:r w:rsidR="006C10E2">
        <w:t xml:space="preserve">ilité des magistrats du siège </w:t>
      </w:r>
      <w:r w:rsidR="00D50943">
        <w:t>ainsi que de</w:t>
      </w:r>
      <w:r w:rsidRPr="00C36219">
        <w:t xml:space="preserve"> référence à ce pr</w:t>
      </w:r>
      <w:r>
        <w:t>incipe dans le cadre juridique.</w:t>
      </w:r>
    </w:p>
    <w:p w14:paraId="271889EA" w14:textId="2784860D" w:rsidR="00522571" w:rsidRDefault="009805E9" w:rsidP="00D247A2">
      <w:pPr>
        <w:pStyle w:val="SingleTxtG"/>
        <w:shd w:val="clear" w:color="auto" w:fill="FFFFFF" w:themeFill="background1"/>
        <w:rPr>
          <w:rFonts w:eastAsia="MS Mincho"/>
          <w:bCs/>
        </w:rPr>
      </w:pPr>
      <w:r>
        <w:rPr>
          <w:rFonts w:eastAsia="MS Mincho"/>
          <w:bCs/>
        </w:rPr>
        <w:t>3</w:t>
      </w:r>
      <w:r w:rsidR="00590742">
        <w:rPr>
          <w:rFonts w:eastAsia="MS Mincho"/>
          <w:bCs/>
        </w:rPr>
        <w:t>6</w:t>
      </w:r>
      <w:r w:rsidR="00522571">
        <w:rPr>
          <w:rFonts w:eastAsia="MS Mincho"/>
          <w:bCs/>
        </w:rPr>
        <w:t>.</w:t>
      </w:r>
      <w:r w:rsidR="00590742">
        <w:rPr>
          <w:rFonts w:eastAsia="MS Mincho"/>
          <w:bCs/>
        </w:rPr>
        <w:tab/>
      </w:r>
      <w:r w:rsidR="00522571" w:rsidRPr="00B8782C">
        <w:rPr>
          <w:rFonts w:eastAsia="MS Mincho"/>
          <w:bCs/>
        </w:rPr>
        <w:t xml:space="preserve">Le </w:t>
      </w:r>
      <w:r w:rsidR="00884840" w:rsidRPr="00B8782C">
        <w:rPr>
          <w:rFonts w:eastAsia="MS Mincho"/>
          <w:bCs/>
        </w:rPr>
        <w:t>R</w:t>
      </w:r>
      <w:r w:rsidR="00522571" w:rsidRPr="00B8782C">
        <w:rPr>
          <w:rFonts w:eastAsia="MS Mincho"/>
          <w:bCs/>
        </w:rPr>
        <w:t>apporteur spécial</w:t>
      </w:r>
      <w:r w:rsidR="00B8782C" w:rsidRPr="00D247A2">
        <w:rPr>
          <w:rFonts w:eastAsia="MS Mincho"/>
          <w:bCs/>
        </w:rPr>
        <w:t xml:space="preserve"> </w:t>
      </w:r>
      <w:r w:rsidR="00E61EFE">
        <w:rPr>
          <w:rFonts w:eastAsia="MS Mincho"/>
          <w:bCs/>
        </w:rPr>
        <w:t>note quelques actes</w:t>
      </w:r>
      <w:r w:rsidR="000A7D9E">
        <w:rPr>
          <w:rFonts w:eastAsia="MS Mincho"/>
          <w:bCs/>
        </w:rPr>
        <w:t xml:space="preserve"> isolés</w:t>
      </w:r>
      <w:r w:rsidR="00E61EFE">
        <w:rPr>
          <w:rFonts w:eastAsia="MS Mincho"/>
          <w:bCs/>
        </w:rPr>
        <w:t>, à l’effet</w:t>
      </w:r>
      <w:r w:rsidR="000A7D9E">
        <w:rPr>
          <w:rFonts w:eastAsia="MS Mincho"/>
          <w:bCs/>
        </w:rPr>
        <w:t xml:space="preserve"> de poursuivre les auteurs de violations et </w:t>
      </w:r>
      <w:r w:rsidR="002D4D59">
        <w:rPr>
          <w:rFonts w:eastAsia="MS Mincho"/>
          <w:bCs/>
        </w:rPr>
        <w:t>d’</w:t>
      </w:r>
      <w:r w:rsidR="000A7D9E">
        <w:rPr>
          <w:rFonts w:eastAsia="MS Mincho"/>
          <w:bCs/>
        </w:rPr>
        <w:t>abus des droits de l’homme</w:t>
      </w:r>
      <w:r w:rsidR="001C3EBF">
        <w:rPr>
          <w:rFonts w:eastAsia="MS Mincho"/>
          <w:bCs/>
        </w:rPr>
        <w:t>,</w:t>
      </w:r>
      <w:r w:rsidR="000A7D9E">
        <w:rPr>
          <w:rFonts w:eastAsia="MS Mincho"/>
          <w:bCs/>
        </w:rPr>
        <w:t xml:space="preserve"> à l’exemple de l’incarcération </w:t>
      </w:r>
      <w:r w:rsidR="001C3EBF">
        <w:rPr>
          <w:rFonts w:eastAsia="MS Mincho"/>
          <w:bCs/>
        </w:rPr>
        <w:t xml:space="preserve">à la prison de </w:t>
      </w:r>
      <w:proofErr w:type="spellStart"/>
      <w:r w:rsidR="001C3EBF">
        <w:rPr>
          <w:rFonts w:eastAsia="MS Mincho"/>
          <w:bCs/>
        </w:rPr>
        <w:t>Mpimba</w:t>
      </w:r>
      <w:proofErr w:type="spellEnd"/>
      <w:r w:rsidR="001C3EBF">
        <w:rPr>
          <w:rFonts w:eastAsia="MS Mincho"/>
          <w:bCs/>
        </w:rPr>
        <w:t xml:space="preserve"> </w:t>
      </w:r>
      <w:r w:rsidR="000A7D9E">
        <w:rPr>
          <w:rFonts w:eastAsia="MS Mincho"/>
          <w:bCs/>
        </w:rPr>
        <w:t xml:space="preserve">de Gérard </w:t>
      </w:r>
      <w:proofErr w:type="spellStart"/>
      <w:r w:rsidR="000A7D9E">
        <w:rPr>
          <w:rFonts w:eastAsia="MS Mincho"/>
          <w:bCs/>
        </w:rPr>
        <w:t>Ndayisenga</w:t>
      </w:r>
      <w:proofErr w:type="spellEnd"/>
      <w:r w:rsidR="00FD3605">
        <w:rPr>
          <w:rFonts w:eastAsia="MS Mincho"/>
          <w:bCs/>
        </w:rPr>
        <w:t xml:space="preserve">, agent du </w:t>
      </w:r>
      <w:r w:rsidR="006554AD">
        <w:t>Service national de renseignement</w:t>
      </w:r>
      <w:r w:rsidR="001C3EBF">
        <w:rPr>
          <w:rFonts w:eastAsia="MS Mincho"/>
          <w:bCs/>
        </w:rPr>
        <w:t>,</w:t>
      </w:r>
      <w:r w:rsidR="000A7D9E">
        <w:rPr>
          <w:rFonts w:eastAsia="MS Mincho"/>
          <w:bCs/>
        </w:rPr>
        <w:t xml:space="preserve"> en décembre 2021</w:t>
      </w:r>
      <w:r w:rsidR="000A7D9E">
        <w:rPr>
          <w:rStyle w:val="FootnoteReference"/>
          <w:rFonts w:eastAsia="MS Mincho"/>
          <w:bCs/>
        </w:rPr>
        <w:footnoteReference w:id="29"/>
      </w:r>
      <w:r w:rsidR="000A7D9E">
        <w:rPr>
          <w:rFonts w:eastAsia="MS Mincho"/>
          <w:bCs/>
        </w:rPr>
        <w:t xml:space="preserve">. En outre, il </w:t>
      </w:r>
      <w:r w:rsidR="00B8782C" w:rsidRPr="00D247A2">
        <w:rPr>
          <w:rFonts w:eastAsia="MS Mincho"/>
          <w:bCs/>
        </w:rPr>
        <w:t xml:space="preserve">déplore l’impunité sélective </w:t>
      </w:r>
      <w:r w:rsidR="00E12B71">
        <w:rPr>
          <w:rFonts w:eastAsia="MS Mincho"/>
          <w:bCs/>
        </w:rPr>
        <w:t xml:space="preserve">quant à la poursuite des auteurs </w:t>
      </w:r>
      <w:r w:rsidR="008A3B93">
        <w:rPr>
          <w:rFonts w:eastAsia="MS Mincho"/>
          <w:bCs/>
        </w:rPr>
        <w:t xml:space="preserve">présumés </w:t>
      </w:r>
      <w:r w:rsidR="00E12B71">
        <w:rPr>
          <w:rFonts w:eastAsia="MS Mincho"/>
          <w:bCs/>
        </w:rPr>
        <w:t>de violations graves</w:t>
      </w:r>
      <w:r w:rsidR="00C43C87">
        <w:rPr>
          <w:rFonts w:eastAsia="MS Mincho"/>
          <w:bCs/>
        </w:rPr>
        <w:t xml:space="preserve"> au profit de crimes de droit commun</w:t>
      </w:r>
      <w:r w:rsidR="00E12B71">
        <w:rPr>
          <w:rFonts w:eastAsia="MS Mincho"/>
          <w:bCs/>
        </w:rPr>
        <w:t xml:space="preserve">. Il </w:t>
      </w:r>
      <w:r w:rsidR="00522571" w:rsidRPr="00B8782C">
        <w:rPr>
          <w:rFonts w:eastAsia="MS Mincho"/>
          <w:bCs/>
        </w:rPr>
        <w:t>souligne que le manque d’indépendance de la justice s’est aggravé depuis la crise politique de 2015</w:t>
      </w:r>
      <w:r w:rsidR="00522571" w:rsidRPr="00B8782C">
        <w:rPr>
          <w:rStyle w:val="FootnoteReference"/>
          <w:rFonts w:eastAsia="MS Mincho"/>
          <w:bCs/>
          <w:color w:val="000000" w:themeColor="text1"/>
        </w:rPr>
        <w:footnoteReference w:id="30"/>
      </w:r>
      <w:r w:rsidR="00522571" w:rsidRPr="00B8782C">
        <w:rPr>
          <w:rFonts w:eastAsia="MS Mincho"/>
          <w:bCs/>
        </w:rPr>
        <w:t xml:space="preserve">. </w:t>
      </w:r>
      <w:r w:rsidR="00E12B71">
        <w:rPr>
          <w:rFonts w:eastAsia="MS Mincho"/>
          <w:bCs/>
        </w:rPr>
        <w:t xml:space="preserve">D’après la </w:t>
      </w:r>
      <w:r w:rsidR="00B9177C">
        <w:t>Commission d’enquête</w:t>
      </w:r>
      <w:r w:rsidR="00B9177C" w:rsidRPr="00B9177C">
        <w:t xml:space="preserve"> </w:t>
      </w:r>
      <w:r w:rsidR="00B9177C">
        <w:t>sur le Burundi</w:t>
      </w:r>
      <w:r w:rsidR="00E12B71">
        <w:rPr>
          <w:rFonts w:eastAsia="MS Mincho"/>
          <w:bCs/>
        </w:rPr>
        <w:t xml:space="preserve">, les quelques cas de plaintes déposées </w:t>
      </w:r>
      <w:r w:rsidR="00653D83">
        <w:rPr>
          <w:rFonts w:eastAsia="MS Mincho"/>
          <w:bCs/>
        </w:rPr>
        <w:t xml:space="preserve">par </w:t>
      </w:r>
      <w:r w:rsidR="00E12B71">
        <w:rPr>
          <w:rFonts w:eastAsia="MS Mincho"/>
          <w:bCs/>
        </w:rPr>
        <w:t>suite de violations graves ont rarement débouché sur l’ouverture d’enquêtes impartiales</w:t>
      </w:r>
      <w:r w:rsidR="00F95C1E">
        <w:rPr>
          <w:rFonts w:eastAsia="MS Mincho"/>
          <w:bCs/>
        </w:rPr>
        <w:t>,</w:t>
      </w:r>
      <w:r w:rsidR="00E12B71">
        <w:rPr>
          <w:rFonts w:eastAsia="MS Mincho"/>
          <w:bCs/>
        </w:rPr>
        <w:t xml:space="preserve"> et encore plus rarement sur la poursuite et la condamnation des auteurs, ce qui constitue en soi une violation du droit à un recours utile</w:t>
      </w:r>
      <w:r w:rsidR="00E12B71">
        <w:rPr>
          <w:rStyle w:val="FootnoteReference"/>
          <w:rFonts w:eastAsia="MS Mincho"/>
          <w:bCs/>
        </w:rPr>
        <w:footnoteReference w:id="31"/>
      </w:r>
      <w:r w:rsidR="00E12B71">
        <w:rPr>
          <w:rFonts w:eastAsia="MS Mincho"/>
          <w:bCs/>
        </w:rPr>
        <w:t xml:space="preserve">. </w:t>
      </w:r>
      <w:r w:rsidR="00F01140">
        <w:rPr>
          <w:rFonts w:eastAsia="MS Mincho"/>
          <w:bCs/>
        </w:rPr>
        <w:t>La</w:t>
      </w:r>
      <w:r w:rsidR="00F01140" w:rsidRPr="00F01140">
        <w:t xml:space="preserve"> </w:t>
      </w:r>
      <w:r w:rsidR="00F01140">
        <w:t>Commission d’enquête</w:t>
      </w:r>
      <w:r w:rsidR="00D90755">
        <w:rPr>
          <w:rFonts w:eastAsia="MS Mincho"/>
          <w:bCs/>
        </w:rPr>
        <w:t xml:space="preserve"> a également </w:t>
      </w:r>
      <w:r w:rsidR="00F01140">
        <w:rPr>
          <w:rFonts w:eastAsia="MS Mincho"/>
          <w:bCs/>
        </w:rPr>
        <w:t xml:space="preserve">affirmé </w:t>
      </w:r>
      <w:r w:rsidR="00D90755">
        <w:rPr>
          <w:rFonts w:eastAsia="MS Mincho"/>
          <w:bCs/>
        </w:rPr>
        <w:t xml:space="preserve">que </w:t>
      </w:r>
      <w:r w:rsidR="00F01140">
        <w:rPr>
          <w:rFonts w:eastAsia="MS Mincho"/>
          <w:bCs/>
        </w:rPr>
        <w:t>l</w:t>
      </w:r>
      <w:r w:rsidR="00D90755" w:rsidRPr="009B1B5A">
        <w:rPr>
          <w:rFonts w:eastAsia="MS Mincho"/>
          <w:bCs/>
        </w:rPr>
        <w:t>es dysfonctionnements de la justice perdur</w:t>
      </w:r>
      <w:r w:rsidR="00072F15">
        <w:rPr>
          <w:rFonts w:eastAsia="MS Mincho"/>
          <w:bCs/>
        </w:rPr>
        <w:t>ai</w:t>
      </w:r>
      <w:r w:rsidR="00D90755" w:rsidRPr="009B1B5A">
        <w:rPr>
          <w:rFonts w:eastAsia="MS Mincho"/>
          <w:bCs/>
        </w:rPr>
        <w:t>ent, notamment la corruption, le trafic d’influence, les interférences d’autorités diverses et de membres du CNDD-FDD, le non-respect des procédures et des délais légaux, la non-exécution des décisions de justice, notamment celles de remise en liberté, ainsi que l’inertie dans certaines procédures</w:t>
      </w:r>
      <w:r w:rsidR="006B3F56">
        <w:rPr>
          <w:rFonts w:eastAsia="MS Mincho"/>
          <w:bCs/>
        </w:rPr>
        <w:t>, et que</w:t>
      </w:r>
      <w:r w:rsidR="00D90755" w:rsidRPr="009B1B5A">
        <w:rPr>
          <w:rFonts w:eastAsia="MS Mincho"/>
          <w:bCs/>
        </w:rPr>
        <w:t xml:space="preserve"> </w:t>
      </w:r>
      <w:r w:rsidR="006B3F56">
        <w:rPr>
          <w:rFonts w:eastAsia="MS Mincho"/>
          <w:bCs/>
        </w:rPr>
        <w:t>l</w:t>
      </w:r>
      <w:r w:rsidR="00D90755" w:rsidRPr="009B1B5A">
        <w:rPr>
          <w:rFonts w:eastAsia="MS Mincho"/>
          <w:bCs/>
        </w:rPr>
        <w:t>es victimes de violations rest</w:t>
      </w:r>
      <w:r w:rsidR="006B3F56">
        <w:rPr>
          <w:rFonts w:eastAsia="MS Mincho"/>
          <w:bCs/>
        </w:rPr>
        <w:t>ai</w:t>
      </w:r>
      <w:r w:rsidR="00D90755" w:rsidRPr="009B1B5A">
        <w:rPr>
          <w:rFonts w:eastAsia="MS Mincho"/>
          <w:bCs/>
        </w:rPr>
        <w:t>ent privées de voie</w:t>
      </w:r>
      <w:r w:rsidR="00C3506A">
        <w:rPr>
          <w:rFonts w:eastAsia="MS Mincho"/>
          <w:bCs/>
        </w:rPr>
        <w:t>s</w:t>
      </w:r>
      <w:r w:rsidR="00D90755" w:rsidRPr="009B1B5A">
        <w:rPr>
          <w:rFonts w:eastAsia="MS Mincho"/>
          <w:bCs/>
        </w:rPr>
        <w:t xml:space="preserve"> de recours utile</w:t>
      </w:r>
      <w:r w:rsidR="00414BFD">
        <w:rPr>
          <w:rFonts w:eastAsia="MS Mincho"/>
          <w:bCs/>
        </w:rPr>
        <w:t>s</w:t>
      </w:r>
      <w:r w:rsidR="00D90755" w:rsidRPr="009B1B5A">
        <w:rPr>
          <w:rFonts w:eastAsia="MS Mincho"/>
          <w:bCs/>
        </w:rPr>
        <w:t xml:space="preserve"> et </w:t>
      </w:r>
      <w:r w:rsidR="006B3F56">
        <w:rPr>
          <w:rFonts w:eastAsia="MS Mincho"/>
          <w:bCs/>
        </w:rPr>
        <w:t>avaient</w:t>
      </w:r>
      <w:r w:rsidR="00D90755" w:rsidRPr="009B1B5A">
        <w:rPr>
          <w:rFonts w:eastAsia="MS Mincho"/>
          <w:bCs/>
        </w:rPr>
        <w:t xml:space="preserve"> continué à faire l’objet de menaces et d’intimidations</w:t>
      </w:r>
      <w:r w:rsidR="00D44ECE" w:rsidRPr="00592838">
        <w:rPr>
          <w:rStyle w:val="FootnoteReference"/>
          <w:rFonts w:eastAsia="MS Mincho"/>
          <w:bCs/>
          <w:iCs/>
        </w:rPr>
        <w:footnoteReference w:id="32"/>
      </w:r>
      <w:r w:rsidR="00561A7F">
        <w:rPr>
          <w:rFonts w:eastAsia="MS Mincho"/>
          <w:bCs/>
          <w:i/>
        </w:rPr>
        <w:t>.</w:t>
      </w:r>
    </w:p>
    <w:p w14:paraId="426404B8" w14:textId="54721E5A" w:rsidR="00C61D56" w:rsidRDefault="009B1B5A" w:rsidP="00884840">
      <w:pPr>
        <w:pStyle w:val="SingleTxtG"/>
        <w:rPr>
          <w:rFonts w:eastAsia="MS Mincho"/>
          <w:bCs/>
        </w:rPr>
      </w:pPr>
      <w:r>
        <w:rPr>
          <w:rFonts w:eastAsia="MS Mincho"/>
          <w:bCs/>
        </w:rPr>
        <w:t>37</w:t>
      </w:r>
      <w:r w:rsidR="00522571">
        <w:rPr>
          <w:rFonts w:eastAsia="MS Mincho"/>
          <w:bCs/>
        </w:rPr>
        <w:t>.</w:t>
      </w:r>
      <w:r>
        <w:rPr>
          <w:rFonts w:eastAsia="MS Mincho"/>
          <w:bCs/>
        </w:rPr>
        <w:tab/>
      </w:r>
      <w:r w:rsidR="00C61D56" w:rsidRPr="00C61D56">
        <w:rPr>
          <w:rFonts w:eastAsia="MS Mincho"/>
          <w:bCs/>
        </w:rPr>
        <w:t>Le Rapporteur spécial note que le Comité des droits de l’homme a recommandé au Burundi de prendre toutes les mesures nécessaires et efficaces afin de combattre l’impunité, en menant de manière systématique et dans tous les cas d’allégations de privation arbitraire du droit à la vie, des enquêtes promptes, impartiales et efficaces pour identifier les responsables, les poursuivre et s’ils sont reconnus coupables, les condamner à des sanctions appropriées et veiller à ce que les familles des victimes reçoivent une réparation appropriée</w:t>
      </w:r>
      <w:r w:rsidR="00C61D56">
        <w:rPr>
          <w:rStyle w:val="FootnoteReference"/>
          <w:rFonts w:eastAsia="MS Mincho"/>
          <w:bCs/>
        </w:rPr>
        <w:footnoteReference w:id="33"/>
      </w:r>
      <w:r w:rsidR="00C61D56" w:rsidRPr="00C61D56">
        <w:rPr>
          <w:rFonts w:eastAsia="MS Mincho"/>
          <w:bCs/>
        </w:rPr>
        <w:t xml:space="preserve">. En réponse, le Burundi </w:t>
      </w:r>
      <w:r w:rsidR="00CE2915">
        <w:rPr>
          <w:rFonts w:eastAsia="MS Mincho"/>
          <w:bCs/>
        </w:rPr>
        <w:t xml:space="preserve">a indiqué </w:t>
      </w:r>
      <w:r w:rsidR="00C61D56" w:rsidRPr="00C61D56">
        <w:rPr>
          <w:rFonts w:eastAsia="MS Mincho"/>
          <w:bCs/>
        </w:rPr>
        <w:t xml:space="preserve">dans </w:t>
      </w:r>
      <w:r w:rsidR="00CE2915">
        <w:rPr>
          <w:rFonts w:eastAsia="MS Mincho"/>
          <w:bCs/>
        </w:rPr>
        <w:t>son</w:t>
      </w:r>
      <w:r w:rsidR="00C61D56" w:rsidRPr="00C61D56">
        <w:rPr>
          <w:rFonts w:eastAsia="MS Mincho"/>
          <w:bCs/>
        </w:rPr>
        <w:t xml:space="preserve"> troisième rapport périodique reçu le 8 septembre 2020 que toutes les allégations de privation arbitraire du droit à la vie connue des autorités administratives, policières et </w:t>
      </w:r>
      <w:r w:rsidR="00BC3309">
        <w:rPr>
          <w:rFonts w:eastAsia="MS Mincho"/>
          <w:bCs/>
        </w:rPr>
        <w:t>j</w:t>
      </w:r>
      <w:r w:rsidR="00C61D56" w:rsidRPr="00C61D56">
        <w:rPr>
          <w:rFonts w:eastAsia="MS Mincho"/>
          <w:bCs/>
        </w:rPr>
        <w:t xml:space="preserve">udiciaires </w:t>
      </w:r>
      <w:r w:rsidR="00BC3309">
        <w:rPr>
          <w:rFonts w:eastAsia="MS Mincho"/>
          <w:bCs/>
        </w:rPr>
        <w:t>étaient</w:t>
      </w:r>
      <w:r w:rsidR="00C61D56" w:rsidRPr="00C61D56">
        <w:rPr>
          <w:rFonts w:eastAsia="MS Mincho"/>
          <w:bCs/>
        </w:rPr>
        <w:t xml:space="preserve"> poursuivies en justice et que les auteurs reconnus coupables </w:t>
      </w:r>
      <w:r w:rsidR="00E969F0">
        <w:rPr>
          <w:rFonts w:eastAsia="MS Mincho"/>
          <w:bCs/>
        </w:rPr>
        <w:t>étaient</w:t>
      </w:r>
      <w:r w:rsidR="00C61D56" w:rsidRPr="00C61D56">
        <w:rPr>
          <w:rFonts w:eastAsia="MS Mincho"/>
          <w:bCs/>
        </w:rPr>
        <w:t xml:space="preserve"> condamnés à des peines appropriées. Cependant, le Burundi </w:t>
      </w:r>
      <w:r w:rsidR="00E969F0">
        <w:rPr>
          <w:rFonts w:eastAsia="MS Mincho"/>
          <w:bCs/>
        </w:rPr>
        <w:t>y reconnaissait</w:t>
      </w:r>
      <w:r w:rsidR="00C61D56" w:rsidRPr="00C61D56">
        <w:rPr>
          <w:rFonts w:eastAsia="MS Mincho"/>
          <w:bCs/>
        </w:rPr>
        <w:t xml:space="preserve"> que certains auteurs</w:t>
      </w:r>
      <w:r w:rsidR="001360A7">
        <w:rPr>
          <w:rFonts w:eastAsia="MS Mincho"/>
          <w:bCs/>
        </w:rPr>
        <w:t xml:space="preserve"> présumés</w:t>
      </w:r>
      <w:r w:rsidR="00C61D56" w:rsidRPr="00C61D56">
        <w:rPr>
          <w:rFonts w:eastAsia="MS Mincho"/>
          <w:bCs/>
        </w:rPr>
        <w:t xml:space="preserve"> des atteintes au droit à la vie </w:t>
      </w:r>
      <w:r w:rsidR="001360A7">
        <w:rPr>
          <w:rFonts w:eastAsia="MS Mincho"/>
          <w:bCs/>
        </w:rPr>
        <w:t>pouvaient</w:t>
      </w:r>
      <w:r w:rsidR="00C61D56" w:rsidRPr="00C61D56">
        <w:rPr>
          <w:rFonts w:eastAsia="MS Mincho"/>
          <w:bCs/>
        </w:rPr>
        <w:t xml:space="preserve"> échapper aux poursuites et </w:t>
      </w:r>
      <w:r w:rsidR="001360A7">
        <w:rPr>
          <w:rFonts w:eastAsia="MS Mincho"/>
          <w:bCs/>
        </w:rPr>
        <w:t xml:space="preserve">aux </w:t>
      </w:r>
      <w:r w:rsidR="00C61D56" w:rsidRPr="00C61D56">
        <w:rPr>
          <w:rFonts w:eastAsia="MS Mincho"/>
          <w:bCs/>
        </w:rPr>
        <w:t xml:space="preserve">condamnations judiciaires du fait qu’ils </w:t>
      </w:r>
      <w:r w:rsidR="001360A7">
        <w:rPr>
          <w:rFonts w:eastAsia="MS Mincho"/>
          <w:bCs/>
        </w:rPr>
        <w:t>n’étaient</w:t>
      </w:r>
      <w:r w:rsidR="00C61D56" w:rsidRPr="00C61D56">
        <w:rPr>
          <w:rFonts w:eastAsia="MS Mincho"/>
          <w:bCs/>
        </w:rPr>
        <w:t xml:space="preserve"> pas identifiés ou qu’ils </w:t>
      </w:r>
      <w:r w:rsidR="00245F5D">
        <w:rPr>
          <w:rFonts w:eastAsia="MS Mincho"/>
          <w:bCs/>
        </w:rPr>
        <w:t>avaient</w:t>
      </w:r>
      <w:r w:rsidR="00C61D56" w:rsidRPr="00C61D56">
        <w:rPr>
          <w:rFonts w:eastAsia="MS Mincho"/>
          <w:bCs/>
        </w:rPr>
        <w:t xml:space="preserve"> pris </w:t>
      </w:r>
      <w:r w:rsidR="00245F5D">
        <w:rPr>
          <w:rFonts w:eastAsia="MS Mincho"/>
          <w:bCs/>
        </w:rPr>
        <w:t xml:space="preserve">la </w:t>
      </w:r>
      <w:r w:rsidR="00C61D56" w:rsidRPr="00C61D56">
        <w:rPr>
          <w:rFonts w:eastAsia="MS Mincho"/>
          <w:bCs/>
        </w:rPr>
        <w:t>fuite vers les pays étrangers</w:t>
      </w:r>
      <w:r w:rsidR="00245F5D">
        <w:rPr>
          <w:rFonts w:eastAsia="MS Mincho"/>
          <w:bCs/>
        </w:rPr>
        <w:t>,</w:t>
      </w:r>
      <w:r w:rsidR="00C61D56" w:rsidRPr="00C61D56">
        <w:rPr>
          <w:rFonts w:eastAsia="MS Mincho"/>
          <w:bCs/>
        </w:rPr>
        <w:t xml:space="preserve"> ou que les moyens de preuve </w:t>
      </w:r>
      <w:r w:rsidR="00245F5D">
        <w:rPr>
          <w:rFonts w:eastAsia="MS Mincho"/>
          <w:bCs/>
        </w:rPr>
        <w:t>avaient</w:t>
      </w:r>
      <w:r w:rsidR="00C61D56" w:rsidRPr="00C61D56">
        <w:rPr>
          <w:rFonts w:eastAsia="MS Mincho"/>
          <w:bCs/>
        </w:rPr>
        <w:t xml:space="preserve"> manqué</w:t>
      </w:r>
      <w:r w:rsidR="00C61D56">
        <w:rPr>
          <w:rStyle w:val="FootnoteReference"/>
          <w:rFonts w:eastAsia="MS Mincho"/>
          <w:bCs/>
        </w:rPr>
        <w:footnoteReference w:id="34"/>
      </w:r>
      <w:r w:rsidR="00C61D56" w:rsidRPr="00C61D56">
        <w:rPr>
          <w:rFonts w:eastAsia="MS Mincho"/>
          <w:bCs/>
        </w:rPr>
        <w:t xml:space="preserve">. Le Rapporteur spécial rappelle que le Burundi a, dans le cadre de l’Examen </w:t>
      </w:r>
      <w:r w:rsidR="00245F5D">
        <w:rPr>
          <w:rFonts w:eastAsia="MS Mincho"/>
          <w:bCs/>
        </w:rPr>
        <w:t>p</w:t>
      </w:r>
      <w:r w:rsidR="00C61D56" w:rsidRPr="00C61D56">
        <w:rPr>
          <w:rFonts w:eastAsia="MS Mincho"/>
          <w:bCs/>
        </w:rPr>
        <w:t xml:space="preserve">ériodique </w:t>
      </w:r>
      <w:r w:rsidR="00245F5D">
        <w:rPr>
          <w:rFonts w:eastAsia="MS Mincho"/>
          <w:bCs/>
        </w:rPr>
        <w:t>u</w:t>
      </w:r>
      <w:r w:rsidR="00C61D56" w:rsidRPr="00C61D56">
        <w:rPr>
          <w:rFonts w:eastAsia="MS Mincho"/>
          <w:bCs/>
        </w:rPr>
        <w:t>niversel de 2018, accepté les recommandations visant à lutter contre l’impunité</w:t>
      </w:r>
      <w:r w:rsidR="00797129">
        <w:rPr>
          <w:rFonts w:eastAsia="MS Mincho"/>
          <w:bCs/>
        </w:rPr>
        <w:t>,</w:t>
      </w:r>
      <w:r w:rsidR="00C61D56" w:rsidRPr="00C61D56">
        <w:rPr>
          <w:rFonts w:eastAsia="MS Mincho"/>
          <w:bCs/>
        </w:rPr>
        <w:t xml:space="preserve"> et </w:t>
      </w:r>
      <w:r w:rsidR="00797129">
        <w:rPr>
          <w:rFonts w:eastAsia="MS Mincho"/>
          <w:bCs/>
        </w:rPr>
        <w:t>consenti à</w:t>
      </w:r>
      <w:r w:rsidR="00C61D56" w:rsidRPr="00C61D56">
        <w:rPr>
          <w:rFonts w:eastAsia="MS Mincho"/>
          <w:bCs/>
        </w:rPr>
        <w:t xml:space="preserve"> mettre en place un système judiciaire pleinement transparent et équitable, conformément aux normes internationales</w:t>
      </w:r>
      <w:r w:rsidR="004E5B43">
        <w:rPr>
          <w:rStyle w:val="FootnoteReference"/>
          <w:rFonts w:eastAsia="MS Mincho"/>
          <w:bCs/>
        </w:rPr>
        <w:footnoteReference w:id="35"/>
      </w:r>
      <w:r w:rsidR="00C61D56" w:rsidRPr="00C61D56">
        <w:rPr>
          <w:rFonts w:eastAsia="MS Mincho"/>
          <w:bCs/>
        </w:rPr>
        <w:t xml:space="preserve">. </w:t>
      </w:r>
      <w:r w:rsidR="00655A99">
        <w:rPr>
          <w:rFonts w:eastAsia="MS Mincho"/>
          <w:bCs/>
        </w:rPr>
        <w:t>À</w:t>
      </w:r>
      <w:r w:rsidR="00C61D56" w:rsidRPr="00C61D56">
        <w:rPr>
          <w:rFonts w:eastAsia="MS Mincho"/>
          <w:bCs/>
        </w:rPr>
        <w:t xml:space="preserve"> cet égard, le Rapporteur spécial recommande</w:t>
      </w:r>
      <w:r w:rsidR="00263388">
        <w:rPr>
          <w:rFonts w:eastAsia="MS Mincho"/>
          <w:bCs/>
        </w:rPr>
        <w:t>, d’une part,</w:t>
      </w:r>
      <w:r w:rsidR="00C61D56" w:rsidRPr="00C61D56">
        <w:rPr>
          <w:rFonts w:eastAsia="MS Mincho"/>
          <w:bCs/>
        </w:rPr>
        <w:t xml:space="preserve"> </w:t>
      </w:r>
      <w:r w:rsidR="00263388">
        <w:rPr>
          <w:rFonts w:eastAsia="MS Mincho"/>
          <w:bCs/>
        </w:rPr>
        <w:t>d’adopter des</w:t>
      </w:r>
      <w:r w:rsidR="00C61D56" w:rsidRPr="00C61D56">
        <w:rPr>
          <w:rFonts w:eastAsia="MS Mincho"/>
          <w:bCs/>
        </w:rPr>
        <w:t xml:space="preserve"> mesures prioritaires afin de faire cesser les violations des droits de l’homme et </w:t>
      </w:r>
      <w:r w:rsidR="00655A99">
        <w:rPr>
          <w:rFonts w:eastAsia="MS Mincho"/>
          <w:bCs/>
        </w:rPr>
        <w:t xml:space="preserve">de </w:t>
      </w:r>
      <w:r w:rsidR="00C61D56" w:rsidRPr="00C61D56">
        <w:rPr>
          <w:rFonts w:eastAsia="MS Mincho"/>
          <w:bCs/>
        </w:rPr>
        <w:t>réparer les préjudices subis</w:t>
      </w:r>
      <w:r w:rsidR="00263388">
        <w:rPr>
          <w:rFonts w:eastAsia="MS Mincho"/>
          <w:bCs/>
        </w:rPr>
        <w:t>,</w:t>
      </w:r>
      <w:r w:rsidR="00C61D56" w:rsidRPr="00C61D56">
        <w:rPr>
          <w:rFonts w:eastAsia="MS Mincho"/>
          <w:bCs/>
        </w:rPr>
        <w:t xml:space="preserve"> et </w:t>
      </w:r>
      <w:r w:rsidR="00263388">
        <w:rPr>
          <w:rFonts w:eastAsia="MS Mincho"/>
          <w:bCs/>
        </w:rPr>
        <w:t xml:space="preserve">d’autre part, </w:t>
      </w:r>
      <w:r w:rsidR="00C61D56" w:rsidRPr="00C61D56">
        <w:rPr>
          <w:rFonts w:eastAsia="MS Mincho"/>
          <w:bCs/>
        </w:rPr>
        <w:t xml:space="preserve">de mettre en œuvre les recommandations des organes </w:t>
      </w:r>
      <w:r w:rsidR="00263388">
        <w:rPr>
          <w:rFonts w:eastAsia="MS Mincho"/>
          <w:bCs/>
        </w:rPr>
        <w:t>conventionnels</w:t>
      </w:r>
      <w:r w:rsidR="00C61D56" w:rsidRPr="00C61D56">
        <w:rPr>
          <w:rFonts w:eastAsia="MS Mincho"/>
          <w:bCs/>
        </w:rPr>
        <w:t xml:space="preserve">, </w:t>
      </w:r>
      <w:r w:rsidR="00914C53">
        <w:rPr>
          <w:rFonts w:eastAsia="MS Mincho"/>
          <w:bCs/>
        </w:rPr>
        <w:t xml:space="preserve">des </w:t>
      </w:r>
      <w:r w:rsidR="00C61D56" w:rsidRPr="00C61D56">
        <w:rPr>
          <w:rFonts w:eastAsia="MS Mincho"/>
          <w:bCs/>
        </w:rPr>
        <w:t xml:space="preserve">procédures spéciales et </w:t>
      </w:r>
      <w:r w:rsidR="00914C53">
        <w:rPr>
          <w:rFonts w:eastAsia="MS Mincho"/>
          <w:bCs/>
        </w:rPr>
        <w:t xml:space="preserve">de </w:t>
      </w:r>
      <w:r w:rsidR="00C61D56" w:rsidRPr="00C61D56">
        <w:rPr>
          <w:rFonts w:eastAsia="MS Mincho"/>
          <w:bCs/>
        </w:rPr>
        <w:t xml:space="preserve">la </w:t>
      </w:r>
      <w:r w:rsidR="00B9177C">
        <w:t>Commission d’enquête</w:t>
      </w:r>
      <w:r w:rsidR="00B9177C" w:rsidRPr="00B9177C">
        <w:t xml:space="preserve"> </w:t>
      </w:r>
      <w:r w:rsidR="00B9177C">
        <w:t>sur le Burundi</w:t>
      </w:r>
      <w:r w:rsidR="00914C53">
        <w:rPr>
          <w:rFonts w:eastAsia="MS Mincho"/>
          <w:bCs/>
        </w:rPr>
        <w:t>.</w:t>
      </w:r>
    </w:p>
    <w:p w14:paraId="736FAA86" w14:textId="03129DA7" w:rsidR="00B26E71" w:rsidRPr="000E1879" w:rsidRDefault="009B1B5A" w:rsidP="00884840">
      <w:pPr>
        <w:pStyle w:val="SingleTxtG"/>
        <w:rPr>
          <w:rFonts w:eastAsia="MS Mincho"/>
          <w:bCs/>
        </w:rPr>
      </w:pPr>
      <w:r>
        <w:rPr>
          <w:rFonts w:eastAsia="MS Mincho"/>
          <w:bCs/>
        </w:rPr>
        <w:t>38</w:t>
      </w:r>
      <w:r w:rsidR="00561A7F">
        <w:rPr>
          <w:rFonts w:eastAsia="MS Mincho"/>
          <w:bCs/>
        </w:rPr>
        <w:t>.</w:t>
      </w:r>
      <w:r>
        <w:rPr>
          <w:rFonts w:eastAsia="MS Mincho"/>
          <w:bCs/>
        </w:rPr>
        <w:tab/>
      </w:r>
      <w:r w:rsidR="00884840" w:rsidRPr="00561A7F">
        <w:rPr>
          <w:rFonts w:eastAsia="MS Mincho"/>
          <w:bCs/>
        </w:rPr>
        <w:t xml:space="preserve">Le </w:t>
      </w:r>
      <w:r w:rsidR="00522571" w:rsidRPr="00561A7F">
        <w:rPr>
          <w:rFonts w:eastAsia="MS Mincho"/>
          <w:bCs/>
        </w:rPr>
        <w:t>Rapporteur spécial se félicite des résultats tangibles de 11</w:t>
      </w:r>
      <w:r w:rsidR="00BA6AD6">
        <w:rPr>
          <w:rFonts w:eastAsia="MS Mincho"/>
          <w:bCs/>
        </w:rPr>
        <w:t> </w:t>
      </w:r>
      <w:r w:rsidR="00B22E1C">
        <w:rPr>
          <w:rFonts w:eastAsia="MS Mincho"/>
          <w:bCs/>
        </w:rPr>
        <w:t>a</w:t>
      </w:r>
      <w:r w:rsidR="001C15CB" w:rsidRPr="00561A7F">
        <w:rPr>
          <w:rFonts w:eastAsia="MS Mincho"/>
          <w:bCs/>
        </w:rPr>
        <w:t>udiences foraines</w:t>
      </w:r>
      <w:r w:rsidR="00522571" w:rsidRPr="00561A7F">
        <w:rPr>
          <w:rFonts w:eastAsia="MS Mincho"/>
          <w:bCs/>
        </w:rPr>
        <w:t xml:space="preserve"> </w:t>
      </w:r>
      <w:r w:rsidR="00B22E1C">
        <w:rPr>
          <w:rFonts w:eastAsia="MS Mincho"/>
          <w:bCs/>
        </w:rPr>
        <w:t xml:space="preserve">tenues </w:t>
      </w:r>
      <w:r w:rsidR="00522571" w:rsidRPr="00561A7F">
        <w:rPr>
          <w:rFonts w:eastAsia="MS Mincho"/>
          <w:bCs/>
        </w:rPr>
        <w:t xml:space="preserve">dans les prisons de </w:t>
      </w:r>
      <w:proofErr w:type="spellStart"/>
      <w:r w:rsidR="00522571" w:rsidRPr="00561A7F">
        <w:rPr>
          <w:rFonts w:eastAsia="MS Mincho"/>
          <w:bCs/>
        </w:rPr>
        <w:t>Mpimba</w:t>
      </w:r>
      <w:proofErr w:type="spellEnd"/>
      <w:r w:rsidR="00522571" w:rsidRPr="00561A7F">
        <w:rPr>
          <w:rFonts w:eastAsia="MS Mincho"/>
          <w:bCs/>
        </w:rPr>
        <w:t xml:space="preserve">, </w:t>
      </w:r>
      <w:r w:rsidR="00965031">
        <w:rPr>
          <w:rFonts w:eastAsia="MS Mincho"/>
          <w:bCs/>
        </w:rPr>
        <w:t xml:space="preserve">de </w:t>
      </w:r>
      <w:r w:rsidR="00522571" w:rsidRPr="00561A7F">
        <w:rPr>
          <w:rFonts w:eastAsia="MS Mincho"/>
          <w:bCs/>
        </w:rPr>
        <w:t xml:space="preserve">Gitega, </w:t>
      </w:r>
      <w:r w:rsidR="00965031">
        <w:rPr>
          <w:rFonts w:eastAsia="MS Mincho"/>
          <w:bCs/>
        </w:rPr>
        <w:t xml:space="preserve">de </w:t>
      </w:r>
      <w:r w:rsidR="00522571" w:rsidRPr="00561A7F">
        <w:rPr>
          <w:rFonts w:eastAsia="MS Mincho"/>
          <w:bCs/>
        </w:rPr>
        <w:t xml:space="preserve">Ngozi, </w:t>
      </w:r>
      <w:r w:rsidR="00965031">
        <w:rPr>
          <w:rFonts w:eastAsia="MS Mincho"/>
          <w:bCs/>
        </w:rPr>
        <w:t xml:space="preserve">de </w:t>
      </w:r>
      <w:r w:rsidR="00522571" w:rsidRPr="00561A7F">
        <w:rPr>
          <w:rFonts w:eastAsia="MS Mincho"/>
          <w:bCs/>
        </w:rPr>
        <w:t xml:space="preserve">Rutana, </w:t>
      </w:r>
      <w:r w:rsidR="00965031">
        <w:rPr>
          <w:rFonts w:eastAsia="MS Mincho"/>
          <w:bCs/>
        </w:rPr>
        <w:t xml:space="preserve">de </w:t>
      </w:r>
      <w:proofErr w:type="spellStart"/>
      <w:r w:rsidR="00522571" w:rsidRPr="00561A7F">
        <w:rPr>
          <w:rFonts w:eastAsia="MS Mincho"/>
          <w:bCs/>
        </w:rPr>
        <w:t>Rumonge</w:t>
      </w:r>
      <w:proofErr w:type="spellEnd"/>
      <w:r w:rsidR="00522571" w:rsidRPr="00561A7F">
        <w:rPr>
          <w:rFonts w:eastAsia="MS Mincho"/>
          <w:bCs/>
        </w:rPr>
        <w:t xml:space="preserve"> et </w:t>
      </w:r>
      <w:r w:rsidR="00965031">
        <w:rPr>
          <w:rFonts w:eastAsia="MS Mincho"/>
          <w:bCs/>
        </w:rPr>
        <w:t xml:space="preserve">de </w:t>
      </w:r>
      <w:r w:rsidR="00522571" w:rsidRPr="00561A7F">
        <w:rPr>
          <w:rFonts w:eastAsia="MS Mincho"/>
          <w:bCs/>
        </w:rPr>
        <w:lastRenderedPageBreak/>
        <w:t>Ruyigi. Ces audiences, organisées à l’effet de donner suite à des lenteurs judiciaires</w:t>
      </w:r>
      <w:r w:rsidR="00965031">
        <w:rPr>
          <w:rFonts w:eastAsia="MS Mincho"/>
          <w:bCs/>
        </w:rPr>
        <w:t>,</w:t>
      </w:r>
      <w:r w:rsidR="00522571" w:rsidRPr="00561A7F">
        <w:rPr>
          <w:rFonts w:eastAsia="MS Mincho"/>
          <w:bCs/>
        </w:rPr>
        <w:t xml:space="preserve"> ont traité des dossiers pénaux et civils sur demande des requérants et des juridictions et </w:t>
      </w:r>
      <w:r w:rsidR="00965031">
        <w:rPr>
          <w:rFonts w:eastAsia="MS Mincho"/>
          <w:bCs/>
        </w:rPr>
        <w:t>p</w:t>
      </w:r>
      <w:r w:rsidR="00522571" w:rsidRPr="00561A7F">
        <w:rPr>
          <w:rFonts w:eastAsia="MS Mincho"/>
          <w:bCs/>
        </w:rPr>
        <w:t>arquets</w:t>
      </w:r>
      <w:r w:rsidR="00965031">
        <w:rPr>
          <w:rFonts w:eastAsia="MS Mincho"/>
          <w:bCs/>
        </w:rPr>
        <w:t>,</w:t>
      </w:r>
      <w:r w:rsidR="00522571" w:rsidRPr="00561A7F">
        <w:rPr>
          <w:rFonts w:eastAsia="MS Mincho"/>
          <w:bCs/>
        </w:rPr>
        <w:t xml:space="preserve"> avec l’appui du Gouvernement, du Centre </w:t>
      </w:r>
      <w:proofErr w:type="spellStart"/>
      <w:r w:rsidR="0011271F">
        <w:rPr>
          <w:rFonts w:eastAsia="MS Mincho"/>
          <w:bCs/>
        </w:rPr>
        <w:t>sous-régional</w:t>
      </w:r>
      <w:proofErr w:type="spellEnd"/>
      <w:r w:rsidR="00586D87">
        <w:rPr>
          <w:rFonts w:eastAsia="MS Mincho"/>
          <w:bCs/>
        </w:rPr>
        <w:t xml:space="preserve"> des</w:t>
      </w:r>
      <w:r w:rsidR="00522571" w:rsidRPr="00561A7F">
        <w:rPr>
          <w:rFonts w:eastAsia="MS Mincho"/>
          <w:bCs/>
        </w:rPr>
        <w:t xml:space="preserve"> </w:t>
      </w:r>
      <w:r w:rsidR="00586D87">
        <w:rPr>
          <w:rFonts w:eastAsia="MS Mincho"/>
          <w:bCs/>
        </w:rPr>
        <w:t>d</w:t>
      </w:r>
      <w:r w:rsidR="00522571" w:rsidRPr="00561A7F">
        <w:rPr>
          <w:rFonts w:eastAsia="MS Mincho"/>
          <w:bCs/>
        </w:rPr>
        <w:t>roits de l’</w:t>
      </w:r>
      <w:r w:rsidR="00586D87">
        <w:rPr>
          <w:rFonts w:eastAsia="MS Mincho"/>
          <w:bCs/>
        </w:rPr>
        <w:t>h</w:t>
      </w:r>
      <w:r w:rsidR="00522571" w:rsidRPr="00561A7F">
        <w:rPr>
          <w:rFonts w:eastAsia="MS Mincho"/>
          <w:bCs/>
        </w:rPr>
        <w:t xml:space="preserve">omme et </w:t>
      </w:r>
      <w:r w:rsidR="00586D87">
        <w:rPr>
          <w:rFonts w:eastAsia="MS Mincho"/>
          <w:bCs/>
        </w:rPr>
        <w:t xml:space="preserve">de </w:t>
      </w:r>
      <w:r w:rsidR="00522571" w:rsidRPr="00561A7F">
        <w:rPr>
          <w:rFonts w:eastAsia="MS Mincho"/>
          <w:bCs/>
        </w:rPr>
        <w:t xml:space="preserve">la </w:t>
      </w:r>
      <w:r w:rsidR="00C160A3">
        <w:rPr>
          <w:rFonts w:eastAsia="MS Mincho"/>
          <w:bCs/>
        </w:rPr>
        <w:t>d</w:t>
      </w:r>
      <w:r w:rsidR="00522571" w:rsidRPr="00561A7F">
        <w:rPr>
          <w:rFonts w:eastAsia="MS Mincho"/>
          <w:bCs/>
        </w:rPr>
        <w:t xml:space="preserve">émocratie en Afrique </w:t>
      </w:r>
      <w:r w:rsidR="00586D87">
        <w:rPr>
          <w:rFonts w:eastAsia="MS Mincho"/>
          <w:bCs/>
        </w:rPr>
        <w:t>c</w:t>
      </w:r>
      <w:r w:rsidR="00522571" w:rsidRPr="00561A7F">
        <w:rPr>
          <w:rFonts w:eastAsia="MS Mincho"/>
          <w:bCs/>
        </w:rPr>
        <w:t>entrale</w:t>
      </w:r>
      <w:r w:rsidR="00586D87">
        <w:rPr>
          <w:rFonts w:eastAsia="MS Mincho"/>
          <w:bCs/>
        </w:rPr>
        <w:t>,</w:t>
      </w:r>
      <w:r w:rsidR="00522571" w:rsidRPr="00561A7F">
        <w:rPr>
          <w:rFonts w:eastAsia="MS Mincho"/>
          <w:bCs/>
        </w:rPr>
        <w:t xml:space="preserve"> et de la Commission </w:t>
      </w:r>
      <w:r w:rsidR="00183ADA">
        <w:rPr>
          <w:rFonts w:eastAsia="MS Mincho"/>
          <w:bCs/>
        </w:rPr>
        <w:t>n</w:t>
      </w:r>
      <w:r w:rsidR="00522571" w:rsidRPr="00561A7F">
        <w:rPr>
          <w:rFonts w:eastAsia="MS Mincho"/>
          <w:bCs/>
        </w:rPr>
        <w:t xml:space="preserve">ationale </w:t>
      </w:r>
      <w:r w:rsidR="00183ADA">
        <w:rPr>
          <w:rFonts w:eastAsia="MS Mincho"/>
          <w:bCs/>
        </w:rPr>
        <w:t>i</w:t>
      </w:r>
      <w:r w:rsidR="00522571" w:rsidRPr="00561A7F">
        <w:rPr>
          <w:rFonts w:eastAsia="MS Mincho"/>
          <w:bCs/>
        </w:rPr>
        <w:t xml:space="preserve">ndépendante des </w:t>
      </w:r>
      <w:r w:rsidR="00183ADA">
        <w:rPr>
          <w:rFonts w:eastAsia="MS Mincho"/>
          <w:bCs/>
        </w:rPr>
        <w:t>d</w:t>
      </w:r>
      <w:r w:rsidR="00522571" w:rsidRPr="00561A7F">
        <w:rPr>
          <w:rFonts w:eastAsia="MS Mincho"/>
          <w:bCs/>
        </w:rPr>
        <w:t>roits de l’</w:t>
      </w:r>
      <w:r w:rsidR="00183ADA">
        <w:rPr>
          <w:rFonts w:eastAsia="MS Mincho"/>
          <w:bCs/>
        </w:rPr>
        <w:t>h</w:t>
      </w:r>
      <w:r w:rsidR="00522571" w:rsidRPr="00561A7F">
        <w:rPr>
          <w:rFonts w:eastAsia="MS Mincho"/>
          <w:bCs/>
        </w:rPr>
        <w:t>omme</w:t>
      </w:r>
      <w:r w:rsidR="00522571" w:rsidRPr="00C36219">
        <w:rPr>
          <w:rStyle w:val="FootnoteReference"/>
          <w:rFonts w:eastAsia="MS Mincho"/>
          <w:bCs/>
          <w:color w:val="000000" w:themeColor="text1"/>
        </w:rPr>
        <w:footnoteReference w:id="36"/>
      </w:r>
      <w:r w:rsidR="00522571">
        <w:rPr>
          <w:rFonts w:eastAsia="MS Mincho"/>
          <w:bCs/>
        </w:rPr>
        <w:t>.</w:t>
      </w:r>
    </w:p>
    <w:p w14:paraId="1DEDD2B0" w14:textId="704D1874" w:rsidR="00522571" w:rsidRPr="00030036" w:rsidRDefault="00522571" w:rsidP="009B1B5A">
      <w:pPr>
        <w:pStyle w:val="H23G"/>
        <w:rPr>
          <w:rFonts w:eastAsia="MS Mincho"/>
          <w:i/>
        </w:rPr>
      </w:pPr>
      <w:r>
        <w:tab/>
      </w:r>
      <w:r w:rsidR="00DB7060" w:rsidRPr="00030036">
        <w:t>6.</w:t>
      </w:r>
      <w:r w:rsidR="009B1B5A">
        <w:tab/>
      </w:r>
      <w:r w:rsidRPr="00030036">
        <w:rPr>
          <w:rFonts w:eastAsia="MS Mincho"/>
        </w:rPr>
        <w:t>Justice transitionnelle</w:t>
      </w:r>
    </w:p>
    <w:p w14:paraId="3F8F2470" w14:textId="4565C1A5" w:rsidR="00D06F00" w:rsidRDefault="009B1B5A" w:rsidP="001C4AB5">
      <w:pPr>
        <w:pStyle w:val="SingleTxtG"/>
        <w:rPr>
          <w:rFonts w:eastAsia="MS Mincho"/>
        </w:rPr>
      </w:pPr>
      <w:r>
        <w:rPr>
          <w:rFonts w:eastAsia="MS Mincho"/>
        </w:rPr>
        <w:t>39</w:t>
      </w:r>
      <w:r w:rsidR="00522571">
        <w:rPr>
          <w:rFonts w:eastAsia="MS Mincho"/>
        </w:rPr>
        <w:t>.</w:t>
      </w:r>
      <w:r>
        <w:rPr>
          <w:rFonts w:eastAsia="MS Mincho"/>
        </w:rPr>
        <w:tab/>
      </w:r>
      <w:r w:rsidR="00522571" w:rsidRPr="00C36219">
        <w:rPr>
          <w:rFonts w:eastAsia="MS Mincho"/>
        </w:rPr>
        <w:t xml:space="preserve">Le </w:t>
      </w:r>
      <w:r w:rsidR="008F7E5E">
        <w:rPr>
          <w:rFonts w:eastAsia="MS Mincho"/>
        </w:rPr>
        <w:t>R</w:t>
      </w:r>
      <w:r w:rsidR="00AB685D">
        <w:rPr>
          <w:rFonts w:eastAsia="MS Mincho"/>
        </w:rPr>
        <w:t xml:space="preserve">apporteur spécial rappelle </w:t>
      </w:r>
      <w:r w:rsidR="00914C53">
        <w:rPr>
          <w:rFonts w:eastAsia="MS Mincho"/>
        </w:rPr>
        <w:t>que</w:t>
      </w:r>
      <w:r w:rsidR="009A127E">
        <w:rPr>
          <w:rFonts w:eastAsia="MS Mincho"/>
        </w:rPr>
        <w:t>,</w:t>
      </w:r>
      <w:r w:rsidR="00914C53">
        <w:rPr>
          <w:rFonts w:eastAsia="MS Mincho"/>
        </w:rPr>
        <w:t xml:space="preserve"> dans le cadre du </w:t>
      </w:r>
      <w:r w:rsidR="009A127E">
        <w:rPr>
          <w:rFonts w:eastAsia="MS Mincho"/>
        </w:rPr>
        <w:t>troisième</w:t>
      </w:r>
      <w:r w:rsidR="00AB685D">
        <w:rPr>
          <w:rFonts w:eastAsia="MS Mincho"/>
        </w:rPr>
        <w:t xml:space="preserve"> E</w:t>
      </w:r>
      <w:r w:rsidR="00914C53">
        <w:rPr>
          <w:rFonts w:eastAsia="MS Mincho"/>
        </w:rPr>
        <w:t xml:space="preserve">xamen </w:t>
      </w:r>
      <w:r w:rsidR="00866F83">
        <w:rPr>
          <w:rFonts w:eastAsia="MS Mincho"/>
        </w:rPr>
        <w:t>p</w:t>
      </w:r>
      <w:r w:rsidR="00914C53">
        <w:rPr>
          <w:rFonts w:eastAsia="MS Mincho"/>
        </w:rPr>
        <w:t xml:space="preserve">ériodique </w:t>
      </w:r>
      <w:r w:rsidR="00285409">
        <w:rPr>
          <w:rFonts w:eastAsia="MS Mincho"/>
        </w:rPr>
        <w:t>u</w:t>
      </w:r>
      <w:r w:rsidR="00914C53">
        <w:rPr>
          <w:rFonts w:eastAsia="MS Mincho"/>
        </w:rPr>
        <w:t>niver</w:t>
      </w:r>
      <w:r w:rsidR="009A127E">
        <w:rPr>
          <w:rFonts w:eastAsia="MS Mincho"/>
        </w:rPr>
        <w:t>s</w:t>
      </w:r>
      <w:r w:rsidR="00914C53">
        <w:rPr>
          <w:rFonts w:eastAsia="MS Mincho"/>
        </w:rPr>
        <w:t>el</w:t>
      </w:r>
      <w:r w:rsidR="00AB685D">
        <w:rPr>
          <w:rFonts w:eastAsia="MS Mincho"/>
        </w:rPr>
        <w:t>, le Burundi a accepté de v</w:t>
      </w:r>
      <w:r w:rsidR="00AB685D" w:rsidRPr="00AB685D">
        <w:rPr>
          <w:rFonts w:eastAsia="MS Mincho"/>
        </w:rPr>
        <w:t>eiller à ce que la Commission</w:t>
      </w:r>
      <w:r w:rsidR="007D04C2">
        <w:rPr>
          <w:rFonts w:eastAsia="MS Mincho"/>
        </w:rPr>
        <w:t xml:space="preserve"> Vérité et </w:t>
      </w:r>
      <w:r w:rsidR="00F04082">
        <w:rPr>
          <w:rFonts w:eastAsia="MS Mincho"/>
        </w:rPr>
        <w:t>r</w:t>
      </w:r>
      <w:r w:rsidR="007D04C2">
        <w:rPr>
          <w:rFonts w:eastAsia="MS Mincho"/>
        </w:rPr>
        <w:t>éconciliation</w:t>
      </w:r>
      <w:r w:rsidR="00E138B8">
        <w:rPr>
          <w:rFonts w:eastAsia="MS Mincho"/>
        </w:rPr>
        <w:t xml:space="preserve"> </w:t>
      </w:r>
      <w:r w:rsidR="00AB685D">
        <w:rPr>
          <w:rFonts w:eastAsia="MS Mincho"/>
        </w:rPr>
        <w:t>s</w:t>
      </w:r>
      <w:r w:rsidR="00F11D0A">
        <w:rPr>
          <w:rFonts w:eastAsia="MS Mincho"/>
        </w:rPr>
        <w:t>’</w:t>
      </w:r>
      <w:r w:rsidR="00AB685D">
        <w:rPr>
          <w:rFonts w:eastAsia="MS Mincho"/>
        </w:rPr>
        <w:t>acquitte</w:t>
      </w:r>
      <w:r w:rsidR="00AB685D" w:rsidRPr="00AB685D">
        <w:rPr>
          <w:rFonts w:eastAsia="MS Mincho"/>
        </w:rPr>
        <w:t xml:space="preserve"> convenablement de son mandat</w:t>
      </w:r>
      <w:r w:rsidR="00AB685D">
        <w:rPr>
          <w:rStyle w:val="FootnoteReference"/>
          <w:rFonts w:eastAsia="MS Mincho"/>
        </w:rPr>
        <w:footnoteReference w:id="37"/>
      </w:r>
      <w:r w:rsidR="00AB685D">
        <w:rPr>
          <w:rFonts w:eastAsia="MS Mincho"/>
        </w:rPr>
        <w:t xml:space="preserve">. Il prend note du </w:t>
      </w:r>
      <w:r w:rsidR="00A86ECC">
        <w:rPr>
          <w:rFonts w:eastAsia="MS Mincho"/>
        </w:rPr>
        <w:t>r</w:t>
      </w:r>
      <w:r w:rsidR="00AB685D">
        <w:rPr>
          <w:rFonts w:eastAsia="MS Mincho"/>
        </w:rPr>
        <w:t xml:space="preserve">apport du </w:t>
      </w:r>
      <w:r w:rsidR="008F7E5E">
        <w:rPr>
          <w:rFonts w:eastAsia="MS Mincho"/>
        </w:rPr>
        <w:t>R</w:t>
      </w:r>
      <w:r w:rsidR="00522571" w:rsidRPr="00C36219">
        <w:rPr>
          <w:rFonts w:eastAsia="MS Mincho"/>
        </w:rPr>
        <w:t xml:space="preserve">apporteur spécial sur la promotion de la vérité, </w:t>
      </w:r>
      <w:r w:rsidR="00A86ECC">
        <w:rPr>
          <w:rFonts w:eastAsia="MS Mincho"/>
        </w:rPr>
        <w:t xml:space="preserve">de </w:t>
      </w:r>
      <w:r w:rsidR="00522571" w:rsidRPr="00C36219">
        <w:rPr>
          <w:rFonts w:eastAsia="MS Mincho"/>
        </w:rPr>
        <w:t xml:space="preserve">la justice, </w:t>
      </w:r>
      <w:r w:rsidR="00A86ECC">
        <w:rPr>
          <w:rFonts w:eastAsia="MS Mincho"/>
        </w:rPr>
        <w:t xml:space="preserve">de </w:t>
      </w:r>
      <w:r w:rsidR="00522571" w:rsidRPr="00C36219">
        <w:rPr>
          <w:rFonts w:eastAsia="MS Mincho"/>
        </w:rPr>
        <w:t xml:space="preserve">la réparation et </w:t>
      </w:r>
      <w:r w:rsidR="00A86ECC">
        <w:rPr>
          <w:rFonts w:eastAsia="MS Mincho"/>
        </w:rPr>
        <w:t>des</w:t>
      </w:r>
      <w:r w:rsidR="00522571" w:rsidRPr="00C36219">
        <w:rPr>
          <w:rFonts w:eastAsia="MS Mincho"/>
        </w:rPr>
        <w:t xml:space="preserve"> garanties de non-</w:t>
      </w:r>
      <w:r w:rsidR="00E23FDC">
        <w:rPr>
          <w:rFonts w:eastAsia="MS Mincho"/>
        </w:rPr>
        <w:t>répétition</w:t>
      </w:r>
      <w:r w:rsidR="00522571" w:rsidRPr="00C36219">
        <w:rPr>
          <w:rFonts w:eastAsia="MS Mincho"/>
        </w:rPr>
        <w:t xml:space="preserve">, </w:t>
      </w:r>
      <w:proofErr w:type="spellStart"/>
      <w:r w:rsidR="00522571" w:rsidRPr="00C36219">
        <w:rPr>
          <w:rFonts w:eastAsia="MS Mincho"/>
        </w:rPr>
        <w:t>Fabián</w:t>
      </w:r>
      <w:proofErr w:type="spellEnd"/>
      <w:r w:rsidR="00522571" w:rsidRPr="00C36219">
        <w:rPr>
          <w:rFonts w:eastAsia="MS Mincho"/>
        </w:rPr>
        <w:t xml:space="preserve"> </w:t>
      </w:r>
      <w:proofErr w:type="spellStart"/>
      <w:r w:rsidR="00522571" w:rsidRPr="00C36219">
        <w:rPr>
          <w:rFonts w:eastAsia="MS Mincho"/>
        </w:rPr>
        <w:t>Salvioli</w:t>
      </w:r>
      <w:proofErr w:type="spellEnd"/>
      <w:r w:rsidR="00E23FDC">
        <w:rPr>
          <w:rFonts w:eastAsia="MS Mincho"/>
        </w:rPr>
        <w:t>,</w:t>
      </w:r>
      <w:r w:rsidR="00522571" w:rsidRPr="00C36219">
        <w:rPr>
          <w:rFonts w:eastAsia="MS Mincho"/>
        </w:rPr>
        <w:t xml:space="preserve"> s</w:t>
      </w:r>
      <w:r w:rsidR="00AB685D">
        <w:rPr>
          <w:rFonts w:eastAsia="MS Mincho"/>
        </w:rPr>
        <w:t xml:space="preserve">ur </w:t>
      </w:r>
      <w:r w:rsidR="00E23FDC">
        <w:rPr>
          <w:rFonts w:eastAsia="MS Mincho"/>
        </w:rPr>
        <w:t>sa visite</w:t>
      </w:r>
      <w:r w:rsidR="00522571" w:rsidRPr="00C36219">
        <w:rPr>
          <w:rFonts w:eastAsia="MS Mincho"/>
        </w:rPr>
        <w:t xml:space="preserve"> au Burundi</w:t>
      </w:r>
      <w:r w:rsidR="00E23FDC">
        <w:rPr>
          <w:rStyle w:val="FootnoteReference"/>
          <w:rFonts w:eastAsia="MS Mincho"/>
        </w:rPr>
        <w:footnoteReference w:id="38"/>
      </w:r>
      <w:r w:rsidR="00522571" w:rsidRPr="00C36219">
        <w:rPr>
          <w:rFonts w:eastAsia="MS Mincho"/>
        </w:rPr>
        <w:t xml:space="preserve">, </w:t>
      </w:r>
      <w:r w:rsidR="00920683">
        <w:rPr>
          <w:rFonts w:eastAsia="MS Mincho"/>
        </w:rPr>
        <w:t>et saisit cette occasion</w:t>
      </w:r>
      <w:r w:rsidR="00522571" w:rsidRPr="00C36219">
        <w:rPr>
          <w:rFonts w:eastAsia="MS Mincho"/>
        </w:rPr>
        <w:t xml:space="preserve"> pour </w:t>
      </w:r>
      <w:r w:rsidR="00AB685D">
        <w:rPr>
          <w:rFonts w:eastAsia="MS Mincho"/>
        </w:rPr>
        <w:t>faire écho aux</w:t>
      </w:r>
      <w:r w:rsidR="00522571" w:rsidRPr="00C36219">
        <w:rPr>
          <w:rFonts w:eastAsia="MS Mincho"/>
        </w:rPr>
        <w:t xml:space="preserve"> analyses de M. </w:t>
      </w:r>
      <w:proofErr w:type="spellStart"/>
      <w:r w:rsidR="00522571" w:rsidRPr="00C36219">
        <w:rPr>
          <w:rFonts w:eastAsia="MS Mincho"/>
        </w:rPr>
        <w:t>Salvioli</w:t>
      </w:r>
      <w:proofErr w:type="spellEnd"/>
      <w:r w:rsidR="00522571" w:rsidRPr="00C36219">
        <w:rPr>
          <w:rFonts w:eastAsia="MS Mincho"/>
        </w:rPr>
        <w:t xml:space="preserve">, </w:t>
      </w:r>
      <w:r w:rsidR="008F7E5E">
        <w:rPr>
          <w:rFonts w:eastAsia="MS Mincho"/>
        </w:rPr>
        <w:t xml:space="preserve">partagées </w:t>
      </w:r>
      <w:r w:rsidR="00522571" w:rsidRPr="00C36219">
        <w:rPr>
          <w:rFonts w:eastAsia="MS Mincho"/>
        </w:rPr>
        <w:t xml:space="preserve">à la suite des visites officielles effectuées </w:t>
      </w:r>
      <w:r w:rsidR="004F0C00">
        <w:rPr>
          <w:rFonts w:eastAsia="MS Mincho"/>
        </w:rPr>
        <w:t xml:space="preserve">au Burundi </w:t>
      </w:r>
      <w:r w:rsidR="00522571" w:rsidRPr="00C36219">
        <w:rPr>
          <w:rFonts w:eastAsia="MS Mincho"/>
        </w:rPr>
        <w:t xml:space="preserve">par son prédécesseur, Pablo de </w:t>
      </w:r>
      <w:proofErr w:type="spellStart"/>
      <w:r w:rsidR="00522571" w:rsidRPr="00C36219">
        <w:rPr>
          <w:rFonts w:eastAsia="MS Mincho"/>
        </w:rPr>
        <w:t>Greiff</w:t>
      </w:r>
      <w:proofErr w:type="spellEnd"/>
      <w:r w:rsidR="00522571" w:rsidRPr="00C36219">
        <w:rPr>
          <w:rFonts w:eastAsia="MS Mincho"/>
        </w:rPr>
        <w:t>, du 8 au 16 décembre 2014 et en mars 2016</w:t>
      </w:r>
      <w:r w:rsidR="00E138B8">
        <w:rPr>
          <w:rFonts w:eastAsia="MS Mincho"/>
        </w:rPr>
        <w:t xml:space="preserve">. Le Rapporteur </w:t>
      </w:r>
      <w:r w:rsidR="00D06F00">
        <w:rPr>
          <w:rFonts w:eastAsia="MS Mincho"/>
        </w:rPr>
        <w:t>spécial souligne</w:t>
      </w:r>
      <w:r w:rsidR="00400922">
        <w:rPr>
          <w:rFonts w:eastAsia="MS Mincho"/>
        </w:rPr>
        <w:t xml:space="preserve"> la nécessité pour le Burundi de mettre en œuvre les recommandations formulées</w:t>
      </w:r>
      <w:r w:rsidR="00522571" w:rsidRPr="00C36219">
        <w:rPr>
          <w:rFonts w:eastAsia="MS Mincho"/>
        </w:rPr>
        <w:t>.</w:t>
      </w:r>
    </w:p>
    <w:p w14:paraId="47B87517" w14:textId="6C135C31" w:rsidR="00522571" w:rsidRDefault="009B1B5A" w:rsidP="001C4AB5">
      <w:pPr>
        <w:pStyle w:val="SingleTxtG"/>
        <w:rPr>
          <w:rFonts w:eastAsia="MS Mincho"/>
        </w:rPr>
      </w:pPr>
      <w:r>
        <w:rPr>
          <w:rFonts w:eastAsia="MS Mincho"/>
        </w:rPr>
        <w:t>40.</w:t>
      </w:r>
      <w:r>
        <w:rPr>
          <w:rFonts w:eastAsia="MS Mincho"/>
        </w:rPr>
        <w:tab/>
      </w:r>
      <w:r w:rsidR="009300BB">
        <w:rPr>
          <w:rFonts w:eastAsia="MS Mincho"/>
        </w:rPr>
        <w:t>Le</w:t>
      </w:r>
      <w:r w:rsidR="00522571">
        <w:rPr>
          <w:rFonts w:eastAsia="MS Mincho"/>
        </w:rPr>
        <w:t xml:space="preserve"> rapport</w:t>
      </w:r>
      <w:r w:rsidR="00522571" w:rsidRPr="00C36219">
        <w:rPr>
          <w:rFonts w:eastAsia="MS Mincho"/>
        </w:rPr>
        <w:t xml:space="preserve"> </w:t>
      </w:r>
      <w:r w:rsidR="009300BB">
        <w:rPr>
          <w:rFonts w:eastAsia="MS Mincho"/>
        </w:rPr>
        <w:t>de M. </w:t>
      </w:r>
      <w:proofErr w:type="spellStart"/>
      <w:r w:rsidR="009300BB">
        <w:rPr>
          <w:rFonts w:eastAsia="MS Mincho"/>
        </w:rPr>
        <w:t>Salvioli</w:t>
      </w:r>
      <w:proofErr w:type="spellEnd"/>
      <w:r w:rsidR="009300BB">
        <w:rPr>
          <w:rFonts w:eastAsia="MS Mincho"/>
        </w:rPr>
        <w:t xml:space="preserve"> </w:t>
      </w:r>
      <w:r w:rsidR="00522571" w:rsidRPr="00C36219">
        <w:rPr>
          <w:rFonts w:eastAsia="MS Mincho"/>
        </w:rPr>
        <w:t>souligne qu’</w:t>
      </w:r>
      <w:r w:rsidR="001C4AB5">
        <w:rPr>
          <w:rFonts w:eastAsia="MS Mincho"/>
        </w:rPr>
        <w:t>e</w:t>
      </w:r>
      <w:r w:rsidR="001C4AB5" w:rsidRPr="001C4AB5">
        <w:rPr>
          <w:rFonts w:eastAsia="MS Mincho"/>
        </w:rPr>
        <w:t xml:space="preserve">n novembre 2018, le </w:t>
      </w:r>
      <w:r w:rsidR="00B1197E">
        <w:rPr>
          <w:rFonts w:eastAsia="MS Mincho"/>
        </w:rPr>
        <w:t>G</w:t>
      </w:r>
      <w:r w:rsidR="001C4AB5" w:rsidRPr="001C4AB5">
        <w:rPr>
          <w:rFonts w:eastAsia="MS Mincho"/>
        </w:rPr>
        <w:t>ouvernement a révisé le mandat d</w:t>
      </w:r>
      <w:r w:rsidR="001C4AB5">
        <w:rPr>
          <w:rFonts w:eastAsia="MS Mincho"/>
        </w:rPr>
        <w:t xml:space="preserve">e la </w:t>
      </w:r>
      <w:r w:rsidR="00FE0ECE" w:rsidRPr="00AB685D">
        <w:rPr>
          <w:rFonts w:eastAsia="MS Mincho"/>
        </w:rPr>
        <w:t>Commission</w:t>
      </w:r>
      <w:r w:rsidR="00FE0ECE">
        <w:rPr>
          <w:rFonts w:eastAsia="MS Mincho"/>
        </w:rPr>
        <w:t xml:space="preserve"> Vérité et réconciliation</w:t>
      </w:r>
      <w:r w:rsidR="001C4AB5" w:rsidRPr="001C4AB5">
        <w:rPr>
          <w:rFonts w:eastAsia="MS Mincho"/>
        </w:rPr>
        <w:t xml:space="preserve"> pour couvrir </w:t>
      </w:r>
      <w:r w:rsidR="007D5FF1">
        <w:rPr>
          <w:rFonts w:eastAsia="MS Mincho"/>
        </w:rPr>
        <w:t>la période du 26 février 1885 au 4 décembre 2008</w:t>
      </w:r>
      <w:r w:rsidR="00E138B8">
        <w:rPr>
          <w:rFonts w:eastAsia="MS Mincho"/>
        </w:rPr>
        <w:t>.</w:t>
      </w:r>
      <w:r w:rsidR="00522571" w:rsidRPr="00C36219">
        <w:rPr>
          <w:rFonts w:eastAsia="MS Mincho"/>
        </w:rPr>
        <w:t xml:space="preserve"> </w:t>
      </w:r>
      <w:r w:rsidR="00E138B8">
        <w:rPr>
          <w:rFonts w:eastAsia="MS Mincho"/>
        </w:rPr>
        <w:t>L</w:t>
      </w:r>
      <w:r w:rsidR="00522571" w:rsidRPr="00C36219">
        <w:rPr>
          <w:rFonts w:eastAsia="MS Mincho"/>
        </w:rPr>
        <w:t xml:space="preserve">a </w:t>
      </w:r>
      <w:r w:rsidR="002A16AB">
        <w:rPr>
          <w:rFonts w:eastAsia="MS Mincho"/>
        </w:rPr>
        <w:t>Commission</w:t>
      </w:r>
      <w:r w:rsidR="00522571" w:rsidRPr="00C36219">
        <w:rPr>
          <w:rFonts w:eastAsia="MS Mincho"/>
        </w:rPr>
        <w:t xml:space="preserve"> a exhumé des restes humains provenant de fosses communes à </w:t>
      </w:r>
      <w:proofErr w:type="spellStart"/>
      <w:r w:rsidR="00522571" w:rsidRPr="00C36219">
        <w:rPr>
          <w:rFonts w:eastAsia="MS Mincho"/>
        </w:rPr>
        <w:t>Kamenge</w:t>
      </w:r>
      <w:proofErr w:type="spellEnd"/>
      <w:r w:rsidR="00522571" w:rsidRPr="00C36219">
        <w:rPr>
          <w:rFonts w:eastAsia="MS Mincho"/>
        </w:rPr>
        <w:t xml:space="preserve"> datant de la crise de 1993-1996, ainsi que les restes de 6</w:t>
      </w:r>
      <w:r w:rsidR="003A6717">
        <w:rPr>
          <w:rFonts w:eastAsia="MS Mincho"/>
        </w:rPr>
        <w:t> </w:t>
      </w:r>
      <w:r w:rsidR="00522571" w:rsidRPr="00C36219">
        <w:rPr>
          <w:rFonts w:eastAsia="MS Mincho"/>
        </w:rPr>
        <w:t>032</w:t>
      </w:r>
      <w:r w:rsidR="003A6717">
        <w:rPr>
          <w:rFonts w:eastAsia="MS Mincho"/>
        </w:rPr>
        <w:t> </w:t>
      </w:r>
      <w:r w:rsidR="00522571" w:rsidRPr="00C36219">
        <w:rPr>
          <w:rFonts w:eastAsia="MS Mincho"/>
        </w:rPr>
        <w:t>victimes, principalement des personnes tuées lors de</w:t>
      </w:r>
      <w:r w:rsidR="008B0F2C">
        <w:rPr>
          <w:rFonts w:eastAsia="MS Mincho"/>
        </w:rPr>
        <w:t>s</w:t>
      </w:r>
      <w:r w:rsidR="00522571" w:rsidRPr="00C36219">
        <w:rPr>
          <w:rFonts w:eastAsia="MS Mincho"/>
        </w:rPr>
        <w:t xml:space="preserve"> massacres commis en 1972 à Ruvubu, dans la province de </w:t>
      </w:r>
      <w:proofErr w:type="spellStart"/>
      <w:r w:rsidR="00522571" w:rsidRPr="00C36219">
        <w:rPr>
          <w:rFonts w:eastAsia="MS Mincho"/>
        </w:rPr>
        <w:t>Karuzi</w:t>
      </w:r>
      <w:proofErr w:type="spellEnd"/>
      <w:r w:rsidR="00522571" w:rsidRPr="00C36219">
        <w:rPr>
          <w:rFonts w:eastAsia="MS Mincho"/>
        </w:rPr>
        <w:t xml:space="preserve">. À la mi-juillet 2020, le </w:t>
      </w:r>
      <w:r w:rsidR="0084452B">
        <w:rPr>
          <w:rFonts w:eastAsia="MS Mincho"/>
        </w:rPr>
        <w:t>P</w:t>
      </w:r>
      <w:r w:rsidR="00522571" w:rsidRPr="00C36219">
        <w:rPr>
          <w:rFonts w:eastAsia="MS Mincho"/>
        </w:rPr>
        <w:t xml:space="preserve">résident de la </w:t>
      </w:r>
      <w:r w:rsidR="0084452B">
        <w:rPr>
          <w:rFonts w:eastAsia="MS Mincho"/>
        </w:rPr>
        <w:t>Commission</w:t>
      </w:r>
      <w:r w:rsidR="00522571" w:rsidRPr="00C36219">
        <w:rPr>
          <w:rFonts w:eastAsia="MS Mincho"/>
        </w:rPr>
        <w:t xml:space="preserve"> a annoncé que les restes de plus de 10</w:t>
      </w:r>
      <w:r w:rsidR="00F7248C">
        <w:rPr>
          <w:rFonts w:eastAsia="MS Mincho"/>
        </w:rPr>
        <w:t> </w:t>
      </w:r>
      <w:r w:rsidR="00522571" w:rsidRPr="00C36219">
        <w:rPr>
          <w:rFonts w:eastAsia="MS Mincho"/>
        </w:rPr>
        <w:t>000</w:t>
      </w:r>
      <w:r w:rsidR="00F7248C">
        <w:rPr>
          <w:rFonts w:eastAsia="MS Mincho"/>
        </w:rPr>
        <w:t> </w:t>
      </w:r>
      <w:r w:rsidR="00522571">
        <w:rPr>
          <w:rFonts w:eastAsia="MS Mincho"/>
        </w:rPr>
        <w:t>personnes avaient été exhumés</w:t>
      </w:r>
      <w:r w:rsidR="00F7248C">
        <w:rPr>
          <w:rStyle w:val="FootnoteReference"/>
          <w:rFonts w:eastAsia="MS Mincho"/>
        </w:rPr>
        <w:footnoteReference w:id="39"/>
      </w:r>
      <w:r w:rsidR="00522571">
        <w:rPr>
          <w:rFonts w:eastAsia="MS Mincho"/>
        </w:rPr>
        <w:t>.</w:t>
      </w:r>
    </w:p>
    <w:p w14:paraId="0A70D451" w14:textId="2C37FDBE" w:rsidR="00522571" w:rsidRDefault="00522571" w:rsidP="00522571">
      <w:pPr>
        <w:pStyle w:val="SingleTxtG"/>
        <w:rPr>
          <w:rFonts w:eastAsia="MS Mincho"/>
        </w:rPr>
      </w:pPr>
      <w:r w:rsidRPr="004D2288">
        <w:rPr>
          <w:rFonts w:eastAsia="MS Mincho"/>
        </w:rPr>
        <w:t>4</w:t>
      </w:r>
      <w:r w:rsidR="009B1B5A">
        <w:rPr>
          <w:rFonts w:eastAsia="MS Mincho"/>
        </w:rPr>
        <w:t>1</w:t>
      </w:r>
      <w:r>
        <w:rPr>
          <w:rFonts w:eastAsia="MS Mincho"/>
        </w:rPr>
        <w:t>.</w:t>
      </w:r>
      <w:r w:rsidR="009B1B5A">
        <w:rPr>
          <w:rFonts w:eastAsia="MS Mincho"/>
        </w:rPr>
        <w:tab/>
      </w:r>
      <w:r w:rsidRPr="00C36219">
        <w:rPr>
          <w:rFonts w:eastAsia="MS Mincho"/>
        </w:rPr>
        <w:t>L</w:t>
      </w:r>
      <w:r w:rsidR="007D5FF1">
        <w:rPr>
          <w:rFonts w:eastAsia="MS Mincho"/>
        </w:rPr>
        <w:t xml:space="preserve">e </w:t>
      </w:r>
      <w:r w:rsidR="00F7248C">
        <w:rPr>
          <w:rFonts w:eastAsia="MS Mincho"/>
        </w:rPr>
        <w:t>r</w:t>
      </w:r>
      <w:r w:rsidR="007D5FF1">
        <w:rPr>
          <w:rFonts w:eastAsia="MS Mincho"/>
        </w:rPr>
        <w:t xml:space="preserve">apport de M. </w:t>
      </w:r>
      <w:proofErr w:type="spellStart"/>
      <w:r w:rsidR="007D5FF1">
        <w:rPr>
          <w:rFonts w:eastAsia="MS Mincho"/>
        </w:rPr>
        <w:t>Salvioli</w:t>
      </w:r>
      <w:proofErr w:type="spellEnd"/>
      <w:r w:rsidR="007D5FF1">
        <w:rPr>
          <w:rFonts w:eastAsia="MS Mincho"/>
        </w:rPr>
        <w:t xml:space="preserve"> souligne </w:t>
      </w:r>
      <w:r w:rsidR="008A3BD0">
        <w:rPr>
          <w:rFonts w:eastAsia="MS Mincho"/>
        </w:rPr>
        <w:t xml:space="preserve">également </w:t>
      </w:r>
      <w:r w:rsidR="007D5FF1">
        <w:rPr>
          <w:rFonts w:eastAsia="MS Mincho"/>
        </w:rPr>
        <w:t>que la</w:t>
      </w:r>
      <w:r w:rsidRPr="00C36219">
        <w:rPr>
          <w:rFonts w:eastAsia="MS Mincho"/>
        </w:rPr>
        <w:t xml:space="preserve"> </w:t>
      </w:r>
      <w:r w:rsidR="00A819D4" w:rsidRPr="00AB685D">
        <w:rPr>
          <w:rFonts w:eastAsia="MS Mincho"/>
        </w:rPr>
        <w:t>Commission</w:t>
      </w:r>
      <w:r w:rsidR="00A819D4">
        <w:rPr>
          <w:rFonts w:eastAsia="MS Mincho"/>
        </w:rPr>
        <w:t xml:space="preserve"> Vérité et réconciliation</w:t>
      </w:r>
      <w:r w:rsidRPr="00C36219">
        <w:rPr>
          <w:rFonts w:eastAsia="MS Mincho"/>
        </w:rPr>
        <w:t xml:space="preserve"> a été critiquée pour s</w:t>
      </w:r>
      <w:r w:rsidR="00F11D0A">
        <w:rPr>
          <w:rFonts w:eastAsia="MS Mincho"/>
        </w:rPr>
        <w:t>’</w:t>
      </w:r>
      <w:r w:rsidRPr="00C36219">
        <w:rPr>
          <w:rFonts w:eastAsia="MS Mincho"/>
        </w:rPr>
        <w:t>être principalement concentrée sur l</w:t>
      </w:r>
      <w:r w:rsidR="00F11D0A">
        <w:rPr>
          <w:rFonts w:eastAsia="MS Mincho"/>
        </w:rPr>
        <w:t>’</w:t>
      </w:r>
      <w:r w:rsidRPr="00C36219">
        <w:rPr>
          <w:rFonts w:eastAsia="MS Mincho"/>
        </w:rPr>
        <w:t>excavation de sites datant de 1972</w:t>
      </w:r>
      <w:r w:rsidR="007207DC">
        <w:rPr>
          <w:rFonts w:eastAsia="MS Mincho"/>
        </w:rPr>
        <w:t>,</w:t>
      </w:r>
      <w:r w:rsidRPr="00C36219">
        <w:rPr>
          <w:rFonts w:eastAsia="MS Mincho"/>
        </w:rPr>
        <w:t xml:space="preserve"> dont les principales victimes sont connues pour avo</w:t>
      </w:r>
      <w:r>
        <w:rPr>
          <w:rFonts w:eastAsia="MS Mincho"/>
        </w:rPr>
        <w:t>ir été des membres de l</w:t>
      </w:r>
      <w:r w:rsidR="00F11D0A">
        <w:rPr>
          <w:rFonts w:eastAsia="MS Mincho"/>
        </w:rPr>
        <w:t>’</w:t>
      </w:r>
      <w:r>
        <w:rPr>
          <w:rFonts w:eastAsia="MS Mincho"/>
        </w:rPr>
        <w:t xml:space="preserve">ethnie </w:t>
      </w:r>
      <w:r w:rsidR="00C355AC">
        <w:rPr>
          <w:rFonts w:eastAsia="MS Mincho"/>
        </w:rPr>
        <w:t>h</w:t>
      </w:r>
      <w:r w:rsidRPr="00C36219">
        <w:rPr>
          <w:rFonts w:eastAsia="MS Mincho"/>
        </w:rPr>
        <w:t>utu</w:t>
      </w:r>
      <w:r w:rsidR="00C355AC">
        <w:rPr>
          <w:rFonts w:eastAsia="MS Mincho"/>
        </w:rPr>
        <w:t>e</w:t>
      </w:r>
      <w:r w:rsidR="006E08A9">
        <w:rPr>
          <w:rFonts w:eastAsia="MS Mincho"/>
        </w:rPr>
        <w:t>,</w:t>
      </w:r>
      <w:r w:rsidRPr="00C36219">
        <w:rPr>
          <w:rFonts w:eastAsia="MS Mincho"/>
        </w:rPr>
        <w:t xml:space="preserve"> et </w:t>
      </w:r>
      <w:r w:rsidR="006E08A9">
        <w:rPr>
          <w:rFonts w:eastAsia="MS Mincho"/>
        </w:rPr>
        <w:t>pour n’</w:t>
      </w:r>
      <w:r w:rsidRPr="00C36219">
        <w:rPr>
          <w:rFonts w:eastAsia="MS Mincho"/>
        </w:rPr>
        <w:t xml:space="preserve">avoir </w:t>
      </w:r>
      <w:r w:rsidR="008B0F2C" w:rsidRPr="00C36219">
        <w:rPr>
          <w:rFonts w:eastAsia="MS Mincho"/>
        </w:rPr>
        <w:t>incl</w:t>
      </w:r>
      <w:r w:rsidR="008B0F2C">
        <w:rPr>
          <w:rFonts w:eastAsia="MS Mincho"/>
        </w:rPr>
        <w:t>u</w:t>
      </w:r>
      <w:r w:rsidR="006E08A9">
        <w:rPr>
          <w:rFonts w:eastAsia="MS Mincho"/>
        </w:rPr>
        <w:t>s</w:t>
      </w:r>
      <w:r>
        <w:rPr>
          <w:rFonts w:eastAsia="MS Mincho"/>
        </w:rPr>
        <w:t xml:space="preserve"> </w:t>
      </w:r>
      <w:r w:rsidR="006E08A9">
        <w:rPr>
          <w:rFonts w:eastAsia="MS Mincho"/>
        </w:rPr>
        <w:t xml:space="preserve">que </w:t>
      </w:r>
      <w:r>
        <w:rPr>
          <w:rFonts w:eastAsia="MS Mincho"/>
        </w:rPr>
        <w:t>peu de victimes de l</w:t>
      </w:r>
      <w:r w:rsidR="00F11D0A">
        <w:rPr>
          <w:rFonts w:eastAsia="MS Mincho"/>
        </w:rPr>
        <w:t>’</w:t>
      </w:r>
      <w:r>
        <w:rPr>
          <w:rFonts w:eastAsia="MS Mincho"/>
        </w:rPr>
        <w:t xml:space="preserve">ethnie </w:t>
      </w:r>
      <w:r w:rsidR="006E08A9">
        <w:rPr>
          <w:rFonts w:eastAsia="MS Mincho"/>
        </w:rPr>
        <w:t>t</w:t>
      </w:r>
      <w:r w:rsidRPr="00C36219">
        <w:rPr>
          <w:rFonts w:eastAsia="MS Mincho"/>
        </w:rPr>
        <w:t>utsi</w:t>
      </w:r>
      <w:r w:rsidR="006E08A9">
        <w:rPr>
          <w:rFonts w:eastAsia="MS Mincho"/>
        </w:rPr>
        <w:t>e</w:t>
      </w:r>
      <w:r w:rsidRPr="00C36219">
        <w:rPr>
          <w:rFonts w:eastAsia="MS Mincho"/>
        </w:rPr>
        <w:t xml:space="preserve"> dans ses enquêtes. Tout en reconnaissant les progrès réalisés par la </w:t>
      </w:r>
      <w:r w:rsidR="00C84653">
        <w:rPr>
          <w:rFonts w:eastAsia="MS Mincho"/>
        </w:rPr>
        <w:t>Commission</w:t>
      </w:r>
      <w:r w:rsidRPr="00C36219">
        <w:rPr>
          <w:rFonts w:eastAsia="MS Mincho"/>
        </w:rPr>
        <w:t xml:space="preserve"> dans l</w:t>
      </w:r>
      <w:r w:rsidR="00F11D0A">
        <w:rPr>
          <w:rFonts w:eastAsia="MS Mincho"/>
        </w:rPr>
        <w:t>’</w:t>
      </w:r>
      <w:r w:rsidRPr="00C36219">
        <w:rPr>
          <w:rFonts w:eastAsia="MS Mincho"/>
        </w:rPr>
        <w:t>identification et l</w:t>
      </w:r>
      <w:r w:rsidR="00F11D0A">
        <w:rPr>
          <w:rFonts w:eastAsia="MS Mincho"/>
        </w:rPr>
        <w:t>’</w:t>
      </w:r>
      <w:r w:rsidRPr="00C36219">
        <w:rPr>
          <w:rFonts w:eastAsia="MS Mincho"/>
        </w:rPr>
        <w:t xml:space="preserve">exhumation des restes de milliers de personnes, </w:t>
      </w:r>
      <w:r w:rsidR="007D5FF1">
        <w:rPr>
          <w:rFonts w:eastAsia="MS Mincho"/>
        </w:rPr>
        <w:t xml:space="preserve">M. </w:t>
      </w:r>
      <w:proofErr w:type="spellStart"/>
      <w:r w:rsidR="007D5FF1">
        <w:rPr>
          <w:rFonts w:eastAsia="MS Mincho"/>
        </w:rPr>
        <w:t>Salvioli</w:t>
      </w:r>
      <w:proofErr w:type="spellEnd"/>
      <w:r w:rsidR="007D5FF1">
        <w:rPr>
          <w:rFonts w:eastAsia="MS Mincho"/>
        </w:rPr>
        <w:t xml:space="preserve"> a</w:t>
      </w:r>
      <w:r w:rsidRPr="00C36219">
        <w:rPr>
          <w:rFonts w:eastAsia="MS Mincho"/>
        </w:rPr>
        <w:t xml:space="preserve"> </w:t>
      </w:r>
      <w:r w:rsidR="00902E6B" w:rsidRPr="00C36219">
        <w:rPr>
          <w:rFonts w:eastAsia="MS Mincho"/>
        </w:rPr>
        <w:t>rappelé</w:t>
      </w:r>
      <w:r w:rsidRPr="00C36219">
        <w:rPr>
          <w:rFonts w:eastAsia="MS Mincho"/>
        </w:rPr>
        <w:t xml:space="preserve"> la nécessité d</w:t>
      </w:r>
      <w:r w:rsidR="00F11D0A">
        <w:rPr>
          <w:rFonts w:eastAsia="MS Mincho"/>
        </w:rPr>
        <w:t>’</w:t>
      </w:r>
      <w:r w:rsidRPr="00C36219">
        <w:rPr>
          <w:rFonts w:eastAsia="MS Mincho"/>
        </w:rPr>
        <w:t xml:space="preserve">assurer un équilibre ethnique dans les enquêtes. Il </w:t>
      </w:r>
      <w:r w:rsidR="007D5FF1">
        <w:rPr>
          <w:rFonts w:eastAsia="MS Mincho"/>
        </w:rPr>
        <w:t xml:space="preserve">a </w:t>
      </w:r>
      <w:r w:rsidRPr="00C36219">
        <w:rPr>
          <w:rFonts w:eastAsia="MS Mincho"/>
        </w:rPr>
        <w:t>not</w:t>
      </w:r>
      <w:r w:rsidR="007D5FF1">
        <w:rPr>
          <w:rFonts w:eastAsia="MS Mincho"/>
        </w:rPr>
        <w:t>é</w:t>
      </w:r>
      <w:r w:rsidRPr="00C36219">
        <w:rPr>
          <w:rFonts w:eastAsia="MS Mincho"/>
        </w:rPr>
        <w:t xml:space="preserve"> avec inquiétude l</w:t>
      </w:r>
      <w:r w:rsidR="00F11D0A">
        <w:rPr>
          <w:rFonts w:eastAsia="MS Mincho"/>
        </w:rPr>
        <w:t>’</w:t>
      </w:r>
      <w:r w:rsidRPr="00C36219">
        <w:rPr>
          <w:rFonts w:eastAsia="MS Mincho"/>
        </w:rPr>
        <w:t xml:space="preserve">affiliation politique rapportée des membres de la </w:t>
      </w:r>
      <w:r w:rsidR="002B2C2D">
        <w:rPr>
          <w:rFonts w:eastAsia="MS Mincho"/>
        </w:rPr>
        <w:t>Commission</w:t>
      </w:r>
      <w:r w:rsidR="007D5FF1">
        <w:rPr>
          <w:rFonts w:eastAsia="MS Mincho"/>
        </w:rPr>
        <w:t xml:space="preserve"> au</w:t>
      </w:r>
      <w:r w:rsidR="00CA2110">
        <w:rPr>
          <w:rFonts w:eastAsia="MS Mincho"/>
        </w:rPr>
        <w:t xml:space="preserve"> </w:t>
      </w:r>
      <w:r w:rsidR="00D06F00">
        <w:rPr>
          <w:rFonts w:eastAsia="MS Mincho"/>
        </w:rPr>
        <w:t>CNDD-FDD</w:t>
      </w:r>
      <w:r w:rsidR="005B623F">
        <w:rPr>
          <w:rStyle w:val="FootnoteReference"/>
          <w:rFonts w:eastAsia="MS Mincho"/>
        </w:rPr>
        <w:footnoteReference w:id="40"/>
      </w:r>
      <w:r w:rsidR="00B7541B">
        <w:rPr>
          <w:rFonts w:eastAsia="MS Mincho"/>
        </w:rPr>
        <w:t>.</w:t>
      </w:r>
    </w:p>
    <w:p w14:paraId="258DDC8D" w14:textId="6C51FC7F" w:rsidR="00B26E71" w:rsidRDefault="00522571" w:rsidP="00522571">
      <w:pPr>
        <w:pStyle w:val="SingleTxtG"/>
      </w:pPr>
      <w:r>
        <w:rPr>
          <w:rFonts w:eastAsia="MS Mincho"/>
        </w:rPr>
        <w:t>4</w:t>
      </w:r>
      <w:r w:rsidR="009B1B5A">
        <w:rPr>
          <w:rFonts w:eastAsia="MS Mincho"/>
        </w:rPr>
        <w:t>2</w:t>
      </w:r>
      <w:r>
        <w:rPr>
          <w:rFonts w:eastAsia="MS Mincho"/>
        </w:rPr>
        <w:t>.</w:t>
      </w:r>
      <w:r w:rsidR="009B1B5A">
        <w:rPr>
          <w:rFonts w:eastAsia="MS Mincho"/>
        </w:rPr>
        <w:tab/>
      </w:r>
      <w:r w:rsidRPr="00C36219">
        <w:rPr>
          <w:rFonts w:eastAsia="MS Mincho"/>
        </w:rPr>
        <w:t>Le Rappo</w:t>
      </w:r>
      <w:r>
        <w:rPr>
          <w:rFonts w:eastAsia="MS Mincho"/>
        </w:rPr>
        <w:t xml:space="preserve">rteur spécial </w:t>
      </w:r>
      <w:r w:rsidR="00B7541B">
        <w:rPr>
          <w:rFonts w:eastAsia="MS Mincho"/>
        </w:rPr>
        <w:t>rappelle</w:t>
      </w:r>
      <w:r w:rsidR="00B7541B" w:rsidRPr="00B7541B">
        <w:rPr>
          <w:rFonts w:eastAsia="MS Mincho"/>
        </w:rPr>
        <w:t xml:space="preserve"> que les commissions vérité doivent non seulement être indépendantes</w:t>
      </w:r>
      <w:r w:rsidR="00610E17">
        <w:rPr>
          <w:rFonts w:eastAsia="MS Mincho"/>
        </w:rPr>
        <w:t>,</w:t>
      </w:r>
      <w:r w:rsidR="00B7541B" w:rsidRPr="00B7541B">
        <w:rPr>
          <w:rFonts w:eastAsia="MS Mincho"/>
        </w:rPr>
        <w:t xml:space="preserve"> mais être perçues comme telles par les parties prenantes pour la consolidation de la paix et de la réconciliation.</w:t>
      </w:r>
      <w:r w:rsidR="00B7541B">
        <w:rPr>
          <w:rFonts w:eastAsia="MS Mincho"/>
        </w:rPr>
        <w:t xml:space="preserve"> </w:t>
      </w:r>
      <w:r w:rsidR="00610E17">
        <w:rPr>
          <w:rFonts w:eastAsia="MS Mincho"/>
        </w:rPr>
        <w:t>Il</w:t>
      </w:r>
      <w:r w:rsidR="00B7541B">
        <w:rPr>
          <w:rFonts w:eastAsia="MS Mincho"/>
        </w:rPr>
        <w:t xml:space="preserve"> </w:t>
      </w:r>
      <w:r w:rsidR="00914C53">
        <w:rPr>
          <w:rFonts w:eastAsia="MS Mincho"/>
        </w:rPr>
        <w:t xml:space="preserve">déplore </w:t>
      </w:r>
      <w:r w:rsidRPr="00C36219">
        <w:rPr>
          <w:rFonts w:eastAsia="MS Mincho"/>
        </w:rPr>
        <w:t>l</w:t>
      </w:r>
      <w:r w:rsidR="005B5242">
        <w:rPr>
          <w:rFonts w:eastAsia="MS Mincho"/>
        </w:rPr>
        <w:t>es faibles</w:t>
      </w:r>
      <w:r w:rsidRPr="00C36219">
        <w:rPr>
          <w:rFonts w:eastAsia="MS Mincho"/>
        </w:rPr>
        <w:t xml:space="preserve"> progrès </w:t>
      </w:r>
      <w:r w:rsidR="00D06F00">
        <w:rPr>
          <w:rFonts w:eastAsia="MS Mincho"/>
        </w:rPr>
        <w:t xml:space="preserve">soulignés </w:t>
      </w:r>
      <w:r w:rsidRPr="00C36219">
        <w:rPr>
          <w:rFonts w:eastAsia="MS Mincho"/>
        </w:rPr>
        <w:t>sur d</w:t>
      </w:r>
      <w:r w:rsidR="00F11D0A">
        <w:rPr>
          <w:rFonts w:eastAsia="MS Mincho"/>
        </w:rPr>
        <w:t>’</w:t>
      </w:r>
      <w:r w:rsidRPr="00C36219">
        <w:rPr>
          <w:rFonts w:eastAsia="MS Mincho"/>
        </w:rPr>
        <w:t xml:space="preserve">autres aspects du programme de justice transitionnelle, en </w:t>
      </w:r>
      <w:bookmarkStart w:id="3" w:name="_Hlk113499592"/>
      <w:r w:rsidRPr="00C36219">
        <w:rPr>
          <w:rFonts w:eastAsia="MS Mincho"/>
        </w:rPr>
        <w:t>particulier la responsabilité, les réparations, la restitution des terres et la réforme du secteur de la sécurité et de la justice</w:t>
      </w:r>
      <w:bookmarkEnd w:id="3"/>
      <w:r w:rsidRPr="00C36219">
        <w:rPr>
          <w:rFonts w:eastAsia="MS Mincho"/>
        </w:rPr>
        <w:t>.</w:t>
      </w:r>
    </w:p>
    <w:p w14:paraId="4E52DEBE" w14:textId="20509265" w:rsidR="00B26E71" w:rsidRDefault="00522571" w:rsidP="009B1B5A">
      <w:pPr>
        <w:pStyle w:val="H23G"/>
      </w:pPr>
      <w:r>
        <w:tab/>
      </w:r>
      <w:r w:rsidR="00DB7060" w:rsidRPr="00BF311C">
        <w:rPr>
          <w:iCs/>
        </w:rPr>
        <w:t>7</w:t>
      </w:r>
      <w:r w:rsidR="00DB7060" w:rsidRPr="004D2288">
        <w:rPr>
          <w:iCs/>
        </w:rPr>
        <w:t>.</w:t>
      </w:r>
      <w:r w:rsidR="009B1B5A">
        <w:rPr>
          <w:iCs/>
        </w:rPr>
        <w:tab/>
      </w:r>
      <w:r w:rsidR="00DB7060" w:rsidRPr="00030036">
        <w:t>L</w:t>
      </w:r>
      <w:r w:rsidRPr="00030036">
        <w:t>iberté</w:t>
      </w:r>
      <w:r w:rsidR="00ED5D2B">
        <w:t>s</w:t>
      </w:r>
      <w:r w:rsidRPr="00030036">
        <w:t xml:space="preserve"> d’expression, d’association et de réunion pacifique</w:t>
      </w:r>
    </w:p>
    <w:p w14:paraId="5C3810D7" w14:textId="41946C77" w:rsidR="00522571" w:rsidRPr="00522571" w:rsidRDefault="00522571" w:rsidP="00522571">
      <w:pPr>
        <w:pStyle w:val="SingleTxtG"/>
      </w:pPr>
      <w:r>
        <w:t>4</w:t>
      </w:r>
      <w:r w:rsidR="009B1B5A">
        <w:t>3</w:t>
      </w:r>
      <w:r>
        <w:t>.</w:t>
      </w:r>
      <w:r w:rsidR="009B1B5A">
        <w:tab/>
      </w:r>
      <w:r w:rsidRPr="00522571">
        <w:t xml:space="preserve">La </w:t>
      </w:r>
      <w:r w:rsidR="00B9177C">
        <w:t>Commission d’enquête</w:t>
      </w:r>
      <w:r w:rsidR="00B9177C" w:rsidRPr="00B9177C">
        <w:t xml:space="preserve"> </w:t>
      </w:r>
      <w:r w:rsidR="00B9177C">
        <w:t>sur le Burundi</w:t>
      </w:r>
      <w:r w:rsidRPr="00522571">
        <w:t xml:space="preserve"> et le Comité des droits de l’homme ont pu déceler des obstacles à la mise en œuvre des libertés d’expression, d’association et de réunion pacifique. En ce qui concerne les atteintes au droit à la liberté d’expression</w:t>
      </w:r>
      <w:r w:rsidR="001C299F">
        <w:t>,</w:t>
      </w:r>
      <w:r w:rsidRPr="00522571">
        <w:t xml:space="preserve"> par exemple, la </w:t>
      </w:r>
      <w:r w:rsidR="00B9177C">
        <w:t>Commission d’enquête</w:t>
      </w:r>
      <w:r w:rsidRPr="00522571">
        <w:t xml:space="preserve"> </w:t>
      </w:r>
      <w:r w:rsidR="00ED5D2B">
        <w:t>a</w:t>
      </w:r>
      <w:r w:rsidRPr="00522571">
        <w:t xml:space="preserve"> souligné qu</w:t>
      </w:r>
      <w:r w:rsidR="00361035">
        <w:t xml:space="preserve">e </w:t>
      </w:r>
      <w:r w:rsidR="00361035">
        <w:rPr>
          <w:rFonts w:eastAsia="MS Mincho"/>
        </w:rPr>
        <w:t>l</w:t>
      </w:r>
      <w:r w:rsidR="002734E7" w:rsidRPr="009B1B5A">
        <w:rPr>
          <w:rFonts w:eastAsia="MS Mincho"/>
        </w:rPr>
        <w:t>e Gouvernement a</w:t>
      </w:r>
      <w:r w:rsidR="00361035">
        <w:rPr>
          <w:rFonts w:eastAsia="MS Mincho"/>
        </w:rPr>
        <w:t>vait</w:t>
      </w:r>
      <w:r w:rsidR="002734E7" w:rsidRPr="009B1B5A">
        <w:rPr>
          <w:rFonts w:eastAsia="MS Mincho"/>
        </w:rPr>
        <w:t xml:space="preserve"> pris des mesures pour </w:t>
      </w:r>
      <w:r w:rsidR="00F24B74" w:rsidRPr="009B1B5A">
        <w:rPr>
          <w:rFonts w:eastAsia="MS Mincho"/>
        </w:rPr>
        <w:t>desserrer</w:t>
      </w:r>
      <w:r w:rsidR="002734E7" w:rsidRPr="009B1B5A">
        <w:rPr>
          <w:rFonts w:eastAsia="MS Mincho"/>
        </w:rPr>
        <w:t xml:space="preserve"> l’étau qui pesait sur la presse</w:t>
      </w:r>
      <w:r w:rsidR="00A12422">
        <w:rPr>
          <w:rFonts w:eastAsia="MS Mincho"/>
        </w:rPr>
        <w:t>, mais que ces mesures,</w:t>
      </w:r>
      <w:r w:rsidR="002734E7" w:rsidRPr="009B1B5A">
        <w:rPr>
          <w:rFonts w:eastAsia="MS Mincho"/>
        </w:rPr>
        <w:t xml:space="preserve"> plus symboliques que structurelles, ne </w:t>
      </w:r>
      <w:r w:rsidR="008323F3">
        <w:rPr>
          <w:rFonts w:eastAsia="MS Mincho"/>
        </w:rPr>
        <w:t>pouvaient</w:t>
      </w:r>
      <w:r w:rsidR="002734E7" w:rsidRPr="009B1B5A">
        <w:rPr>
          <w:rFonts w:eastAsia="MS Mincho"/>
        </w:rPr>
        <w:t xml:space="preserve"> pas garantir effectivement et durablement les libertés d’information et d’expression</w:t>
      </w:r>
      <w:r w:rsidRPr="006C10E2">
        <w:rPr>
          <w:rStyle w:val="EndnoteReference"/>
        </w:rPr>
        <w:footnoteReference w:id="41"/>
      </w:r>
      <w:r w:rsidRPr="00522571">
        <w:t>.</w:t>
      </w:r>
    </w:p>
    <w:p w14:paraId="66697867" w14:textId="2E393B4F" w:rsidR="00522571" w:rsidRPr="00522571" w:rsidRDefault="00522571" w:rsidP="00522571">
      <w:pPr>
        <w:pStyle w:val="SingleTxtG"/>
        <w:rPr>
          <w:rFonts w:eastAsia="MS Mincho"/>
        </w:rPr>
      </w:pPr>
      <w:r>
        <w:rPr>
          <w:rFonts w:eastAsia="MS Mincho"/>
        </w:rPr>
        <w:t>4</w:t>
      </w:r>
      <w:r w:rsidR="009B1B5A">
        <w:rPr>
          <w:rFonts w:eastAsia="MS Mincho"/>
        </w:rPr>
        <w:t>4</w:t>
      </w:r>
      <w:r>
        <w:rPr>
          <w:rFonts w:eastAsia="MS Mincho"/>
        </w:rPr>
        <w:t>.</w:t>
      </w:r>
      <w:r w:rsidR="009B1B5A">
        <w:rPr>
          <w:rFonts w:eastAsia="MS Mincho"/>
        </w:rPr>
        <w:tab/>
      </w:r>
      <w:r w:rsidRPr="00522571">
        <w:rPr>
          <w:rFonts w:eastAsia="MS Mincho"/>
        </w:rPr>
        <w:t xml:space="preserve">Relativement à la liberté de réunion pacifique, la </w:t>
      </w:r>
      <w:r w:rsidR="00B9177C">
        <w:t>Commission d’enquête</w:t>
      </w:r>
      <w:r w:rsidR="00B9177C" w:rsidRPr="00B9177C">
        <w:t xml:space="preserve"> </w:t>
      </w:r>
      <w:r w:rsidR="00B9177C">
        <w:t>sur le Burundi</w:t>
      </w:r>
      <w:r w:rsidRPr="00522571">
        <w:rPr>
          <w:rFonts w:eastAsia="MS Mincho"/>
        </w:rPr>
        <w:t xml:space="preserve"> a pu constater que les partis politiques d’opposition ou même des syndicats pouvaient difficilement se réunir. </w:t>
      </w:r>
      <w:r w:rsidR="0004702F">
        <w:rPr>
          <w:rFonts w:eastAsia="MS Mincho"/>
        </w:rPr>
        <w:t>En effet</w:t>
      </w:r>
      <w:r w:rsidR="000946D2">
        <w:rPr>
          <w:rFonts w:eastAsia="MS Mincho"/>
        </w:rPr>
        <w:t>, s</w:t>
      </w:r>
      <w:r w:rsidRPr="00522571">
        <w:rPr>
          <w:rFonts w:eastAsia="MS Mincho"/>
        </w:rPr>
        <w:t>oit l’autorisation leur était refusée</w:t>
      </w:r>
      <w:r w:rsidR="000946D2">
        <w:rPr>
          <w:rFonts w:eastAsia="MS Mincho"/>
        </w:rPr>
        <w:t>,</w:t>
      </w:r>
      <w:r w:rsidRPr="00522571">
        <w:rPr>
          <w:rFonts w:eastAsia="MS Mincho"/>
        </w:rPr>
        <w:t xml:space="preserve"> </w:t>
      </w:r>
      <w:r w:rsidR="00E64F1F">
        <w:rPr>
          <w:rFonts w:eastAsia="MS Mincho"/>
        </w:rPr>
        <w:t>soit</w:t>
      </w:r>
      <w:r w:rsidRPr="00522571">
        <w:rPr>
          <w:rFonts w:eastAsia="MS Mincho"/>
        </w:rPr>
        <w:t xml:space="preserve"> les </w:t>
      </w:r>
      <w:r w:rsidRPr="00522571">
        <w:rPr>
          <w:rFonts w:eastAsia="MS Mincho"/>
        </w:rPr>
        <w:lastRenderedPageBreak/>
        <w:t xml:space="preserve">réunions, quand elles </w:t>
      </w:r>
      <w:r w:rsidR="000946D2">
        <w:rPr>
          <w:rFonts w:eastAsia="MS Mincho"/>
        </w:rPr>
        <w:t>avaient</w:t>
      </w:r>
      <w:r w:rsidRPr="00522571">
        <w:rPr>
          <w:rFonts w:eastAsia="MS Mincho"/>
        </w:rPr>
        <w:t xml:space="preserve"> pu se tenir, </w:t>
      </w:r>
      <w:r w:rsidR="000946D2">
        <w:rPr>
          <w:rFonts w:eastAsia="MS Mincho"/>
        </w:rPr>
        <w:t>avaient</w:t>
      </w:r>
      <w:r w:rsidRPr="00522571">
        <w:rPr>
          <w:rFonts w:eastAsia="MS Mincho"/>
        </w:rPr>
        <w:t xml:space="preserve"> été perturbées</w:t>
      </w:r>
      <w:r w:rsidR="00685457">
        <w:rPr>
          <w:rStyle w:val="FootnoteReference"/>
          <w:rFonts w:eastAsia="MS Mincho"/>
        </w:rPr>
        <w:footnoteReference w:id="42"/>
      </w:r>
      <w:r>
        <w:rPr>
          <w:rFonts w:eastAsia="MS Mincho"/>
        </w:rPr>
        <w:t>.</w:t>
      </w:r>
      <w:r w:rsidR="002734E7">
        <w:rPr>
          <w:rFonts w:eastAsia="MS Mincho"/>
        </w:rPr>
        <w:t xml:space="preserve"> Le parti d’opposition </w:t>
      </w:r>
      <w:r w:rsidR="00094D8C">
        <w:rPr>
          <w:rFonts w:eastAsia="MS Mincho"/>
        </w:rPr>
        <w:t>du Congrès national pour la liberté</w:t>
      </w:r>
      <w:r w:rsidR="002734E7">
        <w:rPr>
          <w:rFonts w:eastAsia="MS Mincho"/>
        </w:rPr>
        <w:t xml:space="preserve"> a connu de nombreuses restrictions pour organiser des réunions et </w:t>
      </w:r>
      <w:r w:rsidR="00094D8C">
        <w:rPr>
          <w:rFonts w:eastAsia="MS Mincho"/>
        </w:rPr>
        <w:t xml:space="preserve">des </w:t>
      </w:r>
      <w:r w:rsidR="0096038A">
        <w:rPr>
          <w:rFonts w:eastAsia="MS Mincho"/>
        </w:rPr>
        <w:t xml:space="preserve">rassemblements, </w:t>
      </w:r>
      <w:r w:rsidR="00F24B74">
        <w:rPr>
          <w:rFonts w:eastAsia="MS Mincho"/>
        </w:rPr>
        <w:t>s</w:t>
      </w:r>
      <w:r w:rsidR="0096038A">
        <w:rPr>
          <w:rFonts w:eastAsia="MS Mincho"/>
        </w:rPr>
        <w:t>es permanences ont été sa</w:t>
      </w:r>
      <w:r w:rsidR="007D04C2">
        <w:rPr>
          <w:rFonts w:eastAsia="MS Mincho"/>
        </w:rPr>
        <w:t xml:space="preserve">ccagées </w:t>
      </w:r>
      <w:r w:rsidR="0096038A">
        <w:rPr>
          <w:rFonts w:eastAsia="MS Mincho"/>
        </w:rPr>
        <w:t xml:space="preserve">et des militants ont été harcelés par des </w:t>
      </w:r>
      <w:proofErr w:type="spellStart"/>
      <w:r w:rsidR="0096038A">
        <w:rPr>
          <w:rFonts w:eastAsia="MS Mincho"/>
        </w:rPr>
        <w:t>Imbonerakure</w:t>
      </w:r>
      <w:proofErr w:type="spellEnd"/>
      <w:r w:rsidR="002734E7">
        <w:rPr>
          <w:rStyle w:val="FootnoteReference"/>
          <w:rFonts w:eastAsia="MS Mincho"/>
        </w:rPr>
        <w:footnoteReference w:id="43"/>
      </w:r>
      <w:r w:rsidR="002734E7">
        <w:rPr>
          <w:rFonts w:eastAsia="MS Mincho"/>
        </w:rPr>
        <w:t>.</w:t>
      </w:r>
      <w:r w:rsidR="002D583A">
        <w:rPr>
          <w:rFonts w:eastAsia="MS Mincho"/>
        </w:rPr>
        <w:t xml:space="preserve"> Le Rapporteur spécial est préoccupé par les nombreuses exactions commises par les </w:t>
      </w:r>
      <w:proofErr w:type="spellStart"/>
      <w:r w:rsidR="002D583A">
        <w:rPr>
          <w:rFonts w:eastAsia="MS Mincho"/>
        </w:rPr>
        <w:t>Imbonerakure</w:t>
      </w:r>
      <w:proofErr w:type="spellEnd"/>
      <w:r w:rsidR="002D583A">
        <w:rPr>
          <w:rFonts w:eastAsia="MS Mincho"/>
        </w:rPr>
        <w:t xml:space="preserve"> dans la crise politique que traverse le Burundi depuis 2015</w:t>
      </w:r>
      <w:r w:rsidR="00E13F39">
        <w:rPr>
          <w:rFonts w:eastAsia="MS Mincho"/>
        </w:rPr>
        <w:t>,</w:t>
      </w:r>
      <w:r w:rsidR="002D583A">
        <w:rPr>
          <w:rFonts w:eastAsia="MS Mincho"/>
        </w:rPr>
        <w:t xml:space="preserve"> et recommande </w:t>
      </w:r>
      <w:r w:rsidR="00914C53">
        <w:rPr>
          <w:rFonts w:eastAsia="MS Mincho"/>
        </w:rPr>
        <w:t xml:space="preserve">que </w:t>
      </w:r>
      <w:r w:rsidR="002D583A">
        <w:rPr>
          <w:rFonts w:eastAsia="MS Mincho"/>
        </w:rPr>
        <w:t>les auteurs de ces exactions soient systématiquement traduits en justice.</w:t>
      </w:r>
    </w:p>
    <w:p w14:paraId="773D00E0" w14:textId="529A2203" w:rsidR="00B26E71" w:rsidRDefault="00522571" w:rsidP="00522571">
      <w:pPr>
        <w:pStyle w:val="SingleTxtG"/>
        <w:rPr>
          <w:rFonts w:eastAsia="MS Mincho"/>
        </w:rPr>
      </w:pPr>
      <w:r>
        <w:rPr>
          <w:rFonts w:eastAsia="MS Mincho"/>
        </w:rPr>
        <w:t>4</w:t>
      </w:r>
      <w:r w:rsidR="009B1B5A">
        <w:rPr>
          <w:rFonts w:eastAsia="MS Mincho"/>
        </w:rPr>
        <w:t>5.</w:t>
      </w:r>
      <w:r w:rsidR="009B1B5A">
        <w:rPr>
          <w:rFonts w:eastAsia="MS Mincho"/>
        </w:rPr>
        <w:tab/>
      </w:r>
      <w:r w:rsidR="00FD6102">
        <w:rPr>
          <w:rFonts w:eastAsia="MS Mincho"/>
        </w:rPr>
        <w:t>Selon</w:t>
      </w:r>
      <w:r w:rsidR="00294291">
        <w:rPr>
          <w:rFonts w:eastAsia="MS Mincho"/>
        </w:rPr>
        <w:t xml:space="preserve"> la </w:t>
      </w:r>
      <w:r w:rsidR="00B9177C">
        <w:t>Commission d’enquête</w:t>
      </w:r>
      <w:r w:rsidR="00B9177C" w:rsidRPr="00B9177C">
        <w:t xml:space="preserve"> </w:t>
      </w:r>
      <w:r w:rsidR="00B9177C">
        <w:t>sur le Burundi</w:t>
      </w:r>
      <w:r w:rsidR="00FD6102">
        <w:rPr>
          <w:rFonts w:eastAsia="MS Mincho"/>
        </w:rPr>
        <w:t>,</w:t>
      </w:r>
      <w:r w:rsidRPr="00522571">
        <w:rPr>
          <w:rFonts w:eastAsia="MS Mincho"/>
        </w:rPr>
        <w:t xml:space="preserve"> les partis politiques d’opposition doivent souvent se réunir clandestinement par peur des persécutions des forces de l’ordre et des </w:t>
      </w:r>
      <w:proofErr w:type="spellStart"/>
      <w:r w:rsidRPr="00522571">
        <w:rPr>
          <w:rFonts w:eastAsia="MS Mincho"/>
        </w:rPr>
        <w:t>Imbonerakure</w:t>
      </w:r>
      <w:proofErr w:type="spellEnd"/>
      <w:r w:rsidRPr="00522571">
        <w:rPr>
          <w:rFonts w:eastAsia="MS Mincho"/>
        </w:rPr>
        <w:t xml:space="preserve">. Elle a également reçu des témoignages de personnes qui ont été forcées de participer à des réunions organisées au niveau local par le CNDD-FDD ou les </w:t>
      </w:r>
      <w:proofErr w:type="spellStart"/>
      <w:r w:rsidRPr="00522571">
        <w:rPr>
          <w:rFonts w:eastAsia="MS Mincho"/>
        </w:rPr>
        <w:t>Imbonerakure</w:t>
      </w:r>
      <w:proofErr w:type="spellEnd"/>
      <w:r w:rsidRPr="00522571">
        <w:rPr>
          <w:rFonts w:eastAsia="MS Mincho"/>
        </w:rPr>
        <w:t xml:space="preserve">, notamment </w:t>
      </w:r>
      <w:r w:rsidR="00882BDE">
        <w:rPr>
          <w:rFonts w:eastAsia="MS Mincho"/>
        </w:rPr>
        <w:t xml:space="preserve">pour </w:t>
      </w:r>
      <w:r w:rsidRPr="00522571">
        <w:rPr>
          <w:rFonts w:eastAsia="MS Mincho"/>
        </w:rPr>
        <w:t>des réunions de sensibilisation à la révision de la Constitution</w:t>
      </w:r>
      <w:r w:rsidR="00796FE0">
        <w:rPr>
          <w:rStyle w:val="FootnoteReference"/>
          <w:rFonts w:eastAsia="MS Mincho"/>
        </w:rPr>
        <w:footnoteReference w:id="44"/>
      </w:r>
      <w:r w:rsidRPr="00522571">
        <w:rPr>
          <w:rFonts w:eastAsia="MS Mincho"/>
        </w:rPr>
        <w:t>.</w:t>
      </w:r>
    </w:p>
    <w:p w14:paraId="4CC60835" w14:textId="30C18371" w:rsidR="00F82049" w:rsidRDefault="009B1B5A" w:rsidP="00522571">
      <w:pPr>
        <w:pStyle w:val="SingleTxtG"/>
        <w:rPr>
          <w:rFonts w:eastAsia="MS Mincho"/>
        </w:rPr>
      </w:pPr>
      <w:r>
        <w:rPr>
          <w:rFonts w:eastAsia="MS Mincho"/>
        </w:rPr>
        <w:t>46</w:t>
      </w:r>
      <w:r w:rsidR="00F82049">
        <w:rPr>
          <w:rFonts w:eastAsia="MS Mincho"/>
        </w:rPr>
        <w:t>.</w:t>
      </w:r>
      <w:r>
        <w:rPr>
          <w:rFonts w:eastAsia="MS Mincho"/>
        </w:rPr>
        <w:tab/>
      </w:r>
      <w:r w:rsidR="00F82049" w:rsidRPr="00F82049">
        <w:rPr>
          <w:rFonts w:eastAsia="MS Mincho"/>
        </w:rPr>
        <w:t xml:space="preserve">Le Rapporteur spécial encourage le </w:t>
      </w:r>
      <w:r w:rsidR="00417A63">
        <w:rPr>
          <w:rFonts w:eastAsia="MS Mincho"/>
        </w:rPr>
        <w:t>G</w:t>
      </w:r>
      <w:r w:rsidR="00F82049" w:rsidRPr="00F82049">
        <w:rPr>
          <w:rFonts w:eastAsia="MS Mincho"/>
        </w:rPr>
        <w:t xml:space="preserve">ouvernement à veiller à ce que toutes les violations commises à l’encontre de </w:t>
      </w:r>
      <w:r w:rsidR="002D583A">
        <w:rPr>
          <w:rFonts w:eastAsia="MS Mincho"/>
        </w:rPr>
        <w:t>partis politiques</w:t>
      </w:r>
      <w:r w:rsidR="00417A63">
        <w:rPr>
          <w:rFonts w:eastAsia="MS Mincho"/>
        </w:rPr>
        <w:t xml:space="preserve"> et</w:t>
      </w:r>
      <w:r w:rsidR="00914C53">
        <w:rPr>
          <w:rFonts w:eastAsia="MS Mincho"/>
        </w:rPr>
        <w:t xml:space="preserve"> de syndicats</w:t>
      </w:r>
      <w:r w:rsidR="00F82049" w:rsidRPr="00F82049">
        <w:rPr>
          <w:rFonts w:eastAsia="MS Mincho"/>
        </w:rPr>
        <w:t xml:space="preserve"> fassent l’objet d’enquêtes approfondies et impartiales.</w:t>
      </w:r>
    </w:p>
    <w:p w14:paraId="3EA62398" w14:textId="0ADC455E" w:rsidR="00DB2EA2" w:rsidRPr="009B1B5A" w:rsidRDefault="009B1B5A" w:rsidP="009B1B5A">
      <w:pPr>
        <w:pStyle w:val="H1G"/>
        <w:rPr>
          <w:lang w:val="fr-FR"/>
        </w:rPr>
      </w:pPr>
      <w:r>
        <w:rPr>
          <w:lang w:val="fr-FR"/>
        </w:rPr>
        <w:tab/>
      </w:r>
      <w:r w:rsidR="00DB2EA2" w:rsidRPr="009B1B5A">
        <w:rPr>
          <w:lang w:val="fr-FR"/>
        </w:rPr>
        <w:t>B.</w:t>
      </w:r>
      <w:r w:rsidRPr="009B1B5A">
        <w:rPr>
          <w:lang w:val="fr-FR"/>
        </w:rPr>
        <w:tab/>
      </w:r>
      <w:r w:rsidR="00D55467">
        <w:rPr>
          <w:lang w:val="fr-FR"/>
        </w:rPr>
        <w:t>D</w:t>
      </w:r>
      <w:r w:rsidR="00DB2EA2" w:rsidRPr="009B1B5A">
        <w:rPr>
          <w:lang w:val="fr-FR"/>
        </w:rPr>
        <w:t>roits économiques</w:t>
      </w:r>
      <w:r w:rsidR="00882BDE" w:rsidRPr="009B1B5A">
        <w:rPr>
          <w:lang w:val="fr-FR"/>
        </w:rPr>
        <w:t xml:space="preserve"> et</w:t>
      </w:r>
      <w:r w:rsidR="00DB2EA2" w:rsidRPr="009B1B5A">
        <w:rPr>
          <w:lang w:val="fr-FR"/>
        </w:rPr>
        <w:t xml:space="preserve"> sociaux</w:t>
      </w:r>
    </w:p>
    <w:p w14:paraId="06B06480" w14:textId="355BA634" w:rsidR="00DB2EA2" w:rsidRDefault="009B1B5A" w:rsidP="00DB2EA2">
      <w:pPr>
        <w:pStyle w:val="SingleTxtG"/>
      </w:pPr>
      <w:r>
        <w:rPr>
          <w:rFonts w:eastAsia="MS Mincho"/>
        </w:rPr>
        <w:t>47</w:t>
      </w:r>
      <w:r w:rsidR="00DB2EA2">
        <w:rPr>
          <w:rFonts w:eastAsia="MS Mincho"/>
        </w:rPr>
        <w:t>.</w:t>
      </w:r>
      <w:r>
        <w:rPr>
          <w:rFonts w:eastAsia="MS Mincho"/>
        </w:rPr>
        <w:tab/>
      </w:r>
      <w:r w:rsidR="00DB2EA2" w:rsidRPr="00C36219">
        <w:rPr>
          <w:rFonts w:eastAsia="MS Mincho"/>
        </w:rPr>
        <w:t>Les crises politiques au Burundi ont depuis longtemps eu des conséquences directes sur la jouissance des droits économiques</w:t>
      </w:r>
      <w:r w:rsidR="00882BDE">
        <w:rPr>
          <w:rFonts w:eastAsia="MS Mincho"/>
        </w:rPr>
        <w:t xml:space="preserve"> et</w:t>
      </w:r>
      <w:r w:rsidR="00DB2EA2" w:rsidRPr="00C36219">
        <w:rPr>
          <w:rFonts w:eastAsia="MS Mincho"/>
        </w:rPr>
        <w:t xml:space="preserve"> sociaux </w:t>
      </w:r>
      <w:r w:rsidR="00ED39B1">
        <w:rPr>
          <w:rFonts w:eastAsia="MS Mincho"/>
        </w:rPr>
        <w:t>par</w:t>
      </w:r>
      <w:r w:rsidR="00DB2EA2" w:rsidRPr="00C36219">
        <w:rPr>
          <w:rFonts w:eastAsia="MS Mincho"/>
        </w:rPr>
        <w:t xml:space="preserve"> la population</w:t>
      </w:r>
      <w:r w:rsidR="00347A69">
        <w:rPr>
          <w:rFonts w:eastAsia="MS Mincho"/>
        </w:rPr>
        <w:t>. L</w:t>
      </w:r>
      <w:r w:rsidR="00DB2EA2" w:rsidRPr="00C36219">
        <w:rPr>
          <w:rFonts w:eastAsia="MS Mincho"/>
        </w:rPr>
        <w:t>’</w:t>
      </w:r>
      <w:r w:rsidR="00F93D8E">
        <w:rPr>
          <w:rFonts w:eastAsia="MS Mincho"/>
        </w:rPr>
        <w:t>A</w:t>
      </w:r>
      <w:r w:rsidR="00DB2EA2" w:rsidRPr="00C36219">
        <w:rPr>
          <w:rFonts w:eastAsia="MS Mincho"/>
        </w:rPr>
        <w:t xml:space="preserve">ccord d’Arusha a identifié l’insatisfaction des besoins de base des citoyens comme </w:t>
      </w:r>
      <w:r w:rsidR="007635AB">
        <w:rPr>
          <w:rFonts w:eastAsia="MS Mincho"/>
        </w:rPr>
        <w:t>l’</w:t>
      </w:r>
      <w:r w:rsidR="00DB2EA2" w:rsidRPr="00C36219">
        <w:rPr>
          <w:rFonts w:eastAsia="MS Mincho"/>
        </w:rPr>
        <w:t>une des sources de violence au Burundi</w:t>
      </w:r>
      <w:r w:rsidR="00DB2EA2" w:rsidRPr="00C36219">
        <w:rPr>
          <w:rFonts w:eastAsia="MS Mincho"/>
          <w:vertAlign w:val="superscript"/>
        </w:rPr>
        <w:footnoteReference w:id="45"/>
      </w:r>
      <w:r w:rsidR="00DB2EA2" w:rsidRPr="00C36219">
        <w:rPr>
          <w:rFonts w:eastAsia="MS Mincho"/>
        </w:rPr>
        <w:t>. L</w:t>
      </w:r>
      <w:r w:rsidR="00DB2EA2" w:rsidRPr="00C36219">
        <w:t>a Banque mondiale a relevé</w:t>
      </w:r>
      <w:r w:rsidR="00DB2EA2">
        <w:t xml:space="preserve"> </w:t>
      </w:r>
      <w:r w:rsidR="00DB2EA2" w:rsidRPr="00C36219">
        <w:t>que</w:t>
      </w:r>
      <w:r w:rsidR="007635AB">
        <w:t>,</w:t>
      </w:r>
      <w:r w:rsidR="00DB2EA2" w:rsidRPr="00C36219">
        <w:t xml:space="preserve"> depuis son indépendance en 1962, le Burundi reste pris dans le piège de la fragilité. </w:t>
      </w:r>
      <w:r w:rsidR="00122852">
        <w:t>Selon</w:t>
      </w:r>
      <w:r w:rsidR="00DB2EA2" w:rsidRPr="00C36219">
        <w:t xml:space="preserve"> elle, les aspects politiques, institutionnels, économiques, démographiques et environnementaux s’entremêlent pour freiner les performances de croissance du Burundi et créer </w:t>
      </w:r>
      <w:r w:rsidR="00122852">
        <w:t xml:space="preserve">de </w:t>
      </w:r>
      <w:r w:rsidR="00DB2EA2" w:rsidRPr="00C36219">
        <w:t xml:space="preserve">la fragilité. La faiblesse des capacités institutionnelles publiques et de la gouvernance limite la répartition appropriée des ressources. </w:t>
      </w:r>
      <w:r w:rsidR="00343634">
        <w:t>La Banque mondiale</w:t>
      </w:r>
      <w:r w:rsidR="00DB2EA2" w:rsidRPr="00C36219">
        <w:t xml:space="preserve"> ajoute que la fragilité économique est endémique</w:t>
      </w:r>
      <w:r w:rsidR="00122852">
        <w:t>,</w:t>
      </w:r>
      <w:r w:rsidR="00DB2EA2" w:rsidRPr="00C36219">
        <w:t xml:space="preserve"> dans un pays où l’emploi reste centré sur l’agriculture de subsistance et le secteur public</w:t>
      </w:r>
      <w:r w:rsidR="00DB2EA2" w:rsidRPr="00C36219">
        <w:rPr>
          <w:rStyle w:val="FootnoteReference"/>
          <w:color w:val="000000" w:themeColor="text1"/>
        </w:rPr>
        <w:footnoteReference w:id="46"/>
      </w:r>
      <w:r w:rsidR="00DB2EA2">
        <w:t>.</w:t>
      </w:r>
    </w:p>
    <w:p w14:paraId="380C33A7" w14:textId="14CE5944" w:rsidR="00DB2EA2" w:rsidRPr="00C36219" w:rsidRDefault="009B1B5A" w:rsidP="00DB2EA2">
      <w:pPr>
        <w:pStyle w:val="SingleTxtG"/>
      </w:pPr>
      <w:r>
        <w:t>48.</w:t>
      </w:r>
      <w:r>
        <w:tab/>
      </w:r>
      <w:r w:rsidR="00B036C6">
        <w:t xml:space="preserve">La Banque </w:t>
      </w:r>
      <w:r w:rsidR="00BF7D60">
        <w:t>m</w:t>
      </w:r>
      <w:r w:rsidR="00B036C6">
        <w:t>ondiale</w:t>
      </w:r>
      <w:r w:rsidR="00DB2EA2" w:rsidRPr="00C36219">
        <w:t xml:space="preserve"> relève </w:t>
      </w:r>
      <w:r w:rsidR="00B036C6">
        <w:t xml:space="preserve">également </w:t>
      </w:r>
      <w:r w:rsidR="00DB2EA2" w:rsidRPr="00C36219">
        <w:t>que le Burundi a connu une période de croissance positive de 2006 à 2014</w:t>
      </w:r>
      <w:r w:rsidR="00BF7D60">
        <w:t>,</w:t>
      </w:r>
      <w:r w:rsidR="00DB2EA2" w:rsidRPr="00C36219">
        <w:t xml:space="preserve"> qui a été interrompue par la crise de 2015</w:t>
      </w:r>
      <w:r w:rsidR="00DB2EA2" w:rsidRPr="00C36219">
        <w:rPr>
          <w:rStyle w:val="FootnoteReference"/>
          <w:color w:val="000000" w:themeColor="text1"/>
        </w:rPr>
        <w:footnoteReference w:id="47"/>
      </w:r>
      <w:r w:rsidR="00DB2EA2" w:rsidRPr="00C36219">
        <w:t xml:space="preserve">. Après </w:t>
      </w:r>
      <w:r w:rsidR="00737359">
        <w:t xml:space="preserve">la signature en août 2000 de </w:t>
      </w:r>
      <w:r w:rsidR="00DB2EA2" w:rsidRPr="00C36219">
        <w:t>l</w:t>
      </w:r>
      <w:r w:rsidR="00882BDE">
        <w:t>’</w:t>
      </w:r>
      <w:r w:rsidR="00DB2EA2" w:rsidRPr="00C36219">
        <w:t>Accord d’Arusha</w:t>
      </w:r>
      <w:r w:rsidR="00737359">
        <w:t>,</w:t>
      </w:r>
      <w:r w:rsidR="00DB2EA2" w:rsidRPr="00C36219">
        <w:t xml:space="preserve"> qui </w:t>
      </w:r>
      <w:r w:rsidR="00882BDE">
        <w:t>a</w:t>
      </w:r>
      <w:r w:rsidR="00DB2EA2" w:rsidRPr="00C36219">
        <w:t xml:space="preserve"> permis de stabiliser le pays et </w:t>
      </w:r>
      <w:r w:rsidR="00882BDE">
        <w:t>de tenir d</w:t>
      </w:r>
      <w:r w:rsidR="00DB2EA2" w:rsidRPr="00C36219">
        <w:t xml:space="preserve">es élections </w:t>
      </w:r>
      <w:r w:rsidR="00882BDE">
        <w:t xml:space="preserve">en </w:t>
      </w:r>
      <w:r w:rsidR="00DB2EA2" w:rsidRPr="00C36219">
        <w:t>2005, la croissance du Burundi s’est accélérée pour atteindre une moyenne de 4,3 % par an de 2007 à 2014</w:t>
      </w:r>
      <w:r w:rsidR="00882BDE">
        <w:t>.</w:t>
      </w:r>
      <w:r w:rsidR="00DB2EA2" w:rsidRPr="00C36219">
        <w:t xml:space="preserve"> </w:t>
      </w:r>
      <w:r w:rsidR="00882BDE">
        <w:t>L</w:t>
      </w:r>
      <w:r w:rsidR="00DB2EA2" w:rsidRPr="00C36219">
        <w:t xml:space="preserve">e déficit budgétaire a diminué pour atteindre une moyenne de 3,4 % du </w:t>
      </w:r>
      <w:r w:rsidR="00F47287">
        <w:t>produit intérieur brut</w:t>
      </w:r>
      <w:r w:rsidR="00DB2EA2" w:rsidRPr="00C36219">
        <w:t xml:space="preserve">, et l’inflation a été maîtrisée. Le mémorandum </w:t>
      </w:r>
      <w:r w:rsidR="00597811">
        <w:t xml:space="preserve">de la Banque mondiale </w:t>
      </w:r>
      <w:r w:rsidR="00DB2EA2" w:rsidRPr="00C36219">
        <w:t>souligne que la crise politique de 2015 a interrompu une décennie de croissance et de développement. Selon les estimations de l’I</w:t>
      </w:r>
      <w:r w:rsidR="00882BDE">
        <w:t xml:space="preserve">nstitut de </w:t>
      </w:r>
      <w:r w:rsidR="00840360">
        <w:t>s</w:t>
      </w:r>
      <w:r w:rsidR="00882BDE">
        <w:t>tatistiques et d’</w:t>
      </w:r>
      <w:r w:rsidR="00840360">
        <w:t>é</w:t>
      </w:r>
      <w:r w:rsidR="00882BDE">
        <w:t>tude</w:t>
      </w:r>
      <w:r w:rsidR="00840360">
        <w:t>s</w:t>
      </w:r>
      <w:r w:rsidR="00882BDE">
        <w:t xml:space="preserve"> </w:t>
      </w:r>
      <w:r w:rsidR="00840360">
        <w:t>é</w:t>
      </w:r>
      <w:r w:rsidR="00882BDE">
        <w:t xml:space="preserve">conomiques du Burundi </w:t>
      </w:r>
      <w:r w:rsidR="00DB2EA2" w:rsidRPr="00C36219">
        <w:t>évoqué</w:t>
      </w:r>
      <w:r w:rsidR="00840360">
        <w:t>es</w:t>
      </w:r>
      <w:r w:rsidR="00DB2EA2" w:rsidRPr="00C36219">
        <w:t xml:space="preserve"> par le mémorandum, le </w:t>
      </w:r>
      <w:r w:rsidR="00840360">
        <w:t>produit intérieur brut</w:t>
      </w:r>
      <w:r w:rsidR="00DB2EA2" w:rsidRPr="00C36219">
        <w:t xml:space="preserve"> réel s’est contracté de 0</w:t>
      </w:r>
      <w:r w:rsidR="006D49EF">
        <w:t>,</w:t>
      </w:r>
      <w:r w:rsidR="00DB2EA2" w:rsidRPr="00C36219">
        <w:t>4</w:t>
      </w:r>
      <w:r w:rsidR="006D49EF">
        <w:t> </w:t>
      </w:r>
      <w:r w:rsidR="00DB2EA2" w:rsidRPr="00C36219">
        <w:t>% en 2015 avant de commencer à se redresser</w:t>
      </w:r>
      <w:r w:rsidR="00DB2EA2" w:rsidRPr="00C36219">
        <w:rPr>
          <w:rStyle w:val="FootnoteReference"/>
          <w:color w:val="000000" w:themeColor="text1"/>
        </w:rPr>
        <w:footnoteReference w:id="48"/>
      </w:r>
      <w:r w:rsidR="00DB2EA2" w:rsidRPr="00C36219">
        <w:t>.</w:t>
      </w:r>
    </w:p>
    <w:p w14:paraId="47266D80" w14:textId="398E7024" w:rsidR="00DB2EA2" w:rsidRDefault="009B1B5A" w:rsidP="00DB2EA2">
      <w:pPr>
        <w:pStyle w:val="SingleTxtG"/>
      </w:pPr>
      <w:r>
        <w:rPr>
          <w:rFonts w:eastAsia="MS Mincho"/>
        </w:rPr>
        <w:t>49.</w:t>
      </w:r>
      <w:r>
        <w:rPr>
          <w:rFonts w:eastAsia="MS Mincho"/>
        </w:rPr>
        <w:tab/>
      </w:r>
      <w:r w:rsidR="00DB2EA2" w:rsidRPr="00C36219">
        <w:rPr>
          <w:rFonts w:eastAsia="MS Mincho"/>
        </w:rPr>
        <w:t xml:space="preserve">La crise de 2015 a </w:t>
      </w:r>
      <w:r w:rsidR="004C10FC">
        <w:rPr>
          <w:rFonts w:eastAsia="MS Mincho"/>
        </w:rPr>
        <w:t xml:space="preserve">eu un impact </w:t>
      </w:r>
      <w:r w:rsidR="00DB2EA2" w:rsidRPr="00C36219">
        <w:rPr>
          <w:rFonts w:eastAsia="MS Mincho"/>
        </w:rPr>
        <w:t xml:space="preserve">particulièrement </w:t>
      </w:r>
      <w:r w:rsidR="004C10FC">
        <w:rPr>
          <w:rFonts w:eastAsia="MS Mincho"/>
        </w:rPr>
        <w:t>important sur</w:t>
      </w:r>
      <w:r w:rsidR="00DB2EA2" w:rsidRPr="00C36219">
        <w:rPr>
          <w:rFonts w:eastAsia="MS Mincho"/>
        </w:rPr>
        <w:t xml:space="preserve"> l’allocation de ressources suffisantes </w:t>
      </w:r>
      <w:r w:rsidR="00233944">
        <w:rPr>
          <w:rFonts w:eastAsia="MS Mincho"/>
        </w:rPr>
        <w:t>à</w:t>
      </w:r>
      <w:r w:rsidR="00DB2EA2" w:rsidRPr="00C36219">
        <w:rPr>
          <w:rFonts w:eastAsia="MS Mincho"/>
        </w:rPr>
        <w:t xml:space="preserve"> la mise en œuvre de certains droits. Le tableau</w:t>
      </w:r>
      <w:r w:rsidR="00233944">
        <w:rPr>
          <w:rFonts w:eastAsia="MS Mincho"/>
        </w:rPr>
        <w:t> 1</w:t>
      </w:r>
      <w:r w:rsidR="00DB2EA2" w:rsidRPr="00C36219">
        <w:rPr>
          <w:rFonts w:eastAsia="MS Mincho"/>
        </w:rPr>
        <w:t xml:space="preserve"> illustre la p</w:t>
      </w:r>
      <w:r w:rsidR="00DB2EA2" w:rsidRPr="00C36219">
        <w:t xml:space="preserve">roportion du budget </w:t>
      </w:r>
      <w:r w:rsidR="009E27ED">
        <w:t xml:space="preserve">de l’État </w:t>
      </w:r>
      <w:r w:rsidR="00DB2EA2" w:rsidRPr="00C36219">
        <w:t>alloué</w:t>
      </w:r>
      <w:r w:rsidR="00233944">
        <w:t>e</w:t>
      </w:r>
      <w:r w:rsidR="00DB2EA2" w:rsidRPr="00C36219">
        <w:t xml:space="preserve"> aux secteurs sociaux </w:t>
      </w:r>
      <w:r w:rsidR="00233944">
        <w:t xml:space="preserve">pour la période </w:t>
      </w:r>
      <w:r w:rsidR="004F465E">
        <w:t xml:space="preserve">de </w:t>
      </w:r>
      <w:r w:rsidR="00DB2EA2" w:rsidRPr="00C36219">
        <w:t>2020</w:t>
      </w:r>
      <w:r w:rsidR="004F465E">
        <w:t xml:space="preserve"> à 20</w:t>
      </w:r>
      <w:r w:rsidR="00DB2EA2" w:rsidRPr="00C36219">
        <w:t>23</w:t>
      </w:r>
      <w:r w:rsidR="004F465E">
        <w:t>.</w:t>
      </w:r>
    </w:p>
    <w:p w14:paraId="0FEAA2EA" w14:textId="4712A5AB" w:rsidR="004F465E" w:rsidRDefault="004F465E" w:rsidP="00FC6F48">
      <w:pPr>
        <w:pStyle w:val="SingleTxtG"/>
        <w:keepNext/>
        <w:keepLines/>
        <w:spacing w:after="0"/>
      </w:pPr>
      <w:r>
        <w:lastRenderedPageBreak/>
        <w:t>Tableau 1</w:t>
      </w:r>
    </w:p>
    <w:p w14:paraId="316A6F75" w14:textId="7E4AE07C" w:rsidR="004F465E" w:rsidRPr="00592838" w:rsidRDefault="00AF7EA3" w:rsidP="00FC6F48">
      <w:pPr>
        <w:pStyle w:val="SingleTxtG"/>
        <w:keepNext/>
        <w:keepLines/>
        <w:rPr>
          <w:b/>
          <w:bCs/>
        </w:rPr>
      </w:pPr>
      <w:r w:rsidRPr="00592838">
        <w:rPr>
          <w:b/>
          <w:bCs/>
        </w:rPr>
        <w:t xml:space="preserve">Pourcentage du budget </w:t>
      </w:r>
      <w:r w:rsidR="009E27ED">
        <w:rPr>
          <w:b/>
          <w:bCs/>
        </w:rPr>
        <w:t xml:space="preserve">de l’État </w:t>
      </w:r>
      <w:r w:rsidRPr="00592838">
        <w:rPr>
          <w:b/>
          <w:bCs/>
        </w:rPr>
        <w:t>alloué aux</w:t>
      </w:r>
      <w:r w:rsidR="003757E0" w:rsidRPr="00592838">
        <w:rPr>
          <w:b/>
          <w:bCs/>
        </w:rPr>
        <w:t xml:space="preserve"> secteurs sociaux</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606"/>
        <w:gridCol w:w="1606"/>
        <w:gridCol w:w="1606"/>
      </w:tblGrid>
      <w:tr w:rsidR="00C67D21" w:rsidRPr="00B6140E" w14:paraId="3F27221D" w14:textId="77777777" w:rsidTr="009725E4">
        <w:trPr>
          <w:tblHeader/>
        </w:trPr>
        <w:tc>
          <w:tcPr>
            <w:tcW w:w="2552" w:type="dxa"/>
            <w:tcBorders>
              <w:top w:val="single" w:sz="4" w:space="0" w:color="auto"/>
              <w:bottom w:val="single" w:sz="12" w:space="0" w:color="auto"/>
            </w:tcBorders>
            <w:shd w:val="clear" w:color="auto" w:fill="auto"/>
            <w:vAlign w:val="bottom"/>
          </w:tcPr>
          <w:p w14:paraId="6D4BF922" w14:textId="77777777" w:rsidR="00C67D21" w:rsidRPr="00B6140E" w:rsidRDefault="00C67D21" w:rsidP="00FC6F48">
            <w:pPr>
              <w:keepNext/>
              <w:keepLines/>
              <w:suppressAutoHyphens w:val="0"/>
              <w:spacing w:before="80" w:after="80" w:line="200" w:lineRule="exact"/>
              <w:rPr>
                <w:i/>
                <w:sz w:val="16"/>
              </w:rPr>
            </w:pPr>
          </w:p>
        </w:tc>
        <w:tc>
          <w:tcPr>
            <w:tcW w:w="1606" w:type="dxa"/>
            <w:tcBorders>
              <w:top w:val="single" w:sz="4" w:space="0" w:color="auto"/>
              <w:bottom w:val="single" w:sz="12" w:space="0" w:color="auto"/>
            </w:tcBorders>
            <w:shd w:val="clear" w:color="auto" w:fill="auto"/>
            <w:vAlign w:val="bottom"/>
          </w:tcPr>
          <w:p w14:paraId="16A1792D" w14:textId="1095D305" w:rsidR="00C67D21" w:rsidRPr="00B6140E" w:rsidRDefault="00C67D21" w:rsidP="00FC6F48">
            <w:pPr>
              <w:keepNext/>
              <w:keepLines/>
              <w:suppressAutoHyphens w:val="0"/>
              <w:spacing w:before="80" w:after="80" w:line="200" w:lineRule="exact"/>
              <w:jc w:val="right"/>
              <w:rPr>
                <w:i/>
                <w:sz w:val="16"/>
              </w:rPr>
            </w:pPr>
            <w:r w:rsidRPr="00B6140E">
              <w:rPr>
                <w:i/>
                <w:sz w:val="16"/>
              </w:rPr>
              <w:t>2020/21</w:t>
            </w:r>
          </w:p>
        </w:tc>
        <w:tc>
          <w:tcPr>
            <w:tcW w:w="1606" w:type="dxa"/>
            <w:tcBorders>
              <w:top w:val="single" w:sz="4" w:space="0" w:color="auto"/>
              <w:bottom w:val="single" w:sz="12" w:space="0" w:color="auto"/>
            </w:tcBorders>
            <w:shd w:val="clear" w:color="auto" w:fill="auto"/>
            <w:vAlign w:val="bottom"/>
          </w:tcPr>
          <w:p w14:paraId="4BB27582" w14:textId="7D73A10B" w:rsidR="00C67D21" w:rsidRPr="00B6140E" w:rsidRDefault="00C67D21" w:rsidP="00FC6F48">
            <w:pPr>
              <w:keepNext/>
              <w:keepLines/>
              <w:suppressAutoHyphens w:val="0"/>
              <w:spacing w:before="80" w:after="80" w:line="200" w:lineRule="exact"/>
              <w:jc w:val="right"/>
              <w:rPr>
                <w:i/>
                <w:sz w:val="16"/>
              </w:rPr>
            </w:pPr>
            <w:r w:rsidRPr="00B6140E">
              <w:rPr>
                <w:i/>
                <w:sz w:val="16"/>
              </w:rPr>
              <w:t>2021/22</w:t>
            </w:r>
          </w:p>
        </w:tc>
        <w:tc>
          <w:tcPr>
            <w:tcW w:w="1606" w:type="dxa"/>
            <w:tcBorders>
              <w:top w:val="single" w:sz="4" w:space="0" w:color="auto"/>
              <w:bottom w:val="single" w:sz="12" w:space="0" w:color="auto"/>
            </w:tcBorders>
            <w:shd w:val="clear" w:color="auto" w:fill="auto"/>
            <w:vAlign w:val="bottom"/>
          </w:tcPr>
          <w:p w14:paraId="1852E4FB" w14:textId="193E06DD" w:rsidR="00C67D21" w:rsidRPr="00B6140E" w:rsidRDefault="00C67D21" w:rsidP="00FC6F48">
            <w:pPr>
              <w:keepNext/>
              <w:keepLines/>
              <w:suppressAutoHyphens w:val="0"/>
              <w:spacing w:before="80" w:after="80" w:line="200" w:lineRule="exact"/>
              <w:jc w:val="right"/>
              <w:rPr>
                <w:i/>
                <w:sz w:val="16"/>
              </w:rPr>
            </w:pPr>
            <w:r w:rsidRPr="00B6140E">
              <w:rPr>
                <w:i/>
                <w:sz w:val="16"/>
              </w:rPr>
              <w:t>2022/23</w:t>
            </w:r>
          </w:p>
        </w:tc>
      </w:tr>
      <w:tr w:rsidR="00C67D21" w:rsidRPr="00B6140E" w14:paraId="49CE1EA4" w14:textId="77777777" w:rsidTr="009725E4">
        <w:tc>
          <w:tcPr>
            <w:tcW w:w="2552" w:type="dxa"/>
            <w:tcBorders>
              <w:top w:val="single" w:sz="12" w:space="0" w:color="auto"/>
            </w:tcBorders>
            <w:shd w:val="clear" w:color="auto" w:fill="auto"/>
          </w:tcPr>
          <w:p w14:paraId="5B547D76" w14:textId="77777777" w:rsidR="00C67D21" w:rsidRPr="00B6140E" w:rsidRDefault="00C67D21" w:rsidP="00FC6F48">
            <w:pPr>
              <w:keepNext/>
              <w:keepLines/>
              <w:suppressAutoHyphens w:val="0"/>
              <w:spacing w:before="40" w:after="40" w:line="220" w:lineRule="exact"/>
              <w:rPr>
                <w:sz w:val="18"/>
              </w:rPr>
            </w:pPr>
            <w:r w:rsidRPr="00B6140E">
              <w:rPr>
                <w:sz w:val="18"/>
              </w:rPr>
              <w:t xml:space="preserve">Santé </w:t>
            </w:r>
          </w:p>
        </w:tc>
        <w:tc>
          <w:tcPr>
            <w:tcW w:w="1606" w:type="dxa"/>
            <w:tcBorders>
              <w:top w:val="single" w:sz="12" w:space="0" w:color="auto"/>
            </w:tcBorders>
            <w:shd w:val="clear" w:color="auto" w:fill="auto"/>
            <w:vAlign w:val="bottom"/>
          </w:tcPr>
          <w:p w14:paraId="535E0A48" w14:textId="62201D88" w:rsidR="00C67D21" w:rsidRPr="00B6140E" w:rsidRDefault="00C67D21" w:rsidP="00FC6F48">
            <w:pPr>
              <w:keepNext/>
              <w:keepLines/>
              <w:suppressAutoHyphens w:val="0"/>
              <w:spacing w:before="40" w:after="40" w:line="220" w:lineRule="exact"/>
              <w:jc w:val="right"/>
              <w:rPr>
                <w:sz w:val="18"/>
              </w:rPr>
            </w:pPr>
            <w:r w:rsidRPr="00B6140E">
              <w:rPr>
                <w:sz w:val="18"/>
              </w:rPr>
              <w:t>13</w:t>
            </w:r>
            <w:r w:rsidR="00BB7B6F" w:rsidRPr="00B6140E">
              <w:rPr>
                <w:sz w:val="18"/>
              </w:rPr>
              <w:t>,</w:t>
            </w:r>
            <w:r w:rsidRPr="00B6140E">
              <w:rPr>
                <w:sz w:val="18"/>
              </w:rPr>
              <w:t>6</w:t>
            </w:r>
          </w:p>
        </w:tc>
        <w:tc>
          <w:tcPr>
            <w:tcW w:w="1606" w:type="dxa"/>
            <w:tcBorders>
              <w:top w:val="single" w:sz="12" w:space="0" w:color="auto"/>
            </w:tcBorders>
            <w:shd w:val="clear" w:color="auto" w:fill="auto"/>
            <w:vAlign w:val="bottom"/>
          </w:tcPr>
          <w:p w14:paraId="59BD5401" w14:textId="4953AD81" w:rsidR="00C67D21" w:rsidRPr="00B6140E" w:rsidRDefault="00C67D21" w:rsidP="00FC6F48">
            <w:pPr>
              <w:keepNext/>
              <w:keepLines/>
              <w:suppressAutoHyphens w:val="0"/>
              <w:spacing w:before="40" w:after="40" w:line="220" w:lineRule="exact"/>
              <w:jc w:val="right"/>
              <w:rPr>
                <w:sz w:val="18"/>
              </w:rPr>
            </w:pPr>
            <w:r w:rsidRPr="00B6140E">
              <w:rPr>
                <w:sz w:val="18"/>
              </w:rPr>
              <w:t>13</w:t>
            </w:r>
            <w:r w:rsidR="00BB7B6F" w:rsidRPr="00B6140E">
              <w:rPr>
                <w:sz w:val="18"/>
              </w:rPr>
              <w:t>,</w:t>
            </w:r>
            <w:r w:rsidRPr="00B6140E">
              <w:rPr>
                <w:sz w:val="18"/>
              </w:rPr>
              <w:t>4</w:t>
            </w:r>
          </w:p>
        </w:tc>
        <w:tc>
          <w:tcPr>
            <w:tcW w:w="1606" w:type="dxa"/>
            <w:tcBorders>
              <w:top w:val="single" w:sz="12" w:space="0" w:color="auto"/>
            </w:tcBorders>
            <w:shd w:val="clear" w:color="auto" w:fill="auto"/>
            <w:vAlign w:val="bottom"/>
          </w:tcPr>
          <w:p w14:paraId="4F4CA120" w14:textId="2BCA3707" w:rsidR="00C67D21" w:rsidRPr="00B6140E" w:rsidRDefault="00C67D21" w:rsidP="00FC6F48">
            <w:pPr>
              <w:keepNext/>
              <w:keepLines/>
              <w:suppressAutoHyphens w:val="0"/>
              <w:spacing w:before="40" w:after="40" w:line="220" w:lineRule="exact"/>
              <w:jc w:val="right"/>
              <w:rPr>
                <w:sz w:val="18"/>
              </w:rPr>
            </w:pPr>
            <w:r w:rsidRPr="00B6140E">
              <w:rPr>
                <w:sz w:val="18"/>
              </w:rPr>
              <w:t>9</w:t>
            </w:r>
            <w:r w:rsidR="00BB7B6F" w:rsidRPr="00B6140E">
              <w:rPr>
                <w:sz w:val="18"/>
              </w:rPr>
              <w:t>,</w:t>
            </w:r>
            <w:r w:rsidRPr="00B6140E">
              <w:rPr>
                <w:sz w:val="18"/>
              </w:rPr>
              <w:t>6</w:t>
            </w:r>
          </w:p>
        </w:tc>
      </w:tr>
      <w:tr w:rsidR="00C67D21" w:rsidRPr="00B6140E" w14:paraId="4A03ECF2" w14:textId="77777777" w:rsidTr="009725E4">
        <w:tc>
          <w:tcPr>
            <w:tcW w:w="2552" w:type="dxa"/>
            <w:shd w:val="clear" w:color="auto" w:fill="auto"/>
          </w:tcPr>
          <w:p w14:paraId="037A6780" w14:textId="07ADC2F7" w:rsidR="00C67D21" w:rsidRPr="00B6140E" w:rsidRDefault="00BB7B6F" w:rsidP="00FC6F48">
            <w:pPr>
              <w:keepNext/>
              <w:keepLines/>
              <w:suppressAutoHyphens w:val="0"/>
              <w:spacing w:before="40" w:after="40" w:line="220" w:lineRule="exact"/>
              <w:rPr>
                <w:sz w:val="18"/>
              </w:rPr>
            </w:pPr>
            <w:r w:rsidRPr="00B6140E">
              <w:rPr>
                <w:sz w:val="18"/>
              </w:rPr>
              <w:t>É</w:t>
            </w:r>
            <w:r w:rsidR="00C67D21" w:rsidRPr="00B6140E">
              <w:rPr>
                <w:sz w:val="18"/>
              </w:rPr>
              <w:t>ducation</w:t>
            </w:r>
          </w:p>
        </w:tc>
        <w:tc>
          <w:tcPr>
            <w:tcW w:w="1606" w:type="dxa"/>
            <w:shd w:val="clear" w:color="auto" w:fill="auto"/>
            <w:vAlign w:val="bottom"/>
          </w:tcPr>
          <w:p w14:paraId="09E15EE3" w14:textId="6B31ED35" w:rsidR="00C67D21" w:rsidRPr="00B6140E" w:rsidRDefault="00C67D21" w:rsidP="00FC6F48">
            <w:pPr>
              <w:keepNext/>
              <w:keepLines/>
              <w:suppressAutoHyphens w:val="0"/>
              <w:spacing w:before="40" w:after="40" w:line="220" w:lineRule="exact"/>
              <w:jc w:val="right"/>
              <w:rPr>
                <w:sz w:val="18"/>
              </w:rPr>
            </w:pPr>
            <w:r w:rsidRPr="00B6140E">
              <w:rPr>
                <w:sz w:val="18"/>
              </w:rPr>
              <w:t>19</w:t>
            </w:r>
            <w:r w:rsidR="00BB7B6F" w:rsidRPr="00B6140E">
              <w:rPr>
                <w:sz w:val="18"/>
              </w:rPr>
              <w:t>,</w:t>
            </w:r>
            <w:r w:rsidRPr="00B6140E">
              <w:rPr>
                <w:sz w:val="18"/>
              </w:rPr>
              <w:t>6</w:t>
            </w:r>
          </w:p>
        </w:tc>
        <w:tc>
          <w:tcPr>
            <w:tcW w:w="1606" w:type="dxa"/>
            <w:shd w:val="clear" w:color="auto" w:fill="auto"/>
            <w:vAlign w:val="bottom"/>
          </w:tcPr>
          <w:p w14:paraId="2601E596" w14:textId="65222E0B" w:rsidR="00C67D21" w:rsidRPr="00B6140E" w:rsidRDefault="00C67D21" w:rsidP="00FC6F48">
            <w:pPr>
              <w:keepNext/>
              <w:keepLines/>
              <w:suppressAutoHyphens w:val="0"/>
              <w:spacing w:before="40" w:after="40" w:line="220" w:lineRule="exact"/>
              <w:jc w:val="right"/>
              <w:rPr>
                <w:sz w:val="18"/>
              </w:rPr>
            </w:pPr>
            <w:r w:rsidRPr="00B6140E">
              <w:rPr>
                <w:sz w:val="18"/>
              </w:rPr>
              <w:t>20</w:t>
            </w:r>
            <w:r w:rsidR="00BB7B6F" w:rsidRPr="00B6140E">
              <w:rPr>
                <w:sz w:val="18"/>
              </w:rPr>
              <w:t>,</w:t>
            </w:r>
            <w:r w:rsidRPr="00B6140E">
              <w:rPr>
                <w:sz w:val="18"/>
              </w:rPr>
              <w:t>6</w:t>
            </w:r>
          </w:p>
        </w:tc>
        <w:tc>
          <w:tcPr>
            <w:tcW w:w="1606" w:type="dxa"/>
            <w:shd w:val="clear" w:color="auto" w:fill="auto"/>
            <w:vAlign w:val="bottom"/>
          </w:tcPr>
          <w:p w14:paraId="31D16B08" w14:textId="0C7E9FC3" w:rsidR="00C67D21" w:rsidRPr="00B6140E" w:rsidRDefault="00C67D21" w:rsidP="00FC6F48">
            <w:pPr>
              <w:keepNext/>
              <w:keepLines/>
              <w:suppressAutoHyphens w:val="0"/>
              <w:spacing w:before="40" w:after="40" w:line="220" w:lineRule="exact"/>
              <w:jc w:val="right"/>
              <w:rPr>
                <w:sz w:val="18"/>
              </w:rPr>
            </w:pPr>
            <w:r w:rsidRPr="00B6140E">
              <w:rPr>
                <w:sz w:val="18"/>
              </w:rPr>
              <w:t>14</w:t>
            </w:r>
            <w:r w:rsidR="00BB7B6F" w:rsidRPr="00B6140E">
              <w:rPr>
                <w:sz w:val="18"/>
              </w:rPr>
              <w:t>,</w:t>
            </w:r>
            <w:r w:rsidRPr="00B6140E">
              <w:rPr>
                <w:sz w:val="18"/>
              </w:rPr>
              <w:t>8</w:t>
            </w:r>
          </w:p>
        </w:tc>
      </w:tr>
      <w:tr w:rsidR="00C67D21" w:rsidRPr="00B6140E" w14:paraId="0553A756" w14:textId="77777777" w:rsidTr="009725E4">
        <w:tc>
          <w:tcPr>
            <w:tcW w:w="2552" w:type="dxa"/>
            <w:shd w:val="clear" w:color="auto" w:fill="auto"/>
          </w:tcPr>
          <w:p w14:paraId="13A5CDFE" w14:textId="70C3B41C" w:rsidR="00C67D21" w:rsidRPr="00B6140E" w:rsidRDefault="00E87A6A" w:rsidP="00592838">
            <w:pPr>
              <w:suppressAutoHyphens w:val="0"/>
              <w:spacing w:before="40" w:after="40" w:line="220" w:lineRule="exact"/>
              <w:rPr>
                <w:sz w:val="18"/>
              </w:rPr>
            </w:pPr>
            <w:r w:rsidRPr="00B6140E">
              <w:rPr>
                <w:sz w:val="18"/>
              </w:rPr>
              <w:t>Eau, hygiène et assainissement</w:t>
            </w:r>
          </w:p>
        </w:tc>
        <w:tc>
          <w:tcPr>
            <w:tcW w:w="1606" w:type="dxa"/>
            <w:shd w:val="clear" w:color="auto" w:fill="auto"/>
            <w:vAlign w:val="bottom"/>
          </w:tcPr>
          <w:p w14:paraId="5ADC4717" w14:textId="4BF179A0" w:rsidR="00C67D21" w:rsidRPr="00B6140E" w:rsidRDefault="00C67D21" w:rsidP="00592838">
            <w:pPr>
              <w:suppressAutoHyphens w:val="0"/>
              <w:spacing w:before="40" w:after="40" w:line="220" w:lineRule="exact"/>
              <w:jc w:val="right"/>
              <w:rPr>
                <w:sz w:val="18"/>
              </w:rPr>
            </w:pPr>
            <w:r w:rsidRPr="00B6140E">
              <w:rPr>
                <w:sz w:val="18"/>
              </w:rPr>
              <w:t>0</w:t>
            </w:r>
            <w:r w:rsidR="00BB7B6F" w:rsidRPr="00B6140E">
              <w:rPr>
                <w:sz w:val="18"/>
              </w:rPr>
              <w:t>,</w:t>
            </w:r>
            <w:r w:rsidRPr="00B6140E">
              <w:rPr>
                <w:sz w:val="18"/>
              </w:rPr>
              <w:t>9</w:t>
            </w:r>
          </w:p>
        </w:tc>
        <w:tc>
          <w:tcPr>
            <w:tcW w:w="1606" w:type="dxa"/>
            <w:shd w:val="clear" w:color="auto" w:fill="auto"/>
            <w:vAlign w:val="bottom"/>
          </w:tcPr>
          <w:p w14:paraId="4FA01193" w14:textId="1B02B23A" w:rsidR="00C67D21" w:rsidRPr="00B6140E" w:rsidRDefault="00C67D21" w:rsidP="00592838">
            <w:pPr>
              <w:suppressAutoHyphens w:val="0"/>
              <w:spacing w:before="40" w:after="40" w:line="220" w:lineRule="exact"/>
              <w:jc w:val="right"/>
              <w:rPr>
                <w:sz w:val="18"/>
              </w:rPr>
            </w:pPr>
            <w:r w:rsidRPr="00B6140E">
              <w:rPr>
                <w:sz w:val="18"/>
              </w:rPr>
              <w:t>2</w:t>
            </w:r>
            <w:r w:rsidR="00BB7B6F" w:rsidRPr="00B6140E">
              <w:rPr>
                <w:sz w:val="18"/>
              </w:rPr>
              <w:t>,</w:t>
            </w:r>
            <w:r w:rsidRPr="00B6140E">
              <w:rPr>
                <w:sz w:val="18"/>
              </w:rPr>
              <w:t>1</w:t>
            </w:r>
          </w:p>
        </w:tc>
        <w:tc>
          <w:tcPr>
            <w:tcW w:w="1606" w:type="dxa"/>
            <w:shd w:val="clear" w:color="auto" w:fill="auto"/>
            <w:vAlign w:val="bottom"/>
          </w:tcPr>
          <w:p w14:paraId="4ACF1489" w14:textId="20E7AFC8" w:rsidR="00C67D21" w:rsidRPr="00B6140E" w:rsidRDefault="00C67D21" w:rsidP="00592838">
            <w:pPr>
              <w:suppressAutoHyphens w:val="0"/>
              <w:spacing w:before="40" w:after="40" w:line="220" w:lineRule="exact"/>
              <w:jc w:val="right"/>
              <w:rPr>
                <w:sz w:val="18"/>
              </w:rPr>
            </w:pPr>
            <w:r w:rsidRPr="00B6140E">
              <w:rPr>
                <w:sz w:val="18"/>
              </w:rPr>
              <w:t>1</w:t>
            </w:r>
            <w:r w:rsidR="00BB7B6F" w:rsidRPr="00B6140E">
              <w:rPr>
                <w:sz w:val="18"/>
              </w:rPr>
              <w:t>,</w:t>
            </w:r>
            <w:r w:rsidRPr="00B6140E">
              <w:rPr>
                <w:sz w:val="18"/>
              </w:rPr>
              <w:t>5</w:t>
            </w:r>
          </w:p>
        </w:tc>
      </w:tr>
      <w:tr w:rsidR="00C67D21" w:rsidRPr="00B6140E" w14:paraId="66A2D946" w14:textId="77777777" w:rsidTr="009725E4">
        <w:tc>
          <w:tcPr>
            <w:tcW w:w="2552" w:type="dxa"/>
            <w:shd w:val="clear" w:color="auto" w:fill="auto"/>
          </w:tcPr>
          <w:p w14:paraId="7547405E" w14:textId="77777777" w:rsidR="00C67D21" w:rsidRPr="00B6140E" w:rsidRDefault="00C67D21" w:rsidP="00592838">
            <w:pPr>
              <w:suppressAutoHyphens w:val="0"/>
              <w:spacing w:before="40" w:after="40" w:line="220" w:lineRule="exact"/>
              <w:rPr>
                <w:sz w:val="18"/>
              </w:rPr>
            </w:pPr>
            <w:r w:rsidRPr="00B6140E">
              <w:rPr>
                <w:sz w:val="18"/>
              </w:rPr>
              <w:t>Protection sociale</w:t>
            </w:r>
          </w:p>
        </w:tc>
        <w:tc>
          <w:tcPr>
            <w:tcW w:w="1606" w:type="dxa"/>
            <w:shd w:val="clear" w:color="auto" w:fill="auto"/>
            <w:vAlign w:val="bottom"/>
          </w:tcPr>
          <w:p w14:paraId="497D43D8" w14:textId="449451BC" w:rsidR="00C67D21" w:rsidRPr="00B6140E" w:rsidRDefault="00C67D21" w:rsidP="00592838">
            <w:pPr>
              <w:suppressAutoHyphens w:val="0"/>
              <w:spacing w:before="40" w:after="40" w:line="220" w:lineRule="exact"/>
              <w:jc w:val="right"/>
              <w:rPr>
                <w:sz w:val="18"/>
              </w:rPr>
            </w:pPr>
            <w:r w:rsidRPr="00B6140E">
              <w:rPr>
                <w:sz w:val="18"/>
              </w:rPr>
              <w:t>12</w:t>
            </w:r>
            <w:r w:rsidR="00BB7B6F" w:rsidRPr="00B6140E">
              <w:rPr>
                <w:sz w:val="18"/>
              </w:rPr>
              <w:t>,</w:t>
            </w:r>
            <w:r w:rsidRPr="00B6140E">
              <w:rPr>
                <w:sz w:val="18"/>
              </w:rPr>
              <w:t>1</w:t>
            </w:r>
          </w:p>
        </w:tc>
        <w:tc>
          <w:tcPr>
            <w:tcW w:w="1606" w:type="dxa"/>
            <w:shd w:val="clear" w:color="auto" w:fill="auto"/>
            <w:vAlign w:val="bottom"/>
          </w:tcPr>
          <w:p w14:paraId="65A08C4F" w14:textId="58FB01EB" w:rsidR="00C67D21" w:rsidRPr="00B6140E" w:rsidRDefault="00C67D21" w:rsidP="00592838">
            <w:pPr>
              <w:suppressAutoHyphens w:val="0"/>
              <w:spacing w:before="40" w:after="40" w:line="220" w:lineRule="exact"/>
              <w:jc w:val="right"/>
              <w:rPr>
                <w:sz w:val="18"/>
              </w:rPr>
            </w:pPr>
            <w:r w:rsidRPr="00B6140E">
              <w:rPr>
                <w:sz w:val="18"/>
              </w:rPr>
              <w:t>12</w:t>
            </w:r>
            <w:r w:rsidR="00BB7B6F" w:rsidRPr="00B6140E">
              <w:rPr>
                <w:sz w:val="18"/>
              </w:rPr>
              <w:t>,</w:t>
            </w:r>
            <w:r w:rsidRPr="00B6140E">
              <w:rPr>
                <w:sz w:val="18"/>
              </w:rPr>
              <w:t>2</w:t>
            </w:r>
          </w:p>
        </w:tc>
        <w:tc>
          <w:tcPr>
            <w:tcW w:w="1606" w:type="dxa"/>
            <w:shd w:val="clear" w:color="auto" w:fill="auto"/>
            <w:vAlign w:val="bottom"/>
          </w:tcPr>
          <w:p w14:paraId="5B33A08B" w14:textId="0AC7D4F2" w:rsidR="00C67D21" w:rsidRPr="00B6140E" w:rsidRDefault="00C67D21" w:rsidP="00592838">
            <w:pPr>
              <w:suppressAutoHyphens w:val="0"/>
              <w:spacing w:before="40" w:after="40" w:line="220" w:lineRule="exact"/>
              <w:jc w:val="right"/>
              <w:rPr>
                <w:sz w:val="18"/>
              </w:rPr>
            </w:pPr>
            <w:r w:rsidRPr="00B6140E">
              <w:rPr>
                <w:sz w:val="18"/>
              </w:rPr>
              <w:t>9</w:t>
            </w:r>
            <w:r w:rsidR="00BB7B6F" w:rsidRPr="00B6140E">
              <w:rPr>
                <w:sz w:val="18"/>
              </w:rPr>
              <w:t>,</w:t>
            </w:r>
            <w:r w:rsidRPr="00B6140E">
              <w:rPr>
                <w:sz w:val="18"/>
              </w:rPr>
              <w:t>0</w:t>
            </w:r>
          </w:p>
        </w:tc>
      </w:tr>
      <w:tr w:rsidR="00C67D21" w:rsidRPr="00B6140E" w14:paraId="50624AF7" w14:textId="77777777" w:rsidTr="009725E4">
        <w:tc>
          <w:tcPr>
            <w:tcW w:w="2552" w:type="dxa"/>
            <w:tcBorders>
              <w:bottom w:val="single" w:sz="12" w:space="0" w:color="auto"/>
            </w:tcBorders>
            <w:shd w:val="clear" w:color="auto" w:fill="auto"/>
          </w:tcPr>
          <w:p w14:paraId="10763809" w14:textId="2F410A87" w:rsidR="00C67D21" w:rsidRPr="00B6140E" w:rsidRDefault="00C67D21" w:rsidP="00592838">
            <w:pPr>
              <w:suppressAutoHyphens w:val="0"/>
              <w:spacing w:before="40" w:after="40" w:line="220" w:lineRule="exact"/>
              <w:rPr>
                <w:sz w:val="18"/>
              </w:rPr>
            </w:pPr>
            <w:r w:rsidRPr="00B6140E">
              <w:rPr>
                <w:sz w:val="18"/>
              </w:rPr>
              <w:t>Protection de l</w:t>
            </w:r>
            <w:r w:rsidR="00F11D0A" w:rsidRPr="00B6140E">
              <w:rPr>
                <w:sz w:val="18"/>
              </w:rPr>
              <w:t>’</w:t>
            </w:r>
            <w:r w:rsidRPr="00B6140E">
              <w:rPr>
                <w:sz w:val="18"/>
              </w:rPr>
              <w:t>enfant</w:t>
            </w:r>
          </w:p>
        </w:tc>
        <w:tc>
          <w:tcPr>
            <w:tcW w:w="1606" w:type="dxa"/>
            <w:tcBorders>
              <w:bottom w:val="single" w:sz="12" w:space="0" w:color="auto"/>
            </w:tcBorders>
            <w:shd w:val="clear" w:color="auto" w:fill="auto"/>
            <w:vAlign w:val="bottom"/>
          </w:tcPr>
          <w:p w14:paraId="22507070" w14:textId="709E504D" w:rsidR="00C67D21" w:rsidRPr="00B6140E" w:rsidRDefault="00C67D21" w:rsidP="00592838">
            <w:pPr>
              <w:suppressAutoHyphens w:val="0"/>
              <w:spacing w:before="40" w:after="40" w:line="220" w:lineRule="exact"/>
              <w:jc w:val="right"/>
              <w:rPr>
                <w:sz w:val="18"/>
              </w:rPr>
            </w:pPr>
            <w:r w:rsidRPr="00B6140E">
              <w:rPr>
                <w:sz w:val="18"/>
              </w:rPr>
              <w:t>2</w:t>
            </w:r>
            <w:r w:rsidR="00BB7B6F" w:rsidRPr="00B6140E">
              <w:rPr>
                <w:sz w:val="18"/>
              </w:rPr>
              <w:t>,</w:t>
            </w:r>
            <w:r w:rsidRPr="00B6140E">
              <w:rPr>
                <w:sz w:val="18"/>
              </w:rPr>
              <w:t>3</w:t>
            </w:r>
          </w:p>
        </w:tc>
        <w:tc>
          <w:tcPr>
            <w:tcW w:w="1606" w:type="dxa"/>
            <w:tcBorders>
              <w:bottom w:val="single" w:sz="12" w:space="0" w:color="auto"/>
            </w:tcBorders>
            <w:shd w:val="clear" w:color="auto" w:fill="auto"/>
            <w:vAlign w:val="bottom"/>
          </w:tcPr>
          <w:p w14:paraId="02F630E3" w14:textId="12F397D3" w:rsidR="00C67D21" w:rsidRPr="00B6140E" w:rsidRDefault="00C67D21" w:rsidP="00592838">
            <w:pPr>
              <w:suppressAutoHyphens w:val="0"/>
              <w:spacing w:before="40" w:after="40" w:line="220" w:lineRule="exact"/>
              <w:jc w:val="right"/>
              <w:rPr>
                <w:sz w:val="18"/>
              </w:rPr>
            </w:pPr>
            <w:r w:rsidRPr="00B6140E">
              <w:rPr>
                <w:sz w:val="18"/>
              </w:rPr>
              <w:t>2</w:t>
            </w:r>
            <w:r w:rsidR="00BB7B6F" w:rsidRPr="00B6140E">
              <w:rPr>
                <w:sz w:val="18"/>
              </w:rPr>
              <w:t>,</w:t>
            </w:r>
            <w:r w:rsidRPr="00B6140E">
              <w:rPr>
                <w:sz w:val="18"/>
              </w:rPr>
              <w:t>3</w:t>
            </w:r>
          </w:p>
        </w:tc>
        <w:tc>
          <w:tcPr>
            <w:tcW w:w="1606" w:type="dxa"/>
            <w:tcBorders>
              <w:bottom w:val="single" w:sz="12" w:space="0" w:color="auto"/>
            </w:tcBorders>
            <w:shd w:val="clear" w:color="auto" w:fill="auto"/>
            <w:vAlign w:val="bottom"/>
          </w:tcPr>
          <w:p w14:paraId="39BE30C8" w14:textId="70532E4D" w:rsidR="00C67D21" w:rsidRPr="00B6140E" w:rsidRDefault="00C67D21" w:rsidP="00592838">
            <w:pPr>
              <w:suppressAutoHyphens w:val="0"/>
              <w:spacing w:before="40" w:after="40" w:line="220" w:lineRule="exact"/>
              <w:jc w:val="right"/>
              <w:rPr>
                <w:sz w:val="18"/>
              </w:rPr>
            </w:pPr>
            <w:r w:rsidRPr="00B6140E">
              <w:rPr>
                <w:sz w:val="18"/>
              </w:rPr>
              <w:t>1</w:t>
            </w:r>
            <w:r w:rsidR="00BB7B6F" w:rsidRPr="00B6140E">
              <w:rPr>
                <w:sz w:val="18"/>
              </w:rPr>
              <w:t>,</w:t>
            </w:r>
            <w:r w:rsidRPr="00B6140E">
              <w:rPr>
                <w:sz w:val="18"/>
              </w:rPr>
              <w:t>7</w:t>
            </w:r>
          </w:p>
        </w:tc>
      </w:tr>
    </w:tbl>
    <w:p w14:paraId="01E3562C" w14:textId="18D1160B" w:rsidR="00DB2EA2" w:rsidRPr="00C817B6" w:rsidRDefault="00DB2EA2" w:rsidP="00592838">
      <w:pPr>
        <w:spacing w:before="120"/>
        <w:ind w:left="1134" w:right="1134" w:firstLine="170"/>
        <w:jc w:val="both"/>
        <w:rPr>
          <w:i/>
          <w:color w:val="000000" w:themeColor="text1"/>
          <w:sz w:val="18"/>
          <w:szCs w:val="18"/>
        </w:rPr>
      </w:pPr>
      <w:r w:rsidRPr="00C817B6">
        <w:rPr>
          <w:rFonts w:eastAsia="MS Mincho"/>
          <w:bCs/>
          <w:i/>
          <w:color w:val="000000" w:themeColor="text1"/>
          <w:sz w:val="18"/>
          <w:szCs w:val="18"/>
        </w:rPr>
        <w:t>Source </w:t>
      </w:r>
      <w:r w:rsidRPr="00592838">
        <w:rPr>
          <w:rFonts w:eastAsia="MS Mincho"/>
          <w:bCs/>
          <w:iCs/>
          <w:color w:val="000000" w:themeColor="text1"/>
          <w:sz w:val="18"/>
          <w:szCs w:val="18"/>
        </w:rPr>
        <w:t xml:space="preserve">: </w:t>
      </w:r>
      <w:r w:rsidR="00C21812">
        <w:rPr>
          <w:rFonts w:eastAsia="MS Mincho"/>
          <w:bCs/>
          <w:iCs/>
          <w:color w:val="000000" w:themeColor="text1"/>
          <w:sz w:val="18"/>
          <w:szCs w:val="18"/>
        </w:rPr>
        <w:t xml:space="preserve">UNICEF, </w:t>
      </w:r>
      <w:r w:rsidR="0067045F">
        <w:rPr>
          <w:rFonts w:eastAsia="MS Mincho"/>
          <w:bCs/>
          <w:iCs/>
          <w:color w:val="000000" w:themeColor="text1"/>
          <w:sz w:val="18"/>
          <w:szCs w:val="18"/>
        </w:rPr>
        <w:t>« </w:t>
      </w:r>
      <w:r w:rsidRPr="00592838">
        <w:rPr>
          <w:iCs/>
          <w:color w:val="000000" w:themeColor="text1"/>
          <w:sz w:val="18"/>
          <w:szCs w:val="18"/>
        </w:rPr>
        <w:t xml:space="preserve">Analyse des </w:t>
      </w:r>
      <w:r w:rsidR="00E22E96" w:rsidRPr="00592838">
        <w:rPr>
          <w:iCs/>
          <w:color w:val="000000" w:themeColor="text1"/>
          <w:sz w:val="18"/>
          <w:szCs w:val="18"/>
        </w:rPr>
        <w:t>a</w:t>
      </w:r>
      <w:r w:rsidRPr="00592838">
        <w:rPr>
          <w:iCs/>
          <w:color w:val="000000" w:themeColor="text1"/>
          <w:sz w:val="18"/>
          <w:szCs w:val="18"/>
        </w:rPr>
        <w:t xml:space="preserve">llocations </w:t>
      </w:r>
      <w:r w:rsidR="00E22E96" w:rsidRPr="00592838">
        <w:rPr>
          <w:iCs/>
          <w:color w:val="000000" w:themeColor="text1"/>
          <w:sz w:val="18"/>
          <w:szCs w:val="18"/>
        </w:rPr>
        <w:t>b</w:t>
      </w:r>
      <w:r w:rsidRPr="00592838">
        <w:rPr>
          <w:iCs/>
          <w:color w:val="000000" w:themeColor="text1"/>
          <w:sz w:val="18"/>
          <w:szCs w:val="18"/>
        </w:rPr>
        <w:t>udgétaires des secteurs sociaux 2022/2023</w:t>
      </w:r>
      <w:r w:rsidR="0067045F" w:rsidRPr="00592838">
        <w:rPr>
          <w:iCs/>
          <w:color w:val="000000" w:themeColor="text1"/>
          <w:sz w:val="18"/>
          <w:szCs w:val="18"/>
        </w:rPr>
        <w:t xml:space="preserve"> –</w:t>
      </w:r>
      <w:r w:rsidRPr="00592838">
        <w:rPr>
          <w:iCs/>
          <w:color w:val="000000" w:themeColor="text1"/>
          <w:sz w:val="18"/>
          <w:szCs w:val="18"/>
        </w:rPr>
        <w:t xml:space="preserve"> UNICEF Burundi, Politique </w:t>
      </w:r>
      <w:r w:rsidR="0067045F" w:rsidRPr="00592838">
        <w:rPr>
          <w:iCs/>
          <w:color w:val="000000" w:themeColor="text1"/>
          <w:sz w:val="18"/>
          <w:szCs w:val="18"/>
        </w:rPr>
        <w:t>s</w:t>
      </w:r>
      <w:r w:rsidRPr="00592838">
        <w:rPr>
          <w:iCs/>
          <w:color w:val="000000" w:themeColor="text1"/>
          <w:sz w:val="18"/>
          <w:szCs w:val="18"/>
        </w:rPr>
        <w:t xml:space="preserve">ociale et </w:t>
      </w:r>
      <w:r w:rsidR="0067045F" w:rsidRPr="00592838">
        <w:rPr>
          <w:iCs/>
          <w:color w:val="000000" w:themeColor="text1"/>
          <w:sz w:val="18"/>
          <w:szCs w:val="18"/>
        </w:rPr>
        <w:t>p</w:t>
      </w:r>
      <w:r w:rsidRPr="00592838">
        <w:rPr>
          <w:iCs/>
          <w:color w:val="000000" w:themeColor="text1"/>
          <w:sz w:val="18"/>
          <w:szCs w:val="18"/>
        </w:rPr>
        <w:t>laidoyer</w:t>
      </w:r>
      <w:r w:rsidR="0067045F">
        <w:rPr>
          <w:iCs/>
          <w:color w:val="000000" w:themeColor="text1"/>
          <w:sz w:val="18"/>
          <w:szCs w:val="18"/>
        </w:rPr>
        <w:t> »</w:t>
      </w:r>
      <w:r w:rsidR="0067045F" w:rsidRPr="00592838">
        <w:rPr>
          <w:iCs/>
          <w:color w:val="000000" w:themeColor="text1"/>
          <w:sz w:val="18"/>
          <w:szCs w:val="18"/>
        </w:rPr>
        <w:t>,</w:t>
      </w:r>
      <w:r w:rsidRPr="00592838">
        <w:rPr>
          <w:iCs/>
          <w:color w:val="000000" w:themeColor="text1"/>
          <w:sz w:val="18"/>
          <w:szCs w:val="18"/>
        </w:rPr>
        <w:t xml:space="preserve"> </w:t>
      </w:r>
      <w:r w:rsidR="0067045F" w:rsidRPr="00592838">
        <w:rPr>
          <w:iCs/>
          <w:color w:val="000000" w:themeColor="text1"/>
          <w:sz w:val="18"/>
          <w:szCs w:val="18"/>
        </w:rPr>
        <w:t>j</w:t>
      </w:r>
      <w:r w:rsidRPr="00592838">
        <w:rPr>
          <w:iCs/>
          <w:color w:val="000000" w:themeColor="text1"/>
          <w:sz w:val="18"/>
          <w:szCs w:val="18"/>
        </w:rPr>
        <w:t>uillet 2022</w:t>
      </w:r>
      <w:r w:rsidR="004F465E" w:rsidRPr="00592838">
        <w:rPr>
          <w:iCs/>
          <w:color w:val="000000" w:themeColor="text1"/>
          <w:sz w:val="18"/>
          <w:szCs w:val="18"/>
        </w:rPr>
        <w:t>, p</w:t>
      </w:r>
      <w:r w:rsidR="0067045F">
        <w:rPr>
          <w:iCs/>
          <w:color w:val="000000" w:themeColor="text1"/>
          <w:sz w:val="18"/>
          <w:szCs w:val="18"/>
        </w:rPr>
        <w:t>. </w:t>
      </w:r>
      <w:r w:rsidR="004F465E" w:rsidRPr="00592838">
        <w:rPr>
          <w:iCs/>
          <w:color w:val="000000" w:themeColor="text1"/>
          <w:sz w:val="18"/>
          <w:szCs w:val="18"/>
        </w:rPr>
        <w:t>3.</w:t>
      </w:r>
    </w:p>
    <w:p w14:paraId="096D7FC3" w14:textId="5F256C3D" w:rsidR="00DB2EA2" w:rsidRPr="009B1B5A" w:rsidRDefault="009B1B5A" w:rsidP="009B1B5A">
      <w:pPr>
        <w:pStyle w:val="H23G"/>
        <w:rPr>
          <w:rFonts w:eastAsia="MS Mincho"/>
        </w:rPr>
      </w:pPr>
      <w:r>
        <w:rPr>
          <w:rFonts w:eastAsia="MS Mincho"/>
        </w:rPr>
        <w:tab/>
        <w:t>1.</w:t>
      </w:r>
      <w:r>
        <w:rPr>
          <w:rFonts w:eastAsia="MS Mincho"/>
        </w:rPr>
        <w:tab/>
      </w:r>
      <w:r w:rsidR="00055A6F" w:rsidRPr="009B1B5A">
        <w:rPr>
          <w:rFonts w:eastAsia="MS Mincho"/>
        </w:rPr>
        <w:t>D</w:t>
      </w:r>
      <w:r w:rsidR="00DB2EA2" w:rsidRPr="009B1B5A">
        <w:rPr>
          <w:rFonts w:eastAsia="MS Mincho"/>
        </w:rPr>
        <w:t>roit à l’éducation</w:t>
      </w:r>
    </w:p>
    <w:p w14:paraId="48CB064A" w14:textId="28476DF4" w:rsidR="00DB2EA2" w:rsidRDefault="00DB2EA2" w:rsidP="00DB2EA2">
      <w:pPr>
        <w:pStyle w:val="SingleTxtG"/>
        <w:rPr>
          <w:rFonts w:eastAsia="MS Mincho"/>
        </w:rPr>
      </w:pPr>
      <w:r>
        <w:rPr>
          <w:rFonts w:eastAsia="MS Mincho"/>
        </w:rPr>
        <w:t>5</w:t>
      </w:r>
      <w:r w:rsidR="009B1B5A">
        <w:rPr>
          <w:rFonts w:eastAsia="MS Mincho"/>
        </w:rPr>
        <w:t>0</w:t>
      </w:r>
      <w:r>
        <w:rPr>
          <w:rFonts w:eastAsia="MS Mincho"/>
        </w:rPr>
        <w:t>.</w:t>
      </w:r>
      <w:r w:rsidR="009B1B5A">
        <w:rPr>
          <w:rFonts w:eastAsia="MS Mincho"/>
        </w:rPr>
        <w:tab/>
      </w:r>
      <w:r w:rsidRPr="00C36219">
        <w:rPr>
          <w:rFonts w:eastAsia="MS Mincho"/>
        </w:rPr>
        <w:t>L</w:t>
      </w:r>
      <w:r w:rsidR="00F11D0A">
        <w:rPr>
          <w:rFonts w:eastAsia="MS Mincho"/>
        </w:rPr>
        <w:t>’</w:t>
      </w:r>
      <w:r w:rsidRPr="00C36219">
        <w:rPr>
          <w:rFonts w:eastAsia="MS Mincho"/>
        </w:rPr>
        <w:t>éducation est un droit fondamental, prévu à l’article 13 du Pacte international relatif aux droits économiques, sociaux et culturels. Au Burundi, des efforts notables ont été entrepris par les autorités, avec le soutien de leurs partenaires techniques et financiers, afin d’assurer la gratuité de l’enseignement primaire</w:t>
      </w:r>
      <w:r w:rsidRPr="006C10E2">
        <w:rPr>
          <w:rStyle w:val="EndnoteReference"/>
          <w:rFonts w:eastAsia="MS Mincho"/>
        </w:rPr>
        <w:footnoteReference w:id="49"/>
      </w:r>
      <w:r w:rsidRPr="00C36219">
        <w:rPr>
          <w:rFonts w:eastAsia="MS Mincho"/>
        </w:rPr>
        <w:t xml:space="preserve"> et d’augmenter le no</w:t>
      </w:r>
      <w:r>
        <w:rPr>
          <w:rFonts w:eastAsia="MS Mincho"/>
        </w:rPr>
        <w:t>mbre d’écoles.</w:t>
      </w:r>
    </w:p>
    <w:p w14:paraId="2FBD1EAD" w14:textId="0337E4F8" w:rsidR="00DB2EA2" w:rsidRPr="00C36219" w:rsidRDefault="00DB2EA2" w:rsidP="00DB2EA2">
      <w:pPr>
        <w:pStyle w:val="SingleTxtG"/>
        <w:rPr>
          <w:rFonts w:eastAsia="MS Mincho"/>
          <w:i/>
        </w:rPr>
      </w:pPr>
      <w:r>
        <w:rPr>
          <w:rFonts w:eastAsia="MS Mincho"/>
        </w:rPr>
        <w:t>5</w:t>
      </w:r>
      <w:r w:rsidR="009B1B5A">
        <w:rPr>
          <w:rFonts w:eastAsia="MS Mincho"/>
        </w:rPr>
        <w:t>1</w:t>
      </w:r>
      <w:r>
        <w:rPr>
          <w:rFonts w:eastAsia="MS Mincho"/>
        </w:rPr>
        <w:t>.</w:t>
      </w:r>
      <w:r w:rsidR="009B1B5A">
        <w:rPr>
          <w:rFonts w:eastAsia="MS Mincho"/>
        </w:rPr>
        <w:tab/>
      </w:r>
      <w:r w:rsidRPr="00C36219">
        <w:rPr>
          <w:rFonts w:eastAsia="MS Mincho"/>
        </w:rPr>
        <w:t xml:space="preserve">Le </w:t>
      </w:r>
      <w:r>
        <w:rPr>
          <w:rFonts w:eastAsia="MS Mincho"/>
        </w:rPr>
        <w:t>Rapporteur spécial souligne que le Burundi a accepté</w:t>
      </w:r>
      <w:r w:rsidR="0040096F">
        <w:rPr>
          <w:rFonts w:eastAsia="MS Mincho"/>
        </w:rPr>
        <w:t>,</w:t>
      </w:r>
      <w:r>
        <w:rPr>
          <w:rFonts w:eastAsia="MS Mincho"/>
        </w:rPr>
        <w:t xml:space="preserve"> lors </w:t>
      </w:r>
      <w:r w:rsidR="00451D8D">
        <w:rPr>
          <w:rFonts w:eastAsia="MS Mincho"/>
        </w:rPr>
        <w:t>du troisième cycle de l’</w:t>
      </w:r>
      <w:r>
        <w:rPr>
          <w:rFonts w:eastAsia="MS Mincho"/>
        </w:rPr>
        <w:t xml:space="preserve">Examen </w:t>
      </w:r>
      <w:r w:rsidR="00754901">
        <w:rPr>
          <w:rFonts w:eastAsia="MS Mincho"/>
        </w:rPr>
        <w:t>p</w:t>
      </w:r>
      <w:r>
        <w:rPr>
          <w:rFonts w:eastAsia="MS Mincho"/>
        </w:rPr>
        <w:t xml:space="preserve">ériodique </w:t>
      </w:r>
      <w:r w:rsidR="00754901">
        <w:rPr>
          <w:rFonts w:eastAsia="MS Mincho"/>
        </w:rPr>
        <w:t>u</w:t>
      </w:r>
      <w:r>
        <w:rPr>
          <w:rFonts w:eastAsia="MS Mincho"/>
        </w:rPr>
        <w:t>niversel, de p</w:t>
      </w:r>
      <w:r w:rsidRPr="007044A9">
        <w:rPr>
          <w:rFonts w:eastAsia="MS Mincho"/>
        </w:rPr>
        <w:t>oursuivre ses efforts pour éliminer la discrimination dans l</w:t>
      </w:r>
      <w:r w:rsidR="00F11D0A">
        <w:rPr>
          <w:rFonts w:eastAsia="MS Mincho"/>
        </w:rPr>
        <w:t>’</w:t>
      </w:r>
      <w:r w:rsidRPr="007044A9">
        <w:rPr>
          <w:rFonts w:eastAsia="MS Mincho"/>
        </w:rPr>
        <w:t>éducation à l</w:t>
      </w:r>
      <w:r w:rsidR="00F11D0A">
        <w:rPr>
          <w:rFonts w:eastAsia="MS Mincho"/>
        </w:rPr>
        <w:t>’</w:t>
      </w:r>
      <w:r w:rsidRPr="007044A9">
        <w:rPr>
          <w:rFonts w:eastAsia="MS Mincho"/>
        </w:rPr>
        <w:t>égard des filles, des enfants ayant des besoins particuliers, des personnes déplacées à l</w:t>
      </w:r>
      <w:r w:rsidR="00F11D0A">
        <w:rPr>
          <w:rFonts w:eastAsia="MS Mincho"/>
        </w:rPr>
        <w:t>’</w:t>
      </w:r>
      <w:r w:rsidRPr="007044A9">
        <w:rPr>
          <w:rFonts w:eastAsia="MS Mincho"/>
        </w:rPr>
        <w:t>intérieur du pays, des réfugi</w:t>
      </w:r>
      <w:r>
        <w:rPr>
          <w:rFonts w:eastAsia="MS Mincho"/>
        </w:rPr>
        <w:t xml:space="preserve">és, des enfants de la minorité </w:t>
      </w:r>
      <w:proofErr w:type="spellStart"/>
      <w:r w:rsidR="005E2551">
        <w:rPr>
          <w:rFonts w:eastAsia="MS Mincho"/>
        </w:rPr>
        <w:t>b</w:t>
      </w:r>
      <w:r w:rsidRPr="007044A9">
        <w:rPr>
          <w:rFonts w:eastAsia="MS Mincho"/>
        </w:rPr>
        <w:t>atwa</w:t>
      </w:r>
      <w:proofErr w:type="spellEnd"/>
      <w:r w:rsidRPr="007044A9">
        <w:rPr>
          <w:rFonts w:eastAsia="MS Mincho"/>
        </w:rPr>
        <w:t xml:space="preserve"> et des enfants atteints d</w:t>
      </w:r>
      <w:r w:rsidR="00F11D0A">
        <w:rPr>
          <w:rFonts w:eastAsia="MS Mincho"/>
        </w:rPr>
        <w:t>’</w:t>
      </w:r>
      <w:r w:rsidRPr="007044A9">
        <w:rPr>
          <w:rFonts w:eastAsia="MS Mincho"/>
        </w:rPr>
        <w:t>albinisme</w:t>
      </w:r>
      <w:r>
        <w:rPr>
          <w:rStyle w:val="FootnoteReference"/>
          <w:rFonts w:eastAsia="MS Mincho"/>
        </w:rPr>
        <w:footnoteReference w:id="50"/>
      </w:r>
      <w:r w:rsidR="00754901">
        <w:rPr>
          <w:rFonts w:eastAsia="MS Mincho"/>
        </w:rPr>
        <w:t>.</w:t>
      </w:r>
    </w:p>
    <w:p w14:paraId="054EA4F9" w14:textId="7816D3E4" w:rsidR="00DB2EA2" w:rsidRPr="00C817B6" w:rsidRDefault="00DB2EA2" w:rsidP="00DB2EA2">
      <w:pPr>
        <w:pStyle w:val="SingleTxtG"/>
        <w:rPr>
          <w:rFonts w:eastAsia="MS Mincho"/>
        </w:rPr>
      </w:pPr>
      <w:r>
        <w:rPr>
          <w:rFonts w:eastAsia="MS Mincho"/>
        </w:rPr>
        <w:t>5</w:t>
      </w:r>
      <w:r w:rsidR="009B1B5A">
        <w:rPr>
          <w:rFonts w:eastAsia="MS Mincho"/>
        </w:rPr>
        <w:t>2</w:t>
      </w:r>
      <w:r>
        <w:rPr>
          <w:rFonts w:eastAsia="MS Mincho"/>
        </w:rPr>
        <w:t>.</w:t>
      </w:r>
      <w:r w:rsidR="009B1B5A">
        <w:rPr>
          <w:rFonts w:eastAsia="MS Mincho"/>
        </w:rPr>
        <w:tab/>
      </w:r>
      <w:r>
        <w:rPr>
          <w:rFonts w:eastAsia="MS Mincho"/>
        </w:rPr>
        <w:t>L</w:t>
      </w:r>
      <w:r w:rsidRPr="00C36219">
        <w:rPr>
          <w:rFonts w:eastAsia="MS Mincho"/>
        </w:rPr>
        <w:t xml:space="preserve">a </w:t>
      </w:r>
      <w:r w:rsidR="00B9177C">
        <w:t>Commission d’enquête</w:t>
      </w:r>
      <w:r w:rsidR="00B9177C" w:rsidRPr="00B9177C">
        <w:t xml:space="preserve"> </w:t>
      </w:r>
      <w:r w:rsidR="00B9177C">
        <w:t>sur le Burundi</w:t>
      </w:r>
      <w:r>
        <w:rPr>
          <w:rFonts w:eastAsia="MS Mincho"/>
        </w:rPr>
        <w:t xml:space="preserve"> </w:t>
      </w:r>
      <w:r w:rsidRPr="00C36219">
        <w:rPr>
          <w:rFonts w:eastAsia="MS Mincho"/>
        </w:rPr>
        <w:t xml:space="preserve">a </w:t>
      </w:r>
      <w:r w:rsidR="009B1B5A" w:rsidRPr="00C36219">
        <w:rPr>
          <w:rFonts w:eastAsia="MS Mincho"/>
        </w:rPr>
        <w:t>relevé</w:t>
      </w:r>
      <w:r w:rsidRPr="00C36219">
        <w:rPr>
          <w:rFonts w:eastAsia="MS Mincho"/>
        </w:rPr>
        <w:t xml:space="preserve"> que</w:t>
      </w:r>
      <w:r w:rsidRPr="00592838">
        <w:rPr>
          <w:rFonts w:eastAsia="MS Mincho"/>
          <w:bCs/>
        </w:rPr>
        <w:t xml:space="preserve"> </w:t>
      </w:r>
      <w:r w:rsidRPr="00C36219">
        <w:rPr>
          <w:rFonts w:eastAsia="MS Mincho"/>
        </w:rPr>
        <w:t>le montant total des ressources affectées au Ministère de l’éducation, de l’enseignement supérieur et de la recherche a</w:t>
      </w:r>
      <w:r w:rsidR="005E2551">
        <w:rPr>
          <w:rFonts w:eastAsia="MS Mincho"/>
        </w:rPr>
        <w:t>vait</w:t>
      </w:r>
      <w:r w:rsidRPr="00C36219">
        <w:rPr>
          <w:rFonts w:eastAsia="MS Mincho"/>
        </w:rPr>
        <w:t xml:space="preserve"> chuté de 18,2</w:t>
      </w:r>
      <w:r w:rsidR="005E2551">
        <w:rPr>
          <w:rFonts w:eastAsia="MS Mincho"/>
        </w:rPr>
        <w:t> </w:t>
      </w:r>
      <w:r w:rsidRPr="00C36219">
        <w:rPr>
          <w:rFonts w:eastAsia="MS Mincho"/>
        </w:rPr>
        <w:t>% dans les lois de finances adoptées entre 2015 et 2018. Elle explique cette baisse par la diminution significative des aides extérieures (</w:t>
      </w:r>
      <w:r w:rsidR="003517F1">
        <w:rPr>
          <w:rFonts w:eastAsia="MS Mincho"/>
        </w:rPr>
        <w:t>-</w:t>
      </w:r>
      <w:r w:rsidR="00B036C6">
        <w:rPr>
          <w:rFonts w:eastAsia="MS Mincho"/>
        </w:rPr>
        <w:t>95,7</w:t>
      </w:r>
      <w:r w:rsidR="002079B0">
        <w:rPr>
          <w:rFonts w:eastAsia="MS Mincho"/>
        </w:rPr>
        <w:t> </w:t>
      </w:r>
      <w:r w:rsidR="00B036C6">
        <w:rPr>
          <w:rFonts w:eastAsia="MS Mincho"/>
        </w:rPr>
        <w:t>%)</w:t>
      </w:r>
      <w:r w:rsidR="003517F1">
        <w:rPr>
          <w:rFonts w:eastAsia="MS Mincho"/>
        </w:rPr>
        <w:t>,</w:t>
      </w:r>
      <w:r w:rsidR="00B036C6">
        <w:rPr>
          <w:rFonts w:eastAsia="MS Mincho"/>
        </w:rPr>
        <w:t xml:space="preserve"> que n’a pas compensé</w:t>
      </w:r>
      <w:r w:rsidR="0040096F">
        <w:rPr>
          <w:rFonts w:eastAsia="MS Mincho"/>
        </w:rPr>
        <w:t>e</w:t>
      </w:r>
      <w:r w:rsidR="00B036C6">
        <w:rPr>
          <w:rFonts w:eastAsia="MS Mincho"/>
        </w:rPr>
        <w:t xml:space="preserve"> </w:t>
      </w:r>
      <w:r w:rsidR="003517F1">
        <w:rPr>
          <w:rFonts w:eastAsia="MS Mincho"/>
        </w:rPr>
        <w:t>la</w:t>
      </w:r>
      <w:r w:rsidRPr="00C36219">
        <w:rPr>
          <w:rFonts w:eastAsia="MS Mincho"/>
        </w:rPr>
        <w:t xml:space="preserve"> hausse des ressources internes (</w:t>
      </w:r>
      <w:r w:rsidR="003517F1">
        <w:rPr>
          <w:rFonts w:eastAsia="MS Mincho"/>
        </w:rPr>
        <w:t>+</w:t>
      </w:r>
      <w:r w:rsidRPr="00C36219">
        <w:rPr>
          <w:rFonts w:eastAsia="MS Mincho"/>
        </w:rPr>
        <w:t>16,7</w:t>
      </w:r>
      <w:r w:rsidR="003517F1">
        <w:rPr>
          <w:rFonts w:eastAsia="MS Mincho"/>
        </w:rPr>
        <w:t> </w:t>
      </w:r>
      <w:r w:rsidRPr="00C36219">
        <w:rPr>
          <w:rFonts w:eastAsia="MS Mincho"/>
        </w:rPr>
        <w:t>%) pendant la même période.</w:t>
      </w:r>
    </w:p>
    <w:p w14:paraId="351B9AEE" w14:textId="04583223" w:rsidR="00DB2EA2" w:rsidRPr="00592838" w:rsidRDefault="00DB2EA2" w:rsidP="00DB2EA2">
      <w:pPr>
        <w:pStyle w:val="SingleTxtG"/>
        <w:rPr>
          <w:rFonts w:eastAsia="MS Mincho"/>
        </w:rPr>
      </w:pPr>
      <w:r>
        <w:rPr>
          <w:rFonts w:eastAsia="MS Mincho"/>
        </w:rPr>
        <w:t>5</w:t>
      </w:r>
      <w:r w:rsidR="009B1B5A">
        <w:rPr>
          <w:rFonts w:eastAsia="MS Mincho"/>
        </w:rPr>
        <w:t>3</w:t>
      </w:r>
      <w:r>
        <w:rPr>
          <w:rFonts w:eastAsia="MS Mincho"/>
        </w:rPr>
        <w:t>.</w:t>
      </w:r>
      <w:r w:rsidR="009B1B5A">
        <w:rPr>
          <w:rFonts w:eastAsia="MS Mincho"/>
        </w:rPr>
        <w:tab/>
      </w:r>
      <w:r w:rsidR="006E490E" w:rsidRPr="006E490E">
        <w:rPr>
          <w:rFonts w:eastAsia="MS Mincho"/>
        </w:rPr>
        <w:t xml:space="preserve">Après 2015, le taux de scolarisation, tous niveaux confondus, a chuté pour la première fois depuis </w:t>
      </w:r>
      <w:r w:rsidR="008E7F5F">
        <w:rPr>
          <w:rFonts w:eastAsia="MS Mincho"/>
        </w:rPr>
        <w:t>dix</w:t>
      </w:r>
      <w:r w:rsidR="006E490E" w:rsidRPr="006E490E">
        <w:rPr>
          <w:rFonts w:eastAsia="MS Mincho"/>
        </w:rPr>
        <w:t xml:space="preserve"> ans, passant de 70,13</w:t>
      </w:r>
      <w:r w:rsidR="008E7F5F">
        <w:rPr>
          <w:rFonts w:eastAsia="MS Mincho"/>
        </w:rPr>
        <w:t> </w:t>
      </w:r>
      <w:r w:rsidR="006E490E" w:rsidRPr="006E490E">
        <w:rPr>
          <w:rFonts w:eastAsia="MS Mincho"/>
        </w:rPr>
        <w:t>% en 2014</w:t>
      </w:r>
      <w:r w:rsidR="0032336C">
        <w:rPr>
          <w:rFonts w:eastAsia="MS Mincho"/>
        </w:rPr>
        <w:t>/</w:t>
      </w:r>
      <w:r w:rsidR="006E490E" w:rsidRPr="006E490E">
        <w:rPr>
          <w:rFonts w:eastAsia="MS Mincho"/>
        </w:rPr>
        <w:t>15 à 65,59</w:t>
      </w:r>
      <w:r w:rsidR="0032336C">
        <w:rPr>
          <w:rFonts w:eastAsia="MS Mincho"/>
        </w:rPr>
        <w:t> </w:t>
      </w:r>
      <w:r w:rsidR="006E490E" w:rsidRPr="006E490E">
        <w:rPr>
          <w:rFonts w:eastAsia="MS Mincho"/>
        </w:rPr>
        <w:t>% en 2015</w:t>
      </w:r>
      <w:r w:rsidR="0032336C">
        <w:rPr>
          <w:rFonts w:eastAsia="MS Mincho"/>
        </w:rPr>
        <w:t>/</w:t>
      </w:r>
      <w:r w:rsidR="006E490E" w:rsidRPr="006E490E">
        <w:rPr>
          <w:rFonts w:eastAsia="MS Mincho"/>
        </w:rPr>
        <w:t>16. Le taux d’abandon dans le primaire a quant à lui progressé, passant de 7,86</w:t>
      </w:r>
      <w:r w:rsidR="00AF0DB0">
        <w:rPr>
          <w:rFonts w:eastAsia="MS Mincho"/>
        </w:rPr>
        <w:t> </w:t>
      </w:r>
      <w:r w:rsidR="006E490E" w:rsidRPr="006E490E">
        <w:rPr>
          <w:rFonts w:eastAsia="MS Mincho"/>
        </w:rPr>
        <w:t>%</w:t>
      </w:r>
      <w:r w:rsidR="00AF0DB0">
        <w:rPr>
          <w:rFonts w:eastAsia="MS Mincho"/>
        </w:rPr>
        <w:t xml:space="preserve"> </w:t>
      </w:r>
      <w:r w:rsidR="006E490E" w:rsidRPr="006E490E">
        <w:rPr>
          <w:rFonts w:eastAsia="MS Mincho"/>
        </w:rPr>
        <w:t>en 2014</w:t>
      </w:r>
      <w:r w:rsidR="00AF0DB0">
        <w:rPr>
          <w:rFonts w:eastAsia="MS Mincho"/>
        </w:rPr>
        <w:t>/</w:t>
      </w:r>
      <w:r w:rsidR="006E490E" w:rsidRPr="006E490E">
        <w:rPr>
          <w:rFonts w:eastAsia="MS Mincho"/>
        </w:rPr>
        <w:t>15 à 9,70</w:t>
      </w:r>
      <w:r w:rsidR="00AF0DB0">
        <w:rPr>
          <w:rFonts w:eastAsia="MS Mincho"/>
        </w:rPr>
        <w:t> </w:t>
      </w:r>
      <w:r w:rsidR="006E490E" w:rsidRPr="006E490E">
        <w:rPr>
          <w:rFonts w:eastAsia="MS Mincho"/>
        </w:rPr>
        <w:t>% en 2015</w:t>
      </w:r>
      <w:r w:rsidR="00AF0DB0">
        <w:rPr>
          <w:rFonts w:eastAsia="MS Mincho"/>
        </w:rPr>
        <w:t>/</w:t>
      </w:r>
      <w:r w:rsidR="006E490E" w:rsidRPr="006E490E">
        <w:rPr>
          <w:rFonts w:eastAsia="MS Mincho"/>
        </w:rPr>
        <w:t>16</w:t>
      </w:r>
      <w:r w:rsidR="006E490E">
        <w:rPr>
          <w:rStyle w:val="FootnoteReference"/>
          <w:rFonts w:eastAsia="MS Mincho"/>
        </w:rPr>
        <w:footnoteReference w:id="51"/>
      </w:r>
      <w:r w:rsidR="006E490E" w:rsidRPr="006E490E">
        <w:rPr>
          <w:rFonts w:eastAsia="MS Mincho"/>
        </w:rPr>
        <w:t>.</w:t>
      </w:r>
    </w:p>
    <w:p w14:paraId="63FAD0FB" w14:textId="2F6B4489" w:rsidR="00DB6314" w:rsidRDefault="00DB2EA2" w:rsidP="00DB2EA2">
      <w:pPr>
        <w:pStyle w:val="SingleTxtG"/>
        <w:rPr>
          <w:rFonts w:eastAsia="MS Mincho"/>
        </w:rPr>
      </w:pPr>
      <w:r>
        <w:rPr>
          <w:rFonts w:eastAsia="MS Mincho"/>
        </w:rPr>
        <w:t>5</w:t>
      </w:r>
      <w:r w:rsidR="009B1B5A">
        <w:rPr>
          <w:rFonts w:eastAsia="MS Mincho"/>
        </w:rPr>
        <w:t>4</w:t>
      </w:r>
      <w:r>
        <w:rPr>
          <w:rFonts w:eastAsia="MS Mincho"/>
        </w:rPr>
        <w:t>.</w:t>
      </w:r>
      <w:r w:rsidR="009B1B5A">
        <w:rPr>
          <w:rFonts w:eastAsia="MS Mincho"/>
        </w:rPr>
        <w:tab/>
      </w:r>
      <w:r w:rsidR="00DB6314" w:rsidRPr="00DB6314">
        <w:rPr>
          <w:rFonts w:eastAsia="MS Mincho"/>
        </w:rPr>
        <w:t>Entre septembre 2015 et avril 2016, la Fédération nationale des associations engagées dans le domaine de l</w:t>
      </w:r>
      <w:r w:rsidR="00F11D0A">
        <w:rPr>
          <w:rFonts w:eastAsia="MS Mincho"/>
        </w:rPr>
        <w:t>’</w:t>
      </w:r>
      <w:r w:rsidR="00DB6314" w:rsidRPr="00DB6314">
        <w:rPr>
          <w:rFonts w:eastAsia="MS Mincho"/>
        </w:rPr>
        <w:t>enfance</w:t>
      </w:r>
      <w:r w:rsidR="00BE0BF1">
        <w:rPr>
          <w:rFonts w:eastAsia="MS Mincho"/>
        </w:rPr>
        <w:t xml:space="preserve"> au Burundi</w:t>
      </w:r>
      <w:r w:rsidR="00DB6314" w:rsidRPr="00DB6314">
        <w:rPr>
          <w:rFonts w:eastAsia="MS Mincho"/>
        </w:rPr>
        <w:t xml:space="preserve"> a dénombré 115</w:t>
      </w:r>
      <w:r w:rsidR="00BE0BF1">
        <w:rPr>
          <w:rFonts w:eastAsia="MS Mincho"/>
        </w:rPr>
        <w:t> </w:t>
      </w:r>
      <w:r w:rsidR="00DB6314" w:rsidRPr="00DB6314">
        <w:rPr>
          <w:rFonts w:eastAsia="MS Mincho"/>
        </w:rPr>
        <w:t>193</w:t>
      </w:r>
      <w:r w:rsidR="00BE0BF1">
        <w:rPr>
          <w:rFonts w:eastAsia="MS Mincho"/>
        </w:rPr>
        <w:t> </w:t>
      </w:r>
      <w:r w:rsidR="00DB6314" w:rsidRPr="00DB6314">
        <w:rPr>
          <w:rFonts w:eastAsia="MS Mincho"/>
        </w:rPr>
        <w:t>cas d’abandon scolaire sur l’ensemble du territoire burundais. Ce chiffre serait passé à 218</w:t>
      </w:r>
      <w:r w:rsidR="00BE0BF1">
        <w:rPr>
          <w:rFonts w:eastAsia="MS Mincho"/>
        </w:rPr>
        <w:t> </w:t>
      </w:r>
      <w:r w:rsidR="00DB6314" w:rsidRPr="00DB6314">
        <w:rPr>
          <w:rFonts w:eastAsia="MS Mincho"/>
        </w:rPr>
        <w:t>345</w:t>
      </w:r>
      <w:r w:rsidR="00BE0BF1">
        <w:rPr>
          <w:rFonts w:eastAsia="MS Mincho"/>
        </w:rPr>
        <w:t> </w:t>
      </w:r>
      <w:r w:rsidR="00DB6314" w:rsidRPr="00DB6314">
        <w:rPr>
          <w:rFonts w:eastAsia="MS Mincho"/>
        </w:rPr>
        <w:t>cas durant la période 2016</w:t>
      </w:r>
      <w:r w:rsidR="00BE0BF1">
        <w:rPr>
          <w:rFonts w:eastAsia="MS Mincho"/>
        </w:rPr>
        <w:t>/</w:t>
      </w:r>
      <w:r w:rsidR="00DB6314" w:rsidRPr="00DB6314">
        <w:rPr>
          <w:rFonts w:eastAsia="MS Mincho"/>
        </w:rPr>
        <w:t>17</w:t>
      </w:r>
      <w:r w:rsidR="001B1C8F">
        <w:rPr>
          <w:rStyle w:val="FootnoteReference"/>
          <w:rFonts w:eastAsia="MS Mincho"/>
        </w:rPr>
        <w:footnoteReference w:id="52"/>
      </w:r>
      <w:r w:rsidR="00DB6314" w:rsidRPr="00DB6314">
        <w:rPr>
          <w:rFonts w:eastAsia="MS Mincho"/>
        </w:rPr>
        <w:t>. Avec l</w:t>
      </w:r>
      <w:r w:rsidR="00F11D0A">
        <w:rPr>
          <w:rFonts w:eastAsia="MS Mincho"/>
        </w:rPr>
        <w:t>’</w:t>
      </w:r>
      <w:r w:rsidR="00DB6314" w:rsidRPr="00DB6314">
        <w:rPr>
          <w:rFonts w:eastAsia="MS Mincho"/>
        </w:rPr>
        <w:t>appui de financements extérieurs, des programmes de cantines scolaires ont tenté notamment de répondre à ces taux d</w:t>
      </w:r>
      <w:r w:rsidR="00F11D0A">
        <w:rPr>
          <w:rFonts w:eastAsia="MS Mincho"/>
        </w:rPr>
        <w:t>’</w:t>
      </w:r>
      <w:r w:rsidR="00DB6314" w:rsidRPr="00DB6314">
        <w:rPr>
          <w:rFonts w:eastAsia="MS Mincho"/>
        </w:rPr>
        <w:t>abandon importants à travers le pays</w:t>
      </w:r>
      <w:r w:rsidR="00CF6D95">
        <w:rPr>
          <w:rFonts w:eastAsia="MS Mincho"/>
        </w:rPr>
        <w:t>,</w:t>
      </w:r>
      <w:r w:rsidR="00DB6314" w:rsidRPr="00DB6314">
        <w:rPr>
          <w:rFonts w:eastAsia="MS Mincho"/>
        </w:rPr>
        <w:t xml:space="preserve"> qui sont dans la majorité des cas </w:t>
      </w:r>
      <w:r w:rsidR="00CF6D95">
        <w:rPr>
          <w:rFonts w:eastAsia="MS Mincho"/>
        </w:rPr>
        <w:t>dus</w:t>
      </w:r>
      <w:r w:rsidR="00DB6314" w:rsidRPr="00DB6314">
        <w:rPr>
          <w:rFonts w:eastAsia="MS Mincho"/>
        </w:rPr>
        <w:t xml:space="preserve"> à la pauvreté et </w:t>
      </w:r>
      <w:r w:rsidR="00F5499B">
        <w:rPr>
          <w:rFonts w:eastAsia="MS Mincho"/>
        </w:rPr>
        <w:t>au</w:t>
      </w:r>
      <w:r w:rsidR="00DB6314" w:rsidRPr="00DB6314">
        <w:rPr>
          <w:rFonts w:eastAsia="MS Mincho"/>
        </w:rPr>
        <w:t xml:space="preserve"> besoin de trouver des moyens de subsistance. </w:t>
      </w:r>
    </w:p>
    <w:p w14:paraId="5BDE38F6" w14:textId="7714EE7B" w:rsidR="00DB6314" w:rsidRDefault="00DB2EA2" w:rsidP="00DB6314">
      <w:pPr>
        <w:pStyle w:val="SingleTxtG"/>
        <w:rPr>
          <w:rFonts w:eastAsia="MS Mincho"/>
        </w:rPr>
      </w:pPr>
      <w:r>
        <w:rPr>
          <w:rFonts w:eastAsia="MS Mincho"/>
        </w:rPr>
        <w:t>5</w:t>
      </w:r>
      <w:r w:rsidR="009B1B5A">
        <w:rPr>
          <w:rFonts w:eastAsia="MS Mincho"/>
        </w:rPr>
        <w:t>5</w:t>
      </w:r>
      <w:r>
        <w:rPr>
          <w:rFonts w:eastAsia="MS Mincho"/>
        </w:rPr>
        <w:t>.</w:t>
      </w:r>
      <w:r w:rsidR="009B1B5A">
        <w:rPr>
          <w:rFonts w:eastAsia="MS Mincho"/>
        </w:rPr>
        <w:tab/>
      </w:r>
      <w:r w:rsidR="00DB6314" w:rsidRPr="00DB6314">
        <w:rPr>
          <w:rFonts w:eastAsia="MS Mincho"/>
        </w:rPr>
        <w:t xml:space="preserve">Le taux d’abandon scolaire est particulièrement élevé chez les filles. L’accès des filles à l’éducation est par ailleurs freiné par des mesures discriminatoires décidées récemment par le Gouvernement, comme le refus d’admettre aux examens des filles </w:t>
      </w:r>
      <w:r w:rsidR="00F25747">
        <w:rPr>
          <w:rFonts w:eastAsia="MS Mincho"/>
        </w:rPr>
        <w:t>dont les</w:t>
      </w:r>
      <w:r w:rsidR="00DB6314" w:rsidRPr="00DB6314">
        <w:rPr>
          <w:rFonts w:eastAsia="MS Mincho"/>
        </w:rPr>
        <w:t xml:space="preserve"> cheveux </w:t>
      </w:r>
      <w:r w:rsidR="00F25747">
        <w:rPr>
          <w:rFonts w:eastAsia="MS Mincho"/>
        </w:rPr>
        <w:t xml:space="preserve">ne sont </w:t>
      </w:r>
      <w:r w:rsidR="00DB6314" w:rsidRPr="00DB6314">
        <w:rPr>
          <w:rFonts w:eastAsia="MS Mincho"/>
        </w:rPr>
        <w:t>pas suffisamment courts, ou des mesures peu fav</w:t>
      </w:r>
      <w:r w:rsidR="001B1C8F">
        <w:rPr>
          <w:rFonts w:eastAsia="MS Mincho"/>
        </w:rPr>
        <w:t xml:space="preserve">orables à l’éducation des </w:t>
      </w:r>
      <w:r w:rsidR="00DB6314" w:rsidRPr="00DB6314">
        <w:rPr>
          <w:rFonts w:eastAsia="MS Mincho"/>
        </w:rPr>
        <w:t>mères</w:t>
      </w:r>
      <w:r w:rsidR="00D23EDA">
        <w:rPr>
          <w:rFonts w:eastAsia="MS Mincho"/>
        </w:rPr>
        <w:t xml:space="preserve"> adolescentes</w:t>
      </w:r>
      <w:r w:rsidR="001B1C8F">
        <w:rPr>
          <w:rFonts w:eastAsia="MS Mincho"/>
        </w:rPr>
        <w:t>.</w:t>
      </w:r>
    </w:p>
    <w:p w14:paraId="60537374" w14:textId="27F4228D" w:rsidR="00DB2EA2" w:rsidRPr="00DB6314" w:rsidRDefault="009B1B5A" w:rsidP="00D6483D">
      <w:pPr>
        <w:pStyle w:val="H23G"/>
        <w:ind w:left="0" w:firstLine="0"/>
        <w:rPr>
          <w:rFonts w:eastAsia="MS Mincho"/>
          <w:b w:val="0"/>
        </w:rPr>
      </w:pPr>
      <w:r w:rsidRPr="00DB6314">
        <w:rPr>
          <w:rFonts w:eastAsia="MS Mincho"/>
        </w:rPr>
        <w:tab/>
        <w:t>2.</w:t>
      </w:r>
      <w:r w:rsidRPr="00DB6314">
        <w:rPr>
          <w:rFonts w:eastAsia="MS Mincho"/>
        </w:rPr>
        <w:tab/>
      </w:r>
      <w:r w:rsidR="00055A6F" w:rsidRPr="00DB6314">
        <w:t>D</w:t>
      </w:r>
      <w:r w:rsidR="00DB2EA2" w:rsidRPr="00DB6314">
        <w:t>roit à la santé</w:t>
      </w:r>
    </w:p>
    <w:p w14:paraId="7C810872" w14:textId="542E81B1" w:rsidR="00DB2EA2" w:rsidRPr="00C36219" w:rsidRDefault="009B1B5A" w:rsidP="00DB2EA2">
      <w:pPr>
        <w:pStyle w:val="SingleTxtG"/>
      </w:pPr>
      <w:r>
        <w:t>56.</w:t>
      </w:r>
      <w:r>
        <w:tab/>
      </w:r>
      <w:r w:rsidR="00DB2EA2" w:rsidRPr="00C36219">
        <w:t>Le droit à la santé est prescrit dans la Constitution du Burundi</w:t>
      </w:r>
      <w:r w:rsidR="00C76BF9">
        <w:t>,</w:t>
      </w:r>
      <w:r w:rsidR="00DB2EA2" w:rsidRPr="00C36219">
        <w:t xml:space="preserve"> en son article 55. La loi n °1/012 du 30 </w:t>
      </w:r>
      <w:r w:rsidR="00DF0881">
        <w:t>m</w:t>
      </w:r>
      <w:r w:rsidR="00DB2EA2" w:rsidRPr="00C36219">
        <w:t xml:space="preserve">ai 2018 portant </w:t>
      </w:r>
      <w:r w:rsidR="00DF0881">
        <w:t>C</w:t>
      </w:r>
      <w:r w:rsidR="00DB2EA2" w:rsidRPr="00C36219">
        <w:t xml:space="preserve">ode de l’offre des soins et services de santé au Burundi </w:t>
      </w:r>
      <w:r w:rsidR="008C54F3">
        <w:t>décrit</w:t>
      </w:r>
      <w:r w:rsidR="00DF0881">
        <w:t xml:space="preserve"> </w:t>
      </w:r>
      <w:r w:rsidR="00DB2EA2" w:rsidRPr="00C36219">
        <w:t xml:space="preserve">en son chapitre 2 les principes directeurs de la politique nationale de santé. Elle prévoit l’ensemble des mesures </w:t>
      </w:r>
      <w:r w:rsidR="00937C33">
        <w:t xml:space="preserve">visant à </w:t>
      </w:r>
      <w:r w:rsidR="00DB2EA2" w:rsidRPr="00C36219">
        <w:t xml:space="preserve">atteindre le meilleur état de santé possible des </w:t>
      </w:r>
      <w:r w:rsidR="008C54F3">
        <w:t>B</w:t>
      </w:r>
      <w:r w:rsidR="00DB2EA2" w:rsidRPr="00C36219">
        <w:t>urundais. Selon le budget d</w:t>
      </w:r>
      <w:r w:rsidR="00937C33">
        <w:t>e l</w:t>
      </w:r>
      <w:r w:rsidR="00DB2EA2" w:rsidRPr="00C36219">
        <w:t xml:space="preserve">’État </w:t>
      </w:r>
      <w:r w:rsidR="00ED6B3A">
        <w:t xml:space="preserve">burundais pour la période </w:t>
      </w:r>
      <w:r w:rsidR="00DB2EA2" w:rsidRPr="00C36219">
        <w:t xml:space="preserve">2021/22, l’allocation à la santé représente </w:t>
      </w:r>
      <w:r w:rsidR="00DB2EA2" w:rsidRPr="00C36219">
        <w:lastRenderedPageBreak/>
        <w:t>13,6</w:t>
      </w:r>
      <w:r w:rsidR="00ED6B3A">
        <w:t> </w:t>
      </w:r>
      <w:r w:rsidR="00DB2EA2" w:rsidRPr="00C36219">
        <w:t xml:space="preserve">% du budget total </w:t>
      </w:r>
      <w:r w:rsidR="0077006E">
        <w:t>de l</w:t>
      </w:r>
      <w:r w:rsidR="0077006E" w:rsidRPr="00C36219">
        <w:t>’État</w:t>
      </w:r>
      <w:r w:rsidR="00F05F63">
        <w:t> ;</w:t>
      </w:r>
      <w:r w:rsidR="00DB2EA2" w:rsidRPr="00C36219">
        <w:t xml:space="preserve"> </w:t>
      </w:r>
      <w:r w:rsidR="00F05F63">
        <w:t>e</w:t>
      </w:r>
      <w:r w:rsidR="00DB2EA2" w:rsidRPr="00C36219">
        <w:t xml:space="preserve">lle reste </w:t>
      </w:r>
      <w:r w:rsidR="00F05F63">
        <w:t xml:space="preserve">donc </w:t>
      </w:r>
      <w:r w:rsidR="00DB2EA2" w:rsidRPr="00C36219">
        <w:t>inférieure à l’objectif de 15</w:t>
      </w:r>
      <w:r w:rsidR="00F05F63">
        <w:t> </w:t>
      </w:r>
      <w:r w:rsidR="00DB2EA2" w:rsidRPr="00C36219">
        <w:t xml:space="preserve">% </w:t>
      </w:r>
      <w:r w:rsidR="00550575">
        <w:t>fixé dans</w:t>
      </w:r>
      <w:r w:rsidR="00DB2EA2" w:rsidRPr="00C36219">
        <w:t xml:space="preserve"> la Déclaration d’Abuja</w:t>
      </w:r>
      <w:r w:rsidR="00550575" w:rsidRPr="00550575">
        <w:t xml:space="preserve"> sur le VIH/sida, la tuberculose et autres maladies infectieuses connexes</w:t>
      </w:r>
      <w:r w:rsidR="00DB2EA2" w:rsidRPr="00C36219">
        <w:t xml:space="preserve">. </w:t>
      </w:r>
      <w:r w:rsidR="000D1EF0">
        <w:t>Il ressort que le budget de l’État</w:t>
      </w:r>
      <w:r w:rsidR="00DB2EA2" w:rsidRPr="00C36219">
        <w:t xml:space="preserve"> est fortement dépendant des ressources externes, des donateurs – avec 89,1 % du budget consacré aux investissem</w:t>
      </w:r>
      <w:r w:rsidR="00DB2EA2">
        <w:t>ents provenant de cette source.</w:t>
      </w:r>
    </w:p>
    <w:p w14:paraId="7D2DFF69" w14:textId="6F35161A" w:rsidR="00DB2EA2" w:rsidRPr="00C36219" w:rsidRDefault="009B1B5A" w:rsidP="00DB2EA2">
      <w:pPr>
        <w:pStyle w:val="SingleTxtG"/>
      </w:pPr>
      <w:r>
        <w:t>57.</w:t>
      </w:r>
      <w:r>
        <w:tab/>
      </w:r>
      <w:r w:rsidR="00DB2EA2" w:rsidRPr="00C36219">
        <w:t>En 201</w:t>
      </w:r>
      <w:r w:rsidR="003B3C45">
        <w:t>5</w:t>
      </w:r>
      <w:r w:rsidR="00DB2EA2" w:rsidRPr="00C36219">
        <w:t xml:space="preserve">, le </w:t>
      </w:r>
      <w:r w:rsidR="00937C33">
        <w:t>C</w:t>
      </w:r>
      <w:r w:rsidR="00DB2EA2" w:rsidRPr="00C36219">
        <w:t xml:space="preserve">omité des droits économiques, sociaux et culturels </w:t>
      </w:r>
      <w:r w:rsidR="00C2529C">
        <w:t>faisait</w:t>
      </w:r>
      <w:r w:rsidR="00C271B9">
        <w:t>,</w:t>
      </w:r>
      <w:r w:rsidR="00C2529C">
        <w:t xml:space="preserve"> </w:t>
      </w:r>
      <w:r w:rsidR="00DB2EA2" w:rsidRPr="00C36219">
        <w:t xml:space="preserve">dans ses </w:t>
      </w:r>
      <w:r w:rsidR="00C2529C">
        <w:t>observations</w:t>
      </w:r>
      <w:r w:rsidR="00DB2EA2" w:rsidRPr="00C36219">
        <w:t xml:space="preserve"> finales</w:t>
      </w:r>
      <w:r w:rsidR="00C271B9">
        <w:t xml:space="preserve"> concernant le rapport initial du Burundi</w:t>
      </w:r>
      <w:r w:rsidR="00DB2EA2" w:rsidRPr="00C36219">
        <w:t>, plusieurs recommandations à l’</w:t>
      </w:r>
      <w:r w:rsidR="00C271B9">
        <w:t>É</w:t>
      </w:r>
      <w:r w:rsidR="00DB2EA2" w:rsidRPr="00C36219">
        <w:t xml:space="preserve">tat </w:t>
      </w:r>
      <w:r w:rsidR="00C271B9">
        <w:t>b</w:t>
      </w:r>
      <w:r w:rsidR="00DB2EA2" w:rsidRPr="00C36219">
        <w:t>urundais</w:t>
      </w:r>
      <w:r w:rsidR="00DB2EA2" w:rsidRPr="006C10E2">
        <w:rPr>
          <w:rStyle w:val="EndnoteReference"/>
          <w:rFonts w:eastAsia="MS Mincho"/>
        </w:rPr>
        <w:footnoteReference w:id="53"/>
      </w:r>
      <w:r w:rsidR="00804753">
        <w:t>,</w:t>
      </w:r>
      <w:r w:rsidR="007D04C2">
        <w:t xml:space="preserve"> notamment</w:t>
      </w:r>
      <w:r w:rsidR="002B3CB8" w:rsidRPr="002B3CB8">
        <w:t xml:space="preserve"> </w:t>
      </w:r>
      <w:r w:rsidR="00804753">
        <w:t xml:space="preserve">celles </w:t>
      </w:r>
      <w:r w:rsidR="002B3CB8" w:rsidRPr="002B3CB8">
        <w:t>d’allouer des ressources suffisantes au secteur de la santé et de poursuivre ses efforts pour garantir l’accessibilité, la disponibilité et la qualité des services de santé, en particulier dans les zones rurales et reculées. Il lui recommand</w:t>
      </w:r>
      <w:r w:rsidR="00605832">
        <w:t>ait</w:t>
      </w:r>
      <w:r w:rsidR="002B3CB8" w:rsidRPr="002B3CB8">
        <w:t xml:space="preserve"> en particulier d’améliorer l’infrastructure du système de soins de santé primaires et de veiller à ce que les hôpitaux disposent du personnel médical, des fournitures et des médicaments d’urgence nécessaires.</w:t>
      </w:r>
      <w:r w:rsidR="002B3CB8">
        <w:t xml:space="preserve"> </w:t>
      </w:r>
      <w:r w:rsidR="002B3CB8" w:rsidRPr="002B3CB8">
        <w:t xml:space="preserve">La suspension des aides extérieures a sérieusement </w:t>
      </w:r>
      <w:r w:rsidR="003E4FF5">
        <w:t>nui à</w:t>
      </w:r>
      <w:r w:rsidR="002B3CB8" w:rsidRPr="002B3CB8">
        <w:t xml:space="preserve"> l’accès aux soins de santé. Les épidémies de choléra et de paludisme restent récurrentes</w:t>
      </w:r>
      <w:r w:rsidR="003E4FF5">
        <w:t>,</w:t>
      </w:r>
      <w:r w:rsidR="002B3CB8" w:rsidRPr="002B3CB8">
        <w:t xml:space="preserve"> avec des infrastructures et des capacités institutionnelles faibles.</w:t>
      </w:r>
    </w:p>
    <w:p w14:paraId="68AC650A" w14:textId="5E194A4A" w:rsidR="00DB2EA2" w:rsidRDefault="009B1B5A" w:rsidP="00DB2EA2">
      <w:pPr>
        <w:pStyle w:val="SingleTxtG"/>
      </w:pPr>
      <w:r>
        <w:t>58.</w:t>
      </w:r>
      <w:r>
        <w:tab/>
      </w:r>
      <w:r w:rsidR="002B3CB8">
        <w:t xml:space="preserve">Le Rapporteur spécial se félicite des initiatives conduites par le </w:t>
      </w:r>
      <w:r w:rsidR="00E02B63">
        <w:t>G</w:t>
      </w:r>
      <w:r w:rsidR="002B3CB8">
        <w:t>ouvernement, le système des Nations Unies et les différents partenaires techniques et financiers dans la lutt</w:t>
      </w:r>
      <w:r w:rsidR="00B036C6">
        <w:t>e cont</w:t>
      </w:r>
      <w:r w:rsidR="006A6D8B">
        <w:t xml:space="preserve">re la </w:t>
      </w:r>
      <w:r w:rsidR="00E02B63">
        <w:t>pandémie de maladie à coronavirus (</w:t>
      </w:r>
      <w:r w:rsidR="006A6D8B">
        <w:t>COVID</w:t>
      </w:r>
      <w:r w:rsidR="00E02B63">
        <w:t>-</w:t>
      </w:r>
      <w:r w:rsidR="006A6D8B">
        <w:t>19</w:t>
      </w:r>
      <w:r w:rsidR="00E02B63">
        <w:t>)</w:t>
      </w:r>
      <w:r w:rsidR="006A6D8B">
        <w:t xml:space="preserve"> au Burundi.</w:t>
      </w:r>
    </w:p>
    <w:p w14:paraId="38AD2140" w14:textId="54E4D776" w:rsidR="00DB2EA2" w:rsidRPr="009B1B5A" w:rsidRDefault="009B1B5A" w:rsidP="009B1B5A">
      <w:pPr>
        <w:pStyle w:val="H23G"/>
        <w:ind w:left="0" w:firstLine="0"/>
      </w:pPr>
      <w:r>
        <w:tab/>
      </w:r>
      <w:r w:rsidR="00DB2EA2" w:rsidRPr="009B1B5A">
        <w:t>3.</w:t>
      </w:r>
      <w:r>
        <w:tab/>
      </w:r>
      <w:r w:rsidR="00055A6F" w:rsidRPr="009B1B5A">
        <w:t>D</w:t>
      </w:r>
      <w:r w:rsidR="00DB2EA2" w:rsidRPr="009B1B5A">
        <w:t>roit à l’alimentation</w:t>
      </w:r>
    </w:p>
    <w:p w14:paraId="64E16E50" w14:textId="0B43DEF0" w:rsidR="00DB2EA2" w:rsidRPr="00C36219" w:rsidRDefault="009B1B5A" w:rsidP="00DB2EA2">
      <w:pPr>
        <w:pStyle w:val="SingleTxtG"/>
      </w:pPr>
      <w:r>
        <w:t>59.</w:t>
      </w:r>
      <w:r>
        <w:tab/>
      </w:r>
      <w:r w:rsidR="00DB2EA2" w:rsidRPr="00C36219">
        <w:t>Le Rapporteur spécial se félicite des efforts déployés par les autorités burundaises pour juguler la fièvre de la vallée du Rift</w:t>
      </w:r>
      <w:r w:rsidR="00670388">
        <w:t>,</w:t>
      </w:r>
      <w:r w:rsidR="00DB2EA2" w:rsidRPr="00C36219">
        <w:t xml:space="preserve"> qui a affecté le chept</w:t>
      </w:r>
      <w:r w:rsidR="00DB2EA2">
        <w:t>el depuis avril 2022.</w:t>
      </w:r>
    </w:p>
    <w:p w14:paraId="3751D9A4" w14:textId="6084E7E1" w:rsidR="00DB2EA2" w:rsidRPr="00C36219" w:rsidRDefault="009B1B5A" w:rsidP="00DB2EA2">
      <w:pPr>
        <w:pStyle w:val="SingleTxtG"/>
      </w:pPr>
      <w:r>
        <w:t>60</w:t>
      </w:r>
      <w:r w:rsidR="00DB2EA2">
        <w:t>.</w:t>
      </w:r>
      <w:r>
        <w:tab/>
      </w:r>
      <w:r w:rsidR="00DB2EA2" w:rsidRPr="00C36219">
        <w:t>Toutefois, les conditions météorologiques, l’accès à l</w:t>
      </w:r>
      <w:r w:rsidR="00F11D0A">
        <w:t>’</w:t>
      </w:r>
      <w:r w:rsidR="00DB2EA2" w:rsidRPr="00C36219">
        <w:t>eau</w:t>
      </w:r>
      <w:r w:rsidR="00E63694">
        <w:t xml:space="preserve"> et</w:t>
      </w:r>
      <w:r w:rsidR="00DB2EA2" w:rsidRPr="00C36219">
        <w:t xml:space="preserve"> à la terre, le commerce avec les pays voisins, les flux migratoires (tant économiques que liés au climat), la main-d</w:t>
      </w:r>
      <w:r w:rsidR="00F11D0A">
        <w:t>’</w:t>
      </w:r>
      <w:r w:rsidR="00DB2EA2" w:rsidRPr="00C36219">
        <w:t xml:space="preserve">œuvre et la fertilité </w:t>
      </w:r>
      <w:proofErr w:type="gramStart"/>
      <w:r w:rsidR="00DB2EA2" w:rsidRPr="00C36219">
        <w:t>des sols marquée</w:t>
      </w:r>
      <w:proofErr w:type="gramEnd"/>
      <w:r w:rsidR="00DB2EA2" w:rsidRPr="00C36219">
        <w:t xml:space="preserve"> par les changements climatiques constituent de sérieux défis pour garantir l’accès à une alimentation saine</w:t>
      </w:r>
      <w:r w:rsidR="00194700">
        <w:t>.</w:t>
      </w:r>
    </w:p>
    <w:p w14:paraId="5A17359A" w14:textId="598F7BD4" w:rsidR="00DB2EA2" w:rsidRPr="00C36219" w:rsidRDefault="00DB2EA2" w:rsidP="00DB2EA2">
      <w:pPr>
        <w:pStyle w:val="SingleTxtG"/>
      </w:pPr>
      <w:r>
        <w:t>6</w:t>
      </w:r>
      <w:r w:rsidR="009B1B5A">
        <w:t>1</w:t>
      </w:r>
      <w:r>
        <w:t>.</w:t>
      </w:r>
      <w:r w:rsidR="009B1B5A">
        <w:tab/>
      </w:r>
      <w:r w:rsidRPr="00C36219">
        <w:t>La crise ukrainienne en cour</w:t>
      </w:r>
      <w:r>
        <w:t>s</w:t>
      </w:r>
      <w:r w:rsidRPr="00C36219">
        <w:t xml:space="preserve"> </w:t>
      </w:r>
      <w:r w:rsidR="00344365">
        <w:t>a un impact considérable sur</w:t>
      </w:r>
      <w:r w:rsidRPr="00C36219">
        <w:t xml:space="preserve"> la croissance du Burundi</w:t>
      </w:r>
      <w:r w:rsidR="00344365">
        <w:t>,</w:t>
      </w:r>
      <w:r w:rsidRPr="00C36219">
        <w:t xml:space="preserve"> et augmente les spéculations et les pressions inflationnistes, notamment pour les produits alimentaires de base. Les prix mondiaux des denrées alimentaires ont augmenté depuis 2021, principalement en raison des retombées de la </w:t>
      </w:r>
      <w:r w:rsidR="00344365">
        <w:t xml:space="preserve">pandémie de </w:t>
      </w:r>
      <w:r w:rsidRPr="00C36219">
        <w:t>COVID-19. Dans le contexte d</w:t>
      </w:r>
      <w:r w:rsidR="00F11D0A">
        <w:t>’</w:t>
      </w:r>
      <w:r w:rsidRPr="00C36219">
        <w:t>une situation qui se dégrade déjà progressivement, les impacts du conflit en cours en Ukraine contribueront probablement à une nouvelle augmentation des prix des denrées alimentaires au Burundi. Le prix du gaz naturel a augmenté depuis le début du conflit, gonflant directement les coûts de production des engrais, qui, à leur tour, sont répercutés sur les consommateurs par l</w:t>
      </w:r>
      <w:r w:rsidR="00F11D0A">
        <w:t>’</w:t>
      </w:r>
      <w:r w:rsidRPr="00C36219">
        <w:t>augmentation des prix de détail des engrais et</w:t>
      </w:r>
      <w:r w:rsidR="00AC268E">
        <w:t>,</w:t>
      </w:r>
      <w:r w:rsidRPr="00C36219">
        <w:t xml:space="preserve"> finalement</w:t>
      </w:r>
      <w:r w:rsidR="00AC268E">
        <w:t>,</w:t>
      </w:r>
      <w:r w:rsidRPr="00C36219">
        <w:t xml:space="preserve"> des denrées alimentaires.</w:t>
      </w:r>
      <w:r w:rsidR="00194700">
        <w:t xml:space="preserve"> Les pénuries de carburant observées ces dernières semaines </w:t>
      </w:r>
      <w:r w:rsidR="00A46762">
        <w:t>s</w:t>
      </w:r>
      <w:r w:rsidR="00194700">
        <w:t>ont également à l’origine de l’inflation des denrées de première nécessité sur le marché.</w:t>
      </w:r>
    </w:p>
    <w:p w14:paraId="47704AA8" w14:textId="708E5439" w:rsidR="00DB2EA2" w:rsidRDefault="00DB2EA2" w:rsidP="00DB2EA2">
      <w:pPr>
        <w:pStyle w:val="SingleTxtG"/>
      </w:pPr>
      <w:r>
        <w:t>6</w:t>
      </w:r>
      <w:r w:rsidR="009B1B5A">
        <w:t>2</w:t>
      </w:r>
      <w:r>
        <w:t>.</w:t>
      </w:r>
      <w:r w:rsidR="009B1B5A">
        <w:tab/>
      </w:r>
      <w:r w:rsidRPr="00C36219">
        <w:t xml:space="preserve">Le </w:t>
      </w:r>
      <w:r>
        <w:t>R</w:t>
      </w:r>
      <w:r w:rsidRPr="00C36219">
        <w:t xml:space="preserve">apporteur spécial encourage le </w:t>
      </w:r>
      <w:r w:rsidR="00A46762">
        <w:t>G</w:t>
      </w:r>
      <w:r w:rsidRPr="00C36219">
        <w:t>ouvernement à plus d’investissements dans les systèmes alimentaires locaux</w:t>
      </w:r>
      <w:r w:rsidR="00A46762">
        <w:t>,</w:t>
      </w:r>
      <w:r w:rsidRPr="00C36219">
        <w:t xml:space="preserve"> afin de les rendre plus résistants aux chocs externes et internes par la transformation des chaînes de valeur clés (maïs, haricots, huile de palme, blé, noix, etc.).</w:t>
      </w:r>
    </w:p>
    <w:p w14:paraId="39ECF695" w14:textId="11460DE2" w:rsidR="00DB2EA2" w:rsidRPr="009B1B5A" w:rsidRDefault="009B1B5A" w:rsidP="009B1B5A">
      <w:pPr>
        <w:pStyle w:val="H23G"/>
      </w:pPr>
      <w:r>
        <w:tab/>
      </w:r>
      <w:r w:rsidR="00DB2EA2" w:rsidRPr="009B1B5A">
        <w:t>4.</w:t>
      </w:r>
      <w:r>
        <w:tab/>
      </w:r>
      <w:r w:rsidR="00055A6F" w:rsidRPr="009B1B5A">
        <w:t>D</w:t>
      </w:r>
      <w:r w:rsidR="00DB2EA2" w:rsidRPr="009B1B5A">
        <w:t>roit au travail</w:t>
      </w:r>
    </w:p>
    <w:p w14:paraId="52BC8D04" w14:textId="1862E7C0" w:rsidR="00DB2EA2" w:rsidRPr="00535D7F" w:rsidRDefault="009B1B5A" w:rsidP="00DB2EA2">
      <w:pPr>
        <w:pStyle w:val="SingleTxtG"/>
      </w:pPr>
      <w:r>
        <w:t>63</w:t>
      </w:r>
      <w:r w:rsidR="00DB2EA2">
        <w:t>.</w:t>
      </w:r>
      <w:r>
        <w:tab/>
      </w:r>
      <w:r w:rsidR="00DB2EA2" w:rsidRPr="00535D7F">
        <w:t xml:space="preserve">Le </w:t>
      </w:r>
      <w:r w:rsidR="00DB2EA2">
        <w:t>R</w:t>
      </w:r>
      <w:r w:rsidR="00DB2EA2" w:rsidRPr="00535D7F">
        <w:t xml:space="preserve">apporteur spécial constate que les droits reconnus par l’article 6 du </w:t>
      </w:r>
      <w:r w:rsidR="004D63B0">
        <w:t>P</w:t>
      </w:r>
      <w:r w:rsidR="00DB2EA2" w:rsidRPr="00535D7F">
        <w:t xml:space="preserve">acte international relatif aux droits économiques, sociaux et culturels </w:t>
      </w:r>
      <w:r w:rsidR="00055A6F">
        <w:t>s</w:t>
      </w:r>
      <w:r w:rsidR="00DB2EA2" w:rsidRPr="00535D7F">
        <w:t xml:space="preserve">ont </w:t>
      </w:r>
      <w:r w:rsidR="00055A6F">
        <w:t>intégrés dans l’ordonnancement juridique interne du Burundi. L’un des plus récent</w:t>
      </w:r>
      <w:r w:rsidR="00731266">
        <w:t>s</w:t>
      </w:r>
      <w:r w:rsidR="00055A6F">
        <w:t xml:space="preserve"> texte</w:t>
      </w:r>
      <w:r w:rsidR="00731266">
        <w:t>s</w:t>
      </w:r>
      <w:r w:rsidR="00055A6F">
        <w:t xml:space="preserve"> </w:t>
      </w:r>
      <w:r w:rsidR="00055A6F" w:rsidRPr="00535D7F">
        <w:t>est</w:t>
      </w:r>
      <w:r w:rsidR="00DB2EA2" w:rsidRPr="00535D7F">
        <w:t xml:space="preserve"> la loi n</w:t>
      </w:r>
      <w:r w:rsidR="00847ED6" w:rsidRPr="00246EDD">
        <w:rPr>
          <w:vertAlign w:val="superscript"/>
          <w:lang w:val="fr-FR"/>
        </w:rPr>
        <w:t>o</w:t>
      </w:r>
      <w:r w:rsidR="00847ED6">
        <w:rPr>
          <w:lang w:val="fr-FR"/>
        </w:rPr>
        <w:t> </w:t>
      </w:r>
      <w:r w:rsidR="00DB2EA2" w:rsidRPr="00535D7F">
        <w:t>1/11 du 24 novembre 2020 portant révision du décret-loi n</w:t>
      </w:r>
      <w:r w:rsidR="00847ED6" w:rsidRPr="00246EDD">
        <w:rPr>
          <w:vertAlign w:val="superscript"/>
          <w:lang w:val="fr-FR"/>
        </w:rPr>
        <w:t>o</w:t>
      </w:r>
      <w:r w:rsidR="00847ED6">
        <w:rPr>
          <w:lang w:val="fr-FR"/>
        </w:rPr>
        <w:t> </w:t>
      </w:r>
      <w:r w:rsidR="00DB2EA2" w:rsidRPr="00535D7F">
        <w:t xml:space="preserve">1/037 du 7 juillet 1993 portant </w:t>
      </w:r>
      <w:r w:rsidR="000A4D56">
        <w:t xml:space="preserve">révision du </w:t>
      </w:r>
      <w:r w:rsidR="00DB2EA2" w:rsidRPr="00535D7F">
        <w:t>Code du travail du Burundi.</w:t>
      </w:r>
    </w:p>
    <w:p w14:paraId="267AB8F5" w14:textId="714A901F" w:rsidR="00DB2EA2" w:rsidRDefault="009B1B5A" w:rsidP="00DB2EA2">
      <w:pPr>
        <w:pStyle w:val="SingleTxtG"/>
      </w:pPr>
      <w:r>
        <w:t>64</w:t>
      </w:r>
      <w:r w:rsidR="00DB2EA2">
        <w:t>.</w:t>
      </w:r>
      <w:r>
        <w:tab/>
      </w:r>
      <w:r w:rsidR="00DB2EA2" w:rsidRPr="00535D7F">
        <w:t xml:space="preserve">Le </w:t>
      </w:r>
      <w:r w:rsidR="00DB2EA2">
        <w:t>R</w:t>
      </w:r>
      <w:r w:rsidR="00DB2EA2" w:rsidRPr="00535D7F">
        <w:t>apporteur spécial félicite l’</w:t>
      </w:r>
      <w:r w:rsidR="000A4D56">
        <w:t>É</w:t>
      </w:r>
      <w:r w:rsidR="00DB2EA2" w:rsidRPr="00535D7F">
        <w:t>tat burundais pour cette avancée</w:t>
      </w:r>
      <w:r w:rsidR="000A4D56">
        <w:t>,</w:t>
      </w:r>
      <w:r w:rsidR="00DB2EA2" w:rsidRPr="00535D7F">
        <w:t xml:space="preserve"> car la loi intègre plusieurs con</w:t>
      </w:r>
      <w:r w:rsidR="00DB2EA2">
        <w:t xml:space="preserve">ventions </w:t>
      </w:r>
      <w:r w:rsidR="00055A6F">
        <w:t>de l’</w:t>
      </w:r>
      <w:r w:rsidR="000A4D56">
        <w:t>Organisation internationale du Travail</w:t>
      </w:r>
      <w:r w:rsidR="00DB2EA2">
        <w:t xml:space="preserve">. </w:t>
      </w:r>
      <w:r w:rsidR="00DB2EA2" w:rsidRPr="00535D7F">
        <w:t xml:space="preserve">Il souligne cependant </w:t>
      </w:r>
      <w:r w:rsidR="00055A6F">
        <w:t>la nécessité de sa mise en œuvre effective à l’effet de lever les discriminations dans le domaine de l’accès à l’emploi.</w:t>
      </w:r>
    </w:p>
    <w:p w14:paraId="4D165510" w14:textId="1611B04D" w:rsidR="00DB2EA2" w:rsidRPr="00BD6209" w:rsidRDefault="009B1B5A" w:rsidP="00DB2EA2">
      <w:pPr>
        <w:pStyle w:val="SingleTxtG"/>
      </w:pPr>
      <w:r>
        <w:lastRenderedPageBreak/>
        <w:t>65</w:t>
      </w:r>
      <w:r w:rsidR="00DB2EA2">
        <w:t>.</w:t>
      </w:r>
      <w:r>
        <w:tab/>
      </w:r>
      <w:r w:rsidR="000D72BD">
        <w:t>L</w:t>
      </w:r>
      <w:r w:rsidR="00055A6F">
        <w:t>e Rapporteur spécial souligne que la</w:t>
      </w:r>
      <w:r>
        <w:t xml:space="preserve"> </w:t>
      </w:r>
      <w:r w:rsidR="00DB2EA2">
        <w:t xml:space="preserve">lutte contre le chômage des jeunes doit être accentuée afin de pallier leur instrumentalisation par les acteurs politiques. </w:t>
      </w:r>
      <w:r w:rsidR="00DB2EA2" w:rsidRPr="00BD6209">
        <w:t xml:space="preserve">La </w:t>
      </w:r>
      <w:r w:rsidR="00B9177C">
        <w:t>Commission d’enquête</w:t>
      </w:r>
      <w:r w:rsidR="00B9177C" w:rsidRPr="00B9177C">
        <w:t xml:space="preserve"> </w:t>
      </w:r>
      <w:r w:rsidR="00B9177C">
        <w:t>sur le Burundi</w:t>
      </w:r>
      <w:r w:rsidR="00055A6F">
        <w:t xml:space="preserve"> </w:t>
      </w:r>
      <w:r w:rsidR="00DB2EA2" w:rsidRPr="00BD6209">
        <w:t>a également relevé depuis 2015 une série d’entraves au droit au travail, parmi lesquelles la persistance d’une politisation des recrutements et de l’emploi, ainsi que des entraves aux droits syndicaux</w:t>
      </w:r>
      <w:r w:rsidR="005477E7">
        <w:t>,</w:t>
      </w:r>
      <w:r w:rsidR="00DB2EA2" w:rsidRPr="00BD6209">
        <w:t xml:space="preserve"> qui sont garantis notamment par l’article 8 du Pacte international relatif aux droits économique</w:t>
      </w:r>
      <w:r w:rsidR="000B6E7C">
        <w:t>s</w:t>
      </w:r>
      <w:r w:rsidR="00DB2EA2" w:rsidRPr="00BD6209">
        <w:t>, sociaux et culturels, ce dernier reconnaissant le droit qu</w:t>
      </w:r>
      <w:r w:rsidR="00F11D0A">
        <w:t>’</w:t>
      </w:r>
      <w:proofErr w:type="spellStart"/>
      <w:r w:rsidR="00735F00">
        <w:t>a</w:t>
      </w:r>
      <w:proofErr w:type="spellEnd"/>
      <w:r w:rsidR="00DB2EA2" w:rsidRPr="00BD6209">
        <w:t xml:space="preserve"> toute personne de former avec d</w:t>
      </w:r>
      <w:r w:rsidR="00F11D0A">
        <w:t>’</w:t>
      </w:r>
      <w:r w:rsidR="00DB2EA2" w:rsidRPr="00BD6209">
        <w:t>autres des syndicats et de s</w:t>
      </w:r>
      <w:r w:rsidR="00F11D0A">
        <w:t>’</w:t>
      </w:r>
      <w:r w:rsidR="00DB2EA2" w:rsidRPr="00BD6209">
        <w:t>affilier au syndicat de son choix</w:t>
      </w:r>
      <w:r w:rsidR="00A05F3E">
        <w:t>,</w:t>
      </w:r>
      <w:r w:rsidR="00DB2EA2" w:rsidRPr="00BD6209">
        <w:t xml:space="preserve"> tout en précisant que l</w:t>
      </w:r>
      <w:r w:rsidR="00F11D0A">
        <w:t>’</w:t>
      </w:r>
      <w:r w:rsidR="00DB2EA2" w:rsidRPr="00BD6209">
        <w:t>exercice de ce droit ne peut faire l</w:t>
      </w:r>
      <w:r w:rsidR="00F11D0A">
        <w:t>’</w:t>
      </w:r>
      <w:r w:rsidR="00DB2EA2" w:rsidRPr="00BD6209">
        <w:t>objet que des seules restrictions prévues par la loi et qui constituent des mesures nécessaires, dans une société démocratique, dans l</w:t>
      </w:r>
      <w:r w:rsidR="00F11D0A">
        <w:t>’</w:t>
      </w:r>
      <w:r w:rsidR="00DB2EA2" w:rsidRPr="00BD6209">
        <w:t>intérêt de la sécurité nationale ou de l</w:t>
      </w:r>
      <w:r w:rsidR="00F11D0A">
        <w:t>’</w:t>
      </w:r>
      <w:r w:rsidR="00DB2EA2" w:rsidRPr="00BD6209">
        <w:t>ordre public, ou pour protéger les droits et les libertés d</w:t>
      </w:r>
      <w:r w:rsidR="00F11D0A">
        <w:t>’</w:t>
      </w:r>
      <w:r w:rsidR="00DB2EA2" w:rsidRPr="00BD6209">
        <w:t>autrui.</w:t>
      </w:r>
    </w:p>
    <w:p w14:paraId="6CCA1A48" w14:textId="6E27DBCA" w:rsidR="00DB2EA2" w:rsidRDefault="009B1B5A" w:rsidP="00DB2EA2">
      <w:pPr>
        <w:pStyle w:val="SingleTxtG"/>
      </w:pPr>
      <w:r>
        <w:t>66</w:t>
      </w:r>
      <w:r w:rsidR="00DB2EA2">
        <w:t>.</w:t>
      </w:r>
      <w:r>
        <w:tab/>
      </w:r>
      <w:r w:rsidR="00DB2EA2" w:rsidRPr="00BD6209">
        <w:t>L’article 150</w:t>
      </w:r>
      <w:r w:rsidR="00DB2EA2">
        <w:t xml:space="preserve"> de la Constitution indique qu</w:t>
      </w:r>
      <w:proofErr w:type="gramStart"/>
      <w:r w:rsidR="00DB2EA2">
        <w:t>’</w:t>
      </w:r>
      <w:r w:rsidR="00DB2EA2" w:rsidRPr="00BD6209">
        <w:t>«</w:t>
      </w:r>
      <w:proofErr w:type="gramEnd"/>
      <w:r w:rsidR="004356D7">
        <w:t> </w:t>
      </w:r>
      <w:r w:rsidR="007E20A2">
        <w:t>[</w:t>
      </w:r>
      <w:r w:rsidR="00DB2EA2" w:rsidRPr="00BD6209">
        <w:t>a</w:t>
      </w:r>
      <w:r w:rsidR="007E20A2">
        <w:t>]</w:t>
      </w:r>
      <w:proofErr w:type="spellStart"/>
      <w:r w:rsidR="00DB2EA2" w:rsidRPr="00BD6209">
        <w:t>ucun</w:t>
      </w:r>
      <w:proofErr w:type="spellEnd"/>
      <w:r w:rsidR="00DB2EA2" w:rsidRPr="00BD6209">
        <w:t xml:space="preserve"> agent de l</w:t>
      </w:r>
      <w:r w:rsidR="00F11D0A">
        <w:t>’</w:t>
      </w:r>
      <w:r w:rsidR="00DB2EA2" w:rsidRPr="00BD6209">
        <w:t>administration publique ou de l</w:t>
      </w:r>
      <w:r w:rsidR="00F11D0A">
        <w:t>’</w:t>
      </w:r>
      <w:r w:rsidR="00DB2EA2" w:rsidRPr="00BD6209">
        <w:t>appareil judiciaire de l</w:t>
      </w:r>
      <w:r w:rsidR="00F11D0A">
        <w:t>’</w:t>
      </w:r>
      <w:r w:rsidR="00DB2EA2" w:rsidRPr="00BD6209">
        <w:t>État ne peut bénéficier d</w:t>
      </w:r>
      <w:r w:rsidR="00F11D0A">
        <w:t>’</w:t>
      </w:r>
      <w:r w:rsidR="00DB2EA2" w:rsidRPr="00BD6209">
        <w:t>un traitement de faveur ni faire l</w:t>
      </w:r>
      <w:r w:rsidR="00F11D0A">
        <w:t>’</w:t>
      </w:r>
      <w:r w:rsidR="00DB2EA2" w:rsidRPr="00BD6209">
        <w:t>objet d</w:t>
      </w:r>
      <w:r w:rsidR="00F11D0A">
        <w:t>’</w:t>
      </w:r>
      <w:r w:rsidR="00DB2EA2" w:rsidRPr="00BD6209">
        <w:t>un traitement partial au seul motif de son sexe, de son origine ethnique et régionale ou de son appartenance politique</w:t>
      </w:r>
      <w:r w:rsidR="007E20A2">
        <w:t> </w:t>
      </w:r>
      <w:r w:rsidR="00DB2EA2" w:rsidRPr="00BD6209">
        <w:t xml:space="preserve">». Pourtant, déjà en 2008, une étude conduite par le Ministère </w:t>
      </w:r>
      <w:r w:rsidR="00E575BB">
        <w:t xml:space="preserve">à la présidence </w:t>
      </w:r>
      <w:r w:rsidR="00F67C03">
        <w:t>chargé</w:t>
      </w:r>
      <w:r w:rsidR="00DB2EA2" w:rsidRPr="00BD6209">
        <w:t xml:space="preserve"> de la bonne gouvernance, de la privatisation, de l’inspection générale de l’État et de l’administration locale a démontré que</w:t>
      </w:r>
      <w:r w:rsidR="004709E3">
        <w:t>, dans le secteur public,</w:t>
      </w:r>
      <w:r w:rsidR="00DB2EA2" w:rsidRPr="00BD6209">
        <w:t xml:space="preserve"> «</w:t>
      </w:r>
      <w:r w:rsidR="00F67C03">
        <w:t> </w:t>
      </w:r>
      <w:r w:rsidR="00DB2EA2" w:rsidRPr="00BD6209">
        <w:t>les nominations n’y sont pas faites sur la base de critères objectifs. Dans le système éducatif par exemple, 84</w:t>
      </w:r>
      <w:r w:rsidR="004C2743">
        <w:t> %</w:t>
      </w:r>
      <w:r w:rsidR="00DB2EA2" w:rsidRPr="00BD6209">
        <w:t xml:space="preserve"> des fonctionnaires du secteur ont déclaré que les nominations de cadres sont faites sur la base de critères politiques</w:t>
      </w:r>
      <w:r w:rsidR="004C2743">
        <w:t> </w:t>
      </w:r>
      <w:r w:rsidR="00DB2EA2" w:rsidRPr="00BD6209">
        <w:t>»</w:t>
      </w:r>
      <w:r w:rsidR="00C76468">
        <w:rPr>
          <w:rStyle w:val="FootnoteReference"/>
        </w:rPr>
        <w:footnoteReference w:id="54"/>
      </w:r>
      <w:r w:rsidR="00DB2EA2" w:rsidRPr="00BD6209">
        <w:t>. Une autre étude de 2008 menée par le Gouvernement et la Banque mondiale a souligné que «</w:t>
      </w:r>
      <w:r w:rsidR="001032BF">
        <w:t> </w:t>
      </w:r>
      <w:r w:rsidR="00DB2EA2" w:rsidRPr="00BD6209">
        <w:t>la politisation de la fonction publique nuit à l’efficacité de l’administration et freine le recrutement de personnel</w:t>
      </w:r>
      <w:r w:rsidR="003438B7">
        <w:t>s</w:t>
      </w:r>
      <w:r w:rsidR="00DB2EA2" w:rsidRPr="00BD6209">
        <w:t xml:space="preserve"> très qualifié</w:t>
      </w:r>
      <w:r w:rsidR="003438B7">
        <w:t>s</w:t>
      </w:r>
      <w:r w:rsidR="001032BF">
        <w:t> </w:t>
      </w:r>
      <w:r w:rsidR="001A158E">
        <w:t>»</w:t>
      </w:r>
      <w:r w:rsidR="00C919C6">
        <w:rPr>
          <w:rStyle w:val="FootnoteReference"/>
        </w:rPr>
        <w:footnoteReference w:id="55"/>
      </w:r>
      <w:r w:rsidR="001A158E">
        <w:t>.</w:t>
      </w:r>
    </w:p>
    <w:p w14:paraId="7CDB525C" w14:textId="0A27D94F" w:rsidR="00DB2EA2" w:rsidRPr="009B1B5A" w:rsidRDefault="009B1B5A" w:rsidP="009B1B5A">
      <w:pPr>
        <w:pStyle w:val="H1G"/>
        <w:rPr>
          <w:lang w:val="fr-FR"/>
        </w:rPr>
      </w:pPr>
      <w:r w:rsidRPr="001A158E">
        <w:rPr>
          <w:lang w:val="fr-FR"/>
        </w:rPr>
        <w:tab/>
      </w:r>
      <w:r w:rsidR="00DB2EA2" w:rsidRPr="009B1B5A">
        <w:rPr>
          <w:lang w:val="fr-FR"/>
        </w:rPr>
        <w:t>C.</w:t>
      </w:r>
      <w:r w:rsidRPr="009B1B5A">
        <w:rPr>
          <w:lang w:val="fr-FR"/>
        </w:rPr>
        <w:tab/>
      </w:r>
      <w:r w:rsidR="00D55467">
        <w:rPr>
          <w:lang w:val="fr-FR"/>
        </w:rPr>
        <w:t>D</w:t>
      </w:r>
      <w:r w:rsidR="00DB2EA2" w:rsidRPr="009B1B5A">
        <w:rPr>
          <w:lang w:val="fr-FR"/>
        </w:rPr>
        <w:t>roits spécifiques</w:t>
      </w:r>
    </w:p>
    <w:p w14:paraId="04F39580" w14:textId="70FF1D03" w:rsidR="00DB2EA2" w:rsidRPr="009B1B5A" w:rsidRDefault="009B1B5A" w:rsidP="009B1B5A">
      <w:pPr>
        <w:pStyle w:val="H23G"/>
      </w:pPr>
      <w:r>
        <w:tab/>
        <w:t>1.</w:t>
      </w:r>
      <w:r>
        <w:tab/>
      </w:r>
      <w:r w:rsidR="00660A1D">
        <w:t>D</w:t>
      </w:r>
      <w:r w:rsidR="00DB2EA2" w:rsidRPr="009B1B5A">
        <w:t>roits des femmes</w:t>
      </w:r>
    </w:p>
    <w:p w14:paraId="0FBB0F91" w14:textId="13002317" w:rsidR="00DB2EA2" w:rsidRDefault="009B1B5A" w:rsidP="00DB2EA2">
      <w:pPr>
        <w:pStyle w:val="SingleTxtG"/>
      </w:pPr>
      <w:r>
        <w:t>67</w:t>
      </w:r>
      <w:r w:rsidR="00DB2EA2">
        <w:t>.</w:t>
      </w:r>
      <w:r>
        <w:tab/>
      </w:r>
      <w:r w:rsidR="00450B09">
        <w:t xml:space="preserve">Le Rapporteur spécial </w:t>
      </w:r>
      <w:r w:rsidR="006A6D8B">
        <w:t xml:space="preserve">salue la mesure </w:t>
      </w:r>
      <w:r w:rsidR="00F87D46">
        <w:t>appliquant un quota de</w:t>
      </w:r>
      <w:r w:rsidR="006A6D8B">
        <w:t xml:space="preserve"> 30</w:t>
      </w:r>
      <w:r w:rsidR="000407BA">
        <w:t> </w:t>
      </w:r>
      <w:r w:rsidR="006A6D8B">
        <w:t>%</w:t>
      </w:r>
      <w:r w:rsidR="00F87D46">
        <w:t xml:space="preserve"> de femmes au sein des institutions politiques burundaises, et</w:t>
      </w:r>
      <w:r w:rsidR="006A6D8B">
        <w:t xml:space="preserve"> visant à garantir </w:t>
      </w:r>
      <w:r w:rsidR="00F87D46">
        <w:t>leur</w:t>
      </w:r>
      <w:r w:rsidR="006A6D8B">
        <w:t xml:space="preserve"> participation </w:t>
      </w:r>
      <w:r w:rsidR="00F87D46">
        <w:t xml:space="preserve">à la vie </w:t>
      </w:r>
      <w:r w:rsidR="006A6D8B">
        <w:t xml:space="preserve">politique. Toutefois, il souligne </w:t>
      </w:r>
      <w:r w:rsidR="00DB2EA2">
        <w:t>la nécess</w:t>
      </w:r>
      <w:r w:rsidR="006A6D8B">
        <w:t>ité de mieux outiller ces dernières à l’effet d’assure</w:t>
      </w:r>
      <w:r w:rsidR="00DB2EA2">
        <w:t>r leur participation efficace à la gestion de la vie publique.</w:t>
      </w:r>
    </w:p>
    <w:p w14:paraId="1650ECC5" w14:textId="39D3F653" w:rsidR="00DB2EA2" w:rsidRPr="00C36219" w:rsidRDefault="009B1B5A" w:rsidP="00DB2EA2">
      <w:pPr>
        <w:pStyle w:val="SingleTxtG"/>
      </w:pPr>
      <w:r>
        <w:t>68.</w:t>
      </w:r>
      <w:r>
        <w:tab/>
      </w:r>
      <w:r w:rsidR="002C5333">
        <w:t>Par ailleurs, l</w:t>
      </w:r>
      <w:r w:rsidR="00DB2EA2">
        <w:t xml:space="preserve">es cas de violences sexuelles perpétrés par les </w:t>
      </w:r>
      <w:proofErr w:type="spellStart"/>
      <w:r w:rsidR="00DB2EA2">
        <w:t>Imbonerakure</w:t>
      </w:r>
      <w:proofErr w:type="spellEnd"/>
      <w:r w:rsidR="00DB2EA2">
        <w:t xml:space="preserve"> dans les zones rurales</w:t>
      </w:r>
      <w:r w:rsidR="00DB2EA2">
        <w:rPr>
          <w:rStyle w:val="FootnoteReference"/>
        </w:rPr>
        <w:footnoteReference w:id="56"/>
      </w:r>
      <w:r w:rsidR="00450B09">
        <w:t xml:space="preserve"> sont à déplorer. Le Rapporteur spécial </w:t>
      </w:r>
      <w:r w:rsidR="00DB2EA2" w:rsidRPr="00C36219">
        <w:t xml:space="preserve">est </w:t>
      </w:r>
      <w:r w:rsidR="00DB2EA2">
        <w:t xml:space="preserve">également </w:t>
      </w:r>
      <w:r w:rsidR="00DB2EA2" w:rsidRPr="00C36219">
        <w:t>préoccupé par la situation des femmes dans les lieux de privation de li</w:t>
      </w:r>
      <w:r w:rsidR="00DB2EA2">
        <w:t xml:space="preserve">berté. Un grand nombre </w:t>
      </w:r>
      <w:r w:rsidR="00DA7007">
        <w:t xml:space="preserve">d’entre elles </w:t>
      </w:r>
      <w:r w:rsidR="00DB2EA2">
        <w:t>serai</w:t>
      </w:r>
      <w:r w:rsidR="00C73412">
        <w:t>en</w:t>
      </w:r>
      <w:r w:rsidR="00DB2EA2">
        <w:t>t</w:t>
      </w:r>
      <w:r w:rsidR="00DB2EA2" w:rsidRPr="00C36219">
        <w:t xml:space="preserve"> incarcérées pour des crimes liés à</w:t>
      </w:r>
      <w:r w:rsidR="00DB2EA2">
        <w:t xml:space="preserve"> l’avortement, </w:t>
      </w:r>
      <w:r w:rsidR="002C5333">
        <w:t>un a</w:t>
      </w:r>
      <w:r w:rsidR="00DB2EA2" w:rsidRPr="00C36219">
        <w:t>cte le plus souvent lié à la pression du contexte socioculturel</w:t>
      </w:r>
      <w:r w:rsidR="00C73412">
        <w:t>,</w:t>
      </w:r>
      <w:r w:rsidR="00DB2EA2" w:rsidRPr="00C36219">
        <w:t xml:space="preserve"> qui tend à discriminer et </w:t>
      </w:r>
      <w:r w:rsidR="00C73412">
        <w:t xml:space="preserve">à </w:t>
      </w:r>
      <w:r w:rsidR="00DB2EA2" w:rsidRPr="00C36219">
        <w:t>stigmatiser les mères célibataires</w:t>
      </w:r>
      <w:r w:rsidR="00DB2EA2">
        <w:rPr>
          <w:rStyle w:val="FootnoteReference"/>
        </w:rPr>
        <w:footnoteReference w:id="57"/>
      </w:r>
      <w:r w:rsidR="00DB2EA2" w:rsidRPr="00C36219">
        <w:t xml:space="preserve">. </w:t>
      </w:r>
      <w:r w:rsidR="00450B09" w:rsidRPr="00450B09">
        <w:t>Eu</w:t>
      </w:r>
      <w:r w:rsidR="00BA6AD6">
        <w:t> </w:t>
      </w:r>
      <w:r w:rsidR="00450B09" w:rsidRPr="00450B09">
        <w:t xml:space="preserve">égard au fait que la législation au Burundi interdit l’avortement </w:t>
      </w:r>
      <w:r w:rsidR="00450B09">
        <w:t>volontaire</w:t>
      </w:r>
      <w:r w:rsidR="00450B09">
        <w:rPr>
          <w:rStyle w:val="FootnoteReference"/>
        </w:rPr>
        <w:footnoteReference w:id="58"/>
      </w:r>
      <w:r w:rsidR="00450B09">
        <w:t xml:space="preserve">, </w:t>
      </w:r>
      <w:r w:rsidR="002C5333">
        <w:t>le R</w:t>
      </w:r>
      <w:r w:rsidR="00450B09" w:rsidRPr="00450B09">
        <w:t xml:space="preserve">apporteur spécial recommande </w:t>
      </w:r>
      <w:r w:rsidR="00DF37CC">
        <w:t>d’améliorer l’accès à l’information</w:t>
      </w:r>
      <w:r w:rsidR="00450B09" w:rsidRPr="00450B09">
        <w:t xml:space="preserve"> mais également </w:t>
      </w:r>
      <w:r w:rsidR="00740813">
        <w:t xml:space="preserve">d’entreprendre </w:t>
      </w:r>
      <w:r w:rsidR="00450B09" w:rsidRPr="00450B09">
        <w:t>une réforme législative à l’effet d’autoriser l’avortement médicalement assisté</w:t>
      </w:r>
      <w:r w:rsidR="00450B09">
        <w:t>,</w:t>
      </w:r>
      <w:r w:rsidR="00450B09" w:rsidRPr="00450B09">
        <w:t xml:space="preserve"> </w:t>
      </w:r>
      <w:r w:rsidR="00F60997">
        <w:t>et d’harmoniser</w:t>
      </w:r>
      <w:r w:rsidR="00450B09" w:rsidRPr="00450B09">
        <w:t xml:space="preserve"> la législation burundaise avec les engagements internationaux et régionaux pour éliminer tous les motifs d’inculpation discriminatoires et attentatoires aux droits des femmes.</w:t>
      </w:r>
    </w:p>
    <w:p w14:paraId="3997F2CC" w14:textId="231A233F" w:rsidR="00DB2EA2" w:rsidRPr="00C36219" w:rsidRDefault="009B1B5A" w:rsidP="00DB2EA2">
      <w:pPr>
        <w:pStyle w:val="SingleTxtG"/>
      </w:pPr>
      <w:r>
        <w:t>69</w:t>
      </w:r>
      <w:r w:rsidR="00DB2EA2">
        <w:t>.</w:t>
      </w:r>
      <w:r>
        <w:tab/>
      </w:r>
      <w:r w:rsidR="00DB2EA2">
        <w:t>Le Rapporteur spécial souligne que les</w:t>
      </w:r>
      <w:r w:rsidR="00DB2EA2" w:rsidRPr="00C36219">
        <w:t xml:space="preserve"> conflits fonciers constituent </w:t>
      </w:r>
      <w:r w:rsidR="00A13A4F">
        <w:t>l’</w:t>
      </w:r>
      <w:r w:rsidR="00DB2EA2" w:rsidRPr="00C36219">
        <w:t>une des causes d’incarcération des femmes</w:t>
      </w:r>
      <w:r w:rsidR="00E42EE4">
        <w:rPr>
          <w:rStyle w:val="FootnoteReference"/>
        </w:rPr>
        <w:footnoteReference w:id="59"/>
      </w:r>
      <w:r w:rsidR="00DB2EA2" w:rsidRPr="00C36219">
        <w:t xml:space="preserve">. Il est à noter qu’au Burundi, si la Constitution prévoit l’accès </w:t>
      </w:r>
      <w:r w:rsidR="00DB2EA2" w:rsidRPr="00C36219">
        <w:lastRenderedPageBreak/>
        <w:t xml:space="preserve">de tous </w:t>
      </w:r>
      <w:r w:rsidR="00DB2EA2">
        <w:t>à la propriété, le droit coutumier</w:t>
      </w:r>
      <w:r w:rsidR="00DB2EA2" w:rsidRPr="00C36219">
        <w:t xml:space="preserve"> ne reconna</w:t>
      </w:r>
      <w:r w:rsidR="00A13A4F">
        <w:t>î</w:t>
      </w:r>
      <w:r w:rsidR="00DB2EA2" w:rsidRPr="00C36219">
        <w:t>t pas à la femme le droit à la propri</w:t>
      </w:r>
      <w:r w:rsidR="00DB2EA2">
        <w:t>été foncière</w:t>
      </w:r>
      <w:r w:rsidR="00A13A4F">
        <w:t>,</w:t>
      </w:r>
      <w:r w:rsidR="00DB2EA2">
        <w:t xml:space="preserve"> ce qui accro</w:t>
      </w:r>
      <w:r w:rsidR="00B156E9">
        <w:t>î</w:t>
      </w:r>
      <w:r w:rsidR="00DB2EA2">
        <w:t>t sa</w:t>
      </w:r>
      <w:r w:rsidR="00DB2EA2" w:rsidRPr="00C36219">
        <w:t xml:space="preserve"> vulnérabilité.</w:t>
      </w:r>
    </w:p>
    <w:p w14:paraId="154A3C8D" w14:textId="23A9F33A" w:rsidR="00DB2EA2" w:rsidRPr="00C36219" w:rsidRDefault="00A02BBF" w:rsidP="00DB2EA2">
      <w:pPr>
        <w:pStyle w:val="SingleTxtG"/>
      </w:pPr>
      <w:r>
        <w:t>7</w:t>
      </w:r>
      <w:r w:rsidR="009B1B5A">
        <w:t>0</w:t>
      </w:r>
      <w:r w:rsidR="00DB2EA2">
        <w:t>.</w:t>
      </w:r>
      <w:r w:rsidR="009B1B5A">
        <w:tab/>
      </w:r>
      <w:r w:rsidR="00B156E9">
        <w:t>Par ailleurs</w:t>
      </w:r>
      <w:r w:rsidR="002C5333">
        <w:t>, l</w:t>
      </w:r>
      <w:r w:rsidR="00DB2EA2" w:rsidRPr="00C36219">
        <w:t>a grande majorité des femmes en détention n’ont pas d’avocat</w:t>
      </w:r>
      <w:r w:rsidR="002C5333">
        <w:t>s</w:t>
      </w:r>
      <w:r w:rsidR="00DB2EA2" w:rsidRPr="00C36219">
        <w:t>, ce qui constitue un handicap en ce qui concerne l’évolut</w:t>
      </w:r>
      <w:r w:rsidR="00DB2EA2">
        <w:t>ion des procédures judiciaires.</w:t>
      </w:r>
      <w:r w:rsidR="00DB2EA2" w:rsidRPr="00C36219">
        <w:t xml:space="preserve"> </w:t>
      </w:r>
      <w:r w:rsidR="00687820">
        <w:t>En</w:t>
      </w:r>
      <w:r w:rsidR="00BA6AD6">
        <w:t> </w:t>
      </w:r>
      <w:r w:rsidR="00687820">
        <w:t>conséquence,</w:t>
      </w:r>
      <w:r w:rsidR="002C5333">
        <w:t xml:space="preserve"> bon nombre de prévenues</w:t>
      </w:r>
      <w:r w:rsidR="00DB2EA2" w:rsidRPr="00C36219">
        <w:t xml:space="preserve"> n’ont pas vu leur</w:t>
      </w:r>
      <w:r w:rsidR="002C5333">
        <w:t xml:space="preserve"> cas examiné</w:t>
      </w:r>
      <w:r w:rsidR="00715F02">
        <w:t xml:space="preserve"> par</w:t>
      </w:r>
      <w:r w:rsidR="00DB2EA2" w:rsidRPr="00C36219">
        <w:t xml:space="preserve"> un juge </w:t>
      </w:r>
      <w:r w:rsidR="00030A0F">
        <w:t>–</w:t>
      </w:r>
      <w:r w:rsidR="00DB2EA2" w:rsidRPr="00C36219">
        <w:t xml:space="preserve"> malheureusement</w:t>
      </w:r>
      <w:r w:rsidR="00030A0F">
        <w:t>,</w:t>
      </w:r>
      <w:r w:rsidR="00DB2EA2" w:rsidRPr="00C36219">
        <w:t xml:space="preserve"> dans la plupart des cas</w:t>
      </w:r>
      <w:r w:rsidR="00030A0F">
        <w:t>,</w:t>
      </w:r>
      <w:r w:rsidR="00DB2EA2" w:rsidRPr="00C36219">
        <w:t xml:space="preserve"> </w:t>
      </w:r>
      <w:r w:rsidR="00715F02">
        <w:t xml:space="preserve">faute de </w:t>
      </w:r>
      <w:r w:rsidR="00DB2EA2" w:rsidRPr="00C36219">
        <w:t>moyens.</w:t>
      </w:r>
    </w:p>
    <w:p w14:paraId="5C01A8CA" w14:textId="38885D65" w:rsidR="00DB2EA2" w:rsidRDefault="009B1B5A" w:rsidP="00DB2EA2">
      <w:pPr>
        <w:pStyle w:val="SingleTxtG"/>
      </w:pPr>
      <w:r>
        <w:t>71</w:t>
      </w:r>
      <w:r w:rsidR="00DB2EA2">
        <w:t>.</w:t>
      </w:r>
      <w:r>
        <w:tab/>
      </w:r>
      <w:r w:rsidR="002C5333">
        <w:t>En 2008, le Comité</w:t>
      </w:r>
      <w:r w:rsidR="00DB2EA2" w:rsidRPr="00C36219">
        <w:t xml:space="preserve"> </w:t>
      </w:r>
      <w:r w:rsidR="00715454">
        <w:t>pour</w:t>
      </w:r>
      <w:r w:rsidR="00DB2EA2" w:rsidRPr="00C36219">
        <w:t xml:space="preserve"> l’élimination de </w:t>
      </w:r>
      <w:r w:rsidR="005F7590">
        <w:t xml:space="preserve">la </w:t>
      </w:r>
      <w:r w:rsidR="00DB2EA2" w:rsidRPr="00C36219">
        <w:t>discrimination à l’</w:t>
      </w:r>
      <w:r w:rsidR="005F7590">
        <w:t>égard</w:t>
      </w:r>
      <w:r w:rsidR="00DB2EA2" w:rsidRPr="00C36219">
        <w:t xml:space="preserve"> des femmes avait recommandé au Burundi de </w:t>
      </w:r>
      <w:r w:rsidR="00DB2EA2" w:rsidRPr="009B1B5A">
        <w:t>prendre les mesures nécessaires pour que les femmes en milieu carcéral soient systématiquement séparées des hommes et encadrées par du personnel pénitentiaire respectueux</w:t>
      </w:r>
      <w:r w:rsidR="00612829">
        <w:rPr>
          <w:rStyle w:val="FootnoteReference"/>
        </w:rPr>
        <w:footnoteReference w:id="60"/>
      </w:r>
      <w:r w:rsidR="00DB2EA2" w:rsidRPr="009B1B5A">
        <w:t>.</w:t>
      </w:r>
      <w:r w:rsidR="00DB2EA2" w:rsidRPr="00C36219">
        <w:t xml:space="preserve"> </w:t>
      </w:r>
      <w:r w:rsidR="00715F02">
        <w:t>Le Rapporteur spécial réitère cette recommandation</w:t>
      </w:r>
      <w:r w:rsidR="00DB2EA2" w:rsidRPr="00C36219">
        <w:t>.</w:t>
      </w:r>
    </w:p>
    <w:p w14:paraId="46B536BB" w14:textId="1DFC6B4A" w:rsidR="00DB2EA2" w:rsidRPr="00C36219" w:rsidRDefault="009B1B5A" w:rsidP="00DB2EA2">
      <w:pPr>
        <w:pStyle w:val="SingleTxtG"/>
      </w:pPr>
      <w:r>
        <w:t>72</w:t>
      </w:r>
      <w:r w:rsidR="00DB2EA2">
        <w:t>.</w:t>
      </w:r>
      <w:r>
        <w:tab/>
      </w:r>
      <w:r w:rsidR="00DB2EA2">
        <w:t xml:space="preserve">Le Rapporteur spécial encourage la mise en œuvre d’actions et </w:t>
      </w:r>
      <w:r w:rsidR="001561F0">
        <w:t xml:space="preserve">de </w:t>
      </w:r>
      <w:r w:rsidR="00DB2EA2">
        <w:t>politiques d’autonomisation des femmes</w:t>
      </w:r>
      <w:r w:rsidR="002C6ACC">
        <w:t>,</w:t>
      </w:r>
      <w:r w:rsidR="00DB2EA2">
        <w:t xml:space="preserve"> particulièrement des femmes et des filles vivant avec </w:t>
      </w:r>
      <w:r w:rsidR="002C6ACC">
        <w:t xml:space="preserve">un </w:t>
      </w:r>
      <w:r w:rsidR="00DB2EA2">
        <w:t>handicap ou atteintes d’albinisme</w:t>
      </w:r>
      <w:r w:rsidR="002C6ACC">
        <w:t>,</w:t>
      </w:r>
      <w:r w:rsidR="00DB2EA2">
        <w:t xml:space="preserve"> à l’effet de juguler les pratiques socioculturelles</w:t>
      </w:r>
      <w:r w:rsidR="002C6ACC">
        <w:t xml:space="preserve"> néfastes</w:t>
      </w:r>
      <w:r w:rsidR="00DB2EA2">
        <w:t xml:space="preserve">, les préjugés et les discriminations multiformes </w:t>
      </w:r>
      <w:r w:rsidR="002C6ACC">
        <w:t>dont</w:t>
      </w:r>
      <w:r w:rsidR="00DB2EA2">
        <w:t xml:space="preserve"> elles sont victimes.</w:t>
      </w:r>
    </w:p>
    <w:p w14:paraId="31018C9C" w14:textId="20C4ACD5" w:rsidR="00DB2EA2" w:rsidRPr="009B1B5A" w:rsidRDefault="009B1B5A" w:rsidP="009B1B5A">
      <w:pPr>
        <w:pStyle w:val="H23G"/>
      </w:pPr>
      <w:r>
        <w:tab/>
        <w:t>2.</w:t>
      </w:r>
      <w:r>
        <w:tab/>
      </w:r>
      <w:r w:rsidR="00660A1D">
        <w:t>D</w:t>
      </w:r>
      <w:r w:rsidR="00DB2EA2" w:rsidRPr="009B1B5A">
        <w:t>roits de l’enfant</w:t>
      </w:r>
    </w:p>
    <w:p w14:paraId="237C0CFF" w14:textId="219E2DF9" w:rsidR="00DB2EA2" w:rsidRDefault="00A02BBF" w:rsidP="00DB2EA2">
      <w:pPr>
        <w:pStyle w:val="SingleTxtG"/>
      </w:pPr>
      <w:r>
        <w:t>7</w:t>
      </w:r>
      <w:r w:rsidR="009B1B5A">
        <w:t>3</w:t>
      </w:r>
      <w:r w:rsidR="00DB2EA2">
        <w:t>.</w:t>
      </w:r>
      <w:r w:rsidR="009B1B5A">
        <w:tab/>
      </w:r>
      <w:r w:rsidR="00DB2EA2">
        <w:t>Les enfants représentent plus de la moitié de la population burundaise. Plusieurs défis sont observés quant à leur protection</w:t>
      </w:r>
      <w:r w:rsidR="00DB2EA2">
        <w:rPr>
          <w:rStyle w:val="FootnoteReference"/>
        </w:rPr>
        <w:footnoteReference w:id="61"/>
      </w:r>
      <w:r w:rsidR="00DB2EA2">
        <w:t xml:space="preserve">. </w:t>
      </w:r>
      <w:r w:rsidR="00A032BD">
        <w:t>À</w:t>
      </w:r>
      <w:r w:rsidR="00657270">
        <w:t xml:space="preserve"> cet égard, l</w:t>
      </w:r>
      <w:r w:rsidR="00DB2EA2" w:rsidRPr="00C36219">
        <w:t xml:space="preserve">e Rapporteur spécial est préoccupé par les rafles organisées </w:t>
      </w:r>
      <w:r w:rsidR="00DB2EA2">
        <w:t>à</w:t>
      </w:r>
      <w:r w:rsidR="00DB2EA2" w:rsidRPr="00C36219">
        <w:t xml:space="preserve"> Bujumbura</w:t>
      </w:r>
      <w:r w:rsidR="00E97ED9">
        <w:t>,</w:t>
      </w:r>
      <w:r w:rsidR="00DB2EA2" w:rsidRPr="00C36219">
        <w:t xml:space="preserve"> </w:t>
      </w:r>
      <w:r w:rsidR="00E97ED9">
        <w:t xml:space="preserve">à </w:t>
      </w:r>
      <w:proofErr w:type="spellStart"/>
      <w:r w:rsidR="00DB2EA2" w:rsidRPr="00C36219">
        <w:t>Kayanza</w:t>
      </w:r>
      <w:proofErr w:type="spellEnd"/>
      <w:r w:rsidR="00DB2EA2" w:rsidRPr="00C36219">
        <w:t xml:space="preserve">, </w:t>
      </w:r>
      <w:r w:rsidR="00E97ED9">
        <w:t xml:space="preserve">à </w:t>
      </w:r>
      <w:proofErr w:type="spellStart"/>
      <w:r w:rsidR="00DB2EA2" w:rsidRPr="00C36219">
        <w:t>Kirundo</w:t>
      </w:r>
      <w:proofErr w:type="spellEnd"/>
      <w:r w:rsidR="00DB2EA2" w:rsidRPr="00C36219">
        <w:t xml:space="preserve"> et </w:t>
      </w:r>
      <w:r w:rsidR="00E97ED9">
        <w:t xml:space="preserve">à </w:t>
      </w:r>
      <w:r w:rsidR="00DB2EA2" w:rsidRPr="00C36219">
        <w:t>Ngozi</w:t>
      </w:r>
      <w:r w:rsidR="00E97ED9">
        <w:t>,</w:t>
      </w:r>
      <w:r w:rsidR="00DB2EA2" w:rsidRPr="00C36219">
        <w:t xml:space="preserve"> et </w:t>
      </w:r>
      <w:r w:rsidR="00A03715">
        <w:t>par</w:t>
      </w:r>
      <w:r w:rsidR="00DB2EA2" w:rsidRPr="00C36219">
        <w:t xml:space="preserve"> </w:t>
      </w:r>
      <w:r w:rsidR="00A03715">
        <w:t>leur</w:t>
      </w:r>
      <w:r w:rsidR="00DB2EA2" w:rsidRPr="00C36219">
        <w:t xml:space="preserve"> incidence sur </w:t>
      </w:r>
      <w:r w:rsidR="00657270">
        <w:t xml:space="preserve">les </w:t>
      </w:r>
      <w:r w:rsidR="001D1B5D">
        <w:t xml:space="preserve">droits des </w:t>
      </w:r>
      <w:r w:rsidR="00657270">
        <w:t>enfants</w:t>
      </w:r>
      <w:r w:rsidR="00E42EE4">
        <w:rPr>
          <w:rStyle w:val="FootnoteReference"/>
        </w:rPr>
        <w:footnoteReference w:id="62"/>
      </w:r>
      <w:r w:rsidR="00DB2EA2" w:rsidRPr="00C36219">
        <w:t>.</w:t>
      </w:r>
      <w:r w:rsidR="00DB2EA2">
        <w:t xml:space="preserve"> Il souligne la nécessité de mettre sur pied des méca</w:t>
      </w:r>
      <w:r w:rsidR="00657270">
        <w:t>nismes de protection à l’échelle</w:t>
      </w:r>
      <w:r w:rsidR="00DB2EA2">
        <w:t xml:space="preserve"> des communes</w:t>
      </w:r>
      <w:r w:rsidR="00657270">
        <w:t xml:space="preserve"> et des collines</w:t>
      </w:r>
      <w:r w:rsidR="0071768F">
        <w:t>,</w:t>
      </w:r>
      <w:r w:rsidR="00DB2EA2">
        <w:t xml:space="preserve"> particulièrement dans la planification et la budgétisation.</w:t>
      </w:r>
    </w:p>
    <w:p w14:paraId="690B61AF" w14:textId="74CBE048" w:rsidR="00DB2EA2" w:rsidRPr="008D7E75" w:rsidRDefault="009B1B5A" w:rsidP="00DB2EA2">
      <w:pPr>
        <w:pStyle w:val="SingleTxtG"/>
      </w:pPr>
      <w:r>
        <w:t>74</w:t>
      </w:r>
      <w:r w:rsidR="00DB2EA2">
        <w:t>.</w:t>
      </w:r>
      <w:r>
        <w:tab/>
      </w:r>
      <w:r w:rsidR="008A6B7A">
        <w:t>Le Rapporteur spécial</w:t>
      </w:r>
      <w:r w:rsidR="00DB2EA2">
        <w:t xml:space="preserve"> note que les </w:t>
      </w:r>
      <w:r w:rsidR="00DB2EA2" w:rsidRPr="008D7E75">
        <w:t>catastrophes liées au</w:t>
      </w:r>
      <w:r w:rsidR="00DB2EA2">
        <w:t>x</w:t>
      </w:r>
      <w:r w:rsidR="00DB2EA2" w:rsidRPr="008D7E75">
        <w:t xml:space="preserve"> changemen</w:t>
      </w:r>
      <w:r w:rsidR="00DB2EA2">
        <w:t xml:space="preserve">ts climatiques </w:t>
      </w:r>
      <w:r w:rsidR="00DB2EA2" w:rsidRPr="008D7E75">
        <w:t xml:space="preserve">à </w:t>
      </w:r>
      <w:proofErr w:type="spellStart"/>
      <w:r w:rsidR="00DB2EA2" w:rsidRPr="008D7E75">
        <w:t>Kirundo</w:t>
      </w:r>
      <w:proofErr w:type="spellEnd"/>
      <w:r w:rsidR="00DB2EA2" w:rsidRPr="008D7E75">
        <w:t xml:space="preserve"> et </w:t>
      </w:r>
      <w:r w:rsidR="00DB2EA2">
        <w:t xml:space="preserve">les </w:t>
      </w:r>
      <w:r w:rsidR="00DB2EA2" w:rsidRPr="008D7E75">
        <w:t xml:space="preserve">inondations dans les provinces de </w:t>
      </w:r>
      <w:proofErr w:type="spellStart"/>
      <w:r w:rsidR="00DB2EA2" w:rsidRPr="008D7E75">
        <w:t>Bubanza</w:t>
      </w:r>
      <w:proofErr w:type="spellEnd"/>
      <w:r w:rsidR="00DB2EA2" w:rsidRPr="008D7E75">
        <w:t xml:space="preserve">, </w:t>
      </w:r>
      <w:r w:rsidR="0092278E">
        <w:t xml:space="preserve">de </w:t>
      </w:r>
      <w:r w:rsidR="00DB2EA2" w:rsidRPr="008D7E75">
        <w:t xml:space="preserve">Bujumbura Rural, </w:t>
      </w:r>
      <w:r w:rsidR="0092278E">
        <w:t xml:space="preserve">de </w:t>
      </w:r>
      <w:proofErr w:type="spellStart"/>
      <w:r w:rsidR="00DB2EA2" w:rsidRPr="008D7E75">
        <w:t>Cibitoke</w:t>
      </w:r>
      <w:proofErr w:type="spellEnd"/>
      <w:r w:rsidR="00DB2EA2" w:rsidRPr="008D7E75">
        <w:t>,</w:t>
      </w:r>
      <w:r w:rsidR="00DB2EA2">
        <w:t xml:space="preserve"> </w:t>
      </w:r>
      <w:r w:rsidR="0092278E">
        <w:t xml:space="preserve">de </w:t>
      </w:r>
      <w:proofErr w:type="spellStart"/>
      <w:r w:rsidR="00DB2EA2">
        <w:t>Makamba</w:t>
      </w:r>
      <w:proofErr w:type="spellEnd"/>
      <w:r w:rsidR="00DB2EA2">
        <w:t xml:space="preserve"> et </w:t>
      </w:r>
      <w:r w:rsidR="009C5F47">
        <w:t xml:space="preserve">de </w:t>
      </w:r>
      <w:proofErr w:type="spellStart"/>
      <w:r w:rsidR="00DB2EA2">
        <w:t>Rumonge</w:t>
      </w:r>
      <w:proofErr w:type="spellEnd"/>
      <w:r w:rsidR="00DB2EA2">
        <w:t xml:space="preserve"> ont endommagé</w:t>
      </w:r>
      <w:r w:rsidR="00DB2EA2" w:rsidRPr="008D7E75">
        <w:t xml:space="preserve"> 56 salles de classe</w:t>
      </w:r>
      <w:r w:rsidR="004B616B">
        <w:t xml:space="preserve"> et</w:t>
      </w:r>
      <w:r w:rsidR="00DB2EA2" w:rsidRPr="008D7E75">
        <w:t xml:space="preserve"> 534</w:t>
      </w:r>
      <w:r w:rsidR="004B616B">
        <w:t> </w:t>
      </w:r>
      <w:r w:rsidR="00DB2EA2" w:rsidRPr="008D7E75">
        <w:t>hectares de</w:t>
      </w:r>
      <w:r w:rsidR="00DB2EA2">
        <w:t xml:space="preserve"> cultures vivrières</w:t>
      </w:r>
      <w:r w:rsidR="004B616B">
        <w:t>,</w:t>
      </w:r>
      <w:r w:rsidR="00DB2EA2">
        <w:t xml:space="preserve"> et déplacé</w:t>
      </w:r>
      <w:r w:rsidR="00DB2EA2" w:rsidRPr="008D7E75">
        <w:t xml:space="preserve"> 180 ménages</w:t>
      </w:r>
      <w:r w:rsidR="00DB2EA2" w:rsidRPr="006C10E2">
        <w:rPr>
          <w:rStyle w:val="EndnoteReference"/>
          <w:rFonts w:eastAsia="MS Mincho"/>
        </w:rPr>
        <w:footnoteReference w:id="63"/>
      </w:r>
      <w:r w:rsidR="004B616B">
        <w:t>.</w:t>
      </w:r>
      <w:r w:rsidR="00657270">
        <w:t xml:space="preserve"> </w:t>
      </w:r>
      <w:r w:rsidR="004B616B">
        <w:t>Il</w:t>
      </w:r>
      <w:r w:rsidR="00657270">
        <w:t xml:space="preserve"> plaide aux côtés des agences </w:t>
      </w:r>
      <w:r w:rsidR="00A72CC3">
        <w:t xml:space="preserve">humanitaires du </w:t>
      </w:r>
      <w:r w:rsidR="004B616B">
        <w:t>s</w:t>
      </w:r>
      <w:r w:rsidR="00A72CC3">
        <w:t>ystème</w:t>
      </w:r>
      <w:r w:rsidR="00657270">
        <w:t xml:space="preserve"> des Nations Unies</w:t>
      </w:r>
      <w:r w:rsidR="004B616B">
        <w:t>,</w:t>
      </w:r>
      <w:r w:rsidR="00657270">
        <w:t xml:space="preserve"> dont </w:t>
      </w:r>
      <w:r w:rsidR="00D641FB">
        <w:t>le Fonds des Nations Unies pour l’enfance</w:t>
      </w:r>
      <w:r w:rsidR="00C21812">
        <w:t xml:space="preserve"> (</w:t>
      </w:r>
      <w:r w:rsidR="00657270">
        <w:t>UNICEF</w:t>
      </w:r>
      <w:r w:rsidR="00C21812">
        <w:t>)</w:t>
      </w:r>
      <w:r w:rsidR="004B616B">
        <w:t>,</w:t>
      </w:r>
      <w:r w:rsidR="00657270">
        <w:t xml:space="preserve"> pour une mobilisation des ressources en faveur des sinistrés</w:t>
      </w:r>
      <w:r w:rsidR="0033693D">
        <w:t>,</w:t>
      </w:r>
      <w:r w:rsidR="00657270">
        <w:t xml:space="preserve"> et plus particulièrement </w:t>
      </w:r>
      <w:r w:rsidR="00A72CC3">
        <w:t>pour la promotion des droits des femmes et</w:t>
      </w:r>
      <w:r w:rsidR="00657270">
        <w:t xml:space="preserve"> des enfants</w:t>
      </w:r>
      <w:r w:rsidR="00A72CC3">
        <w:rPr>
          <w:rStyle w:val="FootnoteReference"/>
        </w:rPr>
        <w:footnoteReference w:id="64"/>
      </w:r>
      <w:r w:rsidR="00657270">
        <w:t>.</w:t>
      </w:r>
    </w:p>
    <w:p w14:paraId="74AF689D" w14:textId="04030EB9" w:rsidR="00DB2EA2" w:rsidRPr="00C36219" w:rsidRDefault="009B1B5A" w:rsidP="00DB2EA2">
      <w:pPr>
        <w:pStyle w:val="SingleTxtG"/>
      </w:pPr>
      <w:r>
        <w:t>75</w:t>
      </w:r>
      <w:r w:rsidR="00DB2EA2">
        <w:t>.</w:t>
      </w:r>
      <w:r>
        <w:tab/>
      </w:r>
      <w:r w:rsidR="002C664E">
        <w:t>L</w:t>
      </w:r>
      <w:r w:rsidR="00DB2EA2">
        <w:t>e Rapporteur spécial</w:t>
      </w:r>
      <w:r w:rsidR="00E42EE4">
        <w:t xml:space="preserve"> souligne la nécessité d’avoir des</w:t>
      </w:r>
      <w:r w:rsidR="00DB2EA2">
        <w:t xml:space="preserve"> données </w:t>
      </w:r>
      <w:r w:rsidR="00A674D3">
        <w:t>ventilées</w:t>
      </w:r>
      <w:r w:rsidR="00DB2EA2">
        <w:t xml:space="preserve"> officielles sur la situation de</w:t>
      </w:r>
      <w:r w:rsidR="00031ACB">
        <w:t>s</w:t>
      </w:r>
      <w:r w:rsidR="00DB2EA2">
        <w:t xml:space="preserve"> enfant</w:t>
      </w:r>
      <w:r w:rsidR="00031ACB">
        <w:t>s</w:t>
      </w:r>
      <w:r w:rsidR="00DB2EA2">
        <w:t xml:space="preserve">. Il </w:t>
      </w:r>
      <w:r w:rsidR="00C93CE0">
        <w:t xml:space="preserve">encourage également une protection accrue </w:t>
      </w:r>
      <w:r w:rsidR="00DB2EA2">
        <w:t xml:space="preserve">à l’égard des filles (accès à l’éducation, successions), des enfants vivant avec </w:t>
      </w:r>
      <w:r w:rsidR="0023518C">
        <w:t xml:space="preserve">un handicap, des enfants </w:t>
      </w:r>
      <w:r w:rsidR="008F7629">
        <w:t>atteints d’</w:t>
      </w:r>
      <w:r w:rsidR="0023518C">
        <w:t>albinisme</w:t>
      </w:r>
      <w:r w:rsidR="00DB2EA2">
        <w:t xml:space="preserve">, des enfants </w:t>
      </w:r>
      <w:proofErr w:type="spellStart"/>
      <w:r w:rsidR="008F7629">
        <w:t>b</w:t>
      </w:r>
      <w:r w:rsidR="00DB2EA2">
        <w:t>atwa</w:t>
      </w:r>
      <w:r w:rsidR="008F7629">
        <w:t>s</w:t>
      </w:r>
      <w:proofErr w:type="spellEnd"/>
      <w:r w:rsidR="00DB2EA2">
        <w:t xml:space="preserve">, </w:t>
      </w:r>
      <w:r w:rsidR="004811D7">
        <w:t>des enfants</w:t>
      </w:r>
      <w:r w:rsidR="00DB2EA2">
        <w:t xml:space="preserve"> en détention avec leur mère, des enfants non accompagnés,</w:t>
      </w:r>
      <w:r w:rsidR="001A158E">
        <w:t xml:space="preserve"> </w:t>
      </w:r>
      <w:r w:rsidR="004811D7">
        <w:t xml:space="preserve">ainsi que des enfants </w:t>
      </w:r>
      <w:r w:rsidR="001A158E">
        <w:t xml:space="preserve">déplacés </w:t>
      </w:r>
      <w:r w:rsidR="009142B6">
        <w:t>à l’intérieur du pays</w:t>
      </w:r>
      <w:r w:rsidR="001A158E">
        <w:t xml:space="preserve"> ou réfugiés.</w:t>
      </w:r>
    </w:p>
    <w:p w14:paraId="084D3A69" w14:textId="1A9691CF" w:rsidR="00DB2EA2" w:rsidRPr="009B1B5A" w:rsidRDefault="00DB2EA2" w:rsidP="009B1B5A">
      <w:pPr>
        <w:pStyle w:val="H23G"/>
      </w:pPr>
      <w:r w:rsidRPr="009B1B5A">
        <w:tab/>
        <w:t>3.</w:t>
      </w:r>
      <w:r w:rsidR="009B1B5A">
        <w:tab/>
      </w:r>
      <w:r w:rsidR="00910407" w:rsidRPr="009B1B5A">
        <w:t>Situation humanitaire et d</w:t>
      </w:r>
      <w:r w:rsidR="00905335" w:rsidRPr="009B1B5A">
        <w:t>roits des réfugiés</w:t>
      </w:r>
    </w:p>
    <w:p w14:paraId="7D16AF08" w14:textId="1ECA9BD8" w:rsidR="00DB2EA2" w:rsidRDefault="009B1B5A" w:rsidP="00910407">
      <w:pPr>
        <w:pStyle w:val="SingleTxtG"/>
      </w:pPr>
      <w:r>
        <w:t>76</w:t>
      </w:r>
      <w:r w:rsidR="00DB2EA2">
        <w:t>.</w:t>
      </w:r>
      <w:r>
        <w:tab/>
      </w:r>
      <w:r w:rsidR="00DB2EA2" w:rsidRPr="00C36219">
        <w:t>Le</w:t>
      </w:r>
      <w:r w:rsidR="00DB2EA2">
        <w:t xml:space="preserve"> Rapporteur spécial appelle les partenaires humanitaires à soutenir les besoins humanitaires </w:t>
      </w:r>
      <w:r w:rsidR="00EC0EF9">
        <w:t>au</w:t>
      </w:r>
      <w:r w:rsidR="00DB2EA2">
        <w:t xml:space="preserve"> Burundi. Le</w:t>
      </w:r>
      <w:r w:rsidR="00DB2EA2" w:rsidRPr="00C36219">
        <w:t xml:space="preserve">s pluies diluviennes, les graves inondations et les conséquences de la </w:t>
      </w:r>
      <w:r w:rsidR="001A00CD">
        <w:t xml:space="preserve">pandémie de </w:t>
      </w:r>
      <w:r w:rsidR="00DB2EA2" w:rsidRPr="00C36219">
        <w:t>COVID</w:t>
      </w:r>
      <w:r w:rsidR="001A00CD">
        <w:t>-</w:t>
      </w:r>
      <w:r w:rsidR="00DB2EA2" w:rsidRPr="00C36219">
        <w:t>19 ont entra</w:t>
      </w:r>
      <w:r w:rsidR="001A00CD">
        <w:t>î</w:t>
      </w:r>
      <w:r w:rsidR="00DB2EA2" w:rsidRPr="00C36219">
        <w:t xml:space="preserve">né le déplacement de milliers de personnes, ce qui a </w:t>
      </w:r>
      <w:r w:rsidR="007061D7">
        <w:t>eu un fort impact sur</w:t>
      </w:r>
      <w:r w:rsidR="003E1595">
        <w:t xml:space="preserve"> les activités agricoles</w:t>
      </w:r>
      <w:r w:rsidR="00844504">
        <w:t>,</w:t>
      </w:r>
      <w:r w:rsidR="003E1595">
        <w:t xml:space="preserve"> déjà marqué</w:t>
      </w:r>
      <w:r w:rsidR="00F269FB">
        <w:t>es</w:t>
      </w:r>
      <w:r w:rsidR="003E1595">
        <w:t xml:space="preserve"> par</w:t>
      </w:r>
      <w:r w:rsidR="00DB2EA2" w:rsidRPr="00C36219">
        <w:t xml:space="preserve"> </w:t>
      </w:r>
      <w:r w:rsidR="00F269FB">
        <w:t>une</w:t>
      </w:r>
      <w:r w:rsidR="00DB2EA2" w:rsidRPr="00C36219">
        <w:t xml:space="preserve"> situation s</w:t>
      </w:r>
      <w:r w:rsidR="003E1595">
        <w:t xml:space="preserve">ocioéconomique fragile, </w:t>
      </w:r>
      <w:r w:rsidR="00844504">
        <w:t xml:space="preserve">et </w:t>
      </w:r>
      <w:r w:rsidR="003E1595">
        <w:t xml:space="preserve">accentué </w:t>
      </w:r>
      <w:r w:rsidR="005C4C1F">
        <w:t>la diminution</w:t>
      </w:r>
      <w:r w:rsidR="003E1595">
        <w:t xml:space="preserve"> </w:t>
      </w:r>
      <w:r w:rsidR="00DB2EA2" w:rsidRPr="00C36219">
        <w:t>d</w:t>
      </w:r>
      <w:r w:rsidR="005C4C1F">
        <w:t>e l</w:t>
      </w:r>
      <w:r w:rsidR="00DB2EA2" w:rsidRPr="00C36219">
        <w:t xml:space="preserve">’activité économique. </w:t>
      </w:r>
      <w:r w:rsidR="00DB2EA2">
        <w:t>L</w:t>
      </w:r>
      <w:r w:rsidR="00910407">
        <w:t>es</w:t>
      </w:r>
      <w:r w:rsidR="00DB2EA2">
        <w:t xml:space="preserve"> tension</w:t>
      </w:r>
      <w:r w:rsidR="00910407">
        <w:t>s</w:t>
      </w:r>
      <w:r w:rsidR="00DB2EA2">
        <w:t xml:space="preserve"> politiques entre la République </w:t>
      </w:r>
      <w:r w:rsidR="00616451">
        <w:t>d</w:t>
      </w:r>
      <w:r w:rsidR="00DB2EA2">
        <w:t>émocratique du Congo et le Rwanda a</w:t>
      </w:r>
      <w:r w:rsidR="00910407">
        <w:t>ugmentent</w:t>
      </w:r>
      <w:r w:rsidR="00DB2EA2">
        <w:t xml:space="preserve"> </w:t>
      </w:r>
      <w:r w:rsidR="00616451">
        <w:t>par ailleurs le nombre</w:t>
      </w:r>
      <w:r w:rsidR="00DB2EA2">
        <w:t xml:space="preserve"> de réfugiés et </w:t>
      </w:r>
      <w:r w:rsidR="00616451">
        <w:t xml:space="preserve">de </w:t>
      </w:r>
      <w:r w:rsidR="00DB2EA2">
        <w:t>demandeurs d’asile congolais</w:t>
      </w:r>
      <w:r w:rsidR="00616451">
        <w:t>,</w:t>
      </w:r>
      <w:r w:rsidR="00DB2EA2">
        <w:t xml:space="preserve"> dans un contexte marqué p</w:t>
      </w:r>
      <w:r w:rsidR="001A158E">
        <w:t>ar la précarité des ressources</w:t>
      </w:r>
      <w:r w:rsidR="003E1595">
        <w:t xml:space="preserve"> naturelles</w:t>
      </w:r>
      <w:r w:rsidR="001A158E">
        <w:t>.</w:t>
      </w:r>
    </w:p>
    <w:p w14:paraId="6A45C150" w14:textId="2447E811" w:rsidR="00DB2EA2" w:rsidRPr="00C36219" w:rsidRDefault="009B1B5A" w:rsidP="00DB2EA2">
      <w:pPr>
        <w:pStyle w:val="SingleTxtG"/>
      </w:pPr>
      <w:r>
        <w:t>77</w:t>
      </w:r>
      <w:r w:rsidR="00DB2EA2">
        <w:t>.</w:t>
      </w:r>
      <w:r>
        <w:tab/>
      </w:r>
      <w:r w:rsidR="00DB2EA2">
        <w:t xml:space="preserve">Le Rapporteur spécial souligne que si </w:t>
      </w:r>
      <w:r w:rsidR="00DB2EA2" w:rsidRPr="0070215A">
        <w:t xml:space="preserve">le </w:t>
      </w:r>
      <w:r w:rsidR="00DB2EA2">
        <w:t>P</w:t>
      </w:r>
      <w:r w:rsidR="00DB2EA2" w:rsidRPr="0070215A">
        <w:t>rotocole IV de l’Accord d’Arusha avait</w:t>
      </w:r>
      <w:r w:rsidR="00DB2EA2">
        <w:t xml:space="preserve"> inventorié les principes et</w:t>
      </w:r>
      <w:r w:rsidR="00DB2EA2" w:rsidRPr="0070215A">
        <w:t xml:space="preserve"> mécanismes à appliquer</w:t>
      </w:r>
      <w:r w:rsidR="00DB2EA2">
        <w:t xml:space="preserve"> sur les questions foncières, il</w:t>
      </w:r>
      <w:r w:rsidR="00DB2EA2" w:rsidRPr="004A3B54">
        <w:t xml:space="preserve"> n’existe pas dans la législation</w:t>
      </w:r>
      <w:r w:rsidR="00DB2EA2">
        <w:t xml:space="preserve"> burundaise</w:t>
      </w:r>
      <w:r w:rsidR="00DB2EA2" w:rsidRPr="004A3B54">
        <w:t xml:space="preserve"> de mécanismes pour assurer l’accès de</w:t>
      </w:r>
      <w:r w:rsidR="00DB2EA2">
        <w:t>s réfugiés</w:t>
      </w:r>
      <w:r w:rsidR="00DB2EA2" w:rsidRPr="004A3B54">
        <w:t xml:space="preserve"> à la terre. Les </w:t>
      </w:r>
      <w:r w:rsidR="00DB2EA2" w:rsidRPr="004A3B54">
        <w:lastRenderedPageBreak/>
        <w:t>arrangements coutumiers ne leur donnent que des droits précaires, généralement sur les espaces les moins convoités du territoire d’accueil. En cas de pre</w:t>
      </w:r>
      <w:r w:rsidR="00DB2EA2">
        <w:t>ssions dans la communauté, ils</w:t>
      </w:r>
      <w:r w:rsidR="00DB2EA2" w:rsidRPr="004A3B54">
        <w:t xml:space="preserve"> perdent leurs droits sur ces terres déjà moins convoitées</w:t>
      </w:r>
      <w:r w:rsidR="005E1F0B">
        <w:t>,</w:t>
      </w:r>
      <w:r w:rsidR="00DB2EA2" w:rsidRPr="004A3B54">
        <w:t xml:space="preserve"> ce qui les expose à des violences et </w:t>
      </w:r>
      <w:r w:rsidR="00F554DC">
        <w:t>entrave</w:t>
      </w:r>
      <w:r w:rsidR="00DB2EA2" w:rsidRPr="004A3B54">
        <w:t xml:space="preserve"> leur droit à l’alimentation</w:t>
      </w:r>
      <w:r w:rsidR="00554EA8">
        <w:t>,</w:t>
      </w:r>
      <w:r w:rsidR="00DB2EA2" w:rsidRPr="004A3B54">
        <w:t xml:space="preserve"> car leurs pro</w:t>
      </w:r>
      <w:r w:rsidR="00DB2EA2">
        <w:t xml:space="preserve">ductions sont </w:t>
      </w:r>
      <w:r w:rsidR="00F554DC">
        <w:t>touchées</w:t>
      </w:r>
      <w:r w:rsidR="00DB2EA2">
        <w:t>. Le Rapporteur spécial est également préoccupé par</w:t>
      </w:r>
      <w:r w:rsidR="00DB2EA2" w:rsidRPr="004A3B54">
        <w:t xml:space="preserve"> la pr</w:t>
      </w:r>
      <w:r w:rsidR="00FE10A5">
        <w:t xml:space="preserve">otection des </w:t>
      </w:r>
      <w:r w:rsidR="00306AC7">
        <w:t xml:space="preserve">biens </w:t>
      </w:r>
      <w:r w:rsidR="00FE10A5">
        <w:t xml:space="preserve">fonciers </w:t>
      </w:r>
      <w:r w:rsidR="00DB2EA2">
        <w:t>des femmes</w:t>
      </w:r>
      <w:r w:rsidR="004C1BE4">
        <w:t>,</w:t>
      </w:r>
      <w:r w:rsidR="00DB2EA2">
        <w:t xml:space="preserve"> </w:t>
      </w:r>
      <w:r w:rsidR="00DB2EA2" w:rsidRPr="004A3B54">
        <w:t xml:space="preserve">une fois qu’elles </w:t>
      </w:r>
      <w:r w:rsidR="00D2560B">
        <w:t>reviennent</w:t>
      </w:r>
      <w:r w:rsidR="00DB2EA2" w:rsidRPr="004A3B54">
        <w:t xml:space="preserve"> sur leurs terres d’origine.</w:t>
      </w:r>
    </w:p>
    <w:p w14:paraId="132C2BBB" w14:textId="759E9C2E" w:rsidR="00DB2EA2" w:rsidRPr="00FE10A5" w:rsidRDefault="00FE10A5" w:rsidP="009A4C26">
      <w:pPr>
        <w:pStyle w:val="HChG"/>
        <w:rPr>
          <w:lang w:val="fr-FR"/>
        </w:rPr>
      </w:pPr>
      <w:r>
        <w:rPr>
          <w:lang w:val="fr-FR"/>
        </w:rPr>
        <w:tab/>
      </w:r>
      <w:r w:rsidR="00DB2EA2" w:rsidRPr="00FE10A5">
        <w:rPr>
          <w:lang w:val="fr-FR"/>
        </w:rPr>
        <w:t>IV.</w:t>
      </w:r>
      <w:r w:rsidRPr="00FE10A5">
        <w:rPr>
          <w:lang w:val="fr-FR"/>
        </w:rPr>
        <w:tab/>
      </w:r>
      <w:r w:rsidR="004C1BE4">
        <w:rPr>
          <w:lang w:val="fr-FR"/>
        </w:rPr>
        <w:t>A</w:t>
      </w:r>
      <w:r w:rsidR="00DB2EA2" w:rsidRPr="00FE10A5">
        <w:rPr>
          <w:lang w:val="fr-FR"/>
        </w:rPr>
        <w:t>utres parties prenantes</w:t>
      </w:r>
    </w:p>
    <w:p w14:paraId="20965710" w14:textId="1EAFF10F" w:rsidR="00DB2EA2" w:rsidRPr="00D63B29" w:rsidRDefault="00FE10A5" w:rsidP="00DB2EA2">
      <w:pPr>
        <w:pStyle w:val="SingleTxtG"/>
        <w:spacing w:after="0"/>
      </w:pPr>
      <w:r>
        <w:t>78</w:t>
      </w:r>
      <w:r w:rsidR="00A02BBF">
        <w:t>.</w:t>
      </w:r>
      <w:r>
        <w:tab/>
      </w:r>
      <w:r w:rsidR="006F2290">
        <w:t>Les autres parties prenantes comprennent</w:t>
      </w:r>
      <w:r w:rsidR="00DB2EA2" w:rsidRPr="00D63B29">
        <w:t xml:space="preserve"> notamment </w:t>
      </w:r>
      <w:r w:rsidR="00DB2EA2" w:rsidRPr="00C36219">
        <w:t xml:space="preserve">la Commission </w:t>
      </w:r>
      <w:r w:rsidR="00DD6110">
        <w:t>n</w:t>
      </w:r>
      <w:r w:rsidR="00DB2EA2" w:rsidRPr="00C36219">
        <w:t xml:space="preserve">ationale </w:t>
      </w:r>
      <w:r w:rsidR="00DD6110">
        <w:t>i</w:t>
      </w:r>
      <w:r w:rsidR="00DB2EA2" w:rsidRPr="00C36219">
        <w:t xml:space="preserve">ndépendante </w:t>
      </w:r>
      <w:r w:rsidR="00DD6110">
        <w:t>des droits de l’homme</w:t>
      </w:r>
      <w:r w:rsidR="00DB2EA2">
        <w:t xml:space="preserve"> </w:t>
      </w:r>
      <w:r w:rsidR="00DB2EA2" w:rsidRPr="00D63B29">
        <w:t>et des organisations de la société civil</w:t>
      </w:r>
      <w:r w:rsidR="00DB2EA2">
        <w:t xml:space="preserve">e. En effet, la </w:t>
      </w:r>
      <w:r w:rsidR="00DD6110">
        <w:t>r</w:t>
      </w:r>
      <w:r w:rsidR="00DB2EA2">
        <w:t>ésolution 48/16</w:t>
      </w:r>
      <w:r w:rsidR="00214088">
        <w:t xml:space="preserve"> du Conseil des droits de l’homme</w:t>
      </w:r>
      <w:r w:rsidR="00DB2EA2">
        <w:t xml:space="preserve"> </w:t>
      </w:r>
      <w:r w:rsidR="00203BC4">
        <w:t>recommande au</w:t>
      </w:r>
      <w:r w:rsidR="00904020">
        <w:t xml:space="preserve"> Rapporteur spécial</w:t>
      </w:r>
      <w:r w:rsidR="00214088">
        <w:t>, en son paragraphe 20,</w:t>
      </w:r>
      <w:r w:rsidR="00904020">
        <w:t xml:space="preserve"> d’</w:t>
      </w:r>
      <w:r w:rsidR="00D272FE">
        <w:t>offrir</w:t>
      </w:r>
      <w:r w:rsidR="00DB2EA2">
        <w:t xml:space="preserve"> conseils et assistance à la société civile et à la Commission nationale indépendante des droits de l’homme.</w:t>
      </w:r>
    </w:p>
    <w:p w14:paraId="2D890A49" w14:textId="75456D3B" w:rsidR="00DB2EA2" w:rsidRPr="00FE10A5" w:rsidRDefault="00FE10A5" w:rsidP="00FE10A5">
      <w:pPr>
        <w:pStyle w:val="H1G"/>
        <w:rPr>
          <w:lang w:val="fr-FR"/>
        </w:rPr>
      </w:pPr>
      <w:r>
        <w:rPr>
          <w:lang w:val="fr-FR"/>
        </w:rPr>
        <w:tab/>
      </w:r>
      <w:r w:rsidRPr="00FE10A5">
        <w:rPr>
          <w:lang w:val="fr-FR"/>
        </w:rPr>
        <w:t>A</w:t>
      </w:r>
      <w:r w:rsidR="00DB2EA2" w:rsidRPr="00FE10A5">
        <w:rPr>
          <w:lang w:val="fr-FR"/>
        </w:rPr>
        <w:t>.</w:t>
      </w:r>
      <w:r w:rsidRPr="00FE10A5">
        <w:rPr>
          <w:lang w:val="fr-FR"/>
        </w:rPr>
        <w:tab/>
      </w:r>
      <w:r w:rsidR="00DB2EA2" w:rsidRPr="00FE10A5">
        <w:rPr>
          <w:lang w:val="fr-FR"/>
        </w:rPr>
        <w:t xml:space="preserve">Commission </w:t>
      </w:r>
      <w:r w:rsidR="00566F7F">
        <w:rPr>
          <w:lang w:val="fr-FR"/>
        </w:rPr>
        <w:t>n</w:t>
      </w:r>
      <w:r w:rsidR="00DB2EA2" w:rsidRPr="00FE10A5">
        <w:rPr>
          <w:lang w:val="fr-FR"/>
        </w:rPr>
        <w:t xml:space="preserve">ationale </w:t>
      </w:r>
      <w:r w:rsidR="00904D26">
        <w:rPr>
          <w:lang w:val="fr-FR"/>
        </w:rPr>
        <w:t>i</w:t>
      </w:r>
      <w:r w:rsidR="00DB2EA2" w:rsidRPr="00FE10A5">
        <w:rPr>
          <w:lang w:val="fr-FR"/>
        </w:rPr>
        <w:t xml:space="preserve">ndépendante des </w:t>
      </w:r>
      <w:r w:rsidR="00904D26">
        <w:rPr>
          <w:lang w:val="fr-FR"/>
        </w:rPr>
        <w:t>d</w:t>
      </w:r>
      <w:r w:rsidR="00DB2EA2" w:rsidRPr="00FE10A5">
        <w:rPr>
          <w:lang w:val="fr-FR"/>
        </w:rPr>
        <w:t>roits de l’</w:t>
      </w:r>
      <w:r w:rsidR="00904D26">
        <w:rPr>
          <w:lang w:val="fr-FR"/>
        </w:rPr>
        <w:t>h</w:t>
      </w:r>
      <w:r w:rsidR="00DB2EA2" w:rsidRPr="00FE10A5">
        <w:rPr>
          <w:lang w:val="fr-FR"/>
        </w:rPr>
        <w:t>omme</w:t>
      </w:r>
    </w:p>
    <w:p w14:paraId="7D5C59FF" w14:textId="4DCF8EB1" w:rsidR="00DB2EA2" w:rsidRDefault="00A1453B" w:rsidP="00DB2EA2">
      <w:pPr>
        <w:pStyle w:val="SingleTxtG"/>
      </w:pPr>
      <w:r>
        <w:t>79</w:t>
      </w:r>
      <w:r w:rsidR="00DB2EA2">
        <w:t>.</w:t>
      </w:r>
      <w:r>
        <w:tab/>
      </w:r>
      <w:r w:rsidR="00DB2EA2" w:rsidRPr="00C36219">
        <w:t xml:space="preserve">Le Rapporteur spécial salue la </w:t>
      </w:r>
      <w:proofErr w:type="spellStart"/>
      <w:r w:rsidR="00DB2EA2" w:rsidRPr="00C36219">
        <w:t>réaccréditation</w:t>
      </w:r>
      <w:proofErr w:type="spellEnd"/>
      <w:r w:rsidR="00DB2EA2" w:rsidRPr="00C36219">
        <w:t xml:space="preserve"> au </w:t>
      </w:r>
      <w:r w:rsidR="0065276A">
        <w:t>s</w:t>
      </w:r>
      <w:r w:rsidR="00DB2EA2" w:rsidRPr="00C36219">
        <w:t>tatut A</w:t>
      </w:r>
      <w:r w:rsidR="0065276A">
        <w:t>,</w:t>
      </w:r>
      <w:r w:rsidR="00DB2EA2" w:rsidRPr="00C36219">
        <w:t xml:space="preserve"> par l’Alliance </w:t>
      </w:r>
      <w:r w:rsidR="0065276A">
        <w:t>mondiale</w:t>
      </w:r>
      <w:r w:rsidR="00DB2EA2" w:rsidRPr="00C36219">
        <w:t xml:space="preserve"> des </w:t>
      </w:r>
      <w:r w:rsidR="00D06946">
        <w:t>i</w:t>
      </w:r>
      <w:r w:rsidR="00DB2EA2" w:rsidRPr="00C36219">
        <w:t xml:space="preserve">nstitutions </w:t>
      </w:r>
      <w:r w:rsidR="00D06946">
        <w:t>n</w:t>
      </w:r>
      <w:r w:rsidR="00DB2EA2" w:rsidRPr="00C36219">
        <w:t xml:space="preserve">ationales des </w:t>
      </w:r>
      <w:r w:rsidR="00D06946">
        <w:t>d</w:t>
      </w:r>
      <w:r w:rsidR="00DB2EA2" w:rsidRPr="00C36219">
        <w:t>roits de l’</w:t>
      </w:r>
      <w:r w:rsidR="00D06946">
        <w:t>h</w:t>
      </w:r>
      <w:r w:rsidR="00DB2EA2" w:rsidRPr="00C36219">
        <w:t>omme</w:t>
      </w:r>
      <w:r w:rsidR="00D06946">
        <w:t>,</w:t>
      </w:r>
      <w:r w:rsidR="00DB2EA2" w:rsidRPr="00C36219">
        <w:t xml:space="preserve"> de la Commission </w:t>
      </w:r>
      <w:r w:rsidR="00D06946">
        <w:t>n</w:t>
      </w:r>
      <w:r w:rsidR="00DB2EA2" w:rsidRPr="00C36219">
        <w:t xml:space="preserve">ationale </w:t>
      </w:r>
      <w:r w:rsidR="00D06946">
        <w:t>i</w:t>
      </w:r>
      <w:r w:rsidR="00DB2EA2" w:rsidRPr="00C36219">
        <w:t xml:space="preserve">ndépendante </w:t>
      </w:r>
      <w:r w:rsidR="00D06946">
        <w:t xml:space="preserve">des droits de l’homme </w:t>
      </w:r>
      <w:r w:rsidR="00DB2EA2" w:rsidRPr="00C36219">
        <w:t>du Burundi</w:t>
      </w:r>
      <w:r w:rsidR="00D06946">
        <w:t>,</w:t>
      </w:r>
      <w:r w:rsidR="00DB2EA2" w:rsidRPr="00C36219">
        <w:t xml:space="preserve"> qui jouit d’un mandat large s’articul</w:t>
      </w:r>
      <w:r w:rsidR="00D06946">
        <w:t>ant</w:t>
      </w:r>
      <w:r w:rsidR="00DB2EA2" w:rsidRPr="00C36219">
        <w:t xml:space="preserve"> autour de plusieurs missions</w:t>
      </w:r>
      <w:r w:rsidR="00DB2EA2" w:rsidRPr="006C10E2">
        <w:rPr>
          <w:rStyle w:val="EndnoteReference"/>
          <w:rFonts w:eastAsia="MS Mincho"/>
        </w:rPr>
        <w:footnoteReference w:id="65"/>
      </w:r>
      <w:r w:rsidR="00DB2EA2" w:rsidRPr="00C36219">
        <w:t>. Tout</w:t>
      </w:r>
      <w:r w:rsidR="00DB2EA2">
        <w:t xml:space="preserve"> en notant que cette dernière jouit</w:t>
      </w:r>
      <w:r w:rsidR="00DB2EA2" w:rsidRPr="00D95E89">
        <w:t xml:space="preserve"> d</w:t>
      </w:r>
      <w:r w:rsidR="00F11D0A">
        <w:t>’</w:t>
      </w:r>
      <w:r w:rsidR="00DB2EA2" w:rsidRPr="00D95E89">
        <w:t>une légitimité publique tirée d’actions qui démontrent sa capacité à défendre</w:t>
      </w:r>
      <w:r w:rsidR="00DB2EA2">
        <w:t xml:space="preserve"> le</w:t>
      </w:r>
      <w:r w:rsidR="00F16E22">
        <w:t>s</w:t>
      </w:r>
      <w:r w:rsidR="00DB2EA2">
        <w:t xml:space="preserve"> droit</w:t>
      </w:r>
      <w:r w:rsidR="00F16E22">
        <w:t>s</w:t>
      </w:r>
      <w:r w:rsidR="00DB2EA2">
        <w:t xml:space="preserve"> de groupes vulnérables</w:t>
      </w:r>
      <w:r w:rsidR="00DB2EA2" w:rsidRPr="00D95E89">
        <w:t xml:space="preserve"> ou à traiter des causes profondes ou structurelles qui freinent le développement d’une véritable culture de</w:t>
      </w:r>
      <w:r w:rsidR="00DB2EA2">
        <w:t>s droits de l’homme au Burundi</w:t>
      </w:r>
      <w:r w:rsidR="00203BC4">
        <w:t xml:space="preserve">, le Rapporteur spécial </w:t>
      </w:r>
      <w:r w:rsidR="00DB2EA2">
        <w:t>souligne la nécessité de conduire systématiquement des enquêtes crédibles</w:t>
      </w:r>
      <w:r w:rsidR="000D7672">
        <w:t>,</w:t>
      </w:r>
      <w:r w:rsidR="00DB2EA2">
        <w:t xml:space="preserve"> notamment dans le cadre de</w:t>
      </w:r>
      <w:r w:rsidR="00203BC4">
        <w:t>s</w:t>
      </w:r>
      <w:r w:rsidR="00DB2EA2">
        <w:t xml:space="preserve"> disparitions forcées</w:t>
      </w:r>
      <w:r w:rsidR="00904020">
        <w:t>,</w:t>
      </w:r>
      <w:r w:rsidR="00DB2EA2">
        <w:t xml:space="preserve"> et de garantir son indépenda</w:t>
      </w:r>
      <w:r w:rsidR="00D272FE">
        <w:t xml:space="preserve">nce formelle et matérielle dans </w:t>
      </w:r>
      <w:r w:rsidR="00DB2EA2">
        <w:t>l’accomplissement de son mandat.</w:t>
      </w:r>
    </w:p>
    <w:p w14:paraId="5AF596C7" w14:textId="6C99E183" w:rsidR="00DB2EA2" w:rsidRDefault="00A1453B" w:rsidP="00DB2EA2">
      <w:pPr>
        <w:pStyle w:val="SingleTxtG"/>
      </w:pPr>
      <w:r>
        <w:t>80</w:t>
      </w:r>
      <w:r w:rsidR="00DB2EA2">
        <w:t>.</w:t>
      </w:r>
      <w:r>
        <w:tab/>
      </w:r>
      <w:r w:rsidR="00DB2EA2">
        <w:t xml:space="preserve">Le Rapporteur spécial encourage la </w:t>
      </w:r>
      <w:r w:rsidR="000D7672">
        <w:t>Commission</w:t>
      </w:r>
      <w:r w:rsidR="00DB2EA2">
        <w:t xml:space="preserve"> à poursuivre ses efforts de plaidoyer en vue de la mise sur pied d’un </w:t>
      </w:r>
      <w:r w:rsidR="00CC02D7">
        <w:t>m</w:t>
      </w:r>
      <w:r w:rsidR="00DB2EA2">
        <w:t xml:space="preserve">écanisme </w:t>
      </w:r>
      <w:r w:rsidR="00CC02D7">
        <w:t>n</w:t>
      </w:r>
      <w:r w:rsidR="00DB2EA2">
        <w:t xml:space="preserve">ational de </w:t>
      </w:r>
      <w:r w:rsidR="00CC02D7">
        <w:t>p</w:t>
      </w:r>
      <w:r w:rsidR="00DB2EA2">
        <w:t>révention de la torture</w:t>
      </w:r>
      <w:r w:rsidR="00FB45D9">
        <w:t xml:space="preserve"> et</w:t>
      </w:r>
      <w:r w:rsidR="006B2AA9">
        <w:t xml:space="preserve"> d’un mécanisme de recueil des plaintes fiable</w:t>
      </w:r>
      <w:r w:rsidR="00FB45D9">
        <w:t>,</w:t>
      </w:r>
      <w:r w:rsidR="00DB2EA2">
        <w:t xml:space="preserve"> et </w:t>
      </w:r>
      <w:r w:rsidR="00FB45D9">
        <w:t xml:space="preserve">en vue </w:t>
      </w:r>
      <w:r w:rsidR="00CC02D7">
        <w:t xml:space="preserve">de </w:t>
      </w:r>
      <w:r w:rsidR="00DB2EA2">
        <w:t xml:space="preserve">l’adoption d’une loi sur les </w:t>
      </w:r>
      <w:r w:rsidR="00CC02D7">
        <w:t xml:space="preserve">défenseuses et </w:t>
      </w:r>
      <w:r w:rsidR="00DB2EA2">
        <w:t xml:space="preserve">défenseurs des droits de l’homme. Il encourage </w:t>
      </w:r>
      <w:r w:rsidR="00CC02D7">
        <w:t xml:space="preserve">également </w:t>
      </w:r>
      <w:r w:rsidR="00DB2EA2">
        <w:t xml:space="preserve">l’établissement de groupes de travail </w:t>
      </w:r>
      <w:r w:rsidR="00203BC4">
        <w:t xml:space="preserve">thématiques </w:t>
      </w:r>
      <w:r w:rsidR="00DB2EA2">
        <w:t xml:space="preserve">au sein de la </w:t>
      </w:r>
      <w:r w:rsidR="00CC02D7">
        <w:t>Commission,</w:t>
      </w:r>
      <w:r w:rsidR="00DB2EA2">
        <w:t xml:space="preserve"> afin d’</w:t>
      </w:r>
      <w:r w:rsidR="00FF22C7">
        <w:t>accroître la</w:t>
      </w:r>
      <w:r w:rsidR="00DB2EA2">
        <w:t xml:space="preserve"> cohérence et </w:t>
      </w:r>
      <w:r w:rsidR="00FF22C7">
        <w:t xml:space="preserve">la </w:t>
      </w:r>
      <w:r w:rsidR="00DB2EA2">
        <w:t>lisibilité de</w:t>
      </w:r>
      <w:r w:rsidR="00203BC4">
        <w:t xml:space="preserve"> se</w:t>
      </w:r>
      <w:r w:rsidR="00DB2EA2">
        <w:t>s interventions sur le terrain.</w:t>
      </w:r>
    </w:p>
    <w:p w14:paraId="1AA635F9" w14:textId="666D6083" w:rsidR="00DB2EA2" w:rsidRPr="00A1453B" w:rsidRDefault="00DB2EA2" w:rsidP="00A1453B">
      <w:pPr>
        <w:pStyle w:val="H1G"/>
        <w:rPr>
          <w:lang w:val="fr-FR"/>
        </w:rPr>
      </w:pPr>
      <w:r w:rsidRPr="00660A1D">
        <w:rPr>
          <w:lang w:val="fr-FR"/>
        </w:rPr>
        <w:tab/>
      </w:r>
      <w:r w:rsidR="00A1453B" w:rsidRPr="00A1453B">
        <w:rPr>
          <w:lang w:val="fr-FR"/>
        </w:rPr>
        <w:t>B</w:t>
      </w:r>
      <w:r w:rsidRPr="00A1453B">
        <w:rPr>
          <w:lang w:val="fr-FR"/>
        </w:rPr>
        <w:t>.</w:t>
      </w:r>
      <w:r w:rsidR="00A1453B" w:rsidRPr="00A1453B">
        <w:rPr>
          <w:lang w:val="fr-FR"/>
        </w:rPr>
        <w:tab/>
      </w:r>
      <w:r w:rsidR="00FF22C7">
        <w:rPr>
          <w:lang w:val="fr-FR"/>
        </w:rPr>
        <w:t>O</w:t>
      </w:r>
      <w:r w:rsidRPr="00A1453B">
        <w:rPr>
          <w:lang w:val="fr-FR"/>
        </w:rPr>
        <w:t>rganisations de la société civile</w:t>
      </w:r>
    </w:p>
    <w:p w14:paraId="75715796" w14:textId="26AE5953" w:rsidR="00DB2EA2" w:rsidRDefault="00A02BBF" w:rsidP="00DB2EA2">
      <w:pPr>
        <w:pStyle w:val="SingleTxtG"/>
      </w:pPr>
      <w:r>
        <w:t>8</w:t>
      </w:r>
      <w:r w:rsidR="00A1453B">
        <w:t>1</w:t>
      </w:r>
      <w:r w:rsidR="00DB2EA2">
        <w:t>.</w:t>
      </w:r>
      <w:r w:rsidR="00A1453B">
        <w:tab/>
      </w:r>
      <w:r w:rsidR="00DB2EA2" w:rsidRPr="00C36219">
        <w:t xml:space="preserve">Le </w:t>
      </w:r>
      <w:r w:rsidR="00DB2EA2">
        <w:t>R</w:t>
      </w:r>
      <w:r w:rsidR="00DB2EA2" w:rsidRPr="00C36219">
        <w:t>apporteur spécial est préoccupé par la</w:t>
      </w:r>
      <w:r w:rsidR="00DB2EA2">
        <w:t xml:space="preserve"> distinction faite </w:t>
      </w:r>
      <w:r w:rsidR="007552B8">
        <w:t>parmi</w:t>
      </w:r>
      <w:r w:rsidR="00DB2EA2">
        <w:t xml:space="preserve"> les réfugiés, </w:t>
      </w:r>
      <w:r w:rsidR="007552B8">
        <w:t xml:space="preserve">entre </w:t>
      </w:r>
      <w:r w:rsidR="00DB2EA2">
        <w:t>les exilés politiques</w:t>
      </w:r>
      <w:r w:rsidR="0071730A">
        <w:t>,</w:t>
      </w:r>
      <w:r w:rsidR="00DB2EA2">
        <w:t xml:space="preserve"> militants de la société civile qui auraient participé aux manifestations de 2015</w:t>
      </w:r>
      <w:r w:rsidR="00DC4A88">
        <w:t>,</w:t>
      </w:r>
      <w:r w:rsidR="00DB2EA2">
        <w:t xml:space="preserve"> et </w:t>
      </w:r>
      <w:r w:rsidR="00AC069F">
        <w:t>les</w:t>
      </w:r>
      <w:r w:rsidR="00DB2EA2">
        <w:t xml:space="preserve"> autres réfugiés qui ont quitté le pays du fait de la crise. Le Rapporteur spécial </w:t>
      </w:r>
      <w:r w:rsidR="00203BC4">
        <w:t xml:space="preserve">est d’avis </w:t>
      </w:r>
      <w:r w:rsidR="00DB2EA2">
        <w:t>que cette distinction est de nature à restreindre l’espace démocratique</w:t>
      </w:r>
      <w:r w:rsidR="00DB2EA2" w:rsidRPr="006C10E2">
        <w:rPr>
          <w:rStyle w:val="EndnoteReference"/>
          <w:rFonts w:eastAsia="MS Mincho"/>
        </w:rPr>
        <w:footnoteReference w:id="66"/>
      </w:r>
      <w:r w:rsidR="00203BC4">
        <w:t>.</w:t>
      </w:r>
      <w:r w:rsidR="00DB2EA2">
        <w:t xml:space="preserve"> </w:t>
      </w:r>
    </w:p>
    <w:p w14:paraId="183A164C" w14:textId="737B3360" w:rsidR="00DB2EA2" w:rsidRDefault="00A02BBF" w:rsidP="00DB2EA2">
      <w:pPr>
        <w:pStyle w:val="SingleTxtG"/>
      </w:pPr>
      <w:r>
        <w:t>8</w:t>
      </w:r>
      <w:r w:rsidR="00A1453B">
        <w:t>2</w:t>
      </w:r>
      <w:r w:rsidR="00DB2EA2">
        <w:t>.</w:t>
      </w:r>
      <w:r w:rsidR="00A1453B">
        <w:tab/>
      </w:r>
      <w:r w:rsidR="00DB2EA2">
        <w:t>L</w:t>
      </w:r>
      <w:r w:rsidR="00660A1D">
        <w:t>’article 49 de la Constitution du Burundi dispose qu’aucun citoyen ne peut être contraint à l’exil. L</w:t>
      </w:r>
      <w:r w:rsidR="00DB2EA2">
        <w:t>e Rapp</w:t>
      </w:r>
      <w:r w:rsidR="00660A1D">
        <w:t>orteur spécial déplore</w:t>
      </w:r>
      <w:r w:rsidR="00DB2EA2">
        <w:t xml:space="preserve"> la</w:t>
      </w:r>
      <w:r w:rsidR="00DB2EA2" w:rsidRPr="00C36219">
        <w:t xml:space="preserve"> situation de plusieurs </w:t>
      </w:r>
      <w:r w:rsidR="00026BA5">
        <w:t xml:space="preserve">défenseuses et </w:t>
      </w:r>
      <w:r w:rsidR="00DB2EA2" w:rsidRPr="00C36219">
        <w:t xml:space="preserve">défenseurs des droits de l’homme contraints de vivre en exil </w:t>
      </w:r>
      <w:r w:rsidR="00660A1D">
        <w:t>ainsi que</w:t>
      </w:r>
      <w:r w:rsidR="00DB2EA2" w:rsidRPr="00C36219">
        <w:t xml:space="preserve"> la précarité dans laquelle </w:t>
      </w:r>
      <w:r w:rsidR="004157F8">
        <w:t>certains</w:t>
      </w:r>
      <w:r w:rsidR="00DB2EA2" w:rsidRPr="00C36219">
        <w:t xml:space="preserve"> d’entre eux</w:t>
      </w:r>
      <w:r w:rsidR="00026BA5">
        <w:t>,</w:t>
      </w:r>
      <w:r w:rsidR="00DB2EA2" w:rsidRPr="00C36219">
        <w:t xml:space="preserve"> y compris </w:t>
      </w:r>
      <w:r w:rsidR="00026BA5">
        <w:t>des</w:t>
      </w:r>
      <w:r w:rsidR="00DB2EA2" w:rsidRPr="00C36219">
        <w:t xml:space="preserve"> femmes</w:t>
      </w:r>
      <w:r w:rsidR="00026BA5">
        <w:t>,</w:t>
      </w:r>
      <w:r w:rsidR="00DB2EA2" w:rsidRPr="00C36219">
        <w:t xml:space="preserve"> vivent</w:t>
      </w:r>
      <w:r w:rsidR="00DB2EA2" w:rsidRPr="00C36219">
        <w:rPr>
          <w:rStyle w:val="FootnoteReference"/>
          <w:color w:val="000000" w:themeColor="text1"/>
        </w:rPr>
        <w:footnoteReference w:id="67"/>
      </w:r>
      <w:r w:rsidR="00DB2EA2" w:rsidRPr="00C36219">
        <w:t xml:space="preserve">. Il souligne la polarisation </w:t>
      </w:r>
      <w:r w:rsidR="00BB5AF6">
        <w:t>qui existe parmi les</w:t>
      </w:r>
      <w:r w:rsidR="00DB2EA2" w:rsidRPr="00C36219">
        <w:t xml:space="preserve"> organisations</w:t>
      </w:r>
      <w:r w:rsidR="00DB2EA2">
        <w:t xml:space="preserve"> de la société civile</w:t>
      </w:r>
      <w:r w:rsidR="00553CFC">
        <w:t>,</w:t>
      </w:r>
      <w:r w:rsidR="00DB2EA2" w:rsidRPr="00C36219">
        <w:t xml:space="preserve"> </w:t>
      </w:r>
      <w:r w:rsidR="00553CFC">
        <w:t>entre</w:t>
      </w:r>
      <w:r w:rsidR="00DB2EA2" w:rsidRPr="00C36219">
        <w:t xml:space="preserve"> organisations progouvernementales et organisations opposées au troisième mandat de l’ancien </w:t>
      </w:r>
      <w:r w:rsidR="00553CFC">
        <w:t>P</w:t>
      </w:r>
      <w:r w:rsidR="00DB2EA2" w:rsidRPr="00C36219">
        <w:t xml:space="preserve">résident </w:t>
      </w:r>
      <w:proofErr w:type="spellStart"/>
      <w:r w:rsidR="00DB2EA2" w:rsidRPr="00C36219">
        <w:t>Nkurunziza</w:t>
      </w:r>
      <w:proofErr w:type="spellEnd"/>
      <w:r w:rsidR="00DB2EA2" w:rsidRPr="00C36219">
        <w:t xml:space="preserve">. </w:t>
      </w:r>
    </w:p>
    <w:p w14:paraId="07761E61" w14:textId="293AF976" w:rsidR="00DB2EA2" w:rsidRDefault="00A02BBF" w:rsidP="00DB2EA2">
      <w:pPr>
        <w:pStyle w:val="SingleTxtG"/>
      </w:pPr>
      <w:r>
        <w:t>8</w:t>
      </w:r>
      <w:r w:rsidR="00A1453B">
        <w:t>3</w:t>
      </w:r>
      <w:r w:rsidR="00DB2EA2">
        <w:t>.</w:t>
      </w:r>
      <w:r w:rsidR="00A1453B">
        <w:tab/>
      </w:r>
      <w:r w:rsidR="002D6BCB">
        <w:t>Le Rapporteur spécial note que les organisations des droits de l’homme travaillent dans un climat de crainte de représailles</w:t>
      </w:r>
      <w:r w:rsidR="00DB2EA2" w:rsidRPr="00C36219">
        <w:t>. Malgré l’invitation au retour</w:t>
      </w:r>
      <w:r w:rsidR="00883E6B">
        <w:t xml:space="preserve"> au pays</w:t>
      </w:r>
      <w:r w:rsidR="00DB2EA2" w:rsidRPr="00C36219">
        <w:t xml:space="preserve"> de l’ensemble des Burundais </w:t>
      </w:r>
      <w:r w:rsidR="00DB2EA2">
        <w:t xml:space="preserve">en exil, </w:t>
      </w:r>
      <w:r w:rsidR="00DB2EA2" w:rsidRPr="00C36219">
        <w:t xml:space="preserve">pour l’instant, aucune de ces organisations n’a fait </w:t>
      </w:r>
      <w:r w:rsidR="00437BB4">
        <w:t>de</w:t>
      </w:r>
      <w:r w:rsidR="00DB2EA2" w:rsidRPr="00C36219">
        <w:t xml:space="preserve"> demande</w:t>
      </w:r>
      <w:r w:rsidR="00765A06">
        <w:t xml:space="preserve"> à cet </w:t>
      </w:r>
      <w:r w:rsidR="00765A06">
        <w:lastRenderedPageBreak/>
        <w:t>égard,</w:t>
      </w:r>
      <w:r w:rsidR="00DB2EA2" w:rsidRPr="00C36219">
        <w:t xml:space="preserve"> faute de mesures garantissant leur retour en toute sécurité. La Ligue </w:t>
      </w:r>
      <w:proofErr w:type="spellStart"/>
      <w:r w:rsidR="00DB2EA2" w:rsidRPr="00C36219">
        <w:t>Iteka</w:t>
      </w:r>
      <w:proofErr w:type="spellEnd"/>
      <w:r w:rsidR="00DB2EA2" w:rsidRPr="00C36219">
        <w:t>, officiellement interdite depuis 2017, et d’autres organisations non reconnues officiellement ont continué de surveiller la situation des droits de</w:t>
      </w:r>
      <w:r w:rsidR="001A158E">
        <w:t xml:space="preserve"> </w:t>
      </w:r>
      <w:r w:rsidR="00765A06">
        <w:t>l’homme</w:t>
      </w:r>
      <w:r w:rsidR="001A158E">
        <w:t xml:space="preserve"> depuis l’étranger.</w:t>
      </w:r>
      <w:r w:rsidR="00986EAD">
        <w:t xml:space="preserve"> Le Rapporteur spécial rappelle que</w:t>
      </w:r>
      <w:r w:rsidR="00B6136D">
        <w:t>,</w:t>
      </w:r>
      <w:r w:rsidR="00986EAD">
        <w:t xml:space="preserve"> </w:t>
      </w:r>
      <w:r w:rsidR="00B6136D">
        <w:t>le</w:t>
      </w:r>
      <w:r w:rsidR="00986EAD" w:rsidRPr="00986EAD">
        <w:t xml:space="preserve"> 2 février 2021, la Cour suprême a rendu </w:t>
      </w:r>
      <w:r w:rsidR="00B6136D">
        <w:t>public</w:t>
      </w:r>
      <w:r w:rsidR="00986EAD" w:rsidRPr="00986EAD">
        <w:t xml:space="preserve"> un verdict </w:t>
      </w:r>
      <w:r w:rsidR="00B6136D">
        <w:t xml:space="preserve">daté </w:t>
      </w:r>
      <w:r w:rsidR="00986EAD" w:rsidRPr="00986EAD">
        <w:t>du 23</w:t>
      </w:r>
      <w:r w:rsidR="00BA6AD6">
        <w:t> </w:t>
      </w:r>
      <w:r w:rsidR="00986EAD" w:rsidRPr="00986EAD">
        <w:t>juin 2020 qui a</w:t>
      </w:r>
      <w:r w:rsidR="00B6136D">
        <w:t>vait</w:t>
      </w:r>
      <w:r w:rsidR="00986EAD" w:rsidRPr="00986EAD">
        <w:t xml:space="preserve"> déclaré 12 journalistes et défenseurs des droits de l’homme coupables d’atteinte à l’autorité de l’</w:t>
      </w:r>
      <w:r w:rsidR="00B6136D">
        <w:t>É</w:t>
      </w:r>
      <w:r w:rsidR="00986EAD" w:rsidRPr="00986EAD">
        <w:t xml:space="preserve">tat, </w:t>
      </w:r>
      <w:r w:rsidR="00B6136D">
        <w:t>d’</w:t>
      </w:r>
      <w:r w:rsidR="00986EAD" w:rsidRPr="00986EAD">
        <w:t>assassinat</w:t>
      </w:r>
      <w:r w:rsidR="00D04385">
        <w:t xml:space="preserve"> et</w:t>
      </w:r>
      <w:r w:rsidR="00986EAD" w:rsidRPr="00986EAD">
        <w:t xml:space="preserve"> </w:t>
      </w:r>
      <w:r w:rsidR="00D04385">
        <w:t>de</w:t>
      </w:r>
      <w:r w:rsidR="00986EAD" w:rsidRPr="00986EAD">
        <w:t xml:space="preserve"> destruction dans le contexte de la tentative de coup d’</w:t>
      </w:r>
      <w:r w:rsidR="00D04385">
        <w:t>É</w:t>
      </w:r>
      <w:r w:rsidR="00986EAD" w:rsidRPr="00986EAD">
        <w:t>tat du 13 mai 2015</w:t>
      </w:r>
      <w:r w:rsidR="00D04385">
        <w:t>,</w:t>
      </w:r>
      <w:r w:rsidR="00986EAD" w:rsidRPr="00986EAD">
        <w:t xml:space="preserve"> et les a</w:t>
      </w:r>
      <w:r w:rsidR="00D04385">
        <w:t>vait</w:t>
      </w:r>
      <w:r w:rsidR="00986EAD" w:rsidRPr="00986EAD">
        <w:t xml:space="preserve"> condamné</w:t>
      </w:r>
      <w:r w:rsidR="00D04385">
        <w:t>s</w:t>
      </w:r>
      <w:r w:rsidR="00986EAD" w:rsidRPr="00986EAD">
        <w:t xml:space="preserve"> à la prison à perpétuité ainsi qu’</w:t>
      </w:r>
      <w:r w:rsidR="00D04385">
        <w:t>au paiement</w:t>
      </w:r>
      <w:r w:rsidR="00986EAD" w:rsidRPr="00986EAD">
        <w:t xml:space="preserve"> de plus de cinq milliards de francs burundais</w:t>
      </w:r>
      <w:r w:rsidR="00D04385">
        <w:t xml:space="preserve"> de dommages</w:t>
      </w:r>
      <w:r w:rsidR="00986EAD">
        <w:rPr>
          <w:rStyle w:val="FootnoteReference"/>
        </w:rPr>
        <w:footnoteReference w:id="68"/>
      </w:r>
      <w:r w:rsidR="00986EAD" w:rsidRPr="00986EAD">
        <w:t>.</w:t>
      </w:r>
    </w:p>
    <w:p w14:paraId="59782EA0" w14:textId="02D7425D" w:rsidR="00DB2EA2" w:rsidRDefault="00A1453B" w:rsidP="00DB2EA2">
      <w:pPr>
        <w:pStyle w:val="SingleTxtG"/>
      </w:pPr>
      <w:r>
        <w:t>84</w:t>
      </w:r>
      <w:r w:rsidR="00DB2EA2">
        <w:t>.</w:t>
      </w:r>
      <w:r>
        <w:tab/>
      </w:r>
      <w:r w:rsidR="00DB2EA2" w:rsidRPr="00A1453B">
        <w:t xml:space="preserve">Le Rapporteur spécial </w:t>
      </w:r>
      <w:r w:rsidR="003F6F77">
        <w:t>déplore</w:t>
      </w:r>
      <w:r w:rsidR="00B57258">
        <w:t>,</w:t>
      </w:r>
      <w:r w:rsidR="003F6F77">
        <w:t xml:space="preserve"> </w:t>
      </w:r>
      <w:r w:rsidR="00B57258">
        <w:t>tout comme le</w:t>
      </w:r>
      <w:r w:rsidR="003F6F77">
        <w:t xml:space="preserve"> Comité contre la torture</w:t>
      </w:r>
      <w:r w:rsidR="003F6F77">
        <w:rPr>
          <w:rStyle w:val="FootnoteReference"/>
        </w:rPr>
        <w:footnoteReference w:id="69"/>
      </w:r>
      <w:r w:rsidR="002D6BCB">
        <w:t xml:space="preserve">, </w:t>
      </w:r>
      <w:r w:rsidR="003F6F77" w:rsidRPr="003F6F77">
        <w:t xml:space="preserve">le manque d’informations fournies par l’État </w:t>
      </w:r>
      <w:r w:rsidR="00FB00BE">
        <w:t>burundais</w:t>
      </w:r>
      <w:r w:rsidR="003F6F77">
        <w:t xml:space="preserve"> concernant les enquêtes </w:t>
      </w:r>
      <w:r w:rsidR="00CF79E6">
        <w:t xml:space="preserve">entamées depuis la crise de 2015. </w:t>
      </w:r>
      <w:r w:rsidR="008D5361">
        <w:t>Concernant</w:t>
      </w:r>
      <w:r w:rsidR="00DB2EA2" w:rsidRPr="00A1453B">
        <w:t xml:space="preserve"> la tentative d’assassinat, en août 2015, du défenseur des droits de l’homme Pierre-Claver </w:t>
      </w:r>
      <w:proofErr w:type="spellStart"/>
      <w:r w:rsidR="00DB2EA2" w:rsidRPr="00A1453B">
        <w:t>Mbonimpa</w:t>
      </w:r>
      <w:proofErr w:type="spellEnd"/>
      <w:r w:rsidR="00DB2EA2" w:rsidRPr="00A1453B">
        <w:t xml:space="preserve">, et l’assassinat de son fils, </w:t>
      </w:r>
      <w:proofErr w:type="spellStart"/>
      <w:r w:rsidR="00DB2EA2" w:rsidRPr="00A1453B">
        <w:t>Welly</w:t>
      </w:r>
      <w:proofErr w:type="spellEnd"/>
      <w:r w:rsidR="00DB2EA2" w:rsidRPr="00A1453B">
        <w:t xml:space="preserve"> </w:t>
      </w:r>
      <w:proofErr w:type="spellStart"/>
      <w:r w:rsidR="00DB2EA2" w:rsidRPr="00A1453B">
        <w:t>Nzitonda</w:t>
      </w:r>
      <w:proofErr w:type="spellEnd"/>
      <w:r w:rsidR="00DB2EA2" w:rsidRPr="00A1453B">
        <w:t>, en novembre 2015, le Comité a noté que, selon l’État partie, «</w:t>
      </w:r>
      <w:r w:rsidR="008D5361">
        <w:t> </w:t>
      </w:r>
      <w:r w:rsidR="00DB2EA2" w:rsidRPr="00A1453B">
        <w:t>l’absence de collaboration des représentants de la partie civile est un frein à l’aboutissement rapide des procédures</w:t>
      </w:r>
      <w:r w:rsidR="00EA0AE3">
        <w:t> </w:t>
      </w:r>
      <w:r w:rsidR="00DB2EA2" w:rsidRPr="00A1453B">
        <w:t xml:space="preserve">», bien qu’il s’agisse de crimes passibles de poursuites d’office. </w:t>
      </w:r>
      <w:r w:rsidR="003F6F77">
        <w:t>Il en est de même du</w:t>
      </w:r>
      <w:r w:rsidR="00DB2EA2" w:rsidRPr="00A1453B">
        <w:t xml:space="preserve"> meurtre du jour</w:t>
      </w:r>
      <w:r w:rsidR="003F6F77">
        <w:t xml:space="preserve">naliste Jean-Baptiste </w:t>
      </w:r>
      <w:proofErr w:type="spellStart"/>
      <w:r w:rsidR="003F6F77">
        <w:t>Bireha</w:t>
      </w:r>
      <w:proofErr w:type="spellEnd"/>
      <w:r w:rsidR="003F6F77">
        <w:t>, du</w:t>
      </w:r>
      <w:r w:rsidR="00DB2EA2" w:rsidRPr="00A1453B">
        <w:t xml:space="preserve"> meurtre du journaliste Christophe </w:t>
      </w:r>
      <w:proofErr w:type="spellStart"/>
      <w:r w:rsidR="00DB2EA2" w:rsidRPr="00A1453B">
        <w:t>Nkezabahizi</w:t>
      </w:r>
      <w:proofErr w:type="spellEnd"/>
      <w:r w:rsidR="00DB2EA2" w:rsidRPr="00A1453B">
        <w:t xml:space="preserve"> et de membres de sa famille, ainsi que</w:t>
      </w:r>
      <w:r w:rsidR="003F6F77">
        <w:t xml:space="preserve"> de</w:t>
      </w:r>
      <w:r w:rsidR="00DB2EA2" w:rsidRPr="00A1453B">
        <w:t xml:space="preserve"> l’arrestation de Jean </w:t>
      </w:r>
      <w:proofErr w:type="spellStart"/>
      <w:r w:rsidR="00DB2EA2" w:rsidRPr="00A1453B">
        <w:t>Bigiri</w:t>
      </w:r>
      <w:proofErr w:type="spellEnd"/>
      <w:r w:rsidR="00DB2EA2" w:rsidRPr="00A1453B">
        <w:t xml:space="preserve"> le 22</w:t>
      </w:r>
      <w:r w:rsidR="003F6F77">
        <w:t xml:space="preserve"> juillet 2016</w:t>
      </w:r>
      <w:r w:rsidR="00DB2EA2" w:rsidRPr="00A1453B">
        <w:t>.</w:t>
      </w:r>
    </w:p>
    <w:p w14:paraId="6838E22D" w14:textId="510C748F" w:rsidR="00F62CC8" w:rsidRPr="00F62CC8" w:rsidRDefault="00A1453B" w:rsidP="00F62CC8">
      <w:pPr>
        <w:pStyle w:val="SingleTxtG"/>
        <w:rPr>
          <w:rFonts w:eastAsia="MS Mincho"/>
        </w:rPr>
      </w:pPr>
      <w:r>
        <w:rPr>
          <w:rFonts w:eastAsia="MS Mincho"/>
        </w:rPr>
        <w:t>85</w:t>
      </w:r>
      <w:r w:rsidR="00F62CC8" w:rsidRPr="00F62CC8">
        <w:rPr>
          <w:rFonts w:eastAsia="MS Mincho"/>
        </w:rPr>
        <w:t>.</w:t>
      </w:r>
      <w:r>
        <w:rPr>
          <w:rFonts w:eastAsia="MS Mincho"/>
        </w:rPr>
        <w:tab/>
      </w:r>
      <w:r w:rsidR="00F62CC8" w:rsidRPr="00F62CC8">
        <w:rPr>
          <w:rFonts w:eastAsia="MS Mincho"/>
        </w:rPr>
        <w:t xml:space="preserve">Le Rapporteur spécial déplore </w:t>
      </w:r>
      <w:r w:rsidR="00E44386">
        <w:rPr>
          <w:rFonts w:eastAsia="MS Mincho"/>
        </w:rPr>
        <w:t xml:space="preserve">également </w:t>
      </w:r>
      <w:r w:rsidR="00F62CC8" w:rsidRPr="00F62CC8">
        <w:rPr>
          <w:rFonts w:eastAsia="MS Mincho"/>
        </w:rPr>
        <w:t xml:space="preserve">que les lois sur les organisations non gouvernementales étrangères et les lois sur la presse limitent l’espace démocratique et renforcent le contrôle </w:t>
      </w:r>
      <w:r w:rsidR="00A26F65">
        <w:rPr>
          <w:rFonts w:eastAsia="MS Mincho"/>
        </w:rPr>
        <w:t>par le</w:t>
      </w:r>
      <w:r w:rsidR="00F62CC8" w:rsidRPr="00F62CC8">
        <w:rPr>
          <w:rFonts w:eastAsia="MS Mincho"/>
        </w:rPr>
        <w:t xml:space="preserve"> </w:t>
      </w:r>
      <w:r w:rsidR="00E44386">
        <w:rPr>
          <w:rFonts w:eastAsia="MS Mincho"/>
        </w:rPr>
        <w:t>G</w:t>
      </w:r>
      <w:r w:rsidR="00F62CC8" w:rsidRPr="00F62CC8">
        <w:rPr>
          <w:rFonts w:eastAsia="MS Mincho"/>
        </w:rPr>
        <w:t>ouvernement</w:t>
      </w:r>
      <w:r w:rsidR="00F62CC8" w:rsidRPr="00F62CC8">
        <w:rPr>
          <w:rStyle w:val="FootnoteReference"/>
          <w:rFonts w:eastAsia="MS Mincho"/>
        </w:rPr>
        <w:footnoteReference w:id="70"/>
      </w:r>
      <w:r w:rsidR="00F62CC8" w:rsidRPr="00F62CC8">
        <w:rPr>
          <w:rFonts w:eastAsia="MS Mincho"/>
        </w:rPr>
        <w:t>.</w:t>
      </w:r>
      <w:r w:rsidR="002D6BCB" w:rsidRPr="002D6BCB">
        <w:t xml:space="preserve"> </w:t>
      </w:r>
      <w:r w:rsidR="002D6BCB" w:rsidRPr="002D6BCB">
        <w:rPr>
          <w:rFonts w:eastAsia="MS Mincho"/>
        </w:rPr>
        <w:t xml:space="preserve">Il déplore </w:t>
      </w:r>
      <w:r w:rsidR="00A26F65">
        <w:rPr>
          <w:rFonts w:eastAsia="MS Mincho"/>
        </w:rPr>
        <w:t>en outre</w:t>
      </w:r>
      <w:r w:rsidR="002D6BCB" w:rsidRPr="002D6BCB">
        <w:rPr>
          <w:rFonts w:eastAsia="MS Mincho"/>
        </w:rPr>
        <w:t xml:space="preserve"> les modifications apportées </w:t>
      </w:r>
      <w:r w:rsidR="007D2802">
        <w:rPr>
          <w:rFonts w:eastAsia="MS Mincho"/>
        </w:rPr>
        <w:t>aux</w:t>
      </w:r>
      <w:r w:rsidR="002D6BCB" w:rsidRPr="002D6BCB">
        <w:rPr>
          <w:rFonts w:eastAsia="MS Mincho"/>
        </w:rPr>
        <w:t xml:space="preserve"> lois sur la presse et les </w:t>
      </w:r>
      <w:r w:rsidR="007D2802">
        <w:rPr>
          <w:rFonts w:eastAsia="MS Mincho"/>
        </w:rPr>
        <w:t>o</w:t>
      </w:r>
      <w:r w:rsidR="002D6BCB" w:rsidRPr="002D6BCB">
        <w:rPr>
          <w:rFonts w:eastAsia="MS Mincho"/>
        </w:rPr>
        <w:t>rganisation</w:t>
      </w:r>
      <w:r w:rsidR="002D6BCB">
        <w:rPr>
          <w:rFonts w:eastAsia="MS Mincho"/>
        </w:rPr>
        <w:t>s</w:t>
      </w:r>
      <w:r w:rsidR="007D2802">
        <w:rPr>
          <w:rFonts w:eastAsia="MS Mincho"/>
        </w:rPr>
        <w:t>,</w:t>
      </w:r>
      <w:r w:rsidR="002D6BCB">
        <w:rPr>
          <w:rFonts w:eastAsia="MS Mincho"/>
        </w:rPr>
        <w:t xml:space="preserve"> qui constitue</w:t>
      </w:r>
      <w:r w:rsidR="007D2802">
        <w:rPr>
          <w:rFonts w:eastAsia="MS Mincho"/>
        </w:rPr>
        <w:t>nt</w:t>
      </w:r>
      <w:r w:rsidR="002D6BCB">
        <w:rPr>
          <w:rFonts w:eastAsia="MS Mincho"/>
        </w:rPr>
        <w:t xml:space="preserve"> </w:t>
      </w:r>
      <w:r w:rsidR="002D6BCB" w:rsidRPr="002D6BCB">
        <w:rPr>
          <w:rFonts w:eastAsia="MS Mincho"/>
        </w:rPr>
        <w:t>une source de préoccupation pour l’indépendance de ces organisations.</w:t>
      </w:r>
    </w:p>
    <w:p w14:paraId="72A1A396" w14:textId="6E884B0F" w:rsidR="00DB2EA2" w:rsidRPr="00C36219" w:rsidRDefault="00A1453B" w:rsidP="00DB2EA2">
      <w:pPr>
        <w:pStyle w:val="SingleTxtG"/>
      </w:pPr>
      <w:r>
        <w:t>86</w:t>
      </w:r>
      <w:r w:rsidR="00DB2EA2">
        <w:t>.</w:t>
      </w:r>
      <w:r>
        <w:tab/>
      </w:r>
      <w:r w:rsidR="00DB2EA2" w:rsidRPr="00C36219">
        <w:t xml:space="preserve">Le </w:t>
      </w:r>
      <w:r w:rsidR="00DB2EA2">
        <w:t>R</w:t>
      </w:r>
      <w:r w:rsidR="00DB2EA2" w:rsidRPr="00C36219">
        <w:t xml:space="preserve">apporteur spécial encourage le </w:t>
      </w:r>
      <w:r w:rsidR="00C91283">
        <w:t>G</w:t>
      </w:r>
      <w:r w:rsidR="00DB2EA2" w:rsidRPr="00C36219">
        <w:t>ouvernement à veiller à ce que toutes les violations commises à l’encontre de</w:t>
      </w:r>
      <w:r w:rsidR="00DB2EA2">
        <w:t>s</w:t>
      </w:r>
      <w:r w:rsidR="00DB2EA2" w:rsidRPr="00C36219">
        <w:t xml:space="preserve"> </w:t>
      </w:r>
      <w:r w:rsidR="00CE54BD">
        <w:t xml:space="preserve">défenseuses et </w:t>
      </w:r>
      <w:r w:rsidR="00DB2EA2" w:rsidRPr="00C36219">
        <w:t>défenseurs des droits de l’homme et des journalistes fassent l’objet d’enquê</w:t>
      </w:r>
      <w:r w:rsidR="00DB2EA2">
        <w:t>tes approfondies et impartiales.</w:t>
      </w:r>
    </w:p>
    <w:p w14:paraId="3E0DAE2C" w14:textId="74D80C14" w:rsidR="00DB2EA2" w:rsidRPr="00A1453B" w:rsidRDefault="00A13EB2" w:rsidP="00A1453B">
      <w:pPr>
        <w:pStyle w:val="HChG"/>
      </w:pPr>
      <w:r>
        <w:tab/>
      </w:r>
      <w:r w:rsidR="00DB2EA2" w:rsidRPr="00A1453B">
        <w:t>V.</w:t>
      </w:r>
      <w:r w:rsidR="00DB2EA2" w:rsidRPr="00A1453B">
        <w:tab/>
        <w:t>Conclusion et recommandations</w:t>
      </w:r>
    </w:p>
    <w:p w14:paraId="2DDFB16A" w14:textId="7DB4792E" w:rsidR="00DB2EA2" w:rsidRPr="00A1453B" w:rsidRDefault="00A1453B" w:rsidP="00DB2EA2">
      <w:pPr>
        <w:pStyle w:val="SingleTxtG"/>
        <w:rPr>
          <w:b/>
          <w:bCs/>
        </w:rPr>
      </w:pPr>
      <w:r>
        <w:t>87</w:t>
      </w:r>
      <w:r w:rsidR="00DB2EA2">
        <w:t>.</w:t>
      </w:r>
      <w:r>
        <w:tab/>
      </w:r>
      <w:r w:rsidR="00DB2EA2" w:rsidRPr="00A1453B">
        <w:rPr>
          <w:b/>
          <w:bCs/>
        </w:rPr>
        <w:t xml:space="preserve">Le Rapporteur spécial réitère sa disponibilité à coopérer pleinement avec le Burundi en vue de consolider ses efforts en matière de protection des droits de l’homme. Il réitère sa demande de </w:t>
      </w:r>
      <w:r w:rsidR="00DB2EA2" w:rsidRPr="00302AAD">
        <w:rPr>
          <w:b/>
          <w:bCs/>
        </w:rPr>
        <w:t xml:space="preserve">visiter le Burundi, </w:t>
      </w:r>
      <w:r w:rsidR="00302AAD" w:rsidRPr="00302AAD">
        <w:rPr>
          <w:b/>
          <w:bCs/>
        </w:rPr>
        <w:t xml:space="preserve">et </w:t>
      </w:r>
      <w:r w:rsidR="00DB2EA2" w:rsidRPr="00302AAD">
        <w:rPr>
          <w:b/>
          <w:bCs/>
        </w:rPr>
        <w:t>d’interagir avec les autorités et les institutions compétentes.</w:t>
      </w:r>
      <w:r w:rsidR="00DB2EA2" w:rsidRPr="00A1453B">
        <w:rPr>
          <w:b/>
          <w:bCs/>
        </w:rPr>
        <w:t xml:space="preserve"> Une telle coopération </w:t>
      </w:r>
      <w:r w:rsidR="0094406D">
        <w:rPr>
          <w:b/>
          <w:bCs/>
        </w:rPr>
        <w:t xml:space="preserve">lui </w:t>
      </w:r>
      <w:r w:rsidR="00DB2EA2" w:rsidRPr="00A1453B">
        <w:rPr>
          <w:b/>
          <w:bCs/>
        </w:rPr>
        <w:t xml:space="preserve">permettra de mieux s’approprier les réalités </w:t>
      </w:r>
      <w:r w:rsidR="0094406D">
        <w:rPr>
          <w:b/>
          <w:bCs/>
        </w:rPr>
        <w:t xml:space="preserve">du pays </w:t>
      </w:r>
      <w:r w:rsidR="00DB2EA2" w:rsidRPr="00A1453B">
        <w:rPr>
          <w:b/>
          <w:bCs/>
        </w:rPr>
        <w:t>et démontrera que le Burundi est véritablement engagé à remplir ses obligations en matière des droits de l’homme.</w:t>
      </w:r>
    </w:p>
    <w:p w14:paraId="79A60AC4" w14:textId="0F99C7EF" w:rsidR="00DB2EA2" w:rsidRPr="00A1453B" w:rsidRDefault="00A1453B" w:rsidP="00DB2EA2">
      <w:pPr>
        <w:pStyle w:val="SingleTxtG"/>
        <w:rPr>
          <w:b/>
        </w:rPr>
      </w:pPr>
      <w:r>
        <w:t>88</w:t>
      </w:r>
      <w:r w:rsidR="00DB2EA2">
        <w:t>.</w:t>
      </w:r>
      <w:r>
        <w:tab/>
      </w:r>
      <w:r w:rsidR="004D214C">
        <w:rPr>
          <w:b/>
        </w:rPr>
        <w:t>Au vu de ce qui précède,</w:t>
      </w:r>
      <w:r w:rsidR="00DB2EA2" w:rsidRPr="00A1453B">
        <w:rPr>
          <w:b/>
        </w:rPr>
        <w:t xml:space="preserve"> </w:t>
      </w:r>
      <w:r w:rsidR="00DB2EA2" w:rsidRPr="00A1453B">
        <w:rPr>
          <w:b/>
          <w:bCs/>
        </w:rPr>
        <w:t>le Rapporteur spéci</w:t>
      </w:r>
      <w:r w:rsidR="00D13022">
        <w:rPr>
          <w:b/>
          <w:bCs/>
        </w:rPr>
        <w:t xml:space="preserve">al </w:t>
      </w:r>
      <w:r w:rsidR="000863CB">
        <w:rPr>
          <w:b/>
          <w:bCs/>
        </w:rPr>
        <w:t xml:space="preserve">adresse </w:t>
      </w:r>
      <w:r w:rsidR="002063D1">
        <w:rPr>
          <w:b/>
          <w:bCs/>
        </w:rPr>
        <w:t>a</w:t>
      </w:r>
      <w:r w:rsidR="00503D01">
        <w:rPr>
          <w:b/>
          <w:bCs/>
        </w:rPr>
        <w:t xml:space="preserve">u Burundi </w:t>
      </w:r>
      <w:r w:rsidR="000863CB">
        <w:rPr>
          <w:b/>
          <w:bCs/>
        </w:rPr>
        <w:t>les recommandations suivantes</w:t>
      </w:r>
      <w:r w:rsidR="00D13022">
        <w:rPr>
          <w:b/>
          <w:bCs/>
        </w:rPr>
        <w:t> </w:t>
      </w:r>
      <w:r w:rsidR="00DB2EA2" w:rsidRPr="00A1453B">
        <w:rPr>
          <w:b/>
          <w:bCs/>
        </w:rPr>
        <w:t>:</w:t>
      </w:r>
    </w:p>
    <w:p w14:paraId="71F80A8B" w14:textId="20A03546" w:rsidR="00DB2EA2" w:rsidRPr="00A1453B" w:rsidRDefault="00DB2EA2" w:rsidP="007815F2">
      <w:pPr>
        <w:pStyle w:val="SingleTxtG"/>
        <w:ind w:left="1276" w:firstLine="418"/>
        <w:rPr>
          <w:b/>
          <w:bCs/>
        </w:rPr>
      </w:pPr>
      <w:r w:rsidRPr="00592838">
        <w:rPr>
          <w:b/>
        </w:rPr>
        <w:t>a)</w:t>
      </w:r>
      <w:r w:rsidR="007815F2" w:rsidRPr="00547C5A">
        <w:rPr>
          <w:b/>
        </w:rPr>
        <w:tab/>
      </w:r>
      <w:r w:rsidR="008D027B">
        <w:rPr>
          <w:b/>
          <w:bCs/>
        </w:rPr>
        <w:t xml:space="preserve">Ratifier la Convention </w:t>
      </w:r>
      <w:r w:rsidR="00DF32FC">
        <w:rPr>
          <w:b/>
          <w:bCs/>
        </w:rPr>
        <w:t>internationale pour la protection de toutes les personnes</w:t>
      </w:r>
      <w:r w:rsidR="00D62346">
        <w:rPr>
          <w:b/>
          <w:bCs/>
        </w:rPr>
        <w:t xml:space="preserve"> contre</w:t>
      </w:r>
      <w:r w:rsidR="008D027B">
        <w:rPr>
          <w:b/>
          <w:bCs/>
        </w:rPr>
        <w:t xml:space="preserve"> les disparitions forcées</w:t>
      </w:r>
      <w:r w:rsidR="00D62346">
        <w:rPr>
          <w:b/>
          <w:bCs/>
        </w:rPr>
        <w:t>,</w:t>
      </w:r>
      <w:r w:rsidR="008D027B">
        <w:rPr>
          <w:b/>
          <w:bCs/>
        </w:rPr>
        <w:t xml:space="preserve"> et m</w:t>
      </w:r>
      <w:r w:rsidR="002D5D44">
        <w:rPr>
          <w:b/>
          <w:bCs/>
        </w:rPr>
        <w:t>ettre</w:t>
      </w:r>
      <w:r w:rsidRPr="00A1453B">
        <w:rPr>
          <w:b/>
          <w:bCs/>
        </w:rPr>
        <w:t xml:space="preserve"> en œuvre </w:t>
      </w:r>
      <w:r w:rsidR="002D5D44">
        <w:rPr>
          <w:b/>
          <w:bCs/>
        </w:rPr>
        <w:t>les</w:t>
      </w:r>
      <w:r w:rsidRPr="00A1453B">
        <w:rPr>
          <w:b/>
          <w:bCs/>
        </w:rPr>
        <w:t xml:space="preserve"> recommandations formulées par les organes </w:t>
      </w:r>
      <w:r w:rsidR="002D5D44">
        <w:rPr>
          <w:b/>
          <w:bCs/>
        </w:rPr>
        <w:t>conventionnels</w:t>
      </w:r>
      <w:r w:rsidRPr="00A1453B">
        <w:rPr>
          <w:b/>
          <w:bCs/>
        </w:rPr>
        <w:t>, les procédures spéciales et les organes internationaux de protection des droits de l’homme</w:t>
      </w:r>
      <w:r w:rsidR="001D5A2B">
        <w:rPr>
          <w:b/>
          <w:bCs/>
        </w:rPr>
        <w:t>,</w:t>
      </w:r>
      <w:r w:rsidR="0093511A">
        <w:rPr>
          <w:b/>
          <w:bCs/>
        </w:rPr>
        <w:t xml:space="preserve"> </w:t>
      </w:r>
      <w:r w:rsidR="00416CC6">
        <w:rPr>
          <w:b/>
          <w:bCs/>
        </w:rPr>
        <w:t>y compris</w:t>
      </w:r>
      <w:r w:rsidR="0093511A">
        <w:rPr>
          <w:b/>
          <w:bCs/>
        </w:rPr>
        <w:t xml:space="preserve"> la Commission d’enquête sur le Burundi</w:t>
      </w:r>
      <w:r w:rsidRPr="00A1453B">
        <w:rPr>
          <w:b/>
          <w:bCs/>
        </w:rPr>
        <w:t> ;</w:t>
      </w:r>
    </w:p>
    <w:p w14:paraId="53B974C0" w14:textId="3824B153" w:rsidR="00DB2EA2" w:rsidRPr="00A1453B" w:rsidRDefault="00DB2EA2" w:rsidP="007815F2">
      <w:pPr>
        <w:pStyle w:val="SingleTxtG"/>
        <w:ind w:left="1276" w:firstLine="418"/>
        <w:rPr>
          <w:b/>
          <w:bCs/>
        </w:rPr>
      </w:pPr>
      <w:r w:rsidRPr="00592838">
        <w:rPr>
          <w:b/>
        </w:rPr>
        <w:t>b)</w:t>
      </w:r>
      <w:r w:rsidR="007815F2" w:rsidRPr="00547C5A">
        <w:rPr>
          <w:b/>
        </w:rPr>
        <w:tab/>
      </w:r>
      <w:r w:rsidR="002D5D44">
        <w:rPr>
          <w:b/>
          <w:bCs/>
        </w:rPr>
        <w:t>Renforcer</w:t>
      </w:r>
      <w:r w:rsidR="00E37214" w:rsidRPr="00A1453B">
        <w:rPr>
          <w:b/>
          <w:bCs/>
        </w:rPr>
        <w:t xml:space="preserve"> </w:t>
      </w:r>
      <w:r w:rsidRPr="00A1453B">
        <w:rPr>
          <w:b/>
          <w:bCs/>
        </w:rPr>
        <w:t>la coopération dans un esprit de dialogue constructif avec les mécanismes internationaux de protection des droits de l’homme</w:t>
      </w:r>
      <w:r w:rsidR="002D5D44">
        <w:rPr>
          <w:b/>
          <w:bCs/>
        </w:rPr>
        <w:t>,</w:t>
      </w:r>
      <w:r w:rsidR="00E37214" w:rsidRPr="00A1453B">
        <w:rPr>
          <w:b/>
          <w:bCs/>
        </w:rPr>
        <w:t xml:space="preserve"> et particulièrement les procédures spéciales</w:t>
      </w:r>
      <w:r w:rsidRPr="00A1453B">
        <w:rPr>
          <w:b/>
          <w:bCs/>
        </w:rPr>
        <w:t> ;</w:t>
      </w:r>
    </w:p>
    <w:p w14:paraId="0CC0C624" w14:textId="2F5E85FA" w:rsidR="00DB2EA2" w:rsidRPr="00A1453B" w:rsidRDefault="00DB2EA2" w:rsidP="007815F2">
      <w:pPr>
        <w:pStyle w:val="SingleTxtG"/>
        <w:ind w:left="1276" w:firstLine="418"/>
        <w:rPr>
          <w:b/>
          <w:bCs/>
        </w:rPr>
      </w:pPr>
      <w:r w:rsidRPr="00592838">
        <w:rPr>
          <w:b/>
        </w:rPr>
        <w:lastRenderedPageBreak/>
        <w:t>c)</w:t>
      </w:r>
      <w:r w:rsidR="007815F2" w:rsidRPr="00547C5A">
        <w:rPr>
          <w:b/>
        </w:rPr>
        <w:tab/>
      </w:r>
      <w:r w:rsidR="00674982">
        <w:rPr>
          <w:b/>
        </w:rPr>
        <w:t xml:space="preserve">Permettre </w:t>
      </w:r>
      <w:r w:rsidRPr="00A1453B">
        <w:rPr>
          <w:b/>
          <w:bCs/>
        </w:rPr>
        <w:t xml:space="preserve">la réouverture du </w:t>
      </w:r>
      <w:r w:rsidR="002D5D44">
        <w:rPr>
          <w:b/>
          <w:bCs/>
        </w:rPr>
        <w:t>b</w:t>
      </w:r>
      <w:r w:rsidRPr="00A1453B">
        <w:rPr>
          <w:b/>
          <w:bCs/>
        </w:rPr>
        <w:t xml:space="preserve">ureau du Haut-Commissariat aux </w:t>
      </w:r>
      <w:r w:rsidR="002D5D44">
        <w:rPr>
          <w:b/>
          <w:bCs/>
        </w:rPr>
        <w:t>d</w:t>
      </w:r>
      <w:r w:rsidRPr="00A1453B">
        <w:rPr>
          <w:b/>
          <w:bCs/>
        </w:rPr>
        <w:t>roits de l’</w:t>
      </w:r>
      <w:r w:rsidR="002D5D44">
        <w:rPr>
          <w:b/>
          <w:bCs/>
        </w:rPr>
        <w:t>h</w:t>
      </w:r>
      <w:r w:rsidRPr="00A1453B">
        <w:rPr>
          <w:b/>
          <w:bCs/>
        </w:rPr>
        <w:t>omme au Burundi ;</w:t>
      </w:r>
    </w:p>
    <w:p w14:paraId="150CF959" w14:textId="20D6F742" w:rsidR="003C3BC5" w:rsidRPr="00A1453B" w:rsidRDefault="00DB2EA2" w:rsidP="007815F2">
      <w:pPr>
        <w:pStyle w:val="SingleTxtG"/>
        <w:ind w:left="1276" w:firstLine="418"/>
        <w:rPr>
          <w:b/>
          <w:bCs/>
        </w:rPr>
      </w:pPr>
      <w:r w:rsidRPr="00592838">
        <w:rPr>
          <w:b/>
        </w:rPr>
        <w:t>d)</w:t>
      </w:r>
      <w:r w:rsidR="007815F2" w:rsidRPr="00547C5A">
        <w:rPr>
          <w:b/>
        </w:rPr>
        <w:tab/>
      </w:r>
      <w:r w:rsidR="00F81E07">
        <w:rPr>
          <w:b/>
          <w:bCs/>
        </w:rPr>
        <w:t>E</w:t>
      </w:r>
      <w:r w:rsidR="003C3BC5" w:rsidRPr="00A1453B">
        <w:rPr>
          <w:b/>
          <w:bCs/>
        </w:rPr>
        <w:t>ngager la responsabilité pénale des agents en cause et adopter des mesures de réparation</w:t>
      </w:r>
      <w:r w:rsidR="00F81E07">
        <w:rPr>
          <w:b/>
          <w:bCs/>
        </w:rPr>
        <w:t>,</w:t>
      </w:r>
      <w:r w:rsidR="00FC7197" w:rsidRPr="00A1453B">
        <w:rPr>
          <w:b/>
          <w:bCs/>
        </w:rPr>
        <w:t xml:space="preserve"> y compris </w:t>
      </w:r>
      <w:r w:rsidR="00F81E07">
        <w:rPr>
          <w:b/>
          <w:bCs/>
        </w:rPr>
        <w:t xml:space="preserve">en menant </w:t>
      </w:r>
      <w:r w:rsidR="00FC7197" w:rsidRPr="00A1453B">
        <w:rPr>
          <w:b/>
          <w:bCs/>
        </w:rPr>
        <w:t>des enquêtes exhaustives et impartiales sur les violences et abus commis par les</w:t>
      </w:r>
      <w:r w:rsidR="00B92CFF">
        <w:rPr>
          <w:b/>
          <w:bCs/>
        </w:rPr>
        <w:t xml:space="preserve"> agents d’application de la loi </w:t>
      </w:r>
      <w:r w:rsidR="004701EB">
        <w:rPr>
          <w:b/>
          <w:bCs/>
        </w:rPr>
        <w:t>et les</w:t>
      </w:r>
      <w:r w:rsidR="00FC7197" w:rsidRPr="00A1453B">
        <w:rPr>
          <w:b/>
          <w:bCs/>
        </w:rPr>
        <w:t xml:space="preserve"> </w:t>
      </w:r>
      <w:proofErr w:type="spellStart"/>
      <w:r w:rsidR="00FC7197" w:rsidRPr="00A1453B">
        <w:rPr>
          <w:b/>
          <w:bCs/>
        </w:rPr>
        <w:t>Imbonerakure</w:t>
      </w:r>
      <w:proofErr w:type="spellEnd"/>
      <w:r w:rsidR="00F81E07">
        <w:rPr>
          <w:b/>
          <w:bCs/>
        </w:rPr>
        <w:t> ;</w:t>
      </w:r>
    </w:p>
    <w:p w14:paraId="5A7E0521" w14:textId="6947F739" w:rsidR="00DB2EA2" w:rsidRPr="00A1453B" w:rsidRDefault="00E37214" w:rsidP="007815F2">
      <w:pPr>
        <w:pStyle w:val="SingleTxtG"/>
        <w:ind w:left="1276" w:firstLine="418"/>
        <w:rPr>
          <w:b/>
          <w:bCs/>
        </w:rPr>
      </w:pPr>
      <w:r w:rsidRPr="00592838">
        <w:rPr>
          <w:b/>
        </w:rPr>
        <w:t>e)</w:t>
      </w:r>
      <w:r w:rsidR="007815F2" w:rsidRPr="00592838">
        <w:rPr>
          <w:b/>
        </w:rPr>
        <w:tab/>
      </w:r>
      <w:r w:rsidR="001208B5">
        <w:rPr>
          <w:b/>
          <w:bCs/>
        </w:rPr>
        <w:t>Renforcer</w:t>
      </w:r>
      <w:r w:rsidR="00DB2EA2" w:rsidRPr="00A1453B">
        <w:rPr>
          <w:b/>
          <w:bCs/>
        </w:rPr>
        <w:t xml:space="preserve"> l’état de droit et l’administration de la justice à travers </w:t>
      </w:r>
      <w:r w:rsidR="006A5F9F">
        <w:rPr>
          <w:b/>
          <w:bCs/>
        </w:rPr>
        <w:t xml:space="preserve">un état des lieux de l’accès à la justice au Burundi, </w:t>
      </w:r>
      <w:r w:rsidR="00DB2EA2" w:rsidRPr="00A1453B">
        <w:rPr>
          <w:b/>
          <w:bCs/>
        </w:rPr>
        <w:t>des programmes d’assistance judiciaire</w:t>
      </w:r>
      <w:r w:rsidR="006A5F9F">
        <w:rPr>
          <w:b/>
          <w:bCs/>
        </w:rPr>
        <w:t xml:space="preserve">, </w:t>
      </w:r>
      <w:r w:rsidR="00DB2EA2" w:rsidRPr="00A1453B">
        <w:rPr>
          <w:b/>
          <w:bCs/>
        </w:rPr>
        <w:t xml:space="preserve">et </w:t>
      </w:r>
      <w:r w:rsidR="001D5A2B">
        <w:rPr>
          <w:b/>
          <w:bCs/>
        </w:rPr>
        <w:t>le</w:t>
      </w:r>
      <w:r w:rsidR="00DB2EA2" w:rsidRPr="00A1453B">
        <w:rPr>
          <w:b/>
          <w:bCs/>
        </w:rPr>
        <w:t xml:space="preserve"> renforcement des capacités des magistrats ;</w:t>
      </w:r>
    </w:p>
    <w:p w14:paraId="1B44EC76" w14:textId="69F057E4" w:rsidR="00B40711" w:rsidRDefault="00E37214" w:rsidP="00763814">
      <w:pPr>
        <w:pStyle w:val="SingleTxtG"/>
        <w:ind w:left="1276" w:firstLine="418"/>
        <w:rPr>
          <w:b/>
          <w:bCs/>
        </w:rPr>
      </w:pPr>
      <w:r w:rsidRPr="00592838">
        <w:rPr>
          <w:b/>
        </w:rPr>
        <w:t>f</w:t>
      </w:r>
      <w:r w:rsidR="00DB2EA2" w:rsidRPr="00592838">
        <w:rPr>
          <w:b/>
        </w:rPr>
        <w:t>)</w:t>
      </w:r>
      <w:r w:rsidR="007815F2" w:rsidRPr="00592838">
        <w:rPr>
          <w:b/>
        </w:rPr>
        <w:tab/>
      </w:r>
      <w:r w:rsidR="00BF44E3">
        <w:rPr>
          <w:b/>
          <w:bCs/>
        </w:rPr>
        <w:t xml:space="preserve">Garantir l’indépendance de la Commission Vérité </w:t>
      </w:r>
      <w:r w:rsidR="00862B1A">
        <w:rPr>
          <w:b/>
          <w:bCs/>
        </w:rPr>
        <w:t>et r</w:t>
      </w:r>
      <w:r w:rsidR="00BF44E3">
        <w:rPr>
          <w:b/>
          <w:bCs/>
        </w:rPr>
        <w:t>éconciliation tout en veillant à</w:t>
      </w:r>
      <w:r w:rsidR="00B40711">
        <w:rPr>
          <w:b/>
          <w:bCs/>
        </w:rPr>
        <w:t xml:space="preserve"> l’avancement d’autres </w:t>
      </w:r>
      <w:r w:rsidR="00763814">
        <w:rPr>
          <w:b/>
          <w:bCs/>
        </w:rPr>
        <w:t>piliers</w:t>
      </w:r>
      <w:r w:rsidR="00B40711">
        <w:rPr>
          <w:b/>
          <w:bCs/>
        </w:rPr>
        <w:t xml:space="preserve"> de </w:t>
      </w:r>
      <w:r w:rsidR="00763814">
        <w:rPr>
          <w:b/>
          <w:bCs/>
        </w:rPr>
        <w:t xml:space="preserve">la </w:t>
      </w:r>
      <w:r w:rsidR="00B40711">
        <w:rPr>
          <w:b/>
          <w:bCs/>
        </w:rPr>
        <w:t>justice transitionnelle</w:t>
      </w:r>
      <w:r w:rsidR="00BB4395">
        <w:rPr>
          <w:b/>
          <w:bCs/>
        </w:rPr>
        <w:t>,</w:t>
      </w:r>
      <w:r w:rsidR="00B40711">
        <w:rPr>
          <w:b/>
          <w:bCs/>
        </w:rPr>
        <w:t xml:space="preserve"> notamment </w:t>
      </w:r>
      <w:r w:rsidR="00BF44E3" w:rsidRPr="00BF44E3">
        <w:rPr>
          <w:b/>
          <w:bCs/>
        </w:rPr>
        <w:t>la responsabilité, les réparations,</w:t>
      </w:r>
      <w:r w:rsidR="00763814">
        <w:rPr>
          <w:b/>
          <w:bCs/>
        </w:rPr>
        <w:t xml:space="preserve"> les réformes institutionnelles à travers</w:t>
      </w:r>
      <w:r w:rsidR="00BF44E3" w:rsidRPr="00BF44E3">
        <w:rPr>
          <w:b/>
          <w:bCs/>
        </w:rPr>
        <w:t xml:space="preserve"> la restitution des terres</w:t>
      </w:r>
      <w:r w:rsidR="00763814">
        <w:rPr>
          <w:b/>
          <w:bCs/>
        </w:rPr>
        <w:t>,</w:t>
      </w:r>
      <w:r w:rsidR="00BF44E3" w:rsidRPr="00BF44E3">
        <w:rPr>
          <w:b/>
          <w:bCs/>
        </w:rPr>
        <w:t xml:space="preserve"> </w:t>
      </w:r>
      <w:r w:rsidR="00826416">
        <w:rPr>
          <w:b/>
          <w:bCs/>
        </w:rPr>
        <w:t xml:space="preserve">et </w:t>
      </w:r>
      <w:r w:rsidR="00BF44E3" w:rsidRPr="00BF44E3">
        <w:rPr>
          <w:b/>
          <w:bCs/>
        </w:rPr>
        <w:t>l</w:t>
      </w:r>
      <w:r w:rsidR="00763814">
        <w:rPr>
          <w:b/>
          <w:bCs/>
        </w:rPr>
        <w:t>es</w:t>
      </w:r>
      <w:r w:rsidR="00BF44E3" w:rsidRPr="00BF44E3">
        <w:rPr>
          <w:b/>
          <w:bCs/>
        </w:rPr>
        <w:t xml:space="preserve"> réforme</w:t>
      </w:r>
      <w:r w:rsidR="00763814">
        <w:rPr>
          <w:b/>
          <w:bCs/>
        </w:rPr>
        <w:t>s</w:t>
      </w:r>
      <w:r w:rsidR="00BF44E3" w:rsidRPr="00BF44E3">
        <w:rPr>
          <w:b/>
          <w:bCs/>
        </w:rPr>
        <w:t xml:space="preserve"> du secteur de la sécurité et de la justice</w:t>
      </w:r>
      <w:r w:rsidR="00E84330">
        <w:rPr>
          <w:b/>
          <w:bCs/>
        </w:rPr>
        <w:t> ;</w:t>
      </w:r>
    </w:p>
    <w:p w14:paraId="6856AC71" w14:textId="7B6C0977" w:rsidR="00DB2EA2" w:rsidRPr="00A1453B" w:rsidRDefault="00E37214" w:rsidP="007815F2">
      <w:pPr>
        <w:pStyle w:val="SingleTxtG"/>
        <w:ind w:left="1276" w:firstLine="418"/>
        <w:rPr>
          <w:b/>
          <w:bCs/>
        </w:rPr>
      </w:pPr>
      <w:r w:rsidRPr="00592838">
        <w:rPr>
          <w:b/>
        </w:rPr>
        <w:t>g</w:t>
      </w:r>
      <w:r w:rsidR="00DB2EA2" w:rsidRPr="00592838">
        <w:rPr>
          <w:b/>
        </w:rPr>
        <w:t>)</w:t>
      </w:r>
      <w:r w:rsidR="007815F2" w:rsidRPr="00547C5A">
        <w:rPr>
          <w:b/>
        </w:rPr>
        <w:tab/>
      </w:r>
      <w:r w:rsidR="0017508E">
        <w:rPr>
          <w:b/>
          <w:bCs/>
        </w:rPr>
        <w:t>Créer un</w:t>
      </w:r>
      <w:r w:rsidR="00DB2EA2" w:rsidRPr="00A1453B">
        <w:rPr>
          <w:b/>
          <w:bCs/>
        </w:rPr>
        <w:t xml:space="preserve"> mécanisme national de prévention de la </w:t>
      </w:r>
      <w:r w:rsidR="0017508E">
        <w:rPr>
          <w:b/>
          <w:bCs/>
        </w:rPr>
        <w:t>t</w:t>
      </w:r>
      <w:r w:rsidR="00DB2EA2" w:rsidRPr="00A1453B">
        <w:rPr>
          <w:b/>
          <w:bCs/>
        </w:rPr>
        <w:t>orture</w:t>
      </w:r>
      <w:r w:rsidR="008D027B">
        <w:rPr>
          <w:b/>
          <w:bCs/>
        </w:rPr>
        <w:t>,</w:t>
      </w:r>
      <w:r w:rsidR="00DB2EA2" w:rsidRPr="00A1453B">
        <w:rPr>
          <w:b/>
          <w:bCs/>
        </w:rPr>
        <w:t xml:space="preserve"> </w:t>
      </w:r>
      <w:r w:rsidR="0017508E">
        <w:rPr>
          <w:b/>
          <w:bCs/>
        </w:rPr>
        <w:t>répondre</w:t>
      </w:r>
      <w:r w:rsidR="00DB2EA2" w:rsidRPr="00A1453B">
        <w:rPr>
          <w:b/>
          <w:bCs/>
        </w:rPr>
        <w:t xml:space="preserve"> favorable</w:t>
      </w:r>
      <w:r w:rsidR="0017508E">
        <w:rPr>
          <w:b/>
          <w:bCs/>
        </w:rPr>
        <w:t>ment</w:t>
      </w:r>
      <w:r w:rsidR="00DB2EA2" w:rsidRPr="00A1453B">
        <w:rPr>
          <w:b/>
          <w:bCs/>
        </w:rPr>
        <w:t xml:space="preserve"> aux demandes de visite du Sous-Comité </w:t>
      </w:r>
      <w:r w:rsidR="00FB5111">
        <w:rPr>
          <w:b/>
          <w:bCs/>
        </w:rPr>
        <w:t>pour la prévention de</w:t>
      </w:r>
      <w:r w:rsidR="00DB2EA2" w:rsidRPr="00A1453B">
        <w:rPr>
          <w:b/>
          <w:bCs/>
        </w:rPr>
        <w:t xml:space="preserve"> la </w:t>
      </w:r>
      <w:r w:rsidR="00FB5111">
        <w:rPr>
          <w:b/>
          <w:bCs/>
        </w:rPr>
        <w:t>t</w:t>
      </w:r>
      <w:r w:rsidR="00DB2EA2" w:rsidRPr="00A1453B">
        <w:rPr>
          <w:b/>
          <w:bCs/>
        </w:rPr>
        <w:t>orture</w:t>
      </w:r>
      <w:r w:rsidR="00FB5111">
        <w:rPr>
          <w:b/>
          <w:bCs/>
        </w:rPr>
        <w:t xml:space="preserve"> et autres peines ou traitements cruels, inhumains ou dégradants</w:t>
      </w:r>
      <w:r w:rsidR="006F5961">
        <w:rPr>
          <w:b/>
          <w:bCs/>
        </w:rPr>
        <w:t xml:space="preserve"> </w:t>
      </w:r>
      <w:r w:rsidR="008D027B">
        <w:rPr>
          <w:b/>
          <w:bCs/>
        </w:rPr>
        <w:t>et rendre opérationnel le fonds d’indemnisation des victimes de torture</w:t>
      </w:r>
      <w:r w:rsidR="006F5961">
        <w:rPr>
          <w:b/>
          <w:bCs/>
        </w:rPr>
        <w:t> ;</w:t>
      </w:r>
    </w:p>
    <w:p w14:paraId="60225885" w14:textId="75CC75D9" w:rsidR="00DB2EA2" w:rsidRPr="00A1453B" w:rsidRDefault="00E37214" w:rsidP="007815F2">
      <w:pPr>
        <w:pStyle w:val="SingleTxtG"/>
        <w:ind w:left="1276" w:firstLine="418"/>
        <w:rPr>
          <w:b/>
          <w:bCs/>
        </w:rPr>
      </w:pPr>
      <w:r w:rsidRPr="00592838">
        <w:rPr>
          <w:b/>
        </w:rPr>
        <w:t>h</w:t>
      </w:r>
      <w:r w:rsidR="00DB2EA2" w:rsidRPr="00592838">
        <w:rPr>
          <w:b/>
        </w:rPr>
        <w:t>)</w:t>
      </w:r>
      <w:r w:rsidR="007815F2" w:rsidRPr="00547C5A">
        <w:rPr>
          <w:b/>
        </w:rPr>
        <w:tab/>
      </w:r>
      <w:r w:rsidR="005B1926">
        <w:rPr>
          <w:b/>
          <w:bCs/>
        </w:rPr>
        <w:t xml:space="preserve">Présenter les gages d’une volonté politique réelle de lutter efficacement contre l’impunité des violations et abus commis depuis 2015 </w:t>
      </w:r>
      <w:r w:rsidR="006023D3">
        <w:rPr>
          <w:b/>
          <w:bCs/>
        </w:rPr>
        <w:t xml:space="preserve">tout en renforçant les mécanismes nationaux de </w:t>
      </w:r>
      <w:r w:rsidR="00DB2EA2" w:rsidRPr="00A1453B">
        <w:rPr>
          <w:b/>
          <w:bCs/>
        </w:rPr>
        <w:t>prévention des violations et abus des droits de l’homme</w:t>
      </w:r>
      <w:r w:rsidR="00AF1AAF">
        <w:rPr>
          <w:b/>
          <w:bCs/>
        </w:rPr>
        <w:t> </w:t>
      </w:r>
      <w:r w:rsidR="000F34B7">
        <w:rPr>
          <w:b/>
          <w:bCs/>
        </w:rPr>
        <w:t>;</w:t>
      </w:r>
    </w:p>
    <w:p w14:paraId="20AACE9E" w14:textId="7CA9F1B7" w:rsidR="00DB2EA2" w:rsidRPr="00A1453B" w:rsidRDefault="007815F2" w:rsidP="007815F2">
      <w:pPr>
        <w:pStyle w:val="SingleTxtG"/>
        <w:ind w:left="1276" w:firstLine="418"/>
        <w:rPr>
          <w:b/>
          <w:bCs/>
        </w:rPr>
      </w:pPr>
      <w:r w:rsidRPr="00592838">
        <w:rPr>
          <w:b/>
        </w:rPr>
        <w:t>i</w:t>
      </w:r>
      <w:r w:rsidR="00DB2EA2" w:rsidRPr="00592838">
        <w:rPr>
          <w:b/>
        </w:rPr>
        <w:t>)</w:t>
      </w:r>
      <w:r w:rsidRPr="00592838">
        <w:rPr>
          <w:b/>
        </w:rPr>
        <w:tab/>
      </w:r>
      <w:r w:rsidR="00003521">
        <w:rPr>
          <w:b/>
          <w:bCs/>
        </w:rPr>
        <w:t xml:space="preserve">Élaborer </w:t>
      </w:r>
      <w:r w:rsidR="00DB2EA2" w:rsidRPr="00A1453B">
        <w:rPr>
          <w:b/>
          <w:bCs/>
        </w:rPr>
        <w:t>un statut de la magistrature qui n’assure pas seulement une indépendance formelle, mais aussi une indépendance réelle ;</w:t>
      </w:r>
    </w:p>
    <w:p w14:paraId="53C5573E" w14:textId="488544CF" w:rsidR="00DB2EA2" w:rsidRPr="00A1453B" w:rsidRDefault="007815F2" w:rsidP="007815F2">
      <w:pPr>
        <w:pStyle w:val="SingleTxtG"/>
        <w:ind w:left="1276" w:firstLine="418"/>
        <w:rPr>
          <w:b/>
          <w:bCs/>
        </w:rPr>
      </w:pPr>
      <w:r w:rsidRPr="00592838">
        <w:rPr>
          <w:b/>
        </w:rPr>
        <w:t>j</w:t>
      </w:r>
      <w:r w:rsidR="00DB2EA2" w:rsidRPr="00592838">
        <w:rPr>
          <w:b/>
        </w:rPr>
        <w:t>)</w:t>
      </w:r>
      <w:r w:rsidRPr="00547C5A">
        <w:rPr>
          <w:b/>
        </w:rPr>
        <w:tab/>
      </w:r>
      <w:r w:rsidR="00003521">
        <w:rPr>
          <w:b/>
          <w:bCs/>
        </w:rPr>
        <w:t>Renforcer le</w:t>
      </w:r>
      <w:r w:rsidR="00DB2EA2" w:rsidRPr="00A1453B">
        <w:rPr>
          <w:b/>
          <w:bCs/>
        </w:rPr>
        <w:t xml:space="preserve"> Conseil </w:t>
      </w:r>
      <w:r w:rsidR="00003521">
        <w:rPr>
          <w:b/>
          <w:bCs/>
        </w:rPr>
        <w:t>s</w:t>
      </w:r>
      <w:r w:rsidR="00DB2EA2" w:rsidRPr="00A1453B">
        <w:rPr>
          <w:b/>
          <w:bCs/>
        </w:rPr>
        <w:t>upéri</w:t>
      </w:r>
      <w:r w:rsidR="009F2FF3">
        <w:rPr>
          <w:b/>
          <w:bCs/>
        </w:rPr>
        <w:t xml:space="preserve">eur de la </w:t>
      </w:r>
      <w:r w:rsidR="00003521">
        <w:rPr>
          <w:b/>
          <w:bCs/>
        </w:rPr>
        <w:t>m</w:t>
      </w:r>
      <w:r w:rsidR="009F2FF3">
        <w:rPr>
          <w:b/>
          <w:bCs/>
        </w:rPr>
        <w:t>agistrature et ses attribution</w:t>
      </w:r>
      <w:r w:rsidR="00B12FB0">
        <w:rPr>
          <w:b/>
          <w:bCs/>
        </w:rPr>
        <w:t>s</w:t>
      </w:r>
      <w:r w:rsidR="009F2FF3">
        <w:rPr>
          <w:b/>
          <w:bCs/>
        </w:rPr>
        <w:t xml:space="preserve"> dans les domaines de </w:t>
      </w:r>
      <w:r w:rsidR="00DB2EA2" w:rsidRPr="00A1453B">
        <w:rPr>
          <w:b/>
          <w:bCs/>
        </w:rPr>
        <w:t xml:space="preserve">la gestion des carrières et </w:t>
      </w:r>
      <w:r w:rsidR="00003521">
        <w:rPr>
          <w:b/>
          <w:bCs/>
        </w:rPr>
        <w:t xml:space="preserve">de </w:t>
      </w:r>
      <w:r w:rsidR="00DB2EA2" w:rsidRPr="00A1453B">
        <w:rPr>
          <w:b/>
          <w:bCs/>
        </w:rPr>
        <w:t>la discipline des magistrats ;</w:t>
      </w:r>
    </w:p>
    <w:p w14:paraId="54B0C92D" w14:textId="1418A66D" w:rsidR="00DB2EA2" w:rsidRPr="00A1453B" w:rsidRDefault="007815F2" w:rsidP="007815F2">
      <w:pPr>
        <w:pStyle w:val="SingleTxtG"/>
        <w:ind w:left="1276" w:firstLine="418"/>
        <w:rPr>
          <w:b/>
          <w:bCs/>
        </w:rPr>
      </w:pPr>
      <w:r w:rsidRPr="00592838">
        <w:rPr>
          <w:b/>
        </w:rPr>
        <w:t>k</w:t>
      </w:r>
      <w:r w:rsidR="00DB2EA2" w:rsidRPr="00592838">
        <w:rPr>
          <w:b/>
        </w:rPr>
        <w:t>)</w:t>
      </w:r>
      <w:r w:rsidRPr="00592838">
        <w:rPr>
          <w:b/>
        </w:rPr>
        <w:tab/>
      </w:r>
      <w:r w:rsidR="007B1E94">
        <w:rPr>
          <w:b/>
          <w:bCs/>
        </w:rPr>
        <w:t>Mettre</w:t>
      </w:r>
      <w:r w:rsidR="00DB2EA2" w:rsidRPr="00A1453B">
        <w:rPr>
          <w:b/>
          <w:bCs/>
        </w:rPr>
        <w:t xml:space="preserve"> en œuvre </w:t>
      </w:r>
      <w:r w:rsidR="007B1E94">
        <w:rPr>
          <w:b/>
          <w:bCs/>
        </w:rPr>
        <w:t>le</w:t>
      </w:r>
      <w:r w:rsidR="00DB2EA2" w:rsidRPr="00A1453B">
        <w:rPr>
          <w:b/>
          <w:bCs/>
        </w:rPr>
        <w:t xml:space="preserve"> principe relatif à l’inamovibilité des magistrats du siège ;</w:t>
      </w:r>
    </w:p>
    <w:p w14:paraId="483AF4DF" w14:textId="3385BC43" w:rsidR="006023D3" w:rsidRPr="00A1453B" w:rsidRDefault="007815F2" w:rsidP="007815F2">
      <w:pPr>
        <w:pStyle w:val="SingleTxtG"/>
        <w:ind w:left="1276" w:firstLine="418"/>
        <w:rPr>
          <w:b/>
          <w:bCs/>
        </w:rPr>
      </w:pPr>
      <w:r w:rsidRPr="00592838">
        <w:rPr>
          <w:b/>
        </w:rPr>
        <w:t>l</w:t>
      </w:r>
      <w:r w:rsidR="00DB2EA2" w:rsidRPr="00592838">
        <w:rPr>
          <w:b/>
        </w:rPr>
        <w:t>)</w:t>
      </w:r>
      <w:r w:rsidRPr="00547C5A">
        <w:rPr>
          <w:b/>
        </w:rPr>
        <w:tab/>
      </w:r>
      <w:r w:rsidR="007B1E94" w:rsidRPr="00416CC6">
        <w:rPr>
          <w:b/>
          <w:bCs/>
        </w:rPr>
        <w:t>Mettre</w:t>
      </w:r>
      <w:r w:rsidR="00DB2EA2" w:rsidRPr="00416CC6">
        <w:rPr>
          <w:b/>
          <w:bCs/>
        </w:rPr>
        <w:t xml:space="preserve"> en place de</w:t>
      </w:r>
      <w:r w:rsidR="007B1E94" w:rsidRPr="00416CC6">
        <w:rPr>
          <w:b/>
          <w:bCs/>
        </w:rPr>
        <w:t>s</w:t>
      </w:r>
      <w:r w:rsidR="00DB2EA2" w:rsidRPr="00416CC6">
        <w:rPr>
          <w:b/>
          <w:bCs/>
        </w:rPr>
        <w:t xml:space="preserve"> garanties assurant un procès équitable à toutes les personnes arrêtées et détenues dans le cadre de la crise politique de 2015</w:t>
      </w:r>
      <w:r w:rsidR="00DE443F" w:rsidRPr="00416CC6">
        <w:rPr>
          <w:b/>
          <w:bCs/>
        </w:rPr>
        <w:t>,</w:t>
      </w:r>
      <w:r w:rsidR="00DB2EA2" w:rsidRPr="00416CC6">
        <w:rPr>
          <w:b/>
          <w:bCs/>
        </w:rPr>
        <w:t xml:space="preserve"> et engager des poursuites systématiques, approfondies et indépendantes sur les crimes qui constituent de graves violations des droits de l’homme ;</w:t>
      </w:r>
    </w:p>
    <w:p w14:paraId="574DA592" w14:textId="40497B44" w:rsidR="00DB2EA2" w:rsidRPr="00A1453B" w:rsidRDefault="007815F2" w:rsidP="007815F2">
      <w:pPr>
        <w:pStyle w:val="SingleTxtG"/>
        <w:ind w:left="1276" w:firstLine="418"/>
        <w:rPr>
          <w:b/>
          <w:bCs/>
        </w:rPr>
      </w:pPr>
      <w:r w:rsidRPr="00592838">
        <w:rPr>
          <w:b/>
        </w:rPr>
        <w:t>m</w:t>
      </w:r>
      <w:r w:rsidR="00DB2EA2" w:rsidRPr="00592838">
        <w:rPr>
          <w:b/>
        </w:rPr>
        <w:t>)</w:t>
      </w:r>
      <w:r w:rsidRPr="00592838">
        <w:rPr>
          <w:b/>
        </w:rPr>
        <w:tab/>
      </w:r>
      <w:r w:rsidR="00205E7E">
        <w:rPr>
          <w:b/>
          <w:bCs/>
        </w:rPr>
        <w:t>Intégrer de manière</w:t>
      </w:r>
      <w:r w:rsidR="00DB2EA2" w:rsidRPr="00A1453B">
        <w:rPr>
          <w:b/>
          <w:bCs/>
        </w:rPr>
        <w:t xml:space="preserve"> systématique l’égalité </w:t>
      </w:r>
      <w:r w:rsidR="00205E7E">
        <w:rPr>
          <w:b/>
          <w:bCs/>
        </w:rPr>
        <w:t>de</w:t>
      </w:r>
      <w:r w:rsidR="00053E95">
        <w:rPr>
          <w:b/>
          <w:bCs/>
        </w:rPr>
        <w:t>s</w:t>
      </w:r>
      <w:r w:rsidR="00DB2EA2" w:rsidRPr="00A1453B">
        <w:rPr>
          <w:b/>
          <w:bCs/>
        </w:rPr>
        <w:t xml:space="preserve"> genre</w:t>
      </w:r>
      <w:r w:rsidR="00053E95">
        <w:rPr>
          <w:b/>
          <w:bCs/>
        </w:rPr>
        <w:t>s</w:t>
      </w:r>
      <w:r w:rsidR="00DB2EA2" w:rsidRPr="00A1453B">
        <w:rPr>
          <w:b/>
          <w:bCs/>
        </w:rPr>
        <w:t xml:space="preserve"> en tant que priorité visible dans la législation et dans les politiques, programmes et projets à tous les niveaux ;</w:t>
      </w:r>
    </w:p>
    <w:p w14:paraId="58D5AAFA" w14:textId="5941006A" w:rsidR="00DB2EA2" w:rsidRPr="00A1453B" w:rsidRDefault="007815F2" w:rsidP="007815F2">
      <w:pPr>
        <w:pStyle w:val="SingleTxtG"/>
        <w:ind w:left="1276" w:firstLine="418"/>
        <w:rPr>
          <w:b/>
          <w:bCs/>
        </w:rPr>
      </w:pPr>
      <w:r w:rsidRPr="00592838">
        <w:rPr>
          <w:b/>
        </w:rPr>
        <w:t>n</w:t>
      </w:r>
      <w:r w:rsidR="00DB2EA2" w:rsidRPr="00592838">
        <w:rPr>
          <w:b/>
        </w:rPr>
        <w:t>)</w:t>
      </w:r>
      <w:r w:rsidRPr="00592838">
        <w:rPr>
          <w:b/>
        </w:rPr>
        <w:tab/>
      </w:r>
      <w:r w:rsidR="00053E95">
        <w:rPr>
          <w:b/>
          <w:bCs/>
        </w:rPr>
        <w:t>Renforcer les</w:t>
      </w:r>
      <w:r w:rsidR="00DB2EA2" w:rsidRPr="00A1453B">
        <w:rPr>
          <w:b/>
          <w:bCs/>
        </w:rPr>
        <w:t xml:space="preserve"> mesures favorisant </w:t>
      </w:r>
      <w:r w:rsidR="00BF44E3">
        <w:rPr>
          <w:b/>
          <w:bCs/>
        </w:rPr>
        <w:t xml:space="preserve">le retour et </w:t>
      </w:r>
      <w:r w:rsidR="00DB2EA2" w:rsidRPr="00A1453B">
        <w:rPr>
          <w:b/>
          <w:bCs/>
        </w:rPr>
        <w:t xml:space="preserve">la réintégration durable des </w:t>
      </w:r>
      <w:r w:rsidR="00A1453B" w:rsidRPr="00A1453B">
        <w:rPr>
          <w:b/>
          <w:bCs/>
        </w:rPr>
        <w:t>réfugiés ;</w:t>
      </w:r>
    </w:p>
    <w:p w14:paraId="180D29F7" w14:textId="41AA6BE8" w:rsidR="00DB2EA2" w:rsidRPr="00A1453B" w:rsidRDefault="00DB2EA2" w:rsidP="007815F2">
      <w:pPr>
        <w:pStyle w:val="SingleTxtG"/>
        <w:ind w:left="1276" w:firstLine="418"/>
        <w:rPr>
          <w:b/>
          <w:bCs/>
        </w:rPr>
      </w:pPr>
      <w:r w:rsidRPr="00592838">
        <w:rPr>
          <w:b/>
        </w:rPr>
        <w:t>o)</w:t>
      </w:r>
      <w:r w:rsidR="007815F2" w:rsidRPr="00592838">
        <w:rPr>
          <w:b/>
        </w:rPr>
        <w:tab/>
      </w:r>
      <w:r w:rsidR="009878D0">
        <w:rPr>
          <w:b/>
          <w:bCs/>
        </w:rPr>
        <w:t>Accroître les</w:t>
      </w:r>
      <w:r w:rsidRPr="00A1453B">
        <w:rPr>
          <w:b/>
          <w:bCs/>
        </w:rPr>
        <w:t xml:space="preserve"> investissements dans les systèmes alimentaires locaux</w:t>
      </w:r>
      <w:r w:rsidR="009878D0">
        <w:rPr>
          <w:b/>
          <w:bCs/>
        </w:rPr>
        <w:t>,</w:t>
      </w:r>
      <w:r w:rsidRPr="00A1453B">
        <w:rPr>
          <w:b/>
          <w:bCs/>
        </w:rPr>
        <w:t xml:space="preserve"> afin de les rendre plus résistants aux chocs externes et internes par la transformat</w:t>
      </w:r>
      <w:r w:rsidR="009F2FF3">
        <w:rPr>
          <w:b/>
          <w:bCs/>
        </w:rPr>
        <w:t>ion des chaînes de valeur clés</w:t>
      </w:r>
      <w:r w:rsidR="003046AB">
        <w:rPr>
          <w:b/>
          <w:bCs/>
        </w:rPr>
        <w:t> </w:t>
      </w:r>
      <w:r w:rsidRPr="00A1453B">
        <w:rPr>
          <w:b/>
          <w:bCs/>
        </w:rPr>
        <w:t>;</w:t>
      </w:r>
    </w:p>
    <w:p w14:paraId="4C0FA6D8" w14:textId="34786CB4" w:rsidR="00DB2EA2" w:rsidRPr="00A1453B" w:rsidRDefault="00DB2EA2" w:rsidP="007815F2">
      <w:pPr>
        <w:pStyle w:val="SingleTxtG"/>
        <w:ind w:left="1276" w:firstLine="418"/>
        <w:rPr>
          <w:b/>
          <w:bCs/>
        </w:rPr>
      </w:pPr>
      <w:r w:rsidRPr="00592838">
        <w:rPr>
          <w:b/>
        </w:rPr>
        <w:t>p)</w:t>
      </w:r>
      <w:r w:rsidR="007815F2" w:rsidRPr="00592838">
        <w:rPr>
          <w:b/>
        </w:rPr>
        <w:tab/>
      </w:r>
      <w:r w:rsidR="00213226">
        <w:rPr>
          <w:b/>
          <w:bCs/>
        </w:rPr>
        <w:t>Assurer le</w:t>
      </w:r>
      <w:r w:rsidRPr="00A1453B">
        <w:rPr>
          <w:b/>
          <w:bCs/>
        </w:rPr>
        <w:t xml:space="preserve"> soutien financier et </w:t>
      </w:r>
      <w:r w:rsidR="00416CC6">
        <w:rPr>
          <w:b/>
          <w:bCs/>
        </w:rPr>
        <w:t>technique</w:t>
      </w:r>
      <w:r w:rsidR="00416CC6" w:rsidRPr="00A1453B">
        <w:rPr>
          <w:b/>
          <w:bCs/>
        </w:rPr>
        <w:t xml:space="preserve"> </w:t>
      </w:r>
      <w:r w:rsidRPr="00A1453B">
        <w:rPr>
          <w:b/>
          <w:bCs/>
        </w:rPr>
        <w:t>nécessaire à la société civile, y</w:t>
      </w:r>
      <w:r w:rsidR="00BA6AD6">
        <w:rPr>
          <w:b/>
          <w:bCs/>
        </w:rPr>
        <w:t> </w:t>
      </w:r>
      <w:r w:rsidRPr="00A1453B">
        <w:rPr>
          <w:b/>
          <w:bCs/>
        </w:rPr>
        <w:t xml:space="preserve">compris </w:t>
      </w:r>
      <w:r w:rsidR="00213226">
        <w:rPr>
          <w:b/>
          <w:bCs/>
        </w:rPr>
        <w:t>aux</w:t>
      </w:r>
      <w:r w:rsidRPr="00A1453B">
        <w:rPr>
          <w:b/>
          <w:bCs/>
        </w:rPr>
        <w:t xml:space="preserve"> médias, ainsi qu’aux institutions nationales et internationales chargées de </w:t>
      </w:r>
      <w:r w:rsidR="00213226">
        <w:rPr>
          <w:b/>
          <w:bCs/>
        </w:rPr>
        <w:t xml:space="preserve">la </w:t>
      </w:r>
      <w:r w:rsidRPr="00A1453B">
        <w:rPr>
          <w:b/>
          <w:bCs/>
        </w:rPr>
        <w:t>protection des droits de l’homme au Burundi ;</w:t>
      </w:r>
    </w:p>
    <w:p w14:paraId="52D72585" w14:textId="31537E8E" w:rsidR="00CA7F3D" w:rsidRPr="00A1453B" w:rsidRDefault="00DB2EA2" w:rsidP="007815F2">
      <w:pPr>
        <w:pStyle w:val="SingleTxtG"/>
        <w:ind w:left="1276" w:firstLine="418"/>
        <w:rPr>
          <w:b/>
          <w:bCs/>
        </w:rPr>
      </w:pPr>
      <w:r w:rsidRPr="00592838">
        <w:rPr>
          <w:b/>
        </w:rPr>
        <w:t>q)</w:t>
      </w:r>
      <w:r w:rsidR="007815F2" w:rsidRPr="00592838">
        <w:rPr>
          <w:b/>
        </w:rPr>
        <w:tab/>
      </w:r>
      <w:r w:rsidR="009F2FF3">
        <w:rPr>
          <w:b/>
          <w:bCs/>
        </w:rPr>
        <w:t>Diligenter des enquêtes indépendantes et effectives sur les cas de violations</w:t>
      </w:r>
      <w:r w:rsidR="00416CC6">
        <w:rPr>
          <w:b/>
          <w:bCs/>
        </w:rPr>
        <w:t xml:space="preserve"> et abus</w:t>
      </w:r>
      <w:r w:rsidR="009F2FF3">
        <w:rPr>
          <w:b/>
          <w:bCs/>
        </w:rPr>
        <w:t xml:space="preserve"> documentés</w:t>
      </w:r>
      <w:r w:rsidR="006774A9">
        <w:rPr>
          <w:b/>
          <w:bCs/>
        </w:rPr>
        <w:t>,</w:t>
      </w:r>
      <w:r w:rsidR="009F2FF3">
        <w:rPr>
          <w:b/>
          <w:bCs/>
        </w:rPr>
        <w:t xml:space="preserve"> afin </w:t>
      </w:r>
      <w:r w:rsidR="00D53DC2">
        <w:rPr>
          <w:b/>
          <w:bCs/>
        </w:rPr>
        <w:t>d’y</w:t>
      </w:r>
      <w:r w:rsidR="009F2FF3">
        <w:rPr>
          <w:b/>
          <w:bCs/>
        </w:rPr>
        <w:t xml:space="preserve"> mettre</w:t>
      </w:r>
      <w:r w:rsidRPr="00A1453B">
        <w:rPr>
          <w:b/>
          <w:bCs/>
        </w:rPr>
        <w:t xml:space="preserve"> fin</w:t>
      </w:r>
      <w:r w:rsidR="009F2FF3">
        <w:rPr>
          <w:b/>
          <w:bCs/>
        </w:rPr>
        <w:t xml:space="preserve"> </w:t>
      </w:r>
      <w:r w:rsidR="0024590D">
        <w:rPr>
          <w:b/>
          <w:bCs/>
        </w:rPr>
        <w:t>et</w:t>
      </w:r>
      <w:r w:rsidR="009F2FF3">
        <w:rPr>
          <w:b/>
          <w:bCs/>
        </w:rPr>
        <w:t xml:space="preserve"> de permettre l’instauration d’un climat de confiance, de tolérance et d’inclusion</w:t>
      </w:r>
      <w:r w:rsidR="001A158E">
        <w:rPr>
          <w:b/>
          <w:bCs/>
        </w:rPr>
        <w:t> ;</w:t>
      </w:r>
    </w:p>
    <w:p w14:paraId="42276F03" w14:textId="677BB816" w:rsidR="00446E27" w:rsidRPr="00A1453B" w:rsidRDefault="00A1453B" w:rsidP="007815F2">
      <w:pPr>
        <w:pStyle w:val="SingleTxtG"/>
        <w:ind w:left="1276" w:firstLine="418"/>
        <w:rPr>
          <w:b/>
          <w:bCs/>
        </w:rPr>
      </w:pPr>
      <w:r w:rsidRPr="00592838">
        <w:rPr>
          <w:b/>
        </w:rPr>
        <w:t>r</w:t>
      </w:r>
      <w:r w:rsidR="00CA7F3D" w:rsidRPr="00592838">
        <w:rPr>
          <w:b/>
        </w:rPr>
        <w:t>)</w:t>
      </w:r>
      <w:r w:rsidR="007815F2" w:rsidRPr="00547C5A">
        <w:rPr>
          <w:b/>
        </w:rPr>
        <w:tab/>
      </w:r>
      <w:r w:rsidR="0024590D">
        <w:rPr>
          <w:b/>
          <w:bCs/>
        </w:rPr>
        <w:t>G</w:t>
      </w:r>
      <w:r w:rsidR="00DB2EA2" w:rsidRPr="00A1453B">
        <w:rPr>
          <w:b/>
          <w:bCs/>
        </w:rPr>
        <w:t xml:space="preserve">arantir les libertés de circulation, d’expression, de réunion et d’association, </w:t>
      </w:r>
      <w:r w:rsidR="003A2B34">
        <w:rPr>
          <w:b/>
          <w:bCs/>
        </w:rPr>
        <w:t xml:space="preserve">ainsi que </w:t>
      </w:r>
      <w:r w:rsidR="00DB2EA2" w:rsidRPr="00A1453B">
        <w:rPr>
          <w:b/>
          <w:bCs/>
        </w:rPr>
        <w:t>la lib</w:t>
      </w:r>
      <w:r w:rsidR="009F2FF3">
        <w:rPr>
          <w:b/>
          <w:bCs/>
        </w:rPr>
        <w:t xml:space="preserve">erté et l’intégrité </w:t>
      </w:r>
      <w:r w:rsidR="00DB2EA2" w:rsidRPr="00A1453B">
        <w:rPr>
          <w:b/>
          <w:bCs/>
        </w:rPr>
        <w:t xml:space="preserve">des </w:t>
      </w:r>
      <w:r w:rsidR="005B3E46">
        <w:rPr>
          <w:b/>
          <w:bCs/>
        </w:rPr>
        <w:t xml:space="preserve">défenseuses et </w:t>
      </w:r>
      <w:r w:rsidR="00DB2EA2" w:rsidRPr="00A1453B">
        <w:rPr>
          <w:b/>
          <w:bCs/>
        </w:rPr>
        <w:t>défenseurs des droits de l’homme</w:t>
      </w:r>
      <w:r w:rsidR="003A2B34">
        <w:rPr>
          <w:b/>
          <w:bCs/>
        </w:rPr>
        <w:t>,</w:t>
      </w:r>
      <w:r w:rsidR="00CA7F3D" w:rsidRPr="00A1453B">
        <w:rPr>
          <w:b/>
          <w:bCs/>
        </w:rPr>
        <w:t xml:space="preserve"> et m</w:t>
      </w:r>
      <w:r w:rsidR="00446E27" w:rsidRPr="00A1453B">
        <w:rPr>
          <w:b/>
          <w:bCs/>
        </w:rPr>
        <w:t>ettre fin à l’intimidation et à la poursuite injustifiée des journalistes et des membres de la société civile qui font leur travail légitime en faveur des droits de l’homme et des libertés fondamentales</w:t>
      </w:r>
      <w:r w:rsidR="001A158E">
        <w:rPr>
          <w:b/>
          <w:bCs/>
        </w:rPr>
        <w:t>.</w:t>
      </w:r>
    </w:p>
    <w:p w14:paraId="54030FF6" w14:textId="2404B52E" w:rsidR="00DB2EA2" w:rsidRDefault="00A1453B" w:rsidP="00DB2EA2">
      <w:pPr>
        <w:pStyle w:val="SingleTxtG"/>
      </w:pPr>
      <w:r>
        <w:t>89.</w:t>
      </w:r>
      <w:r>
        <w:tab/>
      </w:r>
      <w:r w:rsidR="009F2FF3">
        <w:rPr>
          <w:b/>
        </w:rPr>
        <w:t>Enfin</w:t>
      </w:r>
      <w:r w:rsidR="00DB2EA2" w:rsidRPr="00A1453B">
        <w:rPr>
          <w:b/>
        </w:rPr>
        <w:t xml:space="preserve">, le Rapporteur spécial recommande </w:t>
      </w:r>
      <w:r w:rsidR="0073288D">
        <w:rPr>
          <w:b/>
        </w:rPr>
        <w:t>de poursuivre les</w:t>
      </w:r>
      <w:r w:rsidR="00DB2EA2" w:rsidRPr="00A1453B">
        <w:rPr>
          <w:b/>
        </w:rPr>
        <w:t xml:space="preserve"> efforts </w:t>
      </w:r>
      <w:r w:rsidR="000E7132">
        <w:rPr>
          <w:b/>
        </w:rPr>
        <w:t>visant à garantir l’</w:t>
      </w:r>
      <w:r w:rsidR="000E7132" w:rsidRPr="009F2FF3">
        <w:rPr>
          <w:b/>
        </w:rPr>
        <w:t>indépend</w:t>
      </w:r>
      <w:r w:rsidR="000E7132">
        <w:rPr>
          <w:b/>
        </w:rPr>
        <w:t>ance formelle et matérielle de</w:t>
      </w:r>
      <w:r w:rsidR="00DB2EA2" w:rsidRPr="00A1453B">
        <w:rPr>
          <w:b/>
        </w:rPr>
        <w:t xml:space="preserve"> la Commission nationale </w:t>
      </w:r>
      <w:r w:rsidR="00DB2EA2" w:rsidRPr="00A1453B">
        <w:rPr>
          <w:b/>
        </w:rPr>
        <w:lastRenderedPageBreak/>
        <w:t xml:space="preserve">indépendante des droits de l’homme </w:t>
      </w:r>
      <w:r w:rsidR="009F2FF3">
        <w:rPr>
          <w:b/>
        </w:rPr>
        <w:t>dans</w:t>
      </w:r>
      <w:r w:rsidR="009F2FF3" w:rsidRPr="009F2FF3">
        <w:rPr>
          <w:b/>
        </w:rPr>
        <w:t xml:space="preserve"> l’accomplissement de son mandat</w:t>
      </w:r>
      <w:r w:rsidR="00F10BD0">
        <w:rPr>
          <w:b/>
        </w:rPr>
        <w:t xml:space="preserve">, </w:t>
      </w:r>
      <w:r w:rsidR="00BC0B0D">
        <w:rPr>
          <w:b/>
        </w:rPr>
        <w:t xml:space="preserve">et </w:t>
      </w:r>
      <w:r w:rsidR="007E1FEB">
        <w:rPr>
          <w:b/>
        </w:rPr>
        <w:t xml:space="preserve">de la doter </w:t>
      </w:r>
      <w:r w:rsidR="00F10BD0">
        <w:rPr>
          <w:b/>
        </w:rPr>
        <w:t xml:space="preserve">de moyens matériels, humains et financiers suffisants ainsi que </w:t>
      </w:r>
      <w:r w:rsidR="007E1FEB">
        <w:rPr>
          <w:b/>
        </w:rPr>
        <w:t>d’un mécanisme de recueil de plaintes fiable</w:t>
      </w:r>
      <w:r w:rsidR="00F70762">
        <w:rPr>
          <w:b/>
        </w:rPr>
        <w:t>.</w:t>
      </w:r>
      <w:r w:rsidR="009F2FF3" w:rsidRPr="009F2FF3">
        <w:rPr>
          <w:b/>
        </w:rPr>
        <w:t xml:space="preserve"> </w:t>
      </w:r>
    </w:p>
    <w:p w14:paraId="71EAF4B4" w14:textId="223E8480" w:rsidR="00A1453B" w:rsidRPr="00A1453B" w:rsidRDefault="00A1453B" w:rsidP="00A1453B">
      <w:pPr>
        <w:pStyle w:val="SingleTxtG"/>
        <w:spacing w:before="240" w:after="0"/>
        <w:jc w:val="center"/>
        <w:rPr>
          <w:u w:val="single"/>
        </w:rPr>
      </w:pPr>
      <w:r>
        <w:rPr>
          <w:u w:val="single"/>
        </w:rPr>
        <w:tab/>
      </w:r>
      <w:r>
        <w:rPr>
          <w:u w:val="single"/>
        </w:rPr>
        <w:tab/>
      </w:r>
      <w:r>
        <w:rPr>
          <w:u w:val="single"/>
        </w:rPr>
        <w:tab/>
      </w:r>
      <w:r w:rsidR="009A4C26">
        <w:rPr>
          <w:u w:val="single"/>
        </w:rPr>
        <w:tab/>
      </w:r>
    </w:p>
    <w:sectPr w:rsidR="00A1453B" w:rsidRPr="00A1453B" w:rsidSect="003103C7">
      <w:headerReference w:type="even" r:id="rId11"/>
      <w:headerReference w:type="default" r:id="rId12"/>
      <w:footerReference w:type="even" r:id="rId13"/>
      <w:footerReference w:type="default" r:id="rId14"/>
      <w:footerReference w:type="first" r:id="rId15"/>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9E72E" w14:textId="77777777" w:rsidR="00B354CD" w:rsidRDefault="00B354CD"/>
  </w:endnote>
  <w:endnote w:type="continuationSeparator" w:id="0">
    <w:p w14:paraId="5C7CFC91" w14:textId="77777777" w:rsidR="00B354CD" w:rsidRDefault="00B354CD"/>
  </w:endnote>
  <w:endnote w:type="continuationNotice" w:id="1">
    <w:p w14:paraId="010157B0" w14:textId="77777777" w:rsidR="00B354CD" w:rsidRDefault="00B354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A2410" w14:textId="51B80199" w:rsidR="00657270" w:rsidRPr="00B26E71" w:rsidRDefault="00657270" w:rsidP="00B26E71">
    <w:pPr>
      <w:pStyle w:val="Footer"/>
      <w:tabs>
        <w:tab w:val="right" w:pos="9638"/>
      </w:tabs>
      <w:rPr>
        <w:sz w:val="18"/>
      </w:rPr>
    </w:pPr>
    <w:r w:rsidRPr="00B26E71">
      <w:rPr>
        <w:b/>
        <w:sz w:val="18"/>
      </w:rPr>
      <w:fldChar w:fldCharType="begin"/>
    </w:r>
    <w:r w:rsidRPr="00B26E71">
      <w:rPr>
        <w:b/>
        <w:sz w:val="18"/>
      </w:rPr>
      <w:instrText xml:space="preserve"> PAGE  \* MERGEFORMAT </w:instrText>
    </w:r>
    <w:r w:rsidRPr="00B26E71">
      <w:rPr>
        <w:b/>
        <w:sz w:val="18"/>
      </w:rPr>
      <w:fldChar w:fldCharType="separate"/>
    </w:r>
    <w:r w:rsidR="00C15359">
      <w:rPr>
        <w:b/>
        <w:noProof/>
        <w:sz w:val="18"/>
      </w:rPr>
      <w:t>18</w:t>
    </w:r>
    <w:r w:rsidRPr="00B26E7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0059A" w14:textId="07DC14E9" w:rsidR="00657270" w:rsidRPr="00B26E71" w:rsidRDefault="00657270" w:rsidP="00B26E71">
    <w:pPr>
      <w:pStyle w:val="Footer"/>
      <w:tabs>
        <w:tab w:val="right" w:pos="9638"/>
      </w:tabs>
      <w:rPr>
        <w:b/>
        <w:sz w:val="18"/>
      </w:rPr>
    </w:pPr>
    <w:r>
      <w:tab/>
    </w:r>
    <w:r w:rsidRPr="00B26E71">
      <w:rPr>
        <w:b/>
        <w:sz w:val="18"/>
      </w:rPr>
      <w:fldChar w:fldCharType="begin"/>
    </w:r>
    <w:r w:rsidRPr="00B26E71">
      <w:rPr>
        <w:b/>
        <w:sz w:val="18"/>
      </w:rPr>
      <w:instrText xml:space="preserve"> PAGE  \* MERGEFORMAT </w:instrText>
    </w:r>
    <w:r w:rsidRPr="00B26E71">
      <w:rPr>
        <w:b/>
        <w:sz w:val="18"/>
      </w:rPr>
      <w:fldChar w:fldCharType="separate"/>
    </w:r>
    <w:r w:rsidR="00C15359">
      <w:rPr>
        <w:b/>
        <w:noProof/>
        <w:sz w:val="18"/>
      </w:rPr>
      <w:t>19</w:t>
    </w:r>
    <w:r w:rsidRPr="00B26E7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C15F9" w14:textId="39E38C79" w:rsidR="009A4C26" w:rsidRDefault="009A4C26" w:rsidP="009A4C26">
    <w:pPr>
      <w:pStyle w:val="Footer"/>
      <w:tabs>
        <w:tab w:val="right" w:pos="9639"/>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07311" w14:textId="77777777" w:rsidR="00B354CD" w:rsidRPr="00D27D5E" w:rsidRDefault="00B354CD" w:rsidP="00D27D5E">
      <w:pPr>
        <w:tabs>
          <w:tab w:val="right" w:pos="2155"/>
        </w:tabs>
        <w:spacing w:after="80"/>
        <w:ind w:left="680"/>
        <w:rPr>
          <w:u w:val="single"/>
        </w:rPr>
      </w:pPr>
      <w:r>
        <w:rPr>
          <w:u w:val="single"/>
        </w:rPr>
        <w:tab/>
      </w:r>
    </w:p>
  </w:footnote>
  <w:footnote w:type="continuationSeparator" w:id="0">
    <w:p w14:paraId="7E38EBBD" w14:textId="77777777" w:rsidR="00B354CD" w:rsidRPr="00D72E7E" w:rsidRDefault="00B354CD" w:rsidP="00D72E7E">
      <w:pPr>
        <w:tabs>
          <w:tab w:val="right" w:pos="2155"/>
        </w:tabs>
        <w:spacing w:after="80"/>
        <w:ind w:left="680"/>
        <w:rPr>
          <w:u w:val="single"/>
        </w:rPr>
      </w:pPr>
      <w:r w:rsidRPr="00D72E7E">
        <w:rPr>
          <w:u w:val="single"/>
        </w:rPr>
        <w:tab/>
      </w:r>
    </w:p>
  </w:footnote>
  <w:footnote w:type="continuationNotice" w:id="1">
    <w:p w14:paraId="0ECBD136" w14:textId="77777777" w:rsidR="00B354CD" w:rsidRDefault="00B354CD"/>
  </w:footnote>
  <w:footnote w:id="2">
    <w:p w14:paraId="1ECA20AF" w14:textId="6031EA37" w:rsidR="002C22BA" w:rsidRPr="002C22BA" w:rsidRDefault="002C22BA">
      <w:pPr>
        <w:pStyle w:val="FootnoteText"/>
        <w:rPr>
          <w:lang w:val="en-GB"/>
        </w:rPr>
      </w:pPr>
      <w:r>
        <w:rPr>
          <w:rStyle w:val="FootnoteReference"/>
        </w:rPr>
        <w:tab/>
      </w:r>
      <w:r w:rsidRPr="002C22BA">
        <w:rPr>
          <w:rStyle w:val="FootnoteReference"/>
          <w:sz w:val="20"/>
          <w:vertAlign w:val="baseline"/>
        </w:rPr>
        <w:t>*</w:t>
      </w:r>
      <w:r>
        <w:rPr>
          <w:rStyle w:val="FootnoteReference"/>
          <w:sz w:val="20"/>
          <w:vertAlign w:val="baseline"/>
        </w:rPr>
        <w:tab/>
      </w:r>
      <w:r w:rsidRPr="002C22BA">
        <w:rPr>
          <w:szCs w:val="18"/>
        </w:rPr>
        <w:t>Le présent rapport a été soumis après la date prévue pour que l’information la plus récente puisse y figurer.</w:t>
      </w:r>
    </w:p>
  </w:footnote>
  <w:footnote w:id="3">
    <w:p w14:paraId="4EF1C601" w14:textId="79D946FA" w:rsidR="00657270" w:rsidRPr="00F11D0A" w:rsidRDefault="00657270" w:rsidP="00592838">
      <w:pPr>
        <w:pStyle w:val="FootnoteText"/>
      </w:pPr>
      <w:r w:rsidRPr="00FF67BA">
        <w:tab/>
      </w:r>
      <w:r w:rsidRPr="00E65B46">
        <w:rPr>
          <w:rStyle w:val="EndnoteReference"/>
        </w:rPr>
        <w:footnoteRef/>
      </w:r>
      <w:r>
        <w:tab/>
      </w:r>
      <w:r w:rsidR="003655C7">
        <w:t xml:space="preserve">Groupe de la </w:t>
      </w:r>
      <w:r w:rsidR="00F905C7">
        <w:t xml:space="preserve">Banque mondiale, </w:t>
      </w:r>
      <w:r w:rsidRPr="00592838">
        <w:rPr>
          <w:i/>
          <w:iCs/>
        </w:rPr>
        <w:t xml:space="preserve">Mémorandum </w:t>
      </w:r>
      <w:r w:rsidR="00446C4B" w:rsidRPr="00592838">
        <w:rPr>
          <w:i/>
          <w:iCs/>
        </w:rPr>
        <w:t>é</w:t>
      </w:r>
      <w:r w:rsidRPr="00592838">
        <w:rPr>
          <w:i/>
          <w:iCs/>
        </w:rPr>
        <w:t xml:space="preserve">conomique de </w:t>
      </w:r>
      <w:r w:rsidR="00446C4B" w:rsidRPr="00592838">
        <w:rPr>
          <w:i/>
          <w:iCs/>
        </w:rPr>
        <w:t>l</w:t>
      </w:r>
      <w:r w:rsidRPr="00592838">
        <w:rPr>
          <w:i/>
          <w:iCs/>
        </w:rPr>
        <w:t>a République du Burundi</w:t>
      </w:r>
      <w:r w:rsidR="00450800" w:rsidRPr="00F11D0A">
        <w:rPr>
          <w:i/>
          <w:iCs/>
        </w:rPr>
        <w:t> : sortir du cycle de la fragilité pour saisir les opportunités d’une croissance plus inclusive et durable</w:t>
      </w:r>
      <w:r w:rsidRPr="00FF67BA">
        <w:t xml:space="preserve">, </w:t>
      </w:r>
      <w:r w:rsidR="00446C4B">
        <w:t>p. </w:t>
      </w:r>
      <w:r w:rsidRPr="00FF67BA">
        <w:t>3</w:t>
      </w:r>
      <w:r w:rsidR="009A4C26">
        <w:t>.</w:t>
      </w:r>
    </w:p>
  </w:footnote>
  <w:footnote w:id="4">
    <w:p w14:paraId="2C45F6BF" w14:textId="39DFCD96" w:rsidR="00657270" w:rsidRPr="00592838" w:rsidRDefault="00657270" w:rsidP="00F11D0A">
      <w:pPr>
        <w:pStyle w:val="FootnoteText"/>
        <w:rPr>
          <w:rStyle w:val="EndnoteReference"/>
          <w:vertAlign w:val="baseline"/>
          <w:lang w:val="fr-FR"/>
        </w:rPr>
      </w:pPr>
      <w:r w:rsidRPr="00660A1D">
        <w:rPr>
          <w:rStyle w:val="EndnoteReference"/>
          <w:vertAlign w:val="baseline"/>
          <w:lang w:val="fr-FR"/>
        </w:rPr>
        <w:tab/>
      </w:r>
      <w:r w:rsidRPr="005F6524">
        <w:rPr>
          <w:rStyle w:val="EndnoteReference"/>
        </w:rPr>
        <w:footnoteRef/>
      </w:r>
      <w:r w:rsidRPr="00592838">
        <w:rPr>
          <w:rStyle w:val="EndnoteReference"/>
          <w:vertAlign w:val="baseline"/>
          <w:lang w:val="fr-FR"/>
        </w:rPr>
        <w:tab/>
      </w:r>
      <w:r w:rsidR="0032046D" w:rsidRPr="00592838">
        <w:rPr>
          <w:lang w:val="fr-FR"/>
        </w:rPr>
        <w:t>D</w:t>
      </w:r>
      <w:r w:rsidR="00826D89" w:rsidRPr="00592838">
        <w:rPr>
          <w:lang w:val="fr-FR"/>
        </w:rPr>
        <w:t>ocument de séance</w:t>
      </w:r>
      <w:r w:rsidRPr="00592838">
        <w:rPr>
          <w:rStyle w:val="EndnoteReference"/>
          <w:vertAlign w:val="baseline"/>
          <w:lang w:val="fr-FR"/>
        </w:rPr>
        <w:t xml:space="preserve"> de la Commission d’enquête sur le Burundi</w:t>
      </w:r>
      <w:r w:rsidR="0024048F" w:rsidRPr="00592838">
        <w:rPr>
          <w:lang w:val="fr-FR"/>
        </w:rPr>
        <w:t xml:space="preserve"> de 2018</w:t>
      </w:r>
      <w:r w:rsidRPr="00592838">
        <w:rPr>
          <w:rStyle w:val="EndnoteReference"/>
          <w:vertAlign w:val="baseline"/>
          <w:lang w:val="fr-FR"/>
        </w:rPr>
        <w:t>, par</w:t>
      </w:r>
      <w:r w:rsidR="002741B7" w:rsidRPr="00592838">
        <w:rPr>
          <w:rStyle w:val="EndnoteReference"/>
          <w:vertAlign w:val="baseline"/>
          <w:lang w:val="fr-FR"/>
        </w:rPr>
        <w:t>.</w:t>
      </w:r>
      <w:r w:rsidR="00592838">
        <w:rPr>
          <w:rStyle w:val="EndnoteReference"/>
          <w:vertAlign w:val="baseline"/>
          <w:lang w:val="fr-FR"/>
        </w:rPr>
        <w:t> </w:t>
      </w:r>
      <w:r w:rsidRPr="00592838">
        <w:rPr>
          <w:rStyle w:val="EndnoteReference"/>
          <w:vertAlign w:val="baseline"/>
          <w:lang w:val="fr-FR"/>
        </w:rPr>
        <w:t>70</w:t>
      </w:r>
      <w:r w:rsidR="002741B7" w:rsidRPr="00592838">
        <w:rPr>
          <w:rStyle w:val="EndnoteReference"/>
          <w:vertAlign w:val="baseline"/>
          <w:lang w:val="fr-FR"/>
        </w:rPr>
        <w:t>,</w:t>
      </w:r>
      <w:r w:rsidR="002741B7" w:rsidRPr="00592838">
        <w:rPr>
          <w:lang w:val="fr-FR"/>
        </w:rPr>
        <w:t xml:space="preserve"> disponible sur la page Web de la Commission</w:t>
      </w:r>
      <w:r w:rsidR="00ED2960" w:rsidRPr="00592838">
        <w:rPr>
          <w:lang w:val="fr-FR"/>
        </w:rPr>
        <w:t xml:space="preserve"> (www.ohchr.org/fr/hr-bodies/hrc/co-i-burundi/co-i-burundi)</w:t>
      </w:r>
      <w:r w:rsidR="009A4C26" w:rsidRPr="00592838">
        <w:rPr>
          <w:lang w:val="fr-FR"/>
        </w:rPr>
        <w:t>.</w:t>
      </w:r>
    </w:p>
  </w:footnote>
  <w:footnote w:id="5">
    <w:p w14:paraId="1317C3D3" w14:textId="089F8A1B" w:rsidR="00657270" w:rsidRPr="000B1BD1" w:rsidRDefault="00657270" w:rsidP="00592838">
      <w:pPr>
        <w:pStyle w:val="FootnoteText"/>
        <w:rPr>
          <w:szCs w:val="18"/>
        </w:rPr>
      </w:pPr>
      <w:r>
        <w:rPr>
          <w:szCs w:val="18"/>
        </w:rPr>
        <w:tab/>
      </w:r>
      <w:r w:rsidRPr="00E65B46">
        <w:rPr>
          <w:rStyle w:val="EndnoteReference"/>
        </w:rPr>
        <w:footnoteRef/>
      </w:r>
      <w:r w:rsidRPr="000B1BD1">
        <w:rPr>
          <w:szCs w:val="18"/>
        </w:rPr>
        <w:tab/>
        <w:t>Accord d’Arusha pour la paix et la réconciliation au Burundi</w:t>
      </w:r>
      <w:r w:rsidR="00406915">
        <w:rPr>
          <w:szCs w:val="18"/>
        </w:rPr>
        <w:t xml:space="preserve">, Protocole I, </w:t>
      </w:r>
      <w:r w:rsidR="00CD6BDD">
        <w:rPr>
          <w:szCs w:val="18"/>
        </w:rPr>
        <w:t>art. 4</w:t>
      </w:r>
      <w:r w:rsidRPr="000B1BD1">
        <w:rPr>
          <w:szCs w:val="18"/>
        </w:rPr>
        <w:t>.</w:t>
      </w:r>
    </w:p>
  </w:footnote>
  <w:footnote w:id="6">
    <w:p w14:paraId="127B39BC" w14:textId="6B81EC99" w:rsidR="00657270" w:rsidRPr="000B1BD1" w:rsidRDefault="00657270" w:rsidP="00592838">
      <w:pPr>
        <w:pStyle w:val="FootnoteText"/>
        <w:rPr>
          <w:szCs w:val="18"/>
        </w:rPr>
      </w:pPr>
      <w:r>
        <w:rPr>
          <w:szCs w:val="18"/>
        </w:rPr>
        <w:tab/>
      </w:r>
      <w:r w:rsidRPr="000B1BD1">
        <w:rPr>
          <w:rStyle w:val="FootnoteReference"/>
          <w:szCs w:val="18"/>
        </w:rPr>
        <w:footnoteRef/>
      </w:r>
      <w:r w:rsidRPr="000B1BD1">
        <w:rPr>
          <w:szCs w:val="18"/>
        </w:rPr>
        <w:tab/>
      </w:r>
      <w:r w:rsidR="004C35F7">
        <w:rPr>
          <w:szCs w:val="18"/>
        </w:rPr>
        <w:t>Ibid., Protocole III, art. </w:t>
      </w:r>
      <w:r w:rsidR="00B700A4">
        <w:rPr>
          <w:szCs w:val="18"/>
        </w:rPr>
        <w:t>2, par. 5</w:t>
      </w:r>
      <w:r w:rsidR="00B875CF">
        <w:rPr>
          <w:szCs w:val="18"/>
        </w:rPr>
        <w:t xml:space="preserve"> et 7 à 10</w:t>
      </w:r>
      <w:r w:rsidRPr="000B1BD1">
        <w:rPr>
          <w:szCs w:val="18"/>
        </w:rPr>
        <w:t>.</w:t>
      </w:r>
    </w:p>
  </w:footnote>
  <w:footnote w:id="7">
    <w:p w14:paraId="410C819F" w14:textId="725E8BA9" w:rsidR="00657270" w:rsidRPr="005F6524" w:rsidRDefault="00657270" w:rsidP="00592838">
      <w:pPr>
        <w:pStyle w:val="FootnoteText"/>
        <w:rPr>
          <w:lang w:val="fr-FR"/>
        </w:rPr>
      </w:pPr>
      <w:r>
        <w:rPr>
          <w:lang w:val="fr-FR"/>
        </w:rPr>
        <w:tab/>
      </w:r>
      <w:r>
        <w:rPr>
          <w:rStyle w:val="FootnoteReference"/>
        </w:rPr>
        <w:footnoteRef/>
      </w:r>
      <w:r>
        <w:rPr>
          <w:lang w:val="fr-FR"/>
        </w:rPr>
        <w:tab/>
      </w:r>
      <w:r w:rsidRPr="005F6524">
        <w:rPr>
          <w:lang w:val="fr-FR"/>
        </w:rPr>
        <w:t xml:space="preserve">L’opposition politique et plusieurs organisations de la société civile ont qualifié ce mandat </w:t>
      </w:r>
      <w:r w:rsidR="00C8606D">
        <w:rPr>
          <w:lang w:val="fr-FR"/>
        </w:rPr>
        <w:t>d’illégal,</w:t>
      </w:r>
      <w:r w:rsidRPr="005F6524">
        <w:rPr>
          <w:lang w:val="fr-FR"/>
        </w:rPr>
        <w:t xml:space="preserve"> alors que le pouvoir et ses sympathisants soutenaient que le Président sortant pouvait se représenter.</w:t>
      </w:r>
    </w:p>
  </w:footnote>
  <w:footnote w:id="8">
    <w:p w14:paraId="1C629B38" w14:textId="148D528E" w:rsidR="00657270" w:rsidRPr="00424E57" w:rsidRDefault="00657270" w:rsidP="00592838">
      <w:pPr>
        <w:pStyle w:val="FootnoteText"/>
        <w:rPr>
          <w:lang w:val="fr-FR"/>
        </w:rPr>
      </w:pPr>
      <w:r w:rsidRPr="00424E57">
        <w:rPr>
          <w:lang w:val="fr-FR"/>
        </w:rPr>
        <w:tab/>
      </w:r>
      <w:r>
        <w:rPr>
          <w:rStyle w:val="FootnoteReference"/>
        </w:rPr>
        <w:footnoteRef/>
      </w:r>
      <w:r w:rsidRPr="00424E57">
        <w:rPr>
          <w:lang w:val="fr-FR"/>
        </w:rPr>
        <w:tab/>
      </w:r>
      <w:r w:rsidR="00AE631F">
        <w:rPr>
          <w:lang w:val="fr-FR"/>
        </w:rPr>
        <w:t xml:space="preserve">Résolution 33/24 du Conseil des droits de l’homme, par. 23. </w:t>
      </w:r>
      <w:r w:rsidR="00B9667C">
        <w:rPr>
          <w:spacing w:val="-2"/>
          <w:lang w:val="fr-FR"/>
        </w:rPr>
        <w:t>La C</w:t>
      </w:r>
      <w:r w:rsidRPr="009A4C26">
        <w:rPr>
          <w:spacing w:val="-2"/>
          <w:lang w:val="fr-FR"/>
        </w:rPr>
        <w:t xml:space="preserve">ommission d’enquête </w:t>
      </w:r>
      <w:r w:rsidR="00553031">
        <w:rPr>
          <w:spacing w:val="-2"/>
          <w:lang w:val="fr-FR"/>
        </w:rPr>
        <w:t>s’est notamment vu attribuer les tâches</w:t>
      </w:r>
      <w:r w:rsidRPr="009A4C26">
        <w:rPr>
          <w:spacing w:val="-2"/>
          <w:lang w:val="fr-FR"/>
        </w:rPr>
        <w:t xml:space="preserve"> ci-après</w:t>
      </w:r>
      <w:r w:rsidR="00553031">
        <w:rPr>
          <w:spacing w:val="-2"/>
          <w:lang w:val="fr-FR"/>
        </w:rPr>
        <w:t> </w:t>
      </w:r>
      <w:r w:rsidRPr="009A4C26">
        <w:rPr>
          <w:spacing w:val="-2"/>
          <w:lang w:val="fr-FR"/>
        </w:rPr>
        <w:t>:</w:t>
      </w:r>
    </w:p>
    <w:p w14:paraId="0DE9767C" w14:textId="1CF9B630" w:rsidR="00657270" w:rsidRPr="00424E57" w:rsidRDefault="00657270" w:rsidP="00592838">
      <w:pPr>
        <w:pStyle w:val="EndnoteText"/>
        <w:tabs>
          <w:tab w:val="clear" w:pos="1021"/>
          <w:tab w:val="right" w:pos="1560"/>
          <w:tab w:val="left" w:pos="1985"/>
          <w:tab w:val="left" w:pos="2410"/>
        </w:tabs>
        <w:ind w:left="1560" w:hanging="1560"/>
        <w:rPr>
          <w:lang w:val="fr-FR"/>
        </w:rPr>
      </w:pPr>
      <w:r w:rsidRPr="00424E57">
        <w:rPr>
          <w:lang w:val="fr-FR"/>
        </w:rPr>
        <w:tab/>
      </w:r>
      <w:r w:rsidRPr="00424E57">
        <w:rPr>
          <w:lang w:val="fr-FR"/>
        </w:rPr>
        <w:tab/>
        <w:t>a</w:t>
      </w:r>
      <w:bookmarkStart w:id="1" w:name="_Hlk113518831"/>
      <w:r w:rsidRPr="00424E57">
        <w:rPr>
          <w:lang w:val="fr-FR"/>
        </w:rPr>
        <w:t>)</w:t>
      </w:r>
      <w:r w:rsidR="00B67FDA">
        <w:rPr>
          <w:lang w:val="fr-FR"/>
        </w:rPr>
        <w:tab/>
      </w:r>
      <w:r w:rsidRPr="00424E57">
        <w:rPr>
          <w:lang w:val="fr-FR"/>
        </w:rPr>
        <w:t>Mener une enquête approfondie sur les violations des droits de l’homme et atteintes à ces droits commises au Burundi depuis avril 2015, notamment pour en évaluer l’ampleur et déterminer s’il s’agit de crimes de droit international, afin de contribuer à la lutte contre l’impunité</w:t>
      </w:r>
      <w:r w:rsidR="00ED01CF">
        <w:rPr>
          <w:lang w:val="fr-FR"/>
        </w:rPr>
        <w:t> </w:t>
      </w:r>
      <w:r w:rsidRPr="00424E57">
        <w:rPr>
          <w:lang w:val="fr-FR"/>
        </w:rPr>
        <w:t>;</w:t>
      </w:r>
    </w:p>
    <w:p w14:paraId="50731CEE" w14:textId="4C9286F4" w:rsidR="00657270" w:rsidRPr="00424E57" w:rsidRDefault="00657270" w:rsidP="00592838">
      <w:pPr>
        <w:pStyle w:val="EndnoteText"/>
        <w:tabs>
          <w:tab w:val="clear" w:pos="1021"/>
          <w:tab w:val="right" w:pos="1560"/>
          <w:tab w:val="left" w:pos="1985"/>
          <w:tab w:val="left" w:pos="2410"/>
        </w:tabs>
        <w:ind w:left="1560" w:hanging="1560"/>
        <w:rPr>
          <w:lang w:val="fr-FR"/>
        </w:rPr>
      </w:pPr>
      <w:r w:rsidRPr="00424E57">
        <w:rPr>
          <w:lang w:val="fr-FR"/>
        </w:rPr>
        <w:tab/>
      </w:r>
      <w:r w:rsidRPr="00424E57">
        <w:rPr>
          <w:lang w:val="fr-FR"/>
        </w:rPr>
        <w:tab/>
        <w:t>b)</w:t>
      </w:r>
      <w:r w:rsidR="0030538D">
        <w:rPr>
          <w:lang w:val="fr-FR"/>
        </w:rPr>
        <w:tab/>
      </w:r>
      <w:r w:rsidRPr="00424E57">
        <w:rPr>
          <w:lang w:val="fr-FR"/>
        </w:rPr>
        <w:t>Identifier les auteurs présumés de violations des droits de l’homme et d’atteintes à ces droits commises au Burundi, en vue de faire pleinement respecter le principe de responsabilité</w:t>
      </w:r>
      <w:r w:rsidR="00ED01CF">
        <w:rPr>
          <w:lang w:val="fr-FR"/>
        </w:rPr>
        <w:t> </w:t>
      </w:r>
      <w:r w:rsidRPr="00424E57">
        <w:rPr>
          <w:lang w:val="fr-FR"/>
        </w:rPr>
        <w:t>;</w:t>
      </w:r>
    </w:p>
    <w:p w14:paraId="6B29C4E7" w14:textId="1771BC3D" w:rsidR="00657270" w:rsidRPr="00424E57" w:rsidRDefault="00657270" w:rsidP="00592838">
      <w:pPr>
        <w:pStyle w:val="EndnoteText"/>
        <w:tabs>
          <w:tab w:val="clear" w:pos="1021"/>
          <w:tab w:val="right" w:pos="1560"/>
          <w:tab w:val="left" w:pos="1985"/>
          <w:tab w:val="left" w:pos="2410"/>
        </w:tabs>
        <w:ind w:left="1560" w:hanging="1560"/>
        <w:rPr>
          <w:lang w:val="fr-FR"/>
        </w:rPr>
      </w:pPr>
      <w:r w:rsidRPr="00424E57">
        <w:rPr>
          <w:lang w:val="fr-FR"/>
        </w:rPr>
        <w:tab/>
      </w:r>
      <w:r w:rsidRPr="00424E57">
        <w:rPr>
          <w:lang w:val="fr-FR"/>
        </w:rPr>
        <w:tab/>
        <w:t>c)</w:t>
      </w:r>
      <w:r w:rsidR="0030538D">
        <w:rPr>
          <w:lang w:val="fr-FR"/>
        </w:rPr>
        <w:tab/>
      </w:r>
      <w:r w:rsidRPr="00424E57">
        <w:rPr>
          <w:lang w:val="fr-FR"/>
        </w:rPr>
        <w:t>Formuler des recommandations sur les mesures à prendre pour garantir que les auteurs de ces actes aient à en répondre, quelle que soit leur affiliation</w:t>
      </w:r>
      <w:r w:rsidR="00274FF4">
        <w:rPr>
          <w:lang w:val="fr-FR"/>
        </w:rPr>
        <w:t> </w:t>
      </w:r>
      <w:r w:rsidRPr="00424E57">
        <w:rPr>
          <w:lang w:val="fr-FR"/>
        </w:rPr>
        <w:t>;</w:t>
      </w:r>
    </w:p>
    <w:p w14:paraId="3C73C815" w14:textId="554D67EB" w:rsidR="00657270" w:rsidRPr="00424E57" w:rsidRDefault="00657270" w:rsidP="00592838">
      <w:pPr>
        <w:pStyle w:val="EndnoteText"/>
        <w:tabs>
          <w:tab w:val="clear" w:pos="1021"/>
          <w:tab w:val="right" w:pos="1560"/>
          <w:tab w:val="left" w:pos="1985"/>
          <w:tab w:val="left" w:pos="2410"/>
        </w:tabs>
        <w:ind w:left="1560" w:hanging="1560"/>
        <w:rPr>
          <w:lang w:val="fr-FR"/>
        </w:rPr>
      </w:pPr>
      <w:r w:rsidRPr="00424E57">
        <w:rPr>
          <w:lang w:val="fr-FR"/>
        </w:rPr>
        <w:tab/>
      </w:r>
      <w:r w:rsidRPr="00424E57">
        <w:rPr>
          <w:lang w:val="fr-FR"/>
        </w:rPr>
        <w:tab/>
        <w:t>d)</w:t>
      </w:r>
      <w:r w:rsidR="0030538D">
        <w:rPr>
          <w:lang w:val="fr-FR"/>
        </w:rPr>
        <w:tab/>
      </w:r>
      <w:r w:rsidRPr="00424E57">
        <w:rPr>
          <w:lang w:val="fr-FR"/>
        </w:rPr>
        <w:t>Dialoguer avec les autorités burundaises et toutes les autres parties prenantes, en particulier les organismes des Nations Unies, la société civile, les réfugiés, la présence du Haut-Commissariat au Burundi, les autorités de l’Union africaine et la Commission africaine des droits de l’homme et des peuples, afin de fournir l’appui et les conseils nécessaires à l’amélioration immédiate de la situation des droits de l’homme et à la lutte contre l’impunité</w:t>
      </w:r>
      <w:r w:rsidR="00274FF4">
        <w:rPr>
          <w:lang w:val="fr-FR"/>
        </w:rPr>
        <w:t> </w:t>
      </w:r>
      <w:r w:rsidRPr="00424E57">
        <w:rPr>
          <w:lang w:val="fr-FR"/>
        </w:rPr>
        <w:t>;</w:t>
      </w:r>
    </w:p>
    <w:p w14:paraId="40CF9257" w14:textId="181B2726" w:rsidR="00657270" w:rsidRPr="00424E57" w:rsidRDefault="00657270" w:rsidP="00592838">
      <w:pPr>
        <w:pStyle w:val="FootnoteText"/>
        <w:tabs>
          <w:tab w:val="clear" w:pos="1021"/>
          <w:tab w:val="right" w:pos="1560"/>
          <w:tab w:val="left" w:pos="1985"/>
          <w:tab w:val="left" w:pos="2410"/>
        </w:tabs>
        <w:ind w:left="1560" w:hanging="1560"/>
        <w:rPr>
          <w:lang w:val="fr-FR"/>
        </w:rPr>
      </w:pPr>
      <w:r w:rsidRPr="00424E57">
        <w:rPr>
          <w:lang w:val="fr-FR"/>
        </w:rPr>
        <w:tab/>
      </w:r>
      <w:r w:rsidRPr="00424E57">
        <w:rPr>
          <w:lang w:val="fr-FR"/>
        </w:rPr>
        <w:tab/>
        <w:t>e)</w:t>
      </w:r>
      <w:r w:rsidR="0030538D">
        <w:rPr>
          <w:lang w:val="fr-FR"/>
        </w:rPr>
        <w:tab/>
      </w:r>
      <w:r w:rsidRPr="00424E57">
        <w:rPr>
          <w:lang w:val="fr-FR"/>
        </w:rPr>
        <w:t>Présenter au Conseil des droits de l’homme un exposé oral à ses trente-quatrième et trente-cinquième session</w:t>
      </w:r>
      <w:r w:rsidR="00274FF4">
        <w:rPr>
          <w:lang w:val="fr-FR"/>
        </w:rPr>
        <w:t>s</w:t>
      </w:r>
      <w:r w:rsidRPr="00424E57">
        <w:rPr>
          <w:lang w:val="fr-FR"/>
        </w:rPr>
        <w:t xml:space="preserve"> et un rapport final pendant le dialogue qui aura lieu à sa trente-sixième session</w:t>
      </w:r>
      <w:r w:rsidR="00274FF4">
        <w:rPr>
          <w:lang w:val="fr-FR"/>
        </w:rPr>
        <w:t> </w:t>
      </w:r>
      <w:r w:rsidRPr="00424E57">
        <w:rPr>
          <w:lang w:val="fr-FR"/>
        </w:rPr>
        <w:t>;</w:t>
      </w:r>
    </w:p>
    <w:p w14:paraId="762DDCBC" w14:textId="40CF2A13" w:rsidR="00657270" w:rsidRPr="00424E57" w:rsidRDefault="00657270" w:rsidP="00592838">
      <w:pPr>
        <w:pStyle w:val="FootnoteText"/>
        <w:tabs>
          <w:tab w:val="clear" w:pos="1021"/>
          <w:tab w:val="right" w:pos="1560"/>
          <w:tab w:val="left" w:pos="1985"/>
          <w:tab w:val="left" w:pos="2410"/>
        </w:tabs>
        <w:ind w:left="1560" w:hanging="1560"/>
        <w:rPr>
          <w:lang w:val="fr-FR"/>
        </w:rPr>
      </w:pPr>
      <w:r w:rsidRPr="00424E57">
        <w:rPr>
          <w:lang w:val="fr-FR"/>
        </w:rPr>
        <w:tab/>
      </w:r>
      <w:r w:rsidRPr="00424E57">
        <w:rPr>
          <w:lang w:val="fr-FR"/>
        </w:rPr>
        <w:tab/>
        <w:t>f)</w:t>
      </w:r>
      <w:r w:rsidR="0030538D">
        <w:rPr>
          <w:lang w:val="fr-FR"/>
        </w:rPr>
        <w:tab/>
      </w:r>
      <w:r w:rsidRPr="00424E57">
        <w:rPr>
          <w:lang w:val="fr-FR"/>
        </w:rPr>
        <w:t>Présenter son rapport à l’Assemblée générale et aux autres organes internationaux concernés.</w:t>
      </w:r>
    </w:p>
    <w:bookmarkEnd w:id="1"/>
  </w:footnote>
  <w:footnote w:id="9">
    <w:p w14:paraId="3F85776E" w14:textId="0C4D9E3F" w:rsidR="00657270" w:rsidRPr="005F6524" w:rsidRDefault="00657270" w:rsidP="00592838">
      <w:pPr>
        <w:pStyle w:val="FootnoteText"/>
        <w:rPr>
          <w:lang w:val="fr-FR"/>
        </w:rPr>
      </w:pPr>
      <w:r w:rsidRPr="00660A1D">
        <w:rPr>
          <w:lang w:val="fr-FR"/>
        </w:rPr>
        <w:tab/>
      </w:r>
      <w:r>
        <w:rPr>
          <w:rStyle w:val="FootnoteReference"/>
        </w:rPr>
        <w:footnoteRef/>
      </w:r>
      <w:r w:rsidRPr="005F6524">
        <w:rPr>
          <w:lang w:val="fr-FR"/>
        </w:rPr>
        <w:tab/>
      </w:r>
      <w:r w:rsidR="00354B37" w:rsidRPr="001F0ACF">
        <w:rPr>
          <w:lang w:val="fr-FR"/>
        </w:rPr>
        <w:t>Document de séance</w:t>
      </w:r>
      <w:r w:rsidR="00354B37" w:rsidRPr="001F0ACF">
        <w:rPr>
          <w:rStyle w:val="EndnoteReference"/>
          <w:vertAlign w:val="baseline"/>
          <w:lang w:val="fr-FR"/>
        </w:rPr>
        <w:t xml:space="preserve"> de la Commission d’enquête sur le Burundi</w:t>
      </w:r>
      <w:r w:rsidR="00354B37" w:rsidRPr="001F0ACF">
        <w:rPr>
          <w:lang w:val="fr-FR"/>
        </w:rPr>
        <w:t xml:space="preserve"> de </w:t>
      </w:r>
      <w:r w:rsidRPr="005F6524">
        <w:rPr>
          <w:lang w:val="fr-FR"/>
        </w:rPr>
        <w:t>2017</w:t>
      </w:r>
      <w:r w:rsidR="00564D23">
        <w:rPr>
          <w:lang w:val="fr-FR"/>
        </w:rPr>
        <w:t>,</w:t>
      </w:r>
      <w:r w:rsidRPr="005F6524">
        <w:rPr>
          <w:lang w:val="fr-FR"/>
        </w:rPr>
        <w:t xml:space="preserve"> par</w:t>
      </w:r>
      <w:r w:rsidR="00564D23">
        <w:rPr>
          <w:lang w:val="fr-FR"/>
        </w:rPr>
        <w:t>.</w:t>
      </w:r>
      <w:r w:rsidRPr="005F6524">
        <w:rPr>
          <w:lang w:val="fr-FR"/>
        </w:rPr>
        <w:t xml:space="preserve"> 709</w:t>
      </w:r>
      <w:r w:rsidR="00564D23">
        <w:rPr>
          <w:lang w:val="fr-FR"/>
        </w:rPr>
        <w:t xml:space="preserve"> et </w:t>
      </w:r>
      <w:r w:rsidRPr="005F6524">
        <w:rPr>
          <w:lang w:val="fr-FR"/>
        </w:rPr>
        <w:t>710</w:t>
      </w:r>
      <w:r w:rsidR="009A4C26" w:rsidRPr="00564D23">
        <w:rPr>
          <w:lang w:val="fr-FR"/>
        </w:rPr>
        <w:t>.</w:t>
      </w:r>
    </w:p>
  </w:footnote>
  <w:footnote w:id="10">
    <w:p w14:paraId="38F88B58" w14:textId="10398AF1" w:rsidR="00657270" w:rsidRPr="000E1879" w:rsidRDefault="00657270">
      <w:pPr>
        <w:pStyle w:val="FootnoteText"/>
        <w:rPr>
          <w:lang w:val="fr-FR"/>
        </w:rPr>
      </w:pPr>
      <w:r>
        <w:rPr>
          <w:lang w:val="fr-FR"/>
        </w:rPr>
        <w:tab/>
      </w:r>
      <w:r>
        <w:rPr>
          <w:rStyle w:val="FootnoteReference"/>
        </w:rPr>
        <w:footnoteRef/>
      </w:r>
      <w:r>
        <w:rPr>
          <w:lang w:val="fr-FR"/>
        </w:rPr>
        <w:tab/>
      </w:r>
      <w:r w:rsidRPr="00954596">
        <w:rPr>
          <w:lang w:val="fr-FR"/>
        </w:rPr>
        <w:t xml:space="preserve">Une demande de visite </w:t>
      </w:r>
      <w:r w:rsidR="0078323B">
        <w:rPr>
          <w:lang w:val="fr-FR"/>
        </w:rPr>
        <w:t>du</w:t>
      </w:r>
      <w:r w:rsidRPr="00954596">
        <w:rPr>
          <w:lang w:val="fr-FR"/>
        </w:rPr>
        <w:t xml:space="preserve"> pays a été adressée à la Mission </w:t>
      </w:r>
      <w:r w:rsidR="007E6578">
        <w:rPr>
          <w:lang w:val="fr-FR"/>
        </w:rPr>
        <w:t>p</w:t>
      </w:r>
      <w:r w:rsidRPr="00954596">
        <w:rPr>
          <w:lang w:val="fr-FR"/>
        </w:rPr>
        <w:t>ermanente du Burundi à Genève</w:t>
      </w:r>
      <w:r w:rsidR="001D4374">
        <w:rPr>
          <w:lang w:val="fr-FR"/>
        </w:rPr>
        <w:t> ; le</w:t>
      </w:r>
      <w:r w:rsidR="00B6140E">
        <w:rPr>
          <w:lang w:val="fr-FR"/>
        </w:rPr>
        <w:t> </w:t>
      </w:r>
      <w:r>
        <w:rPr>
          <w:lang w:val="fr-FR"/>
        </w:rPr>
        <w:t>Rapporteur spécial reste dans l’attente d’une invitation des autorités burundaises</w:t>
      </w:r>
      <w:r w:rsidR="009A4C26">
        <w:rPr>
          <w:lang w:val="fr-FR"/>
        </w:rPr>
        <w:t>.</w:t>
      </w:r>
    </w:p>
  </w:footnote>
  <w:footnote w:id="11">
    <w:p w14:paraId="5879FCED" w14:textId="4F8909E0" w:rsidR="00657270" w:rsidRPr="00424E57" w:rsidRDefault="00657270" w:rsidP="00592838">
      <w:pPr>
        <w:pStyle w:val="FootnoteText"/>
        <w:rPr>
          <w:lang w:val="fr-FR"/>
        </w:rPr>
      </w:pPr>
      <w:r w:rsidRPr="00424E57">
        <w:rPr>
          <w:lang w:val="fr-FR"/>
        </w:rPr>
        <w:tab/>
      </w:r>
      <w:r w:rsidRPr="00E65B46">
        <w:rPr>
          <w:rStyle w:val="EndnoteReference"/>
        </w:rPr>
        <w:footnoteRef/>
      </w:r>
      <w:r w:rsidRPr="00424E57">
        <w:rPr>
          <w:lang w:val="fr-FR"/>
        </w:rPr>
        <w:tab/>
        <w:t>Composé de</w:t>
      </w:r>
      <w:r w:rsidR="001E2A1A">
        <w:rPr>
          <w:lang w:val="fr-FR"/>
        </w:rPr>
        <w:t xml:space="preserve"> représentants de</w:t>
      </w:r>
      <w:r w:rsidRPr="00424E57">
        <w:rPr>
          <w:lang w:val="fr-FR"/>
        </w:rPr>
        <w:t xml:space="preserve"> l’Union </w:t>
      </w:r>
      <w:r w:rsidR="007536D4">
        <w:rPr>
          <w:lang w:val="fr-FR"/>
        </w:rPr>
        <w:t>a</w:t>
      </w:r>
      <w:r w:rsidRPr="00424E57">
        <w:rPr>
          <w:lang w:val="fr-FR"/>
        </w:rPr>
        <w:t xml:space="preserve">fricaine, de l’Union </w:t>
      </w:r>
      <w:r w:rsidR="007536D4">
        <w:rPr>
          <w:lang w:val="fr-FR"/>
        </w:rPr>
        <w:t>e</w:t>
      </w:r>
      <w:r w:rsidRPr="00424E57">
        <w:rPr>
          <w:lang w:val="fr-FR"/>
        </w:rPr>
        <w:t xml:space="preserve">uropéenne et ses </w:t>
      </w:r>
      <w:r w:rsidR="007536D4">
        <w:rPr>
          <w:lang w:val="fr-FR"/>
        </w:rPr>
        <w:t>É</w:t>
      </w:r>
      <w:r w:rsidRPr="00424E57">
        <w:rPr>
          <w:lang w:val="fr-FR"/>
        </w:rPr>
        <w:t>tats membres représentés à Bujumbura (Allemagne, Belgique, France</w:t>
      </w:r>
      <w:r w:rsidR="007536D4">
        <w:rPr>
          <w:lang w:val="fr-FR"/>
        </w:rPr>
        <w:t xml:space="preserve"> et</w:t>
      </w:r>
      <w:r w:rsidRPr="00424E57">
        <w:rPr>
          <w:lang w:val="fr-FR"/>
        </w:rPr>
        <w:t xml:space="preserve"> Pays-Bas), </w:t>
      </w:r>
      <w:r w:rsidR="001844B0">
        <w:rPr>
          <w:lang w:val="fr-FR"/>
        </w:rPr>
        <w:t xml:space="preserve">de la </w:t>
      </w:r>
      <w:r w:rsidRPr="00424E57">
        <w:rPr>
          <w:lang w:val="fr-FR"/>
        </w:rPr>
        <w:t xml:space="preserve">Suisse, </w:t>
      </w:r>
      <w:r w:rsidR="001844B0">
        <w:rPr>
          <w:lang w:val="fr-FR"/>
        </w:rPr>
        <w:t xml:space="preserve">du </w:t>
      </w:r>
      <w:r w:rsidR="002634C3">
        <w:rPr>
          <w:lang w:val="fr-FR"/>
        </w:rPr>
        <w:br/>
      </w:r>
      <w:r w:rsidR="001844B0">
        <w:rPr>
          <w:lang w:val="fr-FR"/>
        </w:rPr>
        <w:t>Haut-Commissariat des Nations Unies aux droits de l’homme</w:t>
      </w:r>
      <w:r w:rsidRPr="00424E57">
        <w:rPr>
          <w:lang w:val="fr-FR"/>
        </w:rPr>
        <w:t xml:space="preserve"> et des agences du </w:t>
      </w:r>
      <w:r w:rsidR="00366BAC">
        <w:rPr>
          <w:lang w:val="fr-FR"/>
        </w:rPr>
        <w:t>s</w:t>
      </w:r>
      <w:r w:rsidRPr="00424E57">
        <w:rPr>
          <w:lang w:val="fr-FR"/>
        </w:rPr>
        <w:t xml:space="preserve">ystème des </w:t>
      </w:r>
      <w:r w:rsidR="00592838">
        <w:rPr>
          <w:lang w:val="fr-FR"/>
        </w:rPr>
        <w:br/>
      </w:r>
      <w:r w:rsidRPr="00424E57">
        <w:rPr>
          <w:lang w:val="fr-FR"/>
        </w:rPr>
        <w:t xml:space="preserve">Nations Unies justifiant d’une expertise technique </w:t>
      </w:r>
      <w:r w:rsidR="00366BAC">
        <w:rPr>
          <w:lang w:val="fr-FR"/>
        </w:rPr>
        <w:t>en matière de</w:t>
      </w:r>
      <w:r w:rsidRPr="00424E57">
        <w:rPr>
          <w:lang w:val="fr-FR"/>
        </w:rPr>
        <w:t xml:space="preserve"> droits de l’homme</w:t>
      </w:r>
      <w:r w:rsidR="009A4C26">
        <w:rPr>
          <w:lang w:val="fr-FR"/>
        </w:rPr>
        <w:t>.</w:t>
      </w:r>
    </w:p>
  </w:footnote>
  <w:footnote w:id="12">
    <w:p w14:paraId="23E04346" w14:textId="55462B8F" w:rsidR="00657270" w:rsidRPr="00592838" w:rsidRDefault="00657270">
      <w:pPr>
        <w:pStyle w:val="FootnoteText"/>
        <w:rPr>
          <w:lang w:val="fr-FR"/>
        </w:rPr>
      </w:pPr>
      <w:r>
        <w:rPr>
          <w:lang w:val="fr-FR"/>
        </w:rPr>
        <w:tab/>
      </w:r>
      <w:r>
        <w:rPr>
          <w:rStyle w:val="FootnoteReference"/>
        </w:rPr>
        <w:footnoteRef/>
      </w:r>
      <w:r w:rsidRPr="00592838">
        <w:rPr>
          <w:lang w:val="fr-FR"/>
        </w:rPr>
        <w:tab/>
      </w:r>
      <w:r w:rsidR="00B632CF" w:rsidRPr="00592838">
        <w:rPr>
          <w:lang w:val="fr-FR"/>
        </w:rPr>
        <w:t>États-Unis,</w:t>
      </w:r>
      <w:r w:rsidRPr="00592838">
        <w:rPr>
          <w:lang w:val="fr-FR"/>
        </w:rPr>
        <w:t xml:space="preserve"> </w:t>
      </w:r>
      <w:r w:rsidR="00F93CC9" w:rsidRPr="00592838">
        <w:rPr>
          <w:lang w:val="fr-FR"/>
        </w:rPr>
        <w:t>Département d’État,</w:t>
      </w:r>
      <w:r w:rsidRPr="00592838">
        <w:rPr>
          <w:lang w:val="fr-FR"/>
        </w:rPr>
        <w:t xml:space="preserve"> </w:t>
      </w:r>
      <w:r w:rsidRPr="00592838">
        <w:rPr>
          <w:i/>
          <w:iCs/>
          <w:lang w:val="fr-FR"/>
        </w:rPr>
        <w:t xml:space="preserve">Trafficking in </w:t>
      </w:r>
      <w:r w:rsidR="00163ED0" w:rsidRPr="00592838">
        <w:rPr>
          <w:i/>
          <w:iCs/>
          <w:lang w:val="fr-FR"/>
        </w:rPr>
        <w:t>P</w:t>
      </w:r>
      <w:r w:rsidRPr="00592838">
        <w:rPr>
          <w:i/>
          <w:iCs/>
          <w:lang w:val="fr-FR"/>
        </w:rPr>
        <w:t xml:space="preserve">ersons </w:t>
      </w:r>
      <w:r w:rsidR="00163ED0" w:rsidRPr="00592838">
        <w:rPr>
          <w:i/>
          <w:iCs/>
          <w:lang w:val="fr-FR"/>
        </w:rPr>
        <w:t>R</w:t>
      </w:r>
      <w:r w:rsidRPr="00592838">
        <w:rPr>
          <w:i/>
          <w:iCs/>
          <w:lang w:val="fr-FR"/>
        </w:rPr>
        <w:t>eport</w:t>
      </w:r>
      <w:r w:rsidR="00163ED0" w:rsidRPr="00592838">
        <w:rPr>
          <w:lang w:val="fr-FR"/>
        </w:rPr>
        <w:t>,</w:t>
      </w:r>
      <w:r w:rsidRPr="00592838">
        <w:rPr>
          <w:lang w:val="fr-FR"/>
        </w:rPr>
        <w:t xml:space="preserve"> </w:t>
      </w:r>
      <w:r w:rsidR="009B0C5C" w:rsidRPr="00592838">
        <w:rPr>
          <w:lang w:val="fr-FR"/>
        </w:rPr>
        <w:t>juillet </w:t>
      </w:r>
      <w:r w:rsidRPr="00592838">
        <w:rPr>
          <w:lang w:val="fr-FR"/>
        </w:rPr>
        <w:t>2022</w:t>
      </w:r>
      <w:r w:rsidR="009B0C5C" w:rsidRPr="00592838">
        <w:rPr>
          <w:lang w:val="fr-FR"/>
        </w:rPr>
        <w:t>,</w:t>
      </w:r>
      <w:r w:rsidRPr="00592838">
        <w:rPr>
          <w:lang w:val="fr-FR"/>
        </w:rPr>
        <w:t xml:space="preserve"> </w:t>
      </w:r>
      <w:r w:rsidR="00040319" w:rsidRPr="00592838">
        <w:rPr>
          <w:lang w:val="fr-FR"/>
        </w:rPr>
        <w:t>p. 149 à 152</w:t>
      </w:r>
      <w:r w:rsidR="009A4C26" w:rsidRPr="00592838">
        <w:rPr>
          <w:lang w:val="fr-FR"/>
        </w:rPr>
        <w:t>.</w:t>
      </w:r>
    </w:p>
  </w:footnote>
  <w:footnote w:id="13">
    <w:p w14:paraId="1AFC62CA" w14:textId="0900EAA1" w:rsidR="00657270" w:rsidRPr="000E1879" w:rsidRDefault="00657270">
      <w:pPr>
        <w:pStyle w:val="FootnoteText"/>
        <w:rPr>
          <w:lang w:val="fr-FR"/>
        </w:rPr>
      </w:pPr>
      <w:r w:rsidRPr="00592838">
        <w:rPr>
          <w:lang w:val="fr-FR"/>
        </w:rPr>
        <w:tab/>
      </w:r>
      <w:r>
        <w:rPr>
          <w:rStyle w:val="FootnoteReference"/>
        </w:rPr>
        <w:footnoteRef/>
      </w:r>
      <w:r w:rsidRPr="005F6524">
        <w:rPr>
          <w:lang w:val="fr-FR"/>
        </w:rPr>
        <w:tab/>
      </w:r>
      <w:hyperlink r:id="rId1" w:history="1">
        <w:r w:rsidR="004369DF" w:rsidRPr="009F62D3">
          <w:rPr>
            <w:rStyle w:val="Hyperlink"/>
            <w:color w:val="0000FF" w:themeColor="hyperlink"/>
            <w:u w:val="single"/>
            <w:lang w:val="es-AR"/>
          </w:rPr>
          <w:t>S/2020/1078</w:t>
        </w:r>
      </w:hyperlink>
      <w:r w:rsidR="004369DF">
        <w:rPr>
          <w:lang w:val="fr-FR"/>
        </w:rPr>
        <w:t>, annexe,</w:t>
      </w:r>
      <w:r w:rsidRPr="000E1879">
        <w:rPr>
          <w:lang w:val="fr-FR"/>
        </w:rPr>
        <w:t xml:space="preserve"> </w:t>
      </w:r>
      <w:r w:rsidR="00930310">
        <w:rPr>
          <w:lang w:val="fr-FR"/>
        </w:rPr>
        <w:t>par. </w:t>
      </w:r>
      <w:r>
        <w:rPr>
          <w:lang w:val="fr-FR"/>
        </w:rPr>
        <w:t>28</w:t>
      </w:r>
      <w:r w:rsidR="009A4C26">
        <w:rPr>
          <w:lang w:val="fr-FR"/>
        </w:rPr>
        <w:t>.</w:t>
      </w:r>
    </w:p>
  </w:footnote>
  <w:footnote w:id="14">
    <w:p w14:paraId="09C58200" w14:textId="6A60C8B7" w:rsidR="00657270" w:rsidRPr="00592838" w:rsidRDefault="00657270">
      <w:pPr>
        <w:pStyle w:val="FootnoteText"/>
        <w:rPr>
          <w:lang w:val="fr-FR"/>
        </w:rPr>
      </w:pPr>
      <w:r>
        <w:rPr>
          <w:lang w:val="fr-FR"/>
        </w:rPr>
        <w:tab/>
      </w:r>
      <w:r>
        <w:rPr>
          <w:rStyle w:val="FootnoteReference"/>
        </w:rPr>
        <w:footnoteRef/>
      </w:r>
      <w:r w:rsidRPr="00592838">
        <w:rPr>
          <w:lang w:val="fr-FR"/>
        </w:rPr>
        <w:tab/>
      </w:r>
      <w:hyperlink r:id="rId2" w:history="1">
        <w:r w:rsidR="00CE4D2A" w:rsidRPr="00592838">
          <w:rPr>
            <w:rStyle w:val="Hyperlink"/>
            <w:color w:val="0000FF" w:themeColor="hyperlink"/>
            <w:u w:val="single"/>
            <w:lang w:val="es-AR"/>
          </w:rPr>
          <w:t>A/HRC/48/68</w:t>
        </w:r>
      </w:hyperlink>
      <w:r w:rsidR="00846E6C" w:rsidRPr="00592838">
        <w:rPr>
          <w:lang w:val="fr-FR"/>
        </w:rPr>
        <w:t>, p</w:t>
      </w:r>
      <w:r w:rsidR="00CE4D2A" w:rsidRPr="00592838">
        <w:rPr>
          <w:lang w:val="fr-FR"/>
        </w:rPr>
        <w:t>ar. 51.</w:t>
      </w:r>
      <w:r w:rsidR="006062AF" w:rsidRPr="00592838">
        <w:rPr>
          <w:lang w:val="fr-FR"/>
        </w:rPr>
        <w:t xml:space="preserve"> Voir </w:t>
      </w:r>
      <w:r w:rsidR="00F7682D" w:rsidRPr="00592838">
        <w:rPr>
          <w:lang w:val="fr-FR"/>
        </w:rPr>
        <w:t xml:space="preserve">également </w:t>
      </w:r>
      <w:r w:rsidR="006062AF" w:rsidRPr="00592838">
        <w:rPr>
          <w:lang w:val="fr-FR"/>
        </w:rPr>
        <w:t>le</w:t>
      </w:r>
      <w:r w:rsidR="00F7682D" w:rsidRPr="00592838">
        <w:rPr>
          <w:lang w:val="fr-FR"/>
        </w:rPr>
        <w:t>s</w:t>
      </w:r>
      <w:r w:rsidR="006062AF" w:rsidRPr="00592838">
        <w:rPr>
          <w:lang w:val="fr-FR"/>
        </w:rPr>
        <w:t xml:space="preserve"> document</w:t>
      </w:r>
      <w:r w:rsidR="00F7682D" w:rsidRPr="00592838">
        <w:rPr>
          <w:lang w:val="fr-FR"/>
        </w:rPr>
        <w:t>s</w:t>
      </w:r>
      <w:r w:rsidR="006062AF" w:rsidRPr="00592838">
        <w:rPr>
          <w:lang w:val="fr-FR"/>
        </w:rPr>
        <w:t xml:space="preserve"> de séance</w:t>
      </w:r>
      <w:r w:rsidR="006062AF" w:rsidRPr="00592838">
        <w:rPr>
          <w:rStyle w:val="EndnoteReference"/>
          <w:vertAlign w:val="baseline"/>
          <w:lang w:val="fr-FR"/>
        </w:rPr>
        <w:t xml:space="preserve"> de la Commission d’enquête sur le Burundi</w:t>
      </w:r>
      <w:r w:rsidR="006062AF" w:rsidRPr="00592838">
        <w:rPr>
          <w:lang w:val="fr-FR"/>
        </w:rPr>
        <w:t xml:space="preserve"> de 201</w:t>
      </w:r>
      <w:r w:rsidR="00F7682D" w:rsidRPr="00592838">
        <w:rPr>
          <w:lang w:val="fr-FR"/>
        </w:rPr>
        <w:t xml:space="preserve">7 à </w:t>
      </w:r>
      <w:r w:rsidR="00B24018" w:rsidRPr="00592838">
        <w:rPr>
          <w:lang w:val="fr-FR"/>
        </w:rPr>
        <w:t>2021</w:t>
      </w:r>
      <w:r w:rsidR="006062AF" w:rsidRPr="00592838">
        <w:rPr>
          <w:rStyle w:val="EndnoteReference"/>
          <w:vertAlign w:val="baseline"/>
          <w:lang w:val="fr-FR"/>
        </w:rPr>
        <w:t>,</w:t>
      </w:r>
      <w:r w:rsidR="006062AF" w:rsidRPr="00592838">
        <w:rPr>
          <w:lang w:val="fr-FR"/>
        </w:rPr>
        <w:t xml:space="preserve"> disponible</w:t>
      </w:r>
      <w:r w:rsidR="00B24018" w:rsidRPr="00592838">
        <w:rPr>
          <w:lang w:val="fr-FR"/>
        </w:rPr>
        <w:t>s</w:t>
      </w:r>
      <w:r w:rsidR="006062AF" w:rsidRPr="00592838">
        <w:rPr>
          <w:lang w:val="fr-FR"/>
        </w:rPr>
        <w:t xml:space="preserve"> sur la page Web de la Commission (www.ohchr.org/fr/hr-bodies/hrc/co-i-burundi/co-i-burundi).</w:t>
      </w:r>
    </w:p>
  </w:footnote>
  <w:footnote w:id="15">
    <w:p w14:paraId="5DB8B73E" w14:textId="21C0B22C" w:rsidR="00657270" w:rsidRPr="00D247A2" w:rsidRDefault="00657270" w:rsidP="00592838">
      <w:pPr>
        <w:pStyle w:val="FootnoteText"/>
        <w:rPr>
          <w:lang w:val="fr-FR"/>
        </w:rPr>
      </w:pPr>
      <w:r w:rsidRPr="00592838">
        <w:rPr>
          <w:lang w:val="fr-FR"/>
        </w:rPr>
        <w:tab/>
      </w:r>
      <w:r>
        <w:rPr>
          <w:rStyle w:val="FootnoteReference"/>
        </w:rPr>
        <w:footnoteRef/>
      </w:r>
      <w:r w:rsidRPr="005F6524">
        <w:rPr>
          <w:lang w:val="fr-FR"/>
        </w:rPr>
        <w:tab/>
      </w:r>
      <w:r w:rsidR="002C40D0">
        <w:rPr>
          <w:lang w:val="fr-FR"/>
        </w:rPr>
        <w:t>D</w:t>
      </w:r>
      <w:r w:rsidR="00175A26" w:rsidRPr="00592838">
        <w:rPr>
          <w:lang w:val="fr-FR"/>
        </w:rPr>
        <w:t>ocument de séance</w:t>
      </w:r>
      <w:r w:rsidR="00175A26" w:rsidRPr="00592838">
        <w:rPr>
          <w:rStyle w:val="EndnoteReference"/>
          <w:vertAlign w:val="baseline"/>
          <w:lang w:val="fr-FR"/>
        </w:rPr>
        <w:t xml:space="preserve"> de la Commission d’enquête sur le Burundi</w:t>
      </w:r>
      <w:r w:rsidR="00175A26" w:rsidRPr="00592838">
        <w:rPr>
          <w:lang w:val="fr-FR"/>
        </w:rPr>
        <w:t xml:space="preserve"> de 201</w:t>
      </w:r>
      <w:r w:rsidR="001673EF" w:rsidRPr="00592838">
        <w:rPr>
          <w:lang w:val="fr-FR"/>
        </w:rPr>
        <w:t>8</w:t>
      </w:r>
      <w:r w:rsidR="001673EF">
        <w:rPr>
          <w:lang w:val="fr-FR"/>
        </w:rPr>
        <w:t>,</w:t>
      </w:r>
      <w:r>
        <w:rPr>
          <w:lang w:val="fr-FR"/>
        </w:rPr>
        <w:t xml:space="preserve"> par</w:t>
      </w:r>
      <w:r w:rsidR="001673EF">
        <w:rPr>
          <w:lang w:val="fr-FR"/>
        </w:rPr>
        <w:t>. </w:t>
      </w:r>
      <w:r>
        <w:rPr>
          <w:lang w:val="fr-FR"/>
        </w:rPr>
        <w:t>244</w:t>
      </w:r>
      <w:r w:rsidR="009A4C26">
        <w:rPr>
          <w:lang w:val="fr-FR"/>
        </w:rPr>
        <w:t>.</w:t>
      </w:r>
    </w:p>
  </w:footnote>
  <w:footnote w:id="16">
    <w:p w14:paraId="6EB37A80" w14:textId="0F9C6553" w:rsidR="00657270" w:rsidRPr="00030036" w:rsidRDefault="00657270" w:rsidP="00592838">
      <w:pPr>
        <w:pStyle w:val="FootnoteText"/>
        <w:rPr>
          <w:lang w:val="fr-FR"/>
        </w:rPr>
      </w:pPr>
      <w:r>
        <w:rPr>
          <w:lang w:val="fr-FR"/>
        </w:rPr>
        <w:tab/>
      </w:r>
      <w:r>
        <w:rPr>
          <w:rStyle w:val="FootnoteReference"/>
        </w:rPr>
        <w:footnoteRef/>
      </w:r>
      <w:r>
        <w:rPr>
          <w:lang w:val="fr-FR"/>
        </w:rPr>
        <w:tab/>
      </w:r>
      <w:r w:rsidR="00905A99" w:rsidRPr="00592838">
        <w:rPr>
          <w:lang w:val="fr-FR"/>
        </w:rPr>
        <w:t>Voir les documents de séance</w:t>
      </w:r>
      <w:r w:rsidR="00905A99" w:rsidRPr="00592838">
        <w:rPr>
          <w:rStyle w:val="EndnoteReference"/>
          <w:vertAlign w:val="baseline"/>
          <w:lang w:val="fr-FR"/>
        </w:rPr>
        <w:t xml:space="preserve"> de la Commission d’enquête sur le Burundi</w:t>
      </w:r>
      <w:r w:rsidR="00905A99" w:rsidRPr="00592838">
        <w:rPr>
          <w:lang w:val="fr-FR"/>
        </w:rPr>
        <w:t xml:space="preserve"> de 2017 </w:t>
      </w:r>
      <w:r w:rsidR="00E127BC" w:rsidRPr="00592838">
        <w:rPr>
          <w:lang w:val="fr-FR"/>
        </w:rPr>
        <w:t>(</w:t>
      </w:r>
      <w:r w:rsidR="00905A99" w:rsidRPr="00592838">
        <w:rPr>
          <w:lang w:val="fr-FR"/>
        </w:rPr>
        <w:t>par. 284</w:t>
      </w:r>
      <w:r w:rsidR="00E127BC" w:rsidRPr="00592838">
        <w:rPr>
          <w:lang w:val="fr-FR"/>
        </w:rPr>
        <w:t>)</w:t>
      </w:r>
      <w:r w:rsidR="00905A99" w:rsidRPr="00592838">
        <w:rPr>
          <w:lang w:val="fr-FR"/>
        </w:rPr>
        <w:t xml:space="preserve">, </w:t>
      </w:r>
      <w:r w:rsidR="00A043DF">
        <w:rPr>
          <w:lang w:val="fr-FR"/>
        </w:rPr>
        <w:br/>
      </w:r>
      <w:r w:rsidR="000C65A4" w:rsidRPr="00592838">
        <w:rPr>
          <w:lang w:val="fr-FR"/>
        </w:rPr>
        <w:t>de 2</w:t>
      </w:r>
      <w:r w:rsidR="00905A99" w:rsidRPr="00592838">
        <w:rPr>
          <w:lang w:val="fr-FR"/>
        </w:rPr>
        <w:t xml:space="preserve">018 </w:t>
      </w:r>
      <w:r w:rsidR="004D7493">
        <w:rPr>
          <w:lang w:val="fr-FR"/>
        </w:rPr>
        <w:t>(</w:t>
      </w:r>
      <w:r w:rsidRPr="00030036">
        <w:rPr>
          <w:lang w:val="fr-FR"/>
        </w:rPr>
        <w:t>par</w:t>
      </w:r>
      <w:r w:rsidR="000C65A4">
        <w:rPr>
          <w:lang w:val="fr-FR"/>
        </w:rPr>
        <w:t>.</w:t>
      </w:r>
      <w:r w:rsidRPr="00030036">
        <w:rPr>
          <w:lang w:val="fr-FR"/>
        </w:rPr>
        <w:t xml:space="preserve"> 24</w:t>
      </w:r>
      <w:r>
        <w:rPr>
          <w:lang w:val="fr-FR"/>
        </w:rPr>
        <w:t>7</w:t>
      </w:r>
      <w:r w:rsidR="004D7493">
        <w:rPr>
          <w:lang w:val="fr-FR"/>
        </w:rPr>
        <w:t>) et</w:t>
      </w:r>
      <w:r>
        <w:rPr>
          <w:lang w:val="fr-FR"/>
        </w:rPr>
        <w:t xml:space="preserve"> </w:t>
      </w:r>
      <w:r w:rsidR="004D7493">
        <w:rPr>
          <w:lang w:val="fr-FR"/>
        </w:rPr>
        <w:t>de </w:t>
      </w:r>
      <w:r>
        <w:rPr>
          <w:lang w:val="fr-FR"/>
        </w:rPr>
        <w:t xml:space="preserve">2021 </w:t>
      </w:r>
      <w:r w:rsidR="004D7493">
        <w:rPr>
          <w:lang w:val="fr-FR"/>
        </w:rPr>
        <w:t>(</w:t>
      </w:r>
      <w:r>
        <w:rPr>
          <w:lang w:val="fr-FR"/>
        </w:rPr>
        <w:t>par.</w:t>
      </w:r>
      <w:r w:rsidR="004D7493">
        <w:rPr>
          <w:lang w:val="fr-FR"/>
        </w:rPr>
        <w:t> </w:t>
      </w:r>
      <w:r>
        <w:rPr>
          <w:lang w:val="fr-FR"/>
        </w:rPr>
        <w:t>212</w:t>
      </w:r>
      <w:r w:rsidR="004D7493">
        <w:rPr>
          <w:lang w:val="fr-FR"/>
        </w:rPr>
        <w:t xml:space="preserve"> et </w:t>
      </w:r>
      <w:r>
        <w:rPr>
          <w:lang w:val="fr-FR"/>
        </w:rPr>
        <w:t>213</w:t>
      </w:r>
      <w:r w:rsidR="004D7493">
        <w:rPr>
          <w:lang w:val="fr-FR"/>
        </w:rPr>
        <w:t>)</w:t>
      </w:r>
      <w:r w:rsidR="009A4C26">
        <w:rPr>
          <w:lang w:val="fr-FR"/>
        </w:rPr>
        <w:t>.</w:t>
      </w:r>
    </w:p>
  </w:footnote>
  <w:footnote w:id="17">
    <w:p w14:paraId="7F5DFA35" w14:textId="78EC4E2D" w:rsidR="0063008E" w:rsidRPr="00F11D0A" w:rsidRDefault="0063008E" w:rsidP="00F21BA2">
      <w:pPr>
        <w:pStyle w:val="FootnoteText"/>
      </w:pPr>
      <w:r w:rsidRPr="00592838">
        <w:rPr>
          <w:lang w:val="fr-FR"/>
        </w:rPr>
        <w:tab/>
      </w:r>
      <w:r>
        <w:rPr>
          <w:rStyle w:val="FootnoteReference"/>
        </w:rPr>
        <w:footnoteRef/>
      </w:r>
      <w:r w:rsidRPr="00592838">
        <w:rPr>
          <w:lang w:val="fr-FR"/>
        </w:rPr>
        <w:tab/>
        <w:t>Burundi, Code pénal, art. 206 et 210.</w:t>
      </w:r>
    </w:p>
  </w:footnote>
  <w:footnote w:id="18">
    <w:p w14:paraId="47B6A3F6" w14:textId="53868CF5" w:rsidR="00657270" w:rsidRPr="00030036" w:rsidRDefault="00657270" w:rsidP="00592838">
      <w:pPr>
        <w:pStyle w:val="FootnoteText"/>
        <w:rPr>
          <w:lang w:val="fr-FR"/>
        </w:rPr>
      </w:pPr>
      <w:r>
        <w:rPr>
          <w:lang w:val="fr-FR"/>
        </w:rPr>
        <w:tab/>
      </w:r>
      <w:r>
        <w:rPr>
          <w:rStyle w:val="FootnoteReference"/>
        </w:rPr>
        <w:footnoteRef/>
      </w:r>
      <w:r>
        <w:rPr>
          <w:lang w:val="fr-FR"/>
        </w:rPr>
        <w:tab/>
      </w:r>
      <w:r w:rsidR="00AD535F">
        <w:rPr>
          <w:lang w:val="fr-FR"/>
        </w:rPr>
        <w:t>D</w:t>
      </w:r>
      <w:r w:rsidR="00AD535F" w:rsidRPr="00592838">
        <w:rPr>
          <w:lang w:val="fr-FR"/>
        </w:rPr>
        <w:t>ocument de séance</w:t>
      </w:r>
      <w:r w:rsidR="00AD535F" w:rsidRPr="00592838">
        <w:rPr>
          <w:rStyle w:val="EndnoteReference"/>
          <w:vertAlign w:val="baseline"/>
          <w:lang w:val="fr-FR"/>
        </w:rPr>
        <w:t xml:space="preserve"> de la Commission d’enquête sur le Burundi</w:t>
      </w:r>
      <w:r w:rsidR="00AD535F" w:rsidRPr="00592838">
        <w:rPr>
          <w:lang w:val="fr-FR"/>
        </w:rPr>
        <w:t xml:space="preserve"> de</w:t>
      </w:r>
      <w:r>
        <w:rPr>
          <w:lang w:val="fr-FR"/>
        </w:rPr>
        <w:t xml:space="preserve"> 2021, par. 114</w:t>
      </w:r>
      <w:r w:rsidR="00AD535F">
        <w:rPr>
          <w:lang w:val="fr-FR"/>
        </w:rPr>
        <w:t xml:space="preserve"> à </w:t>
      </w:r>
      <w:r>
        <w:rPr>
          <w:lang w:val="fr-FR"/>
        </w:rPr>
        <w:t>121, 157</w:t>
      </w:r>
      <w:r w:rsidR="00033664">
        <w:rPr>
          <w:lang w:val="fr-FR"/>
        </w:rPr>
        <w:t xml:space="preserve"> et</w:t>
      </w:r>
      <w:r>
        <w:rPr>
          <w:lang w:val="fr-FR"/>
        </w:rPr>
        <w:t xml:space="preserve"> 170</w:t>
      </w:r>
      <w:r w:rsidR="009A4C26">
        <w:rPr>
          <w:lang w:val="fr-FR"/>
        </w:rPr>
        <w:t>.</w:t>
      </w:r>
    </w:p>
  </w:footnote>
  <w:footnote w:id="19">
    <w:p w14:paraId="18861E49" w14:textId="5F1AE63C" w:rsidR="007046B2" w:rsidRPr="00F11D0A" w:rsidRDefault="007046B2" w:rsidP="00F21BA2">
      <w:pPr>
        <w:pStyle w:val="FootnoteText"/>
      </w:pPr>
      <w:r w:rsidRPr="00592838">
        <w:rPr>
          <w:lang w:val="fr-FR"/>
        </w:rPr>
        <w:tab/>
      </w:r>
      <w:r>
        <w:rPr>
          <w:rStyle w:val="FootnoteReference"/>
        </w:rPr>
        <w:footnoteRef/>
      </w:r>
      <w:r w:rsidRPr="00592838">
        <w:rPr>
          <w:lang w:val="fr-FR"/>
        </w:rPr>
        <w:tab/>
      </w:r>
      <w:hyperlink r:id="rId3" w:history="1">
        <w:r w:rsidRPr="00592838">
          <w:rPr>
            <w:rStyle w:val="Hyperlink"/>
            <w:color w:val="0000FF" w:themeColor="hyperlink"/>
            <w:u w:val="single"/>
            <w:lang w:val="es-AR"/>
          </w:rPr>
          <w:t>CCPR/C/BDI/CO/2</w:t>
        </w:r>
      </w:hyperlink>
      <w:r w:rsidRPr="00592838">
        <w:rPr>
          <w:lang w:val="fr-FR"/>
        </w:rPr>
        <w:t>, par. 14.</w:t>
      </w:r>
    </w:p>
  </w:footnote>
  <w:footnote w:id="20">
    <w:p w14:paraId="08385DE4" w14:textId="3360C5E0" w:rsidR="00657270" w:rsidRPr="009329A3" w:rsidRDefault="00657270" w:rsidP="00592838">
      <w:pPr>
        <w:pStyle w:val="FootnoteText"/>
        <w:rPr>
          <w:lang w:val="fr-FR"/>
        </w:rPr>
      </w:pPr>
      <w:r>
        <w:rPr>
          <w:lang w:val="fr-FR"/>
        </w:rPr>
        <w:tab/>
      </w:r>
      <w:r>
        <w:rPr>
          <w:rStyle w:val="FootnoteReference"/>
        </w:rPr>
        <w:footnoteRef/>
      </w:r>
      <w:r>
        <w:rPr>
          <w:lang w:val="fr-FR"/>
        </w:rPr>
        <w:tab/>
      </w:r>
      <w:r w:rsidR="00502E28" w:rsidRPr="00592838">
        <w:rPr>
          <w:lang w:val="fr-FR"/>
        </w:rPr>
        <w:t>Voir les documents de séance</w:t>
      </w:r>
      <w:r w:rsidR="00502E28" w:rsidRPr="00592838">
        <w:rPr>
          <w:rStyle w:val="EndnoteReference"/>
          <w:vertAlign w:val="baseline"/>
          <w:lang w:val="fr-FR"/>
        </w:rPr>
        <w:t xml:space="preserve"> de la Commission d’enquête sur le Burundi</w:t>
      </w:r>
      <w:r w:rsidR="00502E28" w:rsidRPr="00592838">
        <w:rPr>
          <w:lang w:val="fr-FR"/>
        </w:rPr>
        <w:t xml:space="preserve"> de</w:t>
      </w:r>
      <w:r>
        <w:rPr>
          <w:lang w:val="fr-FR"/>
        </w:rPr>
        <w:t xml:space="preserve"> 2017 </w:t>
      </w:r>
      <w:r w:rsidR="00502E28">
        <w:rPr>
          <w:lang w:val="fr-FR"/>
        </w:rPr>
        <w:t>(</w:t>
      </w:r>
      <w:r>
        <w:rPr>
          <w:lang w:val="fr-FR"/>
        </w:rPr>
        <w:t>par.</w:t>
      </w:r>
      <w:r w:rsidR="00502E28">
        <w:rPr>
          <w:lang w:val="fr-FR"/>
        </w:rPr>
        <w:t> </w:t>
      </w:r>
      <w:r>
        <w:rPr>
          <w:lang w:val="fr-FR"/>
        </w:rPr>
        <w:t>356</w:t>
      </w:r>
      <w:r w:rsidR="00502E28">
        <w:rPr>
          <w:lang w:val="fr-FR"/>
        </w:rPr>
        <w:t xml:space="preserve"> à </w:t>
      </w:r>
      <w:r>
        <w:rPr>
          <w:lang w:val="fr-FR"/>
        </w:rPr>
        <w:t>399</w:t>
      </w:r>
      <w:r w:rsidR="00502E28">
        <w:rPr>
          <w:lang w:val="fr-FR"/>
        </w:rPr>
        <w:t>), de</w:t>
      </w:r>
      <w:r>
        <w:rPr>
          <w:lang w:val="fr-FR"/>
        </w:rPr>
        <w:t xml:space="preserve"> 2018 </w:t>
      </w:r>
      <w:r w:rsidR="00502E28">
        <w:rPr>
          <w:lang w:val="fr-FR"/>
        </w:rPr>
        <w:t>(</w:t>
      </w:r>
      <w:r>
        <w:rPr>
          <w:lang w:val="fr-FR"/>
        </w:rPr>
        <w:t>par. 297</w:t>
      </w:r>
      <w:r w:rsidR="00502E28">
        <w:rPr>
          <w:lang w:val="fr-FR"/>
        </w:rPr>
        <w:t xml:space="preserve"> à </w:t>
      </w:r>
      <w:r>
        <w:rPr>
          <w:lang w:val="fr-FR"/>
        </w:rPr>
        <w:t>335</w:t>
      </w:r>
      <w:r w:rsidR="00502E28">
        <w:rPr>
          <w:lang w:val="fr-FR"/>
        </w:rPr>
        <w:t>)</w:t>
      </w:r>
      <w:r w:rsidR="00F30C2A">
        <w:rPr>
          <w:lang w:val="fr-FR"/>
        </w:rPr>
        <w:t xml:space="preserve">, de </w:t>
      </w:r>
      <w:r>
        <w:rPr>
          <w:lang w:val="fr-FR"/>
        </w:rPr>
        <w:t xml:space="preserve">2019 </w:t>
      </w:r>
      <w:r w:rsidR="00F30C2A">
        <w:rPr>
          <w:lang w:val="fr-FR"/>
        </w:rPr>
        <w:t>(</w:t>
      </w:r>
      <w:r>
        <w:rPr>
          <w:lang w:val="fr-FR"/>
        </w:rPr>
        <w:t>par.</w:t>
      </w:r>
      <w:r w:rsidR="00F30C2A">
        <w:rPr>
          <w:lang w:val="fr-FR"/>
        </w:rPr>
        <w:t> </w:t>
      </w:r>
      <w:r>
        <w:rPr>
          <w:lang w:val="fr-FR"/>
        </w:rPr>
        <w:t>114</w:t>
      </w:r>
      <w:r w:rsidR="00F30C2A">
        <w:rPr>
          <w:lang w:val="fr-FR"/>
        </w:rPr>
        <w:t xml:space="preserve"> à </w:t>
      </w:r>
      <w:r>
        <w:rPr>
          <w:lang w:val="fr-FR"/>
        </w:rPr>
        <w:t>141</w:t>
      </w:r>
      <w:r w:rsidR="00F30C2A">
        <w:rPr>
          <w:lang w:val="fr-FR"/>
        </w:rPr>
        <w:t xml:space="preserve">), de </w:t>
      </w:r>
      <w:r>
        <w:rPr>
          <w:lang w:val="fr-FR"/>
        </w:rPr>
        <w:t xml:space="preserve">2020 </w:t>
      </w:r>
      <w:r w:rsidR="00F30C2A">
        <w:rPr>
          <w:lang w:val="fr-FR"/>
        </w:rPr>
        <w:t>(</w:t>
      </w:r>
      <w:r>
        <w:rPr>
          <w:lang w:val="fr-FR"/>
        </w:rPr>
        <w:t>par</w:t>
      </w:r>
      <w:r w:rsidR="00387A43">
        <w:rPr>
          <w:lang w:val="fr-FR"/>
        </w:rPr>
        <w:t>.</w:t>
      </w:r>
      <w:r>
        <w:rPr>
          <w:lang w:val="fr-FR"/>
        </w:rPr>
        <w:t xml:space="preserve"> 169</w:t>
      </w:r>
      <w:r w:rsidR="00387A43">
        <w:rPr>
          <w:lang w:val="fr-FR"/>
        </w:rPr>
        <w:t xml:space="preserve"> à </w:t>
      </w:r>
      <w:r>
        <w:rPr>
          <w:lang w:val="fr-FR"/>
        </w:rPr>
        <w:t>179</w:t>
      </w:r>
      <w:r w:rsidR="00387A43">
        <w:rPr>
          <w:lang w:val="fr-FR"/>
        </w:rPr>
        <w:t>)</w:t>
      </w:r>
      <w:r>
        <w:rPr>
          <w:lang w:val="fr-FR"/>
        </w:rPr>
        <w:t xml:space="preserve"> et </w:t>
      </w:r>
      <w:r w:rsidR="00387A43">
        <w:rPr>
          <w:lang w:val="fr-FR"/>
        </w:rPr>
        <w:t xml:space="preserve">de </w:t>
      </w:r>
      <w:r>
        <w:rPr>
          <w:lang w:val="fr-FR"/>
        </w:rPr>
        <w:t xml:space="preserve">2021 </w:t>
      </w:r>
      <w:r w:rsidR="00387A43">
        <w:rPr>
          <w:lang w:val="fr-FR"/>
        </w:rPr>
        <w:t>(</w:t>
      </w:r>
      <w:r>
        <w:rPr>
          <w:lang w:val="fr-FR"/>
        </w:rPr>
        <w:t>par. 114</w:t>
      </w:r>
      <w:r w:rsidR="00387A43">
        <w:rPr>
          <w:lang w:val="fr-FR"/>
        </w:rPr>
        <w:t xml:space="preserve"> à </w:t>
      </w:r>
      <w:r>
        <w:rPr>
          <w:lang w:val="fr-FR"/>
        </w:rPr>
        <w:t>121</w:t>
      </w:r>
      <w:r w:rsidR="00387A43">
        <w:rPr>
          <w:lang w:val="fr-FR"/>
        </w:rPr>
        <w:t>,</w:t>
      </w:r>
      <w:r>
        <w:rPr>
          <w:lang w:val="fr-FR"/>
        </w:rPr>
        <w:t xml:space="preserve"> 152</w:t>
      </w:r>
      <w:r w:rsidR="00387A43">
        <w:rPr>
          <w:lang w:val="fr-FR"/>
        </w:rPr>
        <w:t xml:space="preserve"> et</w:t>
      </w:r>
      <w:r>
        <w:rPr>
          <w:lang w:val="fr-FR"/>
        </w:rPr>
        <w:t xml:space="preserve"> 161</w:t>
      </w:r>
      <w:r w:rsidR="00387A43">
        <w:rPr>
          <w:lang w:val="fr-FR"/>
        </w:rPr>
        <w:t>)</w:t>
      </w:r>
      <w:r w:rsidR="009A4C26">
        <w:rPr>
          <w:lang w:val="fr-FR"/>
        </w:rPr>
        <w:t>.</w:t>
      </w:r>
    </w:p>
  </w:footnote>
  <w:footnote w:id="21">
    <w:p w14:paraId="2F138AF1" w14:textId="5EC571F5" w:rsidR="00657270" w:rsidRPr="005E6676" w:rsidRDefault="00657270" w:rsidP="00592838">
      <w:pPr>
        <w:pStyle w:val="FootnoteText"/>
        <w:rPr>
          <w:lang w:val="fr-FR"/>
        </w:rPr>
      </w:pPr>
      <w:r>
        <w:rPr>
          <w:lang w:val="fr-FR"/>
        </w:rPr>
        <w:tab/>
      </w:r>
      <w:r>
        <w:rPr>
          <w:rStyle w:val="FootnoteReference"/>
        </w:rPr>
        <w:footnoteRef/>
      </w:r>
      <w:r>
        <w:rPr>
          <w:lang w:val="fr-FR"/>
        </w:rPr>
        <w:tab/>
      </w:r>
      <w:r w:rsidR="00994FFB" w:rsidRPr="00592838">
        <w:rPr>
          <w:lang w:val="fr-FR"/>
        </w:rPr>
        <w:t>Voir les documents de séance</w:t>
      </w:r>
      <w:r w:rsidR="00994FFB" w:rsidRPr="00592838">
        <w:rPr>
          <w:rStyle w:val="EndnoteReference"/>
          <w:vertAlign w:val="baseline"/>
          <w:lang w:val="fr-FR"/>
        </w:rPr>
        <w:t xml:space="preserve"> de la Commission d’enquête sur le Burundi</w:t>
      </w:r>
      <w:r w:rsidR="00994FFB" w:rsidRPr="00592838">
        <w:rPr>
          <w:lang w:val="fr-FR"/>
        </w:rPr>
        <w:t xml:space="preserve"> de</w:t>
      </w:r>
      <w:r>
        <w:rPr>
          <w:lang w:val="fr-FR"/>
        </w:rPr>
        <w:t xml:space="preserve"> 2017 </w:t>
      </w:r>
      <w:r w:rsidR="00994FFB">
        <w:rPr>
          <w:lang w:val="fr-FR"/>
        </w:rPr>
        <w:t>(</w:t>
      </w:r>
      <w:r>
        <w:rPr>
          <w:lang w:val="fr-FR"/>
        </w:rPr>
        <w:t>par. 391</w:t>
      </w:r>
      <w:r w:rsidR="00994FFB">
        <w:rPr>
          <w:lang w:val="fr-FR"/>
        </w:rPr>
        <w:t xml:space="preserve"> à </w:t>
      </w:r>
      <w:r>
        <w:rPr>
          <w:lang w:val="fr-FR"/>
        </w:rPr>
        <w:t>394</w:t>
      </w:r>
      <w:r w:rsidR="00994FFB">
        <w:rPr>
          <w:lang w:val="fr-FR"/>
        </w:rPr>
        <w:t>) et de</w:t>
      </w:r>
      <w:r>
        <w:rPr>
          <w:lang w:val="fr-FR"/>
        </w:rPr>
        <w:t xml:space="preserve"> 2018 </w:t>
      </w:r>
      <w:r w:rsidR="00994FFB">
        <w:rPr>
          <w:lang w:val="fr-FR"/>
        </w:rPr>
        <w:t>(</w:t>
      </w:r>
      <w:r>
        <w:rPr>
          <w:lang w:val="fr-FR"/>
        </w:rPr>
        <w:t>par. 257</w:t>
      </w:r>
      <w:r w:rsidR="006B7E22">
        <w:rPr>
          <w:lang w:val="fr-FR"/>
        </w:rPr>
        <w:t>,</w:t>
      </w:r>
      <w:r>
        <w:rPr>
          <w:lang w:val="fr-FR"/>
        </w:rPr>
        <w:t xml:space="preserve"> 274, 335 et 336</w:t>
      </w:r>
      <w:r w:rsidR="006B7E22">
        <w:rPr>
          <w:lang w:val="fr-FR"/>
        </w:rPr>
        <w:t>)</w:t>
      </w:r>
      <w:r w:rsidR="009A4C26">
        <w:rPr>
          <w:lang w:val="fr-FR"/>
        </w:rPr>
        <w:t>.</w:t>
      </w:r>
    </w:p>
  </w:footnote>
  <w:footnote w:id="22">
    <w:p w14:paraId="79FBB4DB" w14:textId="791F51D6" w:rsidR="00657270" w:rsidRPr="00030036" w:rsidRDefault="00657270" w:rsidP="00F21BA2">
      <w:pPr>
        <w:pStyle w:val="FootnoteText"/>
        <w:rPr>
          <w:lang w:val="fr-FR"/>
        </w:rPr>
      </w:pPr>
      <w:r>
        <w:rPr>
          <w:lang w:val="fr-FR"/>
        </w:rPr>
        <w:tab/>
      </w:r>
      <w:r>
        <w:rPr>
          <w:rStyle w:val="FootnoteReference"/>
        </w:rPr>
        <w:footnoteRef/>
      </w:r>
      <w:r>
        <w:rPr>
          <w:lang w:val="fr-FR"/>
        </w:rPr>
        <w:tab/>
      </w:r>
      <w:r w:rsidR="00E1759D" w:rsidRPr="00592838">
        <w:rPr>
          <w:lang w:val="fr-FR"/>
        </w:rPr>
        <w:t>Voir les documents de séance</w:t>
      </w:r>
      <w:r w:rsidR="00E1759D" w:rsidRPr="00592838">
        <w:rPr>
          <w:rStyle w:val="EndnoteReference"/>
          <w:vertAlign w:val="baseline"/>
          <w:lang w:val="fr-FR"/>
        </w:rPr>
        <w:t xml:space="preserve"> de la Commission d’enquête sur le Burundi</w:t>
      </w:r>
      <w:r w:rsidR="00E1759D" w:rsidRPr="00592838">
        <w:rPr>
          <w:lang w:val="fr-FR"/>
        </w:rPr>
        <w:t xml:space="preserve"> de</w:t>
      </w:r>
      <w:r w:rsidRPr="00030036">
        <w:rPr>
          <w:lang w:val="fr-FR"/>
        </w:rPr>
        <w:t xml:space="preserve"> 2020 </w:t>
      </w:r>
      <w:r w:rsidR="00E1759D">
        <w:rPr>
          <w:lang w:val="fr-FR"/>
        </w:rPr>
        <w:t>(</w:t>
      </w:r>
      <w:r w:rsidRPr="00030036">
        <w:rPr>
          <w:lang w:val="fr-FR"/>
        </w:rPr>
        <w:t>par</w:t>
      </w:r>
      <w:r w:rsidR="00E1759D">
        <w:rPr>
          <w:lang w:val="fr-FR"/>
        </w:rPr>
        <w:t>.</w:t>
      </w:r>
      <w:r w:rsidRPr="00030036">
        <w:rPr>
          <w:lang w:val="fr-FR"/>
        </w:rPr>
        <w:t xml:space="preserve"> 169</w:t>
      </w:r>
      <w:r w:rsidR="00E1759D">
        <w:rPr>
          <w:lang w:val="fr-FR"/>
        </w:rPr>
        <w:t xml:space="preserve"> à </w:t>
      </w:r>
      <w:r w:rsidRPr="00030036">
        <w:rPr>
          <w:lang w:val="fr-FR"/>
        </w:rPr>
        <w:t>179</w:t>
      </w:r>
      <w:r w:rsidR="00E1759D">
        <w:rPr>
          <w:lang w:val="fr-FR"/>
        </w:rPr>
        <w:t>) et de</w:t>
      </w:r>
      <w:r w:rsidRPr="00030036">
        <w:rPr>
          <w:lang w:val="fr-FR"/>
        </w:rPr>
        <w:t xml:space="preserve"> 2021</w:t>
      </w:r>
      <w:r>
        <w:rPr>
          <w:lang w:val="fr-FR"/>
        </w:rPr>
        <w:t xml:space="preserve"> </w:t>
      </w:r>
      <w:r w:rsidR="00E1759D">
        <w:rPr>
          <w:lang w:val="fr-FR"/>
        </w:rPr>
        <w:t>(</w:t>
      </w:r>
      <w:r>
        <w:rPr>
          <w:lang w:val="fr-FR"/>
        </w:rPr>
        <w:t>par. 114</w:t>
      </w:r>
      <w:r w:rsidR="00E1759D">
        <w:rPr>
          <w:lang w:val="fr-FR"/>
        </w:rPr>
        <w:t xml:space="preserve"> à </w:t>
      </w:r>
      <w:r>
        <w:rPr>
          <w:lang w:val="fr-FR"/>
        </w:rPr>
        <w:t>121, 152</w:t>
      </w:r>
      <w:r w:rsidR="00E1759D">
        <w:rPr>
          <w:lang w:val="fr-FR"/>
        </w:rPr>
        <w:t xml:space="preserve"> et</w:t>
      </w:r>
      <w:r>
        <w:rPr>
          <w:lang w:val="fr-FR"/>
        </w:rPr>
        <w:t xml:space="preserve"> 161</w:t>
      </w:r>
      <w:r w:rsidR="00E1759D">
        <w:rPr>
          <w:lang w:val="fr-FR"/>
        </w:rPr>
        <w:t>)</w:t>
      </w:r>
      <w:r w:rsidR="009A4C26">
        <w:rPr>
          <w:lang w:val="fr-FR"/>
        </w:rPr>
        <w:t>.</w:t>
      </w:r>
    </w:p>
  </w:footnote>
  <w:footnote w:id="23">
    <w:p w14:paraId="49EF8AA2" w14:textId="4F2FA1A1" w:rsidR="00657270" w:rsidRPr="00C3506A" w:rsidRDefault="009A4C26">
      <w:pPr>
        <w:pStyle w:val="FootnoteText"/>
        <w:rPr>
          <w:lang w:val="fr-FR"/>
        </w:rPr>
      </w:pPr>
      <w:r>
        <w:rPr>
          <w:lang w:val="fr-FR"/>
        </w:rPr>
        <w:tab/>
      </w:r>
      <w:r w:rsidR="00657270">
        <w:rPr>
          <w:rStyle w:val="FootnoteReference"/>
        </w:rPr>
        <w:footnoteRef/>
      </w:r>
      <w:r>
        <w:rPr>
          <w:lang w:val="fr-FR"/>
        </w:rPr>
        <w:tab/>
      </w:r>
      <w:r w:rsidR="001A27DF">
        <w:rPr>
          <w:lang w:val="fr-FR"/>
        </w:rPr>
        <w:t>D</w:t>
      </w:r>
      <w:r w:rsidR="001A27DF" w:rsidRPr="00592838">
        <w:rPr>
          <w:lang w:val="fr-FR"/>
        </w:rPr>
        <w:t>ocument de séance</w:t>
      </w:r>
      <w:r w:rsidR="001A27DF" w:rsidRPr="00592838">
        <w:rPr>
          <w:rStyle w:val="EndnoteReference"/>
          <w:vertAlign w:val="baseline"/>
          <w:lang w:val="fr-FR"/>
        </w:rPr>
        <w:t xml:space="preserve"> de la Commission d’enquête sur le Burundi</w:t>
      </w:r>
      <w:r w:rsidR="001A27DF" w:rsidRPr="00592838">
        <w:rPr>
          <w:lang w:val="fr-FR"/>
        </w:rPr>
        <w:t xml:space="preserve"> de</w:t>
      </w:r>
      <w:r w:rsidR="00657270" w:rsidRPr="00C3506A">
        <w:rPr>
          <w:lang w:val="fr-FR"/>
        </w:rPr>
        <w:t xml:space="preserve"> 2021, par</w:t>
      </w:r>
      <w:r w:rsidR="001A27DF">
        <w:rPr>
          <w:lang w:val="fr-FR"/>
        </w:rPr>
        <w:t>.</w:t>
      </w:r>
      <w:r w:rsidR="00657270" w:rsidRPr="00C3506A">
        <w:rPr>
          <w:lang w:val="fr-FR"/>
        </w:rPr>
        <w:t xml:space="preserve"> 162</w:t>
      </w:r>
      <w:r w:rsidR="008D0608">
        <w:rPr>
          <w:lang w:val="fr-FR"/>
        </w:rPr>
        <w:t xml:space="preserve"> à </w:t>
      </w:r>
      <w:r w:rsidR="00657270" w:rsidRPr="00C3506A">
        <w:rPr>
          <w:lang w:val="fr-FR"/>
        </w:rPr>
        <w:t>165</w:t>
      </w:r>
      <w:r>
        <w:rPr>
          <w:lang w:val="fr-FR"/>
        </w:rPr>
        <w:t>.</w:t>
      </w:r>
    </w:p>
  </w:footnote>
  <w:footnote w:id="24">
    <w:p w14:paraId="416BC44A" w14:textId="68E6CEB2" w:rsidR="00657270" w:rsidRPr="00C3506A" w:rsidRDefault="009A4C26">
      <w:pPr>
        <w:pStyle w:val="FootnoteText"/>
        <w:rPr>
          <w:lang w:val="fr-FR"/>
        </w:rPr>
      </w:pPr>
      <w:r>
        <w:rPr>
          <w:lang w:val="fr-FR"/>
        </w:rPr>
        <w:tab/>
      </w:r>
      <w:r w:rsidR="00657270">
        <w:rPr>
          <w:rStyle w:val="FootnoteReference"/>
        </w:rPr>
        <w:footnoteRef/>
      </w:r>
      <w:r>
        <w:rPr>
          <w:lang w:val="fr-FR"/>
        </w:rPr>
        <w:tab/>
      </w:r>
      <w:r w:rsidR="00E4181E">
        <w:rPr>
          <w:lang w:val="fr-FR"/>
        </w:rPr>
        <w:t>D</w:t>
      </w:r>
      <w:r w:rsidR="00E4181E" w:rsidRPr="00592838">
        <w:rPr>
          <w:lang w:val="fr-FR"/>
        </w:rPr>
        <w:t>ocument de séance</w:t>
      </w:r>
      <w:r w:rsidR="00E4181E" w:rsidRPr="00592838">
        <w:rPr>
          <w:rStyle w:val="EndnoteReference"/>
          <w:vertAlign w:val="baseline"/>
          <w:lang w:val="fr-FR"/>
        </w:rPr>
        <w:t xml:space="preserve"> de la Commission d’enquête sur le Burundi</w:t>
      </w:r>
      <w:r w:rsidR="00E4181E" w:rsidRPr="00592838">
        <w:rPr>
          <w:lang w:val="fr-FR"/>
        </w:rPr>
        <w:t xml:space="preserve"> de</w:t>
      </w:r>
      <w:r w:rsidR="00E4181E" w:rsidRPr="00C3506A">
        <w:rPr>
          <w:lang w:val="fr-FR"/>
        </w:rPr>
        <w:t xml:space="preserve"> 20</w:t>
      </w:r>
      <w:r w:rsidR="00E4181E">
        <w:rPr>
          <w:lang w:val="fr-FR"/>
        </w:rPr>
        <w:t>19,</w:t>
      </w:r>
      <w:r w:rsidR="00657270" w:rsidRPr="00C3506A">
        <w:rPr>
          <w:lang w:val="fr-FR"/>
        </w:rPr>
        <w:t xml:space="preserve"> par</w:t>
      </w:r>
      <w:r w:rsidR="00E4181E">
        <w:rPr>
          <w:lang w:val="fr-FR"/>
        </w:rPr>
        <w:t>.</w:t>
      </w:r>
      <w:r w:rsidR="00657270" w:rsidRPr="00C3506A">
        <w:rPr>
          <w:lang w:val="fr-FR"/>
        </w:rPr>
        <w:t xml:space="preserve"> 97</w:t>
      </w:r>
      <w:r w:rsidR="00E4181E">
        <w:rPr>
          <w:lang w:val="fr-FR"/>
        </w:rPr>
        <w:t xml:space="preserve"> à </w:t>
      </w:r>
      <w:r w:rsidR="00657270" w:rsidRPr="00C3506A">
        <w:rPr>
          <w:lang w:val="fr-FR"/>
        </w:rPr>
        <w:t>101</w:t>
      </w:r>
      <w:r>
        <w:rPr>
          <w:lang w:val="fr-FR"/>
        </w:rPr>
        <w:t>.</w:t>
      </w:r>
    </w:p>
  </w:footnote>
  <w:footnote w:id="25">
    <w:p w14:paraId="7E188CBF" w14:textId="799471A1" w:rsidR="00657270" w:rsidRPr="00D50350" w:rsidRDefault="00657270">
      <w:pPr>
        <w:pStyle w:val="FootnoteText"/>
        <w:rPr>
          <w:lang w:val="fr-FR"/>
        </w:rPr>
      </w:pPr>
      <w:r>
        <w:rPr>
          <w:lang w:val="fr-FR"/>
        </w:rPr>
        <w:tab/>
      </w:r>
      <w:r>
        <w:rPr>
          <w:rStyle w:val="FootnoteReference"/>
        </w:rPr>
        <w:footnoteRef/>
      </w:r>
      <w:r>
        <w:rPr>
          <w:lang w:val="fr-FR"/>
        </w:rPr>
        <w:tab/>
      </w:r>
      <w:r w:rsidR="000A44E9">
        <w:rPr>
          <w:lang w:val="fr-FR"/>
        </w:rPr>
        <w:t>Ibid.,</w:t>
      </w:r>
      <w:r w:rsidRPr="0096038A">
        <w:rPr>
          <w:lang w:val="fr-FR"/>
        </w:rPr>
        <w:t xml:space="preserve"> par. 108</w:t>
      </w:r>
      <w:r w:rsidR="009A4C26">
        <w:rPr>
          <w:lang w:val="fr-FR"/>
        </w:rPr>
        <w:t>.</w:t>
      </w:r>
    </w:p>
  </w:footnote>
  <w:footnote w:id="26">
    <w:p w14:paraId="762F38A2" w14:textId="5DD0A26F" w:rsidR="00657270" w:rsidRPr="0096038A" w:rsidRDefault="00657270">
      <w:pPr>
        <w:pStyle w:val="FootnoteText"/>
        <w:rPr>
          <w:lang w:val="fr-FR"/>
        </w:rPr>
      </w:pPr>
      <w:r>
        <w:rPr>
          <w:lang w:val="fr-FR"/>
        </w:rPr>
        <w:tab/>
      </w:r>
      <w:r>
        <w:rPr>
          <w:rStyle w:val="FootnoteReference"/>
        </w:rPr>
        <w:footnoteRef/>
      </w:r>
      <w:r>
        <w:rPr>
          <w:lang w:val="fr-FR"/>
        </w:rPr>
        <w:tab/>
      </w:r>
      <w:hyperlink r:id="rId4" w:history="1">
        <w:r w:rsidRPr="00592838">
          <w:rPr>
            <w:rStyle w:val="Hyperlink"/>
            <w:color w:val="0000FF" w:themeColor="hyperlink"/>
            <w:u w:val="single"/>
            <w:lang w:val="es-AR"/>
          </w:rPr>
          <w:t>A/HRC/48/68</w:t>
        </w:r>
      </w:hyperlink>
      <w:r w:rsidRPr="0096038A">
        <w:rPr>
          <w:lang w:val="fr-FR"/>
        </w:rPr>
        <w:t>, par</w:t>
      </w:r>
      <w:r>
        <w:rPr>
          <w:lang w:val="fr-FR"/>
        </w:rPr>
        <w:t>. 12</w:t>
      </w:r>
      <w:r w:rsidR="009A4C26">
        <w:rPr>
          <w:lang w:val="fr-FR"/>
        </w:rPr>
        <w:t>.</w:t>
      </w:r>
    </w:p>
  </w:footnote>
  <w:footnote w:id="27">
    <w:p w14:paraId="6204B18D" w14:textId="4ED82E11" w:rsidR="00657270" w:rsidRPr="00424E57" w:rsidRDefault="00657270">
      <w:pPr>
        <w:pStyle w:val="FootnoteText"/>
        <w:rPr>
          <w:lang w:val="fr-FR"/>
        </w:rPr>
      </w:pPr>
      <w:r w:rsidRPr="00424E57">
        <w:rPr>
          <w:lang w:val="fr-FR"/>
        </w:rPr>
        <w:tab/>
      </w:r>
      <w:r w:rsidRPr="00E65B46">
        <w:rPr>
          <w:rStyle w:val="EndnoteReference"/>
        </w:rPr>
        <w:footnoteRef/>
      </w:r>
      <w:r w:rsidRPr="00424E57">
        <w:rPr>
          <w:lang w:val="fr-FR"/>
        </w:rPr>
        <w:tab/>
      </w:r>
      <w:r w:rsidR="00237685">
        <w:rPr>
          <w:lang w:val="fr-FR"/>
        </w:rPr>
        <w:t>Ibid.</w:t>
      </w:r>
      <w:r w:rsidRPr="00424E57">
        <w:rPr>
          <w:lang w:val="fr-FR"/>
        </w:rPr>
        <w:t>, par</w:t>
      </w:r>
      <w:r w:rsidR="00BA6AD6">
        <w:rPr>
          <w:lang w:val="fr-FR"/>
        </w:rPr>
        <w:t>.</w:t>
      </w:r>
      <w:r w:rsidRPr="00424E57">
        <w:rPr>
          <w:lang w:val="fr-FR"/>
        </w:rPr>
        <w:t xml:space="preserve"> 54</w:t>
      </w:r>
      <w:r w:rsidR="009A4C26">
        <w:rPr>
          <w:lang w:val="fr-FR"/>
        </w:rPr>
        <w:t>.</w:t>
      </w:r>
    </w:p>
  </w:footnote>
  <w:footnote w:id="28">
    <w:p w14:paraId="691C521A" w14:textId="4978F912" w:rsidR="00657270" w:rsidRPr="00424E57" w:rsidRDefault="00657270" w:rsidP="00592838">
      <w:pPr>
        <w:pStyle w:val="FootnoteText"/>
        <w:rPr>
          <w:szCs w:val="18"/>
          <w:lang w:val="fr-FR"/>
        </w:rPr>
      </w:pPr>
      <w:r w:rsidRPr="00424E57">
        <w:rPr>
          <w:szCs w:val="18"/>
          <w:lang w:val="fr-FR"/>
        </w:rPr>
        <w:tab/>
      </w:r>
      <w:r w:rsidRPr="006C7C69">
        <w:rPr>
          <w:rStyle w:val="FootnoteReference"/>
          <w:szCs w:val="18"/>
        </w:rPr>
        <w:footnoteRef/>
      </w:r>
      <w:r w:rsidRPr="00424E57">
        <w:rPr>
          <w:szCs w:val="18"/>
          <w:lang w:val="fr-FR"/>
        </w:rPr>
        <w:tab/>
      </w:r>
      <w:r w:rsidR="00D50943">
        <w:rPr>
          <w:lang w:val="fr-FR"/>
        </w:rPr>
        <w:t>D</w:t>
      </w:r>
      <w:r w:rsidR="00D50943" w:rsidRPr="00592838">
        <w:rPr>
          <w:lang w:val="fr-FR"/>
        </w:rPr>
        <w:t>ocument de séance</w:t>
      </w:r>
      <w:r w:rsidR="00D50943" w:rsidRPr="00592838">
        <w:rPr>
          <w:rStyle w:val="EndnoteReference"/>
          <w:vertAlign w:val="baseline"/>
          <w:lang w:val="fr-FR"/>
        </w:rPr>
        <w:t xml:space="preserve"> de la Commission d’enquête sur le Burundi</w:t>
      </w:r>
      <w:r w:rsidR="00D50943" w:rsidRPr="00592838">
        <w:rPr>
          <w:lang w:val="fr-FR"/>
        </w:rPr>
        <w:t xml:space="preserve"> de</w:t>
      </w:r>
      <w:r w:rsidR="00D50943" w:rsidRPr="00C3506A">
        <w:rPr>
          <w:lang w:val="fr-FR"/>
        </w:rPr>
        <w:t xml:space="preserve"> 20</w:t>
      </w:r>
      <w:r w:rsidR="00D50943">
        <w:rPr>
          <w:lang w:val="fr-FR"/>
        </w:rPr>
        <w:t>18</w:t>
      </w:r>
      <w:r w:rsidRPr="00424E57">
        <w:rPr>
          <w:szCs w:val="18"/>
          <w:lang w:val="fr-FR"/>
        </w:rPr>
        <w:t>, par</w:t>
      </w:r>
      <w:r w:rsidR="00D50943">
        <w:rPr>
          <w:szCs w:val="18"/>
          <w:lang w:val="fr-FR"/>
        </w:rPr>
        <w:t>.</w:t>
      </w:r>
      <w:r w:rsidRPr="00424E57">
        <w:rPr>
          <w:szCs w:val="18"/>
          <w:lang w:val="fr-FR"/>
        </w:rPr>
        <w:t xml:space="preserve"> 47</w:t>
      </w:r>
      <w:r w:rsidR="00D50943">
        <w:rPr>
          <w:szCs w:val="18"/>
          <w:lang w:val="fr-FR"/>
        </w:rPr>
        <w:t>1</w:t>
      </w:r>
      <w:r w:rsidRPr="00424E57">
        <w:rPr>
          <w:szCs w:val="18"/>
          <w:lang w:val="fr-FR"/>
        </w:rPr>
        <w:t xml:space="preserve"> et </w:t>
      </w:r>
      <w:proofErr w:type="spellStart"/>
      <w:r w:rsidRPr="00424E57">
        <w:rPr>
          <w:szCs w:val="18"/>
          <w:lang w:val="fr-FR"/>
        </w:rPr>
        <w:t>suiv</w:t>
      </w:r>
      <w:proofErr w:type="spellEnd"/>
      <w:r w:rsidR="009A4C26">
        <w:rPr>
          <w:szCs w:val="18"/>
          <w:lang w:val="fr-FR"/>
        </w:rPr>
        <w:t>.</w:t>
      </w:r>
    </w:p>
  </w:footnote>
  <w:footnote w:id="29">
    <w:p w14:paraId="58B5BB7A" w14:textId="40F8080C" w:rsidR="00657270" w:rsidRPr="00D247A2" w:rsidRDefault="00657270" w:rsidP="00F21BA2">
      <w:pPr>
        <w:pStyle w:val="FootnoteText"/>
        <w:rPr>
          <w:lang w:val="fr-FR"/>
        </w:rPr>
      </w:pPr>
      <w:r>
        <w:rPr>
          <w:lang w:val="fr-FR"/>
        </w:rPr>
        <w:tab/>
      </w:r>
      <w:r>
        <w:rPr>
          <w:rStyle w:val="FootnoteReference"/>
        </w:rPr>
        <w:footnoteRef/>
      </w:r>
      <w:r>
        <w:rPr>
          <w:lang w:val="fr-FR"/>
        </w:rPr>
        <w:tab/>
      </w:r>
      <w:r w:rsidR="0030139B">
        <w:rPr>
          <w:lang w:val="fr-FR"/>
        </w:rPr>
        <w:t xml:space="preserve">Burundi Daily, « Gérard </w:t>
      </w:r>
      <w:proofErr w:type="spellStart"/>
      <w:r w:rsidR="0030139B">
        <w:rPr>
          <w:lang w:val="fr-FR"/>
        </w:rPr>
        <w:t>Ndayisenga</w:t>
      </w:r>
      <w:proofErr w:type="spellEnd"/>
      <w:r w:rsidR="00C918D2">
        <w:rPr>
          <w:lang w:val="fr-FR"/>
        </w:rPr>
        <w:t xml:space="preserve">, un ogre du SNR finit sa course à la prison de </w:t>
      </w:r>
      <w:proofErr w:type="spellStart"/>
      <w:r w:rsidR="00C918D2">
        <w:rPr>
          <w:lang w:val="fr-FR"/>
        </w:rPr>
        <w:t>Mpimba</w:t>
      </w:r>
      <w:proofErr w:type="spellEnd"/>
      <w:r w:rsidR="00C918D2">
        <w:rPr>
          <w:lang w:val="fr-FR"/>
        </w:rPr>
        <w:t> », 23 décembre 2021</w:t>
      </w:r>
      <w:r w:rsidR="009A4C26">
        <w:rPr>
          <w:lang w:val="fr-FR"/>
        </w:rPr>
        <w:t>.</w:t>
      </w:r>
    </w:p>
  </w:footnote>
  <w:footnote w:id="30">
    <w:p w14:paraId="7E868E27" w14:textId="06598C67" w:rsidR="00657270" w:rsidRPr="00030036" w:rsidRDefault="00657270" w:rsidP="00592838">
      <w:pPr>
        <w:pStyle w:val="FootnoteText"/>
        <w:rPr>
          <w:szCs w:val="18"/>
          <w:lang w:val="fr-FR"/>
        </w:rPr>
      </w:pPr>
      <w:r w:rsidRPr="00424E57">
        <w:rPr>
          <w:szCs w:val="18"/>
          <w:lang w:val="fr-FR"/>
        </w:rPr>
        <w:tab/>
      </w:r>
      <w:r w:rsidRPr="006C7C69">
        <w:rPr>
          <w:rStyle w:val="FootnoteReference"/>
          <w:szCs w:val="18"/>
        </w:rPr>
        <w:footnoteRef/>
      </w:r>
      <w:r w:rsidRPr="00030036">
        <w:rPr>
          <w:szCs w:val="18"/>
          <w:lang w:val="fr-FR"/>
        </w:rPr>
        <w:tab/>
      </w:r>
      <w:r w:rsidR="00653D83">
        <w:rPr>
          <w:lang w:val="fr-FR"/>
        </w:rPr>
        <w:t>D</w:t>
      </w:r>
      <w:r w:rsidR="00653D83" w:rsidRPr="00592838">
        <w:rPr>
          <w:lang w:val="fr-FR"/>
        </w:rPr>
        <w:t>ocument de séance</w:t>
      </w:r>
      <w:r w:rsidR="00653D83" w:rsidRPr="00592838">
        <w:rPr>
          <w:rStyle w:val="EndnoteReference"/>
          <w:vertAlign w:val="baseline"/>
          <w:lang w:val="fr-FR"/>
        </w:rPr>
        <w:t xml:space="preserve"> de la Commission d’enquête sur le Burundi</w:t>
      </w:r>
      <w:r w:rsidR="00653D83" w:rsidRPr="00592838">
        <w:rPr>
          <w:lang w:val="fr-FR"/>
        </w:rPr>
        <w:t xml:space="preserve"> de</w:t>
      </w:r>
      <w:r w:rsidR="00653D83" w:rsidRPr="00C3506A">
        <w:rPr>
          <w:lang w:val="fr-FR"/>
        </w:rPr>
        <w:t xml:space="preserve"> 20</w:t>
      </w:r>
      <w:r w:rsidR="00653D83">
        <w:rPr>
          <w:lang w:val="fr-FR"/>
        </w:rPr>
        <w:t>18</w:t>
      </w:r>
      <w:r w:rsidRPr="00030036">
        <w:rPr>
          <w:szCs w:val="18"/>
          <w:lang w:val="fr-FR"/>
        </w:rPr>
        <w:t xml:space="preserve">, par. </w:t>
      </w:r>
      <w:r w:rsidRPr="00030036">
        <w:rPr>
          <w:rFonts w:eastAsia="MS Mincho"/>
          <w:bCs/>
          <w:szCs w:val="18"/>
          <w:lang w:val="fr-FR"/>
        </w:rPr>
        <w:t>467</w:t>
      </w:r>
      <w:r w:rsidR="009A4C26">
        <w:rPr>
          <w:rFonts w:eastAsia="MS Mincho"/>
          <w:bCs/>
          <w:szCs w:val="18"/>
          <w:lang w:val="fr-FR"/>
        </w:rPr>
        <w:t>.</w:t>
      </w:r>
    </w:p>
  </w:footnote>
  <w:footnote w:id="31">
    <w:p w14:paraId="3B4A2037" w14:textId="346C0F4E" w:rsidR="00657270" w:rsidRPr="00030036" w:rsidRDefault="00657270" w:rsidP="00F21BA2">
      <w:pPr>
        <w:pStyle w:val="FootnoteText"/>
        <w:rPr>
          <w:lang w:val="fr-FR"/>
        </w:rPr>
      </w:pPr>
      <w:r>
        <w:rPr>
          <w:lang w:val="fr-FR"/>
        </w:rPr>
        <w:tab/>
      </w:r>
      <w:r>
        <w:rPr>
          <w:rStyle w:val="FootnoteReference"/>
        </w:rPr>
        <w:footnoteRef/>
      </w:r>
      <w:r>
        <w:rPr>
          <w:lang w:val="fr-FR"/>
        </w:rPr>
        <w:tab/>
      </w:r>
      <w:r w:rsidR="00094733">
        <w:rPr>
          <w:lang w:val="fr-FR"/>
        </w:rPr>
        <w:t>D</w:t>
      </w:r>
      <w:r w:rsidR="00094733" w:rsidRPr="00592838">
        <w:rPr>
          <w:lang w:val="fr-FR"/>
        </w:rPr>
        <w:t>ocument de séance</w:t>
      </w:r>
      <w:r w:rsidR="00094733" w:rsidRPr="00592838">
        <w:rPr>
          <w:rStyle w:val="EndnoteReference"/>
          <w:vertAlign w:val="baseline"/>
          <w:lang w:val="fr-FR"/>
        </w:rPr>
        <w:t xml:space="preserve"> de la Commission d’enquête sur le Burundi</w:t>
      </w:r>
      <w:r w:rsidR="00094733" w:rsidRPr="00592838">
        <w:rPr>
          <w:lang w:val="fr-FR"/>
        </w:rPr>
        <w:t xml:space="preserve"> de</w:t>
      </w:r>
      <w:r w:rsidR="00094733" w:rsidRPr="00C3506A">
        <w:rPr>
          <w:lang w:val="fr-FR"/>
        </w:rPr>
        <w:t xml:space="preserve"> 20</w:t>
      </w:r>
      <w:r w:rsidR="00094733">
        <w:rPr>
          <w:lang w:val="fr-FR"/>
        </w:rPr>
        <w:t>19,</w:t>
      </w:r>
      <w:r w:rsidRPr="00030036">
        <w:rPr>
          <w:lang w:val="fr-FR"/>
        </w:rPr>
        <w:t xml:space="preserve"> par. 297</w:t>
      </w:r>
      <w:r w:rsidR="009A4C26">
        <w:rPr>
          <w:lang w:val="fr-FR"/>
        </w:rPr>
        <w:t>.</w:t>
      </w:r>
    </w:p>
  </w:footnote>
  <w:footnote w:id="32">
    <w:p w14:paraId="54D3DAAF" w14:textId="06BBCE84" w:rsidR="00657270" w:rsidRPr="00030036" w:rsidRDefault="00657270">
      <w:pPr>
        <w:pStyle w:val="FootnoteText"/>
        <w:rPr>
          <w:lang w:val="fr-FR"/>
        </w:rPr>
      </w:pPr>
      <w:r>
        <w:rPr>
          <w:lang w:val="fr-FR"/>
        </w:rPr>
        <w:tab/>
      </w:r>
      <w:r>
        <w:rPr>
          <w:rStyle w:val="FootnoteReference"/>
        </w:rPr>
        <w:footnoteRef/>
      </w:r>
      <w:r>
        <w:rPr>
          <w:lang w:val="fr-FR"/>
        </w:rPr>
        <w:tab/>
      </w:r>
      <w:hyperlink r:id="rId5" w:history="1">
        <w:r w:rsidRPr="00592838">
          <w:rPr>
            <w:rStyle w:val="Hyperlink"/>
            <w:color w:val="0000FF" w:themeColor="hyperlink"/>
            <w:u w:val="single"/>
            <w:lang w:val="es-AR"/>
          </w:rPr>
          <w:t>A/HRC/48/68</w:t>
        </w:r>
      </w:hyperlink>
      <w:r w:rsidR="0092405A">
        <w:rPr>
          <w:lang w:val="fr-FR"/>
        </w:rPr>
        <w:t>,</w:t>
      </w:r>
      <w:r>
        <w:rPr>
          <w:lang w:val="fr-FR"/>
        </w:rPr>
        <w:t xml:space="preserve"> par</w:t>
      </w:r>
      <w:r w:rsidR="0092405A">
        <w:rPr>
          <w:lang w:val="fr-FR"/>
        </w:rPr>
        <w:t>.</w:t>
      </w:r>
      <w:r w:rsidRPr="00030036">
        <w:rPr>
          <w:lang w:val="fr-FR"/>
        </w:rPr>
        <w:t xml:space="preserve"> 54</w:t>
      </w:r>
      <w:r w:rsidR="009A4C26">
        <w:rPr>
          <w:lang w:val="fr-FR"/>
        </w:rPr>
        <w:t>.</w:t>
      </w:r>
    </w:p>
  </w:footnote>
  <w:footnote w:id="33">
    <w:p w14:paraId="44717078" w14:textId="3A6735E0" w:rsidR="00657270" w:rsidRPr="00C61D56" w:rsidRDefault="009A4C26">
      <w:pPr>
        <w:pStyle w:val="FootnoteText"/>
        <w:rPr>
          <w:lang w:val="fr-FR"/>
        </w:rPr>
      </w:pPr>
      <w:r>
        <w:rPr>
          <w:lang w:val="fr-FR"/>
        </w:rPr>
        <w:tab/>
      </w:r>
      <w:r w:rsidR="00657270">
        <w:rPr>
          <w:rStyle w:val="FootnoteReference"/>
        </w:rPr>
        <w:footnoteRef/>
      </w:r>
      <w:r>
        <w:rPr>
          <w:lang w:val="fr-FR"/>
        </w:rPr>
        <w:tab/>
      </w:r>
      <w:hyperlink r:id="rId6" w:history="1">
        <w:r w:rsidR="00657270" w:rsidRPr="00592838">
          <w:rPr>
            <w:rStyle w:val="Hyperlink"/>
            <w:color w:val="0000FF" w:themeColor="hyperlink"/>
            <w:u w:val="single"/>
            <w:lang w:val="es-AR"/>
          </w:rPr>
          <w:t>CCPR/C/BDI/CO/2</w:t>
        </w:r>
      </w:hyperlink>
      <w:r w:rsidR="0036791A">
        <w:rPr>
          <w:lang w:val="fr-FR"/>
        </w:rPr>
        <w:t>,</w:t>
      </w:r>
      <w:r w:rsidR="00657270" w:rsidRPr="00C61D56">
        <w:rPr>
          <w:lang w:val="fr-FR"/>
        </w:rPr>
        <w:t xml:space="preserve"> par</w:t>
      </w:r>
      <w:r w:rsidR="0036791A">
        <w:rPr>
          <w:lang w:val="fr-FR"/>
        </w:rPr>
        <w:t>.</w:t>
      </w:r>
      <w:r w:rsidR="00657270" w:rsidRPr="00C61D56">
        <w:rPr>
          <w:lang w:val="fr-FR"/>
        </w:rPr>
        <w:t xml:space="preserve"> 13</w:t>
      </w:r>
      <w:r>
        <w:rPr>
          <w:lang w:val="fr-FR"/>
        </w:rPr>
        <w:t>.</w:t>
      </w:r>
    </w:p>
  </w:footnote>
  <w:footnote w:id="34">
    <w:p w14:paraId="10CB0A6B" w14:textId="045C0470" w:rsidR="00657270" w:rsidRPr="00C61D56" w:rsidRDefault="009A4C26">
      <w:pPr>
        <w:pStyle w:val="FootnoteText"/>
        <w:rPr>
          <w:lang w:val="fr-FR"/>
        </w:rPr>
      </w:pPr>
      <w:r>
        <w:rPr>
          <w:lang w:val="fr-FR"/>
        </w:rPr>
        <w:tab/>
      </w:r>
      <w:r w:rsidR="00657270">
        <w:rPr>
          <w:rStyle w:val="FootnoteReference"/>
        </w:rPr>
        <w:footnoteRef/>
      </w:r>
      <w:r>
        <w:rPr>
          <w:lang w:val="fr-FR"/>
        </w:rPr>
        <w:tab/>
      </w:r>
      <w:hyperlink r:id="rId7" w:history="1">
        <w:r w:rsidR="00657270" w:rsidRPr="00592838">
          <w:rPr>
            <w:rStyle w:val="Hyperlink"/>
            <w:color w:val="0000FF" w:themeColor="hyperlink"/>
            <w:u w:val="single"/>
            <w:lang w:val="es-AR"/>
          </w:rPr>
          <w:t>CCPR/C/BDI/3</w:t>
        </w:r>
      </w:hyperlink>
      <w:r w:rsidR="008B0CFA">
        <w:rPr>
          <w:lang w:val="fr-FR"/>
        </w:rPr>
        <w:t>,</w:t>
      </w:r>
      <w:r w:rsidR="00657270" w:rsidRPr="00C61D56">
        <w:rPr>
          <w:lang w:val="fr-FR"/>
        </w:rPr>
        <w:t xml:space="preserve"> par</w:t>
      </w:r>
      <w:r w:rsidR="008B0CFA">
        <w:rPr>
          <w:lang w:val="fr-FR"/>
        </w:rPr>
        <w:t>.</w:t>
      </w:r>
      <w:r w:rsidR="00657270" w:rsidRPr="00C61D56">
        <w:rPr>
          <w:lang w:val="fr-FR"/>
        </w:rPr>
        <w:t xml:space="preserve"> 54</w:t>
      </w:r>
      <w:r>
        <w:rPr>
          <w:lang w:val="fr-FR"/>
        </w:rPr>
        <w:t>.</w:t>
      </w:r>
    </w:p>
  </w:footnote>
  <w:footnote w:id="35">
    <w:p w14:paraId="1C9AB587" w14:textId="12E83396" w:rsidR="004E5B43" w:rsidRPr="00F11D0A" w:rsidRDefault="004E5B43">
      <w:pPr>
        <w:pStyle w:val="FootnoteText"/>
      </w:pPr>
      <w:r w:rsidRPr="00592838">
        <w:rPr>
          <w:lang w:val="fr-FR"/>
        </w:rPr>
        <w:tab/>
      </w:r>
      <w:r>
        <w:rPr>
          <w:rStyle w:val="FootnoteReference"/>
        </w:rPr>
        <w:footnoteRef/>
      </w:r>
      <w:r w:rsidRPr="00592838">
        <w:rPr>
          <w:lang w:val="fr-FR"/>
        </w:rPr>
        <w:tab/>
      </w:r>
      <w:hyperlink r:id="rId8" w:history="1">
        <w:r w:rsidR="00614810" w:rsidRPr="00592838">
          <w:rPr>
            <w:rStyle w:val="Hyperlink"/>
            <w:color w:val="0000FF" w:themeColor="hyperlink"/>
            <w:u w:val="single"/>
            <w:lang w:val="es-AR"/>
          </w:rPr>
          <w:t>A/HRC/38/10/Add.1</w:t>
        </w:r>
      </w:hyperlink>
      <w:r w:rsidR="00614810" w:rsidRPr="00592838">
        <w:rPr>
          <w:lang w:val="fr-FR"/>
        </w:rPr>
        <w:t>, par. 7</w:t>
      </w:r>
      <w:r w:rsidR="00BA6AD6">
        <w:rPr>
          <w:lang w:val="fr-FR"/>
        </w:rPr>
        <w:t> </w:t>
      </w:r>
      <w:r w:rsidR="00614810" w:rsidRPr="00592838">
        <w:rPr>
          <w:lang w:val="fr-FR"/>
        </w:rPr>
        <w:t xml:space="preserve">; et </w:t>
      </w:r>
      <w:hyperlink r:id="rId9" w:history="1">
        <w:r w:rsidRPr="00592838">
          <w:rPr>
            <w:rStyle w:val="Hyperlink"/>
            <w:lang w:val="fr-FR"/>
          </w:rPr>
          <w:t>A/HRC/38/10</w:t>
        </w:r>
      </w:hyperlink>
      <w:r w:rsidRPr="00592838">
        <w:rPr>
          <w:lang w:val="fr-FR"/>
        </w:rPr>
        <w:t>, par. 137.146</w:t>
      </w:r>
      <w:r w:rsidR="00336634" w:rsidRPr="00592838">
        <w:rPr>
          <w:lang w:val="fr-FR"/>
        </w:rPr>
        <w:t>.</w:t>
      </w:r>
    </w:p>
  </w:footnote>
  <w:footnote w:id="36">
    <w:p w14:paraId="5B291F28" w14:textId="08A85786" w:rsidR="00657270" w:rsidRPr="00424E57" w:rsidRDefault="00657270">
      <w:pPr>
        <w:pStyle w:val="FootnoteText"/>
        <w:rPr>
          <w:lang w:val="fr-FR"/>
        </w:rPr>
      </w:pPr>
      <w:r w:rsidRPr="00C61D56">
        <w:rPr>
          <w:lang w:val="fr-FR"/>
        </w:rPr>
        <w:tab/>
      </w:r>
      <w:r>
        <w:rPr>
          <w:rStyle w:val="FootnoteReference"/>
        </w:rPr>
        <w:footnoteRef/>
      </w:r>
      <w:r w:rsidRPr="00424E57">
        <w:rPr>
          <w:lang w:val="fr-FR"/>
        </w:rPr>
        <w:tab/>
        <w:t xml:space="preserve">Commission </w:t>
      </w:r>
      <w:r w:rsidR="00183ADA">
        <w:rPr>
          <w:lang w:val="fr-FR"/>
        </w:rPr>
        <w:t>n</w:t>
      </w:r>
      <w:r w:rsidRPr="00424E57">
        <w:rPr>
          <w:lang w:val="fr-FR"/>
        </w:rPr>
        <w:t xml:space="preserve">ationale </w:t>
      </w:r>
      <w:r w:rsidR="00183ADA">
        <w:rPr>
          <w:lang w:val="fr-FR"/>
        </w:rPr>
        <w:t>i</w:t>
      </w:r>
      <w:r w:rsidRPr="00424E57">
        <w:rPr>
          <w:lang w:val="fr-FR"/>
        </w:rPr>
        <w:t xml:space="preserve">ndépendante des </w:t>
      </w:r>
      <w:r w:rsidR="00183ADA">
        <w:rPr>
          <w:lang w:val="fr-FR"/>
        </w:rPr>
        <w:t>d</w:t>
      </w:r>
      <w:r w:rsidRPr="00424E57">
        <w:rPr>
          <w:lang w:val="fr-FR"/>
        </w:rPr>
        <w:t>roits de l’</w:t>
      </w:r>
      <w:r w:rsidR="00183ADA">
        <w:rPr>
          <w:lang w:val="fr-FR"/>
        </w:rPr>
        <w:t>h</w:t>
      </w:r>
      <w:r w:rsidRPr="00424E57">
        <w:rPr>
          <w:lang w:val="fr-FR"/>
        </w:rPr>
        <w:t xml:space="preserve">omme, </w:t>
      </w:r>
      <w:r w:rsidRPr="00592838">
        <w:rPr>
          <w:i/>
          <w:iCs/>
          <w:lang w:val="fr-FR"/>
        </w:rPr>
        <w:t>Rapport annuel d’activités</w:t>
      </w:r>
      <w:r w:rsidR="00091153" w:rsidRPr="00592838">
        <w:rPr>
          <w:i/>
          <w:iCs/>
          <w:lang w:val="fr-FR"/>
        </w:rPr>
        <w:t> :</w:t>
      </w:r>
      <w:r w:rsidRPr="00592838">
        <w:rPr>
          <w:i/>
          <w:iCs/>
          <w:lang w:val="fr-FR"/>
        </w:rPr>
        <w:t xml:space="preserve"> exercice 2021</w:t>
      </w:r>
      <w:r w:rsidR="00091153">
        <w:rPr>
          <w:lang w:val="fr-FR"/>
        </w:rPr>
        <w:t>, février 2022,</w:t>
      </w:r>
      <w:r w:rsidRPr="00424E57">
        <w:rPr>
          <w:lang w:val="fr-FR"/>
        </w:rPr>
        <w:t xml:space="preserve"> </w:t>
      </w:r>
      <w:r w:rsidR="00091153">
        <w:rPr>
          <w:lang w:val="fr-FR"/>
        </w:rPr>
        <w:t>p</w:t>
      </w:r>
      <w:r w:rsidRPr="00424E57">
        <w:rPr>
          <w:lang w:val="fr-FR"/>
        </w:rPr>
        <w:t>. 30 et 31</w:t>
      </w:r>
      <w:r w:rsidR="009A4C26">
        <w:rPr>
          <w:lang w:val="fr-FR"/>
        </w:rPr>
        <w:t>.</w:t>
      </w:r>
    </w:p>
  </w:footnote>
  <w:footnote w:id="37">
    <w:p w14:paraId="5042B138" w14:textId="56828631" w:rsidR="00657270" w:rsidRPr="007815F2" w:rsidRDefault="00657270">
      <w:pPr>
        <w:pStyle w:val="FootnoteText"/>
        <w:rPr>
          <w:lang w:val="es-ES"/>
        </w:rPr>
      </w:pPr>
      <w:r>
        <w:rPr>
          <w:lang w:val="fr-FR"/>
        </w:rPr>
        <w:tab/>
      </w:r>
      <w:r>
        <w:rPr>
          <w:rStyle w:val="FootnoteReference"/>
        </w:rPr>
        <w:footnoteRef/>
      </w:r>
      <w:r w:rsidRPr="007815F2">
        <w:rPr>
          <w:lang w:val="es-ES"/>
        </w:rPr>
        <w:tab/>
      </w:r>
      <w:hyperlink r:id="rId10" w:history="1">
        <w:r w:rsidRPr="00592838">
          <w:rPr>
            <w:rStyle w:val="Hyperlink"/>
            <w:color w:val="0000FF" w:themeColor="hyperlink"/>
            <w:u w:val="single"/>
            <w:lang w:val="es-AR"/>
          </w:rPr>
          <w:t>A/HRC/38/10/Add.1</w:t>
        </w:r>
      </w:hyperlink>
      <w:r w:rsidR="00592838">
        <w:rPr>
          <w:lang w:val="es-ES"/>
        </w:rPr>
        <w:t>,</w:t>
      </w:r>
      <w:r w:rsidRPr="007815F2">
        <w:rPr>
          <w:lang w:val="es-ES"/>
        </w:rPr>
        <w:t xml:space="preserve"> </w:t>
      </w:r>
      <w:r w:rsidR="00FA3B51">
        <w:rPr>
          <w:lang w:val="es-ES"/>
        </w:rPr>
        <w:t>p</w:t>
      </w:r>
      <w:r w:rsidRPr="007815F2">
        <w:rPr>
          <w:lang w:val="es-ES"/>
        </w:rPr>
        <w:t>ar</w:t>
      </w:r>
      <w:r w:rsidR="00FA3B51">
        <w:rPr>
          <w:lang w:val="es-ES"/>
        </w:rPr>
        <w:t>.</w:t>
      </w:r>
      <w:r w:rsidRPr="007815F2">
        <w:rPr>
          <w:lang w:val="es-ES"/>
        </w:rPr>
        <w:t xml:space="preserve"> 7</w:t>
      </w:r>
      <w:r w:rsidR="008B3122">
        <w:rPr>
          <w:lang w:val="es-ES"/>
        </w:rPr>
        <w:t xml:space="preserve"> ; et </w:t>
      </w:r>
      <w:hyperlink r:id="rId11" w:history="1">
        <w:r w:rsidR="008B3122" w:rsidRPr="00592838">
          <w:rPr>
            <w:rStyle w:val="Hyperlink"/>
            <w:lang w:val="fr-FR"/>
          </w:rPr>
          <w:t>A/HRC/38/10</w:t>
        </w:r>
      </w:hyperlink>
      <w:r w:rsidR="008B3122" w:rsidRPr="00592838">
        <w:rPr>
          <w:lang w:val="fr-FR"/>
        </w:rPr>
        <w:t>, par. 137.143</w:t>
      </w:r>
      <w:r w:rsidR="009A4C26">
        <w:rPr>
          <w:lang w:val="es-ES"/>
        </w:rPr>
        <w:t>.</w:t>
      </w:r>
    </w:p>
  </w:footnote>
  <w:footnote w:id="38">
    <w:p w14:paraId="23A9C51F" w14:textId="32231E94" w:rsidR="00E23FDC" w:rsidRPr="00F11D0A" w:rsidRDefault="00E23FDC">
      <w:pPr>
        <w:pStyle w:val="FootnoteText"/>
      </w:pPr>
      <w:r w:rsidRPr="00592838">
        <w:rPr>
          <w:lang w:val="fr-FR"/>
        </w:rPr>
        <w:tab/>
      </w:r>
      <w:r>
        <w:rPr>
          <w:rStyle w:val="FootnoteReference"/>
        </w:rPr>
        <w:footnoteRef/>
      </w:r>
      <w:r w:rsidRPr="00592838">
        <w:rPr>
          <w:lang w:val="fr-FR"/>
        </w:rPr>
        <w:tab/>
      </w:r>
      <w:hyperlink r:id="rId12" w:history="1">
        <w:r w:rsidRPr="00592838">
          <w:rPr>
            <w:rStyle w:val="Hyperlink"/>
            <w:color w:val="0000FF" w:themeColor="hyperlink"/>
            <w:u w:val="single"/>
            <w:lang w:val="es-AR"/>
          </w:rPr>
          <w:t>A/HRC/48/60/Add.2</w:t>
        </w:r>
      </w:hyperlink>
      <w:r w:rsidRPr="00592838">
        <w:rPr>
          <w:lang w:val="fr-FR"/>
        </w:rPr>
        <w:t>, annexe, par. 4 à 12.</w:t>
      </w:r>
    </w:p>
  </w:footnote>
  <w:footnote w:id="39">
    <w:p w14:paraId="0A9F03B4" w14:textId="09F0F97A" w:rsidR="00F7248C" w:rsidRPr="00F11D0A" w:rsidRDefault="00F7248C">
      <w:pPr>
        <w:pStyle w:val="FootnoteText"/>
      </w:pPr>
      <w:r w:rsidRPr="00592838">
        <w:rPr>
          <w:lang w:val="fr-FR"/>
        </w:rPr>
        <w:tab/>
      </w:r>
      <w:r>
        <w:rPr>
          <w:rStyle w:val="FootnoteReference"/>
        </w:rPr>
        <w:footnoteRef/>
      </w:r>
      <w:r w:rsidRPr="00592838">
        <w:rPr>
          <w:lang w:val="fr-FR"/>
        </w:rPr>
        <w:tab/>
        <w:t>Ibid., par. 9.</w:t>
      </w:r>
    </w:p>
  </w:footnote>
  <w:footnote w:id="40">
    <w:p w14:paraId="2C226BE4" w14:textId="06DB530C" w:rsidR="005B623F" w:rsidRPr="00F11D0A" w:rsidRDefault="005B623F">
      <w:pPr>
        <w:pStyle w:val="FootnoteText"/>
      </w:pPr>
      <w:r w:rsidRPr="00592838">
        <w:rPr>
          <w:lang w:val="fr-FR"/>
        </w:rPr>
        <w:tab/>
      </w:r>
      <w:r>
        <w:rPr>
          <w:rStyle w:val="FootnoteReference"/>
        </w:rPr>
        <w:footnoteRef/>
      </w:r>
      <w:r w:rsidRPr="00592838">
        <w:rPr>
          <w:lang w:val="fr-FR"/>
        </w:rPr>
        <w:tab/>
        <w:t>Ibid.</w:t>
      </w:r>
    </w:p>
  </w:footnote>
  <w:footnote w:id="41">
    <w:p w14:paraId="5023DB2C" w14:textId="44E4DD0C" w:rsidR="00657270" w:rsidRPr="007815F2" w:rsidRDefault="00657270" w:rsidP="00592838">
      <w:pPr>
        <w:pStyle w:val="FootnoteText"/>
        <w:rPr>
          <w:szCs w:val="18"/>
          <w:lang w:val="es-ES"/>
        </w:rPr>
      </w:pPr>
      <w:r w:rsidRPr="007815F2">
        <w:rPr>
          <w:szCs w:val="18"/>
          <w:lang w:val="es-ES"/>
        </w:rPr>
        <w:tab/>
      </w:r>
      <w:r w:rsidRPr="0096038A">
        <w:rPr>
          <w:rStyle w:val="FootnoteReference"/>
          <w:szCs w:val="18"/>
        </w:rPr>
        <w:footnoteRef/>
      </w:r>
      <w:r w:rsidRPr="007815F2">
        <w:rPr>
          <w:szCs w:val="18"/>
          <w:lang w:val="es-ES"/>
        </w:rPr>
        <w:tab/>
      </w:r>
      <w:hyperlink r:id="rId13" w:history="1">
        <w:r w:rsidRPr="0046075C">
          <w:rPr>
            <w:rStyle w:val="Hyperlink"/>
            <w:color w:val="0000FF" w:themeColor="hyperlink"/>
            <w:u w:val="single"/>
            <w:lang w:val="es-AR"/>
          </w:rPr>
          <w:t>A/HRC/48/68</w:t>
        </w:r>
      </w:hyperlink>
      <w:r w:rsidRPr="007815F2">
        <w:rPr>
          <w:szCs w:val="18"/>
          <w:lang w:val="es-ES"/>
        </w:rPr>
        <w:t>, par</w:t>
      </w:r>
      <w:r w:rsidR="00361035">
        <w:rPr>
          <w:szCs w:val="18"/>
          <w:lang w:val="es-ES"/>
        </w:rPr>
        <w:t>.</w:t>
      </w:r>
      <w:r w:rsidRPr="007815F2">
        <w:rPr>
          <w:szCs w:val="18"/>
          <w:lang w:val="es-ES"/>
        </w:rPr>
        <w:t xml:space="preserve"> 25</w:t>
      </w:r>
      <w:r w:rsidR="009A4C26">
        <w:rPr>
          <w:szCs w:val="18"/>
          <w:lang w:val="es-ES"/>
        </w:rPr>
        <w:t>.</w:t>
      </w:r>
    </w:p>
  </w:footnote>
  <w:footnote w:id="42">
    <w:p w14:paraId="6BFDB80A" w14:textId="1C9A9537" w:rsidR="00685457" w:rsidRPr="00F11D0A" w:rsidRDefault="00685457" w:rsidP="00F21BA2">
      <w:pPr>
        <w:pStyle w:val="FootnoteText"/>
      </w:pPr>
      <w:r w:rsidRPr="00592838">
        <w:rPr>
          <w:lang w:val="fr-FR"/>
        </w:rPr>
        <w:tab/>
      </w:r>
      <w:r>
        <w:rPr>
          <w:rStyle w:val="FootnoteReference"/>
        </w:rPr>
        <w:footnoteRef/>
      </w:r>
      <w:r w:rsidRPr="00592838">
        <w:rPr>
          <w:lang w:val="fr-FR"/>
        </w:rPr>
        <w:tab/>
      </w:r>
      <w:r w:rsidR="00A9481A">
        <w:rPr>
          <w:lang w:val="fr-FR"/>
        </w:rPr>
        <w:t>D</w:t>
      </w:r>
      <w:r w:rsidR="00A9481A" w:rsidRPr="00592838">
        <w:rPr>
          <w:lang w:val="fr-FR"/>
        </w:rPr>
        <w:t>ocument de séance</w:t>
      </w:r>
      <w:r w:rsidR="00A9481A" w:rsidRPr="00592838">
        <w:rPr>
          <w:rStyle w:val="EndnoteReference"/>
          <w:vertAlign w:val="baseline"/>
          <w:lang w:val="fr-FR"/>
        </w:rPr>
        <w:t xml:space="preserve"> de la Commission d’enquête sur le Burundi</w:t>
      </w:r>
      <w:r w:rsidR="00A9481A" w:rsidRPr="00592838">
        <w:rPr>
          <w:lang w:val="fr-FR"/>
        </w:rPr>
        <w:t xml:space="preserve"> de</w:t>
      </w:r>
      <w:r w:rsidR="00A9481A" w:rsidRPr="00C3506A">
        <w:rPr>
          <w:lang w:val="fr-FR"/>
        </w:rPr>
        <w:t xml:space="preserve"> 20</w:t>
      </w:r>
      <w:r w:rsidR="00A9481A">
        <w:rPr>
          <w:lang w:val="fr-FR"/>
        </w:rPr>
        <w:t>18, par. 449.</w:t>
      </w:r>
    </w:p>
  </w:footnote>
  <w:footnote w:id="43">
    <w:p w14:paraId="2F3944FD" w14:textId="73F0FF1F" w:rsidR="00657270" w:rsidRPr="007815F2" w:rsidRDefault="00657270" w:rsidP="004F0FD0">
      <w:pPr>
        <w:pStyle w:val="FootnoteText"/>
        <w:rPr>
          <w:lang w:val="es-ES"/>
        </w:rPr>
      </w:pPr>
      <w:r w:rsidRPr="007815F2">
        <w:rPr>
          <w:lang w:val="es-ES"/>
        </w:rPr>
        <w:tab/>
      </w:r>
      <w:r>
        <w:rPr>
          <w:rStyle w:val="FootnoteReference"/>
        </w:rPr>
        <w:footnoteRef/>
      </w:r>
      <w:r w:rsidRPr="007815F2">
        <w:rPr>
          <w:lang w:val="es-ES"/>
        </w:rPr>
        <w:tab/>
      </w:r>
      <w:hyperlink r:id="rId14" w:history="1">
        <w:r w:rsidRPr="0046075C">
          <w:rPr>
            <w:rStyle w:val="Hyperlink"/>
            <w:color w:val="0000FF" w:themeColor="hyperlink"/>
            <w:u w:val="single"/>
            <w:lang w:val="es-AR"/>
          </w:rPr>
          <w:t>A/HRC/48/68</w:t>
        </w:r>
      </w:hyperlink>
      <w:r w:rsidRPr="007815F2">
        <w:rPr>
          <w:lang w:val="es-ES"/>
        </w:rPr>
        <w:t>, par</w:t>
      </w:r>
      <w:r w:rsidR="00094D8C">
        <w:rPr>
          <w:lang w:val="es-ES"/>
        </w:rPr>
        <w:t>.</w:t>
      </w:r>
      <w:r w:rsidRPr="007815F2">
        <w:rPr>
          <w:lang w:val="es-ES"/>
        </w:rPr>
        <w:t xml:space="preserve"> 35</w:t>
      </w:r>
      <w:r w:rsidR="00094D8C">
        <w:rPr>
          <w:lang w:val="es-ES"/>
        </w:rPr>
        <w:t xml:space="preserve"> et </w:t>
      </w:r>
      <w:r w:rsidRPr="007815F2">
        <w:rPr>
          <w:lang w:val="es-ES"/>
        </w:rPr>
        <w:t>36</w:t>
      </w:r>
      <w:r w:rsidR="009A4C26">
        <w:rPr>
          <w:lang w:val="es-ES"/>
        </w:rPr>
        <w:t>.</w:t>
      </w:r>
    </w:p>
  </w:footnote>
  <w:footnote w:id="44">
    <w:p w14:paraId="72AF525C" w14:textId="57BD080C" w:rsidR="00796FE0" w:rsidRPr="00F11D0A" w:rsidRDefault="00796FE0" w:rsidP="00B467A1">
      <w:pPr>
        <w:pStyle w:val="FootnoteText"/>
      </w:pPr>
      <w:r w:rsidRPr="00592838">
        <w:rPr>
          <w:lang w:val="fr-FR"/>
        </w:rPr>
        <w:tab/>
      </w:r>
      <w:r>
        <w:rPr>
          <w:rStyle w:val="FootnoteReference"/>
        </w:rPr>
        <w:footnoteRef/>
      </w:r>
      <w:r w:rsidRPr="00592838">
        <w:rPr>
          <w:lang w:val="fr-FR"/>
        </w:rPr>
        <w:tab/>
      </w:r>
      <w:r>
        <w:rPr>
          <w:lang w:val="fr-FR"/>
        </w:rPr>
        <w:t>D</w:t>
      </w:r>
      <w:r w:rsidRPr="00592838">
        <w:rPr>
          <w:lang w:val="fr-FR"/>
        </w:rPr>
        <w:t>ocument de séance</w:t>
      </w:r>
      <w:r w:rsidRPr="00592838">
        <w:rPr>
          <w:rStyle w:val="EndnoteReference"/>
          <w:vertAlign w:val="baseline"/>
          <w:lang w:val="fr-FR"/>
        </w:rPr>
        <w:t xml:space="preserve"> de la Commission d’enquête sur le Burundi</w:t>
      </w:r>
      <w:r w:rsidRPr="00592838">
        <w:rPr>
          <w:lang w:val="fr-FR"/>
        </w:rPr>
        <w:t xml:space="preserve"> de</w:t>
      </w:r>
      <w:r w:rsidRPr="00C3506A">
        <w:rPr>
          <w:lang w:val="fr-FR"/>
        </w:rPr>
        <w:t xml:space="preserve"> 20</w:t>
      </w:r>
      <w:r>
        <w:rPr>
          <w:lang w:val="fr-FR"/>
        </w:rPr>
        <w:t>18, par. 4</w:t>
      </w:r>
      <w:r w:rsidR="00417A63">
        <w:rPr>
          <w:lang w:val="fr-FR"/>
        </w:rPr>
        <w:t>50</w:t>
      </w:r>
      <w:r>
        <w:rPr>
          <w:lang w:val="fr-FR"/>
        </w:rPr>
        <w:t>.</w:t>
      </w:r>
    </w:p>
  </w:footnote>
  <w:footnote w:id="45">
    <w:p w14:paraId="2C9D3133" w14:textId="41D8A9EE" w:rsidR="00657270" w:rsidRPr="00424E57" w:rsidRDefault="00657270" w:rsidP="00592838">
      <w:pPr>
        <w:pStyle w:val="FootnoteText"/>
        <w:rPr>
          <w:szCs w:val="18"/>
          <w:lang w:val="fr-FR"/>
        </w:rPr>
      </w:pPr>
      <w:r w:rsidRPr="007815F2">
        <w:rPr>
          <w:szCs w:val="18"/>
          <w:lang w:val="es-ES"/>
        </w:rPr>
        <w:tab/>
      </w:r>
      <w:r w:rsidRPr="00E65B46">
        <w:rPr>
          <w:rStyle w:val="EndnoteReference"/>
        </w:rPr>
        <w:footnoteRef/>
      </w:r>
      <w:r w:rsidRPr="00424E57">
        <w:rPr>
          <w:szCs w:val="18"/>
          <w:lang w:val="fr-FR"/>
        </w:rPr>
        <w:tab/>
        <w:t xml:space="preserve">Accord d’Arusha pour la paix et la réconciliation au Burundi, </w:t>
      </w:r>
      <w:r w:rsidR="008C4D15">
        <w:rPr>
          <w:szCs w:val="18"/>
          <w:lang w:val="fr-FR"/>
        </w:rPr>
        <w:t>P</w:t>
      </w:r>
      <w:r w:rsidRPr="00424E57">
        <w:rPr>
          <w:szCs w:val="18"/>
          <w:lang w:val="fr-FR"/>
        </w:rPr>
        <w:t>rotocole III, art</w:t>
      </w:r>
      <w:r w:rsidR="001343E6">
        <w:rPr>
          <w:szCs w:val="18"/>
          <w:lang w:val="fr-FR"/>
        </w:rPr>
        <w:t>. </w:t>
      </w:r>
      <w:r w:rsidRPr="00424E57">
        <w:rPr>
          <w:szCs w:val="18"/>
          <w:lang w:val="fr-FR"/>
        </w:rPr>
        <w:t>2.</w:t>
      </w:r>
    </w:p>
  </w:footnote>
  <w:footnote w:id="46">
    <w:p w14:paraId="25753DCE" w14:textId="2FFBED7F" w:rsidR="00657270" w:rsidRPr="00424E57" w:rsidRDefault="00657270" w:rsidP="00592838">
      <w:pPr>
        <w:pStyle w:val="FootnoteText"/>
        <w:rPr>
          <w:szCs w:val="18"/>
          <w:lang w:val="fr-FR"/>
        </w:rPr>
      </w:pPr>
      <w:r w:rsidRPr="00424E57">
        <w:rPr>
          <w:szCs w:val="18"/>
          <w:lang w:val="fr-FR"/>
        </w:rPr>
        <w:tab/>
      </w:r>
      <w:r w:rsidRPr="00E34D38">
        <w:rPr>
          <w:rStyle w:val="FootnoteReference"/>
          <w:szCs w:val="18"/>
        </w:rPr>
        <w:footnoteRef/>
      </w:r>
      <w:r w:rsidRPr="00424E57">
        <w:rPr>
          <w:szCs w:val="18"/>
          <w:lang w:val="fr-FR"/>
        </w:rPr>
        <w:tab/>
      </w:r>
      <w:r w:rsidR="00092AEA">
        <w:rPr>
          <w:szCs w:val="18"/>
        </w:rPr>
        <w:t xml:space="preserve">Groupe de la </w:t>
      </w:r>
      <w:r w:rsidR="00446C4B">
        <w:rPr>
          <w:szCs w:val="18"/>
          <w:lang w:val="fr-FR"/>
        </w:rPr>
        <w:t xml:space="preserve">Banque mondiale, </w:t>
      </w:r>
      <w:r w:rsidRPr="00592838">
        <w:rPr>
          <w:i/>
          <w:iCs/>
          <w:szCs w:val="18"/>
          <w:lang w:val="fr-FR"/>
        </w:rPr>
        <w:t>Mémorandum économique de la République du Burundi</w:t>
      </w:r>
      <w:r w:rsidR="00092AEA">
        <w:rPr>
          <w:i/>
          <w:iCs/>
          <w:szCs w:val="18"/>
          <w:lang w:val="fr-FR"/>
        </w:rPr>
        <w:t> </w:t>
      </w:r>
      <w:r w:rsidR="00092AEA">
        <w:rPr>
          <w:i/>
          <w:iCs/>
          <w:szCs w:val="18"/>
        </w:rPr>
        <w:t>: sortir du cycle de la fragilité pour saisir les opportunités d’une croissance plus inclusive et durable</w:t>
      </w:r>
      <w:r w:rsidRPr="00424E57">
        <w:rPr>
          <w:szCs w:val="18"/>
          <w:lang w:val="fr-FR"/>
        </w:rPr>
        <w:t xml:space="preserve">, </w:t>
      </w:r>
      <w:r w:rsidR="0044638F">
        <w:rPr>
          <w:szCs w:val="18"/>
          <w:lang w:val="fr-FR"/>
        </w:rPr>
        <w:t xml:space="preserve">résumé exécutif, </w:t>
      </w:r>
      <w:r w:rsidR="00446C4B">
        <w:rPr>
          <w:szCs w:val="18"/>
          <w:lang w:val="fr-FR"/>
        </w:rPr>
        <w:t>p. </w:t>
      </w:r>
      <w:r w:rsidR="009A4C26">
        <w:rPr>
          <w:szCs w:val="18"/>
          <w:lang w:val="fr-FR"/>
        </w:rPr>
        <w:t>i.</w:t>
      </w:r>
    </w:p>
  </w:footnote>
  <w:footnote w:id="47">
    <w:p w14:paraId="1DD0DE3B" w14:textId="2EB6BD36" w:rsidR="00657270" w:rsidRPr="00592838" w:rsidRDefault="00657270" w:rsidP="00592838">
      <w:pPr>
        <w:pStyle w:val="FootnoteText"/>
        <w:rPr>
          <w:lang w:val="en-GB"/>
        </w:rPr>
      </w:pPr>
      <w:r w:rsidRPr="00424E57">
        <w:rPr>
          <w:lang w:val="fr-FR"/>
        </w:rPr>
        <w:tab/>
      </w:r>
      <w:r>
        <w:rPr>
          <w:rStyle w:val="FootnoteReference"/>
        </w:rPr>
        <w:footnoteRef/>
      </w:r>
      <w:r w:rsidR="006E490E" w:rsidRPr="00592838">
        <w:rPr>
          <w:lang w:val="en-GB"/>
        </w:rPr>
        <w:tab/>
      </w:r>
      <w:r w:rsidR="00446C4B" w:rsidRPr="00592838">
        <w:rPr>
          <w:lang w:val="en-GB"/>
        </w:rPr>
        <w:t>Ibid.</w:t>
      </w:r>
      <w:r w:rsidR="006E490E" w:rsidRPr="00592838">
        <w:rPr>
          <w:lang w:val="en-GB"/>
        </w:rPr>
        <w:t xml:space="preserve">, </w:t>
      </w:r>
      <w:r w:rsidR="00446C4B" w:rsidRPr="00592838">
        <w:rPr>
          <w:lang w:val="en-GB"/>
        </w:rPr>
        <w:t>p</w:t>
      </w:r>
      <w:r w:rsidR="006E490E" w:rsidRPr="00592838">
        <w:rPr>
          <w:lang w:val="en-GB"/>
        </w:rPr>
        <w:t>.</w:t>
      </w:r>
      <w:r w:rsidR="009A4C26" w:rsidRPr="00592838">
        <w:rPr>
          <w:lang w:val="en-GB"/>
        </w:rPr>
        <w:t xml:space="preserve"> ii.</w:t>
      </w:r>
    </w:p>
  </w:footnote>
  <w:footnote w:id="48">
    <w:p w14:paraId="70EA4177" w14:textId="2CE289F1" w:rsidR="00657270" w:rsidRPr="00592838" w:rsidRDefault="00657270" w:rsidP="00592838">
      <w:pPr>
        <w:pStyle w:val="FootnoteText"/>
        <w:rPr>
          <w:lang w:val="en-GB"/>
        </w:rPr>
      </w:pPr>
      <w:r w:rsidRPr="00592838">
        <w:rPr>
          <w:lang w:val="en-GB"/>
        </w:rPr>
        <w:tab/>
      </w:r>
      <w:r>
        <w:rPr>
          <w:rStyle w:val="FootnoteReference"/>
        </w:rPr>
        <w:footnoteRef/>
      </w:r>
      <w:r w:rsidR="006E490E" w:rsidRPr="00592838">
        <w:rPr>
          <w:lang w:val="en-GB"/>
        </w:rPr>
        <w:tab/>
      </w:r>
      <w:r w:rsidR="00BF7D60" w:rsidRPr="00592838">
        <w:rPr>
          <w:lang w:val="en-GB"/>
        </w:rPr>
        <w:t>Ibid</w:t>
      </w:r>
      <w:r w:rsidR="006E490E" w:rsidRPr="00592838">
        <w:rPr>
          <w:lang w:val="en-GB"/>
        </w:rPr>
        <w:t>.</w:t>
      </w:r>
      <w:r w:rsidR="00BF7D60" w:rsidRPr="00592838">
        <w:rPr>
          <w:lang w:val="en-GB"/>
        </w:rPr>
        <w:t>,</w:t>
      </w:r>
      <w:r w:rsidR="006E490E" w:rsidRPr="00592838">
        <w:rPr>
          <w:lang w:val="en-GB"/>
        </w:rPr>
        <w:t xml:space="preserve"> </w:t>
      </w:r>
      <w:r w:rsidR="00BF7D60" w:rsidRPr="00592838">
        <w:rPr>
          <w:lang w:val="en-GB"/>
        </w:rPr>
        <w:t>p</w:t>
      </w:r>
      <w:r w:rsidR="006E490E" w:rsidRPr="00592838">
        <w:rPr>
          <w:lang w:val="en-GB"/>
        </w:rPr>
        <w:t>.</w:t>
      </w:r>
      <w:r w:rsidR="00BF7D60" w:rsidRPr="00592838">
        <w:rPr>
          <w:lang w:val="en-GB"/>
        </w:rPr>
        <w:t> </w:t>
      </w:r>
      <w:r w:rsidRPr="00592838">
        <w:rPr>
          <w:lang w:val="en-GB"/>
        </w:rPr>
        <w:t>1</w:t>
      </w:r>
      <w:r w:rsidR="009A4C26" w:rsidRPr="00592838">
        <w:rPr>
          <w:lang w:val="en-GB"/>
        </w:rPr>
        <w:t>.</w:t>
      </w:r>
    </w:p>
  </w:footnote>
  <w:footnote w:id="49">
    <w:p w14:paraId="217162BB" w14:textId="09D2B99F" w:rsidR="00657270" w:rsidRPr="00424E57" w:rsidRDefault="00657270" w:rsidP="00592838">
      <w:pPr>
        <w:pStyle w:val="FootnoteText"/>
        <w:rPr>
          <w:lang w:val="fr-FR"/>
        </w:rPr>
      </w:pPr>
      <w:r w:rsidRPr="00592838">
        <w:rPr>
          <w:lang w:val="en-GB"/>
        </w:rPr>
        <w:tab/>
      </w:r>
      <w:r w:rsidRPr="00E65B46">
        <w:rPr>
          <w:rStyle w:val="EndnoteReference"/>
        </w:rPr>
        <w:footnoteRef/>
      </w:r>
      <w:r w:rsidRPr="00424E57">
        <w:rPr>
          <w:lang w:val="fr-FR"/>
        </w:rPr>
        <w:tab/>
        <w:t>L’article 13 (par. 2</w:t>
      </w:r>
      <w:r w:rsidR="00451D8D">
        <w:rPr>
          <w:lang w:val="fr-FR"/>
        </w:rPr>
        <w:t> a)</w:t>
      </w:r>
      <w:r w:rsidRPr="00424E57">
        <w:rPr>
          <w:lang w:val="fr-FR"/>
        </w:rPr>
        <w:t xml:space="preserve">) du Pacte international relatif aux droits </w:t>
      </w:r>
      <w:r w:rsidR="003E37DF" w:rsidRPr="00592838">
        <w:rPr>
          <w:rFonts w:eastAsia="MS Mincho"/>
          <w:lang w:val="fr-FR"/>
        </w:rPr>
        <w:t>économiques, sociaux et culturels</w:t>
      </w:r>
      <w:r w:rsidRPr="00424E57">
        <w:rPr>
          <w:lang w:val="fr-FR"/>
        </w:rPr>
        <w:t xml:space="preserve"> promeut un enseignement primaire « obligatoire et accessible gratuitement à tous ».</w:t>
      </w:r>
    </w:p>
  </w:footnote>
  <w:footnote w:id="50">
    <w:p w14:paraId="15E554D6" w14:textId="5F5DD735" w:rsidR="00657270" w:rsidRPr="007044A9" w:rsidRDefault="00657270" w:rsidP="00F21BA2">
      <w:pPr>
        <w:pStyle w:val="FootnoteText"/>
        <w:rPr>
          <w:lang w:val="fr-FR"/>
        </w:rPr>
      </w:pPr>
      <w:r>
        <w:rPr>
          <w:lang w:val="fr-FR"/>
        </w:rPr>
        <w:tab/>
      </w:r>
      <w:r>
        <w:rPr>
          <w:rStyle w:val="FootnoteReference"/>
        </w:rPr>
        <w:footnoteRef/>
      </w:r>
      <w:r>
        <w:rPr>
          <w:lang w:val="fr-FR"/>
        </w:rPr>
        <w:tab/>
      </w:r>
      <w:hyperlink r:id="rId15" w:history="1">
        <w:r w:rsidRPr="00567AE1">
          <w:rPr>
            <w:rStyle w:val="Hyperlink"/>
            <w:color w:val="0000FF" w:themeColor="hyperlink"/>
            <w:u w:val="single"/>
            <w:lang w:val="es-AR"/>
          </w:rPr>
          <w:t>A/HRC/38/10/Add.1</w:t>
        </w:r>
      </w:hyperlink>
      <w:r w:rsidR="008B3122">
        <w:rPr>
          <w:lang w:val="fr-FR"/>
        </w:rPr>
        <w:t>,</w:t>
      </w:r>
      <w:r w:rsidRPr="00677092">
        <w:rPr>
          <w:lang w:val="fr-FR"/>
        </w:rPr>
        <w:t xml:space="preserve"> </w:t>
      </w:r>
      <w:r w:rsidR="00535AA9">
        <w:rPr>
          <w:lang w:val="fr-FR"/>
        </w:rPr>
        <w:t>p</w:t>
      </w:r>
      <w:r w:rsidRPr="00677092">
        <w:rPr>
          <w:lang w:val="fr-FR"/>
        </w:rPr>
        <w:t>ar. 7</w:t>
      </w:r>
      <w:r w:rsidR="008B3122">
        <w:rPr>
          <w:lang w:val="fr-FR"/>
        </w:rPr>
        <w:t xml:space="preserve"> ; et </w:t>
      </w:r>
      <w:hyperlink r:id="rId16" w:history="1">
        <w:r w:rsidR="008B3122" w:rsidRPr="00567AE1">
          <w:rPr>
            <w:rStyle w:val="Hyperlink"/>
            <w:color w:val="0000FF" w:themeColor="hyperlink"/>
            <w:u w:val="single"/>
            <w:lang w:val="es-AR"/>
          </w:rPr>
          <w:t>A/HRC/38/10</w:t>
        </w:r>
      </w:hyperlink>
      <w:r w:rsidR="008B3122" w:rsidRPr="00592838">
        <w:rPr>
          <w:lang w:val="fr-FR"/>
        </w:rPr>
        <w:t>, par. 137.</w:t>
      </w:r>
      <w:r w:rsidR="005E2551" w:rsidRPr="00592838">
        <w:rPr>
          <w:lang w:val="fr-FR"/>
        </w:rPr>
        <w:t>206</w:t>
      </w:r>
      <w:r w:rsidR="009A4C26">
        <w:rPr>
          <w:lang w:val="fr-FR"/>
        </w:rPr>
        <w:t>.</w:t>
      </w:r>
    </w:p>
  </w:footnote>
  <w:footnote w:id="51">
    <w:p w14:paraId="634A0EFE" w14:textId="26DD720E" w:rsidR="006E490E" w:rsidRPr="006E490E" w:rsidRDefault="009A4C26">
      <w:pPr>
        <w:pStyle w:val="FootnoteText"/>
        <w:rPr>
          <w:lang w:val="fr-FR"/>
        </w:rPr>
      </w:pPr>
      <w:r>
        <w:rPr>
          <w:lang w:val="fr-FR"/>
        </w:rPr>
        <w:tab/>
      </w:r>
      <w:r w:rsidR="006E490E">
        <w:rPr>
          <w:rStyle w:val="FootnoteReference"/>
        </w:rPr>
        <w:footnoteRef/>
      </w:r>
      <w:r>
        <w:rPr>
          <w:lang w:val="fr-FR"/>
        </w:rPr>
        <w:tab/>
      </w:r>
      <w:r w:rsidR="006B21E5">
        <w:rPr>
          <w:lang w:val="fr-FR"/>
        </w:rPr>
        <w:t>D</w:t>
      </w:r>
      <w:r w:rsidR="006B21E5" w:rsidRPr="00592838">
        <w:rPr>
          <w:lang w:val="fr-FR"/>
        </w:rPr>
        <w:t>ocument de séance</w:t>
      </w:r>
      <w:r w:rsidR="006B21E5" w:rsidRPr="00592838">
        <w:rPr>
          <w:rStyle w:val="EndnoteReference"/>
          <w:vertAlign w:val="baseline"/>
          <w:lang w:val="fr-FR"/>
        </w:rPr>
        <w:t xml:space="preserve"> de la Commission d’enquête sur le Burundi</w:t>
      </w:r>
      <w:r w:rsidR="006B21E5" w:rsidRPr="00592838">
        <w:rPr>
          <w:lang w:val="fr-FR"/>
        </w:rPr>
        <w:t xml:space="preserve"> de 2018</w:t>
      </w:r>
      <w:r w:rsidR="006B21E5">
        <w:rPr>
          <w:lang w:val="fr-FR"/>
        </w:rPr>
        <w:t>, par. </w:t>
      </w:r>
      <w:r w:rsidR="006B21E5" w:rsidRPr="006E490E">
        <w:rPr>
          <w:lang w:val="fr-FR"/>
        </w:rPr>
        <w:t>701</w:t>
      </w:r>
      <w:r w:rsidR="006E490E" w:rsidRPr="006E490E">
        <w:rPr>
          <w:lang w:val="fr-FR"/>
        </w:rPr>
        <w:t>.</w:t>
      </w:r>
    </w:p>
  </w:footnote>
  <w:footnote w:id="52">
    <w:p w14:paraId="3977448A" w14:textId="5D2571FC" w:rsidR="001B1C8F" w:rsidRPr="00592838" w:rsidRDefault="00D6483D">
      <w:pPr>
        <w:pStyle w:val="FootnoteText"/>
        <w:rPr>
          <w:lang w:val="en-GB"/>
        </w:rPr>
      </w:pPr>
      <w:r>
        <w:rPr>
          <w:lang w:val="fr-FR"/>
        </w:rPr>
        <w:tab/>
      </w:r>
      <w:r w:rsidR="001B1C8F">
        <w:rPr>
          <w:rStyle w:val="FootnoteReference"/>
        </w:rPr>
        <w:footnoteRef/>
      </w:r>
      <w:r w:rsidR="001B1C8F" w:rsidRPr="00592838">
        <w:rPr>
          <w:lang w:val="en-GB"/>
        </w:rPr>
        <w:t xml:space="preserve"> </w:t>
      </w:r>
      <w:r w:rsidRPr="00592838">
        <w:rPr>
          <w:lang w:val="en-GB"/>
        </w:rPr>
        <w:tab/>
      </w:r>
      <w:r w:rsidR="001B1C8F" w:rsidRPr="00592838">
        <w:rPr>
          <w:lang w:val="en-GB"/>
        </w:rPr>
        <w:t>Ibid.</w:t>
      </w:r>
    </w:p>
  </w:footnote>
  <w:footnote w:id="53">
    <w:p w14:paraId="559D4D95" w14:textId="7D09756C" w:rsidR="00657270" w:rsidRPr="00424E57" w:rsidRDefault="00657270" w:rsidP="00592838">
      <w:pPr>
        <w:pStyle w:val="FootnoteText"/>
        <w:rPr>
          <w:lang w:val="fr-FR"/>
        </w:rPr>
      </w:pPr>
      <w:r w:rsidRPr="00592838">
        <w:rPr>
          <w:lang w:val="en-GB"/>
        </w:rPr>
        <w:tab/>
      </w:r>
      <w:r w:rsidRPr="00E65B46">
        <w:rPr>
          <w:rStyle w:val="EndnoteReference"/>
        </w:rPr>
        <w:footnoteRef/>
      </w:r>
      <w:r w:rsidRPr="00592838">
        <w:rPr>
          <w:lang w:val="en-GB"/>
        </w:rPr>
        <w:tab/>
      </w:r>
      <w:hyperlink r:id="rId17" w:history="1">
        <w:r w:rsidRPr="00567AE1">
          <w:rPr>
            <w:rStyle w:val="Hyperlink"/>
            <w:color w:val="0000FF" w:themeColor="hyperlink"/>
            <w:u w:val="single"/>
            <w:lang w:val="es-AR"/>
          </w:rPr>
          <w:t>E/C.12/BDI/CO/1</w:t>
        </w:r>
      </w:hyperlink>
      <w:r w:rsidRPr="00592838">
        <w:rPr>
          <w:lang w:val="en-GB"/>
        </w:rPr>
        <w:t>, par</w:t>
      </w:r>
      <w:r w:rsidR="003E4FF5" w:rsidRPr="00592838">
        <w:rPr>
          <w:lang w:val="en-GB"/>
        </w:rPr>
        <w:t>.</w:t>
      </w:r>
      <w:r w:rsidRPr="00592838">
        <w:rPr>
          <w:lang w:val="en-GB"/>
        </w:rPr>
        <w:t xml:space="preserve"> </w:t>
      </w:r>
      <w:r w:rsidRPr="00424E57">
        <w:rPr>
          <w:lang w:val="fr-FR"/>
        </w:rPr>
        <w:t>52, 54 et 56</w:t>
      </w:r>
      <w:r w:rsidR="009A4C26">
        <w:rPr>
          <w:lang w:val="fr-FR"/>
        </w:rPr>
        <w:t>.</w:t>
      </w:r>
    </w:p>
  </w:footnote>
  <w:footnote w:id="54">
    <w:p w14:paraId="11A90A4D" w14:textId="497DB59E" w:rsidR="00C76468" w:rsidRPr="00592838" w:rsidRDefault="00C76468" w:rsidP="00F21BA2">
      <w:pPr>
        <w:pStyle w:val="FootnoteText"/>
      </w:pPr>
      <w:r w:rsidRPr="00592838">
        <w:rPr>
          <w:lang w:val="fr-FR"/>
        </w:rPr>
        <w:tab/>
      </w:r>
      <w:r>
        <w:rPr>
          <w:rStyle w:val="FootnoteReference"/>
        </w:rPr>
        <w:footnoteRef/>
      </w:r>
      <w:r w:rsidRPr="00592838">
        <w:rPr>
          <w:lang w:val="fr-FR"/>
        </w:rPr>
        <w:tab/>
      </w:r>
      <w:r w:rsidRPr="00F11D0A">
        <w:t xml:space="preserve">Burundi, Ministère chargé de la bonne gouvernance, de la privatisation, de l’inspection générale de l’État et de </w:t>
      </w:r>
      <w:r w:rsidRPr="00847ED6">
        <w:t>l’administration locale</w:t>
      </w:r>
      <w:r w:rsidR="00F60C8B" w:rsidRPr="00592838">
        <w:t xml:space="preserve">, </w:t>
      </w:r>
      <w:r w:rsidR="00F60C8B" w:rsidRPr="00592838">
        <w:rPr>
          <w:i/>
          <w:iCs/>
        </w:rPr>
        <w:t>Étude diagnostique sur la gouvernance et la corruption au Burundi</w:t>
      </w:r>
      <w:r w:rsidR="0045392E" w:rsidRPr="00F11D0A">
        <w:rPr>
          <w:i/>
          <w:iCs/>
        </w:rPr>
        <w:t> : rapport d’enquête</w:t>
      </w:r>
      <w:r w:rsidR="0045392E" w:rsidRPr="00F11D0A">
        <w:t>, mai 2008, p.</w:t>
      </w:r>
      <w:r w:rsidR="0045392E" w:rsidRPr="00847ED6">
        <w:t> 10.</w:t>
      </w:r>
    </w:p>
  </w:footnote>
  <w:footnote w:id="55">
    <w:p w14:paraId="094BC01C" w14:textId="0A08BCCE" w:rsidR="00C919C6" w:rsidRPr="00592838" w:rsidRDefault="00C919C6" w:rsidP="00F21BA2">
      <w:pPr>
        <w:pStyle w:val="FootnoteText"/>
      </w:pPr>
      <w:r w:rsidRPr="00592838">
        <w:tab/>
      </w:r>
      <w:r w:rsidRPr="00F11D0A">
        <w:rPr>
          <w:rStyle w:val="FootnoteReference"/>
        </w:rPr>
        <w:footnoteRef/>
      </w:r>
      <w:r w:rsidRPr="00F11D0A">
        <w:tab/>
        <w:t>Banque mondiale</w:t>
      </w:r>
      <w:r w:rsidR="009F6DF5" w:rsidRPr="00F11D0A">
        <w:t xml:space="preserve"> et Gouvernement du Burundi, </w:t>
      </w:r>
      <w:proofErr w:type="spellStart"/>
      <w:r w:rsidR="009F6DF5" w:rsidRPr="00592838">
        <w:rPr>
          <w:i/>
          <w:iCs/>
        </w:rPr>
        <w:t>Republic</w:t>
      </w:r>
      <w:proofErr w:type="spellEnd"/>
      <w:r w:rsidR="009F6DF5" w:rsidRPr="00592838">
        <w:rPr>
          <w:i/>
          <w:iCs/>
        </w:rPr>
        <w:t xml:space="preserve"> of </w:t>
      </w:r>
      <w:proofErr w:type="gramStart"/>
      <w:r w:rsidR="009F6DF5" w:rsidRPr="00592838">
        <w:rPr>
          <w:i/>
          <w:iCs/>
        </w:rPr>
        <w:t>Burundi:</w:t>
      </w:r>
      <w:proofErr w:type="gramEnd"/>
      <w:r w:rsidR="009F6DF5" w:rsidRPr="00592838">
        <w:rPr>
          <w:i/>
          <w:iCs/>
        </w:rPr>
        <w:t xml:space="preserve"> Public </w:t>
      </w:r>
      <w:proofErr w:type="spellStart"/>
      <w:r w:rsidR="009F6DF5" w:rsidRPr="00592838">
        <w:rPr>
          <w:i/>
          <w:iCs/>
        </w:rPr>
        <w:t>Expenditure</w:t>
      </w:r>
      <w:proofErr w:type="spellEnd"/>
      <w:r w:rsidR="009F6DF5" w:rsidRPr="00592838">
        <w:rPr>
          <w:i/>
          <w:iCs/>
        </w:rPr>
        <w:t xml:space="preserve"> Management and Financial </w:t>
      </w:r>
      <w:proofErr w:type="spellStart"/>
      <w:r w:rsidR="009F6DF5" w:rsidRPr="00592838">
        <w:rPr>
          <w:i/>
          <w:iCs/>
        </w:rPr>
        <w:t>Accountability</w:t>
      </w:r>
      <w:proofErr w:type="spellEnd"/>
      <w:r w:rsidR="009F6DF5" w:rsidRPr="00592838">
        <w:rPr>
          <w:i/>
          <w:iCs/>
        </w:rPr>
        <w:t xml:space="preserve"> </w:t>
      </w:r>
      <w:proofErr w:type="spellStart"/>
      <w:r w:rsidR="009F6DF5" w:rsidRPr="00592838">
        <w:rPr>
          <w:i/>
          <w:iCs/>
        </w:rPr>
        <w:t>Review</w:t>
      </w:r>
      <w:proofErr w:type="spellEnd"/>
      <w:r w:rsidR="009F6DF5" w:rsidRPr="00592838">
        <w:rPr>
          <w:i/>
          <w:iCs/>
        </w:rPr>
        <w:t xml:space="preserve"> (PEMFAR)</w:t>
      </w:r>
      <w:r w:rsidR="00B43034" w:rsidRPr="00F11D0A">
        <w:t>, rapport n</w:t>
      </w:r>
      <w:r w:rsidR="00B43034" w:rsidRPr="00592838">
        <w:rPr>
          <w:vertAlign w:val="superscript"/>
        </w:rPr>
        <w:t>o</w:t>
      </w:r>
      <w:r w:rsidR="00B43034" w:rsidRPr="00F11D0A">
        <w:t> 42160-BI, juin 2008, p. </w:t>
      </w:r>
      <w:r w:rsidR="00B43034" w:rsidRPr="00847ED6">
        <w:t>viii.</w:t>
      </w:r>
      <w:r w:rsidRPr="00592838">
        <w:t xml:space="preserve"> </w:t>
      </w:r>
    </w:p>
  </w:footnote>
  <w:footnote w:id="56">
    <w:p w14:paraId="0EB641B8" w14:textId="7FDE68CB" w:rsidR="00657270" w:rsidRPr="00592838" w:rsidRDefault="00657270" w:rsidP="00D2560B">
      <w:pPr>
        <w:pStyle w:val="FootnoteText"/>
      </w:pPr>
      <w:r w:rsidRPr="00592838">
        <w:tab/>
      </w:r>
      <w:r w:rsidRPr="00F11D0A">
        <w:rPr>
          <w:rStyle w:val="FootnoteReference"/>
        </w:rPr>
        <w:footnoteRef/>
      </w:r>
      <w:r w:rsidRPr="00592838">
        <w:tab/>
      </w:r>
      <w:r w:rsidR="00DA7007" w:rsidRPr="00592838">
        <w:t>D</w:t>
      </w:r>
      <w:r w:rsidR="00DA7007" w:rsidRPr="00F11D0A">
        <w:t>ocument de séance</w:t>
      </w:r>
      <w:r w:rsidR="00DA7007" w:rsidRPr="00592838">
        <w:rPr>
          <w:rStyle w:val="EndnoteReference"/>
          <w:vertAlign w:val="baseline"/>
        </w:rPr>
        <w:t xml:space="preserve"> de la Commission d’enquête sur le Burundi</w:t>
      </w:r>
      <w:r w:rsidR="00DA7007" w:rsidRPr="00F11D0A">
        <w:t xml:space="preserve"> de </w:t>
      </w:r>
      <w:r w:rsidRPr="00592838">
        <w:t>2021</w:t>
      </w:r>
      <w:r w:rsidR="00DA7007" w:rsidRPr="00592838">
        <w:t>,</w:t>
      </w:r>
      <w:r w:rsidRPr="00592838">
        <w:t xml:space="preserve"> par</w:t>
      </w:r>
      <w:r w:rsidR="00DA7007" w:rsidRPr="00592838">
        <w:t>. </w:t>
      </w:r>
      <w:r w:rsidRPr="00592838">
        <w:t>157 et 201</w:t>
      </w:r>
      <w:r w:rsidR="009A4C26" w:rsidRPr="00592838">
        <w:t>.</w:t>
      </w:r>
    </w:p>
  </w:footnote>
  <w:footnote w:id="57">
    <w:p w14:paraId="0103FB9A" w14:textId="04ED8BEC" w:rsidR="00657270" w:rsidRPr="00592838" w:rsidRDefault="00657270" w:rsidP="00CE54BD">
      <w:pPr>
        <w:pStyle w:val="FootnoteText"/>
      </w:pPr>
      <w:r w:rsidRPr="00592838">
        <w:tab/>
      </w:r>
      <w:r w:rsidRPr="00F11D0A">
        <w:rPr>
          <w:rStyle w:val="FootnoteReference"/>
        </w:rPr>
        <w:footnoteRef/>
      </w:r>
      <w:r w:rsidRPr="00592838">
        <w:tab/>
      </w:r>
      <w:r w:rsidR="00F51154" w:rsidRPr="00F11D0A">
        <w:t xml:space="preserve">Haut-Commissariat aux droits de l’homme, </w:t>
      </w:r>
      <w:r w:rsidR="00613EA0" w:rsidRPr="00F11D0A">
        <w:t>« </w:t>
      </w:r>
      <w:r w:rsidR="00977B83" w:rsidRPr="00847ED6">
        <w:t>Pour la dignité de la femme en prison – Burundi</w:t>
      </w:r>
      <w:r w:rsidR="00613EA0" w:rsidRPr="00592838">
        <w:t> </w:t>
      </w:r>
      <w:r w:rsidR="00977B83" w:rsidRPr="00592838">
        <w:t>: note</w:t>
      </w:r>
      <w:r w:rsidR="00567AE1">
        <w:t> </w:t>
      </w:r>
      <w:r w:rsidR="00977B83" w:rsidRPr="00592838">
        <w:t>de plaidoyer sur la situation de la femme en milieu carcéral</w:t>
      </w:r>
      <w:r w:rsidR="00613EA0" w:rsidRPr="00592838">
        <w:t> »</w:t>
      </w:r>
      <w:r w:rsidR="00977B83" w:rsidRPr="00592838">
        <w:t xml:space="preserve">, </w:t>
      </w:r>
      <w:r w:rsidR="00613EA0" w:rsidRPr="00592838">
        <w:t>novembre 2016</w:t>
      </w:r>
      <w:r w:rsidR="009A4C26" w:rsidRPr="00592838">
        <w:t>.</w:t>
      </w:r>
    </w:p>
  </w:footnote>
  <w:footnote w:id="58">
    <w:p w14:paraId="0B519ED3" w14:textId="348B75D9" w:rsidR="00657270" w:rsidRPr="00592838" w:rsidRDefault="00657270" w:rsidP="00CE54BD">
      <w:pPr>
        <w:pStyle w:val="FootnoteText"/>
      </w:pPr>
      <w:r w:rsidRPr="00592838">
        <w:tab/>
      </w:r>
      <w:r w:rsidRPr="00F11D0A">
        <w:rPr>
          <w:rStyle w:val="FootnoteReference"/>
        </w:rPr>
        <w:footnoteRef/>
      </w:r>
      <w:r w:rsidRPr="00592838">
        <w:tab/>
      </w:r>
      <w:r w:rsidR="003A2F4E" w:rsidRPr="00592838">
        <w:t>Burundi, Code pénal, a</w:t>
      </w:r>
      <w:r w:rsidRPr="00592838">
        <w:t>rt</w:t>
      </w:r>
      <w:r w:rsidR="003A2F4E" w:rsidRPr="00592838">
        <w:t>.</w:t>
      </w:r>
      <w:r w:rsidRPr="00592838">
        <w:t xml:space="preserve"> 528 à 534</w:t>
      </w:r>
      <w:r w:rsidR="009A4C26" w:rsidRPr="00592838">
        <w:t>.</w:t>
      </w:r>
    </w:p>
  </w:footnote>
  <w:footnote w:id="59">
    <w:p w14:paraId="1B51AD4F" w14:textId="1043A407" w:rsidR="00657270" w:rsidRPr="00592838" w:rsidRDefault="00657270" w:rsidP="00674982">
      <w:pPr>
        <w:pStyle w:val="FootnoteText"/>
      </w:pPr>
      <w:r w:rsidRPr="00592838">
        <w:tab/>
      </w:r>
      <w:r w:rsidRPr="00F11D0A">
        <w:rPr>
          <w:rStyle w:val="FootnoteReference"/>
        </w:rPr>
        <w:footnoteRef/>
      </w:r>
      <w:r w:rsidRPr="00592838">
        <w:tab/>
      </w:r>
      <w:r w:rsidR="00A13A4F" w:rsidRPr="00F11D0A">
        <w:t>Haut-Commissariat aux droits de l’homme, « Pour la dignité de la femme en prison – Burundi : note</w:t>
      </w:r>
      <w:r w:rsidR="00567AE1">
        <w:t> </w:t>
      </w:r>
      <w:r w:rsidR="00A13A4F" w:rsidRPr="00F11D0A">
        <w:t>de plaidoyer sur la situation de la femme en milieu carcéral », novembre 2016</w:t>
      </w:r>
      <w:r w:rsidR="009A4C26" w:rsidRPr="00592838">
        <w:t>.</w:t>
      </w:r>
    </w:p>
  </w:footnote>
  <w:footnote w:id="60">
    <w:p w14:paraId="32E7887B" w14:textId="0ADCC9E3" w:rsidR="00612829" w:rsidRPr="00547C5A" w:rsidRDefault="00612829" w:rsidP="00674982">
      <w:pPr>
        <w:pStyle w:val="FootnoteText"/>
      </w:pPr>
      <w:r w:rsidRPr="00592838">
        <w:rPr>
          <w:lang w:val="fr-FR"/>
        </w:rPr>
        <w:tab/>
      </w:r>
      <w:r>
        <w:rPr>
          <w:rStyle w:val="FootnoteReference"/>
        </w:rPr>
        <w:footnoteRef/>
      </w:r>
      <w:r>
        <w:tab/>
      </w:r>
      <w:hyperlink r:id="rId18" w:history="1">
        <w:r w:rsidR="003F3CC0" w:rsidRPr="00567AE1">
          <w:rPr>
            <w:rStyle w:val="Hyperlink"/>
            <w:color w:val="0000FF" w:themeColor="hyperlink"/>
            <w:u w:val="single"/>
            <w:lang w:val="es-AR"/>
          </w:rPr>
          <w:t>CEDAW/C/BDI/CO/4</w:t>
        </w:r>
      </w:hyperlink>
      <w:r w:rsidR="003F3CC0">
        <w:t>, par. 26</w:t>
      </w:r>
      <w:r w:rsidR="001561F0">
        <w:t>.</w:t>
      </w:r>
    </w:p>
  </w:footnote>
  <w:footnote w:id="61">
    <w:p w14:paraId="10D7E890" w14:textId="345C6A5C" w:rsidR="00657270" w:rsidRPr="00660A1D" w:rsidRDefault="00657270">
      <w:pPr>
        <w:pStyle w:val="FootnoteText"/>
        <w:rPr>
          <w:lang w:val="fr-FR"/>
        </w:rPr>
      </w:pPr>
      <w:r w:rsidRPr="00592838">
        <w:rPr>
          <w:lang w:val="en-GB"/>
        </w:rPr>
        <w:tab/>
      </w:r>
      <w:r>
        <w:rPr>
          <w:rStyle w:val="FootnoteReference"/>
        </w:rPr>
        <w:footnoteRef/>
      </w:r>
      <w:r w:rsidRPr="00660A1D">
        <w:rPr>
          <w:lang w:val="fr-FR"/>
        </w:rPr>
        <w:tab/>
      </w:r>
      <w:r w:rsidR="001D1B5D">
        <w:rPr>
          <w:lang w:val="fr-FR"/>
        </w:rPr>
        <w:t xml:space="preserve">Voir </w:t>
      </w:r>
      <w:r w:rsidR="00B668FA">
        <w:rPr>
          <w:lang w:val="fr-FR"/>
        </w:rPr>
        <w:t>UNICEF Burundi</w:t>
      </w:r>
      <w:r w:rsidR="00B871BA">
        <w:rPr>
          <w:lang w:val="fr-FR"/>
        </w:rPr>
        <w:t>, « Protection de l’enfant : analyse budgétaire 2020/2021 »</w:t>
      </w:r>
      <w:r w:rsidR="00A032BD">
        <w:rPr>
          <w:lang w:val="fr-FR"/>
        </w:rPr>
        <w:t>, février 2021</w:t>
      </w:r>
      <w:r w:rsidR="009A4C26">
        <w:rPr>
          <w:lang w:val="fr-FR"/>
        </w:rPr>
        <w:t>.</w:t>
      </w:r>
    </w:p>
  </w:footnote>
  <w:footnote w:id="62">
    <w:p w14:paraId="7E4173D3" w14:textId="55E99FF3" w:rsidR="00657270" w:rsidRPr="00660A1D" w:rsidRDefault="00657270">
      <w:pPr>
        <w:pStyle w:val="FootnoteText"/>
        <w:rPr>
          <w:lang w:val="fr-FR"/>
        </w:rPr>
      </w:pPr>
      <w:r w:rsidRPr="00660A1D">
        <w:rPr>
          <w:lang w:val="fr-FR"/>
        </w:rPr>
        <w:tab/>
      </w:r>
      <w:r>
        <w:rPr>
          <w:rStyle w:val="FootnoteReference"/>
        </w:rPr>
        <w:footnoteRef/>
      </w:r>
      <w:r w:rsidRPr="00660A1D">
        <w:rPr>
          <w:lang w:val="fr-FR"/>
        </w:rPr>
        <w:tab/>
      </w:r>
      <w:r w:rsidR="00F33A8B">
        <w:rPr>
          <w:lang w:val="fr-FR"/>
        </w:rPr>
        <w:t>Voir RFI, « Burundi : 300 personnes, dont 90 enfants de la rue, arrêtés lors de rafles de la police », 8 juillet 2022</w:t>
      </w:r>
      <w:r w:rsidR="009A4C26">
        <w:rPr>
          <w:lang w:val="fr-FR"/>
        </w:rPr>
        <w:t>.</w:t>
      </w:r>
    </w:p>
  </w:footnote>
  <w:footnote w:id="63">
    <w:p w14:paraId="460196D5" w14:textId="7EAA0C6F" w:rsidR="00657270" w:rsidRPr="00424E57" w:rsidRDefault="00657270" w:rsidP="00592838">
      <w:pPr>
        <w:pStyle w:val="FootnoteText"/>
        <w:rPr>
          <w:lang w:val="fr-FR"/>
        </w:rPr>
      </w:pPr>
      <w:r w:rsidRPr="00660A1D">
        <w:rPr>
          <w:lang w:val="fr-FR"/>
        </w:rPr>
        <w:tab/>
      </w:r>
      <w:r w:rsidRPr="00E65B46">
        <w:rPr>
          <w:rStyle w:val="EndnoteReference"/>
        </w:rPr>
        <w:footnoteRef/>
      </w:r>
      <w:r w:rsidRPr="00424E57">
        <w:rPr>
          <w:lang w:val="fr-FR"/>
        </w:rPr>
        <w:tab/>
      </w:r>
      <w:r w:rsidR="004D6C37">
        <w:rPr>
          <w:lang w:val="fr-FR"/>
        </w:rPr>
        <w:t>UN</w:t>
      </w:r>
      <w:r w:rsidR="001E5AB6">
        <w:rPr>
          <w:lang w:val="fr-FR"/>
        </w:rPr>
        <w:t>I</w:t>
      </w:r>
      <w:r w:rsidR="004D6C37">
        <w:rPr>
          <w:lang w:val="fr-FR"/>
        </w:rPr>
        <w:t>CEF</w:t>
      </w:r>
      <w:r w:rsidR="00D414C5">
        <w:rPr>
          <w:lang w:val="fr-FR"/>
        </w:rPr>
        <w:t>,</w:t>
      </w:r>
      <w:r w:rsidR="004D6C37">
        <w:rPr>
          <w:lang w:val="fr-FR"/>
        </w:rPr>
        <w:t xml:space="preserve"> </w:t>
      </w:r>
      <w:r w:rsidR="00D414C5">
        <w:rPr>
          <w:lang w:val="fr-FR"/>
        </w:rPr>
        <w:t>« </w:t>
      </w:r>
      <w:r w:rsidR="004D6C37">
        <w:rPr>
          <w:lang w:val="fr-FR"/>
        </w:rPr>
        <w:t xml:space="preserve">Burundi </w:t>
      </w:r>
      <w:proofErr w:type="spellStart"/>
      <w:r w:rsidR="00691265">
        <w:rPr>
          <w:lang w:val="fr-FR"/>
        </w:rPr>
        <w:t>Humanitarian</w:t>
      </w:r>
      <w:proofErr w:type="spellEnd"/>
      <w:r w:rsidR="00691265">
        <w:rPr>
          <w:lang w:val="fr-FR"/>
        </w:rPr>
        <w:t xml:space="preserve"> Situation Report No. 1</w:t>
      </w:r>
      <w:r w:rsidR="00D414C5">
        <w:rPr>
          <w:lang w:val="fr-FR"/>
        </w:rPr>
        <w:t> »</w:t>
      </w:r>
      <w:r w:rsidR="00691265">
        <w:rPr>
          <w:lang w:val="fr-FR"/>
        </w:rPr>
        <w:t>, a</w:t>
      </w:r>
      <w:r w:rsidR="006F49D0">
        <w:rPr>
          <w:lang w:val="fr-FR"/>
        </w:rPr>
        <w:t>oû</w:t>
      </w:r>
      <w:r w:rsidR="00691265">
        <w:rPr>
          <w:lang w:val="fr-FR"/>
        </w:rPr>
        <w:t>t 2022</w:t>
      </w:r>
      <w:r w:rsidR="009A4C26">
        <w:rPr>
          <w:lang w:val="fr-FR"/>
        </w:rPr>
        <w:t>.</w:t>
      </w:r>
    </w:p>
  </w:footnote>
  <w:footnote w:id="64">
    <w:p w14:paraId="1951BBC2" w14:textId="5CABF263" w:rsidR="00A72CC3" w:rsidRPr="007815F2" w:rsidRDefault="00D6483D" w:rsidP="00F21BA2">
      <w:pPr>
        <w:pStyle w:val="FootnoteText"/>
        <w:rPr>
          <w:lang w:val="fr-FR"/>
        </w:rPr>
      </w:pPr>
      <w:r>
        <w:rPr>
          <w:lang w:val="fr-FR"/>
        </w:rPr>
        <w:tab/>
      </w:r>
      <w:r w:rsidR="00A72CC3">
        <w:rPr>
          <w:rStyle w:val="FootnoteReference"/>
        </w:rPr>
        <w:footnoteRef/>
      </w:r>
      <w:r w:rsidR="00A72CC3" w:rsidRPr="00A72CC3">
        <w:rPr>
          <w:lang w:val="fr-FR"/>
        </w:rPr>
        <w:t xml:space="preserve"> </w:t>
      </w:r>
      <w:r>
        <w:rPr>
          <w:lang w:val="fr-FR"/>
        </w:rPr>
        <w:tab/>
      </w:r>
      <w:r w:rsidR="00985573">
        <w:rPr>
          <w:lang w:val="fr-FR"/>
        </w:rPr>
        <w:t xml:space="preserve">Fatma </w:t>
      </w:r>
      <w:proofErr w:type="spellStart"/>
      <w:r w:rsidR="00985573">
        <w:rPr>
          <w:lang w:val="fr-FR"/>
        </w:rPr>
        <w:t>Bend</w:t>
      </w:r>
      <w:r w:rsidR="00D871C3">
        <w:rPr>
          <w:lang w:val="fr-FR"/>
        </w:rPr>
        <w:t>h</w:t>
      </w:r>
      <w:r w:rsidR="00985573">
        <w:rPr>
          <w:lang w:val="fr-FR"/>
        </w:rPr>
        <w:t>aou</w:t>
      </w:r>
      <w:proofErr w:type="spellEnd"/>
      <w:r w:rsidR="00D871C3">
        <w:rPr>
          <w:lang w:val="fr-FR"/>
        </w:rPr>
        <w:t xml:space="preserve">, « Burundi : l’UNICEF a besoin de 22 millions USD pour maintenir l’appui aux femmes et aux enfants », </w:t>
      </w:r>
      <w:r w:rsidR="002A57F9">
        <w:rPr>
          <w:lang w:val="fr-FR"/>
        </w:rPr>
        <w:t xml:space="preserve">Agence </w:t>
      </w:r>
      <w:proofErr w:type="spellStart"/>
      <w:r w:rsidR="002A57F9">
        <w:rPr>
          <w:lang w:val="fr-FR"/>
        </w:rPr>
        <w:t>Anadolu</w:t>
      </w:r>
      <w:proofErr w:type="spellEnd"/>
      <w:r w:rsidR="002A57F9">
        <w:rPr>
          <w:lang w:val="fr-FR"/>
        </w:rPr>
        <w:t xml:space="preserve">, </w:t>
      </w:r>
      <w:r w:rsidR="00BF0CEE">
        <w:rPr>
          <w:lang w:val="fr-FR"/>
        </w:rPr>
        <w:t>2 août 2022</w:t>
      </w:r>
      <w:r w:rsidR="009A4C26">
        <w:rPr>
          <w:lang w:val="fr-FR"/>
        </w:rPr>
        <w:t>.</w:t>
      </w:r>
    </w:p>
  </w:footnote>
  <w:footnote w:id="65">
    <w:p w14:paraId="2D80B24F" w14:textId="0A0B7257" w:rsidR="00657270" w:rsidRPr="00424E57" w:rsidRDefault="00657270" w:rsidP="00592838">
      <w:pPr>
        <w:pStyle w:val="FootnoteText"/>
        <w:rPr>
          <w:lang w:val="fr-FR"/>
        </w:rPr>
      </w:pPr>
      <w:r w:rsidRPr="00424E57">
        <w:rPr>
          <w:lang w:val="fr-FR"/>
        </w:rPr>
        <w:tab/>
      </w:r>
      <w:r w:rsidRPr="00E65B46">
        <w:rPr>
          <w:rStyle w:val="EndnoteReference"/>
        </w:rPr>
        <w:footnoteRef/>
      </w:r>
      <w:r w:rsidRPr="00424E57">
        <w:rPr>
          <w:lang w:val="fr-FR"/>
        </w:rPr>
        <w:tab/>
      </w:r>
      <w:r w:rsidR="00923848">
        <w:rPr>
          <w:lang w:val="fr-FR"/>
        </w:rPr>
        <w:t>Burundi, l</w:t>
      </w:r>
      <w:r w:rsidRPr="00424E57">
        <w:rPr>
          <w:lang w:val="fr-FR"/>
        </w:rPr>
        <w:t xml:space="preserve">oi </w:t>
      </w:r>
      <w:r w:rsidR="00923848">
        <w:rPr>
          <w:lang w:val="fr-FR"/>
        </w:rPr>
        <w:t>n</w:t>
      </w:r>
      <w:r w:rsidR="00923848" w:rsidRPr="00592838">
        <w:rPr>
          <w:vertAlign w:val="superscript"/>
          <w:lang w:val="fr-FR"/>
        </w:rPr>
        <w:t>o</w:t>
      </w:r>
      <w:r w:rsidR="00923848">
        <w:rPr>
          <w:lang w:val="fr-FR"/>
        </w:rPr>
        <w:t> </w:t>
      </w:r>
      <w:r w:rsidRPr="00424E57">
        <w:rPr>
          <w:lang w:val="fr-FR"/>
        </w:rPr>
        <w:t xml:space="preserve">1/04 du 5 </w:t>
      </w:r>
      <w:r w:rsidR="00923848">
        <w:rPr>
          <w:lang w:val="fr-FR"/>
        </w:rPr>
        <w:t>j</w:t>
      </w:r>
      <w:r w:rsidRPr="00424E57">
        <w:rPr>
          <w:lang w:val="fr-FR"/>
        </w:rPr>
        <w:t>anvier 2011 portant création de la Commission nationale indépendante des droits de l’homme</w:t>
      </w:r>
      <w:r w:rsidR="00143F60">
        <w:rPr>
          <w:lang w:val="fr-FR"/>
        </w:rPr>
        <w:t>, art. 4</w:t>
      </w:r>
      <w:r w:rsidR="009A4C26">
        <w:rPr>
          <w:lang w:val="fr-FR"/>
        </w:rPr>
        <w:t>.</w:t>
      </w:r>
    </w:p>
  </w:footnote>
  <w:footnote w:id="66">
    <w:p w14:paraId="3D455BE3" w14:textId="121CCC2D" w:rsidR="00657270" w:rsidRPr="00424E57" w:rsidRDefault="00657270" w:rsidP="00592838">
      <w:pPr>
        <w:pStyle w:val="FootnoteText"/>
        <w:rPr>
          <w:lang w:val="fr-FR"/>
        </w:rPr>
      </w:pPr>
      <w:r w:rsidRPr="00424E57">
        <w:rPr>
          <w:lang w:val="fr-FR"/>
        </w:rPr>
        <w:tab/>
      </w:r>
      <w:r w:rsidRPr="00E65B46">
        <w:rPr>
          <w:rStyle w:val="EndnoteReference"/>
        </w:rPr>
        <w:footnoteRef/>
      </w:r>
      <w:r w:rsidRPr="00424E57">
        <w:rPr>
          <w:lang w:val="fr-FR"/>
        </w:rPr>
        <w:tab/>
      </w:r>
      <w:hyperlink r:id="rId19" w:history="1">
        <w:r w:rsidR="00D266FC" w:rsidRPr="00567AE1">
          <w:rPr>
            <w:rStyle w:val="Hyperlink"/>
            <w:color w:val="0000FF" w:themeColor="hyperlink"/>
            <w:u w:val="single"/>
            <w:lang w:val="es-AR"/>
          </w:rPr>
          <w:t>S/2020/1078</w:t>
        </w:r>
      </w:hyperlink>
      <w:r w:rsidR="00D266FC">
        <w:rPr>
          <w:lang w:val="fr-FR"/>
        </w:rPr>
        <w:t>, annexe</w:t>
      </w:r>
      <w:r w:rsidR="00F235B5">
        <w:rPr>
          <w:lang w:val="fr-FR"/>
        </w:rPr>
        <w:t>, par. 29</w:t>
      </w:r>
      <w:r w:rsidR="009A4C26">
        <w:rPr>
          <w:lang w:val="fr-FR"/>
        </w:rPr>
        <w:t>.</w:t>
      </w:r>
    </w:p>
  </w:footnote>
  <w:footnote w:id="67">
    <w:p w14:paraId="28E2EF7B" w14:textId="67E844B1" w:rsidR="00657270" w:rsidRPr="00424E57" w:rsidRDefault="00657270" w:rsidP="00592838">
      <w:pPr>
        <w:pStyle w:val="FootnoteText"/>
        <w:rPr>
          <w:lang w:val="fr-FR"/>
        </w:rPr>
      </w:pPr>
      <w:r w:rsidRPr="00424E57">
        <w:rPr>
          <w:lang w:val="fr-FR"/>
        </w:rPr>
        <w:tab/>
      </w:r>
      <w:r w:rsidRPr="00E65B46">
        <w:rPr>
          <w:rStyle w:val="EndnoteReference"/>
        </w:rPr>
        <w:footnoteRef/>
      </w:r>
      <w:r w:rsidRPr="00424E57">
        <w:rPr>
          <w:lang w:val="fr-FR"/>
        </w:rPr>
        <w:tab/>
      </w:r>
      <w:r w:rsidR="008E30BD">
        <w:rPr>
          <w:lang w:val="fr-FR"/>
        </w:rPr>
        <w:t xml:space="preserve">Voir </w:t>
      </w:r>
      <w:proofErr w:type="spellStart"/>
      <w:r w:rsidRPr="00424E57">
        <w:rPr>
          <w:lang w:val="fr-FR"/>
        </w:rPr>
        <w:t>Defend</w:t>
      </w:r>
      <w:r w:rsidR="00AA278D">
        <w:rPr>
          <w:lang w:val="fr-FR"/>
        </w:rPr>
        <w:t>D</w:t>
      </w:r>
      <w:r w:rsidRPr="00424E57">
        <w:rPr>
          <w:lang w:val="fr-FR"/>
        </w:rPr>
        <w:t>efenders</w:t>
      </w:r>
      <w:proofErr w:type="spellEnd"/>
      <w:r w:rsidR="00782899">
        <w:rPr>
          <w:lang w:val="fr-FR"/>
        </w:rPr>
        <w:t xml:space="preserve"> et</w:t>
      </w:r>
      <w:r w:rsidRPr="00424E57">
        <w:rPr>
          <w:lang w:val="fr-FR"/>
        </w:rPr>
        <w:t xml:space="preserve"> Coalition burundaise des défenseurs des droits de l’homme</w:t>
      </w:r>
      <w:r w:rsidR="00782899">
        <w:rPr>
          <w:lang w:val="fr-FR"/>
        </w:rPr>
        <w:t>,</w:t>
      </w:r>
      <w:r w:rsidRPr="00424E57">
        <w:rPr>
          <w:lang w:val="fr-FR"/>
        </w:rPr>
        <w:t xml:space="preserve"> </w:t>
      </w:r>
      <w:proofErr w:type="spellStart"/>
      <w:r w:rsidRPr="00592838">
        <w:rPr>
          <w:i/>
          <w:iCs/>
          <w:lang w:val="fr-FR"/>
        </w:rPr>
        <w:t>Between</w:t>
      </w:r>
      <w:proofErr w:type="spellEnd"/>
      <w:r w:rsidRPr="00592838">
        <w:rPr>
          <w:i/>
          <w:iCs/>
          <w:lang w:val="fr-FR"/>
        </w:rPr>
        <w:t xml:space="preserve"> </w:t>
      </w:r>
      <w:proofErr w:type="spellStart"/>
      <w:r w:rsidRPr="00592838">
        <w:rPr>
          <w:i/>
          <w:iCs/>
          <w:lang w:val="fr-FR"/>
        </w:rPr>
        <w:t>Despair</w:t>
      </w:r>
      <w:proofErr w:type="spellEnd"/>
      <w:r w:rsidRPr="00592838">
        <w:rPr>
          <w:i/>
          <w:iCs/>
          <w:lang w:val="fr-FR"/>
        </w:rPr>
        <w:t xml:space="preserve"> and </w:t>
      </w:r>
      <w:proofErr w:type="spellStart"/>
      <w:proofErr w:type="gramStart"/>
      <w:r w:rsidRPr="00592838">
        <w:rPr>
          <w:i/>
          <w:iCs/>
          <w:lang w:val="fr-FR"/>
        </w:rPr>
        <w:t>Resilience</w:t>
      </w:r>
      <w:proofErr w:type="spellEnd"/>
      <w:r w:rsidR="00782899" w:rsidRPr="00592838">
        <w:rPr>
          <w:i/>
          <w:iCs/>
          <w:lang w:val="fr-FR"/>
        </w:rPr>
        <w:t>:</w:t>
      </w:r>
      <w:proofErr w:type="gramEnd"/>
      <w:r w:rsidRPr="00592838">
        <w:rPr>
          <w:i/>
          <w:iCs/>
          <w:lang w:val="fr-FR"/>
        </w:rPr>
        <w:t xml:space="preserve"> </w:t>
      </w:r>
      <w:proofErr w:type="spellStart"/>
      <w:r w:rsidRPr="00592838">
        <w:rPr>
          <w:i/>
          <w:iCs/>
          <w:lang w:val="fr-FR"/>
        </w:rPr>
        <w:t>Burundian</w:t>
      </w:r>
      <w:proofErr w:type="spellEnd"/>
      <w:r w:rsidRPr="00592838">
        <w:rPr>
          <w:i/>
          <w:iCs/>
          <w:lang w:val="fr-FR"/>
        </w:rPr>
        <w:t xml:space="preserve"> </w:t>
      </w:r>
      <w:proofErr w:type="spellStart"/>
      <w:r w:rsidR="008E30BD" w:rsidRPr="00592838">
        <w:rPr>
          <w:i/>
          <w:iCs/>
          <w:lang w:val="fr-FR"/>
        </w:rPr>
        <w:t>H</w:t>
      </w:r>
      <w:r w:rsidRPr="00592838">
        <w:rPr>
          <w:i/>
          <w:iCs/>
          <w:lang w:val="fr-FR"/>
        </w:rPr>
        <w:t>uman</w:t>
      </w:r>
      <w:proofErr w:type="spellEnd"/>
      <w:r w:rsidRPr="00592838">
        <w:rPr>
          <w:i/>
          <w:iCs/>
          <w:lang w:val="fr-FR"/>
        </w:rPr>
        <w:t xml:space="preserve"> </w:t>
      </w:r>
      <w:proofErr w:type="spellStart"/>
      <w:r w:rsidR="008E30BD" w:rsidRPr="00592838">
        <w:rPr>
          <w:i/>
          <w:iCs/>
          <w:lang w:val="fr-FR"/>
        </w:rPr>
        <w:t>R</w:t>
      </w:r>
      <w:r w:rsidRPr="00592838">
        <w:rPr>
          <w:i/>
          <w:iCs/>
          <w:lang w:val="fr-FR"/>
        </w:rPr>
        <w:t>ights</w:t>
      </w:r>
      <w:proofErr w:type="spellEnd"/>
      <w:r w:rsidRPr="00592838">
        <w:rPr>
          <w:i/>
          <w:iCs/>
          <w:lang w:val="fr-FR"/>
        </w:rPr>
        <w:t xml:space="preserve"> </w:t>
      </w:r>
      <w:r w:rsidR="008E30BD" w:rsidRPr="00592838">
        <w:rPr>
          <w:i/>
          <w:iCs/>
          <w:lang w:val="fr-FR"/>
        </w:rPr>
        <w:t>D</w:t>
      </w:r>
      <w:r w:rsidRPr="00592838">
        <w:rPr>
          <w:i/>
          <w:iCs/>
          <w:lang w:val="fr-FR"/>
        </w:rPr>
        <w:t xml:space="preserve">efenders in </w:t>
      </w:r>
      <w:proofErr w:type="spellStart"/>
      <w:r w:rsidR="008E30BD" w:rsidRPr="00592838">
        <w:rPr>
          <w:i/>
          <w:iCs/>
          <w:lang w:val="fr-FR"/>
        </w:rPr>
        <w:t>P</w:t>
      </w:r>
      <w:r w:rsidRPr="00592838">
        <w:rPr>
          <w:i/>
          <w:iCs/>
          <w:lang w:val="fr-FR"/>
        </w:rPr>
        <w:t>rotracted</w:t>
      </w:r>
      <w:proofErr w:type="spellEnd"/>
      <w:r w:rsidRPr="00592838">
        <w:rPr>
          <w:i/>
          <w:iCs/>
          <w:lang w:val="fr-FR"/>
        </w:rPr>
        <w:t xml:space="preserve"> </w:t>
      </w:r>
      <w:r w:rsidR="008E30BD" w:rsidRPr="00592838">
        <w:rPr>
          <w:i/>
          <w:iCs/>
          <w:lang w:val="fr-FR"/>
        </w:rPr>
        <w:t>E</w:t>
      </w:r>
      <w:r w:rsidRPr="00592838">
        <w:rPr>
          <w:i/>
          <w:iCs/>
          <w:lang w:val="fr-FR"/>
        </w:rPr>
        <w:t>xile in Rwanda and Uganda</w:t>
      </w:r>
      <w:r w:rsidRPr="00424E57">
        <w:rPr>
          <w:lang w:val="fr-FR"/>
        </w:rPr>
        <w:t>, septembr</w:t>
      </w:r>
      <w:r w:rsidR="008E30BD">
        <w:rPr>
          <w:lang w:val="fr-FR"/>
        </w:rPr>
        <w:t>e</w:t>
      </w:r>
      <w:r w:rsidRPr="00424E57">
        <w:rPr>
          <w:lang w:val="fr-FR"/>
        </w:rPr>
        <w:t xml:space="preserve"> 2018</w:t>
      </w:r>
      <w:r w:rsidR="009A4C26">
        <w:rPr>
          <w:lang w:val="fr-FR"/>
        </w:rPr>
        <w:t>.</w:t>
      </w:r>
    </w:p>
  </w:footnote>
  <w:footnote w:id="68">
    <w:p w14:paraId="56261AA8" w14:textId="0B2A3238" w:rsidR="00657270" w:rsidRPr="00986EAD" w:rsidRDefault="00D6483D" w:rsidP="00F21BA2">
      <w:pPr>
        <w:pStyle w:val="FootnoteText"/>
        <w:rPr>
          <w:lang w:val="fr-FR"/>
        </w:rPr>
      </w:pPr>
      <w:r>
        <w:rPr>
          <w:lang w:val="fr-FR"/>
        </w:rPr>
        <w:tab/>
      </w:r>
      <w:r w:rsidR="00657270">
        <w:rPr>
          <w:rStyle w:val="FootnoteReference"/>
        </w:rPr>
        <w:footnoteRef/>
      </w:r>
      <w:r w:rsidR="00657270" w:rsidRPr="00986EAD">
        <w:rPr>
          <w:lang w:val="fr-FR"/>
        </w:rPr>
        <w:t xml:space="preserve"> </w:t>
      </w:r>
      <w:r>
        <w:rPr>
          <w:lang w:val="fr-FR"/>
        </w:rPr>
        <w:tab/>
      </w:r>
      <w:r w:rsidR="008615EF">
        <w:rPr>
          <w:lang w:val="fr-FR"/>
        </w:rPr>
        <w:t xml:space="preserve">Voir </w:t>
      </w:r>
      <w:r w:rsidR="008615EF" w:rsidRPr="00986EAD">
        <w:rPr>
          <w:lang w:val="fr-FR"/>
        </w:rPr>
        <w:t>Cour supr</w:t>
      </w:r>
      <w:r w:rsidR="008615EF">
        <w:rPr>
          <w:lang w:val="fr-FR"/>
        </w:rPr>
        <w:t>ême du Burundi,</w:t>
      </w:r>
      <w:r w:rsidR="008615EF" w:rsidRPr="00986EAD">
        <w:rPr>
          <w:lang w:val="fr-FR"/>
        </w:rPr>
        <w:t xml:space="preserve"> </w:t>
      </w:r>
      <w:r w:rsidR="008615EF">
        <w:rPr>
          <w:lang w:val="fr-FR"/>
        </w:rPr>
        <w:t>a</w:t>
      </w:r>
      <w:r w:rsidR="00657270" w:rsidRPr="00986EAD">
        <w:rPr>
          <w:lang w:val="fr-FR"/>
        </w:rPr>
        <w:t>rrêt RPS</w:t>
      </w:r>
      <w:r w:rsidR="008615EF">
        <w:rPr>
          <w:lang w:val="fr-FR"/>
        </w:rPr>
        <w:t> </w:t>
      </w:r>
      <w:r w:rsidR="00657270" w:rsidRPr="00986EAD">
        <w:rPr>
          <w:lang w:val="fr-FR"/>
        </w:rPr>
        <w:t>100</w:t>
      </w:r>
      <w:r w:rsidR="008615EF">
        <w:rPr>
          <w:lang w:val="fr-FR"/>
        </w:rPr>
        <w:t xml:space="preserve">, </w:t>
      </w:r>
      <w:r w:rsidR="007369C6">
        <w:rPr>
          <w:lang w:val="fr-FR"/>
        </w:rPr>
        <w:t>23 juin 2020</w:t>
      </w:r>
      <w:r w:rsidR="009A4C26">
        <w:rPr>
          <w:lang w:val="fr-FR"/>
        </w:rPr>
        <w:t>.</w:t>
      </w:r>
    </w:p>
  </w:footnote>
  <w:footnote w:id="69">
    <w:p w14:paraId="172240B0" w14:textId="1A124B39" w:rsidR="00657270" w:rsidRPr="00592838" w:rsidRDefault="00D6483D">
      <w:pPr>
        <w:pStyle w:val="FootnoteText"/>
        <w:rPr>
          <w:lang w:val="en-GB"/>
        </w:rPr>
      </w:pPr>
      <w:r>
        <w:rPr>
          <w:lang w:val="fr-FR"/>
        </w:rPr>
        <w:tab/>
      </w:r>
      <w:r w:rsidR="00657270">
        <w:rPr>
          <w:rStyle w:val="FootnoteReference"/>
        </w:rPr>
        <w:footnoteRef/>
      </w:r>
      <w:r w:rsidRPr="00592838">
        <w:rPr>
          <w:lang w:val="en-GB"/>
        </w:rPr>
        <w:tab/>
      </w:r>
      <w:hyperlink r:id="rId20" w:history="1">
        <w:r w:rsidR="00657270" w:rsidRPr="00592838">
          <w:rPr>
            <w:rStyle w:val="Hyperlink"/>
            <w:color w:val="0000FF" w:themeColor="hyperlink"/>
            <w:u w:val="single"/>
            <w:lang w:val="es-AR"/>
          </w:rPr>
          <w:t>CAT/C/BDI/CO/2/Add.1</w:t>
        </w:r>
      </w:hyperlink>
      <w:r w:rsidR="00E05A10" w:rsidRPr="00592838">
        <w:rPr>
          <w:lang w:val="en-GB"/>
        </w:rPr>
        <w:t>,</w:t>
      </w:r>
      <w:r w:rsidR="00657270" w:rsidRPr="00592838">
        <w:rPr>
          <w:lang w:val="en-GB"/>
        </w:rPr>
        <w:t xml:space="preserve"> par</w:t>
      </w:r>
      <w:r w:rsidR="00E05A10" w:rsidRPr="00592838">
        <w:rPr>
          <w:lang w:val="en-GB"/>
        </w:rPr>
        <w:t>.</w:t>
      </w:r>
      <w:r w:rsidR="00657270" w:rsidRPr="00592838">
        <w:rPr>
          <w:lang w:val="en-GB"/>
        </w:rPr>
        <w:t xml:space="preserve"> 24</w:t>
      </w:r>
      <w:r w:rsidR="009A4C26" w:rsidRPr="00592838">
        <w:rPr>
          <w:lang w:val="en-GB"/>
        </w:rPr>
        <w:t>.</w:t>
      </w:r>
    </w:p>
  </w:footnote>
  <w:footnote w:id="70">
    <w:p w14:paraId="4BB8A7F0" w14:textId="575BD2E0" w:rsidR="00657270" w:rsidRPr="00030036" w:rsidRDefault="00657270" w:rsidP="00592838">
      <w:pPr>
        <w:pStyle w:val="FootnoteText"/>
        <w:rPr>
          <w:lang w:val="fr-FR"/>
        </w:rPr>
      </w:pPr>
      <w:r w:rsidRPr="00592838">
        <w:rPr>
          <w:lang w:val="en-GB"/>
        </w:rPr>
        <w:tab/>
      </w:r>
      <w:r>
        <w:rPr>
          <w:rStyle w:val="FootnoteReference"/>
        </w:rPr>
        <w:footnoteRef/>
      </w:r>
      <w:r>
        <w:rPr>
          <w:lang w:val="fr-FR"/>
        </w:rPr>
        <w:tab/>
      </w:r>
      <w:r w:rsidR="00EF1103">
        <w:rPr>
          <w:lang w:val="fr-FR"/>
        </w:rPr>
        <w:t>À titre d’illustration, voir Burundi, loi n</w:t>
      </w:r>
      <w:r w:rsidR="00847ED6" w:rsidRPr="00246EDD">
        <w:rPr>
          <w:vertAlign w:val="superscript"/>
          <w:lang w:val="fr-FR"/>
        </w:rPr>
        <w:t>o</w:t>
      </w:r>
      <w:r w:rsidR="00847ED6">
        <w:rPr>
          <w:lang w:val="fr-FR"/>
        </w:rPr>
        <w:t> </w:t>
      </w:r>
      <w:r w:rsidR="00EF1103">
        <w:rPr>
          <w:lang w:val="fr-FR"/>
        </w:rPr>
        <w:t>1/01 du 23 janvier 2017 portant modification de la loi n</w:t>
      </w:r>
      <w:r w:rsidR="00EF1103" w:rsidRPr="00D73304">
        <w:rPr>
          <w:vertAlign w:val="superscript"/>
          <w:lang w:val="fr-FR"/>
        </w:rPr>
        <w:t>o</w:t>
      </w:r>
      <w:r w:rsidR="00EF1103">
        <w:rPr>
          <w:lang w:val="fr-FR"/>
        </w:rPr>
        <w:t> 1/011 du 23 juin 1999 portant modification du décret-loi n</w:t>
      </w:r>
      <w:r w:rsidR="00EF1103" w:rsidRPr="00D73304">
        <w:rPr>
          <w:vertAlign w:val="superscript"/>
          <w:lang w:val="fr-FR"/>
        </w:rPr>
        <w:t>o</w:t>
      </w:r>
      <w:r w:rsidR="00EF1103">
        <w:rPr>
          <w:lang w:val="fr-FR"/>
        </w:rPr>
        <w:t> 1/033 du 22 août 1990 portant cadre général de la coopération entre la République du Burundi et les organisations non gouvernementales étrangères, art. 13, 14 et 18 ; et Burundi,</w:t>
      </w:r>
      <w:r w:rsidRPr="00030036">
        <w:rPr>
          <w:lang w:val="fr-FR"/>
        </w:rPr>
        <w:t xml:space="preserve"> loi n</w:t>
      </w:r>
      <w:r w:rsidR="00847ED6" w:rsidRPr="00246EDD">
        <w:rPr>
          <w:vertAlign w:val="superscript"/>
          <w:lang w:val="fr-FR"/>
        </w:rPr>
        <w:t>o</w:t>
      </w:r>
      <w:r w:rsidR="00847ED6">
        <w:rPr>
          <w:lang w:val="fr-FR"/>
        </w:rPr>
        <w:t> </w:t>
      </w:r>
      <w:r w:rsidR="009D406E">
        <w:rPr>
          <w:lang w:val="fr-FR"/>
        </w:rPr>
        <w:t>1/</w:t>
      </w:r>
      <w:r w:rsidRPr="00030036">
        <w:rPr>
          <w:lang w:val="fr-FR"/>
        </w:rPr>
        <w:t>19 du 14 septembre 2018 portant modification de la loi n</w:t>
      </w:r>
      <w:r w:rsidR="00847ED6" w:rsidRPr="00592838">
        <w:rPr>
          <w:vertAlign w:val="superscript"/>
          <w:lang w:val="fr-FR"/>
        </w:rPr>
        <w:t>o</w:t>
      </w:r>
      <w:r w:rsidR="00847ED6">
        <w:rPr>
          <w:lang w:val="fr-FR"/>
        </w:rPr>
        <w:t> </w:t>
      </w:r>
      <w:r w:rsidR="00220C40">
        <w:rPr>
          <w:lang w:val="fr-FR"/>
        </w:rPr>
        <w:t>1/</w:t>
      </w:r>
      <w:r w:rsidRPr="00030036">
        <w:rPr>
          <w:lang w:val="fr-FR"/>
        </w:rPr>
        <w:t>15 du 9 mai 2015 régissant la presse au Burundi</w:t>
      </w:r>
      <w:r w:rsidR="00EE4C1F">
        <w:rPr>
          <w:lang w:val="fr-FR"/>
        </w:rPr>
        <w:t>, art. 5</w:t>
      </w:r>
      <w:r w:rsidRPr="00030036">
        <w:rPr>
          <w:lang w:val="fr-FR"/>
        </w:rPr>
        <w:t xml:space="preserve"> </w:t>
      </w:r>
      <w:r w:rsidR="00220C40">
        <w:rPr>
          <w:lang w:val="fr-FR"/>
        </w:rPr>
        <w:t xml:space="preserve">(qui </w:t>
      </w:r>
      <w:r w:rsidRPr="00030036">
        <w:rPr>
          <w:lang w:val="fr-FR"/>
        </w:rPr>
        <w:t>prévoit que toute personne jouissant d’une immunité ne peut être directeur d’une société de presse écrite, audiovisuelle ou électronique</w:t>
      </w:r>
      <w:r w:rsidR="00EE4C1F">
        <w:rPr>
          <w:lang w:val="fr-FR"/>
        </w:rPr>
        <w:t>)</w:t>
      </w:r>
      <w:r w:rsidRPr="00030036">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9C0B2" w14:textId="343D2096" w:rsidR="00657270" w:rsidRPr="00B26E71" w:rsidRDefault="00564133">
    <w:pPr>
      <w:pStyle w:val="Header"/>
    </w:pPr>
    <w:fldSimple w:instr=" TITLE  \* MERGEFORMAT ">
      <w:r w:rsidR="008920AE">
        <w:t>A/HRC/51/44</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E532F" w14:textId="392D9C40" w:rsidR="00657270" w:rsidRPr="00B26E71" w:rsidRDefault="00564133" w:rsidP="00B26E71">
    <w:pPr>
      <w:pStyle w:val="Header"/>
      <w:jc w:val="right"/>
    </w:pPr>
    <w:fldSimple w:instr=" TITLE  \* MERGEFORMAT ">
      <w:r w:rsidR="008920AE">
        <w:t>A/HRC/51/44</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EE8CA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3699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64D4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B486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4C88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9016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81E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2CF9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7894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1CCE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680782"/>
    <w:multiLevelType w:val="hybridMultilevel"/>
    <w:tmpl w:val="8170080E"/>
    <w:lvl w:ilvl="0" w:tplc="650601F2">
      <w:numFmt w:val="bullet"/>
      <w:lvlText w:val="-"/>
      <w:lvlJc w:val="left"/>
      <w:pPr>
        <w:ind w:left="1854" w:hanging="360"/>
      </w:pPr>
      <w:rPr>
        <w:rFonts w:ascii="Calibri" w:eastAsiaTheme="minorEastAsia" w:hAnsi="Calibri" w:cs="Calibri"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2B3F49C6"/>
    <w:multiLevelType w:val="singleLevel"/>
    <w:tmpl w:val="720CB540"/>
    <w:lvl w:ilvl="0">
      <w:start w:val="1"/>
      <w:numFmt w:val="lowerRoman"/>
      <w:lvlText w:val="(%1)"/>
      <w:lvlJc w:val="right"/>
      <w:pPr>
        <w:tabs>
          <w:tab w:val="num" w:pos="2160"/>
        </w:tabs>
        <w:ind w:left="2160" w:hanging="516"/>
      </w:pPr>
    </w:lvl>
  </w:abstractNum>
  <w:abstractNum w:abstractNumId="14" w15:restartNumberingAfterBreak="0">
    <w:nsid w:val="2EA77B5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3ACF4EB2"/>
    <w:multiLevelType w:val="hybridMultilevel"/>
    <w:tmpl w:val="3F2CCC0E"/>
    <w:lvl w:ilvl="0" w:tplc="78607ACC">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6" w15:restartNumberingAfterBreak="0">
    <w:nsid w:val="462829DB"/>
    <w:multiLevelType w:val="hybridMultilevel"/>
    <w:tmpl w:val="20B67136"/>
    <w:lvl w:ilvl="0" w:tplc="134EDD30">
      <w:start w:val="1"/>
      <w:numFmt w:val="decimal"/>
      <w:lvlText w:val="%1."/>
      <w:lvlJc w:val="left"/>
      <w:pPr>
        <w:ind w:left="1212" w:hanging="8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75162C"/>
    <w:multiLevelType w:val="hybridMultilevel"/>
    <w:tmpl w:val="AB66D3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AD7191"/>
    <w:multiLevelType w:val="hybridMultilevel"/>
    <w:tmpl w:val="2C8EC8A8"/>
    <w:lvl w:ilvl="0" w:tplc="897AA0FE">
      <w:start w:val="2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1" w15:restartNumberingAfterBreak="0">
    <w:nsid w:val="695106F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7BD73A9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CF349BD"/>
    <w:multiLevelType w:val="singleLevel"/>
    <w:tmpl w:val="51D4BF5A"/>
    <w:lvl w:ilvl="0">
      <w:start w:val="1"/>
      <w:numFmt w:val="lowerRoman"/>
      <w:lvlText w:val="(%1)"/>
      <w:lvlJc w:val="right"/>
      <w:pPr>
        <w:tabs>
          <w:tab w:val="num" w:pos="1440"/>
        </w:tabs>
        <w:ind w:left="1440" w:hanging="589"/>
      </w:pPr>
      <w:rPr>
        <w:rFonts w:hint="default"/>
      </w:rPr>
    </w:lvl>
  </w:abstractNum>
  <w:num w:numId="1">
    <w:abstractNumId w:val="23"/>
  </w:num>
  <w:num w:numId="2">
    <w:abstractNumId w:val="13"/>
  </w:num>
  <w:num w:numId="3">
    <w:abstractNumId w:val="1"/>
  </w:num>
  <w:num w:numId="4">
    <w:abstractNumId w:val="0"/>
  </w:num>
  <w:num w:numId="5">
    <w:abstractNumId w:val="2"/>
  </w:num>
  <w:num w:numId="6">
    <w:abstractNumId w:val="3"/>
  </w:num>
  <w:num w:numId="7">
    <w:abstractNumId w:val="8"/>
  </w:num>
  <w:num w:numId="8">
    <w:abstractNumId w:val="9"/>
  </w:num>
  <w:num w:numId="9">
    <w:abstractNumId w:val="7"/>
  </w:num>
  <w:num w:numId="10">
    <w:abstractNumId w:val="6"/>
  </w:num>
  <w:num w:numId="11">
    <w:abstractNumId w:val="5"/>
  </w:num>
  <w:num w:numId="12">
    <w:abstractNumId w:val="4"/>
  </w:num>
  <w:num w:numId="13">
    <w:abstractNumId w:val="14"/>
  </w:num>
  <w:num w:numId="14">
    <w:abstractNumId w:val="22"/>
  </w:num>
  <w:num w:numId="15">
    <w:abstractNumId w:val="21"/>
  </w:num>
  <w:num w:numId="16">
    <w:abstractNumId w:val="20"/>
  </w:num>
  <w:num w:numId="17">
    <w:abstractNumId w:val="15"/>
  </w:num>
  <w:num w:numId="18">
    <w:abstractNumId w:val="20"/>
  </w:num>
  <w:num w:numId="19">
    <w:abstractNumId w:val="15"/>
  </w:num>
  <w:num w:numId="20">
    <w:abstractNumId w:val="20"/>
  </w:num>
  <w:num w:numId="21">
    <w:abstractNumId w:val="15"/>
  </w:num>
  <w:num w:numId="22">
    <w:abstractNumId w:val="10"/>
  </w:num>
  <w:num w:numId="23">
    <w:abstractNumId w:val="19"/>
  </w:num>
  <w:num w:numId="24">
    <w:abstractNumId w:val="12"/>
  </w:num>
  <w:num w:numId="25">
    <w:abstractNumId w:val="11"/>
  </w:num>
  <w:num w:numId="26">
    <w:abstractNumId w:val="17"/>
  </w:num>
  <w:num w:numId="27">
    <w:abstractNumId w:val="16"/>
  </w:num>
  <w:num w:numId="28">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activeWritingStyle w:appName="MSWord" w:lang="en-GB" w:vendorID="64" w:dllVersion="5" w:nlCheck="1" w:checkStyle="1"/>
  <w:activeWritingStyle w:appName="MSWord" w:lang="fr-CH" w:vendorID="64" w:dllVersion="6" w:nlCheck="1" w:checkStyle="0"/>
  <w:activeWritingStyle w:appName="MSWord" w:lang="en-GB" w:vendorID="64" w:dllVersion="6" w:nlCheck="1" w:checkStyle="0"/>
  <w:activeWritingStyle w:appName="MSWord" w:lang="fr-FR" w:vendorID="64" w:dllVersion="6" w:nlCheck="1" w:checkStyle="0"/>
  <w:activeWritingStyle w:appName="MSWord" w:lang="fr-CH"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s-ES" w:vendorID="64" w:dllVersion="6" w:nlCheck="1" w:checkStyle="0"/>
  <w:activeWritingStyle w:appName="MSWord" w:lang="es-ES" w:vendorID="64" w:dllVersion="0" w:nlCheck="1" w:checkStyle="0"/>
  <w:activeWritingStyle w:appName="MSWord" w:lang="es-AR" w:vendorID="64" w:dllVersion="0" w:nlCheck="1" w:checkStyle="0"/>
  <w:activeWritingStyle w:appName="MSWord" w:lang="fr-CH" w:vendorID="64" w:dllVersion="131078" w:nlCheck="1" w:checkStyle="0"/>
  <w:activeWritingStyle w:appName="MSWord" w:lang="en-GB" w:vendorID="64" w:dllVersion="131078" w:nlCheck="1" w:checkStyle="0"/>
  <w:activeWritingStyle w:appName="MSWord" w:lang="fr-FR" w:vendorID="64" w:dllVersion="131078" w:nlCheck="1" w:checkStyle="0"/>
  <w:activeWritingStyle w:appName="MSWord" w:lang="es-AR" w:vendorID="64" w:dllVersion="131078" w:nlCheck="1" w:checkStyle="0"/>
  <w:activeWritingStyle w:appName="MSWord" w:lang="es-ES"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E71"/>
    <w:rsid w:val="00000841"/>
    <w:rsid w:val="0000092A"/>
    <w:rsid w:val="00003521"/>
    <w:rsid w:val="00003593"/>
    <w:rsid w:val="000069A5"/>
    <w:rsid w:val="00011AEF"/>
    <w:rsid w:val="00016AC5"/>
    <w:rsid w:val="0002028C"/>
    <w:rsid w:val="00020C56"/>
    <w:rsid w:val="00022A16"/>
    <w:rsid w:val="00023828"/>
    <w:rsid w:val="00025771"/>
    <w:rsid w:val="00026BA5"/>
    <w:rsid w:val="00030036"/>
    <w:rsid w:val="0003055E"/>
    <w:rsid w:val="00030A0F"/>
    <w:rsid w:val="00031ACB"/>
    <w:rsid w:val="00033664"/>
    <w:rsid w:val="00033F3B"/>
    <w:rsid w:val="000349D7"/>
    <w:rsid w:val="00040319"/>
    <w:rsid w:val="000407BA"/>
    <w:rsid w:val="00042263"/>
    <w:rsid w:val="000437AD"/>
    <w:rsid w:val="0004702F"/>
    <w:rsid w:val="000474E5"/>
    <w:rsid w:val="000520BC"/>
    <w:rsid w:val="00053E95"/>
    <w:rsid w:val="00054F0E"/>
    <w:rsid w:val="00055906"/>
    <w:rsid w:val="00055A6F"/>
    <w:rsid w:val="00057BC0"/>
    <w:rsid w:val="0006153D"/>
    <w:rsid w:val="00062A2E"/>
    <w:rsid w:val="00072F15"/>
    <w:rsid w:val="0008047D"/>
    <w:rsid w:val="0008167F"/>
    <w:rsid w:val="00083C6A"/>
    <w:rsid w:val="00084286"/>
    <w:rsid w:val="000863CB"/>
    <w:rsid w:val="00091153"/>
    <w:rsid w:val="00091368"/>
    <w:rsid w:val="00092AEA"/>
    <w:rsid w:val="000946AF"/>
    <w:rsid w:val="000946D2"/>
    <w:rsid w:val="00094733"/>
    <w:rsid w:val="00094D8C"/>
    <w:rsid w:val="000A12E4"/>
    <w:rsid w:val="000A2257"/>
    <w:rsid w:val="000A3F33"/>
    <w:rsid w:val="000A44E9"/>
    <w:rsid w:val="000A4D56"/>
    <w:rsid w:val="000A5356"/>
    <w:rsid w:val="000A61A1"/>
    <w:rsid w:val="000A7D9E"/>
    <w:rsid w:val="000B012B"/>
    <w:rsid w:val="000B4CFD"/>
    <w:rsid w:val="000B6E7C"/>
    <w:rsid w:val="000B71E8"/>
    <w:rsid w:val="000C5C74"/>
    <w:rsid w:val="000C65A4"/>
    <w:rsid w:val="000D1753"/>
    <w:rsid w:val="000D1EF0"/>
    <w:rsid w:val="000D2F78"/>
    <w:rsid w:val="000D4A55"/>
    <w:rsid w:val="000D6162"/>
    <w:rsid w:val="000D72BD"/>
    <w:rsid w:val="000D7672"/>
    <w:rsid w:val="000E03D2"/>
    <w:rsid w:val="000E0C13"/>
    <w:rsid w:val="000E1879"/>
    <w:rsid w:val="000E3063"/>
    <w:rsid w:val="000E6126"/>
    <w:rsid w:val="000E661F"/>
    <w:rsid w:val="000E6B0B"/>
    <w:rsid w:val="000E7132"/>
    <w:rsid w:val="000F07FF"/>
    <w:rsid w:val="000F34B7"/>
    <w:rsid w:val="000F41F2"/>
    <w:rsid w:val="000F42CF"/>
    <w:rsid w:val="000F6C68"/>
    <w:rsid w:val="000F738A"/>
    <w:rsid w:val="0010242E"/>
    <w:rsid w:val="001032BF"/>
    <w:rsid w:val="001073DA"/>
    <w:rsid w:val="0011219D"/>
    <w:rsid w:val="0011271F"/>
    <w:rsid w:val="00113A53"/>
    <w:rsid w:val="00116518"/>
    <w:rsid w:val="0012025E"/>
    <w:rsid w:val="001208B5"/>
    <w:rsid w:val="00120A6B"/>
    <w:rsid w:val="00122852"/>
    <w:rsid w:val="00133119"/>
    <w:rsid w:val="00133B7A"/>
    <w:rsid w:val="001343E6"/>
    <w:rsid w:val="001360A7"/>
    <w:rsid w:val="00136782"/>
    <w:rsid w:val="001370FA"/>
    <w:rsid w:val="00140AE4"/>
    <w:rsid w:val="00142ACE"/>
    <w:rsid w:val="00143F60"/>
    <w:rsid w:val="0014639E"/>
    <w:rsid w:val="00153B2E"/>
    <w:rsid w:val="0015592B"/>
    <w:rsid w:val="001561F0"/>
    <w:rsid w:val="00160540"/>
    <w:rsid w:val="001633A0"/>
    <w:rsid w:val="00163ED0"/>
    <w:rsid w:val="0016438B"/>
    <w:rsid w:val="001644AF"/>
    <w:rsid w:val="001663C2"/>
    <w:rsid w:val="0016674F"/>
    <w:rsid w:val="001673EF"/>
    <w:rsid w:val="00170BBF"/>
    <w:rsid w:val="00172B99"/>
    <w:rsid w:val="0017508E"/>
    <w:rsid w:val="00175A26"/>
    <w:rsid w:val="00183ADA"/>
    <w:rsid w:val="001844B0"/>
    <w:rsid w:val="00184F13"/>
    <w:rsid w:val="00185E73"/>
    <w:rsid w:val="00186254"/>
    <w:rsid w:val="00187316"/>
    <w:rsid w:val="00191A8A"/>
    <w:rsid w:val="00192EEB"/>
    <w:rsid w:val="00194700"/>
    <w:rsid w:val="001A00CD"/>
    <w:rsid w:val="001A1446"/>
    <w:rsid w:val="001A158E"/>
    <w:rsid w:val="001A20FB"/>
    <w:rsid w:val="001A27DF"/>
    <w:rsid w:val="001A4BDB"/>
    <w:rsid w:val="001A4DDC"/>
    <w:rsid w:val="001A6090"/>
    <w:rsid w:val="001B1C8F"/>
    <w:rsid w:val="001B428C"/>
    <w:rsid w:val="001B52ED"/>
    <w:rsid w:val="001C1265"/>
    <w:rsid w:val="001C15CB"/>
    <w:rsid w:val="001C299F"/>
    <w:rsid w:val="001C2DF6"/>
    <w:rsid w:val="001C3079"/>
    <w:rsid w:val="001C3EBF"/>
    <w:rsid w:val="001C4AB5"/>
    <w:rsid w:val="001C60E9"/>
    <w:rsid w:val="001C6647"/>
    <w:rsid w:val="001C68AB"/>
    <w:rsid w:val="001D0328"/>
    <w:rsid w:val="001D1B5D"/>
    <w:rsid w:val="001D4374"/>
    <w:rsid w:val="001D5A2B"/>
    <w:rsid w:val="001D6108"/>
    <w:rsid w:val="001E2529"/>
    <w:rsid w:val="001E2878"/>
    <w:rsid w:val="001E2A1A"/>
    <w:rsid w:val="001E3FEB"/>
    <w:rsid w:val="001E4A02"/>
    <w:rsid w:val="001E5AB6"/>
    <w:rsid w:val="001F2157"/>
    <w:rsid w:val="001F277A"/>
    <w:rsid w:val="00201F19"/>
    <w:rsid w:val="00202D6B"/>
    <w:rsid w:val="00203578"/>
    <w:rsid w:val="00203B25"/>
    <w:rsid w:val="00203BC4"/>
    <w:rsid w:val="00204B84"/>
    <w:rsid w:val="00205E7E"/>
    <w:rsid w:val="002063D1"/>
    <w:rsid w:val="002079B0"/>
    <w:rsid w:val="00213226"/>
    <w:rsid w:val="00214088"/>
    <w:rsid w:val="00215297"/>
    <w:rsid w:val="0021671B"/>
    <w:rsid w:val="00217213"/>
    <w:rsid w:val="00220C40"/>
    <w:rsid w:val="0022337F"/>
    <w:rsid w:val="0023047C"/>
    <w:rsid w:val="00232316"/>
    <w:rsid w:val="00232930"/>
    <w:rsid w:val="00233944"/>
    <w:rsid w:val="0023518C"/>
    <w:rsid w:val="002369C5"/>
    <w:rsid w:val="00237685"/>
    <w:rsid w:val="0024048F"/>
    <w:rsid w:val="00244FA5"/>
    <w:rsid w:val="0024590D"/>
    <w:rsid w:val="00245F5D"/>
    <w:rsid w:val="002562E6"/>
    <w:rsid w:val="00261E36"/>
    <w:rsid w:val="0026259F"/>
    <w:rsid w:val="00263388"/>
    <w:rsid w:val="002634C3"/>
    <w:rsid w:val="002659F1"/>
    <w:rsid w:val="002723CE"/>
    <w:rsid w:val="002733F0"/>
    <w:rsid w:val="002734E7"/>
    <w:rsid w:val="002741B7"/>
    <w:rsid w:val="00274C27"/>
    <w:rsid w:val="00274FF4"/>
    <w:rsid w:val="00285409"/>
    <w:rsid w:val="00287E79"/>
    <w:rsid w:val="002928F9"/>
    <w:rsid w:val="00293A4E"/>
    <w:rsid w:val="00294291"/>
    <w:rsid w:val="00297D9B"/>
    <w:rsid w:val="002A1120"/>
    <w:rsid w:val="002A16AB"/>
    <w:rsid w:val="002A1A6B"/>
    <w:rsid w:val="002A24EB"/>
    <w:rsid w:val="002A57F9"/>
    <w:rsid w:val="002A5D07"/>
    <w:rsid w:val="002B2C2D"/>
    <w:rsid w:val="002B3CB8"/>
    <w:rsid w:val="002C09D3"/>
    <w:rsid w:val="002C22BA"/>
    <w:rsid w:val="002C3A8D"/>
    <w:rsid w:val="002C40D0"/>
    <w:rsid w:val="002C5197"/>
    <w:rsid w:val="002C5333"/>
    <w:rsid w:val="002C5DAD"/>
    <w:rsid w:val="002C664E"/>
    <w:rsid w:val="002C6ACC"/>
    <w:rsid w:val="002D4D59"/>
    <w:rsid w:val="002D583A"/>
    <w:rsid w:val="002D5D44"/>
    <w:rsid w:val="002D668F"/>
    <w:rsid w:val="002D6BCB"/>
    <w:rsid w:val="002E1F05"/>
    <w:rsid w:val="002E60E7"/>
    <w:rsid w:val="002E74DA"/>
    <w:rsid w:val="002F0AD1"/>
    <w:rsid w:val="002F2D2B"/>
    <w:rsid w:val="0030139B"/>
    <w:rsid w:val="003016B7"/>
    <w:rsid w:val="00302AAD"/>
    <w:rsid w:val="00302E2E"/>
    <w:rsid w:val="00304688"/>
    <w:rsid w:val="003046AB"/>
    <w:rsid w:val="0030538D"/>
    <w:rsid w:val="003055CB"/>
    <w:rsid w:val="00305B51"/>
    <w:rsid w:val="00306AC7"/>
    <w:rsid w:val="00306DD6"/>
    <w:rsid w:val="003103C7"/>
    <w:rsid w:val="003107B4"/>
    <w:rsid w:val="00316FB3"/>
    <w:rsid w:val="00317E9C"/>
    <w:rsid w:val="0032046D"/>
    <w:rsid w:val="0032336C"/>
    <w:rsid w:val="00323812"/>
    <w:rsid w:val="0032498B"/>
    <w:rsid w:val="00326D66"/>
    <w:rsid w:val="0032737F"/>
    <w:rsid w:val="00327575"/>
    <w:rsid w:val="00335FFA"/>
    <w:rsid w:val="00336634"/>
    <w:rsid w:val="0033693D"/>
    <w:rsid w:val="00337824"/>
    <w:rsid w:val="0034193D"/>
    <w:rsid w:val="00343033"/>
    <w:rsid w:val="0034307C"/>
    <w:rsid w:val="00343634"/>
    <w:rsid w:val="003438B7"/>
    <w:rsid w:val="00344365"/>
    <w:rsid w:val="00344C03"/>
    <w:rsid w:val="00344DB9"/>
    <w:rsid w:val="00347A69"/>
    <w:rsid w:val="00350298"/>
    <w:rsid w:val="003507EC"/>
    <w:rsid w:val="003515AA"/>
    <w:rsid w:val="003517F1"/>
    <w:rsid w:val="00353ABE"/>
    <w:rsid w:val="00354B37"/>
    <w:rsid w:val="00361035"/>
    <w:rsid w:val="003647FA"/>
    <w:rsid w:val="0036481B"/>
    <w:rsid w:val="00364E94"/>
    <w:rsid w:val="003655C7"/>
    <w:rsid w:val="00366BAC"/>
    <w:rsid w:val="0036791A"/>
    <w:rsid w:val="00373B76"/>
    <w:rsid w:val="00374106"/>
    <w:rsid w:val="003757E0"/>
    <w:rsid w:val="00376E4A"/>
    <w:rsid w:val="003773F4"/>
    <w:rsid w:val="0037787B"/>
    <w:rsid w:val="003800E1"/>
    <w:rsid w:val="00380481"/>
    <w:rsid w:val="00385900"/>
    <w:rsid w:val="00387A43"/>
    <w:rsid w:val="003976D5"/>
    <w:rsid w:val="003A2B34"/>
    <w:rsid w:val="003A2F4E"/>
    <w:rsid w:val="003A5000"/>
    <w:rsid w:val="003A532F"/>
    <w:rsid w:val="003A59C9"/>
    <w:rsid w:val="003A6717"/>
    <w:rsid w:val="003B3C45"/>
    <w:rsid w:val="003B5279"/>
    <w:rsid w:val="003B6DF3"/>
    <w:rsid w:val="003B7FD0"/>
    <w:rsid w:val="003C3BC5"/>
    <w:rsid w:val="003C6AE0"/>
    <w:rsid w:val="003C73B7"/>
    <w:rsid w:val="003D08AE"/>
    <w:rsid w:val="003D0A78"/>
    <w:rsid w:val="003D193B"/>
    <w:rsid w:val="003D27D9"/>
    <w:rsid w:val="003D3D28"/>
    <w:rsid w:val="003D5D72"/>
    <w:rsid w:val="003D6C68"/>
    <w:rsid w:val="003D71CB"/>
    <w:rsid w:val="003D7B90"/>
    <w:rsid w:val="003E0258"/>
    <w:rsid w:val="003E1595"/>
    <w:rsid w:val="003E37DF"/>
    <w:rsid w:val="003E498D"/>
    <w:rsid w:val="003E4FF5"/>
    <w:rsid w:val="003E6ACD"/>
    <w:rsid w:val="003F0BC9"/>
    <w:rsid w:val="003F3CC0"/>
    <w:rsid w:val="003F5FA1"/>
    <w:rsid w:val="003F6F77"/>
    <w:rsid w:val="00400922"/>
    <w:rsid w:val="0040096F"/>
    <w:rsid w:val="00405C4D"/>
    <w:rsid w:val="00406915"/>
    <w:rsid w:val="00407E05"/>
    <w:rsid w:val="00411E0C"/>
    <w:rsid w:val="004145D6"/>
    <w:rsid w:val="00414BFD"/>
    <w:rsid w:val="004157F8"/>
    <w:rsid w:val="004159D0"/>
    <w:rsid w:val="0041630E"/>
    <w:rsid w:val="00416CC6"/>
    <w:rsid w:val="00416EAE"/>
    <w:rsid w:val="00417A63"/>
    <w:rsid w:val="00421259"/>
    <w:rsid w:val="00424E57"/>
    <w:rsid w:val="004356D7"/>
    <w:rsid w:val="004369DF"/>
    <w:rsid w:val="0043747D"/>
    <w:rsid w:val="00437BB4"/>
    <w:rsid w:val="00441C87"/>
    <w:rsid w:val="0044638F"/>
    <w:rsid w:val="00446C4B"/>
    <w:rsid w:val="00446E27"/>
    <w:rsid w:val="00447003"/>
    <w:rsid w:val="00450800"/>
    <w:rsid w:val="00450B09"/>
    <w:rsid w:val="00451D8D"/>
    <w:rsid w:val="00453816"/>
    <w:rsid w:val="0045392E"/>
    <w:rsid w:val="00454427"/>
    <w:rsid w:val="0045504C"/>
    <w:rsid w:val="00456882"/>
    <w:rsid w:val="0046075C"/>
    <w:rsid w:val="00462A7E"/>
    <w:rsid w:val="00465C54"/>
    <w:rsid w:val="00466538"/>
    <w:rsid w:val="004701EB"/>
    <w:rsid w:val="004709E3"/>
    <w:rsid w:val="00472DCA"/>
    <w:rsid w:val="00473C87"/>
    <w:rsid w:val="004752D4"/>
    <w:rsid w:val="004811D7"/>
    <w:rsid w:val="00481744"/>
    <w:rsid w:val="00481990"/>
    <w:rsid w:val="00482630"/>
    <w:rsid w:val="00484FA8"/>
    <w:rsid w:val="004914D9"/>
    <w:rsid w:val="004946D0"/>
    <w:rsid w:val="004960CD"/>
    <w:rsid w:val="004A4CB2"/>
    <w:rsid w:val="004A5715"/>
    <w:rsid w:val="004A600A"/>
    <w:rsid w:val="004B00F8"/>
    <w:rsid w:val="004B1C6A"/>
    <w:rsid w:val="004B2F4D"/>
    <w:rsid w:val="004B4B06"/>
    <w:rsid w:val="004B616B"/>
    <w:rsid w:val="004B77C1"/>
    <w:rsid w:val="004C10FC"/>
    <w:rsid w:val="004C13A3"/>
    <w:rsid w:val="004C1BE4"/>
    <w:rsid w:val="004C20B4"/>
    <w:rsid w:val="004C2743"/>
    <w:rsid w:val="004C35F7"/>
    <w:rsid w:val="004C602B"/>
    <w:rsid w:val="004D214C"/>
    <w:rsid w:val="004D2288"/>
    <w:rsid w:val="004D2EB5"/>
    <w:rsid w:val="004D322A"/>
    <w:rsid w:val="004D63B0"/>
    <w:rsid w:val="004D6C37"/>
    <w:rsid w:val="004D7493"/>
    <w:rsid w:val="004E0ED4"/>
    <w:rsid w:val="004E35CB"/>
    <w:rsid w:val="004E5A60"/>
    <w:rsid w:val="004E5B43"/>
    <w:rsid w:val="004E6233"/>
    <w:rsid w:val="004E7886"/>
    <w:rsid w:val="004F0C00"/>
    <w:rsid w:val="004F0FD0"/>
    <w:rsid w:val="004F465E"/>
    <w:rsid w:val="004F7117"/>
    <w:rsid w:val="00501D01"/>
    <w:rsid w:val="00502E28"/>
    <w:rsid w:val="00503D01"/>
    <w:rsid w:val="00506892"/>
    <w:rsid w:val="00515E4C"/>
    <w:rsid w:val="00517125"/>
    <w:rsid w:val="00521941"/>
    <w:rsid w:val="00522571"/>
    <w:rsid w:val="00535AA9"/>
    <w:rsid w:val="005421A6"/>
    <w:rsid w:val="005477E7"/>
    <w:rsid w:val="00547C5A"/>
    <w:rsid w:val="00550575"/>
    <w:rsid w:val="00553031"/>
    <w:rsid w:val="00553CFC"/>
    <w:rsid w:val="00554EA8"/>
    <w:rsid w:val="00555313"/>
    <w:rsid w:val="005607BD"/>
    <w:rsid w:val="00561A7F"/>
    <w:rsid w:val="00564133"/>
    <w:rsid w:val="00564D23"/>
    <w:rsid w:val="0056606F"/>
    <w:rsid w:val="00566DBB"/>
    <w:rsid w:val="00566F7F"/>
    <w:rsid w:val="00567934"/>
    <w:rsid w:val="00567AE1"/>
    <w:rsid w:val="005719BA"/>
    <w:rsid w:val="00571F41"/>
    <w:rsid w:val="0058288A"/>
    <w:rsid w:val="00582C1C"/>
    <w:rsid w:val="005847AD"/>
    <w:rsid w:val="00586D87"/>
    <w:rsid w:val="00590742"/>
    <w:rsid w:val="00592838"/>
    <w:rsid w:val="00594033"/>
    <w:rsid w:val="00594442"/>
    <w:rsid w:val="005960B1"/>
    <w:rsid w:val="00596D86"/>
    <w:rsid w:val="00597811"/>
    <w:rsid w:val="00597B3C"/>
    <w:rsid w:val="005A4B8E"/>
    <w:rsid w:val="005A7C07"/>
    <w:rsid w:val="005A7F22"/>
    <w:rsid w:val="005B1926"/>
    <w:rsid w:val="005B3E46"/>
    <w:rsid w:val="005B5242"/>
    <w:rsid w:val="005B623F"/>
    <w:rsid w:val="005C0AAF"/>
    <w:rsid w:val="005C1421"/>
    <w:rsid w:val="005C26DD"/>
    <w:rsid w:val="005C4C1F"/>
    <w:rsid w:val="005D07D5"/>
    <w:rsid w:val="005D101E"/>
    <w:rsid w:val="005D2222"/>
    <w:rsid w:val="005D648B"/>
    <w:rsid w:val="005E1F0B"/>
    <w:rsid w:val="005E2551"/>
    <w:rsid w:val="005E5D1F"/>
    <w:rsid w:val="005E6676"/>
    <w:rsid w:val="005F3C2D"/>
    <w:rsid w:val="005F6524"/>
    <w:rsid w:val="005F7590"/>
    <w:rsid w:val="006023D3"/>
    <w:rsid w:val="00605832"/>
    <w:rsid w:val="006062AF"/>
    <w:rsid w:val="006064B8"/>
    <w:rsid w:val="00606873"/>
    <w:rsid w:val="00610E17"/>
    <w:rsid w:val="00611451"/>
    <w:rsid w:val="00612829"/>
    <w:rsid w:val="00612D48"/>
    <w:rsid w:val="00613EA0"/>
    <w:rsid w:val="00614810"/>
    <w:rsid w:val="0061519F"/>
    <w:rsid w:val="00615E37"/>
    <w:rsid w:val="006161F9"/>
    <w:rsid w:val="00616451"/>
    <w:rsid w:val="00616B45"/>
    <w:rsid w:val="0061785D"/>
    <w:rsid w:val="00622B21"/>
    <w:rsid w:val="0063008E"/>
    <w:rsid w:val="006376E8"/>
    <w:rsid w:val="006402CD"/>
    <w:rsid w:val="00640771"/>
    <w:rsid w:val="00640B9E"/>
    <w:rsid w:val="00642851"/>
    <w:rsid w:val="006439EC"/>
    <w:rsid w:val="00643DCC"/>
    <w:rsid w:val="00650AAB"/>
    <w:rsid w:val="0065276A"/>
    <w:rsid w:val="00653701"/>
    <w:rsid w:val="00653D83"/>
    <w:rsid w:val="006554AD"/>
    <w:rsid w:val="00655A99"/>
    <w:rsid w:val="00656EB0"/>
    <w:rsid w:val="00657270"/>
    <w:rsid w:val="00660A1D"/>
    <w:rsid w:val="0066143D"/>
    <w:rsid w:val="0066166E"/>
    <w:rsid w:val="006627BE"/>
    <w:rsid w:val="00663EAA"/>
    <w:rsid w:val="00664ADC"/>
    <w:rsid w:val="00667368"/>
    <w:rsid w:val="00670388"/>
    <w:rsid w:val="0067045F"/>
    <w:rsid w:val="006717FE"/>
    <w:rsid w:val="00672E60"/>
    <w:rsid w:val="006739B9"/>
    <w:rsid w:val="00674348"/>
    <w:rsid w:val="00674982"/>
    <w:rsid w:val="00674F49"/>
    <w:rsid w:val="006774A9"/>
    <w:rsid w:val="0068329E"/>
    <w:rsid w:val="006841F3"/>
    <w:rsid w:val="00685457"/>
    <w:rsid w:val="006866E6"/>
    <w:rsid w:val="0068780D"/>
    <w:rsid w:val="00687820"/>
    <w:rsid w:val="00691265"/>
    <w:rsid w:val="006A1801"/>
    <w:rsid w:val="006A3F25"/>
    <w:rsid w:val="006A4BB1"/>
    <w:rsid w:val="006A5F9F"/>
    <w:rsid w:val="006A6D8B"/>
    <w:rsid w:val="006B1512"/>
    <w:rsid w:val="006B21E5"/>
    <w:rsid w:val="006B2AA9"/>
    <w:rsid w:val="006B3F56"/>
    <w:rsid w:val="006B4590"/>
    <w:rsid w:val="006B4D98"/>
    <w:rsid w:val="006B50BB"/>
    <w:rsid w:val="006B7E22"/>
    <w:rsid w:val="006C10E2"/>
    <w:rsid w:val="006C340C"/>
    <w:rsid w:val="006C4127"/>
    <w:rsid w:val="006C494D"/>
    <w:rsid w:val="006C6333"/>
    <w:rsid w:val="006D250F"/>
    <w:rsid w:val="006D3160"/>
    <w:rsid w:val="006D49EF"/>
    <w:rsid w:val="006D5D5A"/>
    <w:rsid w:val="006D6835"/>
    <w:rsid w:val="006E08A9"/>
    <w:rsid w:val="006E1E19"/>
    <w:rsid w:val="006E490E"/>
    <w:rsid w:val="006F0F94"/>
    <w:rsid w:val="006F2290"/>
    <w:rsid w:val="006F49D0"/>
    <w:rsid w:val="006F5961"/>
    <w:rsid w:val="006F6C94"/>
    <w:rsid w:val="006F7928"/>
    <w:rsid w:val="0070048A"/>
    <w:rsid w:val="0070347C"/>
    <w:rsid w:val="007044A9"/>
    <w:rsid w:val="007046B2"/>
    <w:rsid w:val="007061D7"/>
    <w:rsid w:val="00712710"/>
    <w:rsid w:val="00715454"/>
    <w:rsid w:val="00715F02"/>
    <w:rsid w:val="0071730A"/>
    <w:rsid w:val="0071768F"/>
    <w:rsid w:val="007207DC"/>
    <w:rsid w:val="00720F76"/>
    <w:rsid w:val="007245EE"/>
    <w:rsid w:val="007254A0"/>
    <w:rsid w:val="00726839"/>
    <w:rsid w:val="00731266"/>
    <w:rsid w:val="007313FC"/>
    <w:rsid w:val="0073288D"/>
    <w:rsid w:val="00735F00"/>
    <w:rsid w:val="007369C6"/>
    <w:rsid w:val="00737359"/>
    <w:rsid w:val="00737C2F"/>
    <w:rsid w:val="00740813"/>
    <w:rsid w:val="007453CF"/>
    <w:rsid w:val="0074629B"/>
    <w:rsid w:val="007466DB"/>
    <w:rsid w:val="00751F84"/>
    <w:rsid w:val="007528B4"/>
    <w:rsid w:val="007536D4"/>
    <w:rsid w:val="00754901"/>
    <w:rsid w:val="007551BA"/>
    <w:rsid w:val="007552B8"/>
    <w:rsid w:val="00757464"/>
    <w:rsid w:val="00757B26"/>
    <w:rsid w:val="007602DF"/>
    <w:rsid w:val="00762A84"/>
    <w:rsid w:val="00762C70"/>
    <w:rsid w:val="007635AB"/>
    <w:rsid w:val="00763814"/>
    <w:rsid w:val="00765A06"/>
    <w:rsid w:val="0076635A"/>
    <w:rsid w:val="0077006E"/>
    <w:rsid w:val="0078092A"/>
    <w:rsid w:val="007815F2"/>
    <w:rsid w:val="00782899"/>
    <w:rsid w:val="0078323B"/>
    <w:rsid w:val="00790CB4"/>
    <w:rsid w:val="00792831"/>
    <w:rsid w:val="00792BD7"/>
    <w:rsid w:val="00794671"/>
    <w:rsid w:val="00796FE0"/>
    <w:rsid w:val="00797129"/>
    <w:rsid w:val="007A3650"/>
    <w:rsid w:val="007A4AD3"/>
    <w:rsid w:val="007A7485"/>
    <w:rsid w:val="007B1E94"/>
    <w:rsid w:val="007B2BC5"/>
    <w:rsid w:val="007B32D0"/>
    <w:rsid w:val="007B3D13"/>
    <w:rsid w:val="007B4AD1"/>
    <w:rsid w:val="007B6214"/>
    <w:rsid w:val="007C35EB"/>
    <w:rsid w:val="007C4ACF"/>
    <w:rsid w:val="007C7B2D"/>
    <w:rsid w:val="007D04C2"/>
    <w:rsid w:val="007D1CCF"/>
    <w:rsid w:val="007D20E7"/>
    <w:rsid w:val="007D2802"/>
    <w:rsid w:val="007D30F7"/>
    <w:rsid w:val="007D3EB1"/>
    <w:rsid w:val="007D4642"/>
    <w:rsid w:val="007D5FF1"/>
    <w:rsid w:val="007E16A0"/>
    <w:rsid w:val="007E1FEB"/>
    <w:rsid w:val="007E20A2"/>
    <w:rsid w:val="007E24B5"/>
    <w:rsid w:val="007E3133"/>
    <w:rsid w:val="007E4525"/>
    <w:rsid w:val="007E49FD"/>
    <w:rsid w:val="007E6578"/>
    <w:rsid w:val="007F242F"/>
    <w:rsid w:val="007F3689"/>
    <w:rsid w:val="00800107"/>
    <w:rsid w:val="008014DD"/>
    <w:rsid w:val="00801F23"/>
    <w:rsid w:val="00803B22"/>
    <w:rsid w:val="00804753"/>
    <w:rsid w:val="0080688C"/>
    <w:rsid w:val="008104D5"/>
    <w:rsid w:val="0081064C"/>
    <w:rsid w:val="00810B04"/>
    <w:rsid w:val="0081197C"/>
    <w:rsid w:val="00813998"/>
    <w:rsid w:val="00816C15"/>
    <w:rsid w:val="00821A22"/>
    <w:rsid w:val="008252D9"/>
    <w:rsid w:val="00826416"/>
    <w:rsid w:val="00826D89"/>
    <w:rsid w:val="008323F3"/>
    <w:rsid w:val="00840001"/>
    <w:rsid w:val="00840360"/>
    <w:rsid w:val="00844504"/>
    <w:rsid w:val="0084452B"/>
    <w:rsid w:val="00844595"/>
    <w:rsid w:val="00844750"/>
    <w:rsid w:val="00846E6C"/>
    <w:rsid w:val="00847ED6"/>
    <w:rsid w:val="008527DE"/>
    <w:rsid w:val="00852FE4"/>
    <w:rsid w:val="00854FA4"/>
    <w:rsid w:val="00857ED0"/>
    <w:rsid w:val="008615EF"/>
    <w:rsid w:val="00862B1A"/>
    <w:rsid w:val="00866F83"/>
    <w:rsid w:val="008675E4"/>
    <w:rsid w:val="00870002"/>
    <w:rsid w:val="0087148E"/>
    <w:rsid w:val="00873DA7"/>
    <w:rsid w:val="00876909"/>
    <w:rsid w:val="00876AD7"/>
    <w:rsid w:val="0088028D"/>
    <w:rsid w:val="00882BDE"/>
    <w:rsid w:val="0088312E"/>
    <w:rsid w:val="00883861"/>
    <w:rsid w:val="00883E6B"/>
    <w:rsid w:val="00884840"/>
    <w:rsid w:val="00884CBE"/>
    <w:rsid w:val="00887612"/>
    <w:rsid w:val="00887E1C"/>
    <w:rsid w:val="0089161E"/>
    <w:rsid w:val="008916E3"/>
    <w:rsid w:val="008920AE"/>
    <w:rsid w:val="008921DD"/>
    <w:rsid w:val="0089241A"/>
    <w:rsid w:val="008929AF"/>
    <w:rsid w:val="0089584B"/>
    <w:rsid w:val="0089595B"/>
    <w:rsid w:val="008A1532"/>
    <w:rsid w:val="008A3B93"/>
    <w:rsid w:val="008A3BD0"/>
    <w:rsid w:val="008A6B7A"/>
    <w:rsid w:val="008A777C"/>
    <w:rsid w:val="008B0CFA"/>
    <w:rsid w:val="008B0F2C"/>
    <w:rsid w:val="008B1F41"/>
    <w:rsid w:val="008B3122"/>
    <w:rsid w:val="008B4356"/>
    <w:rsid w:val="008B4FB8"/>
    <w:rsid w:val="008C1210"/>
    <w:rsid w:val="008C2569"/>
    <w:rsid w:val="008C3E5F"/>
    <w:rsid w:val="008C4D15"/>
    <w:rsid w:val="008C54F3"/>
    <w:rsid w:val="008D027B"/>
    <w:rsid w:val="008D0608"/>
    <w:rsid w:val="008D5361"/>
    <w:rsid w:val="008D7E9B"/>
    <w:rsid w:val="008E1A43"/>
    <w:rsid w:val="008E2B55"/>
    <w:rsid w:val="008E30BD"/>
    <w:rsid w:val="008E379D"/>
    <w:rsid w:val="008E5B63"/>
    <w:rsid w:val="008E7F5F"/>
    <w:rsid w:val="008E7FAE"/>
    <w:rsid w:val="008F3793"/>
    <w:rsid w:val="008F4AED"/>
    <w:rsid w:val="008F4B55"/>
    <w:rsid w:val="008F4B73"/>
    <w:rsid w:val="008F59B2"/>
    <w:rsid w:val="008F631D"/>
    <w:rsid w:val="008F65B8"/>
    <w:rsid w:val="008F67B8"/>
    <w:rsid w:val="008F710B"/>
    <w:rsid w:val="008F73AA"/>
    <w:rsid w:val="008F7629"/>
    <w:rsid w:val="008F7BA9"/>
    <w:rsid w:val="008F7E5E"/>
    <w:rsid w:val="00901FAB"/>
    <w:rsid w:val="00902E6B"/>
    <w:rsid w:val="00904020"/>
    <w:rsid w:val="00904458"/>
    <w:rsid w:val="00904D26"/>
    <w:rsid w:val="00905335"/>
    <w:rsid w:val="00905A99"/>
    <w:rsid w:val="00910407"/>
    <w:rsid w:val="009114DB"/>
    <w:rsid w:val="00911BF7"/>
    <w:rsid w:val="009142B6"/>
    <w:rsid w:val="00914C53"/>
    <w:rsid w:val="00916924"/>
    <w:rsid w:val="00920683"/>
    <w:rsid w:val="00921A62"/>
    <w:rsid w:val="0092278E"/>
    <w:rsid w:val="00923848"/>
    <w:rsid w:val="0092405A"/>
    <w:rsid w:val="00925C63"/>
    <w:rsid w:val="00926BE3"/>
    <w:rsid w:val="009300BB"/>
    <w:rsid w:val="00930310"/>
    <w:rsid w:val="00930EE2"/>
    <w:rsid w:val="009329A3"/>
    <w:rsid w:val="009336D9"/>
    <w:rsid w:val="0093511A"/>
    <w:rsid w:val="00937C33"/>
    <w:rsid w:val="00942942"/>
    <w:rsid w:val="0094406D"/>
    <w:rsid w:val="00954596"/>
    <w:rsid w:val="0096038A"/>
    <w:rsid w:val="009623A8"/>
    <w:rsid w:val="0096364C"/>
    <w:rsid w:val="00964A4F"/>
    <w:rsid w:val="00965031"/>
    <w:rsid w:val="0096714A"/>
    <w:rsid w:val="009725E4"/>
    <w:rsid w:val="00977B83"/>
    <w:rsid w:val="00977EC8"/>
    <w:rsid w:val="009805E9"/>
    <w:rsid w:val="00985573"/>
    <w:rsid w:val="00986B38"/>
    <w:rsid w:val="00986EAD"/>
    <w:rsid w:val="009878D0"/>
    <w:rsid w:val="009948F3"/>
    <w:rsid w:val="00994FFB"/>
    <w:rsid w:val="00995DC6"/>
    <w:rsid w:val="00997E51"/>
    <w:rsid w:val="009A127E"/>
    <w:rsid w:val="009A323C"/>
    <w:rsid w:val="009A39D7"/>
    <w:rsid w:val="009A3F55"/>
    <w:rsid w:val="009A4C26"/>
    <w:rsid w:val="009A5A85"/>
    <w:rsid w:val="009A5B3C"/>
    <w:rsid w:val="009A7A2B"/>
    <w:rsid w:val="009A7D11"/>
    <w:rsid w:val="009A7D18"/>
    <w:rsid w:val="009B04A7"/>
    <w:rsid w:val="009B0C5C"/>
    <w:rsid w:val="009B1B5A"/>
    <w:rsid w:val="009B48E5"/>
    <w:rsid w:val="009B4A17"/>
    <w:rsid w:val="009B4EC0"/>
    <w:rsid w:val="009C5F47"/>
    <w:rsid w:val="009C5FD9"/>
    <w:rsid w:val="009D3A8C"/>
    <w:rsid w:val="009D406E"/>
    <w:rsid w:val="009D44E9"/>
    <w:rsid w:val="009E27ED"/>
    <w:rsid w:val="009E763E"/>
    <w:rsid w:val="009E7956"/>
    <w:rsid w:val="009F2FF3"/>
    <w:rsid w:val="009F34AC"/>
    <w:rsid w:val="009F3D97"/>
    <w:rsid w:val="009F43A5"/>
    <w:rsid w:val="009F62D3"/>
    <w:rsid w:val="009F6DF5"/>
    <w:rsid w:val="00A02876"/>
    <w:rsid w:val="00A02BBF"/>
    <w:rsid w:val="00A032BD"/>
    <w:rsid w:val="00A03715"/>
    <w:rsid w:val="00A043DF"/>
    <w:rsid w:val="00A05F3E"/>
    <w:rsid w:val="00A12422"/>
    <w:rsid w:val="00A13A4F"/>
    <w:rsid w:val="00A13EB2"/>
    <w:rsid w:val="00A14315"/>
    <w:rsid w:val="00A1453B"/>
    <w:rsid w:val="00A17032"/>
    <w:rsid w:val="00A176FA"/>
    <w:rsid w:val="00A17AF8"/>
    <w:rsid w:val="00A238DE"/>
    <w:rsid w:val="00A2492E"/>
    <w:rsid w:val="00A26428"/>
    <w:rsid w:val="00A26F65"/>
    <w:rsid w:val="00A26FC4"/>
    <w:rsid w:val="00A354DA"/>
    <w:rsid w:val="00A40856"/>
    <w:rsid w:val="00A41FCA"/>
    <w:rsid w:val="00A456FD"/>
    <w:rsid w:val="00A45D41"/>
    <w:rsid w:val="00A46762"/>
    <w:rsid w:val="00A51440"/>
    <w:rsid w:val="00A524A8"/>
    <w:rsid w:val="00A63BBD"/>
    <w:rsid w:val="00A63E42"/>
    <w:rsid w:val="00A648DD"/>
    <w:rsid w:val="00A67075"/>
    <w:rsid w:val="00A674D3"/>
    <w:rsid w:val="00A72CC3"/>
    <w:rsid w:val="00A7359E"/>
    <w:rsid w:val="00A7552E"/>
    <w:rsid w:val="00A819D4"/>
    <w:rsid w:val="00A8374C"/>
    <w:rsid w:val="00A83C99"/>
    <w:rsid w:val="00A86ECC"/>
    <w:rsid w:val="00A913BD"/>
    <w:rsid w:val="00A9481A"/>
    <w:rsid w:val="00A954DF"/>
    <w:rsid w:val="00AA12F3"/>
    <w:rsid w:val="00AA278D"/>
    <w:rsid w:val="00AA3702"/>
    <w:rsid w:val="00AB4A01"/>
    <w:rsid w:val="00AB685D"/>
    <w:rsid w:val="00AB7B0B"/>
    <w:rsid w:val="00AC05B5"/>
    <w:rsid w:val="00AC069F"/>
    <w:rsid w:val="00AC268E"/>
    <w:rsid w:val="00AC47AD"/>
    <w:rsid w:val="00AC5C88"/>
    <w:rsid w:val="00AC7977"/>
    <w:rsid w:val="00AD02A4"/>
    <w:rsid w:val="00AD2207"/>
    <w:rsid w:val="00AD4952"/>
    <w:rsid w:val="00AD5349"/>
    <w:rsid w:val="00AD535F"/>
    <w:rsid w:val="00AE1101"/>
    <w:rsid w:val="00AE2304"/>
    <w:rsid w:val="00AE352C"/>
    <w:rsid w:val="00AE5C9A"/>
    <w:rsid w:val="00AE631F"/>
    <w:rsid w:val="00AF0B9D"/>
    <w:rsid w:val="00AF0DB0"/>
    <w:rsid w:val="00AF1AAF"/>
    <w:rsid w:val="00AF7497"/>
    <w:rsid w:val="00AF7EA3"/>
    <w:rsid w:val="00B036C6"/>
    <w:rsid w:val="00B1197E"/>
    <w:rsid w:val="00B12F0F"/>
    <w:rsid w:val="00B12FB0"/>
    <w:rsid w:val="00B150B9"/>
    <w:rsid w:val="00B156E9"/>
    <w:rsid w:val="00B20A56"/>
    <w:rsid w:val="00B20CDB"/>
    <w:rsid w:val="00B22E1C"/>
    <w:rsid w:val="00B24018"/>
    <w:rsid w:val="00B26A3B"/>
    <w:rsid w:val="00B26E71"/>
    <w:rsid w:val="00B27793"/>
    <w:rsid w:val="00B3142C"/>
    <w:rsid w:val="00B32AA5"/>
    <w:rsid w:val="00B32E2D"/>
    <w:rsid w:val="00B349C1"/>
    <w:rsid w:val="00B354CD"/>
    <w:rsid w:val="00B365C1"/>
    <w:rsid w:val="00B3746A"/>
    <w:rsid w:val="00B40711"/>
    <w:rsid w:val="00B43034"/>
    <w:rsid w:val="00B44302"/>
    <w:rsid w:val="00B467A1"/>
    <w:rsid w:val="00B52165"/>
    <w:rsid w:val="00B527B9"/>
    <w:rsid w:val="00B57258"/>
    <w:rsid w:val="00B6136D"/>
    <w:rsid w:val="00B6140E"/>
    <w:rsid w:val="00B61897"/>
    <w:rsid w:val="00B61990"/>
    <w:rsid w:val="00B632CF"/>
    <w:rsid w:val="00B668FA"/>
    <w:rsid w:val="00B67FDA"/>
    <w:rsid w:val="00B700A4"/>
    <w:rsid w:val="00B7541B"/>
    <w:rsid w:val="00B82901"/>
    <w:rsid w:val="00B84870"/>
    <w:rsid w:val="00B871BA"/>
    <w:rsid w:val="00B875CF"/>
    <w:rsid w:val="00B8771E"/>
    <w:rsid w:val="00B8782C"/>
    <w:rsid w:val="00B91738"/>
    <w:rsid w:val="00B9177C"/>
    <w:rsid w:val="00B92CFF"/>
    <w:rsid w:val="00B9642C"/>
    <w:rsid w:val="00B9667C"/>
    <w:rsid w:val="00BA28E6"/>
    <w:rsid w:val="00BA6AD6"/>
    <w:rsid w:val="00BA75F2"/>
    <w:rsid w:val="00BB12F3"/>
    <w:rsid w:val="00BB4395"/>
    <w:rsid w:val="00BB49FC"/>
    <w:rsid w:val="00BB5AF6"/>
    <w:rsid w:val="00BB7B6F"/>
    <w:rsid w:val="00BC0B0D"/>
    <w:rsid w:val="00BC1067"/>
    <w:rsid w:val="00BC3309"/>
    <w:rsid w:val="00BC5EA1"/>
    <w:rsid w:val="00BC665C"/>
    <w:rsid w:val="00BD03FC"/>
    <w:rsid w:val="00BD29E7"/>
    <w:rsid w:val="00BE020F"/>
    <w:rsid w:val="00BE0BF1"/>
    <w:rsid w:val="00BE28D3"/>
    <w:rsid w:val="00BE38D5"/>
    <w:rsid w:val="00BE5D7E"/>
    <w:rsid w:val="00BE6020"/>
    <w:rsid w:val="00BE624E"/>
    <w:rsid w:val="00BE6FC4"/>
    <w:rsid w:val="00BE7249"/>
    <w:rsid w:val="00BF0556"/>
    <w:rsid w:val="00BF0CEE"/>
    <w:rsid w:val="00BF1856"/>
    <w:rsid w:val="00BF311C"/>
    <w:rsid w:val="00BF44E3"/>
    <w:rsid w:val="00BF49F5"/>
    <w:rsid w:val="00BF5315"/>
    <w:rsid w:val="00BF7D60"/>
    <w:rsid w:val="00C00D4D"/>
    <w:rsid w:val="00C01CF9"/>
    <w:rsid w:val="00C127ED"/>
    <w:rsid w:val="00C15359"/>
    <w:rsid w:val="00C160A3"/>
    <w:rsid w:val="00C21812"/>
    <w:rsid w:val="00C2529C"/>
    <w:rsid w:val="00C261F8"/>
    <w:rsid w:val="00C271B9"/>
    <w:rsid w:val="00C2730F"/>
    <w:rsid w:val="00C27698"/>
    <w:rsid w:val="00C3506A"/>
    <w:rsid w:val="00C355AC"/>
    <w:rsid w:val="00C360FD"/>
    <w:rsid w:val="00C43C87"/>
    <w:rsid w:val="00C44857"/>
    <w:rsid w:val="00C508DE"/>
    <w:rsid w:val="00C51B2C"/>
    <w:rsid w:val="00C61D56"/>
    <w:rsid w:val="00C62E2E"/>
    <w:rsid w:val="00C63807"/>
    <w:rsid w:val="00C67D21"/>
    <w:rsid w:val="00C717E0"/>
    <w:rsid w:val="00C73412"/>
    <w:rsid w:val="00C7426D"/>
    <w:rsid w:val="00C75AA0"/>
    <w:rsid w:val="00C76468"/>
    <w:rsid w:val="00C76BF9"/>
    <w:rsid w:val="00C817B6"/>
    <w:rsid w:val="00C84653"/>
    <w:rsid w:val="00C846A7"/>
    <w:rsid w:val="00C853E1"/>
    <w:rsid w:val="00C85737"/>
    <w:rsid w:val="00C8606D"/>
    <w:rsid w:val="00C91283"/>
    <w:rsid w:val="00C918D2"/>
    <w:rsid w:val="00C919C6"/>
    <w:rsid w:val="00C93CE0"/>
    <w:rsid w:val="00CA2110"/>
    <w:rsid w:val="00CA6C2C"/>
    <w:rsid w:val="00CA6DB0"/>
    <w:rsid w:val="00CA7F3D"/>
    <w:rsid w:val="00CC02D7"/>
    <w:rsid w:val="00CC4474"/>
    <w:rsid w:val="00CD17F3"/>
    <w:rsid w:val="00CD1A71"/>
    <w:rsid w:val="00CD1FBB"/>
    <w:rsid w:val="00CD523B"/>
    <w:rsid w:val="00CD6BDD"/>
    <w:rsid w:val="00CE25CF"/>
    <w:rsid w:val="00CE2915"/>
    <w:rsid w:val="00CE2A9C"/>
    <w:rsid w:val="00CE4D2A"/>
    <w:rsid w:val="00CE54BD"/>
    <w:rsid w:val="00CE5AFE"/>
    <w:rsid w:val="00CF6D95"/>
    <w:rsid w:val="00CF7326"/>
    <w:rsid w:val="00CF79E6"/>
    <w:rsid w:val="00D016B5"/>
    <w:rsid w:val="00D034F1"/>
    <w:rsid w:val="00D04385"/>
    <w:rsid w:val="00D05083"/>
    <w:rsid w:val="00D06946"/>
    <w:rsid w:val="00D06F00"/>
    <w:rsid w:val="00D10380"/>
    <w:rsid w:val="00D11EE9"/>
    <w:rsid w:val="00D13022"/>
    <w:rsid w:val="00D231A4"/>
    <w:rsid w:val="00D23EDA"/>
    <w:rsid w:val="00D247A2"/>
    <w:rsid w:val="00D2560B"/>
    <w:rsid w:val="00D266FC"/>
    <w:rsid w:val="00D272FE"/>
    <w:rsid w:val="00D27D5E"/>
    <w:rsid w:val="00D3496E"/>
    <w:rsid w:val="00D34FF0"/>
    <w:rsid w:val="00D37CB8"/>
    <w:rsid w:val="00D414C5"/>
    <w:rsid w:val="00D42E42"/>
    <w:rsid w:val="00D44ECE"/>
    <w:rsid w:val="00D50350"/>
    <w:rsid w:val="00D50943"/>
    <w:rsid w:val="00D51910"/>
    <w:rsid w:val="00D52A8A"/>
    <w:rsid w:val="00D53DC2"/>
    <w:rsid w:val="00D54C62"/>
    <w:rsid w:val="00D55467"/>
    <w:rsid w:val="00D57AAE"/>
    <w:rsid w:val="00D62346"/>
    <w:rsid w:val="00D6416D"/>
    <w:rsid w:val="00D641FB"/>
    <w:rsid w:val="00D64458"/>
    <w:rsid w:val="00D6483D"/>
    <w:rsid w:val="00D64EB6"/>
    <w:rsid w:val="00D65327"/>
    <w:rsid w:val="00D72E7E"/>
    <w:rsid w:val="00D77D2C"/>
    <w:rsid w:val="00D871C3"/>
    <w:rsid w:val="00D900F1"/>
    <w:rsid w:val="00D90755"/>
    <w:rsid w:val="00D92DD6"/>
    <w:rsid w:val="00D970E7"/>
    <w:rsid w:val="00DA019B"/>
    <w:rsid w:val="00DA35AD"/>
    <w:rsid w:val="00DA39E2"/>
    <w:rsid w:val="00DA7007"/>
    <w:rsid w:val="00DB273B"/>
    <w:rsid w:val="00DB2EA2"/>
    <w:rsid w:val="00DB3485"/>
    <w:rsid w:val="00DB3D16"/>
    <w:rsid w:val="00DB5150"/>
    <w:rsid w:val="00DB6314"/>
    <w:rsid w:val="00DB7060"/>
    <w:rsid w:val="00DC430A"/>
    <w:rsid w:val="00DC4A88"/>
    <w:rsid w:val="00DC5016"/>
    <w:rsid w:val="00DD3CEC"/>
    <w:rsid w:val="00DD6110"/>
    <w:rsid w:val="00DD7395"/>
    <w:rsid w:val="00DE0B5B"/>
    <w:rsid w:val="00DE2AF1"/>
    <w:rsid w:val="00DE443F"/>
    <w:rsid w:val="00DE52DB"/>
    <w:rsid w:val="00DE6D90"/>
    <w:rsid w:val="00DE6EFF"/>
    <w:rsid w:val="00DF002F"/>
    <w:rsid w:val="00DF0881"/>
    <w:rsid w:val="00DF32FC"/>
    <w:rsid w:val="00DF37CC"/>
    <w:rsid w:val="00E0157F"/>
    <w:rsid w:val="00E0244D"/>
    <w:rsid w:val="00E02595"/>
    <w:rsid w:val="00E02B63"/>
    <w:rsid w:val="00E03D57"/>
    <w:rsid w:val="00E05A10"/>
    <w:rsid w:val="00E05E36"/>
    <w:rsid w:val="00E0614E"/>
    <w:rsid w:val="00E10BF3"/>
    <w:rsid w:val="00E127BC"/>
    <w:rsid w:val="00E12B71"/>
    <w:rsid w:val="00E138B8"/>
    <w:rsid w:val="00E13F39"/>
    <w:rsid w:val="00E1490E"/>
    <w:rsid w:val="00E15DCA"/>
    <w:rsid w:val="00E1759D"/>
    <w:rsid w:val="00E177C5"/>
    <w:rsid w:val="00E2276B"/>
    <w:rsid w:val="00E22E96"/>
    <w:rsid w:val="00E23FDC"/>
    <w:rsid w:val="00E2499C"/>
    <w:rsid w:val="00E3042E"/>
    <w:rsid w:val="00E35E04"/>
    <w:rsid w:val="00E363DE"/>
    <w:rsid w:val="00E37214"/>
    <w:rsid w:val="00E4181E"/>
    <w:rsid w:val="00E42E8C"/>
    <w:rsid w:val="00E42EE4"/>
    <w:rsid w:val="00E44386"/>
    <w:rsid w:val="00E47B1D"/>
    <w:rsid w:val="00E53A1D"/>
    <w:rsid w:val="00E575BB"/>
    <w:rsid w:val="00E61EFE"/>
    <w:rsid w:val="00E62573"/>
    <w:rsid w:val="00E63694"/>
    <w:rsid w:val="00E64F1F"/>
    <w:rsid w:val="00E65B46"/>
    <w:rsid w:val="00E71000"/>
    <w:rsid w:val="00E71595"/>
    <w:rsid w:val="00E81E94"/>
    <w:rsid w:val="00E82607"/>
    <w:rsid w:val="00E84330"/>
    <w:rsid w:val="00E87A6A"/>
    <w:rsid w:val="00E92058"/>
    <w:rsid w:val="00E935AF"/>
    <w:rsid w:val="00E969F0"/>
    <w:rsid w:val="00E97ED9"/>
    <w:rsid w:val="00EA0AE3"/>
    <w:rsid w:val="00EA1DAA"/>
    <w:rsid w:val="00EA4E68"/>
    <w:rsid w:val="00EA7A99"/>
    <w:rsid w:val="00EB03CD"/>
    <w:rsid w:val="00EB3E1E"/>
    <w:rsid w:val="00EB3F24"/>
    <w:rsid w:val="00EB5823"/>
    <w:rsid w:val="00EC0EF9"/>
    <w:rsid w:val="00EC25CB"/>
    <w:rsid w:val="00EC2865"/>
    <w:rsid w:val="00EC4248"/>
    <w:rsid w:val="00ED01CF"/>
    <w:rsid w:val="00ED1A63"/>
    <w:rsid w:val="00ED2960"/>
    <w:rsid w:val="00ED39B1"/>
    <w:rsid w:val="00ED5D2B"/>
    <w:rsid w:val="00ED6B3A"/>
    <w:rsid w:val="00EE0D2F"/>
    <w:rsid w:val="00EE2CC8"/>
    <w:rsid w:val="00EE3781"/>
    <w:rsid w:val="00EE49EA"/>
    <w:rsid w:val="00EE4C1F"/>
    <w:rsid w:val="00EF1103"/>
    <w:rsid w:val="00EF3C59"/>
    <w:rsid w:val="00F01140"/>
    <w:rsid w:val="00F01197"/>
    <w:rsid w:val="00F04082"/>
    <w:rsid w:val="00F04766"/>
    <w:rsid w:val="00F0510B"/>
    <w:rsid w:val="00F05B09"/>
    <w:rsid w:val="00F05F63"/>
    <w:rsid w:val="00F072D0"/>
    <w:rsid w:val="00F107BD"/>
    <w:rsid w:val="00F10BD0"/>
    <w:rsid w:val="00F11D0A"/>
    <w:rsid w:val="00F1420B"/>
    <w:rsid w:val="00F16D10"/>
    <w:rsid w:val="00F16E22"/>
    <w:rsid w:val="00F215D9"/>
    <w:rsid w:val="00F21BA2"/>
    <w:rsid w:val="00F22103"/>
    <w:rsid w:val="00F224BB"/>
    <w:rsid w:val="00F235B5"/>
    <w:rsid w:val="00F24B74"/>
    <w:rsid w:val="00F25747"/>
    <w:rsid w:val="00F269FB"/>
    <w:rsid w:val="00F30C2A"/>
    <w:rsid w:val="00F313D3"/>
    <w:rsid w:val="00F33A8B"/>
    <w:rsid w:val="00F41978"/>
    <w:rsid w:val="00F42631"/>
    <w:rsid w:val="00F4311D"/>
    <w:rsid w:val="00F47287"/>
    <w:rsid w:val="00F50D9F"/>
    <w:rsid w:val="00F51154"/>
    <w:rsid w:val="00F511E2"/>
    <w:rsid w:val="00F531A7"/>
    <w:rsid w:val="00F5499B"/>
    <w:rsid w:val="00F554DC"/>
    <w:rsid w:val="00F60997"/>
    <w:rsid w:val="00F60C8B"/>
    <w:rsid w:val="00F619C7"/>
    <w:rsid w:val="00F62CC8"/>
    <w:rsid w:val="00F63238"/>
    <w:rsid w:val="00F6535C"/>
    <w:rsid w:val="00F672CF"/>
    <w:rsid w:val="00F67C03"/>
    <w:rsid w:val="00F70762"/>
    <w:rsid w:val="00F718B0"/>
    <w:rsid w:val="00F7248C"/>
    <w:rsid w:val="00F72951"/>
    <w:rsid w:val="00F74318"/>
    <w:rsid w:val="00F75221"/>
    <w:rsid w:val="00F7682D"/>
    <w:rsid w:val="00F76FCC"/>
    <w:rsid w:val="00F779F7"/>
    <w:rsid w:val="00F8087B"/>
    <w:rsid w:val="00F81E07"/>
    <w:rsid w:val="00F82049"/>
    <w:rsid w:val="00F8645D"/>
    <w:rsid w:val="00F87D46"/>
    <w:rsid w:val="00F905C7"/>
    <w:rsid w:val="00F92436"/>
    <w:rsid w:val="00F93CC9"/>
    <w:rsid w:val="00F93D8E"/>
    <w:rsid w:val="00F94EBF"/>
    <w:rsid w:val="00F95C1E"/>
    <w:rsid w:val="00F97E47"/>
    <w:rsid w:val="00FA03B7"/>
    <w:rsid w:val="00FA3B51"/>
    <w:rsid w:val="00FA5A79"/>
    <w:rsid w:val="00FA71D6"/>
    <w:rsid w:val="00FB00BE"/>
    <w:rsid w:val="00FB0BFE"/>
    <w:rsid w:val="00FB1B6E"/>
    <w:rsid w:val="00FB45D9"/>
    <w:rsid w:val="00FB462C"/>
    <w:rsid w:val="00FB4C51"/>
    <w:rsid w:val="00FB5111"/>
    <w:rsid w:val="00FB5168"/>
    <w:rsid w:val="00FB5BE5"/>
    <w:rsid w:val="00FC4661"/>
    <w:rsid w:val="00FC5C39"/>
    <w:rsid w:val="00FC6F48"/>
    <w:rsid w:val="00FC7197"/>
    <w:rsid w:val="00FD022E"/>
    <w:rsid w:val="00FD03A2"/>
    <w:rsid w:val="00FD0913"/>
    <w:rsid w:val="00FD3605"/>
    <w:rsid w:val="00FD4E38"/>
    <w:rsid w:val="00FD6102"/>
    <w:rsid w:val="00FE0ECE"/>
    <w:rsid w:val="00FE10A5"/>
    <w:rsid w:val="00FE42CA"/>
    <w:rsid w:val="00FE6962"/>
    <w:rsid w:val="00FF07B1"/>
    <w:rsid w:val="00FF13BF"/>
    <w:rsid w:val="00FF1DBD"/>
    <w:rsid w:val="00FF22C7"/>
    <w:rsid w:val="00FF2E08"/>
    <w:rsid w:val="00FF67BA"/>
    <w:rsid w:val="00FF798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E0425BE"/>
  <w15:docId w15:val="{8F82DED2-0AA2-49B2-AE75-C22BC1AF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671"/>
    <w:pPr>
      <w:suppressAutoHyphens/>
      <w:spacing w:line="240" w:lineRule="atLeast"/>
    </w:pPr>
    <w:rPr>
      <w:lang w:val="fr-CH" w:eastAsia="en-US"/>
    </w:rPr>
  </w:style>
  <w:style w:type="paragraph" w:styleId="Heading1">
    <w:name w:val="heading 1"/>
    <w:aliases w:val="Table_G"/>
    <w:basedOn w:val="SingleTxtG"/>
    <w:next w:val="SingleTxtG"/>
    <w:qFormat/>
    <w:rsid w:val="0008167F"/>
    <w:pPr>
      <w:spacing w:after="0" w:line="240" w:lineRule="auto"/>
      <w:ind w:right="0"/>
      <w:jc w:val="left"/>
      <w:outlineLvl w:val="0"/>
    </w:pPr>
  </w:style>
  <w:style w:type="paragraph" w:styleId="Heading2">
    <w:name w:val="heading 2"/>
    <w:basedOn w:val="Normal"/>
    <w:next w:val="Normal"/>
    <w:semiHidden/>
    <w:qFormat/>
    <w:rsid w:val="0008167F"/>
    <w:pPr>
      <w:spacing w:line="240" w:lineRule="auto"/>
      <w:outlineLvl w:val="1"/>
    </w:pPr>
    <w:rPr>
      <w:lang w:val="en-GB"/>
    </w:rPr>
  </w:style>
  <w:style w:type="paragraph" w:styleId="Heading3">
    <w:name w:val="heading 3"/>
    <w:basedOn w:val="Normal"/>
    <w:next w:val="Normal"/>
    <w:semiHidden/>
    <w:qFormat/>
    <w:rsid w:val="0008167F"/>
    <w:pPr>
      <w:spacing w:line="240" w:lineRule="auto"/>
      <w:outlineLvl w:val="2"/>
    </w:pPr>
    <w:rPr>
      <w:lang w:val="en-GB"/>
    </w:rPr>
  </w:style>
  <w:style w:type="paragraph" w:styleId="Heading4">
    <w:name w:val="heading 4"/>
    <w:basedOn w:val="Normal"/>
    <w:next w:val="Normal"/>
    <w:semiHidden/>
    <w:qFormat/>
    <w:rsid w:val="0008167F"/>
    <w:pPr>
      <w:spacing w:line="240" w:lineRule="auto"/>
      <w:outlineLvl w:val="3"/>
    </w:pPr>
    <w:rPr>
      <w:lang w:val="en-GB"/>
    </w:rPr>
  </w:style>
  <w:style w:type="paragraph" w:styleId="Heading5">
    <w:name w:val="heading 5"/>
    <w:basedOn w:val="Normal"/>
    <w:next w:val="Normal"/>
    <w:semiHidden/>
    <w:qFormat/>
    <w:rsid w:val="0008167F"/>
    <w:pPr>
      <w:spacing w:line="240" w:lineRule="auto"/>
      <w:outlineLvl w:val="4"/>
    </w:pPr>
    <w:rPr>
      <w:lang w:val="en-GB"/>
    </w:rPr>
  </w:style>
  <w:style w:type="paragraph" w:styleId="Heading6">
    <w:name w:val="heading 6"/>
    <w:basedOn w:val="Normal"/>
    <w:next w:val="Normal"/>
    <w:semiHidden/>
    <w:qFormat/>
    <w:rsid w:val="0008167F"/>
    <w:pPr>
      <w:spacing w:line="240" w:lineRule="auto"/>
      <w:outlineLvl w:val="5"/>
    </w:pPr>
    <w:rPr>
      <w:lang w:val="en-GB"/>
    </w:rPr>
  </w:style>
  <w:style w:type="paragraph" w:styleId="Heading7">
    <w:name w:val="heading 7"/>
    <w:basedOn w:val="Normal"/>
    <w:next w:val="Normal"/>
    <w:semiHidden/>
    <w:qFormat/>
    <w:rsid w:val="0008167F"/>
    <w:pPr>
      <w:spacing w:line="240" w:lineRule="auto"/>
      <w:outlineLvl w:val="6"/>
    </w:pPr>
    <w:rPr>
      <w:lang w:val="en-GB"/>
    </w:rPr>
  </w:style>
  <w:style w:type="paragraph" w:styleId="Heading8">
    <w:name w:val="heading 8"/>
    <w:basedOn w:val="Normal"/>
    <w:next w:val="Normal"/>
    <w:semiHidden/>
    <w:qFormat/>
    <w:rsid w:val="0008167F"/>
    <w:pPr>
      <w:spacing w:line="240" w:lineRule="auto"/>
      <w:outlineLvl w:val="7"/>
    </w:pPr>
    <w:rPr>
      <w:lang w:val="en-GB"/>
    </w:rPr>
  </w:style>
  <w:style w:type="paragraph" w:styleId="Heading9">
    <w:name w:val="heading 9"/>
    <w:basedOn w:val="Normal"/>
    <w:next w:val="Normal"/>
    <w:semiHidden/>
    <w:qFormat/>
    <w:rsid w:val="0008167F"/>
    <w:pPr>
      <w:spacing w:line="240" w:lineRule="auto"/>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794671"/>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794671"/>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08167F"/>
    <w:pPr>
      <w:keepNext/>
      <w:keepLines/>
      <w:tabs>
        <w:tab w:val="right" w:pos="851"/>
      </w:tabs>
      <w:spacing w:before="360" w:after="240" w:line="270" w:lineRule="exact"/>
      <w:ind w:left="1134" w:right="1134" w:hanging="1134"/>
    </w:pPr>
    <w:rPr>
      <w:b/>
      <w:sz w:val="24"/>
      <w:lang w:val="en-GB"/>
    </w:rPr>
  </w:style>
  <w:style w:type="paragraph" w:customStyle="1" w:styleId="H23G">
    <w:name w:val="_ H_2/3_G"/>
    <w:basedOn w:val="Normal"/>
    <w:next w:val="Normal"/>
    <w:qFormat/>
    <w:rsid w:val="00794671"/>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794671"/>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794671"/>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794671"/>
    <w:pPr>
      <w:spacing w:after="120"/>
      <w:ind w:left="1134" w:right="1134"/>
      <w:jc w:val="both"/>
    </w:pPr>
  </w:style>
  <w:style w:type="paragraph" w:customStyle="1" w:styleId="SLG">
    <w:name w:val="__S_L_G"/>
    <w:basedOn w:val="Normal"/>
    <w:next w:val="Normal"/>
    <w:rsid w:val="00794671"/>
    <w:pPr>
      <w:keepNext/>
      <w:keepLines/>
      <w:spacing w:before="240" w:after="240" w:line="580" w:lineRule="exact"/>
      <w:ind w:left="1134" w:right="1134"/>
    </w:pPr>
    <w:rPr>
      <w:b/>
      <w:sz w:val="56"/>
    </w:rPr>
  </w:style>
  <w:style w:type="paragraph" w:customStyle="1" w:styleId="SMG">
    <w:name w:val="__S_M_G"/>
    <w:basedOn w:val="Normal"/>
    <w:next w:val="Normal"/>
    <w:rsid w:val="00794671"/>
    <w:pPr>
      <w:keepNext/>
      <w:keepLines/>
      <w:spacing w:before="240" w:after="240" w:line="420" w:lineRule="exact"/>
      <w:ind w:left="1134" w:right="1134"/>
    </w:pPr>
    <w:rPr>
      <w:b/>
      <w:sz w:val="40"/>
    </w:rPr>
  </w:style>
  <w:style w:type="paragraph" w:customStyle="1" w:styleId="SSG">
    <w:name w:val="__S_S_G"/>
    <w:basedOn w:val="Normal"/>
    <w:next w:val="Normal"/>
    <w:rsid w:val="00794671"/>
    <w:pPr>
      <w:keepNext/>
      <w:keepLines/>
      <w:spacing w:before="240" w:after="240" w:line="300" w:lineRule="exact"/>
      <w:ind w:left="1134" w:right="1134"/>
    </w:pPr>
    <w:rPr>
      <w:b/>
      <w:sz w:val="28"/>
    </w:rPr>
  </w:style>
  <w:style w:type="paragraph" w:customStyle="1" w:styleId="XLargeG">
    <w:name w:val="__XLarge_G"/>
    <w:basedOn w:val="Normal"/>
    <w:next w:val="Normal"/>
    <w:rsid w:val="00794671"/>
    <w:pPr>
      <w:keepNext/>
      <w:keepLines/>
      <w:spacing w:before="240" w:after="240" w:line="420" w:lineRule="exact"/>
      <w:ind w:left="1134" w:right="1134"/>
    </w:pPr>
    <w:rPr>
      <w:b/>
      <w:sz w:val="40"/>
    </w:rPr>
  </w:style>
  <w:style w:type="paragraph" w:customStyle="1" w:styleId="Bullet1G">
    <w:name w:val="_Bullet 1_G"/>
    <w:basedOn w:val="Normal"/>
    <w:qFormat/>
    <w:rsid w:val="00794671"/>
    <w:pPr>
      <w:numPr>
        <w:numId w:val="22"/>
      </w:numPr>
      <w:spacing w:after="120"/>
      <w:ind w:right="1134"/>
      <w:jc w:val="both"/>
    </w:pPr>
  </w:style>
  <w:style w:type="paragraph" w:customStyle="1" w:styleId="Bullet2G">
    <w:name w:val="_Bullet 2_G"/>
    <w:basedOn w:val="Normal"/>
    <w:qFormat/>
    <w:rsid w:val="00794671"/>
    <w:pPr>
      <w:numPr>
        <w:numId w:val="23"/>
      </w:numPr>
      <w:spacing w:after="120"/>
      <w:ind w:right="1134"/>
      <w:jc w:val="both"/>
    </w:pPr>
  </w:style>
  <w:style w:type="character" w:styleId="FootnoteReference">
    <w:name w:val="footnote reference"/>
    <w:aliases w:val="4_G"/>
    <w:basedOn w:val="DefaultParagraphFont"/>
    <w:qFormat/>
    <w:rsid w:val="00F11D0A"/>
    <w:rPr>
      <w:rFonts w:ascii="Times New Roman" w:hAnsi="Times New Roman"/>
      <w:sz w:val="18"/>
      <w:vertAlign w:val="superscript"/>
      <w:lang w:val="fr-CH"/>
    </w:rPr>
  </w:style>
  <w:style w:type="character" w:styleId="EndnoteReference">
    <w:name w:val="endnote reference"/>
    <w:aliases w:val="1_G"/>
    <w:basedOn w:val="FootnoteReference"/>
    <w:qFormat/>
    <w:rsid w:val="00F11D0A"/>
    <w:rPr>
      <w:rFonts w:ascii="Times New Roman" w:hAnsi="Times New Roman"/>
      <w:sz w:val="18"/>
      <w:vertAlign w:val="superscript"/>
      <w:lang w:val="fr-CH"/>
    </w:rPr>
  </w:style>
  <w:style w:type="paragraph" w:styleId="Header">
    <w:name w:val="header"/>
    <w:aliases w:val="6_G"/>
    <w:basedOn w:val="Normal"/>
    <w:rsid w:val="0008167F"/>
    <w:pPr>
      <w:pBdr>
        <w:bottom w:val="single" w:sz="4" w:space="4" w:color="auto"/>
      </w:pBdr>
      <w:spacing w:line="240" w:lineRule="auto"/>
    </w:pPr>
    <w:rPr>
      <w:b/>
      <w:sz w:val="18"/>
      <w:lang w:val="en-GB"/>
    </w:rPr>
  </w:style>
  <w:style w:type="paragraph" w:styleId="FootnoteText">
    <w:name w:val="footnote text"/>
    <w:aliases w:val="5_G"/>
    <w:basedOn w:val="Normal"/>
    <w:link w:val="FootnoteTextChar"/>
    <w:qFormat/>
    <w:rsid w:val="00F11D0A"/>
    <w:pPr>
      <w:tabs>
        <w:tab w:val="right" w:pos="1021"/>
      </w:tabs>
      <w:kinsoku w:val="0"/>
      <w:overflowPunct w:val="0"/>
      <w:autoSpaceDE w:val="0"/>
      <w:autoSpaceDN w:val="0"/>
      <w:adjustRightInd w:val="0"/>
      <w:snapToGrid w:val="0"/>
      <w:spacing w:line="220" w:lineRule="exact"/>
      <w:ind w:left="1134" w:right="1134" w:hanging="1134"/>
    </w:pPr>
    <w:rPr>
      <w:rFonts w:eastAsiaTheme="minorEastAsia"/>
      <w:sz w:val="18"/>
      <w:lang w:eastAsia="zh-CN"/>
    </w:rPr>
  </w:style>
  <w:style w:type="paragraph" w:styleId="EndnoteText">
    <w:name w:val="endnote text"/>
    <w:aliases w:val="2_G"/>
    <w:basedOn w:val="FootnoteText"/>
    <w:qFormat/>
    <w:rsid w:val="0008167F"/>
  </w:style>
  <w:style w:type="character" w:styleId="PageNumber">
    <w:name w:val="page number"/>
    <w:aliases w:val="7_G"/>
    <w:basedOn w:val="DefaultParagraphFont"/>
    <w:qFormat/>
    <w:rsid w:val="0008167F"/>
    <w:rPr>
      <w:rFonts w:ascii="Times New Roman" w:hAnsi="Times New Roman"/>
      <w:b/>
      <w:sz w:val="18"/>
    </w:rPr>
  </w:style>
  <w:style w:type="paragraph" w:styleId="Footer">
    <w:name w:val="footer"/>
    <w:aliases w:val="3_G"/>
    <w:basedOn w:val="Normal"/>
    <w:qFormat/>
    <w:rsid w:val="0008167F"/>
    <w:pPr>
      <w:spacing w:line="240" w:lineRule="auto"/>
    </w:pPr>
    <w:rPr>
      <w:sz w:val="16"/>
      <w:lang w:val="en-GB"/>
    </w:rPr>
  </w:style>
  <w:style w:type="character" w:styleId="Hyperlink">
    <w:name w:val="Hyperlink"/>
    <w:basedOn w:val="DefaultParagraphFont"/>
    <w:uiPriority w:val="99"/>
    <w:rsid w:val="0008167F"/>
    <w:rPr>
      <w:color w:val="auto"/>
      <w:u w:val="none"/>
    </w:rPr>
  </w:style>
  <w:style w:type="character" w:styleId="FollowedHyperlink">
    <w:name w:val="FollowedHyperlink"/>
    <w:basedOn w:val="DefaultParagraphFont"/>
    <w:semiHidden/>
    <w:rsid w:val="0008167F"/>
    <w:rPr>
      <w:color w:val="auto"/>
      <w:u w:val="none"/>
    </w:rPr>
  </w:style>
  <w:style w:type="table" w:styleId="TableGrid">
    <w:name w:val="Table Grid"/>
    <w:basedOn w:val="TableNormal"/>
    <w:uiPriority w:val="39"/>
    <w:rsid w:val="0008167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BalloonText">
    <w:name w:val="Balloon Text"/>
    <w:basedOn w:val="Normal"/>
    <w:link w:val="BalloonTextChar"/>
    <w:semiHidden/>
    <w:rsid w:val="006717FE"/>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717FE"/>
    <w:rPr>
      <w:rFonts w:ascii="Tahoma" w:hAnsi="Tahoma" w:cs="Tahoma"/>
      <w:sz w:val="16"/>
      <w:szCs w:val="16"/>
      <w:lang w:val="fr-CH" w:eastAsia="en-US"/>
    </w:rPr>
  </w:style>
  <w:style w:type="paragraph" w:customStyle="1" w:styleId="ParNoG">
    <w:name w:val="_ParNo_G"/>
    <w:basedOn w:val="SingleTxtG"/>
    <w:qFormat/>
    <w:rsid w:val="007245EE"/>
    <w:pPr>
      <w:numPr>
        <w:numId w:val="24"/>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F11D0A"/>
    <w:rPr>
      <w:rFonts w:eastAsiaTheme="minorEastAsia"/>
      <w:sz w:val="18"/>
      <w:lang w:val="fr-CH" w:eastAsia="zh-CN"/>
    </w:rPr>
  </w:style>
  <w:style w:type="character" w:customStyle="1" w:styleId="SingleTxtGChar">
    <w:name w:val="_ Single Txt_G Char"/>
    <w:link w:val="SingleTxtG"/>
    <w:locked/>
    <w:rsid w:val="0089161E"/>
    <w:rPr>
      <w:lang w:val="fr-CH" w:eastAsia="en-US"/>
    </w:rPr>
  </w:style>
  <w:style w:type="character" w:styleId="CommentReference">
    <w:name w:val="annotation reference"/>
    <w:basedOn w:val="DefaultParagraphFont"/>
    <w:semiHidden/>
    <w:unhideWhenUsed/>
    <w:rsid w:val="00522571"/>
    <w:rPr>
      <w:sz w:val="16"/>
      <w:szCs w:val="16"/>
    </w:rPr>
  </w:style>
  <w:style w:type="paragraph" w:styleId="CommentText">
    <w:name w:val="annotation text"/>
    <w:basedOn w:val="Normal"/>
    <w:link w:val="CommentTextChar"/>
    <w:unhideWhenUsed/>
    <w:rsid w:val="00522571"/>
    <w:pPr>
      <w:spacing w:line="240" w:lineRule="auto"/>
    </w:pPr>
    <w:rPr>
      <w:lang w:val="fr-FR"/>
    </w:rPr>
  </w:style>
  <w:style w:type="character" w:customStyle="1" w:styleId="CommentTextChar">
    <w:name w:val="Comment Text Char"/>
    <w:basedOn w:val="DefaultParagraphFont"/>
    <w:link w:val="CommentText"/>
    <w:rsid w:val="00522571"/>
    <w:rPr>
      <w:lang w:eastAsia="en-US"/>
    </w:rPr>
  </w:style>
  <w:style w:type="paragraph" w:styleId="ListParagraph">
    <w:name w:val="List Paragraph"/>
    <w:aliases w:val="References,Liste couleur - Accent 11,Bullets,Medium Grid 1 - Accent 21,List Paragraph (numbered (a)),Numbered List Paragraph,Liste 1,List Paragraph1,List Bullet Mary,List Paragraph nowy,ReferencesCxSpLast,Texte Général,List bullet"/>
    <w:basedOn w:val="Normal"/>
    <w:link w:val="ListParagraphChar"/>
    <w:uiPriority w:val="34"/>
    <w:qFormat/>
    <w:rsid w:val="00C817B6"/>
    <w:pPr>
      <w:ind w:left="720"/>
      <w:contextualSpacing/>
    </w:pPr>
  </w:style>
  <w:style w:type="character" w:customStyle="1" w:styleId="ListParagraphChar">
    <w:name w:val="List Paragraph Char"/>
    <w:aliases w:val="References Char,Liste couleur - Accent 11 Char,Bullets Char,Medium Grid 1 - Accent 21 Char,List Paragraph (numbered (a)) Char,Numbered List Paragraph Char,Liste 1 Char,List Paragraph1 Char,List Bullet Mary Char,Texte Général Char"/>
    <w:link w:val="ListParagraph"/>
    <w:uiPriority w:val="34"/>
    <w:locked/>
    <w:rsid w:val="00D54C62"/>
    <w:rPr>
      <w:lang w:val="fr-CH" w:eastAsia="en-US"/>
    </w:rPr>
  </w:style>
  <w:style w:type="paragraph" w:styleId="CommentSubject">
    <w:name w:val="annotation subject"/>
    <w:basedOn w:val="CommentText"/>
    <w:next w:val="CommentText"/>
    <w:link w:val="CommentSubjectChar"/>
    <w:semiHidden/>
    <w:unhideWhenUsed/>
    <w:rsid w:val="00EA1DAA"/>
    <w:rPr>
      <w:b/>
      <w:bCs/>
      <w:lang w:val="fr-CH"/>
    </w:rPr>
  </w:style>
  <w:style w:type="character" w:customStyle="1" w:styleId="CommentSubjectChar">
    <w:name w:val="Comment Subject Char"/>
    <w:basedOn w:val="CommentTextChar"/>
    <w:link w:val="CommentSubject"/>
    <w:semiHidden/>
    <w:rsid w:val="00EA1DAA"/>
    <w:rPr>
      <w:b/>
      <w:bCs/>
      <w:lang w:val="fr-CH" w:eastAsia="en-US"/>
    </w:rPr>
  </w:style>
  <w:style w:type="paragraph" w:styleId="Revision">
    <w:name w:val="Revision"/>
    <w:hidden/>
    <w:uiPriority w:val="99"/>
    <w:semiHidden/>
    <w:rsid w:val="008F631D"/>
    <w:rPr>
      <w:lang w:val="fr-CH" w:eastAsia="en-US"/>
    </w:rPr>
  </w:style>
  <w:style w:type="character" w:customStyle="1" w:styleId="UnresolvedMention">
    <w:name w:val="Unresolved Mention"/>
    <w:basedOn w:val="DefaultParagraphFont"/>
    <w:uiPriority w:val="99"/>
    <w:semiHidden/>
    <w:unhideWhenUsed/>
    <w:rsid w:val="00592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undocs.org/fr/A/HRC/38/10/Add.1" TargetMode="External"/><Relationship Id="rId13" Type="http://schemas.openxmlformats.org/officeDocument/2006/relationships/hyperlink" Target="http://undocs.org/fr/A/HRC/48/68" TargetMode="External"/><Relationship Id="rId18" Type="http://schemas.openxmlformats.org/officeDocument/2006/relationships/hyperlink" Target="http://undocs.org/fr/CEDAW/C/BDI/CO/4" TargetMode="External"/><Relationship Id="rId3" Type="http://schemas.openxmlformats.org/officeDocument/2006/relationships/hyperlink" Target="http://undocs.org/fr/CCPR/C/BDI/CO/2" TargetMode="External"/><Relationship Id="rId7" Type="http://schemas.openxmlformats.org/officeDocument/2006/relationships/hyperlink" Target="http://undocs.org/fr/CCPR/C/BDI/3" TargetMode="External"/><Relationship Id="rId12" Type="http://schemas.openxmlformats.org/officeDocument/2006/relationships/hyperlink" Target="http://undocs.org/fr/A/HRC/48/60/Add.2" TargetMode="External"/><Relationship Id="rId17" Type="http://schemas.openxmlformats.org/officeDocument/2006/relationships/hyperlink" Target="http://undocs.org/fr/E/C.12/BDI/CO/1" TargetMode="External"/><Relationship Id="rId2" Type="http://schemas.openxmlformats.org/officeDocument/2006/relationships/hyperlink" Target="http://undocs.org/fr/A/HRC/48/68" TargetMode="External"/><Relationship Id="rId16" Type="http://schemas.openxmlformats.org/officeDocument/2006/relationships/hyperlink" Target="http://undocs.org/fr/A/HRC/38/10" TargetMode="External"/><Relationship Id="rId20" Type="http://schemas.openxmlformats.org/officeDocument/2006/relationships/hyperlink" Target="http://undocs.org/fr/CAT/C/BDI/CO/2/Add.1" TargetMode="External"/><Relationship Id="rId1" Type="http://schemas.openxmlformats.org/officeDocument/2006/relationships/hyperlink" Target="http://undocs.org/fr/S/2020/1078" TargetMode="External"/><Relationship Id="rId6" Type="http://schemas.openxmlformats.org/officeDocument/2006/relationships/hyperlink" Target="http://undocs.org/fr/CCPR/C/BDI/CO/2" TargetMode="External"/><Relationship Id="rId11" Type="http://schemas.openxmlformats.org/officeDocument/2006/relationships/hyperlink" Target="http://undocs.org/fr/A/HRC/38/10" TargetMode="External"/><Relationship Id="rId5" Type="http://schemas.openxmlformats.org/officeDocument/2006/relationships/hyperlink" Target="http://undocs.org/fr/A/HRC/48/68" TargetMode="External"/><Relationship Id="rId15" Type="http://schemas.openxmlformats.org/officeDocument/2006/relationships/hyperlink" Target="http://undocs.org/fr/A/HRC/38/10/Add.1" TargetMode="External"/><Relationship Id="rId10" Type="http://schemas.openxmlformats.org/officeDocument/2006/relationships/hyperlink" Target="http://undocs.org/fr/A/HRC/38/10/Add.1" TargetMode="External"/><Relationship Id="rId19" Type="http://schemas.openxmlformats.org/officeDocument/2006/relationships/hyperlink" Target="http://undocs.org/fr/S/2020/1078" TargetMode="External"/><Relationship Id="rId4" Type="http://schemas.openxmlformats.org/officeDocument/2006/relationships/hyperlink" Target="http://undocs.org/fr/A/HRC/48/68" TargetMode="External"/><Relationship Id="rId9" Type="http://schemas.openxmlformats.org/officeDocument/2006/relationships/hyperlink" Target="http://undocs.org/fr/A/HRC/38/10" TargetMode="External"/><Relationship Id="rId14" Type="http://schemas.openxmlformats.org/officeDocument/2006/relationships/hyperlink" Target="http://undocs.org/fr/A/HRC/48/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F.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B67073-ECDB-43D1-9BDE-2B0502964A0F}"/>
</file>

<file path=customXml/itemProps2.xml><?xml version="1.0" encoding="utf-8"?>
<ds:datastoreItem xmlns:ds="http://schemas.openxmlformats.org/officeDocument/2006/customXml" ds:itemID="{A295A0BC-72E2-4DA4-868D-5514BD7E5F9A}"/>
</file>

<file path=customXml/itemProps3.xml><?xml version="1.0" encoding="utf-8"?>
<ds:datastoreItem xmlns:ds="http://schemas.openxmlformats.org/officeDocument/2006/customXml" ds:itemID="{3EFDAFAA-3517-4C4A-B345-218496092FCD}"/>
</file>

<file path=customXml/itemProps4.xml><?xml version="1.0" encoding="utf-8"?>
<ds:datastoreItem xmlns:ds="http://schemas.openxmlformats.org/officeDocument/2006/customXml" ds:itemID="{AB1BFA5F-5677-406C-A6AB-AF5F820EF465}"/>
</file>

<file path=docProps/app.xml><?xml version="1.0" encoding="utf-8"?>
<Properties xmlns="http://schemas.openxmlformats.org/officeDocument/2006/extended-properties" xmlns:vt="http://schemas.openxmlformats.org/officeDocument/2006/docPropsVTypes">
  <Template>A_F.dotm</Template>
  <TotalTime>0</TotalTime>
  <Pages>19</Pages>
  <Words>9211</Words>
  <Characters>52504</Characters>
  <Application>Microsoft Office Word</Application>
  <DocSecurity>0</DocSecurity>
  <Lines>437</Lines>
  <Paragraphs>123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A/HRC/51/44</vt:lpstr>
      <vt:lpstr>A/HRC/51/44</vt:lpstr>
    </vt:vector>
  </TitlesOfParts>
  <Company>CSD</Company>
  <LinksUpToDate>false</LinksUpToDate>
  <CharactersWithSpaces>61592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A/HRC/51/44</dc:title>
  <dc:creator>RUCKEBUSCH Emeline</dc:creator>
  <cp:lastModifiedBy>Veronique Lanz</cp:lastModifiedBy>
  <cp:revision>2</cp:revision>
  <cp:lastPrinted>2008-02-01T10:36:00Z</cp:lastPrinted>
  <dcterms:created xsi:type="dcterms:W3CDTF">2022-09-14T10:07:00Z</dcterms:created>
  <dcterms:modified xsi:type="dcterms:W3CDTF">2022-09-14T10:07:00Z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