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974C0B" w14:paraId="1DE831F2" w14:textId="77777777" w:rsidTr="00C72639">
        <w:trPr>
          <w:trHeight w:val="851"/>
        </w:trPr>
        <w:tc>
          <w:tcPr>
            <w:tcW w:w="1259" w:type="dxa"/>
          </w:tcPr>
          <w:p w14:paraId="5E3726D0" w14:textId="77777777" w:rsidR="00EC2011" w:rsidRPr="00974C0B" w:rsidRDefault="00EC2011" w:rsidP="00B41EC2">
            <w:pPr>
              <w:pStyle w:val="SingleTxtG"/>
            </w:pPr>
          </w:p>
        </w:tc>
        <w:tc>
          <w:tcPr>
            <w:tcW w:w="2236" w:type="dxa"/>
            <w:vAlign w:val="bottom"/>
          </w:tcPr>
          <w:p w14:paraId="04D8E517" w14:textId="4239DAEF" w:rsidR="00EC2011" w:rsidRPr="00974C0B" w:rsidRDefault="00EC2011" w:rsidP="00B41EC2">
            <w:pPr>
              <w:spacing w:after="80" w:line="300" w:lineRule="exact"/>
              <w:rPr>
                <w:sz w:val="28"/>
                <w:szCs w:val="28"/>
              </w:rPr>
            </w:pPr>
          </w:p>
        </w:tc>
        <w:tc>
          <w:tcPr>
            <w:tcW w:w="6144" w:type="dxa"/>
            <w:gridSpan w:val="2"/>
            <w:vAlign w:val="bottom"/>
          </w:tcPr>
          <w:p w14:paraId="0FD94992" w14:textId="4090E3C8" w:rsidR="00EC2011" w:rsidRPr="00974C0B" w:rsidRDefault="00EC2011" w:rsidP="003960BE">
            <w:pPr>
              <w:spacing w:after="20" w:line="240" w:lineRule="atLeast"/>
              <w:jc w:val="right"/>
            </w:pPr>
          </w:p>
        </w:tc>
      </w:tr>
      <w:tr w:rsidR="00EC2011" w:rsidRPr="00974C0B" w14:paraId="70710D88" w14:textId="77777777" w:rsidTr="00C72639">
        <w:trPr>
          <w:trHeight w:val="2835"/>
        </w:trPr>
        <w:tc>
          <w:tcPr>
            <w:tcW w:w="1259" w:type="dxa"/>
          </w:tcPr>
          <w:p w14:paraId="6FD0C476" w14:textId="0EF0F6FC" w:rsidR="00EC2011" w:rsidRPr="00974C0B" w:rsidRDefault="00EC2011" w:rsidP="00B41EC2">
            <w:pPr>
              <w:spacing w:before="120"/>
              <w:jc w:val="center"/>
            </w:pPr>
          </w:p>
        </w:tc>
        <w:tc>
          <w:tcPr>
            <w:tcW w:w="5450" w:type="dxa"/>
            <w:gridSpan w:val="2"/>
          </w:tcPr>
          <w:p w14:paraId="370DE1DF" w14:textId="4D3FE009" w:rsidR="00EC2011" w:rsidRPr="00974C0B" w:rsidRDefault="00C72639" w:rsidP="00B41EC2">
            <w:pPr>
              <w:spacing w:before="120" w:line="420" w:lineRule="exact"/>
              <w:rPr>
                <w:b/>
                <w:sz w:val="40"/>
                <w:szCs w:val="40"/>
              </w:rPr>
            </w:pPr>
            <w:r w:rsidRPr="000A6EB2">
              <w:rPr>
                <w:noProof/>
                <w:lang w:eastAsia="en-GB"/>
              </w:rPr>
              <w:drawing>
                <wp:anchor distT="0" distB="0" distL="114300" distR="114300" simplePos="0" relativeHeight="251659264" behindDoc="0" locked="0" layoutInCell="1" allowOverlap="1" wp14:anchorId="7F55EFA3" wp14:editId="774DEE47">
                  <wp:simplePos x="0" y="0"/>
                  <wp:positionH relativeFrom="column">
                    <wp:posOffset>-397160</wp:posOffset>
                  </wp:positionH>
                  <wp:positionV relativeFrom="paragraph">
                    <wp:posOffset>15552</wp:posOffset>
                  </wp:positionV>
                  <wp:extent cx="952678" cy="787547"/>
                  <wp:effectExtent l="0" t="0" r="0" b="0"/>
                  <wp:wrapNone/>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678" cy="78754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30" w:type="dxa"/>
          </w:tcPr>
          <w:p w14:paraId="5D85C8B1" w14:textId="5B729BF6" w:rsidR="003960BE" w:rsidRPr="00974C0B" w:rsidRDefault="003960BE" w:rsidP="003960BE">
            <w:pPr>
              <w:spacing w:line="240" w:lineRule="atLeast"/>
            </w:pPr>
          </w:p>
        </w:tc>
      </w:tr>
    </w:tbl>
    <w:p w14:paraId="7A90BB51" w14:textId="0A2CA4D8" w:rsidR="00C72639" w:rsidRPr="000A6EB2" w:rsidRDefault="00C72639" w:rsidP="00C72639">
      <w:pPr>
        <w:spacing w:after="120"/>
        <w:ind w:left="567" w:right="284"/>
        <w:rPr>
          <w:b/>
          <w:bCs/>
          <w:sz w:val="32"/>
          <w:szCs w:val="32"/>
        </w:rPr>
      </w:pPr>
      <w:proofErr w:type="gramStart"/>
      <w:r w:rsidRPr="00C72639">
        <w:rPr>
          <w:b/>
          <w:bCs/>
          <w:sz w:val="32"/>
          <w:szCs w:val="32"/>
        </w:rPr>
        <w:t>49th</w:t>
      </w:r>
      <w:proofErr w:type="gramEnd"/>
      <w:r w:rsidRPr="000A6EB2">
        <w:rPr>
          <w:b/>
          <w:bCs/>
          <w:sz w:val="32"/>
          <w:szCs w:val="32"/>
        </w:rPr>
        <w:t xml:space="preserve"> Session of the Human Rights Council</w:t>
      </w:r>
    </w:p>
    <w:p w14:paraId="76E9C118" w14:textId="77777777" w:rsidR="00C72639" w:rsidRDefault="00C72639" w:rsidP="00C8054A">
      <w:pPr>
        <w:rPr>
          <w:b/>
          <w:bCs/>
        </w:rPr>
      </w:pPr>
    </w:p>
    <w:p w14:paraId="56DE2FB4" w14:textId="0EBF4715" w:rsidR="00C72639" w:rsidRPr="00C72639" w:rsidRDefault="00C72639" w:rsidP="00C72639">
      <w:pPr>
        <w:pStyle w:val="HChG"/>
        <w:suppressAutoHyphens/>
        <w:kinsoku w:val="0"/>
        <w:overflowPunct w:val="0"/>
        <w:autoSpaceDE w:val="0"/>
        <w:autoSpaceDN w:val="0"/>
        <w:adjustRightInd w:val="0"/>
        <w:snapToGrid w:val="0"/>
        <w:spacing w:before="0" w:after="120" w:line="240" w:lineRule="auto"/>
        <w:ind w:left="567" w:right="284" w:firstLine="0"/>
        <w:outlineLvl w:val="9"/>
        <w:rPr>
          <w:rFonts w:eastAsiaTheme="minorHAnsi"/>
          <w:b w:val="0"/>
          <w:bCs/>
          <w:szCs w:val="28"/>
          <w:lang w:eastAsia="en-US"/>
        </w:rPr>
      </w:pPr>
      <w:r w:rsidRPr="00C72639">
        <w:rPr>
          <w:rFonts w:eastAsiaTheme="minorHAnsi"/>
          <w:b w:val="0"/>
          <w:bCs/>
          <w:szCs w:val="28"/>
          <w:lang w:eastAsia="en-US"/>
        </w:rPr>
        <w:t>Plain English version of:</w:t>
      </w:r>
    </w:p>
    <w:p w14:paraId="2F762D34" w14:textId="5DEEC505" w:rsidR="003960BE" w:rsidRPr="00974C0B" w:rsidRDefault="003960BE" w:rsidP="00C72639">
      <w:pPr>
        <w:pStyle w:val="HChG"/>
        <w:ind w:left="567"/>
      </w:pPr>
      <w:r w:rsidRPr="00974C0B">
        <w:tab/>
      </w:r>
      <w:r w:rsidRPr="00974C0B">
        <w:tab/>
        <w:t xml:space="preserve">Normative standards and obligations under international law </w:t>
      </w:r>
      <w:r w:rsidR="009F0854">
        <w:t xml:space="preserve">about how to </w:t>
      </w:r>
      <w:r w:rsidRPr="00974C0B">
        <w:t>promot</w:t>
      </w:r>
      <w:r w:rsidR="009F0854">
        <w:t>e</w:t>
      </w:r>
      <w:r w:rsidRPr="00974C0B">
        <w:t xml:space="preserve"> and protect </w:t>
      </w:r>
      <w:r w:rsidR="00B63193">
        <w:t xml:space="preserve">older persons’ </w:t>
      </w:r>
      <w:r w:rsidRPr="00974C0B">
        <w:t>human rights</w:t>
      </w:r>
      <w:r w:rsidR="00B41EC2">
        <w:t xml:space="preserve"> (</w:t>
      </w:r>
      <w:r w:rsidR="00B41EC2" w:rsidRPr="00B41EC2">
        <w:t>A/HRC/49/70</w:t>
      </w:r>
      <w:r w:rsidR="00B41EC2">
        <w:t>)</w:t>
      </w:r>
    </w:p>
    <w:p w14:paraId="63B0E5AD" w14:textId="2195729E" w:rsidR="00C43F74" w:rsidRDefault="003960BE" w:rsidP="00C72639">
      <w:pPr>
        <w:pStyle w:val="H1G"/>
        <w:ind w:left="567"/>
        <w:rPr>
          <w:b w:val="0"/>
          <w:bCs/>
          <w:szCs w:val="24"/>
        </w:rPr>
      </w:pPr>
      <w:r w:rsidRPr="00974C0B">
        <w:tab/>
      </w:r>
      <w:r w:rsidRPr="00C72639">
        <w:rPr>
          <w:szCs w:val="24"/>
        </w:rPr>
        <w:tab/>
      </w:r>
      <w:r w:rsidRPr="00C72639">
        <w:rPr>
          <w:b w:val="0"/>
          <w:bCs/>
          <w:szCs w:val="24"/>
        </w:rPr>
        <w:t>Report of the United Nations High Commissioner for Human Rights</w:t>
      </w:r>
    </w:p>
    <w:p w14:paraId="2E654847" w14:textId="77777777" w:rsidR="0024606D" w:rsidRPr="000C2CF9" w:rsidRDefault="0024606D" w:rsidP="000C2CF9">
      <w:pPr>
        <w:ind w:left="567" w:hanging="283"/>
      </w:pPr>
    </w:p>
    <w:tbl>
      <w:tblPr>
        <w:tblStyle w:val="TableGrid"/>
        <w:tblW w:w="0" w:type="auto"/>
        <w:jc w:val="center"/>
        <w:tblCellMar>
          <w:left w:w="0" w:type="dxa"/>
          <w:right w:w="0" w:type="dxa"/>
        </w:tblCellMar>
        <w:tblLook w:val="05E0" w:firstRow="1" w:lastRow="1" w:firstColumn="1" w:lastColumn="1" w:noHBand="0" w:noVBand="1"/>
      </w:tblPr>
      <w:tblGrid>
        <w:gridCol w:w="9629"/>
      </w:tblGrid>
      <w:tr w:rsidR="00C43F74" w:rsidRPr="00974C0B" w14:paraId="7C2E2137" w14:textId="77777777" w:rsidTr="00C72639">
        <w:trPr>
          <w:jc w:val="center"/>
        </w:trPr>
        <w:tc>
          <w:tcPr>
            <w:tcW w:w="9629" w:type="dxa"/>
            <w:tcBorders>
              <w:bottom w:val="nil"/>
            </w:tcBorders>
          </w:tcPr>
          <w:p w14:paraId="34DF78E8" w14:textId="04D7082F" w:rsidR="00C43F74" w:rsidRPr="00974C0B" w:rsidRDefault="00C43F74" w:rsidP="00C72639">
            <w:pPr>
              <w:tabs>
                <w:tab w:val="left" w:pos="255"/>
              </w:tabs>
              <w:suppressAutoHyphens w:val="0"/>
              <w:spacing w:before="240" w:after="120" w:line="240" w:lineRule="atLeast"/>
              <w:ind w:left="426"/>
              <w:rPr>
                <w:sz w:val="24"/>
              </w:rPr>
            </w:pPr>
            <w:r w:rsidRPr="00974C0B">
              <w:tab/>
            </w:r>
            <w:r w:rsidR="00C72639">
              <w:rPr>
                <w:i/>
                <w:sz w:val="24"/>
              </w:rPr>
              <w:t xml:space="preserve">What is the aim of this </w:t>
            </w:r>
            <w:r w:rsidR="00D804A9">
              <w:rPr>
                <w:i/>
                <w:sz w:val="24"/>
              </w:rPr>
              <w:t>report</w:t>
            </w:r>
            <w:r w:rsidR="00C72639">
              <w:rPr>
                <w:i/>
                <w:sz w:val="24"/>
              </w:rPr>
              <w:t>?</w:t>
            </w:r>
          </w:p>
        </w:tc>
      </w:tr>
      <w:tr w:rsidR="00C43F74" w:rsidRPr="00974C0B" w14:paraId="432EC2FB" w14:textId="77777777" w:rsidTr="00C72639">
        <w:trPr>
          <w:jc w:val="center"/>
        </w:trPr>
        <w:tc>
          <w:tcPr>
            <w:tcW w:w="9629" w:type="dxa"/>
            <w:tcBorders>
              <w:top w:val="nil"/>
              <w:bottom w:val="nil"/>
            </w:tcBorders>
            <w:shd w:val="clear" w:color="auto" w:fill="auto"/>
          </w:tcPr>
          <w:p w14:paraId="040C2647" w14:textId="362B23FB" w:rsidR="00D804A9" w:rsidRDefault="00C43F74" w:rsidP="0024606D">
            <w:pPr>
              <w:pStyle w:val="SingleTxtG"/>
              <w:ind w:left="842"/>
            </w:pPr>
            <w:r w:rsidRPr="00974C0B">
              <w:t>Th</w:t>
            </w:r>
            <w:r w:rsidR="00C72639">
              <w:t>is</w:t>
            </w:r>
            <w:r w:rsidRPr="00974C0B">
              <w:t xml:space="preserve"> report</w:t>
            </w:r>
            <w:r w:rsidR="0024606D">
              <w:t xml:space="preserve"> </w:t>
            </w:r>
            <w:r w:rsidR="00670547">
              <w:t xml:space="preserve">studies the legal norms that </w:t>
            </w:r>
            <w:r w:rsidR="0024606D">
              <w:t xml:space="preserve">promote and protect </w:t>
            </w:r>
            <w:r w:rsidR="00882772" w:rsidRPr="00974C0B">
              <w:t>older persons</w:t>
            </w:r>
            <w:r w:rsidR="00882772">
              <w:t xml:space="preserve">’ </w:t>
            </w:r>
            <w:r w:rsidR="00670547">
              <w:t>human rights globally</w:t>
            </w:r>
            <w:r w:rsidRPr="00974C0B">
              <w:t xml:space="preserve">. </w:t>
            </w:r>
          </w:p>
          <w:p w14:paraId="7B70EBE7" w14:textId="65B1E4EB" w:rsidR="00D804A9" w:rsidRDefault="00D804A9" w:rsidP="00C72639">
            <w:pPr>
              <w:pStyle w:val="SingleTxtG"/>
              <w:ind w:left="567"/>
            </w:pPr>
            <w:r>
              <w:rPr>
                <w:i/>
                <w:sz w:val="24"/>
              </w:rPr>
              <w:t>What are the report’s conclusions?</w:t>
            </w:r>
          </w:p>
          <w:p w14:paraId="32AE9F84" w14:textId="10F4CD05" w:rsidR="00D804A9" w:rsidRDefault="0024606D" w:rsidP="00D804A9">
            <w:pPr>
              <w:pStyle w:val="SingleTxtG"/>
              <w:numPr>
                <w:ilvl w:val="0"/>
                <w:numId w:val="7"/>
              </w:numPr>
            </w:pPr>
            <w:r>
              <w:t>T</w:t>
            </w:r>
            <w:r w:rsidR="00C43F74" w:rsidRPr="00974C0B">
              <w:t xml:space="preserve">he current international framework provides fragmented and inconsistent coverage of </w:t>
            </w:r>
            <w:r w:rsidR="00B63193" w:rsidRPr="00974C0B">
              <w:t>older persons</w:t>
            </w:r>
            <w:r w:rsidR="00B63193">
              <w:t>’</w:t>
            </w:r>
            <w:r w:rsidR="00B63193" w:rsidRPr="00974C0B">
              <w:t xml:space="preserve"> </w:t>
            </w:r>
            <w:r w:rsidR="00C43F74" w:rsidRPr="00974C0B">
              <w:t>human rights in law and practice</w:t>
            </w:r>
            <w:r w:rsidR="006768FB">
              <w:t xml:space="preserve"> resulting in human rights protection gaps</w:t>
            </w:r>
            <w:r w:rsidR="00882772">
              <w:t>.</w:t>
            </w:r>
          </w:p>
          <w:p w14:paraId="0ADAF038" w14:textId="6C53D4E2" w:rsidR="00D804A9" w:rsidRDefault="0024606D" w:rsidP="00D804A9">
            <w:pPr>
              <w:pStyle w:val="SingleTxtG"/>
              <w:numPr>
                <w:ilvl w:val="0"/>
                <w:numId w:val="7"/>
              </w:numPr>
            </w:pPr>
            <w:r>
              <w:t xml:space="preserve">We must </w:t>
            </w:r>
            <w:r w:rsidR="00C43F74" w:rsidRPr="00974C0B">
              <w:t xml:space="preserve">move towards developing and adopting a coherent, </w:t>
            </w:r>
            <w:r w:rsidR="00D5624F" w:rsidRPr="00974C0B">
              <w:t>comprehensive,</w:t>
            </w:r>
            <w:r w:rsidR="00C43F74" w:rsidRPr="00974C0B">
              <w:t xml:space="preserve"> and integrated human rights framework</w:t>
            </w:r>
            <w:r w:rsidR="00882772">
              <w:t xml:space="preserve"> </w:t>
            </w:r>
            <w:r w:rsidR="006768FB">
              <w:t xml:space="preserve">to ensure </w:t>
            </w:r>
            <w:r w:rsidR="00882772">
              <w:t xml:space="preserve">older persons </w:t>
            </w:r>
            <w:r w:rsidR="006768FB">
              <w:t>enjoy all human rights</w:t>
            </w:r>
            <w:r w:rsidR="00D804A9">
              <w:t>.</w:t>
            </w:r>
          </w:p>
          <w:p w14:paraId="7ED0B8A2" w14:textId="1A304CB5" w:rsidR="00D804A9" w:rsidRDefault="00D804A9" w:rsidP="00D804A9">
            <w:pPr>
              <w:pStyle w:val="SingleTxtG"/>
              <w:numPr>
                <w:ilvl w:val="0"/>
                <w:numId w:val="7"/>
              </w:numPr>
            </w:pPr>
            <w:r>
              <w:t>O</w:t>
            </w:r>
            <w:r w:rsidR="00C43F74" w:rsidRPr="00974C0B">
              <w:t xml:space="preserve">lder persons’ concerns </w:t>
            </w:r>
            <w:r w:rsidR="006768FB">
              <w:t xml:space="preserve">and special requirements </w:t>
            </w:r>
            <w:r>
              <w:t xml:space="preserve">need to </w:t>
            </w:r>
            <w:proofErr w:type="gramStart"/>
            <w:r>
              <w:t xml:space="preserve">be </w:t>
            </w:r>
            <w:r w:rsidR="008B171C">
              <w:t>better</w:t>
            </w:r>
            <w:r>
              <w:t xml:space="preserve"> integrated</w:t>
            </w:r>
            <w:proofErr w:type="gramEnd"/>
            <w:r>
              <w:t xml:space="preserve"> </w:t>
            </w:r>
            <w:r w:rsidR="00C43F74" w:rsidRPr="00974C0B">
              <w:t xml:space="preserve">into the work of existing </w:t>
            </w:r>
            <w:r w:rsidR="00B41EC2">
              <w:t xml:space="preserve">human rights </w:t>
            </w:r>
            <w:r w:rsidR="00C43F74" w:rsidRPr="00974C0B">
              <w:t xml:space="preserve">mechanisms. </w:t>
            </w:r>
          </w:p>
          <w:p w14:paraId="31285838" w14:textId="7D58B3F0" w:rsidR="00D804A9" w:rsidRDefault="00D804A9" w:rsidP="00D804A9">
            <w:pPr>
              <w:pStyle w:val="SingleTxtG"/>
              <w:ind w:left="567"/>
            </w:pPr>
            <w:proofErr w:type="gramStart"/>
            <w:r>
              <w:rPr>
                <w:i/>
                <w:sz w:val="24"/>
              </w:rPr>
              <w:t>Who</w:t>
            </w:r>
            <w:proofErr w:type="gramEnd"/>
            <w:r>
              <w:rPr>
                <w:i/>
                <w:sz w:val="24"/>
              </w:rPr>
              <w:t xml:space="preserve"> is this report for?</w:t>
            </w:r>
          </w:p>
          <w:p w14:paraId="75D4AC42" w14:textId="01A8C542" w:rsidR="00D804A9" w:rsidRDefault="00C43F74" w:rsidP="00C72639">
            <w:pPr>
              <w:pStyle w:val="SingleTxtG"/>
              <w:ind w:left="567"/>
            </w:pPr>
            <w:r w:rsidRPr="00974C0B">
              <w:t>The report</w:t>
            </w:r>
            <w:r w:rsidR="0024606D">
              <w:t xml:space="preserve"> is </w:t>
            </w:r>
            <w:r w:rsidR="009F0854">
              <w:t xml:space="preserve">for </w:t>
            </w:r>
            <w:r w:rsidR="006768FB">
              <w:t xml:space="preserve">States and all </w:t>
            </w:r>
            <w:r w:rsidR="009F0854">
              <w:t>interested groups so that they</w:t>
            </w:r>
            <w:r w:rsidR="00D804A9">
              <w:t>:</w:t>
            </w:r>
            <w:r w:rsidRPr="00974C0B">
              <w:t xml:space="preserve"> </w:t>
            </w:r>
          </w:p>
          <w:p w14:paraId="10BD2485" w14:textId="42C5449D" w:rsidR="00C43F74" w:rsidRPr="00974C0B" w:rsidRDefault="004A37DD" w:rsidP="00D804A9">
            <w:pPr>
              <w:pStyle w:val="SingleTxtG"/>
              <w:numPr>
                <w:ilvl w:val="0"/>
                <w:numId w:val="8"/>
              </w:numPr>
            </w:pPr>
            <w:proofErr w:type="gramStart"/>
            <w:r>
              <w:t>are</w:t>
            </w:r>
            <w:proofErr w:type="gramEnd"/>
            <w:r>
              <w:t xml:space="preserve"> informed and </w:t>
            </w:r>
            <w:r w:rsidR="009F0854">
              <w:t xml:space="preserve">can </w:t>
            </w:r>
            <w:r w:rsidR="00C43F74" w:rsidRPr="00974C0B">
              <w:t xml:space="preserve">contribute to all relevant discussions at the national, </w:t>
            </w:r>
            <w:r w:rsidR="00D5624F" w:rsidRPr="00974C0B">
              <w:t>regional,</w:t>
            </w:r>
            <w:r w:rsidR="00C43F74" w:rsidRPr="00974C0B">
              <w:t xml:space="preserve"> and international levels, including </w:t>
            </w:r>
            <w:r w:rsidR="00B41EC2">
              <w:t xml:space="preserve">in the context of the Human Rights Council and </w:t>
            </w:r>
            <w:r w:rsidR="00C43F74" w:rsidRPr="00974C0B">
              <w:t>the Open-ended Working Group on Ageing.</w:t>
            </w:r>
          </w:p>
        </w:tc>
      </w:tr>
      <w:tr w:rsidR="00C43F74" w:rsidRPr="00974C0B" w14:paraId="7B95F504" w14:textId="77777777" w:rsidTr="00C72639">
        <w:trPr>
          <w:jc w:val="center"/>
        </w:trPr>
        <w:tc>
          <w:tcPr>
            <w:tcW w:w="9629" w:type="dxa"/>
            <w:tcBorders>
              <w:top w:val="nil"/>
            </w:tcBorders>
          </w:tcPr>
          <w:p w14:paraId="73FAE7A7" w14:textId="77777777" w:rsidR="00C43F74" w:rsidRPr="00974C0B" w:rsidRDefault="00C43F74" w:rsidP="00416C81">
            <w:pPr>
              <w:suppressAutoHyphens w:val="0"/>
              <w:spacing w:line="240" w:lineRule="atLeast"/>
            </w:pPr>
          </w:p>
        </w:tc>
      </w:tr>
    </w:tbl>
    <w:p w14:paraId="65F9FAAA" w14:textId="77777777" w:rsidR="00C72639" w:rsidRDefault="00C72639" w:rsidP="00C72639">
      <w:pPr>
        <w:ind w:firstLine="567"/>
        <w:jc w:val="both"/>
        <w:rPr>
          <w:b/>
          <w:sz w:val="24"/>
        </w:rPr>
      </w:pPr>
    </w:p>
    <w:p w14:paraId="3728C429" w14:textId="1AD06972" w:rsidR="00C72639" w:rsidRDefault="00C72639" w:rsidP="00C72639">
      <w:pPr>
        <w:ind w:left="567"/>
        <w:jc w:val="both"/>
        <w:rPr>
          <w:rFonts w:ascii="Arial" w:hAnsi="Arial"/>
          <w:b/>
          <w:sz w:val="36"/>
          <w:szCs w:val="36"/>
        </w:rPr>
      </w:pPr>
      <w:r w:rsidRPr="00C02645">
        <w:rPr>
          <w:b/>
          <w:sz w:val="24"/>
        </w:rPr>
        <w:t xml:space="preserve">Note: </w:t>
      </w:r>
      <w:r w:rsidRPr="00C02645">
        <w:rPr>
          <w:sz w:val="24"/>
        </w:rPr>
        <w:t>This is not a</w:t>
      </w:r>
      <w:r w:rsidR="00604774">
        <w:rPr>
          <w:sz w:val="24"/>
        </w:rPr>
        <w:t>n</w:t>
      </w:r>
      <w:r w:rsidRPr="00C02645">
        <w:rPr>
          <w:sz w:val="24"/>
        </w:rPr>
        <w:t xml:space="preserve"> </w:t>
      </w:r>
      <w:r w:rsidR="00604774" w:rsidRPr="00C02645">
        <w:rPr>
          <w:sz w:val="24"/>
        </w:rPr>
        <w:t xml:space="preserve">official </w:t>
      </w:r>
      <w:r w:rsidRPr="00C02645">
        <w:rPr>
          <w:sz w:val="24"/>
        </w:rPr>
        <w:t>United Nations document.</w:t>
      </w:r>
      <w:r>
        <w:rPr>
          <w:rFonts w:ascii="Arial" w:hAnsi="Arial"/>
          <w:sz w:val="36"/>
          <w:szCs w:val="36"/>
        </w:rPr>
        <w:t xml:space="preserve"> </w:t>
      </w:r>
    </w:p>
    <w:p w14:paraId="49C61DCE" w14:textId="77777777" w:rsidR="00A6147B" w:rsidRDefault="00A6147B" w:rsidP="00416C81">
      <w:pPr>
        <w:pStyle w:val="HChG"/>
      </w:pPr>
    </w:p>
    <w:p w14:paraId="4D145B93" w14:textId="77777777" w:rsidR="00A6147B" w:rsidRPr="00A6147B" w:rsidRDefault="00A6147B" w:rsidP="00A6147B"/>
    <w:p w14:paraId="17F00E11" w14:textId="77777777" w:rsidR="00A6147B" w:rsidRPr="00A6147B" w:rsidRDefault="00A6147B" w:rsidP="00A6147B"/>
    <w:p w14:paraId="2A9E5C0F" w14:textId="77777777" w:rsidR="00A6147B" w:rsidRPr="00A6147B" w:rsidRDefault="00A6147B" w:rsidP="00A6147B"/>
    <w:p w14:paraId="2D36AB7A" w14:textId="77777777" w:rsidR="00A6147B" w:rsidRPr="00A6147B" w:rsidRDefault="00A6147B" w:rsidP="00A6147B"/>
    <w:p w14:paraId="0274B7C8" w14:textId="77777777" w:rsidR="00A6147B" w:rsidRPr="00A6147B" w:rsidRDefault="00A6147B" w:rsidP="00A6147B"/>
    <w:p w14:paraId="713AD0A0" w14:textId="77777777" w:rsidR="00A6147B" w:rsidRPr="00A6147B" w:rsidRDefault="00A6147B" w:rsidP="00A6147B">
      <w:pPr>
        <w:jc w:val="right"/>
      </w:pPr>
    </w:p>
    <w:p w14:paraId="08B5B049" w14:textId="786287DA" w:rsidR="00D804A9" w:rsidRDefault="00C43F74" w:rsidP="00416C81">
      <w:pPr>
        <w:pStyle w:val="HChG"/>
      </w:pPr>
      <w:r w:rsidRPr="00A6147B">
        <w:br w:type="page"/>
      </w:r>
      <w:r w:rsidRPr="00974C0B">
        <w:lastRenderedPageBreak/>
        <w:tab/>
      </w:r>
      <w:r w:rsidR="00D804A9">
        <w:t>Contents page</w:t>
      </w:r>
    </w:p>
    <w:p w14:paraId="609FE1D1" w14:textId="77777777" w:rsidR="00AB08D6" w:rsidRDefault="00AB08D6" w:rsidP="00AB08D6">
      <w:pPr>
        <w:spacing w:after="200" w:line="276" w:lineRule="auto"/>
      </w:pPr>
      <w:r>
        <w:t>Please click on each link to go directly to that part of the report.</w:t>
      </w:r>
    </w:p>
    <w:p w14:paraId="44E99421" w14:textId="217B2A2C" w:rsidR="00AB08D6" w:rsidRPr="00604774" w:rsidRDefault="00610D97" w:rsidP="00AB08D6">
      <w:pPr>
        <w:rPr>
          <w:b/>
          <w:bCs/>
          <w:sz w:val="24"/>
          <w:szCs w:val="24"/>
        </w:rPr>
      </w:pPr>
      <w:hyperlink w:anchor="I" w:history="1">
        <w:r w:rsidR="00AB08D6" w:rsidRPr="00604774">
          <w:rPr>
            <w:rStyle w:val="Hyperlink"/>
            <w:b/>
            <w:bCs/>
            <w:sz w:val="24"/>
            <w:szCs w:val="24"/>
          </w:rPr>
          <w:t xml:space="preserve">I. </w:t>
        </w:r>
        <w:r w:rsidR="004D3414" w:rsidRPr="00604774">
          <w:rPr>
            <w:rStyle w:val="Hyperlink"/>
            <w:b/>
            <w:bCs/>
            <w:sz w:val="24"/>
            <w:szCs w:val="24"/>
          </w:rPr>
          <w:tab/>
        </w:r>
        <w:r w:rsidR="00AB08D6" w:rsidRPr="00604774">
          <w:rPr>
            <w:rStyle w:val="Hyperlink"/>
            <w:b/>
            <w:bCs/>
            <w:sz w:val="24"/>
            <w:szCs w:val="24"/>
          </w:rPr>
          <w:t>Introduction</w:t>
        </w:r>
      </w:hyperlink>
    </w:p>
    <w:p w14:paraId="62DF5D4F" w14:textId="77777777" w:rsidR="004D3414" w:rsidRDefault="004D3414" w:rsidP="00AB08D6"/>
    <w:p w14:paraId="1643E4CB" w14:textId="08A0421E" w:rsidR="00AB08D6" w:rsidRPr="00604774" w:rsidRDefault="00610D97" w:rsidP="00AB08D6">
      <w:pPr>
        <w:rPr>
          <w:b/>
          <w:bCs/>
          <w:sz w:val="24"/>
          <w:szCs w:val="24"/>
        </w:rPr>
      </w:pPr>
      <w:hyperlink w:anchor="II" w:history="1">
        <w:r w:rsidR="00AB08D6" w:rsidRPr="00604774">
          <w:rPr>
            <w:rStyle w:val="Hyperlink"/>
            <w:b/>
            <w:bCs/>
            <w:sz w:val="24"/>
            <w:szCs w:val="24"/>
          </w:rPr>
          <w:t xml:space="preserve">II. </w:t>
        </w:r>
        <w:r w:rsidR="004D3414" w:rsidRPr="00604774">
          <w:rPr>
            <w:rStyle w:val="Hyperlink"/>
            <w:b/>
            <w:bCs/>
            <w:sz w:val="24"/>
            <w:szCs w:val="24"/>
          </w:rPr>
          <w:tab/>
        </w:r>
        <w:r w:rsidR="00AB08D6" w:rsidRPr="00604774">
          <w:rPr>
            <w:rStyle w:val="Hyperlink"/>
            <w:b/>
            <w:bCs/>
            <w:sz w:val="24"/>
            <w:szCs w:val="24"/>
          </w:rPr>
          <w:t>Conclusions and recommendations</w:t>
        </w:r>
      </w:hyperlink>
    </w:p>
    <w:p w14:paraId="3025DB69" w14:textId="77777777" w:rsidR="004D3414" w:rsidRDefault="004D3414" w:rsidP="00AB08D6"/>
    <w:p w14:paraId="3D0BDCD3" w14:textId="6A51DDE4" w:rsidR="00AB08D6" w:rsidRPr="00604774" w:rsidRDefault="00610D97" w:rsidP="00AB08D6">
      <w:pPr>
        <w:rPr>
          <w:b/>
          <w:bCs/>
          <w:sz w:val="24"/>
          <w:szCs w:val="24"/>
        </w:rPr>
      </w:pPr>
      <w:hyperlink w:anchor="III" w:history="1">
        <w:r w:rsidR="00AB08D6" w:rsidRPr="00604774">
          <w:rPr>
            <w:rStyle w:val="Hyperlink"/>
            <w:b/>
            <w:bCs/>
            <w:sz w:val="24"/>
            <w:szCs w:val="24"/>
          </w:rPr>
          <w:t xml:space="preserve">III. </w:t>
        </w:r>
        <w:r w:rsidR="004D3414" w:rsidRPr="00604774">
          <w:rPr>
            <w:rStyle w:val="Hyperlink"/>
            <w:b/>
            <w:bCs/>
            <w:sz w:val="24"/>
            <w:szCs w:val="24"/>
          </w:rPr>
          <w:tab/>
        </w:r>
        <w:r w:rsidR="00AB08D6" w:rsidRPr="00604774">
          <w:rPr>
            <w:rStyle w:val="Hyperlink"/>
            <w:b/>
            <w:bCs/>
            <w:sz w:val="24"/>
            <w:szCs w:val="24"/>
          </w:rPr>
          <w:t>Background</w:t>
        </w:r>
      </w:hyperlink>
    </w:p>
    <w:p w14:paraId="0A9C022C" w14:textId="05F0A155" w:rsidR="004D3414" w:rsidRDefault="00610D97" w:rsidP="004D3414">
      <w:pPr>
        <w:ind w:firstLine="567"/>
      </w:pPr>
      <w:hyperlink w:anchor="III_A" w:history="1">
        <w:r w:rsidR="004D3414" w:rsidRPr="00604774">
          <w:rPr>
            <w:rStyle w:val="Hyperlink"/>
          </w:rPr>
          <w:t xml:space="preserve">A. </w:t>
        </w:r>
        <w:r w:rsidR="004D3414" w:rsidRPr="00604774">
          <w:rPr>
            <w:rStyle w:val="Hyperlink"/>
          </w:rPr>
          <w:tab/>
          <w:t>Demography and older persons’ human rights</w:t>
        </w:r>
      </w:hyperlink>
      <w:r w:rsidR="004D3414">
        <w:t xml:space="preserve"> </w:t>
      </w:r>
    </w:p>
    <w:p w14:paraId="1E0BF727" w14:textId="66E1DB09" w:rsidR="004D3414" w:rsidRDefault="00610D97" w:rsidP="004D3414">
      <w:pPr>
        <w:ind w:firstLine="567"/>
      </w:pPr>
      <w:hyperlink w:anchor="III_B" w:history="1">
        <w:r w:rsidR="004D3414" w:rsidRPr="00604774">
          <w:rPr>
            <w:rStyle w:val="Hyperlink"/>
          </w:rPr>
          <w:t xml:space="preserve">B. </w:t>
        </w:r>
        <w:r w:rsidR="004D3414" w:rsidRPr="00604774">
          <w:rPr>
            <w:rStyle w:val="Hyperlink"/>
          </w:rPr>
          <w:tab/>
          <w:t>COVID-19</w:t>
        </w:r>
        <w:r w:rsidR="00D827A2" w:rsidRPr="00604774">
          <w:rPr>
            <w:rStyle w:val="Hyperlink"/>
          </w:rPr>
          <w:t>’s impact</w:t>
        </w:r>
        <w:r w:rsidR="004D3414" w:rsidRPr="00604774">
          <w:rPr>
            <w:rStyle w:val="Hyperlink"/>
          </w:rPr>
          <w:t xml:space="preserve"> on older persons’ human rights</w:t>
        </w:r>
      </w:hyperlink>
    </w:p>
    <w:p w14:paraId="54B3B067" w14:textId="77777777" w:rsidR="004D3414" w:rsidRDefault="004D3414" w:rsidP="004D3414"/>
    <w:p w14:paraId="67CDF367" w14:textId="65335B62" w:rsidR="004D3414" w:rsidRPr="00604774" w:rsidRDefault="00610D97" w:rsidP="004D3414">
      <w:pPr>
        <w:rPr>
          <w:b/>
          <w:bCs/>
          <w:sz w:val="24"/>
          <w:szCs w:val="24"/>
        </w:rPr>
      </w:pPr>
      <w:hyperlink w:anchor="IV" w:history="1">
        <w:r w:rsidR="004D3414" w:rsidRPr="00604774">
          <w:rPr>
            <w:rStyle w:val="Hyperlink"/>
            <w:b/>
            <w:bCs/>
            <w:sz w:val="24"/>
            <w:szCs w:val="24"/>
          </w:rPr>
          <w:t xml:space="preserve">IV. </w:t>
        </w:r>
        <w:r w:rsidR="004D3414" w:rsidRPr="00604774">
          <w:rPr>
            <w:rStyle w:val="Hyperlink"/>
            <w:b/>
            <w:bCs/>
            <w:sz w:val="24"/>
            <w:szCs w:val="24"/>
          </w:rPr>
          <w:tab/>
          <w:t>Ageism, age discrimination and older persons’ human rights</w:t>
        </w:r>
      </w:hyperlink>
      <w:r w:rsidR="004D3414" w:rsidRPr="00604774">
        <w:rPr>
          <w:b/>
          <w:bCs/>
          <w:sz w:val="24"/>
          <w:szCs w:val="24"/>
        </w:rPr>
        <w:t xml:space="preserve"> </w:t>
      </w:r>
    </w:p>
    <w:p w14:paraId="244EE716" w14:textId="77777777" w:rsidR="004D3414" w:rsidRDefault="004D3414" w:rsidP="004D3414"/>
    <w:p w14:paraId="62FFB02D" w14:textId="65A8233A" w:rsidR="004D3414" w:rsidRPr="00604774" w:rsidRDefault="00610D97" w:rsidP="004D3414">
      <w:pPr>
        <w:rPr>
          <w:b/>
          <w:bCs/>
          <w:sz w:val="24"/>
          <w:szCs w:val="24"/>
        </w:rPr>
      </w:pPr>
      <w:hyperlink w:anchor="V" w:history="1">
        <w:r w:rsidR="004D3414" w:rsidRPr="000F364E">
          <w:rPr>
            <w:rStyle w:val="Hyperlink"/>
            <w:b/>
            <w:bCs/>
            <w:sz w:val="24"/>
            <w:szCs w:val="24"/>
          </w:rPr>
          <w:t xml:space="preserve">V. </w:t>
        </w:r>
        <w:r w:rsidR="004D3414" w:rsidRPr="000F364E">
          <w:rPr>
            <w:rStyle w:val="Hyperlink"/>
            <w:b/>
            <w:bCs/>
            <w:sz w:val="24"/>
            <w:szCs w:val="24"/>
          </w:rPr>
          <w:tab/>
        </w:r>
        <w:r w:rsidR="008B171C">
          <w:rPr>
            <w:rStyle w:val="Hyperlink"/>
            <w:b/>
            <w:bCs/>
            <w:sz w:val="24"/>
            <w:szCs w:val="24"/>
          </w:rPr>
          <w:t xml:space="preserve">How effective are </w:t>
        </w:r>
        <w:r w:rsidR="004D3414" w:rsidRPr="000F364E">
          <w:rPr>
            <w:rStyle w:val="Hyperlink"/>
            <w:b/>
            <w:bCs/>
            <w:sz w:val="24"/>
            <w:szCs w:val="24"/>
          </w:rPr>
          <w:t>existing international human rights instruments</w:t>
        </w:r>
      </w:hyperlink>
      <w:r w:rsidR="008B171C">
        <w:rPr>
          <w:rStyle w:val="Hyperlink"/>
          <w:b/>
          <w:bCs/>
          <w:sz w:val="24"/>
          <w:szCs w:val="24"/>
        </w:rPr>
        <w:t>?</w:t>
      </w:r>
    </w:p>
    <w:p w14:paraId="06168E8F" w14:textId="4CB4B6A7" w:rsidR="004D3414" w:rsidRDefault="00610D97" w:rsidP="004D3414">
      <w:pPr>
        <w:ind w:left="1134" w:hanging="567"/>
      </w:pPr>
      <w:hyperlink w:anchor="V_A" w:history="1">
        <w:r w:rsidR="004D3414" w:rsidRPr="000F364E">
          <w:rPr>
            <w:rStyle w:val="Hyperlink"/>
          </w:rPr>
          <w:t xml:space="preserve">A. </w:t>
        </w:r>
        <w:r w:rsidR="004D3414" w:rsidRPr="000F364E">
          <w:rPr>
            <w:rStyle w:val="Hyperlink"/>
          </w:rPr>
          <w:tab/>
          <w:t xml:space="preserve">Nature, </w:t>
        </w:r>
        <w:r w:rsidR="00D5624F" w:rsidRPr="000F364E">
          <w:rPr>
            <w:rStyle w:val="Hyperlink"/>
          </w:rPr>
          <w:t>extent,</w:t>
        </w:r>
        <w:r w:rsidR="004D3414" w:rsidRPr="000F364E">
          <w:rPr>
            <w:rStyle w:val="Hyperlink"/>
          </w:rPr>
          <w:t xml:space="preserve"> and quality of the references to age and older persons in international human rights instruments</w:t>
        </w:r>
      </w:hyperlink>
    </w:p>
    <w:p w14:paraId="2A67C01E" w14:textId="11C9394D" w:rsidR="004D3414" w:rsidRDefault="00610D97" w:rsidP="004D3414">
      <w:pPr>
        <w:ind w:firstLine="567"/>
      </w:pPr>
      <w:hyperlink w:anchor="V_B" w:history="1">
        <w:r w:rsidR="004D3414" w:rsidRPr="000F364E">
          <w:rPr>
            <w:rStyle w:val="Hyperlink"/>
          </w:rPr>
          <w:t xml:space="preserve">B. </w:t>
        </w:r>
        <w:r w:rsidR="004D3414" w:rsidRPr="000F364E">
          <w:rPr>
            <w:rStyle w:val="Hyperlink"/>
          </w:rPr>
          <w:tab/>
          <w:t>Evolving practice of how international human rights mechanisms address older persons’ human rights</w:t>
        </w:r>
      </w:hyperlink>
      <w:r w:rsidR="004D3414">
        <w:t xml:space="preserve"> </w:t>
      </w:r>
    </w:p>
    <w:p w14:paraId="6DD911A6" w14:textId="77777777" w:rsidR="004D3414" w:rsidRDefault="004D3414" w:rsidP="004D3414"/>
    <w:p w14:paraId="69421344" w14:textId="46584B77" w:rsidR="004D3414" w:rsidRPr="00604774" w:rsidRDefault="00610D97" w:rsidP="004D3414">
      <w:pPr>
        <w:rPr>
          <w:b/>
          <w:bCs/>
          <w:sz w:val="24"/>
          <w:szCs w:val="24"/>
        </w:rPr>
      </w:pPr>
      <w:hyperlink w:anchor="VI" w:history="1">
        <w:r w:rsidR="004D3414" w:rsidRPr="000F364E">
          <w:rPr>
            <w:rStyle w:val="Hyperlink"/>
            <w:b/>
            <w:bCs/>
            <w:sz w:val="24"/>
            <w:szCs w:val="24"/>
          </w:rPr>
          <w:t xml:space="preserve">VI. </w:t>
        </w:r>
        <w:r w:rsidR="004D3414" w:rsidRPr="000F364E">
          <w:rPr>
            <w:rStyle w:val="Hyperlink"/>
            <w:b/>
            <w:bCs/>
            <w:sz w:val="24"/>
            <w:szCs w:val="24"/>
          </w:rPr>
          <w:tab/>
          <w:t>Limitations, deficiencies and gaps of selected human rights norms and obligations</w:t>
        </w:r>
      </w:hyperlink>
      <w:r w:rsidR="004D3414" w:rsidRPr="00604774">
        <w:rPr>
          <w:b/>
          <w:bCs/>
          <w:sz w:val="24"/>
          <w:szCs w:val="24"/>
        </w:rPr>
        <w:t xml:space="preserve"> </w:t>
      </w:r>
    </w:p>
    <w:p w14:paraId="439A6575" w14:textId="77777777" w:rsidR="004D3414" w:rsidRDefault="004D3414" w:rsidP="004D3414"/>
    <w:p w14:paraId="26EA05C6" w14:textId="36134AC3" w:rsidR="004D3414" w:rsidRPr="00604774" w:rsidRDefault="00610D97" w:rsidP="004D3414">
      <w:pPr>
        <w:rPr>
          <w:b/>
          <w:bCs/>
          <w:sz w:val="24"/>
          <w:szCs w:val="24"/>
        </w:rPr>
      </w:pPr>
      <w:hyperlink w:anchor="VII" w:history="1">
        <w:r w:rsidR="004D3414" w:rsidRPr="000F364E">
          <w:rPr>
            <w:rStyle w:val="Hyperlink"/>
            <w:b/>
            <w:bCs/>
            <w:sz w:val="24"/>
            <w:szCs w:val="24"/>
          </w:rPr>
          <w:t xml:space="preserve">VII. </w:t>
        </w:r>
        <w:r w:rsidR="004D3414" w:rsidRPr="000F364E">
          <w:rPr>
            <w:rStyle w:val="Hyperlink"/>
            <w:b/>
            <w:bCs/>
            <w:sz w:val="24"/>
            <w:szCs w:val="24"/>
          </w:rPr>
          <w:tab/>
          <w:t>Towards strengthening the protection of human rights of older persons</w:t>
        </w:r>
      </w:hyperlink>
    </w:p>
    <w:p w14:paraId="7AEC503F" w14:textId="6C2FF247" w:rsidR="004D3414" w:rsidRDefault="00610D97" w:rsidP="004D3414">
      <w:pPr>
        <w:ind w:firstLine="567"/>
      </w:pPr>
      <w:hyperlink w:anchor="VII_A" w:history="1">
        <w:r w:rsidR="004D3414" w:rsidRPr="000F364E">
          <w:rPr>
            <w:rStyle w:val="Hyperlink"/>
          </w:rPr>
          <w:t>A.</w:t>
        </w:r>
        <w:r w:rsidR="004D3414" w:rsidRPr="000F364E">
          <w:rPr>
            <w:rStyle w:val="Hyperlink"/>
          </w:rPr>
          <w:tab/>
          <w:t xml:space="preserve">How specialized conventions have contributed to </w:t>
        </w:r>
        <w:r w:rsidR="0056703A" w:rsidRPr="000F364E">
          <w:rPr>
            <w:rStyle w:val="Hyperlink"/>
          </w:rPr>
          <w:t xml:space="preserve">how older persons enjoy </w:t>
        </w:r>
        <w:r w:rsidR="004D3414" w:rsidRPr="000F364E">
          <w:rPr>
            <w:rStyle w:val="Hyperlink"/>
          </w:rPr>
          <w:t>human rights</w:t>
        </w:r>
      </w:hyperlink>
    </w:p>
    <w:p w14:paraId="4AA40841" w14:textId="33137F16" w:rsidR="00AB08D6" w:rsidRDefault="00610D97" w:rsidP="004D3414">
      <w:pPr>
        <w:ind w:firstLine="567"/>
      </w:pPr>
      <w:hyperlink w:anchor="VII_B" w:history="1">
        <w:r w:rsidR="004D3414" w:rsidRPr="000F364E">
          <w:rPr>
            <w:rStyle w:val="Hyperlink"/>
          </w:rPr>
          <w:t xml:space="preserve">B. </w:t>
        </w:r>
        <w:r w:rsidR="004D3414" w:rsidRPr="000F364E">
          <w:rPr>
            <w:rStyle w:val="Hyperlink"/>
          </w:rPr>
          <w:tab/>
          <w:t>How to maximize the potential of existing human rights mechanisms</w:t>
        </w:r>
      </w:hyperlink>
    </w:p>
    <w:p w14:paraId="24FBF970" w14:textId="77777777" w:rsidR="004D3414" w:rsidRDefault="004D3414" w:rsidP="004D3414"/>
    <w:p w14:paraId="4C263E4A" w14:textId="0F53F351" w:rsidR="004D3414" w:rsidRPr="004D3414" w:rsidRDefault="00610D97" w:rsidP="004D3414">
      <w:pPr>
        <w:rPr>
          <w:b/>
          <w:bCs/>
        </w:rPr>
      </w:pPr>
      <w:hyperlink w:anchor="Endnotes" w:history="1">
        <w:r w:rsidR="004D3414" w:rsidRPr="000F364E">
          <w:rPr>
            <w:rStyle w:val="Hyperlink"/>
            <w:b/>
            <w:bCs/>
            <w:sz w:val="24"/>
            <w:szCs w:val="24"/>
          </w:rPr>
          <w:t>Endnotes</w:t>
        </w:r>
      </w:hyperlink>
    </w:p>
    <w:p w14:paraId="7381FBC2" w14:textId="77777777" w:rsidR="00AB08D6" w:rsidRPr="00AB08D6" w:rsidRDefault="00AB08D6" w:rsidP="00AB08D6"/>
    <w:p w14:paraId="3F810493" w14:textId="77777777" w:rsidR="00D804A9" w:rsidRDefault="00D804A9">
      <w:pPr>
        <w:spacing w:after="200" w:line="276" w:lineRule="auto"/>
        <w:rPr>
          <w:b/>
          <w:sz w:val="28"/>
        </w:rPr>
      </w:pPr>
      <w:r>
        <w:br w:type="page"/>
      </w:r>
    </w:p>
    <w:p w14:paraId="4B97D14C" w14:textId="2349B833" w:rsidR="00C43F74" w:rsidRPr="00974C0B" w:rsidRDefault="00C43F74" w:rsidP="00416C81">
      <w:pPr>
        <w:pStyle w:val="HChG"/>
      </w:pPr>
      <w:bookmarkStart w:id="0" w:name="I"/>
      <w:r w:rsidRPr="00974C0B">
        <w:lastRenderedPageBreak/>
        <w:t>I.</w:t>
      </w:r>
      <w:r w:rsidR="00900EAB">
        <w:t xml:space="preserve"> </w:t>
      </w:r>
      <w:r w:rsidRPr="00974C0B">
        <w:tab/>
        <w:t>Introduction</w:t>
      </w:r>
    </w:p>
    <w:bookmarkEnd w:id="0"/>
    <w:p w14:paraId="0C5E2263" w14:textId="3D695C24" w:rsidR="005669CB" w:rsidRDefault="00C43F74" w:rsidP="00610D97">
      <w:pPr>
        <w:pStyle w:val="ParaNoG"/>
        <w:numPr>
          <w:ilvl w:val="0"/>
          <w:numId w:val="0"/>
        </w:numPr>
        <w:tabs>
          <w:tab w:val="left" w:pos="0"/>
        </w:tabs>
        <w:ind w:left="1134"/>
      </w:pPr>
      <w:r w:rsidRPr="00974C0B">
        <w:t>1.</w:t>
      </w:r>
      <w:r w:rsidRPr="00974C0B">
        <w:tab/>
      </w:r>
      <w:r w:rsidRPr="00974C0B">
        <w:rPr>
          <w:bCs/>
          <w:iCs/>
        </w:rPr>
        <w:t>Th</w:t>
      </w:r>
      <w:r w:rsidR="00670547">
        <w:rPr>
          <w:bCs/>
          <w:iCs/>
        </w:rPr>
        <w:t xml:space="preserve">e Human Rights Council adopted resolution 48/3 and asked the </w:t>
      </w:r>
      <w:r w:rsidRPr="00974C0B">
        <w:t>United Nations High Commissioner for Human Rights to</w:t>
      </w:r>
      <w:r w:rsidR="00670547">
        <w:t xml:space="preserve"> prepare this report. The report studies the legal norms and the obligations of States to promote and protect </w:t>
      </w:r>
      <w:r w:rsidR="00951C72">
        <w:t xml:space="preserve">older persons’ </w:t>
      </w:r>
      <w:r w:rsidR="00670547">
        <w:t>human rights.</w:t>
      </w:r>
    </w:p>
    <w:p w14:paraId="58F87119" w14:textId="7EEEB495" w:rsidR="005669CB" w:rsidRDefault="00C43F74" w:rsidP="00952E3E">
      <w:pPr>
        <w:pStyle w:val="ParaNoG"/>
        <w:numPr>
          <w:ilvl w:val="0"/>
          <w:numId w:val="0"/>
        </w:numPr>
        <w:tabs>
          <w:tab w:val="left" w:pos="0"/>
        </w:tabs>
        <w:ind w:left="1134"/>
      </w:pPr>
      <w:r w:rsidRPr="00974C0B">
        <w:t xml:space="preserve">The Council </w:t>
      </w:r>
      <w:r w:rsidR="000F364E">
        <w:t>also</w:t>
      </w:r>
      <w:r w:rsidRPr="00974C0B">
        <w:t xml:space="preserve"> </w:t>
      </w:r>
      <w:r w:rsidR="00670547">
        <w:t>asked</w:t>
      </w:r>
      <w:r w:rsidR="00670547" w:rsidRPr="00974C0B">
        <w:t xml:space="preserve"> </w:t>
      </w:r>
      <w:r w:rsidRPr="00974C0B">
        <w:t>the Office of the United Nations High Commissioner for Human Rights (</w:t>
      </w:r>
      <w:r>
        <w:t>“</w:t>
      </w:r>
      <w:r w:rsidRPr="00C43F74">
        <w:rPr>
          <w:b/>
          <w:bCs/>
        </w:rPr>
        <w:t>OHCHR</w:t>
      </w:r>
      <w:r>
        <w:t>”</w:t>
      </w:r>
      <w:r w:rsidRPr="00974C0B">
        <w:t>) to</w:t>
      </w:r>
      <w:r w:rsidR="000F364E">
        <w:t>:</w:t>
      </w:r>
      <w:r w:rsidRPr="00974C0B">
        <w:t xml:space="preserve"> </w:t>
      </w:r>
    </w:p>
    <w:p w14:paraId="6B2D758C" w14:textId="2692B868" w:rsidR="005669CB" w:rsidRDefault="00670547" w:rsidP="005669CB">
      <w:pPr>
        <w:pStyle w:val="ParaNoG"/>
        <w:numPr>
          <w:ilvl w:val="0"/>
          <w:numId w:val="10"/>
        </w:numPr>
        <w:tabs>
          <w:tab w:val="left" w:pos="0"/>
        </w:tabs>
      </w:pPr>
      <w:r>
        <w:t>organize</w:t>
      </w:r>
      <w:r w:rsidRPr="00974C0B">
        <w:t xml:space="preserve"> </w:t>
      </w:r>
      <w:r w:rsidR="00C43F74" w:rsidRPr="00974C0B">
        <w:t xml:space="preserve">a meeting </w:t>
      </w:r>
      <w:r w:rsidR="00D120AF">
        <w:t xml:space="preserve">for </w:t>
      </w:r>
      <w:r>
        <w:t>States and</w:t>
      </w:r>
      <w:r w:rsidR="00DE29CF">
        <w:t xml:space="preserve"> </w:t>
      </w:r>
      <w:r>
        <w:t xml:space="preserve">other </w:t>
      </w:r>
      <w:r w:rsidR="00D120AF">
        <w:t xml:space="preserve">interested parties </w:t>
      </w:r>
      <w:r w:rsidR="00C43F74" w:rsidRPr="00974C0B">
        <w:t xml:space="preserve">to discuss the report, </w:t>
      </w:r>
    </w:p>
    <w:p w14:paraId="0031A0CB" w14:textId="1FF6E47A" w:rsidR="005669CB" w:rsidRDefault="00C43F74" w:rsidP="00EB7AB0">
      <w:pPr>
        <w:pStyle w:val="ParaNoG"/>
        <w:numPr>
          <w:ilvl w:val="0"/>
          <w:numId w:val="10"/>
        </w:numPr>
        <w:tabs>
          <w:tab w:val="left" w:pos="0"/>
        </w:tabs>
        <w:ind w:left="1701" w:hanging="207"/>
      </w:pPr>
      <w:r w:rsidRPr="00974C0B">
        <w:t xml:space="preserve">prepare a summary </w:t>
      </w:r>
      <w:r w:rsidR="001E47A5">
        <w:t>of</w:t>
      </w:r>
      <w:r w:rsidRPr="00974C0B">
        <w:t xml:space="preserve"> the</w:t>
      </w:r>
      <w:r w:rsidR="00670547">
        <w:t>se discussions</w:t>
      </w:r>
      <w:r w:rsidR="00951C72">
        <w:t>;</w:t>
      </w:r>
      <w:r w:rsidR="00670547">
        <w:t xml:space="preserve"> </w:t>
      </w:r>
      <w:r w:rsidR="00951C72">
        <w:t>t</w:t>
      </w:r>
      <w:r w:rsidR="00670547">
        <w:t xml:space="preserve">his summary should </w:t>
      </w:r>
      <w:r w:rsidRPr="00974C0B">
        <w:t xml:space="preserve">include recommendations on </w:t>
      </w:r>
      <w:r w:rsidR="00D120AF">
        <w:t xml:space="preserve">how to </w:t>
      </w:r>
      <w:r w:rsidR="00DE29CF">
        <w:t xml:space="preserve">better protect older persons and ensure that specific international human rights law sets rules and standards that ensure older persons can </w:t>
      </w:r>
      <w:r w:rsidR="00882772">
        <w:t>enjoy</w:t>
      </w:r>
      <w:r w:rsidR="00DE29CF">
        <w:t xml:space="preserve"> all their human rights</w:t>
      </w:r>
      <w:r w:rsidRPr="00974C0B">
        <w:t>, and</w:t>
      </w:r>
      <w:r w:rsidR="00882772">
        <w:t xml:space="preserve"> </w:t>
      </w:r>
    </w:p>
    <w:p w14:paraId="1A451F49" w14:textId="4A036B21" w:rsidR="00C43F74" w:rsidRPr="00974C0B" w:rsidRDefault="00C43F74" w:rsidP="005669CB">
      <w:pPr>
        <w:pStyle w:val="ParaNoG"/>
        <w:numPr>
          <w:ilvl w:val="0"/>
          <w:numId w:val="10"/>
        </w:numPr>
        <w:tabs>
          <w:tab w:val="left" w:pos="0"/>
        </w:tabs>
      </w:pPr>
      <w:proofErr w:type="gramStart"/>
      <w:r w:rsidRPr="00974C0B">
        <w:t>submit</w:t>
      </w:r>
      <w:proofErr w:type="gramEnd"/>
      <w:r w:rsidRPr="00974C0B">
        <w:t xml:space="preserve"> the report to the Human Rights Council by its </w:t>
      </w:r>
      <w:r>
        <w:t>51</w:t>
      </w:r>
      <w:r w:rsidRPr="00C43F74">
        <w:rPr>
          <w:vertAlign w:val="superscript"/>
        </w:rPr>
        <w:t>st</w:t>
      </w:r>
      <w:r>
        <w:t xml:space="preserve"> </w:t>
      </w:r>
      <w:r w:rsidRPr="00974C0B">
        <w:t>session.</w:t>
      </w:r>
    </w:p>
    <w:p w14:paraId="58F708D9" w14:textId="0DEC27F8" w:rsidR="005669CB" w:rsidRDefault="00C43F74" w:rsidP="00882772">
      <w:pPr>
        <w:pStyle w:val="ParaNoG"/>
        <w:numPr>
          <w:ilvl w:val="0"/>
          <w:numId w:val="0"/>
        </w:numPr>
        <w:tabs>
          <w:tab w:val="left" w:pos="0"/>
        </w:tabs>
        <w:ind w:left="1134"/>
      </w:pPr>
      <w:r w:rsidRPr="00974C0B">
        <w:rPr>
          <w:rStyle w:val="EndnoteReference"/>
          <w:sz w:val="20"/>
          <w:vertAlign w:val="baseline"/>
        </w:rPr>
        <w:t>2.</w:t>
      </w:r>
      <w:r w:rsidRPr="00974C0B">
        <w:rPr>
          <w:rStyle w:val="EndnoteReference"/>
          <w:sz w:val="20"/>
          <w:vertAlign w:val="baseline"/>
        </w:rPr>
        <w:tab/>
      </w:r>
      <w:r w:rsidR="00670547">
        <w:t xml:space="preserve">The General Assembly of the United Nations created an </w:t>
      </w:r>
      <w:r w:rsidRPr="00974C0B">
        <w:t>Open-ended Working Group on Ageing</w:t>
      </w:r>
      <w:r w:rsidR="00C85E6E">
        <w:t xml:space="preserve">. This Group met eleven times since 2011. It discusses how </w:t>
      </w:r>
      <w:r w:rsidR="00951C72">
        <w:t xml:space="preserve">older persons’ </w:t>
      </w:r>
      <w:r w:rsidR="00C85E6E">
        <w:t xml:space="preserve">rights </w:t>
      </w:r>
      <w:proofErr w:type="gramStart"/>
      <w:r w:rsidR="00C85E6E">
        <w:t>are protected</w:t>
      </w:r>
      <w:proofErr w:type="gramEnd"/>
      <w:r w:rsidR="00C85E6E">
        <w:t xml:space="preserve"> and how this can be improved.</w:t>
      </w:r>
    </w:p>
    <w:p w14:paraId="5BF0C101" w14:textId="1AA3E0C0" w:rsidR="005669CB" w:rsidRDefault="00C85E6E" w:rsidP="00C85E6E">
      <w:pPr>
        <w:pStyle w:val="ParaNoG"/>
        <w:numPr>
          <w:ilvl w:val="0"/>
          <w:numId w:val="0"/>
        </w:numPr>
        <w:tabs>
          <w:tab w:val="left" w:pos="0"/>
        </w:tabs>
        <w:ind w:left="1134"/>
      </w:pPr>
      <w:r>
        <w:t>In</w:t>
      </w:r>
      <w:r w:rsidRPr="00974C0B">
        <w:t xml:space="preserve"> </w:t>
      </w:r>
      <w:r w:rsidR="00C43F74" w:rsidRPr="00974C0B">
        <w:t xml:space="preserve">2013, the </w:t>
      </w:r>
      <w:r>
        <w:t xml:space="preserve">Human Rights Council nominated an </w:t>
      </w:r>
      <w:r w:rsidR="00C43F74" w:rsidRPr="00974C0B">
        <w:t>Independent Expert on all older persons</w:t>
      </w:r>
      <w:r w:rsidR="00C43F74">
        <w:t>’</w:t>
      </w:r>
      <w:r w:rsidR="00C43F74" w:rsidRPr="00974C0B">
        <w:t xml:space="preserve"> enjoyment of human rights (</w:t>
      </w:r>
      <w:r w:rsidR="00C43F74">
        <w:t>“</w:t>
      </w:r>
      <w:r w:rsidR="00C43F74" w:rsidRPr="00C43F74">
        <w:rPr>
          <w:b/>
          <w:bCs/>
        </w:rPr>
        <w:t>Independent Expert</w:t>
      </w:r>
      <w:r w:rsidR="00C43F74">
        <w:t>”</w:t>
      </w:r>
      <w:r w:rsidR="00C43F74" w:rsidRPr="00974C0B">
        <w:t>)</w:t>
      </w:r>
      <w:r>
        <w:t xml:space="preserve">. The Council asked the Independent Expert </w:t>
      </w:r>
      <w:proofErr w:type="gramStart"/>
      <w:r>
        <w:t xml:space="preserve">to also </w:t>
      </w:r>
      <w:r w:rsidR="00542470">
        <w:t>study</w:t>
      </w:r>
      <w:proofErr w:type="gramEnd"/>
      <w:r w:rsidR="00542470">
        <w:t xml:space="preserve"> this</w:t>
      </w:r>
      <w:r w:rsidR="00C43F74" w:rsidRPr="00974C0B">
        <w:t xml:space="preserve"> issue in detail</w:t>
      </w:r>
      <w:r w:rsidR="005669CB">
        <w:t>.</w:t>
      </w:r>
      <w:r w:rsidR="00C43F74" w:rsidRPr="00974C0B">
        <w:t xml:space="preserve"> </w:t>
      </w:r>
      <w:r w:rsidR="000F364E">
        <w:t>O</w:t>
      </w:r>
      <w:r w:rsidR="00C43F74" w:rsidRPr="00974C0B">
        <w:t xml:space="preserve">ther human rights bodies have </w:t>
      </w:r>
      <w:r w:rsidR="000F364E">
        <w:t xml:space="preserve">also </w:t>
      </w:r>
      <w:r w:rsidR="00C43F74" w:rsidRPr="00974C0B">
        <w:t xml:space="preserve">addressed aspects of </w:t>
      </w:r>
      <w:r w:rsidR="00B63193" w:rsidRPr="00974C0B">
        <w:t>older persons</w:t>
      </w:r>
      <w:r w:rsidR="00B63193">
        <w:t>’</w:t>
      </w:r>
      <w:r w:rsidR="00B63193" w:rsidRPr="00974C0B">
        <w:t xml:space="preserve"> </w:t>
      </w:r>
      <w:r w:rsidR="00C43F74" w:rsidRPr="00974C0B">
        <w:t xml:space="preserve">human rights in their work. </w:t>
      </w:r>
    </w:p>
    <w:p w14:paraId="68CE02B7" w14:textId="27B73CCA" w:rsidR="00C43F74" w:rsidRPr="00882772" w:rsidRDefault="005669CB" w:rsidP="000235F5">
      <w:pPr>
        <w:pStyle w:val="ParaNoG"/>
        <w:numPr>
          <w:ilvl w:val="0"/>
          <w:numId w:val="0"/>
        </w:numPr>
        <w:tabs>
          <w:tab w:val="left" w:pos="0"/>
        </w:tabs>
        <w:ind w:left="1134"/>
        <w:rPr>
          <w:rStyle w:val="EndnoteReference"/>
        </w:rPr>
      </w:pPr>
      <w:r>
        <w:t>3.</w:t>
      </w:r>
      <w:r>
        <w:tab/>
      </w:r>
      <w:r w:rsidR="00C43F74" w:rsidRPr="00974C0B">
        <w:t>Th</w:t>
      </w:r>
      <w:r w:rsidR="00EB7AB0">
        <w:t xml:space="preserve">is </w:t>
      </w:r>
      <w:r w:rsidR="00C43F74" w:rsidRPr="00974C0B">
        <w:t>report builds upon</w:t>
      </w:r>
      <w:r w:rsidR="00C85E6E">
        <w:t xml:space="preserve"> these previous studies and </w:t>
      </w:r>
      <w:r w:rsidR="00C43F74" w:rsidRPr="00974C0B">
        <w:t xml:space="preserve">the two analytical studies </w:t>
      </w:r>
      <w:r w:rsidR="00EB7AB0">
        <w:t xml:space="preserve">the </w:t>
      </w:r>
      <w:r w:rsidR="00EB7AB0" w:rsidRPr="00974C0B">
        <w:t xml:space="preserve">OHCHR </w:t>
      </w:r>
      <w:r w:rsidR="00C85E6E">
        <w:t xml:space="preserve">prepared </w:t>
      </w:r>
      <w:r w:rsidR="00C43F74" w:rsidRPr="00974C0B">
        <w:t>in 2012</w:t>
      </w:r>
      <w:r w:rsidR="00C43F74" w:rsidRPr="00974C0B">
        <w:rPr>
          <w:rStyle w:val="EndnoteReference"/>
        </w:rPr>
        <w:endnoteReference w:id="2"/>
      </w:r>
      <w:r w:rsidR="00C43F74" w:rsidRPr="00974C0B">
        <w:rPr>
          <w:rStyle w:val="EndnoteReference"/>
        </w:rPr>
        <w:t xml:space="preserve"> </w:t>
      </w:r>
      <w:r w:rsidR="00C43F74" w:rsidRPr="00974C0B">
        <w:t>and 2021.</w:t>
      </w:r>
      <w:r w:rsidR="00C43F74" w:rsidRPr="00974C0B">
        <w:rPr>
          <w:rStyle w:val="EndnoteReference"/>
        </w:rPr>
        <w:endnoteReference w:id="3"/>
      </w:r>
    </w:p>
    <w:p w14:paraId="424B2675" w14:textId="15C4BFB6" w:rsidR="00503667" w:rsidRDefault="005669CB" w:rsidP="00952E3E">
      <w:pPr>
        <w:pStyle w:val="ParaNoG"/>
        <w:numPr>
          <w:ilvl w:val="0"/>
          <w:numId w:val="0"/>
        </w:numPr>
        <w:tabs>
          <w:tab w:val="left" w:pos="0"/>
        </w:tabs>
        <w:ind w:left="1134"/>
      </w:pPr>
      <w:proofErr w:type="gramStart"/>
      <w:r>
        <w:t>4</w:t>
      </w:r>
      <w:proofErr w:type="gramEnd"/>
      <w:r w:rsidR="00C43F74" w:rsidRPr="00974C0B">
        <w:rPr>
          <w:rStyle w:val="EndnoteReference"/>
          <w:sz w:val="20"/>
          <w:vertAlign w:val="baseline"/>
        </w:rPr>
        <w:t>.</w:t>
      </w:r>
      <w:r w:rsidR="00C43F74" w:rsidRPr="00974C0B">
        <w:rPr>
          <w:rStyle w:val="EndnoteReference"/>
          <w:sz w:val="20"/>
          <w:vertAlign w:val="baseline"/>
        </w:rPr>
        <w:tab/>
      </w:r>
      <w:r w:rsidR="00C43F74" w:rsidRPr="00974C0B">
        <w:t xml:space="preserve">In preparing the report, OHCHR </w:t>
      </w:r>
      <w:r w:rsidR="00C85E6E">
        <w:t xml:space="preserve">also </w:t>
      </w:r>
      <w:r w:rsidR="00C43F74" w:rsidRPr="00974C0B">
        <w:t xml:space="preserve">consulted with </w:t>
      </w:r>
      <w:r w:rsidR="00203BB2">
        <w:t xml:space="preserve">different </w:t>
      </w:r>
      <w:r w:rsidR="00C43F74" w:rsidRPr="00974C0B">
        <w:t>relevant stakeholders and received 28 written contributions in response to a request for inputs</w:t>
      </w:r>
      <w:r w:rsidR="00EB7AB0">
        <w:t xml:space="preserve">. These contributions </w:t>
      </w:r>
      <w:r w:rsidR="00C43F74" w:rsidRPr="00974C0B">
        <w:t>are available on the OHCHR website.</w:t>
      </w:r>
      <w:r w:rsidR="00C43F74" w:rsidRPr="00974C0B">
        <w:rPr>
          <w:rStyle w:val="EndnoteReference"/>
        </w:rPr>
        <w:endnoteReference w:id="4"/>
      </w:r>
    </w:p>
    <w:p w14:paraId="3A29A85C" w14:textId="4B5C0F38" w:rsidR="00503667" w:rsidRDefault="00503667">
      <w:pPr>
        <w:spacing w:after="200" w:line="276" w:lineRule="auto"/>
      </w:pPr>
    </w:p>
    <w:p w14:paraId="16B87A50" w14:textId="615B64F9" w:rsidR="00503667" w:rsidRPr="00974C0B" w:rsidRDefault="00503667" w:rsidP="00503667">
      <w:pPr>
        <w:pStyle w:val="HChG"/>
        <w:rPr>
          <w:bCs/>
        </w:rPr>
      </w:pPr>
      <w:bookmarkStart w:id="1" w:name="II"/>
      <w:bookmarkStart w:id="2" w:name="_Hlk93490882"/>
      <w:r w:rsidRPr="00974C0B">
        <w:t>II.</w:t>
      </w:r>
      <w:r w:rsidRPr="00974C0B">
        <w:tab/>
      </w:r>
      <w:r w:rsidR="000C2CF9">
        <w:t xml:space="preserve"> </w:t>
      </w:r>
      <w:r w:rsidRPr="00974C0B">
        <w:t>Conclusions and recommendations</w:t>
      </w:r>
    </w:p>
    <w:bookmarkEnd w:id="1"/>
    <w:p w14:paraId="77E6EDC2" w14:textId="4B3425F7" w:rsidR="00EB7AB0" w:rsidRDefault="00503667" w:rsidP="00503667">
      <w:pPr>
        <w:pStyle w:val="ParaNoG"/>
        <w:numPr>
          <w:ilvl w:val="0"/>
          <w:numId w:val="0"/>
        </w:numPr>
        <w:tabs>
          <w:tab w:val="left" w:pos="0"/>
        </w:tabs>
        <w:ind w:left="1134"/>
        <w:rPr>
          <w:bCs/>
        </w:rPr>
      </w:pPr>
      <w:r w:rsidRPr="00974C0B">
        <w:rPr>
          <w:bCs/>
        </w:rPr>
        <w:t>5.</w:t>
      </w:r>
      <w:r w:rsidRPr="00974C0B">
        <w:rPr>
          <w:bCs/>
        </w:rPr>
        <w:tab/>
      </w:r>
      <w:r w:rsidR="004A1F20" w:rsidRPr="004A1F20">
        <w:rPr>
          <w:b/>
        </w:rPr>
        <w:t xml:space="preserve">We </w:t>
      </w:r>
      <w:r w:rsidR="00563F75">
        <w:rPr>
          <w:b/>
        </w:rPr>
        <w:t xml:space="preserve">do not </w:t>
      </w:r>
      <w:r w:rsidR="00EB7AB0" w:rsidRPr="00EB7AB0">
        <w:rPr>
          <w:b/>
        </w:rPr>
        <w:t>recogni</w:t>
      </w:r>
      <w:r w:rsidR="00900EAB">
        <w:rPr>
          <w:b/>
        </w:rPr>
        <w:t>z</w:t>
      </w:r>
      <w:r w:rsidR="00EB7AB0" w:rsidRPr="00EB7AB0">
        <w:rPr>
          <w:b/>
        </w:rPr>
        <w:t xml:space="preserve">e </w:t>
      </w:r>
      <w:r w:rsidR="00563F75">
        <w:rPr>
          <w:b/>
        </w:rPr>
        <w:t>or</w:t>
      </w:r>
      <w:r w:rsidR="00EB7AB0" w:rsidRPr="00EB7AB0">
        <w:rPr>
          <w:b/>
        </w:rPr>
        <w:t xml:space="preserve"> protect older persons’ human rights</w:t>
      </w:r>
      <w:r w:rsidR="00EB7AB0">
        <w:rPr>
          <w:bCs/>
        </w:rPr>
        <w:t xml:space="preserve"> </w:t>
      </w:r>
    </w:p>
    <w:p w14:paraId="5F7106AD" w14:textId="7A9377D9" w:rsidR="009D1230" w:rsidRDefault="00503667" w:rsidP="00503667">
      <w:pPr>
        <w:pStyle w:val="ParaNoG"/>
        <w:numPr>
          <w:ilvl w:val="0"/>
          <w:numId w:val="0"/>
        </w:numPr>
        <w:tabs>
          <w:tab w:val="left" w:pos="0"/>
        </w:tabs>
        <w:ind w:left="1134"/>
        <w:rPr>
          <w:bCs/>
        </w:rPr>
      </w:pPr>
      <w:r w:rsidRPr="00503667">
        <w:rPr>
          <w:bCs/>
        </w:rPr>
        <w:t>Older persons’ testimonies, representative organizations’ views and international and national experts’ assessments have all concluded that</w:t>
      </w:r>
      <w:r w:rsidR="000F364E">
        <w:rPr>
          <w:bCs/>
        </w:rPr>
        <w:t xml:space="preserve"> existing norms and procedures are</w:t>
      </w:r>
      <w:r w:rsidR="002A31E7">
        <w:rPr>
          <w:bCs/>
        </w:rPr>
        <w:t xml:space="preserve"> missing </w:t>
      </w:r>
      <w:r w:rsidR="00951C72">
        <w:rPr>
          <w:bCs/>
        </w:rPr>
        <w:t>concerning older persons'</w:t>
      </w:r>
      <w:r w:rsidR="00951C72" w:rsidDel="00951C72">
        <w:rPr>
          <w:bCs/>
        </w:rPr>
        <w:t xml:space="preserve"> </w:t>
      </w:r>
      <w:r w:rsidR="002A31E7">
        <w:rPr>
          <w:bCs/>
        </w:rPr>
        <w:t>human rights because</w:t>
      </w:r>
      <w:r w:rsidR="00951C72">
        <w:rPr>
          <w:bCs/>
        </w:rPr>
        <w:t xml:space="preserve"> they</w:t>
      </w:r>
      <w:r w:rsidR="009D1230">
        <w:rPr>
          <w:bCs/>
        </w:rPr>
        <w:t>:</w:t>
      </w:r>
      <w:r w:rsidRPr="00503667">
        <w:rPr>
          <w:bCs/>
        </w:rPr>
        <w:t xml:space="preserve"> </w:t>
      </w:r>
    </w:p>
    <w:p w14:paraId="4774D0D8" w14:textId="0669C043" w:rsidR="009D1230" w:rsidRDefault="00951C72" w:rsidP="00610D97">
      <w:pPr>
        <w:pStyle w:val="ParaNoG"/>
        <w:numPr>
          <w:ilvl w:val="0"/>
          <w:numId w:val="30"/>
        </w:numPr>
        <w:tabs>
          <w:tab w:val="left" w:pos="0"/>
        </w:tabs>
        <w:ind w:left="1701" w:hanging="207"/>
        <w:rPr>
          <w:bCs/>
        </w:rPr>
      </w:pPr>
      <w:r>
        <w:rPr>
          <w:bCs/>
        </w:rPr>
        <w:t>are spread across</w:t>
      </w:r>
      <w:r w:rsidR="00D8382F">
        <w:rPr>
          <w:bCs/>
        </w:rPr>
        <w:t xml:space="preserve"> in many different global UN Human Rights treaties, standards and </w:t>
      </w:r>
      <w:r w:rsidR="007775E2">
        <w:rPr>
          <w:bCs/>
        </w:rPr>
        <w:t>recommendations</w:t>
      </w:r>
      <w:r>
        <w:rPr>
          <w:bCs/>
        </w:rPr>
        <w:t>,</w:t>
      </w:r>
      <w:r w:rsidR="007775E2">
        <w:rPr>
          <w:bCs/>
        </w:rPr>
        <w:t xml:space="preserve"> and</w:t>
      </w:r>
      <w:r w:rsidR="009D1230">
        <w:rPr>
          <w:bCs/>
        </w:rPr>
        <w:t xml:space="preserve"> </w:t>
      </w:r>
    </w:p>
    <w:p w14:paraId="59FF86AB" w14:textId="22018AB5" w:rsidR="009D1230" w:rsidRDefault="00951C72" w:rsidP="009D1230">
      <w:pPr>
        <w:pStyle w:val="ParaNoG"/>
        <w:numPr>
          <w:ilvl w:val="0"/>
          <w:numId w:val="30"/>
        </w:numPr>
        <w:tabs>
          <w:tab w:val="left" w:pos="0"/>
        </w:tabs>
        <w:rPr>
          <w:bCs/>
        </w:rPr>
      </w:pPr>
      <w:proofErr w:type="gramStart"/>
      <w:r>
        <w:rPr>
          <w:bCs/>
        </w:rPr>
        <w:t>are</w:t>
      </w:r>
      <w:proofErr w:type="gramEnd"/>
      <w:r>
        <w:rPr>
          <w:bCs/>
        </w:rPr>
        <w:t xml:space="preserve"> </w:t>
      </w:r>
      <w:r w:rsidR="00F12083">
        <w:rPr>
          <w:bCs/>
        </w:rPr>
        <w:t xml:space="preserve">narrow </w:t>
      </w:r>
      <w:r>
        <w:rPr>
          <w:bCs/>
        </w:rPr>
        <w:t xml:space="preserve">in </w:t>
      </w:r>
      <w:r w:rsidR="00F12083">
        <w:rPr>
          <w:bCs/>
        </w:rPr>
        <w:t xml:space="preserve">idea and approach </w:t>
      </w:r>
      <w:r>
        <w:rPr>
          <w:bCs/>
        </w:rPr>
        <w:t xml:space="preserve">which leads </w:t>
      </w:r>
      <w:r w:rsidR="00F12083">
        <w:rPr>
          <w:bCs/>
        </w:rPr>
        <w:t>to limited effectiveness</w:t>
      </w:r>
      <w:r w:rsidR="000F364E">
        <w:rPr>
          <w:bCs/>
        </w:rPr>
        <w:t>.</w:t>
      </w:r>
      <w:r w:rsidR="009D1230" w:rsidRPr="00503667">
        <w:rPr>
          <w:bCs/>
        </w:rPr>
        <w:t xml:space="preserve"> </w:t>
      </w:r>
    </w:p>
    <w:p w14:paraId="3E3916C5" w14:textId="49C858FA" w:rsidR="00503667" w:rsidRDefault="00B83797" w:rsidP="00610D97">
      <w:pPr>
        <w:pStyle w:val="ParaNoG"/>
        <w:numPr>
          <w:ilvl w:val="0"/>
          <w:numId w:val="0"/>
        </w:numPr>
        <w:tabs>
          <w:tab w:val="left" w:pos="0"/>
        </w:tabs>
        <w:ind w:left="1134"/>
        <w:rPr>
          <w:bCs/>
        </w:rPr>
      </w:pPr>
      <w:r w:rsidRPr="00610D97">
        <w:rPr>
          <w:bCs/>
        </w:rPr>
        <w:t>As a result</w:t>
      </w:r>
      <w:r w:rsidR="000F364E" w:rsidRPr="00610D97">
        <w:rPr>
          <w:bCs/>
        </w:rPr>
        <w:t xml:space="preserve">, existing </w:t>
      </w:r>
      <w:r w:rsidR="00393733" w:rsidRPr="00610D97">
        <w:rPr>
          <w:bCs/>
        </w:rPr>
        <w:t xml:space="preserve">global </w:t>
      </w:r>
      <w:r w:rsidRPr="00610D97">
        <w:rPr>
          <w:bCs/>
        </w:rPr>
        <w:t xml:space="preserve">norms, </w:t>
      </w:r>
      <w:r w:rsidR="00D5624F" w:rsidRPr="00610D97">
        <w:rPr>
          <w:bCs/>
        </w:rPr>
        <w:t>rules</w:t>
      </w:r>
      <w:r w:rsidRPr="00610D97">
        <w:rPr>
          <w:bCs/>
        </w:rPr>
        <w:t xml:space="preserve"> and</w:t>
      </w:r>
      <w:r w:rsidR="00F12083" w:rsidRPr="00610D97">
        <w:rPr>
          <w:bCs/>
        </w:rPr>
        <w:t xml:space="preserve"> standards</w:t>
      </w:r>
      <w:r w:rsidR="00393733" w:rsidRPr="00610D97">
        <w:rPr>
          <w:bCs/>
        </w:rPr>
        <w:t>,</w:t>
      </w:r>
      <w:r w:rsidR="00F12083" w:rsidRPr="00610D97">
        <w:rPr>
          <w:bCs/>
        </w:rPr>
        <w:t xml:space="preserve"> </w:t>
      </w:r>
      <w:r w:rsidR="00393733" w:rsidRPr="00610D97">
        <w:rPr>
          <w:bCs/>
        </w:rPr>
        <w:t xml:space="preserve">which largely lack specificity and determination </w:t>
      </w:r>
      <w:r w:rsidR="00D5624F" w:rsidRPr="00610D97">
        <w:rPr>
          <w:bCs/>
        </w:rPr>
        <w:t>about</w:t>
      </w:r>
      <w:r w:rsidR="00393733" w:rsidRPr="00610D97">
        <w:rPr>
          <w:bCs/>
        </w:rPr>
        <w:t xml:space="preserve"> older person’s human rights requirements, are currently unsuitable to remedy </w:t>
      </w:r>
      <w:r w:rsidR="00951C72" w:rsidRPr="00610D97">
        <w:rPr>
          <w:bCs/>
        </w:rPr>
        <w:t xml:space="preserve">the violation of older persons’ </w:t>
      </w:r>
      <w:r w:rsidR="00393733" w:rsidRPr="00610D97">
        <w:rPr>
          <w:bCs/>
        </w:rPr>
        <w:t xml:space="preserve">human rights. </w:t>
      </w:r>
      <w:r w:rsidR="00423EF6" w:rsidRPr="00610D97">
        <w:rPr>
          <w:bCs/>
        </w:rPr>
        <w:t>Therefore, i</w:t>
      </w:r>
      <w:r w:rsidR="00393733" w:rsidRPr="00610D97">
        <w:rPr>
          <w:bCs/>
        </w:rPr>
        <w:t xml:space="preserve">nternational human rights </w:t>
      </w:r>
      <w:r w:rsidR="00F12083" w:rsidRPr="00610D97">
        <w:rPr>
          <w:bCs/>
        </w:rPr>
        <w:t xml:space="preserve">mechanisms </w:t>
      </w:r>
      <w:r w:rsidR="000F364E" w:rsidRPr="00610D97">
        <w:rPr>
          <w:bCs/>
        </w:rPr>
        <w:t>and procedures</w:t>
      </w:r>
      <w:r w:rsidR="00951C72" w:rsidRPr="00610D97">
        <w:rPr>
          <w:bCs/>
        </w:rPr>
        <w:t>,</w:t>
      </w:r>
      <w:r w:rsidR="000F364E" w:rsidRPr="00610D97">
        <w:rPr>
          <w:bCs/>
        </w:rPr>
        <w:t xml:space="preserve"> </w:t>
      </w:r>
      <w:r w:rsidR="00951C72" w:rsidRPr="00610D97">
        <w:rPr>
          <w:bCs/>
        </w:rPr>
        <w:t xml:space="preserve">too often, </w:t>
      </w:r>
      <w:r w:rsidR="00503667" w:rsidRPr="00610D97">
        <w:rPr>
          <w:bCs/>
        </w:rPr>
        <w:t xml:space="preserve">have </w:t>
      </w:r>
      <w:r w:rsidR="00951C72" w:rsidRPr="00610D97">
        <w:rPr>
          <w:bCs/>
        </w:rPr>
        <w:t xml:space="preserve">not addressed if older persons </w:t>
      </w:r>
      <w:r w:rsidR="00423EF6" w:rsidRPr="00610D97">
        <w:rPr>
          <w:bCs/>
        </w:rPr>
        <w:t xml:space="preserve">enjoy </w:t>
      </w:r>
      <w:r w:rsidR="00951C72" w:rsidRPr="00610D97">
        <w:rPr>
          <w:bCs/>
        </w:rPr>
        <w:t xml:space="preserve">their </w:t>
      </w:r>
      <w:r w:rsidR="00423EF6" w:rsidRPr="00610D97">
        <w:rPr>
          <w:bCs/>
        </w:rPr>
        <w:t xml:space="preserve">human rights, as the rules do not specifically </w:t>
      </w:r>
      <w:r w:rsidR="00951C72" w:rsidRPr="00610D97">
        <w:rPr>
          <w:bCs/>
        </w:rPr>
        <w:t>mention</w:t>
      </w:r>
      <w:r w:rsidR="00423EF6" w:rsidRPr="00610D97">
        <w:rPr>
          <w:bCs/>
        </w:rPr>
        <w:t xml:space="preserve"> older persons’ concerns and human rights interests</w:t>
      </w:r>
      <w:r w:rsidR="00951C72" w:rsidRPr="00610D97">
        <w:rPr>
          <w:bCs/>
        </w:rPr>
        <w:t xml:space="preserve">. This, </w:t>
      </w:r>
      <w:r w:rsidR="00423EF6" w:rsidRPr="00610D97">
        <w:rPr>
          <w:bCs/>
        </w:rPr>
        <w:t>in turn</w:t>
      </w:r>
      <w:r w:rsidR="00951C72" w:rsidRPr="00610D97">
        <w:rPr>
          <w:bCs/>
        </w:rPr>
        <w:t>,</w:t>
      </w:r>
      <w:r w:rsidR="00423EF6" w:rsidRPr="00610D97">
        <w:rPr>
          <w:bCs/>
        </w:rPr>
        <w:t xml:space="preserve"> makes it difficult to apply rules and provide human rights protection to older persons. Consequentially, too often</w:t>
      </w:r>
      <w:r w:rsidR="00951C72" w:rsidRPr="00610D97">
        <w:rPr>
          <w:bCs/>
        </w:rPr>
        <w:t>,</w:t>
      </w:r>
      <w:r w:rsidR="00423EF6" w:rsidRPr="00610D97">
        <w:rPr>
          <w:bCs/>
        </w:rPr>
        <w:t xml:space="preserve"> </w:t>
      </w:r>
      <w:r w:rsidR="00951C72" w:rsidRPr="00610D97">
        <w:rPr>
          <w:bCs/>
        </w:rPr>
        <w:t xml:space="preserve">older persons’ </w:t>
      </w:r>
      <w:r w:rsidR="00503667" w:rsidRPr="00610D97">
        <w:rPr>
          <w:bCs/>
        </w:rPr>
        <w:t>human rights</w:t>
      </w:r>
      <w:r w:rsidR="00423EF6" w:rsidRPr="00610D97">
        <w:rPr>
          <w:bCs/>
        </w:rPr>
        <w:t xml:space="preserve"> are</w:t>
      </w:r>
      <w:r w:rsidR="00503667" w:rsidRPr="00610D97">
        <w:rPr>
          <w:bCs/>
        </w:rPr>
        <w:t xml:space="preserve"> </w:t>
      </w:r>
      <w:r w:rsidR="000F364E" w:rsidRPr="00610D97">
        <w:rPr>
          <w:bCs/>
        </w:rPr>
        <w:t xml:space="preserve">not recognized </w:t>
      </w:r>
      <w:r w:rsidR="00951C72" w:rsidRPr="00610D97">
        <w:rPr>
          <w:bCs/>
        </w:rPr>
        <w:t xml:space="preserve">or </w:t>
      </w:r>
      <w:r w:rsidR="000F364E" w:rsidRPr="00610D97">
        <w:rPr>
          <w:bCs/>
        </w:rPr>
        <w:t xml:space="preserve">protected </w:t>
      </w:r>
      <w:r w:rsidR="00503667" w:rsidRPr="00610D97">
        <w:rPr>
          <w:bCs/>
        </w:rPr>
        <w:t>at the international level</w:t>
      </w:r>
      <w:r w:rsidR="00423EF6" w:rsidRPr="00610D97">
        <w:rPr>
          <w:bCs/>
        </w:rPr>
        <w:t xml:space="preserve"> due to </w:t>
      </w:r>
      <w:r w:rsidR="00951C72" w:rsidRPr="00610D97">
        <w:rPr>
          <w:bCs/>
        </w:rPr>
        <w:t xml:space="preserve">a </w:t>
      </w:r>
      <w:r w:rsidR="00423EF6" w:rsidRPr="00610D97">
        <w:rPr>
          <w:bCs/>
        </w:rPr>
        <w:t>lack of specificity</w:t>
      </w:r>
      <w:r w:rsidR="00503667" w:rsidRPr="00610D97">
        <w:rPr>
          <w:bCs/>
        </w:rPr>
        <w:t xml:space="preserve">. </w:t>
      </w:r>
      <w:r w:rsidR="000F364E" w:rsidRPr="00610D97">
        <w:rPr>
          <w:bCs/>
        </w:rPr>
        <w:t>I</w:t>
      </w:r>
      <w:r w:rsidR="00503667" w:rsidRPr="00610D97">
        <w:rPr>
          <w:bCs/>
        </w:rPr>
        <w:t xml:space="preserve">nternational framework </w:t>
      </w:r>
      <w:r w:rsidR="000F364E" w:rsidRPr="00610D97">
        <w:rPr>
          <w:bCs/>
        </w:rPr>
        <w:t xml:space="preserve">deficiencies have </w:t>
      </w:r>
      <w:r w:rsidR="00503667" w:rsidRPr="00610D97">
        <w:rPr>
          <w:bCs/>
        </w:rPr>
        <w:t>mean</w:t>
      </w:r>
      <w:r w:rsidR="000F364E" w:rsidRPr="00610D97">
        <w:rPr>
          <w:bCs/>
        </w:rPr>
        <w:t>t</w:t>
      </w:r>
      <w:r w:rsidR="00503667" w:rsidRPr="00610D97">
        <w:rPr>
          <w:bCs/>
        </w:rPr>
        <w:t xml:space="preserve"> that the important </w:t>
      </w:r>
      <w:r w:rsidR="006C1592" w:rsidRPr="00610D97">
        <w:rPr>
          <w:bCs/>
        </w:rPr>
        <w:t>mobilizing</w:t>
      </w:r>
      <w:r w:rsidR="00503667" w:rsidRPr="00610D97">
        <w:rPr>
          <w:bCs/>
        </w:rPr>
        <w:t xml:space="preserve"> and supportive role </w:t>
      </w:r>
      <w:r w:rsidR="00D5624F" w:rsidRPr="00610D97">
        <w:rPr>
          <w:bCs/>
        </w:rPr>
        <w:t>those international standards</w:t>
      </w:r>
      <w:r w:rsidR="00503667" w:rsidRPr="00610D97">
        <w:rPr>
          <w:bCs/>
        </w:rPr>
        <w:t xml:space="preserve"> can play in generating action at the national level </w:t>
      </w:r>
      <w:bookmarkStart w:id="3" w:name="_Hlk119414235"/>
      <w:r w:rsidR="00503667" w:rsidRPr="00610D97">
        <w:rPr>
          <w:bCs/>
        </w:rPr>
        <w:t>has also largely been absent</w:t>
      </w:r>
      <w:bookmarkEnd w:id="3"/>
      <w:r w:rsidR="00503667" w:rsidRPr="00610D97">
        <w:rPr>
          <w:bCs/>
        </w:rPr>
        <w:t xml:space="preserve">. The result is </w:t>
      </w:r>
      <w:r w:rsidR="006C1592" w:rsidRPr="00610D97">
        <w:rPr>
          <w:bCs/>
        </w:rPr>
        <w:t xml:space="preserve">a </w:t>
      </w:r>
      <w:r w:rsidR="00503667" w:rsidRPr="00610D97">
        <w:rPr>
          <w:bCs/>
        </w:rPr>
        <w:t>more limited legal protection of older persons’ human rights compared to other groups.</w:t>
      </w:r>
      <w:r w:rsidR="00503667" w:rsidRPr="00503667">
        <w:rPr>
          <w:bCs/>
        </w:rPr>
        <w:t xml:space="preserve"> </w:t>
      </w:r>
    </w:p>
    <w:p w14:paraId="738DE5ED" w14:textId="77777777" w:rsidR="004F6D1A" w:rsidRPr="00503667" w:rsidRDefault="004F6D1A" w:rsidP="00610D97">
      <w:pPr>
        <w:pStyle w:val="ParaNoG"/>
        <w:numPr>
          <w:ilvl w:val="0"/>
          <w:numId w:val="0"/>
        </w:numPr>
        <w:tabs>
          <w:tab w:val="left" w:pos="0"/>
        </w:tabs>
        <w:ind w:left="1134"/>
        <w:rPr>
          <w:bCs/>
        </w:rPr>
      </w:pPr>
    </w:p>
    <w:p w14:paraId="425D209B" w14:textId="260A50E7" w:rsidR="00EB7AB0" w:rsidRDefault="004F6D1A" w:rsidP="00EB7AB0">
      <w:pPr>
        <w:pStyle w:val="ParaNoG"/>
        <w:numPr>
          <w:ilvl w:val="0"/>
          <w:numId w:val="0"/>
        </w:numPr>
        <w:tabs>
          <w:tab w:val="left" w:pos="0"/>
        </w:tabs>
        <w:ind w:left="1701" w:hanging="567"/>
        <w:rPr>
          <w:b/>
        </w:rPr>
      </w:pPr>
      <w:r>
        <w:rPr>
          <w:bCs/>
        </w:rPr>
        <w:lastRenderedPageBreak/>
        <w:t>6</w:t>
      </w:r>
      <w:r w:rsidR="00503667" w:rsidRPr="00503667">
        <w:rPr>
          <w:bCs/>
        </w:rPr>
        <w:t>.</w:t>
      </w:r>
      <w:r w:rsidR="00503667" w:rsidRPr="00503667">
        <w:rPr>
          <w:bCs/>
        </w:rPr>
        <w:tab/>
      </w:r>
      <w:r w:rsidR="004A1F20" w:rsidRPr="004A1F20">
        <w:rPr>
          <w:b/>
        </w:rPr>
        <w:t>Our</w:t>
      </w:r>
      <w:r w:rsidR="004A1F20">
        <w:rPr>
          <w:bCs/>
        </w:rPr>
        <w:t xml:space="preserve"> </w:t>
      </w:r>
      <w:r w:rsidR="00EB7AB0" w:rsidRPr="00EB7AB0">
        <w:rPr>
          <w:b/>
        </w:rPr>
        <w:t>coverage of older persons’ human rights</w:t>
      </w:r>
      <w:r w:rsidR="00EB7AB0">
        <w:rPr>
          <w:b/>
        </w:rPr>
        <w:t xml:space="preserve"> </w:t>
      </w:r>
      <w:r>
        <w:rPr>
          <w:b/>
        </w:rPr>
        <w:t xml:space="preserve">is </w:t>
      </w:r>
      <w:r w:rsidR="00951C72">
        <w:rPr>
          <w:b/>
        </w:rPr>
        <w:t>spread across</w:t>
      </w:r>
      <w:r w:rsidR="007775E2">
        <w:rPr>
          <w:b/>
        </w:rPr>
        <w:t xml:space="preserve"> many different legal sources</w:t>
      </w:r>
      <w:r w:rsidR="007775E2" w:rsidRPr="00EB7AB0">
        <w:rPr>
          <w:b/>
        </w:rPr>
        <w:t xml:space="preserve"> </w:t>
      </w:r>
      <w:r w:rsidRPr="00EB7AB0">
        <w:rPr>
          <w:b/>
        </w:rPr>
        <w:t xml:space="preserve">and </w:t>
      </w:r>
      <w:r w:rsidR="00365BC4">
        <w:rPr>
          <w:b/>
        </w:rPr>
        <w:t xml:space="preserve">is </w:t>
      </w:r>
      <w:r w:rsidRPr="00EB7AB0">
        <w:rPr>
          <w:b/>
        </w:rPr>
        <w:t>inconsistent</w:t>
      </w:r>
    </w:p>
    <w:p w14:paraId="544EC7B9" w14:textId="573A2547" w:rsidR="00EB7AB0" w:rsidRPr="00365BC4" w:rsidRDefault="00EB7AB0" w:rsidP="00EB7AB0">
      <w:pPr>
        <w:pStyle w:val="ParaNoG"/>
        <w:numPr>
          <w:ilvl w:val="0"/>
          <w:numId w:val="0"/>
        </w:numPr>
        <w:tabs>
          <w:tab w:val="left" w:pos="0"/>
        </w:tabs>
        <w:ind w:left="1701" w:hanging="567"/>
        <w:rPr>
          <w:bCs/>
        </w:rPr>
      </w:pPr>
      <w:r>
        <w:rPr>
          <w:bCs/>
        </w:rPr>
        <w:tab/>
      </w:r>
      <w:r w:rsidR="004A1F20" w:rsidRPr="004A1F20">
        <w:rPr>
          <w:b/>
        </w:rPr>
        <w:t xml:space="preserve">We </w:t>
      </w:r>
      <w:r w:rsidR="00563F75">
        <w:rPr>
          <w:b/>
        </w:rPr>
        <w:t xml:space="preserve">do not have </w:t>
      </w:r>
      <w:r w:rsidR="004F6D1A">
        <w:rPr>
          <w:b/>
        </w:rPr>
        <w:t xml:space="preserve">a </w:t>
      </w:r>
      <w:r w:rsidR="007775E2">
        <w:rPr>
          <w:b/>
        </w:rPr>
        <w:t xml:space="preserve">specific </w:t>
      </w:r>
      <w:r w:rsidR="00925248">
        <w:rPr>
          <w:b/>
        </w:rPr>
        <w:t xml:space="preserve">legal </w:t>
      </w:r>
      <w:r>
        <w:rPr>
          <w:b/>
        </w:rPr>
        <w:t xml:space="preserve">framework </w:t>
      </w:r>
      <w:r w:rsidR="00925248">
        <w:rPr>
          <w:b/>
        </w:rPr>
        <w:t xml:space="preserve">that protects </w:t>
      </w:r>
      <w:r w:rsidR="00951C72">
        <w:rPr>
          <w:b/>
        </w:rPr>
        <w:t xml:space="preserve">older persons’ </w:t>
      </w:r>
      <w:r w:rsidR="00925248">
        <w:rPr>
          <w:b/>
        </w:rPr>
        <w:t xml:space="preserve">human rights </w:t>
      </w:r>
    </w:p>
    <w:p w14:paraId="2F2B56E3" w14:textId="702C5923" w:rsidR="00503667" w:rsidRDefault="00503667" w:rsidP="00610D97">
      <w:pPr>
        <w:pStyle w:val="ParaNoG"/>
        <w:numPr>
          <w:ilvl w:val="0"/>
          <w:numId w:val="0"/>
        </w:numPr>
        <w:tabs>
          <w:tab w:val="left" w:pos="0"/>
        </w:tabs>
        <w:ind w:left="1134"/>
        <w:rPr>
          <w:bCs/>
        </w:rPr>
      </w:pPr>
      <w:r w:rsidRPr="00400392">
        <w:rPr>
          <w:bCs/>
        </w:rPr>
        <w:t xml:space="preserve">Despite </w:t>
      </w:r>
      <w:r w:rsidR="00925248" w:rsidRPr="00400392">
        <w:rPr>
          <w:bCs/>
        </w:rPr>
        <w:t>progress</w:t>
      </w:r>
      <w:r w:rsidRPr="00400392">
        <w:rPr>
          <w:bCs/>
        </w:rPr>
        <w:t xml:space="preserve"> </w:t>
      </w:r>
      <w:r w:rsidR="00365BC4" w:rsidRPr="00400392">
        <w:rPr>
          <w:bCs/>
        </w:rPr>
        <w:t>in some</w:t>
      </w:r>
      <w:r w:rsidRPr="00400392">
        <w:rPr>
          <w:bCs/>
        </w:rPr>
        <w:t xml:space="preserve"> region</w:t>
      </w:r>
      <w:r w:rsidR="00365BC4" w:rsidRPr="00400392">
        <w:rPr>
          <w:bCs/>
        </w:rPr>
        <w:t>s</w:t>
      </w:r>
      <w:r w:rsidRPr="00400392">
        <w:rPr>
          <w:bCs/>
        </w:rPr>
        <w:t xml:space="preserve"> </w:t>
      </w:r>
      <w:r w:rsidR="00951C72">
        <w:rPr>
          <w:bCs/>
        </w:rPr>
        <w:t>over</w:t>
      </w:r>
      <w:r w:rsidR="00365BC4" w:rsidRPr="00400392">
        <w:rPr>
          <w:bCs/>
        </w:rPr>
        <w:t xml:space="preserve"> the last ten years</w:t>
      </w:r>
      <w:r w:rsidRPr="00400392">
        <w:rPr>
          <w:bCs/>
        </w:rPr>
        <w:t xml:space="preserve">, </w:t>
      </w:r>
      <w:r w:rsidR="00365BC4" w:rsidRPr="00400392">
        <w:rPr>
          <w:bCs/>
        </w:rPr>
        <w:t xml:space="preserve">the coverage of </w:t>
      </w:r>
      <w:r w:rsidR="00951C72" w:rsidRPr="000235F5">
        <w:rPr>
          <w:bCs/>
        </w:rPr>
        <w:t>older persons</w:t>
      </w:r>
      <w:r w:rsidR="00951C72">
        <w:rPr>
          <w:bCs/>
        </w:rPr>
        <w:t>’</w:t>
      </w:r>
      <w:r w:rsidR="00951C72" w:rsidRPr="000235F5">
        <w:rPr>
          <w:bCs/>
        </w:rPr>
        <w:t xml:space="preserve"> </w:t>
      </w:r>
      <w:r w:rsidR="00365BC4" w:rsidRPr="00400392">
        <w:rPr>
          <w:bCs/>
        </w:rPr>
        <w:t xml:space="preserve">rights </w:t>
      </w:r>
      <w:proofErr w:type="gramStart"/>
      <w:r w:rsidR="00365BC4" w:rsidRPr="000235F5">
        <w:rPr>
          <w:bCs/>
        </w:rPr>
        <w:t xml:space="preserve">is </w:t>
      </w:r>
      <w:r w:rsidR="00951C72">
        <w:rPr>
          <w:bCs/>
        </w:rPr>
        <w:t>found</w:t>
      </w:r>
      <w:proofErr w:type="gramEnd"/>
      <w:r w:rsidR="00951C72">
        <w:rPr>
          <w:bCs/>
        </w:rPr>
        <w:t xml:space="preserve"> </w:t>
      </w:r>
      <w:r w:rsidR="00365BC4" w:rsidRPr="000235F5">
        <w:rPr>
          <w:bCs/>
        </w:rPr>
        <w:t xml:space="preserve">in many different legal sources and </w:t>
      </w:r>
      <w:r w:rsidR="00365BC4" w:rsidRPr="00400392">
        <w:rPr>
          <w:bCs/>
        </w:rPr>
        <w:t xml:space="preserve">is </w:t>
      </w:r>
      <w:r w:rsidR="00365BC4" w:rsidRPr="000235F5">
        <w:rPr>
          <w:bCs/>
        </w:rPr>
        <w:t>inconsistent</w:t>
      </w:r>
      <w:r w:rsidRPr="00400392">
        <w:rPr>
          <w:bCs/>
        </w:rPr>
        <w:t xml:space="preserve">. </w:t>
      </w:r>
      <w:r w:rsidR="00951C72">
        <w:rPr>
          <w:bCs/>
        </w:rPr>
        <w:t>The p</w:t>
      </w:r>
      <w:r w:rsidRPr="00400392">
        <w:rPr>
          <w:bCs/>
        </w:rPr>
        <w:t xml:space="preserve">rotection </w:t>
      </w:r>
      <w:r w:rsidR="00365BC4" w:rsidRPr="00400392">
        <w:rPr>
          <w:bCs/>
        </w:rPr>
        <w:t xml:space="preserve">of their rights </w:t>
      </w:r>
      <w:r w:rsidRPr="00400392">
        <w:rPr>
          <w:bCs/>
        </w:rPr>
        <w:t xml:space="preserve">is </w:t>
      </w:r>
      <w:r w:rsidR="00365BC4" w:rsidRPr="00400392">
        <w:rPr>
          <w:bCs/>
        </w:rPr>
        <w:t>lacking</w:t>
      </w:r>
      <w:r w:rsidRPr="00400392">
        <w:rPr>
          <w:bCs/>
        </w:rPr>
        <w:t xml:space="preserve"> or </w:t>
      </w:r>
      <w:r w:rsidR="00365BC4" w:rsidRPr="00400392">
        <w:rPr>
          <w:bCs/>
        </w:rPr>
        <w:t>not specific enough to help g</w:t>
      </w:r>
      <w:r w:rsidRPr="00400392">
        <w:rPr>
          <w:bCs/>
        </w:rPr>
        <w:t>overnments, policymakers and advocacy groups</w:t>
      </w:r>
      <w:r w:rsidR="00365BC4" w:rsidRPr="00400392">
        <w:rPr>
          <w:bCs/>
        </w:rPr>
        <w:t xml:space="preserve"> understand what </w:t>
      </w:r>
      <w:r w:rsidRPr="00400392">
        <w:rPr>
          <w:bCs/>
        </w:rPr>
        <w:t xml:space="preserve">actions </w:t>
      </w:r>
      <w:r w:rsidR="00365BC4" w:rsidRPr="00400392">
        <w:rPr>
          <w:bCs/>
        </w:rPr>
        <w:t>they need to take</w:t>
      </w:r>
      <w:r w:rsidRPr="00400392">
        <w:rPr>
          <w:bCs/>
        </w:rPr>
        <w:t xml:space="preserve">. </w:t>
      </w:r>
      <w:r w:rsidR="00EB7AB0" w:rsidRPr="00400392">
        <w:rPr>
          <w:bCs/>
        </w:rPr>
        <w:t xml:space="preserve">Not having </w:t>
      </w:r>
      <w:r w:rsidRPr="00400392">
        <w:rPr>
          <w:bCs/>
        </w:rPr>
        <w:t xml:space="preserve">a dedicated international human rights framework on older persons </w:t>
      </w:r>
      <w:r w:rsidR="00EB7AB0" w:rsidRPr="00400392">
        <w:rPr>
          <w:bCs/>
        </w:rPr>
        <w:t xml:space="preserve">limits existing human rights mechanisms in </w:t>
      </w:r>
      <w:r w:rsidR="006C1592" w:rsidRPr="00400392">
        <w:rPr>
          <w:bCs/>
        </w:rPr>
        <w:t xml:space="preserve">how they think about </w:t>
      </w:r>
      <w:r w:rsidRPr="00400392">
        <w:rPr>
          <w:bCs/>
        </w:rPr>
        <w:t xml:space="preserve">cross-sectional issues. </w:t>
      </w:r>
      <w:proofErr w:type="gramStart"/>
      <w:r w:rsidR="006C1592" w:rsidRPr="00400392">
        <w:rPr>
          <w:bCs/>
        </w:rPr>
        <w:t>Also</w:t>
      </w:r>
      <w:proofErr w:type="gramEnd"/>
      <w:r w:rsidRPr="00400392">
        <w:rPr>
          <w:bCs/>
        </w:rPr>
        <w:t xml:space="preserve">, </w:t>
      </w:r>
      <w:r w:rsidR="00EB7AB0" w:rsidRPr="00400392">
        <w:rPr>
          <w:bCs/>
        </w:rPr>
        <w:t xml:space="preserve">the existing international human rights framework does not sufficiently cover </w:t>
      </w:r>
      <w:r w:rsidR="008E28BF" w:rsidRPr="00400392">
        <w:rPr>
          <w:bCs/>
        </w:rPr>
        <w:t>several</w:t>
      </w:r>
      <w:r w:rsidRPr="00400392">
        <w:rPr>
          <w:bCs/>
        </w:rPr>
        <w:t xml:space="preserve"> issues that are </w:t>
      </w:r>
      <w:r w:rsidR="006C1592" w:rsidRPr="00400392">
        <w:rPr>
          <w:bCs/>
        </w:rPr>
        <w:t>important</w:t>
      </w:r>
      <w:r w:rsidRPr="00400392">
        <w:rPr>
          <w:bCs/>
        </w:rPr>
        <w:t xml:space="preserve"> for older persons.</w:t>
      </w:r>
      <w:r w:rsidRPr="00503667">
        <w:rPr>
          <w:bCs/>
        </w:rPr>
        <w:t xml:space="preserve"> </w:t>
      </w:r>
    </w:p>
    <w:p w14:paraId="3220887C" w14:textId="77777777" w:rsidR="004F6D1A" w:rsidRPr="00503667" w:rsidRDefault="004F6D1A" w:rsidP="00503667">
      <w:pPr>
        <w:pStyle w:val="ParaNoG"/>
        <w:numPr>
          <w:ilvl w:val="0"/>
          <w:numId w:val="0"/>
        </w:numPr>
        <w:tabs>
          <w:tab w:val="left" w:pos="0"/>
        </w:tabs>
        <w:ind w:left="1134"/>
        <w:rPr>
          <w:bCs/>
        </w:rPr>
      </w:pPr>
    </w:p>
    <w:p w14:paraId="445BFFC8" w14:textId="1DC9F6C2" w:rsidR="00EB7AB0" w:rsidRDefault="004F6D1A" w:rsidP="00503667">
      <w:pPr>
        <w:pStyle w:val="ParaNoG"/>
        <w:numPr>
          <w:ilvl w:val="0"/>
          <w:numId w:val="0"/>
        </w:numPr>
        <w:tabs>
          <w:tab w:val="left" w:pos="0"/>
        </w:tabs>
        <w:ind w:left="1134"/>
        <w:rPr>
          <w:bCs/>
        </w:rPr>
      </w:pPr>
      <w:r>
        <w:rPr>
          <w:bCs/>
        </w:rPr>
        <w:t>7</w:t>
      </w:r>
      <w:r w:rsidR="00503667" w:rsidRPr="00503667">
        <w:rPr>
          <w:bCs/>
        </w:rPr>
        <w:t>.</w:t>
      </w:r>
      <w:r w:rsidR="00503667" w:rsidRPr="00503667">
        <w:rPr>
          <w:bCs/>
        </w:rPr>
        <w:tab/>
      </w:r>
      <w:r w:rsidR="004A1F20" w:rsidRPr="004A1F20">
        <w:rPr>
          <w:b/>
        </w:rPr>
        <w:t>We need to do more</w:t>
      </w:r>
      <w:r w:rsidR="004A1F20">
        <w:rPr>
          <w:bCs/>
        </w:rPr>
        <w:t xml:space="preserve"> </w:t>
      </w:r>
      <w:r>
        <w:rPr>
          <w:b/>
        </w:rPr>
        <w:t xml:space="preserve">to </w:t>
      </w:r>
      <w:r w:rsidR="00EB7AB0" w:rsidRPr="00EB7AB0">
        <w:rPr>
          <w:b/>
        </w:rPr>
        <w:t>clos</w:t>
      </w:r>
      <w:r>
        <w:rPr>
          <w:b/>
        </w:rPr>
        <w:t>e</w:t>
      </w:r>
      <w:r w:rsidR="00EB7AB0" w:rsidRPr="00EB7AB0">
        <w:rPr>
          <w:b/>
        </w:rPr>
        <w:t xml:space="preserve"> gaps </w:t>
      </w:r>
      <w:r w:rsidR="006C1592">
        <w:rPr>
          <w:b/>
        </w:rPr>
        <w:t xml:space="preserve">that </w:t>
      </w:r>
      <w:r>
        <w:rPr>
          <w:b/>
        </w:rPr>
        <w:t xml:space="preserve">affect </w:t>
      </w:r>
      <w:r w:rsidR="00EB7AB0" w:rsidRPr="00EB7AB0">
        <w:rPr>
          <w:b/>
        </w:rPr>
        <w:t>older persons’ human rights</w:t>
      </w:r>
    </w:p>
    <w:p w14:paraId="06F70E76" w14:textId="1F2CBF09" w:rsidR="00EB7AB0" w:rsidRDefault="00503667" w:rsidP="00503667">
      <w:pPr>
        <w:pStyle w:val="ParaNoG"/>
        <w:numPr>
          <w:ilvl w:val="0"/>
          <w:numId w:val="0"/>
        </w:numPr>
        <w:tabs>
          <w:tab w:val="left" w:pos="0"/>
        </w:tabs>
        <w:ind w:left="1134"/>
        <w:rPr>
          <w:bCs/>
        </w:rPr>
      </w:pPr>
      <w:r w:rsidRPr="00503667">
        <w:rPr>
          <w:bCs/>
        </w:rPr>
        <w:t xml:space="preserve">While </w:t>
      </w:r>
      <w:r w:rsidR="00364F23">
        <w:rPr>
          <w:bCs/>
        </w:rPr>
        <w:t xml:space="preserve">those </w:t>
      </w:r>
      <w:r w:rsidRPr="00503667">
        <w:rPr>
          <w:bCs/>
        </w:rPr>
        <w:t xml:space="preserve">international human rights mechanisms have </w:t>
      </w:r>
      <w:r w:rsidR="00364F23">
        <w:rPr>
          <w:bCs/>
        </w:rPr>
        <w:t xml:space="preserve">tried </w:t>
      </w:r>
      <w:r w:rsidRPr="00503667">
        <w:rPr>
          <w:bCs/>
        </w:rPr>
        <w:t xml:space="preserve">to consider issues affecting older persons as part of their ongoing work, </w:t>
      </w:r>
      <w:r w:rsidR="004A1F20">
        <w:rPr>
          <w:bCs/>
        </w:rPr>
        <w:t>we recogni</w:t>
      </w:r>
      <w:r w:rsidR="006C1592">
        <w:rPr>
          <w:bCs/>
        </w:rPr>
        <w:t>z</w:t>
      </w:r>
      <w:r w:rsidR="004A1F20">
        <w:rPr>
          <w:bCs/>
        </w:rPr>
        <w:t xml:space="preserve">e </w:t>
      </w:r>
      <w:r w:rsidRPr="00503667">
        <w:rPr>
          <w:bCs/>
        </w:rPr>
        <w:t xml:space="preserve">that more needs to </w:t>
      </w:r>
      <w:proofErr w:type="gramStart"/>
      <w:r w:rsidRPr="00503667">
        <w:rPr>
          <w:bCs/>
        </w:rPr>
        <w:t>be done</w:t>
      </w:r>
      <w:proofErr w:type="gramEnd"/>
      <w:r w:rsidRPr="00503667">
        <w:rPr>
          <w:bCs/>
        </w:rPr>
        <w:t xml:space="preserve"> to close human rights protection gaps affecting older persons. </w:t>
      </w:r>
      <w:r w:rsidR="004A1F20">
        <w:rPr>
          <w:bCs/>
        </w:rPr>
        <w:t>E</w:t>
      </w:r>
      <w:r w:rsidRPr="00503667">
        <w:rPr>
          <w:bCs/>
        </w:rPr>
        <w:t xml:space="preserve">xisting human rights treaty bodies and mechanisms could: </w:t>
      </w:r>
    </w:p>
    <w:p w14:paraId="486CA937" w14:textId="7E864845" w:rsidR="00EB7AB0" w:rsidRDefault="008B171C" w:rsidP="004F6D1A">
      <w:pPr>
        <w:pStyle w:val="ParaNoG"/>
        <w:numPr>
          <w:ilvl w:val="0"/>
          <w:numId w:val="19"/>
        </w:numPr>
        <w:tabs>
          <w:tab w:val="left" w:pos="0"/>
        </w:tabs>
        <w:rPr>
          <w:bCs/>
        </w:rPr>
      </w:pPr>
      <w:r>
        <w:rPr>
          <w:bCs/>
        </w:rPr>
        <w:t>better</w:t>
      </w:r>
      <w:r w:rsidR="00503667" w:rsidRPr="00503667">
        <w:rPr>
          <w:bCs/>
        </w:rPr>
        <w:t xml:space="preserve"> integrate older persons within their existing mandates and activities</w:t>
      </w:r>
      <w:r w:rsidR="004F6D1A">
        <w:rPr>
          <w:bCs/>
        </w:rPr>
        <w:t>,</w:t>
      </w:r>
      <w:r w:rsidR="00503667" w:rsidRPr="00503667">
        <w:rPr>
          <w:bCs/>
        </w:rPr>
        <w:t xml:space="preserve"> </w:t>
      </w:r>
    </w:p>
    <w:p w14:paraId="42521F12" w14:textId="4FB6B90B" w:rsidR="00EB7AB0" w:rsidRDefault="00503667" w:rsidP="006C1592">
      <w:pPr>
        <w:pStyle w:val="ParaNoG"/>
        <w:numPr>
          <w:ilvl w:val="0"/>
          <w:numId w:val="19"/>
        </w:numPr>
        <w:tabs>
          <w:tab w:val="left" w:pos="0"/>
        </w:tabs>
        <w:ind w:left="1701" w:hanging="207"/>
        <w:rPr>
          <w:bCs/>
        </w:rPr>
      </w:pPr>
      <w:r w:rsidRPr="00503667">
        <w:rPr>
          <w:bCs/>
        </w:rPr>
        <w:t>consider</w:t>
      </w:r>
      <w:r w:rsidR="006C1592">
        <w:rPr>
          <w:bCs/>
        </w:rPr>
        <w:t>:</w:t>
      </w:r>
      <w:r w:rsidRPr="00503667">
        <w:rPr>
          <w:bCs/>
        </w:rPr>
        <w:t xml:space="preserve"> </w:t>
      </w:r>
      <w:r w:rsidR="006C1592">
        <w:rPr>
          <w:bCs/>
        </w:rPr>
        <w:t xml:space="preserve">(a) </w:t>
      </w:r>
      <w:r w:rsidRPr="00503667">
        <w:rPr>
          <w:bCs/>
        </w:rPr>
        <w:t>developing specific norms and standards</w:t>
      </w:r>
      <w:r w:rsidR="006C1592">
        <w:rPr>
          <w:bCs/>
        </w:rPr>
        <w:t>,</w:t>
      </w:r>
      <w:r w:rsidRPr="00503667">
        <w:rPr>
          <w:bCs/>
        </w:rPr>
        <w:t xml:space="preserve"> and </w:t>
      </w:r>
      <w:r w:rsidR="006C1592">
        <w:rPr>
          <w:bCs/>
        </w:rPr>
        <w:t xml:space="preserve">(b) </w:t>
      </w:r>
      <w:r w:rsidRPr="00503667">
        <w:rPr>
          <w:bCs/>
        </w:rPr>
        <w:t>updating guidance on older persons</w:t>
      </w:r>
      <w:r w:rsidR="004F6D1A">
        <w:rPr>
          <w:bCs/>
        </w:rPr>
        <w:t>,</w:t>
      </w:r>
      <w:r w:rsidRPr="00503667">
        <w:rPr>
          <w:bCs/>
        </w:rPr>
        <w:t xml:space="preserve"> and </w:t>
      </w:r>
    </w:p>
    <w:p w14:paraId="2CB11BB5" w14:textId="43F28428" w:rsidR="00503667" w:rsidRDefault="00503667" w:rsidP="004F6D1A">
      <w:pPr>
        <w:pStyle w:val="ParaNoG"/>
        <w:numPr>
          <w:ilvl w:val="0"/>
          <w:numId w:val="19"/>
        </w:numPr>
        <w:tabs>
          <w:tab w:val="left" w:pos="0"/>
        </w:tabs>
        <w:ind w:left="1701" w:hanging="207"/>
        <w:rPr>
          <w:bCs/>
        </w:rPr>
      </w:pPr>
      <w:proofErr w:type="gramStart"/>
      <w:r w:rsidRPr="00503667">
        <w:rPr>
          <w:bCs/>
        </w:rPr>
        <w:t>strength</w:t>
      </w:r>
      <w:r w:rsidRPr="00357C61">
        <w:rPr>
          <w:bCs/>
        </w:rPr>
        <w:t>en</w:t>
      </w:r>
      <w:proofErr w:type="gramEnd"/>
      <w:r w:rsidRPr="00357C61">
        <w:rPr>
          <w:bCs/>
        </w:rPr>
        <w:t xml:space="preserve"> collaboration and explore joint approaches in addressing intersectional aspects impacting</w:t>
      </w:r>
      <w:r w:rsidRPr="00503667">
        <w:rPr>
          <w:bCs/>
        </w:rPr>
        <w:t xml:space="preserve"> older persons.</w:t>
      </w:r>
    </w:p>
    <w:p w14:paraId="711AB392" w14:textId="77777777" w:rsidR="004F6D1A" w:rsidRPr="00503667" w:rsidRDefault="004F6D1A" w:rsidP="004F6D1A">
      <w:pPr>
        <w:pStyle w:val="ParaNoG"/>
        <w:numPr>
          <w:ilvl w:val="0"/>
          <w:numId w:val="0"/>
        </w:numPr>
        <w:tabs>
          <w:tab w:val="left" w:pos="0"/>
        </w:tabs>
        <w:ind w:left="1701"/>
        <w:rPr>
          <w:bCs/>
        </w:rPr>
      </w:pPr>
    </w:p>
    <w:p w14:paraId="2FC46C00" w14:textId="6482F00D" w:rsidR="004F6D1A" w:rsidRDefault="004F6D1A" w:rsidP="00503667">
      <w:pPr>
        <w:pStyle w:val="ParaNoG"/>
        <w:numPr>
          <w:ilvl w:val="0"/>
          <w:numId w:val="0"/>
        </w:numPr>
        <w:tabs>
          <w:tab w:val="left" w:pos="0"/>
        </w:tabs>
        <w:ind w:left="1134"/>
        <w:rPr>
          <w:bCs/>
        </w:rPr>
      </w:pPr>
      <w:r>
        <w:rPr>
          <w:bCs/>
        </w:rPr>
        <w:t>8</w:t>
      </w:r>
      <w:r w:rsidR="00503667" w:rsidRPr="00503667">
        <w:rPr>
          <w:bCs/>
        </w:rPr>
        <w:t>.</w:t>
      </w:r>
      <w:r w:rsidR="00503667" w:rsidRPr="00503667">
        <w:rPr>
          <w:bCs/>
        </w:rPr>
        <w:tab/>
      </w:r>
      <w:r w:rsidR="004A1F20" w:rsidRPr="004A1F20">
        <w:rPr>
          <w:b/>
        </w:rPr>
        <w:t>We</w:t>
      </w:r>
      <w:r w:rsidR="004A1F20">
        <w:rPr>
          <w:bCs/>
        </w:rPr>
        <w:t xml:space="preserve"> </w:t>
      </w:r>
      <w:r w:rsidRPr="004F6D1A">
        <w:rPr>
          <w:b/>
        </w:rPr>
        <w:t>need to strengthen existing mechanisms</w:t>
      </w:r>
    </w:p>
    <w:p w14:paraId="0D6DBC02" w14:textId="47EE9FB2" w:rsidR="004F6D1A" w:rsidRDefault="00400392" w:rsidP="00503667">
      <w:pPr>
        <w:pStyle w:val="ParaNoG"/>
        <w:numPr>
          <w:ilvl w:val="0"/>
          <w:numId w:val="0"/>
        </w:numPr>
        <w:tabs>
          <w:tab w:val="left" w:pos="0"/>
        </w:tabs>
        <w:ind w:left="1134"/>
        <w:rPr>
          <w:bCs/>
        </w:rPr>
      </w:pPr>
      <w:r>
        <w:rPr>
          <w:bCs/>
        </w:rPr>
        <w:t xml:space="preserve">The </w:t>
      </w:r>
      <w:r w:rsidR="00503667" w:rsidRPr="00503667">
        <w:rPr>
          <w:bCs/>
        </w:rPr>
        <w:t xml:space="preserve">COVID-19 </w:t>
      </w:r>
      <w:r>
        <w:rPr>
          <w:bCs/>
        </w:rPr>
        <w:t xml:space="preserve">pandemic </w:t>
      </w:r>
      <w:r w:rsidR="00503667" w:rsidRPr="00503667">
        <w:rPr>
          <w:bCs/>
        </w:rPr>
        <w:t>has</w:t>
      </w:r>
      <w:r>
        <w:rPr>
          <w:bCs/>
        </w:rPr>
        <w:t xml:space="preserve"> very much affected older persons. </w:t>
      </w:r>
      <w:r w:rsidR="00951C72">
        <w:rPr>
          <w:bCs/>
        </w:rPr>
        <w:t>The pandemic</w:t>
      </w:r>
      <w:r>
        <w:rPr>
          <w:bCs/>
        </w:rPr>
        <w:t xml:space="preserve"> made visible the </w:t>
      </w:r>
      <w:r w:rsidR="00C85E6E">
        <w:rPr>
          <w:bCs/>
        </w:rPr>
        <w:t>difficulties that older persons encounter</w:t>
      </w:r>
      <w:r w:rsidR="00882772">
        <w:rPr>
          <w:bCs/>
        </w:rPr>
        <w:t xml:space="preserve"> </w:t>
      </w:r>
      <w:r w:rsidR="00D5624F">
        <w:rPr>
          <w:bCs/>
        </w:rPr>
        <w:t>and</w:t>
      </w:r>
      <w:r>
        <w:rPr>
          <w:bCs/>
        </w:rPr>
        <w:t xml:space="preserve"> </w:t>
      </w:r>
      <w:r w:rsidR="004A1F20">
        <w:rPr>
          <w:bCs/>
        </w:rPr>
        <w:t xml:space="preserve">made </w:t>
      </w:r>
      <w:r w:rsidR="006C1592">
        <w:rPr>
          <w:bCs/>
        </w:rPr>
        <w:t xml:space="preserve">them </w:t>
      </w:r>
      <w:r w:rsidR="004A1F20">
        <w:rPr>
          <w:bCs/>
        </w:rPr>
        <w:t>worse</w:t>
      </w:r>
      <w:r w:rsidR="004F6D1A">
        <w:rPr>
          <w:bCs/>
        </w:rPr>
        <w:t>. Now</w:t>
      </w:r>
      <w:r w:rsidR="00503667" w:rsidRPr="00503667">
        <w:rPr>
          <w:bCs/>
        </w:rPr>
        <w:t xml:space="preserve">, </w:t>
      </w:r>
      <w:r w:rsidR="004A1F20">
        <w:rPr>
          <w:bCs/>
        </w:rPr>
        <w:t xml:space="preserve">we </w:t>
      </w:r>
      <w:r>
        <w:rPr>
          <w:bCs/>
        </w:rPr>
        <w:t xml:space="preserve">urgently </w:t>
      </w:r>
      <w:r w:rsidR="004A1F20">
        <w:rPr>
          <w:bCs/>
        </w:rPr>
        <w:t xml:space="preserve">need </w:t>
      </w:r>
      <w:r>
        <w:rPr>
          <w:bCs/>
        </w:rPr>
        <w:t>to take</w:t>
      </w:r>
      <w:r w:rsidRPr="00503667">
        <w:rPr>
          <w:bCs/>
        </w:rPr>
        <w:t xml:space="preserve"> </w:t>
      </w:r>
      <w:r w:rsidR="00503667" w:rsidRPr="00503667">
        <w:rPr>
          <w:bCs/>
        </w:rPr>
        <w:t xml:space="preserve">action to strengthen </w:t>
      </w:r>
      <w:r w:rsidR="00D827A2">
        <w:rPr>
          <w:bCs/>
        </w:rPr>
        <w:t xml:space="preserve">how </w:t>
      </w:r>
      <w:r w:rsidR="00503667" w:rsidRPr="00503667">
        <w:rPr>
          <w:bCs/>
        </w:rPr>
        <w:t xml:space="preserve">existing mechanisms </w:t>
      </w:r>
      <w:r w:rsidR="00D827A2">
        <w:rPr>
          <w:bCs/>
        </w:rPr>
        <w:t xml:space="preserve">work </w:t>
      </w:r>
      <w:r w:rsidR="004A1F20">
        <w:rPr>
          <w:bCs/>
        </w:rPr>
        <w:t>for</w:t>
      </w:r>
      <w:r w:rsidR="00503667" w:rsidRPr="00503667">
        <w:rPr>
          <w:bCs/>
        </w:rPr>
        <w:t xml:space="preserve"> older persons. However, </w:t>
      </w:r>
      <w:r w:rsidR="004A1F20">
        <w:rPr>
          <w:bCs/>
        </w:rPr>
        <w:t xml:space="preserve">we </w:t>
      </w:r>
      <w:r w:rsidR="00503667" w:rsidRPr="00503667">
        <w:rPr>
          <w:bCs/>
        </w:rPr>
        <w:t xml:space="preserve">now recognize that this will not be </w:t>
      </w:r>
      <w:r w:rsidR="006C1592">
        <w:rPr>
          <w:bCs/>
        </w:rPr>
        <w:t>enough</w:t>
      </w:r>
      <w:r w:rsidR="00503667" w:rsidRPr="00503667">
        <w:rPr>
          <w:bCs/>
        </w:rPr>
        <w:t xml:space="preserve">. </w:t>
      </w:r>
      <w:r w:rsidR="004F6D1A">
        <w:rPr>
          <w:bCs/>
        </w:rPr>
        <w:t xml:space="preserve">Therefore, </w:t>
      </w:r>
      <w:r w:rsidR="004A1F20">
        <w:rPr>
          <w:bCs/>
        </w:rPr>
        <w:t>we need</w:t>
      </w:r>
      <w:r w:rsidR="00503667" w:rsidRPr="00503667">
        <w:rPr>
          <w:bCs/>
        </w:rPr>
        <w:t xml:space="preserve">: </w:t>
      </w:r>
    </w:p>
    <w:p w14:paraId="2DDC6E6C" w14:textId="57E635F1" w:rsidR="004F6D1A" w:rsidRDefault="004A1F20" w:rsidP="004F6D1A">
      <w:pPr>
        <w:pStyle w:val="ParaNoG"/>
        <w:numPr>
          <w:ilvl w:val="0"/>
          <w:numId w:val="20"/>
        </w:numPr>
        <w:tabs>
          <w:tab w:val="left" w:pos="0"/>
        </w:tabs>
        <w:rPr>
          <w:bCs/>
        </w:rPr>
      </w:pPr>
      <w:r>
        <w:rPr>
          <w:bCs/>
        </w:rPr>
        <w:t xml:space="preserve">to </w:t>
      </w:r>
      <w:r w:rsidR="00503667" w:rsidRPr="00503667">
        <w:rPr>
          <w:bCs/>
        </w:rPr>
        <w:t>better implement existing norms and standards</w:t>
      </w:r>
      <w:r w:rsidR="004F6D1A">
        <w:rPr>
          <w:bCs/>
        </w:rPr>
        <w:t>,</w:t>
      </w:r>
      <w:r w:rsidR="00503667" w:rsidRPr="00503667">
        <w:rPr>
          <w:bCs/>
        </w:rPr>
        <w:t xml:space="preserve"> and </w:t>
      </w:r>
    </w:p>
    <w:p w14:paraId="2180AF0B" w14:textId="68CE61A9" w:rsidR="00503667" w:rsidRDefault="004A1F20" w:rsidP="004F6D1A">
      <w:pPr>
        <w:pStyle w:val="ParaNoG"/>
        <w:numPr>
          <w:ilvl w:val="0"/>
          <w:numId w:val="20"/>
        </w:numPr>
        <w:tabs>
          <w:tab w:val="left" w:pos="0"/>
        </w:tabs>
        <w:rPr>
          <w:bCs/>
        </w:rPr>
      </w:pPr>
      <w:proofErr w:type="gramStart"/>
      <w:r>
        <w:rPr>
          <w:bCs/>
        </w:rPr>
        <w:t>to</w:t>
      </w:r>
      <w:proofErr w:type="gramEnd"/>
      <w:r>
        <w:rPr>
          <w:bCs/>
        </w:rPr>
        <w:t xml:space="preserve"> </w:t>
      </w:r>
      <w:r w:rsidR="00503667" w:rsidRPr="00503667">
        <w:rPr>
          <w:bCs/>
        </w:rPr>
        <w:t>accelerate</w:t>
      </w:r>
      <w:r w:rsidR="008E28BF">
        <w:rPr>
          <w:bCs/>
        </w:rPr>
        <w:t xml:space="preserve"> the</w:t>
      </w:r>
      <w:r w:rsidR="00503667" w:rsidRPr="00503667">
        <w:rPr>
          <w:bCs/>
        </w:rPr>
        <w:t xml:space="preserve"> development of a new normative instrument. </w:t>
      </w:r>
    </w:p>
    <w:p w14:paraId="3A673BDF" w14:textId="77777777" w:rsidR="004F6D1A" w:rsidRPr="00503667" w:rsidRDefault="004F6D1A" w:rsidP="004F6D1A">
      <w:pPr>
        <w:pStyle w:val="ParaNoG"/>
        <w:numPr>
          <w:ilvl w:val="0"/>
          <w:numId w:val="0"/>
        </w:numPr>
        <w:tabs>
          <w:tab w:val="left" w:pos="0"/>
        </w:tabs>
        <w:ind w:left="1854"/>
        <w:rPr>
          <w:bCs/>
        </w:rPr>
      </w:pPr>
    </w:p>
    <w:p w14:paraId="025040A1" w14:textId="017938E9" w:rsidR="004F6D1A" w:rsidRPr="00542470" w:rsidRDefault="004F6D1A" w:rsidP="00503667">
      <w:pPr>
        <w:pStyle w:val="ParaNoG"/>
        <w:numPr>
          <w:ilvl w:val="0"/>
          <w:numId w:val="0"/>
        </w:numPr>
        <w:tabs>
          <w:tab w:val="left" w:pos="0"/>
        </w:tabs>
        <w:ind w:left="1134"/>
        <w:rPr>
          <w:bCs/>
        </w:rPr>
      </w:pPr>
      <w:r w:rsidRPr="00542470">
        <w:rPr>
          <w:bCs/>
        </w:rPr>
        <w:t>9</w:t>
      </w:r>
      <w:r w:rsidR="00503667" w:rsidRPr="00542470">
        <w:rPr>
          <w:bCs/>
        </w:rPr>
        <w:t>.</w:t>
      </w:r>
      <w:r w:rsidR="00503667" w:rsidRPr="00542470">
        <w:rPr>
          <w:bCs/>
        </w:rPr>
        <w:tab/>
      </w:r>
      <w:r w:rsidR="004A1F20" w:rsidRPr="00542470">
        <w:rPr>
          <w:b/>
        </w:rPr>
        <w:t>We</w:t>
      </w:r>
      <w:r w:rsidR="004A1F20" w:rsidRPr="00542470">
        <w:rPr>
          <w:bCs/>
        </w:rPr>
        <w:t xml:space="preserve"> </w:t>
      </w:r>
      <w:r w:rsidRPr="00542470">
        <w:rPr>
          <w:b/>
        </w:rPr>
        <w:t>need a specialized treaty for older persons’ human rights</w:t>
      </w:r>
    </w:p>
    <w:p w14:paraId="34C97875" w14:textId="1C6E536D" w:rsidR="00071E62" w:rsidRDefault="00C91972" w:rsidP="00503667">
      <w:pPr>
        <w:pStyle w:val="ParaNoG"/>
        <w:numPr>
          <w:ilvl w:val="0"/>
          <w:numId w:val="0"/>
        </w:numPr>
        <w:tabs>
          <w:tab w:val="left" w:pos="0"/>
        </w:tabs>
        <w:ind w:left="1134"/>
        <w:rPr>
          <w:bCs/>
        </w:rPr>
      </w:pPr>
      <w:r w:rsidRPr="00542470">
        <w:rPr>
          <w:bCs/>
        </w:rPr>
        <w:t xml:space="preserve">A treaty is an agreement that countries make. </w:t>
      </w:r>
      <w:r w:rsidR="00071E62">
        <w:rPr>
          <w:bCs/>
        </w:rPr>
        <w:t xml:space="preserve">Treaties </w:t>
      </w:r>
      <w:r w:rsidRPr="00542470">
        <w:rPr>
          <w:bCs/>
        </w:rPr>
        <w:t xml:space="preserve">aim to make sure </w:t>
      </w:r>
      <w:proofErr w:type="gramStart"/>
      <w:r w:rsidRPr="00542470">
        <w:rPr>
          <w:bCs/>
        </w:rPr>
        <w:t>that older persons</w:t>
      </w:r>
      <w:proofErr w:type="gramEnd"/>
      <w:r w:rsidR="00071E62">
        <w:rPr>
          <w:bCs/>
        </w:rPr>
        <w:t>:</w:t>
      </w:r>
    </w:p>
    <w:p w14:paraId="5F905BB0" w14:textId="4F8344D4" w:rsidR="00071E62" w:rsidRDefault="00C91972" w:rsidP="00610D97">
      <w:pPr>
        <w:pStyle w:val="ParaNoG"/>
        <w:numPr>
          <w:ilvl w:val="0"/>
          <w:numId w:val="31"/>
        </w:numPr>
        <w:tabs>
          <w:tab w:val="left" w:pos="0"/>
        </w:tabs>
        <w:rPr>
          <w:bCs/>
        </w:rPr>
      </w:pPr>
      <w:r w:rsidRPr="00542470">
        <w:rPr>
          <w:bCs/>
        </w:rPr>
        <w:t>are treated fairly</w:t>
      </w:r>
      <w:r w:rsidR="00071E62">
        <w:rPr>
          <w:bCs/>
        </w:rPr>
        <w:t xml:space="preserve"> everywhere</w:t>
      </w:r>
      <w:r w:rsidRPr="00542470">
        <w:rPr>
          <w:bCs/>
        </w:rPr>
        <w:t xml:space="preserve">, </w:t>
      </w:r>
    </w:p>
    <w:p w14:paraId="7535545C" w14:textId="20390692" w:rsidR="00071E62" w:rsidRDefault="00C91972" w:rsidP="00610D97">
      <w:pPr>
        <w:pStyle w:val="ParaNoG"/>
        <w:numPr>
          <w:ilvl w:val="0"/>
          <w:numId w:val="31"/>
        </w:numPr>
        <w:tabs>
          <w:tab w:val="left" w:pos="0"/>
        </w:tabs>
        <w:rPr>
          <w:bCs/>
        </w:rPr>
      </w:pPr>
      <w:r w:rsidRPr="00542470">
        <w:rPr>
          <w:bCs/>
        </w:rPr>
        <w:t>have the same chances in life as younger persons</w:t>
      </w:r>
      <w:r w:rsidR="00071E62">
        <w:rPr>
          <w:bCs/>
        </w:rPr>
        <w:t>,</w:t>
      </w:r>
      <w:r w:rsidRPr="00542470">
        <w:rPr>
          <w:bCs/>
        </w:rPr>
        <w:t xml:space="preserve"> and </w:t>
      </w:r>
    </w:p>
    <w:p w14:paraId="646E10E0" w14:textId="2B04E0EB" w:rsidR="00C91972" w:rsidRPr="00542470" w:rsidRDefault="00C91972" w:rsidP="00610D97">
      <w:pPr>
        <w:pStyle w:val="ParaNoG"/>
        <w:numPr>
          <w:ilvl w:val="0"/>
          <w:numId w:val="31"/>
        </w:numPr>
        <w:tabs>
          <w:tab w:val="left" w:pos="0"/>
        </w:tabs>
        <w:rPr>
          <w:bCs/>
        </w:rPr>
      </w:pPr>
      <w:proofErr w:type="gramStart"/>
      <w:r w:rsidRPr="00542470">
        <w:rPr>
          <w:bCs/>
        </w:rPr>
        <w:t>are</w:t>
      </w:r>
      <w:proofErr w:type="gramEnd"/>
      <w:r w:rsidRPr="00542470">
        <w:rPr>
          <w:bCs/>
        </w:rPr>
        <w:t xml:space="preserve"> fully included in society.</w:t>
      </w:r>
    </w:p>
    <w:p w14:paraId="0EA5E0C2" w14:textId="100884B1" w:rsidR="004F6D1A" w:rsidRPr="00542470" w:rsidRDefault="004A1F20" w:rsidP="00882772">
      <w:pPr>
        <w:pStyle w:val="ParaNoG"/>
        <w:numPr>
          <w:ilvl w:val="0"/>
          <w:numId w:val="0"/>
        </w:numPr>
        <w:tabs>
          <w:tab w:val="left" w:pos="0"/>
        </w:tabs>
        <w:ind w:left="1134"/>
        <w:rPr>
          <w:bCs/>
        </w:rPr>
      </w:pPr>
      <w:r w:rsidRPr="00542470">
        <w:rPr>
          <w:bCs/>
        </w:rPr>
        <w:t xml:space="preserve">We can </w:t>
      </w:r>
      <w:r w:rsidR="00071E62">
        <w:rPr>
          <w:bCs/>
        </w:rPr>
        <w:t>see</w:t>
      </w:r>
      <w:r w:rsidR="00071E62" w:rsidRPr="00542470">
        <w:rPr>
          <w:bCs/>
        </w:rPr>
        <w:t xml:space="preserve"> </w:t>
      </w:r>
      <w:r w:rsidRPr="00542470">
        <w:rPr>
          <w:bCs/>
        </w:rPr>
        <w:t>that</w:t>
      </w:r>
      <w:r w:rsidR="00C91972" w:rsidRPr="00542470">
        <w:rPr>
          <w:bCs/>
        </w:rPr>
        <w:t xml:space="preserve"> agreements help </w:t>
      </w:r>
      <w:r w:rsidR="00503667" w:rsidRPr="00542470">
        <w:rPr>
          <w:bCs/>
        </w:rPr>
        <w:t xml:space="preserve">to </w:t>
      </w:r>
      <w:r w:rsidR="00C91972" w:rsidRPr="00542470">
        <w:rPr>
          <w:bCs/>
        </w:rPr>
        <w:t xml:space="preserve">protect </w:t>
      </w:r>
      <w:r w:rsidR="00503667" w:rsidRPr="00542470">
        <w:rPr>
          <w:bCs/>
        </w:rPr>
        <w:t xml:space="preserve">the rights they guarantee. A new </w:t>
      </w:r>
      <w:r w:rsidR="00335E41" w:rsidRPr="00542470">
        <w:rPr>
          <w:bCs/>
        </w:rPr>
        <w:t>treaty</w:t>
      </w:r>
      <w:r w:rsidR="00503667" w:rsidRPr="00542470">
        <w:rPr>
          <w:bCs/>
        </w:rPr>
        <w:t xml:space="preserve"> on </w:t>
      </w:r>
      <w:r w:rsidR="00071E62" w:rsidRPr="00542470">
        <w:rPr>
          <w:bCs/>
        </w:rPr>
        <w:t>older persons</w:t>
      </w:r>
      <w:r w:rsidR="00071E62">
        <w:rPr>
          <w:bCs/>
        </w:rPr>
        <w:t>’</w:t>
      </w:r>
      <w:r w:rsidR="00071E62" w:rsidRPr="00542470">
        <w:rPr>
          <w:bCs/>
        </w:rPr>
        <w:t xml:space="preserve"> </w:t>
      </w:r>
      <w:r w:rsidR="00335E41" w:rsidRPr="00542470">
        <w:rPr>
          <w:bCs/>
        </w:rPr>
        <w:t xml:space="preserve">rights </w:t>
      </w:r>
      <w:r w:rsidR="00503667" w:rsidRPr="00542470">
        <w:rPr>
          <w:bCs/>
        </w:rPr>
        <w:t xml:space="preserve">would </w:t>
      </w:r>
      <w:r w:rsidR="00335E41" w:rsidRPr="00542470">
        <w:rPr>
          <w:bCs/>
        </w:rPr>
        <w:t xml:space="preserve">include all </w:t>
      </w:r>
      <w:r w:rsidR="00071E62" w:rsidRPr="00542470">
        <w:rPr>
          <w:bCs/>
        </w:rPr>
        <w:t>older persons</w:t>
      </w:r>
      <w:r w:rsidR="00071E62">
        <w:rPr>
          <w:bCs/>
        </w:rPr>
        <w:t>’</w:t>
      </w:r>
      <w:r w:rsidR="00071E62" w:rsidRPr="00542470">
        <w:rPr>
          <w:bCs/>
        </w:rPr>
        <w:t xml:space="preserve"> </w:t>
      </w:r>
      <w:r w:rsidR="00335E41" w:rsidRPr="00542470">
        <w:rPr>
          <w:bCs/>
        </w:rPr>
        <w:t xml:space="preserve">rights. </w:t>
      </w:r>
      <w:r w:rsidR="00071E62">
        <w:rPr>
          <w:bCs/>
        </w:rPr>
        <w:t xml:space="preserve">A treaty </w:t>
      </w:r>
      <w:r w:rsidR="00335E41" w:rsidRPr="00542470">
        <w:rPr>
          <w:bCs/>
        </w:rPr>
        <w:t xml:space="preserve">would also </w:t>
      </w:r>
      <w:r w:rsidR="00503667" w:rsidRPr="00542470">
        <w:rPr>
          <w:bCs/>
        </w:rPr>
        <w:t xml:space="preserve">address violations. </w:t>
      </w:r>
    </w:p>
    <w:p w14:paraId="6F8498F3" w14:textId="0A53A432" w:rsidR="00335E41" w:rsidRPr="00542470" w:rsidRDefault="00335E41" w:rsidP="00503667">
      <w:pPr>
        <w:pStyle w:val="ParaNoG"/>
        <w:numPr>
          <w:ilvl w:val="0"/>
          <w:numId w:val="0"/>
        </w:numPr>
        <w:tabs>
          <w:tab w:val="left" w:pos="0"/>
        </w:tabs>
        <w:ind w:left="1134"/>
        <w:rPr>
          <w:bCs/>
        </w:rPr>
      </w:pPr>
      <w:r w:rsidRPr="00542470">
        <w:rPr>
          <w:bCs/>
        </w:rPr>
        <w:t>The</w:t>
      </w:r>
      <w:r w:rsidR="00C91972" w:rsidRPr="00542470">
        <w:rPr>
          <w:bCs/>
        </w:rPr>
        <w:t xml:space="preserve"> success</w:t>
      </w:r>
      <w:r w:rsidRPr="00542470">
        <w:rPr>
          <w:bCs/>
        </w:rPr>
        <w:t xml:space="preserve"> of</w:t>
      </w:r>
      <w:r w:rsidR="00C91972" w:rsidRPr="00542470">
        <w:rPr>
          <w:bCs/>
        </w:rPr>
        <w:t xml:space="preserve"> a </w:t>
      </w:r>
      <w:r w:rsidR="00503667" w:rsidRPr="00542470">
        <w:rPr>
          <w:bCs/>
        </w:rPr>
        <w:t>treaty</w:t>
      </w:r>
      <w:r w:rsidR="00C91972" w:rsidRPr="00542470">
        <w:rPr>
          <w:bCs/>
        </w:rPr>
        <w:t xml:space="preserve"> </w:t>
      </w:r>
      <w:r w:rsidR="006C1592" w:rsidRPr="00542470">
        <w:rPr>
          <w:bCs/>
        </w:rPr>
        <w:t xml:space="preserve">depends on: (a) </w:t>
      </w:r>
      <w:r w:rsidR="004A1F20" w:rsidRPr="00542470">
        <w:rPr>
          <w:bCs/>
        </w:rPr>
        <w:t xml:space="preserve">how </w:t>
      </w:r>
      <w:r w:rsidRPr="00542470">
        <w:rPr>
          <w:bCs/>
        </w:rPr>
        <w:t xml:space="preserve">States </w:t>
      </w:r>
      <w:r w:rsidR="004A1F20" w:rsidRPr="00542470">
        <w:rPr>
          <w:bCs/>
        </w:rPr>
        <w:t>implement</w:t>
      </w:r>
      <w:r w:rsidRPr="00542470">
        <w:rPr>
          <w:bCs/>
        </w:rPr>
        <w:t xml:space="preserve"> </w:t>
      </w:r>
      <w:r w:rsidR="004A1F20" w:rsidRPr="00542470">
        <w:rPr>
          <w:bCs/>
        </w:rPr>
        <w:t>and appl</w:t>
      </w:r>
      <w:r w:rsidRPr="00542470">
        <w:rPr>
          <w:bCs/>
        </w:rPr>
        <w:t>y</w:t>
      </w:r>
      <w:r w:rsidR="004A1F20" w:rsidRPr="00542470">
        <w:rPr>
          <w:bCs/>
        </w:rPr>
        <w:t xml:space="preserve"> </w:t>
      </w:r>
      <w:r w:rsidRPr="00542470">
        <w:rPr>
          <w:bCs/>
        </w:rPr>
        <w:t>it</w:t>
      </w:r>
      <w:r w:rsidR="006C1592" w:rsidRPr="00542470">
        <w:rPr>
          <w:bCs/>
        </w:rPr>
        <w:t xml:space="preserve">, (b) </w:t>
      </w:r>
      <w:r w:rsidR="004A1F20" w:rsidRPr="00542470">
        <w:rPr>
          <w:bCs/>
        </w:rPr>
        <w:t xml:space="preserve">how it </w:t>
      </w:r>
      <w:r w:rsidR="00C91972" w:rsidRPr="00542470">
        <w:rPr>
          <w:bCs/>
        </w:rPr>
        <w:t xml:space="preserve">influences </w:t>
      </w:r>
      <w:r w:rsidR="00503667" w:rsidRPr="00542470">
        <w:rPr>
          <w:bCs/>
        </w:rPr>
        <w:t>polic</w:t>
      </w:r>
      <w:r w:rsidR="00C91972" w:rsidRPr="00542470">
        <w:rPr>
          <w:bCs/>
        </w:rPr>
        <w:t>ies on older persons</w:t>
      </w:r>
      <w:r w:rsidR="006C1592" w:rsidRPr="00542470">
        <w:rPr>
          <w:bCs/>
        </w:rPr>
        <w:t>,</w:t>
      </w:r>
      <w:r w:rsidR="00503667" w:rsidRPr="00542470">
        <w:rPr>
          <w:bCs/>
        </w:rPr>
        <w:t xml:space="preserve"> and </w:t>
      </w:r>
      <w:r w:rsidR="006C1592" w:rsidRPr="00542470">
        <w:rPr>
          <w:bCs/>
        </w:rPr>
        <w:t xml:space="preserve">(c) </w:t>
      </w:r>
      <w:r w:rsidR="004A1F20" w:rsidRPr="00542470">
        <w:rPr>
          <w:bCs/>
        </w:rPr>
        <w:t xml:space="preserve">how </w:t>
      </w:r>
      <w:r w:rsidR="0056703A" w:rsidRPr="00542470">
        <w:rPr>
          <w:bCs/>
        </w:rPr>
        <w:t>it</w:t>
      </w:r>
      <w:r w:rsidRPr="00542470">
        <w:rPr>
          <w:bCs/>
        </w:rPr>
        <w:t xml:space="preserve"> helps to</w:t>
      </w:r>
      <w:r w:rsidR="004A1F20" w:rsidRPr="00542470">
        <w:rPr>
          <w:bCs/>
        </w:rPr>
        <w:t xml:space="preserve"> </w:t>
      </w:r>
      <w:r w:rsidR="00503667" w:rsidRPr="00542470">
        <w:rPr>
          <w:bCs/>
        </w:rPr>
        <w:t xml:space="preserve">measure progress. </w:t>
      </w:r>
    </w:p>
    <w:p w14:paraId="15E48E6B" w14:textId="45878479" w:rsidR="004A1F20" w:rsidRPr="00542470" w:rsidRDefault="00335E41" w:rsidP="00503667">
      <w:pPr>
        <w:pStyle w:val="ParaNoG"/>
        <w:numPr>
          <w:ilvl w:val="0"/>
          <w:numId w:val="0"/>
        </w:numPr>
        <w:tabs>
          <w:tab w:val="left" w:pos="0"/>
        </w:tabs>
        <w:ind w:left="1134"/>
        <w:rPr>
          <w:bCs/>
        </w:rPr>
      </w:pPr>
      <w:r w:rsidRPr="00542470">
        <w:rPr>
          <w:bCs/>
        </w:rPr>
        <w:t>A treaty has benefits. It allows</w:t>
      </w:r>
      <w:r w:rsidR="004A1F20" w:rsidRPr="00542470">
        <w:rPr>
          <w:bCs/>
        </w:rPr>
        <w:t xml:space="preserve">: </w:t>
      </w:r>
    </w:p>
    <w:p w14:paraId="18FB03A7" w14:textId="7AF1E574" w:rsidR="004A1F20" w:rsidRPr="00542470" w:rsidRDefault="00335E41" w:rsidP="004A1F20">
      <w:pPr>
        <w:pStyle w:val="ParaNoG"/>
        <w:numPr>
          <w:ilvl w:val="0"/>
          <w:numId w:val="31"/>
        </w:numPr>
        <w:tabs>
          <w:tab w:val="left" w:pos="0"/>
        </w:tabs>
        <w:rPr>
          <w:bCs/>
        </w:rPr>
      </w:pPr>
      <w:r w:rsidRPr="00542470">
        <w:rPr>
          <w:bCs/>
        </w:rPr>
        <w:t>stakeholders</w:t>
      </w:r>
      <w:r w:rsidR="00C91972" w:rsidRPr="00542470">
        <w:rPr>
          <w:bCs/>
        </w:rPr>
        <w:t xml:space="preserve"> </w:t>
      </w:r>
      <w:r w:rsidR="004A1F20" w:rsidRPr="00542470">
        <w:rPr>
          <w:bCs/>
        </w:rPr>
        <w:t>to come together,</w:t>
      </w:r>
      <w:r w:rsidR="00503667" w:rsidRPr="00542470">
        <w:rPr>
          <w:bCs/>
        </w:rPr>
        <w:t xml:space="preserve"> </w:t>
      </w:r>
    </w:p>
    <w:p w14:paraId="3D1105B7" w14:textId="13C0A98A" w:rsidR="004A1F20" w:rsidRPr="00542470" w:rsidRDefault="00335E41" w:rsidP="00882772">
      <w:pPr>
        <w:pStyle w:val="ParaNoG"/>
        <w:numPr>
          <w:ilvl w:val="0"/>
          <w:numId w:val="31"/>
        </w:numPr>
        <w:tabs>
          <w:tab w:val="left" w:pos="0"/>
        </w:tabs>
        <w:rPr>
          <w:bCs/>
        </w:rPr>
      </w:pPr>
      <w:r w:rsidRPr="00882772">
        <w:t>older persons</w:t>
      </w:r>
      <w:r w:rsidR="00071E62">
        <w:t>’ rights to be promoted</w:t>
      </w:r>
      <w:r w:rsidR="004A1F20" w:rsidRPr="00542470">
        <w:rPr>
          <w:bCs/>
        </w:rPr>
        <w:t>,</w:t>
      </w:r>
      <w:r w:rsidR="00503667" w:rsidRPr="00542470">
        <w:rPr>
          <w:bCs/>
        </w:rPr>
        <w:t xml:space="preserve"> </w:t>
      </w:r>
      <w:r w:rsidR="00071E62">
        <w:rPr>
          <w:bCs/>
        </w:rPr>
        <w:t>and</w:t>
      </w:r>
    </w:p>
    <w:p w14:paraId="60C80CFD" w14:textId="2BB5D77E" w:rsidR="00503667" w:rsidRPr="00542470" w:rsidRDefault="00503667" w:rsidP="004A1F20">
      <w:pPr>
        <w:pStyle w:val="ParaNoG"/>
        <w:numPr>
          <w:ilvl w:val="0"/>
          <w:numId w:val="31"/>
        </w:numPr>
        <w:tabs>
          <w:tab w:val="left" w:pos="0"/>
        </w:tabs>
        <w:ind w:left="1701" w:hanging="207"/>
        <w:rPr>
          <w:bCs/>
        </w:rPr>
      </w:pPr>
      <w:proofErr w:type="gramStart"/>
      <w:r w:rsidRPr="00542470">
        <w:rPr>
          <w:bCs/>
        </w:rPr>
        <w:t>other</w:t>
      </w:r>
      <w:r w:rsidR="00335E41" w:rsidRPr="00542470">
        <w:rPr>
          <w:bCs/>
        </w:rPr>
        <w:t>s</w:t>
      </w:r>
      <w:proofErr w:type="gramEnd"/>
      <w:r w:rsidRPr="00542470">
        <w:rPr>
          <w:bCs/>
        </w:rPr>
        <w:t xml:space="preserve"> to </w:t>
      </w:r>
      <w:r w:rsidR="00335E41" w:rsidRPr="00542470">
        <w:rPr>
          <w:bCs/>
        </w:rPr>
        <w:t>learn about the rights and violations</w:t>
      </w:r>
      <w:r w:rsidR="00755AB4" w:rsidRPr="00542470">
        <w:rPr>
          <w:bCs/>
        </w:rPr>
        <w:t>,</w:t>
      </w:r>
      <w:r w:rsidR="00335E41" w:rsidRPr="00542470">
        <w:rPr>
          <w:bCs/>
        </w:rPr>
        <w:t xml:space="preserve"> </w:t>
      </w:r>
      <w:r w:rsidRPr="00542470">
        <w:rPr>
          <w:bCs/>
        </w:rPr>
        <w:t xml:space="preserve">and </w:t>
      </w:r>
      <w:r w:rsidR="00335E41" w:rsidRPr="00542470">
        <w:rPr>
          <w:bCs/>
        </w:rPr>
        <w:t xml:space="preserve">to make them aware that the </w:t>
      </w:r>
      <w:r w:rsidRPr="00542470">
        <w:rPr>
          <w:bCs/>
        </w:rPr>
        <w:t>rights and violations</w:t>
      </w:r>
      <w:r w:rsidR="00335E41" w:rsidRPr="00542470">
        <w:rPr>
          <w:bCs/>
        </w:rPr>
        <w:t xml:space="preserve"> intersect.</w:t>
      </w:r>
    </w:p>
    <w:p w14:paraId="15FC0903" w14:textId="77777777" w:rsidR="004F6D1A" w:rsidRPr="00503667" w:rsidRDefault="004F6D1A" w:rsidP="00503667">
      <w:pPr>
        <w:pStyle w:val="ParaNoG"/>
        <w:numPr>
          <w:ilvl w:val="0"/>
          <w:numId w:val="0"/>
        </w:numPr>
        <w:tabs>
          <w:tab w:val="left" w:pos="0"/>
        </w:tabs>
        <w:ind w:left="1134"/>
        <w:rPr>
          <w:bCs/>
        </w:rPr>
      </w:pPr>
    </w:p>
    <w:p w14:paraId="600F470E" w14:textId="77777777" w:rsidR="004F6D1A" w:rsidRPr="00503667" w:rsidRDefault="004F6D1A" w:rsidP="00503667">
      <w:pPr>
        <w:pStyle w:val="ParaNoG"/>
        <w:numPr>
          <w:ilvl w:val="0"/>
          <w:numId w:val="0"/>
        </w:numPr>
        <w:tabs>
          <w:tab w:val="left" w:pos="0"/>
        </w:tabs>
        <w:ind w:left="1134"/>
        <w:rPr>
          <w:bCs/>
        </w:rPr>
      </w:pPr>
    </w:p>
    <w:p w14:paraId="5BC7B7FF" w14:textId="76FCA108" w:rsidR="004F6D1A" w:rsidRDefault="004F6D1A" w:rsidP="00503667">
      <w:pPr>
        <w:pStyle w:val="ParaNoG"/>
        <w:numPr>
          <w:ilvl w:val="0"/>
          <w:numId w:val="0"/>
        </w:numPr>
        <w:tabs>
          <w:tab w:val="left" w:pos="0"/>
        </w:tabs>
        <w:ind w:left="1134"/>
        <w:rPr>
          <w:bCs/>
        </w:rPr>
      </w:pPr>
      <w:r>
        <w:rPr>
          <w:bCs/>
        </w:rPr>
        <w:t>11</w:t>
      </w:r>
      <w:r w:rsidR="00503667" w:rsidRPr="00503667">
        <w:rPr>
          <w:bCs/>
        </w:rPr>
        <w:t>.</w:t>
      </w:r>
      <w:r w:rsidR="00503667" w:rsidRPr="00503667">
        <w:rPr>
          <w:bCs/>
        </w:rPr>
        <w:tab/>
      </w:r>
      <w:r w:rsidR="00521D95" w:rsidRPr="00521D95">
        <w:rPr>
          <w:b/>
        </w:rPr>
        <w:t>Recommendations</w:t>
      </w:r>
    </w:p>
    <w:p w14:paraId="2B09116D" w14:textId="49CDBAA4" w:rsidR="00503667" w:rsidRPr="00503667" w:rsidRDefault="0056703A" w:rsidP="00503667">
      <w:pPr>
        <w:pStyle w:val="ParaNoG"/>
        <w:numPr>
          <w:ilvl w:val="0"/>
          <w:numId w:val="0"/>
        </w:numPr>
        <w:tabs>
          <w:tab w:val="left" w:pos="0"/>
        </w:tabs>
        <w:ind w:left="1134"/>
        <w:rPr>
          <w:bCs/>
        </w:rPr>
      </w:pPr>
      <w:r>
        <w:rPr>
          <w:bCs/>
        </w:rPr>
        <w:t xml:space="preserve">We </w:t>
      </w:r>
      <w:r w:rsidR="00503667" w:rsidRPr="00503667">
        <w:rPr>
          <w:bCs/>
        </w:rPr>
        <w:t xml:space="preserve">recommend </w:t>
      </w:r>
      <w:r w:rsidR="00EE7402">
        <w:rPr>
          <w:bCs/>
        </w:rPr>
        <w:t xml:space="preserve">that </w:t>
      </w:r>
      <w:r w:rsidR="00503667" w:rsidRPr="00503667">
        <w:rPr>
          <w:bCs/>
        </w:rPr>
        <w:t xml:space="preserve">States and other stakeholders </w:t>
      </w:r>
      <w:r w:rsidR="00EE7402">
        <w:rPr>
          <w:bCs/>
        </w:rPr>
        <w:t xml:space="preserve">do the following </w:t>
      </w:r>
      <w:r w:rsidR="00503667" w:rsidRPr="00503667">
        <w:rPr>
          <w:bCs/>
        </w:rPr>
        <w:t xml:space="preserve">to </w:t>
      </w:r>
      <w:r w:rsidR="00C85E6E">
        <w:rPr>
          <w:bCs/>
        </w:rPr>
        <w:t xml:space="preserve">make sure that </w:t>
      </w:r>
      <w:r w:rsidR="00521D95" w:rsidRPr="00503667">
        <w:rPr>
          <w:bCs/>
        </w:rPr>
        <w:t xml:space="preserve">older persons </w:t>
      </w:r>
      <w:r w:rsidR="00503667" w:rsidRPr="00503667">
        <w:rPr>
          <w:bCs/>
        </w:rPr>
        <w:t>enjoy all human rights:</w:t>
      </w:r>
    </w:p>
    <w:p w14:paraId="15EE5A0B" w14:textId="6F3D767A" w:rsidR="00503667" w:rsidRPr="00503667" w:rsidRDefault="00C85E6E" w:rsidP="00E9562A">
      <w:pPr>
        <w:pStyle w:val="ParaNoG"/>
        <w:numPr>
          <w:ilvl w:val="0"/>
          <w:numId w:val="35"/>
        </w:numPr>
        <w:ind w:left="1701" w:hanging="207"/>
        <w:rPr>
          <w:bCs/>
        </w:rPr>
      </w:pPr>
      <w:r>
        <w:rPr>
          <w:bCs/>
        </w:rPr>
        <w:t>We i</w:t>
      </w:r>
      <w:r w:rsidR="00503667" w:rsidRPr="00503667">
        <w:rPr>
          <w:bCs/>
        </w:rPr>
        <w:t xml:space="preserve">nvite States, with the </w:t>
      </w:r>
      <w:r w:rsidR="00521D95" w:rsidRPr="00503667">
        <w:rPr>
          <w:bCs/>
        </w:rPr>
        <w:t>OHCHR</w:t>
      </w:r>
      <w:r w:rsidR="00521D95">
        <w:rPr>
          <w:bCs/>
        </w:rPr>
        <w:t>’s</w:t>
      </w:r>
      <w:r w:rsidR="00521D95" w:rsidRPr="00503667">
        <w:rPr>
          <w:bCs/>
        </w:rPr>
        <w:t xml:space="preserve"> </w:t>
      </w:r>
      <w:r w:rsidR="00503667" w:rsidRPr="00503667">
        <w:rPr>
          <w:bCs/>
        </w:rPr>
        <w:t xml:space="preserve">support, to promote broad consultations </w:t>
      </w:r>
      <w:r w:rsidR="0056703A">
        <w:rPr>
          <w:bCs/>
        </w:rPr>
        <w:t xml:space="preserve">for all interested parties </w:t>
      </w:r>
      <w:r w:rsidR="00503667" w:rsidRPr="00503667">
        <w:rPr>
          <w:bCs/>
        </w:rPr>
        <w:t xml:space="preserve">at the national level to identify gaps, challenges and promising practices </w:t>
      </w:r>
      <w:r w:rsidR="0056703A">
        <w:rPr>
          <w:bCs/>
        </w:rPr>
        <w:t xml:space="preserve">that help to protect </w:t>
      </w:r>
      <w:r w:rsidR="00503667" w:rsidRPr="00503667">
        <w:rPr>
          <w:bCs/>
        </w:rPr>
        <w:t>older persons’ human rights</w:t>
      </w:r>
      <w:r w:rsidR="00521D95">
        <w:rPr>
          <w:bCs/>
        </w:rPr>
        <w:t xml:space="preserve">. This is done </w:t>
      </w:r>
      <w:r w:rsidR="00503667" w:rsidRPr="00503667">
        <w:rPr>
          <w:bCs/>
        </w:rPr>
        <w:t>to contribut</w:t>
      </w:r>
      <w:r w:rsidR="00521D95">
        <w:rPr>
          <w:bCs/>
        </w:rPr>
        <w:t>e</w:t>
      </w:r>
      <w:r w:rsidR="00503667" w:rsidRPr="00503667">
        <w:rPr>
          <w:bCs/>
        </w:rPr>
        <w:t xml:space="preserve"> to the Open-ended Working Group</w:t>
      </w:r>
      <w:r w:rsidR="00D827A2">
        <w:rPr>
          <w:bCs/>
        </w:rPr>
        <w:t>’s work</w:t>
      </w:r>
      <w:r w:rsidR="00503667" w:rsidRPr="00503667">
        <w:rPr>
          <w:bCs/>
        </w:rPr>
        <w:t xml:space="preserve"> and the United Nations human rights mechanisms, </w:t>
      </w:r>
      <w:r w:rsidR="006C5D6E">
        <w:rPr>
          <w:bCs/>
        </w:rPr>
        <w:t xml:space="preserve">including </w:t>
      </w:r>
      <w:r w:rsidR="00503667" w:rsidRPr="00503667">
        <w:rPr>
          <w:bCs/>
        </w:rPr>
        <w:t>regular report</w:t>
      </w:r>
      <w:r w:rsidR="006C5D6E">
        <w:rPr>
          <w:bCs/>
        </w:rPr>
        <w:t>s to</w:t>
      </w:r>
      <w:r w:rsidR="00503667" w:rsidRPr="00503667">
        <w:rPr>
          <w:bCs/>
        </w:rPr>
        <w:t xml:space="preserve"> the treaty bodies and </w:t>
      </w:r>
      <w:r w:rsidR="006C5D6E">
        <w:rPr>
          <w:bCs/>
        </w:rPr>
        <w:t>the</w:t>
      </w:r>
      <w:r w:rsidR="00503667" w:rsidRPr="00503667">
        <w:rPr>
          <w:bCs/>
        </w:rPr>
        <w:t xml:space="preserve"> universal periodic review</w:t>
      </w:r>
      <w:r w:rsidR="00782A95">
        <w:rPr>
          <w:bCs/>
        </w:rPr>
        <w:t>,</w:t>
      </w:r>
    </w:p>
    <w:p w14:paraId="74010A7F" w14:textId="536C9AC4" w:rsidR="00503667" w:rsidRPr="00503667" w:rsidRDefault="0056703A" w:rsidP="00E9562A">
      <w:pPr>
        <w:pStyle w:val="ParaNoG"/>
        <w:numPr>
          <w:ilvl w:val="0"/>
          <w:numId w:val="35"/>
        </w:numPr>
        <w:ind w:left="1701" w:hanging="207"/>
        <w:rPr>
          <w:bCs/>
        </w:rPr>
      </w:pPr>
      <w:r>
        <w:rPr>
          <w:bCs/>
        </w:rPr>
        <w:t xml:space="preserve">Make </w:t>
      </w:r>
      <w:r w:rsidR="00503667" w:rsidRPr="00503667">
        <w:rPr>
          <w:bCs/>
        </w:rPr>
        <w:t xml:space="preserve">sure </w:t>
      </w:r>
      <w:r w:rsidR="00521D95">
        <w:rPr>
          <w:bCs/>
        </w:rPr>
        <w:t xml:space="preserve">that </w:t>
      </w:r>
      <w:r w:rsidR="00503667" w:rsidRPr="00503667">
        <w:rPr>
          <w:bCs/>
        </w:rPr>
        <w:t xml:space="preserve">all stakeholders, including civil society, national human rights </w:t>
      </w:r>
      <w:r w:rsidR="0033221F" w:rsidRPr="00503667">
        <w:rPr>
          <w:bCs/>
        </w:rPr>
        <w:t>institutions,</w:t>
      </w:r>
      <w:r w:rsidR="00503667" w:rsidRPr="00503667">
        <w:rPr>
          <w:bCs/>
        </w:rPr>
        <w:t xml:space="preserve"> and older persons themselves</w:t>
      </w:r>
      <w:r w:rsidR="00521D95">
        <w:rPr>
          <w:bCs/>
        </w:rPr>
        <w:t xml:space="preserve"> participate and contribute </w:t>
      </w:r>
      <w:r w:rsidR="008E28BF">
        <w:rPr>
          <w:bCs/>
        </w:rPr>
        <w:t>to</w:t>
      </w:r>
      <w:r w:rsidR="00503667" w:rsidRPr="00503667">
        <w:rPr>
          <w:bCs/>
        </w:rPr>
        <w:t xml:space="preserve"> the </w:t>
      </w:r>
      <w:r w:rsidR="00EE7402" w:rsidRPr="00503667">
        <w:rPr>
          <w:bCs/>
        </w:rPr>
        <w:t>Human Rights Council</w:t>
      </w:r>
      <w:r w:rsidR="00EE7402">
        <w:rPr>
          <w:bCs/>
        </w:rPr>
        <w:t>’s</w:t>
      </w:r>
      <w:r w:rsidR="00EE7402" w:rsidRPr="00503667">
        <w:rPr>
          <w:bCs/>
        </w:rPr>
        <w:t xml:space="preserve"> and the Open-ended Working Group</w:t>
      </w:r>
      <w:r w:rsidR="00EE7402">
        <w:rPr>
          <w:bCs/>
        </w:rPr>
        <w:t>’s</w:t>
      </w:r>
      <w:r w:rsidR="00EE7402" w:rsidRPr="00503667">
        <w:rPr>
          <w:bCs/>
        </w:rPr>
        <w:t xml:space="preserve"> </w:t>
      </w:r>
      <w:r w:rsidR="00503667" w:rsidRPr="00503667">
        <w:rPr>
          <w:bCs/>
        </w:rPr>
        <w:t>work on older persons</w:t>
      </w:r>
      <w:r w:rsidR="00782A95">
        <w:rPr>
          <w:bCs/>
        </w:rPr>
        <w:t>,</w:t>
      </w:r>
      <w:r w:rsidR="00503667" w:rsidRPr="00503667">
        <w:rPr>
          <w:bCs/>
        </w:rPr>
        <w:t xml:space="preserve"> </w:t>
      </w:r>
    </w:p>
    <w:p w14:paraId="66FC944F" w14:textId="643F63D1" w:rsidR="00503667" w:rsidRPr="00503667" w:rsidRDefault="0056703A" w:rsidP="00E9562A">
      <w:pPr>
        <w:pStyle w:val="ParaNoG"/>
        <w:numPr>
          <w:ilvl w:val="0"/>
          <w:numId w:val="35"/>
        </w:numPr>
        <w:ind w:left="1701" w:hanging="207"/>
        <w:rPr>
          <w:bCs/>
        </w:rPr>
      </w:pPr>
      <w:r>
        <w:rPr>
          <w:bCs/>
        </w:rPr>
        <w:t xml:space="preserve">Encourage interested parties to participate in </w:t>
      </w:r>
      <w:r w:rsidR="00626338">
        <w:rPr>
          <w:bCs/>
        </w:rPr>
        <w:t xml:space="preserve">a </w:t>
      </w:r>
      <w:r>
        <w:rPr>
          <w:bCs/>
        </w:rPr>
        <w:t xml:space="preserve">meeting held under and </w:t>
      </w:r>
      <w:r w:rsidR="00503667" w:rsidRPr="00503667">
        <w:rPr>
          <w:bCs/>
        </w:rPr>
        <w:t xml:space="preserve">mandated by Human Rights Council resolution 48/3 and other consultations </w:t>
      </w:r>
      <w:r w:rsidR="00521D95">
        <w:rPr>
          <w:bCs/>
        </w:rPr>
        <w:t xml:space="preserve">to develop </w:t>
      </w:r>
      <w:r w:rsidR="00503667" w:rsidRPr="00503667">
        <w:rPr>
          <w:bCs/>
        </w:rPr>
        <w:t xml:space="preserve">proposals and recommendations </w:t>
      </w:r>
      <w:r w:rsidR="00521D95">
        <w:rPr>
          <w:bCs/>
        </w:rPr>
        <w:t xml:space="preserve">to </w:t>
      </w:r>
      <w:r w:rsidR="00503667" w:rsidRPr="00503667">
        <w:rPr>
          <w:bCs/>
        </w:rPr>
        <w:t>strengthen legal frameworks at both the national and the international levels to protect older persons’ human rights</w:t>
      </w:r>
      <w:r w:rsidR="00521D95">
        <w:rPr>
          <w:bCs/>
        </w:rPr>
        <w:t>. T</w:t>
      </w:r>
      <w:r w:rsidR="00521D95" w:rsidRPr="00503667">
        <w:rPr>
          <w:bCs/>
        </w:rPr>
        <w:t>he Council and other relevant bodies</w:t>
      </w:r>
      <w:r w:rsidR="00521D95">
        <w:rPr>
          <w:bCs/>
        </w:rPr>
        <w:t xml:space="preserve"> will then </w:t>
      </w:r>
      <w:r w:rsidR="00503667" w:rsidRPr="00503667">
        <w:rPr>
          <w:bCs/>
        </w:rPr>
        <w:t xml:space="preserve">consider </w:t>
      </w:r>
      <w:r w:rsidR="00521D95">
        <w:rPr>
          <w:bCs/>
        </w:rPr>
        <w:t>the proposals and recommendations</w:t>
      </w:r>
      <w:r w:rsidR="00782A95">
        <w:rPr>
          <w:bCs/>
        </w:rPr>
        <w:t>,</w:t>
      </w:r>
      <w:r w:rsidR="00521D95">
        <w:rPr>
          <w:bCs/>
        </w:rPr>
        <w:t xml:space="preserve"> and</w:t>
      </w:r>
    </w:p>
    <w:p w14:paraId="00FE5482" w14:textId="254ACCF3" w:rsidR="00782A95" w:rsidRDefault="00503667" w:rsidP="00E9562A">
      <w:pPr>
        <w:pStyle w:val="ParaNoG"/>
        <w:numPr>
          <w:ilvl w:val="0"/>
          <w:numId w:val="35"/>
        </w:numPr>
        <w:rPr>
          <w:bCs/>
        </w:rPr>
      </w:pPr>
      <w:r w:rsidRPr="00503667">
        <w:rPr>
          <w:bCs/>
        </w:rPr>
        <w:t xml:space="preserve">Invite existing </w:t>
      </w:r>
      <w:r w:rsidRPr="00EE7402">
        <w:rPr>
          <w:bCs/>
        </w:rPr>
        <w:t>international human rights mechanisms</w:t>
      </w:r>
      <w:r w:rsidR="00782A95" w:rsidRPr="00EE7402">
        <w:rPr>
          <w:bCs/>
        </w:rPr>
        <w:t xml:space="preserve"> to</w:t>
      </w:r>
      <w:r w:rsidR="00782A95">
        <w:rPr>
          <w:bCs/>
        </w:rPr>
        <w:t>:</w:t>
      </w:r>
      <w:r w:rsidRPr="00503667">
        <w:rPr>
          <w:bCs/>
        </w:rPr>
        <w:t xml:space="preserve"> </w:t>
      </w:r>
    </w:p>
    <w:p w14:paraId="0EC6A0AE" w14:textId="69CDF0C3" w:rsidR="00782A95" w:rsidRDefault="00503667" w:rsidP="00E9562A">
      <w:pPr>
        <w:pStyle w:val="ParaNoG"/>
        <w:numPr>
          <w:ilvl w:val="0"/>
          <w:numId w:val="23"/>
        </w:numPr>
        <w:tabs>
          <w:tab w:val="clear" w:pos="1701"/>
          <w:tab w:val="left" w:pos="1985"/>
        </w:tabs>
        <w:ind w:left="1985" w:hanging="207"/>
        <w:rPr>
          <w:bCs/>
        </w:rPr>
      </w:pPr>
      <w:r w:rsidRPr="00503667">
        <w:rPr>
          <w:bCs/>
        </w:rPr>
        <w:t>review their current practices to better integrat</w:t>
      </w:r>
      <w:r w:rsidR="00521D95">
        <w:rPr>
          <w:bCs/>
        </w:rPr>
        <w:t>e</w:t>
      </w:r>
      <w:r w:rsidRPr="00503667">
        <w:rPr>
          <w:bCs/>
        </w:rPr>
        <w:t xml:space="preserve"> older persons’ human rights in their work</w:t>
      </w:r>
      <w:r w:rsidR="00782A95">
        <w:rPr>
          <w:bCs/>
        </w:rPr>
        <w:t xml:space="preserve">, and </w:t>
      </w:r>
    </w:p>
    <w:p w14:paraId="02D28361" w14:textId="26914C6D" w:rsidR="00503667" w:rsidRPr="00503667" w:rsidRDefault="00503667" w:rsidP="00E9562A">
      <w:pPr>
        <w:pStyle w:val="ParaNoG"/>
        <w:numPr>
          <w:ilvl w:val="0"/>
          <w:numId w:val="23"/>
        </w:numPr>
        <w:tabs>
          <w:tab w:val="clear" w:pos="1701"/>
          <w:tab w:val="left" w:pos="1985"/>
        </w:tabs>
        <w:ind w:left="1985" w:hanging="207"/>
        <w:rPr>
          <w:bCs/>
        </w:rPr>
      </w:pPr>
      <w:proofErr w:type="gramStart"/>
      <w:r w:rsidRPr="00503667">
        <w:rPr>
          <w:bCs/>
        </w:rPr>
        <w:t>address</w:t>
      </w:r>
      <w:proofErr w:type="gramEnd"/>
      <w:r w:rsidRPr="00503667">
        <w:rPr>
          <w:bCs/>
        </w:rPr>
        <w:t xml:space="preserve"> gaps and explore new issues affecting older persons not currently addressed by the international human rights framework.</w:t>
      </w:r>
      <w:bookmarkEnd w:id="2"/>
    </w:p>
    <w:p w14:paraId="0557DCA6" w14:textId="25C0C3B1" w:rsidR="00503667" w:rsidRPr="00503667" w:rsidRDefault="00503667">
      <w:pPr>
        <w:spacing w:after="200" w:line="276" w:lineRule="auto"/>
        <w:rPr>
          <w:bCs/>
        </w:rPr>
      </w:pPr>
    </w:p>
    <w:p w14:paraId="580F39A2" w14:textId="0A3D93E1" w:rsidR="00C43F74" w:rsidRPr="00974C0B" w:rsidRDefault="00C43F74" w:rsidP="00416C81">
      <w:pPr>
        <w:pStyle w:val="HChG"/>
      </w:pPr>
      <w:bookmarkStart w:id="4" w:name="III"/>
      <w:r w:rsidRPr="00974C0B">
        <w:t>II</w:t>
      </w:r>
      <w:r w:rsidR="00503667">
        <w:t>I</w:t>
      </w:r>
      <w:r w:rsidRPr="00974C0B">
        <w:t>.</w:t>
      </w:r>
      <w:r w:rsidR="000C2CF9">
        <w:t xml:space="preserve"> </w:t>
      </w:r>
      <w:r w:rsidRPr="00974C0B">
        <w:tab/>
        <w:t>Background</w:t>
      </w:r>
    </w:p>
    <w:bookmarkEnd w:id="4"/>
    <w:p w14:paraId="5B22E19A" w14:textId="79561699" w:rsidR="00C43F74" w:rsidRPr="00974C0B" w:rsidRDefault="00C43F74" w:rsidP="00416C81">
      <w:pPr>
        <w:pStyle w:val="H1G"/>
      </w:pPr>
      <w:r w:rsidRPr="00974C0B">
        <w:tab/>
      </w:r>
      <w:bookmarkStart w:id="5" w:name="III_A"/>
      <w:r w:rsidRPr="00974C0B">
        <w:t>A.</w:t>
      </w:r>
      <w:r w:rsidRPr="00974C0B">
        <w:tab/>
        <w:t xml:space="preserve">Demography and </w:t>
      </w:r>
      <w:r w:rsidR="00B63193" w:rsidRPr="00974C0B">
        <w:t>older persons</w:t>
      </w:r>
      <w:r w:rsidR="00B63193">
        <w:t>’</w:t>
      </w:r>
      <w:r w:rsidR="00B63193" w:rsidRPr="00974C0B">
        <w:t xml:space="preserve"> </w:t>
      </w:r>
      <w:r w:rsidRPr="00974C0B">
        <w:t xml:space="preserve">human rights </w:t>
      </w:r>
      <w:bookmarkEnd w:id="5"/>
    </w:p>
    <w:p w14:paraId="6435C468" w14:textId="4F259EDC" w:rsidR="00C43F74" w:rsidRPr="00974C0B" w:rsidRDefault="000C2CF9" w:rsidP="00952E3E">
      <w:pPr>
        <w:pStyle w:val="ParaNoG"/>
        <w:numPr>
          <w:ilvl w:val="0"/>
          <w:numId w:val="0"/>
        </w:numPr>
        <w:tabs>
          <w:tab w:val="left" w:pos="0"/>
        </w:tabs>
        <w:ind w:left="1134"/>
      </w:pPr>
      <w:r>
        <w:t>12</w:t>
      </w:r>
      <w:r w:rsidR="00C43F74" w:rsidRPr="00974C0B">
        <w:t>.</w:t>
      </w:r>
      <w:r w:rsidR="00C43F74" w:rsidRPr="00974C0B">
        <w:tab/>
      </w:r>
      <w:r w:rsidR="00C85E6E">
        <w:t xml:space="preserve">The world </w:t>
      </w:r>
      <w:r w:rsidR="00C43F74" w:rsidRPr="00974C0B">
        <w:t xml:space="preserve">population </w:t>
      </w:r>
      <w:r w:rsidR="00C85E6E">
        <w:t>is ageing rapidly</w:t>
      </w:r>
      <w:r w:rsidR="00C43F74" w:rsidRPr="00974C0B">
        <w:t>.</w:t>
      </w:r>
      <w:r w:rsidR="00C43F74" w:rsidRPr="00974C0B">
        <w:rPr>
          <w:rStyle w:val="EndnoteReference"/>
        </w:rPr>
        <w:endnoteReference w:id="5"/>
      </w:r>
      <w:r w:rsidR="00C43F74" w:rsidRPr="00974C0B">
        <w:rPr>
          <w:rStyle w:val="EndnoteReference"/>
        </w:rPr>
        <w:t xml:space="preserve"> </w:t>
      </w:r>
      <w:r w:rsidR="00C43F74" w:rsidRPr="00974C0B">
        <w:t>By 2050, there will be 1.5 billion people aged 65 and above</w:t>
      </w:r>
      <w:r w:rsidR="00C85E6E">
        <w:t>. This will</w:t>
      </w:r>
      <w:r w:rsidR="00882772">
        <w:t xml:space="preserve"> </w:t>
      </w:r>
      <w:r w:rsidR="00C43F74" w:rsidRPr="00974C0B">
        <w:t>constitut</w:t>
      </w:r>
      <w:r w:rsidR="00C85E6E">
        <w:t>e</w:t>
      </w:r>
      <w:r w:rsidR="00C43F74" w:rsidRPr="00974C0B">
        <w:t xml:space="preserve"> </w:t>
      </w:r>
      <w:r w:rsidR="00D827A2">
        <w:t>almost 17%</w:t>
      </w:r>
      <w:r w:rsidR="00C43F74" w:rsidRPr="00974C0B">
        <w:t xml:space="preserve"> of the world’s population.</w:t>
      </w:r>
      <w:r w:rsidR="00C43F74" w:rsidRPr="00974C0B">
        <w:rPr>
          <w:rStyle w:val="EndnoteReference"/>
        </w:rPr>
        <w:endnoteReference w:id="6"/>
      </w:r>
      <w:r w:rsidR="00C43F74" w:rsidRPr="00974C0B">
        <w:rPr>
          <w:rStyle w:val="EndnoteReference"/>
        </w:rPr>
        <w:t xml:space="preserve"> </w:t>
      </w:r>
      <w:r w:rsidR="00C85E6E">
        <w:t>A</w:t>
      </w:r>
      <w:r w:rsidR="00C43F74" w:rsidRPr="00974C0B">
        <w:t xml:space="preserve">geing </w:t>
      </w:r>
      <w:r w:rsidR="008E28BF" w:rsidRPr="00974C0B">
        <w:t>does</w:t>
      </w:r>
      <w:r w:rsidR="00C43F74" w:rsidRPr="00974C0B">
        <w:t xml:space="preserve"> not necessarily make individuals more vulnerable</w:t>
      </w:r>
      <w:r w:rsidR="00954223">
        <w:t xml:space="preserve">. However, </w:t>
      </w:r>
      <w:r w:rsidR="008E28BF" w:rsidRPr="00974C0B">
        <w:t>several</w:t>
      </w:r>
      <w:r w:rsidR="00C43F74" w:rsidRPr="00974C0B">
        <w:t xml:space="preserve"> physical, political, </w:t>
      </w:r>
      <w:r w:rsidR="00542470" w:rsidRPr="00974C0B">
        <w:t>economic,</w:t>
      </w:r>
      <w:r w:rsidR="00C43F74" w:rsidRPr="00974C0B">
        <w:t xml:space="preserve"> and social factors that accompany older age contribute to the challenges </w:t>
      </w:r>
      <w:r w:rsidR="00542470" w:rsidRPr="00974C0B">
        <w:t>those older persons</w:t>
      </w:r>
      <w:r w:rsidR="00C43F74" w:rsidRPr="00974C0B">
        <w:t xml:space="preserve"> face in enjoy</w:t>
      </w:r>
      <w:r w:rsidR="005669CB">
        <w:t>ing</w:t>
      </w:r>
      <w:r w:rsidR="00C43F74" w:rsidRPr="00974C0B">
        <w:t xml:space="preserve"> their human rights</w:t>
      </w:r>
      <w:r w:rsidR="00954223">
        <w:t xml:space="preserve">. </w:t>
      </w:r>
      <w:r w:rsidR="00C43F74" w:rsidRPr="00974C0B">
        <w:t>COVID-19</w:t>
      </w:r>
      <w:r w:rsidR="00176E21">
        <w:t xml:space="preserve"> has shown</w:t>
      </w:r>
      <w:r w:rsidR="00954223">
        <w:t xml:space="preserve"> this</w:t>
      </w:r>
      <w:r w:rsidR="00C43F74" w:rsidRPr="00974C0B">
        <w:t>.</w:t>
      </w:r>
      <w:r w:rsidR="00C43F74" w:rsidRPr="00974C0B">
        <w:rPr>
          <w:rStyle w:val="EndnoteReference"/>
        </w:rPr>
        <w:endnoteReference w:id="7"/>
      </w:r>
      <w:r w:rsidR="00C43F74" w:rsidRPr="00974C0B" w:rsidDel="00474365">
        <w:rPr>
          <w:rStyle w:val="EndnoteReference"/>
        </w:rPr>
        <w:t xml:space="preserve"> </w:t>
      </w:r>
    </w:p>
    <w:p w14:paraId="7DBCC675" w14:textId="464E2D65" w:rsidR="00C43F74" w:rsidRPr="00974C0B" w:rsidRDefault="000C2CF9" w:rsidP="00952E3E">
      <w:pPr>
        <w:pStyle w:val="ParaNoG"/>
        <w:numPr>
          <w:ilvl w:val="0"/>
          <w:numId w:val="0"/>
        </w:numPr>
        <w:tabs>
          <w:tab w:val="left" w:pos="0"/>
        </w:tabs>
        <w:ind w:left="1134"/>
        <w:rPr>
          <w:rStyle w:val="EndnoteReference"/>
        </w:rPr>
      </w:pPr>
      <w:r>
        <w:rPr>
          <w:rStyle w:val="EndnoteReference"/>
          <w:sz w:val="20"/>
          <w:vertAlign w:val="baseline"/>
        </w:rPr>
        <w:t>13</w:t>
      </w:r>
      <w:r w:rsidR="00C43F74" w:rsidRPr="00974C0B">
        <w:rPr>
          <w:rStyle w:val="EndnoteReference"/>
          <w:sz w:val="20"/>
          <w:vertAlign w:val="baseline"/>
        </w:rPr>
        <w:t>.</w:t>
      </w:r>
      <w:r w:rsidR="00C43F74" w:rsidRPr="00974C0B">
        <w:rPr>
          <w:rStyle w:val="EndnoteReference"/>
          <w:sz w:val="20"/>
          <w:vertAlign w:val="baseline"/>
        </w:rPr>
        <w:tab/>
      </w:r>
      <w:r w:rsidR="00C43F74" w:rsidRPr="00974C0B">
        <w:t xml:space="preserve">“Older age” or “older persons” are socially constructed concepts, as is the significance of a person </w:t>
      </w:r>
      <w:proofErr w:type="gramStart"/>
      <w:r w:rsidR="00C43F74" w:rsidRPr="00974C0B">
        <w:t>being perceived</w:t>
      </w:r>
      <w:proofErr w:type="gramEnd"/>
      <w:r w:rsidR="00C43F74" w:rsidRPr="00974C0B">
        <w:t xml:space="preserve"> as “old”.</w:t>
      </w:r>
      <w:r w:rsidR="00C43F74" w:rsidRPr="00974C0B">
        <w:rPr>
          <w:rStyle w:val="EndnoteReference"/>
        </w:rPr>
        <w:endnoteReference w:id="8"/>
      </w:r>
      <w:r w:rsidR="00C43F74" w:rsidRPr="00974C0B">
        <w:rPr>
          <w:rStyle w:val="EndnoteReference"/>
        </w:rPr>
        <w:t xml:space="preserve"> </w:t>
      </w:r>
      <w:r w:rsidR="00C43F74" w:rsidRPr="00974C0B">
        <w:t>There are no fixed, objective biological or chronological determinants of when a person enters “older age”</w:t>
      </w:r>
      <w:r w:rsidR="005669CB">
        <w:t>.</w:t>
      </w:r>
      <w:r w:rsidR="00C43F74" w:rsidRPr="00974C0B">
        <w:t xml:space="preserve"> </w:t>
      </w:r>
      <w:r w:rsidR="00954223">
        <w:t xml:space="preserve">When a person </w:t>
      </w:r>
      <w:proofErr w:type="gramStart"/>
      <w:r w:rsidR="00954223">
        <w:t>is seen</w:t>
      </w:r>
      <w:proofErr w:type="gramEnd"/>
      <w:r w:rsidR="00954223">
        <w:t xml:space="preserve"> as ‘old’ </w:t>
      </w:r>
      <w:r w:rsidR="00C43F74" w:rsidRPr="00974C0B">
        <w:t xml:space="preserve">depends on the </w:t>
      </w:r>
      <w:r w:rsidR="00954223">
        <w:t>society, its</w:t>
      </w:r>
      <w:r w:rsidR="00954223" w:rsidRPr="00974C0B">
        <w:t xml:space="preserve"> </w:t>
      </w:r>
      <w:r w:rsidR="00C43F74" w:rsidRPr="00974C0B">
        <w:t xml:space="preserve">cultural </w:t>
      </w:r>
      <w:r w:rsidR="00542470" w:rsidRPr="00974C0B">
        <w:t>values,</w:t>
      </w:r>
      <w:r w:rsidR="00C43F74" w:rsidRPr="00974C0B">
        <w:t xml:space="preserve"> and practices.</w:t>
      </w:r>
      <w:r w:rsidR="00C43F74" w:rsidRPr="00974C0B">
        <w:rPr>
          <w:rStyle w:val="EndnoteReference"/>
        </w:rPr>
        <w:endnoteReference w:id="9"/>
      </w:r>
      <w:r w:rsidR="00C43F74" w:rsidRPr="00974C0B">
        <w:rPr>
          <w:rStyle w:val="EndnoteReference"/>
        </w:rPr>
        <w:t xml:space="preserve"> </w:t>
      </w:r>
      <w:r w:rsidR="00C43F74" w:rsidRPr="00974C0B">
        <w:t xml:space="preserve">“Older age” </w:t>
      </w:r>
      <w:proofErr w:type="gramStart"/>
      <w:r w:rsidR="00C43F74" w:rsidRPr="00974C0B">
        <w:t>is defined</w:t>
      </w:r>
      <w:proofErr w:type="gramEnd"/>
      <w:r w:rsidR="00C43F74" w:rsidRPr="00974C0B">
        <w:t xml:space="preserve"> differently for different purposes</w:t>
      </w:r>
      <w:r w:rsidR="005669CB">
        <w:t>.</w:t>
      </w:r>
      <w:r w:rsidR="00C43F74" w:rsidRPr="00974C0B">
        <w:t xml:space="preserve"> </w:t>
      </w:r>
      <w:r w:rsidR="00954223">
        <w:t xml:space="preserve">Sometimes </w:t>
      </w:r>
      <w:r w:rsidR="00C43F74" w:rsidRPr="00974C0B">
        <w:t>age</w:t>
      </w:r>
      <w:r w:rsidR="00954223">
        <w:t xml:space="preserve"> limits are used, but not the same age limit </w:t>
      </w:r>
      <w:proofErr w:type="gramStart"/>
      <w:r w:rsidR="00954223">
        <w:t>is used</w:t>
      </w:r>
      <w:proofErr w:type="gramEnd"/>
      <w:r w:rsidR="00954223">
        <w:t xml:space="preserve"> for everything. Different age limits </w:t>
      </w:r>
      <w:proofErr w:type="gramStart"/>
      <w:r w:rsidR="00954223">
        <w:t>are used</w:t>
      </w:r>
      <w:proofErr w:type="gramEnd"/>
      <w:r w:rsidR="00954223">
        <w:t xml:space="preserve">, for instance, to determine when a person can retire </w:t>
      </w:r>
      <w:r w:rsidR="000005CF">
        <w:t xml:space="preserve">or </w:t>
      </w:r>
      <w:r w:rsidR="00954223">
        <w:t>can apply for</w:t>
      </w:r>
      <w:r w:rsidR="00C43F74" w:rsidRPr="00974C0B">
        <w:t xml:space="preserve"> discounts or other privileges, or for reviewing </w:t>
      </w:r>
      <w:r w:rsidR="00954223">
        <w:t>whether a person is still allowed to drive a car</w:t>
      </w:r>
      <w:r w:rsidR="00C43F74" w:rsidRPr="00974C0B">
        <w:t>.</w:t>
      </w:r>
      <w:r w:rsidR="00C43F74" w:rsidRPr="00974C0B">
        <w:rPr>
          <w:rStyle w:val="EndnoteReference"/>
        </w:rPr>
        <w:endnoteReference w:id="10"/>
      </w:r>
      <w:r w:rsidR="00C43F74" w:rsidRPr="00974C0B">
        <w:rPr>
          <w:rStyle w:val="EndnoteReference"/>
        </w:rPr>
        <w:t xml:space="preserve"> </w:t>
      </w:r>
      <w:r w:rsidR="00954223">
        <w:t xml:space="preserve">What </w:t>
      </w:r>
      <w:proofErr w:type="gramStart"/>
      <w:r w:rsidR="00954223">
        <w:t>is seen</w:t>
      </w:r>
      <w:proofErr w:type="gramEnd"/>
      <w:r w:rsidR="00954223">
        <w:t xml:space="preserve"> as </w:t>
      </w:r>
      <w:r w:rsidR="00C43F74" w:rsidRPr="00974C0B">
        <w:t>“old age”</w:t>
      </w:r>
      <w:r w:rsidR="00C43F74" w:rsidRPr="00974C0B">
        <w:rPr>
          <w:rStyle w:val="EndnoteReference"/>
        </w:rPr>
        <w:endnoteReference w:id="11"/>
      </w:r>
      <w:r w:rsidR="00C43F74" w:rsidRPr="00974C0B">
        <w:rPr>
          <w:rStyle w:val="EndnoteReference"/>
        </w:rPr>
        <w:t xml:space="preserve"> </w:t>
      </w:r>
      <w:r w:rsidR="00C43F74" w:rsidRPr="00974C0B">
        <w:t>ha</w:t>
      </w:r>
      <w:r w:rsidR="00954223">
        <w:t>s also</w:t>
      </w:r>
      <w:r w:rsidR="00C43F74" w:rsidRPr="00974C0B">
        <w:t xml:space="preserve"> </w:t>
      </w:r>
      <w:r w:rsidR="00C94896">
        <w:t>changed</w:t>
      </w:r>
      <w:r w:rsidR="00C43F74" w:rsidRPr="00974C0B">
        <w:t xml:space="preserve"> over </w:t>
      </w:r>
      <w:r w:rsidR="00954223">
        <w:t>the years</w:t>
      </w:r>
      <w:r w:rsidR="00C43F74" w:rsidRPr="00974C0B">
        <w:t xml:space="preserve">, within and among cultures. Individuals’ psychological age (how old they feel) may </w:t>
      </w:r>
      <w:r w:rsidR="00954223">
        <w:t xml:space="preserve">be </w:t>
      </w:r>
      <w:r w:rsidR="00C43F74" w:rsidRPr="00974C0B">
        <w:t>differ</w:t>
      </w:r>
      <w:r w:rsidR="00954223">
        <w:t>ent</w:t>
      </w:r>
      <w:r w:rsidR="00C43F74" w:rsidRPr="00974C0B">
        <w:t xml:space="preserve"> from </w:t>
      </w:r>
      <w:proofErr w:type="gramStart"/>
      <w:r w:rsidR="00C43F74" w:rsidRPr="00974C0B">
        <w:t xml:space="preserve">their chronological age or </w:t>
      </w:r>
      <w:r w:rsidR="00954223">
        <w:t xml:space="preserve">how </w:t>
      </w:r>
      <w:r w:rsidR="00C43F74" w:rsidRPr="00974C0B">
        <w:t>others view them</w:t>
      </w:r>
      <w:proofErr w:type="gramEnd"/>
      <w:r w:rsidR="00C94896">
        <w:t>.</w:t>
      </w:r>
      <w:r w:rsidR="00C43F74" w:rsidRPr="00974C0B">
        <w:t xml:space="preserve"> </w:t>
      </w:r>
      <w:r w:rsidR="00C94896">
        <w:t>D</w:t>
      </w:r>
      <w:r w:rsidR="00C43F74" w:rsidRPr="00974C0B">
        <w:t xml:space="preserve">ifferent groups in society may answer the question of “who is old” </w:t>
      </w:r>
      <w:r w:rsidR="00954223">
        <w:t>differently</w:t>
      </w:r>
      <w:r w:rsidR="00C43F74" w:rsidRPr="00974C0B">
        <w:t xml:space="preserve"> and</w:t>
      </w:r>
      <w:r w:rsidR="008E28BF">
        <w:t>,</w:t>
      </w:r>
      <w:r w:rsidR="00C43F74" w:rsidRPr="00974C0B">
        <w:t xml:space="preserve"> in comparison</w:t>
      </w:r>
      <w:r w:rsidR="008E28BF">
        <w:t>,</w:t>
      </w:r>
      <w:r w:rsidR="00C43F74" w:rsidRPr="00974C0B">
        <w:t xml:space="preserve"> with their own age.</w:t>
      </w:r>
      <w:r w:rsidR="00C43F74" w:rsidRPr="00974C0B">
        <w:rPr>
          <w:rStyle w:val="EndnoteReference"/>
        </w:rPr>
        <w:endnoteReference w:id="12"/>
      </w:r>
    </w:p>
    <w:p w14:paraId="4E16804C" w14:textId="40304EA3" w:rsidR="00C43F74" w:rsidRPr="00974C0B" w:rsidRDefault="000C2CF9" w:rsidP="00952E3E">
      <w:pPr>
        <w:pStyle w:val="ParaNoG"/>
        <w:numPr>
          <w:ilvl w:val="0"/>
          <w:numId w:val="0"/>
        </w:numPr>
        <w:tabs>
          <w:tab w:val="left" w:pos="0"/>
        </w:tabs>
        <w:ind w:left="1134"/>
      </w:pPr>
      <w:proofErr w:type="gramStart"/>
      <w:r>
        <w:t>14</w:t>
      </w:r>
      <w:r w:rsidR="00C43F74" w:rsidRPr="00974C0B">
        <w:t>.</w:t>
      </w:r>
      <w:r w:rsidR="00C43F74" w:rsidRPr="00974C0B">
        <w:tab/>
        <w:t>Being classified</w:t>
      </w:r>
      <w:proofErr w:type="gramEnd"/>
      <w:r w:rsidR="00C43F74" w:rsidRPr="00974C0B">
        <w:t xml:space="preserve"> as an “older person” or as having reached “older age” often leads to systematic disadvantage. Discriminatory treatment </w:t>
      </w:r>
      <w:proofErr w:type="gramStart"/>
      <w:r w:rsidR="00C43F74" w:rsidRPr="00974C0B">
        <w:t>is often based</w:t>
      </w:r>
      <w:proofErr w:type="gramEnd"/>
      <w:r w:rsidR="00C43F74" w:rsidRPr="00974C0B">
        <w:t xml:space="preserve"> on ageist stereotypes and paternalistic or </w:t>
      </w:r>
      <w:r w:rsidR="00831D20">
        <w:t>negative</w:t>
      </w:r>
      <w:r w:rsidR="00C43F74" w:rsidRPr="00974C0B">
        <w:t xml:space="preserve"> assumptions about loss of </w:t>
      </w:r>
      <w:r w:rsidR="00C94896">
        <w:t>ability</w:t>
      </w:r>
      <w:r w:rsidR="00C43F74" w:rsidRPr="00974C0B">
        <w:t xml:space="preserve">, and </w:t>
      </w:r>
      <w:r w:rsidR="00C94896">
        <w:t xml:space="preserve">not being able </w:t>
      </w:r>
      <w:r w:rsidR="00C43F74" w:rsidRPr="00974C0B">
        <w:t xml:space="preserve">to adapt </w:t>
      </w:r>
      <w:r w:rsidR="00C94896">
        <w:t>or</w:t>
      </w:r>
      <w:r w:rsidR="00C43F74" w:rsidRPr="00974C0B">
        <w:t xml:space="preserve"> to learn new skills, or even </w:t>
      </w:r>
      <w:r w:rsidR="008B5863">
        <w:t xml:space="preserve">be </w:t>
      </w:r>
      <w:r w:rsidR="00C43F74" w:rsidRPr="00974C0B">
        <w:t>interest</w:t>
      </w:r>
      <w:r w:rsidR="008B5863">
        <w:t>ed</w:t>
      </w:r>
      <w:r w:rsidR="00C43F74" w:rsidRPr="00974C0B">
        <w:t xml:space="preserve"> in doing so. These ageist attitudes </w:t>
      </w:r>
      <w:r w:rsidR="008B5863">
        <w:t xml:space="preserve">help to exclude </w:t>
      </w:r>
      <w:r w:rsidR="00C43F74" w:rsidRPr="00974C0B">
        <w:t>individuals and groups from social and economic activities</w:t>
      </w:r>
      <w:r w:rsidR="00C43F74">
        <w:t xml:space="preserve">, </w:t>
      </w:r>
      <w:r w:rsidR="0033221F">
        <w:t>e.g.,</w:t>
      </w:r>
      <w:r w:rsidR="00C43F74" w:rsidRPr="00974C0B">
        <w:t xml:space="preserve"> remunerated work once they reach “older age”.</w:t>
      </w:r>
    </w:p>
    <w:p w14:paraId="5044BEF2" w14:textId="3FEA864B" w:rsidR="00C43F74" w:rsidRPr="00974C0B" w:rsidRDefault="00C43F74" w:rsidP="00952E3E">
      <w:pPr>
        <w:pStyle w:val="H1G"/>
      </w:pPr>
      <w:r w:rsidRPr="00974C0B">
        <w:lastRenderedPageBreak/>
        <w:tab/>
      </w:r>
      <w:bookmarkStart w:id="6" w:name="III_B"/>
      <w:r w:rsidRPr="00974C0B">
        <w:t>B.</w:t>
      </w:r>
      <w:r w:rsidRPr="00974C0B">
        <w:tab/>
        <w:t>COVID-19</w:t>
      </w:r>
      <w:r w:rsidR="00D827A2">
        <w:t>’s</w:t>
      </w:r>
      <w:r w:rsidRPr="00974C0B">
        <w:t xml:space="preserve"> </w:t>
      </w:r>
      <w:r w:rsidR="00D827A2">
        <w:t xml:space="preserve">impact </w:t>
      </w:r>
      <w:r w:rsidRPr="00974C0B">
        <w:t xml:space="preserve">on </w:t>
      </w:r>
      <w:r w:rsidR="00B63193" w:rsidRPr="00974C0B">
        <w:t>older persons</w:t>
      </w:r>
      <w:r w:rsidR="00B63193">
        <w:t>’</w:t>
      </w:r>
      <w:r w:rsidR="00B63193" w:rsidRPr="00974C0B">
        <w:t xml:space="preserve"> </w:t>
      </w:r>
      <w:r w:rsidRPr="00974C0B">
        <w:t xml:space="preserve">human rights </w:t>
      </w:r>
      <w:bookmarkEnd w:id="6"/>
    </w:p>
    <w:p w14:paraId="785E33DC" w14:textId="42170EB7" w:rsidR="00C43F74" w:rsidRPr="00974C0B" w:rsidRDefault="000C2CF9" w:rsidP="00952E3E">
      <w:pPr>
        <w:pStyle w:val="ParaNoG"/>
        <w:numPr>
          <w:ilvl w:val="0"/>
          <w:numId w:val="0"/>
        </w:numPr>
        <w:tabs>
          <w:tab w:val="left" w:pos="0"/>
        </w:tabs>
        <w:ind w:left="1134"/>
        <w:rPr>
          <w:iCs/>
          <w:color w:val="444444"/>
        </w:rPr>
      </w:pPr>
      <w:r>
        <w:rPr>
          <w:iCs/>
          <w:color w:val="444444"/>
        </w:rPr>
        <w:t>15</w:t>
      </w:r>
      <w:r w:rsidR="00C43F74" w:rsidRPr="00974C0B">
        <w:rPr>
          <w:iCs/>
          <w:color w:val="444444"/>
        </w:rPr>
        <w:t>.</w:t>
      </w:r>
      <w:r w:rsidR="00C43F74" w:rsidRPr="00974C0B">
        <w:rPr>
          <w:iCs/>
          <w:color w:val="444444"/>
        </w:rPr>
        <w:tab/>
      </w:r>
      <w:r w:rsidR="00C43F74" w:rsidRPr="00974C0B">
        <w:t xml:space="preserve">COVID-19 highlighted the </w:t>
      </w:r>
      <w:r w:rsidR="008B5863">
        <w:t>problems</w:t>
      </w:r>
      <w:r w:rsidR="00C43F74" w:rsidRPr="00974C0B">
        <w:t xml:space="preserve"> in international and national </w:t>
      </w:r>
      <w:r w:rsidR="00954223">
        <w:t>rules and laws</w:t>
      </w:r>
      <w:r w:rsidR="00954223" w:rsidRPr="00974C0B">
        <w:t xml:space="preserve"> </w:t>
      </w:r>
      <w:r w:rsidR="00C43F74" w:rsidRPr="00974C0B">
        <w:t xml:space="preserve">for older persons in dramatic and tragic ways. While </w:t>
      </w:r>
      <w:r w:rsidR="00563F75" w:rsidRPr="00974C0B">
        <w:t xml:space="preserve">COVID-19 </w:t>
      </w:r>
      <w:r w:rsidR="00C43F74" w:rsidRPr="00974C0B">
        <w:t xml:space="preserve">seriously affected many groups, </w:t>
      </w:r>
      <w:r w:rsidR="0041116C" w:rsidRPr="00974C0B">
        <w:t>existing inequalit</w:t>
      </w:r>
      <w:r w:rsidR="00954223">
        <w:t>ies</w:t>
      </w:r>
      <w:r w:rsidR="0041116C" w:rsidRPr="00974C0B">
        <w:t xml:space="preserve"> and disadvantage</w:t>
      </w:r>
      <w:r w:rsidR="00954223">
        <w:t>s</w:t>
      </w:r>
      <w:r w:rsidR="0041116C" w:rsidRPr="00974C0B">
        <w:t xml:space="preserve"> </w:t>
      </w:r>
      <w:r w:rsidR="0041116C">
        <w:t xml:space="preserve">have amplified </w:t>
      </w:r>
      <w:r w:rsidR="005942F3" w:rsidRPr="00974C0B">
        <w:t>COVID-19</w:t>
      </w:r>
      <w:r w:rsidR="0041116C">
        <w:t xml:space="preserve">’s </w:t>
      </w:r>
      <w:r w:rsidR="00C43F74" w:rsidRPr="00974C0B">
        <w:t>consequences.</w:t>
      </w:r>
      <w:r w:rsidR="00C43F74" w:rsidRPr="00974C0B">
        <w:rPr>
          <w:rStyle w:val="EndnoteReference"/>
        </w:rPr>
        <w:endnoteReference w:id="13"/>
      </w:r>
      <w:r w:rsidR="00C43F74" w:rsidRPr="00974C0B">
        <w:rPr>
          <w:rStyle w:val="EndnoteReference"/>
        </w:rPr>
        <w:t xml:space="preserve"> </w:t>
      </w:r>
      <w:r w:rsidR="00C43F74" w:rsidRPr="00974C0B">
        <w:t xml:space="preserve">The impact on </w:t>
      </w:r>
      <w:r w:rsidR="00B63193" w:rsidRPr="00974C0B">
        <w:t>older persons</w:t>
      </w:r>
      <w:r w:rsidR="00B63193">
        <w:t>’</w:t>
      </w:r>
      <w:r w:rsidR="00B63193" w:rsidRPr="00974C0B">
        <w:t xml:space="preserve"> </w:t>
      </w:r>
      <w:r w:rsidR="00C43F74" w:rsidRPr="00974C0B">
        <w:t>human rights has been devastating.</w:t>
      </w:r>
      <w:r w:rsidR="00C43F74" w:rsidRPr="00974C0B">
        <w:rPr>
          <w:rStyle w:val="EndnoteReference"/>
        </w:rPr>
        <w:endnoteReference w:id="14"/>
      </w:r>
      <w:r w:rsidR="00C43F74" w:rsidRPr="00974C0B">
        <w:rPr>
          <w:rStyle w:val="EndnoteReference"/>
        </w:rPr>
        <w:t xml:space="preserve"> </w:t>
      </w:r>
      <w:r w:rsidR="00C43F74" w:rsidRPr="00974C0B">
        <w:t xml:space="preserve">Greater susceptibility to severe infection and the living conditions of many older persons led to them constituting the overwhelming proportion of lives lost. </w:t>
      </w:r>
      <w:proofErr w:type="gramStart"/>
      <w:r w:rsidR="00C43F74" w:rsidRPr="00974C0B">
        <w:t xml:space="preserve">However, the impact goes well beyond </w:t>
      </w:r>
      <w:r w:rsidR="008E28BF">
        <w:t xml:space="preserve">the </w:t>
      </w:r>
      <w:r w:rsidR="00C43F74" w:rsidRPr="00974C0B">
        <w:t xml:space="preserve">loss of life and serious illness, and has highlighted the existence of ageist structures, attitudes and practices, and their </w:t>
      </w:r>
      <w:r w:rsidR="008B5863">
        <w:t>serious</w:t>
      </w:r>
      <w:r w:rsidR="00C43F74" w:rsidRPr="00974C0B">
        <w:t xml:space="preserve"> consequences </w:t>
      </w:r>
      <w:r w:rsidR="008E28BF">
        <w:t>on</w:t>
      </w:r>
      <w:r w:rsidR="00C43F74" w:rsidRPr="00974C0B">
        <w:t xml:space="preserve"> </w:t>
      </w:r>
      <w:r w:rsidR="0056703A">
        <w:t xml:space="preserve">how </w:t>
      </w:r>
      <w:r w:rsidR="00C43F74" w:rsidRPr="00974C0B">
        <w:t>older persons</w:t>
      </w:r>
      <w:r w:rsidR="0056703A">
        <w:t xml:space="preserve"> enjoy</w:t>
      </w:r>
      <w:r w:rsidR="00C43F74" w:rsidRPr="00974C0B">
        <w:t xml:space="preserve"> human rights.</w:t>
      </w:r>
      <w:proofErr w:type="gramEnd"/>
    </w:p>
    <w:p w14:paraId="34F67442" w14:textId="099C549B" w:rsidR="00B63193" w:rsidRDefault="000C2CF9" w:rsidP="00952E3E">
      <w:pPr>
        <w:pStyle w:val="ParaNoG"/>
        <w:numPr>
          <w:ilvl w:val="0"/>
          <w:numId w:val="0"/>
        </w:numPr>
        <w:tabs>
          <w:tab w:val="left" w:pos="0"/>
        </w:tabs>
        <w:ind w:left="1134"/>
      </w:pPr>
      <w:r>
        <w:rPr>
          <w:iCs/>
          <w:color w:val="444444"/>
        </w:rPr>
        <w:t>16</w:t>
      </w:r>
      <w:r w:rsidR="00C43F74" w:rsidRPr="00974C0B">
        <w:rPr>
          <w:iCs/>
          <w:color w:val="444444"/>
        </w:rPr>
        <w:t>.</w:t>
      </w:r>
      <w:r w:rsidR="00C43F74" w:rsidRPr="00974C0B">
        <w:rPr>
          <w:iCs/>
          <w:color w:val="444444"/>
        </w:rPr>
        <w:tab/>
        <w:t xml:space="preserve">In </w:t>
      </w:r>
      <w:r w:rsidR="00C43F74" w:rsidRPr="00974C0B">
        <w:t xml:space="preserve">May 2020, the Secretary-General described the </w:t>
      </w:r>
      <w:r w:rsidR="0033221F" w:rsidRPr="00974C0B">
        <w:t>risks</w:t>
      </w:r>
      <w:r w:rsidR="00C43F74" w:rsidRPr="00974C0B">
        <w:t xml:space="preserve"> that COVID-19 presented to older persons.</w:t>
      </w:r>
      <w:r w:rsidR="00C43F74" w:rsidRPr="00974C0B">
        <w:rPr>
          <w:rStyle w:val="EndnoteReference"/>
        </w:rPr>
        <w:endnoteReference w:id="15"/>
      </w:r>
      <w:r w:rsidR="00C43F74" w:rsidRPr="00974C0B">
        <w:rPr>
          <w:rStyle w:val="EndnoteReference"/>
        </w:rPr>
        <w:t xml:space="preserve"> </w:t>
      </w:r>
      <w:r w:rsidR="00C43F74" w:rsidRPr="00974C0B">
        <w:t xml:space="preserve">These included: </w:t>
      </w:r>
    </w:p>
    <w:p w14:paraId="5EC45602" w14:textId="3F27CEF4" w:rsidR="00B63193" w:rsidRDefault="005669CB" w:rsidP="00B63193">
      <w:pPr>
        <w:pStyle w:val="ParaNoG"/>
        <w:numPr>
          <w:ilvl w:val="0"/>
          <w:numId w:val="6"/>
        </w:numPr>
        <w:tabs>
          <w:tab w:val="left" w:pos="0"/>
        </w:tabs>
        <w:ind w:left="1701" w:hanging="207"/>
      </w:pPr>
      <w:r>
        <w:t xml:space="preserve">the </w:t>
      </w:r>
      <w:r w:rsidR="00C43F74" w:rsidRPr="00974C0B">
        <w:t>significantly higher risk of severe disease and mortality following infection</w:t>
      </w:r>
      <w:r w:rsidR="00B63193">
        <w:t xml:space="preserve"> and </w:t>
      </w:r>
      <w:r w:rsidR="00C43F74" w:rsidRPr="00974C0B">
        <w:t>potential age discrimination in access</w:t>
      </w:r>
      <w:r w:rsidR="0041116C">
        <w:t>ing</w:t>
      </w:r>
      <w:r w:rsidR="00C43F74" w:rsidRPr="00974C0B">
        <w:t xml:space="preserve"> medical care, </w:t>
      </w:r>
    </w:p>
    <w:p w14:paraId="6A8E8530" w14:textId="3E300E4E" w:rsidR="00B63193" w:rsidRDefault="00C43F74" w:rsidP="00B63193">
      <w:pPr>
        <w:pStyle w:val="ParaNoG"/>
        <w:numPr>
          <w:ilvl w:val="0"/>
          <w:numId w:val="6"/>
        </w:numPr>
        <w:tabs>
          <w:tab w:val="left" w:pos="0"/>
        </w:tabs>
        <w:ind w:left="1701" w:hanging="207"/>
      </w:pPr>
      <w:r w:rsidRPr="00974C0B">
        <w:t>triage and life-saving therapies</w:t>
      </w:r>
      <w:r w:rsidR="00B63193">
        <w:t>,</w:t>
      </w:r>
      <w:r w:rsidRPr="00974C0B">
        <w:t xml:space="preserve"> </w:t>
      </w:r>
    </w:p>
    <w:p w14:paraId="0A914504" w14:textId="7370B95D" w:rsidR="00B63193" w:rsidRDefault="00C43F74" w:rsidP="00B63193">
      <w:pPr>
        <w:pStyle w:val="ParaNoG"/>
        <w:numPr>
          <w:ilvl w:val="0"/>
          <w:numId w:val="6"/>
        </w:numPr>
        <w:tabs>
          <w:tab w:val="left" w:pos="0"/>
        </w:tabs>
        <w:ind w:left="1701" w:hanging="207"/>
      </w:pPr>
      <w:r w:rsidRPr="00974C0B">
        <w:t xml:space="preserve">the deaths of thousands of residents of care homes for the elderly or long-term care facilities </w:t>
      </w:r>
      <w:r w:rsidR="00B63193">
        <w:t xml:space="preserve">because of </w:t>
      </w:r>
      <w:r w:rsidRPr="00974C0B">
        <w:t>contracting COVID-19</w:t>
      </w:r>
      <w:r w:rsidR="00B63193">
        <w:t>,</w:t>
      </w:r>
      <w:r w:rsidRPr="00974C0B">
        <w:t xml:space="preserve"> </w:t>
      </w:r>
    </w:p>
    <w:p w14:paraId="715E2D56" w14:textId="2E1DF522" w:rsidR="00B63193" w:rsidRDefault="008B5863" w:rsidP="00B63193">
      <w:pPr>
        <w:pStyle w:val="ParaNoG"/>
        <w:numPr>
          <w:ilvl w:val="0"/>
          <w:numId w:val="6"/>
        </w:numPr>
        <w:tabs>
          <w:tab w:val="left" w:pos="0"/>
        </w:tabs>
        <w:ind w:left="1701" w:hanging="207"/>
      </w:pPr>
      <w:r>
        <w:t xml:space="preserve">the </w:t>
      </w:r>
      <w:r w:rsidR="00C43F74" w:rsidRPr="00974C0B">
        <w:t xml:space="preserve">additional exposure to neglect, </w:t>
      </w:r>
      <w:r w:rsidR="0033221F" w:rsidRPr="00974C0B">
        <w:t>mistreatment,</w:t>
      </w:r>
      <w:r w:rsidR="00C43F74" w:rsidRPr="00974C0B">
        <w:t xml:space="preserve"> or abuse – in family situations and in care homes and institutions – </w:t>
      </w:r>
      <w:r w:rsidR="00B63193">
        <w:t xml:space="preserve">due to </w:t>
      </w:r>
      <w:r w:rsidR="00C43F74" w:rsidRPr="00974C0B">
        <w:t>lockdowns</w:t>
      </w:r>
      <w:r w:rsidR="00B63193">
        <w:t>,</w:t>
      </w:r>
      <w:r w:rsidR="00C43F74" w:rsidRPr="00974C0B">
        <w:t xml:space="preserve"> </w:t>
      </w:r>
    </w:p>
    <w:p w14:paraId="3A7F723C" w14:textId="4D6674C8" w:rsidR="00B63193" w:rsidRDefault="008B5863" w:rsidP="00B63193">
      <w:pPr>
        <w:pStyle w:val="ParaNoG"/>
        <w:numPr>
          <w:ilvl w:val="0"/>
          <w:numId w:val="6"/>
        </w:numPr>
        <w:tabs>
          <w:tab w:val="left" w:pos="0"/>
        </w:tabs>
        <w:ind w:left="1701" w:hanging="207"/>
      </w:pPr>
      <w:r>
        <w:t xml:space="preserve">the </w:t>
      </w:r>
      <w:r w:rsidR="00C43F74" w:rsidRPr="00974C0B">
        <w:t xml:space="preserve">reduction in access to non-COVID-related health services, </w:t>
      </w:r>
      <w:r w:rsidR="0033221F">
        <w:t>e.g.,</w:t>
      </w:r>
      <w:r w:rsidR="00C43F74" w:rsidRPr="00974C0B">
        <w:t xml:space="preserve"> home-based visits and community care</w:t>
      </w:r>
      <w:r w:rsidR="00B63193">
        <w:t>,</w:t>
      </w:r>
      <w:r w:rsidR="00C43F74" w:rsidRPr="00974C0B">
        <w:t xml:space="preserve"> </w:t>
      </w:r>
    </w:p>
    <w:p w14:paraId="418F6F07" w14:textId="5FA6671E" w:rsidR="00B63193" w:rsidRDefault="008B5863" w:rsidP="00B63193">
      <w:pPr>
        <w:pStyle w:val="ParaNoG"/>
        <w:numPr>
          <w:ilvl w:val="0"/>
          <w:numId w:val="6"/>
        </w:numPr>
        <w:tabs>
          <w:tab w:val="left" w:pos="0"/>
        </w:tabs>
        <w:ind w:left="1701" w:hanging="207"/>
      </w:pPr>
      <w:r>
        <w:t xml:space="preserve">the </w:t>
      </w:r>
      <w:r w:rsidR="00C43F74" w:rsidRPr="00974C0B">
        <w:t xml:space="preserve">threats to social networks, an increased risk of social isolation, and risks to mental health, especially for older women living alone during lockdowns and </w:t>
      </w:r>
      <w:r w:rsidR="00B63193">
        <w:t xml:space="preserve">because </w:t>
      </w:r>
      <w:r w:rsidR="00C43F74" w:rsidRPr="00974C0B">
        <w:t>of social distancing measures</w:t>
      </w:r>
      <w:r w:rsidR="00B63193">
        <w:t>,</w:t>
      </w:r>
      <w:r w:rsidR="00C43F74" w:rsidRPr="00974C0B">
        <w:t xml:space="preserve"> </w:t>
      </w:r>
    </w:p>
    <w:p w14:paraId="2E367DC7" w14:textId="2F07F08B" w:rsidR="00B63193" w:rsidRDefault="00C43F74" w:rsidP="00B63193">
      <w:pPr>
        <w:pStyle w:val="ParaNoG"/>
        <w:numPr>
          <w:ilvl w:val="0"/>
          <w:numId w:val="6"/>
        </w:numPr>
        <w:tabs>
          <w:tab w:val="left" w:pos="0"/>
        </w:tabs>
        <w:ind w:left="1701" w:hanging="207"/>
      </w:pPr>
      <w:r w:rsidRPr="00974C0B">
        <w:t xml:space="preserve">an escalation of entrenched ageism, including discrimination against and stigmatization of older persons and the </w:t>
      </w:r>
      <w:r w:rsidR="008B5863">
        <w:t>appearance</w:t>
      </w:r>
      <w:r w:rsidRPr="00974C0B">
        <w:t xml:space="preserve"> in public discourse and on social media of remarks and hate speech targeted at older persons, as expressions of intergenerational resentment</w:t>
      </w:r>
      <w:r w:rsidR="00B63193">
        <w:t>,</w:t>
      </w:r>
      <w:r w:rsidRPr="00974C0B">
        <w:t xml:space="preserve"> </w:t>
      </w:r>
    </w:p>
    <w:p w14:paraId="1032732E" w14:textId="3BA16327" w:rsidR="00B63193" w:rsidRDefault="008B5863" w:rsidP="00B63193">
      <w:pPr>
        <w:pStyle w:val="ParaNoG"/>
        <w:numPr>
          <w:ilvl w:val="0"/>
          <w:numId w:val="6"/>
        </w:numPr>
        <w:tabs>
          <w:tab w:val="left" w:pos="0"/>
        </w:tabs>
        <w:ind w:left="1701" w:hanging="207"/>
      </w:pPr>
      <w:r>
        <w:t xml:space="preserve">the </w:t>
      </w:r>
      <w:r w:rsidR="00C43F74" w:rsidRPr="00974C0B">
        <w:t>different</w:t>
      </w:r>
      <w:r>
        <w:t xml:space="preserve"> level of</w:t>
      </w:r>
      <w:r w:rsidR="00C43F74" w:rsidRPr="00974C0B">
        <w:t xml:space="preserve"> access to </w:t>
      </w:r>
      <w:r w:rsidR="005942F3" w:rsidRPr="00974C0B">
        <w:t>COVID-19</w:t>
      </w:r>
      <w:r w:rsidR="00C43F74" w:rsidRPr="00974C0B">
        <w:t>-related and other information and access to government and other services</w:t>
      </w:r>
      <w:r w:rsidR="00B63193">
        <w:t>,</w:t>
      </w:r>
      <w:r w:rsidR="00C43F74" w:rsidRPr="00974C0B">
        <w:t xml:space="preserve"> and </w:t>
      </w:r>
    </w:p>
    <w:p w14:paraId="50F878FB" w14:textId="38F0FD4E" w:rsidR="00C43F74" w:rsidRPr="00974C0B" w:rsidRDefault="00C43F74" w:rsidP="00B63193">
      <w:pPr>
        <w:pStyle w:val="ParaNoG"/>
        <w:numPr>
          <w:ilvl w:val="0"/>
          <w:numId w:val="6"/>
        </w:numPr>
        <w:tabs>
          <w:tab w:val="left" w:pos="0"/>
        </w:tabs>
        <w:ind w:left="1701" w:hanging="207"/>
        <w:rPr>
          <w:iCs/>
          <w:color w:val="444444"/>
        </w:rPr>
      </w:pPr>
      <w:proofErr w:type="gramStart"/>
      <w:r w:rsidRPr="00974C0B">
        <w:t>the</w:t>
      </w:r>
      <w:proofErr w:type="gramEnd"/>
      <w:r w:rsidRPr="00974C0B">
        <w:t xml:space="preserve"> invisibility of older persons in public data analysis.</w:t>
      </w:r>
    </w:p>
    <w:p w14:paraId="08522455" w14:textId="5EA1C63C" w:rsidR="00FA3B56" w:rsidRDefault="000C2CF9" w:rsidP="00952E3E">
      <w:pPr>
        <w:pStyle w:val="ParaNoG"/>
        <w:numPr>
          <w:ilvl w:val="0"/>
          <w:numId w:val="0"/>
        </w:numPr>
        <w:tabs>
          <w:tab w:val="left" w:pos="0"/>
        </w:tabs>
        <w:ind w:left="1134"/>
      </w:pPr>
      <w:r>
        <w:t>17</w:t>
      </w:r>
      <w:r w:rsidR="00C43F74" w:rsidRPr="00974C0B">
        <w:t>.</w:t>
      </w:r>
      <w:r w:rsidR="00C43F74" w:rsidRPr="00974C0B">
        <w:tab/>
        <w:t xml:space="preserve">Many </w:t>
      </w:r>
      <w:r w:rsidR="00D827A2">
        <w:t xml:space="preserve">COVID-19 </w:t>
      </w:r>
      <w:r w:rsidR="00C43F74" w:rsidRPr="00974C0B">
        <w:t xml:space="preserve">impacts reflect </w:t>
      </w:r>
      <w:r w:rsidR="008B5863">
        <w:t xml:space="preserve">the </w:t>
      </w:r>
      <w:r w:rsidR="00C43F74" w:rsidRPr="00974C0B">
        <w:t xml:space="preserve">existing </w:t>
      </w:r>
      <w:r w:rsidR="008B5863">
        <w:t xml:space="preserve">problems </w:t>
      </w:r>
      <w:r w:rsidR="00C43F74" w:rsidRPr="00974C0B">
        <w:t xml:space="preserve">in the </w:t>
      </w:r>
      <w:r w:rsidR="001C7504">
        <w:t>rules and laws</w:t>
      </w:r>
      <w:r w:rsidR="001C7504" w:rsidRPr="00974C0B">
        <w:t xml:space="preserve"> </w:t>
      </w:r>
      <w:r w:rsidR="00FA3B56">
        <w:t xml:space="preserve">protecting </w:t>
      </w:r>
      <w:r w:rsidR="00C43F74" w:rsidRPr="00974C0B">
        <w:t xml:space="preserve">older persons’ human rights. The health emergency </w:t>
      </w:r>
      <w:r w:rsidR="001C7504">
        <w:t xml:space="preserve">made visible </w:t>
      </w:r>
      <w:r w:rsidR="00FA3B56">
        <w:t xml:space="preserve">the </w:t>
      </w:r>
      <w:r w:rsidR="00C43F74" w:rsidRPr="00974C0B">
        <w:t xml:space="preserve">many challenges </w:t>
      </w:r>
      <w:r w:rsidR="0033221F" w:rsidRPr="00974C0B">
        <w:t>those older persons</w:t>
      </w:r>
      <w:r w:rsidR="00C43F74" w:rsidRPr="00974C0B">
        <w:t xml:space="preserve"> have been facing for years, </w:t>
      </w:r>
      <w:r w:rsidR="00C43F74">
        <w:t>e.g.</w:t>
      </w:r>
      <w:r w:rsidR="00FA3B56">
        <w:t>:</w:t>
      </w:r>
      <w:r w:rsidR="00C43F74" w:rsidRPr="00974C0B">
        <w:t xml:space="preserve"> </w:t>
      </w:r>
    </w:p>
    <w:p w14:paraId="445219FD" w14:textId="77777777" w:rsidR="00FA3B56" w:rsidRDefault="00C43F74" w:rsidP="00FA3B56">
      <w:pPr>
        <w:pStyle w:val="ParaNoG"/>
        <w:numPr>
          <w:ilvl w:val="0"/>
          <w:numId w:val="12"/>
        </w:numPr>
        <w:tabs>
          <w:tab w:val="left" w:pos="0"/>
        </w:tabs>
      </w:pPr>
      <w:r w:rsidRPr="00974C0B">
        <w:t xml:space="preserve">discrimination based on older age, </w:t>
      </w:r>
    </w:p>
    <w:p w14:paraId="6BFBA07E" w14:textId="2249DF20" w:rsidR="00FA3B56" w:rsidRDefault="00FA3B56" w:rsidP="00FA3B56">
      <w:pPr>
        <w:pStyle w:val="ParaNoG"/>
        <w:numPr>
          <w:ilvl w:val="0"/>
          <w:numId w:val="12"/>
        </w:numPr>
        <w:tabs>
          <w:tab w:val="left" w:pos="0"/>
        </w:tabs>
      </w:pPr>
      <w:r>
        <w:t xml:space="preserve">the </w:t>
      </w:r>
      <w:r w:rsidR="00C43F74" w:rsidRPr="00974C0B">
        <w:t xml:space="preserve">lack of social protection and of access to health services, </w:t>
      </w:r>
    </w:p>
    <w:p w14:paraId="1A151CAA" w14:textId="45C95F05" w:rsidR="00FA3B56" w:rsidRDefault="00FA3B56" w:rsidP="00FA3B56">
      <w:pPr>
        <w:pStyle w:val="ParaNoG"/>
        <w:numPr>
          <w:ilvl w:val="0"/>
          <w:numId w:val="12"/>
        </w:numPr>
        <w:tabs>
          <w:tab w:val="left" w:pos="0"/>
        </w:tabs>
      </w:pPr>
      <w:r>
        <w:t xml:space="preserve">the </w:t>
      </w:r>
      <w:r w:rsidR="00C43F74" w:rsidRPr="00974C0B">
        <w:t xml:space="preserve">lack of autonomy and participation in decision-making, and </w:t>
      </w:r>
    </w:p>
    <w:p w14:paraId="67460AF9" w14:textId="7BE88952" w:rsidR="00C43F74" w:rsidRPr="00974C0B" w:rsidRDefault="00FA3B56" w:rsidP="00FA3B56">
      <w:pPr>
        <w:pStyle w:val="ParaNoG"/>
        <w:numPr>
          <w:ilvl w:val="0"/>
          <w:numId w:val="12"/>
        </w:numPr>
        <w:tabs>
          <w:tab w:val="left" w:pos="0"/>
        </w:tabs>
      </w:pPr>
      <w:proofErr w:type="gramStart"/>
      <w:r>
        <w:t>the</w:t>
      </w:r>
      <w:proofErr w:type="gramEnd"/>
      <w:r>
        <w:t xml:space="preserve"> </w:t>
      </w:r>
      <w:r w:rsidR="00C43F74" w:rsidRPr="00974C0B">
        <w:t xml:space="preserve">risk of violence, neglect, </w:t>
      </w:r>
      <w:r w:rsidR="0033221F" w:rsidRPr="00974C0B">
        <w:t>abuse,</w:t>
      </w:r>
      <w:r w:rsidR="00C43F74" w:rsidRPr="00974C0B">
        <w:t xml:space="preserve"> and exploitation.</w:t>
      </w:r>
    </w:p>
    <w:p w14:paraId="4B278B33" w14:textId="63BE78BC" w:rsidR="002C6565" w:rsidRDefault="00C43F74" w:rsidP="00952E3E">
      <w:pPr>
        <w:pStyle w:val="ParaNoG"/>
        <w:numPr>
          <w:ilvl w:val="0"/>
          <w:numId w:val="0"/>
        </w:numPr>
        <w:tabs>
          <w:tab w:val="left" w:pos="0"/>
        </w:tabs>
        <w:ind w:left="1134"/>
      </w:pPr>
      <w:r w:rsidRPr="00974C0B">
        <w:rPr>
          <w:rStyle w:val="EndnoteReference"/>
          <w:sz w:val="20"/>
          <w:vertAlign w:val="baseline"/>
        </w:rPr>
        <w:t>1</w:t>
      </w:r>
      <w:r w:rsidR="000C2CF9">
        <w:t>8</w:t>
      </w:r>
      <w:r w:rsidRPr="00974C0B">
        <w:rPr>
          <w:rStyle w:val="EndnoteReference"/>
          <w:sz w:val="20"/>
          <w:vertAlign w:val="baseline"/>
        </w:rPr>
        <w:t>.</w:t>
      </w:r>
      <w:r w:rsidRPr="00974C0B">
        <w:rPr>
          <w:rStyle w:val="EndnoteReference"/>
          <w:sz w:val="20"/>
          <w:vertAlign w:val="baseline"/>
        </w:rPr>
        <w:tab/>
      </w:r>
      <w:r w:rsidRPr="00974C0B">
        <w:t>146 Member States and permanent observers</w:t>
      </w:r>
      <w:r w:rsidR="001C7504">
        <w:t xml:space="preserve"> </w:t>
      </w:r>
      <w:r w:rsidRPr="00974C0B">
        <w:t>support</w:t>
      </w:r>
      <w:r w:rsidR="001C7504">
        <w:t>ed</w:t>
      </w:r>
      <w:r w:rsidRPr="00974C0B">
        <w:t xml:space="preserve"> the Secretary-General’s policy brief on older persons</w:t>
      </w:r>
      <w:r w:rsidR="002926B5">
        <w:t>.</w:t>
      </w:r>
      <w:r w:rsidR="001C7504">
        <w:t xml:space="preserve"> </w:t>
      </w:r>
      <w:proofErr w:type="gramStart"/>
      <w:r w:rsidR="001C7504">
        <w:t>In</w:t>
      </w:r>
      <w:proofErr w:type="gramEnd"/>
      <w:r w:rsidR="001C7504">
        <w:t xml:space="preserve"> their statement, they highlighted t</w:t>
      </w:r>
      <w:r w:rsidR="001C7504" w:rsidRPr="00974C0B">
        <w:t>he gravity and urgency</w:t>
      </w:r>
      <w:r w:rsidR="001C7504">
        <w:t xml:space="preserve"> of the situation.</w:t>
      </w:r>
      <w:r w:rsidRPr="00974C0B">
        <w:t xml:space="preserve"> They </w:t>
      </w:r>
      <w:proofErr w:type="gramStart"/>
      <w:r w:rsidR="001C7504">
        <w:t>were</w:t>
      </w:r>
      <w:r w:rsidR="001C7504" w:rsidRPr="00974C0B">
        <w:t xml:space="preserve"> </w:t>
      </w:r>
      <w:r w:rsidRPr="00974C0B">
        <w:t>deep</w:t>
      </w:r>
      <w:r w:rsidR="001C7504">
        <w:t>ly</w:t>
      </w:r>
      <w:r w:rsidRPr="00974C0B">
        <w:t xml:space="preserve"> concern</w:t>
      </w:r>
      <w:r w:rsidR="001C7504">
        <w:t>ed</w:t>
      </w:r>
      <w:proofErr w:type="gramEnd"/>
      <w:r w:rsidRPr="00974C0B">
        <w:t xml:space="preserve"> </w:t>
      </w:r>
      <w:r w:rsidR="001C7504">
        <w:t>by</w:t>
      </w:r>
      <w:r w:rsidR="001C7504" w:rsidRPr="00974C0B">
        <w:t xml:space="preserve"> </w:t>
      </w:r>
      <w:r w:rsidRPr="00974C0B">
        <w:t xml:space="preserve">the devastating impact </w:t>
      </w:r>
      <w:r w:rsidR="001C7504">
        <w:t>of</w:t>
      </w:r>
      <w:r w:rsidR="001C7504" w:rsidRPr="00974C0B">
        <w:t xml:space="preserve"> </w:t>
      </w:r>
      <w:r w:rsidRPr="00974C0B">
        <w:t xml:space="preserve">COVID-19 on the lives of older persons, and </w:t>
      </w:r>
      <w:r w:rsidR="007A0084">
        <w:t xml:space="preserve">regarding </w:t>
      </w:r>
      <w:r w:rsidRPr="00974C0B">
        <w:t xml:space="preserve">the escalation of ageism, including age discrimination and the stigmatization of older persons. They also </w:t>
      </w:r>
      <w:r w:rsidR="00BB6058" w:rsidRPr="00974C0B">
        <w:t>commit</w:t>
      </w:r>
      <w:r w:rsidR="00BB6058">
        <w:t>ted</w:t>
      </w:r>
      <w:r w:rsidRPr="00974C0B">
        <w:t xml:space="preserve"> to fully promoting and respecting </w:t>
      </w:r>
      <w:r w:rsidR="00BB6058" w:rsidRPr="00974C0B">
        <w:t xml:space="preserve">older </w:t>
      </w:r>
      <w:r w:rsidR="00BB6058">
        <w:t>persons’</w:t>
      </w:r>
      <w:r w:rsidR="00BB6058" w:rsidRPr="00974C0B">
        <w:t xml:space="preserve"> </w:t>
      </w:r>
      <w:r w:rsidRPr="00974C0B">
        <w:t xml:space="preserve">dignity and rights and to </w:t>
      </w:r>
    </w:p>
    <w:p w14:paraId="051FF1D7" w14:textId="66C63211" w:rsidR="00C43F74" w:rsidRPr="002C6565" w:rsidRDefault="00ED6816" w:rsidP="00E9562A">
      <w:pPr>
        <w:pStyle w:val="ParaNoG"/>
        <w:numPr>
          <w:ilvl w:val="0"/>
          <w:numId w:val="0"/>
        </w:numPr>
        <w:tabs>
          <w:tab w:val="left" w:pos="0"/>
        </w:tabs>
        <w:ind w:left="1560"/>
        <w:rPr>
          <w:rStyle w:val="EndnoteReference"/>
        </w:rPr>
      </w:pPr>
      <w:r w:rsidRPr="00ED6816">
        <w:t>“</w:t>
      </w:r>
      <w:r w:rsidR="00D5624F" w:rsidRPr="002C6565">
        <w:rPr>
          <w:i/>
          <w:iCs/>
        </w:rPr>
        <w:t>Working</w:t>
      </w:r>
      <w:r w:rsidR="00C43F74" w:rsidRPr="002C6565">
        <w:rPr>
          <w:i/>
          <w:iCs/>
        </w:rPr>
        <w:t xml:space="preserve"> to strengthen global and national targeted responses to address the needs and rights of older persons and foster more inclusive, equitable, </w:t>
      </w:r>
      <w:r w:rsidR="00D5624F" w:rsidRPr="002C6565">
        <w:rPr>
          <w:i/>
          <w:iCs/>
        </w:rPr>
        <w:t>resilient,</w:t>
      </w:r>
      <w:r w:rsidR="00C43F74" w:rsidRPr="002C6565">
        <w:rPr>
          <w:i/>
          <w:iCs/>
        </w:rPr>
        <w:t xml:space="preserve"> and age-friendly societies</w:t>
      </w:r>
      <w:r w:rsidRPr="00ED6816">
        <w:t>”</w:t>
      </w:r>
      <w:r w:rsidR="00C43F74" w:rsidRPr="002C6565">
        <w:t>.</w:t>
      </w:r>
      <w:r w:rsidR="00C43F74" w:rsidRPr="002C6565">
        <w:rPr>
          <w:rStyle w:val="EndnoteReference"/>
        </w:rPr>
        <w:endnoteReference w:id="16"/>
      </w:r>
    </w:p>
    <w:p w14:paraId="358D707D" w14:textId="5C7B9BED" w:rsidR="00C43F74" w:rsidRPr="00974C0B" w:rsidRDefault="00C43F74" w:rsidP="00952E3E">
      <w:pPr>
        <w:pStyle w:val="ParaNoG"/>
        <w:numPr>
          <w:ilvl w:val="0"/>
          <w:numId w:val="0"/>
        </w:numPr>
        <w:tabs>
          <w:tab w:val="left" w:pos="0"/>
        </w:tabs>
        <w:ind w:left="1134"/>
        <w:rPr>
          <w:rStyle w:val="EndnoteReference"/>
        </w:rPr>
      </w:pPr>
      <w:r w:rsidRPr="00974C0B">
        <w:rPr>
          <w:rStyle w:val="EndnoteReference"/>
          <w:sz w:val="20"/>
          <w:vertAlign w:val="baseline"/>
        </w:rPr>
        <w:t>1</w:t>
      </w:r>
      <w:r w:rsidR="000C2CF9">
        <w:t>9</w:t>
      </w:r>
      <w:r w:rsidRPr="00974C0B">
        <w:rPr>
          <w:rStyle w:val="EndnoteReference"/>
          <w:sz w:val="20"/>
          <w:vertAlign w:val="baseline"/>
        </w:rPr>
        <w:t>.</w:t>
      </w:r>
      <w:r w:rsidRPr="00974C0B">
        <w:rPr>
          <w:rStyle w:val="EndnoteReference"/>
          <w:sz w:val="20"/>
          <w:vertAlign w:val="baseline"/>
        </w:rPr>
        <w:tab/>
      </w:r>
      <w:r w:rsidR="00D827A2">
        <w:t>COVID-19</w:t>
      </w:r>
      <w:r w:rsidRPr="00974C0B">
        <w:t xml:space="preserve"> continues to present </w:t>
      </w:r>
      <w:r w:rsidR="00D827A2">
        <w:t xml:space="preserve">the </w:t>
      </w:r>
      <w:r w:rsidR="00D827A2" w:rsidRPr="00974C0B">
        <w:t xml:space="preserve">international community and national </w:t>
      </w:r>
      <w:r w:rsidR="008E28BF">
        <w:t xml:space="preserve">governments </w:t>
      </w:r>
      <w:r w:rsidR="00D827A2">
        <w:t xml:space="preserve">with </w:t>
      </w:r>
      <w:r w:rsidRPr="00974C0B">
        <w:t xml:space="preserve">new challenges </w:t>
      </w:r>
      <w:r w:rsidR="00D827A2">
        <w:t xml:space="preserve">about how </w:t>
      </w:r>
      <w:r w:rsidRPr="00974C0B">
        <w:t xml:space="preserve">to </w:t>
      </w:r>
      <w:r w:rsidR="00D827A2">
        <w:t xml:space="preserve">protect </w:t>
      </w:r>
      <w:r w:rsidRPr="00974C0B">
        <w:t>the human rights of all members of their societies, including older persons, as highlighted by the United Nations system</w:t>
      </w:r>
      <w:r w:rsidRPr="00974C0B">
        <w:rPr>
          <w:rStyle w:val="EndnoteReference"/>
        </w:rPr>
        <w:endnoteReference w:id="17"/>
      </w:r>
      <w:r w:rsidRPr="00974C0B">
        <w:rPr>
          <w:rStyle w:val="EndnoteReference"/>
        </w:rPr>
        <w:t xml:space="preserve"> </w:t>
      </w:r>
      <w:r w:rsidRPr="00974C0B">
        <w:t xml:space="preserve">and </w:t>
      </w:r>
      <w:r w:rsidRPr="00974C0B">
        <w:lastRenderedPageBreak/>
        <w:t>human rights mechanisms</w:t>
      </w:r>
      <w:proofErr w:type="gramStart"/>
      <w:r w:rsidRPr="00974C0B">
        <w:t>,</w:t>
      </w:r>
      <w:proofErr w:type="gramEnd"/>
      <w:r w:rsidRPr="00974C0B">
        <w:rPr>
          <w:rStyle w:val="EndnoteReference"/>
        </w:rPr>
        <w:endnoteReference w:id="18"/>
      </w:r>
      <w:r w:rsidRPr="00974C0B">
        <w:rPr>
          <w:rStyle w:val="EndnoteReference"/>
        </w:rPr>
        <w:t xml:space="preserve"> </w:t>
      </w:r>
      <w:r w:rsidRPr="00974C0B">
        <w:t>including the Independent Expert.</w:t>
      </w:r>
      <w:r w:rsidRPr="00974C0B">
        <w:rPr>
          <w:rStyle w:val="EndnoteReference"/>
        </w:rPr>
        <w:endnoteReference w:id="19"/>
      </w:r>
      <w:r w:rsidRPr="00974C0B">
        <w:rPr>
          <w:rStyle w:val="EndnoteReference"/>
        </w:rPr>
        <w:t xml:space="preserve"> </w:t>
      </w:r>
      <w:r w:rsidRPr="00974C0B">
        <w:t xml:space="preserve">Strategies to </w:t>
      </w:r>
      <w:r w:rsidRPr="00BB6058">
        <w:t>“</w:t>
      </w:r>
      <w:r w:rsidRPr="002C5627">
        <w:t>build back better</w:t>
      </w:r>
      <w:r w:rsidRPr="00BB6058">
        <w:t>” have also raised questions about whether planning consistently includes ol</w:t>
      </w:r>
      <w:r w:rsidRPr="00974C0B">
        <w:t xml:space="preserve">der persons, or whether they are </w:t>
      </w:r>
      <w:r w:rsidR="00FA3B56">
        <w:t>sometimes</w:t>
      </w:r>
      <w:r w:rsidRPr="00974C0B">
        <w:t xml:space="preserve"> </w:t>
      </w:r>
      <w:proofErr w:type="gramStart"/>
      <w:r w:rsidR="00D5624F" w:rsidRPr="00974C0B">
        <w:t>side-lined</w:t>
      </w:r>
      <w:proofErr w:type="gramEnd"/>
      <w:r w:rsidRPr="00974C0B">
        <w:t>.</w:t>
      </w:r>
      <w:r w:rsidRPr="00974C0B">
        <w:rPr>
          <w:rStyle w:val="EndnoteReference"/>
        </w:rPr>
        <w:endnoteReference w:id="20"/>
      </w:r>
    </w:p>
    <w:p w14:paraId="2258D462" w14:textId="0D19C691" w:rsidR="00FA3B56" w:rsidRDefault="000C2CF9" w:rsidP="00952E3E">
      <w:pPr>
        <w:pStyle w:val="ParaNoG"/>
        <w:numPr>
          <w:ilvl w:val="0"/>
          <w:numId w:val="0"/>
        </w:numPr>
        <w:tabs>
          <w:tab w:val="left" w:pos="0"/>
        </w:tabs>
        <w:ind w:left="1134"/>
      </w:pPr>
      <w:r>
        <w:rPr>
          <w:rStyle w:val="EndnoteReference"/>
          <w:sz w:val="20"/>
          <w:vertAlign w:val="baseline"/>
        </w:rPr>
        <w:t>20</w:t>
      </w:r>
      <w:r w:rsidR="00C43F74" w:rsidRPr="00974C0B">
        <w:rPr>
          <w:rStyle w:val="EndnoteReference"/>
          <w:sz w:val="20"/>
          <w:vertAlign w:val="baseline"/>
        </w:rPr>
        <w:t>.</w:t>
      </w:r>
      <w:r w:rsidR="00C43F74" w:rsidRPr="00974C0B">
        <w:rPr>
          <w:rStyle w:val="EndnoteReference"/>
          <w:sz w:val="20"/>
          <w:vertAlign w:val="baseline"/>
        </w:rPr>
        <w:tab/>
      </w:r>
      <w:r w:rsidR="005942F3" w:rsidRPr="00974C0B">
        <w:t xml:space="preserve">COVID-19 </w:t>
      </w:r>
      <w:r w:rsidR="00C43F74" w:rsidRPr="00974C0B">
        <w:t xml:space="preserve">has shown that existing normative </w:t>
      </w:r>
      <w:r w:rsidR="001C7504">
        <w:t>rules and laws</w:t>
      </w:r>
      <w:r w:rsidR="001C7504" w:rsidRPr="00974C0B">
        <w:t xml:space="preserve"> </w:t>
      </w:r>
      <w:proofErr w:type="gramStart"/>
      <w:r w:rsidR="0041116C">
        <w:t>can be improved</w:t>
      </w:r>
      <w:proofErr w:type="gramEnd"/>
      <w:r w:rsidR="0041116C">
        <w:t xml:space="preserve"> </w:t>
      </w:r>
      <w:r w:rsidR="00C43F74" w:rsidRPr="00974C0B">
        <w:t xml:space="preserve">to achieve effective protection of </w:t>
      </w:r>
      <w:r w:rsidR="00B63193" w:rsidRPr="00974C0B">
        <w:t>older persons</w:t>
      </w:r>
      <w:r w:rsidR="00B63193">
        <w:t>’</w:t>
      </w:r>
      <w:r w:rsidR="00B63193" w:rsidRPr="00974C0B">
        <w:t xml:space="preserve"> </w:t>
      </w:r>
      <w:r w:rsidR="00C43F74" w:rsidRPr="00974C0B">
        <w:t xml:space="preserve">human rights. The </w:t>
      </w:r>
      <w:r w:rsidR="001C7504">
        <w:t xml:space="preserve">United Nations </w:t>
      </w:r>
      <w:r w:rsidR="00C43F74" w:rsidRPr="00974C0B">
        <w:t>Secretary-General</w:t>
      </w:r>
      <w:r w:rsidR="001C7504">
        <w:t>’s</w:t>
      </w:r>
      <w:r w:rsidR="00C43F74" w:rsidRPr="00974C0B">
        <w:t xml:space="preserve"> policy brief called for</w:t>
      </w:r>
      <w:r w:rsidR="00FA3B56">
        <w:t>:</w:t>
      </w:r>
      <w:r w:rsidR="00C43F74" w:rsidRPr="00974C0B">
        <w:t xml:space="preserve"> </w:t>
      </w:r>
    </w:p>
    <w:p w14:paraId="419786A8" w14:textId="364E5B48" w:rsidR="00FA3B56" w:rsidRDefault="00C43F74" w:rsidP="0041116C">
      <w:pPr>
        <w:pStyle w:val="ParaNoG"/>
        <w:numPr>
          <w:ilvl w:val="0"/>
          <w:numId w:val="13"/>
        </w:numPr>
        <w:tabs>
          <w:tab w:val="left" w:pos="0"/>
        </w:tabs>
        <w:ind w:left="1701" w:hanging="207"/>
      </w:pPr>
      <w:r w:rsidRPr="00974C0B">
        <w:t xml:space="preserve">building stronger international and national legal frameworks to protect </w:t>
      </w:r>
      <w:r w:rsidR="00B63193" w:rsidRPr="00974C0B">
        <w:t>older persons</w:t>
      </w:r>
      <w:r w:rsidR="00B63193">
        <w:t>’</w:t>
      </w:r>
      <w:r w:rsidR="00B63193" w:rsidRPr="00974C0B">
        <w:t xml:space="preserve"> </w:t>
      </w:r>
      <w:r w:rsidRPr="00974C0B">
        <w:t xml:space="preserve">human rights, and </w:t>
      </w:r>
    </w:p>
    <w:p w14:paraId="5F7ECD01" w14:textId="6C434660" w:rsidR="00FA3B56" w:rsidRDefault="00C43F74" w:rsidP="0041116C">
      <w:pPr>
        <w:pStyle w:val="ParaNoG"/>
        <w:numPr>
          <w:ilvl w:val="0"/>
          <w:numId w:val="13"/>
        </w:numPr>
        <w:tabs>
          <w:tab w:val="left" w:pos="0"/>
        </w:tabs>
        <w:ind w:left="1701" w:hanging="207"/>
      </w:pPr>
      <w:proofErr w:type="gramStart"/>
      <w:r w:rsidRPr="00974C0B">
        <w:t>accelerat</w:t>
      </w:r>
      <w:r w:rsidR="0041116C">
        <w:t>ing</w:t>
      </w:r>
      <w:proofErr w:type="gramEnd"/>
      <w:r w:rsidR="00FA3B56">
        <w:t xml:space="preserve"> </w:t>
      </w:r>
      <w:r w:rsidR="0041116C" w:rsidRPr="00974C0B">
        <w:t>the Open-ended Working Group on Ageing</w:t>
      </w:r>
      <w:r w:rsidR="0041116C">
        <w:t>’s</w:t>
      </w:r>
      <w:r w:rsidR="0041116C" w:rsidRPr="00974C0B">
        <w:t xml:space="preserve"> </w:t>
      </w:r>
      <w:r w:rsidRPr="00974C0B">
        <w:t>efforts to develop proposals for an international legal instrument.</w:t>
      </w:r>
      <w:r w:rsidRPr="00974C0B">
        <w:rPr>
          <w:rStyle w:val="EndnoteReference"/>
        </w:rPr>
        <w:endnoteReference w:id="21"/>
      </w:r>
      <w:r w:rsidRPr="00974C0B">
        <w:rPr>
          <w:rStyle w:val="EndnoteReference"/>
        </w:rPr>
        <w:t xml:space="preserve"> </w:t>
      </w:r>
    </w:p>
    <w:p w14:paraId="73A4F40F" w14:textId="77777777" w:rsidR="002C6565" w:rsidRDefault="00C43F74" w:rsidP="00952E3E">
      <w:pPr>
        <w:pStyle w:val="ParaNoG"/>
        <w:numPr>
          <w:ilvl w:val="0"/>
          <w:numId w:val="0"/>
        </w:numPr>
        <w:tabs>
          <w:tab w:val="left" w:pos="0"/>
        </w:tabs>
        <w:ind w:left="1134"/>
      </w:pPr>
      <w:r w:rsidRPr="00974C0B">
        <w:t xml:space="preserve">The Independent Expert concluded that </w:t>
      </w:r>
      <w:r w:rsidR="005942F3" w:rsidRPr="00974C0B">
        <w:t xml:space="preserve">COVID-19 </w:t>
      </w:r>
    </w:p>
    <w:p w14:paraId="177B4476" w14:textId="30E358A2" w:rsidR="002C6565" w:rsidRDefault="00ED6816" w:rsidP="00E9562A">
      <w:pPr>
        <w:pStyle w:val="ParaNoG"/>
        <w:numPr>
          <w:ilvl w:val="0"/>
          <w:numId w:val="0"/>
        </w:numPr>
        <w:tabs>
          <w:tab w:val="left" w:pos="0"/>
        </w:tabs>
        <w:ind w:left="1560"/>
        <w:rPr>
          <w:rStyle w:val="EndnoteReference"/>
        </w:rPr>
      </w:pPr>
      <w:r w:rsidRPr="00ED6816">
        <w:t>“</w:t>
      </w:r>
      <w:r w:rsidR="00D5624F" w:rsidRPr="002C6565">
        <w:rPr>
          <w:i/>
          <w:iCs/>
        </w:rPr>
        <w:t>Has</w:t>
      </w:r>
      <w:r w:rsidR="00C43F74" w:rsidRPr="002C6565">
        <w:rPr>
          <w:i/>
          <w:iCs/>
        </w:rPr>
        <w:t xml:space="preserve"> made visible protection gaps that will need to be addressed beyond the COVID-19 response and recovery stages</w:t>
      </w:r>
      <w:r w:rsidRPr="00ED6816">
        <w:t>”</w:t>
      </w:r>
      <w:r w:rsidR="00C43F74" w:rsidRPr="00974C0B">
        <w:rPr>
          <w:rStyle w:val="EndnoteReference"/>
        </w:rPr>
        <w:endnoteReference w:id="22"/>
      </w:r>
      <w:r w:rsidR="00C43F74" w:rsidRPr="00974C0B">
        <w:rPr>
          <w:rStyle w:val="EndnoteReference"/>
        </w:rPr>
        <w:t xml:space="preserve"> </w:t>
      </w:r>
    </w:p>
    <w:p w14:paraId="27D97B0B" w14:textId="77777777" w:rsidR="002C6565" w:rsidRDefault="00C43F74" w:rsidP="002C6565">
      <w:pPr>
        <w:pStyle w:val="ParaNoG"/>
        <w:numPr>
          <w:ilvl w:val="0"/>
          <w:numId w:val="0"/>
        </w:numPr>
        <w:tabs>
          <w:tab w:val="left" w:pos="0"/>
        </w:tabs>
        <w:ind w:left="1134"/>
      </w:pPr>
      <w:proofErr w:type="gramStart"/>
      <w:r w:rsidRPr="00974C0B">
        <w:t>and</w:t>
      </w:r>
      <w:proofErr w:type="gramEnd"/>
      <w:r w:rsidRPr="00974C0B">
        <w:t xml:space="preserve"> that </w:t>
      </w:r>
    </w:p>
    <w:p w14:paraId="0E214BC5" w14:textId="1CCBFBEC" w:rsidR="000C2CF9" w:rsidRDefault="00ED6816" w:rsidP="00E9562A">
      <w:pPr>
        <w:pStyle w:val="ParaNoG"/>
        <w:numPr>
          <w:ilvl w:val="0"/>
          <w:numId w:val="0"/>
        </w:numPr>
        <w:tabs>
          <w:tab w:val="left" w:pos="0"/>
        </w:tabs>
        <w:ind w:left="1560"/>
      </w:pPr>
      <w:r w:rsidRPr="00ED6816">
        <w:t>“</w:t>
      </w:r>
      <w:r w:rsidR="00D5624F" w:rsidRPr="002C6565">
        <w:rPr>
          <w:i/>
          <w:iCs/>
        </w:rPr>
        <w:t>The</w:t>
      </w:r>
      <w:r w:rsidR="00C43F74" w:rsidRPr="002C6565">
        <w:rPr>
          <w:i/>
          <w:iCs/>
        </w:rPr>
        <w:t xml:space="preserve"> lack of a comprehensive and integrated international legal instrument to promote and protect the rights and dignity of older persons continues to have significant practical implications, including for older persons in emergency situations</w:t>
      </w:r>
      <w:r w:rsidRPr="00ED6816">
        <w:t>”</w:t>
      </w:r>
      <w:r w:rsidR="00C43F74" w:rsidRPr="00974C0B">
        <w:t>.</w:t>
      </w:r>
      <w:r w:rsidR="00C43F74" w:rsidRPr="00974C0B">
        <w:rPr>
          <w:rStyle w:val="EndnoteReference"/>
        </w:rPr>
        <w:endnoteReference w:id="23"/>
      </w:r>
    </w:p>
    <w:p w14:paraId="6E342424" w14:textId="6F2029CD" w:rsidR="000C2CF9" w:rsidRDefault="000C2CF9">
      <w:pPr>
        <w:spacing w:after="200" w:line="276" w:lineRule="auto"/>
      </w:pPr>
    </w:p>
    <w:p w14:paraId="2E648EAC" w14:textId="06036050" w:rsidR="00C43F74" w:rsidRPr="00974C0B" w:rsidRDefault="00C43F74" w:rsidP="00952E3E">
      <w:pPr>
        <w:pStyle w:val="HChG"/>
      </w:pPr>
      <w:bookmarkStart w:id="7" w:name="IV"/>
      <w:r w:rsidRPr="00974C0B">
        <w:t>I</w:t>
      </w:r>
      <w:r w:rsidR="000C2CF9">
        <w:t>V</w:t>
      </w:r>
      <w:r w:rsidRPr="00974C0B">
        <w:t>.</w:t>
      </w:r>
      <w:r w:rsidRPr="00974C0B">
        <w:tab/>
      </w:r>
      <w:r w:rsidR="000C2CF9">
        <w:t xml:space="preserve"> </w:t>
      </w:r>
      <w:r w:rsidRPr="00974C0B">
        <w:t xml:space="preserve">Ageism, age discrimination and </w:t>
      </w:r>
      <w:r w:rsidR="00B63193" w:rsidRPr="00974C0B">
        <w:t>older persons</w:t>
      </w:r>
      <w:r w:rsidR="00B63193">
        <w:t>’</w:t>
      </w:r>
      <w:r w:rsidR="00B63193" w:rsidRPr="00974C0B">
        <w:t xml:space="preserve"> </w:t>
      </w:r>
      <w:r w:rsidRPr="00974C0B">
        <w:t xml:space="preserve">human rights </w:t>
      </w:r>
    </w:p>
    <w:bookmarkEnd w:id="7"/>
    <w:p w14:paraId="36B58BE4" w14:textId="0CDEB133" w:rsidR="00FA3B56" w:rsidRDefault="000C2CF9" w:rsidP="00952E3E">
      <w:pPr>
        <w:pStyle w:val="ParaNoG"/>
        <w:numPr>
          <w:ilvl w:val="0"/>
          <w:numId w:val="0"/>
        </w:numPr>
        <w:tabs>
          <w:tab w:val="left" w:pos="0"/>
        </w:tabs>
        <w:ind w:left="1134"/>
      </w:pPr>
      <w:r>
        <w:rPr>
          <w:rFonts w:eastAsia="MyriadPro-Regular"/>
        </w:rPr>
        <w:t>21</w:t>
      </w:r>
      <w:r w:rsidR="00C43F74" w:rsidRPr="00974C0B">
        <w:rPr>
          <w:rFonts w:eastAsia="MyriadPro-Regular"/>
        </w:rPr>
        <w:t>.</w:t>
      </w:r>
      <w:r w:rsidR="00C43F74" w:rsidRPr="00974C0B">
        <w:rPr>
          <w:rFonts w:eastAsia="MyriadPro-Regular"/>
        </w:rPr>
        <w:tab/>
      </w:r>
      <w:r w:rsidR="00C43F74" w:rsidRPr="00974C0B">
        <w:t xml:space="preserve">To assess </w:t>
      </w:r>
      <w:r w:rsidR="00BB6058">
        <w:t>if</w:t>
      </w:r>
      <w:r w:rsidR="00C43F74" w:rsidRPr="00974C0B">
        <w:t xml:space="preserve"> the current international framework adequately responds to the widespread and systematic violations of </w:t>
      </w:r>
      <w:r w:rsidR="00B63193" w:rsidRPr="00974C0B">
        <w:t>older persons</w:t>
      </w:r>
      <w:r w:rsidR="00B63193">
        <w:t>’</w:t>
      </w:r>
      <w:r w:rsidR="00B63193" w:rsidRPr="00974C0B">
        <w:t xml:space="preserve"> </w:t>
      </w:r>
      <w:r w:rsidR="00C43F74" w:rsidRPr="00974C0B">
        <w:t xml:space="preserve">human rights, </w:t>
      </w:r>
      <w:r w:rsidR="00FA3B56">
        <w:t xml:space="preserve">we must </w:t>
      </w:r>
      <w:r w:rsidR="00C43F74" w:rsidRPr="00974C0B">
        <w:t xml:space="preserve">identify the nature and causes of those violations. </w:t>
      </w:r>
      <w:r w:rsidR="001C7504">
        <w:t>For this, we need to</w:t>
      </w:r>
      <w:r w:rsidR="00C43F74" w:rsidRPr="00974C0B">
        <w:t xml:space="preserve"> understand</w:t>
      </w:r>
      <w:r w:rsidR="001C7504">
        <w:t xml:space="preserve"> </w:t>
      </w:r>
      <w:r w:rsidR="00C43F74" w:rsidRPr="00974C0B">
        <w:t xml:space="preserve">how social constructions of ageing and ageism contribute to those patterns of violation. This </w:t>
      </w:r>
      <w:r w:rsidR="001C7504">
        <w:t xml:space="preserve">is important </w:t>
      </w:r>
      <w:r w:rsidR="00C43F74" w:rsidRPr="00974C0B">
        <w:t xml:space="preserve">to </w:t>
      </w:r>
      <w:r w:rsidR="00BB6058">
        <w:t>understand</w:t>
      </w:r>
      <w:r w:rsidR="00C43F74" w:rsidRPr="00974C0B">
        <w:t xml:space="preserve"> </w:t>
      </w:r>
      <w:r w:rsidR="00FA3B56">
        <w:t>if</w:t>
      </w:r>
      <w:r w:rsidR="0041116C" w:rsidRPr="0041116C">
        <w:t xml:space="preserve"> </w:t>
      </w:r>
      <w:r w:rsidR="0041116C" w:rsidRPr="00974C0B">
        <w:t xml:space="preserve">the protection the existing international framework, which </w:t>
      </w:r>
      <w:proofErr w:type="gramStart"/>
      <w:r w:rsidR="0041116C" w:rsidRPr="00974C0B">
        <w:t>is dispersed</w:t>
      </w:r>
      <w:proofErr w:type="gramEnd"/>
      <w:r w:rsidR="0041116C" w:rsidRPr="00974C0B">
        <w:t xml:space="preserve"> across multiple general and </w:t>
      </w:r>
      <w:r w:rsidR="00D13171">
        <w:t>specific</w:t>
      </w:r>
      <w:r w:rsidR="0041116C" w:rsidRPr="00974C0B">
        <w:t xml:space="preserve"> treaties</w:t>
      </w:r>
      <w:r w:rsidR="00FA3B56">
        <w:t>:</w:t>
      </w:r>
    </w:p>
    <w:p w14:paraId="238C705E" w14:textId="71B03600" w:rsidR="00FA3B56" w:rsidRDefault="00C43F74" w:rsidP="0041116C">
      <w:pPr>
        <w:pStyle w:val="ParaNoG"/>
        <w:numPr>
          <w:ilvl w:val="0"/>
          <w:numId w:val="14"/>
        </w:numPr>
        <w:tabs>
          <w:tab w:val="left" w:pos="0"/>
        </w:tabs>
        <w:ind w:left="1701" w:hanging="207"/>
      </w:pPr>
      <w:r w:rsidRPr="00974C0B">
        <w:t>reflects a full understanding of the underlying structures and causes of discrimination based on older age</w:t>
      </w:r>
      <w:r w:rsidR="0041116C">
        <w:t>,</w:t>
      </w:r>
      <w:r w:rsidRPr="00974C0B">
        <w:t xml:space="preserve"> and </w:t>
      </w:r>
    </w:p>
    <w:p w14:paraId="62C2289C" w14:textId="589BE684" w:rsidR="00C43F74" w:rsidRPr="00974C0B" w:rsidRDefault="00C43F74" w:rsidP="00FA3B56">
      <w:pPr>
        <w:pStyle w:val="ParaNoG"/>
        <w:numPr>
          <w:ilvl w:val="0"/>
          <w:numId w:val="14"/>
        </w:numPr>
        <w:tabs>
          <w:tab w:val="left" w:pos="0"/>
        </w:tabs>
        <w:rPr>
          <w:rFonts w:eastAsia="MyriadPro-Regular"/>
        </w:rPr>
      </w:pPr>
      <w:proofErr w:type="gramStart"/>
      <w:r w:rsidRPr="00974C0B">
        <w:t>provides</w:t>
      </w:r>
      <w:proofErr w:type="gramEnd"/>
      <w:r w:rsidRPr="00974C0B">
        <w:t xml:space="preserve"> a coherent, </w:t>
      </w:r>
      <w:r w:rsidR="00D5624F" w:rsidRPr="00974C0B">
        <w:t>systematic,</w:t>
      </w:r>
      <w:r w:rsidRPr="00974C0B">
        <w:t xml:space="preserve"> and sustained engagement with those issues. </w:t>
      </w:r>
    </w:p>
    <w:p w14:paraId="0A05DCE9" w14:textId="77777777" w:rsidR="00BB6058" w:rsidRDefault="00BB6058">
      <w:pPr>
        <w:spacing w:after="200" w:line="276" w:lineRule="auto"/>
      </w:pPr>
      <w:r>
        <w:br w:type="page"/>
      </w:r>
    </w:p>
    <w:p w14:paraId="73DDE21E" w14:textId="13283F02" w:rsidR="00316681" w:rsidRDefault="000C2CF9" w:rsidP="00952E3E">
      <w:pPr>
        <w:pStyle w:val="ParaNoG"/>
        <w:numPr>
          <w:ilvl w:val="0"/>
          <w:numId w:val="0"/>
        </w:numPr>
        <w:tabs>
          <w:tab w:val="left" w:pos="0"/>
        </w:tabs>
        <w:ind w:left="1134"/>
      </w:pPr>
      <w:r>
        <w:rPr>
          <w:rStyle w:val="EndnoteReference"/>
          <w:sz w:val="20"/>
          <w:vertAlign w:val="baseline"/>
        </w:rPr>
        <w:lastRenderedPageBreak/>
        <w:t>22</w:t>
      </w:r>
      <w:r w:rsidR="00C43F74" w:rsidRPr="00974C0B">
        <w:rPr>
          <w:rStyle w:val="EndnoteReference"/>
          <w:sz w:val="20"/>
          <w:vertAlign w:val="baseline"/>
        </w:rPr>
        <w:t>.</w:t>
      </w:r>
      <w:r w:rsidR="00C43F74" w:rsidRPr="00974C0B">
        <w:rPr>
          <w:rStyle w:val="EndnoteReference"/>
          <w:sz w:val="20"/>
          <w:vertAlign w:val="baseline"/>
        </w:rPr>
        <w:tab/>
      </w:r>
      <w:r w:rsidR="00C43F74" w:rsidRPr="00974C0B">
        <w:t xml:space="preserve">An extensive body of academic literature has documented the </w:t>
      </w:r>
      <w:r w:rsidR="00316681">
        <w:t xml:space="preserve">following </w:t>
      </w:r>
      <w:r w:rsidR="00C43F74" w:rsidRPr="00974C0B">
        <w:t>nature and extent of ageism</w:t>
      </w:r>
      <w:r w:rsidR="00316681">
        <w:t>:</w:t>
      </w:r>
      <w:r w:rsidR="00C43F74" w:rsidRPr="00974C0B">
        <w:rPr>
          <w:rStyle w:val="EndnoteReference"/>
        </w:rPr>
        <w:endnoteReference w:id="24"/>
      </w:r>
      <w:r w:rsidR="00C43F74" w:rsidRPr="00974C0B">
        <w:rPr>
          <w:rStyle w:val="EndnoteReference"/>
        </w:rPr>
        <w:t xml:space="preserve"> </w:t>
      </w:r>
    </w:p>
    <w:tbl>
      <w:tblPr>
        <w:tblStyle w:val="TableGrid"/>
        <w:tblW w:w="0" w:type="auto"/>
        <w:tblInd w:w="1134" w:type="dxa"/>
        <w:tblLook w:val="04A0" w:firstRow="1" w:lastRow="0" w:firstColumn="1" w:lastColumn="0" w:noHBand="0" w:noVBand="1"/>
      </w:tblPr>
      <w:tblGrid>
        <w:gridCol w:w="1838"/>
        <w:gridCol w:w="5528"/>
      </w:tblGrid>
      <w:tr w:rsidR="00316681" w14:paraId="5C84A3A6" w14:textId="77777777" w:rsidTr="00316681">
        <w:tc>
          <w:tcPr>
            <w:tcW w:w="1838" w:type="dxa"/>
          </w:tcPr>
          <w:p w14:paraId="5EA9F81E" w14:textId="6305C4FB" w:rsidR="00316681" w:rsidRDefault="00316681" w:rsidP="00316681">
            <w:pPr>
              <w:pStyle w:val="ParaNoG"/>
              <w:numPr>
                <w:ilvl w:val="0"/>
                <w:numId w:val="0"/>
              </w:numPr>
              <w:tabs>
                <w:tab w:val="left" w:pos="0"/>
              </w:tabs>
              <w:ind w:right="0"/>
              <w:jc w:val="center"/>
            </w:pPr>
            <w:r>
              <w:t>Effects of ageism</w:t>
            </w:r>
          </w:p>
        </w:tc>
        <w:tc>
          <w:tcPr>
            <w:tcW w:w="5528" w:type="dxa"/>
          </w:tcPr>
          <w:p w14:paraId="0B970EDE" w14:textId="1390BCE3" w:rsidR="00316681" w:rsidRDefault="00316681" w:rsidP="00316681">
            <w:pPr>
              <w:pStyle w:val="ParaNoG"/>
              <w:numPr>
                <w:ilvl w:val="0"/>
                <w:numId w:val="33"/>
              </w:numPr>
              <w:tabs>
                <w:tab w:val="left" w:pos="0"/>
              </w:tabs>
              <w:ind w:left="461"/>
            </w:pPr>
            <w:r>
              <w:t>leads to physical and mental harm</w:t>
            </w:r>
          </w:p>
          <w:p w14:paraId="2E64D668" w14:textId="7C574EE1" w:rsidR="00316681" w:rsidRDefault="00316681" w:rsidP="00316681">
            <w:pPr>
              <w:pStyle w:val="ParaNoG"/>
              <w:numPr>
                <w:ilvl w:val="0"/>
                <w:numId w:val="33"/>
              </w:numPr>
              <w:tabs>
                <w:tab w:val="left" w:pos="0"/>
              </w:tabs>
              <w:ind w:left="461"/>
            </w:pPr>
            <w:r>
              <w:t>felt by individuals</w:t>
            </w:r>
          </w:p>
          <w:p w14:paraId="39A07A67" w14:textId="28842D0C" w:rsidR="00316681" w:rsidRDefault="00316681" w:rsidP="00316681">
            <w:pPr>
              <w:pStyle w:val="ParaNoG"/>
              <w:numPr>
                <w:ilvl w:val="0"/>
                <w:numId w:val="33"/>
              </w:numPr>
              <w:tabs>
                <w:tab w:val="left" w:pos="0"/>
              </w:tabs>
              <w:ind w:left="461"/>
            </w:pPr>
            <w:r>
              <w:t>felt across society</w:t>
            </w:r>
            <w:r w:rsidRPr="00974C0B">
              <w:rPr>
                <w:rStyle w:val="EndnoteReference"/>
              </w:rPr>
              <w:endnoteReference w:id="25"/>
            </w:r>
          </w:p>
        </w:tc>
      </w:tr>
      <w:tr w:rsidR="00316681" w14:paraId="53986358" w14:textId="77777777" w:rsidTr="00316681">
        <w:tc>
          <w:tcPr>
            <w:tcW w:w="1838" w:type="dxa"/>
          </w:tcPr>
          <w:p w14:paraId="674C2D45" w14:textId="6662BEEA" w:rsidR="00316681" w:rsidRDefault="00316681" w:rsidP="00316681">
            <w:pPr>
              <w:pStyle w:val="ParaNoG"/>
              <w:numPr>
                <w:ilvl w:val="0"/>
                <w:numId w:val="0"/>
              </w:numPr>
              <w:tabs>
                <w:tab w:val="left" w:pos="0"/>
              </w:tabs>
              <w:ind w:right="0"/>
              <w:jc w:val="center"/>
            </w:pPr>
            <w:r>
              <w:t>Forms of ageism</w:t>
            </w:r>
          </w:p>
        </w:tc>
        <w:tc>
          <w:tcPr>
            <w:tcW w:w="5528" w:type="dxa"/>
          </w:tcPr>
          <w:p w14:paraId="561C9E1C" w14:textId="77777777" w:rsidR="00316681" w:rsidRDefault="00316681" w:rsidP="00316681">
            <w:pPr>
              <w:pStyle w:val="ParaNoG"/>
              <w:numPr>
                <w:ilvl w:val="0"/>
                <w:numId w:val="33"/>
              </w:numPr>
              <w:tabs>
                <w:tab w:val="left" w:pos="0"/>
              </w:tabs>
              <w:ind w:left="461"/>
            </w:pPr>
            <w:r>
              <w:t>invisible</w:t>
            </w:r>
          </w:p>
          <w:p w14:paraId="22EA6A4C" w14:textId="77777777" w:rsidR="00316681" w:rsidRDefault="00316681" w:rsidP="00316681">
            <w:pPr>
              <w:pStyle w:val="ParaNoG"/>
              <w:numPr>
                <w:ilvl w:val="0"/>
                <w:numId w:val="33"/>
              </w:numPr>
              <w:tabs>
                <w:tab w:val="left" w:pos="0"/>
              </w:tabs>
              <w:ind w:left="461"/>
            </w:pPr>
            <w:r>
              <w:t>implicit and explicit</w:t>
            </w:r>
          </w:p>
          <w:p w14:paraId="03A2FAF7" w14:textId="77777777" w:rsidR="00316681" w:rsidRDefault="00316681" w:rsidP="00316681">
            <w:pPr>
              <w:pStyle w:val="ParaNoG"/>
              <w:numPr>
                <w:ilvl w:val="0"/>
                <w:numId w:val="33"/>
              </w:numPr>
              <w:tabs>
                <w:tab w:val="left" w:pos="0"/>
              </w:tabs>
              <w:ind w:left="461"/>
            </w:pPr>
            <w:r>
              <w:t xml:space="preserve">negative and positive </w:t>
            </w:r>
          </w:p>
          <w:p w14:paraId="7071AA1F" w14:textId="5640A082" w:rsidR="00316681" w:rsidRDefault="00D5624F" w:rsidP="00316681">
            <w:pPr>
              <w:pStyle w:val="ParaNoG"/>
              <w:numPr>
                <w:ilvl w:val="0"/>
                <w:numId w:val="33"/>
              </w:numPr>
              <w:tabs>
                <w:tab w:val="left" w:pos="0"/>
              </w:tabs>
              <w:ind w:left="461"/>
            </w:pPr>
            <w:r>
              <w:t>various</w:t>
            </w:r>
            <w:r w:rsidR="00316681">
              <w:t xml:space="preserve"> forms</w:t>
            </w:r>
            <w:r w:rsidR="00316681" w:rsidRPr="00974C0B">
              <w:rPr>
                <w:rStyle w:val="EndnoteReference"/>
              </w:rPr>
              <w:endnoteReference w:id="26"/>
            </w:r>
          </w:p>
        </w:tc>
      </w:tr>
      <w:tr w:rsidR="00316681" w14:paraId="3ED8EA99" w14:textId="77777777" w:rsidTr="00316681">
        <w:tc>
          <w:tcPr>
            <w:tcW w:w="1838" w:type="dxa"/>
          </w:tcPr>
          <w:p w14:paraId="6786F629" w14:textId="4D166A29" w:rsidR="00316681" w:rsidRDefault="00316681" w:rsidP="00316681">
            <w:pPr>
              <w:pStyle w:val="ParaNoG"/>
              <w:numPr>
                <w:ilvl w:val="0"/>
                <w:numId w:val="0"/>
              </w:numPr>
              <w:tabs>
                <w:tab w:val="left" w:pos="0"/>
              </w:tabs>
              <w:ind w:right="0"/>
              <w:jc w:val="center"/>
            </w:pPr>
            <w:r>
              <w:t xml:space="preserve">Where can ageism </w:t>
            </w:r>
            <w:proofErr w:type="gramStart"/>
            <w:r>
              <w:t>be found</w:t>
            </w:r>
            <w:proofErr w:type="gramEnd"/>
            <w:r>
              <w:t>?</w:t>
            </w:r>
          </w:p>
        </w:tc>
        <w:tc>
          <w:tcPr>
            <w:tcW w:w="5528" w:type="dxa"/>
          </w:tcPr>
          <w:p w14:paraId="6B3EBBA0" w14:textId="66E83908" w:rsidR="00316681" w:rsidRDefault="00316681" w:rsidP="00316681">
            <w:pPr>
              <w:pStyle w:val="ParaNoG"/>
              <w:numPr>
                <w:ilvl w:val="0"/>
                <w:numId w:val="34"/>
              </w:numPr>
              <w:tabs>
                <w:tab w:val="left" w:pos="0"/>
              </w:tabs>
              <w:ind w:left="461"/>
            </w:pPr>
            <w:r>
              <w:t>in one’s own mind</w:t>
            </w:r>
          </w:p>
          <w:p w14:paraId="20FF68BE" w14:textId="4AA38BFD" w:rsidR="00316681" w:rsidRDefault="00316681" w:rsidP="00316681">
            <w:pPr>
              <w:pStyle w:val="ParaNoG"/>
              <w:numPr>
                <w:ilvl w:val="0"/>
                <w:numId w:val="34"/>
              </w:numPr>
              <w:tabs>
                <w:tab w:val="left" w:pos="0"/>
              </w:tabs>
              <w:ind w:left="461"/>
            </w:pPr>
            <w:r>
              <w:t>in small groups</w:t>
            </w:r>
          </w:p>
          <w:p w14:paraId="36C11407" w14:textId="1425FF52" w:rsidR="00316681" w:rsidRDefault="00316681" w:rsidP="00316681">
            <w:pPr>
              <w:pStyle w:val="ParaNoG"/>
              <w:numPr>
                <w:ilvl w:val="0"/>
                <w:numId w:val="34"/>
              </w:numPr>
              <w:tabs>
                <w:tab w:val="left" w:pos="0"/>
              </w:tabs>
              <w:ind w:left="461"/>
            </w:pPr>
            <w:r>
              <w:t>across society</w:t>
            </w:r>
          </w:p>
          <w:p w14:paraId="4BB6DCB1" w14:textId="0BC2C1EF" w:rsidR="00316681" w:rsidRDefault="00316681" w:rsidP="00316681">
            <w:pPr>
              <w:pStyle w:val="ParaNoG"/>
              <w:numPr>
                <w:ilvl w:val="0"/>
                <w:numId w:val="34"/>
              </w:numPr>
              <w:tabs>
                <w:tab w:val="left" w:pos="0"/>
              </w:tabs>
              <w:ind w:left="461"/>
            </w:pPr>
            <w:r>
              <w:t>at an institutional and policy level</w:t>
            </w:r>
            <w:r w:rsidRPr="00974C0B">
              <w:rPr>
                <w:rStyle w:val="EndnoteReference"/>
              </w:rPr>
              <w:endnoteReference w:id="27"/>
            </w:r>
          </w:p>
          <w:p w14:paraId="3F9E8173" w14:textId="27741191" w:rsidR="00316681" w:rsidRDefault="00316681" w:rsidP="00316681">
            <w:pPr>
              <w:pStyle w:val="ParaNoG"/>
              <w:numPr>
                <w:ilvl w:val="0"/>
                <w:numId w:val="34"/>
              </w:numPr>
              <w:tabs>
                <w:tab w:val="left" w:pos="0"/>
              </w:tabs>
              <w:ind w:left="461"/>
            </w:pPr>
            <w:r>
              <w:t>among old people themselves</w:t>
            </w:r>
            <w:r w:rsidRPr="00974C0B">
              <w:rPr>
                <w:rStyle w:val="EndnoteReference"/>
              </w:rPr>
              <w:endnoteReference w:id="28"/>
            </w:r>
          </w:p>
        </w:tc>
      </w:tr>
    </w:tbl>
    <w:p w14:paraId="5E4EE13B" w14:textId="77777777" w:rsidR="00316681" w:rsidRDefault="00316681" w:rsidP="00952E3E">
      <w:pPr>
        <w:pStyle w:val="ParaNoG"/>
        <w:numPr>
          <w:ilvl w:val="0"/>
          <w:numId w:val="0"/>
        </w:numPr>
        <w:tabs>
          <w:tab w:val="left" w:pos="0"/>
        </w:tabs>
        <w:ind w:left="1134"/>
      </w:pPr>
    </w:p>
    <w:p w14:paraId="1503C90E" w14:textId="56EE91B7" w:rsidR="00C43F74" w:rsidRPr="00974C0B" w:rsidRDefault="000C2CF9" w:rsidP="00952E3E">
      <w:pPr>
        <w:pStyle w:val="ParaNoG"/>
        <w:numPr>
          <w:ilvl w:val="0"/>
          <w:numId w:val="0"/>
        </w:numPr>
        <w:tabs>
          <w:tab w:val="left" w:pos="0"/>
        </w:tabs>
        <w:ind w:left="1134"/>
      </w:pPr>
      <w:r>
        <w:t>23</w:t>
      </w:r>
      <w:r w:rsidR="00C43F74" w:rsidRPr="00974C0B">
        <w:t>.</w:t>
      </w:r>
      <w:r w:rsidR="00C43F74" w:rsidRPr="00974C0B">
        <w:tab/>
        <w:t xml:space="preserve">Ageism is a global phenomenon with </w:t>
      </w:r>
      <w:r w:rsidR="0041116C">
        <w:t>negative</w:t>
      </w:r>
      <w:r w:rsidR="00C43F74" w:rsidRPr="00974C0B">
        <w:t xml:space="preserve"> effects on older persons</w:t>
      </w:r>
      <w:r w:rsidR="001C7504">
        <w:t>. It</w:t>
      </w:r>
      <w:r w:rsidR="00C43F74" w:rsidRPr="00974C0B">
        <w:t xml:space="preserve"> affect</w:t>
      </w:r>
      <w:r w:rsidR="001C7504">
        <w:t>s</w:t>
      </w:r>
      <w:r w:rsidR="00C43F74" w:rsidRPr="00974C0B">
        <w:t xml:space="preserve"> </w:t>
      </w:r>
      <w:r w:rsidR="0056703A">
        <w:t xml:space="preserve">how </w:t>
      </w:r>
      <w:r w:rsidR="001C7504">
        <w:t xml:space="preserve">older persons </w:t>
      </w:r>
      <w:r w:rsidR="0056703A">
        <w:t xml:space="preserve">enjoy </w:t>
      </w:r>
      <w:r w:rsidR="00C43F74" w:rsidRPr="00974C0B">
        <w:t>many human rights</w:t>
      </w:r>
      <w:r w:rsidR="001C7504">
        <w:t xml:space="preserve">. This includes </w:t>
      </w:r>
      <w:r w:rsidR="00C43F74" w:rsidRPr="00974C0B">
        <w:t xml:space="preserve">the rights to life, health, an adequate standard of living, work, autonomy and independence, </w:t>
      </w:r>
      <w:r w:rsidR="00CC66A5">
        <w:t xml:space="preserve">the </w:t>
      </w:r>
      <w:r w:rsidR="00C43F74" w:rsidRPr="00974C0B">
        <w:t xml:space="preserve">liberty and security of </w:t>
      </w:r>
      <w:r w:rsidR="00CC66A5">
        <w:t xml:space="preserve">a </w:t>
      </w:r>
      <w:r w:rsidR="00C43F74" w:rsidRPr="00974C0B">
        <w:t xml:space="preserve">person and participation in community life. The </w:t>
      </w:r>
      <w:r w:rsidR="00C43F74" w:rsidRPr="00974C0B">
        <w:rPr>
          <w:i/>
        </w:rPr>
        <w:t>Global Report on Ageism</w:t>
      </w:r>
      <w:r w:rsidR="00C43F74" w:rsidRPr="00974C0B">
        <w:rPr>
          <w:iCs/>
        </w:rPr>
        <w:t>,</w:t>
      </w:r>
      <w:r w:rsidR="00C43F74" w:rsidRPr="00974C0B">
        <w:rPr>
          <w:i/>
        </w:rPr>
        <w:t xml:space="preserve"> </w:t>
      </w:r>
      <w:r w:rsidR="00C43F74" w:rsidRPr="00974C0B">
        <w:t xml:space="preserve">jointly </w:t>
      </w:r>
      <w:r w:rsidR="001C7504">
        <w:t>issued</w:t>
      </w:r>
      <w:r w:rsidR="001C7504" w:rsidRPr="00974C0B">
        <w:t xml:space="preserve"> </w:t>
      </w:r>
      <w:r w:rsidR="00C43F74" w:rsidRPr="00974C0B">
        <w:t>by the World Health Organization, OHCHR, the Department of Economic and Social Affairs and the United Nations Population Fund in 2021</w:t>
      </w:r>
      <w:r w:rsidR="001C7504">
        <w:t>, describes</w:t>
      </w:r>
      <w:r w:rsidR="00C43F74" w:rsidRPr="00974C0B">
        <w:t xml:space="preserve"> the nature and extent of ageism</w:t>
      </w:r>
      <w:r w:rsidR="001C7504">
        <w:t xml:space="preserve">. It also looks at the </w:t>
      </w:r>
      <w:r w:rsidR="00C43F74" w:rsidRPr="00974C0B">
        <w:t xml:space="preserve">impacts </w:t>
      </w:r>
      <w:r w:rsidR="001C7504">
        <w:t xml:space="preserve">of ageism </w:t>
      </w:r>
      <w:r w:rsidR="00C43F74" w:rsidRPr="00974C0B">
        <w:t xml:space="preserve">in younger age and older age. This </w:t>
      </w:r>
      <w:r w:rsidR="00C43F74" w:rsidRPr="00974C0B">
        <w:rPr>
          <w:iCs/>
        </w:rPr>
        <w:t>report</w:t>
      </w:r>
      <w:r w:rsidR="00C43F74" w:rsidRPr="00974C0B">
        <w:t xml:space="preserve"> </w:t>
      </w:r>
      <w:r w:rsidR="00316681">
        <w:t xml:space="preserve">prioritises adopting </w:t>
      </w:r>
      <w:r w:rsidR="00C43F74" w:rsidRPr="00974C0B">
        <w:t xml:space="preserve">stronger </w:t>
      </w:r>
      <w:r w:rsidR="001C7504">
        <w:t>legal</w:t>
      </w:r>
      <w:r w:rsidR="001C7504" w:rsidRPr="00974C0B">
        <w:t xml:space="preserve"> </w:t>
      </w:r>
      <w:r w:rsidR="00C43F74" w:rsidRPr="00974C0B">
        <w:t>protection against age discrimination and ageism.</w:t>
      </w:r>
      <w:r w:rsidR="00C43F74" w:rsidRPr="00974C0B">
        <w:rPr>
          <w:rStyle w:val="EndnoteReference"/>
        </w:rPr>
        <w:endnoteReference w:id="29"/>
      </w:r>
      <w:r w:rsidR="00C43F74" w:rsidRPr="00974C0B">
        <w:rPr>
          <w:rStyle w:val="EndnoteReference"/>
        </w:rPr>
        <w:t xml:space="preserve"> </w:t>
      </w:r>
    </w:p>
    <w:p w14:paraId="1A349BB1" w14:textId="211D311E" w:rsidR="000C2CF9" w:rsidRDefault="000C2CF9" w:rsidP="00952E3E">
      <w:pPr>
        <w:pStyle w:val="ParaNoG"/>
        <w:numPr>
          <w:ilvl w:val="0"/>
          <w:numId w:val="0"/>
        </w:numPr>
        <w:tabs>
          <w:tab w:val="left" w:pos="0"/>
        </w:tabs>
        <w:ind w:left="1134"/>
      </w:pPr>
      <w:r>
        <w:t>24</w:t>
      </w:r>
      <w:r w:rsidR="00C43F74" w:rsidRPr="00974C0B">
        <w:t>.</w:t>
      </w:r>
      <w:r w:rsidR="00C43F74" w:rsidRPr="00974C0B">
        <w:tab/>
        <w:t>The Independent Expert</w:t>
      </w:r>
      <w:r w:rsidR="00C43F74" w:rsidRPr="00974C0B">
        <w:rPr>
          <w:rStyle w:val="EndnoteReference"/>
        </w:rPr>
        <w:endnoteReference w:id="30"/>
      </w:r>
      <w:r w:rsidR="00C43F74" w:rsidRPr="00974C0B">
        <w:rPr>
          <w:rStyle w:val="EndnoteReference"/>
        </w:rPr>
        <w:t xml:space="preserve"> </w:t>
      </w:r>
      <w:r w:rsidR="00C43F74" w:rsidRPr="00974C0B">
        <w:t>drew attention to the harmful impacts of ageism in older persons’ lives in areas</w:t>
      </w:r>
      <w:r w:rsidR="00C43F74">
        <w:t>,</w:t>
      </w:r>
      <w:r w:rsidR="00C43F74" w:rsidRPr="00974C0B">
        <w:t xml:space="preserve"> </w:t>
      </w:r>
      <w:r w:rsidR="00C43F74">
        <w:t>e.g.</w:t>
      </w:r>
      <w:r w:rsidR="00316681">
        <w:t>:</w:t>
      </w:r>
      <w:r w:rsidR="00C43F74" w:rsidRPr="00974C0B">
        <w:t xml:space="preserve"> </w:t>
      </w:r>
    </w:p>
    <w:p w14:paraId="593E303B" w14:textId="77777777" w:rsidR="000C2CF9" w:rsidRDefault="00C43F74" w:rsidP="000C2CF9">
      <w:pPr>
        <w:pStyle w:val="ParaNoG"/>
        <w:numPr>
          <w:ilvl w:val="0"/>
          <w:numId w:val="24"/>
        </w:numPr>
        <w:tabs>
          <w:tab w:val="left" w:pos="0"/>
        </w:tabs>
      </w:pPr>
      <w:r w:rsidRPr="00974C0B">
        <w:t xml:space="preserve">health and long-term care, </w:t>
      </w:r>
    </w:p>
    <w:p w14:paraId="7895E8AA" w14:textId="77777777" w:rsidR="000C2CF9" w:rsidRDefault="00C43F74" w:rsidP="000C2CF9">
      <w:pPr>
        <w:pStyle w:val="ParaNoG"/>
        <w:numPr>
          <w:ilvl w:val="0"/>
          <w:numId w:val="24"/>
        </w:numPr>
        <w:tabs>
          <w:tab w:val="left" w:pos="0"/>
        </w:tabs>
      </w:pPr>
      <w:r w:rsidRPr="00974C0B">
        <w:t xml:space="preserve">subjection to violence and abuse, </w:t>
      </w:r>
    </w:p>
    <w:p w14:paraId="1D8D699A" w14:textId="77777777" w:rsidR="000C2CF9" w:rsidRDefault="00C43F74" w:rsidP="000C2CF9">
      <w:pPr>
        <w:pStyle w:val="ParaNoG"/>
        <w:numPr>
          <w:ilvl w:val="0"/>
          <w:numId w:val="24"/>
        </w:numPr>
        <w:tabs>
          <w:tab w:val="left" w:pos="0"/>
        </w:tabs>
      </w:pPr>
      <w:r w:rsidRPr="00974C0B">
        <w:t xml:space="preserve">employment and retirement, </w:t>
      </w:r>
    </w:p>
    <w:p w14:paraId="6DB2E332" w14:textId="49743871" w:rsidR="000C2CF9" w:rsidRDefault="00C43F74" w:rsidP="000C2CF9">
      <w:pPr>
        <w:pStyle w:val="ParaNoG"/>
        <w:numPr>
          <w:ilvl w:val="0"/>
          <w:numId w:val="24"/>
        </w:numPr>
        <w:tabs>
          <w:tab w:val="left" w:pos="0"/>
        </w:tabs>
      </w:pPr>
      <w:r w:rsidRPr="00974C0B">
        <w:t xml:space="preserve">social exclusion, </w:t>
      </w:r>
    </w:p>
    <w:p w14:paraId="095DAABA" w14:textId="77777777" w:rsidR="000C2CF9" w:rsidRDefault="00C43F74" w:rsidP="000C2CF9">
      <w:pPr>
        <w:pStyle w:val="ParaNoG"/>
        <w:numPr>
          <w:ilvl w:val="0"/>
          <w:numId w:val="24"/>
        </w:numPr>
        <w:tabs>
          <w:tab w:val="left" w:pos="0"/>
        </w:tabs>
      </w:pPr>
      <w:r w:rsidRPr="00974C0B">
        <w:t xml:space="preserve">financial activities, </w:t>
      </w:r>
    </w:p>
    <w:p w14:paraId="57E69C4A" w14:textId="77777777" w:rsidR="000C2CF9" w:rsidRDefault="00C43F74" w:rsidP="000C2CF9">
      <w:pPr>
        <w:pStyle w:val="ParaNoG"/>
        <w:numPr>
          <w:ilvl w:val="0"/>
          <w:numId w:val="24"/>
        </w:numPr>
        <w:tabs>
          <w:tab w:val="left" w:pos="0"/>
        </w:tabs>
      </w:pPr>
      <w:r w:rsidRPr="00974C0B">
        <w:t xml:space="preserve">in media representations and hate speech, and </w:t>
      </w:r>
    </w:p>
    <w:p w14:paraId="2994B86F" w14:textId="77777777" w:rsidR="000C2CF9" w:rsidRDefault="00C43F74" w:rsidP="000C2CF9">
      <w:pPr>
        <w:pStyle w:val="ParaNoG"/>
        <w:numPr>
          <w:ilvl w:val="0"/>
          <w:numId w:val="24"/>
        </w:numPr>
        <w:tabs>
          <w:tab w:val="left" w:pos="0"/>
        </w:tabs>
      </w:pPr>
      <w:proofErr w:type="gramStart"/>
      <w:r w:rsidRPr="00974C0B">
        <w:t>in</w:t>
      </w:r>
      <w:proofErr w:type="gramEnd"/>
      <w:r w:rsidRPr="00974C0B">
        <w:t xml:space="preserve"> emergency contexts.</w:t>
      </w:r>
      <w:r w:rsidRPr="00974C0B">
        <w:rPr>
          <w:rStyle w:val="EndnoteReference"/>
        </w:rPr>
        <w:endnoteReference w:id="31"/>
      </w:r>
      <w:r w:rsidRPr="00974C0B">
        <w:rPr>
          <w:rStyle w:val="EndnoteReference"/>
        </w:rPr>
        <w:t xml:space="preserve"> </w:t>
      </w:r>
    </w:p>
    <w:p w14:paraId="42F05D0A" w14:textId="1958EED4" w:rsidR="002C6565" w:rsidRDefault="00C43F74" w:rsidP="002C6565">
      <w:pPr>
        <w:pStyle w:val="ParaNoG"/>
        <w:numPr>
          <w:ilvl w:val="0"/>
          <w:numId w:val="0"/>
        </w:numPr>
        <w:tabs>
          <w:tab w:val="left" w:pos="0"/>
        </w:tabs>
        <w:ind w:left="993"/>
      </w:pPr>
      <w:r w:rsidRPr="00974C0B">
        <w:t xml:space="preserve">She </w:t>
      </w:r>
      <w:r w:rsidR="001C7504">
        <w:t>said</w:t>
      </w:r>
      <w:r w:rsidR="001C7504" w:rsidRPr="00974C0B">
        <w:t xml:space="preserve"> </w:t>
      </w:r>
      <w:r w:rsidRPr="00974C0B">
        <w:t xml:space="preserve">that, by </w:t>
      </w:r>
      <w:r w:rsidR="000C2CF9">
        <w:t xml:space="preserve">treating </w:t>
      </w:r>
      <w:r w:rsidRPr="00974C0B">
        <w:t>older persons</w:t>
      </w:r>
      <w:r w:rsidR="000C2CF9">
        <w:t xml:space="preserve"> in the same way</w:t>
      </w:r>
      <w:r w:rsidRPr="00974C0B">
        <w:t xml:space="preserve">, ageist attitudes and practices </w:t>
      </w:r>
      <w:r w:rsidR="00D827A2">
        <w:t xml:space="preserve">did not </w:t>
      </w:r>
      <w:r w:rsidRPr="00974C0B">
        <w:t xml:space="preserve">reflect the diversity of older persons. She emphasized the ways in which ageism </w:t>
      </w:r>
    </w:p>
    <w:p w14:paraId="4D44CE1D" w14:textId="03CEEA39" w:rsidR="00C43F74" w:rsidRPr="002C6565" w:rsidRDefault="00ED6816" w:rsidP="00E9562A">
      <w:pPr>
        <w:pStyle w:val="ParaNoG"/>
        <w:numPr>
          <w:ilvl w:val="0"/>
          <w:numId w:val="0"/>
        </w:numPr>
        <w:tabs>
          <w:tab w:val="left" w:pos="426"/>
        </w:tabs>
        <w:ind w:left="1560"/>
        <w:rPr>
          <w:i/>
          <w:iCs/>
        </w:rPr>
      </w:pPr>
      <w:r w:rsidRPr="00ED6816">
        <w:t>“</w:t>
      </w:r>
      <w:r w:rsidR="00D5624F" w:rsidRPr="002C6565">
        <w:rPr>
          <w:i/>
          <w:iCs/>
        </w:rPr>
        <w:t>Compounds</w:t>
      </w:r>
      <w:r w:rsidR="00C43F74" w:rsidRPr="002C6565">
        <w:rPr>
          <w:i/>
          <w:iCs/>
        </w:rPr>
        <w:t xml:space="preserve"> other forms of inequalities based on gender, disability and health status, ethnic origin, indigenous identity or migrant status, gender identity and sexual orientation, socioeconomic </w:t>
      </w:r>
      <w:r w:rsidR="00D5624F" w:rsidRPr="002C6565">
        <w:rPr>
          <w:i/>
          <w:iCs/>
        </w:rPr>
        <w:t>status,</w:t>
      </w:r>
      <w:r w:rsidR="00C43F74" w:rsidRPr="002C6565">
        <w:rPr>
          <w:i/>
          <w:iCs/>
        </w:rPr>
        <w:t xml:space="preserve"> and other grounds.</w:t>
      </w:r>
      <w:r w:rsidRPr="00ED6816">
        <w:t>”</w:t>
      </w:r>
      <w:r w:rsidR="00C43F74" w:rsidRPr="002C6565">
        <w:rPr>
          <w:rStyle w:val="EndnoteReference"/>
        </w:rPr>
        <w:endnoteReference w:id="32"/>
      </w:r>
      <w:r w:rsidR="00C43F74" w:rsidRPr="002C6565">
        <w:rPr>
          <w:rStyle w:val="EndnoteReference"/>
        </w:rPr>
        <w:t xml:space="preserve"> </w:t>
      </w:r>
    </w:p>
    <w:p w14:paraId="22459BE0" w14:textId="5A88F957" w:rsidR="000C2CF9" w:rsidRDefault="000C2CF9" w:rsidP="00952E3E">
      <w:pPr>
        <w:pStyle w:val="ParaNoG"/>
        <w:numPr>
          <w:ilvl w:val="0"/>
          <w:numId w:val="0"/>
        </w:numPr>
        <w:tabs>
          <w:tab w:val="left" w:pos="0"/>
        </w:tabs>
        <w:ind w:left="1134"/>
        <w:rPr>
          <w:bCs/>
        </w:rPr>
      </w:pPr>
      <w:r>
        <w:rPr>
          <w:bCs/>
          <w:iCs/>
        </w:rPr>
        <w:t>25</w:t>
      </w:r>
      <w:r w:rsidR="00C43F74" w:rsidRPr="00974C0B">
        <w:rPr>
          <w:bCs/>
          <w:iCs/>
        </w:rPr>
        <w:t>.</w:t>
      </w:r>
      <w:r w:rsidR="00C43F74" w:rsidRPr="00974C0B">
        <w:rPr>
          <w:bCs/>
          <w:iCs/>
        </w:rPr>
        <w:tab/>
      </w:r>
      <w:r w:rsidR="00C43F74" w:rsidRPr="00974C0B">
        <w:rPr>
          <w:bCs/>
        </w:rPr>
        <w:t>A striking feature of the international human rights framework is that there is</w:t>
      </w:r>
      <w:r>
        <w:rPr>
          <w:bCs/>
        </w:rPr>
        <w:t>:</w:t>
      </w:r>
      <w:r w:rsidR="00C43F74" w:rsidRPr="00974C0B">
        <w:rPr>
          <w:bCs/>
        </w:rPr>
        <w:t xml:space="preserve"> </w:t>
      </w:r>
    </w:p>
    <w:p w14:paraId="4DBEDA9D" w14:textId="3D092F79" w:rsidR="000C2CF9" w:rsidRDefault="00C43F74" w:rsidP="000C2CF9">
      <w:pPr>
        <w:pStyle w:val="ParaNoG"/>
        <w:numPr>
          <w:ilvl w:val="0"/>
          <w:numId w:val="25"/>
        </w:numPr>
        <w:tabs>
          <w:tab w:val="left" w:pos="0"/>
        </w:tabs>
        <w:ind w:left="1701" w:hanging="207"/>
        <w:rPr>
          <w:bCs/>
        </w:rPr>
      </w:pPr>
      <w:r w:rsidRPr="00974C0B">
        <w:rPr>
          <w:bCs/>
        </w:rPr>
        <w:t xml:space="preserve">no explicit guarantee against </w:t>
      </w:r>
      <w:r w:rsidR="00981581">
        <w:rPr>
          <w:bCs/>
        </w:rPr>
        <w:t xml:space="preserve">age </w:t>
      </w:r>
      <w:r w:rsidRPr="00974C0B">
        <w:rPr>
          <w:bCs/>
        </w:rPr>
        <w:t>discriminat</w:t>
      </w:r>
      <w:r w:rsidR="00981581">
        <w:rPr>
          <w:bCs/>
        </w:rPr>
        <w:t>ion</w:t>
      </w:r>
      <w:r w:rsidRPr="00974C0B">
        <w:rPr>
          <w:bCs/>
        </w:rPr>
        <w:t xml:space="preserve">, and </w:t>
      </w:r>
    </w:p>
    <w:p w14:paraId="73D55F8A" w14:textId="77777777" w:rsidR="000C2CF9" w:rsidRDefault="00C43F74" w:rsidP="000C2CF9">
      <w:pPr>
        <w:pStyle w:val="ParaNoG"/>
        <w:numPr>
          <w:ilvl w:val="0"/>
          <w:numId w:val="25"/>
        </w:numPr>
        <w:tabs>
          <w:tab w:val="left" w:pos="0"/>
        </w:tabs>
        <w:ind w:left="1701" w:hanging="207"/>
        <w:rPr>
          <w:b/>
          <w:bCs/>
          <w:color w:val="000000"/>
        </w:rPr>
      </w:pPr>
      <w:proofErr w:type="gramStart"/>
      <w:r w:rsidRPr="00974C0B">
        <w:rPr>
          <w:bCs/>
        </w:rPr>
        <w:t>no</w:t>
      </w:r>
      <w:proofErr w:type="gramEnd"/>
      <w:r w:rsidRPr="00974C0B">
        <w:rPr>
          <w:bCs/>
        </w:rPr>
        <w:t xml:space="preserve"> explicit obligation on States to take active measures to eliminate ageism and its discriminatory consequences.</w:t>
      </w:r>
      <w:r w:rsidRPr="00974C0B">
        <w:rPr>
          <w:b/>
          <w:bCs/>
          <w:color w:val="000000"/>
        </w:rPr>
        <w:t xml:space="preserve"> </w:t>
      </w:r>
    </w:p>
    <w:p w14:paraId="63A418EE" w14:textId="51667881" w:rsidR="00C43F74" w:rsidRPr="00974C0B" w:rsidRDefault="000C2CF9" w:rsidP="00952E3E">
      <w:pPr>
        <w:pStyle w:val="ParaNoG"/>
        <w:numPr>
          <w:ilvl w:val="0"/>
          <w:numId w:val="0"/>
        </w:numPr>
        <w:tabs>
          <w:tab w:val="left" w:pos="0"/>
        </w:tabs>
        <w:ind w:left="1134"/>
        <w:rPr>
          <w:bCs/>
          <w:iCs/>
        </w:rPr>
      </w:pPr>
      <w:r>
        <w:rPr>
          <w:bCs/>
          <w:color w:val="000000"/>
        </w:rPr>
        <w:t>Despite</w:t>
      </w:r>
      <w:r w:rsidR="00C43F74" w:rsidRPr="00974C0B">
        <w:rPr>
          <w:bCs/>
          <w:color w:val="000000"/>
        </w:rPr>
        <w:t xml:space="preserve"> this gap, </w:t>
      </w:r>
      <w:r w:rsidR="00C43F74" w:rsidRPr="00974C0B">
        <w:rPr>
          <w:bCs/>
          <w:iCs/>
        </w:rPr>
        <w:t xml:space="preserve">States </w:t>
      </w:r>
      <w:r w:rsidR="00C8351A">
        <w:rPr>
          <w:bCs/>
          <w:iCs/>
        </w:rPr>
        <w:t xml:space="preserve">may be obliged </w:t>
      </w:r>
      <w:r w:rsidR="00C43F74" w:rsidRPr="00974C0B">
        <w:rPr>
          <w:bCs/>
          <w:iCs/>
        </w:rPr>
        <w:t xml:space="preserve">to address ageism because ageism amounts to discrimination </w:t>
      </w:r>
      <w:r w:rsidR="00A97C53">
        <w:rPr>
          <w:bCs/>
          <w:iCs/>
        </w:rPr>
        <w:t xml:space="preserve">based </w:t>
      </w:r>
      <w:r w:rsidR="00C43F74" w:rsidRPr="00974C0B">
        <w:rPr>
          <w:bCs/>
          <w:iCs/>
        </w:rPr>
        <w:t>on age</w:t>
      </w:r>
      <w:r w:rsidR="001C7504">
        <w:rPr>
          <w:bCs/>
          <w:iCs/>
        </w:rPr>
        <w:t xml:space="preserve">. </w:t>
      </w:r>
      <w:proofErr w:type="gramStart"/>
      <w:r w:rsidR="001C7504">
        <w:rPr>
          <w:bCs/>
          <w:iCs/>
        </w:rPr>
        <w:t>Also</w:t>
      </w:r>
      <w:proofErr w:type="gramEnd"/>
      <w:r w:rsidR="00C43F74" w:rsidRPr="00974C0B">
        <w:rPr>
          <w:bCs/>
          <w:iCs/>
        </w:rPr>
        <w:t xml:space="preserve">, some treaties </w:t>
      </w:r>
      <w:r w:rsidR="00C8351A">
        <w:rPr>
          <w:bCs/>
          <w:iCs/>
        </w:rPr>
        <w:t>require</w:t>
      </w:r>
      <w:r w:rsidR="00C43F74" w:rsidRPr="00974C0B">
        <w:rPr>
          <w:bCs/>
          <w:iCs/>
        </w:rPr>
        <w:t xml:space="preserve"> States to eliminate discrimination </w:t>
      </w:r>
      <w:r w:rsidR="00A97C53">
        <w:rPr>
          <w:bCs/>
          <w:iCs/>
        </w:rPr>
        <w:t xml:space="preserve">based </w:t>
      </w:r>
      <w:r w:rsidR="00C43F74" w:rsidRPr="00974C0B">
        <w:rPr>
          <w:bCs/>
          <w:iCs/>
        </w:rPr>
        <w:t xml:space="preserve">on “other status” which includes age. </w:t>
      </w:r>
      <w:r w:rsidR="00BB6058">
        <w:rPr>
          <w:bCs/>
          <w:iCs/>
        </w:rPr>
        <w:t>However,</w:t>
      </w:r>
      <w:r w:rsidR="00C43F74" w:rsidRPr="00974C0B">
        <w:rPr>
          <w:bCs/>
          <w:iCs/>
        </w:rPr>
        <w:t xml:space="preserve"> these provisions on age discrimination </w:t>
      </w:r>
      <w:r w:rsidR="001C7504">
        <w:rPr>
          <w:bCs/>
          <w:iCs/>
        </w:rPr>
        <w:lastRenderedPageBreak/>
        <w:t xml:space="preserve">are very general and </w:t>
      </w:r>
      <w:proofErr w:type="gramStart"/>
      <w:r w:rsidR="00C43F74" w:rsidRPr="00974C0B">
        <w:rPr>
          <w:bCs/>
          <w:iCs/>
        </w:rPr>
        <w:t>have not been used</w:t>
      </w:r>
      <w:proofErr w:type="gramEnd"/>
      <w:r w:rsidR="00C43F74" w:rsidRPr="00974C0B">
        <w:rPr>
          <w:bCs/>
          <w:iCs/>
        </w:rPr>
        <w:t xml:space="preserve"> to address ageism more broadly</w:t>
      </w:r>
      <w:r w:rsidR="00C43F74" w:rsidRPr="00974C0B">
        <w:t xml:space="preserve"> </w:t>
      </w:r>
      <w:r w:rsidR="00B12DA4">
        <w:t xml:space="preserve">by the </w:t>
      </w:r>
      <w:r w:rsidR="00C43F74" w:rsidRPr="00974C0B">
        <w:t>existing human rights treaty mechanisms</w:t>
      </w:r>
      <w:r w:rsidR="00C8351A">
        <w:t xml:space="preserve">. </w:t>
      </w:r>
      <w:proofErr w:type="gramStart"/>
      <w:r w:rsidR="00BB6058">
        <w:t>Also</w:t>
      </w:r>
      <w:proofErr w:type="gramEnd"/>
      <w:r w:rsidR="00C43F74" w:rsidRPr="00974C0B">
        <w:t xml:space="preserve">, the term “ageism” rarely features, other than in reports of </w:t>
      </w:r>
      <w:r w:rsidR="009A384B">
        <w:t xml:space="preserve">both </w:t>
      </w:r>
      <w:r w:rsidR="00C43F74" w:rsidRPr="00974C0B">
        <w:t xml:space="preserve">the Independent Expert and the Special Rapporteur on the rights of persons with disabilities. </w:t>
      </w:r>
    </w:p>
    <w:p w14:paraId="6A13C54C" w14:textId="53F541DB" w:rsidR="00A97C53" w:rsidRDefault="000C2CF9" w:rsidP="00952E3E">
      <w:pPr>
        <w:pStyle w:val="ParaNoG"/>
        <w:numPr>
          <w:ilvl w:val="0"/>
          <w:numId w:val="0"/>
        </w:numPr>
        <w:tabs>
          <w:tab w:val="left" w:pos="0"/>
        </w:tabs>
        <w:ind w:left="1134"/>
      </w:pPr>
      <w:r>
        <w:rPr>
          <w:rStyle w:val="EndnoteReference"/>
          <w:sz w:val="20"/>
          <w:vertAlign w:val="baseline"/>
        </w:rPr>
        <w:t>26</w:t>
      </w:r>
      <w:r w:rsidR="00C43F74" w:rsidRPr="00974C0B">
        <w:rPr>
          <w:rStyle w:val="EndnoteReference"/>
          <w:sz w:val="20"/>
          <w:vertAlign w:val="baseline"/>
        </w:rPr>
        <w:t>.</w:t>
      </w:r>
      <w:r w:rsidR="00C43F74" w:rsidRPr="00974C0B">
        <w:rPr>
          <w:rStyle w:val="EndnoteReference"/>
          <w:sz w:val="20"/>
          <w:vertAlign w:val="baseline"/>
        </w:rPr>
        <w:tab/>
      </w:r>
      <w:r w:rsidR="00542470">
        <w:t xml:space="preserve">It is important to </w:t>
      </w:r>
      <w:r w:rsidR="00542470" w:rsidRPr="00974C0B">
        <w:t xml:space="preserve">understand </w:t>
      </w:r>
      <w:r w:rsidR="00542470">
        <w:t xml:space="preserve">the </w:t>
      </w:r>
      <w:r w:rsidR="00542470" w:rsidRPr="00974C0B">
        <w:t xml:space="preserve">gaps that affect </w:t>
      </w:r>
      <w:r w:rsidR="00542470">
        <w:t xml:space="preserve">how </w:t>
      </w:r>
      <w:r w:rsidR="00542470" w:rsidRPr="00974C0B">
        <w:t>older persons</w:t>
      </w:r>
      <w:r w:rsidR="00542470">
        <w:t xml:space="preserve"> enjoy</w:t>
      </w:r>
      <w:r w:rsidR="00542470" w:rsidRPr="00974C0B">
        <w:t xml:space="preserve"> human rights</w:t>
      </w:r>
      <w:r w:rsidR="00542470">
        <w:t xml:space="preserve">. </w:t>
      </w:r>
      <w:r w:rsidR="00C43F74" w:rsidRPr="00974C0B">
        <w:rPr>
          <w:bCs/>
        </w:rPr>
        <w:t xml:space="preserve">Beyond the human rights protection gap </w:t>
      </w:r>
      <w:r w:rsidR="008B171C">
        <w:rPr>
          <w:bCs/>
        </w:rPr>
        <w:t xml:space="preserve">concerning </w:t>
      </w:r>
      <w:r w:rsidR="00C43F74" w:rsidRPr="00974C0B">
        <w:rPr>
          <w:bCs/>
        </w:rPr>
        <w:t xml:space="preserve">discrimination </w:t>
      </w:r>
      <w:r w:rsidR="00A97C53">
        <w:rPr>
          <w:bCs/>
        </w:rPr>
        <w:t xml:space="preserve">based </w:t>
      </w:r>
      <w:r w:rsidR="00C43F74" w:rsidRPr="00974C0B">
        <w:rPr>
          <w:bCs/>
        </w:rPr>
        <w:t xml:space="preserve">on older age, other significant gaps and limitations exist that </w:t>
      </w:r>
      <w:r>
        <w:rPr>
          <w:bCs/>
        </w:rPr>
        <w:t>affect</w:t>
      </w:r>
      <w:r w:rsidR="00C43F74" w:rsidRPr="00974C0B">
        <w:rPr>
          <w:bCs/>
        </w:rPr>
        <w:t xml:space="preserve"> the effective coverage of </w:t>
      </w:r>
      <w:r w:rsidR="00B63193" w:rsidRPr="00974C0B">
        <w:rPr>
          <w:bCs/>
        </w:rPr>
        <w:t>older persons</w:t>
      </w:r>
      <w:r w:rsidR="00B63193">
        <w:rPr>
          <w:bCs/>
        </w:rPr>
        <w:t>’</w:t>
      </w:r>
      <w:r w:rsidR="00B63193" w:rsidRPr="00974C0B">
        <w:rPr>
          <w:bCs/>
        </w:rPr>
        <w:t xml:space="preserve"> </w:t>
      </w:r>
      <w:r w:rsidR="00C43F74" w:rsidRPr="00974C0B">
        <w:rPr>
          <w:bCs/>
        </w:rPr>
        <w:t xml:space="preserve">human rights. </w:t>
      </w:r>
      <w:r w:rsidR="00C43F74" w:rsidRPr="00974C0B">
        <w:t>These include areas</w:t>
      </w:r>
      <w:r w:rsidR="00C43F74">
        <w:t>, e.g.</w:t>
      </w:r>
      <w:r w:rsidR="00A97C53">
        <w:t>:</w:t>
      </w:r>
      <w:r w:rsidR="00C43F74" w:rsidRPr="00974C0B">
        <w:t xml:space="preserve"> </w:t>
      </w:r>
    </w:p>
    <w:p w14:paraId="6E82A34D" w14:textId="77777777" w:rsidR="00A97C53" w:rsidRDefault="00C43F74" w:rsidP="00981581">
      <w:pPr>
        <w:pStyle w:val="ParaNoG"/>
        <w:numPr>
          <w:ilvl w:val="0"/>
          <w:numId w:val="15"/>
        </w:numPr>
        <w:tabs>
          <w:tab w:val="left" w:pos="0"/>
        </w:tabs>
      </w:pPr>
      <w:r w:rsidRPr="00974C0B">
        <w:t xml:space="preserve">legal capacity, </w:t>
      </w:r>
    </w:p>
    <w:p w14:paraId="69B3807E" w14:textId="77777777" w:rsidR="00A97C53" w:rsidRDefault="00C43F74" w:rsidP="00981581">
      <w:pPr>
        <w:pStyle w:val="ParaNoG"/>
        <w:numPr>
          <w:ilvl w:val="0"/>
          <w:numId w:val="15"/>
        </w:numPr>
        <w:tabs>
          <w:tab w:val="left" w:pos="0"/>
        </w:tabs>
      </w:pPr>
      <w:r w:rsidRPr="00974C0B">
        <w:t xml:space="preserve">quality of care, </w:t>
      </w:r>
    </w:p>
    <w:p w14:paraId="307D94F5" w14:textId="77777777" w:rsidR="00A97C53" w:rsidRDefault="00C43F74" w:rsidP="00981581">
      <w:pPr>
        <w:pStyle w:val="ParaNoG"/>
        <w:numPr>
          <w:ilvl w:val="0"/>
          <w:numId w:val="15"/>
        </w:numPr>
        <w:tabs>
          <w:tab w:val="left" w:pos="0"/>
        </w:tabs>
      </w:pPr>
      <w:r w:rsidRPr="00974C0B">
        <w:t xml:space="preserve">long-term care, </w:t>
      </w:r>
    </w:p>
    <w:p w14:paraId="090A7B12" w14:textId="77777777" w:rsidR="00A97C53" w:rsidRDefault="00C43F74" w:rsidP="00981581">
      <w:pPr>
        <w:pStyle w:val="ParaNoG"/>
        <w:numPr>
          <w:ilvl w:val="0"/>
          <w:numId w:val="15"/>
        </w:numPr>
        <w:tabs>
          <w:tab w:val="left" w:pos="0"/>
        </w:tabs>
      </w:pPr>
      <w:r w:rsidRPr="00974C0B">
        <w:t xml:space="preserve">palliative care, </w:t>
      </w:r>
    </w:p>
    <w:p w14:paraId="55AD56C9" w14:textId="77777777" w:rsidR="00A97C53" w:rsidRDefault="00C43F74" w:rsidP="00981581">
      <w:pPr>
        <w:pStyle w:val="ParaNoG"/>
        <w:numPr>
          <w:ilvl w:val="0"/>
          <w:numId w:val="15"/>
        </w:numPr>
        <w:tabs>
          <w:tab w:val="left" w:pos="0"/>
        </w:tabs>
      </w:pPr>
      <w:r w:rsidRPr="00974C0B">
        <w:t xml:space="preserve">assistance for victims and survivors of violence and abuse, </w:t>
      </w:r>
    </w:p>
    <w:p w14:paraId="43B75601" w14:textId="77777777" w:rsidR="00A97C53" w:rsidRDefault="00C43F74" w:rsidP="00981581">
      <w:pPr>
        <w:pStyle w:val="ParaNoG"/>
        <w:numPr>
          <w:ilvl w:val="0"/>
          <w:numId w:val="15"/>
        </w:numPr>
        <w:tabs>
          <w:tab w:val="left" w:pos="0"/>
        </w:tabs>
      </w:pPr>
      <w:r w:rsidRPr="00974C0B">
        <w:t xml:space="preserve">the remedies available for violations of human rights, </w:t>
      </w:r>
    </w:p>
    <w:p w14:paraId="0E718938" w14:textId="77777777" w:rsidR="00A97C53" w:rsidRDefault="00C43F74" w:rsidP="00981581">
      <w:pPr>
        <w:pStyle w:val="ParaNoG"/>
        <w:numPr>
          <w:ilvl w:val="0"/>
          <w:numId w:val="15"/>
        </w:numPr>
        <w:tabs>
          <w:tab w:val="left" w:pos="0"/>
        </w:tabs>
      </w:pPr>
      <w:r w:rsidRPr="00974C0B">
        <w:t xml:space="preserve">independence and autonomy, and </w:t>
      </w:r>
    </w:p>
    <w:p w14:paraId="732D3A19" w14:textId="7CCD0104" w:rsidR="00A97C53" w:rsidRDefault="00C43F74" w:rsidP="00981581">
      <w:pPr>
        <w:pStyle w:val="ParaNoG"/>
        <w:numPr>
          <w:ilvl w:val="0"/>
          <w:numId w:val="15"/>
        </w:numPr>
        <w:tabs>
          <w:tab w:val="left" w:pos="0"/>
        </w:tabs>
      </w:pPr>
      <w:r w:rsidRPr="00974C0B">
        <w:t xml:space="preserve">the right to an adequate standard of living, </w:t>
      </w:r>
      <w:r w:rsidR="00503667">
        <w:t>especially</w:t>
      </w:r>
      <w:r w:rsidRPr="00974C0B">
        <w:t xml:space="preserve"> </w:t>
      </w:r>
      <w:r w:rsidR="00A97C53">
        <w:t xml:space="preserve">regarding </w:t>
      </w:r>
      <w:r w:rsidRPr="00974C0B">
        <w:t xml:space="preserve">housing, </w:t>
      </w:r>
    </w:p>
    <w:p w14:paraId="457EF3C0" w14:textId="77777777" w:rsidR="000C2CF9" w:rsidRDefault="00C43F74" w:rsidP="00981581">
      <w:pPr>
        <w:pStyle w:val="ParaNoG"/>
        <w:numPr>
          <w:ilvl w:val="0"/>
          <w:numId w:val="15"/>
        </w:numPr>
        <w:tabs>
          <w:tab w:val="left" w:pos="0"/>
        </w:tabs>
      </w:pPr>
      <w:r w:rsidRPr="000C2CF9">
        <w:t xml:space="preserve">the right to lifelong learning for older persons, </w:t>
      </w:r>
    </w:p>
    <w:p w14:paraId="3BC8195C" w14:textId="2A53778F" w:rsidR="000C2CF9" w:rsidRDefault="00C43F74" w:rsidP="000C2CF9">
      <w:pPr>
        <w:pStyle w:val="ParaNoG"/>
        <w:numPr>
          <w:ilvl w:val="0"/>
          <w:numId w:val="15"/>
        </w:numPr>
        <w:tabs>
          <w:tab w:val="left" w:pos="0"/>
        </w:tabs>
        <w:ind w:left="1701" w:hanging="207"/>
      </w:pPr>
      <w:r w:rsidRPr="000C2CF9">
        <w:t xml:space="preserve">the impact of technological developments, digital </w:t>
      </w:r>
      <w:r w:rsidR="00D5624F" w:rsidRPr="000C2CF9">
        <w:t>deficits,</w:t>
      </w:r>
      <w:r w:rsidRPr="000C2CF9">
        <w:t xml:space="preserve"> and access by older persons to information technology, </w:t>
      </w:r>
    </w:p>
    <w:p w14:paraId="22FA53F7" w14:textId="77777777" w:rsidR="00CC66A5" w:rsidRDefault="00C43F74" w:rsidP="000C2CF9">
      <w:pPr>
        <w:pStyle w:val="ParaNoG"/>
        <w:numPr>
          <w:ilvl w:val="0"/>
          <w:numId w:val="15"/>
        </w:numPr>
        <w:tabs>
          <w:tab w:val="left" w:pos="0"/>
        </w:tabs>
        <w:ind w:left="1701" w:hanging="207"/>
      </w:pPr>
      <w:r w:rsidRPr="000C2CF9">
        <w:t xml:space="preserve">the potential role and drawbacks of robots and artificial intelligence in the provision of care and support, </w:t>
      </w:r>
    </w:p>
    <w:p w14:paraId="374D8D9E" w14:textId="2EBCFB1D" w:rsidR="000C2CF9" w:rsidRDefault="00C43F74" w:rsidP="000C2CF9">
      <w:pPr>
        <w:pStyle w:val="ParaNoG"/>
        <w:numPr>
          <w:ilvl w:val="0"/>
          <w:numId w:val="15"/>
        </w:numPr>
        <w:tabs>
          <w:tab w:val="left" w:pos="0"/>
        </w:tabs>
        <w:ind w:left="1701" w:hanging="207"/>
      </w:pPr>
      <w:r w:rsidRPr="000C2CF9">
        <w:t xml:space="preserve">older persons in emergency situations, and </w:t>
      </w:r>
    </w:p>
    <w:p w14:paraId="295D5FF8" w14:textId="0681A96E" w:rsidR="00C43F74" w:rsidRPr="000C2CF9" w:rsidRDefault="00C43F74" w:rsidP="00981581">
      <w:pPr>
        <w:pStyle w:val="ParaNoG"/>
        <w:numPr>
          <w:ilvl w:val="0"/>
          <w:numId w:val="15"/>
        </w:numPr>
        <w:tabs>
          <w:tab w:val="left" w:pos="0"/>
        </w:tabs>
      </w:pPr>
      <w:proofErr w:type="gramStart"/>
      <w:r w:rsidRPr="000C2CF9">
        <w:t>the</w:t>
      </w:r>
      <w:proofErr w:type="gramEnd"/>
      <w:r w:rsidRPr="000C2CF9">
        <w:t xml:space="preserve"> data gaps relating to older persons, especially diverse subgroups of older persons.</w:t>
      </w:r>
      <w:r w:rsidRPr="000C2CF9">
        <w:rPr>
          <w:vertAlign w:val="superscript"/>
        </w:rPr>
        <w:endnoteReference w:id="33"/>
      </w:r>
    </w:p>
    <w:p w14:paraId="7E376A15" w14:textId="53312265" w:rsidR="000C2CF9" w:rsidRDefault="000C2CF9" w:rsidP="00952E3E">
      <w:pPr>
        <w:pStyle w:val="ParaNoG"/>
        <w:numPr>
          <w:ilvl w:val="0"/>
          <w:numId w:val="0"/>
        </w:numPr>
        <w:tabs>
          <w:tab w:val="left" w:pos="0"/>
        </w:tabs>
        <w:ind w:left="1134"/>
      </w:pPr>
      <w:r>
        <w:rPr>
          <w:bCs/>
          <w:iCs/>
        </w:rPr>
        <w:t>27</w:t>
      </w:r>
      <w:r w:rsidR="00C43F74" w:rsidRPr="00974C0B">
        <w:rPr>
          <w:bCs/>
          <w:iCs/>
        </w:rPr>
        <w:t>.</w:t>
      </w:r>
      <w:r w:rsidR="00C43F74" w:rsidRPr="00974C0B">
        <w:rPr>
          <w:bCs/>
          <w:iCs/>
        </w:rPr>
        <w:tab/>
      </w:r>
      <w:r w:rsidR="00542470">
        <w:t>T</w:t>
      </w:r>
      <w:r w:rsidR="00C43F74" w:rsidRPr="00974C0B">
        <w:rPr>
          <w:bCs/>
          <w:iCs/>
        </w:rPr>
        <w:t xml:space="preserve">he update </w:t>
      </w:r>
      <w:proofErr w:type="gramStart"/>
      <w:r w:rsidR="00C43F74" w:rsidRPr="00974C0B">
        <w:rPr>
          <w:bCs/>
          <w:iCs/>
        </w:rPr>
        <w:t xml:space="preserve">to the 2012 analytical outcome study on the normative standards in international human rights law </w:t>
      </w:r>
      <w:r w:rsidR="00981581">
        <w:rPr>
          <w:bCs/>
          <w:iCs/>
        </w:rPr>
        <w:t xml:space="preserve">on </w:t>
      </w:r>
      <w:r w:rsidR="00C43F74" w:rsidRPr="00974C0B">
        <w:rPr>
          <w:bCs/>
          <w:iCs/>
        </w:rPr>
        <w:t>older persons (“</w:t>
      </w:r>
      <w:r w:rsidR="00C43F74" w:rsidRPr="00C43F74">
        <w:rPr>
          <w:b/>
          <w:iCs/>
        </w:rPr>
        <w:t>2021 updated study</w:t>
      </w:r>
      <w:r w:rsidR="00C43F74" w:rsidRPr="00974C0B">
        <w:rPr>
          <w:bCs/>
          <w:iCs/>
        </w:rPr>
        <w:t>”)</w:t>
      </w:r>
      <w:proofErr w:type="gramEnd"/>
      <w:r w:rsidR="00C43F74" w:rsidRPr="00974C0B">
        <w:rPr>
          <w:bCs/>
          <w:iCs/>
        </w:rPr>
        <w:t xml:space="preserve"> </w:t>
      </w:r>
      <w:r w:rsidR="00C43F74" w:rsidRPr="00974C0B">
        <w:t>propose</w:t>
      </w:r>
      <w:r w:rsidR="00542470">
        <w:t xml:space="preserve">s to </w:t>
      </w:r>
      <w:r w:rsidR="00981581">
        <w:t>elaborat</w:t>
      </w:r>
      <w:r w:rsidR="00542470">
        <w:t>e</w:t>
      </w:r>
      <w:r w:rsidR="00981581">
        <w:t xml:space="preserve"> </w:t>
      </w:r>
      <w:r w:rsidR="00C43F74" w:rsidRPr="00974C0B">
        <w:t>a dedicated new binding instrument</w:t>
      </w:r>
      <w:r w:rsidR="00542470">
        <w:t xml:space="preserve">. This would significantly improve </w:t>
      </w:r>
      <w:r w:rsidR="00C43F74" w:rsidRPr="00974C0B">
        <w:t xml:space="preserve">the protection of </w:t>
      </w:r>
      <w:r w:rsidR="00B63193" w:rsidRPr="00974C0B">
        <w:t>older persons</w:t>
      </w:r>
      <w:r w:rsidR="00B63193">
        <w:t>’</w:t>
      </w:r>
      <w:r w:rsidR="00B63193" w:rsidRPr="00974C0B">
        <w:t xml:space="preserve"> </w:t>
      </w:r>
      <w:r w:rsidR="00C43F74" w:rsidRPr="00974C0B">
        <w:t>human rights at the international and national levels</w:t>
      </w:r>
      <w:r w:rsidR="00C43F74" w:rsidRPr="00974C0B">
        <w:rPr>
          <w:bCs/>
          <w:iCs/>
        </w:rPr>
        <w:t>.</w:t>
      </w:r>
      <w:r w:rsidR="00C43F74" w:rsidRPr="00974C0B">
        <w:rPr>
          <w:rStyle w:val="EndnoteReference"/>
        </w:rPr>
        <w:endnoteReference w:id="34"/>
      </w:r>
      <w:r w:rsidR="00C43F74" w:rsidRPr="00974C0B">
        <w:rPr>
          <w:rStyle w:val="EndnoteReference"/>
        </w:rPr>
        <w:t xml:space="preserve"> </w:t>
      </w:r>
    </w:p>
    <w:p w14:paraId="3B9D3D4C" w14:textId="3FF088C5" w:rsidR="000C2CF9" w:rsidRDefault="000C2CF9">
      <w:pPr>
        <w:spacing w:after="200" w:line="276" w:lineRule="auto"/>
      </w:pPr>
    </w:p>
    <w:p w14:paraId="2EEDA24A" w14:textId="5DC3DD30" w:rsidR="00C43F74" w:rsidRPr="00974C0B" w:rsidRDefault="00C43F74" w:rsidP="000C2CF9">
      <w:pPr>
        <w:pStyle w:val="HChG"/>
        <w:ind w:left="426" w:hanging="426"/>
      </w:pPr>
      <w:bookmarkStart w:id="8" w:name="V"/>
      <w:r w:rsidRPr="00974C0B">
        <w:t>V.</w:t>
      </w:r>
      <w:r w:rsidR="000C2CF9">
        <w:t xml:space="preserve"> </w:t>
      </w:r>
      <w:r w:rsidRPr="00974C0B">
        <w:tab/>
      </w:r>
      <w:r w:rsidR="008B171C">
        <w:t xml:space="preserve">How effective are </w:t>
      </w:r>
      <w:r w:rsidRPr="00974C0B">
        <w:t>existing international human rights instruments</w:t>
      </w:r>
      <w:r w:rsidR="008B171C">
        <w:t>?</w:t>
      </w:r>
    </w:p>
    <w:bookmarkEnd w:id="8"/>
    <w:p w14:paraId="6D77B1B1" w14:textId="295A39D8" w:rsidR="00C43F74" w:rsidRPr="00974C0B" w:rsidRDefault="00C43F74" w:rsidP="00952E3E">
      <w:pPr>
        <w:pStyle w:val="H1G"/>
      </w:pPr>
      <w:r w:rsidRPr="00974C0B">
        <w:tab/>
      </w:r>
      <w:bookmarkStart w:id="9" w:name="V_A"/>
      <w:r w:rsidRPr="00974C0B">
        <w:t>A.</w:t>
      </w:r>
      <w:r w:rsidRPr="00974C0B">
        <w:tab/>
        <w:t xml:space="preserve">Nature, </w:t>
      </w:r>
      <w:r w:rsidR="00D5624F" w:rsidRPr="00974C0B">
        <w:t>extent,</w:t>
      </w:r>
      <w:r w:rsidRPr="00974C0B">
        <w:t xml:space="preserve"> and quality of the references to age and older persons</w:t>
      </w:r>
      <w:r w:rsidRPr="00974C0B" w:rsidDel="002A4D43">
        <w:t xml:space="preserve"> </w:t>
      </w:r>
      <w:r w:rsidRPr="00974C0B">
        <w:t>in international human rights instruments</w:t>
      </w:r>
      <w:bookmarkEnd w:id="9"/>
    </w:p>
    <w:p w14:paraId="23E8D813" w14:textId="361A20B8" w:rsidR="00C43F74" w:rsidRPr="00974C0B" w:rsidRDefault="00C43F74" w:rsidP="00952E3E">
      <w:pPr>
        <w:pStyle w:val="ParaNoG"/>
        <w:numPr>
          <w:ilvl w:val="0"/>
          <w:numId w:val="0"/>
        </w:numPr>
        <w:tabs>
          <w:tab w:val="left" w:pos="0"/>
        </w:tabs>
        <w:ind w:left="1134"/>
      </w:pPr>
      <w:r w:rsidRPr="00974C0B">
        <w:t>2</w:t>
      </w:r>
      <w:r w:rsidR="000C2CF9">
        <w:t>8</w:t>
      </w:r>
      <w:r w:rsidRPr="00974C0B">
        <w:t>.</w:t>
      </w:r>
      <w:r w:rsidRPr="00974C0B">
        <w:tab/>
        <w:t>Older persons are entitled to enjoy all human rights</w:t>
      </w:r>
      <w:r w:rsidR="00542470">
        <w:t xml:space="preserve">. They </w:t>
      </w:r>
      <w:r w:rsidRPr="00974C0B">
        <w:t>can</w:t>
      </w:r>
      <w:r w:rsidR="00542470">
        <w:t xml:space="preserve"> therefore</w:t>
      </w:r>
      <w:r w:rsidRPr="00974C0B">
        <w:t xml:space="preserve"> </w:t>
      </w:r>
      <w:r w:rsidR="00981581">
        <w:t>rely upon</w:t>
      </w:r>
      <w:r w:rsidRPr="00974C0B">
        <w:t xml:space="preserve"> the general guarantees in human rights treaties.</w:t>
      </w:r>
      <w:r w:rsidRPr="00974C0B">
        <w:rPr>
          <w:rStyle w:val="EndnoteReference"/>
        </w:rPr>
        <w:endnoteReference w:id="35"/>
      </w:r>
      <w:r w:rsidRPr="00974C0B">
        <w:rPr>
          <w:rStyle w:val="EndnoteReference"/>
        </w:rPr>
        <w:t xml:space="preserve"> </w:t>
      </w:r>
      <w:proofErr w:type="gramStart"/>
      <w:r w:rsidR="00BB6058">
        <w:t>Also</w:t>
      </w:r>
      <w:proofErr w:type="gramEnd"/>
      <w:r w:rsidRPr="00974C0B">
        <w:t xml:space="preserve">, some treaties </w:t>
      </w:r>
      <w:r w:rsidR="00542470">
        <w:t xml:space="preserve">contain an </w:t>
      </w:r>
      <w:r w:rsidRPr="00974C0B">
        <w:t xml:space="preserve">explicit guarantee </w:t>
      </w:r>
      <w:r w:rsidR="00542470">
        <w:t xml:space="preserve">of the </w:t>
      </w:r>
      <w:r w:rsidR="00D5624F" w:rsidRPr="00974C0B">
        <w:t>rights</w:t>
      </w:r>
      <w:r w:rsidRPr="00974C0B">
        <w:t xml:space="preserve"> to older persons, </w:t>
      </w:r>
      <w:r w:rsidR="00D5624F">
        <w:t>e.g.,</w:t>
      </w:r>
      <w:r w:rsidRPr="00974C0B">
        <w:t xml:space="preserve"> the right to social security in older age. </w:t>
      </w:r>
      <w:proofErr w:type="gramStart"/>
      <w:r w:rsidRPr="00974C0B">
        <w:t xml:space="preserve">At the regional level, </w:t>
      </w:r>
      <w:r w:rsidR="00554AD3">
        <w:t>adopting</w:t>
      </w:r>
      <w:r w:rsidRPr="00974C0B">
        <w:t xml:space="preserve"> the Inter-American Convention on Protecting the Human Rights of Older Persons</w:t>
      </w:r>
      <w:r w:rsidR="00981581" w:rsidRPr="00981581">
        <w:t xml:space="preserve"> </w:t>
      </w:r>
      <w:r w:rsidR="00981581" w:rsidRPr="00974C0B">
        <w:t>in 2015</w:t>
      </w:r>
      <w:r w:rsidRPr="00974C0B">
        <w:t>, and the Protocol to the African Charter on Human and Peoples’ Rights on the Rights of Older Persons in Africa</w:t>
      </w:r>
      <w:r w:rsidR="00981581" w:rsidRPr="00981581">
        <w:t xml:space="preserve"> </w:t>
      </w:r>
      <w:r w:rsidR="00981581" w:rsidRPr="00974C0B">
        <w:t>in 2017</w:t>
      </w:r>
      <w:r w:rsidRPr="00974C0B">
        <w:t xml:space="preserve">, </w:t>
      </w:r>
      <w:r w:rsidR="008C3A07">
        <w:t xml:space="preserve">is </w:t>
      </w:r>
      <w:r w:rsidRPr="00974C0B">
        <w:t xml:space="preserve">a significant development, </w:t>
      </w:r>
      <w:r w:rsidR="008B171C">
        <w:t xml:space="preserve">despite </w:t>
      </w:r>
      <w:r w:rsidR="00591EF4">
        <w:t>only apply</w:t>
      </w:r>
      <w:r w:rsidR="008B171C">
        <w:t>ing</w:t>
      </w:r>
      <w:r w:rsidR="00591EF4">
        <w:t xml:space="preserve"> </w:t>
      </w:r>
      <w:r w:rsidRPr="00974C0B">
        <w:t xml:space="preserve">to the States within those </w:t>
      </w:r>
      <w:r w:rsidRPr="008C3A07">
        <w:t>two regions</w:t>
      </w:r>
      <w:r w:rsidR="008F2D6C">
        <w:t xml:space="preserve"> and</w:t>
      </w:r>
      <w:r w:rsidRPr="008C3A07">
        <w:t xml:space="preserve"> </w:t>
      </w:r>
      <w:r w:rsidR="000E6C9F">
        <w:t xml:space="preserve">the States </w:t>
      </w:r>
      <w:r w:rsidRPr="008C3A07">
        <w:t xml:space="preserve">that have </w:t>
      </w:r>
      <w:r w:rsidR="008F2D6C">
        <w:t>ratified</w:t>
      </w:r>
      <w:r w:rsidRPr="008C3A07">
        <w:t xml:space="preserve"> the relevant treaty.</w:t>
      </w:r>
      <w:proofErr w:type="gramEnd"/>
    </w:p>
    <w:p w14:paraId="36B625A6" w14:textId="29156A09" w:rsidR="00C43F74" w:rsidRPr="00974C0B" w:rsidRDefault="00C43F74" w:rsidP="00952E3E">
      <w:pPr>
        <w:pStyle w:val="ParaNoG"/>
        <w:numPr>
          <w:ilvl w:val="0"/>
          <w:numId w:val="0"/>
        </w:numPr>
        <w:tabs>
          <w:tab w:val="left" w:pos="0"/>
        </w:tabs>
        <w:ind w:left="1134"/>
        <w:rPr>
          <w:szCs w:val="24"/>
        </w:rPr>
      </w:pPr>
      <w:r w:rsidRPr="00974C0B">
        <w:rPr>
          <w:szCs w:val="24"/>
        </w:rPr>
        <w:t>2</w:t>
      </w:r>
      <w:r w:rsidR="000C2CF9">
        <w:rPr>
          <w:szCs w:val="24"/>
        </w:rPr>
        <w:t>9</w:t>
      </w:r>
      <w:r w:rsidRPr="00974C0B">
        <w:rPr>
          <w:szCs w:val="24"/>
        </w:rPr>
        <w:t>.</w:t>
      </w:r>
      <w:r w:rsidRPr="00974C0B">
        <w:rPr>
          <w:szCs w:val="24"/>
        </w:rPr>
        <w:tab/>
      </w:r>
      <w:r w:rsidR="00981581">
        <w:rPr>
          <w:szCs w:val="24"/>
        </w:rPr>
        <w:t>However</w:t>
      </w:r>
      <w:r w:rsidRPr="00974C0B">
        <w:t xml:space="preserve">, older persons </w:t>
      </w:r>
      <w:proofErr w:type="gramStart"/>
      <w:r w:rsidRPr="00974C0B">
        <w:t>are otherwise rarely mentioned</w:t>
      </w:r>
      <w:proofErr w:type="gramEnd"/>
      <w:r w:rsidRPr="00974C0B">
        <w:t xml:space="preserve"> in United Nations human rights treaties, and there is generally no explicit reference to older age </w:t>
      </w:r>
      <w:r w:rsidR="00591EF4">
        <w:t xml:space="preserve">being a form </w:t>
      </w:r>
      <w:r w:rsidRPr="00974C0B">
        <w:t>of discrimination.</w:t>
      </w:r>
      <w:r w:rsidRPr="00974C0B">
        <w:rPr>
          <w:rStyle w:val="EndnoteReference"/>
        </w:rPr>
        <w:endnoteReference w:id="36"/>
      </w:r>
      <w:r w:rsidRPr="00974C0B">
        <w:rPr>
          <w:rStyle w:val="EndnoteReference"/>
        </w:rPr>
        <w:t xml:space="preserve"> </w:t>
      </w:r>
      <w:r w:rsidRPr="00974C0B">
        <w:t>The standard list of prohibited grounds of discrimination in United Nations human rights instruments does not explicitly include age</w:t>
      </w:r>
      <w:r w:rsidR="00981581">
        <w:t>. For example,</w:t>
      </w:r>
      <w:r w:rsidRPr="00974C0B">
        <w:t xml:space="preserve"> article 2 of the Universal Declaration of Human Rights guarantees to everyone the rights set out in the Declaration without distinction of any kind “</w:t>
      </w:r>
      <w:r w:rsidRPr="008B171C">
        <w:rPr>
          <w:i/>
          <w:iCs/>
        </w:rPr>
        <w:t>such as race, colour, sex, language, religion, political or other opinion, national or social origin, property, birth or other status</w:t>
      </w:r>
      <w:r w:rsidRPr="00974C0B">
        <w:t xml:space="preserve">”. Similar </w:t>
      </w:r>
      <w:r w:rsidRPr="00974C0B">
        <w:lastRenderedPageBreak/>
        <w:t xml:space="preserve">language appears in the International Covenant on Economic, Social and Cultural Rights and the International Covenant on Civil and Political Rights, and in subsequent </w:t>
      </w:r>
      <w:r w:rsidR="00D13171">
        <w:t>area-specific</w:t>
      </w:r>
      <w:r w:rsidRPr="00974C0B">
        <w:t xml:space="preserve"> treaties.</w:t>
      </w:r>
    </w:p>
    <w:p w14:paraId="04CF157E" w14:textId="3800C89F" w:rsidR="00C43F74" w:rsidRPr="00974C0B" w:rsidRDefault="000C2CF9" w:rsidP="00952E3E">
      <w:pPr>
        <w:pStyle w:val="ParaNoG"/>
        <w:numPr>
          <w:ilvl w:val="0"/>
          <w:numId w:val="0"/>
        </w:numPr>
        <w:tabs>
          <w:tab w:val="left" w:pos="0"/>
        </w:tabs>
        <w:ind w:left="1134"/>
      </w:pPr>
      <w:r>
        <w:t>30</w:t>
      </w:r>
      <w:r w:rsidR="00C43F74" w:rsidRPr="00974C0B">
        <w:t>.</w:t>
      </w:r>
      <w:r w:rsidR="00C43F74" w:rsidRPr="00974C0B">
        <w:tab/>
        <w:t xml:space="preserve">Discrimination </w:t>
      </w:r>
      <w:r w:rsidR="00A97C53">
        <w:t xml:space="preserve">based </w:t>
      </w:r>
      <w:r w:rsidR="00C43F74" w:rsidRPr="00974C0B">
        <w:t xml:space="preserve">on age </w:t>
      </w:r>
      <w:r w:rsidR="00591EF4">
        <w:t xml:space="preserve">seems to fall </w:t>
      </w:r>
      <w:r w:rsidR="00C43F74" w:rsidRPr="00974C0B">
        <w:t xml:space="preserve">within discrimination </w:t>
      </w:r>
      <w:r w:rsidR="00A97C53">
        <w:t xml:space="preserve">based </w:t>
      </w:r>
      <w:r w:rsidR="00C43F74" w:rsidRPr="00974C0B">
        <w:t xml:space="preserve">on “other status”. </w:t>
      </w:r>
      <w:r w:rsidR="00591EF4">
        <w:t>Despite that,</w:t>
      </w:r>
      <w:r w:rsidR="00C43F74" w:rsidRPr="00974C0B">
        <w:t xml:space="preserve"> </w:t>
      </w:r>
      <w:r w:rsidR="008B171C">
        <w:t xml:space="preserve">there is </w:t>
      </w:r>
      <w:r w:rsidR="00C43F74" w:rsidRPr="00974C0B">
        <w:t>little case law or other practice under the United Nations human rights framework on</w:t>
      </w:r>
      <w:r w:rsidR="008B171C">
        <w:t>: (a)</w:t>
      </w:r>
      <w:r w:rsidR="00C43F74" w:rsidRPr="00974C0B">
        <w:t xml:space="preserve"> the ageing process or the social and legal construction </w:t>
      </w:r>
      <w:proofErr w:type="gramStart"/>
      <w:r w:rsidR="00C43F74" w:rsidRPr="00974C0B">
        <w:t>of “older age”</w:t>
      </w:r>
      <w:r w:rsidR="008B171C">
        <w:t>,</w:t>
      </w:r>
      <w:r w:rsidR="00C43F74" w:rsidRPr="00974C0B">
        <w:t xml:space="preserve"> and </w:t>
      </w:r>
      <w:r w:rsidR="008B171C">
        <w:t xml:space="preserve">(b) </w:t>
      </w:r>
      <w:r w:rsidR="00C43F74" w:rsidRPr="00974C0B">
        <w:t>on the implications of these for the concept of equality and non-discrimination</w:t>
      </w:r>
      <w:proofErr w:type="gramEnd"/>
      <w:r w:rsidR="00C43F74" w:rsidRPr="00974C0B">
        <w:t xml:space="preserve"> on the ground of (older) age. </w:t>
      </w:r>
      <w:r w:rsidR="009A384B">
        <w:t>There is also no s</w:t>
      </w:r>
      <w:r w:rsidR="00C43F74" w:rsidRPr="00974C0B">
        <w:t>ubstantial consideration of the special features of age discrimination that require a tailored definition of discrimination (</w:t>
      </w:r>
      <w:r w:rsidR="008B171C">
        <w:t xml:space="preserve">an example of a tailored definition would be </w:t>
      </w:r>
      <w:r w:rsidR="00C43F74" w:rsidRPr="00974C0B">
        <w:t xml:space="preserve">the provision in the Convention on the Rights of Persons with Disabilities that a denial of reasonable accommodation </w:t>
      </w:r>
      <w:r w:rsidR="008E28BF" w:rsidRPr="00974C0B">
        <w:t>constitutes</w:t>
      </w:r>
      <w:r w:rsidR="00C43F74" w:rsidRPr="00974C0B">
        <w:t xml:space="preserve"> a form of discrimination </w:t>
      </w:r>
      <w:r w:rsidR="00A97C53">
        <w:t xml:space="preserve">based </w:t>
      </w:r>
      <w:r w:rsidR="00C43F74" w:rsidRPr="00974C0B">
        <w:t xml:space="preserve">on disability). </w:t>
      </w:r>
    </w:p>
    <w:p w14:paraId="7AB83BD7" w14:textId="4FE4E86F" w:rsidR="00ED6816" w:rsidRDefault="000C2CF9" w:rsidP="00952E3E">
      <w:pPr>
        <w:pStyle w:val="ParaNoG"/>
        <w:numPr>
          <w:ilvl w:val="0"/>
          <w:numId w:val="0"/>
        </w:numPr>
        <w:tabs>
          <w:tab w:val="left" w:pos="0"/>
        </w:tabs>
        <w:ind w:left="1134"/>
        <w:rPr>
          <w:szCs w:val="24"/>
        </w:rPr>
      </w:pPr>
      <w:r>
        <w:rPr>
          <w:rStyle w:val="EndnoteReference"/>
          <w:sz w:val="20"/>
          <w:vertAlign w:val="baseline"/>
        </w:rPr>
        <w:t>31</w:t>
      </w:r>
      <w:r w:rsidR="00C43F74" w:rsidRPr="00974C0B">
        <w:rPr>
          <w:rStyle w:val="EndnoteReference"/>
          <w:sz w:val="20"/>
          <w:vertAlign w:val="baseline"/>
        </w:rPr>
        <w:t>.</w:t>
      </w:r>
      <w:r w:rsidR="00C43F74" w:rsidRPr="00974C0B">
        <w:rPr>
          <w:rStyle w:val="EndnoteReference"/>
          <w:sz w:val="20"/>
          <w:vertAlign w:val="baseline"/>
        </w:rPr>
        <w:tab/>
      </w:r>
      <w:r w:rsidR="00C43F74" w:rsidRPr="00974C0B">
        <w:t xml:space="preserve">The Committee on Economic, Social and Cultural Rights, considering whether </w:t>
      </w:r>
      <w:r w:rsidR="00C43F74" w:rsidRPr="00974C0B">
        <w:rPr>
          <w:szCs w:val="24"/>
        </w:rPr>
        <w:t xml:space="preserve">age was a prohibited ground of discrimination under article 2 (2) of the International Covenant on Economic, Social and Cultural Rights despite the lack of an explicit reference to age, commented </w:t>
      </w:r>
    </w:p>
    <w:p w14:paraId="1778417E" w14:textId="553F5BF9" w:rsidR="00C43F74" w:rsidRPr="00974C0B" w:rsidRDefault="00C43F74" w:rsidP="00E9562A">
      <w:pPr>
        <w:pStyle w:val="ParaNoG"/>
        <w:numPr>
          <w:ilvl w:val="0"/>
          <w:numId w:val="0"/>
        </w:numPr>
        <w:tabs>
          <w:tab w:val="left" w:pos="0"/>
        </w:tabs>
        <w:ind w:left="1560"/>
        <w:rPr>
          <w:rStyle w:val="EndnoteReference"/>
        </w:rPr>
      </w:pPr>
      <w:r w:rsidRPr="00974C0B">
        <w:rPr>
          <w:szCs w:val="24"/>
        </w:rPr>
        <w:t>“</w:t>
      </w:r>
      <w:r w:rsidRPr="00ED6816">
        <w:rPr>
          <w:i/>
          <w:iCs/>
          <w:szCs w:val="24"/>
        </w:rPr>
        <w:t>Rather than being seen as an intentional exclusion, this omission is probably best explained by the fact that, when these instruments were adopted, the problem of demographic ageing was not as evident or as pressing as it is now</w:t>
      </w:r>
      <w:r w:rsidRPr="00974C0B">
        <w:rPr>
          <w:szCs w:val="24"/>
        </w:rPr>
        <w:t>.”</w:t>
      </w:r>
      <w:r w:rsidRPr="00974C0B">
        <w:rPr>
          <w:rStyle w:val="EndnoteReference"/>
        </w:rPr>
        <w:endnoteReference w:id="37"/>
      </w:r>
    </w:p>
    <w:p w14:paraId="7B753385" w14:textId="4DEB7412" w:rsidR="00C43F74" w:rsidRPr="00974C0B" w:rsidRDefault="000C2CF9" w:rsidP="00952E3E">
      <w:pPr>
        <w:pStyle w:val="ParaNoG"/>
        <w:numPr>
          <w:ilvl w:val="0"/>
          <w:numId w:val="0"/>
        </w:numPr>
        <w:tabs>
          <w:tab w:val="left" w:pos="0"/>
        </w:tabs>
        <w:ind w:left="1134"/>
        <w:rPr>
          <w:szCs w:val="24"/>
        </w:rPr>
      </w:pPr>
      <w:r>
        <w:rPr>
          <w:szCs w:val="24"/>
        </w:rPr>
        <w:t>32</w:t>
      </w:r>
      <w:r w:rsidR="00C43F74" w:rsidRPr="00974C0B">
        <w:rPr>
          <w:szCs w:val="24"/>
        </w:rPr>
        <w:t>.</w:t>
      </w:r>
      <w:r w:rsidR="00C43F74" w:rsidRPr="00974C0B">
        <w:rPr>
          <w:szCs w:val="24"/>
        </w:rPr>
        <w:tab/>
        <w:t>Yet, ageism is not a new phenomenon</w:t>
      </w:r>
      <w:r w:rsidR="000519A7">
        <w:rPr>
          <w:szCs w:val="24"/>
        </w:rPr>
        <w:t>.</w:t>
      </w:r>
      <w:r w:rsidR="00C43F74" w:rsidRPr="00974C0B">
        <w:rPr>
          <w:szCs w:val="24"/>
        </w:rPr>
        <w:t xml:space="preserve"> </w:t>
      </w:r>
      <w:r w:rsidR="000519A7">
        <w:rPr>
          <w:szCs w:val="24"/>
        </w:rPr>
        <w:t>T</w:t>
      </w:r>
      <w:r w:rsidR="00C43F74" w:rsidRPr="00974C0B">
        <w:rPr>
          <w:szCs w:val="24"/>
        </w:rPr>
        <w:t xml:space="preserve">he term </w:t>
      </w:r>
      <w:proofErr w:type="gramStart"/>
      <w:r w:rsidR="00C43F74" w:rsidRPr="00974C0B">
        <w:rPr>
          <w:szCs w:val="24"/>
        </w:rPr>
        <w:t xml:space="preserve">was </w:t>
      </w:r>
      <w:r w:rsidR="000519A7">
        <w:rPr>
          <w:szCs w:val="24"/>
        </w:rPr>
        <w:t>first used</w:t>
      </w:r>
      <w:proofErr w:type="gramEnd"/>
      <w:r w:rsidR="000519A7">
        <w:rPr>
          <w:szCs w:val="24"/>
        </w:rPr>
        <w:t xml:space="preserve"> </w:t>
      </w:r>
      <w:r w:rsidR="00C96B69">
        <w:rPr>
          <w:szCs w:val="24"/>
        </w:rPr>
        <w:t xml:space="preserve">when </w:t>
      </w:r>
      <w:r w:rsidR="00C43F74" w:rsidRPr="00974C0B">
        <w:rPr>
          <w:szCs w:val="24"/>
        </w:rPr>
        <w:t>the International Covenants on Human Rights were adopted</w:t>
      </w:r>
      <w:r w:rsidR="00E97E5C">
        <w:rPr>
          <w:szCs w:val="24"/>
        </w:rPr>
        <w:t>,</w:t>
      </w:r>
      <w:r w:rsidR="00C43F74" w:rsidRPr="00974C0B">
        <w:rPr>
          <w:szCs w:val="24"/>
        </w:rPr>
        <w:t xml:space="preserve"> and the phenomenon existed long before it was explicitly named. </w:t>
      </w:r>
      <w:r w:rsidR="00C96B69">
        <w:rPr>
          <w:szCs w:val="24"/>
        </w:rPr>
        <w:t>T</w:t>
      </w:r>
      <w:r w:rsidR="00C43F74" w:rsidRPr="00974C0B">
        <w:rPr>
          <w:szCs w:val="24"/>
        </w:rPr>
        <w:t xml:space="preserve">he drafters of the International Covenant on Economic, Social and Cultural Rights and other treaties not </w:t>
      </w:r>
      <w:r w:rsidR="00E97E5C">
        <w:rPr>
          <w:szCs w:val="24"/>
        </w:rPr>
        <w:t xml:space="preserve">considering </w:t>
      </w:r>
      <w:r w:rsidR="00C43F74" w:rsidRPr="00974C0B">
        <w:rPr>
          <w:szCs w:val="24"/>
        </w:rPr>
        <w:t xml:space="preserve">age or ageism may </w:t>
      </w:r>
      <w:r w:rsidR="00E97E5C">
        <w:rPr>
          <w:szCs w:val="24"/>
        </w:rPr>
        <w:t xml:space="preserve">be why </w:t>
      </w:r>
      <w:r w:rsidR="00C43F74" w:rsidRPr="00974C0B">
        <w:rPr>
          <w:szCs w:val="24"/>
        </w:rPr>
        <w:t>the conceptual framework underpinning the treaty</w:t>
      </w:r>
      <w:r w:rsidR="00E97E5C">
        <w:rPr>
          <w:szCs w:val="24"/>
        </w:rPr>
        <w:t xml:space="preserve"> </w:t>
      </w:r>
      <w:proofErr w:type="gramStart"/>
      <w:r w:rsidR="00E97E5C">
        <w:rPr>
          <w:szCs w:val="24"/>
        </w:rPr>
        <w:t>is shaped</w:t>
      </w:r>
      <w:proofErr w:type="gramEnd"/>
      <w:r w:rsidR="00E97E5C">
        <w:rPr>
          <w:szCs w:val="24"/>
        </w:rPr>
        <w:t xml:space="preserve"> in that way, and which </w:t>
      </w:r>
      <w:r w:rsidR="00C43F74" w:rsidRPr="00974C0B">
        <w:rPr>
          <w:szCs w:val="24"/>
        </w:rPr>
        <w:t xml:space="preserve">rights </w:t>
      </w:r>
      <w:r w:rsidR="00E97E5C">
        <w:rPr>
          <w:szCs w:val="24"/>
        </w:rPr>
        <w:t xml:space="preserve">were </w:t>
      </w:r>
      <w:r w:rsidR="00C43F74" w:rsidRPr="00974C0B">
        <w:rPr>
          <w:szCs w:val="24"/>
        </w:rPr>
        <w:t xml:space="preserve">selected for inclusion in the Covenant and their formulation. </w:t>
      </w:r>
    </w:p>
    <w:p w14:paraId="5A4670B9" w14:textId="27BEAD44" w:rsidR="00C43F74" w:rsidRPr="00974C0B" w:rsidRDefault="000C2CF9" w:rsidP="00952E3E">
      <w:pPr>
        <w:pStyle w:val="ParaNoG"/>
        <w:numPr>
          <w:ilvl w:val="0"/>
          <w:numId w:val="0"/>
        </w:numPr>
        <w:tabs>
          <w:tab w:val="left" w:pos="0"/>
        </w:tabs>
        <w:ind w:left="1134"/>
        <w:rPr>
          <w:szCs w:val="24"/>
        </w:rPr>
      </w:pPr>
      <w:r>
        <w:rPr>
          <w:szCs w:val="24"/>
        </w:rPr>
        <w:t>33</w:t>
      </w:r>
      <w:r w:rsidR="00C43F74" w:rsidRPr="00974C0B">
        <w:rPr>
          <w:szCs w:val="24"/>
        </w:rPr>
        <w:t>.</w:t>
      </w:r>
      <w:r w:rsidR="00C43F74" w:rsidRPr="00974C0B">
        <w:rPr>
          <w:szCs w:val="24"/>
        </w:rPr>
        <w:tab/>
      </w:r>
      <w:r w:rsidR="00C96B69">
        <w:rPr>
          <w:szCs w:val="24"/>
        </w:rPr>
        <w:t xml:space="preserve">One might </w:t>
      </w:r>
      <w:r w:rsidR="00E97E5C">
        <w:rPr>
          <w:szCs w:val="24"/>
        </w:rPr>
        <w:t>think</w:t>
      </w:r>
      <w:r w:rsidR="00C96B69">
        <w:rPr>
          <w:szCs w:val="24"/>
        </w:rPr>
        <w:t xml:space="preserve"> that not including </w:t>
      </w:r>
      <w:r w:rsidR="00C43F74" w:rsidRPr="00974C0B">
        <w:rPr>
          <w:bCs/>
          <w:szCs w:val="24"/>
        </w:rPr>
        <w:t xml:space="preserve">age discrimination </w:t>
      </w:r>
      <w:r w:rsidR="00C96B69">
        <w:rPr>
          <w:bCs/>
          <w:szCs w:val="24"/>
        </w:rPr>
        <w:t xml:space="preserve">in </w:t>
      </w:r>
      <w:r w:rsidR="00C43F74" w:rsidRPr="00974C0B">
        <w:rPr>
          <w:bCs/>
          <w:szCs w:val="24"/>
        </w:rPr>
        <w:t xml:space="preserve">the International Covenant on Economic, Social and Cultural Rights </w:t>
      </w:r>
      <w:r w:rsidR="00C96B69">
        <w:rPr>
          <w:bCs/>
          <w:szCs w:val="24"/>
        </w:rPr>
        <w:t xml:space="preserve">may send the </w:t>
      </w:r>
      <w:r w:rsidR="00C43F74" w:rsidRPr="00974C0B">
        <w:rPr>
          <w:bCs/>
          <w:szCs w:val="24"/>
        </w:rPr>
        <w:t xml:space="preserve">message that it is </w:t>
      </w:r>
      <w:r w:rsidR="00C96B69">
        <w:rPr>
          <w:bCs/>
          <w:szCs w:val="24"/>
        </w:rPr>
        <w:t xml:space="preserve">not as important as </w:t>
      </w:r>
      <w:r w:rsidR="00C43F74" w:rsidRPr="00974C0B">
        <w:rPr>
          <w:bCs/>
          <w:szCs w:val="24"/>
        </w:rPr>
        <w:t xml:space="preserve">the </w:t>
      </w:r>
      <w:r w:rsidR="00C96B69">
        <w:rPr>
          <w:bCs/>
          <w:szCs w:val="24"/>
        </w:rPr>
        <w:t xml:space="preserve">listed </w:t>
      </w:r>
      <w:r w:rsidR="00C43F74" w:rsidRPr="00974C0B">
        <w:rPr>
          <w:bCs/>
          <w:szCs w:val="24"/>
        </w:rPr>
        <w:t>forms of discrimination</w:t>
      </w:r>
      <w:r w:rsidR="00E97E5C">
        <w:rPr>
          <w:bCs/>
          <w:szCs w:val="24"/>
        </w:rPr>
        <w:t>. This may</w:t>
      </w:r>
      <w:r w:rsidR="00C43F74" w:rsidRPr="00974C0B">
        <w:rPr>
          <w:bCs/>
          <w:szCs w:val="24"/>
        </w:rPr>
        <w:t xml:space="preserve"> </w:t>
      </w:r>
      <w:r w:rsidR="00C96B69">
        <w:rPr>
          <w:bCs/>
          <w:szCs w:val="24"/>
        </w:rPr>
        <w:t xml:space="preserve">lead to </w:t>
      </w:r>
      <w:r w:rsidR="00C43F74" w:rsidRPr="00974C0B">
        <w:rPr>
          <w:bCs/>
          <w:szCs w:val="24"/>
        </w:rPr>
        <w:t xml:space="preserve">age discrimination </w:t>
      </w:r>
      <w:r w:rsidR="00C96B69">
        <w:rPr>
          <w:bCs/>
          <w:szCs w:val="24"/>
        </w:rPr>
        <w:t xml:space="preserve">not </w:t>
      </w:r>
      <w:r w:rsidR="00C43F74" w:rsidRPr="00974C0B">
        <w:rPr>
          <w:bCs/>
          <w:szCs w:val="24"/>
        </w:rPr>
        <w:t>receiv</w:t>
      </w:r>
      <w:r w:rsidR="00C96B69">
        <w:rPr>
          <w:bCs/>
          <w:szCs w:val="24"/>
        </w:rPr>
        <w:t>ing</w:t>
      </w:r>
      <w:r w:rsidR="00C43F74" w:rsidRPr="00974C0B">
        <w:rPr>
          <w:bCs/>
          <w:szCs w:val="24"/>
        </w:rPr>
        <w:t xml:space="preserve"> </w:t>
      </w:r>
      <w:r w:rsidR="00C96B69">
        <w:rPr>
          <w:bCs/>
          <w:szCs w:val="24"/>
        </w:rPr>
        <w:t xml:space="preserve">as much </w:t>
      </w:r>
      <w:r w:rsidR="00C43F74" w:rsidRPr="00974C0B">
        <w:rPr>
          <w:bCs/>
          <w:szCs w:val="24"/>
        </w:rPr>
        <w:t xml:space="preserve">scrutiny </w:t>
      </w:r>
      <w:r w:rsidR="00C96B69">
        <w:rPr>
          <w:bCs/>
          <w:szCs w:val="24"/>
        </w:rPr>
        <w:t>as</w:t>
      </w:r>
      <w:r w:rsidR="00C43F74" w:rsidRPr="00974C0B">
        <w:rPr>
          <w:bCs/>
          <w:szCs w:val="24"/>
        </w:rPr>
        <w:t xml:space="preserve"> other forms.</w:t>
      </w:r>
      <w:r w:rsidR="00C43F74" w:rsidRPr="00974C0B">
        <w:rPr>
          <w:rStyle w:val="EndnoteReference"/>
        </w:rPr>
        <w:endnoteReference w:id="38"/>
      </w:r>
      <w:r w:rsidR="00C43F74" w:rsidRPr="00974C0B">
        <w:rPr>
          <w:rStyle w:val="EndnoteReference"/>
        </w:rPr>
        <w:t xml:space="preserve"> </w:t>
      </w:r>
      <w:r w:rsidR="00C43F74" w:rsidRPr="00974C0B">
        <w:rPr>
          <w:bCs/>
        </w:rPr>
        <w:t xml:space="preserve">Indeed, </w:t>
      </w:r>
      <w:proofErr w:type="gramStart"/>
      <w:r w:rsidR="00D5624F" w:rsidRPr="00974C0B">
        <w:rPr>
          <w:bCs/>
        </w:rPr>
        <w:t>international,</w:t>
      </w:r>
      <w:proofErr w:type="gramEnd"/>
      <w:r w:rsidR="00C43F74" w:rsidRPr="00974C0B">
        <w:rPr>
          <w:bCs/>
        </w:rPr>
        <w:t xml:space="preserve"> and national human rights systems have </w:t>
      </w:r>
      <w:r w:rsidR="00563F75">
        <w:rPr>
          <w:bCs/>
        </w:rPr>
        <w:t xml:space="preserve">not </w:t>
      </w:r>
      <w:r w:rsidR="000519A7" w:rsidRPr="00974C0B">
        <w:rPr>
          <w:bCs/>
        </w:rPr>
        <w:t xml:space="preserve">adequately </w:t>
      </w:r>
      <w:r w:rsidR="00C43F74" w:rsidRPr="00974C0B">
        <w:rPr>
          <w:bCs/>
        </w:rPr>
        <w:t>respond</w:t>
      </w:r>
      <w:r w:rsidR="00563F75">
        <w:rPr>
          <w:bCs/>
        </w:rPr>
        <w:t>ed</w:t>
      </w:r>
      <w:r w:rsidR="00C43F74" w:rsidRPr="00974C0B">
        <w:rPr>
          <w:bCs/>
        </w:rPr>
        <w:t xml:space="preserve"> to ageism and age discrimination compared </w:t>
      </w:r>
      <w:r w:rsidR="00563F75">
        <w:rPr>
          <w:bCs/>
        </w:rPr>
        <w:t>to</w:t>
      </w:r>
      <w:r w:rsidR="00C43F74" w:rsidRPr="00974C0B">
        <w:rPr>
          <w:bCs/>
        </w:rPr>
        <w:t xml:space="preserve"> their response to racism, sexism, ableism, and </w:t>
      </w:r>
      <w:r w:rsidR="00554AD3">
        <w:rPr>
          <w:bCs/>
        </w:rPr>
        <w:t xml:space="preserve">children’s </w:t>
      </w:r>
      <w:r w:rsidR="00C43F74" w:rsidRPr="00974C0B">
        <w:rPr>
          <w:bCs/>
        </w:rPr>
        <w:t>rights, where specific treaty provisions exist.</w:t>
      </w:r>
      <w:r w:rsidR="00C43F74" w:rsidRPr="00974C0B">
        <w:rPr>
          <w:b/>
        </w:rPr>
        <w:t xml:space="preserve"> </w:t>
      </w:r>
    </w:p>
    <w:p w14:paraId="5B5F4957" w14:textId="4B9524D8" w:rsidR="00C43F74" w:rsidRPr="00974C0B" w:rsidRDefault="00D5624F" w:rsidP="00952E3E">
      <w:pPr>
        <w:pStyle w:val="ParaNoG"/>
        <w:numPr>
          <w:ilvl w:val="0"/>
          <w:numId w:val="0"/>
        </w:numPr>
        <w:tabs>
          <w:tab w:val="left" w:pos="0"/>
        </w:tabs>
        <w:ind w:left="1134"/>
        <w:rPr>
          <w:b/>
        </w:rPr>
      </w:pPr>
      <w:r>
        <w:t>34</w:t>
      </w:r>
      <w:r w:rsidRPr="00974C0B">
        <w:t>.</w:t>
      </w:r>
      <w:r w:rsidR="002926B5">
        <w:t xml:space="preserve"> </w:t>
      </w:r>
      <w:r w:rsidR="002926B5">
        <w:tab/>
        <w:t>In particular</w:t>
      </w:r>
      <w:r w:rsidRPr="00974C0B">
        <w:t>, not</w:t>
      </w:r>
      <w:r w:rsidR="000519A7">
        <w:t xml:space="preserve"> having </w:t>
      </w:r>
      <w:r w:rsidR="00C43F74" w:rsidRPr="00974C0B">
        <w:t>a</w:t>
      </w:r>
      <w:r w:rsidR="00C96B69">
        <w:t xml:space="preserve"> </w:t>
      </w:r>
      <w:r w:rsidR="00C43F74" w:rsidRPr="00974C0B">
        <w:t xml:space="preserve">rigorous international framework </w:t>
      </w:r>
      <w:proofErr w:type="gramStart"/>
      <w:r w:rsidR="00C96B69">
        <w:t>can be seen</w:t>
      </w:r>
      <w:proofErr w:type="gramEnd"/>
      <w:r w:rsidR="00C96B69">
        <w:t xml:space="preserve"> at </w:t>
      </w:r>
      <w:r w:rsidR="00C43F74" w:rsidRPr="00974C0B">
        <w:t>the national level, where age discrimination and ageist attitudes are a widespread and ingrained part of most societies</w:t>
      </w:r>
      <w:r w:rsidR="00E97E5C">
        <w:t xml:space="preserve">. </w:t>
      </w:r>
      <w:proofErr w:type="gramStart"/>
      <w:r w:rsidR="00E97E5C">
        <w:t>Also</w:t>
      </w:r>
      <w:proofErr w:type="gramEnd"/>
      <w:r w:rsidR="00C43F74" w:rsidRPr="00974C0B">
        <w:t>, existing practices are often assumed to be “objective and reasonable” and thus</w:t>
      </w:r>
      <w:r w:rsidR="000519A7">
        <w:t>,</w:t>
      </w:r>
      <w:r w:rsidR="00C43F74" w:rsidRPr="00974C0B">
        <w:t xml:space="preserve"> not impermissible differential treatment, </w:t>
      </w:r>
      <w:r w:rsidR="008B171C">
        <w:t xml:space="preserve">despite embodying </w:t>
      </w:r>
      <w:r w:rsidR="00C43F74" w:rsidRPr="00974C0B">
        <w:t>ageist assumptions.</w:t>
      </w:r>
      <w:r w:rsidR="00C43F74" w:rsidRPr="00974C0B">
        <w:rPr>
          <w:rStyle w:val="EndnoteReference"/>
        </w:rPr>
        <w:endnoteReference w:id="39"/>
      </w:r>
      <w:r w:rsidR="00C43F74" w:rsidRPr="00974C0B">
        <w:rPr>
          <w:rStyle w:val="EndnoteReference"/>
        </w:rPr>
        <w:t xml:space="preserve"> </w:t>
      </w:r>
      <w:r w:rsidR="00C43F74" w:rsidRPr="00974C0B">
        <w:rPr>
          <w:szCs w:val="24"/>
        </w:rPr>
        <w:t xml:space="preserve">When a treaty obliges a </w:t>
      </w:r>
      <w:r w:rsidRPr="00974C0B">
        <w:rPr>
          <w:szCs w:val="24"/>
        </w:rPr>
        <w:t>state</w:t>
      </w:r>
      <w:r w:rsidR="00C43F74" w:rsidRPr="00974C0B">
        <w:rPr>
          <w:szCs w:val="24"/>
        </w:rPr>
        <w:t xml:space="preserve"> party to prohibit discrimination on specific grounds, discrimination on those grounds is more likely to be explicitly included in national laws and to </w:t>
      </w:r>
      <w:proofErr w:type="gramStart"/>
      <w:r w:rsidR="00C43F74" w:rsidRPr="00974C0B">
        <w:rPr>
          <w:szCs w:val="24"/>
        </w:rPr>
        <w:t>be implemented</w:t>
      </w:r>
      <w:proofErr w:type="gramEnd"/>
      <w:r w:rsidR="00C43F74" w:rsidRPr="00974C0B">
        <w:rPr>
          <w:szCs w:val="24"/>
        </w:rPr>
        <w:t xml:space="preserve"> in practice</w:t>
      </w:r>
      <w:r w:rsidR="00DE4C04">
        <w:rPr>
          <w:szCs w:val="24"/>
        </w:rPr>
        <w:t>. Conversely,</w:t>
      </w:r>
      <w:r w:rsidR="00C43F74" w:rsidRPr="00974C0B">
        <w:rPr>
          <w:szCs w:val="24"/>
        </w:rPr>
        <w:t xml:space="preserve"> an unlisted ground </w:t>
      </w:r>
      <w:proofErr w:type="gramStart"/>
      <w:r w:rsidR="00C43F74" w:rsidRPr="00974C0B">
        <w:rPr>
          <w:szCs w:val="24"/>
        </w:rPr>
        <w:t>may be overlooked and given lesser priority</w:t>
      </w:r>
      <w:proofErr w:type="gramEnd"/>
      <w:r w:rsidR="00C43F74" w:rsidRPr="00974C0B">
        <w:rPr>
          <w:szCs w:val="24"/>
        </w:rPr>
        <w:t xml:space="preserve">. </w:t>
      </w:r>
    </w:p>
    <w:p w14:paraId="718D6A2A" w14:textId="0D65D641" w:rsidR="00C43F74" w:rsidRPr="00974C0B" w:rsidRDefault="000C2CF9" w:rsidP="00952E3E">
      <w:pPr>
        <w:pStyle w:val="ParaNoG"/>
        <w:numPr>
          <w:ilvl w:val="0"/>
          <w:numId w:val="0"/>
        </w:numPr>
        <w:tabs>
          <w:tab w:val="left" w:pos="0"/>
        </w:tabs>
        <w:ind w:left="1134"/>
        <w:rPr>
          <w:rStyle w:val="EndnoteReference"/>
        </w:rPr>
      </w:pPr>
      <w:r>
        <w:rPr>
          <w:rStyle w:val="EndnoteReference"/>
          <w:sz w:val="20"/>
          <w:vertAlign w:val="baseline"/>
        </w:rPr>
        <w:t>35</w:t>
      </w:r>
      <w:r w:rsidR="00C43F74" w:rsidRPr="00974C0B">
        <w:rPr>
          <w:rStyle w:val="EndnoteReference"/>
          <w:sz w:val="20"/>
          <w:vertAlign w:val="baseline"/>
        </w:rPr>
        <w:t>.</w:t>
      </w:r>
      <w:r w:rsidR="00C43F74" w:rsidRPr="00974C0B">
        <w:rPr>
          <w:rStyle w:val="EndnoteReference"/>
          <w:sz w:val="20"/>
          <w:vertAlign w:val="baseline"/>
        </w:rPr>
        <w:tab/>
      </w:r>
      <w:r w:rsidR="00C43F74" w:rsidRPr="00974C0B">
        <w:t xml:space="preserve">The issue of intersectional or multiple discrimination </w:t>
      </w:r>
      <w:r w:rsidR="00A97C53">
        <w:t xml:space="preserve">based </w:t>
      </w:r>
      <w:r w:rsidR="00C43F74" w:rsidRPr="00974C0B">
        <w:t xml:space="preserve">on older age and other statuses is also important. </w:t>
      </w:r>
      <w:r w:rsidR="00C43F74" w:rsidRPr="00974C0B">
        <w:rPr>
          <w:bCs/>
        </w:rPr>
        <w:t xml:space="preserve">United Nations treaty bodies have referred to many grounds of possible </w:t>
      </w:r>
      <w:r w:rsidR="00C43F74" w:rsidRPr="00357C61">
        <w:rPr>
          <w:bCs/>
        </w:rPr>
        <w:t>intersectional discrimination in</w:t>
      </w:r>
      <w:r w:rsidR="00C43F74" w:rsidRPr="00974C0B">
        <w:rPr>
          <w:bCs/>
        </w:rPr>
        <w:t xml:space="preserve"> their general comments and concluding observations. Yet,</w:t>
      </w:r>
      <w:r w:rsidR="00C43F74" w:rsidRPr="00974C0B">
        <w:rPr>
          <w:b/>
        </w:rPr>
        <w:t xml:space="preserve"> </w:t>
      </w:r>
      <w:r w:rsidR="00C43F74" w:rsidRPr="00974C0B">
        <w:t xml:space="preserve">the human rights treaty body case law </w:t>
      </w:r>
      <w:r w:rsidR="000519A7">
        <w:t xml:space="preserve">does not discuss </w:t>
      </w:r>
      <w:r w:rsidR="00C43F74" w:rsidRPr="00974C0B">
        <w:t xml:space="preserve">a coherent and experience-based conceptual framework on </w:t>
      </w:r>
      <w:r w:rsidR="00C96B69" w:rsidRPr="00974C0B">
        <w:t>older persons</w:t>
      </w:r>
      <w:r w:rsidR="00C96B69">
        <w:t>’</w:t>
      </w:r>
      <w:r w:rsidR="00C96B69" w:rsidRPr="00974C0B">
        <w:t xml:space="preserve"> </w:t>
      </w:r>
      <w:r w:rsidR="00C43F74" w:rsidRPr="00974C0B">
        <w:t xml:space="preserve">rights from the </w:t>
      </w:r>
      <w:r w:rsidR="005942F3" w:rsidRPr="00974C0B">
        <w:t xml:space="preserve">intersectionality </w:t>
      </w:r>
      <w:r w:rsidR="00C43F74" w:rsidRPr="00974C0B">
        <w:t xml:space="preserve">perspective. </w:t>
      </w:r>
      <w:r w:rsidR="00C96B69">
        <w:t xml:space="preserve">With no </w:t>
      </w:r>
      <w:r w:rsidR="00C43F74" w:rsidRPr="00974C0B">
        <w:t xml:space="preserve">norms </w:t>
      </w:r>
      <w:r w:rsidR="00C96B69">
        <w:t>or</w:t>
      </w:r>
      <w:r w:rsidR="00C43F74" w:rsidRPr="00974C0B">
        <w:t xml:space="preserve"> standards </w:t>
      </w:r>
      <w:r w:rsidR="00C96B69">
        <w:t xml:space="preserve">about </w:t>
      </w:r>
      <w:r w:rsidR="00C96B69" w:rsidRPr="00974C0B">
        <w:t>older persons</w:t>
      </w:r>
      <w:r w:rsidR="00C96B69">
        <w:t>’</w:t>
      </w:r>
      <w:r w:rsidR="00C96B69" w:rsidRPr="00974C0B">
        <w:t xml:space="preserve"> </w:t>
      </w:r>
      <w:r w:rsidR="00C43F74" w:rsidRPr="00974C0B">
        <w:t>situation</w:t>
      </w:r>
      <w:r w:rsidR="00C96B69">
        <w:t>s</w:t>
      </w:r>
      <w:r w:rsidR="00C43F74" w:rsidRPr="00974C0B">
        <w:t>, existing human rights mechanisms have</w:t>
      </w:r>
      <w:r w:rsidR="00E97E5C">
        <w:t xml:space="preserve"> a</w:t>
      </w:r>
      <w:r w:rsidR="00C43F74" w:rsidRPr="00974C0B">
        <w:t xml:space="preserve"> limited ability to </w:t>
      </w:r>
      <w:r w:rsidR="00C96B69">
        <w:t>recognize the complex</w:t>
      </w:r>
      <w:r w:rsidR="00C43F74" w:rsidRPr="00974C0B">
        <w:t xml:space="preserve"> intersectional and multiple discrimination issues </w:t>
      </w:r>
      <w:r w:rsidR="00C96B69">
        <w:t xml:space="preserve">concerning </w:t>
      </w:r>
      <w:r w:rsidR="00C43F74" w:rsidRPr="00974C0B">
        <w:t>older age and other grounds.</w:t>
      </w:r>
      <w:r w:rsidR="00C43F74" w:rsidRPr="00974C0B">
        <w:rPr>
          <w:rStyle w:val="EndnoteReference"/>
        </w:rPr>
        <w:endnoteReference w:id="40"/>
      </w:r>
    </w:p>
    <w:p w14:paraId="592ECC1C" w14:textId="5802F15F" w:rsidR="00C43F74" w:rsidRPr="00974C0B" w:rsidRDefault="000C2CF9" w:rsidP="00952E3E">
      <w:pPr>
        <w:pStyle w:val="ParaNoG"/>
        <w:numPr>
          <w:ilvl w:val="0"/>
          <w:numId w:val="0"/>
        </w:numPr>
        <w:tabs>
          <w:tab w:val="left" w:pos="0"/>
        </w:tabs>
        <w:ind w:left="1134"/>
      </w:pPr>
      <w:r>
        <w:t>36</w:t>
      </w:r>
      <w:r w:rsidR="00C43F74" w:rsidRPr="00974C0B">
        <w:t>.</w:t>
      </w:r>
      <w:r w:rsidR="00C43F74" w:rsidRPr="00974C0B">
        <w:tab/>
        <w:t xml:space="preserve">The Independent Expert’s 2021 report highlighted </w:t>
      </w:r>
      <w:r w:rsidR="00563F75">
        <w:t xml:space="preserve">that </w:t>
      </w:r>
      <w:r w:rsidR="00C43F74" w:rsidRPr="00974C0B">
        <w:t>the international framework</w:t>
      </w:r>
      <w:r w:rsidR="00563F75">
        <w:t xml:space="preserve"> has not </w:t>
      </w:r>
      <w:r w:rsidR="00C43F74" w:rsidRPr="00974C0B">
        <w:t>recogni</w:t>
      </w:r>
      <w:r w:rsidR="00563F75">
        <w:t>zed or</w:t>
      </w:r>
      <w:r w:rsidR="00C43F74" w:rsidRPr="00974C0B">
        <w:t xml:space="preserve"> provide</w:t>
      </w:r>
      <w:r w:rsidR="00563F75">
        <w:t>d</w:t>
      </w:r>
      <w:r w:rsidR="00C43F74" w:rsidRPr="00974C0B">
        <w:t xml:space="preserve"> protection against age discrimination: </w:t>
      </w:r>
    </w:p>
    <w:p w14:paraId="73593BF0" w14:textId="52A17594" w:rsidR="00C43F74" w:rsidRPr="00974C0B" w:rsidRDefault="00ED6816" w:rsidP="00E9562A">
      <w:pPr>
        <w:pStyle w:val="ParaNoG"/>
        <w:numPr>
          <w:ilvl w:val="0"/>
          <w:numId w:val="0"/>
        </w:numPr>
        <w:ind w:left="1560"/>
        <w:rPr>
          <w:rStyle w:val="EndnoteReference"/>
        </w:rPr>
      </w:pPr>
      <w:r w:rsidRPr="00ED6816">
        <w:t>“</w:t>
      </w:r>
      <w:r w:rsidR="00C43F74" w:rsidRPr="00B63193">
        <w:rPr>
          <w:i/>
          <w:iCs/>
        </w:rPr>
        <w:t xml:space="preserve">The current legal framework does not have the means and capacity to systematically close existing gaps in the protection of the human rights of older persons. The existing international and regional frameworks lack specific and comprehensive obligations in relation to the right to equality and non-discrimination in old age, including age as a prohibited ground of discrimination. Ageism is largely invisible in treaty provisions and interpretations by monitoring treaty bodies. To address this gap in international and </w:t>
      </w:r>
      <w:r w:rsidR="00C43F74" w:rsidRPr="00B63193">
        <w:rPr>
          <w:i/>
          <w:iCs/>
        </w:rPr>
        <w:lastRenderedPageBreak/>
        <w:t>regional human rights law, age as a ground of discrimination must be explicitly recognized, including in a comprehensive binding legal instrument on the human rights of older persons.</w:t>
      </w:r>
      <w:r w:rsidRPr="00ED6816">
        <w:t>”</w:t>
      </w:r>
      <w:r w:rsidR="00C43F74" w:rsidRPr="00974C0B">
        <w:rPr>
          <w:rStyle w:val="EndnoteReference"/>
        </w:rPr>
        <w:endnoteReference w:id="41"/>
      </w:r>
    </w:p>
    <w:p w14:paraId="415D6A5C" w14:textId="6A2A5545" w:rsidR="00C43F74" w:rsidRPr="00974C0B" w:rsidRDefault="00C43F74" w:rsidP="00952E3E">
      <w:pPr>
        <w:pStyle w:val="H1G"/>
      </w:pPr>
      <w:r w:rsidRPr="00974C0B">
        <w:tab/>
      </w:r>
      <w:bookmarkStart w:id="10" w:name="V_B"/>
      <w:r w:rsidRPr="00974C0B">
        <w:t>B.</w:t>
      </w:r>
      <w:r w:rsidRPr="00974C0B">
        <w:tab/>
      </w:r>
      <w:r w:rsidRPr="00FD1EF3">
        <w:t xml:space="preserve">Evolving </w:t>
      </w:r>
      <w:r w:rsidRPr="00604774">
        <w:t xml:space="preserve">practice </w:t>
      </w:r>
      <w:r w:rsidR="00B63193" w:rsidRPr="00604774">
        <w:t>of how international human rights mechanisms</w:t>
      </w:r>
      <w:r w:rsidRPr="00604774">
        <w:t xml:space="preserve"> address</w:t>
      </w:r>
      <w:r w:rsidR="00B63193" w:rsidRPr="00604774">
        <w:t xml:space="preserve"> older persons’</w:t>
      </w:r>
      <w:r w:rsidRPr="00604774">
        <w:t xml:space="preserve"> human rights</w:t>
      </w:r>
      <w:r w:rsidRPr="00974C0B">
        <w:t xml:space="preserve"> </w:t>
      </w:r>
      <w:bookmarkEnd w:id="10"/>
    </w:p>
    <w:p w14:paraId="37C63526" w14:textId="77777777" w:rsidR="00C43F74" w:rsidRPr="00974C0B" w:rsidRDefault="00C43F74" w:rsidP="00952E3E">
      <w:pPr>
        <w:pStyle w:val="H4G"/>
      </w:pPr>
      <w:r w:rsidRPr="00974C0B">
        <w:tab/>
      </w:r>
      <w:r w:rsidRPr="00974C0B">
        <w:tab/>
        <w:t>United Nations human rights treaty bodies</w:t>
      </w:r>
    </w:p>
    <w:p w14:paraId="660E21A3" w14:textId="32499A5F" w:rsidR="00ED6816" w:rsidRDefault="000C2CF9" w:rsidP="00952E3E">
      <w:pPr>
        <w:pStyle w:val="ParaNoG"/>
        <w:numPr>
          <w:ilvl w:val="0"/>
          <w:numId w:val="0"/>
        </w:numPr>
        <w:tabs>
          <w:tab w:val="left" w:pos="0"/>
        </w:tabs>
        <w:ind w:left="1134"/>
      </w:pPr>
      <w:r>
        <w:t>37</w:t>
      </w:r>
      <w:r w:rsidR="00C43F74" w:rsidRPr="00974C0B">
        <w:t>.</w:t>
      </w:r>
      <w:r w:rsidR="00C43F74" w:rsidRPr="00974C0B">
        <w:tab/>
        <w:t xml:space="preserve">The human rights treaty bodies have engaged with certain aspects of </w:t>
      </w:r>
      <w:r w:rsidR="00B63193" w:rsidRPr="00974C0B">
        <w:t>older persons</w:t>
      </w:r>
      <w:r w:rsidR="00B63193">
        <w:t>’</w:t>
      </w:r>
      <w:r w:rsidR="00C43F74" w:rsidRPr="00974C0B">
        <w:t xml:space="preserve"> human rights or of discrimination </w:t>
      </w:r>
      <w:r w:rsidR="003B1E4B">
        <w:t xml:space="preserve">based </w:t>
      </w:r>
      <w:r w:rsidR="00C43F74" w:rsidRPr="00974C0B">
        <w:t xml:space="preserve">on older age, with </w:t>
      </w:r>
      <w:r w:rsidR="00347853">
        <w:t xml:space="preserve">most </w:t>
      </w:r>
      <w:r w:rsidR="00C43F74" w:rsidRPr="00974C0B">
        <w:t xml:space="preserve">of that engagement varying between Committees and within individual Committees over time. Some important general statements </w:t>
      </w:r>
      <w:proofErr w:type="gramStart"/>
      <w:r w:rsidR="00C43F74" w:rsidRPr="00974C0B">
        <w:t>have been made</w:t>
      </w:r>
      <w:proofErr w:type="gramEnd"/>
      <w:r w:rsidR="00C43F74" w:rsidRPr="00974C0B">
        <w:t xml:space="preserve">, but </w:t>
      </w:r>
      <w:r w:rsidR="00D5624F" w:rsidRPr="00974C0B">
        <w:t>overall,</w:t>
      </w:r>
      <w:r w:rsidR="00C43F74" w:rsidRPr="00974C0B">
        <w:t xml:space="preserve"> the nature, level and intensity of this engagement </w:t>
      </w:r>
      <w:r w:rsidR="00347853">
        <w:t xml:space="preserve">do not provide </w:t>
      </w:r>
      <w:r w:rsidR="00C43F74" w:rsidRPr="00974C0B">
        <w:t xml:space="preserve">a comprehensive, </w:t>
      </w:r>
      <w:r w:rsidR="00D5624F" w:rsidRPr="00974C0B">
        <w:t>coherent,</w:t>
      </w:r>
      <w:r w:rsidR="00C43F74" w:rsidRPr="00974C0B">
        <w:t xml:space="preserve"> and sustained engagement with </w:t>
      </w:r>
      <w:r w:rsidR="003B1E4B" w:rsidRPr="00974C0B">
        <w:t>older persons</w:t>
      </w:r>
      <w:r w:rsidR="003B1E4B">
        <w:t>’</w:t>
      </w:r>
      <w:r w:rsidR="003B1E4B" w:rsidRPr="00974C0B">
        <w:t xml:space="preserve"> </w:t>
      </w:r>
      <w:r w:rsidR="00C43F74" w:rsidRPr="00974C0B">
        <w:t>human rights.</w:t>
      </w:r>
      <w:r w:rsidR="00C43F74" w:rsidRPr="00974C0B">
        <w:rPr>
          <w:rStyle w:val="EndnoteReference"/>
        </w:rPr>
        <w:endnoteReference w:id="42"/>
      </w:r>
      <w:r w:rsidR="00C43F74" w:rsidRPr="00974C0B">
        <w:rPr>
          <w:rStyle w:val="EndnoteReference"/>
        </w:rPr>
        <w:t xml:space="preserve"> </w:t>
      </w:r>
      <w:r w:rsidR="00C43F74" w:rsidRPr="00974C0B">
        <w:t xml:space="preserve">For example, while the Committee on the Elimination of Discrimination against Women and the Committee on Economic, Social and Cultural Rights have issued general comments on the rights of older persons (see also below) </w:t>
      </w:r>
    </w:p>
    <w:p w14:paraId="2EE07B87" w14:textId="2496D5D8" w:rsidR="00ED6816" w:rsidRDefault="00C43F74" w:rsidP="00E9562A">
      <w:pPr>
        <w:pStyle w:val="ParaNoG"/>
        <w:numPr>
          <w:ilvl w:val="0"/>
          <w:numId w:val="0"/>
        </w:numPr>
        <w:tabs>
          <w:tab w:val="left" w:pos="0"/>
        </w:tabs>
        <w:ind w:left="1560"/>
        <w:rPr>
          <w:rStyle w:val="EndnoteReference"/>
        </w:rPr>
      </w:pPr>
      <w:r w:rsidRPr="00974C0B">
        <w:t>“</w:t>
      </w:r>
      <w:r w:rsidR="00D5624F" w:rsidRPr="00ED6816">
        <w:rPr>
          <w:i/>
          <w:iCs/>
        </w:rPr>
        <w:t>References</w:t>
      </w:r>
      <w:r w:rsidRPr="00ED6816">
        <w:rPr>
          <w:i/>
          <w:iCs/>
        </w:rPr>
        <w:t xml:space="preserve"> to older people, including older persons with disabilities, in the concluding observations of human rights bodies and universal periodic review recommendations are scarce</w:t>
      </w:r>
      <w:r w:rsidRPr="00974C0B">
        <w:t>”</w:t>
      </w:r>
      <w:r w:rsidRPr="00974C0B">
        <w:rPr>
          <w:rStyle w:val="EndnoteReference"/>
        </w:rPr>
        <w:endnoteReference w:id="43"/>
      </w:r>
      <w:r w:rsidRPr="00974C0B">
        <w:rPr>
          <w:rStyle w:val="EndnoteReference"/>
        </w:rPr>
        <w:t xml:space="preserve"> </w:t>
      </w:r>
    </w:p>
    <w:p w14:paraId="293854F2" w14:textId="77777777" w:rsidR="00ED6816" w:rsidRDefault="00C43F74" w:rsidP="00952E3E">
      <w:pPr>
        <w:pStyle w:val="ParaNoG"/>
        <w:numPr>
          <w:ilvl w:val="0"/>
          <w:numId w:val="0"/>
        </w:numPr>
        <w:tabs>
          <w:tab w:val="left" w:pos="0"/>
        </w:tabs>
        <w:ind w:left="1134"/>
      </w:pPr>
      <w:proofErr w:type="gramStart"/>
      <w:r w:rsidRPr="00974C0B">
        <w:t>and</w:t>
      </w:r>
      <w:proofErr w:type="gramEnd"/>
      <w:r w:rsidRPr="00974C0B">
        <w:t xml:space="preserve"> </w:t>
      </w:r>
    </w:p>
    <w:p w14:paraId="09D6B886" w14:textId="499680CE" w:rsidR="00ED6816" w:rsidRDefault="00C43F74" w:rsidP="00E9562A">
      <w:pPr>
        <w:pStyle w:val="ParaNoG"/>
        <w:numPr>
          <w:ilvl w:val="0"/>
          <w:numId w:val="0"/>
        </w:numPr>
        <w:tabs>
          <w:tab w:val="left" w:pos="0"/>
        </w:tabs>
        <w:ind w:left="1560"/>
      </w:pPr>
      <w:r w:rsidRPr="00974C0B">
        <w:t>“</w:t>
      </w:r>
      <w:r w:rsidR="00D5624F" w:rsidRPr="00ED6816">
        <w:rPr>
          <w:i/>
          <w:iCs/>
        </w:rPr>
        <w:t>Procedures</w:t>
      </w:r>
      <w:r w:rsidRPr="00ED6816">
        <w:rPr>
          <w:i/>
          <w:iCs/>
        </w:rPr>
        <w:t xml:space="preserve"> for monitoring human rights treaties generally ignore older persons</w:t>
      </w:r>
      <w:r w:rsidRPr="00974C0B">
        <w:t>”.</w:t>
      </w:r>
      <w:r w:rsidRPr="00974C0B">
        <w:rPr>
          <w:rStyle w:val="EndnoteReference"/>
        </w:rPr>
        <w:endnoteReference w:id="44"/>
      </w:r>
      <w:r w:rsidRPr="00974C0B">
        <w:rPr>
          <w:rStyle w:val="EndnoteReference"/>
        </w:rPr>
        <w:t xml:space="preserve"> </w:t>
      </w:r>
    </w:p>
    <w:p w14:paraId="49F1B198" w14:textId="7ED939D6" w:rsidR="00C43F74" w:rsidRPr="00974C0B" w:rsidRDefault="00BB6058" w:rsidP="00952E3E">
      <w:pPr>
        <w:pStyle w:val="ParaNoG"/>
        <w:numPr>
          <w:ilvl w:val="0"/>
          <w:numId w:val="0"/>
        </w:numPr>
        <w:tabs>
          <w:tab w:val="left" w:pos="0"/>
        </w:tabs>
        <w:ind w:left="1134"/>
      </w:pPr>
      <w:proofErr w:type="gramStart"/>
      <w:r>
        <w:t>Also</w:t>
      </w:r>
      <w:proofErr w:type="gramEnd"/>
      <w:r w:rsidR="00C43F74" w:rsidRPr="00974C0B">
        <w:t xml:space="preserve">, these dispersed and individual references fall short of sustained engagement, and even when treaty bodies address these issues, there is generally a lack of sustained follow-up based on a coherent and integrated framework of older persons’ rights. </w:t>
      </w:r>
    </w:p>
    <w:p w14:paraId="5836F64C" w14:textId="685CCD8C" w:rsidR="00C43F74" w:rsidRPr="00974C0B" w:rsidRDefault="000C2CF9" w:rsidP="00952E3E">
      <w:pPr>
        <w:pStyle w:val="ParaNoG"/>
        <w:numPr>
          <w:ilvl w:val="0"/>
          <w:numId w:val="0"/>
        </w:numPr>
        <w:tabs>
          <w:tab w:val="left" w:pos="0"/>
        </w:tabs>
        <w:ind w:left="1134"/>
        <w:rPr>
          <w:rStyle w:val="EndnoteReference"/>
        </w:rPr>
      </w:pPr>
      <w:r>
        <w:rPr>
          <w:rStyle w:val="EndnoteReference"/>
          <w:sz w:val="20"/>
          <w:vertAlign w:val="baseline"/>
        </w:rPr>
        <w:t>38</w:t>
      </w:r>
      <w:r w:rsidR="00C43F74" w:rsidRPr="00974C0B">
        <w:rPr>
          <w:rStyle w:val="EndnoteReference"/>
          <w:sz w:val="20"/>
          <w:vertAlign w:val="baseline"/>
        </w:rPr>
        <w:t>.</w:t>
      </w:r>
      <w:r w:rsidR="00C43F74" w:rsidRPr="00974C0B">
        <w:rPr>
          <w:rStyle w:val="EndnoteReference"/>
          <w:sz w:val="20"/>
          <w:vertAlign w:val="baseline"/>
        </w:rPr>
        <w:tab/>
      </w:r>
      <w:r w:rsidR="00C43F74" w:rsidRPr="00974C0B">
        <w:t xml:space="preserve">The Open-ended Working Group on </w:t>
      </w:r>
      <w:proofErr w:type="gramStart"/>
      <w:r w:rsidR="00C43F74" w:rsidRPr="00974C0B">
        <w:t>Ageing</w:t>
      </w:r>
      <w:proofErr w:type="gramEnd"/>
      <w:r w:rsidR="00C43F74" w:rsidRPr="00974C0B">
        <w:t xml:space="preserve"> </w:t>
      </w:r>
      <w:r w:rsidR="009A384B">
        <w:t xml:space="preserve">being established </w:t>
      </w:r>
      <w:r w:rsidR="00C43F74" w:rsidRPr="00974C0B">
        <w:t xml:space="preserve">in 2011 elevated the prominence of </w:t>
      </w:r>
      <w:r w:rsidR="003B1E4B" w:rsidRPr="00974C0B">
        <w:t>older persons</w:t>
      </w:r>
      <w:r w:rsidR="003B1E4B">
        <w:t>’</w:t>
      </w:r>
      <w:r w:rsidR="003B1E4B" w:rsidRPr="00974C0B">
        <w:t xml:space="preserve"> </w:t>
      </w:r>
      <w:r w:rsidR="00C43F74" w:rsidRPr="00974C0B">
        <w:t>human rights on the United Nations agenda, and many States have urged existing human rights mechanisms to engage more extensively with these issues. Using the Universal Human Rights Index database, the 2021 updated study review</w:t>
      </w:r>
      <w:r w:rsidR="00554AD3">
        <w:t>ed</w:t>
      </w:r>
      <w:r w:rsidR="00C43F74" w:rsidRPr="00974C0B">
        <w:t xml:space="preserve"> the extent to which older persons’ rights had been explicitly included in </w:t>
      </w:r>
      <w:r w:rsidR="00554AD3" w:rsidRPr="00974C0B">
        <w:t>different treaty bodies</w:t>
      </w:r>
      <w:r w:rsidR="00554AD3">
        <w:t>’</w:t>
      </w:r>
      <w:r w:rsidR="00554AD3" w:rsidRPr="00974C0B">
        <w:t xml:space="preserve"> </w:t>
      </w:r>
      <w:r w:rsidR="00C43F74" w:rsidRPr="00974C0B">
        <w:t>work</w:t>
      </w:r>
      <w:r w:rsidR="00DB7FAC">
        <w:t>.</w:t>
      </w:r>
      <w:r w:rsidR="000E6C9F">
        <w:t xml:space="preserve"> </w:t>
      </w:r>
      <w:r w:rsidR="00C43F74" w:rsidRPr="00974C0B">
        <w:t xml:space="preserve">However, the engagement </w:t>
      </w:r>
      <w:r w:rsidR="00176E21">
        <w:t xml:space="preserve">of </w:t>
      </w:r>
      <w:r w:rsidR="00C43F74" w:rsidRPr="00974C0B">
        <w:t>human rights mechanisms over that period</w:t>
      </w:r>
      <w:r w:rsidR="00176E21">
        <w:t xml:space="preserve"> has not significantly increased</w:t>
      </w:r>
      <w:r w:rsidR="00C43F74" w:rsidRPr="00974C0B">
        <w:t xml:space="preserve">, either before </w:t>
      </w:r>
      <w:r w:rsidR="005942F3" w:rsidRPr="00974C0B">
        <w:t xml:space="preserve">COVID-19 </w:t>
      </w:r>
      <w:r w:rsidR="00C43F74" w:rsidRPr="00974C0B">
        <w:t xml:space="preserve">or subsequently. Searches of the OHCHR Universal Human Rights Index database of all treaty </w:t>
      </w:r>
      <w:r w:rsidR="006D0956">
        <w:t>bodies</w:t>
      </w:r>
      <w:r w:rsidR="00C43F74" w:rsidRPr="00974C0B">
        <w:t xml:space="preserve"> concluding observations from 2010 to 2019 found 270 relevant hits for 2010–2014, and 249 for 2015–2019.</w:t>
      </w:r>
      <w:r w:rsidR="00C43F74" w:rsidRPr="00974C0B">
        <w:rPr>
          <w:rStyle w:val="EndnoteReference"/>
        </w:rPr>
        <w:endnoteReference w:id="45"/>
      </w:r>
    </w:p>
    <w:p w14:paraId="4F93B8E5" w14:textId="2DD847A9" w:rsidR="00C43F74" w:rsidRPr="00974C0B" w:rsidRDefault="00C43F74" w:rsidP="00952E3E">
      <w:pPr>
        <w:pStyle w:val="ParaNoG"/>
        <w:numPr>
          <w:ilvl w:val="0"/>
          <w:numId w:val="0"/>
        </w:numPr>
        <w:tabs>
          <w:tab w:val="left" w:pos="0"/>
        </w:tabs>
        <w:ind w:left="1134"/>
      </w:pPr>
      <w:r w:rsidRPr="00974C0B">
        <w:t>3</w:t>
      </w:r>
      <w:r w:rsidR="000C2CF9">
        <w:t>9</w:t>
      </w:r>
      <w:r w:rsidRPr="00974C0B">
        <w:t>.</w:t>
      </w:r>
      <w:r w:rsidRPr="00974C0B">
        <w:tab/>
        <w:t xml:space="preserve">The Committee on Economic, Social and Cultural Rights and the Committee on the Elimination of Discrimination against Women have engaged most substantively and consistently with </w:t>
      </w:r>
      <w:r w:rsidR="003B1E4B" w:rsidRPr="00974C0B">
        <w:t>older persons</w:t>
      </w:r>
      <w:r w:rsidR="003B1E4B">
        <w:t>’</w:t>
      </w:r>
      <w:r w:rsidR="003B1E4B" w:rsidRPr="00974C0B">
        <w:t xml:space="preserve"> </w:t>
      </w:r>
      <w:r w:rsidRPr="00974C0B">
        <w:t xml:space="preserve">human rights. In 1996, the Committee on Economic, Social and Cultural Rights adopted its </w:t>
      </w:r>
      <w:r w:rsidRPr="00974C0B">
        <w:rPr>
          <w:szCs w:val="24"/>
        </w:rPr>
        <w:t xml:space="preserve">general comment No. 6 (1995) on the economic, </w:t>
      </w:r>
      <w:r w:rsidR="00D5624F" w:rsidRPr="00974C0B">
        <w:rPr>
          <w:szCs w:val="24"/>
        </w:rPr>
        <w:t>social,</w:t>
      </w:r>
      <w:r w:rsidRPr="00974C0B">
        <w:rPr>
          <w:szCs w:val="24"/>
        </w:rPr>
        <w:t xml:space="preserve"> and cultural rights of older persons</w:t>
      </w:r>
      <w:r w:rsidRPr="00974C0B">
        <w:rPr>
          <w:rStyle w:val="EndnoteReference"/>
        </w:rPr>
        <w:endnoteReference w:id="46"/>
      </w:r>
      <w:r w:rsidRPr="00974C0B">
        <w:rPr>
          <w:rStyle w:val="EndnoteReference"/>
        </w:rPr>
        <w:t xml:space="preserve"> </w:t>
      </w:r>
      <w:r w:rsidRPr="00974C0B">
        <w:t>and touched on issues relevant to older persons in later general comments</w:t>
      </w:r>
      <w:r w:rsidRPr="00974C0B">
        <w:rPr>
          <w:szCs w:val="24"/>
        </w:rPr>
        <w:t xml:space="preserve">. The </w:t>
      </w:r>
      <w:r w:rsidRPr="00974C0B">
        <w:t>Committee on the Elimination of Discrimination against Women</w:t>
      </w:r>
      <w:r w:rsidRPr="00974C0B">
        <w:rPr>
          <w:szCs w:val="24"/>
        </w:rPr>
        <w:t xml:space="preserve"> adopted its general recommendation No. 27 (2010) on the human rights of older </w:t>
      </w:r>
      <w:r w:rsidR="00D5624F" w:rsidRPr="00974C0B">
        <w:rPr>
          <w:szCs w:val="24"/>
        </w:rPr>
        <w:t>women and</w:t>
      </w:r>
      <w:r w:rsidRPr="00974C0B">
        <w:rPr>
          <w:szCs w:val="24"/>
        </w:rPr>
        <w:t xml:space="preserve"> </w:t>
      </w:r>
      <w:proofErr w:type="gramStart"/>
      <w:r w:rsidRPr="00974C0B">
        <w:rPr>
          <w:szCs w:val="24"/>
        </w:rPr>
        <w:t>has also</w:t>
      </w:r>
      <w:proofErr w:type="gramEnd"/>
      <w:r w:rsidRPr="00974C0B">
        <w:rPr>
          <w:szCs w:val="24"/>
        </w:rPr>
        <w:t xml:space="preserve"> addressed the situation of older women in some of its later general recommendations.</w:t>
      </w:r>
    </w:p>
    <w:p w14:paraId="7129099F" w14:textId="1C0165CA" w:rsidR="00C43F74" w:rsidRPr="00974C0B" w:rsidRDefault="000C2CF9" w:rsidP="00952E3E">
      <w:pPr>
        <w:pStyle w:val="ParaNoG"/>
        <w:numPr>
          <w:ilvl w:val="0"/>
          <w:numId w:val="0"/>
        </w:numPr>
        <w:tabs>
          <w:tab w:val="left" w:pos="0"/>
        </w:tabs>
        <w:ind w:left="1134"/>
      </w:pPr>
      <w:r>
        <w:t>40</w:t>
      </w:r>
      <w:r w:rsidR="00C43F74" w:rsidRPr="00974C0B">
        <w:t>.</w:t>
      </w:r>
      <w:r w:rsidR="00C43F74" w:rsidRPr="00974C0B">
        <w:tab/>
      </w:r>
      <w:r w:rsidR="00176E21">
        <w:t>T</w:t>
      </w:r>
      <w:r w:rsidR="00C43F74" w:rsidRPr="00974C0B">
        <w:t>he full impact of Committee on Economic, Social and Cultural Rights general comment No. 6 (1995) outside the treaty reporting process</w:t>
      </w:r>
      <w:r w:rsidR="00176E21">
        <w:t xml:space="preserve"> is difficult to assess</w:t>
      </w:r>
      <w:r w:rsidR="00D97187">
        <w:t>. However</w:t>
      </w:r>
      <w:r w:rsidR="00C43F74" w:rsidRPr="00974C0B">
        <w:t xml:space="preserve">, </w:t>
      </w:r>
      <w:r w:rsidR="00DB070C">
        <w:t>the comment</w:t>
      </w:r>
      <w:r w:rsidR="00C43F74" w:rsidRPr="00974C0B">
        <w:t xml:space="preserve"> provides an important frame of reference for those working to give effect to the International Covenant on Economic, Social and Cultural Rights. </w:t>
      </w:r>
      <w:r w:rsidR="00176E21">
        <w:t xml:space="preserve">The comment’s </w:t>
      </w:r>
      <w:r w:rsidR="00C43F74" w:rsidRPr="00974C0B">
        <w:t xml:space="preserve">content also reflects the thinking of its time and contains </w:t>
      </w:r>
      <w:r w:rsidR="008E28BF">
        <w:t>several</w:t>
      </w:r>
      <w:r w:rsidR="00C43F74" w:rsidRPr="00974C0B">
        <w:t xml:space="preserve"> references that </w:t>
      </w:r>
      <w:proofErr w:type="gramStart"/>
      <w:r w:rsidR="00C43F74" w:rsidRPr="00974C0B">
        <w:t>are now dated</w:t>
      </w:r>
      <w:proofErr w:type="gramEnd"/>
      <w:r w:rsidR="00C43F74" w:rsidRPr="00974C0B">
        <w:t xml:space="preserve"> </w:t>
      </w:r>
      <w:r w:rsidR="00DB070C">
        <w:t xml:space="preserve">when </w:t>
      </w:r>
      <w:r w:rsidR="00C43F74" w:rsidRPr="00974C0B">
        <w:t>addressing human rights in older age.</w:t>
      </w:r>
      <w:r w:rsidR="00C43F74" w:rsidRPr="00974C0B">
        <w:rPr>
          <w:rStyle w:val="EndnoteReference"/>
        </w:rPr>
        <w:endnoteReference w:id="47"/>
      </w:r>
      <w:r w:rsidR="00C43F74" w:rsidRPr="00974C0B">
        <w:rPr>
          <w:rStyle w:val="EndnoteReference"/>
        </w:rPr>
        <w:t xml:space="preserve"> </w:t>
      </w:r>
      <w:proofErr w:type="gramStart"/>
      <w:r w:rsidR="00BB6058">
        <w:t>Also</w:t>
      </w:r>
      <w:proofErr w:type="gramEnd"/>
      <w:r w:rsidR="00C43F74" w:rsidRPr="00974C0B">
        <w:t xml:space="preserve">, </w:t>
      </w:r>
      <w:r w:rsidR="00DB070C">
        <w:t xml:space="preserve">how </w:t>
      </w:r>
      <w:r w:rsidR="00C43F74" w:rsidRPr="00974C0B">
        <w:t xml:space="preserve">the Committee on Economic, Social and Cultural Rights </w:t>
      </w:r>
      <w:r w:rsidR="00DB070C">
        <w:t xml:space="preserve">considered these issues </w:t>
      </w:r>
      <w:r w:rsidR="00C43F74" w:rsidRPr="00974C0B">
        <w:t>in the reporting procedure is mixed.</w:t>
      </w:r>
      <w:r w:rsidR="00C43F74" w:rsidRPr="00974C0B">
        <w:rPr>
          <w:rStyle w:val="EndnoteReference"/>
        </w:rPr>
        <w:endnoteReference w:id="48"/>
      </w:r>
      <w:r w:rsidR="00C43F74" w:rsidRPr="00974C0B">
        <w:rPr>
          <w:rStyle w:val="EndnoteReference"/>
        </w:rPr>
        <w:t xml:space="preserve"> </w:t>
      </w:r>
      <w:r w:rsidR="00FD1EF3">
        <w:t xml:space="preserve">For the </w:t>
      </w:r>
      <w:r w:rsidR="00C43F74" w:rsidRPr="00974C0B">
        <w:t>specific issues and rights examined, the Committee on Economic, Social and Cultural Rights has devoted little attention to long-term care and support, which is not explicitly guaranteed by any human rights treaty but reflects elements of rights</w:t>
      </w:r>
      <w:r w:rsidR="00C43F74">
        <w:t>, e.g.</w:t>
      </w:r>
      <w:r w:rsidR="00C43F74" w:rsidRPr="00974C0B">
        <w:t xml:space="preserve"> the rights to health, to social security, and to an adequate standard of living and to live independently.</w:t>
      </w:r>
      <w:r w:rsidR="00C43F74" w:rsidRPr="00974C0B">
        <w:rPr>
          <w:rStyle w:val="EndnoteReference"/>
        </w:rPr>
        <w:endnoteReference w:id="49"/>
      </w:r>
      <w:r w:rsidR="00C43F74" w:rsidRPr="00974C0B">
        <w:rPr>
          <w:rStyle w:val="EndnoteReference"/>
        </w:rPr>
        <w:t xml:space="preserve"> </w:t>
      </w:r>
      <w:r w:rsidR="00C43F74" w:rsidRPr="00974C0B">
        <w:t>The Committee referred briefly to palliative care in three general comments</w:t>
      </w:r>
      <w:r w:rsidR="00347853">
        <w:t>. However,</w:t>
      </w:r>
      <w:r w:rsidR="00C43F74" w:rsidRPr="00974C0B">
        <w:t xml:space="preserve"> in each case</w:t>
      </w:r>
      <w:r w:rsidR="00347853">
        <w:t>,</w:t>
      </w:r>
      <w:r w:rsidR="00C43F74" w:rsidRPr="00974C0B">
        <w:t xml:space="preserve"> it was a general reference in the context of ensuring the availability of “</w:t>
      </w:r>
      <w:r w:rsidR="00C43F74" w:rsidRPr="0064657F">
        <w:rPr>
          <w:i/>
          <w:iCs/>
        </w:rPr>
        <w:t xml:space="preserve">preventive, curative and </w:t>
      </w:r>
      <w:r w:rsidR="00C43F74" w:rsidRPr="0064657F">
        <w:rPr>
          <w:i/>
          <w:iCs/>
        </w:rPr>
        <w:lastRenderedPageBreak/>
        <w:t>palliative care services</w:t>
      </w:r>
      <w:r w:rsidR="00C43F74" w:rsidRPr="00974C0B">
        <w:t>” to all.</w:t>
      </w:r>
      <w:r w:rsidR="00C43F74" w:rsidRPr="00974C0B">
        <w:rPr>
          <w:rStyle w:val="EndnoteReference"/>
        </w:rPr>
        <w:endnoteReference w:id="50"/>
      </w:r>
      <w:r w:rsidR="00C43F74" w:rsidRPr="00974C0B">
        <w:rPr>
          <w:rStyle w:val="EndnoteReference"/>
        </w:rPr>
        <w:t xml:space="preserve"> </w:t>
      </w:r>
      <w:r w:rsidR="00176E21">
        <w:t>C</w:t>
      </w:r>
      <w:r w:rsidR="00176E21" w:rsidRPr="00974C0B">
        <w:t xml:space="preserve">oncluding observations </w:t>
      </w:r>
      <w:r w:rsidR="00176E21">
        <w:t xml:space="preserve">have </w:t>
      </w:r>
      <w:proofErr w:type="gramStart"/>
      <w:r w:rsidR="00176E21">
        <w:t xml:space="preserve">made </w:t>
      </w:r>
      <w:r w:rsidR="00C43F74" w:rsidRPr="00974C0B">
        <w:t>some references</w:t>
      </w:r>
      <w:proofErr w:type="gramEnd"/>
      <w:r w:rsidR="00C43F74" w:rsidRPr="00974C0B">
        <w:t xml:space="preserve"> </w:t>
      </w:r>
      <w:r w:rsidR="009A384B">
        <w:t>to</w:t>
      </w:r>
      <w:r w:rsidR="00D83FD7">
        <w:t xml:space="preserve"> </w:t>
      </w:r>
      <w:r w:rsidR="000E6C9F">
        <w:t xml:space="preserve">the right to </w:t>
      </w:r>
      <w:r w:rsidR="00D83FD7">
        <w:t xml:space="preserve">palliative </w:t>
      </w:r>
      <w:r w:rsidR="00D5624F">
        <w:t>care,</w:t>
      </w:r>
      <w:r w:rsidR="009A384B">
        <w:t xml:space="preserve"> </w:t>
      </w:r>
      <w:r w:rsidR="00C43F74" w:rsidRPr="00974C0B">
        <w:t>but no detailed discussion of the right</w:t>
      </w:r>
      <w:r w:rsidR="009A384B">
        <w:t>’s</w:t>
      </w:r>
      <w:r w:rsidR="00176E21">
        <w:t xml:space="preserve"> </w:t>
      </w:r>
      <w:r w:rsidR="009A384B" w:rsidRPr="00974C0B">
        <w:t xml:space="preserve">nature and extent </w:t>
      </w:r>
      <w:r w:rsidR="006D0956">
        <w:t>has</w:t>
      </w:r>
      <w:r w:rsidR="00176E21">
        <w:t xml:space="preserve"> occurred</w:t>
      </w:r>
      <w:r w:rsidR="00C43F74" w:rsidRPr="00974C0B">
        <w:t xml:space="preserve">. </w:t>
      </w:r>
    </w:p>
    <w:p w14:paraId="4E631032" w14:textId="5D41FCA7" w:rsidR="00C43F74" w:rsidRPr="00974C0B" w:rsidRDefault="000C2CF9" w:rsidP="00952E3E">
      <w:pPr>
        <w:pStyle w:val="ParaNoG"/>
        <w:numPr>
          <w:ilvl w:val="0"/>
          <w:numId w:val="0"/>
        </w:numPr>
        <w:tabs>
          <w:tab w:val="left" w:pos="0"/>
        </w:tabs>
        <w:ind w:left="1134"/>
      </w:pPr>
      <w:r>
        <w:t>41</w:t>
      </w:r>
      <w:r w:rsidR="00C43F74" w:rsidRPr="00974C0B">
        <w:t>.</w:t>
      </w:r>
      <w:r w:rsidR="00C43F74" w:rsidRPr="00974C0B">
        <w:tab/>
        <w:t xml:space="preserve">The Committee on the Elimination of Discrimination against Women consistently addresses the human rights of older women in its concluding observations and general recommendations. The Committee also regularly engages in </w:t>
      </w:r>
      <w:r w:rsidR="00C43F74" w:rsidRPr="00357C61">
        <w:t>a life course analysis</w:t>
      </w:r>
      <w:r w:rsidR="00C43F74" w:rsidRPr="00974C0B">
        <w:t xml:space="preserve">, underlining the impact of discrimination against girls and women in earlier stages of their lives on their well-being in older age. In addition to its 2010 general recommendation dealing with the situation of older women, the Committee </w:t>
      </w:r>
      <w:r w:rsidR="00DB070C">
        <w:t xml:space="preserve">discussed </w:t>
      </w:r>
      <w:r w:rsidR="00DB070C" w:rsidRPr="00974C0B">
        <w:t>older women</w:t>
      </w:r>
      <w:r w:rsidR="00DB070C">
        <w:t>’s</w:t>
      </w:r>
      <w:r w:rsidR="00DB070C" w:rsidRPr="00974C0B">
        <w:t xml:space="preserve"> </w:t>
      </w:r>
      <w:r w:rsidR="00C43F74" w:rsidRPr="00974C0B">
        <w:t xml:space="preserve">position in several other general </w:t>
      </w:r>
      <w:r w:rsidR="00D5624F" w:rsidRPr="00974C0B">
        <w:t>recommendations and</w:t>
      </w:r>
      <w:r w:rsidR="00FD1EF3">
        <w:t xml:space="preserve"> </w:t>
      </w:r>
      <w:r w:rsidR="00C43F74" w:rsidRPr="00974C0B">
        <w:t>adopt</w:t>
      </w:r>
      <w:r w:rsidR="00FD1EF3">
        <w:t>ed</w:t>
      </w:r>
      <w:r w:rsidR="00C43F74" w:rsidRPr="00974C0B">
        <w:t xml:space="preserve"> a general recommendation on the economic consequences of marriage, which has </w:t>
      </w:r>
      <w:r w:rsidR="008E28BF" w:rsidRPr="00974C0B">
        <w:t>impacts</w:t>
      </w:r>
      <w:r w:rsidR="00C43F74" w:rsidRPr="00974C0B">
        <w:t xml:space="preserve"> on many older women.</w:t>
      </w:r>
      <w:r w:rsidR="00C43F74" w:rsidRPr="00974C0B">
        <w:rPr>
          <w:rStyle w:val="EndnoteReference"/>
        </w:rPr>
        <w:endnoteReference w:id="51"/>
      </w:r>
      <w:r w:rsidR="00C43F74" w:rsidRPr="00974C0B">
        <w:rPr>
          <w:rStyle w:val="EndnoteReference"/>
        </w:rPr>
        <w:t xml:space="preserve"> </w:t>
      </w:r>
      <w:r w:rsidR="00C43F74" w:rsidRPr="00974C0B">
        <w:t>Nonetheless, in some areas</w:t>
      </w:r>
      <w:r w:rsidR="00FD1EF3">
        <w:t>,</w:t>
      </w:r>
      <w:r w:rsidR="00C43F74" w:rsidRPr="00974C0B">
        <w:t xml:space="preserve"> older women are </w:t>
      </w:r>
      <w:r w:rsidR="0064657F">
        <w:t xml:space="preserve">not specifically included </w:t>
      </w:r>
      <w:r w:rsidR="00C43F74" w:rsidRPr="00974C0B">
        <w:t xml:space="preserve">in general references or </w:t>
      </w:r>
      <w:r w:rsidR="0064657F">
        <w:t xml:space="preserve">are </w:t>
      </w:r>
      <w:r w:rsidR="00DB070C">
        <w:t>among many</w:t>
      </w:r>
      <w:r w:rsidR="00C43F74" w:rsidRPr="00974C0B">
        <w:t xml:space="preserve"> possible forms of intersectional discrimination.</w:t>
      </w:r>
    </w:p>
    <w:p w14:paraId="49713CAF" w14:textId="166335D7" w:rsidR="00C43F74" w:rsidRPr="00974C0B" w:rsidRDefault="000C2CF9" w:rsidP="00952E3E">
      <w:pPr>
        <w:pStyle w:val="ParaNoG"/>
        <w:numPr>
          <w:ilvl w:val="0"/>
          <w:numId w:val="0"/>
        </w:numPr>
        <w:tabs>
          <w:tab w:val="left" w:pos="0"/>
        </w:tabs>
        <w:ind w:left="1134"/>
      </w:pPr>
      <w:r>
        <w:t>42</w:t>
      </w:r>
      <w:r w:rsidR="00C43F74" w:rsidRPr="00974C0B">
        <w:t>.</w:t>
      </w:r>
      <w:r w:rsidR="00C43F74" w:rsidRPr="00974C0B">
        <w:tab/>
        <w:t xml:space="preserve">Apart from the Committee on Economic, Social and Cultural Rights and the Committee on the Elimination of Discrimination against Women, other treaty bodies </w:t>
      </w:r>
      <w:r w:rsidR="0064657F">
        <w:t xml:space="preserve">do not engage </w:t>
      </w:r>
      <w:r w:rsidR="00C43F74" w:rsidRPr="00974C0B">
        <w:t>with these issues in a systematic and sustained manner. The Committee on the Rights of Persons with Disabilities has included references to older persons in its general comments, and at least one reference to older persons in one third of its concluding observations.</w:t>
      </w:r>
      <w:r w:rsidR="00C43F74" w:rsidRPr="00974C0B">
        <w:rPr>
          <w:rStyle w:val="EndnoteReference"/>
        </w:rPr>
        <w:endnoteReference w:id="52"/>
      </w:r>
      <w:r w:rsidR="00C43F74" w:rsidRPr="00974C0B">
        <w:rPr>
          <w:rStyle w:val="EndnoteReference"/>
        </w:rPr>
        <w:t xml:space="preserve"> </w:t>
      </w:r>
    </w:p>
    <w:p w14:paraId="1831DC58" w14:textId="7DC9E929" w:rsidR="00C43F74" w:rsidRPr="00974C0B" w:rsidRDefault="000C2CF9" w:rsidP="00952E3E">
      <w:pPr>
        <w:pStyle w:val="ParaNoG"/>
        <w:numPr>
          <w:ilvl w:val="0"/>
          <w:numId w:val="0"/>
        </w:numPr>
        <w:tabs>
          <w:tab w:val="left" w:pos="0"/>
        </w:tabs>
        <w:ind w:left="1134"/>
      </w:pPr>
      <w:r>
        <w:t>43</w:t>
      </w:r>
      <w:r w:rsidR="00C43F74" w:rsidRPr="00974C0B">
        <w:t>.</w:t>
      </w:r>
      <w:r w:rsidR="00C43F74" w:rsidRPr="00974C0B">
        <w:tab/>
        <w:t>The Committee against Torture has made limited references to older persons in its concluding observations</w:t>
      </w:r>
      <w:proofErr w:type="gramStart"/>
      <w:r w:rsidR="00C43F74" w:rsidRPr="00974C0B">
        <w:t>,</w:t>
      </w:r>
      <w:proofErr w:type="gramEnd"/>
      <w:r w:rsidR="00C43F74" w:rsidRPr="00974C0B">
        <w:rPr>
          <w:rStyle w:val="EndnoteReference"/>
        </w:rPr>
        <w:endnoteReference w:id="53"/>
      </w:r>
      <w:r w:rsidR="00C43F74" w:rsidRPr="00974C0B">
        <w:rPr>
          <w:rStyle w:val="EndnoteReference"/>
        </w:rPr>
        <w:t xml:space="preserve"> </w:t>
      </w:r>
      <w:r w:rsidR="00C43F74" w:rsidRPr="00974C0B">
        <w:t>and has not focused on older prisoners, who are an increasing cohort of those in detention. Although recognizing that care homes fall within its mandate, the Committee has devoted little attention to them beyond including the impact of COVID-19 on residents of care homes in recent lists of issues.</w:t>
      </w:r>
      <w:r w:rsidR="00C43F74" w:rsidRPr="00974C0B">
        <w:rPr>
          <w:rStyle w:val="EndnoteReference"/>
        </w:rPr>
        <w:endnoteReference w:id="54"/>
      </w:r>
      <w:r w:rsidR="00C43F74" w:rsidRPr="00974C0B">
        <w:rPr>
          <w:rStyle w:val="EndnoteReference"/>
        </w:rPr>
        <w:t xml:space="preserve"> </w:t>
      </w:r>
      <w:r w:rsidR="00C43F74" w:rsidRPr="00974C0B">
        <w:t>Similarly, the Subcommittee on Prevention of Torture and Other Cruel, Inhuman or Degrading Treatment or Punishment</w:t>
      </w:r>
      <w:r w:rsidR="00176E21">
        <w:t>, in country visits,</w:t>
      </w:r>
      <w:r w:rsidR="00C43F74" w:rsidRPr="00974C0B">
        <w:t xml:space="preserve"> has given little priority to older persons</w:t>
      </w:r>
      <w:r w:rsidR="00176E21">
        <w:t xml:space="preserve"> despite </w:t>
      </w:r>
      <w:r w:rsidR="00C43F74" w:rsidRPr="00974C0B">
        <w:t>accepting that its mandate covers care homes, and urging that national preventive mechanisms have supervisory jurisdiction over them.</w:t>
      </w:r>
      <w:r w:rsidR="00C43F74" w:rsidRPr="00974C0B">
        <w:rPr>
          <w:rStyle w:val="EndnoteReference"/>
        </w:rPr>
        <w:endnoteReference w:id="55"/>
      </w:r>
      <w:r w:rsidR="00C43F74" w:rsidRPr="00974C0B">
        <w:rPr>
          <w:rStyle w:val="EndnoteReference"/>
        </w:rPr>
        <w:t xml:space="preserve"> </w:t>
      </w:r>
    </w:p>
    <w:p w14:paraId="57EB3BC3" w14:textId="77777777" w:rsidR="00DB070C" w:rsidRDefault="000C2CF9" w:rsidP="00952E3E">
      <w:pPr>
        <w:pStyle w:val="ParaNoG"/>
        <w:numPr>
          <w:ilvl w:val="0"/>
          <w:numId w:val="0"/>
        </w:numPr>
        <w:tabs>
          <w:tab w:val="left" w:pos="0"/>
        </w:tabs>
        <w:ind w:left="1134"/>
      </w:pPr>
      <w:r>
        <w:t>44</w:t>
      </w:r>
      <w:r w:rsidR="00C43F74" w:rsidRPr="00974C0B">
        <w:t>.</w:t>
      </w:r>
      <w:r w:rsidR="00C43F74" w:rsidRPr="00974C0B">
        <w:tab/>
        <w:t>Other treaty bodies have also had limited explicit engagement with older persons.</w:t>
      </w:r>
      <w:r w:rsidR="00DB070C">
        <w:t xml:space="preserve"> In fact, the following committees make few explicit references to older persons:</w:t>
      </w:r>
      <w:r w:rsidR="00C43F74" w:rsidRPr="00974C0B">
        <w:t xml:space="preserve"> </w:t>
      </w:r>
    </w:p>
    <w:p w14:paraId="732A360A" w14:textId="09088920" w:rsidR="00DB070C" w:rsidRPr="002E2751" w:rsidRDefault="002E2751" w:rsidP="002E2751">
      <w:pPr>
        <w:pStyle w:val="ParaNoG"/>
        <w:numPr>
          <w:ilvl w:val="0"/>
          <w:numId w:val="27"/>
        </w:numPr>
        <w:tabs>
          <w:tab w:val="left" w:pos="0"/>
        </w:tabs>
        <w:ind w:left="1701" w:hanging="207"/>
      </w:pPr>
      <w:r w:rsidRPr="002E2751">
        <w:t>t</w:t>
      </w:r>
      <w:r w:rsidR="00C43F74" w:rsidRPr="002E2751">
        <w:t>he Human Rights Committee</w:t>
      </w:r>
      <w:r w:rsidR="00DB070C" w:rsidRPr="002E2751">
        <w:t>,</w:t>
      </w:r>
      <w:r w:rsidR="00C43F74" w:rsidRPr="002E2751">
        <w:t xml:space="preserve"> </w:t>
      </w:r>
    </w:p>
    <w:p w14:paraId="73DAC8AE" w14:textId="04D08D05" w:rsidR="00DB070C" w:rsidRPr="002E2751" w:rsidRDefault="00DB070C" w:rsidP="002E2751">
      <w:pPr>
        <w:pStyle w:val="ParaNoG"/>
        <w:numPr>
          <w:ilvl w:val="0"/>
          <w:numId w:val="27"/>
        </w:numPr>
        <w:tabs>
          <w:tab w:val="left" w:pos="0"/>
        </w:tabs>
        <w:ind w:left="1701" w:hanging="207"/>
      </w:pPr>
      <w:r w:rsidRPr="002E2751">
        <w:t>the Committee on the Elimination of Racial Discrimination</w:t>
      </w:r>
      <w:r w:rsidR="002E2751" w:rsidRPr="002E2751">
        <w:t>,</w:t>
      </w:r>
      <w:r w:rsidRPr="002E2751">
        <w:rPr>
          <w:rStyle w:val="EndnoteReference"/>
        </w:rPr>
        <w:endnoteReference w:id="56"/>
      </w:r>
    </w:p>
    <w:p w14:paraId="5934362E" w14:textId="6F267FCE" w:rsidR="002E2751" w:rsidRPr="002E2751" w:rsidRDefault="002E2751" w:rsidP="002E2751">
      <w:pPr>
        <w:pStyle w:val="ParaNoG"/>
        <w:numPr>
          <w:ilvl w:val="0"/>
          <w:numId w:val="27"/>
        </w:numPr>
        <w:tabs>
          <w:tab w:val="left" w:pos="0"/>
        </w:tabs>
        <w:ind w:left="1701" w:hanging="207"/>
      </w:pPr>
      <w:r w:rsidRPr="002E2751">
        <w:t>the Committee on Enforced Disappearances and the Committee on the Rights of the Child, and</w:t>
      </w:r>
    </w:p>
    <w:p w14:paraId="7A907EF2" w14:textId="4A3E2D67" w:rsidR="002E2751" w:rsidRPr="002E2751" w:rsidRDefault="002E2751" w:rsidP="002E2751">
      <w:pPr>
        <w:pStyle w:val="ParaNoG"/>
        <w:numPr>
          <w:ilvl w:val="0"/>
          <w:numId w:val="27"/>
        </w:numPr>
        <w:tabs>
          <w:tab w:val="left" w:pos="0"/>
        </w:tabs>
        <w:ind w:left="1701" w:hanging="207"/>
      </w:pPr>
      <w:r w:rsidRPr="002E2751">
        <w:t>the Committee on the Protection of the Rights of All Migrant Workers and Members of Their Families</w:t>
      </w:r>
      <w:r w:rsidR="00176E21">
        <w:t>;</w:t>
      </w:r>
      <w:r w:rsidRPr="002E2751">
        <w:rPr>
          <w:rStyle w:val="EndnoteReference"/>
        </w:rPr>
        <w:endnoteReference w:id="57"/>
      </w:r>
      <w:r w:rsidRPr="002E2751">
        <w:t xml:space="preserve"> </w:t>
      </w:r>
      <w:r w:rsidR="00176E21">
        <w:t xml:space="preserve">this, </w:t>
      </w:r>
      <w:r w:rsidRPr="002E2751">
        <w:t>despite the International Convention on the Protection of the Rights of All Migrant Workers and Their Families being the only core human rights treaty to list age discrimination as prohibited.</w:t>
      </w:r>
    </w:p>
    <w:p w14:paraId="3FBD4395" w14:textId="77777777" w:rsidR="00C43F74" w:rsidRPr="00974C0B" w:rsidRDefault="00C43F74" w:rsidP="00952E3E">
      <w:pPr>
        <w:pStyle w:val="H4G"/>
      </w:pPr>
      <w:r w:rsidRPr="00974C0B">
        <w:tab/>
      </w:r>
      <w:r w:rsidRPr="00974C0B">
        <w:tab/>
        <w:t>Special procedures of the Human Rights Council</w:t>
      </w:r>
    </w:p>
    <w:p w14:paraId="5AD6905B" w14:textId="0EB215B2" w:rsidR="000C2CF9" w:rsidRDefault="000C2CF9" w:rsidP="00952E3E">
      <w:pPr>
        <w:pStyle w:val="ParaNoG"/>
        <w:numPr>
          <w:ilvl w:val="0"/>
          <w:numId w:val="0"/>
        </w:numPr>
        <w:tabs>
          <w:tab w:val="left" w:pos="0"/>
        </w:tabs>
        <w:ind w:left="1134"/>
      </w:pPr>
      <w:r>
        <w:rPr>
          <w:bCs/>
          <w:iCs/>
          <w:color w:val="444444"/>
          <w:szCs w:val="23"/>
        </w:rPr>
        <w:t>45</w:t>
      </w:r>
      <w:r w:rsidR="00C43F74" w:rsidRPr="00974C0B">
        <w:rPr>
          <w:bCs/>
          <w:iCs/>
          <w:color w:val="444444"/>
          <w:szCs w:val="23"/>
        </w:rPr>
        <w:t>.</w:t>
      </w:r>
      <w:r w:rsidR="00C43F74" w:rsidRPr="00974C0B">
        <w:rPr>
          <w:bCs/>
          <w:iCs/>
          <w:color w:val="444444"/>
          <w:szCs w:val="23"/>
        </w:rPr>
        <w:tab/>
      </w:r>
      <w:r w:rsidR="00C43F74" w:rsidRPr="00974C0B">
        <w:t xml:space="preserve">Since 2014, the </w:t>
      </w:r>
      <w:r w:rsidR="002E2751" w:rsidRPr="00974C0B">
        <w:t>Independent Expert</w:t>
      </w:r>
      <w:r w:rsidR="002E2751">
        <w:t>’s</w:t>
      </w:r>
      <w:r w:rsidR="002E2751" w:rsidRPr="00974C0B">
        <w:t xml:space="preserve"> </w:t>
      </w:r>
      <w:r w:rsidR="00C43F74" w:rsidRPr="00974C0B">
        <w:t>mandate has brought focus to the issue of older persons’ rights.</w:t>
      </w:r>
      <w:r w:rsidR="00C43F74" w:rsidRPr="00B714D4">
        <w:t xml:space="preserve"> </w:t>
      </w:r>
      <w:r w:rsidR="00176E21">
        <w:t xml:space="preserve">Other mandates have given </w:t>
      </w:r>
      <w:r w:rsidR="00C43F74" w:rsidRPr="00974C0B">
        <w:t xml:space="preserve">some explicit substantive consideration of </w:t>
      </w:r>
      <w:r w:rsidR="00FD1EF3" w:rsidRPr="00974C0B">
        <w:t>older persons</w:t>
      </w:r>
      <w:r w:rsidR="00FD1EF3">
        <w:t>’</w:t>
      </w:r>
      <w:r w:rsidR="00FD1EF3" w:rsidRPr="00974C0B">
        <w:t xml:space="preserve"> </w:t>
      </w:r>
      <w:r w:rsidR="00C43F74" w:rsidRPr="00974C0B">
        <w:t>rights, particularly the mandates on the rights of persons with disabilities, extreme poverty, the right to health</w:t>
      </w:r>
      <w:proofErr w:type="gramStart"/>
      <w:r w:rsidR="00C43F74" w:rsidRPr="00974C0B">
        <w:t>,</w:t>
      </w:r>
      <w:proofErr w:type="gramEnd"/>
      <w:r w:rsidR="00C43F74" w:rsidRPr="00974C0B">
        <w:rPr>
          <w:rStyle w:val="EndnoteReference"/>
        </w:rPr>
        <w:endnoteReference w:id="58"/>
      </w:r>
      <w:r w:rsidR="00C43F74" w:rsidRPr="00974C0B">
        <w:rPr>
          <w:rStyle w:val="EndnoteReference"/>
        </w:rPr>
        <w:t xml:space="preserve"> </w:t>
      </w:r>
      <w:r w:rsidR="00C43F74" w:rsidRPr="00974C0B">
        <w:t xml:space="preserve">violence against women, and discrimination against women and girls. However, most engagements by </w:t>
      </w:r>
      <w:r w:rsidR="00D13171">
        <w:t>area-specific</w:t>
      </w:r>
      <w:r w:rsidR="00C43F74" w:rsidRPr="00974C0B">
        <w:t xml:space="preserve"> special procedures have tended to be ad hoc and, while helpful, are often not </w:t>
      </w:r>
      <w:proofErr w:type="gramStart"/>
      <w:r w:rsidR="00C43F74" w:rsidRPr="00974C0B">
        <w:t>sustained</w:t>
      </w:r>
      <w:proofErr w:type="gramEnd"/>
      <w:r w:rsidR="00C43F74" w:rsidRPr="00974C0B">
        <w:t xml:space="preserve"> or sufficiently based on a coherent and holistic approach to </w:t>
      </w:r>
      <w:r w:rsidR="003B1E4B" w:rsidRPr="00974C0B">
        <w:t>older persons</w:t>
      </w:r>
      <w:r w:rsidR="003B1E4B">
        <w:t>’</w:t>
      </w:r>
      <w:r w:rsidR="003B1E4B" w:rsidRPr="00974C0B">
        <w:t xml:space="preserve"> </w:t>
      </w:r>
      <w:r w:rsidR="00C43F74" w:rsidRPr="00974C0B">
        <w:t>human rights.</w:t>
      </w:r>
      <w:r w:rsidR="00C43F74" w:rsidRPr="00974C0B">
        <w:rPr>
          <w:rStyle w:val="EndnoteReference"/>
        </w:rPr>
        <w:endnoteReference w:id="59"/>
      </w:r>
      <w:r w:rsidR="00C43F74" w:rsidRPr="00974C0B">
        <w:rPr>
          <w:rStyle w:val="EndnoteReference"/>
        </w:rPr>
        <w:t xml:space="preserve"> </w:t>
      </w:r>
      <w:r w:rsidR="00C43F74" w:rsidRPr="00974C0B">
        <w:t xml:space="preserve">There is significant scope </w:t>
      </w:r>
      <w:r w:rsidR="002E2751">
        <w:t>to discuss</w:t>
      </w:r>
      <w:r w:rsidR="00C43F74" w:rsidRPr="00974C0B">
        <w:t xml:space="preserve"> </w:t>
      </w:r>
      <w:r w:rsidR="002E2751" w:rsidRPr="00974C0B">
        <w:t>older persons</w:t>
      </w:r>
      <w:r w:rsidR="002E2751">
        <w:t>’</w:t>
      </w:r>
      <w:r w:rsidR="002E2751" w:rsidRPr="00974C0B">
        <w:t xml:space="preserve"> </w:t>
      </w:r>
      <w:r w:rsidR="00C43F74" w:rsidRPr="00974C0B">
        <w:t>rights</w:t>
      </w:r>
      <w:r w:rsidR="008B171C">
        <w:t xml:space="preserve"> more</w:t>
      </w:r>
      <w:r w:rsidR="00C43F74" w:rsidRPr="00974C0B">
        <w:t>, including the rights to education</w:t>
      </w:r>
      <w:proofErr w:type="gramStart"/>
      <w:r w:rsidR="00C43F74" w:rsidRPr="00974C0B">
        <w:t>,</w:t>
      </w:r>
      <w:proofErr w:type="gramEnd"/>
      <w:r w:rsidR="00C43F74" w:rsidRPr="00974C0B">
        <w:rPr>
          <w:rStyle w:val="EndnoteReference"/>
        </w:rPr>
        <w:endnoteReference w:id="60"/>
      </w:r>
      <w:r w:rsidR="00C43F74" w:rsidRPr="00974C0B">
        <w:rPr>
          <w:rStyle w:val="EndnoteReference"/>
        </w:rPr>
        <w:t xml:space="preserve"> </w:t>
      </w:r>
      <w:r w:rsidR="00C43F74" w:rsidRPr="00974C0B">
        <w:t>housing</w:t>
      </w:r>
      <w:r w:rsidR="00C43F74" w:rsidRPr="00974C0B">
        <w:rPr>
          <w:rStyle w:val="EndnoteReference"/>
        </w:rPr>
        <w:endnoteReference w:id="61"/>
      </w:r>
      <w:r w:rsidR="00C43F74" w:rsidRPr="00974C0B">
        <w:rPr>
          <w:rStyle w:val="EndnoteReference"/>
        </w:rPr>
        <w:t xml:space="preserve"> </w:t>
      </w:r>
      <w:r w:rsidR="00C43F74" w:rsidRPr="00974C0B">
        <w:t xml:space="preserve">or food, which </w:t>
      </w:r>
      <w:r w:rsidR="002E2751" w:rsidRPr="00974C0B">
        <w:t xml:space="preserve">relevant </w:t>
      </w:r>
      <w:r w:rsidR="00D13171">
        <w:t>area-specific</w:t>
      </w:r>
      <w:r w:rsidR="002E2751" w:rsidRPr="00974C0B">
        <w:t xml:space="preserve"> mandates </w:t>
      </w:r>
      <w:r w:rsidR="00C43F74" w:rsidRPr="00974C0B">
        <w:t xml:space="preserve">have </w:t>
      </w:r>
      <w:r w:rsidR="002E2751">
        <w:t xml:space="preserve">not adequately </w:t>
      </w:r>
      <w:r w:rsidR="00C43F74" w:rsidRPr="00974C0B">
        <w:t xml:space="preserve">addressed. Special procedures could consult more systematically with older persons and their organizations during their country visits. </w:t>
      </w:r>
    </w:p>
    <w:p w14:paraId="3347EDEB" w14:textId="09BBCB9B" w:rsidR="000C2CF9" w:rsidRDefault="000C2CF9">
      <w:pPr>
        <w:spacing w:after="200" w:line="276" w:lineRule="auto"/>
      </w:pPr>
    </w:p>
    <w:p w14:paraId="746CDC1B" w14:textId="4A0B1EC3" w:rsidR="00C43F74" w:rsidRPr="00974C0B" w:rsidRDefault="00C43F74" w:rsidP="000C2CF9">
      <w:pPr>
        <w:pStyle w:val="HChG"/>
        <w:ind w:left="426" w:hanging="426"/>
        <w:rPr>
          <w:bCs/>
        </w:rPr>
      </w:pPr>
      <w:bookmarkStart w:id="11" w:name="VI"/>
      <w:r w:rsidRPr="00974C0B">
        <w:lastRenderedPageBreak/>
        <w:t>V</w:t>
      </w:r>
      <w:r w:rsidR="000C2CF9">
        <w:t>I</w:t>
      </w:r>
      <w:r w:rsidRPr="00974C0B">
        <w:t>.</w:t>
      </w:r>
      <w:r w:rsidR="000C2CF9">
        <w:t xml:space="preserve"> </w:t>
      </w:r>
      <w:r w:rsidRPr="00974C0B">
        <w:tab/>
        <w:t xml:space="preserve">Limitations, deficiencies and gaps of selected human rights norms and obligations </w:t>
      </w:r>
    </w:p>
    <w:bookmarkEnd w:id="11"/>
    <w:p w14:paraId="182EB925" w14:textId="47867FD7" w:rsidR="00FD1EF3" w:rsidRDefault="000C2CF9" w:rsidP="00952E3E">
      <w:pPr>
        <w:pStyle w:val="ParaNoG"/>
        <w:numPr>
          <w:ilvl w:val="0"/>
          <w:numId w:val="0"/>
        </w:numPr>
        <w:tabs>
          <w:tab w:val="left" w:pos="0"/>
        </w:tabs>
        <w:ind w:left="1134"/>
      </w:pPr>
      <w:r>
        <w:t>46</w:t>
      </w:r>
      <w:r w:rsidR="00C43F74" w:rsidRPr="00974C0B">
        <w:t>.</w:t>
      </w:r>
      <w:r w:rsidR="00C43F74" w:rsidRPr="00974C0B">
        <w:tab/>
      </w:r>
      <w:r w:rsidR="00C43F74">
        <w:t>T</w:t>
      </w:r>
      <w:r w:rsidR="00C43F74" w:rsidRPr="00974C0B">
        <w:t xml:space="preserve">he Open-ended Working Group on Ageing </w:t>
      </w:r>
      <w:r w:rsidR="00C43F74">
        <w:t>ha</w:t>
      </w:r>
      <w:r w:rsidR="00F37FD8">
        <w:t>s</w:t>
      </w:r>
      <w:r w:rsidR="00C43F74">
        <w:t xml:space="preserve"> examined a</w:t>
      </w:r>
      <w:r w:rsidR="00C43F74" w:rsidRPr="00974C0B">
        <w:t xml:space="preserve"> series of </w:t>
      </w:r>
      <w:r w:rsidR="00F37FD8">
        <w:t xml:space="preserve">topics, including </w:t>
      </w:r>
      <w:r w:rsidR="00C43F74" w:rsidRPr="00974C0B">
        <w:t xml:space="preserve">rights and </w:t>
      </w:r>
      <w:r w:rsidR="00F37FD8">
        <w:t xml:space="preserve">related </w:t>
      </w:r>
      <w:r w:rsidR="00C43F74" w:rsidRPr="00974C0B">
        <w:t xml:space="preserve">issues: </w:t>
      </w:r>
    </w:p>
    <w:p w14:paraId="2942E4CB" w14:textId="368CF3FD" w:rsidR="00FD1EF3" w:rsidRDefault="00C43F74" w:rsidP="00FD1EF3">
      <w:pPr>
        <w:pStyle w:val="ParaNoG"/>
        <w:numPr>
          <w:ilvl w:val="0"/>
          <w:numId w:val="16"/>
        </w:numPr>
        <w:tabs>
          <w:tab w:val="left" w:pos="0"/>
        </w:tabs>
      </w:pPr>
      <w:r w:rsidRPr="00974C0B">
        <w:t>the right to equality and non-discrimination</w:t>
      </w:r>
      <w:r w:rsidR="00FD1EF3">
        <w:t>,</w:t>
      </w:r>
      <w:r w:rsidRPr="00974C0B">
        <w:t xml:space="preserve"> </w:t>
      </w:r>
    </w:p>
    <w:p w14:paraId="47E458D5" w14:textId="33905C99" w:rsidR="00FD1EF3" w:rsidRDefault="00C43F74" w:rsidP="00FD1EF3">
      <w:pPr>
        <w:pStyle w:val="ParaNoG"/>
        <w:numPr>
          <w:ilvl w:val="0"/>
          <w:numId w:val="16"/>
        </w:numPr>
        <w:tabs>
          <w:tab w:val="left" w:pos="0"/>
        </w:tabs>
      </w:pPr>
      <w:r w:rsidRPr="00974C0B">
        <w:t>the right to autonomy and independence</w:t>
      </w:r>
      <w:r w:rsidR="00FD1EF3">
        <w:t>,</w:t>
      </w:r>
      <w:r w:rsidRPr="00974C0B">
        <w:t xml:space="preserve"> </w:t>
      </w:r>
    </w:p>
    <w:p w14:paraId="4CCF966C" w14:textId="36E0608C" w:rsidR="00FD1EF3" w:rsidRDefault="00C43F74" w:rsidP="00FD1EF3">
      <w:pPr>
        <w:pStyle w:val="ParaNoG"/>
        <w:numPr>
          <w:ilvl w:val="0"/>
          <w:numId w:val="16"/>
        </w:numPr>
        <w:tabs>
          <w:tab w:val="left" w:pos="0"/>
        </w:tabs>
      </w:pPr>
      <w:r w:rsidRPr="00974C0B">
        <w:t xml:space="preserve">the right to be free from violence, exploitation, </w:t>
      </w:r>
      <w:r w:rsidR="00D5624F" w:rsidRPr="00974C0B">
        <w:t>abuse,</w:t>
      </w:r>
      <w:r w:rsidRPr="00974C0B">
        <w:t xml:space="preserve"> and neglect</w:t>
      </w:r>
      <w:r w:rsidR="00FD1EF3">
        <w:t>,</w:t>
      </w:r>
      <w:r w:rsidRPr="00974C0B">
        <w:t xml:space="preserve"> </w:t>
      </w:r>
    </w:p>
    <w:p w14:paraId="4127F8FE" w14:textId="65760216" w:rsidR="00FD1EF3" w:rsidRDefault="00C43F74" w:rsidP="00FD1EF3">
      <w:pPr>
        <w:pStyle w:val="ParaNoG"/>
        <w:numPr>
          <w:ilvl w:val="0"/>
          <w:numId w:val="16"/>
        </w:numPr>
        <w:tabs>
          <w:tab w:val="left" w:pos="0"/>
        </w:tabs>
      </w:pPr>
      <w:r w:rsidRPr="00974C0B">
        <w:t>the right to health, including the right to access palliative care</w:t>
      </w:r>
      <w:r w:rsidR="00FD1EF3">
        <w:t>,</w:t>
      </w:r>
      <w:r w:rsidRPr="00974C0B">
        <w:t xml:space="preserve"> </w:t>
      </w:r>
    </w:p>
    <w:p w14:paraId="3F32F3C8" w14:textId="43CDFDF6" w:rsidR="00FD1EF3" w:rsidRDefault="00C43F74" w:rsidP="00FD1EF3">
      <w:pPr>
        <w:pStyle w:val="ParaNoG"/>
        <w:numPr>
          <w:ilvl w:val="0"/>
          <w:numId w:val="16"/>
        </w:numPr>
        <w:tabs>
          <w:tab w:val="left" w:pos="0"/>
        </w:tabs>
      </w:pPr>
      <w:r w:rsidRPr="00974C0B">
        <w:t>the right to an adequate standard of living</w:t>
      </w:r>
      <w:r w:rsidR="00FD1EF3">
        <w:t>,</w:t>
      </w:r>
      <w:r w:rsidRPr="00974C0B">
        <w:t xml:space="preserve"> </w:t>
      </w:r>
    </w:p>
    <w:p w14:paraId="603EB7EB" w14:textId="72F50A5A" w:rsidR="00FD1EF3" w:rsidRDefault="00C43F74" w:rsidP="00FD1EF3">
      <w:pPr>
        <w:pStyle w:val="ParaNoG"/>
        <w:numPr>
          <w:ilvl w:val="0"/>
          <w:numId w:val="16"/>
        </w:numPr>
        <w:tabs>
          <w:tab w:val="left" w:pos="0"/>
        </w:tabs>
      </w:pPr>
      <w:r w:rsidRPr="00974C0B">
        <w:t>the right to work and to access the labour market</w:t>
      </w:r>
      <w:r w:rsidR="00FD1EF3">
        <w:t>,</w:t>
      </w:r>
      <w:r w:rsidRPr="00974C0B">
        <w:t xml:space="preserve"> </w:t>
      </w:r>
    </w:p>
    <w:p w14:paraId="054466F9" w14:textId="58E4B18D" w:rsidR="00FD1EF3" w:rsidRDefault="00C43F74" w:rsidP="00FD1EF3">
      <w:pPr>
        <w:pStyle w:val="ParaNoG"/>
        <w:numPr>
          <w:ilvl w:val="0"/>
          <w:numId w:val="16"/>
        </w:numPr>
        <w:tabs>
          <w:tab w:val="left" w:pos="0"/>
        </w:tabs>
      </w:pPr>
      <w:r w:rsidRPr="00974C0B">
        <w:t xml:space="preserve">the right to social protection and social security, including social protection floors, </w:t>
      </w:r>
      <w:r w:rsidR="00D5624F" w:rsidRPr="00974C0B">
        <w:t>care,</w:t>
      </w:r>
      <w:r w:rsidRPr="00974C0B">
        <w:t xml:space="preserve"> and support; and the right to care and support</w:t>
      </w:r>
      <w:r w:rsidR="00FD1EF3">
        <w:t>,</w:t>
      </w:r>
      <w:r w:rsidRPr="00974C0B">
        <w:t xml:space="preserve"> and </w:t>
      </w:r>
    </w:p>
    <w:p w14:paraId="27061605" w14:textId="587C4E21" w:rsidR="00FD1EF3" w:rsidRDefault="00C43F74" w:rsidP="00FD1EF3">
      <w:pPr>
        <w:pStyle w:val="ParaNoG"/>
        <w:numPr>
          <w:ilvl w:val="0"/>
          <w:numId w:val="16"/>
        </w:numPr>
        <w:tabs>
          <w:tab w:val="left" w:pos="0"/>
        </w:tabs>
        <w:rPr>
          <w:rStyle w:val="EndnoteReference"/>
        </w:rPr>
      </w:pPr>
      <w:proofErr w:type="gramStart"/>
      <w:r w:rsidRPr="00974C0B">
        <w:t>the</w:t>
      </w:r>
      <w:proofErr w:type="gramEnd"/>
      <w:r w:rsidRPr="00974C0B">
        <w:t xml:space="preserve"> right to education, traini</w:t>
      </w:r>
      <w:bookmarkStart w:id="12" w:name="_GoBack"/>
      <w:bookmarkEnd w:id="12"/>
      <w:r w:rsidRPr="00974C0B">
        <w:t xml:space="preserve">ng, lifelong </w:t>
      </w:r>
      <w:r w:rsidR="00D5624F" w:rsidRPr="00974C0B">
        <w:t>learning,</w:t>
      </w:r>
      <w:r w:rsidRPr="00974C0B">
        <w:t xml:space="preserve"> and capacity-building.</w:t>
      </w:r>
      <w:r w:rsidRPr="00974C0B">
        <w:rPr>
          <w:rStyle w:val="EndnoteReference"/>
        </w:rPr>
        <w:endnoteReference w:id="62"/>
      </w:r>
      <w:r w:rsidRPr="00974C0B">
        <w:rPr>
          <w:rStyle w:val="EndnoteReference"/>
        </w:rPr>
        <w:t xml:space="preserve"> </w:t>
      </w:r>
    </w:p>
    <w:p w14:paraId="0F44EAFA" w14:textId="5E7070BC" w:rsidR="00C43F74" w:rsidRPr="00974C0B" w:rsidRDefault="00C43F74" w:rsidP="00952E3E">
      <w:pPr>
        <w:pStyle w:val="ParaNoG"/>
        <w:numPr>
          <w:ilvl w:val="0"/>
          <w:numId w:val="0"/>
        </w:numPr>
        <w:tabs>
          <w:tab w:val="left" w:pos="0"/>
        </w:tabs>
        <w:ind w:left="1134"/>
      </w:pPr>
      <w:r w:rsidRPr="00974C0B">
        <w:t xml:space="preserve">Some of these rights are explicitly guaranteed in existing human rights treaties, </w:t>
      </w:r>
      <w:r w:rsidR="00D5624F">
        <w:t>e.g.,</w:t>
      </w:r>
      <w:r w:rsidRPr="00974C0B">
        <w:t xml:space="preserve"> social security and education, while others</w:t>
      </w:r>
      <w:r>
        <w:t xml:space="preserve"> are not, </w:t>
      </w:r>
      <w:r w:rsidR="00D5624F">
        <w:t>e.g.,</w:t>
      </w:r>
      <w:r w:rsidRPr="00974C0B">
        <w:t xml:space="preserve"> long-term care and support and palliative care. In some cases, the normative scope of the existing rights </w:t>
      </w:r>
      <w:proofErr w:type="gramStart"/>
      <w:r w:rsidRPr="00974C0B">
        <w:t>may be interpreted</w:t>
      </w:r>
      <w:proofErr w:type="gramEnd"/>
      <w:r w:rsidRPr="00974C0B">
        <w:t xml:space="preserve"> to cover matters </w:t>
      </w:r>
      <w:r w:rsidR="002E2751">
        <w:t xml:space="preserve">that </w:t>
      </w:r>
      <w:r w:rsidRPr="00974C0B">
        <w:t>particular</w:t>
      </w:r>
      <w:r w:rsidR="002E2751">
        <w:t>ly</w:t>
      </w:r>
      <w:r w:rsidRPr="00974C0B">
        <w:t xml:space="preserve"> concern older persons</w:t>
      </w:r>
      <w:r w:rsidR="005D5003">
        <w:t>. However</w:t>
      </w:r>
      <w:r w:rsidRPr="00974C0B">
        <w:t>, interpret</w:t>
      </w:r>
      <w:r w:rsidR="002E2751">
        <w:t>ing</w:t>
      </w:r>
      <w:r w:rsidRPr="00974C0B">
        <w:t xml:space="preserve"> and appl</w:t>
      </w:r>
      <w:r w:rsidR="002E2751">
        <w:t xml:space="preserve">ying </w:t>
      </w:r>
      <w:r w:rsidRPr="00974C0B">
        <w:t xml:space="preserve">those rights </w:t>
      </w:r>
      <w:r w:rsidR="006D0956">
        <w:t>have</w:t>
      </w:r>
      <w:r w:rsidRPr="00974C0B">
        <w:t xml:space="preserve"> often </w:t>
      </w:r>
      <w:r w:rsidR="002E2751">
        <w:t xml:space="preserve">not </w:t>
      </w:r>
      <w:r w:rsidRPr="00974C0B">
        <w:t>provid</w:t>
      </w:r>
      <w:r w:rsidR="002E2751">
        <w:t>ed</w:t>
      </w:r>
      <w:r w:rsidRPr="00974C0B">
        <w:t xml:space="preserve"> adequate protection.</w:t>
      </w:r>
    </w:p>
    <w:p w14:paraId="61F73356" w14:textId="1AA1BE75" w:rsidR="00C43F74" w:rsidRPr="00974C0B" w:rsidRDefault="000C2CF9" w:rsidP="00952E3E">
      <w:pPr>
        <w:pStyle w:val="ParaNoG"/>
        <w:numPr>
          <w:ilvl w:val="0"/>
          <w:numId w:val="0"/>
        </w:numPr>
        <w:tabs>
          <w:tab w:val="left" w:pos="0"/>
        </w:tabs>
        <w:ind w:left="1134"/>
        <w:rPr>
          <w:rFonts w:eastAsiaTheme="minorEastAsia"/>
          <w:lang w:eastAsia="ja-JP"/>
        </w:rPr>
      </w:pPr>
      <w:proofErr w:type="gramStart"/>
      <w:r>
        <w:rPr>
          <w:rFonts w:eastAsiaTheme="minorEastAsia"/>
          <w:lang w:eastAsia="ja-JP"/>
        </w:rPr>
        <w:t>47</w:t>
      </w:r>
      <w:r w:rsidR="00C43F74" w:rsidRPr="00974C0B">
        <w:rPr>
          <w:rFonts w:eastAsiaTheme="minorEastAsia"/>
          <w:lang w:eastAsia="ja-JP"/>
        </w:rPr>
        <w:t>.</w:t>
      </w:r>
      <w:r w:rsidR="00C43F74" w:rsidRPr="00974C0B">
        <w:rPr>
          <w:rFonts w:eastAsiaTheme="minorEastAsia"/>
          <w:lang w:eastAsia="ja-JP"/>
        </w:rPr>
        <w:tab/>
      </w:r>
      <w:r w:rsidR="00C43F74" w:rsidRPr="00974C0B">
        <w:t>Even</w:t>
      </w:r>
      <w:proofErr w:type="gramEnd"/>
      <w:r w:rsidR="00C43F74" w:rsidRPr="00974C0B">
        <w:t xml:space="preserve"> where treaty bodies engage with issues covered by explicit guarantees, there remain conceptual limitations in the underlying rights frameworks. One example is </w:t>
      </w:r>
      <w:r w:rsidR="00C43F74" w:rsidRPr="00974C0B">
        <w:rPr>
          <w:i/>
        </w:rPr>
        <w:t>the right to social security</w:t>
      </w:r>
      <w:r w:rsidR="00C43F74" w:rsidRPr="00974C0B">
        <w:t xml:space="preserve">, which includes old-age social support, a topic extensively developed through the International Labour </w:t>
      </w:r>
      <w:proofErr w:type="gramStart"/>
      <w:r w:rsidR="00C43F74" w:rsidRPr="00974C0B">
        <w:t>Organization’s</w:t>
      </w:r>
      <w:proofErr w:type="gramEnd"/>
      <w:r w:rsidR="00C43F74" w:rsidRPr="00974C0B">
        <w:t xml:space="preserve"> specialized conventions. </w:t>
      </w:r>
      <w:r w:rsidR="002E2751">
        <w:t xml:space="preserve">However, </w:t>
      </w:r>
      <w:r w:rsidR="002E2751" w:rsidRPr="00974C0B">
        <w:rPr>
          <w:rFonts w:eastAsiaTheme="minorEastAsia"/>
          <w:lang w:eastAsia="ja-JP"/>
        </w:rPr>
        <w:t>ageist assumptions and stereotypes</w:t>
      </w:r>
      <w:r w:rsidR="002E2751">
        <w:t xml:space="preserve"> influence the u</w:t>
      </w:r>
      <w:r w:rsidR="00C43F74" w:rsidRPr="00974C0B">
        <w:t>nderlying d</w:t>
      </w:r>
      <w:r w:rsidR="00C43F74" w:rsidRPr="00974C0B">
        <w:rPr>
          <w:rFonts w:eastAsiaTheme="minorEastAsia"/>
          <w:lang w:eastAsia="ja-JP"/>
        </w:rPr>
        <w:t xml:space="preserve">iscussions about designing sustainable systems to ensure social protection, </w:t>
      </w:r>
      <w:r w:rsidR="00D5624F">
        <w:rPr>
          <w:rFonts w:eastAsiaTheme="minorEastAsia"/>
          <w:lang w:eastAsia="ja-JP"/>
        </w:rPr>
        <w:t>e.g.,</w:t>
      </w:r>
      <w:r w:rsidR="00C43F74" w:rsidRPr="00974C0B">
        <w:rPr>
          <w:rFonts w:eastAsiaTheme="minorEastAsia"/>
          <w:lang w:eastAsia="ja-JP"/>
        </w:rPr>
        <w:t xml:space="preserve"> </w:t>
      </w:r>
      <w:r w:rsidR="002E2751">
        <w:rPr>
          <w:rFonts w:eastAsiaTheme="minorEastAsia"/>
          <w:lang w:eastAsia="ja-JP"/>
        </w:rPr>
        <w:t xml:space="preserve">when calculating dependency ratios, </w:t>
      </w:r>
      <w:r w:rsidR="00C43F74" w:rsidRPr="00974C0B">
        <w:rPr>
          <w:rFonts w:eastAsiaTheme="minorEastAsia"/>
          <w:lang w:eastAsia="ja-JP"/>
        </w:rPr>
        <w:t xml:space="preserve">the assumption </w:t>
      </w:r>
      <w:r w:rsidR="002E2751">
        <w:rPr>
          <w:rFonts w:eastAsiaTheme="minorEastAsia"/>
          <w:lang w:eastAsia="ja-JP"/>
        </w:rPr>
        <w:t xml:space="preserve">is </w:t>
      </w:r>
      <w:r w:rsidR="00C43F74" w:rsidRPr="00974C0B">
        <w:rPr>
          <w:rFonts w:eastAsiaTheme="minorEastAsia"/>
          <w:lang w:eastAsia="ja-JP"/>
        </w:rPr>
        <w:t>that the “working population cohort” is all engaged in work and that the older population is not.</w:t>
      </w:r>
      <w:r w:rsidR="00C43F74" w:rsidRPr="00974C0B">
        <w:rPr>
          <w:rStyle w:val="EndnoteReference"/>
        </w:rPr>
        <w:endnoteReference w:id="63"/>
      </w:r>
      <w:r w:rsidR="00C43F74" w:rsidRPr="00974C0B">
        <w:rPr>
          <w:rStyle w:val="EndnoteReference"/>
        </w:rPr>
        <w:t xml:space="preserve"> </w:t>
      </w:r>
      <w:r w:rsidR="0064657F">
        <w:t>A</w:t>
      </w:r>
      <w:r w:rsidR="00C43F74" w:rsidRPr="00974C0B">
        <w:rPr>
          <w:rFonts w:eastAsiaTheme="minorEastAsia"/>
          <w:lang w:eastAsia="ja-JP"/>
        </w:rPr>
        <w:t xml:space="preserve"> case </w:t>
      </w:r>
      <w:r w:rsidR="0064657F">
        <w:rPr>
          <w:rFonts w:eastAsiaTheme="minorEastAsia"/>
          <w:lang w:eastAsia="ja-JP"/>
        </w:rPr>
        <w:t xml:space="preserve">exists </w:t>
      </w:r>
      <w:r w:rsidR="00C43F74" w:rsidRPr="00974C0B">
        <w:rPr>
          <w:rFonts w:eastAsiaTheme="minorEastAsia"/>
          <w:lang w:eastAsia="ja-JP"/>
        </w:rPr>
        <w:t xml:space="preserve">for </w:t>
      </w:r>
      <w:r w:rsidR="00CE760B">
        <w:rPr>
          <w:rFonts w:eastAsiaTheme="minorEastAsia"/>
          <w:lang w:eastAsia="ja-JP"/>
        </w:rPr>
        <w:t xml:space="preserve">updating </w:t>
      </w:r>
      <w:r w:rsidR="00C43F74" w:rsidRPr="00974C0B">
        <w:rPr>
          <w:rFonts w:eastAsiaTheme="minorEastAsia"/>
          <w:lang w:eastAsia="ja-JP"/>
        </w:rPr>
        <w:t xml:space="preserve">these existing protections </w:t>
      </w:r>
      <w:r w:rsidR="002E2751">
        <w:rPr>
          <w:rFonts w:eastAsiaTheme="minorEastAsia"/>
          <w:lang w:eastAsia="ja-JP"/>
        </w:rPr>
        <w:t xml:space="preserve">to reflect </w:t>
      </w:r>
      <w:r w:rsidR="00C43F74" w:rsidRPr="00974C0B">
        <w:rPr>
          <w:rFonts w:eastAsiaTheme="minorEastAsia"/>
          <w:lang w:eastAsia="ja-JP"/>
        </w:rPr>
        <w:t>the transformations taking place</w:t>
      </w:r>
      <w:r w:rsidR="0064657F">
        <w:rPr>
          <w:rFonts w:eastAsiaTheme="minorEastAsia"/>
          <w:lang w:eastAsia="ja-JP"/>
        </w:rPr>
        <w:t>: (a)</w:t>
      </w:r>
      <w:r w:rsidR="00C43F74" w:rsidRPr="00974C0B">
        <w:rPr>
          <w:rFonts w:eastAsiaTheme="minorEastAsia"/>
          <w:lang w:eastAsia="ja-JP"/>
        </w:rPr>
        <w:t xml:space="preserve"> in the </w:t>
      </w:r>
      <w:r w:rsidR="00CE760B">
        <w:rPr>
          <w:rFonts w:eastAsiaTheme="minorEastAsia"/>
          <w:lang w:eastAsia="ja-JP"/>
        </w:rPr>
        <w:t>workplace</w:t>
      </w:r>
      <w:r w:rsidR="0064657F">
        <w:rPr>
          <w:rFonts w:eastAsiaTheme="minorEastAsia"/>
          <w:lang w:eastAsia="ja-JP"/>
        </w:rPr>
        <w:t>,</w:t>
      </w:r>
      <w:r w:rsidR="00C43F74" w:rsidRPr="00974C0B">
        <w:rPr>
          <w:rFonts w:eastAsiaTheme="minorEastAsia"/>
          <w:lang w:eastAsia="ja-JP"/>
        </w:rPr>
        <w:t xml:space="preserve"> and </w:t>
      </w:r>
      <w:r w:rsidR="0064657F">
        <w:rPr>
          <w:rFonts w:eastAsiaTheme="minorEastAsia"/>
          <w:lang w:eastAsia="ja-JP"/>
        </w:rPr>
        <w:t xml:space="preserve">(b) in </w:t>
      </w:r>
      <w:r w:rsidR="00C43F74" w:rsidRPr="00974C0B">
        <w:rPr>
          <w:rFonts w:eastAsiaTheme="minorEastAsia"/>
          <w:lang w:eastAsia="ja-JP"/>
        </w:rPr>
        <w:t>old age-related policies and legal frameworks.</w:t>
      </w:r>
    </w:p>
    <w:p w14:paraId="6379651F" w14:textId="4A144008" w:rsidR="00C43F74" w:rsidRPr="00974C0B" w:rsidRDefault="000C2CF9" w:rsidP="00952E3E">
      <w:pPr>
        <w:pStyle w:val="ParaNoG"/>
        <w:numPr>
          <w:ilvl w:val="0"/>
          <w:numId w:val="0"/>
        </w:numPr>
        <w:tabs>
          <w:tab w:val="left" w:pos="0"/>
        </w:tabs>
        <w:ind w:left="1134"/>
        <w:rPr>
          <w:szCs w:val="24"/>
        </w:rPr>
      </w:pPr>
      <w:r>
        <w:rPr>
          <w:szCs w:val="24"/>
        </w:rPr>
        <w:t>48</w:t>
      </w:r>
      <w:r w:rsidR="00C43F74" w:rsidRPr="00974C0B">
        <w:rPr>
          <w:szCs w:val="24"/>
        </w:rPr>
        <w:t>.</w:t>
      </w:r>
      <w:r w:rsidR="00C43F74" w:rsidRPr="00974C0B">
        <w:rPr>
          <w:szCs w:val="24"/>
        </w:rPr>
        <w:tab/>
      </w:r>
      <w:r w:rsidR="00C43F74" w:rsidRPr="00974C0B">
        <w:rPr>
          <w:rFonts w:eastAsiaTheme="minorEastAsia"/>
          <w:lang w:eastAsia="ja-JP"/>
        </w:rPr>
        <w:t xml:space="preserve">Another deficient conceptual framework </w:t>
      </w:r>
      <w:r w:rsidR="00CE760B">
        <w:rPr>
          <w:rFonts w:eastAsiaTheme="minorEastAsia"/>
          <w:lang w:eastAsia="ja-JP"/>
        </w:rPr>
        <w:t xml:space="preserve">may have caused older persons </w:t>
      </w:r>
      <w:r w:rsidR="00C43F74" w:rsidRPr="00974C0B">
        <w:rPr>
          <w:rFonts w:eastAsiaTheme="minorEastAsia"/>
          <w:lang w:eastAsia="ja-JP"/>
        </w:rPr>
        <w:t xml:space="preserve">to </w:t>
      </w:r>
      <w:r w:rsidR="00CE760B">
        <w:rPr>
          <w:rFonts w:eastAsiaTheme="minorEastAsia"/>
          <w:lang w:eastAsia="ja-JP"/>
        </w:rPr>
        <w:t xml:space="preserve">become </w:t>
      </w:r>
      <w:r w:rsidR="00CE760B" w:rsidRPr="00974C0B">
        <w:rPr>
          <w:rFonts w:eastAsiaTheme="minorEastAsia"/>
          <w:lang w:eastAsia="ja-JP"/>
        </w:rPr>
        <w:t>invisible</w:t>
      </w:r>
      <w:r w:rsidR="00C43F74" w:rsidRPr="00974C0B">
        <w:rPr>
          <w:rFonts w:eastAsiaTheme="minorEastAsia"/>
          <w:lang w:eastAsia="ja-JP"/>
        </w:rPr>
        <w:t xml:space="preserve"> </w:t>
      </w:r>
      <w:r w:rsidR="007A0084">
        <w:rPr>
          <w:rFonts w:eastAsiaTheme="minorEastAsia"/>
          <w:lang w:eastAsia="ja-JP"/>
        </w:rPr>
        <w:t xml:space="preserve">concerning </w:t>
      </w:r>
      <w:r w:rsidR="00C43F74" w:rsidRPr="00974C0B">
        <w:rPr>
          <w:rFonts w:eastAsiaTheme="minorEastAsia"/>
          <w:lang w:eastAsia="ja-JP"/>
        </w:rPr>
        <w:t xml:space="preserve">the </w:t>
      </w:r>
      <w:r w:rsidR="00C43F74" w:rsidRPr="00974C0B">
        <w:rPr>
          <w:i/>
        </w:rPr>
        <w:t>right to education</w:t>
      </w:r>
      <w:r w:rsidR="00C43F74" w:rsidRPr="00974C0B">
        <w:rPr>
          <w:rFonts w:eastAsiaTheme="minorEastAsia"/>
          <w:lang w:eastAsia="ja-JP"/>
        </w:rPr>
        <w:t>.</w:t>
      </w:r>
      <w:r w:rsidR="00C43F74" w:rsidRPr="00974C0B">
        <w:rPr>
          <w:rStyle w:val="EndnoteReference"/>
        </w:rPr>
        <w:endnoteReference w:id="64"/>
      </w:r>
      <w:r w:rsidR="00C43F74" w:rsidRPr="00974C0B">
        <w:rPr>
          <w:rStyle w:val="EndnoteReference"/>
        </w:rPr>
        <w:t xml:space="preserve"> </w:t>
      </w:r>
      <w:r w:rsidR="00C43F74" w:rsidRPr="00974C0B">
        <w:rPr>
          <w:rFonts w:eastAsiaTheme="minorEastAsia"/>
          <w:lang w:eastAsia="ja-JP"/>
        </w:rPr>
        <w:t xml:space="preserve">Older persons have the right to access lifelong learning, vocational </w:t>
      </w:r>
      <w:r w:rsidR="00D5624F" w:rsidRPr="00974C0B">
        <w:rPr>
          <w:rFonts w:eastAsiaTheme="minorEastAsia"/>
          <w:lang w:eastAsia="ja-JP"/>
        </w:rPr>
        <w:t>training,</w:t>
      </w:r>
      <w:r w:rsidR="00C43F74" w:rsidRPr="00974C0B">
        <w:rPr>
          <w:rFonts w:eastAsiaTheme="minorEastAsia"/>
          <w:lang w:eastAsia="ja-JP"/>
        </w:rPr>
        <w:t xml:space="preserve"> and </w:t>
      </w:r>
      <w:proofErr w:type="gramStart"/>
      <w:r w:rsidR="00C43F74" w:rsidRPr="00974C0B">
        <w:rPr>
          <w:rFonts w:eastAsiaTheme="minorEastAsia"/>
          <w:lang w:eastAsia="ja-JP"/>
        </w:rPr>
        <w:t>capacity-building</w:t>
      </w:r>
      <w:proofErr w:type="gramEnd"/>
      <w:r w:rsidR="00C43F74" w:rsidRPr="00974C0B">
        <w:rPr>
          <w:rFonts w:eastAsiaTheme="minorEastAsia"/>
          <w:lang w:eastAsia="ja-JP"/>
        </w:rPr>
        <w:t>, for instrumental reasons (</w:t>
      </w:r>
      <w:r w:rsidR="00D5624F">
        <w:rPr>
          <w:rFonts w:eastAsiaTheme="minorEastAsia"/>
          <w:lang w:eastAsia="ja-JP"/>
        </w:rPr>
        <w:t>e.g.,</w:t>
      </w:r>
      <w:r w:rsidR="00C43F74" w:rsidRPr="00974C0B">
        <w:rPr>
          <w:rFonts w:eastAsiaTheme="minorEastAsia"/>
          <w:lang w:eastAsia="ja-JP"/>
        </w:rPr>
        <w:t xml:space="preserve"> updating or acquiring new skills for employment) and for personal development. </w:t>
      </w:r>
      <w:r w:rsidR="00CE760B">
        <w:rPr>
          <w:rFonts w:eastAsiaTheme="minorEastAsia"/>
          <w:lang w:eastAsia="ja-JP"/>
        </w:rPr>
        <w:t xml:space="preserve">However, </w:t>
      </w:r>
      <w:r w:rsidR="00CE760B" w:rsidRPr="00974C0B">
        <w:rPr>
          <w:rFonts w:eastAsiaTheme="minorEastAsia"/>
          <w:lang w:eastAsia="ja-JP"/>
        </w:rPr>
        <w:t>systematic exclusion or ageist attitudes</w:t>
      </w:r>
      <w:r w:rsidR="00CE760B">
        <w:rPr>
          <w:rFonts w:eastAsiaTheme="minorEastAsia"/>
          <w:lang w:eastAsia="ja-JP"/>
        </w:rPr>
        <w:t xml:space="preserve"> often deny o</w:t>
      </w:r>
      <w:r w:rsidR="00C43F74" w:rsidRPr="00974C0B">
        <w:rPr>
          <w:rFonts w:eastAsiaTheme="minorEastAsia"/>
          <w:lang w:eastAsia="ja-JP"/>
        </w:rPr>
        <w:t xml:space="preserve">lder persons </w:t>
      </w:r>
      <w:r w:rsidR="00CE760B">
        <w:rPr>
          <w:rFonts w:eastAsiaTheme="minorEastAsia"/>
          <w:lang w:eastAsia="ja-JP"/>
        </w:rPr>
        <w:t>from doing so</w:t>
      </w:r>
      <w:r w:rsidR="00C43F74" w:rsidRPr="00974C0B">
        <w:rPr>
          <w:rFonts w:eastAsiaTheme="minorEastAsia"/>
          <w:lang w:eastAsia="ja-JP"/>
        </w:rPr>
        <w:t xml:space="preserve">. </w:t>
      </w:r>
      <w:r w:rsidR="00C43F74" w:rsidRPr="00974C0B">
        <w:rPr>
          <w:szCs w:val="24"/>
        </w:rPr>
        <w:t>The framework underpinning the guarantee of the right to education in article 13 of the International Covenant on Economic, Social and Cultural Rights</w:t>
      </w:r>
      <w:r w:rsidR="00C43F74" w:rsidRPr="00974C0B" w:rsidDel="00F51A95">
        <w:rPr>
          <w:szCs w:val="24"/>
        </w:rPr>
        <w:t xml:space="preserve"> </w:t>
      </w:r>
      <w:r w:rsidR="00C43F74" w:rsidRPr="00974C0B">
        <w:rPr>
          <w:szCs w:val="24"/>
        </w:rPr>
        <w:t xml:space="preserve">and other treaties </w:t>
      </w:r>
      <w:r w:rsidR="00CE760B">
        <w:rPr>
          <w:szCs w:val="24"/>
        </w:rPr>
        <w:t xml:space="preserve">was </w:t>
      </w:r>
      <w:r w:rsidR="00C43F74" w:rsidRPr="00974C0B">
        <w:rPr>
          <w:szCs w:val="24"/>
        </w:rPr>
        <w:t xml:space="preserve">developed </w:t>
      </w:r>
      <w:r w:rsidR="00CE760B">
        <w:rPr>
          <w:szCs w:val="24"/>
        </w:rPr>
        <w:t xml:space="preserve">assuming people </w:t>
      </w:r>
      <w:r w:rsidR="00C43F74" w:rsidRPr="00974C0B">
        <w:rPr>
          <w:szCs w:val="24"/>
        </w:rPr>
        <w:t>receive basic education in primary school, with the goal of secondary education and further education as appropriate. This was to prepare people for employment, after which</w:t>
      </w:r>
      <w:r w:rsidR="00CE760B">
        <w:rPr>
          <w:szCs w:val="24"/>
        </w:rPr>
        <w:t>,</w:t>
      </w:r>
      <w:r w:rsidR="00C43F74" w:rsidRPr="00974C0B">
        <w:rPr>
          <w:szCs w:val="24"/>
        </w:rPr>
        <w:t xml:space="preserve"> they would work for a period before retiring from the workforce, with most people living only a few years in retirement. </w:t>
      </w:r>
    </w:p>
    <w:p w14:paraId="43295245" w14:textId="6DD305B9" w:rsidR="00C43F74" w:rsidRPr="00974C0B" w:rsidRDefault="000C2CF9" w:rsidP="00952E3E">
      <w:pPr>
        <w:pStyle w:val="ParaNoG"/>
        <w:numPr>
          <w:ilvl w:val="0"/>
          <w:numId w:val="0"/>
        </w:numPr>
        <w:tabs>
          <w:tab w:val="left" w:pos="0"/>
        </w:tabs>
        <w:ind w:left="1134"/>
        <w:rPr>
          <w:szCs w:val="24"/>
        </w:rPr>
      </w:pPr>
      <w:r>
        <w:rPr>
          <w:szCs w:val="24"/>
        </w:rPr>
        <w:t>49</w:t>
      </w:r>
      <w:r w:rsidR="00C43F74" w:rsidRPr="00974C0B">
        <w:rPr>
          <w:szCs w:val="24"/>
        </w:rPr>
        <w:t>.</w:t>
      </w:r>
      <w:r w:rsidR="00C43F74" w:rsidRPr="00974C0B">
        <w:rPr>
          <w:szCs w:val="24"/>
        </w:rPr>
        <w:tab/>
      </w:r>
      <w:r w:rsidR="00CE760B">
        <w:rPr>
          <w:szCs w:val="24"/>
        </w:rPr>
        <w:t>By focusing on t</w:t>
      </w:r>
      <w:r w:rsidR="00C43F74" w:rsidRPr="00974C0B">
        <w:rPr>
          <w:szCs w:val="24"/>
        </w:rPr>
        <w:t>he right</w:t>
      </w:r>
      <w:r w:rsidR="00CE760B">
        <w:rPr>
          <w:szCs w:val="24"/>
        </w:rPr>
        <w:t xml:space="preserve"> </w:t>
      </w:r>
      <w:r w:rsidR="00C43F74" w:rsidRPr="00974C0B">
        <w:rPr>
          <w:szCs w:val="24"/>
        </w:rPr>
        <w:t>to</w:t>
      </w:r>
      <w:r w:rsidR="00CE760B">
        <w:rPr>
          <w:szCs w:val="24"/>
        </w:rPr>
        <w:t xml:space="preserve"> </w:t>
      </w:r>
      <w:r w:rsidR="00C43F74" w:rsidRPr="00974C0B">
        <w:rPr>
          <w:szCs w:val="24"/>
        </w:rPr>
        <w:t xml:space="preserve">education </w:t>
      </w:r>
      <w:r w:rsidR="00CE760B">
        <w:rPr>
          <w:szCs w:val="24"/>
        </w:rPr>
        <w:t>during</w:t>
      </w:r>
      <w:r w:rsidR="00C43F74" w:rsidRPr="00974C0B">
        <w:rPr>
          <w:szCs w:val="24"/>
        </w:rPr>
        <w:t xml:space="preserve"> the early stages of life, </w:t>
      </w:r>
      <w:r w:rsidR="00CE760B">
        <w:rPr>
          <w:szCs w:val="24"/>
        </w:rPr>
        <w:t xml:space="preserve">and prioritising </w:t>
      </w:r>
      <w:r w:rsidR="00C43F74" w:rsidRPr="00974C0B">
        <w:rPr>
          <w:szCs w:val="24"/>
        </w:rPr>
        <w:t xml:space="preserve">primary and secondary education, </w:t>
      </w:r>
      <w:r w:rsidR="00CE760B">
        <w:rPr>
          <w:szCs w:val="24"/>
        </w:rPr>
        <w:t xml:space="preserve">this </w:t>
      </w:r>
      <w:r w:rsidR="00C43F74" w:rsidRPr="00974C0B">
        <w:rPr>
          <w:szCs w:val="24"/>
        </w:rPr>
        <w:t xml:space="preserve">has influenced how States have </w:t>
      </w:r>
      <w:r w:rsidR="00CE760B">
        <w:rPr>
          <w:szCs w:val="24"/>
        </w:rPr>
        <w:t xml:space="preserve">implemented </w:t>
      </w:r>
      <w:r w:rsidR="00C43F74" w:rsidRPr="00974C0B">
        <w:rPr>
          <w:szCs w:val="24"/>
        </w:rPr>
        <w:t xml:space="preserve">this right, </w:t>
      </w:r>
      <w:r w:rsidR="00CE760B">
        <w:rPr>
          <w:szCs w:val="24"/>
        </w:rPr>
        <w:t>despite</w:t>
      </w:r>
      <w:r w:rsidR="00C43F74" w:rsidRPr="00974C0B">
        <w:rPr>
          <w:szCs w:val="24"/>
        </w:rPr>
        <w:t xml:space="preserve"> recent developments to develop </w:t>
      </w:r>
      <w:r w:rsidR="00CE760B" w:rsidRPr="00974C0B">
        <w:rPr>
          <w:szCs w:val="24"/>
        </w:rPr>
        <w:t>older persons</w:t>
      </w:r>
      <w:r w:rsidR="00CE760B">
        <w:rPr>
          <w:szCs w:val="24"/>
        </w:rPr>
        <w:t>’</w:t>
      </w:r>
      <w:r w:rsidR="00CE760B" w:rsidRPr="00974C0B">
        <w:rPr>
          <w:szCs w:val="24"/>
        </w:rPr>
        <w:t xml:space="preserve"> </w:t>
      </w:r>
      <w:r w:rsidR="00C43F74" w:rsidRPr="00974C0B">
        <w:rPr>
          <w:szCs w:val="24"/>
        </w:rPr>
        <w:t>educational opportunities.</w:t>
      </w:r>
      <w:r w:rsidR="00C43F74" w:rsidRPr="00974C0B">
        <w:rPr>
          <w:rStyle w:val="EndnoteReference"/>
        </w:rPr>
        <w:endnoteReference w:id="65"/>
      </w:r>
      <w:r w:rsidR="00C43F74" w:rsidRPr="00974C0B">
        <w:rPr>
          <w:rStyle w:val="EndnoteReference"/>
        </w:rPr>
        <w:t xml:space="preserve"> </w:t>
      </w:r>
      <w:r w:rsidR="00C43F74" w:rsidRPr="00974C0B">
        <w:rPr>
          <w:szCs w:val="24"/>
        </w:rPr>
        <w:t xml:space="preserve">Yet many things have changed since the “three-stage life” framework </w:t>
      </w:r>
      <w:r w:rsidR="00CE760B">
        <w:rPr>
          <w:szCs w:val="24"/>
        </w:rPr>
        <w:t xml:space="preserve">was </w:t>
      </w:r>
      <w:r w:rsidR="00CE760B" w:rsidRPr="00974C0B">
        <w:rPr>
          <w:szCs w:val="24"/>
        </w:rPr>
        <w:t>develop</w:t>
      </w:r>
      <w:r w:rsidR="00CE760B">
        <w:rPr>
          <w:szCs w:val="24"/>
        </w:rPr>
        <w:t>ed</w:t>
      </w:r>
      <w:r w:rsidR="00CE760B" w:rsidRPr="00974C0B">
        <w:rPr>
          <w:szCs w:val="24"/>
        </w:rPr>
        <w:t xml:space="preserve"> </w:t>
      </w:r>
      <w:r w:rsidR="00C43F74" w:rsidRPr="00974C0B">
        <w:rPr>
          <w:szCs w:val="24"/>
        </w:rPr>
        <w:t>that article 13 reflects.</w:t>
      </w:r>
      <w:r w:rsidR="00C43F74" w:rsidRPr="00974C0B">
        <w:rPr>
          <w:rStyle w:val="EndnoteReference"/>
        </w:rPr>
        <w:endnoteReference w:id="66"/>
      </w:r>
      <w:r w:rsidR="00C43F74" w:rsidRPr="00974C0B">
        <w:rPr>
          <w:rStyle w:val="EndnoteReference"/>
        </w:rPr>
        <w:t xml:space="preserve"> </w:t>
      </w:r>
      <w:r w:rsidR="00C43F74" w:rsidRPr="00974C0B">
        <w:rPr>
          <w:szCs w:val="24"/>
        </w:rPr>
        <w:t>Above all, the significant increases in human longevity</w:t>
      </w:r>
      <w:r w:rsidR="00CE760B">
        <w:rPr>
          <w:szCs w:val="24"/>
        </w:rPr>
        <w:t>,</w:t>
      </w:r>
      <w:r w:rsidR="00C43F74" w:rsidRPr="00974C0B">
        <w:rPr>
          <w:szCs w:val="24"/>
        </w:rPr>
        <w:t xml:space="preserve"> many more people continu</w:t>
      </w:r>
      <w:r w:rsidR="00CE760B">
        <w:rPr>
          <w:szCs w:val="24"/>
        </w:rPr>
        <w:t>ing</w:t>
      </w:r>
      <w:r w:rsidR="00C43F74" w:rsidRPr="00974C0B">
        <w:rPr>
          <w:szCs w:val="24"/>
        </w:rPr>
        <w:t xml:space="preserve"> in </w:t>
      </w:r>
      <w:r w:rsidR="00CE760B">
        <w:rPr>
          <w:szCs w:val="24"/>
        </w:rPr>
        <w:t>paid</w:t>
      </w:r>
      <w:r w:rsidR="00C43F74" w:rsidRPr="00974C0B">
        <w:rPr>
          <w:szCs w:val="24"/>
        </w:rPr>
        <w:t xml:space="preserve"> work beyond “standard retirement age”</w:t>
      </w:r>
      <w:r w:rsidR="00CE760B">
        <w:rPr>
          <w:szCs w:val="24"/>
        </w:rPr>
        <w:t>,</w:t>
      </w:r>
      <w:r w:rsidR="00C43F74" w:rsidRPr="00974C0B">
        <w:rPr>
          <w:szCs w:val="24"/>
        </w:rPr>
        <w:t xml:space="preserve"> and engage</w:t>
      </w:r>
      <w:r w:rsidR="00CE760B">
        <w:rPr>
          <w:szCs w:val="24"/>
        </w:rPr>
        <w:t>ment</w:t>
      </w:r>
      <w:r w:rsidR="00C43F74" w:rsidRPr="00974C0B">
        <w:rPr>
          <w:szCs w:val="24"/>
        </w:rPr>
        <w:t xml:space="preserve"> in many other activities of social and economic value pose challenges to a right-to-education </w:t>
      </w:r>
      <w:r w:rsidR="00CE760B">
        <w:rPr>
          <w:szCs w:val="24"/>
        </w:rPr>
        <w:t xml:space="preserve">approach that favours </w:t>
      </w:r>
      <w:r w:rsidR="00C43F74" w:rsidRPr="00974C0B">
        <w:rPr>
          <w:szCs w:val="24"/>
        </w:rPr>
        <w:t>earlier stages of life.</w:t>
      </w:r>
    </w:p>
    <w:p w14:paraId="2345EC26" w14:textId="4E54D47C" w:rsidR="00C43F74" w:rsidRPr="00974C0B" w:rsidRDefault="000C2CF9" w:rsidP="00952E3E">
      <w:pPr>
        <w:pStyle w:val="ParaNoG"/>
        <w:numPr>
          <w:ilvl w:val="0"/>
          <w:numId w:val="0"/>
        </w:numPr>
        <w:tabs>
          <w:tab w:val="left" w:pos="0"/>
        </w:tabs>
        <w:ind w:left="1134"/>
        <w:rPr>
          <w:szCs w:val="24"/>
        </w:rPr>
      </w:pPr>
      <w:r>
        <w:rPr>
          <w:szCs w:val="24"/>
        </w:rPr>
        <w:t>50</w:t>
      </w:r>
      <w:r w:rsidR="00C43F74" w:rsidRPr="00974C0B">
        <w:rPr>
          <w:szCs w:val="24"/>
        </w:rPr>
        <w:t>.</w:t>
      </w:r>
      <w:r w:rsidR="00C43F74" w:rsidRPr="00974C0B">
        <w:rPr>
          <w:szCs w:val="24"/>
        </w:rPr>
        <w:tab/>
        <w:t xml:space="preserve">Both the </w:t>
      </w:r>
      <w:r w:rsidR="00C43F74" w:rsidRPr="00974C0B">
        <w:t>Committee on Economic, Social and Cultural Rights</w:t>
      </w:r>
      <w:r w:rsidR="00C43F74" w:rsidRPr="00974C0B">
        <w:rPr>
          <w:rStyle w:val="EndnoteReference"/>
        </w:rPr>
        <w:endnoteReference w:id="67"/>
      </w:r>
      <w:r w:rsidR="00C43F74" w:rsidRPr="00974C0B">
        <w:rPr>
          <w:rStyle w:val="EndnoteReference"/>
        </w:rPr>
        <w:t xml:space="preserve"> </w:t>
      </w:r>
      <w:r w:rsidR="00C43F74" w:rsidRPr="00974C0B">
        <w:rPr>
          <w:szCs w:val="24"/>
        </w:rPr>
        <w:t>and the Committee on the Elimination of Discrimination against Women</w:t>
      </w:r>
      <w:r w:rsidR="00C43F74" w:rsidRPr="00974C0B">
        <w:rPr>
          <w:rStyle w:val="EndnoteReference"/>
        </w:rPr>
        <w:endnoteReference w:id="68"/>
      </w:r>
      <w:r w:rsidR="00C43F74" w:rsidRPr="00974C0B">
        <w:rPr>
          <w:rStyle w:val="EndnoteReference"/>
        </w:rPr>
        <w:t xml:space="preserve"> </w:t>
      </w:r>
      <w:r w:rsidR="00C43F74" w:rsidRPr="00974C0B">
        <w:rPr>
          <w:szCs w:val="24"/>
        </w:rPr>
        <w:t xml:space="preserve">refer to the importance of </w:t>
      </w:r>
      <w:r w:rsidR="00CE760B" w:rsidRPr="00974C0B">
        <w:rPr>
          <w:szCs w:val="24"/>
        </w:rPr>
        <w:t>older persons</w:t>
      </w:r>
      <w:r w:rsidR="00CE760B">
        <w:rPr>
          <w:szCs w:val="24"/>
        </w:rPr>
        <w:t>’</w:t>
      </w:r>
      <w:r w:rsidR="00CE760B" w:rsidRPr="00974C0B">
        <w:rPr>
          <w:szCs w:val="24"/>
        </w:rPr>
        <w:t xml:space="preserve"> </w:t>
      </w:r>
      <w:r w:rsidR="00C43F74" w:rsidRPr="00974C0B">
        <w:rPr>
          <w:szCs w:val="24"/>
        </w:rPr>
        <w:t>right to education</w:t>
      </w:r>
      <w:r w:rsidR="00CE760B">
        <w:rPr>
          <w:szCs w:val="24"/>
        </w:rPr>
        <w:t>. However</w:t>
      </w:r>
      <w:r w:rsidR="00C43F74" w:rsidRPr="00974C0B">
        <w:rPr>
          <w:szCs w:val="24"/>
        </w:rPr>
        <w:t xml:space="preserve">, despite these </w:t>
      </w:r>
      <w:r w:rsidR="00CE760B">
        <w:rPr>
          <w:szCs w:val="24"/>
        </w:rPr>
        <w:t>statements</w:t>
      </w:r>
      <w:r w:rsidR="00C43F74" w:rsidRPr="00974C0B">
        <w:rPr>
          <w:szCs w:val="24"/>
        </w:rPr>
        <w:t xml:space="preserve">, </w:t>
      </w:r>
      <w:r w:rsidR="00CE760B" w:rsidRPr="00974C0B">
        <w:rPr>
          <w:szCs w:val="24"/>
        </w:rPr>
        <w:t>from 2012 to 2020</w:t>
      </w:r>
      <w:r w:rsidR="00CE760B">
        <w:rPr>
          <w:szCs w:val="24"/>
        </w:rPr>
        <w:t xml:space="preserve">, the </w:t>
      </w:r>
      <w:r w:rsidR="00CE760B" w:rsidRPr="00974C0B">
        <w:t>Committee on Economic, Social and Cultural Rights</w:t>
      </w:r>
      <w:r w:rsidR="00CE760B">
        <w:t>’</w:t>
      </w:r>
      <w:r w:rsidR="00CE760B" w:rsidRPr="00974C0B">
        <w:rPr>
          <w:szCs w:val="24"/>
        </w:rPr>
        <w:t xml:space="preserve"> concluding observations </w:t>
      </w:r>
      <w:r w:rsidR="00CE760B">
        <w:rPr>
          <w:szCs w:val="24"/>
        </w:rPr>
        <w:t xml:space="preserve">make little </w:t>
      </w:r>
      <w:r w:rsidR="00C43F74" w:rsidRPr="00974C0B">
        <w:rPr>
          <w:szCs w:val="24"/>
        </w:rPr>
        <w:t xml:space="preserve">reference to </w:t>
      </w:r>
      <w:r w:rsidR="0064657F" w:rsidRPr="00974C0B">
        <w:rPr>
          <w:szCs w:val="24"/>
        </w:rPr>
        <w:t xml:space="preserve">older </w:t>
      </w:r>
      <w:r w:rsidR="0064657F" w:rsidRPr="00974C0B">
        <w:rPr>
          <w:szCs w:val="24"/>
        </w:rPr>
        <w:lastRenderedPageBreak/>
        <w:t>persons</w:t>
      </w:r>
      <w:r w:rsidR="0064657F">
        <w:rPr>
          <w:szCs w:val="24"/>
        </w:rPr>
        <w:t>’</w:t>
      </w:r>
      <w:r w:rsidR="0064657F" w:rsidRPr="00974C0B">
        <w:rPr>
          <w:szCs w:val="24"/>
        </w:rPr>
        <w:t xml:space="preserve"> </w:t>
      </w:r>
      <w:r w:rsidR="00C43F74" w:rsidRPr="00974C0B">
        <w:rPr>
          <w:szCs w:val="24"/>
        </w:rPr>
        <w:t xml:space="preserve">lifelong learning, (re)training, </w:t>
      </w:r>
      <w:r w:rsidR="00D5624F" w:rsidRPr="00974C0B">
        <w:rPr>
          <w:szCs w:val="24"/>
        </w:rPr>
        <w:t>education,</w:t>
      </w:r>
      <w:r w:rsidR="00C43F74" w:rsidRPr="00974C0B">
        <w:rPr>
          <w:szCs w:val="24"/>
        </w:rPr>
        <w:t xml:space="preserve"> or capacity-building. The Committee on the Elimination of Discrimination against Women</w:t>
      </w:r>
      <w:r w:rsidR="00CE760B">
        <w:rPr>
          <w:szCs w:val="24"/>
        </w:rPr>
        <w:t>’s practice</w:t>
      </w:r>
      <w:r w:rsidR="00C43F74" w:rsidRPr="00974C0B">
        <w:rPr>
          <w:szCs w:val="24"/>
        </w:rPr>
        <w:t xml:space="preserve"> has been better</w:t>
      </w:r>
      <w:r w:rsidR="00CE760B">
        <w:rPr>
          <w:szCs w:val="24"/>
        </w:rPr>
        <w:t>.</w:t>
      </w:r>
      <w:r w:rsidR="00C43F74" w:rsidRPr="00974C0B">
        <w:rPr>
          <w:szCs w:val="24"/>
        </w:rPr>
        <w:t xml:space="preserve"> </w:t>
      </w:r>
      <w:r w:rsidR="00F87ACB">
        <w:rPr>
          <w:szCs w:val="24"/>
        </w:rPr>
        <w:t>O</w:t>
      </w:r>
      <w:r w:rsidR="00C43F74" w:rsidRPr="00974C0B">
        <w:rPr>
          <w:szCs w:val="24"/>
        </w:rPr>
        <w:t xml:space="preserve">ver a dozen out of 211 sets of concluding observations refer to older women </w:t>
      </w:r>
      <w:r w:rsidR="00F87ACB">
        <w:rPr>
          <w:szCs w:val="24"/>
        </w:rPr>
        <w:t xml:space="preserve">and </w:t>
      </w:r>
      <w:r w:rsidR="00C43F74" w:rsidRPr="00974C0B">
        <w:rPr>
          <w:szCs w:val="24"/>
        </w:rPr>
        <w:t xml:space="preserve">education from 2012 to 2020. However, most of these references mention older women as </w:t>
      </w:r>
      <w:r w:rsidR="00F87ACB">
        <w:rPr>
          <w:szCs w:val="24"/>
        </w:rPr>
        <w:t xml:space="preserve">a </w:t>
      </w:r>
      <w:r w:rsidR="00C43F74" w:rsidRPr="00974C0B">
        <w:rPr>
          <w:szCs w:val="24"/>
        </w:rPr>
        <w:t>categor</w:t>
      </w:r>
      <w:r w:rsidR="00F87ACB">
        <w:rPr>
          <w:szCs w:val="24"/>
        </w:rPr>
        <w:t>y</w:t>
      </w:r>
      <w:r w:rsidR="00C43F74" w:rsidRPr="00974C0B">
        <w:rPr>
          <w:szCs w:val="24"/>
        </w:rPr>
        <w:t xml:space="preserve"> of women </w:t>
      </w:r>
      <w:r w:rsidR="00F87ACB">
        <w:rPr>
          <w:szCs w:val="24"/>
        </w:rPr>
        <w:t xml:space="preserve">that </w:t>
      </w:r>
      <w:r w:rsidR="00C43F74" w:rsidRPr="00974C0B">
        <w:rPr>
          <w:szCs w:val="24"/>
        </w:rPr>
        <w:t xml:space="preserve">attention needed to </w:t>
      </w:r>
      <w:proofErr w:type="gramStart"/>
      <w:r w:rsidR="00C43F74" w:rsidRPr="00974C0B">
        <w:rPr>
          <w:szCs w:val="24"/>
        </w:rPr>
        <w:t>be given</w:t>
      </w:r>
      <w:proofErr w:type="gramEnd"/>
      <w:r w:rsidR="00F87ACB">
        <w:rPr>
          <w:szCs w:val="24"/>
        </w:rPr>
        <w:t>.</w:t>
      </w:r>
      <w:r w:rsidR="00C43F74" w:rsidRPr="00974C0B">
        <w:rPr>
          <w:szCs w:val="24"/>
        </w:rPr>
        <w:t xml:space="preserve"> </w:t>
      </w:r>
      <w:r w:rsidR="00F87ACB">
        <w:rPr>
          <w:szCs w:val="24"/>
        </w:rPr>
        <w:t>F</w:t>
      </w:r>
      <w:r w:rsidR="00C43F74" w:rsidRPr="00974C0B">
        <w:rPr>
          <w:szCs w:val="24"/>
        </w:rPr>
        <w:t>requently</w:t>
      </w:r>
      <w:r w:rsidR="00F87ACB">
        <w:rPr>
          <w:szCs w:val="24"/>
        </w:rPr>
        <w:t>,</w:t>
      </w:r>
      <w:r w:rsidR="00C43F74" w:rsidRPr="00974C0B">
        <w:rPr>
          <w:szCs w:val="24"/>
        </w:rPr>
        <w:t xml:space="preserve"> these references </w:t>
      </w:r>
      <w:proofErr w:type="gramStart"/>
      <w:r w:rsidR="00C43F74" w:rsidRPr="00974C0B">
        <w:rPr>
          <w:szCs w:val="24"/>
        </w:rPr>
        <w:t>were combined</w:t>
      </w:r>
      <w:proofErr w:type="gramEnd"/>
      <w:r w:rsidR="00C43F74" w:rsidRPr="00974C0B">
        <w:rPr>
          <w:szCs w:val="24"/>
        </w:rPr>
        <w:t xml:space="preserve"> with references to </w:t>
      </w:r>
      <w:r w:rsidR="008E28BF" w:rsidRPr="00974C0B">
        <w:rPr>
          <w:szCs w:val="24"/>
        </w:rPr>
        <w:t>several</w:t>
      </w:r>
      <w:r w:rsidR="00C43F74" w:rsidRPr="00974C0B">
        <w:rPr>
          <w:szCs w:val="24"/>
        </w:rPr>
        <w:t xml:space="preserve"> areas, only one of which was education. There were almost no references with a substantial focus only on older women and their right to education, </w:t>
      </w:r>
      <w:r w:rsidR="00D5624F" w:rsidRPr="00974C0B">
        <w:rPr>
          <w:szCs w:val="24"/>
        </w:rPr>
        <w:t>training,</w:t>
      </w:r>
      <w:r w:rsidR="00C43F74" w:rsidRPr="00974C0B">
        <w:rPr>
          <w:szCs w:val="24"/>
        </w:rPr>
        <w:t xml:space="preserve"> and lifelong learning.</w:t>
      </w:r>
    </w:p>
    <w:p w14:paraId="4C81216E" w14:textId="0DE7CC24" w:rsidR="00C43F74" w:rsidRPr="00974C0B" w:rsidRDefault="000C2CF9" w:rsidP="00952E3E">
      <w:pPr>
        <w:pStyle w:val="ParaNoG"/>
        <w:numPr>
          <w:ilvl w:val="0"/>
          <w:numId w:val="0"/>
        </w:numPr>
        <w:tabs>
          <w:tab w:val="left" w:pos="0"/>
        </w:tabs>
        <w:ind w:left="1134"/>
        <w:rPr>
          <w:szCs w:val="24"/>
        </w:rPr>
      </w:pPr>
      <w:r>
        <w:rPr>
          <w:szCs w:val="24"/>
        </w:rPr>
        <w:t>51</w:t>
      </w:r>
      <w:r w:rsidR="00C43F74" w:rsidRPr="00974C0B">
        <w:rPr>
          <w:szCs w:val="24"/>
        </w:rPr>
        <w:t>.</w:t>
      </w:r>
      <w:r w:rsidR="00C43F74" w:rsidRPr="00974C0B">
        <w:rPr>
          <w:szCs w:val="24"/>
        </w:rPr>
        <w:tab/>
      </w:r>
      <w:r w:rsidR="00F87ACB" w:rsidRPr="00974C0B">
        <w:t>States and others</w:t>
      </w:r>
      <w:r w:rsidR="00F87ACB">
        <w:t xml:space="preserve"> have called upon b</w:t>
      </w:r>
      <w:r w:rsidR="00F87ACB" w:rsidRPr="00974C0B">
        <w:t>usinesses</w:t>
      </w:r>
      <w:r w:rsidR="00F87ACB">
        <w:t xml:space="preserve"> to pay greater attention to and act on their</w:t>
      </w:r>
      <w:r w:rsidR="00F87ACB" w:rsidRPr="00974C0B">
        <w:t xml:space="preserve"> </w:t>
      </w:r>
      <w:r w:rsidR="00C43F74" w:rsidRPr="00974C0B">
        <w:rPr>
          <w:iCs/>
        </w:rPr>
        <w:t>r</w:t>
      </w:r>
      <w:r w:rsidR="00C43F74" w:rsidRPr="00974C0B">
        <w:t xml:space="preserve">esponsibilities </w:t>
      </w:r>
      <w:r w:rsidR="00F87ACB">
        <w:t xml:space="preserve">concerning </w:t>
      </w:r>
      <w:r w:rsidR="00F87ACB" w:rsidRPr="00974C0B">
        <w:t>older persons</w:t>
      </w:r>
      <w:r w:rsidR="00F87ACB">
        <w:t>’</w:t>
      </w:r>
      <w:r w:rsidR="00F87ACB" w:rsidRPr="00974C0B">
        <w:t xml:space="preserve"> </w:t>
      </w:r>
      <w:r w:rsidR="00C43F74" w:rsidRPr="00974C0B">
        <w:t>rights.</w:t>
      </w:r>
      <w:r w:rsidR="00C43F74" w:rsidRPr="00974C0B">
        <w:rPr>
          <w:rStyle w:val="EndnoteReference"/>
        </w:rPr>
        <w:endnoteReference w:id="69"/>
      </w:r>
      <w:r w:rsidR="00C43F74" w:rsidRPr="00974C0B">
        <w:rPr>
          <w:rStyle w:val="EndnoteReference"/>
        </w:rPr>
        <w:t xml:space="preserve"> </w:t>
      </w:r>
      <w:r w:rsidR="00F87ACB">
        <w:t xml:space="preserve">Repeatedly, the </w:t>
      </w:r>
      <w:r w:rsidR="00C43F74" w:rsidRPr="00974C0B">
        <w:t xml:space="preserve">Independent Expert </w:t>
      </w:r>
      <w:r w:rsidR="00F87ACB">
        <w:t xml:space="preserve">has reminded </w:t>
      </w:r>
      <w:r w:rsidR="00C43F74" w:rsidRPr="00974C0B">
        <w:t>business</w:t>
      </w:r>
      <w:r w:rsidR="00F87ACB">
        <w:t>es</w:t>
      </w:r>
      <w:r w:rsidR="0064657F">
        <w:t xml:space="preserve"> to both: (a)</w:t>
      </w:r>
      <w:r w:rsidR="00C43F74" w:rsidRPr="00974C0B">
        <w:t xml:space="preserve"> </w:t>
      </w:r>
      <w:r w:rsidR="00F87ACB">
        <w:t>follow</w:t>
      </w:r>
      <w:r w:rsidR="00C43F74" w:rsidRPr="00974C0B">
        <w:t xml:space="preserve"> the Guiding Principles on Business and Human Rights</w:t>
      </w:r>
      <w:r w:rsidR="0064657F">
        <w:t>,</w:t>
      </w:r>
      <w:r w:rsidR="00C43F74" w:rsidRPr="00974C0B">
        <w:t xml:space="preserve"> and </w:t>
      </w:r>
      <w:r w:rsidR="0064657F">
        <w:t xml:space="preserve">(b) </w:t>
      </w:r>
      <w:r w:rsidR="00C43F74" w:rsidRPr="00974C0B">
        <w:t>avoid discrimination against older persons</w:t>
      </w:r>
      <w:r w:rsidR="00F87ACB">
        <w:t>,</w:t>
      </w:r>
      <w:r w:rsidR="00C43F74" w:rsidRPr="00974C0B">
        <w:t xml:space="preserve"> and States of their obligations to regulate private businesses to </w:t>
      </w:r>
      <w:r w:rsidR="00F87ACB">
        <w:t xml:space="preserve">prevent </w:t>
      </w:r>
      <w:r w:rsidR="00C43F74" w:rsidRPr="00974C0B">
        <w:t>discriminat</w:t>
      </w:r>
      <w:r w:rsidR="006D0956">
        <w:t>ion</w:t>
      </w:r>
      <w:r w:rsidR="00C43F74" w:rsidRPr="00974C0B">
        <w:t xml:space="preserve"> against older persons.</w:t>
      </w:r>
      <w:r w:rsidR="00C43F74" w:rsidRPr="00974C0B">
        <w:rPr>
          <w:rStyle w:val="EndnoteReference"/>
        </w:rPr>
        <w:endnoteReference w:id="70"/>
      </w:r>
      <w:r w:rsidR="00C43F74" w:rsidRPr="00974C0B">
        <w:rPr>
          <w:rStyle w:val="EndnoteReference"/>
        </w:rPr>
        <w:t xml:space="preserve"> </w:t>
      </w:r>
      <w:r w:rsidR="00C43F74" w:rsidRPr="00974C0B">
        <w:t xml:space="preserve">At the same time, </w:t>
      </w:r>
      <w:r w:rsidR="00F87ACB">
        <w:t>no</w:t>
      </w:r>
      <w:r w:rsidR="00C43F74" w:rsidRPr="00974C0B">
        <w:t xml:space="preserve"> explicit reference to age discrimination or older persons in the Guiding Principles may </w:t>
      </w:r>
      <w:r w:rsidR="009A384B">
        <w:t xml:space="preserve">have </w:t>
      </w:r>
      <w:r w:rsidR="00C43F74" w:rsidRPr="00974C0B">
        <w:t>contribute</w:t>
      </w:r>
      <w:r w:rsidR="009A384B">
        <w:t>d</w:t>
      </w:r>
      <w:r w:rsidR="00C43F74" w:rsidRPr="00974C0B">
        <w:t xml:space="preserve"> to </w:t>
      </w:r>
      <w:r w:rsidR="009A384B" w:rsidRPr="00974C0B">
        <w:t xml:space="preserve">human rights mechanisms and other United Nations entities in the field of business and human rights </w:t>
      </w:r>
      <w:r w:rsidR="009A384B">
        <w:t xml:space="preserve">paying </w:t>
      </w:r>
      <w:r w:rsidR="00C43F74" w:rsidRPr="00974C0B">
        <w:t>little attention to th</w:t>
      </w:r>
      <w:r w:rsidR="009A384B">
        <w:t>is</w:t>
      </w:r>
      <w:r w:rsidR="00C43F74" w:rsidRPr="00974C0B">
        <w:t xml:space="preserve"> issue in the</w:t>
      </w:r>
      <w:r w:rsidR="009A384B">
        <w:t>ir</w:t>
      </w:r>
      <w:r w:rsidR="00C43F74" w:rsidRPr="00974C0B">
        <w:t xml:space="preserve"> work.</w:t>
      </w:r>
    </w:p>
    <w:p w14:paraId="1172B962" w14:textId="53EAF37C" w:rsidR="00C43F74" w:rsidRDefault="000C2CF9" w:rsidP="00952E3E">
      <w:pPr>
        <w:pStyle w:val="ParaNoG"/>
        <w:numPr>
          <w:ilvl w:val="0"/>
          <w:numId w:val="0"/>
        </w:numPr>
        <w:tabs>
          <w:tab w:val="left" w:pos="0"/>
        </w:tabs>
        <w:ind w:left="1134"/>
      </w:pPr>
      <w:proofErr w:type="gramStart"/>
      <w:r>
        <w:t>52</w:t>
      </w:r>
      <w:r w:rsidR="00C43F74" w:rsidRPr="00974C0B">
        <w:t>.</w:t>
      </w:r>
      <w:r w:rsidR="00C43F74" w:rsidRPr="00974C0B">
        <w:tab/>
      </w:r>
      <w:r w:rsidR="00F87ACB">
        <w:t>Also</w:t>
      </w:r>
      <w:proofErr w:type="gramEnd"/>
      <w:r w:rsidR="00C43F74" w:rsidRPr="00974C0B">
        <w:t xml:space="preserve">, it should be noted that, over the last decade, challenges to human rights in some key areas that are relevant to older persons have required greater attention. The Independent Expert has highlighted </w:t>
      </w:r>
      <w:r w:rsidR="008E28BF" w:rsidRPr="00974C0B">
        <w:t>several</w:t>
      </w:r>
      <w:r w:rsidR="00C43F74" w:rsidRPr="00974C0B">
        <w:t xml:space="preserve"> such issues</w:t>
      </w:r>
      <w:proofErr w:type="gramStart"/>
      <w:r w:rsidR="00C43F74" w:rsidRPr="00974C0B">
        <w:t>,</w:t>
      </w:r>
      <w:proofErr w:type="gramEnd"/>
      <w:r w:rsidR="00C43F74" w:rsidRPr="00974C0B">
        <w:rPr>
          <w:rStyle w:val="EndnoteReference"/>
        </w:rPr>
        <w:endnoteReference w:id="71"/>
      </w:r>
      <w:r w:rsidR="00C43F74" w:rsidRPr="00974C0B">
        <w:rPr>
          <w:rStyle w:val="EndnoteReference"/>
        </w:rPr>
        <w:t xml:space="preserve"> </w:t>
      </w:r>
      <w:r w:rsidR="00C43F74" w:rsidRPr="00974C0B">
        <w:t>which include:</w:t>
      </w:r>
      <w:r w:rsidR="00C43F74" w:rsidRPr="00974C0B" w:rsidDel="00E23573">
        <w:t xml:space="preserve"> </w:t>
      </w:r>
    </w:p>
    <w:p w14:paraId="6FF898F9" w14:textId="7C2DDC30" w:rsidR="00C43F74" w:rsidRDefault="00C43F74" w:rsidP="00C43F74">
      <w:pPr>
        <w:pStyle w:val="ParaNoG"/>
        <w:numPr>
          <w:ilvl w:val="0"/>
          <w:numId w:val="0"/>
        </w:numPr>
        <w:tabs>
          <w:tab w:val="left" w:pos="0"/>
        </w:tabs>
        <w:ind w:left="1418"/>
        <w:rPr>
          <w:rStyle w:val="EndnoteReference"/>
        </w:rPr>
      </w:pPr>
      <w:r w:rsidRPr="00974C0B">
        <w:t xml:space="preserve">(a) </w:t>
      </w:r>
      <w:proofErr w:type="gramStart"/>
      <w:r w:rsidRPr="00974C0B">
        <w:t>data</w:t>
      </w:r>
      <w:proofErr w:type="gramEnd"/>
      <w:r w:rsidRPr="00974C0B">
        <w:t xml:space="preserve"> gaps and deficiencies</w:t>
      </w:r>
      <w:r>
        <w:t>,</w:t>
      </w:r>
      <w:r w:rsidRPr="00974C0B">
        <w:rPr>
          <w:rStyle w:val="EndnoteReference"/>
        </w:rPr>
        <w:endnoteReference w:id="72"/>
      </w:r>
      <w:r w:rsidRPr="00974C0B">
        <w:rPr>
          <w:rStyle w:val="EndnoteReference"/>
        </w:rPr>
        <w:t xml:space="preserve"> </w:t>
      </w:r>
    </w:p>
    <w:p w14:paraId="4AC0BAAA" w14:textId="6E74423D" w:rsidR="00C43F74" w:rsidRDefault="00C43F74" w:rsidP="00C43F74">
      <w:pPr>
        <w:pStyle w:val="ParaNoG"/>
        <w:numPr>
          <w:ilvl w:val="0"/>
          <w:numId w:val="0"/>
        </w:numPr>
        <w:tabs>
          <w:tab w:val="left" w:pos="0"/>
        </w:tabs>
        <w:ind w:left="1418"/>
        <w:rPr>
          <w:rStyle w:val="EndnoteReference"/>
        </w:rPr>
      </w:pPr>
      <w:r w:rsidRPr="00974C0B">
        <w:t xml:space="preserve">(b) </w:t>
      </w:r>
      <w:proofErr w:type="gramStart"/>
      <w:r w:rsidRPr="00974C0B">
        <w:t>robotics</w:t>
      </w:r>
      <w:proofErr w:type="gramEnd"/>
      <w:r w:rsidRPr="00974C0B">
        <w:t xml:space="preserve"> and artificial intelligence and implications for older persons</w:t>
      </w:r>
      <w:r>
        <w:t>,</w:t>
      </w:r>
      <w:r w:rsidRPr="00974C0B">
        <w:rPr>
          <w:rStyle w:val="EndnoteReference"/>
        </w:rPr>
        <w:endnoteReference w:id="73"/>
      </w:r>
      <w:r w:rsidRPr="00974C0B">
        <w:rPr>
          <w:rStyle w:val="EndnoteReference"/>
        </w:rPr>
        <w:t xml:space="preserve"> </w:t>
      </w:r>
    </w:p>
    <w:p w14:paraId="68EC116A" w14:textId="05D91A79" w:rsidR="00C43F74" w:rsidRDefault="00C43F74" w:rsidP="00C43F74">
      <w:pPr>
        <w:pStyle w:val="ParaNoG"/>
        <w:numPr>
          <w:ilvl w:val="0"/>
          <w:numId w:val="0"/>
        </w:numPr>
        <w:tabs>
          <w:tab w:val="left" w:pos="0"/>
        </w:tabs>
        <w:ind w:left="1418"/>
      </w:pPr>
      <w:r w:rsidRPr="00974C0B">
        <w:t xml:space="preserve">(c) </w:t>
      </w:r>
      <w:proofErr w:type="gramStart"/>
      <w:r w:rsidRPr="00974C0B">
        <w:t>refugees</w:t>
      </w:r>
      <w:proofErr w:type="gramEnd"/>
      <w:r w:rsidRPr="00974C0B">
        <w:t>, asylum seekers and internally displaced persons</w:t>
      </w:r>
      <w:r>
        <w:t>,</w:t>
      </w:r>
      <w:r w:rsidRPr="00974C0B">
        <w:t xml:space="preserve"> </w:t>
      </w:r>
    </w:p>
    <w:p w14:paraId="16D66DC4" w14:textId="015A01CE" w:rsidR="00C43F74" w:rsidRDefault="00C43F74" w:rsidP="00C43F74">
      <w:pPr>
        <w:pStyle w:val="ParaNoG"/>
        <w:numPr>
          <w:ilvl w:val="0"/>
          <w:numId w:val="0"/>
        </w:numPr>
        <w:tabs>
          <w:tab w:val="left" w:pos="0"/>
        </w:tabs>
        <w:ind w:left="1418"/>
        <w:rPr>
          <w:rStyle w:val="EndnoteReference"/>
        </w:rPr>
      </w:pPr>
      <w:r w:rsidRPr="00974C0B">
        <w:t xml:space="preserve">(d) </w:t>
      </w:r>
      <w:proofErr w:type="gramStart"/>
      <w:r w:rsidRPr="00974C0B">
        <w:t>disaster</w:t>
      </w:r>
      <w:proofErr w:type="gramEnd"/>
      <w:r w:rsidRPr="00974C0B">
        <w:t xml:space="preserve"> and emergency situations</w:t>
      </w:r>
      <w:r>
        <w:t>,</w:t>
      </w:r>
      <w:r w:rsidRPr="00974C0B" w:rsidDel="00066703">
        <w:rPr>
          <w:rStyle w:val="EndnoteReference"/>
        </w:rPr>
        <w:t xml:space="preserve"> </w:t>
      </w:r>
    </w:p>
    <w:p w14:paraId="4A93857E" w14:textId="12F2B6C0" w:rsidR="00C43F74" w:rsidRDefault="00C43F74" w:rsidP="00C43F74">
      <w:pPr>
        <w:pStyle w:val="ParaNoG"/>
        <w:numPr>
          <w:ilvl w:val="0"/>
          <w:numId w:val="0"/>
        </w:numPr>
        <w:tabs>
          <w:tab w:val="left" w:pos="0"/>
        </w:tabs>
        <w:ind w:left="1418"/>
        <w:rPr>
          <w:rStyle w:val="EndnoteReference"/>
        </w:rPr>
      </w:pPr>
      <w:r w:rsidRPr="00974C0B">
        <w:t xml:space="preserve">(e) </w:t>
      </w:r>
      <w:proofErr w:type="gramStart"/>
      <w:r w:rsidRPr="00974C0B">
        <w:t>digitalization</w:t>
      </w:r>
      <w:proofErr w:type="gramEnd"/>
      <w:r w:rsidRPr="00974C0B">
        <w:t xml:space="preserve"> and human rights</w:t>
      </w:r>
      <w:r>
        <w:t>,</w:t>
      </w:r>
      <w:r w:rsidRPr="00974C0B">
        <w:rPr>
          <w:rStyle w:val="EndnoteReference"/>
        </w:rPr>
        <w:endnoteReference w:id="74"/>
      </w:r>
      <w:r w:rsidRPr="00974C0B">
        <w:rPr>
          <w:rStyle w:val="EndnoteReference"/>
        </w:rPr>
        <w:t xml:space="preserve"> </w:t>
      </w:r>
    </w:p>
    <w:p w14:paraId="5BF925A6" w14:textId="3472A689" w:rsidR="00C43F74" w:rsidRDefault="00C43F74" w:rsidP="00C43F74">
      <w:pPr>
        <w:pStyle w:val="ParaNoG"/>
        <w:numPr>
          <w:ilvl w:val="0"/>
          <w:numId w:val="0"/>
        </w:numPr>
        <w:tabs>
          <w:tab w:val="left" w:pos="0"/>
        </w:tabs>
        <w:ind w:left="1418"/>
      </w:pPr>
      <w:r w:rsidRPr="00974C0B">
        <w:t xml:space="preserve">(f) </w:t>
      </w:r>
      <w:proofErr w:type="gramStart"/>
      <w:r w:rsidRPr="00974C0B">
        <w:t>social</w:t>
      </w:r>
      <w:proofErr w:type="gramEnd"/>
      <w:r w:rsidRPr="00974C0B">
        <w:t xml:space="preserve"> inclusion</w:t>
      </w:r>
      <w:r>
        <w:t>,</w:t>
      </w:r>
      <w:r w:rsidRPr="00974C0B">
        <w:rPr>
          <w:rStyle w:val="EndnoteReference"/>
        </w:rPr>
        <w:endnoteReference w:id="75"/>
      </w:r>
      <w:r w:rsidRPr="00974C0B">
        <w:rPr>
          <w:rStyle w:val="EndnoteReference"/>
        </w:rPr>
        <w:t xml:space="preserve"> </w:t>
      </w:r>
      <w:r w:rsidRPr="00974C0B">
        <w:t xml:space="preserve">and </w:t>
      </w:r>
    </w:p>
    <w:p w14:paraId="10EC5893" w14:textId="187502CD" w:rsidR="00C43F74" w:rsidRPr="00974C0B" w:rsidRDefault="00C43F74" w:rsidP="00C43F74">
      <w:pPr>
        <w:pStyle w:val="ParaNoG"/>
        <w:numPr>
          <w:ilvl w:val="0"/>
          <w:numId w:val="0"/>
        </w:numPr>
        <w:tabs>
          <w:tab w:val="left" w:pos="0"/>
        </w:tabs>
        <w:ind w:left="1418"/>
      </w:pPr>
      <w:r w:rsidRPr="00974C0B">
        <w:t xml:space="preserve">(g) </w:t>
      </w:r>
      <w:proofErr w:type="gramStart"/>
      <w:r w:rsidRPr="00974C0B">
        <w:t>developing</w:t>
      </w:r>
      <w:proofErr w:type="gramEnd"/>
      <w:r w:rsidRPr="00974C0B">
        <w:t xml:space="preserve"> age-friendly societies. </w:t>
      </w:r>
    </w:p>
    <w:p w14:paraId="4343307E" w14:textId="27688B04" w:rsidR="009F2472" w:rsidRDefault="000C2CF9" w:rsidP="00952E3E">
      <w:pPr>
        <w:pStyle w:val="ParaNoG"/>
        <w:numPr>
          <w:ilvl w:val="0"/>
          <w:numId w:val="0"/>
        </w:numPr>
        <w:tabs>
          <w:tab w:val="left" w:pos="0"/>
        </w:tabs>
        <w:ind w:left="1134"/>
      </w:pPr>
      <w:r>
        <w:t>53</w:t>
      </w:r>
      <w:r w:rsidR="00C43F74" w:rsidRPr="00974C0B">
        <w:t>.</w:t>
      </w:r>
      <w:r w:rsidR="00C43F74" w:rsidRPr="00974C0B">
        <w:tab/>
      </w:r>
      <w:r w:rsidR="00C43F74" w:rsidRPr="00974C0B">
        <w:rPr>
          <w:szCs w:val="24"/>
        </w:rPr>
        <w:t>Overall, o</w:t>
      </w:r>
      <w:r w:rsidR="00C43F74" w:rsidRPr="00974C0B">
        <w:t>lder persons and their concerns remain relatively invisible in the core human rights treaties and practice</w:t>
      </w:r>
      <w:r w:rsidR="006D0956">
        <w:t>s</w:t>
      </w:r>
      <w:r w:rsidR="00F87ACB">
        <w:t>.</w:t>
      </w:r>
      <w:r w:rsidR="00C43F74" w:rsidRPr="00974C0B">
        <w:t xml:space="preserve"> </w:t>
      </w:r>
      <w:r w:rsidR="0020473F">
        <w:t>E</w:t>
      </w:r>
      <w:r w:rsidR="0020473F" w:rsidRPr="00974C0B">
        <w:t>xisting human rights instruments</w:t>
      </w:r>
      <w:r w:rsidR="0020473F">
        <w:t xml:space="preserve"> do not </w:t>
      </w:r>
      <w:r w:rsidR="00C43F74" w:rsidRPr="00974C0B">
        <w:t>explicitly address</w:t>
      </w:r>
      <w:r w:rsidR="0020473F">
        <w:t xml:space="preserve"> new issues</w:t>
      </w:r>
      <w:r w:rsidR="00C43F74" w:rsidRPr="00974C0B">
        <w:t xml:space="preserve">. There is a lack of a coherent, </w:t>
      </w:r>
      <w:r w:rsidR="00D5624F" w:rsidRPr="00974C0B">
        <w:t>systematic,</w:t>
      </w:r>
      <w:r w:rsidR="00C43F74" w:rsidRPr="00974C0B">
        <w:t xml:space="preserve"> and sustained engagement with </w:t>
      </w:r>
      <w:r w:rsidR="00A97C53" w:rsidRPr="00974C0B">
        <w:t>older persons</w:t>
      </w:r>
      <w:r w:rsidR="00A97C53">
        <w:t>’</w:t>
      </w:r>
      <w:r w:rsidR="00A97C53" w:rsidRPr="00974C0B">
        <w:t xml:space="preserve"> </w:t>
      </w:r>
      <w:r w:rsidR="00C43F74" w:rsidRPr="00974C0B">
        <w:t xml:space="preserve">human rights and with discrimination </w:t>
      </w:r>
      <w:r w:rsidR="00A97C53">
        <w:t xml:space="preserve">based </w:t>
      </w:r>
      <w:r w:rsidR="00C43F74" w:rsidRPr="00974C0B">
        <w:t>on older age. According to the former Independent Expert</w:t>
      </w:r>
      <w:r w:rsidR="00C43F74" w:rsidRPr="00974C0B">
        <w:rPr>
          <w:rStyle w:val="EndnoteReference"/>
        </w:rPr>
        <w:endnoteReference w:id="76"/>
      </w:r>
      <w:r w:rsidR="00C43F74" w:rsidRPr="00974C0B">
        <w:rPr>
          <w:rStyle w:val="EndnoteReference"/>
        </w:rPr>
        <w:t xml:space="preserve"> </w:t>
      </w:r>
      <w:r w:rsidR="00C43F74" w:rsidRPr="00974C0B">
        <w:t>and as echoed by the current mandate holder,</w:t>
      </w:r>
      <w:r w:rsidR="00C43F74" w:rsidRPr="00974C0B">
        <w:rPr>
          <w:rStyle w:val="EndnoteReference"/>
        </w:rPr>
        <w:endnoteReference w:id="77"/>
      </w:r>
      <w:r w:rsidR="00C43F74" w:rsidRPr="00974C0B">
        <w:rPr>
          <w:rStyle w:val="EndnoteReference"/>
        </w:rPr>
        <w:t xml:space="preserve"> </w:t>
      </w:r>
    </w:p>
    <w:p w14:paraId="2A6F76FA" w14:textId="05E94F39" w:rsidR="00C43F74" w:rsidRPr="009F2472" w:rsidRDefault="00ED6816" w:rsidP="00E9562A">
      <w:pPr>
        <w:pStyle w:val="ParaNoG"/>
        <w:numPr>
          <w:ilvl w:val="0"/>
          <w:numId w:val="0"/>
        </w:numPr>
        <w:tabs>
          <w:tab w:val="clear" w:pos="1701"/>
          <w:tab w:val="left" w:pos="0"/>
        </w:tabs>
        <w:ind w:left="1560"/>
        <w:rPr>
          <w:i/>
          <w:iCs/>
        </w:rPr>
      </w:pPr>
      <w:r w:rsidRPr="00ED6816">
        <w:t>“</w:t>
      </w:r>
      <w:r w:rsidR="00D5624F" w:rsidRPr="009F2472">
        <w:rPr>
          <w:i/>
          <w:iCs/>
        </w:rPr>
        <w:t>The</w:t>
      </w:r>
      <w:r w:rsidR="00C43F74" w:rsidRPr="009F2472">
        <w:rPr>
          <w:i/>
          <w:iCs/>
        </w:rPr>
        <w:t xml:space="preserve"> lack of a comprehensive and integrated international legal instrument to promote and protect the rights and dignity of older persons has significant practical implications, given that: </w:t>
      </w:r>
    </w:p>
    <w:p w14:paraId="196D80E4" w14:textId="67C39DAE" w:rsidR="00C43F74" w:rsidRPr="009F2472" w:rsidRDefault="00C43F74" w:rsidP="00E9562A">
      <w:pPr>
        <w:pStyle w:val="ParaNoG"/>
        <w:numPr>
          <w:ilvl w:val="0"/>
          <w:numId w:val="0"/>
        </w:numPr>
        <w:tabs>
          <w:tab w:val="clear" w:pos="1701"/>
          <w:tab w:val="left" w:pos="0"/>
          <w:tab w:val="left" w:pos="1843"/>
        </w:tabs>
        <w:ind w:left="1843" w:hanging="283"/>
        <w:rPr>
          <w:i/>
          <w:iCs/>
        </w:rPr>
      </w:pPr>
      <w:r w:rsidRPr="009F2472">
        <w:rPr>
          <w:i/>
          <w:iCs/>
        </w:rPr>
        <w:t xml:space="preserve">(a) </w:t>
      </w:r>
      <w:proofErr w:type="gramStart"/>
      <w:r w:rsidRPr="009F2472">
        <w:rPr>
          <w:i/>
          <w:iCs/>
        </w:rPr>
        <w:t>existing</w:t>
      </w:r>
      <w:proofErr w:type="gramEnd"/>
      <w:r w:rsidRPr="009F2472">
        <w:rPr>
          <w:i/>
          <w:iCs/>
        </w:rPr>
        <w:t xml:space="preserve"> regulations do not cohere, let alone conceptualize regulatory principles to guide public action and the policies of Governments, </w:t>
      </w:r>
    </w:p>
    <w:p w14:paraId="3D8713C7" w14:textId="48CB80C5" w:rsidR="00C43F74" w:rsidRPr="009F2472" w:rsidRDefault="00C43F74" w:rsidP="00E9562A">
      <w:pPr>
        <w:pStyle w:val="ParaNoG"/>
        <w:numPr>
          <w:ilvl w:val="0"/>
          <w:numId w:val="0"/>
        </w:numPr>
        <w:tabs>
          <w:tab w:val="clear" w:pos="1701"/>
          <w:tab w:val="left" w:pos="0"/>
          <w:tab w:val="left" w:pos="1843"/>
        </w:tabs>
        <w:ind w:left="1843" w:hanging="283"/>
        <w:rPr>
          <w:i/>
          <w:iCs/>
        </w:rPr>
      </w:pPr>
      <w:r w:rsidRPr="009F2472">
        <w:rPr>
          <w:i/>
          <w:iCs/>
        </w:rPr>
        <w:t xml:space="preserve">(b) </w:t>
      </w:r>
      <w:proofErr w:type="gramStart"/>
      <w:r w:rsidRPr="009F2472">
        <w:rPr>
          <w:i/>
          <w:iCs/>
        </w:rPr>
        <w:t>general</w:t>
      </w:r>
      <w:proofErr w:type="gramEnd"/>
      <w:r w:rsidRPr="009F2472">
        <w:rPr>
          <w:i/>
          <w:iCs/>
        </w:rPr>
        <w:t xml:space="preserve"> human rights standards do not consider the recognition of third-generation specific rights in favour of older persons, </w:t>
      </w:r>
    </w:p>
    <w:p w14:paraId="02D380AD" w14:textId="2938A693" w:rsidR="00C43F74" w:rsidRPr="009F2472" w:rsidRDefault="00C43F74" w:rsidP="00E9562A">
      <w:pPr>
        <w:pStyle w:val="ParaNoG"/>
        <w:numPr>
          <w:ilvl w:val="0"/>
          <w:numId w:val="0"/>
        </w:numPr>
        <w:tabs>
          <w:tab w:val="clear" w:pos="1701"/>
          <w:tab w:val="left" w:pos="0"/>
          <w:tab w:val="left" w:pos="1843"/>
        </w:tabs>
        <w:ind w:left="1843" w:hanging="283"/>
        <w:rPr>
          <w:i/>
          <w:iCs/>
        </w:rPr>
      </w:pPr>
      <w:r w:rsidRPr="009F2472">
        <w:rPr>
          <w:i/>
          <w:iCs/>
        </w:rPr>
        <w:t xml:space="preserve">(c) </w:t>
      </w:r>
      <w:proofErr w:type="gramStart"/>
      <w:r w:rsidRPr="009F2472">
        <w:rPr>
          <w:i/>
          <w:iCs/>
        </w:rPr>
        <w:t>it</w:t>
      </w:r>
      <w:proofErr w:type="gramEnd"/>
      <w:r w:rsidRPr="009F2472">
        <w:rPr>
          <w:i/>
          <w:iCs/>
        </w:rPr>
        <w:t xml:space="preserve"> is difficult to clarify the obligations of States with respect to older persons, </w:t>
      </w:r>
    </w:p>
    <w:p w14:paraId="115CD9BB" w14:textId="52457D09" w:rsidR="00C43F74" w:rsidRPr="009F2472" w:rsidRDefault="00C43F74" w:rsidP="00E9562A">
      <w:pPr>
        <w:pStyle w:val="ParaNoG"/>
        <w:numPr>
          <w:ilvl w:val="0"/>
          <w:numId w:val="0"/>
        </w:numPr>
        <w:tabs>
          <w:tab w:val="clear" w:pos="1701"/>
          <w:tab w:val="left" w:pos="0"/>
          <w:tab w:val="left" w:pos="1843"/>
        </w:tabs>
        <w:ind w:left="1843" w:hanging="283"/>
        <w:rPr>
          <w:i/>
          <w:iCs/>
        </w:rPr>
      </w:pPr>
      <w:r w:rsidRPr="009F2472">
        <w:rPr>
          <w:i/>
          <w:iCs/>
        </w:rPr>
        <w:t xml:space="preserve">(d) </w:t>
      </w:r>
      <w:proofErr w:type="gramStart"/>
      <w:r w:rsidRPr="009F2472">
        <w:rPr>
          <w:i/>
          <w:iCs/>
        </w:rPr>
        <w:t>procedures</w:t>
      </w:r>
      <w:proofErr w:type="gramEnd"/>
      <w:r w:rsidRPr="009F2472">
        <w:rPr>
          <w:i/>
          <w:iCs/>
        </w:rPr>
        <w:t xml:space="preserve"> for monitoring human rights treaties generally ignore older persons, and </w:t>
      </w:r>
    </w:p>
    <w:p w14:paraId="560EAA2F" w14:textId="56FD7A08" w:rsidR="00C43F74" w:rsidRPr="009F2472" w:rsidRDefault="00C43F74" w:rsidP="00E9562A">
      <w:pPr>
        <w:pStyle w:val="ParaNoG"/>
        <w:numPr>
          <w:ilvl w:val="0"/>
          <w:numId w:val="0"/>
        </w:numPr>
        <w:tabs>
          <w:tab w:val="clear" w:pos="1701"/>
          <w:tab w:val="left" w:pos="0"/>
          <w:tab w:val="left" w:pos="1843"/>
        </w:tabs>
        <w:ind w:left="1843" w:hanging="283"/>
        <w:rPr>
          <w:i/>
          <w:iCs/>
        </w:rPr>
      </w:pPr>
      <w:r w:rsidRPr="009F2472">
        <w:rPr>
          <w:i/>
          <w:iCs/>
        </w:rPr>
        <w:t xml:space="preserve">(e) </w:t>
      </w:r>
      <w:proofErr w:type="gramStart"/>
      <w:r w:rsidRPr="009F2472">
        <w:rPr>
          <w:i/>
          <w:iCs/>
        </w:rPr>
        <w:t>current</w:t>
      </w:r>
      <w:proofErr w:type="gramEnd"/>
      <w:r w:rsidRPr="009F2472">
        <w:rPr>
          <w:i/>
          <w:iCs/>
        </w:rPr>
        <w:t xml:space="preserve"> instruments do not make the issues of ageing visible enough, which precludes the education of the population and with it, the effective integration of older persons.</w:t>
      </w:r>
      <w:r w:rsidR="00ED6816" w:rsidRPr="00ED6816">
        <w:t>”</w:t>
      </w:r>
      <w:r w:rsidRPr="009F2472">
        <w:rPr>
          <w:rStyle w:val="EndnoteReference"/>
        </w:rPr>
        <w:endnoteReference w:id="78"/>
      </w:r>
      <w:r w:rsidRPr="009F2472">
        <w:rPr>
          <w:rStyle w:val="EndnoteReference"/>
        </w:rPr>
        <w:t xml:space="preserve"> </w:t>
      </w:r>
    </w:p>
    <w:p w14:paraId="0BA3C26A" w14:textId="4725FC3C" w:rsidR="00C43F74" w:rsidRPr="00974C0B" w:rsidRDefault="00C43F74" w:rsidP="00AB08D6">
      <w:pPr>
        <w:pStyle w:val="HChG"/>
        <w:ind w:left="567" w:hanging="567"/>
        <w:rPr>
          <w:szCs w:val="28"/>
        </w:rPr>
      </w:pPr>
      <w:bookmarkStart w:id="14" w:name="VII"/>
      <w:r w:rsidRPr="00974C0B">
        <w:rPr>
          <w:szCs w:val="28"/>
        </w:rPr>
        <w:lastRenderedPageBreak/>
        <w:t>VI</w:t>
      </w:r>
      <w:r w:rsidR="000C2CF9">
        <w:rPr>
          <w:szCs w:val="28"/>
        </w:rPr>
        <w:t>I</w:t>
      </w:r>
      <w:r w:rsidRPr="00974C0B">
        <w:rPr>
          <w:szCs w:val="28"/>
        </w:rPr>
        <w:t>.</w:t>
      </w:r>
      <w:r w:rsidR="000C2CF9">
        <w:rPr>
          <w:szCs w:val="28"/>
        </w:rPr>
        <w:t xml:space="preserve"> </w:t>
      </w:r>
      <w:r w:rsidRPr="00974C0B">
        <w:rPr>
          <w:szCs w:val="28"/>
        </w:rPr>
        <w:tab/>
        <w:t>Towards strengthening the protection of human rights of older persons</w:t>
      </w:r>
    </w:p>
    <w:bookmarkEnd w:id="14"/>
    <w:p w14:paraId="24662138" w14:textId="59F44A05" w:rsidR="00C43F74" w:rsidRPr="00974C0B" w:rsidRDefault="00C43F74" w:rsidP="00E95FFF">
      <w:pPr>
        <w:pStyle w:val="H1G"/>
      </w:pPr>
      <w:r w:rsidRPr="00974C0B">
        <w:tab/>
      </w:r>
      <w:bookmarkStart w:id="15" w:name="VII_A"/>
      <w:r w:rsidRPr="00974C0B">
        <w:t>A.</w:t>
      </w:r>
      <w:r w:rsidRPr="00974C0B">
        <w:tab/>
      </w:r>
      <w:r w:rsidR="005C38C4">
        <w:t xml:space="preserve">How </w:t>
      </w:r>
      <w:proofErr w:type="gramStart"/>
      <w:r w:rsidR="005A4814">
        <w:t xml:space="preserve">a </w:t>
      </w:r>
      <w:r w:rsidRPr="00974C0B">
        <w:t>specialized</w:t>
      </w:r>
      <w:proofErr w:type="gramEnd"/>
      <w:r w:rsidRPr="00974C0B">
        <w:t xml:space="preserve"> </w:t>
      </w:r>
      <w:r w:rsidR="005A4814">
        <w:t>human rights of older persons treaty instrument would improve</w:t>
      </w:r>
      <w:r w:rsidRPr="00974C0B">
        <w:t xml:space="preserve"> </w:t>
      </w:r>
      <w:r w:rsidR="0056703A">
        <w:t xml:space="preserve">how older persons enjoy </w:t>
      </w:r>
      <w:r w:rsidRPr="00974C0B">
        <w:t>human rights</w:t>
      </w:r>
      <w:bookmarkEnd w:id="15"/>
    </w:p>
    <w:p w14:paraId="7D152A78" w14:textId="7152BD36" w:rsidR="00C43F74" w:rsidRPr="00974C0B" w:rsidRDefault="000C2CF9" w:rsidP="00952E3E">
      <w:pPr>
        <w:pStyle w:val="ParaNoG"/>
        <w:numPr>
          <w:ilvl w:val="0"/>
          <w:numId w:val="0"/>
        </w:numPr>
        <w:tabs>
          <w:tab w:val="left" w:pos="0"/>
        </w:tabs>
        <w:ind w:left="1134"/>
      </w:pPr>
      <w:r>
        <w:t>54</w:t>
      </w:r>
      <w:r w:rsidR="00C43F74" w:rsidRPr="00974C0B">
        <w:t>.</w:t>
      </w:r>
      <w:r w:rsidR="00C43F74" w:rsidRPr="00974C0B">
        <w:tab/>
        <w:t xml:space="preserve">The critical question </w:t>
      </w:r>
      <w:r w:rsidR="005C38C4">
        <w:t xml:space="preserve">about how </w:t>
      </w:r>
      <w:r w:rsidR="00C43F74" w:rsidRPr="00974C0B">
        <w:t xml:space="preserve">to strengthen and address the </w:t>
      </w:r>
      <w:r w:rsidR="000A40B8">
        <w:t xml:space="preserve">human rights of older persons enjoyment and protection </w:t>
      </w:r>
      <w:r w:rsidR="00C43F74" w:rsidRPr="00974C0B">
        <w:t xml:space="preserve">gaps in the current international human rights framework is </w:t>
      </w:r>
      <w:r w:rsidR="005C38C4">
        <w:t>to discuss</w:t>
      </w:r>
      <w:r w:rsidR="000A40B8">
        <w:t>,</w:t>
      </w:r>
      <w:r w:rsidR="005C38C4">
        <w:t xml:space="preserve"> if a new </w:t>
      </w:r>
      <w:r w:rsidR="000A40B8">
        <w:t xml:space="preserve">specific and </w:t>
      </w:r>
      <w:r w:rsidR="00C43F74" w:rsidRPr="00974C0B">
        <w:t xml:space="preserve">dedicated normative instrument would make a unique and significant contribution, including by addressing several of the </w:t>
      </w:r>
      <w:r w:rsidR="00563F75">
        <w:t>above-</w:t>
      </w:r>
      <w:r w:rsidR="00563F75" w:rsidRPr="00974C0B">
        <w:t xml:space="preserve">identified </w:t>
      </w:r>
      <w:r w:rsidR="00C43F74" w:rsidRPr="00974C0B">
        <w:t>challenges</w:t>
      </w:r>
      <w:r w:rsidR="000A40B8">
        <w:t xml:space="preserve"> and shortcomings</w:t>
      </w:r>
      <w:r w:rsidR="00C43F74" w:rsidRPr="00974C0B">
        <w:t xml:space="preserve">. Asking this question does not </w:t>
      </w:r>
      <w:r w:rsidR="000A40B8">
        <w:t>diminish</w:t>
      </w:r>
      <w:r w:rsidR="005C38C4">
        <w:t xml:space="preserve"> </w:t>
      </w:r>
      <w:r w:rsidR="00C43F74" w:rsidRPr="00974C0B">
        <w:t>the importance of encourag</w:t>
      </w:r>
      <w:r w:rsidR="005C38C4">
        <w:t>ing</w:t>
      </w:r>
      <w:r w:rsidR="00C43F74" w:rsidRPr="00974C0B">
        <w:t xml:space="preserve"> existing mechanisms to engage more consistently with </w:t>
      </w:r>
      <w:r w:rsidR="00A97C53" w:rsidRPr="00974C0B">
        <w:t>older persons</w:t>
      </w:r>
      <w:r w:rsidR="00A97C53">
        <w:t>’</w:t>
      </w:r>
      <w:r w:rsidR="00A97C53" w:rsidRPr="00974C0B">
        <w:t xml:space="preserve"> </w:t>
      </w:r>
      <w:r w:rsidR="00C43F74" w:rsidRPr="00974C0B">
        <w:t xml:space="preserve">human rights. </w:t>
      </w:r>
      <w:r w:rsidR="005C38C4">
        <w:t>Instead</w:t>
      </w:r>
      <w:r w:rsidR="00C43F74" w:rsidRPr="00974C0B">
        <w:t xml:space="preserve">, </w:t>
      </w:r>
      <w:r w:rsidR="005C38C4">
        <w:t xml:space="preserve">the question </w:t>
      </w:r>
      <w:r w:rsidR="00C43F74" w:rsidRPr="00974C0B">
        <w:t xml:space="preserve">reflects the </w:t>
      </w:r>
      <w:r w:rsidR="005C38C4">
        <w:t xml:space="preserve">current progress made under </w:t>
      </w:r>
      <w:r w:rsidR="00C43F74" w:rsidRPr="00974C0B">
        <w:t xml:space="preserve">specialized human rights conventions to </w:t>
      </w:r>
      <w:r w:rsidR="005C38C4">
        <w:t xml:space="preserve">protecting older persons’ </w:t>
      </w:r>
      <w:r w:rsidR="00C43F74" w:rsidRPr="00974C0B">
        <w:t xml:space="preserve">human rights. </w:t>
      </w:r>
    </w:p>
    <w:p w14:paraId="300B4896" w14:textId="0E31C71E" w:rsidR="00C43F74" w:rsidRPr="00974C0B" w:rsidRDefault="000C2CF9" w:rsidP="00952E3E">
      <w:pPr>
        <w:pStyle w:val="ParaNoG"/>
        <w:numPr>
          <w:ilvl w:val="0"/>
          <w:numId w:val="0"/>
        </w:numPr>
        <w:tabs>
          <w:tab w:val="left" w:pos="0"/>
        </w:tabs>
        <w:ind w:left="1134"/>
      </w:pPr>
      <w:r>
        <w:t>55</w:t>
      </w:r>
      <w:r w:rsidR="00C43F74" w:rsidRPr="00974C0B">
        <w:t>.</w:t>
      </w:r>
      <w:r w:rsidR="00C43F74" w:rsidRPr="00974C0B">
        <w:tab/>
      </w:r>
      <w:r w:rsidR="000A40B8">
        <w:t>For instance, s</w:t>
      </w:r>
      <w:r w:rsidR="005C38C4">
        <w:t>pecific</w:t>
      </w:r>
      <w:r w:rsidR="00C43F74" w:rsidRPr="00974C0B">
        <w:t xml:space="preserve"> treaties on racial discrimination, discrimination against women, torture, the rights of children, the rights of persons with disabilities, and migrant workers, are the principal examples of </w:t>
      </w:r>
      <w:r w:rsidR="005C38C4">
        <w:t xml:space="preserve">how effective a </w:t>
      </w:r>
      <w:r w:rsidR="00C43F74" w:rsidRPr="00974C0B">
        <w:t>specialized approach</w:t>
      </w:r>
      <w:r w:rsidR="005C38C4">
        <w:t xml:space="preserve"> is</w:t>
      </w:r>
      <w:r w:rsidR="00C43F74" w:rsidRPr="00974C0B">
        <w:t xml:space="preserve">. At the regional level, treaties relating to violence against women, the rights of persons with disabilities and the rights of older persons </w:t>
      </w:r>
      <w:proofErr w:type="gramStart"/>
      <w:r w:rsidR="00C43F74" w:rsidRPr="00974C0B">
        <w:t>have also been adopted</w:t>
      </w:r>
      <w:proofErr w:type="gramEnd"/>
      <w:r w:rsidR="00C43F74" w:rsidRPr="00974C0B">
        <w:t xml:space="preserve"> and have driven legal and policy reform at the national level. </w:t>
      </w:r>
    </w:p>
    <w:p w14:paraId="7319CDC0" w14:textId="52D89930" w:rsidR="007A0084" w:rsidRDefault="000C2CF9" w:rsidP="00952E3E">
      <w:pPr>
        <w:pStyle w:val="ParaNoG"/>
        <w:numPr>
          <w:ilvl w:val="0"/>
          <w:numId w:val="0"/>
        </w:numPr>
        <w:tabs>
          <w:tab w:val="left" w:pos="0"/>
        </w:tabs>
        <w:ind w:left="1134"/>
      </w:pPr>
      <w:r>
        <w:t>56</w:t>
      </w:r>
      <w:r w:rsidR="00C43F74" w:rsidRPr="00974C0B">
        <w:t>.</w:t>
      </w:r>
      <w:r w:rsidR="00C43F74" w:rsidRPr="00974C0B">
        <w:tab/>
      </w:r>
    </w:p>
    <w:p w14:paraId="08AD459E" w14:textId="26B07F2D" w:rsidR="007A0084" w:rsidRDefault="00C43F74" w:rsidP="00E9562A">
      <w:pPr>
        <w:pStyle w:val="ParaNoG"/>
        <w:numPr>
          <w:ilvl w:val="0"/>
          <w:numId w:val="17"/>
        </w:numPr>
        <w:tabs>
          <w:tab w:val="left" w:pos="0"/>
        </w:tabs>
        <w:ind w:left="1701" w:hanging="207"/>
      </w:pPr>
      <w:r w:rsidRPr="00974C0B">
        <w:t xml:space="preserve">Firstly, specialized treaties perform a </w:t>
      </w:r>
      <w:r w:rsidR="000A40B8" w:rsidRPr="00974C0B">
        <w:t>representative</w:t>
      </w:r>
      <w:r w:rsidRPr="00974C0B">
        <w:t xml:space="preserve"> function</w:t>
      </w:r>
      <w:r w:rsidR="000A40B8">
        <w:t xml:space="preserve"> making the specific human rights of older </w:t>
      </w:r>
      <w:proofErr w:type="gramStart"/>
      <w:r w:rsidR="000A40B8">
        <w:t>persons</w:t>
      </w:r>
      <w:proofErr w:type="gramEnd"/>
      <w:r w:rsidR="000A40B8">
        <w:t xml:space="preserve"> issues of concern visible</w:t>
      </w:r>
      <w:r w:rsidR="007A0084">
        <w:t>. S</w:t>
      </w:r>
      <w:r w:rsidR="007A0084" w:rsidRPr="00974C0B">
        <w:t>pecialized treaties</w:t>
      </w:r>
      <w:r w:rsidRPr="00974C0B">
        <w:t xml:space="preserve"> </w:t>
      </w:r>
      <w:r w:rsidR="005C38C4">
        <w:t xml:space="preserve">recognize </w:t>
      </w:r>
      <w:r w:rsidRPr="00974C0B">
        <w:t xml:space="preserve">that </w:t>
      </w:r>
      <w:r w:rsidR="005C38C4">
        <w:t>a</w:t>
      </w:r>
      <w:r w:rsidRPr="00974C0B">
        <w:t xml:space="preserve"> particular group or specific rights and violations are sufficiently important to </w:t>
      </w:r>
      <w:r w:rsidR="005C38C4">
        <w:t xml:space="preserve">require </w:t>
      </w:r>
      <w:r w:rsidRPr="00974C0B">
        <w:t xml:space="preserve">a dedicated instrument. </w:t>
      </w:r>
      <w:r w:rsidR="005C38C4">
        <w:t>Creating a</w:t>
      </w:r>
      <w:r w:rsidRPr="00974C0B">
        <w:t xml:space="preserve"> specialized treaty indicates that the international community “</w:t>
      </w:r>
      <w:r w:rsidRPr="002C5627">
        <w:rPr>
          <w:i/>
          <w:iCs/>
        </w:rPr>
        <w:t>takes their suffering seriously</w:t>
      </w:r>
      <w:r w:rsidRPr="00974C0B">
        <w:t>”.</w:t>
      </w:r>
      <w:r w:rsidRPr="00974C0B">
        <w:rPr>
          <w:rStyle w:val="EndnoteReference"/>
        </w:rPr>
        <w:endnoteReference w:id="79"/>
      </w:r>
      <w:r w:rsidRPr="00974C0B">
        <w:rPr>
          <w:rStyle w:val="EndnoteReference"/>
        </w:rPr>
        <w:t xml:space="preserve"> </w:t>
      </w:r>
    </w:p>
    <w:p w14:paraId="1733B26F" w14:textId="368AE32E" w:rsidR="007A0084" w:rsidRDefault="00C43F74" w:rsidP="00E9562A">
      <w:pPr>
        <w:pStyle w:val="ParaNoG"/>
        <w:numPr>
          <w:ilvl w:val="0"/>
          <w:numId w:val="17"/>
        </w:numPr>
        <w:tabs>
          <w:tab w:val="left" w:pos="0"/>
        </w:tabs>
        <w:ind w:left="1701" w:hanging="207"/>
      </w:pPr>
      <w:r w:rsidRPr="00974C0B">
        <w:t xml:space="preserve">Secondly, these treaties promote the </w:t>
      </w:r>
      <w:r w:rsidR="00563F75">
        <w:t xml:space="preserve">group’s </w:t>
      </w:r>
      <w:r w:rsidRPr="00974C0B">
        <w:t xml:space="preserve">visibility </w:t>
      </w:r>
      <w:r w:rsidR="005C38C4">
        <w:t xml:space="preserve">that benefits from </w:t>
      </w:r>
      <w:r w:rsidRPr="00974C0B">
        <w:t>the treaty – an important matter, given the invisibility of older persons</w:t>
      </w:r>
      <w:r w:rsidR="00F37FD8">
        <w:t xml:space="preserve">, </w:t>
      </w:r>
      <w:r w:rsidR="00D5624F">
        <w:t>ageism,</w:t>
      </w:r>
      <w:r w:rsidRPr="00974C0B">
        <w:t xml:space="preserve"> and age discrimination. </w:t>
      </w:r>
    </w:p>
    <w:p w14:paraId="01B11349" w14:textId="43444AE7" w:rsidR="007A0084" w:rsidRDefault="00C43F74" w:rsidP="00E9562A">
      <w:pPr>
        <w:pStyle w:val="ParaNoG"/>
        <w:numPr>
          <w:ilvl w:val="0"/>
          <w:numId w:val="17"/>
        </w:numPr>
        <w:tabs>
          <w:tab w:val="left" w:pos="0"/>
        </w:tabs>
        <w:ind w:left="1701" w:hanging="207"/>
      </w:pPr>
      <w:r w:rsidRPr="00974C0B">
        <w:t xml:space="preserve">Thirdly, </w:t>
      </w:r>
      <w:r w:rsidR="006A65E7">
        <w:t>specific</w:t>
      </w:r>
      <w:r w:rsidRPr="00974C0B">
        <w:t xml:space="preserve"> treaties </w:t>
      </w:r>
      <w:r w:rsidR="006A65E7">
        <w:t>bring parties together</w:t>
      </w:r>
      <w:r w:rsidRPr="00974C0B">
        <w:t xml:space="preserve">, providing a focus for advocacy and solidarity, and </w:t>
      </w:r>
      <w:r w:rsidR="006A65E7">
        <w:t xml:space="preserve">creating </w:t>
      </w:r>
      <w:r w:rsidRPr="00974C0B">
        <w:t xml:space="preserve">a focused framework for legislative and policy development </w:t>
      </w:r>
      <w:r w:rsidR="000A40B8">
        <w:t xml:space="preserve">concrete solution pathways </w:t>
      </w:r>
      <w:r w:rsidRPr="00974C0B">
        <w:t>for governments</w:t>
      </w:r>
      <w:r w:rsidR="000A40B8">
        <w:t xml:space="preserve"> and others</w:t>
      </w:r>
      <w:r w:rsidRPr="00974C0B">
        <w:t xml:space="preserve"> that </w:t>
      </w:r>
      <w:proofErr w:type="gramStart"/>
      <w:r w:rsidRPr="00974C0B">
        <w:t>is tailored</w:t>
      </w:r>
      <w:proofErr w:type="gramEnd"/>
      <w:r w:rsidRPr="00974C0B">
        <w:t xml:space="preserve"> to the specific human rights involved. </w:t>
      </w:r>
    </w:p>
    <w:p w14:paraId="3BEC7A3C" w14:textId="75A2B770" w:rsidR="00C43F74" w:rsidRPr="00974C0B" w:rsidRDefault="00C43F74" w:rsidP="00E9562A">
      <w:pPr>
        <w:pStyle w:val="ParaNoG"/>
        <w:numPr>
          <w:ilvl w:val="0"/>
          <w:numId w:val="17"/>
        </w:numPr>
        <w:tabs>
          <w:tab w:val="left" w:pos="0"/>
        </w:tabs>
        <w:ind w:left="1701" w:hanging="207"/>
      </w:pPr>
      <w:r w:rsidRPr="00974C0B">
        <w:t xml:space="preserve">Fourthly, these </w:t>
      </w:r>
      <w:r w:rsidR="006A65E7">
        <w:t xml:space="preserve">treaties allow a </w:t>
      </w:r>
      <w:proofErr w:type="gramStart"/>
      <w:r w:rsidR="006A65E7">
        <w:t>cross-over</w:t>
      </w:r>
      <w:proofErr w:type="gramEnd"/>
      <w:r w:rsidR="006A65E7">
        <w:t xml:space="preserve"> </w:t>
      </w:r>
      <w:r w:rsidRPr="00974C0B">
        <w:t>with existing frameworks and help other mechanisms to become more aware of and sensitive to intersectional issues, increasing their ability to apply the latest thinking on these issues within their own treaty framework.</w:t>
      </w:r>
    </w:p>
    <w:p w14:paraId="7A1A1E2B" w14:textId="5C0B9A71" w:rsidR="00C43F74" w:rsidRPr="00974C0B" w:rsidRDefault="000C2CF9" w:rsidP="00952E3E">
      <w:pPr>
        <w:pStyle w:val="ParaNoG"/>
        <w:numPr>
          <w:ilvl w:val="0"/>
          <w:numId w:val="0"/>
        </w:numPr>
        <w:tabs>
          <w:tab w:val="left" w:pos="0"/>
        </w:tabs>
        <w:ind w:left="1134"/>
        <w:rPr>
          <w:rStyle w:val="EndnoteReference"/>
          <w:sz w:val="20"/>
        </w:rPr>
      </w:pPr>
      <w:r>
        <w:rPr>
          <w:rStyle w:val="EndnoteReference"/>
          <w:sz w:val="20"/>
          <w:vertAlign w:val="baseline"/>
        </w:rPr>
        <w:t>57</w:t>
      </w:r>
      <w:r w:rsidR="00C43F74" w:rsidRPr="00974C0B">
        <w:rPr>
          <w:rStyle w:val="EndnoteReference"/>
          <w:sz w:val="20"/>
          <w:vertAlign w:val="baseline"/>
        </w:rPr>
        <w:t>.</w:t>
      </w:r>
      <w:r w:rsidR="00C43F74" w:rsidRPr="00974C0B">
        <w:rPr>
          <w:rStyle w:val="EndnoteReference"/>
          <w:sz w:val="20"/>
          <w:vertAlign w:val="baseline"/>
        </w:rPr>
        <w:tab/>
      </w:r>
      <w:r w:rsidR="007A0084">
        <w:t xml:space="preserve">A </w:t>
      </w:r>
      <w:r w:rsidR="00C43F74" w:rsidRPr="00974C0B">
        <w:t xml:space="preserve">recent </w:t>
      </w:r>
      <w:r w:rsidR="007A0084">
        <w:t xml:space="preserve">striking </w:t>
      </w:r>
      <w:r w:rsidR="00C43F74" w:rsidRPr="00974C0B">
        <w:t>example of a specialized treaty</w:t>
      </w:r>
      <w:r w:rsidR="006A65E7">
        <w:t>’s impact</w:t>
      </w:r>
      <w:r w:rsidR="00C43F74" w:rsidRPr="00974C0B">
        <w:t xml:space="preserve"> is the Convention on the Rights of Persons with Disabilities. The process leading to the </w:t>
      </w:r>
      <w:r w:rsidR="00503667" w:rsidRPr="00974C0B">
        <w:t xml:space="preserve">Convention </w:t>
      </w:r>
      <w:proofErr w:type="gramStart"/>
      <w:r w:rsidR="00503667">
        <w:t xml:space="preserve">being </w:t>
      </w:r>
      <w:r w:rsidR="00C43F74" w:rsidRPr="00974C0B">
        <w:t>adopt</w:t>
      </w:r>
      <w:r w:rsidR="00503667">
        <w:t>ed</w:t>
      </w:r>
      <w:proofErr w:type="gramEnd"/>
      <w:r w:rsidR="00C43F74" w:rsidRPr="00974C0B">
        <w:t xml:space="preserve"> brought together advocates, civil society, </w:t>
      </w:r>
      <w:r w:rsidR="00D5624F" w:rsidRPr="00974C0B">
        <w:t>governments,</w:t>
      </w:r>
      <w:r w:rsidR="00C43F74" w:rsidRPr="00974C0B">
        <w:t xml:space="preserve"> and others around disability issues. Since its adoption, the Convention has provided a critical framework against which many accepted laws and practices have been </w:t>
      </w:r>
      <w:r w:rsidR="006A65E7">
        <w:t>examined</w:t>
      </w:r>
      <w:r w:rsidR="00C43F74" w:rsidRPr="00974C0B">
        <w:t xml:space="preserve">, and subsequently amended or repealed, to </w:t>
      </w:r>
      <w:r w:rsidR="006A65E7">
        <w:t xml:space="preserve">make </w:t>
      </w:r>
      <w:r w:rsidR="00C43F74" w:rsidRPr="00974C0B">
        <w:t xml:space="preserve">sure </w:t>
      </w:r>
      <w:r w:rsidR="005D5003">
        <w:t xml:space="preserve">disabled persons’ </w:t>
      </w:r>
      <w:r w:rsidR="00C43F74" w:rsidRPr="00974C0B">
        <w:t xml:space="preserve">rights </w:t>
      </w:r>
      <w:proofErr w:type="gramStart"/>
      <w:r w:rsidR="006A65E7">
        <w:t>are respected</w:t>
      </w:r>
      <w:proofErr w:type="gramEnd"/>
      <w:r w:rsidR="00C43F74" w:rsidRPr="00974C0B">
        <w:t>. These include laws relating to</w:t>
      </w:r>
      <w:r w:rsidR="00B63193">
        <w:t xml:space="preserve">, </w:t>
      </w:r>
      <w:r w:rsidR="00D5624F">
        <w:t>i.e.,</w:t>
      </w:r>
      <w:r w:rsidR="00C43F74" w:rsidRPr="00974C0B">
        <w:t xml:space="preserve"> guardianship, mobility and accessibility, independent living arrangements, employment, voting and other political participation rights, communication rights and education.</w:t>
      </w:r>
    </w:p>
    <w:p w14:paraId="570457AC" w14:textId="4430CAA0" w:rsidR="00C43F74" w:rsidRPr="00974C0B" w:rsidRDefault="00347853" w:rsidP="00952E3E">
      <w:pPr>
        <w:pStyle w:val="ParaNoG"/>
        <w:numPr>
          <w:ilvl w:val="0"/>
          <w:numId w:val="0"/>
        </w:numPr>
        <w:tabs>
          <w:tab w:val="left" w:pos="0"/>
        </w:tabs>
        <w:ind w:left="1134"/>
        <w:rPr>
          <w:rStyle w:val="EndnoteReference"/>
        </w:rPr>
      </w:pPr>
      <w:r w:rsidRPr="00974C0B">
        <w:rPr>
          <w:rStyle w:val="EndnoteReference"/>
          <w:sz w:val="20"/>
          <w:vertAlign w:val="baseline"/>
        </w:rPr>
        <w:t xml:space="preserve"> </w:t>
      </w:r>
      <w:r w:rsidR="00C43F74" w:rsidRPr="00974C0B">
        <w:rPr>
          <w:rStyle w:val="EndnoteReference"/>
          <w:sz w:val="20"/>
          <w:vertAlign w:val="baseline"/>
        </w:rPr>
        <w:t>5</w:t>
      </w:r>
      <w:r w:rsidR="000C2CF9">
        <w:rPr>
          <w:rStyle w:val="EndnoteReference"/>
          <w:sz w:val="20"/>
          <w:vertAlign w:val="baseline"/>
        </w:rPr>
        <w:t>8</w:t>
      </w:r>
      <w:r w:rsidR="00C43F74" w:rsidRPr="00974C0B">
        <w:rPr>
          <w:rStyle w:val="EndnoteReference"/>
          <w:sz w:val="20"/>
          <w:vertAlign w:val="baseline"/>
        </w:rPr>
        <w:t>.</w:t>
      </w:r>
      <w:r w:rsidR="00C43F74" w:rsidRPr="00974C0B">
        <w:rPr>
          <w:rStyle w:val="EndnoteReference"/>
          <w:sz w:val="20"/>
          <w:vertAlign w:val="baseline"/>
        </w:rPr>
        <w:tab/>
      </w:r>
      <w:r w:rsidR="00C43F74" w:rsidRPr="00974C0B">
        <w:rPr>
          <w:bCs/>
        </w:rPr>
        <w:t xml:space="preserve">A treaty’s impact </w:t>
      </w:r>
      <w:r w:rsidR="005D5003">
        <w:rPr>
          <w:bCs/>
        </w:rPr>
        <w:t xml:space="preserve">depends on </w:t>
      </w:r>
      <w:r w:rsidR="006A65E7">
        <w:rPr>
          <w:bCs/>
        </w:rPr>
        <w:t xml:space="preserve">how it </w:t>
      </w:r>
      <w:proofErr w:type="gramStart"/>
      <w:r w:rsidR="006A65E7">
        <w:rPr>
          <w:bCs/>
        </w:rPr>
        <w:t xml:space="preserve">is </w:t>
      </w:r>
      <w:r w:rsidR="00C43F74" w:rsidRPr="00974C0B">
        <w:rPr>
          <w:bCs/>
        </w:rPr>
        <w:t>implement</w:t>
      </w:r>
      <w:r w:rsidR="006A65E7">
        <w:rPr>
          <w:bCs/>
        </w:rPr>
        <w:t>ed</w:t>
      </w:r>
      <w:r w:rsidR="00C43F74" w:rsidRPr="00974C0B">
        <w:rPr>
          <w:bCs/>
        </w:rPr>
        <w:t xml:space="preserve"> and appli</w:t>
      </w:r>
      <w:r w:rsidR="006A65E7">
        <w:rPr>
          <w:bCs/>
        </w:rPr>
        <w:t>ed</w:t>
      </w:r>
      <w:r w:rsidR="00C43F74" w:rsidRPr="00974C0B">
        <w:rPr>
          <w:bCs/>
        </w:rPr>
        <w:t xml:space="preserve"> at the domestic level,</w:t>
      </w:r>
      <w:proofErr w:type="gramEnd"/>
      <w:r w:rsidR="00C43F74" w:rsidRPr="00974C0B">
        <w:rPr>
          <w:bCs/>
        </w:rPr>
        <w:t xml:space="preserve"> </w:t>
      </w:r>
      <w:r w:rsidR="005D5003">
        <w:rPr>
          <w:bCs/>
        </w:rPr>
        <w:t xml:space="preserve">and </w:t>
      </w:r>
      <w:r w:rsidR="00C43F74" w:rsidRPr="00974C0B">
        <w:rPr>
          <w:bCs/>
        </w:rPr>
        <w:t xml:space="preserve">in </w:t>
      </w:r>
      <w:r w:rsidR="006A65E7">
        <w:rPr>
          <w:bCs/>
        </w:rPr>
        <w:t xml:space="preserve">how </w:t>
      </w:r>
      <w:r w:rsidR="00C43F74" w:rsidRPr="00974C0B">
        <w:rPr>
          <w:bCs/>
        </w:rPr>
        <w:t>it shap</w:t>
      </w:r>
      <w:r w:rsidR="006A65E7">
        <w:rPr>
          <w:bCs/>
        </w:rPr>
        <w:t>es</w:t>
      </w:r>
      <w:r w:rsidR="00C43F74" w:rsidRPr="00974C0B">
        <w:rPr>
          <w:bCs/>
        </w:rPr>
        <w:t xml:space="preserve"> policy frameworks and indicators to measure progress. For example,</w:t>
      </w:r>
      <w:r w:rsidR="00563F75">
        <w:rPr>
          <w:bCs/>
        </w:rPr>
        <w:t xml:space="preserve"> the</w:t>
      </w:r>
      <w:r w:rsidR="00C43F74" w:rsidRPr="00974C0B">
        <w:rPr>
          <w:bCs/>
        </w:rPr>
        <w:t xml:space="preserve"> </w:t>
      </w:r>
      <w:r w:rsidR="00563F75" w:rsidRPr="00357C61">
        <w:rPr>
          <w:bCs/>
        </w:rPr>
        <w:t>Sustainable Development Goals</w:t>
      </w:r>
      <w:r w:rsidR="00563F75" w:rsidRPr="00347853">
        <w:rPr>
          <w:b/>
        </w:rPr>
        <w:t xml:space="preserve"> </w:t>
      </w:r>
      <w:r w:rsidR="00563F75">
        <w:rPr>
          <w:bCs/>
        </w:rPr>
        <w:t xml:space="preserve">highlight </w:t>
      </w:r>
      <w:r w:rsidR="00C43F74" w:rsidRPr="00974C0B">
        <w:rPr>
          <w:bCs/>
        </w:rPr>
        <w:t xml:space="preserve">disability, </w:t>
      </w:r>
      <w:r w:rsidR="00D5624F" w:rsidRPr="00974C0B">
        <w:rPr>
          <w:bCs/>
        </w:rPr>
        <w:t>gender,</w:t>
      </w:r>
      <w:r w:rsidR="00C43F74" w:rsidRPr="00974C0B">
        <w:rPr>
          <w:bCs/>
        </w:rPr>
        <w:t xml:space="preserve"> and children’s issues in </w:t>
      </w:r>
      <w:r w:rsidR="00563F75">
        <w:rPr>
          <w:bCs/>
        </w:rPr>
        <w:t xml:space="preserve">its </w:t>
      </w:r>
      <w:r w:rsidR="00C43F74" w:rsidRPr="00974C0B">
        <w:rPr>
          <w:bCs/>
        </w:rPr>
        <w:t xml:space="preserve">goals, </w:t>
      </w:r>
      <w:r w:rsidR="00D5624F" w:rsidRPr="00974C0B">
        <w:rPr>
          <w:bCs/>
        </w:rPr>
        <w:t>targets,</w:t>
      </w:r>
      <w:r w:rsidR="00C43F74" w:rsidRPr="00974C0B">
        <w:rPr>
          <w:bCs/>
        </w:rPr>
        <w:t xml:space="preserve"> and indicators, while age, especially older age, </w:t>
      </w:r>
      <w:proofErr w:type="gramStart"/>
      <w:r w:rsidR="00C43F74" w:rsidRPr="00974C0B">
        <w:rPr>
          <w:bCs/>
        </w:rPr>
        <w:t>has</w:t>
      </w:r>
      <w:proofErr w:type="gramEnd"/>
      <w:r w:rsidR="00C43F74" w:rsidRPr="00974C0B">
        <w:rPr>
          <w:bCs/>
        </w:rPr>
        <w:t xml:space="preserve"> few references. The former Independent Expert noted that the Sustainable Development Goals generally, and </w:t>
      </w:r>
      <w:r w:rsidR="007A0084">
        <w:rPr>
          <w:bCs/>
        </w:rPr>
        <w:t xml:space="preserve">concerning </w:t>
      </w:r>
      <w:r w:rsidR="00C43F74" w:rsidRPr="00974C0B">
        <w:rPr>
          <w:bCs/>
        </w:rPr>
        <w:t>the area of education specifically, lacked a specific focus on exclusion in older age and discrimination against older persons</w:t>
      </w:r>
      <w:r w:rsidR="0064657F">
        <w:rPr>
          <w:bCs/>
        </w:rPr>
        <w:t>. S</w:t>
      </w:r>
      <w:r w:rsidR="00C43F74" w:rsidRPr="00974C0B">
        <w:rPr>
          <w:bCs/>
        </w:rPr>
        <w:t>he concluded that, compared with other groups</w:t>
      </w:r>
      <w:r w:rsidR="00C43F74">
        <w:rPr>
          <w:bCs/>
        </w:rPr>
        <w:t xml:space="preserve">, </w:t>
      </w:r>
      <w:r w:rsidR="00D5624F">
        <w:rPr>
          <w:bCs/>
        </w:rPr>
        <w:t>e.g.,</w:t>
      </w:r>
      <w:r w:rsidR="00C43F74" w:rsidRPr="00974C0B">
        <w:rPr>
          <w:bCs/>
        </w:rPr>
        <w:t xml:space="preserve"> children and persons with disabilities, this lack of focus </w:t>
      </w:r>
      <w:r w:rsidR="00C43F74" w:rsidRPr="00974C0B">
        <w:t>“</w:t>
      </w:r>
      <w:r w:rsidR="00C43F74" w:rsidRPr="0064657F">
        <w:rPr>
          <w:i/>
          <w:iCs/>
        </w:rPr>
        <w:t>is certainly a reflection of the lack of a dedicated legal instrument for older persons</w:t>
      </w:r>
      <w:r w:rsidR="00C43F74" w:rsidRPr="00974C0B">
        <w:t>”.</w:t>
      </w:r>
      <w:r w:rsidR="00C43F74" w:rsidRPr="00974C0B">
        <w:rPr>
          <w:rStyle w:val="EndnoteReference"/>
        </w:rPr>
        <w:endnoteReference w:id="80"/>
      </w:r>
    </w:p>
    <w:p w14:paraId="5CA44BA8" w14:textId="2BA8CCA3" w:rsidR="00C43F74" w:rsidRPr="00974C0B" w:rsidRDefault="00C43F74" w:rsidP="00E95FFF">
      <w:pPr>
        <w:pStyle w:val="H1G"/>
      </w:pPr>
      <w:r w:rsidRPr="00974C0B">
        <w:lastRenderedPageBreak/>
        <w:tab/>
      </w:r>
      <w:bookmarkStart w:id="16" w:name="VII_B"/>
      <w:r w:rsidRPr="00974C0B">
        <w:t>B.</w:t>
      </w:r>
      <w:r w:rsidRPr="00974C0B">
        <w:tab/>
      </w:r>
      <w:r w:rsidR="006A65E7">
        <w:t xml:space="preserve">How to </w:t>
      </w:r>
      <w:r w:rsidR="005A4814">
        <w:t>t</w:t>
      </w:r>
      <w:r w:rsidR="005A4814" w:rsidRPr="00974C0B">
        <w:t>ake fu</w:t>
      </w:r>
      <w:r w:rsidR="005A4814">
        <w:t>ll advantage of</w:t>
      </w:r>
      <w:r w:rsidR="006A65E7">
        <w:t xml:space="preserve"> </w:t>
      </w:r>
      <w:r w:rsidRPr="00974C0B">
        <w:t>the potential of existing human rights mechanisms</w:t>
      </w:r>
      <w:bookmarkEnd w:id="16"/>
    </w:p>
    <w:p w14:paraId="3B282C77" w14:textId="4EDC14A1" w:rsidR="00503667" w:rsidRDefault="00C43F74" w:rsidP="00952E3E">
      <w:pPr>
        <w:pStyle w:val="ParaNoG"/>
        <w:numPr>
          <w:ilvl w:val="0"/>
          <w:numId w:val="0"/>
        </w:numPr>
        <w:tabs>
          <w:tab w:val="left" w:pos="0"/>
        </w:tabs>
        <w:ind w:left="1134"/>
      </w:pPr>
      <w:r w:rsidRPr="00974C0B">
        <w:t>5</w:t>
      </w:r>
      <w:r w:rsidR="000C2CF9">
        <w:t>9</w:t>
      </w:r>
      <w:r w:rsidRPr="00974C0B">
        <w:t>.</w:t>
      </w:r>
      <w:r w:rsidRPr="00974C0B">
        <w:tab/>
        <w:t xml:space="preserve">The varied practices by existing human rights mechanisms highlighted in the previous section imply that there is significant scope </w:t>
      </w:r>
      <w:r w:rsidR="006A65E7">
        <w:t xml:space="preserve">to </w:t>
      </w:r>
      <w:r w:rsidRPr="00974C0B">
        <w:t xml:space="preserve">strengthen their engagement on </w:t>
      </w:r>
      <w:r w:rsidR="00A97C53" w:rsidRPr="00974C0B">
        <w:t>older persons</w:t>
      </w:r>
      <w:r w:rsidR="00A97C53">
        <w:t>’</w:t>
      </w:r>
      <w:r w:rsidR="00A97C53" w:rsidRPr="00974C0B">
        <w:t xml:space="preserve"> </w:t>
      </w:r>
      <w:r w:rsidRPr="00974C0B">
        <w:t>human rights</w:t>
      </w:r>
      <w:r w:rsidR="00503667">
        <w:t>, e.g.:</w:t>
      </w:r>
    </w:p>
    <w:p w14:paraId="2E72868B" w14:textId="45F75CC0" w:rsidR="00503667" w:rsidRDefault="00C43F74" w:rsidP="006A65E7">
      <w:pPr>
        <w:pStyle w:val="ParaNoG"/>
        <w:numPr>
          <w:ilvl w:val="0"/>
          <w:numId w:val="18"/>
        </w:numPr>
        <w:tabs>
          <w:tab w:val="left" w:pos="0"/>
        </w:tabs>
        <w:ind w:left="1701" w:hanging="207"/>
      </w:pPr>
      <w:r w:rsidRPr="00974C0B">
        <w:t>Existing mechanisms could do more to implement</w:t>
      </w:r>
      <w:r w:rsidR="007775E2">
        <w:t xml:space="preserve"> and apply</w:t>
      </w:r>
      <w:r w:rsidRPr="00974C0B">
        <w:t xml:space="preserve"> existing binding norms, non-binding </w:t>
      </w:r>
      <w:r w:rsidR="00D5624F" w:rsidRPr="00974C0B">
        <w:t>norms,</w:t>
      </w:r>
      <w:r w:rsidRPr="00974C0B">
        <w:t xml:space="preserve"> and policy documents</w:t>
      </w:r>
      <w:r w:rsidR="007775E2">
        <w:t xml:space="preserve"> despite their lack of specificity </w:t>
      </w:r>
      <w:r w:rsidR="00D5624F">
        <w:t>regarding</w:t>
      </w:r>
      <w:r w:rsidR="007775E2">
        <w:t xml:space="preserve"> older persons’ human rights concerns and requisites</w:t>
      </w:r>
      <w:r w:rsidRPr="00974C0B">
        <w:t>. Existing mechanisms could increase their engagement with human rights in older age</w:t>
      </w:r>
      <w:r w:rsidR="007775E2">
        <w:t xml:space="preserve"> and of older persons of the different age-groups</w:t>
      </w:r>
      <w:r w:rsidRPr="00974C0B">
        <w:t xml:space="preserve">, </w:t>
      </w:r>
      <w:r w:rsidR="00B63193">
        <w:t>e.g.</w:t>
      </w:r>
      <w:r w:rsidR="006A65E7">
        <w:t>:</w:t>
      </w:r>
      <w:r w:rsidRPr="00974C0B">
        <w:t xml:space="preserve"> </w:t>
      </w:r>
    </w:p>
    <w:p w14:paraId="730BDA56" w14:textId="77777777" w:rsidR="00503667" w:rsidRDefault="00C43F74" w:rsidP="00503667">
      <w:pPr>
        <w:pStyle w:val="ParaNoG"/>
        <w:numPr>
          <w:ilvl w:val="1"/>
          <w:numId w:val="18"/>
        </w:numPr>
        <w:tabs>
          <w:tab w:val="left" w:pos="0"/>
        </w:tabs>
      </w:pPr>
      <w:r w:rsidRPr="00974C0B">
        <w:t xml:space="preserve">treaty bodies </w:t>
      </w:r>
      <w:r w:rsidR="00503667">
        <w:t xml:space="preserve">could: </w:t>
      </w:r>
    </w:p>
    <w:p w14:paraId="01447888" w14:textId="77777777" w:rsidR="00503667" w:rsidRDefault="00503667" w:rsidP="00503667">
      <w:pPr>
        <w:pStyle w:val="ParaNoG"/>
        <w:numPr>
          <w:ilvl w:val="2"/>
          <w:numId w:val="18"/>
        </w:numPr>
        <w:tabs>
          <w:tab w:val="left" w:pos="0"/>
        </w:tabs>
      </w:pPr>
      <w:r>
        <w:t xml:space="preserve">(a) include </w:t>
      </w:r>
      <w:r w:rsidR="00C43F74" w:rsidRPr="00974C0B">
        <w:t xml:space="preserve">more specific questions in the lists of issues provided to States parties prior to reporting or in response to reports, </w:t>
      </w:r>
      <w:r>
        <w:t xml:space="preserve">and </w:t>
      </w:r>
    </w:p>
    <w:p w14:paraId="3434F8D7" w14:textId="4C7CC047" w:rsidR="00503667" w:rsidRDefault="00503667" w:rsidP="00503667">
      <w:pPr>
        <w:pStyle w:val="ParaNoG"/>
        <w:numPr>
          <w:ilvl w:val="2"/>
          <w:numId w:val="18"/>
        </w:numPr>
        <w:tabs>
          <w:tab w:val="left" w:pos="0"/>
        </w:tabs>
      </w:pPr>
      <w:r>
        <w:t xml:space="preserve">(b) </w:t>
      </w:r>
      <w:r w:rsidR="00C43F74" w:rsidRPr="00974C0B">
        <w:t>ensur</w:t>
      </w:r>
      <w:r>
        <w:t>e</w:t>
      </w:r>
      <w:r w:rsidR="00C43F74" w:rsidRPr="00974C0B">
        <w:t xml:space="preserve"> that concluding observations regularly address these matters</w:t>
      </w:r>
      <w:r w:rsidR="006A65E7">
        <w:t>,</w:t>
      </w:r>
      <w:r w:rsidR="00C43F74" w:rsidRPr="00974C0B">
        <w:t xml:space="preserve"> </w:t>
      </w:r>
    </w:p>
    <w:p w14:paraId="03F8D702" w14:textId="3C2DE876" w:rsidR="00503667" w:rsidRDefault="00C43F74" w:rsidP="00503667">
      <w:pPr>
        <w:pStyle w:val="ParaNoG"/>
        <w:numPr>
          <w:ilvl w:val="1"/>
          <w:numId w:val="18"/>
        </w:numPr>
        <w:tabs>
          <w:tab w:val="left" w:pos="0"/>
        </w:tabs>
      </w:pPr>
      <w:r w:rsidRPr="00974C0B">
        <w:t>States parties could include more information on older persons in their reports</w:t>
      </w:r>
      <w:r w:rsidR="00503667">
        <w:t>, and</w:t>
      </w:r>
      <w:r w:rsidRPr="00974C0B">
        <w:t xml:space="preserve"> </w:t>
      </w:r>
    </w:p>
    <w:p w14:paraId="7138AE97" w14:textId="5C5A0183" w:rsidR="00503667" w:rsidRDefault="00C43F74" w:rsidP="00503667">
      <w:pPr>
        <w:pStyle w:val="ParaNoG"/>
        <w:numPr>
          <w:ilvl w:val="1"/>
          <w:numId w:val="18"/>
        </w:numPr>
        <w:tabs>
          <w:tab w:val="left" w:pos="0"/>
        </w:tabs>
      </w:pPr>
      <w:r w:rsidRPr="00974C0B">
        <w:t>Civil society organizations could ensure that they bring the issues to the attention of treaty bodies.</w:t>
      </w:r>
      <w:r w:rsidRPr="00974C0B">
        <w:rPr>
          <w:rStyle w:val="EndnoteReference"/>
        </w:rPr>
        <w:endnoteReference w:id="81"/>
      </w:r>
      <w:r w:rsidRPr="00974C0B">
        <w:rPr>
          <w:rStyle w:val="EndnoteReference"/>
        </w:rPr>
        <w:t xml:space="preserve"> </w:t>
      </w:r>
    </w:p>
    <w:p w14:paraId="45D0AD37" w14:textId="77777777" w:rsidR="006A65E7" w:rsidRDefault="003960BE" w:rsidP="00503667">
      <w:pPr>
        <w:pStyle w:val="ParaNoG"/>
        <w:numPr>
          <w:ilvl w:val="0"/>
          <w:numId w:val="18"/>
        </w:numPr>
        <w:tabs>
          <w:tab w:val="left" w:pos="0"/>
        </w:tabs>
      </w:pPr>
      <w:r w:rsidRPr="00974C0B">
        <w:t xml:space="preserve">Treaty bodies could update existing general comments or develop new ones. </w:t>
      </w:r>
    </w:p>
    <w:p w14:paraId="71AD38ED" w14:textId="77777777" w:rsidR="006A65E7" w:rsidRDefault="003960BE" w:rsidP="006A65E7">
      <w:pPr>
        <w:pStyle w:val="ParaNoG"/>
        <w:numPr>
          <w:ilvl w:val="0"/>
          <w:numId w:val="18"/>
        </w:numPr>
        <w:tabs>
          <w:tab w:val="left" w:pos="0"/>
        </w:tabs>
        <w:ind w:left="1701" w:hanging="207"/>
      </w:pPr>
      <w:r w:rsidRPr="00974C0B">
        <w:t>Special procedures could</w:t>
      </w:r>
      <w:r w:rsidR="006A65E7">
        <w:t>:</w:t>
      </w:r>
      <w:r w:rsidRPr="00974C0B">
        <w:t xml:space="preserve"> </w:t>
      </w:r>
    </w:p>
    <w:p w14:paraId="18730146" w14:textId="0F04A19D" w:rsidR="006A65E7" w:rsidRDefault="003960BE" w:rsidP="006A65E7">
      <w:pPr>
        <w:pStyle w:val="ParaNoG"/>
        <w:numPr>
          <w:ilvl w:val="1"/>
          <w:numId w:val="18"/>
        </w:numPr>
        <w:tabs>
          <w:tab w:val="left" w:pos="0"/>
        </w:tabs>
      </w:pPr>
      <w:r w:rsidRPr="00974C0B">
        <w:t xml:space="preserve">pay greater attention to </w:t>
      </w:r>
      <w:r w:rsidR="006A65E7">
        <w:t xml:space="preserve">the </w:t>
      </w:r>
      <w:r w:rsidRPr="00974C0B">
        <w:t>impact of ageism and age discrimination</w:t>
      </w:r>
      <w:r w:rsidR="006A65E7">
        <w:t>,</w:t>
      </w:r>
      <w:r w:rsidRPr="00974C0B">
        <w:t xml:space="preserve"> and </w:t>
      </w:r>
    </w:p>
    <w:p w14:paraId="25F754A2" w14:textId="652E7CC1" w:rsidR="003960BE" w:rsidRPr="00974C0B" w:rsidRDefault="003960BE" w:rsidP="006A65E7">
      <w:pPr>
        <w:pStyle w:val="ParaNoG"/>
        <w:numPr>
          <w:ilvl w:val="1"/>
          <w:numId w:val="18"/>
        </w:numPr>
        <w:tabs>
          <w:tab w:val="left" w:pos="0"/>
        </w:tabs>
      </w:pPr>
      <w:proofErr w:type="gramStart"/>
      <w:r w:rsidRPr="00974C0B">
        <w:t>consult</w:t>
      </w:r>
      <w:proofErr w:type="gramEnd"/>
      <w:r w:rsidRPr="00974C0B">
        <w:t xml:space="preserve"> with older persons and organizations representing them in their country and </w:t>
      </w:r>
      <w:r w:rsidR="006A65E7">
        <w:t>specific areas</w:t>
      </w:r>
      <w:r w:rsidRPr="00974C0B">
        <w:t>.</w:t>
      </w:r>
    </w:p>
    <w:p w14:paraId="4088A6AD" w14:textId="77777777" w:rsidR="00D13171" w:rsidRDefault="000C2CF9" w:rsidP="00952E3E">
      <w:pPr>
        <w:pStyle w:val="ParaNoG"/>
        <w:numPr>
          <w:ilvl w:val="0"/>
          <w:numId w:val="0"/>
        </w:numPr>
        <w:tabs>
          <w:tab w:val="left" w:pos="0"/>
        </w:tabs>
        <w:ind w:left="1134"/>
      </w:pPr>
      <w:r>
        <w:t>60</w:t>
      </w:r>
      <w:r w:rsidR="00952E3E" w:rsidRPr="00974C0B">
        <w:t>.</w:t>
      </w:r>
      <w:r w:rsidR="00952E3E" w:rsidRPr="00974C0B">
        <w:tab/>
      </w:r>
      <w:r w:rsidR="006A65E7">
        <w:t>E</w:t>
      </w:r>
      <w:r w:rsidR="006A65E7" w:rsidRPr="00974C0B">
        <w:t xml:space="preserve">xisting mechanisms </w:t>
      </w:r>
      <w:r w:rsidR="006A65E7">
        <w:t xml:space="preserve">could take many </w:t>
      </w:r>
      <w:r w:rsidR="003960BE" w:rsidRPr="00974C0B">
        <w:t xml:space="preserve">steps to close the human rights protection gap </w:t>
      </w:r>
      <w:r w:rsidR="006A65E7">
        <w:t xml:space="preserve">faced by </w:t>
      </w:r>
      <w:r w:rsidR="003960BE" w:rsidRPr="00974C0B">
        <w:t>older persons</w:t>
      </w:r>
      <w:r w:rsidR="006A65E7">
        <w:t>; however,</w:t>
      </w:r>
      <w:r w:rsidR="003960BE" w:rsidRPr="00974C0B">
        <w:t xml:space="preserve"> it is important to recognize their limitations</w:t>
      </w:r>
      <w:r w:rsidR="00D13171">
        <w:t>, e.g.:</w:t>
      </w:r>
      <w:r w:rsidR="003960BE" w:rsidRPr="00974C0B">
        <w:t xml:space="preserve"> </w:t>
      </w:r>
    </w:p>
    <w:p w14:paraId="3AAE5C9B" w14:textId="2BC984B5" w:rsidR="00D13171" w:rsidRDefault="00D13171" w:rsidP="00D13171">
      <w:pPr>
        <w:pStyle w:val="ParaNoG"/>
        <w:numPr>
          <w:ilvl w:val="0"/>
          <w:numId w:val="28"/>
        </w:numPr>
        <w:tabs>
          <w:tab w:val="left" w:pos="0"/>
        </w:tabs>
        <w:ind w:left="1701" w:hanging="207"/>
      </w:pPr>
      <w:r>
        <w:t>c</w:t>
      </w:r>
      <w:r w:rsidR="003960BE" w:rsidRPr="00974C0B">
        <w:t xml:space="preserve">urrent mechanisms face practical limitations in </w:t>
      </w:r>
      <w:r>
        <w:t xml:space="preserve">how they </w:t>
      </w:r>
      <w:r w:rsidR="003960BE" w:rsidRPr="00974C0B">
        <w:t xml:space="preserve">advance </w:t>
      </w:r>
      <w:r w:rsidR="00A97C53" w:rsidRPr="00974C0B">
        <w:t>older persons</w:t>
      </w:r>
      <w:r w:rsidR="00A97C53">
        <w:t>’</w:t>
      </w:r>
      <w:r w:rsidR="00A97C53" w:rsidRPr="00974C0B">
        <w:t xml:space="preserve"> </w:t>
      </w:r>
      <w:r w:rsidR="003960BE" w:rsidRPr="00974C0B">
        <w:t>human rights</w:t>
      </w:r>
      <w:r w:rsidR="00A97C53">
        <w:t>,</w:t>
      </w:r>
      <w:r w:rsidR="003960BE" w:rsidRPr="00974C0B">
        <w:t xml:space="preserve"> including </w:t>
      </w:r>
      <w:r>
        <w:t xml:space="preserve">how they manage </w:t>
      </w:r>
      <w:r w:rsidR="003960BE" w:rsidRPr="00974C0B">
        <w:t xml:space="preserve">their mandates, workloads, </w:t>
      </w:r>
      <w:r w:rsidR="00D5624F" w:rsidRPr="00974C0B">
        <w:t>expectations,</w:t>
      </w:r>
      <w:r w:rsidR="003960BE" w:rsidRPr="00974C0B">
        <w:t xml:space="preserve"> and expertise</w:t>
      </w:r>
      <w:r>
        <w:t>,</w:t>
      </w:r>
      <w:r w:rsidR="003960BE" w:rsidRPr="00974C0B">
        <w:t xml:space="preserve"> </w:t>
      </w:r>
    </w:p>
    <w:p w14:paraId="46FCA914" w14:textId="4290DC17" w:rsidR="00D13171" w:rsidRDefault="00D13171" w:rsidP="00D13171">
      <w:pPr>
        <w:pStyle w:val="ParaNoG"/>
        <w:numPr>
          <w:ilvl w:val="0"/>
          <w:numId w:val="28"/>
        </w:numPr>
        <w:tabs>
          <w:tab w:val="left" w:pos="0"/>
        </w:tabs>
        <w:ind w:left="1701" w:hanging="207"/>
      </w:pPr>
      <w:r>
        <w:t>t</w:t>
      </w:r>
      <w:r w:rsidR="003960BE" w:rsidRPr="00974C0B">
        <w:t xml:space="preserve">reaty bodies </w:t>
      </w:r>
      <w:r>
        <w:t xml:space="preserve">face </w:t>
      </w:r>
      <w:r w:rsidR="003960BE" w:rsidRPr="00974C0B">
        <w:t>competing substantive provisions of their governing treaty and the concerns States parties and civil society raise before them</w:t>
      </w:r>
      <w:r>
        <w:t xml:space="preserve">, </w:t>
      </w:r>
    </w:p>
    <w:p w14:paraId="05943ED5" w14:textId="3077FAC7" w:rsidR="00D13171" w:rsidRDefault="00D13171" w:rsidP="00D13171">
      <w:pPr>
        <w:pStyle w:val="ParaNoG"/>
        <w:numPr>
          <w:ilvl w:val="0"/>
          <w:numId w:val="28"/>
        </w:numPr>
        <w:tabs>
          <w:tab w:val="left" w:pos="0"/>
        </w:tabs>
        <w:ind w:left="1701" w:hanging="207"/>
      </w:pPr>
      <w:r>
        <w:t>t</w:t>
      </w:r>
      <w:r w:rsidR="003960BE" w:rsidRPr="00974C0B">
        <w:t>he limited time available to explore additional issues in dialogues with States parties under</w:t>
      </w:r>
      <w:r w:rsidR="006D0956">
        <w:t>-</w:t>
      </w:r>
      <w:r w:rsidR="003960BE" w:rsidRPr="00974C0B">
        <w:t>reporting procedures</w:t>
      </w:r>
      <w:r>
        <w:t>,</w:t>
      </w:r>
      <w:r w:rsidR="003960BE" w:rsidRPr="00974C0B">
        <w:t xml:space="preserve"> </w:t>
      </w:r>
    </w:p>
    <w:p w14:paraId="29C657CD" w14:textId="2E35376F" w:rsidR="00D13171" w:rsidRDefault="003960BE" w:rsidP="00D13171">
      <w:pPr>
        <w:pStyle w:val="ParaNoG"/>
        <w:numPr>
          <w:ilvl w:val="0"/>
          <w:numId w:val="28"/>
        </w:numPr>
        <w:tabs>
          <w:tab w:val="left" w:pos="0"/>
        </w:tabs>
        <w:ind w:left="1701" w:hanging="207"/>
      </w:pPr>
      <w:r w:rsidRPr="00974C0B">
        <w:t xml:space="preserve">the limitation on </w:t>
      </w:r>
      <w:r w:rsidR="0064657F" w:rsidRPr="00974C0B">
        <w:t xml:space="preserve">documents </w:t>
      </w:r>
      <w:r w:rsidRPr="00974C0B">
        <w:t>length and the number of issues that can be put to States parties in writing and orally</w:t>
      </w:r>
      <w:r w:rsidR="00D13171">
        <w:t>,</w:t>
      </w:r>
      <w:r w:rsidRPr="00974C0B">
        <w:t xml:space="preserve"> </w:t>
      </w:r>
    </w:p>
    <w:p w14:paraId="2F1B9611" w14:textId="2DAB902A" w:rsidR="00D13171" w:rsidRDefault="003960BE" w:rsidP="00D13171">
      <w:pPr>
        <w:pStyle w:val="ParaNoG"/>
        <w:numPr>
          <w:ilvl w:val="0"/>
          <w:numId w:val="28"/>
        </w:numPr>
        <w:tabs>
          <w:tab w:val="left" w:pos="0"/>
        </w:tabs>
        <w:ind w:left="1701" w:hanging="207"/>
      </w:pPr>
      <w:r w:rsidRPr="00974C0B">
        <w:t>the non-binding status of general comments or recommendations</w:t>
      </w:r>
      <w:r w:rsidR="00D13171">
        <w:t>,</w:t>
      </w:r>
      <w:r w:rsidRPr="00974C0B">
        <w:t xml:space="preserve"> and </w:t>
      </w:r>
    </w:p>
    <w:p w14:paraId="1C769435" w14:textId="170EEBC4" w:rsidR="003960BE" w:rsidRPr="002A31E7" w:rsidRDefault="0064657F" w:rsidP="00D13171">
      <w:pPr>
        <w:pStyle w:val="ParaNoG"/>
        <w:numPr>
          <w:ilvl w:val="0"/>
          <w:numId w:val="28"/>
        </w:numPr>
        <w:tabs>
          <w:tab w:val="left" w:pos="0"/>
        </w:tabs>
        <w:ind w:left="1701" w:hanging="207"/>
      </w:pPr>
      <w:r w:rsidRPr="0085310C">
        <w:t>Committee members</w:t>
      </w:r>
      <w:r w:rsidRPr="002A31E7">
        <w:t xml:space="preserve">’ </w:t>
      </w:r>
      <w:r w:rsidR="003960BE" w:rsidRPr="002A31E7">
        <w:t>limited expertise in the field of ageing</w:t>
      </w:r>
      <w:r w:rsidR="007775E2">
        <w:t>, ageism and age-</w:t>
      </w:r>
      <w:r w:rsidR="00D5624F">
        <w:t>discrimination</w:t>
      </w:r>
      <w:r w:rsidR="003960BE" w:rsidRPr="002A31E7">
        <w:t xml:space="preserve"> and</w:t>
      </w:r>
      <w:r w:rsidR="005A4814">
        <w:t xml:space="preserve"> issues of concern pertaining to the</w:t>
      </w:r>
      <w:r w:rsidR="003960BE" w:rsidRPr="002A31E7">
        <w:t xml:space="preserve"> human rights</w:t>
      </w:r>
      <w:r w:rsidR="005A4814">
        <w:t xml:space="preserve"> of older persons</w:t>
      </w:r>
      <w:r w:rsidR="003960BE" w:rsidRPr="002A31E7">
        <w:t>.</w:t>
      </w:r>
    </w:p>
    <w:p w14:paraId="0C20886E" w14:textId="58C0345F" w:rsidR="00AB08D6" w:rsidRDefault="000C2CF9" w:rsidP="00952E3E">
      <w:pPr>
        <w:pStyle w:val="ParaNoG"/>
        <w:numPr>
          <w:ilvl w:val="0"/>
          <w:numId w:val="0"/>
        </w:numPr>
        <w:tabs>
          <w:tab w:val="left" w:pos="0"/>
        </w:tabs>
        <w:ind w:left="1134"/>
      </w:pPr>
      <w:r w:rsidRPr="005A4814">
        <w:t>61</w:t>
      </w:r>
      <w:r w:rsidR="00952E3E" w:rsidRPr="005A4814">
        <w:t>.</w:t>
      </w:r>
      <w:r w:rsidR="00952E3E" w:rsidRPr="005A4814">
        <w:tab/>
      </w:r>
      <w:r w:rsidR="003960BE" w:rsidRPr="005A4814">
        <w:t xml:space="preserve">It must be acknowledged that, despite the attention given to </w:t>
      </w:r>
      <w:r w:rsidR="005A4814">
        <w:t xml:space="preserve">the human rights of older </w:t>
      </w:r>
      <w:proofErr w:type="gramStart"/>
      <w:r w:rsidR="005A4814">
        <w:t>persons</w:t>
      </w:r>
      <w:proofErr w:type="gramEnd"/>
      <w:r w:rsidR="003960BE" w:rsidRPr="005A4814">
        <w:t xml:space="preserve"> issues over the last decade, there has not been a </w:t>
      </w:r>
      <w:r w:rsidR="005A4814" w:rsidRPr="005A4814">
        <w:t>large</w:t>
      </w:r>
      <w:r w:rsidR="003960BE" w:rsidRPr="005A4814">
        <w:t xml:space="preserve"> increase in engagement.</w:t>
      </w:r>
      <w:r w:rsidR="003960BE" w:rsidRPr="00974C0B">
        <w:t xml:space="preserve"> </w:t>
      </w:r>
      <w:r w:rsidR="00D13171">
        <w:t xml:space="preserve">Only relying </w:t>
      </w:r>
      <w:r w:rsidR="003960BE" w:rsidRPr="00974C0B">
        <w:t xml:space="preserve">on the potential of existing mechanisms to </w:t>
      </w:r>
      <w:r w:rsidR="00D13171">
        <w:t xml:space="preserve">fill in the gap </w:t>
      </w:r>
      <w:r w:rsidR="007A0084">
        <w:t>concerning</w:t>
      </w:r>
      <w:r w:rsidR="003960BE" w:rsidRPr="00974C0B">
        <w:t xml:space="preserve"> persons</w:t>
      </w:r>
      <w:r w:rsidR="00845C31" w:rsidRPr="00974C0B">
        <w:t>’</w:t>
      </w:r>
      <w:r w:rsidR="003960BE" w:rsidRPr="00974C0B">
        <w:t xml:space="preserve"> human rights is likely</w:t>
      </w:r>
      <w:r w:rsidR="00D13171">
        <w:t>,</w:t>
      </w:r>
      <w:r w:rsidR="003960BE" w:rsidRPr="00974C0B">
        <w:t xml:space="preserve"> at best</w:t>
      </w:r>
      <w:r w:rsidR="00D13171">
        <w:t>,</w:t>
      </w:r>
      <w:r w:rsidR="003960BE" w:rsidRPr="00974C0B">
        <w:t xml:space="preserve"> to result in </w:t>
      </w:r>
      <w:r w:rsidR="00D13171">
        <w:t>small</w:t>
      </w:r>
      <w:r w:rsidR="003960BE" w:rsidRPr="00974C0B">
        <w:t xml:space="preserve"> changes rather than the needed </w:t>
      </w:r>
      <w:r w:rsidR="00D13171">
        <w:t>change in approach</w:t>
      </w:r>
      <w:r w:rsidR="003960BE" w:rsidRPr="00974C0B">
        <w:t xml:space="preserve"> </w:t>
      </w:r>
      <w:proofErr w:type="gramStart"/>
      <w:r w:rsidR="003960BE" w:rsidRPr="00974C0B">
        <w:t>to fully address</w:t>
      </w:r>
      <w:proofErr w:type="gramEnd"/>
      <w:r w:rsidR="003960BE" w:rsidRPr="00974C0B">
        <w:t xml:space="preserve"> older persons</w:t>
      </w:r>
      <w:r w:rsidR="00845C31" w:rsidRPr="00974C0B">
        <w:t>’</w:t>
      </w:r>
      <w:r w:rsidR="003960BE" w:rsidRPr="00974C0B">
        <w:t xml:space="preserve"> human rights in a sustained and comprehensive way. </w:t>
      </w:r>
    </w:p>
    <w:p w14:paraId="20407A08" w14:textId="77777777" w:rsidR="00AB08D6" w:rsidRDefault="00AB08D6">
      <w:pPr>
        <w:spacing w:after="200" w:line="276" w:lineRule="auto"/>
      </w:pPr>
      <w:r>
        <w:br w:type="page"/>
      </w:r>
    </w:p>
    <w:p w14:paraId="0EB4A9D5" w14:textId="3F434B01" w:rsidR="003960BE" w:rsidRPr="00AB08D6" w:rsidRDefault="00AB08D6" w:rsidP="00AB08D6">
      <w:pPr>
        <w:pStyle w:val="HChG"/>
        <w:ind w:left="567" w:hanging="567"/>
        <w:rPr>
          <w:szCs w:val="28"/>
        </w:rPr>
      </w:pPr>
      <w:bookmarkStart w:id="17" w:name="Endnotes"/>
      <w:r w:rsidRPr="00AB08D6">
        <w:rPr>
          <w:szCs w:val="28"/>
        </w:rPr>
        <w:lastRenderedPageBreak/>
        <w:t>Endnotes</w:t>
      </w:r>
      <w:bookmarkEnd w:id="17"/>
    </w:p>
    <w:sectPr w:rsidR="003960BE" w:rsidRPr="00AB08D6" w:rsidSect="00CA1B04">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052C4" w14:textId="77777777" w:rsidR="00610D97" w:rsidRPr="00C47B2E" w:rsidRDefault="00610D97" w:rsidP="00C47B2E">
      <w:pPr>
        <w:pStyle w:val="Footer"/>
      </w:pPr>
    </w:p>
  </w:endnote>
  <w:endnote w:type="continuationSeparator" w:id="0">
    <w:p w14:paraId="7EBA4F7F" w14:textId="77777777" w:rsidR="00610D97" w:rsidRPr="00C47B2E" w:rsidRDefault="00610D97" w:rsidP="00C47B2E">
      <w:pPr>
        <w:pStyle w:val="Footer"/>
      </w:pPr>
    </w:p>
  </w:endnote>
  <w:endnote w:type="continuationNotice" w:id="1">
    <w:p w14:paraId="351A63D5" w14:textId="77777777" w:rsidR="00610D97" w:rsidRPr="00C47B2E" w:rsidRDefault="00610D97" w:rsidP="00C47B2E">
      <w:pPr>
        <w:pStyle w:val="Footer"/>
      </w:pPr>
    </w:p>
  </w:endnote>
  <w:endnote w:id="2">
    <w:p w14:paraId="6EE1CA30" w14:textId="5542B6C1" w:rsidR="00610D97" w:rsidRPr="008A7981" w:rsidRDefault="00610D97" w:rsidP="00AB08D6">
      <w:pPr>
        <w:pStyle w:val="EndnoteText"/>
        <w:tabs>
          <w:tab w:val="clear" w:pos="1021"/>
          <w:tab w:val="right" w:pos="142"/>
        </w:tabs>
        <w:ind w:left="284" w:right="141"/>
      </w:pPr>
      <w:r>
        <w:tab/>
      </w:r>
      <w:r w:rsidRPr="00845C31">
        <w:rPr>
          <w:rStyle w:val="EndnoteReference"/>
        </w:rPr>
        <w:endnoteRef/>
      </w:r>
      <w:r w:rsidRPr="00845C31">
        <w:rPr>
          <w:rStyle w:val="EndnoteReference"/>
        </w:rPr>
        <w:tab/>
      </w:r>
      <w:r w:rsidRPr="00D41E78">
        <w:t xml:space="preserve">Office of the United Nations High Commissioner for Human Rights </w:t>
      </w:r>
      <w:r>
        <w:t>(</w:t>
      </w:r>
      <w:r w:rsidRPr="003E7C46">
        <w:t>OHCHR</w:t>
      </w:r>
      <w:r>
        <w:t>)</w:t>
      </w:r>
      <w:r w:rsidRPr="003E7C46">
        <w:t xml:space="preserve">, </w:t>
      </w:r>
      <w:r>
        <w:t>“</w:t>
      </w:r>
      <w:r w:rsidRPr="003E7C46">
        <w:t>Normative standards in international human rights law in relation to older persons</w:t>
      </w:r>
      <w:r>
        <w:t>”</w:t>
      </w:r>
      <w:r w:rsidRPr="003E7C46">
        <w:t xml:space="preserve">, </w:t>
      </w:r>
      <w:r>
        <w:t>a</w:t>
      </w:r>
      <w:r w:rsidRPr="003E7C46">
        <w:t xml:space="preserve">nalytical </w:t>
      </w:r>
      <w:r>
        <w:t>o</w:t>
      </w:r>
      <w:r w:rsidRPr="003E7C46">
        <w:t xml:space="preserve">utcome </w:t>
      </w:r>
      <w:r>
        <w:t>p</w:t>
      </w:r>
      <w:r w:rsidRPr="003E7C46">
        <w:t xml:space="preserve">aper </w:t>
      </w:r>
      <w:r>
        <w:t>(</w:t>
      </w:r>
      <w:r w:rsidRPr="003E7C46">
        <w:t xml:space="preserve">2012 </w:t>
      </w:r>
      <w:r>
        <w:t>a</w:t>
      </w:r>
      <w:r w:rsidRPr="003E7C46">
        <w:t xml:space="preserve">nalytical </w:t>
      </w:r>
      <w:r>
        <w:t>s</w:t>
      </w:r>
      <w:r w:rsidRPr="003E7C46">
        <w:t>tudy</w:t>
      </w:r>
      <w:r>
        <w:t>)</w:t>
      </w:r>
      <w:r w:rsidRPr="003E7C46">
        <w:t xml:space="preserve">, </w:t>
      </w:r>
      <w:r>
        <w:t xml:space="preserve">available at </w:t>
      </w:r>
      <w:hyperlink r:id="rId1" w:history="1">
        <w:r w:rsidRPr="00411C10">
          <w:rPr>
            <w:rStyle w:val="Hyperlink"/>
          </w:rPr>
          <w:t>https://social.un.org/ageing-working-group/documents/OHCHRAnalyticalOutcomePaperonOldePersonsAugust2012.doc</w:t>
        </w:r>
      </w:hyperlink>
      <w:r w:rsidRPr="008A7981">
        <w:t>.</w:t>
      </w:r>
    </w:p>
  </w:endnote>
  <w:endnote w:id="3">
    <w:p w14:paraId="67167511" w14:textId="77777777" w:rsidR="00610D97" w:rsidRPr="008A7981" w:rsidRDefault="00610D97" w:rsidP="00AB08D6">
      <w:pPr>
        <w:pStyle w:val="EndnoteText"/>
        <w:tabs>
          <w:tab w:val="clear" w:pos="1021"/>
          <w:tab w:val="right" w:pos="142"/>
        </w:tabs>
        <w:ind w:left="284" w:right="141"/>
        <w:rPr>
          <w:lang w:val="en-US"/>
        </w:rPr>
      </w:pPr>
      <w:r>
        <w:tab/>
      </w:r>
      <w:r w:rsidRPr="00845C31">
        <w:rPr>
          <w:rStyle w:val="EndnoteReference"/>
        </w:rPr>
        <w:endnoteRef/>
      </w:r>
      <w:r w:rsidRPr="00845C31">
        <w:rPr>
          <w:rStyle w:val="EndnoteReference"/>
        </w:rPr>
        <w:tab/>
      </w:r>
      <w:r w:rsidRPr="003E7C46">
        <w:t xml:space="preserve">OHCHR, Update to the 2012 </w:t>
      </w:r>
      <w:r>
        <w:t>a</w:t>
      </w:r>
      <w:r w:rsidRPr="003E7C46">
        <w:t xml:space="preserve">nalytical </w:t>
      </w:r>
      <w:r>
        <w:t>o</w:t>
      </w:r>
      <w:r w:rsidRPr="003E7C46">
        <w:t xml:space="preserve">utcome </w:t>
      </w:r>
      <w:r>
        <w:t>s</w:t>
      </w:r>
      <w:r w:rsidRPr="003E7C46">
        <w:t xml:space="preserve">tudy on the normative standards in international human rights law in relation to older persons, </w:t>
      </w:r>
      <w:r>
        <w:t>w</w:t>
      </w:r>
      <w:r w:rsidRPr="003E7C46">
        <w:t xml:space="preserve">orking paper prepared by </w:t>
      </w:r>
      <w:r>
        <w:t>OHCHR</w:t>
      </w:r>
      <w:r w:rsidRPr="003E7C46">
        <w:t xml:space="preserve"> </w:t>
      </w:r>
      <w:r>
        <w:t>(</w:t>
      </w:r>
      <w:r w:rsidRPr="003E7C46">
        <w:t xml:space="preserve">2021 </w:t>
      </w:r>
      <w:r>
        <w:t>u</w:t>
      </w:r>
      <w:r w:rsidRPr="003E7C46">
        <w:t xml:space="preserve">pdated </w:t>
      </w:r>
      <w:r>
        <w:t>s</w:t>
      </w:r>
      <w:r w:rsidRPr="003E7C46">
        <w:t>tudy</w:t>
      </w:r>
      <w:r>
        <w:t>)</w:t>
      </w:r>
      <w:r w:rsidRPr="003E7C46">
        <w:t>, March 2021,</w:t>
      </w:r>
      <w:r>
        <w:t xml:space="preserve"> available at</w:t>
      </w:r>
      <w:r w:rsidRPr="003E7C46">
        <w:t xml:space="preserve"> </w:t>
      </w:r>
      <w:hyperlink r:id="rId2" w:history="1">
        <w:r w:rsidRPr="003E7C46">
          <w:t>https://social.un.org/ageing-working-group/documents/eleventh/OHCHR%20HROP%20working%20paper%2022%20Mar%202021.pdf</w:t>
        </w:r>
      </w:hyperlink>
      <w:r w:rsidRPr="008A7981">
        <w:t>.</w:t>
      </w:r>
    </w:p>
  </w:endnote>
  <w:endnote w:id="4">
    <w:p w14:paraId="63960117" w14:textId="77777777" w:rsidR="00610D97" w:rsidRPr="00600188" w:rsidRDefault="00610D97" w:rsidP="00AB08D6">
      <w:pPr>
        <w:pStyle w:val="EndnoteText"/>
        <w:tabs>
          <w:tab w:val="clear" w:pos="1021"/>
          <w:tab w:val="right" w:pos="142"/>
        </w:tabs>
        <w:ind w:left="284" w:right="141"/>
      </w:pPr>
      <w:r>
        <w:tab/>
      </w:r>
      <w:r w:rsidRPr="00845C31">
        <w:rPr>
          <w:rStyle w:val="EndnoteReference"/>
        </w:rPr>
        <w:endnoteRef/>
      </w:r>
      <w:r w:rsidRPr="00845C31">
        <w:rPr>
          <w:rStyle w:val="EndnoteReference"/>
        </w:rPr>
        <w:tab/>
      </w:r>
      <w:r>
        <w:t xml:space="preserve">See </w:t>
      </w:r>
      <w:r w:rsidRPr="00482ADD">
        <w:t>https</w:t>
      </w:r>
      <w:r w:rsidRPr="00600188">
        <w:t>://www.ohchr.org/EN/Issues/OlderPersons/Pages/submissions-res-48_3.aspx</w:t>
      </w:r>
      <w:r>
        <w:t>.</w:t>
      </w:r>
    </w:p>
  </w:endnote>
  <w:endnote w:id="5">
    <w:p w14:paraId="0CB4A91F" w14:textId="77777777" w:rsidR="00610D97" w:rsidRPr="00600188" w:rsidRDefault="00610D97" w:rsidP="00AB08D6">
      <w:pPr>
        <w:pStyle w:val="EndnoteText"/>
        <w:tabs>
          <w:tab w:val="clear" w:pos="1021"/>
          <w:tab w:val="right" w:pos="142"/>
        </w:tabs>
        <w:ind w:left="284" w:right="141"/>
        <w:rPr>
          <w:lang w:val="en-US"/>
        </w:rPr>
      </w:pPr>
      <w:r>
        <w:tab/>
      </w:r>
      <w:r w:rsidRPr="00845C31">
        <w:rPr>
          <w:rStyle w:val="EndnoteReference"/>
        </w:rPr>
        <w:endnoteRef/>
      </w:r>
      <w:r w:rsidRPr="00845C31">
        <w:rPr>
          <w:rStyle w:val="EndnoteReference"/>
        </w:rPr>
        <w:tab/>
      </w:r>
      <w:r w:rsidRPr="00600188">
        <w:rPr>
          <w:lang w:val="en-US"/>
        </w:rPr>
        <w:t xml:space="preserve">See </w:t>
      </w:r>
      <w:r w:rsidRPr="00457D95">
        <w:rPr>
          <w:i/>
          <w:lang w:val="en-US"/>
        </w:rPr>
        <w:t>Shaping the Trends of Our Time</w:t>
      </w:r>
      <w:r w:rsidRPr="00600188">
        <w:rPr>
          <w:lang w:val="en-US"/>
        </w:rPr>
        <w:t xml:space="preserve">, </w:t>
      </w:r>
      <w:r>
        <w:rPr>
          <w:lang w:val="en-US"/>
        </w:rPr>
        <w:t>r</w:t>
      </w:r>
      <w:r w:rsidRPr="00600188">
        <w:rPr>
          <w:lang w:val="en-US"/>
        </w:rPr>
        <w:t>eport of the U</w:t>
      </w:r>
      <w:r>
        <w:rPr>
          <w:lang w:val="en-US"/>
        </w:rPr>
        <w:t xml:space="preserve">nited </w:t>
      </w:r>
      <w:r w:rsidRPr="00600188">
        <w:rPr>
          <w:lang w:val="en-US"/>
        </w:rPr>
        <w:t>N</w:t>
      </w:r>
      <w:r>
        <w:rPr>
          <w:lang w:val="en-US"/>
        </w:rPr>
        <w:t>ations</w:t>
      </w:r>
      <w:r w:rsidRPr="00600188">
        <w:rPr>
          <w:lang w:val="en-US"/>
        </w:rPr>
        <w:t xml:space="preserve"> Economist Network for the</w:t>
      </w:r>
      <w:r>
        <w:rPr>
          <w:lang w:val="en-US"/>
        </w:rPr>
        <w:t xml:space="preserve"> seventy-fifth anniversary of the</w:t>
      </w:r>
      <w:r w:rsidRPr="00600188">
        <w:rPr>
          <w:lang w:val="en-US"/>
        </w:rPr>
        <w:t xml:space="preserve"> U</w:t>
      </w:r>
      <w:r>
        <w:rPr>
          <w:lang w:val="en-US"/>
        </w:rPr>
        <w:t xml:space="preserve">nited </w:t>
      </w:r>
      <w:r w:rsidRPr="00600188">
        <w:rPr>
          <w:lang w:val="en-US"/>
        </w:rPr>
        <w:t>N</w:t>
      </w:r>
      <w:r>
        <w:rPr>
          <w:lang w:val="en-US"/>
        </w:rPr>
        <w:t>ations</w:t>
      </w:r>
      <w:r w:rsidRPr="00600188">
        <w:rPr>
          <w:lang w:val="en-US"/>
        </w:rPr>
        <w:t>.</w:t>
      </w:r>
    </w:p>
  </w:endnote>
  <w:endnote w:id="6">
    <w:p w14:paraId="09C8D4F8" w14:textId="77777777" w:rsidR="00610D97" w:rsidRPr="00600188" w:rsidRDefault="00610D97" w:rsidP="00AB08D6">
      <w:pPr>
        <w:pStyle w:val="EndnoteText"/>
        <w:tabs>
          <w:tab w:val="clear" w:pos="1021"/>
          <w:tab w:val="right" w:pos="142"/>
        </w:tabs>
        <w:ind w:left="284" w:right="141"/>
        <w:rPr>
          <w:lang w:val="en-US"/>
        </w:rPr>
      </w:pPr>
      <w:r>
        <w:rPr>
          <w:lang w:val="en-US"/>
        </w:rPr>
        <w:tab/>
      </w:r>
      <w:r w:rsidRPr="00845C31">
        <w:rPr>
          <w:rStyle w:val="EndnoteReference"/>
        </w:rPr>
        <w:endnoteRef/>
      </w:r>
      <w:r w:rsidRPr="00845C31">
        <w:rPr>
          <w:rStyle w:val="EndnoteReference"/>
        </w:rPr>
        <w:tab/>
      </w:r>
      <w:r w:rsidRPr="008A7981">
        <w:rPr>
          <w:lang w:val="en-US"/>
        </w:rPr>
        <w:t>United Nations</w:t>
      </w:r>
      <w:r w:rsidRPr="00600188">
        <w:rPr>
          <w:lang w:val="en-US"/>
        </w:rPr>
        <w:t xml:space="preserve">, </w:t>
      </w:r>
      <w:r w:rsidRPr="00600188">
        <w:rPr>
          <w:i/>
          <w:lang w:val="en-US"/>
        </w:rPr>
        <w:t>World Population Ageing 2019: Highlights</w:t>
      </w:r>
      <w:r w:rsidRPr="00600188">
        <w:rPr>
          <w:lang w:val="en-US"/>
        </w:rPr>
        <w:t>, p. 5</w:t>
      </w:r>
      <w:r w:rsidRPr="008A7981">
        <w:rPr>
          <w:lang w:val="en-US"/>
        </w:rPr>
        <w:t>.</w:t>
      </w:r>
    </w:p>
  </w:endnote>
  <w:endnote w:id="7">
    <w:p w14:paraId="789EE53D" w14:textId="50DE2AEF" w:rsidR="00610D97" w:rsidRPr="00600188" w:rsidRDefault="00610D97" w:rsidP="00AB08D6">
      <w:pPr>
        <w:pStyle w:val="EndnoteText"/>
        <w:tabs>
          <w:tab w:val="clear" w:pos="1021"/>
          <w:tab w:val="right" w:pos="142"/>
        </w:tabs>
        <w:ind w:left="284" w:right="141"/>
        <w:rPr>
          <w:lang w:val="en-US"/>
        </w:rPr>
      </w:pPr>
      <w:r>
        <w:rPr>
          <w:lang w:val="en-US"/>
        </w:rPr>
        <w:tab/>
      </w:r>
      <w:r w:rsidRPr="00845C31">
        <w:rPr>
          <w:rStyle w:val="EndnoteReference"/>
        </w:rPr>
        <w:endnoteRef/>
      </w:r>
      <w:r w:rsidRPr="00845C31">
        <w:rPr>
          <w:rStyle w:val="EndnoteReference"/>
        </w:rPr>
        <w:tab/>
      </w:r>
      <w:r w:rsidRPr="00600188">
        <w:rPr>
          <w:lang w:val="en-US"/>
        </w:rPr>
        <w:t xml:space="preserve">See </w:t>
      </w:r>
      <w:hyperlink r:id="rId3" w:history="1">
        <w:r w:rsidRPr="00CC0581">
          <w:rPr>
            <w:rStyle w:val="Hyperlink"/>
          </w:rPr>
          <w:t>A/75/205</w:t>
        </w:r>
        <w:proofErr w:type="gramStart"/>
        <w:r w:rsidRPr="00CC0581">
          <w:rPr>
            <w:rStyle w:val="Hyperlink"/>
            <w:color w:val="auto"/>
          </w:rPr>
          <w:t>;</w:t>
        </w:r>
        <w:proofErr w:type="gramEnd"/>
      </w:hyperlink>
      <w:r w:rsidRPr="00600188">
        <w:t xml:space="preserve"> </w:t>
      </w:r>
      <w:r w:rsidRPr="00BF1683">
        <w:t>and</w:t>
      </w:r>
      <w:r w:rsidRPr="00600188">
        <w:t xml:space="preserve"> the Secretary-General</w:t>
      </w:r>
      <w:r>
        <w:t>’</w:t>
      </w:r>
      <w:r w:rsidRPr="00600188">
        <w:t>s policy brief on the impact of COVID-19 on older persons</w:t>
      </w:r>
      <w:r w:rsidRPr="00600188">
        <w:rPr>
          <w:lang w:val="en-US"/>
        </w:rPr>
        <w:t>.</w:t>
      </w:r>
    </w:p>
  </w:endnote>
  <w:endnote w:id="8">
    <w:p w14:paraId="02CD4961" w14:textId="38183D24" w:rsidR="00610D97" w:rsidRPr="00600188" w:rsidRDefault="00610D97" w:rsidP="00AB08D6">
      <w:pPr>
        <w:pStyle w:val="EndnoteText"/>
        <w:tabs>
          <w:tab w:val="clear" w:pos="1021"/>
          <w:tab w:val="right" w:pos="142"/>
        </w:tabs>
        <w:ind w:left="284" w:right="141"/>
      </w:pPr>
      <w:r>
        <w:tab/>
      </w:r>
      <w:r w:rsidRPr="00845C31">
        <w:rPr>
          <w:rStyle w:val="EndnoteReference"/>
        </w:rPr>
        <w:endnoteRef/>
      </w:r>
      <w:r w:rsidRPr="00845C31">
        <w:rPr>
          <w:rStyle w:val="EndnoteReference"/>
        </w:rPr>
        <w:tab/>
      </w:r>
      <w:hyperlink r:id="rId4" w:history="1">
        <w:r w:rsidRPr="00CC0581">
          <w:rPr>
            <w:rStyle w:val="Hyperlink"/>
          </w:rPr>
          <w:t>A/HRC/48/53</w:t>
        </w:r>
      </w:hyperlink>
      <w:r w:rsidRPr="002E4CE5">
        <w:t>, paras. 31–37.</w:t>
      </w:r>
      <w:r w:rsidRPr="00600188">
        <w:t xml:space="preserve"> </w:t>
      </w:r>
    </w:p>
  </w:endnote>
  <w:endnote w:id="9">
    <w:p w14:paraId="1884B73A" w14:textId="77777777" w:rsidR="00610D97" w:rsidRPr="008A7981" w:rsidRDefault="00610D97" w:rsidP="00AB08D6">
      <w:pPr>
        <w:pStyle w:val="EndnoteText"/>
        <w:tabs>
          <w:tab w:val="clear" w:pos="1021"/>
          <w:tab w:val="right" w:pos="142"/>
        </w:tabs>
        <w:ind w:left="284" w:right="141"/>
        <w:rPr>
          <w:lang w:val="en-AU"/>
        </w:rPr>
      </w:pPr>
      <w:r>
        <w:tab/>
      </w:r>
      <w:r w:rsidRPr="00845C31">
        <w:rPr>
          <w:rStyle w:val="EndnoteReference"/>
        </w:rPr>
        <w:endnoteRef/>
      </w:r>
      <w:r w:rsidRPr="00845C31">
        <w:rPr>
          <w:rStyle w:val="EndnoteReference"/>
        </w:rPr>
        <w:tab/>
      </w:r>
      <w:r w:rsidRPr="008A7981">
        <w:rPr>
          <w:lang w:val="en-AU"/>
        </w:rPr>
        <w:t>G</w:t>
      </w:r>
      <w:r>
        <w:rPr>
          <w:lang w:val="en-AU"/>
        </w:rPr>
        <w:t>erard</w:t>
      </w:r>
      <w:r w:rsidRPr="008A7981">
        <w:rPr>
          <w:lang w:val="en-AU"/>
        </w:rPr>
        <w:t xml:space="preserve"> </w:t>
      </w:r>
      <w:r w:rsidRPr="00BF1683">
        <w:t>Quinn</w:t>
      </w:r>
      <w:r w:rsidRPr="008A7981">
        <w:rPr>
          <w:lang w:val="en-AU"/>
        </w:rPr>
        <w:t xml:space="preserve"> and I</w:t>
      </w:r>
      <w:r>
        <w:rPr>
          <w:lang w:val="en-AU"/>
        </w:rPr>
        <w:t>srael</w:t>
      </w:r>
      <w:r w:rsidRPr="008A7981">
        <w:rPr>
          <w:lang w:val="en-AU"/>
        </w:rPr>
        <w:t xml:space="preserve"> Doron, </w:t>
      </w:r>
      <w:r w:rsidRPr="00457D95">
        <w:rPr>
          <w:i/>
        </w:rPr>
        <w:t>Against</w:t>
      </w:r>
      <w:r w:rsidRPr="00457D95">
        <w:rPr>
          <w:i/>
          <w:noProof/>
          <w:lang w:val="en-AU"/>
        </w:rPr>
        <w:t xml:space="preserve"> Ageism and Towards Active Social Citizenship for Older Persons: The Current Use and Future Potential of the European Social Charter</w:t>
      </w:r>
      <w:r w:rsidRPr="008A7981">
        <w:rPr>
          <w:noProof/>
          <w:lang w:val="en-AU"/>
        </w:rPr>
        <w:t xml:space="preserve"> </w:t>
      </w:r>
      <w:r w:rsidRPr="008A7981">
        <w:t>(Council of Europe, 2021), pp. 15</w:t>
      </w:r>
      <w:r>
        <w:t>–</w:t>
      </w:r>
      <w:r w:rsidRPr="008A7981">
        <w:rPr>
          <w:lang w:val="en-AU"/>
        </w:rPr>
        <w:t>17.</w:t>
      </w:r>
    </w:p>
  </w:endnote>
  <w:endnote w:id="10">
    <w:p w14:paraId="3675ED43" w14:textId="77777777" w:rsidR="00610D97" w:rsidRPr="008A7981" w:rsidRDefault="00610D97" w:rsidP="00AB08D6">
      <w:pPr>
        <w:pStyle w:val="EndnoteText"/>
        <w:tabs>
          <w:tab w:val="clear" w:pos="1021"/>
          <w:tab w:val="right" w:pos="142"/>
        </w:tabs>
        <w:ind w:left="284" w:right="141"/>
      </w:pPr>
      <w:r>
        <w:rPr>
          <w:lang w:val="en-AU"/>
        </w:rPr>
        <w:tab/>
      </w:r>
      <w:r w:rsidRPr="00845C31">
        <w:rPr>
          <w:rStyle w:val="EndnoteReference"/>
        </w:rPr>
        <w:endnoteRef/>
      </w:r>
      <w:r w:rsidRPr="00845C31">
        <w:rPr>
          <w:rStyle w:val="EndnoteReference"/>
        </w:rPr>
        <w:tab/>
      </w:r>
      <w:proofErr w:type="gramStart"/>
      <w:r>
        <w:rPr>
          <w:lang w:val="en-AU"/>
        </w:rPr>
        <w:t>Ibid.</w:t>
      </w:r>
      <w:r w:rsidRPr="008A7981">
        <w:rPr>
          <w:lang w:val="en-AU"/>
        </w:rPr>
        <w:t>,</w:t>
      </w:r>
      <w:proofErr w:type="gramEnd"/>
      <w:r w:rsidRPr="008A7981">
        <w:rPr>
          <w:lang w:val="en-AU"/>
        </w:rPr>
        <w:t xml:space="preserve"> p. </w:t>
      </w:r>
      <w:r w:rsidRPr="008A7981">
        <w:t>16.</w:t>
      </w:r>
    </w:p>
  </w:endnote>
  <w:endnote w:id="11">
    <w:p w14:paraId="651BEEDE" w14:textId="68620ADB" w:rsidR="00610D97" w:rsidRPr="00600188" w:rsidRDefault="00610D97" w:rsidP="00AB08D6">
      <w:pPr>
        <w:pStyle w:val="EndnoteText"/>
        <w:tabs>
          <w:tab w:val="clear" w:pos="1021"/>
          <w:tab w:val="right" w:pos="142"/>
        </w:tabs>
        <w:ind w:left="284" w:right="141"/>
        <w:rPr>
          <w:lang w:val="en-US"/>
        </w:rPr>
      </w:pPr>
      <w:r>
        <w:tab/>
      </w:r>
      <w:r w:rsidRPr="00845C31">
        <w:rPr>
          <w:rStyle w:val="EndnoteReference"/>
        </w:rPr>
        <w:endnoteRef/>
      </w:r>
      <w:r w:rsidRPr="00845C31">
        <w:rPr>
          <w:rStyle w:val="EndnoteReference"/>
        </w:rPr>
        <w:tab/>
      </w:r>
      <w:r w:rsidRPr="00600188">
        <w:rPr>
          <w:lang w:val="en-US"/>
        </w:rPr>
        <w:t xml:space="preserve">In its resolution 50/141, the General Assembly decided that the term </w:t>
      </w:r>
      <w:r>
        <w:rPr>
          <w:lang w:val="en-US"/>
        </w:rPr>
        <w:t>“</w:t>
      </w:r>
      <w:r w:rsidRPr="00600188">
        <w:rPr>
          <w:lang w:val="en-US"/>
        </w:rPr>
        <w:t>older persons</w:t>
      </w:r>
      <w:r>
        <w:rPr>
          <w:lang w:val="en-US"/>
        </w:rPr>
        <w:t>”</w:t>
      </w:r>
      <w:r w:rsidRPr="00600188">
        <w:rPr>
          <w:lang w:val="en-US"/>
        </w:rPr>
        <w:t xml:space="preserve"> </w:t>
      </w:r>
      <w:proofErr w:type="gramStart"/>
      <w:r w:rsidRPr="00600188">
        <w:rPr>
          <w:lang w:val="en-US"/>
        </w:rPr>
        <w:t>should be substituted</w:t>
      </w:r>
      <w:proofErr w:type="gramEnd"/>
      <w:r w:rsidRPr="00600188">
        <w:rPr>
          <w:lang w:val="en-US"/>
        </w:rPr>
        <w:t xml:space="preserve"> for the term </w:t>
      </w:r>
      <w:r>
        <w:rPr>
          <w:lang w:val="en-US"/>
        </w:rPr>
        <w:t>“</w:t>
      </w:r>
      <w:r w:rsidRPr="00600188">
        <w:rPr>
          <w:lang w:val="en-US"/>
        </w:rPr>
        <w:t>the elderly</w:t>
      </w:r>
      <w:r>
        <w:rPr>
          <w:lang w:val="en-US"/>
        </w:rPr>
        <w:t>”</w:t>
      </w:r>
      <w:r w:rsidRPr="00600188">
        <w:rPr>
          <w:lang w:val="en-US"/>
        </w:rPr>
        <w:t>, in conformity with the United Nations</w:t>
      </w:r>
      <w:r>
        <w:rPr>
          <w:lang w:val="en-US"/>
        </w:rPr>
        <w:t xml:space="preserve"> </w:t>
      </w:r>
      <w:r w:rsidRPr="00600188">
        <w:rPr>
          <w:lang w:val="en-US"/>
        </w:rPr>
        <w:t>Principles for Older Persons</w:t>
      </w:r>
      <w:r>
        <w:rPr>
          <w:lang w:val="en-US"/>
        </w:rPr>
        <w:t>.</w:t>
      </w:r>
    </w:p>
  </w:endnote>
  <w:endnote w:id="12">
    <w:p w14:paraId="7BA79815" w14:textId="77777777" w:rsidR="00610D97" w:rsidRPr="008A7981" w:rsidRDefault="00610D97" w:rsidP="00AB08D6">
      <w:pPr>
        <w:pStyle w:val="EndnoteText"/>
        <w:tabs>
          <w:tab w:val="clear" w:pos="1021"/>
          <w:tab w:val="right" w:pos="142"/>
        </w:tabs>
        <w:ind w:left="284" w:right="141"/>
      </w:pPr>
      <w:r>
        <w:tab/>
      </w:r>
      <w:r w:rsidRPr="00845C31">
        <w:rPr>
          <w:rStyle w:val="EndnoteReference"/>
        </w:rPr>
        <w:endnoteRef/>
      </w:r>
      <w:r w:rsidRPr="00845C31">
        <w:rPr>
          <w:rStyle w:val="EndnoteReference"/>
        </w:rPr>
        <w:tab/>
      </w:r>
      <w:r w:rsidRPr="008A7981">
        <w:rPr>
          <w:lang w:val="en-AU"/>
        </w:rPr>
        <w:t>G</w:t>
      </w:r>
      <w:r>
        <w:rPr>
          <w:lang w:val="en-AU"/>
        </w:rPr>
        <w:t>erard</w:t>
      </w:r>
      <w:r w:rsidRPr="008A7981">
        <w:rPr>
          <w:lang w:val="en-AU"/>
        </w:rPr>
        <w:t xml:space="preserve"> </w:t>
      </w:r>
      <w:r w:rsidRPr="00BF1683">
        <w:t>Quinn</w:t>
      </w:r>
      <w:r w:rsidRPr="008A7981">
        <w:rPr>
          <w:lang w:val="en-AU"/>
        </w:rPr>
        <w:t xml:space="preserve"> and I</w:t>
      </w:r>
      <w:r>
        <w:rPr>
          <w:lang w:val="en-AU"/>
        </w:rPr>
        <w:t>srael</w:t>
      </w:r>
      <w:r w:rsidRPr="008A7981">
        <w:rPr>
          <w:lang w:val="en-AU"/>
        </w:rPr>
        <w:t xml:space="preserve"> Doron, </w:t>
      </w:r>
      <w:r w:rsidRPr="005F3054">
        <w:rPr>
          <w:i/>
        </w:rPr>
        <w:t>Against</w:t>
      </w:r>
      <w:r w:rsidRPr="005F3054">
        <w:rPr>
          <w:i/>
          <w:noProof/>
          <w:lang w:val="en-AU"/>
        </w:rPr>
        <w:t xml:space="preserve"> Ageism and Towards Active Social Citizenship for Older Persons: The Current Use and Future Potential of the European Social Charter</w:t>
      </w:r>
      <w:r w:rsidRPr="008A7981">
        <w:t>, p. 16.</w:t>
      </w:r>
    </w:p>
  </w:endnote>
  <w:endnote w:id="13">
    <w:p w14:paraId="67824ADF" w14:textId="5A1A9B25" w:rsidR="00610D97" w:rsidRPr="008A7981" w:rsidRDefault="00610D97" w:rsidP="00AB08D6">
      <w:pPr>
        <w:pStyle w:val="EndnoteText"/>
        <w:tabs>
          <w:tab w:val="clear" w:pos="1021"/>
          <w:tab w:val="right" w:pos="142"/>
        </w:tabs>
        <w:ind w:left="284" w:right="141"/>
      </w:pPr>
      <w:r>
        <w:tab/>
      </w:r>
      <w:r w:rsidRPr="00845C31">
        <w:rPr>
          <w:rStyle w:val="EndnoteReference"/>
        </w:rPr>
        <w:endnoteRef/>
      </w:r>
      <w:r w:rsidRPr="00845C31">
        <w:rPr>
          <w:rStyle w:val="EndnoteReference"/>
        </w:rPr>
        <w:tab/>
      </w:r>
      <w:r w:rsidRPr="008A7981">
        <w:t xml:space="preserve">See </w:t>
      </w:r>
      <w:hyperlink r:id="rId5" w:history="1">
        <w:r w:rsidRPr="00CC0581">
          <w:rPr>
            <w:rStyle w:val="Hyperlink"/>
          </w:rPr>
          <w:t>E/CN.5/2021/4</w:t>
        </w:r>
      </w:hyperlink>
      <w:r w:rsidRPr="008A7981">
        <w:t>.</w:t>
      </w:r>
    </w:p>
  </w:endnote>
  <w:endnote w:id="14">
    <w:p w14:paraId="0C7F46EC" w14:textId="59F0CB04" w:rsidR="00610D97" w:rsidRPr="008A7981" w:rsidRDefault="00610D97" w:rsidP="00AB08D6">
      <w:pPr>
        <w:pStyle w:val="EndnoteText"/>
        <w:tabs>
          <w:tab w:val="clear" w:pos="1021"/>
          <w:tab w:val="right" w:pos="142"/>
        </w:tabs>
        <w:ind w:left="284" w:right="141"/>
      </w:pPr>
      <w:r>
        <w:tab/>
      </w:r>
      <w:r w:rsidRPr="00845C31">
        <w:rPr>
          <w:rStyle w:val="EndnoteReference"/>
        </w:rPr>
        <w:endnoteRef/>
      </w:r>
      <w:r w:rsidRPr="00845C31">
        <w:rPr>
          <w:rStyle w:val="EndnoteReference"/>
        </w:rPr>
        <w:tab/>
      </w:r>
      <w:r w:rsidRPr="008A7981">
        <w:t xml:space="preserve">United </w:t>
      </w:r>
      <w:r w:rsidRPr="00BF1683">
        <w:t>Nations</w:t>
      </w:r>
      <w:r w:rsidRPr="008A7981">
        <w:t xml:space="preserve">, </w:t>
      </w:r>
      <w:r>
        <w:t>“</w:t>
      </w:r>
      <w:r w:rsidRPr="008A7981">
        <w:t xml:space="preserve">COVID-19 and </w:t>
      </w:r>
      <w:r>
        <w:t>h</w:t>
      </w:r>
      <w:r w:rsidRPr="008A7981">
        <w:t xml:space="preserve">uman </w:t>
      </w:r>
      <w:r>
        <w:t>r</w:t>
      </w:r>
      <w:r w:rsidRPr="008A7981">
        <w:t>ights: we are all in this together</w:t>
      </w:r>
      <w:r>
        <w:t>”</w:t>
      </w:r>
      <w:r w:rsidRPr="008A7981">
        <w:t>, April 2020.</w:t>
      </w:r>
    </w:p>
  </w:endnote>
  <w:endnote w:id="15">
    <w:p w14:paraId="09D09385" w14:textId="56009521" w:rsidR="00610D97" w:rsidRPr="008A7981" w:rsidRDefault="00610D97" w:rsidP="00AB08D6">
      <w:pPr>
        <w:pStyle w:val="EndnoteText"/>
        <w:tabs>
          <w:tab w:val="clear" w:pos="1021"/>
          <w:tab w:val="right" w:pos="142"/>
        </w:tabs>
        <w:ind w:left="284" w:right="141"/>
      </w:pPr>
      <w:r>
        <w:tab/>
      </w:r>
      <w:r w:rsidRPr="00845C31">
        <w:rPr>
          <w:rStyle w:val="EndnoteReference"/>
        </w:rPr>
        <w:endnoteRef/>
      </w:r>
      <w:r w:rsidRPr="00845C31">
        <w:rPr>
          <w:rStyle w:val="EndnoteReference"/>
        </w:rPr>
        <w:tab/>
      </w:r>
      <w:r w:rsidRPr="008A7981">
        <w:t xml:space="preserve">United Nations, </w:t>
      </w:r>
      <w:r>
        <w:t>“</w:t>
      </w:r>
      <w:r w:rsidRPr="008A7981">
        <w:t xml:space="preserve">Policy </w:t>
      </w:r>
      <w:r>
        <w:t>b</w:t>
      </w:r>
      <w:r w:rsidRPr="008A7981">
        <w:t xml:space="preserve">rief: </w:t>
      </w:r>
      <w:r>
        <w:t>t</w:t>
      </w:r>
      <w:r w:rsidRPr="008A7981">
        <w:t xml:space="preserve">he </w:t>
      </w:r>
      <w:r>
        <w:t>i</w:t>
      </w:r>
      <w:r w:rsidRPr="008A7981">
        <w:t>mpact of COVID-19 on older persons</w:t>
      </w:r>
      <w:r>
        <w:t>”</w:t>
      </w:r>
      <w:r w:rsidRPr="008A7981">
        <w:t>, May 2020.</w:t>
      </w:r>
      <w:r>
        <w:t xml:space="preserve"> </w:t>
      </w:r>
    </w:p>
  </w:endnote>
  <w:endnote w:id="16">
    <w:p w14:paraId="21B8093E" w14:textId="77777777" w:rsidR="00610D97" w:rsidRPr="00600188" w:rsidRDefault="00610D97" w:rsidP="00AB08D6">
      <w:pPr>
        <w:pStyle w:val="EndnoteText"/>
        <w:tabs>
          <w:tab w:val="clear" w:pos="1021"/>
          <w:tab w:val="right" w:pos="142"/>
        </w:tabs>
        <w:ind w:left="284" w:right="141"/>
        <w:rPr>
          <w:lang w:val="en-US"/>
        </w:rPr>
      </w:pPr>
      <w:r>
        <w:rPr>
          <w:lang w:val="en-US"/>
        </w:rPr>
        <w:tab/>
      </w:r>
      <w:r w:rsidRPr="00845C31">
        <w:rPr>
          <w:rStyle w:val="EndnoteReference"/>
        </w:rPr>
        <w:endnoteRef/>
      </w:r>
      <w:r w:rsidRPr="00845C31">
        <w:rPr>
          <w:rStyle w:val="EndnoteReference"/>
        </w:rPr>
        <w:tab/>
      </w:r>
      <w:r w:rsidRPr="00182EB1">
        <w:t>Available</w:t>
      </w:r>
      <w:r w:rsidRPr="00182EB1">
        <w:rPr>
          <w:lang w:val="en-US"/>
        </w:rPr>
        <w:t xml:space="preserve"> at http://www.un.org/development/desa/ageing/wp-content/uploads/sites/24/2020/05/ENG_final_-with-countries.pdf.</w:t>
      </w:r>
    </w:p>
  </w:endnote>
  <w:endnote w:id="17">
    <w:p w14:paraId="2C4764A5" w14:textId="5FA90929" w:rsidR="00610D97" w:rsidRPr="00A969A0" w:rsidRDefault="00610D97" w:rsidP="00AB08D6">
      <w:pPr>
        <w:pStyle w:val="EndnoteText"/>
        <w:tabs>
          <w:tab w:val="clear" w:pos="1021"/>
          <w:tab w:val="right" w:pos="142"/>
        </w:tabs>
        <w:ind w:left="284" w:right="141"/>
        <w:rPr>
          <w:color w:val="FFFFFF" w:themeColor="background1"/>
          <w:szCs w:val="18"/>
        </w:rPr>
      </w:pPr>
      <w:r>
        <w:tab/>
      </w:r>
      <w:r w:rsidRPr="00845C31">
        <w:rPr>
          <w:rStyle w:val="EndnoteReference"/>
        </w:rPr>
        <w:endnoteRef/>
      </w:r>
      <w:r w:rsidRPr="00845C31">
        <w:rPr>
          <w:rStyle w:val="EndnoteReference"/>
        </w:rPr>
        <w:tab/>
      </w:r>
      <w:r w:rsidRPr="008A7981">
        <w:t xml:space="preserve">See </w:t>
      </w:r>
      <w:r>
        <w:t>“</w:t>
      </w:r>
      <w:r w:rsidRPr="008A7981">
        <w:t xml:space="preserve">UN </w:t>
      </w:r>
      <w:r>
        <w:t>r</w:t>
      </w:r>
      <w:r w:rsidRPr="008A7981">
        <w:t>esponse to COVID-19</w:t>
      </w:r>
      <w:r>
        <w:t>”</w:t>
      </w:r>
      <w:r w:rsidRPr="008A7981">
        <w:t xml:space="preserve">, </w:t>
      </w:r>
      <w:r w:rsidRPr="00A969A0">
        <w:rPr>
          <w:szCs w:val="18"/>
        </w:rPr>
        <w:t xml:space="preserve">at </w:t>
      </w:r>
      <w:hyperlink r:id="rId6" w:history="1">
        <w:r w:rsidRPr="00A969A0">
          <w:rPr>
            <w:rStyle w:val="Hyperlink"/>
            <w:bCs/>
            <w:szCs w:val="18"/>
          </w:rPr>
          <w:t>https://www.un.org/en/coronavirus/UN-response</w:t>
        </w:r>
      </w:hyperlink>
      <w:r w:rsidRPr="00A969A0">
        <w:rPr>
          <w:szCs w:val="18"/>
        </w:rPr>
        <w:t xml:space="preserve">; and United Nations Programme on Ageing (Department of Economic and Social Affairs), </w:t>
      </w:r>
      <w:r>
        <w:rPr>
          <w:szCs w:val="18"/>
        </w:rPr>
        <w:t>“</w:t>
      </w:r>
      <w:r w:rsidRPr="00A969A0">
        <w:rPr>
          <w:szCs w:val="18"/>
        </w:rPr>
        <w:t>COVID-19 pandemic and older persons: relevant UN system resources on COVID-19 and older Persons</w:t>
      </w:r>
      <w:r>
        <w:rPr>
          <w:szCs w:val="18"/>
        </w:rPr>
        <w:t>”</w:t>
      </w:r>
      <w:r w:rsidRPr="00A969A0">
        <w:rPr>
          <w:szCs w:val="18"/>
        </w:rPr>
        <w:t xml:space="preserve">, at </w:t>
      </w:r>
      <w:hyperlink r:id="rId7" w:history="1">
        <w:r w:rsidRPr="00A969A0">
          <w:rPr>
            <w:rStyle w:val="Hyperlink"/>
            <w:bCs/>
            <w:szCs w:val="18"/>
          </w:rPr>
          <w:t>https://www.un.org/development/desa/ageing/covid19.html</w:t>
        </w:r>
      </w:hyperlink>
      <w:r w:rsidRPr="00A969A0">
        <w:rPr>
          <w:szCs w:val="18"/>
        </w:rPr>
        <w:t>.</w:t>
      </w:r>
    </w:p>
  </w:endnote>
  <w:endnote w:id="18">
    <w:p w14:paraId="49ECCE9B" w14:textId="28DB2BF4" w:rsidR="00610D97" w:rsidRPr="00A969A0" w:rsidRDefault="00610D97" w:rsidP="00AB08D6">
      <w:pPr>
        <w:pStyle w:val="EndnoteText"/>
        <w:tabs>
          <w:tab w:val="clear" w:pos="1021"/>
          <w:tab w:val="right" w:pos="142"/>
        </w:tabs>
        <w:ind w:left="284" w:right="141"/>
        <w:rPr>
          <w:szCs w:val="18"/>
        </w:rPr>
      </w:pPr>
      <w:r w:rsidRPr="00A969A0">
        <w:rPr>
          <w:szCs w:val="18"/>
        </w:rPr>
        <w:tab/>
      </w:r>
      <w:r w:rsidRPr="00845C31">
        <w:rPr>
          <w:rStyle w:val="EndnoteReference"/>
        </w:rPr>
        <w:endnoteRef/>
      </w:r>
      <w:r w:rsidRPr="00845C31">
        <w:rPr>
          <w:rStyle w:val="EndnoteReference"/>
        </w:rPr>
        <w:tab/>
      </w:r>
      <w:r w:rsidRPr="00A969A0">
        <w:rPr>
          <w:szCs w:val="18"/>
        </w:rPr>
        <w:t xml:space="preserve">COVID-19 and human rights treaty bodies, available at </w:t>
      </w:r>
      <w:hyperlink r:id="rId8" w:history="1">
        <w:r w:rsidRPr="00A969A0">
          <w:rPr>
            <w:rStyle w:val="Hyperlink"/>
            <w:szCs w:val="18"/>
          </w:rPr>
          <w:t>https://www.ohchr.org/EN/HRBodies/Pages/COVID-19-and-TreatyBodies.aspx</w:t>
        </w:r>
      </w:hyperlink>
      <w:r w:rsidRPr="00A969A0">
        <w:rPr>
          <w:rStyle w:val="Hyperlink"/>
          <w:color w:val="auto"/>
          <w:szCs w:val="18"/>
        </w:rPr>
        <w:t>;</w:t>
      </w:r>
      <w:r w:rsidRPr="00A969A0">
        <w:rPr>
          <w:rStyle w:val="Hyperlink"/>
          <w:szCs w:val="18"/>
        </w:rPr>
        <w:t xml:space="preserve"> </w:t>
      </w:r>
      <w:r w:rsidRPr="00A969A0">
        <w:rPr>
          <w:rStyle w:val="Hyperlink"/>
          <w:color w:val="auto"/>
          <w:szCs w:val="18"/>
        </w:rPr>
        <w:t xml:space="preserve">and </w:t>
      </w:r>
      <w:r>
        <w:rPr>
          <w:rStyle w:val="Hyperlink"/>
          <w:color w:val="auto"/>
          <w:szCs w:val="18"/>
        </w:rPr>
        <w:t>“</w:t>
      </w:r>
      <w:r w:rsidRPr="00A969A0">
        <w:rPr>
          <w:szCs w:val="18"/>
        </w:rPr>
        <w:t>Compilation of statements by human rights treaty bodies in the context of COVID-19</w:t>
      </w:r>
      <w:r>
        <w:rPr>
          <w:szCs w:val="18"/>
        </w:rPr>
        <w:t>”</w:t>
      </w:r>
      <w:r w:rsidRPr="00A969A0">
        <w:rPr>
          <w:szCs w:val="18"/>
        </w:rPr>
        <w:t xml:space="preserve">, September 2020, available at </w:t>
      </w:r>
      <w:hyperlink r:id="rId9" w:history="1">
        <w:r w:rsidRPr="00A969A0">
          <w:rPr>
            <w:rStyle w:val="Hyperlink"/>
            <w:szCs w:val="18"/>
          </w:rPr>
          <w:t>www.ohchr.org/Documents/HRBodies/TB/COVID19/External_TB_statements_COVID19.pdf</w:t>
        </w:r>
      </w:hyperlink>
      <w:r w:rsidRPr="00A969A0">
        <w:rPr>
          <w:szCs w:val="18"/>
        </w:rPr>
        <w:t xml:space="preserve">. </w:t>
      </w:r>
    </w:p>
  </w:endnote>
  <w:endnote w:id="19">
    <w:p w14:paraId="1CBEE0C9" w14:textId="1ED3BE15" w:rsidR="00610D97" w:rsidRPr="00457D95" w:rsidRDefault="00610D97" w:rsidP="00AB08D6">
      <w:pPr>
        <w:pStyle w:val="EndnoteText"/>
        <w:tabs>
          <w:tab w:val="clear" w:pos="1021"/>
          <w:tab w:val="right" w:pos="142"/>
        </w:tabs>
        <w:ind w:left="284" w:right="141"/>
        <w:rPr>
          <w:lang w:val="en-US"/>
        </w:rPr>
      </w:pPr>
      <w:r w:rsidRPr="00CC1F4A">
        <w:rPr>
          <w:lang w:val="en-US"/>
        </w:rPr>
        <w:tab/>
      </w:r>
      <w:r w:rsidRPr="00845C31">
        <w:rPr>
          <w:rStyle w:val="EndnoteReference"/>
        </w:rPr>
        <w:endnoteRef/>
      </w:r>
      <w:r w:rsidRPr="00845C31">
        <w:rPr>
          <w:rStyle w:val="EndnoteReference"/>
        </w:rPr>
        <w:tab/>
      </w:r>
      <w:r w:rsidRPr="00457D95">
        <w:rPr>
          <w:lang w:val="en-US"/>
        </w:rPr>
        <w:t xml:space="preserve">See </w:t>
      </w:r>
      <w:hyperlink r:id="rId10" w:history="1">
        <w:r w:rsidRPr="00CC0581">
          <w:rPr>
            <w:rStyle w:val="Hyperlink"/>
            <w:lang w:val="en-US"/>
          </w:rPr>
          <w:t>A/75/205</w:t>
        </w:r>
      </w:hyperlink>
      <w:r w:rsidRPr="00457D95">
        <w:rPr>
          <w:lang w:val="en-US"/>
        </w:rPr>
        <w:t>.</w:t>
      </w:r>
    </w:p>
  </w:endnote>
  <w:endnote w:id="20">
    <w:p w14:paraId="61C235A4" w14:textId="4A84EF4E" w:rsidR="00610D97" w:rsidRPr="00C43F74" w:rsidRDefault="00610D97" w:rsidP="00AB08D6">
      <w:pPr>
        <w:pStyle w:val="EndnoteText"/>
        <w:tabs>
          <w:tab w:val="clear" w:pos="1021"/>
          <w:tab w:val="right" w:pos="142"/>
        </w:tabs>
        <w:ind w:left="284" w:right="141"/>
      </w:pPr>
      <w:r w:rsidRPr="00457D95">
        <w:rPr>
          <w:lang w:val="en-US"/>
        </w:rPr>
        <w:tab/>
      </w:r>
      <w:r w:rsidRPr="00845C31">
        <w:rPr>
          <w:rStyle w:val="EndnoteReference"/>
        </w:rPr>
        <w:endnoteRef/>
      </w:r>
      <w:r w:rsidRPr="00845C31">
        <w:rPr>
          <w:rStyle w:val="EndnoteReference"/>
        </w:rPr>
        <w:tab/>
      </w:r>
      <w:hyperlink r:id="rId11" w:history="1">
        <w:r w:rsidRPr="00CC0581">
          <w:rPr>
            <w:rStyle w:val="Hyperlink"/>
            <w:lang w:val="en-US"/>
          </w:rPr>
          <w:t>A/HRC/48/53</w:t>
        </w:r>
      </w:hyperlink>
      <w:r w:rsidRPr="00457D95">
        <w:rPr>
          <w:lang w:val="en-US"/>
        </w:rPr>
        <w:t xml:space="preserve">, para. </w:t>
      </w:r>
      <w:r w:rsidRPr="00C43F74">
        <w:t>18.</w:t>
      </w:r>
    </w:p>
  </w:endnote>
  <w:endnote w:id="21">
    <w:p w14:paraId="7290BE60" w14:textId="3476D6D1" w:rsidR="00610D97" w:rsidRPr="00C43F74" w:rsidRDefault="00610D97" w:rsidP="00AB08D6">
      <w:pPr>
        <w:pStyle w:val="EndnoteText"/>
        <w:tabs>
          <w:tab w:val="clear" w:pos="1021"/>
          <w:tab w:val="right" w:pos="142"/>
        </w:tabs>
        <w:ind w:left="284" w:right="141"/>
      </w:pPr>
      <w:r w:rsidRPr="00C43F74">
        <w:tab/>
      </w:r>
      <w:r w:rsidRPr="00845C31">
        <w:rPr>
          <w:rStyle w:val="EndnoteReference"/>
        </w:rPr>
        <w:endnoteRef/>
      </w:r>
      <w:r w:rsidRPr="00845C31">
        <w:rPr>
          <w:rStyle w:val="EndnoteReference"/>
        </w:rPr>
        <w:tab/>
      </w:r>
      <w:hyperlink r:id="rId12" w:history="1">
        <w:r w:rsidRPr="00C43F74">
          <w:rPr>
            <w:rStyle w:val="Hyperlink"/>
          </w:rPr>
          <w:t>A/75/218</w:t>
        </w:r>
      </w:hyperlink>
      <w:r w:rsidRPr="00C43F74">
        <w:t>, para. 58.</w:t>
      </w:r>
    </w:p>
  </w:endnote>
  <w:endnote w:id="22">
    <w:p w14:paraId="35E454FF" w14:textId="5CB68054" w:rsidR="00610D97" w:rsidRPr="00C43F74" w:rsidRDefault="00610D97" w:rsidP="00AB08D6">
      <w:pPr>
        <w:pStyle w:val="EndnoteText"/>
        <w:tabs>
          <w:tab w:val="clear" w:pos="1021"/>
          <w:tab w:val="right" w:pos="142"/>
        </w:tabs>
        <w:ind w:left="284" w:right="141"/>
      </w:pPr>
      <w:r w:rsidRPr="00C43F74">
        <w:tab/>
      </w:r>
      <w:r w:rsidRPr="00845C31">
        <w:rPr>
          <w:rStyle w:val="EndnoteReference"/>
        </w:rPr>
        <w:endnoteRef/>
      </w:r>
      <w:r w:rsidRPr="00845C31">
        <w:rPr>
          <w:rStyle w:val="EndnoteReference"/>
        </w:rPr>
        <w:tab/>
      </w:r>
      <w:hyperlink r:id="rId13" w:history="1">
        <w:r w:rsidRPr="00C43F74">
          <w:rPr>
            <w:rStyle w:val="Hyperlink"/>
          </w:rPr>
          <w:t>A/75/205</w:t>
        </w:r>
      </w:hyperlink>
      <w:r w:rsidRPr="00C43F74">
        <w:t>, para. 29.</w:t>
      </w:r>
    </w:p>
  </w:endnote>
  <w:endnote w:id="23">
    <w:p w14:paraId="139D98AD" w14:textId="4BC005EB" w:rsidR="00610D97" w:rsidRPr="008A7981" w:rsidRDefault="00610D97" w:rsidP="00AB08D6">
      <w:pPr>
        <w:pStyle w:val="EndnoteText"/>
        <w:tabs>
          <w:tab w:val="clear" w:pos="1021"/>
          <w:tab w:val="right" w:pos="142"/>
        </w:tabs>
        <w:ind w:left="284" w:right="141"/>
        <w:rPr>
          <w:lang w:val="en-AU"/>
        </w:rPr>
      </w:pPr>
      <w:r w:rsidRPr="00C43F74">
        <w:tab/>
      </w:r>
      <w:r w:rsidRPr="00845C31">
        <w:rPr>
          <w:rStyle w:val="EndnoteReference"/>
        </w:rPr>
        <w:endnoteRef/>
      </w:r>
      <w:r w:rsidRPr="00845C31">
        <w:rPr>
          <w:rStyle w:val="EndnoteReference"/>
        </w:rPr>
        <w:tab/>
      </w:r>
      <w:hyperlink r:id="rId14" w:history="1">
        <w:r w:rsidRPr="00C43F74">
          <w:rPr>
            <w:rStyle w:val="Hyperlink"/>
          </w:rPr>
          <w:t>A/75/205</w:t>
        </w:r>
      </w:hyperlink>
      <w:r w:rsidRPr="00C43F74">
        <w:t xml:space="preserve">, para. </w:t>
      </w:r>
      <w:r w:rsidRPr="008A7981">
        <w:rPr>
          <w:lang w:val="en-AU"/>
        </w:rPr>
        <w:t>78.</w:t>
      </w:r>
    </w:p>
  </w:endnote>
  <w:endnote w:id="24">
    <w:p w14:paraId="1FF6D6C1" w14:textId="494BD24D" w:rsidR="00610D97" w:rsidRPr="008A7981" w:rsidRDefault="00610D97" w:rsidP="00AB08D6">
      <w:pPr>
        <w:pStyle w:val="EndnoteText"/>
        <w:tabs>
          <w:tab w:val="clear" w:pos="1021"/>
          <w:tab w:val="right" w:pos="142"/>
        </w:tabs>
        <w:ind w:left="284" w:right="141"/>
      </w:pPr>
      <w:r>
        <w:tab/>
      </w:r>
      <w:r w:rsidRPr="00845C31">
        <w:rPr>
          <w:rStyle w:val="EndnoteReference"/>
        </w:rPr>
        <w:endnoteRef/>
      </w:r>
      <w:r w:rsidRPr="00845C31">
        <w:rPr>
          <w:rStyle w:val="EndnoteReference"/>
        </w:rPr>
        <w:tab/>
      </w:r>
      <w:r w:rsidRPr="008A7981">
        <w:rPr>
          <w:lang w:val="en-AU"/>
        </w:rPr>
        <w:t>See, for example, T</w:t>
      </w:r>
      <w:r>
        <w:rPr>
          <w:lang w:val="en-AU"/>
        </w:rPr>
        <w:t>odd</w:t>
      </w:r>
      <w:r w:rsidRPr="008A7981">
        <w:rPr>
          <w:lang w:val="en-AU"/>
        </w:rPr>
        <w:t xml:space="preserve"> D</w:t>
      </w:r>
      <w:r>
        <w:rPr>
          <w:lang w:val="en-AU"/>
        </w:rPr>
        <w:t>.</w:t>
      </w:r>
      <w:r w:rsidRPr="008A7981">
        <w:rPr>
          <w:lang w:val="en-AU"/>
        </w:rPr>
        <w:t xml:space="preserve"> Nelson, </w:t>
      </w:r>
      <w:r>
        <w:rPr>
          <w:lang w:val="en-AU"/>
        </w:rPr>
        <w:t>“</w:t>
      </w:r>
      <w:r w:rsidRPr="008A7981">
        <w:rPr>
          <w:lang w:val="en-AU"/>
        </w:rPr>
        <w:t xml:space="preserve">Ageism: </w:t>
      </w:r>
      <w:r>
        <w:rPr>
          <w:lang w:val="en-AU"/>
        </w:rPr>
        <w:t>p</w:t>
      </w:r>
      <w:r w:rsidRPr="008A7981">
        <w:rPr>
          <w:lang w:val="en-AU"/>
        </w:rPr>
        <w:t xml:space="preserve">rejudice </w:t>
      </w:r>
      <w:r>
        <w:rPr>
          <w:lang w:val="en-AU"/>
        </w:rPr>
        <w:t>a</w:t>
      </w:r>
      <w:r w:rsidRPr="008A7981">
        <w:rPr>
          <w:lang w:val="en-AU"/>
        </w:rPr>
        <w:t xml:space="preserve">gainst </w:t>
      </w:r>
      <w:r>
        <w:rPr>
          <w:lang w:val="en-AU"/>
        </w:rPr>
        <w:t>o</w:t>
      </w:r>
      <w:r w:rsidRPr="008A7981">
        <w:rPr>
          <w:lang w:val="en-AU"/>
        </w:rPr>
        <w:t xml:space="preserve">ur </w:t>
      </w:r>
      <w:r>
        <w:rPr>
          <w:lang w:val="en-AU"/>
        </w:rPr>
        <w:t>f</w:t>
      </w:r>
      <w:r w:rsidRPr="008A7981">
        <w:rPr>
          <w:lang w:val="en-AU"/>
        </w:rPr>
        <w:t xml:space="preserve">eared </w:t>
      </w:r>
      <w:r>
        <w:rPr>
          <w:lang w:val="en-AU"/>
        </w:rPr>
        <w:t>f</w:t>
      </w:r>
      <w:r w:rsidRPr="008A7981">
        <w:rPr>
          <w:lang w:val="en-AU"/>
        </w:rPr>
        <w:t xml:space="preserve">uture </w:t>
      </w:r>
      <w:r>
        <w:rPr>
          <w:lang w:val="en-AU"/>
        </w:rPr>
        <w:t>s</w:t>
      </w:r>
      <w:r w:rsidRPr="008A7981">
        <w:rPr>
          <w:lang w:val="en-AU"/>
        </w:rPr>
        <w:t>elf</w:t>
      </w:r>
      <w:r>
        <w:rPr>
          <w:lang w:val="en-AU"/>
        </w:rPr>
        <w:t>”,</w:t>
      </w:r>
      <w:r w:rsidRPr="008A7981">
        <w:rPr>
          <w:lang w:val="en-AU"/>
        </w:rPr>
        <w:t xml:space="preserve"> </w:t>
      </w:r>
      <w:r w:rsidRPr="008A7981">
        <w:rPr>
          <w:i/>
          <w:lang w:val="en-AU"/>
        </w:rPr>
        <w:t>Journal of Social Issues</w:t>
      </w:r>
      <w:r>
        <w:rPr>
          <w:lang w:val="en-AU"/>
        </w:rPr>
        <w:t>,</w:t>
      </w:r>
      <w:r w:rsidRPr="008A7981">
        <w:rPr>
          <w:lang w:val="en-AU"/>
        </w:rPr>
        <w:t xml:space="preserve"> </w:t>
      </w:r>
      <w:r>
        <w:rPr>
          <w:lang w:val="en-AU"/>
        </w:rPr>
        <w:t xml:space="preserve">vol. </w:t>
      </w:r>
      <w:r w:rsidRPr="008A7981">
        <w:rPr>
          <w:lang w:val="en-AU"/>
        </w:rPr>
        <w:t>61</w:t>
      </w:r>
      <w:r>
        <w:rPr>
          <w:lang w:val="en-AU"/>
        </w:rPr>
        <w:t>, issue 2</w:t>
      </w:r>
      <w:r w:rsidRPr="008A7981">
        <w:rPr>
          <w:lang w:val="en-AU"/>
        </w:rPr>
        <w:t xml:space="preserve"> </w:t>
      </w:r>
      <w:r>
        <w:rPr>
          <w:lang w:val="en-AU"/>
        </w:rPr>
        <w:t xml:space="preserve">(2005), pp. </w:t>
      </w:r>
      <w:r w:rsidRPr="008A7981">
        <w:t>201</w:t>
      </w:r>
      <w:r>
        <w:t>–</w:t>
      </w:r>
      <w:r w:rsidRPr="008A7981">
        <w:t xml:space="preserve">221; </w:t>
      </w:r>
      <w:r>
        <w:t xml:space="preserve">and Liat Ayalon and Clemens Tesch-Römer </w:t>
      </w:r>
      <w:r w:rsidRPr="008A7981">
        <w:t>(eds</w:t>
      </w:r>
      <w:r>
        <w:t>.</w:t>
      </w:r>
      <w:r w:rsidRPr="008A7981">
        <w:t xml:space="preserve">), </w:t>
      </w:r>
      <w:r w:rsidRPr="008A7981">
        <w:rPr>
          <w:i/>
        </w:rPr>
        <w:t>Contemporary Perspectives on Ageism</w:t>
      </w:r>
      <w:r w:rsidRPr="008A7981">
        <w:t xml:space="preserve"> (Springer, 2018).</w:t>
      </w:r>
    </w:p>
  </w:endnote>
  <w:endnote w:id="25">
    <w:p w14:paraId="71C0F29C" w14:textId="77777777" w:rsidR="00610D97" w:rsidRPr="008A7981" w:rsidRDefault="00610D97" w:rsidP="00316681">
      <w:pPr>
        <w:pStyle w:val="EndnoteText"/>
        <w:tabs>
          <w:tab w:val="clear" w:pos="1021"/>
          <w:tab w:val="right" w:pos="142"/>
        </w:tabs>
        <w:ind w:left="284" w:right="141"/>
      </w:pPr>
      <w:r>
        <w:tab/>
      </w:r>
      <w:r w:rsidRPr="00845C31">
        <w:rPr>
          <w:rStyle w:val="EndnoteReference"/>
        </w:rPr>
        <w:endnoteRef/>
      </w:r>
      <w:r w:rsidRPr="00845C31">
        <w:rPr>
          <w:rStyle w:val="EndnoteReference"/>
        </w:rPr>
        <w:tab/>
      </w:r>
      <w:r w:rsidRPr="008A7981">
        <w:t>K</w:t>
      </w:r>
      <w:r>
        <w:t>erry</w:t>
      </w:r>
      <w:r w:rsidRPr="008A7981">
        <w:t xml:space="preserve"> Sargent-Cox, </w:t>
      </w:r>
      <w:r>
        <w:t>“</w:t>
      </w:r>
      <w:r w:rsidRPr="008A7981">
        <w:t>Ageism: we are our own worst enemy</w:t>
      </w:r>
      <w:r>
        <w:t>”,</w:t>
      </w:r>
      <w:r w:rsidRPr="008A7981">
        <w:t xml:space="preserve"> </w:t>
      </w:r>
      <w:r w:rsidRPr="008A7981">
        <w:rPr>
          <w:i/>
        </w:rPr>
        <w:t>International Psychogeriatr</w:t>
      </w:r>
      <w:r>
        <w:rPr>
          <w:i/>
        </w:rPr>
        <w:t>i</w:t>
      </w:r>
      <w:r w:rsidRPr="008A7981">
        <w:rPr>
          <w:i/>
        </w:rPr>
        <w:t>cs</w:t>
      </w:r>
      <w:r w:rsidRPr="00457D95">
        <w:t>,</w:t>
      </w:r>
      <w:r w:rsidRPr="008A7981">
        <w:rPr>
          <w:i/>
        </w:rPr>
        <w:t xml:space="preserve"> </w:t>
      </w:r>
      <w:r>
        <w:t xml:space="preserve">vol. </w:t>
      </w:r>
      <w:r w:rsidRPr="008A7981">
        <w:t>29</w:t>
      </w:r>
      <w:r>
        <w:t xml:space="preserve">, issue </w:t>
      </w:r>
      <w:proofErr w:type="gramStart"/>
      <w:r w:rsidRPr="008A7981">
        <w:t>1</w:t>
      </w:r>
      <w:proofErr w:type="gramEnd"/>
      <w:r>
        <w:t xml:space="preserve"> (2017),</w:t>
      </w:r>
      <w:r w:rsidRPr="008A7981">
        <w:t xml:space="preserve"> </w:t>
      </w:r>
      <w:r>
        <w:t xml:space="preserve">pp. </w:t>
      </w:r>
      <w:r w:rsidRPr="008A7981">
        <w:t>1</w:t>
      </w:r>
      <w:r>
        <w:t>–</w:t>
      </w:r>
      <w:r w:rsidRPr="008A7981">
        <w:t>2.</w:t>
      </w:r>
    </w:p>
  </w:endnote>
  <w:endnote w:id="26">
    <w:p w14:paraId="5B19F241" w14:textId="77777777" w:rsidR="00610D97" w:rsidRPr="008A7981" w:rsidRDefault="00610D97" w:rsidP="00316681">
      <w:pPr>
        <w:pStyle w:val="EndnoteText"/>
        <w:tabs>
          <w:tab w:val="clear" w:pos="1021"/>
          <w:tab w:val="right" w:pos="142"/>
        </w:tabs>
        <w:ind w:left="284" w:right="141"/>
      </w:pPr>
      <w:r>
        <w:tab/>
      </w:r>
      <w:r w:rsidRPr="00845C31">
        <w:rPr>
          <w:rStyle w:val="EndnoteReference"/>
        </w:rPr>
        <w:endnoteRef/>
      </w:r>
      <w:r w:rsidRPr="00845C31">
        <w:rPr>
          <w:rStyle w:val="EndnoteReference"/>
        </w:rPr>
        <w:tab/>
      </w:r>
      <w:r w:rsidRPr="008A7981">
        <w:t>L</w:t>
      </w:r>
      <w:r>
        <w:t>indsey</w:t>
      </w:r>
      <w:r w:rsidRPr="008A7981">
        <w:t xml:space="preserve"> A</w:t>
      </w:r>
      <w:r>
        <w:t>.</w:t>
      </w:r>
      <w:r w:rsidRPr="008A7981">
        <w:t xml:space="preserve"> Cary et al</w:t>
      </w:r>
      <w:r>
        <w:t>.</w:t>
      </w:r>
      <w:r w:rsidRPr="008A7981">
        <w:t xml:space="preserve">, </w:t>
      </w:r>
      <w:r>
        <w:t>“</w:t>
      </w:r>
      <w:r w:rsidRPr="008A7981">
        <w:t xml:space="preserve">The </w:t>
      </w:r>
      <w:r>
        <w:t>a</w:t>
      </w:r>
      <w:r w:rsidRPr="008A7981">
        <w:t xml:space="preserve">mbivalent </w:t>
      </w:r>
      <w:r>
        <w:t>a</w:t>
      </w:r>
      <w:r w:rsidRPr="008A7981">
        <w:t xml:space="preserve">geism </w:t>
      </w:r>
      <w:r>
        <w:t>s</w:t>
      </w:r>
      <w:r w:rsidRPr="008A7981">
        <w:t xml:space="preserve">cale: </w:t>
      </w:r>
      <w:r>
        <w:t>d</w:t>
      </w:r>
      <w:r w:rsidRPr="008A7981">
        <w:t xml:space="preserve">eveloping and </w:t>
      </w:r>
      <w:r>
        <w:t>v</w:t>
      </w:r>
      <w:r w:rsidRPr="008A7981">
        <w:t xml:space="preserve">alidating a </w:t>
      </w:r>
      <w:r>
        <w:t>s</w:t>
      </w:r>
      <w:r w:rsidRPr="008A7981">
        <w:t xml:space="preserve">cale to </w:t>
      </w:r>
      <w:r>
        <w:t>m</w:t>
      </w:r>
      <w:r w:rsidRPr="008A7981">
        <w:t xml:space="preserve">easure </w:t>
      </w:r>
      <w:r>
        <w:t>b</w:t>
      </w:r>
      <w:r w:rsidRPr="008A7981">
        <w:t xml:space="preserve">enevolent and </w:t>
      </w:r>
      <w:r>
        <w:t>h</w:t>
      </w:r>
      <w:r w:rsidRPr="00BA2F89">
        <w:t>ostile</w:t>
      </w:r>
      <w:r w:rsidRPr="008A7981">
        <w:t xml:space="preserve"> </w:t>
      </w:r>
      <w:r>
        <w:t>a</w:t>
      </w:r>
      <w:r w:rsidRPr="008A7981">
        <w:t>geism</w:t>
      </w:r>
      <w:r>
        <w:t>”,</w:t>
      </w:r>
      <w:r w:rsidRPr="008A7981">
        <w:t xml:space="preserve"> </w:t>
      </w:r>
      <w:r w:rsidRPr="008A7981">
        <w:rPr>
          <w:i/>
        </w:rPr>
        <w:t>The Gerontologist</w:t>
      </w:r>
      <w:r>
        <w:rPr>
          <w:i/>
        </w:rPr>
        <w:t>,</w:t>
      </w:r>
      <w:r w:rsidRPr="008A7981">
        <w:rPr>
          <w:i/>
        </w:rPr>
        <w:t xml:space="preserve"> </w:t>
      </w:r>
      <w:r>
        <w:t xml:space="preserve">vol. </w:t>
      </w:r>
      <w:r w:rsidRPr="008A7981">
        <w:t>57</w:t>
      </w:r>
      <w:r>
        <w:t xml:space="preserve">, No. </w:t>
      </w:r>
      <w:r w:rsidRPr="008A7981">
        <w:t>2</w:t>
      </w:r>
      <w:r>
        <w:t xml:space="preserve"> (2017), pp. </w:t>
      </w:r>
      <w:r w:rsidRPr="008A7981">
        <w:t>27</w:t>
      </w:r>
      <w:r>
        <w:t>–</w:t>
      </w:r>
      <w:r w:rsidRPr="008A7981">
        <w:t>36.</w:t>
      </w:r>
    </w:p>
  </w:endnote>
  <w:endnote w:id="27">
    <w:p w14:paraId="49969A55" w14:textId="7863AC0C" w:rsidR="00610D97" w:rsidRPr="008A7981" w:rsidRDefault="00610D97" w:rsidP="00316681">
      <w:pPr>
        <w:pStyle w:val="EndnoteText"/>
        <w:tabs>
          <w:tab w:val="clear" w:pos="1021"/>
          <w:tab w:val="right" w:pos="142"/>
        </w:tabs>
        <w:ind w:left="284" w:right="141"/>
      </w:pPr>
      <w:r>
        <w:tab/>
      </w:r>
      <w:r w:rsidRPr="00845C31">
        <w:rPr>
          <w:rStyle w:val="EndnoteReference"/>
        </w:rPr>
        <w:endnoteRef/>
      </w:r>
      <w:r w:rsidRPr="00845C31">
        <w:rPr>
          <w:rStyle w:val="EndnoteReference"/>
        </w:rPr>
        <w:tab/>
      </w:r>
      <w:r w:rsidRPr="008A7981">
        <w:t>I</w:t>
      </w:r>
      <w:r>
        <w:t>srael</w:t>
      </w:r>
      <w:r w:rsidRPr="008A7981">
        <w:t xml:space="preserve"> Doron and N</w:t>
      </w:r>
      <w:r>
        <w:t>ena</w:t>
      </w:r>
      <w:r w:rsidRPr="008A7981">
        <w:t xml:space="preserve"> </w:t>
      </w:r>
      <w:r w:rsidRPr="00BA2F89">
        <w:t>Georgantzi</w:t>
      </w:r>
      <w:r w:rsidRPr="008A7981">
        <w:t xml:space="preserve"> (eds</w:t>
      </w:r>
      <w:r>
        <w:t>.</w:t>
      </w:r>
      <w:r w:rsidRPr="008A7981">
        <w:t xml:space="preserve">), </w:t>
      </w:r>
      <w:r w:rsidRPr="00457D95">
        <w:rPr>
          <w:i/>
        </w:rPr>
        <w:t>Ageing, Ageism, and the Law: European Perspectives on the Rights of Older Persons</w:t>
      </w:r>
      <w:r w:rsidRPr="008A7981">
        <w:rPr>
          <w:b/>
        </w:rPr>
        <w:t xml:space="preserve"> </w:t>
      </w:r>
      <w:r w:rsidRPr="008A7981">
        <w:t>(2018).</w:t>
      </w:r>
    </w:p>
  </w:endnote>
  <w:endnote w:id="28">
    <w:p w14:paraId="2AD2BEF8" w14:textId="77777777" w:rsidR="00610D97" w:rsidRPr="008A7981" w:rsidRDefault="00610D97" w:rsidP="00316681">
      <w:pPr>
        <w:pStyle w:val="EndnoteText"/>
        <w:tabs>
          <w:tab w:val="clear" w:pos="1021"/>
          <w:tab w:val="right" w:pos="142"/>
        </w:tabs>
        <w:ind w:left="284" w:right="141"/>
      </w:pPr>
      <w:r>
        <w:tab/>
      </w:r>
      <w:r w:rsidRPr="00845C31">
        <w:rPr>
          <w:rStyle w:val="EndnoteReference"/>
        </w:rPr>
        <w:endnoteRef/>
      </w:r>
      <w:r w:rsidRPr="00845C31">
        <w:rPr>
          <w:rStyle w:val="EndnoteReference"/>
        </w:rPr>
        <w:tab/>
      </w:r>
      <w:r w:rsidRPr="008A7981">
        <w:t>E-S</w:t>
      </w:r>
      <w:r>
        <w:t>.</w:t>
      </w:r>
      <w:r w:rsidRPr="008A7981">
        <w:t xml:space="preserve"> </w:t>
      </w:r>
      <w:r w:rsidRPr="00BA2F89">
        <w:t>Chang</w:t>
      </w:r>
      <w:r w:rsidRPr="008A7981">
        <w:t xml:space="preserve"> et al</w:t>
      </w:r>
      <w:r>
        <w:t>.</w:t>
      </w:r>
      <w:r w:rsidRPr="008A7981">
        <w:t xml:space="preserve">, </w:t>
      </w:r>
      <w:r>
        <w:t>“</w:t>
      </w:r>
      <w:r w:rsidRPr="008A7981">
        <w:t>Global reach of ageism on older persons</w:t>
      </w:r>
      <w:r>
        <w:t>’</w:t>
      </w:r>
      <w:r w:rsidRPr="008A7981">
        <w:t xml:space="preserve"> health: </w:t>
      </w:r>
      <w:r>
        <w:t>a</w:t>
      </w:r>
      <w:r w:rsidRPr="008A7981">
        <w:t xml:space="preserve"> systematic review</w:t>
      </w:r>
      <w:r>
        <w:t>”,</w:t>
      </w:r>
      <w:r w:rsidRPr="008A7981">
        <w:t xml:space="preserve"> PLoS </w:t>
      </w:r>
      <w:proofErr w:type="gramStart"/>
      <w:r w:rsidRPr="008A7981">
        <w:t>One</w:t>
      </w:r>
      <w:proofErr w:type="gramEnd"/>
      <w:r w:rsidRPr="008A7981">
        <w:t xml:space="preserve"> </w:t>
      </w:r>
      <w:r>
        <w:t xml:space="preserve">(15 </w:t>
      </w:r>
      <w:r w:rsidRPr="00AC5DC1">
        <w:t>January 2020</w:t>
      </w:r>
      <w:r>
        <w:rPr>
          <w:lang w:val="en-US"/>
        </w:rPr>
        <w:t xml:space="preserve">), </w:t>
      </w:r>
      <w:r w:rsidRPr="008A7981">
        <w:t xml:space="preserve">doi: </w:t>
      </w:r>
      <w:r w:rsidRPr="008A7981">
        <w:rPr>
          <w:lang w:val="en-AU"/>
        </w:rPr>
        <w:t>10.1371/journal.pone.0220857.</w:t>
      </w:r>
    </w:p>
  </w:endnote>
  <w:endnote w:id="29">
    <w:p w14:paraId="66C5B0CF" w14:textId="77777777" w:rsidR="00610D97" w:rsidRPr="008A7981" w:rsidRDefault="00610D97" w:rsidP="00AB08D6">
      <w:pPr>
        <w:pStyle w:val="EndnoteText"/>
        <w:tabs>
          <w:tab w:val="clear" w:pos="1021"/>
          <w:tab w:val="right" w:pos="142"/>
        </w:tabs>
        <w:ind w:left="284" w:right="141"/>
      </w:pPr>
      <w:r>
        <w:tab/>
      </w:r>
      <w:r w:rsidRPr="00845C31">
        <w:rPr>
          <w:rStyle w:val="EndnoteReference"/>
        </w:rPr>
        <w:endnoteRef/>
      </w:r>
      <w:r w:rsidRPr="00845C31">
        <w:rPr>
          <w:rStyle w:val="EndnoteReference"/>
        </w:rPr>
        <w:tab/>
      </w:r>
      <w:r>
        <w:t>World Health Organization (</w:t>
      </w:r>
      <w:r w:rsidRPr="008A7981">
        <w:t>WHO</w:t>
      </w:r>
      <w:r>
        <w:t>)</w:t>
      </w:r>
      <w:r w:rsidRPr="008A7981">
        <w:t xml:space="preserve">, </w:t>
      </w:r>
      <w:r w:rsidRPr="00457D95">
        <w:rPr>
          <w:i/>
        </w:rPr>
        <w:t>Global</w:t>
      </w:r>
      <w:r w:rsidRPr="008A7981">
        <w:rPr>
          <w:bCs/>
          <w:i/>
        </w:rPr>
        <w:t xml:space="preserve"> Report on Ageism</w:t>
      </w:r>
      <w:r w:rsidRPr="008A7981">
        <w:t xml:space="preserve"> (2021), </w:t>
      </w:r>
      <w:r>
        <w:t xml:space="preserve">p. </w:t>
      </w:r>
      <w:r w:rsidRPr="008A7981">
        <w:t>104.</w:t>
      </w:r>
    </w:p>
  </w:endnote>
  <w:endnote w:id="30">
    <w:p w14:paraId="491CD52F" w14:textId="4F46F361" w:rsidR="00610D97" w:rsidRPr="00457D95" w:rsidRDefault="00610D97" w:rsidP="00AB08D6">
      <w:pPr>
        <w:pStyle w:val="EndnoteText"/>
        <w:tabs>
          <w:tab w:val="clear" w:pos="1021"/>
          <w:tab w:val="right" w:pos="142"/>
        </w:tabs>
        <w:ind w:left="284" w:right="141"/>
        <w:rPr>
          <w:lang w:val="en-US"/>
        </w:rPr>
      </w:pPr>
      <w:r w:rsidRPr="00CC1F4A">
        <w:rPr>
          <w:lang w:val="en-US"/>
        </w:rPr>
        <w:tab/>
      </w:r>
      <w:r w:rsidRPr="00845C31">
        <w:rPr>
          <w:rStyle w:val="EndnoteReference"/>
        </w:rPr>
        <w:endnoteRef/>
      </w:r>
      <w:r w:rsidRPr="00845C31">
        <w:rPr>
          <w:rStyle w:val="EndnoteReference"/>
        </w:rPr>
        <w:tab/>
      </w:r>
      <w:r w:rsidRPr="00457D95">
        <w:rPr>
          <w:lang w:val="en-US"/>
        </w:rPr>
        <w:t xml:space="preserve">See </w:t>
      </w:r>
      <w:hyperlink r:id="rId15" w:history="1">
        <w:r w:rsidRPr="00CC0581">
          <w:rPr>
            <w:rStyle w:val="Hyperlink"/>
            <w:lang w:val="en-US"/>
          </w:rPr>
          <w:t>A/HRC/48/53</w:t>
        </w:r>
      </w:hyperlink>
      <w:r w:rsidRPr="00457D95">
        <w:rPr>
          <w:lang w:val="en-US"/>
        </w:rPr>
        <w:t>, paras. 21–31 and 58.</w:t>
      </w:r>
    </w:p>
  </w:endnote>
  <w:endnote w:id="31">
    <w:p w14:paraId="722B39B2" w14:textId="0ECBA331" w:rsidR="00610D97" w:rsidRPr="00457D95" w:rsidRDefault="00610D97" w:rsidP="00AB08D6">
      <w:pPr>
        <w:pStyle w:val="EndnoteText"/>
        <w:tabs>
          <w:tab w:val="clear" w:pos="1021"/>
          <w:tab w:val="right" w:pos="142"/>
        </w:tabs>
        <w:ind w:left="284" w:right="141"/>
        <w:rPr>
          <w:lang w:val="es-ES"/>
        </w:rPr>
      </w:pPr>
      <w:r w:rsidRPr="00457D95">
        <w:rPr>
          <w:lang w:val="en-US"/>
        </w:rPr>
        <w:tab/>
      </w:r>
      <w:r w:rsidRPr="00845C31">
        <w:rPr>
          <w:rStyle w:val="EndnoteReference"/>
        </w:rPr>
        <w:endnoteRef/>
      </w:r>
      <w:r w:rsidRPr="00952E3E">
        <w:rPr>
          <w:rStyle w:val="EndnoteReference"/>
          <w:lang w:val="es-ES"/>
        </w:rPr>
        <w:tab/>
      </w:r>
      <w:hyperlink r:id="rId16" w:history="1">
        <w:r w:rsidRPr="00CC0581">
          <w:rPr>
            <w:rStyle w:val="Hyperlink"/>
            <w:lang w:val="es-ES"/>
          </w:rPr>
          <w:t>A/HRC/48/53</w:t>
        </w:r>
      </w:hyperlink>
      <w:r w:rsidRPr="00457D95">
        <w:rPr>
          <w:lang w:val="es-ES"/>
        </w:rPr>
        <w:t>, paras. 51–72.</w:t>
      </w:r>
    </w:p>
  </w:endnote>
  <w:endnote w:id="32">
    <w:p w14:paraId="7F5168C2" w14:textId="39F4F479" w:rsidR="00610D97" w:rsidRPr="00457D95" w:rsidRDefault="00610D97" w:rsidP="00AB08D6">
      <w:pPr>
        <w:pStyle w:val="EndnoteText"/>
        <w:tabs>
          <w:tab w:val="clear" w:pos="1021"/>
          <w:tab w:val="right" w:pos="142"/>
        </w:tabs>
        <w:ind w:left="284" w:right="141"/>
        <w:rPr>
          <w:lang w:val="en-US"/>
        </w:rPr>
      </w:pPr>
      <w:r w:rsidRPr="00457D95">
        <w:rPr>
          <w:lang w:val="es-ES"/>
        </w:rPr>
        <w:tab/>
      </w:r>
      <w:r w:rsidRPr="00845C31">
        <w:rPr>
          <w:rStyle w:val="EndnoteReference"/>
        </w:rPr>
        <w:endnoteRef/>
      </w:r>
      <w:r w:rsidRPr="00952E3E">
        <w:rPr>
          <w:rStyle w:val="EndnoteReference"/>
          <w:lang w:val="es-ES"/>
        </w:rPr>
        <w:tab/>
      </w:r>
      <w:hyperlink r:id="rId17" w:history="1">
        <w:r w:rsidRPr="00CC0581">
          <w:rPr>
            <w:rStyle w:val="Hyperlink"/>
            <w:lang w:val="es-ES"/>
          </w:rPr>
          <w:t>A/HRC/48/53</w:t>
        </w:r>
      </w:hyperlink>
      <w:r w:rsidRPr="00457D95">
        <w:rPr>
          <w:lang w:val="es-ES"/>
        </w:rPr>
        <w:t xml:space="preserve">, para. </w:t>
      </w:r>
      <w:r w:rsidRPr="00457D95">
        <w:rPr>
          <w:lang w:val="en-US"/>
        </w:rPr>
        <w:t>51.</w:t>
      </w:r>
    </w:p>
  </w:endnote>
  <w:endnote w:id="33">
    <w:p w14:paraId="712CC77F" w14:textId="47D45F8B" w:rsidR="00610D97" w:rsidRPr="008A7981" w:rsidRDefault="00610D97" w:rsidP="00AB08D6">
      <w:pPr>
        <w:pStyle w:val="EndnoteText"/>
        <w:tabs>
          <w:tab w:val="clear" w:pos="1021"/>
          <w:tab w:val="right" w:pos="142"/>
        </w:tabs>
        <w:ind w:left="284" w:right="141"/>
        <w:rPr>
          <w:lang w:val="en-AU"/>
        </w:rPr>
      </w:pPr>
      <w:r w:rsidRPr="00457D95">
        <w:rPr>
          <w:lang w:val="en-US"/>
        </w:rPr>
        <w:tab/>
      </w:r>
      <w:r w:rsidRPr="00845C31">
        <w:rPr>
          <w:rStyle w:val="EndnoteReference"/>
        </w:rPr>
        <w:endnoteRef/>
      </w:r>
      <w:r w:rsidRPr="00845C31">
        <w:rPr>
          <w:rStyle w:val="EndnoteReference"/>
        </w:rPr>
        <w:tab/>
      </w:r>
      <w:hyperlink r:id="rId18" w:history="1">
        <w:r w:rsidRPr="00CC0581">
          <w:rPr>
            <w:rStyle w:val="Hyperlink"/>
            <w:lang w:val="en-US"/>
          </w:rPr>
          <w:t>A/75/205</w:t>
        </w:r>
      </w:hyperlink>
      <w:r w:rsidRPr="00457D95">
        <w:rPr>
          <w:lang w:val="en-US"/>
        </w:rPr>
        <w:t xml:space="preserve">, para. </w:t>
      </w:r>
      <w:r w:rsidRPr="008A7981">
        <w:t>78.</w:t>
      </w:r>
    </w:p>
  </w:endnote>
  <w:endnote w:id="34">
    <w:p w14:paraId="5DEE3810" w14:textId="77777777" w:rsidR="00610D97" w:rsidRPr="00CC1F4A" w:rsidRDefault="00610D97" w:rsidP="00AB08D6">
      <w:pPr>
        <w:pStyle w:val="EndnoteText"/>
        <w:tabs>
          <w:tab w:val="clear" w:pos="1021"/>
          <w:tab w:val="right" w:pos="142"/>
        </w:tabs>
        <w:ind w:left="284" w:right="141"/>
        <w:rPr>
          <w:lang w:val="en-AU"/>
        </w:rPr>
      </w:pPr>
      <w:r>
        <w:tab/>
      </w:r>
      <w:r w:rsidRPr="00845C31">
        <w:rPr>
          <w:rStyle w:val="EndnoteReference"/>
        </w:rPr>
        <w:endnoteRef/>
      </w:r>
      <w:r w:rsidRPr="00845C31">
        <w:rPr>
          <w:rStyle w:val="EndnoteReference"/>
        </w:rPr>
        <w:t xml:space="preserve"> </w:t>
      </w:r>
      <w:r>
        <w:tab/>
      </w:r>
      <w:proofErr w:type="gramStart"/>
      <w:r>
        <w:rPr>
          <w:lang w:val="en-AU"/>
        </w:rPr>
        <w:t>2021</w:t>
      </w:r>
      <w:proofErr w:type="gramEnd"/>
      <w:r>
        <w:rPr>
          <w:lang w:val="en-AU"/>
        </w:rPr>
        <w:t xml:space="preserve"> updated study, para. 57.</w:t>
      </w:r>
    </w:p>
  </w:endnote>
  <w:endnote w:id="35">
    <w:p w14:paraId="16E9B16E" w14:textId="0DF1AFD7" w:rsidR="00610D97" w:rsidRPr="008A7981" w:rsidRDefault="00610D97" w:rsidP="00AB08D6">
      <w:pPr>
        <w:pStyle w:val="EndnoteText"/>
        <w:tabs>
          <w:tab w:val="clear" w:pos="1021"/>
          <w:tab w:val="right" w:pos="142"/>
        </w:tabs>
        <w:ind w:left="284" w:right="141"/>
        <w:rPr>
          <w:lang w:val="en-AU"/>
        </w:rPr>
      </w:pPr>
      <w:r>
        <w:tab/>
      </w:r>
      <w:r w:rsidRPr="00845C31">
        <w:rPr>
          <w:rStyle w:val="EndnoteReference"/>
        </w:rPr>
        <w:endnoteRef/>
      </w:r>
      <w:r w:rsidRPr="00845C31">
        <w:rPr>
          <w:rStyle w:val="EndnoteReference"/>
        </w:rPr>
        <w:tab/>
      </w:r>
      <w:r>
        <w:rPr>
          <w:lang w:val="en-AU"/>
        </w:rPr>
        <w:t xml:space="preserve">This </w:t>
      </w:r>
      <w:r w:rsidRPr="008A7981">
        <w:rPr>
          <w:lang w:val="en-AU"/>
        </w:rPr>
        <w:t xml:space="preserve">report focuses on United </w:t>
      </w:r>
      <w:r w:rsidRPr="00AD173C">
        <w:t>Nations</w:t>
      </w:r>
      <w:r w:rsidRPr="008A7981">
        <w:rPr>
          <w:lang w:val="en-AU"/>
        </w:rPr>
        <w:t xml:space="preserve"> human rights treaties. The coverage of older persons</w:t>
      </w:r>
      <w:r>
        <w:rPr>
          <w:lang w:val="en-AU"/>
        </w:rPr>
        <w:t>’</w:t>
      </w:r>
      <w:r w:rsidRPr="008A7981">
        <w:rPr>
          <w:lang w:val="en-AU"/>
        </w:rPr>
        <w:t xml:space="preserve"> human rights under regional human rights treaties and other instruments is considered in </w:t>
      </w:r>
      <w:r>
        <w:rPr>
          <w:lang w:val="en-AU"/>
        </w:rPr>
        <w:t xml:space="preserve">the </w:t>
      </w:r>
      <w:proofErr w:type="gramStart"/>
      <w:r w:rsidRPr="00CC1F4A">
        <w:t xml:space="preserve">2021 </w:t>
      </w:r>
      <w:r>
        <w:t>u</w:t>
      </w:r>
      <w:r w:rsidRPr="00CC1F4A">
        <w:t>pdated</w:t>
      </w:r>
      <w:proofErr w:type="gramEnd"/>
      <w:r w:rsidRPr="00CC1F4A">
        <w:t xml:space="preserve"> </w:t>
      </w:r>
      <w:r>
        <w:t>s</w:t>
      </w:r>
      <w:r w:rsidRPr="00CC1F4A">
        <w:t>tudy</w:t>
      </w:r>
      <w:r w:rsidRPr="008A7981">
        <w:t>, paras</w:t>
      </w:r>
      <w:r>
        <w:t>.</w:t>
      </w:r>
      <w:r w:rsidRPr="008A7981">
        <w:t xml:space="preserve"> 59</w:t>
      </w:r>
      <w:r>
        <w:t>–</w:t>
      </w:r>
      <w:r w:rsidRPr="008A7981">
        <w:t>65.</w:t>
      </w:r>
    </w:p>
  </w:endnote>
  <w:endnote w:id="36">
    <w:p w14:paraId="1E4886DB" w14:textId="77777777" w:rsidR="00610D97" w:rsidRPr="008A7981" w:rsidRDefault="00610D97" w:rsidP="00AB08D6">
      <w:pPr>
        <w:pStyle w:val="EndnoteText"/>
        <w:tabs>
          <w:tab w:val="clear" w:pos="1021"/>
          <w:tab w:val="right" w:pos="142"/>
        </w:tabs>
        <w:ind w:left="284" w:right="141"/>
        <w:rPr>
          <w:lang w:val="en-AU"/>
        </w:rPr>
      </w:pPr>
      <w:r>
        <w:tab/>
      </w:r>
      <w:r w:rsidRPr="00845C31">
        <w:rPr>
          <w:rStyle w:val="EndnoteReference"/>
        </w:rPr>
        <w:endnoteRef/>
      </w:r>
      <w:r w:rsidRPr="00845C31">
        <w:rPr>
          <w:rStyle w:val="EndnoteReference"/>
        </w:rPr>
        <w:tab/>
      </w:r>
      <w:r w:rsidRPr="00A969A0">
        <w:t>With the exception of</w:t>
      </w:r>
      <w:r w:rsidRPr="008A7981">
        <w:rPr>
          <w:lang w:val="en-AU"/>
        </w:rPr>
        <w:t xml:space="preserve"> the </w:t>
      </w:r>
      <w:r w:rsidRPr="008A7981">
        <w:t xml:space="preserve">International Convention on the Protection of </w:t>
      </w:r>
      <w:r>
        <w:t xml:space="preserve">the Rights of </w:t>
      </w:r>
      <w:r w:rsidRPr="008A7981">
        <w:t>All Migrant Workers and Members of Their Families,</w:t>
      </w:r>
      <w:r w:rsidRPr="008A7981">
        <w:rPr>
          <w:lang w:val="en-AU"/>
        </w:rPr>
        <w:t xml:space="preserve"> art</w:t>
      </w:r>
      <w:r>
        <w:rPr>
          <w:lang w:val="en-AU"/>
        </w:rPr>
        <w:t>.</w:t>
      </w:r>
      <w:r w:rsidRPr="008A7981">
        <w:rPr>
          <w:lang w:val="en-AU"/>
        </w:rPr>
        <w:t xml:space="preserve"> </w:t>
      </w:r>
      <w:proofErr w:type="gramStart"/>
      <w:r w:rsidRPr="008A7981">
        <w:rPr>
          <w:lang w:val="en-AU"/>
        </w:rPr>
        <w:t>1</w:t>
      </w:r>
      <w:proofErr w:type="gramEnd"/>
      <w:r>
        <w:rPr>
          <w:lang w:val="en-AU"/>
        </w:rPr>
        <w:t xml:space="preserve"> </w:t>
      </w:r>
      <w:r w:rsidRPr="008A7981">
        <w:rPr>
          <w:lang w:val="en-AU"/>
        </w:rPr>
        <w:t>(1).</w:t>
      </w:r>
    </w:p>
  </w:endnote>
  <w:endnote w:id="37">
    <w:p w14:paraId="5F6A3462" w14:textId="1ADE1A26" w:rsidR="00610D97" w:rsidRPr="00BF23C1" w:rsidRDefault="00610D97" w:rsidP="00AB08D6">
      <w:pPr>
        <w:pStyle w:val="EndnoteText"/>
        <w:tabs>
          <w:tab w:val="clear" w:pos="1021"/>
          <w:tab w:val="right" w:pos="142"/>
        </w:tabs>
        <w:ind w:left="284" w:right="141"/>
        <w:rPr>
          <w:lang w:val="es-ES"/>
        </w:rPr>
      </w:pPr>
      <w:r>
        <w:tab/>
      </w:r>
      <w:r w:rsidRPr="00845C31">
        <w:rPr>
          <w:rStyle w:val="EndnoteReference"/>
        </w:rPr>
        <w:endnoteRef/>
      </w:r>
      <w:r w:rsidRPr="00845C31">
        <w:rPr>
          <w:rStyle w:val="EndnoteReference"/>
        </w:rPr>
        <w:tab/>
      </w:r>
      <w:r w:rsidRPr="00457D95">
        <w:rPr>
          <w:lang w:val="en-US"/>
        </w:rPr>
        <w:t>See the Committee</w:t>
      </w:r>
      <w:r>
        <w:rPr>
          <w:lang w:val="en-US"/>
        </w:rPr>
        <w:t>’</w:t>
      </w:r>
      <w:r w:rsidRPr="00457D95">
        <w:rPr>
          <w:lang w:val="en-US"/>
        </w:rPr>
        <w:t xml:space="preserve">s general comment No. 6 (1995), para. </w:t>
      </w:r>
      <w:r w:rsidRPr="00BF23C1">
        <w:rPr>
          <w:lang w:val="es-ES"/>
        </w:rPr>
        <w:t>11.</w:t>
      </w:r>
    </w:p>
  </w:endnote>
  <w:endnote w:id="38">
    <w:p w14:paraId="08686F9E" w14:textId="2427FD4F" w:rsidR="00610D97" w:rsidRPr="00457D95" w:rsidRDefault="00610D97" w:rsidP="00AB08D6">
      <w:pPr>
        <w:pStyle w:val="EndnoteText"/>
        <w:tabs>
          <w:tab w:val="clear" w:pos="1021"/>
          <w:tab w:val="right" w:pos="142"/>
        </w:tabs>
        <w:ind w:left="284" w:right="141"/>
        <w:rPr>
          <w:lang w:val="es-ES"/>
        </w:rPr>
      </w:pPr>
      <w:r w:rsidRPr="00BF23C1">
        <w:rPr>
          <w:lang w:val="es-ES"/>
        </w:rPr>
        <w:tab/>
      </w:r>
      <w:r w:rsidRPr="00845C31">
        <w:rPr>
          <w:rStyle w:val="EndnoteReference"/>
        </w:rPr>
        <w:endnoteRef/>
      </w:r>
      <w:r w:rsidRPr="00952E3E">
        <w:rPr>
          <w:rStyle w:val="EndnoteReference"/>
          <w:lang w:val="es-ES"/>
        </w:rPr>
        <w:tab/>
      </w:r>
      <w:hyperlink r:id="rId19" w:history="1">
        <w:r w:rsidRPr="00CC0581">
          <w:rPr>
            <w:rStyle w:val="Hyperlink"/>
            <w:lang w:val="es-ES"/>
          </w:rPr>
          <w:t>A/HRC/48/53</w:t>
        </w:r>
      </w:hyperlink>
      <w:r w:rsidRPr="00BF23C1">
        <w:rPr>
          <w:lang w:val="es-ES"/>
        </w:rPr>
        <w:t xml:space="preserve">, para. </w:t>
      </w:r>
      <w:r w:rsidRPr="00457D95">
        <w:rPr>
          <w:lang w:val="es-ES"/>
        </w:rPr>
        <w:t>38.</w:t>
      </w:r>
    </w:p>
  </w:endnote>
  <w:endnote w:id="39">
    <w:p w14:paraId="298EB5F9" w14:textId="17F99A7D" w:rsidR="00610D97" w:rsidRPr="00BF23C1" w:rsidRDefault="00610D97" w:rsidP="00AB08D6">
      <w:pPr>
        <w:pStyle w:val="EndnoteText"/>
        <w:tabs>
          <w:tab w:val="clear" w:pos="1021"/>
          <w:tab w:val="right" w:pos="142"/>
        </w:tabs>
        <w:ind w:left="284" w:right="141"/>
        <w:rPr>
          <w:lang w:val="en-US"/>
        </w:rPr>
      </w:pPr>
      <w:r w:rsidRPr="00457D95">
        <w:rPr>
          <w:lang w:val="es-ES"/>
        </w:rPr>
        <w:tab/>
      </w:r>
      <w:r w:rsidRPr="00845C31">
        <w:rPr>
          <w:rStyle w:val="EndnoteReference"/>
        </w:rPr>
        <w:endnoteRef/>
      </w:r>
      <w:r w:rsidRPr="00952E3E">
        <w:rPr>
          <w:rStyle w:val="EndnoteReference"/>
          <w:lang w:val="es-ES"/>
        </w:rPr>
        <w:tab/>
      </w:r>
      <w:hyperlink r:id="rId20" w:history="1">
        <w:r w:rsidRPr="00CC0581">
          <w:rPr>
            <w:rStyle w:val="Hyperlink"/>
            <w:lang w:val="es-ES"/>
          </w:rPr>
          <w:t>A/HRC/48/53</w:t>
        </w:r>
      </w:hyperlink>
      <w:r w:rsidRPr="00457D95">
        <w:rPr>
          <w:lang w:val="es-ES"/>
        </w:rPr>
        <w:t xml:space="preserve">, para. </w:t>
      </w:r>
      <w:r w:rsidRPr="00BF23C1">
        <w:rPr>
          <w:lang w:val="en-US"/>
        </w:rPr>
        <w:t>41.</w:t>
      </w:r>
    </w:p>
  </w:endnote>
  <w:endnote w:id="40">
    <w:p w14:paraId="62E7E66D" w14:textId="77777777" w:rsidR="00610D97" w:rsidRPr="00BF23C1" w:rsidRDefault="00610D97" w:rsidP="00AB08D6">
      <w:pPr>
        <w:pStyle w:val="EndnoteText"/>
        <w:tabs>
          <w:tab w:val="clear" w:pos="1021"/>
          <w:tab w:val="right" w:pos="142"/>
        </w:tabs>
        <w:ind w:left="284" w:right="141"/>
      </w:pPr>
      <w:r w:rsidRPr="00BF23C1">
        <w:tab/>
      </w:r>
      <w:r w:rsidRPr="00845C31">
        <w:rPr>
          <w:rStyle w:val="EndnoteReference"/>
        </w:rPr>
        <w:endnoteRef/>
      </w:r>
      <w:r w:rsidRPr="00845C31">
        <w:rPr>
          <w:rStyle w:val="EndnoteReference"/>
        </w:rPr>
        <w:t xml:space="preserve"> </w:t>
      </w:r>
      <w:r w:rsidRPr="00BF23C1">
        <w:tab/>
        <w:t>2012 analytical study, p. 12.</w:t>
      </w:r>
    </w:p>
  </w:endnote>
  <w:endnote w:id="41">
    <w:p w14:paraId="757FBCAF" w14:textId="531135A4" w:rsidR="00610D97" w:rsidRPr="0059255A" w:rsidRDefault="00610D97" w:rsidP="00AB08D6">
      <w:pPr>
        <w:pStyle w:val="EndnoteText"/>
        <w:tabs>
          <w:tab w:val="clear" w:pos="1021"/>
          <w:tab w:val="right" w:pos="142"/>
        </w:tabs>
        <w:ind w:left="284" w:right="141"/>
        <w:rPr>
          <w:lang w:val="en-US"/>
        </w:rPr>
      </w:pPr>
      <w:r w:rsidRPr="00BF23C1">
        <w:rPr>
          <w:lang w:val="en-US"/>
        </w:rPr>
        <w:tab/>
      </w:r>
      <w:r w:rsidRPr="00845C31">
        <w:rPr>
          <w:rStyle w:val="EndnoteReference"/>
        </w:rPr>
        <w:endnoteRef/>
      </w:r>
      <w:r w:rsidRPr="00845C31">
        <w:rPr>
          <w:rStyle w:val="EndnoteReference"/>
        </w:rPr>
        <w:tab/>
      </w:r>
      <w:hyperlink r:id="rId21" w:history="1">
        <w:r w:rsidRPr="00CC0581">
          <w:rPr>
            <w:rStyle w:val="Hyperlink"/>
            <w:lang w:val="en-US"/>
          </w:rPr>
          <w:t>A/HRC/48/53</w:t>
        </w:r>
      </w:hyperlink>
      <w:r w:rsidRPr="00BF23C1">
        <w:rPr>
          <w:lang w:val="en-US"/>
        </w:rPr>
        <w:t>, para. 95.</w:t>
      </w:r>
    </w:p>
  </w:endnote>
  <w:endnote w:id="42">
    <w:p w14:paraId="407684A7" w14:textId="77777777" w:rsidR="00610D97" w:rsidRPr="00C43F74" w:rsidRDefault="00610D97" w:rsidP="00AB08D6">
      <w:pPr>
        <w:pStyle w:val="EndnoteText"/>
        <w:tabs>
          <w:tab w:val="clear" w:pos="1021"/>
          <w:tab w:val="right" w:pos="142"/>
        </w:tabs>
        <w:ind w:left="284" w:right="141"/>
        <w:rPr>
          <w:lang w:val="pl-PL"/>
        </w:rPr>
      </w:pPr>
      <w:r>
        <w:tab/>
      </w:r>
      <w:r w:rsidRPr="00845C31">
        <w:rPr>
          <w:rStyle w:val="EndnoteReference"/>
        </w:rPr>
        <w:endnoteRef/>
      </w:r>
      <w:r w:rsidRPr="00845C31">
        <w:rPr>
          <w:rStyle w:val="EndnoteReference"/>
        </w:rPr>
        <w:tab/>
      </w:r>
      <w:proofErr w:type="gramStart"/>
      <w:r w:rsidRPr="00005F31">
        <w:t>2021</w:t>
      </w:r>
      <w:proofErr w:type="gramEnd"/>
      <w:r w:rsidRPr="00005F31">
        <w:t xml:space="preserve"> updated study, para. </w:t>
      </w:r>
      <w:r w:rsidRPr="00C43F74">
        <w:rPr>
          <w:lang w:val="pl-PL"/>
        </w:rPr>
        <w:t>66.</w:t>
      </w:r>
    </w:p>
  </w:endnote>
  <w:endnote w:id="43">
    <w:p w14:paraId="1DCBD6E8" w14:textId="20791EEB" w:rsidR="00610D97" w:rsidRPr="00C43F74" w:rsidRDefault="00610D97" w:rsidP="00AB08D6">
      <w:pPr>
        <w:pStyle w:val="EndnoteText"/>
        <w:tabs>
          <w:tab w:val="clear" w:pos="1021"/>
          <w:tab w:val="right" w:pos="142"/>
        </w:tabs>
        <w:ind w:left="284" w:right="141"/>
        <w:rPr>
          <w:lang w:val="pl-PL"/>
        </w:rPr>
      </w:pPr>
      <w:r w:rsidRPr="00C43F74">
        <w:rPr>
          <w:lang w:val="pl-PL"/>
        </w:rPr>
        <w:tab/>
      </w:r>
      <w:r w:rsidRPr="00845C31">
        <w:rPr>
          <w:rStyle w:val="EndnoteReference"/>
        </w:rPr>
        <w:endnoteRef/>
      </w:r>
      <w:r w:rsidRPr="00C43F74">
        <w:rPr>
          <w:rStyle w:val="EndnoteReference"/>
          <w:lang w:val="pl-PL"/>
        </w:rPr>
        <w:tab/>
      </w:r>
      <w:hyperlink r:id="rId22" w:history="1">
        <w:r w:rsidRPr="00C43F74">
          <w:rPr>
            <w:rStyle w:val="Hyperlink"/>
            <w:lang w:val="pl-PL"/>
          </w:rPr>
          <w:t>A/74/186</w:t>
        </w:r>
      </w:hyperlink>
      <w:r w:rsidRPr="00C43F74">
        <w:rPr>
          <w:lang w:val="pl-PL"/>
        </w:rPr>
        <w:t xml:space="preserve">, para. 10. </w:t>
      </w:r>
    </w:p>
  </w:endnote>
  <w:endnote w:id="44">
    <w:p w14:paraId="30004CC3" w14:textId="6FBF66D5" w:rsidR="00610D97" w:rsidRPr="00005F31" w:rsidRDefault="00610D97" w:rsidP="00AB08D6">
      <w:pPr>
        <w:pStyle w:val="EndnoteText"/>
        <w:tabs>
          <w:tab w:val="clear" w:pos="1021"/>
          <w:tab w:val="right" w:pos="142"/>
        </w:tabs>
        <w:ind w:left="284" w:right="141"/>
      </w:pPr>
      <w:r w:rsidRPr="00C43F74">
        <w:rPr>
          <w:lang w:val="pl-PL"/>
        </w:rPr>
        <w:tab/>
      </w:r>
      <w:r w:rsidRPr="00845C31">
        <w:rPr>
          <w:rStyle w:val="EndnoteReference"/>
        </w:rPr>
        <w:endnoteRef/>
      </w:r>
      <w:r w:rsidRPr="00C43F74">
        <w:rPr>
          <w:rStyle w:val="EndnoteReference"/>
          <w:lang w:val="pl-PL"/>
        </w:rPr>
        <w:tab/>
      </w:r>
      <w:hyperlink r:id="rId23" w:history="1">
        <w:r w:rsidRPr="00C43F74">
          <w:rPr>
            <w:rStyle w:val="Hyperlink"/>
            <w:lang w:val="pl-PL"/>
          </w:rPr>
          <w:t>A/HRC/27/46</w:t>
        </w:r>
      </w:hyperlink>
      <w:r w:rsidRPr="00C43F74">
        <w:rPr>
          <w:lang w:val="pl-PL"/>
        </w:rPr>
        <w:t xml:space="preserve">, para. </w:t>
      </w:r>
      <w:proofErr w:type="gramStart"/>
      <w:r w:rsidRPr="00005F31">
        <w:t>31</w:t>
      </w:r>
      <w:proofErr w:type="gramEnd"/>
      <w:r w:rsidRPr="00005F31">
        <w:t xml:space="preserve"> (d); and </w:t>
      </w:r>
      <w:hyperlink r:id="rId24" w:history="1">
        <w:r w:rsidRPr="00CC0581">
          <w:rPr>
            <w:rStyle w:val="Hyperlink"/>
          </w:rPr>
          <w:t>A/HRC/39/50</w:t>
        </w:r>
      </w:hyperlink>
      <w:r w:rsidRPr="00005F31">
        <w:t>, para. 88.</w:t>
      </w:r>
    </w:p>
  </w:endnote>
  <w:endnote w:id="45">
    <w:p w14:paraId="168D9D73" w14:textId="77777777" w:rsidR="00610D97" w:rsidRPr="00005F31" w:rsidRDefault="00610D97" w:rsidP="00AB08D6">
      <w:pPr>
        <w:pStyle w:val="EndnoteText"/>
        <w:tabs>
          <w:tab w:val="clear" w:pos="1021"/>
          <w:tab w:val="right" w:pos="142"/>
        </w:tabs>
        <w:ind w:left="284" w:right="141"/>
      </w:pPr>
      <w:r w:rsidRPr="00005F31">
        <w:rPr>
          <w:lang w:val="en-AU"/>
        </w:rPr>
        <w:tab/>
      </w:r>
      <w:r w:rsidRPr="00845C31">
        <w:rPr>
          <w:rStyle w:val="EndnoteReference"/>
        </w:rPr>
        <w:endnoteRef/>
      </w:r>
      <w:r w:rsidRPr="00845C31">
        <w:rPr>
          <w:rStyle w:val="EndnoteReference"/>
        </w:rPr>
        <w:tab/>
      </w:r>
      <w:proofErr w:type="gramStart"/>
      <w:r w:rsidRPr="00005F31">
        <w:t>2021</w:t>
      </w:r>
      <w:proofErr w:type="gramEnd"/>
      <w:r w:rsidRPr="00005F31">
        <w:rPr>
          <w:i/>
          <w:lang w:val="en-AU"/>
        </w:rPr>
        <w:t xml:space="preserve"> </w:t>
      </w:r>
      <w:r w:rsidRPr="00005F31">
        <w:rPr>
          <w:lang w:val="en-AU"/>
        </w:rPr>
        <w:t>updated study, para. 72.</w:t>
      </w:r>
    </w:p>
  </w:endnote>
  <w:endnote w:id="46">
    <w:p w14:paraId="51DDF8A1" w14:textId="254B8FA4" w:rsidR="00610D97" w:rsidRPr="00005F31" w:rsidRDefault="00610D97" w:rsidP="00AB08D6">
      <w:pPr>
        <w:pStyle w:val="EndnoteText"/>
        <w:tabs>
          <w:tab w:val="clear" w:pos="1021"/>
          <w:tab w:val="right" w:pos="142"/>
        </w:tabs>
        <w:ind w:left="284" w:right="141"/>
      </w:pPr>
      <w:r w:rsidRPr="00005F31">
        <w:tab/>
      </w:r>
      <w:r w:rsidRPr="00845C31">
        <w:rPr>
          <w:rStyle w:val="EndnoteReference"/>
        </w:rPr>
        <w:endnoteRef/>
      </w:r>
      <w:r w:rsidRPr="00845C31">
        <w:rPr>
          <w:rStyle w:val="EndnoteReference"/>
        </w:rPr>
        <w:tab/>
      </w:r>
      <w:r w:rsidRPr="00005F31">
        <w:t xml:space="preserve">See paras. </w:t>
      </w:r>
      <w:proofErr w:type="gramStart"/>
      <w:r w:rsidRPr="00005F31">
        <w:t>20</w:t>
      </w:r>
      <w:proofErr w:type="gramEnd"/>
      <w:r w:rsidRPr="00005F31">
        <w:t xml:space="preserve"> and 35–42. The Committee</w:t>
      </w:r>
      <w:r>
        <w:t>’</w:t>
      </w:r>
      <w:r w:rsidRPr="00457D95">
        <w:t>s</w:t>
      </w:r>
      <w:r w:rsidRPr="00005F31">
        <w:t xml:space="preserve"> </w:t>
      </w:r>
      <w:r w:rsidRPr="00457D95">
        <w:t>general comment No. 13</w:t>
      </w:r>
      <w:r w:rsidRPr="00005F31">
        <w:t xml:space="preserve"> (1999) on the right to education refers back to the same Committee</w:t>
      </w:r>
      <w:r>
        <w:t>’</w:t>
      </w:r>
      <w:r w:rsidRPr="00005F31">
        <w:t>s g</w:t>
      </w:r>
      <w:r w:rsidRPr="00457D95">
        <w:t xml:space="preserve">eneral comment </w:t>
      </w:r>
      <w:r w:rsidRPr="00005F31">
        <w:t xml:space="preserve">No. </w:t>
      </w:r>
      <w:r w:rsidRPr="00457D95">
        <w:t>6</w:t>
      </w:r>
      <w:r w:rsidRPr="00005F31">
        <w:t xml:space="preserve"> (1995), and, furthermore, contains, in para. </w:t>
      </w:r>
      <w:proofErr w:type="gramStart"/>
      <w:r w:rsidRPr="00005F31">
        <w:t>24</w:t>
      </w:r>
      <w:proofErr w:type="gramEnd"/>
      <w:r w:rsidRPr="00005F31">
        <w:t>, a further brief substantive reference to older persons.</w:t>
      </w:r>
    </w:p>
  </w:endnote>
  <w:endnote w:id="47">
    <w:p w14:paraId="4B9806A3" w14:textId="47D3F0F9" w:rsidR="00610D97" w:rsidRPr="008A7981" w:rsidRDefault="00610D97" w:rsidP="00AB08D6">
      <w:pPr>
        <w:pStyle w:val="EndnoteText"/>
        <w:tabs>
          <w:tab w:val="clear" w:pos="1021"/>
          <w:tab w:val="right" w:pos="142"/>
        </w:tabs>
        <w:ind w:left="284" w:right="141"/>
      </w:pPr>
      <w:r w:rsidRPr="00005F31">
        <w:tab/>
      </w:r>
      <w:r w:rsidRPr="00845C31">
        <w:rPr>
          <w:rStyle w:val="EndnoteReference"/>
        </w:rPr>
        <w:endnoteRef/>
      </w:r>
      <w:r w:rsidRPr="00845C31">
        <w:rPr>
          <w:rStyle w:val="EndnoteReference"/>
        </w:rPr>
        <w:tab/>
      </w:r>
      <w:r w:rsidRPr="00005F31">
        <w:rPr>
          <w:lang w:val="en-AU"/>
        </w:rPr>
        <w:t xml:space="preserve">A.E. </w:t>
      </w:r>
      <w:r w:rsidRPr="00005F31">
        <w:t>Georgantzi</w:t>
      </w:r>
      <w:r w:rsidRPr="00005F31">
        <w:rPr>
          <w:lang w:val="en-AU"/>
        </w:rPr>
        <w:t xml:space="preserve">, </w:t>
      </w:r>
      <w:r>
        <w:rPr>
          <w:lang w:val="en-AU"/>
        </w:rPr>
        <w:t>“</w:t>
      </w:r>
      <w:r w:rsidRPr="00005F31">
        <w:rPr>
          <w:lang w:val="en-AU"/>
        </w:rPr>
        <w:t>Developing a new framework for human rights in older age: exploration, interpretation and application</w:t>
      </w:r>
      <w:r>
        <w:rPr>
          <w:lang w:val="en-AU"/>
        </w:rPr>
        <w:t>”</w:t>
      </w:r>
      <w:r w:rsidRPr="00005F31">
        <w:rPr>
          <w:lang w:val="en-AU"/>
        </w:rPr>
        <w:t>, PhD dissertation, National University of Ireland Galway, April 2020,</w:t>
      </w:r>
      <w:r w:rsidRPr="00005F31">
        <w:t xml:space="preserve"> pp. 206–208.</w:t>
      </w:r>
    </w:p>
  </w:endnote>
  <w:endnote w:id="48">
    <w:p w14:paraId="2243865D" w14:textId="3B2E845B" w:rsidR="00610D97" w:rsidRPr="008A7981" w:rsidRDefault="00610D97" w:rsidP="00AB08D6">
      <w:pPr>
        <w:pStyle w:val="EndnoteText"/>
        <w:tabs>
          <w:tab w:val="clear" w:pos="1021"/>
          <w:tab w:val="right" w:pos="142"/>
        </w:tabs>
        <w:ind w:left="284" w:right="141"/>
      </w:pPr>
      <w:r>
        <w:tab/>
      </w:r>
      <w:r w:rsidRPr="00845C31">
        <w:rPr>
          <w:rStyle w:val="EndnoteReference"/>
        </w:rPr>
        <w:endnoteRef/>
      </w:r>
      <w:r w:rsidRPr="00845C31">
        <w:rPr>
          <w:rStyle w:val="EndnoteReference"/>
        </w:rPr>
        <w:tab/>
      </w:r>
      <w:proofErr w:type="gramStart"/>
      <w:r w:rsidRPr="008A7981">
        <w:t xml:space="preserve">The </w:t>
      </w:r>
      <w:r w:rsidRPr="00CC1F4A">
        <w:t xml:space="preserve">2021 </w:t>
      </w:r>
      <w:r>
        <w:t>u</w:t>
      </w:r>
      <w:r w:rsidRPr="00D34891">
        <w:t>pdated</w:t>
      </w:r>
      <w:r w:rsidRPr="008A7981">
        <w:rPr>
          <w:i/>
        </w:rPr>
        <w:t xml:space="preserve"> </w:t>
      </w:r>
      <w:r>
        <w:t>s</w:t>
      </w:r>
      <w:r w:rsidRPr="00CC1F4A">
        <w:t>tudy</w:t>
      </w:r>
      <w:r w:rsidRPr="008A7981">
        <w:t xml:space="preserve"> noted that </w:t>
      </w:r>
      <w:r w:rsidRPr="008A7981">
        <w:rPr>
          <w:lang w:val="en-US"/>
        </w:rPr>
        <w:t xml:space="preserve">a search of the </w:t>
      </w:r>
      <w:r w:rsidRPr="009E1E5C">
        <w:rPr>
          <w:lang w:val="en-US"/>
        </w:rPr>
        <w:t>Universal Human Rights Index</w:t>
      </w:r>
      <w:r w:rsidRPr="008A7981">
        <w:rPr>
          <w:lang w:val="en-US"/>
        </w:rPr>
        <w:t xml:space="preserve"> database for </w:t>
      </w:r>
      <w:r w:rsidRPr="004B4FF0">
        <w:rPr>
          <w:lang w:val="en-US"/>
        </w:rPr>
        <w:t>Committee on Economic, Social and Cultural Rights</w:t>
      </w:r>
      <w:r w:rsidRPr="008A7981">
        <w:rPr>
          <w:lang w:val="en-US"/>
        </w:rPr>
        <w:t xml:space="preserve"> concluding observations over the </w:t>
      </w:r>
      <w:r>
        <w:rPr>
          <w:lang w:val="en-US"/>
        </w:rPr>
        <w:t>p</w:t>
      </w:r>
      <w:r w:rsidRPr="008A7981">
        <w:rPr>
          <w:lang w:val="en-US"/>
        </w:rPr>
        <w:t xml:space="preserve">ast 20 years relating to </w:t>
      </w:r>
      <w:r>
        <w:rPr>
          <w:lang w:val="en-US"/>
        </w:rPr>
        <w:t>“</w:t>
      </w:r>
      <w:r w:rsidRPr="008A7981">
        <w:rPr>
          <w:lang w:val="en-US"/>
        </w:rPr>
        <w:t>older persons</w:t>
      </w:r>
      <w:r>
        <w:rPr>
          <w:lang w:val="en-US"/>
        </w:rPr>
        <w:t>”</w:t>
      </w:r>
      <w:r w:rsidRPr="008A7981">
        <w:rPr>
          <w:lang w:val="en-US"/>
        </w:rPr>
        <w:t xml:space="preserve"> returned about 85 separate results, though a number of the references to issues such as social security may apply substantively to older persons even if they are not mentioned explicitly</w:t>
      </w:r>
      <w:r>
        <w:rPr>
          <w:lang w:val="en-US"/>
        </w:rPr>
        <w:t xml:space="preserve"> (see</w:t>
      </w:r>
      <w:r w:rsidRPr="008A7981">
        <w:rPr>
          <w:lang w:val="en-US"/>
        </w:rPr>
        <w:t xml:space="preserve"> </w:t>
      </w:r>
      <w:r>
        <w:rPr>
          <w:lang w:val="en-US"/>
        </w:rPr>
        <w:t>p</w:t>
      </w:r>
      <w:r w:rsidRPr="008A7981">
        <w:rPr>
          <w:lang w:val="en-US"/>
        </w:rPr>
        <w:t>ara</w:t>
      </w:r>
      <w:r>
        <w:rPr>
          <w:lang w:val="en-US"/>
        </w:rPr>
        <w:t>.</w:t>
      </w:r>
      <w:r w:rsidRPr="008A7981">
        <w:rPr>
          <w:lang w:val="en-US"/>
        </w:rPr>
        <w:t xml:space="preserve"> 75</w:t>
      </w:r>
      <w:r>
        <w:rPr>
          <w:lang w:val="en-US"/>
        </w:rPr>
        <w:t>)</w:t>
      </w:r>
      <w:r w:rsidRPr="008A7981">
        <w:rPr>
          <w:lang w:val="en-US"/>
        </w:rPr>
        <w:t>.</w:t>
      </w:r>
      <w:proofErr w:type="gramEnd"/>
    </w:p>
  </w:endnote>
  <w:endnote w:id="49">
    <w:p w14:paraId="13866DE3" w14:textId="77777777" w:rsidR="00610D97" w:rsidRPr="008A7981" w:rsidRDefault="00610D97" w:rsidP="00AB08D6">
      <w:pPr>
        <w:pStyle w:val="EndnoteText"/>
        <w:tabs>
          <w:tab w:val="clear" w:pos="1021"/>
          <w:tab w:val="right" w:pos="142"/>
        </w:tabs>
        <w:ind w:left="284" w:right="141"/>
      </w:pPr>
      <w:r>
        <w:tab/>
      </w:r>
      <w:r w:rsidRPr="00845C31">
        <w:rPr>
          <w:rStyle w:val="EndnoteReference"/>
        </w:rPr>
        <w:endnoteRef/>
      </w:r>
      <w:r w:rsidRPr="00845C31">
        <w:rPr>
          <w:rStyle w:val="EndnoteReference"/>
        </w:rPr>
        <w:tab/>
      </w:r>
      <w:proofErr w:type="gramStart"/>
      <w:r w:rsidRPr="004E6270">
        <w:t>2021</w:t>
      </w:r>
      <w:proofErr w:type="gramEnd"/>
      <w:r w:rsidRPr="008A7981">
        <w:t xml:space="preserve"> </w:t>
      </w:r>
      <w:r>
        <w:t>u</w:t>
      </w:r>
      <w:r w:rsidRPr="008A7981">
        <w:t xml:space="preserve">pdated </w:t>
      </w:r>
      <w:r>
        <w:t>s</w:t>
      </w:r>
      <w:r w:rsidRPr="008A7981">
        <w:t>tudy</w:t>
      </w:r>
      <w:r>
        <w:t>,</w:t>
      </w:r>
      <w:r w:rsidRPr="008A7981">
        <w:t xml:space="preserve"> </w:t>
      </w:r>
      <w:r>
        <w:t>p</w:t>
      </w:r>
      <w:r w:rsidRPr="008A7981">
        <w:t>aras</w:t>
      </w:r>
      <w:r>
        <w:t>.</w:t>
      </w:r>
      <w:r w:rsidRPr="008A7981">
        <w:t xml:space="preserve"> 133</w:t>
      </w:r>
      <w:r>
        <w:t>–</w:t>
      </w:r>
      <w:r w:rsidRPr="008A7981">
        <w:t>136.</w:t>
      </w:r>
    </w:p>
  </w:endnote>
  <w:endnote w:id="50">
    <w:p w14:paraId="2732579C" w14:textId="77777777" w:rsidR="00610D97" w:rsidRPr="008A7981" w:rsidRDefault="00610D97" w:rsidP="00AB08D6">
      <w:pPr>
        <w:pStyle w:val="EndnoteText"/>
        <w:tabs>
          <w:tab w:val="clear" w:pos="1021"/>
          <w:tab w:val="right" w:pos="142"/>
        </w:tabs>
        <w:ind w:left="284" w:right="141"/>
      </w:pPr>
      <w:r>
        <w:tab/>
      </w:r>
      <w:r w:rsidRPr="00845C31">
        <w:rPr>
          <w:rStyle w:val="EndnoteReference"/>
        </w:rPr>
        <w:endnoteRef/>
      </w:r>
      <w:r w:rsidRPr="00845C31">
        <w:rPr>
          <w:rStyle w:val="EndnoteReference"/>
        </w:rPr>
        <w:t xml:space="preserve"> </w:t>
      </w:r>
      <w:r>
        <w:tab/>
      </w:r>
      <w:proofErr w:type="gramStart"/>
      <w:r>
        <w:t>Ibid.</w:t>
      </w:r>
      <w:r w:rsidRPr="008A7981">
        <w:t>,</w:t>
      </w:r>
      <w:proofErr w:type="gramEnd"/>
      <w:r w:rsidRPr="008A7981">
        <w:t xml:space="preserve"> para</w:t>
      </w:r>
      <w:r>
        <w:t>.</w:t>
      </w:r>
      <w:r w:rsidRPr="008A7981">
        <w:t xml:space="preserve"> 144.</w:t>
      </w:r>
    </w:p>
  </w:endnote>
  <w:endnote w:id="51">
    <w:p w14:paraId="5157D3B6" w14:textId="77777777" w:rsidR="00610D97" w:rsidRPr="00600188" w:rsidRDefault="00610D97" w:rsidP="00AB08D6">
      <w:pPr>
        <w:pStyle w:val="EndnoteText"/>
        <w:tabs>
          <w:tab w:val="clear" w:pos="1021"/>
          <w:tab w:val="right" w:pos="142"/>
        </w:tabs>
        <w:ind w:left="284" w:right="141"/>
        <w:rPr>
          <w:lang w:val="en-US"/>
        </w:rPr>
      </w:pPr>
      <w:r>
        <w:tab/>
      </w:r>
      <w:r w:rsidRPr="00845C31">
        <w:rPr>
          <w:rStyle w:val="EndnoteReference"/>
        </w:rPr>
        <w:endnoteRef/>
      </w:r>
      <w:r w:rsidRPr="00845C31">
        <w:rPr>
          <w:rStyle w:val="EndnoteReference"/>
        </w:rPr>
        <w:t xml:space="preserve"> </w:t>
      </w:r>
      <w:r>
        <w:tab/>
        <w:t xml:space="preserve">General recommendation No. </w:t>
      </w:r>
      <w:r w:rsidRPr="00600188">
        <w:t>29</w:t>
      </w:r>
      <w:r>
        <w:t xml:space="preserve"> (2013)</w:t>
      </w:r>
      <w:r w:rsidRPr="00600188">
        <w:t>.</w:t>
      </w:r>
    </w:p>
  </w:endnote>
  <w:endnote w:id="52">
    <w:p w14:paraId="3161D75E" w14:textId="77777777" w:rsidR="00610D97" w:rsidRPr="00457D95" w:rsidRDefault="00610D97" w:rsidP="00AB08D6">
      <w:pPr>
        <w:pStyle w:val="EndnoteText"/>
        <w:tabs>
          <w:tab w:val="clear" w:pos="1021"/>
          <w:tab w:val="right" w:pos="142"/>
        </w:tabs>
        <w:ind w:left="284" w:right="141"/>
        <w:rPr>
          <w:lang w:val="es-ES"/>
        </w:rPr>
      </w:pPr>
      <w:r>
        <w:tab/>
      </w:r>
      <w:r w:rsidRPr="00845C31">
        <w:rPr>
          <w:rStyle w:val="EndnoteReference"/>
        </w:rPr>
        <w:endnoteRef/>
      </w:r>
      <w:r w:rsidRPr="00845C31">
        <w:rPr>
          <w:rStyle w:val="EndnoteReference"/>
        </w:rPr>
        <w:t xml:space="preserve"> </w:t>
      </w:r>
      <w:r>
        <w:tab/>
      </w:r>
      <w:proofErr w:type="gramStart"/>
      <w:r w:rsidRPr="008A7981">
        <w:t>2021</w:t>
      </w:r>
      <w:proofErr w:type="gramEnd"/>
      <w:r w:rsidRPr="008A7981">
        <w:t xml:space="preserve"> </w:t>
      </w:r>
      <w:r>
        <w:t>u</w:t>
      </w:r>
      <w:r w:rsidRPr="004E6270">
        <w:t>pdated</w:t>
      </w:r>
      <w:r w:rsidRPr="008A7981">
        <w:t xml:space="preserve"> </w:t>
      </w:r>
      <w:r>
        <w:t>s</w:t>
      </w:r>
      <w:r w:rsidRPr="008A7981">
        <w:t xml:space="preserve">tudy, paras. </w:t>
      </w:r>
      <w:r w:rsidRPr="00457D95">
        <w:rPr>
          <w:lang w:val="es-ES"/>
        </w:rPr>
        <w:t>85–86.</w:t>
      </w:r>
    </w:p>
  </w:endnote>
  <w:endnote w:id="53">
    <w:p w14:paraId="118FFA5B" w14:textId="77777777" w:rsidR="00610D97" w:rsidRPr="00457D95" w:rsidRDefault="00610D97" w:rsidP="00AB08D6">
      <w:pPr>
        <w:pStyle w:val="EndnoteText"/>
        <w:tabs>
          <w:tab w:val="clear" w:pos="1021"/>
          <w:tab w:val="right" w:pos="142"/>
        </w:tabs>
        <w:ind w:left="284" w:right="141"/>
        <w:rPr>
          <w:lang w:val="es-ES"/>
        </w:rPr>
      </w:pPr>
      <w:r w:rsidRPr="00457D95">
        <w:rPr>
          <w:lang w:val="es-ES"/>
        </w:rPr>
        <w:tab/>
      </w:r>
      <w:r w:rsidRPr="00845C31">
        <w:rPr>
          <w:rStyle w:val="EndnoteReference"/>
        </w:rPr>
        <w:endnoteRef/>
      </w:r>
      <w:r w:rsidRPr="00952E3E">
        <w:rPr>
          <w:rStyle w:val="EndnoteReference"/>
          <w:lang w:val="es-ES"/>
        </w:rPr>
        <w:t xml:space="preserve"> </w:t>
      </w:r>
      <w:r w:rsidRPr="00457D95">
        <w:rPr>
          <w:lang w:val="es-ES"/>
        </w:rPr>
        <w:tab/>
        <w:t>Ibid., paras. 78–83.</w:t>
      </w:r>
    </w:p>
  </w:endnote>
  <w:endnote w:id="54">
    <w:p w14:paraId="5B843A4A" w14:textId="77777777" w:rsidR="00610D97" w:rsidRPr="00457D95" w:rsidRDefault="00610D97" w:rsidP="00AB08D6">
      <w:pPr>
        <w:pStyle w:val="EndnoteText"/>
        <w:tabs>
          <w:tab w:val="clear" w:pos="1021"/>
          <w:tab w:val="right" w:pos="142"/>
        </w:tabs>
        <w:ind w:left="284" w:right="141"/>
        <w:rPr>
          <w:lang w:val="es-ES"/>
        </w:rPr>
      </w:pPr>
      <w:r w:rsidRPr="00457D95">
        <w:rPr>
          <w:lang w:val="es-ES"/>
        </w:rPr>
        <w:tab/>
      </w:r>
      <w:r w:rsidRPr="00845C31">
        <w:rPr>
          <w:rStyle w:val="EndnoteReference"/>
        </w:rPr>
        <w:endnoteRef/>
      </w:r>
      <w:r w:rsidRPr="00952E3E">
        <w:rPr>
          <w:rStyle w:val="EndnoteReference"/>
          <w:lang w:val="es-ES"/>
        </w:rPr>
        <w:tab/>
      </w:r>
      <w:r w:rsidRPr="00457D95">
        <w:rPr>
          <w:lang w:val="es-ES"/>
        </w:rPr>
        <w:t>Ibid., para. 82.</w:t>
      </w:r>
    </w:p>
  </w:endnote>
  <w:endnote w:id="55">
    <w:p w14:paraId="7ABD22CA" w14:textId="77777777" w:rsidR="00610D97" w:rsidRPr="003960BE" w:rsidRDefault="00610D97" w:rsidP="00AB08D6">
      <w:pPr>
        <w:pStyle w:val="EndnoteText"/>
        <w:tabs>
          <w:tab w:val="clear" w:pos="1021"/>
          <w:tab w:val="right" w:pos="142"/>
        </w:tabs>
        <w:ind w:left="284" w:right="141"/>
        <w:rPr>
          <w:lang w:val="en-US"/>
        </w:rPr>
      </w:pPr>
      <w:r w:rsidRPr="00457D95">
        <w:rPr>
          <w:lang w:val="es-ES"/>
        </w:rPr>
        <w:tab/>
      </w:r>
      <w:r w:rsidRPr="00845C31">
        <w:rPr>
          <w:rStyle w:val="EndnoteReference"/>
        </w:rPr>
        <w:endnoteRef/>
      </w:r>
      <w:r w:rsidRPr="00952E3E">
        <w:rPr>
          <w:rStyle w:val="EndnoteReference"/>
          <w:lang w:val="es-ES"/>
        </w:rPr>
        <w:tab/>
      </w:r>
      <w:r w:rsidRPr="00457D95">
        <w:rPr>
          <w:lang w:val="es-ES"/>
        </w:rPr>
        <w:t xml:space="preserve">Ibid., para. </w:t>
      </w:r>
      <w:r w:rsidRPr="003960BE">
        <w:rPr>
          <w:lang w:val="en-US"/>
        </w:rPr>
        <w:t>83.</w:t>
      </w:r>
    </w:p>
  </w:endnote>
  <w:endnote w:id="56">
    <w:p w14:paraId="60E436E5" w14:textId="77777777" w:rsidR="00610D97" w:rsidRPr="008A7981" w:rsidRDefault="00610D97" w:rsidP="00AB08D6">
      <w:pPr>
        <w:pStyle w:val="EndnoteText"/>
        <w:tabs>
          <w:tab w:val="clear" w:pos="1021"/>
          <w:tab w:val="right" w:pos="142"/>
        </w:tabs>
        <w:ind w:left="284" w:right="141"/>
        <w:rPr>
          <w:lang w:val="en-AU"/>
        </w:rPr>
      </w:pPr>
      <w:r w:rsidRPr="003960BE">
        <w:rPr>
          <w:lang w:val="en-US"/>
        </w:rPr>
        <w:tab/>
      </w:r>
      <w:r w:rsidRPr="00845C31">
        <w:rPr>
          <w:rStyle w:val="EndnoteReference"/>
        </w:rPr>
        <w:endnoteRef/>
      </w:r>
      <w:r w:rsidRPr="00845C31">
        <w:rPr>
          <w:rStyle w:val="EndnoteReference"/>
        </w:rPr>
        <w:tab/>
      </w:r>
      <w:proofErr w:type="gramStart"/>
      <w:r>
        <w:t>Ibid.</w:t>
      </w:r>
      <w:r w:rsidRPr="008A7981">
        <w:t>,</w:t>
      </w:r>
      <w:proofErr w:type="gramEnd"/>
      <w:r w:rsidRPr="008A7981">
        <w:t xml:space="preserve"> para. 84.</w:t>
      </w:r>
    </w:p>
  </w:endnote>
  <w:endnote w:id="57">
    <w:p w14:paraId="391699F9" w14:textId="77777777" w:rsidR="00610D97" w:rsidRPr="008A7981" w:rsidRDefault="00610D97" w:rsidP="00AB08D6">
      <w:pPr>
        <w:pStyle w:val="EndnoteText"/>
        <w:tabs>
          <w:tab w:val="clear" w:pos="1021"/>
          <w:tab w:val="right" w:pos="142"/>
        </w:tabs>
        <w:ind w:left="284" w:right="141"/>
      </w:pPr>
      <w:r>
        <w:tab/>
      </w:r>
      <w:r w:rsidRPr="00845C31">
        <w:rPr>
          <w:rStyle w:val="EndnoteReference"/>
        </w:rPr>
        <w:endnoteRef/>
      </w:r>
      <w:r w:rsidRPr="00845C31">
        <w:rPr>
          <w:rStyle w:val="EndnoteReference"/>
        </w:rPr>
        <w:tab/>
      </w:r>
      <w:proofErr w:type="gramStart"/>
      <w:r>
        <w:t>Ibid.</w:t>
      </w:r>
      <w:r w:rsidRPr="008A7981">
        <w:t>,</w:t>
      </w:r>
      <w:proofErr w:type="gramEnd"/>
      <w:r w:rsidRPr="008A7981">
        <w:t xml:space="preserve"> para. 87.</w:t>
      </w:r>
    </w:p>
  </w:endnote>
  <w:endnote w:id="58">
    <w:p w14:paraId="5415A7BD" w14:textId="32DDEA77" w:rsidR="00610D97" w:rsidRPr="008A7981" w:rsidRDefault="00610D97" w:rsidP="00AB08D6">
      <w:pPr>
        <w:pStyle w:val="EndnoteText"/>
        <w:tabs>
          <w:tab w:val="clear" w:pos="1021"/>
          <w:tab w:val="right" w:pos="142"/>
        </w:tabs>
        <w:ind w:left="284" w:right="141"/>
      </w:pPr>
      <w:r>
        <w:tab/>
      </w:r>
      <w:r w:rsidRPr="00845C31">
        <w:rPr>
          <w:rStyle w:val="EndnoteReference"/>
        </w:rPr>
        <w:endnoteRef/>
      </w:r>
      <w:r w:rsidRPr="00845C31">
        <w:rPr>
          <w:rStyle w:val="EndnoteReference"/>
        </w:rPr>
        <w:tab/>
      </w:r>
      <w:r w:rsidRPr="008A7981">
        <w:t xml:space="preserve">See, </w:t>
      </w:r>
      <w:r w:rsidRPr="00FF239A">
        <w:t>for</w:t>
      </w:r>
      <w:r w:rsidRPr="008A7981">
        <w:t xml:space="preserve"> example, </w:t>
      </w:r>
      <w:hyperlink r:id="rId25" w:history="1">
        <w:r w:rsidRPr="00CC0581">
          <w:rPr>
            <w:rStyle w:val="Hyperlink"/>
          </w:rPr>
          <w:t>A/74/186</w:t>
        </w:r>
      </w:hyperlink>
      <w:r w:rsidRPr="008A7981">
        <w:t xml:space="preserve">, </w:t>
      </w:r>
      <w:hyperlink r:id="rId26" w:history="1">
        <w:r w:rsidRPr="00CC0581">
          <w:rPr>
            <w:rStyle w:val="Hyperlink"/>
          </w:rPr>
          <w:t>A/HRC/14/31</w:t>
        </w:r>
      </w:hyperlink>
      <w:r w:rsidRPr="008A7981">
        <w:t xml:space="preserve"> and </w:t>
      </w:r>
      <w:hyperlink r:id="rId27" w:history="1">
        <w:r w:rsidRPr="00CC0581">
          <w:rPr>
            <w:rStyle w:val="Hyperlink"/>
          </w:rPr>
          <w:t>A/HRC/18/37</w:t>
        </w:r>
      </w:hyperlink>
      <w:r w:rsidRPr="008A7981">
        <w:t>.</w:t>
      </w:r>
    </w:p>
  </w:endnote>
  <w:endnote w:id="59">
    <w:p w14:paraId="5DD0DC71" w14:textId="77777777" w:rsidR="00610D97" w:rsidRPr="008A7981" w:rsidRDefault="00610D97" w:rsidP="00AB08D6">
      <w:pPr>
        <w:pStyle w:val="EndnoteText"/>
        <w:tabs>
          <w:tab w:val="clear" w:pos="1021"/>
          <w:tab w:val="right" w:pos="142"/>
        </w:tabs>
        <w:ind w:left="284" w:right="141"/>
        <w:rPr>
          <w:lang w:val="en-AU"/>
        </w:rPr>
      </w:pPr>
      <w:r>
        <w:rPr>
          <w:lang w:val="en-AU"/>
        </w:rPr>
        <w:tab/>
      </w:r>
      <w:r w:rsidRPr="00845C31">
        <w:rPr>
          <w:rStyle w:val="EndnoteReference"/>
        </w:rPr>
        <w:endnoteRef/>
      </w:r>
      <w:r w:rsidRPr="00845C31">
        <w:rPr>
          <w:rStyle w:val="EndnoteReference"/>
        </w:rPr>
        <w:t xml:space="preserve"> </w:t>
      </w:r>
      <w:r>
        <w:rPr>
          <w:lang w:val="en-AU"/>
        </w:rPr>
        <w:tab/>
      </w:r>
      <w:proofErr w:type="gramStart"/>
      <w:r w:rsidRPr="00CC1F4A">
        <w:rPr>
          <w:lang w:val="en-AU"/>
        </w:rPr>
        <w:t>2021</w:t>
      </w:r>
      <w:proofErr w:type="gramEnd"/>
      <w:r w:rsidRPr="00CC1F4A">
        <w:rPr>
          <w:lang w:val="en-AU"/>
        </w:rPr>
        <w:t xml:space="preserve"> </w:t>
      </w:r>
      <w:r>
        <w:rPr>
          <w:lang w:val="en-AU"/>
        </w:rPr>
        <w:t>u</w:t>
      </w:r>
      <w:r w:rsidRPr="00CC1F4A">
        <w:rPr>
          <w:lang w:val="en-AU"/>
        </w:rPr>
        <w:t xml:space="preserve">pdated </w:t>
      </w:r>
      <w:r>
        <w:rPr>
          <w:lang w:val="en-AU"/>
        </w:rPr>
        <w:t>s</w:t>
      </w:r>
      <w:r w:rsidRPr="00CC1F4A">
        <w:rPr>
          <w:lang w:val="en-AU"/>
        </w:rPr>
        <w:t>tudy</w:t>
      </w:r>
      <w:r w:rsidRPr="00892DA9">
        <w:rPr>
          <w:lang w:val="en-AU"/>
        </w:rPr>
        <w:t>,</w:t>
      </w:r>
      <w:r w:rsidRPr="008A7981">
        <w:rPr>
          <w:lang w:val="en-AU"/>
        </w:rPr>
        <w:t xml:space="preserve"> paras. 90</w:t>
      </w:r>
      <w:r>
        <w:rPr>
          <w:lang w:val="en-AU"/>
        </w:rPr>
        <w:t>–</w:t>
      </w:r>
      <w:r w:rsidRPr="008A7981">
        <w:rPr>
          <w:lang w:val="en-AU"/>
        </w:rPr>
        <w:t xml:space="preserve">99 and 177. </w:t>
      </w:r>
    </w:p>
  </w:endnote>
  <w:endnote w:id="60">
    <w:p w14:paraId="30A5D2A3" w14:textId="77777777" w:rsidR="00610D97" w:rsidRPr="008A7981" w:rsidRDefault="00610D97" w:rsidP="00AB08D6">
      <w:pPr>
        <w:pStyle w:val="EndnoteText"/>
        <w:tabs>
          <w:tab w:val="clear" w:pos="1021"/>
          <w:tab w:val="right" w:pos="142"/>
        </w:tabs>
        <w:ind w:left="284" w:right="141"/>
      </w:pPr>
      <w:r>
        <w:tab/>
      </w:r>
      <w:r w:rsidRPr="00845C31">
        <w:rPr>
          <w:rStyle w:val="EndnoteReference"/>
        </w:rPr>
        <w:endnoteRef/>
      </w:r>
      <w:r w:rsidRPr="00845C31">
        <w:rPr>
          <w:rStyle w:val="EndnoteReference"/>
        </w:rPr>
        <w:t xml:space="preserve"> </w:t>
      </w:r>
      <w:r w:rsidRPr="00E24703">
        <w:rPr>
          <w:rStyle w:val="EndnoteReference"/>
        </w:rPr>
        <w:tab/>
      </w:r>
      <w:proofErr w:type="gramStart"/>
      <w:r>
        <w:t>Ibid.</w:t>
      </w:r>
      <w:r w:rsidRPr="00892DA9">
        <w:t>,</w:t>
      </w:r>
      <w:proofErr w:type="gramEnd"/>
      <w:r w:rsidRPr="008A7981">
        <w:t xml:space="preserve"> para. 177.</w:t>
      </w:r>
    </w:p>
  </w:endnote>
  <w:endnote w:id="61">
    <w:p w14:paraId="648E8D28" w14:textId="77777777" w:rsidR="00610D97" w:rsidRPr="00600188" w:rsidRDefault="00610D97" w:rsidP="00AB08D6">
      <w:pPr>
        <w:pStyle w:val="EndnoteText"/>
        <w:tabs>
          <w:tab w:val="clear" w:pos="1021"/>
          <w:tab w:val="right" w:pos="142"/>
        </w:tabs>
        <w:ind w:left="284" w:right="141"/>
      </w:pPr>
      <w:r>
        <w:tab/>
      </w:r>
      <w:r w:rsidRPr="00845C31">
        <w:rPr>
          <w:rStyle w:val="EndnoteReference"/>
        </w:rPr>
        <w:endnoteRef/>
      </w:r>
      <w:r w:rsidRPr="00845C31">
        <w:rPr>
          <w:rStyle w:val="EndnoteReference"/>
        </w:rPr>
        <w:t xml:space="preserve"> </w:t>
      </w:r>
      <w:r>
        <w:tab/>
      </w:r>
      <w:proofErr w:type="gramStart"/>
      <w:r>
        <w:t>Ibid.</w:t>
      </w:r>
      <w:r w:rsidRPr="00892DA9">
        <w:t>,</w:t>
      </w:r>
      <w:proofErr w:type="gramEnd"/>
      <w:r w:rsidRPr="008A7981">
        <w:t xml:space="preserve"> </w:t>
      </w:r>
      <w:r w:rsidRPr="00FF239A">
        <w:t>para</w:t>
      </w:r>
      <w:r>
        <w:t>.</w:t>
      </w:r>
      <w:r w:rsidRPr="008A7981">
        <w:t xml:space="preserve"> 90.</w:t>
      </w:r>
    </w:p>
  </w:endnote>
  <w:endnote w:id="62">
    <w:p w14:paraId="4BCA1E7B" w14:textId="77777777" w:rsidR="00610D97" w:rsidRPr="008A7981" w:rsidRDefault="00610D97" w:rsidP="00AB08D6">
      <w:pPr>
        <w:pStyle w:val="EndnoteText"/>
        <w:tabs>
          <w:tab w:val="clear" w:pos="1021"/>
          <w:tab w:val="right" w:pos="142"/>
        </w:tabs>
        <w:ind w:left="284" w:right="141"/>
      </w:pPr>
      <w:r>
        <w:tab/>
      </w:r>
      <w:r w:rsidRPr="00845C31">
        <w:rPr>
          <w:rStyle w:val="EndnoteReference"/>
        </w:rPr>
        <w:endnoteRef/>
      </w:r>
      <w:r w:rsidRPr="00845C31">
        <w:rPr>
          <w:rStyle w:val="EndnoteReference"/>
        </w:rPr>
        <w:t xml:space="preserve"> </w:t>
      </w:r>
      <w:r>
        <w:tab/>
      </w:r>
      <w:proofErr w:type="gramStart"/>
      <w:r>
        <w:t>Ibid.</w:t>
      </w:r>
      <w:r w:rsidRPr="00892DA9">
        <w:t>,</w:t>
      </w:r>
      <w:proofErr w:type="gramEnd"/>
      <w:r w:rsidRPr="008A7981">
        <w:t xml:space="preserve"> </w:t>
      </w:r>
      <w:r w:rsidRPr="00FF239A">
        <w:t>paras</w:t>
      </w:r>
      <w:r w:rsidRPr="008A7981">
        <w:t>. 100</w:t>
      </w:r>
      <w:r>
        <w:t>–</w:t>
      </w:r>
      <w:r w:rsidRPr="008A7981">
        <w:t>182.</w:t>
      </w:r>
    </w:p>
  </w:endnote>
  <w:endnote w:id="63">
    <w:p w14:paraId="2400448E" w14:textId="77777777" w:rsidR="00610D97" w:rsidRPr="008A7981" w:rsidRDefault="00610D97" w:rsidP="00AB08D6">
      <w:pPr>
        <w:pStyle w:val="EndnoteText"/>
        <w:tabs>
          <w:tab w:val="clear" w:pos="1021"/>
          <w:tab w:val="right" w:pos="142"/>
        </w:tabs>
        <w:ind w:left="284" w:right="141"/>
        <w:rPr>
          <w:lang w:val="en-AU"/>
        </w:rPr>
      </w:pPr>
      <w:r>
        <w:tab/>
      </w:r>
      <w:r w:rsidRPr="00845C31">
        <w:rPr>
          <w:rStyle w:val="EndnoteReference"/>
        </w:rPr>
        <w:endnoteRef/>
      </w:r>
      <w:r w:rsidRPr="00845C31">
        <w:rPr>
          <w:rStyle w:val="EndnoteReference"/>
        </w:rPr>
        <w:t xml:space="preserve"> </w:t>
      </w:r>
      <w:r>
        <w:tab/>
      </w:r>
      <w:r w:rsidRPr="008A7981">
        <w:t xml:space="preserve">United </w:t>
      </w:r>
      <w:r w:rsidRPr="00FF239A">
        <w:t>Nations</w:t>
      </w:r>
      <w:r w:rsidRPr="008A7981">
        <w:t xml:space="preserve">, </w:t>
      </w:r>
      <w:r w:rsidRPr="00457D95">
        <w:rPr>
          <w:i/>
        </w:rPr>
        <w:t>World Population Ageing 2019: Highlights</w:t>
      </w:r>
      <w:r w:rsidRPr="008A7981">
        <w:t>, p. 13.</w:t>
      </w:r>
    </w:p>
  </w:endnote>
  <w:endnote w:id="64">
    <w:p w14:paraId="3952B655" w14:textId="77777777" w:rsidR="00610D97" w:rsidRPr="008A7981" w:rsidRDefault="00610D97" w:rsidP="00AB08D6">
      <w:pPr>
        <w:pStyle w:val="EndnoteText"/>
        <w:tabs>
          <w:tab w:val="clear" w:pos="1021"/>
          <w:tab w:val="right" w:pos="142"/>
        </w:tabs>
        <w:ind w:left="284" w:right="141"/>
        <w:rPr>
          <w:lang w:val="en-AU"/>
        </w:rPr>
      </w:pPr>
      <w:r>
        <w:tab/>
      </w:r>
      <w:r w:rsidRPr="00845C31">
        <w:rPr>
          <w:rStyle w:val="EndnoteReference"/>
        </w:rPr>
        <w:endnoteRef/>
      </w:r>
      <w:r w:rsidRPr="00845C31">
        <w:rPr>
          <w:rStyle w:val="EndnoteReference"/>
        </w:rPr>
        <w:t xml:space="preserve"> </w:t>
      </w:r>
      <w:r>
        <w:tab/>
      </w:r>
      <w:proofErr w:type="gramStart"/>
      <w:r w:rsidRPr="00FB65D7">
        <w:rPr>
          <w:lang w:val="en-AU"/>
        </w:rPr>
        <w:t>2021</w:t>
      </w:r>
      <w:proofErr w:type="gramEnd"/>
      <w:r w:rsidRPr="00FB65D7">
        <w:rPr>
          <w:lang w:val="en-AU"/>
        </w:rPr>
        <w:t xml:space="preserve"> </w:t>
      </w:r>
      <w:r>
        <w:rPr>
          <w:lang w:val="en-AU"/>
        </w:rPr>
        <w:t>u</w:t>
      </w:r>
      <w:r w:rsidRPr="00FB65D7">
        <w:rPr>
          <w:lang w:val="en-AU"/>
        </w:rPr>
        <w:t xml:space="preserve">pdated </w:t>
      </w:r>
      <w:r>
        <w:rPr>
          <w:lang w:val="en-AU"/>
        </w:rPr>
        <w:t>s</w:t>
      </w:r>
      <w:r w:rsidRPr="00FB65D7">
        <w:rPr>
          <w:lang w:val="en-AU"/>
        </w:rPr>
        <w:t>tudy</w:t>
      </w:r>
      <w:r w:rsidRPr="00892DA9">
        <w:t>,</w:t>
      </w:r>
      <w:r w:rsidRPr="008A7981">
        <w:t xml:space="preserve"> paras</w:t>
      </w:r>
      <w:r>
        <w:t>.</w:t>
      </w:r>
      <w:r w:rsidRPr="008A7981">
        <w:t xml:space="preserve"> </w:t>
      </w:r>
      <w:r w:rsidRPr="00FF239A">
        <w:t>162</w:t>
      </w:r>
      <w:r>
        <w:t>–</w:t>
      </w:r>
      <w:r w:rsidRPr="008A7981">
        <w:t>182.</w:t>
      </w:r>
    </w:p>
  </w:endnote>
  <w:endnote w:id="65">
    <w:p w14:paraId="35299DF1" w14:textId="707CB0A4" w:rsidR="00610D97" w:rsidRPr="002367B9" w:rsidRDefault="00610D97" w:rsidP="00AB08D6">
      <w:pPr>
        <w:pStyle w:val="EndnoteText"/>
        <w:tabs>
          <w:tab w:val="clear" w:pos="1021"/>
          <w:tab w:val="right" w:pos="142"/>
        </w:tabs>
        <w:ind w:left="284" w:right="141"/>
        <w:rPr>
          <w:lang w:val="en-AU"/>
        </w:rPr>
      </w:pPr>
      <w:r>
        <w:tab/>
      </w:r>
      <w:r w:rsidRPr="00845C31">
        <w:rPr>
          <w:rStyle w:val="EndnoteReference"/>
        </w:rPr>
        <w:endnoteRef/>
      </w:r>
      <w:r w:rsidRPr="00845C31">
        <w:rPr>
          <w:rStyle w:val="EndnoteReference"/>
        </w:rPr>
        <w:t xml:space="preserve"> </w:t>
      </w:r>
      <w:r w:rsidRPr="002367B9">
        <w:tab/>
      </w:r>
      <w:bookmarkStart w:id="13" w:name="_Hlk60647989"/>
      <w:r w:rsidRPr="00457D95">
        <w:t xml:space="preserve">Substantive </w:t>
      </w:r>
      <w:r>
        <w:t>i</w:t>
      </w:r>
      <w:r w:rsidRPr="00457D95">
        <w:t xml:space="preserve">nputs on the </w:t>
      </w:r>
      <w:r>
        <w:t>f</w:t>
      </w:r>
      <w:r w:rsidRPr="00457D95">
        <w:t xml:space="preserve">ocus </w:t>
      </w:r>
      <w:r>
        <w:t>a</w:t>
      </w:r>
      <w:r w:rsidRPr="00457D95">
        <w:t xml:space="preserve">rea </w:t>
      </w:r>
      <w:r>
        <w:t>“</w:t>
      </w:r>
      <w:r w:rsidRPr="00457D95">
        <w:t>Education, training, lifelong learning and capacity-building</w:t>
      </w:r>
      <w:r>
        <w:t>”</w:t>
      </w:r>
      <w:r w:rsidRPr="00457D95">
        <w:t xml:space="preserve">, </w:t>
      </w:r>
      <w:r>
        <w:t>w</w:t>
      </w:r>
      <w:r w:rsidRPr="00457D95">
        <w:t>orking document submitted by the Department of Economic and Social Affairs</w:t>
      </w:r>
      <w:r w:rsidRPr="002367B9">
        <w:t xml:space="preserve">, </w:t>
      </w:r>
      <w:r>
        <w:t xml:space="preserve">available at </w:t>
      </w:r>
      <w:hyperlink r:id="rId28" w:history="1">
        <w:r w:rsidRPr="00BA06D6">
          <w:rPr>
            <w:rStyle w:val="Hyperlink"/>
            <w:szCs w:val="18"/>
          </w:rPr>
          <w:t>https://social.un.org/ageing-working-group/documents/tenth/A_AC.278_2019_CRP.2.pdf</w:t>
        </w:r>
      </w:hyperlink>
      <w:r>
        <w:t xml:space="preserve"> (</w:t>
      </w:r>
      <w:hyperlink r:id="rId29" w:history="1">
        <w:r w:rsidRPr="00CC0581">
          <w:rPr>
            <w:rStyle w:val="Hyperlink"/>
          </w:rPr>
          <w:t>A/AC.278/2019/CRP.2</w:t>
        </w:r>
      </w:hyperlink>
      <w:r>
        <w:t xml:space="preserve">), </w:t>
      </w:r>
      <w:r w:rsidRPr="002367B9">
        <w:t>para. 38.</w:t>
      </w:r>
      <w:bookmarkEnd w:id="13"/>
    </w:p>
  </w:endnote>
  <w:endnote w:id="66">
    <w:p w14:paraId="189CEFD5" w14:textId="77777777" w:rsidR="00610D97" w:rsidRPr="00CC1F4A" w:rsidRDefault="00610D97" w:rsidP="00AB08D6">
      <w:pPr>
        <w:pStyle w:val="EndnoteText"/>
        <w:tabs>
          <w:tab w:val="clear" w:pos="1021"/>
          <w:tab w:val="right" w:pos="142"/>
        </w:tabs>
        <w:ind w:left="284" w:right="141"/>
        <w:rPr>
          <w:lang w:val="en-US"/>
        </w:rPr>
      </w:pPr>
      <w:r>
        <w:tab/>
      </w:r>
      <w:r w:rsidRPr="00845C31">
        <w:rPr>
          <w:rStyle w:val="EndnoteReference"/>
        </w:rPr>
        <w:endnoteRef/>
      </w:r>
      <w:r w:rsidRPr="00845C31">
        <w:rPr>
          <w:rStyle w:val="EndnoteReference"/>
        </w:rPr>
        <w:tab/>
      </w:r>
      <w:r>
        <w:t xml:space="preserve">Lynda Gratton and Andrew Scott, </w:t>
      </w:r>
      <w:proofErr w:type="gramStart"/>
      <w:r w:rsidRPr="00457D95">
        <w:rPr>
          <w:i/>
        </w:rPr>
        <w:t>The</w:t>
      </w:r>
      <w:proofErr w:type="gramEnd"/>
      <w:r w:rsidRPr="00457D95">
        <w:rPr>
          <w:i/>
        </w:rPr>
        <w:t xml:space="preserve"> 100-Year Life: Living and Working in an Age of Longevity</w:t>
      </w:r>
      <w:r>
        <w:t xml:space="preserve"> (Bloomsbury, 2016).</w:t>
      </w:r>
    </w:p>
  </w:endnote>
  <w:endnote w:id="67">
    <w:p w14:paraId="57A98A94" w14:textId="77777777" w:rsidR="00610D97" w:rsidRPr="00457D95" w:rsidRDefault="00610D97" w:rsidP="00AB08D6">
      <w:pPr>
        <w:pStyle w:val="EndnoteText"/>
        <w:tabs>
          <w:tab w:val="clear" w:pos="1021"/>
          <w:tab w:val="right" w:pos="142"/>
        </w:tabs>
        <w:ind w:left="284" w:right="141"/>
        <w:rPr>
          <w:lang w:val="en-US"/>
        </w:rPr>
      </w:pPr>
      <w:r w:rsidRPr="00CC1F4A">
        <w:rPr>
          <w:lang w:val="en-AU"/>
        </w:rPr>
        <w:tab/>
      </w:r>
      <w:r w:rsidRPr="00845C31">
        <w:rPr>
          <w:rStyle w:val="EndnoteReference"/>
        </w:rPr>
        <w:endnoteRef/>
      </w:r>
      <w:r w:rsidRPr="00845C31">
        <w:rPr>
          <w:rStyle w:val="EndnoteReference"/>
        </w:rPr>
        <w:tab/>
      </w:r>
      <w:r w:rsidRPr="00457D95">
        <w:rPr>
          <w:lang w:val="en-US"/>
        </w:rPr>
        <w:t>General comment No. 6 (1995), paras. 35–42</w:t>
      </w:r>
      <w:proofErr w:type="gramStart"/>
      <w:r w:rsidRPr="00457D95">
        <w:rPr>
          <w:lang w:val="en-US"/>
        </w:rPr>
        <w:t>;</w:t>
      </w:r>
      <w:proofErr w:type="gramEnd"/>
      <w:r w:rsidRPr="00457D95">
        <w:rPr>
          <w:lang w:val="en-US"/>
        </w:rPr>
        <w:t xml:space="preserve"> and general comment No. 13 (1999), para. 24.</w:t>
      </w:r>
    </w:p>
  </w:endnote>
  <w:endnote w:id="68">
    <w:p w14:paraId="1E36458E" w14:textId="77777777" w:rsidR="00610D97" w:rsidRPr="008A7981" w:rsidRDefault="00610D97" w:rsidP="00AB08D6">
      <w:pPr>
        <w:pStyle w:val="EndnoteText"/>
        <w:tabs>
          <w:tab w:val="clear" w:pos="1021"/>
          <w:tab w:val="right" w:pos="142"/>
        </w:tabs>
        <w:ind w:left="284" w:right="141"/>
        <w:rPr>
          <w:lang w:val="pt-BR"/>
        </w:rPr>
      </w:pPr>
      <w:r>
        <w:rPr>
          <w:lang w:val="pt-BR"/>
        </w:rPr>
        <w:tab/>
      </w:r>
      <w:r w:rsidRPr="00845C31">
        <w:rPr>
          <w:rStyle w:val="EndnoteReference"/>
        </w:rPr>
        <w:endnoteRef/>
      </w:r>
      <w:r w:rsidRPr="00845C31">
        <w:rPr>
          <w:rStyle w:val="EndnoteReference"/>
        </w:rPr>
        <w:t xml:space="preserve"> </w:t>
      </w:r>
      <w:r>
        <w:rPr>
          <w:lang w:val="pt-BR"/>
        </w:rPr>
        <w:tab/>
      </w:r>
      <w:r w:rsidRPr="002D2FEC">
        <w:t>General recommendation No. 27 (</w:t>
      </w:r>
      <w:r>
        <w:rPr>
          <w:lang w:val="pt-BR"/>
        </w:rPr>
        <w:t>2010)</w:t>
      </w:r>
      <w:r w:rsidRPr="008A7981">
        <w:rPr>
          <w:lang w:val="pt-BR"/>
        </w:rPr>
        <w:t xml:space="preserve">, para. </w:t>
      </w:r>
      <w:r w:rsidRPr="008A7981">
        <w:rPr>
          <w:lang w:val="pt-BR"/>
        </w:rPr>
        <w:t>19.</w:t>
      </w:r>
    </w:p>
  </w:endnote>
  <w:endnote w:id="69">
    <w:p w14:paraId="231720BE" w14:textId="77777777" w:rsidR="00610D97" w:rsidRPr="008A7981" w:rsidRDefault="00610D97" w:rsidP="00AB08D6">
      <w:pPr>
        <w:pStyle w:val="EndnoteText"/>
        <w:tabs>
          <w:tab w:val="clear" w:pos="1021"/>
          <w:tab w:val="right" w:pos="142"/>
        </w:tabs>
        <w:ind w:left="284" w:right="141"/>
      </w:pPr>
      <w:r>
        <w:tab/>
      </w:r>
      <w:r w:rsidRPr="00845C31">
        <w:rPr>
          <w:rStyle w:val="EndnoteReference"/>
        </w:rPr>
        <w:endnoteRef/>
      </w:r>
      <w:r w:rsidRPr="00845C31">
        <w:rPr>
          <w:rStyle w:val="EndnoteReference"/>
        </w:rPr>
        <w:t xml:space="preserve"> </w:t>
      </w:r>
      <w:r>
        <w:tab/>
      </w:r>
      <w:proofErr w:type="gramStart"/>
      <w:r w:rsidRPr="00CC1F4A">
        <w:t>2021</w:t>
      </w:r>
      <w:proofErr w:type="gramEnd"/>
      <w:r w:rsidRPr="00CC1F4A">
        <w:t xml:space="preserve"> </w:t>
      </w:r>
      <w:r>
        <w:t>u</w:t>
      </w:r>
      <w:r w:rsidRPr="00CC1F4A">
        <w:t xml:space="preserve">pdated </w:t>
      </w:r>
      <w:r>
        <w:t>s</w:t>
      </w:r>
      <w:r w:rsidRPr="00CC1F4A">
        <w:t>tudy</w:t>
      </w:r>
      <w:r w:rsidRPr="008A7981">
        <w:t>, paras. 195</w:t>
      </w:r>
      <w:r>
        <w:t>–</w:t>
      </w:r>
      <w:r w:rsidRPr="008A7981">
        <w:t>196.</w:t>
      </w:r>
    </w:p>
  </w:endnote>
  <w:endnote w:id="70">
    <w:p w14:paraId="494FEFCA" w14:textId="6E84024F" w:rsidR="00610D97" w:rsidRPr="00600188" w:rsidRDefault="00610D97" w:rsidP="00AB08D6">
      <w:pPr>
        <w:pStyle w:val="EndnoteText"/>
        <w:tabs>
          <w:tab w:val="clear" w:pos="1021"/>
          <w:tab w:val="right" w:pos="142"/>
        </w:tabs>
        <w:ind w:left="284" w:right="141"/>
      </w:pPr>
      <w:r>
        <w:tab/>
      </w:r>
      <w:r w:rsidRPr="00845C31">
        <w:rPr>
          <w:rStyle w:val="EndnoteReference"/>
        </w:rPr>
        <w:endnoteRef/>
      </w:r>
      <w:r w:rsidRPr="00845C31">
        <w:rPr>
          <w:rStyle w:val="EndnoteReference"/>
        </w:rPr>
        <w:tab/>
      </w:r>
      <w:r w:rsidRPr="00600188">
        <w:t>See</w:t>
      </w:r>
      <w:r>
        <w:t>,</w:t>
      </w:r>
      <w:r w:rsidRPr="00600188">
        <w:t xml:space="preserve"> for example</w:t>
      </w:r>
      <w:r>
        <w:t>,</w:t>
      </w:r>
      <w:r w:rsidRPr="00600188">
        <w:t xml:space="preserve"> </w:t>
      </w:r>
      <w:hyperlink r:id="rId30" w:history="1">
        <w:r w:rsidRPr="00CC0581">
          <w:rPr>
            <w:rStyle w:val="Hyperlink"/>
          </w:rPr>
          <w:t>A/HRC/30/43/Add.1</w:t>
        </w:r>
      </w:hyperlink>
      <w:r w:rsidRPr="00600188">
        <w:t xml:space="preserve">, para. </w:t>
      </w:r>
      <w:proofErr w:type="gramStart"/>
      <w:r w:rsidRPr="00600188">
        <w:t>77</w:t>
      </w:r>
      <w:proofErr w:type="gramEnd"/>
      <w:r>
        <w:t>;</w:t>
      </w:r>
      <w:r w:rsidRPr="00600188">
        <w:t xml:space="preserve"> </w:t>
      </w:r>
      <w:hyperlink r:id="rId31" w:history="1">
        <w:r w:rsidRPr="00CC0581">
          <w:rPr>
            <w:rStyle w:val="Hyperlink"/>
          </w:rPr>
          <w:t>A/HRC/30/43/Add.3</w:t>
        </w:r>
      </w:hyperlink>
      <w:r w:rsidRPr="00600188">
        <w:t xml:space="preserve">, para. </w:t>
      </w:r>
      <w:proofErr w:type="gramStart"/>
      <w:r w:rsidRPr="00600188">
        <w:t>128</w:t>
      </w:r>
      <w:proofErr w:type="gramEnd"/>
      <w:r>
        <w:t>;</w:t>
      </w:r>
      <w:r w:rsidRPr="00600188">
        <w:t xml:space="preserve"> </w:t>
      </w:r>
      <w:hyperlink r:id="rId32" w:history="1">
        <w:r w:rsidRPr="00CC0581">
          <w:rPr>
            <w:rStyle w:val="Hyperlink"/>
          </w:rPr>
          <w:t>A/HRC/33/44/Add.1</w:t>
        </w:r>
        <w:r w:rsidRPr="001669BA">
          <w:rPr>
            <w:rStyle w:val="Hyperlink"/>
            <w:color w:val="auto"/>
          </w:rPr>
          <w:t>;</w:t>
        </w:r>
      </w:hyperlink>
      <w:r w:rsidRPr="00600188">
        <w:t xml:space="preserve"> and </w:t>
      </w:r>
      <w:hyperlink r:id="rId33" w:history="1">
        <w:r w:rsidRPr="00CC0581">
          <w:rPr>
            <w:rStyle w:val="Hyperlink"/>
          </w:rPr>
          <w:t>A/HRC/39/50/Add.2</w:t>
        </w:r>
      </w:hyperlink>
      <w:r w:rsidRPr="00600188">
        <w:t>, para. 118.</w:t>
      </w:r>
    </w:p>
  </w:endnote>
  <w:endnote w:id="71">
    <w:p w14:paraId="1AAEFF43" w14:textId="77777777" w:rsidR="00610D97" w:rsidRPr="008A7981" w:rsidRDefault="00610D97" w:rsidP="00AB08D6">
      <w:pPr>
        <w:pStyle w:val="EndnoteText"/>
        <w:tabs>
          <w:tab w:val="clear" w:pos="1021"/>
          <w:tab w:val="right" w:pos="142"/>
        </w:tabs>
        <w:ind w:left="284" w:right="141"/>
      </w:pPr>
      <w:r>
        <w:tab/>
      </w:r>
      <w:r w:rsidRPr="00845C31">
        <w:rPr>
          <w:rStyle w:val="EndnoteReference"/>
        </w:rPr>
        <w:endnoteRef/>
      </w:r>
      <w:r w:rsidRPr="00845C31">
        <w:rPr>
          <w:rStyle w:val="EndnoteReference"/>
        </w:rPr>
        <w:t xml:space="preserve"> </w:t>
      </w:r>
      <w:r>
        <w:tab/>
      </w:r>
      <w:proofErr w:type="gramStart"/>
      <w:r w:rsidRPr="00CC1F4A">
        <w:t>2021</w:t>
      </w:r>
      <w:proofErr w:type="gramEnd"/>
      <w:r w:rsidRPr="00CC1F4A">
        <w:t xml:space="preserve"> </w:t>
      </w:r>
      <w:r>
        <w:t>u</w:t>
      </w:r>
      <w:r w:rsidRPr="00CC1F4A">
        <w:t xml:space="preserve">pdated </w:t>
      </w:r>
      <w:r>
        <w:t>s</w:t>
      </w:r>
      <w:r w:rsidRPr="00CC1F4A">
        <w:t>tudy</w:t>
      </w:r>
      <w:r w:rsidRPr="008A7981">
        <w:t>, sect</w:t>
      </w:r>
      <w:r>
        <w:t>.</w:t>
      </w:r>
      <w:r w:rsidRPr="008A7981">
        <w:t xml:space="preserve"> VII.</w:t>
      </w:r>
    </w:p>
  </w:endnote>
  <w:endnote w:id="72">
    <w:p w14:paraId="46836FE0" w14:textId="78F1E514" w:rsidR="00610D97" w:rsidRPr="009A17B6" w:rsidRDefault="00610D97" w:rsidP="00AB08D6">
      <w:pPr>
        <w:pStyle w:val="EndnoteText"/>
        <w:tabs>
          <w:tab w:val="clear" w:pos="1021"/>
          <w:tab w:val="right" w:pos="142"/>
        </w:tabs>
        <w:ind w:left="284" w:right="141"/>
        <w:rPr>
          <w:lang w:val="en-US"/>
        </w:rPr>
      </w:pPr>
      <w:r>
        <w:tab/>
      </w:r>
      <w:r w:rsidRPr="00845C31">
        <w:rPr>
          <w:rStyle w:val="EndnoteReference"/>
        </w:rPr>
        <w:endnoteRef/>
      </w:r>
      <w:r w:rsidRPr="009A17B6">
        <w:rPr>
          <w:rStyle w:val="EndnoteReference"/>
          <w:lang w:val="en-US"/>
        </w:rPr>
        <w:t xml:space="preserve"> </w:t>
      </w:r>
      <w:r w:rsidRPr="009A17B6">
        <w:rPr>
          <w:lang w:val="en-US"/>
        </w:rPr>
        <w:tab/>
      </w:r>
      <w:hyperlink r:id="rId34" w:history="1">
        <w:r w:rsidRPr="009A17B6">
          <w:rPr>
            <w:rStyle w:val="Hyperlink"/>
            <w:lang w:val="en-US"/>
          </w:rPr>
          <w:t>A/75/205</w:t>
        </w:r>
      </w:hyperlink>
      <w:r w:rsidRPr="009A17B6">
        <w:rPr>
          <w:lang w:val="en-US"/>
        </w:rPr>
        <w:t>, paras. 60–66.</w:t>
      </w:r>
    </w:p>
  </w:endnote>
  <w:endnote w:id="73">
    <w:p w14:paraId="3B67C99B" w14:textId="3F42773A" w:rsidR="00610D97" w:rsidRPr="009A17B6" w:rsidRDefault="00610D97" w:rsidP="00AB08D6">
      <w:pPr>
        <w:pStyle w:val="EndnoteText"/>
        <w:tabs>
          <w:tab w:val="clear" w:pos="1021"/>
          <w:tab w:val="right" w:pos="142"/>
        </w:tabs>
        <w:ind w:left="284" w:right="141"/>
        <w:rPr>
          <w:lang w:val="en-US"/>
        </w:rPr>
      </w:pPr>
      <w:r w:rsidRPr="009A17B6">
        <w:rPr>
          <w:lang w:val="en-US"/>
        </w:rPr>
        <w:tab/>
      </w:r>
      <w:r w:rsidRPr="00845C31">
        <w:rPr>
          <w:rStyle w:val="EndnoteReference"/>
        </w:rPr>
        <w:endnoteRef/>
      </w:r>
      <w:r w:rsidRPr="009A17B6">
        <w:rPr>
          <w:rStyle w:val="EndnoteReference"/>
          <w:lang w:val="en-US"/>
        </w:rPr>
        <w:t xml:space="preserve"> </w:t>
      </w:r>
      <w:r w:rsidRPr="009A17B6">
        <w:rPr>
          <w:lang w:val="en-US"/>
        </w:rPr>
        <w:tab/>
        <w:t xml:space="preserve">See </w:t>
      </w:r>
      <w:hyperlink r:id="rId35" w:history="1">
        <w:r w:rsidRPr="009A17B6">
          <w:rPr>
            <w:rStyle w:val="Hyperlink"/>
            <w:lang w:val="en-US"/>
          </w:rPr>
          <w:t>A/HRC/36/48</w:t>
        </w:r>
      </w:hyperlink>
      <w:r w:rsidRPr="009A17B6">
        <w:rPr>
          <w:lang w:val="en-US"/>
        </w:rPr>
        <w:t>.</w:t>
      </w:r>
    </w:p>
  </w:endnote>
  <w:endnote w:id="74">
    <w:p w14:paraId="17AE01FF" w14:textId="1AAFC099" w:rsidR="00610D97" w:rsidRPr="009A17B6" w:rsidRDefault="00610D97" w:rsidP="00AB08D6">
      <w:pPr>
        <w:pStyle w:val="EndnoteText"/>
        <w:tabs>
          <w:tab w:val="clear" w:pos="1021"/>
          <w:tab w:val="right" w:pos="142"/>
        </w:tabs>
        <w:ind w:left="284" w:right="141"/>
        <w:rPr>
          <w:lang w:val="en-US"/>
        </w:rPr>
      </w:pPr>
      <w:r w:rsidRPr="009A17B6">
        <w:rPr>
          <w:lang w:val="en-US"/>
        </w:rPr>
        <w:tab/>
      </w:r>
      <w:r w:rsidRPr="00845C31">
        <w:rPr>
          <w:rStyle w:val="EndnoteReference"/>
        </w:rPr>
        <w:endnoteRef/>
      </w:r>
      <w:r w:rsidRPr="009A17B6">
        <w:rPr>
          <w:rStyle w:val="EndnoteReference"/>
          <w:lang w:val="en-US"/>
        </w:rPr>
        <w:tab/>
      </w:r>
      <w:hyperlink r:id="rId36" w:history="1">
        <w:r w:rsidRPr="009A17B6">
          <w:rPr>
            <w:rStyle w:val="Hyperlink"/>
            <w:lang w:val="en-US"/>
          </w:rPr>
          <w:t>A/75/205</w:t>
        </w:r>
      </w:hyperlink>
      <w:r w:rsidRPr="009A17B6">
        <w:rPr>
          <w:lang w:val="en-US"/>
        </w:rPr>
        <w:t>, paras. 54–56.</w:t>
      </w:r>
    </w:p>
  </w:endnote>
  <w:endnote w:id="75">
    <w:p w14:paraId="098F6071" w14:textId="25E5CB7F" w:rsidR="00610D97" w:rsidRPr="009A17B6" w:rsidRDefault="00610D97" w:rsidP="00AB08D6">
      <w:pPr>
        <w:pStyle w:val="EndnoteText"/>
        <w:tabs>
          <w:tab w:val="clear" w:pos="1021"/>
          <w:tab w:val="right" w:pos="142"/>
        </w:tabs>
        <w:ind w:left="284" w:right="141"/>
        <w:rPr>
          <w:lang w:val="en-US"/>
        </w:rPr>
      </w:pPr>
      <w:r w:rsidRPr="009A17B6">
        <w:rPr>
          <w:lang w:val="en-US"/>
        </w:rPr>
        <w:tab/>
      </w:r>
      <w:r w:rsidRPr="00845C31">
        <w:rPr>
          <w:rStyle w:val="EndnoteReference"/>
        </w:rPr>
        <w:endnoteRef/>
      </w:r>
      <w:r w:rsidRPr="009A17B6">
        <w:rPr>
          <w:rStyle w:val="EndnoteReference"/>
          <w:lang w:val="en-US"/>
        </w:rPr>
        <w:t xml:space="preserve"> </w:t>
      </w:r>
      <w:r w:rsidRPr="009A17B6">
        <w:rPr>
          <w:lang w:val="en-US"/>
        </w:rPr>
        <w:tab/>
        <w:t xml:space="preserve">See </w:t>
      </w:r>
      <w:hyperlink r:id="rId37" w:history="1">
        <w:r w:rsidRPr="009A17B6">
          <w:rPr>
            <w:rStyle w:val="Hyperlink"/>
            <w:lang w:val="en-US"/>
          </w:rPr>
          <w:t>A/HRC/39/50</w:t>
        </w:r>
      </w:hyperlink>
      <w:r w:rsidRPr="009A17B6">
        <w:rPr>
          <w:lang w:val="en-US"/>
        </w:rPr>
        <w:t>.</w:t>
      </w:r>
    </w:p>
  </w:endnote>
  <w:endnote w:id="76">
    <w:p w14:paraId="5C73897E" w14:textId="021F96CE" w:rsidR="00610D97" w:rsidRPr="009A17B6" w:rsidRDefault="00610D97" w:rsidP="00AB08D6">
      <w:pPr>
        <w:pStyle w:val="EndnoteText"/>
        <w:tabs>
          <w:tab w:val="clear" w:pos="1021"/>
          <w:tab w:val="right" w:pos="142"/>
        </w:tabs>
        <w:ind w:left="284" w:right="141"/>
        <w:rPr>
          <w:lang w:val="en-US"/>
        </w:rPr>
      </w:pPr>
      <w:r w:rsidRPr="009A17B6">
        <w:rPr>
          <w:lang w:val="en-US"/>
        </w:rPr>
        <w:tab/>
      </w:r>
      <w:r w:rsidRPr="00845C31">
        <w:rPr>
          <w:rStyle w:val="EndnoteReference"/>
        </w:rPr>
        <w:endnoteRef/>
      </w:r>
      <w:r w:rsidRPr="009A17B6">
        <w:rPr>
          <w:rStyle w:val="EndnoteReference"/>
          <w:lang w:val="en-US"/>
        </w:rPr>
        <w:t xml:space="preserve"> </w:t>
      </w:r>
      <w:r w:rsidRPr="009A17B6">
        <w:rPr>
          <w:lang w:val="en-US"/>
        </w:rPr>
        <w:tab/>
      </w:r>
      <w:hyperlink r:id="rId38" w:history="1">
        <w:r w:rsidRPr="009A17B6">
          <w:rPr>
            <w:rStyle w:val="Hyperlink"/>
            <w:lang w:val="en-US"/>
          </w:rPr>
          <w:t>A/HRC/39/50</w:t>
        </w:r>
      </w:hyperlink>
      <w:r w:rsidRPr="009A17B6">
        <w:rPr>
          <w:lang w:val="en-US"/>
        </w:rPr>
        <w:t xml:space="preserve">, para. </w:t>
      </w:r>
      <w:proofErr w:type="gramStart"/>
      <w:r w:rsidRPr="009A17B6">
        <w:rPr>
          <w:lang w:val="en-US"/>
        </w:rPr>
        <w:t>88</w:t>
      </w:r>
      <w:proofErr w:type="gramEnd"/>
      <w:r w:rsidRPr="009A17B6">
        <w:rPr>
          <w:lang w:val="en-US"/>
        </w:rPr>
        <w:t xml:space="preserve">; and </w:t>
      </w:r>
      <w:hyperlink r:id="rId39" w:history="1">
        <w:r w:rsidRPr="009A17B6">
          <w:rPr>
            <w:rStyle w:val="Hyperlink"/>
            <w:lang w:val="en-US"/>
          </w:rPr>
          <w:t>A/HRC/48/53</w:t>
        </w:r>
      </w:hyperlink>
      <w:r w:rsidRPr="009A17B6">
        <w:rPr>
          <w:lang w:val="en-US"/>
        </w:rPr>
        <w:t>, para. 95.</w:t>
      </w:r>
    </w:p>
  </w:endnote>
  <w:endnote w:id="77">
    <w:p w14:paraId="576E9AB0" w14:textId="23EDA83F" w:rsidR="00610D97" w:rsidRPr="009A17B6" w:rsidRDefault="00610D97" w:rsidP="00AB08D6">
      <w:pPr>
        <w:pStyle w:val="EndnoteText"/>
        <w:tabs>
          <w:tab w:val="clear" w:pos="1021"/>
          <w:tab w:val="right" w:pos="142"/>
        </w:tabs>
        <w:ind w:left="284" w:right="141"/>
        <w:rPr>
          <w:lang w:val="en-US"/>
        </w:rPr>
      </w:pPr>
      <w:r w:rsidRPr="009A17B6">
        <w:rPr>
          <w:lang w:val="en-US"/>
        </w:rPr>
        <w:tab/>
      </w:r>
      <w:r w:rsidRPr="00845C31">
        <w:rPr>
          <w:rStyle w:val="EndnoteReference"/>
        </w:rPr>
        <w:endnoteRef/>
      </w:r>
      <w:r w:rsidRPr="009A17B6">
        <w:rPr>
          <w:rStyle w:val="EndnoteReference"/>
          <w:lang w:val="en-US"/>
        </w:rPr>
        <w:tab/>
      </w:r>
      <w:hyperlink r:id="rId40" w:history="1">
        <w:r w:rsidRPr="009A17B6">
          <w:rPr>
            <w:rStyle w:val="Hyperlink"/>
            <w:lang w:val="en-US"/>
          </w:rPr>
          <w:t>A/75/205</w:t>
        </w:r>
      </w:hyperlink>
      <w:r w:rsidRPr="009A17B6">
        <w:rPr>
          <w:lang w:val="en-US"/>
        </w:rPr>
        <w:t>, para. 78.</w:t>
      </w:r>
    </w:p>
  </w:endnote>
  <w:endnote w:id="78">
    <w:p w14:paraId="49312BB4" w14:textId="0C8CC2D1" w:rsidR="00610D97" w:rsidRPr="003A318D" w:rsidRDefault="00610D97" w:rsidP="00AB08D6">
      <w:pPr>
        <w:pStyle w:val="EndnoteText"/>
        <w:tabs>
          <w:tab w:val="clear" w:pos="1021"/>
          <w:tab w:val="right" w:pos="142"/>
        </w:tabs>
        <w:ind w:left="284" w:right="141"/>
        <w:rPr>
          <w:lang w:val="en-AU"/>
        </w:rPr>
      </w:pPr>
      <w:r w:rsidRPr="009A17B6">
        <w:rPr>
          <w:lang w:val="en-US"/>
        </w:rPr>
        <w:tab/>
      </w:r>
      <w:r w:rsidRPr="00845C31">
        <w:rPr>
          <w:rStyle w:val="EndnoteReference"/>
        </w:rPr>
        <w:endnoteRef/>
      </w:r>
      <w:r w:rsidRPr="009A17B6">
        <w:rPr>
          <w:rStyle w:val="EndnoteReference"/>
          <w:lang w:val="en-US"/>
        </w:rPr>
        <w:tab/>
      </w:r>
      <w:hyperlink r:id="rId41" w:history="1">
        <w:r w:rsidRPr="009A17B6">
          <w:rPr>
            <w:rStyle w:val="Hyperlink"/>
            <w:lang w:val="en-US"/>
          </w:rPr>
          <w:t>A/HRC/39/50</w:t>
        </w:r>
      </w:hyperlink>
      <w:r w:rsidRPr="009A17B6">
        <w:rPr>
          <w:lang w:val="en-US"/>
        </w:rPr>
        <w:t xml:space="preserve">, para. </w:t>
      </w:r>
      <w:r w:rsidRPr="00CD5958">
        <w:t>88.</w:t>
      </w:r>
    </w:p>
  </w:endnote>
  <w:endnote w:id="79">
    <w:p w14:paraId="7E666317" w14:textId="77777777" w:rsidR="00610D97" w:rsidRPr="00CC1F4A" w:rsidRDefault="00610D97" w:rsidP="00AB08D6">
      <w:pPr>
        <w:pStyle w:val="EndnoteText"/>
        <w:tabs>
          <w:tab w:val="clear" w:pos="1021"/>
          <w:tab w:val="right" w:pos="142"/>
        </w:tabs>
        <w:ind w:left="284" w:right="141"/>
        <w:rPr>
          <w:lang w:val="en-AU"/>
        </w:rPr>
      </w:pPr>
      <w:r>
        <w:tab/>
      </w:r>
      <w:r w:rsidRPr="00845C31">
        <w:rPr>
          <w:rStyle w:val="EndnoteReference"/>
        </w:rPr>
        <w:endnoteRef/>
      </w:r>
      <w:r w:rsidRPr="00845C31">
        <w:rPr>
          <w:rStyle w:val="EndnoteReference"/>
        </w:rPr>
        <w:tab/>
      </w:r>
      <w:r>
        <w:rPr>
          <w:lang w:val="en-AU"/>
        </w:rPr>
        <w:t xml:space="preserve">Upendra Baxi, </w:t>
      </w:r>
      <w:proofErr w:type="gramStart"/>
      <w:r w:rsidRPr="00457D95">
        <w:rPr>
          <w:i/>
          <w:lang w:val="en-AU"/>
        </w:rPr>
        <w:t>The</w:t>
      </w:r>
      <w:proofErr w:type="gramEnd"/>
      <w:r w:rsidRPr="00457D95">
        <w:rPr>
          <w:i/>
          <w:lang w:val="en-AU"/>
        </w:rPr>
        <w:t xml:space="preserve"> </w:t>
      </w:r>
      <w:r w:rsidRPr="00457D95">
        <w:rPr>
          <w:i/>
        </w:rPr>
        <w:t>Future</w:t>
      </w:r>
      <w:r w:rsidRPr="00457D95">
        <w:rPr>
          <w:i/>
          <w:lang w:val="en-AU"/>
        </w:rPr>
        <w:t xml:space="preserve"> of Human Rights</w:t>
      </w:r>
      <w:r>
        <w:rPr>
          <w:lang w:val="en-AU"/>
        </w:rPr>
        <w:t xml:space="preserve"> (Oxford, 2008), p. 49.</w:t>
      </w:r>
    </w:p>
  </w:endnote>
  <w:endnote w:id="80">
    <w:p w14:paraId="38F46D3B" w14:textId="527099F0" w:rsidR="00610D97" w:rsidRPr="003960BE" w:rsidRDefault="00610D97" w:rsidP="00AB08D6">
      <w:pPr>
        <w:pStyle w:val="EndnoteText"/>
        <w:tabs>
          <w:tab w:val="clear" w:pos="1021"/>
          <w:tab w:val="right" w:pos="142"/>
        </w:tabs>
        <w:ind w:left="284" w:right="141"/>
        <w:rPr>
          <w:lang w:val="es-ES"/>
        </w:rPr>
      </w:pPr>
      <w:r>
        <w:tab/>
      </w:r>
      <w:r w:rsidRPr="00845C31">
        <w:rPr>
          <w:rStyle w:val="EndnoteReference"/>
        </w:rPr>
        <w:endnoteRef/>
      </w:r>
      <w:r w:rsidRPr="009A17B6">
        <w:rPr>
          <w:rStyle w:val="EndnoteReference"/>
          <w:lang w:val="es-ES"/>
        </w:rPr>
        <w:t xml:space="preserve"> </w:t>
      </w:r>
      <w:r w:rsidRPr="009A17B6">
        <w:rPr>
          <w:lang w:val="es-ES"/>
        </w:rPr>
        <w:tab/>
      </w:r>
      <w:hyperlink r:id="rId42" w:history="1">
        <w:r w:rsidRPr="009A17B6">
          <w:rPr>
            <w:rStyle w:val="Hyperlink"/>
            <w:lang w:val="es-ES"/>
          </w:rPr>
          <w:t>A/HRC/39/50</w:t>
        </w:r>
      </w:hyperlink>
      <w:r w:rsidRPr="009A17B6">
        <w:rPr>
          <w:lang w:val="es-ES"/>
        </w:rPr>
        <w:t xml:space="preserve">, para. </w:t>
      </w:r>
      <w:r w:rsidRPr="003960BE">
        <w:rPr>
          <w:lang w:val="es-ES"/>
        </w:rPr>
        <w:t>35.</w:t>
      </w:r>
    </w:p>
  </w:endnote>
  <w:endnote w:id="81">
    <w:p w14:paraId="140F3E49" w14:textId="7F1968AB" w:rsidR="00610D97" w:rsidRPr="00600188" w:rsidRDefault="00610D97" w:rsidP="00AB08D6">
      <w:pPr>
        <w:pStyle w:val="EndnoteText"/>
        <w:tabs>
          <w:tab w:val="clear" w:pos="1021"/>
          <w:tab w:val="right" w:pos="142"/>
        </w:tabs>
        <w:ind w:left="284" w:right="141"/>
      </w:pPr>
      <w:r w:rsidRPr="003960BE">
        <w:rPr>
          <w:lang w:val="es-ES"/>
        </w:rPr>
        <w:tab/>
      </w:r>
      <w:r w:rsidRPr="00845C31">
        <w:rPr>
          <w:rStyle w:val="EndnoteReference"/>
        </w:rPr>
        <w:endnoteRef/>
      </w:r>
      <w:r w:rsidRPr="009A17B6">
        <w:rPr>
          <w:rStyle w:val="EndnoteReference"/>
          <w:lang w:val="es-ES"/>
        </w:rPr>
        <w:t xml:space="preserve"> </w:t>
      </w:r>
      <w:r w:rsidRPr="003960BE">
        <w:rPr>
          <w:lang w:val="es-ES"/>
        </w:rPr>
        <w:tab/>
      </w:r>
      <w:hyperlink r:id="rId43" w:history="1">
        <w:r w:rsidRPr="00CC0581">
          <w:rPr>
            <w:rStyle w:val="Hyperlink"/>
            <w:lang w:val="es-ES"/>
          </w:rPr>
          <w:t>A/HRC/48/53</w:t>
        </w:r>
      </w:hyperlink>
      <w:r w:rsidRPr="003960BE">
        <w:rPr>
          <w:lang w:val="es-ES"/>
        </w:rPr>
        <w:t xml:space="preserve">, paras. </w:t>
      </w:r>
      <w:r w:rsidRPr="008A7981">
        <w:t>93</w:t>
      </w:r>
      <w:r>
        <w:t>–</w:t>
      </w:r>
      <w:r w:rsidRPr="008A7981">
        <w:t>94.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Yu Gothic"/>
    <w:charset w:val="80"/>
    <w:family w:val="swiss"/>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CED23" w14:textId="6A61C736" w:rsidR="00610D97" w:rsidRDefault="00610D97" w:rsidP="003960BE">
    <w:pPr>
      <w:pStyle w:val="Footer"/>
      <w:tabs>
        <w:tab w:val="right" w:pos="9638"/>
      </w:tabs>
    </w:pPr>
    <w:r w:rsidRPr="003960BE">
      <w:rPr>
        <w:b/>
        <w:bCs/>
        <w:sz w:val="18"/>
      </w:rPr>
      <w:fldChar w:fldCharType="begin"/>
    </w:r>
    <w:r w:rsidRPr="003960BE">
      <w:rPr>
        <w:b/>
        <w:bCs/>
        <w:sz w:val="18"/>
      </w:rPr>
      <w:instrText xml:space="preserve"> PAGE  \* MERGEFORMAT </w:instrText>
    </w:r>
    <w:r w:rsidRPr="003960BE">
      <w:rPr>
        <w:b/>
        <w:bCs/>
        <w:sz w:val="18"/>
      </w:rPr>
      <w:fldChar w:fldCharType="separate"/>
    </w:r>
    <w:r w:rsidR="00BB5EA4">
      <w:rPr>
        <w:b/>
        <w:bCs/>
        <w:noProof/>
        <w:sz w:val="18"/>
      </w:rPr>
      <w:t>12</w:t>
    </w:r>
    <w:r w:rsidRPr="003960BE">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CA6FA" w14:textId="4220ED46" w:rsidR="00610D97" w:rsidRDefault="00610D97" w:rsidP="003960BE">
    <w:pPr>
      <w:pStyle w:val="Footer"/>
      <w:tabs>
        <w:tab w:val="right" w:pos="9638"/>
      </w:tabs>
    </w:pPr>
    <w:r>
      <w:tab/>
    </w:r>
    <w:r w:rsidRPr="003960BE">
      <w:rPr>
        <w:b/>
        <w:bCs/>
        <w:sz w:val="18"/>
      </w:rPr>
      <w:fldChar w:fldCharType="begin"/>
    </w:r>
    <w:r w:rsidRPr="003960BE">
      <w:rPr>
        <w:b/>
        <w:bCs/>
        <w:sz w:val="18"/>
      </w:rPr>
      <w:instrText xml:space="preserve"> PAGE  \* MERGEFORMAT </w:instrText>
    </w:r>
    <w:r w:rsidRPr="003960BE">
      <w:rPr>
        <w:b/>
        <w:bCs/>
        <w:sz w:val="18"/>
      </w:rPr>
      <w:fldChar w:fldCharType="separate"/>
    </w:r>
    <w:r w:rsidR="00BB5EA4">
      <w:rPr>
        <w:b/>
        <w:bCs/>
        <w:noProof/>
        <w:sz w:val="18"/>
      </w:rPr>
      <w:t>13</w:t>
    </w:r>
    <w:r w:rsidRPr="003960BE">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AA9E4" w14:textId="58B13976" w:rsidR="00610D97" w:rsidRDefault="00610D97" w:rsidP="0046371D">
    <w:pPr>
      <w:pStyle w:val="Footer"/>
    </w:pPr>
    <w:r w:rsidRPr="0027112F">
      <w:rPr>
        <w:noProof/>
        <w:lang w:eastAsia="en-GB"/>
      </w:rPr>
      <w:drawing>
        <wp:anchor distT="0" distB="0" distL="114300" distR="114300" simplePos="0" relativeHeight="251659264" behindDoc="0" locked="1" layoutInCell="1" allowOverlap="1" wp14:anchorId="374D33F7" wp14:editId="27CF59B5">
          <wp:simplePos x="0" y="0"/>
          <wp:positionH relativeFrom="column">
            <wp:posOffset>4558030</wp:posOffset>
          </wp:positionH>
          <wp:positionV relativeFrom="page">
            <wp:posOffset>10128250</wp:posOffset>
          </wp:positionV>
          <wp:extent cx="932400" cy="230400"/>
          <wp:effectExtent l="0" t="0" r="1270" b="0"/>
          <wp:wrapNone/>
          <wp:docPr id="12" name="Picture 12"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6F0B6" w14:textId="77777777" w:rsidR="00610D97" w:rsidRPr="00C47B2E" w:rsidRDefault="00610D97" w:rsidP="00C47B2E">
      <w:pPr>
        <w:tabs>
          <w:tab w:val="right" w:pos="2155"/>
        </w:tabs>
        <w:spacing w:after="80"/>
        <w:ind w:left="680"/>
      </w:pPr>
      <w:r>
        <w:rPr>
          <w:u w:val="single"/>
        </w:rPr>
        <w:tab/>
      </w:r>
    </w:p>
  </w:footnote>
  <w:footnote w:type="continuationSeparator" w:id="0">
    <w:p w14:paraId="42A0EACF" w14:textId="77777777" w:rsidR="00610D97" w:rsidRPr="00C47B2E" w:rsidRDefault="00610D97" w:rsidP="005E716E">
      <w:pPr>
        <w:tabs>
          <w:tab w:val="right" w:pos="2155"/>
        </w:tabs>
        <w:spacing w:after="80"/>
        <w:ind w:left="680"/>
      </w:pPr>
      <w:r>
        <w:rPr>
          <w:u w:val="single"/>
        </w:rPr>
        <w:tab/>
      </w:r>
    </w:p>
  </w:footnote>
  <w:footnote w:type="continuationNotice" w:id="1">
    <w:p w14:paraId="2DA58BAA" w14:textId="77777777" w:rsidR="00610D97" w:rsidRPr="00C47B2E" w:rsidRDefault="00610D97" w:rsidP="00C47B2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74FAB" w14:textId="77777777" w:rsidR="00610D97" w:rsidRDefault="00610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39C4374"/>
    <w:lvl w:ilvl="0" w:tplc="3036D676">
      <w:start w:val="1"/>
      <w:numFmt w:val="decimal"/>
      <w:pStyle w:val="ParaNoG"/>
      <w:lvlText w:val="%1."/>
      <w:lvlJc w:val="left"/>
      <w:pPr>
        <w:tabs>
          <w:tab w:val="num" w:pos="0"/>
        </w:tabs>
        <w:ind w:left="1134" w:firstLine="0"/>
      </w:pPr>
      <w:rPr>
        <w:rFonts w:ascii="Times New Roman" w:hAnsi="Times New Roman"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40EA3"/>
    <w:multiLevelType w:val="hybridMultilevel"/>
    <w:tmpl w:val="75CEC67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FA620F"/>
    <w:multiLevelType w:val="hybridMultilevel"/>
    <w:tmpl w:val="65CEF8E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237000E"/>
    <w:multiLevelType w:val="hybridMultilevel"/>
    <w:tmpl w:val="B4D27B8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70F424E"/>
    <w:multiLevelType w:val="hybridMultilevel"/>
    <w:tmpl w:val="CEB0E0D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D487BAC"/>
    <w:multiLevelType w:val="hybridMultilevel"/>
    <w:tmpl w:val="9C6C77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30E3B"/>
    <w:multiLevelType w:val="hybridMultilevel"/>
    <w:tmpl w:val="2C4E3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D35D3"/>
    <w:multiLevelType w:val="hybridMultilevel"/>
    <w:tmpl w:val="20769BE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24B86F86"/>
    <w:multiLevelType w:val="hybridMultilevel"/>
    <w:tmpl w:val="53FC7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53F47"/>
    <w:multiLevelType w:val="hybridMultilevel"/>
    <w:tmpl w:val="6D3627D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E2B60BD"/>
    <w:multiLevelType w:val="hybridMultilevel"/>
    <w:tmpl w:val="E22074D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30AF64B9"/>
    <w:multiLevelType w:val="hybridMultilevel"/>
    <w:tmpl w:val="B08696C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0D7FFE"/>
    <w:multiLevelType w:val="hybridMultilevel"/>
    <w:tmpl w:val="FF9C9A2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3C1C4937"/>
    <w:multiLevelType w:val="hybridMultilevel"/>
    <w:tmpl w:val="EC947B6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401245CB"/>
    <w:multiLevelType w:val="hybridMultilevel"/>
    <w:tmpl w:val="91003D5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93F319E"/>
    <w:multiLevelType w:val="hybridMultilevel"/>
    <w:tmpl w:val="7B725A5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4DAA4370"/>
    <w:multiLevelType w:val="hybridMultilevel"/>
    <w:tmpl w:val="BC94023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E5145EA"/>
    <w:multiLevelType w:val="hybridMultilevel"/>
    <w:tmpl w:val="C59A2EE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50F21993"/>
    <w:multiLevelType w:val="hybridMultilevel"/>
    <w:tmpl w:val="C9E4E5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547400E"/>
    <w:multiLevelType w:val="hybridMultilevel"/>
    <w:tmpl w:val="1ACE93E0"/>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57FB75EB"/>
    <w:multiLevelType w:val="hybridMultilevel"/>
    <w:tmpl w:val="3F1C8C7A"/>
    <w:lvl w:ilvl="0" w:tplc="AE3A6F4E">
      <w:start w:val="1"/>
      <w:numFmt w:val="bullet"/>
      <w:lvlText w:val=""/>
      <w:lvlJc w:val="left"/>
      <w:pPr>
        <w:ind w:left="1778" w:hanging="360"/>
      </w:pPr>
      <w:rPr>
        <w:rFonts w:ascii="Symbol" w:hAnsi="Symbol" w:hint="default"/>
        <w:sz w:val="18"/>
        <w:szCs w:val="18"/>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5EA07D90"/>
    <w:multiLevelType w:val="hybridMultilevel"/>
    <w:tmpl w:val="7F623CB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E048FA"/>
    <w:multiLevelType w:val="hybridMultilevel"/>
    <w:tmpl w:val="D13696A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6576196E"/>
    <w:multiLevelType w:val="hybridMultilevel"/>
    <w:tmpl w:val="AE2A2E5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69EE1D1A"/>
    <w:multiLevelType w:val="hybridMultilevel"/>
    <w:tmpl w:val="7736C318"/>
    <w:lvl w:ilvl="0" w:tplc="FAC8825E">
      <w:start w:val="1"/>
      <w:numFmt w:val="bullet"/>
      <w:lvlText w:val=""/>
      <w:lvlJc w:val="left"/>
      <w:pPr>
        <w:ind w:left="1854" w:hanging="360"/>
      </w:pPr>
      <w:rPr>
        <w:rFonts w:ascii="Symbol" w:hAnsi="Symbol" w:hint="default"/>
        <w:sz w:val="20"/>
        <w:szCs w:val="20"/>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6DE64F9E"/>
    <w:multiLevelType w:val="hybridMultilevel"/>
    <w:tmpl w:val="398C18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71A3375E"/>
    <w:multiLevelType w:val="hybridMultilevel"/>
    <w:tmpl w:val="89BC577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BE967E5"/>
    <w:multiLevelType w:val="hybridMultilevel"/>
    <w:tmpl w:val="378EAB3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7DF023A3"/>
    <w:multiLevelType w:val="hybridMultilevel"/>
    <w:tmpl w:val="BE461E0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7FE001CB"/>
    <w:multiLevelType w:val="hybridMultilevel"/>
    <w:tmpl w:val="D3D8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0"/>
  </w:num>
  <w:num w:numId="4">
    <w:abstractNumId w:val="24"/>
  </w:num>
  <w:num w:numId="5">
    <w:abstractNumId w:val="30"/>
  </w:num>
  <w:num w:numId="6">
    <w:abstractNumId w:val="1"/>
  </w:num>
  <w:num w:numId="7">
    <w:abstractNumId w:val="28"/>
  </w:num>
  <w:num w:numId="8">
    <w:abstractNumId w:val="5"/>
  </w:num>
  <w:num w:numId="9">
    <w:abstractNumId w:val="8"/>
  </w:num>
  <w:num w:numId="10">
    <w:abstractNumId w:val="14"/>
  </w:num>
  <w:num w:numId="11">
    <w:abstractNumId w:val="20"/>
  </w:num>
  <w:num w:numId="12">
    <w:abstractNumId w:val="19"/>
  </w:num>
  <w:num w:numId="13">
    <w:abstractNumId w:val="29"/>
  </w:num>
  <w:num w:numId="14">
    <w:abstractNumId w:val="2"/>
  </w:num>
  <w:num w:numId="15">
    <w:abstractNumId w:val="25"/>
  </w:num>
  <w:num w:numId="16">
    <w:abstractNumId w:val="22"/>
  </w:num>
  <w:num w:numId="17">
    <w:abstractNumId w:val="18"/>
  </w:num>
  <w:num w:numId="18">
    <w:abstractNumId w:val="31"/>
  </w:num>
  <w:num w:numId="19">
    <w:abstractNumId w:val="26"/>
  </w:num>
  <w:num w:numId="20">
    <w:abstractNumId w:val="12"/>
  </w:num>
  <w:num w:numId="21">
    <w:abstractNumId w:val="23"/>
  </w:num>
  <w:num w:numId="22">
    <w:abstractNumId w:val="4"/>
  </w:num>
  <w:num w:numId="23">
    <w:abstractNumId w:val="16"/>
  </w:num>
  <w:num w:numId="24">
    <w:abstractNumId w:val="10"/>
  </w:num>
  <w:num w:numId="25">
    <w:abstractNumId w:val="11"/>
  </w:num>
  <w:num w:numId="26">
    <w:abstractNumId w:val="0"/>
  </w:num>
  <w:num w:numId="27">
    <w:abstractNumId w:val="15"/>
  </w:num>
  <w:num w:numId="28">
    <w:abstractNumId w:val="32"/>
  </w:num>
  <w:num w:numId="29">
    <w:abstractNumId w:val="27"/>
  </w:num>
  <w:num w:numId="30">
    <w:abstractNumId w:val="3"/>
  </w:num>
  <w:num w:numId="31">
    <w:abstractNumId w:val="17"/>
  </w:num>
  <w:num w:numId="32">
    <w:abstractNumId w:val="7"/>
  </w:num>
  <w:num w:numId="33">
    <w:abstractNumId w:val="9"/>
  </w:num>
  <w:num w:numId="34">
    <w:abstractNumId w:val="33"/>
  </w:num>
  <w:num w:numId="35">
    <w:abstractNumId w:val="21"/>
  </w:num>
  <w:num w:numId="3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1E09F6"/>
    <w:rsid w:val="000005CF"/>
    <w:rsid w:val="000235F5"/>
    <w:rsid w:val="00046E92"/>
    <w:rsid w:val="000519A7"/>
    <w:rsid w:val="00063C90"/>
    <w:rsid w:val="00071E62"/>
    <w:rsid w:val="00072607"/>
    <w:rsid w:val="000A2DF4"/>
    <w:rsid w:val="000A40B8"/>
    <w:rsid w:val="000C2CF9"/>
    <w:rsid w:val="000E6C9F"/>
    <w:rsid w:val="000F364E"/>
    <w:rsid w:val="00101B98"/>
    <w:rsid w:val="0011475D"/>
    <w:rsid w:val="0013022A"/>
    <w:rsid w:val="00153ACF"/>
    <w:rsid w:val="001669BA"/>
    <w:rsid w:val="00170C51"/>
    <w:rsid w:val="00176E21"/>
    <w:rsid w:val="001C7504"/>
    <w:rsid w:val="001E09F6"/>
    <w:rsid w:val="001E47A5"/>
    <w:rsid w:val="00203BB2"/>
    <w:rsid w:val="0020473F"/>
    <w:rsid w:val="00227F79"/>
    <w:rsid w:val="0024606D"/>
    <w:rsid w:val="00247E2C"/>
    <w:rsid w:val="00251841"/>
    <w:rsid w:val="002832A2"/>
    <w:rsid w:val="002926B5"/>
    <w:rsid w:val="002A31E7"/>
    <w:rsid w:val="002A32CB"/>
    <w:rsid w:val="002B319E"/>
    <w:rsid w:val="002C5627"/>
    <w:rsid w:val="002C6565"/>
    <w:rsid w:val="002D2FEC"/>
    <w:rsid w:val="002D6C53"/>
    <w:rsid w:val="002E2751"/>
    <w:rsid w:val="002F5595"/>
    <w:rsid w:val="00316173"/>
    <w:rsid w:val="00316681"/>
    <w:rsid w:val="00324CA3"/>
    <w:rsid w:val="0033221F"/>
    <w:rsid w:val="00334F6A"/>
    <w:rsid w:val="00335E41"/>
    <w:rsid w:val="00342AC8"/>
    <w:rsid w:val="00347853"/>
    <w:rsid w:val="00357C61"/>
    <w:rsid w:val="00364F23"/>
    <w:rsid w:val="00365BC4"/>
    <w:rsid w:val="00393733"/>
    <w:rsid w:val="003960BE"/>
    <w:rsid w:val="003B1E4B"/>
    <w:rsid w:val="003B4550"/>
    <w:rsid w:val="003C5BD7"/>
    <w:rsid w:val="0040017C"/>
    <w:rsid w:val="00400392"/>
    <w:rsid w:val="00404C83"/>
    <w:rsid w:val="0041116C"/>
    <w:rsid w:val="00416C81"/>
    <w:rsid w:val="00423EF6"/>
    <w:rsid w:val="00461253"/>
    <w:rsid w:val="0046371D"/>
    <w:rsid w:val="00486E21"/>
    <w:rsid w:val="004A1F20"/>
    <w:rsid w:val="004A2814"/>
    <w:rsid w:val="004A37DD"/>
    <w:rsid w:val="004C0622"/>
    <w:rsid w:val="004C43F5"/>
    <w:rsid w:val="004D10F9"/>
    <w:rsid w:val="004D3414"/>
    <w:rsid w:val="004E7CAA"/>
    <w:rsid w:val="004F6D1A"/>
    <w:rsid w:val="00503667"/>
    <w:rsid w:val="005042C2"/>
    <w:rsid w:val="00521D95"/>
    <w:rsid w:val="00542470"/>
    <w:rsid w:val="00554AD3"/>
    <w:rsid w:val="00563F75"/>
    <w:rsid w:val="005669CB"/>
    <w:rsid w:val="0056703A"/>
    <w:rsid w:val="00591EF4"/>
    <w:rsid w:val="005942F3"/>
    <w:rsid w:val="005A4814"/>
    <w:rsid w:val="005C38C4"/>
    <w:rsid w:val="005C4F37"/>
    <w:rsid w:val="005D5003"/>
    <w:rsid w:val="005E716E"/>
    <w:rsid w:val="00604774"/>
    <w:rsid w:val="0060778D"/>
    <w:rsid w:val="00610D97"/>
    <w:rsid w:val="00626338"/>
    <w:rsid w:val="00633C64"/>
    <w:rsid w:val="0064657F"/>
    <w:rsid w:val="00661076"/>
    <w:rsid w:val="00670547"/>
    <w:rsid w:val="00671529"/>
    <w:rsid w:val="006768FB"/>
    <w:rsid w:val="006A65E7"/>
    <w:rsid w:val="006B0A36"/>
    <w:rsid w:val="006C1592"/>
    <w:rsid w:val="006C5D6E"/>
    <w:rsid w:val="006D0956"/>
    <w:rsid w:val="006E0C00"/>
    <w:rsid w:val="006F7717"/>
    <w:rsid w:val="0070489D"/>
    <w:rsid w:val="00717B37"/>
    <w:rsid w:val="0072285C"/>
    <w:rsid w:val="007268F9"/>
    <w:rsid w:val="00755AB4"/>
    <w:rsid w:val="007775E2"/>
    <w:rsid w:val="00782A95"/>
    <w:rsid w:val="0079437C"/>
    <w:rsid w:val="007A0084"/>
    <w:rsid w:val="007C4943"/>
    <w:rsid w:val="007C52B0"/>
    <w:rsid w:val="00822A50"/>
    <w:rsid w:val="00831D20"/>
    <w:rsid w:val="00845A33"/>
    <w:rsid w:val="00845C31"/>
    <w:rsid w:val="0085310C"/>
    <w:rsid w:val="00861B4E"/>
    <w:rsid w:val="00862E3C"/>
    <w:rsid w:val="00882772"/>
    <w:rsid w:val="00882DAA"/>
    <w:rsid w:val="008A0BE3"/>
    <w:rsid w:val="008B171C"/>
    <w:rsid w:val="008B4256"/>
    <w:rsid w:val="008B553A"/>
    <w:rsid w:val="008B5863"/>
    <w:rsid w:val="008C3A07"/>
    <w:rsid w:val="008E28BF"/>
    <w:rsid w:val="008F2D6C"/>
    <w:rsid w:val="00900EAB"/>
    <w:rsid w:val="00925248"/>
    <w:rsid w:val="009411B4"/>
    <w:rsid w:val="00951C72"/>
    <w:rsid w:val="00952E3E"/>
    <w:rsid w:val="00954223"/>
    <w:rsid w:val="00962A56"/>
    <w:rsid w:val="00974C0B"/>
    <w:rsid w:val="00981581"/>
    <w:rsid w:val="009907DC"/>
    <w:rsid w:val="009A17B6"/>
    <w:rsid w:val="009A384B"/>
    <w:rsid w:val="009D0139"/>
    <w:rsid w:val="009D1230"/>
    <w:rsid w:val="009D5BD1"/>
    <w:rsid w:val="009D717D"/>
    <w:rsid w:val="009F0854"/>
    <w:rsid w:val="009F2472"/>
    <w:rsid w:val="009F5CDC"/>
    <w:rsid w:val="00A6147B"/>
    <w:rsid w:val="00A71A4C"/>
    <w:rsid w:val="00A775CF"/>
    <w:rsid w:val="00A969A0"/>
    <w:rsid w:val="00A97C53"/>
    <w:rsid w:val="00AA2CD4"/>
    <w:rsid w:val="00AA7B47"/>
    <w:rsid w:val="00AB08D6"/>
    <w:rsid w:val="00B06045"/>
    <w:rsid w:val="00B12DA4"/>
    <w:rsid w:val="00B24498"/>
    <w:rsid w:val="00B35CFB"/>
    <w:rsid w:val="00B41EC2"/>
    <w:rsid w:val="00B52EF4"/>
    <w:rsid w:val="00B63193"/>
    <w:rsid w:val="00B714D4"/>
    <w:rsid w:val="00B83797"/>
    <w:rsid w:val="00B93B2C"/>
    <w:rsid w:val="00B949F7"/>
    <w:rsid w:val="00BA1DC9"/>
    <w:rsid w:val="00BB5EA4"/>
    <w:rsid w:val="00BB6058"/>
    <w:rsid w:val="00BE0444"/>
    <w:rsid w:val="00BF3758"/>
    <w:rsid w:val="00C03015"/>
    <w:rsid w:val="00C0358D"/>
    <w:rsid w:val="00C07C54"/>
    <w:rsid w:val="00C35A27"/>
    <w:rsid w:val="00C410ED"/>
    <w:rsid w:val="00C43F74"/>
    <w:rsid w:val="00C47B2E"/>
    <w:rsid w:val="00C72639"/>
    <w:rsid w:val="00C8054A"/>
    <w:rsid w:val="00C8351A"/>
    <w:rsid w:val="00C85E6E"/>
    <w:rsid w:val="00C91972"/>
    <w:rsid w:val="00C94896"/>
    <w:rsid w:val="00C96B69"/>
    <w:rsid w:val="00CA1B04"/>
    <w:rsid w:val="00CC0581"/>
    <w:rsid w:val="00CC1751"/>
    <w:rsid w:val="00CC580A"/>
    <w:rsid w:val="00CC66A5"/>
    <w:rsid w:val="00CE760B"/>
    <w:rsid w:val="00D120AF"/>
    <w:rsid w:val="00D13171"/>
    <w:rsid w:val="00D50547"/>
    <w:rsid w:val="00D5624F"/>
    <w:rsid w:val="00D804A9"/>
    <w:rsid w:val="00D827A2"/>
    <w:rsid w:val="00D8382F"/>
    <w:rsid w:val="00D83FD7"/>
    <w:rsid w:val="00D86095"/>
    <w:rsid w:val="00D97187"/>
    <w:rsid w:val="00DB070C"/>
    <w:rsid w:val="00DB7FAC"/>
    <w:rsid w:val="00DE29CF"/>
    <w:rsid w:val="00DE4C04"/>
    <w:rsid w:val="00E02C2B"/>
    <w:rsid w:val="00E0654B"/>
    <w:rsid w:val="00E125DE"/>
    <w:rsid w:val="00E427A5"/>
    <w:rsid w:val="00E52109"/>
    <w:rsid w:val="00E75317"/>
    <w:rsid w:val="00E9562A"/>
    <w:rsid w:val="00E95FFF"/>
    <w:rsid w:val="00E963CD"/>
    <w:rsid w:val="00E97E5C"/>
    <w:rsid w:val="00EA0A0B"/>
    <w:rsid w:val="00EB7AB0"/>
    <w:rsid w:val="00EB7AD5"/>
    <w:rsid w:val="00EC2011"/>
    <w:rsid w:val="00ED2BBC"/>
    <w:rsid w:val="00ED6816"/>
    <w:rsid w:val="00ED6C48"/>
    <w:rsid w:val="00EE7402"/>
    <w:rsid w:val="00EF5B3C"/>
    <w:rsid w:val="00F12083"/>
    <w:rsid w:val="00F222F6"/>
    <w:rsid w:val="00F37FD8"/>
    <w:rsid w:val="00F57D2A"/>
    <w:rsid w:val="00F65F5D"/>
    <w:rsid w:val="00F86A3A"/>
    <w:rsid w:val="00F87ACB"/>
    <w:rsid w:val="00FA0DAF"/>
    <w:rsid w:val="00FA3B56"/>
    <w:rsid w:val="00FC335D"/>
    <w:rsid w:val="00FD1EF3"/>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1880A"/>
  <w15:docId w15:val="{4E620F54-BD61-49B8-B5FF-4CC7786A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0BE"/>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3960BE"/>
    <w:pPr>
      <w:spacing w:after="0"/>
      <w:ind w:right="0"/>
      <w:jc w:val="left"/>
      <w:outlineLvl w:val="0"/>
    </w:pPr>
  </w:style>
  <w:style w:type="paragraph" w:styleId="Heading2">
    <w:name w:val="heading 2"/>
    <w:basedOn w:val="Normal"/>
    <w:next w:val="Normal"/>
    <w:link w:val="Heading2Char"/>
    <w:rsid w:val="003960BE"/>
    <w:pPr>
      <w:outlineLvl w:val="1"/>
    </w:pPr>
  </w:style>
  <w:style w:type="paragraph" w:styleId="Heading3">
    <w:name w:val="heading 3"/>
    <w:basedOn w:val="Normal"/>
    <w:next w:val="Normal"/>
    <w:link w:val="Heading3Char"/>
    <w:semiHidden/>
    <w:rsid w:val="003960BE"/>
    <w:pPr>
      <w:outlineLvl w:val="2"/>
    </w:pPr>
  </w:style>
  <w:style w:type="paragraph" w:styleId="Heading4">
    <w:name w:val="heading 4"/>
    <w:basedOn w:val="Normal"/>
    <w:next w:val="Normal"/>
    <w:link w:val="Heading4Char"/>
    <w:semiHidden/>
    <w:rsid w:val="003960BE"/>
    <w:pPr>
      <w:outlineLvl w:val="3"/>
    </w:pPr>
  </w:style>
  <w:style w:type="paragraph" w:styleId="Heading5">
    <w:name w:val="heading 5"/>
    <w:basedOn w:val="Normal"/>
    <w:next w:val="Normal"/>
    <w:link w:val="Heading5Char"/>
    <w:semiHidden/>
    <w:rsid w:val="003960BE"/>
    <w:pPr>
      <w:outlineLvl w:val="4"/>
    </w:pPr>
  </w:style>
  <w:style w:type="paragraph" w:styleId="Heading6">
    <w:name w:val="heading 6"/>
    <w:basedOn w:val="Normal"/>
    <w:next w:val="Normal"/>
    <w:link w:val="Heading6Char"/>
    <w:semiHidden/>
    <w:rsid w:val="003960BE"/>
    <w:pPr>
      <w:outlineLvl w:val="5"/>
    </w:pPr>
  </w:style>
  <w:style w:type="paragraph" w:styleId="Heading7">
    <w:name w:val="heading 7"/>
    <w:basedOn w:val="Normal"/>
    <w:next w:val="Normal"/>
    <w:link w:val="Heading7Char"/>
    <w:semiHidden/>
    <w:rsid w:val="003960BE"/>
    <w:pPr>
      <w:outlineLvl w:val="6"/>
    </w:pPr>
  </w:style>
  <w:style w:type="paragraph" w:styleId="Heading8">
    <w:name w:val="heading 8"/>
    <w:basedOn w:val="Normal"/>
    <w:next w:val="Normal"/>
    <w:link w:val="Heading8Char"/>
    <w:semiHidden/>
    <w:rsid w:val="003960BE"/>
    <w:pPr>
      <w:outlineLvl w:val="7"/>
    </w:pPr>
  </w:style>
  <w:style w:type="paragraph" w:styleId="Heading9">
    <w:name w:val="heading 9"/>
    <w:basedOn w:val="Normal"/>
    <w:next w:val="Normal"/>
    <w:link w:val="Heading9Char"/>
    <w:semiHidden/>
    <w:rsid w:val="003960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3960BE"/>
    <w:pPr>
      <w:pBdr>
        <w:bottom w:val="single" w:sz="4" w:space="4" w:color="auto"/>
      </w:pBdr>
    </w:pPr>
    <w:rPr>
      <w:b/>
      <w:sz w:val="18"/>
    </w:rPr>
  </w:style>
  <w:style w:type="character" w:customStyle="1" w:styleId="HeaderChar">
    <w:name w:val="Header Char"/>
    <w:aliases w:val="6_G Char"/>
    <w:basedOn w:val="DefaultParagraphFont"/>
    <w:link w:val="Header"/>
    <w:rsid w:val="003960BE"/>
    <w:rPr>
      <w:rFonts w:ascii="Times New Roman" w:hAnsi="Times New Roman" w:cs="Times New Roman"/>
      <w:b/>
      <w:sz w:val="18"/>
      <w:szCs w:val="20"/>
    </w:rPr>
  </w:style>
  <w:style w:type="paragraph" w:styleId="Footer">
    <w:name w:val="footer"/>
    <w:aliases w:val="3_G"/>
    <w:basedOn w:val="Normal"/>
    <w:link w:val="FooterChar"/>
    <w:rsid w:val="003960BE"/>
    <w:rPr>
      <w:sz w:val="16"/>
    </w:rPr>
  </w:style>
  <w:style w:type="character" w:customStyle="1" w:styleId="FooterChar">
    <w:name w:val="Footer Char"/>
    <w:aliases w:val="3_G Char"/>
    <w:basedOn w:val="DefaultParagraphFont"/>
    <w:link w:val="Footer"/>
    <w:rsid w:val="003960BE"/>
    <w:rPr>
      <w:rFonts w:ascii="Times New Roman" w:hAnsi="Times New Roman" w:cs="Times New Roman"/>
      <w:sz w:val="16"/>
      <w:szCs w:val="20"/>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3960BE"/>
    <w:pPr>
      <w:tabs>
        <w:tab w:val="left" w:pos="1701"/>
        <w:tab w:val="left" w:pos="2268"/>
      </w:tabs>
      <w:spacing w:after="120" w:line="240" w:lineRule="atLeast"/>
      <w:ind w:left="1134" w:right="1134"/>
      <w:jc w:val="both"/>
    </w:pPr>
  </w:style>
  <w:style w:type="paragraph" w:customStyle="1" w:styleId="SLG">
    <w:name w:val="__S_L_G"/>
    <w:basedOn w:val="Normal"/>
    <w:next w:val="Normal"/>
    <w:rsid w:val="003960BE"/>
    <w:pPr>
      <w:keepNext/>
      <w:keepLines/>
      <w:spacing w:before="240" w:after="240" w:line="580" w:lineRule="exact"/>
      <w:ind w:left="1134" w:right="1134"/>
    </w:pPr>
    <w:rPr>
      <w:b/>
      <w:sz w:val="56"/>
    </w:rPr>
  </w:style>
  <w:style w:type="paragraph" w:customStyle="1" w:styleId="SMG">
    <w:name w:val="__S_M_G"/>
    <w:basedOn w:val="Normal"/>
    <w:next w:val="Normal"/>
    <w:rsid w:val="003960BE"/>
    <w:pPr>
      <w:keepNext/>
      <w:keepLines/>
      <w:spacing w:before="240" w:after="240" w:line="420" w:lineRule="exact"/>
      <w:ind w:left="1134" w:right="1134"/>
    </w:pPr>
    <w:rPr>
      <w:b/>
      <w:sz w:val="40"/>
    </w:rPr>
  </w:style>
  <w:style w:type="paragraph" w:customStyle="1" w:styleId="SSG">
    <w:name w:val="__S_S_G"/>
    <w:basedOn w:val="Normal"/>
    <w:next w:val="Normal"/>
    <w:rsid w:val="003960BE"/>
    <w:pPr>
      <w:keepNext/>
      <w:keepLines/>
      <w:spacing w:before="240" w:after="240" w:line="300" w:lineRule="exact"/>
      <w:ind w:left="1134" w:right="1134"/>
    </w:pPr>
    <w:rPr>
      <w:b/>
      <w:sz w:val="28"/>
    </w:rPr>
  </w:style>
  <w:style w:type="paragraph" w:customStyle="1" w:styleId="XLargeG">
    <w:name w:val="__XLarge_G"/>
    <w:basedOn w:val="Normal"/>
    <w:next w:val="Normal"/>
    <w:rsid w:val="003960BE"/>
    <w:pPr>
      <w:keepNext/>
      <w:keepLines/>
      <w:spacing w:before="240" w:after="240" w:line="420" w:lineRule="exact"/>
      <w:ind w:left="1134" w:right="1134"/>
    </w:pPr>
    <w:rPr>
      <w:b/>
      <w:sz w:val="40"/>
    </w:rPr>
  </w:style>
  <w:style w:type="paragraph" w:customStyle="1" w:styleId="Bullet1G">
    <w:name w:val="_Bullet 1_G"/>
    <w:basedOn w:val="Normal"/>
    <w:qFormat/>
    <w:rsid w:val="003960BE"/>
    <w:pPr>
      <w:numPr>
        <w:numId w:val="1"/>
      </w:numPr>
      <w:spacing w:after="120"/>
      <w:ind w:right="1134"/>
      <w:jc w:val="both"/>
    </w:pPr>
  </w:style>
  <w:style w:type="paragraph" w:customStyle="1" w:styleId="Bullet2G">
    <w:name w:val="_Bullet 2_G"/>
    <w:basedOn w:val="Normal"/>
    <w:qFormat/>
    <w:rsid w:val="003960BE"/>
    <w:pPr>
      <w:numPr>
        <w:numId w:val="2"/>
      </w:numPr>
      <w:spacing w:after="120"/>
      <w:ind w:right="1134"/>
      <w:jc w:val="both"/>
    </w:pPr>
  </w:style>
  <w:style w:type="paragraph" w:customStyle="1" w:styleId="ParaNoG">
    <w:name w:val="_ParaNo._G"/>
    <w:basedOn w:val="SingleTxtG"/>
    <w:rsid w:val="003960BE"/>
    <w:pPr>
      <w:numPr>
        <w:numId w:val="3"/>
      </w:numPr>
    </w:pPr>
  </w:style>
  <w:style w:type="numbering" w:styleId="111111">
    <w:name w:val="Outline List 2"/>
    <w:basedOn w:val="NoList"/>
    <w:semiHidden/>
    <w:rsid w:val="003960BE"/>
    <w:pPr>
      <w:numPr>
        <w:numId w:val="4"/>
      </w:numPr>
    </w:pPr>
  </w:style>
  <w:style w:type="numbering" w:styleId="1ai">
    <w:name w:val="Outline List 1"/>
    <w:basedOn w:val="NoList"/>
    <w:semiHidden/>
    <w:rsid w:val="003960BE"/>
    <w:pPr>
      <w:numPr>
        <w:numId w:val="5"/>
      </w:numPr>
    </w:pPr>
  </w:style>
  <w:style w:type="character" w:styleId="EndnoteReference">
    <w:name w:val="endnote reference"/>
    <w:aliases w:val="1_G"/>
    <w:rsid w:val="003960BE"/>
    <w:rPr>
      <w:rFonts w:ascii="Times New Roman" w:hAnsi="Times New Roman"/>
      <w:sz w:val="18"/>
      <w:vertAlign w:val="superscript"/>
    </w:rPr>
  </w:style>
  <w:style w:type="paragraph" w:styleId="BalloonText">
    <w:name w:val="Balloon Text"/>
    <w:basedOn w:val="Normal"/>
    <w:link w:val="BalloonTextChar"/>
    <w:uiPriority w:val="99"/>
    <w:semiHidden/>
    <w:unhideWhenUsed/>
    <w:rsid w:val="003960BE"/>
    <w:rPr>
      <w:rFonts w:ascii="Tahoma" w:hAnsi="Tahoma" w:cs="Tahoma"/>
      <w:sz w:val="16"/>
      <w:szCs w:val="16"/>
    </w:rPr>
  </w:style>
  <w:style w:type="character" w:customStyle="1" w:styleId="BalloonTextChar">
    <w:name w:val="Balloon Text Char"/>
    <w:basedOn w:val="DefaultParagraphFont"/>
    <w:link w:val="BalloonText"/>
    <w:uiPriority w:val="99"/>
    <w:semiHidden/>
    <w:rsid w:val="003960BE"/>
    <w:rPr>
      <w:rFonts w:ascii="Tahoma" w:hAnsi="Tahoma" w:cs="Tahoma"/>
      <w:sz w:val="16"/>
      <w:szCs w:val="16"/>
    </w:rPr>
  </w:style>
  <w:style w:type="paragraph" w:styleId="EndnoteText">
    <w:name w:val="endnote text"/>
    <w:aliases w:val="2_G"/>
    <w:basedOn w:val="FootnoteText"/>
    <w:link w:val="EndnoteTextChar"/>
    <w:rsid w:val="003960BE"/>
  </w:style>
  <w:style w:type="character" w:customStyle="1" w:styleId="EndnoteTextChar">
    <w:name w:val="Endnote Text Char"/>
    <w:aliases w:val="2_G Char"/>
    <w:basedOn w:val="DefaultParagraphFont"/>
    <w:link w:val="EndnoteText"/>
    <w:rsid w:val="003960BE"/>
    <w:rPr>
      <w:rFonts w:ascii="Times New Roman" w:hAnsi="Times New Roman" w:cs="Times New Roman"/>
      <w:sz w:val="18"/>
      <w:szCs w:val="20"/>
    </w:rPr>
  </w:style>
  <w:style w:type="character" w:styleId="FootnoteReference">
    <w:name w:val="footnote reference"/>
    <w:aliases w:val="4_G"/>
    <w:rsid w:val="003960BE"/>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960BE"/>
    <w:rPr>
      <w:rFonts w:ascii="Times New Roman" w:hAnsi="Times New Roman" w:cs="Times New Roman"/>
      <w:sz w:val="20"/>
      <w:szCs w:val="20"/>
    </w:rPr>
  </w:style>
  <w:style w:type="character" w:customStyle="1" w:styleId="Heading2Char">
    <w:name w:val="Heading 2 Char"/>
    <w:basedOn w:val="DefaultParagraphFont"/>
    <w:link w:val="Heading2"/>
    <w:rsid w:val="003960BE"/>
    <w:rPr>
      <w:rFonts w:ascii="Times New Roman" w:hAnsi="Times New Roman" w:cs="Times New Roman"/>
      <w:sz w:val="20"/>
      <w:szCs w:val="20"/>
    </w:rPr>
  </w:style>
  <w:style w:type="character" w:customStyle="1" w:styleId="Heading3Char">
    <w:name w:val="Heading 3 Char"/>
    <w:basedOn w:val="DefaultParagraphFont"/>
    <w:link w:val="Heading3"/>
    <w:semiHidden/>
    <w:rsid w:val="003960BE"/>
    <w:rPr>
      <w:rFonts w:ascii="Times New Roman" w:hAnsi="Times New Roman" w:cs="Times New Roman"/>
      <w:sz w:val="20"/>
      <w:szCs w:val="20"/>
    </w:rPr>
  </w:style>
  <w:style w:type="character" w:customStyle="1" w:styleId="Heading4Char">
    <w:name w:val="Heading 4 Char"/>
    <w:basedOn w:val="DefaultParagraphFont"/>
    <w:link w:val="Heading4"/>
    <w:semiHidden/>
    <w:rsid w:val="003960BE"/>
    <w:rPr>
      <w:rFonts w:ascii="Times New Roman" w:hAnsi="Times New Roman" w:cs="Times New Roman"/>
      <w:sz w:val="20"/>
      <w:szCs w:val="20"/>
    </w:rPr>
  </w:style>
  <w:style w:type="character" w:customStyle="1" w:styleId="Heading5Char">
    <w:name w:val="Heading 5 Char"/>
    <w:basedOn w:val="DefaultParagraphFont"/>
    <w:link w:val="Heading5"/>
    <w:semiHidden/>
    <w:rsid w:val="003960BE"/>
    <w:rPr>
      <w:rFonts w:ascii="Times New Roman" w:hAnsi="Times New Roman" w:cs="Times New Roman"/>
      <w:sz w:val="20"/>
      <w:szCs w:val="20"/>
    </w:rPr>
  </w:style>
  <w:style w:type="character" w:customStyle="1" w:styleId="Heading6Char">
    <w:name w:val="Heading 6 Char"/>
    <w:basedOn w:val="DefaultParagraphFont"/>
    <w:link w:val="Heading6"/>
    <w:semiHidden/>
    <w:rsid w:val="003960BE"/>
    <w:rPr>
      <w:rFonts w:ascii="Times New Roman" w:hAnsi="Times New Roman" w:cs="Times New Roman"/>
      <w:sz w:val="20"/>
      <w:szCs w:val="20"/>
    </w:rPr>
  </w:style>
  <w:style w:type="character" w:customStyle="1" w:styleId="Heading7Char">
    <w:name w:val="Heading 7 Char"/>
    <w:basedOn w:val="DefaultParagraphFont"/>
    <w:link w:val="Heading7"/>
    <w:semiHidden/>
    <w:rsid w:val="003960BE"/>
    <w:rPr>
      <w:rFonts w:ascii="Times New Roman" w:hAnsi="Times New Roman" w:cs="Times New Roman"/>
      <w:sz w:val="20"/>
      <w:szCs w:val="20"/>
    </w:rPr>
  </w:style>
  <w:style w:type="character" w:customStyle="1" w:styleId="Heading8Char">
    <w:name w:val="Heading 8 Char"/>
    <w:basedOn w:val="DefaultParagraphFont"/>
    <w:link w:val="Heading8"/>
    <w:semiHidden/>
    <w:rsid w:val="003960BE"/>
    <w:rPr>
      <w:rFonts w:ascii="Times New Roman" w:hAnsi="Times New Roman" w:cs="Times New Roman"/>
      <w:sz w:val="20"/>
      <w:szCs w:val="20"/>
    </w:rPr>
  </w:style>
  <w:style w:type="character" w:customStyle="1" w:styleId="Heading9Char">
    <w:name w:val="Heading 9 Char"/>
    <w:basedOn w:val="DefaultParagraphFont"/>
    <w:link w:val="Heading9"/>
    <w:semiHidden/>
    <w:rsid w:val="003960BE"/>
    <w:rPr>
      <w:rFonts w:ascii="Times New Roman" w:hAnsi="Times New Roman" w:cs="Times New Roman"/>
      <w:sz w:val="20"/>
      <w:szCs w:val="20"/>
    </w:rPr>
  </w:style>
  <w:style w:type="paragraph" w:styleId="FootnoteText">
    <w:name w:val="footnote text"/>
    <w:aliases w:val="5_G"/>
    <w:basedOn w:val="Normal"/>
    <w:link w:val="FootnoteTextChar"/>
    <w:rsid w:val="003960BE"/>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3960BE"/>
    <w:rPr>
      <w:rFonts w:ascii="Times New Roman" w:hAnsi="Times New Roman" w:cs="Times New Roman"/>
      <w:sz w:val="18"/>
      <w:szCs w:val="20"/>
    </w:rPr>
  </w:style>
  <w:style w:type="character" w:styleId="PageNumber">
    <w:name w:val="page number"/>
    <w:aliases w:val="7_G"/>
    <w:semiHidden/>
    <w:rsid w:val="003960BE"/>
    <w:rPr>
      <w:rFonts w:ascii="Times New Roman" w:hAnsi="Times New Roman"/>
      <w:b/>
      <w:sz w:val="18"/>
    </w:rPr>
  </w:style>
  <w:style w:type="character" w:customStyle="1" w:styleId="UnresolvedMention1">
    <w:name w:val="Unresolved Mention1"/>
    <w:basedOn w:val="DefaultParagraphFont"/>
    <w:uiPriority w:val="99"/>
    <w:semiHidden/>
    <w:unhideWhenUsed/>
    <w:rsid w:val="00CC0581"/>
    <w:rPr>
      <w:color w:val="605E5C"/>
      <w:shd w:val="clear" w:color="auto" w:fill="E1DFDD"/>
    </w:rPr>
  </w:style>
  <w:style w:type="character" w:styleId="Hyperlink">
    <w:name w:val="Hyperlink"/>
    <w:uiPriority w:val="99"/>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3960BE"/>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580A"/>
    <w:rPr>
      <w:sz w:val="16"/>
      <w:szCs w:val="16"/>
    </w:rPr>
  </w:style>
  <w:style w:type="paragraph" w:styleId="CommentText">
    <w:name w:val="annotation text"/>
    <w:basedOn w:val="Normal"/>
    <w:link w:val="CommentTextChar"/>
    <w:uiPriority w:val="99"/>
    <w:semiHidden/>
    <w:unhideWhenUsed/>
    <w:rsid w:val="00CC580A"/>
  </w:style>
  <w:style w:type="character" w:customStyle="1" w:styleId="CommentTextChar">
    <w:name w:val="Comment Text Char"/>
    <w:basedOn w:val="DefaultParagraphFont"/>
    <w:link w:val="CommentText"/>
    <w:uiPriority w:val="99"/>
    <w:semiHidden/>
    <w:rsid w:val="00CC58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580A"/>
    <w:rPr>
      <w:b/>
      <w:bCs/>
    </w:rPr>
  </w:style>
  <w:style w:type="character" w:customStyle="1" w:styleId="CommentSubjectChar">
    <w:name w:val="Comment Subject Char"/>
    <w:basedOn w:val="CommentTextChar"/>
    <w:link w:val="CommentSubject"/>
    <w:uiPriority w:val="99"/>
    <w:semiHidden/>
    <w:rsid w:val="00CC580A"/>
    <w:rPr>
      <w:rFonts w:ascii="Times New Roman" w:hAnsi="Times New Roman" w:cs="Times New Roman"/>
      <w:b/>
      <w:bCs/>
      <w:sz w:val="20"/>
      <w:szCs w:val="20"/>
    </w:rPr>
  </w:style>
  <w:style w:type="paragraph" w:styleId="Revision">
    <w:name w:val="Revision"/>
    <w:hidden/>
    <w:uiPriority w:val="99"/>
    <w:semiHidden/>
    <w:rsid w:val="003960BE"/>
    <w:pPr>
      <w:spacing w:after="0" w:line="240" w:lineRule="auto"/>
    </w:pPr>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3960BE"/>
    <w:pPr>
      <w:ind w:left="720"/>
      <w:contextualSpacing/>
    </w:pPr>
    <w:rPr>
      <w:rFonts w:eastAsia="Times New Roman"/>
    </w:rPr>
  </w:style>
  <w:style w:type="character" w:customStyle="1" w:styleId="SingleTxtGChar">
    <w:name w:val="_ Single Txt_G Char"/>
    <w:link w:val="SingleTxtG"/>
    <w:rsid w:val="003960BE"/>
    <w:rPr>
      <w:rFonts w:ascii="Times New Roman" w:hAnsi="Times New Roman" w:cs="Times New Roman"/>
      <w:sz w:val="20"/>
      <w:szCs w:val="20"/>
    </w:rPr>
  </w:style>
  <w:style w:type="character" w:customStyle="1" w:styleId="UnresolvedMention2">
    <w:name w:val="Unresolved Mention2"/>
    <w:basedOn w:val="DefaultParagraphFont"/>
    <w:uiPriority w:val="99"/>
    <w:semiHidden/>
    <w:unhideWhenUsed/>
    <w:rsid w:val="00604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54121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ohchr.org/EN/HRBodies/Pages/COVID-19-and-TreatyBodies.aspx" TargetMode="External"/><Relationship Id="rId13" Type="http://schemas.openxmlformats.org/officeDocument/2006/relationships/hyperlink" Target="http://undocs.org/en/A/75/205" TargetMode="External"/><Relationship Id="rId18" Type="http://schemas.openxmlformats.org/officeDocument/2006/relationships/hyperlink" Target="http://undocs.org/en/A/75/205" TargetMode="External"/><Relationship Id="rId26" Type="http://schemas.openxmlformats.org/officeDocument/2006/relationships/hyperlink" Target="http://undocs.org/en/A/HRC/14/31" TargetMode="External"/><Relationship Id="rId39" Type="http://schemas.openxmlformats.org/officeDocument/2006/relationships/hyperlink" Target="http://undocs.org/en/A/HRC/48/53" TargetMode="External"/><Relationship Id="rId3" Type="http://schemas.openxmlformats.org/officeDocument/2006/relationships/hyperlink" Target="http://undocs.org/en/A/75/205" TargetMode="External"/><Relationship Id="rId21" Type="http://schemas.openxmlformats.org/officeDocument/2006/relationships/hyperlink" Target="http://undocs.org/en/A/HRC/48/53" TargetMode="External"/><Relationship Id="rId34" Type="http://schemas.openxmlformats.org/officeDocument/2006/relationships/hyperlink" Target="http://undocs.org/en/A/75/205" TargetMode="External"/><Relationship Id="rId42" Type="http://schemas.openxmlformats.org/officeDocument/2006/relationships/hyperlink" Target="http://undocs.org/en/A/HRC/39/50" TargetMode="External"/><Relationship Id="rId7" Type="http://schemas.openxmlformats.org/officeDocument/2006/relationships/hyperlink" Target="https://www.un.org/development/desa/ageing/covid19.html" TargetMode="External"/><Relationship Id="rId12" Type="http://schemas.openxmlformats.org/officeDocument/2006/relationships/hyperlink" Target="http://undocs.org/en/A/75/218" TargetMode="External"/><Relationship Id="rId17" Type="http://schemas.openxmlformats.org/officeDocument/2006/relationships/hyperlink" Target="http://undocs.org/en/A/HRC/48/53" TargetMode="External"/><Relationship Id="rId25" Type="http://schemas.openxmlformats.org/officeDocument/2006/relationships/hyperlink" Target="http://undocs.org/en/A/74/186" TargetMode="External"/><Relationship Id="rId33" Type="http://schemas.openxmlformats.org/officeDocument/2006/relationships/hyperlink" Target="http://undocs.org/en/A/HRC/39/50/Add.2" TargetMode="External"/><Relationship Id="rId38" Type="http://schemas.openxmlformats.org/officeDocument/2006/relationships/hyperlink" Target="http://undocs.org/en/A/HRC/39/50" TargetMode="External"/><Relationship Id="rId2" Type="http://schemas.openxmlformats.org/officeDocument/2006/relationships/hyperlink" Target="https://social.un.org/ageing-working-group/documents/eleventh/OHCHR%20HROP%20working%20paper%2022%20Mar%202021.pdf" TargetMode="External"/><Relationship Id="rId16" Type="http://schemas.openxmlformats.org/officeDocument/2006/relationships/hyperlink" Target="http://undocs.org/en/A/HRC/48/53" TargetMode="External"/><Relationship Id="rId20" Type="http://schemas.openxmlformats.org/officeDocument/2006/relationships/hyperlink" Target="http://undocs.org/en/A/HRC/48/53" TargetMode="External"/><Relationship Id="rId29" Type="http://schemas.openxmlformats.org/officeDocument/2006/relationships/hyperlink" Target="http://undocs.org/en/A/AC.278/2019/CRP.2" TargetMode="External"/><Relationship Id="rId41" Type="http://schemas.openxmlformats.org/officeDocument/2006/relationships/hyperlink" Target="http://undocs.org/en/A/HRC/39/50" TargetMode="External"/><Relationship Id="rId1" Type="http://schemas.openxmlformats.org/officeDocument/2006/relationships/hyperlink" Target="https://social.un.org/ageing-working-group/documents/OHCHRAnalyticalOutcomePaperonOldePersonsAugust2012.doc" TargetMode="External"/><Relationship Id="rId6" Type="http://schemas.openxmlformats.org/officeDocument/2006/relationships/hyperlink" Target="https://www.un.org/en/coronavirus/UN-response" TargetMode="External"/><Relationship Id="rId11" Type="http://schemas.openxmlformats.org/officeDocument/2006/relationships/hyperlink" Target="http://undocs.org/en/A/HRC/48/53" TargetMode="External"/><Relationship Id="rId24" Type="http://schemas.openxmlformats.org/officeDocument/2006/relationships/hyperlink" Target="http://undocs.org/en/A/HRC/39/50" TargetMode="External"/><Relationship Id="rId32" Type="http://schemas.openxmlformats.org/officeDocument/2006/relationships/hyperlink" Target="http://undocs.org/en/A/HRC/33/44/Add.1" TargetMode="External"/><Relationship Id="rId37" Type="http://schemas.openxmlformats.org/officeDocument/2006/relationships/hyperlink" Target="http://undocs.org/en/A/HRC/39/50" TargetMode="External"/><Relationship Id="rId40" Type="http://schemas.openxmlformats.org/officeDocument/2006/relationships/hyperlink" Target="http://undocs.org/en/A/75/205" TargetMode="External"/><Relationship Id="rId5" Type="http://schemas.openxmlformats.org/officeDocument/2006/relationships/hyperlink" Target="http://undocs.org/en/E/CN.5/2021/4" TargetMode="External"/><Relationship Id="rId15" Type="http://schemas.openxmlformats.org/officeDocument/2006/relationships/hyperlink" Target="http://undocs.org/en/A/HRC/48/53" TargetMode="External"/><Relationship Id="rId23" Type="http://schemas.openxmlformats.org/officeDocument/2006/relationships/hyperlink" Target="http://undocs.org/en/A/HRC/27/46" TargetMode="External"/><Relationship Id="rId28" Type="http://schemas.openxmlformats.org/officeDocument/2006/relationships/hyperlink" Target="https://social.un.org/ageing-working-group/documents/tenth/A_AC.278_2019_CRP.2.pdf" TargetMode="External"/><Relationship Id="rId36" Type="http://schemas.openxmlformats.org/officeDocument/2006/relationships/hyperlink" Target="http://undocs.org/en/A/75/205" TargetMode="External"/><Relationship Id="rId10" Type="http://schemas.openxmlformats.org/officeDocument/2006/relationships/hyperlink" Target="http://undocs.org/en/A/75/205" TargetMode="External"/><Relationship Id="rId19" Type="http://schemas.openxmlformats.org/officeDocument/2006/relationships/hyperlink" Target="http://undocs.org/en/A/HRC/48/53" TargetMode="External"/><Relationship Id="rId31" Type="http://schemas.openxmlformats.org/officeDocument/2006/relationships/hyperlink" Target="http://undocs.org/en/A/HRC/30/43/Add.3" TargetMode="External"/><Relationship Id="rId4" Type="http://schemas.openxmlformats.org/officeDocument/2006/relationships/hyperlink" Target="http://undocs.org/en/A/HRC/48/53" TargetMode="External"/><Relationship Id="rId9" Type="http://schemas.openxmlformats.org/officeDocument/2006/relationships/hyperlink" Target="https://www.ohchr.org/Documents/HRBodies/TB/COVID19/External_TB_statements_COVID19.pdf" TargetMode="External"/><Relationship Id="rId14" Type="http://schemas.openxmlformats.org/officeDocument/2006/relationships/hyperlink" Target="http://undocs.org/en/A/75/205" TargetMode="External"/><Relationship Id="rId22" Type="http://schemas.openxmlformats.org/officeDocument/2006/relationships/hyperlink" Target="http://undocs.org/en/A/74/186" TargetMode="External"/><Relationship Id="rId27" Type="http://schemas.openxmlformats.org/officeDocument/2006/relationships/hyperlink" Target="http://undocs.org/en/A/HRC/18/37" TargetMode="External"/><Relationship Id="rId30" Type="http://schemas.openxmlformats.org/officeDocument/2006/relationships/hyperlink" Target="http://undocs.org/en/A/HRC/30/43/Add.1" TargetMode="External"/><Relationship Id="rId35" Type="http://schemas.openxmlformats.org/officeDocument/2006/relationships/hyperlink" Target="http://undocs.org/en/A/HRC/36/48" TargetMode="External"/><Relationship Id="rId43" Type="http://schemas.openxmlformats.org/officeDocument/2006/relationships/hyperlink" Target="http://undocs.org/en/A/HRC/48/53"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43EF-5960-4035-A2D4-55D2A322D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7360</Words>
  <Characters>41953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A/HRC/49/70</vt:lpstr>
    </vt:vector>
  </TitlesOfParts>
  <Company>DCM</Company>
  <LinksUpToDate>false</LinksUpToDate>
  <CharactersWithSpaces>49215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A/HRC/49/70</dc:title>
  <dc:subject>2201074</dc:subject>
  <dc:creator>AVT</dc:creator>
  <cp:keywords/>
  <dc:description/>
  <cp:lastModifiedBy>PUISTO Janica</cp:lastModifiedBy>
  <cp:revision>2</cp:revision>
  <dcterms:created xsi:type="dcterms:W3CDTF">2023-02-28T14:15:00Z</dcterms:created>
  <dcterms:modified xsi:type="dcterms:W3CDTF">2023-02-28T14:15:00Z</dcterms:modified>
</cp:coreProperties>
</file>