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D11A7" w14:textId="77777777" w:rsidR="00D16DF6" w:rsidRDefault="00D16DF6">
      <w:pPr>
        <w:spacing w:line="240" w:lineRule="auto"/>
        <w:jc w:val="center"/>
        <w:rPr>
          <w:rFonts w:ascii="Century Gothic" w:eastAsia="Century Gothic" w:hAnsi="Century Gothic" w:cs="Century Gothic"/>
          <w:b/>
          <w:sz w:val="28"/>
          <w:szCs w:val="28"/>
        </w:rPr>
      </w:pPr>
      <w:bookmarkStart w:id="0" w:name="_GoBack"/>
      <w:bookmarkEnd w:id="0"/>
    </w:p>
    <w:p w14:paraId="7A8D11A8" w14:textId="77777777" w:rsidR="00D16DF6" w:rsidRDefault="00257CD9">
      <w:pPr>
        <w:spacing w:line="240" w:lineRule="auto"/>
        <w:jc w:val="cente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Protecting human rights during and after the COVID-19 </w:t>
      </w:r>
    </w:p>
    <w:p w14:paraId="7A8D11A9" w14:textId="77777777" w:rsidR="00D16DF6" w:rsidRDefault="00257CD9">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Joint questionnaire by Special Procedure mandate holders</w:t>
      </w:r>
    </w:p>
    <w:p w14:paraId="7A8D11AA" w14:textId="77777777" w:rsidR="00D16DF6" w:rsidRDefault="00D16DF6">
      <w:pPr>
        <w:spacing w:line="240" w:lineRule="auto"/>
        <w:jc w:val="center"/>
        <w:rPr>
          <w:rFonts w:ascii="Century Gothic" w:eastAsia="Century Gothic" w:hAnsi="Century Gothic" w:cs="Century Gothic"/>
          <w:b/>
          <w:sz w:val="24"/>
          <w:szCs w:val="24"/>
        </w:rPr>
      </w:pPr>
    </w:p>
    <w:p w14:paraId="7A8D11AB" w14:textId="77777777" w:rsidR="00D16DF6" w:rsidRDefault="00257CD9">
      <w:pPr>
        <w:spacing w:line="240" w:lineRule="auto"/>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Submission by the Global Platform for the Right to the City</w:t>
      </w:r>
    </w:p>
    <w:p w14:paraId="7A8D11AC" w14:textId="77777777" w:rsidR="00D16DF6" w:rsidRDefault="00D16DF6">
      <w:pPr>
        <w:spacing w:line="240" w:lineRule="auto"/>
        <w:jc w:val="both"/>
        <w:rPr>
          <w:rFonts w:ascii="Century Gothic" w:eastAsia="Century Gothic" w:hAnsi="Century Gothic" w:cs="Century Gothic"/>
          <w:b/>
          <w:sz w:val="24"/>
          <w:szCs w:val="24"/>
        </w:rPr>
      </w:pPr>
    </w:p>
    <w:p w14:paraId="7A8D11AD" w14:textId="77777777" w:rsidR="00D16DF6" w:rsidRDefault="00D16DF6">
      <w:pPr>
        <w:spacing w:line="240" w:lineRule="auto"/>
        <w:jc w:val="both"/>
        <w:rPr>
          <w:rFonts w:ascii="Century Gothic" w:eastAsia="Century Gothic" w:hAnsi="Century Gothic" w:cs="Century Gothic"/>
          <w:b/>
          <w:sz w:val="24"/>
          <w:szCs w:val="24"/>
        </w:rPr>
      </w:pPr>
    </w:p>
    <w:p w14:paraId="7A8D11AE" w14:textId="77777777" w:rsidR="00D16DF6" w:rsidRDefault="00257CD9">
      <w:pPr>
        <w:pBdr>
          <w:bottom w:val="none" w:sz="0" w:space="11" w:color="auto"/>
        </w:pBdr>
        <w:shd w:val="clear" w:color="auto" w:fill="FFFFFF"/>
        <w:spacing w:line="240" w:lineRule="auto"/>
        <w:jc w:val="both"/>
        <w:rPr>
          <w:rFonts w:ascii="Century Gothic" w:eastAsia="Century Gothic" w:hAnsi="Century Gothic" w:cs="Century Gothic"/>
          <w:color w:val="333333"/>
          <w:sz w:val="24"/>
          <w:szCs w:val="24"/>
        </w:rPr>
      </w:pPr>
      <w:r>
        <w:rPr>
          <w:rFonts w:ascii="Century Gothic" w:eastAsia="Century Gothic" w:hAnsi="Century Gothic" w:cs="Century Gothic"/>
          <w:color w:val="333333"/>
          <w:sz w:val="24"/>
          <w:szCs w:val="24"/>
        </w:rPr>
        <w:t xml:space="preserve">The </w:t>
      </w:r>
      <w:hyperlink r:id="rId10">
        <w:r>
          <w:rPr>
            <w:rFonts w:ascii="Century Gothic" w:eastAsia="Century Gothic" w:hAnsi="Century Gothic" w:cs="Century Gothic"/>
            <w:color w:val="1155CC"/>
            <w:sz w:val="24"/>
            <w:szCs w:val="24"/>
            <w:u w:val="single"/>
          </w:rPr>
          <w:t>Global Platform for the Right to the City</w:t>
        </w:r>
      </w:hyperlink>
      <w:r>
        <w:rPr>
          <w:rFonts w:ascii="Century Gothic" w:eastAsia="Century Gothic" w:hAnsi="Century Gothic" w:cs="Century Gothic"/>
          <w:color w:val="333333"/>
          <w:sz w:val="24"/>
          <w:szCs w:val="24"/>
        </w:rPr>
        <w:t xml:space="preserve"> (GPR2C) is an open, flexible, diverse network of civil society and local government organizations committed to political action and social change through the promotion, defense and fulfillment of the Right to the C</w:t>
      </w:r>
      <w:r>
        <w:rPr>
          <w:rFonts w:ascii="Century Gothic" w:eastAsia="Century Gothic" w:hAnsi="Century Gothic" w:cs="Century Gothic"/>
          <w:color w:val="333333"/>
          <w:sz w:val="24"/>
          <w:szCs w:val="24"/>
        </w:rPr>
        <w:t>ity at all levels, paying special attention to people and communities affected by exclusion and marginalization.</w:t>
      </w:r>
    </w:p>
    <w:p w14:paraId="7A8D11AF" w14:textId="77777777" w:rsidR="00D16DF6" w:rsidRDefault="00D16DF6">
      <w:pPr>
        <w:pBdr>
          <w:bottom w:val="none" w:sz="0" w:space="11" w:color="auto"/>
        </w:pBdr>
        <w:shd w:val="clear" w:color="auto" w:fill="FFFFFF"/>
        <w:spacing w:line="240" w:lineRule="auto"/>
        <w:jc w:val="both"/>
        <w:rPr>
          <w:rFonts w:ascii="Century Gothic" w:eastAsia="Century Gothic" w:hAnsi="Century Gothic" w:cs="Century Gothic"/>
          <w:color w:val="333333"/>
          <w:sz w:val="24"/>
          <w:szCs w:val="24"/>
        </w:rPr>
      </w:pPr>
    </w:p>
    <w:p w14:paraId="7A8D11B0" w14:textId="77777777" w:rsidR="00D16DF6" w:rsidRDefault="00257CD9">
      <w:pPr>
        <w:pBdr>
          <w:bottom w:val="none" w:sz="0" w:space="11" w:color="auto"/>
        </w:pBdr>
        <w:shd w:val="clear" w:color="auto" w:fill="FFFFFF"/>
        <w:spacing w:line="240" w:lineRule="auto"/>
        <w:jc w:val="both"/>
        <w:rPr>
          <w:rFonts w:ascii="Century Gothic" w:eastAsia="Century Gothic" w:hAnsi="Century Gothic" w:cs="Century Gothic"/>
          <w:color w:val="333333"/>
          <w:sz w:val="24"/>
          <w:szCs w:val="24"/>
        </w:rPr>
      </w:pPr>
      <w:r>
        <w:rPr>
          <w:rFonts w:ascii="Century Gothic" w:eastAsia="Century Gothic" w:hAnsi="Century Gothic" w:cs="Century Gothic"/>
          <w:color w:val="333333"/>
          <w:sz w:val="24"/>
          <w:szCs w:val="24"/>
        </w:rPr>
        <w:t>With the emergence of COVID-19 and the social, economic and human rights crisis related to the pandemic, the GPR2C has worked with its members</w:t>
      </w:r>
      <w:r>
        <w:rPr>
          <w:rFonts w:ascii="Century Gothic" w:eastAsia="Century Gothic" w:hAnsi="Century Gothic" w:cs="Century Gothic"/>
          <w:color w:val="333333"/>
          <w:sz w:val="24"/>
          <w:szCs w:val="24"/>
        </w:rPr>
        <w:t xml:space="preserve"> and allies in a joint response to know how different communities around the world have been affected, putting at the center the protection of human rights and the actions led by civil society and local grassroots organizations. In </w:t>
      </w:r>
      <w:hyperlink r:id="rId11">
        <w:r>
          <w:rPr>
            <w:rFonts w:ascii="Century Gothic" w:eastAsia="Century Gothic" w:hAnsi="Century Gothic" w:cs="Century Gothic"/>
            <w:color w:val="1155CC"/>
            <w:sz w:val="24"/>
            <w:szCs w:val="24"/>
            <w:u w:val="single"/>
          </w:rPr>
          <w:t>this dedicated page</w:t>
        </w:r>
      </w:hyperlink>
      <w:r>
        <w:rPr>
          <w:rFonts w:ascii="Century Gothic" w:eastAsia="Century Gothic" w:hAnsi="Century Gothic" w:cs="Century Gothic"/>
          <w:color w:val="333333"/>
          <w:sz w:val="24"/>
          <w:szCs w:val="24"/>
        </w:rPr>
        <w:t xml:space="preserve"> you can learn </w:t>
      </w:r>
      <w:r>
        <w:rPr>
          <w:rFonts w:ascii="Century Gothic" w:eastAsia="Century Gothic" w:hAnsi="Century Gothic" w:cs="Century Gothic"/>
          <w:color w:val="333333"/>
          <w:sz w:val="24"/>
          <w:szCs w:val="24"/>
        </w:rPr>
        <w:lastRenderedPageBreak/>
        <w:t>more about the GPR2C actions in response to COVID-19.</w:t>
      </w:r>
    </w:p>
    <w:p w14:paraId="7A8D11B1" w14:textId="77777777" w:rsidR="00D16DF6" w:rsidRDefault="00D16DF6">
      <w:pPr>
        <w:spacing w:line="240" w:lineRule="auto"/>
        <w:jc w:val="both"/>
        <w:rPr>
          <w:rFonts w:ascii="Century Gothic" w:eastAsia="Century Gothic" w:hAnsi="Century Gothic" w:cs="Century Gothic"/>
          <w:b/>
          <w:sz w:val="24"/>
          <w:szCs w:val="24"/>
        </w:rPr>
      </w:pPr>
    </w:p>
    <w:p w14:paraId="7A8D11B2" w14:textId="77777777" w:rsidR="00D16DF6" w:rsidRDefault="00257CD9">
      <w:pPr>
        <w:spacing w:line="240" w:lineRule="auto"/>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Common questions</w:t>
      </w:r>
    </w:p>
    <w:p w14:paraId="7A8D11B3" w14:textId="77777777" w:rsidR="00D16DF6" w:rsidRDefault="00D16DF6">
      <w:pPr>
        <w:spacing w:line="240" w:lineRule="auto"/>
        <w:jc w:val="both"/>
        <w:rPr>
          <w:rFonts w:ascii="Century Gothic" w:eastAsia="Century Gothic" w:hAnsi="Century Gothic" w:cs="Century Gothic"/>
          <w:b/>
          <w:sz w:val="24"/>
          <w:szCs w:val="24"/>
        </w:rPr>
      </w:pPr>
    </w:p>
    <w:p w14:paraId="7A8D11B4" w14:textId="77777777" w:rsidR="00D16DF6" w:rsidRDefault="00257CD9">
      <w:pPr>
        <w:spacing w:line="240" w:lineRule="auto"/>
        <w:jc w:val="both"/>
        <w:rPr>
          <w:rFonts w:ascii="Century Gothic" w:eastAsia="Century Gothic" w:hAnsi="Century Gothic" w:cs="Century Gothic"/>
        </w:rPr>
      </w:pPr>
      <w:r>
        <w:rPr>
          <w:rFonts w:ascii="Century Gothic" w:eastAsia="Century Gothic" w:hAnsi="Century Gothic" w:cs="Century Gothic"/>
          <w:b/>
          <w:color w:val="1F4E79"/>
          <w:sz w:val="24"/>
          <w:szCs w:val="24"/>
        </w:rPr>
        <w:t>Impact on human rights</w:t>
      </w:r>
    </w:p>
    <w:p w14:paraId="7A8D11B5" w14:textId="77777777" w:rsidR="00D16DF6" w:rsidRDefault="00D16DF6">
      <w:pPr>
        <w:spacing w:line="240" w:lineRule="auto"/>
        <w:jc w:val="both"/>
        <w:rPr>
          <w:rFonts w:ascii="Century Gothic" w:eastAsia="Century Gothic" w:hAnsi="Century Gothic" w:cs="Century Gothic"/>
          <w:sz w:val="24"/>
          <w:szCs w:val="24"/>
        </w:rPr>
      </w:pPr>
    </w:p>
    <w:p w14:paraId="7A8D11B6"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 xml:space="preserve">The emergence of the COVID-19 pandemic and its consequences, not only in terms of health, but also </w:t>
      </w:r>
      <w:r>
        <w:rPr>
          <w:rFonts w:ascii="Century Gothic" w:eastAsia="Century Gothic" w:hAnsi="Century Gothic" w:cs="Century Gothic"/>
          <w:color w:val="333333"/>
          <w:sz w:val="24"/>
          <w:szCs w:val="24"/>
          <w:highlight w:val="white"/>
        </w:rPr>
        <w:lastRenderedPageBreak/>
        <w:t xml:space="preserve">concerning the social, economic and political implications of the measures taken by authorities to contain the virus, have inflicted widespread Human Rights </w:t>
      </w:r>
      <w:r>
        <w:rPr>
          <w:rFonts w:ascii="Century Gothic" w:eastAsia="Century Gothic" w:hAnsi="Century Gothic" w:cs="Century Gothic"/>
          <w:color w:val="333333"/>
          <w:sz w:val="24"/>
          <w:szCs w:val="24"/>
          <w:highlight w:val="white"/>
        </w:rPr>
        <w:t>violations around the world. These violations have most touched and affected long standing vulnerable groups such as the homeless, slum dwellers, people threatened by evictions, displacements and collapses of their homes due to natural or everyday occurren</w:t>
      </w:r>
      <w:r>
        <w:rPr>
          <w:rFonts w:ascii="Century Gothic" w:eastAsia="Century Gothic" w:hAnsi="Century Gothic" w:cs="Century Gothic"/>
          <w:color w:val="333333"/>
          <w:sz w:val="24"/>
          <w:szCs w:val="24"/>
          <w:highlight w:val="white"/>
        </w:rPr>
        <w:t xml:space="preserve">ces, informal workers and impoverished </w:t>
      </w:r>
      <w:r>
        <w:rPr>
          <w:rFonts w:ascii="Century Gothic" w:eastAsia="Century Gothic" w:hAnsi="Century Gothic" w:cs="Century Gothic"/>
          <w:color w:val="333333"/>
          <w:sz w:val="24"/>
          <w:szCs w:val="24"/>
          <w:highlight w:val="white"/>
        </w:rPr>
        <w:lastRenderedPageBreak/>
        <w:t xml:space="preserve">people, particularly women, older people and dissidents of all ages, who suffer multiple forms of violence. </w:t>
      </w:r>
    </w:p>
    <w:p w14:paraId="7A8D11B7"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B8"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The social and economic crisis spurred by COVID-19 has exposed the fragility and short-commings of our curr</w:t>
      </w:r>
      <w:r>
        <w:rPr>
          <w:rFonts w:ascii="Century Gothic" w:eastAsia="Century Gothic" w:hAnsi="Century Gothic" w:cs="Century Gothic"/>
          <w:color w:val="333333"/>
          <w:sz w:val="24"/>
          <w:szCs w:val="24"/>
          <w:highlight w:val="white"/>
        </w:rPr>
        <w:t xml:space="preserve">ent economic and social protection systems, which have been historically pointed out by mobilized communities and civil society organizations. The </w:t>
      </w:r>
      <w:r>
        <w:rPr>
          <w:rFonts w:ascii="Century Gothic" w:eastAsia="Century Gothic" w:hAnsi="Century Gothic" w:cs="Century Gothic"/>
          <w:color w:val="333333"/>
          <w:sz w:val="24"/>
          <w:szCs w:val="24"/>
          <w:highlight w:val="white"/>
        </w:rPr>
        <w:lastRenderedPageBreak/>
        <w:t xml:space="preserve">pandemic has also opened the path for an increase in Human Rights violations under the </w:t>
      </w:r>
      <w:hyperlink r:id="rId12">
        <w:r>
          <w:rPr>
            <w:rFonts w:ascii="Century Gothic" w:eastAsia="Century Gothic" w:hAnsi="Century Gothic" w:cs="Century Gothic"/>
            <w:color w:val="1155CC"/>
            <w:sz w:val="24"/>
            <w:szCs w:val="24"/>
            <w:highlight w:val="white"/>
            <w:u w:val="single"/>
          </w:rPr>
          <w:t>“exception” or “emergency”</w:t>
        </w:r>
      </w:hyperlink>
      <w:r>
        <w:rPr>
          <w:rFonts w:ascii="Century Gothic" w:eastAsia="Century Gothic" w:hAnsi="Century Gothic" w:cs="Century Gothic"/>
          <w:color w:val="333333"/>
          <w:sz w:val="24"/>
          <w:szCs w:val="24"/>
          <w:highlight w:val="white"/>
        </w:rPr>
        <w:t xml:space="preserve"> situations declared by States around the world, with episodes of police repression, restrictions to protests and gatherings, limited access to justice,</w:t>
      </w:r>
      <w:r>
        <w:rPr>
          <w:rFonts w:ascii="Century Gothic" w:eastAsia="Century Gothic" w:hAnsi="Century Gothic" w:cs="Century Gothic"/>
          <w:color w:val="333333"/>
          <w:sz w:val="24"/>
          <w:szCs w:val="24"/>
          <w:highlight w:val="white"/>
        </w:rPr>
        <w:t xml:space="preserve"> mass evictions in informal settlements, forced displacements and discriminatory practices against informal workers, homeless, migrants and other vulnerable groups.   </w:t>
      </w:r>
    </w:p>
    <w:p w14:paraId="7A8D11B9"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BA"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At the same time, the crisis has seen the emergence of policies put in place  to addres</w:t>
      </w:r>
      <w:r>
        <w:rPr>
          <w:rFonts w:ascii="Century Gothic" w:eastAsia="Century Gothic" w:hAnsi="Century Gothic" w:cs="Century Gothic"/>
          <w:color w:val="333333"/>
          <w:sz w:val="24"/>
          <w:szCs w:val="24"/>
          <w:highlight w:val="white"/>
        </w:rPr>
        <w:t xml:space="preserve">s vulnerable groups in the face of the pandemic, with measures that go from </w:t>
      </w:r>
      <w:hyperlink r:id="rId13">
        <w:r>
          <w:rPr>
            <w:rFonts w:ascii="Century Gothic" w:eastAsia="Century Gothic" w:hAnsi="Century Gothic" w:cs="Century Gothic"/>
            <w:color w:val="1155CC"/>
            <w:sz w:val="24"/>
            <w:szCs w:val="24"/>
            <w:highlight w:val="white"/>
            <w:u w:val="single"/>
          </w:rPr>
          <w:t>basic income initiatives</w:t>
        </w:r>
      </w:hyperlink>
      <w:r>
        <w:rPr>
          <w:rFonts w:ascii="Century Gothic" w:eastAsia="Century Gothic" w:hAnsi="Century Gothic" w:cs="Century Gothic"/>
          <w:color w:val="333333"/>
          <w:sz w:val="24"/>
          <w:szCs w:val="24"/>
          <w:highlight w:val="white"/>
        </w:rPr>
        <w:t xml:space="preserve">, direct cash transfers, </w:t>
      </w:r>
      <w:hyperlink r:id="rId14">
        <w:r>
          <w:rPr>
            <w:rFonts w:ascii="Century Gothic" w:eastAsia="Century Gothic" w:hAnsi="Century Gothic" w:cs="Century Gothic"/>
            <w:color w:val="1155CC"/>
            <w:sz w:val="24"/>
            <w:szCs w:val="24"/>
            <w:highlight w:val="white"/>
            <w:u w:val="single"/>
          </w:rPr>
          <w:t>moratoriums on evictions</w:t>
        </w:r>
      </w:hyperlink>
      <w:r>
        <w:rPr>
          <w:rFonts w:ascii="Century Gothic" w:eastAsia="Century Gothic" w:hAnsi="Century Gothic" w:cs="Century Gothic"/>
          <w:color w:val="333333"/>
          <w:sz w:val="24"/>
          <w:szCs w:val="24"/>
          <w:highlight w:val="white"/>
        </w:rPr>
        <w:t xml:space="preserve">, </w:t>
      </w:r>
      <w:hyperlink r:id="rId15">
        <w:r>
          <w:rPr>
            <w:rFonts w:ascii="Century Gothic" w:eastAsia="Century Gothic" w:hAnsi="Century Gothic" w:cs="Century Gothic"/>
            <w:color w:val="1155CC"/>
            <w:sz w:val="24"/>
            <w:szCs w:val="24"/>
            <w:highlight w:val="white"/>
            <w:u w:val="single"/>
          </w:rPr>
          <w:t>regularization of undocumented migrants</w:t>
        </w:r>
      </w:hyperlink>
      <w:r>
        <w:rPr>
          <w:rFonts w:ascii="Century Gothic" w:eastAsia="Century Gothic" w:hAnsi="Century Gothic" w:cs="Century Gothic"/>
          <w:color w:val="333333"/>
          <w:sz w:val="24"/>
          <w:szCs w:val="24"/>
          <w:highlight w:val="white"/>
        </w:rPr>
        <w:t xml:space="preserve">, protection to </w:t>
      </w:r>
      <w:hyperlink r:id="rId16">
        <w:r>
          <w:rPr>
            <w:rFonts w:ascii="Century Gothic" w:eastAsia="Century Gothic" w:hAnsi="Century Gothic" w:cs="Century Gothic"/>
            <w:color w:val="1155CC"/>
            <w:sz w:val="24"/>
            <w:szCs w:val="24"/>
            <w:highlight w:val="white"/>
            <w:u w:val="single"/>
          </w:rPr>
          <w:t>women victims</w:t>
        </w:r>
      </w:hyperlink>
      <w:r>
        <w:rPr>
          <w:rFonts w:ascii="Century Gothic" w:eastAsia="Century Gothic" w:hAnsi="Century Gothic" w:cs="Century Gothic"/>
          <w:color w:val="333333"/>
          <w:sz w:val="24"/>
          <w:szCs w:val="24"/>
          <w:highlight w:val="white"/>
        </w:rPr>
        <w:t xml:space="preserve"> of </w:t>
      </w:r>
      <w:hyperlink r:id="rId17">
        <w:r>
          <w:rPr>
            <w:rFonts w:ascii="Century Gothic" w:eastAsia="Century Gothic" w:hAnsi="Century Gothic" w:cs="Century Gothic"/>
            <w:color w:val="1155CC"/>
            <w:sz w:val="24"/>
            <w:szCs w:val="24"/>
            <w:highlight w:val="white"/>
            <w:u w:val="single"/>
          </w:rPr>
          <w:t>domestic violence</w:t>
        </w:r>
      </w:hyperlink>
      <w:r>
        <w:rPr>
          <w:rFonts w:ascii="Century Gothic" w:eastAsia="Century Gothic" w:hAnsi="Century Gothic" w:cs="Century Gothic"/>
          <w:color w:val="333333"/>
          <w:sz w:val="24"/>
          <w:szCs w:val="24"/>
          <w:highlight w:val="white"/>
        </w:rPr>
        <w:t xml:space="preserve"> and repurposing of hotels and other facilities for housing. These policies have in </w:t>
      </w:r>
      <w:r>
        <w:rPr>
          <w:rFonts w:ascii="Century Gothic" w:eastAsia="Century Gothic" w:hAnsi="Century Gothic" w:cs="Century Gothic"/>
          <w:color w:val="333333"/>
          <w:sz w:val="24"/>
          <w:szCs w:val="24"/>
          <w:highlight w:val="white"/>
        </w:rPr>
        <w:lastRenderedPageBreak/>
        <w:t>many cases emerged through the mobilization</w:t>
      </w:r>
      <w:r>
        <w:rPr>
          <w:rFonts w:ascii="Century Gothic" w:eastAsia="Century Gothic" w:hAnsi="Century Gothic" w:cs="Century Gothic"/>
          <w:color w:val="333333"/>
          <w:sz w:val="24"/>
          <w:szCs w:val="24"/>
          <w:highlight w:val="white"/>
        </w:rPr>
        <w:t xml:space="preserve"> of organized civil society and have been overall welcomed, even though in many cases they still present shortcomings. Moreover, as the pandemic evolves around the world, preoccupation arises on whether and how these policies will be continued in the short</w:t>
      </w:r>
      <w:r>
        <w:rPr>
          <w:rFonts w:ascii="Century Gothic" w:eastAsia="Century Gothic" w:hAnsi="Century Gothic" w:cs="Century Gothic"/>
          <w:color w:val="333333"/>
          <w:sz w:val="24"/>
          <w:szCs w:val="24"/>
          <w:highlight w:val="white"/>
        </w:rPr>
        <w:t>, middle and long term, as budgets are re-structured and the terms for the loans from international financial institutions and States are (re)negotiated.</w:t>
      </w:r>
    </w:p>
    <w:p w14:paraId="7A8D11BB"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BC" w14:textId="77777777" w:rsidR="00D16DF6" w:rsidRDefault="00257CD9">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color w:val="333333"/>
          <w:sz w:val="24"/>
          <w:szCs w:val="24"/>
          <w:highlight w:val="white"/>
        </w:rPr>
        <w:t>It is vital that these policies and measures be seen not as punctual emergency responses, but as a pa</w:t>
      </w:r>
      <w:r>
        <w:rPr>
          <w:rFonts w:ascii="Century Gothic" w:eastAsia="Century Gothic" w:hAnsi="Century Gothic" w:cs="Century Gothic"/>
          <w:color w:val="333333"/>
          <w:sz w:val="24"/>
          <w:szCs w:val="24"/>
          <w:highlight w:val="white"/>
        </w:rPr>
        <w:t>rt of an in dept</w:t>
      </w:r>
      <w:r>
        <w:rPr>
          <w:rFonts w:ascii="Century Gothic" w:eastAsia="Century Gothic" w:hAnsi="Century Gothic" w:cs="Century Gothic"/>
          <w:sz w:val="24"/>
          <w:szCs w:val="24"/>
        </w:rPr>
        <w:t>h structural change for both the medium and long term. From the GPR2C, along with our members and allies we have engaged in efforts to debate the challenges that have been exposed by the COVID-19 crisis and start setting the basis of how th</w:t>
      </w:r>
      <w:r>
        <w:rPr>
          <w:rFonts w:ascii="Century Gothic" w:eastAsia="Century Gothic" w:hAnsi="Century Gothic" w:cs="Century Gothic"/>
          <w:sz w:val="24"/>
          <w:szCs w:val="24"/>
        </w:rPr>
        <w:t xml:space="preserve">is long-term transformation could look like. In a </w:t>
      </w:r>
      <w:r>
        <w:rPr>
          <w:rFonts w:ascii="Century Gothic" w:eastAsia="Century Gothic" w:hAnsi="Century Gothic" w:cs="Century Gothic"/>
          <w:sz w:val="24"/>
          <w:szCs w:val="24"/>
        </w:rPr>
        <w:lastRenderedPageBreak/>
        <w:t>statement we have highlighted three particular efforts:</w:t>
      </w:r>
    </w:p>
    <w:p w14:paraId="7A8D11BD" w14:textId="77777777" w:rsidR="00D16DF6" w:rsidRDefault="00D16DF6">
      <w:pPr>
        <w:spacing w:line="240" w:lineRule="auto"/>
        <w:jc w:val="both"/>
        <w:rPr>
          <w:rFonts w:ascii="Century Gothic" w:eastAsia="Century Gothic" w:hAnsi="Century Gothic" w:cs="Century Gothic"/>
          <w:sz w:val="24"/>
          <w:szCs w:val="24"/>
        </w:rPr>
      </w:pPr>
    </w:p>
    <w:p w14:paraId="7A8D11BE" w14:textId="77777777" w:rsidR="00D16DF6" w:rsidRDefault="00257CD9">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1) Recovering and strengthening community public services, under and integral perspective that recognizes the integrality and interdependence of righ</w:t>
      </w:r>
      <w:r>
        <w:rPr>
          <w:rFonts w:ascii="Century Gothic" w:eastAsia="Century Gothic" w:hAnsi="Century Gothic" w:cs="Century Gothic"/>
          <w:sz w:val="24"/>
          <w:szCs w:val="24"/>
        </w:rPr>
        <w:t xml:space="preserve">ts and moving from a </w:t>
      </w:r>
      <w:hyperlink r:id="rId18">
        <w:r>
          <w:rPr>
            <w:rFonts w:ascii="Century Gothic" w:eastAsia="Century Gothic" w:hAnsi="Century Gothic" w:cs="Century Gothic"/>
            <w:color w:val="1155CC"/>
            <w:sz w:val="24"/>
            <w:szCs w:val="24"/>
            <w:u w:val="single"/>
          </w:rPr>
          <w:t>previous trend of privatization of services</w:t>
        </w:r>
      </w:hyperlink>
      <w:r>
        <w:rPr>
          <w:rFonts w:ascii="Century Gothic" w:eastAsia="Century Gothic" w:hAnsi="Century Gothic" w:cs="Century Gothic"/>
          <w:sz w:val="24"/>
          <w:szCs w:val="24"/>
        </w:rPr>
        <w:t xml:space="preserve">; </w:t>
      </w:r>
    </w:p>
    <w:p w14:paraId="7A8D11BF" w14:textId="77777777" w:rsidR="00D16DF6" w:rsidRDefault="00D16DF6">
      <w:pPr>
        <w:spacing w:line="240" w:lineRule="auto"/>
        <w:jc w:val="both"/>
        <w:rPr>
          <w:rFonts w:ascii="Century Gothic" w:eastAsia="Century Gothic" w:hAnsi="Century Gothic" w:cs="Century Gothic"/>
          <w:sz w:val="24"/>
          <w:szCs w:val="24"/>
        </w:rPr>
      </w:pPr>
    </w:p>
    <w:p w14:paraId="7A8D11C0" w14:textId="77777777" w:rsidR="00D16DF6" w:rsidRDefault="00257CD9">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2) Moving towards a care society, recognizing the particular </w:t>
      </w:r>
      <w:hyperlink r:id="rId19">
        <w:r>
          <w:rPr>
            <w:rFonts w:ascii="Century Gothic" w:eastAsia="Century Gothic" w:hAnsi="Century Gothic" w:cs="Century Gothic"/>
            <w:color w:val="1155CC"/>
            <w:sz w:val="24"/>
            <w:szCs w:val="24"/>
            <w:u w:val="single"/>
          </w:rPr>
          <w:t>care role of women within households and communities</w:t>
        </w:r>
      </w:hyperlink>
      <w:r>
        <w:rPr>
          <w:rFonts w:ascii="Century Gothic" w:eastAsia="Century Gothic" w:hAnsi="Century Gothic" w:cs="Century Gothic"/>
          <w:sz w:val="24"/>
          <w:szCs w:val="24"/>
        </w:rPr>
        <w:t>, which was made evident during the pandemic, with the over-representation of wom</w:t>
      </w:r>
      <w:r>
        <w:rPr>
          <w:rFonts w:ascii="Century Gothic" w:eastAsia="Century Gothic" w:hAnsi="Century Gothic" w:cs="Century Gothic"/>
          <w:sz w:val="24"/>
          <w:szCs w:val="24"/>
        </w:rPr>
        <w:t>en in essential services and for the care of families and communities;</w:t>
      </w:r>
    </w:p>
    <w:p w14:paraId="7A8D11C1" w14:textId="77777777" w:rsidR="00D16DF6" w:rsidRDefault="00D16DF6">
      <w:pPr>
        <w:spacing w:line="240" w:lineRule="auto"/>
        <w:jc w:val="both"/>
        <w:rPr>
          <w:rFonts w:ascii="Century Gothic" w:eastAsia="Century Gothic" w:hAnsi="Century Gothic" w:cs="Century Gothic"/>
          <w:sz w:val="24"/>
          <w:szCs w:val="24"/>
        </w:rPr>
      </w:pPr>
    </w:p>
    <w:p w14:paraId="7A8D11C2" w14:textId="77777777" w:rsidR="00D16DF6" w:rsidRDefault="00257CD9">
      <w:pPr>
        <w:spacing w:line="240" w:lineRule="auto"/>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3) Design democratic mechanisms for a massive redistribution of social wealth and an economy at the </w:t>
      </w:r>
      <w:r>
        <w:rPr>
          <w:rFonts w:ascii="Century Gothic" w:eastAsia="Century Gothic" w:hAnsi="Century Gothic" w:cs="Century Gothic"/>
          <w:sz w:val="24"/>
          <w:szCs w:val="24"/>
        </w:rPr>
        <w:lastRenderedPageBreak/>
        <w:t>service of life and the commons, in order to readdress the massive and deep ingrained inequalities observed around the world.</w:t>
      </w:r>
    </w:p>
    <w:p w14:paraId="7A8D11C3" w14:textId="77777777" w:rsidR="00D16DF6" w:rsidRDefault="00D16DF6">
      <w:pPr>
        <w:spacing w:line="240" w:lineRule="auto"/>
        <w:jc w:val="both"/>
        <w:rPr>
          <w:rFonts w:ascii="Century Gothic" w:eastAsia="Century Gothic" w:hAnsi="Century Gothic" w:cs="Century Gothic"/>
          <w:sz w:val="24"/>
          <w:szCs w:val="24"/>
        </w:rPr>
      </w:pPr>
    </w:p>
    <w:p w14:paraId="7A8D11C4"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sz w:val="24"/>
          <w:szCs w:val="24"/>
        </w:rPr>
        <w:t>In this sense, it is importan</w:t>
      </w:r>
      <w:r>
        <w:rPr>
          <w:rFonts w:ascii="Century Gothic" w:eastAsia="Century Gothic" w:hAnsi="Century Gothic" w:cs="Century Gothic"/>
          <w:sz w:val="24"/>
          <w:szCs w:val="24"/>
        </w:rPr>
        <w:t xml:space="preserve">t to note that the COVID-19 has exposed the urgent need to recognize the universality and interdependence of all human rights, for all. The pandemic highlights these issues, showing what we have been defending for long amid the </w:t>
      </w:r>
      <w:r>
        <w:rPr>
          <w:rFonts w:ascii="Century Gothic" w:eastAsia="Century Gothic" w:hAnsi="Century Gothic" w:cs="Century Gothic"/>
          <w:sz w:val="24"/>
          <w:szCs w:val="24"/>
        </w:rPr>
        <w:lastRenderedPageBreak/>
        <w:t>Right to the City moveme</w:t>
      </w:r>
      <w:r>
        <w:rPr>
          <w:rFonts w:ascii="Century Gothic" w:eastAsia="Century Gothic" w:hAnsi="Century Gothic" w:cs="Century Gothic"/>
          <w:color w:val="333333"/>
          <w:sz w:val="24"/>
          <w:szCs w:val="24"/>
          <w:highlight w:val="white"/>
        </w:rPr>
        <w:t xml:space="preserve">nt: </w:t>
      </w:r>
      <w:r>
        <w:rPr>
          <w:rFonts w:ascii="Century Gothic" w:eastAsia="Century Gothic" w:hAnsi="Century Gothic" w:cs="Century Gothic"/>
          <w:color w:val="333333"/>
          <w:sz w:val="24"/>
          <w:szCs w:val="24"/>
          <w:highlight w:val="white"/>
        </w:rPr>
        <w:t>that it is not possible to separate access to water and sanitation from health, housing, food, education, work… For this reason, it is urgent to place a Human Rights approach at the centre of the strategy, both for emergency response and for medium and lon</w:t>
      </w:r>
      <w:r>
        <w:rPr>
          <w:rFonts w:ascii="Century Gothic" w:eastAsia="Century Gothic" w:hAnsi="Century Gothic" w:cs="Century Gothic"/>
          <w:color w:val="333333"/>
          <w:sz w:val="24"/>
          <w:szCs w:val="24"/>
          <w:highlight w:val="white"/>
        </w:rPr>
        <w:t>g-term transformations, which puts the most vulnerable first, recognizes the interdependence and indivisibility of rights and moves towards long-term transformations.</w:t>
      </w:r>
    </w:p>
    <w:p w14:paraId="7A8D11C5"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C6"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C7" w14:textId="77777777" w:rsidR="00D16DF6" w:rsidRDefault="00D16DF6">
      <w:pPr>
        <w:spacing w:line="240" w:lineRule="auto"/>
        <w:jc w:val="both"/>
        <w:rPr>
          <w:rFonts w:ascii="Century Gothic" w:eastAsia="Century Gothic" w:hAnsi="Century Gothic" w:cs="Century Gothic"/>
          <w:sz w:val="24"/>
          <w:szCs w:val="24"/>
        </w:rPr>
      </w:pPr>
    </w:p>
    <w:p w14:paraId="7A8D11C8" w14:textId="77777777" w:rsidR="00D16DF6" w:rsidRDefault="00257CD9">
      <w:pPr>
        <w:spacing w:line="240" w:lineRule="auto"/>
        <w:jc w:val="both"/>
        <w:rPr>
          <w:rFonts w:ascii="Century Gothic" w:eastAsia="Century Gothic" w:hAnsi="Century Gothic" w:cs="Century Gothic"/>
        </w:rPr>
      </w:pPr>
      <w:r>
        <w:rPr>
          <w:rFonts w:ascii="Century Gothic" w:eastAsia="Century Gothic" w:hAnsi="Century Gothic" w:cs="Century Gothic"/>
          <w:b/>
          <w:color w:val="1F4E79"/>
          <w:sz w:val="24"/>
          <w:szCs w:val="24"/>
        </w:rPr>
        <w:t>Statistical information</w:t>
      </w:r>
    </w:p>
    <w:p w14:paraId="7A8D11C9" w14:textId="77777777" w:rsidR="00D16DF6" w:rsidRDefault="00D16DF6">
      <w:pPr>
        <w:rPr>
          <w:rFonts w:ascii="Century Gothic" w:eastAsia="Century Gothic" w:hAnsi="Century Gothic" w:cs="Century Gothic"/>
        </w:rPr>
      </w:pPr>
    </w:p>
    <w:p w14:paraId="7A8D11CA" w14:textId="77777777" w:rsidR="00D16DF6" w:rsidRDefault="00257CD9">
      <w:p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As previously pointed out, between the long standing vulnerab</w:t>
      </w:r>
      <w:r>
        <w:rPr>
          <w:rFonts w:ascii="Century Gothic" w:eastAsia="Century Gothic" w:hAnsi="Century Gothic" w:cs="Century Gothic"/>
          <w:color w:val="333333"/>
          <w:sz w:val="24"/>
          <w:szCs w:val="24"/>
          <w:highlight w:val="white"/>
        </w:rPr>
        <w:t>le groups that have been most affected by the health, social and economic consequences of the COVID-19 crisis are:</w:t>
      </w:r>
    </w:p>
    <w:p w14:paraId="7A8D11CB"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lastRenderedPageBreak/>
        <w:t>The homeless,</w:t>
      </w:r>
    </w:p>
    <w:p w14:paraId="7A8D11CC"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 xml:space="preserve">Slum dwellers, </w:t>
      </w:r>
    </w:p>
    <w:p w14:paraId="7A8D11CD"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People threatened by evictions, displacements and collapses of their homes due to natural or everyday occurrenc</w:t>
      </w:r>
      <w:r>
        <w:rPr>
          <w:rFonts w:ascii="Century Gothic" w:eastAsia="Century Gothic" w:hAnsi="Century Gothic" w:cs="Century Gothic"/>
          <w:color w:val="333333"/>
          <w:sz w:val="24"/>
          <w:szCs w:val="24"/>
          <w:highlight w:val="white"/>
        </w:rPr>
        <w:t xml:space="preserve">es, </w:t>
      </w:r>
    </w:p>
    <w:p w14:paraId="7A8D11CE"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Informal workers and impoverished people,</w:t>
      </w:r>
    </w:p>
    <w:p w14:paraId="7A8D11CF"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Women, older people and dissidents of all ages who suffer multiple forms of violence,</w:t>
      </w:r>
    </w:p>
    <w:p w14:paraId="7A8D11D0"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lastRenderedPageBreak/>
        <w:t>Migrants,</w:t>
      </w:r>
    </w:p>
    <w:p w14:paraId="7A8D11D1" w14:textId="77777777" w:rsidR="00D16DF6" w:rsidRDefault="00257CD9">
      <w:pPr>
        <w:numPr>
          <w:ilvl w:val="0"/>
          <w:numId w:val="1"/>
        </w:numPr>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Indigenous people and racial and ethnic minorities.</w:t>
      </w:r>
    </w:p>
    <w:p w14:paraId="7A8D11D2" w14:textId="77777777" w:rsidR="00D16DF6" w:rsidRDefault="00D16DF6">
      <w:pPr>
        <w:rPr>
          <w:rFonts w:ascii="Century Gothic" w:eastAsia="Century Gothic" w:hAnsi="Century Gothic" w:cs="Century Gothic"/>
          <w:color w:val="333333"/>
          <w:sz w:val="24"/>
          <w:szCs w:val="24"/>
          <w:highlight w:val="white"/>
        </w:rPr>
      </w:pPr>
    </w:p>
    <w:p w14:paraId="7A8D11D3" w14:textId="77777777" w:rsidR="00D16DF6" w:rsidRDefault="00257CD9">
      <w:pPr>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In terms of statistics, it is fundamental that the data bein</w:t>
      </w:r>
      <w:r>
        <w:rPr>
          <w:rFonts w:ascii="Century Gothic" w:eastAsia="Century Gothic" w:hAnsi="Century Gothic" w:cs="Century Gothic"/>
          <w:color w:val="333333"/>
          <w:sz w:val="24"/>
          <w:szCs w:val="24"/>
          <w:highlight w:val="white"/>
        </w:rPr>
        <w:t xml:space="preserve">g produced by authorities and specialized agencies takes into account the different ways in which such groups experience the pandemic, both </w:t>
      </w:r>
      <w:r>
        <w:rPr>
          <w:rFonts w:ascii="Century Gothic" w:eastAsia="Century Gothic" w:hAnsi="Century Gothic" w:cs="Century Gothic"/>
          <w:color w:val="333333"/>
          <w:sz w:val="24"/>
          <w:szCs w:val="24"/>
          <w:highlight w:val="white"/>
        </w:rPr>
        <w:lastRenderedPageBreak/>
        <w:t>in terms of health but also in social and economic terms. It is important to point out that in many cases these grou</w:t>
      </w:r>
      <w:r>
        <w:rPr>
          <w:rFonts w:ascii="Century Gothic" w:eastAsia="Century Gothic" w:hAnsi="Century Gothic" w:cs="Century Gothic"/>
          <w:color w:val="333333"/>
          <w:sz w:val="24"/>
          <w:szCs w:val="24"/>
          <w:highlight w:val="white"/>
        </w:rPr>
        <w:t xml:space="preserve">ps are “statistically invisible” by not being properly taken into account when data is gathered. Special attention should be taken in the case of undocumented migrants, </w:t>
      </w:r>
      <w:hyperlink r:id="rId20">
        <w:r>
          <w:rPr>
            <w:rFonts w:ascii="Century Gothic" w:eastAsia="Century Gothic" w:hAnsi="Century Gothic" w:cs="Century Gothic"/>
            <w:color w:val="1155CC"/>
            <w:sz w:val="24"/>
            <w:szCs w:val="24"/>
            <w:highlight w:val="white"/>
            <w:u w:val="single"/>
          </w:rPr>
          <w:t>informal workers</w:t>
        </w:r>
      </w:hyperlink>
      <w:r>
        <w:rPr>
          <w:rFonts w:ascii="Century Gothic" w:eastAsia="Century Gothic" w:hAnsi="Century Gothic" w:cs="Century Gothic"/>
          <w:color w:val="333333"/>
          <w:sz w:val="24"/>
          <w:szCs w:val="24"/>
          <w:highlight w:val="white"/>
        </w:rPr>
        <w:t xml:space="preserve">, homeless people and those living in “informal” or precarious settlements, who, by not being properly recognized </w:t>
      </w:r>
      <w:r>
        <w:rPr>
          <w:rFonts w:ascii="Century Gothic" w:eastAsia="Century Gothic" w:hAnsi="Century Gothic" w:cs="Century Gothic"/>
          <w:color w:val="333333"/>
          <w:sz w:val="24"/>
          <w:szCs w:val="24"/>
          <w:highlight w:val="white"/>
        </w:rPr>
        <w:lastRenderedPageBreak/>
        <w:t>by formal institutions and mechanisms, are more prone to be underrepresented in terms of da</w:t>
      </w:r>
      <w:r>
        <w:rPr>
          <w:rFonts w:ascii="Century Gothic" w:eastAsia="Century Gothic" w:hAnsi="Century Gothic" w:cs="Century Gothic"/>
          <w:color w:val="333333"/>
          <w:sz w:val="24"/>
          <w:szCs w:val="24"/>
          <w:highlight w:val="white"/>
        </w:rPr>
        <w:t>ta collection and often do not have the adequate access to policies being developed by states during the pandemic, such as cash transfers.</w:t>
      </w:r>
    </w:p>
    <w:p w14:paraId="7A8D11D4" w14:textId="77777777" w:rsidR="00D16DF6" w:rsidRDefault="00D16DF6">
      <w:pPr>
        <w:jc w:val="both"/>
        <w:rPr>
          <w:rFonts w:ascii="Century Gothic" w:eastAsia="Century Gothic" w:hAnsi="Century Gothic" w:cs="Century Gothic"/>
          <w:color w:val="333333"/>
          <w:sz w:val="24"/>
          <w:szCs w:val="24"/>
          <w:highlight w:val="white"/>
        </w:rPr>
      </w:pPr>
    </w:p>
    <w:p w14:paraId="7A8D11D5" w14:textId="77777777" w:rsidR="00D16DF6" w:rsidRDefault="00257CD9">
      <w:pPr>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 xml:space="preserve">Moreover, from a Right to the City perspective, it is also key when dealing with statistical information to </w:t>
      </w:r>
      <w:r>
        <w:rPr>
          <w:rFonts w:ascii="Century Gothic" w:eastAsia="Century Gothic" w:hAnsi="Century Gothic" w:cs="Century Gothic"/>
          <w:color w:val="333333"/>
          <w:sz w:val="24"/>
          <w:szCs w:val="24"/>
          <w:highlight w:val="white"/>
        </w:rPr>
        <w:lastRenderedPageBreak/>
        <w:t>take int</w:t>
      </w:r>
      <w:r>
        <w:rPr>
          <w:rFonts w:ascii="Century Gothic" w:eastAsia="Century Gothic" w:hAnsi="Century Gothic" w:cs="Century Gothic"/>
          <w:color w:val="333333"/>
          <w:sz w:val="24"/>
          <w:szCs w:val="24"/>
          <w:highlight w:val="white"/>
        </w:rPr>
        <w:t xml:space="preserve">o account the </w:t>
      </w:r>
      <w:hyperlink r:id="rId21">
        <w:r>
          <w:rPr>
            <w:rFonts w:ascii="Century Gothic" w:eastAsia="Century Gothic" w:hAnsi="Century Gothic" w:cs="Century Gothic"/>
            <w:color w:val="1155CC"/>
            <w:sz w:val="24"/>
            <w:szCs w:val="24"/>
            <w:highlight w:val="white"/>
            <w:u w:val="single"/>
          </w:rPr>
          <w:t>territorial dimension</w:t>
        </w:r>
      </w:hyperlink>
      <w:r>
        <w:rPr>
          <w:rFonts w:ascii="Century Gothic" w:eastAsia="Century Gothic" w:hAnsi="Century Gothic" w:cs="Century Gothic"/>
          <w:color w:val="333333"/>
          <w:sz w:val="24"/>
          <w:szCs w:val="24"/>
          <w:highlight w:val="white"/>
        </w:rPr>
        <w:t xml:space="preserve"> of the COVID-19 crisis</w:t>
      </w:r>
      <w:r>
        <w:rPr>
          <w:rFonts w:ascii="Century Gothic" w:eastAsia="Century Gothic" w:hAnsi="Century Gothic" w:cs="Century Gothic"/>
          <w:color w:val="333333"/>
          <w:sz w:val="24"/>
          <w:szCs w:val="24"/>
          <w:highlight w:val="white"/>
        </w:rPr>
        <w:t xml:space="preserve"> in its health, social and economic facets. In many cities and territories around the world, the spread of the virus can be observed under a clear territorial dynamic, in which poorer communities living in </w:t>
      </w:r>
      <w:hyperlink r:id="rId22">
        <w:r>
          <w:rPr>
            <w:rFonts w:ascii="Century Gothic" w:eastAsia="Century Gothic" w:hAnsi="Century Gothic" w:cs="Century Gothic"/>
            <w:color w:val="1155CC"/>
            <w:sz w:val="24"/>
            <w:szCs w:val="24"/>
            <w:highlight w:val="white"/>
            <w:u w:val="single"/>
          </w:rPr>
          <w:t>informal settlements</w:t>
        </w:r>
      </w:hyperlink>
      <w:r>
        <w:rPr>
          <w:rFonts w:ascii="Century Gothic" w:eastAsia="Century Gothic" w:hAnsi="Century Gothic" w:cs="Century Gothic"/>
          <w:color w:val="333333"/>
          <w:sz w:val="24"/>
          <w:szCs w:val="24"/>
          <w:highlight w:val="white"/>
        </w:rPr>
        <w:t xml:space="preserve"> or in areas without an adequate provision of basic services have been more affected by the pandemic. It is urgent to take </w:t>
      </w:r>
      <w:r>
        <w:rPr>
          <w:rFonts w:ascii="Century Gothic" w:eastAsia="Century Gothic" w:hAnsi="Century Gothic" w:cs="Century Gothic"/>
          <w:color w:val="333333"/>
          <w:sz w:val="24"/>
          <w:szCs w:val="24"/>
          <w:highlight w:val="white"/>
        </w:rPr>
        <w:lastRenderedPageBreak/>
        <w:t>a territorial approach in the response to the virus, working with community networks to address their</w:t>
      </w:r>
      <w:r>
        <w:rPr>
          <w:rFonts w:ascii="Century Gothic" w:eastAsia="Century Gothic" w:hAnsi="Century Gothic" w:cs="Century Gothic"/>
          <w:color w:val="333333"/>
          <w:sz w:val="24"/>
          <w:szCs w:val="24"/>
          <w:highlight w:val="white"/>
        </w:rPr>
        <w:t xml:space="preserve"> needs. </w:t>
      </w:r>
    </w:p>
    <w:p w14:paraId="7A8D11D6" w14:textId="77777777" w:rsidR="00D16DF6" w:rsidRDefault="00D16DF6">
      <w:pPr>
        <w:jc w:val="both"/>
        <w:rPr>
          <w:rFonts w:ascii="Century Gothic" w:eastAsia="Century Gothic" w:hAnsi="Century Gothic" w:cs="Century Gothic"/>
          <w:color w:val="333333"/>
          <w:sz w:val="24"/>
          <w:szCs w:val="24"/>
          <w:highlight w:val="white"/>
        </w:rPr>
      </w:pPr>
    </w:p>
    <w:p w14:paraId="7A8D11D7" w14:textId="77777777" w:rsidR="00D16DF6" w:rsidRDefault="00D16DF6">
      <w:pPr>
        <w:spacing w:line="240" w:lineRule="auto"/>
        <w:jc w:val="both"/>
        <w:rPr>
          <w:rFonts w:ascii="Century Gothic" w:eastAsia="Century Gothic" w:hAnsi="Century Gothic" w:cs="Century Gothic"/>
          <w:sz w:val="18"/>
          <w:szCs w:val="18"/>
        </w:rPr>
      </w:pPr>
    </w:p>
    <w:p w14:paraId="7A8D11D8" w14:textId="77777777" w:rsidR="00D16DF6" w:rsidRDefault="00D16DF6">
      <w:pPr>
        <w:spacing w:line="240" w:lineRule="auto"/>
        <w:jc w:val="both"/>
        <w:rPr>
          <w:rFonts w:ascii="Century Gothic" w:eastAsia="Century Gothic" w:hAnsi="Century Gothic" w:cs="Century Gothic"/>
          <w:sz w:val="18"/>
          <w:szCs w:val="18"/>
        </w:rPr>
      </w:pPr>
    </w:p>
    <w:p w14:paraId="7A8D11D9" w14:textId="77777777" w:rsidR="00D16DF6" w:rsidRDefault="00257CD9">
      <w:pPr>
        <w:spacing w:line="240" w:lineRule="auto"/>
        <w:jc w:val="both"/>
        <w:rPr>
          <w:rFonts w:ascii="Century Gothic" w:eastAsia="Century Gothic" w:hAnsi="Century Gothic" w:cs="Century Gothic"/>
          <w:b/>
          <w:color w:val="1F4E79"/>
          <w:sz w:val="24"/>
          <w:szCs w:val="24"/>
        </w:rPr>
      </w:pPr>
      <w:r>
        <w:rPr>
          <w:rFonts w:ascii="Century Gothic" w:eastAsia="Century Gothic" w:hAnsi="Century Gothic" w:cs="Century Gothic"/>
          <w:b/>
          <w:color w:val="1F4E79"/>
          <w:sz w:val="24"/>
          <w:szCs w:val="24"/>
        </w:rPr>
        <w:t>Participation and consultation</w:t>
      </w:r>
    </w:p>
    <w:p w14:paraId="7A8D11DA" w14:textId="77777777" w:rsidR="00D16DF6" w:rsidRDefault="00D16DF6">
      <w:pPr>
        <w:spacing w:line="240" w:lineRule="auto"/>
        <w:jc w:val="both"/>
        <w:rPr>
          <w:rFonts w:ascii="Century Gothic" w:eastAsia="Century Gothic" w:hAnsi="Century Gothic" w:cs="Century Gothic"/>
          <w:b/>
          <w:color w:val="1F4E79"/>
          <w:sz w:val="24"/>
          <w:szCs w:val="24"/>
        </w:rPr>
      </w:pPr>
    </w:p>
    <w:p w14:paraId="7A8D11DB" w14:textId="77777777" w:rsidR="00D16DF6" w:rsidRDefault="00257CD9">
      <w:pPr>
        <w:spacing w:after="160" w:line="259"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lastRenderedPageBreak/>
        <w:t>Around the world, the public health efforts to halt the pandemic have largely relied on “exception” or “emergency” measures that have limited participation mechanisms and led to policies and strategies being adopted mostly in a hierarchical, “top-down'' ma</w:t>
      </w:r>
      <w:r>
        <w:rPr>
          <w:rFonts w:ascii="Century Gothic" w:eastAsia="Century Gothic" w:hAnsi="Century Gothic" w:cs="Century Gothic"/>
          <w:color w:val="333333"/>
          <w:sz w:val="24"/>
          <w:szCs w:val="24"/>
          <w:highlight w:val="white"/>
        </w:rPr>
        <w:t>nner and at times with little transparency. In some cases, authorities have responded to calls and mobilizations from the organized civil society, incorpo</w:t>
      </w:r>
      <w:r>
        <w:rPr>
          <w:rFonts w:ascii="Century Gothic" w:eastAsia="Century Gothic" w:hAnsi="Century Gothic" w:cs="Century Gothic"/>
          <w:color w:val="333333"/>
          <w:sz w:val="24"/>
          <w:szCs w:val="24"/>
          <w:highlight w:val="white"/>
        </w:rPr>
        <w:lastRenderedPageBreak/>
        <w:t>rating some of their demands into the official emergency response, as with the development of basic in</w:t>
      </w:r>
      <w:r>
        <w:rPr>
          <w:rFonts w:ascii="Century Gothic" w:eastAsia="Century Gothic" w:hAnsi="Century Gothic" w:cs="Century Gothic"/>
          <w:color w:val="333333"/>
          <w:sz w:val="24"/>
          <w:szCs w:val="24"/>
          <w:highlight w:val="white"/>
        </w:rPr>
        <w:t xml:space="preserve">come programmes or  the moratoriums on evictions put forward in some countries, regions and cities. It is also interesting to note some efforts from </w:t>
      </w:r>
      <w:hyperlink r:id="rId23">
        <w:r>
          <w:rPr>
            <w:rFonts w:ascii="Century Gothic" w:eastAsia="Century Gothic" w:hAnsi="Century Gothic" w:cs="Century Gothic"/>
            <w:color w:val="1155CC"/>
            <w:sz w:val="24"/>
            <w:szCs w:val="24"/>
            <w:highlight w:val="white"/>
            <w:u w:val="single"/>
          </w:rPr>
          <w:t>local authoritie</w:t>
        </w:r>
      </w:hyperlink>
      <w:hyperlink r:id="rId24">
        <w:r>
          <w:rPr>
            <w:rFonts w:ascii="Century Gothic" w:eastAsia="Century Gothic" w:hAnsi="Century Gothic" w:cs="Century Gothic"/>
            <w:color w:val="1155CC"/>
            <w:sz w:val="24"/>
            <w:szCs w:val="24"/>
            <w:highlight w:val="white"/>
            <w:u w:val="single"/>
          </w:rPr>
          <w:t>s</w:t>
        </w:r>
      </w:hyperlink>
      <w:r>
        <w:rPr>
          <w:rFonts w:ascii="Century Gothic" w:eastAsia="Century Gothic" w:hAnsi="Century Gothic" w:cs="Century Gothic"/>
          <w:color w:val="333333"/>
          <w:sz w:val="24"/>
          <w:szCs w:val="24"/>
          <w:highlight w:val="white"/>
        </w:rPr>
        <w:t xml:space="preserve"> to reinforce or put in place ad hoc participation or communication channels with its communities.</w:t>
      </w:r>
    </w:p>
    <w:p w14:paraId="7A8D11DC" w14:textId="77777777" w:rsidR="00D16DF6" w:rsidRDefault="00257CD9">
      <w:pPr>
        <w:spacing w:after="160" w:line="259"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lastRenderedPageBreak/>
        <w:t>However, the issue of lack of transparency still remains, especially in regards to the future o</w:t>
      </w:r>
      <w:r>
        <w:rPr>
          <w:rFonts w:ascii="Century Gothic" w:eastAsia="Century Gothic" w:hAnsi="Century Gothic" w:cs="Century Gothic"/>
          <w:color w:val="333333"/>
          <w:sz w:val="24"/>
          <w:szCs w:val="24"/>
          <w:highlight w:val="white"/>
        </w:rPr>
        <w:t>f the policies implemented during the first months of the pandemic and how they will be continued in the near future, when budgets are revised and normal activity is gradually resumed (with the reopening of courts, for example). In this transition, it is t</w:t>
      </w:r>
      <w:r>
        <w:rPr>
          <w:rFonts w:ascii="Century Gothic" w:eastAsia="Century Gothic" w:hAnsi="Century Gothic" w:cs="Century Gothic"/>
          <w:color w:val="333333"/>
          <w:sz w:val="24"/>
          <w:szCs w:val="24"/>
          <w:highlight w:val="white"/>
        </w:rPr>
        <w:t>herefore fundamental to reinforce horizontal and democratic col</w:t>
      </w:r>
      <w:r>
        <w:rPr>
          <w:rFonts w:ascii="Century Gothic" w:eastAsia="Century Gothic" w:hAnsi="Century Gothic" w:cs="Century Gothic"/>
          <w:color w:val="333333"/>
          <w:sz w:val="24"/>
          <w:szCs w:val="24"/>
          <w:highlight w:val="white"/>
        </w:rPr>
        <w:lastRenderedPageBreak/>
        <w:t>laboration between actors and institutions (government, communities, civil society) at different scales (neighbourhood, city, national, international).</w:t>
      </w:r>
    </w:p>
    <w:p w14:paraId="7A8D11DD" w14:textId="77777777" w:rsidR="00D16DF6" w:rsidRDefault="00257CD9">
      <w:pPr>
        <w:spacing w:after="160" w:line="259" w:lineRule="auto"/>
        <w:jc w:val="both"/>
        <w:rPr>
          <w:rFonts w:ascii="Century Gothic" w:eastAsia="Century Gothic" w:hAnsi="Century Gothic" w:cs="Century Gothic"/>
          <w:shd w:val="clear" w:color="auto" w:fill="FFF2CC"/>
        </w:rPr>
      </w:pPr>
      <w:r>
        <w:rPr>
          <w:rFonts w:ascii="Century Gothic" w:eastAsia="Century Gothic" w:hAnsi="Century Gothic" w:cs="Century Gothic"/>
          <w:color w:val="333333"/>
          <w:sz w:val="24"/>
          <w:szCs w:val="24"/>
          <w:highlight w:val="white"/>
        </w:rPr>
        <w:t>Finally, it is also important to review h</w:t>
      </w:r>
      <w:r>
        <w:rPr>
          <w:rFonts w:ascii="Century Gothic" w:eastAsia="Century Gothic" w:hAnsi="Century Gothic" w:cs="Century Gothic"/>
          <w:color w:val="333333"/>
          <w:sz w:val="24"/>
          <w:szCs w:val="24"/>
          <w:highlight w:val="white"/>
        </w:rPr>
        <w:t xml:space="preserve">ow the restrictions being imposed during the pandemic are affecting the organization of elections in different territories. The GPR2C along with social organizations from France was involved in a </w:t>
      </w:r>
      <w:hyperlink r:id="rId25">
        <w:r>
          <w:rPr>
            <w:rFonts w:ascii="Century Gothic" w:eastAsia="Century Gothic" w:hAnsi="Century Gothic" w:cs="Century Gothic"/>
            <w:color w:val="1155CC"/>
            <w:sz w:val="24"/>
            <w:szCs w:val="24"/>
            <w:highlight w:val="white"/>
            <w:u w:val="single"/>
          </w:rPr>
          <w:t>participat</w:t>
        </w:r>
        <w:r>
          <w:rPr>
            <w:rFonts w:ascii="Century Gothic" w:eastAsia="Century Gothic" w:hAnsi="Century Gothic" w:cs="Century Gothic"/>
            <w:color w:val="1155CC"/>
            <w:sz w:val="24"/>
            <w:szCs w:val="24"/>
            <w:highlight w:val="white"/>
            <w:u w:val="single"/>
          </w:rPr>
          <w:t>ory effort</w:t>
        </w:r>
      </w:hyperlink>
      <w:r>
        <w:rPr>
          <w:rFonts w:ascii="Century Gothic" w:eastAsia="Century Gothic" w:hAnsi="Century Gothic" w:cs="Century Gothic"/>
          <w:color w:val="333333"/>
          <w:sz w:val="24"/>
          <w:szCs w:val="24"/>
          <w:highlight w:val="white"/>
        </w:rPr>
        <w:t xml:space="preserve"> to </w:t>
      </w:r>
      <w:r>
        <w:rPr>
          <w:rFonts w:ascii="Century Gothic" w:eastAsia="Century Gothic" w:hAnsi="Century Gothic" w:cs="Century Gothic"/>
          <w:color w:val="333333"/>
          <w:sz w:val="24"/>
          <w:szCs w:val="24"/>
          <w:highlight w:val="white"/>
        </w:rPr>
        <w:lastRenderedPageBreak/>
        <w:t>engage in the debate of the 2020 municipal elections from a Right to the City point of view. Such initiative was resumed and is being carried out for the second turn of the elections to take place on the 28th of June. If, on one hand, the COV</w:t>
      </w:r>
      <w:r>
        <w:rPr>
          <w:rFonts w:ascii="Century Gothic" w:eastAsia="Century Gothic" w:hAnsi="Century Gothic" w:cs="Century Gothic"/>
          <w:color w:val="333333"/>
          <w:sz w:val="24"/>
          <w:szCs w:val="24"/>
          <w:highlight w:val="white"/>
        </w:rPr>
        <w:t xml:space="preserve">ID-19 crisis and the community mobilization it spurred have reinforced and strengthened the overall debate and community engagement towards the election; on the other, the changes in calendar and the limited </w:t>
      </w:r>
      <w:r>
        <w:rPr>
          <w:rFonts w:ascii="Century Gothic" w:eastAsia="Century Gothic" w:hAnsi="Century Gothic" w:cs="Century Gothic"/>
          <w:color w:val="333333"/>
          <w:sz w:val="24"/>
          <w:szCs w:val="24"/>
          <w:highlight w:val="white"/>
        </w:rPr>
        <w:lastRenderedPageBreak/>
        <w:t>time and possibilities of public events, debates</w:t>
      </w:r>
      <w:r>
        <w:rPr>
          <w:rFonts w:ascii="Century Gothic" w:eastAsia="Century Gothic" w:hAnsi="Century Gothic" w:cs="Century Gothic"/>
          <w:color w:val="333333"/>
          <w:sz w:val="24"/>
          <w:szCs w:val="24"/>
          <w:highlight w:val="white"/>
        </w:rPr>
        <w:t xml:space="preserve"> and demonstrations, have affected the overall development of the electoral cycle.</w:t>
      </w:r>
    </w:p>
    <w:p w14:paraId="7A8D11DE" w14:textId="77777777" w:rsidR="00D16DF6" w:rsidRDefault="00D16DF6">
      <w:pPr>
        <w:spacing w:after="120" w:line="259" w:lineRule="auto"/>
        <w:jc w:val="both"/>
        <w:rPr>
          <w:rFonts w:ascii="Century Gothic" w:eastAsia="Century Gothic" w:hAnsi="Century Gothic" w:cs="Century Gothic"/>
          <w:shd w:val="clear" w:color="auto" w:fill="FFF2CC"/>
        </w:rPr>
      </w:pPr>
    </w:p>
    <w:p w14:paraId="7A8D11DF" w14:textId="77777777" w:rsidR="00D16DF6" w:rsidRDefault="00257CD9">
      <w:pPr>
        <w:spacing w:line="240" w:lineRule="auto"/>
        <w:jc w:val="both"/>
        <w:rPr>
          <w:rFonts w:ascii="Century Gothic" w:eastAsia="Century Gothic" w:hAnsi="Century Gothic" w:cs="Century Gothic"/>
          <w:b/>
          <w:color w:val="1F4E79"/>
          <w:sz w:val="24"/>
          <w:szCs w:val="24"/>
        </w:rPr>
      </w:pPr>
      <w:r>
        <w:rPr>
          <w:rFonts w:ascii="Century Gothic" w:eastAsia="Century Gothic" w:hAnsi="Century Gothic" w:cs="Century Gothic"/>
          <w:b/>
          <w:color w:val="1F4E79"/>
          <w:sz w:val="24"/>
          <w:szCs w:val="24"/>
        </w:rPr>
        <w:t>Internet</w:t>
      </w:r>
    </w:p>
    <w:p w14:paraId="7A8D11E0" w14:textId="77777777" w:rsidR="00D16DF6" w:rsidRDefault="00D16DF6">
      <w:pPr>
        <w:spacing w:line="240" w:lineRule="auto"/>
        <w:jc w:val="both"/>
        <w:rPr>
          <w:rFonts w:ascii="Century Gothic" w:eastAsia="Century Gothic" w:hAnsi="Century Gothic" w:cs="Century Gothic"/>
          <w:b/>
          <w:color w:val="1F4E79"/>
          <w:sz w:val="24"/>
          <w:szCs w:val="24"/>
        </w:rPr>
      </w:pPr>
    </w:p>
    <w:p w14:paraId="7A8D11E1"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 xml:space="preserve">As the social isolation measures put in place during the COVID-19 pandemic have moved important </w:t>
      </w:r>
      <w:r>
        <w:rPr>
          <w:rFonts w:ascii="Century Gothic" w:eastAsia="Century Gothic" w:hAnsi="Century Gothic" w:cs="Century Gothic"/>
          <w:color w:val="333333"/>
          <w:sz w:val="24"/>
          <w:szCs w:val="24"/>
          <w:highlight w:val="white"/>
        </w:rPr>
        <w:lastRenderedPageBreak/>
        <w:t>parts of day to day life towards the internet, inequalities in the</w:t>
      </w:r>
      <w:r>
        <w:rPr>
          <w:rFonts w:ascii="Century Gothic" w:eastAsia="Century Gothic" w:hAnsi="Century Gothic" w:cs="Century Gothic"/>
          <w:color w:val="333333"/>
          <w:sz w:val="24"/>
          <w:szCs w:val="24"/>
          <w:highlight w:val="white"/>
        </w:rPr>
        <w:t xml:space="preserve"> access and use of such platforms have been made evident. First, there is the division between those who were able to adapt their work routine to digital platforms and those who saw themselves unable to maintain their usual economic activities while isolat</w:t>
      </w:r>
      <w:r>
        <w:rPr>
          <w:rFonts w:ascii="Century Gothic" w:eastAsia="Century Gothic" w:hAnsi="Century Gothic" w:cs="Century Gothic"/>
          <w:color w:val="333333"/>
          <w:sz w:val="24"/>
          <w:szCs w:val="24"/>
          <w:highlight w:val="white"/>
        </w:rPr>
        <w:t xml:space="preserve">ion measures are being imposed. </w:t>
      </w:r>
    </w:p>
    <w:p w14:paraId="7A8D11E2"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E3"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lastRenderedPageBreak/>
        <w:t>Then there is the pressing issue of the digital divide, which has become more pressing and urgent than ever during the pandemic. As communities become more and more reliant on the internet to access information, engage wit</w:t>
      </w:r>
      <w:r>
        <w:rPr>
          <w:rFonts w:ascii="Century Gothic" w:eastAsia="Century Gothic" w:hAnsi="Century Gothic" w:cs="Century Gothic"/>
          <w:color w:val="333333"/>
          <w:sz w:val="24"/>
          <w:szCs w:val="24"/>
          <w:highlight w:val="white"/>
        </w:rPr>
        <w:t xml:space="preserve">h public authorities or register to emergency or health assistance, work, study and talk to friends and loved ones, pre existing inequalities are aggravated through the inequality in the access to the internet. </w:t>
      </w:r>
    </w:p>
    <w:p w14:paraId="7A8D11E4" w14:textId="77777777" w:rsidR="00D16DF6" w:rsidRDefault="00D16DF6">
      <w:pPr>
        <w:spacing w:line="240" w:lineRule="auto"/>
        <w:jc w:val="both"/>
        <w:rPr>
          <w:rFonts w:ascii="Century Gothic" w:eastAsia="Century Gothic" w:hAnsi="Century Gothic" w:cs="Century Gothic"/>
          <w:color w:val="333333"/>
          <w:sz w:val="24"/>
          <w:szCs w:val="24"/>
          <w:highlight w:val="white"/>
        </w:rPr>
      </w:pPr>
    </w:p>
    <w:p w14:paraId="7A8D11E5" w14:textId="77777777" w:rsidR="00D16DF6" w:rsidRDefault="00257CD9">
      <w:pPr>
        <w:spacing w:line="240" w:lineRule="auto"/>
        <w:jc w:val="both"/>
        <w:rPr>
          <w:rFonts w:ascii="Century Gothic" w:eastAsia="Century Gothic" w:hAnsi="Century Gothic" w:cs="Century Gothic"/>
          <w:color w:val="333333"/>
          <w:sz w:val="24"/>
          <w:szCs w:val="24"/>
          <w:highlight w:val="white"/>
        </w:rPr>
      </w:pPr>
      <w:r>
        <w:rPr>
          <w:rFonts w:ascii="Century Gothic" w:eastAsia="Century Gothic" w:hAnsi="Century Gothic" w:cs="Century Gothic"/>
          <w:color w:val="333333"/>
          <w:sz w:val="24"/>
          <w:szCs w:val="24"/>
          <w:highlight w:val="white"/>
        </w:rPr>
        <w:t>Right to adequate housing movements have be</w:t>
      </w:r>
      <w:r>
        <w:rPr>
          <w:rFonts w:ascii="Century Gothic" w:eastAsia="Century Gothic" w:hAnsi="Century Gothic" w:cs="Century Gothic"/>
          <w:color w:val="333333"/>
          <w:sz w:val="24"/>
          <w:szCs w:val="24"/>
          <w:highlight w:val="white"/>
        </w:rPr>
        <w:t xml:space="preserve">en pointing out that “stay at home” policies rely on the assumption that there is a widespread access to housing and that the housing conditions for the majority of the population are compatible with such policies. A similar reflection must be carried out </w:t>
      </w:r>
      <w:r>
        <w:rPr>
          <w:rFonts w:ascii="Century Gothic" w:eastAsia="Century Gothic" w:hAnsi="Century Gothic" w:cs="Century Gothic"/>
          <w:color w:val="333333"/>
          <w:sz w:val="24"/>
          <w:szCs w:val="24"/>
          <w:highlight w:val="white"/>
        </w:rPr>
        <w:t xml:space="preserve">in terms of access to the internet, as the pandemic has accelerated a trend that will very likely continue in the </w:t>
      </w:r>
      <w:r>
        <w:rPr>
          <w:rFonts w:ascii="Century Gothic" w:eastAsia="Century Gothic" w:hAnsi="Century Gothic" w:cs="Century Gothic"/>
          <w:color w:val="333333"/>
          <w:sz w:val="24"/>
          <w:szCs w:val="24"/>
          <w:highlight w:val="white"/>
        </w:rPr>
        <w:lastRenderedPageBreak/>
        <w:t>near future with more and more essential day to day activities being carried out online. From a Right to the City perspective, we advocate for</w:t>
      </w:r>
      <w:r>
        <w:rPr>
          <w:rFonts w:ascii="Century Gothic" w:eastAsia="Century Gothic" w:hAnsi="Century Gothic" w:cs="Century Gothic"/>
          <w:color w:val="333333"/>
          <w:sz w:val="24"/>
          <w:szCs w:val="24"/>
          <w:highlight w:val="white"/>
        </w:rPr>
        <w:t xml:space="preserve"> the internet to be considered as a basic service, along the lines of water, electricity and sewage systems. If the digital gap is not urgently addressed, the long term consequences will amplify and deepen pre-existing social, economic and racial inequalit</w:t>
      </w:r>
      <w:r>
        <w:rPr>
          <w:rFonts w:ascii="Century Gothic" w:eastAsia="Century Gothic" w:hAnsi="Century Gothic" w:cs="Century Gothic"/>
          <w:color w:val="333333"/>
          <w:sz w:val="24"/>
          <w:szCs w:val="24"/>
          <w:highlight w:val="white"/>
        </w:rPr>
        <w:t xml:space="preserve">ies, hampering other efforts to reduce them. </w:t>
      </w:r>
    </w:p>
    <w:p w14:paraId="7A8D11E6" w14:textId="77777777" w:rsidR="00D16DF6" w:rsidRDefault="00D16DF6">
      <w:pPr>
        <w:rPr>
          <w:rFonts w:ascii="Century Gothic" w:eastAsia="Century Gothic" w:hAnsi="Century Gothic" w:cs="Century Gothic"/>
        </w:rPr>
      </w:pPr>
    </w:p>
    <w:p w14:paraId="7A8D11E7" w14:textId="77777777" w:rsidR="00D16DF6" w:rsidRDefault="00D16DF6">
      <w:pPr>
        <w:rPr>
          <w:rFonts w:ascii="Century Gothic" w:eastAsia="Century Gothic" w:hAnsi="Century Gothic" w:cs="Century Gothic"/>
        </w:rPr>
      </w:pPr>
    </w:p>
    <w:p w14:paraId="7A8D11E8" w14:textId="77777777" w:rsidR="00D16DF6" w:rsidRDefault="00D16DF6">
      <w:pPr>
        <w:spacing w:line="240" w:lineRule="auto"/>
        <w:jc w:val="both"/>
        <w:rPr>
          <w:rFonts w:ascii="Century Gothic" w:eastAsia="Century Gothic" w:hAnsi="Century Gothic" w:cs="Century Gothic"/>
        </w:rPr>
      </w:pPr>
    </w:p>
    <w:sectPr w:rsidR="00D16DF6">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D11EE" w14:textId="77777777" w:rsidR="00000000" w:rsidRDefault="00257CD9">
      <w:pPr>
        <w:spacing w:line="240" w:lineRule="auto"/>
      </w:pPr>
      <w:r>
        <w:separator/>
      </w:r>
    </w:p>
  </w:endnote>
  <w:endnote w:type="continuationSeparator" w:id="0">
    <w:p w14:paraId="7A8D11F0" w14:textId="77777777" w:rsidR="00000000" w:rsidRDefault="00257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D11EA" w14:textId="77777777" w:rsidR="00000000" w:rsidRDefault="00257CD9">
      <w:pPr>
        <w:spacing w:line="240" w:lineRule="auto"/>
      </w:pPr>
      <w:r>
        <w:separator/>
      </w:r>
    </w:p>
  </w:footnote>
  <w:footnote w:type="continuationSeparator" w:id="0">
    <w:p w14:paraId="7A8D11EC" w14:textId="77777777" w:rsidR="00000000" w:rsidRDefault="00257C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D11E9" w14:textId="77777777" w:rsidR="00D16DF6" w:rsidRDefault="00257CD9">
    <w:pPr>
      <w:tabs>
        <w:tab w:val="center" w:pos="4252"/>
        <w:tab w:val="right" w:pos="8504"/>
      </w:tabs>
      <w:spacing w:line="240" w:lineRule="auto"/>
      <w:jc w:val="center"/>
    </w:pPr>
    <w:r>
      <w:rPr>
        <w:rFonts w:ascii="Calibri" w:eastAsia="Calibri" w:hAnsi="Calibri" w:cs="Calibri"/>
        <w:noProof/>
        <w:lang w:val="en-GB"/>
      </w:rPr>
      <w:drawing>
        <wp:inline distT="0" distB="0" distL="0" distR="0" wp14:anchorId="7A8D11EA" wp14:editId="7A8D11EB">
          <wp:extent cx="4328418" cy="957403"/>
          <wp:effectExtent l="0" t="0" r="0" b="0"/>
          <wp:docPr id="1" name="image1.jpg" descr="Logo GPR2C 2018 horizontal.jpg"/>
          <wp:cNvGraphicFramePr/>
          <a:graphic xmlns:a="http://schemas.openxmlformats.org/drawingml/2006/main">
            <a:graphicData uri="http://schemas.openxmlformats.org/drawingml/2006/picture">
              <pic:pic xmlns:pic="http://schemas.openxmlformats.org/drawingml/2006/picture">
                <pic:nvPicPr>
                  <pic:cNvPr id="0" name="image1.jpg" descr="Logo GPR2C 2018 horizontal.jpg"/>
                  <pic:cNvPicPr preferRelativeResize="0"/>
                </pic:nvPicPr>
                <pic:blipFill>
                  <a:blip r:embed="rId1"/>
                  <a:srcRect/>
                  <a:stretch>
                    <a:fillRect/>
                  </a:stretch>
                </pic:blipFill>
                <pic:spPr>
                  <a:xfrm>
                    <a:off x="0" y="0"/>
                    <a:ext cx="4328418" cy="957403"/>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2ACC"/>
    <w:multiLevelType w:val="multilevel"/>
    <w:tmpl w:val="2A128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F6"/>
    <w:rsid w:val="00257CD9"/>
    <w:rsid w:val="00D1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8D11A7"/>
  <w15:docId w15:val="{62D70977-4BB2-4E9E-8316-45B79B4F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ndabasica.org.br/" TargetMode="External"/><Relationship Id="rId18" Type="http://schemas.openxmlformats.org/officeDocument/2006/relationships/hyperlink" Target="https://www.tni.org/en/collection/remunicipalisa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operamundi.uol.com.br/analise/65231/contexto-territorial-e-acao-coletiva-no-enfrentamento-da-covid-19?fbclid=IwAR2bDsgVBe1Cedo0N-vW3aE4Skff54Y87DFB_aOng-RLKGIVd3_hx9jPKjQ" TargetMode="External"/><Relationship Id="rId7" Type="http://schemas.openxmlformats.org/officeDocument/2006/relationships/webSettings" Target="webSettings.xml"/><Relationship Id="rId12" Type="http://schemas.openxmlformats.org/officeDocument/2006/relationships/hyperlink" Target="https://www.ohchr.org/EN/NewsEvents/Pages/DisplayNews.aspx?NewsID=25828&amp;LangID=E" TargetMode="External"/><Relationship Id="rId17" Type="http://schemas.openxmlformats.org/officeDocument/2006/relationships/hyperlink" Target="https://www.undp.org/content/undp/en/home/librarypage/womens-empowerment/gender-based-violence-and-covid-19.html" TargetMode="External"/><Relationship Id="rId25" Type="http://schemas.openxmlformats.org/officeDocument/2006/relationships/hyperlink" Target="http://agendadroitalaville.fr/" TargetMode="External"/><Relationship Id="rId2" Type="http://schemas.openxmlformats.org/officeDocument/2006/relationships/customXml" Target="../customXml/item2.xml"/><Relationship Id="rId16" Type="http://schemas.openxmlformats.org/officeDocument/2006/relationships/hyperlink" Target="https://www.lavanguardia.com/internacional/20200324/4887747258/uruguay-protegera-a-mujeres-victimas-de-violencia-aisladas-por-el-covid-19.html" TargetMode="External"/><Relationship Id="rId20" Type="http://schemas.openxmlformats.org/officeDocument/2006/relationships/hyperlink" Target="https://www.wiego.org/sites/default/files/resources/file/Impact_on_livelihoods_COVID-19_final_EN_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ht2city.org/the-right-to-the-city-facing-covid-19/" TargetMode="External"/><Relationship Id="rId24" Type="http://schemas.openxmlformats.org/officeDocument/2006/relationships/hyperlink" Target="https://participate.oidp.net/processes/COVID19?locale=en" TargetMode="External"/><Relationship Id="rId5" Type="http://schemas.openxmlformats.org/officeDocument/2006/relationships/styles" Target="styles.xml"/><Relationship Id="rId15" Type="http://schemas.openxmlformats.org/officeDocument/2006/relationships/hyperlink" Target="https://www.reuters.com/article/us-health-coronavirus-portugal/portugal-to-treat-migrants-as-residents-during-coronavirus-crisis-idUSKBN21F0N7" TargetMode="External"/><Relationship Id="rId23" Type="http://schemas.openxmlformats.org/officeDocument/2006/relationships/hyperlink" Target="https://participate.oidp.net/processes/COVID19?locale=en" TargetMode="External"/><Relationship Id="rId28" Type="http://schemas.openxmlformats.org/officeDocument/2006/relationships/theme" Target="theme/theme1.xml"/><Relationship Id="rId10" Type="http://schemas.openxmlformats.org/officeDocument/2006/relationships/hyperlink" Target="https://www.right2city.org/" TargetMode="External"/><Relationship Id="rId19" Type="http://schemas.openxmlformats.org/officeDocument/2006/relationships/hyperlink" Target="https://15ddb661-9c28-4c13-8926-e8646d7e533a.usrfiles.com/ugd/15ddb6_f2d454514f70496a8a37b093a182c84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bitants.org/zero_evictions_campaign/zero_evictions_for_coronavirus/international_call_zero_evictions_for_coronavirus" TargetMode="External"/><Relationship Id="rId22" Type="http://schemas.openxmlformats.org/officeDocument/2006/relationships/hyperlink" Target="https://www.covid-19.caminosdelavilla.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33E88-9944-48A4-87FA-CB534794833B}">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BCD3B3-089E-4501-B4F5-8E838D6A557F}"/>
</file>

<file path=customXml/itemProps3.xml><?xml version="1.0" encoding="utf-8"?>
<ds:datastoreItem xmlns:ds="http://schemas.openxmlformats.org/officeDocument/2006/customXml" ds:itemID="{F50853FB-B1E7-47D6-8046-656577AB41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2020-06-25T22:25:00Z</dcterms:created>
  <dcterms:modified xsi:type="dcterms:W3CDTF">2020-06-25T22:25:00Z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