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E1" w:rsidRPr="00487EE1" w:rsidRDefault="00487EE1" w:rsidP="00310C5F">
      <w:pPr>
        <w:jc w:val="center"/>
        <w:rPr>
          <w:rFonts w:ascii="Arial" w:hAnsi="Arial" w:cs="Arial"/>
          <w:b/>
        </w:rPr>
      </w:pPr>
      <w:bookmarkStart w:id="0" w:name="_GoBack"/>
      <w:bookmarkEnd w:id="0"/>
      <w:r w:rsidRPr="00487EE1">
        <w:rPr>
          <w:rFonts w:ascii="Arial" w:hAnsi="Arial" w:cs="Arial"/>
          <w:b/>
        </w:rPr>
        <w:t>Anexo</w:t>
      </w:r>
      <w:r>
        <w:rPr>
          <w:rFonts w:ascii="Arial" w:hAnsi="Arial" w:cs="Arial"/>
          <w:b/>
        </w:rPr>
        <w:t xml:space="preserve"> II</w:t>
      </w:r>
      <w:r w:rsidR="00310C5F">
        <w:rPr>
          <w:rFonts w:ascii="Arial" w:hAnsi="Arial" w:cs="Arial"/>
          <w:b/>
        </w:rPr>
        <w:t xml:space="preserve"> -</w:t>
      </w:r>
      <w:r w:rsidRPr="00487EE1">
        <w:rPr>
          <w:rFonts w:ascii="Arial" w:hAnsi="Arial" w:cs="Arial"/>
          <w:b/>
        </w:rPr>
        <w:t>Referencias al Marco Normativo sobre el derecho de Acceso a la Verdad</w:t>
      </w:r>
      <w:r w:rsidR="00310C5F">
        <w:rPr>
          <w:rFonts w:ascii="Arial" w:hAnsi="Arial" w:cs="Arial"/>
          <w:b/>
        </w:rPr>
        <w:t>.</w:t>
      </w:r>
    </w:p>
    <w:p w:rsidR="00487EE1" w:rsidRDefault="00487EE1" w:rsidP="00310C5F">
      <w:pPr>
        <w:jc w:val="both"/>
      </w:pPr>
    </w:p>
    <w:p w:rsidR="00487EE1" w:rsidRPr="00487EE1" w:rsidRDefault="00487EE1" w:rsidP="00310C5F">
      <w:pPr>
        <w:jc w:val="both"/>
        <w:rPr>
          <w:rFonts w:ascii="Arial" w:hAnsi="Arial" w:cs="Arial"/>
          <w:b/>
        </w:rPr>
      </w:pPr>
      <w:r w:rsidRPr="00487EE1">
        <w:rPr>
          <w:rFonts w:ascii="Arial" w:hAnsi="Arial" w:cs="Arial"/>
          <w:b/>
        </w:rPr>
        <w:t xml:space="preserve">Constitución Política de los Estados Unidos Mexicanos.  </w:t>
      </w:r>
    </w:p>
    <w:p w:rsidR="00487EE1" w:rsidRDefault="00487EE1" w:rsidP="00310C5F">
      <w:pPr>
        <w:jc w:val="both"/>
        <w:rPr>
          <w:rFonts w:ascii="Arial" w:hAnsi="Arial" w:cs="Arial"/>
          <w:sz w:val="22"/>
        </w:rPr>
      </w:pPr>
    </w:p>
    <w:p w:rsidR="00487EE1" w:rsidRPr="0076602C" w:rsidRDefault="00487EE1" w:rsidP="00310C5F">
      <w:pPr>
        <w:jc w:val="both"/>
        <w:rPr>
          <w:rFonts w:ascii="Arial" w:hAnsi="Arial" w:cs="Arial"/>
          <w:sz w:val="22"/>
        </w:rPr>
      </w:pPr>
      <w:r>
        <w:rPr>
          <w:rFonts w:ascii="Arial" w:hAnsi="Arial" w:cs="Arial"/>
          <w:sz w:val="22"/>
        </w:rPr>
        <w:t>L</w:t>
      </w:r>
      <w:r w:rsidRPr="0076602C">
        <w:rPr>
          <w:rFonts w:ascii="Arial" w:hAnsi="Arial" w:cs="Arial"/>
          <w:sz w:val="22"/>
        </w:rPr>
        <w:t>os artículos 6° y 8° de la Constitución Política de los Estados Unidos Mexicanos, los cuales establecen lo siguiente:</w:t>
      </w:r>
    </w:p>
    <w:p w:rsidR="00487EE1" w:rsidRPr="0076602C" w:rsidRDefault="00487EE1" w:rsidP="00310C5F">
      <w:pPr>
        <w:jc w:val="both"/>
        <w:rPr>
          <w:rFonts w:ascii="Arial" w:hAnsi="Arial" w:cs="Arial"/>
          <w:sz w:val="22"/>
        </w:rPr>
      </w:pPr>
    </w:p>
    <w:p w:rsidR="00487EE1" w:rsidRPr="0076602C" w:rsidRDefault="00487EE1" w:rsidP="00310C5F">
      <w:pPr>
        <w:ind w:right="567"/>
        <w:jc w:val="both"/>
        <w:rPr>
          <w:rFonts w:ascii="Arial" w:hAnsi="Arial" w:cs="Arial"/>
          <w:sz w:val="22"/>
        </w:rPr>
      </w:pPr>
      <w:r w:rsidRPr="0076602C">
        <w:rPr>
          <w:rFonts w:ascii="Arial" w:hAnsi="Arial" w:cs="Arial"/>
          <w:b/>
          <w:bCs/>
          <w:sz w:val="22"/>
        </w:rPr>
        <w:t xml:space="preserve">“Artículo 6o. </w:t>
      </w:r>
      <w:r w:rsidRPr="0076602C">
        <w:rPr>
          <w:rFonts w:ascii="Arial" w:hAnsi="Arial" w:cs="Arial"/>
          <w:sz w:val="22"/>
        </w:rPr>
        <w:t xml:space="preserve">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w:t>
      </w:r>
      <w:r w:rsidRPr="0076602C">
        <w:rPr>
          <w:rFonts w:ascii="Arial" w:hAnsi="Arial" w:cs="Arial"/>
          <w:b/>
          <w:sz w:val="22"/>
        </w:rPr>
        <w:t>El derecho a la información será garantizado por el Estado.</w:t>
      </w:r>
    </w:p>
    <w:p w:rsidR="00487EE1" w:rsidRPr="0076602C" w:rsidRDefault="00487EE1" w:rsidP="00310C5F">
      <w:pPr>
        <w:ind w:right="567"/>
        <w:jc w:val="both"/>
        <w:rPr>
          <w:rFonts w:ascii="Arial" w:hAnsi="Arial" w:cs="Arial"/>
          <w:sz w:val="22"/>
        </w:rPr>
      </w:pPr>
    </w:p>
    <w:p w:rsidR="00487EE1" w:rsidRPr="0076602C" w:rsidRDefault="00487EE1" w:rsidP="00310C5F">
      <w:pPr>
        <w:ind w:right="567"/>
        <w:jc w:val="both"/>
        <w:rPr>
          <w:rFonts w:ascii="Arial" w:hAnsi="Arial" w:cs="Arial"/>
          <w:sz w:val="22"/>
        </w:rPr>
      </w:pPr>
      <w:r w:rsidRPr="0076602C">
        <w:rPr>
          <w:rFonts w:ascii="Arial" w:hAnsi="Arial" w:cs="Arial"/>
          <w:sz w:val="22"/>
        </w:rPr>
        <w:t>Para el ejercicio del derecho de acceso a la información, la Federación, los Estados y el Distrito Federal, en el ámbito de sus respectivas competencias, se regirán por los siguientes principios y bases:</w:t>
      </w:r>
    </w:p>
    <w:p w:rsidR="00487EE1" w:rsidRPr="0076602C" w:rsidRDefault="00487EE1" w:rsidP="00310C5F">
      <w:pPr>
        <w:ind w:right="567"/>
        <w:jc w:val="both"/>
        <w:rPr>
          <w:rFonts w:ascii="Arial" w:hAnsi="Arial" w:cs="Arial"/>
          <w:sz w:val="22"/>
        </w:rPr>
      </w:pPr>
    </w:p>
    <w:p w:rsidR="00487EE1" w:rsidRPr="0076602C" w:rsidRDefault="00487EE1" w:rsidP="00310C5F">
      <w:pPr>
        <w:ind w:right="567"/>
        <w:jc w:val="both"/>
        <w:rPr>
          <w:rFonts w:ascii="Arial" w:hAnsi="Arial" w:cs="Arial"/>
          <w:sz w:val="22"/>
        </w:rPr>
      </w:pPr>
      <w:r w:rsidRPr="0076602C">
        <w:rPr>
          <w:rFonts w:ascii="Arial" w:hAnsi="Arial" w:cs="Arial"/>
          <w:b/>
          <w:bCs/>
          <w:sz w:val="22"/>
        </w:rPr>
        <w:t xml:space="preserve">I. </w:t>
      </w:r>
      <w:r w:rsidRPr="0076602C">
        <w:rPr>
          <w:rFonts w:ascii="Arial" w:hAnsi="Arial" w:cs="Arial"/>
          <w:b/>
          <w:sz w:val="22"/>
        </w:rPr>
        <w:t>Toda la información en posesión de cualquier autoridad, entidad, órgano y organismo federal, estatal y municipal, es pública</w:t>
      </w:r>
      <w:r w:rsidRPr="0076602C">
        <w:rPr>
          <w:rFonts w:ascii="Arial" w:hAnsi="Arial" w:cs="Arial"/>
          <w:sz w:val="22"/>
        </w:rPr>
        <w:t xml:space="preserve"> y sólo podrá ser reservada temporalmente por razones de interés público en los términos que fijen las leyes. En la interpretación de este derecho </w:t>
      </w:r>
      <w:r w:rsidRPr="0076602C">
        <w:rPr>
          <w:rFonts w:ascii="Arial" w:hAnsi="Arial" w:cs="Arial"/>
          <w:b/>
          <w:sz w:val="22"/>
        </w:rPr>
        <w:t>deberá prevalecer el principio de máxima publicidad.</w:t>
      </w:r>
    </w:p>
    <w:p w:rsidR="00487EE1" w:rsidRDefault="00487EE1" w:rsidP="00310C5F">
      <w:pPr>
        <w:ind w:right="567"/>
        <w:jc w:val="both"/>
        <w:rPr>
          <w:rFonts w:ascii="Arial" w:hAnsi="Arial" w:cs="Arial"/>
          <w:b/>
          <w:bCs/>
          <w:sz w:val="22"/>
        </w:rPr>
      </w:pPr>
    </w:p>
    <w:p w:rsidR="00487EE1" w:rsidRPr="0076602C" w:rsidRDefault="00487EE1" w:rsidP="00310C5F">
      <w:pPr>
        <w:ind w:right="567"/>
        <w:jc w:val="both"/>
        <w:rPr>
          <w:rFonts w:ascii="Arial" w:hAnsi="Arial" w:cs="Arial"/>
          <w:sz w:val="22"/>
        </w:rPr>
      </w:pPr>
      <w:r w:rsidRPr="0076602C">
        <w:rPr>
          <w:rFonts w:ascii="Arial" w:hAnsi="Arial" w:cs="Arial"/>
          <w:b/>
          <w:bCs/>
          <w:sz w:val="22"/>
        </w:rPr>
        <w:t xml:space="preserve">III. </w:t>
      </w:r>
      <w:r w:rsidRPr="0076602C">
        <w:rPr>
          <w:rFonts w:ascii="Arial" w:hAnsi="Arial" w:cs="Arial"/>
          <w:b/>
          <w:sz w:val="22"/>
        </w:rPr>
        <w:t>Toda persona, sin necesidad de acreditar interés alguno o justificar su utilización, tendrá acceso gratuito a la información pública</w:t>
      </w:r>
      <w:r w:rsidRPr="0076602C">
        <w:rPr>
          <w:rFonts w:ascii="Arial" w:hAnsi="Arial" w:cs="Arial"/>
          <w:sz w:val="22"/>
        </w:rPr>
        <w:t>, a sus datos personales o a la rectificación de éstos.</w:t>
      </w:r>
    </w:p>
    <w:p w:rsidR="00487EE1" w:rsidRPr="0076602C" w:rsidRDefault="00487EE1" w:rsidP="00310C5F">
      <w:pPr>
        <w:ind w:right="567"/>
        <w:jc w:val="both"/>
        <w:rPr>
          <w:rFonts w:ascii="Arial" w:hAnsi="Arial" w:cs="Arial"/>
          <w:sz w:val="22"/>
        </w:rPr>
      </w:pPr>
    </w:p>
    <w:p w:rsidR="00487EE1" w:rsidRPr="0076602C" w:rsidRDefault="00487EE1" w:rsidP="00310C5F">
      <w:pPr>
        <w:ind w:right="567"/>
        <w:jc w:val="both"/>
        <w:rPr>
          <w:rFonts w:ascii="Arial" w:hAnsi="Arial" w:cs="Arial"/>
          <w:sz w:val="22"/>
        </w:rPr>
      </w:pPr>
      <w:r w:rsidRPr="0076602C">
        <w:rPr>
          <w:rFonts w:ascii="Arial" w:hAnsi="Arial" w:cs="Arial"/>
          <w:b/>
          <w:bCs/>
          <w:sz w:val="22"/>
        </w:rPr>
        <w:t xml:space="preserve">IV. </w:t>
      </w:r>
      <w:r w:rsidRPr="0076602C">
        <w:rPr>
          <w:rFonts w:ascii="Arial" w:hAnsi="Arial" w:cs="Arial"/>
          <w:b/>
          <w:sz w:val="22"/>
        </w:rPr>
        <w:t>Se establecerán mecanismos de acceso a la información</w:t>
      </w:r>
      <w:r w:rsidRPr="0076602C">
        <w:rPr>
          <w:rFonts w:ascii="Arial" w:hAnsi="Arial" w:cs="Arial"/>
          <w:sz w:val="22"/>
        </w:rPr>
        <w:t xml:space="preserve"> y procedimientos de revisión </w:t>
      </w:r>
      <w:r w:rsidRPr="0076602C">
        <w:rPr>
          <w:rFonts w:ascii="Arial" w:hAnsi="Arial" w:cs="Arial"/>
          <w:b/>
          <w:sz w:val="22"/>
        </w:rPr>
        <w:t>expeditos</w:t>
      </w:r>
      <w:r w:rsidRPr="0076602C">
        <w:rPr>
          <w:rFonts w:ascii="Arial" w:hAnsi="Arial" w:cs="Arial"/>
          <w:sz w:val="22"/>
        </w:rPr>
        <w:t>.</w:t>
      </w:r>
      <w:r>
        <w:rPr>
          <w:rFonts w:ascii="Arial" w:hAnsi="Arial" w:cs="Arial"/>
          <w:sz w:val="22"/>
        </w:rPr>
        <w:t xml:space="preserve"> </w:t>
      </w:r>
      <w:r w:rsidRPr="0076602C">
        <w:rPr>
          <w:rFonts w:ascii="Arial" w:hAnsi="Arial" w:cs="Arial"/>
          <w:sz w:val="22"/>
        </w:rPr>
        <w:t>Estos procedimientos se sustanciarán ante órganos u organismos especializados e imparciales, y con autonomía operativa, de gestión y de decisión.</w:t>
      </w:r>
    </w:p>
    <w:p w:rsidR="00487EE1" w:rsidRPr="0076602C" w:rsidRDefault="00487EE1" w:rsidP="00310C5F">
      <w:pPr>
        <w:ind w:right="567"/>
        <w:jc w:val="both"/>
        <w:rPr>
          <w:rFonts w:ascii="Arial" w:hAnsi="Arial" w:cs="Arial"/>
          <w:sz w:val="22"/>
        </w:rPr>
      </w:pPr>
    </w:p>
    <w:p w:rsidR="00487EE1" w:rsidRPr="0076602C" w:rsidRDefault="00487EE1" w:rsidP="00310C5F">
      <w:pPr>
        <w:ind w:right="567"/>
        <w:jc w:val="both"/>
        <w:rPr>
          <w:rFonts w:ascii="Arial" w:hAnsi="Arial" w:cs="Arial"/>
          <w:sz w:val="22"/>
        </w:rPr>
      </w:pPr>
      <w:r w:rsidRPr="0076602C">
        <w:rPr>
          <w:rFonts w:ascii="Arial" w:hAnsi="Arial" w:cs="Arial"/>
          <w:b/>
          <w:bCs/>
          <w:sz w:val="22"/>
        </w:rPr>
        <w:t xml:space="preserve">VII. </w:t>
      </w:r>
      <w:r w:rsidRPr="0076602C">
        <w:rPr>
          <w:rFonts w:ascii="Arial" w:hAnsi="Arial" w:cs="Arial"/>
          <w:sz w:val="22"/>
        </w:rPr>
        <w:t>La inobservancia a las disposiciones en materia de acceso a la información pública será sancionada en los términos que dispongan las leyes.</w:t>
      </w:r>
    </w:p>
    <w:p w:rsidR="00487EE1" w:rsidRPr="0076602C" w:rsidRDefault="00487EE1" w:rsidP="00310C5F">
      <w:pPr>
        <w:ind w:right="567"/>
        <w:jc w:val="both"/>
        <w:rPr>
          <w:rFonts w:ascii="Arial" w:hAnsi="Arial" w:cs="Arial"/>
          <w:sz w:val="22"/>
        </w:rPr>
      </w:pPr>
    </w:p>
    <w:p w:rsidR="00487EE1" w:rsidRDefault="00487EE1" w:rsidP="00310C5F">
      <w:pPr>
        <w:ind w:right="567"/>
        <w:jc w:val="both"/>
        <w:rPr>
          <w:rFonts w:ascii="Arial" w:hAnsi="Arial" w:cs="Arial"/>
          <w:sz w:val="22"/>
        </w:rPr>
      </w:pPr>
      <w:r w:rsidRPr="0076602C">
        <w:rPr>
          <w:rFonts w:ascii="Arial" w:hAnsi="Arial" w:cs="Arial"/>
          <w:b/>
          <w:bCs/>
          <w:sz w:val="22"/>
        </w:rPr>
        <w:t xml:space="preserve">Artículo 8o. </w:t>
      </w:r>
      <w:r w:rsidRPr="0076602C">
        <w:rPr>
          <w:rFonts w:ascii="Arial" w:hAnsi="Arial" w:cs="Arial"/>
          <w:b/>
          <w:sz w:val="22"/>
        </w:rPr>
        <w:t>Los</w:t>
      </w:r>
      <w:r w:rsidRPr="0076602C">
        <w:rPr>
          <w:rFonts w:ascii="Arial" w:hAnsi="Arial" w:cs="Arial"/>
          <w:sz w:val="22"/>
        </w:rPr>
        <w:t xml:space="preserve"> </w:t>
      </w:r>
      <w:r w:rsidRPr="0076602C">
        <w:rPr>
          <w:rFonts w:ascii="Arial" w:hAnsi="Arial" w:cs="Arial"/>
          <w:b/>
          <w:sz w:val="22"/>
        </w:rPr>
        <w:t>funcionarios y empleados públicos respetarán el ejercicio del derecho de petición</w:t>
      </w:r>
      <w:r w:rsidRPr="0076602C">
        <w:rPr>
          <w:rFonts w:ascii="Arial" w:hAnsi="Arial" w:cs="Arial"/>
          <w:sz w:val="22"/>
        </w:rPr>
        <w:t>, siempre que ésta se formule por escrito, de manera pacífica y respetuosa; pero en materia política sólo podrán hacer uso de ese derecho los ciudadanos de la República.</w:t>
      </w:r>
    </w:p>
    <w:p w:rsidR="00487EE1" w:rsidRDefault="00487EE1" w:rsidP="00310C5F">
      <w:pPr>
        <w:ind w:right="567"/>
        <w:jc w:val="both"/>
        <w:rPr>
          <w:rFonts w:ascii="Arial" w:hAnsi="Arial" w:cs="Arial"/>
          <w:sz w:val="22"/>
        </w:rPr>
      </w:pPr>
      <w:r w:rsidRPr="0076602C">
        <w:rPr>
          <w:rFonts w:ascii="Arial" w:hAnsi="Arial" w:cs="Arial"/>
          <w:sz w:val="22"/>
        </w:rPr>
        <w:t>A toda petición deberá recaer un acuerdo escrito de la autoridad a quien se haya dirigido, la cual tiene obligación de hacerlo conocer en breve término al peticionario.</w:t>
      </w:r>
    </w:p>
    <w:p w:rsidR="00487EE1" w:rsidRDefault="00487EE1" w:rsidP="00310C5F">
      <w:pPr>
        <w:ind w:right="567"/>
        <w:jc w:val="both"/>
        <w:rPr>
          <w:rFonts w:ascii="Arial" w:hAnsi="Arial" w:cs="Arial"/>
          <w:sz w:val="22"/>
        </w:rPr>
      </w:pPr>
    </w:p>
    <w:p w:rsidR="00487EE1" w:rsidRDefault="00487EE1" w:rsidP="00310C5F">
      <w:pPr>
        <w:ind w:right="567"/>
        <w:jc w:val="both"/>
        <w:rPr>
          <w:rFonts w:ascii="Arial" w:hAnsi="Arial" w:cs="Arial"/>
          <w:sz w:val="22"/>
        </w:rPr>
      </w:pPr>
    </w:p>
    <w:p w:rsidR="00487EE1" w:rsidRDefault="00487EE1" w:rsidP="00310C5F">
      <w:pPr>
        <w:ind w:right="567"/>
        <w:jc w:val="both"/>
        <w:rPr>
          <w:rFonts w:ascii="Arial" w:hAnsi="Arial" w:cs="Arial"/>
          <w:sz w:val="22"/>
        </w:rPr>
      </w:pPr>
    </w:p>
    <w:p w:rsidR="00487EE1" w:rsidRPr="00487EE1" w:rsidRDefault="00487EE1" w:rsidP="00310C5F">
      <w:pPr>
        <w:ind w:right="567"/>
        <w:jc w:val="both"/>
        <w:rPr>
          <w:rFonts w:ascii="Arial" w:hAnsi="Arial" w:cs="Arial"/>
          <w:b/>
        </w:rPr>
      </w:pPr>
      <w:r w:rsidRPr="00487EE1">
        <w:rPr>
          <w:rFonts w:ascii="Arial" w:eastAsia="Calibri" w:hAnsi="Arial" w:cs="Arial"/>
          <w:b/>
          <w:lang w:val="es-ES"/>
        </w:rPr>
        <w:t>Ley General de Víctimas</w:t>
      </w:r>
    </w:p>
    <w:p w:rsidR="00487EE1" w:rsidRDefault="00487EE1" w:rsidP="00310C5F">
      <w:pPr>
        <w:jc w:val="both"/>
      </w:pPr>
    </w:p>
    <w:p w:rsidR="00487EE1" w:rsidRPr="0076602C" w:rsidRDefault="00487EE1" w:rsidP="00310C5F">
      <w:pPr>
        <w:jc w:val="both"/>
        <w:rPr>
          <w:rFonts w:ascii="Arial" w:eastAsia="Calibri" w:hAnsi="Arial" w:cs="Arial"/>
          <w:sz w:val="22"/>
        </w:rPr>
      </w:pPr>
      <w:r w:rsidRPr="0076602C">
        <w:rPr>
          <w:rFonts w:ascii="Arial" w:eastAsia="Calibri" w:hAnsi="Arial" w:cs="Arial"/>
          <w:sz w:val="22"/>
        </w:rPr>
        <w:t>CAPÍTULO V</w:t>
      </w:r>
    </w:p>
    <w:p w:rsidR="00487EE1" w:rsidRPr="0076602C" w:rsidRDefault="00487EE1" w:rsidP="00310C5F">
      <w:pPr>
        <w:jc w:val="both"/>
        <w:rPr>
          <w:rFonts w:ascii="Arial" w:eastAsia="Calibri" w:hAnsi="Arial" w:cs="Arial"/>
          <w:sz w:val="22"/>
        </w:rPr>
      </w:pPr>
      <w:r w:rsidRPr="0076602C">
        <w:rPr>
          <w:rFonts w:ascii="Arial" w:eastAsia="Calibri" w:hAnsi="Arial" w:cs="Arial"/>
          <w:sz w:val="22"/>
        </w:rPr>
        <w:t>DEL DERECHO A LA VERDAD</w:t>
      </w:r>
    </w:p>
    <w:p w:rsidR="00487EE1" w:rsidRPr="0076602C" w:rsidRDefault="00487EE1" w:rsidP="00310C5F">
      <w:pPr>
        <w:jc w:val="both"/>
        <w:rPr>
          <w:rFonts w:ascii="Arial" w:eastAsia="Calibri" w:hAnsi="Arial" w:cs="Arial"/>
          <w:sz w:val="22"/>
        </w:rPr>
      </w:pPr>
    </w:p>
    <w:p w:rsidR="00487EE1" w:rsidRDefault="00487EE1" w:rsidP="00310C5F">
      <w:pPr>
        <w:jc w:val="both"/>
        <w:rPr>
          <w:rFonts w:ascii="Arial" w:eastAsia="Calibri" w:hAnsi="Arial" w:cs="Arial"/>
          <w:sz w:val="22"/>
        </w:rPr>
      </w:pPr>
      <w:r w:rsidRPr="0076602C">
        <w:rPr>
          <w:rFonts w:ascii="Arial" w:eastAsia="Calibri" w:hAnsi="Arial" w:cs="Arial"/>
          <w:b/>
          <w:sz w:val="22"/>
        </w:rPr>
        <w:lastRenderedPageBreak/>
        <w:t>Artículo 18.</w:t>
      </w:r>
      <w:r w:rsidRPr="0076602C">
        <w:rPr>
          <w:rFonts w:ascii="Arial" w:eastAsia="Calibri" w:hAnsi="Arial" w:cs="Arial"/>
          <w:sz w:val="22"/>
        </w:rPr>
        <w:t xml:space="preserve"> Las víctimas y la sociedad en general tienen el derecho de conocer los hechos constitutivos del delito y de las violaciones a derechos humanos de que fueron objeto, la identidad de los responsables, las circunstancias que hayan propiciado su comisión, así como tener acceso a la justicia en condiciones de igualdad.</w:t>
      </w:r>
    </w:p>
    <w:p w:rsidR="00487EE1" w:rsidRDefault="00487EE1" w:rsidP="00310C5F">
      <w:pPr>
        <w:jc w:val="both"/>
        <w:rPr>
          <w:rFonts w:ascii="Arial" w:eastAsia="Calibri" w:hAnsi="Arial" w:cs="Arial"/>
          <w:sz w:val="22"/>
        </w:rPr>
      </w:pPr>
    </w:p>
    <w:p w:rsidR="00487EE1" w:rsidRDefault="00487EE1" w:rsidP="00310C5F">
      <w:pPr>
        <w:jc w:val="both"/>
        <w:rPr>
          <w:rFonts w:ascii="Arial" w:eastAsia="Calibri" w:hAnsi="Arial" w:cs="Arial"/>
          <w:sz w:val="22"/>
        </w:rPr>
      </w:pPr>
      <w:r w:rsidRPr="0076602C">
        <w:rPr>
          <w:rFonts w:ascii="Arial" w:eastAsia="Calibri" w:hAnsi="Arial" w:cs="Arial"/>
          <w:b/>
          <w:sz w:val="22"/>
        </w:rPr>
        <w:t>Artículo 19.</w:t>
      </w:r>
      <w:r w:rsidRPr="0076602C">
        <w:rPr>
          <w:rFonts w:ascii="Arial" w:eastAsia="Calibri" w:hAnsi="Arial" w:cs="Arial"/>
          <w:sz w:val="22"/>
        </w:rPr>
        <w:t xml:space="preserve"> Las víctimas tienen el derecho imprescriptible a conocer la verdad y a recibir información específica sobre las violaciones de derechos o los delitos que las afectaron directamente, incluidas las circunstancias en que ocurrieron los hechos y, en los casos de personas desaparecidas, ausentes, no localizadas, extraviadas o fallecidas, a conocer su destino o paradero o el de sus restos…</w:t>
      </w:r>
    </w:p>
    <w:p w:rsidR="00487EE1" w:rsidRDefault="00487EE1" w:rsidP="00310C5F">
      <w:pPr>
        <w:jc w:val="both"/>
        <w:rPr>
          <w:rFonts w:ascii="Arial" w:eastAsia="Calibri" w:hAnsi="Arial" w:cs="Arial"/>
          <w:b/>
          <w:sz w:val="22"/>
        </w:rPr>
      </w:pPr>
    </w:p>
    <w:p w:rsidR="00487EE1" w:rsidRDefault="00487EE1" w:rsidP="00310C5F">
      <w:pPr>
        <w:jc w:val="both"/>
        <w:rPr>
          <w:rFonts w:ascii="Arial" w:eastAsia="Calibri" w:hAnsi="Arial" w:cs="Arial"/>
          <w:sz w:val="22"/>
        </w:rPr>
      </w:pPr>
      <w:r w:rsidRPr="0076602C">
        <w:rPr>
          <w:rFonts w:ascii="Arial" w:eastAsia="Calibri" w:hAnsi="Arial" w:cs="Arial"/>
          <w:b/>
          <w:sz w:val="22"/>
        </w:rPr>
        <w:t>Artículo 20.</w:t>
      </w:r>
      <w:r w:rsidRPr="0076602C">
        <w:rPr>
          <w:rFonts w:ascii="Arial" w:eastAsia="Calibri" w:hAnsi="Arial" w:cs="Arial"/>
          <w:sz w:val="22"/>
        </w:rPr>
        <w:t xml:space="preserve"> Las víctimas y la sociedad tienen derecho a conocer la verdad histórica de los hechos.</w:t>
      </w:r>
    </w:p>
    <w:p w:rsidR="00487EE1" w:rsidRDefault="00487EE1" w:rsidP="00310C5F">
      <w:pPr>
        <w:jc w:val="both"/>
        <w:rPr>
          <w:rFonts w:ascii="Arial" w:eastAsia="Calibri" w:hAnsi="Arial" w:cs="Arial"/>
          <w:b/>
          <w:bCs/>
          <w:sz w:val="22"/>
        </w:rPr>
      </w:pPr>
    </w:p>
    <w:p w:rsidR="00487EE1" w:rsidRDefault="00487EE1" w:rsidP="00310C5F">
      <w:pPr>
        <w:jc w:val="both"/>
        <w:rPr>
          <w:rFonts w:ascii="Arial" w:eastAsia="Calibri" w:hAnsi="Arial" w:cs="Arial"/>
          <w:sz w:val="22"/>
        </w:rPr>
      </w:pPr>
      <w:r w:rsidRPr="0076602C">
        <w:rPr>
          <w:rFonts w:ascii="Arial" w:eastAsia="Calibri" w:hAnsi="Arial" w:cs="Arial"/>
          <w:b/>
          <w:bCs/>
          <w:sz w:val="22"/>
        </w:rPr>
        <w:t xml:space="preserve">Artículo 24. </w:t>
      </w:r>
      <w:r w:rsidRPr="0076602C">
        <w:rPr>
          <w:rFonts w:ascii="Arial" w:eastAsia="Calibri" w:hAnsi="Arial" w:cs="Arial"/>
          <w:sz w:val="22"/>
        </w:rPr>
        <w:t>Las autoridades están obligadas a la preservación de los archivos relativos a las violaciones de los derechos humanos así como a respetar y garantizar el derecho de acceder a los mismos.</w:t>
      </w:r>
    </w:p>
    <w:p w:rsidR="00487EE1" w:rsidRDefault="00487EE1" w:rsidP="00310C5F">
      <w:pPr>
        <w:jc w:val="both"/>
        <w:rPr>
          <w:rFonts w:ascii="Arial" w:eastAsia="Calibri" w:hAnsi="Arial" w:cs="Arial"/>
          <w:sz w:val="22"/>
        </w:rPr>
      </w:pPr>
    </w:p>
    <w:p w:rsidR="00487EE1" w:rsidRDefault="00487EE1" w:rsidP="00310C5F">
      <w:pPr>
        <w:jc w:val="both"/>
        <w:rPr>
          <w:rFonts w:ascii="Arial" w:eastAsia="Calibri" w:hAnsi="Arial" w:cs="Arial"/>
          <w:sz w:val="22"/>
        </w:rPr>
      </w:pPr>
      <w:r w:rsidRPr="0076602C">
        <w:rPr>
          <w:rFonts w:ascii="Arial" w:eastAsia="Calibri" w:hAnsi="Arial" w:cs="Arial"/>
          <w:sz w:val="22"/>
        </w:rPr>
        <w:t>El Estado tiene el deber de garantizar la prese</w:t>
      </w:r>
      <w:r>
        <w:rPr>
          <w:rFonts w:ascii="Arial" w:eastAsia="Calibri" w:hAnsi="Arial" w:cs="Arial"/>
          <w:sz w:val="22"/>
        </w:rPr>
        <w:t xml:space="preserve">rvación de dichos archivos y de </w:t>
      </w:r>
      <w:r w:rsidRPr="0076602C">
        <w:rPr>
          <w:rFonts w:ascii="Arial" w:eastAsia="Calibri" w:hAnsi="Arial" w:cs="Arial"/>
          <w:sz w:val="22"/>
        </w:rPr>
        <w:t>impedir su sustracción, destrucción, disimulación o falsificación, así como de permitir su consulta pública, particularmente en interés de las víctimas y sus familiares con el fin de garantizar el pleno ejercicio de sus derechos.</w:t>
      </w:r>
    </w:p>
    <w:p w:rsidR="00487EE1" w:rsidRDefault="00487EE1" w:rsidP="00310C5F">
      <w:pPr>
        <w:jc w:val="both"/>
        <w:rPr>
          <w:rFonts w:ascii="Arial" w:eastAsia="Calibri" w:hAnsi="Arial" w:cs="Arial"/>
          <w:sz w:val="22"/>
        </w:rPr>
      </w:pPr>
    </w:p>
    <w:p w:rsidR="00487EE1" w:rsidRDefault="00487EE1" w:rsidP="00310C5F">
      <w:pPr>
        <w:jc w:val="both"/>
        <w:rPr>
          <w:rFonts w:ascii="Arial" w:eastAsia="Calibri" w:hAnsi="Arial" w:cs="Arial"/>
          <w:sz w:val="22"/>
        </w:rPr>
      </w:pPr>
      <w:r w:rsidRPr="0076602C">
        <w:rPr>
          <w:rFonts w:ascii="Arial" w:eastAsia="Calibri" w:hAnsi="Arial" w:cs="Arial"/>
          <w:sz w:val="22"/>
        </w:rPr>
        <w:t>Cuando la consulta de los archivos persiga favorecer la investigación histórica, las formalidades de autorización tendrán por única finalidad salvaguardar la integridad y la seguridad de las víctimas y de otras personas y, en ningún caso, podrán aplicarse las formalidades de autorización con fines de censura.</w:t>
      </w:r>
    </w:p>
    <w:p w:rsidR="00487EE1" w:rsidRDefault="00487EE1" w:rsidP="00310C5F">
      <w:pPr>
        <w:jc w:val="both"/>
        <w:rPr>
          <w:rFonts w:ascii="Arial" w:eastAsia="Calibri" w:hAnsi="Arial" w:cs="Arial"/>
          <w:sz w:val="22"/>
        </w:rPr>
      </w:pPr>
    </w:p>
    <w:p w:rsidR="00487EE1" w:rsidRDefault="00487EE1" w:rsidP="00310C5F">
      <w:pPr>
        <w:jc w:val="both"/>
        <w:rPr>
          <w:rFonts w:ascii="Arial" w:eastAsia="Calibri" w:hAnsi="Arial" w:cs="Arial"/>
          <w:sz w:val="22"/>
        </w:rPr>
      </w:pPr>
      <w:r w:rsidRPr="0076602C">
        <w:rPr>
          <w:rFonts w:ascii="Arial" w:eastAsia="Calibri" w:hAnsi="Arial" w:cs="Arial"/>
          <w:sz w:val="22"/>
        </w:rPr>
        <w:t>Los tribunales nacionales e internacionales, los organismos nacionales e internacionales de derechos humanos, así como los investigadores que trabajen esta responsabilidad, podrán consultar libremente los archivos relativos a las violaciones de los derechos humanos. Este acceso será garantizado cumpliendo los requisitos pertinentes para proteger la vida privada, incluidos en particular las seguridades de confidencialidad proporcionadas a las víctimas y a otros testigos como condición previa de su testimonio.</w:t>
      </w:r>
    </w:p>
    <w:p w:rsidR="00487EE1" w:rsidRDefault="00487EE1" w:rsidP="00310C5F">
      <w:pPr>
        <w:jc w:val="both"/>
        <w:rPr>
          <w:rFonts w:ascii="Arial" w:eastAsia="Calibri" w:hAnsi="Arial" w:cs="Arial"/>
          <w:sz w:val="22"/>
        </w:rPr>
      </w:pPr>
    </w:p>
    <w:p w:rsidR="00487EE1" w:rsidRDefault="00487EE1" w:rsidP="00310C5F">
      <w:pPr>
        <w:jc w:val="both"/>
        <w:rPr>
          <w:rFonts w:ascii="Arial" w:eastAsia="Calibri" w:hAnsi="Arial" w:cs="Arial"/>
          <w:sz w:val="22"/>
        </w:rPr>
      </w:pPr>
      <w:r w:rsidRPr="0076602C">
        <w:rPr>
          <w:rFonts w:ascii="Arial" w:eastAsia="Calibri" w:hAnsi="Arial" w:cs="Arial"/>
          <w:sz w:val="22"/>
        </w:rPr>
        <w:t>En estos casos, no se podrá denegar la consulta de los archivos por razones de seguridad nacional excepto que, en circunstancias excepcionales, la restricción se encuentre previamente establecida en la ley, la autoridad haya demostrado que la restricción es necesaria en una sociedad democrática para proteger un interés de seguridad nacional legítimo y que la denegación sea objeto de revisión por la autoridad competente, a la vez que puede ser sujeta a examen judicial independiente.</w:t>
      </w:r>
    </w:p>
    <w:p w:rsidR="00487EE1" w:rsidRDefault="00487EE1" w:rsidP="00310C5F">
      <w:pPr>
        <w:jc w:val="both"/>
        <w:rPr>
          <w:rFonts w:ascii="Arial" w:eastAsia="Calibri" w:hAnsi="Arial" w:cs="Arial"/>
          <w:sz w:val="22"/>
        </w:rPr>
      </w:pPr>
    </w:p>
    <w:p w:rsidR="00487EE1" w:rsidRPr="00487EE1" w:rsidRDefault="00487EE1" w:rsidP="00310C5F">
      <w:pPr>
        <w:jc w:val="both"/>
        <w:rPr>
          <w:rFonts w:ascii="Arial" w:hAnsi="Arial" w:cs="Arial"/>
          <w:b/>
        </w:rPr>
      </w:pPr>
      <w:r w:rsidRPr="00487EE1">
        <w:rPr>
          <w:rFonts w:ascii="Arial" w:hAnsi="Arial" w:cs="Arial"/>
          <w:b/>
        </w:rPr>
        <w:t>La Ley Federal de Archivos</w:t>
      </w:r>
    </w:p>
    <w:p w:rsidR="00487EE1" w:rsidRDefault="00487EE1" w:rsidP="00310C5F">
      <w:pPr>
        <w:jc w:val="both"/>
        <w:rPr>
          <w:rFonts w:ascii="Arial" w:hAnsi="Arial" w:cs="Arial"/>
          <w:sz w:val="22"/>
        </w:rPr>
      </w:pPr>
    </w:p>
    <w:p w:rsidR="00487EE1" w:rsidRPr="0076602C" w:rsidRDefault="00487EE1" w:rsidP="00310C5F">
      <w:pPr>
        <w:pStyle w:val="NoSpacing"/>
        <w:jc w:val="both"/>
        <w:rPr>
          <w:rFonts w:ascii="Arial" w:hAnsi="Arial" w:cs="Arial"/>
        </w:rPr>
      </w:pPr>
      <w:r w:rsidRPr="00487EE1">
        <w:rPr>
          <w:rFonts w:ascii="Arial" w:hAnsi="Arial" w:cs="Arial"/>
          <w:b/>
        </w:rPr>
        <w:t>Artículo 1</w:t>
      </w:r>
      <w:r w:rsidRPr="0076602C">
        <w:rPr>
          <w:rFonts w:ascii="Arial" w:hAnsi="Arial" w:cs="Arial"/>
        </w:rPr>
        <w:t xml:space="preserve"> – “El objeto de esta Ley es establecer las disposiciones que permitan la organización y conservación de los archivos en posesión de los Poderes de la Unión, los organismos constitucionales autónomos y los organismos con autonomía legal, así como establecer los mecanismos de coordinación y de concertación entre la Federación, las entidades federativas, el Distrito Federal y los municipios para la conservación del patrimonio documental de la Nación, así como para fomentar el resguardo, difusión y acceso de archivos privados de relevancia histórica, social, técnica, científica o cultural.”</w:t>
      </w:r>
    </w:p>
    <w:p w:rsidR="00487EE1" w:rsidRPr="0076602C" w:rsidRDefault="00487EE1" w:rsidP="00310C5F">
      <w:pPr>
        <w:pStyle w:val="NoSpacing"/>
        <w:jc w:val="both"/>
        <w:rPr>
          <w:rFonts w:ascii="Arial" w:hAnsi="Arial" w:cs="Arial"/>
        </w:rPr>
      </w:pPr>
    </w:p>
    <w:p w:rsidR="00487EE1" w:rsidRPr="0076602C" w:rsidRDefault="00487EE1" w:rsidP="00310C5F">
      <w:pPr>
        <w:pStyle w:val="NoSpacing"/>
        <w:jc w:val="both"/>
        <w:rPr>
          <w:rFonts w:ascii="Arial" w:hAnsi="Arial" w:cs="Arial"/>
        </w:rPr>
      </w:pPr>
      <w:r w:rsidRPr="00487EE1">
        <w:rPr>
          <w:rFonts w:ascii="Arial" w:hAnsi="Arial" w:cs="Arial"/>
          <w:b/>
        </w:rPr>
        <w:t>Artículo 2</w:t>
      </w:r>
      <w:r w:rsidRPr="0076602C">
        <w:rPr>
          <w:rFonts w:ascii="Arial" w:hAnsi="Arial" w:cs="Arial"/>
        </w:rPr>
        <w:t xml:space="preserve"> – “La presente Ley es de observancia obligatoria para los servidores públicos federales a que se refiere el artículo 108 de la Constitución Política de los Estados Unidos Mexicanos.”</w:t>
      </w:r>
    </w:p>
    <w:p w:rsidR="00487EE1" w:rsidRPr="0076602C" w:rsidRDefault="00487EE1" w:rsidP="00310C5F">
      <w:pPr>
        <w:pStyle w:val="NoSpacing"/>
        <w:jc w:val="both"/>
        <w:rPr>
          <w:rFonts w:ascii="Arial" w:hAnsi="Arial" w:cs="Arial"/>
        </w:rPr>
      </w:pPr>
    </w:p>
    <w:p w:rsidR="00487EE1" w:rsidRPr="0076602C" w:rsidRDefault="00487EE1" w:rsidP="00310C5F">
      <w:pPr>
        <w:pStyle w:val="NoSpacing"/>
        <w:jc w:val="both"/>
        <w:rPr>
          <w:rFonts w:ascii="Arial" w:hAnsi="Arial" w:cs="Arial"/>
        </w:rPr>
      </w:pPr>
      <w:r w:rsidRPr="00487EE1">
        <w:rPr>
          <w:rFonts w:ascii="Arial" w:hAnsi="Arial" w:cs="Arial"/>
          <w:b/>
        </w:rPr>
        <w:t>Artículo 6</w:t>
      </w:r>
      <w:r w:rsidRPr="0076602C">
        <w:rPr>
          <w:rFonts w:ascii="Arial" w:hAnsi="Arial" w:cs="Arial"/>
        </w:rPr>
        <w:t xml:space="preserve"> – Son objetivos de esta Ley: </w:t>
      </w:r>
    </w:p>
    <w:p w:rsidR="00487EE1" w:rsidRPr="0076602C" w:rsidRDefault="00487EE1" w:rsidP="00310C5F">
      <w:pPr>
        <w:pStyle w:val="NoSpacing"/>
        <w:jc w:val="both"/>
        <w:rPr>
          <w:rFonts w:ascii="Arial" w:hAnsi="Arial" w:cs="Arial"/>
        </w:rPr>
      </w:pPr>
    </w:p>
    <w:p w:rsidR="00487EE1" w:rsidRPr="0076602C" w:rsidRDefault="00487EE1" w:rsidP="00310C5F">
      <w:pPr>
        <w:pStyle w:val="NoSpacing"/>
        <w:spacing w:after="120"/>
        <w:jc w:val="both"/>
        <w:rPr>
          <w:rFonts w:ascii="Arial" w:hAnsi="Arial" w:cs="Arial"/>
        </w:rPr>
      </w:pPr>
      <w:r w:rsidRPr="0076602C">
        <w:rPr>
          <w:rFonts w:ascii="Arial" w:hAnsi="Arial" w:cs="Arial"/>
        </w:rPr>
        <w:t>“I. Promover el uso, métodos y técnicas que garanticen la localización y disposición expedita de documentos a través de sistemas modernos de organización y conservación de los archivos, que contribuyan a la eficiencia gubernamental, la correcta gestión gubernamental y el avance institucional;</w:t>
      </w:r>
    </w:p>
    <w:p w:rsidR="00487EE1" w:rsidRPr="0076602C" w:rsidRDefault="00487EE1" w:rsidP="00310C5F">
      <w:pPr>
        <w:pStyle w:val="NoSpacing"/>
        <w:spacing w:after="120"/>
        <w:jc w:val="both"/>
        <w:rPr>
          <w:rFonts w:ascii="Arial" w:hAnsi="Arial" w:cs="Arial"/>
        </w:rPr>
      </w:pPr>
      <w:r w:rsidRPr="0076602C">
        <w:rPr>
          <w:rFonts w:ascii="Arial" w:hAnsi="Arial" w:cs="Arial"/>
        </w:rPr>
        <w:t>II. Asegurar el acceso oportuno a la información contenida en los archivos y con ello la rendición de cuentas, mediante la adecuada administración y custodia de los archivos que contienen información pública gubernamental;</w:t>
      </w:r>
    </w:p>
    <w:p w:rsidR="00487EE1" w:rsidRPr="0076602C" w:rsidRDefault="00487EE1" w:rsidP="00310C5F">
      <w:pPr>
        <w:pStyle w:val="NoSpacing"/>
        <w:spacing w:after="120"/>
        <w:jc w:val="both"/>
        <w:rPr>
          <w:rFonts w:ascii="Arial" w:hAnsi="Arial" w:cs="Arial"/>
        </w:rPr>
      </w:pPr>
      <w:r w:rsidRPr="0076602C">
        <w:rPr>
          <w:rFonts w:ascii="Arial" w:hAnsi="Arial" w:cs="Arial"/>
        </w:rPr>
        <w:t>II. Regular la organización y conservación del sistema institucional de archivos de los sujetos obligados, a fin de que éstos se preserven actualizados y permitan la publicación en medios electrónicos de la información relativa a sus indicadores de gestión y el ejercicio de recursos públicos, así como de aquélla que por su contenido tenga un alto valor para la sociedad;</w:t>
      </w:r>
    </w:p>
    <w:p w:rsidR="00487EE1" w:rsidRPr="0076602C" w:rsidRDefault="00487EE1" w:rsidP="00310C5F">
      <w:pPr>
        <w:pStyle w:val="NoSpacing"/>
        <w:spacing w:after="120"/>
        <w:jc w:val="both"/>
        <w:rPr>
          <w:rFonts w:ascii="Arial" w:hAnsi="Arial" w:cs="Arial"/>
        </w:rPr>
      </w:pPr>
      <w:r w:rsidRPr="0076602C">
        <w:rPr>
          <w:rFonts w:ascii="Arial" w:hAnsi="Arial" w:cs="Arial"/>
        </w:rPr>
        <w:t>IV. Garantizar la correcta conservación, organización y consulta de los archivos de trámite, de concentración e históricos; para hacer eficiente la gestión pública y el acceso a la información pública; así como para promover la investigación histórica documental;</w:t>
      </w:r>
    </w:p>
    <w:p w:rsidR="00487EE1" w:rsidRPr="0076602C" w:rsidRDefault="00487EE1" w:rsidP="00310C5F">
      <w:pPr>
        <w:pStyle w:val="NoSpacing"/>
        <w:spacing w:after="120"/>
        <w:jc w:val="both"/>
        <w:rPr>
          <w:rFonts w:ascii="Arial" w:hAnsi="Arial" w:cs="Arial"/>
        </w:rPr>
      </w:pPr>
      <w:r w:rsidRPr="0076602C">
        <w:rPr>
          <w:rFonts w:ascii="Arial" w:hAnsi="Arial" w:cs="Arial"/>
        </w:rPr>
        <w:t>V. Asegurar la disponibilidad, localización expedita, integridad y conservación de los documentos de archivo que poseen los sujetos obligados;</w:t>
      </w:r>
    </w:p>
    <w:p w:rsidR="00487EE1" w:rsidRPr="0076602C" w:rsidRDefault="00487EE1" w:rsidP="00310C5F">
      <w:pPr>
        <w:pStyle w:val="NoSpacing"/>
        <w:spacing w:after="120"/>
        <w:jc w:val="both"/>
        <w:rPr>
          <w:rFonts w:ascii="Arial" w:hAnsi="Arial" w:cs="Arial"/>
        </w:rPr>
      </w:pPr>
      <w:r w:rsidRPr="0076602C">
        <w:rPr>
          <w:rFonts w:ascii="Arial" w:hAnsi="Arial" w:cs="Arial"/>
        </w:rPr>
        <w:t>VI. Promover el uso y difusión de los archivos históricos generados por los sujetos obligados, favoreciendo la investigación y resguardo de la memoria institucional de México;</w:t>
      </w:r>
    </w:p>
    <w:p w:rsidR="00487EE1" w:rsidRPr="0076602C" w:rsidRDefault="00487EE1" w:rsidP="00310C5F">
      <w:pPr>
        <w:pStyle w:val="NoSpacing"/>
        <w:spacing w:after="120"/>
        <w:jc w:val="both"/>
        <w:rPr>
          <w:rFonts w:ascii="Arial" w:hAnsi="Arial" w:cs="Arial"/>
        </w:rPr>
      </w:pPr>
      <w:r w:rsidRPr="0076602C">
        <w:rPr>
          <w:rFonts w:ascii="Arial" w:hAnsi="Arial" w:cs="Arial"/>
        </w:rPr>
        <w:t>VII. Favorecer la utilización de tecnologías de la información para mejorar la administración de los archivos por los sujetos obligados;</w:t>
      </w:r>
    </w:p>
    <w:p w:rsidR="00487EE1" w:rsidRPr="0076602C" w:rsidRDefault="00487EE1" w:rsidP="00310C5F">
      <w:pPr>
        <w:pStyle w:val="NoSpacing"/>
        <w:spacing w:after="120"/>
        <w:jc w:val="both"/>
        <w:rPr>
          <w:rFonts w:ascii="Arial" w:hAnsi="Arial" w:cs="Arial"/>
        </w:rPr>
      </w:pPr>
      <w:r w:rsidRPr="0076602C">
        <w:rPr>
          <w:rFonts w:ascii="Arial" w:hAnsi="Arial" w:cs="Arial"/>
        </w:rPr>
        <w:t>VIII. Establecer mecanismos para la colaboración entre las autoridades federales, estatales y municipales en materia de archivos; y</w:t>
      </w:r>
    </w:p>
    <w:p w:rsidR="00487EE1" w:rsidRDefault="00487EE1" w:rsidP="00310C5F">
      <w:pPr>
        <w:jc w:val="both"/>
        <w:rPr>
          <w:rFonts w:ascii="Arial" w:hAnsi="Arial" w:cs="Arial"/>
          <w:sz w:val="22"/>
        </w:rPr>
      </w:pPr>
      <w:r w:rsidRPr="0076602C">
        <w:rPr>
          <w:rFonts w:ascii="Arial" w:hAnsi="Arial" w:cs="Arial"/>
          <w:sz w:val="22"/>
        </w:rPr>
        <w:t>IX. Contribuir a la promoción de una cultura de valoración de los archivos y su reconocimiento como eje de la actividad gubernamental.”</w:t>
      </w:r>
    </w:p>
    <w:p w:rsidR="00487EE1" w:rsidRDefault="00487EE1" w:rsidP="00310C5F">
      <w:pPr>
        <w:jc w:val="both"/>
        <w:rPr>
          <w:rFonts w:ascii="Arial" w:hAnsi="Arial" w:cs="Arial"/>
          <w:sz w:val="22"/>
        </w:rPr>
      </w:pPr>
    </w:p>
    <w:p w:rsidR="00487EE1" w:rsidRPr="00487EE1" w:rsidRDefault="00487EE1" w:rsidP="00310C5F">
      <w:pPr>
        <w:jc w:val="both"/>
        <w:rPr>
          <w:rFonts w:ascii="Arial" w:hAnsi="Arial" w:cs="Arial"/>
          <w:b/>
        </w:rPr>
      </w:pPr>
      <w:r w:rsidRPr="00487EE1">
        <w:rPr>
          <w:rFonts w:ascii="Arial" w:hAnsi="Arial" w:cs="Arial"/>
          <w:b/>
        </w:rPr>
        <w:t>Circular Uno “Normatividad en Materia de Administración de Recursos para las Dependencias, Unidades Administrativas, Unidades Administrativas de Apoyo Técnico Operativo, Órganos Desconcentrados y Entidades de la Administración Pública del Distrito Federal</w:t>
      </w:r>
    </w:p>
    <w:p w:rsidR="00487EE1" w:rsidRDefault="00487EE1" w:rsidP="00310C5F">
      <w:pPr>
        <w:jc w:val="both"/>
        <w:rPr>
          <w:rFonts w:ascii="Arial" w:hAnsi="Arial" w:cs="Arial"/>
          <w:sz w:val="22"/>
        </w:rPr>
      </w:pPr>
    </w:p>
    <w:p w:rsidR="00487EE1" w:rsidRPr="0076602C" w:rsidRDefault="00487EE1" w:rsidP="00310C5F">
      <w:pPr>
        <w:ind w:right="567"/>
        <w:jc w:val="both"/>
        <w:rPr>
          <w:rFonts w:ascii="Arial" w:hAnsi="Arial" w:cs="Arial"/>
          <w:sz w:val="22"/>
        </w:rPr>
      </w:pPr>
      <w:r w:rsidRPr="0076602C">
        <w:rPr>
          <w:rFonts w:ascii="Arial" w:hAnsi="Arial" w:cs="Arial"/>
          <w:b/>
          <w:sz w:val="22"/>
        </w:rPr>
        <w:t>“7.12.1</w:t>
      </w:r>
      <w:r w:rsidRPr="0076602C">
        <w:rPr>
          <w:rFonts w:ascii="Arial" w:hAnsi="Arial" w:cs="Arial"/>
          <w:sz w:val="22"/>
        </w:rPr>
        <w:t xml:space="preserve"> Las Dependencias, Órganos Desconcentrados y Entidades deberán elaborar y mantener actualizado un Programa Institucional de Desarrollo Archivístico que incluya lo siguiente: </w:t>
      </w:r>
    </w:p>
    <w:p w:rsidR="00487EE1" w:rsidRPr="0076602C" w:rsidRDefault="00487EE1" w:rsidP="00310C5F">
      <w:pPr>
        <w:ind w:right="567"/>
        <w:jc w:val="both"/>
        <w:rPr>
          <w:rFonts w:ascii="Arial" w:hAnsi="Arial" w:cs="Arial"/>
          <w:sz w:val="22"/>
        </w:rPr>
      </w:pPr>
    </w:p>
    <w:p w:rsidR="00487EE1" w:rsidRPr="0076602C" w:rsidRDefault="00487EE1" w:rsidP="00310C5F">
      <w:pPr>
        <w:ind w:right="567"/>
        <w:jc w:val="both"/>
        <w:rPr>
          <w:rFonts w:ascii="Arial" w:hAnsi="Arial" w:cs="Arial"/>
          <w:sz w:val="22"/>
        </w:rPr>
      </w:pPr>
      <w:r w:rsidRPr="0076602C">
        <w:rPr>
          <w:rFonts w:ascii="Arial" w:hAnsi="Arial" w:cs="Arial"/>
          <w:sz w:val="22"/>
        </w:rPr>
        <w:t xml:space="preserve">I. Proyectos y acciones de desarrollo e instrumentación de la normativa técnica interna; </w:t>
      </w:r>
    </w:p>
    <w:p w:rsidR="00487EE1" w:rsidRPr="0076602C" w:rsidRDefault="00487EE1" w:rsidP="00310C5F">
      <w:pPr>
        <w:ind w:right="567"/>
        <w:jc w:val="both"/>
        <w:rPr>
          <w:rFonts w:ascii="Arial" w:hAnsi="Arial" w:cs="Arial"/>
          <w:i/>
          <w:sz w:val="22"/>
          <w:u w:val="single"/>
        </w:rPr>
      </w:pPr>
      <w:r w:rsidRPr="0076602C">
        <w:rPr>
          <w:rFonts w:ascii="Arial" w:hAnsi="Arial" w:cs="Arial"/>
          <w:i/>
          <w:sz w:val="22"/>
          <w:u w:val="single"/>
        </w:rPr>
        <w:t xml:space="preserve">II. Proyectos de capacitación y desarrollo profesional del personal que realiza funciones archivísticas; </w:t>
      </w:r>
    </w:p>
    <w:p w:rsidR="00487EE1" w:rsidRPr="0076602C" w:rsidRDefault="00487EE1" w:rsidP="00310C5F">
      <w:pPr>
        <w:ind w:right="567"/>
        <w:jc w:val="both"/>
        <w:rPr>
          <w:rFonts w:ascii="Arial" w:hAnsi="Arial" w:cs="Arial"/>
          <w:sz w:val="22"/>
        </w:rPr>
      </w:pPr>
      <w:r w:rsidRPr="0076602C">
        <w:rPr>
          <w:rFonts w:ascii="Arial" w:hAnsi="Arial" w:cs="Arial"/>
          <w:sz w:val="22"/>
        </w:rPr>
        <w:lastRenderedPageBreak/>
        <w:t xml:space="preserve">III. Proyectos para la adquisición, con base en sus condiciones presupuestales de los recursos materiales de mayor urgencia que requieran los archivos de la institución; </w:t>
      </w:r>
    </w:p>
    <w:p w:rsidR="00487EE1" w:rsidRPr="0076602C" w:rsidRDefault="00487EE1" w:rsidP="00310C5F">
      <w:pPr>
        <w:ind w:right="567"/>
        <w:jc w:val="both"/>
        <w:rPr>
          <w:rFonts w:ascii="Arial" w:hAnsi="Arial" w:cs="Arial"/>
          <w:sz w:val="22"/>
        </w:rPr>
      </w:pPr>
      <w:r w:rsidRPr="0076602C">
        <w:rPr>
          <w:rFonts w:ascii="Arial" w:hAnsi="Arial" w:cs="Arial"/>
          <w:sz w:val="22"/>
        </w:rPr>
        <w:t xml:space="preserve">IV. El desarrollo de estudios e investigaciones para la incorporación ordenada de tecnologías de información en el campo de los archivos; </w:t>
      </w:r>
    </w:p>
    <w:p w:rsidR="00487EE1" w:rsidRPr="0076602C" w:rsidRDefault="00487EE1" w:rsidP="00310C5F">
      <w:pPr>
        <w:ind w:right="567"/>
        <w:jc w:val="both"/>
        <w:rPr>
          <w:rFonts w:ascii="Arial" w:hAnsi="Arial" w:cs="Arial"/>
          <w:i/>
          <w:sz w:val="22"/>
          <w:u w:val="single"/>
        </w:rPr>
      </w:pPr>
      <w:r w:rsidRPr="0076602C">
        <w:rPr>
          <w:rFonts w:ascii="Arial" w:hAnsi="Arial" w:cs="Arial"/>
          <w:i/>
          <w:sz w:val="22"/>
          <w:u w:val="single"/>
        </w:rPr>
        <w:t xml:space="preserve">V. Acciones de difusión y divulgación archivística y para el fomento de una nueva cultura institucional en la materia; </w:t>
      </w:r>
    </w:p>
    <w:p w:rsidR="00487EE1" w:rsidRPr="0076602C" w:rsidRDefault="00487EE1" w:rsidP="00310C5F">
      <w:pPr>
        <w:ind w:right="567"/>
        <w:jc w:val="both"/>
        <w:rPr>
          <w:rFonts w:ascii="Arial" w:hAnsi="Arial" w:cs="Arial"/>
          <w:sz w:val="22"/>
        </w:rPr>
      </w:pPr>
      <w:r w:rsidRPr="0076602C">
        <w:rPr>
          <w:rFonts w:ascii="Arial" w:hAnsi="Arial" w:cs="Arial"/>
          <w:sz w:val="22"/>
        </w:rPr>
        <w:t xml:space="preserve">VI. Proyectos para la conservación y preservación de la información archivística; y </w:t>
      </w:r>
    </w:p>
    <w:p w:rsidR="00487EE1" w:rsidRPr="0076602C" w:rsidRDefault="00487EE1" w:rsidP="00310C5F">
      <w:pPr>
        <w:ind w:right="567"/>
        <w:jc w:val="both"/>
        <w:rPr>
          <w:rFonts w:ascii="Arial" w:hAnsi="Arial" w:cs="Arial"/>
          <w:sz w:val="22"/>
        </w:rPr>
      </w:pPr>
      <w:r w:rsidRPr="0076602C">
        <w:rPr>
          <w:rFonts w:ascii="Arial" w:hAnsi="Arial" w:cs="Arial"/>
          <w:sz w:val="22"/>
        </w:rPr>
        <w:t xml:space="preserve">VII. Estudios y planes preventivos que permitan enfrentar situaciones de emergencia, riesgo o catástrofes. </w:t>
      </w:r>
    </w:p>
    <w:p w:rsidR="00487EE1" w:rsidRPr="0076602C" w:rsidRDefault="00487EE1" w:rsidP="00310C5F">
      <w:pPr>
        <w:ind w:right="567"/>
        <w:jc w:val="both"/>
        <w:rPr>
          <w:rFonts w:ascii="Arial" w:hAnsi="Arial" w:cs="Arial"/>
          <w:sz w:val="22"/>
        </w:rPr>
      </w:pPr>
    </w:p>
    <w:p w:rsidR="00487EE1" w:rsidRPr="0076602C" w:rsidRDefault="00487EE1" w:rsidP="00310C5F">
      <w:pPr>
        <w:ind w:right="567"/>
        <w:jc w:val="both"/>
        <w:rPr>
          <w:rFonts w:ascii="Arial" w:hAnsi="Arial" w:cs="Arial"/>
          <w:sz w:val="22"/>
        </w:rPr>
      </w:pPr>
      <w:r w:rsidRPr="0076602C">
        <w:rPr>
          <w:rFonts w:ascii="Arial" w:hAnsi="Arial" w:cs="Arial"/>
          <w:sz w:val="22"/>
        </w:rPr>
        <w:t xml:space="preserve">El programa deberá considerar períodos anuales para que se puedan evaluar los resultados en el COTECIAD, con la participación de un representante de la Dirección General de Servicios Generales y Servicios Generales, para reorientar las acciones y tareas en el ejercicio siguiente. </w:t>
      </w:r>
    </w:p>
    <w:p w:rsidR="00487EE1" w:rsidRPr="0076602C" w:rsidRDefault="00487EE1" w:rsidP="00310C5F">
      <w:pPr>
        <w:ind w:right="567"/>
        <w:jc w:val="both"/>
        <w:rPr>
          <w:rFonts w:ascii="Arial" w:hAnsi="Arial" w:cs="Arial"/>
          <w:sz w:val="22"/>
        </w:rPr>
      </w:pPr>
    </w:p>
    <w:p w:rsidR="00487EE1" w:rsidRPr="0076602C" w:rsidRDefault="00487EE1" w:rsidP="00310C5F">
      <w:pPr>
        <w:ind w:right="567"/>
        <w:jc w:val="both"/>
        <w:rPr>
          <w:rFonts w:ascii="Arial" w:hAnsi="Arial" w:cs="Arial"/>
          <w:b/>
          <w:sz w:val="22"/>
        </w:rPr>
      </w:pPr>
      <w:r w:rsidRPr="0076602C">
        <w:rPr>
          <w:rFonts w:ascii="Arial" w:hAnsi="Arial" w:cs="Arial"/>
          <w:b/>
          <w:sz w:val="22"/>
        </w:rPr>
        <w:t>7.12.2</w:t>
      </w:r>
      <w:r w:rsidRPr="0076602C">
        <w:rPr>
          <w:rFonts w:ascii="Arial" w:hAnsi="Arial" w:cs="Arial"/>
          <w:sz w:val="22"/>
        </w:rPr>
        <w:t xml:space="preserve"> Las Dependencias, Órganos Desconcentrados y Entidades, en el marco del Sistema de Administración y Desarrollo de Personal, </w:t>
      </w:r>
      <w:r w:rsidRPr="0076602C">
        <w:rPr>
          <w:rFonts w:ascii="Arial" w:hAnsi="Arial" w:cs="Arial"/>
          <w:i/>
          <w:sz w:val="22"/>
          <w:u w:val="single"/>
        </w:rPr>
        <w:t>establecerán medidas para la profesionalización y la capacitación permanente del personal dedicado a la función de archivos, incorporando perfiles y profesiogramas para la contratación del personal a las unidades de archivos y para su permanencia en el desempeño de las actividades archivísticas.</w:t>
      </w:r>
    </w:p>
    <w:p w:rsidR="00487EE1" w:rsidRDefault="00487EE1" w:rsidP="00310C5F">
      <w:pPr>
        <w:jc w:val="both"/>
      </w:pPr>
    </w:p>
    <w:sectPr w:rsidR="00487EE1" w:rsidSect="0097131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33" w:rsidRDefault="00B61433" w:rsidP="00B61433">
      <w:r>
        <w:separator/>
      </w:r>
    </w:p>
  </w:endnote>
  <w:endnote w:type="continuationSeparator" w:id="0">
    <w:p w:rsidR="00B61433" w:rsidRDefault="00B61433" w:rsidP="00B6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Caslon Pro">
    <w:altName w:val="Georgia"/>
    <w:panose1 w:val="00000000000000000000"/>
    <w:charset w:val="00"/>
    <w:family w:val="roman"/>
    <w:notTrueType/>
    <w:pitch w:val="variable"/>
    <w:sig w:usb0="00000001"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08407"/>
      <w:docPartObj>
        <w:docPartGallery w:val="Page Numbers (Bottom of Page)"/>
        <w:docPartUnique/>
      </w:docPartObj>
    </w:sdtPr>
    <w:sdtEndPr/>
    <w:sdtContent>
      <w:p w:rsidR="00B61433" w:rsidRDefault="00971315">
        <w:pPr>
          <w:pStyle w:val="Footer"/>
          <w:jc w:val="right"/>
        </w:pPr>
        <w:r>
          <w:fldChar w:fldCharType="begin"/>
        </w:r>
        <w:r w:rsidR="00B61433">
          <w:instrText>PAGE   \* MERGEFORMAT</w:instrText>
        </w:r>
        <w:r>
          <w:fldChar w:fldCharType="separate"/>
        </w:r>
        <w:r w:rsidR="00F84698" w:rsidRPr="00F84698">
          <w:rPr>
            <w:noProof/>
            <w:lang w:val="es-ES"/>
          </w:rPr>
          <w:t>1</w:t>
        </w:r>
        <w:r>
          <w:fldChar w:fldCharType="end"/>
        </w:r>
      </w:p>
    </w:sdtContent>
  </w:sdt>
  <w:p w:rsidR="00B61433" w:rsidRDefault="00B61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33" w:rsidRDefault="00B61433" w:rsidP="00B61433">
      <w:r>
        <w:separator/>
      </w:r>
    </w:p>
  </w:footnote>
  <w:footnote w:type="continuationSeparator" w:id="0">
    <w:p w:rsidR="00B61433" w:rsidRDefault="00B61433" w:rsidP="00B61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E1"/>
    <w:rsid w:val="0000280D"/>
    <w:rsid w:val="00003B6C"/>
    <w:rsid w:val="00003B7C"/>
    <w:rsid w:val="000040E5"/>
    <w:rsid w:val="00016126"/>
    <w:rsid w:val="00045372"/>
    <w:rsid w:val="00045DBE"/>
    <w:rsid w:val="00050969"/>
    <w:rsid w:val="00053B30"/>
    <w:rsid w:val="00054CFD"/>
    <w:rsid w:val="000568EC"/>
    <w:rsid w:val="00065175"/>
    <w:rsid w:val="00077F56"/>
    <w:rsid w:val="00080465"/>
    <w:rsid w:val="00081770"/>
    <w:rsid w:val="000D4A4A"/>
    <w:rsid w:val="000D687D"/>
    <w:rsid w:val="00110603"/>
    <w:rsid w:val="00110FE9"/>
    <w:rsid w:val="00113CBE"/>
    <w:rsid w:val="0011589A"/>
    <w:rsid w:val="00115DB2"/>
    <w:rsid w:val="001230D7"/>
    <w:rsid w:val="00126A94"/>
    <w:rsid w:val="001279B8"/>
    <w:rsid w:val="0013566C"/>
    <w:rsid w:val="001364D9"/>
    <w:rsid w:val="001443F3"/>
    <w:rsid w:val="00162BAA"/>
    <w:rsid w:val="0017678F"/>
    <w:rsid w:val="00176A15"/>
    <w:rsid w:val="00182638"/>
    <w:rsid w:val="00187E73"/>
    <w:rsid w:val="001A052D"/>
    <w:rsid w:val="001A1256"/>
    <w:rsid w:val="001A2F30"/>
    <w:rsid w:val="001A461B"/>
    <w:rsid w:val="001C3CD1"/>
    <w:rsid w:val="001C424A"/>
    <w:rsid w:val="001C467F"/>
    <w:rsid w:val="001C4AA8"/>
    <w:rsid w:val="001D55CF"/>
    <w:rsid w:val="001F34BE"/>
    <w:rsid w:val="001F46F5"/>
    <w:rsid w:val="001F72B0"/>
    <w:rsid w:val="00223082"/>
    <w:rsid w:val="00225957"/>
    <w:rsid w:val="00233098"/>
    <w:rsid w:val="00242CA5"/>
    <w:rsid w:val="00243A53"/>
    <w:rsid w:val="002456A1"/>
    <w:rsid w:val="00260C9D"/>
    <w:rsid w:val="00280B37"/>
    <w:rsid w:val="00281376"/>
    <w:rsid w:val="00283D6E"/>
    <w:rsid w:val="00293103"/>
    <w:rsid w:val="00294BE4"/>
    <w:rsid w:val="002A0839"/>
    <w:rsid w:val="002A280F"/>
    <w:rsid w:val="002A282B"/>
    <w:rsid w:val="002A7890"/>
    <w:rsid w:val="002B0992"/>
    <w:rsid w:val="002B0B7E"/>
    <w:rsid w:val="002B1D95"/>
    <w:rsid w:val="002C0806"/>
    <w:rsid w:val="002C4058"/>
    <w:rsid w:val="002D7FC2"/>
    <w:rsid w:val="002E2B96"/>
    <w:rsid w:val="002E529A"/>
    <w:rsid w:val="00303DB7"/>
    <w:rsid w:val="0030682E"/>
    <w:rsid w:val="00310C5F"/>
    <w:rsid w:val="00316448"/>
    <w:rsid w:val="00320A49"/>
    <w:rsid w:val="0032256E"/>
    <w:rsid w:val="003242BC"/>
    <w:rsid w:val="0032578A"/>
    <w:rsid w:val="00332B75"/>
    <w:rsid w:val="00334869"/>
    <w:rsid w:val="003518B2"/>
    <w:rsid w:val="0035714A"/>
    <w:rsid w:val="00361601"/>
    <w:rsid w:val="00365524"/>
    <w:rsid w:val="0036726B"/>
    <w:rsid w:val="003672AF"/>
    <w:rsid w:val="00367438"/>
    <w:rsid w:val="00367EE8"/>
    <w:rsid w:val="00374D19"/>
    <w:rsid w:val="00376258"/>
    <w:rsid w:val="00376F7B"/>
    <w:rsid w:val="00377A00"/>
    <w:rsid w:val="0038439A"/>
    <w:rsid w:val="003B006E"/>
    <w:rsid w:val="003B2B54"/>
    <w:rsid w:val="003B49EF"/>
    <w:rsid w:val="003C11A0"/>
    <w:rsid w:val="003C7A7F"/>
    <w:rsid w:val="003D38C2"/>
    <w:rsid w:val="003F1A46"/>
    <w:rsid w:val="003F5640"/>
    <w:rsid w:val="00402D34"/>
    <w:rsid w:val="004047F2"/>
    <w:rsid w:val="00405E13"/>
    <w:rsid w:val="0041081C"/>
    <w:rsid w:val="00413855"/>
    <w:rsid w:val="00420DE1"/>
    <w:rsid w:val="00422C3A"/>
    <w:rsid w:val="00424335"/>
    <w:rsid w:val="0042524E"/>
    <w:rsid w:val="00425D26"/>
    <w:rsid w:val="0043568F"/>
    <w:rsid w:val="0044508F"/>
    <w:rsid w:val="00455B78"/>
    <w:rsid w:val="004809B8"/>
    <w:rsid w:val="00481CAE"/>
    <w:rsid w:val="00487EE1"/>
    <w:rsid w:val="00487FD1"/>
    <w:rsid w:val="0049035A"/>
    <w:rsid w:val="004A49F1"/>
    <w:rsid w:val="004A6092"/>
    <w:rsid w:val="004C199B"/>
    <w:rsid w:val="004C4F05"/>
    <w:rsid w:val="004C7DF8"/>
    <w:rsid w:val="004D0C6A"/>
    <w:rsid w:val="004E4647"/>
    <w:rsid w:val="004E613A"/>
    <w:rsid w:val="004F5479"/>
    <w:rsid w:val="00500BD1"/>
    <w:rsid w:val="00501369"/>
    <w:rsid w:val="00504149"/>
    <w:rsid w:val="00505CB5"/>
    <w:rsid w:val="0051573E"/>
    <w:rsid w:val="00523135"/>
    <w:rsid w:val="00535BC6"/>
    <w:rsid w:val="00536763"/>
    <w:rsid w:val="00537D90"/>
    <w:rsid w:val="00544364"/>
    <w:rsid w:val="00547FC9"/>
    <w:rsid w:val="00552435"/>
    <w:rsid w:val="00560BA0"/>
    <w:rsid w:val="00563A7C"/>
    <w:rsid w:val="00565B82"/>
    <w:rsid w:val="005660BB"/>
    <w:rsid w:val="0057312D"/>
    <w:rsid w:val="00574838"/>
    <w:rsid w:val="00586D5F"/>
    <w:rsid w:val="0059327E"/>
    <w:rsid w:val="005961E9"/>
    <w:rsid w:val="005A6680"/>
    <w:rsid w:val="005B1DE9"/>
    <w:rsid w:val="005E1BEF"/>
    <w:rsid w:val="005F031B"/>
    <w:rsid w:val="005F3977"/>
    <w:rsid w:val="005F4A36"/>
    <w:rsid w:val="00602508"/>
    <w:rsid w:val="0061086D"/>
    <w:rsid w:val="00615345"/>
    <w:rsid w:val="00617B6D"/>
    <w:rsid w:val="0062298C"/>
    <w:rsid w:val="0063454E"/>
    <w:rsid w:val="0064153A"/>
    <w:rsid w:val="006520CF"/>
    <w:rsid w:val="0066271E"/>
    <w:rsid w:val="00665A04"/>
    <w:rsid w:val="00670AB2"/>
    <w:rsid w:val="00670AC2"/>
    <w:rsid w:val="0068298A"/>
    <w:rsid w:val="0069081D"/>
    <w:rsid w:val="006A180D"/>
    <w:rsid w:val="006A4558"/>
    <w:rsid w:val="006A7987"/>
    <w:rsid w:val="006B00CB"/>
    <w:rsid w:val="006B41A4"/>
    <w:rsid w:val="006B57ED"/>
    <w:rsid w:val="006C0BB6"/>
    <w:rsid w:val="006C434F"/>
    <w:rsid w:val="006C49CD"/>
    <w:rsid w:val="006D43E8"/>
    <w:rsid w:val="006D7E1D"/>
    <w:rsid w:val="006E0355"/>
    <w:rsid w:val="006E3501"/>
    <w:rsid w:val="006F0987"/>
    <w:rsid w:val="006F1BE2"/>
    <w:rsid w:val="006F624C"/>
    <w:rsid w:val="007038A2"/>
    <w:rsid w:val="00707FBC"/>
    <w:rsid w:val="007150CC"/>
    <w:rsid w:val="007252F1"/>
    <w:rsid w:val="00730A4B"/>
    <w:rsid w:val="00747E71"/>
    <w:rsid w:val="007632A3"/>
    <w:rsid w:val="00766703"/>
    <w:rsid w:val="0077368A"/>
    <w:rsid w:val="00781637"/>
    <w:rsid w:val="00783B3D"/>
    <w:rsid w:val="00791C1B"/>
    <w:rsid w:val="0079527D"/>
    <w:rsid w:val="00796237"/>
    <w:rsid w:val="007A6D0F"/>
    <w:rsid w:val="007B0B82"/>
    <w:rsid w:val="007B25E8"/>
    <w:rsid w:val="007B3A9A"/>
    <w:rsid w:val="007C245D"/>
    <w:rsid w:val="007C3942"/>
    <w:rsid w:val="007F0948"/>
    <w:rsid w:val="007F1BC2"/>
    <w:rsid w:val="007F5333"/>
    <w:rsid w:val="007F5B29"/>
    <w:rsid w:val="007F79CD"/>
    <w:rsid w:val="00803017"/>
    <w:rsid w:val="0080338F"/>
    <w:rsid w:val="0080448A"/>
    <w:rsid w:val="0080735C"/>
    <w:rsid w:val="0081077D"/>
    <w:rsid w:val="00817365"/>
    <w:rsid w:val="00822308"/>
    <w:rsid w:val="00830007"/>
    <w:rsid w:val="0083760B"/>
    <w:rsid w:val="00840A25"/>
    <w:rsid w:val="00844023"/>
    <w:rsid w:val="008554D4"/>
    <w:rsid w:val="0085752B"/>
    <w:rsid w:val="00862730"/>
    <w:rsid w:val="008656C1"/>
    <w:rsid w:val="008656C3"/>
    <w:rsid w:val="00866F02"/>
    <w:rsid w:val="0087120D"/>
    <w:rsid w:val="0087398D"/>
    <w:rsid w:val="00874C7C"/>
    <w:rsid w:val="00875D64"/>
    <w:rsid w:val="00886793"/>
    <w:rsid w:val="0089055E"/>
    <w:rsid w:val="008A4074"/>
    <w:rsid w:val="008A46E9"/>
    <w:rsid w:val="008B57A6"/>
    <w:rsid w:val="008B6FD2"/>
    <w:rsid w:val="008C13DF"/>
    <w:rsid w:val="008C285E"/>
    <w:rsid w:val="008C5C62"/>
    <w:rsid w:val="008D2FE6"/>
    <w:rsid w:val="008D7CB2"/>
    <w:rsid w:val="00903176"/>
    <w:rsid w:val="00904DE7"/>
    <w:rsid w:val="00907765"/>
    <w:rsid w:val="00913CB8"/>
    <w:rsid w:val="00917DD4"/>
    <w:rsid w:val="0092735E"/>
    <w:rsid w:val="009368B3"/>
    <w:rsid w:val="009417F0"/>
    <w:rsid w:val="0094416B"/>
    <w:rsid w:val="0094521B"/>
    <w:rsid w:val="00957B8B"/>
    <w:rsid w:val="00957E18"/>
    <w:rsid w:val="00971315"/>
    <w:rsid w:val="00983FCD"/>
    <w:rsid w:val="009878B5"/>
    <w:rsid w:val="009904B4"/>
    <w:rsid w:val="009A77FE"/>
    <w:rsid w:val="009B29FD"/>
    <w:rsid w:val="009B433D"/>
    <w:rsid w:val="009D38B2"/>
    <w:rsid w:val="009E100C"/>
    <w:rsid w:val="009E33AA"/>
    <w:rsid w:val="009E520A"/>
    <w:rsid w:val="009E5685"/>
    <w:rsid w:val="009F4CFD"/>
    <w:rsid w:val="009F4FAA"/>
    <w:rsid w:val="009F615B"/>
    <w:rsid w:val="00A04737"/>
    <w:rsid w:val="00A11ED2"/>
    <w:rsid w:val="00A12E3E"/>
    <w:rsid w:val="00A26058"/>
    <w:rsid w:val="00A360A4"/>
    <w:rsid w:val="00A41622"/>
    <w:rsid w:val="00A42176"/>
    <w:rsid w:val="00A46B57"/>
    <w:rsid w:val="00A540C1"/>
    <w:rsid w:val="00A64496"/>
    <w:rsid w:val="00A66996"/>
    <w:rsid w:val="00A7108F"/>
    <w:rsid w:val="00A925D6"/>
    <w:rsid w:val="00AA2577"/>
    <w:rsid w:val="00AA4BD9"/>
    <w:rsid w:val="00AA5123"/>
    <w:rsid w:val="00AA6F54"/>
    <w:rsid w:val="00AE779E"/>
    <w:rsid w:val="00AF3945"/>
    <w:rsid w:val="00AF477E"/>
    <w:rsid w:val="00B2057F"/>
    <w:rsid w:val="00B22981"/>
    <w:rsid w:val="00B35475"/>
    <w:rsid w:val="00B61433"/>
    <w:rsid w:val="00B62D0F"/>
    <w:rsid w:val="00B70915"/>
    <w:rsid w:val="00B769D9"/>
    <w:rsid w:val="00B812B7"/>
    <w:rsid w:val="00B93403"/>
    <w:rsid w:val="00BA557D"/>
    <w:rsid w:val="00BB41EA"/>
    <w:rsid w:val="00BC7B79"/>
    <w:rsid w:val="00BD20F0"/>
    <w:rsid w:val="00BD6582"/>
    <w:rsid w:val="00BD7714"/>
    <w:rsid w:val="00BE4F14"/>
    <w:rsid w:val="00BE5CF9"/>
    <w:rsid w:val="00BF4270"/>
    <w:rsid w:val="00BF52AB"/>
    <w:rsid w:val="00C01132"/>
    <w:rsid w:val="00C1088D"/>
    <w:rsid w:val="00C1286E"/>
    <w:rsid w:val="00C24BF0"/>
    <w:rsid w:val="00C414C9"/>
    <w:rsid w:val="00C42B71"/>
    <w:rsid w:val="00C4551C"/>
    <w:rsid w:val="00C56793"/>
    <w:rsid w:val="00C67A46"/>
    <w:rsid w:val="00C67A8F"/>
    <w:rsid w:val="00C71C7F"/>
    <w:rsid w:val="00C818BE"/>
    <w:rsid w:val="00C83CEA"/>
    <w:rsid w:val="00C93FCD"/>
    <w:rsid w:val="00C97C20"/>
    <w:rsid w:val="00CA2315"/>
    <w:rsid w:val="00CC4C7A"/>
    <w:rsid w:val="00CD3900"/>
    <w:rsid w:val="00CD7FAA"/>
    <w:rsid w:val="00CE15F9"/>
    <w:rsid w:val="00CE2EFD"/>
    <w:rsid w:val="00CF36B8"/>
    <w:rsid w:val="00CF5A85"/>
    <w:rsid w:val="00CF744C"/>
    <w:rsid w:val="00D108C9"/>
    <w:rsid w:val="00D228C4"/>
    <w:rsid w:val="00D253B0"/>
    <w:rsid w:val="00D31387"/>
    <w:rsid w:val="00D33CC6"/>
    <w:rsid w:val="00D365F9"/>
    <w:rsid w:val="00D464C3"/>
    <w:rsid w:val="00D47A40"/>
    <w:rsid w:val="00D47AB2"/>
    <w:rsid w:val="00D53FE7"/>
    <w:rsid w:val="00D742DF"/>
    <w:rsid w:val="00D85613"/>
    <w:rsid w:val="00D94387"/>
    <w:rsid w:val="00DD2052"/>
    <w:rsid w:val="00DE3178"/>
    <w:rsid w:val="00DE5B85"/>
    <w:rsid w:val="00DE6196"/>
    <w:rsid w:val="00DE7478"/>
    <w:rsid w:val="00DF19BC"/>
    <w:rsid w:val="00DF1EBB"/>
    <w:rsid w:val="00DF53AC"/>
    <w:rsid w:val="00E1059A"/>
    <w:rsid w:val="00E17C59"/>
    <w:rsid w:val="00E21191"/>
    <w:rsid w:val="00E237B1"/>
    <w:rsid w:val="00E257A8"/>
    <w:rsid w:val="00E26C40"/>
    <w:rsid w:val="00E2758E"/>
    <w:rsid w:val="00E32E4E"/>
    <w:rsid w:val="00E3716C"/>
    <w:rsid w:val="00E3735F"/>
    <w:rsid w:val="00E45C95"/>
    <w:rsid w:val="00E5078B"/>
    <w:rsid w:val="00E72F27"/>
    <w:rsid w:val="00E731ED"/>
    <w:rsid w:val="00E732B4"/>
    <w:rsid w:val="00E811E9"/>
    <w:rsid w:val="00E8214E"/>
    <w:rsid w:val="00E83957"/>
    <w:rsid w:val="00E85411"/>
    <w:rsid w:val="00EA53D6"/>
    <w:rsid w:val="00EA6073"/>
    <w:rsid w:val="00EB4BC0"/>
    <w:rsid w:val="00EC13A5"/>
    <w:rsid w:val="00EC442A"/>
    <w:rsid w:val="00ED4F3D"/>
    <w:rsid w:val="00EE25E5"/>
    <w:rsid w:val="00EF3283"/>
    <w:rsid w:val="00EF37B2"/>
    <w:rsid w:val="00F10093"/>
    <w:rsid w:val="00F331DF"/>
    <w:rsid w:val="00F44B92"/>
    <w:rsid w:val="00F47988"/>
    <w:rsid w:val="00F5060E"/>
    <w:rsid w:val="00F73838"/>
    <w:rsid w:val="00F84698"/>
    <w:rsid w:val="00F84AD9"/>
    <w:rsid w:val="00F94831"/>
    <w:rsid w:val="00FA2687"/>
    <w:rsid w:val="00FA70D4"/>
    <w:rsid w:val="00FB5C24"/>
    <w:rsid w:val="00FB5E5C"/>
    <w:rsid w:val="00FB70B0"/>
    <w:rsid w:val="00FC58B3"/>
    <w:rsid w:val="00FD0DBC"/>
    <w:rsid w:val="00FD1AAB"/>
    <w:rsid w:val="00FD40AA"/>
    <w:rsid w:val="00FE5E6B"/>
    <w:rsid w:val="00FF11E1"/>
    <w:rsid w:val="00FF1396"/>
    <w:rsid w:val="00FF63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Caslon Pro" w:eastAsiaTheme="minorHAnsi" w:hAnsi="Adobe Caslon Pro"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EE1"/>
    <w:rPr>
      <w:rFonts w:asciiTheme="minorHAnsi" w:hAnsiTheme="minorHAnsi"/>
      <w:sz w:val="22"/>
      <w:lang w:val="es-MX"/>
    </w:rPr>
  </w:style>
  <w:style w:type="paragraph" w:styleId="Header">
    <w:name w:val="header"/>
    <w:basedOn w:val="Normal"/>
    <w:link w:val="EncabezadoCar"/>
    <w:uiPriority w:val="99"/>
    <w:unhideWhenUsed/>
    <w:rsid w:val="00B61433"/>
    <w:pPr>
      <w:tabs>
        <w:tab w:val="center" w:pos="4419"/>
        <w:tab w:val="right" w:pos="8838"/>
      </w:tabs>
    </w:pPr>
  </w:style>
  <w:style w:type="character" w:customStyle="1" w:styleId="EncabezadoCar">
    <w:name w:val="Encabezado Car"/>
    <w:basedOn w:val="DefaultParagraphFont"/>
    <w:link w:val="Header"/>
    <w:uiPriority w:val="99"/>
    <w:rsid w:val="00B61433"/>
    <w:rPr>
      <w:rFonts w:eastAsiaTheme="minorEastAsia"/>
      <w:lang w:val="es-MX" w:eastAsia="es-MX"/>
    </w:rPr>
  </w:style>
  <w:style w:type="paragraph" w:styleId="Footer">
    <w:name w:val="footer"/>
    <w:basedOn w:val="Normal"/>
    <w:link w:val="PiedepginaCar"/>
    <w:uiPriority w:val="99"/>
    <w:unhideWhenUsed/>
    <w:rsid w:val="00B61433"/>
    <w:pPr>
      <w:tabs>
        <w:tab w:val="center" w:pos="4419"/>
        <w:tab w:val="right" w:pos="8838"/>
      </w:tabs>
    </w:pPr>
  </w:style>
  <w:style w:type="character" w:customStyle="1" w:styleId="PiedepginaCar">
    <w:name w:val="Pie de página Car"/>
    <w:basedOn w:val="DefaultParagraphFont"/>
    <w:link w:val="Footer"/>
    <w:uiPriority w:val="99"/>
    <w:rsid w:val="00B61433"/>
    <w:rPr>
      <w:rFonts w:eastAsiaTheme="minorEastAsia"/>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Caslon Pro" w:eastAsiaTheme="minorHAnsi" w:hAnsi="Adobe Caslon Pro"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EE1"/>
    <w:rPr>
      <w:rFonts w:asciiTheme="minorHAnsi" w:hAnsiTheme="minorHAnsi"/>
      <w:sz w:val="22"/>
      <w:lang w:val="es-MX"/>
    </w:rPr>
  </w:style>
  <w:style w:type="paragraph" w:styleId="Header">
    <w:name w:val="header"/>
    <w:basedOn w:val="Normal"/>
    <w:link w:val="EncabezadoCar"/>
    <w:uiPriority w:val="99"/>
    <w:unhideWhenUsed/>
    <w:rsid w:val="00B61433"/>
    <w:pPr>
      <w:tabs>
        <w:tab w:val="center" w:pos="4419"/>
        <w:tab w:val="right" w:pos="8838"/>
      </w:tabs>
    </w:pPr>
  </w:style>
  <w:style w:type="character" w:customStyle="1" w:styleId="EncabezadoCar">
    <w:name w:val="Encabezado Car"/>
    <w:basedOn w:val="DefaultParagraphFont"/>
    <w:link w:val="Header"/>
    <w:uiPriority w:val="99"/>
    <w:rsid w:val="00B61433"/>
    <w:rPr>
      <w:rFonts w:eastAsiaTheme="minorEastAsia"/>
      <w:lang w:val="es-MX" w:eastAsia="es-MX"/>
    </w:rPr>
  </w:style>
  <w:style w:type="paragraph" w:styleId="Footer">
    <w:name w:val="footer"/>
    <w:basedOn w:val="Normal"/>
    <w:link w:val="PiedepginaCar"/>
    <w:uiPriority w:val="99"/>
    <w:unhideWhenUsed/>
    <w:rsid w:val="00B61433"/>
    <w:pPr>
      <w:tabs>
        <w:tab w:val="center" w:pos="4419"/>
        <w:tab w:val="right" w:pos="8838"/>
      </w:tabs>
    </w:pPr>
  </w:style>
  <w:style w:type="character" w:customStyle="1" w:styleId="PiedepginaCar">
    <w:name w:val="Pie de página Car"/>
    <w:basedOn w:val="DefaultParagraphFont"/>
    <w:link w:val="Footer"/>
    <w:uiPriority w:val="99"/>
    <w:rsid w:val="00B61433"/>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2537F37BCAB43B6DC21020B7E7FA1" ma:contentTypeVersion="2" ma:contentTypeDescription="Create a new document." ma:contentTypeScope="" ma:versionID="0a08c53af5f07ca328bd7c8437c5396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8B6BED-4D91-4AEF-A590-BFA62EE532F2}"/>
</file>

<file path=customXml/itemProps2.xml><?xml version="1.0" encoding="utf-8"?>
<ds:datastoreItem xmlns:ds="http://schemas.openxmlformats.org/officeDocument/2006/customXml" ds:itemID="{0DA148A1-C33E-43AE-856A-240B31BE17B9}"/>
</file>

<file path=customXml/itemProps3.xml><?xml version="1.0" encoding="utf-8"?>
<ds:datastoreItem xmlns:ds="http://schemas.openxmlformats.org/officeDocument/2006/customXml" ds:itemID="{0300CEEF-DF50-489E-908E-1A4869FED3FA}"/>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8186</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SRE</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Mexico_annex_spanish</dc:title>
  <dc:creator>Olvera Treviño, Consuelo de la Salud</dc:creator>
  <cp:lastModifiedBy>Nekane Lavin</cp:lastModifiedBy>
  <cp:revision>2</cp:revision>
  <dcterms:created xsi:type="dcterms:W3CDTF">2013-06-12T12:27:00Z</dcterms:created>
  <dcterms:modified xsi:type="dcterms:W3CDTF">2013-06-12T12:27:00Z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0x010100E262537F37BCAB43B6DC21020B7E7FA1</vt:lpwstr>
  </property>
  <property fmtid="{D5CDD505-2E9C-101B-9397-08002B2CF9AE}" pid="3" name="Order">
    <vt:r8>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