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5E9E1" w14:textId="25F317F2" w:rsidR="009D4561" w:rsidRDefault="009D4561" w:rsidP="0012442E">
      <w:pPr>
        <w:spacing w:after="0" w:line="240" w:lineRule="auto"/>
        <w:jc w:val="center"/>
        <w:rPr>
          <w:b/>
          <w:bCs/>
          <w:lang w:val="en-US"/>
        </w:rPr>
      </w:pPr>
      <w:r w:rsidRPr="0012442E">
        <w:rPr>
          <w:b/>
          <w:bCs/>
          <w:lang w:val="en-US"/>
        </w:rPr>
        <w:t>Answer to the Call for submissions on extreme poverty and human rights in Spain</w:t>
      </w:r>
    </w:p>
    <w:p w14:paraId="79EA5456" w14:textId="77777777" w:rsidR="0012442E" w:rsidRPr="0012442E" w:rsidRDefault="0012442E" w:rsidP="0012442E">
      <w:pPr>
        <w:spacing w:after="0" w:line="240" w:lineRule="auto"/>
        <w:jc w:val="center"/>
        <w:rPr>
          <w:b/>
          <w:bCs/>
          <w:lang w:val="en-US"/>
        </w:rPr>
      </w:pPr>
    </w:p>
    <w:p w14:paraId="2F5971D1" w14:textId="3A843D3F" w:rsidR="005E44B4" w:rsidRDefault="005E44B4" w:rsidP="0012442E">
      <w:pPr>
        <w:spacing w:after="0" w:line="240" w:lineRule="auto"/>
        <w:jc w:val="both"/>
        <w:rPr>
          <w:lang w:val="en-US"/>
        </w:rPr>
      </w:pPr>
      <w:r w:rsidRPr="0012442E">
        <w:rPr>
          <w:lang w:val="en-US"/>
        </w:rPr>
        <w:t xml:space="preserve">On behalf the visit of the Special Rapporteur Philip Alston, we present the following analysis done by </w:t>
      </w:r>
      <w:r w:rsidR="00DB1704">
        <w:rPr>
          <w:lang w:val="en-US"/>
        </w:rPr>
        <w:t xml:space="preserve">Julissa </w:t>
      </w:r>
      <w:proofErr w:type="spellStart"/>
      <w:r w:rsidR="00DB1704">
        <w:rPr>
          <w:lang w:val="en-US"/>
        </w:rPr>
        <w:t>Jáuregui</w:t>
      </w:r>
      <w:proofErr w:type="spellEnd"/>
      <w:r w:rsidR="00DB1704">
        <w:rPr>
          <w:lang w:val="en-US"/>
        </w:rPr>
        <w:t xml:space="preserve"> on behalf of </w:t>
      </w:r>
      <w:proofErr w:type="spellStart"/>
      <w:r w:rsidRPr="0012442E">
        <w:rPr>
          <w:lang w:val="en-US"/>
        </w:rPr>
        <w:t>Alianza</w:t>
      </w:r>
      <w:proofErr w:type="spellEnd"/>
      <w:r w:rsidRPr="0012442E">
        <w:rPr>
          <w:lang w:val="en-US"/>
        </w:rPr>
        <w:t xml:space="preserve"> </w:t>
      </w:r>
      <w:proofErr w:type="spellStart"/>
      <w:r w:rsidRPr="0012442E">
        <w:rPr>
          <w:lang w:val="en-US"/>
        </w:rPr>
        <w:t>por</w:t>
      </w:r>
      <w:proofErr w:type="spellEnd"/>
      <w:r w:rsidRPr="0012442E">
        <w:rPr>
          <w:lang w:val="en-US"/>
        </w:rPr>
        <w:t xml:space="preserve"> al </w:t>
      </w:r>
      <w:proofErr w:type="spellStart"/>
      <w:r w:rsidRPr="0012442E">
        <w:rPr>
          <w:lang w:val="en-US"/>
        </w:rPr>
        <w:t>Solidaridad</w:t>
      </w:r>
      <w:proofErr w:type="spellEnd"/>
      <w:r w:rsidRPr="0012442E">
        <w:rPr>
          <w:lang w:val="en-US"/>
        </w:rPr>
        <w:t>, addressing the situation of human rights, poverty and the precariousness in the lives of migrant people in Spain.</w:t>
      </w:r>
    </w:p>
    <w:p w14:paraId="7A9DADEE" w14:textId="77777777" w:rsidR="0012442E" w:rsidRPr="0012442E" w:rsidRDefault="0012442E" w:rsidP="0012442E">
      <w:pPr>
        <w:spacing w:after="0" w:line="240" w:lineRule="auto"/>
        <w:jc w:val="both"/>
        <w:rPr>
          <w:lang w:val="en-US"/>
        </w:rPr>
      </w:pPr>
    </w:p>
    <w:p w14:paraId="60F4E2A7" w14:textId="4F1A8A1A" w:rsidR="005E44B4" w:rsidRDefault="0032442B" w:rsidP="0012442E">
      <w:pPr>
        <w:spacing w:after="0" w:line="240" w:lineRule="auto"/>
        <w:jc w:val="both"/>
        <w:rPr>
          <w:lang w:val="en-US"/>
        </w:rPr>
      </w:pPr>
      <w:r w:rsidRPr="0012442E">
        <w:rPr>
          <w:lang w:val="en-US"/>
        </w:rPr>
        <w:t>Taking</w:t>
      </w:r>
      <w:r w:rsidR="005E44B4" w:rsidRPr="0012442E">
        <w:rPr>
          <w:lang w:val="en-US"/>
        </w:rPr>
        <w:t xml:space="preserve"> into account the recommendations on the topics to be addressed, in this document we will focus on the </w:t>
      </w:r>
      <w:r w:rsidR="00DB1704">
        <w:rPr>
          <w:lang w:val="en-US"/>
        </w:rPr>
        <w:t xml:space="preserve">three </w:t>
      </w:r>
      <w:r w:rsidR="005E44B4" w:rsidRPr="0012442E">
        <w:rPr>
          <w:lang w:val="en-US"/>
        </w:rPr>
        <w:t>following proposed themes:</w:t>
      </w:r>
    </w:p>
    <w:p w14:paraId="74B5D806" w14:textId="77777777" w:rsidR="0012442E" w:rsidRPr="0012442E" w:rsidRDefault="0012442E" w:rsidP="0012442E">
      <w:pPr>
        <w:spacing w:after="0" w:line="240" w:lineRule="auto"/>
        <w:jc w:val="both"/>
        <w:rPr>
          <w:lang w:val="en-US"/>
        </w:rPr>
      </w:pPr>
    </w:p>
    <w:p w14:paraId="5DF344F6" w14:textId="6CBCDE5D" w:rsidR="00A25E18" w:rsidRPr="0012442E" w:rsidRDefault="00A25E18" w:rsidP="0012442E">
      <w:pPr>
        <w:pStyle w:val="ListParagraph"/>
        <w:numPr>
          <w:ilvl w:val="0"/>
          <w:numId w:val="4"/>
        </w:numPr>
        <w:spacing w:after="0" w:line="240" w:lineRule="auto"/>
        <w:jc w:val="both"/>
        <w:rPr>
          <w:lang w:val="en-US"/>
        </w:rPr>
      </w:pPr>
      <w:r w:rsidRPr="0012442E">
        <w:rPr>
          <w:lang w:val="en-US"/>
        </w:rPr>
        <w:t>People disproportionately impacted by poverty, including women, children, young people, the unemployed, minorities, non-citizens, and people living in urban and rural areas</w:t>
      </w:r>
      <w:r w:rsidR="001A73A1" w:rsidRPr="0012442E">
        <w:rPr>
          <w:lang w:val="en-US"/>
        </w:rPr>
        <w:t>,</w:t>
      </w:r>
    </w:p>
    <w:p w14:paraId="76CD5E8F" w14:textId="31D242E9" w:rsidR="00A25E18" w:rsidRPr="0012442E" w:rsidRDefault="00A25E18" w:rsidP="0012442E">
      <w:pPr>
        <w:pStyle w:val="ListParagraph"/>
        <w:numPr>
          <w:ilvl w:val="0"/>
          <w:numId w:val="4"/>
        </w:numPr>
        <w:spacing w:after="0" w:line="240" w:lineRule="auto"/>
        <w:jc w:val="both"/>
        <w:rPr>
          <w:lang w:val="en-US"/>
        </w:rPr>
      </w:pPr>
      <w:r w:rsidRPr="0012442E">
        <w:rPr>
          <w:lang w:val="en-US"/>
        </w:rPr>
        <w:t>The impact of poverty on </w:t>
      </w:r>
      <w:hyperlink r:id="rId11" w:history="1">
        <w:r w:rsidRPr="0012442E">
          <w:rPr>
            <w:lang w:val="en-US"/>
          </w:rPr>
          <w:t>civil and political rights</w:t>
        </w:r>
      </w:hyperlink>
      <w:r w:rsidRPr="0012442E">
        <w:rPr>
          <w:lang w:val="en-US"/>
        </w:rPr>
        <w:t>, as well as on </w:t>
      </w:r>
      <w:hyperlink r:id="rId12" w:history="1">
        <w:r w:rsidRPr="0012442E">
          <w:rPr>
            <w:lang w:val="en-US"/>
          </w:rPr>
          <w:t>economic, social and cultural rights</w:t>
        </w:r>
      </w:hyperlink>
      <w:r w:rsidRPr="0012442E">
        <w:rPr>
          <w:lang w:val="en-US"/>
        </w:rPr>
        <w:t> such as the rights to health, housing, food, education and social security</w:t>
      </w:r>
      <w:r w:rsidR="001A73A1" w:rsidRPr="0012442E">
        <w:rPr>
          <w:lang w:val="en-US"/>
        </w:rPr>
        <w:t>,</w:t>
      </w:r>
    </w:p>
    <w:p w14:paraId="523FE76E" w14:textId="3E8E5F15" w:rsidR="00A25E18" w:rsidRPr="0012442E" w:rsidRDefault="00A25E18" w:rsidP="0012442E">
      <w:pPr>
        <w:pStyle w:val="ListParagraph"/>
        <w:numPr>
          <w:ilvl w:val="0"/>
          <w:numId w:val="4"/>
        </w:numPr>
        <w:spacing w:after="0" w:line="240" w:lineRule="auto"/>
        <w:jc w:val="both"/>
        <w:rPr>
          <w:lang w:val="en-US"/>
        </w:rPr>
      </w:pPr>
      <w:r w:rsidRPr="0012442E">
        <w:rPr>
          <w:lang w:val="en-US"/>
        </w:rPr>
        <w:t>Individuals and organizations with whom the Special Rapporteur should meet during his country visit</w:t>
      </w:r>
      <w:bookmarkStart w:id="0" w:name="_GoBack"/>
      <w:bookmarkEnd w:id="0"/>
    </w:p>
    <w:p w14:paraId="0A204C36" w14:textId="77777777" w:rsidR="0012442E" w:rsidRDefault="0012442E" w:rsidP="0012442E">
      <w:pPr>
        <w:spacing w:after="0" w:line="240" w:lineRule="auto"/>
        <w:jc w:val="both"/>
        <w:rPr>
          <w:lang w:val="en-US"/>
        </w:rPr>
      </w:pPr>
    </w:p>
    <w:p w14:paraId="1C7AD571" w14:textId="60A10A1A" w:rsidR="001B1794" w:rsidRDefault="00A368CE" w:rsidP="0012442E">
      <w:pPr>
        <w:spacing w:after="0" w:line="240" w:lineRule="auto"/>
        <w:jc w:val="both"/>
        <w:rPr>
          <w:lang w:val="en-US"/>
        </w:rPr>
      </w:pPr>
      <w:proofErr w:type="spellStart"/>
      <w:r w:rsidRPr="0012442E">
        <w:rPr>
          <w:lang w:val="en-US"/>
        </w:rPr>
        <w:lastRenderedPageBreak/>
        <w:t>Alianza</w:t>
      </w:r>
      <w:r w:rsidR="00A06657" w:rsidRPr="0012442E">
        <w:rPr>
          <w:lang w:val="en-US"/>
        </w:rPr>
        <w:t>’s</w:t>
      </w:r>
      <w:proofErr w:type="spellEnd"/>
      <w:r w:rsidR="00A06657" w:rsidRPr="0012442E">
        <w:rPr>
          <w:lang w:val="en-US"/>
        </w:rPr>
        <w:t xml:space="preserve"> </w:t>
      </w:r>
      <w:r w:rsidR="00FF660E" w:rsidRPr="0012442E">
        <w:rPr>
          <w:lang w:val="en-US"/>
        </w:rPr>
        <w:t>researches and reports</w:t>
      </w:r>
      <w:r w:rsidR="00A06657" w:rsidRPr="0012442E">
        <w:rPr>
          <w:lang w:val="en-US"/>
        </w:rPr>
        <w:t xml:space="preserve"> on </w:t>
      </w:r>
      <w:r w:rsidR="00841B28" w:rsidRPr="0012442E">
        <w:rPr>
          <w:lang w:val="en-US"/>
        </w:rPr>
        <w:t>immigration policy in Spain</w:t>
      </w:r>
      <w:r w:rsidR="00A06657" w:rsidRPr="0012442E">
        <w:rPr>
          <w:lang w:val="en-US"/>
        </w:rPr>
        <w:t xml:space="preserve"> </w:t>
      </w:r>
      <w:r w:rsidR="00FF660E" w:rsidRPr="0012442E">
        <w:rPr>
          <w:lang w:val="en-US"/>
        </w:rPr>
        <w:t>has led the organization to consider that the current Immigration Law</w:t>
      </w:r>
      <w:r w:rsidR="00841B28" w:rsidRPr="0012442E">
        <w:rPr>
          <w:lang w:val="en-US"/>
        </w:rPr>
        <w:t xml:space="preserve"> does not respect the rights of migrants, </w:t>
      </w:r>
      <w:r w:rsidR="00FF660E" w:rsidRPr="0012442E">
        <w:rPr>
          <w:lang w:val="en-US"/>
        </w:rPr>
        <w:t xml:space="preserve">something </w:t>
      </w:r>
      <w:r w:rsidR="00841B28" w:rsidRPr="0012442E">
        <w:rPr>
          <w:lang w:val="en-US"/>
        </w:rPr>
        <w:t xml:space="preserve">aggravated </w:t>
      </w:r>
      <w:r w:rsidR="00DD4AEB" w:rsidRPr="0012442E">
        <w:rPr>
          <w:lang w:val="en-US"/>
        </w:rPr>
        <w:t xml:space="preserve">in the case of </w:t>
      </w:r>
      <w:r w:rsidR="00DB1704">
        <w:rPr>
          <w:lang w:val="en-US"/>
        </w:rPr>
        <w:t xml:space="preserve">those </w:t>
      </w:r>
      <w:r w:rsidR="00841B28" w:rsidRPr="0012442E">
        <w:rPr>
          <w:lang w:val="en-US"/>
        </w:rPr>
        <w:t xml:space="preserve">who are in an irregular administrative situation. </w:t>
      </w:r>
    </w:p>
    <w:p w14:paraId="03B6EF27" w14:textId="77777777" w:rsidR="001E68BD" w:rsidRPr="0012442E" w:rsidRDefault="001E68BD" w:rsidP="0012442E">
      <w:pPr>
        <w:spacing w:after="0" w:line="240" w:lineRule="auto"/>
        <w:jc w:val="both"/>
        <w:rPr>
          <w:lang w:val="en-US"/>
        </w:rPr>
      </w:pPr>
    </w:p>
    <w:p w14:paraId="56F30F49" w14:textId="26148444" w:rsidR="00841B28" w:rsidRDefault="001B1794" w:rsidP="0012442E">
      <w:pPr>
        <w:spacing w:after="0" w:line="240" w:lineRule="auto"/>
        <w:jc w:val="both"/>
        <w:rPr>
          <w:lang w:val="en-US"/>
        </w:rPr>
      </w:pPr>
      <w:r w:rsidRPr="0012442E">
        <w:rPr>
          <w:lang w:val="en-US"/>
        </w:rPr>
        <w:t xml:space="preserve">We are going to illustrate </w:t>
      </w:r>
      <w:r w:rsidR="00841B28" w:rsidRPr="0012442E">
        <w:rPr>
          <w:lang w:val="en-US"/>
        </w:rPr>
        <w:t>a</w:t>
      </w:r>
      <w:r w:rsidR="00DD4AEB" w:rsidRPr="0012442E">
        <w:rPr>
          <w:lang w:val="en-US"/>
        </w:rPr>
        <w:t xml:space="preserve">n ensemble </w:t>
      </w:r>
      <w:r w:rsidR="00841B28" w:rsidRPr="0012442E">
        <w:rPr>
          <w:lang w:val="en-US"/>
        </w:rPr>
        <w:t xml:space="preserve">of dispositions and realities that violate </w:t>
      </w:r>
      <w:r w:rsidR="00B80CF8" w:rsidRPr="0012442E">
        <w:rPr>
          <w:lang w:val="en-US"/>
        </w:rPr>
        <w:t>migrants</w:t>
      </w:r>
      <w:r w:rsidR="00841B28" w:rsidRPr="0012442E">
        <w:rPr>
          <w:lang w:val="en-US"/>
        </w:rPr>
        <w:t xml:space="preserve"> rights, with special emphasis on the </w:t>
      </w:r>
      <w:r w:rsidR="00B80CF8" w:rsidRPr="0012442E">
        <w:rPr>
          <w:lang w:val="en-US"/>
        </w:rPr>
        <w:t>interconnection</w:t>
      </w:r>
      <w:r w:rsidR="00841B28" w:rsidRPr="0012442E">
        <w:rPr>
          <w:lang w:val="en-US"/>
        </w:rPr>
        <w:t xml:space="preserve"> between migration and gender, </w:t>
      </w:r>
      <w:r w:rsidR="00B80CF8" w:rsidRPr="0012442E">
        <w:rPr>
          <w:lang w:val="en-US"/>
        </w:rPr>
        <w:t>which</w:t>
      </w:r>
      <w:r w:rsidR="00841B28" w:rsidRPr="0012442E">
        <w:rPr>
          <w:lang w:val="en-US"/>
        </w:rPr>
        <w:t xml:space="preserve"> </w:t>
      </w:r>
      <w:r w:rsidR="006673BE">
        <w:rPr>
          <w:lang w:val="en-US"/>
        </w:rPr>
        <w:t>have been shaped</w:t>
      </w:r>
      <w:r w:rsidR="00841B28" w:rsidRPr="0012442E">
        <w:rPr>
          <w:lang w:val="en-US"/>
        </w:rPr>
        <w:t xml:space="preserve"> after participator</w:t>
      </w:r>
      <w:r w:rsidR="00B80CF8" w:rsidRPr="0012442E">
        <w:rPr>
          <w:lang w:val="en-US"/>
        </w:rPr>
        <w:t>y</w:t>
      </w:r>
      <w:r w:rsidR="00841B28" w:rsidRPr="0012442E">
        <w:rPr>
          <w:lang w:val="en-US"/>
        </w:rPr>
        <w:t xml:space="preserve"> </w:t>
      </w:r>
      <w:r w:rsidR="00B80CF8" w:rsidRPr="0012442E">
        <w:rPr>
          <w:lang w:val="en-US"/>
        </w:rPr>
        <w:t xml:space="preserve">reports </w:t>
      </w:r>
      <w:r w:rsidR="006673BE">
        <w:rPr>
          <w:lang w:val="en-US"/>
        </w:rPr>
        <w:t xml:space="preserve">done </w:t>
      </w:r>
      <w:r w:rsidR="00841B28" w:rsidRPr="0012442E">
        <w:rPr>
          <w:lang w:val="en-US"/>
        </w:rPr>
        <w:t xml:space="preserve">with </w:t>
      </w:r>
      <w:r w:rsidR="00B80CF8" w:rsidRPr="0012442E">
        <w:rPr>
          <w:lang w:val="en-US"/>
        </w:rPr>
        <w:t xml:space="preserve">different </w:t>
      </w:r>
      <w:r w:rsidR="00841B28" w:rsidRPr="0012442E">
        <w:rPr>
          <w:lang w:val="en-US"/>
        </w:rPr>
        <w:t>groups of migrant wome</w:t>
      </w:r>
      <w:r w:rsidR="00B80CF8" w:rsidRPr="0012442E">
        <w:rPr>
          <w:lang w:val="en-US"/>
        </w:rPr>
        <w:t>n</w:t>
      </w:r>
      <w:r w:rsidR="006673BE">
        <w:rPr>
          <w:lang w:val="en-US"/>
        </w:rPr>
        <w:t xml:space="preserve"> </w:t>
      </w:r>
      <w:r w:rsidR="00B80CF8" w:rsidRPr="0012442E">
        <w:rPr>
          <w:lang w:val="en-US"/>
        </w:rPr>
        <w:t xml:space="preserve">in different territories </w:t>
      </w:r>
      <w:r w:rsidR="007B4B8F" w:rsidRPr="0012442E">
        <w:rPr>
          <w:lang w:val="en-US"/>
        </w:rPr>
        <w:t xml:space="preserve">of Spain </w:t>
      </w:r>
      <w:r w:rsidR="00B80CF8" w:rsidRPr="0012442E">
        <w:rPr>
          <w:lang w:val="en-US"/>
        </w:rPr>
        <w:t>(Canary Islands, Extremadura, Madrid, Valencia</w:t>
      </w:r>
      <w:r w:rsidR="007B4B8F" w:rsidRPr="0012442E">
        <w:rPr>
          <w:lang w:val="en-US"/>
        </w:rPr>
        <w:t>)</w:t>
      </w:r>
      <w:r w:rsidR="00B80CF8" w:rsidRPr="0012442E">
        <w:rPr>
          <w:lang w:val="en-US"/>
        </w:rPr>
        <w:t xml:space="preserve">, </w:t>
      </w:r>
      <w:r w:rsidR="007B4B8F" w:rsidRPr="0012442E">
        <w:rPr>
          <w:lang w:val="en-US"/>
        </w:rPr>
        <w:t xml:space="preserve">with </w:t>
      </w:r>
      <w:r w:rsidR="00841B28" w:rsidRPr="0012442E">
        <w:rPr>
          <w:lang w:val="en-US"/>
        </w:rPr>
        <w:t xml:space="preserve">a perspective of human rights, gender and </w:t>
      </w:r>
      <w:proofErr w:type="spellStart"/>
      <w:r w:rsidR="00841B28" w:rsidRPr="0012442E">
        <w:rPr>
          <w:lang w:val="en-US"/>
        </w:rPr>
        <w:t>intersectionality</w:t>
      </w:r>
      <w:proofErr w:type="spellEnd"/>
      <w:r w:rsidR="00841B28" w:rsidRPr="0012442E">
        <w:rPr>
          <w:lang w:val="en-US"/>
        </w:rPr>
        <w:t>:</w:t>
      </w:r>
    </w:p>
    <w:p w14:paraId="091ABFAB" w14:textId="77777777" w:rsidR="0012442E" w:rsidRPr="0012442E" w:rsidRDefault="0012442E" w:rsidP="0012442E">
      <w:pPr>
        <w:spacing w:after="0" w:line="240" w:lineRule="auto"/>
        <w:jc w:val="both"/>
        <w:rPr>
          <w:lang w:val="en-US"/>
        </w:rPr>
      </w:pPr>
    </w:p>
    <w:p w14:paraId="459E59E8" w14:textId="0D7A7F33" w:rsidR="00841B28" w:rsidRPr="0012442E" w:rsidRDefault="008231C0" w:rsidP="0012442E">
      <w:pPr>
        <w:pStyle w:val="ListParagraph"/>
        <w:numPr>
          <w:ilvl w:val="0"/>
          <w:numId w:val="7"/>
        </w:numPr>
        <w:spacing w:after="0" w:line="240" w:lineRule="auto"/>
        <w:ind w:left="426"/>
        <w:jc w:val="both"/>
        <w:rPr>
          <w:lang w:val="en-US"/>
        </w:rPr>
      </w:pPr>
      <w:r w:rsidRPr="0012442E">
        <w:rPr>
          <w:lang w:val="en-US"/>
        </w:rPr>
        <w:t>The approach behind t</w:t>
      </w:r>
      <w:r w:rsidR="00841B28" w:rsidRPr="0012442E">
        <w:rPr>
          <w:lang w:val="en-US"/>
        </w:rPr>
        <w:t xml:space="preserve">he </w:t>
      </w:r>
      <w:r w:rsidRPr="0012442E">
        <w:rPr>
          <w:lang w:val="en-US"/>
        </w:rPr>
        <w:t xml:space="preserve">current </w:t>
      </w:r>
      <w:r w:rsidR="00841B28" w:rsidRPr="0012442E">
        <w:rPr>
          <w:lang w:val="en-US"/>
        </w:rPr>
        <w:t>Immigration Law</w:t>
      </w:r>
      <w:r w:rsidR="001E68BD">
        <w:rPr>
          <w:rStyle w:val="FootnoteReference"/>
          <w:lang w:val="en-US"/>
        </w:rPr>
        <w:footnoteReference w:id="1"/>
      </w:r>
      <w:r w:rsidR="00841B28" w:rsidRPr="0012442E">
        <w:rPr>
          <w:lang w:val="en-US"/>
        </w:rPr>
        <w:t xml:space="preserve"> </w:t>
      </w:r>
      <w:r w:rsidR="007231C1" w:rsidRPr="0012442E">
        <w:rPr>
          <w:lang w:val="en-US"/>
        </w:rPr>
        <w:t xml:space="preserve">is </w:t>
      </w:r>
      <w:r w:rsidR="00747703" w:rsidRPr="0012442E">
        <w:rPr>
          <w:lang w:val="en-US"/>
        </w:rPr>
        <w:t>centered</w:t>
      </w:r>
      <w:r w:rsidR="007231C1" w:rsidRPr="0012442E">
        <w:rPr>
          <w:lang w:val="en-US"/>
        </w:rPr>
        <w:t xml:space="preserve"> on </w:t>
      </w:r>
      <w:r w:rsidR="00841B28" w:rsidRPr="0012442E">
        <w:rPr>
          <w:lang w:val="en-US"/>
        </w:rPr>
        <w:t>security and control. The objective, which responds to a structural and institutional racism, is to regu</w:t>
      </w:r>
      <w:r w:rsidR="00841B28" w:rsidRPr="0012442E">
        <w:rPr>
          <w:lang w:val="en-US"/>
        </w:rPr>
        <w:lastRenderedPageBreak/>
        <w:t xml:space="preserve">late and control </w:t>
      </w:r>
      <w:proofErr w:type="gramStart"/>
      <w:r w:rsidR="00841B28" w:rsidRPr="0012442E">
        <w:rPr>
          <w:lang w:val="en-US"/>
        </w:rPr>
        <w:t>their</w:t>
      </w:r>
      <w:proofErr w:type="gramEnd"/>
      <w:r w:rsidR="00841B28" w:rsidRPr="0012442E">
        <w:rPr>
          <w:lang w:val="en-US"/>
        </w:rPr>
        <w:t xml:space="preserve"> lives thus limiting the rights and freedoms of migrants</w:t>
      </w:r>
      <w:r w:rsidR="008C3FF6" w:rsidRPr="0012442E">
        <w:rPr>
          <w:lang w:val="en-US"/>
        </w:rPr>
        <w:t>.</w:t>
      </w:r>
      <w:r w:rsidR="00841B28" w:rsidRPr="0012442E">
        <w:rPr>
          <w:lang w:val="en-US"/>
        </w:rPr>
        <w:t xml:space="preserve"> </w:t>
      </w:r>
      <w:r w:rsidR="008C3FF6" w:rsidRPr="0012442E">
        <w:rPr>
          <w:lang w:val="en-US"/>
        </w:rPr>
        <w:t>F</w:t>
      </w:r>
      <w:r w:rsidR="00841B28" w:rsidRPr="0012442E">
        <w:rPr>
          <w:lang w:val="en-US"/>
        </w:rPr>
        <w:t>or this purpose</w:t>
      </w:r>
      <w:r w:rsidR="00D57F56">
        <w:rPr>
          <w:lang w:val="en-US"/>
        </w:rPr>
        <w:t>,</w:t>
      </w:r>
      <w:r w:rsidR="00841B28" w:rsidRPr="0012442E">
        <w:rPr>
          <w:lang w:val="en-US"/>
        </w:rPr>
        <w:t xml:space="preserve"> </w:t>
      </w:r>
      <w:r w:rsidR="008C3FF6" w:rsidRPr="0012442E">
        <w:rPr>
          <w:lang w:val="en-US"/>
        </w:rPr>
        <w:t xml:space="preserve">the Law includes </w:t>
      </w:r>
      <w:r w:rsidR="00841B28" w:rsidRPr="0012442E">
        <w:rPr>
          <w:lang w:val="en-US"/>
        </w:rPr>
        <w:t xml:space="preserve">a series of </w:t>
      </w:r>
      <w:r w:rsidR="008C3FF6" w:rsidRPr="0012442E">
        <w:rPr>
          <w:lang w:val="en-US"/>
        </w:rPr>
        <w:t>tools</w:t>
      </w:r>
      <w:r w:rsidR="00841B28" w:rsidRPr="0012442E">
        <w:rPr>
          <w:lang w:val="en-US"/>
        </w:rPr>
        <w:t xml:space="preserve"> such as</w:t>
      </w:r>
      <w:r w:rsidR="00D57F56">
        <w:rPr>
          <w:lang w:val="en-US"/>
        </w:rPr>
        <w:t xml:space="preserve"> the</w:t>
      </w:r>
      <w:r w:rsidR="00841B28" w:rsidRPr="0012442E">
        <w:rPr>
          <w:lang w:val="en-US"/>
        </w:rPr>
        <w:t xml:space="preserve"> control in the Southern Border</w:t>
      </w:r>
      <w:r w:rsidR="00D253A7" w:rsidRPr="0012442E">
        <w:rPr>
          <w:rStyle w:val="FootnoteReference"/>
        </w:rPr>
        <w:footnoteReference w:id="2"/>
      </w:r>
      <w:r w:rsidR="00841B28" w:rsidRPr="0012442E">
        <w:rPr>
          <w:lang w:val="en-US"/>
        </w:rPr>
        <w:t xml:space="preserve">, the </w:t>
      </w:r>
      <w:r w:rsidR="00736B38" w:rsidRPr="0012442E">
        <w:rPr>
          <w:rFonts w:cstheme="minorHAnsi"/>
          <w:lang w:val="en-US"/>
        </w:rPr>
        <w:t>racial and ethnic profiling</w:t>
      </w:r>
      <w:r w:rsidR="00736B38" w:rsidRPr="0012442E">
        <w:rPr>
          <w:lang w:val="en-US"/>
        </w:rPr>
        <w:t xml:space="preserve"> by the authorities</w:t>
      </w:r>
      <w:r w:rsidR="00DB541F" w:rsidRPr="0012442E">
        <w:rPr>
          <w:rStyle w:val="FootnoteReference"/>
          <w:lang w:val="en-US"/>
        </w:rPr>
        <w:footnoteReference w:id="3"/>
      </w:r>
      <w:r w:rsidR="00841B28" w:rsidRPr="0012442E">
        <w:rPr>
          <w:lang w:val="en-US"/>
        </w:rPr>
        <w:t>, the Foreigners Internment Centers (CIE)</w:t>
      </w:r>
      <w:r w:rsidR="00031E12" w:rsidRPr="0012442E">
        <w:rPr>
          <w:rStyle w:val="FootnoteReference"/>
        </w:rPr>
        <w:footnoteReference w:id="4"/>
      </w:r>
      <w:r w:rsidR="00841B28" w:rsidRPr="0012442E">
        <w:rPr>
          <w:lang w:val="en-US"/>
        </w:rPr>
        <w:t xml:space="preserve"> where people who are in an irregular administrative situation are deprived of liberty up to 60 days (7</w:t>
      </w:r>
      <w:r w:rsidR="00D57F56">
        <w:rPr>
          <w:lang w:val="en-US"/>
        </w:rPr>
        <w:t>.</w:t>
      </w:r>
      <w:r w:rsidR="00841B28" w:rsidRPr="0012442E">
        <w:rPr>
          <w:lang w:val="en-US"/>
        </w:rPr>
        <w:t xml:space="preserve">855 people were </w:t>
      </w:r>
      <w:r w:rsidR="00D2657A" w:rsidRPr="0012442E">
        <w:rPr>
          <w:lang w:val="en-US"/>
        </w:rPr>
        <w:t>retained in 2018</w:t>
      </w:r>
      <w:r w:rsidR="00841B28" w:rsidRPr="0012442E">
        <w:rPr>
          <w:lang w:val="en-US"/>
        </w:rPr>
        <w:t>)</w:t>
      </w:r>
      <w:r w:rsidR="00D57F56">
        <w:rPr>
          <w:lang w:val="en-US"/>
        </w:rPr>
        <w:t xml:space="preserve"> and </w:t>
      </w:r>
      <w:r w:rsidR="00841B28" w:rsidRPr="0012442E">
        <w:rPr>
          <w:lang w:val="en-US"/>
        </w:rPr>
        <w:t>the expulsions (</w:t>
      </w:r>
      <w:r w:rsidR="00D2657A" w:rsidRPr="0012442E">
        <w:rPr>
          <w:lang w:val="en-US"/>
        </w:rPr>
        <w:t>11</w:t>
      </w:r>
      <w:r w:rsidR="00D57F56">
        <w:rPr>
          <w:lang w:val="en-US"/>
        </w:rPr>
        <w:t>.</w:t>
      </w:r>
      <w:r w:rsidR="00D2657A" w:rsidRPr="0012442E">
        <w:rPr>
          <w:lang w:val="en-US"/>
        </w:rPr>
        <w:t xml:space="preserve">384 people </w:t>
      </w:r>
      <w:r w:rsidR="00841B28" w:rsidRPr="0012442E">
        <w:rPr>
          <w:lang w:val="en-US"/>
        </w:rPr>
        <w:t>were expelled</w:t>
      </w:r>
      <w:r w:rsidR="00D57F56" w:rsidRPr="00D57F56">
        <w:rPr>
          <w:lang w:val="en-US"/>
        </w:rPr>
        <w:t xml:space="preserve"> </w:t>
      </w:r>
      <w:r w:rsidR="00D57F56" w:rsidRPr="0012442E">
        <w:rPr>
          <w:lang w:val="en-US"/>
        </w:rPr>
        <w:t>in 2018</w:t>
      </w:r>
      <w:r w:rsidR="00D2657A" w:rsidRPr="0012442E">
        <w:rPr>
          <w:lang w:val="en-US"/>
        </w:rPr>
        <w:t>, a</w:t>
      </w:r>
      <w:r w:rsidR="00841B28" w:rsidRPr="0012442E">
        <w:rPr>
          <w:lang w:val="en-US"/>
        </w:rPr>
        <w:t xml:space="preserve"> 22% more than the previous year), among others</w:t>
      </w:r>
      <w:r w:rsidR="00E32E5A" w:rsidRPr="0012442E">
        <w:rPr>
          <w:lang w:val="en-US"/>
        </w:rPr>
        <w:t>,</w:t>
      </w:r>
    </w:p>
    <w:p w14:paraId="478C7F7C" w14:textId="77777777" w:rsidR="00C50B47" w:rsidRPr="0012442E" w:rsidRDefault="00C50B47" w:rsidP="0012442E">
      <w:pPr>
        <w:pStyle w:val="ListParagraph"/>
        <w:spacing w:after="0" w:line="240" w:lineRule="auto"/>
        <w:ind w:left="426"/>
        <w:jc w:val="both"/>
        <w:rPr>
          <w:lang w:val="en-US"/>
        </w:rPr>
      </w:pPr>
    </w:p>
    <w:p w14:paraId="5A71EACE" w14:textId="2F94D41D" w:rsidR="00C61604" w:rsidRPr="0012442E" w:rsidRDefault="00C61604" w:rsidP="0012442E">
      <w:pPr>
        <w:pStyle w:val="ListParagraph"/>
        <w:numPr>
          <w:ilvl w:val="0"/>
          <w:numId w:val="7"/>
        </w:numPr>
        <w:spacing w:after="0" w:line="240" w:lineRule="auto"/>
        <w:ind w:left="426"/>
        <w:jc w:val="both"/>
        <w:rPr>
          <w:lang w:val="en-US"/>
        </w:rPr>
      </w:pPr>
      <w:r w:rsidRPr="0012442E">
        <w:rPr>
          <w:lang w:val="en-US"/>
        </w:rPr>
        <w:lastRenderedPageBreak/>
        <w:t xml:space="preserve">The entry into force in 2015 of the Organic Law </w:t>
      </w:r>
      <w:r w:rsidR="000914C8" w:rsidRPr="0012442E">
        <w:rPr>
          <w:lang w:val="en-US"/>
        </w:rPr>
        <w:t>on</w:t>
      </w:r>
      <w:r w:rsidRPr="0012442E">
        <w:rPr>
          <w:lang w:val="en-US"/>
        </w:rPr>
        <w:t xml:space="preserve"> the Protection of Citizen Security (LOSC)</w:t>
      </w:r>
      <w:r w:rsidR="00DF046D" w:rsidRPr="0012442E">
        <w:rPr>
          <w:rStyle w:val="FootnoteReference"/>
          <w:lang w:val="en-US"/>
        </w:rPr>
        <w:footnoteReference w:id="5"/>
      </w:r>
      <w:r w:rsidRPr="0012442E">
        <w:rPr>
          <w:lang w:val="en-US"/>
        </w:rPr>
        <w:t>,</w:t>
      </w:r>
      <w:r w:rsidR="0055237C">
        <w:rPr>
          <w:lang w:val="en-US"/>
        </w:rPr>
        <w:t xml:space="preserve"> so-called “Gag Law”,</w:t>
      </w:r>
      <w:r w:rsidRPr="0012442E">
        <w:rPr>
          <w:lang w:val="en-US"/>
        </w:rPr>
        <w:t xml:space="preserve"> which legalizes </w:t>
      </w:r>
      <w:r w:rsidR="000914C8" w:rsidRPr="0012442E">
        <w:rPr>
          <w:lang w:val="en-US"/>
        </w:rPr>
        <w:t>pushbacks at the Spanish borders of Ceuta and Melilla.</w:t>
      </w:r>
      <w:r w:rsidRPr="0012442E">
        <w:rPr>
          <w:lang w:val="en-US"/>
        </w:rPr>
        <w:t xml:space="preserve"> </w:t>
      </w:r>
      <w:r w:rsidR="000914C8" w:rsidRPr="0012442E">
        <w:rPr>
          <w:lang w:val="en-US"/>
        </w:rPr>
        <w:t>O</w:t>
      </w:r>
      <w:r w:rsidRPr="0012442E">
        <w:rPr>
          <w:lang w:val="en-US"/>
        </w:rPr>
        <w:t xml:space="preserve">n this issue the European Court of Human Rights ruled </w:t>
      </w:r>
      <w:r w:rsidR="000914C8" w:rsidRPr="0012442E">
        <w:rPr>
          <w:lang w:val="en-US"/>
        </w:rPr>
        <w:t xml:space="preserve">in 2017 </w:t>
      </w:r>
      <w:r w:rsidRPr="0012442E">
        <w:rPr>
          <w:lang w:val="en-US"/>
        </w:rPr>
        <w:t>that Spain had breached the European Convention of Human Rights</w:t>
      </w:r>
      <w:r w:rsidR="007C7ACE" w:rsidRPr="0012442E">
        <w:rPr>
          <w:rStyle w:val="FootnoteReference"/>
        </w:rPr>
        <w:footnoteReference w:id="6"/>
      </w:r>
      <w:r w:rsidRPr="0012442E">
        <w:rPr>
          <w:lang w:val="en-US"/>
        </w:rPr>
        <w:t xml:space="preserve">. </w:t>
      </w:r>
      <w:r w:rsidR="004F6B88" w:rsidRPr="0012442E">
        <w:rPr>
          <w:lang w:val="en-US"/>
        </w:rPr>
        <w:t>Nevertheless, the pushbacks continu</w:t>
      </w:r>
      <w:r w:rsidR="0055237C">
        <w:rPr>
          <w:lang w:val="en-US"/>
        </w:rPr>
        <w:t>e</w:t>
      </w:r>
      <w:r w:rsidR="004F6B88" w:rsidRPr="0012442E">
        <w:rPr>
          <w:lang w:val="en-US"/>
        </w:rPr>
        <w:t xml:space="preserve">. The “Gag Law” has </w:t>
      </w:r>
      <w:r w:rsidRPr="0012442E">
        <w:rPr>
          <w:lang w:val="en-US"/>
        </w:rPr>
        <w:t xml:space="preserve">also </w:t>
      </w:r>
      <w:r w:rsidR="00117920" w:rsidRPr="0012442E">
        <w:rPr>
          <w:lang w:val="en-US"/>
        </w:rPr>
        <w:t>implied</w:t>
      </w:r>
      <w:r w:rsidR="002F3198" w:rsidRPr="0012442E">
        <w:rPr>
          <w:lang w:val="en-US"/>
        </w:rPr>
        <w:t xml:space="preserve"> </w:t>
      </w:r>
      <w:r w:rsidR="00E33CAF" w:rsidRPr="0012442E">
        <w:rPr>
          <w:lang w:val="en-US"/>
        </w:rPr>
        <w:t>a</w:t>
      </w:r>
      <w:r w:rsidRPr="0012442E">
        <w:rPr>
          <w:lang w:val="en-US"/>
        </w:rPr>
        <w:t xml:space="preserve"> reform of the Criminal Code where the street </w:t>
      </w:r>
      <w:r w:rsidR="00687AF0" w:rsidRPr="0012442E">
        <w:rPr>
          <w:lang w:val="en-US"/>
        </w:rPr>
        <w:t>vending</w:t>
      </w:r>
      <w:r w:rsidRPr="0012442E">
        <w:rPr>
          <w:lang w:val="en-US"/>
        </w:rPr>
        <w:t xml:space="preserve"> called </w:t>
      </w:r>
      <w:r w:rsidR="0055237C" w:rsidRPr="0012442E">
        <w:rPr>
          <w:lang w:val="en-US"/>
        </w:rPr>
        <w:t xml:space="preserve">in Spain </w:t>
      </w:r>
      <w:r w:rsidR="00687AF0" w:rsidRPr="0012442E">
        <w:rPr>
          <w:lang w:val="en-US"/>
        </w:rPr>
        <w:t>popularly “</w:t>
      </w:r>
      <w:r w:rsidRPr="0012442E">
        <w:rPr>
          <w:lang w:val="en-US"/>
        </w:rPr>
        <w:t>Top Manta</w:t>
      </w:r>
      <w:r w:rsidR="00687AF0" w:rsidRPr="0012442E">
        <w:rPr>
          <w:lang w:val="en-US"/>
        </w:rPr>
        <w:t xml:space="preserve">” </w:t>
      </w:r>
      <w:r w:rsidR="004F6B88" w:rsidRPr="0012442E">
        <w:rPr>
          <w:lang w:val="en-US"/>
        </w:rPr>
        <w:t xml:space="preserve">has </w:t>
      </w:r>
      <w:r w:rsidRPr="0012442E">
        <w:rPr>
          <w:lang w:val="en-US"/>
        </w:rPr>
        <w:t>bec</w:t>
      </w:r>
      <w:r w:rsidR="004F6B88" w:rsidRPr="0012442E">
        <w:rPr>
          <w:lang w:val="en-US"/>
        </w:rPr>
        <w:t>o</w:t>
      </w:r>
      <w:r w:rsidRPr="0012442E">
        <w:rPr>
          <w:lang w:val="en-US"/>
        </w:rPr>
        <w:t>me a crime. This</w:t>
      </w:r>
      <w:r w:rsidR="00117920" w:rsidRPr="0012442E">
        <w:rPr>
          <w:lang w:val="en-US"/>
        </w:rPr>
        <w:t xml:space="preserve"> has</w:t>
      </w:r>
      <w:r w:rsidRPr="0012442E">
        <w:rPr>
          <w:lang w:val="en-US"/>
        </w:rPr>
        <w:t xml:space="preserve"> led to the criminalization and persecution of these </w:t>
      </w:r>
      <w:r w:rsidR="00687AF0" w:rsidRPr="0012442E">
        <w:rPr>
          <w:lang w:val="en-US"/>
        </w:rPr>
        <w:t>vendors</w:t>
      </w:r>
      <w:r w:rsidRPr="0012442E">
        <w:rPr>
          <w:lang w:val="en-US"/>
        </w:rPr>
        <w:t xml:space="preserve"> who find no other way to survive since the </w:t>
      </w:r>
      <w:r w:rsidR="00E33CAF" w:rsidRPr="0012442E">
        <w:rPr>
          <w:lang w:val="en-US"/>
        </w:rPr>
        <w:t>Immigration</w:t>
      </w:r>
      <w:r w:rsidRPr="0012442E">
        <w:rPr>
          <w:lang w:val="en-US"/>
        </w:rPr>
        <w:t xml:space="preserve"> Law keeps them in an irregular situation that does not allow them to exercise the right to work</w:t>
      </w:r>
      <w:r w:rsidR="007322DC" w:rsidRPr="0012442E">
        <w:rPr>
          <w:rStyle w:val="FootnoteReference"/>
          <w:lang w:val="en-US"/>
        </w:rPr>
        <w:footnoteReference w:id="7"/>
      </w:r>
      <w:r w:rsidR="00E32E5A" w:rsidRPr="0012442E">
        <w:rPr>
          <w:lang w:val="en-US"/>
        </w:rPr>
        <w:t>,</w:t>
      </w:r>
    </w:p>
    <w:p w14:paraId="553EEBE0" w14:textId="77777777" w:rsidR="00E32E5A" w:rsidRPr="0012442E" w:rsidRDefault="00E32E5A" w:rsidP="0012442E">
      <w:pPr>
        <w:pStyle w:val="ListParagraph"/>
        <w:spacing w:after="0" w:line="240" w:lineRule="auto"/>
        <w:rPr>
          <w:lang w:val="en-US"/>
        </w:rPr>
      </w:pPr>
    </w:p>
    <w:p w14:paraId="2BAAC397" w14:textId="6994917D" w:rsidR="00C61604" w:rsidRPr="0012442E" w:rsidRDefault="00C61604" w:rsidP="0012442E">
      <w:pPr>
        <w:pStyle w:val="ListParagraph"/>
        <w:numPr>
          <w:ilvl w:val="0"/>
          <w:numId w:val="7"/>
        </w:numPr>
        <w:spacing w:after="0" w:line="240" w:lineRule="auto"/>
        <w:ind w:left="426"/>
        <w:jc w:val="both"/>
        <w:rPr>
          <w:lang w:val="en-US"/>
        </w:rPr>
      </w:pPr>
      <w:r w:rsidRPr="0012442E">
        <w:rPr>
          <w:lang w:val="en-US"/>
        </w:rPr>
        <w:t xml:space="preserve">Migrant women in irregular </w:t>
      </w:r>
      <w:r w:rsidR="00F409EE" w:rsidRPr="0012442E">
        <w:rPr>
          <w:lang w:val="en-US"/>
        </w:rPr>
        <w:t xml:space="preserve">administrative condition </w:t>
      </w:r>
      <w:r w:rsidRPr="0012442E">
        <w:rPr>
          <w:lang w:val="en-US"/>
        </w:rPr>
        <w:t>who report</w:t>
      </w:r>
      <w:r w:rsidR="00F409EE" w:rsidRPr="0012442E">
        <w:rPr>
          <w:lang w:val="en-US"/>
        </w:rPr>
        <w:t xml:space="preserve"> Gender Based V</w:t>
      </w:r>
      <w:r w:rsidRPr="0012442E">
        <w:rPr>
          <w:lang w:val="en-US"/>
        </w:rPr>
        <w:t>iolence</w:t>
      </w:r>
      <w:r w:rsidR="00F409EE" w:rsidRPr="0012442E">
        <w:rPr>
          <w:lang w:val="en-US"/>
        </w:rPr>
        <w:t xml:space="preserve"> </w:t>
      </w:r>
      <w:r w:rsidRPr="0012442E">
        <w:rPr>
          <w:lang w:val="en-US"/>
        </w:rPr>
        <w:t>run the risk of being expelled</w:t>
      </w:r>
      <w:r w:rsidR="000A6929" w:rsidRPr="0012442E">
        <w:rPr>
          <w:rStyle w:val="FootnoteReference"/>
        </w:rPr>
        <w:footnoteReference w:id="8"/>
      </w:r>
      <w:r w:rsidRPr="0012442E">
        <w:rPr>
          <w:lang w:val="en-US"/>
        </w:rPr>
        <w:t>.</w:t>
      </w:r>
      <w:r w:rsidR="004E0135">
        <w:rPr>
          <w:lang w:val="en-US"/>
        </w:rPr>
        <w:t xml:space="preserve"> It represents a clear example of the tension</w:t>
      </w:r>
      <w:r w:rsidR="007346FC">
        <w:rPr>
          <w:lang w:val="en-US"/>
        </w:rPr>
        <w:t>s</w:t>
      </w:r>
      <w:r w:rsidR="004E0135">
        <w:rPr>
          <w:lang w:val="en-US"/>
        </w:rPr>
        <w:t xml:space="preserve"> between</w:t>
      </w:r>
      <w:r w:rsidR="00291AFD" w:rsidRPr="0012442E">
        <w:rPr>
          <w:lang w:val="en-US"/>
        </w:rPr>
        <w:t xml:space="preserve"> </w:t>
      </w:r>
      <w:r w:rsidR="004E0135">
        <w:rPr>
          <w:lang w:val="en-US"/>
        </w:rPr>
        <w:t>t</w:t>
      </w:r>
      <w:r w:rsidR="00291AFD" w:rsidRPr="0012442E">
        <w:rPr>
          <w:lang w:val="en-US"/>
        </w:rPr>
        <w:t xml:space="preserve">he </w:t>
      </w:r>
      <w:r w:rsidRPr="0012442E">
        <w:rPr>
          <w:lang w:val="en-US"/>
        </w:rPr>
        <w:t xml:space="preserve">Integral Law </w:t>
      </w:r>
      <w:proofErr w:type="gramStart"/>
      <w:r w:rsidRPr="0012442E">
        <w:rPr>
          <w:lang w:val="en-US"/>
        </w:rPr>
        <w:t>Against</w:t>
      </w:r>
      <w:proofErr w:type="gramEnd"/>
      <w:r w:rsidRPr="0012442E">
        <w:rPr>
          <w:lang w:val="en-US"/>
        </w:rPr>
        <w:t xml:space="preserve"> Gender Violence</w:t>
      </w:r>
      <w:r w:rsidR="00291AFD" w:rsidRPr="0012442E">
        <w:rPr>
          <w:rStyle w:val="FootnoteReference"/>
          <w:lang w:val="en-US"/>
        </w:rPr>
        <w:footnoteReference w:id="9"/>
      </w:r>
      <w:r w:rsidRPr="0012442E">
        <w:rPr>
          <w:lang w:val="en-US"/>
        </w:rPr>
        <w:t xml:space="preserve"> and the </w:t>
      </w:r>
      <w:r w:rsidR="001E68BD">
        <w:rPr>
          <w:lang w:val="en-US"/>
        </w:rPr>
        <w:lastRenderedPageBreak/>
        <w:t>Immigration</w:t>
      </w:r>
      <w:r w:rsidRPr="0012442E">
        <w:rPr>
          <w:lang w:val="en-US"/>
        </w:rPr>
        <w:t xml:space="preserve"> Law. It </w:t>
      </w:r>
      <w:r w:rsidR="007463C6">
        <w:rPr>
          <w:lang w:val="en-US"/>
        </w:rPr>
        <w:t>must</w:t>
      </w:r>
      <w:r w:rsidRPr="0012442E">
        <w:rPr>
          <w:lang w:val="en-US"/>
        </w:rPr>
        <w:t xml:space="preserve"> also be </w:t>
      </w:r>
      <w:r w:rsidR="007463C6">
        <w:rPr>
          <w:lang w:val="en-US"/>
        </w:rPr>
        <w:t xml:space="preserve">highlighted </w:t>
      </w:r>
      <w:r w:rsidRPr="0012442E">
        <w:rPr>
          <w:lang w:val="en-US"/>
        </w:rPr>
        <w:t>that migrant women are overrepresented in the figures o</w:t>
      </w:r>
      <w:r w:rsidR="00507366">
        <w:rPr>
          <w:lang w:val="en-US"/>
        </w:rPr>
        <w:t>f</w:t>
      </w:r>
      <w:r w:rsidRPr="0012442E">
        <w:rPr>
          <w:lang w:val="en-US"/>
        </w:rPr>
        <w:t xml:space="preserve"> </w:t>
      </w:r>
      <w:r w:rsidR="007463C6">
        <w:rPr>
          <w:lang w:val="en-US"/>
        </w:rPr>
        <w:t>G</w:t>
      </w:r>
      <w:r w:rsidRPr="0012442E">
        <w:rPr>
          <w:lang w:val="en-US"/>
        </w:rPr>
        <w:t xml:space="preserve">ender </w:t>
      </w:r>
      <w:r w:rsidR="007463C6">
        <w:rPr>
          <w:lang w:val="en-US"/>
        </w:rPr>
        <w:t>Based V</w:t>
      </w:r>
      <w:r w:rsidRPr="0012442E">
        <w:rPr>
          <w:lang w:val="en-US"/>
        </w:rPr>
        <w:t>iolence</w:t>
      </w:r>
      <w:r w:rsidR="00507366" w:rsidRPr="00507366">
        <w:rPr>
          <w:lang w:val="en-US"/>
        </w:rPr>
        <w:t xml:space="preserve"> </w:t>
      </w:r>
      <w:r w:rsidR="00507366">
        <w:rPr>
          <w:lang w:val="en-US"/>
        </w:rPr>
        <w:t>victims</w:t>
      </w:r>
      <w:r w:rsidRPr="0012442E">
        <w:rPr>
          <w:lang w:val="en-US"/>
        </w:rPr>
        <w:t>, which adds to the various difficulties</w:t>
      </w:r>
      <w:r w:rsidR="00330727">
        <w:rPr>
          <w:lang w:val="en-US"/>
        </w:rPr>
        <w:t xml:space="preserve"> they face</w:t>
      </w:r>
      <w:r w:rsidRPr="0012442E">
        <w:rPr>
          <w:lang w:val="en-US"/>
        </w:rPr>
        <w:t xml:space="preserve"> in accessing care and protection due to their irregular administrative status</w:t>
      </w:r>
      <w:r w:rsidR="004F561F" w:rsidRPr="0012442E">
        <w:rPr>
          <w:rStyle w:val="FootnoteReference"/>
        </w:rPr>
        <w:footnoteReference w:id="10"/>
      </w:r>
      <w:r w:rsidRPr="0012442E">
        <w:rPr>
          <w:lang w:val="en-US"/>
        </w:rPr>
        <w:t>.</w:t>
      </w:r>
    </w:p>
    <w:p w14:paraId="224B8C2A" w14:textId="77777777" w:rsidR="0039362F" w:rsidRPr="0012442E" w:rsidRDefault="0039362F" w:rsidP="0012442E">
      <w:pPr>
        <w:pStyle w:val="ListParagraph"/>
        <w:spacing w:after="0" w:line="240" w:lineRule="auto"/>
        <w:ind w:left="426"/>
        <w:jc w:val="both"/>
        <w:rPr>
          <w:lang w:val="en-US"/>
        </w:rPr>
      </w:pPr>
    </w:p>
    <w:p w14:paraId="329527D1" w14:textId="272936E2" w:rsidR="00FE5F75" w:rsidRPr="0012442E" w:rsidRDefault="00AA238D" w:rsidP="0012442E">
      <w:pPr>
        <w:pStyle w:val="ListParagraph"/>
        <w:numPr>
          <w:ilvl w:val="0"/>
          <w:numId w:val="7"/>
        </w:numPr>
        <w:spacing w:after="0" w:line="240" w:lineRule="auto"/>
        <w:ind w:left="426"/>
        <w:jc w:val="both"/>
        <w:rPr>
          <w:lang w:val="en-US"/>
        </w:rPr>
      </w:pPr>
      <w:r>
        <w:rPr>
          <w:lang w:val="en-US"/>
        </w:rPr>
        <w:t>There are many c</w:t>
      </w:r>
      <w:r w:rsidR="00C61604" w:rsidRPr="0012442E">
        <w:rPr>
          <w:lang w:val="en-US"/>
        </w:rPr>
        <w:t>ases of violence and rights violations suffered by domestic and care workers, most of them migrants</w:t>
      </w:r>
      <w:r w:rsidR="00901C10" w:rsidRPr="0012442E">
        <w:rPr>
          <w:rStyle w:val="FootnoteReference"/>
        </w:rPr>
        <w:footnoteReference w:id="11"/>
      </w:r>
      <w:r w:rsidR="00C61604" w:rsidRPr="0012442E">
        <w:rPr>
          <w:lang w:val="en-US"/>
        </w:rPr>
        <w:t xml:space="preserve">. </w:t>
      </w:r>
      <w:r w:rsidR="00D07E5D">
        <w:rPr>
          <w:lang w:val="en-US"/>
        </w:rPr>
        <w:t>M</w:t>
      </w:r>
      <w:r w:rsidR="00C61604" w:rsidRPr="0012442E">
        <w:rPr>
          <w:lang w:val="en-US"/>
        </w:rPr>
        <w:t>ore than 600</w:t>
      </w:r>
      <w:r w:rsidR="00054191">
        <w:rPr>
          <w:lang w:val="en-US"/>
        </w:rPr>
        <w:t>.</w:t>
      </w:r>
      <w:r w:rsidR="00C61604" w:rsidRPr="0012442E">
        <w:rPr>
          <w:lang w:val="en-US"/>
        </w:rPr>
        <w:t xml:space="preserve">000 people work in this sector in </w:t>
      </w:r>
      <w:r w:rsidR="00C61604" w:rsidRPr="0012442E">
        <w:rPr>
          <w:lang w:val="en-US"/>
        </w:rPr>
        <w:lastRenderedPageBreak/>
        <w:t xml:space="preserve">Spain, </w:t>
      </w:r>
      <w:r w:rsidR="00880FB8">
        <w:rPr>
          <w:lang w:val="en-US"/>
        </w:rPr>
        <w:t>making it</w:t>
      </w:r>
      <w:r w:rsidR="00C61604" w:rsidRPr="0012442E">
        <w:rPr>
          <w:lang w:val="en-US"/>
        </w:rPr>
        <w:t xml:space="preserve"> the </w:t>
      </w:r>
      <w:r w:rsidR="00B34E4E">
        <w:rPr>
          <w:lang w:val="en-US"/>
        </w:rPr>
        <w:t xml:space="preserve">European </w:t>
      </w:r>
      <w:r w:rsidR="00C61604" w:rsidRPr="0012442E">
        <w:rPr>
          <w:lang w:val="en-US"/>
        </w:rPr>
        <w:t xml:space="preserve">country with the </w:t>
      </w:r>
      <w:r w:rsidR="00880FB8">
        <w:rPr>
          <w:lang w:val="en-US"/>
        </w:rPr>
        <w:t>highest number of</w:t>
      </w:r>
      <w:r w:rsidR="00C61604" w:rsidRPr="0012442E">
        <w:rPr>
          <w:lang w:val="en-US"/>
        </w:rPr>
        <w:t xml:space="preserve"> domestic workers</w:t>
      </w:r>
      <w:r w:rsidR="00880FB8">
        <w:rPr>
          <w:lang w:val="en-US"/>
        </w:rPr>
        <w:t>.</w:t>
      </w:r>
      <w:r w:rsidR="00C61604" w:rsidRPr="0012442E">
        <w:rPr>
          <w:lang w:val="en-US"/>
        </w:rPr>
        <w:t xml:space="preserve"> </w:t>
      </w:r>
      <w:r w:rsidR="00880FB8">
        <w:rPr>
          <w:lang w:val="en-US"/>
        </w:rPr>
        <w:t>I</w:t>
      </w:r>
      <w:r w:rsidR="00C61604" w:rsidRPr="0012442E">
        <w:rPr>
          <w:lang w:val="en-US"/>
        </w:rPr>
        <w:t xml:space="preserve">t is </w:t>
      </w:r>
      <w:r w:rsidR="00880FB8">
        <w:rPr>
          <w:lang w:val="en-US"/>
        </w:rPr>
        <w:t xml:space="preserve">also </w:t>
      </w:r>
      <w:r w:rsidR="00C61604" w:rsidRPr="0012442E">
        <w:rPr>
          <w:lang w:val="en-US"/>
        </w:rPr>
        <w:t xml:space="preserve">a feminized sector in which </w:t>
      </w:r>
      <w:r w:rsidR="008C3156">
        <w:rPr>
          <w:lang w:val="en-US"/>
        </w:rPr>
        <w:t xml:space="preserve">women </w:t>
      </w:r>
      <w:r w:rsidR="00C61604" w:rsidRPr="0012442E">
        <w:rPr>
          <w:lang w:val="en-US"/>
        </w:rPr>
        <w:t>carry out their work in a precarious and exploitative way</w:t>
      </w:r>
      <w:r w:rsidR="00880FB8">
        <w:rPr>
          <w:lang w:val="en-US"/>
        </w:rPr>
        <w:t xml:space="preserve"> where</w:t>
      </w:r>
      <w:r w:rsidR="00C61604" w:rsidRPr="0012442E">
        <w:rPr>
          <w:lang w:val="en-US"/>
        </w:rPr>
        <w:t xml:space="preserve"> </w:t>
      </w:r>
      <w:r w:rsidR="00880FB8">
        <w:rPr>
          <w:lang w:val="en-US"/>
        </w:rPr>
        <w:t xml:space="preserve">they are </w:t>
      </w:r>
      <w:r w:rsidR="00C61604" w:rsidRPr="0012442E">
        <w:rPr>
          <w:lang w:val="en-US"/>
        </w:rPr>
        <w:t xml:space="preserve">being exposed to different </w:t>
      </w:r>
      <w:r w:rsidR="00880FB8">
        <w:rPr>
          <w:lang w:val="en-US"/>
        </w:rPr>
        <w:t xml:space="preserve">types of </w:t>
      </w:r>
      <w:r w:rsidR="00C61604" w:rsidRPr="0012442E">
        <w:rPr>
          <w:lang w:val="en-US"/>
        </w:rPr>
        <w:t xml:space="preserve">violence: structural, economic, psychological and sexual. This is further aggravated in the case of migrant women who work in the "intern regime", </w:t>
      </w:r>
      <w:r w:rsidR="008C3156">
        <w:rPr>
          <w:lang w:val="en-US"/>
        </w:rPr>
        <w:t>living in the same houses that their employers. M</w:t>
      </w:r>
      <w:r w:rsidR="00C61604" w:rsidRPr="0012442E">
        <w:rPr>
          <w:lang w:val="en-US"/>
        </w:rPr>
        <w:t xml:space="preserve">any are in an irregular administrative situation, </w:t>
      </w:r>
      <w:r w:rsidR="00083F5B">
        <w:rPr>
          <w:lang w:val="en-US"/>
        </w:rPr>
        <w:t xml:space="preserve">working </w:t>
      </w:r>
      <w:r w:rsidR="00C61604" w:rsidRPr="0012442E">
        <w:rPr>
          <w:lang w:val="en-US"/>
        </w:rPr>
        <w:t>up to 14 hours</w:t>
      </w:r>
      <w:r w:rsidR="00873B9E">
        <w:rPr>
          <w:lang w:val="en-US"/>
        </w:rPr>
        <w:t xml:space="preserve"> per day</w:t>
      </w:r>
      <w:r w:rsidR="00C61604" w:rsidRPr="0012442E">
        <w:rPr>
          <w:lang w:val="en-US"/>
        </w:rPr>
        <w:t xml:space="preserve">, under </w:t>
      </w:r>
      <w:r w:rsidR="00B856E3">
        <w:rPr>
          <w:lang w:val="en-US"/>
        </w:rPr>
        <w:t xml:space="preserve">the </w:t>
      </w:r>
      <w:r w:rsidR="00C61604" w:rsidRPr="0012442E">
        <w:rPr>
          <w:lang w:val="en-US"/>
        </w:rPr>
        <w:t xml:space="preserve">control and abuse of power by their employers </w:t>
      </w:r>
      <w:r w:rsidR="008874FE">
        <w:rPr>
          <w:lang w:val="en-US"/>
        </w:rPr>
        <w:t>which often blackmail them with a</w:t>
      </w:r>
      <w:r w:rsidR="00D02B09">
        <w:rPr>
          <w:lang w:val="en-US"/>
        </w:rPr>
        <w:t xml:space="preserve">n offer to a future </w:t>
      </w:r>
      <w:r w:rsidR="00C61604" w:rsidRPr="0012442E">
        <w:rPr>
          <w:lang w:val="en-US"/>
        </w:rPr>
        <w:t>regulariz</w:t>
      </w:r>
      <w:r w:rsidR="00D02B09">
        <w:rPr>
          <w:lang w:val="en-US"/>
        </w:rPr>
        <w:t>ation of</w:t>
      </w:r>
      <w:r w:rsidR="00C61604" w:rsidRPr="0012442E">
        <w:rPr>
          <w:lang w:val="en-US"/>
        </w:rPr>
        <w:t xml:space="preserve"> their situation</w:t>
      </w:r>
      <w:r w:rsidR="00B856E3">
        <w:rPr>
          <w:lang w:val="en-US"/>
        </w:rPr>
        <w:t xml:space="preserve"> (which never </w:t>
      </w:r>
      <w:r w:rsidR="00873B9E">
        <w:rPr>
          <w:lang w:val="en-US"/>
        </w:rPr>
        <w:t>comes</w:t>
      </w:r>
      <w:r w:rsidR="00B856E3">
        <w:rPr>
          <w:lang w:val="en-US"/>
        </w:rPr>
        <w:t>)</w:t>
      </w:r>
      <w:r w:rsidR="00D02B09">
        <w:rPr>
          <w:lang w:val="en-US"/>
        </w:rPr>
        <w:t>.</w:t>
      </w:r>
      <w:r w:rsidR="00C61604" w:rsidRPr="0012442E">
        <w:rPr>
          <w:lang w:val="en-US"/>
        </w:rPr>
        <w:t xml:space="preserve"> </w:t>
      </w:r>
      <w:r w:rsidR="00D02B09" w:rsidRPr="0012442E">
        <w:rPr>
          <w:lang w:val="en-US"/>
        </w:rPr>
        <w:t>M</w:t>
      </w:r>
      <w:r w:rsidR="00C61604" w:rsidRPr="0012442E">
        <w:rPr>
          <w:lang w:val="en-US"/>
        </w:rPr>
        <w:t xml:space="preserve">any of </w:t>
      </w:r>
      <w:r w:rsidR="00D02B09">
        <w:rPr>
          <w:lang w:val="en-US"/>
        </w:rPr>
        <w:t>those migrant women are</w:t>
      </w:r>
      <w:r w:rsidR="00C61604" w:rsidRPr="0012442E">
        <w:rPr>
          <w:lang w:val="en-US"/>
        </w:rPr>
        <w:t xml:space="preserve"> forced to endure these situations because they have no other alternative to </w:t>
      </w:r>
      <w:r w:rsidR="00234B71">
        <w:rPr>
          <w:lang w:val="en-US"/>
        </w:rPr>
        <w:t>earn</w:t>
      </w:r>
      <w:r w:rsidR="00C61604" w:rsidRPr="0012442E">
        <w:rPr>
          <w:lang w:val="en-US"/>
        </w:rPr>
        <w:t xml:space="preserve"> </w:t>
      </w:r>
      <w:r w:rsidR="00D02B09">
        <w:rPr>
          <w:lang w:val="en-US"/>
        </w:rPr>
        <w:t xml:space="preserve">their </w:t>
      </w:r>
      <w:r w:rsidR="00C61604" w:rsidRPr="0012442E">
        <w:rPr>
          <w:lang w:val="en-US"/>
        </w:rPr>
        <w:t>livin</w:t>
      </w:r>
      <w:r w:rsidR="00D02B09">
        <w:rPr>
          <w:lang w:val="en-US"/>
        </w:rPr>
        <w:t>gs,</w:t>
      </w:r>
    </w:p>
    <w:p w14:paraId="1535A492" w14:textId="77777777" w:rsidR="0039362F" w:rsidRPr="0012442E" w:rsidRDefault="0039362F" w:rsidP="0012442E">
      <w:pPr>
        <w:pStyle w:val="ListParagraph"/>
        <w:spacing w:after="0" w:line="240" w:lineRule="auto"/>
        <w:ind w:left="426"/>
        <w:jc w:val="both"/>
        <w:rPr>
          <w:rFonts w:ascii="Arial" w:eastAsia="Times New Roman" w:hAnsi="Arial" w:cs="Arial"/>
          <w:color w:val="777777"/>
          <w:lang w:val="en-US" w:eastAsia="es-ES"/>
        </w:rPr>
      </w:pPr>
    </w:p>
    <w:p w14:paraId="1488ED5E" w14:textId="0E6659A6" w:rsidR="0039362F" w:rsidRPr="0012442E" w:rsidRDefault="0039362F" w:rsidP="0012442E">
      <w:pPr>
        <w:pStyle w:val="ListParagraph"/>
        <w:numPr>
          <w:ilvl w:val="0"/>
          <w:numId w:val="7"/>
        </w:numPr>
        <w:spacing w:after="0" w:line="240" w:lineRule="auto"/>
        <w:ind w:left="426"/>
        <w:jc w:val="both"/>
        <w:rPr>
          <w:rFonts w:ascii="Arial" w:eastAsia="Times New Roman" w:hAnsi="Arial" w:cs="Arial"/>
          <w:color w:val="777777"/>
          <w:lang w:val="en-US" w:eastAsia="es-ES"/>
        </w:rPr>
      </w:pPr>
      <w:r w:rsidRPr="0039362F">
        <w:rPr>
          <w:lang w:val="en-US"/>
        </w:rPr>
        <w:t xml:space="preserve">In the same direction, Spain has not ratified </w:t>
      </w:r>
      <w:r w:rsidR="00182091">
        <w:rPr>
          <w:lang w:val="en-US"/>
        </w:rPr>
        <w:t xml:space="preserve">the </w:t>
      </w:r>
      <w:r w:rsidR="00C663DA">
        <w:rPr>
          <w:lang w:val="en-US"/>
        </w:rPr>
        <w:t>C-</w:t>
      </w:r>
      <w:r w:rsidR="00182091">
        <w:rPr>
          <w:lang w:val="en-US"/>
        </w:rPr>
        <w:t xml:space="preserve">189 </w:t>
      </w:r>
      <w:r w:rsidRPr="0039362F">
        <w:rPr>
          <w:lang w:val="en-US"/>
        </w:rPr>
        <w:t xml:space="preserve">ILO </w:t>
      </w:r>
      <w:r w:rsidR="0055297A">
        <w:rPr>
          <w:lang w:val="en-US"/>
        </w:rPr>
        <w:t>Domestic Workers</w:t>
      </w:r>
      <w:r w:rsidR="00C663DA">
        <w:rPr>
          <w:lang w:val="en-US"/>
        </w:rPr>
        <w:t xml:space="preserve"> Convention</w:t>
      </w:r>
      <w:r w:rsidR="00257605" w:rsidRPr="0012442E">
        <w:rPr>
          <w:rStyle w:val="FootnoteReference"/>
        </w:rPr>
        <w:footnoteReference w:id="12"/>
      </w:r>
      <w:r w:rsidRPr="0039362F">
        <w:rPr>
          <w:lang w:val="en-US"/>
        </w:rPr>
        <w:t xml:space="preserve">, which would mean </w:t>
      </w:r>
      <w:r w:rsidR="009C00EC">
        <w:rPr>
          <w:lang w:val="en-US"/>
        </w:rPr>
        <w:t xml:space="preserve">equalizing the domestic employees’ </w:t>
      </w:r>
      <w:r w:rsidR="00E75A7F">
        <w:rPr>
          <w:lang w:val="en-US"/>
        </w:rPr>
        <w:t>rights</w:t>
      </w:r>
      <w:r w:rsidRPr="0039362F">
        <w:rPr>
          <w:lang w:val="en-US"/>
        </w:rPr>
        <w:t xml:space="preserve"> </w:t>
      </w:r>
      <w:r w:rsidR="009C00EC">
        <w:rPr>
          <w:lang w:val="en-US"/>
        </w:rPr>
        <w:t xml:space="preserve">to </w:t>
      </w:r>
      <w:r w:rsidR="00130726">
        <w:rPr>
          <w:lang w:val="en-US"/>
        </w:rPr>
        <w:t xml:space="preserve">the ensemble of </w:t>
      </w:r>
      <w:proofErr w:type="spellStart"/>
      <w:r w:rsidRPr="0039362F">
        <w:rPr>
          <w:lang w:val="en-US"/>
        </w:rPr>
        <w:t>workers</w:t>
      </w:r>
      <w:proofErr w:type="spellEnd"/>
      <w:r w:rsidR="00F231F5">
        <w:rPr>
          <w:lang w:val="en-US"/>
        </w:rPr>
        <w:t xml:space="preserve"> rights</w:t>
      </w:r>
      <w:r w:rsidRPr="0039362F">
        <w:rPr>
          <w:lang w:val="en-US"/>
        </w:rPr>
        <w:t xml:space="preserve">, such as having the right to unemployment, or having </w:t>
      </w:r>
      <w:r w:rsidR="00F851BC">
        <w:rPr>
          <w:lang w:val="en-US"/>
        </w:rPr>
        <w:t>labor</w:t>
      </w:r>
      <w:r w:rsidRPr="0039362F">
        <w:rPr>
          <w:lang w:val="en-US"/>
        </w:rPr>
        <w:t xml:space="preserve"> inspections </w:t>
      </w:r>
      <w:r w:rsidR="00533AFD">
        <w:rPr>
          <w:lang w:val="en-US"/>
        </w:rPr>
        <w:t>which would</w:t>
      </w:r>
      <w:r w:rsidRPr="0039362F">
        <w:rPr>
          <w:lang w:val="en-US"/>
        </w:rPr>
        <w:t xml:space="preserve"> allow </w:t>
      </w:r>
      <w:r w:rsidR="00533AFD">
        <w:rPr>
          <w:lang w:val="en-US"/>
        </w:rPr>
        <w:t>to control</w:t>
      </w:r>
      <w:r w:rsidRPr="0039362F">
        <w:rPr>
          <w:lang w:val="en-US"/>
        </w:rPr>
        <w:t xml:space="preserve"> </w:t>
      </w:r>
      <w:r w:rsidRPr="0039362F">
        <w:rPr>
          <w:lang w:val="en-US"/>
        </w:rPr>
        <w:lastRenderedPageBreak/>
        <w:t>the conditions</w:t>
      </w:r>
      <w:r w:rsidR="00F851BC">
        <w:rPr>
          <w:lang w:val="en-US"/>
        </w:rPr>
        <w:t xml:space="preserve"> of abuse and arbitrariness</w:t>
      </w:r>
      <w:r w:rsidRPr="0039362F">
        <w:rPr>
          <w:lang w:val="en-US"/>
        </w:rPr>
        <w:t xml:space="preserve"> in which they work, </w:t>
      </w:r>
    </w:p>
    <w:p w14:paraId="6406F6A1" w14:textId="77777777" w:rsidR="0039362F" w:rsidRPr="0012442E" w:rsidRDefault="0039362F" w:rsidP="0012442E">
      <w:pPr>
        <w:pStyle w:val="ListParagraph"/>
        <w:spacing w:after="0" w:line="240" w:lineRule="auto"/>
        <w:rPr>
          <w:lang w:val="en-US"/>
        </w:rPr>
      </w:pPr>
    </w:p>
    <w:p w14:paraId="3384520B" w14:textId="2617FD8B" w:rsidR="0039362F" w:rsidRPr="0012442E" w:rsidRDefault="0039362F" w:rsidP="0012442E">
      <w:pPr>
        <w:pStyle w:val="ListParagraph"/>
        <w:numPr>
          <w:ilvl w:val="0"/>
          <w:numId w:val="7"/>
        </w:numPr>
        <w:spacing w:after="0" w:line="240" w:lineRule="auto"/>
        <w:ind w:left="426"/>
        <w:jc w:val="both"/>
        <w:rPr>
          <w:rFonts w:ascii="Arial" w:eastAsia="Times New Roman" w:hAnsi="Arial" w:cs="Arial"/>
          <w:color w:val="777777"/>
          <w:lang w:val="en-US" w:eastAsia="es-ES"/>
        </w:rPr>
      </w:pPr>
      <w:r w:rsidRPr="0012442E">
        <w:rPr>
          <w:lang w:val="en-US"/>
        </w:rPr>
        <w:t>Many migrant women exercise transnational maternit</w:t>
      </w:r>
      <w:r w:rsidR="00F851BC">
        <w:rPr>
          <w:lang w:val="en-US"/>
        </w:rPr>
        <w:t>ies</w:t>
      </w:r>
      <w:r w:rsidRPr="0012442E">
        <w:rPr>
          <w:lang w:val="en-US"/>
        </w:rPr>
        <w:t xml:space="preserve">, since the majority </w:t>
      </w:r>
      <w:r w:rsidR="00F851BC">
        <w:rPr>
          <w:lang w:val="en-US"/>
        </w:rPr>
        <w:t xml:space="preserve">of them </w:t>
      </w:r>
      <w:r w:rsidR="00734A46">
        <w:rPr>
          <w:lang w:val="en-US"/>
        </w:rPr>
        <w:t>are employed</w:t>
      </w:r>
      <w:r w:rsidRPr="0012442E">
        <w:rPr>
          <w:lang w:val="en-US"/>
        </w:rPr>
        <w:t xml:space="preserve"> in </w:t>
      </w:r>
      <w:r w:rsidR="00734A46">
        <w:rPr>
          <w:lang w:val="en-US"/>
        </w:rPr>
        <w:t xml:space="preserve">the </w:t>
      </w:r>
      <w:r w:rsidRPr="0012442E">
        <w:rPr>
          <w:lang w:val="en-US"/>
        </w:rPr>
        <w:t>domestic</w:t>
      </w:r>
      <w:r w:rsidR="00F851BC">
        <w:rPr>
          <w:lang w:val="en-US"/>
        </w:rPr>
        <w:t xml:space="preserve"> </w:t>
      </w:r>
      <w:r w:rsidRPr="0012442E">
        <w:rPr>
          <w:lang w:val="en-US"/>
        </w:rPr>
        <w:t xml:space="preserve">and care </w:t>
      </w:r>
      <w:r w:rsidR="00734A46">
        <w:rPr>
          <w:lang w:val="en-US"/>
        </w:rPr>
        <w:t xml:space="preserve">sector </w:t>
      </w:r>
      <w:r w:rsidRPr="0012442E">
        <w:rPr>
          <w:lang w:val="en-US"/>
        </w:rPr>
        <w:t xml:space="preserve">with low wages and unstable jobs, which makes impossible </w:t>
      </w:r>
      <w:r w:rsidR="00734A46">
        <w:rPr>
          <w:lang w:val="en-US"/>
        </w:rPr>
        <w:t xml:space="preserve">for them </w:t>
      </w:r>
      <w:r w:rsidRPr="0012442E">
        <w:rPr>
          <w:lang w:val="en-US"/>
        </w:rPr>
        <w:t xml:space="preserve">to meet the requirements </w:t>
      </w:r>
      <w:r w:rsidR="00131AE2" w:rsidRPr="0012442E">
        <w:rPr>
          <w:lang w:val="en-US"/>
        </w:rPr>
        <w:t xml:space="preserve">that allows family reunification </w:t>
      </w:r>
      <w:r w:rsidR="00131AE2">
        <w:rPr>
          <w:lang w:val="en-US"/>
        </w:rPr>
        <w:t xml:space="preserve">under the current Immigration law, </w:t>
      </w:r>
      <w:r w:rsidRPr="0012442E">
        <w:rPr>
          <w:lang w:val="en-US"/>
        </w:rPr>
        <w:t>such as stable economic resources</w:t>
      </w:r>
      <w:r w:rsidR="00734A46">
        <w:rPr>
          <w:lang w:val="en-US"/>
        </w:rPr>
        <w:t xml:space="preserve"> or</w:t>
      </w:r>
      <w:r w:rsidRPr="0012442E">
        <w:rPr>
          <w:lang w:val="en-US"/>
        </w:rPr>
        <w:t xml:space="preserve"> </w:t>
      </w:r>
      <w:r w:rsidR="00131AE2">
        <w:rPr>
          <w:lang w:val="en-US"/>
        </w:rPr>
        <w:t xml:space="preserve">a </w:t>
      </w:r>
      <w:r w:rsidRPr="0012442E">
        <w:rPr>
          <w:lang w:val="en-US"/>
        </w:rPr>
        <w:t xml:space="preserve">housing of </w:t>
      </w:r>
      <w:r w:rsidR="00131AE2">
        <w:rPr>
          <w:lang w:val="en-US"/>
        </w:rPr>
        <w:t xml:space="preserve">specific </w:t>
      </w:r>
      <w:r w:rsidRPr="0012442E">
        <w:rPr>
          <w:lang w:val="en-US"/>
        </w:rPr>
        <w:t xml:space="preserve">dimensions and characteristics </w:t>
      </w:r>
      <w:r w:rsidR="00131AE2">
        <w:rPr>
          <w:lang w:val="en-US"/>
        </w:rPr>
        <w:t>according to what is understood as the “</w:t>
      </w:r>
      <w:r w:rsidRPr="0012442E">
        <w:rPr>
          <w:lang w:val="en-US"/>
        </w:rPr>
        <w:t>Spanish model</w:t>
      </w:r>
      <w:r w:rsidR="00131AE2">
        <w:rPr>
          <w:lang w:val="en-US"/>
        </w:rPr>
        <w:t>”</w:t>
      </w:r>
      <w:r w:rsidRPr="0012442E">
        <w:rPr>
          <w:lang w:val="en-US"/>
        </w:rPr>
        <w:t xml:space="preserve">. </w:t>
      </w:r>
      <w:r w:rsidR="00131AE2">
        <w:rPr>
          <w:lang w:val="en-US"/>
        </w:rPr>
        <w:t xml:space="preserve">Women </w:t>
      </w:r>
      <w:r w:rsidRPr="0012442E">
        <w:rPr>
          <w:lang w:val="en-US"/>
        </w:rPr>
        <w:t xml:space="preserve">spend years separated from their sons and daughters because of the complications and bureaucratic barriers to </w:t>
      </w:r>
      <w:r w:rsidR="00131AE2">
        <w:rPr>
          <w:lang w:val="en-US"/>
        </w:rPr>
        <w:t>reunification</w:t>
      </w:r>
      <w:r w:rsidRPr="0012442E">
        <w:rPr>
          <w:lang w:val="en-US"/>
        </w:rPr>
        <w:t xml:space="preserve">, </w:t>
      </w:r>
      <w:r w:rsidR="00131AE2">
        <w:rPr>
          <w:lang w:val="en-US"/>
        </w:rPr>
        <w:t xml:space="preserve">and this </w:t>
      </w:r>
      <w:r w:rsidRPr="0012442E">
        <w:rPr>
          <w:lang w:val="en-US"/>
        </w:rPr>
        <w:t xml:space="preserve">violates </w:t>
      </w:r>
      <w:r w:rsidR="005D5696">
        <w:rPr>
          <w:lang w:val="en-US"/>
        </w:rPr>
        <w:t xml:space="preserve">children’s </w:t>
      </w:r>
      <w:r w:rsidRPr="0012442E">
        <w:rPr>
          <w:lang w:val="en-US"/>
        </w:rPr>
        <w:t>right</w:t>
      </w:r>
      <w:r w:rsidR="005D5696">
        <w:rPr>
          <w:lang w:val="en-US"/>
        </w:rPr>
        <w:t>s</w:t>
      </w:r>
      <w:r w:rsidRPr="0012442E">
        <w:rPr>
          <w:lang w:val="en-US"/>
        </w:rPr>
        <w:t xml:space="preserve"> to live with their famil</w:t>
      </w:r>
      <w:r w:rsidR="0039142B">
        <w:rPr>
          <w:lang w:val="en-US"/>
        </w:rPr>
        <w:t>ies</w:t>
      </w:r>
      <w:r w:rsidRPr="0012442E">
        <w:rPr>
          <w:lang w:val="en-US"/>
        </w:rPr>
        <w:t xml:space="preserve">. Spain, as signatory of the </w:t>
      </w:r>
      <w:r w:rsidR="005B7C58">
        <w:rPr>
          <w:lang w:val="en-US"/>
        </w:rPr>
        <w:t xml:space="preserve">UN </w:t>
      </w:r>
      <w:r w:rsidRPr="0012442E">
        <w:rPr>
          <w:lang w:val="en-US"/>
        </w:rPr>
        <w:t xml:space="preserve">Convention on the </w:t>
      </w:r>
      <w:r w:rsidR="005B7C58">
        <w:rPr>
          <w:lang w:val="en-US"/>
        </w:rPr>
        <w:t>R</w:t>
      </w:r>
      <w:r w:rsidRPr="0012442E">
        <w:rPr>
          <w:lang w:val="en-US"/>
        </w:rPr>
        <w:t xml:space="preserve">ights of the </w:t>
      </w:r>
      <w:r w:rsidR="005B7C58">
        <w:rPr>
          <w:lang w:val="en-US"/>
        </w:rPr>
        <w:t>C</w:t>
      </w:r>
      <w:r w:rsidRPr="0012442E">
        <w:rPr>
          <w:lang w:val="en-US"/>
        </w:rPr>
        <w:t>hild, has the obligation to take measures to comply with it</w:t>
      </w:r>
      <w:r w:rsidR="0039142B">
        <w:rPr>
          <w:lang w:val="en-US"/>
        </w:rPr>
        <w:t xml:space="preserve"> and the </w:t>
      </w:r>
      <w:r w:rsidR="00D85FC3">
        <w:rPr>
          <w:lang w:val="en-US"/>
        </w:rPr>
        <w:t>b</w:t>
      </w:r>
      <w:r w:rsidR="0039142B">
        <w:rPr>
          <w:lang w:val="en-US"/>
        </w:rPr>
        <w:t>est interest of the child</w:t>
      </w:r>
      <w:r w:rsidR="00D85FC3">
        <w:rPr>
          <w:lang w:val="en-US"/>
        </w:rPr>
        <w:t xml:space="preserve"> standard,</w:t>
      </w:r>
    </w:p>
    <w:p w14:paraId="764C4B08" w14:textId="77777777" w:rsidR="0039362F" w:rsidRPr="0012442E" w:rsidRDefault="0039362F" w:rsidP="0012442E">
      <w:pPr>
        <w:pStyle w:val="ListParagraph"/>
        <w:spacing w:after="0" w:line="240" w:lineRule="auto"/>
        <w:rPr>
          <w:lang w:val="en-US"/>
        </w:rPr>
      </w:pPr>
    </w:p>
    <w:p w14:paraId="11CC857E" w14:textId="44FA82D7" w:rsidR="0039362F" w:rsidRPr="0012442E" w:rsidRDefault="00050C69" w:rsidP="0012442E">
      <w:pPr>
        <w:pStyle w:val="ListParagraph"/>
        <w:numPr>
          <w:ilvl w:val="0"/>
          <w:numId w:val="7"/>
        </w:numPr>
        <w:spacing w:after="0" w:line="240" w:lineRule="auto"/>
        <w:ind w:left="426"/>
        <w:jc w:val="both"/>
        <w:rPr>
          <w:lang w:val="en-US"/>
        </w:rPr>
      </w:pPr>
      <w:r>
        <w:rPr>
          <w:lang w:val="en-US"/>
        </w:rPr>
        <w:t>There has been i</w:t>
      </w:r>
      <w:r w:rsidR="0039362F" w:rsidRPr="0012442E">
        <w:rPr>
          <w:lang w:val="en-US"/>
        </w:rPr>
        <w:t>ncrea</w:t>
      </w:r>
      <w:r>
        <w:rPr>
          <w:lang w:val="en-US"/>
        </w:rPr>
        <w:t>sing</w:t>
      </w:r>
      <w:r w:rsidR="0039362F" w:rsidRPr="0012442E">
        <w:rPr>
          <w:lang w:val="en-US"/>
        </w:rPr>
        <w:t xml:space="preserve"> acts of racism and xenophobia in the face of a political and social scenario that overflows the state framework, which seems to give legitimacy to these events. It is important to highlight the rise of </w:t>
      </w:r>
      <w:proofErr w:type="spellStart"/>
      <w:r w:rsidR="0039362F" w:rsidRPr="0012442E">
        <w:rPr>
          <w:lang w:val="en-US"/>
        </w:rPr>
        <w:t>Islamophobia</w:t>
      </w:r>
      <w:proofErr w:type="spellEnd"/>
      <w:r w:rsidR="0039362F" w:rsidRPr="0012442E">
        <w:rPr>
          <w:lang w:val="en-US"/>
        </w:rPr>
        <w:t xml:space="preserve">, especially against women with certain markers </w:t>
      </w:r>
      <w:r w:rsidR="0039362F" w:rsidRPr="0012442E">
        <w:rPr>
          <w:lang w:val="en-US"/>
        </w:rPr>
        <w:lastRenderedPageBreak/>
        <w:t>such as the veil, as well as the different discriminatory discourses and narratives that dehumanize and criminalize migrants</w:t>
      </w:r>
      <w:r w:rsidR="00B23153">
        <w:rPr>
          <w:lang w:val="en-US"/>
        </w:rPr>
        <w:t>,</w:t>
      </w:r>
    </w:p>
    <w:p w14:paraId="5A0E046D" w14:textId="77777777" w:rsidR="0039362F" w:rsidRPr="0012442E" w:rsidRDefault="0039362F" w:rsidP="0012442E">
      <w:pPr>
        <w:pStyle w:val="ListParagraph"/>
        <w:spacing w:after="0" w:line="240" w:lineRule="auto"/>
        <w:ind w:left="426"/>
        <w:jc w:val="both"/>
        <w:rPr>
          <w:lang w:val="en-US"/>
        </w:rPr>
      </w:pPr>
    </w:p>
    <w:p w14:paraId="6F2FC840" w14:textId="312ECE9A" w:rsidR="0039362F" w:rsidRPr="0012442E" w:rsidRDefault="0079548C" w:rsidP="0012442E">
      <w:pPr>
        <w:pStyle w:val="ListParagraph"/>
        <w:numPr>
          <w:ilvl w:val="0"/>
          <w:numId w:val="7"/>
        </w:numPr>
        <w:spacing w:after="0" w:line="240" w:lineRule="auto"/>
        <w:ind w:left="426"/>
        <w:jc w:val="both"/>
        <w:rPr>
          <w:rFonts w:ascii="Arial" w:eastAsia="Times New Roman" w:hAnsi="Arial" w:cs="Arial"/>
          <w:color w:val="777777"/>
          <w:lang w:val="en-US" w:eastAsia="es-ES"/>
        </w:rPr>
      </w:pPr>
      <w:r>
        <w:rPr>
          <w:lang w:val="en-US"/>
        </w:rPr>
        <w:t>We would like also to report the</w:t>
      </w:r>
      <w:r w:rsidR="0039362F" w:rsidRPr="0012442E">
        <w:rPr>
          <w:lang w:val="en-US"/>
        </w:rPr>
        <w:t xml:space="preserve"> expulsion from the political community of migrants residing in Spain who do not have the </w:t>
      </w:r>
      <w:r w:rsidRPr="0012442E">
        <w:rPr>
          <w:lang w:val="en-US"/>
        </w:rPr>
        <w:t xml:space="preserve">active </w:t>
      </w:r>
      <w:r>
        <w:rPr>
          <w:lang w:val="en-US"/>
        </w:rPr>
        <w:t xml:space="preserve">nor the </w:t>
      </w:r>
      <w:r w:rsidRPr="0012442E">
        <w:rPr>
          <w:lang w:val="en-US"/>
        </w:rPr>
        <w:t xml:space="preserve">passive </w:t>
      </w:r>
      <w:r w:rsidR="0039362F" w:rsidRPr="0012442E">
        <w:rPr>
          <w:lang w:val="en-US"/>
        </w:rPr>
        <w:t xml:space="preserve">right to vote in general elections. </w:t>
      </w:r>
      <w:r>
        <w:rPr>
          <w:lang w:val="en-US"/>
        </w:rPr>
        <w:t>Besides, m</w:t>
      </w:r>
      <w:r w:rsidR="00733DA4">
        <w:rPr>
          <w:lang w:val="en-US"/>
        </w:rPr>
        <w:t>igrant</w:t>
      </w:r>
      <w:r w:rsidR="00C531A8">
        <w:rPr>
          <w:lang w:val="en-US"/>
        </w:rPr>
        <w:t xml:space="preserve">’s children </w:t>
      </w:r>
      <w:r w:rsidR="0039362F" w:rsidRPr="0012442E">
        <w:rPr>
          <w:lang w:val="en-US"/>
        </w:rPr>
        <w:t xml:space="preserve">do not have </w:t>
      </w:r>
      <w:r w:rsidR="00C531A8">
        <w:rPr>
          <w:lang w:val="en-US"/>
        </w:rPr>
        <w:t xml:space="preserve">either </w:t>
      </w:r>
      <w:r w:rsidR="0039362F" w:rsidRPr="0012442E">
        <w:rPr>
          <w:lang w:val="en-US"/>
        </w:rPr>
        <w:t>this right</w:t>
      </w:r>
      <w:r w:rsidR="00C531A8">
        <w:rPr>
          <w:lang w:val="en-US"/>
        </w:rPr>
        <w:t>,</w:t>
      </w:r>
      <w:r w:rsidR="0039362F" w:rsidRPr="0012442E">
        <w:rPr>
          <w:lang w:val="en-US"/>
        </w:rPr>
        <w:t xml:space="preserve"> since nationality is transferred </w:t>
      </w:r>
      <w:r w:rsidR="00093833">
        <w:rPr>
          <w:lang w:val="en-US"/>
        </w:rPr>
        <w:t>by</w:t>
      </w:r>
      <w:r w:rsidR="00DD0820">
        <w:rPr>
          <w:lang w:val="en-US"/>
        </w:rPr>
        <w:t xml:space="preserve"> parents </w:t>
      </w:r>
      <w:r w:rsidR="0039362F" w:rsidRPr="0012442E">
        <w:rPr>
          <w:lang w:val="en-US"/>
        </w:rPr>
        <w:t>(</w:t>
      </w:r>
      <w:proofErr w:type="spellStart"/>
      <w:r w:rsidR="0039362F" w:rsidRPr="00DD0820">
        <w:rPr>
          <w:i/>
          <w:iCs/>
          <w:lang w:val="en-US"/>
        </w:rPr>
        <w:t>ius</w:t>
      </w:r>
      <w:proofErr w:type="spellEnd"/>
      <w:r w:rsidR="0039362F" w:rsidRPr="00DD0820">
        <w:rPr>
          <w:i/>
          <w:iCs/>
          <w:lang w:val="en-US"/>
        </w:rPr>
        <w:t xml:space="preserve"> </w:t>
      </w:r>
      <w:proofErr w:type="spellStart"/>
      <w:r w:rsidR="0039362F" w:rsidRPr="00DD0820">
        <w:rPr>
          <w:i/>
          <w:iCs/>
          <w:lang w:val="en-US"/>
        </w:rPr>
        <w:t>sanguinis</w:t>
      </w:r>
      <w:proofErr w:type="spellEnd"/>
      <w:r w:rsidR="0039362F" w:rsidRPr="0012442E">
        <w:rPr>
          <w:lang w:val="en-US"/>
        </w:rPr>
        <w:t xml:space="preserve">) not </w:t>
      </w:r>
      <w:r w:rsidR="00DD0820">
        <w:rPr>
          <w:lang w:val="en-US"/>
        </w:rPr>
        <w:t xml:space="preserve">by </w:t>
      </w:r>
      <w:r w:rsidR="0039362F" w:rsidRPr="0012442E">
        <w:rPr>
          <w:lang w:val="en-US"/>
        </w:rPr>
        <w:t>be</w:t>
      </w:r>
      <w:r w:rsidR="00DD0820">
        <w:rPr>
          <w:lang w:val="en-US"/>
        </w:rPr>
        <w:t>ing</w:t>
      </w:r>
      <w:r w:rsidR="0039362F" w:rsidRPr="0012442E">
        <w:rPr>
          <w:lang w:val="en-US"/>
        </w:rPr>
        <w:t xml:space="preserve"> born in the territory (</w:t>
      </w:r>
      <w:proofErr w:type="spellStart"/>
      <w:r w:rsidR="0039362F" w:rsidRPr="00DD0820">
        <w:rPr>
          <w:i/>
          <w:iCs/>
          <w:lang w:val="en-US"/>
        </w:rPr>
        <w:t>ius</w:t>
      </w:r>
      <w:proofErr w:type="spellEnd"/>
      <w:r w:rsidR="0039362F" w:rsidRPr="00DD0820">
        <w:rPr>
          <w:i/>
          <w:iCs/>
          <w:lang w:val="en-US"/>
        </w:rPr>
        <w:t xml:space="preserve"> </w:t>
      </w:r>
      <w:proofErr w:type="spellStart"/>
      <w:r w:rsidR="0039362F" w:rsidRPr="00DD0820">
        <w:rPr>
          <w:i/>
          <w:iCs/>
          <w:lang w:val="en-US"/>
        </w:rPr>
        <w:t>solis</w:t>
      </w:r>
      <w:proofErr w:type="spellEnd"/>
      <w:r w:rsidR="0039362F" w:rsidRPr="0012442E">
        <w:rPr>
          <w:lang w:val="en-US"/>
        </w:rPr>
        <w:t xml:space="preserve">). In the case of municipal elections, migrants </w:t>
      </w:r>
      <w:r w:rsidR="007B2D4D">
        <w:rPr>
          <w:lang w:val="en-US"/>
        </w:rPr>
        <w:t xml:space="preserve">hold </w:t>
      </w:r>
      <w:r w:rsidR="0039362F" w:rsidRPr="0012442E">
        <w:rPr>
          <w:lang w:val="en-US"/>
        </w:rPr>
        <w:t xml:space="preserve">the right to vote </w:t>
      </w:r>
      <w:r w:rsidR="007B2D4D">
        <w:rPr>
          <w:lang w:val="en-US"/>
        </w:rPr>
        <w:t xml:space="preserve">only under particular </w:t>
      </w:r>
      <w:r w:rsidR="00DF710C">
        <w:rPr>
          <w:lang w:val="en-US"/>
        </w:rPr>
        <w:t xml:space="preserve">cumulative </w:t>
      </w:r>
      <w:r w:rsidR="007B2D4D">
        <w:rPr>
          <w:lang w:val="en-US"/>
        </w:rPr>
        <w:t>conditions</w:t>
      </w:r>
      <w:r w:rsidR="007B2D4D">
        <w:rPr>
          <w:rStyle w:val="FootnoteReference"/>
          <w:lang w:val="en-US"/>
        </w:rPr>
        <w:footnoteReference w:id="13"/>
      </w:r>
      <w:r w:rsidR="007B2D4D">
        <w:rPr>
          <w:lang w:val="en-US"/>
        </w:rPr>
        <w:t xml:space="preserve"> </w:t>
      </w:r>
    </w:p>
    <w:p w14:paraId="0E0EA123" w14:textId="77777777" w:rsidR="0012442E" w:rsidRDefault="0012442E" w:rsidP="0012442E">
      <w:pPr>
        <w:spacing w:after="0" w:line="240" w:lineRule="auto"/>
        <w:jc w:val="both"/>
        <w:rPr>
          <w:lang w:val="en-US"/>
        </w:rPr>
      </w:pPr>
    </w:p>
    <w:p w14:paraId="7A2A68F1" w14:textId="77777777" w:rsidR="009205AB" w:rsidRDefault="00BD3D71" w:rsidP="0012442E">
      <w:pPr>
        <w:spacing w:after="0" w:line="240" w:lineRule="auto"/>
        <w:jc w:val="both"/>
        <w:rPr>
          <w:lang w:val="en-US"/>
        </w:rPr>
      </w:pPr>
      <w:r>
        <w:rPr>
          <w:lang w:val="en-US"/>
        </w:rPr>
        <w:t>Finally, l</w:t>
      </w:r>
      <w:r w:rsidR="00DF710C">
        <w:rPr>
          <w:lang w:val="en-US"/>
        </w:rPr>
        <w:t xml:space="preserve">inked with all the arguments that have been </w:t>
      </w:r>
      <w:r>
        <w:rPr>
          <w:lang w:val="en-US"/>
        </w:rPr>
        <w:t xml:space="preserve">exposed, from </w:t>
      </w:r>
      <w:proofErr w:type="spellStart"/>
      <w:r w:rsidR="00DF710C">
        <w:rPr>
          <w:lang w:val="en-US"/>
        </w:rPr>
        <w:t>Alianza</w:t>
      </w:r>
      <w:proofErr w:type="spellEnd"/>
      <w:r w:rsidR="004C6569" w:rsidRPr="0012442E">
        <w:rPr>
          <w:lang w:val="en-US"/>
        </w:rPr>
        <w:t xml:space="preserve"> </w:t>
      </w:r>
      <w:r>
        <w:rPr>
          <w:lang w:val="en-US"/>
        </w:rPr>
        <w:t xml:space="preserve">we </w:t>
      </w:r>
      <w:r w:rsidR="004C6569" w:rsidRPr="0012442E">
        <w:rPr>
          <w:lang w:val="en-US"/>
        </w:rPr>
        <w:t xml:space="preserve">recommend that the United Nations Special Rapporteur on extreme poverty and human rights meet with </w:t>
      </w:r>
      <w:r w:rsidR="004C6569" w:rsidRPr="0012442E">
        <w:rPr>
          <w:lang w:val="en-US"/>
        </w:rPr>
        <w:lastRenderedPageBreak/>
        <w:t xml:space="preserve">the female domestic workers who have </w:t>
      </w:r>
      <w:r w:rsidR="009205AB">
        <w:rPr>
          <w:lang w:val="en-US"/>
        </w:rPr>
        <w:t xml:space="preserve">opened in Madrid </w:t>
      </w:r>
      <w:r w:rsidR="004C6569" w:rsidRPr="0012442E">
        <w:rPr>
          <w:lang w:val="en-US"/>
        </w:rPr>
        <w:t xml:space="preserve">the first Center for the Empowerment of Household and Care Workers in Spain (CETHYC) and which is managed by our Active Domestic Service (SEDOAC) partners with whom we have been working on different projects with various migrant groups and associations. </w:t>
      </w:r>
    </w:p>
    <w:p w14:paraId="162408BA" w14:textId="77777777" w:rsidR="009205AB" w:rsidRDefault="009205AB" w:rsidP="0012442E">
      <w:pPr>
        <w:spacing w:after="0" w:line="240" w:lineRule="auto"/>
        <w:jc w:val="both"/>
        <w:rPr>
          <w:lang w:val="en-US"/>
        </w:rPr>
      </w:pPr>
    </w:p>
    <w:p w14:paraId="12F2CFC8" w14:textId="1401B961" w:rsidR="00DD0EB6" w:rsidRDefault="004C6569" w:rsidP="0012442E">
      <w:pPr>
        <w:spacing w:after="0" w:line="240" w:lineRule="auto"/>
        <w:jc w:val="both"/>
        <w:rPr>
          <w:lang w:val="en-US"/>
        </w:rPr>
      </w:pPr>
      <w:r w:rsidRPr="0012442E">
        <w:rPr>
          <w:lang w:val="en-US"/>
        </w:rPr>
        <w:t xml:space="preserve">We propose this meeting because it makes visible a sector in which women and especially migrant women are exposed to different </w:t>
      </w:r>
      <w:r w:rsidR="009205AB">
        <w:rPr>
          <w:lang w:val="en-US"/>
        </w:rPr>
        <w:t xml:space="preserve">rights </w:t>
      </w:r>
      <w:r w:rsidRPr="0012442E">
        <w:rPr>
          <w:lang w:val="en-US"/>
        </w:rPr>
        <w:t xml:space="preserve">violations, as mentioned above, and because this is a sector that occupies the most precarious and least recognized positions in the socio-economic order and that also has a direct impact on </w:t>
      </w:r>
      <w:r w:rsidR="00474648">
        <w:rPr>
          <w:lang w:val="en-US"/>
        </w:rPr>
        <w:t xml:space="preserve">the access of migrant women </w:t>
      </w:r>
      <w:r w:rsidRPr="0012442E">
        <w:rPr>
          <w:lang w:val="en-US"/>
        </w:rPr>
        <w:t>to other rights such as health, housing, education, food, etc. For all this we speak of a generalization of the precariousness of their lives</w:t>
      </w:r>
      <w:r w:rsidR="00933CBF">
        <w:rPr>
          <w:lang w:val="en-US"/>
        </w:rPr>
        <w:t>.</w:t>
      </w:r>
    </w:p>
    <w:p w14:paraId="15EF2F99" w14:textId="77777777" w:rsidR="00933CBF" w:rsidRPr="0012442E" w:rsidRDefault="00933CBF" w:rsidP="0012442E">
      <w:pPr>
        <w:spacing w:after="0" w:line="240" w:lineRule="auto"/>
        <w:jc w:val="both"/>
        <w:rPr>
          <w:lang w:val="en-US"/>
        </w:rPr>
      </w:pPr>
    </w:p>
    <w:p w14:paraId="729EBB7D" w14:textId="5351ECFF" w:rsidR="00FE5F75" w:rsidRDefault="004C6569" w:rsidP="0012442E">
      <w:pPr>
        <w:spacing w:after="0" w:line="240" w:lineRule="auto"/>
        <w:jc w:val="both"/>
        <w:rPr>
          <w:lang w:val="en-US"/>
        </w:rPr>
      </w:pPr>
      <w:r w:rsidRPr="0012442E">
        <w:rPr>
          <w:lang w:val="en-US"/>
        </w:rPr>
        <w:t xml:space="preserve">In addition, we propose the </w:t>
      </w:r>
      <w:r w:rsidR="00802924">
        <w:rPr>
          <w:lang w:val="en-US"/>
        </w:rPr>
        <w:t>visit</w:t>
      </w:r>
      <w:r w:rsidRPr="0012442E">
        <w:rPr>
          <w:lang w:val="en-US"/>
        </w:rPr>
        <w:t xml:space="preserve"> to CETHYC because it has become a space in which different organizations of the Madrid anti-racist movement, led by migrants, are organizing </w:t>
      </w:r>
      <w:r w:rsidR="00802924">
        <w:rPr>
          <w:lang w:val="en-US"/>
        </w:rPr>
        <w:t xml:space="preserve">and examining </w:t>
      </w:r>
      <w:r w:rsidRPr="0012442E">
        <w:rPr>
          <w:lang w:val="en-US"/>
        </w:rPr>
        <w:t>racism as a structural issue that</w:t>
      </w:r>
      <w:r w:rsidR="00802924">
        <w:rPr>
          <w:lang w:val="en-US"/>
        </w:rPr>
        <w:t>,</w:t>
      </w:r>
      <w:r w:rsidRPr="0012442E">
        <w:rPr>
          <w:lang w:val="en-US"/>
        </w:rPr>
        <w:t xml:space="preserve"> along with other oppressions such as patriarchy and heteronormativity</w:t>
      </w:r>
      <w:r w:rsidR="00802924">
        <w:rPr>
          <w:lang w:val="en-US"/>
        </w:rPr>
        <w:t>,</w:t>
      </w:r>
      <w:r w:rsidRPr="0012442E">
        <w:rPr>
          <w:lang w:val="en-US"/>
        </w:rPr>
        <w:t xml:space="preserve"> intersect and therefore h</w:t>
      </w:r>
      <w:r w:rsidRPr="004C6569">
        <w:rPr>
          <w:lang w:val="en-US"/>
        </w:rPr>
        <w:t>ave to be analyzed together.</w:t>
      </w:r>
    </w:p>
    <w:sectPr w:rsidR="00FE5F75" w:rsidSect="004C539B">
      <w:headerReference w:type="default" r:id="rId13"/>
      <w:headerReference w:type="first" r:id="rId14"/>
      <w:pgSz w:w="11906" w:h="16838"/>
      <w:pgMar w:top="1417" w:right="1701" w:bottom="1417" w:left="1701"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D96F4" w14:textId="77777777" w:rsidR="00B824D5" w:rsidRDefault="00B824D5" w:rsidP="00916D91">
      <w:pPr>
        <w:spacing w:after="0" w:line="240" w:lineRule="auto"/>
      </w:pPr>
      <w:r>
        <w:separator/>
      </w:r>
    </w:p>
  </w:endnote>
  <w:endnote w:type="continuationSeparator" w:id="0">
    <w:p w14:paraId="7EDC29FA" w14:textId="77777777" w:rsidR="00B824D5" w:rsidRDefault="00B824D5" w:rsidP="0091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0690C" w14:textId="77777777" w:rsidR="00B824D5" w:rsidRDefault="00B824D5" w:rsidP="00916D91">
      <w:pPr>
        <w:spacing w:after="0" w:line="240" w:lineRule="auto"/>
      </w:pPr>
      <w:r>
        <w:separator/>
      </w:r>
    </w:p>
  </w:footnote>
  <w:footnote w:type="continuationSeparator" w:id="0">
    <w:p w14:paraId="0A032DF6" w14:textId="77777777" w:rsidR="00B824D5" w:rsidRDefault="00B824D5" w:rsidP="00916D91">
      <w:pPr>
        <w:spacing w:after="0" w:line="240" w:lineRule="auto"/>
      </w:pPr>
      <w:r>
        <w:continuationSeparator/>
      </w:r>
    </w:p>
  </w:footnote>
  <w:footnote w:id="1">
    <w:p w14:paraId="7DDD577C" w14:textId="3F6C78F7" w:rsidR="001E68BD" w:rsidRPr="00D374E3" w:rsidRDefault="001E68BD" w:rsidP="00D374E3">
      <w:pPr>
        <w:autoSpaceDE w:val="0"/>
        <w:autoSpaceDN w:val="0"/>
        <w:adjustRightInd w:val="0"/>
        <w:spacing w:after="0" w:line="240" w:lineRule="auto"/>
        <w:jc w:val="both"/>
        <w:rPr>
          <w:color w:val="000000"/>
          <w:sz w:val="18"/>
          <w:szCs w:val="18"/>
          <w:u w:val="single"/>
          <w:lang w:val="en-US"/>
        </w:rPr>
      </w:pPr>
      <w:r>
        <w:rPr>
          <w:rStyle w:val="FootnoteReference"/>
        </w:rPr>
        <w:footnoteRef/>
      </w:r>
      <w:r w:rsidRPr="001E68BD">
        <w:rPr>
          <w:lang w:val="en-US"/>
        </w:rPr>
        <w:t xml:space="preserve"> </w:t>
      </w:r>
      <w:r w:rsidR="00D374E3" w:rsidRPr="00A032AF">
        <w:rPr>
          <w:color w:val="000000"/>
          <w:sz w:val="18"/>
          <w:szCs w:val="18"/>
          <w:lang w:val="en-US"/>
        </w:rPr>
        <w:t xml:space="preserve">Organic Law 4/2000, of January 11, on the rights and freedoms of foreigners in Spain and their social integration),  </w:t>
      </w:r>
      <w:hyperlink r:id="rId1" w:history="1">
        <w:r w:rsidR="00D374E3" w:rsidRPr="00F72721">
          <w:rPr>
            <w:rStyle w:val="Hyperlink"/>
            <w:sz w:val="18"/>
            <w:szCs w:val="18"/>
            <w:lang w:val="en-US"/>
          </w:rPr>
          <w:t>https://www.boe.es/buscar/pdf/2000/BOE-A-2000-544-consolidado.pdf</w:t>
        </w:r>
      </w:hyperlink>
      <w:r w:rsidR="00D374E3" w:rsidRPr="00A032AF">
        <w:rPr>
          <w:color w:val="000000"/>
          <w:sz w:val="18"/>
          <w:szCs w:val="18"/>
          <w:lang w:val="en-US"/>
        </w:rPr>
        <w:t xml:space="preserve"> and Royal Decree 557/2011, of April 20, which approves the Regulation of the Organic Law 4/2000), </w:t>
      </w:r>
      <w:hyperlink r:id="rId2" w:history="1">
        <w:r w:rsidR="00D374E3" w:rsidRPr="00A032AF">
          <w:rPr>
            <w:rStyle w:val="Hyperlink"/>
            <w:sz w:val="18"/>
            <w:szCs w:val="18"/>
            <w:lang w:val="en-US"/>
          </w:rPr>
          <w:t>https://www.boe.es/buscar/pdf/2011/BOE-A-2011-7703-consolidado.pdf</w:t>
        </w:r>
      </w:hyperlink>
      <w:r w:rsidR="00D374E3" w:rsidRPr="003F7CF4">
        <w:rPr>
          <w:rStyle w:val="Hyperlink"/>
          <w:sz w:val="18"/>
          <w:szCs w:val="18"/>
          <w:lang w:val="en-US"/>
        </w:rPr>
        <w:t xml:space="preserve"> </w:t>
      </w:r>
      <w:r w:rsidR="00D374E3">
        <w:rPr>
          <w:sz w:val="18"/>
          <w:szCs w:val="18"/>
          <w:lang w:val="en-US"/>
        </w:rPr>
        <w:t xml:space="preserve">(in Spanish) </w:t>
      </w:r>
    </w:p>
  </w:footnote>
  <w:footnote w:id="2">
    <w:p w14:paraId="180539CD" w14:textId="67E642E3" w:rsidR="00D253A7" w:rsidRPr="00DB541F" w:rsidRDefault="00D253A7" w:rsidP="00DB541F">
      <w:pPr>
        <w:pStyle w:val="FootnoteText"/>
        <w:jc w:val="both"/>
        <w:rPr>
          <w:sz w:val="18"/>
          <w:szCs w:val="18"/>
          <w:lang w:val="en-US"/>
        </w:rPr>
      </w:pPr>
      <w:r w:rsidRPr="00DB541F">
        <w:rPr>
          <w:rStyle w:val="FootnoteReference"/>
          <w:sz w:val="18"/>
          <w:szCs w:val="18"/>
        </w:rPr>
        <w:footnoteRef/>
      </w:r>
      <w:r w:rsidRPr="00DB541F">
        <w:rPr>
          <w:sz w:val="18"/>
          <w:szCs w:val="18"/>
          <w:lang w:val="en-US"/>
        </w:rPr>
        <w:t xml:space="preserve"> </w:t>
      </w:r>
      <w:r w:rsidR="002001CD" w:rsidRPr="00DB541F">
        <w:rPr>
          <w:sz w:val="18"/>
          <w:szCs w:val="18"/>
          <w:lang w:val="en-US"/>
        </w:rPr>
        <w:t>In 2018, more than 1</w:t>
      </w:r>
      <w:r w:rsidR="001258AD" w:rsidRPr="00DB541F">
        <w:rPr>
          <w:sz w:val="18"/>
          <w:szCs w:val="18"/>
          <w:lang w:val="en-US"/>
        </w:rPr>
        <w:t>.</w:t>
      </w:r>
      <w:r w:rsidR="002001CD" w:rsidRPr="00DB541F">
        <w:rPr>
          <w:sz w:val="18"/>
          <w:szCs w:val="18"/>
          <w:lang w:val="en-US"/>
        </w:rPr>
        <w:t>064 people died or disappeared</w:t>
      </w:r>
      <w:r w:rsidR="001258AD" w:rsidRPr="00DB541F">
        <w:rPr>
          <w:sz w:val="18"/>
          <w:szCs w:val="18"/>
          <w:lang w:val="en-US"/>
        </w:rPr>
        <w:t xml:space="preserve">, as </w:t>
      </w:r>
      <w:proofErr w:type="spellStart"/>
      <w:r w:rsidR="001258AD" w:rsidRPr="00DB541F">
        <w:rPr>
          <w:sz w:val="18"/>
          <w:szCs w:val="18"/>
          <w:lang w:val="en-US"/>
        </w:rPr>
        <w:t>sated</w:t>
      </w:r>
      <w:proofErr w:type="spellEnd"/>
      <w:r w:rsidR="001258AD" w:rsidRPr="00DB541F">
        <w:rPr>
          <w:sz w:val="18"/>
          <w:szCs w:val="18"/>
          <w:lang w:val="en-US"/>
        </w:rPr>
        <w:t xml:space="preserve"> in the </w:t>
      </w:r>
      <w:r w:rsidR="002001CD" w:rsidRPr="00DB541F">
        <w:rPr>
          <w:sz w:val="18"/>
          <w:szCs w:val="18"/>
          <w:lang w:val="en-US"/>
        </w:rPr>
        <w:t>Report: “Human Rights in the South Border 2019”</w:t>
      </w:r>
      <w:r w:rsidR="00DE62AE" w:rsidRPr="00DB541F">
        <w:rPr>
          <w:sz w:val="18"/>
          <w:szCs w:val="18"/>
          <w:lang w:val="en-US"/>
        </w:rPr>
        <w:t>, done</w:t>
      </w:r>
      <w:r w:rsidR="002001CD" w:rsidRPr="00DB541F">
        <w:rPr>
          <w:sz w:val="18"/>
          <w:szCs w:val="18"/>
          <w:lang w:val="en-US"/>
        </w:rPr>
        <w:t xml:space="preserve"> by the Association for Human Rights in the South Border</w:t>
      </w:r>
      <w:r w:rsidR="00DE62AE" w:rsidRPr="00DB541F">
        <w:rPr>
          <w:sz w:val="18"/>
          <w:szCs w:val="18"/>
          <w:lang w:val="en-US"/>
        </w:rPr>
        <w:t xml:space="preserve">, and available at </w:t>
      </w:r>
      <w:hyperlink r:id="rId3" w:history="1">
        <w:r w:rsidRPr="00DB541F">
          <w:rPr>
            <w:rStyle w:val="Hyperlink"/>
            <w:sz w:val="18"/>
            <w:szCs w:val="18"/>
            <w:lang w:val="en-US"/>
          </w:rPr>
          <w:t>https://www.apdha.org/wp-content/uploads/2019/02/informe-frontera-sur-2019-web.pdf</w:t>
        </w:r>
      </w:hyperlink>
      <w:r w:rsidR="00DE62AE" w:rsidRPr="00DB541F">
        <w:rPr>
          <w:rStyle w:val="Hyperlink"/>
          <w:sz w:val="18"/>
          <w:szCs w:val="18"/>
          <w:lang w:val="en-US"/>
        </w:rPr>
        <w:t xml:space="preserve"> </w:t>
      </w:r>
      <w:r w:rsidR="00DE62AE" w:rsidRPr="00DB541F">
        <w:rPr>
          <w:sz w:val="18"/>
          <w:szCs w:val="18"/>
          <w:lang w:val="en-US"/>
        </w:rPr>
        <w:t>(in Spanish)</w:t>
      </w:r>
    </w:p>
  </w:footnote>
  <w:footnote w:id="3">
    <w:p w14:paraId="0463F203" w14:textId="1F4CF0ED" w:rsidR="00DB541F" w:rsidRPr="00DB541F" w:rsidRDefault="00DB541F" w:rsidP="00DB541F">
      <w:pPr>
        <w:shd w:val="clear" w:color="auto" w:fill="FFFFFF"/>
        <w:spacing w:after="0" w:line="240" w:lineRule="auto"/>
        <w:jc w:val="both"/>
        <w:textAlignment w:val="top"/>
        <w:rPr>
          <w:sz w:val="18"/>
          <w:szCs w:val="18"/>
          <w:lang w:val="en-US"/>
        </w:rPr>
      </w:pPr>
      <w:r w:rsidRPr="00DB541F">
        <w:rPr>
          <w:rStyle w:val="FootnoteReference"/>
          <w:sz w:val="18"/>
          <w:szCs w:val="18"/>
        </w:rPr>
        <w:footnoteRef/>
      </w:r>
      <w:r w:rsidRPr="00DB541F">
        <w:rPr>
          <w:sz w:val="18"/>
          <w:szCs w:val="18"/>
          <w:lang w:val="en-US"/>
        </w:rPr>
        <w:t xml:space="preserve"> In the report on police identification and ethnic profiling linked to the campaign "</w:t>
      </w:r>
      <w:proofErr w:type="spellStart"/>
      <w:r w:rsidRPr="00DB541F">
        <w:rPr>
          <w:sz w:val="18"/>
          <w:szCs w:val="18"/>
          <w:lang w:val="en-US"/>
        </w:rPr>
        <w:t>Parad</w:t>
      </w:r>
      <w:proofErr w:type="spellEnd"/>
      <w:r w:rsidRPr="00DB541F">
        <w:rPr>
          <w:sz w:val="18"/>
          <w:szCs w:val="18"/>
          <w:lang w:val="en-US"/>
        </w:rPr>
        <w:t xml:space="preserve"> de </w:t>
      </w:r>
      <w:proofErr w:type="spellStart"/>
      <w:r w:rsidRPr="00DB541F">
        <w:rPr>
          <w:sz w:val="18"/>
          <w:szCs w:val="18"/>
          <w:lang w:val="en-US"/>
        </w:rPr>
        <w:t>pararme</w:t>
      </w:r>
      <w:proofErr w:type="spellEnd"/>
      <w:r w:rsidRPr="00DB541F">
        <w:rPr>
          <w:sz w:val="18"/>
          <w:szCs w:val="18"/>
          <w:lang w:val="en-US"/>
        </w:rPr>
        <w:t xml:space="preserve">" (Stop  stopping me!), it is established that, out of every 100 foreigners, 19,59 are identified by the police, while out of every 100 Spaniards, police identifies 2,63 This implies that, for every Spanish person identified, there are 7,4 foreigners. See </w:t>
      </w:r>
      <w:hyperlink r:id="rId4" w:history="1">
        <w:r w:rsidRPr="00DB541F">
          <w:rPr>
            <w:rStyle w:val="Hyperlink"/>
            <w:sz w:val="18"/>
            <w:szCs w:val="18"/>
            <w:lang w:val="en-US"/>
          </w:rPr>
          <w:t>https://www.pareudepararme.org/informe-es</w:t>
        </w:r>
      </w:hyperlink>
      <w:r w:rsidRPr="00DB541F">
        <w:rPr>
          <w:sz w:val="18"/>
          <w:szCs w:val="18"/>
          <w:lang w:val="en-US"/>
        </w:rPr>
        <w:t xml:space="preserve"> (in Spanish)</w:t>
      </w:r>
    </w:p>
  </w:footnote>
  <w:footnote w:id="4">
    <w:p w14:paraId="5B170B28" w14:textId="08CA34F3" w:rsidR="00031E12" w:rsidRPr="00DB541F" w:rsidRDefault="00031E12" w:rsidP="00DB541F">
      <w:pPr>
        <w:pStyle w:val="FootnoteText"/>
        <w:jc w:val="both"/>
        <w:rPr>
          <w:sz w:val="18"/>
          <w:szCs w:val="18"/>
          <w:lang w:val="en-US"/>
        </w:rPr>
      </w:pPr>
      <w:r w:rsidRPr="00DB541F">
        <w:rPr>
          <w:rStyle w:val="FootnoteReference"/>
          <w:sz w:val="18"/>
          <w:szCs w:val="18"/>
        </w:rPr>
        <w:footnoteRef/>
      </w:r>
      <w:r w:rsidRPr="00DB541F">
        <w:rPr>
          <w:sz w:val="18"/>
          <w:szCs w:val="18"/>
          <w:lang w:val="en-US"/>
        </w:rPr>
        <w:t xml:space="preserve"> </w:t>
      </w:r>
      <w:r w:rsidR="00E318AD" w:rsidRPr="00DB541F">
        <w:rPr>
          <w:sz w:val="18"/>
          <w:szCs w:val="18"/>
          <w:lang w:val="en-US"/>
        </w:rPr>
        <w:t xml:space="preserve">In 2017, Mohamed </w:t>
      </w:r>
      <w:proofErr w:type="spellStart"/>
      <w:r w:rsidR="00E318AD" w:rsidRPr="00DB541F">
        <w:rPr>
          <w:sz w:val="18"/>
          <w:szCs w:val="18"/>
          <w:lang w:val="en-US"/>
        </w:rPr>
        <w:t>Bouderbala's</w:t>
      </w:r>
      <w:proofErr w:type="spellEnd"/>
      <w:r w:rsidR="00E318AD" w:rsidRPr="00DB541F">
        <w:rPr>
          <w:sz w:val="18"/>
          <w:szCs w:val="18"/>
          <w:lang w:val="en-US"/>
        </w:rPr>
        <w:t xml:space="preserve"> </w:t>
      </w:r>
      <w:r w:rsidR="00E32E5A">
        <w:rPr>
          <w:sz w:val="18"/>
          <w:szCs w:val="18"/>
          <w:lang w:val="en-US"/>
        </w:rPr>
        <w:t xml:space="preserve">lifeless </w:t>
      </w:r>
      <w:r w:rsidR="00E318AD" w:rsidRPr="00DB541F">
        <w:rPr>
          <w:sz w:val="18"/>
          <w:szCs w:val="18"/>
          <w:lang w:val="en-US"/>
        </w:rPr>
        <w:t xml:space="preserve">body was found in the </w:t>
      </w:r>
      <w:r w:rsidR="00C50B47" w:rsidRPr="00DB541F">
        <w:rPr>
          <w:sz w:val="18"/>
          <w:szCs w:val="18"/>
          <w:lang w:val="en-US"/>
        </w:rPr>
        <w:t xml:space="preserve">Foreigners </w:t>
      </w:r>
      <w:r w:rsidR="00597DA2" w:rsidRPr="00DB541F">
        <w:rPr>
          <w:sz w:val="18"/>
          <w:szCs w:val="18"/>
          <w:lang w:val="en-US"/>
        </w:rPr>
        <w:t xml:space="preserve">Internment </w:t>
      </w:r>
      <w:r w:rsidR="00C50B47" w:rsidRPr="00DB541F">
        <w:rPr>
          <w:sz w:val="18"/>
          <w:szCs w:val="18"/>
          <w:lang w:val="en-US"/>
        </w:rPr>
        <w:t xml:space="preserve">Centers </w:t>
      </w:r>
      <w:r w:rsidR="00597DA2" w:rsidRPr="00DB541F">
        <w:rPr>
          <w:sz w:val="18"/>
          <w:szCs w:val="18"/>
          <w:lang w:val="en-US"/>
        </w:rPr>
        <w:t>(</w:t>
      </w:r>
      <w:r w:rsidR="00C50B47" w:rsidRPr="00DB541F">
        <w:rPr>
          <w:sz w:val="18"/>
          <w:szCs w:val="18"/>
          <w:lang w:val="en-US"/>
        </w:rPr>
        <w:t>“</w:t>
      </w:r>
      <w:r w:rsidR="00597DA2" w:rsidRPr="00DB541F">
        <w:rPr>
          <w:sz w:val="18"/>
          <w:szCs w:val="18"/>
          <w:lang w:val="en-US"/>
        </w:rPr>
        <w:t>CIE</w:t>
      </w:r>
      <w:r w:rsidR="00C50B47" w:rsidRPr="00DB541F">
        <w:rPr>
          <w:sz w:val="18"/>
          <w:szCs w:val="18"/>
          <w:lang w:val="en-US"/>
        </w:rPr>
        <w:t>” in Spanish</w:t>
      </w:r>
      <w:r w:rsidR="00597DA2" w:rsidRPr="00DB541F">
        <w:rPr>
          <w:sz w:val="18"/>
          <w:szCs w:val="18"/>
          <w:lang w:val="en-US"/>
        </w:rPr>
        <w:t>)</w:t>
      </w:r>
      <w:r w:rsidR="00E318AD" w:rsidRPr="00DB541F">
        <w:rPr>
          <w:sz w:val="18"/>
          <w:szCs w:val="18"/>
          <w:lang w:val="en-US"/>
        </w:rPr>
        <w:t xml:space="preserve">. </w:t>
      </w:r>
      <w:r w:rsidR="0055237C">
        <w:rPr>
          <w:sz w:val="18"/>
          <w:szCs w:val="18"/>
          <w:lang w:val="en-US"/>
        </w:rPr>
        <w:t>More information at</w:t>
      </w:r>
      <w:r w:rsidR="00E318AD" w:rsidRPr="00DB541F">
        <w:rPr>
          <w:sz w:val="18"/>
          <w:szCs w:val="18"/>
          <w:lang w:val="en-US"/>
        </w:rPr>
        <w:t xml:space="preserve"> </w:t>
      </w:r>
      <w:hyperlink r:id="rId5" w:history="1">
        <w:r w:rsidRPr="00DB541F">
          <w:rPr>
            <w:rStyle w:val="Hyperlink"/>
            <w:sz w:val="18"/>
            <w:szCs w:val="18"/>
            <w:lang w:val="en-US"/>
          </w:rPr>
          <w:t>https://www.eldiario.es/desalambre/Vida-muerte-Mohamed-Bouderbala-Archidona_0_850765666.html</w:t>
        </w:r>
      </w:hyperlink>
      <w:r w:rsidR="00C50B47" w:rsidRPr="00DB541F">
        <w:rPr>
          <w:rStyle w:val="Hyperlink"/>
          <w:color w:val="auto"/>
          <w:sz w:val="18"/>
          <w:szCs w:val="18"/>
          <w:u w:val="none"/>
          <w:lang w:val="en-US"/>
        </w:rPr>
        <w:t xml:space="preserve"> (in Spanish)</w:t>
      </w:r>
    </w:p>
  </w:footnote>
  <w:footnote w:id="5">
    <w:p w14:paraId="4C13A2DC" w14:textId="58B25A17" w:rsidR="00DF046D" w:rsidRPr="00DF046D" w:rsidRDefault="00DF046D" w:rsidP="00DF046D">
      <w:pPr>
        <w:spacing w:after="0" w:line="240" w:lineRule="auto"/>
        <w:jc w:val="both"/>
        <w:rPr>
          <w:sz w:val="18"/>
          <w:szCs w:val="18"/>
          <w:lang w:val="en-US"/>
        </w:rPr>
      </w:pPr>
      <w:r w:rsidRPr="00DF046D">
        <w:rPr>
          <w:rStyle w:val="FootnoteReference"/>
          <w:sz w:val="18"/>
          <w:szCs w:val="18"/>
        </w:rPr>
        <w:footnoteRef/>
      </w:r>
      <w:r w:rsidRPr="00DF046D">
        <w:rPr>
          <w:sz w:val="18"/>
          <w:szCs w:val="18"/>
          <w:lang w:val="en-US"/>
        </w:rPr>
        <w:t xml:space="preserve"> Organic Law 4/2015, of March 30, on the protection of citizen security, so called “Gag Law” because of its impact on freedom of expression </w:t>
      </w:r>
      <w:hyperlink r:id="rId6" w:history="1">
        <w:r w:rsidRPr="00DF046D">
          <w:rPr>
            <w:rStyle w:val="Hyperlink"/>
            <w:sz w:val="18"/>
            <w:szCs w:val="18"/>
            <w:lang w:val="en-US"/>
          </w:rPr>
          <w:t>https://www.boe.es/buscar/pdf/2015/BOE-A-2015-3442-consolidado.pdf</w:t>
        </w:r>
      </w:hyperlink>
      <w:r w:rsidRPr="00DF046D">
        <w:rPr>
          <w:rStyle w:val="Hyperlink"/>
          <w:sz w:val="18"/>
          <w:szCs w:val="18"/>
          <w:lang w:val="en-US"/>
        </w:rPr>
        <w:t xml:space="preserve"> </w:t>
      </w:r>
      <w:r w:rsidRPr="00DF046D">
        <w:rPr>
          <w:sz w:val="18"/>
          <w:szCs w:val="18"/>
          <w:lang w:val="en-US"/>
        </w:rPr>
        <w:t>(in Spanish)</w:t>
      </w:r>
    </w:p>
  </w:footnote>
  <w:footnote w:id="6">
    <w:p w14:paraId="43962089" w14:textId="7F110B06" w:rsidR="007C7ACE" w:rsidRPr="00C4517C" w:rsidRDefault="007C7ACE" w:rsidP="00C4517C">
      <w:pPr>
        <w:pStyle w:val="FootnoteText"/>
        <w:jc w:val="both"/>
        <w:rPr>
          <w:sz w:val="18"/>
          <w:szCs w:val="18"/>
          <w:lang w:val="en-US"/>
        </w:rPr>
      </w:pPr>
      <w:r w:rsidRPr="00DF046D">
        <w:rPr>
          <w:rStyle w:val="FootnoteReference"/>
          <w:sz w:val="18"/>
          <w:szCs w:val="18"/>
        </w:rPr>
        <w:footnoteRef/>
      </w:r>
      <w:r w:rsidRPr="00DF046D">
        <w:rPr>
          <w:sz w:val="18"/>
          <w:szCs w:val="18"/>
          <w:lang w:val="en-US"/>
        </w:rPr>
        <w:t xml:space="preserve"> </w:t>
      </w:r>
      <w:r w:rsidR="001F5625">
        <w:rPr>
          <w:sz w:val="18"/>
          <w:szCs w:val="18"/>
          <w:lang w:val="en-US"/>
        </w:rPr>
        <w:t>Ruling a</w:t>
      </w:r>
      <w:r w:rsidR="00C50B47" w:rsidRPr="00DF046D">
        <w:rPr>
          <w:sz w:val="18"/>
          <w:szCs w:val="18"/>
          <w:lang w:val="en-US"/>
        </w:rPr>
        <w:t>vailable a</w:t>
      </w:r>
      <w:r w:rsidR="00E318AD" w:rsidRPr="00DF046D">
        <w:rPr>
          <w:sz w:val="18"/>
          <w:szCs w:val="18"/>
          <w:lang w:val="en-US"/>
        </w:rPr>
        <w:t>t</w:t>
      </w:r>
      <w:r w:rsidRPr="00DF046D">
        <w:rPr>
          <w:sz w:val="18"/>
          <w:szCs w:val="18"/>
          <w:lang w:val="en-US"/>
        </w:rPr>
        <w:t xml:space="preserve"> </w:t>
      </w:r>
      <w:hyperlink r:id="rId7" w:history="1">
        <w:r w:rsidRPr="00C4517C">
          <w:rPr>
            <w:rStyle w:val="Hyperlink"/>
            <w:sz w:val="18"/>
            <w:szCs w:val="18"/>
            <w:lang w:val="en-US"/>
          </w:rPr>
          <w:t>https://www.idhc.org/es/actualidad/el-tedh-sentencia-que-espana-ha-incumplido-el-convenio-europeo-de-derechos-humanos-por-las-devoluciones-en-caliente.php</w:t>
        </w:r>
      </w:hyperlink>
      <w:r w:rsidR="00C50B47" w:rsidRPr="00C4517C">
        <w:rPr>
          <w:rStyle w:val="Hyperlink"/>
          <w:color w:val="auto"/>
          <w:sz w:val="18"/>
          <w:szCs w:val="18"/>
          <w:u w:val="none"/>
          <w:lang w:val="en-US"/>
        </w:rPr>
        <w:t xml:space="preserve"> (in Spanish)</w:t>
      </w:r>
    </w:p>
  </w:footnote>
  <w:footnote w:id="7">
    <w:p w14:paraId="6FEE4149" w14:textId="3EBCE6C8" w:rsidR="007322DC" w:rsidRPr="00C4517C" w:rsidRDefault="007322DC" w:rsidP="00C4517C">
      <w:pPr>
        <w:shd w:val="clear" w:color="auto" w:fill="FFFFFF"/>
        <w:spacing w:after="0" w:line="240" w:lineRule="auto"/>
        <w:jc w:val="both"/>
        <w:textAlignment w:val="top"/>
        <w:rPr>
          <w:sz w:val="18"/>
          <w:szCs w:val="18"/>
          <w:lang w:val="en-US"/>
        </w:rPr>
      </w:pPr>
      <w:r w:rsidRPr="00C4517C">
        <w:rPr>
          <w:rStyle w:val="FootnoteReference"/>
          <w:sz w:val="18"/>
          <w:szCs w:val="18"/>
        </w:rPr>
        <w:footnoteRef/>
      </w:r>
      <w:r w:rsidRPr="00C4517C">
        <w:rPr>
          <w:sz w:val="18"/>
          <w:szCs w:val="18"/>
          <w:lang w:val="en-US"/>
        </w:rPr>
        <w:t xml:space="preserve"> </w:t>
      </w:r>
      <w:r w:rsidR="00A9494B" w:rsidRPr="00C4517C">
        <w:rPr>
          <w:sz w:val="18"/>
          <w:szCs w:val="18"/>
          <w:lang w:val="en-US"/>
        </w:rPr>
        <w:t xml:space="preserve">The conditions established by the Immigration Law mean that among the different options for accessing a residence permit in Spain (contracting systems at origin countries, marriage, visas for highly qualified profiles, student permits, etc.), the most affordable for non-EU foreign persons, is the temporary residence permit for reasons of </w:t>
      </w:r>
      <w:r w:rsidR="00A9494B" w:rsidRPr="007404B1">
        <w:rPr>
          <w:i/>
          <w:iCs/>
          <w:sz w:val="18"/>
          <w:szCs w:val="18"/>
          <w:lang w:val="en-US"/>
        </w:rPr>
        <w:t>social rooting</w:t>
      </w:r>
      <w:r w:rsidR="00A9494B" w:rsidRPr="00C4517C">
        <w:rPr>
          <w:sz w:val="18"/>
          <w:szCs w:val="18"/>
          <w:lang w:val="en-US"/>
        </w:rPr>
        <w:t xml:space="preserve">. And despite being the </w:t>
      </w:r>
      <w:r w:rsidR="007404B1">
        <w:rPr>
          <w:sz w:val="18"/>
          <w:szCs w:val="18"/>
          <w:lang w:val="en-US"/>
        </w:rPr>
        <w:t>“</w:t>
      </w:r>
      <w:r w:rsidR="00A9494B" w:rsidRPr="00C4517C">
        <w:rPr>
          <w:sz w:val="18"/>
          <w:szCs w:val="18"/>
          <w:lang w:val="en-US"/>
        </w:rPr>
        <w:t>most affordable</w:t>
      </w:r>
      <w:r w:rsidR="007404B1">
        <w:rPr>
          <w:sz w:val="18"/>
          <w:szCs w:val="18"/>
          <w:lang w:val="en-US"/>
        </w:rPr>
        <w:t>”</w:t>
      </w:r>
      <w:r w:rsidR="00A9494B" w:rsidRPr="00C4517C">
        <w:rPr>
          <w:sz w:val="18"/>
          <w:szCs w:val="18"/>
          <w:lang w:val="en-US"/>
        </w:rPr>
        <w:t xml:space="preserve">, requires the fulfillment of many cumulative requirements and is closely linked to the </w:t>
      </w:r>
      <w:proofErr w:type="spellStart"/>
      <w:r w:rsidR="00A9494B" w:rsidRPr="00C4517C">
        <w:rPr>
          <w:sz w:val="18"/>
          <w:szCs w:val="18"/>
          <w:lang w:val="en-US"/>
        </w:rPr>
        <w:t>obtention</w:t>
      </w:r>
      <w:proofErr w:type="spellEnd"/>
      <w:r w:rsidR="00A9494B" w:rsidRPr="00C4517C">
        <w:rPr>
          <w:sz w:val="18"/>
          <w:szCs w:val="18"/>
          <w:lang w:val="en-US"/>
        </w:rPr>
        <w:t xml:space="preserve"> of a work permit.</w:t>
      </w:r>
      <w:r w:rsidR="00750028" w:rsidRPr="00C4517C">
        <w:rPr>
          <w:sz w:val="18"/>
          <w:szCs w:val="18"/>
          <w:lang w:val="en-US"/>
        </w:rPr>
        <w:t xml:space="preserve"> </w:t>
      </w:r>
      <w:r w:rsidR="007404B1" w:rsidRPr="00C4517C">
        <w:rPr>
          <w:sz w:val="18"/>
          <w:szCs w:val="18"/>
          <w:lang w:val="en-US"/>
        </w:rPr>
        <w:t>Amongst</w:t>
      </w:r>
      <w:r w:rsidR="00750028" w:rsidRPr="00C4517C">
        <w:rPr>
          <w:sz w:val="18"/>
          <w:szCs w:val="18"/>
          <w:lang w:val="en-US"/>
        </w:rPr>
        <w:t xml:space="preserve"> other</w:t>
      </w:r>
      <w:r w:rsidR="007404B1">
        <w:rPr>
          <w:sz w:val="18"/>
          <w:szCs w:val="18"/>
          <w:lang w:val="en-US"/>
        </w:rPr>
        <w:t>s</w:t>
      </w:r>
      <w:r w:rsidR="00750028" w:rsidRPr="00C4517C">
        <w:rPr>
          <w:sz w:val="18"/>
          <w:szCs w:val="18"/>
          <w:lang w:val="en-US"/>
        </w:rPr>
        <w:t>, the person must have an identification document in force and be able to prove continued permanence in Spain for a minimum period of three years</w:t>
      </w:r>
      <w:r w:rsidR="006E6AED" w:rsidRPr="00C4517C">
        <w:rPr>
          <w:sz w:val="18"/>
          <w:szCs w:val="18"/>
          <w:lang w:val="en-US"/>
        </w:rPr>
        <w:t xml:space="preserve">. </w:t>
      </w:r>
      <w:r w:rsidR="00C4517C" w:rsidRPr="00C4517C">
        <w:rPr>
          <w:sz w:val="18"/>
          <w:szCs w:val="18"/>
          <w:lang w:val="en-US"/>
        </w:rPr>
        <w:t>It is necessary that these three years pass, in addition to many other conditions, for people to be eligible for an employment contract</w:t>
      </w:r>
    </w:p>
  </w:footnote>
  <w:footnote w:id="8">
    <w:p w14:paraId="4733E0AA" w14:textId="563EDDF2" w:rsidR="000A6929" w:rsidRPr="005D58D3" w:rsidRDefault="000A6929" w:rsidP="005D58D3">
      <w:pPr>
        <w:pStyle w:val="FootnoteText"/>
        <w:jc w:val="both"/>
        <w:rPr>
          <w:sz w:val="18"/>
          <w:szCs w:val="18"/>
          <w:lang w:val="en-US"/>
        </w:rPr>
      </w:pPr>
      <w:r w:rsidRPr="00C4517C">
        <w:rPr>
          <w:rStyle w:val="FootnoteReference"/>
          <w:sz w:val="18"/>
          <w:szCs w:val="18"/>
        </w:rPr>
        <w:footnoteRef/>
      </w:r>
      <w:r w:rsidRPr="00C4517C">
        <w:rPr>
          <w:sz w:val="18"/>
          <w:szCs w:val="18"/>
          <w:lang w:val="en-US"/>
        </w:rPr>
        <w:t xml:space="preserve"> </w:t>
      </w:r>
      <w:r w:rsidR="001044FD" w:rsidRPr="00C4517C">
        <w:rPr>
          <w:sz w:val="18"/>
          <w:szCs w:val="18"/>
          <w:lang w:val="en-US"/>
        </w:rPr>
        <w:t>This is the recent case of a young Honduran woman who came to report a physical assault and an expulsion file was</w:t>
      </w:r>
      <w:r w:rsidR="001044FD" w:rsidRPr="00DF046D">
        <w:rPr>
          <w:sz w:val="18"/>
          <w:szCs w:val="18"/>
          <w:lang w:val="en-US"/>
        </w:rPr>
        <w:t xml:space="preserve"> opened due to her administrative situation. Watch </w:t>
      </w:r>
      <w:hyperlink r:id="rId8" w:history="1">
        <w:r w:rsidRPr="00DF046D">
          <w:rPr>
            <w:rStyle w:val="Hyperlink"/>
            <w:sz w:val="18"/>
            <w:szCs w:val="18"/>
            <w:lang w:val="en-US"/>
          </w:rPr>
          <w:t>https://www.eldiario.es/desalambre/Mujer-hondurena-agresion_0_909209779.html</w:t>
        </w:r>
      </w:hyperlink>
      <w:r w:rsidR="004B303F" w:rsidRPr="004B303F">
        <w:rPr>
          <w:rStyle w:val="Hyperlink"/>
          <w:sz w:val="18"/>
          <w:szCs w:val="18"/>
          <w:u w:val="none"/>
          <w:lang w:val="en-US"/>
        </w:rPr>
        <w:t xml:space="preserve"> </w:t>
      </w:r>
      <w:r w:rsidR="004B303F" w:rsidRPr="00C4517C">
        <w:rPr>
          <w:rStyle w:val="Hyperlink"/>
          <w:color w:val="auto"/>
          <w:sz w:val="18"/>
          <w:szCs w:val="18"/>
          <w:u w:val="none"/>
          <w:lang w:val="en-US"/>
        </w:rPr>
        <w:t>(in Spanish)</w:t>
      </w:r>
    </w:p>
  </w:footnote>
  <w:footnote w:id="9">
    <w:p w14:paraId="2B4785A8" w14:textId="6C91D0F4" w:rsidR="00291AFD" w:rsidRPr="005D58D3" w:rsidRDefault="00291AFD" w:rsidP="005D58D3">
      <w:pPr>
        <w:autoSpaceDE w:val="0"/>
        <w:autoSpaceDN w:val="0"/>
        <w:adjustRightInd w:val="0"/>
        <w:spacing w:after="0" w:line="240" w:lineRule="auto"/>
        <w:jc w:val="both"/>
        <w:rPr>
          <w:color w:val="000000"/>
          <w:sz w:val="18"/>
          <w:szCs w:val="18"/>
          <w:lang w:val="en-US"/>
        </w:rPr>
      </w:pPr>
      <w:r w:rsidRPr="005D58D3">
        <w:rPr>
          <w:rStyle w:val="FootnoteReference"/>
          <w:sz w:val="18"/>
          <w:szCs w:val="18"/>
        </w:rPr>
        <w:footnoteRef/>
      </w:r>
      <w:r w:rsidRPr="005D58D3">
        <w:rPr>
          <w:sz w:val="18"/>
          <w:szCs w:val="18"/>
          <w:lang w:val="en-US"/>
        </w:rPr>
        <w:t xml:space="preserve"> </w:t>
      </w:r>
      <w:r w:rsidR="00014DF4">
        <w:rPr>
          <w:sz w:val="18"/>
          <w:szCs w:val="18"/>
          <w:lang w:val="en-US"/>
        </w:rPr>
        <w:t>T</w:t>
      </w:r>
      <w:r w:rsidR="005D58D3">
        <w:rPr>
          <w:sz w:val="18"/>
          <w:szCs w:val="18"/>
          <w:lang w:val="en-US"/>
        </w:rPr>
        <w:t xml:space="preserve">he </w:t>
      </w:r>
      <w:r w:rsidR="005D58D3" w:rsidRPr="005D58D3">
        <w:rPr>
          <w:color w:val="000000"/>
          <w:sz w:val="18"/>
          <w:szCs w:val="18"/>
          <w:lang w:val="en-US"/>
        </w:rPr>
        <w:t>Organic Law 1/2004, of December 28, on Comprehensive Protection Measures against Gender Violence,</w:t>
      </w:r>
      <w:r w:rsidR="005D58D3">
        <w:rPr>
          <w:color w:val="000000"/>
          <w:sz w:val="18"/>
          <w:szCs w:val="18"/>
          <w:lang w:val="en-US"/>
        </w:rPr>
        <w:t xml:space="preserve"> </w:t>
      </w:r>
      <w:r w:rsidR="005D58D3" w:rsidRPr="005D58D3">
        <w:rPr>
          <w:color w:val="000000"/>
          <w:sz w:val="18"/>
          <w:szCs w:val="18"/>
          <w:lang w:val="en-US"/>
        </w:rPr>
        <w:t xml:space="preserve">provides a system of protection and comprehensive assistance only for those women who are mistreated "by those who are or have been their spouses or who are or have been linked to them through relationships of affectivity even without coexistence", which leaves out mechanisms of protection with respect to other types of violence against women (at sexist, sexual, economic, labor…levels) In 2014, Spain ratified the Council of Europe Istanbul Convention of 2011, which obliges to expand the concept of gender violence beyond the partner or ex-partner, but there has not yet been a transposition to the state legal system. </w:t>
      </w:r>
      <w:r w:rsidR="00D00CEF">
        <w:rPr>
          <w:color w:val="000000"/>
          <w:sz w:val="18"/>
          <w:szCs w:val="18"/>
          <w:lang w:val="en-US"/>
        </w:rPr>
        <w:t>Frequently, the Gender Based Violence that migrant women face, is not interpreted as such, due to th</w:t>
      </w:r>
      <w:r w:rsidR="007D5DC2">
        <w:rPr>
          <w:color w:val="000000"/>
          <w:sz w:val="18"/>
          <w:szCs w:val="18"/>
          <w:lang w:val="en-US"/>
        </w:rPr>
        <w:t>e</w:t>
      </w:r>
      <w:r w:rsidR="00D00CEF">
        <w:rPr>
          <w:color w:val="000000"/>
          <w:sz w:val="18"/>
          <w:szCs w:val="18"/>
          <w:lang w:val="en-US"/>
        </w:rPr>
        <w:t>s</w:t>
      </w:r>
      <w:r w:rsidR="007D5DC2">
        <w:rPr>
          <w:color w:val="000000"/>
          <w:sz w:val="18"/>
          <w:szCs w:val="18"/>
          <w:lang w:val="en-US"/>
        </w:rPr>
        <w:t>e</w:t>
      </w:r>
      <w:r w:rsidR="00D00CEF">
        <w:rPr>
          <w:color w:val="000000"/>
          <w:sz w:val="18"/>
          <w:szCs w:val="18"/>
          <w:lang w:val="en-US"/>
        </w:rPr>
        <w:t xml:space="preserve"> restrictive conditions contained in the Law</w:t>
      </w:r>
      <w:r w:rsidR="007D5DC2">
        <w:rPr>
          <w:color w:val="000000"/>
          <w:sz w:val="18"/>
          <w:szCs w:val="18"/>
          <w:lang w:val="en-US"/>
        </w:rPr>
        <w:t>, and many women don’t feel</w:t>
      </w:r>
      <w:r w:rsidR="00D00CEF">
        <w:rPr>
          <w:color w:val="000000"/>
          <w:sz w:val="18"/>
          <w:szCs w:val="18"/>
          <w:lang w:val="en-US"/>
        </w:rPr>
        <w:t xml:space="preserve"> </w:t>
      </w:r>
      <w:r w:rsidR="00DC0C2D">
        <w:rPr>
          <w:color w:val="000000"/>
          <w:sz w:val="18"/>
          <w:szCs w:val="18"/>
          <w:lang w:val="en-US"/>
        </w:rPr>
        <w:t>either t</w:t>
      </w:r>
      <w:r w:rsidR="000455BA">
        <w:rPr>
          <w:color w:val="000000"/>
          <w:sz w:val="18"/>
          <w:szCs w:val="18"/>
          <w:lang w:val="en-US"/>
        </w:rPr>
        <w:t xml:space="preserve">he strength to identify their </w:t>
      </w:r>
      <w:r w:rsidR="007D5DC2">
        <w:rPr>
          <w:color w:val="000000"/>
          <w:sz w:val="18"/>
          <w:szCs w:val="18"/>
          <w:lang w:val="en-US"/>
        </w:rPr>
        <w:t>assailants</w:t>
      </w:r>
      <w:r w:rsidR="000455BA">
        <w:rPr>
          <w:color w:val="000000"/>
          <w:sz w:val="18"/>
          <w:szCs w:val="18"/>
          <w:lang w:val="en-US"/>
        </w:rPr>
        <w:t xml:space="preserve"> -often their employers-, which is also required. When they are in </w:t>
      </w:r>
      <w:r w:rsidR="00DC0C2D">
        <w:rPr>
          <w:color w:val="000000"/>
          <w:sz w:val="18"/>
          <w:szCs w:val="18"/>
          <w:lang w:val="en-US"/>
        </w:rPr>
        <w:t>an</w:t>
      </w:r>
      <w:r w:rsidR="000455BA">
        <w:rPr>
          <w:color w:val="000000"/>
          <w:sz w:val="18"/>
          <w:szCs w:val="18"/>
          <w:lang w:val="en-US"/>
        </w:rPr>
        <w:t xml:space="preserve"> irregular administrative situation, and it is interpreted that they don’t have suffered</w:t>
      </w:r>
      <w:r w:rsidR="00014DF4">
        <w:rPr>
          <w:color w:val="000000"/>
          <w:sz w:val="18"/>
          <w:szCs w:val="18"/>
          <w:lang w:val="en-US"/>
        </w:rPr>
        <w:t xml:space="preserve"> Gender Based Violence, they may be expelled. More information on the law, at </w:t>
      </w:r>
      <w:hyperlink r:id="rId9" w:history="1">
        <w:r w:rsidR="005D58D3" w:rsidRPr="005D58D3">
          <w:rPr>
            <w:rStyle w:val="Hyperlink"/>
            <w:sz w:val="18"/>
            <w:szCs w:val="18"/>
            <w:lang w:val="en-US"/>
          </w:rPr>
          <w:t>https://www.boe.es/buscar/pdf/2004/BOE-A-2004-21760-consolidado.pdf</w:t>
        </w:r>
      </w:hyperlink>
      <w:r w:rsidR="005D58D3" w:rsidRPr="005D58D3">
        <w:rPr>
          <w:color w:val="0563C2"/>
          <w:sz w:val="18"/>
          <w:szCs w:val="18"/>
          <w:lang w:val="en-US"/>
        </w:rPr>
        <w:t xml:space="preserve"> </w:t>
      </w:r>
      <w:r w:rsidR="005D58D3" w:rsidRPr="005D58D3">
        <w:rPr>
          <w:sz w:val="18"/>
          <w:szCs w:val="18"/>
          <w:lang w:val="en-US"/>
        </w:rPr>
        <w:t>(in Spanish)</w:t>
      </w:r>
    </w:p>
  </w:footnote>
  <w:footnote w:id="10">
    <w:p w14:paraId="10A948AD" w14:textId="05957AC1" w:rsidR="004F561F" w:rsidRPr="005D58D3" w:rsidRDefault="004F561F" w:rsidP="005D58D3">
      <w:pPr>
        <w:pStyle w:val="FootnoteText"/>
        <w:jc w:val="both"/>
        <w:rPr>
          <w:sz w:val="18"/>
          <w:szCs w:val="18"/>
          <w:lang w:val="en-US"/>
        </w:rPr>
      </w:pPr>
      <w:r w:rsidRPr="005D58D3">
        <w:rPr>
          <w:rStyle w:val="FootnoteReference"/>
          <w:sz w:val="18"/>
          <w:szCs w:val="18"/>
        </w:rPr>
        <w:footnoteRef/>
      </w:r>
      <w:r w:rsidRPr="005D58D3">
        <w:rPr>
          <w:sz w:val="18"/>
          <w:szCs w:val="18"/>
          <w:lang w:val="en-US"/>
        </w:rPr>
        <w:t xml:space="preserve"> </w:t>
      </w:r>
      <w:r w:rsidR="00F409EE" w:rsidRPr="005D58D3">
        <w:rPr>
          <w:sz w:val="18"/>
          <w:szCs w:val="18"/>
          <w:lang w:val="en-US"/>
        </w:rPr>
        <w:t xml:space="preserve">From the </w:t>
      </w:r>
      <w:r w:rsidR="004B303F" w:rsidRPr="005D58D3">
        <w:rPr>
          <w:sz w:val="18"/>
          <w:szCs w:val="18"/>
          <w:lang w:val="en-US"/>
        </w:rPr>
        <w:t xml:space="preserve">2019 </w:t>
      </w:r>
      <w:r w:rsidR="00F409EE" w:rsidRPr="005D58D3">
        <w:rPr>
          <w:sz w:val="18"/>
          <w:szCs w:val="18"/>
          <w:lang w:val="en-US"/>
        </w:rPr>
        <w:t>r</w:t>
      </w:r>
      <w:r w:rsidR="00A94E40" w:rsidRPr="005D58D3">
        <w:rPr>
          <w:sz w:val="18"/>
          <w:szCs w:val="18"/>
          <w:lang w:val="en-US"/>
        </w:rPr>
        <w:t>eport “Migrant Women victims of gender violence in Spain</w:t>
      </w:r>
      <w:r w:rsidR="004B303F" w:rsidRPr="005D58D3">
        <w:rPr>
          <w:sz w:val="18"/>
          <w:szCs w:val="18"/>
          <w:lang w:val="en-US"/>
        </w:rPr>
        <w:t>”</w:t>
      </w:r>
      <w:r w:rsidR="00F409EE" w:rsidRPr="005D58D3">
        <w:rPr>
          <w:sz w:val="18"/>
          <w:szCs w:val="18"/>
          <w:lang w:val="en-US"/>
        </w:rPr>
        <w:t>, done by</w:t>
      </w:r>
      <w:r w:rsidR="00A94E40" w:rsidRPr="005D58D3">
        <w:rPr>
          <w:sz w:val="18"/>
          <w:szCs w:val="18"/>
          <w:lang w:val="en-US"/>
        </w:rPr>
        <w:t xml:space="preserve"> AIETI and </w:t>
      </w:r>
      <w:r w:rsidR="00F409EE" w:rsidRPr="005D58D3">
        <w:rPr>
          <w:sz w:val="18"/>
          <w:szCs w:val="18"/>
          <w:lang w:val="en-US"/>
        </w:rPr>
        <w:t xml:space="preserve">the </w:t>
      </w:r>
      <w:r w:rsidR="00A94E40" w:rsidRPr="005D58D3">
        <w:rPr>
          <w:sz w:val="18"/>
          <w:szCs w:val="18"/>
          <w:lang w:val="en-US"/>
        </w:rPr>
        <w:t>Network of Latin American and Caribbean Women</w:t>
      </w:r>
      <w:r w:rsidR="00F409EE" w:rsidRPr="005D58D3">
        <w:rPr>
          <w:sz w:val="18"/>
          <w:szCs w:val="18"/>
          <w:lang w:val="en-US"/>
        </w:rPr>
        <w:t>, available at</w:t>
      </w:r>
      <w:r w:rsidR="00A94E40" w:rsidRPr="005D58D3">
        <w:rPr>
          <w:sz w:val="18"/>
          <w:szCs w:val="18"/>
          <w:lang w:val="en-US"/>
        </w:rPr>
        <w:t xml:space="preserve">  </w:t>
      </w:r>
      <w:hyperlink r:id="rId10" w:history="1">
        <w:r w:rsidRPr="005D58D3">
          <w:rPr>
            <w:rStyle w:val="Hyperlink"/>
            <w:sz w:val="18"/>
            <w:szCs w:val="18"/>
            <w:lang w:val="en-US"/>
          </w:rPr>
          <w:t>https://aieti.es/wp-content/uploads/2019/02/Violencia_genero_mujeres_migrantes.pdf</w:t>
        </w:r>
      </w:hyperlink>
      <w:r w:rsidR="004B303F" w:rsidRPr="005D58D3">
        <w:rPr>
          <w:rStyle w:val="Hyperlink"/>
          <w:sz w:val="18"/>
          <w:szCs w:val="18"/>
          <w:u w:val="none"/>
          <w:lang w:val="en-US"/>
        </w:rPr>
        <w:t xml:space="preserve"> </w:t>
      </w:r>
      <w:r w:rsidR="004B303F" w:rsidRPr="005D58D3">
        <w:rPr>
          <w:rStyle w:val="Hyperlink"/>
          <w:color w:val="auto"/>
          <w:sz w:val="18"/>
          <w:szCs w:val="18"/>
          <w:u w:val="none"/>
          <w:lang w:val="en-US"/>
        </w:rPr>
        <w:t>(in Spanish)</w:t>
      </w:r>
    </w:p>
  </w:footnote>
  <w:footnote w:id="11">
    <w:p w14:paraId="53ADF2A0" w14:textId="3327896C" w:rsidR="00901C10" w:rsidRPr="004B303F" w:rsidRDefault="00901C10" w:rsidP="0090451A">
      <w:pPr>
        <w:pStyle w:val="FootnoteText"/>
        <w:jc w:val="both"/>
        <w:rPr>
          <w:color w:val="0000FF"/>
          <w:sz w:val="18"/>
          <w:szCs w:val="18"/>
          <w:lang w:val="en-US"/>
        </w:rPr>
      </w:pPr>
      <w:r w:rsidRPr="00DF046D">
        <w:rPr>
          <w:rStyle w:val="FootnoteReference"/>
          <w:sz w:val="18"/>
          <w:szCs w:val="18"/>
        </w:rPr>
        <w:footnoteRef/>
      </w:r>
      <w:r w:rsidRPr="00DF046D">
        <w:rPr>
          <w:sz w:val="18"/>
          <w:szCs w:val="18"/>
          <w:lang w:val="en-US"/>
        </w:rPr>
        <w:t xml:space="preserve"> </w:t>
      </w:r>
      <w:r w:rsidR="004B303F">
        <w:rPr>
          <w:sz w:val="18"/>
          <w:szCs w:val="18"/>
          <w:lang w:val="en-US"/>
        </w:rPr>
        <w:t xml:space="preserve">From </w:t>
      </w:r>
      <w:proofErr w:type="spellStart"/>
      <w:r w:rsidR="004B303F">
        <w:rPr>
          <w:sz w:val="18"/>
          <w:szCs w:val="18"/>
          <w:lang w:val="en-US"/>
        </w:rPr>
        <w:t>Alianza</w:t>
      </w:r>
      <w:proofErr w:type="spellEnd"/>
      <w:r w:rsidR="004B303F">
        <w:rPr>
          <w:sz w:val="18"/>
          <w:szCs w:val="18"/>
          <w:lang w:val="en-US"/>
        </w:rPr>
        <w:t xml:space="preserve"> </w:t>
      </w:r>
      <w:proofErr w:type="spellStart"/>
      <w:r w:rsidR="004B303F">
        <w:rPr>
          <w:sz w:val="18"/>
          <w:szCs w:val="18"/>
          <w:lang w:val="en-US"/>
        </w:rPr>
        <w:t>por</w:t>
      </w:r>
      <w:proofErr w:type="spellEnd"/>
      <w:r w:rsidR="004B303F">
        <w:rPr>
          <w:sz w:val="18"/>
          <w:szCs w:val="18"/>
          <w:lang w:val="en-US"/>
        </w:rPr>
        <w:t xml:space="preserve"> la </w:t>
      </w:r>
      <w:proofErr w:type="spellStart"/>
      <w:r w:rsidR="004B303F">
        <w:rPr>
          <w:sz w:val="18"/>
          <w:szCs w:val="18"/>
          <w:lang w:val="en-US"/>
        </w:rPr>
        <w:t>Solidaridad</w:t>
      </w:r>
      <w:proofErr w:type="spellEnd"/>
      <w:r w:rsidR="0090451A" w:rsidRPr="00DF046D">
        <w:rPr>
          <w:sz w:val="18"/>
          <w:szCs w:val="18"/>
          <w:lang w:val="en-US"/>
        </w:rPr>
        <w:t xml:space="preserve"> </w:t>
      </w:r>
      <w:r w:rsidR="004B303F">
        <w:rPr>
          <w:sz w:val="18"/>
          <w:szCs w:val="18"/>
          <w:lang w:val="en-US"/>
        </w:rPr>
        <w:t xml:space="preserve">2018 </w:t>
      </w:r>
      <w:r w:rsidR="0090451A" w:rsidRPr="00DF046D">
        <w:rPr>
          <w:sz w:val="18"/>
          <w:szCs w:val="18"/>
          <w:lang w:val="en-US"/>
        </w:rPr>
        <w:t>report “Migrant Women as Political Subjects. Creating strategies against violence</w:t>
      </w:r>
      <w:r w:rsidR="004B303F">
        <w:rPr>
          <w:sz w:val="18"/>
          <w:szCs w:val="18"/>
          <w:lang w:val="en-US"/>
        </w:rPr>
        <w:t>”</w:t>
      </w:r>
      <w:r w:rsidR="0090451A" w:rsidRPr="00DF046D">
        <w:rPr>
          <w:sz w:val="18"/>
          <w:szCs w:val="18"/>
          <w:lang w:val="en-US"/>
        </w:rPr>
        <w:t xml:space="preserve"> </w:t>
      </w:r>
      <w:hyperlink r:id="rId11" w:history="1">
        <w:r w:rsidRPr="00DF046D">
          <w:rPr>
            <w:rStyle w:val="Hyperlink"/>
            <w:sz w:val="18"/>
            <w:szCs w:val="18"/>
            <w:lang w:val="en-US"/>
          </w:rPr>
          <w:t>https://www.alianzaporlasolidaridad.org/wp-content/uploads/ALIANZA-MUJERES-MIGRANTES-COMO-SUJETOS-ESTUDIO.pdf</w:t>
        </w:r>
      </w:hyperlink>
      <w:r w:rsidR="004B303F" w:rsidRPr="004B303F">
        <w:rPr>
          <w:rStyle w:val="Hyperlink"/>
          <w:sz w:val="18"/>
          <w:szCs w:val="18"/>
          <w:u w:val="none"/>
          <w:lang w:val="en-US"/>
        </w:rPr>
        <w:t xml:space="preserve"> </w:t>
      </w:r>
      <w:r w:rsidR="004B303F" w:rsidRPr="00C4517C">
        <w:rPr>
          <w:rStyle w:val="Hyperlink"/>
          <w:color w:val="auto"/>
          <w:sz w:val="18"/>
          <w:szCs w:val="18"/>
          <w:u w:val="none"/>
          <w:lang w:val="en-US"/>
        </w:rPr>
        <w:t>(in Spanish)</w:t>
      </w:r>
    </w:p>
  </w:footnote>
  <w:footnote w:id="12">
    <w:p w14:paraId="29D2CE42" w14:textId="3489E19E" w:rsidR="00257605" w:rsidRPr="00F216BD" w:rsidRDefault="00257605" w:rsidP="00F216BD">
      <w:pPr>
        <w:pStyle w:val="FootnoteText"/>
        <w:jc w:val="both"/>
        <w:rPr>
          <w:sz w:val="18"/>
          <w:szCs w:val="18"/>
          <w:lang w:val="en-US"/>
        </w:rPr>
      </w:pPr>
      <w:r w:rsidRPr="00F216BD">
        <w:rPr>
          <w:rStyle w:val="FootnoteReference"/>
          <w:sz w:val="18"/>
          <w:szCs w:val="18"/>
        </w:rPr>
        <w:footnoteRef/>
      </w:r>
      <w:r w:rsidR="00DF046D" w:rsidRPr="00F216BD">
        <w:rPr>
          <w:sz w:val="18"/>
          <w:szCs w:val="18"/>
          <w:lang w:val="en-US"/>
        </w:rPr>
        <w:t xml:space="preserve"> </w:t>
      </w:r>
      <w:r w:rsidR="0055297A" w:rsidRPr="00F216BD">
        <w:rPr>
          <w:sz w:val="18"/>
          <w:szCs w:val="18"/>
          <w:lang w:val="en-US"/>
        </w:rPr>
        <w:t xml:space="preserve">Available at </w:t>
      </w:r>
      <w:r w:rsidR="00DF046D" w:rsidRPr="00F216BD">
        <w:rPr>
          <w:sz w:val="18"/>
          <w:szCs w:val="18"/>
          <w:lang w:val="en-US"/>
        </w:rPr>
        <w:t xml:space="preserve"> </w:t>
      </w:r>
      <w:hyperlink r:id="rId12" w:history="1">
        <w:r w:rsidR="0055297A" w:rsidRPr="00F216BD">
          <w:rPr>
            <w:rStyle w:val="Hyperlink"/>
            <w:sz w:val="18"/>
            <w:szCs w:val="18"/>
            <w:lang w:val="en-US"/>
          </w:rPr>
          <w:t>https://www.ilo.org/dyn/normlex/en/f?p=NORMLEXPUB:12100:0::NO::P12100_ILO_CODE:C189</w:t>
        </w:r>
      </w:hyperlink>
      <w:r w:rsidR="0055297A" w:rsidRPr="00F216BD">
        <w:rPr>
          <w:sz w:val="18"/>
          <w:szCs w:val="18"/>
          <w:lang w:val="en-US"/>
        </w:rPr>
        <w:t xml:space="preserve"> </w:t>
      </w:r>
    </w:p>
  </w:footnote>
  <w:footnote w:id="13">
    <w:p w14:paraId="17CD278A" w14:textId="05284C04" w:rsidR="007B2D4D" w:rsidRPr="007B2D4D" w:rsidRDefault="007B2D4D" w:rsidP="00F216BD">
      <w:pPr>
        <w:pStyle w:val="FootnoteText"/>
        <w:jc w:val="both"/>
        <w:rPr>
          <w:lang w:val="en-US"/>
        </w:rPr>
      </w:pPr>
      <w:r w:rsidRPr="00F216BD">
        <w:rPr>
          <w:rStyle w:val="FootnoteReference"/>
          <w:sz w:val="18"/>
          <w:szCs w:val="18"/>
        </w:rPr>
        <w:footnoteRef/>
      </w:r>
      <w:r w:rsidRPr="00F216BD">
        <w:rPr>
          <w:sz w:val="18"/>
          <w:szCs w:val="18"/>
          <w:lang w:val="en-US"/>
        </w:rPr>
        <w:t xml:space="preserve"> They have to register prior to every election in the electoral census, they have to hold a residence permit, </w:t>
      </w:r>
      <w:r w:rsidR="007210C7" w:rsidRPr="00F216BD">
        <w:rPr>
          <w:sz w:val="18"/>
          <w:szCs w:val="18"/>
          <w:lang w:val="en-US"/>
        </w:rPr>
        <w:t xml:space="preserve">must </w:t>
      </w:r>
      <w:r w:rsidR="00860974" w:rsidRPr="00F216BD">
        <w:rPr>
          <w:sz w:val="18"/>
          <w:szCs w:val="18"/>
          <w:lang w:val="en-US"/>
        </w:rPr>
        <w:t xml:space="preserve">have been residing </w:t>
      </w:r>
      <w:r w:rsidRPr="00F216BD">
        <w:rPr>
          <w:sz w:val="18"/>
          <w:szCs w:val="18"/>
          <w:lang w:val="en-US"/>
        </w:rPr>
        <w:t xml:space="preserve">in Spain for at least 5 years </w:t>
      </w:r>
      <w:r w:rsidR="00860974" w:rsidRPr="00F216BD">
        <w:rPr>
          <w:sz w:val="18"/>
          <w:szCs w:val="18"/>
          <w:lang w:val="en-US"/>
        </w:rPr>
        <w:t xml:space="preserve">prior to the elections, </w:t>
      </w:r>
      <w:r w:rsidRPr="00F216BD">
        <w:rPr>
          <w:sz w:val="18"/>
          <w:szCs w:val="18"/>
          <w:lang w:val="en-US"/>
        </w:rPr>
        <w:t xml:space="preserve">and </w:t>
      </w:r>
      <w:r w:rsidR="00860974" w:rsidRPr="00F216BD">
        <w:rPr>
          <w:sz w:val="18"/>
          <w:szCs w:val="18"/>
          <w:lang w:val="en-US"/>
        </w:rPr>
        <w:t xml:space="preserve">it is necessary </w:t>
      </w:r>
      <w:r w:rsidRPr="00F216BD">
        <w:rPr>
          <w:sz w:val="18"/>
          <w:szCs w:val="18"/>
          <w:lang w:val="en-US"/>
        </w:rPr>
        <w:t xml:space="preserve">reciprocity agreement </w:t>
      </w:r>
      <w:r w:rsidR="00860974" w:rsidRPr="00F216BD">
        <w:rPr>
          <w:sz w:val="18"/>
          <w:szCs w:val="18"/>
          <w:lang w:val="en-US"/>
        </w:rPr>
        <w:t xml:space="preserve">of their countries of origin </w:t>
      </w:r>
      <w:r w:rsidRPr="00F216BD">
        <w:rPr>
          <w:sz w:val="18"/>
          <w:szCs w:val="18"/>
          <w:lang w:val="en-US"/>
        </w:rPr>
        <w:t>with Spain</w:t>
      </w:r>
      <w:r w:rsidR="00860974" w:rsidRPr="00F216BD">
        <w:rPr>
          <w:sz w:val="18"/>
          <w:szCs w:val="18"/>
          <w:lang w:val="en-US"/>
        </w:rPr>
        <w:t xml:space="preserve">. This agreement exists only with the following </w:t>
      </w:r>
      <w:r w:rsidRPr="00F216BD">
        <w:rPr>
          <w:sz w:val="18"/>
          <w:szCs w:val="18"/>
          <w:lang w:val="en-US"/>
        </w:rPr>
        <w:t xml:space="preserve">countries: Bolivia, Cape Verde, Chile, Colombia, Ecuador, Iceland, Norway (3 years), New Zealand, Paraguay, Peru, Republic of Korea and Trinidad and Tobago. This measure leaves out migrants from countries with large numbers of residents in Spain such as: Morocco, China, Ukraine </w:t>
      </w:r>
      <w:r w:rsidR="00F216BD" w:rsidRPr="00F216BD">
        <w:rPr>
          <w:sz w:val="18"/>
          <w:szCs w:val="18"/>
          <w:lang w:val="en-US"/>
        </w:rPr>
        <w:t>or</w:t>
      </w:r>
      <w:r w:rsidRPr="00F216BD">
        <w:rPr>
          <w:sz w:val="18"/>
          <w:szCs w:val="18"/>
          <w:lang w:val="en-US"/>
        </w:rPr>
        <w:t xml:space="preserve"> Senegal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5BA7" w14:textId="7CFB7348" w:rsidR="009455A5" w:rsidRDefault="003559A1">
    <w:pPr>
      <w:pStyle w:val="Header"/>
    </w:pPr>
    <w:r>
      <w:rPr>
        <w:noProof/>
        <w:lang w:val="en-GB" w:eastAsia="ja-JP"/>
      </w:rPr>
      <w:drawing>
        <wp:inline distT="0" distB="0" distL="0" distR="0" wp14:anchorId="558292A2" wp14:editId="0D4025E6">
          <wp:extent cx="2644090" cy="49530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20" cy="500176"/>
                  </a:xfrm>
                  <a:prstGeom prst="rect">
                    <a:avLst/>
                  </a:prstGeom>
                  <a:noFill/>
                  <a:ln>
                    <a:noFill/>
                  </a:ln>
                </pic:spPr>
              </pic:pic>
            </a:graphicData>
          </a:graphic>
        </wp:inline>
      </w:drawing>
    </w:r>
  </w:p>
  <w:p w14:paraId="2E2BE40B" w14:textId="661D7204" w:rsidR="009455A5" w:rsidRDefault="009455A5">
    <w:pPr>
      <w:pStyle w:val="Header"/>
    </w:pPr>
  </w:p>
  <w:p w14:paraId="3FD4CD7F" w14:textId="61DC5DF9" w:rsidR="002519D2" w:rsidRDefault="00251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D8C25" w14:textId="79D2377A" w:rsidR="002519D2" w:rsidRDefault="004C539B" w:rsidP="002519D2">
    <w:pPr>
      <w:pStyle w:val="Header"/>
    </w:pPr>
    <w:r>
      <w:rPr>
        <w:noProof/>
        <w:lang w:val="en-GB" w:eastAsia="ja-JP"/>
      </w:rPr>
      <w:drawing>
        <wp:inline distT="0" distB="0" distL="0" distR="0" wp14:anchorId="14CC5019" wp14:editId="066A350C">
          <wp:extent cx="2644090" cy="495300"/>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20" cy="500176"/>
                  </a:xfrm>
                  <a:prstGeom prst="rect">
                    <a:avLst/>
                  </a:prstGeom>
                  <a:noFill/>
                  <a:ln>
                    <a:noFill/>
                  </a:ln>
                </pic:spPr>
              </pic:pic>
            </a:graphicData>
          </a:graphic>
        </wp:inline>
      </w:drawing>
    </w:r>
  </w:p>
  <w:p w14:paraId="1D173F67" w14:textId="25ECE4B4" w:rsidR="002519D2" w:rsidRPr="004C539B" w:rsidRDefault="002519D2" w:rsidP="00856703">
    <w:pP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647"/>
    <w:multiLevelType w:val="hybridMultilevel"/>
    <w:tmpl w:val="3F308248"/>
    <w:lvl w:ilvl="0" w:tplc="BA5E3CB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A174BA"/>
    <w:multiLevelType w:val="hybridMultilevel"/>
    <w:tmpl w:val="BA469772"/>
    <w:lvl w:ilvl="0" w:tplc="0A88804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F3550C"/>
    <w:multiLevelType w:val="hybridMultilevel"/>
    <w:tmpl w:val="E8B63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C6E1F"/>
    <w:multiLevelType w:val="multilevel"/>
    <w:tmpl w:val="F34AF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35D30"/>
    <w:multiLevelType w:val="multilevel"/>
    <w:tmpl w:val="657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83D0C"/>
    <w:multiLevelType w:val="hybridMultilevel"/>
    <w:tmpl w:val="69147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D575895"/>
    <w:multiLevelType w:val="hybridMultilevel"/>
    <w:tmpl w:val="B8C62758"/>
    <w:lvl w:ilvl="0" w:tplc="0A88804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1B"/>
    <w:rsid w:val="00002C64"/>
    <w:rsid w:val="00007E03"/>
    <w:rsid w:val="000105AE"/>
    <w:rsid w:val="0001215D"/>
    <w:rsid w:val="00014DF4"/>
    <w:rsid w:val="00015230"/>
    <w:rsid w:val="00031E12"/>
    <w:rsid w:val="00032CC4"/>
    <w:rsid w:val="00033412"/>
    <w:rsid w:val="000455BA"/>
    <w:rsid w:val="00050C69"/>
    <w:rsid w:val="00053311"/>
    <w:rsid w:val="00053CC6"/>
    <w:rsid w:val="00054191"/>
    <w:rsid w:val="000547CB"/>
    <w:rsid w:val="0006228F"/>
    <w:rsid w:val="0006533F"/>
    <w:rsid w:val="0006668E"/>
    <w:rsid w:val="00081D65"/>
    <w:rsid w:val="00083F5B"/>
    <w:rsid w:val="000914C8"/>
    <w:rsid w:val="000922F5"/>
    <w:rsid w:val="00093833"/>
    <w:rsid w:val="000A6929"/>
    <w:rsid w:val="000B3315"/>
    <w:rsid w:val="000B7D99"/>
    <w:rsid w:val="000D2E0A"/>
    <w:rsid w:val="000E5BA5"/>
    <w:rsid w:val="000F3CDF"/>
    <w:rsid w:val="000F64B0"/>
    <w:rsid w:val="001044FD"/>
    <w:rsid w:val="00117920"/>
    <w:rsid w:val="0012442E"/>
    <w:rsid w:val="0012445B"/>
    <w:rsid w:val="001258AD"/>
    <w:rsid w:val="00130726"/>
    <w:rsid w:val="00131AE2"/>
    <w:rsid w:val="00136E64"/>
    <w:rsid w:val="0014251B"/>
    <w:rsid w:val="00146784"/>
    <w:rsid w:val="00164E43"/>
    <w:rsid w:val="00172329"/>
    <w:rsid w:val="00182091"/>
    <w:rsid w:val="00194EB7"/>
    <w:rsid w:val="00195DF2"/>
    <w:rsid w:val="001A5188"/>
    <w:rsid w:val="001A73A1"/>
    <w:rsid w:val="001B1794"/>
    <w:rsid w:val="001B2056"/>
    <w:rsid w:val="001C0F05"/>
    <w:rsid w:val="001C72E5"/>
    <w:rsid w:val="001D327A"/>
    <w:rsid w:val="001D5DE9"/>
    <w:rsid w:val="001E68BD"/>
    <w:rsid w:val="001F5625"/>
    <w:rsid w:val="002001CD"/>
    <w:rsid w:val="0020488B"/>
    <w:rsid w:val="00210ED5"/>
    <w:rsid w:val="002126CA"/>
    <w:rsid w:val="00232963"/>
    <w:rsid w:val="00234B71"/>
    <w:rsid w:val="00234DB1"/>
    <w:rsid w:val="0024588A"/>
    <w:rsid w:val="0025016C"/>
    <w:rsid w:val="002519D2"/>
    <w:rsid w:val="002532C0"/>
    <w:rsid w:val="0025504F"/>
    <w:rsid w:val="00257605"/>
    <w:rsid w:val="00291AFD"/>
    <w:rsid w:val="002969C3"/>
    <w:rsid w:val="002D1738"/>
    <w:rsid w:val="002F3198"/>
    <w:rsid w:val="002F3401"/>
    <w:rsid w:val="002F64EC"/>
    <w:rsid w:val="00301458"/>
    <w:rsid w:val="00301653"/>
    <w:rsid w:val="00301973"/>
    <w:rsid w:val="003113CD"/>
    <w:rsid w:val="00320085"/>
    <w:rsid w:val="0032442B"/>
    <w:rsid w:val="00324FDC"/>
    <w:rsid w:val="00330727"/>
    <w:rsid w:val="0033099D"/>
    <w:rsid w:val="003522BD"/>
    <w:rsid w:val="003559A1"/>
    <w:rsid w:val="0036398A"/>
    <w:rsid w:val="00363F5F"/>
    <w:rsid w:val="00366D33"/>
    <w:rsid w:val="00383EAE"/>
    <w:rsid w:val="003866C3"/>
    <w:rsid w:val="003868DB"/>
    <w:rsid w:val="00387606"/>
    <w:rsid w:val="0039142B"/>
    <w:rsid w:val="0039362F"/>
    <w:rsid w:val="003B504F"/>
    <w:rsid w:val="003B72BC"/>
    <w:rsid w:val="003D4A8B"/>
    <w:rsid w:val="003D6358"/>
    <w:rsid w:val="00404C4F"/>
    <w:rsid w:val="00437B8B"/>
    <w:rsid w:val="00444E0F"/>
    <w:rsid w:val="00446303"/>
    <w:rsid w:val="00446EED"/>
    <w:rsid w:val="0044783A"/>
    <w:rsid w:val="00464354"/>
    <w:rsid w:val="00467B4C"/>
    <w:rsid w:val="00474648"/>
    <w:rsid w:val="00480F86"/>
    <w:rsid w:val="00486352"/>
    <w:rsid w:val="00494778"/>
    <w:rsid w:val="00496598"/>
    <w:rsid w:val="004B0A71"/>
    <w:rsid w:val="004B303F"/>
    <w:rsid w:val="004C1CD2"/>
    <w:rsid w:val="004C4378"/>
    <w:rsid w:val="004C539B"/>
    <w:rsid w:val="004C6569"/>
    <w:rsid w:val="004D240A"/>
    <w:rsid w:val="004E0135"/>
    <w:rsid w:val="004E039F"/>
    <w:rsid w:val="004F0F9D"/>
    <w:rsid w:val="004F462C"/>
    <w:rsid w:val="004F561F"/>
    <w:rsid w:val="004F6B88"/>
    <w:rsid w:val="004F7CD4"/>
    <w:rsid w:val="00507366"/>
    <w:rsid w:val="005213A0"/>
    <w:rsid w:val="00533AFD"/>
    <w:rsid w:val="00545928"/>
    <w:rsid w:val="00550D39"/>
    <w:rsid w:val="0055237C"/>
    <w:rsid w:val="0055297A"/>
    <w:rsid w:val="0056190F"/>
    <w:rsid w:val="0056529F"/>
    <w:rsid w:val="005809EF"/>
    <w:rsid w:val="00580AEA"/>
    <w:rsid w:val="00582166"/>
    <w:rsid w:val="00597DA2"/>
    <w:rsid w:val="005B327A"/>
    <w:rsid w:val="005B3F62"/>
    <w:rsid w:val="005B63BE"/>
    <w:rsid w:val="005B7C58"/>
    <w:rsid w:val="005D40B3"/>
    <w:rsid w:val="005D5696"/>
    <w:rsid w:val="005D58D3"/>
    <w:rsid w:val="005D712E"/>
    <w:rsid w:val="005D7297"/>
    <w:rsid w:val="005E44B4"/>
    <w:rsid w:val="006646CC"/>
    <w:rsid w:val="00666FE9"/>
    <w:rsid w:val="006673BE"/>
    <w:rsid w:val="00687AF0"/>
    <w:rsid w:val="006B4C21"/>
    <w:rsid w:val="006C2C87"/>
    <w:rsid w:val="006C420F"/>
    <w:rsid w:val="006C55D8"/>
    <w:rsid w:val="006C7F7E"/>
    <w:rsid w:val="006D372F"/>
    <w:rsid w:val="006E6AED"/>
    <w:rsid w:val="006F43BA"/>
    <w:rsid w:val="00714A90"/>
    <w:rsid w:val="007210C7"/>
    <w:rsid w:val="007231C1"/>
    <w:rsid w:val="00724254"/>
    <w:rsid w:val="00724D85"/>
    <w:rsid w:val="00725F2F"/>
    <w:rsid w:val="007322DC"/>
    <w:rsid w:val="00733DA4"/>
    <w:rsid w:val="007346FC"/>
    <w:rsid w:val="00734A46"/>
    <w:rsid w:val="00736B38"/>
    <w:rsid w:val="007404B1"/>
    <w:rsid w:val="00744DB3"/>
    <w:rsid w:val="007463C6"/>
    <w:rsid w:val="00747703"/>
    <w:rsid w:val="00750028"/>
    <w:rsid w:val="0076609D"/>
    <w:rsid w:val="007751E0"/>
    <w:rsid w:val="00785FAB"/>
    <w:rsid w:val="00793291"/>
    <w:rsid w:val="00794B04"/>
    <w:rsid w:val="0079548C"/>
    <w:rsid w:val="007A444E"/>
    <w:rsid w:val="007B2D4D"/>
    <w:rsid w:val="007B4B8F"/>
    <w:rsid w:val="007C7ACE"/>
    <w:rsid w:val="007D2CC0"/>
    <w:rsid w:val="007D5DC2"/>
    <w:rsid w:val="00802924"/>
    <w:rsid w:val="00821D42"/>
    <w:rsid w:val="008226F4"/>
    <w:rsid w:val="008231C0"/>
    <w:rsid w:val="00831DC4"/>
    <w:rsid w:val="00841B28"/>
    <w:rsid w:val="008467A3"/>
    <w:rsid w:val="00847A95"/>
    <w:rsid w:val="00850EB2"/>
    <w:rsid w:val="00852CB7"/>
    <w:rsid w:val="00856703"/>
    <w:rsid w:val="00860974"/>
    <w:rsid w:val="008615D8"/>
    <w:rsid w:val="00862A2A"/>
    <w:rsid w:val="00867A4D"/>
    <w:rsid w:val="00873191"/>
    <w:rsid w:val="00873B9E"/>
    <w:rsid w:val="0087406F"/>
    <w:rsid w:val="00877D1C"/>
    <w:rsid w:val="00880FB8"/>
    <w:rsid w:val="00885B79"/>
    <w:rsid w:val="008874FE"/>
    <w:rsid w:val="008A2F85"/>
    <w:rsid w:val="008A5749"/>
    <w:rsid w:val="008B00EE"/>
    <w:rsid w:val="008B51E6"/>
    <w:rsid w:val="008C131B"/>
    <w:rsid w:val="008C3156"/>
    <w:rsid w:val="008C3FF6"/>
    <w:rsid w:val="008E0D3E"/>
    <w:rsid w:val="00901133"/>
    <w:rsid w:val="00901C10"/>
    <w:rsid w:val="0090451A"/>
    <w:rsid w:val="0090560A"/>
    <w:rsid w:val="00916D91"/>
    <w:rsid w:val="00920361"/>
    <w:rsid w:val="009205AB"/>
    <w:rsid w:val="00921304"/>
    <w:rsid w:val="00931BDC"/>
    <w:rsid w:val="0093352C"/>
    <w:rsid w:val="00933CBF"/>
    <w:rsid w:val="00942FF8"/>
    <w:rsid w:val="009450CE"/>
    <w:rsid w:val="009455A5"/>
    <w:rsid w:val="00945C2A"/>
    <w:rsid w:val="00977EAD"/>
    <w:rsid w:val="00982DFC"/>
    <w:rsid w:val="00986B83"/>
    <w:rsid w:val="0099054B"/>
    <w:rsid w:val="009A4BB1"/>
    <w:rsid w:val="009C00EC"/>
    <w:rsid w:val="009D4561"/>
    <w:rsid w:val="009E72CC"/>
    <w:rsid w:val="00A04E29"/>
    <w:rsid w:val="00A065AF"/>
    <w:rsid w:val="00A06657"/>
    <w:rsid w:val="00A17351"/>
    <w:rsid w:val="00A17432"/>
    <w:rsid w:val="00A25E18"/>
    <w:rsid w:val="00A26CA4"/>
    <w:rsid w:val="00A27978"/>
    <w:rsid w:val="00A31252"/>
    <w:rsid w:val="00A361D2"/>
    <w:rsid w:val="00A368CE"/>
    <w:rsid w:val="00A40099"/>
    <w:rsid w:val="00A52E9A"/>
    <w:rsid w:val="00A56862"/>
    <w:rsid w:val="00A63EC0"/>
    <w:rsid w:val="00A700FE"/>
    <w:rsid w:val="00A739D8"/>
    <w:rsid w:val="00A7583E"/>
    <w:rsid w:val="00A76E09"/>
    <w:rsid w:val="00A84E28"/>
    <w:rsid w:val="00A9494B"/>
    <w:rsid w:val="00A94E40"/>
    <w:rsid w:val="00AA238D"/>
    <w:rsid w:val="00AA4301"/>
    <w:rsid w:val="00AD1B84"/>
    <w:rsid w:val="00AD5677"/>
    <w:rsid w:val="00AE6890"/>
    <w:rsid w:val="00AF22A6"/>
    <w:rsid w:val="00B02FDF"/>
    <w:rsid w:val="00B2299E"/>
    <w:rsid w:val="00B23153"/>
    <w:rsid w:val="00B26175"/>
    <w:rsid w:val="00B34E4E"/>
    <w:rsid w:val="00B40D1D"/>
    <w:rsid w:val="00B52F23"/>
    <w:rsid w:val="00B601BB"/>
    <w:rsid w:val="00B6182B"/>
    <w:rsid w:val="00B6546B"/>
    <w:rsid w:val="00B669DB"/>
    <w:rsid w:val="00B80CF8"/>
    <w:rsid w:val="00B824D5"/>
    <w:rsid w:val="00B856E3"/>
    <w:rsid w:val="00B86782"/>
    <w:rsid w:val="00B928AD"/>
    <w:rsid w:val="00BA5501"/>
    <w:rsid w:val="00BA707B"/>
    <w:rsid w:val="00BB65ED"/>
    <w:rsid w:val="00BC465E"/>
    <w:rsid w:val="00BD3D71"/>
    <w:rsid w:val="00BE2ADC"/>
    <w:rsid w:val="00BF41E7"/>
    <w:rsid w:val="00BF4960"/>
    <w:rsid w:val="00C039DE"/>
    <w:rsid w:val="00C11736"/>
    <w:rsid w:val="00C20625"/>
    <w:rsid w:val="00C24FA3"/>
    <w:rsid w:val="00C4517C"/>
    <w:rsid w:val="00C50B47"/>
    <w:rsid w:val="00C520E2"/>
    <w:rsid w:val="00C531A8"/>
    <w:rsid w:val="00C55D69"/>
    <w:rsid w:val="00C61604"/>
    <w:rsid w:val="00C6220D"/>
    <w:rsid w:val="00C62D2E"/>
    <w:rsid w:val="00C663DA"/>
    <w:rsid w:val="00C7775C"/>
    <w:rsid w:val="00CA5435"/>
    <w:rsid w:val="00CB54EF"/>
    <w:rsid w:val="00CC0CFF"/>
    <w:rsid w:val="00CE5FB3"/>
    <w:rsid w:val="00CF6BC6"/>
    <w:rsid w:val="00D0033C"/>
    <w:rsid w:val="00D00CEF"/>
    <w:rsid w:val="00D02A1C"/>
    <w:rsid w:val="00D02B09"/>
    <w:rsid w:val="00D07E5D"/>
    <w:rsid w:val="00D1549A"/>
    <w:rsid w:val="00D23A8A"/>
    <w:rsid w:val="00D253A7"/>
    <w:rsid w:val="00D2657A"/>
    <w:rsid w:val="00D36A58"/>
    <w:rsid w:val="00D374E3"/>
    <w:rsid w:val="00D5799B"/>
    <w:rsid w:val="00D57F56"/>
    <w:rsid w:val="00D60191"/>
    <w:rsid w:val="00D61255"/>
    <w:rsid w:val="00D67696"/>
    <w:rsid w:val="00D736A9"/>
    <w:rsid w:val="00D74315"/>
    <w:rsid w:val="00D85B35"/>
    <w:rsid w:val="00D85FC3"/>
    <w:rsid w:val="00D92F08"/>
    <w:rsid w:val="00DA056B"/>
    <w:rsid w:val="00DB1704"/>
    <w:rsid w:val="00DB541F"/>
    <w:rsid w:val="00DC0C2D"/>
    <w:rsid w:val="00DC3781"/>
    <w:rsid w:val="00DC382D"/>
    <w:rsid w:val="00DC7DD9"/>
    <w:rsid w:val="00DD0820"/>
    <w:rsid w:val="00DD0EB6"/>
    <w:rsid w:val="00DD4AEB"/>
    <w:rsid w:val="00DE5C64"/>
    <w:rsid w:val="00DE62AE"/>
    <w:rsid w:val="00DF046D"/>
    <w:rsid w:val="00DF04FC"/>
    <w:rsid w:val="00DF710C"/>
    <w:rsid w:val="00E20FC3"/>
    <w:rsid w:val="00E318AD"/>
    <w:rsid w:val="00E31973"/>
    <w:rsid w:val="00E32E5A"/>
    <w:rsid w:val="00E32FC0"/>
    <w:rsid w:val="00E33CAF"/>
    <w:rsid w:val="00E54FF6"/>
    <w:rsid w:val="00E619C5"/>
    <w:rsid w:val="00E651C7"/>
    <w:rsid w:val="00E66AC8"/>
    <w:rsid w:val="00E75A7F"/>
    <w:rsid w:val="00E85B9C"/>
    <w:rsid w:val="00E93669"/>
    <w:rsid w:val="00EA36DD"/>
    <w:rsid w:val="00EC46EA"/>
    <w:rsid w:val="00ED380F"/>
    <w:rsid w:val="00EF1B3F"/>
    <w:rsid w:val="00F06D8B"/>
    <w:rsid w:val="00F16326"/>
    <w:rsid w:val="00F216BD"/>
    <w:rsid w:val="00F231F5"/>
    <w:rsid w:val="00F25918"/>
    <w:rsid w:val="00F303B0"/>
    <w:rsid w:val="00F33260"/>
    <w:rsid w:val="00F409EE"/>
    <w:rsid w:val="00F67414"/>
    <w:rsid w:val="00F851BC"/>
    <w:rsid w:val="00F8728D"/>
    <w:rsid w:val="00F94134"/>
    <w:rsid w:val="00FA2134"/>
    <w:rsid w:val="00FA3ADC"/>
    <w:rsid w:val="00FA5496"/>
    <w:rsid w:val="00FB00DE"/>
    <w:rsid w:val="00FB15A8"/>
    <w:rsid w:val="00FB4700"/>
    <w:rsid w:val="00FC606F"/>
    <w:rsid w:val="00FD4E73"/>
    <w:rsid w:val="00FD60D0"/>
    <w:rsid w:val="00FE5F75"/>
    <w:rsid w:val="00FE60BA"/>
    <w:rsid w:val="00FE68B8"/>
    <w:rsid w:val="00FF660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49613A"/>
  <w15:docId w15:val="{F77BF2D3-A47B-4D0B-A6EF-7D652EF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A8"/>
    <w:pPr>
      <w:ind w:left="720"/>
      <w:contextualSpacing/>
    </w:pPr>
  </w:style>
  <w:style w:type="character" w:styleId="CommentReference">
    <w:name w:val="annotation reference"/>
    <w:basedOn w:val="DefaultParagraphFont"/>
    <w:uiPriority w:val="99"/>
    <w:semiHidden/>
    <w:unhideWhenUsed/>
    <w:rsid w:val="00CF6BC6"/>
    <w:rPr>
      <w:sz w:val="16"/>
      <w:szCs w:val="16"/>
    </w:rPr>
  </w:style>
  <w:style w:type="paragraph" w:styleId="CommentText">
    <w:name w:val="annotation text"/>
    <w:basedOn w:val="Normal"/>
    <w:link w:val="CommentTextChar"/>
    <w:uiPriority w:val="99"/>
    <w:semiHidden/>
    <w:unhideWhenUsed/>
    <w:rsid w:val="00CF6BC6"/>
    <w:pPr>
      <w:spacing w:line="240" w:lineRule="auto"/>
    </w:pPr>
    <w:rPr>
      <w:sz w:val="20"/>
      <w:szCs w:val="20"/>
    </w:rPr>
  </w:style>
  <w:style w:type="character" w:customStyle="1" w:styleId="CommentTextChar">
    <w:name w:val="Comment Text Char"/>
    <w:basedOn w:val="DefaultParagraphFont"/>
    <w:link w:val="CommentText"/>
    <w:uiPriority w:val="99"/>
    <w:semiHidden/>
    <w:rsid w:val="00CF6BC6"/>
    <w:rPr>
      <w:sz w:val="20"/>
      <w:szCs w:val="20"/>
    </w:rPr>
  </w:style>
  <w:style w:type="paragraph" w:styleId="CommentSubject">
    <w:name w:val="annotation subject"/>
    <w:basedOn w:val="CommentText"/>
    <w:next w:val="CommentText"/>
    <w:link w:val="CommentSubjectChar"/>
    <w:uiPriority w:val="99"/>
    <w:semiHidden/>
    <w:unhideWhenUsed/>
    <w:rsid w:val="00CF6BC6"/>
    <w:rPr>
      <w:b/>
      <w:bCs/>
    </w:rPr>
  </w:style>
  <w:style w:type="character" w:customStyle="1" w:styleId="CommentSubjectChar">
    <w:name w:val="Comment Subject Char"/>
    <w:basedOn w:val="CommentTextChar"/>
    <w:link w:val="CommentSubject"/>
    <w:uiPriority w:val="99"/>
    <w:semiHidden/>
    <w:rsid w:val="00CF6BC6"/>
    <w:rPr>
      <w:b/>
      <w:bCs/>
      <w:sz w:val="20"/>
      <w:szCs w:val="20"/>
    </w:rPr>
  </w:style>
  <w:style w:type="paragraph" w:styleId="BalloonText">
    <w:name w:val="Balloon Text"/>
    <w:basedOn w:val="Normal"/>
    <w:link w:val="BalloonTextChar"/>
    <w:uiPriority w:val="99"/>
    <w:semiHidden/>
    <w:unhideWhenUsed/>
    <w:rsid w:val="00CF6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C6"/>
    <w:rPr>
      <w:rFonts w:ascii="Segoe UI" w:hAnsi="Segoe UI" w:cs="Segoe UI"/>
      <w:sz w:val="18"/>
      <w:szCs w:val="18"/>
    </w:rPr>
  </w:style>
  <w:style w:type="paragraph" w:styleId="FootnoteText">
    <w:name w:val="footnote text"/>
    <w:basedOn w:val="Normal"/>
    <w:link w:val="FootnoteTextChar"/>
    <w:uiPriority w:val="99"/>
    <w:semiHidden/>
    <w:unhideWhenUsed/>
    <w:rsid w:val="00916D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D91"/>
    <w:rPr>
      <w:sz w:val="20"/>
      <w:szCs w:val="20"/>
    </w:rPr>
  </w:style>
  <w:style w:type="character" w:styleId="FootnoteReference">
    <w:name w:val="footnote reference"/>
    <w:basedOn w:val="DefaultParagraphFont"/>
    <w:uiPriority w:val="99"/>
    <w:semiHidden/>
    <w:unhideWhenUsed/>
    <w:rsid w:val="00916D91"/>
    <w:rPr>
      <w:vertAlign w:val="superscript"/>
    </w:rPr>
  </w:style>
  <w:style w:type="character" w:styleId="Hyperlink">
    <w:name w:val="Hyperlink"/>
    <w:basedOn w:val="DefaultParagraphFont"/>
    <w:uiPriority w:val="99"/>
    <w:unhideWhenUsed/>
    <w:rsid w:val="00916D91"/>
    <w:rPr>
      <w:color w:val="0000FF"/>
      <w:u w:val="single"/>
    </w:rPr>
  </w:style>
  <w:style w:type="paragraph" w:styleId="Header">
    <w:name w:val="header"/>
    <w:basedOn w:val="Normal"/>
    <w:link w:val="HeaderChar"/>
    <w:uiPriority w:val="99"/>
    <w:unhideWhenUsed/>
    <w:rsid w:val="00320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320085"/>
  </w:style>
  <w:style w:type="paragraph" w:styleId="Footer">
    <w:name w:val="footer"/>
    <w:basedOn w:val="Normal"/>
    <w:link w:val="FooterChar"/>
    <w:uiPriority w:val="99"/>
    <w:unhideWhenUsed/>
    <w:rsid w:val="00320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320085"/>
  </w:style>
  <w:style w:type="character" w:styleId="Strong">
    <w:name w:val="Strong"/>
    <w:basedOn w:val="DefaultParagraphFont"/>
    <w:uiPriority w:val="22"/>
    <w:qFormat/>
    <w:rsid w:val="003D4A8B"/>
    <w:rPr>
      <w:b/>
      <w:bCs/>
    </w:rPr>
  </w:style>
  <w:style w:type="character" w:customStyle="1" w:styleId="Mencinsinresolver1">
    <w:name w:val="Mención sin resolver1"/>
    <w:basedOn w:val="DefaultParagraphFont"/>
    <w:uiPriority w:val="99"/>
    <w:semiHidden/>
    <w:unhideWhenUsed/>
    <w:rsid w:val="006C420F"/>
    <w:rPr>
      <w:color w:val="605E5C"/>
      <w:shd w:val="clear" w:color="auto" w:fill="E1DFDD"/>
    </w:rPr>
  </w:style>
  <w:style w:type="character" w:customStyle="1" w:styleId="UnresolvedMention">
    <w:name w:val="Unresolved Mention"/>
    <w:basedOn w:val="DefaultParagraphFont"/>
    <w:uiPriority w:val="99"/>
    <w:semiHidden/>
    <w:unhideWhenUsed/>
    <w:rsid w:val="00383EAE"/>
    <w:rPr>
      <w:color w:val="605E5C"/>
      <w:shd w:val="clear" w:color="auto" w:fill="E1DFDD"/>
    </w:rPr>
  </w:style>
  <w:style w:type="character" w:customStyle="1" w:styleId="tlid-translation">
    <w:name w:val="tlid-translation"/>
    <w:basedOn w:val="DefaultParagraphFont"/>
    <w:rsid w:val="0039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81993">
      <w:bodyDiv w:val="1"/>
      <w:marLeft w:val="0"/>
      <w:marRight w:val="0"/>
      <w:marTop w:val="0"/>
      <w:marBottom w:val="0"/>
      <w:divBdr>
        <w:top w:val="none" w:sz="0" w:space="0" w:color="auto"/>
        <w:left w:val="none" w:sz="0" w:space="0" w:color="auto"/>
        <w:bottom w:val="none" w:sz="0" w:space="0" w:color="auto"/>
        <w:right w:val="none" w:sz="0" w:space="0" w:color="auto"/>
      </w:divBdr>
      <w:divsChild>
        <w:div w:id="1024600692">
          <w:marLeft w:val="0"/>
          <w:marRight w:val="0"/>
          <w:marTop w:val="0"/>
          <w:marBottom w:val="0"/>
          <w:divBdr>
            <w:top w:val="none" w:sz="0" w:space="0" w:color="auto"/>
            <w:left w:val="none" w:sz="0" w:space="0" w:color="auto"/>
            <w:bottom w:val="none" w:sz="0" w:space="0" w:color="auto"/>
            <w:right w:val="none" w:sz="0" w:space="0" w:color="auto"/>
          </w:divBdr>
          <w:divsChild>
            <w:div w:id="1752504320">
              <w:marLeft w:val="0"/>
              <w:marRight w:val="0"/>
              <w:marTop w:val="0"/>
              <w:marBottom w:val="0"/>
              <w:divBdr>
                <w:top w:val="none" w:sz="0" w:space="0" w:color="auto"/>
                <w:left w:val="none" w:sz="0" w:space="0" w:color="auto"/>
                <w:bottom w:val="none" w:sz="0" w:space="0" w:color="auto"/>
                <w:right w:val="none" w:sz="0" w:space="0" w:color="auto"/>
              </w:divBdr>
              <w:divsChild>
                <w:div w:id="1086532827">
                  <w:marLeft w:val="0"/>
                  <w:marRight w:val="0"/>
                  <w:marTop w:val="0"/>
                  <w:marBottom w:val="0"/>
                  <w:divBdr>
                    <w:top w:val="none" w:sz="0" w:space="0" w:color="auto"/>
                    <w:left w:val="none" w:sz="0" w:space="0" w:color="auto"/>
                    <w:bottom w:val="none" w:sz="0" w:space="0" w:color="auto"/>
                    <w:right w:val="none" w:sz="0" w:space="0" w:color="auto"/>
                  </w:divBdr>
                  <w:divsChild>
                    <w:div w:id="713239063">
                      <w:marLeft w:val="0"/>
                      <w:marRight w:val="0"/>
                      <w:marTop w:val="0"/>
                      <w:marBottom w:val="0"/>
                      <w:divBdr>
                        <w:top w:val="none" w:sz="0" w:space="0" w:color="auto"/>
                        <w:left w:val="none" w:sz="0" w:space="0" w:color="auto"/>
                        <w:bottom w:val="none" w:sz="0" w:space="0" w:color="auto"/>
                        <w:right w:val="none" w:sz="0" w:space="0" w:color="auto"/>
                      </w:divBdr>
                      <w:divsChild>
                        <w:div w:id="211237086">
                          <w:marLeft w:val="0"/>
                          <w:marRight w:val="0"/>
                          <w:marTop w:val="0"/>
                          <w:marBottom w:val="0"/>
                          <w:divBdr>
                            <w:top w:val="none" w:sz="0" w:space="0" w:color="auto"/>
                            <w:left w:val="none" w:sz="0" w:space="0" w:color="auto"/>
                            <w:bottom w:val="none" w:sz="0" w:space="0" w:color="auto"/>
                            <w:right w:val="none" w:sz="0" w:space="0" w:color="auto"/>
                          </w:divBdr>
                          <w:divsChild>
                            <w:div w:id="953095967">
                              <w:marLeft w:val="0"/>
                              <w:marRight w:val="300"/>
                              <w:marTop w:val="180"/>
                              <w:marBottom w:val="0"/>
                              <w:divBdr>
                                <w:top w:val="none" w:sz="0" w:space="0" w:color="auto"/>
                                <w:left w:val="none" w:sz="0" w:space="0" w:color="auto"/>
                                <w:bottom w:val="none" w:sz="0" w:space="0" w:color="auto"/>
                                <w:right w:val="none" w:sz="0" w:space="0" w:color="auto"/>
                              </w:divBdr>
                              <w:divsChild>
                                <w:div w:id="18500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544070">
          <w:marLeft w:val="0"/>
          <w:marRight w:val="0"/>
          <w:marTop w:val="0"/>
          <w:marBottom w:val="0"/>
          <w:divBdr>
            <w:top w:val="none" w:sz="0" w:space="0" w:color="auto"/>
            <w:left w:val="none" w:sz="0" w:space="0" w:color="auto"/>
            <w:bottom w:val="none" w:sz="0" w:space="0" w:color="auto"/>
            <w:right w:val="none" w:sz="0" w:space="0" w:color="auto"/>
          </w:divBdr>
          <w:divsChild>
            <w:div w:id="1950771728">
              <w:marLeft w:val="0"/>
              <w:marRight w:val="0"/>
              <w:marTop w:val="0"/>
              <w:marBottom w:val="0"/>
              <w:divBdr>
                <w:top w:val="none" w:sz="0" w:space="0" w:color="auto"/>
                <w:left w:val="none" w:sz="0" w:space="0" w:color="auto"/>
                <w:bottom w:val="none" w:sz="0" w:space="0" w:color="auto"/>
                <w:right w:val="none" w:sz="0" w:space="0" w:color="auto"/>
              </w:divBdr>
              <w:divsChild>
                <w:div w:id="1354647877">
                  <w:marLeft w:val="0"/>
                  <w:marRight w:val="0"/>
                  <w:marTop w:val="0"/>
                  <w:marBottom w:val="0"/>
                  <w:divBdr>
                    <w:top w:val="none" w:sz="0" w:space="0" w:color="auto"/>
                    <w:left w:val="none" w:sz="0" w:space="0" w:color="auto"/>
                    <w:bottom w:val="none" w:sz="0" w:space="0" w:color="auto"/>
                    <w:right w:val="none" w:sz="0" w:space="0" w:color="auto"/>
                  </w:divBdr>
                  <w:divsChild>
                    <w:div w:id="2050297842">
                      <w:marLeft w:val="0"/>
                      <w:marRight w:val="0"/>
                      <w:marTop w:val="0"/>
                      <w:marBottom w:val="0"/>
                      <w:divBdr>
                        <w:top w:val="none" w:sz="0" w:space="0" w:color="auto"/>
                        <w:left w:val="none" w:sz="0" w:space="0" w:color="auto"/>
                        <w:bottom w:val="none" w:sz="0" w:space="0" w:color="auto"/>
                        <w:right w:val="none" w:sz="0" w:space="0" w:color="auto"/>
                      </w:divBdr>
                      <w:divsChild>
                        <w:div w:id="870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1222">
      <w:bodyDiv w:val="1"/>
      <w:marLeft w:val="0"/>
      <w:marRight w:val="0"/>
      <w:marTop w:val="0"/>
      <w:marBottom w:val="0"/>
      <w:divBdr>
        <w:top w:val="none" w:sz="0" w:space="0" w:color="auto"/>
        <w:left w:val="none" w:sz="0" w:space="0" w:color="auto"/>
        <w:bottom w:val="none" w:sz="0" w:space="0" w:color="auto"/>
        <w:right w:val="none" w:sz="0" w:space="0" w:color="auto"/>
      </w:divBdr>
      <w:divsChild>
        <w:div w:id="284239060">
          <w:marLeft w:val="0"/>
          <w:marRight w:val="0"/>
          <w:marTop w:val="0"/>
          <w:marBottom w:val="0"/>
          <w:divBdr>
            <w:top w:val="none" w:sz="0" w:space="0" w:color="auto"/>
            <w:left w:val="none" w:sz="0" w:space="0" w:color="auto"/>
            <w:bottom w:val="none" w:sz="0" w:space="0" w:color="auto"/>
            <w:right w:val="none" w:sz="0" w:space="0" w:color="auto"/>
          </w:divBdr>
          <w:divsChild>
            <w:div w:id="1353386288">
              <w:marLeft w:val="0"/>
              <w:marRight w:val="0"/>
              <w:marTop w:val="0"/>
              <w:marBottom w:val="0"/>
              <w:divBdr>
                <w:top w:val="none" w:sz="0" w:space="0" w:color="auto"/>
                <w:left w:val="none" w:sz="0" w:space="0" w:color="auto"/>
                <w:bottom w:val="none" w:sz="0" w:space="0" w:color="auto"/>
                <w:right w:val="none" w:sz="0" w:space="0" w:color="auto"/>
              </w:divBdr>
              <w:divsChild>
                <w:div w:id="1601597470">
                  <w:marLeft w:val="0"/>
                  <w:marRight w:val="0"/>
                  <w:marTop w:val="0"/>
                  <w:marBottom w:val="0"/>
                  <w:divBdr>
                    <w:top w:val="none" w:sz="0" w:space="0" w:color="auto"/>
                    <w:left w:val="none" w:sz="0" w:space="0" w:color="auto"/>
                    <w:bottom w:val="none" w:sz="0" w:space="0" w:color="auto"/>
                    <w:right w:val="none" w:sz="0" w:space="0" w:color="auto"/>
                  </w:divBdr>
                  <w:divsChild>
                    <w:div w:id="1064059921">
                      <w:marLeft w:val="0"/>
                      <w:marRight w:val="0"/>
                      <w:marTop w:val="0"/>
                      <w:marBottom w:val="0"/>
                      <w:divBdr>
                        <w:top w:val="none" w:sz="0" w:space="0" w:color="auto"/>
                        <w:left w:val="none" w:sz="0" w:space="0" w:color="auto"/>
                        <w:bottom w:val="none" w:sz="0" w:space="0" w:color="auto"/>
                        <w:right w:val="none" w:sz="0" w:space="0" w:color="auto"/>
                      </w:divBdr>
                      <w:divsChild>
                        <w:div w:id="528371526">
                          <w:marLeft w:val="0"/>
                          <w:marRight w:val="0"/>
                          <w:marTop w:val="0"/>
                          <w:marBottom w:val="0"/>
                          <w:divBdr>
                            <w:top w:val="none" w:sz="0" w:space="0" w:color="auto"/>
                            <w:left w:val="none" w:sz="0" w:space="0" w:color="auto"/>
                            <w:bottom w:val="none" w:sz="0" w:space="0" w:color="auto"/>
                            <w:right w:val="none" w:sz="0" w:space="0" w:color="auto"/>
                          </w:divBdr>
                          <w:divsChild>
                            <w:div w:id="1161920472">
                              <w:marLeft w:val="0"/>
                              <w:marRight w:val="300"/>
                              <w:marTop w:val="180"/>
                              <w:marBottom w:val="0"/>
                              <w:divBdr>
                                <w:top w:val="none" w:sz="0" w:space="0" w:color="auto"/>
                                <w:left w:val="none" w:sz="0" w:space="0" w:color="auto"/>
                                <w:bottom w:val="none" w:sz="0" w:space="0" w:color="auto"/>
                                <w:right w:val="none" w:sz="0" w:space="0" w:color="auto"/>
                              </w:divBdr>
                              <w:divsChild>
                                <w:div w:id="3876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3255">
          <w:marLeft w:val="0"/>
          <w:marRight w:val="0"/>
          <w:marTop w:val="0"/>
          <w:marBottom w:val="0"/>
          <w:divBdr>
            <w:top w:val="none" w:sz="0" w:space="0" w:color="auto"/>
            <w:left w:val="none" w:sz="0" w:space="0" w:color="auto"/>
            <w:bottom w:val="none" w:sz="0" w:space="0" w:color="auto"/>
            <w:right w:val="none" w:sz="0" w:space="0" w:color="auto"/>
          </w:divBdr>
          <w:divsChild>
            <w:div w:id="1523276814">
              <w:marLeft w:val="0"/>
              <w:marRight w:val="0"/>
              <w:marTop w:val="0"/>
              <w:marBottom w:val="0"/>
              <w:divBdr>
                <w:top w:val="none" w:sz="0" w:space="0" w:color="auto"/>
                <w:left w:val="none" w:sz="0" w:space="0" w:color="auto"/>
                <w:bottom w:val="none" w:sz="0" w:space="0" w:color="auto"/>
                <w:right w:val="none" w:sz="0" w:space="0" w:color="auto"/>
              </w:divBdr>
              <w:divsChild>
                <w:div w:id="222101673">
                  <w:marLeft w:val="0"/>
                  <w:marRight w:val="0"/>
                  <w:marTop w:val="0"/>
                  <w:marBottom w:val="0"/>
                  <w:divBdr>
                    <w:top w:val="none" w:sz="0" w:space="0" w:color="auto"/>
                    <w:left w:val="none" w:sz="0" w:space="0" w:color="auto"/>
                    <w:bottom w:val="none" w:sz="0" w:space="0" w:color="auto"/>
                    <w:right w:val="none" w:sz="0" w:space="0" w:color="auto"/>
                  </w:divBdr>
                  <w:divsChild>
                    <w:div w:id="305092114">
                      <w:marLeft w:val="0"/>
                      <w:marRight w:val="0"/>
                      <w:marTop w:val="0"/>
                      <w:marBottom w:val="0"/>
                      <w:divBdr>
                        <w:top w:val="none" w:sz="0" w:space="0" w:color="auto"/>
                        <w:left w:val="none" w:sz="0" w:space="0" w:color="auto"/>
                        <w:bottom w:val="none" w:sz="0" w:space="0" w:color="auto"/>
                        <w:right w:val="none" w:sz="0" w:space="0" w:color="auto"/>
                      </w:divBdr>
                      <w:divsChild>
                        <w:div w:id="16945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63098">
      <w:bodyDiv w:val="1"/>
      <w:marLeft w:val="0"/>
      <w:marRight w:val="0"/>
      <w:marTop w:val="0"/>
      <w:marBottom w:val="0"/>
      <w:divBdr>
        <w:top w:val="none" w:sz="0" w:space="0" w:color="auto"/>
        <w:left w:val="none" w:sz="0" w:space="0" w:color="auto"/>
        <w:bottom w:val="none" w:sz="0" w:space="0" w:color="auto"/>
        <w:right w:val="none" w:sz="0" w:space="0" w:color="auto"/>
      </w:divBdr>
    </w:div>
    <w:div w:id="20767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professionalinterest/pages/cescr.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professionalinterest/pages/ccpr.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ldiario.es/desalambre/Mujer-hondurena-agresion_0_909209779.html" TargetMode="External"/><Relationship Id="rId3" Type="http://schemas.openxmlformats.org/officeDocument/2006/relationships/hyperlink" Target="https://www.apdha.org/wp-content/uploads/2019/02/informe-frontera-sur-2019-web.pdf" TargetMode="External"/><Relationship Id="rId7" Type="http://schemas.openxmlformats.org/officeDocument/2006/relationships/hyperlink" Target="https://www.idhc.org/es/actualidad/el-tedh-sentencia-que-espana-ha-incumplido-el-convenio-europeo-de-derechos-humanos-por-las-devoluciones-en-caliente.php" TargetMode="External"/><Relationship Id="rId12" Type="http://schemas.openxmlformats.org/officeDocument/2006/relationships/hyperlink" Target="https://www.ilo.org/dyn/normlex/en/f?p=NORMLEXPUB:12100:0::NO::P12100_ILO_CODE:C189" TargetMode="External"/><Relationship Id="rId2" Type="http://schemas.openxmlformats.org/officeDocument/2006/relationships/hyperlink" Target="https://www.boe.es/buscar/pdf/2011/BOE-A-2011-7703-consolidado.pdf" TargetMode="External"/><Relationship Id="rId1" Type="http://schemas.openxmlformats.org/officeDocument/2006/relationships/hyperlink" Target="https://www.boe.es/buscar/pdf/2000/BOE-A-2000-544-consolidado.pdf" TargetMode="External"/><Relationship Id="rId6" Type="http://schemas.openxmlformats.org/officeDocument/2006/relationships/hyperlink" Target="https://www.boe.es/buscar/pdf/2015/BOE-A-2015-3442-consolidado.pdf" TargetMode="External"/><Relationship Id="rId11" Type="http://schemas.openxmlformats.org/officeDocument/2006/relationships/hyperlink" Target="https://www.alianzaporlasolidaridad.org/wp-content/uploads/ALIANZA-MUJERES-MIGRANTES-COMO-SUJETOS-ESTUDIO.pdf" TargetMode="External"/><Relationship Id="rId5" Type="http://schemas.openxmlformats.org/officeDocument/2006/relationships/hyperlink" Target="https://www.eldiario.es/desalambre/Vida-muerte-Mohamed-Bouderbala-Archidona_0_850765666.html" TargetMode="External"/><Relationship Id="rId10" Type="http://schemas.openxmlformats.org/officeDocument/2006/relationships/hyperlink" Target="https://aieti.es/wp-content/uploads/2019/02/Violencia_genero_mujeres_migrantes.pdf" TargetMode="External"/><Relationship Id="rId4" Type="http://schemas.openxmlformats.org/officeDocument/2006/relationships/hyperlink" Target="https://www.pareudepararme.org/informe-es/" TargetMode="External"/><Relationship Id="rId9" Type="http://schemas.openxmlformats.org/officeDocument/2006/relationships/hyperlink" Target="https://www.boe.es/buscar/pdf/2004/BOE-A-2004-21760-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0E23-2B9C-4428-985C-8ED2BEBF9B89}">
  <ds:schemaRefs>
    <ds:schemaRef ds:uri="http://schemas.microsoft.com/sharepoint/v3/contenttype/forms"/>
  </ds:schemaRefs>
</ds:datastoreItem>
</file>

<file path=customXml/itemProps2.xml><?xml version="1.0" encoding="utf-8"?>
<ds:datastoreItem xmlns:ds="http://schemas.openxmlformats.org/officeDocument/2006/customXml" ds:itemID="{D0C98EFC-3264-4AD1-8E80-16760ECBBD1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3f0c603-3556-4460-906e-a1b710b7a959"/>
    <ds:schemaRef ds:uri="799b2d60-f277-4cba-8468-515133924902"/>
    <ds:schemaRef ds:uri="http://www.w3.org/XML/1998/namespace"/>
  </ds:schemaRefs>
</ds:datastoreItem>
</file>

<file path=customXml/itemProps3.xml><?xml version="1.0" encoding="utf-8"?>
<ds:datastoreItem xmlns:ds="http://schemas.openxmlformats.org/officeDocument/2006/customXml" ds:itemID="{4804AF82-C5E9-45F3-BA44-1B785B274503}"/>
</file>

<file path=customXml/itemProps4.xml><?xml version="1.0" encoding="utf-8"?>
<ds:datastoreItem xmlns:ds="http://schemas.openxmlformats.org/officeDocument/2006/customXml" ds:itemID="{D236F8EF-99EB-471E-8865-1D01DC4F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6749</Characters>
  <Application>Microsoft Office Word</Application>
  <DocSecurity>4</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Julisa Jauregui</dc:creator>
  <cp:lastModifiedBy>TADAKI Junko</cp:lastModifiedBy>
  <cp:revision>2</cp:revision>
  <cp:lastPrinted>2019-07-03T09:35:00Z</cp:lastPrinted>
  <dcterms:created xsi:type="dcterms:W3CDTF">2019-11-01T12:16:00Z</dcterms:created>
  <dcterms:modified xsi:type="dcterms:W3CDTF">2019-11-01T12:16:00Z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