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4B" w14:textId="77777777" w:rsidR="00FD6B33" w:rsidRDefault="00F61821">
      <w:pPr>
        <w:widowControl w:val="0"/>
        <w:spacing w:line="240" w:lineRule="auto"/>
        <w:rPr>
          <w:rFonts w:ascii="Times New Roman" w:eastAsia="Times New Roman" w:hAnsi="Times New Roman" w:cs="Times New Roman"/>
          <w:b/>
          <w:sz w:val="20"/>
          <w:szCs w:val="20"/>
        </w:rPr>
      </w:pPr>
      <w:bookmarkStart w:id="0" w:name="_GoBack"/>
      <w:bookmarkEnd w:id="0"/>
      <w:r>
        <w:rPr>
          <w:rFonts w:ascii="Times New Roman" w:eastAsia="Times New Roman" w:hAnsi="Times New Roman" w:cs="Times New Roman"/>
          <w:b/>
          <w:sz w:val="20"/>
          <w:szCs w:val="20"/>
        </w:rPr>
        <w:t xml:space="preserve">BADIL Resource Center for Palestinian Residency and Refugee Rights </w:t>
      </w:r>
    </w:p>
    <w:p w14:paraId="0000004C" w14:textId="77777777" w:rsidR="00FD6B33" w:rsidRDefault="00F61821">
      <w:pPr>
        <w:widowControl w:val="0"/>
        <w:shd w:val="clear" w:color="auto" w:fill="FFFFFF"/>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Karkafa</w:t>
      </w:r>
      <w:proofErr w:type="spellEnd"/>
      <w:r>
        <w:rPr>
          <w:rFonts w:ascii="Times New Roman" w:eastAsia="Times New Roman" w:hAnsi="Times New Roman" w:cs="Times New Roman"/>
          <w:sz w:val="20"/>
          <w:szCs w:val="20"/>
        </w:rPr>
        <w:t xml:space="preserve"> St. </w:t>
      </w:r>
    </w:p>
    <w:p w14:paraId="0000004D" w14:textId="77777777" w:rsidR="00FD6B33" w:rsidRDefault="00F61821">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 Box 728</w:t>
      </w:r>
    </w:p>
    <w:p w14:paraId="0000004E" w14:textId="77777777" w:rsidR="00FD6B33" w:rsidRDefault="00F61821">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Bethlehem, West Bank, Palestine</w:t>
      </w:r>
    </w:p>
    <w:p w14:paraId="0000004F" w14:textId="77777777" w:rsidR="00FD6B33" w:rsidRDefault="00F61821">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Tel: +970-2-277-7086</w:t>
      </w:r>
    </w:p>
    <w:p w14:paraId="00000050" w14:textId="77777777" w:rsidR="00FD6B33" w:rsidRDefault="00F61821">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Tel/Fax: +970-2-274-7346</w:t>
      </w:r>
    </w:p>
    <w:p w14:paraId="00000051" w14:textId="77777777" w:rsidR="00FD6B33" w:rsidRDefault="00FD6B33">
      <w:pPr>
        <w:widowControl w:val="0"/>
        <w:shd w:val="clear" w:color="auto" w:fill="FFFFFF"/>
        <w:spacing w:line="240" w:lineRule="auto"/>
        <w:rPr>
          <w:rFonts w:ascii="Times New Roman" w:eastAsia="Times New Roman" w:hAnsi="Times New Roman" w:cs="Times New Roman"/>
          <w:sz w:val="20"/>
          <w:szCs w:val="20"/>
        </w:rPr>
      </w:pPr>
    </w:p>
    <w:p w14:paraId="00000052" w14:textId="75673CC3" w:rsidR="00FD6B33" w:rsidRDefault="00F61821">
      <w:pPr>
        <w:widowControl w:val="0"/>
        <w:shd w:val="clear" w:color="auto" w:fill="FFFFFF"/>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43CC3">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May 2021</w:t>
      </w:r>
    </w:p>
    <w:p w14:paraId="00000053" w14:textId="77777777" w:rsidR="00FD6B33" w:rsidRDefault="00FD6B33">
      <w:pPr>
        <w:spacing w:line="240" w:lineRule="auto"/>
        <w:rPr>
          <w:rFonts w:ascii="Times New Roman" w:eastAsia="Times New Roman" w:hAnsi="Times New Roman" w:cs="Times New Roman"/>
          <w:sz w:val="20"/>
          <w:szCs w:val="20"/>
        </w:rPr>
      </w:pPr>
    </w:p>
    <w:p w14:paraId="00000054" w14:textId="77777777" w:rsidR="00FD6B33" w:rsidRDefault="00F61821">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 Special Rapporteur’s Reports on Discrimination, Segregation, and the Right to Adequate Housing to the General Assembly and Human Rights Council</w:t>
      </w:r>
    </w:p>
    <w:p w14:paraId="00000055" w14:textId="77777777" w:rsidR="00FD6B33" w:rsidRDefault="00F61821">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the attention of Mr. Balakrishnan Rajagopal, Special Rapporteur on the right to adequate housing, </w:t>
      </w:r>
    </w:p>
    <w:p w14:paraId="00000056" w14:textId="4C3AB0DC" w:rsidR="00FD6B33" w:rsidRDefault="00F61821" w:rsidP="006B1081">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the prospect of the Special Rapporteur’s 2021 report</w:t>
      </w:r>
      <w:r w:rsidR="00B10C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to the General Assembly and </w:t>
      </w:r>
      <w:r w:rsidR="00B10CEF">
        <w:rPr>
          <w:rFonts w:ascii="Times New Roman" w:eastAsia="Times New Roman" w:hAnsi="Times New Roman" w:cs="Times New Roman"/>
          <w:sz w:val="20"/>
          <w:szCs w:val="20"/>
        </w:rPr>
        <w:t xml:space="preserve">2022 report to the </w:t>
      </w:r>
      <w:r>
        <w:rPr>
          <w:rFonts w:ascii="Times New Roman" w:eastAsia="Times New Roman" w:hAnsi="Times New Roman" w:cs="Times New Roman"/>
          <w:sz w:val="20"/>
          <w:szCs w:val="20"/>
        </w:rPr>
        <w:t xml:space="preserve">Human Rights Council, BADIL Resource Center for Palestinian Residency and Refugee Rights presents the following written submission focusing on four Israeli colonial-apartheid policies that infringe on the Palestinian people’s equal enjoyment of the right to adequate housing. Israel applies these specific forms of </w:t>
      </w:r>
      <w:r>
        <w:rPr>
          <w:rFonts w:ascii="Times New Roman" w:eastAsia="Times New Roman" w:hAnsi="Times New Roman" w:cs="Times New Roman"/>
          <w:i/>
          <w:sz w:val="20"/>
          <w:szCs w:val="20"/>
        </w:rPr>
        <w:t>de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facto</w:t>
      </w:r>
      <w:r>
        <w:rPr>
          <w:rFonts w:ascii="Times New Roman" w:eastAsia="Times New Roman" w:hAnsi="Times New Roman" w:cs="Times New Roman"/>
          <w:sz w:val="20"/>
          <w:szCs w:val="20"/>
        </w:rPr>
        <w:t xml:space="preserve"> and </w:t>
      </w:r>
      <w:r>
        <w:rPr>
          <w:rFonts w:ascii="Times New Roman" w:eastAsia="Times New Roman" w:hAnsi="Times New Roman" w:cs="Times New Roman"/>
          <w:i/>
          <w:sz w:val="20"/>
          <w:szCs w:val="20"/>
        </w:rPr>
        <w:t>de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jure</w:t>
      </w:r>
      <w:r>
        <w:rPr>
          <w:rFonts w:ascii="Times New Roman" w:eastAsia="Times New Roman" w:hAnsi="Times New Roman" w:cs="Times New Roman"/>
          <w:sz w:val="20"/>
          <w:szCs w:val="20"/>
        </w:rPr>
        <w:t xml:space="preserve"> segregation and discrimination on both sides of the Green Line; whether applied against Palestinian refugees, Palestinians in the occupied Palestinian territory (oPt), or Palestinians with an Israeli citizenship</w:t>
      </w:r>
      <w:r w:rsidR="006B108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6B1081">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hese policies serve the same overarching goal: </w:t>
      </w:r>
      <w:r w:rsidR="003858B4">
        <w:rPr>
          <w:rFonts w:ascii="Times New Roman" w:eastAsia="Times New Roman" w:hAnsi="Times New Roman" w:cs="Times New Roman"/>
          <w:sz w:val="20"/>
          <w:szCs w:val="20"/>
        </w:rPr>
        <w:t xml:space="preserve">to control </w:t>
      </w:r>
      <w:r w:rsidR="00F36EF1">
        <w:rPr>
          <w:rFonts w:ascii="Times New Roman" w:eastAsia="Times New Roman" w:hAnsi="Times New Roman" w:cs="Times New Roman"/>
          <w:sz w:val="20"/>
          <w:szCs w:val="20"/>
        </w:rPr>
        <w:t>the</w:t>
      </w:r>
      <w:r w:rsidR="003858B4">
        <w:rPr>
          <w:rFonts w:ascii="Times New Roman" w:eastAsia="Times New Roman" w:hAnsi="Times New Roman" w:cs="Times New Roman"/>
          <w:sz w:val="20"/>
          <w:szCs w:val="20"/>
        </w:rPr>
        <w:t xml:space="preserve"> m</w:t>
      </w:r>
      <w:r w:rsidR="005B47B2">
        <w:rPr>
          <w:rFonts w:ascii="Times New Roman" w:eastAsia="Times New Roman" w:hAnsi="Times New Roman" w:cs="Times New Roman"/>
          <w:sz w:val="20"/>
          <w:szCs w:val="20"/>
        </w:rPr>
        <w:t xml:space="preserve">aximum </w:t>
      </w:r>
      <w:r w:rsidR="00F36EF1">
        <w:rPr>
          <w:rFonts w:ascii="Times New Roman" w:eastAsia="Times New Roman" w:hAnsi="Times New Roman" w:cs="Times New Roman"/>
          <w:sz w:val="20"/>
          <w:szCs w:val="20"/>
        </w:rPr>
        <w:t xml:space="preserve">amount of </w:t>
      </w:r>
      <w:r w:rsidR="003858B4">
        <w:rPr>
          <w:rFonts w:ascii="Times New Roman" w:eastAsia="Times New Roman" w:hAnsi="Times New Roman" w:cs="Times New Roman"/>
          <w:sz w:val="20"/>
          <w:szCs w:val="20"/>
        </w:rPr>
        <w:t>l</w:t>
      </w:r>
      <w:r w:rsidR="005B47B2">
        <w:rPr>
          <w:rFonts w:ascii="Times New Roman" w:eastAsia="Times New Roman" w:hAnsi="Times New Roman" w:cs="Times New Roman"/>
          <w:sz w:val="20"/>
          <w:szCs w:val="20"/>
        </w:rPr>
        <w:t>and</w:t>
      </w:r>
      <w:r w:rsidR="003858B4">
        <w:rPr>
          <w:rFonts w:ascii="Times New Roman" w:eastAsia="Times New Roman" w:hAnsi="Times New Roman" w:cs="Times New Roman"/>
          <w:sz w:val="20"/>
          <w:szCs w:val="20"/>
        </w:rPr>
        <w:t xml:space="preserve"> with </w:t>
      </w:r>
      <w:r w:rsidR="00F36EF1">
        <w:rPr>
          <w:rFonts w:ascii="Times New Roman" w:eastAsia="Times New Roman" w:hAnsi="Times New Roman" w:cs="Times New Roman"/>
          <w:sz w:val="20"/>
          <w:szCs w:val="20"/>
        </w:rPr>
        <w:t xml:space="preserve">the </w:t>
      </w:r>
      <w:r w:rsidR="003858B4">
        <w:rPr>
          <w:rFonts w:ascii="Times New Roman" w:eastAsia="Times New Roman" w:hAnsi="Times New Roman" w:cs="Times New Roman"/>
          <w:sz w:val="20"/>
          <w:szCs w:val="20"/>
        </w:rPr>
        <w:t xml:space="preserve">minimum </w:t>
      </w:r>
      <w:r w:rsidR="00F36EF1">
        <w:rPr>
          <w:rFonts w:ascii="Times New Roman" w:eastAsia="Times New Roman" w:hAnsi="Times New Roman" w:cs="Times New Roman"/>
          <w:sz w:val="20"/>
          <w:szCs w:val="20"/>
        </w:rPr>
        <w:t xml:space="preserve">number of </w:t>
      </w:r>
      <w:r w:rsidR="003858B4">
        <w:rPr>
          <w:rFonts w:ascii="Times New Roman" w:eastAsia="Times New Roman" w:hAnsi="Times New Roman" w:cs="Times New Roman"/>
          <w:sz w:val="20"/>
          <w:szCs w:val="20"/>
        </w:rPr>
        <w:t xml:space="preserve">Palestinians. This strategy has been enforced through various </w:t>
      </w:r>
      <w:r w:rsidR="006B1081">
        <w:rPr>
          <w:rFonts w:ascii="Times New Roman" w:eastAsia="Times New Roman" w:hAnsi="Times New Roman" w:cs="Times New Roman"/>
          <w:sz w:val="20"/>
          <w:szCs w:val="20"/>
        </w:rPr>
        <w:t xml:space="preserve">practices </w:t>
      </w:r>
      <w:r w:rsidR="003858B4">
        <w:rPr>
          <w:rFonts w:ascii="Times New Roman" w:eastAsia="Times New Roman" w:hAnsi="Times New Roman" w:cs="Times New Roman"/>
          <w:sz w:val="20"/>
          <w:szCs w:val="20"/>
        </w:rPr>
        <w:t>and policies</w:t>
      </w:r>
      <w:r w:rsidR="00F36EF1">
        <w:rPr>
          <w:rFonts w:ascii="Times New Roman" w:eastAsia="Times New Roman" w:hAnsi="Times New Roman" w:cs="Times New Roman"/>
          <w:sz w:val="20"/>
          <w:szCs w:val="20"/>
        </w:rPr>
        <w:t>,</w:t>
      </w:r>
      <w:r w:rsidR="003858B4">
        <w:rPr>
          <w:rFonts w:ascii="Times New Roman" w:eastAsia="Times New Roman" w:hAnsi="Times New Roman" w:cs="Times New Roman"/>
          <w:sz w:val="20"/>
          <w:szCs w:val="20"/>
        </w:rPr>
        <w:t xml:space="preserve"> including the</w:t>
      </w:r>
      <w:r w:rsidR="005B47B2">
        <w:rPr>
          <w:rFonts w:ascii="Times New Roman" w:eastAsia="Times New Roman" w:hAnsi="Times New Roman" w:cs="Times New Roman"/>
          <w:sz w:val="20"/>
          <w:szCs w:val="20"/>
        </w:rPr>
        <w:t xml:space="preserve"> creat</w:t>
      </w:r>
      <w:r w:rsidR="003858B4">
        <w:rPr>
          <w:rFonts w:ascii="Times New Roman" w:eastAsia="Times New Roman" w:hAnsi="Times New Roman" w:cs="Times New Roman"/>
          <w:sz w:val="20"/>
          <w:szCs w:val="20"/>
        </w:rPr>
        <w:t>ion of</w:t>
      </w:r>
      <w:r w:rsidR="005B47B2">
        <w:rPr>
          <w:rFonts w:ascii="Times New Roman" w:eastAsia="Times New Roman" w:hAnsi="Times New Roman" w:cs="Times New Roman"/>
          <w:sz w:val="20"/>
          <w:szCs w:val="20"/>
        </w:rPr>
        <w:t xml:space="preserve"> coercive environment which </w:t>
      </w:r>
      <w:r w:rsidR="00F36EF1">
        <w:rPr>
          <w:rFonts w:ascii="Times New Roman" w:eastAsia="Times New Roman" w:hAnsi="Times New Roman" w:cs="Times New Roman"/>
          <w:sz w:val="20"/>
          <w:szCs w:val="20"/>
        </w:rPr>
        <w:t>incorporates</w:t>
      </w:r>
      <w:r w:rsidR="005B47B2">
        <w:rPr>
          <w:rFonts w:ascii="Times New Roman" w:eastAsia="Times New Roman" w:hAnsi="Times New Roman" w:cs="Times New Roman"/>
          <w:sz w:val="20"/>
          <w:szCs w:val="20"/>
        </w:rPr>
        <w:t xml:space="preserve"> the</w:t>
      </w:r>
      <w:r>
        <w:rPr>
          <w:rFonts w:ascii="Times New Roman" w:eastAsia="Times New Roman" w:hAnsi="Times New Roman" w:cs="Times New Roman"/>
          <w:sz w:val="20"/>
          <w:szCs w:val="20"/>
        </w:rPr>
        <w:t xml:space="preserve"> impair</w:t>
      </w:r>
      <w:r w:rsidR="005B47B2">
        <w:rPr>
          <w:rFonts w:ascii="Times New Roman" w:eastAsia="Times New Roman" w:hAnsi="Times New Roman" w:cs="Times New Roman"/>
          <w:sz w:val="20"/>
          <w:szCs w:val="20"/>
        </w:rPr>
        <w:t>ment of</w:t>
      </w:r>
      <w:r>
        <w:rPr>
          <w:rFonts w:ascii="Times New Roman" w:eastAsia="Times New Roman" w:hAnsi="Times New Roman" w:cs="Times New Roman"/>
          <w:sz w:val="20"/>
          <w:szCs w:val="20"/>
        </w:rPr>
        <w:t xml:space="preserve"> housing conditions, and by virtue, living conditions of the Palestinian people in order to undermine their ability to exercise their legitimate right to self-determination.</w:t>
      </w:r>
    </w:p>
    <w:p w14:paraId="00000057" w14:textId="77777777" w:rsidR="00FD6B33" w:rsidRDefault="00F61821">
      <w:pPr>
        <w:spacing w:after="20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Policy 1: Discrimination in Relation to Access to Land - Land Confiscation and Denial of Use</w:t>
      </w:r>
    </w:p>
    <w:p w14:paraId="00000058" w14:textId="08070E2B" w:rsidR="00FD6B33" w:rsidRDefault="00F61821">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Israel applies myriad policies and practices that discriminate against Palestinians in relation to access to land, thus undermining the </w:t>
      </w:r>
      <w:r>
        <w:rPr>
          <w:rFonts w:ascii="Times New Roman" w:eastAsia="Times New Roman" w:hAnsi="Times New Roman" w:cs="Times New Roman"/>
          <w:sz w:val="20"/>
          <w:szCs w:val="20"/>
          <w:u w:val="single"/>
        </w:rPr>
        <w:t>accessibility dimension of the right to adequate housing</w:t>
      </w:r>
      <w:r>
        <w:rPr>
          <w:rFonts w:ascii="Times New Roman" w:eastAsia="Times New Roman" w:hAnsi="Times New Roman" w:cs="Times New Roman"/>
          <w:sz w:val="20"/>
          <w:szCs w:val="20"/>
        </w:rPr>
        <w:t>. Israel’s central mechanism for land discrimination involves land confiscation, in that Palestinian ownership, or rights of ownership, is transferred to Israeli bodies and authorities, Zionist-Israeli organization</w:t>
      </w:r>
      <w:r w:rsidR="006B1081">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(namely the Jewish National Fund) and Jewish-Israeli individuals. These mechanisms can be divided into two types: </w:t>
      </w:r>
      <w:r>
        <w:rPr>
          <w:rFonts w:ascii="Times New Roman" w:eastAsia="Times New Roman" w:hAnsi="Times New Roman" w:cs="Times New Roman"/>
          <w:i/>
          <w:sz w:val="20"/>
          <w:szCs w:val="20"/>
        </w:rPr>
        <w:t xml:space="preserve">de facto </w:t>
      </w:r>
      <w:r>
        <w:rPr>
          <w:rFonts w:ascii="Times New Roman" w:eastAsia="Times New Roman" w:hAnsi="Times New Roman" w:cs="Times New Roman"/>
          <w:sz w:val="20"/>
          <w:szCs w:val="20"/>
        </w:rPr>
        <w:t xml:space="preserve">and </w:t>
      </w:r>
      <w:r>
        <w:rPr>
          <w:rFonts w:ascii="Times New Roman" w:eastAsia="Times New Roman" w:hAnsi="Times New Roman" w:cs="Times New Roman"/>
          <w:i/>
          <w:sz w:val="20"/>
          <w:szCs w:val="20"/>
        </w:rPr>
        <w:t xml:space="preserve">de jure </w:t>
      </w:r>
      <w:r>
        <w:rPr>
          <w:rFonts w:ascii="Times New Roman" w:eastAsia="Times New Roman" w:hAnsi="Times New Roman" w:cs="Times New Roman"/>
          <w:sz w:val="20"/>
          <w:szCs w:val="20"/>
        </w:rPr>
        <w:t xml:space="preserve">confiscation. </w:t>
      </w:r>
    </w:p>
    <w:p w14:paraId="00000059" w14:textId="77777777" w:rsidR="00FD6B33" w:rsidRDefault="00F61821">
      <w:pPr>
        <w:numPr>
          <w:ilvl w:val="0"/>
          <w:numId w:val="2"/>
        </w:num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situations of </w:t>
      </w:r>
      <w:r>
        <w:rPr>
          <w:rFonts w:ascii="Times New Roman" w:eastAsia="Times New Roman" w:hAnsi="Times New Roman" w:cs="Times New Roman"/>
          <w:i/>
          <w:sz w:val="20"/>
          <w:szCs w:val="20"/>
        </w:rPr>
        <w:t xml:space="preserve">de facto </w:t>
      </w:r>
      <w:r>
        <w:rPr>
          <w:rFonts w:ascii="Times New Roman" w:eastAsia="Times New Roman" w:hAnsi="Times New Roman" w:cs="Times New Roman"/>
          <w:sz w:val="20"/>
          <w:szCs w:val="20"/>
        </w:rPr>
        <w:t>confiscation, Israel applies measures that seriously hinder or deny the landowner’s use and access of the land or property. Such limitations come in the form of Israeli military orders or laws that designate parcels of land as closed military zones, nature reserves, national parks, seam zones, and/or the construction of colonies, checkpoints, bypass roads, and the Annexation Wall.</w:t>
      </w:r>
    </w:p>
    <w:p w14:paraId="0000005A" w14:textId="6F87E5BF" w:rsidR="00FD6B33" w:rsidRDefault="00F61821">
      <w:pPr>
        <w:numPr>
          <w:ilvl w:val="0"/>
          <w:numId w:val="2"/>
        </w:num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lastRenderedPageBreak/>
        <w:t xml:space="preserve">De jure </w:t>
      </w:r>
      <w:r>
        <w:rPr>
          <w:rFonts w:ascii="Times New Roman" w:eastAsia="Times New Roman" w:hAnsi="Times New Roman" w:cs="Times New Roman"/>
          <w:sz w:val="20"/>
          <w:szCs w:val="20"/>
        </w:rPr>
        <w:t xml:space="preserve">confiscation, constituting the official transfer of ownership to Zionist-Israeli entities, highlights the </w:t>
      </w:r>
      <w:r w:rsidR="00430F7A">
        <w:rPr>
          <w:rFonts w:ascii="Times New Roman" w:eastAsia="Times New Roman" w:hAnsi="Times New Roman" w:cs="Times New Roman"/>
          <w:sz w:val="20"/>
          <w:szCs w:val="20"/>
        </w:rPr>
        <w:t>discriminatory</w:t>
      </w:r>
      <w:r>
        <w:rPr>
          <w:rFonts w:ascii="Times New Roman" w:eastAsia="Times New Roman" w:hAnsi="Times New Roman" w:cs="Times New Roman"/>
          <w:sz w:val="20"/>
          <w:szCs w:val="20"/>
        </w:rPr>
        <w:t xml:space="preserve"> nature of land confiscation as Israeli-Jews are allowed to use the expropriated Palestinian lands while Palestinians’ access to their lands is forbidden. From 1950 onwards, the apartheid-colonial Israeli regime has systematically implemented a discriminatory land confiscation and redistribution policy. Most notable of these laws includes the 1950 Development Authority Law, the 1953 Land Acquisition Law, and the 1960 Israel Lands Administration Law, which facilitated the mass expropriation and </w:t>
      </w:r>
      <w:r w:rsidR="00430F7A">
        <w:rPr>
          <w:rFonts w:ascii="Times New Roman" w:eastAsia="Times New Roman" w:hAnsi="Times New Roman" w:cs="Times New Roman"/>
          <w:sz w:val="20"/>
          <w:szCs w:val="20"/>
        </w:rPr>
        <w:t>privatization</w:t>
      </w:r>
      <w:r>
        <w:rPr>
          <w:rFonts w:ascii="Times New Roman" w:eastAsia="Times New Roman" w:hAnsi="Times New Roman" w:cs="Times New Roman"/>
          <w:sz w:val="20"/>
          <w:szCs w:val="20"/>
        </w:rPr>
        <w:t xml:space="preserve"> of Palestinian-owned land, rendering them inaccessible to Palestinians.</w:t>
      </w:r>
      <w:r>
        <w:rPr>
          <w:rFonts w:ascii="Times New Roman" w:eastAsia="Times New Roman" w:hAnsi="Times New Roman" w:cs="Times New Roman"/>
          <w:sz w:val="20"/>
          <w:szCs w:val="20"/>
          <w:vertAlign w:val="superscript"/>
        </w:rPr>
        <w:footnoteReference w:id="1"/>
      </w:r>
    </w:p>
    <w:p w14:paraId="0000005B" w14:textId="77777777" w:rsidR="00FD6B33" w:rsidRDefault="00F61821">
      <w:pPr>
        <w:spacing w:after="20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Policy 2: Discrimination in Relation to Ownership of Housing and Land - Denial of Property Restitution</w:t>
      </w:r>
    </w:p>
    <w:p w14:paraId="0000005C" w14:textId="77777777" w:rsidR="00FD6B33" w:rsidRDefault="00F61821">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Operating in tandem with the abovementioned policy of forbidding Palestinians’ access to their land is another discriminatory policy that focuses on denying the 9.1 million Palestinian refugees and internally displaced persons (IDPs) their right to property restitution. This policy undermines the </w:t>
      </w:r>
      <w:r>
        <w:rPr>
          <w:rFonts w:ascii="Times New Roman" w:eastAsia="Times New Roman" w:hAnsi="Times New Roman" w:cs="Times New Roman"/>
          <w:sz w:val="20"/>
          <w:szCs w:val="20"/>
          <w:u w:val="single"/>
        </w:rPr>
        <w:t>security of tenure dimension of the right to adequate housing</w:t>
      </w:r>
      <w:r>
        <w:rPr>
          <w:rFonts w:ascii="Times New Roman" w:eastAsia="Times New Roman" w:hAnsi="Times New Roman" w:cs="Times New Roman"/>
          <w:sz w:val="20"/>
          <w:szCs w:val="20"/>
        </w:rPr>
        <w:t xml:space="preserve">, namely Palestinians’ ownership rights. Per international refugee law, Palestinian refugee and IDP properties should be protected against destruction and arbitrary and illegal appropriation, occupation, and use until a durable solution is implemented. </w:t>
      </w:r>
    </w:p>
    <w:p w14:paraId="0000005D" w14:textId="77777777" w:rsidR="00FD6B33" w:rsidRDefault="00F61821">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However, through a series of discriminatory Israeli laws, such as the 1950 Absentee Property Law, Israel declared the property of all forcibly displaced Palestinians as ‘absentee property,’ and eventually utilized and privatized the properties, including houses, through a roll-out of additional laws in partnership with government and non-government agencies. While Israel continues to deny displaced Palestinians their right to reparations, including return, property restitution, and compensation, Palestinian refugees and IDPs continue to live in overcrowded refugee camps that lack basic infrastructure and sanitation in the oPt, Lebanon, Syria, and Jordan.</w:t>
      </w:r>
      <w:r>
        <w:rPr>
          <w:rFonts w:ascii="Times New Roman" w:eastAsia="Times New Roman" w:hAnsi="Times New Roman" w:cs="Times New Roman"/>
          <w:sz w:val="20"/>
          <w:szCs w:val="20"/>
          <w:vertAlign w:val="superscript"/>
        </w:rPr>
        <w:footnoteReference w:id="2"/>
      </w:r>
      <w:r>
        <w:rPr>
          <w:rFonts w:ascii="Times New Roman" w:eastAsia="Times New Roman" w:hAnsi="Times New Roman" w:cs="Times New Roman"/>
          <w:sz w:val="20"/>
          <w:szCs w:val="20"/>
        </w:rPr>
        <w:t xml:space="preserve"> </w:t>
      </w:r>
    </w:p>
    <w:p w14:paraId="0000005E" w14:textId="77777777" w:rsidR="00FD6B33" w:rsidRDefault="00F61821">
      <w:pPr>
        <w:spacing w:after="20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Policy 3: Discrimination in Relation to Access to Water, Natural Resources, Services, and Construction </w:t>
      </w:r>
    </w:p>
    <w:p w14:paraId="0000005F" w14:textId="56C4EB9C" w:rsidR="00FD6B33" w:rsidRDefault="00F61821">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Israeli policies and practices additionally discriminate against Palestinians on both sides of the Green Line in relation to </w:t>
      </w:r>
      <w:r>
        <w:rPr>
          <w:rFonts w:ascii="Times New Roman" w:eastAsia="Times New Roman" w:hAnsi="Times New Roman" w:cs="Times New Roman"/>
          <w:sz w:val="20"/>
          <w:szCs w:val="20"/>
          <w:u w:val="single"/>
        </w:rPr>
        <w:t>access to water, natural resources, and services</w:t>
      </w:r>
      <w:r>
        <w:rPr>
          <w:rFonts w:ascii="Times New Roman" w:eastAsia="Times New Roman" w:hAnsi="Times New Roman" w:cs="Times New Roman"/>
          <w:sz w:val="20"/>
          <w:szCs w:val="20"/>
        </w:rPr>
        <w:t>. This is evident in the two-tier legal system that Israel applies with regards to the provision of services in the West Bank, including east</w:t>
      </w:r>
      <w:r w:rsidR="00F36EF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Jerusalem, where </w:t>
      </w:r>
      <w:r w:rsidR="00F36EF1">
        <w:rPr>
          <w:rFonts w:ascii="Times New Roman" w:eastAsia="Times New Roman" w:hAnsi="Times New Roman" w:cs="Times New Roman"/>
          <w:sz w:val="20"/>
          <w:szCs w:val="20"/>
        </w:rPr>
        <w:t>Z</w:t>
      </w:r>
      <w:r>
        <w:rPr>
          <w:rFonts w:ascii="Times New Roman" w:eastAsia="Times New Roman" w:hAnsi="Times New Roman" w:cs="Times New Roman"/>
          <w:sz w:val="20"/>
          <w:szCs w:val="20"/>
        </w:rPr>
        <w:t xml:space="preserve">ionist-Israeli colonies are located adjacent to Palestinian villages and towns. This two-tier system provides preferential treatment for Israeli-Jewish colonizers while simultaneously creating harsh living </w:t>
      </w:r>
      <w:r w:rsidR="00F36EF1">
        <w:rPr>
          <w:rFonts w:ascii="Times New Roman" w:eastAsia="Times New Roman" w:hAnsi="Times New Roman" w:cs="Times New Roman"/>
          <w:sz w:val="20"/>
          <w:szCs w:val="20"/>
        </w:rPr>
        <w:t xml:space="preserve">conditions of </w:t>
      </w:r>
      <w:r w:rsidR="00D9789B">
        <w:rPr>
          <w:rFonts w:ascii="Times New Roman" w:eastAsia="Times New Roman" w:hAnsi="Times New Roman" w:cs="Times New Roman"/>
          <w:sz w:val="20"/>
          <w:szCs w:val="20"/>
        </w:rPr>
        <w:lastRenderedPageBreak/>
        <w:t>coercive environment</w:t>
      </w:r>
      <w:r w:rsidR="00F36EF1">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for Palestinians living in the same areas.</w:t>
      </w:r>
      <w:r w:rsidR="00F36EF1">
        <w:rPr>
          <w:rStyle w:val="FootnoteReference"/>
          <w:rFonts w:ascii="Times New Roman" w:eastAsia="Times New Roman" w:hAnsi="Times New Roman" w:cs="Times New Roman"/>
          <w:sz w:val="20"/>
          <w:szCs w:val="20"/>
        </w:rPr>
        <w:footnoteReference w:id="3"/>
      </w:r>
      <w:r>
        <w:rPr>
          <w:rFonts w:ascii="Times New Roman" w:eastAsia="Times New Roman" w:hAnsi="Times New Roman" w:cs="Times New Roman"/>
          <w:sz w:val="20"/>
          <w:szCs w:val="20"/>
        </w:rPr>
        <w:t xml:space="preserve"> The Palestinian population does not enjoy the same right of access to water, natural resources, and services. For example, Israel controls all water resources in the West Bank; Palestinians are only able to use around 14</w:t>
      </w:r>
      <w:r w:rsidR="003044A2">
        <w:rPr>
          <w:rFonts w:ascii="Times New Roman" w:eastAsia="Times New Roman" w:hAnsi="Times New Roman" w:cs="Times New Roman"/>
          <w:sz w:val="20"/>
          <w:szCs w:val="20"/>
        </w:rPr>
        <w:t xml:space="preserve"> percent</w:t>
      </w:r>
      <w:r>
        <w:rPr>
          <w:rFonts w:ascii="Times New Roman" w:eastAsia="Times New Roman" w:hAnsi="Times New Roman" w:cs="Times New Roman"/>
          <w:sz w:val="20"/>
          <w:szCs w:val="20"/>
        </w:rPr>
        <w:t>, whereas colonizers are allocated 86</w:t>
      </w:r>
      <w:r w:rsidR="003044A2">
        <w:rPr>
          <w:rFonts w:ascii="Times New Roman" w:eastAsia="Times New Roman" w:hAnsi="Times New Roman" w:cs="Times New Roman"/>
          <w:sz w:val="20"/>
          <w:szCs w:val="20"/>
        </w:rPr>
        <w:t xml:space="preserve"> percent</w:t>
      </w:r>
      <w:r>
        <w:rPr>
          <w:rFonts w:ascii="Times New Roman" w:eastAsia="Times New Roman" w:hAnsi="Times New Roman" w:cs="Times New Roman"/>
          <w:sz w:val="20"/>
          <w:szCs w:val="20"/>
        </w:rPr>
        <w:t xml:space="preserve">. This is despite the fact that the Palestinian population is five times greater than the colonizer population in the West Bank. </w:t>
      </w:r>
    </w:p>
    <w:p w14:paraId="00000060" w14:textId="33147951" w:rsidR="00FD6B33" w:rsidRDefault="00F61821">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relation to </w:t>
      </w:r>
      <w:r>
        <w:rPr>
          <w:rFonts w:ascii="Times New Roman" w:eastAsia="Times New Roman" w:hAnsi="Times New Roman" w:cs="Times New Roman"/>
          <w:sz w:val="20"/>
          <w:szCs w:val="20"/>
          <w:u w:val="single"/>
        </w:rPr>
        <w:t>differential treatment in housing construction</w:t>
      </w:r>
      <w:r>
        <w:rPr>
          <w:rFonts w:ascii="Times New Roman" w:eastAsia="Times New Roman" w:hAnsi="Times New Roman" w:cs="Times New Roman"/>
          <w:sz w:val="20"/>
          <w:szCs w:val="20"/>
        </w:rPr>
        <w:t xml:space="preserve">, building permits are difficult to near impossible for Palestinians to obtain in east Jerusalem </w:t>
      </w:r>
      <w:r w:rsidR="003044A2">
        <w:rPr>
          <w:rFonts w:ascii="Times New Roman" w:eastAsia="Times New Roman" w:hAnsi="Times New Roman" w:cs="Times New Roman"/>
          <w:sz w:val="20"/>
          <w:szCs w:val="20"/>
        </w:rPr>
        <w:t xml:space="preserve">and </w:t>
      </w:r>
      <w:r>
        <w:rPr>
          <w:rFonts w:ascii="Times New Roman" w:eastAsia="Times New Roman" w:hAnsi="Times New Roman" w:cs="Times New Roman"/>
          <w:sz w:val="20"/>
          <w:szCs w:val="20"/>
        </w:rPr>
        <w:t>in the 60</w:t>
      </w:r>
      <w:r w:rsidR="003044A2">
        <w:rPr>
          <w:rFonts w:ascii="Times New Roman" w:eastAsia="Times New Roman" w:hAnsi="Times New Roman" w:cs="Times New Roman"/>
          <w:sz w:val="20"/>
          <w:szCs w:val="20"/>
        </w:rPr>
        <w:t xml:space="preserve"> percent</w:t>
      </w:r>
      <w:r>
        <w:rPr>
          <w:rFonts w:ascii="Times New Roman" w:eastAsia="Times New Roman" w:hAnsi="Times New Roman" w:cs="Times New Roman"/>
          <w:sz w:val="20"/>
          <w:szCs w:val="20"/>
        </w:rPr>
        <w:t xml:space="preserve"> of the West Bank under exclusive Israeli control, Area C. Israel rejects more than 94</w:t>
      </w:r>
      <w:r w:rsidR="003044A2">
        <w:rPr>
          <w:rFonts w:ascii="Times New Roman" w:eastAsia="Times New Roman" w:hAnsi="Times New Roman" w:cs="Times New Roman"/>
          <w:sz w:val="20"/>
          <w:szCs w:val="20"/>
        </w:rPr>
        <w:t xml:space="preserve"> percent</w:t>
      </w:r>
      <w:r>
        <w:rPr>
          <w:rFonts w:ascii="Times New Roman" w:eastAsia="Times New Roman" w:hAnsi="Times New Roman" w:cs="Times New Roman"/>
          <w:sz w:val="20"/>
          <w:szCs w:val="20"/>
        </w:rPr>
        <w:t xml:space="preserve"> of Palestinian building permit applications and this has led to the demolition of many Palestinian-built private and public use structures in Area C, including schools and clinic</w:t>
      </w:r>
      <w:r w:rsidR="003044A2">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by Israeli forces. </w:t>
      </w:r>
    </w:p>
    <w:p w14:paraId="00000061" w14:textId="337EF20B" w:rsidR="00FD6B33" w:rsidRDefault="00F61821" w:rsidP="00AC44EF">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Such discriminatory policies also extend to the Palestinian citizens of Israel</w:t>
      </w:r>
      <w:r w:rsidR="00F36EF1">
        <w:rPr>
          <w:rFonts w:ascii="Times New Roman" w:eastAsia="Times New Roman" w:hAnsi="Times New Roman" w:cs="Times New Roman"/>
          <w:sz w:val="20"/>
          <w:szCs w:val="20"/>
        </w:rPr>
        <w:t>;</w:t>
      </w:r>
      <w:r w:rsidR="00D9789B">
        <w:rPr>
          <w:rFonts w:ascii="Times New Roman" w:eastAsia="Times New Roman" w:hAnsi="Times New Roman" w:cs="Times New Roman"/>
          <w:sz w:val="20"/>
          <w:szCs w:val="20"/>
        </w:rPr>
        <w:t xml:space="preserve"> </w:t>
      </w:r>
      <w:r w:rsidR="00F36EF1">
        <w:rPr>
          <w:rFonts w:ascii="Times New Roman" w:eastAsia="Times New Roman" w:hAnsi="Times New Roman" w:cs="Times New Roman"/>
          <w:sz w:val="20"/>
          <w:szCs w:val="20"/>
        </w:rPr>
        <w:t xml:space="preserve">notably including </w:t>
      </w:r>
      <w:r w:rsidR="00D9789B">
        <w:rPr>
          <w:rFonts w:ascii="Times New Roman" w:eastAsia="Times New Roman" w:hAnsi="Times New Roman" w:cs="Times New Roman"/>
          <w:sz w:val="20"/>
          <w:szCs w:val="20"/>
        </w:rPr>
        <w:t>the Palestinian Bedouin</w:t>
      </w:r>
      <w:r w:rsidR="00F36EF1">
        <w:rPr>
          <w:rFonts w:ascii="Times New Roman" w:eastAsia="Times New Roman" w:hAnsi="Times New Roman" w:cs="Times New Roman"/>
          <w:sz w:val="20"/>
          <w:szCs w:val="20"/>
        </w:rPr>
        <w:t>s</w:t>
      </w:r>
      <w:r w:rsidR="00D978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liv</w:t>
      </w:r>
      <w:r w:rsidR="00F36EF1">
        <w:rPr>
          <w:rFonts w:ascii="Times New Roman" w:eastAsia="Times New Roman" w:hAnsi="Times New Roman" w:cs="Times New Roman"/>
          <w:sz w:val="20"/>
          <w:szCs w:val="20"/>
        </w:rPr>
        <w:t>ing</w:t>
      </w:r>
      <w:r>
        <w:rPr>
          <w:rFonts w:ascii="Times New Roman" w:eastAsia="Times New Roman" w:hAnsi="Times New Roman" w:cs="Times New Roman"/>
          <w:sz w:val="20"/>
          <w:szCs w:val="20"/>
        </w:rPr>
        <w:t xml:space="preserve"> in villages in the </w:t>
      </w:r>
      <w:proofErr w:type="spellStart"/>
      <w:r>
        <w:rPr>
          <w:rFonts w:ascii="Times New Roman" w:eastAsia="Times New Roman" w:hAnsi="Times New Roman" w:cs="Times New Roman"/>
          <w:sz w:val="20"/>
          <w:szCs w:val="20"/>
        </w:rPr>
        <w:t>Naqab</w:t>
      </w:r>
      <w:proofErr w:type="spellEnd"/>
      <w:r>
        <w:rPr>
          <w:rFonts w:ascii="Times New Roman" w:eastAsia="Times New Roman" w:hAnsi="Times New Roman" w:cs="Times New Roman"/>
          <w:sz w:val="20"/>
          <w:szCs w:val="20"/>
        </w:rPr>
        <w:t xml:space="preserve">. In 1965, Israel passed the </w:t>
      </w:r>
      <w:r>
        <w:rPr>
          <w:rFonts w:ascii="Times New Roman" w:eastAsia="Times New Roman" w:hAnsi="Times New Roman" w:cs="Times New Roman"/>
          <w:i/>
          <w:sz w:val="20"/>
          <w:szCs w:val="20"/>
        </w:rPr>
        <w:t xml:space="preserve">Planning and Building Law 5275-1965, </w:t>
      </w:r>
      <w:r>
        <w:rPr>
          <w:rFonts w:ascii="Times New Roman" w:eastAsia="Times New Roman" w:hAnsi="Times New Roman" w:cs="Times New Roman"/>
          <w:sz w:val="20"/>
          <w:szCs w:val="20"/>
        </w:rPr>
        <w:t xml:space="preserve">which designated these Palestinian villages as ‘unrecognized </w:t>
      </w:r>
      <w:r w:rsidR="00430F7A">
        <w:rPr>
          <w:rFonts w:ascii="Times New Roman" w:eastAsia="Times New Roman" w:hAnsi="Times New Roman" w:cs="Times New Roman"/>
          <w:sz w:val="20"/>
          <w:szCs w:val="20"/>
        </w:rPr>
        <w:t>villages’</w:t>
      </w:r>
      <w:r>
        <w:rPr>
          <w:rFonts w:ascii="Times New Roman" w:eastAsia="Times New Roman" w:hAnsi="Times New Roman" w:cs="Times New Roman"/>
          <w:sz w:val="20"/>
          <w:szCs w:val="20"/>
        </w:rPr>
        <w:t xml:space="preserve">. The Israeli government denies unrecognized villages access to basic services, such as water, electricity, telecommunications, sewage systems, healthcare, education and proper infrastructure. This is in stark contrast to Jewish-Israeli </w:t>
      </w:r>
      <w:r w:rsidR="00AC44EF">
        <w:rPr>
          <w:rFonts w:ascii="Times New Roman" w:eastAsia="Times New Roman" w:hAnsi="Times New Roman" w:cs="Times New Roman"/>
          <w:sz w:val="20"/>
          <w:szCs w:val="20"/>
        </w:rPr>
        <w:t xml:space="preserve">localities </w:t>
      </w:r>
      <w:r>
        <w:rPr>
          <w:rFonts w:ascii="Times New Roman" w:eastAsia="Times New Roman" w:hAnsi="Times New Roman" w:cs="Times New Roman"/>
          <w:sz w:val="20"/>
          <w:szCs w:val="20"/>
        </w:rPr>
        <w:t>established in the same area, which are given automatic recognition, services and support despite the fact that they are often built without the required permits.</w:t>
      </w:r>
      <w:r>
        <w:rPr>
          <w:rFonts w:ascii="Times New Roman" w:eastAsia="Times New Roman" w:hAnsi="Times New Roman" w:cs="Times New Roman"/>
          <w:sz w:val="20"/>
          <w:szCs w:val="20"/>
          <w:vertAlign w:val="superscript"/>
        </w:rPr>
        <w:footnoteReference w:id="4"/>
      </w:r>
    </w:p>
    <w:p w14:paraId="00000062" w14:textId="77777777" w:rsidR="00FD6B33" w:rsidRDefault="00F61821">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Policy 4: Spatial and Residential Segregation - Israeli Zoning and Planning</w:t>
      </w:r>
      <w:r>
        <w:rPr>
          <w:rFonts w:ascii="Times New Roman" w:eastAsia="Times New Roman" w:hAnsi="Times New Roman" w:cs="Times New Roman"/>
          <w:sz w:val="20"/>
          <w:szCs w:val="20"/>
        </w:rPr>
        <w:t xml:space="preserve"> </w:t>
      </w:r>
    </w:p>
    <w:p w14:paraId="00000063" w14:textId="28184CC4" w:rsidR="00FD6B33" w:rsidRDefault="00F61821">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 both sides of the Green Line, Israel applies an array of mechanisms that creates </w:t>
      </w:r>
      <w:r>
        <w:rPr>
          <w:rFonts w:ascii="Times New Roman" w:eastAsia="Times New Roman" w:hAnsi="Times New Roman" w:cs="Times New Roman"/>
          <w:sz w:val="20"/>
          <w:szCs w:val="20"/>
          <w:u w:val="single"/>
        </w:rPr>
        <w:t>spatial and residential segregation</w:t>
      </w:r>
      <w:r>
        <w:rPr>
          <w:rFonts w:ascii="Times New Roman" w:eastAsia="Times New Roman" w:hAnsi="Times New Roman" w:cs="Times New Roman"/>
          <w:sz w:val="20"/>
          <w:szCs w:val="20"/>
        </w:rPr>
        <w:t xml:space="preserve"> against Palestinians. Palestinians with an Israeli citizenship, constituting 20</w:t>
      </w:r>
      <w:r w:rsidR="00AC44EF">
        <w:rPr>
          <w:rFonts w:ascii="Times New Roman" w:eastAsia="Times New Roman" w:hAnsi="Times New Roman" w:cs="Times New Roman"/>
          <w:sz w:val="20"/>
          <w:szCs w:val="20"/>
        </w:rPr>
        <w:t xml:space="preserve"> percent</w:t>
      </w:r>
      <w:r>
        <w:rPr>
          <w:rFonts w:ascii="Times New Roman" w:eastAsia="Times New Roman" w:hAnsi="Times New Roman" w:cs="Times New Roman"/>
          <w:sz w:val="20"/>
          <w:szCs w:val="20"/>
        </w:rPr>
        <w:t xml:space="preserve"> of Israel’s population, reside in three main geographic areas: the Galilee, the Triangle regions, and the </w:t>
      </w:r>
      <w:proofErr w:type="spellStart"/>
      <w:r>
        <w:rPr>
          <w:rFonts w:ascii="Times New Roman" w:eastAsia="Times New Roman" w:hAnsi="Times New Roman" w:cs="Times New Roman"/>
          <w:sz w:val="20"/>
          <w:szCs w:val="20"/>
        </w:rPr>
        <w:t>Naqab</w:t>
      </w:r>
      <w:proofErr w:type="spellEnd"/>
      <w:r>
        <w:rPr>
          <w:rFonts w:ascii="Times New Roman" w:eastAsia="Times New Roman" w:hAnsi="Times New Roman" w:cs="Times New Roman"/>
          <w:sz w:val="20"/>
          <w:szCs w:val="20"/>
        </w:rPr>
        <w:t xml:space="preserve">. Most of these localities lack proper planning procedures and the needs of their populations in terms of housing, infrastructure, allocation of land and development are not met, while Jewish-Israeli localities are developed through various means. </w:t>
      </w:r>
    </w:p>
    <w:p w14:paraId="00000064" w14:textId="77777777" w:rsidR="00FD6B33" w:rsidRDefault="00F61821">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Israel’s highly-centralized nature of planning, the Palestinian population are not included in decision-making and in developing the Master Plans that govern zoning, construction and development of their cities. Additionally, Palestinian local authorities that submit building plans and zoning proposals face un</w:t>
      </w:r>
      <w:r>
        <w:rPr>
          <w:rFonts w:ascii="Times New Roman" w:eastAsia="Times New Roman" w:hAnsi="Times New Roman" w:cs="Times New Roman"/>
          <w:sz w:val="20"/>
          <w:szCs w:val="20"/>
        </w:rPr>
        <w:lastRenderedPageBreak/>
        <w:t>reasonable delays in getting them approved, thus impeding the issuing of legal building permits. The rejection rate is high, and usually the justification for rejection tends to relate to national and district plans currently in place and Ministry of Interior policy which aims to inhibit Palestinian building and development.</w:t>
      </w:r>
    </w:p>
    <w:p w14:paraId="00000065" w14:textId="58D1653D" w:rsidR="00FD6B33" w:rsidRDefault="00F61821">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for the West Bank, Palestinian communities in Area C </w:t>
      </w:r>
      <w:r w:rsidR="005B47B2">
        <w:rPr>
          <w:rFonts w:ascii="Times New Roman" w:eastAsia="Times New Roman" w:hAnsi="Times New Roman" w:cs="Times New Roman"/>
          <w:sz w:val="20"/>
          <w:szCs w:val="20"/>
        </w:rPr>
        <w:t>(</w:t>
      </w:r>
      <w:r w:rsidR="00F36EF1">
        <w:rPr>
          <w:rFonts w:ascii="Times New Roman" w:eastAsia="Times New Roman" w:hAnsi="Times New Roman" w:cs="Times New Roman"/>
          <w:sz w:val="20"/>
          <w:szCs w:val="20"/>
        </w:rPr>
        <w:t xml:space="preserve">comprising </w:t>
      </w:r>
      <w:r w:rsidR="005B47B2">
        <w:rPr>
          <w:rFonts w:ascii="Times New Roman" w:eastAsia="Times New Roman" w:hAnsi="Times New Roman" w:cs="Times New Roman"/>
          <w:sz w:val="20"/>
          <w:szCs w:val="20"/>
        </w:rPr>
        <w:t>60</w:t>
      </w:r>
      <w:r w:rsidR="002600B3">
        <w:rPr>
          <w:rFonts w:ascii="Times New Roman" w:eastAsia="Times New Roman" w:hAnsi="Times New Roman" w:cs="Times New Roman"/>
          <w:sz w:val="20"/>
          <w:szCs w:val="20"/>
        </w:rPr>
        <w:t xml:space="preserve"> percent</w:t>
      </w:r>
      <w:r w:rsidR="005B47B2">
        <w:rPr>
          <w:rFonts w:ascii="Times New Roman" w:eastAsia="Times New Roman" w:hAnsi="Times New Roman" w:cs="Times New Roman"/>
          <w:sz w:val="20"/>
          <w:szCs w:val="20"/>
        </w:rPr>
        <w:t xml:space="preserve"> of </w:t>
      </w:r>
      <w:r w:rsidR="00F36EF1">
        <w:rPr>
          <w:rFonts w:ascii="Times New Roman" w:eastAsia="Times New Roman" w:hAnsi="Times New Roman" w:cs="Times New Roman"/>
          <w:sz w:val="20"/>
          <w:szCs w:val="20"/>
        </w:rPr>
        <w:t xml:space="preserve">the </w:t>
      </w:r>
      <w:r w:rsidR="005B47B2">
        <w:rPr>
          <w:rFonts w:ascii="Times New Roman" w:eastAsia="Times New Roman" w:hAnsi="Times New Roman" w:cs="Times New Roman"/>
          <w:sz w:val="20"/>
          <w:szCs w:val="20"/>
        </w:rPr>
        <w:t xml:space="preserve">oPt) </w:t>
      </w:r>
      <w:r>
        <w:rPr>
          <w:rFonts w:ascii="Times New Roman" w:eastAsia="Times New Roman" w:hAnsi="Times New Roman" w:cs="Times New Roman"/>
          <w:sz w:val="20"/>
          <w:szCs w:val="20"/>
        </w:rPr>
        <w:t>are particularly subject to an oppressive zoning and planning framework consisting of selectively-deployed Ottoman, British Mandate and Jordanian-era land laws, supported by an extensive web of Israeli military orders. It is a framework designed to displace</w:t>
      </w:r>
      <w:r w:rsidR="00243CC3">
        <w:rPr>
          <w:rFonts w:ascii="Times New Roman" w:eastAsia="Times New Roman" w:hAnsi="Times New Roman" w:cs="Times New Roman"/>
          <w:sz w:val="20"/>
          <w:szCs w:val="20"/>
        </w:rPr>
        <w:t xml:space="preserve"> </w:t>
      </w:r>
      <w:proofErr w:type="gramStart"/>
      <w:r w:rsidR="00243CC3">
        <w:rPr>
          <w:rFonts w:ascii="Times New Roman" w:eastAsia="Times New Roman" w:hAnsi="Times New Roman" w:cs="Times New Roman"/>
          <w:sz w:val="20"/>
          <w:szCs w:val="20"/>
        </w:rPr>
        <w:t xml:space="preserve">Palestinian </w:t>
      </w:r>
      <w:r>
        <w:rPr>
          <w:rFonts w:ascii="Times New Roman" w:eastAsia="Times New Roman" w:hAnsi="Times New Roman" w:cs="Times New Roman"/>
          <w:sz w:val="20"/>
          <w:szCs w:val="20"/>
        </w:rPr>
        <w:t xml:space="preserve"> inhabitants</w:t>
      </w:r>
      <w:proofErr w:type="gramEnd"/>
      <w:r>
        <w:rPr>
          <w:rFonts w:ascii="Times New Roman" w:eastAsia="Times New Roman" w:hAnsi="Times New Roman" w:cs="Times New Roman"/>
          <w:sz w:val="20"/>
          <w:szCs w:val="20"/>
        </w:rPr>
        <w:t>, primarily through arbitrary declarations of large swathes of land as belonging to the ‘state’ - and to replace them with Jewish-Israeli colonizers.</w:t>
      </w:r>
      <w:r>
        <w:rPr>
          <w:rFonts w:ascii="Times New Roman" w:eastAsia="Times New Roman" w:hAnsi="Times New Roman" w:cs="Times New Roman"/>
          <w:sz w:val="20"/>
          <w:szCs w:val="20"/>
          <w:vertAlign w:val="superscript"/>
        </w:rPr>
        <w:footnoteReference w:id="5"/>
      </w:r>
      <w:r>
        <w:rPr>
          <w:rFonts w:ascii="Times New Roman" w:eastAsia="Times New Roman" w:hAnsi="Times New Roman" w:cs="Times New Roman"/>
          <w:sz w:val="20"/>
          <w:szCs w:val="20"/>
        </w:rPr>
        <w:t xml:space="preserve"> </w:t>
      </w:r>
    </w:p>
    <w:p w14:paraId="00000066" w14:textId="77777777" w:rsidR="00FD6B33" w:rsidRDefault="00F61821">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Altogether, these four policies are employed by the Israeli apartheid-colonial regime to discriminate against the Palestinian people’s right to adequate housing. These mechanisms subsequently impair the Palestinian people’s enjoyment of human rights and their inalienable right to self-determination. </w:t>
      </w:r>
    </w:p>
    <w:p w14:paraId="00000067" w14:textId="77777777" w:rsidR="00FD6B33" w:rsidRDefault="00F61821">
      <w:pPr>
        <w:widowControl w:val="0"/>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BADIL remains at the disposal of the Special Rapporteur for any interactive discussion on the above presented research. </w:t>
      </w:r>
    </w:p>
    <w:p w14:paraId="00000068" w14:textId="77777777" w:rsidR="00FD6B33" w:rsidRDefault="00FD6B33">
      <w:pPr>
        <w:spacing w:after="200" w:line="240" w:lineRule="auto"/>
        <w:jc w:val="both"/>
        <w:rPr>
          <w:rFonts w:ascii="Times New Roman" w:eastAsia="Times New Roman" w:hAnsi="Times New Roman" w:cs="Times New Roman"/>
          <w:sz w:val="20"/>
          <w:szCs w:val="20"/>
        </w:rPr>
      </w:pPr>
    </w:p>
    <w:p w14:paraId="00000069" w14:textId="77777777" w:rsidR="00FD6B33" w:rsidRDefault="00FD6B33">
      <w:pPr>
        <w:spacing w:after="200" w:line="240" w:lineRule="auto"/>
        <w:jc w:val="both"/>
        <w:rPr>
          <w:rFonts w:ascii="Times New Roman" w:eastAsia="Times New Roman" w:hAnsi="Times New Roman" w:cs="Times New Roman"/>
          <w:sz w:val="20"/>
          <w:szCs w:val="20"/>
        </w:rPr>
      </w:pPr>
    </w:p>
    <w:p w14:paraId="0000006A" w14:textId="77777777" w:rsidR="00FD6B33" w:rsidRDefault="00FD6B33">
      <w:pPr>
        <w:spacing w:after="200" w:line="240" w:lineRule="auto"/>
        <w:jc w:val="both"/>
        <w:rPr>
          <w:rFonts w:ascii="Times New Roman" w:eastAsia="Times New Roman" w:hAnsi="Times New Roman" w:cs="Times New Roman"/>
          <w:sz w:val="20"/>
          <w:szCs w:val="20"/>
        </w:rPr>
      </w:pPr>
    </w:p>
    <w:p w14:paraId="0000006B" w14:textId="77777777" w:rsidR="00FD6B33" w:rsidRDefault="00FD6B33">
      <w:pPr>
        <w:spacing w:line="240" w:lineRule="auto"/>
        <w:jc w:val="both"/>
        <w:rPr>
          <w:rFonts w:ascii="Times New Roman" w:eastAsia="Times New Roman" w:hAnsi="Times New Roman" w:cs="Times New Roman"/>
          <w:sz w:val="20"/>
          <w:szCs w:val="20"/>
        </w:rPr>
      </w:pPr>
    </w:p>
    <w:p w14:paraId="0000006C" w14:textId="77777777" w:rsidR="00FD6B33" w:rsidRDefault="00FD6B33">
      <w:pPr>
        <w:spacing w:line="240" w:lineRule="auto"/>
        <w:jc w:val="both"/>
        <w:rPr>
          <w:rFonts w:ascii="Times New Roman" w:eastAsia="Times New Roman" w:hAnsi="Times New Roman" w:cs="Times New Roman"/>
          <w:sz w:val="20"/>
          <w:szCs w:val="20"/>
        </w:rPr>
      </w:pPr>
    </w:p>
    <w:p w14:paraId="0000006D" w14:textId="77777777" w:rsidR="00FD6B33" w:rsidRDefault="00FD6B33">
      <w:pPr>
        <w:spacing w:line="240" w:lineRule="auto"/>
        <w:jc w:val="both"/>
        <w:rPr>
          <w:rFonts w:ascii="Times New Roman" w:eastAsia="Times New Roman" w:hAnsi="Times New Roman" w:cs="Times New Roman"/>
          <w:sz w:val="20"/>
          <w:szCs w:val="20"/>
        </w:rPr>
      </w:pPr>
    </w:p>
    <w:p w14:paraId="0000006E" w14:textId="77777777" w:rsidR="00FD6B33" w:rsidRDefault="00FD6B33">
      <w:pPr>
        <w:spacing w:line="240" w:lineRule="auto"/>
        <w:jc w:val="both"/>
        <w:rPr>
          <w:rFonts w:ascii="Times New Roman" w:eastAsia="Times New Roman" w:hAnsi="Times New Roman" w:cs="Times New Roman"/>
          <w:sz w:val="20"/>
          <w:szCs w:val="20"/>
        </w:rPr>
      </w:pPr>
    </w:p>
    <w:p w14:paraId="0000006F" w14:textId="77777777" w:rsidR="00FD6B33" w:rsidRDefault="00FD6B33">
      <w:pPr>
        <w:spacing w:line="240" w:lineRule="auto"/>
        <w:jc w:val="both"/>
        <w:rPr>
          <w:rFonts w:ascii="Times New Roman" w:eastAsia="Times New Roman" w:hAnsi="Times New Roman" w:cs="Times New Roman"/>
          <w:sz w:val="20"/>
          <w:szCs w:val="20"/>
        </w:rPr>
      </w:pPr>
    </w:p>
    <w:p w14:paraId="00000070" w14:textId="77777777" w:rsidR="00FD6B33" w:rsidRDefault="00FD6B33">
      <w:pPr>
        <w:spacing w:line="240" w:lineRule="auto"/>
        <w:jc w:val="both"/>
        <w:rPr>
          <w:rFonts w:ascii="Times New Roman" w:eastAsia="Times New Roman" w:hAnsi="Times New Roman" w:cs="Times New Roman"/>
          <w:sz w:val="20"/>
          <w:szCs w:val="20"/>
        </w:rPr>
      </w:pPr>
    </w:p>
    <w:p w14:paraId="00000089" w14:textId="77777777" w:rsidR="00FD6B33" w:rsidRDefault="00FD6B33">
      <w:pPr>
        <w:spacing w:line="240" w:lineRule="auto"/>
        <w:jc w:val="both"/>
        <w:rPr>
          <w:rFonts w:ascii="Times New Roman" w:eastAsia="Times New Roman" w:hAnsi="Times New Roman" w:cs="Times New Roman"/>
          <w:sz w:val="20"/>
          <w:szCs w:val="20"/>
        </w:rPr>
      </w:pPr>
    </w:p>
    <w:p w14:paraId="0000008A" w14:textId="77777777" w:rsidR="00FD6B33" w:rsidRDefault="00FD6B33">
      <w:pPr>
        <w:spacing w:line="240" w:lineRule="auto"/>
        <w:jc w:val="both"/>
        <w:rPr>
          <w:rFonts w:ascii="Times New Roman" w:eastAsia="Times New Roman" w:hAnsi="Times New Roman" w:cs="Times New Roman"/>
          <w:sz w:val="20"/>
          <w:szCs w:val="20"/>
        </w:rPr>
      </w:pPr>
    </w:p>
    <w:p w14:paraId="0000008B" w14:textId="77777777" w:rsidR="00FD6B33" w:rsidRDefault="00FD6B33">
      <w:pPr>
        <w:rPr>
          <w:rFonts w:ascii="Times New Roman" w:eastAsia="Times New Roman" w:hAnsi="Times New Roman" w:cs="Times New Roman"/>
          <w:sz w:val="20"/>
          <w:szCs w:val="20"/>
        </w:rPr>
      </w:pPr>
    </w:p>
    <w:sectPr w:rsidR="00FD6B3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4B7EB" w14:textId="77777777" w:rsidR="00284BC9" w:rsidRDefault="00284BC9">
      <w:pPr>
        <w:spacing w:line="240" w:lineRule="auto"/>
      </w:pPr>
      <w:r>
        <w:separator/>
      </w:r>
    </w:p>
  </w:endnote>
  <w:endnote w:type="continuationSeparator" w:id="0">
    <w:p w14:paraId="5366DF36" w14:textId="77777777" w:rsidR="00284BC9" w:rsidRDefault="00284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E3BA0" w14:textId="77777777" w:rsidR="00284BC9" w:rsidRDefault="00284BC9">
      <w:pPr>
        <w:spacing w:line="240" w:lineRule="auto"/>
      </w:pPr>
      <w:r>
        <w:separator/>
      </w:r>
    </w:p>
  </w:footnote>
  <w:footnote w:type="continuationSeparator" w:id="0">
    <w:p w14:paraId="7CF42A8F" w14:textId="77777777" w:rsidR="00284BC9" w:rsidRDefault="00284BC9">
      <w:pPr>
        <w:spacing w:line="240" w:lineRule="auto"/>
      </w:pPr>
      <w:r>
        <w:continuationSeparator/>
      </w:r>
    </w:p>
  </w:footnote>
  <w:footnote w:id="1">
    <w:p w14:paraId="0000008C" w14:textId="77777777" w:rsidR="00FD6B33" w:rsidRPr="00C73D15" w:rsidRDefault="00F61821">
      <w:pPr>
        <w:spacing w:line="240" w:lineRule="auto"/>
        <w:rPr>
          <w:rFonts w:ascii="Times New Roman" w:eastAsia="Times New Roman" w:hAnsi="Times New Roman" w:cs="Times New Roman"/>
          <w:sz w:val="16"/>
          <w:szCs w:val="16"/>
        </w:rPr>
      </w:pPr>
      <w:r w:rsidRPr="00C73D15">
        <w:rPr>
          <w:rFonts w:ascii="Times New Roman" w:hAnsi="Times New Roman" w:cs="Times New Roman"/>
          <w:sz w:val="16"/>
          <w:szCs w:val="16"/>
          <w:vertAlign w:val="superscript"/>
        </w:rPr>
        <w:footnoteRef/>
      </w:r>
      <w:r w:rsidRPr="00C73D15">
        <w:rPr>
          <w:rFonts w:ascii="Times New Roman" w:eastAsia="Times New Roman" w:hAnsi="Times New Roman" w:cs="Times New Roman"/>
          <w:sz w:val="16"/>
          <w:szCs w:val="16"/>
        </w:rPr>
        <w:t xml:space="preserve"> </w:t>
      </w:r>
      <w:r w:rsidRPr="00C73D15">
        <w:rPr>
          <w:rFonts w:ascii="Times New Roman" w:eastAsia="Times New Roman" w:hAnsi="Times New Roman" w:cs="Times New Roman"/>
          <w:i/>
          <w:sz w:val="16"/>
          <w:szCs w:val="16"/>
        </w:rPr>
        <w:t xml:space="preserve">See </w:t>
      </w:r>
      <w:r w:rsidRPr="00C73D15">
        <w:rPr>
          <w:rFonts w:ascii="Times New Roman" w:eastAsia="Times New Roman" w:hAnsi="Times New Roman" w:cs="Times New Roman"/>
          <w:sz w:val="16"/>
          <w:szCs w:val="16"/>
        </w:rPr>
        <w:t xml:space="preserve">BADIL Resource Center for Palestinian Refugees and Residency Rights, </w:t>
      </w:r>
      <w:r w:rsidRPr="00C73D15">
        <w:rPr>
          <w:rFonts w:ascii="Times New Roman" w:eastAsia="Times New Roman" w:hAnsi="Times New Roman" w:cs="Times New Roman"/>
          <w:i/>
          <w:sz w:val="16"/>
          <w:szCs w:val="16"/>
        </w:rPr>
        <w:t xml:space="preserve">Forced Population Transfer: Land Confiscation and Denial of Use, </w:t>
      </w:r>
      <w:r w:rsidRPr="00C73D15">
        <w:rPr>
          <w:rFonts w:ascii="Times New Roman" w:eastAsia="Times New Roman" w:hAnsi="Times New Roman" w:cs="Times New Roman"/>
          <w:sz w:val="16"/>
          <w:szCs w:val="16"/>
        </w:rPr>
        <w:t xml:space="preserve">working paper no. 21 (Bethlehem: BADIL, 2017), available at: </w:t>
      </w:r>
      <w:hyperlink r:id="rId1">
        <w:r w:rsidRPr="00C73D15">
          <w:rPr>
            <w:rFonts w:ascii="Times New Roman" w:eastAsia="Times New Roman" w:hAnsi="Times New Roman" w:cs="Times New Roman"/>
            <w:color w:val="1155CC"/>
            <w:sz w:val="16"/>
            <w:szCs w:val="16"/>
            <w:u w:val="single"/>
          </w:rPr>
          <w:t>wp21-LC.pdf</w:t>
        </w:r>
      </w:hyperlink>
      <w:r w:rsidRPr="00C73D15">
        <w:rPr>
          <w:rFonts w:ascii="Times New Roman" w:eastAsia="Times New Roman" w:hAnsi="Times New Roman" w:cs="Times New Roman"/>
          <w:sz w:val="16"/>
          <w:szCs w:val="16"/>
        </w:rPr>
        <w:t xml:space="preserve"> </w:t>
      </w:r>
    </w:p>
  </w:footnote>
  <w:footnote w:id="2">
    <w:p w14:paraId="0000008D" w14:textId="77777777" w:rsidR="00FD6B33" w:rsidRPr="00C73D15" w:rsidRDefault="00F61821">
      <w:pPr>
        <w:spacing w:line="240" w:lineRule="auto"/>
        <w:rPr>
          <w:rFonts w:ascii="Times New Roman" w:eastAsia="Times New Roman" w:hAnsi="Times New Roman" w:cs="Times New Roman"/>
          <w:sz w:val="16"/>
          <w:szCs w:val="16"/>
        </w:rPr>
      </w:pPr>
      <w:r w:rsidRPr="00C73D15">
        <w:rPr>
          <w:rFonts w:ascii="Times New Roman" w:hAnsi="Times New Roman" w:cs="Times New Roman"/>
          <w:sz w:val="16"/>
          <w:szCs w:val="16"/>
          <w:vertAlign w:val="superscript"/>
        </w:rPr>
        <w:footnoteRef/>
      </w:r>
      <w:r w:rsidRPr="00C73D15">
        <w:rPr>
          <w:rFonts w:ascii="Times New Roman" w:eastAsia="Times New Roman" w:hAnsi="Times New Roman" w:cs="Times New Roman"/>
          <w:sz w:val="16"/>
          <w:szCs w:val="16"/>
        </w:rPr>
        <w:t xml:space="preserve"> </w:t>
      </w:r>
      <w:r w:rsidRPr="00C73D15">
        <w:rPr>
          <w:rFonts w:ascii="Times New Roman" w:eastAsia="Times New Roman" w:hAnsi="Times New Roman" w:cs="Times New Roman"/>
          <w:i/>
          <w:sz w:val="16"/>
          <w:szCs w:val="16"/>
        </w:rPr>
        <w:t xml:space="preserve">See </w:t>
      </w:r>
      <w:r w:rsidRPr="00C73D15">
        <w:rPr>
          <w:rFonts w:ascii="Times New Roman" w:eastAsia="Times New Roman" w:hAnsi="Times New Roman" w:cs="Times New Roman"/>
          <w:sz w:val="16"/>
          <w:szCs w:val="16"/>
        </w:rPr>
        <w:t xml:space="preserve">BADIL Resource Center for Palestinian Refugees and Residency Rights, </w:t>
      </w:r>
      <w:r w:rsidRPr="00C73D15">
        <w:rPr>
          <w:rFonts w:ascii="Times New Roman" w:eastAsia="Times New Roman" w:hAnsi="Times New Roman" w:cs="Times New Roman"/>
          <w:i/>
          <w:sz w:val="16"/>
          <w:szCs w:val="16"/>
        </w:rPr>
        <w:t xml:space="preserve">Forced Population Transfer: Denial of Reparations, </w:t>
      </w:r>
      <w:r w:rsidRPr="00C73D15">
        <w:rPr>
          <w:rFonts w:ascii="Times New Roman" w:eastAsia="Times New Roman" w:hAnsi="Times New Roman" w:cs="Times New Roman"/>
          <w:sz w:val="16"/>
          <w:szCs w:val="16"/>
        </w:rPr>
        <w:t xml:space="preserve">working paper no. 22 (Bethlehem: BADIL, 2018), available at: </w:t>
      </w:r>
      <w:hyperlink r:id="rId2">
        <w:r w:rsidRPr="00C73D15">
          <w:rPr>
            <w:rFonts w:ascii="Times New Roman" w:eastAsia="Times New Roman" w:hAnsi="Times New Roman" w:cs="Times New Roman"/>
            <w:color w:val="1155CC"/>
            <w:sz w:val="16"/>
            <w:szCs w:val="16"/>
            <w:u w:val="single"/>
          </w:rPr>
          <w:t>WP22-Reparations-of-Reparations.pdf</w:t>
        </w:r>
      </w:hyperlink>
      <w:r w:rsidRPr="00C73D15">
        <w:rPr>
          <w:rFonts w:ascii="Times New Roman" w:eastAsia="Times New Roman" w:hAnsi="Times New Roman" w:cs="Times New Roman"/>
          <w:sz w:val="16"/>
          <w:szCs w:val="16"/>
        </w:rPr>
        <w:t xml:space="preserve"> </w:t>
      </w:r>
    </w:p>
  </w:footnote>
  <w:footnote w:id="3">
    <w:p w14:paraId="509DF637" w14:textId="381E6480" w:rsidR="00F36EF1" w:rsidRPr="00875768" w:rsidRDefault="00F36EF1">
      <w:pPr>
        <w:pStyle w:val="FootnoteText"/>
        <w:rPr>
          <w:rFonts w:ascii="Times New Roman" w:hAnsi="Times New Roman" w:cs="Times New Roman"/>
          <w:sz w:val="16"/>
          <w:szCs w:val="16"/>
          <w:lang w:val="en-US"/>
        </w:rPr>
      </w:pPr>
      <w:r w:rsidRPr="00875768">
        <w:rPr>
          <w:rStyle w:val="FootnoteReference"/>
          <w:rFonts w:ascii="Times New Roman" w:hAnsi="Times New Roman" w:cs="Times New Roman"/>
          <w:sz w:val="16"/>
          <w:szCs w:val="16"/>
        </w:rPr>
        <w:footnoteRef/>
      </w:r>
      <w:r w:rsidRPr="00875768">
        <w:rPr>
          <w:rFonts w:ascii="Times New Roman" w:hAnsi="Times New Roman" w:cs="Times New Roman"/>
          <w:sz w:val="16"/>
          <w:szCs w:val="16"/>
        </w:rPr>
        <w:t xml:space="preserve"> </w:t>
      </w:r>
      <w:r w:rsidRPr="00C73D15">
        <w:rPr>
          <w:rFonts w:ascii="Times New Roman" w:eastAsia="Times New Roman" w:hAnsi="Times New Roman" w:cs="Times New Roman"/>
          <w:i/>
          <w:sz w:val="16"/>
          <w:szCs w:val="16"/>
        </w:rPr>
        <w:t xml:space="preserve">See </w:t>
      </w:r>
      <w:r w:rsidRPr="00C73D15">
        <w:rPr>
          <w:rFonts w:ascii="Times New Roman" w:eastAsia="Times New Roman" w:hAnsi="Times New Roman" w:cs="Times New Roman"/>
          <w:sz w:val="16"/>
          <w:szCs w:val="16"/>
        </w:rPr>
        <w:t xml:space="preserve">BADIL Resource Center for Palestinian Refugees and Residency Rights, </w:t>
      </w:r>
      <w:r>
        <w:rPr>
          <w:rFonts w:ascii="Times New Roman" w:eastAsia="Times New Roman" w:hAnsi="Times New Roman" w:cs="Times New Roman"/>
          <w:i/>
          <w:sz w:val="16"/>
          <w:szCs w:val="16"/>
        </w:rPr>
        <w:t xml:space="preserve">Coercive Environments: Israel’s Forcible Transfer of Palestinians in the Occupied Territory, </w:t>
      </w:r>
      <w:r>
        <w:rPr>
          <w:rFonts w:ascii="Times New Roman" w:eastAsia="Times New Roman" w:hAnsi="Times New Roman" w:cs="Times New Roman"/>
          <w:iCs/>
          <w:sz w:val="16"/>
          <w:szCs w:val="16"/>
        </w:rPr>
        <w:t xml:space="preserve">in focus </w:t>
      </w:r>
      <w:r w:rsidRPr="00C73D15">
        <w:rPr>
          <w:rFonts w:ascii="Times New Roman" w:eastAsia="Times New Roman" w:hAnsi="Times New Roman" w:cs="Times New Roman"/>
          <w:sz w:val="16"/>
          <w:szCs w:val="16"/>
        </w:rPr>
        <w:t>(Bethlehem: BADIL, 201</w:t>
      </w:r>
      <w:r>
        <w:rPr>
          <w:rFonts w:ascii="Times New Roman" w:eastAsia="Times New Roman" w:hAnsi="Times New Roman" w:cs="Times New Roman"/>
          <w:sz w:val="16"/>
          <w:szCs w:val="16"/>
        </w:rPr>
        <w:t>7</w:t>
      </w:r>
      <w:r w:rsidRPr="00C73D15">
        <w:rPr>
          <w:rFonts w:ascii="Times New Roman" w:eastAsia="Times New Roman" w:hAnsi="Times New Roman" w:cs="Times New Roman"/>
          <w:sz w:val="16"/>
          <w:szCs w:val="16"/>
        </w:rPr>
        <w:t xml:space="preserve">), available at: </w:t>
      </w:r>
      <w:hyperlink r:id="rId3" w:history="1">
        <w:r w:rsidRPr="00780187">
          <w:rPr>
            <w:rStyle w:val="Hyperlink"/>
            <w:rFonts w:ascii="Times New Roman" w:eastAsia="Times New Roman" w:hAnsi="Times New Roman" w:cs="Times New Roman"/>
            <w:sz w:val="16"/>
            <w:szCs w:val="16"/>
          </w:rPr>
          <w:t>https://badil.org/phocadownloadpap/badil-new/publications/research/working-papers/FT-Coercive-Environments.pdf</w:t>
        </w:r>
      </w:hyperlink>
      <w:r>
        <w:rPr>
          <w:rFonts w:ascii="Times New Roman" w:eastAsia="Times New Roman" w:hAnsi="Times New Roman" w:cs="Times New Roman"/>
          <w:sz w:val="16"/>
          <w:szCs w:val="16"/>
        </w:rPr>
        <w:t xml:space="preserve"> </w:t>
      </w:r>
    </w:p>
  </w:footnote>
  <w:footnote w:id="4">
    <w:p w14:paraId="0000008E" w14:textId="77777777" w:rsidR="00FD6B33" w:rsidRPr="00C73D15" w:rsidRDefault="00F61821">
      <w:pPr>
        <w:spacing w:line="240" w:lineRule="auto"/>
        <w:rPr>
          <w:rFonts w:ascii="Times New Roman" w:eastAsia="Times New Roman" w:hAnsi="Times New Roman" w:cs="Times New Roman"/>
          <w:sz w:val="16"/>
          <w:szCs w:val="16"/>
        </w:rPr>
      </w:pPr>
      <w:r w:rsidRPr="00C73D15">
        <w:rPr>
          <w:rFonts w:ascii="Times New Roman" w:hAnsi="Times New Roman" w:cs="Times New Roman"/>
          <w:sz w:val="16"/>
          <w:szCs w:val="16"/>
          <w:vertAlign w:val="superscript"/>
        </w:rPr>
        <w:footnoteRef/>
      </w:r>
      <w:r w:rsidRPr="00C73D15">
        <w:rPr>
          <w:rFonts w:ascii="Times New Roman" w:eastAsia="Times New Roman" w:hAnsi="Times New Roman" w:cs="Times New Roman"/>
          <w:sz w:val="16"/>
          <w:szCs w:val="16"/>
        </w:rPr>
        <w:t xml:space="preserve"> </w:t>
      </w:r>
      <w:r w:rsidRPr="00C73D15">
        <w:rPr>
          <w:rFonts w:ascii="Times New Roman" w:eastAsia="Times New Roman" w:hAnsi="Times New Roman" w:cs="Times New Roman"/>
          <w:i/>
          <w:sz w:val="16"/>
          <w:szCs w:val="16"/>
        </w:rPr>
        <w:t xml:space="preserve">See </w:t>
      </w:r>
      <w:r w:rsidRPr="00C73D15">
        <w:rPr>
          <w:rFonts w:ascii="Times New Roman" w:eastAsia="Times New Roman" w:hAnsi="Times New Roman" w:cs="Times New Roman"/>
          <w:sz w:val="16"/>
          <w:szCs w:val="16"/>
        </w:rPr>
        <w:t xml:space="preserve">BADIL Resource Center for Palestinian Refugees and Residency Rights, </w:t>
      </w:r>
      <w:r w:rsidRPr="00C73D15">
        <w:rPr>
          <w:rFonts w:ascii="Times New Roman" w:eastAsia="Times New Roman" w:hAnsi="Times New Roman" w:cs="Times New Roman"/>
          <w:i/>
          <w:sz w:val="16"/>
          <w:szCs w:val="16"/>
        </w:rPr>
        <w:t xml:space="preserve">Forced Population Transfer: Denial of Access to Natural Resources and Services, </w:t>
      </w:r>
      <w:r w:rsidRPr="00C73D15">
        <w:rPr>
          <w:rFonts w:ascii="Times New Roman" w:eastAsia="Times New Roman" w:hAnsi="Times New Roman" w:cs="Times New Roman"/>
          <w:sz w:val="16"/>
          <w:szCs w:val="16"/>
        </w:rPr>
        <w:t xml:space="preserve">working paper no. 20 (Bethlehem: BADIL, 2017), available at: </w:t>
      </w:r>
      <w:hyperlink r:id="rId4">
        <w:r w:rsidRPr="00C73D15">
          <w:rPr>
            <w:rFonts w:ascii="Times New Roman" w:eastAsia="Times New Roman" w:hAnsi="Times New Roman" w:cs="Times New Roman"/>
            <w:color w:val="1155CC"/>
            <w:sz w:val="16"/>
            <w:szCs w:val="16"/>
            <w:u w:val="single"/>
          </w:rPr>
          <w:t>wp20-DANRS.pdf</w:t>
        </w:r>
      </w:hyperlink>
      <w:r w:rsidRPr="00C73D15">
        <w:rPr>
          <w:rFonts w:ascii="Times New Roman" w:eastAsia="Times New Roman" w:hAnsi="Times New Roman" w:cs="Times New Roman"/>
          <w:sz w:val="16"/>
          <w:szCs w:val="16"/>
        </w:rPr>
        <w:t xml:space="preserve"> </w:t>
      </w:r>
    </w:p>
  </w:footnote>
  <w:footnote w:id="5">
    <w:p w14:paraId="0000008F" w14:textId="77777777" w:rsidR="00FD6B33" w:rsidRPr="00C73D15" w:rsidRDefault="00F61821">
      <w:pPr>
        <w:spacing w:line="240" w:lineRule="auto"/>
        <w:rPr>
          <w:rFonts w:ascii="Times New Roman" w:eastAsia="Times New Roman" w:hAnsi="Times New Roman" w:cs="Times New Roman"/>
          <w:sz w:val="16"/>
          <w:szCs w:val="16"/>
        </w:rPr>
      </w:pPr>
      <w:r w:rsidRPr="00C73D15">
        <w:rPr>
          <w:rFonts w:ascii="Times New Roman" w:hAnsi="Times New Roman" w:cs="Times New Roman"/>
          <w:sz w:val="16"/>
          <w:szCs w:val="16"/>
          <w:vertAlign w:val="superscript"/>
        </w:rPr>
        <w:footnoteRef/>
      </w:r>
      <w:r w:rsidRPr="00C73D15">
        <w:rPr>
          <w:rFonts w:ascii="Times New Roman" w:eastAsia="Times New Roman" w:hAnsi="Times New Roman" w:cs="Times New Roman"/>
          <w:sz w:val="16"/>
          <w:szCs w:val="16"/>
        </w:rPr>
        <w:t xml:space="preserve">  </w:t>
      </w:r>
      <w:r w:rsidRPr="00C73D15">
        <w:rPr>
          <w:rFonts w:ascii="Times New Roman" w:eastAsia="Times New Roman" w:hAnsi="Times New Roman" w:cs="Times New Roman"/>
          <w:i/>
          <w:sz w:val="16"/>
          <w:szCs w:val="16"/>
        </w:rPr>
        <w:t xml:space="preserve">See </w:t>
      </w:r>
      <w:r w:rsidRPr="00C73D15">
        <w:rPr>
          <w:rFonts w:ascii="Times New Roman" w:eastAsia="Times New Roman" w:hAnsi="Times New Roman" w:cs="Times New Roman"/>
          <w:sz w:val="16"/>
          <w:szCs w:val="16"/>
        </w:rPr>
        <w:t xml:space="preserve">BADIL Resource Center for Palestinian Refugees and Residency Rights, </w:t>
      </w:r>
      <w:r w:rsidRPr="00C73D15">
        <w:rPr>
          <w:rFonts w:ascii="Times New Roman" w:eastAsia="Times New Roman" w:hAnsi="Times New Roman" w:cs="Times New Roman"/>
          <w:i/>
          <w:sz w:val="16"/>
          <w:szCs w:val="16"/>
        </w:rPr>
        <w:t xml:space="preserve">Forced Population Transfer: Discriminatory Zoning and Planning, </w:t>
      </w:r>
      <w:r w:rsidRPr="00C73D15">
        <w:rPr>
          <w:rFonts w:ascii="Times New Roman" w:eastAsia="Times New Roman" w:hAnsi="Times New Roman" w:cs="Times New Roman"/>
          <w:sz w:val="16"/>
          <w:szCs w:val="16"/>
        </w:rPr>
        <w:t xml:space="preserve">working paper no. 17 (Bethlehem: BADIL, 2014), available at: </w:t>
      </w:r>
      <w:hyperlink r:id="rId5">
        <w:r w:rsidRPr="00C73D15">
          <w:rPr>
            <w:rFonts w:ascii="Times New Roman" w:eastAsia="Times New Roman" w:hAnsi="Times New Roman" w:cs="Times New Roman"/>
            <w:color w:val="1155CC"/>
            <w:sz w:val="16"/>
            <w:szCs w:val="16"/>
            <w:u w:val="single"/>
          </w:rPr>
          <w:t>wp17-zoninig-plannig-en.pdf</w:t>
        </w:r>
      </w:hyperlink>
      <w:r w:rsidRPr="00C73D15">
        <w:rPr>
          <w:rFonts w:ascii="Times New Roman" w:eastAsia="Times New Roman" w:hAnsi="Times New Roman" w:cs="Times New Roman"/>
          <w:sz w:val="16"/>
          <w:szCs w:val="16"/>
        </w:rPr>
        <w:t xml:space="preserve"> </w:t>
      </w:r>
    </w:p>
    <w:p w14:paraId="00000090" w14:textId="77777777" w:rsidR="00FD6B33" w:rsidRPr="00C73D15" w:rsidRDefault="00FD6B33">
      <w:pPr>
        <w:spacing w:line="240" w:lineRule="auto"/>
        <w:rPr>
          <w:rFonts w:ascii="Times New Roman" w:eastAsia="Times New Roman" w:hAnsi="Times New Roman" w:cs="Times New Roman"/>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D2CEF"/>
    <w:multiLevelType w:val="multilevel"/>
    <w:tmpl w:val="22D0C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3911F2"/>
    <w:multiLevelType w:val="multilevel"/>
    <w:tmpl w:val="35321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33"/>
    <w:rsid w:val="00243CC3"/>
    <w:rsid w:val="002600B3"/>
    <w:rsid w:val="00284BC9"/>
    <w:rsid w:val="003044A2"/>
    <w:rsid w:val="003858B4"/>
    <w:rsid w:val="00416387"/>
    <w:rsid w:val="00430F7A"/>
    <w:rsid w:val="00556B48"/>
    <w:rsid w:val="005B47B2"/>
    <w:rsid w:val="006B1081"/>
    <w:rsid w:val="00751383"/>
    <w:rsid w:val="00875768"/>
    <w:rsid w:val="0095404C"/>
    <w:rsid w:val="00AC44EF"/>
    <w:rsid w:val="00B10CEF"/>
    <w:rsid w:val="00C649E8"/>
    <w:rsid w:val="00C73D15"/>
    <w:rsid w:val="00D9789B"/>
    <w:rsid w:val="00DA0F40"/>
    <w:rsid w:val="00F325CF"/>
    <w:rsid w:val="00F36EF1"/>
    <w:rsid w:val="00F61821"/>
    <w:rsid w:val="00F8281A"/>
    <w:rsid w:val="00FD6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6007D3"/>
  <w15:docId w15:val="{CB12AC6E-4F8B-604C-9558-303A6A12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30F7A"/>
    <w:pPr>
      <w:tabs>
        <w:tab w:val="center" w:pos="4680"/>
        <w:tab w:val="right" w:pos="9360"/>
      </w:tabs>
      <w:spacing w:line="240" w:lineRule="auto"/>
    </w:pPr>
  </w:style>
  <w:style w:type="character" w:customStyle="1" w:styleId="HeaderChar">
    <w:name w:val="Header Char"/>
    <w:basedOn w:val="DefaultParagraphFont"/>
    <w:link w:val="Header"/>
    <w:uiPriority w:val="99"/>
    <w:rsid w:val="00430F7A"/>
  </w:style>
  <w:style w:type="paragraph" w:styleId="Footer">
    <w:name w:val="footer"/>
    <w:basedOn w:val="Normal"/>
    <w:link w:val="FooterChar"/>
    <w:uiPriority w:val="99"/>
    <w:unhideWhenUsed/>
    <w:rsid w:val="00430F7A"/>
    <w:pPr>
      <w:tabs>
        <w:tab w:val="center" w:pos="4680"/>
        <w:tab w:val="right" w:pos="9360"/>
      </w:tabs>
      <w:spacing w:line="240" w:lineRule="auto"/>
    </w:pPr>
  </w:style>
  <w:style w:type="character" w:customStyle="1" w:styleId="FooterChar">
    <w:name w:val="Footer Char"/>
    <w:basedOn w:val="DefaultParagraphFont"/>
    <w:link w:val="Footer"/>
    <w:uiPriority w:val="99"/>
    <w:rsid w:val="00430F7A"/>
  </w:style>
  <w:style w:type="paragraph" w:styleId="CommentSubject">
    <w:name w:val="annotation subject"/>
    <w:basedOn w:val="CommentText"/>
    <w:next w:val="CommentText"/>
    <w:link w:val="CommentSubjectChar"/>
    <w:uiPriority w:val="99"/>
    <w:semiHidden/>
    <w:unhideWhenUsed/>
    <w:rsid w:val="00D9789B"/>
    <w:rPr>
      <w:b/>
      <w:bCs/>
    </w:rPr>
  </w:style>
  <w:style w:type="character" w:customStyle="1" w:styleId="CommentSubjectChar">
    <w:name w:val="Comment Subject Char"/>
    <w:basedOn w:val="CommentTextChar"/>
    <w:link w:val="CommentSubject"/>
    <w:uiPriority w:val="99"/>
    <w:semiHidden/>
    <w:rsid w:val="00D9789B"/>
    <w:rPr>
      <w:b/>
      <w:bCs/>
      <w:sz w:val="20"/>
      <w:szCs w:val="20"/>
    </w:rPr>
  </w:style>
  <w:style w:type="paragraph" w:styleId="BalloonText">
    <w:name w:val="Balloon Text"/>
    <w:basedOn w:val="Normal"/>
    <w:link w:val="BalloonTextChar"/>
    <w:uiPriority w:val="99"/>
    <w:semiHidden/>
    <w:unhideWhenUsed/>
    <w:rsid w:val="00D9789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789B"/>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F36EF1"/>
    <w:pPr>
      <w:spacing w:line="240" w:lineRule="auto"/>
    </w:pPr>
    <w:rPr>
      <w:sz w:val="20"/>
      <w:szCs w:val="20"/>
    </w:rPr>
  </w:style>
  <w:style w:type="character" w:customStyle="1" w:styleId="FootnoteTextChar">
    <w:name w:val="Footnote Text Char"/>
    <w:basedOn w:val="DefaultParagraphFont"/>
    <w:link w:val="FootnoteText"/>
    <w:uiPriority w:val="99"/>
    <w:semiHidden/>
    <w:rsid w:val="00F36EF1"/>
    <w:rPr>
      <w:sz w:val="20"/>
      <w:szCs w:val="20"/>
    </w:rPr>
  </w:style>
  <w:style w:type="character" w:styleId="FootnoteReference">
    <w:name w:val="footnote reference"/>
    <w:basedOn w:val="DefaultParagraphFont"/>
    <w:uiPriority w:val="99"/>
    <w:semiHidden/>
    <w:unhideWhenUsed/>
    <w:rsid w:val="00F36EF1"/>
    <w:rPr>
      <w:vertAlign w:val="superscript"/>
    </w:rPr>
  </w:style>
  <w:style w:type="character" w:styleId="Hyperlink">
    <w:name w:val="Hyperlink"/>
    <w:basedOn w:val="DefaultParagraphFont"/>
    <w:uiPriority w:val="99"/>
    <w:unhideWhenUsed/>
    <w:rsid w:val="00F36EF1"/>
    <w:rPr>
      <w:color w:val="0000FF" w:themeColor="hyperlink"/>
      <w:u w:val="single"/>
    </w:rPr>
  </w:style>
  <w:style w:type="character" w:customStyle="1" w:styleId="UnresolvedMention1">
    <w:name w:val="Unresolved Mention1"/>
    <w:basedOn w:val="DefaultParagraphFont"/>
    <w:uiPriority w:val="99"/>
    <w:semiHidden/>
    <w:unhideWhenUsed/>
    <w:rsid w:val="00F36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badil.org/phocadownloadpap/badil-new/publications/research/working-papers/FT-Coercive-Environments.pdf" TargetMode="External"/><Relationship Id="rId2" Type="http://schemas.openxmlformats.org/officeDocument/2006/relationships/hyperlink" Target="https://www.badil.org/phocadownloadpap/badil-new/publications/research/working-papers/WP22-Reparations-of-Reparations.pdf" TargetMode="External"/><Relationship Id="rId1" Type="http://schemas.openxmlformats.org/officeDocument/2006/relationships/hyperlink" Target="https://www.badil.org/phocadownloadpap/badil-new/publications/research/working-papers/wp21-LC.pdf" TargetMode="External"/><Relationship Id="rId5" Type="http://schemas.openxmlformats.org/officeDocument/2006/relationships/hyperlink" Target="https://www.badil.org/phocadownloadpap/badil-new/publications/research/working-papers/wp17-zoninig-plannig-en.pdf" TargetMode="External"/><Relationship Id="rId4" Type="http://schemas.openxmlformats.org/officeDocument/2006/relationships/hyperlink" Target="https://www.badil.org/phocadownloadpap/badil-new/publications/research/working-papers/wp20-DAN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A5E7E8-6FB0-4D57-B5EB-EC339C0F9E49}"/>
</file>

<file path=customXml/itemProps2.xml><?xml version="1.0" encoding="utf-8"?>
<ds:datastoreItem xmlns:ds="http://schemas.openxmlformats.org/officeDocument/2006/customXml" ds:itemID="{3B97D740-FB6F-45D3-8406-C2F98CBA3765}"/>
</file>

<file path=customXml/itemProps3.xml><?xml version="1.0" encoding="utf-8"?>
<ds:datastoreItem xmlns:ds="http://schemas.openxmlformats.org/officeDocument/2006/customXml" ds:itemID="{D916F0DC-9FB6-4E0E-887B-A281045D2375}"/>
</file>

<file path=docProps/app.xml><?xml version="1.0" encoding="utf-8"?>
<Properties xmlns="http://schemas.openxmlformats.org/officeDocument/2006/extended-properties" xmlns:vt="http://schemas.openxmlformats.org/officeDocument/2006/docPropsVTypes">
  <Template>Normal.dotm</Template>
  <TotalTime>1</TotalTime>
  <Pages>3</Pages>
  <Words>1380</Words>
  <Characters>7868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THEISSEN Gunnar</cp:lastModifiedBy>
  <cp:revision>2</cp:revision>
  <dcterms:created xsi:type="dcterms:W3CDTF">2021-05-14T11:46:00Z</dcterms:created>
  <dcterms:modified xsi:type="dcterms:W3CDTF">2021-05-14T11:46:00Z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