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E84" w:rsidRPr="00E5363E" w:rsidRDefault="001C3E84" w:rsidP="001C3E84">
      <w:pPr>
        <w:pStyle w:val="NormalWeb"/>
        <w:spacing w:before="0" w:beforeAutospacing="0" w:after="0" w:afterAutospacing="0"/>
        <w:jc w:val="left"/>
        <w:rPr>
          <w:rFonts w:ascii="Weissenhof Grotesk" w:hAnsi="Weissenhof Grotesk" w:cs="Arial"/>
          <w:spacing w:val="40"/>
          <w:sz w:val="20"/>
          <w:szCs w:val="22"/>
        </w:rPr>
      </w:pPr>
      <w:bookmarkStart w:id="0" w:name="_GoBack"/>
      <w:bookmarkEnd w:id="0"/>
      <w:r w:rsidRPr="00E5363E">
        <w:rPr>
          <w:rFonts w:ascii="Weissenhof Grotesk Md" w:hAnsi="Weissenhof Grotesk Md" w:cs="Arial"/>
          <w:spacing w:val="40"/>
          <w:sz w:val="20"/>
          <w:szCs w:val="22"/>
        </w:rPr>
        <w:t xml:space="preserve">DPEAD/ </w:t>
      </w:r>
      <w:r>
        <w:rPr>
          <w:rFonts w:ascii="Weissenhof Grotesk Md" w:hAnsi="Weissenhof Grotesk Md" w:cs="Arial"/>
          <w:spacing w:val="40"/>
          <w:sz w:val="20"/>
          <w:szCs w:val="22"/>
        </w:rPr>
        <w:t>Pôle LAO</w:t>
      </w:r>
      <w:r w:rsidRPr="00E5363E">
        <w:rPr>
          <w:rFonts w:ascii="WeissenhofGrotesk-Light" w:hAnsi="WeissenhofGrotesk-Light" w:cs="WeissenhofGrotesk-Light"/>
          <w:color w:val="000000"/>
          <w:sz w:val="20"/>
          <w:szCs w:val="22"/>
        </w:rPr>
        <w:br/>
      </w:r>
      <w:r>
        <w:rPr>
          <w:rFonts w:ascii="Weissenhof Grotesk" w:hAnsi="Weissenhof Grotesk" w:cs="Arial"/>
          <w:spacing w:val="40"/>
          <w:sz w:val="20"/>
          <w:szCs w:val="22"/>
        </w:rPr>
        <w:t>B. ROBERT de MASSY</w:t>
      </w:r>
      <w:r w:rsidRPr="00E5363E">
        <w:rPr>
          <w:rFonts w:ascii="Weissenhof Grotesk" w:hAnsi="Weissenhof Grotesk" w:cs="Arial"/>
          <w:spacing w:val="40"/>
          <w:sz w:val="20"/>
          <w:szCs w:val="22"/>
        </w:rPr>
        <w:t xml:space="preserve"> </w:t>
      </w:r>
    </w:p>
    <w:p w:rsidR="001C3E84" w:rsidRDefault="001C3E84" w:rsidP="001C3E84">
      <w:pPr>
        <w:pStyle w:val="NormalWeb"/>
        <w:tabs>
          <w:tab w:val="right" w:pos="9072"/>
        </w:tabs>
        <w:spacing w:before="0" w:beforeAutospacing="0" w:after="0" w:afterAutospacing="0"/>
        <w:rPr>
          <w:rFonts w:ascii="Weissenhof Grotesk" w:hAnsi="Weissenhof Grotesk" w:cs="Arial"/>
          <w:spacing w:val="40"/>
          <w:sz w:val="20"/>
          <w:szCs w:val="22"/>
        </w:rPr>
      </w:pPr>
      <w:r>
        <w:rPr>
          <w:rFonts w:ascii="Weissenhof Grotesk" w:hAnsi="Weissenhof Grotesk" w:cs="Arial"/>
          <w:spacing w:val="40"/>
          <w:sz w:val="20"/>
          <w:szCs w:val="22"/>
        </w:rPr>
        <w:t>Chargée de mission Logement</w:t>
      </w:r>
      <w:r>
        <w:rPr>
          <w:rFonts w:ascii="Weissenhof Grotesk" w:hAnsi="Weissenhof Grotesk" w:cs="Arial"/>
          <w:spacing w:val="40"/>
          <w:sz w:val="20"/>
          <w:szCs w:val="22"/>
        </w:rPr>
        <w:tab/>
        <w:t>Le 1</w:t>
      </w:r>
      <w:r w:rsidR="00D021FA">
        <w:rPr>
          <w:rFonts w:ascii="Weissenhof Grotesk" w:hAnsi="Weissenhof Grotesk" w:cs="Arial"/>
          <w:spacing w:val="40"/>
          <w:sz w:val="20"/>
          <w:szCs w:val="22"/>
        </w:rPr>
        <w:t xml:space="preserve">1 </w:t>
      </w:r>
      <w:r>
        <w:rPr>
          <w:rFonts w:ascii="Weissenhof Grotesk" w:hAnsi="Weissenhof Grotesk" w:cs="Arial"/>
          <w:spacing w:val="40"/>
          <w:sz w:val="20"/>
          <w:szCs w:val="22"/>
        </w:rPr>
        <w:t>mai 2021</w:t>
      </w:r>
    </w:p>
    <w:p w:rsidR="001C3E84" w:rsidRPr="001C3E84" w:rsidRDefault="001C3E84" w:rsidP="001C3E84">
      <w:pPr>
        <w:pStyle w:val="NormalWeb"/>
        <w:tabs>
          <w:tab w:val="right" w:pos="9072"/>
        </w:tabs>
        <w:spacing w:before="0" w:beforeAutospacing="0" w:after="0" w:afterAutospacing="0"/>
        <w:rPr>
          <w:rFonts w:ascii="Weissenhof Grotesk" w:hAnsi="Weissenhof Grotesk" w:cs="Arial"/>
          <w:spacing w:val="40"/>
          <w:sz w:val="20"/>
          <w:szCs w:val="22"/>
        </w:rPr>
      </w:pPr>
    </w:p>
    <w:p w:rsidR="00D021FA" w:rsidRDefault="00D021FA" w:rsidP="0004233F">
      <w:pPr>
        <w:pStyle w:val="Heading1"/>
      </w:pPr>
      <w:r>
        <w:t xml:space="preserve">Contribution du défenseur des droits au questionnaire du rapporteur spécial de l’ONU sur le droit à un logement convenable sur les discriminations et la ségrégation dans le logement </w:t>
      </w:r>
    </w:p>
    <w:p w:rsidR="006466CE" w:rsidRDefault="006466CE" w:rsidP="0071645A"/>
    <w:p w:rsidR="00B74ABB" w:rsidRPr="0004233F" w:rsidRDefault="0004233F" w:rsidP="0004233F">
      <w:pPr>
        <w:pStyle w:val="Heading2"/>
      </w:pPr>
      <w:r>
        <w:t>I</w:t>
      </w:r>
      <w:r w:rsidRPr="0004233F">
        <w:t>ntroduction : panorama g</w:t>
      </w:r>
      <w:r>
        <w:t>é</w:t>
      </w:r>
      <w:r w:rsidRPr="0004233F">
        <w:t>n</w:t>
      </w:r>
      <w:r>
        <w:t>é</w:t>
      </w:r>
      <w:r w:rsidRPr="0004233F">
        <w:t>ral des discriminations dans le logement et des probl</w:t>
      </w:r>
      <w:r>
        <w:t>é</w:t>
      </w:r>
      <w:r w:rsidRPr="0004233F">
        <w:t>matiques de s</w:t>
      </w:r>
      <w:r>
        <w:t>é</w:t>
      </w:r>
      <w:r w:rsidRPr="0004233F">
        <w:t>gr</w:t>
      </w:r>
      <w:r>
        <w:t>é</w:t>
      </w:r>
      <w:r w:rsidRPr="0004233F">
        <w:t xml:space="preserve">gation </w:t>
      </w:r>
      <w:r>
        <w:t>en F</w:t>
      </w:r>
      <w:r w:rsidRPr="0004233F">
        <w:t>rance</w:t>
      </w:r>
    </w:p>
    <w:p w:rsidR="00BD3068" w:rsidRPr="00E82E51" w:rsidRDefault="00C94D68" w:rsidP="00BD3068">
      <w:pPr>
        <w:pStyle w:val="ListParagraph"/>
        <w:ind w:left="0"/>
        <w:rPr>
          <w:rFonts w:ascii="Weissenhof Grotesk" w:hAnsi="Weissenhof Grotesk" w:cs="Arial"/>
        </w:rPr>
      </w:pPr>
      <w:r>
        <w:t xml:space="preserve">En France, </w:t>
      </w:r>
      <w:r w:rsidR="0004233F">
        <w:t xml:space="preserve">les catégories de populations exposées à des discriminations dans le logement sont </w:t>
      </w:r>
      <w:r w:rsidR="00BD3068" w:rsidRPr="00E82E51">
        <w:rPr>
          <w:rFonts w:ascii="Weissenhof Grotesk" w:hAnsi="Weissenhof Grotesk" w:cs="Arial"/>
        </w:rPr>
        <w:t xml:space="preserve">En 2020, parmi les </w:t>
      </w:r>
      <w:r w:rsidR="00BD3068" w:rsidRPr="00BD3068">
        <w:rPr>
          <w:rStyle w:val="Emphasis"/>
          <w:rFonts w:cs="Arial"/>
        </w:rPr>
        <w:t>6 350 réclamations relatives à des discriminations dont le Défenseur des droits a été saisi,</w:t>
      </w:r>
      <w:r w:rsidR="00BD3068" w:rsidRPr="00BD3068">
        <w:rPr>
          <w:rFonts w:ascii="Weissenhof Grotesk" w:hAnsi="Weissenhof Grotesk" w:cs="Arial"/>
        </w:rPr>
        <w:t xml:space="preserve"> 347 concernent le logement, soit 5,4%, </w:t>
      </w:r>
      <w:r w:rsidR="00BD3068" w:rsidRPr="00E82E51">
        <w:rPr>
          <w:rFonts w:ascii="Weissenhof Grotesk" w:hAnsi="Weissenhof Grotesk" w:cs="Arial"/>
        </w:rPr>
        <w:t>réparties entre 165 (47,6%) sur le logement privé, 103 (32,6%) sur le logement social, et 69 (19,6%) sur d’autres formes de logement.</w:t>
      </w:r>
    </w:p>
    <w:p w:rsidR="00BD3068" w:rsidRPr="00E82E51" w:rsidRDefault="00BD3068" w:rsidP="00BD3068">
      <w:pPr>
        <w:pStyle w:val="ListParagraph"/>
        <w:ind w:left="0"/>
        <w:rPr>
          <w:rFonts w:ascii="Weissenhof Grotesk" w:hAnsi="Weissenhof Grotesk" w:cs="Arial"/>
        </w:rPr>
      </w:pPr>
      <w:r w:rsidRPr="00E82E51">
        <w:rPr>
          <w:rFonts w:ascii="Weissenhof Grotesk" w:hAnsi="Weissenhof Grotesk" w:cs="Arial"/>
        </w:rPr>
        <w:t>Les motifs se rapportant à l’origine (y compris la nationalité et le patronyme) sont les premiers cités (25%), suivis du handicap et de l’état de santé (20,5%), de la particulière vulnérabilité économique (12,1%), de la situation familiale (6,3%), de l’âge (6,3% également) et du lieu de résidence (3,5%).</w:t>
      </w:r>
    </w:p>
    <w:p w:rsidR="002121A8" w:rsidRDefault="00BD3068" w:rsidP="00BD3068">
      <w:pPr>
        <w:pStyle w:val="ListParagraph"/>
        <w:ind w:left="0"/>
        <w:rPr>
          <w:rFonts w:ascii="Weissenhof Grotesk" w:hAnsi="Weissenhof Grotesk" w:cs="Arial"/>
        </w:rPr>
      </w:pPr>
      <w:r w:rsidRPr="00E82E51">
        <w:rPr>
          <w:rFonts w:ascii="Weissenhof Grotesk" w:hAnsi="Weissenhof Grotesk" w:cs="Arial"/>
        </w:rPr>
        <w:t>Cette répartition s’inscrit dans la continuité des données observées de longue date en matière de discriminations sur le logement. Celles-ci représentent chaque année depuis 15 ans entre 5 et 7% de l’ensemble des saisines relatives aux discriminations</w:t>
      </w:r>
      <w:r w:rsidR="002121A8">
        <w:rPr>
          <w:rFonts w:ascii="Weissenhof Grotesk" w:hAnsi="Weissenhof Grotesk" w:cs="Arial"/>
        </w:rPr>
        <w:t>.</w:t>
      </w:r>
    </w:p>
    <w:p w:rsidR="00BD3068" w:rsidRPr="00E82E51" w:rsidRDefault="002121A8" w:rsidP="00BD3068">
      <w:pPr>
        <w:pStyle w:val="ListParagraph"/>
        <w:ind w:left="0"/>
        <w:rPr>
          <w:rFonts w:ascii="Weissenhof Grotesk" w:hAnsi="Weissenhof Grotesk" w:cs="Arial"/>
        </w:rPr>
      </w:pPr>
      <w:r>
        <w:rPr>
          <w:rFonts w:ascii="Weissenhof Grotesk" w:hAnsi="Weissenhof Grotesk" w:cs="Arial"/>
        </w:rPr>
        <w:t xml:space="preserve">Ces données ne </w:t>
      </w:r>
      <w:r w:rsidR="00BD3068">
        <w:rPr>
          <w:rFonts w:ascii="Weissenhof Grotesk" w:hAnsi="Weissenhof Grotesk" w:cs="Arial"/>
        </w:rPr>
        <w:t>rend</w:t>
      </w:r>
      <w:r>
        <w:rPr>
          <w:rFonts w:ascii="Weissenhof Grotesk" w:hAnsi="Weissenhof Grotesk" w:cs="Arial"/>
        </w:rPr>
        <w:t>ant</w:t>
      </w:r>
      <w:r w:rsidR="00BD3068">
        <w:rPr>
          <w:rFonts w:ascii="Weissenhof Grotesk" w:hAnsi="Weissenhof Grotesk" w:cs="Arial"/>
        </w:rPr>
        <w:t xml:space="preserve"> évidemment pas compte de la réalité dans son ampleur des discriminations dans ce domaine</w:t>
      </w:r>
      <w:r>
        <w:rPr>
          <w:rFonts w:ascii="Weissenhof Grotesk" w:hAnsi="Weissenhof Grotesk" w:cs="Arial"/>
        </w:rPr>
        <w:t xml:space="preserve">, en raison notamment d’un faible taux de recours en la matière, le Défenseur des droits est appelé à compléter cette source d’information par des études et </w:t>
      </w:r>
      <w:r>
        <w:rPr>
          <w:rFonts w:ascii="Weissenhof Grotesk" w:hAnsi="Weissenhof Grotesk" w:cs="Arial"/>
        </w:rPr>
        <w:lastRenderedPageBreak/>
        <w:t xml:space="preserve">recherches pour mieux en mesurer la réalité et mieux comprendre la manière dont elles se produisent. </w:t>
      </w:r>
    </w:p>
    <w:p w:rsidR="0004233F" w:rsidRDefault="00BD3068" w:rsidP="0071645A">
      <w:r>
        <w:t>S</w:t>
      </w:r>
      <w:r w:rsidR="00202A28">
        <w:t xml:space="preserve">i </w:t>
      </w:r>
      <w:r w:rsidR="0004233F">
        <w:t>les réclamations dont le Défenseur des droits est saisi montrent une diversité de motifs</w:t>
      </w:r>
      <w:r w:rsidR="00202A28">
        <w:t>, les critères liés à l’origine (</w:t>
      </w:r>
      <w:r w:rsidR="00F76C5B">
        <w:t xml:space="preserve">origine réelle ou supposée, ethnie, race, nationalité, apparence physique) et la situation de handicap et état de santé </w:t>
      </w:r>
      <w:r w:rsidR="0004233F">
        <w:t>ressortent comme les plus fréquents</w:t>
      </w:r>
      <w:r w:rsidR="00F76C5B">
        <w:t xml:space="preserve">. Par ailleurs, </w:t>
      </w:r>
      <w:r w:rsidR="002121A8">
        <w:t>historiquement, les</w:t>
      </w:r>
      <w:r w:rsidR="00F76C5B">
        <w:t xml:space="preserve"> </w:t>
      </w:r>
      <w:r w:rsidR="002121A8">
        <w:t>situations de</w:t>
      </w:r>
      <w:r w:rsidR="00F76C5B">
        <w:t xml:space="preserve"> ségrégation et </w:t>
      </w:r>
      <w:r w:rsidR="002121A8">
        <w:t>de discriminations mises en lumière dans le logement apparaissent d’abord liées à l’origine</w:t>
      </w:r>
      <w:r w:rsidR="00F76C5B">
        <w:t xml:space="preserve">, </w:t>
      </w:r>
      <w:r w:rsidR="002121A8">
        <w:t xml:space="preserve">et concernent </w:t>
      </w:r>
      <w:r w:rsidR="00F76C5B">
        <w:t xml:space="preserve">en particulier </w:t>
      </w:r>
      <w:r w:rsidR="002121A8">
        <w:t>l</w:t>
      </w:r>
      <w:r w:rsidR="00F76C5B">
        <w:t>es</w:t>
      </w:r>
      <w:r w:rsidR="00C40F93">
        <w:t xml:space="preserve"> personnes d’origine maghrébine</w:t>
      </w:r>
      <w:r w:rsidR="00F76C5B">
        <w:t xml:space="preserve"> et d’Afrique subsaharienne. </w:t>
      </w:r>
    </w:p>
    <w:p w:rsidR="00202A28" w:rsidRDefault="00F76C5B" w:rsidP="0071645A">
      <w:r>
        <w:t xml:space="preserve">Plus récemment, des problématiques très vives en matière de discriminations et de ségrégation se sont développées en direction des Roms, des Gens du voyage et des migrants, </w:t>
      </w:r>
      <w:r w:rsidR="00B74ABB">
        <w:t>qui occupent principalement des campements et terrains informels</w:t>
      </w:r>
      <w:r w:rsidR="00BD3068">
        <w:t xml:space="preserve"> le plus souvent à la périphérie des villes et éloignés des services publics et privés</w:t>
      </w:r>
      <w:r w:rsidR="00B74ABB">
        <w:t xml:space="preserve">, </w:t>
      </w:r>
      <w:r w:rsidR="00BD3068">
        <w:t>et dont le niveau d’équipement déf</w:t>
      </w:r>
      <w:r w:rsidR="005E2DFA">
        <w:t>ectueux</w:t>
      </w:r>
      <w:r w:rsidR="00BD3068">
        <w:t xml:space="preserve"> les contraint à </w:t>
      </w:r>
      <w:r w:rsidR="00B74ABB">
        <w:t>des conditions d’habitat indigne</w:t>
      </w:r>
      <w:r w:rsidR="00BD3068">
        <w:t xml:space="preserve">. Ces populations </w:t>
      </w:r>
      <w:r w:rsidR="00B74ABB">
        <w:t xml:space="preserve">subissent </w:t>
      </w:r>
      <w:r w:rsidR="00BD3068">
        <w:t xml:space="preserve">en outre </w:t>
      </w:r>
      <w:r w:rsidR="00B74ABB">
        <w:t xml:space="preserve">régulièrement des expulsions forcées, parfois quotidiennement. </w:t>
      </w:r>
    </w:p>
    <w:p w:rsidR="00B74ABB" w:rsidRDefault="00B74ABB" w:rsidP="0071645A">
      <w:r>
        <w:t>S’agissant des personnes handicapées, des évolutions législatives récentes</w:t>
      </w:r>
      <w:r>
        <w:rPr>
          <w:rStyle w:val="FootnoteReference"/>
        </w:rPr>
        <w:footnoteReference w:id="1"/>
      </w:r>
      <w:r>
        <w:t xml:space="preserve"> ont remis en cause le principe de l’accessibilité universelle inscrit dans la Convention internationale des droits des personnes handicapées (CIDPH) dans les nouveaux logements construits, en créant un quota de 20% de logements accessibles, les autres devant seulement être évolutifs</w:t>
      </w:r>
      <w:r w:rsidR="00767D3B">
        <w:t xml:space="preserve"> devant leur permettre d’être mis en accessibilité grâce à  la réalisation de travaux simples.</w:t>
      </w:r>
    </w:p>
    <w:p w:rsidR="00F03A8F" w:rsidRDefault="00767D3B" w:rsidP="0071645A">
      <w:r>
        <w:t xml:space="preserve">Compte tenu de l’antériorité des problématiques de discriminations </w:t>
      </w:r>
      <w:r w:rsidR="005E2DFA">
        <w:t xml:space="preserve">et de ségrégation rencontrées </w:t>
      </w:r>
      <w:r>
        <w:t xml:space="preserve">dans </w:t>
      </w:r>
      <w:r w:rsidR="005E2DFA">
        <w:t>le</w:t>
      </w:r>
      <w:r>
        <w:t xml:space="preserve"> l</w:t>
      </w:r>
      <w:r w:rsidR="005E2DFA">
        <w:t>ogement social</w:t>
      </w:r>
      <w:r>
        <w:t xml:space="preserve">, </w:t>
      </w:r>
      <w:r w:rsidR="005E2DFA">
        <w:t xml:space="preserve">documentées par </w:t>
      </w:r>
      <w:r>
        <w:t xml:space="preserve">de nombreuses analyses sociologiques notamment, nous proposons de centrer </w:t>
      </w:r>
      <w:r w:rsidR="005E2DFA">
        <w:t xml:space="preserve">la contribution </w:t>
      </w:r>
      <w:r>
        <w:t>du Défenseur des droits</w:t>
      </w:r>
      <w:r w:rsidR="005E2DFA">
        <w:t xml:space="preserve"> à ce questionnaire</w:t>
      </w:r>
      <w:r>
        <w:t xml:space="preserve"> </w:t>
      </w:r>
      <w:r w:rsidR="005E2DFA">
        <w:t xml:space="preserve">sur ce champ particulier. Cette contribution s’appuie sur </w:t>
      </w:r>
      <w:r w:rsidR="00666A49">
        <w:t xml:space="preserve">une analyse visant à dresser un état des lieux des discriminations à l’œuvre dans l’accès au logement social réalisée </w:t>
      </w:r>
      <w:r w:rsidR="005E2DFA">
        <w:t xml:space="preserve">par ses services </w:t>
      </w:r>
      <w:r w:rsidR="00666A49">
        <w:t>en 2020</w:t>
      </w:r>
      <w:r w:rsidR="005E2DFA">
        <w:t>,</w:t>
      </w:r>
      <w:r w:rsidR="00666A49">
        <w:t xml:space="preserve"> </w:t>
      </w:r>
      <w:r w:rsidR="00666A49">
        <w:lastRenderedPageBreak/>
        <w:t xml:space="preserve">à </w:t>
      </w:r>
      <w:r w:rsidR="005E2DFA">
        <w:t>l’appui</w:t>
      </w:r>
      <w:r w:rsidR="00666A49">
        <w:t xml:space="preserve"> notamment </w:t>
      </w:r>
      <w:r w:rsidR="005E2DFA">
        <w:t>des analyses existantes</w:t>
      </w:r>
      <w:r w:rsidR="00927FB4">
        <w:t xml:space="preserve">, </w:t>
      </w:r>
      <w:r w:rsidR="00C821CE">
        <w:t xml:space="preserve">mais aussi </w:t>
      </w:r>
      <w:r w:rsidR="00666A49">
        <w:t>d</w:t>
      </w:r>
      <w:r w:rsidR="00C821CE">
        <w:t xml:space="preserve">es </w:t>
      </w:r>
      <w:r w:rsidR="00541DC2">
        <w:t xml:space="preserve">enseignements </w:t>
      </w:r>
      <w:r w:rsidR="00C821CE">
        <w:t xml:space="preserve">tirés des réclamations </w:t>
      </w:r>
      <w:r w:rsidR="00666A49">
        <w:t>qu’il traite et d</w:t>
      </w:r>
      <w:r w:rsidR="00C821CE">
        <w:t xml:space="preserve">es études et recherches qu’il a fait réaliser. </w:t>
      </w:r>
      <w:r w:rsidR="005E2DFA">
        <w:t>C</w:t>
      </w:r>
      <w:r w:rsidR="00666A49">
        <w:t>ette analyse</w:t>
      </w:r>
      <w:r w:rsidR="00C821CE">
        <w:t xml:space="preserve"> a permis de porter un</w:t>
      </w:r>
      <w:r w:rsidR="006B17ED">
        <w:t xml:space="preserve"> regard rétrospectif porté sur les tensions à l’œuvre dans l’accès au logement social depuis 30 ans</w:t>
      </w:r>
      <w:r w:rsidR="00C821CE">
        <w:t>, en faisant</w:t>
      </w:r>
      <w:r w:rsidR="00754C31">
        <w:t xml:space="preserve"> ressortir</w:t>
      </w:r>
      <w:r w:rsidR="000A6D93">
        <w:t xml:space="preserve"> les principales évolutions </w:t>
      </w:r>
      <w:r w:rsidR="00754C31">
        <w:t xml:space="preserve">et étapes observées </w:t>
      </w:r>
      <w:r w:rsidR="000A6D93">
        <w:t>à la faveur des réformes</w:t>
      </w:r>
      <w:r w:rsidR="00754C31">
        <w:t xml:space="preserve"> adoptées pour tenter de remédier à ces tensions</w:t>
      </w:r>
      <w:r w:rsidR="00C821CE">
        <w:t xml:space="preserve">, </w:t>
      </w:r>
      <w:r w:rsidR="005E2DFA">
        <w:t>mais</w:t>
      </w:r>
      <w:r w:rsidR="00C821CE">
        <w:t xml:space="preserve"> a aussi pour ambition de formuler des recommandations pour mieux prendre en compte les discriminations à l’œuvre dans l’</w:t>
      </w:r>
      <w:r w:rsidR="00263460">
        <w:t xml:space="preserve">accès au logement social. </w:t>
      </w:r>
      <w:r w:rsidR="00C821CE">
        <w:t xml:space="preserve">Plusieurs de ces recommandations figurent d’ailleurs dans un rapport publié en juin 2020 </w:t>
      </w:r>
      <w:hyperlink r:id="rId8" w:history="1">
        <w:r w:rsidR="00C821CE" w:rsidRPr="00913597">
          <w:rPr>
            <w:rStyle w:val="Hyperlink"/>
            <w:i/>
          </w:rPr>
          <w:t>Discriminations et origines : l’urgence d’agir</w:t>
        </w:r>
      </w:hyperlink>
      <w:r w:rsidR="001C3E84">
        <w:t xml:space="preserve"> (p</w:t>
      </w:r>
      <w:r w:rsidR="004B55AC">
        <w:t>p. 73-74).</w:t>
      </w:r>
      <w:r w:rsidR="001C3E84">
        <w:t xml:space="preserve"> </w:t>
      </w:r>
    </w:p>
    <w:p w:rsidR="00D021FA" w:rsidRDefault="00D021FA" w:rsidP="00D021FA">
      <w:pPr>
        <w:pStyle w:val="Heading1"/>
      </w:pPr>
      <w:r w:rsidRPr="0004233F">
        <w:t>L’enjeu de la lutte contre les discriminations dans l’accès au logement social pour la pleine réalisation du droit au logement : analyse du Défenseur des droits et recommandations</w:t>
      </w:r>
      <w:r w:rsidRPr="0004233F">
        <w:tab/>
      </w:r>
    </w:p>
    <w:p w:rsidR="006466CE" w:rsidRPr="006466CE" w:rsidRDefault="00D021FA" w:rsidP="006B4D75">
      <w:pPr>
        <w:pStyle w:val="Heading2"/>
        <w:numPr>
          <w:ilvl w:val="0"/>
          <w:numId w:val="7"/>
        </w:numPr>
        <w:rPr>
          <w:b/>
        </w:rPr>
      </w:pPr>
      <w:r>
        <w:rPr>
          <w:b/>
        </w:rPr>
        <w:t>Concilier le d</w:t>
      </w:r>
      <w:r w:rsidR="006466CE" w:rsidRPr="006466CE">
        <w:rPr>
          <w:b/>
        </w:rPr>
        <w:t xml:space="preserve">roit au logement </w:t>
      </w:r>
      <w:r w:rsidRPr="00D021FA">
        <w:rPr>
          <w:b/>
        </w:rPr>
        <w:t>et</w:t>
      </w:r>
      <w:r>
        <w:rPr>
          <w:b/>
          <w:i/>
        </w:rPr>
        <w:t xml:space="preserve"> </w:t>
      </w:r>
      <w:r w:rsidRPr="00D021FA">
        <w:t>la</w:t>
      </w:r>
      <w:r w:rsidR="006466CE" w:rsidRPr="006466CE">
        <w:rPr>
          <w:b/>
        </w:rPr>
        <w:t xml:space="preserve"> mixité sociale</w:t>
      </w:r>
      <w:r>
        <w:rPr>
          <w:b/>
        </w:rPr>
        <w:t> :</w:t>
      </w:r>
      <w:r w:rsidR="006466CE">
        <w:rPr>
          <w:b/>
        </w:rPr>
        <w:t xml:space="preserve"> </w:t>
      </w:r>
      <w:r w:rsidR="006466CE" w:rsidRPr="006466CE">
        <w:rPr>
          <w:b/>
        </w:rPr>
        <w:t>tension</w:t>
      </w:r>
      <w:r>
        <w:rPr>
          <w:b/>
        </w:rPr>
        <w:t>s</w:t>
      </w:r>
      <w:r w:rsidR="006466CE" w:rsidRPr="006466CE">
        <w:rPr>
          <w:b/>
        </w:rPr>
        <w:t xml:space="preserve"> </w:t>
      </w:r>
      <w:r>
        <w:rPr>
          <w:b/>
        </w:rPr>
        <w:t xml:space="preserve">et </w:t>
      </w:r>
      <w:r w:rsidR="006466CE" w:rsidRPr="006466CE">
        <w:rPr>
          <w:b/>
        </w:rPr>
        <w:t xml:space="preserve">risques </w:t>
      </w:r>
      <w:r>
        <w:rPr>
          <w:b/>
        </w:rPr>
        <w:t xml:space="preserve">de </w:t>
      </w:r>
      <w:r w:rsidR="006466CE" w:rsidRPr="006466CE">
        <w:rPr>
          <w:b/>
        </w:rPr>
        <w:t>discriminat</w:t>
      </w:r>
      <w:r>
        <w:rPr>
          <w:b/>
        </w:rPr>
        <w:t>ions</w:t>
      </w:r>
    </w:p>
    <w:p w:rsidR="006466CE" w:rsidRPr="00F03A8F" w:rsidRDefault="006466CE" w:rsidP="008D7542">
      <w:pPr>
        <w:pStyle w:val="ListParagraph"/>
        <w:ind w:left="0"/>
      </w:pPr>
      <w:r>
        <w:t xml:space="preserve">Depuis 1990, le cadre d’action publique défini en France pour l’accès </w:t>
      </w:r>
      <w:r w:rsidR="005E2DFA">
        <w:t>à un</w:t>
      </w:r>
      <w:r>
        <w:t xml:space="preserve"> logement social est le terrain de fortes tensions entre droit au logement et mixité sociale, deux objectifs antagonistes inscrits dans la loi mais qui, </w:t>
      </w:r>
      <w:r w:rsidRPr="006466CE">
        <w:rPr>
          <w:i/>
        </w:rPr>
        <w:t xml:space="preserve">a priori, </w:t>
      </w:r>
      <w:r w:rsidRPr="00FF08D7">
        <w:t xml:space="preserve">n’ont </w:t>
      </w:r>
      <w:r>
        <w:t xml:space="preserve">pas la même portée juridique. Alors que le droit au logement est </w:t>
      </w:r>
      <w:r w:rsidR="00B131EB">
        <w:t xml:space="preserve">reconnu comme </w:t>
      </w:r>
      <w:r>
        <w:t xml:space="preserve">un droit fondamental, </w:t>
      </w:r>
      <w:r w:rsidR="00B131EB">
        <w:t>tant en droit interne qu’en droit international et européen,</w:t>
      </w:r>
      <w:r>
        <w:t xml:space="preserve"> et </w:t>
      </w:r>
      <w:r w:rsidR="00B131EB">
        <w:t>reconnu comme un droit</w:t>
      </w:r>
      <w:r>
        <w:t xml:space="preserve"> opposable </w:t>
      </w:r>
      <w:r w:rsidR="005E2DFA">
        <w:t>depuis</w:t>
      </w:r>
      <w:r>
        <w:t xml:space="preserve"> 2007, la portée juridique de la notion de mixité sociale reste à définir. </w:t>
      </w:r>
    </w:p>
    <w:p w:rsidR="008D7542" w:rsidRDefault="006466CE" w:rsidP="008D7542">
      <w:pPr>
        <w:pStyle w:val="ListParagraph"/>
        <w:ind w:left="0"/>
      </w:pPr>
      <w:r w:rsidRPr="006466CE">
        <w:rPr>
          <w:b/>
        </w:rPr>
        <w:t>Ces tensions peuvent se doubler d’un risque discriminatoire en présence de pratiques qui défavorisent, plus ou moins directement et le plus souvent de manière non intentionnelle, des demandeurs perçus comme « indésirables »</w:t>
      </w:r>
      <w:r>
        <w:t xml:space="preserve"> parmi lesquels les demandeurs d’origine extra-européenne sont surreprésentés. Ce risque discriminatoire à raison </w:t>
      </w:r>
      <w:r>
        <w:lastRenderedPageBreak/>
        <w:t xml:space="preserve">de l’origine, inhérent au système d’attribution, a été mis en lumière </w:t>
      </w:r>
      <w:r w:rsidR="005E2DFA">
        <w:t xml:space="preserve">dès les années </w:t>
      </w:r>
      <w:r w:rsidR="008D1C9B">
        <w:t>90 et particulièrement au début des</w:t>
      </w:r>
      <w:r>
        <w:t xml:space="preserve"> 2000</w:t>
      </w:r>
      <w:r w:rsidR="008D1C9B">
        <w:rPr>
          <w:rStyle w:val="FootnoteReference"/>
        </w:rPr>
        <w:footnoteReference w:id="2"/>
      </w:r>
      <w:r>
        <w:t xml:space="preserve"> par les analyses des sociologues. Ces analyses ont en particulier montré les paradoxe</w:t>
      </w:r>
      <w:r w:rsidR="008D1C9B">
        <w:t xml:space="preserve">s attachés à la mise en œuvre de l’objectif de </w:t>
      </w:r>
      <w:r>
        <w:t>mixité sociale </w:t>
      </w:r>
      <w:r w:rsidR="008D1C9B">
        <w:t>inscrit dans la loi comme un principe directeur des politiques urbaines, dont l’attribution de logements sociaux : d</w:t>
      </w:r>
      <w:r>
        <w:t>es pratiques visant à limiter l’accueil des demandeurs immigrés</w:t>
      </w:r>
      <w:r w:rsidR="008D1C9B">
        <w:t xml:space="preserve"> se sont ainsi progressivement développées</w:t>
      </w:r>
      <w:r>
        <w:t>, au nom de la mixité sociale, dans les quartiers d’habi</w:t>
      </w:r>
      <w:r w:rsidR="00D86972">
        <w:t>tat social où résident en majorité des locataires</w:t>
      </w:r>
      <w:r>
        <w:t xml:space="preserve"> </w:t>
      </w:r>
      <w:r w:rsidR="00D86972">
        <w:t>immigrés</w:t>
      </w:r>
      <w:r w:rsidR="008D1C9B">
        <w:t>. D</w:t>
      </w:r>
      <w:r>
        <w:t xml:space="preserve">éfavorables aux demandeurs concernés qui connaissent des délais d’attente plus longs que les autres, </w:t>
      </w:r>
      <w:r w:rsidR="00D86972">
        <w:t>ces pratiques</w:t>
      </w:r>
      <w:r>
        <w:t xml:space="preserve"> peuvent caractériser une discrimination lorsqu’elles sont fondées directement ou indirectement sur l’origine, critère interdit par la loi. Elles s</w:t>
      </w:r>
      <w:r w:rsidR="00D86972">
        <w:t xml:space="preserve">e sont de plus révélées </w:t>
      </w:r>
      <w:r>
        <w:t xml:space="preserve">inopérantes pour rétablir la mixité recherchée par les acteurs du logement social dans les quartiers prioritaires de la politique de la ville, en privilégiant </w:t>
      </w:r>
      <w:r w:rsidR="00D86972">
        <w:t xml:space="preserve">notamment </w:t>
      </w:r>
      <w:r>
        <w:t xml:space="preserve">l’accès au logement à des </w:t>
      </w:r>
      <w:r w:rsidR="00D86972">
        <w:t xml:space="preserve">demandeurs des classes moyennes. Elles </w:t>
      </w:r>
      <w:r>
        <w:t xml:space="preserve">contribuent </w:t>
      </w:r>
      <w:r w:rsidR="00B131EB">
        <w:t xml:space="preserve">même </w:t>
      </w:r>
      <w:r w:rsidR="002E7B33">
        <w:t>souvent</w:t>
      </w:r>
      <w:r w:rsidR="008D1C9B">
        <w:t xml:space="preserve"> </w:t>
      </w:r>
      <w:r>
        <w:t xml:space="preserve">à </w:t>
      </w:r>
      <w:r w:rsidR="002E7B33">
        <w:t xml:space="preserve">perpétuer voire </w:t>
      </w:r>
      <w:r>
        <w:t xml:space="preserve">aggraver la ségrégation socio-urbaine </w:t>
      </w:r>
      <w:r w:rsidR="00D86972">
        <w:t xml:space="preserve">qu’elles prétendent combattre, </w:t>
      </w:r>
      <w:r>
        <w:t xml:space="preserve">en orientant les demandeurs </w:t>
      </w:r>
      <w:r w:rsidR="00D86972">
        <w:t xml:space="preserve">perçus comme les moins </w:t>
      </w:r>
      <w:r>
        <w:t>« désirables » vers les quartiers les moins attractifs</w:t>
      </w:r>
      <w:r w:rsidR="008D1C9B">
        <w:t xml:space="preserve">, où </w:t>
      </w:r>
      <w:r w:rsidR="00D86972">
        <w:t>réside en majorité une population en situation précaires et immigrée</w:t>
      </w:r>
      <w:r>
        <w:t>.</w:t>
      </w:r>
      <w:r w:rsidR="002E7B33">
        <w:t xml:space="preserve"> </w:t>
      </w:r>
      <w:r w:rsidR="00814995">
        <w:t>L</w:t>
      </w:r>
      <w:r w:rsidR="002E7B33">
        <w:t>es</w:t>
      </w:r>
      <w:r w:rsidR="00814995">
        <w:t xml:space="preserve"> </w:t>
      </w:r>
      <w:r w:rsidR="002E7B33">
        <w:t xml:space="preserve">effets de la crise sanitaire </w:t>
      </w:r>
      <w:r w:rsidR="00814995">
        <w:t xml:space="preserve">qui sévit depuis plus d’un an en offre une manifestation récente, à travers les importantes inégalités observées selon les territoires, qui se caractérisent notamment par </w:t>
      </w:r>
      <w:r w:rsidR="002F67CB">
        <w:t xml:space="preserve">une </w:t>
      </w:r>
      <w:r w:rsidR="00814995">
        <w:t xml:space="preserve">surmortalité liée à la pandémie </w:t>
      </w:r>
      <w:r w:rsidR="002F67CB">
        <w:t xml:space="preserve">plus </w:t>
      </w:r>
      <w:r w:rsidR="000F62B5">
        <w:t xml:space="preserve">élevée </w:t>
      </w:r>
      <w:r w:rsidR="00814995">
        <w:t>dans les quartiers populaires, tant en raison de</w:t>
      </w:r>
      <w:r w:rsidR="000F62B5">
        <w:t xml:space="preserve"> la densité de ces quartiers que de</w:t>
      </w:r>
      <w:r w:rsidR="00814995">
        <w:t xml:space="preserve">s conditions de </w:t>
      </w:r>
      <w:r w:rsidR="000F62B5">
        <w:t>logement</w:t>
      </w:r>
      <w:r w:rsidR="00814995">
        <w:t xml:space="preserve"> dégradées liées </w:t>
      </w:r>
      <w:r w:rsidR="002F67CB">
        <w:t>à des situations de surpeuplement plus fréquentes, ou encore une surexposition au virus lors de trajets domicile-travail plus longs</w:t>
      </w:r>
      <w:r w:rsidR="002F67CB">
        <w:rPr>
          <w:rStyle w:val="FootnoteReference"/>
        </w:rPr>
        <w:footnoteReference w:id="3"/>
      </w:r>
      <w:r w:rsidR="002F67CB">
        <w:t xml:space="preserve">. </w:t>
      </w:r>
    </w:p>
    <w:p w:rsidR="008D7542" w:rsidRPr="00D021FA" w:rsidRDefault="008D7542" w:rsidP="00D86972">
      <w:pPr>
        <w:pStyle w:val="Heading3"/>
        <w:rPr>
          <w:sz w:val="20"/>
        </w:rPr>
      </w:pPr>
      <w:r w:rsidRPr="00D021FA">
        <w:rPr>
          <w:sz w:val="20"/>
        </w:rPr>
        <w:lastRenderedPageBreak/>
        <w:t xml:space="preserve">I.1 </w:t>
      </w:r>
      <w:r w:rsidR="00D86972" w:rsidRPr="00D021FA">
        <w:rPr>
          <w:sz w:val="20"/>
        </w:rPr>
        <w:t>Les</w:t>
      </w:r>
      <w:r w:rsidRPr="00D021FA">
        <w:rPr>
          <w:sz w:val="20"/>
        </w:rPr>
        <w:t xml:space="preserve"> apports et limites </w:t>
      </w:r>
      <w:r w:rsidR="00D86972" w:rsidRPr="00D021FA">
        <w:rPr>
          <w:sz w:val="20"/>
        </w:rPr>
        <w:t xml:space="preserve">des lois </w:t>
      </w:r>
      <w:r w:rsidR="00D021FA" w:rsidRPr="00D021FA">
        <w:rPr>
          <w:sz w:val="20"/>
        </w:rPr>
        <w:t>visant à</w:t>
      </w:r>
      <w:r w:rsidRPr="00D021FA">
        <w:rPr>
          <w:sz w:val="20"/>
        </w:rPr>
        <w:t xml:space="preserve"> concilier droit au logement et lutte contre la ségrégation dans le logement social</w:t>
      </w:r>
    </w:p>
    <w:p w:rsidR="008D7542" w:rsidRPr="008D7542" w:rsidRDefault="001F4C1A" w:rsidP="002E7B33">
      <w:pPr>
        <w:pStyle w:val="ListParagraph"/>
        <w:numPr>
          <w:ilvl w:val="0"/>
          <w:numId w:val="2"/>
        </w:numPr>
        <w:spacing w:after="0"/>
        <w:ind w:left="714" w:hanging="357"/>
        <w:contextualSpacing w:val="0"/>
      </w:pPr>
      <w:r w:rsidRPr="00D021FA">
        <w:rPr>
          <w:rFonts w:ascii="Weissenhof Grotesk Md" w:hAnsi="Weissenhof Grotesk Md"/>
        </w:rPr>
        <w:t>Le</w:t>
      </w:r>
      <w:r w:rsidR="008D7542" w:rsidRPr="00D021FA">
        <w:rPr>
          <w:rFonts w:ascii="Weissenhof Grotesk Md" w:hAnsi="Weissenhof Grotesk Md"/>
        </w:rPr>
        <w:t xml:space="preserve"> Droit au logement opposable (DALO) </w:t>
      </w:r>
      <w:r w:rsidR="00D86972" w:rsidRPr="00D021FA">
        <w:rPr>
          <w:rFonts w:ascii="Weissenhof Grotesk Md" w:hAnsi="Weissenhof Grotesk Md"/>
        </w:rPr>
        <w:t>entré en vigueur en</w:t>
      </w:r>
      <w:r w:rsidR="008D7542" w:rsidRPr="00D021FA">
        <w:rPr>
          <w:rFonts w:ascii="Weissenhof Grotesk Md" w:hAnsi="Weissenhof Grotesk Md"/>
        </w:rPr>
        <w:t xml:space="preserve"> 2008, dont </w:t>
      </w:r>
      <w:r w:rsidRPr="00D021FA">
        <w:rPr>
          <w:rFonts w:ascii="Weissenhof Grotesk Md" w:hAnsi="Weissenhof Grotesk Md"/>
        </w:rPr>
        <w:t>l’</w:t>
      </w:r>
      <w:r w:rsidR="008D7542" w:rsidRPr="00D021FA">
        <w:rPr>
          <w:rFonts w:ascii="Weissenhof Grotesk Md" w:hAnsi="Weissenhof Grotesk Md"/>
        </w:rPr>
        <w:t>objectif</w:t>
      </w:r>
      <w:r w:rsidRPr="00D021FA">
        <w:rPr>
          <w:rFonts w:ascii="Weissenhof Grotesk Md" w:hAnsi="Weissenhof Grotesk Md"/>
        </w:rPr>
        <w:t xml:space="preserve"> principal</w:t>
      </w:r>
      <w:r>
        <w:t xml:space="preserve"> est de garantir </w:t>
      </w:r>
      <w:r w:rsidR="008D7542">
        <w:t>l’accès au logement, notamment social, par l’exercice d’un recours juridique, a dans les faits am</w:t>
      </w:r>
      <w:r>
        <w:t xml:space="preserve">plifié les tensions à l’œuvre. </w:t>
      </w:r>
      <w:r w:rsidR="008D7542">
        <w:t>L’accueil de</w:t>
      </w:r>
      <w:r>
        <w:t>s</w:t>
      </w:r>
      <w:r w:rsidR="008D7542">
        <w:t xml:space="preserve"> demandeurs prioritaires au titre du DALO est dénoncé par les bailleurs et les collectivités territoriales comme un facteur aggravant la ségrégation dans les quartiers prioritaires de la ville </w:t>
      </w:r>
      <w:r>
        <w:t>vers lesquels ils sont principalement orientés en raison d</w:t>
      </w:r>
      <w:r w:rsidR="008D7542">
        <w:t xml:space="preserve">es logements à bas à loyers qui </w:t>
      </w:r>
      <w:r>
        <w:t>y sont majoritaires</w:t>
      </w:r>
      <w:r w:rsidR="008D7542">
        <w:t>. Des pratiques se développent e</w:t>
      </w:r>
      <w:r>
        <w:t>n conséquence pour limiter l’</w:t>
      </w:r>
      <w:r w:rsidR="008D7542">
        <w:t xml:space="preserve">accueil </w:t>
      </w:r>
      <w:r>
        <w:t xml:space="preserve">des demandeurs reconnus prioritaires au titre du DALO </w:t>
      </w:r>
      <w:r w:rsidR="008D7542">
        <w:t xml:space="preserve">dans ces quartiers, au nom de la mixité sociale. Il en résulte de nouvelles tensions, qui se jouent cette fois, sur l’atteinte portée au </w:t>
      </w:r>
      <w:r w:rsidR="008D7542" w:rsidRPr="0024262E">
        <w:t>droit au logement</w:t>
      </w:r>
      <w:r w:rsidR="008D7542">
        <w:t xml:space="preserve"> qui</w:t>
      </w:r>
      <w:r w:rsidR="008D7542" w:rsidRPr="006B17ED">
        <w:t>, reconnu comme un droit fondamental, doit prévaloir sur la mixité sociale, notion dont la portée juridique est incertaine</w:t>
      </w:r>
      <w:r w:rsidR="008D7542">
        <w:t xml:space="preserve"> (cf supra). Les associations de défense du droit au logement font valoir, en reprenant les analyses des sociologues, que c’est l’ouverture des quartiers attractifs aux demandeurs les plus pauvres </w:t>
      </w:r>
      <w:r w:rsidR="002E7B33">
        <w:t>qui permettra de résoudre les tensions entre droit au logement et mixité sociale. L</w:t>
      </w:r>
      <w:r w:rsidR="008D7542">
        <w:t xml:space="preserve">’accent est mis davantage </w:t>
      </w:r>
      <w:r w:rsidR="002E7B33">
        <w:t xml:space="preserve">ici </w:t>
      </w:r>
      <w:r w:rsidR="008D7542">
        <w:t xml:space="preserve">sur la précarité sociale et économique des demandeurs que sur leur origine, comme principal motif de leur évitement, </w:t>
      </w:r>
      <w:r w:rsidR="002E7B33">
        <w:t xml:space="preserve">mais </w:t>
      </w:r>
      <w:r w:rsidR="008D7542">
        <w:t xml:space="preserve">les deux motifs sont </w:t>
      </w:r>
      <w:r w:rsidR="002E7B33">
        <w:t xml:space="preserve">dans les faits </w:t>
      </w:r>
      <w:r w:rsidR="008D7542">
        <w:t>le plus souvent liés.</w:t>
      </w:r>
    </w:p>
    <w:p w:rsidR="00A92254" w:rsidRPr="00A92254" w:rsidRDefault="008D7542" w:rsidP="002E7B33">
      <w:pPr>
        <w:pStyle w:val="ListParagraph"/>
        <w:numPr>
          <w:ilvl w:val="0"/>
          <w:numId w:val="2"/>
        </w:numPr>
        <w:spacing w:before="120" w:after="0"/>
        <w:ind w:left="714" w:hanging="357"/>
        <w:contextualSpacing w:val="0"/>
      </w:pPr>
      <w:r w:rsidRPr="008D7542">
        <w:rPr>
          <w:rFonts w:ascii="Weissenhof Grotesk Md" w:hAnsi="Weissenhof Grotesk Md"/>
        </w:rPr>
        <w:t>La réforme sur l’attribution de logements sociaux</w:t>
      </w:r>
      <w:r w:rsidR="002F67CB">
        <w:rPr>
          <w:rFonts w:ascii="Weissenhof Grotesk Md" w:hAnsi="Weissenhof Grotesk Md"/>
        </w:rPr>
        <w:t xml:space="preserve"> </w:t>
      </w:r>
      <w:r w:rsidRPr="008D7542">
        <w:rPr>
          <w:rFonts w:ascii="Weissenhof Grotesk Md" w:hAnsi="Weissenhof Grotesk Md"/>
        </w:rPr>
        <w:t xml:space="preserve">:  </w:t>
      </w:r>
    </w:p>
    <w:p w:rsidR="008D7542" w:rsidRDefault="002E7B33" w:rsidP="00A92254">
      <w:pPr>
        <w:pStyle w:val="ListParagraph"/>
      </w:pPr>
      <w:r>
        <w:t>C</w:t>
      </w:r>
      <w:r w:rsidR="00A92254">
        <w:t xml:space="preserve">ette réforme </w:t>
      </w:r>
      <w:r>
        <w:t>en deux temps</w:t>
      </w:r>
      <w:r w:rsidR="002F67CB">
        <w:rPr>
          <w:rStyle w:val="FootnoteReference"/>
        </w:rPr>
        <w:footnoteReference w:id="4"/>
      </w:r>
      <w:r>
        <w:t xml:space="preserve"> apporte </w:t>
      </w:r>
      <w:r w:rsidR="00957236">
        <w:t xml:space="preserve">un ensemble de réponses </w:t>
      </w:r>
      <w:r>
        <w:t xml:space="preserve">pour concilier droit au logement et </w:t>
      </w:r>
      <w:r w:rsidR="00957236">
        <w:t xml:space="preserve">mixité sociale, dont </w:t>
      </w:r>
      <w:r>
        <w:t>l</w:t>
      </w:r>
      <w:r w:rsidRPr="00A92254">
        <w:t>es principale</w:t>
      </w:r>
      <w:r>
        <w:t xml:space="preserve">s </w:t>
      </w:r>
      <w:r w:rsidR="00957236">
        <w:t xml:space="preserve">sont les </w:t>
      </w:r>
      <w:r w:rsidR="008D7542" w:rsidRPr="00A92254">
        <w:t>suivantes</w:t>
      </w:r>
      <w:r w:rsidR="008D7542">
        <w:t> :</w:t>
      </w:r>
    </w:p>
    <w:p w:rsidR="008D7542" w:rsidRDefault="008D7542" w:rsidP="006B4D75">
      <w:pPr>
        <w:pStyle w:val="ListParagraph"/>
        <w:numPr>
          <w:ilvl w:val="0"/>
          <w:numId w:val="1"/>
        </w:numPr>
        <w:ind w:left="1298"/>
      </w:pPr>
      <w:r>
        <w:lastRenderedPageBreak/>
        <w:t xml:space="preserve">le pilotage de la politique d’attribution de logements sociaux </w:t>
      </w:r>
      <w:r w:rsidR="00957236">
        <w:t xml:space="preserve">attribué à </w:t>
      </w:r>
      <w:r>
        <w:t xml:space="preserve"> l’intercommunalité, afin de lutter contre les pratiques d</w:t>
      </w:r>
      <w:r w:rsidR="002F67CB">
        <w:t xml:space="preserve">e préférence communale et l’ </w:t>
      </w:r>
      <w:r>
        <w:t xml:space="preserve">évitement des demandeurs jugés « indésirables » </w:t>
      </w:r>
      <w:r w:rsidR="002F67CB">
        <w:t xml:space="preserve">issus de quartiers populaires d’autres communes </w:t>
      </w:r>
      <w:r>
        <w:t>;</w:t>
      </w:r>
    </w:p>
    <w:p w:rsidR="008D7542" w:rsidRDefault="00957236" w:rsidP="006B4D75">
      <w:pPr>
        <w:pStyle w:val="ListParagraph"/>
        <w:numPr>
          <w:ilvl w:val="0"/>
          <w:numId w:val="1"/>
        </w:numPr>
        <w:ind w:left="1298"/>
      </w:pPr>
      <w:r>
        <w:t>l’</w:t>
      </w:r>
      <w:r w:rsidR="00A92254">
        <w:t>i</w:t>
      </w:r>
      <w:r w:rsidR="008D7542">
        <w:t>nstaur</w:t>
      </w:r>
      <w:r>
        <w:t>ation d’</w:t>
      </w:r>
      <w:r w:rsidR="008D7542">
        <w:t>une obligation d’au moins 25% d’attribution</w:t>
      </w:r>
      <w:r>
        <w:t>s</w:t>
      </w:r>
      <w:r w:rsidR="008D7542">
        <w:t xml:space="preserve"> de logements sociaux hors des Quartiers Prioritaires de la Politique de la Ville (QPV) aux demandeurs les plus pauvres enregistrés à l’échelle intercommunale ;</w:t>
      </w:r>
    </w:p>
    <w:p w:rsidR="00957236" w:rsidRDefault="00957236" w:rsidP="00957236">
      <w:pPr>
        <w:pStyle w:val="ListParagraph"/>
        <w:numPr>
          <w:ilvl w:val="0"/>
          <w:numId w:val="1"/>
        </w:numPr>
        <w:spacing w:after="0" w:line="240" w:lineRule="auto"/>
        <w:ind w:left="1298"/>
      </w:pPr>
      <w:r>
        <w:t>la création</w:t>
      </w:r>
      <w:r w:rsidR="008D7542">
        <w:t xml:space="preserve"> </w:t>
      </w:r>
      <w:r>
        <w:t>d’</w:t>
      </w:r>
      <w:r w:rsidR="008D7542">
        <w:t xml:space="preserve">une </w:t>
      </w:r>
      <w:r>
        <w:t xml:space="preserve">autre </w:t>
      </w:r>
      <w:r w:rsidR="008D7542">
        <w:t xml:space="preserve">obligation d’au moins 25% d’attributions à des demandeurs prioritaires, en premier lieu au titre du DALO, sur les contingents de logements réservés des communes </w:t>
      </w:r>
      <w:r w:rsidR="00171B80">
        <w:t>et organismes d’Action Logement pouvant réserver un logement social pour les salariés d’entreprises privées,</w:t>
      </w:r>
      <w:r w:rsidR="008D7542">
        <w:t xml:space="preserve"> et des bailleurs sociaux pour la part des logements non réservés. L’obligation de relogement des demandeurs prioritaires au titre du DALO ne repose donc plus seulement sur l’Etat, à travers le contingent préfectoral</w:t>
      </w:r>
      <w:r>
        <w:t> ;</w:t>
      </w:r>
    </w:p>
    <w:p w:rsidR="00957236" w:rsidRDefault="00957236" w:rsidP="00957236">
      <w:pPr>
        <w:pStyle w:val="ListParagraph"/>
        <w:numPr>
          <w:ilvl w:val="0"/>
          <w:numId w:val="1"/>
        </w:numPr>
        <w:spacing w:after="0" w:line="240" w:lineRule="auto"/>
        <w:ind w:left="1298"/>
      </w:pPr>
      <w:r>
        <w:t xml:space="preserve">des </w:t>
      </w:r>
      <w:r w:rsidR="00A92254">
        <w:t xml:space="preserve">obligations </w:t>
      </w:r>
      <w:r>
        <w:t xml:space="preserve">renforcées </w:t>
      </w:r>
      <w:r w:rsidR="00A92254">
        <w:t>de production de logements sociaux aux communes qui en sont in</w:t>
      </w:r>
      <w:r w:rsidR="00171B80">
        <w:t xml:space="preserve">suffisamment dotées, instaurée </w:t>
      </w:r>
      <w:r w:rsidR="00A92254">
        <w:t xml:space="preserve">par l’article 55 de la loi </w:t>
      </w:r>
      <w:r w:rsidR="00171B80">
        <w:t xml:space="preserve">du 13 décembre 2000 </w:t>
      </w:r>
      <w:r w:rsidR="00A92254">
        <w:t>Solidarité et Renouvellement Urbains</w:t>
      </w:r>
      <w:r w:rsidR="00171B80">
        <w:t xml:space="preserve"> </w:t>
      </w:r>
      <w:r w:rsidR="00A92254">
        <w:t>pour lutter contre la ségrégation résidentielle en favorisant une meilleure répartition territoriale  ;</w:t>
      </w:r>
    </w:p>
    <w:p w:rsidR="00957236" w:rsidRDefault="00957236" w:rsidP="00957236">
      <w:pPr>
        <w:pStyle w:val="ListParagraph"/>
        <w:numPr>
          <w:ilvl w:val="0"/>
          <w:numId w:val="1"/>
        </w:numPr>
        <w:spacing w:after="0" w:line="240" w:lineRule="auto"/>
        <w:ind w:left="1298"/>
      </w:pPr>
      <w:r>
        <w:t>l’amélioration de la</w:t>
      </w:r>
      <w:r w:rsidR="00A92254">
        <w:t xml:space="preserve"> transparence du système d’attribution par l’adoption d’un système de cotation de la demande de logement social</w:t>
      </w:r>
      <w:r w:rsidR="002E586F">
        <w:t xml:space="preserve">, </w:t>
      </w:r>
      <w:r w:rsidR="00171B80">
        <w:t>qui sera</w:t>
      </w:r>
      <w:r w:rsidR="002E586F">
        <w:t xml:space="preserve"> obligatoire </w:t>
      </w:r>
      <w:r w:rsidR="00171B80">
        <w:t xml:space="preserve">dans les intercommunalités soumises à la réforme de l’attribution </w:t>
      </w:r>
      <w:r w:rsidR="002E586F">
        <w:t>au 1</w:t>
      </w:r>
      <w:r w:rsidR="002E586F" w:rsidRPr="00957236">
        <w:rPr>
          <w:vertAlign w:val="superscript"/>
        </w:rPr>
        <w:t>er</w:t>
      </w:r>
      <w:r w:rsidR="002E586F">
        <w:t xml:space="preserve"> septembre 2021 par la loi </w:t>
      </w:r>
      <w:r w:rsidR="002E586F" w:rsidRPr="002E586F">
        <w:t>n°2018-1021 du 23 novembre 2018 portant évolution du logement, de l’aménagement et du numérique, dite loi ELAN</w:t>
      </w:r>
      <w:r w:rsidR="002E586F">
        <w:t xml:space="preserve"> </w:t>
      </w:r>
      <w:r w:rsidR="00A92254">
        <w:t>;</w:t>
      </w:r>
    </w:p>
    <w:p w:rsidR="00957236" w:rsidRDefault="00957236" w:rsidP="00957236">
      <w:pPr>
        <w:pStyle w:val="ListParagraph"/>
        <w:numPr>
          <w:ilvl w:val="0"/>
          <w:numId w:val="1"/>
        </w:numPr>
        <w:spacing w:after="0" w:line="240" w:lineRule="auto"/>
        <w:ind w:left="1298"/>
      </w:pPr>
      <w:r>
        <w:t xml:space="preserve">la création </w:t>
      </w:r>
      <w:r w:rsidR="00A92254">
        <w:t xml:space="preserve">d’un droit </w:t>
      </w:r>
      <w:r w:rsidR="002E586F">
        <w:t>à l’</w:t>
      </w:r>
      <w:r w:rsidR="00A92254">
        <w:t>information du demandeur </w:t>
      </w:r>
      <w:r w:rsidR="002E586F">
        <w:t xml:space="preserve">sur l’état de l’offre, le positionnement de sa demande et le suivi de celle-ci jusqu’à une proposition de logement </w:t>
      </w:r>
      <w:r w:rsidR="00A92254">
        <w:t>;</w:t>
      </w:r>
    </w:p>
    <w:p w:rsidR="00957236" w:rsidRDefault="00957236" w:rsidP="00957236">
      <w:pPr>
        <w:pStyle w:val="ListParagraph"/>
        <w:numPr>
          <w:ilvl w:val="0"/>
          <w:numId w:val="1"/>
        </w:numPr>
        <w:spacing w:after="0" w:line="240" w:lineRule="auto"/>
        <w:ind w:left="1298"/>
      </w:pPr>
      <w:r>
        <w:t xml:space="preserve">la </w:t>
      </w:r>
      <w:r w:rsidR="00A92254">
        <w:t>mise en place d’un dispositif de « location voulue » permettant au demandeur de se positionner sur une offre de logement mise en ligne, ….</w:t>
      </w:r>
    </w:p>
    <w:p w:rsidR="00E452EA" w:rsidRDefault="00A92254" w:rsidP="00E452EA">
      <w:pPr>
        <w:spacing w:before="120" w:after="0"/>
        <w:ind w:left="709"/>
      </w:pPr>
      <w:r>
        <w:t xml:space="preserve">Si beaucoup de ces mesures peuvent permettre des avancées, </w:t>
      </w:r>
      <w:r w:rsidR="00957236">
        <w:t>elles n’ont produit que peu d’effets à ce jour</w:t>
      </w:r>
      <w:r w:rsidR="00D21CA0">
        <w:t xml:space="preserve"> </w:t>
      </w:r>
      <w:r w:rsidR="00957236">
        <w:t xml:space="preserve">pour de multiples raisons : </w:t>
      </w:r>
    </w:p>
    <w:p w:rsidR="00E452EA" w:rsidRDefault="00957236" w:rsidP="00E452EA">
      <w:pPr>
        <w:pStyle w:val="ListParagraph"/>
        <w:numPr>
          <w:ilvl w:val="0"/>
          <w:numId w:val="8"/>
        </w:numPr>
        <w:spacing w:after="0"/>
        <w:ind w:left="714" w:hanging="357"/>
        <w:contextualSpacing w:val="0"/>
      </w:pPr>
      <w:r>
        <w:t>retard pris par beaucoup d’intercommunalité dans la mise en place de la réforme</w:t>
      </w:r>
      <w:r w:rsidR="00E452EA">
        <w:t> ;</w:t>
      </w:r>
    </w:p>
    <w:p w:rsidR="00E452EA" w:rsidRDefault="00957236" w:rsidP="00E452EA">
      <w:pPr>
        <w:pStyle w:val="ListParagraph"/>
        <w:numPr>
          <w:ilvl w:val="0"/>
          <w:numId w:val="8"/>
        </w:numPr>
        <w:spacing w:after="0"/>
        <w:ind w:left="714" w:hanging="357"/>
        <w:contextualSpacing w:val="0"/>
      </w:pPr>
      <w:r>
        <w:lastRenderedPageBreak/>
        <w:t>impact mitigé des obligations de production de logements sociaux créées par la loi SRU</w:t>
      </w:r>
      <w:r w:rsidR="00E452EA">
        <w:t xml:space="preserve"> dont les effets sur l’offre créée sont neutralisés par la pratique d’une « préférence communale » qui permet aux communes d’éviter les demandeurs « indésirables » issus des quartiers en difficulté d’autres communes en attribuant d’abord aux habitants de la commune ; </w:t>
      </w:r>
    </w:p>
    <w:p w:rsidR="00263460" w:rsidRDefault="00E452EA" w:rsidP="00E452EA">
      <w:pPr>
        <w:pStyle w:val="ListParagraph"/>
        <w:numPr>
          <w:ilvl w:val="0"/>
          <w:numId w:val="8"/>
        </w:numPr>
        <w:spacing w:after="0"/>
        <w:ind w:left="714" w:hanging="357"/>
        <w:contextualSpacing w:val="0"/>
      </w:pPr>
      <w:r>
        <w:t xml:space="preserve">quota des attributions aux demandeurs les plus pauvres hors des QPV très en-deçà des 25% imposés par la loi avec seulement </w:t>
      </w:r>
      <w:r w:rsidR="00263460">
        <w:t xml:space="preserve">15,5% </w:t>
      </w:r>
      <w:r>
        <w:t>d’</w:t>
      </w:r>
      <w:r w:rsidR="00263460">
        <w:t>attributions à ces demandeurs en 2019</w:t>
      </w:r>
      <w:r w:rsidR="00263460">
        <w:rPr>
          <w:rStyle w:val="FootnoteReference"/>
        </w:rPr>
        <w:footnoteReference w:id="5"/>
      </w:r>
      <w:r>
        <w:t> ;</w:t>
      </w:r>
    </w:p>
    <w:p w:rsidR="00E452EA" w:rsidRDefault="005116C4" w:rsidP="00E452EA">
      <w:pPr>
        <w:pStyle w:val="ListParagraph"/>
        <w:numPr>
          <w:ilvl w:val="0"/>
          <w:numId w:val="8"/>
        </w:numPr>
        <w:spacing w:after="0"/>
        <w:ind w:left="714" w:hanging="357"/>
        <w:contextualSpacing w:val="0"/>
      </w:pPr>
      <w:r>
        <w:t>marges de manœuvre laissées par la loi aux acteurs de l’attribution leur permettent de limiter l’</w:t>
      </w:r>
      <w:r w:rsidR="00A92254">
        <w:t xml:space="preserve">accueil des demandeurs les plus pauvres dans les QPV, </w:t>
      </w:r>
      <w:r>
        <w:t xml:space="preserve">en contradiction avec le </w:t>
      </w:r>
      <w:r w:rsidR="00A92254">
        <w:t xml:space="preserve">droit au logement </w:t>
      </w:r>
      <w:r>
        <w:t>et sources</w:t>
      </w:r>
      <w:r w:rsidR="00E452EA">
        <w:t xml:space="preserve"> de risques discriminatoires ;</w:t>
      </w:r>
    </w:p>
    <w:p w:rsidR="00266207" w:rsidRDefault="00A92254" w:rsidP="00472ED9">
      <w:pPr>
        <w:pStyle w:val="ListParagraph"/>
        <w:numPr>
          <w:ilvl w:val="0"/>
          <w:numId w:val="8"/>
        </w:numPr>
        <w:spacing w:after="0"/>
        <w:ind w:left="714" w:hanging="357"/>
        <w:contextualSpacing w:val="0"/>
      </w:pPr>
      <w:r>
        <w:t xml:space="preserve">possibilité d’orienter les demandeurs en fonction des caractéristiques des occupants du parc social, </w:t>
      </w:r>
      <w:r w:rsidR="00E452EA">
        <w:t>dans le cadre d</w:t>
      </w:r>
      <w:r>
        <w:t xml:space="preserve">es systèmes de qualification de l’offre qui enregistrent ces données, </w:t>
      </w:r>
      <w:r w:rsidR="00E452EA">
        <w:t>avec</w:t>
      </w:r>
      <w:r>
        <w:t xml:space="preserve"> des risques de discriminations qui se traduisent dans les faits par des délais d’attribution plus longs notamment pour les demandeurs d’origine étrangère et les familles monoparentales</w:t>
      </w:r>
      <w:r w:rsidR="00E452EA">
        <w:t>…</w:t>
      </w:r>
    </w:p>
    <w:p w:rsidR="008D7542" w:rsidRPr="008D7542" w:rsidRDefault="00306EDA" w:rsidP="00073F45">
      <w:pPr>
        <w:spacing w:after="0"/>
        <w:ind w:left="284"/>
      </w:pPr>
      <w:r>
        <w:t>Tou</w:t>
      </w:r>
      <w:r w:rsidR="006D56CD">
        <w:t xml:space="preserve">s ces </w:t>
      </w:r>
      <w:r w:rsidR="00472ED9">
        <w:t>freins à l’accès au logement social auxquels sont confrontés les demandeurs vulnérables et particulièrement exposés à des discriminations en raison de leur origine, de leur situation familial</w:t>
      </w:r>
      <w:r w:rsidR="00A020A1">
        <w:t xml:space="preserve">e, de </w:t>
      </w:r>
      <w:r w:rsidR="00472ED9">
        <w:t>leur handicap</w:t>
      </w:r>
      <w:r w:rsidR="00A020A1">
        <w:t xml:space="preserve"> ou de tout autre motif interdit</w:t>
      </w:r>
      <w:r w:rsidR="00472ED9">
        <w:t xml:space="preserve">, sont dans les faits rarement </w:t>
      </w:r>
      <w:r w:rsidR="00A020A1">
        <w:t>mis en lumière faute de mesures statistiques suffisantes pour les objectiver.</w:t>
      </w:r>
      <w:r w:rsidR="00472ED9">
        <w:t xml:space="preserve"> </w:t>
      </w:r>
    </w:p>
    <w:p w:rsidR="00263460" w:rsidRDefault="00D021FA" w:rsidP="00073F45">
      <w:pPr>
        <w:pStyle w:val="ListParagraph"/>
        <w:numPr>
          <w:ilvl w:val="0"/>
          <w:numId w:val="2"/>
        </w:numPr>
        <w:spacing w:before="120" w:after="0"/>
        <w:ind w:left="714" w:hanging="357"/>
        <w:contextualSpacing w:val="0"/>
      </w:pPr>
      <w:r>
        <w:rPr>
          <w:rFonts w:ascii="Weissenhof Grotesk Md" w:hAnsi="Weissenhof Grotesk Md"/>
        </w:rPr>
        <w:t>L</w:t>
      </w:r>
      <w:r w:rsidR="008D7542" w:rsidRPr="008D7542">
        <w:rPr>
          <w:rFonts w:ascii="Weissenhof Grotesk Md" w:hAnsi="Weissenhof Grotesk Md"/>
        </w:rPr>
        <w:t xml:space="preserve">e Plan quinquennal </w:t>
      </w:r>
      <w:r w:rsidR="008D7542">
        <w:rPr>
          <w:rFonts w:ascii="Weissenhof Grotesk Md" w:hAnsi="Weissenhof Grotesk Md"/>
        </w:rPr>
        <w:t xml:space="preserve">pour le </w:t>
      </w:r>
      <w:r w:rsidR="008D7542" w:rsidRPr="006D56CD">
        <w:rPr>
          <w:rFonts w:ascii="Weissenhof Grotesk Md" w:hAnsi="Weissenhof Grotesk Md"/>
          <w:i/>
        </w:rPr>
        <w:t>Logement d’abord</w:t>
      </w:r>
      <w:r w:rsidR="008D7542">
        <w:t xml:space="preserve"> </w:t>
      </w:r>
      <w:r w:rsidR="008D7542" w:rsidRPr="008D7542">
        <w:rPr>
          <w:rFonts w:ascii="Weissenhof Grotesk Md" w:hAnsi="Weissenhof Grotesk Md"/>
        </w:rPr>
        <w:t>et la lutte contre le sans-abrisme</w:t>
      </w:r>
      <w:r w:rsidR="006D56CD">
        <w:rPr>
          <w:rFonts w:ascii="Weissenhof Grotesk Md" w:hAnsi="Weissenhof Grotesk Md"/>
        </w:rPr>
        <w:t xml:space="preserve">. </w:t>
      </w:r>
      <w:r w:rsidR="006D56CD" w:rsidRPr="006D56CD">
        <w:t xml:space="preserve">Ce </w:t>
      </w:r>
      <w:r w:rsidR="00E452EA">
        <w:t>plan qui s’appuie</w:t>
      </w:r>
      <w:r w:rsidR="006D56CD">
        <w:t xml:space="preserve"> sur l</w:t>
      </w:r>
      <w:r w:rsidR="008D7542" w:rsidRPr="00F03A8F">
        <w:rPr>
          <w:b/>
        </w:rPr>
        <w:t xml:space="preserve">e modèle dit du </w:t>
      </w:r>
      <w:r w:rsidR="008D7542" w:rsidRPr="00E452EA">
        <w:rPr>
          <w:b/>
          <w:i/>
        </w:rPr>
        <w:t>Logement d’abord</w:t>
      </w:r>
      <w:r w:rsidR="008D7542">
        <w:t xml:space="preserve">, expérimenté </w:t>
      </w:r>
      <w:r w:rsidR="008D7542">
        <w:lastRenderedPageBreak/>
        <w:t>aux Etats-Unis et dans certains pays d’Europe notamment en Finlande et introduit en France en 2009</w:t>
      </w:r>
      <w:r w:rsidR="00E452EA">
        <w:t>, vise à</w:t>
      </w:r>
      <w:r w:rsidR="008D7542">
        <w:t xml:space="preserve"> </w:t>
      </w:r>
      <w:r w:rsidR="008D7542" w:rsidRPr="00F03A8F">
        <w:rPr>
          <w:b/>
        </w:rPr>
        <w:t>mettre fin au parcours en escalier qui maintient durablement des personnes en hébergement alors qu’elles pourraient prétendre à un logement social</w:t>
      </w:r>
      <w:r w:rsidR="008D7542">
        <w:t xml:space="preserve">. </w:t>
      </w:r>
      <w:r w:rsidR="008D7542" w:rsidRPr="006D56CD">
        <w:rPr>
          <w:rFonts w:ascii="Weissenhof Grotesk Md" w:hAnsi="Weissenhof Grotesk Md"/>
        </w:rPr>
        <w:t>Cet objectif invite en particulier à vérifier que les pratiques et conditions d’attribution soient exemptes de discriminations.</w:t>
      </w:r>
    </w:p>
    <w:p w:rsidR="00263460" w:rsidRPr="00472ED9" w:rsidRDefault="00263460" w:rsidP="00073F45">
      <w:pPr>
        <w:pStyle w:val="ListParagraph"/>
        <w:spacing w:before="120" w:after="0"/>
        <w:ind w:left="284"/>
        <w:contextualSpacing w:val="0"/>
      </w:pPr>
      <w:r>
        <w:t>Telles sont les principales évolutions législatives qui définissent le cadre juridique dans lequel il convient d’apprécier et traiter aujourd’hui les discriminations</w:t>
      </w:r>
      <w:r w:rsidRPr="00D90446">
        <w:t xml:space="preserve"> </w:t>
      </w:r>
      <w:r>
        <w:t>qui peuvent se produire dans l’accès au logement social.</w:t>
      </w:r>
      <w:r w:rsidRPr="00EC364D">
        <w:t xml:space="preserve"> </w:t>
      </w:r>
    </w:p>
    <w:p w:rsidR="00263460" w:rsidRDefault="00263460" w:rsidP="00654665">
      <w:pPr>
        <w:spacing w:after="0"/>
        <w:rPr>
          <w:rFonts w:ascii="Weissenhof Grotesk Md" w:hAnsi="Weissenhof Grotesk Md"/>
        </w:rPr>
      </w:pPr>
    </w:p>
    <w:p w:rsidR="00F03A8F" w:rsidRPr="00263460" w:rsidRDefault="00263460" w:rsidP="00654665">
      <w:pPr>
        <w:spacing w:after="0"/>
        <w:rPr>
          <w:rFonts w:ascii="Weissenhof Grotesk Md" w:hAnsi="Weissenhof Grotesk Md"/>
        </w:rPr>
      </w:pPr>
      <w:r w:rsidRPr="00263460">
        <w:rPr>
          <w:rFonts w:ascii="Weissenhof Grotesk Md" w:hAnsi="Weissenhof Grotesk Md"/>
        </w:rPr>
        <w:t xml:space="preserve">I.2 Un contentieux quasi-inexistant en France sur les discriminations dans l’accès au logement social </w:t>
      </w:r>
    </w:p>
    <w:p w:rsidR="00263460" w:rsidRDefault="00263460" w:rsidP="00EC364D">
      <w:pPr>
        <w:spacing w:after="0"/>
      </w:pPr>
    </w:p>
    <w:p w:rsidR="00266207" w:rsidRDefault="00EC364D" w:rsidP="00EC364D">
      <w:pPr>
        <w:spacing w:after="0"/>
      </w:pPr>
      <w:r>
        <w:t xml:space="preserve">Bien identifiées et régulièrement dénoncées, les tensions créées par l’objectif de mixité sociale érigé en principe d’action n’ont cependant jamais été remises en cause dans la loi. </w:t>
      </w:r>
      <w:r w:rsidRPr="003C74E1">
        <w:rPr>
          <w:b/>
        </w:rPr>
        <w:t>Elles ont tout au plus été aménagées au fil des nombreuses lois sur le logement qui se sont succédées depuis trois décennies</w:t>
      </w:r>
      <w:r>
        <w:t xml:space="preserve">, dans une tentative de concilier les deux objectifs, au risque d’une extrême complexité de la politique d’attribution. </w:t>
      </w:r>
      <w:r w:rsidR="00266207">
        <w:t>Cette</w:t>
      </w:r>
      <w:r w:rsidR="00472ED9">
        <w:t xml:space="preserve"> complexité compromet dans les faits toute possibilité pour les demandeurs de logement social sans proposition de logement de faire valoir leurs droits pour accéder au logement sans discriminations</w:t>
      </w:r>
      <w:r w:rsidR="00472ED9">
        <w:rPr>
          <w:b/>
        </w:rPr>
        <w:t xml:space="preserve">. </w:t>
      </w:r>
      <w:r w:rsidR="00472ED9" w:rsidRPr="00EC364D">
        <w:rPr>
          <w:b/>
        </w:rPr>
        <w:t xml:space="preserve">Les recours exercés par les </w:t>
      </w:r>
      <w:r w:rsidR="00472ED9">
        <w:rPr>
          <w:b/>
        </w:rPr>
        <w:t xml:space="preserve">personnes qui déclarent avoir fait l’objet d’une discrimination dans l’accès à un logement social </w:t>
      </w:r>
      <w:r w:rsidR="00472ED9" w:rsidRPr="00EC364D">
        <w:rPr>
          <w:b/>
        </w:rPr>
        <w:t>restent anecdotiques</w:t>
      </w:r>
      <w:r w:rsidR="00472ED9">
        <w:t>. Depuis la création de la HALDE en 2005, puis du Défenseur des droits en 2011, à peine 3% des réclamations relatives à des discriminations dont ce dernier est saisi chaque année concernent l’accès à un logement social</w:t>
      </w:r>
      <w:r w:rsidR="00266207">
        <w:t xml:space="preserve"> (et autant dans le logement privé)</w:t>
      </w:r>
      <w:r w:rsidR="00472ED9">
        <w:t xml:space="preserve">, donnant lieu à un nombre encore plus réduit de décisions en la matière. </w:t>
      </w:r>
      <w:r w:rsidR="00472ED9" w:rsidRPr="009B41C8">
        <w:rPr>
          <w:i/>
        </w:rPr>
        <w:t>A fortiori</w:t>
      </w:r>
      <w:r w:rsidR="00472ED9">
        <w:t xml:space="preserve">, les recours en justice pour discriminations dans l’accès au logement social sont encore plus rares, avec une dizaine de recours en la matière en une vingtaine d’années et </w:t>
      </w:r>
      <w:r w:rsidR="00472ED9" w:rsidRPr="008A27CC">
        <w:rPr>
          <w:b/>
        </w:rPr>
        <w:t xml:space="preserve">seulement deux décisions rendues par les tribunaux français retenant une situation de discrimination </w:t>
      </w:r>
      <w:r w:rsidR="00472ED9" w:rsidRPr="008A27CC">
        <w:rPr>
          <w:b/>
        </w:rPr>
        <w:lastRenderedPageBreak/>
        <w:t>avérée dans l’attribution d’un logement social au cours des dix dernières années</w:t>
      </w:r>
      <w:r w:rsidR="00472ED9">
        <w:rPr>
          <w:b/>
        </w:rPr>
        <w:t> :</w:t>
      </w:r>
      <w:r w:rsidR="00472ED9">
        <w:t xml:space="preserve"> Jugement </w:t>
      </w:r>
      <w:r w:rsidR="00073F45">
        <w:t>du Tribunal Correctionnel de Saint- Etienne du 3 février 2009 </w:t>
      </w:r>
      <w:r w:rsidR="00472ED9">
        <w:t>contre Métropole Hab</w:t>
      </w:r>
      <w:r w:rsidR="00073F45">
        <w:t xml:space="preserve">itat, OPAC HLM de Saint-Etienne </w:t>
      </w:r>
      <w:r w:rsidR="00472ED9">
        <w:t>; Arrêt de la Cour de Cassation sur l’affaire LOGIREP du 11 juillet 2017</w:t>
      </w:r>
      <w:r w:rsidR="00472ED9">
        <w:rPr>
          <w:rStyle w:val="FootnoteReference"/>
        </w:rPr>
        <w:footnoteReference w:id="6"/>
      </w:r>
      <w:r w:rsidR="00472ED9">
        <w:t xml:space="preserve">. </w:t>
      </w:r>
    </w:p>
    <w:p w:rsidR="00A77987" w:rsidRDefault="00472ED9" w:rsidP="00EC364D">
      <w:pPr>
        <w:spacing w:after="0"/>
      </w:pPr>
      <w:r>
        <w:t>Pourtant, les études et enquêtes ne laissent pas de doute sur l’ampleur des différences de traitement qui retardent voire entravent l’accès à un logement social pour certains demandeurs, en raison de leur origine, de leur situation de famille, de leur handicap, de leur situation de particulière vulnérabilité économique ou encore de leur lieu de résidence, y compris lorsqu’ils sont reconnus prioritaires au titre du droit au logement opposable.</w:t>
      </w:r>
    </w:p>
    <w:p w:rsidR="00A020A1" w:rsidRPr="00913597" w:rsidRDefault="00D20068" w:rsidP="00D20068">
      <w:pPr>
        <w:spacing w:before="120" w:after="0"/>
        <w:rPr>
          <w:b/>
        </w:rPr>
      </w:pPr>
      <w:r w:rsidRPr="00913597">
        <w:rPr>
          <w:b/>
        </w:rPr>
        <w:t>L’un des principaux enjeux est</w:t>
      </w:r>
      <w:r w:rsidR="00541DC2" w:rsidRPr="00913597">
        <w:rPr>
          <w:b/>
        </w:rPr>
        <w:t xml:space="preserve"> </w:t>
      </w:r>
      <w:r w:rsidRPr="00913597">
        <w:rPr>
          <w:b/>
        </w:rPr>
        <w:t xml:space="preserve">de faire sortir de l’invisibilité les discriminations </w:t>
      </w:r>
      <w:r w:rsidR="00FF60D5" w:rsidRPr="00913597">
        <w:rPr>
          <w:b/>
        </w:rPr>
        <w:t xml:space="preserve">à l’œuvre </w:t>
      </w:r>
      <w:r w:rsidRPr="00913597">
        <w:rPr>
          <w:b/>
        </w:rPr>
        <w:t>dans l’accès au logement social</w:t>
      </w:r>
      <w:r w:rsidR="006F562C" w:rsidRPr="00913597">
        <w:rPr>
          <w:b/>
        </w:rPr>
        <w:t>, dont le caractère</w:t>
      </w:r>
      <w:r w:rsidR="00C76BBB" w:rsidRPr="00913597">
        <w:rPr>
          <w:b/>
        </w:rPr>
        <w:t xml:space="preserve"> systémique et souvent indirect</w:t>
      </w:r>
      <w:r w:rsidR="006F562C" w:rsidRPr="00913597">
        <w:rPr>
          <w:b/>
        </w:rPr>
        <w:t xml:space="preserve"> a largement été mis en lumière par les analyses des sociologues</w:t>
      </w:r>
      <w:r w:rsidR="00073F45">
        <w:rPr>
          <w:b/>
        </w:rPr>
        <w:t xml:space="preserve"> comme par l’enquête Accès aux droits du Défenseur des droits (cf Annexe)</w:t>
      </w:r>
      <w:r w:rsidRPr="00913597">
        <w:rPr>
          <w:b/>
        </w:rPr>
        <w:t xml:space="preserve">. </w:t>
      </w:r>
    </w:p>
    <w:p w:rsidR="0017181E" w:rsidRDefault="00A020A1" w:rsidP="006B4D75">
      <w:pPr>
        <w:pStyle w:val="Heading2"/>
        <w:numPr>
          <w:ilvl w:val="0"/>
          <w:numId w:val="7"/>
        </w:numPr>
      </w:pPr>
      <w:bookmarkStart w:id="1" w:name="_Toc38917521"/>
      <w:r>
        <w:t xml:space="preserve">Enjeux </w:t>
      </w:r>
      <w:bookmarkEnd w:id="1"/>
      <w:r w:rsidR="00FE2A03">
        <w:t>pour progresser dans la mise en lumière et le traitement juridique des discriminations dans l’accès au logement social</w:t>
      </w:r>
    </w:p>
    <w:p w:rsidR="005D311F" w:rsidRDefault="00001C70" w:rsidP="00D20068">
      <w:pPr>
        <w:spacing w:before="120" w:after="0"/>
      </w:pPr>
      <w:r>
        <w:t>En présence d’un</w:t>
      </w:r>
      <w:r w:rsidR="009D469A">
        <w:t xml:space="preserve"> abondan</w:t>
      </w:r>
      <w:r w:rsidR="00F03A8F">
        <w:t xml:space="preserve">t contentieux lié au DALO et </w:t>
      </w:r>
      <w:r w:rsidR="00073F45">
        <w:t>à l’hébergement d’urgence</w:t>
      </w:r>
      <w:r w:rsidR="009D469A">
        <w:t xml:space="preserve">, il importe </w:t>
      </w:r>
      <w:r w:rsidR="00A020A1">
        <w:t xml:space="preserve">particulièrement </w:t>
      </w:r>
      <w:r w:rsidR="009D469A">
        <w:t xml:space="preserve">de </w:t>
      </w:r>
      <w:r w:rsidR="0017181E">
        <w:t xml:space="preserve">faire émerger un contentieux spécifique </w:t>
      </w:r>
      <w:r>
        <w:t>d</w:t>
      </w:r>
      <w:r w:rsidR="0017181E">
        <w:t>es discriminations</w:t>
      </w:r>
      <w:r>
        <w:t xml:space="preserve"> </w:t>
      </w:r>
      <w:r w:rsidR="00073F45">
        <w:t xml:space="preserve">dans l’accès au logement </w:t>
      </w:r>
      <w:r>
        <w:t xml:space="preserve">en montrant comment elles rendent ineffectif le droit au logement ou à l’hébergement. </w:t>
      </w:r>
      <w:r w:rsidR="00C821CE">
        <w:lastRenderedPageBreak/>
        <w:t xml:space="preserve">En effet, si </w:t>
      </w:r>
      <w:r w:rsidR="00266207">
        <w:t>les associations de lutte contre l’exclusion et</w:t>
      </w:r>
      <w:r w:rsidR="00266207" w:rsidRPr="00266207">
        <w:t xml:space="preserve"> </w:t>
      </w:r>
      <w:r w:rsidR="00266207">
        <w:t xml:space="preserve">de défense du droit au logement, telles que la Fondation Abbé Pierre notamment, mènent une </w:t>
      </w:r>
      <w:r w:rsidR="005D311F">
        <w:t>action très efficace</w:t>
      </w:r>
      <w:r w:rsidR="00266207">
        <w:t xml:space="preserve"> ayant </w:t>
      </w:r>
      <w:r w:rsidR="005D311F">
        <w:t xml:space="preserve">permis des avancées </w:t>
      </w:r>
      <w:r w:rsidR="00266207">
        <w:t>pour l’effectivité de ce droit</w:t>
      </w:r>
      <w:r w:rsidR="005D311F">
        <w:t xml:space="preserve">, </w:t>
      </w:r>
      <w:r w:rsidR="00266207">
        <w:t>elles se mobilisent plus rarement sur la lutte contre l</w:t>
      </w:r>
      <w:r w:rsidR="005D311F">
        <w:t>es discriminations</w:t>
      </w:r>
      <w:r w:rsidR="00266207">
        <w:t xml:space="preserve">, par ailleurs </w:t>
      </w:r>
      <w:r w:rsidR="00073F45">
        <w:t xml:space="preserve">souvent </w:t>
      </w:r>
      <w:r w:rsidR="00266207">
        <w:t xml:space="preserve">difficiles à </w:t>
      </w:r>
      <w:r w:rsidR="00073F45">
        <w:t>établir</w:t>
      </w:r>
      <w:r w:rsidR="00266207">
        <w:t xml:space="preserve"> en raison du régime de la preuve, et particulièrement </w:t>
      </w:r>
      <w:r w:rsidR="001E070A">
        <w:t>en matière d’accès au</w:t>
      </w:r>
      <w:r w:rsidR="00266207">
        <w:t xml:space="preserve"> logement social</w:t>
      </w:r>
      <w:r w:rsidR="001E070A">
        <w:t xml:space="preserve">, en raison de la complexité de la procédure. </w:t>
      </w:r>
    </w:p>
    <w:p w:rsidR="00FE2A03" w:rsidRDefault="00E2663C" w:rsidP="00D20068">
      <w:pPr>
        <w:spacing w:before="120" w:after="0"/>
      </w:pPr>
      <w:r>
        <w:t xml:space="preserve">Il s’agit en effet </w:t>
      </w:r>
      <w:r w:rsidR="009D469A">
        <w:t>de montrer comment les discriminations à l’œuvre dans ce domaine viennent compromettre l’effectivité du droit au logement</w:t>
      </w:r>
      <w:r>
        <w:t>, auquel doit concourir le logement social</w:t>
      </w:r>
      <w:r w:rsidR="00073F45">
        <w:t xml:space="preserve">, en se saisissant non seulement </w:t>
      </w:r>
      <w:r w:rsidR="00C40F93">
        <w:t xml:space="preserve">du </w:t>
      </w:r>
      <w:r w:rsidR="00073F45">
        <w:t xml:space="preserve">droit de la non-discrimination établi par la loi du 27 mai 2008, mais aussi du droit au logement, reconnu comme un droit fondamental qui doit être mis en œuvre sans discrimination, tant par les textes et conventions internationales qu’en droit français. </w:t>
      </w:r>
    </w:p>
    <w:p w:rsidR="003A3767" w:rsidRDefault="003A3767" w:rsidP="00D20068">
      <w:pPr>
        <w:spacing w:before="120" w:after="0"/>
      </w:pPr>
    </w:p>
    <w:tbl>
      <w:tblPr>
        <w:tblStyle w:val="TableGrid"/>
        <w:tblW w:w="0" w:type="auto"/>
        <w:tblLook w:val="04A0" w:firstRow="1" w:lastRow="0" w:firstColumn="1" w:lastColumn="0" w:noHBand="0" w:noVBand="1"/>
      </w:tblPr>
      <w:tblGrid>
        <w:gridCol w:w="9288"/>
      </w:tblGrid>
      <w:tr w:rsidR="00A020A1" w:rsidTr="00A020A1">
        <w:tc>
          <w:tcPr>
            <w:tcW w:w="9288" w:type="dxa"/>
          </w:tcPr>
          <w:p w:rsidR="00A020A1" w:rsidRPr="00A020A1" w:rsidRDefault="00A020A1" w:rsidP="00A020A1">
            <w:pPr>
              <w:pStyle w:val="FootnoteText"/>
              <w:spacing w:line="276" w:lineRule="auto"/>
              <w:ind w:left="720"/>
              <w:jc w:val="center"/>
              <w:rPr>
                <w:rFonts w:ascii="Weissenhof Grotesk Md" w:hAnsi="Weissenhof Grotesk Md"/>
                <w:sz w:val="22"/>
              </w:rPr>
            </w:pPr>
            <w:r w:rsidRPr="00A020A1">
              <w:rPr>
                <w:rFonts w:ascii="Weissenhof Grotesk Md" w:hAnsi="Weissenhof Grotesk Md"/>
                <w:sz w:val="22"/>
              </w:rPr>
              <w:t>Le droit au logement en droit international, européen et français</w:t>
            </w:r>
          </w:p>
          <w:p w:rsidR="00A020A1" w:rsidRPr="00A020A1" w:rsidRDefault="00A020A1" w:rsidP="00A020A1">
            <w:pPr>
              <w:pStyle w:val="FootnoteText"/>
              <w:spacing w:line="276" w:lineRule="auto"/>
              <w:ind w:left="720"/>
              <w:rPr>
                <w:sz w:val="22"/>
              </w:rPr>
            </w:pPr>
          </w:p>
          <w:p w:rsidR="00A020A1" w:rsidRPr="00A020A1" w:rsidRDefault="00A020A1" w:rsidP="006B4D75">
            <w:pPr>
              <w:pStyle w:val="FootnoteText"/>
              <w:numPr>
                <w:ilvl w:val="0"/>
                <w:numId w:val="5"/>
              </w:numPr>
              <w:spacing w:line="276" w:lineRule="auto"/>
            </w:pPr>
            <w:r w:rsidRPr="00A020A1">
              <w:rPr>
                <w:i/>
                <w:u w:val="single"/>
              </w:rPr>
              <w:t>En droit international et européen</w:t>
            </w:r>
            <w:r w:rsidRPr="00A020A1">
              <w:t>, le droit à un logement convenable a été reconnu comme faisant partie intégrante du droit à un revenu suffisant prévu par la Déclaration universelle de 1948, le Pacte International des Droits Economiques, Sociaux et Culturels (PIDESC) de 1966, et doit s’appliquer sans discrimination. Plusieurs textes de l’ONU en précisent l’application</w:t>
            </w:r>
            <w:r w:rsidRPr="00A020A1">
              <w:rPr>
                <w:rStyle w:val="FootnoteReference"/>
              </w:rPr>
              <w:footnoteReference w:id="7"/>
            </w:r>
            <w:r w:rsidRPr="00A020A1">
              <w:t>.  Des recommandations sont par ailleurs régulièrement formulées tant par le Comité de l’ONU sur les droits économiques, sociaux et culturels chargé d’en examiner périodiquement la mise en œuvre dans les Etats ayant ratifié le PIDESC (dont la France), que par le/la rapporteur.e spécial.e de l’ONU sur le droit à un logement convenable qui formule chaque année des recommandations générales à tous les Etats concernés, mais aussi des recommandations adressées en particulier aux Etats ayant fait l’objet d’une mission spéciale, comme ce fut le cas récemment de la France pour laquelle un rapport du 3 mars 2020 vient d’être rendu suite à la visite de la rapporteure spéciale réalisée en avril 2019.</w:t>
            </w:r>
          </w:p>
          <w:p w:rsidR="00A020A1" w:rsidRPr="00A020A1" w:rsidRDefault="00A020A1" w:rsidP="006B4D75">
            <w:pPr>
              <w:pStyle w:val="FootnoteText"/>
              <w:numPr>
                <w:ilvl w:val="0"/>
                <w:numId w:val="5"/>
              </w:numPr>
              <w:spacing w:before="120" w:line="276" w:lineRule="auto"/>
              <w:ind w:left="714" w:hanging="357"/>
            </w:pPr>
            <w:r w:rsidRPr="00A020A1">
              <w:rPr>
                <w:i/>
                <w:u w:val="single"/>
              </w:rPr>
              <w:t>En droit européen</w:t>
            </w:r>
            <w:r w:rsidRPr="00A020A1">
              <w:t>, la charte européenne des droits fondamentaux de l’Union européenne, la charte sociale européenne révisée ou encore convention européenne de sauvegarde des droits de l’homme, reconnaissent également le droit à une aide au logement qui doit être mis en œuvre sans discrimination</w:t>
            </w:r>
            <w:r w:rsidR="00FE2A03">
              <w:t xml:space="preserve"> (articles 8 </w:t>
            </w:r>
            <w:r w:rsidRPr="00A020A1">
              <w:t xml:space="preserve">. </w:t>
            </w:r>
          </w:p>
          <w:p w:rsidR="00A020A1" w:rsidRDefault="00A020A1" w:rsidP="006B4D75">
            <w:pPr>
              <w:pStyle w:val="FootnoteText"/>
              <w:numPr>
                <w:ilvl w:val="0"/>
                <w:numId w:val="5"/>
              </w:numPr>
              <w:spacing w:before="120" w:line="276" w:lineRule="auto"/>
            </w:pPr>
            <w:r w:rsidRPr="00A020A1">
              <w:rPr>
                <w:i/>
                <w:u w:val="single"/>
              </w:rPr>
              <w:lastRenderedPageBreak/>
              <w:t>En droit français</w:t>
            </w:r>
            <w:r w:rsidRPr="00A020A1">
              <w:t>, le droit à un logement décent est un objectif à valeur constitutionnelle reconnu par le Conseil constitutionnel (Décision n°94-359 du 19 janvier 1995). Le refus opposé pour l’accès à un logement, à l’achat ou à la location, ou la subordination de cet accès à un critère interdit par le Code pénal (article 225-1) sont discriminatoires (article 225-2 du même code). De même, le refus de louer un logement privé comme social, pour l’un des motifs de l’article 225-1 du Code pénal, est interdit par l’article 1</w:t>
            </w:r>
            <w:r w:rsidRPr="00A020A1">
              <w:rPr>
                <w:vertAlign w:val="superscript"/>
              </w:rPr>
              <w:t>er</w:t>
            </w:r>
            <w:r w:rsidRPr="00A020A1">
              <w:t xml:space="preserve"> de la loi n°89-462 du 6 juillet 1989. D’autres décrets viennent compléter la mise en œuvre de cette interdiction, notamment dans le logement privé.</w:t>
            </w:r>
          </w:p>
        </w:tc>
      </w:tr>
    </w:tbl>
    <w:p w:rsidR="00F93EF4" w:rsidRPr="001B41C1" w:rsidRDefault="00FE2A03" w:rsidP="001B41C1">
      <w:pPr>
        <w:pStyle w:val="Heading3"/>
      </w:pPr>
      <w:r>
        <w:lastRenderedPageBreak/>
        <w:t>Q</w:t>
      </w:r>
      <w:r w:rsidR="001B41C1">
        <w:t xml:space="preserve">uatre </w:t>
      </w:r>
      <w:r w:rsidR="00F93EF4" w:rsidRPr="001B41C1">
        <w:t>points</w:t>
      </w:r>
      <w:r w:rsidR="002D2E6B" w:rsidRPr="001B41C1">
        <w:t>-clés</w:t>
      </w:r>
      <w:r w:rsidR="002473D0" w:rsidRPr="001B41C1">
        <w:t xml:space="preserve"> appelant des clarifications</w:t>
      </w:r>
      <w:r w:rsidR="001B41C1">
        <w:t xml:space="preserve"> dans la loi</w:t>
      </w:r>
    </w:p>
    <w:p w:rsidR="001B7EFF" w:rsidRDefault="0040355F" w:rsidP="00C74DB4">
      <w:pPr>
        <w:pStyle w:val="ListParagraph"/>
        <w:spacing w:before="120" w:after="0"/>
        <w:ind w:left="0"/>
        <w:contextualSpacing w:val="0"/>
      </w:pPr>
      <w:r>
        <w:t>De nombreuses</w:t>
      </w:r>
      <w:r w:rsidR="00E2663C" w:rsidRPr="00C74DB4">
        <w:t xml:space="preserve"> études et </w:t>
      </w:r>
      <w:r>
        <w:t>recherches ont</w:t>
      </w:r>
      <w:r w:rsidR="00E2663C" w:rsidRPr="00C74DB4">
        <w:t xml:space="preserve"> </w:t>
      </w:r>
      <w:r w:rsidR="000D647F">
        <w:t>f</w:t>
      </w:r>
      <w:r>
        <w:t>ai</w:t>
      </w:r>
      <w:r w:rsidR="00C74DB4">
        <w:t xml:space="preserve">t </w:t>
      </w:r>
      <w:r w:rsidR="000D647F">
        <w:t>ressortir</w:t>
      </w:r>
      <w:r w:rsidR="00C74DB4" w:rsidRPr="00C74DB4">
        <w:t xml:space="preserve"> </w:t>
      </w:r>
      <w:r w:rsidR="00E2663C" w:rsidRPr="00C74DB4">
        <w:t>un modèle d’attribution</w:t>
      </w:r>
      <w:r w:rsidR="00051DE3">
        <w:t xml:space="preserve"> </w:t>
      </w:r>
      <w:r>
        <w:t xml:space="preserve">qui s’observe dans tous les contextes locaux en dépit de leur diversité, et </w:t>
      </w:r>
      <w:r w:rsidR="001B7EFF">
        <w:t xml:space="preserve">qui s’articule autour de trois principes </w:t>
      </w:r>
      <w:r>
        <w:t xml:space="preserve">d’action </w:t>
      </w:r>
      <w:r w:rsidR="00342723">
        <w:t>pas ou peu précisés par la loi</w:t>
      </w:r>
      <w:r w:rsidR="001B7EFF">
        <w:t xml:space="preserve"> </w:t>
      </w:r>
      <w:r w:rsidR="00342723">
        <w:t xml:space="preserve">et qui ont pour effet de limiter l’accueil des demandeurs perçus comme « indésirables », notamment dans les QPV </w:t>
      </w:r>
      <w:r w:rsidR="00051DE3">
        <w:t xml:space="preserve">: </w:t>
      </w:r>
    </w:p>
    <w:p w:rsidR="001B7EFF" w:rsidRDefault="00051DE3" w:rsidP="006B4D75">
      <w:pPr>
        <w:pStyle w:val="ListParagraph"/>
        <w:numPr>
          <w:ilvl w:val="0"/>
          <w:numId w:val="3"/>
        </w:numPr>
        <w:spacing w:after="0"/>
        <w:ind w:left="714" w:hanging="357"/>
        <w:contextualSpacing w:val="0"/>
      </w:pPr>
      <w:r>
        <w:t xml:space="preserve">la prise en compte de </w:t>
      </w:r>
      <w:r w:rsidR="001B7EFF">
        <w:t>liens à la commune ;</w:t>
      </w:r>
    </w:p>
    <w:p w:rsidR="001B7EFF" w:rsidRDefault="00051DE3" w:rsidP="006B4D75">
      <w:pPr>
        <w:pStyle w:val="ListParagraph"/>
        <w:numPr>
          <w:ilvl w:val="0"/>
          <w:numId w:val="3"/>
        </w:numPr>
        <w:spacing w:after="0"/>
        <w:ind w:left="714" w:hanging="357"/>
        <w:contextualSpacing w:val="0"/>
      </w:pPr>
      <w:r w:rsidRPr="0087776D">
        <w:t>l’objectif de mixité sociale</w:t>
      </w:r>
      <w:r w:rsidR="001B7EFF">
        <w:t> </w:t>
      </w:r>
      <w:r w:rsidR="00342723">
        <w:t xml:space="preserve">et les équilibres de peuplement </w:t>
      </w:r>
      <w:r w:rsidR="001B7EFF">
        <w:t>;</w:t>
      </w:r>
    </w:p>
    <w:p w:rsidR="001B7EFF" w:rsidRDefault="00051DE3" w:rsidP="006B4D75">
      <w:pPr>
        <w:pStyle w:val="ListParagraph"/>
        <w:numPr>
          <w:ilvl w:val="0"/>
          <w:numId w:val="3"/>
        </w:numPr>
        <w:spacing w:after="0"/>
        <w:ind w:left="714" w:hanging="357"/>
        <w:contextualSpacing w:val="0"/>
      </w:pPr>
      <w:r w:rsidRPr="0087776D">
        <w:t>une a</w:t>
      </w:r>
      <w:r w:rsidR="00C31B6C">
        <w:t xml:space="preserve">ppréciation </w:t>
      </w:r>
      <w:r w:rsidRPr="0087776D">
        <w:t xml:space="preserve">restrictive des </w:t>
      </w:r>
      <w:r>
        <w:t>ressources</w:t>
      </w:r>
      <w:r w:rsidRPr="0087776D">
        <w:t xml:space="preserve"> des demandeurs</w:t>
      </w:r>
      <w:r>
        <w:t xml:space="preserve">, notamment sur </w:t>
      </w:r>
      <w:r w:rsidR="001E070A">
        <w:t>la base d’un « reste-à-vivre »</w:t>
      </w:r>
      <w:r w:rsidR="00C31B6C">
        <w:t xml:space="preserve"> qui peut conduire à exclure les demandeurs les plus pauvres de l’accès au parc social</w:t>
      </w:r>
      <w:r w:rsidR="001E070A">
        <w:t>.</w:t>
      </w:r>
    </w:p>
    <w:p w:rsidR="00017F11" w:rsidRDefault="00562835" w:rsidP="0039110B">
      <w:pPr>
        <w:pStyle w:val="ListParagraph"/>
        <w:spacing w:before="120" w:after="0"/>
        <w:ind w:left="0"/>
        <w:contextualSpacing w:val="0"/>
      </w:pPr>
      <w:r>
        <w:t>Si l</w:t>
      </w:r>
      <w:r w:rsidR="00051DE3">
        <w:t>a réforme de l’attribution issu des lois ALUR et E</w:t>
      </w:r>
      <w:r w:rsidR="001B41C1">
        <w:t xml:space="preserve">galité et </w:t>
      </w:r>
      <w:r w:rsidR="00051DE3">
        <w:t>C</w:t>
      </w:r>
      <w:r w:rsidR="001B41C1">
        <w:t>itoyenneté</w:t>
      </w:r>
      <w:r w:rsidR="001B7EFF">
        <w:t xml:space="preserve"> a </w:t>
      </w:r>
      <w:r w:rsidR="000D647F">
        <w:t>précisément vocation à faire</w:t>
      </w:r>
      <w:r w:rsidR="001B7EFF">
        <w:t xml:space="preserve"> évoluer</w:t>
      </w:r>
      <w:r>
        <w:t xml:space="preserve"> ce modèle</w:t>
      </w:r>
      <w:r w:rsidR="00051DE3">
        <w:t>, plusieurs</w:t>
      </w:r>
      <w:r w:rsidR="001B7EFF">
        <w:t xml:space="preserve"> points </w:t>
      </w:r>
      <w:r w:rsidR="000D647F">
        <w:t xml:space="preserve">restent </w:t>
      </w:r>
      <w:r w:rsidR="001B7EFF">
        <w:t xml:space="preserve">non résolus </w:t>
      </w:r>
      <w:r w:rsidR="000D647F">
        <w:t>par loi et sont</w:t>
      </w:r>
      <w:r>
        <w:t xml:space="preserve"> sources d’interprétation</w:t>
      </w:r>
      <w:r w:rsidR="000D647F">
        <w:t xml:space="preserve">. Ces imprécisions appellent </w:t>
      </w:r>
      <w:r w:rsidR="001E070A">
        <w:t xml:space="preserve">des précisions et clarifications sur </w:t>
      </w:r>
      <w:r w:rsidR="000D647F">
        <w:t xml:space="preserve">quatre points </w:t>
      </w:r>
      <w:r w:rsidR="00C31B6C">
        <w:t xml:space="preserve">dont certains </w:t>
      </w:r>
      <w:r w:rsidR="001E070A">
        <w:t xml:space="preserve">ont </w:t>
      </w:r>
      <w:r w:rsidR="00C31B6C">
        <w:t xml:space="preserve">déjà </w:t>
      </w:r>
      <w:r w:rsidR="001E070A">
        <w:t>fait l’objet de recommandations formulées par le Défenseur des droits</w:t>
      </w:r>
      <w:r w:rsidR="00C31B6C">
        <w:t>, notamment</w:t>
      </w:r>
      <w:r w:rsidR="001E070A">
        <w:t xml:space="preserve"> dans le rapport </w:t>
      </w:r>
      <w:r w:rsidR="001E070A" w:rsidRPr="001E070A">
        <w:rPr>
          <w:i/>
        </w:rPr>
        <w:t>Discriminations et origines, l’urgence d’agir</w:t>
      </w:r>
      <w:r w:rsidR="003A3767">
        <w:rPr>
          <w:i/>
        </w:rPr>
        <w:t>, notamment pp 73-74 (cf supra)</w:t>
      </w:r>
      <w:r w:rsidR="001E070A">
        <w:t>.</w:t>
      </w:r>
    </w:p>
    <w:p w:rsidR="00EC2220" w:rsidRPr="001B41C1" w:rsidRDefault="00051DE3" w:rsidP="006B4D75">
      <w:pPr>
        <w:pStyle w:val="ListParagraph"/>
        <w:numPr>
          <w:ilvl w:val="0"/>
          <w:numId w:val="4"/>
        </w:numPr>
        <w:spacing w:before="120" w:after="0"/>
        <w:ind w:left="567"/>
        <w:contextualSpacing w:val="0"/>
        <w:rPr>
          <w:rFonts w:ascii="Weissenhof Grotesk Md" w:hAnsi="Weissenhof Grotesk Md"/>
          <w:b/>
          <w:i/>
        </w:rPr>
      </w:pPr>
      <w:r w:rsidRPr="001B41C1">
        <w:rPr>
          <w:rFonts w:ascii="Weissenhof Grotesk Md" w:hAnsi="Weissenhof Grotesk Md"/>
          <w:b/>
          <w:i/>
        </w:rPr>
        <w:t>Affirmer la primauté du droit au logement par rapport à l’</w:t>
      </w:r>
      <w:r w:rsidR="00EC2220" w:rsidRPr="001B41C1">
        <w:rPr>
          <w:rFonts w:ascii="Weissenhof Grotesk Md" w:hAnsi="Weissenhof Grotesk Md"/>
          <w:b/>
          <w:i/>
        </w:rPr>
        <w:t>objectif de mixité sociale, parmi les deux objectifs qui doivent guider l’attribution.</w:t>
      </w:r>
    </w:p>
    <w:p w:rsidR="001B7EFF" w:rsidRPr="001B7EFF" w:rsidRDefault="003A563A" w:rsidP="001B7EFF">
      <w:pPr>
        <w:spacing w:before="120" w:after="0"/>
      </w:pPr>
      <w:r>
        <w:t xml:space="preserve">Il conviendrait en particulier </w:t>
      </w:r>
      <w:r w:rsidRPr="00386C15">
        <w:t>d’</w:t>
      </w:r>
      <w:r w:rsidRPr="00386C15">
        <w:rPr>
          <w:b/>
        </w:rPr>
        <w:t>affirmer explicitement dans la loi</w:t>
      </w:r>
      <w:r w:rsidR="001B7EFF" w:rsidRPr="00386C15">
        <w:rPr>
          <w:b/>
        </w:rPr>
        <w:t xml:space="preserve"> </w:t>
      </w:r>
      <w:r w:rsidR="00C31B6C">
        <w:rPr>
          <w:b/>
        </w:rPr>
        <w:t xml:space="preserve">la </w:t>
      </w:r>
      <w:r w:rsidR="001B7EFF" w:rsidRPr="00386C15">
        <w:rPr>
          <w:b/>
        </w:rPr>
        <w:t>primauté du droit au logement</w:t>
      </w:r>
      <w:r w:rsidR="00562835" w:rsidRPr="00386C15">
        <w:rPr>
          <w:b/>
        </w:rPr>
        <w:t xml:space="preserve"> sur l’objectif de mixité sociale</w:t>
      </w:r>
      <w:r w:rsidRPr="00386C15">
        <w:rPr>
          <w:b/>
        </w:rPr>
        <w:t xml:space="preserve">, </w:t>
      </w:r>
      <w:r w:rsidR="00C31B6C">
        <w:rPr>
          <w:b/>
        </w:rPr>
        <w:t xml:space="preserve">tout </w:t>
      </w:r>
      <w:r w:rsidRPr="001E070A">
        <w:rPr>
          <w:b/>
          <w:u w:val="single"/>
        </w:rPr>
        <w:t>en précisant que le droit au logement doit être mis en œuvre sans discrimination</w:t>
      </w:r>
      <w:r w:rsidR="001E070A">
        <w:t xml:space="preserve">. </w:t>
      </w:r>
      <w:r>
        <w:t xml:space="preserve">Ces précisions seraient à </w:t>
      </w:r>
      <w:r w:rsidR="00DF7FC4">
        <w:t>porter</w:t>
      </w:r>
      <w:r>
        <w:t xml:space="preserve"> </w:t>
      </w:r>
      <w:r w:rsidR="00562835">
        <w:t xml:space="preserve">à l’article </w:t>
      </w:r>
      <w:r w:rsidR="00562835">
        <w:lastRenderedPageBreak/>
        <w:t>L</w:t>
      </w:r>
      <w:r w:rsidR="00386C15">
        <w:t>.</w:t>
      </w:r>
      <w:r w:rsidR="00562835">
        <w:t>441 du Code de la Construction et de l’Habitation qui définit les orientations de la politique d’attribution.</w:t>
      </w:r>
      <w:r w:rsidR="00655D1F">
        <w:t xml:space="preserve"> </w:t>
      </w:r>
      <w:r w:rsidR="00A04740">
        <w:t xml:space="preserve">Il en découlerait </w:t>
      </w:r>
      <w:r w:rsidR="00655D1F">
        <w:t>que :</w:t>
      </w:r>
    </w:p>
    <w:p w:rsidR="00EC2220" w:rsidRPr="00EC2220" w:rsidRDefault="0039110B" w:rsidP="006B4D75">
      <w:pPr>
        <w:pStyle w:val="ListParagraph"/>
        <w:numPr>
          <w:ilvl w:val="0"/>
          <w:numId w:val="6"/>
        </w:numPr>
        <w:spacing w:before="120" w:after="0"/>
        <w:ind w:left="714" w:hanging="357"/>
        <w:contextualSpacing w:val="0"/>
      </w:pPr>
      <w:r w:rsidRPr="00EC2220">
        <w:t>L</w:t>
      </w:r>
      <w:r w:rsidR="00F93EF4" w:rsidRPr="00EC2220">
        <w:t>e</w:t>
      </w:r>
      <w:r>
        <w:t xml:space="preserve"> </w:t>
      </w:r>
      <w:r w:rsidR="00051DE3" w:rsidRPr="00EC2220">
        <w:t xml:space="preserve">droit au logement, reconnu comme un droit fondamental doit prévaloir sur </w:t>
      </w:r>
      <w:r w:rsidR="00F93EF4" w:rsidRPr="00EC2220">
        <w:t>la mixité sociale</w:t>
      </w:r>
      <w:r w:rsidR="00051DE3" w:rsidRPr="00EC2220">
        <w:t xml:space="preserve"> dont la portée juridique est </w:t>
      </w:r>
      <w:r w:rsidR="001B7EFF">
        <w:t xml:space="preserve">beaucoup plus </w:t>
      </w:r>
      <w:r w:rsidR="00051DE3" w:rsidRPr="00EC2220">
        <w:t xml:space="preserve">incertaine, </w:t>
      </w:r>
      <w:r w:rsidR="00655D1F">
        <w:t xml:space="preserve">et </w:t>
      </w:r>
      <w:r w:rsidR="00EC2220" w:rsidRPr="00EC2220">
        <w:t xml:space="preserve">ne peut </w:t>
      </w:r>
      <w:r w:rsidR="00655D1F">
        <w:t xml:space="preserve">donc </w:t>
      </w:r>
      <w:r w:rsidR="00EC2220" w:rsidRPr="00EC2220">
        <w:t>être remis en cause, quel que soit le territoire</w:t>
      </w:r>
      <w:r w:rsidR="00655D1F">
        <w:t xml:space="preserve">. </w:t>
      </w:r>
      <w:r w:rsidR="003A563A">
        <w:t xml:space="preserve">Cela devrait conduire, au plan juridique, à </w:t>
      </w:r>
      <w:r w:rsidR="00655D1F">
        <w:t>mettre fin à l’ambiguïté qui permet</w:t>
      </w:r>
      <w:r w:rsidR="00DF7FC4">
        <w:t xml:space="preserve"> aujourd’hui</w:t>
      </w:r>
      <w:r w:rsidR="00655D1F">
        <w:t xml:space="preserve"> de limiter l’accueil des demandeurs les plus pauvres dans les QPV par l’instauration d’un taux d’attribution d’au moins 50% à des demandeurs dont les ressources sont supérieures au premier quartile de revenu</w:t>
      </w:r>
      <w:r w:rsidR="003A563A">
        <w:t>, et donc de refuser l’attribution dans ces qua</w:t>
      </w:r>
      <w:r w:rsidR="00386C15">
        <w:t xml:space="preserve">rtiers à des demandeurs pauvres, alors même qu’ils peuvent être reconnus prioritaires en vertu de la loi, notamment dans le cadre du DALO </w:t>
      </w:r>
      <w:r w:rsidR="00EC2220" w:rsidRPr="00EC2220">
        <w:t>;</w:t>
      </w:r>
    </w:p>
    <w:p w:rsidR="00F93EF4" w:rsidRPr="00AB7F23" w:rsidRDefault="0039110B" w:rsidP="006B4D75">
      <w:pPr>
        <w:pStyle w:val="ListParagraph"/>
        <w:numPr>
          <w:ilvl w:val="0"/>
          <w:numId w:val="6"/>
        </w:numPr>
        <w:spacing w:before="120" w:after="0"/>
        <w:contextualSpacing w:val="0"/>
      </w:pPr>
      <w:r w:rsidRPr="001E070A">
        <w:rPr>
          <w:u w:val="single"/>
        </w:rPr>
        <w:t>L</w:t>
      </w:r>
      <w:r w:rsidR="00EC2220" w:rsidRPr="001E070A">
        <w:rPr>
          <w:u w:val="single"/>
        </w:rPr>
        <w:t>e</w:t>
      </w:r>
      <w:r w:rsidRPr="001E070A">
        <w:rPr>
          <w:u w:val="single"/>
        </w:rPr>
        <w:t xml:space="preserve"> </w:t>
      </w:r>
      <w:r w:rsidR="00EC2220" w:rsidRPr="001E070A">
        <w:rPr>
          <w:u w:val="single"/>
        </w:rPr>
        <w:t>droit au logement doit être respecté, sans discrimination</w:t>
      </w:r>
      <w:r w:rsidR="00EC2220">
        <w:t xml:space="preserve">. </w:t>
      </w:r>
      <w:r w:rsidR="003A563A">
        <w:t>En vertu</w:t>
      </w:r>
      <w:r w:rsidR="00562835">
        <w:t xml:space="preserve"> de ce principe</w:t>
      </w:r>
      <w:r w:rsidR="003A563A">
        <w:t xml:space="preserve">, </w:t>
      </w:r>
      <w:r w:rsidR="00562835">
        <w:t>t</w:t>
      </w:r>
      <w:r w:rsidR="00EC2220">
        <w:t xml:space="preserve">out refus d’attribution directement ou indirectement fondé sur un motif interdit par la loi </w:t>
      </w:r>
      <w:r w:rsidR="000D647F">
        <w:t xml:space="preserve">peut </w:t>
      </w:r>
      <w:r w:rsidR="00EC2220">
        <w:t>caractérise</w:t>
      </w:r>
      <w:r w:rsidR="00562835">
        <w:t>r</w:t>
      </w:r>
      <w:r w:rsidR="00EC2220">
        <w:t xml:space="preserve"> </w:t>
      </w:r>
      <w:r w:rsidR="00E922CA" w:rsidRPr="00EC2220">
        <w:t>une discrimination</w:t>
      </w:r>
      <w:r w:rsidR="00386C15">
        <w:t>.</w:t>
      </w:r>
    </w:p>
    <w:p w:rsidR="003A563A" w:rsidRDefault="003A563A" w:rsidP="003A563A">
      <w:pPr>
        <w:pStyle w:val="ListParagraph"/>
        <w:spacing w:before="120" w:after="0"/>
        <w:ind w:left="1287"/>
        <w:rPr>
          <w:b/>
          <w:i/>
        </w:rPr>
      </w:pPr>
    </w:p>
    <w:p w:rsidR="00562835" w:rsidRPr="001B41C1" w:rsidRDefault="00EC2220" w:rsidP="006B4D75">
      <w:pPr>
        <w:pStyle w:val="ListParagraph"/>
        <w:numPr>
          <w:ilvl w:val="0"/>
          <w:numId w:val="4"/>
        </w:numPr>
        <w:spacing w:before="120" w:after="0"/>
        <w:ind w:left="567"/>
        <w:rPr>
          <w:rFonts w:ascii="Weissenhof Grotesk Md" w:hAnsi="Weissenhof Grotesk Md"/>
        </w:rPr>
      </w:pPr>
      <w:r w:rsidRPr="001B41C1">
        <w:rPr>
          <w:rFonts w:ascii="Weissenhof Grotesk Md" w:hAnsi="Weissenhof Grotesk Md"/>
          <w:b/>
          <w:i/>
        </w:rPr>
        <w:t xml:space="preserve">Clarifier la légalité </w:t>
      </w:r>
      <w:r w:rsidR="0034059B" w:rsidRPr="001B41C1">
        <w:rPr>
          <w:rFonts w:ascii="Weissenhof Grotesk Md" w:hAnsi="Weissenhof Grotesk Md"/>
          <w:b/>
          <w:i/>
        </w:rPr>
        <w:t xml:space="preserve">(ou non) </w:t>
      </w:r>
      <w:r w:rsidRPr="001B41C1">
        <w:rPr>
          <w:rFonts w:ascii="Weissenhof Grotesk Md" w:hAnsi="Weissenhof Grotesk Md"/>
          <w:b/>
          <w:i/>
        </w:rPr>
        <w:t>d’une prise en compte d</w:t>
      </w:r>
      <w:r w:rsidR="0034059B" w:rsidRPr="001B41C1">
        <w:rPr>
          <w:rFonts w:ascii="Weissenhof Grotesk Md" w:hAnsi="Weissenhof Grotesk Md"/>
          <w:b/>
          <w:i/>
        </w:rPr>
        <w:t>e</w:t>
      </w:r>
      <w:r w:rsidR="00F93EF4" w:rsidRPr="001B41C1">
        <w:rPr>
          <w:rFonts w:ascii="Weissenhof Grotesk Md" w:hAnsi="Weissenhof Grotesk Md"/>
          <w:b/>
          <w:i/>
        </w:rPr>
        <w:t xml:space="preserve"> liens à la commune dans le cadre d’une demande d’attribution</w:t>
      </w:r>
      <w:r w:rsidR="00F93EF4" w:rsidRPr="001B41C1">
        <w:rPr>
          <w:rFonts w:ascii="Weissenhof Grotesk Md" w:hAnsi="Weissenhof Grotesk Md"/>
        </w:rPr>
        <w:t xml:space="preserve"> : </w:t>
      </w:r>
    </w:p>
    <w:p w:rsidR="00EC2220" w:rsidRDefault="00386C15" w:rsidP="008E5342">
      <w:pPr>
        <w:pStyle w:val="ListParagraph"/>
        <w:spacing w:before="120" w:after="0"/>
        <w:ind w:left="0"/>
        <w:contextualSpacing w:val="0"/>
      </w:pPr>
      <w:r>
        <w:t>L</w:t>
      </w:r>
      <w:r w:rsidR="00F93EF4">
        <w:t>a conviction</w:t>
      </w:r>
      <w:r>
        <w:t xml:space="preserve"> des acteurs locaux, notamment d</w:t>
      </w:r>
      <w:r w:rsidR="00F93EF4">
        <w:t>es élus, de la légitimité de la prise en compte de ces liens, et le manque de clarté des dispositions du C</w:t>
      </w:r>
      <w:r w:rsidR="00F81404">
        <w:t xml:space="preserve">ode de la </w:t>
      </w:r>
      <w:r w:rsidR="00F93EF4">
        <w:t>C</w:t>
      </w:r>
      <w:r w:rsidR="00F81404">
        <w:t>onstruction et de l’</w:t>
      </w:r>
      <w:r w:rsidR="00F93EF4">
        <w:t>H</w:t>
      </w:r>
      <w:r w:rsidR="00F81404">
        <w:t>abitation (CCH)</w:t>
      </w:r>
      <w:r w:rsidR="00F93EF4">
        <w:t xml:space="preserve"> sur ce point</w:t>
      </w:r>
      <w:r>
        <w:t>, ces dernières distingua</w:t>
      </w:r>
      <w:r w:rsidR="00F93EF4">
        <w:t xml:space="preserve">nt notamment </w:t>
      </w:r>
      <w:r w:rsidR="00EC2220">
        <w:t>entre l’enregistrement de</w:t>
      </w:r>
      <w:r w:rsidR="00F93EF4">
        <w:t xml:space="preserve"> la demande et l’attribution, </w:t>
      </w:r>
      <w:r w:rsidR="00F81404">
        <w:t xml:space="preserve">ont </w:t>
      </w:r>
      <w:r w:rsidR="00F93EF4">
        <w:t xml:space="preserve">conduit à la grande liberté que </w:t>
      </w:r>
      <w:r w:rsidR="00F81404">
        <w:t>se reconnaissent</w:t>
      </w:r>
      <w:r w:rsidR="00E2202E">
        <w:t xml:space="preserve"> les élus en la matière. En effet, si le Conseil d’Etat a statué en 1998 contre la prise en compte du fait de résider dans la commune au moment de la demande </w:t>
      </w:r>
      <w:r w:rsidR="00F93EF4">
        <w:t>(</w:t>
      </w:r>
      <w:r w:rsidR="00DF7FC4">
        <w:t xml:space="preserve">CE, 5 octobre 1998, n°172597), les </w:t>
      </w:r>
      <w:r w:rsidR="00E2202E">
        <w:t>dispositions ont plusieurs fois été modifiées sur ce point dans la loi depuis</w:t>
      </w:r>
      <w:r w:rsidR="00F93EF4">
        <w:t>.</w:t>
      </w:r>
      <w:r w:rsidR="00EC2220">
        <w:t xml:space="preserve"> </w:t>
      </w:r>
    </w:p>
    <w:p w:rsidR="00492D0E" w:rsidRDefault="00E2202E" w:rsidP="008E5342">
      <w:pPr>
        <w:pStyle w:val="ListParagraph"/>
        <w:spacing w:before="120" w:after="0"/>
        <w:ind w:left="0"/>
        <w:contextualSpacing w:val="0"/>
      </w:pPr>
      <w:r>
        <w:rPr>
          <w:rFonts w:cstheme="minorHAnsi"/>
        </w:rPr>
        <w:t>Aujourd’hui, l</w:t>
      </w:r>
      <w:r w:rsidR="00DF7FC4" w:rsidRPr="00DF7FC4">
        <w:rPr>
          <w:rFonts w:cstheme="minorHAnsi"/>
        </w:rPr>
        <w:t>’article</w:t>
      </w:r>
      <w:r w:rsidR="00EC2220" w:rsidRPr="00DF7FC4">
        <w:rPr>
          <w:rFonts w:cstheme="minorHAnsi"/>
        </w:rPr>
        <w:t xml:space="preserve"> L.441 du CCH interdit </w:t>
      </w:r>
      <w:r w:rsidR="00DF7FC4" w:rsidRPr="00DF7FC4">
        <w:rPr>
          <w:rFonts w:cstheme="minorHAnsi"/>
        </w:rPr>
        <w:t>que « </w:t>
      </w:r>
      <w:r w:rsidR="00DF7FC4" w:rsidRPr="00DF7FC4">
        <w:rPr>
          <w:rFonts w:cstheme="minorHAnsi"/>
          <w:color w:val="000000"/>
        </w:rPr>
        <w:t xml:space="preserve">l'absence de lien avec la commune d'implantation du logement constitue </w:t>
      </w:r>
      <w:r w:rsidR="00DF7FC4" w:rsidRPr="00DF7FC4">
        <w:rPr>
          <w:rFonts w:cstheme="minorHAnsi"/>
          <w:color w:val="000000"/>
          <w:u w:val="single"/>
        </w:rPr>
        <w:t>à soi seul</w:t>
      </w:r>
      <w:r w:rsidR="00DF7FC4" w:rsidRPr="00DF7FC4">
        <w:rPr>
          <w:rFonts w:cstheme="minorHAnsi"/>
          <w:color w:val="000000"/>
        </w:rPr>
        <w:t xml:space="preserve"> le motif de la non-attribution d'un logement adapté aux besoins et aux capacités du demandeur ».</w:t>
      </w:r>
      <w:r w:rsidR="00DF7FC4">
        <w:rPr>
          <w:rFonts w:ascii="Arial" w:hAnsi="Arial" w:cs="Arial"/>
          <w:color w:val="000000"/>
          <w:sz w:val="19"/>
          <w:szCs w:val="19"/>
        </w:rPr>
        <w:t xml:space="preserve"> </w:t>
      </w:r>
      <w:r w:rsidR="0034457A">
        <w:rPr>
          <w:i/>
        </w:rPr>
        <w:t>A</w:t>
      </w:r>
      <w:r w:rsidR="0034457A" w:rsidRPr="008E5342">
        <w:rPr>
          <w:i/>
        </w:rPr>
        <w:t xml:space="preserve"> contrario</w:t>
      </w:r>
      <w:r w:rsidR="0034457A">
        <w:rPr>
          <w:i/>
        </w:rPr>
        <w:t>,</w:t>
      </w:r>
      <w:r w:rsidR="0034457A">
        <w:t xml:space="preserve"> elle autorise donc</w:t>
      </w:r>
      <w:r w:rsidR="00E607F4">
        <w:t xml:space="preserve"> de les prendre en compte </w:t>
      </w:r>
      <w:r w:rsidR="00E607F4">
        <w:lastRenderedPageBreak/>
        <w:t xml:space="preserve">parmi d’autres critères </w:t>
      </w:r>
      <w:r w:rsidR="0034457A">
        <w:t>définis pour l</w:t>
      </w:r>
      <w:r w:rsidR="00E607F4">
        <w:t>’attribution</w:t>
      </w:r>
      <w:r w:rsidR="0034457A">
        <w:t>, notamment dans le cadre d’un dispositif de cotation</w:t>
      </w:r>
      <w:r w:rsidR="00C31B6C">
        <w:t xml:space="preserve"> de la demande de logement social</w:t>
      </w:r>
      <w:r w:rsidR="0034457A">
        <w:t xml:space="preserve">, appelé à devenir obligatoire </w:t>
      </w:r>
      <w:r w:rsidR="00C31B6C">
        <w:t>au 1</w:t>
      </w:r>
      <w:r w:rsidR="00C31B6C" w:rsidRPr="00C31B6C">
        <w:rPr>
          <w:vertAlign w:val="superscript"/>
        </w:rPr>
        <w:t>er</w:t>
      </w:r>
      <w:r w:rsidR="00C31B6C">
        <w:t xml:space="preserve"> septembre 2021 </w:t>
      </w:r>
      <w:r w:rsidR="0034457A">
        <w:t xml:space="preserve">en </w:t>
      </w:r>
      <w:r w:rsidR="00C31B6C">
        <w:t xml:space="preserve">dans les 400 intercommunalités soumises à la réforme de l’attribution de logements sociaux. </w:t>
      </w:r>
    </w:p>
    <w:p w:rsidR="008E5342" w:rsidRDefault="008E5342" w:rsidP="008E5342">
      <w:pPr>
        <w:pStyle w:val="ListParagraph"/>
        <w:spacing w:before="120" w:after="0"/>
        <w:ind w:left="0"/>
        <w:contextualSpacing w:val="0"/>
      </w:pPr>
      <w:r>
        <w:t xml:space="preserve">Le Défenseur des droits </w:t>
      </w:r>
      <w:r w:rsidR="00386C15">
        <w:t xml:space="preserve">(notamment la HALDE) </w:t>
      </w:r>
      <w:r>
        <w:t>qui avait initialement</w:t>
      </w:r>
      <w:r w:rsidR="00386C15">
        <w:t xml:space="preserve"> reconnu des refus d’attribution à des demandeurs de logement social qui ne résidai</w:t>
      </w:r>
      <w:r w:rsidR="00C31B6C">
        <w:t>en</w:t>
      </w:r>
      <w:r w:rsidR="00386C15">
        <w:t>t pas sur la commune comme indirectement discriminatoire</w:t>
      </w:r>
      <w:r w:rsidR="00E2202E">
        <w:t>s</w:t>
      </w:r>
      <w:r w:rsidR="00386C15">
        <w:t xml:space="preserve"> (délibérations n°2007-77 du 12 mars 2007, et n°2008-220 du 20 octobre 2008), a ensuite considéré que des liens à la commune pouvaient être pris en compte dans </w:t>
      </w:r>
      <w:r w:rsidR="00E2202E">
        <w:t>un</w:t>
      </w:r>
      <w:r w:rsidR="00386C15">
        <w:t xml:space="preserve"> dispositif de cotation, notamment le fait d’y résider ou d’y travailler, à condition que la pondéra</w:t>
      </w:r>
      <w:r w:rsidR="00FD572E">
        <w:t>tion retenue ne conduise pas à exclure</w:t>
      </w:r>
      <w:r w:rsidR="00386C15">
        <w:t xml:space="preserve"> systématiquement </w:t>
      </w:r>
      <w:r w:rsidR="00FD572E">
        <w:t>les demandeurs ne présentant pas de tels liens (Décision n°2013-206 du 20</w:t>
      </w:r>
      <w:r w:rsidR="00E2202E">
        <w:t xml:space="preserve"> juin 2013 relative à l’avis du Défenseur des droits sur le dispositif de cotation de la demande de logement social à Paris)</w:t>
      </w:r>
      <w:r w:rsidR="00FD572E">
        <w:t xml:space="preserve">. </w:t>
      </w:r>
    </w:p>
    <w:p w:rsidR="00FD572E" w:rsidRPr="00FD572E" w:rsidRDefault="00AD2603" w:rsidP="008E5342">
      <w:pPr>
        <w:pStyle w:val="ListParagraph"/>
        <w:spacing w:before="120" w:after="0"/>
        <w:ind w:left="0"/>
        <w:contextualSpacing w:val="0"/>
        <w:rPr>
          <w:b/>
        </w:rPr>
      </w:pPr>
      <w:r>
        <w:rPr>
          <w:b/>
          <w:u w:val="single"/>
        </w:rPr>
        <w:t xml:space="preserve">Dans le contexte d’une </w:t>
      </w:r>
      <w:r w:rsidR="00FD572E" w:rsidRPr="000F1B78">
        <w:rPr>
          <w:b/>
          <w:u w:val="single"/>
        </w:rPr>
        <w:t xml:space="preserve">généralisation </w:t>
      </w:r>
      <w:r>
        <w:rPr>
          <w:b/>
          <w:u w:val="single"/>
        </w:rPr>
        <w:t xml:space="preserve">prochaine </w:t>
      </w:r>
      <w:r w:rsidR="00FD572E" w:rsidRPr="000F1B78">
        <w:rPr>
          <w:b/>
          <w:u w:val="single"/>
        </w:rPr>
        <w:t xml:space="preserve">des dispositifs de cotation dans les intercommunalités </w:t>
      </w:r>
      <w:r w:rsidR="00C04650">
        <w:rPr>
          <w:b/>
          <w:u w:val="single"/>
        </w:rPr>
        <w:t xml:space="preserve">soumises à </w:t>
      </w:r>
      <w:r w:rsidR="00FD572E" w:rsidRPr="000F1B78">
        <w:rPr>
          <w:b/>
          <w:u w:val="single"/>
        </w:rPr>
        <w:t xml:space="preserve"> la réforme de l’attribution</w:t>
      </w:r>
      <w:r w:rsidR="008D6063">
        <w:rPr>
          <w:rStyle w:val="FootnoteReference"/>
          <w:b/>
          <w:u w:val="single"/>
        </w:rPr>
        <w:footnoteReference w:id="8"/>
      </w:r>
      <w:r w:rsidR="00FD572E" w:rsidRPr="000F1B78">
        <w:rPr>
          <w:b/>
          <w:u w:val="single"/>
        </w:rPr>
        <w:t xml:space="preserve">, </w:t>
      </w:r>
      <w:r>
        <w:rPr>
          <w:b/>
          <w:u w:val="single"/>
        </w:rPr>
        <w:t xml:space="preserve">la possibilité de retenir dans les dispositifs de cotation de la demande des liens à la commune, en particulier par le fait d’y résider, </w:t>
      </w:r>
      <w:r w:rsidR="00E2202E">
        <w:rPr>
          <w:b/>
          <w:u w:val="single"/>
        </w:rPr>
        <w:t>doit</w:t>
      </w:r>
      <w:r>
        <w:rPr>
          <w:b/>
          <w:u w:val="single"/>
        </w:rPr>
        <w:t xml:space="preserve"> aujourd’hui </w:t>
      </w:r>
      <w:r w:rsidR="00E2202E">
        <w:rPr>
          <w:b/>
          <w:u w:val="single"/>
        </w:rPr>
        <w:t>être</w:t>
      </w:r>
      <w:r w:rsidR="00FD7DC1" w:rsidRPr="000F1B78">
        <w:rPr>
          <w:b/>
          <w:u w:val="single"/>
        </w:rPr>
        <w:t xml:space="preserve"> ré</w:t>
      </w:r>
      <w:r>
        <w:rPr>
          <w:b/>
          <w:u w:val="single"/>
        </w:rPr>
        <w:t>interrog</w:t>
      </w:r>
      <w:r w:rsidR="00E2202E">
        <w:rPr>
          <w:b/>
          <w:u w:val="single"/>
        </w:rPr>
        <w:t>é</w:t>
      </w:r>
      <w:r w:rsidR="00FD572E" w:rsidRPr="000F1B78">
        <w:rPr>
          <w:b/>
          <w:u w:val="single"/>
        </w:rPr>
        <w:t xml:space="preserve"> </w:t>
      </w:r>
      <w:r w:rsidR="00C04650">
        <w:rPr>
          <w:b/>
          <w:u w:val="single"/>
        </w:rPr>
        <w:t xml:space="preserve">à la lumière du lieu de résidence, critère interdit </w:t>
      </w:r>
      <w:r>
        <w:rPr>
          <w:b/>
          <w:u w:val="single"/>
        </w:rPr>
        <w:t xml:space="preserve">depuis </w:t>
      </w:r>
      <w:r w:rsidR="00FD572E" w:rsidRPr="000F1B78">
        <w:rPr>
          <w:b/>
          <w:u w:val="single"/>
        </w:rPr>
        <w:t>2014</w:t>
      </w:r>
      <w:r w:rsidR="001E070A">
        <w:rPr>
          <w:rStyle w:val="FootnoteReference"/>
          <w:b/>
          <w:u w:val="single"/>
        </w:rPr>
        <w:footnoteReference w:id="9"/>
      </w:r>
      <w:r w:rsidR="00FD572E">
        <w:rPr>
          <w:b/>
        </w:rPr>
        <w:t>.</w:t>
      </w:r>
    </w:p>
    <w:p w:rsidR="00DF7FC4" w:rsidRPr="001B41C1" w:rsidRDefault="0034059B" w:rsidP="006B4D75">
      <w:pPr>
        <w:pStyle w:val="ListParagraph"/>
        <w:numPr>
          <w:ilvl w:val="0"/>
          <w:numId w:val="4"/>
        </w:numPr>
        <w:spacing w:before="120" w:after="0"/>
        <w:ind w:left="567"/>
        <w:contextualSpacing w:val="0"/>
        <w:rPr>
          <w:rFonts w:ascii="Weissenhof Grotesk Md" w:hAnsi="Weissenhof Grotesk Md"/>
          <w:b/>
          <w:i/>
        </w:rPr>
      </w:pPr>
      <w:r w:rsidRPr="001B41C1">
        <w:rPr>
          <w:rFonts w:ascii="Weissenhof Grotesk Md" w:hAnsi="Weissenhof Grotesk Md"/>
          <w:b/>
          <w:i/>
        </w:rPr>
        <w:t xml:space="preserve">Reconnaître </w:t>
      </w:r>
      <w:r w:rsidR="00001C70" w:rsidRPr="001B41C1">
        <w:rPr>
          <w:rFonts w:ascii="Weissenhof Grotesk Md" w:hAnsi="Weissenhof Grotesk Md"/>
          <w:b/>
          <w:i/>
        </w:rPr>
        <w:t>un refus d’attribution au motif d’un</w:t>
      </w:r>
      <w:r w:rsidR="00342723" w:rsidRPr="001B41C1">
        <w:rPr>
          <w:rFonts w:ascii="Weissenhof Grotesk Md" w:hAnsi="Weissenhof Grotesk Md"/>
          <w:b/>
          <w:i/>
        </w:rPr>
        <w:t xml:space="preserve"> « reste à vivre » </w:t>
      </w:r>
      <w:r w:rsidR="00001C70" w:rsidRPr="001B41C1">
        <w:rPr>
          <w:rFonts w:ascii="Weissenhof Grotesk Md" w:hAnsi="Weissenhof Grotesk Md"/>
          <w:b/>
          <w:i/>
        </w:rPr>
        <w:t xml:space="preserve">insuffisant </w:t>
      </w:r>
      <w:r w:rsidR="001E070A">
        <w:rPr>
          <w:rFonts w:ascii="Weissenhof Grotesk Md" w:hAnsi="Weissenhof Grotesk Md"/>
          <w:b/>
          <w:i/>
        </w:rPr>
        <w:t>comme illégal</w:t>
      </w:r>
      <w:r w:rsidR="00342723" w:rsidRPr="001B41C1">
        <w:rPr>
          <w:rFonts w:ascii="Weissenhof Grotesk Md" w:hAnsi="Weissenhof Grotesk Md"/>
          <w:b/>
          <w:i/>
        </w:rPr>
        <w:t xml:space="preserve"> et discriminatoire </w:t>
      </w:r>
      <w:r w:rsidR="00001C70" w:rsidRPr="001B41C1">
        <w:rPr>
          <w:rFonts w:ascii="Weissenhof Grotesk Md" w:hAnsi="Weissenhof Grotesk Md"/>
          <w:b/>
          <w:i/>
        </w:rPr>
        <w:t>au motif de la particulière vulnérabilité économique</w:t>
      </w:r>
    </w:p>
    <w:p w:rsidR="00482D5E" w:rsidRPr="00C04650" w:rsidRDefault="00DF7FC4" w:rsidP="00482D5E">
      <w:pPr>
        <w:spacing w:before="120" w:after="0"/>
      </w:pPr>
      <w:r>
        <w:t>Le Défense</w:t>
      </w:r>
      <w:r w:rsidR="007738E2">
        <w:t>ur des droits a</w:t>
      </w:r>
      <w:r w:rsidR="008D6063">
        <w:t xml:space="preserve"> retenu </w:t>
      </w:r>
      <w:r>
        <w:t xml:space="preserve">dans </w:t>
      </w:r>
      <w:r w:rsidR="007738E2">
        <w:t>deux</w:t>
      </w:r>
      <w:r>
        <w:t xml:space="preserve"> décisions </w:t>
      </w:r>
      <w:r w:rsidR="008D6063">
        <w:t xml:space="preserve">adoptées en 2019 </w:t>
      </w:r>
      <w:r w:rsidR="007738E2">
        <w:t xml:space="preserve">qu’un refus d’attribution au motif de ressources insuffisantes appréciées de manière prépondérante au vu d’un « reste à </w:t>
      </w:r>
      <w:r w:rsidR="007738E2">
        <w:lastRenderedPageBreak/>
        <w:t>vivre », était non seulement illégal mais pouvait caractériser une discrimination à raison de la particulière vulnérabilité économique du demandeur (Décisions n°2019-052 du 21 février 2019</w:t>
      </w:r>
      <w:r w:rsidR="00C04650">
        <w:rPr>
          <w:rStyle w:val="FootnoteReference"/>
        </w:rPr>
        <w:footnoteReference w:id="10"/>
      </w:r>
      <w:r w:rsidR="007738E2">
        <w:t>, n°2019-</w:t>
      </w:r>
      <w:r w:rsidR="009B23B6">
        <w:t>268 du 24 octobre</w:t>
      </w:r>
      <w:r w:rsidR="007738E2">
        <w:t xml:space="preserve"> 2019). </w:t>
      </w:r>
    </w:p>
    <w:p w:rsidR="00BB2158" w:rsidRDefault="00D24889" w:rsidP="00BB2158">
      <w:pPr>
        <w:spacing w:before="120" w:after="0"/>
      </w:pPr>
      <w:r>
        <w:t xml:space="preserve">En effet, </w:t>
      </w:r>
      <w:r w:rsidR="000358CB">
        <w:t xml:space="preserve"> </w:t>
      </w:r>
      <w:r>
        <w:t xml:space="preserve">bien que la notion </w:t>
      </w:r>
      <w:r w:rsidR="008D6063">
        <w:t xml:space="preserve">de « reste à vivre » ne soit </w:t>
      </w:r>
      <w:r>
        <w:t>ni prévue ni définie par la loi</w:t>
      </w:r>
      <w:r>
        <w:rPr>
          <w:rStyle w:val="FootnoteReference"/>
        </w:rPr>
        <w:footnoteReference w:id="11"/>
      </w:r>
      <w:r>
        <w:t xml:space="preserve">, </w:t>
      </w:r>
      <w:r w:rsidR="00BB2158">
        <w:t xml:space="preserve">la </w:t>
      </w:r>
      <w:r>
        <w:t>plupart</w:t>
      </w:r>
      <w:r w:rsidR="00BB2158">
        <w:t xml:space="preserve"> des bailleurs sociaux y ont recours</w:t>
      </w:r>
      <w:r w:rsidRPr="00D24889">
        <w:t xml:space="preserve"> </w:t>
      </w:r>
      <w:r>
        <w:t>aujourd’hui pour apprécier la capacité des demandeurs à payer régulièrement leur loyer</w:t>
      </w:r>
      <w:r w:rsidR="00BB2158">
        <w:rPr>
          <w:rStyle w:val="FootnoteReference"/>
        </w:rPr>
        <w:footnoteReference w:id="12"/>
      </w:r>
      <w:r w:rsidR="00BB2158">
        <w:t xml:space="preserve">. </w:t>
      </w:r>
    </w:p>
    <w:p w:rsidR="00137D38" w:rsidRDefault="00D24889" w:rsidP="00482D5E">
      <w:pPr>
        <w:spacing w:before="120" w:after="0"/>
      </w:pPr>
      <w:r>
        <w:t>Les recommandations formulées en 2012 par le Conseil National de</w:t>
      </w:r>
      <w:r w:rsidR="008D6063">
        <w:t xml:space="preserve">s politiques de </w:t>
      </w:r>
      <w:r>
        <w:t xml:space="preserve">Lutte contre </w:t>
      </w:r>
      <w:r w:rsidR="008D6063">
        <w:t xml:space="preserve">la pauvreté et contre </w:t>
      </w:r>
      <w:r>
        <w:t xml:space="preserve">l’Exclusion </w:t>
      </w:r>
      <w:r w:rsidR="008D6063">
        <w:t xml:space="preserve">sociale (CNLE) </w:t>
      </w:r>
      <w:r>
        <w:t>dans le recours « au reste à vivre »</w:t>
      </w:r>
      <w:r>
        <w:rPr>
          <w:rStyle w:val="FootnoteReference"/>
        </w:rPr>
        <w:footnoteReference w:id="13"/>
      </w:r>
      <w:r>
        <w:t xml:space="preserve"> sont aujourd’hui plus que jamais d’actualité en présence </w:t>
      </w:r>
      <w:r w:rsidR="00023300">
        <w:t>d’importants risques d’exclusion des plus pauvres de l’accès au logement social face à la</w:t>
      </w:r>
      <w:r w:rsidR="000358CB">
        <w:t xml:space="preserve"> pénurie de </w:t>
      </w:r>
      <w:r w:rsidR="00BB2158">
        <w:t xml:space="preserve">logements sociaux à bas loyers </w:t>
      </w:r>
      <w:r w:rsidR="000358CB">
        <w:t>po</w:t>
      </w:r>
      <w:r w:rsidR="00023300">
        <w:t xml:space="preserve">uvant répondre à leur demande, comme l’ont montré plusieurs études récentes. </w:t>
      </w:r>
    </w:p>
    <w:p w:rsidR="009F1C78" w:rsidRPr="002764B1" w:rsidRDefault="00023300" w:rsidP="009F1C78">
      <w:pPr>
        <w:spacing w:before="120" w:after="0"/>
        <w:rPr>
          <w:rFonts w:ascii="Weissenhof Grotesk" w:hAnsi="Weissenhof Grotesk"/>
          <w:lang w:eastAsia="fr-FR"/>
        </w:rPr>
      </w:pPr>
      <w:r w:rsidRPr="006D7BCE">
        <w:t xml:space="preserve">En 2016, </w:t>
      </w:r>
      <w:r w:rsidRPr="006D7BCE">
        <w:rPr>
          <w:lang w:eastAsia="fr-FR"/>
        </w:rPr>
        <w:t xml:space="preserve">72% des demandeurs </w:t>
      </w:r>
      <w:r w:rsidR="009B2ABE">
        <w:rPr>
          <w:lang w:eastAsia="fr-FR"/>
        </w:rPr>
        <w:t>avaient des ressources inférieures aux logements sociaux à bas loyers</w:t>
      </w:r>
      <w:r w:rsidR="008D6063">
        <w:rPr>
          <w:lang w:eastAsia="fr-FR"/>
        </w:rPr>
        <w:t xml:space="preserve"> (logements financés </w:t>
      </w:r>
      <w:r w:rsidRPr="006D7BCE">
        <w:rPr>
          <w:lang w:eastAsia="fr-FR"/>
        </w:rPr>
        <w:t>en PLAI</w:t>
      </w:r>
      <w:r w:rsidR="008D6063">
        <w:rPr>
          <w:lang w:eastAsia="fr-FR"/>
        </w:rPr>
        <w:t>)</w:t>
      </w:r>
      <w:r w:rsidRPr="002764B1">
        <w:rPr>
          <w:rStyle w:val="FootnoteReference"/>
          <w:rFonts w:ascii="Weissenhof Grotesk" w:hAnsi="Weissenhof Grotesk"/>
          <w:lang w:eastAsia="fr-FR"/>
        </w:rPr>
        <w:footnoteReference w:id="14"/>
      </w:r>
      <w:r>
        <w:rPr>
          <w:lang w:eastAsia="fr-FR"/>
        </w:rPr>
        <w:t xml:space="preserve">, </w:t>
      </w:r>
      <w:r w:rsidR="009F1C78" w:rsidRPr="002764B1">
        <w:rPr>
          <w:rFonts w:ascii="Weissenhof Grotesk" w:hAnsi="Weissenhof Grotesk"/>
          <w:lang w:eastAsia="fr-FR"/>
        </w:rPr>
        <w:t xml:space="preserve"> </w:t>
      </w:r>
      <w:r>
        <w:rPr>
          <w:rFonts w:ascii="Weissenhof Grotesk" w:hAnsi="Weissenhof Grotesk"/>
          <w:lang w:eastAsia="fr-FR"/>
        </w:rPr>
        <w:t>mais</w:t>
      </w:r>
      <w:r w:rsidR="009F1C78" w:rsidRPr="002764B1">
        <w:rPr>
          <w:rFonts w:ascii="Weissenhof Grotesk" w:hAnsi="Weissenhof Grotesk"/>
          <w:lang w:eastAsia="fr-FR"/>
        </w:rPr>
        <w:t xml:space="preserve"> 30% </w:t>
      </w:r>
      <w:r w:rsidR="009B2ABE">
        <w:rPr>
          <w:rFonts w:ascii="Weissenhof Grotesk" w:hAnsi="Weissenhof Grotesk"/>
          <w:lang w:eastAsia="fr-FR"/>
        </w:rPr>
        <w:t xml:space="preserve">seulement </w:t>
      </w:r>
      <w:r w:rsidR="009F1C78" w:rsidRPr="002764B1">
        <w:rPr>
          <w:rFonts w:ascii="Weissenhof Grotesk" w:hAnsi="Weissenhof Grotesk"/>
          <w:lang w:eastAsia="fr-FR"/>
        </w:rPr>
        <w:t xml:space="preserve">des logements  sociaux mis ou remis à la location leur </w:t>
      </w:r>
      <w:r w:rsidR="009B2ABE">
        <w:rPr>
          <w:rFonts w:ascii="Weissenhof Grotesk" w:hAnsi="Weissenhof Grotesk"/>
          <w:lang w:eastAsia="fr-FR"/>
        </w:rPr>
        <w:t>étaient</w:t>
      </w:r>
      <w:r w:rsidR="009F1C78" w:rsidRPr="002764B1">
        <w:rPr>
          <w:rFonts w:ascii="Weissenhof Grotesk" w:hAnsi="Weissenhof Grotesk"/>
          <w:lang w:eastAsia="fr-FR"/>
        </w:rPr>
        <w:t xml:space="preserve"> financièrement accessibles</w:t>
      </w:r>
      <w:r w:rsidR="009F1C78" w:rsidRPr="002764B1">
        <w:rPr>
          <w:rStyle w:val="FootnoteReference"/>
          <w:rFonts w:ascii="Weissenhof Grotesk" w:hAnsi="Weissenhof Grotesk"/>
          <w:lang w:eastAsia="fr-FR"/>
        </w:rPr>
        <w:footnoteReference w:id="15"/>
      </w:r>
      <w:r w:rsidR="009F1C78" w:rsidRPr="002764B1">
        <w:rPr>
          <w:rFonts w:ascii="Weissenhof Grotesk" w:hAnsi="Weissenhof Grotesk"/>
          <w:lang w:eastAsia="fr-FR"/>
        </w:rPr>
        <w:t xml:space="preserve">. </w:t>
      </w:r>
    </w:p>
    <w:p w:rsidR="00023300" w:rsidRDefault="00023300" w:rsidP="00630A63">
      <w:pPr>
        <w:spacing w:before="120" w:after="0"/>
        <w:rPr>
          <w:b/>
        </w:rPr>
      </w:pPr>
      <w:r>
        <w:t>Dans ce contexte</w:t>
      </w:r>
      <w:r w:rsidR="009B2ABE">
        <w:t xml:space="preserve"> peu propice à la transparence des attributions</w:t>
      </w:r>
      <w:r>
        <w:t xml:space="preserve">, il </w:t>
      </w:r>
      <w:r>
        <w:rPr>
          <w:b/>
        </w:rPr>
        <w:t>apparaît urgent</w:t>
      </w:r>
      <w:r w:rsidR="003B3D6E">
        <w:rPr>
          <w:b/>
        </w:rPr>
        <w:t xml:space="preserve"> de </w:t>
      </w:r>
      <w:r w:rsidR="003B3D6E" w:rsidRPr="000F1B78">
        <w:rPr>
          <w:b/>
          <w:u w:val="single"/>
        </w:rPr>
        <w:t xml:space="preserve">rappeler </w:t>
      </w:r>
      <w:r w:rsidR="0064020E">
        <w:rPr>
          <w:b/>
          <w:u w:val="single"/>
        </w:rPr>
        <w:t xml:space="preserve">aux acteurs du logement social </w:t>
      </w:r>
      <w:r w:rsidR="003B3D6E" w:rsidRPr="000F1B78">
        <w:rPr>
          <w:b/>
          <w:u w:val="single"/>
        </w:rPr>
        <w:t xml:space="preserve">que le recours à </w:t>
      </w:r>
      <w:r w:rsidR="000F1B78" w:rsidRPr="000F1B78">
        <w:rPr>
          <w:b/>
          <w:u w:val="single"/>
        </w:rPr>
        <w:t>la</w:t>
      </w:r>
      <w:r w:rsidR="003B3D6E" w:rsidRPr="000F1B78">
        <w:rPr>
          <w:b/>
          <w:u w:val="single"/>
        </w:rPr>
        <w:t xml:space="preserve"> notion </w:t>
      </w:r>
      <w:r w:rsidR="000F1B78" w:rsidRPr="000F1B78">
        <w:rPr>
          <w:b/>
          <w:u w:val="single"/>
        </w:rPr>
        <w:t xml:space="preserve">de « reste à vivre » </w:t>
      </w:r>
      <w:r w:rsidR="000F1B78" w:rsidRPr="000F1B78">
        <w:rPr>
          <w:b/>
          <w:u w:val="single"/>
        </w:rPr>
        <w:lastRenderedPageBreak/>
        <w:t xml:space="preserve">pour apprécier la capacité des demandeurs à payer le loyer, utilisée seule ou de manière prépondérante, </w:t>
      </w:r>
      <w:r w:rsidR="003B3D6E" w:rsidRPr="000F1B78">
        <w:rPr>
          <w:b/>
          <w:u w:val="single"/>
        </w:rPr>
        <w:t xml:space="preserve">est illégal </w:t>
      </w:r>
      <w:r w:rsidR="0064020E">
        <w:rPr>
          <w:b/>
          <w:u w:val="single"/>
        </w:rPr>
        <w:t>et comporte le ris</w:t>
      </w:r>
      <w:r w:rsidR="00EB1311">
        <w:rPr>
          <w:b/>
          <w:u w:val="single"/>
        </w:rPr>
        <w:t>q</w:t>
      </w:r>
      <w:r w:rsidR="0064020E">
        <w:rPr>
          <w:b/>
          <w:u w:val="single"/>
        </w:rPr>
        <w:t>u</w:t>
      </w:r>
      <w:r w:rsidR="00EB1311">
        <w:rPr>
          <w:b/>
          <w:u w:val="single"/>
        </w:rPr>
        <w:t>e d’</w:t>
      </w:r>
      <w:r w:rsidR="0064020E">
        <w:rPr>
          <w:b/>
          <w:u w:val="single"/>
        </w:rPr>
        <w:t>une di</w:t>
      </w:r>
      <w:r w:rsidR="00EB1311">
        <w:rPr>
          <w:b/>
          <w:u w:val="single"/>
        </w:rPr>
        <w:t>scrimination indirecte au mot</w:t>
      </w:r>
      <w:r w:rsidR="0064020E">
        <w:rPr>
          <w:b/>
          <w:u w:val="single"/>
        </w:rPr>
        <w:t>if de la particulière vulnérabilité économique des demandeurs. Il importe</w:t>
      </w:r>
      <w:r w:rsidR="003B3D6E" w:rsidRPr="000F1B78">
        <w:rPr>
          <w:b/>
          <w:u w:val="single"/>
        </w:rPr>
        <w:t xml:space="preserve">, </w:t>
      </w:r>
      <w:r w:rsidR="003B3D6E" w:rsidRPr="000F1B78">
        <w:rPr>
          <w:b/>
          <w:i/>
          <w:u w:val="single"/>
        </w:rPr>
        <w:t>a minima</w:t>
      </w:r>
      <w:r w:rsidR="003B3D6E" w:rsidRPr="000F1B78">
        <w:rPr>
          <w:b/>
          <w:u w:val="single"/>
        </w:rPr>
        <w:t xml:space="preserve">, de préciser </w:t>
      </w:r>
      <w:r w:rsidR="0064020E">
        <w:rPr>
          <w:b/>
          <w:u w:val="single"/>
        </w:rPr>
        <w:t xml:space="preserve">cette notion </w:t>
      </w:r>
      <w:r w:rsidR="003B3D6E" w:rsidRPr="000F1B78">
        <w:rPr>
          <w:b/>
          <w:u w:val="single"/>
        </w:rPr>
        <w:t>dans la loi</w:t>
      </w:r>
      <w:r w:rsidR="003B3D6E">
        <w:rPr>
          <w:b/>
        </w:rPr>
        <w:t xml:space="preserve">. </w:t>
      </w:r>
    </w:p>
    <w:p w:rsidR="0079475A" w:rsidRPr="003B3D6E" w:rsidRDefault="009B2ABE" w:rsidP="00630A63">
      <w:pPr>
        <w:spacing w:before="120" w:after="0"/>
        <w:rPr>
          <w:b/>
        </w:rPr>
      </w:pPr>
      <w:r>
        <w:rPr>
          <w:b/>
        </w:rPr>
        <w:t>U</w:t>
      </w:r>
      <w:r w:rsidR="00023300">
        <w:rPr>
          <w:b/>
        </w:rPr>
        <w:t xml:space="preserve">ne </w:t>
      </w:r>
      <w:r w:rsidR="00023300" w:rsidRPr="009B23B6">
        <w:rPr>
          <w:b/>
          <w:u w:val="single"/>
        </w:rPr>
        <w:t xml:space="preserve">étude </w:t>
      </w:r>
      <w:r w:rsidR="00B87EBC" w:rsidRPr="009B23B6">
        <w:rPr>
          <w:b/>
          <w:u w:val="single"/>
        </w:rPr>
        <w:t>commandée par le Défenseur des droits sur</w:t>
      </w:r>
      <w:r w:rsidR="00023300" w:rsidRPr="009B23B6">
        <w:rPr>
          <w:b/>
          <w:u w:val="single"/>
        </w:rPr>
        <w:t xml:space="preserve"> l’impac</w:t>
      </w:r>
      <w:r w:rsidR="00B87EBC" w:rsidRPr="009B23B6">
        <w:rPr>
          <w:b/>
          <w:u w:val="single"/>
        </w:rPr>
        <w:t xml:space="preserve">t de la </w:t>
      </w:r>
      <w:r w:rsidR="00023300" w:rsidRPr="009B23B6">
        <w:rPr>
          <w:b/>
          <w:u w:val="single"/>
        </w:rPr>
        <w:t xml:space="preserve">vulnérabilité économique </w:t>
      </w:r>
      <w:r w:rsidR="00B87EBC" w:rsidRPr="009B23B6">
        <w:rPr>
          <w:b/>
          <w:u w:val="single"/>
        </w:rPr>
        <w:t>dans l’accès au logement social</w:t>
      </w:r>
      <w:r w:rsidR="00B87EBC">
        <w:rPr>
          <w:b/>
        </w:rPr>
        <w:t xml:space="preserve"> dont les résultats sont attendus en 2022 </w:t>
      </w:r>
      <w:r>
        <w:rPr>
          <w:b/>
        </w:rPr>
        <w:t xml:space="preserve">devrait par ailleurs venir </w:t>
      </w:r>
      <w:r w:rsidR="00B87EBC">
        <w:rPr>
          <w:b/>
        </w:rPr>
        <w:t>éclairer la manière dont ce critère peut être mobilisé pour montrer les discriminations à l’œuvre dans ce domaine.</w:t>
      </w:r>
    </w:p>
    <w:p w:rsidR="007B5AA1" w:rsidRPr="001B41C1" w:rsidRDefault="002C62E3" w:rsidP="006B4D75">
      <w:pPr>
        <w:pStyle w:val="ListParagraph"/>
        <w:numPr>
          <w:ilvl w:val="0"/>
          <w:numId w:val="4"/>
        </w:numPr>
        <w:spacing w:before="120" w:after="0"/>
        <w:ind w:left="567"/>
        <w:contextualSpacing w:val="0"/>
        <w:rPr>
          <w:rFonts w:ascii="Weissenhof Grotesk Md" w:hAnsi="Weissenhof Grotesk Md"/>
          <w:b/>
          <w:i/>
        </w:rPr>
      </w:pPr>
      <w:r w:rsidRPr="001B41C1">
        <w:rPr>
          <w:rFonts w:ascii="Weissenhof Grotesk Md" w:hAnsi="Weissenhof Grotesk Md"/>
          <w:b/>
          <w:i/>
        </w:rPr>
        <w:t>A</w:t>
      </w:r>
      <w:r w:rsidR="00CC1780" w:rsidRPr="001B41C1">
        <w:rPr>
          <w:rFonts w:ascii="Weissenhof Grotesk Md" w:hAnsi="Weissenhof Grotesk Md"/>
          <w:b/>
          <w:i/>
        </w:rPr>
        <w:t>nalyse</w:t>
      </w:r>
      <w:r w:rsidRPr="001B41C1">
        <w:rPr>
          <w:rFonts w:ascii="Weissenhof Grotesk Md" w:hAnsi="Weissenhof Grotesk Md"/>
          <w:b/>
          <w:i/>
        </w:rPr>
        <w:t>r</w:t>
      </w:r>
      <w:r w:rsidR="00CC1780" w:rsidRPr="001B41C1">
        <w:rPr>
          <w:rFonts w:ascii="Weissenhof Grotesk Md" w:hAnsi="Weissenhof Grotesk Md"/>
          <w:b/>
          <w:i/>
        </w:rPr>
        <w:t xml:space="preserve"> </w:t>
      </w:r>
      <w:r w:rsidR="007B5AA1" w:rsidRPr="001B41C1">
        <w:rPr>
          <w:rFonts w:ascii="Weissenhof Grotesk Md" w:hAnsi="Weissenhof Grotesk Md"/>
          <w:b/>
          <w:i/>
        </w:rPr>
        <w:t>la portée juridique de condition de régularité de séjour pour l’accès au logement social</w:t>
      </w:r>
    </w:p>
    <w:p w:rsidR="00F81404" w:rsidRDefault="00127C99" w:rsidP="009B2ABE">
      <w:pPr>
        <w:pStyle w:val="ListParagraph"/>
        <w:spacing w:before="120" w:after="0"/>
        <w:ind w:left="0"/>
        <w:contextualSpacing w:val="0"/>
      </w:pPr>
      <w:r>
        <w:t xml:space="preserve">La complexité, </w:t>
      </w:r>
      <w:r w:rsidRPr="00127C99">
        <w:t xml:space="preserve">l’absence de clarté des textes </w:t>
      </w:r>
      <w:r>
        <w:t xml:space="preserve">et leur évolution fréquente sur les conditions de séjour </w:t>
      </w:r>
      <w:r w:rsidR="008934BC">
        <w:t xml:space="preserve">dans un contexte de durcissement des conditions d’accès au logement social aux étrangers (elles sont imposées à tous les majeurs composant le ménage demandeur depuis 2011) </w:t>
      </w:r>
      <w:r>
        <w:t>sont régulièrement source</w:t>
      </w:r>
      <w:r w:rsidRPr="00127C99">
        <w:t xml:space="preserve"> d’interprétation</w:t>
      </w:r>
      <w:r>
        <w:t xml:space="preserve">s parfois contradictoires </w:t>
      </w:r>
      <w:r w:rsidR="008934BC">
        <w:t xml:space="preserve">voire de contentieux </w:t>
      </w:r>
      <w:r>
        <w:t>sur leur mise en œuvre.</w:t>
      </w:r>
      <w:r w:rsidRPr="00127C99">
        <w:t xml:space="preserve"> </w:t>
      </w:r>
    </w:p>
    <w:p w:rsidR="00F81404" w:rsidRDefault="009B2ABE" w:rsidP="009B2ABE">
      <w:pPr>
        <w:pStyle w:val="ListParagraph"/>
        <w:spacing w:before="120" w:after="0"/>
        <w:ind w:left="0"/>
        <w:contextualSpacing w:val="0"/>
      </w:pPr>
      <w:r>
        <w:t>Rappelons qu’en droit français, aucune loi ne pose de condition de régularité du séjour en matière locative, qu’il s’agis</w:t>
      </w:r>
      <w:r w:rsidR="00FE2A03">
        <w:t xml:space="preserve">se du logement privé ou social. </w:t>
      </w:r>
      <w:r>
        <w:t>L</w:t>
      </w:r>
      <w:r w:rsidR="00127C99">
        <w:t xml:space="preserve">a condition de séjour </w:t>
      </w:r>
      <w:r>
        <w:t>pour l’accès au</w:t>
      </w:r>
      <w:r w:rsidR="006D4177">
        <w:t xml:space="preserve"> logement social n’existe que depuis 1986 et</w:t>
      </w:r>
      <w:r>
        <w:t xml:space="preserve"> résulte d’un</w:t>
      </w:r>
      <w:r w:rsidR="00127C99">
        <w:t xml:space="preserve"> </w:t>
      </w:r>
      <w:r w:rsidR="006D4177">
        <w:t xml:space="preserve">simple </w:t>
      </w:r>
      <w:r w:rsidR="00127C99">
        <w:t xml:space="preserve">décret </w:t>
      </w:r>
      <w:r w:rsidR="008934BC">
        <w:t>(article R.441-1 du CCH)</w:t>
      </w:r>
      <w:r w:rsidR="00127C99">
        <w:t>.</w:t>
      </w:r>
      <w:r w:rsidR="008934BC">
        <w:t xml:space="preserve"> </w:t>
      </w:r>
    </w:p>
    <w:p w:rsidR="00CE64E4" w:rsidRDefault="008934BC" w:rsidP="009B2ABE">
      <w:pPr>
        <w:pStyle w:val="ListParagraph"/>
        <w:spacing w:before="120" w:after="0"/>
        <w:ind w:left="0"/>
        <w:contextualSpacing w:val="0"/>
      </w:pPr>
      <w:r>
        <w:t xml:space="preserve">Cette question </w:t>
      </w:r>
      <w:r w:rsidR="006D4177">
        <w:t>appelle</w:t>
      </w:r>
      <w:r>
        <w:t xml:space="preserve"> une attention particulière dans un contexte </w:t>
      </w:r>
      <w:r w:rsidR="0034195C">
        <w:t xml:space="preserve">où </w:t>
      </w:r>
      <w:r>
        <w:t>de nombreux candidats potentiels parmi les réfugiés sortant d’hébergement ou dans le cadre d’une pro</w:t>
      </w:r>
      <w:r w:rsidR="0002447E">
        <w:t>cédure de regroupement familial</w:t>
      </w:r>
      <w:r w:rsidR="001C3E84">
        <w:t xml:space="preserve"> pourraient être éligibles à un logement social</w:t>
      </w:r>
      <w:r w:rsidR="0002447E">
        <w:t>, et à l’heure où le</w:t>
      </w:r>
      <w:r w:rsidR="001C3E84">
        <w:t xml:space="preserve"> parc social est exhorté</w:t>
      </w:r>
      <w:r w:rsidR="0002447E">
        <w:t xml:space="preserve"> à </w:t>
      </w:r>
      <w:r w:rsidR="001C3E84">
        <w:t>s’</w:t>
      </w:r>
      <w:r w:rsidR="0002447E">
        <w:t xml:space="preserve">ouvrir davantage </w:t>
      </w:r>
      <w:r w:rsidR="001C3E84">
        <w:t xml:space="preserve">à </w:t>
      </w:r>
      <w:r w:rsidR="0002447E">
        <w:t>l’acc</w:t>
      </w:r>
      <w:r w:rsidR="0034195C">
        <w:t xml:space="preserve">ueil </w:t>
      </w:r>
      <w:r w:rsidR="001C3E84">
        <w:t>des</w:t>
      </w:r>
      <w:r w:rsidR="0034195C">
        <w:t xml:space="preserve"> sans-domicile en consta</w:t>
      </w:r>
      <w:r w:rsidR="001C3E84">
        <w:t>nte augmentation</w:t>
      </w:r>
      <w:r w:rsidR="0034195C">
        <w:rPr>
          <w:rStyle w:val="FootnoteReference"/>
        </w:rPr>
        <w:footnoteReference w:id="16"/>
      </w:r>
      <w:r w:rsidR="0034195C">
        <w:t xml:space="preserve">. </w:t>
      </w:r>
      <w:r w:rsidR="001C3E84">
        <w:t>L</w:t>
      </w:r>
      <w:r w:rsidR="0034195C">
        <w:t>e Comité des droits économiques, sociaux et culturels invitait d’ailleurs</w:t>
      </w:r>
      <w:r w:rsidR="00FE2A03">
        <w:t xml:space="preserve"> le gouvernement français</w:t>
      </w:r>
      <w:r w:rsidR="0034195C">
        <w:t xml:space="preserve">, en </w:t>
      </w:r>
      <w:r w:rsidR="0034195C">
        <w:lastRenderedPageBreak/>
        <w:t>juillet 2016, s’agissant du droit au logement, à lever certains obstacles à l’accès au logement prévus par la loi DALO comme la régularité de séjour</w:t>
      </w:r>
      <w:r w:rsidR="001C3E84">
        <w:rPr>
          <w:rStyle w:val="FootnoteReference"/>
        </w:rPr>
        <w:footnoteReference w:id="17"/>
      </w:r>
      <w:r w:rsidR="0034195C">
        <w:t>.</w:t>
      </w:r>
    </w:p>
    <w:p w:rsidR="00CE64E4" w:rsidRDefault="00FE2A03" w:rsidP="00CE64E4">
      <w:pPr>
        <w:pStyle w:val="ListParagraph"/>
        <w:spacing w:before="120" w:after="0"/>
        <w:ind w:left="0"/>
        <w:contextualSpacing w:val="0"/>
        <w:jc w:val="center"/>
        <w:rPr>
          <w:sz w:val="48"/>
        </w:rPr>
      </w:pPr>
      <w:r w:rsidRPr="00CE64E4">
        <w:rPr>
          <w:sz w:val="48"/>
        </w:rPr>
        <w:t>******</w:t>
      </w:r>
    </w:p>
    <w:p w:rsidR="001C3E84" w:rsidRPr="004B55AC" w:rsidRDefault="001C3E84" w:rsidP="00CE64E4">
      <w:pPr>
        <w:pStyle w:val="ListParagraph"/>
        <w:spacing w:before="120" w:after="0"/>
        <w:ind w:left="0"/>
        <w:contextualSpacing w:val="0"/>
        <w:jc w:val="center"/>
        <w:rPr>
          <w:rFonts w:ascii="Weissenhof Grotesk Md" w:hAnsi="Weissenhof Grotesk Md"/>
          <w:sz w:val="28"/>
        </w:rPr>
      </w:pPr>
      <w:r w:rsidRPr="004B55AC">
        <w:rPr>
          <w:rFonts w:ascii="Weissenhof Grotesk Md" w:hAnsi="Weissenhof Grotesk Md"/>
          <w:sz w:val="28"/>
        </w:rPr>
        <w:t xml:space="preserve">ANNEXE : </w:t>
      </w:r>
      <w:r w:rsidR="004B55AC">
        <w:rPr>
          <w:rFonts w:ascii="Weissenhof Grotesk Md" w:hAnsi="Weissenhof Grotesk Md"/>
          <w:sz w:val="28"/>
        </w:rPr>
        <w:t>Principaux travaux</w:t>
      </w:r>
      <w:r w:rsidRPr="004B55AC">
        <w:rPr>
          <w:rFonts w:ascii="Weissenhof Grotesk Md" w:hAnsi="Weissenhof Grotesk Md"/>
          <w:sz w:val="28"/>
        </w:rPr>
        <w:t xml:space="preserve"> du Défenseur des droits </w:t>
      </w:r>
      <w:r w:rsidR="004B55AC">
        <w:rPr>
          <w:rFonts w:ascii="Weissenhof Grotesk Md" w:hAnsi="Weissenhof Grotesk Md"/>
          <w:sz w:val="28"/>
        </w:rPr>
        <w:t>sur les discriminations dans le domaine du logement et de l’hébergement</w:t>
      </w:r>
    </w:p>
    <w:p w:rsidR="001C3E84" w:rsidRDefault="001C3E84" w:rsidP="009B2ABE">
      <w:pPr>
        <w:pStyle w:val="ListParagraph"/>
        <w:spacing w:before="120" w:after="0"/>
        <w:ind w:left="0"/>
        <w:contextualSpacing w:val="0"/>
      </w:pPr>
    </w:p>
    <w:p w:rsidR="00FE2A03" w:rsidRDefault="00FE2A03" w:rsidP="009B2ABE">
      <w:pPr>
        <w:pStyle w:val="ListParagraph"/>
        <w:spacing w:before="120" w:after="0"/>
        <w:ind w:left="0"/>
        <w:contextualSpacing w:val="0"/>
        <w:rPr>
          <w:rFonts w:ascii="Weissenhof Grotesk Md" w:hAnsi="Weissenhof Grotesk Md"/>
        </w:rPr>
      </w:pPr>
      <w:r>
        <w:rPr>
          <w:rFonts w:ascii="Weissenhof Grotesk Md" w:hAnsi="Weissenhof Grotesk Md"/>
        </w:rPr>
        <w:t xml:space="preserve">Sur les discriminations dans </w:t>
      </w:r>
      <w:r w:rsidR="003A3767">
        <w:rPr>
          <w:rFonts w:ascii="Weissenhof Grotesk Md" w:hAnsi="Weissenhof Grotesk Md"/>
        </w:rPr>
        <w:t>a</w:t>
      </w:r>
      <w:r>
        <w:rPr>
          <w:rFonts w:ascii="Weissenhof Grotesk Md" w:hAnsi="Weissenhof Grotesk Md"/>
        </w:rPr>
        <w:t>u parc locatif, privé et social :</w:t>
      </w:r>
    </w:p>
    <w:p w:rsidR="00FE2A03" w:rsidRPr="00FE2A03" w:rsidRDefault="004253B2" w:rsidP="00FE2A03">
      <w:pPr>
        <w:pStyle w:val="ListParagraph"/>
        <w:numPr>
          <w:ilvl w:val="0"/>
          <w:numId w:val="11"/>
        </w:numPr>
        <w:spacing w:before="120" w:after="0"/>
        <w:contextualSpacing w:val="0"/>
        <w:rPr>
          <w:sz w:val="24"/>
        </w:rPr>
      </w:pPr>
      <w:hyperlink r:id="rId9" w:history="1">
        <w:r w:rsidR="00FE2A03" w:rsidRPr="00CE64E4">
          <w:rPr>
            <w:rStyle w:val="Hyperlink"/>
            <w:rFonts w:eastAsia="Times New Roman" w:cs="Times New Roman"/>
            <w:i/>
            <w:kern w:val="36"/>
            <w:sz w:val="24"/>
            <w:szCs w:val="63"/>
            <w:lang w:eastAsia="fr-FR"/>
          </w:rPr>
          <w:t>Enquête sur l'accès aux droits volume 5 - les discriminations dans l'accès au logement</w:t>
        </w:r>
      </w:hyperlink>
      <w:r w:rsidR="00FE2A03" w:rsidRPr="00CE64E4">
        <w:rPr>
          <w:rFonts w:eastAsia="Times New Roman" w:cs="Times New Roman"/>
          <w:color w:val="1E274A"/>
          <w:kern w:val="36"/>
          <w:sz w:val="24"/>
          <w:szCs w:val="63"/>
          <w:lang w:eastAsia="fr-FR"/>
        </w:rPr>
        <w:t>, décembre 2017</w:t>
      </w:r>
    </w:p>
    <w:p w:rsidR="00FE2A03" w:rsidRPr="00FE2A03" w:rsidRDefault="00FE2A03" w:rsidP="009B2ABE">
      <w:pPr>
        <w:pStyle w:val="ListParagraph"/>
        <w:spacing w:before="120" w:after="0"/>
        <w:ind w:left="0"/>
        <w:contextualSpacing w:val="0"/>
        <w:rPr>
          <w:rFonts w:ascii="Weissenhof Grotesk Md" w:hAnsi="Weissenhof Grotesk Md"/>
        </w:rPr>
      </w:pPr>
      <w:r w:rsidRPr="00FE2A03">
        <w:rPr>
          <w:rFonts w:ascii="Weissenhof Grotesk Md" w:hAnsi="Weissenhof Grotesk Md"/>
        </w:rPr>
        <w:t>Sur les discriminations dans l’accès au logement social :</w:t>
      </w:r>
    </w:p>
    <w:p w:rsidR="00CE64E4" w:rsidRPr="00CE64E4" w:rsidRDefault="004253B2" w:rsidP="00CE64E4">
      <w:pPr>
        <w:pStyle w:val="ListParagraph"/>
        <w:numPr>
          <w:ilvl w:val="0"/>
          <w:numId w:val="11"/>
        </w:numPr>
        <w:spacing w:before="120" w:after="0"/>
        <w:contextualSpacing w:val="0"/>
        <w:rPr>
          <w:sz w:val="24"/>
        </w:rPr>
      </w:pPr>
      <w:hyperlink r:id="rId10" w:history="1">
        <w:r w:rsidR="001C3E84" w:rsidRPr="00CE64E4">
          <w:rPr>
            <w:rStyle w:val="Hyperlink"/>
            <w:i/>
            <w:sz w:val="24"/>
          </w:rPr>
          <w:t>Discriminations et origines, l’urgence d’agir</w:t>
        </w:r>
      </w:hyperlink>
      <w:r w:rsidR="001C3E84" w:rsidRPr="00CE64E4">
        <w:rPr>
          <w:sz w:val="24"/>
        </w:rPr>
        <w:t>, juin 2020</w:t>
      </w:r>
    </w:p>
    <w:p w:rsidR="00CE64E4" w:rsidRPr="003A3767" w:rsidRDefault="004253B2" w:rsidP="00CE64E4">
      <w:pPr>
        <w:pStyle w:val="ListParagraph"/>
        <w:numPr>
          <w:ilvl w:val="0"/>
          <w:numId w:val="11"/>
        </w:numPr>
        <w:spacing w:before="120" w:after="0"/>
        <w:contextualSpacing w:val="0"/>
        <w:rPr>
          <w:sz w:val="24"/>
        </w:rPr>
      </w:pPr>
      <w:hyperlink r:id="rId11" w:history="1">
        <w:r w:rsidR="00CE64E4" w:rsidRPr="00CE64E4">
          <w:rPr>
            <w:rStyle w:val="Hyperlink"/>
            <w:rFonts w:eastAsia="Times New Roman" w:cs="Times New Roman"/>
            <w:i/>
            <w:kern w:val="36"/>
            <w:sz w:val="24"/>
            <w:szCs w:val="63"/>
            <w:lang w:eastAsia="fr-FR"/>
          </w:rPr>
          <w:t>Séminaire « l'égalité d'accès au logement social à l'épreuve des territoires »</w:t>
        </w:r>
      </w:hyperlink>
      <w:r w:rsidR="00CE64E4">
        <w:rPr>
          <w:rFonts w:eastAsia="Times New Roman" w:cs="Times New Roman"/>
          <w:color w:val="1E274A"/>
          <w:kern w:val="36"/>
          <w:szCs w:val="63"/>
          <w:lang w:eastAsia="fr-FR"/>
        </w:rPr>
        <w:t>, mars 2016</w:t>
      </w:r>
    </w:p>
    <w:p w:rsidR="003A3767" w:rsidRPr="003A3767" w:rsidRDefault="003A3767" w:rsidP="00CE64E4">
      <w:pPr>
        <w:pStyle w:val="ListParagraph"/>
        <w:numPr>
          <w:ilvl w:val="0"/>
          <w:numId w:val="11"/>
        </w:numPr>
        <w:spacing w:before="120" w:after="0"/>
        <w:contextualSpacing w:val="0"/>
        <w:rPr>
          <w:i/>
          <w:sz w:val="32"/>
        </w:rPr>
      </w:pPr>
      <w:r w:rsidRPr="003A3767">
        <w:rPr>
          <w:rFonts w:cs="Arial"/>
          <w:bCs/>
          <w:i/>
          <w:sz w:val="24"/>
        </w:rPr>
        <w:t>Promouvoir le logement social dans les communes déficitaires : les facteurs influençant les (non)décisions locales en France et aux États-Unis</w:t>
      </w:r>
      <w:r>
        <w:rPr>
          <w:rFonts w:cs="Arial"/>
          <w:bCs/>
          <w:i/>
          <w:sz w:val="24"/>
        </w:rPr>
        <w:t xml:space="preserve"> (à paraître en juillet 2021)</w:t>
      </w:r>
    </w:p>
    <w:p w:rsidR="00FE2A03" w:rsidRPr="00FE2A03" w:rsidRDefault="00FE2A03" w:rsidP="00FE2A03">
      <w:pPr>
        <w:pStyle w:val="ListParagraph"/>
        <w:spacing w:before="120" w:after="0"/>
        <w:ind w:left="0"/>
        <w:contextualSpacing w:val="0"/>
        <w:rPr>
          <w:rFonts w:ascii="Weissenhof Grotesk Md" w:hAnsi="Weissenhof Grotesk Md"/>
        </w:rPr>
      </w:pPr>
      <w:r w:rsidRPr="00FE2A03">
        <w:rPr>
          <w:rFonts w:ascii="Weissenhof Grotesk Md" w:hAnsi="Weissenhof Grotesk Md"/>
        </w:rPr>
        <w:t>Sur les discriminations dans l’accès au logement privé :</w:t>
      </w:r>
    </w:p>
    <w:p w:rsidR="00CE64E4" w:rsidRPr="00FE2A03" w:rsidRDefault="004253B2" w:rsidP="00CE64E4">
      <w:pPr>
        <w:pStyle w:val="ListParagraph"/>
        <w:numPr>
          <w:ilvl w:val="0"/>
          <w:numId w:val="11"/>
        </w:numPr>
        <w:spacing w:before="120" w:after="0"/>
        <w:contextualSpacing w:val="0"/>
        <w:rPr>
          <w:sz w:val="24"/>
        </w:rPr>
      </w:pPr>
      <w:hyperlink r:id="rId12" w:history="1">
        <w:r w:rsidR="00FE2A03" w:rsidRPr="00CE64E4">
          <w:rPr>
            <w:rStyle w:val="Hyperlink"/>
            <w:rFonts w:eastAsia="Times New Roman" w:cs="Times New Roman"/>
            <w:i/>
            <w:kern w:val="36"/>
            <w:sz w:val="24"/>
            <w:szCs w:val="63"/>
            <w:lang w:eastAsia="fr-FR"/>
          </w:rPr>
          <w:t>Test de discrimination dans l’accès au logement selon l’origine : mesurer l’impact d’un courrier d’alerte du défenseur des droits auprès d’agences immobilières</w:t>
        </w:r>
      </w:hyperlink>
      <w:r w:rsidR="00FE2A03" w:rsidRPr="00CE64E4">
        <w:rPr>
          <w:rFonts w:eastAsia="Times New Roman" w:cs="Times New Roman"/>
          <w:i/>
          <w:color w:val="1E274A"/>
          <w:kern w:val="36"/>
          <w:sz w:val="24"/>
          <w:szCs w:val="63"/>
          <w:lang w:eastAsia="fr-FR"/>
        </w:rPr>
        <w:t xml:space="preserve">, </w:t>
      </w:r>
      <w:r w:rsidR="00FE2A03" w:rsidRPr="00F559E5">
        <w:rPr>
          <w:rFonts w:eastAsia="Times New Roman" w:cs="Times New Roman"/>
          <w:color w:val="1E274A"/>
          <w:kern w:val="36"/>
          <w:sz w:val="24"/>
          <w:szCs w:val="63"/>
          <w:lang w:eastAsia="fr-FR"/>
        </w:rPr>
        <w:t>octobre 2019</w:t>
      </w:r>
    </w:p>
    <w:p w:rsidR="004B55AC" w:rsidRPr="00FE2A03" w:rsidRDefault="00FE2A03" w:rsidP="009B2ABE">
      <w:pPr>
        <w:pStyle w:val="ListParagraph"/>
        <w:spacing w:before="120" w:after="0"/>
        <w:ind w:left="0"/>
        <w:contextualSpacing w:val="0"/>
        <w:rPr>
          <w:rFonts w:ascii="Weissenhof Grotesk Md" w:hAnsi="Weissenhof Grotesk Md"/>
        </w:rPr>
      </w:pPr>
      <w:r w:rsidRPr="00FE2A03">
        <w:rPr>
          <w:rFonts w:ascii="Weissenhof Grotesk Md" w:hAnsi="Weissenhof Grotesk Md"/>
        </w:rPr>
        <w:t xml:space="preserve">Sur les conséquences d’un hébergement prolongé à l’hôtel </w:t>
      </w:r>
    </w:p>
    <w:p w:rsidR="00FE2A03" w:rsidRPr="003A3767" w:rsidRDefault="004253B2" w:rsidP="00FE2A03">
      <w:pPr>
        <w:pStyle w:val="ListParagraph"/>
        <w:numPr>
          <w:ilvl w:val="0"/>
          <w:numId w:val="11"/>
        </w:numPr>
        <w:spacing w:before="120" w:after="0"/>
        <w:contextualSpacing w:val="0"/>
        <w:rPr>
          <w:sz w:val="24"/>
        </w:rPr>
      </w:pPr>
      <w:hyperlink r:id="rId13" w:history="1">
        <w:r w:rsidR="00FE2A03" w:rsidRPr="00CE64E4">
          <w:rPr>
            <w:rStyle w:val="Hyperlink"/>
            <w:rFonts w:eastAsia="Times New Roman" w:cs="Times New Roman"/>
            <w:i/>
            <w:kern w:val="36"/>
            <w:sz w:val="24"/>
            <w:szCs w:val="63"/>
            <w:lang w:eastAsia="fr-FR"/>
          </w:rPr>
          <w:t>Adolescents sans-logement. Grandir en famille dans une chambre d'hôtel</w:t>
        </w:r>
      </w:hyperlink>
      <w:r w:rsidR="00FE2A03" w:rsidRPr="00CE64E4">
        <w:rPr>
          <w:rFonts w:eastAsia="Times New Roman" w:cs="Times New Roman"/>
          <w:color w:val="1E274A"/>
          <w:kern w:val="36"/>
          <w:sz w:val="24"/>
          <w:szCs w:val="63"/>
          <w:lang w:eastAsia="fr-FR"/>
        </w:rPr>
        <w:t>, février 2019</w:t>
      </w:r>
    </w:p>
    <w:p w:rsidR="003A3767" w:rsidRPr="003A3767" w:rsidRDefault="003A3767" w:rsidP="003A3767">
      <w:pPr>
        <w:pStyle w:val="ListParagraph"/>
        <w:spacing w:before="120" w:after="0"/>
        <w:ind w:left="0"/>
        <w:contextualSpacing w:val="0"/>
        <w:rPr>
          <w:rFonts w:ascii="Weissenhof Grotesk Md" w:hAnsi="Weissenhof Grotesk Md"/>
        </w:rPr>
      </w:pPr>
      <w:r w:rsidRPr="003A3767">
        <w:rPr>
          <w:rFonts w:ascii="Weissenhof Grotesk Md" w:hAnsi="Weissenhof Grotesk Md"/>
        </w:rPr>
        <w:t>Sur les conditions d’habitat indigne en campements</w:t>
      </w:r>
      <w:r>
        <w:rPr>
          <w:rFonts w:ascii="Weissenhof Grotesk Md" w:hAnsi="Weissenhof Grotesk Md"/>
        </w:rPr>
        <w:t xml:space="preserve"> et les expulsions forcées</w:t>
      </w:r>
    </w:p>
    <w:p w:rsidR="00FE2A03" w:rsidRPr="003A3767" w:rsidRDefault="004253B2" w:rsidP="009B2ABE">
      <w:pPr>
        <w:pStyle w:val="ListParagraph"/>
        <w:spacing w:before="120" w:after="0"/>
        <w:ind w:left="0"/>
        <w:contextualSpacing w:val="0"/>
      </w:pPr>
      <w:hyperlink r:id="rId14" w:history="1">
        <w:r w:rsidR="003A3767" w:rsidRPr="003A3767">
          <w:rPr>
            <w:rStyle w:val="Hyperlink"/>
            <w:rFonts w:cstheme="minorHAnsi"/>
            <w:i/>
            <w:sz w:val="24"/>
            <w:szCs w:val="24"/>
          </w:rPr>
          <w:t>Rapport Exilés et droits fondamentaux, trois ans après le rapport Calais</w:t>
        </w:r>
      </w:hyperlink>
      <w:r w:rsidR="003A3767">
        <w:t xml:space="preserve">, </w:t>
      </w:r>
      <w:r w:rsidR="00DB79CD">
        <w:t xml:space="preserve">décembre </w:t>
      </w:r>
      <w:r w:rsidR="003A3767">
        <w:t>2018</w:t>
      </w:r>
      <w:r w:rsidR="003A3767" w:rsidRPr="003A3767">
        <w:t> </w:t>
      </w:r>
    </w:p>
    <w:p w:rsidR="004B55AC" w:rsidRDefault="004B55AC" w:rsidP="009B2ABE">
      <w:pPr>
        <w:pStyle w:val="ListParagraph"/>
        <w:spacing w:before="120" w:after="0"/>
        <w:ind w:left="0"/>
        <w:contextualSpacing w:val="0"/>
      </w:pPr>
    </w:p>
    <w:p w:rsidR="001C3E84" w:rsidRDefault="001C3E84" w:rsidP="009B2ABE">
      <w:pPr>
        <w:pStyle w:val="ListParagraph"/>
        <w:spacing w:before="120" w:after="0"/>
        <w:ind w:left="0"/>
        <w:contextualSpacing w:val="0"/>
      </w:pPr>
    </w:p>
    <w:p w:rsidR="001C3E84" w:rsidRDefault="001C3E84" w:rsidP="009B2ABE">
      <w:pPr>
        <w:pStyle w:val="ListParagraph"/>
        <w:spacing w:before="120" w:after="0"/>
        <w:ind w:left="0"/>
        <w:contextualSpacing w:val="0"/>
      </w:pPr>
    </w:p>
    <w:p w:rsidR="001C3E84" w:rsidRDefault="001C3E84" w:rsidP="009B2ABE">
      <w:pPr>
        <w:pStyle w:val="ListParagraph"/>
        <w:spacing w:before="120" w:after="0"/>
        <w:ind w:left="0"/>
        <w:contextualSpacing w:val="0"/>
      </w:pPr>
    </w:p>
    <w:p w:rsidR="001C3E84" w:rsidRDefault="001C3E84" w:rsidP="009B2ABE">
      <w:pPr>
        <w:pStyle w:val="ListParagraph"/>
        <w:spacing w:before="120" w:after="0"/>
        <w:ind w:left="0"/>
        <w:contextualSpacing w:val="0"/>
      </w:pPr>
    </w:p>
    <w:p w:rsidR="001C3E84" w:rsidRPr="00B76AD7" w:rsidRDefault="001C3E84" w:rsidP="009B2ABE">
      <w:pPr>
        <w:pStyle w:val="ListParagraph"/>
        <w:spacing w:before="120" w:after="0"/>
        <w:ind w:left="0"/>
        <w:contextualSpacing w:val="0"/>
      </w:pPr>
    </w:p>
    <w:sectPr w:rsidR="001C3E84" w:rsidRPr="00B76AD7" w:rsidSect="00B66BB4">
      <w:footerReference w:type="default" r:id="rId15"/>
      <w:headerReference w:type="first" r:id="rId16"/>
      <w:pgSz w:w="11906" w:h="16838"/>
      <w:pgMar w:top="1304" w:right="1304" w:bottom="1304" w:left="1304" w:header="851"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44" w:rsidRDefault="009E1F44" w:rsidP="00301F43">
      <w:pPr>
        <w:spacing w:after="0" w:line="240" w:lineRule="auto"/>
      </w:pPr>
      <w:r>
        <w:separator/>
      </w:r>
    </w:p>
  </w:endnote>
  <w:endnote w:type="continuationSeparator" w:id="0">
    <w:p w:rsidR="009E1F44" w:rsidRDefault="009E1F44" w:rsidP="0030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issenhof Grotesk Lt">
    <w:altName w:val="Corbel Light"/>
    <w:panose1 w:val="00000000000000000000"/>
    <w:charset w:val="00"/>
    <w:family w:val="swiss"/>
    <w:notTrueType/>
    <w:pitch w:val="variable"/>
    <w:sig w:usb0="00000001" w:usb1="5000604B" w:usb2="00000000" w:usb3="00000000" w:csb0="00000093" w:csb1="00000000"/>
  </w:font>
  <w:font w:name="Weissenhof Grotesk Md">
    <w:altName w:val="Trebuchet MS"/>
    <w:panose1 w:val="00000000000000000000"/>
    <w:charset w:val="00"/>
    <w:family w:val="swiss"/>
    <w:notTrueType/>
    <w:pitch w:val="variable"/>
    <w:sig w:usb0="00000001"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issenhof Grotesk">
    <w:altName w:val="Corbel"/>
    <w:panose1 w:val="00000000000000000000"/>
    <w:charset w:val="00"/>
    <w:family w:val="swiss"/>
    <w:notTrueType/>
    <w:pitch w:val="variable"/>
    <w:sig w:usb0="00000001" w:usb1="5000604B" w:usb2="00000000" w:usb3="00000000" w:csb0="00000093" w:csb1="00000000"/>
  </w:font>
  <w:font w:name="WeissenhofGrotesk-Light">
    <w:altName w:val="Corbel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826800"/>
      <w:docPartObj>
        <w:docPartGallery w:val="Page Numbers (Bottom of Page)"/>
        <w:docPartUnique/>
      </w:docPartObj>
    </w:sdtPr>
    <w:sdtEndPr/>
    <w:sdtContent>
      <w:p w:rsidR="0002447E" w:rsidRDefault="0002447E">
        <w:pPr>
          <w:pStyle w:val="Footer"/>
          <w:jc w:val="right"/>
        </w:pPr>
        <w:r>
          <w:fldChar w:fldCharType="begin"/>
        </w:r>
        <w:r>
          <w:instrText>PAGE   \* MERGEFORMAT</w:instrText>
        </w:r>
        <w:r>
          <w:fldChar w:fldCharType="separate"/>
        </w:r>
        <w:r w:rsidR="004253B2">
          <w:rPr>
            <w:noProof/>
          </w:rPr>
          <w:t>4</w:t>
        </w:r>
        <w:r>
          <w:fldChar w:fldCharType="end"/>
        </w:r>
      </w:p>
    </w:sdtContent>
  </w:sdt>
  <w:p w:rsidR="0002447E" w:rsidRDefault="0002447E" w:rsidP="002A7A4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44" w:rsidRDefault="009E1F44" w:rsidP="00301F43">
      <w:pPr>
        <w:spacing w:after="0" w:line="240" w:lineRule="auto"/>
      </w:pPr>
      <w:r>
        <w:separator/>
      </w:r>
    </w:p>
  </w:footnote>
  <w:footnote w:type="continuationSeparator" w:id="0">
    <w:p w:rsidR="009E1F44" w:rsidRDefault="009E1F44" w:rsidP="00301F43">
      <w:pPr>
        <w:spacing w:after="0" w:line="240" w:lineRule="auto"/>
      </w:pPr>
      <w:r>
        <w:continuationSeparator/>
      </w:r>
    </w:p>
  </w:footnote>
  <w:footnote w:id="1">
    <w:p w:rsidR="00B74ABB" w:rsidRPr="002F67CB" w:rsidRDefault="00B74ABB">
      <w:pPr>
        <w:pStyle w:val="FootnoteText"/>
      </w:pPr>
      <w:r w:rsidRPr="002F67CB">
        <w:rPr>
          <w:rStyle w:val="FootnoteReference"/>
        </w:rPr>
        <w:footnoteRef/>
      </w:r>
      <w:r w:rsidRPr="002F67CB">
        <w:t xml:space="preserve"> Loi Evolution pour le Logement et l’Aménagement Numérique, dite loi ELAN, du 18 novembre 2018</w:t>
      </w:r>
    </w:p>
  </w:footnote>
  <w:footnote w:id="2">
    <w:p w:rsidR="008D1C9B" w:rsidRPr="002F67CB" w:rsidRDefault="008D1C9B" w:rsidP="002F67CB">
      <w:pPr>
        <w:pStyle w:val="ListParagraph"/>
        <w:spacing w:after="0" w:line="259" w:lineRule="auto"/>
        <w:ind w:left="0"/>
        <w:contextualSpacing w:val="0"/>
        <w:rPr>
          <w:sz w:val="20"/>
          <w:szCs w:val="20"/>
        </w:rPr>
      </w:pPr>
      <w:r w:rsidRPr="002F67CB">
        <w:rPr>
          <w:rStyle w:val="FootnoteReference"/>
          <w:sz w:val="20"/>
          <w:szCs w:val="20"/>
        </w:rPr>
        <w:footnoteRef/>
      </w:r>
      <w:r w:rsidRPr="002F67CB">
        <w:rPr>
          <w:sz w:val="20"/>
          <w:szCs w:val="20"/>
        </w:rPr>
        <w:t xml:space="preserve"> </w:t>
      </w:r>
      <w:r w:rsidR="00D86972" w:rsidRPr="002F67CB">
        <w:rPr>
          <w:i/>
          <w:sz w:val="20"/>
          <w:szCs w:val="20"/>
        </w:rPr>
        <w:t xml:space="preserve">Seuil de tolérance et cohabitation pluriethnique. </w:t>
      </w:r>
      <w:r w:rsidR="00D86972" w:rsidRPr="002F67CB">
        <w:rPr>
          <w:sz w:val="20"/>
          <w:szCs w:val="20"/>
        </w:rPr>
        <w:t xml:space="preserve">V. de Rudder, in Face au racisme, 1991 ; </w:t>
      </w:r>
      <w:r w:rsidR="00D86972" w:rsidRPr="002F67CB">
        <w:rPr>
          <w:i/>
          <w:sz w:val="20"/>
          <w:szCs w:val="20"/>
        </w:rPr>
        <w:t xml:space="preserve">Les représentations de l’ethnicité dans les politiques locales du logement. </w:t>
      </w:r>
      <w:r w:rsidR="00D86972" w:rsidRPr="002F67CB">
        <w:rPr>
          <w:sz w:val="20"/>
          <w:szCs w:val="20"/>
        </w:rPr>
        <w:t xml:space="preserve">S. Genest, T. Kirszbaum, F. Pougnet, Rapport Arcadie-PCA, 1996 ; </w:t>
      </w:r>
      <w:r w:rsidR="00D86972" w:rsidRPr="002F67CB">
        <w:rPr>
          <w:i/>
          <w:sz w:val="20"/>
          <w:szCs w:val="20"/>
        </w:rPr>
        <w:t>Mixité sociale et politiques de peuplement : genèse de l’ethnicisation des</w:t>
      </w:r>
      <w:r w:rsidR="00D86972" w:rsidRPr="008D1C9B">
        <w:rPr>
          <w:i/>
          <w:sz w:val="20"/>
          <w:szCs w:val="20"/>
        </w:rPr>
        <w:t xml:space="preserve"> </w:t>
      </w:r>
      <w:r w:rsidR="00D86972" w:rsidRPr="002F67CB">
        <w:rPr>
          <w:i/>
          <w:sz w:val="20"/>
          <w:szCs w:val="20"/>
        </w:rPr>
        <w:t>opérations de réhabilitation</w:t>
      </w:r>
      <w:r w:rsidR="00D86972" w:rsidRPr="002F67CB">
        <w:rPr>
          <w:sz w:val="20"/>
          <w:szCs w:val="20"/>
        </w:rPr>
        <w:t xml:space="preserve">, A. Tanter, JC Toubon, Sociétés contemporaines, 1999 ; </w:t>
      </w:r>
      <w:r w:rsidRPr="002F67CB">
        <w:rPr>
          <w:i/>
          <w:sz w:val="20"/>
          <w:szCs w:val="20"/>
        </w:rPr>
        <w:t>Les discriminations raciales et ethniques dans l’accès au logement social</w:t>
      </w:r>
      <w:r w:rsidRPr="002F67CB">
        <w:rPr>
          <w:sz w:val="20"/>
          <w:szCs w:val="20"/>
        </w:rPr>
        <w:t xml:space="preserve">, T. Kirszbaum, P. Simon, (GELD), </w:t>
      </w:r>
      <w:r w:rsidR="00D86972" w:rsidRPr="002F67CB">
        <w:rPr>
          <w:sz w:val="20"/>
          <w:szCs w:val="20"/>
        </w:rPr>
        <w:t xml:space="preserve">mai </w:t>
      </w:r>
      <w:r w:rsidRPr="002F67CB">
        <w:rPr>
          <w:sz w:val="20"/>
          <w:szCs w:val="20"/>
        </w:rPr>
        <w:t>2001</w:t>
      </w:r>
      <w:r w:rsidR="00D86972" w:rsidRPr="002F67CB">
        <w:rPr>
          <w:sz w:val="20"/>
          <w:szCs w:val="20"/>
        </w:rPr>
        <w:t>.</w:t>
      </w:r>
    </w:p>
  </w:footnote>
  <w:footnote w:id="3">
    <w:p w:rsidR="002F67CB" w:rsidRPr="002F67CB" w:rsidRDefault="002F67CB">
      <w:pPr>
        <w:pStyle w:val="FootnoteText"/>
      </w:pPr>
      <w:r w:rsidRPr="002F67CB">
        <w:rPr>
          <w:rStyle w:val="FootnoteReference"/>
        </w:rPr>
        <w:footnoteRef/>
      </w:r>
      <w:r w:rsidRPr="002F67CB">
        <w:t xml:space="preserve"> </w:t>
      </w:r>
      <w:r w:rsidRPr="002F67CB">
        <w:rPr>
          <w:i/>
        </w:rPr>
        <w:t>L’invisibilité des minorités dans les chiffres du coronavirus : le détour par la Seine-Saint-Denis</w:t>
      </w:r>
      <w:r w:rsidRPr="002F67CB">
        <w:t xml:space="preserve">, in </w:t>
      </w:r>
      <w:r w:rsidRPr="002F67CB">
        <w:rPr>
          <w:rFonts w:cstheme="minorHAnsi"/>
          <w:color w:val="222222"/>
          <w:lang w:eastAsia="fr-FR"/>
        </w:rPr>
        <w:t xml:space="preserve">: Solène Brun et Patrick Simon (dir.), Dossier « Inégalités ethno-raciales et pandémie de coronavirus », De facto [En ligne], 19 | Mai 2020. </w:t>
      </w:r>
    </w:p>
  </w:footnote>
  <w:footnote w:id="4">
    <w:p w:rsidR="002F67CB" w:rsidRPr="002F67CB" w:rsidRDefault="002F67CB">
      <w:pPr>
        <w:pStyle w:val="FootnoteText"/>
        <w:rPr>
          <w:b/>
        </w:rPr>
      </w:pPr>
      <w:r w:rsidRPr="002F67CB">
        <w:rPr>
          <w:rStyle w:val="FootnoteReference"/>
          <w:b/>
        </w:rPr>
        <w:footnoteRef/>
      </w:r>
      <w:r w:rsidRPr="002F67CB">
        <w:rPr>
          <w:b/>
        </w:rPr>
        <w:t xml:space="preserve"> Cette réforme est issue des lois pour l’accès au logement et un urbanisme rénové (ALUR) du 21 mars 2014) et relative à l’égalité et à la citoyenneté du 27 janvier 2017.</w:t>
      </w:r>
    </w:p>
  </w:footnote>
  <w:footnote w:id="5">
    <w:p w:rsidR="0002447E" w:rsidRPr="00263460" w:rsidRDefault="0002447E" w:rsidP="00263460">
      <w:pPr>
        <w:pStyle w:val="Default"/>
        <w:rPr>
          <w:rFonts w:ascii="Segoe UI" w:hAnsi="Segoe UI" w:cs="Segoe UI"/>
        </w:rPr>
      </w:pPr>
      <w:r>
        <w:rPr>
          <w:rStyle w:val="FootnoteReference"/>
        </w:rPr>
        <w:footnoteRef/>
      </w:r>
      <w:r>
        <w:rPr>
          <w:rStyle w:val="FootnoteReference"/>
        </w:rPr>
        <w:footnoteRef/>
      </w:r>
      <w:r>
        <w:t xml:space="preserve"> </w:t>
      </w:r>
      <w:r w:rsidRPr="00263460">
        <w:rPr>
          <w:rFonts w:ascii="Weissenhof Grotesk Lt" w:hAnsi="Weissenhof Grotesk Lt" w:cs="Segoe UI"/>
          <w:i/>
          <w:sz w:val="20"/>
          <w:szCs w:val="36"/>
        </w:rPr>
        <w:t>Les attributions de logements sociaux en dehors d'un quartier prioritaire aux ménages demandeurs les plus mod</w:t>
      </w:r>
      <w:r>
        <w:rPr>
          <w:rFonts w:ascii="Weissenhof Grotesk Lt" w:hAnsi="Weissenhof Grotesk Lt" w:cs="Segoe UI"/>
          <w:i/>
          <w:sz w:val="20"/>
          <w:szCs w:val="36"/>
        </w:rPr>
        <w:t xml:space="preserve">estes : bilan entre 2017 et 2019, </w:t>
      </w:r>
      <w:r>
        <w:t>Agence Nationale de Contrôle des Organismes de Logements Sociaux (ANCOLS), septembre 2020.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497"/>
      </w:tblGrid>
      <w:tr w:rsidR="0002447E" w:rsidRPr="00263460">
        <w:trPr>
          <w:trHeight w:val="786"/>
        </w:trPr>
        <w:tc>
          <w:tcPr>
            <w:tcW w:w="10497" w:type="dxa"/>
          </w:tcPr>
          <w:p w:rsidR="0002447E" w:rsidRPr="00263460" w:rsidRDefault="0002447E" w:rsidP="00263460">
            <w:pPr>
              <w:autoSpaceDE w:val="0"/>
              <w:autoSpaceDN w:val="0"/>
              <w:adjustRightInd w:val="0"/>
              <w:spacing w:after="0" w:line="240" w:lineRule="auto"/>
              <w:jc w:val="left"/>
              <w:rPr>
                <w:rFonts w:cs="Segoe UI"/>
                <w:color w:val="000000"/>
                <w:sz w:val="36"/>
                <w:szCs w:val="36"/>
              </w:rPr>
            </w:pPr>
          </w:p>
        </w:tc>
      </w:tr>
    </w:tbl>
    <w:p w:rsidR="0002447E" w:rsidRDefault="0002447E">
      <w:pPr>
        <w:pStyle w:val="FootnoteText"/>
      </w:pPr>
    </w:p>
  </w:footnote>
  <w:footnote w:id="6">
    <w:p w:rsidR="0002447E" w:rsidRDefault="0002447E" w:rsidP="00472ED9">
      <w:pPr>
        <w:pStyle w:val="FootnoteText"/>
      </w:pPr>
      <w:r>
        <w:rPr>
          <w:rStyle w:val="FootnoteReference"/>
        </w:rPr>
        <w:footnoteRef/>
      </w:r>
      <w:r>
        <w:t xml:space="preserve"> Dans un jugement du 3 février 2009, le Tribunal Correctionnel de Saint- Etienne a retenu comme constitutive d’une discrimination raciale et de fichage ethnique l’élaboration par Métropole Habitat, OPAC HLM de Saint-Etienne, d’une grille de peuplement qui, pour répondre à l’objectif de mixité sociale prévu par la loi, visait à limiter le nombre de locataires ayant un nom à consonance maghrébine, conduisant à écarter de fait les candidats d’origine étrangère de l’accès à la plus grande partie du parc du bailleur social en question. </w:t>
      </w:r>
    </w:p>
    <w:p w:rsidR="0002447E" w:rsidRDefault="0002447E" w:rsidP="00472ED9">
      <w:pPr>
        <w:pStyle w:val="FootnoteText"/>
      </w:pPr>
      <w:r>
        <w:t>Plus récemment, dans un arrêt du 11 juillet 2017, la Cour de Cassation a également reconnu coupable de discrimination raciale et de fichage ethnique le bailleur social LOGIREP, à l’issue de dix ans de procédure qui opposait le bailleur social à un candidat locataire ivoirien écarté de l’attribution au motif de l’objectif de mixité sociale recherché dans un immeuble où résidaient déjà de nombreux locataires d’origine étrangère.</w:t>
      </w:r>
    </w:p>
    <w:p w:rsidR="0002447E" w:rsidRDefault="0002447E" w:rsidP="00472ED9">
      <w:pPr>
        <w:pStyle w:val="FootnoteText"/>
      </w:pPr>
    </w:p>
  </w:footnote>
  <w:footnote w:id="7">
    <w:p w:rsidR="0002447E" w:rsidRDefault="0002447E" w:rsidP="00A020A1">
      <w:pPr>
        <w:pStyle w:val="FootnoteText"/>
      </w:pPr>
      <w:r>
        <w:rPr>
          <w:rStyle w:val="FootnoteReference"/>
        </w:rPr>
        <w:footnoteRef/>
      </w:r>
      <w:r>
        <w:t xml:space="preserve"> </w:t>
      </w:r>
      <w:r w:rsidRPr="00B77A44">
        <w:t>Observation n°4 de 1991 sur le droit à un logement suffisant, Observation n°7 de 1997 sur les expulsions forcées, fiche d’information de juin 2010</w:t>
      </w:r>
      <w:r>
        <w:t>.</w:t>
      </w:r>
    </w:p>
  </w:footnote>
  <w:footnote w:id="8">
    <w:p w:rsidR="0002447E" w:rsidRDefault="0002447E">
      <w:pPr>
        <w:pStyle w:val="FootnoteText"/>
      </w:pPr>
      <w:r>
        <w:rPr>
          <w:rStyle w:val="FootnoteReference"/>
        </w:rPr>
        <w:footnoteRef/>
      </w:r>
      <w:r>
        <w:t xml:space="preserve"> En vertu d’un décret du 17 décembre 2019, la généralisation des dispositifs de cotation de la demande devrait intervenir le er septembre 2021.</w:t>
      </w:r>
    </w:p>
  </w:footnote>
  <w:footnote w:id="9">
    <w:p w:rsidR="0002447E" w:rsidRPr="00F81404" w:rsidRDefault="0002447E" w:rsidP="00F81404">
      <w:pPr>
        <w:autoSpaceDE w:val="0"/>
        <w:autoSpaceDN w:val="0"/>
        <w:adjustRightInd w:val="0"/>
        <w:spacing w:after="0" w:line="240" w:lineRule="auto"/>
        <w:jc w:val="left"/>
        <w:rPr>
          <w:rFonts w:cs="Times-Roman"/>
          <w:color w:val="2C2A2A"/>
          <w:sz w:val="20"/>
          <w:szCs w:val="20"/>
        </w:rPr>
      </w:pPr>
      <w:r>
        <w:rPr>
          <w:rStyle w:val="FootnoteReference"/>
        </w:rPr>
        <w:footnoteRef/>
      </w:r>
      <w:r>
        <w:t xml:space="preserve"> </w:t>
      </w:r>
      <w:r w:rsidRPr="00F81404">
        <w:rPr>
          <w:sz w:val="20"/>
          <w:szCs w:val="20"/>
        </w:rPr>
        <w:t xml:space="preserve">En vertu de l’article 15 de la </w:t>
      </w:r>
      <w:r w:rsidRPr="00F81404">
        <w:rPr>
          <w:b/>
          <w:sz w:val="20"/>
          <w:szCs w:val="20"/>
        </w:rPr>
        <w:t xml:space="preserve">Loi n°2014-173 du 21 février 2014 portant programmation pour la ville et la cohésion urbaine, qui a introduit ce critère interdit dans la loi </w:t>
      </w:r>
      <w:r w:rsidRPr="00F81404">
        <w:rPr>
          <w:rFonts w:cs="Times-Roman"/>
          <w:color w:val="2C2A2A"/>
          <w:sz w:val="20"/>
          <w:szCs w:val="20"/>
        </w:rPr>
        <w:t>n</w:t>
      </w:r>
      <w:r>
        <w:rPr>
          <w:rFonts w:cs="Times-Roman"/>
          <w:color w:val="2C2A2A"/>
          <w:sz w:val="20"/>
          <w:szCs w:val="20"/>
        </w:rPr>
        <w:t>°</w:t>
      </w:r>
      <w:r w:rsidRPr="00F81404">
        <w:rPr>
          <w:rFonts w:cs="Times-Roman"/>
          <w:color w:val="2C2A2A"/>
          <w:sz w:val="20"/>
          <w:szCs w:val="20"/>
        </w:rPr>
        <w:t xml:space="preserve"> 2008-496 du 27 mai 2008 portant diverses dispositions d’ad</w:t>
      </w:r>
      <w:r>
        <w:rPr>
          <w:rFonts w:cs="Times-Roman"/>
          <w:color w:val="2C2A2A"/>
          <w:sz w:val="20"/>
          <w:szCs w:val="20"/>
        </w:rPr>
        <w:t xml:space="preserve">aptation du droit communautaire </w:t>
      </w:r>
      <w:r w:rsidRPr="00F81404">
        <w:rPr>
          <w:rFonts w:cs="Times-Roman"/>
          <w:color w:val="2C2A2A"/>
          <w:sz w:val="20"/>
          <w:szCs w:val="20"/>
        </w:rPr>
        <w:t>dans le domaine de la lutte contre les discriminations</w:t>
      </w:r>
      <w:r>
        <w:rPr>
          <w:rFonts w:cs="Times-Roman"/>
          <w:color w:val="2C2A2A"/>
          <w:sz w:val="20"/>
          <w:szCs w:val="20"/>
        </w:rPr>
        <w:t>, dans le code pénal et dans le code du travail.</w:t>
      </w:r>
    </w:p>
  </w:footnote>
  <w:footnote w:id="10">
    <w:p w:rsidR="0002447E" w:rsidRPr="00C04650" w:rsidRDefault="0002447E" w:rsidP="00F81404">
      <w:pPr>
        <w:spacing w:after="0" w:line="240" w:lineRule="auto"/>
        <w:rPr>
          <w:sz w:val="20"/>
          <w:szCs w:val="20"/>
        </w:rPr>
      </w:pPr>
      <w:r>
        <w:rPr>
          <w:rStyle w:val="FootnoteReference"/>
        </w:rPr>
        <w:footnoteRef/>
      </w:r>
      <w:r>
        <w:t xml:space="preserve"> </w:t>
      </w:r>
      <w:r w:rsidRPr="00C04650">
        <w:rPr>
          <w:sz w:val="20"/>
          <w:szCs w:val="20"/>
        </w:rPr>
        <w:t>En l</w:t>
      </w:r>
      <w:r>
        <w:rPr>
          <w:sz w:val="20"/>
          <w:szCs w:val="20"/>
        </w:rPr>
        <w:t>’</w:t>
      </w:r>
      <w:r w:rsidRPr="00C04650">
        <w:rPr>
          <w:sz w:val="20"/>
          <w:szCs w:val="20"/>
        </w:rPr>
        <w:t xml:space="preserve">espèce, le Défenseur des droits a présenté ses observations devant le tribunal administratif qui a, par un jugement du </w:t>
      </w:r>
      <w:r w:rsidRPr="00C04650">
        <w:rPr>
          <w:rFonts w:cs="Arial"/>
          <w:sz w:val="20"/>
          <w:szCs w:val="20"/>
          <w:shd w:val="clear" w:color="auto" w:fill="FFFFFF"/>
        </w:rPr>
        <w:t>11 avril 2019, a annulé la décision de refus d’attribution attaquée pour erreur manifeste d’appréciation des ressources du réclamant compte tenu des montants du taux d’effort (17,71 %) et du reste à vivre (18,80 €/jour/pers.).</w:t>
      </w:r>
    </w:p>
  </w:footnote>
  <w:footnote w:id="11">
    <w:p w:rsidR="0002447E" w:rsidRPr="00137D38" w:rsidRDefault="0002447E" w:rsidP="00F81404">
      <w:pPr>
        <w:spacing w:after="0" w:line="240" w:lineRule="auto"/>
        <w:rPr>
          <w:sz w:val="20"/>
        </w:rPr>
      </w:pPr>
      <w:r w:rsidRPr="00137D38">
        <w:rPr>
          <w:rStyle w:val="FootnoteReference"/>
          <w:sz w:val="20"/>
        </w:rPr>
        <w:footnoteRef/>
      </w:r>
      <w:r w:rsidRPr="00137D38">
        <w:rPr>
          <w:sz w:val="20"/>
        </w:rPr>
        <w:t xml:space="preserve"> L’article L.441-1 du Code de la Construction et de l’Habitation ne permet d’apprécier la capacité du demandeur à s’acquitter du loyer qu’en vertu du taux d’effort et selon les modalités qu’il définit. </w:t>
      </w:r>
    </w:p>
  </w:footnote>
  <w:footnote w:id="12">
    <w:p w:rsidR="0002447E" w:rsidRDefault="0002447E" w:rsidP="00BB2158">
      <w:pPr>
        <w:pStyle w:val="FootnoteText"/>
      </w:pPr>
      <w:r>
        <w:rPr>
          <w:rStyle w:val="FootnoteReference"/>
        </w:rPr>
        <w:footnoteRef/>
      </w:r>
      <w:r>
        <w:t xml:space="preserve"> Un rapport publié en avait en effet recommandé le recours à cette notion : </w:t>
      </w:r>
      <w:r w:rsidRPr="00EB1311">
        <w:rPr>
          <w:i/>
        </w:rPr>
        <w:t>Mission d’analyse des conditions d’accès des demandeurs les plus modestes au logement socia</w:t>
      </w:r>
      <w:r>
        <w:t>l, Conseil général de l’environnement et du développement durable, février 2010</w:t>
      </w:r>
    </w:p>
  </w:footnote>
  <w:footnote w:id="13">
    <w:p w:rsidR="0002447E" w:rsidRDefault="0002447E" w:rsidP="00F81404">
      <w:pPr>
        <w:pStyle w:val="FootnoteText"/>
      </w:pPr>
      <w:r>
        <w:rPr>
          <w:rStyle w:val="FootnoteReference"/>
        </w:rPr>
        <w:footnoteRef/>
      </w:r>
      <w:r>
        <w:t xml:space="preserve"> Voir notamment le rapport </w:t>
      </w:r>
      <w:r w:rsidRPr="00630A63">
        <w:rPr>
          <w:i/>
        </w:rPr>
        <w:t>Pour une mise du droit à des moyens convenables d’existence, Analyse autour du concept du « reste à vivre »</w:t>
      </w:r>
      <w:r>
        <w:t>, CNLE, juin 2012</w:t>
      </w:r>
    </w:p>
  </w:footnote>
  <w:footnote w:id="14">
    <w:p w:rsidR="0002447E" w:rsidRPr="006D7BCE" w:rsidRDefault="0002447E" w:rsidP="00023300">
      <w:pPr>
        <w:pStyle w:val="FootnoteText"/>
      </w:pPr>
      <w:r w:rsidRPr="006D7BCE">
        <w:rPr>
          <w:rStyle w:val="FootnoteReference"/>
        </w:rPr>
        <w:footnoteRef/>
      </w:r>
      <w:r w:rsidRPr="006D7BCE">
        <w:t xml:space="preserve"> </w:t>
      </w:r>
      <w:r>
        <w:t>R</w:t>
      </w:r>
      <w:r w:rsidRPr="006D7BCE">
        <w:rPr>
          <w:lang w:eastAsia="fr-FR"/>
        </w:rPr>
        <w:t>apport inter-associatif</w:t>
      </w:r>
      <w:r w:rsidRPr="006D7BCE">
        <w:rPr>
          <w:i/>
          <w:lang w:eastAsia="fr-FR"/>
        </w:rPr>
        <w:t xml:space="preserve"> Les difficultés d’accès au parc social des ménages à faibles ressources, </w:t>
      </w:r>
      <w:r w:rsidRPr="006D7BCE">
        <w:rPr>
          <w:lang w:eastAsia="fr-FR"/>
        </w:rPr>
        <w:t>juin 2020</w:t>
      </w:r>
    </w:p>
  </w:footnote>
  <w:footnote w:id="15">
    <w:p w:rsidR="0002447E" w:rsidRPr="006D7BCE" w:rsidRDefault="0002447E" w:rsidP="009F1C78">
      <w:pPr>
        <w:pStyle w:val="FootnoteText"/>
      </w:pPr>
      <w:r w:rsidRPr="006D7BCE">
        <w:rPr>
          <w:rStyle w:val="FootnoteReference"/>
        </w:rPr>
        <w:footnoteRef/>
      </w:r>
      <w:r w:rsidRPr="006D7BCE">
        <w:t xml:space="preserve"> </w:t>
      </w:r>
      <w:r w:rsidRPr="006D7BCE">
        <w:rPr>
          <w:i/>
          <w:lang w:eastAsia="fr-FR"/>
        </w:rPr>
        <w:t>Le logement social au défi de l’accès des publics modestes et défavorisés</w:t>
      </w:r>
      <w:r w:rsidRPr="006D7BCE">
        <w:rPr>
          <w:lang w:eastAsia="fr-FR"/>
        </w:rPr>
        <w:t>, Cour des Comptes, février 2017</w:t>
      </w:r>
    </w:p>
  </w:footnote>
  <w:footnote w:id="16">
    <w:p w:rsidR="0034195C" w:rsidRDefault="0034195C">
      <w:pPr>
        <w:pStyle w:val="FootnoteText"/>
      </w:pPr>
      <w:r>
        <w:rPr>
          <w:rStyle w:val="FootnoteReference"/>
        </w:rPr>
        <w:footnoteRef/>
      </w:r>
      <w:r>
        <w:t xml:space="preserve"> Rapport sur la politique du Logement d’abord, Cour des comptes, 20 octobre 2020.</w:t>
      </w:r>
    </w:p>
  </w:footnote>
  <w:footnote w:id="17">
    <w:p w:rsidR="001C3E84" w:rsidRDefault="001C3E84">
      <w:pPr>
        <w:pStyle w:val="FootnoteText"/>
      </w:pPr>
      <w:r>
        <w:rPr>
          <w:rStyle w:val="FootnoteReference"/>
        </w:rPr>
        <w:footnoteRef/>
      </w:r>
      <w:r>
        <w:t xml:space="preserve"> Observations finales concernant le quatrième rapport périodique de la France sur l’application du Pacte international des droits économiques, sociaux et culturels du 13 juillet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7E" w:rsidRDefault="0002447E" w:rsidP="00CB4590">
    <w:pPr>
      <w:pStyle w:val="Header"/>
      <w:jc w:val="center"/>
    </w:pPr>
    <w:r>
      <w:rPr>
        <w:noProof/>
        <w:lang w:val="en-GB" w:eastAsia="en-GB"/>
      </w:rPr>
      <w:drawing>
        <wp:anchor distT="0" distB="360045" distL="114300" distR="114300" simplePos="0" relativeHeight="251675648" behindDoc="0" locked="1" layoutInCell="1" allowOverlap="0" wp14:anchorId="23A72615" wp14:editId="5E6CC90C">
          <wp:simplePos x="0" y="0"/>
          <wp:positionH relativeFrom="page">
            <wp:posOffset>457200</wp:posOffset>
          </wp:positionH>
          <wp:positionV relativeFrom="paragraph">
            <wp:posOffset>147320</wp:posOffset>
          </wp:positionV>
          <wp:extent cx="2160000" cy="910800"/>
          <wp:effectExtent l="0" t="0" r="0" b="3810"/>
          <wp:wrapTopAndBottom/>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es-final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91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D65DD"/>
    <w:multiLevelType w:val="hybridMultilevel"/>
    <w:tmpl w:val="373A0FC2"/>
    <w:lvl w:ilvl="0" w:tplc="3CD884B8">
      <w:numFmt w:val="bullet"/>
      <w:lvlText w:val="-"/>
      <w:lvlJc w:val="left"/>
      <w:pPr>
        <w:ind w:left="862" w:hanging="360"/>
      </w:pPr>
      <w:rPr>
        <w:rFonts w:ascii="Calibri" w:eastAsia="Calibr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19D4187A"/>
    <w:multiLevelType w:val="hybridMultilevel"/>
    <w:tmpl w:val="91CE3836"/>
    <w:lvl w:ilvl="0" w:tplc="3CD884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B286A"/>
    <w:multiLevelType w:val="hybridMultilevel"/>
    <w:tmpl w:val="5EB0EE54"/>
    <w:lvl w:ilvl="0" w:tplc="B324FADC">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84F693C"/>
    <w:multiLevelType w:val="hybridMultilevel"/>
    <w:tmpl w:val="95125BF4"/>
    <w:lvl w:ilvl="0" w:tplc="C262BC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B02075"/>
    <w:multiLevelType w:val="hybridMultilevel"/>
    <w:tmpl w:val="AE58E510"/>
    <w:lvl w:ilvl="0" w:tplc="B324FA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815596"/>
    <w:multiLevelType w:val="hybridMultilevel"/>
    <w:tmpl w:val="47B6A34C"/>
    <w:lvl w:ilvl="0" w:tplc="3CD884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2842E1"/>
    <w:multiLevelType w:val="hybridMultilevel"/>
    <w:tmpl w:val="E7D0B866"/>
    <w:lvl w:ilvl="0" w:tplc="3CD884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76531B"/>
    <w:multiLevelType w:val="hybridMultilevel"/>
    <w:tmpl w:val="447EE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8C3B18"/>
    <w:multiLevelType w:val="hybridMultilevel"/>
    <w:tmpl w:val="AB6283BC"/>
    <w:lvl w:ilvl="0" w:tplc="68C24446">
      <w:start w:val="1"/>
      <w:numFmt w:val="decimal"/>
      <w:lvlText w:val="%1."/>
      <w:lvlJc w:val="left"/>
      <w:pPr>
        <w:ind w:left="1287" w:hanging="360"/>
      </w:pPr>
      <w:rPr>
        <w:b/>
        <w:i/>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6ADE1165"/>
    <w:multiLevelType w:val="hybridMultilevel"/>
    <w:tmpl w:val="1A80FF72"/>
    <w:lvl w:ilvl="0" w:tplc="B324FA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E8488D"/>
    <w:multiLevelType w:val="hybridMultilevel"/>
    <w:tmpl w:val="2CB6A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F83CE1"/>
    <w:multiLevelType w:val="hybridMultilevel"/>
    <w:tmpl w:val="78863964"/>
    <w:lvl w:ilvl="0" w:tplc="3CD884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8"/>
  </w:num>
  <w:num w:numId="5">
    <w:abstractNumId w:val="9"/>
  </w:num>
  <w:num w:numId="6">
    <w:abstractNumId w:val="7"/>
  </w:num>
  <w:num w:numId="7">
    <w:abstractNumId w:val="3"/>
  </w:num>
  <w:num w:numId="8">
    <w:abstractNumId w:val="4"/>
  </w:num>
  <w:num w:numId="9">
    <w:abstractNumId w:val="6"/>
  </w:num>
  <w:num w:numId="10">
    <w:abstractNumId w:val="11"/>
  </w:num>
  <w:num w:numId="11">
    <w:abstractNumId w:val="5"/>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43"/>
    <w:rsid w:val="00000087"/>
    <w:rsid w:val="00001770"/>
    <w:rsid w:val="0000183C"/>
    <w:rsid w:val="00001C70"/>
    <w:rsid w:val="0000270D"/>
    <w:rsid w:val="00002E5F"/>
    <w:rsid w:val="00004025"/>
    <w:rsid w:val="00005B8F"/>
    <w:rsid w:val="00005F65"/>
    <w:rsid w:val="000064FE"/>
    <w:rsid w:val="00007F63"/>
    <w:rsid w:val="00015B58"/>
    <w:rsid w:val="000168E2"/>
    <w:rsid w:val="00016AA0"/>
    <w:rsid w:val="00017B07"/>
    <w:rsid w:val="00017F11"/>
    <w:rsid w:val="000203FB"/>
    <w:rsid w:val="00020F59"/>
    <w:rsid w:val="00022418"/>
    <w:rsid w:val="0002302A"/>
    <w:rsid w:val="00023300"/>
    <w:rsid w:val="0002447E"/>
    <w:rsid w:val="00027AED"/>
    <w:rsid w:val="00031108"/>
    <w:rsid w:val="000323FA"/>
    <w:rsid w:val="000336AD"/>
    <w:rsid w:val="00034930"/>
    <w:rsid w:val="00034D3B"/>
    <w:rsid w:val="000351AC"/>
    <w:rsid w:val="000358CB"/>
    <w:rsid w:val="000361F7"/>
    <w:rsid w:val="00037C73"/>
    <w:rsid w:val="0004029C"/>
    <w:rsid w:val="000416CF"/>
    <w:rsid w:val="0004224A"/>
    <w:rsid w:val="0004233F"/>
    <w:rsid w:val="00042B49"/>
    <w:rsid w:val="0004395D"/>
    <w:rsid w:val="00043F0D"/>
    <w:rsid w:val="000446F5"/>
    <w:rsid w:val="00044F8A"/>
    <w:rsid w:val="00045240"/>
    <w:rsid w:val="00046942"/>
    <w:rsid w:val="000476A4"/>
    <w:rsid w:val="00047AE8"/>
    <w:rsid w:val="00047CE5"/>
    <w:rsid w:val="0005091B"/>
    <w:rsid w:val="00051DE3"/>
    <w:rsid w:val="000545FB"/>
    <w:rsid w:val="00054D9B"/>
    <w:rsid w:val="00055DD2"/>
    <w:rsid w:val="00055FD0"/>
    <w:rsid w:val="00057A46"/>
    <w:rsid w:val="00060563"/>
    <w:rsid w:val="00060F64"/>
    <w:rsid w:val="00062401"/>
    <w:rsid w:val="0006702B"/>
    <w:rsid w:val="00073F45"/>
    <w:rsid w:val="0007426C"/>
    <w:rsid w:val="000751A5"/>
    <w:rsid w:val="00076240"/>
    <w:rsid w:val="00076463"/>
    <w:rsid w:val="000764DF"/>
    <w:rsid w:val="00080613"/>
    <w:rsid w:val="00082422"/>
    <w:rsid w:val="0008643F"/>
    <w:rsid w:val="0008789A"/>
    <w:rsid w:val="00091822"/>
    <w:rsid w:val="0009315B"/>
    <w:rsid w:val="00094308"/>
    <w:rsid w:val="0009590D"/>
    <w:rsid w:val="000A0A91"/>
    <w:rsid w:val="000A2A25"/>
    <w:rsid w:val="000A35FD"/>
    <w:rsid w:val="000A6C28"/>
    <w:rsid w:val="000A6D93"/>
    <w:rsid w:val="000A7B17"/>
    <w:rsid w:val="000B0D47"/>
    <w:rsid w:val="000B1850"/>
    <w:rsid w:val="000B38DC"/>
    <w:rsid w:val="000C02B0"/>
    <w:rsid w:val="000C07DC"/>
    <w:rsid w:val="000C0E86"/>
    <w:rsid w:val="000C19A6"/>
    <w:rsid w:val="000C25D9"/>
    <w:rsid w:val="000C4FAC"/>
    <w:rsid w:val="000D017C"/>
    <w:rsid w:val="000D58EC"/>
    <w:rsid w:val="000D61ED"/>
    <w:rsid w:val="000D647F"/>
    <w:rsid w:val="000D73FA"/>
    <w:rsid w:val="000E07B0"/>
    <w:rsid w:val="000E2223"/>
    <w:rsid w:val="000E3A9D"/>
    <w:rsid w:val="000E3CCE"/>
    <w:rsid w:val="000E4495"/>
    <w:rsid w:val="000E475C"/>
    <w:rsid w:val="000E492A"/>
    <w:rsid w:val="000E4B08"/>
    <w:rsid w:val="000E6B37"/>
    <w:rsid w:val="000F0440"/>
    <w:rsid w:val="000F1B78"/>
    <w:rsid w:val="000F3749"/>
    <w:rsid w:val="000F3F8F"/>
    <w:rsid w:val="000F4C7F"/>
    <w:rsid w:val="000F535E"/>
    <w:rsid w:val="000F62B5"/>
    <w:rsid w:val="0010047D"/>
    <w:rsid w:val="00101731"/>
    <w:rsid w:val="001051A0"/>
    <w:rsid w:val="00110F7F"/>
    <w:rsid w:val="00112B97"/>
    <w:rsid w:val="00114376"/>
    <w:rsid w:val="00114CF3"/>
    <w:rsid w:val="00115DF8"/>
    <w:rsid w:val="0011643C"/>
    <w:rsid w:val="00116788"/>
    <w:rsid w:val="00120630"/>
    <w:rsid w:val="00121879"/>
    <w:rsid w:val="00122B1B"/>
    <w:rsid w:val="001238C9"/>
    <w:rsid w:val="00123EDD"/>
    <w:rsid w:val="00124593"/>
    <w:rsid w:val="00126592"/>
    <w:rsid w:val="00127097"/>
    <w:rsid w:val="00127401"/>
    <w:rsid w:val="00127A06"/>
    <w:rsid w:val="00127C99"/>
    <w:rsid w:val="00127D6E"/>
    <w:rsid w:val="00130A4B"/>
    <w:rsid w:val="00130BB0"/>
    <w:rsid w:val="00131A4A"/>
    <w:rsid w:val="00132C7F"/>
    <w:rsid w:val="00132CF1"/>
    <w:rsid w:val="00133C20"/>
    <w:rsid w:val="00134997"/>
    <w:rsid w:val="00135A43"/>
    <w:rsid w:val="001362CB"/>
    <w:rsid w:val="00136410"/>
    <w:rsid w:val="00137D38"/>
    <w:rsid w:val="0014225D"/>
    <w:rsid w:val="00143C57"/>
    <w:rsid w:val="0014426C"/>
    <w:rsid w:val="001456B7"/>
    <w:rsid w:val="00150C20"/>
    <w:rsid w:val="001511F1"/>
    <w:rsid w:val="001516F5"/>
    <w:rsid w:val="00154058"/>
    <w:rsid w:val="00154C7E"/>
    <w:rsid w:val="00154D00"/>
    <w:rsid w:val="00156918"/>
    <w:rsid w:val="001603CA"/>
    <w:rsid w:val="00160EC3"/>
    <w:rsid w:val="00162016"/>
    <w:rsid w:val="0016216D"/>
    <w:rsid w:val="001675A7"/>
    <w:rsid w:val="0017181E"/>
    <w:rsid w:val="00171B80"/>
    <w:rsid w:val="001739E9"/>
    <w:rsid w:val="00175224"/>
    <w:rsid w:val="00186CE1"/>
    <w:rsid w:val="00187F9D"/>
    <w:rsid w:val="001906FF"/>
    <w:rsid w:val="0019153E"/>
    <w:rsid w:val="00191C59"/>
    <w:rsid w:val="00192C36"/>
    <w:rsid w:val="00192DC7"/>
    <w:rsid w:val="00195923"/>
    <w:rsid w:val="00196523"/>
    <w:rsid w:val="001965BB"/>
    <w:rsid w:val="00197C7F"/>
    <w:rsid w:val="001A1319"/>
    <w:rsid w:val="001A1AEC"/>
    <w:rsid w:val="001A3AEB"/>
    <w:rsid w:val="001A404A"/>
    <w:rsid w:val="001A6E39"/>
    <w:rsid w:val="001A7CC6"/>
    <w:rsid w:val="001B1A61"/>
    <w:rsid w:val="001B2970"/>
    <w:rsid w:val="001B41C1"/>
    <w:rsid w:val="001B4293"/>
    <w:rsid w:val="001B6B6E"/>
    <w:rsid w:val="001B79AF"/>
    <w:rsid w:val="001B7EFF"/>
    <w:rsid w:val="001C028C"/>
    <w:rsid w:val="001C14F9"/>
    <w:rsid w:val="001C15A5"/>
    <w:rsid w:val="001C1D80"/>
    <w:rsid w:val="001C2980"/>
    <w:rsid w:val="001C3E84"/>
    <w:rsid w:val="001C40B6"/>
    <w:rsid w:val="001C79A9"/>
    <w:rsid w:val="001D0CC1"/>
    <w:rsid w:val="001D2BE1"/>
    <w:rsid w:val="001D2DDE"/>
    <w:rsid w:val="001D355D"/>
    <w:rsid w:val="001D5FDD"/>
    <w:rsid w:val="001D6A67"/>
    <w:rsid w:val="001E066C"/>
    <w:rsid w:val="001E070A"/>
    <w:rsid w:val="001E13CE"/>
    <w:rsid w:val="001E1CCB"/>
    <w:rsid w:val="001E241F"/>
    <w:rsid w:val="001E552C"/>
    <w:rsid w:val="001E6E98"/>
    <w:rsid w:val="001F0BED"/>
    <w:rsid w:val="001F1840"/>
    <w:rsid w:val="001F2409"/>
    <w:rsid w:val="001F30F8"/>
    <w:rsid w:val="001F4190"/>
    <w:rsid w:val="001F4C00"/>
    <w:rsid w:val="001F4C1A"/>
    <w:rsid w:val="001F6B06"/>
    <w:rsid w:val="00200E8C"/>
    <w:rsid w:val="002010EE"/>
    <w:rsid w:val="00202A28"/>
    <w:rsid w:val="00202EDB"/>
    <w:rsid w:val="002030C7"/>
    <w:rsid w:val="002044CF"/>
    <w:rsid w:val="00205930"/>
    <w:rsid w:val="00205FB5"/>
    <w:rsid w:val="0020668F"/>
    <w:rsid w:val="002121A8"/>
    <w:rsid w:val="00213EA9"/>
    <w:rsid w:val="002158E0"/>
    <w:rsid w:val="00216993"/>
    <w:rsid w:val="0021699F"/>
    <w:rsid w:val="00217EC4"/>
    <w:rsid w:val="00220856"/>
    <w:rsid w:val="00220A4A"/>
    <w:rsid w:val="00221388"/>
    <w:rsid w:val="00221A9F"/>
    <w:rsid w:val="00221D99"/>
    <w:rsid w:val="00230241"/>
    <w:rsid w:val="00230FB7"/>
    <w:rsid w:val="00232A74"/>
    <w:rsid w:val="00232E30"/>
    <w:rsid w:val="002334B1"/>
    <w:rsid w:val="002343AA"/>
    <w:rsid w:val="00234DF4"/>
    <w:rsid w:val="00234E7C"/>
    <w:rsid w:val="002357DE"/>
    <w:rsid w:val="00235F1C"/>
    <w:rsid w:val="002362AB"/>
    <w:rsid w:val="002401A0"/>
    <w:rsid w:val="0024262E"/>
    <w:rsid w:val="002428E3"/>
    <w:rsid w:val="00243935"/>
    <w:rsid w:val="00244D96"/>
    <w:rsid w:val="0024528E"/>
    <w:rsid w:val="00245EA1"/>
    <w:rsid w:val="00246C45"/>
    <w:rsid w:val="00246DF5"/>
    <w:rsid w:val="002473D0"/>
    <w:rsid w:val="002504BE"/>
    <w:rsid w:val="00252DF2"/>
    <w:rsid w:val="00255D4E"/>
    <w:rsid w:val="002561EC"/>
    <w:rsid w:val="00256537"/>
    <w:rsid w:val="00261335"/>
    <w:rsid w:val="002620B4"/>
    <w:rsid w:val="00262F69"/>
    <w:rsid w:val="00263460"/>
    <w:rsid w:val="00265303"/>
    <w:rsid w:val="0026532B"/>
    <w:rsid w:val="00266207"/>
    <w:rsid w:val="00266B27"/>
    <w:rsid w:val="00266E82"/>
    <w:rsid w:val="002739AF"/>
    <w:rsid w:val="0027406F"/>
    <w:rsid w:val="00277040"/>
    <w:rsid w:val="00281409"/>
    <w:rsid w:val="00284AAC"/>
    <w:rsid w:val="00284C22"/>
    <w:rsid w:val="00285231"/>
    <w:rsid w:val="0028676B"/>
    <w:rsid w:val="00293D17"/>
    <w:rsid w:val="00295CA2"/>
    <w:rsid w:val="0029689B"/>
    <w:rsid w:val="002A3337"/>
    <w:rsid w:val="002A4CDF"/>
    <w:rsid w:val="002A55B8"/>
    <w:rsid w:val="002A6117"/>
    <w:rsid w:val="002A6C59"/>
    <w:rsid w:val="002A7519"/>
    <w:rsid w:val="002A7A4D"/>
    <w:rsid w:val="002A7C4A"/>
    <w:rsid w:val="002B0CE2"/>
    <w:rsid w:val="002B18E0"/>
    <w:rsid w:val="002B375B"/>
    <w:rsid w:val="002B48DD"/>
    <w:rsid w:val="002B630E"/>
    <w:rsid w:val="002C2006"/>
    <w:rsid w:val="002C42FD"/>
    <w:rsid w:val="002C50B1"/>
    <w:rsid w:val="002C62E3"/>
    <w:rsid w:val="002D020F"/>
    <w:rsid w:val="002D2E6B"/>
    <w:rsid w:val="002D5876"/>
    <w:rsid w:val="002D5A36"/>
    <w:rsid w:val="002D67C4"/>
    <w:rsid w:val="002D68E2"/>
    <w:rsid w:val="002D70EB"/>
    <w:rsid w:val="002D72A4"/>
    <w:rsid w:val="002E08E0"/>
    <w:rsid w:val="002E1632"/>
    <w:rsid w:val="002E1917"/>
    <w:rsid w:val="002E264A"/>
    <w:rsid w:val="002E4196"/>
    <w:rsid w:val="002E5471"/>
    <w:rsid w:val="002E586F"/>
    <w:rsid w:val="002E7B33"/>
    <w:rsid w:val="002F10D6"/>
    <w:rsid w:val="002F2568"/>
    <w:rsid w:val="002F34BB"/>
    <w:rsid w:val="002F3825"/>
    <w:rsid w:val="002F5E02"/>
    <w:rsid w:val="002F67CB"/>
    <w:rsid w:val="002F718B"/>
    <w:rsid w:val="0030098D"/>
    <w:rsid w:val="00301708"/>
    <w:rsid w:val="00301F43"/>
    <w:rsid w:val="00303123"/>
    <w:rsid w:val="003040E7"/>
    <w:rsid w:val="0030510C"/>
    <w:rsid w:val="00306543"/>
    <w:rsid w:val="003069CA"/>
    <w:rsid w:val="00306EDA"/>
    <w:rsid w:val="0030702A"/>
    <w:rsid w:val="003071FB"/>
    <w:rsid w:val="00307978"/>
    <w:rsid w:val="00312A80"/>
    <w:rsid w:val="00313248"/>
    <w:rsid w:val="00313D80"/>
    <w:rsid w:val="00314A43"/>
    <w:rsid w:val="00314DD4"/>
    <w:rsid w:val="00317F96"/>
    <w:rsid w:val="00320752"/>
    <w:rsid w:val="00320A71"/>
    <w:rsid w:val="003211A0"/>
    <w:rsid w:val="00321C31"/>
    <w:rsid w:val="00322604"/>
    <w:rsid w:val="00323B6B"/>
    <w:rsid w:val="00324436"/>
    <w:rsid w:val="003311B0"/>
    <w:rsid w:val="00331A72"/>
    <w:rsid w:val="00336846"/>
    <w:rsid w:val="003378F6"/>
    <w:rsid w:val="00337DEB"/>
    <w:rsid w:val="0034059B"/>
    <w:rsid w:val="00340A54"/>
    <w:rsid w:val="0034195C"/>
    <w:rsid w:val="0034235B"/>
    <w:rsid w:val="00342723"/>
    <w:rsid w:val="003428BE"/>
    <w:rsid w:val="003429C1"/>
    <w:rsid w:val="00342C0E"/>
    <w:rsid w:val="003431A0"/>
    <w:rsid w:val="0034457A"/>
    <w:rsid w:val="00344715"/>
    <w:rsid w:val="00345104"/>
    <w:rsid w:val="003461BE"/>
    <w:rsid w:val="003477BE"/>
    <w:rsid w:val="00350006"/>
    <w:rsid w:val="00350AE3"/>
    <w:rsid w:val="00352629"/>
    <w:rsid w:val="00353E93"/>
    <w:rsid w:val="003566EE"/>
    <w:rsid w:val="003567C8"/>
    <w:rsid w:val="00356E71"/>
    <w:rsid w:val="00357709"/>
    <w:rsid w:val="00357917"/>
    <w:rsid w:val="00363E8E"/>
    <w:rsid w:val="00364072"/>
    <w:rsid w:val="00364DC0"/>
    <w:rsid w:val="00364E57"/>
    <w:rsid w:val="00365A5D"/>
    <w:rsid w:val="00367D10"/>
    <w:rsid w:val="00370238"/>
    <w:rsid w:val="0037137F"/>
    <w:rsid w:val="00373D27"/>
    <w:rsid w:val="0037426E"/>
    <w:rsid w:val="00375925"/>
    <w:rsid w:val="00375EC7"/>
    <w:rsid w:val="00377216"/>
    <w:rsid w:val="00383AC3"/>
    <w:rsid w:val="00385317"/>
    <w:rsid w:val="00385C65"/>
    <w:rsid w:val="00386C15"/>
    <w:rsid w:val="0039110B"/>
    <w:rsid w:val="00391733"/>
    <w:rsid w:val="003969AB"/>
    <w:rsid w:val="003A368E"/>
    <w:rsid w:val="003A3767"/>
    <w:rsid w:val="003A3A30"/>
    <w:rsid w:val="003A4528"/>
    <w:rsid w:val="003A563A"/>
    <w:rsid w:val="003A5A65"/>
    <w:rsid w:val="003A5C99"/>
    <w:rsid w:val="003B1410"/>
    <w:rsid w:val="003B3D6E"/>
    <w:rsid w:val="003B4B3C"/>
    <w:rsid w:val="003B6BC9"/>
    <w:rsid w:val="003C05F4"/>
    <w:rsid w:val="003C12E6"/>
    <w:rsid w:val="003C164B"/>
    <w:rsid w:val="003C26DB"/>
    <w:rsid w:val="003C49BE"/>
    <w:rsid w:val="003C7032"/>
    <w:rsid w:val="003C74E1"/>
    <w:rsid w:val="003C77EA"/>
    <w:rsid w:val="003D16F8"/>
    <w:rsid w:val="003D25C8"/>
    <w:rsid w:val="003D2EA6"/>
    <w:rsid w:val="003D306D"/>
    <w:rsid w:val="003D4848"/>
    <w:rsid w:val="003D7139"/>
    <w:rsid w:val="003D7305"/>
    <w:rsid w:val="003E2AED"/>
    <w:rsid w:val="003E561B"/>
    <w:rsid w:val="003F1828"/>
    <w:rsid w:val="003F1D3C"/>
    <w:rsid w:val="003F5601"/>
    <w:rsid w:val="003F5A82"/>
    <w:rsid w:val="004001BF"/>
    <w:rsid w:val="00400CB6"/>
    <w:rsid w:val="0040355F"/>
    <w:rsid w:val="00404684"/>
    <w:rsid w:val="0040592B"/>
    <w:rsid w:val="0040684A"/>
    <w:rsid w:val="0040735E"/>
    <w:rsid w:val="004103D1"/>
    <w:rsid w:val="00410AE8"/>
    <w:rsid w:val="00410F59"/>
    <w:rsid w:val="004116E1"/>
    <w:rsid w:val="00411883"/>
    <w:rsid w:val="00415163"/>
    <w:rsid w:val="00415551"/>
    <w:rsid w:val="0042075F"/>
    <w:rsid w:val="0042103E"/>
    <w:rsid w:val="00421339"/>
    <w:rsid w:val="004218E1"/>
    <w:rsid w:val="00422545"/>
    <w:rsid w:val="004253B2"/>
    <w:rsid w:val="0042584D"/>
    <w:rsid w:val="0042607C"/>
    <w:rsid w:val="00426F3D"/>
    <w:rsid w:val="004277E2"/>
    <w:rsid w:val="00427C84"/>
    <w:rsid w:val="004309C8"/>
    <w:rsid w:val="0043467F"/>
    <w:rsid w:val="004374F6"/>
    <w:rsid w:val="00441C02"/>
    <w:rsid w:val="0044378E"/>
    <w:rsid w:val="0044487B"/>
    <w:rsid w:val="00444CF1"/>
    <w:rsid w:val="00446178"/>
    <w:rsid w:val="004466DD"/>
    <w:rsid w:val="00447F9E"/>
    <w:rsid w:val="00453D6E"/>
    <w:rsid w:val="00453F7C"/>
    <w:rsid w:val="00455FE6"/>
    <w:rsid w:val="00456C69"/>
    <w:rsid w:val="00457EDA"/>
    <w:rsid w:val="00457FF1"/>
    <w:rsid w:val="00461543"/>
    <w:rsid w:val="004615AF"/>
    <w:rsid w:val="00463908"/>
    <w:rsid w:val="004640CA"/>
    <w:rsid w:val="004646AD"/>
    <w:rsid w:val="00464F74"/>
    <w:rsid w:val="00466FBA"/>
    <w:rsid w:val="00471656"/>
    <w:rsid w:val="00471C91"/>
    <w:rsid w:val="00472ED9"/>
    <w:rsid w:val="004735ED"/>
    <w:rsid w:val="00473B35"/>
    <w:rsid w:val="00473E7E"/>
    <w:rsid w:val="00476B0E"/>
    <w:rsid w:val="00477D56"/>
    <w:rsid w:val="004827CF"/>
    <w:rsid w:val="00482D5E"/>
    <w:rsid w:val="004834AB"/>
    <w:rsid w:val="0048731C"/>
    <w:rsid w:val="00487C11"/>
    <w:rsid w:val="004907A0"/>
    <w:rsid w:val="00491A85"/>
    <w:rsid w:val="00492D0E"/>
    <w:rsid w:val="004934C9"/>
    <w:rsid w:val="004934E2"/>
    <w:rsid w:val="00495AF2"/>
    <w:rsid w:val="00496D56"/>
    <w:rsid w:val="004A08C0"/>
    <w:rsid w:val="004A10DF"/>
    <w:rsid w:val="004A2949"/>
    <w:rsid w:val="004A4886"/>
    <w:rsid w:val="004A70F9"/>
    <w:rsid w:val="004B3DDA"/>
    <w:rsid w:val="004B55AC"/>
    <w:rsid w:val="004B6053"/>
    <w:rsid w:val="004B6664"/>
    <w:rsid w:val="004B6A7C"/>
    <w:rsid w:val="004C039B"/>
    <w:rsid w:val="004C44B0"/>
    <w:rsid w:val="004C4DDC"/>
    <w:rsid w:val="004C566E"/>
    <w:rsid w:val="004C773F"/>
    <w:rsid w:val="004D0404"/>
    <w:rsid w:val="004D24EA"/>
    <w:rsid w:val="004D25C8"/>
    <w:rsid w:val="004D499D"/>
    <w:rsid w:val="004D4B70"/>
    <w:rsid w:val="004D5116"/>
    <w:rsid w:val="004D51D0"/>
    <w:rsid w:val="004D6FB4"/>
    <w:rsid w:val="004D71AF"/>
    <w:rsid w:val="004D7E17"/>
    <w:rsid w:val="004E103E"/>
    <w:rsid w:val="004E2982"/>
    <w:rsid w:val="004E3665"/>
    <w:rsid w:val="004E3BCD"/>
    <w:rsid w:val="004E4A31"/>
    <w:rsid w:val="004E7325"/>
    <w:rsid w:val="004E7334"/>
    <w:rsid w:val="004F1350"/>
    <w:rsid w:val="004F2C3F"/>
    <w:rsid w:val="004F2E27"/>
    <w:rsid w:val="004F41E4"/>
    <w:rsid w:val="004F6734"/>
    <w:rsid w:val="004F684D"/>
    <w:rsid w:val="004F74B6"/>
    <w:rsid w:val="004F7C58"/>
    <w:rsid w:val="00502B4D"/>
    <w:rsid w:val="005047B0"/>
    <w:rsid w:val="0050570E"/>
    <w:rsid w:val="00506DD5"/>
    <w:rsid w:val="00507667"/>
    <w:rsid w:val="00507CC8"/>
    <w:rsid w:val="00510484"/>
    <w:rsid w:val="005116C4"/>
    <w:rsid w:val="00511E67"/>
    <w:rsid w:val="00512D4C"/>
    <w:rsid w:val="00512E2A"/>
    <w:rsid w:val="0051461E"/>
    <w:rsid w:val="00514734"/>
    <w:rsid w:val="00514C04"/>
    <w:rsid w:val="00515388"/>
    <w:rsid w:val="0051593B"/>
    <w:rsid w:val="005168FC"/>
    <w:rsid w:val="00516A4F"/>
    <w:rsid w:val="00520510"/>
    <w:rsid w:val="00522B95"/>
    <w:rsid w:val="00526BFD"/>
    <w:rsid w:val="00531240"/>
    <w:rsid w:val="005314E4"/>
    <w:rsid w:val="00531B32"/>
    <w:rsid w:val="005325B8"/>
    <w:rsid w:val="00534326"/>
    <w:rsid w:val="00535963"/>
    <w:rsid w:val="00536215"/>
    <w:rsid w:val="00537FDB"/>
    <w:rsid w:val="00541A39"/>
    <w:rsid w:val="00541DC2"/>
    <w:rsid w:val="00541E45"/>
    <w:rsid w:val="00542A6B"/>
    <w:rsid w:val="00543914"/>
    <w:rsid w:val="00544B5D"/>
    <w:rsid w:val="00544CEB"/>
    <w:rsid w:val="005461C7"/>
    <w:rsid w:val="00547173"/>
    <w:rsid w:val="005511D8"/>
    <w:rsid w:val="0055338F"/>
    <w:rsid w:val="00555100"/>
    <w:rsid w:val="00555CD6"/>
    <w:rsid w:val="005564BB"/>
    <w:rsid w:val="00556D96"/>
    <w:rsid w:val="00560FFF"/>
    <w:rsid w:val="0056169F"/>
    <w:rsid w:val="00562835"/>
    <w:rsid w:val="00563BAC"/>
    <w:rsid w:val="0056497C"/>
    <w:rsid w:val="00565D42"/>
    <w:rsid w:val="00572F5E"/>
    <w:rsid w:val="005731CE"/>
    <w:rsid w:val="00573820"/>
    <w:rsid w:val="005738D2"/>
    <w:rsid w:val="00576C9A"/>
    <w:rsid w:val="0058104E"/>
    <w:rsid w:val="0058704A"/>
    <w:rsid w:val="0058769E"/>
    <w:rsid w:val="0059200F"/>
    <w:rsid w:val="0059371D"/>
    <w:rsid w:val="00594503"/>
    <w:rsid w:val="005A0E83"/>
    <w:rsid w:val="005A3CCB"/>
    <w:rsid w:val="005A3E72"/>
    <w:rsid w:val="005A42EB"/>
    <w:rsid w:val="005A6775"/>
    <w:rsid w:val="005B0349"/>
    <w:rsid w:val="005B0576"/>
    <w:rsid w:val="005B075E"/>
    <w:rsid w:val="005B20C3"/>
    <w:rsid w:val="005B6A81"/>
    <w:rsid w:val="005C04A4"/>
    <w:rsid w:val="005C3513"/>
    <w:rsid w:val="005C4CEB"/>
    <w:rsid w:val="005C632C"/>
    <w:rsid w:val="005D23D5"/>
    <w:rsid w:val="005D2C46"/>
    <w:rsid w:val="005D3111"/>
    <w:rsid w:val="005D311F"/>
    <w:rsid w:val="005D3D57"/>
    <w:rsid w:val="005D4BCD"/>
    <w:rsid w:val="005D69FE"/>
    <w:rsid w:val="005D7F88"/>
    <w:rsid w:val="005E0377"/>
    <w:rsid w:val="005E1487"/>
    <w:rsid w:val="005E18A3"/>
    <w:rsid w:val="005E26EA"/>
    <w:rsid w:val="005E2A02"/>
    <w:rsid w:val="005E2DFA"/>
    <w:rsid w:val="005E31BE"/>
    <w:rsid w:val="005E79F4"/>
    <w:rsid w:val="005F4D28"/>
    <w:rsid w:val="005F5D44"/>
    <w:rsid w:val="005F60D5"/>
    <w:rsid w:val="005F619B"/>
    <w:rsid w:val="005F7544"/>
    <w:rsid w:val="005F7E4D"/>
    <w:rsid w:val="0060048E"/>
    <w:rsid w:val="006008FD"/>
    <w:rsid w:val="00600D3A"/>
    <w:rsid w:val="0060139F"/>
    <w:rsid w:val="0060309A"/>
    <w:rsid w:val="006051A0"/>
    <w:rsid w:val="00605C26"/>
    <w:rsid w:val="006069E5"/>
    <w:rsid w:val="006075D8"/>
    <w:rsid w:val="00607D22"/>
    <w:rsid w:val="00611710"/>
    <w:rsid w:val="0061245A"/>
    <w:rsid w:val="00614A79"/>
    <w:rsid w:val="0061741F"/>
    <w:rsid w:val="00620560"/>
    <w:rsid w:val="00620952"/>
    <w:rsid w:val="0062146C"/>
    <w:rsid w:val="00622387"/>
    <w:rsid w:val="006223A4"/>
    <w:rsid w:val="00624C7E"/>
    <w:rsid w:val="00625381"/>
    <w:rsid w:val="0062690C"/>
    <w:rsid w:val="00626A3A"/>
    <w:rsid w:val="0063018D"/>
    <w:rsid w:val="006301A3"/>
    <w:rsid w:val="0063093A"/>
    <w:rsid w:val="00630A63"/>
    <w:rsid w:val="0063180A"/>
    <w:rsid w:val="006324D8"/>
    <w:rsid w:val="006334FD"/>
    <w:rsid w:val="00635171"/>
    <w:rsid w:val="0063686F"/>
    <w:rsid w:val="006373B6"/>
    <w:rsid w:val="00637993"/>
    <w:rsid w:val="0064020E"/>
    <w:rsid w:val="00642FB0"/>
    <w:rsid w:val="0064359A"/>
    <w:rsid w:val="006438E1"/>
    <w:rsid w:val="0064565D"/>
    <w:rsid w:val="00645E91"/>
    <w:rsid w:val="006466CE"/>
    <w:rsid w:val="0064672B"/>
    <w:rsid w:val="006467A2"/>
    <w:rsid w:val="00646C90"/>
    <w:rsid w:val="006472C4"/>
    <w:rsid w:val="00651B5E"/>
    <w:rsid w:val="00651CE9"/>
    <w:rsid w:val="006529F2"/>
    <w:rsid w:val="00652D06"/>
    <w:rsid w:val="00654665"/>
    <w:rsid w:val="00655AAC"/>
    <w:rsid w:val="00655D1F"/>
    <w:rsid w:val="0065623C"/>
    <w:rsid w:val="00660387"/>
    <w:rsid w:val="0066120B"/>
    <w:rsid w:val="006625E9"/>
    <w:rsid w:val="0066284F"/>
    <w:rsid w:val="00663BEA"/>
    <w:rsid w:val="006650D7"/>
    <w:rsid w:val="00665D14"/>
    <w:rsid w:val="00666A49"/>
    <w:rsid w:val="00666C26"/>
    <w:rsid w:val="006674AF"/>
    <w:rsid w:val="00667C7A"/>
    <w:rsid w:val="00671ACE"/>
    <w:rsid w:val="00672802"/>
    <w:rsid w:val="00672DC3"/>
    <w:rsid w:val="00674A6A"/>
    <w:rsid w:val="00675DD3"/>
    <w:rsid w:val="00676F08"/>
    <w:rsid w:val="00681D3C"/>
    <w:rsid w:val="006829AE"/>
    <w:rsid w:val="00682B30"/>
    <w:rsid w:val="00682D1A"/>
    <w:rsid w:val="00684DA1"/>
    <w:rsid w:val="0068612F"/>
    <w:rsid w:val="006869D2"/>
    <w:rsid w:val="006912FB"/>
    <w:rsid w:val="00691622"/>
    <w:rsid w:val="00691946"/>
    <w:rsid w:val="006939BE"/>
    <w:rsid w:val="006948FD"/>
    <w:rsid w:val="00695EAF"/>
    <w:rsid w:val="0069778D"/>
    <w:rsid w:val="006A03F4"/>
    <w:rsid w:val="006A196D"/>
    <w:rsid w:val="006A246D"/>
    <w:rsid w:val="006A2E20"/>
    <w:rsid w:val="006A42EB"/>
    <w:rsid w:val="006A49DB"/>
    <w:rsid w:val="006A6918"/>
    <w:rsid w:val="006B0DA6"/>
    <w:rsid w:val="006B17ED"/>
    <w:rsid w:val="006B1AE2"/>
    <w:rsid w:val="006B276F"/>
    <w:rsid w:val="006B38D6"/>
    <w:rsid w:val="006B4D75"/>
    <w:rsid w:val="006B536C"/>
    <w:rsid w:val="006B562F"/>
    <w:rsid w:val="006B7FA9"/>
    <w:rsid w:val="006C0B22"/>
    <w:rsid w:val="006C24E0"/>
    <w:rsid w:val="006C33A4"/>
    <w:rsid w:val="006C77FA"/>
    <w:rsid w:val="006D1D30"/>
    <w:rsid w:val="006D2F64"/>
    <w:rsid w:val="006D3C69"/>
    <w:rsid w:val="006D4177"/>
    <w:rsid w:val="006D50D8"/>
    <w:rsid w:val="006D56CD"/>
    <w:rsid w:val="006E041E"/>
    <w:rsid w:val="006E1C0F"/>
    <w:rsid w:val="006E62FC"/>
    <w:rsid w:val="006F0989"/>
    <w:rsid w:val="006F177B"/>
    <w:rsid w:val="006F2BBF"/>
    <w:rsid w:val="006F307F"/>
    <w:rsid w:val="006F42B9"/>
    <w:rsid w:val="006F487B"/>
    <w:rsid w:val="006F4A79"/>
    <w:rsid w:val="006F546C"/>
    <w:rsid w:val="006F562C"/>
    <w:rsid w:val="006F5D39"/>
    <w:rsid w:val="006F6880"/>
    <w:rsid w:val="006F7ABF"/>
    <w:rsid w:val="007026C3"/>
    <w:rsid w:val="007059C1"/>
    <w:rsid w:val="007078B8"/>
    <w:rsid w:val="00707EDC"/>
    <w:rsid w:val="00712F4C"/>
    <w:rsid w:val="00713DB3"/>
    <w:rsid w:val="0071430A"/>
    <w:rsid w:val="007159D0"/>
    <w:rsid w:val="0071645A"/>
    <w:rsid w:val="00720F9F"/>
    <w:rsid w:val="0072277D"/>
    <w:rsid w:val="00722C67"/>
    <w:rsid w:val="007234A8"/>
    <w:rsid w:val="007245B2"/>
    <w:rsid w:val="007259D5"/>
    <w:rsid w:val="00725F03"/>
    <w:rsid w:val="00727BEB"/>
    <w:rsid w:val="00727C28"/>
    <w:rsid w:val="007306CE"/>
    <w:rsid w:val="00733A1F"/>
    <w:rsid w:val="00735285"/>
    <w:rsid w:val="00740605"/>
    <w:rsid w:val="00740A2C"/>
    <w:rsid w:val="00742F69"/>
    <w:rsid w:val="00743A4E"/>
    <w:rsid w:val="00743B65"/>
    <w:rsid w:val="00746722"/>
    <w:rsid w:val="00747162"/>
    <w:rsid w:val="00747DE8"/>
    <w:rsid w:val="00750649"/>
    <w:rsid w:val="00750A16"/>
    <w:rsid w:val="00751EEE"/>
    <w:rsid w:val="00752649"/>
    <w:rsid w:val="00754BB1"/>
    <w:rsid w:val="00754C31"/>
    <w:rsid w:val="00754E6C"/>
    <w:rsid w:val="007560EC"/>
    <w:rsid w:val="00757423"/>
    <w:rsid w:val="00762457"/>
    <w:rsid w:val="00763FF4"/>
    <w:rsid w:val="00765408"/>
    <w:rsid w:val="00767D3B"/>
    <w:rsid w:val="00770C0A"/>
    <w:rsid w:val="007716CA"/>
    <w:rsid w:val="007727AD"/>
    <w:rsid w:val="007738E2"/>
    <w:rsid w:val="00775F36"/>
    <w:rsid w:val="007763A3"/>
    <w:rsid w:val="0078043B"/>
    <w:rsid w:val="00780E92"/>
    <w:rsid w:val="00782F58"/>
    <w:rsid w:val="00783030"/>
    <w:rsid w:val="0078428F"/>
    <w:rsid w:val="007846F3"/>
    <w:rsid w:val="007847DA"/>
    <w:rsid w:val="00786336"/>
    <w:rsid w:val="00786983"/>
    <w:rsid w:val="00790ABC"/>
    <w:rsid w:val="0079159D"/>
    <w:rsid w:val="00791823"/>
    <w:rsid w:val="00791BEC"/>
    <w:rsid w:val="00793150"/>
    <w:rsid w:val="0079475A"/>
    <w:rsid w:val="00795191"/>
    <w:rsid w:val="00795806"/>
    <w:rsid w:val="00796542"/>
    <w:rsid w:val="00796791"/>
    <w:rsid w:val="00796AAA"/>
    <w:rsid w:val="007A16D5"/>
    <w:rsid w:val="007A245C"/>
    <w:rsid w:val="007A3132"/>
    <w:rsid w:val="007A40E2"/>
    <w:rsid w:val="007A5E35"/>
    <w:rsid w:val="007A6F3A"/>
    <w:rsid w:val="007A79F4"/>
    <w:rsid w:val="007B0BCC"/>
    <w:rsid w:val="007B2FA7"/>
    <w:rsid w:val="007B34DE"/>
    <w:rsid w:val="007B3B01"/>
    <w:rsid w:val="007B4320"/>
    <w:rsid w:val="007B5AA1"/>
    <w:rsid w:val="007B6422"/>
    <w:rsid w:val="007B738D"/>
    <w:rsid w:val="007B79F8"/>
    <w:rsid w:val="007B7E17"/>
    <w:rsid w:val="007C04A0"/>
    <w:rsid w:val="007C141E"/>
    <w:rsid w:val="007C1DAF"/>
    <w:rsid w:val="007C2065"/>
    <w:rsid w:val="007C3D53"/>
    <w:rsid w:val="007C3E72"/>
    <w:rsid w:val="007C4DE5"/>
    <w:rsid w:val="007C5459"/>
    <w:rsid w:val="007C5602"/>
    <w:rsid w:val="007C6259"/>
    <w:rsid w:val="007C6F34"/>
    <w:rsid w:val="007D027D"/>
    <w:rsid w:val="007D28E1"/>
    <w:rsid w:val="007D2CF6"/>
    <w:rsid w:val="007D465F"/>
    <w:rsid w:val="007D524C"/>
    <w:rsid w:val="007D7888"/>
    <w:rsid w:val="007D7D2D"/>
    <w:rsid w:val="007E19B6"/>
    <w:rsid w:val="007E1D38"/>
    <w:rsid w:val="007E207C"/>
    <w:rsid w:val="007E69ED"/>
    <w:rsid w:val="007F115F"/>
    <w:rsid w:val="007F168E"/>
    <w:rsid w:val="007F1B04"/>
    <w:rsid w:val="007F2F2B"/>
    <w:rsid w:val="007F36D9"/>
    <w:rsid w:val="007F3975"/>
    <w:rsid w:val="007F3E97"/>
    <w:rsid w:val="007F7966"/>
    <w:rsid w:val="007F7CF1"/>
    <w:rsid w:val="007F7FED"/>
    <w:rsid w:val="00801084"/>
    <w:rsid w:val="0080220C"/>
    <w:rsid w:val="0080504F"/>
    <w:rsid w:val="008054A7"/>
    <w:rsid w:val="008100AF"/>
    <w:rsid w:val="008147EF"/>
    <w:rsid w:val="00814995"/>
    <w:rsid w:val="0081564A"/>
    <w:rsid w:val="008165E3"/>
    <w:rsid w:val="00816F2D"/>
    <w:rsid w:val="00817467"/>
    <w:rsid w:val="00822DA2"/>
    <w:rsid w:val="0082394D"/>
    <w:rsid w:val="008241D8"/>
    <w:rsid w:val="00827B7B"/>
    <w:rsid w:val="00830849"/>
    <w:rsid w:val="008314DC"/>
    <w:rsid w:val="008316AA"/>
    <w:rsid w:val="00831BF5"/>
    <w:rsid w:val="0083518A"/>
    <w:rsid w:val="0083630E"/>
    <w:rsid w:val="008368A0"/>
    <w:rsid w:val="00836B6F"/>
    <w:rsid w:val="00836F8D"/>
    <w:rsid w:val="008400BB"/>
    <w:rsid w:val="00840C1E"/>
    <w:rsid w:val="00842D08"/>
    <w:rsid w:val="008439A0"/>
    <w:rsid w:val="00844323"/>
    <w:rsid w:val="0084445F"/>
    <w:rsid w:val="00844C51"/>
    <w:rsid w:val="0084753A"/>
    <w:rsid w:val="00850144"/>
    <w:rsid w:val="008505A3"/>
    <w:rsid w:val="008518A3"/>
    <w:rsid w:val="00854E24"/>
    <w:rsid w:val="00855B99"/>
    <w:rsid w:val="00856E4D"/>
    <w:rsid w:val="00856E8F"/>
    <w:rsid w:val="0086041A"/>
    <w:rsid w:val="0086058D"/>
    <w:rsid w:val="0086074F"/>
    <w:rsid w:val="00863677"/>
    <w:rsid w:val="00863E7F"/>
    <w:rsid w:val="00866F70"/>
    <w:rsid w:val="008713C5"/>
    <w:rsid w:val="00872265"/>
    <w:rsid w:val="00872E1B"/>
    <w:rsid w:val="00873770"/>
    <w:rsid w:val="00874BF5"/>
    <w:rsid w:val="00876D3F"/>
    <w:rsid w:val="0087776D"/>
    <w:rsid w:val="008823A1"/>
    <w:rsid w:val="008828D8"/>
    <w:rsid w:val="00882B7B"/>
    <w:rsid w:val="00882E70"/>
    <w:rsid w:val="00883992"/>
    <w:rsid w:val="00890859"/>
    <w:rsid w:val="00891482"/>
    <w:rsid w:val="008934BC"/>
    <w:rsid w:val="00893A9A"/>
    <w:rsid w:val="0089602E"/>
    <w:rsid w:val="00896A3F"/>
    <w:rsid w:val="008A0518"/>
    <w:rsid w:val="008A11CF"/>
    <w:rsid w:val="008A1A7C"/>
    <w:rsid w:val="008A24EC"/>
    <w:rsid w:val="008A27CC"/>
    <w:rsid w:val="008A3354"/>
    <w:rsid w:val="008A475B"/>
    <w:rsid w:val="008A614C"/>
    <w:rsid w:val="008A7E75"/>
    <w:rsid w:val="008B0F31"/>
    <w:rsid w:val="008B322A"/>
    <w:rsid w:val="008B4AF8"/>
    <w:rsid w:val="008B7195"/>
    <w:rsid w:val="008C2454"/>
    <w:rsid w:val="008C2E88"/>
    <w:rsid w:val="008C2EFA"/>
    <w:rsid w:val="008C41F5"/>
    <w:rsid w:val="008C5F74"/>
    <w:rsid w:val="008C6509"/>
    <w:rsid w:val="008D1C9B"/>
    <w:rsid w:val="008D2EFB"/>
    <w:rsid w:val="008D4EB5"/>
    <w:rsid w:val="008D6063"/>
    <w:rsid w:val="008D6D36"/>
    <w:rsid w:val="008D7542"/>
    <w:rsid w:val="008E52B0"/>
    <w:rsid w:val="008E5342"/>
    <w:rsid w:val="008F0A11"/>
    <w:rsid w:val="008F21D0"/>
    <w:rsid w:val="0090158C"/>
    <w:rsid w:val="0090209B"/>
    <w:rsid w:val="0090570C"/>
    <w:rsid w:val="00905B08"/>
    <w:rsid w:val="00906047"/>
    <w:rsid w:val="00907BA3"/>
    <w:rsid w:val="00910430"/>
    <w:rsid w:val="009120A0"/>
    <w:rsid w:val="00912356"/>
    <w:rsid w:val="00912E66"/>
    <w:rsid w:val="00913597"/>
    <w:rsid w:val="00913F24"/>
    <w:rsid w:val="00915D99"/>
    <w:rsid w:val="00916BB7"/>
    <w:rsid w:val="009205AF"/>
    <w:rsid w:val="009206ED"/>
    <w:rsid w:val="00920A68"/>
    <w:rsid w:val="00921BB9"/>
    <w:rsid w:val="00921E7B"/>
    <w:rsid w:val="00922DDC"/>
    <w:rsid w:val="009249AC"/>
    <w:rsid w:val="009250B5"/>
    <w:rsid w:val="00925AF8"/>
    <w:rsid w:val="00925E9C"/>
    <w:rsid w:val="009265A6"/>
    <w:rsid w:val="00926F60"/>
    <w:rsid w:val="00927227"/>
    <w:rsid w:val="00927C7B"/>
    <w:rsid w:val="00927FB4"/>
    <w:rsid w:val="009306CE"/>
    <w:rsid w:val="0093478C"/>
    <w:rsid w:val="00935115"/>
    <w:rsid w:val="00940700"/>
    <w:rsid w:val="00941072"/>
    <w:rsid w:val="00942A53"/>
    <w:rsid w:val="00946F88"/>
    <w:rsid w:val="0095007C"/>
    <w:rsid w:val="0095188B"/>
    <w:rsid w:val="00952418"/>
    <w:rsid w:val="009524A1"/>
    <w:rsid w:val="009525C0"/>
    <w:rsid w:val="00952D15"/>
    <w:rsid w:val="00954503"/>
    <w:rsid w:val="0095454E"/>
    <w:rsid w:val="0095500F"/>
    <w:rsid w:val="009564B1"/>
    <w:rsid w:val="0095676D"/>
    <w:rsid w:val="009567F3"/>
    <w:rsid w:val="00957236"/>
    <w:rsid w:val="009575BF"/>
    <w:rsid w:val="00961A96"/>
    <w:rsid w:val="00961CB0"/>
    <w:rsid w:val="00961FC2"/>
    <w:rsid w:val="00964172"/>
    <w:rsid w:val="00965BCC"/>
    <w:rsid w:val="0096721A"/>
    <w:rsid w:val="009673B9"/>
    <w:rsid w:val="00967F2F"/>
    <w:rsid w:val="0097113C"/>
    <w:rsid w:val="00972096"/>
    <w:rsid w:val="00972570"/>
    <w:rsid w:val="00973928"/>
    <w:rsid w:val="00977120"/>
    <w:rsid w:val="00977F06"/>
    <w:rsid w:val="00981952"/>
    <w:rsid w:val="009840A3"/>
    <w:rsid w:val="00984F62"/>
    <w:rsid w:val="00991B65"/>
    <w:rsid w:val="0099379E"/>
    <w:rsid w:val="00996796"/>
    <w:rsid w:val="009A0931"/>
    <w:rsid w:val="009A2341"/>
    <w:rsid w:val="009A4B35"/>
    <w:rsid w:val="009A5C96"/>
    <w:rsid w:val="009A7D40"/>
    <w:rsid w:val="009B23B6"/>
    <w:rsid w:val="009B2ABE"/>
    <w:rsid w:val="009B3322"/>
    <w:rsid w:val="009B402D"/>
    <w:rsid w:val="009B41C8"/>
    <w:rsid w:val="009C0697"/>
    <w:rsid w:val="009C0DFE"/>
    <w:rsid w:val="009C2092"/>
    <w:rsid w:val="009C4CD6"/>
    <w:rsid w:val="009C516C"/>
    <w:rsid w:val="009C556F"/>
    <w:rsid w:val="009C623F"/>
    <w:rsid w:val="009C7C04"/>
    <w:rsid w:val="009D0E2A"/>
    <w:rsid w:val="009D352B"/>
    <w:rsid w:val="009D469A"/>
    <w:rsid w:val="009D49DA"/>
    <w:rsid w:val="009D4FA9"/>
    <w:rsid w:val="009D7D7F"/>
    <w:rsid w:val="009E0220"/>
    <w:rsid w:val="009E1352"/>
    <w:rsid w:val="009E19B8"/>
    <w:rsid w:val="009E1F44"/>
    <w:rsid w:val="009E30E5"/>
    <w:rsid w:val="009E5EDC"/>
    <w:rsid w:val="009E67D7"/>
    <w:rsid w:val="009E6C8E"/>
    <w:rsid w:val="009F1B87"/>
    <w:rsid w:val="009F1BD1"/>
    <w:rsid w:val="009F1C78"/>
    <w:rsid w:val="009F2DC2"/>
    <w:rsid w:val="009F38A8"/>
    <w:rsid w:val="009F5DD6"/>
    <w:rsid w:val="009F604A"/>
    <w:rsid w:val="00A017C8"/>
    <w:rsid w:val="00A020A1"/>
    <w:rsid w:val="00A02BBF"/>
    <w:rsid w:val="00A04740"/>
    <w:rsid w:val="00A05C7D"/>
    <w:rsid w:val="00A06400"/>
    <w:rsid w:val="00A06E8E"/>
    <w:rsid w:val="00A1025D"/>
    <w:rsid w:val="00A1033D"/>
    <w:rsid w:val="00A111BD"/>
    <w:rsid w:val="00A125BA"/>
    <w:rsid w:val="00A137E5"/>
    <w:rsid w:val="00A141B6"/>
    <w:rsid w:val="00A14CA0"/>
    <w:rsid w:val="00A150D9"/>
    <w:rsid w:val="00A16D3E"/>
    <w:rsid w:val="00A17AF8"/>
    <w:rsid w:val="00A17C1E"/>
    <w:rsid w:val="00A21575"/>
    <w:rsid w:val="00A253FE"/>
    <w:rsid w:val="00A25E39"/>
    <w:rsid w:val="00A31C74"/>
    <w:rsid w:val="00A332C4"/>
    <w:rsid w:val="00A33373"/>
    <w:rsid w:val="00A35760"/>
    <w:rsid w:val="00A36445"/>
    <w:rsid w:val="00A36729"/>
    <w:rsid w:val="00A37BCD"/>
    <w:rsid w:val="00A406F5"/>
    <w:rsid w:val="00A40AAF"/>
    <w:rsid w:val="00A443F7"/>
    <w:rsid w:val="00A445F8"/>
    <w:rsid w:val="00A475C0"/>
    <w:rsid w:val="00A5100A"/>
    <w:rsid w:val="00A5418F"/>
    <w:rsid w:val="00A546A4"/>
    <w:rsid w:val="00A57CBA"/>
    <w:rsid w:val="00A62B78"/>
    <w:rsid w:val="00A63367"/>
    <w:rsid w:val="00A63976"/>
    <w:rsid w:val="00A63CAD"/>
    <w:rsid w:val="00A6707D"/>
    <w:rsid w:val="00A676EC"/>
    <w:rsid w:val="00A67BE0"/>
    <w:rsid w:val="00A7131A"/>
    <w:rsid w:val="00A72A2F"/>
    <w:rsid w:val="00A77987"/>
    <w:rsid w:val="00A80A09"/>
    <w:rsid w:val="00A81EDF"/>
    <w:rsid w:val="00A82D46"/>
    <w:rsid w:val="00A83C93"/>
    <w:rsid w:val="00A84C09"/>
    <w:rsid w:val="00A87365"/>
    <w:rsid w:val="00A90FA1"/>
    <w:rsid w:val="00A92254"/>
    <w:rsid w:val="00A928A3"/>
    <w:rsid w:val="00A94371"/>
    <w:rsid w:val="00A94CA1"/>
    <w:rsid w:val="00A96577"/>
    <w:rsid w:val="00AA0464"/>
    <w:rsid w:val="00AA1D21"/>
    <w:rsid w:val="00AA2BE2"/>
    <w:rsid w:val="00AA4B09"/>
    <w:rsid w:val="00AA7E52"/>
    <w:rsid w:val="00AB048A"/>
    <w:rsid w:val="00AB20EE"/>
    <w:rsid w:val="00AB215F"/>
    <w:rsid w:val="00AB3C69"/>
    <w:rsid w:val="00AB3CA1"/>
    <w:rsid w:val="00AB47D3"/>
    <w:rsid w:val="00AB4FEC"/>
    <w:rsid w:val="00AB5039"/>
    <w:rsid w:val="00AB5BE1"/>
    <w:rsid w:val="00AB64EA"/>
    <w:rsid w:val="00AB7F23"/>
    <w:rsid w:val="00AC011E"/>
    <w:rsid w:val="00AC108C"/>
    <w:rsid w:val="00AC130B"/>
    <w:rsid w:val="00AC1B72"/>
    <w:rsid w:val="00AC2127"/>
    <w:rsid w:val="00AC4859"/>
    <w:rsid w:val="00AC4C52"/>
    <w:rsid w:val="00AC53F3"/>
    <w:rsid w:val="00AC7C9F"/>
    <w:rsid w:val="00AC7DDE"/>
    <w:rsid w:val="00AD1328"/>
    <w:rsid w:val="00AD2603"/>
    <w:rsid w:val="00AD2620"/>
    <w:rsid w:val="00AD2ADA"/>
    <w:rsid w:val="00AD2FA2"/>
    <w:rsid w:val="00AD5717"/>
    <w:rsid w:val="00AD5F11"/>
    <w:rsid w:val="00AD6F46"/>
    <w:rsid w:val="00AE02FC"/>
    <w:rsid w:val="00AE1E11"/>
    <w:rsid w:val="00AE237F"/>
    <w:rsid w:val="00AE2E26"/>
    <w:rsid w:val="00AE49C6"/>
    <w:rsid w:val="00AF1224"/>
    <w:rsid w:val="00AF3A60"/>
    <w:rsid w:val="00AF3F7B"/>
    <w:rsid w:val="00AF4FF1"/>
    <w:rsid w:val="00AF6D97"/>
    <w:rsid w:val="00AF762A"/>
    <w:rsid w:val="00B00C31"/>
    <w:rsid w:val="00B01B76"/>
    <w:rsid w:val="00B01C52"/>
    <w:rsid w:val="00B02AA5"/>
    <w:rsid w:val="00B030C6"/>
    <w:rsid w:val="00B131EB"/>
    <w:rsid w:val="00B13509"/>
    <w:rsid w:val="00B138B9"/>
    <w:rsid w:val="00B14F2A"/>
    <w:rsid w:val="00B21695"/>
    <w:rsid w:val="00B21EE4"/>
    <w:rsid w:val="00B222B9"/>
    <w:rsid w:val="00B23B43"/>
    <w:rsid w:val="00B24323"/>
    <w:rsid w:val="00B24C08"/>
    <w:rsid w:val="00B24CF0"/>
    <w:rsid w:val="00B24DDE"/>
    <w:rsid w:val="00B257E5"/>
    <w:rsid w:val="00B25CE0"/>
    <w:rsid w:val="00B27DC4"/>
    <w:rsid w:val="00B3165B"/>
    <w:rsid w:val="00B33544"/>
    <w:rsid w:val="00B40FFC"/>
    <w:rsid w:val="00B42459"/>
    <w:rsid w:val="00B424FA"/>
    <w:rsid w:val="00B431CE"/>
    <w:rsid w:val="00B43CB7"/>
    <w:rsid w:val="00B44D37"/>
    <w:rsid w:val="00B456D6"/>
    <w:rsid w:val="00B46266"/>
    <w:rsid w:val="00B475AC"/>
    <w:rsid w:val="00B477B8"/>
    <w:rsid w:val="00B539F9"/>
    <w:rsid w:val="00B5430A"/>
    <w:rsid w:val="00B548EB"/>
    <w:rsid w:val="00B54E0F"/>
    <w:rsid w:val="00B611FC"/>
    <w:rsid w:val="00B618E2"/>
    <w:rsid w:val="00B61C5A"/>
    <w:rsid w:val="00B624BC"/>
    <w:rsid w:val="00B64DC1"/>
    <w:rsid w:val="00B66948"/>
    <w:rsid w:val="00B66BB4"/>
    <w:rsid w:val="00B66D9D"/>
    <w:rsid w:val="00B6740E"/>
    <w:rsid w:val="00B712D1"/>
    <w:rsid w:val="00B72525"/>
    <w:rsid w:val="00B72894"/>
    <w:rsid w:val="00B74ABB"/>
    <w:rsid w:val="00B75901"/>
    <w:rsid w:val="00B765C9"/>
    <w:rsid w:val="00B76AD7"/>
    <w:rsid w:val="00B77A44"/>
    <w:rsid w:val="00B80684"/>
    <w:rsid w:val="00B808BC"/>
    <w:rsid w:val="00B87EBC"/>
    <w:rsid w:val="00B9025C"/>
    <w:rsid w:val="00B91561"/>
    <w:rsid w:val="00B93EBF"/>
    <w:rsid w:val="00B948F9"/>
    <w:rsid w:val="00B95412"/>
    <w:rsid w:val="00BA3138"/>
    <w:rsid w:val="00BA68A6"/>
    <w:rsid w:val="00BB0490"/>
    <w:rsid w:val="00BB2158"/>
    <w:rsid w:val="00BB2576"/>
    <w:rsid w:val="00BB408A"/>
    <w:rsid w:val="00BC0E43"/>
    <w:rsid w:val="00BC1C53"/>
    <w:rsid w:val="00BC4B8F"/>
    <w:rsid w:val="00BC4D10"/>
    <w:rsid w:val="00BC5BBE"/>
    <w:rsid w:val="00BD0386"/>
    <w:rsid w:val="00BD2E07"/>
    <w:rsid w:val="00BD3068"/>
    <w:rsid w:val="00BD353B"/>
    <w:rsid w:val="00BD562E"/>
    <w:rsid w:val="00BD7052"/>
    <w:rsid w:val="00BD7232"/>
    <w:rsid w:val="00BD7F67"/>
    <w:rsid w:val="00BD7FDF"/>
    <w:rsid w:val="00BE0D67"/>
    <w:rsid w:val="00BE378C"/>
    <w:rsid w:val="00BE387A"/>
    <w:rsid w:val="00BE7B34"/>
    <w:rsid w:val="00BE7CE6"/>
    <w:rsid w:val="00BE7E6E"/>
    <w:rsid w:val="00BF2D74"/>
    <w:rsid w:val="00BF2EE1"/>
    <w:rsid w:val="00BF4895"/>
    <w:rsid w:val="00BF5618"/>
    <w:rsid w:val="00BF5B44"/>
    <w:rsid w:val="00BF7D6C"/>
    <w:rsid w:val="00C00A40"/>
    <w:rsid w:val="00C02AB6"/>
    <w:rsid w:val="00C03B5A"/>
    <w:rsid w:val="00C04650"/>
    <w:rsid w:val="00C04B7A"/>
    <w:rsid w:val="00C05F9B"/>
    <w:rsid w:val="00C063F1"/>
    <w:rsid w:val="00C06438"/>
    <w:rsid w:val="00C07764"/>
    <w:rsid w:val="00C116B6"/>
    <w:rsid w:val="00C11E80"/>
    <w:rsid w:val="00C1258C"/>
    <w:rsid w:val="00C15375"/>
    <w:rsid w:val="00C161DA"/>
    <w:rsid w:val="00C17ED7"/>
    <w:rsid w:val="00C2062C"/>
    <w:rsid w:val="00C2094D"/>
    <w:rsid w:val="00C21508"/>
    <w:rsid w:val="00C23C1A"/>
    <w:rsid w:val="00C24031"/>
    <w:rsid w:val="00C25644"/>
    <w:rsid w:val="00C25E5A"/>
    <w:rsid w:val="00C2615D"/>
    <w:rsid w:val="00C26436"/>
    <w:rsid w:val="00C3063C"/>
    <w:rsid w:val="00C30D92"/>
    <w:rsid w:val="00C31B52"/>
    <w:rsid w:val="00C31B6C"/>
    <w:rsid w:val="00C31C22"/>
    <w:rsid w:val="00C322D6"/>
    <w:rsid w:val="00C36A35"/>
    <w:rsid w:val="00C36E88"/>
    <w:rsid w:val="00C40F93"/>
    <w:rsid w:val="00C4145E"/>
    <w:rsid w:val="00C433B1"/>
    <w:rsid w:val="00C45C83"/>
    <w:rsid w:val="00C46720"/>
    <w:rsid w:val="00C46748"/>
    <w:rsid w:val="00C46B88"/>
    <w:rsid w:val="00C505FB"/>
    <w:rsid w:val="00C51125"/>
    <w:rsid w:val="00C515D1"/>
    <w:rsid w:val="00C5210E"/>
    <w:rsid w:val="00C52FA2"/>
    <w:rsid w:val="00C559C6"/>
    <w:rsid w:val="00C564B6"/>
    <w:rsid w:val="00C574FF"/>
    <w:rsid w:val="00C61903"/>
    <w:rsid w:val="00C70EE0"/>
    <w:rsid w:val="00C7173C"/>
    <w:rsid w:val="00C731D6"/>
    <w:rsid w:val="00C74DB4"/>
    <w:rsid w:val="00C76243"/>
    <w:rsid w:val="00C76BBB"/>
    <w:rsid w:val="00C77A05"/>
    <w:rsid w:val="00C80ADD"/>
    <w:rsid w:val="00C821CE"/>
    <w:rsid w:val="00C86694"/>
    <w:rsid w:val="00C90126"/>
    <w:rsid w:val="00C90A8E"/>
    <w:rsid w:val="00C91FE9"/>
    <w:rsid w:val="00C942B6"/>
    <w:rsid w:val="00C94D68"/>
    <w:rsid w:val="00C94FC0"/>
    <w:rsid w:val="00CA042E"/>
    <w:rsid w:val="00CA0E94"/>
    <w:rsid w:val="00CA13DD"/>
    <w:rsid w:val="00CA2DE8"/>
    <w:rsid w:val="00CA337C"/>
    <w:rsid w:val="00CA33AE"/>
    <w:rsid w:val="00CA41AA"/>
    <w:rsid w:val="00CA47CA"/>
    <w:rsid w:val="00CA4D0C"/>
    <w:rsid w:val="00CA4DFC"/>
    <w:rsid w:val="00CA52B3"/>
    <w:rsid w:val="00CA5D29"/>
    <w:rsid w:val="00CA7650"/>
    <w:rsid w:val="00CB0D96"/>
    <w:rsid w:val="00CB2768"/>
    <w:rsid w:val="00CB31F1"/>
    <w:rsid w:val="00CB3379"/>
    <w:rsid w:val="00CB3A1C"/>
    <w:rsid w:val="00CB4590"/>
    <w:rsid w:val="00CC0753"/>
    <w:rsid w:val="00CC0B99"/>
    <w:rsid w:val="00CC1780"/>
    <w:rsid w:val="00CC1D98"/>
    <w:rsid w:val="00CC6BD2"/>
    <w:rsid w:val="00CD1F18"/>
    <w:rsid w:val="00CD34A4"/>
    <w:rsid w:val="00CD4302"/>
    <w:rsid w:val="00CD543D"/>
    <w:rsid w:val="00CD57B3"/>
    <w:rsid w:val="00CD5AD1"/>
    <w:rsid w:val="00CD6ACB"/>
    <w:rsid w:val="00CE1040"/>
    <w:rsid w:val="00CE3BD1"/>
    <w:rsid w:val="00CE5259"/>
    <w:rsid w:val="00CE64E4"/>
    <w:rsid w:val="00CE6953"/>
    <w:rsid w:val="00CE7A27"/>
    <w:rsid w:val="00CF0226"/>
    <w:rsid w:val="00CF2795"/>
    <w:rsid w:val="00CF36F6"/>
    <w:rsid w:val="00CF4F15"/>
    <w:rsid w:val="00CF5D16"/>
    <w:rsid w:val="00CF735B"/>
    <w:rsid w:val="00D01095"/>
    <w:rsid w:val="00D021FA"/>
    <w:rsid w:val="00D02C09"/>
    <w:rsid w:val="00D11586"/>
    <w:rsid w:val="00D1230C"/>
    <w:rsid w:val="00D13473"/>
    <w:rsid w:val="00D16A31"/>
    <w:rsid w:val="00D17677"/>
    <w:rsid w:val="00D20068"/>
    <w:rsid w:val="00D209CC"/>
    <w:rsid w:val="00D21CA0"/>
    <w:rsid w:val="00D22219"/>
    <w:rsid w:val="00D22326"/>
    <w:rsid w:val="00D245FC"/>
    <w:rsid w:val="00D24889"/>
    <w:rsid w:val="00D26273"/>
    <w:rsid w:val="00D267E9"/>
    <w:rsid w:val="00D360EC"/>
    <w:rsid w:val="00D37E5E"/>
    <w:rsid w:val="00D40A02"/>
    <w:rsid w:val="00D41994"/>
    <w:rsid w:val="00D427BB"/>
    <w:rsid w:val="00D42B3F"/>
    <w:rsid w:val="00D4458F"/>
    <w:rsid w:val="00D46028"/>
    <w:rsid w:val="00D47BE7"/>
    <w:rsid w:val="00D509AD"/>
    <w:rsid w:val="00D5308A"/>
    <w:rsid w:val="00D54DA6"/>
    <w:rsid w:val="00D558A6"/>
    <w:rsid w:val="00D567A9"/>
    <w:rsid w:val="00D56F96"/>
    <w:rsid w:val="00D60668"/>
    <w:rsid w:val="00D7070F"/>
    <w:rsid w:val="00D71E75"/>
    <w:rsid w:val="00D72632"/>
    <w:rsid w:val="00D7650B"/>
    <w:rsid w:val="00D76863"/>
    <w:rsid w:val="00D80512"/>
    <w:rsid w:val="00D80E71"/>
    <w:rsid w:val="00D82AFA"/>
    <w:rsid w:val="00D82EFC"/>
    <w:rsid w:val="00D83895"/>
    <w:rsid w:val="00D85D84"/>
    <w:rsid w:val="00D8672F"/>
    <w:rsid w:val="00D86972"/>
    <w:rsid w:val="00D90446"/>
    <w:rsid w:val="00D90F9E"/>
    <w:rsid w:val="00D91B81"/>
    <w:rsid w:val="00D921ED"/>
    <w:rsid w:val="00D926EB"/>
    <w:rsid w:val="00D949EB"/>
    <w:rsid w:val="00D96127"/>
    <w:rsid w:val="00D964F6"/>
    <w:rsid w:val="00D969A0"/>
    <w:rsid w:val="00D97783"/>
    <w:rsid w:val="00DA1291"/>
    <w:rsid w:val="00DA4386"/>
    <w:rsid w:val="00DA66E2"/>
    <w:rsid w:val="00DB11B7"/>
    <w:rsid w:val="00DB1C9A"/>
    <w:rsid w:val="00DB25AC"/>
    <w:rsid w:val="00DB4A51"/>
    <w:rsid w:val="00DB5741"/>
    <w:rsid w:val="00DB79CD"/>
    <w:rsid w:val="00DC06E7"/>
    <w:rsid w:val="00DC1DD3"/>
    <w:rsid w:val="00DC3913"/>
    <w:rsid w:val="00DC5425"/>
    <w:rsid w:val="00DC5C5E"/>
    <w:rsid w:val="00DD0934"/>
    <w:rsid w:val="00DD224F"/>
    <w:rsid w:val="00DD38A4"/>
    <w:rsid w:val="00DD4AF5"/>
    <w:rsid w:val="00DD4D88"/>
    <w:rsid w:val="00DD50D6"/>
    <w:rsid w:val="00DD5EC9"/>
    <w:rsid w:val="00DD655A"/>
    <w:rsid w:val="00DE04DD"/>
    <w:rsid w:val="00DE125B"/>
    <w:rsid w:val="00DE1FE9"/>
    <w:rsid w:val="00DE2510"/>
    <w:rsid w:val="00DE4811"/>
    <w:rsid w:val="00DE58FF"/>
    <w:rsid w:val="00DE5E1E"/>
    <w:rsid w:val="00DE7EA0"/>
    <w:rsid w:val="00DE7FA5"/>
    <w:rsid w:val="00DF26DB"/>
    <w:rsid w:val="00DF2837"/>
    <w:rsid w:val="00DF290C"/>
    <w:rsid w:val="00DF2AD2"/>
    <w:rsid w:val="00DF3C83"/>
    <w:rsid w:val="00DF4399"/>
    <w:rsid w:val="00DF5A7F"/>
    <w:rsid w:val="00DF7827"/>
    <w:rsid w:val="00DF7FC4"/>
    <w:rsid w:val="00E0255B"/>
    <w:rsid w:val="00E02DCF"/>
    <w:rsid w:val="00E036AA"/>
    <w:rsid w:val="00E03AFB"/>
    <w:rsid w:val="00E04986"/>
    <w:rsid w:val="00E05220"/>
    <w:rsid w:val="00E10DBF"/>
    <w:rsid w:val="00E1383B"/>
    <w:rsid w:val="00E13BAB"/>
    <w:rsid w:val="00E147C7"/>
    <w:rsid w:val="00E148B9"/>
    <w:rsid w:val="00E218C5"/>
    <w:rsid w:val="00E2202E"/>
    <w:rsid w:val="00E22648"/>
    <w:rsid w:val="00E23713"/>
    <w:rsid w:val="00E244D4"/>
    <w:rsid w:val="00E259F7"/>
    <w:rsid w:val="00E26511"/>
    <w:rsid w:val="00E2663C"/>
    <w:rsid w:val="00E27410"/>
    <w:rsid w:val="00E33A31"/>
    <w:rsid w:val="00E35D46"/>
    <w:rsid w:val="00E373DA"/>
    <w:rsid w:val="00E375C6"/>
    <w:rsid w:val="00E37790"/>
    <w:rsid w:val="00E37FA8"/>
    <w:rsid w:val="00E402DD"/>
    <w:rsid w:val="00E43216"/>
    <w:rsid w:val="00E452EA"/>
    <w:rsid w:val="00E50218"/>
    <w:rsid w:val="00E52FE4"/>
    <w:rsid w:val="00E53632"/>
    <w:rsid w:val="00E5363E"/>
    <w:rsid w:val="00E5637B"/>
    <w:rsid w:val="00E565F4"/>
    <w:rsid w:val="00E56CBE"/>
    <w:rsid w:val="00E607F4"/>
    <w:rsid w:val="00E66668"/>
    <w:rsid w:val="00E66838"/>
    <w:rsid w:val="00E67F10"/>
    <w:rsid w:val="00E71D5C"/>
    <w:rsid w:val="00E732DA"/>
    <w:rsid w:val="00E73DF8"/>
    <w:rsid w:val="00E74636"/>
    <w:rsid w:val="00E75A9E"/>
    <w:rsid w:val="00E8052D"/>
    <w:rsid w:val="00E832CA"/>
    <w:rsid w:val="00E83F31"/>
    <w:rsid w:val="00E860DE"/>
    <w:rsid w:val="00E90270"/>
    <w:rsid w:val="00E90EFE"/>
    <w:rsid w:val="00E91F92"/>
    <w:rsid w:val="00E922CA"/>
    <w:rsid w:val="00E93EF2"/>
    <w:rsid w:val="00E9451F"/>
    <w:rsid w:val="00EA0255"/>
    <w:rsid w:val="00EA08D4"/>
    <w:rsid w:val="00EA427E"/>
    <w:rsid w:val="00EA5105"/>
    <w:rsid w:val="00EB12AF"/>
    <w:rsid w:val="00EB1311"/>
    <w:rsid w:val="00EB210D"/>
    <w:rsid w:val="00EB2AAA"/>
    <w:rsid w:val="00EB2D31"/>
    <w:rsid w:val="00EB32A2"/>
    <w:rsid w:val="00EB5D5B"/>
    <w:rsid w:val="00EB76E2"/>
    <w:rsid w:val="00EC1278"/>
    <w:rsid w:val="00EC2220"/>
    <w:rsid w:val="00EC25BD"/>
    <w:rsid w:val="00EC364D"/>
    <w:rsid w:val="00EC54F5"/>
    <w:rsid w:val="00EC5712"/>
    <w:rsid w:val="00EC6AC8"/>
    <w:rsid w:val="00ED0B52"/>
    <w:rsid w:val="00ED122C"/>
    <w:rsid w:val="00ED392C"/>
    <w:rsid w:val="00ED4C70"/>
    <w:rsid w:val="00ED5D5E"/>
    <w:rsid w:val="00ED79DD"/>
    <w:rsid w:val="00EE1FEC"/>
    <w:rsid w:val="00EE2083"/>
    <w:rsid w:val="00EE2218"/>
    <w:rsid w:val="00EE3AC3"/>
    <w:rsid w:val="00EE4678"/>
    <w:rsid w:val="00EE5064"/>
    <w:rsid w:val="00EE6306"/>
    <w:rsid w:val="00EF4835"/>
    <w:rsid w:val="00EF51FB"/>
    <w:rsid w:val="00EF5864"/>
    <w:rsid w:val="00F01677"/>
    <w:rsid w:val="00F03A8F"/>
    <w:rsid w:val="00F047E6"/>
    <w:rsid w:val="00F05A0A"/>
    <w:rsid w:val="00F13499"/>
    <w:rsid w:val="00F13BB7"/>
    <w:rsid w:val="00F1555B"/>
    <w:rsid w:val="00F15AEF"/>
    <w:rsid w:val="00F16D17"/>
    <w:rsid w:val="00F170ED"/>
    <w:rsid w:val="00F210BF"/>
    <w:rsid w:val="00F217DB"/>
    <w:rsid w:val="00F21EE8"/>
    <w:rsid w:val="00F23443"/>
    <w:rsid w:val="00F24F08"/>
    <w:rsid w:val="00F25440"/>
    <w:rsid w:val="00F262F5"/>
    <w:rsid w:val="00F27355"/>
    <w:rsid w:val="00F31AA0"/>
    <w:rsid w:val="00F336D8"/>
    <w:rsid w:val="00F33B2F"/>
    <w:rsid w:val="00F35B09"/>
    <w:rsid w:val="00F35D37"/>
    <w:rsid w:val="00F369CC"/>
    <w:rsid w:val="00F400C0"/>
    <w:rsid w:val="00F4183C"/>
    <w:rsid w:val="00F419BD"/>
    <w:rsid w:val="00F42DC7"/>
    <w:rsid w:val="00F42FA3"/>
    <w:rsid w:val="00F511C2"/>
    <w:rsid w:val="00F555DF"/>
    <w:rsid w:val="00F559E5"/>
    <w:rsid w:val="00F564A6"/>
    <w:rsid w:val="00F57955"/>
    <w:rsid w:val="00F60095"/>
    <w:rsid w:val="00F63160"/>
    <w:rsid w:val="00F63A4D"/>
    <w:rsid w:val="00F63FAB"/>
    <w:rsid w:val="00F64ED4"/>
    <w:rsid w:val="00F7094C"/>
    <w:rsid w:val="00F70D9F"/>
    <w:rsid w:val="00F718D2"/>
    <w:rsid w:val="00F71EF8"/>
    <w:rsid w:val="00F72BAD"/>
    <w:rsid w:val="00F76A74"/>
    <w:rsid w:val="00F76C5B"/>
    <w:rsid w:val="00F77FF2"/>
    <w:rsid w:val="00F805B8"/>
    <w:rsid w:val="00F81404"/>
    <w:rsid w:val="00F818DC"/>
    <w:rsid w:val="00F82EDE"/>
    <w:rsid w:val="00F83685"/>
    <w:rsid w:val="00F83BF1"/>
    <w:rsid w:val="00F84511"/>
    <w:rsid w:val="00F84646"/>
    <w:rsid w:val="00F84FE5"/>
    <w:rsid w:val="00F87BC8"/>
    <w:rsid w:val="00F9335B"/>
    <w:rsid w:val="00F93EF4"/>
    <w:rsid w:val="00F940B4"/>
    <w:rsid w:val="00F94CE2"/>
    <w:rsid w:val="00F9733C"/>
    <w:rsid w:val="00FA347B"/>
    <w:rsid w:val="00FA5E5C"/>
    <w:rsid w:val="00FB46FA"/>
    <w:rsid w:val="00FB52E3"/>
    <w:rsid w:val="00FB537E"/>
    <w:rsid w:val="00FB7D81"/>
    <w:rsid w:val="00FC0B7A"/>
    <w:rsid w:val="00FC3F24"/>
    <w:rsid w:val="00FC588B"/>
    <w:rsid w:val="00FC7629"/>
    <w:rsid w:val="00FD01CC"/>
    <w:rsid w:val="00FD15CC"/>
    <w:rsid w:val="00FD1D81"/>
    <w:rsid w:val="00FD3605"/>
    <w:rsid w:val="00FD4326"/>
    <w:rsid w:val="00FD4779"/>
    <w:rsid w:val="00FD4A7F"/>
    <w:rsid w:val="00FD4FD1"/>
    <w:rsid w:val="00FD572E"/>
    <w:rsid w:val="00FD7DC1"/>
    <w:rsid w:val="00FE06D1"/>
    <w:rsid w:val="00FE1B5E"/>
    <w:rsid w:val="00FE2A03"/>
    <w:rsid w:val="00FE3B33"/>
    <w:rsid w:val="00FE57C4"/>
    <w:rsid w:val="00FE62A5"/>
    <w:rsid w:val="00FF08D7"/>
    <w:rsid w:val="00FF0B24"/>
    <w:rsid w:val="00FF217D"/>
    <w:rsid w:val="00FF39AB"/>
    <w:rsid w:val="00FF595B"/>
    <w:rsid w:val="00FF60D5"/>
    <w:rsid w:val="00FF6550"/>
    <w:rsid w:val="00FF70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F91C7B-A78A-4A88-BC8C-4DA8BDFE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542"/>
    <w:pPr>
      <w:jc w:val="both"/>
    </w:pPr>
    <w:rPr>
      <w:rFonts w:ascii="Weissenhof Grotesk Lt" w:hAnsi="Weissenhof Grotesk Lt"/>
    </w:rPr>
  </w:style>
  <w:style w:type="paragraph" w:styleId="Heading1">
    <w:name w:val="heading 1"/>
    <w:basedOn w:val="Normal"/>
    <w:next w:val="Normal"/>
    <w:link w:val="Heading1Char"/>
    <w:uiPriority w:val="9"/>
    <w:qFormat/>
    <w:rsid w:val="006466CE"/>
    <w:pPr>
      <w:keepNext/>
      <w:keepLines/>
      <w:spacing w:before="240" w:after="0"/>
      <w:jc w:val="center"/>
      <w:outlineLvl w:val="0"/>
    </w:pPr>
    <w:rPr>
      <w:rFonts w:ascii="Weissenhof Grotesk Md" w:eastAsiaTheme="majorEastAsia" w:hAnsi="Weissenhof Grotesk Md" w:cstheme="majorBidi"/>
      <w:smallCaps/>
      <w:color w:val="002060"/>
      <w:szCs w:val="32"/>
    </w:rPr>
  </w:style>
  <w:style w:type="paragraph" w:styleId="Heading2">
    <w:name w:val="heading 2"/>
    <w:basedOn w:val="Normal"/>
    <w:next w:val="Normal"/>
    <w:link w:val="Heading2Char"/>
    <w:uiPriority w:val="9"/>
    <w:unhideWhenUsed/>
    <w:qFormat/>
    <w:rsid w:val="008D7542"/>
    <w:pPr>
      <w:keepNext/>
      <w:keepLines/>
      <w:spacing w:before="240" w:after="240"/>
      <w:outlineLvl w:val="1"/>
    </w:pPr>
    <w:rPr>
      <w:rFonts w:ascii="Weissenhof Grotesk Md" w:eastAsiaTheme="majorEastAsia" w:hAnsi="Weissenhof Grotesk Md" w:cstheme="majorBidi"/>
      <w:color w:val="002060"/>
      <w:szCs w:val="26"/>
    </w:rPr>
  </w:style>
  <w:style w:type="paragraph" w:styleId="Heading3">
    <w:name w:val="heading 3"/>
    <w:basedOn w:val="Normal"/>
    <w:next w:val="Normal"/>
    <w:link w:val="Heading3Char"/>
    <w:uiPriority w:val="9"/>
    <w:unhideWhenUsed/>
    <w:qFormat/>
    <w:rsid w:val="001B41C1"/>
    <w:pPr>
      <w:keepNext/>
      <w:keepLines/>
      <w:spacing w:before="200" w:after="12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364DC0"/>
    <w:pPr>
      <w:keepNext/>
      <w:keepLines/>
      <w:spacing w:before="120" w:after="120"/>
      <w:outlineLvl w:val="3"/>
    </w:pPr>
    <w:rPr>
      <w:rFonts w:asciiTheme="majorHAnsi" w:eastAsiaTheme="majorEastAsia" w:hAnsiTheme="majorHAnsi" w:cstheme="majorBidi"/>
      <w:i/>
      <w:iCs/>
      <w:color w:val="0070C0"/>
    </w:rPr>
  </w:style>
  <w:style w:type="paragraph" w:styleId="Heading5">
    <w:name w:val="heading 5"/>
    <w:basedOn w:val="Normal"/>
    <w:next w:val="Normal"/>
    <w:link w:val="Heading5Char"/>
    <w:uiPriority w:val="9"/>
    <w:unhideWhenUsed/>
    <w:qFormat/>
    <w:rsid w:val="00E832CA"/>
    <w:pPr>
      <w:keepNext/>
      <w:keepLines/>
      <w:spacing w:before="40" w:after="0"/>
      <w:outlineLvl w:val="4"/>
    </w:pPr>
    <w:rPr>
      <w:rFonts w:ascii="Calibri" w:eastAsiaTheme="majorEastAsia" w:hAnsi="Calibri"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F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F43"/>
  </w:style>
  <w:style w:type="paragraph" w:styleId="Footer">
    <w:name w:val="footer"/>
    <w:basedOn w:val="Normal"/>
    <w:link w:val="FooterChar"/>
    <w:uiPriority w:val="99"/>
    <w:unhideWhenUsed/>
    <w:rsid w:val="00301F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F43"/>
  </w:style>
  <w:style w:type="paragraph" w:styleId="BalloonText">
    <w:name w:val="Balloon Text"/>
    <w:basedOn w:val="Normal"/>
    <w:link w:val="BalloonTextChar"/>
    <w:uiPriority w:val="99"/>
    <w:semiHidden/>
    <w:unhideWhenUsed/>
    <w:rsid w:val="00301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43"/>
    <w:rPr>
      <w:rFonts w:ascii="Tahoma" w:hAnsi="Tahoma" w:cs="Tahoma"/>
      <w:sz w:val="16"/>
      <w:szCs w:val="16"/>
    </w:rPr>
  </w:style>
  <w:style w:type="paragraph" w:styleId="NormalWeb">
    <w:name w:val="Normal (Web)"/>
    <w:basedOn w:val="Normal"/>
    <w:uiPriority w:val="99"/>
    <w:unhideWhenUsed/>
    <w:rsid w:val="009A5C9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ubtitle">
    <w:name w:val="Subtitle"/>
    <w:basedOn w:val="Normal"/>
    <w:next w:val="Normal"/>
    <w:link w:val="SubtitleChar"/>
    <w:uiPriority w:val="11"/>
    <w:qFormat/>
    <w:rsid w:val="00A83C93"/>
    <w:pPr>
      <w:numPr>
        <w:ilvl w:val="1"/>
      </w:numPr>
    </w:pPr>
    <w:rPr>
      <w:rFonts w:asciiTheme="majorHAnsi" w:eastAsiaTheme="majorEastAsia" w:hAnsiTheme="majorHAnsi" w:cstheme="majorBidi"/>
      <w:i/>
      <w:iCs/>
      <w:color w:val="D62732" w:themeColor="accent1"/>
      <w:spacing w:val="15"/>
      <w:sz w:val="24"/>
      <w:szCs w:val="24"/>
    </w:rPr>
  </w:style>
  <w:style w:type="character" w:customStyle="1" w:styleId="SubtitleChar">
    <w:name w:val="Subtitle Char"/>
    <w:basedOn w:val="DefaultParagraphFont"/>
    <w:link w:val="Subtitle"/>
    <w:uiPriority w:val="11"/>
    <w:rsid w:val="00A83C93"/>
    <w:rPr>
      <w:rFonts w:asciiTheme="majorHAnsi" w:eastAsiaTheme="majorEastAsia" w:hAnsiTheme="majorHAnsi" w:cstheme="majorBidi"/>
      <w:i/>
      <w:iCs/>
      <w:color w:val="D62732" w:themeColor="accent1"/>
      <w:spacing w:val="15"/>
      <w:sz w:val="24"/>
      <w:szCs w:val="24"/>
    </w:rPr>
  </w:style>
  <w:style w:type="paragraph" w:styleId="ListParagraph">
    <w:name w:val="List Paragraph"/>
    <w:basedOn w:val="Normal"/>
    <w:link w:val="ListParagraphChar"/>
    <w:uiPriority w:val="34"/>
    <w:qFormat/>
    <w:rsid w:val="00CB2768"/>
    <w:pPr>
      <w:ind w:left="720"/>
      <w:contextualSpacing/>
    </w:pPr>
  </w:style>
  <w:style w:type="character" w:styleId="FootnoteReference">
    <w:name w:val="footnote reference"/>
    <w:uiPriority w:val="99"/>
    <w:unhideWhenUsed/>
    <w:rsid w:val="00CB2768"/>
    <w:rPr>
      <w:vertAlign w:val="superscript"/>
    </w:rPr>
  </w:style>
  <w:style w:type="paragraph" w:styleId="FootnoteText">
    <w:name w:val="footnote text"/>
    <w:basedOn w:val="Normal"/>
    <w:link w:val="FootnoteTextChar"/>
    <w:uiPriority w:val="99"/>
    <w:unhideWhenUsed/>
    <w:rsid w:val="00CB2768"/>
    <w:pPr>
      <w:spacing w:after="0" w:line="240" w:lineRule="auto"/>
    </w:pPr>
    <w:rPr>
      <w:sz w:val="20"/>
      <w:szCs w:val="20"/>
    </w:rPr>
  </w:style>
  <w:style w:type="character" w:customStyle="1" w:styleId="FootnoteTextChar">
    <w:name w:val="Footnote Text Char"/>
    <w:basedOn w:val="DefaultParagraphFont"/>
    <w:link w:val="FootnoteText"/>
    <w:uiPriority w:val="99"/>
    <w:rsid w:val="00CB2768"/>
    <w:rPr>
      <w:sz w:val="20"/>
      <w:szCs w:val="20"/>
    </w:rPr>
  </w:style>
  <w:style w:type="character" w:styleId="Hyperlink">
    <w:name w:val="Hyperlink"/>
    <w:basedOn w:val="DefaultParagraphFont"/>
    <w:uiPriority w:val="99"/>
    <w:unhideWhenUsed/>
    <w:rsid w:val="000B38DC"/>
    <w:rPr>
      <w:color w:val="494B61" w:themeColor="hyperlink"/>
      <w:u w:val="single"/>
    </w:rPr>
  </w:style>
  <w:style w:type="character" w:styleId="CommentReference">
    <w:name w:val="annotation reference"/>
    <w:basedOn w:val="DefaultParagraphFont"/>
    <w:uiPriority w:val="99"/>
    <w:semiHidden/>
    <w:unhideWhenUsed/>
    <w:rsid w:val="006F7ABF"/>
    <w:rPr>
      <w:sz w:val="16"/>
      <w:szCs w:val="16"/>
    </w:rPr>
  </w:style>
  <w:style w:type="paragraph" w:styleId="CommentText">
    <w:name w:val="annotation text"/>
    <w:basedOn w:val="Normal"/>
    <w:link w:val="CommentTextChar"/>
    <w:uiPriority w:val="99"/>
    <w:semiHidden/>
    <w:unhideWhenUsed/>
    <w:rsid w:val="006F7ABF"/>
    <w:pPr>
      <w:spacing w:line="240" w:lineRule="auto"/>
    </w:pPr>
    <w:rPr>
      <w:sz w:val="20"/>
      <w:szCs w:val="20"/>
    </w:rPr>
  </w:style>
  <w:style w:type="character" w:customStyle="1" w:styleId="CommentTextChar">
    <w:name w:val="Comment Text Char"/>
    <w:basedOn w:val="DefaultParagraphFont"/>
    <w:link w:val="CommentText"/>
    <w:uiPriority w:val="99"/>
    <w:semiHidden/>
    <w:rsid w:val="006F7ABF"/>
    <w:rPr>
      <w:sz w:val="20"/>
      <w:szCs w:val="20"/>
    </w:rPr>
  </w:style>
  <w:style w:type="paragraph" w:styleId="CommentSubject">
    <w:name w:val="annotation subject"/>
    <w:basedOn w:val="CommentText"/>
    <w:next w:val="CommentText"/>
    <w:link w:val="CommentSubjectChar"/>
    <w:uiPriority w:val="99"/>
    <w:semiHidden/>
    <w:unhideWhenUsed/>
    <w:rsid w:val="006F7ABF"/>
    <w:rPr>
      <w:b/>
      <w:bCs/>
    </w:rPr>
  </w:style>
  <w:style w:type="character" w:customStyle="1" w:styleId="CommentSubjectChar">
    <w:name w:val="Comment Subject Char"/>
    <w:basedOn w:val="CommentTextChar"/>
    <w:link w:val="CommentSubject"/>
    <w:uiPriority w:val="99"/>
    <w:semiHidden/>
    <w:rsid w:val="006F7ABF"/>
    <w:rPr>
      <w:b/>
      <w:bCs/>
      <w:sz w:val="20"/>
      <w:szCs w:val="20"/>
    </w:rPr>
  </w:style>
  <w:style w:type="character" w:customStyle="1" w:styleId="Heading2Char">
    <w:name w:val="Heading 2 Char"/>
    <w:basedOn w:val="DefaultParagraphFont"/>
    <w:link w:val="Heading2"/>
    <w:uiPriority w:val="9"/>
    <w:rsid w:val="008D7542"/>
    <w:rPr>
      <w:rFonts w:ascii="Weissenhof Grotesk Md" w:eastAsiaTheme="majorEastAsia" w:hAnsi="Weissenhof Grotesk Md" w:cstheme="majorBidi"/>
      <w:color w:val="002060"/>
      <w:szCs w:val="26"/>
    </w:rPr>
  </w:style>
  <w:style w:type="character" w:styleId="FollowedHyperlink">
    <w:name w:val="FollowedHyperlink"/>
    <w:basedOn w:val="DefaultParagraphFont"/>
    <w:uiPriority w:val="99"/>
    <w:semiHidden/>
    <w:unhideWhenUsed/>
    <w:rsid w:val="00916BB7"/>
    <w:rPr>
      <w:color w:val="935757" w:themeColor="followedHyperlink"/>
      <w:u w:val="single"/>
    </w:rPr>
  </w:style>
  <w:style w:type="character" w:customStyle="1" w:styleId="Heading3Char">
    <w:name w:val="Heading 3 Char"/>
    <w:basedOn w:val="DefaultParagraphFont"/>
    <w:link w:val="Heading3"/>
    <w:uiPriority w:val="9"/>
    <w:rsid w:val="001B41C1"/>
    <w:rPr>
      <w:rFonts w:ascii="Arial" w:eastAsiaTheme="majorEastAsia" w:hAnsi="Arial" w:cstheme="majorBidi"/>
      <w:b/>
      <w:szCs w:val="24"/>
    </w:rPr>
  </w:style>
  <w:style w:type="character" w:customStyle="1" w:styleId="Heading4Char">
    <w:name w:val="Heading 4 Char"/>
    <w:basedOn w:val="DefaultParagraphFont"/>
    <w:link w:val="Heading4"/>
    <w:uiPriority w:val="9"/>
    <w:rsid w:val="00364DC0"/>
    <w:rPr>
      <w:rFonts w:asciiTheme="majorHAnsi" w:eastAsiaTheme="majorEastAsia" w:hAnsiTheme="majorHAnsi" w:cstheme="majorBidi"/>
      <w:i/>
      <w:iCs/>
      <w:color w:val="0070C0"/>
    </w:rPr>
  </w:style>
  <w:style w:type="character" w:customStyle="1" w:styleId="Heading1Char">
    <w:name w:val="Heading 1 Char"/>
    <w:basedOn w:val="DefaultParagraphFont"/>
    <w:link w:val="Heading1"/>
    <w:uiPriority w:val="9"/>
    <w:rsid w:val="006466CE"/>
    <w:rPr>
      <w:rFonts w:ascii="Weissenhof Grotesk Md" w:eastAsiaTheme="majorEastAsia" w:hAnsi="Weissenhof Grotesk Md" w:cstheme="majorBidi"/>
      <w:smallCaps/>
      <w:color w:val="002060"/>
      <w:szCs w:val="32"/>
    </w:rPr>
  </w:style>
  <w:style w:type="paragraph" w:customStyle="1" w:styleId="Default">
    <w:name w:val="Default"/>
    <w:rsid w:val="00375925"/>
    <w:pPr>
      <w:autoSpaceDE w:val="0"/>
      <w:autoSpaceDN w:val="0"/>
      <w:adjustRightInd w:val="0"/>
      <w:spacing w:after="0" w:line="240" w:lineRule="auto"/>
    </w:pPr>
    <w:rPr>
      <w:rFonts w:ascii="Cambria" w:hAnsi="Cambria" w:cs="Cambria"/>
      <w:color w:val="000000"/>
      <w:sz w:val="24"/>
      <w:szCs w:val="24"/>
    </w:rPr>
  </w:style>
  <w:style w:type="character" w:customStyle="1" w:styleId="Heading5Char">
    <w:name w:val="Heading 5 Char"/>
    <w:basedOn w:val="DefaultParagraphFont"/>
    <w:link w:val="Heading5"/>
    <w:uiPriority w:val="9"/>
    <w:rsid w:val="00E832CA"/>
    <w:rPr>
      <w:rFonts w:ascii="Calibri" w:eastAsiaTheme="majorEastAsia" w:hAnsi="Calibri" w:cstheme="majorBidi"/>
      <w:b/>
      <w:i/>
    </w:rPr>
  </w:style>
  <w:style w:type="table" w:styleId="TableGrid">
    <w:name w:val="Table Grid"/>
    <w:basedOn w:val="TableNormal"/>
    <w:uiPriority w:val="59"/>
    <w:rsid w:val="0002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13473"/>
    <w:pPr>
      <w:spacing w:line="259" w:lineRule="auto"/>
      <w:jc w:val="left"/>
      <w:outlineLvl w:val="9"/>
    </w:pPr>
    <w:rPr>
      <w:lang w:eastAsia="fr-FR"/>
    </w:rPr>
  </w:style>
  <w:style w:type="paragraph" w:styleId="TOC2">
    <w:name w:val="toc 2"/>
    <w:basedOn w:val="Normal"/>
    <w:next w:val="Normal"/>
    <w:autoRedefine/>
    <w:uiPriority w:val="39"/>
    <w:unhideWhenUsed/>
    <w:rsid w:val="00D13473"/>
    <w:pPr>
      <w:spacing w:after="100"/>
      <w:ind w:left="220"/>
    </w:pPr>
  </w:style>
  <w:style w:type="paragraph" w:styleId="TOC3">
    <w:name w:val="toc 3"/>
    <w:basedOn w:val="Normal"/>
    <w:next w:val="Normal"/>
    <w:autoRedefine/>
    <w:uiPriority w:val="39"/>
    <w:unhideWhenUsed/>
    <w:rsid w:val="00D13473"/>
    <w:pPr>
      <w:spacing w:after="100"/>
      <w:ind w:left="440"/>
    </w:pPr>
  </w:style>
  <w:style w:type="paragraph" w:styleId="TOC4">
    <w:name w:val="toc 4"/>
    <w:basedOn w:val="Normal"/>
    <w:next w:val="Normal"/>
    <w:autoRedefine/>
    <w:uiPriority w:val="39"/>
    <w:unhideWhenUsed/>
    <w:rsid w:val="00D13473"/>
    <w:pPr>
      <w:spacing w:after="100"/>
      <w:ind w:left="660"/>
    </w:pPr>
  </w:style>
  <w:style w:type="paragraph" w:styleId="TOC5">
    <w:name w:val="toc 5"/>
    <w:basedOn w:val="Normal"/>
    <w:next w:val="Normal"/>
    <w:autoRedefine/>
    <w:uiPriority w:val="39"/>
    <w:unhideWhenUsed/>
    <w:rsid w:val="00D13473"/>
    <w:pPr>
      <w:spacing w:after="100"/>
      <w:ind w:left="880"/>
    </w:pPr>
  </w:style>
  <w:style w:type="character" w:customStyle="1" w:styleId="ListParagraphChar">
    <w:name w:val="List Paragraph Char"/>
    <w:link w:val="ListParagraph"/>
    <w:uiPriority w:val="34"/>
    <w:locked/>
    <w:rsid w:val="009F1C78"/>
    <w:rPr>
      <w:rFonts w:ascii="Weissenhof Grotesk Lt" w:hAnsi="Weissenhof Grotesk Lt"/>
    </w:rPr>
  </w:style>
  <w:style w:type="character" w:styleId="Emphasis">
    <w:name w:val="Emphasis"/>
    <w:aliases w:val="Paragraphe"/>
    <w:uiPriority w:val="20"/>
    <w:qFormat/>
    <w:rsid w:val="00BD3068"/>
    <w:rPr>
      <w:rFonts w:ascii="Weissenhof Grotesk" w:hAnsi="Weissenhof Grotes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260658">
      <w:bodyDiv w:val="1"/>
      <w:marLeft w:val="0"/>
      <w:marRight w:val="0"/>
      <w:marTop w:val="0"/>
      <w:marBottom w:val="0"/>
      <w:divBdr>
        <w:top w:val="none" w:sz="0" w:space="0" w:color="auto"/>
        <w:left w:val="none" w:sz="0" w:space="0" w:color="auto"/>
        <w:bottom w:val="none" w:sz="0" w:space="0" w:color="auto"/>
        <w:right w:val="none" w:sz="0" w:space="0" w:color="auto"/>
      </w:divBdr>
    </w:div>
    <w:div w:id="428308119">
      <w:bodyDiv w:val="1"/>
      <w:marLeft w:val="0"/>
      <w:marRight w:val="0"/>
      <w:marTop w:val="0"/>
      <w:marBottom w:val="0"/>
      <w:divBdr>
        <w:top w:val="none" w:sz="0" w:space="0" w:color="auto"/>
        <w:left w:val="none" w:sz="0" w:space="0" w:color="auto"/>
        <w:bottom w:val="none" w:sz="0" w:space="0" w:color="auto"/>
        <w:right w:val="none" w:sz="0" w:space="0" w:color="auto"/>
      </w:divBdr>
      <w:divsChild>
        <w:div w:id="1366370014">
          <w:marLeft w:val="0"/>
          <w:marRight w:val="0"/>
          <w:marTop w:val="0"/>
          <w:marBottom w:val="0"/>
          <w:divBdr>
            <w:top w:val="none" w:sz="0" w:space="0" w:color="auto"/>
            <w:left w:val="none" w:sz="0" w:space="0" w:color="auto"/>
            <w:bottom w:val="none" w:sz="0" w:space="0" w:color="auto"/>
            <w:right w:val="none" w:sz="0" w:space="0" w:color="auto"/>
          </w:divBdr>
        </w:div>
      </w:divsChild>
    </w:div>
    <w:div w:id="484931117">
      <w:bodyDiv w:val="1"/>
      <w:marLeft w:val="0"/>
      <w:marRight w:val="0"/>
      <w:marTop w:val="0"/>
      <w:marBottom w:val="0"/>
      <w:divBdr>
        <w:top w:val="none" w:sz="0" w:space="0" w:color="auto"/>
        <w:left w:val="none" w:sz="0" w:space="0" w:color="auto"/>
        <w:bottom w:val="none" w:sz="0" w:space="0" w:color="auto"/>
        <w:right w:val="none" w:sz="0" w:space="0" w:color="auto"/>
      </w:divBdr>
      <w:divsChild>
        <w:div w:id="2050179064">
          <w:marLeft w:val="0"/>
          <w:marRight w:val="0"/>
          <w:marTop w:val="0"/>
          <w:marBottom w:val="0"/>
          <w:divBdr>
            <w:top w:val="none" w:sz="0" w:space="0" w:color="auto"/>
            <w:left w:val="none" w:sz="0" w:space="0" w:color="auto"/>
            <w:bottom w:val="none" w:sz="0" w:space="0" w:color="auto"/>
            <w:right w:val="none" w:sz="0" w:space="0" w:color="auto"/>
          </w:divBdr>
        </w:div>
      </w:divsChild>
    </w:div>
    <w:div w:id="491525829">
      <w:bodyDiv w:val="1"/>
      <w:marLeft w:val="0"/>
      <w:marRight w:val="0"/>
      <w:marTop w:val="0"/>
      <w:marBottom w:val="0"/>
      <w:divBdr>
        <w:top w:val="none" w:sz="0" w:space="0" w:color="auto"/>
        <w:left w:val="none" w:sz="0" w:space="0" w:color="auto"/>
        <w:bottom w:val="none" w:sz="0" w:space="0" w:color="auto"/>
        <w:right w:val="none" w:sz="0" w:space="0" w:color="auto"/>
      </w:divBdr>
      <w:divsChild>
        <w:div w:id="481896571">
          <w:marLeft w:val="0"/>
          <w:marRight w:val="0"/>
          <w:marTop w:val="0"/>
          <w:marBottom w:val="0"/>
          <w:divBdr>
            <w:top w:val="none" w:sz="0" w:space="0" w:color="auto"/>
            <w:left w:val="none" w:sz="0" w:space="0" w:color="auto"/>
            <w:bottom w:val="none" w:sz="0" w:space="0" w:color="auto"/>
            <w:right w:val="none" w:sz="0" w:space="0" w:color="auto"/>
          </w:divBdr>
        </w:div>
      </w:divsChild>
    </w:div>
    <w:div w:id="729304810">
      <w:bodyDiv w:val="1"/>
      <w:marLeft w:val="0"/>
      <w:marRight w:val="0"/>
      <w:marTop w:val="0"/>
      <w:marBottom w:val="0"/>
      <w:divBdr>
        <w:top w:val="none" w:sz="0" w:space="0" w:color="auto"/>
        <w:left w:val="none" w:sz="0" w:space="0" w:color="auto"/>
        <w:bottom w:val="none" w:sz="0" w:space="0" w:color="auto"/>
        <w:right w:val="none" w:sz="0" w:space="0" w:color="auto"/>
      </w:divBdr>
      <w:divsChild>
        <w:div w:id="1088043780">
          <w:marLeft w:val="0"/>
          <w:marRight w:val="0"/>
          <w:marTop w:val="0"/>
          <w:marBottom w:val="0"/>
          <w:divBdr>
            <w:top w:val="none" w:sz="0" w:space="0" w:color="auto"/>
            <w:left w:val="none" w:sz="0" w:space="0" w:color="auto"/>
            <w:bottom w:val="none" w:sz="0" w:space="0" w:color="auto"/>
            <w:right w:val="none" w:sz="0" w:space="0" w:color="auto"/>
          </w:divBdr>
        </w:div>
      </w:divsChild>
    </w:div>
    <w:div w:id="862324954">
      <w:bodyDiv w:val="1"/>
      <w:marLeft w:val="0"/>
      <w:marRight w:val="0"/>
      <w:marTop w:val="0"/>
      <w:marBottom w:val="0"/>
      <w:divBdr>
        <w:top w:val="none" w:sz="0" w:space="0" w:color="auto"/>
        <w:left w:val="none" w:sz="0" w:space="0" w:color="auto"/>
        <w:bottom w:val="none" w:sz="0" w:space="0" w:color="auto"/>
        <w:right w:val="none" w:sz="0" w:space="0" w:color="auto"/>
      </w:divBdr>
      <w:divsChild>
        <w:div w:id="1875583390">
          <w:marLeft w:val="0"/>
          <w:marRight w:val="0"/>
          <w:marTop w:val="0"/>
          <w:marBottom w:val="0"/>
          <w:divBdr>
            <w:top w:val="none" w:sz="0" w:space="0" w:color="auto"/>
            <w:left w:val="none" w:sz="0" w:space="0" w:color="auto"/>
            <w:bottom w:val="none" w:sz="0" w:space="0" w:color="auto"/>
            <w:right w:val="none" w:sz="0" w:space="0" w:color="auto"/>
          </w:divBdr>
        </w:div>
      </w:divsChild>
    </w:div>
    <w:div w:id="1060859294">
      <w:bodyDiv w:val="1"/>
      <w:marLeft w:val="0"/>
      <w:marRight w:val="0"/>
      <w:marTop w:val="0"/>
      <w:marBottom w:val="0"/>
      <w:divBdr>
        <w:top w:val="none" w:sz="0" w:space="0" w:color="auto"/>
        <w:left w:val="none" w:sz="0" w:space="0" w:color="auto"/>
        <w:bottom w:val="none" w:sz="0" w:space="0" w:color="auto"/>
        <w:right w:val="none" w:sz="0" w:space="0" w:color="auto"/>
      </w:divBdr>
      <w:divsChild>
        <w:div w:id="249579250">
          <w:marLeft w:val="0"/>
          <w:marRight w:val="0"/>
          <w:marTop w:val="0"/>
          <w:marBottom w:val="0"/>
          <w:divBdr>
            <w:top w:val="none" w:sz="0" w:space="0" w:color="auto"/>
            <w:left w:val="none" w:sz="0" w:space="0" w:color="auto"/>
            <w:bottom w:val="none" w:sz="0" w:space="0" w:color="auto"/>
            <w:right w:val="none" w:sz="0" w:space="0" w:color="auto"/>
          </w:divBdr>
        </w:div>
      </w:divsChild>
    </w:div>
    <w:div w:id="1076322830">
      <w:bodyDiv w:val="1"/>
      <w:marLeft w:val="0"/>
      <w:marRight w:val="0"/>
      <w:marTop w:val="0"/>
      <w:marBottom w:val="0"/>
      <w:divBdr>
        <w:top w:val="none" w:sz="0" w:space="0" w:color="auto"/>
        <w:left w:val="none" w:sz="0" w:space="0" w:color="auto"/>
        <w:bottom w:val="none" w:sz="0" w:space="0" w:color="auto"/>
        <w:right w:val="none" w:sz="0" w:space="0" w:color="auto"/>
      </w:divBdr>
      <w:divsChild>
        <w:div w:id="791292712">
          <w:marLeft w:val="0"/>
          <w:marRight w:val="0"/>
          <w:marTop w:val="0"/>
          <w:marBottom w:val="0"/>
          <w:divBdr>
            <w:top w:val="none" w:sz="0" w:space="0" w:color="auto"/>
            <w:left w:val="none" w:sz="0" w:space="0" w:color="auto"/>
            <w:bottom w:val="none" w:sz="0" w:space="0" w:color="auto"/>
            <w:right w:val="none" w:sz="0" w:space="0" w:color="auto"/>
          </w:divBdr>
        </w:div>
      </w:divsChild>
    </w:div>
    <w:div w:id="1257514038">
      <w:bodyDiv w:val="1"/>
      <w:marLeft w:val="0"/>
      <w:marRight w:val="0"/>
      <w:marTop w:val="0"/>
      <w:marBottom w:val="0"/>
      <w:divBdr>
        <w:top w:val="none" w:sz="0" w:space="0" w:color="auto"/>
        <w:left w:val="none" w:sz="0" w:space="0" w:color="auto"/>
        <w:bottom w:val="none" w:sz="0" w:space="0" w:color="auto"/>
        <w:right w:val="none" w:sz="0" w:space="0" w:color="auto"/>
      </w:divBdr>
    </w:div>
    <w:div w:id="1403525861">
      <w:bodyDiv w:val="1"/>
      <w:marLeft w:val="0"/>
      <w:marRight w:val="0"/>
      <w:marTop w:val="0"/>
      <w:marBottom w:val="0"/>
      <w:divBdr>
        <w:top w:val="none" w:sz="0" w:space="0" w:color="auto"/>
        <w:left w:val="none" w:sz="0" w:space="0" w:color="auto"/>
        <w:bottom w:val="none" w:sz="0" w:space="0" w:color="auto"/>
        <w:right w:val="none" w:sz="0" w:space="0" w:color="auto"/>
      </w:divBdr>
      <w:divsChild>
        <w:div w:id="1982660780">
          <w:marLeft w:val="0"/>
          <w:marRight w:val="0"/>
          <w:marTop w:val="0"/>
          <w:marBottom w:val="0"/>
          <w:divBdr>
            <w:top w:val="none" w:sz="0" w:space="0" w:color="auto"/>
            <w:left w:val="none" w:sz="0" w:space="0" w:color="auto"/>
            <w:bottom w:val="none" w:sz="0" w:space="0" w:color="auto"/>
            <w:right w:val="none" w:sz="0" w:space="0" w:color="auto"/>
          </w:divBdr>
        </w:div>
      </w:divsChild>
    </w:div>
    <w:div w:id="1473524152">
      <w:bodyDiv w:val="1"/>
      <w:marLeft w:val="0"/>
      <w:marRight w:val="0"/>
      <w:marTop w:val="0"/>
      <w:marBottom w:val="0"/>
      <w:divBdr>
        <w:top w:val="none" w:sz="0" w:space="0" w:color="auto"/>
        <w:left w:val="none" w:sz="0" w:space="0" w:color="auto"/>
        <w:bottom w:val="none" w:sz="0" w:space="0" w:color="auto"/>
        <w:right w:val="none" w:sz="0" w:space="0" w:color="auto"/>
      </w:divBdr>
    </w:div>
    <w:div w:id="1510678464">
      <w:bodyDiv w:val="1"/>
      <w:marLeft w:val="0"/>
      <w:marRight w:val="0"/>
      <w:marTop w:val="0"/>
      <w:marBottom w:val="0"/>
      <w:divBdr>
        <w:top w:val="none" w:sz="0" w:space="0" w:color="auto"/>
        <w:left w:val="none" w:sz="0" w:space="0" w:color="auto"/>
        <w:bottom w:val="none" w:sz="0" w:space="0" w:color="auto"/>
        <w:right w:val="none" w:sz="0" w:space="0" w:color="auto"/>
      </w:divBdr>
    </w:div>
    <w:div w:id="1524435821">
      <w:bodyDiv w:val="1"/>
      <w:marLeft w:val="0"/>
      <w:marRight w:val="0"/>
      <w:marTop w:val="0"/>
      <w:marBottom w:val="0"/>
      <w:divBdr>
        <w:top w:val="none" w:sz="0" w:space="0" w:color="auto"/>
        <w:left w:val="none" w:sz="0" w:space="0" w:color="auto"/>
        <w:bottom w:val="none" w:sz="0" w:space="0" w:color="auto"/>
        <w:right w:val="none" w:sz="0" w:space="0" w:color="auto"/>
      </w:divBdr>
      <w:divsChild>
        <w:div w:id="1248344023">
          <w:marLeft w:val="0"/>
          <w:marRight w:val="0"/>
          <w:marTop w:val="0"/>
          <w:marBottom w:val="0"/>
          <w:divBdr>
            <w:top w:val="none" w:sz="0" w:space="0" w:color="auto"/>
            <w:left w:val="none" w:sz="0" w:space="0" w:color="auto"/>
            <w:bottom w:val="none" w:sz="0" w:space="0" w:color="auto"/>
            <w:right w:val="none" w:sz="0" w:space="0" w:color="auto"/>
          </w:divBdr>
        </w:div>
      </w:divsChild>
    </w:div>
    <w:div w:id="1525823619">
      <w:bodyDiv w:val="1"/>
      <w:marLeft w:val="0"/>
      <w:marRight w:val="0"/>
      <w:marTop w:val="0"/>
      <w:marBottom w:val="0"/>
      <w:divBdr>
        <w:top w:val="none" w:sz="0" w:space="0" w:color="auto"/>
        <w:left w:val="none" w:sz="0" w:space="0" w:color="auto"/>
        <w:bottom w:val="none" w:sz="0" w:space="0" w:color="auto"/>
        <w:right w:val="none" w:sz="0" w:space="0" w:color="auto"/>
      </w:divBdr>
      <w:divsChild>
        <w:div w:id="816847920">
          <w:marLeft w:val="0"/>
          <w:marRight w:val="0"/>
          <w:marTop w:val="0"/>
          <w:marBottom w:val="0"/>
          <w:divBdr>
            <w:top w:val="none" w:sz="0" w:space="0" w:color="auto"/>
            <w:left w:val="none" w:sz="0" w:space="0" w:color="auto"/>
            <w:bottom w:val="none" w:sz="0" w:space="0" w:color="auto"/>
            <w:right w:val="none" w:sz="0" w:space="0" w:color="auto"/>
          </w:divBdr>
        </w:div>
      </w:divsChild>
    </w:div>
    <w:div w:id="1687518864">
      <w:bodyDiv w:val="1"/>
      <w:marLeft w:val="0"/>
      <w:marRight w:val="0"/>
      <w:marTop w:val="0"/>
      <w:marBottom w:val="0"/>
      <w:divBdr>
        <w:top w:val="none" w:sz="0" w:space="0" w:color="auto"/>
        <w:left w:val="none" w:sz="0" w:space="0" w:color="auto"/>
        <w:bottom w:val="none" w:sz="0" w:space="0" w:color="auto"/>
        <w:right w:val="none" w:sz="0" w:space="0" w:color="auto"/>
      </w:divBdr>
      <w:divsChild>
        <w:div w:id="692003301">
          <w:marLeft w:val="0"/>
          <w:marRight w:val="0"/>
          <w:marTop w:val="0"/>
          <w:marBottom w:val="0"/>
          <w:divBdr>
            <w:top w:val="none" w:sz="0" w:space="0" w:color="auto"/>
            <w:left w:val="none" w:sz="0" w:space="0" w:color="auto"/>
            <w:bottom w:val="none" w:sz="0" w:space="0" w:color="auto"/>
            <w:right w:val="none" w:sz="0" w:space="0" w:color="auto"/>
          </w:divBdr>
        </w:div>
      </w:divsChild>
    </w:div>
    <w:div w:id="1698772909">
      <w:bodyDiv w:val="1"/>
      <w:marLeft w:val="0"/>
      <w:marRight w:val="0"/>
      <w:marTop w:val="0"/>
      <w:marBottom w:val="0"/>
      <w:divBdr>
        <w:top w:val="none" w:sz="0" w:space="0" w:color="auto"/>
        <w:left w:val="none" w:sz="0" w:space="0" w:color="auto"/>
        <w:bottom w:val="none" w:sz="0" w:space="0" w:color="auto"/>
        <w:right w:val="none" w:sz="0" w:space="0" w:color="auto"/>
      </w:divBdr>
      <w:divsChild>
        <w:div w:id="632297423">
          <w:marLeft w:val="0"/>
          <w:marRight w:val="0"/>
          <w:marTop w:val="0"/>
          <w:marBottom w:val="0"/>
          <w:divBdr>
            <w:top w:val="none" w:sz="0" w:space="0" w:color="auto"/>
            <w:left w:val="none" w:sz="0" w:space="0" w:color="auto"/>
            <w:bottom w:val="none" w:sz="0" w:space="0" w:color="auto"/>
            <w:right w:val="none" w:sz="0" w:space="0" w:color="auto"/>
          </w:divBdr>
        </w:div>
      </w:divsChild>
    </w:div>
    <w:div w:id="1709376396">
      <w:bodyDiv w:val="1"/>
      <w:marLeft w:val="0"/>
      <w:marRight w:val="0"/>
      <w:marTop w:val="0"/>
      <w:marBottom w:val="0"/>
      <w:divBdr>
        <w:top w:val="none" w:sz="0" w:space="0" w:color="auto"/>
        <w:left w:val="none" w:sz="0" w:space="0" w:color="auto"/>
        <w:bottom w:val="none" w:sz="0" w:space="0" w:color="auto"/>
        <w:right w:val="none" w:sz="0" w:space="0" w:color="auto"/>
      </w:divBdr>
      <w:divsChild>
        <w:div w:id="1338193603">
          <w:marLeft w:val="0"/>
          <w:marRight w:val="0"/>
          <w:marTop w:val="0"/>
          <w:marBottom w:val="0"/>
          <w:divBdr>
            <w:top w:val="none" w:sz="0" w:space="0" w:color="auto"/>
            <w:left w:val="none" w:sz="0" w:space="0" w:color="auto"/>
            <w:bottom w:val="none" w:sz="0" w:space="0" w:color="auto"/>
            <w:right w:val="none" w:sz="0" w:space="0" w:color="auto"/>
          </w:divBdr>
        </w:div>
      </w:divsChild>
    </w:div>
    <w:div w:id="1737436980">
      <w:bodyDiv w:val="1"/>
      <w:marLeft w:val="0"/>
      <w:marRight w:val="0"/>
      <w:marTop w:val="0"/>
      <w:marBottom w:val="0"/>
      <w:divBdr>
        <w:top w:val="none" w:sz="0" w:space="0" w:color="auto"/>
        <w:left w:val="none" w:sz="0" w:space="0" w:color="auto"/>
        <w:bottom w:val="none" w:sz="0" w:space="0" w:color="auto"/>
        <w:right w:val="none" w:sz="0" w:space="0" w:color="auto"/>
      </w:divBdr>
      <w:divsChild>
        <w:div w:id="768162936">
          <w:marLeft w:val="0"/>
          <w:marRight w:val="0"/>
          <w:marTop w:val="0"/>
          <w:marBottom w:val="0"/>
          <w:divBdr>
            <w:top w:val="none" w:sz="0" w:space="0" w:color="auto"/>
            <w:left w:val="none" w:sz="0" w:space="0" w:color="auto"/>
            <w:bottom w:val="none" w:sz="0" w:space="0" w:color="auto"/>
            <w:right w:val="none" w:sz="0" w:space="0" w:color="auto"/>
          </w:divBdr>
        </w:div>
      </w:divsChild>
    </w:div>
    <w:div w:id="1812361682">
      <w:bodyDiv w:val="1"/>
      <w:marLeft w:val="0"/>
      <w:marRight w:val="0"/>
      <w:marTop w:val="0"/>
      <w:marBottom w:val="0"/>
      <w:divBdr>
        <w:top w:val="none" w:sz="0" w:space="0" w:color="auto"/>
        <w:left w:val="none" w:sz="0" w:space="0" w:color="auto"/>
        <w:bottom w:val="none" w:sz="0" w:space="0" w:color="auto"/>
        <w:right w:val="none" w:sz="0" w:space="0" w:color="auto"/>
      </w:divBdr>
      <w:divsChild>
        <w:div w:id="586423314">
          <w:marLeft w:val="0"/>
          <w:marRight w:val="0"/>
          <w:marTop w:val="0"/>
          <w:marBottom w:val="0"/>
          <w:divBdr>
            <w:top w:val="none" w:sz="0" w:space="0" w:color="auto"/>
            <w:left w:val="none" w:sz="0" w:space="0" w:color="auto"/>
            <w:bottom w:val="none" w:sz="0" w:space="0" w:color="auto"/>
            <w:right w:val="none" w:sz="0" w:space="0" w:color="auto"/>
          </w:divBdr>
        </w:div>
      </w:divsChild>
    </w:div>
    <w:div w:id="1955478982">
      <w:bodyDiv w:val="1"/>
      <w:marLeft w:val="0"/>
      <w:marRight w:val="0"/>
      <w:marTop w:val="0"/>
      <w:marBottom w:val="0"/>
      <w:divBdr>
        <w:top w:val="none" w:sz="0" w:space="0" w:color="auto"/>
        <w:left w:val="none" w:sz="0" w:space="0" w:color="auto"/>
        <w:bottom w:val="none" w:sz="0" w:space="0" w:color="auto"/>
        <w:right w:val="none" w:sz="0" w:space="0" w:color="auto"/>
      </w:divBdr>
    </w:div>
    <w:div w:id="2047027413">
      <w:bodyDiv w:val="1"/>
      <w:marLeft w:val="0"/>
      <w:marRight w:val="0"/>
      <w:marTop w:val="0"/>
      <w:marBottom w:val="0"/>
      <w:divBdr>
        <w:top w:val="none" w:sz="0" w:space="0" w:color="auto"/>
        <w:left w:val="none" w:sz="0" w:space="0" w:color="auto"/>
        <w:bottom w:val="none" w:sz="0" w:space="0" w:color="auto"/>
        <w:right w:val="none" w:sz="0" w:space="0" w:color="auto"/>
      </w:divBdr>
      <w:divsChild>
        <w:div w:id="1072853560">
          <w:marLeft w:val="0"/>
          <w:marRight w:val="0"/>
          <w:marTop w:val="0"/>
          <w:marBottom w:val="0"/>
          <w:divBdr>
            <w:top w:val="none" w:sz="0" w:space="0" w:color="auto"/>
            <w:left w:val="none" w:sz="0" w:space="0" w:color="auto"/>
            <w:bottom w:val="none" w:sz="0" w:space="0" w:color="auto"/>
            <w:right w:val="none" w:sz="0" w:space="0" w:color="auto"/>
          </w:divBdr>
        </w:div>
      </w:divsChild>
    </w:div>
    <w:div w:id="2098138032">
      <w:bodyDiv w:val="1"/>
      <w:marLeft w:val="0"/>
      <w:marRight w:val="0"/>
      <w:marTop w:val="0"/>
      <w:marBottom w:val="0"/>
      <w:divBdr>
        <w:top w:val="none" w:sz="0" w:space="0" w:color="auto"/>
        <w:left w:val="none" w:sz="0" w:space="0" w:color="auto"/>
        <w:bottom w:val="none" w:sz="0" w:space="0" w:color="auto"/>
        <w:right w:val="none" w:sz="0" w:space="0" w:color="auto"/>
      </w:divBdr>
      <w:divsChild>
        <w:div w:id="2054498043">
          <w:marLeft w:val="0"/>
          <w:marRight w:val="0"/>
          <w:marTop w:val="0"/>
          <w:marBottom w:val="0"/>
          <w:divBdr>
            <w:top w:val="none" w:sz="0" w:space="0" w:color="auto"/>
            <w:left w:val="none" w:sz="0" w:space="0" w:color="auto"/>
            <w:bottom w:val="none" w:sz="0" w:space="0" w:color="auto"/>
            <w:right w:val="none" w:sz="0" w:space="0" w:color="auto"/>
          </w:divBdr>
        </w:div>
      </w:divsChild>
    </w:div>
    <w:div w:id="21316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seurdesdroits.fr/fr/rapports/2020/06/discriminations-et-origines-lurgence-dagir" TargetMode="External"/><Relationship Id="rId13" Type="http://schemas.openxmlformats.org/officeDocument/2006/relationships/hyperlink" Target="https://www.defenseurdesdroits.fr/fr/etudes-et-recherches/2019/02/adolescents-sans-logement-grandir-en-famille-dans-une-chambre-dhote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efenseurdesdroits.fr/fr/etudes-et-recherches/2019/10/test-de-discrimination-dans-lacces-au-logement-selon-lorigine-mesur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seurdesdroits.fr/fr/node/128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efenseurdesdroits.fr/fr/rapports/2020/06/discriminations-et-origines-lurgence-dagir"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defenseurdesdroits.fr/fr/etudes-et-recherches/2017/12/enquete-sur-lacces-aux-droits-volume-5-les-discriminations-dans-lacces" TargetMode="External"/><Relationship Id="rId14" Type="http://schemas.openxmlformats.org/officeDocument/2006/relationships/hyperlink" Target="https://www.defenseurdesdroits.fr/fr/rapports/2018/12/exiles-et-droits-fondamentaux-trois-ans-apres-le-rapport-cal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harte-DDD-09.2016">
      <a:dk1>
        <a:srgbClr val="1E274A"/>
      </a:dk1>
      <a:lt1>
        <a:srgbClr val="BFC3C6"/>
      </a:lt1>
      <a:dk2>
        <a:srgbClr val="0080C9"/>
      </a:dk2>
      <a:lt2>
        <a:srgbClr val="EAEEF1"/>
      </a:lt2>
      <a:accent1>
        <a:srgbClr val="D62732"/>
      </a:accent1>
      <a:accent2>
        <a:srgbClr val="75529D"/>
      </a:accent2>
      <a:accent3>
        <a:srgbClr val="00A183"/>
      </a:accent3>
      <a:accent4>
        <a:srgbClr val="FFCD1C"/>
      </a:accent4>
      <a:accent5>
        <a:srgbClr val="496985"/>
      </a:accent5>
      <a:accent6>
        <a:srgbClr val="6D909D"/>
      </a:accent6>
      <a:hlink>
        <a:srgbClr val="494B61"/>
      </a:hlink>
      <a:folHlink>
        <a:srgbClr val="93575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D88D45-FCF1-40FB-9FE7-756542CB15AC}">
  <ds:schemaRefs>
    <ds:schemaRef ds:uri="http://schemas.openxmlformats.org/officeDocument/2006/bibliography"/>
  </ds:schemaRefs>
</ds:datastoreItem>
</file>

<file path=customXml/itemProps2.xml><?xml version="1.0" encoding="utf-8"?>
<ds:datastoreItem xmlns:ds="http://schemas.openxmlformats.org/officeDocument/2006/customXml" ds:itemID="{2091E59A-D8CE-4DF1-8B56-26B0680F5AB9}"/>
</file>

<file path=customXml/itemProps3.xml><?xml version="1.0" encoding="utf-8"?>
<ds:datastoreItem xmlns:ds="http://schemas.openxmlformats.org/officeDocument/2006/customXml" ds:itemID="{4671BF04-A8F1-479C-AD2C-948104A092F6}"/>
</file>

<file path=customXml/itemProps4.xml><?xml version="1.0" encoding="utf-8"?>
<ds:datastoreItem xmlns:ds="http://schemas.openxmlformats.org/officeDocument/2006/customXml" ds:itemID="{8D1AFD4B-09C7-40A6-8DBE-DB125F21843F}"/>
</file>

<file path=docProps/app.xml><?xml version="1.0" encoding="utf-8"?>
<Properties xmlns="http://schemas.openxmlformats.org/officeDocument/2006/extended-properties" xmlns:vt="http://schemas.openxmlformats.org/officeDocument/2006/docPropsVTypes">
  <Template>Normal.dotm</Template>
  <TotalTime>1</TotalTime>
  <Pages>10</Pages>
  <Words>4568</Words>
  <Characters>26041</Characters>
  <Application>Microsoft Office Word</Application>
  <DocSecurity>4</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Bekliz Alexandre</dc:creator>
  <cp:keywords/>
  <dc:description/>
  <cp:lastModifiedBy>THEISSEN Gunnar</cp:lastModifiedBy>
  <cp:revision>2</cp:revision>
  <cp:lastPrinted>2021-05-11T16:53:00Z</cp:lastPrinted>
  <dcterms:created xsi:type="dcterms:W3CDTF">2021-05-19T10:36:00Z</dcterms:created>
  <dcterms:modified xsi:type="dcterms:W3CDTF">2021-05-19T10:36:00Z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