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68C25" w14:textId="77777777"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14:paraId="4E7B30A5" w14:textId="77777777" w:rsidR="00226F79" w:rsidRDefault="00226F79" w:rsidP="00226F79">
      <w:pPr>
        <w:jc w:val="center"/>
        <w:rPr>
          <w:bCs/>
        </w:rPr>
      </w:pPr>
    </w:p>
    <w:p w14:paraId="67061589" w14:textId="77777777" w:rsidR="00226F79" w:rsidRPr="00226F79" w:rsidRDefault="00226F79" w:rsidP="00226F79">
      <w:pPr>
        <w:jc w:val="center"/>
        <w:rPr>
          <w:sz w:val="24"/>
        </w:rPr>
      </w:pPr>
      <w:r w:rsidRPr="00226F79">
        <w:rPr>
          <w:bCs/>
          <w:sz w:val="24"/>
        </w:rPr>
        <w:t>QUESTIONNAIRE</w:t>
      </w:r>
    </w:p>
    <w:p w14:paraId="6F7522AD" w14:textId="77777777" w:rsidR="00226F79" w:rsidRDefault="00226F79" w:rsidP="00226F79">
      <w:pPr>
        <w:rPr>
          <w:b/>
        </w:rPr>
      </w:pPr>
    </w:p>
    <w:p w14:paraId="7BC034FD" w14:textId="77777777" w:rsidR="00226F79" w:rsidRPr="00226F79" w:rsidRDefault="00226F79" w:rsidP="00226F79">
      <w:pPr>
        <w:jc w:val="both"/>
        <w:rPr>
          <w:b/>
          <w:sz w:val="24"/>
          <w:szCs w:val="24"/>
        </w:rPr>
      </w:pPr>
      <w:r w:rsidRPr="00226F79">
        <w:rPr>
          <w:b/>
          <w:sz w:val="24"/>
          <w:szCs w:val="24"/>
        </w:rPr>
        <w:t xml:space="preserve">Background and Objective of the report </w:t>
      </w:r>
    </w:p>
    <w:p w14:paraId="17BDCEB7" w14:textId="77777777" w:rsidR="00226F79" w:rsidRPr="00226F79" w:rsidRDefault="00226F79" w:rsidP="00226F79">
      <w:pPr>
        <w:jc w:val="both"/>
        <w:rPr>
          <w:sz w:val="24"/>
          <w:szCs w:val="24"/>
        </w:rPr>
      </w:pPr>
      <w:r w:rsidRPr="00226F79">
        <w:rPr>
          <w:sz w:val="24"/>
          <w:szCs w:val="24"/>
        </w:rPr>
        <w:t>The thematic report</w:t>
      </w:r>
      <w:r w:rsidR="00A92868">
        <w:rPr>
          <w:sz w:val="24"/>
          <w:szCs w:val="24"/>
        </w:rPr>
        <w:t>s</w:t>
      </w:r>
      <w:r w:rsidRPr="00226F79">
        <w:rPr>
          <w:sz w:val="24"/>
          <w:szCs w:val="24"/>
        </w:rPr>
        <w:t xml:space="preserve"> of the Special Rapporteur on the right to adequate housing, </w:t>
      </w:r>
      <w:r w:rsidR="002D4E0C">
        <w:rPr>
          <w:sz w:val="24"/>
          <w:szCs w:val="24"/>
        </w:rPr>
        <w:br/>
      </w:r>
      <w:r w:rsidRPr="00226F79">
        <w:rPr>
          <w:sz w:val="24"/>
          <w:szCs w:val="24"/>
        </w:rPr>
        <w:t xml:space="preserve">Mr. Balakrishnan Rajagopal, to the General Assembly </w:t>
      </w:r>
      <w:r w:rsidR="00A92868">
        <w:rPr>
          <w:sz w:val="24"/>
          <w:szCs w:val="24"/>
        </w:rPr>
        <w:t xml:space="preserve">in 2021 and to the Human Rights Council in 2021 </w:t>
      </w:r>
      <w:r w:rsidRPr="00226F79">
        <w:rPr>
          <w:sz w:val="24"/>
          <w:szCs w:val="24"/>
        </w:rPr>
        <w:t xml:space="preserve">will focus on the issue of discrimination in relation to the right to adequate housing, including the impact of spatial segregation in urban or rural-urban environments on the enjoyment of human rights. </w:t>
      </w:r>
    </w:p>
    <w:p w14:paraId="67AFFF3F" w14:textId="77777777" w:rsidR="00226F79" w:rsidRPr="00226F79" w:rsidRDefault="00226F79" w:rsidP="00226F79">
      <w:pPr>
        <w:jc w:val="both"/>
        <w:rPr>
          <w:sz w:val="24"/>
          <w:szCs w:val="24"/>
        </w:rPr>
      </w:pPr>
    </w:p>
    <w:p w14:paraId="65DFF9A3" w14:textId="77777777" w:rsidR="00226F79" w:rsidRPr="00226F79" w:rsidRDefault="00226F79" w:rsidP="00226F79">
      <w:pPr>
        <w:jc w:val="both"/>
        <w:rPr>
          <w:sz w:val="24"/>
          <w:szCs w:val="24"/>
        </w:rPr>
      </w:pPr>
      <w:r w:rsidRPr="00226F79">
        <w:rPr>
          <w:sz w:val="24"/>
          <w:szCs w:val="24"/>
        </w:rPr>
        <w:t xml:space="preserve">Spatial segregation can be understood as the imposed or preferred separation of groups of people in a particular territory by lines of race, caste, ethnicity, language, religion </w:t>
      </w:r>
      <w:r w:rsidR="000D2183">
        <w:rPr>
          <w:sz w:val="24"/>
          <w:szCs w:val="24"/>
        </w:rPr>
        <w:t xml:space="preserve">or </w:t>
      </w:r>
      <w:r w:rsidRPr="00226F79">
        <w:rPr>
          <w:sz w:val="24"/>
          <w:szCs w:val="24"/>
        </w:rPr>
        <w:t xml:space="preserve">income status. Spatial, including residential segregation can have different forms depending on the territorial, cultural or historical context and is often characterized by forms of economic and social exclusion, inequity and spatial disparity in access to infrastructure, services and livelihood opportunities.   </w:t>
      </w:r>
    </w:p>
    <w:p w14:paraId="5C78D5AE" w14:textId="77777777" w:rsidR="00226F79" w:rsidRPr="00226F79" w:rsidRDefault="00226F79" w:rsidP="00226F79">
      <w:pPr>
        <w:jc w:val="both"/>
        <w:rPr>
          <w:sz w:val="24"/>
          <w:szCs w:val="24"/>
        </w:rPr>
      </w:pPr>
    </w:p>
    <w:p w14:paraId="22AA4A88" w14:textId="77777777" w:rsidR="00226F79" w:rsidRPr="00226F79" w:rsidRDefault="00226F79" w:rsidP="00226F79">
      <w:pPr>
        <w:jc w:val="both"/>
        <w:rPr>
          <w:rFonts w:cs="Verdana"/>
          <w:color w:val="000000"/>
          <w:sz w:val="24"/>
          <w:szCs w:val="24"/>
        </w:rPr>
      </w:pPr>
      <w:r w:rsidRPr="00226F79">
        <w:rPr>
          <w:sz w:val="24"/>
          <w:szCs w:val="24"/>
        </w:rPr>
        <w:t xml:space="preserve">Discrimination is understood as any formal or substantive </w:t>
      </w:r>
      <w:r w:rsidRPr="00226F79">
        <w:rPr>
          <w:color w:val="000000"/>
          <w:sz w:val="24"/>
          <w:szCs w:val="24"/>
          <w:shd w:val="clear" w:color="auto" w:fill="FFFFFF"/>
        </w:rPr>
        <w:t xml:space="preserve">distinction, exclusion, restriction, preference or other differential treatment that is directly or indirectly based on the prohibited grounds of discrimination </w:t>
      </w:r>
      <w:r w:rsidRPr="00226F79">
        <w:rPr>
          <w:rFonts w:cs="Verdana"/>
          <w:color w:val="000000"/>
          <w:sz w:val="24"/>
          <w:szCs w:val="24"/>
        </w:rPr>
        <w:t xml:space="preserve">as to race, colour, sex, language, religion, national or social origin, political or other opinion, property, birth or other status - including </w:t>
      </w:r>
      <w:r w:rsidRPr="00226F79">
        <w:rPr>
          <w:sz w:val="24"/>
          <w:szCs w:val="24"/>
        </w:rPr>
        <w:t xml:space="preserve">disability, age, nationality, marital and family status, sexual orientation and gender identity, health status, place of residence, economic and social status - </w:t>
      </w:r>
      <w:r w:rsidRPr="00226F79">
        <w:rPr>
          <w:rFonts w:ascii="Segoe UI" w:hAnsi="Segoe UI" w:cs="Segoe UI"/>
          <w:color w:val="444444"/>
          <w:sz w:val="24"/>
          <w:szCs w:val="24"/>
        </w:rPr>
        <w:t xml:space="preserve"> </w:t>
      </w:r>
      <w:r w:rsidRPr="00226F79">
        <w:rPr>
          <w:color w:val="000000"/>
          <w:sz w:val="24"/>
          <w:szCs w:val="24"/>
          <w:shd w:val="clear" w:color="auto" w:fill="FFFFFF"/>
        </w:rPr>
        <w:t>which has the intention or effect of nullifying or impairing the recognition, enjoyment or exercise, on an equal footing, of human rights.</w:t>
      </w:r>
      <w:r w:rsidRPr="00226F79">
        <w:rPr>
          <w:rStyle w:val="FootnoteReference"/>
          <w:color w:val="000000"/>
          <w:sz w:val="24"/>
          <w:szCs w:val="24"/>
          <w:shd w:val="clear" w:color="auto" w:fill="FFFFFF"/>
        </w:rPr>
        <w:footnoteReference w:id="1"/>
      </w:r>
      <w:r w:rsidRPr="00226F79">
        <w:rPr>
          <w:color w:val="000000"/>
          <w:sz w:val="24"/>
          <w:szCs w:val="24"/>
          <w:shd w:val="clear" w:color="auto" w:fill="FFFFFF"/>
        </w:rPr>
        <w:t xml:space="preserve"> </w:t>
      </w:r>
    </w:p>
    <w:p w14:paraId="79FA0078" w14:textId="77777777" w:rsidR="00226F79" w:rsidRPr="00226F79" w:rsidRDefault="00226F79" w:rsidP="00226F79">
      <w:pPr>
        <w:jc w:val="both"/>
        <w:rPr>
          <w:i/>
          <w:sz w:val="24"/>
          <w:szCs w:val="24"/>
        </w:rPr>
      </w:pPr>
    </w:p>
    <w:p w14:paraId="06F0FD39" w14:textId="77777777" w:rsidR="00226F79" w:rsidRPr="00226F79" w:rsidRDefault="00226F79" w:rsidP="00226F79">
      <w:pPr>
        <w:jc w:val="both"/>
        <w:rPr>
          <w:sz w:val="24"/>
          <w:szCs w:val="24"/>
        </w:rPr>
      </w:pPr>
      <w:r w:rsidRPr="00226F79">
        <w:rPr>
          <w:sz w:val="24"/>
          <w:szCs w:val="24"/>
        </w:rPr>
        <w:lastRenderedPageBreak/>
        <w:t xml:space="preserve">The main objectives </w:t>
      </w:r>
      <w:r w:rsidR="00A92868">
        <w:rPr>
          <w:sz w:val="24"/>
          <w:szCs w:val="24"/>
        </w:rPr>
        <w:t xml:space="preserve">of the two interrelated reports </w:t>
      </w:r>
      <w:r w:rsidRPr="00226F79">
        <w:rPr>
          <w:sz w:val="24"/>
          <w:szCs w:val="24"/>
        </w:rPr>
        <w:t xml:space="preserve">will be to identify contemporary and historical forms of discrimination and segregation that affect the right to adequate housing, to highlight good practices in the prevention of discrimination and segregation and to provide guidance to States on how they can ensure their human rights obligations in relation to non-discrimination and the right to adequate housing. </w:t>
      </w:r>
    </w:p>
    <w:p w14:paraId="662F3079" w14:textId="77777777" w:rsidR="00226F79" w:rsidRPr="00226F79" w:rsidRDefault="00226F79" w:rsidP="00226F79">
      <w:pPr>
        <w:jc w:val="both"/>
        <w:rPr>
          <w:sz w:val="24"/>
          <w:szCs w:val="24"/>
        </w:rPr>
      </w:pPr>
    </w:p>
    <w:p w14:paraId="3B6377B6" w14:textId="77777777" w:rsidR="00226F79" w:rsidRPr="00226F79" w:rsidRDefault="00226F79" w:rsidP="00226F79">
      <w:pPr>
        <w:jc w:val="both"/>
        <w:rPr>
          <w:sz w:val="24"/>
          <w:szCs w:val="24"/>
        </w:rPr>
      </w:pPr>
      <w:r w:rsidRPr="00226F79">
        <w:rPr>
          <w:sz w:val="24"/>
          <w:szCs w:val="24"/>
          <w:shd w:val="clear" w:color="auto" w:fill="FFFFFF"/>
        </w:rPr>
        <w:t>To inform his report</w:t>
      </w:r>
      <w:r w:rsidR="00A92868">
        <w:rPr>
          <w:sz w:val="24"/>
          <w:szCs w:val="24"/>
          <w:shd w:val="clear" w:color="auto" w:fill="FFFFFF"/>
        </w:rPr>
        <w:t>s</w:t>
      </w:r>
      <w:r w:rsidRPr="00226F79">
        <w:rPr>
          <w:sz w:val="24"/>
          <w:szCs w:val="24"/>
          <w:shd w:val="clear" w:color="auto" w:fill="FFFFFF"/>
        </w:rPr>
        <w:t xml:space="preserve"> Mr. Rajagopal welcomes contributions from States, local and regional governments, national human rights institutions, civil society organizations, academics, UN agencies and other stakeholders. </w:t>
      </w:r>
    </w:p>
    <w:p w14:paraId="71F44E37" w14:textId="77777777" w:rsidR="00226F79" w:rsidRPr="00226F79" w:rsidRDefault="00226F79" w:rsidP="00226F79">
      <w:pPr>
        <w:jc w:val="both"/>
        <w:rPr>
          <w:sz w:val="24"/>
          <w:szCs w:val="24"/>
        </w:rPr>
      </w:pPr>
    </w:p>
    <w:p w14:paraId="446990A9" w14:textId="77777777" w:rsidR="00611E96" w:rsidRDefault="00226F79" w:rsidP="00226F79">
      <w:pPr>
        <w:jc w:val="both"/>
        <w:rPr>
          <w:sz w:val="24"/>
          <w:szCs w:val="24"/>
        </w:rPr>
      </w:pPr>
      <w:r w:rsidRPr="00226F79">
        <w:rPr>
          <w:sz w:val="24"/>
          <w:szCs w:val="24"/>
        </w:rPr>
        <w:t>The questionnaire is detailed to allow for comprehensive collection of information covering all aspects of the right to adequate housing. However, responding to only those questions on which the responding organization, institution or entity has information, or experti</w:t>
      </w:r>
      <w:r>
        <w:rPr>
          <w:sz w:val="24"/>
          <w:szCs w:val="24"/>
        </w:rPr>
        <w:t>se is much appreciated.</w:t>
      </w:r>
    </w:p>
    <w:p w14:paraId="20DF86D4" w14:textId="77777777" w:rsidR="00A92868" w:rsidRDefault="00A92868" w:rsidP="00226F79">
      <w:pPr>
        <w:jc w:val="both"/>
        <w:rPr>
          <w:sz w:val="24"/>
          <w:szCs w:val="24"/>
        </w:rPr>
      </w:pPr>
    </w:p>
    <w:p w14:paraId="3A4427EA" w14:textId="77777777" w:rsidR="00226F79" w:rsidRPr="00226F79" w:rsidRDefault="00226F79" w:rsidP="00226F79">
      <w:pPr>
        <w:jc w:val="both"/>
        <w:rPr>
          <w:b/>
          <w:sz w:val="24"/>
          <w:szCs w:val="24"/>
          <w:u w:val="single"/>
        </w:rPr>
      </w:pPr>
      <w:r w:rsidRPr="00226F79">
        <w:rPr>
          <w:b/>
          <w:sz w:val="24"/>
          <w:szCs w:val="24"/>
          <w:u w:val="single"/>
        </w:rPr>
        <w:t xml:space="preserve">BASIC INFORMATION </w:t>
      </w:r>
    </w:p>
    <w:p w14:paraId="63BC1EFC" w14:textId="77777777" w:rsidR="00226F79" w:rsidRPr="00226F79" w:rsidRDefault="00226F79" w:rsidP="00226F79">
      <w:pPr>
        <w:jc w:val="both"/>
        <w:rPr>
          <w:sz w:val="24"/>
          <w:szCs w:val="24"/>
        </w:rPr>
      </w:pPr>
    </w:p>
    <w:p w14:paraId="42FDA7BA" w14:textId="64739131" w:rsidR="00226F79" w:rsidRPr="00FF0507" w:rsidRDefault="00226F79" w:rsidP="00226F79">
      <w:pPr>
        <w:jc w:val="both"/>
        <w:rPr>
          <w:color w:val="E36C0A" w:themeColor="accent6" w:themeShade="BF"/>
          <w:sz w:val="24"/>
          <w:szCs w:val="24"/>
        </w:rPr>
      </w:pPr>
      <w:r w:rsidRPr="00226F79">
        <w:rPr>
          <w:sz w:val="24"/>
          <w:szCs w:val="24"/>
        </w:rPr>
        <w:t xml:space="preserve">1. Name of Individual, Organization, Institution, Agency or State:   </w:t>
      </w:r>
      <w:sdt>
        <w:sdtPr>
          <w:rPr>
            <w:color w:val="E36C0A" w:themeColor="accent6" w:themeShade="BF"/>
            <w:sz w:val="24"/>
            <w:szCs w:val="24"/>
          </w:rPr>
          <w:id w:val="-219832636"/>
          <w:placeholder>
            <w:docPart w:val="8C51350C3C2E40C7B851479DE8F27FC8"/>
          </w:placeholder>
        </w:sdtPr>
        <w:sdtEndPr/>
        <w:sdtContent>
          <w:r w:rsidR="00FF0507" w:rsidRPr="00FF0507">
            <w:rPr>
              <w:color w:val="E36C0A" w:themeColor="accent6" w:themeShade="BF"/>
              <w:sz w:val="24"/>
              <w:szCs w:val="24"/>
            </w:rPr>
            <w:t>Habitat International Coalition (HIC)</w:t>
          </w:r>
          <w:r w:rsidR="00FF0507">
            <w:rPr>
              <w:color w:val="E36C0A" w:themeColor="accent6" w:themeShade="BF"/>
              <w:sz w:val="24"/>
              <w:szCs w:val="24"/>
            </w:rPr>
            <w:t xml:space="preserve">. </w:t>
          </w:r>
        </w:sdtContent>
      </w:sdt>
    </w:p>
    <w:p w14:paraId="18185FEB" w14:textId="77777777" w:rsidR="00226F79" w:rsidRPr="00226F79" w:rsidRDefault="00226F79" w:rsidP="00226F79">
      <w:pPr>
        <w:jc w:val="both"/>
        <w:rPr>
          <w:sz w:val="24"/>
          <w:szCs w:val="24"/>
        </w:rPr>
      </w:pPr>
    </w:p>
    <w:p w14:paraId="2AC402BB" w14:textId="49EC2B2D" w:rsidR="00530EE2" w:rsidRDefault="00FF0507" w:rsidP="00530EE2">
      <w:pPr>
        <w:jc w:val="both"/>
        <w:rPr>
          <w:color w:val="E36C0A" w:themeColor="accent6" w:themeShade="BF"/>
          <w:sz w:val="24"/>
          <w:szCs w:val="24"/>
        </w:rPr>
      </w:pPr>
      <w:r w:rsidRPr="00FF0507">
        <w:rPr>
          <w:color w:val="E36C0A" w:themeColor="accent6" w:themeShade="BF"/>
          <w:sz w:val="24"/>
          <w:szCs w:val="24"/>
        </w:rPr>
        <w:t xml:space="preserve">HIC acknowledges the following </w:t>
      </w:r>
      <w:r w:rsidR="00530EE2">
        <w:rPr>
          <w:color w:val="E36C0A" w:themeColor="accent6" w:themeShade="BF"/>
          <w:sz w:val="24"/>
          <w:szCs w:val="24"/>
        </w:rPr>
        <w:t xml:space="preserve">regional / </w:t>
      </w:r>
      <w:r w:rsidR="00530EE2" w:rsidRPr="00FF0507">
        <w:rPr>
          <w:color w:val="E36C0A" w:themeColor="accent6" w:themeShade="BF"/>
          <w:sz w:val="24"/>
          <w:szCs w:val="24"/>
        </w:rPr>
        <w:t xml:space="preserve">national cases </w:t>
      </w:r>
      <w:r w:rsidR="00530EE2">
        <w:rPr>
          <w:color w:val="E36C0A" w:themeColor="accent6" w:themeShade="BF"/>
          <w:sz w:val="24"/>
          <w:szCs w:val="24"/>
        </w:rPr>
        <w:t xml:space="preserve">and respective </w:t>
      </w:r>
      <w:r w:rsidRPr="00FF0507">
        <w:rPr>
          <w:color w:val="E36C0A" w:themeColor="accent6" w:themeShade="BF"/>
          <w:sz w:val="24"/>
          <w:szCs w:val="24"/>
        </w:rPr>
        <w:t>contributors</w:t>
      </w:r>
      <w:r w:rsidR="00530EE2">
        <w:rPr>
          <w:color w:val="E36C0A" w:themeColor="accent6" w:themeShade="BF"/>
          <w:sz w:val="24"/>
          <w:szCs w:val="24"/>
        </w:rPr>
        <w:t xml:space="preserve">: </w:t>
      </w:r>
    </w:p>
    <w:p w14:paraId="79D85503" w14:textId="56444590" w:rsidR="00FF0507" w:rsidRPr="00530EE2" w:rsidRDefault="00FF0507" w:rsidP="00530EE2">
      <w:pPr>
        <w:pStyle w:val="ListParagraph"/>
        <w:numPr>
          <w:ilvl w:val="0"/>
          <w:numId w:val="4"/>
        </w:numPr>
        <w:jc w:val="both"/>
        <w:rPr>
          <w:color w:val="E36C0A" w:themeColor="accent6" w:themeShade="BF"/>
          <w:sz w:val="24"/>
          <w:szCs w:val="24"/>
        </w:rPr>
      </w:pPr>
      <w:r w:rsidRPr="00530EE2">
        <w:rPr>
          <w:color w:val="E36C0A" w:themeColor="accent6" w:themeShade="BF"/>
          <w:sz w:val="24"/>
          <w:szCs w:val="24"/>
        </w:rPr>
        <w:t>Angola (Development Workshop Angola)</w:t>
      </w:r>
      <w:r w:rsidR="00EE65B1">
        <w:rPr>
          <w:color w:val="E36C0A" w:themeColor="accent6" w:themeShade="BF"/>
          <w:sz w:val="24"/>
          <w:szCs w:val="24"/>
        </w:rPr>
        <w:t xml:space="preserve"> – See attached article by Allan Cain </w:t>
      </w:r>
    </w:p>
    <w:p w14:paraId="19FA9153" w14:textId="1129B21B" w:rsidR="00FF0507" w:rsidRDefault="00FF0507" w:rsidP="00FF0507">
      <w:pPr>
        <w:pStyle w:val="ListParagraph"/>
        <w:numPr>
          <w:ilvl w:val="0"/>
          <w:numId w:val="4"/>
        </w:numPr>
        <w:jc w:val="both"/>
        <w:rPr>
          <w:color w:val="E36C0A" w:themeColor="accent6" w:themeShade="BF"/>
          <w:sz w:val="24"/>
          <w:szCs w:val="24"/>
        </w:rPr>
      </w:pPr>
      <w:r w:rsidRPr="00FF0507">
        <w:rPr>
          <w:color w:val="E36C0A" w:themeColor="accent6" w:themeShade="BF"/>
          <w:sz w:val="24"/>
          <w:szCs w:val="24"/>
        </w:rPr>
        <w:t xml:space="preserve">Argentina (CISCSA and </w:t>
      </w:r>
      <w:r w:rsidRPr="00FF0507">
        <w:rPr>
          <w:color w:val="E36C0A" w:themeColor="accent6" w:themeShade="BF"/>
          <w:sz w:val="24"/>
          <w:szCs w:val="24"/>
          <w:shd w:val="clear" w:color="auto" w:fill="FFFFFF"/>
          <w:lang w:val="en-ZA" w:eastAsia="en-GB"/>
        </w:rPr>
        <w:t>Movement of Occupants and Tenants of Argentina</w:t>
      </w:r>
      <w:r>
        <w:rPr>
          <w:color w:val="E36C0A" w:themeColor="accent6" w:themeShade="BF"/>
          <w:sz w:val="24"/>
          <w:szCs w:val="24"/>
          <w:shd w:val="clear" w:color="auto" w:fill="FFFFFF"/>
          <w:lang w:val="en-ZA" w:eastAsia="en-GB"/>
        </w:rPr>
        <w:t>)</w:t>
      </w:r>
    </w:p>
    <w:p w14:paraId="658E0324" w14:textId="142D8FB7" w:rsidR="00FF0507" w:rsidRPr="00FF0507" w:rsidRDefault="00FF0507" w:rsidP="00FF0507">
      <w:pPr>
        <w:pStyle w:val="ListParagraph"/>
        <w:numPr>
          <w:ilvl w:val="0"/>
          <w:numId w:val="4"/>
        </w:numPr>
        <w:jc w:val="both"/>
        <w:rPr>
          <w:color w:val="E36C0A" w:themeColor="accent6" w:themeShade="BF"/>
          <w:sz w:val="24"/>
          <w:szCs w:val="24"/>
        </w:rPr>
      </w:pPr>
      <w:r w:rsidRPr="00FF0507">
        <w:rPr>
          <w:color w:val="E36C0A" w:themeColor="accent6" w:themeShade="BF"/>
          <w:sz w:val="24"/>
          <w:szCs w:val="24"/>
        </w:rPr>
        <w:t>India (</w:t>
      </w:r>
      <w:proofErr w:type="spellStart"/>
      <w:r w:rsidRPr="00FF0507">
        <w:rPr>
          <w:color w:val="E36C0A" w:themeColor="accent6" w:themeShade="BF"/>
          <w:sz w:val="24"/>
          <w:szCs w:val="24"/>
          <w:shd w:val="clear" w:color="auto" w:fill="FFFFFF"/>
          <w:lang w:val="en-ZA" w:eastAsia="en-GB"/>
        </w:rPr>
        <w:t>Sathi</w:t>
      </w:r>
      <w:proofErr w:type="spellEnd"/>
      <w:r w:rsidRPr="00FF0507">
        <w:rPr>
          <w:color w:val="E36C0A" w:themeColor="accent6" w:themeShade="BF"/>
          <w:sz w:val="24"/>
          <w:szCs w:val="24"/>
          <w:shd w:val="clear" w:color="auto" w:fill="FFFFFF"/>
          <w:lang w:val="en-ZA" w:eastAsia="en-GB"/>
        </w:rPr>
        <w:t xml:space="preserve"> All </w:t>
      </w:r>
      <w:proofErr w:type="gramStart"/>
      <w:r w:rsidRPr="00FF0507">
        <w:rPr>
          <w:color w:val="E36C0A" w:themeColor="accent6" w:themeShade="BF"/>
          <w:sz w:val="24"/>
          <w:szCs w:val="24"/>
          <w:shd w:val="clear" w:color="auto" w:fill="FFFFFF"/>
          <w:lang w:val="en-ZA" w:eastAsia="en-GB"/>
        </w:rPr>
        <w:t>For</w:t>
      </w:r>
      <w:proofErr w:type="gramEnd"/>
      <w:r w:rsidRPr="00FF0507">
        <w:rPr>
          <w:color w:val="E36C0A" w:themeColor="accent6" w:themeShade="BF"/>
          <w:sz w:val="24"/>
          <w:szCs w:val="24"/>
          <w:shd w:val="clear" w:color="auto" w:fill="FFFFFF"/>
          <w:lang w:val="en-ZA" w:eastAsia="en-GB"/>
        </w:rPr>
        <w:t xml:space="preserve"> Partnerships -</w:t>
      </w:r>
      <w:r w:rsidR="00EE65B1">
        <w:rPr>
          <w:color w:val="E36C0A" w:themeColor="accent6" w:themeShade="BF"/>
          <w:sz w:val="24"/>
          <w:szCs w:val="24"/>
          <w:shd w:val="clear" w:color="auto" w:fill="FFFFFF"/>
          <w:lang w:val="en-ZA" w:eastAsia="en-GB"/>
        </w:rPr>
        <w:t xml:space="preserve"> </w:t>
      </w:r>
      <w:r w:rsidRPr="00FF0507">
        <w:rPr>
          <w:color w:val="E36C0A" w:themeColor="accent6" w:themeShade="BF"/>
          <w:sz w:val="24"/>
          <w:szCs w:val="24"/>
          <w:shd w:val="clear" w:color="auto" w:fill="FFFFFF"/>
          <w:lang w:val="en-ZA" w:eastAsia="en-GB"/>
        </w:rPr>
        <w:t>SAFP</w:t>
      </w:r>
      <w:r w:rsidR="007D215C">
        <w:rPr>
          <w:color w:val="E36C0A" w:themeColor="accent6" w:themeShade="BF"/>
          <w:sz w:val="24"/>
          <w:szCs w:val="24"/>
          <w:shd w:val="clear" w:color="auto" w:fill="FFFFFF"/>
          <w:lang w:val="en-ZA" w:eastAsia="en-GB"/>
        </w:rPr>
        <w:t>, Areas: Delhi and Mumbai</w:t>
      </w:r>
      <w:r w:rsidRPr="00FF0507">
        <w:rPr>
          <w:color w:val="E36C0A" w:themeColor="accent6" w:themeShade="BF"/>
          <w:sz w:val="24"/>
          <w:szCs w:val="24"/>
          <w:shd w:val="clear" w:color="auto" w:fill="FFFFFF"/>
          <w:lang w:val="en-ZA" w:eastAsia="en-GB"/>
        </w:rPr>
        <w:t>)</w:t>
      </w:r>
      <w:r w:rsidRPr="00FF0507">
        <w:rPr>
          <w:color w:val="E36C0A" w:themeColor="accent6" w:themeShade="BF"/>
          <w:sz w:val="24"/>
          <w:szCs w:val="24"/>
        </w:rPr>
        <w:t xml:space="preserve">.   </w:t>
      </w:r>
    </w:p>
    <w:p w14:paraId="052854E1" w14:textId="49698E63" w:rsidR="00FF0507" w:rsidRDefault="00FF0507" w:rsidP="0003376D">
      <w:pPr>
        <w:pStyle w:val="ListParagraph"/>
        <w:numPr>
          <w:ilvl w:val="0"/>
          <w:numId w:val="4"/>
        </w:numPr>
        <w:jc w:val="both"/>
        <w:rPr>
          <w:color w:val="E36C0A" w:themeColor="accent6" w:themeShade="BF"/>
          <w:sz w:val="24"/>
          <w:szCs w:val="24"/>
        </w:rPr>
      </w:pPr>
      <w:r w:rsidRPr="00FF0507">
        <w:rPr>
          <w:color w:val="E36C0A" w:themeColor="accent6" w:themeShade="BF"/>
          <w:sz w:val="24"/>
          <w:szCs w:val="24"/>
        </w:rPr>
        <w:t>Mexico (</w:t>
      </w:r>
      <w:r w:rsidRPr="00FF0507">
        <w:rPr>
          <w:color w:val="E36C0A" w:themeColor="accent6" w:themeShade="BF"/>
          <w:sz w:val="24"/>
          <w:szCs w:val="24"/>
          <w:shd w:val="clear" w:color="auto" w:fill="FFFFFF"/>
          <w:lang w:val="en-ZA" w:eastAsia="en-GB"/>
        </w:rPr>
        <w:t xml:space="preserve">Community Cooperation of Mexico and </w:t>
      </w:r>
      <w:r w:rsidRPr="00FF0507">
        <w:rPr>
          <w:color w:val="E36C0A" w:themeColor="accent6" w:themeShade="BF"/>
          <w:sz w:val="24"/>
          <w:szCs w:val="24"/>
        </w:rPr>
        <w:t>HIC-</w:t>
      </w:r>
      <w:r w:rsidR="00EE65B1">
        <w:rPr>
          <w:color w:val="E36C0A" w:themeColor="accent6" w:themeShade="BF"/>
          <w:sz w:val="24"/>
          <w:szCs w:val="24"/>
        </w:rPr>
        <w:t>A</w:t>
      </w:r>
      <w:r w:rsidR="00530EE2">
        <w:rPr>
          <w:color w:val="E36C0A" w:themeColor="accent6" w:themeShade="BF"/>
          <w:sz w:val="24"/>
          <w:szCs w:val="24"/>
        </w:rPr>
        <w:t xml:space="preserve">merica </w:t>
      </w:r>
      <w:r w:rsidRPr="00FF0507">
        <w:rPr>
          <w:color w:val="E36C0A" w:themeColor="accent6" w:themeShade="BF"/>
          <w:sz w:val="24"/>
          <w:szCs w:val="24"/>
        </w:rPr>
        <w:t>L</w:t>
      </w:r>
      <w:r w:rsidR="00530EE2">
        <w:rPr>
          <w:color w:val="E36C0A" w:themeColor="accent6" w:themeShade="BF"/>
          <w:sz w:val="24"/>
          <w:szCs w:val="24"/>
        </w:rPr>
        <w:t>atina</w:t>
      </w:r>
      <w:r w:rsidRPr="00FF0507">
        <w:rPr>
          <w:color w:val="E36C0A" w:themeColor="accent6" w:themeShade="BF"/>
          <w:sz w:val="24"/>
          <w:szCs w:val="24"/>
        </w:rPr>
        <w:t xml:space="preserve">) </w:t>
      </w:r>
    </w:p>
    <w:p w14:paraId="4B98DDA1" w14:textId="6E3D0035" w:rsidR="00FF0507" w:rsidRPr="00FF0507" w:rsidRDefault="00530EE2" w:rsidP="00FF0507">
      <w:pPr>
        <w:jc w:val="both"/>
        <w:rPr>
          <w:color w:val="E36C0A" w:themeColor="accent6" w:themeShade="BF"/>
          <w:sz w:val="24"/>
          <w:szCs w:val="24"/>
        </w:rPr>
      </w:pPr>
      <w:r>
        <w:rPr>
          <w:color w:val="E36C0A" w:themeColor="accent6" w:themeShade="BF"/>
          <w:sz w:val="24"/>
          <w:szCs w:val="24"/>
        </w:rPr>
        <w:t xml:space="preserve">Separate country contexts and contributors will be indicated throughout the document. </w:t>
      </w:r>
    </w:p>
    <w:p w14:paraId="5C28F22C" w14:textId="77777777" w:rsidR="00FF0507" w:rsidRDefault="00FF0507" w:rsidP="00226F79">
      <w:pPr>
        <w:jc w:val="both"/>
        <w:rPr>
          <w:sz w:val="24"/>
          <w:szCs w:val="24"/>
        </w:rPr>
      </w:pPr>
    </w:p>
    <w:p w14:paraId="7A246993" w14:textId="774CE638" w:rsidR="00226F79" w:rsidRPr="00226F79" w:rsidRDefault="00226F79" w:rsidP="00226F79">
      <w:pPr>
        <w:jc w:val="both"/>
        <w:rPr>
          <w:sz w:val="24"/>
          <w:szCs w:val="24"/>
        </w:rPr>
      </w:pPr>
      <w:r w:rsidRPr="00226F79">
        <w:rPr>
          <w:sz w:val="24"/>
          <w:szCs w:val="24"/>
        </w:rPr>
        <w:t>Type of Entity*</w:t>
      </w:r>
    </w:p>
    <w:p w14:paraId="61F316E0" w14:textId="77777777" w:rsidR="00226F79" w:rsidRPr="00226F79" w:rsidRDefault="00ED147D"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eastAsia="MS Gothic" w:cstheme="minorHAnsi"/>
          <w:sz w:val="24"/>
          <w:szCs w:val="24"/>
        </w:rPr>
        <w:t xml:space="preserve"> National Government or federal governmental ministry/agency</w:t>
      </w:r>
    </w:p>
    <w:p w14:paraId="45C16D8F" w14:textId="77777777" w:rsidR="00226F79" w:rsidRPr="00226F79" w:rsidRDefault="00ED147D" w:rsidP="00226F79">
      <w:pPr>
        <w:pStyle w:val="ListParagraph"/>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14:paraId="2894ED27" w14:textId="77777777" w:rsidR="00226F79" w:rsidRPr="00226F79" w:rsidRDefault="00ED147D" w:rsidP="00226F79">
      <w:pPr>
        <w:pStyle w:val="ListParagraph"/>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14:paraId="745AC1B7" w14:textId="77777777" w:rsidR="00226F79" w:rsidRPr="00226F79" w:rsidRDefault="00ED147D" w:rsidP="00226F79">
      <w:pPr>
        <w:pStyle w:val="ListParagraph"/>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Association, tenant union or housing cooperative</w:t>
      </w:r>
    </w:p>
    <w:p w14:paraId="58C66D6F" w14:textId="382CF52E" w:rsidR="00226F79" w:rsidRPr="00226F79" w:rsidRDefault="00ED147D"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1"/>
            <w14:checkedState w14:val="2612" w14:font="MS Gothic"/>
            <w14:uncheckedState w14:val="2610" w14:font="MS Gothic"/>
          </w14:checkbox>
        </w:sdtPr>
        <w:sdtEndPr/>
        <w:sdtContent>
          <w:r w:rsidR="00530EE2">
            <w:rPr>
              <w:rFonts w:ascii="MS Gothic" w:eastAsia="MS Gothic" w:hAnsi="MS Gothic" w:cstheme="minorHAnsi" w:hint="eastAsia"/>
              <w:sz w:val="24"/>
              <w:szCs w:val="24"/>
            </w:rPr>
            <w:t>☒</w:t>
          </w:r>
        </w:sdtContent>
      </w:sdt>
      <w:r w:rsidR="00226F79" w:rsidRPr="00226F79">
        <w:rPr>
          <w:rFonts w:eastAsia="MS Gothic" w:cstheme="minorHAnsi"/>
          <w:sz w:val="24"/>
          <w:szCs w:val="24"/>
        </w:rPr>
        <w:t xml:space="preserve">  NGO network, umbrella organization</w:t>
      </w:r>
    </w:p>
    <w:p w14:paraId="4F612127" w14:textId="77777777" w:rsidR="00226F79" w:rsidRPr="00226F79" w:rsidRDefault="00ED147D" w:rsidP="00226F79">
      <w:pPr>
        <w:pStyle w:val="ListParagraph"/>
        <w:ind w:left="567"/>
        <w:jc w:val="both"/>
        <w:rPr>
          <w:sz w:val="24"/>
          <w:szCs w:val="24"/>
        </w:rPr>
      </w:pPr>
      <w:sdt>
        <w:sdtPr>
          <w:rPr>
            <w:rFonts w:eastAsia="MS Gothic" w:cstheme="minorHAnsi"/>
            <w:sz w:val="24"/>
            <w:szCs w:val="24"/>
          </w:rPr>
          <w:id w:val="-253665752"/>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14:paraId="5C41A93C" w14:textId="77777777" w:rsidR="00226F79" w:rsidRPr="00226F79" w:rsidRDefault="00ED147D" w:rsidP="00226F79">
      <w:pPr>
        <w:pStyle w:val="ListParagraph"/>
        <w:ind w:left="567"/>
        <w:jc w:val="both"/>
        <w:rPr>
          <w:sz w:val="24"/>
          <w:szCs w:val="24"/>
        </w:rPr>
      </w:pPr>
      <w:sdt>
        <w:sdtPr>
          <w:rPr>
            <w:rFonts w:ascii="MS Gothic" w:eastAsia="MS Gothic" w:hAnsi="MS Gothic"/>
            <w:sz w:val="24"/>
            <w:szCs w:val="24"/>
          </w:rPr>
          <w:id w:val="57995661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Academia</w:t>
      </w:r>
    </w:p>
    <w:p w14:paraId="5E065B5B" w14:textId="77777777" w:rsidR="00226F79" w:rsidRPr="00226F79" w:rsidRDefault="00ED147D" w:rsidP="00226F79">
      <w:pPr>
        <w:pStyle w:val="ListParagraph"/>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Foundation</w:t>
      </w:r>
    </w:p>
    <w:p w14:paraId="34EB95DD" w14:textId="77777777" w:rsidR="00226F79" w:rsidRPr="00226F79" w:rsidRDefault="00ED147D" w:rsidP="00226F79">
      <w:pPr>
        <w:pStyle w:val="ListParagraph"/>
        <w:ind w:left="567"/>
        <w:jc w:val="both"/>
        <w:rPr>
          <w:sz w:val="24"/>
          <w:szCs w:val="24"/>
        </w:rPr>
      </w:pPr>
      <w:sdt>
        <w:sdtPr>
          <w:rPr>
            <w:rFonts w:ascii="MS Gothic" w:eastAsia="MS Gothic" w:hAnsi="MS Gothic"/>
            <w:sz w:val="24"/>
            <w:szCs w:val="24"/>
          </w:rPr>
          <w:id w:val="113569009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National human rights organization, ombudsperson</w:t>
      </w:r>
    </w:p>
    <w:p w14:paraId="4CE11707" w14:textId="77777777" w:rsidR="00226F79" w:rsidRPr="00226F79" w:rsidRDefault="00ED147D" w:rsidP="00226F79">
      <w:pPr>
        <w:pStyle w:val="ListParagraph"/>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Real estate, urban planning or construction </w:t>
      </w:r>
    </w:p>
    <w:p w14:paraId="723D35EA" w14:textId="77777777" w:rsidR="00226F79" w:rsidRPr="00226F79" w:rsidRDefault="00ED147D" w:rsidP="00226F79">
      <w:pPr>
        <w:pStyle w:val="ListParagraph"/>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Real estate investor or investment fund</w:t>
      </w:r>
    </w:p>
    <w:p w14:paraId="314A5210" w14:textId="77777777" w:rsidR="00226F79" w:rsidRPr="00226F79" w:rsidRDefault="00ED147D" w:rsidP="00226F79">
      <w:pPr>
        <w:pStyle w:val="ListParagraph"/>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Trade Union</w:t>
      </w:r>
    </w:p>
    <w:p w14:paraId="0B3AF3A0" w14:textId="77777777" w:rsidR="00226F79" w:rsidRPr="00226F79" w:rsidRDefault="00ED147D" w:rsidP="00226F79">
      <w:pPr>
        <w:pStyle w:val="ListParagraph"/>
        <w:ind w:left="567"/>
        <w:jc w:val="both"/>
        <w:rPr>
          <w:sz w:val="24"/>
          <w:szCs w:val="24"/>
        </w:rPr>
      </w:pPr>
      <w:sdt>
        <w:sdtPr>
          <w:rPr>
            <w:rFonts w:ascii="MS Gothic" w:eastAsia="MS Gothic" w:hAnsi="MS Gothic"/>
            <w:sz w:val="24"/>
            <w:szCs w:val="24"/>
          </w:rPr>
          <w:id w:val="-142287185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Other: </w:t>
      </w:r>
    </w:p>
    <w:p w14:paraId="6FA1035C" w14:textId="77777777" w:rsidR="00226F79" w:rsidRPr="00226F79" w:rsidRDefault="00226F79" w:rsidP="00226F79">
      <w:pPr>
        <w:jc w:val="both"/>
        <w:rPr>
          <w:sz w:val="24"/>
          <w:szCs w:val="24"/>
        </w:rPr>
      </w:pPr>
    </w:p>
    <w:p w14:paraId="0F0AD025" w14:textId="77777777" w:rsidR="00226F79" w:rsidRPr="00226F79" w:rsidRDefault="00226F79" w:rsidP="00226F79">
      <w:pPr>
        <w:jc w:val="both"/>
        <w:rPr>
          <w:sz w:val="24"/>
          <w:szCs w:val="24"/>
        </w:rPr>
      </w:pPr>
      <w:r w:rsidRPr="00226F79">
        <w:rPr>
          <w:sz w:val="24"/>
          <w:szCs w:val="24"/>
        </w:rPr>
        <w:t>2. Categorization of your Work</w:t>
      </w:r>
    </w:p>
    <w:p w14:paraId="2CDFC853" w14:textId="77777777" w:rsidR="00226F79" w:rsidRPr="00226F79" w:rsidRDefault="00226F79" w:rsidP="00226F79">
      <w:pPr>
        <w:jc w:val="both"/>
        <w:rPr>
          <w:sz w:val="24"/>
          <w:szCs w:val="24"/>
        </w:rPr>
      </w:pPr>
      <w:r w:rsidRPr="00226F79">
        <w:rPr>
          <w:sz w:val="24"/>
          <w:szCs w:val="24"/>
        </w:rPr>
        <w:t>Please select one or more responses, as appropriate.</w:t>
      </w:r>
    </w:p>
    <w:p w14:paraId="2014EA6D" w14:textId="77777777" w:rsidR="00226F79" w:rsidRPr="00226F79" w:rsidRDefault="00ED147D" w:rsidP="00226F79">
      <w:pPr>
        <w:ind w:left="567"/>
        <w:jc w:val="both"/>
        <w:rPr>
          <w:sz w:val="24"/>
          <w:szCs w:val="24"/>
        </w:rPr>
      </w:pPr>
      <w:sdt>
        <w:sdtPr>
          <w:rPr>
            <w:sz w:val="24"/>
            <w:szCs w:val="24"/>
          </w:rPr>
          <w:id w:val="-183644491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Public administration</w:t>
      </w:r>
    </w:p>
    <w:p w14:paraId="5D721C01" w14:textId="4A0D9E26" w:rsidR="00226F79" w:rsidRPr="00226F79" w:rsidRDefault="00ED147D" w:rsidP="00226F79">
      <w:pPr>
        <w:ind w:left="567"/>
        <w:jc w:val="both"/>
        <w:rPr>
          <w:sz w:val="24"/>
          <w:szCs w:val="24"/>
        </w:rPr>
      </w:pPr>
      <w:sdt>
        <w:sdtPr>
          <w:rPr>
            <w:sz w:val="24"/>
            <w:szCs w:val="24"/>
          </w:rPr>
          <w:id w:val="8181584"/>
          <w14:checkbox>
            <w14:checked w14:val="1"/>
            <w14:checkedState w14:val="2612" w14:font="MS Gothic"/>
            <w14:uncheckedState w14:val="2610" w14:font="MS Gothic"/>
          </w14:checkbox>
        </w:sdtPr>
        <w:sdtEndPr/>
        <w:sdtContent>
          <w:r w:rsidR="00530EE2">
            <w:rPr>
              <w:rFonts w:ascii="MS Gothic" w:eastAsia="MS Gothic" w:hAnsi="MS Gothic" w:hint="eastAsia"/>
              <w:sz w:val="24"/>
              <w:szCs w:val="24"/>
            </w:rPr>
            <w:t>☒</w:t>
          </w:r>
        </w:sdtContent>
      </w:sdt>
      <w:r w:rsidR="00226F79" w:rsidRPr="00226F79">
        <w:rPr>
          <w:sz w:val="24"/>
          <w:szCs w:val="24"/>
        </w:rPr>
        <w:t>Advocacy</w:t>
      </w:r>
    </w:p>
    <w:p w14:paraId="7DA94C58" w14:textId="77777777" w:rsidR="00226F79" w:rsidRPr="00226F79" w:rsidRDefault="00ED147D" w:rsidP="00226F79">
      <w:pPr>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14:paraId="62E2C114" w14:textId="77777777" w:rsidR="00226F79" w:rsidRPr="00226F79" w:rsidRDefault="00ED147D" w:rsidP="00226F79">
      <w:pPr>
        <w:ind w:left="567"/>
        <w:jc w:val="both"/>
        <w:rPr>
          <w:sz w:val="24"/>
          <w:szCs w:val="24"/>
        </w:rPr>
      </w:pPr>
      <w:sdt>
        <w:sdtPr>
          <w:rPr>
            <w:sz w:val="24"/>
            <w:szCs w:val="24"/>
          </w:rPr>
          <w:id w:val="-80777415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Legal Assistance</w:t>
      </w:r>
    </w:p>
    <w:p w14:paraId="301618DF" w14:textId="77777777" w:rsidR="00226F79" w:rsidRPr="00226F79" w:rsidRDefault="00ED147D" w:rsidP="00226F79">
      <w:pPr>
        <w:ind w:left="567"/>
        <w:jc w:val="both"/>
        <w:rPr>
          <w:sz w:val="24"/>
          <w:szCs w:val="24"/>
        </w:rPr>
      </w:pPr>
      <w:sdt>
        <w:sdtPr>
          <w:rPr>
            <w:sz w:val="24"/>
            <w:szCs w:val="24"/>
          </w:rPr>
          <w:id w:val="97904477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Networking</w:t>
      </w:r>
    </w:p>
    <w:p w14:paraId="5AC4FF79" w14:textId="2848862F" w:rsidR="00226F79" w:rsidRPr="00226F79" w:rsidRDefault="00ED147D" w:rsidP="00226F79">
      <w:pPr>
        <w:ind w:left="567"/>
        <w:jc w:val="both"/>
        <w:rPr>
          <w:sz w:val="24"/>
          <w:szCs w:val="24"/>
        </w:rPr>
      </w:pPr>
      <w:sdt>
        <w:sdtPr>
          <w:rPr>
            <w:sz w:val="24"/>
            <w:szCs w:val="24"/>
          </w:rPr>
          <w:id w:val="-1895807093"/>
          <w14:checkbox>
            <w14:checked w14:val="1"/>
            <w14:checkedState w14:val="2612" w14:font="MS Gothic"/>
            <w14:uncheckedState w14:val="2610" w14:font="MS Gothic"/>
          </w14:checkbox>
        </w:sdtPr>
        <w:sdtEndPr/>
        <w:sdtContent>
          <w:r w:rsidR="00530EE2">
            <w:rPr>
              <w:rFonts w:ascii="MS Gothic" w:eastAsia="MS Gothic" w:hAnsi="MS Gothic" w:hint="eastAsia"/>
              <w:sz w:val="24"/>
              <w:szCs w:val="24"/>
            </w:rPr>
            <w:t>☒</w:t>
          </w:r>
        </w:sdtContent>
      </w:sdt>
      <w:r w:rsidR="00226F79" w:rsidRPr="00226F79">
        <w:rPr>
          <w:sz w:val="24"/>
          <w:szCs w:val="24"/>
        </w:rPr>
        <w:t>Policy</w:t>
      </w:r>
    </w:p>
    <w:p w14:paraId="5289A457" w14:textId="77777777" w:rsidR="00226F79" w:rsidRPr="00226F79" w:rsidRDefault="00ED147D" w:rsidP="00226F79">
      <w:pPr>
        <w:ind w:left="567"/>
        <w:jc w:val="both"/>
        <w:rPr>
          <w:sz w:val="24"/>
          <w:szCs w:val="24"/>
        </w:rPr>
      </w:pPr>
      <w:sdt>
        <w:sdtPr>
          <w:rPr>
            <w:sz w:val="24"/>
            <w:szCs w:val="24"/>
          </w:rPr>
          <w:id w:val="-143166057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Research</w:t>
      </w:r>
    </w:p>
    <w:p w14:paraId="05728037" w14:textId="77777777" w:rsidR="00226F79" w:rsidRPr="00226F79" w:rsidRDefault="00ED147D" w:rsidP="00226F79">
      <w:pPr>
        <w:ind w:left="567"/>
        <w:jc w:val="both"/>
        <w:rPr>
          <w:sz w:val="24"/>
          <w:szCs w:val="24"/>
        </w:rPr>
      </w:pPr>
      <w:sdt>
        <w:sdtPr>
          <w:rPr>
            <w:sz w:val="24"/>
            <w:szCs w:val="24"/>
          </w:rPr>
          <w:id w:val="120945280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Technical Assistance</w:t>
      </w:r>
    </w:p>
    <w:p w14:paraId="14AD72F5" w14:textId="77777777" w:rsidR="00226F79" w:rsidRPr="00226F79" w:rsidRDefault="00ED147D" w:rsidP="00226F79">
      <w:pPr>
        <w:ind w:left="567"/>
        <w:jc w:val="both"/>
        <w:rPr>
          <w:sz w:val="24"/>
          <w:szCs w:val="24"/>
        </w:rPr>
      </w:pPr>
      <w:sdt>
        <w:sdtPr>
          <w:rPr>
            <w:sz w:val="24"/>
            <w:szCs w:val="24"/>
          </w:rPr>
          <w:id w:val="181483355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Training</w:t>
      </w:r>
    </w:p>
    <w:p w14:paraId="5D1FE496" w14:textId="77777777" w:rsidR="00226F79" w:rsidRPr="00226F79" w:rsidRDefault="00ED147D" w:rsidP="00226F79">
      <w:pPr>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14:paraId="2B91488D" w14:textId="77777777" w:rsidR="00226F79" w:rsidRPr="00226F79" w:rsidRDefault="00ED147D" w:rsidP="00226F79">
      <w:pPr>
        <w:ind w:left="567"/>
        <w:jc w:val="both"/>
        <w:rPr>
          <w:sz w:val="24"/>
          <w:szCs w:val="24"/>
        </w:rPr>
      </w:pPr>
      <w:sdt>
        <w:sdtPr>
          <w:rPr>
            <w:sz w:val="24"/>
            <w:szCs w:val="24"/>
          </w:rPr>
          <w:id w:val="-126390653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p>
    <w:p w14:paraId="7F991EF0" w14:textId="77777777" w:rsidR="00226F79" w:rsidRPr="00226F79" w:rsidRDefault="00226F79" w:rsidP="00226F79">
      <w:pPr>
        <w:jc w:val="both"/>
        <w:rPr>
          <w:sz w:val="24"/>
          <w:szCs w:val="24"/>
        </w:rPr>
      </w:pPr>
    </w:p>
    <w:p w14:paraId="3044D599" w14:textId="6848D555" w:rsidR="00226F79" w:rsidRPr="00226F79" w:rsidRDefault="00226F79" w:rsidP="00226F79">
      <w:pPr>
        <w:jc w:val="both"/>
        <w:rPr>
          <w:sz w:val="24"/>
          <w:szCs w:val="24"/>
        </w:rPr>
      </w:pPr>
      <w:r w:rsidRPr="00226F79">
        <w:rPr>
          <w:sz w:val="24"/>
          <w:szCs w:val="24"/>
        </w:rPr>
        <w:t xml:space="preserve">3. City/Town: </w:t>
      </w:r>
      <w:sdt>
        <w:sdtPr>
          <w:rPr>
            <w:sz w:val="24"/>
            <w:szCs w:val="24"/>
          </w:rPr>
          <w:id w:val="-2124614724"/>
          <w:placeholder>
            <w:docPart w:val="8C51350C3C2E40C7B851479DE8F27FC8"/>
          </w:placeholder>
        </w:sdtPr>
        <w:sdtEndPr/>
        <w:sdtContent>
          <w:r w:rsidR="00530EE2">
            <w:rPr>
              <w:color w:val="E36C0A" w:themeColor="accent6" w:themeShade="BF"/>
              <w:sz w:val="24"/>
              <w:szCs w:val="24"/>
            </w:rPr>
            <w:t xml:space="preserve">HIC General Secretariat based in Cape Town, South Africa </w:t>
          </w:r>
        </w:sdtContent>
      </w:sdt>
      <w:r w:rsidRPr="00226F79">
        <w:rPr>
          <w:sz w:val="24"/>
          <w:szCs w:val="24"/>
        </w:rPr>
        <w:t xml:space="preserve"> </w:t>
      </w:r>
    </w:p>
    <w:p w14:paraId="5BC32486" w14:textId="77777777" w:rsidR="00226F79" w:rsidRPr="00226F79" w:rsidRDefault="00226F79" w:rsidP="00226F79">
      <w:pPr>
        <w:jc w:val="both"/>
        <w:rPr>
          <w:sz w:val="24"/>
          <w:szCs w:val="24"/>
        </w:rPr>
      </w:pPr>
    </w:p>
    <w:p w14:paraId="685D0FA1" w14:textId="2753B8C6" w:rsidR="00226F79" w:rsidRPr="00226F79" w:rsidRDefault="00226F79" w:rsidP="00226F79">
      <w:pPr>
        <w:jc w:val="both"/>
        <w:rPr>
          <w:sz w:val="24"/>
          <w:szCs w:val="24"/>
        </w:rPr>
      </w:pPr>
      <w:r w:rsidRPr="00226F79">
        <w:rPr>
          <w:sz w:val="24"/>
          <w:szCs w:val="24"/>
        </w:rPr>
        <w:t xml:space="preserve">4. State/Province: </w:t>
      </w:r>
      <w:sdt>
        <w:sdtPr>
          <w:rPr>
            <w:sz w:val="24"/>
            <w:szCs w:val="24"/>
          </w:rPr>
          <w:id w:val="1607307630"/>
          <w:placeholder>
            <w:docPart w:val="8C51350C3C2E40C7B851479DE8F27FC8"/>
          </w:placeholder>
          <w:showingPlcHdr/>
        </w:sdtPr>
        <w:sdtEndPr/>
        <w:sdtContent>
          <w:r w:rsidR="00EE65B1" w:rsidRPr="00F50928">
            <w:rPr>
              <w:rStyle w:val="PlaceholderText"/>
            </w:rPr>
            <w:t>Click here to enter text.</w:t>
          </w:r>
        </w:sdtContent>
      </w:sdt>
    </w:p>
    <w:p w14:paraId="552D835B" w14:textId="77777777" w:rsidR="00226F79" w:rsidRPr="00226F79" w:rsidRDefault="00226F79" w:rsidP="00226F79">
      <w:pPr>
        <w:jc w:val="both"/>
        <w:rPr>
          <w:sz w:val="24"/>
          <w:szCs w:val="24"/>
        </w:rPr>
      </w:pPr>
    </w:p>
    <w:p w14:paraId="4E151B2A" w14:textId="2F520F7E" w:rsidR="00226F79" w:rsidRPr="00226F79" w:rsidRDefault="00226F79" w:rsidP="00226F79">
      <w:pPr>
        <w:jc w:val="both"/>
        <w:rPr>
          <w:sz w:val="24"/>
          <w:szCs w:val="24"/>
        </w:rPr>
      </w:pPr>
      <w:r w:rsidRPr="00226F79">
        <w:rPr>
          <w:sz w:val="24"/>
          <w:szCs w:val="24"/>
        </w:rPr>
        <w:lastRenderedPageBreak/>
        <w:t>5. Country</w:t>
      </w:r>
      <w:r w:rsidR="00530EE2">
        <w:rPr>
          <w:sz w:val="24"/>
          <w:szCs w:val="24"/>
        </w:rPr>
        <w:t xml:space="preserve">: </w:t>
      </w:r>
      <w:sdt>
        <w:sdtPr>
          <w:rPr>
            <w:color w:val="E36C0A" w:themeColor="accent6" w:themeShade="BF"/>
            <w:sz w:val="24"/>
            <w:szCs w:val="24"/>
          </w:rPr>
          <w:id w:val="97685920"/>
          <w:placeholder>
            <w:docPart w:val="8C51350C3C2E40C7B851479DE8F27FC8"/>
          </w:placeholder>
        </w:sdtPr>
        <w:sdtEndPr/>
        <w:sdtContent>
          <w:r w:rsidR="00530EE2" w:rsidRPr="00530EE2">
            <w:rPr>
              <w:color w:val="E36C0A" w:themeColor="accent6" w:themeShade="BF"/>
              <w:sz w:val="24"/>
              <w:szCs w:val="24"/>
            </w:rPr>
            <w:t xml:space="preserve">International </w:t>
          </w:r>
        </w:sdtContent>
      </w:sdt>
    </w:p>
    <w:p w14:paraId="1AC003AF" w14:textId="77777777" w:rsidR="00226F79" w:rsidRPr="00226F79" w:rsidRDefault="00226F79" w:rsidP="00226F79">
      <w:pPr>
        <w:jc w:val="both"/>
        <w:rPr>
          <w:sz w:val="24"/>
          <w:szCs w:val="24"/>
        </w:rPr>
      </w:pPr>
    </w:p>
    <w:p w14:paraId="429EB2C3" w14:textId="3DDA1806" w:rsidR="00226F79" w:rsidRDefault="00226F79" w:rsidP="00530EE2">
      <w:pPr>
        <w:jc w:val="both"/>
        <w:rPr>
          <w:sz w:val="24"/>
          <w:szCs w:val="24"/>
        </w:rPr>
      </w:pPr>
      <w:r w:rsidRPr="00226F79">
        <w:rPr>
          <w:sz w:val="24"/>
          <w:szCs w:val="24"/>
        </w:rPr>
        <w:t xml:space="preserve">6. Contact e-mail </w:t>
      </w:r>
      <w:bookmarkStart w:id="0" w:name="_GoBack"/>
      <w:bookmarkEnd w:id="0"/>
      <w:r w:rsidRPr="00226F79">
        <w:rPr>
          <w:sz w:val="24"/>
          <w:szCs w:val="24"/>
        </w:rPr>
        <w:t xml:space="preserve">in case we have questions:  </w:t>
      </w:r>
      <w:sdt>
        <w:sdtPr>
          <w:rPr>
            <w:sz w:val="24"/>
            <w:szCs w:val="24"/>
          </w:rPr>
          <w:id w:val="736523558"/>
          <w:placeholder>
            <w:docPart w:val="8C51350C3C2E40C7B851479DE8F27FC8"/>
          </w:placeholder>
        </w:sdtPr>
        <w:sdtEndPr/>
        <w:sdtContent>
          <w:r w:rsidR="00530EE2" w:rsidRPr="00530EE2">
            <w:rPr>
              <w:color w:val="E36C0A" w:themeColor="accent6" w:themeShade="BF"/>
              <w:sz w:val="24"/>
              <w:szCs w:val="24"/>
            </w:rPr>
            <w:t>secretary.general@hic-net.org</w:t>
          </w:r>
        </w:sdtContent>
      </w:sdt>
      <w:r>
        <w:rPr>
          <w:sz w:val="24"/>
          <w:szCs w:val="24"/>
        </w:rPr>
        <w:br w:type="page"/>
      </w:r>
    </w:p>
    <w:p w14:paraId="5D3CB243" w14:textId="77777777" w:rsidR="00226F79" w:rsidRPr="00226F79" w:rsidRDefault="00226F79" w:rsidP="00226F79">
      <w:pPr>
        <w:jc w:val="both"/>
        <w:rPr>
          <w:b/>
          <w:sz w:val="24"/>
          <w:szCs w:val="24"/>
          <w:u w:val="single"/>
        </w:rPr>
      </w:pPr>
      <w:r w:rsidRPr="00226F79">
        <w:rPr>
          <w:b/>
          <w:sz w:val="24"/>
          <w:szCs w:val="24"/>
          <w:u w:val="single"/>
        </w:rPr>
        <w:lastRenderedPageBreak/>
        <w:t>HOUSING DISCRIMINATION</w:t>
      </w:r>
    </w:p>
    <w:p w14:paraId="7C8FA2DB" w14:textId="77777777" w:rsidR="00226F79" w:rsidRPr="00226F79" w:rsidRDefault="00226F79" w:rsidP="00226F79">
      <w:pPr>
        <w:jc w:val="both"/>
        <w:rPr>
          <w:sz w:val="24"/>
          <w:szCs w:val="24"/>
          <w:u w:val="single"/>
        </w:rPr>
      </w:pPr>
    </w:p>
    <w:p w14:paraId="2D67A8B1" w14:textId="77777777" w:rsidR="00226F79" w:rsidRPr="00226F79" w:rsidRDefault="00226F79" w:rsidP="00226F79">
      <w:pPr>
        <w:jc w:val="both"/>
        <w:rPr>
          <w:sz w:val="24"/>
          <w:szCs w:val="24"/>
        </w:rPr>
      </w:pPr>
      <w:r w:rsidRPr="00226F79">
        <w:rPr>
          <w:sz w:val="24"/>
          <w:szCs w:val="24"/>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14:paraId="7CBF4EF6" w14:textId="77777777" w:rsidR="00226F79" w:rsidRPr="00226F79" w:rsidRDefault="00226F79" w:rsidP="00226F79">
      <w:pPr>
        <w:jc w:val="both"/>
        <w:rPr>
          <w:sz w:val="24"/>
          <w:szCs w:val="24"/>
        </w:rPr>
      </w:pPr>
    </w:p>
    <w:p w14:paraId="52452A34" w14:textId="77777777" w:rsidR="00226F79" w:rsidRPr="00226F79" w:rsidRDefault="00226F79" w:rsidP="005E6EDB">
      <w:pPr>
        <w:pStyle w:val="ListParagraph"/>
        <w:numPr>
          <w:ilvl w:val="0"/>
          <w:numId w:val="1"/>
        </w:numPr>
        <w:jc w:val="both"/>
        <w:rPr>
          <w:sz w:val="24"/>
          <w:szCs w:val="24"/>
        </w:rPr>
      </w:pPr>
      <w:r w:rsidRPr="00226F79">
        <w:rPr>
          <w:sz w:val="24"/>
          <w:szCs w:val="24"/>
        </w:rPr>
        <w:t xml:space="preserve">People of African Descent, or Roma </w:t>
      </w:r>
    </w:p>
    <w:p w14:paraId="4270EA07" w14:textId="77777777" w:rsidR="00226F79" w:rsidRPr="00226F79" w:rsidRDefault="00226F79" w:rsidP="005E6EDB">
      <w:pPr>
        <w:pStyle w:val="ListParagraph"/>
        <w:numPr>
          <w:ilvl w:val="0"/>
          <w:numId w:val="1"/>
        </w:numPr>
        <w:jc w:val="both"/>
        <w:rPr>
          <w:sz w:val="24"/>
          <w:szCs w:val="24"/>
        </w:rPr>
      </w:pPr>
      <w:r w:rsidRPr="00226F79">
        <w:rPr>
          <w:sz w:val="24"/>
          <w:szCs w:val="24"/>
        </w:rPr>
        <w:t>Racial, caste, ethnic, religious groups/minorities or other groups</w:t>
      </w:r>
    </w:p>
    <w:p w14:paraId="00CEDFEB" w14:textId="77777777" w:rsidR="00226F79" w:rsidRPr="00E92353" w:rsidRDefault="00226F79" w:rsidP="005E6EDB">
      <w:pPr>
        <w:pStyle w:val="ListParagraph"/>
        <w:numPr>
          <w:ilvl w:val="0"/>
          <w:numId w:val="1"/>
        </w:numPr>
        <w:jc w:val="both"/>
        <w:rPr>
          <w:sz w:val="24"/>
          <w:szCs w:val="24"/>
        </w:rPr>
      </w:pPr>
      <w:r w:rsidRPr="00E92353">
        <w:rPr>
          <w:sz w:val="24"/>
          <w:szCs w:val="24"/>
        </w:rPr>
        <w:t xml:space="preserve">Migrants, foreigners, refugees, internally displaced persons </w:t>
      </w:r>
    </w:p>
    <w:p w14:paraId="1B70F7E4" w14:textId="77777777" w:rsidR="00226F79" w:rsidRPr="00226F79" w:rsidRDefault="00226F79" w:rsidP="005E6EDB">
      <w:pPr>
        <w:pStyle w:val="ListParagraph"/>
        <w:numPr>
          <w:ilvl w:val="0"/>
          <w:numId w:val="1"/>
        </w:numPr>
        <w:jc w:val="both"/>
        <w:rPr>
          <w:sz w:val="24"/>
          <w:szCs w:val="24"/>
        </w:rPr>
      </w:pPr>
      <w:r w:rsidRPr="00226F79">
        <w:rPr>
          <w:sz w:val="24"/>
          <w:szCs w:val="24"/>
        </w:rPr>
        <w:t xml:space="preserve">Women, children or older persons </w:t>
      </w:r>
    </w:p>
    <w:p w14:paraId="57E29E2D" w14:textId="77777777" w:rsidR="00226F79" w:rsidRPr="00226F79" w:rsidRDefault="00226F79" w:rsidP="005E6EDB">
      <w:pPr>
        <w:pStyle w:val="ListParagraph"/>
        <w:numPr>
          <w:ilvl w:val="0"/>
          <w:numId w:val="1"/>
        </w:numPr>
        <w:jc w:val="both"/>
        <w:rPr>
          <w:sz w:val="24"/>
          <w:szCs w:val="24"/>
        </w:rPr>
      </w:pPr>
      <w:r w:rsidRPr="00226F79">
        <w:rPr>
          <w:sz w:val="24"/>
          <w:szCs w:val="24"/>
        </w:rPr>
        <w:t>Indigenous peoples</w:t>
      </w:r>
    </w:p>
    <w:p w14:paraId="2BDAFA1B" w14:textId="77777777" w:rsidR="00226F79" w:rsidRPr="00226F79" w:rsidRDefault="00226F79" w:rsidP="005E6EDB">
      <w:pPr>
        <w:pStyle w:val="ListParagraph"/>
        <w:numPr>
          <w:ilvl w:val="0"/>
          <w:numId w:val="1"/>
        </w:numPr>
        <w:jc w:val="both"/>
        <w:rPr>
          <w:sz w:val="24"/>
          <w:szCs w:val="24"/>
        </w:rPr>
      </w:pPr>
      <w:r w:rsidRPr="00226F79">
        <w:rPr>
          <w:sz w:val="24"/>
          <w:szCs w:val="24"/>
        </w:rPr>
        <w:t xml:space="preserve">Persons with disabilities </w:t>
      </w:r>
    </w:p>
    <w:p w14:paraId="0AB9A033" w14:textId="77777777" w:rsidR="00226F79" w:rsidRPr="00226F79" w:rsidRDefault="00226F79" w:rsidP="005E6EDB">
      <w:pPr>
        <w:pStyle w:val="ListParagraph"/>
        <w:numPr>
          <w:ilvl w:val="0"/>
          <w:numId w:val="1"/>
        </w:numPr>
        <w:jc w:val="both"/>
        <w:rPr>
          <w:sz w:val="24"/>
          <w:szCs w:val="24"/>
        </w:rPr>
      </w:pPr>
      <w:r w:rsidRPr="00226F79">
        <w:rPr>
          <w:sz w:val="24"/>
          <w:szCs w:val="24"/>
        </w:rPr>
        <w:t xml:space="preserve">LGBTQ persons </w:t>
      </w:r>
    </w:p>
    <w:p w14:paraId="0E437575" w14:textId="77777777" w:rsidR="00226F79" w:rsidRPr="00530EE2" w:rsidRDefault="00226F79" w:rsidP="005E6EDB">
      <w:pPr>
        <w:pStyle w:val="ListParagraph"/>
        <w:numPr>
          <w:ilvl w:val="0"/>
          <w:numId w:val="1"/>
        </w:numPr>
        <w:jc w:val="both"/>
        <w:rPr>
          <w:color w:val="E36C0A" w:themeColor="accent6" w:themeShade="BF"/>
          <w:sz w:val="24"/>
          <w:szCs w:val="24"/>
        </w:rPr>
      </w:pPr>
      <w:r w:rsidRPr="00530EE2">
        <w:rPr>
          <w:color w:val="E36C0A" w:themeColor="accent6" w:themeShade="BF"/>
          <w:sz w:val="24"/>
          <w:szCs w:val="24"/>
        </w:rPr>
        <w:t xml:space="preserve">Low income persons, including people living in poverty </w:t>
      </w:r>
    </w:p>
    <w:p w14:paraId="4CFDD46F" w14:textId="77777777" w:rsidR="00226F79" w:rsidRPr="00530EE2" w:rsidRDefault="00226F79" w:rsidP="005E6EDB">
      <w:pPr>
        <w:pStyle w:val="ListParagraph"/>
        <w:numPr>
          <w:ilvl w:val="0"/>
          <w:numId w:val="1"/>
        </w:numPr>
        <w:jc w:val="both"/>
        <w:rPr>
          <w:color w:val="E36C0A" w:themeColor="accent6" w:themeShade="BF"/>
          <w:sz w:val="24"/>
          <w:szCs w:val="24"/>
        </w:rPr>
      </w:pPr>
      <w:r w:rsidRPr="00530EE2">
        <w:rPr>
          <w:color w:val="E36C0A" w:themeColor="accent6" w:themeShade="BF"/>
          <w:sz w:val="24"/>
          <w:szCs w:val="24"/>
        </w:rPr>
        <w:t>Residents of informal settlements; persons experiencing homelessness</w:t>
      </w:r>
    </w:p>
    <w:p w14:paraId="40CB7260" w14:textId="72D67B79" w:rsidR="00226F79" w:rsidRPr="00EE65B1" w:rsidRDefault="00226F79" w:rsidP="005E6EDB">
      <w:pPr>
        <w:pStyle w:val="ListParagraph"/>
        <w:numPr>
          <w:ilvl w:val="0"/>
          <w:numId w:val="1"/>
        </w:numPr>
        <w:jc w:val="both"/>
        <w:rPr>
          <w:color w:val="E36C0A" w:themeColor="accent6" w:themeShade="BF"/>
          <w:sz w:val="24"/>
          <w:szCs w:val="24"/>
        </w:rPr>
      </w:pPr>
      <w:r w:rsidRPr="00EE65B1">
        <w:rPr>
          <w:color w:val="E36C0A" w:themeColor="accent6" w:themeShade="BF"/>
          <w:sz w:val="24"/>
          <w:szCs w:val="24"/>
        </w:rPr>
        <w:t>Other social groups, please specify</w:t>
      </w:r>
    </w:p>
    <w:p w14:paraId="294BD642" w14:textId="1E6212A9" w:rsidR="007D215C" w:rsidRPr="007D215C" w:rsidRDefault="007D215C" w:rsidP="007D215C">
      <w:pPr>
        <w:jc w:val="both"/>
        <w:rPr>
          <w:color w:val="E36C0A" w:themeColor="accent6" w:themeShade="BF"/>
          <w:sz w:val="24"/>
          <w:szCs w:val="24"/>
        </w:rPr>
      </w:pPr>
    </w:p>
    <w:p w14:paraId="3372ABB2" w14:textId="435AE3BE" w:rsidR="007D215C" w:rsidRPr="007D215C" w:rsidRDefault="007D215C" w:rsidP="007D215C">
      <w:pPr>
        <w:jc w:val="both"/>
        <w:rPr>
          <w:b/>
          <w:bCs/>
          <w:color w:val="E36C0A" w:themeColor="accent6" w:themeShade="BF"/>
          <w:sz w:val="24"/>
          <w:szCs w:val="24"/>
          <w:u w:val="single"/>
        </w:rPr>
      </w:pPr>
      <w:r w:rsidRPr="007D215C">
        <w:rPr>
          <w:b/>
          <w:bCs/>
          <w:color w:val="E36C0A" w:themeColor="accent6" w:themeShade="BF"/>
          <w:sz w:val="24"/>
          <w:szCs w:val="24"/>
          <w:u w:val="single"/>
        </w:rPr>
        <w:t>India</w:t>
      </w:r>
    </w:p>
    <w:sdt>
      <w:sdtPr>
        <w:rPr>
          <w:sz w:val="24"/>
          <w:szCs w:val="24"/>
        </w:rPr>
        <w:id w:val="726886835"/>
        <w:placeholder>
          <w:docPart w:val="EB3D8609186617448CB24AAD7C513A77"/>
        </w:placeholder>
      </w:sdtPr>
      <w:sdtEndPr>
        <w:rPr>
          <w:color w:val="E36C0A" w:themeColor="accent6" w:themeShade="BF"/>
        </w:rPr>
      </w:sdtEndPr>
      <w:sdtContent>
        <w:p w14:paraId="252C105F" w14:textId="4CA5B393" w:rsidR="007D215C" w:rsidRPr="007D215C" w:rsidRDefault="007D215C" w:rsidP="007D215C">
          <w:pPr>
            <w:jc w:val="both"/>
            <w:rPr>
              <w:color w:val="E36C0A" w:themeColor="accent6" w:themeShade="BF"/>
              <w:sz w:val="24"/>
              <w:szCs w:val="24"/>
            </w:rPr>
          </w:pPr>
          <w:r w:rsidRPr="007D215C">
            <w:rPr>
              <w:color w:val="E36C0A" w:themeColor="accent6" w:themeShade="BF"/>
              <w:sz w:val="24"/>
              <w:szCs w:val="24"/>
            </w:rPr>
            <w:t>Other groups include orphans who have to leave orphanages at age 18. These care leavers are ill prepared and have a make-shift stay arrangement, if any. During the COVID-19 first wave, care leavers faced acute problems as hostels got shut and these young people had nowhere to go</w:t>
          </w:r>
        </w:p>
      </w:sdtContent>
    </w:sdt>
    <w:p w14:paraId="57EFB4B9" w14:textId="391140B1" w:rsidR="00E92353" w:rsidRDefault="00E92353" w:rsidP="00E92353">
      <w:pPr>
        <w:jc w:val="both"/>
        <w:rPr>
          <w:sz w:val="24"/>
          <w:szCs w:val="24"/>
        </w:rPr>
      </w:pPr>
    </w:p>
    <w:p w14:paraId="65EB9C64" w14:textId="7EE92071" w:rsidR="00530EE2" w:rsidRDefault="00530EE2" w:rsidP="00E92353">
      <w:pPr>
        <w:jc w:val="both"/>
        <w:rPr>
          <w:b/>
          <w:bCs/>
          <w:color w:val="E36C0A" w:themeColor="accent6" w:themeShade="BF"/>
          <w:sz w:val="24"/>
          <w:szCs w:val="24"/>
          <w:u w:val="single"/>
        </w:rPr>
      </w:pPr>
      <w:r w:rsidRPr="00530EE2">
        <w:rPr>
          <w:b/>
          <w:bCs/>
          <w:color w:val="E36C0A" w:themeColor="accent6" w:themeShade="BF"/>
          <w:sz w:val="24"/>
          <w:szCs w:val="24"/>
          <w:u w:val="single"/>
        </w:rPr>
        <w:t>Latin America</w:t>
      </w:r>
    </w:p>
    <w:p w14:paraId="508E94DF" w14:textId="08F218BD" w:rsidR="00D05B02" w:rsidRDefault="00D05B02" w:rsidP="00E92353">
      <w:pPr>
        <w:jc w:val="both"/>
        <w:rPr>
          <w:b/>
          <w:bCs/>
          <w:color w:val="E36C0A" w:themeColor="accent6" w:themeShade="BF"/>
          <w:sz w:val="24"/>
          <w:szCs w:val="24"/>
          <w:u w:val="single"/>
        </w:rPr>
      </w:pPr>
    </w:p>
    <w:p w14:paraId="4AABC973" w14:textId="579F1634" w:rsidR="00D05B02" w:rsidRPr="00D05B02" w:rsidRDefault="00D05B02" w:rsidP="00E92353">
      <w:pPr>
        <w:jc w:val="both"/>
        <w:rPr>
          <w:i/>
          <w:iCs/>
          <w:color w:val="E36C0A" w:themeColor="accent6" w:themeShade="BF"/>
          <w:sz w:val="24"/>
          <w:szCs w:val="24"/>
        </w:rPr>
      </w:pPr>
      <w:r w:rsidRPr="00D05B02">
        <w:rPr>
          <w:i/>
          <w:iCs/>
          <w:color w:val="E36C0A" w:themeColor="accent6" w:themeShade="BF"/>
          <w:sz w:val="24"/>
          <w:szCs w:val="24"/>
        </w:rPr>
        <w:t>A general reflection</w:t>
      </w:r>
    </w:p>
    <w:p w14:paraId="76166359" w14:textId="77777777" w:rsidR="00530EE2" w:rsidRPr="00530EE2" w:rsidRDefault="00530EE2" w:rsidP="00E92353">
      <w:pPr>
        <w:jc w:val="both"/>
        <w:rPr>
          <w:b/>
          <w:bCs/>
          <w:color w:val="E36C0A" w:themeColor="accent6" w:themeShade="BF"/>
          <w:sz w:val="24"/>
          <w:szCs w:val="24"/>
          <w:u w:val="single"/>
        </w:rPr>
      </w:pPr>
    </w:p>
    <w:p w14:paraId="21F513F8" w14:textId="532CF909" w:rsidR="000344F8" w:rsidRPr="00530EE2" w:rsidRDefault="000344F8" w:rsidP="000344F8">
      <w:pPr>
        <w:jc w:val="both"/>
        <w:rPr>
          <w:color w:val="E36C0A" w:themeColor="accent6" w:themeShade="BF"/>
          <w:sz w:val="24"/>
          <w:szCs w:val="24"/>
        </w:rPr>
      </w:pPr>
      <w:r w:rsidRPr="00530EE2">
        <w:rPr>
          <w:color w:val="E36C0A" w:themeColor="accent6" w:themeShade="BF"/>
          <w:sz w:val="24"/>
          <w:szCs w:val="24"/>
        </w:rPr>
        <w:t>Most of the cities in the Latin America region are characterized by social and spatial segregation, a very significant number of the population suffers from overcrowding, violence and the deterioration of popular habitat. One of the reasons for this “urban disease” –</w:t>
      </w:r>
      <w:r w:rsidR="00530EE2">
        <w:rPr>
          <w:color w:val="E36C0A" w:themeColor="accent6" w:themeShade="BF"/>
          <w:sz w:val="24"/>
          <w:szCs w:val="24"/>
        </w:rPr>
        <w:t xml:space="preserve"> with </w:t>
      </w:r>
      <w:r w:rsidRPr="00530EE2">
        <w:rPr>
          <w:color w:val="E36C0A" w:themeColor="accent6" w:themeShade="BF"/>
          <w:sz w:val="24"/>
          <w:szCs w:val="24"/>
        </w:rPr>
        <w:lastRenderedPageBreak/>
        <w:t>dramatic expressions in the context of the COVID-19 pandemic</w:t>
      </w:r>
      <w:r w:rsidR="00530EE2">
        <w:rPr>
          <w:color w:val="E36C0A" w:themeColor="accent6" w:themeShade="BF"/>
          <w:sz w:val="24"/>
          <w:szCs w:val="24"/>
        </w:rPr>
        <w:t xml:space="preserve">, </w:t>
      </w:r>
      <w:r w:rsidRPr="00530EE2">
        <w:rPr>
          <w:color w:val="E36C0A" w:themeColor="accent6" w:themeShade="BF"/>
          <w:sz w:val="24"/>
          <w:szCs w:val="24"/>
        </w:rPr>
        <w:t>most significantly affect</w:t>
      </w:r>
      <w:r w:rsidR="00530EE2">
        <w:rPr>
          <w:color w:val="E36C0A" w:themeColor="accent6" w:themeShade="BF"/>
          <w:sz w:val="24"/>
          <w:szCs w:val="24"/>
        </w:rPr>
        <w:t>ing</w:t>
      </w:r>
      <w:r w:rsidRPr="00530EE2">
        <w:rPr>
          <w:color w:val="E36C0A" w:themeColor="accent6" w:themeShade="BF"/>
          <w:sz w:val="24"/>
          <w:szCs w:val="24"/>
        </w:rPr>
        <w:t xml:space="preserve"> those who suffer the most– is explained by </w:t>
      </w:r>
      <w:r w:rsidR="00530EE2">
        <w:rPr>
          <w:color w:val="E36C0A" w:themeColor="accent6" w:themeShade="BF"/>
          <w:sz w:val="24"/>
          <w:szCs w:val="24"/>
        </w:rPr>
        <w:t>various factors. G</w:t>
      </w:r>
      <w:r w:rsidRPr="00530EE2">
        <w:rPr>
          <w:color w:val="E36C0A" w:themeColor="accent6" w:themeShade="BF"/>
          <w:sz w:val="24"/>
          <w:szCs w:val="24"/>
        </w:rPr>
        <w:t>overnments have</w:t>
      </w:r>
      <w:r w:rsidR="00530EE2">
        <w:rPr>
          <w:color w:val="E36C0A" w:themeColor="accent6" w:themeShade="BF"/>
          <w:sz w:val="24"/>
          <w:szCs w:val="24"/>
        </w:rPr>
        <w:t xml:space="preserve">, for decades, </w:t>
      </w:r>
      <w:r w:rsidRPr="00530EE2">
        <w:rPr>
          <w:color w:val="E36C0A" w:themeColor="accent6" w:themeShade="BF"/>
          <w:sz w:val="24"/>
          <w:szCs w:val="24"/>
        </w:rPr>
        <w:t>placed the main emphasis on increasing the “home ownership rate” rather than focusing decisively on “distributive” urban policies that take into account the needs of lower-income population</w:t>
      </w:r>
      <w:r w:rsidR="00530EE2">
        <w:rPr>
          <w:color w:val="E36C0A" w:themeColor="accent6" w:themeShade="BF"/>
          <w:sz w:val="24"/>
          <w:szCs w:val="24"/>
        </w:rPr>
        <w:t>s</w:t>
      </w:r>
      <w:r w:rsidRPr="00530EE2">
        <w:rPr>
          <w:color w:val="E36C0A" w:themeColor="accent6" w:themeShade="BF"/>
          <w:sz w:val="24"/>
          <w:szCs w:val="24"/>
        </w:rPr>
        <w:t xml:space="preserve"> and offer housing access options </w:t>
      </w:r>
      <w:r w:rsidR="00530EE2">
        <w:rPr>
          <w:color w:val="E36C0A" w:themeColor="accent6" w:themeShade="BF"/>
          <w:sz w:val="24"/>
          <w:szCs w:val="24"/>
        </w:rPr>
        <w:t xml:space="preserve">that are </w:t>
      </w:r>
      <w:r w:rsidR="00530EE2" w:rsidRPr="00530EE2">
        <w:rPr>
          <w:color w:val="E36C0A" w:themeColor="accent6" w:themeShade="BF"/>
          <w:sz w:val="24"/>
          <w:szCs w:val="24"/>
        </w:rPr>
        <w:t xml:space="preserve">independent </w:t>
      </w:r>
      <w:r w:rsidRPr="00530EE2">
        <w:rPr>
          <w:color w:val="E36C0A" w:themeColor="accent6" w:themeShade="BF"/>
          <w:sz w:val="24"/>
          <w:szCs w:val="24"/>
        </w:rPr>
        <w:t>of individual property</w:t>
      </w:r>
      <w:r w:rsidR="00530EE2">
        <w:rPr>
          <w:color w:val="E36C0A" w:themeColor="accent6" w:themeShade="BF"/>
          <w:sz w:val="24"/>
          <w:szCs w:val="24"/>
        </w:rPr>
        <w:t>. I</w:t>
      </w:r>
      <w:r w:rsidRPr="00530EE2">
        <w:rPr>
          <w:color w:val="E36C0A" w:themeColor="accent6" w:themeShade="BF"/>
          <w:sz w:val="24"/>
          <w:szCs w:val="24"/>
        </w:rPr>
        <w:t>n addition</w:t>
      </w:r>
      <w:r w:rsidR="00530EE2">
        <w:rPr>
          <w:color w:val="E36C0A" w:themeColor="accent6" w:themeShade="BF"/>
          <w:sz w:val="24"/>
          <w:szCs w:val="24"/>
        </w:rPr>
        <w:t>, the region has</w:t>
      </w:r>
      <w:r w:rsidRPr="00530EE2">
        <w:rPr>
          <w:color w:val="E36C0A" w:themeColor="accent6" w:themeShade="BF"/>
          <w:sz w:val="24"/>
          <w:szCs w:val="24"/>
        </w:rPr>
        <w:t xml:space="preserve"> witnessed a weakening of urban planning. The foregoing is a consequence, to a large extent, of the effects o</w:t>
      </w:r>
      <w:r w:rsidR="004D03E1">
        <w:rPr>
          <w:color w:val="E36C0A" w:themeColor="accent6" w:themeShade="BF"/>
          <w:sz w:val="24"/>
          <w:szCs w:val="24"/>
        </w:rPr>
        <w:t>f</w:t>
      </w:r>
      <w:r w:rsidRPr="00530EE2">
        <w:rPr>
          <w:color w:val="E36C0A" w:themeColor="accent6" w:themeShade="BF"/>
          <w:sz w:val="24"/>
          <w:szCs w:val="24"/>
        </w:rPr>
        <w:t xml:space="preserve"> territorial, urban and housing </w:t>
      </w:r>
      <w:r w:rsidR="004D03E1">
        <w:rPr>
          <w:color w:val="E36C0A" w:themeColor="accent6" w:themeShade="BF"/>
          <w:sz w:val="24"/>
          <w:szCs w:val="24"/>
        </w:rPr>
        <w:t xml:space="preserve">dynamics that resulted </w:t>
      </w:r>
      <w:r w:rsidRPr="00530EE2">
        <w:rPr>
          <w:color w:val="E36C0A" w:themeColor="accent6" w:themeShade="BF"/>
          <w:sz w:val="24"/>
          <w:szCs w:val="24"/>
        </w:rPr>
        <w:t xml:space="preserve">from the implementation of structural reforms at the beginning of the 90s, imposed on the countries of the South before the outbreak of the </w:t>
      </w:r>
      <w:r w:rsidR="004D03E1" w:rsidRPr="00530EE2">
        <w:rPr>
          <w:color w:val="E36C0A" w:themeColor="accent6" w:themeShade="BF"/>
          <w:sz w:val="24"/>
          <w:szCs w:val="24"/>
        </w:rPr>
        <w:t xml:space="preserve">external debt </w:t>
      </w:r>
      <w:r w:rsidRPr="00530EE2">
        <w:rPr>
          <w:color w:val="E36C0A" w:themeColor="accent6" w:themeShade="BF"/>
          <w:sz w:val="24"/>
          <w:szCs w:val="24"/>
        </w:rPr>
        <w:t>crisis. The international financial institutions that designed the</w:t>
      </w:r>
      <w:r w:rsidR="004D03E1">
        <w:rPr>
          <w:color w:val="E36C0A" w:themeColor="accent6" w:themeShade="BF"/>
          <w:sz w:val="24"/>
          <w:szCs w:val="24"/>
        </w:rPr>
        <w:t xml:space="preserve"> reforms</w:t>
      </w:r>
      <w:r w:rsidRPr="00530EE2">
        <w:rPr>
          <w:color w:val="E36C0A" w:themeColor="accent6" w:themeShade="BF"/>
          <w:sz w:val="24"/>
          <w:szCs w:val="24"/>
        </w:rPr>
        <w:t xml:space="preserve"> also managed to block the implementation of</w:t>
      </w:r>
      <w:r w:rsidR="004D03E1">
        <w:rPr>
          <w:color w:val="E36C0A" w:themeColor="accent6" w:themeShade="BF"/>
          <w:sz w:val="24"/>
          <w:szCs w:val="24"/>
        </w:rPr>
        <w:t xml:space="preserve"> the</w:t>
      </w:r>
      <w:r w:rsidRPr="00530EE2">
        <w:rPr>
          <w:color w:val="E36C0A" w:themeColor="accent6" w:themeShade="BF"/>
          <w:sz w:val="24"/>
          <w:szCs w:val="24"/>
        </w:rPr>
        <w:t xml:space="preserve"> more progressive approaches of agendas developed during the 1990s in the framework of different United Nations summits and conferences with significant participation from civil society. This is the case of the agenda that emerged from the Second United Nations Conference on Human Settlements (1996). </w:t>
      </w:r>
    </w:p>
    <w:p w14:paraId="520BE71C" w14:textId="77777777" w:rsidR="00A21FE3" w:rsidRPr="00530EE2" w:rsidRDefault="00A21FE3" w:rsidP="000344F8">
      <w:pPr>
        <w:jc w:val="both"/>
        <w:rPr>
          <w:color w:val="E36C0A" w:themeColor="accent6" w:themeShade="BF"/>
          <w:sz w:val="24"/>
          <w:szCs w:val="24"/>
        </w:rPr>
      </w:pPr>
    </w:p>
    <w:p w14:paraId="2DAE0B18" w14:textId="0D23A50E" w:rsidR="000344F8" w:rsidRDefault="002A529B" w:rsidP="000344F8">
      <w:pPr>
        <w:jc w:val="both"/>
        <w:rPr>
          <w:color w:val="E36C0A" w:themeColor="accent6" w:themeShade="BF"/>
          <w:sz w:val="24"/>
          <w:szCs w:val="24"/>
        </w:rPr>
      </w:pPr>
      <w:r>
        <w:rPr>
          <w:color w:val="E36C0A" w:themeColor="accent6" w:themeShade="BF"/>
          <w:sz w:val="24"/>
          <w:szCs w:val="24"/>
        </w:rPr>
        <w:t>As part of</w:t>
      </w:r>
      <w:r w:rsidR="000344F8" w:rsidRPr="00530EE2">
        <w:rPr>
          <w:color w:val="E36C0A" w:themeColor="accent6" w:themeShade="BF"/>
          <w:sz w:val="24"/>
          <w:szCs w:val="24"/>
        </w:rPr>
        <w:t xml:space="preserve"> the structural reforms </w:t>
      </w:r>
      <w:r w:rsidR="004D03E1">
        <w:rPr>
          <w:color w:val="E36C0A" w:themeColor="accent6" w:themeShade="BF"/>
          <w:sz w:val="24"/>
          <w:szCs w:val="24"/>
        </w:rPr>
        <w:t>of</w:t>
      </w:r>
      <w:r w:rsidR="000344F8" w:rsidRPr="00530EE2">
        <w:rPr>
          <w:color w:val="E36C0A" w:themeColor="accent6" w:themeShade="BF"/>
          <w:sz w:val="24"/>
          <w:szCs w:val="24"/>
        </w:rPr>
        <w:t xml:space="preserve"> the so-called “Washington Conse</w:t>
      </w:r>
      <w:r w:rsidR="00A21FE3" w:rsidRPr="00530EE2">
        <w:rPr>
          <w:color w:val="E36C0A" w:themeColor="accent6" w:themeShade="BF"/>
          <w:sz w:val="24"/>
          <w:szCs w:val="24"/>
        </w:rPr>
        <w:t>nsus”</w:t>
      </w:r>
      <w:r w:rsidR="000344F8" w:rsidRPr="00530EE2">
        <w:rPr>
          <w:color w:val="E36C0A" w:themeColor="accent6" w:themeShade="BF"/>
          <w:sz w:val="24"/>
          <w:szCs w:val="24"/>
        </w:rPr>
        <w:t>, enormous weight was given to the macroeconomic role of the commercial production of housing</w:t>
      </w:r>
      <w:r>
        <w:rPr>
          <w:color w:val="E36C0A" w:themeColor="accent6" w:themeShade="BF"/>
          <w:sz w:val="24"/>
          <w:szCs w:val="24"/>
        </w:rPr>
        <w:t>. This decision</w:t>
      </w:r>
      <w:r w:rsidR="000344F8" w:rsidRPr="00530EE2">
        <w:rPr>
          <w:color w:val="E36C0A" w:themeColor="accent6" w:themeShade="BF"/>
          <w:sz w:val="24"/>
          <w:szCs w:val="24"/>
        </w:rPr>
        <w:t xml:space="preserve"> </w:t>
      </w:r>
      <w:r>
        <w:rPr>
          <w:color w:val="E36C0A" w:themeColor="accent6" w:themeShade="BF"/>
          <w:sz w:val="24"/>
          <w:szCs w:val="24"/>
        </w:rPr>
        <w:t>was</w:t>
      </w:r>
      <w:r w:rsidR="000344F8" w:rsidRPr="00530EE2">
        <w:rPr>
          <w:color w:val="E36C0A" w:themeColor="accent6" w:themeShade="BF"/>
          <w:sz w:val="24"/>
          <w:szCs w:val="24"/>
        </w:rPr>
        <w:t xml:space="preserve"> establish</w:t>
      </w:r>
      <w:r>
        <w:rPr>
          <w:color w:val="E36C0A" w:themeColor="accent6" w:themeShade="BF"/>
          <w:sz w:val="24"/>
          <w:szCs w:val="24"/>
        </w:rPr>
        <w:t>ed</w:t>
      </w:r>
      <w:r w:rsidR="000344F8" w:rsidRPr="00530EE2">
        <w:rPr>
          <w:color w:val="E36C0A" w:themeColor="accent6" w:themeShade="BF"/>
          <w:sz w:val="24"/>
          <w:szCs w:val="24"/>
        </w:rPr>
        <w:t xml:space="preserve"> o</w:t>
      </w:r>
      <w:r>
        <w:rPr>
          <w:color w:val="E36C0A" w:themeColor="accent6" w:themeShade="BF"/>
          <w:sz w:val="24"/>
          <w:szCs w:val="24"/>
        </w:rPr>
        <w:t>n</w:t>
      </w:r>
      <w:r w:rsidR="000344F8" w:rsidRPr="00530EE2">
        <w:rPr>
          <w:color w:val="E36C0A" w:themeColor="accent6" w:themeShade="BF"/>
          <w:sz w:val="24"/>
          <w:szCs w:val="24"/>
        </w:rPr>
        <w:t xml:space="preserve"> the extension of market forces and </w:t>
      </w:r>
      <w:r>
        <w:rPr>
          <w:color w:val="E36C0A" w:themeColor="accent6" w:themeShade="BF"/>
          <w:sz w:val="24"/>
          <w:szCs w:val="24"/>
        </w:rPr>
        <w:t xml:space="preserve">a </w:t>
      </w:r>
      <w:r w:rsidR="000344F8" w:rsidRPr="00530EE2">
        <w:rPr>
          <w:color w:val="E36C0A" w:themeColor="accent6" w:themeShade="BF"/>
          <w:sz w:val="24"/>
          <w:szCs w:val="24"/>
        </w:rPr>
        <w:t xml:space="preserve">rethinking </w:t>
      </w:r>
      <w:r>
        <w:rPr>
          <w:color w:val="E36C0A" w:themeColor="accent6" w:themeShade="BF"/>
          <w:sz w:val="24"/>
          <w:szCs w:val="24"/>
        </w:rPr>
        <w:t xml:space="preserve">of </w:t>
      </w:r>
      <w:r w:rsidR="000344F8" w:rsidRPr="00530EE2">
        <w:rPr>
          <w:color w:val="E36C0A" w:themeColor="accent6" w:themeShade="BF"/>
          <w:sz w:val="24"/>
          <w:szCs w:val="24"/>
        </w:rPr>
        <w:t>the role of the State that went from being a provider and regulator to a fac</w:t>
      </w:r>
      <w:r w:rsidR="00A21FE3" w:rsidRPr="00530EE2">
        <w:rPr>
          <w:color w:val="E36C0A" w:themeColor="accent6" w:themeShade="BF"/>
          <w:sz w:val="24"/>
          <w:szCs w:val="24"/>
        </w:rPr>
        <w:t xml:space="preserve">ilitator, even in the area of </w:t>
      </w:r>
      <w:r w:rsidR="000344F8" w:rsidRPr="00530EE2">
        <w:rPr>
          <w:color w:val="E36C0A" w:themeColor="accent6" w:themeShade="BF"/>
          <w:sz w:val="24"/>
          <w:szCs w:val="24"/>
        </w:rPr>
        <w:t>urban-regional planning</w:t>
      </w:r>
      <w:r>
        <w:rPr>
          <w:color w:val="E36C0A" w:themeColor="accent6" w:themeShade="BF"/>
          <w:sz w:val="24"/>
          <w:szCs w:val="24"/>
        </w:rPr>
        <w:t>. These changes</w:t>
      </w:r>
      <w:r w:rsidR="000344F8" w:rsidRPr="00530EE2">
        <w:rPr>
          <w:color w:val="E36C0A" w:themeColor="accent6" w:themeShade="BF"/>
          <w:sz w:val="24"/>
          <w:szCs w:val="24"/>
        </w:rPr>
        <w:t xml:space="preserve"> </w:t>
      </w:r>
      <w:r>
        <w:rPr>
          <w:color w:val="E36C0A" w:themeColor="accent6" w:themeShade="BF"/>
          <w:sz w:val="24"/>
          <w:szCs w:val="24"/>
        </w:rPr>
        <w:t>enabled</w:t>
      </w:r>
      <w:r w:rsidR="000344F8" w:rsidRPr="00530EE2">
        <w:rPr>
          <w:color w:val="E36C0A" w:themeColor="accent6" w:themeShade="BF"/>
          <w:sz w:val="24"/>
          <w:szCs w:val="24"/>
        </w:rPr>
        <w:t xml:space="preserve"> speculation and greater accumulation of pr</w:t>
      </w:r>
      <w:r w:rsidR="00B206BB" w:rsidRPr="00530EE2">
        <w:rPr>
          <w:color w:val="E36C0A" w:themeColor="accent6" w:themeShade="BF"/>
          <w:sz w:val="24"/>
          <w:szCs w:val="24"/>
        </w:rPr>
        <w:t>ofits by the real estate sector</w:t>
      </w:r>
      <w:r w:rsidR="000344F8" w:rsidRPr="00530EE2">
        <w:rPr>
          <w:color w:val="E36C0A" w:themeColor="accent6" w:themeShade="BF"/>
          <w:sz w:val="24"/>
          <w:szCs w:val="24"/>
        </w:rPr>
        <w:t xml:space="preserve">. </w:t>
      </w:r>
      <w:r>
        <w:rPr>
          <w:color w:val="E36C0A" w:themeColor="accent6" w:themeShade="BF"/>
          <w:sz w:val="24"/>
          <w:szCs w:val="24"/>
        </w:rPr>
        <w:t xml:space="preserve">As a consequence </w:t>
      </w:r>
      <w:r w:rsidR="000344F8" w:rsidRPr="00530EE2">
        <w:rPr>
          <w:color w:val="E36C0A" w:themeColor="accent6" w:themeShade="BF"/>
          <w:sz w:val="24"/>
          <w:szCs w:val="24"/>
        </w:rPr>
        <w:t>public housing production programs</w:t>
      </w:r>
      <w:r>
        <w:rPr>
          <w:color w:val="E36C0A" w:themeColor="accent6" w:themeShade="BF"/>
          <w:sz w:val="24"/>
          <w:szCs w:val="24"/>
        </w:rPr>
        <w:t xml:space="preserve"> were cancelled</w:t>
      </w:r>
      <w:r w:rsidR="000344F8" w:rsidRPr="00530EE2">
        <w:rPr>
          <w:color w:val="E36C0A" w:themeColor="accent6" w:themeShade="BF"/>
          <w:sz w:val="24"/>
          <w:szCs w:val="24"/>
        </w:rPr>
        <w:t xml:space="preserve"> and the amount of fiscal resources allocated to this item</w:t>
      </w:r>
      <w:r>
        <w:rPr>
          <w:color w:val="E36C0A" w:themeColor="accent6" w:themeShade="BF"/>
          <w:sz w:val="24"/>
          <w:szCs w:val="24"/>
        </w:rPr>
        <w:t xml:space="preserve"> was reduced</w:t>
      </w:r>
      <w:r w:rsidR="000344F8" w:rsidRPr="00530EE2">
        <w:rPr>
          <w:color w:val="E36C0A" w:themeColor="accent6" w:themeShade="BF"/>
          <w:sz w:val="24"/>
          <w:szCs w:val="24"/>
        </w:rPr>
        <w:t>. The State no longer concentrated on meeting social needs but on operating through market mediation</w:t>
      </w:r>
      <w:r>
        <w:rPr>
          <w:color w:val="E36C0A" w:themeColor="accent6" w:themeShade="BF"/>
          <w:sz w:val="24"/>
          <w:szCs w:val="24"/>
        </w:rPr>
        <w:t xml:space="preserve"> and</w:t>
      </w:r>
      <w:r w:rsidR="000344F8" w:rsidRPr="00530EE2">
        <w:rPr>
          <w:color w:val="E36C0A" w:themeColor="accent6" w:themeShade="BF"/>
          <w:sz w:val="24"/>
          <w:szCs w:val="24"/>
        </w:rPr>
        <w:t xml:space="preserve"> financing the purchase of housing. The result was that the market was unable to serve the population located below the poverty line</w:t>
      </w:r>
      <w:r w:rsidR="00D05B02">
        <w:rPr>
          <w:color w:val="E36C0A" w:themeColor="accent6" w:themeShade="BF"/>
          <w:sz w:val="24"/>
          <w:szCs w:val="24"/>
        </w:rPr>
        <w:t>. This was due to the state</w:t>
      </w:r>
      <w:r w:rsidR="000344F8" w:rsidRPr="00530EE2">
        <w:rPr>
          <w:color w:val="E36C0A" w:themeColor="accent6" w:themeShade="BF"/>
          <w:sz w:val="24"/>
          <w:szCs w:val="24"/>
        </w:rPr>
        <w:t xml:space="preserve"> focus</w:t>
      </w:r>
      <w:r w:rsidR="00D05B02">
        <w:rPr>
          <w:color w:val="E36C0A" w:themeColor="accent6" w:themeShade="BF"/>
          <w:sz w:val="24"/>
          <w:szCs w:val="24"/>
        </w:rPr>
        <w:t>ing</w:t>
      </w:r>
      <w:r w:rsidR="000344F8" w:rsidRPr="00530EE2">
        <w:rPr>
          <w:color w:val="E36C0A" w:themeColor="accent6" w:themeShade="BF"/>
          <w:sz w:val="24"/>
          <w:szCs w:val="24"/>
        </w:rPr>
        <w:t xml:space="preserve"> on sectors </w:t>
      </w:r>
      <w:r>
        <w:rPr>
          <w:color w:val="E36C0A" w:themeColor="accent6" w:themeShade="BF"/>
          <w:sz w:val="24"/>
          <w:szCs w:val="24"/>
        </w:rPr>
        <w:t xml:space="preserve">earning </w:t>
      </w:r>
      <w:r w:rsidR="000344F8" w:rsidRPr="00530EE2">
        <w:rPr>
          <w:color w:val="E36C0A" w:themeColor="accent6" w:themeShade="BF"/>
          <w:sz w:val="24"/>
          <w:szCs w:val="24"/>
        </w:rPr>
        <w:t>between five and ten times the minimum wage</w:t>
      </w:r>
      <w:r>
        <w:rPr>
          <w:color w:val="E36C0A" w:themeColor="accent6" w:themeShade="BF"/>
          <w:sz w:val="24"/>
          <w:szCs w:val="24"/>
        </w:rPr>
        <w:t xml:space="preserve"> </w:t>
      </w:r>
      <w:r w:rsidR="00D05B02">
        <w:rPr>
          <w:color w:val="E36C0A" w:themeColor="accent6" w:themeShade="BF"/>
          <w:sz w:val="24"/>
          <w:szCs w:val="24"/>
        </w:rPr>
        <w:t>while</w:t>
      </w:r>
      <w:r w:rsidR="000344F8" w:rsidRPr="00530EE2">
        <w:rPr>
          <w:color w:val="E36C0A" w:themeColor="accent6" w:themeShade="BF"/>
          <w:sz w:val="24"/>
          <w:szCs w:val="24"/>
        </w:rPr>
        <w:t xml:space="preserve"> </w:t>
      </w:r>
      <w:r>
        <w:rPr>
          <w:color w:val="E36C0A" w:themeColor="accent6" w:themeShade="BF"/>
          <w:sz w:val="24"/>
          <w:szCs w:val="24"/>
        </w:rPr>
        <w:t xml:space="preserve">poverty alleviation programs </w:t>
      </w:r>
      <w:r w:rsidR="000344F8" w:rsidRPr="00530EE2">
        <w:rPr>
          <w:color w:val="E36C0A" w:themeColor="accent6" w:themeShade="BF"/>
          <w:sz w:val="24"/>
          <w:szCs w:val="24"/>
        </w:rPr>
        <w:t>target</w:t>
      </w:r>
      <w:r>
        <w:rPr>
          <w:color w:val="E36C0A" w:themeColor="accent6" w:themeShade="BF"/>
          <w:sz w:val="24"/>
          <w:szCs w:val="24"/>
        </w:rPr>
        <w:t>ing</w:t>
      </w:r>
      <w:r w:rsidR="000344F8" w:rsidRPr="00530EE2">
        <w:rPr>
          <w:color w:val="E36C0A" w:themeColor="accent6" w:themeShade="BF"/>
          <w:sz w:val="24"/>
          <w:szCs w:val="24"/>
        </w:rPr>
        <w:t xml:space="preserve"> the poorest did not apply to housing. In addition, firmly established property rights were stimulated through the regularization of individual property</w:t>
      </w:r>
      <w:r w:rsidR="00D05B02">
        <w:rPr>
          <w:color w:val="E36C0A" w:themeColor="accent6" w:themeShade="BF"/>
          <w:sz w:val="24"/>
          <w:szCs w:val="24"/>
        </w:rPr>
        <w:t xml:space="preserve">. Such regularisation </w:t>
      </w:r>
      <w:r w:rsidR="000344F8" w:rsidRPr="00530EE2">
        <w:rPr>
          <w:color w:val="E36C0A" w:themeColor="accent6" w:themeShade="BF"/>
          <w:sz w:val="24"/>
          <w:szCs w:val="24"/>
        </w:rPr>
        <w:t xml:space="preserve">should have </w:t>
      </w:r>
      <w:r w:rsidR="00D05B02">
        <w:rPr>
          <w:color w:val="E36C0A" w:themeColor="accent6" w:themeShade="BF"/>
          <w:sz w:val="24"/>
          <w:szCs w:val="24"/>
        </w:rPr>
        <w:t>addressed</w:t>
      </w:r>
      <w:r w:rsidR="000344F8" w:rsidRPr="00530EE2">
        <w:rPr>
          <w:color w:val="E36C0A" w:themeColor="accent6" w:themeShade="BF"/>
          <w:sz w:val="24"/>
          <w:szCs w:val="24"/>
        </w:rPr>
        <w:t xml:space="preserve"> overcoming poverty due to the possibility of access</w:t>
      </w:r>
      <w:r w:rsidR="00D05B02">
        <w:rPr>
          <w:color w:val="E36C0A" w:themeColor="accent6" w:themeShade="BF"/>
          <w:sz w:val="24"/>
          <w:szCs w:val="24"/>
        </w:rPr>
        <w:t xml:space="preserve"> to</w:t>
      </w:r>
      <w:r w:rsidR="000344F8" w:rsidRPr="00530EE2">
        <w:rPr>
          <w:color w:val="E36C0A" w:themeColor="accent6" w:themeShade="BF"/>
          <w:sz w:val="24"/>
          <w:szCs w:val="24"/>
        </w:rPr>
        <w:t xml:space="preserve"> credit, but various studies have shown that there has been no impact on the economy</w:t>
      </w:r>
      <w:r w:rsidR="00D05B02">
        <w:rPr>
          <w:color w:val="E36C0A" w:themeColor="accent6" w:themeShade="BF"/>
          <w:sz w:val="24"/>
          <w:szCs w:val="24"/>
        </w:rPr>
        <w:t>, i</w:t>
      </w:r>
      <w:r w:rsidR="000344F8" w:rsidRPr="00530EE2">
        <w:rPr>
          <w:color w:val="E36C0A" w:themeColor="accent6" w:themeShade="BF"/>
          <w:sz w:val="24"/>
          <w:szCs w:val="24"/>
        </w:rPr>
        <w:t>ncrease in</w:t>
      </w:r>
      <w:r w:rsidR="00D05B02">
        <w:rPr>
          <w:color w:val="E36C0A" w:themeColor="accent6" w:themeShade="BF"/>
          <w:sz w:val="24"/>
          <w:szCs w:val="24"/>
        </w:rPr>
        <w:t xml:space="preserve"> “beneficiaries”</w:t>
      </w:r>
      <w:r w:rsidR="000344F8" w:rsidRPr="00530EE2">
        <w:rPr>
          <w:color w:val="E36C0A" w:themeColor="accent6" w:themeShade="BF"/>
          <w:sz w:val="24"/>
          <w:szCs w:val="24"/>
        </w:rPr>
        <w:t xml:space="preserve"> </w:t>
      </w:r>
      <w:r w:rsidR="00D05B02">
        <w:rPr>
          <w:color w:val="E36C0A" w:themeColor="accent6" w:themeShade="BF"/>
          <w:sz w:val="24"/>
          <w:szCs w:val="24"/>
        </w:rPr>
        <w:t xml:space="preserve">accessing these </w:t>
      </w:r>
      <w:r w:rsidR="000344F8" w:rsidRPr="00530EE2">
        <w:rPr>
          <w:color w:val="E36C0A" w:themeColor="accent6" w:themeShade="BF"/>
          <w:sz w:val="24"/>
          <w:szCs w:val="24"/>
        </w:rPr>
        <w:t xml:space="preserve">credits or in the </w:t>
      </w:r>
      <w:r w:rsidR="000344F8" w:rsidRPr="00530EE2">
        <w:rPr>
          <w:color w:val="E36C0A" w:themeColor="accent6" w:themeShade="BF"/>
          <w:sz w:val="24"/>
          <w:szCs w:val="24"/>
        </w:rPr>
        <w:lastRenderedPageBreak/>
        <w:t xml:space="preserve">improvement of their economic situation. </w:t>
      </w:r>
      <w:r w:rsidR="00D05B02">
        <w:rPr>
          <w:color w:val="E36C0A" w:themeColor="accent6" w:themeShade="BF"/>
          <w:sz w:val="24"/>
          <w:szCs w:val="24"/>
        </w:rPr>
        <w:t>On</w:t>
      </w:r>
      <w:r w:rsidR="000344F8" w:rsidRPr="00530EE2">
        <w:rPr>
          <w:color w:val="E36C0A" w:themeColor="accent6" w:themeShade="BF"/>
          <w:sz w:val="24"/>
          <w:szCs w:val="24"/>
        </w:rPr>
        <w:t xml:space="preserve"> the other hand, it </w:t>
      </w:r>
      <w:r w:rsidR="00D05B02">
        <w:rPr>
          <w:color w:val="E36C0A" w:themeColor="accent6" w:themeShade="BF"/>
          <w:sz w:val="24"/>
          <w:szCs w:val="24"/>
        </w:rPr>
        <w:t xml:space="preserve">had an effect on stimulating </w:t>
      </w:r>
      <w:r w:rsidR="000344F8" w:rsidRPr="00530EE2">
        <w:rPr>
          <w:color w:val="E36C0A" w:themeColor="accent6" w:themeShade="BF"/>
          <w:sz w:val="24"/>
          <w:szCs w:val="24"/>
        </w:rPr>
        <w:t>processes of individualization</w:t>
      </w:r>
      <w:r w:rsidR="00D05B02">
        <w:rPr>
          <w:color w:val="E36C0A" w:themeColor="accent6" w:themeShade="BF"/>
          <w:sz w:val="24"/>
          <w:szCs w:val="24"/>
        </w:rPr>
        <w:t xml:space="preserve"> while </w:t>
      </w:r>
      <w:r w:rsidR="000344F8" w:rsidRPr="00530EE2">
        <w:rPr>
          <w:color w:val="E36C0A" w:themeColor="accent6" w:themeShade="BF"/>
          <w:sz w:val="24"/>
          <w:szCs w:val="24"/>
        </w:rPr>
        <w:t>discourag</w:t>
      </w:r>
      <w:r w:rsidR="00D05B02">
        <w:rPr>
          <w:color w:val="E36C0A" w:themeColor="accent6" w:themeShade="BF"/>
          <w:sz w:val="24"/>
          <w:szCs w:val="24"/>
        </w:rPr>
        <w:t>ing</w:t>
      </w:r>
      <w:r w:rsidR="000344F8" w:rsidRPr="00530EE2">
        <w:rPr>
          <w:color w:val="E36C0A" w:themeColor="accent6" w:themeShade="BF"/>
          <w:sz w:val="24"/>
          <w:szCs w:val="24"/>
        </w:rPr>
        <w:t xml:space="preserve"> and combating collective initiatives such as housing cooperatives or organized forms of self-construction, as well as reducing support for rental housing. In addition, the mortgage system was strengthened (</w:t>
      </w:r>
      <w:r w:rsidR="00D05B02">
        <w:rPr>
          <w:color w:val="E36C0A" w:themeColor="accent6" w:themeShade="BF"/>
          <w:sz w:val="24"/>
          <w:szCs w:val="24"/>
        </w:rPr>
        <w:t>leaving</w:t>
      </w:r>
      <w:r w:rsidR="000344F8" w:rsidRPr="00530EE2">
        <w:rPr>
          <w:color w:val="E36C0A" w:themeColor="accent6" w:themeShade="BF"/>
          <w:sz w:val="24"/>
          <w:szCs w:val="24"/>
        </w:rPr>
        <w:t xml:space="preserve"> millions of people in debt), </w:t>
      </w:r>
      <w:r w:rsidR="00D05B02" w:rsidRPr="00530EE2">
        <w:rPr>
          <w:color w:val="E36C0A" w:themeColor="accent6" w:themeShade="BF"/>
          <w:sz w:val="24"/>
          <w:szCs w:val="24"/>
        </w:rPr>
        <w:t xml:space="preserve">eviction proceedings in the event of mortgage default </w:t>
      </w:r>
      <w:r w:rsidR="00D05B02">
        <w:rPr>
          <w:color w:val="E36C0A" w:themeColor="accent6" w:themeShade="BF"/>
          <w:sz w:val="24"/>
          <w:szCs w:val="24"/>
        </w:rPr>
        <w:t xml:space="preserve">were </w:t>
      </w:r>
      <w:r w:rsidR="000344F8" w:rsidRPr="00530EE2">
        <w:rPr>
          <w:color w:val="E36C0A" w:themeColor="accent6" w:themeShade="BF"/>
          <w:sz w:val="24"/>
          <w:szCs w:val="24"/>
        </w:rPr>
        <w:t>spe</w:t>
      </w:r>
      <w:r w:rsidR="00D05B02">
        <w:rPr>
          <w:color w:val="E36C0A" w:themeColor="accent6" w:themeShade="BF"/>
          <w:sz w:val="24"/>
          <w:szCs w:val="24"/>
        </w:rPr>
        <w:t>d</w:t>
      </w:r>
      <w:r w:rsidR="000344F8" w:rsidRPr="00530EE2">
        <w:rPr>
          <w:color w:val="E36C0A" w:themeColor="accent6" w:themeShade="BF"/>
          <w:sz w:val="24"/>
          <w:szCs w:val="24"/>
        </w:rPr>
        <w:t xml:space="preserve"> up</w:t>
      </w:r>
      <w:r w:rsidR="00D05B02">
        <w:rPr>
          <w:color w:val="E36C0A" w:themeColor="accent6" w:themeShade="BF"/>
          <w:sz w:val="24"/>
          <w:szCs w:val="24"/>
        </w:rPr>
        <w:t xml:space="preserve">, and </w:t>
      </w:r>
      <w:r w:rsidR="000344F8" w:rsidRPr="00530EE2">
        <w:rPr>
          <w:color w:val="E36C0A" w:themeColor="accent6" w:themeShade="BF"/>
          <w:sz w:val="24"/>
          <w:szCs w:val="24"/>
        </w:rPr>
        <w:t>mortgage packages in the international secondary market (a process known as securitization)</w:t>
      </w:r>
      <w:r w:rsidR="00D05B02">
        <w:rPr>
          <w:color w:val="E36C0A" w:themeColor="accent6" w:themeShade="BF"/>
          <w:sz w:val="24"/>
          <w:szCs w:val="24"/>
        </w:rPr>
        <w:t xml:space="preserve"> were r</w:t>
      </w:r>
      <w:r w:rsidR="00D05B02" w:rsidRPr="00530EE2">
        <w:rPr>
          <w:color w:val="E36C0A" w:themeColor="accent6" w:themeShade="BF"/>
          <w:sz w:val="24"/>
          <w:szCs w:val="24"/>
        </w:rPr>
        <w:t>ediscount</w:t>
      </w:r>
      <w:r w:rsidR="00D05B02">
        <w:rPr>
          <w:color w:val="E36C0A" w:themeColor="accent6" w:themeShade="BF"/>
          <w:sz w:val="24"/>
          <w:szCs w:val="24"/>
        </w:rPr>
        <w:t>ed</w:t>
      </w:r>
      <w:r w:rsidR="000344F8" w:rsidRPr="00530EE2">
        <w:rPr>
          <w:color w:val="E36C0A" w:themeColor="accent6" w:themeShade="BF"/>
          <w:sz w:val="24"/>
          <w:szCs w:val="24"/>
        </w:rPr>
        <w:t xml:space="preserve">. </w:t>
      </w:r>
    </w:p>
    <w:p w14:paraId="2B7FCD99" w14:textId="60FF334F" w:rsidR="00D05B02" w:rsidRDefault="00D05B02" w:rsidP="000344F8">
      <w:pPr>
        <w:jc w:val="both"/>
        <w:rPr>
          <w:color w:val="E36C0A" w:themeColor="accent6" w:themeShade="BF"/>
          <w:sz w:val="24"/>
          <w:szCs w:val="24"/>
        </w:rPr>
      </w:pPr>
    </w:p>
    <w:p w14:paraId="3960378A" w14:textId="47DCAE10" w:rsidR="00D05B02" w:rsidRPr="00D05B02" w:rsidRDefault="00D05B02" w:rsidP="000344F8">
      <w:pPr>
        <w:jc w:val="both"/>
        <w:rPr>
          <w:i/>
          <w:iCs/>
          <w:color w:val="E36C0A" w:themeColor="accent6" w:themeShade="BF"/>
          <w:sz w:val="24"/>
          <w:szCs w:val="24"/>
        </w:rPr>
      </w:pPr>
      <w:r>
        <w:rPr>
          <w:i/>
          <w:iCs/>
          <w:color w:val="E36C0A" w:themeColor="accent6" w:themeShade="BF"/>
          <w:sz w:val="24"/>
          <w:szCs w:val="24"/>
        </w:rPr>
        <w:t>On gender and diversity in relation to housing rights</w:t>
      </w:r>
    </w:p>
    <w:p w14:paraId="08EC5D1B" w14:textId="77777777" w:rsidR="00845F8F" w:rsidRPr="00530EE2" w:rsidRDefault="00845F8F" w:rsidP="000344F8">
      <w:pPr>
        <w:jc w:val="both"/>
        <w:rPr>
          <w:color w:val="E36C0A" w:themeColor="accent6" w:themeShade="BF"/>
          <w:sz w:val="24"/>
          <w:szCs w:val="24"/>
        </w:rPr>
      </w:pPr>
    </w:p>
    <w:p w14:paraId="74C0098B" w14:textId="77777777" w:rsidR="00E60CF2" w:rsidRDefault="00845F8F" w:rsidP="00845F8F">
      <w:pPr>
        <w:jc w:val="both"/>
        <w:rPr>
          <w:color w:val="E36C0A" w:themeColor="accent6" w:themeShade="BF"/>
          <w:sz w:val="24"/>
          <w:szCs w:val="24"/>
        </w:rPr>
      </w:pPr>
      <w:r w:rsidRPr="00530EE2">
        <w:rPr>
          <w:color w:val="E36C0A" w:themeColor="accent6" w:themeShade="BF"/>
          <w:sz w:val="24"/>
          <w:szCs w:val="24"/>
        </w:rPr>
        <w:t xml:space="preserve">Given the differentiated roles between women and men, assigned by traditions, cultures and social guidelines that respond to the </w:t>
      </w:r>
      <w:r w:rsidR="00E60CF2">
        <w:rPr>
          <w:color w:val="E36C0A" w:themeColor="accent6" w:themeShade="BF"/>
          <w:sz w:val="24"/>
          <w:szCs w:val="24"/>
        </w:rPr>
        <w:t>gendered</w:t>
      </w:r>
      <w:r w:rsidRPr="00530EE2">
        <w:rPr>
          <w:color w:val="E36C0A" w:themeColor="accent6" w:themeShade="BF"/>
          <w:sz w:val="24"/>
          <w:szCs w:val="24"/>
        </w:rPr>
        <w:t xml:space="preserve"> division of </w:t>
      </w:r>
      <w:proofErr w:type="spellStart"/>
      <w:r w:rsidRPr="00530EE2">
        <w:rPr>
          <w:color w:val="E36C0A" w:themeColor="accent6" w:themeShade="BF"/>
          <w:sz w:val="24"/>
          <w:szCs w:val="24"/>
        </w:rPr>
        <w:t>labor</w:t>
      </w:r>
      <w:proofErr w:type="spellEnd"/>
      <w:r w:rsidRPr="00530EE2">
        <w:rPr>
          <w:color w:val="E36C0A" w:themeColor="accent6" w:themeShade="BF"/>
          <w:sz w:val="24"/>
          <w:szCs w:val="24"/>
        </w:rPr>
        <w:t>, it is women who assume responsibility for domestic task</w:t>
      </w:r>
      <w:r w:rsidR="00E60CF2">
        <w:rPr>
          <w:color w:val="E36C0A" w:themeColor="accent6" w:themeShade="BF"/>
          <w:sz w:val="24"/>
          <w:szCs w:val="24"/>
        </w:rPr>
        <w:t>s</w:t>
      </w:r>
      <w:r w:rsidRPr="00530EE2">
        <w:rPr>
          <w:color w:val="E36C0A" w:themeColor="accent6" w:themeShade="BF"/>
          <w:sz w:val="24"/>
          <w:szCs w:val="24"/>
        </w:rPr>
        <w:t xml:space="preserve">, </w:t>
      </w:r>
      <w:r w:rsidR="00E60CF2">
        <w:rPr>
          <w:color w:val="E36C0A" w:themeColor="accent6" w:themeShade="BF"/>
          <w:sz w:val="24"/>
          <w:szCs w:val="24"/>
        </w:rPr>
        <w:t xml:space="preserve">for the space within a house, the space that </w:t>
      </w:r>
      <w:r w:rsidRPr="00530EE2">
        <w:rPr>
          <w:color w:val="E36C0A" w:themeColor="accent6" w:themeShade="BF"/>
          <w:sz w:val="24"/>
          <w:szCs w:val="24"/>
        </w:rPr>
        <w:t>is home</w:t>
      </w:r>
      <w:r w:rsidR="00E60CF2">
        <w:rPr>
          <w:color w:val="E36C0A" w:themeColor="accent6" w:themeShade="BF"/>
          <w:sz w:val="24"/>
          <w:szCs w:val="24"/>
        </w:rPr>
        <w:t xml:space="preserve"> and the space where </w:t>
      </w:r>
      <w:r w:rsidRPr="00530EE2">
        <w:rPr>
          <w:color w:val="E36C0A" w:themeColor="accent6" w:themeShade="BF"/>
          <w:sz w:val="24"/>
          <w:szCs w:val="24"/>
        </w:rPr>
        <w:t>social life</w:t>
      </w:r>
      <w:r w:rsidR="00E60CF2">
        <w:rPr>
          <w:color w:val="E36C0A" w:themeColor="accent6" w:themeShade="BF"/>
          <w:sz w:val="24"/>
          <w:szCs w:val="24"/>
        </w:rPr>
        <w:t xml:space="preserve"> is reproduced. In this sense h</w:t>
      </w:r>
      <w:r w:rsidRPr="00530EE2">
        <w:rPr>
          <w:color w:val="E36C0A" w:themeColor="accent6" w:themeShade="BF"/>
          <w:sz w:val="24"/>
          <w:szCs w:val="24"/>
        </w:rPr>
        <w:t xml:space="preserve">ousing </w:t>
      </w:r>
      <w:r w:rsidR="00E60CF2">
        <w:rPr>
          <w:color w:val="E36C0A" w:themeColor="accent6" w:themeShade="BF"/>
          <w:sz w:val="24"/>
          <w:szCs w:val="24"/>
        </w:rPr>
        <w:t>has</w:t>
      </w:r>
      <w:r w:rsidRPr="00530EE2">
        <w:rPr>
          <w:color w:val="E36C0A" w:themeColor="accent6" w:themeShade="BF"/>
          <w:sz w:val="24"/>
          <w:szCs w:val="24"/>
        </w:rPr>
        <w:t xml:space="preserve"> always </w:t>
      </w:r>
      <w:r w:rsidR="00E60CF2">
        <w:rPr>
          <w:color w:val="E36C0A" w:themeColor="accent6" w:themeShade="BF"/>
          <w:sz w:val="24"/>
          <w:szCs w:val="24"/>
        </w:rPr>
        <w:t xml:space="preserve">been </w:t>
      </w:r>
      <w:r w:rsidRPr="00530EE2">
        <w:rPr>
          <w:color w:val="E36C0A" w:themeColor="accent6" w:themeShade="BF"/>
          <w:sz w:val="24"/>
          <w:szCs w:val="24"/>
        </w:rPr>
        <w:t xml:space="preserve">the </w:t>
      </w:r>
      <w:r w:rsidR="00E60CF2">
        <w:rPr>
          <w:color w:val="E36C0A" w:themeColor="accent6" w:themeShade="BF"/>
          <w:sz w:val="24"/>
          <w:szCs w:val="24"/>
        </w:rPr>
        <w:t xml:space="preserve">space and </w:t>
      </w:r>
      <w:r w:rsidRPr="00530EE2">
        <w:rPr>
          <w:color w:val="E36C0A" w:themeColor="accent6" w:themeShade="BF"/>
          <w:sz w:val="24"/>
          <w:szCs w:val="24"/>
        </w:rPr>
        <w:t>place</w:t>
      </w:r>
      <w:r w:rsidR="00E60CF2">
        <w:rPr>
          <w:color w:val="E36C0A" w:themeColor="accent6" w:themeShade="BF"/>
          <w:sz w:val="24"/>
          <w:szCs w:val="24"/>
        </w:rPr>
        <w:t xml:space="preserve"> of </w:t>
      </w:r>
      <w:r w:rsidRPr="00530EE2">
        <w:rPr>
          <w:color w:val="E36C0A" w:themeColor="accent6" w:themeShade="BF"/>
          <w:sz w:val="24"/>
          <w:szCs w:val="24"/>
        </w:rPr>
        <w:t>responsibility for women</w:t>
      </w:r>
      <w:r w:rsidR="00E60CF2">
        <w:rPr>
          <w:color w:val="E36C0A" w:themeColor="accent6" w:themeShade="BF"/>
          <w:sz w:val="24"/>
          <w:szCs w:val="24"/>
        </w:rPr>
        <w:t>, a</w:t>
      </w:r>
      <w:r w:rsidRPr="00530EE2">
        <w:rPr>
          <w:color w:val="E36C0A" w:themeColor="accent6" w:themeShade="BF"/>
          <w:sz w:val="24"/>
          <w:szCs w:val="24"/>
        </w:rPr>
        <w:t>lso thought</w:t>
      </w:r>
      <w:r w:rsidR="00E60CF2">
        <w:rPr>
          <w:color w:val="E36C0A" w:themeColor="accent6" w:themeShade="BF"/>
          <w:sz w:val="24"/>
          <w:szCs w:val="24"/>
        </w:rPr>
        <w:t xml:space="preserve"> of as </w:t>
      </w:r>
      <w:r w:rsidR="00E60CF2" w:rsidRPr="00530EE2">
        <w:rPr>
          <w:color w:val="E36C0A" w:themeColor="accent6" w:themeShade="BF"/>
          <w:sz w:val="24"/>
          <w:szCs w:val="24"/>
        </w:rPr>
        <w:t>the space of "rest"</w:t>
      </w:r>
      <w:r w:rsidR="00E60CF2">
        <w:rPr>
          <w:color w:val="E36C0A" w:themeColor="accent6" w:themeShade="BF"/>
          <w:sz w:val="24"/>
          <w:szCs w:val="24"/>
        </w:rPr>
        <w:t xml:space="preserve"> in </w:t>
      </w:r>
      <w:r w:rsidR="00E60CF2" w:rsidRPr="00530EE2">
        <w:rPr>
          <w:color w:val="E36C0A" w:themeColor="accent6" w:themeShade="BF"/>
          <w:sz w:val="24"/>
          <w:szCs w:val="24"/>
        </w:rPr>
        <w:t>functional</w:t>
      </w:r>
      <w:r w:rsidRPr="00530EE2">
        <w:rPr>
          <w:color w:val="E36C0A" w:themeColor="accent6" w:themeShade="BF"/>
          <w:sz w:val="24"/>
          <w:szCs w:val="24"/>
        </w:rPr>
        <w:t xml:space="preserve"> and modern urbanism</w:t>
      </w:r>
      <w:r w:rsidR="00E60CF2">
        <w:rPr>
          <w:color w:val="E36C0A" w:themeColor="accent6" w:themeShade="BF"/>
          <w:sz w:val="24"/>
          <w:szCs w:val="24"/>
        </w:rPr>
        <w:t xml:space="preserve">. </w:t>
      </w:r>
    </w:p>
    <w:p w14:paraId="24DFB392" w14:textId="77777777" w:rsidR="00E60CF2" w:rsidRDefault="00E60CF2" w:rsidP="00845F8F">
      <w:pPr>
        <w:jc w:val="both"/>
        <w:rPr>
          <w:color w:val="E36C0A" w:themeColor="accent6" w:themeShade="BF"/>
          <w:sz w:val="24"/>
          <w:szCs w:val="24"/>
        </w:rPr>
      </w:pPr>
    </w:p>
    <w:p w14:paraId="0BB19146" w14:textId="77777777" w:rsidR="007C210B" w:rsidRDefault="00E60CF2" w:rsidP="00845F8F">
      <w:pPr>
        <w:jc w:val="both"/>
        <w:rPr>
          <w:color w:val="E36C0A" w:themeColor="accent6" w:themeShade="BF"/>
          <w:sz w:val="24"/>
          <w:szCs w:val="24"/>
        </w:rPr>
      </w:pPr>
      <w:r>
        <w:rPr>
          <w:color w:val="E36C0A" w:themeColor="accent6" w:themeShade="BF"/>
          <w:sz w:val="24"/>
          <w:szCs w:val="24"/>
        </w:rPr>
        <w:t>These</w:t>
      </w:r>
      <w:r w:rsidR="00845F8F" w:rsidRPr="00530EE2">
        <w:rPr>
          <w:color w:val="E36C0A" w:themeColor="accent6" w:themeShade="BF"/>
          <w:sz w:val="24"/>
          <w:szCs w:val="24"/>
        </w:rPr>
        <w:t xml:space="preserve"> </w:t>
      </w:r>
      <w:r>
        <w:rPr>
          <w:color w:val="E36C0A" w:themeColor="accent6" w:themeShade="BF"/>
          <w:sz w:val="24"/>
          <w:szCs w:val="24"/>
        </w:rPr>
        <w:t>c</w:t>
      </w:r>
      <w:r w:rsidR="00845F8F" w:rsidRPr="00530EE2">
        <w:rPr>
          <w:color w:val="E36C0A" w:themeColor="accent6" w:themeShade="BF"/>
          <w:sz w:val="24"/>
          <w:szCs w:val="24"/>
        </w:rPr>
        <w:t>onception</w:t>
      </w:r>
      <w:r>
        <w:rPr>
          <w:color w:val="E36C0A" w:themeColor="accent6" w:themeShade="BF"/>
          <w:sz w:val="24"/>
          <w:szCs w:val="24"/>
        </w:rPr>
        <w:t>s</w:t>
      </w:r>
      <w:r w:rsidR="00845F8F" w:rsidRPr="00530EE2">
        <w:rPr>
          <w:color w:val="E36C0A" w:themeColor="accent6" w:themeShade="BF"/>
          <w:sz w:val="24"/>
          <w:szCs w:val="24"/>
        </w:rPr>
        <w:t xml:space="preserve"> </w:t>
      </w:r>
      <w:r>
        <w:rPr>
          <w:color w:val="E36C0A" w:themeColor="accent6" w:themeShade="BF"/>
          <w:sz w:val="24"/>
          <w:szCs w:val="24"/>
        </w:rPr>
        <w:t>are</w:t>
      </w:r>
      <w:r w:rsidR="00845F8F" w:rsidRPr="00530EE2">
        <w:rPr>
          <w:color w:val="E36C0A" w:themeColor="accent6" w:themeShade="BF"/>
          <w:sz w:val="24"/>
          <w:szCs w:val="24"/>
        </w:rPr>
        <w:t xml:space="preserve"> based on </w:t>
      </w:r>
      <w:r>
        <w:rPr>
          <w:color w:val="E36C0A" w:themeColor="accent6" w:themeShade="BF"/>
          <w:sz w:val="24"/>
          <w:szCs w:val="24"/>
        </w:rPr>
        <w:t xml:space="preserve">the </w:t>
      </w:r>
      <w:r w:rsidR="00845F8F" w:rsidRPr="00530EE2">
        <w:rPr>
          <w:color w:val="E36C0A" w:themeColor="accent6" w:themeShade="BF"/>
          <w:sz w:val="24"/>
          <w:szCs w:val="24"/>
        </w:rPr>
        <w:t>principles of</w:t>
      </w:r>
      <w:r>
        <w:rPr>
          <w:color w:val="E36C0A" w:themeColor="accent6" w:themeShade="BF"/>
          <w:sz w:val="24"/>
          <w:szCs w:val="24"/>
        </w:rPr>
        <w:t xml:space="preserve"> modernity and</w:t>
      </w:r>
      <w:r w:rsidR="00845F8F" w:rsidRPr="00530EE2">
        <w:rPr>
          <w:color w:val="E36C0A" w:themeColor="accent6" w:themeShade="BF"/>
          <w:sz w:val="24"/>
          <w:szCs w:val="24"/>
        </w:rPr>
        <w:t xml:space="preserve"> the Charter of Athens </w:t>
      </w:r>
      <w:r>
        <w:rPr>
          <w:color w:val="E36C0A" w:themeColor="accent6" w:themeShade="BF"/>
          <w:sz w:val="24"/>
          <w:szCs w:val="24"/>
        </w:rPr>
        <w:t xml:space="preserve">which </w:t>
      </w:r>
      <w:r w:rsidR="00845F8F" w:rsidRPr="00530EE2">
        <w:rPr>
          <w:color w:val="E36C0A" w:themeColor="accent6" w:themeShade="BF"/>
          <w:sz w:val="24"/>
          <w:szCs w:val="24"/>
        </w:rPr>
        <w:t xml:space="preserve">places </w:t>
      </w:r>
      <w:r>
        <w:rPr>
          <w:color w:val="E36C0A" w:themeColor="accent6" w:themeShade="BF"/>
          <w:sz w:val="24"/>
          <w:szCs w:val="24"/>
        </w:rPr>
        <w:t xml:space="preserve">ideas of </w:t>
      </w:r>
      <w:r w:rsidR="00845F8F" w:rsidRPr="00530EE2">
        <w:rPr>
          <w:color w:val="E36C0A" w:themeColor="accent6" w:themeShade="BF"/>
          <w:sz w:val="24"/>
          <w:szCs w:val="24"/>
        </w:rPr>
        <w:t xml:space="preserve">housing and the city </w:t>
      </w:r>
      <w:r>
        <w:rPr>
          <w:color w:val="E36C0A" w:themeColor="accent6" w:themeShade="BF"/>
          <w:sz w:val="24"/>
          <w:szCs w:val="24"/>
        </w:rPr>
        <w:t>within the context of</w:t>
      </w:r>
      <w:r w:rsidR="00845F8F" w:rsidRPr="00530EE2">
        <w:rPr>
          <w:color w:val="E36C0A" w:themeColor="accent6" w:themeShade="BF"/>
          <w:sz w:val="24"/>
          <w:szCs w:val="24"/>
        </w:rPr>
        <w:t xml:space="preserve"> paid and masculinized employment. At the same time, it is women, responsible for reproduction and care, who, in general, are concerned with ensuring land and housing tenure. Territorial organization</w:t>
      </w:r>
      <w:r w:rsidR="007C210B">
        <w:rPr>
          <w:color w:val="E36C0A" w:themeColor="accent6" w:themeShade="BF"/>
          <w:sz w:val="24"/>
          <w:szCs w:val="24"/>
        </w:rPr>
        <w:t xml:space="preserve"> is </w:t>
      </w:r>
      <w:r w:rsidR="00845F8F" w:rsidRPr="00530EE2">
        <w:rPr>
          <w:color w:val="E36C0A" w:themeColor="accent6" w:themeShade="BF"/>
          <w:sz w:val="24"/>
          <w:szCs w:val="24"/>
        </w:rPr>
        <w:t>based on functionalism</w:t>
      </w:r>
      <w:r w:rsidR="007C210B">
        <w:rPr>
          <w:color w:val="E36C0A" w:themeColor="accent6" w:themeShade="BF"/>
          <w:sz w:val="24"/>
          <w:szCs w:val="24"/>
        </w:rPr>
        <w:t xml:space="preserve"> and </w:t>
      </w:r>
      <w:r w:rsidR="00845F8F" w:rsidRPr="00530EE2">
        <w:rPr>
          <w:color w:val="E36C0A" w:themeColor="accent6" w:themeShade="BF"/>
          <w:sz w:val="24"/>
          <w:szCs w:val="24"/>
        </w:rPr>
        <w:t>relie</w:t>
      </w:r>
      <w:r w:rsidR="007C210B">
        <w:rPr>
          <w:color w:val="E36C0A" w:themeColor="accent6" w:themeShade="BF"/>
          <w:sz w:val="24"/>
          <w:szCs w:val="24"/>
        </w:rPr>
        <w:t>s</w:t>
      </w:r>
      <w:r w:rsidR="00845F8F" w:rsidRPr="00530EE2">
        <w:rPr>
          <w:color w:val="E36C0A" w:themeColor="accent6" w:themeShade="BF"/>
          <w:sz w:val="24"/>
          <w:szCs w:val="24"/>
        </w:rPr>
        <w:t xml:space="preserve"> on the four known functions of housing, employment, leisure and transport</w:t>
      </w:r>
      <w:r w:rsidR="007C210B">
        <w:rPr>
          <w:color w:val="E36C0A" w:themeColor="accent6" w:themeShade="BF"/>
          <w:sz w:val="24"/>
          <w:szCs w:val="24"/>
        </w:rPr>
        <w:t xml:space="preserve">. It </w:t>
      </w:r>
      <w:r w:rsidR="00845F8F" w:rsidRPr="00530EE2">
        <w:rPr>
          <w:color w:val="E36C0A" w:themeColor="accent6" w:themeShade="BF"/>
          <w:sz w:val="24"/>
          <w:szCs w:val="24"/>
        </w:rPr>
        <w:t>has been defined in terms of homogeneous and masculine subjects</w:t>
      </w:r>
      <w:r w:rsidR="007C210B">
        <w:rPr>
          <w:color w:val="E36C0A" w:themeColor="accent6" w:themeShade="BF"/>
          <w:sz w:val="24"/>
          <w:szCs w:val="24"/>
        </w:rPr>
        <w:t xml:space="preserve"> most often comprising </w:t>
      </w:r>
      <w:r w:rsidR="00845F8F" w:rsidRPr="00530EE2">
        <w:rPr>
          <w:color w:val="E36C0A" w:themeColor="accent6" w:themeShade="BF"/>
          <w:sz w:val="24"/>
          <w:szCs w:val="24"/>
        </w:rPr>
        <w:t>young, white, productive</w:t>
      </w:r>
      <w:r w:rsidR="007C210B">
        <w:rPr>
          <w:color w:val="E36C0A" w:themeColor="accent6" w:themeShade="BF"/>
          <w:sz w:val="24"/>
          <w:szCs w:val="24"/>
        </w:rPr>
        <w:t xml:space="preserve"> males</w:t>
      </w:r>
      <w:r w:rsidR="00845F8F" w:rsidRPr="00530EE2">
        <w:rPr>
          <w:color w:val="E36C0A" w:themeColor="accent6" w:themeShade="BF"/>
          <w:sz w:val="24"/>
          <w:szCs w:val="24"/>
        </w:rPr>
        <w:t xml:space="preserve">. </w:t>
      </w:r>
    </w:p>
    <w:p w14:paraId="5BE2E00B" w14:textId="77777777" w:rsidR="007C210B" w:rsidRDefault="007C210B" w:rsidP="00845F8F">
      <w:pPr>
        <w:jc w:val="both"/>
        <w:rPr>
          <w:color w:val="E36C0A" w:themeColor="accent6" w:themeShade="BF"/>
          <w:sz w:val="24"/>
          <w:szCs w:val="24"/>
        </w:rPr>
      </w:pPr>
    </w:p>
    <w:p w14:paraId="22357057" w14:textId="090575C5" w:rsidR="00EE71DF" w:rsidRDefault="00845F8F" w:rsidP="00845F8F">
      <w:pPr>
        <w:jc w:val="both"/>
        <w:rPr>
          <w:color w:val="E36C0A" w:themeColor="accent6" w:themeShade="BF"/>
          <w:sz w:val="24"/>
          <w:szCs w:val="24"/>
        </w:rPr>
      </w:pPr>
      <w:r w:rsidRPr="00530EE2">
        <w:rPr>
          <w:color w:val="E36C0A" w:themeColor="accent6" w:themeShade="BF"/>
          <w:sz w:val="24"/>
          <w:szCs w:val="24"/>
        </w:rPr>
        <w:t>This vision of planning or land use has omitted women and denied reproductive work as such. Th</w:t>
      </w:r>
      <w:r w:rsidR="007C210B">
        <w:rPr>
          <w:color w:val="E36C0A" w:themeColor="accent6" w:themeShade="BF"/>
          <w:sz w:val="24"/>
          <w:szCs w:val="24"/>
        </w:rPr>
        <w:t>is</w:t>
      </w:r>
      <w:r w:rsidRPr="00530EE2">
        <w:rPr>
          <w:color w:val="E36C0A" w:themeColor="accent6" w:themeShade="BF"/>
          <w:sz w:val="24"/>
          <w:szCs w:val="24"/>
        </w:rPr>
        <w:t xml:space="preserve"> omission of gender results in a form of violence </w:t>
      </w:r>
      <w:r w:rsidR="007C210B">
        <w:rPr>
          <w:color w:val="E36C0A" w:themeColor="accent6" w:themeShade="BF"/>
          <w:sz w:val="24"/>
          <w:szCs w:val="24"/>
        </w:rPr>
        <w:t xml:space="preserve">expressed </w:t>
      </w:r>
      <w:r w:rsidRPr="00530EE2">
        <w:rPr>
          <w:color w:val="E36C0A" w:themeColor="accent6" w:themeShade="BF"/>
          <w:sz w:val="24"/>
          <w:szCs w:val="24"/>
        </w:rPr>
        <w:t xml:space="preserve">in the </w:t>
      </w:r>
      <w:proofErr w:type="spellStart"/>
      <w:r w:rsidRPr="00530EE2">
        <w:rPr>
          <w:color w:val="E36C0A" w:themeColor="accent6" w:themeShade="BF"/>
          <w:sz w:val="24"/>
          <w:szCs w:val="24"/>
        </w:rPr>
        <w:t>invisibil</w:t>
      </w:r>
      <w:r w:rsidR="007C210B">
        <w:rPr>
          <w:color w:val="E36C0A" w:themeColor="accent6" w:themeShade="BF"/>
          <w:sz w:val="24"/>
          <w:szCs w:val="24"/>
        </w:rPr>
        <w:t>isation</w:t>
      </w:r>
      <w:proofErr w:type="spellEnd"/>
      <w:r w:rsidRPr="00530EE2">
        <w:rPr>
          <w:color w:val="E36C0A" w:themeColor="accent6" w:themeShade="BF"/>
          <w:sz w:val="24"/>
          <w:szCs w:val="24"/>
        </w:rPr>
        <w:t xml:space="preserve"> of women and their complex identities and diversities, as well as other </w:t>
      </w:r>
      <w:r w:rsidR="007C210B">
        <w:rPr>
          <w:color w:val="E36C0A" w:themeColor="accent6" w:themeShade="BF"/>
          <w:sz w:val="24"/>
          <w:szCs w:val="24"/>
        </w:rPr>
        <w:t xml:space="preserve">segments of the population who identify as </w:t>
      </w:r>
      <w:r w:rsidRPr="00530EE2">
        <w:rPr>
          <w:color w:val="E36C0A" w:themeColor="accent6" w:themeShade="BF"/>
          <w:sz w:val="24"/>
          <w:szCs w:val="24"/>
        </w:rPr>
        <w:t>LG</w:t>
      </w:r>
      <w:r w:rsidR="007C210B">
        <w:rPr>
          <w:color w:val="E36C0A" w:themeColor="accent6" w:themeShade="BF"/>
          <w:sz w:val="24"/>
          <w:szCs w:val="24"/>
        </w:rPr>
        <w:t>B</w:t>
      </w:r>
      <w:r w:rsidRPr="00530EE2">
        <w:rPr>
          <w:color w:val="E36C0A" w:themeColor="accent6" w:themeShade="BF"/>
          <w:sz w:val="24"/>
          <w:szCs w:val="24"/>
        </w:rPr>
        <w:t>TQ</w:t>
      </w:r>
      <w:r w:rsidR="007C210B">
        <w:rPr>
          <w:color w:val="E36C0A" w:themeColor="accent6" w:themeShade="BF"/>
          <w:sz w:val="24"/>
          <w:szCs w:val="24"/>
        </w:rPr>
        <w:t>I</w:t>
      </w:r>
      <w:r w:rsidRPr="00530EE2">
        <w:rPr>
          <w:color w:val="E36C0A" w:themeColor="accent6" w:themeShade="BF"/>
          <w:sz w:val="24"/>
          <w:szCs w:val="24"/>
        </w:rPr>
        <w:t xml:space="preserve">+. </w:t>
      </w:r>
      <w:r w:rsidR="007C210B">
        <w:rPr>
          <w:color w:val="E36C0A" w:themeColor="accent6" w:themeShade="BF"/>
          <w:sz w:val="24"/>
          <w:szCs w:val="24"/>
        </w:rPr>
        <w:t>The</w:t>
      </w:r>
      <w:r w:rsidRPr="00530EE2">
        <w:rPr>
          <w:color w:val="E36C0A" w:themeColor="accent6" w:themeShade="BF"/>
          <w:sz w:val="24"/>
          <w:szCs w:val="24"/>
        </w:rPr>
        <w:t xml:space="preserve"> omission</w:t>
      </w:r>
      <w:r w:rsidR="007C210B">
        <w:rPr>
          <w:color w:val="E36C0A" w:themeColor="accent6" w:themeShade="BF"/>
          <w:sz w:val="24"/>
          <w:szCs w:val="24"/>
        </w:rPr>
        <w:t xml:space="preserve"> of a gender-sensitive approach</w:t>
      </w:r>
      <w:r w:rsidRPr="00530EE2">
        <w:rPr>
          <w:color w:val="E36C0A" w:themeColor="accent6" w:themeShade="BF"/>
          <w:sz w:val="24"/>
          <w:szCs w:val="24"/>
        </w:rPr>
        <w:t xml:space="preserve"> is not neutral</w:t>
      </w:r>
      <w:r w:rsidR="007C210B">
        <w:rPr>
          <w:color w:val="E36C0A" w:themeColor="accent6" w:themeShade="BF"/>
          <w:sz w:val="24"/>
          <w:szCs w:val="24"/>
        </w:rPr>
        <w:t>;</w:t>
      </w:r>
      <w:r w:rsidRPr="00530EE2">
        <w:rPr>
          <w:color w:val="E36C0A" w:themeColor="accent6" w:themeShade="BF"/>
          <w:sz w:val="24"/>
          <w:szCs w:val="24"/>
        </w:rPr>
        <w:t xml:space="preserve"> it is an undervaluation of women and diversities, and </w:t>
      </w:r>
      <w:r w:rsidR="007C210B">
        <w:rPr>
          <w:color w:val="E36C0A" w:themeColor="accent6" w:themeShade="BF"/>
          <w:sz w:val="24"/>
          <w:szCs w:val="24"/>
        </w:rPr>
        <w:t>demonstrates</w:t>
      </w:r>
      <w:r w:rsidRPr="00530EE2">
        <w:rPr>
          <w:color w:val="E36C0A" w:themeColor="accent6" w:themeShade="BF"/>
          <w:sz w:val="24"/>
          <w:szCs w:val="24"/>
        </w:rPr>
        <w:t xml:space="preserve"> the androcentric bias of </w:t>
      </w:r>
      <w:r w:rsidR="007C210B">
        <w:rPr>
          <w:color w:val="E36C0A" w:themeColor="accent6" w:themeShade="BF"/>
          <w:sz w:val="24"/>
          <w:szCs w:val="24"/>
        </w:rPr>
        <w:t>a</w:t>
      </w:r>
      <w:r w:rsidRPr="00530EE2">
        <w:rPr>
          <w:color w:val="E36C0A" w:themeColor="accent6" w:themeShade="BF"/>
          <w:sz w:val="24"/>
          <w:szCs w:val="24"/>
        </w:rPr>
        <w:t xml:space="preserve"> city's policies. Like land-use planning policies, housing policies deny women </w:t>
      </w:r>
      <w:r w:rsidRPr="00530EE2">
        <w:rPr>
          <w:color w:val="E36C0A" w:themeColor="accent6" w:themeShade="BF"/>
          <w:sz w:val="24"/>
          <w:szCs w:val="24"/>
        </w:rPr>
        <w:lastRenderedPageBreak/>
        <w:t xml:space="preserve">as </w:t>
      </w:r>
      <w:r w:rsidR="007C210B">
        <w:rPr>
          <w:color w:val="E36C0A" w:themeColor="accent6" w:themeShade="BF"/>
          <w:sz w:val="24"/>
          <w:szCs w:val="24"/>
        </w:rPr>
        <w:t xml:space="preserve">independent </w:t>
      </w:r>
      <w:r w:rsidRPr="00530EE2">
        <w:rPr>
          <w:color w:val="E36C0A" w:themeColor="accent6" w:themeShade="BF"/>
          <w:sz w:val="24"/>
          <w:szCs w:val="24"/>
        </w:rPr>
        <w:t>subjects of the policy</w:t>
      </w:r>
      <w:r w:rsidR="007C210B">
        <w:rPr>
          <w:color w:val="E36C0A" w:themeColor="accent6" w:themeShade="BF"/>
          <w:sz w:val="24"/>
          <w:szCs w:val="24"/>
        </w:rPr>
        <w:t>.</w:t>
      </w:r>
      <w:r w:rsidRPr="00530EE2">
        <w:rPr>
          <w:color w:val="E36C0A" w:themeColor="accent6" w:themeShade="BF"/>
          <w:sz w:val="24"/>
          <w:szCs w:val="24"/>
        </w:rPr>
        <w:t xml:space="preserve"> </w:t>
      </w:r>
      <w:r w:rsidR="007C210B">
        <w:rPr>
          <w:color w:val="E36C0A" w:themeColor="accent6" w:themeShade="BF"/>
          <w:sz w:val="24"/>
          <w:szCs w:val="24"/>
        </w:rPr>
        <w:t>Instead, policies</w:t>
      </w:r>
      <w:r w:rsidRPr="00530EE2">
        <w:rPr>
          <w:color w:val="E36C0A" w:themeColor="accent6" w:themeShade="BF"/>
          <w:sz w:val="24"/>
          <w:szCs w:val="24"/>
        </w:rPr>
        <w:t xml:space="preserve"> omit the</w:t>
      </w:r>
      <w:r w:rsidR="007C210B">
        <w:rPr>
          <w:color w:val="E36C0A" w:themeColor="accent6" w:themeShade="BF"/>
          <w:sz w:val="24"/>
          <w:szCs w:val="24"/>
        </w:rPr>
        <w:t xml:space="preserve"> </w:t>
      </w:r>
      <w:r w:rsidRPr="00530EE2">
        <w:rPr>
          <w:color w:val="E36C0A" w:themeColor="accent6" w:themeShade="BF"/>
          <w:sz w:val="24"/>
          <w:szCs w:val="24"/>
        </w:rPr>
        <w:t>specific demands</w:t>
      </w:r>
      <w:r w:rsidR="007C210B">
        <w:rPr>
          <w:color w:val="E36C0A" w:themeColor="accent6" w:themeShade="BF"/>
          <w:sz w:val="24"/>
          <w:szCs w:val="24"/>
        </w:rPr>
        <w:t xml:space="preserve"> </w:t>
      </w:r>
      <w:r w:rsidRPr="00530EE2">
        <w:rPr>
          <w:color w:val="E36C0A" w:themeColor="accent6" w:themeShade="BF"/>
          <w:sz w:val="24"/>
          <w:szCs w:val="24"/>
        </w:rPr>
        <w:t xml:space="preserve">and needs </w:t>
      </w:r>
      <w:r w:rsidR="007C210B">
        <w:rPr>
          <w:color w:val="E36C0A" w:themeColor="accent6" w:themeShade="BF"/>
          <w:sz w:val="24"/>
          <w:szCs w:val="24"/>
        </w:rPr>
        <w:t xml:space="preserve">of women which are </w:t>
      </w:r>
      <w:r w:rsidRPr="00530EE2">
        <w:rPr>
          <w:color w:val="E36C0A" w:themeColor="accent6" w:themeShade="BF"/>
          <w:sz w:val="24"/>
          <w:szCs w:val="24"/>
        </w:rPr>
        <w:t>related to their assigned conditions and roles</w:t>
      </w:r>
      <w:r w:rsidR="007C210B">
        <w:rPr>
          <w:color w:val="E36C0A" w:themeColor="accent6" w:themeShade="BF"/>
          <w:sz w:val="24"/>
          <w:szCs w:val="24"/>
        </w:rPr>
        <w:t xml:space="preserve">. These include the roles of women as </w:t>
      </w:r>
      <w:r w:rsidRPr="00530EE2">
        <w:rPr>
          <w:color w:val="E36C0A" w:themeColor="accent6" w:themeShade="BF"/>
          <w:sz w:val="24"/>
          <w:szCs w:val="24"/>
        </w:rPr>
        <w:t xml:space="preserve">caregivers </w:t>
      </w:r>
      <w:r w:rsidR="007C210B">
        <w:rPr>
          <w:color w:val="E36C0A" w:themeColor="accent6" w:themeShade="BF"/>
          <w:sz w:val="24"/>
          <w:szCs w:val="24"/>
        </w:rPr>
        <w:t>in</w:t>
      </w:r>
      <w:r w:rsidRPr="00530EE2">
        <w:rPr>
          <w:color w:val="E36C0A" w:themeColor="accent6" w:themeShade="BF"/>
          <w:sz w:val="24"/>
          <w:szCs w:val="24"/>
        </w:rPr>
        <w:t xml:space="preserve"> families</w:t>
      </w:r>
      <w:r w:rsidR="00EE71DF">
        <w:rPr>
          <w:color w:val="E36C0A" w:themeColor="accent6" w:themeShade="BF"/>
          <w:sz w:val="24"/>
          <w:szCs w:val="24"/>
        </w:rPr>
        <w:t>;</w:t>
      </w:r>
      <w:r w:rsidR="007C210B">
        <w:rPr>
          <w:color w:val="E36C0A" w:themeColor="accent6" w:themeShade="BF"/>
          <w:sz w:val="24"/>
          <w:szCs w:val="24"/>
        </w:rPr>
        <w:t xml:space="preserve"> the disproportionately lower employment rate of females</w:t>
      </w:r>
      <w:r w:rsidRPr="00530EE2">
        <w:rPr>
          <w:color w:val="E36C0A" w:themeColor="accent6" w:themeShade="BF"/>
          <w:sz w:val="24"/>
          <w:szCs w:val="24"/>
        </w:rPr>
        <w:t xml:space="preserve"> in the formal market</w:t>
      </w:r>
      <w:r w:rsidR="00EE71DF">
        <w:rPr>
          <w:color w:val="E36C0A" w:themeColor="accent6" w:themeShade="BF"/>
          <w:sz w:val="24"/>
          <w:szCs w:val="24"/>
        </w:rPr>
        <w:t>;</w:t>
      </w:r>
      <w:r w:rsidR="007C210B">
        <w:rPr>
          <w:color w:val="E36C0A" w:themeColor="accent6" w:themeShade="BF"/>
          <w:sz w:val="24"/>
          <w:szCs w:val="24"/>
        </w:rPr>
        <w:t xml:space="preserve"> the disproportionately higher </w:t>
      </w:r>
      <w:r w:rsidR="00EE71DF">
        <w:rPr>
          <w:color w:val="E36C0A" w:themeColor="accent6" w:themeShade="BF"/>
          <w:sz w:val="24"/>
          <w:szCs w:val="24"/>
        </w:rPr>
        <w:t>amount</w:t>
      </w:r>
      <w:r w:rsidR="007C210B">
        <w:rPr>
          <w:color w:val="E36C0A" w:themeColor="accent6" w:themeShade="BF"/>
          <w:sz w:val="24"/>
          <w:szCs w:val="24"/>
        </w:rPr>
        <w:t xml:space="preserve"> of </w:t>
      </w:r>
      <w:r w:rsidR="00EE71DF">
        <w:rPr>
          <w:color w:val="E36C0A" w:themeColor="accent6" w:themeShade="BF"/>
          <w:sz w:val="24"/>
          <w:szCs w:val="24"/>
        </w:rPr>
        <w:t xml:space="preserve">female workers </w:t>
      </w:r>
      <w:r w:rsidRPr="00530EE2">
        <w:rPr>
          <w:color w:val="E36C0A" w:themeColor="accent6" w:themeShade="BF"/>
          <w:sz w:val="24"/>
          <w:szCs w:val="24"/>
        </w:rPr>
        <w:t xml:space="preserve">in the informal </w:t>
      </w:r>
      <w:r w:rsidR="007C210B">
        <w:rPr>
          <w:color w:val="E36C0A" w:themeColor="accent6" w:themeShade="BF"/>
          <w:sz w:val="24"/>
          <w:szCs w:val="24"/>
        </w:rPr>
        <w:t xml:space="preserve">and service </w:t>
      </w:r>
      <w:r w:rsidRPr="00530EE2">
        <w:rPr>
          <w:color w:val="E36C0A" w:themeColor="accent6" w:themeShade="BF"/>
          <w:sz w:val="24"/>
          <w:szCs w:val="24"/>
        </w:rPr>
        <w:t>market</w:t>
      </w:r>
      <w:r w:rsidR="007C210B">
        <w:rPr>
          <w:color w:val="E36C0A" w:themeColor="accent6" w:themeShade="BF"/>
          <w:sz w:val="24"/>
          <w:szCs w:val="24"/>
        </w:rPr>
        <w:t>s</w:t>
      </w:r>
      <w:r w:rsidR="00EE71DF">
        <w:rPr>
          <w:color w:val="E36C0A" w:themeColor="accent6" w:themeShade="BF"/>
          <w:sz w:val="24"/>
          <w:szCs w:val="24"/>
        </w:rPr>
        <w:t xml:space="preserve">; the </w:t>
      </w:r>
      <w:r w:rsidRPr="00530EE2">
        <w:rPr>
          <w:color w:val="E36C0A" w:themeColor="accent6" w:themeShade="BF"/>
          <w:sz w:val="24"/>
          <w:szCs w:val="24"/>
        </w:rPr>
        <w:t xml:space="preserve">30% </w:t>
      </w:r>
      <w:r w:rsidR="00EE71DF">
        <w:rPr>
          <w:color w:val="E36C0A" w:themeColor="accent6" w:themeShade="BF"/>
          <w:sz w:val="24"/>
          <w:szCs w:val="24"/>
        </w:rPr>
        <w:t xml:space="preserve">average of </w:t>
      </w:r>
      <w:r w:rsidRPr="00530EE2">
        <w:rPr>
          <w:color w:val="E36C0A" w:themeColor="accent6" w:themeShade="BF"/>
          <w:sz w:val="24"/>
          <w:szCs w:val="24"/>
        </w:rPr>
        <w:t xml:space="preserve">households </w:t>
      </w:r>
      <w:r w:rsidR="00EE71DF">
        <w:rPr>
          <w:color w:val="E36C0A" w:themeColor="accent6" w:themeShade="BF"/>
          <w:sz w:val="24"/>
          <w:szCs w:val="24"/>
        </w:rPr>
        <w:t xml:space="preserve">and dependants for whom </w:t>
      </w:r>
      <w:r w:rsidRPr="00530EE2">
        <w:rPr>
          <w:color w:val="E36C0A" w:themeColor="accent6" w:themeShade="BF"/>
          <w:sz w:val="24"/>
          <w:szCs w:val="24"/>
        </w:rPr>
        <w:t>women are solely responsibl</w:t>
      </w:r>
      <w:r w:rsidR="00EE71DF">
        <w:rPr>
          <w:color w:val="E36C0A" w:themeColor="accent6" w:themeShade="BF"/>
          <w:sz w:val="24"/>
          <w:szCs w:val="24"/>
        </w:rPr>
        <w:t xml:space="preserve">e and the proportionately higher rate at which women use urban </w:t>
      </w:r>
      <w:r w:rsidRPr="00530EE2">
        <w:rPr>
          <w:color w:val="E36C0A" w:themeColor="accent6" w:themeShade="BF"/>
          <w:sz w:val="24"/>
          <w:szCs w:val="24"/>
        </w:rPr>
        <w:t>services and infrastructure</w:t>
      </w:r>
      <w:r w:rsidR="00EE71DF">
        <w:rPr>
          <w:color w:val="E36C0A" w:themeColor="accent6" w:themeShade="BF"/>
          <w:sz w:val="24"/>
          <w:szCs w:val="24"/>
        </w:rPr>
        <w:t xml:space="preserve"> in comparison to men. </w:t>
      </w:r>
      <w:r w:rsidRPr="00530EE2">
        <w:rPr>
          <w:color w:val="E36C0A" w:themeColor="accent6" w:themeShade="BF"/>
          <w:sz w:val="24"/>
          <w:szCs w:val="24"/>
        </w:rPr>
        <w:t>By ignoring the specific needs of women, housing policy reproduces asymmetric relationships</w:t>
      </w:r>
      <w:r w:rsidR="00EE71DF">
        <w:rPr>
          <w:color w:val="E36C0A" w:themeColor="accent6" w:themeShade="BF"/>
          <w:sz w:val="24"/>
          <w:szCs w:val="24"/>
        </w:rPr>
        <w:t xml:space="preserve"> of subordination</w:t>
      </w:r>
      <w:r w:rsidRPr="00530EE2">
        <w:rPr>
          <w:color w:val="E36C0A" w:themeColor="accent6" w:themeShade="BF"/>
          <w:sz w:val="24"/>
          <w:szCs w:val="24"/>
        </w:rPr>
        <w:t xml:space="preserve"> in </w:t>
      </w:r>
      <w:r w:rsidR="00EE71DF">
        <w:rPr>
          <w:color w:val="E36C0A" w:themeColor="accent6" w:themeShade="BF"/>
          <w:sz w:val="24"/>
          <w:szCs w:val="24"/>
        </w:rPr>
        <w:t>terms of</w:t>
      </w:r>
      <w:r w:rsidRPr="00530EE2">
        <w:rPr>
          <w:color w:val="E36C0A" w:themeColor="accent6" w:themeShade="BF"/>
          <w:sz w:val="24"/>
          <w:szCs w:val="24"/>
        </w:rPr>
        <w:t xml:space="preserve"> location, </w:t>
      </w:r>
      <w:r w:rsidR="00EE71DF">
        <w:rPr>
          <w:color w:val="E36C0A" w:themeColor="accent6" w:themeShade="BF"/>
          <w:sz w:val="24"/>
          <w:szCs w:val="24"/>
        </w:rPr>
        <w:t>approaches to policy</w:t>
      </w:r>
      <w:r w:rsidRPr="00530EE2">
        <w:rPr>
          <w:color w:val="E36C0A" w:themeColor="accent6" w:themeShade="BF"/>
          <w:sz w:val="24"/>
          <w:szCs w:val="24"/>
        </w:rPr>
        <w:t xml:space="preserve"> produc</w:t>
      </w:r>
      <w:r w:rsidR="00EE71DF">
        <w:rPr>
          <w:color w:val="E36C0A" w:themeColor="accent6" w:themeShade="BF"/>
          <w:sz w:val="24"/>
          <w:szCs w:val="24"/>
        </w:rPr>
        <w:t>tion</w:t>
      </w:r>
      <w:r w:rsidRPr="00530EE2">
        <w:rPr>
          <w:color w:val="E36C0A" w:themeColor="accent6" w:themeShade="BF"/>
          <w:sz w:val="24"/>
          <w:szCs w:val="24"/>
        </w:rPr>
        <w:t xml:space="preserve">, types of housing units, number of </w:t>
      </w:r>
      <w:r w:rsidR="00EE71DF">
        <w:rPr>
          <w:color w:val="E36C0A" w:themeColor="accent6" w:themeShade="BF"/>
          <w:sz w:val="24"/>
          <w:szCs w:val="24"/>
        </w:rPr>
        <w:t>square metres</w:t>
      </w:r>
      <w:r w:rsidRPr="00530EE2">
        <w:rPr>
          <w:color w:val="E36C0A" w:themeColor="accent6" w:themeShade="BF"/>
          <w:sz w:val="24"/>
          <w:szCs w:val="24"/>
        </w:rPr>
        <w:t xml:space="preserve"> per person, services that complement them, accessibility, </w:t>
      </w:r>
      <w:r w:rsidR="00EE71DF">
        <w:rPr>
          <w:color w:val="E36C0A" w:themeColor="accent6" w:themeShade="BF"/>
          <w:sz w:val="24"/>
          <w:szCs w:val="24"/>
        </w:rPr>
        <w:t xml:space="preserve">security and the proximity of </w:t>
      </w:r>
      <w:r w:rsidRPr="00530EE2">
        <w:rPr>
          <w:color w:val="E36C0A" w:themeColor="accent6" w:themeShade="BF"/>
          <w:sz w:val="24"/>
          <w:szCs w:val="24"/>
        </w:rPr>
        <w:t>public spaces and their equipmen</w:t>
      </w:r>
      <w:r w:rsidR="00EE71DF">
        <w:rPr>
          <w:color w:val="E36C0A" w:themeColor="accent6" w:themeShade="BF"/>
          <w:sz w:val="24"/>
          <w:szCs w:val="24"/>
        </w:rPr>
        <w:t xml:space="preserve">t, amongst </w:t>
      </w:r>
      <w:r w:rsidRPr="00530EE2">
        <w:rPr>
          <w:color w:val="E36C0A" w:themeColor="accent6" w:themeShade="BF"/>
          <w:sz w:val="24"/>
          <w:szCs w:val="24"/>
        </w:rPr>
        <w:t xml:space="preserve">others. </w:t>
      </w:r>
    </w:p>
    <w:p w14:paraId="2513F0B1" w14:textId="77777777" w:rsidR="00EE71DF" w:rsidRDefault="00EE71DF" w:rsidP="00845F8F">
      <w:pPr>
        <w:jc w:val="both"/>
        <w:rPr>
          <w:color w:val="E36C0A" w:themeColor="accent6" w:themeShade="BF"/>
          <w:sz w:val="24"/>
          <w:szCs w:val="24"/>
        </w:rPr>
      </w:pPr>
    </w:p>
    <w:p w14:paraId="4B5F318B" w14:textId="5C0B1647" w:rsidR="00AD5801" w:rsidRDefault="00845F8F" w:rsidP="00845F8F">
      <w:pPr>
        <w:jc w:val="both"/>
        <w:rPr>
          <w:color w:val="E36C0A" w:themeColor="accent6" w:themeShade="BF"/>
          <w:sz w:val="24"/>
          <w:szCs w:val="24"/>
        </w:rPr>
      </w:pPr>
      <w:r w:rsidRPr="00530EE2">
        <w:rPr>
          <w:color w:val="E36C0A" w:themeColor="accent6" w:themeShade="BF"/>
          <w:sz w:val="24"/>
          <w:szCs w:val="24"/>
        </w:rPr>
        <w:t>What has been briefly pointed out</w:t>
      </w:r>
      <w:r w:rsidR="00EE71DF">
        <w:rPr>
          <w:color w:val="E36C0A" w:themeColor="accent6" w:themeShade="BF"/>
          <w:sz w:val="24"/>
          <w:szCs w:val="24"/>
        </w:rPr>
        <w:t xml:space="preserve"> here, indicates</w:t>
      </w:r>
      <w:r w:rsidRPr="00530EE2">
        <w:rPr>
          <w:color w:val="E36C0A" w:themeColor="accent6" w:themeShade="BF"/>
          <w:sz w:val="24"/>
          <w:szCs w:val="24"/>
        </w:rPr>
        <w:t xml:space="preserve"> the need for diagnoses, as political tools, when designing housing policies. </w:t>
      </w:r>
      <w:r w:rsidR="00EE71DF">
        <w:rPr>
          <w:color w:val="E36C0A" w:themeColor="accent6" w:themeShade="BF"/>
          <w:sz w:val="24"/>
          <w:szCs w:val="24"/>
        </w:rPr>
        <w:t xml:space="preserve">Such diagnoses break </w:t>
      </w:r>
      <w:r w:rsidRPr="00530EE2">
        <w:rPr>
          <w:color w:val="E36C0A" w:themeColor="accent6" w:themeShade="BF"/>
          <w:sz w:val="24"/>
          <w:szCs w:val="24"/>
        </w:rPr>
        <w:t>the supposed neutrality with which cities and housing policies are planned</w:t>
      </w:r>
      <w:r w:rsidR="00AD5801">
        <w:rPr>
          <w:color w:val="E36C0A" w:themeColor="accent6" w:themeShade="BF"/>
          <w:sz w:val="24"/>
          <w:szCs w:val="24"/>
        </w:rPr>
        <w:t xml:space="preserve">, often </w:t>
      </w:r>
      <w:r w:rsidR="00AD5801" w:rsidRPr="00530EE2">
        <w:rPr>
          <w:color w:val="E36C0A" w:themeColor="accent6" w:themeShade="BF"/>
          <w:sz w:val="24"/>
          <w:szCs w:val="24"/>
        </w:rPr>
        <w:t>for a</w:t>
      </w:r>
      <w:r w:rsidR="00AD5801">
        <w:rPr>
          <w:color w:val="E36C0A" w:themeColor="accent6" w:themeShade="BF"/>
          <w:sz w:val="24"/>
          <w:szCs w:val="24"/>
        </w:rPr>
        <w:t>n undifferentiated</w:t>
      </w:r>
      <w:r w:rsidR="00AD5801" w:rsidRPr="00530EE2">
        <w:rPr>
          <w:color w:val="E36C0A" w:themeColor="accent6" w:themeShade="BF"/>
          <w:sz w:val="24"/>
          <w:szCs w:val="24"/>
        </w:rPr>
        <w:t xml:space="preserve"> population</w:t>
      </w:r>
      <w:r w:rsidR="00AD5801">
        <w:rPr>
          <w:color w:val="E36C0A" w:themeColor="accent6" w:themeShade="BF"/>
          <w:sz w:val="24"/>
          <w:szCs w:val="24"/>
        </w:rPr>
        <w:t xml:space="preserve">. They also break the supposed neutrality of spatial design which is mostly based on masculine </w:t>
      </w:r>
      <w:r w:rsidRPr="00530EE2">
        <w:rPr>
          <w:color w:val="E36C0A" w:themeColor="accent6" w:themeShade="BF"/>
          <w:sz w:val="24"/>
          <w:szCs w:val="24"/>
        </w:rPr>
        <w:t>concept</w:t>
      </w:r>
      <w:r w:rsidR="00AD5801">
        <w:rPr>
          <w:color w:val="E36C0A" w:themeColor="accent6" w:themeShade="BF"/>
          <w:sz w:val="24"/>
          <w:szCs w:val="24"/>
        </w:rPr>
        <w:t>ualisations or understandings of f</w:t>
      </w:r>
      <w:r w:rsidRPr="00530EE2">
        <w:rPr>
          <w:color w:val="E36C0A" w:themeColor="accent6" w:themeShade="BF"/>
          <w:sz w:val="24"/>
          <w:szCs w:val="24"/>
        </w:rPr>
        <w:t>amily, parents</w:t>
      </w:r>
      <w:r w:rsidR="00AD5801">
        <w:rPr>
          <w:color w:val="E36C0A" w:themeColor="accent6" w:themeShade="BF"/>
          <w:sz w:val="24"/>
          <w:szCs w:val="24"/>
        </w:rPr>
        <w:t xml:space="preserve"> and </w:t>
      </w:r>
      <w:r w:rsidRPr="00530EE2">
        <w:rPr>
          <w:color w:val="E36C0A" w:themeColor="accent6" w:themeShade="BF"/>
          <w:sz w:val="24"/>
          <w:szCs w:val="24"/>
        </w:rPr>
        <w:t>children</w:t>
      </w:r>
      <w:r w:rsidR="00AD5801">
        <w:rPr>
          <w:color w:val="E36C0A" w:themeColor="accent6" w:themeShade="BF"/>
          <w:sz w:val="24"/>
          <w:szCs w:val="24"/>
        </w:rPr>
        <w:t xml:space="preserve">, lacking </w:t>
      </w:r>
      <w:r w:rsidRPr="00530EE2">
        <w:rPr>
          <w:color w:val="E36C0A" w:themeColor="accent6" w:themeShade="BF"/>
          <w:sz w:val="24"/>
          <w:szCs w:val="24"/>
        </w:rPr>
        <w:t>recogni</w:t>
      </w:r>
      <w:r w:rsidR="00AD5801">
        <w:rPr>
          <w:color w:val="E36C0A" w:themeColor="accent6" w:themeShade="BF"/>
          <w:sz w:val="24"/>
          <w:szCs w:val="24"/>
        </w:rPr>
        <w:t>tion of</w:t>
      </w:r>
      <w:r w:rsidRPr="00530EE2">
        <w:rPr>
          <w:color w:val="E36C0A" w:themeColor="accent6" w:themeShade="BF"/>
          <w:sz w:val="24"/>
          <w:szCs w:val="24"/>
        </w:rPr>
        <w:t xml:space="preserve"> the differentiated </w:t>
      </w:r>
      <w:r w:rsidR="00D17FFD">
        <w:rPr>
          <w:color w:val="E36C0A" w:themeColor="accent6" w:themeShade="BF"/>
          <w:sz w:val="24"/>
          <w:szCs w:val="24"/>
        </w:rPr>
        <w:t>way</w:t>
      </w:r>
      <w:r w:rsidR="00AD5801">
        <w:rPr>
          <w:color w:val="E36C0A" w:themeColor="accent6" w:themeShade="BF"/>
          <w:sz w:val="24"/>
          <w:szCs w:val="24"/>
        </w:rPr>
        <w:t xml:space="preserve"> people </w:t>
      </w:r>
      <w:r w:rsidRPr="00530EE2">
        <w:rPr>
          <w:color w:val="E36C0A" w:themeColor="accent6" w:themeShade="BF"/>
          <w:sz w:val="24"/>
          <w:szCs w:val="24"/>
        </w:rPr>
        <w:t>make</w:t>
      </w:r>
      <w:r w:rsidR="00AD5801">
        <w:rPr>
          <w:color w:val="E36C0A" w:themeColor="accent6" w:themeShade="BF"/>
          <w:sz w:val="24"/>
          <w:szCs w:val="24"/>
        </w:rPr>
        <w:t xml:space="preserve"> use</w:t>
      </w:r>
      <w:r w:rsidRPr="00530EE2">
        <w:rPr>
          <w:color w:val="E36C0A" w:themeColor="accent6" w:themeShade="BF"/>
          <w:sz w:val="24"/>
          <w:szCs w:val="24"/>
        </w:rPr>
        <w:t xml:space="preserve"> of housing units </w:t>
      </w:r>
      <w:r w:rsidR="00AD5801">
        <w:rPr>
          <w:color w:val="E36C0A" w:themeColor="accent6" w:themeShade="BF"/>
          <w:sz w:val="24"/>
          <w:szCs w:val="24"/>
        </w:rPr>
        <w:t>related</w:t>
      </w:r>
      <w:r w:rsidRPr="00530EE2">
        <w:rPr>
          <w:color w:val="E36C0A" w:themeColor="accent6" w:themeShade="BF"/>
          <w:sz w:val="24"/>
          <w:szCs w:val="24"/>
        </w:rPr>
        <w:t xml:space="preserve"> to the</w:t>
      </w:r>
      <w:r w:rsidR="00AD5801">
        <w:rPr>
          <w:color w:val="E36C0A" w:themeColor="accent6" w:themeShade="BF"/>
          <w:sz w:val="24"/>
          <w:szCs w:val="24"/>
        </w:rPr>
        <w:t>ir</w:t>
      </w:r>
      <w:r w:rsidRPr="00530EE2">
        <w:rPr>
          <w:color w:val="E36C0A" w:themeColor="accent6" w:themeShade="BF"/>
          <w:sz w:val="24"/>
          <w:szCs w:val="24"/>
        </w:rPr>
        <w:t xml:space="preserve"> assumed sex, age or cultural guidelines that define </w:t>
      </w:r>
      <w:r w:rsidR="00AD5801">
        <w:rPr>
          <w:color w:val="E36C0A" w:themeColor="accent6" w:themeShade="BF"/>
          <w:sz w:val="24"/>
          <w:szCs w:val="24"/>
        </w:rPr>
        <w:t xml:space="preserve">approaches to </w:t>
      </w:r>
      <w:r w:rsidRPr="00530EE2">
        <w:rPr>
          <w:color w:val="E36C0A" w:themeColor="accent6" w:themeShade="BF"/>
          <w:sz w:val="24"/>
          <w:szCs w:val="24"/>
        </w:rPr>
        <w:t xml:space="preserve">class, ethnicity, race, </w:t>
      </w:r>
      <w:r w:rsidR="00D17FFD" w:rsidRPr="00530EE2">
        <w:rPr>
          <w:color w:val="E36C0A" w:themeColor="accent6" w:themeShade="BF"/>
          <w:sz w:val="24"/>
          <w:szCs w:val="24"/>
        </w:rPr>
        <w:t>migr</w:t>
      </w:r>
      <w:r w:rsidR="00D17FFD">
        <w:rPr>
          <w:color w:val="E36C0A" w:themeColor="accent6" w:themeShade="BF"/>
          <w:sz w:val="24"/>
          <w:szCs w:val="24"/>
        </w:rPr>
        <w:t>ation,</w:t>
      </w:r>
      <w:r w:rsidR="00AD5801">
        <w:rPr>
          <w:color w:val="E36C0A" w:themeColor="accent6" w:themeShade="BF"/>
          <w:sz w:val="24"/>
          <w:szCs w:val="24"/>
        </w:rPr>
        <w:t xml:space="preserve"> and others. As such, h</w:t>
      </w:r>
      <w:r w:rsidRPr="00530EE2">
        <w:rPr>
          <w:color w:val="E36C0A" w:themeColor="accent6" w:themeShade="BF"/>
          <w:sz w:val="24"/>
          <w:szCs w:val="24"/>
        </w:rPr>
        <w:t xml:space="preserve">omes </w:t>
      </w:r>
      <w:r w:rsidR="00AD5801">
        <w:rPr>
          <w:color w:val="E36C0A" w:themeColor="accent6" w:themeShade="BF"/>
          <w:sz w:val="24"/>
          <w:szCs w:val="24"/>
        </w:rPr>
        <w:t xml:space="preserve">are </w:t>
      </w:r>
      <w:r w:rsidRPr="00530EE2">
        <w:rPr>
          <w:color w:val="E36C0A" w:themeColor="accent6" w:themeShade="BF"/>
          <w:sz w:val="24"/>
          <w:szCs w:val="24"/>
        </w:rPr>
        <w:t xml:space="preserve">designed for a homogeneous society and </w:t>
      </w:r>
      <w:r w:rsidR="00AD5801">
        <w:rPr>
          <w:color w:val="E36C0A" w:themeColor="accent6" w:themeShade="BF"/>
          <w:sz w:val="24"/>
          <w:szCs w:val="24"/>
        </w:rPr>
        <w:t>largely</w:t>
      </w:r>
      <w:r w:rsidRPr="00530EE2">
        <w:rPr>
          <w:color w:val="E36C0A" w:themeColor="accent6" w:themeShade="BF"/>
          <w:sz w:val="24"/>
          <w:szCs w:val="24"/>
        </w:rPr>
        <w:t xml:space="preserve"> respond to heteronormativ</w:t>
      </w:r>
      <w:r w:rsidR="00AD5801">
        <w:rPr>
          <w:color w:val="E36C0A" w:themeColor="accent6" w:themeShade="BF"/>
          <w:sz w:val="24"/>
          <w:szCs w:val="24"/>
        </w:rPr>
        <w:t>e</w:t>
      </w:r>
      <w:r w:rsidRPr="00530EE2">
        <w:rPr>
          <w:color w:val="E36C0A" w:themeColor="accent6" w:themeShade="BF"/>
          <w:sz w:val="24"/>
          <w:szCs w:val="24"/>
        </w:rPr>
        <w:t xml:space="preserve"> guidelines</w:t>
      </w:r>
      <w:r w:rsidR="00AD5801">
        <w:rPr>
          <w:color w:val="E36C0A" w:themeColor="accent6" w:themeShade="BF"/>
          <w:sz w:val="24"/>
          <w:szCs w:val="24"/>
        </w:rPr>
        <w:t xml:space="preserve"> that are </w:t>
      </w:r>
      <w:r w:rsidRPr="00530EE2">
        <w:rPr>
          <w:color w:val="E36C0A" w:themeColor="accent6" w:themeShade="BF"/>
          <w:sz w:val="24"/>
          <w:szCs w:val="24"/>
        </w:rPr>
        <w:t xml:space="preserve">defined by </w:t>
      </w:r>
      <w:r w:rsidR="00AD5801">
        <w:rPr>
          <w:color w:val="E36C0A" w:themeColor="accent6" w:themeShade="BF"/>
          <w:sz w:val="24"/>
          <w:szCs w:val="24"/>
        </w:rPr>
        <w:t>a</w:t>
      </w:r>
      <w:r w:rsidRPr="00530EE2">
        <w:rPr>
          <w:color w:val="E36C0A" w:themeColor="accent6" w:themeShade="BF"/>
          <w:sz w:val="24"/>
          <w:szCs w:val="24"/>
        </w:rPr>
        <w:t xml:space="preserve"> patriarchal society. </w:t>
      </w:r>
    </w:p>
    <w:p w14:paraId="7925CEA5" w14:textId="77777777" w:rsidR="00AD5801" w:rsidRDefault="00AD5801" w:rsidP="00845F8F">
      <w:pPr>
        <w:jc w:val="both"/>
        <w:rPr>
          <w:color w:val="E36C0A" w:themeColor="accent6" w:themeShade="BF"/>
          <w:sz w:val="24"/>
          <w:szCs w:val="24"/>
        </w:rPr>
      </w:pPr>
    </w:p>
    <w:p w14:paraId="6EBC8FED" w14:textId="3641BEAA" w:rsidR="00845F8F" w:rsidRDefault="00845F8F" w:rsidP="00845F8F">
      <w:pPr>
        <w:jc w:val="both"/>
        <w:rPr>
          <w:color w:val="E36C0A" w:themeColor="accent6" w:themeShade="BF"/>
          <w:sz w:val="24"/>
          <w:szCs w:val="24"/>
        </w:rPr>
      </w:pPr>
      <w:r w:rsidRPr="00530EE2">
        <w:rPr>
          <w:color w:val="E36C0A" w:themeColor="accent6" w:themeShade="BF"/>
          <w:sz w:val="24"/>
          <w:szCs w:val="24"/>
        </w:rPr>
        <w:t>Thus, polic</w:t>
      </w:r>
      <w:r w:rsidR="00AD5801">
        <w:rPr>
          <w:color w:val="E36C0A" w:themeColor="accent6" w:themeShade="BF"/>
          <w:sz w:val="24"/>
          <w:szCs w:val="24"/>
        </w:rPr>
        <w:t>ies are</w:t>
      </w:r>
      <w:r w:rsidRPr="00530EE2">
        <w:rPr>
          <w:color w:val="E36C0A" w:themeColor="accent6" w:themeShade="BF"/>
          <w:sz w:val="24"/>
          <w:szCs w:val="24"/>
        </w:rPr>
        <w:t xml:space="preserve"> structured based on the concept of demand in a system that recognizes heterosexual nuclear households, </w:t>
      </w:r>
      <w:r w:rsidR="00AD5801">
        <w:rPr>
          <w:color w:val="E36C0A" w:themeColor="accent6" w:themeShade="BF"/>
          <w:sz w:val="24"/>
          <w:szCs w:val="24"/>
        </w:rPr>
        <w:t>consisting</w:t>
      </w:r>
      <w:r w:rsidRPr="00530EE2">
        <w:rPr>
          <w:color w:val="E36C0A" w:themeColor="accent6" w:themeShade="BF"/>
          <w:sz w:val="24"/>
          <w:szCs w:val="24"/>
        </w:rPr>
        <w:t xml:space="preserve"> of a typical famil</w:t>
      </w:r>
      <w:r w:rsidR="00AD5801">
        <w:rPr>
          <w:color w:val="E36C0A" w:themeColor="accent6" w:themeShade="BF"/>
          <w:sz w:val="24"/>
          <w:szCs w:val="24"/>
        </w:rPr>
        <w:t>y and</w:t>
      </w:r>
      <w:r w:rsidRPr="00530EE2">
        <w:rPr>
          <w:color w:val="E36C0A" w:themeColor="accent6" w:themeShade="BF"/>
          <w:sz w:val="24"/>
          <w:szCs w:val="24"/>
        </w:rPr>
        <w:t xml:space="preserve"> respond</w:t>
      </w:r>
      <w:r w:rsidR="00AD5801">
        <w:rPr>
          <w:color w:val="E36C0A" w:themeColor="accent6" w:themeShade="BF"/>
          <w:sz w:val="24"/>
          <w:szCs w:val="24"/>
        </w:rPr>
        <w:t>ing</w:t>
      </w:r>
      <w:r w:rsidRPr="00530EE2">
        <w:rPr>
          <w:color w:val="E36C0A" w:themeColor="accent6" w:themeShade="BF"/>
          <w:sz w:val="24"/>
          <w:szCs w:val="24"/>
        </w:rPr>
        <w:t xml:space="preserve"> to the traditional division of </w:t>
      </w:r>
      <w:proofErr w:type="spellStart"/>
      <w:r w:rsidRPr="00530EE2">
        <w:rPr>
          <w:color w:val="E36C0A" w:themeColor="accent6" w:themeShade="BF"/>
          <w:sz w:val="24"/>
          <w:szCs w:val="24"/>
        </w:rPr>
        <w:t>labor</w:t>
      </w:r>
      <w:proofErr w:type="spellEnd"/>
      <w:r w:rsidR="00AD5801">
        <w:rPr>
          <w:color w:val="E36C0A" w:themeColor="accent6" w:themeShade="BF"/>
          <w:sz w:val="24"/>
          <w:szCs w:val="24"/>
        </w:rPr>
        <w:t xml:space="preserve"> where</w:t>
      </w:r>
      <w:r w:rsidRPr="00530EE2">
        <w:rPr>
          <w:color w:val="E36C0A" w:themeColor="accent6" w:themeShade="BF"/>
          <w:sz w:val="24"/>
          <w:szCs w:val="24"/>
        </w:rPr>
        <w:t xml:space="preserve"> men </w:t>
      </w:r>
      <w:r w:rsidR="00AD5801">
        <w:rPr>
          <w:color w:val="E36C0A" w:themeColor="accent6" w:themeShade="BF"/>
          <w:sz w:val="24"/>
          <w:szCs w:val="24"/>
        </w:rPr>
        <w:t xml:space="preserve">are </w:t>
      </w:r>
      <w:r w:rsidRPr="00530EE2">
        <w:rPr>
          <w:color w:val="E36C0A" w:themeColor="accent6" w:themeShade="BF"/>
          <w:sz w:val="24"/>
          <w:szCs w:val="24"/>
        </w:rPr>
        <w:t>linked to productive work and women as sole</w:t>
      </w:r>
      <w:r w:rsidR="00AD5801">
        <w:rPr>
          <w:color w:val="E36C0A" w:themeColor="accent6" w:themeShade="BF"/>
          <w:sz w:val="24"/>
          <w:szCs w:val="24"/>
        </w:rPr>
        <w:t>ly</w:t>
      </w:r>
      <w:r w:rsidRPr="00530EE2">
        <w:rPr>
          <w:color w:val="E36C0A" w:themeColor="accent6" w:themeShade="BF"/>
          <w:sz w:val="24"/>
          <w:szCs w:val="24"/>
        </w:rPr>
        <w:t xml:space="preserve"> responsible for domestic </w:t>
      </w:r>
      <w:r w:rsidR="00AD5801">
        <w:rPr>
          <w:color w:val="E36C0A" w:themeColor="accent6" w:themeShade="BF"/>
          <w:sz w:val="24"/>
          <w:szCs w:val="24"/>
        </w:rPr>
        <w:t xml:space="preserve">and reproductive </w:t>
      </w:r>
      <w:r w:rsidRPr="00530EE2">
        <w:rPr>
          <w:color w:val="E36C0A" w:themeColor="accent6" w:themeShade="BF"/>
          <w:sz w:val="24"/>
          <w:szCs w:val="24"/>
        </w:rPr>
        <w:t xml:space="preserve">work. </w:t>
      </w:r>
      <w:r w:rsidR="00AD5801">
        <w:rPr>
          <w:color w:val="E36C0A" w:themeColor="accent6" w:themeShade="BF"/>
          <w:sz w:val="24"/>
          <w:szCs w:val="24"/>
        </w:rPr>
        <w:t xml:space="preserve">This approach </w:t>
      </w:r>
      <w:r w:rsidRPr="00530EE2">
        <w:rPr>
          <w:color w:val="E36C0A" w:themeColor="accent6" w:themeShade="BF"/>
          <w:sz w:val="24"/>
          <w:szCs w:val="24"/>
        </w:rPr>
        <w:t>does not recognize that households are not homogeneous in terms of family structure and make</w:t>
      </w:r>
      <w:r w:rsidR="00AD5801">
        <w:rPr>
          <w:color w:val="E36C0A" w:themeColor="accent6" w:themeShade="BF"/>
          <w:sz w:val="24"/>
          <w:szCs w:val="24"/>
        </w:rPr>
        <w:t>s</w:t>
      </w:r>
      <w:r w:rsidRPr="00530EE2">
        <w:rPr>
          <w:color w:val="E36C0A" w:themeColor="accent6" w:themeShade="BF"/>
          <w:sz w:val="24"/>
          <w:szCs w:val="24"/>
        </w:rPr>
        <w:t xml:space="preserve"> gender and diversit</w:t>
      </w:r>
      <w:r w:rsidR="00AD5801">
        <w:rPr>
          <w:color w:val="E36C0A" w:themeColor="accent6" w:themeShade="BF"/>
          <w:sz w:val="24"/>
          <w:szCs w:val="24"/>
        </w:rPr>
        <w:t>y in sexual orientation</w:t>
      </w:r>
      <w:r w:rsidRPr="00530EE2">
        <w:rPr>
          <w:color w:val="E36C0A" w:themeColor="accent6" w:themeShade="BF"/>
          <w:sz w:val="24"/>
          <w:szCs w:val="24"/>
        </w:rPr>
        <w:t xml:space="preserve"> invisible. </w:t>
      </w:r>
      <w:r w:rsidR="00AD5801">
        <w:rPr>
          <w:color w:val="E36C0A" w:themeColor="accent6" w:themeShade="BF"/>
          <w:sz w:val="24"/>
          <w:szCs w:val="24"/>
        </w:rPr>
        <w:t>It does</w:t>
      </w:r>
      <w:r w:rsidRPr="00530EE2">
        <w:rPr>
          <w:color w:val="E36C0A" w:themeColor="accent6" w:themeShade="BF"/>
          <w:sz w:val="24"/>
          <w:szCs w:val="24"/>
        </w:rPr>
        <w:t xml:space="preserve"> not meet differentiated needs according to household</w:t>
      </w:r>
      <w:r w:rsidR="00D17FFD">
        <w:rPr>
          <w:color w:val="E36C0A" w:themeColor="accent6" w:themeShade="BF"/>
          <w:sz w:val="24"/>
          <w:szCs w:val="24"/>
        </w:rPr>
        <w:t xml:space="preserve"> type</w:t>
      </w:r>
      <w:r w:rsidRPr="00530EE2">
        <w:rPr>
          <w:color w:val="E36C0A" w:themeColor="accent6" w:themeShade="BF"/>
          <w:sz w:val="24"/>
          <w:szCs w:val="24"/>
        </w:rPr>
        <w:t>, number of persons responsible for th</w:t>
      </w:r>
      <w:r w:rsidR="00D17FFD">
        <w:rPr>
          <w:color w:val="E36C0A" w:themeColor="accent6" w:themeShade="BF"/>
          <w:sz w:val="24"/>
          <w:szCs w:val="24"/>
        </w:rPr>
        <w:t>e household</w:t>
      </w:r>
      <w:r w:rsidRPr="00530EE2">
        <w:rPr>
          <w:color w:val="E36C0A" w:themeColor="accent6" w:themeShade="BF"/>
          <w:sz w:val="24"/>
          <w:szCs w:val="24"/>
        </w:rPr>
        <w:t xml:space="preserve"> and number of dependents.</w:t>
      </w:r>
    </w:p>
    <w:p w14:paraId="133C5807" w14:textId="77777777" w:rsidR="00D17FFD" w:rsidRDefault="00D17FFD" w:rsidP="00845F8F">
      <w:pPr>
        <w:jc w:val="both"/>
        <w:rPr>
          <w:color w:val="E36C0A" w:themeColor="accent6" w:themeShade="BF"/>
          <w:sz w:val="24"/>
          <w:szCs w:val="24"/>
        </w:rPr>
      </w:pPr>
    </w:p>
    <w:p w14:paraId="508A496B" w14:textId="4652D775" w:rsidR="00D17FFD" w:rsidRPr="00530EE2" w:rsidRDefault="00D17FFD" w:rsidP="00845F8F">
      <w:pPr>
        <w:jc w:val="both"/>
        <w:rPr>
          <w:color w:val="E36C0A" w:themeColor="accent6" w:themeShade="BF"/>
          <w:sz w:val="24"/>
          <w:szCs w:val="24"/>
        </w:rPr>
      </w:pPr>
      <w:r>
        <w:rPr>
          <w:color w:val="E36C0A" w:themeColor="accent6" w:themeShade="BF"/>
          <w:sz w:val="24"/>
          <w:szCs w:val="24"/>
        </w:rPr>
        <w:lastRenderedPageBreak/>
        <w:t>Various</w:t>
      </w:r>
      <w:r w:rsidR="00845F8F" w:rsidRPr="00530EE2">
        <w:rPr>
          <w:color w:val="E36C0A" w:themeColor="accent6" w:themeShade="BF"/>
          <w:sz w:val="24"/>
          <w:szCs w:val="24"/>
        </w:rPr>
        <w:t xml:space="preserve"> feminist architects, sociologists, lawyers, and </w:t>
      </w:r>
      <w:r>
        <w:rPr>
          <w:color w:val="E36C0A" w:themeColor="accent6" w:themeShade="BF"/>
          <w:sz w:val="24"/>
          <w:szCs w:val="24"/>
        </w:rPr>
        <w:t>professionals have</w:t>
      </w:r>
      <w:r w:rsidR="00845F8F" w:rsidRPr="00530EE2">
        <w:rPr>
          <w:color w:val="E36C0A" w:themeColor="accent6" w:themeShade="BF"/>
          <w:sz w:val="24"/>
          <w:szCs w:val="24"/>
        </w:rPr>
        <w:t xml:space="preserve"> contribute</w:t>
      </w:r>
      <w:r>
        <w:rPr>
          <w:color w:val="E36C0A" w:themeColor="accent6" w:themeShade="BF"/>
          <w:sz w:val="24"/>
          <w:szCs w:val="24"/>
        </w:rPr>
        <w:t>d</w:t>
      </w:r>
      <w:r w:rsidR="00845F8F" w:rsidRPr="00530EE2">
        <w:rPr>
          <w:color w:val="E36C0A" w:themeColor="accent6" w:themeShade="BF"/>
          <w:sz w:val="24"/>
          <w:szCs w:val="24"/>
        </w:rPr>
        <w:t xml:space="preserve"> to housing and gender studies. </w:t>
      </w:r>
      <w:r>
        <w:rPr>
          <w:color w:val="E36C0A" w:themeColor="accent6" w:themeShade="BF"/>
          <w:sz w:val="24"/>
          <w:szCs w:val="24"/>
        </w:rPr>
        <w:t xml:space="preserve">These include authors such as </w:t>
      </w:r>
      <w:proofErr w:type="spellStart"/>
      <w:r w:rsidR="00845F8F" w:rsidRPr="00530EE2">
        <w:rPr>
          <w:color w:val="E36C0A" w:themeColor="accent6" w:themeShade="BF"/>
          <w:sz w:val="24"/>
          <w:szCs w:val="24"/>
        </w:rPr>
        <w:t>Dalmazzo</w:t>
      </w:r>
      <w:proofErr w:type="spellEnd"/>
      <w:r w:rsidR="00845F8F" w:rsidRPr="00530EE2">
        <w:rPr>
          <w:color w:val="E36C0A" w:themeColor="accent6" w:themeShade="BF"/>
          <w:sz w:val="24"/>
          <w:szCs w:val="24"/>
        </w:rPr>
        <w:t xml:space="preserve">, Cardona, </w:t>
      </w:r>
      <w:proofErr w:type="spellStart"/>
      <w:r w:rsidR="00845F8F" w:rsidRPr="00530EE2">
        <w:rPr>
          <w:color w:val="E36C0A" w:themeColor="accent6" w:themeShade="BF"/>
          <w:sz w:val="24"/>
          <w:szCs w:val="24"/>
        </w:rPr>
        <w:t>Falú</w:t>
      </w:r>
      <w:proofErr w:type="spellEnd"/>
      <w:r w:rsidR="00845F8F" w:rsidRPr="00530EE2">
        <w:rPr>
          <w:color w:val="E36C0A" w:themeColor="accent6" w:themeShade="BF"/>
          <w:sz w:val="24"/>
          <w:szCs w:val="24"/>
        </w:rPr>
        <w:t xml:space="preserve">, </w:t>
      </w:r>
      <w:proofErr w:type="spellStart"/>
      <w:r w:rsidR="00845F8F" w:rsidRPr="00530EE2">
        <w:rPr>
          <w:color w:val="E36C0A" w:themeColor="accent6" w:themeShade="BF"/>
          <w:sz w:val="24"/>
          <w:szCs w:val="24"/>
        </w:rPr>
        <w:t>Feijoo</w:t>
      </w:r>
      <w:proofErr w:type="spellEnd"/>
      <w:r w:rsidR="00845F8F" w:rsidRPr="00530EE2">
        <w:rPr>
          <w:color w:val="E36C0A" w:themeColor="accent6" w:themeShade="BF"/>
          <w:sz w:val="24"/>
          <w:szCs w:val="24"/>
        </w:rPr>
        <w:t xml:space="preserve">, </w:t>
      </w:r>
      <w:proofErr w:type="spellStart"/>
      <w:r w:rsidR="00845F8F" w:rsidRPr="00530EE2">
        <w:rPr>
          <w:color w:val="E36C0A" w:themeColor="accent6" w:themeShade="BF"/>
          <w:sz w:val="24"/>
          <w:szCs w:val="24"/>
        </w:rPr>
        <w:t>Rainero</w:t>
      </w:r>
      <w:proofErr w:type="spellEnd"/>
      <w:r w:rsidR="00845F8F" w:rsidRPr="00530EE2">
        <w:rPr>
          <w:color w:val="E36C0A" w:themeColor="accent6" w:themeShade="BF"/>
          <w:sz w:val="24"/>
          <w:szCs w:val="24"/>
        </w:rPr>
        <w:t>, Melendez</w:t>
      </w:r>
      <w:r>
        <w:rPr>
          <w:color w:val="E36C0A" w:themeColor="accent6" w:themeShade="BF"/>
          <w:sz w:val="24"/>
          <w:szCs w:val="24"/>
        </w:rPr>
        <w:t xml:space="preserve"> who have built</w:t>
      </w:r>
      <w:r w:rsidR="00845F8F" w:rsidRPr="00530EE2">
        <w:rPr>
          <w:color w:val="E36C0A" w:themeColor="accent6" w:themeShade="BF"/>
          <w:sz w:val="24"/>
          <w:szCs w:val="24"/>
        </w:rPr>
        <w:t xml:space="preserve"> an argumentative basis to account for structural gaps of inequality between men and women</w:t>
      </w:r>
      <w:r>
        <w:rPr>
          <w:color w:val="E36C0A" w:themeColor="accent6" w:themeShade="BF"/>
          <w:sz w:val="24"/>
          <w:szCs w:val="24"/>
        </w:rPr>
        <w:t xml:space="preserve">, not only in </w:t>
      </w:r>
      <w:r w:rsidR="00845F8F" w:rsidRPr="00530EE2">
        <w:rPr>
          <w:color w:val="E36C0A" w:themeColor="accent6" w:themeShade="BF"/>
          <w:sz w:val="24"/>
          <w:szCs w:val="24"/>
        </w:rPr>
        <w:t>polic</w:t>
      </w:r>
      <w:r>
        <w:rPr>
          <w:color w:val="E36C0A" w:themeColor="accent6" w:themeShade="BF"/>
          <w:sz w:val="24"/>
          <w:szCs w:val="24"/>
        </w:rPr>
        <w:t xml:space="preserve">y but </w:t>
      </w:r>
      <w:r w:rsidR="00845F8F" w:rsidRPr="00530EE2">
        <w:rPr>
          <w:color w:val="E36C0A" w:themeColor="accent6" w:themeShade="BF"/>
          <w:sz w:val="24"/>
          <w:szCs w:val="24"/>
        </w:rPr>
        <w:t>also</w:t>
      </w:r>
      <w:r>
        <w:rPr>
          <w:color w:val="E36C0A" w:themeColor="accent6" w:themeShade="BF"/>
          <w:sz w:val="24"/>
          <w:szCs w:val="24"/>
        </w:rPr>
        <w:t xml:space="preserve"> in</w:t>
      </w:r>
      <w:r w:rsidR="00845F8F" w:rsidRPr="00530EE2">
        <w:rPr>
          <w:color w:val="E36C0A" w:themeColor="accent6" w:themeShade="BF"/>
          <w:sz w:val="24"/>
          <w:szCs w:val="24"/>
        </w:rPr>
        <w:t xml:space="preserve"> </w:t>
      </w:r>
      <w:r>
        <w:rPr>
          <w:color w:val="E36C0A" w:themeColor="accent6" w:themeShade="BF"/>
          <w:sz w:val="24"/>
          <w:szCs w:val="24"/>
        </w:rPr>
        <w:t>terms of</w:t>
      </w:r>
      <w:r w:rsidR="00845F8F" w:rsidRPr="00530EE2">
        <w:rPr>
          <w:color w:val="E36C0A" w:themeColor="accent6" w:themeShade="BF"/>
          <w:sz w:val="24"/>
          <w:szCs w:val="24"/>
        </w:rPr>
        <w:t xml:space="preserve"> ​​social production of habitat</w:t>
      </w:r>
      <w:r>
        <w:rPr>
          <w:color w:val="E36C0A" w:themeColor="accent6" w:themeShade="BF"/>
          <w:sz w:val="24"/>
          <w:szCs w:val="24"/>
        </w:rPr>
        <w:t xml:space="preserve">. The social production of habitat is practiced </w:t>
      </w:r>
      <w:r w:rsidR="00845F8F" w:rsidRPr="00530EE2">
        <w:rPr>
          <w:color w:val="E36C0A" w:themeColor="accent6" w:themeShade="BF"/>
          <w:sz w:val="24"/>
          <w:szCs w:val="24"/>
        </w:rPr>
        <w:t xml:space="preserve">in Latin America and internationally (see </w:t>
      </w:r>
      <w:hyperlink r:id="rId11" w:history="1">
        <w:r w:rsidRPr="003B3F9F">
          <w:rPr>
            <w:rStyle w:val="Hyperlink"/>
            <w:sz w:val="24"/>
            <w:szCs w:val="24"/>
          </w:rPr>
          <w:t>www.hic.org</w:t>
        </w:r>
      </w:hyperlink>
      <w:r w:rsidR="00845F8F" w:rsidRPr="00530EE2">
        <w:rPr>
          <w:color w:val="E36C0A" w:themeColor="accent6" w:themeShade="BF"/>
          <w:sz w:val="24"/>
          <w:szCs w:val="24"/>
        </w:rPr>
        <w:t>)</w:t>
      </w:r>
      <w:r>
        <w:rPr>
          <w:color w:val="E36C0A" w:themeColor="accent6" w:themeShade="BF"/>
          <w:sz w:val="24"/>
          <w:szCs w:val="24"/>
        </w:rPr>
        <w:t xml:space="preserve"> and acknowledges how </w:t>
      </w:r>
      <w:r w:rsidR="00845F8F" w:rsidRPr="00530EE2">
        <w:rPr>
          <w:color w:val="E36C0A" w:themeColor="accent6" w:themeShade="BF"/>
          <w:sz w:val="24"/>
          <w:szCs w:val="24"/>
        </w:rPr>
        <w:t xml:space="preserve">the absence of women as subjects </w:t>
      </w:r>
      <w:r>
        <w:rPr>
          <w:color w:val="E36C0A" w:themeColor="accent6" w:themeShade="BF"/>
          <w:sz w:val="24"/>
          <w:szCs w:val="24"/>
        </w:rPr>
        <w:t xml:space="preserve">in the political arena, and a lack of differentiating women’s </w:t>
      </w:r>
      <w:r w:rsidR="00845F8F" w:rsidRPr="00530EE2">
        <w:rPr>
          <w:color w:val="E36C0A" w:themeColor="accent6" w:themeShade="BF"/>
          <w:sz w:val="24"/>
          <w:szCs w:val="24"/>
        </w:rPr>
        <w:t xml:space="preserve">specific needs from </w:t>
      </w:r>
      <w:r>
        <w:rPr>
          <w:color w:val="E36C0A" w:themeColor="accent6" w:themeShade="BF"/>
          <w:sz w:val="24"/>
          <w:szCs w:val="24"/>
        </w:rPr>
        <w:t xml:space="preserve">those of </w:t>
      </w:r>
      <w:r w:rsidR="00845F8F" w:rsidRPr="00530EE2">
        <w:rPr>
          <w:color w:val="E36C0A" w:themeColor="accent6" w:themeShade="BF"/>
          <w:sz w:val="24"/>
          <w:szCs w:val="24"/>
        </w:rPr>
        <w:t>men, deepen</w:t>
      </w:r>
      <w:r>
        <w:rPr>
          <w:color w:val="E36C0A" w:themeColor="accent6" w:themeShade="BF"/>
          <w:sz w:val="24"/>
          <w:szCs w:val="24"/>
        </w:rPr>
        <w:t>s</w:t>
      </w:r>
      <w:r w:rsidR="00845F8F" w:rsidRPr="00530EE2">
        <w:rPr>
          <w:color w:val="E36C0A" w:themeColor="accent6" w:themeShade="BF"/>
          <w:sz w:val="24"/>
          <w:szCs w:val="24"/>
        </w:rPr>
        <w:t xml:space="preserve"> existing asymmetries (</w:t>
      </w:r>
      <w:proofErr w:type="spellStart"/>
      <w:r w:rsidR="00845F8F" w:rsidRPr="00530EE2">
        <w:rPr>
          <w:color w:val="E36C0A" w:themeColor="accent6" w:themeShade="BF"/>
          <w:sz w:val="24"/>
          <w:szCs w:val="24"/>
        </w:rPr>
        <w:t>Falú</w:t>
      </w:r>
      <w:proofErr w:type="spellEnd"/>
      <w:r w:rsidR="00845F8F" w:rsidRPr="00530EE2">
        <w:rPr>
          <w:color w:val="E36C0A" w:themeColor="accent6" w:themeShade="BF"/>
          <w:sz w:val="24"/>
          <w:szCs w:val="24"/>
        </w:rPr>
        <w:t xml:space="preserve"> Ana, AFD Consulting, 2019).</w:t>
      </w:r>
      <w:r>
        <w:rPr>
          <w:color w:val="E36C0A" w:themeColor="accent6" w:themeShade="BF"/>
          <w:sz w:val="24"/>
          <w:szCs w:val="24"/>
        </w:rPr>
        <w:t xml:space="preserve"> </w:t>
      </w:r>
      <w:r w:rsidRPr="00530EE2">
        <w:rPr>
          <w:color w:val="E36C0A" w:themeColor="accent6" w:themeShade="BF"/>
          <w:sz w:val="24"/>
          <w:szCs w:val="24"/>
        </w:rPr>
        <w:t>Noteworthy</w:t>
      </w:r>
      <w:r>
        <w:rPr>
          <w:color w:val="E36C0A" w:themeColor="accent6" w:themeShade="BF"/>
          <w:sz w:val="24"/>
          <w:szCs w:val="24"/>
        </w:rPr>
        <w:t xml:space="preserve"> in this regard,</w:t>
      </w:r>
      <w:r w:rsidRPr="00530EE2">
        <w:rPr>
          <w:color w:val="E36C0A" w:themeColor="accent6" w:themeShade="BF"/>
          <w:sz w:val="24"/>
          <w:szCs w:val="24"/>
        </w:rPr>
        <w:t xml:space="preserve"> is </w:t>
      </w:r>
      <w:r>
        <w:rPr>
          <w:color w:val="E36C0A" w:themeColor="accent6" w:themeShade="BF"/>
          <w:sz w:val="24"/>
          <w:szCs w:val="24"/>
        </w:rPr>
        <w:t xml:space="preserve">also </w:t>
      </w:r>
      <w:r w:rsidRPr="00530EE2">
        <w:rPr>
          <w:color w:val="E36C0A" w:themeColor="accent6" w:themeShade="BF"/>
          <w:sz w:val="24"/>
          <w:szCs w:val="24"/>
        </w:rPr>
        <w:t xml:space="preserve">the work </w:t>
      </w:r>
      <w:r>
        <w:rPr>
          <w:color w:val="E36C0A" w:themeColor="accent6" w:themeShade="BF"/>
          <w:sz w:val="24"/>
          <w:szCs w:val="24"/>
        </w:rPr>
        <w:t xml:space="preserve">of </w:t>
      </w:r>
      <w:r w:rsidRPr="00530EE2">
        <w:rPr>
          <w:color w:val="E36C0A" w:themeColor="accent6" w:themeShade="BF"/>
          <w:sz w:val="24"/>
          <w:szCs w:val="24"/>
        </w:rPr>
        <w:t>the Latin American Women and Habitat Network (www.redmujer.org.ar).</w:t>
      </w:r>
    </w:p>
    <w:p w14:paraId="03FEA40B" w14:textId="77777777" w:rsidR="00A21FE3" w:rsidRPr="00530EE2" w:rsidRDefault="00A21FE3" w:rsidP="000344F8">
      <w:pPr>
        <w:jc w:val="both"/>
        <w:rPr>
          <w:color w:val="E36C0A" w:themeColor="accent6" w:themeShade="BF"/>
          <w:sz w:val="24"/>
          <w:szCs w:val="24"/>
        </w:rPr>
      </w:pPr>
    </w:p>
    <w:p w14:paraId="0CCAC0F0" w14:textId="1FECE190" w:rsidR="00A21FE3" w:rsidRPr="00530EE2" w:rsidRDefault="00D17FFD" w:rsidP="00E92353">
      <w:pPr>
        <w:jc w:val="both"/>
        <w:rPr>
          <w:color w:val="E36C0A" w:themeColor="accent6" w:themeShade="BF"/>
          <w:sz w:val="24"/>
          <w:szCs w:val="24"/>
        </w:rPr>
      </w:pPr>
      <w:r>
        <w:rPr>
          <w:color w:val="E36C0A" w:themeColor="accent6" w:themeShade="BF"/>
          <w:sz w:val="24"/>
          <w:szCs w:val="24"/>
        </w:rPr>
        <w:t>In Latin America, t</w:t>
      </w:r>
      <w:r w:rsidR="00A21FE3" w:rsidRPr="00530EE2">
        <w:rPr>
          <w:color w:val="E36C0A" w:themeColor="accent6" w:themeShade="BF"/>
          <w:sz w:val="24"/>
          <w:szCs w:val="24"/>
        </w:rPr>
        <w:t>he most discriminated population</w:t>
      </w:r>
      <w:r>
        <w:rPr>
          <w:color w:val="E36C0A" w:themeColor="accent6" w:themeShade="BF"/>
          <w:sz w:val="24"/>
          <w:szCs w:val="24"/>
        </w:rPr>
        <w:t>s</w:t>
      </w:r>
      <w:r w:rsidR="00A21FE3" w:rsidRPr="00530EE2">
        <w:rPr>
          <w:color w:val="E36C0A" w:themeColor="accent6" w:themeShade="BF"/>
          <w:sz w:val="24"/>
          <w:szCs w:val="24"/>
        </w:rPr>
        <w:t xml:space="preserve"> in the region in terms of access to housing are migrants, refugees and internally displaced persons who, except for some exceptions, are not covered by national programs </w:t>
      </w:r>
      <w:r>
        <w:rPr>
          <w:color w:val="E36C0A" w:themeColor="accent6" w:themeShade="BF"/>
          <w:sz w:val="24"/>
          <w:szCs w:val="24"/>
        </w:rPr>
        <w:t>in terms of housing</w:t>
      </w:r>
      <w:r w:rsidR="00A21FE3" w:rsidRPr="00530EE2">
        <w:rPr>
          <w:color w:val="E36C0A" w:themeColor="accent6" w:themeShade="BF"/>
          <w:sz w:val="24"/>
          <w:szCs w:val="24"/>
        </w:rPr>
        <w:t xml:space="preserve"> access. </w:t>
      </w:r>
      <w:r w:rsidR="00171E49">
        <w:rPr>
          <w:color w:val="E36C0A" w:themeColor="accent6" w:themeShade="BF"/>
          <w:sz w:val="24"/>
          <w:szCs w:val="24"/>
        </w:rPr>
        <w:t xml:space="preserve">As HIC members in Latin America </w:t>
      </w:r>
      <w:r w:rsidR="00A21FE3" w:rsidRPr="00530EE2">
        <w:rPr>
          <w:color w:val="E36C0A" w:themeColor="accent6" w:themeShade="BF"/>
          <w:sz w:val="24"/>
          <w:szCs w:val="24"/>
        </w:rPr>
        <w:t>do not work specifically from this approach,</w:t>
      </w:r>
      <w:r w:rsidR="00171E49">
        <w:rPr>
          <w:color w:val="E36C0A" w:themeColor="accent6" w:themeShade="BF"/>
          <w:sz w:val="24"/>
          <w:szCs w:val="24"/>
        </w:rPr>
        <w:t xml:space="preserve"> the contributions from HIC Latin America </w:t>
      </w:r>
      <w:r w:rsidR="00A21FE3" w:rsidRPr="00530EE2">
        <w:rPr>
          <w:color w:val="E36C0A" w:themeColor="accent6" w:themeShade="BF"/>
          <w:sz w:val="24"/>
          <w:szCs w:val="24"/>
        </w:rPr>
        <w:t>will no</w:t>
      </w:r>
      <w:r w:rsidR="00171E49">
        <w:rPr>
          <w:color w:val="E36C0A" w:themeColor="accent6" w:themeShade="BF"/>
          <w:sz w:val="24"/>
          <w:szCs w:val="24"/>
        </w:rPr>
        <w:t>t contain further elaborations</w:t>
      </w:r>
      <w:r w:rsidR="00A21FE3" w:rsidRPr="00530EE2">
        <w:rPr>
          <w:color w:val="E36C0A" w:themeColor="accent6" w:themeShade="BF"/>
          <w:sz w:val="24"/>
          <w:szCs w:val="24"/>
        </w:rPr>
        <w:t xml:space="preserve"> on this line. </w:t>
      </w:r>
    </w:p>
    <w:p w14:paraId="2F293721" w14:textId="77777777" w:rsidR="00226F79" w:rsidRPr="00226F79" w:rsidRDefault="00226F79" w:rsidP="00226F79">
      <w:pPr>
        <w:jc w:val="both"/>
        <w:rPr>
          <w:sz w:val="24"/>
          <w:szCs w:val="24"/>
        </w:rPr>
      </w:pPr>
    </w:p>
    <w:p w14:paraId="5B34C88D" w14:textId="4CC85CE8" w:rsidR="00226F79" w:rsidRDefault="00226F79" w:rsidP="00226F79">
      <w:pPr>
        <w:jc w:val="both"/>
        <w:rPr>
          <w:sz w:val="24"/>
          <w:szCs w:val="24"/>
        </w:rPr>
      </w:pPr>
      <w:r w:rsidRPr="00226F79">
        <w:rPr>
          <w:sz w:val="24"/>
          <w:szCs w:val="24"/>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14:paraId="3DA11B34" w14:textId="689D7B72" w:rsidR="007D215C" w:rsidRDefault="007D215C" w:rsidP="00226F79">
      <w:pPr>
        <w:jc w:val="both"/>
        <w:rPr>
          <w:sz w:val="24"/>
          <w:szCs w:val="24"/>
        </w:rPr>
      </w:pPr>
    </w:p>
    <w:p w14:paraId="7C95B148" w14:textId="095FF3D4" w:rsidR="007D215C" w:rsidRPr="007D215C" w:rsidRDefault="007D215C" w:rsidP="00226F79">
      <w:pPr>
        <w:jc w:val="both"/>
        <w:rPr>
          <w:b/>
          <w:bCs/>
          <w:color w:val="E36C0A" w:themeColor="accent6" w:themeShade="BF"/>
          <w:sz w:val="24"/>
          <w:szCs w:val="24"/>
          <w:u w:val="single"/>
        </w:rPr>
      </w:pPr>
      <w:r w:rsidRPr="007D215C">
        <w:rPr>
          <w:b/>
          <w:bCs/>
          <w:color w:val="E36C0A" w:themeColor="accent6" w:themeShade="BF"/>
          <w:sz w:val="24"/>
          <w:szCs w:val="24"/>
          <w:u w:val="single"/>
        </w:rPr>
        <w:t>India</w:t>
      </w:r>
    </w:p>
    <w:p w14:paraId="34FA42D3" w14:textId="61879893" w:rsidR="007D215C" w:rsidRPr="007D215C" w:rsidRDefault="00ED147D" w:rsidP="007D215C">
      <w:pPr>
        <w:jc w:val="both"/>
        <w:rPr>
          <w:color w:val="E36C0A" w:themeColor="accent6" w:themeShade="BF"/>
          <w:sz w:val="24"/>
          <w:szCs w:val="24"/>
        </w:rPr>
      </w:pPr>
      <w:sdt>
        <w:sdtPr>
          <w:rPr>
            <w:sz w:val="24"/>
            <w:szCs w:val="24"/>
          </w:rPr>
          <w:id w:val="727583382"/>
        </w:sdtPr>
        <w:sdtEndPr>
          <w:rPr>
            <w:color w:val="E36C0A" w:themeColor="accent6" w:themeShade="BF"/>
          </w:rPr>
        </w:sdtEndPr>
        <w:sdtContent>
          <w:r w:rsidR="007D215C" w:rsidRPr="007D215C">
            <w:rPr>
              <w:color w:val="E36C0A" w:themeColor="accent6" w:themeShade="BF"/>
              <w:sz w:val="24"/>
              <w:szCs w:val="24"/>
            </w:rPr>
            <w:t>The entire set of the below factors come into play when there is no home to go to.</w:t>
          </w:r>
        </w:sdtContent>
      </w:sdt>
    </w:p>
    <w:p w14:paraId="12FEA1B7" w14:textId="77777777" w:rsidR="00226F79" w:rsidRPr="00226F79" w:rsidRDefault="00226F79" w:rsidP="00226F79">
      <w:pPr>
        <w:jc w:val="both"/>
        <w:rPr>
          <w:sz w:val="24"/>
          <w:szCs w:val="24"/>
        </w:rPr>
      </w:pPr>
    </w:p>
    <w:p w14:paraId="4D8EB0D0" w14:textId="77777777" w:rsidR="00226F79" w:rsidRPr="00226F79" w:rsidRDefault="00226F79" w:rsidP="00226F79">
      <w:pPr>
        <w:jc w:val="both"/>
        <w:rPr>
          <w:i/>
          <w:sz w:val="24"/>
          <w:szCs w:val="24"/>
        </w:rPr>
      </w:pPr>
      <w:r w:rsidRPr="00226F79">
        <w:rPr>
          <w:i/>
          <w:sz w:val="24"/>
          <w:szCs w:val="24"/>
        </w:rPr>
        <w:t>Accessibility</w:t>
      </w:r>
    </w:p>
    <w:p w14:paraId="7621F267" w14:textId="77777777" w:rsidR="00226F79" w:rsidRPr="00226F79" w:rsidRDefault="00226F79" w:rsidP="005E6EDB">
      <w:pPr>
        <w:pStyle w:val="ListParagraph"/>
        <w:numPr>
          <w:ilvl w:val="0"/>
          <w:numId w:val="2"/>
        </w:numPr>
        <w:jc w:val="both"/>
        <w:rPr>
          <w:sz w:val="24"/>
          <w:szCs w:val="24"/>
        </w:rPr>
      </w:pPr>
      <w:r w:rsidRPr="00226F79">
        <w:rPr>
          <w:sz w:val="24"/>
          <w:szCs w:val="24"/>
        </w:rPr>
        <w:t xml:space="preserve">Discrimination in relation to access to land, including water and natural resources essential for habitation; </w:t>
      </w:r>
    </w:p>
    <w:p w14:paraId="0F5D4744" w14:textId="77777777" w:rsidR="00C960B6" w:rsidRPr="00501A94" w:rsidRDefault="00226F79" w:rsidP="005E6EDB">
      <w:pPr>
        <w:pStyle w:val="ListParagraph"/>
        <w:numPr>
          <w:ilvl w:val="0"/>
          <w:numId w:val="2"/>
        </w:numPr>
        <w:jc w:val="both"/>
        <w:rPr>
          <w:sz w:val="24"/>
          <w:szCs w:val="24"/>
        </w:rPr>
      </w:pPr>
      <w:r w:rsidRPr="00501A94">
        <w:rPr>
          <w:sz w:val="24"/>
          <w:szCs w:val="24"/>
        </w:rPr>
        <w:t xml:space="preserve">Discrimination in relation to housing for rental or for acquisition or in accessing public or social housing; </w:t>
      </w:r>
    </w:p>
    <w:p w14:paraId="0883BA46" w14:textId="77777777" w:rsidR="00226F79" w:rsidRPr="00226F79" w:rsidRDefault="00501A94" w:rsidP="005E6EDB">
      <w:pPr>
        <w:pStyle w:val="ListParagraph"/>
        <w:numPr>
          <w:ilvl w:val="0"/>
          <w:numId w:val="2"/>
        </w:numPr>
        <w:jc w:val="both"/>
        <w:rPr>
          <w:sz w:val="24"/>
          <w:szCs w:val="24"/>
        </w:rPr>
      </w:pPr>
      <w:r>
        <w:rPr>
          <w:sz w:val="24"/>
          <w:szCs w:val="24"/>
        </w:rPr>
        <w:lastRenderedPageBreak/>
        <w:t>A</w:t>
      </w:r>
      <w:r w:rsidR="00226F79" w:rsidRPr="00226F79">
        <w:rPr>
          <w:sz w:val="24"/>
          <w:szCs w:val="24"/>
        </w:rPr>
        <w:t>ccess to emergency and/or transitional housing after disaster, conflict related displacement or in case of homelessness, family or domestic violence;</w:t>
      </w:r>
    </w:p>
    <w:p w14:paraId="408DB63E" w14:textId="77777777" w:rsidR="00226F79" w:rsidRPr="00226F79" w:rsidRDefault="000C7384" w:rsidP="005E6EDB">
      <w:pPr>
        <w:pStyle w:val="ListParagraph"/>
        <w:numPr>
          <w:ilvl w:val="0"/>
          <w:numId w:val="2"/>
        </w:numPr>
        <w:jc w:val="both"/>
        <w:rPr>
          <w:sz w:val="24"/>
          <w:szCs w:val="24"/>
        </w:rPr>
      </w:pPr>
      <w:r>
        <w:rPr>
          <w:sz w:val="24"/>
          <w:szCs w:val="24"/>
        </w:rPr>
        <w:t>A</w:t>
      </w:r>
      <w:r w:rsidR="00226F79" w:rsidRPr="00226F79">
        <w:rPr>
          <w:sz w:val="24"/>
          <w:szCs w:val="24"/>
        </w:rPr>
        <w:t xml:space="preserve">ccessibility of housing for persons with disabilities or older persons, including access to housing for independent living or to care homes; </w:t>
      </w:r>
    </w:p>
    <w:p w14:paraId="179545D0" w14:textId="4B658781" w:rsidR="00226F79" w:rsidRDefault="00226F79" w:rsidP="005E6EDB">
      <w:pPr>
        <w:pStyle w:val="ListParagraph"/>
        <w:numPr>
          <w:ilvl w:val="0"/>
          <w:numId w:val="2"/>
        </w:numPr>
        <w:jc w:val="both"/>
        <w:rPr>
          <w:sz w:val="24"/>
          <w:szCs w:val="24"/>
        </w:rPr>
      </w:pPr>
      <w:r w:rsidRPr="00226F79">
        <w:rPr>
          <w:sz w:val="24"/>
          <w:szCs w:val="24"/>
        </w:rPr>
        <w:t xml:space="preserve">data collection or requirements to furnish certain certifications resulting in the exclusion of particular persons from accessing housing; </w:t>
      </w:r>
    </w:p>
    <w:p w14:paraId="54A3F582" w14:textId="77777777" w:rsidR="00CA2C78" w:rsidRDefault="00CA2C78" w:rsidP="00CA2C78">
      <w:pPr>
        <w:jc w:val="both"/>
        <w:rPr>
          <w:sz w:val="24"/>
          <w:szCs w:val="24"/>
        </w:rPr>
      </w:pPr>
    </w:p>
    <w:p w14:paraId="3EDD507C" w14:textId="77777777" w:rsidR="00174D74" w:rsidRDefault="00174D74" w:rsidP="00174D74">
      <w:pPr>
        <w:jc w:val="both"/>
        <w:rPr>
          <w:b/>
          <w:bCs/>
          <w:color w:val="E36C0A" w:themeColor="accent6" w:themeShade="BF"/>
          <w:sz w:val="24"/>
          <w:szCs w:val="24"/>
          <w:u w:val="single"/>
        </w:rPr>
      </w:pPr>
      <w:r w:rsidRPr="00530EE2">
        <w:rPr>
          <w:b/>
          <w:bCs/>
          <w:color w:val="E36C0A" w:themeColor="accent6" w:themeShade="BF"/>
          <w:sz w:val="24"/>
          <w:szCs w:val="24"/>
          <w:u w:val="single"/>
        </w:rPr>
        <w:t>Latin America</w:t>
      </w:r>
    </w:p>
    <w:p w14:paraId="47A5CE04" w14:textId="77777777" w:rsidR="00174D74" w:rsidRPr="00174D74" w:rsidRDefault="00174D74" w:rsidP="00CA2C78">
      <w:pPr>
        <w:jc w:val="both"/>
        <w:rPr>
          <w:color w:val="E36C0A" w:themeColor="accent6" w:themeShade="BF"/>
          <w:sz w:val="24"/>
          <w:szCs w:val="24"/>
        </w:rPr>
      </w:pPr>
    </w:p>
    <w:p w14:paraId="310E57DD" w14:textId="4B2CEBBB" w:rsidR="00CA2C78" w:rsidRDefault="00CA2C78" w:rsidP="00CA2C78">
      <w:pPr>
        <w:jc w:val="both"/>
        <w:rPr>
          <w:color w:val="E36C0A" w:themeColor="accent6" w:themeShade="BF"/>
          <w:sz w:val="24"/>
          <w:szCs w:val="24"/>
        </w:rPr>
      </w:pPr>
      <w:r w:rsidRPr="00174D74">
        <w:rPr>
          <w:color w:val="E36C0A" w:themeColor="accent6" w:themeShade="BF"/>
          <w:sz w:val="24"/>
          <w:szCs w:val="24"/>
        </w:rPr>
        <w:t>In general, there are few countries in Latin America in which there is a true land policy that ensures that the entire population can have access to serv</w:t>
      </w:r>
      <w:r w:rsidR="00174D74">
        <w:rPr>
          <w:color w:val="E36C0A" w:themeColor="accent6" w:themeShade="BF"/>
          <w:sz w:val="24"/>
          <w:szCs w:val="24"/>
        </w:rPr>
        <w:t>iced</w:t>
      </w:r>
      <w:r w:rsidRPr="00174D74">
        <w:rPr>
          <w:color w:val="E36C0A" w:themeColor="accent6" w:themeShade="BF"/>
          <w:sz w:val="24"/>
          <w:szCs w:val="24"/>
        </w:rPr>
        <w:t xml:space="preserve"> and central</w:t>
      </w:r>
      <w:r w:rsidR="00174D74">
        <w:rPr>
          <w:color w:val="E36C0A" w:themeColor="accent6" w:themeShade="BF"/>
          <w:sz w:val="24"/>
          <w:szCs w:val="24"/>
        </w:rPr>
        <w:t>ly located</w:t>
      </w:r>
      <w:r w:rsidRPr="00174D74">
        <w:rPr>
          <w:color w:val="E36C0A" w:themeColor="accent6" w:themeShade="BF"/>
          <w:sz w:val="24"/>
          <w:szCs w:val="24"/>
        </w:rPr>
        <w:t xml:space="preserve"> land</w:t>
      </w:r>
      <w:r w:rsidR="00174D74">
        <w:rPr>
          <w:color w:val="E36C0A" w:themeColor="accent6" w:themeShade="BF"/>
          <w:sz w:val="24"/>
          <w:szCs w:val="24"/>
        </w:rPr>
        <w:t>.</w:t>
      </w:r>
      <w:r w:rsidRPr="00174D74">
        <w:rPr>
          <w:color w:val="E36C0A" w:themeColor="accent6" w:themeShade="BF"/>
          <w:sz w:val="24"/>
          <w:szCs w:val="24"/>
        </w:rPr>
        <w:t xml:space="preserve"> </w:t>
      </w:r>
      <w:r w:rsidR="00174D74">
        <w:rPr>
          <w:color w:val="E36C0A" w:themeColor="accent6" w:themeShade="BF"/>
          <w:sz w:val="24"/>
          <w:szCs w:val="24"/>
        </w:rPr>
        <w:t>A</w:t>
      </w:r>
      <w:r w:rsidR="00174D74" w:rsidRPr="00174D74">
        <w:rPr>
          <w:color w:val="E36C0A" w:themeColor="accent6" w:themeShade="BF"/>
          <w:sz w:val="24"/>
          <w:szCs w:val="24"/>
        </w:rPr>
        <w:t xml:space="preserve">t the international or local level, </w:t>
      </w:r>
      <w:r w:rsidRPr="00174D74">
        <w:rPr>
          <w:color w:val="E36C0A" w:themeColor="accent6" w:themeShade="BF"/>
          <w:sz w:val="24"/>
          <w:szCs w:val="24"/>
        </w:rPr>
        <w:t>land is</w:t>
      </w:r>
      <w:r w:rsidR="00174D74">
        <w:rPr>
          <w:color w:val="E36C0A" w:themeColor="accent6" w:themeShade="BF"/>
          <w:sz w:val="24"/>
          <w:szCs w:val="24"/>
        </w:rPr>
        <w:t xml:space="preserve"> generally</w:t>
      </w:r>
      <w:r w:rsidRPr="00174D74">
        <w:rPr>
          <w:color w:val="E36C0A" w:themeColor="accent6" w:themeShade="BF"/>
          <w:sz w:val="24"/>
          <w:szCs w:val="24"/>
        </w:rPr>
        <w:t xml:space="preserve"> </w:t>
      </w:r>
      <w:r w:rsidR="00174D74">
        <w:rPr>
          <w:color w:val="E36C0A" w:themeColor="accent6" w:themeShade="BF"/>
          <w:sz w:val="24"/>
          <w:szCs w:val="24"/>
        </w:rPr>
        <w:t>not r</w:t>
      </w:r>
      <w:r w:rsidRPr="00174D74">
        <w:rPr>
          <w:color w:val="E36C0A" w:themeColor="accent6" w:themeShade="BF"/>
          <w:sz w:val="24"/>
          <w:szCs w:val="24"/>
        </w:rPr>
        <w:t xml:space="preserve">ecognized as a </w:t>
      </w:r>
      <w:r w:rsidR="00174D74">
        <w:rPr>
          <w:color w:val="E36C0A" w:themeColor="accent6" w:themeShade="BF"/>
          <w:sz w:val="24"/>
          <w:szCs w:val="24"/>
        </w:rPr>
        <w:t xml:space="preserve">human </w:t>
      </w:r>
      <w:r w:rsidRPr="00174D74">
        <w:rPr>
          <w:color w:val="E36C0A" w:themeColor="accent6" w:themeShade="BF"/>
          <w:sz w:val="24"/>
          <w:szCs w:val="24"/>
        </w:rPr>
        <w:t>right</w:t>
      </w:r>
      <w:r w:rsidR="00174D74">
        <w:rPr>
          <w:color w:val="E36C0A" w:themeColor="accent6" w:themeShade="BF"/>
          <w:sz w:val="24"/>
          <w:szCs w:val="24"/>
        </w:rPr>
        <w:t xml:space="preserve">, </w:t>
      </w:r>
      <w:r w:rsidRPr="00174D74">
        <w:rPr>
          <w:color w:val="E36C0A" w:themeColor="accent6" w:themeShade="BF"/>
          <w:sz w:val="24"/>
          <w:szCs w:val="24"/>
        </w:rPr>
        <w:t xml:space="preserve">when </w:t>
      </w:r>
      <w:r w:rsidR="00174D74">
        <w:rPr>
          <w:color w:val="E36C0A" w:themeColor="accent6" w:themeShade="BF"/>
          <w:sz w:val="24"/>
          <w:szCs w:val="24"/>
        </w:rPr>
        <w:t xml:space="preserve">it </w:t>
      </w:r>
      <w:r w:rsidRPr="00174D74">
        <w:rPr>
          <w:color w:val="E36C0A" w:themeColor="accent6" w:themeShade="BF"/>
          <w:sz w:val="24"/>
          <w:szCs w:val="24"/>
        </w:rPr>
        <w:t>is the essential basis for ensuring adequate housing.</w:t>
      </w:r>
    </w:p>
    <w:p w14:paraId="155C437F" w14:textId="0F961B75" w:rsidR="00174D74" w:rsidRDefault="00174D74" w:rsidP="00CA2C78">
      <w:pPr>
        <w:jc w:val="both"/>
        <w:rPr>
          <w:color w:val="E36C0A" w:themeColor="accent6" w:themeShade="BF"/>
          <w:sz w:val="24"/>
          <w:szCs w:val="24"/>
        </w:rPr>
      </w:pPr>
    </w:p>
    <w:p w14:paraId="0CA81373" w14:textId="0CF4F006" w:rsidR="00174D74" w:rsidRPr="00174D74" w:rsidRDefault="00174D74" w:rsidP="00CA2C78">
      <w:pPr>
        <w:jc w:val="both"/>
        <w:rPr>
          <w:i/>
          <w:iCs/>
          <w:color w:val="E36C0A" w:themeColor="accent6" w:themeShade="BF"/>
          <w:sz w:val="24"/>
          <w:szCs w:val="24"/>
        </w:rPr>
      </w:pPr>
      <w:r w:rsidRPr="00174D74">
        <w:rPr>
          <w:i/>
          <w:iCs/>
          <w:color w:val="E36C0A" w:themeColor="accent6" w:themeShade="BF"/>
          <w:sz w:val="24"/>
          <w:szCs w:val="24"/>
        </w:rPr>
        <w:t>Mexico</w:t>
      </w:r>
      <w:r w:rsidR="003A74E7">
        <w:rPr>
          <w:i/>
          <w:iCs/>
          <w:color w:val="E36C0A" w:themeColor="accent6" w:themeShade="BF"/>
          <w:sz w:val="24"/>
          <w:szCs w:val="24"/>
        </w:rPr>
        <w:t xml:space="preserve">: Recognising people with disabilities in relation to housing </w:t>
      </w:r>
    </w:p>
    <w:p w14:paraId="0E4D98BF" w14:textId="77777777" w:rsidR="00CA2C78" w:rsidRPr="00174D74" w:rsidRDefault="00CA2C78" w:rsidP="00CA2C78">
      <w:pPr>
        <w:jc w:val="both"/>
        <w:rPr>
          <w:color w:val="E36C0A" w:themeColor="accent6" w:themeShade="BF"/>
          <w:sz w:val="24"/>
          <w:szCs w:val="24"/>
        </w:rPr>
      </w:pPr>
    </w:p>
    <w:p w14:paraId="4D8B2E7A" w14:textId="77777777" w:rsidR="003A74E7" w:rsidRDefault="00CA2C78" w:rsidP="00CA2C78">
      <w:pPr>
        <w:jc w:val="both"/>
        <w:rPr>
          <w:rStyle w:val="Hyperlink"/>
          <w:rFonts w:cstheme="minorHAnsi"/>
          <w:color w:val="E36C0A" w:themeColor="accent6" w:themeShade="BF"/>
          <w:sz w:val="24"/>
          <w:szCs w:val="24"/>
          <w:u w:val="none"/>
          <w:lang w:val="en-US"/>
        </w:rPr>
      </w:pPr>
      <w:r w:rsidRPr="00174D74">
        <w:rPr>
          <w:color w:val="E36C0A" w:themeColor="accent6" w:themeShade="BF"/>
          <w:sz w:val="24"/>
          <w:szCs w:val="24"/>
        </w:rPr>
        <w:t xml:space="preserve">In Mexico, the </w:t>
      </w:r>
      <w:r w:rsidRPr="00174D74">
        <w:rPr>
          <w:rStyle w:val="Hyperlink"/>
          <w:rFonts w:cstheme="minorHAnsi"/>
          <w:color w:val="E36C0A" w:themeColor="accent6" w:themeShade="BF"/>
          <w:sz w:val="24"/>
          <w:szCs w:val="24"/>
          <w:u w:val="none"/>
          <w:lang w:val="en-US"/>
        </w:rPr>
        <w:t>National Housing Program</w:t>
      </w:r>
      <w:r w:rsidRPr="00174D74">
        <w:rPr>
          <w:rStyle w:val="FootnoteReference"/>
          <w:color w:val="E36C0A" w:themeColor="accent6" w:themeShade="BF"/>
          <w:sz w:val="24"/>
          <w:szCs w:val="24"/>
          <w:lang w:val="en-US"/>
        </w:rPr>
        <w:footnoteReference w:id="2"/>
      </w:r>
      <w:r w:rsidRPr="00174D74">
        <w:rPr>
          <w:rStyle w:val="Hyperlink"/>
          <w:rFonts w:cstheme="minorHAnsi"/>
          <w:color w:val="E36C0A" w:themeColor="accent6" w:themeShade="BF"/>
          <w:sz w:val="24"/>
          <w:szCs w:val="24"/>
          <w:u w:val="none"/>
          <w:lang w:val="en-US"/>
        </w:rPr>
        <w:t xml:space="preserve"> recognize</w:t>
      </w:r>
      <w:r w:rsidR="00174D74">
        <w:rPr>
          <w:rStyle w:val="Hyperlink"/>
          <w:rFonts w:cstheme="minorHAnsi"/>
          <w:color w:val="E36C0A" w:themeColor="accent6" w:themeShade="BF"/>
          <w:sz w:val="24"/>
          <w:szCs w:val="24"/>
          <w:u w:val="none"/>
          <w:lang w:val="en-US"/>
        </w:rPr>
        <w:t>s</w:t>
      </w:r>
      <w:r w:rsidRPr="00174D74">
        <w:rPr>
          <w:rStyle w:val="Hyperlink"/>
          <w:rFonts w:cstheme="minorHAnsi"/>
          <w:color w:val="E36C0A" w:themeColor="accent6" w:themeShade="BF"/>
          <w:sz w:val="24"/>
          <w:szCs w:val="24"/>
          <w:u w:val="none"/>
          <w:lang w:val="en-US"/>
        </w:rPr>
        <w:t xml:space="preserve"> people with disabilities: People with disability represent 6.4% of the total population of the country. In 2018, 48.6% of this group was living in poverty, of which 22.8% lack</w:t>
      </w:r>
      <w:r w:rsidR="00174D74">
        <w:rPr>
          <w:rStyle w:val="Hyperlink"/>
          <w:rFonts w:cstheme="minorHAnsi"/>
          <w:color w:val="E36C0A" w:themeColor="accent6" w:themeShade="BF"/>
          <w:sz w:val="24"/>
          <w:szCs w:val="24"/>
          <w:u w:val="none"/>
          <w:lang w:val="en-US"/>
        </w:rPr>
        <w:t>ed</w:t>
      </w:r>
      <w:r w:rsidRPr="00174D74">
        <w:rPr>
          <w:rStyle w:val="Hyperlink"/>
          <w:rFonts w:cstheme="minorHAnsi"/>
          <w:color w:val="E36C0A" w:themeColor="accent6" w:themeShade="BF"/>
          <w:sz w:val="24"/>
          <w:szCs w:val="24"/>
          <w:u w:val="none"/>
          <w:lang w:val="en-US"/>
        </w:rPr>
        <w:t xml:space="preserve"> access to basic services in the home and 9.4%</w:t>
      </w:r>
      <w:r w:rsidR="00174D74">
        <w:rPr>
          <w:rStyle w:val="Hyperlink"/>
          <w:rFonts w:cstheme="minorHAnsi"/>
          <w:color w:val="E36C0A" w:themeColor="accent6" w:themeShade="BF"/>
          <w:sz w:val="24"/>
          <w:szCs w:val="24"/>
          <w:u w:val="none"/>
          <w:lang w:val="en-US"/>
        </w:rPr>
        <w:t xml:space="preserve"> </w:t>
      </w:r>
      <w:r w:rsidRPr="00174D74">
        <w:rPr>
          <w:rStyle w:val="Hyperlink"/>
          <w:rFonts w:cstheme="minorHAnsi"/>
          <w:color w:val="E36C0A" w:themeColor="accent6" w:themeShade="BF"/>
          <w:sz w:val="24"/>
          <w:szCs w:val="24"/>
          <w:u w:val="none"/>
          <w:lang w:val="en-US"/>
        </w:rPr>
        <w:t>lack</w:t>
      </w:r>
      <w:r w:rsidR="00174D74">
        <w:rPr>
          <w:rStyle w:val="Hyperlink"/>
          <w:rFonts w:cstheme="minorHAnsi"/>
          <w:color w:val="E36C0A" w:themeColor="accent6" w:themeShade="BF"/>
          <w:sz w:val="24"/>
          <w:szCs w:val="24"/>
          <w:u w:val="none"/>
          <w:lang w:val="en-US"/>
        </w:rPr>
        <w:t>ed</w:t>
      </w:r>
      <w:r w:rsidRPr="00174D74">
        <w:rPr>
          <w:rStyle w:val="Hyperlink"/>
          <w:rFonts w:cstheme="minorHAnsi"/>
          <w:color w:val="E36C0A" w:themeColor="accent6" w:themeShade="BF"/>
          <w:sz w:val="24"/>
          <w:szCs w:val="24"/>
          <w:u w:val="none"/>
          <w:lang w:val="en-US"/>
        </w:rPr>
        <w:t xml:space="preserve"> quality and space </w:t>
      </w:r>
      <w:r w:rsidR="00174D74">
        <w:rPr>
          <w:rStyle w:val="Hyperlink"/>
          <w:rFonts w:cstheme="minorHAnsi"/>
          <w:color w:val="E36C0A" w:themeColor="accent6" w:themeShade="BF"/>
          <w:sz w:val="24"/>
          <w:szCs w:val="24"/>
          <w:u w:val="none"/>
          <w:lang w:val="en-US"/>
        </w:rPr>
        <w:t>in relation to</w:t>
      </w:r>
      <w:r w:rsidRPr="00174D74">
        <w:rPr>
          <w:rStyle w:val="Hyperlink"/>
          <w:rFonts w:cstheme="minorHAnsi"/>
          <w:color w:val="E36C0A" w:themeColor="accent6" w:themeShade="BF"/>
          <w:sz w:val="24"/>
          <w:szCs w:val="24"/>
          <w:u w:val="none"/>
          <w:lang w:val="en-US"/>
        </w:rPr>
        <w:t xml:space="preserve"> housing. </w:t>
      </w:r>
    </w:p>
    <w:p w14:paraId="09D3ACC2" w14:textId="77777777" w:rsidR="003A74E7" w:rsidRDefault="003A74E7" w:rsidP="00CA2C78">
      <w:pPr>
        <w:jc w:val="both"/>
        <w:rPr>
          <w:rStyle w:val="Hyperlink"/>
          <w:rFonts w:cstheme="minorHAnsi"/>
          <w:color w:val="E36C0A" w:themeColor="accent6" w:themeShade="BF"/>
          <w:sz w:val="24"/>
          <w:szCs w:val="24"/>
          <w:u w:val="none"/>
          <w:lang w:val="en-US"/>
        </w:rPr>
      </w:pPr>
    </w:p>
    <w:p w14:paraId="0092DF3E" w14:textId="0896655C" w:rsidR="003A74E7" w:rsidRPr="003A74E7" w:rsidRDefault="003A74E7" w:rsidP="00CA2C78">
      <w:pPr>
        <w:jc w:val="both"/>
        <w:rPr>
          <w:rStyle w:val="Hyperlink"/>
          <w:rFonts w:cstheme="minorHAnsi"/>
          <w:i/>
          <w:iCs/>
          <w:color w:val="E36C0A" w:themeColor="accent6" w:themeShade="BF"/>
          <w:sz w:val="24"/>
          <w:szCs w:val="24"/>
          <w:u w:val="none"/>
          <w:lang w:val="en-US"/>
        </w:rPr>
      </w:pPr>
      <w:r w:rsidRPr="003A74E7">
        <w:rPr>
          <w:rStyle w:val="Hyperlink"/>
          <w:rFonts w:cstheme="minorHAnsi"/>
          <w:i/>
          <w:iCs/>
          <w:color w:val="E36C0A" w:themeColor="accent6" w:themeShade="BF"/>
          <w:sz w:val="24"/>
          <w:szCs w:val="24"/>
          <w:u w:val="none"/>
          <w:lang w:val="en-US"/>
        </w:rPr>
        <w:t xml:space="preserve">Mexico: </w:t>
      </w:r>
      <w:r w:rsidR="00CA2C78" w:rsidRPr="003A74E7">
        <w:rPr>
          <w:rStyle w:val="Hyperlink"/>
          <w:rFonts w:cstheme="minorHAnsi"/>
          <w:i/>
          <w:iCs/>
          <w:color w:val="E36C0A" w:themeColor="accent6" w:themeShade="BF"/>
          <w:sz w:val="24"/>
          <w:szCs w:val="24"/>
          <w:u w:val="none"/>
          <w:lang w:val="en-US"/>
        </w:rPr>
        <w:t>Women</w:t>
      </w:r>
    </w:p>
    <w:p w14:paraId="7AB1D7A6" w14:textId="77777777" w:rsidR="003A74E7" w:rsidRDefault="003A74E7" w:rsidP="00CA2C78">
      <w:pPr>
        <w:jc w:val="both"/>
        <w:rPr>
          <w:rStyle w:val="Hyperlink"/>
          <w:rFonts w:cstheme="minorHAnsi"/>
          <w:color w:val="E36C0A" w:themeColor="accent6" w:themeShade="BF"/>
          <w:sz w:val="24"/>
          <w:szCs w:val="24"/>
          <w:u w:val="none"/>
          <w:lang w:val="en-US"/>
        </w:rPr>
      </w:pPr>
    </w:p>
    <w:p w14:paraId="37CE5B41" w14:textId="77777777" w:rsidR="003A74E7" w:rsidRDefault="00CA2C78" w:rsidP="00CA2C78">
      <w:pPr>
        <w:jc w:val="both"/>
        <w:rPr>
          <w:rStyle w:val="Hyperlink"/>
          <w:rFonts w:cstheme="minorHAnsi"/>
          <w:color w:val="E36C0A" w:themeColor="accent6" w:themeShade="BF"/>
          <w:sz w:val="24"/>
          <w:szCs w:val="24"/>
          <w:u w:val="none"/>
          <w:lang w:val="en-US"/>
        </w:rPr>
      </w:pPr>
      <w:r w:rsidRPr="00174D74">
        <w:rPr>
          <w:rStyle w:val="Hyperlink"/>
          <w:rFonts w:cstheme="minorHAnsi"/>
          <w:color w:val="E36C0A" w:themeColor="accent6" w:themeShade="BF"/>
          <w:sz w:val="24"/>
          <w:szCs w:val="24"/>
          <w:u w:val="none"/>
          <w:lang w:val="en-US"/>
        </w:rPr>
        <w:t xml:space="preserve">Women represent 51.4% of the </w:t>
      </w:r>
      <w:r w:rsidR="003A74E7">
        <w:rPr>
          <w:rStyle w:val="Hyperlink"/>
          <w:rFonts w:cstheme="minorHAnsi"/>
          <w:color w:val="E36C0A" w:themeColor="accent6" w:themeShade="BF"/>
          <w:sz w:val="24"/>
          <w:szCs w:val="24"/>
          <w:u w:val="none"/>
          <w:lang w:val="en-US"/>
        </w:rPr>
        <w:t xml:space="preserve">total </w:t>
      </w:r>
      <w:r w:rsidRPr="00174D74">
        <w:rPr>
          <w:rStyle w:val="Hyperlink"/>
          <w:rFonts w:cstheme="minorHAnsi"/>
          <w:color w:val="E36C0A" w:themeColor="accent6" w:themeShade="BF"/>
          <w:sz w:val="24"/>
          <w:szCs w:val="24"/>
          <w:u w:val="none"/>
          <w:lang w:val="en-US"/>
        </w:rPr>
        <w:t>population of the country</w:t>
      </w:r>
      <w:r w:rsidR="003A74E7">
        <w:rPr>
          <w:rStyle w:val="Hyperlink"/>
          <w:rFonts w:cstheme="minorHAnsi"/>
          <w:color w:val="E36C0A" w:themeColor="accent6" w:themeShade="BF"/>
          <w:sz w:val="24"/>
          <w:szCs w:val="24"/>
          <w:u w:val="none"/>
          <w:lang w:val="en-US"/>
        </w:rPr>
        <w:t>.</w:t>
      </w:r>
      <w:r w:rsidRPr="00174D74">
        <w:rPr>
          <w:rStyle w:val="Hyperlink"/>
          <w:rFonts w:cstheme="minorHAnsi"/>
          <w:color w:val="E36C0A" w:themeColor="accent6" w:themeShade="BF"/>
          <w:sz w:val="24"/>
          <w:szCs w:val="24"/>
          <w:u w:val="none"/>
          <w:lang w:val="en-US"/>
        </w:rPr>
        <w:t xml:space="preserve"> According to the National Institute of Women, in 2015 only 35.3% of women were homeowners in Mexico, compared to 56.0% of men. In rural areas, the percentage </w:t>
      </w:r>
      <w:r w:rsidR="003A74E7">
        <w:rPr>
          <w:rStyle w:val="Hyperlink"/>
          <w:rFonts w:cstheme="minorHAnsi"/>
          <w:color w:val="E36C0A" w:themeColor="accent6" w:themeShade="BF"/>
          <w:sz w:val="24"/>
          <w:szCs w:val="24"/>
          <w:u w:val="none"/>
          <w:lang w:val="en-US"/>
        </w:rPr>
        <w:t xml:space="preserve">of </w:t>
      </w:r>
      <w:r w:rsidRPr="00174D74">
        <w:rPr>
          <w:rStyle w:val="Hyperlink"/>
          <w:rFonts w:cstheme="minorHAnsi"/>
          <w:color w:val="E36C0A" w:themeColor="accent6" w:themeShade="BF"/>
          <w:sz w:val="24"/>
          <w:szCs w:val="24"/>
          <w:u w:val="none"/>
          <w:lang w:val="en-US"/>
        </w:rPr>
        <w:t xml:space="preserve">female ownership drops to 30%. </w:t>
      </w:r>
    </w:p>
    <w:p w14:paraId="58D545A2" w14:textId="77777777" w:rsidR="003A74E7" w:rsidRDefault="003A74E7" w:rsidP="00CA2C78">
      <w:pPr>
        <w:jc w:val="both"/>
        <w:rPr>
          <w:rStyle w:val="Hyperlink"/>
          <w:rFonts w:cstheme="minorHAnsi"/>
          <w:color w:val="E36C0A" w:themeColor="accent6" w:themeShade="BF"/>
          <w:sz w:val="24"/>
          <w:szCs w:val="24"/>
          <w:u w:val="none"/>
          <w:lang w:val="en-US"/>
        </w:rPr>
      </w:pPr>
    </w:p>
    <w:p w14:paraId="3938D5BF" w14:textId="4B533964" w:rsidR="003A74E7" w:rsidRDefault="003A74E7" w:rsidP="00CA2C78">
      <w:pPr>
        <w:jc w:val="both"/>
        <w:rPr>
          <w:rStyle w:val="Hyperlink"/>
          <w:rFonts w:cstheme="minorHAnsi"/>
          <w:color w:val="E36C0A" w:themeColor="accent6" w:themeShade="BF"/>
          <w:sz w:val="24"/>
          <w:szCs w:val="24"/>
          <w:u w:val="none"/>
          <w:lang w:val="en-US"/>
        </w:rPr>
      </w:pPr>
      <w:r>
        <w:rPr>
          <w:rStyle w:val="Hyperlink"/>
          <w:rFonts w:cstheme="minorHAnsi"/>
          <w:i/>
          <w:iCs/>
          <w:color w:val="E36C0A" w:themeColor="accent6" w:themeShade="BF"/>
          <w:sz w:val="24"/>
          <w:szCs w:val="24"/>
          <w:u w:val="none"/>
          <w:lang w:val="en-US"/>
        </w:rPr>
        <w:t xml:space="preserve">Mexico - </w:t>
      </w:r>
      <w:r w:rsidR="00CA2C78" w:rsidRPr="003A74E7">
        <w:rPr>
          <w:rStyle w:val="Hyperlink"/>
          <w:rFonts w:cstheme="minorHAnsi"/>
          <w:i/>
          <w:iCs/>
          <w:color w:val="E36C0A" w:themeColor="accent6" w:themeShade="BF"/>
          <w:sz w:val="24"/>
          <w:szCs w:val="24"/>
          <w:u w:val="none"/>
          <w:lang w:val="en-US"/>
        </w:rPr>
        <w:t>Indigenous population</w:t>
      </w:r>
    </w:p>
    <w:p w14:paraId="51E99A99" w14:textId="0A48B4CF" w:rsidR="00CA2C78" w:rsidRDefault="00CA2C78" w:rsidP="00CA2C78">
      <w:pPr>
        <w:jc w:val="both"/>
        <w:rPr>
          <w:rStyle w:val="Hyperlink"/>
          <w:rFonts w:cstheme="minorHAnsi"/>
          <w:color w:val="E36C0A" w:themeColor="accent6" w:themeShade="BF"/>
          <w:sz w:val="24"/>
          <w:szCs w:val="24"/>
          <w:u w:val="none"/>
          <w:lang w:val="en-US"/>
        </w:rPr>
      </w:pPr>
      <w:r w:rsidRPr="00174D74">
        <w:rPr>
          <w:rStyle w:val="Hyperlink"/>
          <w:rFonts w:cstheme="minorHAnsi"/>
          <w:color w:val="E36C0A" w:themeColor="accent6" w:themeShade="BF"/>
          <w:sz w:val="24"/>
          <w:szCs w:val="24"/>
          <w:u w:val="none"/>
          <w:lang w:val="en-US"/>
        </w:rPr>
        <w:lastRenderedPageBreak/>
        <w:t xml:space="preserve">People who self-recognized as indigenous represent 21.5% of </w:t>
      </w:r>
      <w:r w:rsidR="003A74E7">
        <w:rPr>
          <w:rStyle w:val="Hyperlink"/>
          <w:rFonts w:cstheme="minorHAnsi"/>
          <w:color w:val="E36C0A" w:themeColor="accent6" w:themeShade="BF"/>
          <w:sz w:val="24"/>
          <w:szCs w:val="24"/>
          <w:u w:val="none"/>
          <w:lang w:val="en-US"/>
        </w:rPr>
        <w:t xml:space="preserve">Mexico’s </w:t>
      </w:r>
      <w:r w:rsidRPr="00174D74">
        <w:rPr>
          <w:rStyle w:val="Hyperlink"/>
          <w:rFonts w:cstheme="minorHAnsi"/>
          <w:color w:val="E36C0A" w:themeColor="accent6" w:themeShade="BF"/>
          <w:sz w:val="24"/>
          <w:szCs w:val="24"/>
          <w:u w:val="none"/>
          <w:lang w:val="en-US"/>
        </w:rPr>
        <w:t>total population. In 2017, 32.4% of the indigenous population showed deficiencies</w:t>
      </w:r>
      <w:r w:rsidR="003A74E7">
        <w:rPr>
          <w:rStyle w:val="Hyperlink"/>
          <w:rFonts w:cstheme="minorHAnsi"/>
          <w:color w:val="E36C0A" w:themeColor="accent6" w:themeShade="BF"/>
          <w:sz w:val="24"/>
          <w:szCs w:val="24"/>
          <w:u w:val="none"/>
          <w:lang w:val="en-US"/>
        </w:rPr>
        <w:t xml:space="preserve"> in</w:t>
      </w:r>
      <w:r w:rsidRPr="00174D74">
        <w:rPr>
          <w:rStyle w:val="Hyperlink"/>
          <w:rFonts w:cstheme="minorHAnsi"/>
          <w:color w:val="E36C0A" w:themeColor="accent6" w:themeShade="BF"/>
          <w:sz w:val="24"/>
          <w:szCs w:val="24"/>
          <w:u w:val="none"/>
          <w:lang w:val="en-US"/>
        </w:rPr>
        <w:t xml:space="preserve"> quality</w:t>
      </w:r>
      <w:r w:rsidR="003A74E7">
        <w:rPr>
          <w:rStyle w:val="Hyperlink"/>
          <w:rFonts w:cstheme="minorHAnsi"/>
          <w:color w:val="E36C0A" w:themeColor="accent6" w:themeShade="BF"/>
          <w:sz w:val="24"/>
          <w:szCs w:val="24"/>
          <w:u w:val="none"/>
          <w:lang w:val="en-US"/>
        </w:rPr>
        <w:t xml:space="preserve"> and adequate space</w:t>
      </w:r>
      <w:r w:rsidRPr="00174D74">
        <w:rPr>
          <w:rStyle w:val="Hyperlink"/>
          <w:rFonts w:cstheme="minorHAnsi"/>
          <w:color w:val="E36C0A" w:themeColor="accent6" w:themeShade="BF"/>
          <w:sz w:val="24"/>
          <w:szCs w:val="24"/>
          <w:u w:val="none"/>
          <w:lang w:val="en-US"/>
        </w:rPr>
        <w:t xml:space="preserve"> </w:t>
      </w:r>
      <w:r w:rsidR="009002E8">
        <w:rPr>
          <w:rStyle w:val="Hyperlink"/>
          <w:rFonts w:cstheme="minorHAnsi"/>
          <w:color w:val="E36C0A" w:themeColor="accent6" w:themeShade="BF"/>
          <w:sz w:val="24"/>
          <w:szCs w:val="24"/>
          <w:u w:val="none"/>
          <w:lang w:val="en-US"/>
        </w:rPr>
        <w:t>in the home</w:t>
      </w:r>
      <w:r w:rsidRPr="00174D74">
        <w:rPr>
          <w:rStyle w:val="Hyperlink"/>
          <w:rFonts w:cstheme="minorHAnsi"/>
          <w:color w:val="E36C0A" w:themeColor="accent6" w:themeShade="BF"/>
          <w:sz w:val="24"/>
          <w:szCs w:val="24"/>
          <w:u w:val="none"/>
          <w:lang w:val="en-US"/>
        </w:rPr>
        <w:t xml:space="preserve">, while 79.1% lived </w:t>
      </w:r>
      <w:r w:rsidR="003A74E7">
        <w:rPr>
          <w:rStyle w:val="Hyperlink"/>
          <w:rFonts w:cstheme="minorHAnsi"/>
          <w:color w:val="E36C0A" w:themeColor="accent6" w:themeShade="BF"/>
          <w:sz w:val="24"/>
          <w:szCs w:val="24"/>
          <w:u w:val="none"/>
          <w:lang w:val="en-US"/>
        </w:rPr>
        <w:t xml:space="preserve">in </w:t>
      </w:r>
      <w:r w:rsidRPr="00174D74">
        <w:rPr>
          <w:rStyle w:val="Hyperlink"/>
          <w:rFonts w:cstheme="minorHAnsi"/>
          <w:color w:val="E36C0A" w:themeColor="accent6" w:themeShade="BF"/>
          <w:sz w:val="24"/>
          <w:szCs w:val="24"/>
          <w:u w:val="none"/>
          <w:lang w:val="en-US"/>
        </w:rPr>
        <w:t xml:space="preserve">a </w:t>
      </w:r>
      <w:r w:rsidR="003A74E7">
        <w:rPr>
          <w:rStyle w:val="Hyperlink"/>
          <w:rFonts w:cstheme="minorHAnsi"/>
          <w:color w:val="E36C0A" w:themeColor="accent6" w:themeShade="BF"/>
          <w:sz w:val="24"/>
          <w:szCs w:val="24"/>
          <w:u w:val="none"/>
          <w:lang w:val="en-US"/>
        </w:rPr>
        <w:t xml:space="preserve">deficient </w:t>
      </w:r>
      <w:r w:rsidRPr="00174D74">
        <w:rPr>
          <w:rStyle w:val="Hyperlink"/>
          <w:rFonts w:cstheme="minorHAnsi"/>
          <w:color w:val="E36C0A" w:themeColor="accent6" w:themeShade="BF"/>
          <w:sz w:val="24"/>
          <w:szCs w:val="24"/>
          <w:u w:val="none"/>
          <w:lang w:val="en-US"/>
        </w:rPr>
        <w:t>home.</w:t>
      </w:r>
      <w:r w:rsidR="003A74E7">
        <w:rPr>
          <w:rStyle w:val="Hyperlink"/>
          <w:rFonts w:cstheme="minorHAnsi"/>
          <w:color w:val="E36C0A" w:themeColor="accent6" w:themeShade="BF"/>
          <w:sz w:val="24"/>
          <w:szCs w:val="24"/>
          <w:u w:val="none"/>
          <w:lang w:val="en-US"/>
        </w:rPr>
        <w:t xml:space="preserve"> </w:t>
      </w:r>
      <w:r w:rsidRPr="00174D74">
        <w:rPr>
          <w:rStyle w:val="Hyperlink"/>
          <w:rFonts w:cstheme="minorHAnsi"/>
          <w:color w:val="E36C0A" w:themeColor="accent6" w:themeShade="BF"/>
          <w:sz w:val="24"/>
          <w:szCs w:val="24"/>
          <w:u w:val="none"/>
          <w:lang w:val="en-US"/>
        </w:rPr>
        <w:t>56.0% of the indigenous population was lacking</w:t>
      </w:r>
      <w:r w:rsidR="003A74E7">
        <w:rPr>
          <w:rStyle w:val="Hyperlink"/>
          <w:rFonts w:cstheme="minorHAnsi"/>
          <w:color w:val="E36C0A" w:themeColor="accent6" w:themeShade="BF"/>
          <w:sz w:val="24"/>
          <w:szCs w:val="24"/>
          <w:u w:val="none"/>
          <w:lang w:val="en-US"/>
        </w:rPr>
        <w:t xml:space="preserve"> </w:t>
      </w:r>
      <w:r w:rsidR="003A74E7" w:rsidRPr="00174D74">
        <w:rPr>
          <w:rStyle w:val="Hyperlink"/>
          <w:rFonts w:cstheme="minorHAnsi"/>
          <w:color w:val="E36C0A" w:themeColor="accent6" w:themeShade="BF"/>
          <w:sz w:val="24"/>
          <w:szCs w:val="24"/>
          <w:u w:val="none"/>
          <w:lang w:val="en-US"/>
        </w:rPr>
        <w:t>access to basic services</w:t>
      </w:r>
      <w:r w:rsidR="003A74E7">
        <w:rPr>
          <w:rStyle w:val="Hyperlink"/>
          <w:rFonts w:cstheme="minorHAnsi"/>
          <w:color w:val="E36C0A" w:themeColor="accent6" w:themeShade="BF"/>
          <w:sz w:val="24"/>
          <w:szCs w:val="24"/>
          <w:u w:val="none"/>
          <w:lang w:val="en-US"/>
        </w:rPr>
        <w:t>.</w:t>
      </w:r>
    </w:p>
    <w:p w14:paraId="415568A7" w14:textId="77777777" w:rsidR="003A74E7" w:rsidRPr="00174D74" w:rsidRDefault="003A74E7" w:rsidP="00CA2C78">
      <w:pPr>
        <w:jc w:val="both"/>
        <w:rPr>
          <w:rStyle w:val="Hyperlink"/>
          <w:rFonts w:cstheme="minorHAnsi"/>
          <w:color w:val="E36C0A" w:themeColor="accent6" w:themeShade="BF"/>
          <w:sz w:val="24"/>
          <w:szCs w:val="24"/>
          <w:u w:val="none"/>
          <w:lang w:val="en-US"/>
        </w:rPr>
      </w:pPr>
    </w:p>
    <w:p w14:paraId="61B2293B" w14:textId="02064355" w:rsidR="003A74E7" w:rsidRDefault="003A74E7" w:rsidP="00226F79">
      <w:pPr>
        <w:jc w:val="both"/>
        <w:rPr>
          <w:rStyle w:val="Hyperlink"/>
          <w:rFonts w:cstheme="minorHAnsi"/>
          <w:color w:val="E36C0A" w:themeColor="accent6" w:themeShade="BF"/>
          <w:sz w:val="24"/>
          <w:szCs w:val="24"/>
          <w:u w:val="none"/>
          <w:lang w:val="en-US"/>
        </w:rPr>
      </w:pPr>
      <w:r>
        <w:rPr>
          <w:rStyle w:val="Hyperlink"/>
          <w:rFonts w:cstheme="minorHAnsi"/>
          <w:i/>
          <w:iCs/>
          <w:color w:val="E36C0A" w:themeColor="accent6" w:themeShade="BF"/>
          <w:sz w:val="24"/>
          <w:szCs w:val="24"/>
          <w:u w:val="none"/>
          <w:lang w:val="en-US"/>
        </w:rPr>
        <w:t xml:space="preserve">Mexico - </w:t>
      </w:r>
      <w:r w:rsidR="00CA2C78" w:rsidRPr="003A74E7">
        <w:rPr>
          <w:rStyle w:val="Hyperlink"/>
          <w:rFonts w:cstheme="minorHAnsi"/>
          <w:i/>
          <w:iCs/>
          <w:color w:val="E36C0A" w:themeColor="accent6" w:themeShade="BF"/>
          <w:sz w:val="24"/>
          <w:szCs w:val="24"/>
          <w:u w:val="none"/>
          <w:lang w:val="en-US"/>
        </w:rPr>
        <w:t>Older Adults</w:t>
      </w:r>
    </w:p>
    <w:p w14:paraId="09DCB6CD" w14:textId="324A72C6" w:rsidR="00226F79" w:rsidRPr="00174D74" w:rsidRDefault="00CA2C78" w:rsidP="00226F79">
      <w:pPr>
        <w:jc w:val="both"/>
        <w:rPr>
          <w:rStyle w:val="Hyperlink"/>
          <w:rFonts w:cstheme="minorHAnsi"/>
          <w:color w:val="E36C0A" w:themeColor="accent6" w:themeShade="BF"/>
          <w:sz w:val="24"/>
          <w:szCs w:val="24"/>
          <w:u w:val="none"/>
          <w:lang w:val="en-US"/>
        </w:rPr>
      </w:pPr>
      <w:r w:rsidRPr="00174D74">
        <w:rPr>
          <w:rStyle w:val="Hyperlink"/>
          <w:rFonts w:cstheme="minorHAnsi"/>
          <w:color w:val="E36C0A" w:themeColor="accent6" w:themeShade="BF"/>
          <w:sz w:val="24"/>
          <w:szCs w:val="24"/>
          <w:u w:val="none"/>
          <w:lang w:val="en-US"/>
        </w:rPr>
        <w:t xml:space="preserve">The population of older adults (PAM) represents 10.4% of the </w:t>
      </w:r>
      <w:r w:rsidR="003A74E7">
        <w:rPr>
          <w:rStyle w:val="Hyperlink"/>
          <w:rFonts w:cstheme="minorHAnsi"/>
          <w:color w:val="E36C0A" w:themeColor="accent6" w:themeShade="BF"/>
          <w:sz w:val="24"/>
          <w:szCs w:val="24"/>
          <w:u w:val="none"/>
          <w:lang w:val="en-US"/>
        </w:rPr>
        <w:t xml:space="preserve">country’s </w:t>
      </w:r>
      <w:r w:rsidRPr="00174D74">
        <w:rPr>
          <w:rStyle w:val="Hyperlink"/>
          <w:rFonts w:cstheme="minorHAnsi"/>
          <w:color w:val="E36C0A" w:themeColor="accent6" w:themeShade="BF"/>
          <w:sz w:val="24"/>
          <w:szCs w:val="24"/>
          <w:u w:val="none"/>
          <w:lang w:val="en-US"/>
        </w:rPr>
        <w:t>p</w:t>
      </w:r>
      <w:r w:rsidR="003A74E7">
        <w:rPr>
          <w:rStyle w:val="Hyperlink"/>
          <w:rFonts w:cstheme="minorHAnsi"/>
          <w:color w:val="E36C0A" w:themeColor="accent6" w:themeShade="BF"/>
          <w:sz w:val="24"/>
          <w:szCs w:val="24"/>
          <w:u w:val="none"/>
          <w:lang w:val="en-US"/>
        </w:rPr>
        <w:t>opulation. This</w:t>
      </w:r>
      <w:r w:rsidRPr="00174D74">
        <w:rPr>
          <w:rStyle w:val="Hyperlink"/>
          <w:rFonts w:cstheme="minorHAnsi"/>
          <w:color w:val="E36C0A" w:themeColor="accent6" w:themeShade="BF"/>
          <w:sz w:val="24"/>
          <w:szCs w:val="24"/>
          <w:u w:val="none"/>
          <w:lang w:val="en-US"/>
        </w:rPr>
        <w:t xml:space="preserve"> percentage will grow to 14.6% by 2030 according to projections published by the National Council of Population (CONAPO). Of the total </w:t>
      </w:r>
      <w:r w:rsidR="003A74E7">
        <w:rPr>
          <w:rStyle w:val="Hyperlink"/>
          <w:rFonts w:cstheme="minorHAnsi"/>
          <w:color w:val="E36C0A" w:themeColor="accent6" w:themeShade="BF"/>
          <w:sz w:val="24"/>
          <w:szCs w:val="24"/>
          <w:u w:val="none"/>
          <w:lang w:val="en-US"/>
        </w:rPr>
        <w:t>PAM</w:t>
      </w:r>
      <w:r w:rsidRPr="00174D74">
        <w:rPr>
          <w:rStyle w:val="Hyperlink"/>
          <w:rFonts w:cstheme="minorHAnsi"/>
          <w:color w:val="E36C0A" w:themeColor="accent6" w:themeShade="BF"/>
          <w:sz w:val="24"/>
          <w:szCs w:val="24"/>
          <w:u w:val="none"/>
          <w:lang w:val="en-US"/>
        </w:rPr>
        <w:t xml:space="preserve">, 43.7% live in poverty, of which 7.4% suffer from lack of quality and </w:t>
      </w:r>
      <w:r w:rsidR="003A74E7">
        <w:rPr>
          <w:rStyle w:val="Hyperlink"/>
          <w:rFonts w:cstheme="minorHAnsi"/>
          <w:color w:val="E36C0A" w:themeColor="accent6" w:themeShade="BF"/>
          <w:sz w:val="24"/>
          <w:szCs w:val="24"/>
          <w:u w:val="none"/>
          <w:lang w:val="en-US"/>
        </w:rPr>
        <w:t xml:space="preserve">adequate </w:t>
      </w:r>
      <w:r w:rsidRPr="00174D74">
        <w:rPr>
          <w:rStyle w:val="Hyperlink"/>
          <w:rFonts w:cstheme="minorHAnsi"/>
          <w:color w:val="E36C0A" w:themeColor="accent6" w:themeShade="BF"/>
          <w:sz w:val="24"/>
          <w:szCs w:val="24"/>
          <w:u w:val="none"/>
          <w:lang w:val="en-US"/>
        </w:rPr>
        <w:t xml:space="preserve">space in the home and 20.8% </w:t>
      </w:r>
      <w:r w:rsidR="003A74E7">
        <w:rPr>
          <w:rStyle w:val="Hyperlink"/>
          <w:rFonts w:cstheme="minorHAnsi"/>
          <w:color w:val="E36C0A" w:themeColor="accent6" w:themeShade="BF"/>
          <w:sz w:val="24"/>
          <w:szCs w:val="24"/>
          <w:u w:val="none"/>
          <w:lang w:val="en-US"/>
        </w:rPr>
        <w:t xml:space="preserve">lack </w:t>
      </w:r>
      <w:r w:rsidRPr="00174D74">
        <w:rPr>
          <w:rStyle w:val="Hyperlink"/>
          <w:rFonts w:cstheme="minorHAnsi"/>
          <w:color w:val="E36C0A" w:themeColor="accent6" w:themeShade="BF"/>
          <w:sz w:val="24"/>
          <w:szCs w:val="24"/>
          <w:u w:val="none"/>
          <w:lang w:val="en-US"/>
        </w:rPr>
        <w:t xml:space="preserve">access to basic housing services. </w:t>
      </w:r>
    </w:p>
    <w:p w14:paraId="735D9A6E" w14:textId="77777777" w:rsidR="00CA2C78" w:rsidRPr="00226F79" w:rsidRDefault="00CA2C78" w:rsidP="00226F79">
      <w:pPr>
        <w:jc w:val="both"/>
        <w:rPr>
          <w:sz w:val="24"/>
          <w:szCs w:val="24"/>
        </w:rPr>
      </w:pPr>
    </w:p>
    <w:p w14:paraId="68FA647F" w14:textId="77777777" w:rsidR="00226F79" w:rsidRPr="00226F79" w:rsidRDefault="00226F79" w:rsidP="00226F79">
      <w:pPr>
        <w:jc w:val="both"/>
        <w:rPr>
          <w:i/>
          <w:sz w:val="24"/>
          <w:szCs w:val="24"/>
        </w:rPr>
      </w:pPr>
      <w:r w:rsidRPr="00226F79">
        <w:rPr>
          <w:i/>
          <w:sz w:val="24"/>
          <w:szCs w:val="24"/>
        </w:rPr>
        <w:t>Habitability</w:t>
      </w:r>
    </w:p>
    <w:p w14:paraId="68EE43C3" w14:textId="77777777" w:rsidR="00226F79" w:rsidRPr="00226F79" w:rsidRDefault="00226F79" w:rsidP="005E6EDB">
      <w:pPr>
        <w:pStyle w:val="ListParagraph"/>
        <w:numPr>
          <w:ilvl w:val="0"/>
          <w:numId w:val="2"/>
        </w:numPr>
        <w:jc w:val="both"/>
        <w:rPr>
          <w:sz w:val="24"/>
          <w:szCs w:val="24"/>
        </w:rPr>
      </w:pPr>
      <w:r w:rsidRPr="00226F79">
        <w:rPr>
          <w:sz w:val="24"/>
          <w:szCs w:val="24"/>
        </w:rPr>
        <w:t xml:space="preserve">discrimination in relation to housing conditions, overcrowding or housing maintenance; </w:t>
      </w:r>
    </w:p>
    <w:p w14:paraId="17AA71B3" w14:textId="77777777" w:rsidR="00226F79" w:rsidRPr="00226F79" w:rsidRDefault="000C7384" w:rsidP="005E6EDB">
      <w:pPr>
        <w:pStyle w:val="ListParagraph"/>
        <w:numPr>
          <w:ilvl w:val="0"/>
          <w:numId w:val="2"/>
        </w:numPr>
        <w:jc w:val="both"/>
        <w:rPr>
          <w:sz w:val="24"/>
          <w:szCs w:val="24"/>
        </w:rPr>
      </w:pPr>
      <w:r>
        <w:rPr>
          <w:sz w:val="24"/>
          <w:szCs w:val="24"/>
        </w:rPr>
        <w:t>E</w:t>
      </w:r>
      <w:r w:rsidR="00226F79" w:rsidRPr="00226F79">
        <w:rPr>
          <w:sz w:val="24"/>
          <w:szCs w:val="24"/>
        </w:rPr>
        <w:t>xposure to health risks within the home, including lack of ventilation, heating or insulation, exposure to fire or housing collapse risk, unhealthy building materials, or other unhealthy housing covered by the WHO Guidelines on housing and health;</w:t>
      </w:r>
    </w:p>
    <w:p w14:paraId="00D89C0D" w14:textId="77777777" w:rsidR="00226F79" w:rsidRPr="00226F79" w:rsidRDefault="00226F79" w:rsidP="005E6EDB">
      <w:pPr>
        <w:pStyle w:val="ListParagraph"/>
        <w:numPr>
          <w:ilvl w:val="0"/>
          <w:numId w:val="2"/>
        </w:numPr>
        <w:jc w:val="both"/>
        <w:rPr>
          <w:sz w:val="24"/>
          <w:szCs w:val="24"/>
        </w:rPr>
      </w:pPr>
      <w:r w:rsidRPr="00226F79">
        <w:rPr>
          <w:sz w:val="24"/>
          <w:szCs w:val="24"/>
        </w:rPr>
        <w:t xml:space="preserve">Exposure to other risks which render housing uninhabitable, including sexual or gender-based violence, interference with privacy and physical security in the home and neighbourhood; </w:t>
      </w:r>
    </w:p>
    <w:p w14:paraId="10E73ECC" w14:textId="6D21F6CF" w:rsidR="00226F79" w:rsidRDefault="00226F79" w:rsidP="005E6EDB">
      <w:pPr>
        <w:pStyle w:val="ListParagraph"/>
        <w:numPr>
          <w:ilvl w:val="0"/>
          <w:numId w:val="2"/>
        </w:numPr>
        <w:jc w:val="both"/>
        <w:rPr>
          <w:sz w:val="24"/>
          <w:szCs w:val="24"/>
        </w:rPr>
      </w:pPr>
      <w:r w:rsidRPr="00226F79">
        <w:rPr>
          <w:sz w:val="24"/>
          <w:szCs w:val="24"/>
        </w:rPr>
        <w:t>Discrimination in relation to housing renovation or permission of housing extension;</w:t>
      </w:r>
    </w:p>
    <w:p w14:paraId="5E3BD4EC" w14:textId="38645127" w:rsidR="003A74E7" w:rsidRDefault="003A74E7" w:rsidP="003A74E7">
      <w:pPr>
        <w:jc w:val="both"/>
        <w:rPr>
          <w:sz w:val="24"/>
          <w:szCs w:val="24"/>
        </w:rPr>
      </w:pPr>
    </w:p>
    <w:p w14:paraId="7B8A22D3" w14:textId="26E468A7" w:rsidR="003A74E7" w:rsidRPr="003A74E7" w:rsidRDefault="003A74E7" w:rsidP="003A74E7">
      <w:pPr>
        <w:jc w:val="both"/>
        <w:rPr>
          <w:i/>
          <w:iCs/>
          <w:color w:val="E36C0A" w:themeColor="accent6" w:themeShade="BF"/>
          <w:sz w:val="24"/>
          <w:szCs w:val="24"/>
        </w:rPr>
      </w:pPr>
      <w:r w:rsidRPr="003A74E7">
        <w:rPr>
          <w:i/>
          <w:iCs/>
          <w:color w:val="E36C0A" w:themeColor="accent6" w:themeShade="BF"/>
          <w:sz w:val="24"/>
          <w:szCs w:val="24"/>
        </w:rPr>
        <w:t>Mexico</w:t>
      </w:r>
    </w:p>
    <w:p w14:paraId="1260C1B3" w14:textId="77777777" w:rsidR="00226F79" w:rsidRDefault="00226F79" w:rsidP="00226F79">
      <w:pPr>
        <w:ind w:left="360"/>
        <w:jc w:val="both"/>
        <w:rPr>
          <w:sz w:val="24"/>
          <w:szCs w:val="24"/>
        </w:rPr>
      </w:pPr>
    </w:p>
    <w:p w14:paraId="24F3A7BD" w14:textId="2755EC91" w:rsidR="003A314E" w:rsidRPr="003A74E7" w:rsidRDefault="00BC4577" w:rsidP="00BC4577">
      <w:pPr>
        <w:ind w:left="360"/>
        <w:jc w:val="both"/>
        <w:rPr>
          <w:color w:val="E36C0A" w:themeColor="accent6" w:themeShade="BF"/>
          <w:sz w:val="24"/>
          <w:szCs w:val="24"/>
        </w:rPr>
      </w:pPr>
      <w:r w:rsidRPr="003A74E7">
        <w:rPr>
          <w:color w:val="E36C0A" w:themeColor="accent6" w:themeShade="BF"/>
          <w:sz w:val="24"/>
          <w:szCs w:val="24"/>
        </w:rPr>
        <w:t xml:space="preserve">In Mexico in 2018 the number of homes lagging behind due to overcrowding was 1.7 million (approximately 7% of the total homes) and for materials was 8.5 million (approximately 25% of all homes). It is relevant to underline that several of the materials whose </w:t>
      </w:r>
      <w:r w:rsidR="009002E8">
        <w:rPr>
          <w:color w:val="E36C0A" w:themeColor="accent6" w:themeShade="BF"/>
          <w:sz w:val="24"/>
          <w:szCs w:val="24"/>
        </w:rPr>
        <w:t>use</w:t>
      </w:r>
      <w:r w:rsidRPr="003A74E7">
        <w:rPr>
          <w:color w:val="E36C0A" w:themeColor="accent6" w:themeShade="BF"/>
          <w:sz w:val="24"/>
          <w:szCs w:val="24"/>
        </w:rPr>
        <w:t xml:space="preserve"> makes a </w:t>
      </w:r>
      <w:r w:rsidR="00CA2C78" w:rsidRPr="003A74E7">
        <w:rPr>
          <w:color w:val="E36C0A" w:themeColor="accent6" w:themeShade="BF"/>
          <w:sz w:val="24"/>
          <w:szCs w:val="24"/>
        </w:rPr>
        <w:t>home “</w:t>
      </w:r>
      <w:r w:rsidRPr="003A74E7">
        <w:rPr>
          <w:color w:val="E36C0A" w:themeColor="accent6" w:themeShade="BF"/>
          <w:sz w:val="24"/>
          <w:szCs w:val="24"/>
        </w:rPr>
        <w:t>uninhabitable</w:t>
      </w:r>
      <w:r w:rsidR="00CA2C78" w:rsidRPr="003A74E7">
        <w:rPr>
          <w:color w:val="E36C0A" w:themeColor="accent6" w:themeShade="BF"/>
          <w:sz w:val="24"/>
          <w:szCs w:val="24"/>
        </w:rPr>
        <w:t>”</w:t>
      </w:r>
      <w:r w:rsidRPr="003A74E7">
        <w:rPr>
          <w:color w:val="E36C0A" w:themeColor="accent6" w:themeShade="BF"/>
          <w:sz w:val="24"/>
          <w:szCs w:val="24"/>
        </w:rPr>
        <w:t xml:space="preserve"> in official statistics are traditional materials </w:t>
      </w:r>
      <w:r w:rsidRPr="003A74E7">
        <w:rPr>
          <w:color w:val="E36C0A" w:themeColor="accent6" w:themeShade="BF"/>
          <w:sz w:val="24"/>
          <w:szCs w:val="24"/>
        </w:rPr>
        <w:lastRenderedPageBreak/>
        <w:t>that have always been used by the population and whose use instead of being "criminalized" could be rescued.</w:t>
      </w:r>
    </w:p>
    <w:p w14:paraId="119F88FC" w14:textId="77777777" w:rsidR="00BC4577" w:rsidRDefault="00BC4577" w:rsidP="00226F79">
      <w:pPr>
        <w:jc w:val="both"/>
        <w:rPr>
          <w:i/>
          <w:sz w:val="24"/>
          <w:szCs w:val="24"/>
        </w:rPr>
      </w:pPr>
    </w:p>
    <w:p w14:paraId="3056E894" w14:textId="77777777" w:rsidR="00226F79" w:rsidRPr="00226F79" w:rsidRDefault="00226F79" w:rsidP="00226F79">
      <w:pPr>
        <w:jc w:val="both"/>
        <w:rPr>
          <w:i/>
          <w:sz w:val="24"/>
          <w:szCs w:val="24"/>
        </w:rPr>
      </w:pPr>
      <w:r w:rsidRPr="00226F79">
        <w:rPr>
          <w:i/>
          <w:sz w:val="24"/>
          <w:szCs w:val="24"/>
        </w:rPr>
        <w:t>Affordability</w:t>
      </w:r>
    </w:p>
    <w:p w14:paraId="11253A5E" w14:textId="77777777" w:rsidR="00226F79" w:rsidRPr="00226F79" w:rsidRDefault="00226F79" w:rsidP="005E6EDB">
      <w:pPr>
        <w:pStyle w:val="ListParagraph"/>
        <w:numPr>
          <w:ilvl w:val="0"/>
          <w:numId w:val="2"/>
        </w:numPr>
        <w:jc w:val="both"/>
        <w:rPr>
          <w:sz w:val="24"/>
          <w:szCs w:val="24"/>
        </w:rPr>
      </w:pPr>
      <w:r w:rsidRPr="00226F79">
        <w:rPr>
          <w:sz w:val="24"/>
          <w:szCs w:val="24"/>
        </w:rPr>
        <w:t>Discrimination in relation to access to public benefits related to housing;</w:t>
      </w:r>
    </w:p>
    <w:p w14:paraId="5C3CD3A5" w14:textId="77777777" w:rsidR="00226F79" w:rsidRPr="00226F79" w:rsidRDefault="00226F79" w:rsidP="005E6EDB">
      <w:pPr>
        <w:pStyle w:val="ListParagraph"/>
        <w:numPr>
          <w:ilvl w:val="0"/>
          <w:numId w:val="2"/>
        </w:numPr>
        <w:jc w:val="both"/>
        <w:rPr>
          <w:sz w:val="24"/>
          <w:szCs w:val="24"/>
        </w:rPr>
      </w:pPr>
      <w:r w:rsidRPr="00226F79">
        <w:rPr>
          <w:sz w:val="24"/>
          <w:szCs w:val="24"/>
        </w:rPr>
        <w:t xml:space="preserve">Lack of equal access to affordable housing; </w:t>
      </w:r>
    </w:p>
    <w:p w14:paraId="24903892" w14:textId="77777777" w:rsidR="00226F79" w:rsidRPr="00226F79" w:rsidRDefault="00226F79" w:rsidP="005E6EDB">
      <w:pPr>
        <w:pStyle w:val="ListParagraph"/>
        <w:numPr>
          <w:ilvl w:val="0"/>
          <w:numId w:val="2"/>
        </w:numPr>
        <w:jc w:val="both"/>
        <w:rPr>
          <w:sz w:val="24"/>
          <w:szCs w:val="24"/>
        </w:rPr>
      </w:pPr>
      <w:r w:rsidRPr="00226F79">
        <w:rPr>
          <w:sz w:val="24"/>
          <w:szCs w:val="24"/>
        </w:rPr>
        <w:t>Discrimination in public and private housing financing;</w:t>
      </w:r>
    </w:p>
    <w:p w14:paraId="4BD7101B" w14:textId="26613FBC" w:rsidR="00226F79" w:rsidRDefault="00226F79" w:rsidP="005E6EDB">
      <w:pPr>
        <w:pStyle w:val="ListParagraph"/>
        <w:numPr>
          <w:ilvl w:val="0"/>
          <w:numId w:val="2"/>
        </w:numPr>
        <w:jc w:val="both"/>
        <w:rPr>
          <w:sz w:val="24"/>
          <w:szCs w:val="24"/>
        </w:rPr>
      </w:pPr>
      <w:r w:rsidRPr="00226F79">
        <w:rPr>
          <w:sz w:val="24"/>
          <w:szCs w:val="24"/>
        </w:rPr>
        <w:t>Discrimination related to housing and service costs, housing related fees, litigation or taxation;</w:t>
      </w:r>
    </w:p>
    <w:p w14:paraId="7BD6C697" w14:textId="49FA7409" w:rsidR="009002E8" w:rsidRDefault="009002E8" w:rsidP="009002E8">
      <w:pPr>
        <w:jc w:val="both"/>
        <w:rPr>
          <w:sz w:val="24"/>
          <w:szCs w:val="24"/>
        </w:rPr>
      </w:pPr>
    </w:p>
    <w:p w14:paraId="2842474D" w14:textId="2085E964" w:rsidR="009002E8" w:rsidRPr="009002E8" w:rsidRDefault="009002E8" w:rsidP="009002E8">
      <w:pPr>
        <w:jc w:val="both"/>
        <w:rPr>
          <w:i/>
          <w:iCs/>
          <w:color w:val="E36C0A" w:themeColor="accent6" w:themeShade="BF"/>
          <w:sz w:val="24"/>
          <w:szCs w:val="24"/>
        </w:rPr>
      </w:pPr>
      <w:r w:rsidRPr="009002E8">
        <w:rPr>
          <w:i/>
          <w:iCs/>
          <w:color w:val="E36C0A" w:themeColor="accent6" w:themeShade="BF"/>
          <w:sz w:val="24"/>
          <w:szCs w:val="24"/>
        </w:rPr>
        <w:t>Mexico</w:t>
      </w:r>
    </w:p>
    <w:p w14:paraId="1491B833" w14:textId="77777777" w:rsidR="00226F79" w:rsidRDefault="00226F79" w:rsidP="00226F79">
      <w:pPr>
        <w:jc w:val="both"/>
        <w:rPr>
          <w:sz w:val="24"/>
          <w:szCs w:val="24"/>
        </w:rPr>
      </w:pPr>
    </w:p>
    <w:p w14:paraId="095587C4" w14:textId="77777777" w:rsidR="009002E8" w:rsidRDefault="0095295A" w:rsidP="00051881">
      <w:pPr>
        <w:jc w:val="both"/>
        <w:rPr>
          <w:color w:val="E36C0A" w:themeColor="accent6" w:themeShade="BF"/>
          <w:sz w:val="24"/>
          <w:szCs w:val="24"/>
        </w:rPr>
      </w:pPr>
      <w:r w:rsidRPr="009002E8">
        <w:rPr>
          <w:color w:val="E36C0A" w:themeColor="accent6" w:themeShade="BF"/>
          <w:sz w:val="24"/>
          <w:szCs w:val="24"/>
        </w:rPr>
        <w:t>In M</w:t>
      </w:r>
      <w:r w:rsidR="009002E8">
        <w:rPr>
          <w:color w:val="E36C0A" w:themeColor="accent6" w:themeShade="BF"/>
          <w:sz w:val="24"/>
          <w:szCs w:val="24"/>
        </w:rPr>
        <w:t>e</w:t>
      </w:r>
      <w:r w:rsidRPr="009002E8">
        <w:rPr>
          <w:color w:val="E36C0A" w:themeColor="accent6" w:themeShade="BF"/>
          <w:sz w:val="24"/>
          <w:szCs w:val="24"/>
        </w:rPr>
        <w:t xml:space="preserve">xico, the </w:t>
      </w:r>
      <w:r w:rsidRPr="009002E8">
        <w:rPr>
          <w:rFonts w:cstheme="minorHAnsi"/>
          <w:color w:val="E36C0A" w:themeColor="accent6" w:themeShade="BF"/>
          <w:sz w:val="24"/>
          <w:szCs w:val="24"/>
          <w:lang w:val="en-US"/>
        </w:rPr>
        <w:t>2019-2024</w:t>
      </w:r>
      <w:r w:rsidRPr="009002E8">
        <w:rPr>
          <w:rStyle w:val="Hyperlink"/>
          <w:rFonts w:cstheme="minorHAnsi"/>
          <w:color w:val="E36C0A" w:themeColor="accent6" w:themeShade="BF"/>
          <w:sz w:val="24"/>
          <w:szCs w:val="24"/>
          <w:u w:val="none"/>
          <w:lang w:val="en-US"/>
        </w:rPr>
        <w:t xml:space="preserve"> National Housing Program</w:t>
      </w:r>
      <w:r w:rsidR="00F67F87" w:rsidRPr="009002E8">
        <w:rPr>
          <w:rStyle w:val="Hyperlink"/>
          <w:rFonts w:cstheme="minorHAnsi"/>
          <w:color w:val="E36C0A" w:themeColor="accent6" w:themeShade="BF"/>
          <w:sz w:val="24"/>
          <w:szCs w:val="24"/>
          <w:u w:val="none"/>
          <w:lang w:val="en-US"/>
        </w:rPr>
        <w:t xml:space="preserve"> </w:t>
      </w:r>
      <w:r w:rsidRPr="009002E8">
        <w:rPr>
          <w:rStyle w:val="Hyperlink"/>
          <w:rFonts w:cstheme="minorHAnsi"/>
          <w:color w:val="E36C0A" w:themeColor="accent6" w:themeShade="BF"/>
          <w:sz w:val="24"/>
          <w:szCs w:val="24"/>
          <w:u w:val="none"/>
          <w:lang w:val="en-US"/>
        </w:rPr>
        <w:t>recognize</w:t>
      </w:r>
      <w:r w:rsidR="009002E8">
        <w:rPr>
          <w:rStyle w:val="Hyperlink"/>
          <w:rFonts w:cstheme="minorHAnsi"/>
          <w:color w:val="E36C0A" w:themeColor="accent6" w:themeShade="BF"/>
          <w:sz w:val="24"/>
          <w:szCs w:val="24"/>
          <w:u w:val="none"/>
          <w:lang w:val="en-US"/>
        </w:rPr>
        <w:t>s</w:t>
      </w:r>
      <w:r w:rsidRPr="009002E8">
        <w:rPr>
          <w:rStyle w:val="Hyperlink"/>
          <w:rFonts w:cstheme="minorHAnsi"/>
          <w:color w:val="E36C0A" w:themeColor="accent6" w:themeShade="BF"/>
          <w:sz w:val="24"/>
          <w:szCs w:val="24"/>
          <w:u w:val="none"/>
          <w:lang w:val="en-US"/>
        </w:rPr>
        <w:t xml:space="preserve"> that</w:t>
      </w:r>
      <w:r w:rsidR="009002E8" w:rsidRPr="009002E8">
        <w:rPr>
          <w:rStyle w:val="Hyperlink"/>
          <w:rFonts w:cstheme="minorHAnsi"/>
          <w:color w:val="E36C0A" w:themeColor="accent6" w:themeShade="BF"/>
          <w:sz w:val="24"/>
          <w:szCs w:val="24"/>
          <w:u w:val="none"/>
          <w:lang w:val="en-US"/>
        </w:rPr>
        <w:t xml:space="preserve"> the </w:t>
      </w:r>
      <w:r w:rsidRPr="009002E8">
        <w:rPr>
          <w:color w:val="E36C0A" w:themeColor="accent6" w:themeShade="BF"/>
          <w:sz w:val="24"/>
          <w:szCs w:val="24"/>
        </w:rPr>
        <w:t>first three income deciles spend more than 30% of their income on rent. More precisely, figures from the 2018 National Household Income and Spending Survey (ENIGH)</w:t>
      </w:r>
      <w:r w:rsidRPr="009002E8">
        <w:rPr>
          <w:rStyle w:val="FootnoteReference"/>
          <w:color w:val="E36C0A" w:themeColor="accent6" w:themeShade="BF"/>
          <w:sz w:val="24"/>
          <w:szCs w:val="24"/>
        </w:rPr>
        <w:footnoteReference w:id="3"/>
      </w:r>
      <w:r w:rsidRPr="009002E8">
        <w:rPr>
          <w:color w:val="E36C0A" w:themeColor="accent6" w:themeShade="BF"/>
          <w:sz w:val="24"/>
          <w:szCs w:val="24"/>
        </w:rPr>
        <w:t xml:space="preserve"> estimate that the poorest decile of Mexican households (</w:t>
      </w:r>
      <w:r w:rsidRPr="009002E8">
        <w:rPr>
          <w:rFonts w:cstheme="minorHAnsi"/>
          <w:color w:val="E36C0A" w:themeColor="accent6" w:themeShade="BF"/>
          <w:sz w:val="24"/>
          <w:szCs w:val="24"/>
          <w:lang w:val="en-US"/>
        </w:rPr>
        <w:t>the I decile represent the 10% with lowest income, which, on average, live on 5 US dollars a day</w:t>
      </w:r>
      <w:r w:rsidRPr="009002E8">
        <w:rPr>
          <w:rFonts w:cstheme="minorHAnsi"/>
          <w:color w:val="E36C0A" w:themeColor="accent6" w:themeShade="BF"/>
          <w:lang w:val="en-US"/>
        </w:rPr>
        <w:t xml:space="preserve">), </w:t>
      </w:r>
      <w:r w:rsidRPr="009002E8">
        <w:rPr>
          <w:color w:val="E36C0A" w:themeColor="accent6" w:themeShade="BF"/>
          <w:sz w:val="24"/>
          <w:szCs w:val="24"/>
        </w:rPr>
        <w:t xml:space="preserve">spends around 61% of their income on housing and utilities. The number for the next two deciles is 34%, while for the rest it does not exceed 30%, underscoring a clear inequality. </w:t>
      </w:r>
    </w:p>
    <w:p w14:paraId="6CF2AB17" w14:textId="77777777" w:rsidR="009002E8" w:rsidRDefault="009002E8" w:rsidP="00051881">
      <w:pPr>
        <w:jc w:val="both"/>
        <w:rPr>
          <w:color w:val="E36C0A" w:themeColor="accent6" w:themeShade="BF"/>
          <w:sz w:val="24"/>
          <w:szCs w:val="24"/>
        </w:rPr>
      </w:pPr>
    </w:p>
    <w:p w14:paraId="449DA940" w14:textId="314631D6" w:rsidR="009002E8" w:rsidRDefault="00051881" w:rsidP="00051881">
      <w:pPr>
        <w:jc w:val="both"/>
        <w:rPr>
          <w:color w:val="E36C0A" w:themeColor="accent6" w:themeShade="BF"/>
          <w:sz w:val="24"/>
          <w:szCs w:val="24"/>
        </w:rPr>
      </w:pPr>
      <w:r w:rsidRPr="009002E8">
        <w:rPr>
          <w:color w:val="E36C0A" w:themeColor="accent6" w:themeShade="BF"/>
          <w:sz w:val="24"/>
          <w:szCs w:val="24"/>
        </w:rPr>
        <w:t xml:space="preserve">The first challenge has to do with </w:t>
      </w:r>
      <w:r w:rsidR="009002E8">
        <w:rPr>
          <w:color w:val="E36C0A" w:themeColor="accent6" w:themeShade="BF"/>
          <w:sz w:val="24"/>
          <w:szCs w:val="24"/>
        </w:rPr>
        <w:t xml:space="preserve">market </w:t>
      </w:r>
      <w:r w:rsidRPr="009002E8">
        <w:rPr>
          <w:color w:val="E36C0A" w:themeColor="accent6" w:themeShade="BF"/>
          <w:sz w:val="24"/>
          <w:szCs w:val="24"/>
        </w:rPr>
        <w:t xml:space="preserve">prices and income level of the population; if it is taken into account that the </w:t>
      </w:r>
      <w:r w:rsidR="009002E8" w:rsidRPr="009002E8">
        <w:rPr>
          <w:color w:val="E36C0A" w:themeColor="accent6" w:themeShade="BF"/>
          <w:sz w:val="24"/>
          <w:szCs w:val="24"/>
        </w:rPr>
        <w:t xml:space="preserve">annual average </w:t>
      </w:r>
      <w:r w:rsidRPr="009002E8">
        <w:rPr>
          <w:color w:val="E36C0A" w:themeColor="accent6" w:themeShade="BF"/>
          <w:sz w:val="24"/>
          <w:szCs w:val="24"/>
        </w:rPr>
        <w:t>income</w:t>
      </w:r>
      <w:r w:rsidR="009002E8">
        <w:rPr>
          <w:color w:val="E36C0A" w:themeColor="accent6" w:themeShade="BF"/>
          <w:sz w:val="24"/>
          <w:szCs w:val="24"/>
        </w:rPr>
        <w:t xml:space="preserve"> </w:t>
      </w:r>
      <w:r w:rsidRPr="009002E8">
        <w:rPr>
          <w:color w:val="E36C0A" w:themeColor="accent6" w:themeShade="BF"/>
          <w:sz w:val="24"/>
          <w:szCs w:val="24"/>
        </w:rPr>
        <w:t xml:space="preserve">of households in 2018 was approximately $ 198,440 MXN and the </w:t>
      </w:r>
      <w:r w:rsidR="009002E8" w:rsidRPr="009002E8">
        <w:rPr>
          <w:color w:val="E36C0A" w:themeColor="accent6" w:themeShade="BF"/>
          <w:sz w:val="24"/>
          <w:szCs w:val="24"/>
        </w:rPr>
        <w:t xml:space="preserve">average </w:t>
      </w:r>
      <w:r w:rsidRPr="009002E8">
        <w:rPr>
          <w:color w:val="E36C0A" w:themeColor="accent6" w:themeShade="BF"/>
          <w:sz w:val="24"/>
          <w:szCs w:val="24"/>
        </w:rPr>
        <w:t>price</w:t>
      </w:r>
      <w:r w:rsidR="009002E8">
        <w:rPr>
          <w:color w:val="E36C0A" w:themeColor="accent6" w:themeShade="BF"/>
          <w:sz w:val="24"/>
          <w:szCs w:val="24"/>
        </w:rPr>
        <w:t xml:space="preserve"> </w:t>
      </w:r>
      <w:r w:rsidRPr="009002E8">
        <w:rPr>
          <w:color w:val="E36C0A" w:themeColor="accent6" w:themeShade="BF"/>
          <w:sz w:val="24"/>
          <w:szCs w:val="24"/>
        </w:rPr>
        <w:t xml:space="preserve">of a new house </w:t>
      </w:r>
      <w:r w:rsidR="009002E8">
        <w:rPr>
          <w:color w:val="E36C0A" w:themeColor="accent6" w:themeShade="BF"/>
          <w:sz w:val="24"/>
          <w:szCs w:val="24"/>
        </w:rPr>
        <w:t>was</w:t>
      </w:r>
      <w:r w:rsidRPr="009002E8">
        <w:rPr>
          <w:color w:val="E36C0A" w:themeColor="accent6" w:themeShade="BF"/>
          <w:sz w:val="24"/>
          <w:szCs w:val="24"/>
        </w:rPr>
        <w:t xml:space="preserve"> MXN $ 800.98223</w:t>
      </w:r>
      <w:r w:rsidR="009002E8">
        <w:rPr>
          <w:color w:val="E36C0A" w:themeColor="accent6" w:themeShade="BF"/>
          <w:sz w:val="24"/>
          <w:szCs w:val="24"/>
        </w:rPr>
        <w:t>. T</w:t>
      </w:r>
      <w:r w:rsidRPr="009002E8">
        <w:rPr>
          <w:color w:val="E36C0A" w:themeColor="accent6" w:themeShade="BF"/>
          <w:sz w:val="24"/>
          <w:szCs w:val="24"/>
        </w:rPr>
        <w:t xml:space="preserve">his means that a family would have to allocate about four times the total annual income to purchase middle housing, paid in cash. </w:t>
      </w:r>
      <w:r w:rsidR="009002E8">
        <w:rPr>
          <w:color w:val="E36C0A" w:themeColor="accent6" w:themeShade="BF"/>
          <w:sz w:val="24"/>
          <w:szCs w:val="24"/>
        </w:rPr>
        <w:t>This</w:t>
      </w:r>
      <w:r w:rsidRPr="009002E8">
        <w:rPr>
          <w:color w:val="E36C0A" w:themeColor="accent6" w:themeShade="BF"/>
          <w:sz w:val="24"/>
          <w:szCs w:val="24"/>
        </w:rPr>
        <w:t xml:space="preserve"> lack affordability becomes more pronounced in the case of women, who in 2018 earned an average monthly income of $ 13,595 MXN, compared to that of the men who </w:t>
      </w:r>
      <w:r w:rsidR="009002E8">
        <w:rPr>
          <w:color w:val="E36C0A" w:themeColor="accent6" w:themeShade="BF"/>
          <w:sz w:val="24"/>
          <w:szCs w:val="24"/>
        </w:rPr>
        <w:t>earned</w:t>
      </w:r>
      <w:r w:rsidRPr="009002E8">
        <w:rPr>
          <w:color w:val="E36C0A" w:themeColor="accent6" w:themeShade="BF"/>
          <w:sz w:val="24"/>
          <w:szCs w:val="24"/>
        </w:rPr>
        <w:t xml:space="preserve"> $ 21,962 MXN; that is, for every ten pesos </w:t>
      </w:r>
      <w:r w:rsidR="009002E8">
        <w:rPr>
          <w:color w:val="E36C0A" w:themeColor="accent6" w:themeShade="BF"/>
          <w:sz w:val="24"/>
          <w:szCs w:val="24"/>
        </w:rPr>
        <w:t>received</w:t>
      </w:r>
      <w:r w:rsidRPr="009002E8">
        <w:rPr>
          <w:color w:val="E36C0A" w:themeColor="accent6" w:themeShade="BF"/>
          <w:sz w:val="24"/>
          <w:szCs w:val="24"/>
        </w:rPr>
        <w:t xml:space="preserve"> by men, women received </w:t>
      </w:r>
      <w:proofErr w:type="spellStart"/>
      <w:r w:rsidRPr="009002E8">
        <w:rPr>
          <w:color w:val="E36C0A" w:themeColor="accent6" w:themeShade="BF"/>
          <w:sz w:val="24"/>
          <w:szCs w:val="24"/>
        </w:rPr>
        <w:t>six.In</w:t>
      </w:r>
      <w:proofErr w:type="spellEnd"/>
      <w:r w:rsidRPr="009002E8">
        <w:rPr>
          <w:color w:val="E36C0A" w:themeColor="accent6" w:themeShade="BF"/>
          <w:sz w:val="24"/>
          <w:szCs w:val="24"/>
        </w:rPr>
        <w:t xml:space="preserve"> the case of the indigenous population, </w:t>
      </w:r>
      <w:r w:rsidRPr="009002E8">
        <w:rPr>
          <w:color w:val="E36C0A" w:themeColor="accent6" w:themeShade="BF"/>
          <w:sz w:val="24"/>
          <w:szCs w:val="24"/>
        </w:rPr>
        <w:lastRenderedPageBreak/>
        <w:t xml:space="preserve">where the average income </w:t>
      </w:r>
      <w:r w:rsidR="009002E8">
        <w:rPr>
          <w:color w:val="E36C0A" w:themeColor="accent6" w:themeShade="BF"/>
          <w:sz w:val="24"/>
          <w:szCs w:val="24"/>
        </w:rPr>
        <w:t>of</w:t>
      </w:r>
      <w:r w:rsidRPr="009002E8">
        <w:rPr>
          <w:color w:val="E36C0A" w:themeColor="accent6" w:themeShade="BF"/>
          <w:sz w:val="24"/>
          <w:szCs w:val="24"/>
        </w:rPr>
        <w:t xml:space="preserve"> men was $ 16,076 MXN and for women of $ 9,373 MXN, this situation is aggravate</w:t>
      </w:r>
      <w:r w:rsidR="009002E8">
        <w:rPr>
          <w:color w:val="E36C0A" w:themeColor="accent6" w:themeShade="BF"/>
          <w:sz w:val="24"/>
          <w:szCs w:val="24"/>
        </w:rPr>
        <w:t>d</w:t>
      </w:r>
      <w:r w:rsidRPr="009002E8">
        <w:rPr>
          <w:color w:val="E36C0A" w:themeColor="accent6" w:themeShade="BF"/>
          <w:sz w:val="24"/>
          <w:szCs w:val="24"/>
        </w:rPr>
        <w:t xml:space="preserve"> (ENIGH, 2018). </w:t>
      </w:r>
    </w:p>
    <w:p w14:paraId="2571CC2C" w14:textId="77777777" w:rsidR="009002E8" w:rsidRDefault="009002E8" w:rsidP="00051881">
      <w:pPr>
        <w:jc w:val="both"/>
        <w:rPr>
          <w:color w:val="E36C0A" w:themeColor="accent6" w:themeShade="BF"/>
          <w:sz w:val="24"/>
          <w:szCs w:val="24"/>
        </w:rPr>
      </w:pPr>
    </w:p>
    <w:p w14:paraId="02E41EBE" w14:textId="636C748F" w:rsidR="00051881" w:rsidRPr="009002E8" w:rsidRDefault="00051881" w:rsidP="00051881">
      <w:pPr>
        <w:jc w:val="both"/>
        <w:rPr>
          <w:color w:val="E36C0A" w:themeColor="accent6" w:themeShade="BF"/>
          <w:sz w:val="24"/>
          <w:szCs w:val="24"/>
        </w:rPr>
      </w:pPr>
      <w:r w:rsidRPr="009002E8">
        <w:rPr>
          <w:color w:val="E36C0A" w:themeColor="accent6" w:themeShade="BF"/>
          <w:sz w:val="24"/>
          <w:szCs w:val="24"/>
        </w:rPr>
        <w:t xml:space="preserve">The second affordability challenge, for the national Housing Program is the insufficient and inequitable access to financing options. In Mexico there is a low penetration of credit for housing: in 2015, only 20.8% of private homes acquired or built by their owners were financed through </w:t>
      </w:r>
      <w:proofErr w:type="spellStart"/>
      <w:r w:rsidRPr="009002E8">
        <w:rPr>
          <w:color w:val="E36C0A" w:themeColor="accent6" w:themeShade="BF"/>
          <w:sz w:val="24"/>
          <w:szCs w:val="24"/>
        </w:rPr>
        <w:t>Infonavit</w:t>
      </w:r>
      <w:proofErr w:type="spellEnd"/>
      <w:r w:rsidRPr="009002E8">
        <w:rPr>
          <w:color w:val="E36C0A" w:themeColor="accent6" w:themeShade="BF"/>
          <w:sz w:val="24"/>
          <w:szCs w:val="24"/>
        </w:rPr>
        <w:t xml:space="preserve">, FOVISSSTE, PEMEX or the National </w:t>
      </w:r>
      <w:r w:rsidR="009002E8" w:rsidRPr="009002E8">
        <w:rPr>
          <w:color w:val="E36C0A" w:themeColor="accent6" w:themeShade="BF"/>
          <w:sz w:val="24"/>
          <w:szCs w:val="24"/>
        </w:rPr>
        <w:t>Popular</w:t>
      </w:r>
      <w:r w:rsidR="009002E8">
        <w:rPr>
          <w:color w:val="E36C0A" w:themeColor="accent6" w:themeShade="BF"/>
          <w:sz w:val="24"/>
          <w:szCs w:val="24"/>
        </w:rPr>
        <w:t xml:space="preserve"> Room Fund </w:t>
      </w:r>
      <w:r w:rsidRPr="009002E8">
        <w:rPr>
          <w:color w:val="E36C0A" w:themeColor="accent6" w:themeShade="BF"/>
          <w:sz w:val="24"/>
          <w:szCs w:val="24"/>
        </w:rPr>
        <w:t xml:space="preserve">while 4.9% had used a loan from banks, financial companies limited object or savings banks. This implies that, in that year, seven out of ten houses were financed with the resources of the family. The main problem, dragged for many years, is that the instruments </w:t>
      </w:r>
      <w:r w:rsidR="009002E8">
        <w:rPr>
          <w:color w:val="E36C0A" w:themeColor="accent6" w:themeShade="BF"/>
          <w:sz w:val="24"/>
          <w:szCs w:val="24"/>
        </w:rPr>
        <w:t xml:space="preserve">of </w:t>
      </w:r>
      <w:r w:rsidRPr="009002E8">
        <w:rPr>
          <w:color w:val="E36C0A" w:themeColor="accent6" w:themeShade="BF"/>
          <w:sz w:val="24"/>
          <w:szCs w:val="24"/>
        </w:rPr>
        <w:t xml:space="preserve">financial institutions in this sector are focused mainly </w:t>
      </w:r>
      <w:r w:rsidR="009002E8">
        <w:rPr>
          <w:color w:val="E36C0A" w:themeColor="accent6" w:themeShade="BF"/>
          <w:sz w:val="24"/>
          <w:szCs w:val="24"/>
        </w:rPr>
        <w:t>on</w:t>
      </w:r>
      <w:r w:rsidRPr="009002E8">
        <w:rPr>
          <w:color w:val="E36C0A" w:themeColor="accent6" w:themeShade="BF"/>
          <w:sz w:val="24"/>
          <w:szCs w:val="24"/>
        </w:rPr>
        <w:t xml:space="preserve"> the acquisition of housing for the eligible </w:t>
      </w:r>
      <w:r w:rsidR="009002E8">
        <w:rPr>
          <w:color w:val="E36C0A" w:themeColor="accent6" w:themeShade="BF"/>
          <w:sz w:val="24"/>
          <w:szCs w:val="24"/>
        </w:rPr>
        <w:t xml:space="preserve">part of the </w:t>
      </w:r>
      <w:r w:rsidRPr="009002E8">
        <w:rPr>
          <w:color w:val="E36C0A" w:themeColor="accent6" w:themeShade="BF"/>
          <w:sz w:val="24"/>
          <w:szCs w:val="24"/>
        </w:rPr>
        <w:t xml:space="preserve">population, which </w:t>
      </w:r>
      <w:r w:rsidRPr="009002E8">
        <w:rPr>
          <w:rStyle w:val="jlqj4b"/>
          <w:color w:val="E36C0A" w:themeColor="accent6" w:themeShade="BF"/>
          <w:sz w:val="24"/>
          <w:szCs w:val="24"/>
          <w:lang w:val="en"/>
        </w:rPr>
        <w:t>covers only 44% of the workforce in Mexico.</w:t>
      </w:r>
      <w:r w:rsidRPr="009002E8">
        <w:rPr>
          <w:rStyle w:val="viiyi"/>
          <w:color w:val="E36C0A" w:themeColor="accent6" w:themeShade="BF"/>
          <w:sz w:val="24"/>
          <w:szCs w:val="24"/>
          <w:lang w:val="en"/>
        </w:rPr>
        <w:t xml:space="preserve"> </w:t>
      </w:r>
      <w:r w:rsidRPr="009002E8">
        <w:rPr>
          <w:rStyle w:val="jlqj4b"/>
          <w:color w:val="E36C0A" w:themeColor="accent6" w:themeShade="BF"/>
          <w:sz w:val="24"/>
          <w:szCs w:val="24"/>
          <w:lang w:val="en"/>
        </w:rPr>
        <w:t>This generates a dynamic that excludes people who work in the formal sector with limited income, those who work in the informal sector</w:t>
      </w:r>
      <w:r w:rsidR="009002E8">
        <w:rPr>
          <w:rStyle w:val="jlqj4b"/>
          <w:color w:val="E36C0A" w:themeColor="accent6" w:themeShade="BF"/>
          <w:sz w:val="24"/>
          <w:szCs w:val="24"/>
          <w:lang w:val="en"/>
        </w:rPr>
        <w:t xml:space="preserve"> and </w:t>
      </w:r>
      <w:r w:rsidRPr="009002E8">
        <w:rPr>
          <w:rStyle w:val="jlqj4b"/>
          <w:color w:val="E36C0A" w:themeColor="accent6" w:themeShade="BF"/>
          <w:sz w:val="24"/>
          <w:szCs w:val="24"/>
          <w:lang w:val="en"/>
        </w:rPr>
        <w:t xml:space="preserve">those who have access to housing through lease and </w:t>
      </w:r>
      <w:r w:rsidR="009002E8">
        <w:rPr>
          <w:rStyle w:val="jlqj4b"/>
          <w:color w:val="E36C0A" w:themeColor="accent6" w:themeShade="BF"/>
          <w:sz w:val="24"/>
          <w:szCs w:val="24"/>
          <w:lang w:val="en"/>
        </w:rPr>
        <w:t>those</w:t>
      </w:r>
      <w:r w:rsidRPr="009002E8">
        <w:rPr>
          <w:rStyle w:val="jlqj4b"/>
          <w:color w:val="E36C0A" w:themeColor="accent6" w:themeShade="BF"/>
          <w:sz w:val="24"/>
          <w:szCs w:val="24"/>
          <w:lang w:val="en"/>
        </w:rPr>
        <w:t xml:space="preserve"> who build their home on a family lot.</w:t>
      </w:r>
    </w:p>
    <w:p w14:paraId="047BFFEC" w14:textId="77777777" w:rsidR="00051881" w:rsidRPr="009002E8" w:rsidRDefault="00051881" w:rsidP="0095295A">
      <w:pPr>
        <w:jc w:val="both"/>
        <w:rPr>
          <w:color w:val="E36C0A" w:themeColor="accent6" w:themeShade="BF"/>
          <w:sz w:val="24"/>
          <w:szCs w:val="24"/>
        </w:rPr>
      </w:pPr>
    </w:p>
    <w:p w14:paraId="2415AA40" w14:textId="77777777" w:rsidR="0095295A" w:rsidRPr="009002E8" w:rsidRDefault="00BF4685" w:rsidP="0095295A">
      <w:pPr>
        <w:jc w:val="both"/>
        <w:rPr>
          <w:color w:val="E36C0A" w:themeColor="accent6" w:themeShade="BF"/>
          <w:sz w:val="24"/>
          <w:szCs w:val="24"/>
        </w:rPr>
      </w:pPr>
      <w:r w:rsidRPr="009002E8">
        <w:rPr>
          <w:color w:val="E36C0A" w:themeColor="accent6" w:themeShade="BF"/>
          <w:sz w:val="24"/>
          <w:szCs w:val="24"/>
        </w:rPr>
        <w:t xml:space="preserve"> </w:t>
      </w:r>
      <w:r w:rsidR="0095295A" w:rsidRPr="009002E8">
        <w:rPr>
          <w:color w:val="E36C0A" w:themeColor="accent6" w:themeShade="BF"/>
          <w:sz w:val="24"/>
          <w:szCs w:val="24"/>
        </w:rPr>
        <w:t>The conclusion on the issue by the National Housing Program is: “This is why confronting this challenge is indispensable if we are to stimulate the development of alternatives to purchasing for access to adequate housing.”</w:t>
      </w:r>
    </w:p>
    <w:p w14:paraId="6E31157B" w14:textId="77777777" w:rsidR="0095295A" w:rsidRPr="00226F79" w:rsidRDefault="0095295A" w:rsidP="00226F79">
      <w:pPr>
        <w:jc w:val="both"/>
        <w:rPr>
          <w:sz w:val="24"/>
          <w:szCs w:val="24"/>
        </w:rPr>
      </w:pPr>
    </w:p>
    <w:p w14:paraId="6C120222" w14:textId="77777777" w:rsidR="00226F79" w:rsidRPr="00226F79" w:rsidRDefault="00226F79" w:rsidP="00226F79">
      <w:pPr>
        <w:jc w:val="both"/>
        <w:rPr>
          <w:i/>
          <w:sz w:val="24"/>
          <w:szCs w:val="24"/>
        </w:rPr>
      </w:pPr>
      <w:r w:rsidRPr="00226F79">
        <w:rPr>
          <w:i/>
          <w:sz w:val="24"/>
          <w:szCs w:val="24"/>
        </w:rPr>
        <w:t>Security of tenure</w:t>
      </w:r>
    </w:p>
    <w:p w14:paraId="09E8D0E9" w14:textId="77777777" w:rsidR="000D283C" w:rsidRPr="000D283C" w:rsidRDefault="000C7384" w:rsidP="005E6EDB">
      <w:pPr>
        <w:pStyle w:val="ListParagraph"/>
        <w:numPr>
          <w:ilvl w:val="0"/>
          <w:numId w:val="2"/>
        </w:numPr>
        <w:jc w:val="both"/>
        <w:rPr>
          <w:sz w:val="24"/>
          <w:szCs w:val="24"/>
        </w:rPr>
      </w:pPr>
      <w:r w:rsidRPr="000D283C">
        <w:rPr>
          <w:sz w:val="24"/>
          <w:szCs w:val="24"/>
        </w:rPr>
        <w:t>D</w:t>
      </w:r>
      <w:r w:rsidR="00226F79" w:rsidRPr="000D283C">
        <w:rPr>
          <w:sz w:val="24"/>
          <w:szCs w:val="24"/>
        </w:rPr>
        <w:t>iscrimination in relation to ownership or inheritance of housing and land and related natural resources including water including on the basis of a distinction between formal and informal tenure arrangements;</w:t>
      </w:r>
    </w:p>
    <w:p w14:paraId="43A3262E" w14:textId="77777777" w:rsidR="00226F79" w:rsidRPr="00226F79" w:rsidRDefault="000D283C" w:rsidP="005E6EDB">
      <w:pPr>
        <w:pStyle w:val="ListParagraph"/>
        <w:numPr>
          <w:ilvl w:val="0"/>
          <w:numId w:val="2"/>
        </w:numPr>
        <w:jc w:val="both"/>
        <w:rPr>
          <w:sz w:val="24"/>
          <w:szCs w:val="24"/>
        </w:rPr>
      </w:pPr>
      <w:r>
        <w:rPr>
          <w:sz w:val="24"/>
          <w:szCs w:val="24"/>
        </w:rPr>
        <w:t>D</w:t>
      </w:r>
      <w:r w:rsidR="00226F79" w:rsidRPr="00226F79">
        <w:rPr>
          <w:sz w:val="24"/>
          <w:szCs w:val="24"/>
        </w:rPr>
        <w:t>iscrimination in relation to evictions, resettlement and compensation for loss or damage of housing, land or livelihoods;</w:t>
      </w:r>
    </w:p>
    <w:p w14:paraId="64FC7AA4" w14:textId="77777777" w:rsidR="000D283C" w:rsidRDefault="000C7384" w:rsidP="005E6EDB">
      <w:pPr>
        <w:pStyle w:val="ListParagraph"/>
        <w:numPr>
          <w:ilvl w:val="0"/>
          <w:numId w:val="2"/>
        </w:numPr>
        <w:jc w:val="both"/>
        <w:rPr>
          <w:sz w:val="24"/>
          <w:szCs w:val="24"/>
        </w:rPr>
      </w:pPr>
      <w:r>
        <w:rPr>
          <w:sz w:val="24"/>
          <w:szCs w:val="24"/>
        </w:rPr>
        <w:t>D</w:t>
      </w:r>
      <w:r w:rsidR="00226F79" w:rsidRPr="00226F79">
        <w:rPr>
          <w:sz w:val="24"/>
          <w:szCs w:val="24"/>
        </w:rPr>
        <w:t>ifferential treatment in land or title registration, permission of housing construction;</w:t>
      </w:r>
    </w:p>
    <w:p w14:paraId="44F9CDCE" w14:textId="11F7733F" w:rsidR="000D283C" w:rsidRDefault="000D283C" w:rsidP="00BD5682">
      <w:pPr>
        <w:pStyle w:val="ListParagraph"/>
        <w:ind w:left="0"/>
        <w:jc w:val="both"/>
        <w:rPr>
          <w:sz w:val="24"/>
          <w:szCs w:val="24"/>
        </w:rPr>
      </w:pPr>
    </w:p>
    <w:p w14:paraId="5D0CEAFD" w14:textId="7F024A58" w:rsidR="00BD5682" w:rsidRDefault="00BD5682" w:rsidP="00BD5682">
      <w:pPr>
        <w:pStyle w:val="ListParagraph"/>
        <w:ind w:left="0"/>
        <w:jc w:val="both"/>
        <w:rPr>
          <w:i/>
          <w:iCs/>
          <w:color w:val="E36C0A" w:themeColor="accent6" w:themeShade="BF"/>
          <w:sz w:val="24"/>
          <w:szCs w:val="24"/>
        </w:rPr>
      </w:pPr>
      <w:r w:rsidRPr="00BD5682">
        <w:rPr>
          <w:i/>
          <w:iCs/>
          <w:color w:val="E36C0A" w:themeColor="accent6" w:themeShade="BF"/>
          <w:sz w:val="24"/>
          <w:szCs w:val="24"/>
        </w:rPr>
        <w:t xml:space="preserve">Mexico </w:t>
      </w:r>
      <w:r>
        <w:rPr>
          <w:i/>
          <w:iCs/>
          <w:color w:val="E36C0A" w:themeColor="accent6" w:themeShade="BF"/>
          <w:sz w:val="24"/>
          <w:szCs w:val="24"/>
        </w:rPr>
        <w:t xml:space="preserve">– Secure Tenure and Evictions </w:t>
      </w:r>
    </w:p>
    <w:p w14:paraId="025968B7" w14:textId="77777777" w:rsidR="00BD5682" w:rsidRPr="00BD5682" w:rsidRDefault="00BD5682" w:rsidP="00BD5682">
      <w:pPr>
        <w:pStyle w:val="ListParagraph"/>
        <w:ind w:left="0"/>
        <w:jc w:val="both"/>
        <w:rPr>
          <w:i/>
          <w:iCs/>
          <w:color w:val="E36C0A" w:themeColor="accent6" w:themeShade="BF"/>
          <w:sz w:val="24"/>
          <w:szCs w:val="24"/>
        </w:rPr>
      </w:pPr>
    </w:p>
    <w:p w14:paraId="3E5924B6" w14:textId="5A58330A" w:rsidR="000D283C" w:rsidRPr="00BD5682" w:rsidRDefault="000D283C" w:rsidP="00BD5682">
      <w:pPr>
        <w:pStyle w:val="ListParagraph"/>
        <w:ind w:left="0"/>
        <w:jc w:val="both"/>
        <w:rPr>
          <w:color w:val="E36C0A" w:themeColor="accent6" w:themeShade="BF"/>
          <w:sz w:val="24"/>
          <w:szCs w:val="24"/>
        </w:rPr>
      </w:pPr>
      <w:r w:rsidRPr="00BD5682">
        <w:rPr>
          <w:color w:val="E36C0A" w:themeColor="accent6" w:themeShade="BF"/>
          <w:sz w:val="24"/>
          <w:szCs w:val="24"/>
        </w:rPr>
        <w:lastRenderedPageBreak/>
        <w:t>In Mexico t</w:t>
      </w:r>
      <w:r w:rsidRPr="00BD5682">
        <w:rPr>
          <w:color w:val="E36C0A" w:themeColor="accent6" w:themeShade="BF"/>
          <w:sz w:val="24"/>
          <w:szCs w:val="24"/>
          <w:lang w:val="en-US"/>
        </w:rPr>
        <w:t xml:space="preserve">he 2019-2024 National Housing Program states that “today, 16.3% of owner-occupied homes lack secure tenure due to lack of </w:t>
      </w:r>
      <w:r w:rsidR="00BD5682">
        <w:rPr>
          <w:color w:val="E36C0A" w:themeColor="accent6" w:themeShade="BF"/>
          <w:sz w:val="24"/>
          <w:szCs w:val="24"/>
          <w:lang w:val="en-US"/>
        </w:rPr>
        <w:t xml:space="preserve">title </w:t>
      </w:r>
      <w:r w:rsidRPr="00BD5682">
        <w:rPr>
          <w:color w:val="E36C0A" w:themeColor="accent6" w:themeShade="BF"/>
          <w:sz w:val="24"/>
          <w:szCs w:val="24"/>
          <w:lang w:val="en-US"/>
        </w:rPr>
        <w:t xml:space="preserve">deeds. This problem is especially acute for vulnerable groups like indigenous and rural communities, whose homes lack </w:t>
      </w:r>
      <w:r w:rsidR="00BD5682">
        <w:rPr>
          <w:color w:val="E36C0A" w:themeColor="accent6" w:themeShade="BF"/>
          <w:sz w:val="24"/>
          <w:szCs w:val="24"/>
          <w:lang w:val="en-US"/>
        </w:rPr>
        <w:t xml:space="preserve">title </w:t>
      </w:r>
      <w:r w:rsidRPr="00BD5682">
        <w:rPr>
          <w:color w:val="E36C0A" w:themeColor="accent6" w:themeShade="BF"/>
          <w:sz w:val="24"/>
          <w:szCs w:val="24"/>
          <w:lang w:val="en-US"/>
        </w:rPr>
        <w:t>deeds in a much higher percentage (23.6% and 25.3%, respectively).”</w:t>
      </w:r>
    </w:p>
    <w:p w14:paraId="7CE241E4" w14:textId="77777777" w:rsidR="000D283C" w:rsidRPr="00BD5682" w:rsidRDefault="000D283C" w:rsidP="00BD5682">
      <w:pPr>
        <w:pStyle w:val="ListParagraph"/>
        <w:ind w:left="0"/>
        <w:jc w:val="both"/>
        <w:rPr>
          <w:color w:val="E36C0A" w:themeColor="accent6" w:themeShade="BF"/>
          <w:sz w:val="24"/>
          <w:szCs w:val="24"/>
        </w:rPr>
      </w:pPr>
    </w:p>
    <w:p w14:paraId="5DFEE81A" w14:textId="77777777" w:rsidR="00BD5682" w:rsidRDefault="000D283C" w:rsidP="00BD5682">
      <w:pPr>
        <w:pStyle w:val="ListParagraph"/>
        <w:ind w:left="0"/>
        <w:jc w:val="both"/>
        <w:rPr>
          <w:color w:val="E36C0A" w:themeColor="accent6" w:themeShade="BF"/>
          <w:sz w:val="24"/>
          <w:szCs w:val="24"/>
          <w:lang w:val="en-US"/>
        </w:rPr>
      </w:pPr>
      <w:r w:rsidRPr="00BD5682">
        <w:rPr>
          <w:color w:val="E36C0A" w:themeColor="accent6" w:themeShade="BF"/>
          <w:sz w:val="24"/>
          <w:szCs w:val="24"/>
          <w:lang w:val="en-US"/>
        </w:rPr>
        <w:t xml:space="preserve">According to the Program, “there are three central challenges that characterize the deficiencies Mexico needs to overcome to achieve secure tenure: </w:t>
      </w:r>
    </w:p>
    <w:p w14:paraId="494AC0C3" w14:textId="77777777" w:rsidR="00BD5682" w:rsidRDefault="000D283C" w:rsidP="00BD5682">
      <w:pPr>
        <w:pStyle w:val="ListParagraph"/>
        <w:numPr>
          <w:ilvl w:val="0"/>
          <w:numId w:val="5"/>
        </w:numPr>
        <w:jc w:val="both"/>
        <w:rPr>
          <w:color w:val="E36C0A" w:themeColor="accent6" w:themeShade="BF"/>
          <w:sz w:val="24"/>
          <w:szCs w:val="24"/>
          <w:lang w:val="en-US"/>
        </w:rPr>
      </w:pPr>
      <w:r w:rsidRPr="00BD5682">
        <w:rPr>
          <w:color w:val="E36C0A" w:themeColor="accent6" w:themeShade="BF"/>
          <w:sz w:val="24"/>
          <w:szCs w:val="24"/>
          <w:lang w:val="en-US"/>
        </w:rPr>
        <w:t xml:space="preserve">The first is that we do not know the exact magnitude of the problem; for example, although the National Institute for Sustainable Land (Spanish acronym INSUS) estimates that there are around 7.5 million irregular lots in residential use nationwide, at present there are no official records or statistics to corroborate their data. (…) A better understanding is needed of a) the causes behind lack of secure tenure –in particular, the inadequate supply of formal land for affordable housing– and b) the problems created by forced evictions, harassment, and other threats to people lacking secure tenure. </w:t>
      </w:r>
    </w:p>
    <w:p w14:paraId="35581A31" w14:textId="77777777" w:rsidR="00BD5682" w:rsidRDefault="000D283C" w:rsidP="00BD5682">
      <w:pPr>
        <w:pStyle w:val="ListParagraph"/>
        <w:numPr>
          <w:ilvl w:val="0"/>
          <w:numId w:val="5"/>
        </w:numPr>
        <w:jc w:val="both"/>
        <w:rPr>
          <w:color w:val="E36C0A" w:themeColor="accent6" w:themeShade="BF"/>
          <w:sz w:val="24"/>
          <w:szCs w:val="24"/>
          <w:lang w:val="en-US"/>
        </w:rPr>
      </w:pPr>
      <w:r w:rsidRPr="00BD5682">
        <w:rPr>
          <w:color w:val="E36C0A" w:themeColor="accent6" w:themeShade="BF"/>
          <w:sz w:val="24"/>
          <w:szCs w:val="24"/>
          <w:lang w:val="en-US"/>
        </w:rPr>
        <w:t xml:space="preserve">The second challenge involves the process of documenting ownership (…), in which homeowners are forced to endure protracted and costly bureaucratic procedures: (…) notarial costs can represent around 5 to 10% of the value of a property. The exorbitant cost of deeds undermines homeowners, since, in addition to placing them at risk of invasion or eviction, it limits their ability to exercise property rights, for example by using their homes as collateral for bank loans. (…). </w:t>
      </w:r>
    </w:p>
    <w:p w14:paraId="0F06B7A0" w14:textId="53D1DEAB" w:rsidR="000D283C" w:rsidRPr="00BD5682" w:rsidRDefault="000D283C" w:rsidP="00BD5682">
      <w:pPr>
        <w:pStyle w:val="ListParagraph"/>
        <w:numPr>
          <w:ilvl w:val="0"/>
          <w:numId w:val="5"/>
        </w:numPr>
        <w:jc w:val="both"/>
        <w:rPr>
          <w:color w:val="E36C0A" w:themeColor="accent6" w:themeShade="BF"/>
          <w:sz w:val="24"/>
          <w:szCs w:val="24"/>
          <w:lang w:val="en-US"/>
        </w:rPr>
      </w:pPr>
      <w:r w:rsidRPr="00BD5682">
        <w:rPr>
          <w:color w:val="E36C0A" w:themeColor="accent6" w:themeShade="BF"/>
          <w:sz w:val="24"/>
          <w:szCs w:val="24"/>
          <w:lang w:val="en-US"/>
        </w:rPr>
        <w:t xml:space="preserve">The third obstacle to achieving security of tenure involves rental housing, which accounts for 15.9% of all homes in Mexico –below the average among members the Organization for Economic Cooperation and Development (OECD), which is 19.2%.5 In the year 2014, only 41% of rental homes had leases that established the terms of rental” (it is important to note, something the National Housing Program fails to do, that -based on the 2015 inter-census survey, another 15.6% of homes nationwide are borrowed or occupied by non-owners, part of which could even be classified as leased or sublet). The program acknowledges that “although the lack of a lease does not affect security of tenure in the strict sense of the term, </w:t>
      </w:r>
      <w:r w:rsidRPr="00BD5682">
        <w:rPr>
          <w:color w:val="E36C0A" w:themeColor="accent6" w:themeShade="BF"/>
          <w:sz w:val="24"/>
          <w:szCs w:val="24"/>
          <w:lang w:val="en-US"/>
        </w:rPr>
        <w:lastRenderedPageBreak/>
        <w:t>it is linked to issues like forced evictions, extortion, and abuse, which affect both tenants and owners.</w:t>
      </w:r>
    </w:p>
    <w:p w14:paraId="0FBF28E7" w14:textId="77777777" w:rsidR="000D283C" w:rsidRPr="00BD5682" w:rsidRDefault="000D283C" w:rsidP="00BD5682">
      <w:pPr>
        <w:pStyle w:val="ListParagraph"/>
        <w:ind w:left="0"/>
        <w:jc w:val="both"/>
        <w:rPr>
          <w:color w:val="E36C0A" w:themeColor="accent6" w:themeShade="BF"/>
          <w:sz w:val="24"/>
          <w:szCs w:val="24"/>
          <w:lang w:val="en-US"/>
        </w:rPr>
      </w:pPr>
    </w:p>
    <w:p w14:paraId="545DFABC" w14:textId="77777777" w:rsidR="00BD5682" w:rsidRDefault="000D283C" w:rsidP="00BD5682">
      <w:pPr>
        <w:pStyle w:val="ListParagraph"/>
        <w:ind w:left="0"/>
        <w:jc w:val="both"/>
        <w:rPr>
          <w:color w:val="E36C0A" w:themeColor="accent6" w:themeShade="BF"/>
          <w:sz w:val="24"/>
          <w:szCs w:val="24"/>
          <w:lang w:val="en-US"/>
        </w:rPr>
      </w:pPr>
      <w:r w:rsidRPr="00BD5682">
        <w:rPr>
          <w:color w:val="E36C0A" w:themeColor="accent6" w:themeShade="BF"/>
          <w:sz w:val="24"/>
          <w:szCs w:val="24"/>
          <w:lang w:val="en-US"/>
        </w:rPr>
        <w:t>In Mexico there is no national registry of evictions and most states also provide no data on the issue. Only the Superior Court of Justice of Mexico City (Tribunal Superior de Justicia in Spanish) publishes statistics on the types of cases the city courts decide. From this information, we can see that between 2011 and 2019 there have been</w:t>
      </w:r>
      <w:r w:rsidR="00BD5682">
        <w:rPr>
          <w:color w:val="E36C0A" w:themeColor="accent6" w:themeShade="BF"/>
          <w:sz w:val="24"/>
          <w:szCs w:val="24"/>
          <w:lang w:val="en-US"/>
        </w:rPr>
        <w:t xml:space="preserve"> on average</w:t>
      </w:r>
      <w:r w:rsidRPr="00BD5682">
        <w:rPr>
          <w:color w:val="E36C0A" w:themeColor="accent6" w:themeShade="BF"/>
          <w:sz w:val="24"/>
          <w:szCs w:val="24"/>
          <w:lang w:val="en-US"/>
        </w:rPr>
        <w:t xml:space="preserve"> 3000 evictions </w:t>
      </w:r>
      <w:r w:rsidR="00BD5682">
        <w:rPr>
          <w:color w:val="E36C0A" w:themeColor="accent6" w:themeShade="BF"/>
          <w:sz w:val="24"/>
          <w:szCs w:val="24"/>
          <w:lang w:val="en-US"/>
        </w:rPr>
        <w:t xml:space="preserve">a </w:t>
      </w:r>
      <w:r w:rsidRPr="00BD5682">
        <w:rPr>
          <w:color w:val="E36C0A" w:themeColor="accent6" w:themeShade="BF"/>
          <w:sz w:val="24"/>
          <w:szCs w:val="24"/>
          <w:lang w:val="en-US"/>
        </w:rPr>
        <w:t xml:space="preserve">year, half of which involve tenant disputes and the other half are evictions in civil disputes in general. There is no data in relation to non-jurisdictional evictions, derived from mobbing or pressure received by private guards or drug trafficking. </w:t>
      </w:r>
    </w:p>
    <w:p w14:paraId="370473B2" w14:textId="77777777" w:rsidR="00BD5682" w:rsidRDefault="00BD5682" w:rsidP="00BD5682">
      <w:pPr>
        <w:pStyle w:val="ListParagraph"/>
        <w:ind w:left="0"/>
        <w:jc w:val="both"/>
        <w:rPr>
          <w:color w:val="E36C0A" w:themeColor="accent6" w:themeShade="BF"/>
          <w:sz w:val="24"/>
          <w:szCs w:val="24"/>
          <w:lang w:val="en-US"/>
        </w:rPr>
      </w:pPr>
    </w:p>
    <w:p w14:paraId="3390ED1A" w14:textId="307E4173" w:rsidR="000D283C" w:rsidRPr="00BD5682" w:rsidRDefault="00BD5682" w:rsidP="00BD5682">
      <w:pPr>
        <w:pStyle w:val="ListParagraph"/>
        <w:ind w:left="0"/>
        <w:jc w:val="both"/>
        <w:rPr>
          <w:color w:val="E36C0A" w:themeColor="accent6" w:themeShade="BF"/>
          <w:sz w:val="24"/>
          <w:szCs w:val="24"/>
          <w:lang w:val="en-US"/>
        </w:rPr>
      </w:pPr>
      <w:r>
        <w:rPr>
          <w:color w:val="E36C0A" w:themeColor="accent6" w:themeShade="BF"/>
          <w:sz w:val="24"/>
          <w:szCs w:val="24"/>
          <w:lang w:val="en-US"/>
        </w:rPr>
        <w:t>I</w:t>
      </w:r>
      <w:r w:rsidR="000D283C" w:rsidRPr="00BD5682">
        <w:rPr>
          <w:color w:val="E36C0A" w:themeColor="accent6" w:themeShade="BF"/>
          <w:sz w:val="24"/>
          <w:szCs w:val="24"/>
          <w:lang w:val="en-US"/>
        </w:rPr>
        <w:t>n relation to evictions caused by mega projects, such as dams, a study</w:t>
      </w:r>
      <w:r w:rsidR="00E4713C" w:rsidRPr="00BD5682">
        <w:rPr>
          <w:rStyle w:val="FootnoteReference"/>
          <w:color w:val="E36C0A" w:themeColor="accent6" w:themeShade="BF"/>
          <w:sz w:val="24"/>
          <w:szCs w:val="24"/>
          <w:lang w:val="en-US"/>
        </w:rPr>
        <w:footnoteReference w:id="4"/>
      </w:r>
      <w:r w:rsidR="000D283C" w:rsidRPr="00BD5682">
        <w:rPr>
          <w:color w:val="E36C0A" w:themeColor="accent6" w:themeShade="BF"/>
          <w:sz w:val="24"/>
          <w:szCs w:val="24"/>
          <w:lang w:val="en-US"/>
        </w:rPr>
        <w:t xml:space="preserve"> developed by HIC-AL </w:t>
      </w:r>
      <w:r w:rsidR="00E4713C" w:rsidRPr="00BD5682">
        <w:rPr>
          <w:color w:val="E36C0A" w:themeColor="accent6" w:themeShade="BF"/>
          <w:sz w:val="24"/>
          <w:szCs w:val="24"/>
          <w:lang w:val="en-US"/>
        </w:rPr>
        <w:t>considering data from 2016, only in 14% of the cases data</w:t>
      </w:r>
      <w:r>
        <w:rPr>
          <w:color w:val="E36C0A" w:themeColor="accent6" w:themeShade="BF"/>
          <w:sz w:val="24"/>
          <w:szCs w:val="24"/>
          <w:lang w:val="en-US"/>
        </w:rPr>
        <w:t xml:space="preserve"> existed</w:t>
      </w:r>
      <w:r w:rsidR="00E4713C" w:rsidRPr="00BD5682">
        <w:rPr>
          <w:color w:val="E36C0A" w:themeColor="accent6" w:themeShade="BF"/>
          <w:sz w:val="24"/>
          <w:szCs w:val="24"/>
          <w:lang w:val="en-US"/>
        </w:rPr>
        <w:t xml:space="preserve"> on evicted people</w:t>
      </w:r>
      <w:r>
        <w:rPr>
          <w:color w:val="E36C0A" w:themeColor="accent6" w:themeShade="BF"/>
          <w:sz w:val="24"/>
          <w:szCs w:val="24"/>
          <w:lang w:val="en-US"/>
        </w:rPr>
        <w:t xml:space="preserve"> and ac</w:t>
      </w:r>
      <w:r w:rsidR="00E4713C" w:rsidRPr="00BD5682">
        <w:rPr>
          <w:color w:val="E36C0A" w:themeColor="accent6" w:themeShade="BF"/>
          <w:sz w:val="24"/>
          <w:szCs w:val="24"/>
          <w:lang w:val="en-US"/>
        </w:rPr>
        <w:t xml:space="preserve">cording to the source consulted, the data is discordant. In addition to the lack of precise data from the different public agencies on evictions, which, among other things, does not allow us to clearly state whether or not the aforementioned evictions are forced, there is also no clear information on the ways in which they are carried out or the possible compensation. </w:t>
      </w:r>
      <w:r w:rsidR="00E4713C" w:rsidRPr="00BD5682">
        <w:rPr>
          <w:b/>
          <w:bCs/>
          <w:color w:val="E36C0A" w:themeColor="accent6" w:themeShade="BF"/>
          <w:sz w:val="24"/>
          <w:szCs w:val="24"/>
          <w:lang w:val="en-US"/>
        </w:rPr>
        <w:t>The absence of data also makes it difficult to confirm patterns of discrimination.</w:t>
      </w:r>
      <w:r w:rsidR="00F67F87" w:rsidRPr="00BD5682">
        <w:rPr>
          <w:color w:val="E36C0A" w:themeColor="accent6" w:themeShade="BF"/>
          <w:sz w:val="24"/>
          <w:szCs w:val="24"/>
          <w:lang w:val="en-US"/>
        </w:rPr>
        <w:t xml:space="preserve"> Even so, t</w:t>
      </w:r>
      <w:r w:rsidR="00E4713C" w:rsidRPr="00BD5682">
        <w:rPr>
          <w:color w:val="E36C0A" w:themeColor="accent6" w:themeShade="BF"/>
          <w:sz w:val="24"/>
          <w:szCs w:val="24"/>
          <w:lang w:val="en-US"/>
        </w:rPr>
        <w:t>he testimonies</w:t>
      </w:r>
      <w:r>
        <w:rPr>
          <w:color w:val="E36C0A" w:themeColor="accent6" w:themeShade="BF"/>
          <w:sz w:val="24"/>
          <w:szCs w:val="24"/>
          <w:lang w:val="en-US"/>
        </w:rPr>
        <w:t xml:space="preserve">, mostly </w:t>
      </w:r>
      <w:r w:rsidR="00E4713C" w:rsidRPr="00BD5682">
        <w:rPr>
          <w:color w:val="E36C0A" w:themeColor="accent6" w:themeShade="BF"/>
          <w:sz w:val="24"/>
          <w:szCs w:val="24"/>
          <w:lang w:val="en-US"/>
        </w:rPr>
        <w:t>collected in urban areas by low-income evicted population</w:t>
      </w:r>
      <w:r>
        <w:rPr>
          <w:color w:val="E36C0A" w:themeColor="accent6" w:themeShade="BF"/>
          <w:sz w:val="24"/>
          <w:szCs w:val="24"/>
          <w:lang w:val="en-US"/>
        </w:rPr>
        <w:t>s,</w:t>
      </w:r>
      <w:r w:rsidR="00E4713C" w:rsidRPr="00BD5682">
        <w:rPr>
          <w:color w:val="E36C0A" w:themeColor="accent6" w:themeShade="BF"/>
          <w:sz w:val="24"/>
          <w:szCs w:val="24"/>
          <w:lang w:val="en-US"/>
        </w:rPr>
        <w:t xml:space="preserve"> the difficulty</w:t>
      </w:r>
      <w:r>
        <w:rPr>
          <w:color w:val="E36C0A" w:themeColor="accent6" w:themeShade="BF"/>
          <w:sz w:val="24"/>
          <w:szCs w:val="24"/>
          <w:lang w:val="en-US"/>
        </w:rPr>
        <w:t xml:space="preserve"> comprises</w:t>
      </w:r>
      <w:r w:rsidR="00E4713C" w:rsidRPr="00BD5682">
        <w:rPr>
          <w:color w:val="E36C0A" w:themeColor="accent6" w:themeShade="BF"/>
          <w:sz w:val="24"/>
          <w:szCs w:val="24"/>
          <w:lang w:val="en-US"/>
        </w:rPr>
        <w:t xml:space="preserve"> access to lawyers, the lack of notifications or the use of actuaries not recognized by the courts, acts o</w:t>
      </w:r>
      <w:r w:rsidR="00BC4577" w:rsidRPr="00BD5682">
        <w:rPr>
          <w:color w:val="E36C0A" w:themeColor="accent6" w:themeShade="BF"/>
          <w:sz w:val="24"/>
          <w:szCs w:val="24"/>
          <w:lang w:val="en-US"/>
        </w:rPr>
        <w:t>f corruption and use of fake</w:t>
      </w:r>
      <w:r w:rsidR="00E4713C" w:rsidRPr="00BD5682">
        <w:rPr>
          <w:color w:val="E36C0A" w:themeColor="accent6" w:themeShade="BF"/>
          <w:sz w:val="24"/>
          <w:szCs w:val="24"/>
          <w:lang w:val="en-US"/>
        </w:rPr>
        <w:t xml:space="preserve"> documents to carry out evictions. In general, the articles that govern the contractual relations in the matter of rentals guarantee greater rights to the owners who always impose more requirements on the people who want to rent a home.</w:t>
      </w:r>
    </w:p>
    <w:p w14:paraId="59E4C759" w14:textId="77777777" w:rsidR="00226F79" w:rsidRPr="000D283C" w:rsidRDefault="00226F79" w:rsidP="00226F79">
      <w:pPr>
        <w:jc w:val="both"/>
        <w:rPr>
          <w:sz w:val="24"/>
          <w:szCs w:val="24"/>
          <w:lang w:val="en-US"/>
        </w:rPr>
      </w:pPr>
    </w:p>
    <w:p w14:paraId="38C0976B" w14:textId="77777777" w:rsidR="00226F79" w:rsidRPr="00226F79" w:rsidRDefault="00226F79" w:rsidP="00226F79">
      <w:pPr>
        <w:jc w:val="both"/>
        <w:rPr>
          <w:i/>
          <w:sz w:val="24"/>
          <w:szCs w:val="24"/>
        </w:rPr>
      </w:pPr>
      <w:r w:rsidRPr="00226F79">
        <w:rPr>
          <w:i/>
          <w:sz w:val="24"/>
          <w:szCs w:val="24"/>
        </w:rPr>
        <w:t xml:space="preserve">Availability of services, materials, facilities and infrastructure </w:t>
      </w:r>
    </w:p>
    <w:p w14:paraId="4F7DC7E6" w14:textId="77777777" w:rsidR="00226F79" w:rsidRPr="00226F79" w:rsidRDefault="000C7384" w:rsidP="005E6EDB">
      <w:pPr>
        <w:pStyle w:val="ListParagraph"/>
        <w:numPr>
          <w:ilvl w:val="0"/>
          <w:numId w:val="2"/>
        </w:numPr>
        <w:jc w:val="both"/>
        <w:rPr>
          <w:sz w:val="24"/>
          <w:szCs w:val="24"/>
        </w:rPr>
      </w:pPr>
      <w:r>
        <w:rPr>
          <w:sz w:val="24"/>
          <w:szCs w:val="24"/>
        </w:rPr>
        <w:t>D</w:t>
      </w:r>
      <w:r w:rsidR="00226F79" w:rsidRPr="00226F79">
        <w:rPr>
          <w:sz w:val="24"/>
          <w:szCs w:val="24"/>
        </w:rPr>
        <w:t>iscrimination in relation to access to work, schooling, health care or public benefits based on the residential address or related to a lack of an official address;</w:t>
      </w:r>
    </w:p>
    <w:p w14:paraId="276AAF34" w14:textId="77777777" w:rsidR="00226F79" w:rsidRPr="00226F79" w:rsidRDefault="000C7384" w:rsidP="005E6EDB">
      <w:pPr>
        <w:pStyle w:val="ListParagraph"/>
        <w:numPr>
          <w:ilvl w:val="0"/>
          <w:numId w:val="2"/>
        </w:numPr>
        <w:jc w:val="both"/>
        <w:rPr>
          <w:sz w:val="24"/>
          <w:szCs w:val="24"/>
        </w:rPr>
      </w:pPr>
      <w:r>
        <w:rPr>
          <w:sz w:val="24"/>
          <w:szCs w:val="24"/>
        </w:rPr>
        <w:lastRenderedPageBreak/>
        <w:t>P</w:t>
      </w:r>
      <w:r w:rsidR="00226F79" w:rsidRPr="00226F79">
        <w:rPr>
          <w:sz w:val="24"/>
          <w:szCs w:val="24"/>
        </w:rPr>
        <w:t xml:space="preserve">ublic transportation services and transportation costs; </w:t>
      </w:r>
    </w:p>
    <w:p w14:paraId="42D01FE7" w14:textId="77777777" w:rsidR="00226F79" w:rsidRPr="00226F79" w:rsidRDefault="000C7384" w:rsidP="005E6EDB">
      <w:pPr>
        <w:pStyle w:val="ListParagraph"/>
        <w:numPr>
          <w:ilvl w:val="0"/>
          <w:numId w:val="2"/>
        </w:numPr>
        <w:jc w:val="both"/>
        <w:rPr>
          <w:sz w:val="24"/>
          <w:szCs w:val="24"/>
        </w:rPr>
      </w:pPr>
      <w:r>
        <w:rPr>
          <w:sz w:val="24"/>
          <w:szCs w:val="24"/>
        </w:rPr>
        <w:t>P</w:t>
      </w:r>
      <w:r w:rsidR="00226F79" w:rsidRPr="00226F79">
        <w:rPr>
          <w:sz w:val="24"/>
          <w:szCs w:val="24"/>
        </w:rPr>
        <w:t>rovision of water, sanitation, energy, waste collection and other utility services; their quality or cost, including interruptions/blackouts including policies relating to disconnection from utility services;</w:t>
      </w:r>
    </w:p>
    <w:p w14:paraId="4564BBBB" w14:textId="77777777" w:rsidR="00226F79" w:rsidRPr="00226F79" w:rsidRDefault="00226F79" w:rsidP="005E6EDB">
      <w:pPr>
        <w:pStyle w:val="ListParagraph"/>
        <w:numPr>
          <w:ilvl w:val="0"/>
          <w:numId w:val="2"/>
        </w:numPr>
        <w:jc w:val="both"/>
        <w:rPr>
          <w:sz w:val="24"/>
          <w:szCs w:val="24"/>
        </w:rPr>
      </w:pPr>
      <w:r w:rsidRPr="00226F79">
        <w:rPr>
          <w:sz w:val="24"/>
          <w:szCs w:val="24"/>
        </w:rPr>
        <w:t xml:space="preserve">spatial disparities in access to health care, education, child care, cultural and recreational facilities; </w:t>
      </w:r>
    </w:p>
    <w:p w14:paraId="4482D478" w14:textId="77777777" w:rsidR="00226F79" w:rsidRPr="00226F79" w:rsidRDefault="00226F79" w:rsidP="00226F79">
      <w:pPr>
        <w:jc w:val="both"/>
        <w:rPr>
          <w:sz w:val="24"/>
          <w:szCs w:val="24"/>
        </w:rPr>
      </w:pPr>
    </w:p>
    <w:p w14:paraId="6A1DC9C5" w14:textId="77777777" w:rsidR="00226F79" w:rsidRPr="00226F79" w:rsidRDefault="00226F79" w:rsidP="00226F79">
      <w:pPr>
        <w:jc w:val="both"/>
        <w:rPr>
          <w:i/>
          <w:sz w:val="24"/>
          <w:szCs w:val="24"/>
        </w:rPr>
      </w:pPr>
      <w:r w:rsidRPr="00226F79">
        <w:rPr>
          <w:i/>
          <w:sz w:val="24"/>
          <w:szCs w:val="24"/>
        </w:rPr>
        <w:t>Location</w:t>
      </w:r>
    </w:p>
    <w:p w14:paraId="13D28407" w14:textId="77777777" w:rsidR="00226F79" w:rsidRPr="00226F79" w:rsidRDefault="000C7384" w:rsidP="005E6EDB">
      <w:pPr>
        <w:pStyle w:val="ListParagraph"/>
        <w:numPr>
          <w:ilvl w:val="0"/>
          <w:numId w:val="2"/>
        </w:numPr>
        <w:jc w:val="both"/>
        <w:rPr>
          <w:sz w:val="24"/>
          <w:szCs w:val="24"/>
        </w:rPr>
      </w:pPr>
      <w:r>
        <w:rPr>
          <w:sz w:val="24"/>
          <w:szCs w:val="24"/>
        </w:rPr>
        <w:t>D</w:t>
      </w:r>
      <w:r w:rsidR="00226F79" w:rsidRPr="00226F79">
        <w:rPr>
          <w:sz w:val="24"/>
          <w:szCs w:val="24"/>
        </w:rPr>
        <w:t>iscrimination in relation to freedom of choice of the place of residency within the country, within a particular region or location;</w:t>
      </w:r>
    </w:p>
    <w:p w14:paraId="0E1FC4E2" w14:textId="77777777" w:rsidR="00226F79" w:rsidRPr="00226F79" w:rsidRDefault="000C7384" w:rsidP="005E6EDB">
      <w:pPr>
        <w:pStyle w:val="ListParagraph"/>
        <w:numPr>
          <w:ilvl w:val="0"/>
          <w:numId w:val="2"/>
        </w:numPr>
        <w:jc w:val="both"/>
        <w:rPr>
          <w:sz w:val="24"/>
          <w:szCs w:val="24"/>
        </w:rPr>
      </w:pPr>
      <w:r>
        <w:rPr>
          <w:sz w:val="24"/>
          <w:szCs w:val="24"/>
        </w:rPr>
        <w:t>D</w:t>
      </w:r>
      <w:r w:rsidR="00226F79" w:rsidRPr="00226F79">
        <w:rPr>
          <w:sz w:val="24"/>
          <w:szCs w:val="24"/>
        </w:rPr>
        <w:t>iscrimination based on place of residence or address, such as exclusion from invitation to job interviews or access to credit;</w:t>
      </w:r>
    </w:p>
    <w:p w14:paraId="73D0B863" w14:textId="77777777" w:rsidR="00226F79" w:rsidRPr="00226F79" w:rsidRDefault="000C7384" w:rsidP="005E6EDB">
      <w:pPr>
        <w:pStyle w:val="ListParagraph"/>
        <w:numPr>
          <w:ilvl w:val="0"/>
          <w:numId w:val="2"/>
        </w:numPr>
        <w:jc w:val="both"/>
        <w:rPr>
          <w:sz w:val="24"/>
          <w:szCs w:val="24"/>
        </w:rPr>
      </w:pPr>
      <w:r>
        <w:rPr>
          <w:sz w:val="24"/>
          <w:szCs w:val="24"/>
        </w:rPr>
        <w:t>E</w:t>
      </w:r>
      <w:r w:rsidR="00226F79" w:rsidRPr="00226F79">
        <w:rPr>
          <w:sz w:val="24"/>
          <w:szCs w:val="24"/>
        </w:rPr>
        <w:t>xposure to environmental health risks, such as external air quality, flooding, toxic ground exposure; noise; risk of landslides etc.;</w:t>
      </w:r>
    </w:p>
    <w:p w14:paraId="293EA733" w14:textId="77777777" w:rsidR="00226F79" w:rsidRPr="00226F79" w:rsidRDefault="000C7384" w:rsidP="005E6EDB">
      <w:pPr>
        <w:pStyle w:val="ListParagraph"/>
        <w:numPr>
          <w:ilvl w:val="0"/>
          <w:numId w:val="2"/>
        </w:numPr>
        <w:jc w:val="both"/>
        <w:rPr>
          <w:sz w:val="24"/>
          <w:szCs w:val="24"/>
        </w:rPr>
      </w:pPr>
      <w:r>
        <w:rPr>
          <w:sz w:val="24"/>
          <w:szCs w:val="24"/>
        </w:rPr>
        <w:t>L</w:t>
      </w:r>
      <w:r w:rsidR="00226F79" w:rsidRPr="00226F79">
        <w:rPr>
          <w:sz w:val="24"/>
          <w:szCs w:val="24"/>
        </w:rPr>
        <w:t xml:space="preserve">iving quality and physical security in the neighbourhood, including geographical disparities in policing and law enforcement; </w:t>
      </w:r>
    </w:p>
    <w:p w14:paraId="63A12578" w14:textId="77777777" w:rsidR="00F67F87" w:rsidRDefault="00F67F87" w:rsidP="00226F79">
      <w:pPr>
        <w:ind w:left="720"/>
        <w:jc w:val="both"/>
        <w:rPr>
          <w:sz w:val="24"/>
          <w:szCs w:val="24"/>
        </w:rPr>
      </w:pPr>
    </w:p>
    <w:p w14:paraId="458BFBD2" w14:textId="77C146DC" w:rsidR="00BD5682" w:rsidRPr="007D215C" w:rsidRDefault="00BD5682" w:rsidP="00BD5682">
      <w:pPr>
        <w:jc w:val="both"/>
        <w:rPr>
          <w:i/>
          <w:iCs/>
          <w:color w:val="E36C0A" w:themeColor="accent6" w:themeShade="BF"/>
          <w:sz w:val="24"/>
          <w:szCs w:val="24"/>
        </w:rPr>
      </w:pPr>
      <w:r w:rsidRPr="00BD5682">
        <w:rPr>
          <w:i/>
          <w:iCs/>
          <w:color w:val="E36C0A" w:themeColor="accent6" w:themeShade="BF"/>
          <w:sz w:val="24"/>
          <w:szCs w:val="24"/>
        </w:rPr>
        <w:t>Mexico</w:t>
      </w:r>
    </w:p>
    <w:p w14:paraId="672D6015" w14:textId="77777777" w:rsidR="00BD5682" w:rsidRDefault="00F67F87" w:rsidP="00BD5682">
      <w:pPr>
        <w:jc w:val="both"/>
        <w:rPr>
          <w:color w:val="E36C0A" w:themeColor="accent6" w:themeShade="BF"/>
          <w:sz w:val="24"/>
          <w:szCs w:val="24"/>
        </w:rPr>
      </w:pPr>
      <w:r w:rsidRPr="00BD5682">
        <w:rPr>
          <w:color w:val="E36C0A" w:themeColor="accent6" w:themeShade="BF"/>
          <w:sz w:val="24"/>
          <w:szCs w:val="24"/>
        </w:rPr>
        <w:t xml:space="preserve">In terms of proximity to employment and equipment, in Mexico the </w:t>
      </w:r>
      <w:r w:rsidRPr="00BD5682">
        <w:rPr>
          <w:color w:val="E36C0A" w:themeColor="accent6" w:themeShade="BF"/>
          <w:sz w:val="24"/>
          <w:szCs w:val="24"/>
          <w:lang w:val="en-US"/>
        </w:rPr>
        <w:t>2019-2024 National Housing Program</w:t>
      </w:r>
      <w:r w:rsidRPr="00BD5682">
        <w:rPr>
          <w:color w:val="E36C0A" w:themeColor="accent6" w:themeShade="BF"/>
          <w:sz w:val="24"/>
          <w:szCs w:val="24"/>
        </w:rPr>
        <w:t xml:space="preserve"> identif</w:t>
      </w:r>
      <w:r w:rsidR="00BD5682">
        <w:rPr>
          <w:color w:val="E36C0A" w:themeColor="accent6" w:themeShade="BF"/>
          <w:sz w:val="24"/>
          <w:szCs w:val="24"/>
        </w:rPr>
        <w:t>ies</w:t>
      </w:r>
      <w:r w:rsidRPr="00BD5682">
        <w:rPr>
          <w:color w:val="E36C0A" w:themeColor="accent6" w:themeShade="BF"/>
          <w:sz w:val="24"/>
          <w:szCs w:val="24"/>
        </w:rPr>
        <w:t xml:space="preserve"> considerable deficiencies. Between 2014 and 2017 the National Bodies of Housing (ONAVIs) financed </w:t>
      </w:r>
      <w:r w:rsidR="00BD5682">
        <w:rPr>
          <w:color w:val="E36C0A" w:themeColor="accent6" w:themeShade="BF"/>
          <w:sz w:val="24"/>
          <w:szCs w:val="24"/>
        </w:rPr>
        <w:t xml:space="preserve">the </w:t>
      </w:r>
      <w:r w:rsidRPr="00BD5682">
        <w:rPr>
          <w:color w:val="E36C0A" w:themeColor="accent6" w:themeShade="BF"/>
          <w:sz w:val="24"/>
          <w:szCs w:val="24"/>
        </w:rPr>
        <w:t xml:space="preserve">building </w:t>
      </w:r>
      <w:r w:rsidR="00BD5682">
        <w:rPr>
          <w:color w:val="E36C0A" w:themeColor="accent6" w:themeShade="BF"/>
          <w:sz w:val="24"/>
          <w:szCs w:val="24"/>
        </w:rPr>
        <w:t xml:space="preserve">of </w:t>
      </w:r>
      <w:r w:rsidRPr="00BD5682">
        <w:rPr>
          <w:color w:val="E36C0A" w:themeColor="accent6" w:themeShade="BF"/>
          <w:sz w:val="24"/>
          <w:szCs w:val="24"/>
        </w:rPr>
        <w:t>more than</w:t>
      </w:r>
      <w:r w:rsidR="00BD5682">
        <w:rPr>
          <w:color w:val="E36C0A" w:themeColor="accent6" w:themeShade="BF"/>
          <w:sz w:val="24"/>
          <w:szCs w:val="24"/>
        </w:rPr>
        <w:t xml:space="preserve"> </w:t>
      </w:r>
      <w:r w:rsidRPr="00BD5682">
        <w:rPr>
          <w:color w:val="E36C0A" w:themeColor="accent6" w:themeShade="BF"/>
          <w:sz w:val="24"/>
          <w:szCs w:val="24"/>
        </w:rPr>
        <w:t xml:space="preserve">2.2 million units, but only 8.0% were located in </w:t>
      </w:r>
      <w:r w:rsidR="00BD5682" w:rsidRPr="00BD5682">
        <w:rPr>
          <w:color w:val="E36C0A" w:themeColor="accent6" w:themeShade="BF"/>
          <w:sz w:val="24"/>
          <w:szCs w:val="24"/>
        </w:rPr>
        <w:t xml:space="preserve">fully consolidated </w:t>
      </w:r>
      <w:r w:rsidRPr="00BD5682">
        <w:rPr>
          <w:color w:val="E36C0A" w:themeColor="accent6" w:themeShade="BF"/>
          <w:sz w:val="24"/>
          <w:szCs w:val="24"/>
        </w:rPr>
        <w:t>urban areas. Of the houses built in 2017 for the economic segment (with a cost under $ 311,450</w:t>
      </w:r>
      <w:r w:rsidR="00BD5682">
        <w:rPr>
          <w:color w:val="E36C0A" w:themeColor="accent6" w:themeShade="BF"/>
          <w:sz w:val="24"/>
          <w:szCs w:val="24"/>
        </w:rPr>
        <w:t xml:space="preserve"> </w:t>
      </w:r>
      <w:r w:rsidRPr="00BD5682">
        <w:rPr>
          <w:color w:val="E36C0A" w:themeColor="accent6" w:themeShade="BF"/>
          <w:sz w:val="24"/>
          <w:szCs w:val="24"/>
        </w:rPr>
        <w:t xml:space="preserve">MXN), only 2.9% were located in consolidated areas, while 73.0% </w:t>
      </w:r>
      <w:r w:rsidR="00BD5682">
        <w:rPr>
          <w:color w:val="E36C0A" w:themeColor="accent6" w:themeShade="BF"/>
          <w:sz w:val="24"/>
          <w:szCs w:val="24"/>
        </w:rPr>
        <w:t xml:space="preserve">were </w:t>
      </w:r>
      <w:r w:rsidRPr="00BD5682">
        <w:rPr>
          <w:color w:val="E36C0A" w:themeColor="accent6" w:themeShade="BF"/>
          <w:sz w:val="24"/>
          <w:szCs w:val="24"/>
        </w:rPr>
        <w:t xml:space="preserve">located in peri-urban areas disconnected from sources </w:t>
      </w:r>
      <w:r w:rsidR="00BD5682">
        <w:rPr>
          <w:color w:val="E36C0A" w:themeColor="accent6" w:themeShade="BF"/>
          <w:sz w:val="24"/>
          <w:szCs w:val="24"/>
        </w:rPr>
        <w:t xml:space="preserve">of </w:t>
      </w:r>
      <w:r w:rsidRPr="00BD5682">
        <w:rPr>
          <w:color w:val="E36C0A" w:themeColor="accent6" w:themeShade="BF"/>
          <w:sz w:val="24"/>
          <w:szCs w:val="24"/>
        </w:rPr>
        <w:t xml:space="preserve">employment, equipment, urban services and </w:t>
      </w:r>
      <w:r w:rsidR="00BD5682" w:rsidRPr="00BD5682">
        <w:rPr>
          <w:color w:val="E36C0A" w:themeColor="accent6" w:themeShade="BF"/>
          <w:sz w:val="24"/>
          <w:szCs w:val="24"/>
        </w:rPr>
        <w:t xml:space="preserve">transportation </w:t>
      </w:r>
      <w:r w:rsidRPr="00BD5682">
        <w:rPr>
          <w:color w:val="E36C0A" w:themeColor="accent6" w:themeShade="BF"/>
          <w:sz w:val="24"/>
          <w:szCs w:val="24"/>
        </w:rPr>
        <w:t xml:space="preserve">networks. These may be among the main reasons that 6 million homes are empty in the country even though not all are new homes. </w:t>
      </w:r>
    </w:p>
    <w:p w14:paraId="772E17E0" w14:textId="77777777" w:rsidR="00BD5682" w:rsidRDefault="00BD5682" w:rsidP="00BD5682">
      <w:pPr>
        <w:jc w:val="both"/>
        <w:rPr>
          <w:color w:val="E36C0A" w:themeColor="accent6" w:themeShade="BF"/>
          <w:sz w:val="24"/>
          <w:szCs w:val="24"/>
        </w:rPr>
      </w:pPr>
    </w:p>
    <w:p w14:paraId="059E2FE5" w14:textId="75C03173" w:rsidR="00F67F87" w:rsidRPr="00BD5682" w:rsidRDefault="00F67F87" w:rsidP="00BD5682">
      <w:pPr>
        <w:jc w:val="both"/>
        <w:rPr>
          <w:color w:val="E36C0A" w:themeColor="accent6" w:themeShade="BF"/>
          <w:sz w:val="24"/>
          <w:szCs w:val="24"/>
        </w:rPr>
      </w:pPr>
      <w:r w:rsidRPr="00BD5682">
        <w:rPr>
          <w:color w:val="E36C0A" w:themeColor="accent6" w:themeShade="BF"/>
          <w:sz w:val="24"/>
          <w:szCs w:val="24"/>
        </w:rPr>
        <w:t xml:space="preserve">In addition, projecting development </w:t>
      </w:r>
      <w:r w:rsidR="00BD5682">
        <w:rPr>
          <w:color w:val="E36C0A" w:themeColor="accent6" w:themeShade="BF"/>
          <w:sz w:val="24"/>
          <w:szCs w:val="24"/>
        </w:rPr>
        <w:t xml:space="preserve">of </w:t>
      </w:r>
      <w:r w:rsidRPr="00BD5682">
        <w:rPr>
          <w:color w:val="E36C0A" w:themeColor="accent6" w:themeShade="BF"/>
          <w:sz w:val="24"/>
          <w:szCs w:val="24"/>
        </w:rPr>
        <w:t>future housing, only 14.7% of territorial reserves in the country comply with a suitable location in terms of access to infrastructure and proximity to sources of employment.</w:t>
      </w:r>
      <w:r w:rsidRPr="00BD5682">
        <w:rPr>
          <w:color w:val="E36C0A" w:themeColor="accent6" w:themeShade="BF"/>
        </w:rPr>
        <w:t xml:space="preserve"> </w:t>
      </w:r>
      <w:r w:rsidRPr="00BD5682">
        <w:rPr>
          <w:color w:val="E36C0A" w:themeColor="accent6" w:themeShade="BF"/>
          <w:sz w:val="24"/>
          <w:szCs w:val="24"/>
        </w:rPr>
        <w:t xml:space="preserve">The low-income population that does not have access </w:t>
      </w:r>
      <w:r w:rsidRPr="00BD5682">
        <w:rPr>
          <w:color w:val="E36C0A" w:themeColor="accent6" w:themeShade="BF"/>
          <w:sz w:val="24"/>
          <w:szCs w:val="24"/>
        </w:rPr>
        <w:lastRenderedPageBreak/>
        <w:t>to any housing program</w:t>
      </w:r>
      <w:r w:rsidR="00BD5682">
        <w:rPr>
          <w:color w:val="E36C0A" w:themeColor="accent6" w:themeShade="BF"/>
          <w:sz w:val="24"/>
          <w:szCs w:val="24"/>
        </w:rPr>
        <w:t>s (</w:t>
      </w:r>
      <w:r w:rsidRPr="00BD5682">
        <w:rPr>
          <w:color w:val="E36C0A" w:themeColor="accent6" w:themeShade="BF"/>
          <w:sz w:val="24"/>
          <w:szCs w:val="24"/>
        </w:rPr>
        <w:t>the</w:t>
      </w:r>
      <w:r w:rsidR="00B12FDC" w:rsidRPr="00BD5682">
        <w:rPr>
          <w:color w:val="E36C0A" w:themeColor="accent6" w:themeShade="BF"/>
          <w:sz w:val="24"/>
          <w:szCs w:val="24"/>
        </w:rPr>
        <w:t>re are no social rental options and housing</w:t>
      </w:r>
      <w:r w:rsidRPr="00BD5682">
        <w:rPr>
          <w:color w:val="E36C0A" w:themeColor="accent6" w:themeShade="BF"/>
          <w:sz w:val="24"/>
          <w:szCs w:val="24"/>
        </w:rPr>
        <w:t xml:space="preserve"> cooperatives in Mexico</w:t>
      </w:r>
      <w:r w:rsidR="00BD5682">
        <w:rPr>
          <w:color w:val="E36C0A" w:themeColor="accent6" w:themeShade="BF"/>
          <w:sz w:val="24"/>
          <w:szCs w:val="24"/>
        </w:rPr>
        <w:t>)</w:t>
      </w:r>
      <w:r w:rsidRPr="00BD5682">
        <w:rPr>
          <w:color w:val="E36C0A" w:themeColor="accent6" w:themeShade="BF"/>
          <w:sz w:val="24"/>
          <w:szCs w:val="24"/>
        </w:rPr>
        <w:t xml:space="preserve"> are recognized </w:t>
      </w:r>
      <w:r w:rsidR="00B12FDC" w:rsidRPr="00BD5682">
        <w:rPr>
          <w:color w:val="E36C0A" w:themeColor="accent6" w:themeShade="BF"/>
          <w:sz w:val="24"/>
          <w:szCs w:val="24"/>
        </w:rPr>
        <w:t xml:space="preserve">from 1917 </w:t>
      </w:r>
      <w:r w:rsidRPr="00BD5682">
        <w:rPr>
          <w:color w:val="E36C0A" w:themeColor="accent6" w:themeShade="BF"/>
          <w:sz w:val="24"/>
          <w:szCs w:val="24"/>
        </w:rPr>
        <w:t xml:space="preserve">but there is no legislation </w:t>
      </w:r>
      <w:r w:rsidR="00BD5682">
        <w:rPr>
          <w:color w:val="E36C0A" w:themeColor="accent6" w:themeShade="BF"/>
          <w:sz w:val="24"/>
          <w:szCs w:val="24"/>
        </w:rPr>
        <w:t xml:space="preserve">related to this segment </w:t>
      </w:r>
      <w:r w:rsidRPr="00BD5682">
        <w:rPr>
          <w:color w:val="E36C0A" w:themeColor="accent6" w:themeShade="BF"/>
          <w:sz w:val="24"/>
          <w:szCs w:val="24"/>
        </w:rPr>
        <w:t>that allows easy operation</w:t>
      </w:r>
      <w:r w:rsidR="00BD5682">
        <w:rPr>
          <w:color w:val="E36C0A" w:themeColor="accent6" w:themeShade="BF"/>
          <w:sz w:val="24"/>
          <w:szCs w:val="24"/>
        </w:rPr>
        <w:t xml:space="preserve"> and </w:t>
      </w:r>
      <w:r w:rsidR="00BD5682" w:rsidRPr="00BD5682">
        <w:rPr>
          <w:color w:val="E36C0A" w:themeColor="accent6" w:themeShade="BF"/>
          <w:sz w:val="24"/>
          <w:szCs w:val="24"/>
        </w:rPr>
        <w:t xml:space="preserve">frequently </w:t>
      </w:r>
      <w:r w:rsidRPr="00BD5682">
        <w:rPr>
          <w:color w:val="E36C0A" w:themeColor="accent6" w:themeShade="BF"/>
          <w:sz w:val="24"/>
          <w:szCs w:val="24"/>
        </w:rPr>
        <w:t>locates t</w:t>
      </w:r>
      <w:r w:rsidR="00BD5682">
        <w:rPr>
          <w:color w:val="E36C0A" w:themeColor="accent6" w:themeShade="BF"/>
          <w:sz w:val="24"/>
          <w:szCs w:val="24"/>
        </w:rPr>
        <w:t>he</w:t>
      </w:r>
      <w:r w:rsidRPr="00BD5682">
        <w:rPr>
          <w:color w:val="E36C0A" w:themeColor="accent6" w:themeShade="BF"/>
          <w:sz w:val="24"/>
          <w:szCs w:val="24"/>
        </w:rPr>
        <w:t xml:space="preserve"> homes</w:t>
      </w:r>
      <w:r w:rsidR="00BD5682">
        <w:rPr>
          <w:color w:val="E36C0A" w:themeColor="accent6" w:themeShade="BF"/>
          <w:sz w:val="24"/>
          <w:szCs w:val="24"/>
        </w:rPr>
        <w:t xml:space="preserve"> of this population segment</w:t>
      </w:r>
      <w:r w:rsidRPr="00BD5682">
        <w:rPr>
          <w:color w:val="E36C0A" w:themeColor="accent6" w:themeShade="BF"/>
          <w:sz w:val="24"/>
          <w:szCs w:val="24"/>
        </w:rPr>
        <w:t xml:space="preserve"> in hazardous areas or water recharge areas</w:t>
      </w:r>
      <w:r w:rsidR="00B12FDC" w:rsidRPr="00BD5682">
        <w:rPr>
          <w:color w:val="E36C0A" w:themeColor="accent6" w:themeShade="BF"/>
          <w:sz w:val="24"/>
          <w:szCs w:val="24"/>
        </w:rPr>
        <w:t>.</w:t>
      </w:r>
    </w:p>
    <w:p w14:paraId="20A02741" w14:textId="77777777" w:rsidR="00F67F87" w:rsidRPr="00BD5682" w:rsidRDefault="00F67F87" w:rsidP="00BD5682">
      <w:pPr>
        <w:jc w:val="both"/>
        <w:rPr>
          <w:color w:val="E36C0A" w:themeColor="accent6" w:themeShade="BF"/>
          <w:sz w:val="24"/>
          <w:szCs w:val="24"/>
        </w:rPr>
      </w:pPr>
    </w:p>
    <w:p w14:paraId="3B0EB1E5" w14:textId="77777777" w:rsidR="00F67F87" w:rsidRPr="00BD5682" w:rsidRDefault="00F67F87" w:rsidP="00BD5682">
      <w:pPr>
        <w:jc w:val="both"/>
        <w:rPr>
          <w:color w:val="E36C0A" w:themeColor="accent6" w:themeShade="BF"/>
          <w:sz w:val="24"/>
          <w:szCs w:val="24"/>
        </w:rPr>
      </w:pPr>
      <w:r w:rsidRPr="00BD5682">
        <w:rPr>
          <w:color w:val="E36C0A" w:themeColor="accent6" w:themeShade="BF"/>
          <w:sz w:val="24"/>
          <w:szCs w:val="24"/>
        </w:rPr>
        <w:t>Although the numbers may change, this situation is very similar in the vast majority of Latin America, where similar programs of massive construction of housing have been implemented outside the cities, leaving the recipient municipalities with the responsibility of providing them with services instead of imposing this task to the contracting companies.</w:t>
      </w:r>
    </w:p>
    <w:p w14:paraId="3DCB6A65" w14:textId="77777777" w:rsidR="00F67F87" w:rsidRDefault="00F67F87" w:rsidP="00226F79">
      <w:pPr>
        <w:ind w:left="720"/>
        <w:jc w:val="both"/>
        <w:rPr>
          <w:sz w:val="24"/>
          <w:szCs w:val="24"/>
        </w:rPr>
      </w:pPr>
    </w:p>
    <w:p w14:paraId="3FBD741E" w14:textId="77777777" w:rsidR="00226F79" w:rsidRPr="00226F79" w:rsidRDefault="00226F79" w:rsidP="00226F79">
      <w:pPr>
        <w:jc w:val="both"/>
        <w:rPr>
          <w:i/>
          <w:sz w:val="24"/>
          <w:szCs w:val="24"/>
        </w:rPr>
      </w:pPr>
      <w:r w:rsidRPr="00226F79">
        <w:rPr>
          <w:i/>
          <w:sz w:val="24"/>
          <w:szCs w:val="24"/>
        </w:rPr>
        <w:t>Cultural adequacy</w:t>
      </w:r>
    </w:p>
    <w:p w14:paraId="621C6B0D" w14:textId="77777777" w:rsidR="00226F79" w:rsidRPr="00226F79" w:rsidRDefault="00226F79" w:rsidP="005E6EDB">
      <w:pPr>
        <w:pStyle w:val="ListParagraph"/>
        <w:numPr>
          <w:ilvl w:val="0"/>
          <w:numId w:val="2"/>
        </w:numPr>
        <w:jc w:val="both"/>
        <w:rPr>
          <w:sz w:val="24"/>
          <w:szCs w:val="24"/>
        </w:rPr>
      </w:pPr>
      <w:r w:rsidRPr="00226F79">
        <w:rPr>
          <w:sz w:val="24"/>
          <w:szCs w:val="24"/>
        </w:rPr>
        <w:t xml:space="preserve">Discrimination in relation to the recognition of culturally adequate dwellings as housing as well as equal access to public space; </w:t>
      </w:r>
    </w:p>
    <w:p w14:paraId="7743CEDA" w14:textId="77777777" w:rsidR="00226F79" w:rsidRPr="00226F79" w:rsidRDefault="000C7384" w:rsidP="005E6EDB">
      <w:pPr>
        <w:pStyle w:val="ListParagraph"/>
        <w:numPr>
          <w:ilvl w:val="0"/>
          <w:numId w:val="2"/>
        </w:numPr>
        <w:jc w:val="both"/>
        <w:rPr>
          <w:sz w:val="24"/>
          <w:szCs w:val="24"/>
        </w:rPr>
      </w:pPr>
      <w:r>
        <w:rPr>
          <w:sz w:val="24"/>
          <w:szCs w:val="24"/>
        </w:rPr>
        <w:t>P</w:t>
      </w:r>
      <w:r w:rsidR="00226F79" w:rsidRPr="00226F79">
        <w:rPr>
          <w:sz w:val="24"/>
          <w:szCs w:val="24"/>
        </w:rPr>
        <w:t>rohibition of accessing, maintaining or constructing culturally adequate housing;</w:t>
      </w:r>
    </w:p>
    <w:p w14:paraId="7F636811" w14:textId="49713B6D" w:rsidR="00226F79" w:rsidRDefault="000C7384" w:rsidP="005E6EDB">
      <w:pPr>
        <w:pStyle w:val="ListParagraph"/>
        <w:numPr>
          <w:ilvl w:val="0"/>
          <w:numId w:val="2"/>
        </w:numPr>
        <w:jc w:val="both"/>
        <w:rPr>
          <w:sz w:val="24"/>
          <w:szCs w:val="24"/>
        </w:rPr>
      </w:pPr>
      <w:r>
        <w:rPr>
          <w:sz w:val="24"/>
          <w:szCs w:val="24"/>
        </w:rPr>
        <w:t>L</w:t>
      </w:r>
      <w:r w:rsidR="00226F79" w:rsidRPr="00226F79">
        <w:rPr>
          <w:sz w:val="24"/>
          <w:szCs w:val="24"/>
        </w:rPr>
        <w:t>ack of recognition of mobile forms of residency.</w:t>
      </w:r>
    </w:p>
    <w:p w14:paraId="18019BD1" w14:textId="11103BDB" w:rsidR="00BD5682" w:rsidRDefault="00BD5682" w:rsidP="00BD5682">
      <w:pPr>
        <w:jc w:val="both"/>
        <w:rPr>
          <w:sz w:val="24"/>
          <w:szCs w:val="24"/>
        </w:rPr>
      </w:pPr>
    </w:p>
    <w:p w14:paraId="36D4F828" w14:textId="6A8DBB62" w:rsidR="00BD5682" w:rsidRPr="00BD5682" w:rsidRDefault="00BD5682" w:rsidP="00BD5682">
      <w:pPr>
        <w:jc w:val="both"/>
        <w:rPr>
          <w:i/>
          <w:iCs/>
          <w:color w:val="E36C0A" w:themeColor="accent6" w:themeShade="BF"/>
          <w:sz w:val="24"/>
          <w:szCs w:val="24"/>
        </w:rPr>
      </w:pPr>
      <w:r w:rsidRPr="00BD5682">
        <w:rPr>
          <w:i/>
          <w:iCs/>
          <w:color w:val="E36C0A" w:themeColor="accent6" w:themeShade="BF"/>
          <w:sz w:val="24"/>
          <w:szCs w:val="24"/>
        </w:rPr>
        <w:t>Mexico</w:t>
      </w:r>
      <w:r w:rsidR="004F6770">
        <w:rPr>
          <w:i/>
          <w:iCs/>
          <w:color w:val="E36C0A" w:themeColor="accent6" w:themeShade="BF"/>
          <w:sz w:val="24"/>
          <w:szCs w:val="24"/>
        </w:rPr>
        <w:t xml:space="preserve"> – the role of rural communities in housing production</w:t>
      </w:r>
    </w:p>
    <w:p w14:paraId="239C6384" w14:textId="77777777" w:rsidR="00226F79" w:rsidRDefault="00226F79" w:rsidP="00226F79">
      <w:pPr>
        <w:pStyle w:val="ListParagraph"/>
        <w:jc w:val="both"/>
        <w:rPr>
          <w:sz w:val="24"/>
          <w:szCs w:val="24"/>
        </w:rPr>
      </w:pPr>
    </w:p>
    <w:p w14:paraId="41A284DD" w14:textId="77777777" w:rsidR="00FE2B0F" w:rsidRPr="00BD5682" w:rsidRDefault="00B12FDC" w:rsidP="00BD5682">
      <w:pPr>
        <w:pStyle w:val="ListParagraph"/>
        <w:ind w:left="0"/>
        <w:jc w:val="both"/>
        <w:rPr>
          <w:color w:val="E36C0A" w:themeColor="accent6" w:themeShade="BF"/>
          <w:sz w:val="24"/>
          <w:szCs w:val="24"/>
        </w:rPr>
      </w:pPr>
      <w:r w:rsidRPr="00BD5682">
        <w:rPr>
          <w:color w:val="E36C0A" w:themeColor="accent6" w:themeShade="BF"/>
          <w:sz w:val="24"/>
          <w:szCs w:val="24"/>
        </w:rPr>
        <w:t xml:space="preserve">Cultural adequacy is among the least </w:t>
      </w:r>
      <w:proofErr w:type="spellStart"/>
      <w:r w:rsidRPr="00BD5682">
        <w:rPr>
          <w:color w:val="E36C0A" w:themeColor="accent6" w:themeShade="BF"/>
          <w:sz w:val="24"/>
          <w:szCs w:val="24"/>
        </w:rPr>
        <w:t>analyzed</w:t>
      </w:r>
      <w:proofErr w:type="spellEnd"/>
      <w:r w:rsidRPr="00BD5682">
        <w:rPr>
          <w:color w:val="E36C0A" w:themeColor="accent6" w:themeShade="BF"/>
          <w:sz w:val="24"/>
          <w:szCs w:val="24"/>
        </w:rPr>
        <w:t xml:space="preserve"> and considered aspects in Mexico. In fact, the 2016 housing law takes up 5 of the 7 characteristics of adequate housing without including cultural adequacy among them. In the post-earthquake reconstruction programs of 2017, the houses made of palm trees or other traditional or local materials were not restored to their inhabitants, so they were not considered "houses." </w:t>
      </w:r>
    </w:p>
    <w:p w14:paraId="12CFD7D2" w14:textId="77777777" w:rsidR="00FE2B0F" w:rsidRPr="00BD5682" w:rsidRDefault="00FE2B0F" w:rsidP="00BD5682">
      <w:pPr>
        <w:pStyle w:val="ListParagraph"/>
        <w:ind w:left="0"/>
        <w:jc w:val="both"/>
        <w:rPr>
          <w:color w:val="E36C0A" w:themeColor="accent6" w:themeShade="BF"/>
          <w:sz w:val="24"/>
          <w:szCs w:val="24"/>
        </w:rPr>
      </w:pPr>
    </w:p>
    <w:p w14:paraId="4A975C58" w14:textId="17EB175E" w:rsidR="00FE2B0F" w:rsidRPr="00BD5682" w:rsidRDefault="00FE2B0F" w:rsidP="00BD5682">
      <w:pPr>
        <w:pStyle w:val="ListParagraph"/>
        <w:ind w:left="0"/>
        <w:jc w:val="both"/>
        <w:rPr>
          <w:color w:val="E36C0A" w:themeColor="accent6" w:themeShade="BF"/>
          <w:sz w:val="24"/>
          <w:szCs w:val="24"/>
        </w:rPr>
      </w:pPr>
      <w:r w:rsidRPr="00BD5682">
        <w:rPr>
          <w:color w:val="E36C0A" w:themeColor="accent6" w:themeShade="BF"/>
          <w:sz w:val="24"/>
          <w:szCs w:val="24"/>
        </w:rPr>
        <w:t xml:space="preserve">Organizations working with communities in rural areas, as </w:t>
      </w:r>
      <w:proofErr w:type="spellStart"/>
      <w:r w:rsidRPr="00BD5682">
        <w:rPr>
          <w:color w:val="E36C0A" w:themeColor="accent6" w:themeShade="BF"/>
          <w:sz w:val="24"/>
          <w:szCs w:val="24"/>
        </w:rPr>
        <w:t>Cooperación</w:t>
      </w:r>
      <w:proofErr w:type="spellEnd"/>
      <w:r w:rsidRPr="00BD5682">
        <w:rPr>
          <w:color w:val="E36C0A" w:themeColor="accent6" w:themeShade="BF"/>
          <w:sz w:val="24"/>
          <w:szCs w:val="24"/>
        </w:rPr>
        <w:t xml:space="preserve"> </w:t>
      </w:r>
      <w:proofErr w:type="spellStart"/>
      <w:r w:rsidRPr="00BD5682">
        <w:rPr>
          <w:color w:val="E36C0A" w:themeColor="accent6" w:themeShade="BF"/>
          <w:sz w:val="24"/>
          <w:szCs w:val="24"/>
        </w:rPr>
        <w:t>Comunitaria</w:t>
      </w:r>
      <w:proofErr w:type="spellEnd"/>
      <w:r w:rsidRPr="00BD5682">
        <w:rPr>
          <w:color w:val="E36C0A" w:themeColor="accent6" w:themeShade="BF"/>
          <w:sz w:val="24"/>
          <w:szCs w:val="24"/>
        </w:rPr>
        <w:t xml:space="preserve"> in Mexico, under</w:t>
      </w:r>
      <w:r w:rsidR="004F6770">
        <w:rPr>
          <w:color w:val="E36C0A" w:themeColor="accent6" w:themeShade="BF"/>
          <w:sz w:val="24"/>
          <w:szCs w:val="24"/>
        </w:rPr>
        <w:t>score</w:t>
      </w:r>
      <w:r w:rsidRPr="00BD5682">
        <w:rPr>
          <w:color w:val="E36C0A" w:themeColor="accent6" w:themeShade="BF"/>
          <w:sz w:val="24"/>
          <w:szCs w:val="24"/>
        </w:rPr>
        <w:t xml:space="preserve"> that within the international construction of concepts and regulations around Adequate Housing, the formulation and reflection generally revolves around urban environments, leaving aside the cultural and productive relevance of rural areas, as well as the various vulnerabilities that people face in these places. It is necessary to understand </w:t>
      </w:r>
      <w:r w:rsidRPr="00BD5682">
        <w:rPr>
          <w:color w:val="E36C0A" w:themeColor="accent6" w:themeShade="BF"/>
          <w:sz w:val="24"/>
          <w:szCs w:val="24"/>
        </w:rPr>
        <w:lastRenderedPageBreak/>
        <w:t xml:space="preserve">the rural dimension in depth in order to generate adequate mechanisms and policies. Likewise, it becomes essential to recognize the relevant role of rural communities as producers of housing and to deepen the relationships between housing and habitat. </w:t>
      </w:r>
    </w:p>
    <w:p w14:paraId="2BBE79A1" w14:textId="77777777" w:rsidR="00FE2B0F" w:rsidRPr="00BD5682" w:rsidRDefault="00FE2B0F" w:rsidP="00BD5682">
      <w:pPr>
        <w:pStyle w:val="ListParagraph"/>
        <w:ind w:left="0"/>
        <w:jc w:val="both"/>
        <w:rPr>
          <w:color w:val="E36C0A" w:themeColor="accent6" w:themeShade="BF"/>
          <w:sz w:val="24"/>
          <w:szCs w:val="24"/>
        </w:rPr>
      </w:pPr>
    </w:p>
    <w:p w14:paraId="454CF147" w14:textId="73215F0B" w:rsidR="00FE2B0F" w:rsidRDefault="00FE2B0F" w:rsidP="00BD5682">
      <w:pPr>
        <w:pStyle w:val="ListParagraph"/>
        <w:ind w:left="0"/>
        <w:jc w:val="both"/>
        <w:rPr>
          <w:color w:val="E36C0A" w:themeColor="accent6" w:themeShade="BF"/>
          <w:sz w:val="24"/>
          <w:szCs w:val="24"/>
        </w:rPr>
      </w:pPr>
      <w:r w:rsidRPr="00BD5682">
        <w:rPr>
          <w:color w:val="E36C0A" w:themeColor="accent6" w:themeShade="BF"/>
          <w:sz w:val="24"/>
          <w:szCs w:val="24"/>
        </w:rPr>
        <w:t xml:space="preserve">Norms and </w:t>
      </w:r>
      <w:r w:rsidR="004F6770" w:rsidRPr="00BD5682">
        <w:rPr>
          <w:color w:val="E36C0A" w:themeColor="accent6" w:themeShade="BF"/>
          <w:sz w:val="24"/>
          <w:szCs w:val="24"/>
        </w:rPr>
        <w:t>behaviours</w:t>
      </w:r>
      <w:r w:rsidRPr="00BD5682">
        <w:rPr>
          <w:color w:val="E36C0A" w:themeColor="accent6" w:themeShade="BF"/>
          <w:sz w:val="24"/>
          <w:szCs w:val="24"/>
        </w:rPr>
        <w:t xml:space="preserve"> that </w:t>
      </w:r>
      <w:r w:rsidR="004F6770">
        <w:rPr>
          <w:color w:val="E36C0A" w:themeColor="accent6" w:themeShade="BF"/>
          <w:sz w:val="24"/>
          <w:szCs w:val="24"/>
        </w:rPr>
        <w:t>need</w:t>
      </w:r>
      <w:r w:rsidRPr="00BD5682">
        <w:rPr>
          <w:color w:val="E36C0A" w:themeColor="accent6" w:themeShade="BF"/>
          <w:sz w:val="24"/>
          <w:szCs w:val="24"/>
        </w:rPr>
        <w:t xml:space="preserve"> to change </w:t>
      </w:r>
      <w:r w:rsidR="004F6770">
        <w:rPr>
          <w:color w:val="E36C0A" w:themeColor="accent6" w:themeShade="BF"/>
          <w:sz w:val="24"/>
          <w:szCs w:val="24"/>
        </w:rPr>
        <w:t>relate to:</w:t>
      </w:r>
      <w:r w:rsidRPr="00BD5682">
        <w:rPr>
          <w:color w:val="E36C0A" w:themeColor="accent6" w:themeShade="BF"/>
          <w:sz w:val="24"/>
          <w:szCs w:val="24"/>
        </w:rPr>
        <w:t xml:space="preserve"> </w:t>
      </w:r>
    </w:p>
    <w:p w14:paraId="62480EE6" w14:textId="77777777" w:rsidR="004F6770" w:rsidRPr="00BD5682" w:rsidRDefault="004F6770" w:rsidP="00BD5682">
      <w:pPr>
        <w:pStyle w:val="ListParagraph"/>
        <w:ind w:left="0"/>
        <w:jc w:val="both"/>
        <w:rPr>
          <w:color w:val="E36C0A" w:themeColor="accent6" w:themeShade="BF"/>
          <w:sz w:val="24"/>
          <w:szCs w:val="24"/>
        </w:rPr>
      </w:pPr>
    </w:p>
    <w:p w14:paraId="3AAC528B" w14:textId="77777777" w:rsidR="004F6770" w:rsidRDefault="00FE2B0F" w:rsidP="004F6770">
      <w:pPr>
        <w:pStyle w:val="ListParagraph"/>
        <w:numPr>
          <w:ilvl w:val="0"/>
          <w:numId w:val="6"/>
        </w:numPr>
        <w:jc w:val="both"/>
        <w:rPr>
          <w:color w:val="E36C0A" w:themeColor="accent6" w:themeShade="BF"/>
          <w:sz w:val="24"/>
          <w:szCs w:val="24"/>
        </w:rPr>
      </w:pPr>
      <w:r w:rsidRPr="004F6770">
        <w:rPr>
          <w:b/>
          <w:bCs/>
          <w:color w:val="E36C0A" w:themeColor="accent6" w:themeShade="BF"/>
          <w:sz w:val="24"/>
          <w:szCs w:val="24"/>
        </w:rPr>
        <w:t>Laws:</w:t>
      </w:r>
      <w:r w:rsidRPr="00BD5682">
        <w:rPr>
          <w:color w:val="E36C0A" w:themeColor="accent6" w:themeShade="BF"/>
          <w:sz w:val="24"/>
          <w:szCs w:val="24"/>
        </w:rPr>
        <w:t xml:space="preserve"> It is evident that there is no specific regulation that promotes traditional construction systems.</w:t>
      </w:r>
    </w:p>
    <w:p w14:paraId="0106E4DB" w14:textId="77777777" w:rsidR="004F6770" w:rsidRDefault="00FE2B0F" w:rsidP="004F6770">
      <w:pPr>
        <w:pStyle w:val="ListParagraph"/>
        <w:numPr>
          <w:ilvl w:val="0"/>
          <w:numId w:val="6"/>
        </w:numPr>
        <w:jc w:val="both"/>
        <w:rPr>
          <w:color w:val="E36C0A" w:themeColor="accent6" w:themeShade="BF"/>
          <w:sz w:val="24"/>
          <w:szCs w:val="24"/>
        </w:rPr>
      </w:pPr>
      <w:r w:rsidRPr="004F6770">
        <w:rPr>
          <w:b/>
          <w:bCs/>
          <w:color w:val="E36C0A" w:themeColor="accent6" w:themeShade="BF"/>
          <w:sz w:val="24"/>
          <w:szCs w:val="24"/>
        </w:rPr>
        <w:t>Politics:</w:t>
      </w:r>
      <w:r w:rsidRPr="004F6770">
        <w:rPr>
          <w:color w:val="E36C0A" w:themeColor="accent6" w:themeShade="BF"/>
          <w:sz w:val="24"/>
          <w:szCs w:val="24"/>
        </w:rPr>
        <w:t xml:space="preserve"> The main and official indicators on adequate housing in Mexico classify local materials and traditional construction systems as precarious</w:t>
      </w:r>
      <w:r w:rsidR="004F6770">
        <w:rPr>
          <w:color w:val="E36C0A" w:themeColor="accent6" w:themeShade="BF"/>
          <w:sz w:val="24"/>
          <w:szCs w:val="24"/>
        </w:rPr>
        <w:t>.</w:t>
      </w:r>
      <w:r w:rsidRPr="004F6770">
        <w:rPr>
          <w:color w:val="E36C0A" w:themeColor="accent6" w:themeShade="BF"/>
          <w:sz w:val="24"/>
          <w:szCs w:val="24"/>
        </w:rPr>
        <w:t xml:space="preserve"> This stigmatizes and limits the social production of housing in rural areas. Furthermore, the technical advisers working with communities on social production of habitat do not have enough training and experience to understand the rural environment and indigenous cultures. Finally, there are no policies that promote or measure the level of participation or social cohesion generated around the housing production or management processes.</w:t>
      </w:r>
    </w:p>
    <w:p w14:paraId="53A3AD83" w14:textId="05206765" w:rsidR="00FE2B0F" w:rsidRPr="004F6770" w:rsidRDefault="00FE2B0F" w:rsidP="004F6770">
      <w:pPr>
        <w:pStyle w:val="ListParagraph"/>
        <w:numPr>
          <w:ilvl w:val="0"/>
          <w:numId w:val="6"/>
        </w:numPr>
        <w:jc w:val="both"/>
        <w:rPr>
          <w:color w:val="E36C0A" w:themeColor="accent6" w:themeShade="BF"/>
          <w:sz w:val="24"/>
          <w:szCs w:val="24"/>
        </w:rPr>
      </w:pPr>
      <w:r w:rsidRPr="004F6770">
        <w:rPr>
          <w:b/>
          <w:bCs/>
          <w:color w:val="E36C0A" w:themeColor="accent6" w:themeShade="BF"/>
          <w:sz w:val="24"/>
          <w:szCs w:val="24"/>
        </w:rPr>
        <w:t>Mechanisms and practices:</w:t>
      </w:r>
      <w:r w:rsidRPr="004F6770">
        <w:rPr>
          <w:color w:val="E36C0A" w:themeColor="accent6" w:themeShade="BF"/>
          <w:sz w:val="24"/>
          <w:szCs w:val="24"/>
        </w:rPr>
        <w:t xml:space="preserve"> A clear example has to do with the post-disaster reconstruction programs that have been officially carried out in rural areas of Mexico. The cultural adequacy of the dwellings is not considered, since homogeneous prototypes are imposed that do not respond to the specific needs of the inhabitants. On the other hand, in many cases the houses are built without having previously carried out a risk analysis and are located in areas prone to landslides. In the case of Mexico, the application of resources by the State requires rapid execution, so time</w:t>
      </w:r>
      <w:r w:rsidR="004F6770">
        <w:rPr>
          <w:color w:val="E36C0A" w:themeColor="accent6" w:themeShade="BF"/>
          <w:sz w:val="24"/>
          <w:szCs w:val="24"/>
        </w:rPr>
        <w:t>frames</w:t>
      </w:r>
      <w:r w:rsidRPr="004F6770">
        <w:rPr>
          <w:color w:val="E36C0A" w:themeColor="accent6" w:themeShade="BF"/>
          <w:sz w:val="24"/>
          <w:szCs w:val="24"/>
        </w:rPr>
        <w:t xml:space="preserve"> are </w:t>
      </w:r>
      <w:r w:rsidR="004F6770">
        <w:rPr>
          <w:color w:val="E36C0A" w:themeColor="accent6" w:themeShade="BF"/>
          <w:sz w:val="24"/>
          <w:szCs w:val="24"/>
        </w:rPr>
        <w:t>insufficient</w:t>
      </w:r>
      <w:r w:rsidRPr="004F6770">
        <w:rPr>
          <w:color w:val="E36C0A" w:themeColor="accent6" w:themeShade="BF"/>
          <w:sz w:val="24"/>
          <w:szCs w:val="24"/>
        </w:rPr>
        <w:t xml:space="preserve"> to carry out a soil analysis, structural analysis appropriate to the seismic coefficient, participatory design with users and comprehensive participatory diagnoses. </w:t>
      </w:r>
    </w:p>
    <w:p w14:paraId="49445E05" w14:textId="77777777" w:rsidR="00FE2B0F" w:rsidRPr="00BD5682" w:rsidRDefault="00FE2B0F" w:rsidP="00BD5682">
      <w:pPr>
        <w:pStyle w:val="ListParagraph"/>
        <w:ind w:left="0"/>
        <w:jc w:val="both"/>
        <w:rPr>
          <w:color w:val="E36C0A" w:themeColor="accent6" w:themeShade="BF"/>
          <w:sz w:val="24"/>
          <w:szCs w:val="24"/>
        </w:rPr>
      </w:pPr>
    </w:p>
    <w:p w14:paraId="5ED7C114" w14:textId="2BFF11B4" w:rsidR="00FE2B0F" w:rsidRPr="00BD5682" w:rsidRDefault="00FE2B0F" w:rsidP="00BD5682">
      <w:pPr>
        <w:pStyle w:val="ListParagraph"/>
        <w:ind w:left="0"/>
        <w:jc w:val="both"/>
        <w:rPr>
          <w:color w:val="E36C0A" w:themeColor="accent6" w:themeShade="BF"/>
          <w:sz w:val="24"/>
          <w:szCs w:val="24"/>
        </w:rPr>
      </w:pPr>
      <w:r w:rsidRPr="00BD5682">
        <w:rPr>
          <w:color w:val="E36C0A" w:themeColor="accent6" w:themeShade="BF"/>
          <w:sz w:val="24"/>
          <w:szCs w:val="24"/>
        </w:rPr>
        <w:t xml:space="preserve">Within these official schemes, the reactivation of economic practices and therefore the recovery of infrastructure prior to housing reconstruction </w:t>
      </w:r>
      <w:r w:rsidR="004F6770">
        <w:rPr>
          <w:color w:val="E36C0A" w:themeColor="accent6" w:themeShade="BF"/>
          <w:sz w:val="24"/>
          <w:szCs w:val="24"/>
        </w:rPr>
        <w:t>have</w:t>
      </w:r>
      <w:r w:rsidRPr="00BD5682">
        <w:rPr>
          <w:color w:val="E36C0A" w:themeColor="accent6" w:themeShade="BF"/>
          <w:sz w:val="24"/>
          <w:szCs w:val="24"/>
        </w:rPr>
        <w:t xml:space="preserve"> not taken priorit</w:t>
      </w:r>
      <w:r w:rsidR="004F6770">
        <w:rPr>
          <w:color w:val="E36C0A" w:themeColor="accent6" w:themeShade="BF"/>
          <w:sz w:val="24"/>
          <w:szCs w:val="24"/>
        </w:rPr>
        <w:t>y</w:t>
      </w:r>
      <w:r w:rsidRPr="00BD5682">
        <w:rPr>
          <w:color w:val="E36C0A" w:themeColor="accent6" w:themeShade="BF"/>
          <w:sz w:val="24"/>
          <w:szCs w:val="24"/>
        </w:rPr>
        <w:t>.</w:t>
      </w:r>
    </w:p>
    <w:p w14:paraId="1616FF40" w14:textId="77777777" w:rsidR="00FE2B0F" w:rsidRPr="00BD5682" w:rsidRDefault="00FE2B0F" w:rsidP="00BD5682">
      <w:pPr>
        <w:pStyle w:val="ListParagraph"/>
        <w:ind w:left="0"/>
        <w:jc w:val="both"/>
        <w:rPr>
          <w:color w:val="E36C0A" w:themeColor="accent6" w:themeShade="BF"/>
          <w:sz w:val="24"/>
          <w:szCs w:val="24"/>
        </w:rPr>
      </w:pPr>
    </w:p>
    <w:p w14:paraId="0B4AEBB5" w14:textId="1AFC65B0" w:rsidR="00FE2B0F" w:rsidRPr="00BD5682" w:rsidRDefault="00FE2B0F" w:rsidP="00BD5682">
      <w:pPr>
        <w:pStyle w:val="ListParagraph"/>
        <w:ind w:left="0"/>
        <w:jc w:val="both"/>
        <w:rPr>
          <w:color w:val="E36C0A" w:themeColor="accent6" w:themeShade="BF"/>
          <w:sz w:val="24"/>
          <w:szCs w:val="24"/>
        </w:rPr>
      </w:pPr>
      <w:r w:rsidRPr="00BD5682">
        <w:rPr>
          <w:color w:val="E36C0A" w:themeColor="accent6" w:themeShade="BF"/>
          <w:sz w:val="24"/>
          <w:szCs w:val="24"/>
        </w:rPr>
        <w:lastRenderedPageBreak/>
        <w:t xml:space="preserve">In post-disaster reconstruction schemes, as well as in conventional housing programs promoted by the government and executed by commercial entities, the habitability conditions are not considered in said prototypes, since the dimensions of the house, both in mt2 and in m3, </w:t>
      </w:r>
      <w:r w:rsidR="004F6770">
        <w:rPr>
          <w:color w:val="E36C0A" w:themeColor="accent6" w:themeShade="BF"/>
          <w:sz w:val="24"/>
          <w:szCs w:val="24"/>
        </w:rPr>
        <w:t xml:space="preserve">keep </w:t>
      </w:r>
      <w:r w:rsidRPr="00BD5682">
        <w:rPr>
          <w:color w:val="E36C0A" w:themeColor="accent6" w:themeShade="BF"/>
          <w:sz w:val="24"/>
          <w:szCs w:val="24"/>
        </w:rPr>
        <w:t>inhabitants in overcrowded conditions with inadequate thermal conditions for the climate.</w:t>
      </w:r>
    </w:p>
    <w:p w14:paraId="54412DBC" w14:textId="77777777" w:rsidR="00FE2B0F" w:rsidRPr="00BD5682" w:rsidRDefault="00FE2B0F" w:rsidP="00BD5682">
      <w:pPr>
        <w:pStyle w:val="ListParagraph"/>
        <w:ind w:left="0"/>
        <w:jc w:val="both"/>
        <w:rPr>
          <w:color w:val="E36C0A" w:themeColor="accent6" w:themeShade="BF"/>
          <w:sz w:val="24"/>
          <w:szCs w:val="24"/>
        </w:rPr>
      </w:pPr>
    </w:p>
    <w:p w14:paraId="63845ADD" w14:textId="64CF10E6" w:rsidR="00FE2B0F" w:rsidRPr="00BD5682" w:rsidRDefault="00FE2B0F" w:rsidP="00BD5682">
      <w:pPr>
        <w:pStyle w:val="ListParagraph"/>
        <w:ind w:left="0"/>
        <w:jc w:val="both"/>
        <w:rPr>
          <w:color w:val="E36C0A" w:themeColor="accent6" w:themeShade="BF"/>
          <w:sz w:val="24"/>
          <w:szCs w:val="24"/>
        </w:rPr>
      </w:pPr>
      <w:proofErr w:type="spellStart"/>
      <w:r w:rsidRPr="00BD5682">
        <w:rPr>
          <w:color w:val="E36C0A" w:themeColor="accent6" w:themeShade="BF"/>
          <w:sz w:val="24"/>
          <w:szCs w:val="24"/>
        </w:rPr>
        <w:t>Cooperacion</w:t>
      </w:r>
      <w:proofErr w:type="spellEnd"/>
      <w:r w:rsidRPr="00BD5682">
        <w:rPr>
          <w:color w:val="E36C0A" w:themeColor="accent6" w:themeShade="BF"/>
          <w:sz w:val="24"/>
          <w:szCs w:val="24"/>
        </w:rPr>
        <w:t xml:space="preserve"> </w:t>
      </w:r>
      <w:proofErr w:type="spellStart"/>
      <w:r w:rsidRPr="00BD5682">
        <w:rPr>
          <w:color w:val="E36C0A" w:themeColor="accent6" w:themeShade="BF"/>
          <w:sz w:val="24"/>
          <w:szCs w:val="24"/>
        </w:rPr>
        <w:t>Comunitaria</w:t>
      </w:r>
      <w:proofErr w:type="spellEnd"/>
      <w:r w:rsidRPr="00BD5682">
        <w:rPr>
          <w:color w:val="E36C0A" w:themeColor="accent6" w:themeShade="BF"/>
          <w:sz w:val="24"/>
          <w:szCs w:val="24"/>
        </w:rPr>
        <w:t xml:space="preserve"> ha</w:t>
      </w:r>
      <w:r w:rsidR="004F6770">
        <w:rPr>
          <w:color w:val="E36C0A" w:themeColor="accent6" w:themeShade="BF"/>
          <w:sz w:val="24"/>
          <w:szCs w:val="24"/>
        </w:rPr>
        <w:t>s</w:t>
      </w:r>
      <w:r w:rsidRPr="00BD5682">
        <w:rPr>
          <w:color w:val="E36C0A" w:themeColor="accent6" w:themeShade="BF"/>
          <w:sz w:val="24"/>
          <w:szCs w:val="24"/>
        </w:rPr>
        <w:t xml:space="preserve"> studied that traditional systems can provide better living conditions in terms of thermal comfort, sufficient living space, protection against risks and structural hazards. In addition, the studies </w:t>
      </w:r>
      <w:r w:rsidR="004F6770">
        <w:rPr>
          <w:color w:val="E36C0A" w:themeColor="accent6" w:themeShade="BF"/>
          <w:sz w:val="24"/>
          <w:szCs w:val="24"/>
        </w:rPr>
        <w:t>HIC-AL</w:t>
      </w:r>
      <w:r w:rsidRPr="00BD5682">
        <w:rPr>
          <w:color w:val="E36C0A" w:themeColor="accent6" w:themeShade="BF"/>
          <w:sz w:val="24"/>
          <w:szCs w:val="24"/>
        </w:rPr>
        <w:t xml:space="preserve"> ha</w:t>
      </w:r>
      <w:r w:rsidR="004F6770">
        <w:rPr>
          <w:color w:val="E36C0A" w:themeColor="accent6" w:themeShade="BF"/>
          <w:sz w:val="24"/>
          <w:szCs w:val="24"/>
        </w:rPr>
        <w:t>s</w:t>
      </w:r>
      <w:r w:rsidRPr="00BD5682">
        <w:rPr>
          <w:color w:val="E36C0A" w:themeColor="accent6" w:themeShade="BF"/>
          <w:sz w:val="24"/>
          <w:szCs w:val="24"/>
        </w:rPr>
        <w:t xml:space="preserve"> carried out indicate that homes built with local materials are 74% more ecological in terms of CO2 emissions compared to homes built with industrialized materials.</w:t>
      </w:r>
    </w:p>
    <w:p w14:paraId="679EBAC2" w14:textId="77777777" w:rsidR="00FE2B0F" w:rsidRPr="00BD5682" w:rsidRDefault="00FE2B0F" w:rsidP="00BD5682">
      <w:pPr>
        <w:pStyle w:val="ListParagraph"/>
        <w:ind w:left="0"/>
        <w:jc w:val="both"/>
        <w:rPr>
          <w:color w:val="E36C0A" w:themeColor="accent6" w:themeShade="BF"/>
          <w:sz w:val="24"/>
          <w:szCs w:val="24"/>
        </w:rPr>
      </w:pPr>
    </w:p>
    <w:p w14:paraId="4F6F8296" w14:textId="77777777" w:rsidR="00FE2B0F" w:rsidRPr="00BD5682" w:rsidRDefault="00FE2B0F" w:rsidP="00BD5682">
      <w:pPr>
        <w:pStyle w:val="ListParagraph"/>
        <w:ind w:left="0"/>
        <w:jc w:val="both"/>
        <w:rPr>
          <w:color w:val="E36C0A" w:themeColor="accent6" w:themeShade="BF"/>
          <w:sz w:val="24"/>
          <w:szCs w:val="24"/>
        </w:rPr>
      </w:pPr>
      <w:r w:rsidRPr="00BD5682">
        <w:rPr>
          <w:color w:val="E36C0A" w:themeColor="accent6" w:themeShade="BF"/>
          <w:sz w:val="24"/>
          <w:szCs w:val="24"/>
        </w:rPr>
        <w:t>The same happens in terms of affordability, since the financing programs do not include people who do not carry out a formal economic activity. Inequities in access to basic services are also evident.</w:t>
      </w:r>
    </w:p>
    <w:p w14:paraId="65BD1B3D" w14:textId="77777777" w:rsidR="00226F79" w:rsidRPr="00226F79" w:rsidRDefault="00226F79" w:rsidP="00226F79">
      <w:pPr>
        <w:jc w:val="both"/>
        <w:rPr>
          <w:sz w:val="24"/>
          <w:szCs w:val="24"/>
        </w:rPr>
      </w:pPr>
    </w:p>
    <w:p w14:paraId="22CAD6BE" w14:textId="5C9B2B96" w:rsidR="00226F79" w:rsidRDefault="003A314E" w:rsidP="00226F79">
      <w:pPr>
        <w:jc w:val="both"/>
        <w:rPr>
          <w:sz w:val="24"/>
          <w:szCs w:val="24"/>
        </w:rPr>
      </w:pPr>
      <w:r>
        <w:rPr>
          <w:sz w:val="24"/>
          <w:szCs w:val="24"/>
        </w:rPr>
        <w:t>9</w:t>
      </w:r>
      <w:r w:rsidR="00226F79" w:rsidRPr="00226F79">
        <w:rPr>
          <w:sz w:val="24"/>
          <w:szCs w:val="24"/>
        </w:rPr>
        <w:t>.</w:t>
      </w:r>
      <w:r>
        <w:rPr>
          <w:sz w:val="24"/>
          <w:szCs w:val="24"/>
        </w:rPr>
        <w:t xml:space="preserve"> </w:t>
      </w:r>
      <w:r w:rsidR="00226F79" w:rsidRPr="00226F79">
        <w:rPr>
          <w:sz w:val="24"/>
          <w:szCs w:val="24"/>
        </w:rPr>
        <w:t xml:space="preserve">Are there any particular current laws, policies or practices in your country, region or town/community that contribute to or exacerbate discrimination in relation to the right to adequate housing? </w:t>
      </w:r>
    </w:p>
    <w:p w14:paraId="47E411FA" w14:textId="73285D1C" w:rsidR="007D215C" w:rsidRDefault="007D215C" w:rsidP="00226F79">
      <w:pPr>
        <w:jc w:val="both"/>
        <w:rPr>
          <w:sz w:val="24"/>
          <w:szCs w:val="24"/>
        </w:rPr>
      </w:pPr>
    </w:p>
    <w:p w14:paraId="6E88DF46" w14:textId="2C7020D9" w:rsidR="007D215C" w:rsidRPr="007D215C" w:rsidRDefault="007D215C" w:rsidP="00226F79">
      <w:pPr>
        <w:jc w:val="both"/>
        <w:rPr>
          <w:i/>
          <w:iCs/>
          <w:color w:val="E36C0A" w:themeColor="accent6" w:themeShade="BF"/>
          <w:sz w:val="24"/>
          <w:szCs w:val="24"/>
        </w:rPr>
      </w:pPr>
      <w:r w:rsidRPr="007D215C">
        <w:rPr>
          <w:i/>
          <w:iCs/>
          <w:color w:val="E36C0A" w:themeColor="accent6" w:themeShade="BF"/>
          <w:sz w:val="24"/>
          <w:szCs w:val="24"/>
        </w:rPr>
        <w:t>India</w:t>
      </w:r>
    </w:p>
    <w:p w14:paraId="23B68732" w14:textId="15773CD6" w:rsidR="007D215C" w:rsidRPr="007D215C" w:rsidRDefault="00ED147D" w:rsidP="007D215C">
      <w:pPr>
        <w:jc w:val="both"/>
        <w:rPr>
          <w:color w:val="E36C0A" w:themeColor="accent6" w:themeShade="BF"/>
          <w:sz w:val="24"/>
          <w:szCs w:val="24"/>
        </w:rPr>
      </w:pPr>
      <w:sdt>
        <w:sdtPr>
          <w:rPr>
            <w:sz w:val="24"/>
            <w:szCs w:val="24"/>
          </w:rPr>
          <w:id w:val="-1433501859"/>
        </w:sdtPr>
        <w:sdtEndPr>
          <w:rPr>
            <w:color w:val="E36C0A" w:themeColor="accent6" w:themeShade="BF"/>
          </w:rPr>
        </w:sdtEndPr>
        <w:sdtContent>
          <w:r w:rsidR="007D215C" w:rsidRPr="007D215C">
            <w:rPr>
              <w:color w:val="E36C0A" w:themeColor="accent6" w:themeShade="BF"/>
              <w:sz w:val="24"/>
              <w:szCs w:val="24"/>
            </w:rPr>
            <w:t xml:space="preserve">The JJ </w:t>
          </w:r>
          <w:r w:rsidR="007D215C">
            <w:rPr>
              <w:color w:val="E36C0A" w:themeColor="accent6" w:themeShade="BF"/>
              <w:sz w:val="24"/>
              <w:szCs w:val="24"/>
            </w:rPr>
            <w:t>A</w:t>
          </w:r>
          <w:r w:rsidR="007D215C" w:rsidRPr="007D215C">
            <w:rPr>
              <w:color w:val="E36C0A" w:themeColor="accent6" w:themeShade="BF"/>
              <w:sz w:val="24"/>
              <w:szCs w:val="24"/>
            </w:rPr>
            <w:t>ct does provide an allowance of Rs 2000 per month that is</w:t>
          </w:r>
          <w:r w:rsidR="001928BA">
            <w:rPr>
              <w:color w:val="E36C0A" w:themeColor="accent6" w:themeShade="BF"/>
              <w:sz w:val="24"/>
              <w:szCs w:val="24"/>
            </w:rPr>
            <w:t>, however,</w:t>
          </w:r>
          <w:r w:rsidR="007D215C" w:rsidRPr="007D215C">
            <w:rPr>
              <w:color w:val="E36C0A" w:themeColor="accent6" w:themeShade="BF"/>
              <w:sz w:val="24"/>
              <w:szCs w:val="24"/>
            </w:rPr>
            <w:t xml:space="preserve"> not </w:t>
          </w:r>
          <w:r w:rsidR="001928BA">
            <w:rPr>
              <w:color w:val="E36C0A" w:themeColor="accent6" w:themeShade="BF"/>
              <w:sz w:val="24"/>
              <w:szCs w:val="24"/>
            </w:rPr>
            <w:t>accessed</w:t>
          </w:r>
          <w:r w:rsidR="007D215C" w:rsidRPr="007D215C">
            <w:rPr>
              <w:color w:val="E36C0A" w:themeColor="accent6" w:themeShade="BF"/>
              <w:sz w:val="24"/>
              <w:szCs w:val="24"/>
            </w:rPr>
            <w:t xml:space="preserve"> by the care leavers in all the states of India</w:t>
          </w:r>
          <w:r w:rsidR="001928BA">
            <w:rPr>
              <w:color w:val="E36C0A" w:themeColor="accent6" w:themeShade="BF"/>
              <w:sz w:val="24"/>
              <w:szCs w:val="24"/>
            </w:rPr>
            <w:t>.</w:t>
          </w:r>
          <w:r w:rsidR="007D215C" w:rsidRPr="007D215C">
            <w:rPr>
              <w:color w:val="E36C0A" w:themeColor="accent6" w:themeShade="BF"/>
              <w:sz w:val="24"/>
              <w:szCs w:val="24"/>
            </w:rPr>
            <w:t xml:space="preserve"> </w:t>
          </w:r>
        </w:sdtContent>
      </w:sdt>
    </w:p>
    <w:p w14:paraId="77962746" w14:textId="77777777" w:rsidR="004F6770" w:rsidRDefault="004F6770" w:rsidP="00226F79">
      <w:pPr>
        <w:jc w:val="both"/>
        <w:rPr>
          <w:sz w:val="24"/>
          <w:szCs w:val="24"/>
        </w:rPr>
      </w:pPr>
    </w:p>
    <w:p w14:paraId="7306626D" w14:textId="0682A25B" w:rsidR="004F6770" w:rsidRPr="007D215C" w:rsidRDefault="004F6770" w:rsidP="006D0C62">
      <w:pPr>
        <w:jc w:val="both"/>
        <w:rPr>
          <w:i/>
          <w:iCs/>
          <w:color w:val="E36C0A" w:themeColor="accent6" w:themeShade="BF"/>
          <w:sz w:val="24"/>
          <w:szCs w:val="24"/>
        </w:rPr>
      </w:pPr>
      <w:r w:rsidRPr="004F6770">
        <w:rPr>
          <w:i/>
          <w:iCs/>
          <w:color w:val="E36C0A" w:themeColor="accent6" w:themeShade="BF"/>
          <w:sz w:val="24"/>
          <w:szCs w:val="24"/>
        </w:rPr>
        <w:t xml:space="preserve">Mexico </w:t>
      </w:r>
    </w:p>
    <w:p w14:paraId="1B95B7D8" w14:textId="5EFB8ABD" w:rsidR="006D0C62" w:rsidRPr="004F6770" w:rsidRDefault="00B35218" w:rsidP="006D0C62">
      <w:pPr>
        <w:jc w:val="both"/>
        <w:rPr>
          <w:color w:val="E36C0A" w:themeColor="accent6" w:themeShade="BF"/>
          <w:sz w:val="24"/>
          <w:szCs w:val="24"/>
        </w:rPr>
      </w:pPr>
      <w:r w:rsidRPr="004F6770">
        <w:rPr>
          <w:color w:val="E36C0A" w:themeColor="accent6" w:themeShade="BF"/>
          <w:sz w:val="24"/>
          <w:szCs w:val="24"/>
        </w:rPr>
        <w:t>If you want to rent a home in Mexico, it is very common that at the time of the contract the owner asks for the endorsement of a guarantor who has some property. This property must be registered in the Public Property Registry and be in the same city where the person wants to rent.</w:t>
      </w:r>
    </w:p>
    <w:p w14:paraId="59BAA153" w14:textId="77777777" w:rsidR="006D0C62" w:rsidRPr="00226F79" w:rsidRDefault="006D0C62" w:rsidP="00226F79">
      <w:pPr>
        <w:jc w:val="both"/>
        <w:rPr>
          <w:sz w:val="24"/>
          <w:szCs w:val="24"/>
        </w:rPr>
      </w:pPr>
    </w:p>
    <w:p w14:paraId="67CBCE68" w14:textId="4552E516" w:rsidR="00226F79" w:rsidRDefault="003A314E" w:rsidP="00226F79">
      <w:pPr>
        <w:jc w:val="both"/>
        <w:rPr>
          <w:sz w:val="24"/>
          <w:szCs w:val="24"/>
        </w:rPr>
      </w:pPr>
      <w:r>
        <w:rPr>
          <w:sz w:val="24"/>
          <w:szCs w:val="24"/>
        </w:rPr>
        <w:lastRenderedPageBreak/>
        <w:t>10</w:t>
      </w:r>
      <w:r w:rsidR="00226F79" w:rsidRPr="00226F79">
        <w:rPr>
          <w:sz w:val="24"/>
          <w:szCs w:val="24"/>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14:paraId="182B4B98" w14:textId="4FFFCE73" w:rsidR="001928BA" w:rsidRDefault="001928BA" w:rsidP="00226F79">
      <w:pPr>
        <w:jc w:val="both"/>
        <w:rPr>
          <w:sz w:val="24"/>
          <w:szCs w:val="24"/>
        </w:rPr>
      </w:pPr>
    </w:p>
    <w:p w14:paraId="239FEF84" w14:textId="672E72DB" w:rsidR="001928BA" w:rsidRPr="001928BA" w:rsidRDefault="001928BA" w:rsidP="00226F79">
      <w:pPr>
        <w:jc w:val="both"/>
        <w:rPr>
          <w:i/>
          <w:iCs/>
          <w:color w:val="E36C0A" w:themeColor="accent6" w:themeShade="BF"/>
          <w:sz w:val="24"/>
          <w:szCs w:val="24"/>
        </w:rPr>
      </w:pPr>
      <w:r w:rsidRPr="001928BA">
        <w:rPr>
          <w:i/>
          <w:iCs/>
          <w:color w:val="E36C0A" w:themeColor="accent6" w:themeShade="BF"/>
          <w:sz w:val="24"/>
          <w:szCs w:val="24"/>
        </w:rPr>
        <w:t>India</w:t>
      </w:r>
    </w:p>
    <w:p w14:paraId="21648B92" w14:textId="00262751" w:rsidR="001928BA" w:rsidRPr="001928BA" w:rsidRDefault="00ED147D" w:rsidP="001928BA">
      <w:pPr>
        <w:jc w:val="both"/>
        <w:rPr>
          <w:color w:val="E36C0A" w:themeColor="accent6" w:themeShade="BF"/>
          <w:sz w:val="24"/>
          <w:szCs w:val="24"/>
        </w:rPr>
      </w:pPr>
      <w:sdt>
        <w:sdtPr>
          <w:rPr>
            <w:color w:val="E36C0A" w:themeColor="accent6" w:themeShade="BF"/>
            <w:sz w:val="24"/>
            <w:szCs w:val="24"/>
          </w:rPr>
          <w:id w:val="1065989443"/>
        </w:sdtPr>
        <w:sdtEndPr/>
        <w:sdtContent>
          <w:sdt>
            <w:sdtPr>
              <w:rPr>
                <w:color w:val="E36C0A" w:themeColor="accent6" w:themeShade="BF"/>
                <w:sz w:val="24"/>
                <w:szCs w:val="24"/>
              </w:rPr>
              <w:id w:val="-1791424749"/>
            </w:sdtPr>
            <w:sdtEndPr/>
            <w:sdtContent>
              <w:r w:rsidR="001928BA" w:rsidRPr="001928BA">
                <w:rPr>
                  <w:color w:val="E36C0A" w:themeColor="accent6" w:themeShade="BF"/>
                  <w:sz w:val="24"/>
                  <w:szCs w:val="24"/>
                </w:rPr>
                <w:t xml:space="preserve">The law has aftercare care rights in the JJ </w:t>
              </w:r>
              <w:r w:rsidR="001928BA">
                <w:rPr>
                  <w:color w:val="E36C0A" w:themeColor="accent6" w:themeShade="BF"/>
                  <w:sz w:val="24"/>
                  <w:szCs w:val="24"/>
                </w:rPr>
                <w:t>A</w:t>
              </w:r>
              <w:r w:rsidR="001928BA" w:rsidRPr="001928BA">
                <w:rPr>
                  <w:color w:val="E36C0A" w:themeColor="accent6" w:themeShade="BF"/>
                  <w:sz w:val="24"/>
                  <w:szCs w:val="24"/>
                </w:rPr>
                <w:t xml:space="preserve">ct to provide for the welfare for three more years until the age of 21. What </w:t>
              </w:r>
              <w:r w:rsidR="001928BA">
                <w:rPr>
                  <w:color w:val="E36C0A" w:themeColor="accent6" w:themeShade="BF"/>
                  <w:sz w:val="24"/>
                  <w:szCs w:val="24"/>
                </w:rPr>
                <w:t xml:space="preserve">happens </w:t>
              </w:r>
              <w:r w:rsidR="001928BA" w:rsidRPr="001928BA">
                <w:rPr>
                  <w:color w:val="E36C0A" w:themeColor="accent6" w:themeShade="BF"/>
                  <w:sz w:val="24"/>
                  <w:szCs w:val="24"/>
                </w:rPr>
                <w:t xml:space="preserve">after that? The young care leavers need to earn to </w:t>
              </w:r>
              <w:r w:rsidR="001928BA">
                <w:rPr>
                  <w:color w:val="E36C0A" w:themeColor="accent6" w:themeShade="BF"/>
                  <w:sz w:val="24"/>
                  <w:szCs w:val="24"/>
                </w:rPr>
                <w:t>f</w:t>
              </w:r>
              <w:r w:rsidR="001928BA" w:rsidRPr="001928BA">
                <w:rPr>
                  <w:color w:val="E36C0A" w:themeColor="accent6" w:themeShade="BF"/>
                  <w:sz w:val="24"/>
                  <w:szCs w:val="24"/>
                </w:rPr>
                <w:t xml:space="preserve">end for themselves but they are in poor mental </w:t>
              </w:r>
            </w:sdtContent>
          </w:sdt>
          <w:r w:rsidR="001928BA" w:rsidRPr="001928BA">
            <w:rPr>
              <w:color w:val="E36C0A" w:themeColor="accent6" w:themeShade="BF"/>
              <w:sz w:val="24"/>
              <w:szCs w:val="24"/>
            </w:rPr>
            <w:t>and physical health to retain work and jobs</w:t>
          </w:r>
          <w:r w:rsidR="001928BA">
            <w:rPr>
              <w:color w:val="E36C0A" w:themeColor="accent6" w:themeShade="BF"/>
              <w:sz w:val="24"/>
              <w:szCs w:val="24"/>
            </w:rPr>
            <w:t>.</w:t>
          </w:r>
          <w:r w:rsidR="001928BA" w:rsidRPr="001928BA" w:rsidDel="004541C6">
            <w:rPr>
              <w:color w:val="E36C0A" w:themeColor="accent6" w:themeShade="BF"/>
              <w:sz w:val="24"/>
              <w:szCs w:val="24"/>
            </w:rPr>
            <w:t xml:space="preserve"> </w:t>
          </w:r>
        </w:sdtContent>
      </w:sdt>
    </w:p>
    <w:p w14:paraId="7BF9231B" w14:textId="77777777" w:rsidR="001928BA" w:rsidRPr="001928BA" w:rsidRDefault="001928BA" w:rsidP="00226F79">
      <w:pPr>
        <w:jc w:val="both"/>
        <w:rPr>
          <w:i/>
          <w:iCs/>
          <w:sz w:val="24"/>
          <w:szCs w:val="24"/>
        </w:rPr>
      </w:pPr>
    </w:p>
    <w:sdt>
      <w:sdtPr>
        <w:rPr>
          <w:sz w:val="24"/>
          <w:szCs w:val="24"/>
        </w:rPr>
        <w:id w:val="785089057"/>
      </w:sdtPr>
      <w:sdtEndPr>
        <w:rPr>
          <w:color w:val="E36C0A" w:themeColor="accent6" w:themeShade="BF"/>
        </w:rPr>
      </w:sdtEndPr>
      <w:sdtContent>
        <w:p w14:paraId="052FAD81" w14:textId="61BE6998" w:rsidR="004F6770" w:rsidRPr="001928BA" w:rsidRDefault="004F6770" w:rsidP="00226F79">
          <w:pPr>
            <w:jc w:val="both"/>
            <w:rPr>
              <w:sz w:val="24"/>
              <w:szCs w:val="24"/>
            </w:rPr>
          </w:pPr>
          <w:r w:rsidRPr="004F6770">
            <w:rPr>
              <w:i/>
              <w:iCs/>
              <w:color w:val="E36C0A" w:themeColor="accent6" w:themeShade="BF"/>
              <w:sz w:val="24"/>
              <w:szCs w:val="24"/>
            </w:rPr>
            <w:t>Mexico</w:t>
          </w:r>
        </w:p>
        <w:p w14:paraId="427B92A3" w14:textId="236C1A0A" w:rsidR="00226F79" w:rsidRPr="004F6770" w:rsidRDefault="00194B4D" w:rsidP="00226F79">
          <w:pPr>
            <w:jc w:val="both"/>
            <w:rPr>
              <w:color w:val="E36C0A" w:themeColor="accent6" w:themeShade="BF"/>
              <w:sz w:val="24"/>
              <w:szCs w:val="24"/>
            </w:rPr>
          </w:pPr>
          <w:r w:rsidRPr="004F6770">
            <w:rPr>
              <w:color w:val="E36C0A" w:themeColor="accent6" w:themeShade="BF"/>
              <w:sz w:val="24"/>
              <w:szCs w:val="24"/>
            </w:rPr>
            <w:t>Although there are institutions in Mexico that have focused on the poorest population without formal employment, the housing policy for many years has been dedicated above all to providing home ownership to those registered in the social security system.</w:t>
          </w:r>
        </w:p>
      </w:sdtContent>
    </w:sdt>
    <w:p w14:paraId="19B53F99" w14:textId="77777777" w:rsidR="00226F79" w:rsidRPr="00226F79" w:rsidRDefault="00226F79" w:rsidP="00226F79">
      <w:pPr>
        <w:jc w:val="both"/>
        <w:rPr>
          <w:sz w:val="24"/>
          <w:szCs w:val="24"/>
        </w:rPr>
      </w:pPr>
    </w:p>
    <w:p w14:paraId="595595E4" w14:textId="105D2CD2" w:rsidR="00226F79" w:rsidRDefault="003A314E" w:rsidP="00226F79">
      <w:pPr>
        <w:jc w:val="both"/>
        <w:rPr>
          <w:sz w:val="24"/>
          <w:szCs w:val="24"/>
        </w:rPr>
      </w:pPr>
      <w:r>
        <w:rPr>
          <w:sz w:val="24"/>
          <w:szCs w:val="24"/>
        </w:rPr>
        <w:t xml:space="preserve">11. </w:t>
      </w:r>
      <w:r w:rsidR="00226F79" w:rsidRPr="00226F79">
        <w:rPr>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14:paraId="618D412A" w14:textId="77777777" w:rsidR="001928BA" w:rsidRDefault="001928BA" w:rsidP="00226F79">
      <w:pPr>
        <w:jc w:val="both"/>
        <w:rPr>
          <w:sz w:val="24"/>
          <w:szCs w:val="24"/>
        </w:rPr>
      </w:pPr>
    </w:p>
    <w:p w14:paraId="480D88B8" w14:textId="22A0DD79" w:rsidR="001928BA" w:rsidRPr="001928BA" w:rsidRDefault="001928BA" w:rsidP="00226F79">
      <w:pPr>
        <w:jc w:val="both"/>
        <w:rPr>
          <w:i/>
          <w:iCs/>
          <w:color w:val="E36C0A" w:themeColor="accent6" w:themeShade="BF"/>
          <w:sz w:val="24"/>
          <w:szCs w:val="24"/>
        </w:rPr>
      </w:pPr>
      <w:r w:rsidRPr="001928BA">
        <w:rPr>
          <w:i/>
          <w:iCs/>
          <w:color w:val="E36C0A" w:themeColor="accent6" w:themeShade="BF"/>
          <w:sz w:val="24"/>
          <w:szCs w:val="24"/>
        </w:rPr>
        <w:t xml:space="preserve">India </w:t>
      </w:r>
    </w:p>
    <w:p w14:paraId="146748DA" w14:textId="791D67B2" w:rsidR="001928BA" w:rsidRPr="001928BA" w:rsidRDefault="00ED147D" w:rsidP="001928BA">
      <w:pPr>
        <w:jc w:val="both"/>
        <w:rPr>
          <w:color w:val="E36C0A" w:themeColor="accent6" w:themeShade="BF"/>
          <w:sz w:val="24"/>
          <w:szCs w:val="24"/>
        </w:rPr>
      </w:pPr>
      <w:sdt>
        <w:sdtPr>
          <w:rPr>
            <w:sz w:val="24"/>
            <w:szCs w:val="24"/>
          </w:rPr>
          <w:id w:val="2106150593"/>
        </w:sdtPr>
        <w:sdtEndPr>
          <w:rPr>
            <w:color w:val="E36C0A" w:themeColor="accent6" w:themeShade="BF"/>
          </w:rPr>
        </w:sdtEndPr>
        <w:sdtContent>
          <w:r w:rsidR="001928BA" w:rsidRPr="001928BA">
            <w:rPr>
              <w:color w:val="E36C0A" w:themeColor="accent6" w:themeShade="BF"/>
              <w:sz w:val="24"/>
              <w:szCs w:val="24"/>
            </w:rPr>
            <w:t>No renting takes place as they have very few referral</w:t>
          </w:r>
          <w:r w:rsidR="001928BA">
            <w:rPr>
              <w:color w:val="E36C0A" w:themeColor="accent6" w:themeShade="BF"/>
              <w:sz w:val="24"/>
              <w:szCs w:val="24"/>
            </w:rPr>
            <w:t>s,</w:t>
          </w:r>
          <w:r w:rsidR="001928BA" w:rsidRPr="001928BA">
            <w:rPr>
              <w:color w:val="E36C0A" w:themeColor="accent6" w:themeShade="BF"/>
              <w:sz w:val="24"/>
              <w:szCs w:val="24"/>
            </w:rPr>
            <w:t xml:space="preserve"> if the welfare officer of the </w:t>
          </w:r>
          <w:r w:rsidR="001928BA">
            <w:rPr>
              <w:color w:val="E36C0A" w:themeColor="accent6" w:themeShade="BF"/>
              <w:sz w:val="24"/>
              <w:szCs w:val="24"/>
            </w:rPr>
            <w:t>C</w:t>
          </w:r>
          <w:r w:rsidR="001928BA" w:rsidRPr="001928BA">
            <w:rPr>
              <w:color w:val="E36C0A" w:themeColor="accent6" w:themeShade="BF"/>
              <w:sz w:val="24"/>
              <w:szCs w:val="24"/>
            </w:rPr>
            <w:t>hild Care Institution is not favourably disposed towards the youth care leaver</w:t>
          </w:r>
          <w:r w:rsidR="001928BA">
            <w:rPr>
              <w:color w:val="E36C0A" w:themeColor="accent6" w:themeShade="BF"/>
              <w:sz w:val="24"/>
              <w:szCs w:val="24"/>
            </w:rPr>
            <w:t>.</w:t>
          </w:r>
          <w:r w:rsidR="001928BA" w:rsidRPr="001928BA">
            <w:rPr>
              <w:color w:val="E36C0A" w:themeColor="accent6" w:themeShade="BF"/>
              <w:sz w:val="24"/>
              <w:szCs w:val="24"/>
            </w:rPr>
            <w:t xml:space="preserve"> </w:t>
          </w:r>
        </w:sdtContent>
      </w:sdt>
    </w:p>
    <w:p w14:paraId="6228EF30" w14:textId="576CFF2B" w:rsidR="004F6770" w:rsidRDefault="004F6770" w:rsidP="00E754F1">
      <w:pPr>
        <w:jc w:val="both"/>
        <w:rPr>
          <w:sz w:val="24"/>
          <w:szCs w:val="24"/>
        </w:rPr>
      </w:pPr>
    </w:p>
    <w:p w14:paraId="1DC7E2E9" w14:textId="2900453A" w:rsidR="004F6770" w:rsidRDefault="004F6770" w:rsidP="00E754F1">
      <w:pPr>
        <w:jc w:val="both"/>
        <w:rPr>
          <w:i/>
          <w:iCs/>
          <w:color w:val="E36C0A" w:themeColor="accent6" w:themeShade="BF"/>
          <w:sz w:val="24"/>
          <w:szCs w:val="24"/>
        </w:rPr>
      </w:pPr>
      <w:r w:rsidRPr="004F6770">
        <w:rPr>
          <w:i/>
          <w:iCs/>
          <w:color w:val="E36C0A" w:themeColor="accent6" w:themeShade="BF"/>
          <w:sz w:val="24"/>
          <w:szCs w:val="24"/>
        </w:rPr>
        <w:t xml:space="preserve">Argentina </w:t>
      </w:r>
    </w:p>
    <w:p w14:paraId="0A6C7BC5" w14:textId="77777777" w:rsidR="001928BA" w:rsidRPr="004F6770" w:rsidRDefault="001928BA" w:rsidP="00E754F1">
      <w:pPr>
        <w:jc w:val="both"/>
        <w:rPr>
          <w:i/>
          <w:iCs/>
          <w:color w:val="E36C0A" w:themeColor="accent6" w:themeShade="BF"/>
          <w:sz w:val="24"/>
          <w:szCs w:val="24"/>
        </w:rPr>
      </w:pPr>
    </w:p>
    <w:p w14:paraId="01541828" w14:textId="3244BAD2" w:rsidR="00E754F1" w:rsidRPr="004F6770" w:rsidRDefault="00E754F1" w:rsidP="00E754F1">
      <w:pPr>
        <w:jc w:val="both"/>
        <w:rPr>
          <w:color w:val="E36C0A" w:themeColor="accent6" w:themeShade="BF"/>
          <w:sz w:val="24"/>
          <w:szCs w:val="24"/>
        </w:rPr>
      </w:pPr>
      <w:r w:rsidRPr="004F6770">
        <w:rPr>
          <w:color w:val="E36C0A" w:themeColor="accent6" w:themeShade="BF"/>
          <w:sz w:val="24"/>
          <w:szCs w:val="24"/>
        </w:rPr>
        <w:t>In Argentina there are experiences of differentiated treatment towards certain groups in relation to housing</w:t>
      </w:r>
      <w:r w:rsidR="004F6770">
        <w:rPr>
          <w:color w:val="E36C0A" w:themeColor="accent6" w:themeShade="BF"/>
          <w:sz w:val="24"/>
          <w:szCs w:val="24"/>
        </w:rPr>
        <w:t>.</w:t>
      </w:r>
      <w:r w:rsidRPr="004F6770">
        <w:rPr>
          <w:color w:val="E36C0A" w:themeColor="accent6" w:themeShade="BF"/>
          <w:sz w:val="24"/>
          <w:szCs w:val="24"/>
        </w:rPr>
        <w:t xml:space="preserve"> </w:t>
      </w:r>
      <w:r w:rsidR="004F6770">
        <w:rPr>
          <w:color w:val="E36C0A" w:themeColor="accent6" w:themeShade="BF"/>
          <w:sz w:val="24"/>
          <w:szCs w:val="24"/>
        </w:rPr>
        <w:t>I</w:t>
      </w:r>
      <w:r w:rsidRPr="004F6770">
        <w:rPr>
          <w:color w:val="E36C0A" w:themeColor="accent6" w:themeShade="BF"/>
          <w:sz w:val="24"/>
          <w:szCs w:val="24"/>
        </w:rPr>
        <w:t>n accordance with international human rights standards, for example, positive measures that benefit a specific group (</w:t>
      </w:r>
      <w:r w:rsidR="004F6770">
        <w:rPr>
          <w:color w:val="E36C0A" w:themeColor="accent6" w:themeShade="BF"/>
          <w:sz w:val="24"/>
          <w:szCs w:val="24"/>
        </w:rPr>
        <w:t xml:space="preserve">female </w:t>
      </w:r>
      <w:r w:rsidRPr="004F6770">
        <w:rPr>
          <w:color w:val="E36C0A" w:themeColor="accent6" w:themeShade="BF"/>
          <w:sz w:val="24"/>
          <w:szCs w:val="24"/>
        </w:rPr>
        <w:t xml:space="preserve">heads of household and dissidents) to overcome systematic discrimination or disadvantage as such treatment would amount </w:t>
      </w:r>
      <w:r w:rsidRPr="004F6770">
        <w:rPr>
          <w:color w:val="E36C0A" w:themeColor="accent6" w:themeShade="BF"/>
          <w:sz w:val="24"/>
          <w:szCs w:val="24"/>
        </w:rPr>
        <w:lastRenderedPageBreak/>
        <w:t xml:space="preserve">to discrimination. An initiative in this sense has been in FONAVI I and II, the housing reactivation programs and the housing emergency program, where the category "unemployed heads of households" is incorporated as beneficiaries, with the assignment of scores for these households, as well as for households with disabled children, to promote access to housing (AFD consultancy, 2019, Ana </w:t>
      </w:r>
      <w:proofErr w:type="spellStart"/>
      <w:r w:rsidRPr="004F6770">
        <w:rPr>
          <w:color w:val="E36C0A" w:themeColor="accent6" w:themeShade="BF"/>
          <w:sz w:val="24"/>
          <w:szCs w:val="24"/>
        </w:rPr>
        <w:t>Falú</w:t>
      </w:r>
      <w:proofErr w:type="spellEnd"/>
      <w:r w:rsidRPr="004F6770">
        <w:rPr>
          <w:color w:val="E36C0A" w:themeColor="accent6" w:themeShade="BF"/>
          <w:sz w:val="24"/>
          <w:szCs w:val="24"/>
        </w:rPr>
        <w:t>).</w:t>
      </w:r>
    </w:p>
    <w:p w14:paraId="122F61EB" w14:textId="77777777" w:rsidR="00E754F1" w:rsidRPr="00E754F1" w:rsidRDefault="00E754F1" w:rsidP="00E754F1">
      <w:pPr>
        <w:jc w:val="both"/>
        <w:rPr>
          <w:sz w:val="24"/>
          <w:szCs w:val="24"/>
        </w:rPr>
      </w:pPr>
    </w:p>
    <w:p w14:paraId="3ECC2E5E" w14:textId="77777777" w:rsidR="00E754F1" w:rsidRPr="004F6770" w:rsidRDefault="00E754F1" w:rsidP="00E754F1">
      <w:pPr>
        <w:jc w:val="both"/>
        <w:rPr>
          <w:color w:val="E36C0A" w:themeColor="accent6" w:themeShade="BF"/>
          <w:sz w:val="24"/>
          <w:szCs w:val="24"/>
        </w:rPr>
      </w:pPr>
      <w:r w:rsidRPr="004F6770">
        <w:rPr>
          <w:color w:val="E36C0A" w:themeColor="accent6" w:themeShade="BF"/>
          <w:sz w:val="24"/>
          <w:szCs w:val="24"/>
        </w:rPr>
        <w:t xml:space="preserve">For its part, the </w:t>
      </w:r>
      <w:proofErr w:type="spellStart"/>
      <w:r w:rsidRPr="004F6770">
        <w:rPr>
          <w:color w:val="E36C0A" w:themeColor="accent6" w:themeShade="BF"/>
          <w:sz w:val="24"/>
          <w:szCs w:val="24"/>
        </w:rPr>
        <w:t>Neighborhood</w:t>
      </w:r>
      <w:proofErr w:type="spellEnd"/>
      <w:r w:rsidRPr="004F6770">
        <w:rPr>
          <w:color w:val="E36C0A" w:themeColor="accent6" w:themeShade="BF"/>
          <w:sz w:val="24"/>
          <w:szCs w:val="24"/>
        </w:rPr>
        <w:t xml:space="preserve"> Improvement Program of the Province of Buenos Aires (PRO.ME.BA.) contributes to the inclusion of gender in politics based on a study on the composition of the municipal organization chart according to gender. Observing that the municipal infrastructure and public works areas, 13 are headed by women, in relation to 102 headed by men. In the municipal land areas, on the other hand, 7 women and 8 men are in charge. Thus, PROMEBA proposes, as public policy, gender equalization provisions to operate on housing policy and habitat improvement. An example of this is the attention to gender violence, such as allocating budget items specifically for projects of women and dissidents, giving priority to women in the purchase tickets for the Family Owner and Property Regularization plan and proposing that in all settlements housing for women and dissidents in situations of violence are included. What was significant were the two recent provisions that govern, from now on for PROMEBA, in order to install positive action in the technical professional field in </w:t>
      </w:r>
      <w:proofErr w:type="spellStart"/>
      <w:r w:rsidRPr="004F6770">
        <w:rPr>
          <w:color w:val="E36C0A" w:themeColor="accent6" w:themeShade="BF"/>
          <w:sz w:val="24"/>
          <w:szCs w:val="24"/>
        </w:rPr>
        <w:t>favor</w:t>
      </w:r>
      <w:proofErr w:type="spellEnd"/>
      <w:r w:rsidRPr="004F6770">
        <w:rPr>
          <w:color w:val="E36C0A" w:themeColor="accent6" w:themeShade="BF"/>
          <w:sz w:val="24"/>
          <w:szCs w:val="24"/>
        </w:rPr>
        <w:t xml:space="preserve"> of women. Thus, they propose that, under the same conditions and capacities, in the tenders, prioritize companies / cooperatives that are run by women, and that have 30% participation of the female gender; as well as promoting from the point of view of urban plans, proposals are produced with a feminist urban planning perspective. Another experience in this regard is the recent and approved rental law since in its Art 17 it establishes a social rent (guarantees) and a quota for women in situations of violence. In Argentina, according to CELS, there are 8 million in tenant conditions. The recent Law (New Rentals Law - Law No. 27,551) has come to protect these tenants in some way, particularly in the context of the pandemic, however, like all Law, there is a distance between the rhetoric and the practice of the same. The Rentals Law must have follow-up and monitoring mechanisms for it to be effective. Women heads of households, older women (who, even according to census data, outlive men according to census data, however, in worse physical conditions than they, that is, in conditions of </w:t>
      </w:r>
      <w:r w:rsidRPr="004F6770">
        <w:rPr>
          <w:color w:val="E36C0A" w:themeColor="accent6" w:themeShade="BF"/>
          <w:sz w:val="24"/>
          <w:szCs w:val="24"/>
        </w:rPr>
        <w:lastRenderedPageBreak/>
        <w:t>dependency in most cases), the lesbian and gay population, and in particular the trans and transvestite population. All this population listed are the ones that have the greatest difficulties in accessing a rental due to lack of formal jobs, guarantees, etc. LBGTIQ + groups in general suffer conditions of maximum vulnerability living in tenancies, hotels, without contracts and at the expense of the wills of those who rent.</w:t>
      </w:r>
    </w:p>
    <w:p w14:paraId="3A1BA1C1" w14:textId="77777777" w:rsidR="00E754F1" w:rsidRPr="004F6770" w:rsidRDefault="00E754F1" w:rsidP="00E754F1">
      <w:pPr>
        <w:jc w:val="both"/>
        <w:rPr>
          <w:color w:val="E36C0A" w:themeColor="accent6" w:themeShade="BF"/>
          <w:sz w:val="24"/>
          <w:szCs w:val="24"/>
        </w:rPr>
      </w:pPr>
    </w:p>
    <w:p w14:paraId="511943ED" w14:textId="77777777" w:rsidR="00E754F1" w:rsidRPr="004F6770" w:rsidRDefault="00E754F1" w:rsidP="00E754F1">
      <w:pPr>
        <w:jc w:val="both"/>
        <w:rPr>
          <w:color w:val="E36C0A" w:themeColor="accent6" w:themeShade="BF"/>
          <w:sz w:val="24"/>
          <w:szCs w:val="24"/>
        </w:rPr>
      </w:pPr>
      <w:r w:rsidRPr="004F6770">
        <w:rPr>
          <w:color w:val="E36C0A" w:themeColor="accent6" w:themeShade="BF"/>
          <w:sz w:val="24"/>
          <w:szCs w:val="24"/>
        </w:rPr>
        <w:t xml:space="preserve">It is noteworthy that in addition to the Rent Law, the national government in 2020 defined the Decree of Necessity and Urgency (DNU) during the pandemic - which protects and prevents evictions and controls the rise in rents. Decree 320/2020 extended the validity of real estate rental contracts whose expiration dates will take place from March 20 to September 30, generating prior mediation mechanisms in cases of conflicts between the parties and before resorting to judicial proceedings. provided for in each jurisdiction. All very interesting measures in the protection of those who have the least, however difficult to be able to exercise in the case of women in sole charge of their homes who live with pressing needs. As a product of negotiations between antagonistic interests, this law raises unavoidable contradictions in its provisions and, consequently, in its implementation. This manifests itself acutely at a time when tenant households face severe economic difficulties and demand urgent solutions. However, the creation of the rental registry, even though it is not operational for the emergency, is essential to design public policies for the sector and also deal with the structural. Without data, it is not possible to know who rents, under what conditions, what properties, where. From which emerges the urgency of having data disaggregated by sex, age, ethnicity, status of migrants, number of dependents, among others. </w:t>
      </w:r>
    </w:p>
    <w:p w14:paraId="514FBAA1" w14:textId="77777777" w:rsidR="00E754F1" w:rsidRPr="004F6770" w:rsidRDefault="00E754F1" w:rsidP="00E754F1">
      <w:pPr>
        <w:jc w:val="both"/>
        <w:rPr>
          <w:color w:val="E36C0A" w:themeColor="accent6" w:themeShade="BF"/>
          <w:sz w:val="24"/>
          <w:szCs w:val="24"/>
        </w:rPr>
      </w:pPr>
    </w:p>
    <w:p w14:paraId="7AB7A307" w14:textId="77777777" w:rsidR="00226F79" w:rsidRPr="004F6770" w:rsidRDefault="00E754F1" w:rsidP="00E754F1">
      <w:pPr>
        <w:jc w:val="both"/>
        <w:rPr>
          <w:color w:val="E36C0A" w:themeColor="accent6" w:themeShade="BF"/>
          <w:sz w:val="24"/>
          <w:szCs w:val="24"/>
        </w:rPr>
      </w:pPr>
      <w:r w:rsidRPr="004F6770">
        <w:rPr>
          <w:color w:val="E36C0A" w:themeColor="accent6" w:themeShade="BF"/>
          <w:sz w:val="24"/>
          <w:szCs w:val="24"/>
        </w:rPr>
        <w:t xml:space="preserve">Similarly, another problem has been the occupation of land, which has had numerous expressions during the pandemic in Argentina, and before as well. All of these are structural problems of Latin American societies, with the greatest inequalities that are not only economic, but also of citizenship, lack of housing, services, infrastructure, security, etc. Ana </w:t>
      </w:r>
      <w:proofErr w:type="spellStart"/>
      <w:r w:rsidRPr="004F6770">
        <w:rPr>
          <w:color w:val="E36C0A" w:themeColor="accent6" w:themeShade="BF"/>
          <w:sz w:val="24"/>
          <w:szCs w:val="24"/>
        </w:rPr>
        <w:t>Falú</w:t>
      </w:r>
      <w:proofErr w:type="spellEnd"/>
      <w:r w:rsidRPr="004F6770">
        <w:rPr>
          <w:color w:val="E36C0A" w:themeColor="accent6" w:themeShade="BF"/>
          <w:sz w:val="24"/>
          <w:szCs w:val="24"/>
        </w:rPr>
        <w:t xml:space="preserve"> says: Today, faced with the pandemic, it is interesting to reflect on how much it affects women, at the intersection of genders and territories, far from a heteronormative conception of society.</w:t>
      </w:r>
    </w:p>
    <w:p w14:paraId="71F63D00" w14:textId="77777777" w:rsidR="00226F79" w:rsidRPr="00226F79" w:rsidRDefault="00226F79" w:rsidP="00226F79">
      <w:pPr>
        <w:jc w:val="both"/>
        <w:rPr>
          <w:sz w:val="24"/>
          <w:szCs w:val="24"/>
        </w:rPr>
      </w:pPr>
    </w:p>
    <w:p w14:paraId="0E8F13C7" w14:textId="77777777" w:rsidR="00226F79" w:rsidRPr="00226F79" w:rsidRDefault="00226F79" w:rsidP="00226F79">
      <w:pPr>
        <w:jc w:val="both"/>
        <w:rPr>
          <w:b/>
          <w:sz w:val="24"/>
          <w:szCs w:val="24"/>
          <w:u w:val="single"/>
        </w:rPr>
      </w:pPr>
      <w:r w:rsidRPr="00226F79">
        <w:rPr>
          <w:b/>
          <w:sz w:val="24"/>
          <w:szCs w:val="24"/>
          <w:u w:val="single"/>
        </w:rPr>
        <w:t xml:space="preserve">SPATIAL AND RESIDENTIAL SEGREGATION </w:t>
      </w:r>
    </w:p>
    <w:p w14:paraId="21F666A0" w14:textId="77777777" w:rsidR="00226F79" w:rsidRPr="00226F79" w:rsidRDefault="00226F79" w:rsidP="00226F79">
      <w:pPr>
        <w:jc w:val="both"/>
        <w:rPr>
          <w:sz w:val="24"/>
          <w:szCs w:val="24"/>
        </w:rPr>
      </w:pPr>
    </w:p>
    <w:p w14:paraId="04CBDDD9" w14:textId="0026E982" w:rsidR="00226F79" w:rsidRDefault="00226F79" w:rsidP="00226F79">
      <w:pPr>
        <w:jc w:val="both"/>
        <w:rPr>
          <w:sz w:val="24"/>
          <w:szCs w:val="24"/>
        </w:rPr>
      </w:pPr>
      <w:r w:rsidRPr="00226F79">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14:paraId="6FD8D6B2" w14:textId="6CB16CE3" w:rsidR="001928BA" w:rsidRDefault="001928BA" w:rsidP="00226F79">
      <w:pPr>
        <w:jc w:val="both"/>
        <w:rPr>
          <w:sz w:val="24"/>
          <w:szCs w:val="24"/>
        </w:rPr>
      </w:pPr>
    </w:p>
    <w:p w14:paraId="6DAB4336" w14:textId="0AB9C859" w:rsidR="001928BA" w:rsidRDefault="001928BA" w:rsidP="00226F79">
      <w:pPr>
        <w:jc w:val="both"/>
        <w:rPr>
          <w:i/>
          <w:iCs/>
          <w:color w:val="E36C0A" w:themeColor="accent6" w:themeShade="BF"/>
          <w:sz w:val="24"/>
          <w:szCs w:val="24"/>
        </w:rPr>
      </w:pPr>
      <w:r w:rsidRPr="001928BA">
        <w:rPr>
          <w:i/>
          <w:iCs/>
          <w:color w:val="E36C0A" w:themeColor="accent6" w:themeShade="BF"/>
          <w:sz w:val="24"/>
          <w:szCs w:val="24"/>
        </w:rPr>
        <w:t>India</w:t>
      </w:r>
    </w:p>
    <w:p w14:paraId="1447A4C6" w14:textId="55DAAFC5" w:rsidR="001928BA" w:rsidRPr="001928BA" w:rsidRDefault="00ED147D" w:rsidP="00226F79">
      <w:pPr>
        <w:jc w:val="both"/>
        <w:rPr>
          <w:i/>
          <w:iCs/>
          <w:color w:val="E36C0A" w:themeColor="accent6" w:themeShade="BF"/>
          <w:sz w:val="24"/>
          <w:szCs w:val="24"/>
        </w:rPr>
      </w:pPr>
      <w:sdt>
        <w:sdtPr>
          <w:rPr>
            <w:sz w:val="24"/>
            <w:szCs w:val="24"/>
          </w:rPr>
          <w:id w:val="671691551"/>
        </w:sdtPr>
        <w:sdtEndPr/>
        <w:sdtContent>
          <w:sdt>
            <w:sdtPr>
              <w:rPr>
                <w:sz w:val="24"/>
                <w:szCs w:val="24"/>
              </w:rPr>
              <w:id w:val="1816518302"/>
            </w:sdtPr>
            <w:sdtEndPr/>
            <w:sdtContent>
              <w:r w:rsidR="001928BA" w:rsidRPr="001928BA">
                <w:rPr>
                  <w:color w:val="E36C0A" w:themeColor="accent6" w:themeShade="BF"/>
                  <w:sz w:val="24"/>
                  <w:szCs w:val="24"/>
                </w:rPr>
                <w:t>Orphans that amount to only 1 % of their total are brought up in Child Care Institutions. The rest grow up in streets or with foster parents and those who raise them for trafficking, slavery or organ trade when they grow up. In all cases they are segregated from their own biological family and in some cases abandoned by them as well.</w:t>
              </w:r>
            </w:sdtContent>
          </w:sdt>
          <w:r w:rsidR="001928BA" w:rsidRPr="00226F79" w:rsidDel="004541C6">
            <w:rPr>
              <w:sz w:val="24"/>
              <w:szCs w:val="24"/>
            </w:rPr>
            <w:t xml:space="preserve"> </w:t>
          </w:r>
        </w:sdtContent>
      </w:sdt>
    </w:p>
    <w:p w14:paraId="1C0A7985" w14:textId="475A2329" w:rsidR="00226F79" w:rsidRPr="00226F79" w:rsidRDefault="00226F79" w:rsidP="00226F79">
      <w:pPr>
        <w:jc w:val="both"/>
        <w:rPr>
          <w:strike/>
          <w:sz w:val="24"/>
          <w:szCs w:val="24"/>
        </w:rPr>
      </w:pPr>
    </w:p>
    <w:p w14:paraId="58E492D2" w14:textId="6803A792" w:rsidR="00226F79" w:rsidRPr="004F6770" w:rsidRDefault="004F6770" w:rsidP="00226F79">
      <w:pPr>
        <w:jc w:val="both"/>
        <w:rPr>
          <w:i/>
          <w:iCs/>
          <w:color w:val="E36C0A" w:themeColor="accent6" w:themeShade="BF"/>
          <w:sz w:val="24"/>
          <w:szCs w:val="24"/>
        </w:rPr>
      </w:pPr>
      <w:r w:rsidRPr="004F6770">
        <w:rPr>
          <w:i/>
          <w:iCs/>
          <w:color w:val="E36C0A" w:themeColor="accent6" w:themeShade="BF"/>
          <w:sz w:val="24"/>
          <w:szCs w:val="24"/>
        </w:rPr>
        <w:t xml:space="preserve">Mexico </w:t>
      </w:r>
    </w:p>
    <w:p w14:paraId="53E16245" w14:textId="11BFCAF5" w:rsidR="00192033" w:rsidRPr="004F6770" w:rsidRDefault="00192033" w:rsidP="00226F79">
      <w:pPr>
        <w:jc w:val="both"/>
        <w:rPr>
          <w:color w:val="E36C0A" w:themeColor="accent6" w:themeShade="BF"/>
          <w:sz w:val="24"/>
          <w:szCs w:val="24"/>
        </w:rPr>
      </w:pPr>
      <w:r w:rsidRPr="004F6770">
        <w:rPr>
          <w:color w:val="E36C0A" w:themeColor="accent6" w:themeShade="BF"/>
          <w:sz w:val="24"/>
          <w:szCs w:val="24"/>
        </w:rPr>
        <w:t xml:space="preserve">As anticipated, throw INFONAVIT and others instances have been offered to the working class for several years as almost the only option, the possibility of buying houses of 38-42 square meters on the outskirts of consolidated urban </w:t>
      </w:r>
      <w:proofErr w:type="spellStart"/>
      <w:r w:rsidRPr="004F6770">
        <w:rPr>
          <w:color w:val="E36C0A" w:themeColor="accent6" w:themeShade="BF"/>
          <w:sz w:val="24"/>
          <w:szCs w:val="24"/>
        </w:rPr>
        <w:t>centers</w:t>
      </w:r>
      <w:proofErr w:type="spellEnd"/>
      <w:r w:rsidRPr="004F6770">
        <w:rPr>
          <w:color w:val="E36C0A" w:themeColor="accent6" w:themeShade="BF"/>
          <w:sz w:val="24"/>
          <w:szCs w:val="24"/>
        </w:rPr>
        <w:t xml:space="preserve">, dormitory cities that often do not have adequate services. nor with leisure and from which the transfers to the work </w:t>
      </w:r>
      <w:proofErr w:type="spellStart"/>
      <w:r w:rsidRPr="004F6770">
        <w:rPr>
          <w:color w:val="E36C0A" w:themeColor="accent6" w:themeShade="BF"/>
          <w:sz w:val="24"/>
          <w:szCs w:val="24"/>
        </w:rPr>
        <w:t>centers</w:t>
      </w:r>
      <w:proofErr w:type="spellEnd"/>
      <w:r w:rsidRPr="004F6770">
        <w:rPr>
          <w:color w:val="E36C0A" w:themeColor="accent6" w:themeShade="BF"/>
          <w:sz w:val="24"/>
          <w:szCs w:val="24"/>
        </w:rPr>
        <w:t xml:space="preserve"> take an average of one hour to go and one to return.</w:t>
      </w:r>
    </w:p>
    <w:p w14:paraId="05D9C31E" w14:textId="77777777" w:rsidR="004F6770" w:rsidRPr="00226F79" w:rsidRDefault="004F6770" w:rsidP="00226F79">
      <w:pPr>
        <w:jc w:val="both"/>
        <w:rPr>
          <w:sz w:val="24"/>
          <w:szCs w:val="24"/>
        </w:rPr>
      </w:pPr>
    </w:p>
    <w:p w14:paraId="0883E50F" w14:textId="22B5DA7F" w:rsidR="00226F79" w:rsidRDefault="00226F79" w:rsidP="00226F79">
      <w:pPr>
        <w:jc w:val="both"/>
        <w:rPr>
          <w:sz w:val="24"/>
          <w:szCs w:val="24"/>
        </w:rPr>
      </w:pPr>
      <w:r w:rsidRPr="00226F79">
        <w:rPr>
          <w:sz w:val="24"/>
          <w:szCs w:val="24"/>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 </w:t>
      </w:r>
    </w:p>
    <w:p w14:paraId="358C030B" w14:textId="575D8CB8" w:rsidR="001928BA" w:rsidRDefault="001928BA" w:rsidP="00226F79">
      <w:pPr>
        <w:jc w:val="both"/>
        <w:rPr>
          <w:sz w:val="24"/>
          <w:szCs w:val="24"/>
        </w:rPr>
      </w:pPr>
    </w:p>
    <w:p w14:paraId="3AEC52E0" w14:textId="01E84637" w:rsidR="001928BA" w:rsidRPr="001928BA" w:rsidRDefault="001928BA" w:rsidP="00226F79">
      <w:pPr>
        <w:jc w:val="both"/>
        <w:rPr>
          <w:i/>
          <w:iCs/>
          <w:color w:val="E36C0A" w:themeColor="accent6" w:themeShade="BF"/>
          <w:sz w:val="24"/>
          <w:szCs w:val="24"/>
        </w:rPr>
      </w:pPr>
      <w:r w:rsidRPr="001928BA">
        <w:rPr>
          <w:i/>
          <w:iCs/>
          <w:color w:val="E36C0A" w:themeColor="accent6" w:themeShade="BF"/>
          <w:sz w:val="24"/>
          <w:szCs w:val="24"/>
        </w:rPr>
        <w:t>India</w:t>
      </w:r>
    </w:p>
    <w:p w14:paraId="44758731" w14:textId="696E1FEA" w:rsidR="001928BA" w:rsidRPr="001928BA" w:rsidRDefault="00ED147D" w:rsidP="001928BA">
      <w:pPr>
        <w:jc w:val="both"/>
        <w:rPr>
          <w:color w:val="E36C0A" w:themeColor="accent6" w:themeShade="BF"/>
          <w:sz w:val="24"/>
          <w:szCs w:val="24"/>
        </w:rPr>
      </w:pPr>
      <w:sdt>
        <w:sdtPr>
          <w:rPr>
            <w:sz w:val="24"/>
            <w:szCs w:val="24"/>
          </w:rPr>
          <w:id w:val="1043406738"/>
        </w:sdtPr>
        <w:sdtEndPr>
          <w:rPr>
            <w:color w:val="E36C0A" w:themeColor="accent6" w:themeShade="BF"/>
          </w:rPr>
        </w:sdtEndPr>
        <w:sdtContent>
          <w:r w:rsidR="001928BA" w:rsidRPr="001928BA">
            <w:rPr>
              <w:color w:val="E36C0A" w:themeColor="accent6" w:themeShade="BF"/>
              <w:sz w:val="24"/>
              <w:szCs w:val="24"/>
            </w:rPr>
            <w:t>UNICEF has supported national research on aftercare that provides figures. Some P</w:t>
          </w:r>
          <w:r w:rsidR="001928BA">
            <w:rPr>
              <w:color w:val="E36C0A" w:themeColor="accent6" w:themeShade="BF"/>
              <w:sz w:val="24"/>
              <w:szCs w:val="24"/>
            </w:rPr>
            <w:t>hD</w:t>
          </w:r>
          <w:r w:rsidR="001928BA" w:rsidRPr="001928BA">
            <w:rPr>
              <w:color w:val="E36C0A" w:themeColor="accent6" w:themeShade="BF"/>
              <w:sz w:val="24"/>
              <w:szCs w:val="24"/>
            </w:rPr>
            <w:t xml:space="preserve"> and other stand</w:t>
          </w:r>
          <w:r w:rsidR="001928BA">
            <w:rPr>
              <w:color w:val="E36C0A" w:themeColor="accent6" w:themeShade="BF"/>
              <w:sz w:val="24"/>
              <w:szCs w:val="24"/>
            </w:rPr>
            <w:t>-</w:t>
          </w:r>
          <w:r w:rsidR="001928BA" w:rsidRPr="001928BA">
            <w:rPr>
              <w:color w:val="E36C0A" w:themeColor="accent6" w:themeShade="BF"/>
              <w:sz w:val="24"/>
              <w:szCs w:val="24"/>
            </w:rPr>
            <w:t>alone research also mention</w:t>
          </w:r>
          <w:r w:rsidR="001928BA">
            <w:rPr>
              <w:color w:val="E36C0A" w:themeColor="accent6" w:themeShade="BF"/>
              <w:sz w:val="24"/>
              <w:szCs w:val="24"/>
            </w:rPr>
            <w:t>s</w:t>
          </w:r>
          <w:r w:rsidR="001928BA" w:rsidRPr="001928BA">
            <w:rPr>
              <w:color w:val="E36C0A" w:themeColor="accent6" w:themeShade="BF"/>
              <w:sz w:val="24"/>
              <w:szCs w:val="24"/>
            </w:rPr>
            <w:t xml:space="preserve"> the </w:t>
          </w:r>
          <w:r w:rsidR="001928BA">
            <w:rPr>
              <w:color w:val="E36C0A" w:themeColor="accent6" w:themeShade="BF"/>
              <w:sz w:val="24"/>
              <w:szCs w:val="24"/>
            </w:rPr>
            <w:t xml:space="preserve">loss of </w:t>
          </w:r>
          <w:r w:rsidR="001928BA" w:rsidRPr="001928BA">
            <w:rPr>
              <w:color w:val="E36C0A" w:themeColor="accent6" w:themeShade="BF"/>
              <w:sz w:val="24"/>
              <w:szCs w:val="24"/>
            </w:rPr>
            <w:t>physical and mental health apart from all above losses mentioned.</w:t>
          </w:r>
        </w:sdtContent>
      </w:sdt>
    </w:p>
    <w:p w14:paraId="5830341D" w14:textId="77777777" w:rsidR="004F6770" w:rsidRPr="00226F79" w:rsidRDefault="004F6770" w:rsidP="00226F79">
      <w:pPr>
        <w:jc w:val="both"/>
        <w:rPr>
          <w:sz w:val="24"/>
          <w:szCs w:val="24"/>
        </w:rPr>
      </w:pPr>
    </w:p>
    <w:p w14:paraId="755701E2" w14:textId="25F03DC7" w:rsidR="004F6770" w:rsidRPr="004F6770" w:rsidRDefault="004F6770" w:rsidP="006D0C62">
      <w:pPr>
        <w:jc w:val="both"/>
        <w:rPr>
          <w:i/>
          <w:iCs/>
          <w:color w:val="E36C0A" w:themeColor="accent6" w:themeShade="BF"/>
          <w:sz w:val="24"/>
          <w:szCs w:val="24"/>
        </w:rPr>
      </w:pPr>
      <w:r w:rsidRPr="004F6770">
        <w:rPr>
          <w:i/>
          <w:iCs/>
          <w:color w:val="E36C0A" w:themeColor="accent6" w:themeShade="BF"/>
          <w:sz w:val="24"/>
          <w:szCs w:val="24"/>
        </w:rPr>
        <w:t xml:space="preserve">Mexico </w:t>
      </w:r>
    </w:p>
    <w:p w14:paraId="133280E0" w14:textId="77777777" w:rsidR="006D0C62" w:rsidRPr="004F6770" w:rsidRDefault="00192033" w:rsidP="00226F79">
      <w:pPr>
        <w:jc w:val="both"/>
        <w:rPr>
          <w:color w:val="E36C0A" w:themeColor="accent6" w:themeShade="BF"/>
          <w:sz w:val="24"/>
          <w:szCs w:val="24"/>
          <w:lang w:val="en-US"/>
        </w:rPr>
      </w:pPr>
      <w:r w:rsidRPr="004F6770">
        <w:rPr>
          <w:color w:val="E36C0A" w:themeColor="accent6" w:themeShade="BF"/>
          <w:sz w:val="24"/>
          <w:szCs w:val="24"/>
          <w:lang w:val="en-US"/>
        </w:rPr>
        <w:t>In Mexico the last census of 2020 determined that within the 6 million abandoned houses in the territory 650 thousand correspond to the beneficiaries of the Institute of the National Housing Fund for Workers (INFONAVIT).</w:t>
      </w:r>
    </w:p>
    <w:p w14:paraId="1386C8E6" w14:textId="77777777" w:rsidR="00192033" w:rsidRPr="00192033" w:rsidRDefault="00192033" w:rsidP="00226F79">
      <w:pPr>
        <w:jc w:val="both"/>
        <w:rPr>
          <w:sz w:val="24"/>
          <w:szCs w:val="24"/>
          <w:lang w:val="en-US"/>
        </w:rPr>
      </w:pPr>
    </w:p>
    <w:p w14:paraId="34D5E9E2" w14:textId="4FC43752" w:rsidR="00226F79" w:rsidRDefault="00226F79" w:rsidP="00226F79">
      <w:pPr>
        <w:jc w:val="both"/>
        <w:rPr>
          <w:sz w:val="24"/>
          <w:szCs w:val="24"/>
        </w:rPr>
      </w:pPr>
      <w:r w:rsidRPr="00226F79">
        <w:rPr>
          <w:sz w:val="24"/>
          <w:szCs w:val="24"/>
        </w:rPr>
        <w:t xml:space="preserve">14. Have any particular historical or current laws, policies or practices in your country, region or town/community caused or exacerbated segregation? </w:t>
      </w:r>
    </w:p>
    <w:p w14:paraId="358B1ACF" w14:textId="34903EC2" w:rsidR="001928BA" w:rsidRDefault="001928BA" w:rsidP="00226F79">
      <w:pPr>
        <w:jc w:val="both"/>
        <w:rPr>
          <w:sz w:val="24"/>
          <w:szCs w:val="24"/>
        </w:rPr>
      </w:pPr>
    </w:p>
    <w:p w14:paraId="1CC45DDD" w14:textId="6B1D250A" w:rsidR="001928BA" w:rsidRPr="001928BA" w:rsidRDefault="001928BA" w:rsidP="00226F79">
      <w:pPr>
        <w:jc w:val="both"/>
        <w:rPr>
          <w:color w:val="E36C0A" w:themeColor="accent6" w:themeShade="BF"/>
          <w:sz w:val="24"/>
          <w:szCs w:val="24"/>
        </w:rPr>
      </w:pPr>
      <w:r w:rsidRPr="001928BA">
        <w:rPr>
          <w:color w:val="E36C0A" w:themeColor="accent6" w:themeShade="BF"/>
          <w:sz w:val="24"/>
          <w:szCs w:val="24"/>
        </w:rPr>
        <w:t xml:space="preserve">India </w:t>
      </w:r>
    </w:p>
    <w:p w14:paraId="4FC03097" w14:textId="77777777" w:rsidR="001928BA" w:rsidRPr="00226F79" w:rsidRDefault="00ED147D" w:rsidP="001928BA">
      <w:pPr>
        <w:jc w:val="both"/>
        <w:rPr>
          <w:sz w:val="24"/>
          <w:szCs w:val="24"/>
        </w:rPr>
      </w:pPr>
      <w:sdt>
        <w:sdtPr>
          <w:rPr>
            <w:color w:val="E36C0A" w:themeColor="accent6" w:themeShade="BF"/>
            <w:sz w:val="24"/>
            <w:szCs w:val="24"/>
          </w:rPr>
          <w:id w:val="1911802082"/>
        </w:sdtPr>
        <w:sdtEndPr>
          <w:rPr>
            <w:color w:val="auto"/>
          </w:rPr>
        </w:sdtEndPr>
        <w:sdtContent>
          <w:r w:rsidR="001928BA" w:rsidRPr="001928BA">
            <w:rPr>
              <w:color w:val="E36C0A" w:themeColor="accent6" w:themeShade="BF"/>
              <w:sz w:val="24"/>
              <w:szCs w:val="24"/>
            </w:rPr>
            <w:t xml:space="preserve">The JJ Act has to be implemented in its spirit and allocations need to be made. </w:t>
          </w:r>
        </w:sdtContent>
      </w:sdt>
    </w:p>
    <w:p w14:paraId="0D7A6423" w14:textId="6F407769" w:rsidR="00226F79" w:rsidRPr="00226F79" w:rsidRDefault="00226F79" w:rsidP="00226F79">
      <w:pPr>
        <w:jc w:val="both"/>
        <w:rPr>
          <w:sz w:val="24"/>
          <w:szCs w:val="24"/>
        </w:rPr>
      </w:pPr>
    </w:p>
    <w:p w14:paraId="2B604ECF" w14:textId="71C23682" w:rsidR="00493D48" w:rsidRPr="001928BA" w:rsidRDefault="004F6770" w:rsidP="00226F79">
      <w:pPr>
        <w:jc w:val="both"/>
        <w:rPr>
          <w:i/>
          <w:iCs/>
          <w:color w:val="E36C0A" w:themeColor="accent6" w:themeShade="BF"/>
          <w:sz w:val="24"/>
          <w:szCs w:val="24"/>
        </w:rPr>
      </w:pPr>
      <w:r w:rsidRPr="004F6770">
        <w:rPr>
          <w:i/>
          <w:iCs/>
          <w:color w:val="E36C0A" w:themeColor="accent6" w:themeShade="BF"/>
          <w:sz w:val="24"/>
          <w:szCs w:val="24"/>
        </w:rPr>
        <w:t xml:space="preserve">Mexico </w:t>
      </w:r>
    </w:p>
    <w:p w14:paraId="3AF88E1F" w14:textId="77777777" w:rsidR="00CD3192" w:rsidRDefault="00CD3192" w:rsidP="00493D48">
      <w:pPr>
        <w:jc w:val="both"/>
        <w:rPr>
          <w:color w:val="E36C0A" w:themeColor="accent6" w:themeShade="BF"/>
          <w:sz w:val="24"/>
          <w:szCs w:val="24"/>
        </w:rPr>
      </w:pPr>
      <w:r>
        <w:rPr>
          <w:color w:val="E36C0A" w:themeColor="accent6" w:themeShade="BF"/>
          <w:sz w:val="24"/>
          <w:szCs w:val="24"/>
        </w:rPr>
        <w:t>T</w:t>
      </w:r>
      <w:r w:rsidR="002D55D1" w:rsidRPr="004F6770">
        <w:rPr>
          <w:color w:val="E36C0A" w:themeColor="accent6" w:themeShade="BF"/>
          <w:sz w:val="24"/>
          <w:szCs w:val="24"/>
        </w:rPr>
        <w:t>he case of Mexico</w:t>
      </w:r>
      <w:r>
        <w:rPr>
          <w:color w:val="E36C0A" w:themeColor="accent6" w:themeShade="BF"/>
          <w:sz w:val="24"/>
          <w:szCs w:val="24"/>
        </w:rPr>
        <w:t xml:space="preserve"> (enabled</w:t>
      </w:r>
      <w:r w:rsidR="002D55D1" w:rsidRPr="004F6770">
        <w:rPr>
          <w:color w:val="E36C0A" w:themeColor="accent6" w:themeShade="BF"/>
          <w:sz w:val="24"/>
          <w:szCs w:val="24"/>
        </w:rPr>
        <w:t xml:space="preserve"> by the </w:t>
      </w:r>
      <w:r>
        <w:rPr>
          <w:color w:val="E36C0A" w:themeColor="accent6" w:themeShade="BF"/>
          <w:sz w:val="24"/>
          <w:szCs w:val="24"/>
        </w:rPr>
        <w:t xml:space="preserve">1992 </w:t>
      </w:r>
      <w:r w:rsidR="002D55D1" w:rsidRPr="004F6770">
        <w:rPr>
          <w:color w:val="E36C0A" w:themeColor="accent6" w:themeShade="BF"/>
          <w:sz w:val="24"/>
          <w:szCs w:val="24"/>
        </w:rPr>
        <w:t>modification of Art. 27 of the Constitution allow</w:t>
      </w:r>
      <w:r>
        <w:rPr>
          <w:color w:val="E36C0A" w:themeColor="accent6" w:themeShade="BF"/>
          <w:sz w:val="24"/>
          <w:szCs w:val="24"/>
        </w:rPr>
        <w:t>ing for</w:t>
      </w:r>
      <w:r w:rsidR="002D55D1" w:rsidRPr="004F6770">
        <w:rPr>
          <w:color w:val="E36C0A" w:themeColor="accent6" w:themeShade="BF"/>
          <w:sz w:val="24"/>
          <w:szCs w:val="24"/>
        </w:rPr>
        <w:t xml:space="preserve"> appropriations of lands of social property</w:t>
      </w:r>
      <w:r>
        <w:rPr>
          <w:color w:val="E36C0A" w:themeColor="accent6" w:themeShade="BF"/>
          <w:sz w:val="24"/>
          <w:szCs w:val="24"/>
        </w:rPr>
        <w:t>)</w:t>
      </w:r>
      <w:r w:rsidR="002D55D1" w:rsidRPr="004F6770">
        <w:rPr>
          <w:color w:val="E36C0A" w:themeColor="accent6" w:themeShade="BF"/>
          <w:sz w:val="24"/>
          <w:szCs w:val="24"/>
        </w:rPr>
        <w:t xml:space="preserve"> the policies derived from the Washington consensus </w:t>
      </w:r>
      <w:r>
        <w:rPr>
          <w:color w:val="E36C0A" w:themeColor="accent6" w:themeShade="BF"/>
          <w:sz w:val="24"/>
          <w:szCs w:val="24"/>
        </w:rPr>
        <w:t>(</w:t>
      </w:r>
      <w:r w:rsidR="002D55D1" w:rsidRPr="004F6770">
        <w:rPr>
          <w:color w:val="E36C0A" w:themeColor="accent6" w:themeShade="BF"/>
          <w:sz w:val="24"/>
          <w:szCs w:val="24"/>
        </w:rPr>
        <w:t>mentioned in the introduction</w:t>
      </w:r>
      <w:r>
        <w:rPr>
          <w:color w:val="E36C0A" w:themeColor="accent6" w:themeShade="BF"/>
          <w:sz w:val="24"/>
          <w:szCs w:val="24"/>
        </w:rPr>
        <w:t>)</w:t>
      </w:r>
      <w:r w:rsidR="002D55D1" w:rsidRPr="004F6770">
        <w:rPr>
          <w:color w:val="E36C0A" w:themeColor="accent6" w:themeShade="BF"/>
          <w:sz w:val="24"/>
          <w:szCs w:val="24"/>
        </w:rPr>
        <w:t xml:space="preserve"> have led to the construction of immense complexes of up to 30 thousand houses each. The result has been an increase in housing production aimed at the working class, reaching a record of more than 500 thousand new homes a year. But it should be noted that most are built on the basis of changes in land use without justification in the corresponding planning instruments, and far from contributing to the integral development of the city and its inhabitants</w:t>
      </w:r>
      <w:r>
        <w:rPr>
          <w:color w:val="E36C0A" w:themeColor="accent6" w:themeShade="BF"/>
          <w:sz w:val="24"/>
          <w:szCs w:val="24"/>
        </w:rPr>
        <w:t>.</w:t>
      </w:r>
      <w:r w:rsidR="002D55D1" w:rsidRPr="004F6770">
        <w:rPr>
          <w:color w:val="E36C0A" w:themeColor="accent6" w:themeShade="BF"/>
          <w:sz w:val="24"/>
          <w:szCs w:val="24"/>
        </w:rPr>
        <w:t xml:space="preserve"> </w:t>
      </w:r>
      <w:r>
        <w:rPr>
          <w:color w:val="E36C0A" w:themeColor="accent6" w:themeShade="BF"/>
          <w:sz w:val="24"/>
          <w:szCs w:val="24"/>
        </w:rPr>
        <w:t>A</w:t>
      </w:r>
      <w:r w:rsidR="002D55D1" w:rsidRPr="004F6770">
        <w:rPr>
          <w:color w:val="E36C0A" w:themeColor="accent6" w:themeShade="BF"/>
          <w:sz w:val="24"/>
          <w:szCs w:val="24"/>
        </w:rPr>
        <w:t xml:space="preserve"> fragmented model is </w:t>
      </w:r>
      <w:proofErr w:type="spellStart"/>
      <w:r w:rsidR="002D55D1" w:rsidRPr="004F6770">
        <w:rPr>
          <w:color w:val="E36C0A" w:themeColor="accent6" w:themeShade="BF"/>
          <w:sz w:val="24"/>
          <w:szCs w:val="24"/>
        </w:rPr>
        <w:t>favored</w:t>
      </w:r>
      <w:proofErr w:type="spellEnd"/>
      <w:r w:rsidR="002D55D1" w:rsidRPr="004F6770">
        <w:rPr>
          <w:color w:val="E36C0A" w:themeColor="accent6" w:themeShade="BF"/>
          <w:sz w:val="24"/>
          <w:szCs w:val="24"/>
        </w:rPr>
        <w:t xml:space="preserve"> where the great beneficiary is the developer agent and</w:t>
      </w:r>
      <w:r>
        <w:rPr>
          <w:color w:val="E36C0A" w:themeColor="accent6" w:themeShade="BF"/>
          <w:sz w:val="24"/>
          <w:szCs w:val="24"/>
        </w:rPr>
        <w:t xml:space="preserve"> </w:t>
      </w:r>
      <w:r w:rsidR="002D55D1" w:rsidRPr="004F6770">
        <w:rPr>
          <w:color w:val="E36C0A" w:themeColor="accent6" w:themeShade="BF"/>
          <w:sz w:val="24"/>
          <w:szCs w:val="24"/>
        </w:rPr>
        <w:t xml:space="preserve">profitability </w:t>
      </w:r>
      <w:r>
        <w:rPr>
          <w:color w:val="E36C0A" w:themeColor="accent6" w:themeShade="BF"/>
          <w:sz w:val="24"/>
          <w:szCs w:val="24"/>
        </w:rPr>
        <w:t xml:space="preserve">at the expense </w:t>
      </w:r>
      <w:r>
        <w:rPr>
          <w:color w:val="E36C0A" w:themeColor="accent6" w:themeShade="BF"/>
          <w:sz w:val="24"/>
          <w:szCs w:val="24"/>
        </w:rPr>
        <w:lastRenderedPageBreak/>
        <w:t xml:space="preserve">of </w:t>
      </w:r>
      <w:r w:rsidR="002D55D1" w:rsidRPr="004F6770">
        <w:rPr>
          <w:color w:val="E36C0A" w:themeColor="accent6" w:themeShade="BF"/>
          <w:sz w:val="24"/>
          <w:szCs w:val="24"/>
        </w:rPr>
        <w:t>the population</w:t>
      </w:r>
      <w:r w:rsidR="002D55D1" w:rsidRPr="004F6770">
        <w:rPr>
          <w:rStyle w:val="FootnoteReference"/>
          <w:color w:val="E36C0A" w:themeColor="accent6" w:themeShade="BF"/>
          <w:sz w:val="24"/>
          <w:szCs w:val="24"/>
        </w:rPr>
        <w:footnoteReference w:id="5"/>
      </w:r>
      <w:r w:rsidR="002D55D1" w:rsidRPr="004F6770">
        <w:rPr>
          <w:color w:val="E36C0A" w:themeColor="accent6" w:themeShade="BF"/>
          <w:sz w:val="24"/>
          <w:szCs w:val="24"/>
        </w:rPr>
        <w:t xml:space="preserve"> that receives inadequate housing in size, location, services and articulation with</w:t>
      </w:r>
      <w:r>
        <w:rPr>
          <w:color w:val="E36C0A" w:themeColor="accent6" w:themeShade="BF"/>
          <w:sz w:val="24"/>
          <w:szCs w:val="24"/>
        </w:rPr>
        <w:t>in</w:t>
      </w:r>
      <w:r w:rsidR="002D55D1" w:rsidRPr="004F6770">
        <w:rPr>
          <w:color w:val="E36C0A" w:themeColor="accent6" w:themeShade="BF"/>
          <w:sz w:val="24"/>
          <w:szCs w:val="24"/>
        </w:rPr>
        <w:t xml:space="preserve"> the urban fabric.</w:t>
      </w:r>
      <w:r w:rsidR="002D55D1" w:rsidRPr="004F6770">
        <w:rPr>
          <w:rStyle w:val="FootnoteReference"/>
          <w:color w:val="E36C0A" w:themeColor="accent6" w:themeShade="BF"/>
          <w:sz w:val="24"/>
          <w:szCs w:val="24"/>
        </w:rPr>
        <w:footnoteReference w:id="6"/>
      </w:r>
      <w:r w:rsidR="002D55D1" w:rsidRPr="004F6770">
        <w:rPr>
          <w:color w:val="E36C0A" w:themeColor="accent6" w:themeShade="BF"/>
          <w:sz w:val="24"/>
          <w:szCs w:val="24"/>
        </w:rPr>
        <w:t xml:space="preserve"> </w:t>
      </w:r>
    </w:p>
    <w:p w14:paraId="47CAC90F" w14:textId="77777777" w:rsidR="00CD3192" w:rsidRDefault="00CD3192" w:rsidP="00493D48">
      <w:pPr>
        <w:jc w:val="both"/>
        <w:rPr>
          <w:color w:val="E36C0A" w:themeColor="accent6" w:themeShade="BF"/>
          <w:sz w:val="24"/>
          <w:szCs w:val="24"/>
        </w:rPr>
      </w:pPr>
    </w:p>
    <w:p w14:paraId="28BC289A" w14:textId="0B9D9D5B" w:rsidR="00493D48" w:rsidRPr="004F6770" w:rsidRDefault="002D55D1" w:rsidP="00493D48">
      <w:pPr>
        <w:jc w:val="both"/>
        <w:rPr>
          <w:color w:val="E36C0A" w:themeColor="accent6" w:themeShade="BF"/>
          <w:sz w:val="24"/>
          <w:szCs w:val="24"/>
        </w:rPr>
      </w:pPr>
      <w:r w:rsidRPr="004F6770">
        <w:rPr>
          <w:color w:val="E36C0A" w:themeColor="accent6" w:themeShade="BF"/>
          <w:sz w:val="24"/>
          <w:szCs w:val="24"/>
        </w:rPr>
        <w:t>This situation was strongly reflected in the official 2010 census, which estimated that 5 million homes, even though not all new, were uninhabited. Furthermore, new land occupations have no</w:t>
      </w:r>
      <w:r w:rsidR="00493D48" w:rsidRPr="004F6770">
        <w:rPr>
          <w:color w:val="E36C0A" w:themeColor="accent6" w:themeShade="BF"/>
          <w:sz w:val="24"/>
          <w:szCs w:val="24"/>
        </w:rPr>
        <w:t>t been prevented.</w:t>
      </w:r>
      <w:r w:rsidRPr="004F6770">
        <w:rPr>
          <w:color w:val="E36C0A" w:themeColor="accent6" w:themeShade="BF"/>
          <w:sz w:val="24"/>
          <w:szCs w:val="24"/>
        </w:rPr>
        <w:t xml:space="preserve"> This policy is settled, it leaves out the majority of poor Mexican households. The housing policy proposed in 2015 aims to reverse this situation through the densification of cities, without this being accompanied by a policy of generati</w:t>
      </w:r>
      <w:r w:rsidR="00CD3192">
        <w:rPr>
          <w:color w:val="E36C0A" w:themeColor="accent6" w:themeShade="BF"/>
          <w:sz w:val="24"/>
          <w:szCs w:val="24"/>
        </w:rPr>
        <w:t>ng</w:t>
      </w:r>
      <w:r w:rsidRPr="004F6770">
        <w:rPr>
          <w:color w:val="E36C0A" w:themeColor="accent6" w:themeShade="BF"/>
          <w:sz w:val="24"/>
          <w:szCs w:val="24"/>
        </w:rPr>
        <w:t xml:space="preserve"> legal, served and accessible land destined to the poorest or by instruments to control speculation. </w:t>
      </w:r>
      <w:r w:rsidR="00493D48" w:rsidRPr="004F6770">
        <w:rPr>
          <w:color w:val="E36C0A" w:themeColor="accent6" w:themeShade="BF"/>
          <w:sz w:val="24"/>
          <w:szCs w:val="24"/>
        </w:rPr>
        <w:t>According to data from the Shadow Report that many</w:t>
      </w:r>
      <w:r w:rsidR="00CD3192">
        <w:rPr>
          <w:color w:val="E36C0A" w:themeColor="accent6" w:themeShade="BF"/>
          <w:sz w:val="24"/>
          <w:szCs w:val="24"/>
        </w:rPr>
        <w:t xml:space="preserve"> more</w:t>
      </w:r>
      <w:r w:rsidR="00493D48" w:rsidRPr="004F6770">
        <w:rPr>
          <w:color w:val="E36C0A" w:themeColor="accent6" w:themeShade="BF"/>
          <w:sz w:val="24"/>
          <w:szCs w:val="24"/>
        </w:rPr>
        <w:t xml:space="preserve"> civil society organizations presented to the UN ESCR Committee in 2017, 76.2% of the employed population was unable to buy a home through the market or housing financ</w:t>
      </w:r>
      <w:r w:rsidR="00CD3192">
        <w:rPr>
          <w:color w:val="E36C0A" w:themeColor="accent6" w:themeShade="BF"/>
          <w:sz w:val="24"/>
          <w:szCs w:val="24"/>
        </w:rPr>
        <w:t>e</w:t>
      </w:r>
      <w:r w:rsidR="00493D48" w:rsidRPr="004F6770">
        <w:rPr>
          <w:color w:val="E36C0A" w:themeColor="accent6" w:themeShade="BF"/>
          <w:sz w:val="24"/>
          <w:szCs w:val="24"/>
        </w:rPr>
        <w:t>.</w:t>
      </w:r>
    </w:p>
    <w:p w14:paraId="556E67C6" w14:textId="77777777" w:rsidR="00493D48" w:rsidRPr="004F6770" w:rsidRDefault="00493D48" w:rsidP="00493D48">
      <w:pPr>
        <w:jc w:val="both"/>
        <w:rPr>
          <w:color w:val="E36C0A" w:themeColor="accent6" w:themeShade="BF"/>
          <w:sz w:val="24"/>
          <w:szCs w:val="24"/>
        </w:rPr>
      </w:pPr>
    </w:p>
    <w:p w14:paraId="4B44AB0C" w14:textId="77777777" w:rsidR="00CD3192" w:rsidRDefault="002D55D1" w:rsidP="002D55D1">
      <w:pPr>
        <w:jc w:val="both"/>
        <w:rPr>
          <w:color w:val="E36C0A" w:themeColor="accent6" w:themeShade="BF"/>
          <w:sz w:val="24"/>
          <w:szCs w:val="24"/>
        </w:rPr>
      </w:pPr>
      <w:r w:rsidRPr="004F6770">
        <w:rPr>
          <w:color w:val="E36C0A" w:themeColor="accent6" w:themeShade="BF"/>
          <w:sz w:val="24"/>
          <w:szCs w:val="24"/>
        </w:rPr>
        <w:t xml:space="preserve">Faced with the difficulty of the population that does not work in the formal sector of the economy and / or that receives less than 5 minimum wages (population that was not served by housing policies) to access adequate housing, civil society organizations have promoted the production and social management of habitat. This form of housing production is recognized in the federal Housing Law. Over the years the resources allocated to this form of housing have been reduced but since the current government took office, in December </w:t>
      </w:r>
      <w:r w:rsidRPr="004F6770">
        <w:rPr>
          <w:color w:val="E36C0A" w:themeColor="accent6" w:themeShade="BF"/>
          <w:sz w:val="24"/>
          <w:szCs w:val="24"/>
        </w:rPr>
        <w:lastRenderedPageBreak/>
        <w:t>2</w:t>
      </w:r>
      <w:r w:rsidR="00CD3192">
        <w:rPr>
          <w:color w:val="E36C0A" w:themeColor="accent6" w:themeShade="BF"/>
          <w:sz w:val="24"/>
          <w:szCs w:val="24"/>
        </w:rPr>
        <w:t>0</w:t>
      </w:r>
      <w:r w:rsidRPr="004F6770">
        <w:rPr>
          <w:color w:val="E36C0A" w:themeColor="accent6" w:themeShade="BF"/>
          <w:sz w:val="24"/>
          <w:szCs w:val="24"/>
        </w:rPr>
        <w:t xml:space="preserve">18, we have witnessed very important advances in the recognition of the Social Production of housing with respect to previous administrations. </w:t>
      </w:r>
    </w:p>
    <w:p w14:paraId="7BB2AD04" w14:textId="77777777" w:rsidR="00CD3192" w:rsidRDefault="00CD3192" w:rsidP="002D55D1">
      <w:pPr>
        <w:jc w:val="both"/>
        <w:rPr>
          <w:color w:val="E36C0A" w:themeColor="accent6" w:themeShade="BF"/>
          <w:sz w:val="24"/>
          <w:szCs w:val="24"/>
        </w:rPr>
      </w:pPr>
    </w:p>
    <w:p w14:paraId="078FE9E1" w14:textId="0838D67E" w:rsidR="002D55D1" w:rsidRDefault="002D55D1" w:rsidP="002D55D1">
      <w:pPr>
        <w:jc w:val="both"/>
        <w:rPr>
          <w:color w:val="E36C0A" w:themeColor="accent6" w:themeShade="BF"/>
          <w:sz w:val="24"/>
          <w:szCs w:val="24"/>
        </w:rPr>
      </w:pPr>
      <w:r w:rsidRPr="004F6770">
        <w:rPr>
          <w:color w:val="E36C0A" w:themeColor="accent6" w:themeShade="BF"/>
          <w:sz w:val="24"/>
          <w:szCs w:val="24"/>
        </w:rPr>
        <w:t>There is political will that we consider to be the result of intense lobbying activity on the part of various actors. Even so, at first glance there is a significant decrease in the number of actions promoted by the National Housing Commission (CONAVI) within the Social Housing, National Reconstruction and Emerging Housing programs, going from 94126 actions in 2019 to 67</w:t>
      </w:r>
      <w:r w:rsidR="00CD3192">
        <w:rPr>
          <w:color w:val="E36C0A" w:themeColor="accent6" w:themeShade="BF"/>
          <w:sz w:val="24"/>
          <w:szCs w:val="24"/>
        </w:rPr>
        <w:t xml:space="preserve"> </w:t>
      </w:r>
      <w:r w:rsidRPr="004F6770">
        <w:rPr>
          <w:color w:val="E36C0A" w:themeColor="accent6" w:themeShade="BF"/>
          <w:sz w:val="24"/>
          <w:szCs w:val="24"/>
        </w:rPr>
        <w:t xml:space="preserve">740 in 2020. The responsible officials explain that the actions in 2019 were co-financed with state agencies and in 2020 there was only a subsidy from the federal government through </w:t>
      </w:r>
      <w:proofErr w:type="spellStart"/>
      <w:r w:rsidRPr="004F6770">
        <w:rPr>
          <w:color w:val="E36C0A" w:themeColor="accent6" w:themeShade="BF"/>
          <w:sz w:val="24"/>
          <w:szCs w:val="24"/>
        </w:rPr>
        <w:t>Conavi</w:t>
      </w:r>
      <w:proofErr w:type="spellEnd"/>
      <w:r w:rsidRPr="004F6770">
        <w:rPr>
          <w:color w:val="E36C0A" w:themeColor="accent6" w:themeShade="BF"/>
          <w:sz w:val="24"/>
          <w:szCs w:val="24"/>
        </w:rPr>
        <w:t>. By 2021, it is planned to support a total of 83,552 families</w:t>
      </w:r>
      <w:r w:rsidRPr="004F6770">
        <w:rPr>
          <w:rStyle w:val="FootnoteReference"/>
          <w:color w:val="E36C0A" w:themeColor="accent6" w:themeShade="BF"/>
          <w:sz w:val="24"/>
          <w:szCs w:val="24"/>
        </w:rPr>
        <w:footnoteReference w:id="7"/>
      </w:r>
      <w:r w:rsidRPr="004F6770">
        <w:rPr>
          <w:color w:val="E36C0A" w:themeColor="accent6" w:themeShade="BF"/>
          <w:sz w:val="24"/>
          <w:szCs w:val="24"/>
        </w:rPr>
        <w:t xml:space="preserve"> with federal subsidies for the construction, improvement or rehabilitation of their home.</w:t>
      </w:r>
      <w:r w:rsidRPr="004F6770">
        <w:rPr>
          <w:color w:val="E36C0A" w:themeColor="accent6" w:themeShade="BF"/>
        </w:rPr>
        <w:t xml:space="preserve"> </w:t>
      </w:r>
      <w:r w:rsidRPr="004F6770">
        <w:rPr>
          <w:color w:val="E36C0A" w:themeColor="accent6" w:themeShade="BF"/>
          <w:sz w:val="24"/>
          <w:szCs w:val="24"/>
        </w:rPr>
        <w:t>Considering that context, we must not forget that the 2020 census reported that 6 million homes in Mexico are empty which is a symbol of the failure of previous policies.</w:t>
      </w:r>
    </w:p>
    <w:p w14:paraId="34386A28" w14:textId="734D4324" w:rsidR="004F6770" w:rsidRDefault="004F6770" w:rsidP="002D55D1">
      <w:pPr>
        <w:jc w:val="both"/>
        <w:rPr>
          <w:color w:val="E36C0A" w:themeColor="accent6" w:themeShade="BF"/>
          <w:sz w:val="24"/>
          <w:szCs w:val="24"/>
        </w:rPr>
      </w:pPr>
    </w:p>
    <w:p w14:paraId="7615A846" w14:textId="5C014DB4" w:rsidR="004F6770" w:rsidRPr="004F6770" w:rsidRDefault="004F6770" w:rsidP="002D55D1">
      <w:pPr>
        <w:jc w:val="both"/>
        <w:rPr>
          <w:i/>
          <w:iCs/>
          <w:color w:val="E36C0A" w:themeColor="accent6" w:themeShade="BF"/>
          <w:sz w:val="24"/>
          <w:szCs w:val="24"/>
        </w:rPr>
      </w:pPr>
      <w:r w:rsidRPr="004F6770">
        <w:rPr>
          <w:i/>
          <w:iCs/>
          <w:color w:val="E36C0A" w:themeColor="accent6" w:themeShade="BF"/>
          <w:sz w:val="24"/>
          <w:szCs w:val="24"/>
        </w:rPr>
        <w:t xml:space="preserve">Argentina </w:t>
      </w:r>
    </w:p>
    <w:p w14:paraId="370C1323" w14:textId="77777777" w:rsidR="002D55D1" w:rsidRDefault="002D55D1" w:rsidP="002D55D1">
      <w:pPr>
        <w:jc w:val="both"/>
        <w:rPr>
          <w:sz w:val="24"/>
          <w:szCs w:val="24"/>
        </w:rPr>
      </w:pPr>
    </w:p>
    <w:p w14:paraId="6546FA9B" w14:textId="7EE91447" w:rsidR="002D55D1" w:rsidRPr="004F6770" w:rsidRDefault="002D55D1" w:rsidP="002D55D1">
      <w:pPr>
        <w:jc w:val="both"/>
        <w:rPr>
          <w:color w:val="E36C0A" w:themeColor="accent6" w:themeShade="BF"/>
          <w:sz w:val="24"/>
          <w:szCs w:val="24"/>
        </w:rPr>
      </w:pPr>
      <w:r w:rsidRPr="004F6770">
        <w:rPr>
          <w:color w:val="E36C0A" w:themeColor="accent6" w:themeShade="BF"/>
          <w:sz w:val="24"/>
          <w:szCs w:val="24"/>
        </w:rPr>
        <w:t xml:space="preserve">In Argentina a great concern is the exclusion of cooperatives and self-managed habitat production modalities from current national housing policy designs. The popular movements that for decades fought and claimed the existence of a Ministry of Territorial Development and Habitat today are ignored by the current Minister of the sector as subjects of the habitat policy (which only channels through provinces, municipalities and traditional enforcement </w:t>
      </w:r>
      <w:r w:rsidR="004F6770">
        <w:rPr>
          <w:color w:val="E36C0A" w:themeColor="accent6" w:themeShade="BF"/>
          <w:sz w:val="24"/>
          <w:szCs w:val="24"/>
        </w:rPr>
        <w:t xml:space="preserve">business </w:t>
      </w:r>
      <w:r w:rsidRPr="004F6770">
        <w:rPr>
          <w:color w:val="E36C0A" w:themeColor="accent6" w:themeShade="BF"/>
          <w:sz w:val="24"/>
          <w:szCs w:val="24"/>
        </w:rPr>
        <w:t xml:space="preserve">systems or individual credits for the middle classes and formal workers). In this way, there is a wide segment of the population that does not live in popular </w:t>
      </w:r>
      <w:proofErr w:type="spellStart"/>
      <w:r w:rsidRPr="004F6770">
        <w:rPr>
          <w:color w:val="E36C0A" w:themeColor="accent6" w:themeShade="BF"/>
          <w:sz w:val="24"/>
          <w:szCs w:val="24"/>
        </w:rPr>
        <w:t>neighborhoods</w:t>
      </w:r>
      <w:proofErr w:type="spellEnd"/>
      <w:r w:rsidRPr="004F6770">
        <w:rPr>
          <w:color w:val="E36C0A" w:themeColor="accent6" w:themeShade="BF"/>
          <w:sz w:val="24"/>
          <w:szCs w:val="24"/>
        </w:rPr>
        <w:t xml:space="preserve"> (but in dispersed forms of popular habitat under different forms of more or less precarious rent and takeover of real estate, pensions, tenancies, etc.) nor is it a formal worker (only one 40% of the </w:t>
      </w:r>
      <w:r w:rsidRPr="004F6770">
        <w:rPr>
          <w:rStyle w:val="jlqj4b"/>
          <w:color w:val="E36C0A" w:themeColor="accent6" w:themeShade="BF"/>
          <w:sz w:val="24"/>
          <w:szCs w:val="24"/>
          <w:lang w:val="en"/>
        </w:rPr>
        <w:t xml:space="preserve">economically active population </w:t>
      </w:r>
      <w:r w:rsidRPr="004F6770">
        <w:rPr>
          <w:color w:val="E36C0A" w:themeColor="accent6" w:themeShade="BF"/>
          <w:sz w:val="24"/>
          <w:szCs w:val="24"/>
        </w:rPr>
        <w:t>is) that remains in deficit and risk situations, deepened by the pandemic.</w:t>
      </w:r>
    </w:p>
    <w:p w14:paraId="6F0904CA" w14:textId="77777777" w:rsidR="002D55D1" w:rsidRPr="004F6770" w:rsidRDefault="002D55D1" w:rsidP="002D55D1">
      <w:pPr>
        <w:jc w:val="both"/>
        <w:rPr>
          <w:color w:val="E36C0A" w:themeColor="accent6" w:themeShade="BF"/>
          <w:sz w:val="24"/>
          <w:szCs w:val="24"/>
        </w:rPr>
      </w:pPr>
    </w:p>
    <w:p w14:paraId="4809BC95" w14:textId="34A6B1DF" w:rsidR="002D55D1" w:rsidRPr="004F6770" w:rsidRDefault="002D55D1" w:rsidP="002D55D1">
      <w:pPr>
        <w:jc w:val="both"/>
        <w:rPr>
          <w:color w:val="E36C0A" w:themeColor="accent6" w:themeShade="BF"/>
          <w:sz w:val="24"/>
          <w:szCs w:val="24"/>
        </w:rPr>
      </w:pPr>
      <w:r w:rsidRPr="004F6770">
        <w:rPr>
          <w:color w:val="E36C0A" w:themeColor="accent6" w:themeShade="BF"/>
          <w:sz w:val="24"/>
          <w:szCs w:val="24"/>
        </w:rPr>
        <w:lastRenderedPageBreak/>
        <w:t>The political antecedents and the collective and organized forms of habitat production are ignored</w:t>
      </w:r>
      <w:r w:rsidR="00CD3192">
        <w:rPr>
          <w:color w:val="E36C0A" w:themeColor="accent6" w:themeShade="BF"/>
          <w:sz w:val="24"/>
          <w:szCs w:val="24"/>
        </w:rPr>
        <w:t>. T</w:t>
      </w:r>
      <w:r w:rsidRPr="004F6770">
        <w:rPr>
          <w:color w:val="E36C0A" w:themeColor="accent6" w:themeShade="BF"/>
          <w:sz w:val="24"/>
          <w:szCs w:val="24"/>
        </w:rPr>
        <w:t xml:space="preserve">here is </w:t>
      </w:r>
      <w:r w:rsidR="00CD3192">
        <w:rPr>
          <w:color w:val="E36C0A" w:themeColor="accent6" w:themeShade="BF"/>
          <w:sz w:val="24"/>
          <w:szCs w:val="24"/>
        </w:rPr>
        <w:t xml:space="preserve">also </w:t>
      </w:r>
      <w:r w:rsidRPr="004F6770">
        <w:rPr>
          <w:color w:val="E36C0A" w:themeColor="accent6" w:themeShade="BF"/>
          <w:sz w:val="24"/>
          <w:szCs w:val="24"/>
        </w:rPr>
        <w:t>no provision of instruments for access to land for the cooperatives and collective modalities of Social Production of Habitat. Land is intended only for lots with services or formats whose recipients are families, considered in isolation and not in collective, organized, community options.</w:t>
      </w:r>
    </w:p>
    <w:p w14:paraId="38947C11" w14:textId="77777777" w:rsidR="002D55D1" w:rsidRPr="004F6770" w:rsidRDefault="002D55D1" w:rsidP="002D55D1">
      <w:pPr>
        <w:jc w:val="both"/>
        <w:rPr>
          <w:color w:val="E36C0A" w:themeColor="accent6" w:themeShade="BF"/>
          <w:sz w:val="24"/>
          <w:szCs w:val="24"/>
        </w:rPr>
      </w:pPr>
    </w:p>
    <w:p w14:paraId="33686D25" w14:textId="77777777" w:rsidR="002D55D1" w:rsidRPr="00CD3192" w:rsidRDefault="002D55D1" w:rsidP="002D55D1">
      <w:pPr>
        <w:jc w:val="both"/>
        <w:rPr>
          <w:b/>
          <w:bCs/>
          <w:color w:val="E36C0A" w:themeColor="accent6" w:themeShade="BF"/>
          <w:sz w:val="24"/>
          <w:szCs w:val="24"/>
        </w:rPr>
      </w:pPr>
      <w:r w:rsidRPr="004F6770">
        <w:rPr>
          <w:color w:val="E36C0A" w:themeColor="accent6" w:themeShade="BF"/>
          <w:sz w:val="24"/>
          <w:szCs w:val="24"/>
        </w:rPr>
        <w:t xml:space="preserve">This is a critical aspect of current habitat policy design. </w:t>
      </w:r>
      <w:r w:rsidRPr="00CD3192">
        <w:rPr>
          <w:b/>
          <w:bCs/>
          <w:color w:val="E36C0A" w:themeColor="accent6" w:themeShade="BF"/>
          <w:sz w:val="24"/>
          <w:szCs w:val="24"/>
        </w:rPr>
        <w:t>This individualization will reinforce the mechanisms of inequality and exclusion of large sectors that will not be involved in the desired reactivation of the market.</w:t>
      </w:r>
    </w:p>
    <w:p w14:paraId="741E231E" w14:textId="77777777" w:rsidR="002D55D1" w:rsidRDefault="002D55D1" w:rsidP="00226F79">
      <w:pPr>
        <w:jc w:val="both"/>
        <w:rPr>
          <w:sz w:val="24"/>
          <w:szCs w:val="24"/>
        </w:rPr>
      </w:pPr>
    </w:p>
    <w:p w14:paraId="43363880" w14:textId="77777777" w:rsidR="00226F79" w:rsidRPr="00226F79" w:rsidRDefault="00226F79" w:rsidP="00226F79">
      <w:pPr>
        <w:jc w:val="both"/>
        <w:rPr>
          <w:sz w:val="24"/>
          <w:szCs w:val="24"/>
        </w:rPr>
      </w:pPr>
      <w:r w:rsidRPr="00226F79">
        <w:rPr>
          <w:sz w:val="24"/>
          <w:szCs w:val="24"/>
        </w:rPr>
        <w:t xml:space="preserve">15. In your view, what factors (current or historical) are the principal </w:t>
      </w:r>
      <w:r w:rsidRPr="00226F79">
        <w:rPr>
          <w:i/>
          <w:sz w:val="24"/>
          <w:szCs w:val="24"/>
        </w:rPr>
        <w:t>drivers</w:t>
      </w:r>
      <w:r w:rsidRPr="00226F79">
        <w:rPr>
          <w:sz w:val="24"/>
          <w:szCs w:val="24"/>
        </w:rPr>
        <w:t xml:space="preserve"> of spatial and residential segregation in urban and urban-rural contexts in your country? </w:t>
      </w:r>
    </w:p>
    <w:p w14:paraId="1222510F" w14:textId="77777777" w:rsidR="00226F79" w:rsidRPr="00226F79" w:rsidRDefault="00ED147D" w:rsidP="00226F79">
      <w:pPr>
        <w:jc w:val="both"/>
        <w:rPr>
          <w:sz w:val="24"/>
          <w:szCs w:val="24"/>
        </w:rPr>
      </w:pPr>
      <w:sdt>
        <w:sdtPr>
          <w:rPr>
            <w:sz w:val="24"/>
            <w:szCs w:val="24"/>
          </w:rPr>
          <w:id w:val="-796444237"/>
        </w:sdtPr>
        <w:sdtEndPr/>
        <w:sdtContent>
          <w:sdt>
            <w:sdtPr>
              <w:rPr>
                <w:sz w:val="24"/>
                <w:szCs w:val="24"/>
              </w:rPr>
              <w:id w:val="-914243571"/>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498C55A9" w14:textId="77777777" w:rsidR="00226F79" w:rsidRPr="00226F79" w:rsidRDefault="00226F79" w:rsidP="00226F79">
      <w:pPr>
        <w:jc w:val="both"/>
        <w:rPr>
          <w:sz w:val="24"/>
          <w:szCs w:val="24"/>
        </w:rPr>
      </w:pPr>
    </w:p>
    <w:p w14:paraId="27BF0A7D" w14:textId="77777777" w:rsidR="00226F79" w:rsidRPr="00226F79" w:rsidRDefault="00226F79" w:rsidP="00226F79">
      <w:pPr>
        <w:jc w:val="both"/>
        <w:rPr>
          <w:sz w:val="24"/>
          <w:szCs w:val="24"/>
        </w:rPr>
      </w:pPr>
      <w:r w:rsidRPr="00226F79">
        <w:rPr>
          <w:sz w:val="24"/>
          <w:szCs w:val="24"/>
        </w:rPr>
        <w:t xml:space="preserve">16. Are there examples in your country of where spatial and residential clustering has been a result of voluntary choices of residence by members of particular groups? </w:t>
      </w:r>
    </w:p>
    <w:p w14:paraId="67022BEF" w14:textId="77777777" w:rsidR="00226F79" w:rsidRPr="00226F79" w:rsidRDefault="00ED147D" w:rsidP="00226F79">
      <w:pPr>
        <w:jc w:val="both"/>
        <w:rPr>
          <w:sz w:val="24"/>
          <w:szCs w:val="24"/>
        </w:rPr>
      </w:pPr>
      <w:sdt>
        <w:sdtPr>
          <w:rPr>
            <w:sz w:val="24"/>
            <w:szCs w:val="24"/>
          </w:rPr>
          <w:id w:val="-155766628"/>
        </w:sdtPr>
        <w:sdtEndPr/>
        <w:sdtContent>
          <w:sdt>
            <w:sdtPr>
              <w:rPr>
                <w:sz w:val="24"/>
                <w:szCs w:val="24"/>
              </w:rPr>
              <w:id w:val="42785771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595C5773" w14:textId="77777777" w:rsidR="00226F79" w:rsidRPr="00226F79" w:rsidRDefault="00226F79" w:rsidP="00226F79">
      <w:pPr>
        <w:jc w:val="both"/>
        <w:rPr>
          <w:sz w:val="24"/>
          <w:szCs w:val="24"/>
        </w:rPr>
      </w:pPr>
    </w:p>
    <w:p w14:paraId="4693B8A2" w14:textId="77777777" w:rsidR="00226F79" w:rsidRPr="00226F79" w:rsidRDefault="00226F79" w:rsidP="00226F79">
      <w:pPr>
        <w:jc w:val="both"/>
        <w:rPr>
          <w:sz w:val="24"/>
          <w:szCs w:val="24"/>
        </w:rPr>
      </w:pPr>
      <w:r w:rsidRPr="00226F79">
        <w:rPr>
          <w:sz w:val="24"/>
          <w:szCs w:val="24"/>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2C1F013C" w14:textId="77777777" w:rsidR="006D0C62" w:rsidRPr="00226F79" w:rsidRDefault="00ED147D" w:rsidP="006D0C62">
      <w:pPr>
        <w:jc w:val="both"/>
        <w:rPr>
          <w:sz w:val="24"/>
          <w:szCs w:val="24"/>
        </w:rPr>
      </w:pPr>
      <w:sdt>
        <w:sdtPr>
          <w:rPr>
            <w:sz w:val="24"/>
            <w:szCs w:val="24"/>
          </w:rPr>
          <w:id w:val="1909880691"/>
          <w:showingPlcHdr/>
        </w:sdtPr>
        <w:sdtEndPr/>
        <w:sdtContent>
          <w:r w:rsidR="006D0C62" w:rsidRPr="00226F79">
            <w:rPr>
              <w:rStyle w:val="PlaceholderText"/>
              <w:sz w:val="24"/>
              <w:szCs w:val="24"/>
            </w:rPr>
            <w:t>Click here to enter text.</w:t>
          </w:r>
        </w:sdtContent>
      </w:sdt>
      <w:r w:rsidR="006D0C62" w:rsidRPr="00226F79" w:rsidDel="004541C6">
        <w:rPr>
          <w:sz w:val="24"/>
          <w:szCs w:val="24"/>
        </w:rPr>
        <w:t xml:space="preserve"> </w:t>
      </w:r>
    </w:p>
    <w:p w14:paraId="3C7F213B" w14:textId="77777777" w:rsidR="00226F79" w:rsidRDefault="00226F79" w:rsidP="00226F79">
      <w:pPr>
        <w:jc w:val="both"/>
        <w:rPr>
          <w:sz w:val="24"/>
          <w:szCs w:val="24"/>
        </w:rPr>
      </w:pPr>
    </w:p>
    <w:p w14:paraId="22F1162D" w14:textId="623E3697" w:rsidR="00226F79" w:rsidRDefault="003A314E" w:rsidP="00226F79">
      <w:pPr>
        <w:jc w:val="both"/>
        <w:rPr>
          <w:sz w:val="24"/>
          <w:szCs w:val="24"/>
        </w:rPr>
      </w:pPr>
      <w:r>
        <w:rPr>
          <w:sz w:val="24"/>
          <w:szCs w:val="24"/>
        </w:rPr>
        <w:t xml:space="preserve">18. </w:t>
      </w:r>
      <w:r w:rsidR="00226F79" w:rsidRPr="00226F79">
        <w:rPr>
          <w:sz w:val="24"/>
          <w:szCs w:val="24"/>
        </w:rPr>
        <w:t>In your view, are certain forms of observed residential separation/voluntary clustering compatible with human rights law and if so why? (</w:t>
      </w:r>
      <w:proofErr w:type="gramStart"/>
      <w:r w:rsidR="00226F79" w:rsidRPr="00226F79">
        <w:rPr>
          <w:sz w:val="24"/>
          <w:szCs w:val="24"/>
        </w:rPr>
        <w:t>for</w:t>
      </w:r>
      <w:proofErr w:type="gramEnd"/>
      <w:r w:rsidR="00226F79" w:rsidRPr="00226F79">
        <w:rPr>
          <w:sz w:val="24"/>
          <w:szCs w:val="24"/>
        </w:rPr>
        <w:t xml:space="preserve"> example to protect rights of minorities or to respect the freedom of choice of individuals to decide with whom to live together). </w:t>
      </w:r>
    </w:p>
    <w:p w14:paraId="07C134DF" w14:textId="1A1605B6" w:rsidR="001928BA" w:rsidRDefault="001928BA" w:rsidP="00226F79">
      <w:pPr>
        <w:jc w:val="both"/>
        <w:rPr>
          <w:sz w:val="24"/>
          <w:szCs w:val="24"/>
        </w:rPr>
      </w:pPr>
    </w:p>
    <w:p w14:paraId="59E5E185" w14:textId="295E3C77" w:rsidR="001928BA" w:rsidRPr="001928BA" w:rsidRDefault="001928BA" w:rsidP="00226F79">
      <w:pPr>
        <w:jc w:val="both"/>
        <w:rPr>
          <w:i/>
          <w:iCs/>
          <w:color w:val="E36C0A" w:themeColor="accent6" w:themeShade="BF"/>
          <w:sz w:val="24"/>
          <w:szCs w:val="24"/>
        </w:rPr>
      </w:pPr>
      <w:r w:rsidRPr="001928BA">
        <w:rPr>
          <w:i/>
          <w:iCs/>
          <w:color w:val="E36C0A" w:themeColor="accent6" w:themeShade="BF"/>
          <w:sz w:val="24"/>
          <w:szCs w:val="24"/>
        </w:rPr>
        <w:lastRenderedPageBreak/>
        <w:t>India</w:t>
      </w:r>
    </w:p>
    <w:p w14:paraId="1F4274A1" w14:textId="3072DD54" w:rsidR="001928BA" w:rsidRPr="001928BA" w:rsidRDefault="00ED147D" w:rsidP="00226F79">
      <w:pPr>
        <w:jc w:val="both"/>
        <w:rPr>
          <w:i/>
          <w:iCs/>
          <w:color w:val="E36C0A" w:themeColor="accent6" w:themeShade="BF"/>
          <w:sz w:val="24"/>
          <w:szCs w:val="24"/>
        </w:rPr>
      </w:pPr>
      <w:sdt>
        <w:sdtPr>
          <w:rPr>
            <w:color w:val="E36C0A" w:themeColor="accent6" w:themeShade="BF"/>
            <w:sz w:val="24"/>
            <w:szCs w:val="24"/>
          </w:rPr>
          <w:id w:val="-1861265766"/>
        </w:sdtPr>
        <w:sdtEndPr/>
        <w:sdtContent>
          <w:r w:rsidR="001928BA" w:rsidRPr="001928BA">
            <w:rPr>
              <w:color w:val="E36C0A" w:themeColor="accent6" w:themeShade="BF"/>
              <w:sz w:val="24"/>
              <w:szCs w:val="24"/>
            </w:rPr>
            <w:t>The entity of the child in care has to be treated in an empowered way. To protect the rights of children who are institutionalised they need to be getting a status of being the ward of the state. The state in India is in a hurry to hand the child back to a family and absolving itself of its wardship role. Instead the child can be a lifelong ward of the state to inherit the work of managing state property that is looted by the poli</w:t>
          </w:r>
          <w:r w:rsidR="001928BA">
            <w:rPr>
              <w:color w:val="E36C0A" w:themeColor="accent6" w:themeShade="BF"/>
              <w:sz w:val="24"/>
              <w:szCs w:val="24"/>
            </w:rPr>
            <w:t>ti</w:t>
          </w:r>
          <w:r w:rsidR="001928BA" w:rsidRPr="001928BA">
            <w:rPr>
              <w:color w:val="E36C0A" w:themeColor="accent6" w:themeShade="BF"/>
              <w:sz w:val="24"/>
              <w:szCs w:val="24"/>
            </w:rPr>
            <w:t xml:space="preserve">cal party leaders and officials.  </w:t>
          </w:r>
        </w:sdtContent>
      </w:sdt>
    </w:p>
    <w:p w14:paraId="15EC766C" w14:textId="77777777" w:rsidR="00226F79" w:rsidRPr="00226F79" w:rsidRDefault="00226F79" w:rsidP="00226F79">
      <w:pPr>
        <w:jc w:val="both"/>
        <w:rPr>
          <w:sz w:val="24"/>
          <w:szCs w:val="24"/>
        </w:rPr>
      </w:pPr>
    </w:p>
    <w:p w14:paraId="10A886EC" w14:textId="6CE0C5F6" w:rsidR="00226F79" w:rsidRP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14:paraId="2C4CD491" w14:textId="77777777" w:rsidR="00226F79" w:rsidRPr="00226F79" w:rsidRDefault="00226F79" w:rsidP="00226F79">
      <w:pPr>
        <w:jc w:val="both"/>
        <w:rPr>
          <w:sz w:val="24"/>
          <w:szCs w:val="24"/>
        </w:rPr>
      </w:pPr>
    </w:p>
    <w:p w14:paraId="07E9CB86" w14:textId="38C507CC" w:rsidR="001928BA" w:rsidRDefault="003A314E" w:rsidP="00226F79">
      <w:pPr>
        <w:jc w:val="both"/>
        <w:rPr>
          <w:sz w:val="24"/>
          <w:szCs w:val="24"/>
        </w:rPr>
      </w:pPr>
      <w:r>
        <w:rPr>
          <w:sz w:val="24"/>
          <w:szCs w:val="24"/>
        </w:rPr>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14:paraId="79C8E796" w14:textId="77777777" w:rsidR="001928BA" w:rsidRPr="001928BA" w:rsidRDefault="001928BA" w:rsidP="00226F79">
      <w:pPr>
        <w:jc w:val="both"/>
        <w:rPr>
          <w:color w:val="E36C0A" w:themeColor="accent6" w:themeShade="BF"/>
          <w:sz w:val="24"/>
          <w:szCs w:val="24"/>
        </w:rPr>
      </w:pPr>
    </w:p>
    <w:p w14:paraId="03611E56" w14:textId="2B695476" w:rsidR="00226F79" w:rsidRPr="001928BA" w:rsidRDefault="001928BA" w:rsidP="00226F79">
      <w:pPr>
        <w:jc w:val="both"/>
        <w:rPr>
          <w:i/>
          <w:iCs/>
          <w:color w:val="E36C0A" w:themeColor="accent6" w:themeShade="BF"/>
          <w:sz w:val="24"/>
          <w:szCs w:val="24"/>
        </w:rPr>
      </w:pPr>
      <w:r w:rsidRPr="001928BA">
        <w:rPr>
          <w:i/>
          <w:iCs/>
          <w:color w:val="E36C0A" w:themeColor="accent6" w:themeShade="BF"/>
          <w:sz w:val="24"/>
          <w:szCs w:val="24"/>
        </w:rPr>
        <w:t xml:space="preserve">India </w:t>
      </w:r>
      <w:r w:rsidR="00226F79" w:rsidRPr="001928BA">
        <w:rPr>
          <w:i/>
          <w:iCs/>
          <w:color w:val="E36C0A" w:themeColor="accent6" w:themeShade="BF"/>
          <w:sz w:val="24"/>
          <w:szCs w:val="24"/>
        </w:rPr>
        <w:t xml:space="preserve"> </w:t>
      </w:r>
    </w:p>
    <w:p w14:paraId="02DA0D29" w14:textId="3268AA54" w:rsidR="001928BA" w:rsidRPr="00226F79" w:rsidRDefault="00ED147D" w:rsidP="00226F79">
      <w:pPr>
        <w:jc w:val="both"/>
        <w:rPr>
          <w:sz w:val="24"/>
          <w:szCs w:val="24"/>
        </w:rPr>
      </w:pPr>
      <w:sdt>
        <w:sdtPr>
          <w:rPr>
            <w:color w:val="E36C0A" w:themeColor="accent6" w:themeShade="BF"/>
            <w:sz w:val="24"/>
            <w:szCs w:val="24"/>
          </w:rPr>
          <w:id w:val="-1084141250"/>
        </w:sdtPr>
        <w:sdtEndPr>
          <w:rPr>
            <w:color w:val="auto"/>
          </w:rPr>
        </w:sdtEndPr>
        <w:sdtContent>
          <w:sdt>
            <w:sdtPr>
              <w:rPr>
                <w:color w:val="E36C0A" w:themeColor="accent6" w:themeShade="BF"/>
                <w:sz w:val="24"/>
                <w:szCs w:val="24"/>
              </w:rPr>
              <w:id w:val="148176631"/>
            </w:sdtPr>
            <w:sdtEndPr/>
            <w:sdtContent>
              <w:r w:rsidR="001928BA" w:rsidRPr="001928BA">
                <w:rPr>
                  <w:color w:val="E36C0A" w:themeColor="accent6" w:themeShade="BF"/>
                  <w:sz w:val="24"/>
                  <w:szCs w:val="24"/>
                </w:rPr>
                <w:t xml:space="preserve">The </w:t>
              </w:r>
              <w:r w:rsidR="001928BA">
                <w:rPr>
                  <w:color w:val="E36C0A" w:themeColor="accent6" w:themeShade="BF"/>
                  <w:sz w:val="24"/>
                  <w:szCs w:val="24"/>
                </w:rPr>
                <w:t>G</w:t>
              </w:r>
              <w:r w:rsidR="001928BA" w:rsidRPr="001928BA">
                <w:rPr>
                  <w:color w:val="E36C0A" w:themeColor="accent6" w:themeShade="BF"/>
                  <w:sz w:val="24"/>
                  <w:szCs w:val="24"/>
                </w:rPr>
                <w:t xml:space="preserve">uardianship Act does not specify the role of the </w:t>
              </w:r>
              <w:r w:rsidR="001928BA">
                <w:rPr>
                  <w:color w:val="E36C0A" w:themeColor="accent6" w:themeShade="BF"/>
                  <w:sz w:val="24"/>
                  <w:szCs w:val="24"/>
                </w:rPr>
                <w:t>S</w:t>
              </w:r>
              <w:r w:rsidR="001928BA" w:rsidRPr="001928BA">
                <w:rPr>
                  <w:color w:val="E36C0A" w:themeColor="accent6" w:themeShade="BF"/>
                  <w:sz w:val="24"/>
                  <w:szCs w:val="24"/>
                </w:rPr>
                <w:t>tate as a guardian</w:t>
              </w:r>
              <w:r w:rsidR="001928BA">
                <w:rPr>
                  <w:color w:val="E36C0A" w:themeColor="accent6" w:themeShade="BF"/>
                  <w:sz w:val="24"/>
                  <w:szCs w:val="24"/>
                </w:rPr>
                <w:t>.</w:t>
              </w:r>
              <w:r w:rsidR="001928BA" w:rsidRPr="001928BA">
                <w:rPr>
                  <w:color w:val="E36C0A" w:themeColor="accent6" w:themeShade="BF"/>
                  <w:sz w:val="24"/>
                  <w:szCs w:val="24"/>
                </w:rPr>
                <w:t xml:space="preserve"> </w:t>
              </w:r>
            </w:sdtContent>
          </w:sdt>
          <w:r w:rsidR="001928BA" w:rsidRPr="00226F79" w:rsidDel="004541C6">
            <w:rPr>
              <w:sz w:val="24"/>
              <w:szCs w:val="24"/>
            </w:rPr>
            <w:t xml:space="preserve"> </w:t>
          </w:r>
        </w:sdtContent>
      </w:sdt>
    </w:p>
    <w:p w14:paraId="7CB109EB" w14:textId="77777777" w:rsidR="00226F79" w:rsidRPr="00226F79" w:rsidRDefault="00226F79" w:rsidP="00226F79">
      <w:pPr>
        <w:jc w:val="both"/>
        <w:rPr>
          <w:sz w:val="24"/>
          <w:szCs w:val="24"/>
        </w:rPr>
      </w:pPr>
    </w:p>
    <w:p w14:paraId="2ED669C5" w14:textId="77777777" w:rsidR="00226F79" w:rsidRPr="00226F79" w:rsidRDefault="00226F79" w:rsidP="00226F79">
      <w:pPr>
        <w:jc w:val="both"/>
        <w:rPr>
          <w:b/>
          <w:sz w:val="24"/>
          <w:szCs w:val="24"/>
          <w:u w:val="single"/>
        </w:rPr>
      </w:pPr>
      <w:r w:rsidRPr="00226F79">
        <w:rPr>
          <w:b/>
          <w:sz w:val="24"/>
          <w:szCs w:val="24"/>
          <w:u w:val="single"/>
        </w:rPr>
        <w:t>MEASURES AND GOOD PRACTICES TO CURB DISCRIMINATION AND REDUCE SEGREGATION</w:t>
      </w:r>
    </w:p>
    <w:p w14:paraId="72A46588" w14:textId="77777777" w:rsidR="00226F79" w:rsidRPr="00226F79" w:rsidRDefault="00226F79" w:rsidP="00226F79">
      <w:pPr>
        <w:jc w:val="both"/>
        <w:rPr>
          <w:sz w:val="24"/>
          <w:szCs w:val="24"/>
        </w:rPr>
      </w:pPr>
    </w:p>
    <w:p w14:paraId="27D810BD" w14:textId="77777777" w:rsidR="00226F79" w:rsidRDefault="00226F79" w:rsidP="00226F79">
      <w:pPr>
        <w:jc w:val="both"/>
        <w:rPr>
          <w:sz w:val="24"/>
          <w:szCs w:val="24"/>
        </w:rPr>
      </w:pPr>
      <w:r w:rsidRPr="00226F79">
        <w:rPr>
          <w:sz w:val="24"/>
          <w:szCs w:val="24"/>
        </w:rPr>
        <w:t>2</w:t>
      </w:r>
      <w:r w:rsidR="003A314E">
        <w:rPr>
          <w:sz w:val="24"/>
          <w:szCs w:val="24"/>
        </w:rPr>
        <w:t>1</w:t>
      </w:r>
      <w:r w:rsidRPr="00226F79">
        <w:rPr>
          <w:sz w:val="24"/>
          <w:szCs w:val="24"/>
        </w:rPr>
        <w:t xml:space="preserve">. What laws, policies or measures exist at national or local level to prevent or prohibit discrimination in relation to the right to adequate housing? </w:t>
      </w:r>
    </w:p>
    <w:p w14:paraId="2706DFBB" w14:textId="77777777" w:rsidR="00226F79" w:rsidRDefault="00ED147D" w:rsidP="00226F79">
      <w:pPr>
        <w:jc w:val="both"/>
        <w:rPr>
          <w:sz w:val="24"/>
          <w:szCs w:val="24"/>
        </w:rPr>
      </w:pPr>
      <w:sdt>
        <w:sdtPr>
          <w:rPr>
            <w:sz w:val="24"/>
            <w:szCs w:val="24"/>
          </w:rPr>
          <w:id w:val="1273279467"/>
          <w:showingPlcHdr/>
        </w:sdtPr>
        <w:sdtEndPr/>
        <w:sdtContent>
          <w:r w:rsidR="00226F79" w:rsidRPr="00226F79">
            <w:rPr>
              <w:rStyle w:val="PlaceholderText"/>
              <w:sz w:val="24"/>
              <w:szCs w:val="24"/>
            </w:rPr>
            <w:t>Click here to enter text.</w:t>
          </w:r>
        </w:sdtContent>
      </w:sdt>
    </w:p>
    <w:p w14:paraId="4DC1BDD5" w14:textId="77777777" w:rsidR="00226F79" w:rsidRPr="00226F79" w:rsidRDefault="00226F79" w:rsidP="00226F79">
      <w:pPr>
        <w:jc w:val="both"/>
        <w:rPr>
          <w:sz w:val="24"/>
          <w:szCs w:val="24"/>
        </w:rPr>
      </w:pPr>
    </w:p>
    <w:p w14:paraId="1C9C775D" w14:textId="77777777" w:rsidR="00226F79" w:rsidRPr="00226F79" w:rsidRDefault="003A314E" w:rsidP="00226F79">
      <w:pPr>
        <w:jc w:val="both"/>
        <w:rPr>
          <w:sz w:val="24"/>
          <w:szCs w:val="24"/>
        </w:rPr>
      </w:pPr>
      <w:r>
        <w:rPr>
          <w:sz w:val="24"/>
          <w:szCs w:val="24"/>
        </w:rPr>
        <w:t>22</w:t>
      </w:r>
      <w:r w:rsidR="006D0C62">
        <w:rPr>
          <w:sz w:val="24"/>
          <w:szCs w:val="24"/>
        </w:rPr>
        <w:t>. Have</w:t>
      </w:r>
      <w:r w:rsidR="00226F79" w:rsidRPr="00226F79">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14:paraId="399BDC3D" w14:textId="77777777" w:rsidR="00226F79" w:rsidRPr="00226F79" w:rsidRDefault="00ED147D" w:rsidP="00226F79">
      <w:pPr>
        <w:jc w:val="both"/>
        <w:rPr>
          <w:sz w:val="24"/>
          <w:szCs w:val="24"/>
        </w:rPr>
      </w:pPr>
      <w:sdt>
        <w:sdtPr>
          <w:rPr>
            <w:sz w:val="24"/>
            <w:szCs w:val="24"/>
          </w:rPr>
          <w:id w:val="1503775671"/>
          <w:showingPlcHdr/>
        </w:sdtPr>
        <w:sdtEndPr/>
        <w:sdtContent>
          <w:r w:rsidR="00226F79" w:rsidRPr="00226F79">
            <w:rPr>
              <w:rStyle w:val="PlaceholderText"/>
              <w:sz w:val="24"/>
              <w:szCs w:val="24"/>
            </w:rPr>
            <w:t>Click here to enter text.</w:t>
          </w:r>
        </w:sdtContent>
      </w:sdt>
    </w:p>
    <w:p w14:paraId="2B5CE581" w14:textId="77777777" w:rsidR="00226F79" w:rsidRPr="00226F79" w:rsidRDefault="00226F79" w:rsidP="00226F79">
      <w:pPr>
        <w:jc w:val="both"/>
        <w:rPr>
          <w:sz w:val="24"/>
          <w:szCs w:val="24"/>
        </w:rPr>
      </w:pPr>
    </w:p>
    <w:p w14:paraId="25DD5B6F" w14:textId="77777777" w:rsidR="00226F79" w:rsidRPr="00226F79" w:rsidRDefault="00226F79" w:rsidP="00226F79">
      <w:pPr>
        <w:jc w:val="both"/>
        <w:rPr>
          <w:sz w:val="24"/>
          <w:szCs w:val="24"/>
        </w:rPr>
      </w:pPr>
      <w:r w:rsidRPr="00226F79">
        <w:rPr>
          <w:sz w:val="24"/>
          <w:szCs w:val="24"/>
        </w:rPr>
        <w:t>2</w:t>
      </w:r>
      <w:r w:rsidR="003A314E">
        <w:rPr>
          <w:sz w:val="24"/>
          <w:szCs w:val="24"/>
        </w:rPr>
        <w:t>3</w:t>
      </w:r>
      <w:r w:rsidRPr="00226F79">
        <w:rPr>
          <w:sz w:val="24"/>
          <w:szCs w:val="24"/>
        </w:rPr>
        <w:t>. Have any particular laws, policies or measures been implemented to limit or reduce residential segregation?  To what extent have such policies raised human rights concerns?</w:t>
      </w:r>
    </w:p>
    <w:p w14:paraId="3809756F" w14:textId="77777777" w:rsidR="00226F79" w:rsidRPr="00226F79" w:rsidRDefault="00ED147D" w:rsidP="00226F79">
      <w:pPr>
        <w:jc w:val="both"/>
        <w:rPr>
          <w:sz w:val="24"/>
          <w:szCs w:val="24"/>
        </w:rPr>
      </w:pPr>
      <w:sdt>
        <w:sdtPr>
          <w:rPr>
            <w:sz w:val="24"/>
            <w:szCs w:val="24"/>
          </w:rPr>
          <w:id w:val="-1718507619"/>
        </w:sdtPr>
        <w:sdtEndPr/>
        <w:sdtContent>
          <w:sdt>
            <w:sdtPr>
              <w:rPr>
                <w:sz w:val="24"/>
                <w:szCs w:val="24"/>
              </w:rPr>
              <w:id w:val="-2110036250"/>
              <w:showingPlcHdr/>
            </w:sdtPr>
            <w:sdtEndPr/>
            <w:sdtContent>
              <w:r w:rsidR="00226F79" w:rsidRPr="00226F79">
                <w:rPr>
                  <w:rStyle w:val="PlaceholderText"/>
                  <w:sz w:val="24"/>
                  <w:szCs w:val="24"/>
                </w:rPr>
                <w:t>Click here to enter text.</w:t>
              </w:r>
            </w:sdtContent>
          </w:sdt>
        </w:sdtContent>
      </w:sdt>
    </w:p>
    <w:p w14:paraId="5240E89E" w14:textId="77777777" w:rsidR="00B12FDC" w:rsidRPr="00226F79" w:rsidRDefault="00B12FDC" w:rsidP="00226F79">
      <w:pPr>
        <w:jc w:val="both"/>
        <w:rPr>
          <w:sz w:val="24"/>
          <w:szCs w:val="24"/>
        </w:rPr>
      </w:pPr>
    </w:p>
    <w:p w14:paraId="1F28D8FB" w14:textId="77777777" w:rsidR="00226F79" w:rsidRPr="00226F79" w:rsidRDefault="00226F79" w:rsidP="00226F79">
      <w:pPr>
        <w:jc w:val="both"/>
        <w:rPr>
          <w:sz w:val="24"/>
          <w:szCs w:val="24"/>
        </w:rPr>
      </w:pPr>
      <w:r w:rsidRPr="00226F79">
        <w:rPr>
          <w:sz w:val="24"/>
          <w:szCs w:val="24"/>
        </w:rPr>
        <w:t>2</w:t>
      </w:r>
      <w:r w:rsidR="00487B1A">
        <w:rPr>
          <w:sz w:val="24"/>
          <w:szCs w:val="24"/>
        </w:rPr>
        <w:t>4</w:t>
      </w:r>
      <w:r w:rsidRPr="00226F79">
        <w:rPr>
          <w:sz w:val="24"/>
          <w:szCs w:val="24"/>
        </w:rPr>
        <w:t>. What is the role of the media, as well as other non- governmental organizations, of religious and governmental institutions, in fostering a climate that reduces or exacerbates discrimination in relation to housing and segregation?</w:t>
      </w:r>
    </w:p>
    <w:p w14:paraId="7D18D804" w14:textId="77777777" w:rsidR="00226F79" w:rsidRPr="00226F79" w:rsidRDefault="00ED147D" w:rsidP="00226F79">
      <w:pPr>
        <w:jc w:val="both"/>
        <w:rPr>
          <w:sz w:val="24"/>
          <w:szCs w:val="24"/>
        </w:rPr>
      </w:pPr>
      <w:sdt>
        <w:sdtPr>
          <w:rPr>
            <w:sz w:val="24"/>
            <w:szCs w:val="24"/>
          </w:rPr>
          <w:id w:val="-1062947959"/>
          <w:showingPlcHdr/>
        </w:sdtPr>
        <w:sdtEndPr/>
        <w:sdtContent>
          <w:r w:rsidR="00226F79" w:rsidRPr="00226F79">
            <w:rPr>
              <w:rStyle w:val="PlaceholderText"/>
              <w:sz w:val="24"/>
              <w:szCs w:val="24"/>
            </w:rPr>
            <w:t>Click here to enter text.</w:t>
          </w:r>
        </w:sdtContent>
      </w:sdt>
    </w:p>
    <w:p w14:paraId="3D24128E" w14:textId="77777777" w:rsidR="00226F79" w:rsidRPr="00226F79" w:rsidRDefault="00226F79" w:rsidP="00226F79">
      <w:pPr>
        <w:ind w:left="360"/>
        <w:jc w:val="both"/>
        <w:rPr>
          <w:sz w:val="24"/>
          <w:szCs w:val="24"/>
        </w:rPr>
      </w:pPr>
    </w:p>
    <w:p w14:paraId="2BE8AA3A" w14:textId="77777777" w:rsidR="00226F79" w:rsidRPr="00226F79" w:rsidRDefault="00226F79" w:rsidP="00226F79">
      <w:pPr>
        <w:jc w:val="both"/>
        <w:rPr>
          <w:sz w:val="24"/>
          <w:szCs w:val="24"/>
        </w:rPr>
      </w:pPr>
      <w:r w:rsidRPr="00226F79">
        <w:rPr>
          <w:sz w:val="24"/>
          <w:szCs w:val="24"/>
        </w:rPr>
        <w:t>2</w:t>
      </w:r>
      <w:r w:rsidR="00487B1A">
        <w:rPr>
          <w:sz w:val="24"/>
          <w:szCs w:val="24"/>
        </w:rPr>
        <w:t>5</w:t>
      </w:r>
      <w:r w:rsidRPr="00226F79">
        <w:rPr>
          <w:sz w:val="24"/>
          <w:szCs w:val="24"/>
        </w:rPr>
        <w:t xml:space="preserve">. Which institutional mechanisms exist to report, redress and monitor cases of discrimination or segregation in relation to the right to adequate housing and how effective have they been to address discrimination? </w:t>
      </w:r>
    </w:p>
    <w:p w14:paraId="17D74857" w14:textId="77777777" w:rsidR="00226F79" w:rsidRPr="00226F79" w:rsidRDefault="00ED147D" w:rsidP="00226F79">
      <w:pPr>
        <w:jc w:val="both"/>
        <w:rPr>
          <w:sz w:val="24"/>
          <w:szCs w:val="24"/>
        </w:rPr>
      </w:pPr>
      <w:sdt>
        <w:sdtPr>
          <w:rPr>
            <w:sz w:val="24"/>
            <w:szCs w:val="24"/>
          </w:rPr>
          <w:id w:val="-1413463060"/>
        </w:sdtPr>
        <w:sdtEndPr/>
        <w:sdtContent>
          <w:sdt>
            <w:sdtPr>
              <w:rPr>
                <w:sz w:val="24"/>
                <w:szCs w:val="24"/>
              </w:rPr>
              <w:id w:val="996921466"/>
              <w:showingPlcHdr/>
            </w:sdtPr>
            <w:sdtEndPr/>
            <w:sdtContent>
              <w:r w:rsidR="00226F79" w:rsidRPr="00226F79">
                <w:rPr>
                  <w:rStyle w:val="PlaceholderText"/>
                  <w:sz w:val="24"/>
                  <w:szCs w:val="24"/>
                </w:rPr>
                <w:t>Click here to enter text.</w:t>
              </w:r>
            </w:sdtContent>
          </w:sdt>
        </w:sdtContent>
      </w:sdt>
    </w:p>
    <w:p w14:paraId="38FF0035" w14:textId="77777777" w:rsidR="00226F79" w:rsidRPr="00226F79" w:rsidRDefault="00226F79" w:rsidP="00226F79">
      <w:pPr>
        <w:jc w:val="both"/>
        <w:rPr>
          <w:sz w:val="24"/>
          <w:szCs w:val="24"/>
        </w:rPr>
      </w:pPr>
    </w:p>
    <w:p w14:paraId="29B7B97D" w14:textId="77777777" w:rsidR="00226F79" w:rsidRPr="00226F79" w:rsidRDefault="00226F79" w:rsidP="00226F79">
      <w:pPr>
        <w:jc w:val="both"/>
        <w:rPr>
          <w:sz w:val="24"/>
          <w:szCs w:val="24"/>
        </w:rPr>
      </w:pPr>
      <w:r w:rsidRPr="00226F79">
        <w:rPr>
          <w:sz w:val="24"/>
          <w:szCs w:val="24"/>
        </w:rPr>
        <w:t>2</w:t>
      </w:r>
      <w:r w:rsidR="00487B1A">
        <w:rPr>
          <w:sz w:val="24"/>
          <w:szCs w:val="24"/>
        </w:rPr>
        <w:t>6</w:t>
      </w:r>
      <w:r w:rsidRPr="00226F79">
        <w:rPr>
          <w:sz w:val="24"/>
          <w:szCs w:val="24"/>
        </w:rPr>
        <w:t xml:space="preserve">. In your view, what are the principal barriers to seek justice for discrimination/segregation in relation to the right to adequate housing? </w:t>
      </w:r>
    </w:p>
    <w:p w14:paraId="0853A7C9" w14:textId="77777777" w:rsidR="00487B1A" w:rsidRPr="00226F79" w:rsidRDefault="00ED147D" w:rsidP="00487B1A">
      <w:pPr>
        <w:jc w:val="both"/>
        <w:rPr>
          <w:sz w:val="24"/>
          <w:szCs w:val="24"/>
        </w:rPr>
      </w:pPr>
      <w:sdt>
        <w:sdtPr>
          <w:rPr>
            <w:sz w:val="24"/>
            <w:szCs w:val="24"/>
          </w:rPr>
          <w:id w:val="-587085050"/>
        </w:sdtPr>
        <w:sdtEndPr/>
        <w:sdtContent>
          <w:sdt>
            <w:sdtPr>
              <w:rPr>
                <w:sz w:val="24"/>
                <w:szCs w:val="24"/>
              </w:rPr>
              <w:id w:val="460544402"/>
              <w:showingPlcHdr/>
            </w:sdtPr>
            <w:sdtEndPr/>
            <w:sdtContent>
              <w:r w:rsidR="00487B1A" w:rsidRPr="00226F79">
                <w:rPr>
                  <w:rStyle w:val="PlaceholderText"/>
                  <w:sz w:val="24"/>
                  <w:szCs w:val="24"/>
                </w:rPr>
                <w:t>Click here to enter text.</w:t>
              </w:r>
            </w:sdtContent>
          </w:sdt>
        </w:sdtContent>
      </w:sdt>
    </w:p>
    <w:p w14:paraId="0C58866A" w14:textId="77777777" w:rsidR="00226F79" w:rsidRPr="00226F79" w:rsidRDefault="00226F79" w:rsidP="00226F79">
      <w:pPr>
        <w:jc w:val="both"/>
        <w:rPr>
          <w:sz w:val="24"/>
          <w:szCs w:val="24"/>
        </w:rPr>
      </w:pPr>
    </w:p>
    <w:p w14:paraId="3B29536B" w14:textId="5F1E5CAC" w:rsidR="00226F79" w:rsidRDefault="00226F79" w:rsidP="00226F79">
      <w:pPr>
        <w:jc w:val="both"/>
        <w:rPr>
          <w:sz w:val="24"/>
          <w:szCs w:val="24"/>
        </w:rPr>
      </w:pPr>
      <w:r w:rsidRPr="00226F79">
        <w:rPr>
          <w:sz w:val="24"/>
          <w:szCs w:val="24"/>
        </w:rPr>
        <w:t>2</w:t>
      </w:r>
      <w:r w:rsidR="00487B1A">
        <w:rPr>
          <w:sz w:val="24"/>
          <w:szCs w:val="24"/>
        </w:rPr>
        <w:t>7</w:t>
      </w:r>
      <w:r w:rsidRPr="00226F79">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2AD61C6F" w14:textId="377CACD1" w:rsidR="001928BA" w:rsidRDefault="001928BA" w:rsidP="00226F79">
      <w:pPr>
        <w:jc w:val="both"/>
        <w:rPr>
          <w:sz w:val="24"/>
          <w:szCs w:val="24"/>
        </w:rPr>
      </w:pPr>
    </w:p>
    <w:sdt>
      <w:sdtPr>
        <w:rPr>
          <w:sz w:val="24"/>
          <w:szCs w:val="24"/>
        </w:rPr>
        <w:id w:val="823016818"/>
      </w:sdtPr>
      <w:sdtEndPr>
        <w:rPr>
          <w:color w:val="E36C0A" w:themeColor="accent6" w:themeShade="BF"/>
        </w:rPr>
      </w:sdtEndPr>
      <w:sdtContent>
        <w:p w14:paraId="6D4357F5" w14:textId="77777777" w:rsidR="001928BA" w:rsidRPr="001928BA" w:rsidRDefault="001928BA" w:rsidP="00226F79">
          <w:pPr>
            <w:jc w:val="both"/>
            <w:rPr>
              <w:i/>
              <w:iCs/>
              <w:color w:val="E36C0A" w:themeColor="accent6" w:themeShade="BF"/>
              <w:sz w:val="24"/>
              <w:szCs w:val="24"/>
            </w:rPr>
          </w:pPr>
          <w:r w:rsidRPr="001928BA">
            <w:rPr>
              <w:i/>
              <w:iCs/>
              <w:color w:val="E36C0A" w:themeColor="accent6" w:themeShade="BF"/>
              <w:sz w:val="24"/>
              <w:szCs w:val="24"/>
            </w:rPr>
            <w:t xml:space="preserve">India </w:t>
          </w:r>
        </w:p>
        <w:p w14:paraId="44FEA3DE" w14:textId="1BC12B72" w:rsidR="001928BA" w:rsidRPr="001928BA" w:rsidRDefault="001928BA" w:rsidP="00226F79">
          <w:pPr>
            <w:jc w:val="both"/>
            <w:rPr>
              <w:color w:val="E36C0A" w:themeColor="accent6" w:themeShade="BF"/>
              <w:sz w:val="24"/>
              <w:szCs w:val="24"/>
            </w:rPr>
          </w:pPr>
          <w:r w:rsidRPr="001928BA">
            <w:rPr>
              <w:color w:val="E36C0A" w:themeColor="accent6" w:themeShade="BF"/>
              <w:sz w:val="24"/>
              <w:szCs w:val="24"/>
            </w:rPr>
            <w:t xml:space="preserve">Youth Leaving Care associations are being formed in India. However, certain NGOs are utilising them for research and advocacy more than servicing the adequate housing needs of the care leavers. </w:t>
          </w:r>
        </w:p>
      </w:sdtContent>
    </w:sdt>
    <w:p w14:paraId="7E3856D2" w14:textId="77777777" w:rsidR="001928BA" w:rsidRPr="00226F79" w:rsidRDefault="001928BA" w:rsidP="00226F79">
      <w:pPr>
        <w:jc w:val="both"/>
        <w:rPr>
          <w:sz w:val="24"/>
          <w:szCs w:val="24"/>
        </w:rPr>
      </w:pPr>
    </w:p>
    <w:p w14:paraId="3B34F94B" w14:textId="7D156365" w:rsidR="00226F79" w:rsidRPr="001928BA" w:rsidRDefault="00226F79" w:rsidP="001928BA">
      <w:pPr>
        <w:jc w:val="both"/>
        <w:rPr>
          <w:sz w:val="24"/>
          <w:szCs w:val="24"/>
        </w:rPr>
      </w:pPr>
      <w:r w:rsidRPr="00226F79">
        <w:rPr>
          <w:b/>
          <w:sz w:val="24"/>
          <w:szCs w:val="24"/>
          <w:u w:val="single"/>
        </w:rPr>
        <w:t xml:space="preserve">DATA ON DISCRIMINATION IN HOUSING AND SPATIAL/RESIDENTIAL SEGREGATION </w:t>
      </w:r>
    </w:p>
    <w:p w14:paraId="7A4C8171" w14:textId="77777777" w:rsidR="00226F79" w:rsidRPr="00226F79" w:rsidRDefault="00226F79" w:rsidP="00226F79">
      <w:pPr>
        <w:jc w:val="both"/>
        <w:rPr>
          <w:sz w:val="24"/>
          <w:szCs w:val="24"/>
        </w:rPr>
      </w:pPr>
    </w:p>
    <w:p w14:paraId="640ECC07" w14:textId="77777777" w:rsidR="00226F79" w:rsidRPr="00226F79" w:rsidRDefault="00226F79" w:rsidP="00226F79">
      <w:pPr>
        <w:jc w:val="both"/>
        <w:rPr>
          <w:sz w:val="24"/>
          <w:szCs w:val="24"/>
        </w:rPr>
      </w:pPr>
      <w:r w:rsidRPr="00226F79">
        <w:rPr>
          <w:sz w:val="24"/>
          <w:szCs w:val="24"/>
        </w:rPr>
        <w:t>2</w:t>
      </w:r>
      <w:r w:rsidR="00487B1A">
        <w:rPr>
          <w:sz w:val="24"/>
          <w:szCs w:val="24"/>
        </w:rPr>
        <w:t>8</w:t>
      </w:r>
      <w:r w:rsidRPr="00226F79">
        <w:rPr>
          <w:sz w:val="24"/>
          <w:szCs w:val="24"/>
        </w:rPr>
        <w:t>. Is any data on housing disparities, housing discrimination and spatial segregation collected and publicly available? If so where can it be accessed? Are there any practical or legal barriers to collect and share such information in your country?</w:t>
      </w:r>
    </w:p>
    <w:p w14:paraId="26B60BAD" w14:textId="77777777" w:rsidR="006D0C62" w:rsidRPr="00226F79" w:rsidRDefault="00ED147D" w:rsidP="006D0C62">
      <w:pPr>
        <w:jc w:val="both"/>
        <w:rPr>
          <w:sz w:val="24"/>
          <w:szCs w:val="24"/>
        </w:rPr>
      </w:pPr>
      <w:sdt>
        <w:sdtPr>
          <w:rPr>
            <w:sz w:val="24"/>
            <w:szCs w:val="24"/>
          </w:rPr>
          <w:id w:val="517506414"/>
        </w:sdtPr>
        <w:sdtEndPr/>
        <w:sdtContent>
          <w:sdt>
            <w:sdtPr>
              <w:rPr>
                <w:sz w:val="24"/>
                <w:szCs w:val="24"/>
              </w:rPr>
              <w:id w:val="696820229"/>
              <w:showingPlcHdr/>
            </w:sdtPr>
            <w:sdtEndPr/>
            <w:sdtContent>
              <w:r w:rsidR="006D0C62" w:rsidRPr="00226F79">
                <w:rPr>
                  <w:rStyle w:val="PlaceholderText"/>
                  <w:sz w:val="24"/>
                  <w:szCs w:val="24"/>
                </w:rPr>
                <w:t>Click here to enter text.</w:t>
              </w:r>
            </w:sdtContent>
          </w:sdt>
        </w:sdtContent>
      </w:sdt>
    </w:p>
    <w:p w14:paraId="590A0076" w14:textId="77777777" w:rsidR="00194B4D" w:rsidRPr="00226F79" w:rsidRDefault="00194B4D" w:rsidP="00226F79">
      <w:pPr>
        <w:jc w:val="both"/>
        <w:rPr>
          <w:sz w:val="24"/>
          <w:szCs w:val="24"/>
        </w:rPr>
      </w:pPr>
    </w:p>
    <w:p w14:paraId="6FC08A34" w14:textId="77777777" w:rsidR="00226F79" w:rsidRPr="00226F79" w:rsidRDefault="00226F79" w:rsidP="00226F79">
      <w:pPr>
        <w:jc w:val="both"/>
        <w:rPr>
          <w:sz w:val="24"/>
          <w:szCs w:val="24"/>
        </w:rPr>
      </w:pPr>
      <w:r w:rsidRPr="00226F79">
        <w:rPr>
          <w:sz w:val="24"/>
          <w:szCs w:val="24"/>
        </w:rPr>
        <w:t>2</w:t>
      </w:r>
      <w:r w:rsidR="00487B1A">
        <w:rPr>
          <w:sz w:val="24"/>
          <w:szCs w:val="24"/>
        </w:rPr>
        <w:t>9</w:t>
      </w:r>
      <w:r w:rsidRPr="00226F79">
        <w:rPr>
          <w:sz w:val="24"/>
          <w:szCs w:val="24"/>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14:paraId="4882D6D7" w14:textId="6B520E6F" w:rsidR="00226F79" w:rsidRDefault="00226F79" w:rsidP="00226F79">
      <w:pPr>
        <w:jc w:val="both"/>
        <w:rPr>
          <w:sz w:val="24"/>
          <w:szCs w:val="24"/>
        </w:rPr>
      </w:pPr>
    </w:p>
    <w:p w14:paraId="5E78C9F3" w14:textId="269895A1" w:rsidR="006D0C62" w:rsidRPr="006D44A3" w:rsidRDefault="006D44A3" w:rsidP="00226F79">
      <w:pPr>
        <w:jc w:val="both"/>
        <w:rPr>
          <w:i/>
          <w:iCs/>
          <w:color w:val="E36C0A" w:themeColor="accent6" w:themeShade="BF"/>
          <w:sz w:val="24"/>
          <w:szCs w:val="24"/>
        </w:rPr>
      </w:pPr>
      <w:r w:rsidRPr="006D44A3">
        <w:rPr>
          <w:i/>
          <w:iCs/>
          <w:color w:val="E36C0A" w:themeColor="accent6" w:themeShade="BF"/>
          <w:sz w:val="24"/>
          <w:szCs w:val="24"/>
        </w:rPr>
        <w:t>India</w:t>
      </w:r>
    </w:p>
    <w:sdt>
      <w:sdtPr>
        <w:rPr>
          <w:sz w:val="24"/>
          <w:szCs w:val="24"/>
        </w:rPr>
        <w:id w:val="1191101676"/>
      </w:sdtPr>
      <w:sdtEndPr/>
      <w:sdtContent>
        <w:p w14:paraId="0FEB9FCD" w14:textId="77777777" w:rsidR="006D44A3" w:rsidRDefault="006D44A3" w:rsidP="006D44A3">
          <w:pPr>
            <w:jc w:val="both"/>
            <w:rPr>
              <w:sz w:val="24"/>
              <w:szCs w:val="24"/>
            </w:rPr>
          </w:pPr>
          <w:r>
            <w:rPr>
              <w:sz w:val="24"/>
              <w:szCs w:val="24"/>
            </w:rPr>
            <w:t xml:space="preserve">Situating Inheritance Rights of Care Leavers by </w:t>
          </w:r>
          <w:proofErr w:type="spellStart"/>
          <w:r>
            <w:rPr>
              <w:sz w:val="24"/>
              <w:szCs w:val="24"/>
            </w:rPr>
            <w:t>Dr.</w:t>
          </w:r>
          <w:proofErr w:type="spellEnd"/>
          <w:r>
            <w:rPr>
              <w:sz w:val="24"/>
              <w:szCs w:val="24"/>
            </w:rPr>
            <w:t xml:space="preserve"> Shivani Bhardwaj </w:t>
          </w:r>
          <w:hyperlink r:id="rId12" w:history="1">
            <w:r w:rsidRPr="006B6EF2">
              <w:rPr>
                <w:rStyle w:val="Hyperlink"/>
                <w:sz w:val="24"/>
                <w:szCs w:val="24"/>
              </w:rPr>
              <w:t>https://www.academia.edu/37554299/Situating_the_Inheritance_Rights_of_Care_Leavers</w:t>
            </w:r>
          </w:hyperlink>
        </w:p>
        <w:p w14:paraId="5D5E2428" w14:textId="77777777" w:rsidR="006D44A3" w:rsidRDefault="006D44A3" w:rsidP="006D44A3">
          <w:pPr>
            <w:jc w:val="both"/>
            <w:rPr>
              <w:sz w:val="24"/>
              <w:szCs w:val="24"/>
            </w:rPr>
          </w:pPr>
        </w:p>
        <w:p w14:paraId="7F9E0492" w14:textId="2621974A" w:rsidR="006D44A3" w:rsidRDefault="006D44A3" w:rsidP="006D44A3">
          <w:pPr>
            <w:jc w:val="both"/>
            <w:rPr>
              <w:sz w:val="24"/>
              <w:szCs w:val="24"/>
            </w:rPr>
          </w:pPr>
          <w:r>
            <w:rPr>
              <w:sz w:val="24"/>
              <w:szCs w:val="24"/>
            </w:rPr>
            <w:t xml:space="preserve">And Beyond 18 leaving child care institutions - UNICEF  </w:t>
          </w:r>
          <w:proofErr w:type="spellStart"/>
          <w:r>
            <w:rPr>
              <w:sz w:val="24"/>
              <w:szCs w:val="24"/>
            </w:rPr>
            <w:t>Udayan</w:t>
          </w:r>
          <w:proofErr w:type="spellEnd"/>
          <w:r>
            <w:rPr>
              <w:sz w:val="24"/>
              <w:szCs w:val="24"/>
            </w:rPr>
            <w:t xml:space="preserve"> Care and Tata Trusts </w:t>
          </w:r>
          <w:r w:rsidRPr="00B10312">
            <w:rPr>
              <w:sz w:val="24"/>
              <w:szCs w:val="24"/>
            </w:rPr>
            <w:t>https://bettercarenetwork.org/library/principles-of-good-care-practices/leaving-alternative-care-and-reintegration/beyond-18-leaving-child-care-institutions-supporting-youth-leaving-care-a-study-of-aftercare</w:t>
          </w:r>
        </w:p>
      </w:sdtContent>
    </w:sdt>
    <w:p w14:paraId="46B103CD" w14:textId="71B5CA25" w:rsidR="006D44A3" w:rsidRDefault="006D44A3" w:rsidP="00226F79">
      <w:pPr>
        <w:jc w:val="both"/>
        <w:rPr>
          <w:sz w:val="24"/>
          <w:szCs w:val="24"/>
        </w:rPr>
      </w:pPr>
    </w:p>
    <w:p w14:paraId="6618EC98" w14:textId="47BC05B7" w:rsidR="006D44A3" w:rsidRDefault="006D44A3" w:rsidP="00226F79">
      <w:pPr>
        <w:jc w:val="both"/>
        <w:rPr>
          <w:i/>
          <w:iCs/>
          <w:color w:val="E36C0A" w:themeColor="accent6" w:themeShade="BF"/>
          <w:sz w:val="24"/>
          <w:szCs w:val="24"/>
        </w:rPr>
      </w:pPr>
      <w:r w:rsidRPr="006D44A3">
        <w:rPr>
          <w:i/>
          <w:iCs/>
          <w:color w:val="E36C0A" w:themeColor="accent6" w:themeShade="BF"/>
          <w:sz w:val="24"/>
          <w:szCs w:val="24"/>
        </w:rPr>
        <w:t>Angola</w:t>
      </w:r>
    </w:p>
    <w:p w14:paraId="3E721589" w14:textId="07261704" w:rsidR="006D44A3" w:rsidRPr="006D44A3" w:rsidRDefault="006D44A3" w:rsidP="006D44A3">
      <w:pPr>
        <w:pStyle w:val="NormalWeb"/>
        <w:rPr>
          <w:rFonts w:ascii="Times New Roman" w:hAnsi="Times New Roman"/>
          <w:color w:val="E36C0A" w:themeColor="accent6" w:themeShade="BF"/>
          <w:sz w:val="24"/>
        </w:rPr>
      </w:pPr>
      <w:r w:rsidRPr="006D44A3">
        <w:rPr>
          <w:rFonts w:ascii="Times New Roman" w:hAnsi="Times New Roman"/>
          <w:color w:val="E36C0A" w:themeColor="accent6" w:themeShade="BF"/>
          <w:sz w:val="24"/>
        </w:rPr>
        <w:t>See attached article</w:t>
      </w:r>
      <w:r>
        <w:rPr>
          <w:rFonts w:ascii="Times New Roman" w:hAnsi="Times New Roman"/>
          <w:color w:val="E36C0A" w:themeColor="accent6" w:themeShade="BF"/>
          <w:sz w:val="24"/>
        </w:rPr>
        <w:t xml:space="preserve"> - </w:t>
      </w:r>
      <w:r w:rsidRPr="006D44A3">
        <w:rPr>
          <w:rFonts w:ascii="Times New Roman" w:hAnsi="Times New Roman"/>
          <w:i/>
          <w:iCs/>
          <w:color w:val="E36C0A" w:themeColor="accent6" w:themeShade="BF"/>
          <w:sz w:val="24"/>
        </w:rPr>
        <w:t xml:space="preserve">Housing for Whom: </w:t>
      </w:r>
      <w:r w:rsidRPr="006D44A3">
        <w:rPr>
          <w:rFonts w:ascii="Times New Roman" w:hAnsi="Times New Roman"/>
          <w:i/>
          <w:iCs/>
          <w:color w:val="E36C0A" w:themeColor="accent6" w:themeShade="BF"/>
          <w:sz w:val="24"/>
          <w:lang w:val="en-ZA" w:eastAsia="en-GB"/>
        </w:rPr>
        <w:t xml:space="preserve">Rebuilding Angola’s cities after conflict and who gets left behind </w:t>
      </w:r>
      <w:r w:rsidRPr="006D44A3">
        <w:rPr>
          <w:rFonts w:ascii="Times New Roman" w:hAnsi="Times New Roman"/>
          <w:color w:val="E36C0A" w:themeColor="accent6" w:themeShade="BF"/>
          <w:sz w:val="24"/>
          <w:lang w:val="en-ZA" w:eastAsia="en-GB"/>
        </w:rPr>
        <w:t xml:space="preserve">by Allan Cain </w:t>
      </w:r>
    </w:p>
    <w:p w14:paraId="661E09D3" w14:textId="77777777" w:rsidR="006D44A3" w:rsidRPr="00226F79" w:rsidRDefault="006D44A3" w:rsidP="00226F79">
      <w:pPr>
        <w:jc w:val="both"/>
        <w:rPr>
          <w:sz w:val="24"/>
          <w:szCs w:val="24"/>
        </w:rPr>
      </w:pPr>
    </w:p>
    <w:p w14:paraId="5AE852EE" w14:textId="5E59F20C" w:rsidR="00226F79" w:rsidRDefault="00487B1A" w:rsidP="00226F79">
      <w:pPr>
        <w:jc w:val="both"/>
        <w:rPr>
          <w:sz w:val="24"/>
          <w:szCs w:val="24"/>
        </w:rPr>
      </w:pPr>
      <w:r>
        <w:rPr>
          <w:sz w:val="24"/>
          <w:szCs w:val="24"/>
        </w:rPr>
        <w:t>30</w:t>
      </w:r>
      <w:r w:rsidR="00226F79" w:rsidRPr="00226F79">
        <w:rPr>
          <w:sz w:val="24"/>
          <w:szCs w:val="24"/>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Pr>
          <w:sz w:val="24"/>
          <w:szCs w:val="24"/>
        </w:rPr>
        <w:t>een fined or sanctioned for non-c</w:t>
      </w:r>
      <w:r w:rsidR="00226F79" w:rsidRPr="00226F79">
        <w:rPr>
          <w:sz w:val="24"/>
          <w:szCs w:val="24"/>
        </w:rPr>
        <w:t xml:space="preserve">ompliance? </w:t>
      </w:r>
    </w:p>
    <w:p w14:paraId="3BA7A315" w14:textId="2DE7F06E" w:rsidR="001928BA" w:rsidRDefault="001928BA" w:rsidP="00226F79">
      <w:pPr>
        <w:jc w:val="both"/>
        <w:rPr>
          <w:sz w:val="24"/>
          <w:szCs w:val="24"/>
        </w:rPr>
      </w:pPr>
    </w:p>
    <w:p w14:paraId="35FF66A1" w14:textId="4496F362" w:rsidR="001928BA" w:rsidRPr="001928BA" w:rsidRDefault="001928BA" w:rsidP="00226F79">
      <w:pPr>
        <w:jc w:val="both"/>
        <w:rPr>
          <w:i/>
          <w:iCs/>
          <w:color w:val="E36C0A" w:themeColor="accent6" w:themeShade="BF"/>
          <w:sz w:val="24"/>
          <w:szCs w:val="24"/>
        </w:rPr>
      </w:pPr>
      <w:r w:rsidRPr="001928BA">
        <w:rPr>
          <w:i/>
          <w:iCs/>
          <w:color w:val="E36C0A" w:themeColor="accent6" w:themeShade="BF"/>
          <w:sz w:val="24"/>
          <w:szCs w:val="24"/>
        </w:rPr>
        <w:t xml:space="preserve">India – Care Leavers and Housing </w:t>
      </w:r>
    </w:p>
    <w:p w14:paraId="21DDBC93" w14:textId="52980AEC" w:rsidR="001928BA" w:rsidRDefault="00ED147D" w:rsidP="00226F79">
      <w:pPr>
        <w:jc w:val="both"/>
        <w:rPr>
          <w:sz w:val="24"/>
          <w:szCs w:val="24"/>
        </w:rPr>
      </w:pPr>
      <w:sdt>
        <w:sdtPr>
          <w:rPr>
            <w:sz w:val="24"/>
            <w:szCs w:val="24"/>
          </w:rPr>
          <w:id w:val="-177115800"/>
        </w:sdtPr>
        <w:sdtEndPr/>
        <w:sdtContent>
          <w:r w:rsidR="001928BA" w:rsidRPr="001928BA">
            <w:rPr>
              <w:color w:val="E36C0A" w:themeColor="accent6" w:themeShade="BF"/>
              <w:sz w:val="24"/>
              <w:szCs w:val="24"/>
            </w:rPr>
            <w:t xml:space="preserve">The above research has a section on housing  </w:t>
          </w:r>
        </w:sdtContent>
      </w:sdt>
    </w:p>
    <w:p w14:paraId="67F97C40" w14:textId="77777777" w:rsidR="001928BA" w:rsidRPr="00226F79" w:rsidRDefault="001928BA" w:rsidP="00226F79">
      <w:pPr>
        <w:jc w:val="both"/>
        <w:rPr>
          <w:sz w:val="24"/>
          <w:szCs w:val="24"/>
        </w:rPr>
      </w:pPr>
    </w:p>
    <w:p w14:paraId="1DC264A2" w14:textId="0267ACB9" w:rsidR="00471E39" w:rsidRDefault="00ED147D" w:rsidP="003A314E">
      <w:pPr>
        <w:jc w:val="both"/>
        <w:rPr>
          <w:sz w:val="24"/>
          <w:szCs w:val="24"/>
        </w:rPr>
      </w:pPr>
      <w:sdt>
        <w:sdtPr>
          <w:rPr>
            <w:sz w:val="24"/>
            <w:szCs w:val="24"/>
          </w:rPr>
          <w:id w:val="1312760308"/>
          <w:showingPlcHdr/>
        </w:sdtPr>
        <w:sdtEndPr/>
        <w:sdtContent>
          <w:r w:rsidR="001928BA">
            <w:rPr>
              <w:sz w:val="24"/>
              <w:szCs w:val="24"/>
            </w:rPr>
            <w:t xml:space="preserve">     </w:t>
          </w:r>
        </w:sdtContent>
      </w:sdt>
    </w:p>
    <w:p w14:paraId="459B4B1B" w14:textId="77777777" w:rsidR="003A314E" w:rsidRPr="003A314E" w:rsidRDefault="003A314E" w:rsidP="003A314E">
      <w:pPr>
        <w:jc w:val="both"/>
        <w:rPr>
          <w:sz w:val="24"/>
          <w:szCs w:val="24"/>
        </w:rPr>
      </w:pPr>
    </w:p>
    <w:sectPr w:rsidR="003A314E" w:rsidRPr="003A314E" w:rsidSect="00895233">
      <w:headerReference w:type="first" r:id="rId13"/>
      <w:footerReference w:type="first" r:id="rId1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CEEB7" w14:textId="77777777" w:rsidR="00FB2482" w:rsidRDefault="00FB2482">
      <w:r>
        <w:separator/>
      </w:r>
    </w:p>
  </w:endnote>
  <w:endnote w:type="continuationSeparator" w:id="0">
    <w:p w14:paraId="5A36EB32" w14:textId="77777777" w:rsidR="00FB2482" w:rsidRDefault="00FB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3958C" w14:textId="77777777" w:rsidR="00226F79" w:rsidRDefault="00226F7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D9C7F" w14:textId="77777777" w:rsidR="00FB2482" w:rsidRDefault="00FB2482">
      <w:r>
        <w:separator/>
      </w:r>
    </w:p>
  </w:footnote>
  <w:footnote w:type="continuationSeparator" w:id="0">
    <w:p w14:paraId="432C9A70" w14:textId="77777777" w:rsidR="00FB2482" w:rsidRDefault="00FB2482">
      <w:r>
        <w:continuationSeparator/>
      </w:r>
    </w:p>
  </w:footnote>
  <w:footnote w:id="1">
    <w:p w14:paraId="3A00A801" w14:textId="77777777" w:rsidR="00226F79" w:rsidRPr="00226F79" w:rsidRDefault="00226F79" w:rsidP="00226F79">
      <w:pPr>
        <w:pStyle w:val="FootnoteText"/>
        <w:rPr>
          <w:sz w:val="18"/>
          <w:szCs w:val="18"/>
          <w:lang w:val="en-GB"/>
        </w:rPr>
      </w:pPr>
      <w:r w:rsidRPr="00226F79">
        <w:rPr>
          <w:rStyle w:val="FootnoteReference"/>
          <w:sz w:val="18"/>
          <w:szCs w:val="18"/>
        </w:rPr>
        <w:footnoteRef/>
      </w:r>
      <w:r w:rsidRPr="00226F79">
        <w:rPr>
          <w:sz w:val="18"/>
          <w:szCs w:val="18"/>
        </w:rPr>
        <w:t xml:space="preserve"> </w:t>
      </w:r>
      <w:r w:rsidRPr="00226F79">
        <w:rPr>
          <w:sz w:val="18"/>
          <w:szCs w:val="18"/>
          <w:lang w:val="en-GB"/>
        </w:rPr>
        <w:t>See article 2.1 of International Covenant on Economic, Social and Cultural Rights and the related General Comment No. 20 of the Committee on Economic, Social and Cultural Rights.</w:t>
      </w:r>
    </w:p>
  </w:footnote>
  <w:footnote w:id="2">
    <w:p w14:paraId="4639FA1E" w14:textId="77777777" w:rsidR="00CA2C78" w:rsidRPr="0095295A" w:rsidRDefault="00CA2C78" w:rsidP="00CA2C78">
      <w:pPr>
        <w:pStyle w:val="FootnoteText"/>
        <w:rPr>
          <w:sz w:val="20"/>
          <w:szCs w:val="20"/>
          <w:lang w:val="es-MX"/>
        </w:rPr>
      </w:pPr>
      <w:r w:rsidRPr="0095295A">
        <w:rPr>
          <w:rStyle w:val="FootnoteReference"/>
          <w:sz w:val="20"/>
          <w:szCs w:val="20"/>
        </w:rPr>
        <w:footnoteRef/>
      </w:r>
      <w:r w:rsidRPr="0095295A">
        <w:rPr>
          <w:sz w:val="20"/>
          <w:szCs w:val="20"/>
          <w:lang w:val="es-MX"/>
        </w:rPr>
        <w:t xml:space="preserve"> </w:t>
      </w:r>
      <w:hyperlink r:id="rId1" w:history="1">
        <w:r w:rsidRPr="0095295A">
          <w:rPr>
            <w:rFonts w:eastAsia="Times New Roman" w:cs="Times New Roman"/>
            <w:color w:val="0000FF"/>
            <w:sz w:val="20"/>
            <w:szCs w:val="20"/>
            <w:lang w:val="es-MX"/>
          </w:rPr>
          <w:t>Programa Nacional de Vivienda (PNV) 2019 -2024 | Sociedad Hipotecaria Federal | Gobierno | gob.mx (www.gob.mx)</w:t>
        </w:r>
      </w:hyperlink>
      <w:r w:rsidRPr="0095295A">
        <w:rPr>
          <w:rFonts w:eastAsia="Times New Roman" w:cs="Times New Roman"/>
          <w:sz w:val="20"/>
          <w:szCs w:val="20"/>
          <w:lang w:val="es-MX"/>
        </w:rPr>
        <w:t>.</w:t>
      </w:r>
    </w:p>
  </w:footnote>
  <w:footnote w:id="3">
    <w:p w14:paraId="393D1CE0" w14:textId="77777777" w:rsidR="0095295A" w:rsidRPr="0095295A" w:rsidRDefault="0095295A">
      <w:pPr>
        <w:pStyle w:val="FootnoteText"/>
        <w:rPr>
          <w:lang w:val="es-MX"/>
        </w:rPr>
      </w:pPr>
      <w:r w:rsidRPr="0095295A">
        <w:rPr>
          <w:rStyle w:val="FootnoteReference"/>
          <w:sz w:val="20"/>
          <w:szCs w:val="20"/>
        </w:rPr>
        <w:footnoteRef/>
      </w:r>
      <w:r w:rsidRPr="0095295A">
        <w:rPr>
          <w:sz w:val="20"/>
          <w:szCs w:val="20"/>
          <w:lang w:val="es-MX"/>
        </w:rPr>
        <w:t xml:space="preserve"> https://www.inegi.org.mx/programas/enigh/nc/2018/</w:t>
      </w:r>
    </w:p>
  </w:footnote>
  <w:footnote w:id="4">
    <w:p w14:paraId="78899E41" w14:textId="77777777" w:rsidR="00E4713C" w:rsidRPr="00E4713C" w:rsidRDefault="00E4713C">
      <w:pPr>
        <w:pStyle w:val="FootnoteText"/>
        <w:rPr>
          <w:sz w:val="20"/>
          <w:szCs w:val="20"/>
          <w:lang w:val="es-MX"/>
        </w:rPr>
      </w:pPr>
      <w:r>
        <w:rPr>
          <w:rStyle w:val="FootnoteReference"/>
        </w:rPr>
        <w:footnoteRef/>
      </w:r>
      <w:r w:rsidRPr="00E4713C">
        <w:rPr>
          <w:lang w:val="es-MX"/>
        </w:rPr>
        <w:t xml:space="preserve"> </w:t>
      </w:r>
      <w:hyperlink r:id="rId2" w:history="1">
        <w:r w:rsidRPr="00E4713C">
          <w:rPr>
            <w:rStyle w:val="Hyperlink"/>
            <w:sz w:val="20"/>
            <w:szCs w:val="20"/>
            <w:lang w:val="es-MX"/>
          </w:rPr>
          <w:t>https://hic-al.org/wp-content/uploads/2018/12/Vidas-borradas-digital.pdf</w:t>
        </w:r>
      </w:hyperlink>
    </w:p>
    <w:p w14:paraId="52891E7F" w14:textId="77777777" w:rsidR="00E4713C" w:rsidRPr="00E4713C" w:rsidRDefault="00E4713C">
      <w:pPr>
        <w:pStyle w:val="FootnoteText"/>
        <w:rPr>
          <w:lang w:val="es-MX"/>
        </w:rPr>
      </w:pPr>
    </w:p>
  </w:footnote>
  <w:footnote w:id="5">
    <w:p w14:paraId="7163C3C7" w14:textId="77777777" w:rsidR="002D55D1" w:rsidRPr="00214985" w:rsidRDefault="002D55D1" w:rsidP="002D55D1">
      <w:pPr>
        <w:spacing w:before="34"/>
        <w:ind w:left="101" w:right="83"/>
        <w:jc w:val="both"/>
        <w:rPr>
          <w:rFonts w:ascii="Arial Narrow" w:eastAsia="Arial Narrow" w:hAnsi="Arial Narrow" w:cs="Arial Narrow"/>
          <w:lang w:val="es-MX"/>
        </w:rPr>
      </w:pPr>
      <w:r>
        <w:rPr>
          <w:rStyle w:val="FootnoteReference"/>
        </w:rPr>
        <w:footnoteRef/>
      </w:r>
      <w:r w:rsidRPr="00A21FE3">
        <w:rPr>
          <w:lang w:val="es-MX"/>
        </w:rPr>
        <w:t xml:space="preserve"> </w:t>
      </w:r>
      <w:r w:rsidRPr="00214985">
        <w:rPr>
          <w:rFonts w:ascii="Arial Narrow" w:eastAsia="Arial Narrow" w:hAnsi="Arial Narrow" w:cs="Arial Narrow"/>
          <w:spacing w:val="-1"/>
          <w:lang w:val="es-MX"/>
        </w:rPr>
        <w:t>E</w:t>
      </w:r>
      <w:r w:rsidRPr="00214985">
        <w:rPr>
          <w:rFonts w:ascii="Arial Narrow" w:eastAsia="Arial Narrow" w:hAnsi="Arial Narrow" w:cs="Arial Narrow"/>
          <w:lang w:val="es-MX"/>
        </w:rPr>
        <w:t>ibenschu</w:t>
      </w:r>
      <w:r w:rsidRPr="00214985">
        <w:rPr>
          <w:rFonts w:ascii="Arial Narrow" w:eastAsia="Arial Narrow" w:hAnsi="Arial Narrow" w:cs="Arial Narrow"/>
          <w:spacing w:val="3"/>
          <w:lang w:val="es-MX"/>
        </w:rPr>
        <w:t>t</w:t>
      </w:r>
      <w:r w:rsidRPr="00214985">
        <w:rPr>
          <w:rFonts w:ascii="Arial Narrow" w:eastAsia="Arial Narrow" w:hAnsi="Arial Narrow" w:cs="Arial Narrow"/>
          <w:lang w:val="es-MX"/>
        </w:rPr>
        <w:t>z Ha</w:t>
      </w:r>
      <w:r w:rsidRPr="00214985">
        <w:rPr>
          <w:rFonts w:ascii="Arial Narrow" w:eastAsia="Arial Narrow" w:hAnsi="Arial Narrow" w:cs="Arial Narrow"/>
          <w:spacing w:val="1"/>
          <w:lang w:val="es-MX"/>
        </w:rPr>
        <w:t>r</w:t>
      </w:r>
      <w:r w:rsidRPr="00214985">
        <w:rPr>
          <w:rFonts w:ascii="Arial Narrow" w:eastAsia="Arial Narrow" w:hAnsi="Arial Narrow" w:cs="Arial Narrow"/>
          <w:lang w:val="es-MX"/>
        </w:rPr>
        <w:t>t</w:t>
      </w:r>
      <w:r w:rsidRPr="00214985">
        <w:rPr>
          <w:rFonts w:ascii="Arial Narrow" w:eastAsia="Arial Narrow" w:hAnsi="Arial Narrow" w:cs="Arial Narrow"/>
          <w:spacing w:val="1"/>
          <w:lang w:val="es-MX"/>
        </w:rPr>
        <w:t>m</w:t>
      </w:r>
      <w:r w:rsidRPr="00214985">
        <w:rPr>
          <w:rFonts w:ascii="Arial Narrow" w:eastAsia="Arial Narrow" w:hAnsi="Arial Narrow" w:cs="Arial Narrow"/>
          <w:lang w:val="es-MX"/>
        </w:rPr>
        <w:t>an,</w:t>
      </w:r>
      <w:r w:rsidRPr="00214985">
        <w:rPr>
          <w:rFonts w:ascii="Arial Narrow" w:eastAsia="Arial Narrow" w:hAnsi="Arial Narrow" w:cs="Arial Narrow"/>
          <w:spacing w:val="2"/>
          <w:lang w:val="es-MX"/>
        </w:rPr>
        <w:t xml:space="preserve"> </w:t>
      </w:r>
      <w:r w:rsidRPr="00214985">
        <w:rPr>
          <w:rFonts w:ascii="Arial Narrow" w:eastAsia="Arial Narrow" w:hAnsi="Arial Narrow" w:cs="Arial Narrow"/>
          <w:lang w:val="es-MX"/>
        </w:rPr>
        <w:t>Robe</w:t>
      </w:r>
      <w:r w:rsidRPr="00214985">
        <w:rPr>
          <w:rFonts w:ascii="Arial Narrow" w:eastAsia="Arial Narrow" w:hAnsi="Arial Narrow" w:cs="Arial Narrow"/>
          <w:spacing w:val="1"/>
          <w:lang w:val="es-MX"/>
        </w:rPr>
        <w:t>r</w:t>
      </w:r>
      <w:r w:rsidRPr="00214985">
        <w:rPr>
          <w:rFonts w:ascii="Arial Narrow" w:eastAsia="Arial Narrow" w:hAnsi="Arial Narrow" w:cs="Arial Narrow"/>
          <w:lang w:val="es-MX"/>
        </w:rPr>
        <w:t>to</w:t>
      </w:r>
      <w:r w:rsidRPr="00214985">
        <w:rPr>
          <w:rFonts w:ascii="Arial Narrow" w:eastAsia="Arial Narrow" w:hAnsi="Arial Narrow" w:cs="Arial Narrow"/>
          <w:spacing w:val="6"/>
          <w:lang w:val="es-MX"/>
        </w:rPr>
        <w:t xml:space="preserve"> </w:t>
      </w:r>
      <w:r w:rsidRPr="00214985">
        <w:rPr>
          <w:rFonts w:ascii="Arial Narrow" w:eastAsia="Arial Narrow" w:hAnsi="Arial Narrow" w:cs="Arial Narrow"/>
          <w:lang w:val="es-MX"/>
        </w:rPr>
        <w:t>y</w:t>
      </w:r>
      <w:r w:rsidRPr="00214985">
        <w:rPr>
          <w:rFonts w:ascii="Arial Narrow" w:eastAsia="Arial Narrow" w:hAnsi="Arial Narrow" w:cs="Arial Narrow"/>
          <w:spacing w:val="8"/>
          <w:lang w:val="es-MX"/>
        </w:rPr>
        <w:t xml:space="preserve"> </w:t>
      </w:r>
      <w:r w:rsidRPr="00214985">
        <w:rPr>
          <w:rFonts w:ascii="Arial Narrow" w:eastAsia="Arial Narrow" w:hAnsi="Arial Narrow" w:cs="Arial Narrow"/>
          <w:lang w:val="es-MX"/>
        </w:rPr>
        <w:t>Goya</w:t>
      </w:r>
      <w:r w:rsidRPr="00214985">
        <w:rPr>
          <w:rFonts w:ascii="Arial Narrow" w:eastAsia="Arial Narrow" w:hAnsi="Arial Narrow" w:cs="Arial Narrow"/>
          <w:spacing w:val="8"/>
          <w:lang w:val="es-MX"/>
        </w:rPr>
        <w:t xml:space="preserve"> </w:t>
      </w:r>
      <w:r w:rsidRPr="00214985">
        <w:rPr>
          <w:rFonts w:ascii="Arial Narrow" w:eastAsia="Arial Narrow" w:hAnsi="Arial Narrow" w:cs="Arial Narrow"/>
          <w:spacing w:val="-1"/>
          <w:lang w:val="es-MX"/>
        </w:rPr>
        <w:t>E</w:t>
      </w:r>
      <w:r w:rsidRPr="00214985">
        <w:rPr>
          <w:rFonts w:ascii="Arial Narrow" w:eastAsia="Arial Narrow" w:hAnsi="Arial Narrow" w:cs="Arial Narrow"/>
          <w:lang w:val="es-MX"/>
        </w:rPr>
        <w:t>scobedo,</w:t>
      </w:r>
      <w:r w:rsidRPr="00214985">
        <w:rPr>
          <w:rFonts w:ascii="Arial Narrow" w:eastAsia="Arial Narrow" w:hAnsi="Arial Narrow" w:cs="Arial Narrow"/>
          <w:spacing w:val="4"/>
          <w:lang w:val="es-MX"/>
        </w:rPr>
        <w:t xml:space="preserve"> </w:t>
      </w:r>
      <w:r w:rsidRPr="00214985">
        <w:rPr>
          <w:rFonts w:ascii="Arial Narrow" w:eastAsia="Arial Narrow" w:hAnsi="Arial Narrow" w:cs="Arial Narrow"/>
          <w:lang w:val="es-MX"/>
        </w:rPr>
        <w:t>Ca</w:t>
      </w:r>
      <w:r w:rsidRPr="00214985">
        <w:rPr>
          <w:rFonts w:ascii="Arial Narrow" w:eastAsia="Arial Narrow" w:hAnsi="Arial Narrow" w:cs="Arial Narrow"/>
          <w:spacing w:val="1"/>
          <w:lang w:val="es-MX"/>
        </w:rPr>
        <w:t>r</w:t>
      </w:r>
      <w:r w:rsidRPr="00214985">
        <w:rPr>
          <w:rFonts w:ascii="Arial Narrow" w:eastAsia="Arial Narrow" w:hAnsi="Arial Narrow" w:cs="Arial Narrow"/>
          <w:lang w:val="es-MX"/>
        </w:rPr>
        <w:t>los,</w:t>
      </w:r>
      <w:r w:rsidRPr="00214985">
        <w:rPr>
          <w:rFonts w:ascii="Arial Narrow" w:eastAsia="Arial Narrow" w:hAnsi="Arial Narrow" w:cs="Arial Narrow"/>
          <w:spacing w:val="4"/>
          <w:lang w:val="es-MX"/>
        </w:rPr>
        <w:t xml:space="preserve"> </w:t>
      </w:r>
      <w:r w:rsidRPr="00214985">
        <w:rPr>
          <w:rFonts w:ascii="Arial Narrow" w:eastAsia="Arial Narrow" w:hAnsi="Arial Narrow" w:cs="Arial Narrow"/>
          <w:i/>
          <w:spacing w:val="1"/>
          <w:lang w:val="es-MX"/>
        </w:rPr>
        <w:t>E</w:t>
      </w:r>
      <w:r w:rsidRPr="00214985">
        <w:rPr>
          <w:rFonts w:ascii="Arial Narrow" w:eastAsia="Arial Narrow" w:hAnsi="Arial Narrow" w:cs="Arial Narrow"/>
          <w:i/>
          <w:lang w:val="es-MX"/>
        </w:rPr>
        <w:t>stu</w:t>
      </w:r>
      <w:r w:rsidRPr="00214985">
        <w:rPr>
          <w:rFonts w:ascii="Arial Narrow" w:eastAsia="Arial Narrow" w:hAnsi="Arial Narrow" w:cs="Arial Narrow"/>
          <w:i/>
          <w:spacing w:val="3"/>
          <w:lang w:val="es-MX"/>
        </w:rPr>
        <w:t>d</w:t>
      </w:r>
      <w:r w:rsidRPr="00214985">
        <w:rPr>
          <w:rFonts w:ascii="Arial Narrow" w:eastAsia="Arial Narrow" w:hAnsi="Arial Narrow" w:cs="Arial Narrow"/>
          <w:i/>
          <w:lang w:val="es-MX"/>
        </w:rPr>
        <w:t>io</w:t>
      </w:r>
      <w:r w:rsidRPr="00214985">
        <w:rPr>
          <w:rFonts w:ascii="Arial Narrow" w:eastAsia="Arial Narrow" w:hAnsi="Arial Narrow" w:cs="Arial Narrow"/>
          <w:i/>
          <w:spacing w:val="3"/>
          <w:lang w:val="es-MX"/>
        </w:rPr>
        <w:t xml:space="preserve"> </w:t>
      </w:r>
      <w:r w:rsidRPr="00214985">
        <w:rPr>
          <w:rFonts w:ascii="Arial Narrow" w:eastAsia="Arial Narrow" w:hAnsi="Arial Narrow" w:cs="Arial Narrow"/>
          <w:i/>
          <w:lang w:val="es-MX"/>
        </w:rPr>
        <w:t>de</w:t>
      </w:r>
      <w:r w:rsidRPr="00214985">
        <w:rPr>
          <w:rFonts w:ascii="Arial Narrow" w:eastAsia="Arial Narrow" w:hAnsi="Arial Narrow" w:cs="Arial Narrow"/>
          <w:i/>
          <w:spacing w:val="7"/>
          <w:lang w:val="es-MX"/>
        </w:rPr>
        <w:t xml:space="preserve"> </w:t>
      </w:r>
      <w:r w:rsidRPr="00214985">
        <w:rPr>
          <w:rFonts w:ascii="Arial Narrow" w:eastAsia="Arial Narrow" w:hAnsi="Arial Narrow" w:cs="Arial Narrow"/>
          <w:i/>
          <w:lang w:val="es-MX"/>
        </w:rPr>
        <w:t>la</w:t>
      </w:r>
      <w:r w:rsidRPr="00214985">
        <w:rPr>
          <w:rFonts w:ascii="Arial Narrow" w:eastAsia="Arial Narrow" w:hAnsi="Arial Narrow" w:cs="Arial Narrow"/>
          <w:i/>
          <w:spacing w:val="8"/>
          <w:lang w:val="es-MX"/>
        </w:rPr>
        <w:t xml:space="preserve"> </w:t>
      </w:r>
      <w:r w:rsidRPr="00214985">
        <w:rPr>
          <w:rFonts w:ascii="Arial Narrow" w:eastAsia="Arial Narrow" w:hAnsi="Arial Narrow" w:cs="Arial Narrow"/>
          <w:i/>
          <w:lang w:val="es-MX"/>
        </w:rPr>
        <w:t>Integ</w:t>
      </w:r>
      <w:r w:rsidRPr="00214985">
        <w:rPr>
          <w:rFonts w:ascii="Arial Narrow" w:eastAsia="Arial Narrow" w:hAnsi="Arial Narrow" w:cs="Arial Narrow"/>
          <w:i/>
          <w:spacing w:val="1"/>
          <w:lang w:val="es-MX"/>
        </w:rPr>
        <w:t>r</w:t>
      </w:r>
      <w:r w:rsidRPr="00214985">
        <w:rPr>
          <w:rFonts w:ascii="Arial Narrow" w:eastAsia="Arial Narrow" w:hAnsi="Arial Narrow" w:cs="Arial Narrow"/>
          <w:i/>
          <w:lang w:val="es-MX"/>
        </w:rPr>
        <w:t>ación</w:t>
      </w:r>
      <w:r w:rsidRPr="00214985">
        <w:rPr>
          <w:rFonts w:ascii="Arial Narrow" w:eastAsia="Arial Narrow" w:hAnsi="Arial Narrow" w:cs="Arial Narrow"/>
          <w:i/>
          <w:spacing w:val="4"/>
          <w:lang w:val="es-MX"/>
        </w:rPr>
        <w:t xml:space="preserve"> </w:t>
      </w:r>
      <w:r w:rsidRPr="00214985">
        <w:rPr>
          <w:rFonts w:ascii="Arial Narrow" w:eastAsia="Arial Narrow" w:hAnsi="Arial Narrow" w:cs="Arial Narrow"/>
          <w:i/>
          <w:lang w:val="es-MX"/>
        </w:rPr>
        <w:t>U</w:t>
      </w:r>
      <w:r w:rsidRPr="00214985">
        <w:rPr>
          <w:rFonts w:ascii="Arial Narrow" w:eastAsia="Arial Narrow" w:hAnsi="Arial Narrow" w:cs="Arial Narrow"/>
          <w:i/>
          <w:spacing w:val="1"/>
          <w:lang w:val="es-MX"/>
        </w:rPr>
        <w:t>r</w:t>
      </w:r>
      <w:r w:rsidRPr="00214985">
        <w:rPr>
          <w:rFonts w:ascii="Arial Narrow" w:eastAsia="Arial Narrow" w:hAnsi="Arial Narrow" w:cs="Arial Narrow"/>
          <w:i/>
          <w:lang w:val="es-MX"/>
        </w:rPr>
        <w:t>bana</w:t>
      </w:r>
      <w:r w:rsidRPr="00214985">
        <w:rPr>
          <w:rFonts w:ascii="Arial Narrow" w:eastAsia="Arial Narrow" w:hAnsi="Arial Narrow" w:cs="Arial Narrow"/>
          <w:i/>
          <w:spacing w:val="4"/>
          <w:lang w:val="es-MX"/>
        </w:rPr>
        <w:t xml:space="preserve"> </w:t>
      </w:r>
      <w:r w:rsidRPr="00214985">
        <w:rPr>
          <w:rFonts w:ascii="Arial Narrow" w:eastAsia="Arial Narrow" w:hAnsi="Arial Narrow" w:cs="Arial Narrow"/>
          <w:i/>
          <w:lang w:val="es-MX"/>
        </w:rPr>
        <w:t>y</w:t>
      </w:r>
      <w:r w:rsidRPr="00214985">
        <w:rPr>
          <w:rFonts w:ascii="Arial Narrow" w:eastAsia="Arial Narrow" w:hAnsi="Arial Narrow" w:cs="Arial Narrow"/>
          <w:i/>
          <w:spacing w:val="10"/>
          <w:lang w:val="es-MX"/>
        </w:rPr>
        <w:t xml:space="preserve"> </w:t>
      </w:r>
      <w:r w:rsidRPr="00214985">
        <w:rPr>
          <w:rFonts w:ascii="Arial Narrow" w:eastAsia="Arial Narrow" w:hAnsi="Arial Narrow" w:cs="Arial Narrow"/>
          <w:i/>
          <w:spacing w:val="-1"/>
          <w:lang w:val="es-MX"/>
        </w:rPr>
        <w:t>S</w:t>
      </w:r>
      <w:r w:rsidRPr="00214985">
        <w:rPr>
          <w:rFonts w:ascii="Arial Narrow" w:eastAsia="Arial Narrow" w:hAnsi="Arial Narrow" w:cs="Arial Narrow"/>
          <w:i/>
          <w:spacing w:val="3"/>
          <w:lang w:val="es-MX"/>
        </w:rPr>
        <w:t>o</w:t>
      </w:r>
      <w:r w:rsidRPr="00214985">
        <w:rPr>
          <w:rFonts w:ascii="Arial Narrow" w:eastAsia="Arial Narrow" w:hAnsi="Arial Narrow" w:cs="Arial Narrow"/>
          <w:i/>
          <w:lang w:val="es-MX"/>
        </w:rPr>
        <w:t>cial</w:t>
      </w:r>
      <w:r w:rsidRPr="00214985">
        <w:rPr>
          <w:rFonts w:ascii="Arial Narrow" w:eastAsia="Arial Narrow" w:hAnsi="Arial Narrow" w:cs="Arial Narrow"/>
          <w:i/>
          <w:spacing w:val="4"/>
          <w:lang w:val="es-MX"/>
        </w:rPr>
        <w:t xml:space="preserve"> </w:t>
      </w:r>
      <w:r w:rsidRPr="00214985">
        <w:rPr>
          <w:rFonts w:ascii="Arial Narrow" w:eastAsia="Arial Narrow" w:hAnsi="Arial Narrow" w:cs="Arial Narrow"/>
          <w:i/>
          <w:lang w:val="es-MX"/>
        </w:rPr>
        <w:t>en</w:t>
      </w:r>
      <w:r w:rsidRPr="00214985">
        <w:rPr>
          <w:rFonts w:ascii="Arial Narrow" w:eastAsia="Arial Narrow" w:hAnsi="Arial Narrow" w:cs="Arial Narrow"/>
          <w:i/>
          <w:spacing w:val="7"/>
          <w:lang w:val="es-MX"/>
        </w:rPr>
        <w:t xml:space="preserve"> </w:t>
      </w:r>
      <w:r w:rsidRPr="00214985">
        <w:rPr>
          <w:rFonts w:ascii="Arial Narrow" w:eastAsia="Arial Narrow" w:hAnsi="Arial Narrow" w:cs="Arial Narrow"/>
          <w:i/>
          <w:lang w:val="es-MX"/>
        </w:rPr>
        <w:t>la</w:t>
      </w:r>
      <w:r w:rsidRPr="00214985">
        <w:rPr>
          <w:rFonts w:ascii="Arial Narrow" w:eastAsia="Arial Narrow" w:hAnsi="Arial Narrow" w:cs="Arial Narrow"/>
          <w:i/>
          <w:spacing w:val="11"/>
          <w:lang w:val="es-MX"/>
        </w:rPr>
        <w:t xml:space="preserve"> </w:t>
      </w:r>
      <w:r w:rsidRPr="00214985">
        <w:rPr>
          <w:rFonts w:ascii="Arial Narrow" w:eastAsia="Arial Narrow" w:hAnsi="Arial Narrow" w:cs="Arial Narrow"/>
          <w:i/>
          <w:spacing w:val="-1"/>
          <w:lang w:val="es-MX"/>
        </w:rPr>
        <w:t>E</w:t>
      </w:r>
      <w:r w:rsidRPr="00214985">
        <w:rPr>
          <w:rFonts w:ascii="Arial Narrow" w:eastAsia="Arial Narrow" w:hAnsi="Arial Narrow" w:cs="Arial Narrow"/>
          <w:i/>
          <w:lang w:val="es-MX"/>
        </w:rPr>
        <w:t>xpan</w:t>
      </w:r>
      <w:r w:rsidRPr="00214985">
        <w:rPr>
          <w:rFonts w:ascii="Arial Narrow" w:eastAsia="Arial Narrow" w:hAnsi="Arial Narrow" w:cs="Arial Narrow"/>
          <w:i/>
          <w:spacing w:val="2"/>
          <w:lang w:val="es-MX"/>
        </w:rPr>
        <w:t>s</w:t>
      </w:r>
      <w:r w:rsidRPr="00214985">
        <w:rPr>
          <w:rFonts w:ascii="Arial Narrow" w:eastAsia="Arial Narrow" w:hAnsi="Arial Narrow" w:cs="Arial Narrow"/>
          <w:i/>
          <w:lang w:val="es-MX"/>
        </w:rPr>
        <w:t>ión Reciente</w:t>
      </w:r>
      <w:r w:rsidRPr="00214985">
        <w:rPr>
          <w:rFonts w:ascii="Arial Narrow" w:eastAsia="Arial Narrow" w:hAnsi="Arial Narrow" w:cs="Arial Narrow"/>
          <w:i/>
          <w:spacing w:val="4"/>
          <w:lang w:val="es-MX"/>
        </w:rPr>
        <w:t xml:space="preserve"> </w:t>
      </w:r>
      <w:r w:rsidRPr="00214985">
        <w:rPr>
          <w:rFonts w:ascii="Arial Narrow" w:eastAsia="Arial Narrow" w:hAnsi="Arial Narrow" w:cs="Arial Narrow"/>
          <w:i/>
          <w:lang w:val="es-MX"/>
        </w:rPr>
        <w:t>de</w:t>
      </w:r>
      <w:r w:rsidRPr="00214985">
        <w:rPr>
          <w:rFonts w:ascii="Arial Narrow" w:eastAsia="Arial Narrow" w:hAnsi="Arial Narrow" w:cs="Arial Narrow"/>
          <w:i/>
          <w:spacing w:val="9"/>
          <w:lang w:val="es-MX"/>
        </w:rPr>
        <w:t xml:space="preserve"> </w:t>
      </w:r>
      <w:r w:rsidRPr="00214985">
        <w:rPr>
          <w:rFonts w:ascii="Arial Narrow" w:eastAsia="Arial Narrow" w:hAnsi="Arial Narrow" w:cs="Arial Narrow"/>
          <w:i/>
          <w:lang w:val="es-MX"/>
        </w:rPr>
        <w:t>l</w:t>
      </w:r>
      <w:r w:rsidRPr="00214985">
        <w:rPr>
          <w:rFonts w:ascii="Arial Narrow" w:eastAsia="Arial Narrow" w:hAnsi="Arial Narrow" w:cs="Arial Narrow"/>
          <w:i/>
          <w:spacing w:val="3"/>
          <w:lang w:val="es-MX"/>
        </w:rPr>
        <w:t>a</w:t>
      </w:r>
      <w:r w:rsidRPr="00214985">
        <w:rPr>
          <w:rFonts w:ascii="Arial Narrow" w:eastAsia="Arial Narrow" w:hAnsi="Arial Narrow" w:cs="Arial Narrow"/>
          <w:i/>
          <w:lang w:val="es-MX"/>
        </w:rPr>
        <w:t>s</w:t>
      </w:r>
      <w:r w:rsidRPr="00214985">
        <w:rPr>
          <w:rFonts w:ascii="Arial Narrow" w:eastAsia="Arial Narrow" w:hAnsi="Arial Narrow" w:cs="Arial Narrow"/>
          <w:i/>
          <w:spacing w:val="8"/>
          <w:lang w:val="es-MX"/>
        </w:rPr>
        <w:t xml:space="preserve"> </w:t>
      </w:r>
      <w:r w:rsidRPr="00214985">
        <w:rPr>
          <w:rFonts w:ascii="Arial Narrow" w:eastAsia="Arial Narrow" w:hAnsi="Arial Narrow" w:cs="Arial Narrow"/>
          <w:i/>
          <w:lang w:val="es-MX"/>
        </w:rPr>
        <w:t>Ciudades</w:t>
      </w:r>
      <w:r w:rsidRPr="00214985">
        <w:rPr>
          <w:rFonts w:ascii="Arial Narrow" w:eastAsia="Arial Narrow" w:hAnsi="Arial Narrow" w:cs="Arial Narrow"/>
          <w:i/>
          <w:spacing w:val="6"/>
          <w:lang w:val="es-MX"/>
        </w:rPr>
        <w:t xml:space="preserve"> </w:t>
      </w:r>
      <w:r w:rsidRPr="00214985">
        <w:rPr>
          <w:rFonts w:ascii="Arial Narrow" w:eastAsia="Arial Narrow" w:hAnsi="Arial Narrow" w:cs="Arial Narrow"/>
          <w:i/>
          <w:lang w:val="es-MX"/>
        </w:rPr>
        <w:t>en</w:t>
      </w:r>
      <w:r w:rsidRPr="00214985">
        <w:rPr>
          <w:rFonts w:ascii="Arial Narrow" w:eastAsia="Arial Narrow" w:hAnsi="Arial Narrow" w:cs="Arial Narrow"/>
          <w:i/>
          <w:spacing w:val="8"/>
          <w:lang w:val="es-MX"/>
        </w:rPr>
        <w:t xml:space="preserve"> </w:t>
      </w:r>
      <w:r w:rsidRPr="00214985">
        <w:rPr>
          <w:rFonts w:ascii="Arial Narrow" w:eastAsia="Arial Narrow" w:hAnsi="Arial Narrow" w:cs="Arial Narrow"/>
          <w:i/>
          <w:spacing w:val="3"/>
          <w:lang w:val="es-MX"/>
        </w:rPr>
        <w:t>M</w:t>
      </w:r>
      <w:r w:rsidRPr="00214985">
        <w:rPr>
          <w:rFonts w:ascii="Arial Narrow" w:eastAsia="Arial Narrow" w:hAnsi="Arial Narrow" w:cs="Arial Narrow"/>
          <w:i/>
          <w:lang w:val="es-MX"/>
        </w:rPr>
        <w:t>éxico</w:t>
      </w:r>
      <w:r w:rsidRPr="00214985">
        <w:rPr>
          <w:rFonts w:ascii="Arial Narrow" w:eastAsia="Arial Narrow" w:hAnsi="Arial Narrow" w:cs="Arial Narrow"/>
          <w:i/>
          <w:spacing w:val="5"/>
          <w:lang w:val="es-MX"/>
        </w:rPr>
        <w:t xml:space="preserve"> </w:t>
      </w:r>
      <w:r w:rsidRPr="00214985">
        <w:rPr>
          <w:rFonts w:ascii="Arial Narrow" w:eastAsia="Arial Narrow" w:hAnsi="Arial Narrow" w:cs="Arial Narrow"/>
          <w:i/>
          <w:lang w:val="es-MX"/>
        </w:rPr>
        <w:t>1996-2006:</w:t>
      </w:r>
      <w:r w:rsidRPr="00214985">
        <w:rPr>
          <w:rFonts w:ascii="Arial Narrow" w:eastAsia="Arial Narrow" w:hAnsi="Arial Narrow" w:cs="Arial Narrow"/>
          <w:i/>
          <w:spacing w:val="2"/>
          <w:lang w:val="es-MX"/>
        </w:rPr>
        <w:t xml:space="preserve"> </w:t>
      </w:r>
      <w:r w:rsidRPr="00214985">
        <w:rPr>
          <w:rFonts w:ascii="Arial Narrow" w:eastAsia="Arial Narrow" w:hAnsi="Arial Narrow" w:cs="Arial Narrow"/>
          <w:i/>
          <w:lang w:val="es-MX"/>
        </w:rPr>
        <w:t>di</w:t>
      </w:r>
      <w:r w:rsidRPr="00214985">
        <w:rPr>
          <w:rFonts w:ascii="Arial Narrow" w:eastAsia="Arial Narrow" w:hAnsi="Arial Narrow" w:cs="Arial Narrow"/>
          <w:i/>
          <w:spacing w:val="1"/>
          <w:lang w:val="es-MX"/>
        </w:rPr>
        <w:t>m</w:t>
      </w:r>
      <w:r w:rsidRPr="00214985">
        <w:rPr>
          <w:rFonts w:ascii="Arial Narrow" w:eastAsia="Arial Narrow" w:hAnsi="Arial Narrow" w:cs="Arial Narrow"/>
          <w:i/>
          <w:lang w:val="es-MX"/>
        </w:rPr>
        <w:t>ensión,</w:t>
      </w:r>
      <w:r w:rsidRPr="00214985">
        <w:rPr>
          <w:rFonts w:ascii="Arial Narrow" w:eastAsia="Arial Narrow" w:hAnsi="Arial Narrow" w:cs="Arial Narrow"/>
          <w:i/>
          <w:spacing w:val="6"/>
          <w:lang w:val="es-MX"/>
        </w:rPr>
        <w:t xml:space="preserve"> </w:t>
      </w:r>
      <w:r w:rsidRPr="00214985">
        <w:rPr>
          <w:rFonts w:ascii="Arial Narrow" w:eastAsia="Arial Narrow" w:hAnsi="Arial Narrow" w:cs="Arial Narrow"/>
          <w:i/>
          <w:lang w:val="es-MX"/>
        </w:rPr>
        <w:t>c</w:t>
      </w:r>
      <w:r w:rsidRPr="00214985">
        <w:rPr>
          <w:rFonts w:ascii="Arial Narrow" w:eastAsia="Arial Narrow" w:hAnsi="Arial Narrow" w:cs="Arial Narrow"/>
          <w:i/>
          <w:spacing w:val="3"/>
          <w:lang w:val="es-MX"/>
        </w:rPr>
        <w:t>a</w:t>
      </w:r>
      <w:r w:rsidRPr="00214985">
        <w:rPr>
          <w:rFonts w:ascii="Arial Narrow" w:eastAsia="Arial Narrow" w:hAnsi="Arial Narrow" w:cs="Arial Narrow"/>
          <w:i/>
          <w:spacing w:val="1"/>
          <w:lang w:val="es-MX"/>
        </w:rPr>
        <w:t>r</w:t>
      </w:r>
      <w:r w:rsidRPr="00214985">
        <w:rPr>
          <w:rFonts w:ascii="Arial Narrow" w:eastAsia="Arial Narrow" w:hAnsi="Arial Narrow" w:cs="Arial Narrow"/>
          <w:i/>
          <w:lang w:val="es-MX"/>
        </w:rPr>
        <w:t>acte</w:t>
      </w:r>
      <w:r w:rsidRPr="00214985">
        <w:rPr>
          <w:rFonts w:ascii="Arial Narrow" w:eastAsia="Arial Narrow" w:hAnsi="Arial Narrow" w:cs="Arial Narrow"/>
          <w:i/>
          <w:spacing w:val="1"/>
          <w:lang w:val="es-MX"/>
        </w:rPr>
        <w:t>r</w:t>
      </w:r>
      <w:r w:rsidRPr="00214985">
        <w:rPr>
          <w:rFonts w:ascii="Arial Narrow" w:eastAsia="Arial Narrow" w:hAnsi="Arial Narrow" w:cs="Arial Narrow"/>
          <w:i/>
          <w:lang w:val="es-MX"/>
        </w:rPr>
        <w:t>ísticas y</w:t>
      </w:r>
      <w:r w:rsidRPr="00214985">
        <w:rPr>
          <w:rFonts w:ascii="Arial Narrow" w:eastAsia="Arial Narrow" w:hAnsi="Arial Narrow" w:cs="Arial Narrow"/>
          <w:i/>
          <w:spacing w:val="10"/>
          <w:lang w:val="es-MX"/>
        </w:rPr>
        <w:t xml:space="preserve"> </w:t>
      </w:r>
      <w:r w:rsidRPr="00214985">
        <w:rPr>
          <w:rFonts w:ascii="Arial Narrow" w:eastAsia="Arial Narrow" w:hAnsi="Arial Narrow" w:cs="Arial Narrow"/>
          <w:i/>
          <w:lang w:val="es-MX"/>
        </w:rPr>
        <w:t>sol</w:t>
      </w:r>
      <w:r w:rsidRPr="00214985">
        <w:rPr>
          <w:rFonts w:ascii="Arial Narrow" w:eastAsia="Arial Narrow" w:hAnsi="Arial Narrow" w:cs="Arial Narrow"/>
          <w:i/>
          <w:spacing w:val="3"/>
          <w:lang w:val="es-MX"/>
        </w:rPr>
        <w:t>u</w:t>
      </w:r>
      <w:r w:rsidRPr="00214985">
        <w:rPr>
          <w:rFonts w:ascii="Arial Narrow" w:eastAsia="Arial Narrow" w:hAnsi="Arial Narrow" w:cs="Arial Narrow"/>
          <w:i/>
          <w:lang w:val="es-MX"/>
        </w:rPr>
        <w:t>cione</w:t>
      </w:r>
      <w:r w:rsidRPr="00214985">
        <w:rPr>
          <w:rFonts w:ascii="Arial Narrow" w:eastAsia="Arial Narrow" w:hAnsi="Arial Narrow" w:cs="Arial Narrow"/>
          <w:i/>
          <w:spacing w:val="-2"/>
          <w:lang w:val="es-MX"/>
        </w:rPr>
        <w:t>s</w:t>
      </w:r>
      <w:r w:rsidRPr="00214985">
        <w:rPr>
          <w:rFonts w:ascii="Arial Narrow" w:eastAsia="Arial Narrow" w:hAnsi="Arial Narrow" w:cs="Arial Narrow"/>
          <w:lang w:val="es-MX"/>
        </w:rPr>
        <w:t>,</w:t>
      </w:r>
      <w:r w:rsidRPr="00214985">
        <w:rPr>
          <w:rFonts w:ascii="Arial Narrow" w:eastAsia="Arial Narrow" w:hAnsi="Arial Narrow" w:cs="Arial Narrow"/>
          <w:spacing w:val="5"/>
          <w:lang w:val="es-MX"/>
        </w:rPr>
        <w:t xml:space="preserve"> </w:t>
      </w:r>
      <w:r w:rsidRPr="00214985">
        <w:rPr>
          <w:rFonts w:ascii="Arial Narrow" w:eastAsia="Arial Narrow" w:hAnsi="Arial Narrow" w:cs="Arial Narrow"/>
          <w:lang w:val="es-MX"/>
        </w:rPr>
        <w:t>Cá</w:t>
      </w:r>
      <w:r w:rsidRPr="00214985">
        <w:rPr>
          <w:rFonts w:ascii="Arial Narrow" w:eastAsia="Arial Narrow" w:hAnsi="Arial Narrow" w:cs="Arial Narrow"/>
          <w:spacing w:val="1"/>
          <w:lang w:val="es-MX"/>
        </w:rPr>
        <w:t>m</w:t>
      </w:r>
      <w:r w:rsidRPr="00214985">
        <w:rPr>
          <w:rFonts w:ascii="Arial Narrow" w:eastAsia="Arial Narrow" w:hAnsi="Arial Narrow" w:cs="Arial Narrow"/>
          <w:lang w:val="es-MX"/>
        </w:rPr>
        <w:t>a</w:t>
      </w:r>
      <w:r w:rsidRPr="00214985">
        <w:rPr>
          <w:rFonts w:ascii="Arial Narrow" w:eastAsia="Arial Narrow" w:hAnsi="Arial Narrow" w:cs="Arial Narrow"/>
          <w:spacing w:val="1"/>
          <w:lang w:val="es-MX"/>
        </w:rPr>
        <w:t>r</w:t>
      </w:r>
      <w:r w:rsidRPr="00214985">
        <w:rPr>
          <w:rFonts w:ascii="Arial Narrow" w:eastAsia="Arial Narrow" w:hAnsi="Arial Narrow" w:cs="Arial Narrow"/>
          <w:lang w:val="es-MX"/>
        </w:rPr>
        <w:t>a</w:t>
      </w:r>
      <w:r w:rsidRPr="00214985">
        <w:rPr>
          <w:rFonts w:ascii="Arial Narrow" w:eastAsia="Arial Narrow" w:hAnsi="Arial Narrow" w:cs="Arial Narrow"/>
          <w:spacing w:val="5"/>
          <w:lang w:val="es-MX"/>
        </w:rPr>
        <w:t xml:space="preserve"> </w:t>
      </w:r>
      <w:r w:rsidRPr="00214985">
        <w:rPr>
          <w:rFonts w:ascii="Arial Narrow" w:eastAsia="Arial Narrow" w:hAnsi="Arial Narrow" w:cs="Arial Narrow"/>
          <w:lang w:val="es-MX"/>
        </w:rPr>
        <w:t>de</w:t>
      </w:r>
      <w:r w:rsidRPr="00214985">
        <w:rPr>
          <w:rFonts w:ascii="Arial Narrow" w:eastAsia="Arial Narrow" w:hAnsi="Arial Narrow" w:cs="Arial Narrow"/>
          <w:spacing w:val="9"/>
          <w:lang w:val="es-MX"/>
        </w:rPr>
        <w:t xml:space="preserve"> </w:t>
      </w:r>
      <w:r w:rsidRPr="00214985">
        <w:rPr>
          <w:rFonts w:ascii="Arial Narrow" w:eastAsia="Arial Narrow" w:hAnsi="Arial Narrow" w:cs="Arial Narrow"/>
          <w:lang w:val="es-MX"/>
        </w:rPr>
        <w:t>Diputados</w:t>
      </w:r>
      <w:r w:rsidRPr="00214985">
        <w:rPr>
          <w:rFonts w:ascii="Arial Narrow" w:eastAsia="Arial Narrow" w:hAnsi="Arial Narrow" w:cs="Arial Narrow"/>
          <w:spacing w:val="3"/>
          <w:lang w:val="es-MX"/>
        </w:rPr>
        <w:t xml:space="preserve"> L</w:t>
      </w:r>
      <w:r w:rsidRPr="00214985">
        <w:rPr>
          <w:rFonts w:ascii="Arial Narrow" w:eastAsia="Arial Narrow" w:hAnsi="Arial Narrow" w:cs="Arial Narrow"/>
          <w:lang w:val="es-MX"/>
        </w:rPr>
        <w:t>X Legislatu</w:t>
      </w:r>
      <w:r w:rsidRPr="00214985">
        <w:rPr>
          <w:rFonts w:ascii="Arial Narrow" w:eastAsia="Arial Narrow" w:hAnsi="Arial Narrow" w:cs="Arial Narrow"/>
          <w:spacing w:val="1"/>
          <w:lang w:val="es-MX"/>
        </w:rPr>
        <w:t>r</w:t>
      </w:r>
      <w:r w:rsidRPr="00214985">
        <w:rPr>
          <w:rFonts w:ascii="Arial Narrow" w:eastAsia="Arial Narrow" w:hAnsi="Arial Narrow" w:cs="Arial Narrow"/>
          <w:lang w:val="es-MX"/>
        </w:rPr>
        <w:t>a,</w:t>
      </w:r>
      <w:r w:rsidRPr="00214985">
        <w:rPr>
          <w:rFonts w:ascii="Arial Narrow" w:eastAsia="Arial Narrow" w:hAnsi="Arial Narrow" w:cs="Arial Narrow"/>
          <w:spacing w:val="2"/>
          <w:lang w:val="es-MX"/>
        </w:rPr>
        <w:t xml:space="preserve"> </w:t>
      </w:r>
      <w:r w:rsidRPr="00214985">
        <w:rPr>
          <w:rFonts w:ascii="Arial Narrow" w:eastAsia="Arial Narrow" w:hAnsi="Arial Narrow" w:cs="Arial Narrow"/>
          <w:spacing w:val="-1"/>
          <w:lang w:val="es-MX"/>
        </w:rPr>
        <w:t>S</w:t>
      </w:r>
      <w:r w:rsidRPr="00214985">
        <w:rPr>
          <w:rFonts w:ascii="Arial Narrow" w:eastAsia="Arial Narrow" w:hAnsi="Arial Narrow" w:cs="Arial Narrow"/>
          <w:lang w:val="es-MX"/>
        </w:rPr>
        <w:t>ec</w:t>
      </w:r>
      <w:r w:rsidRPr="00214985">
        <w:rPr>
          <w:rFonts w:ascii="Arial Narrow" w:eastAsia="Arial Narrow" w:hAnsi="Arial Narrow" w:cs="Arial Narrow"/>
          <w:spacing w:val="1"/>
          <w:lang w:val="es-MX"/>
        </w:rPr>
        <w:t>r</w:t>
      </w:r>
      <w:r w:rsidRPr="00214985">
        <w:rPr>
          <w:rFonts w:ascii="Arial Narrow" w:eastAsia="Arial Narrow" w:hAnsi="Arial Narrow" w:cs="Arial Narrow"/>
          <w:lang w:val="es-MX"/>
        </w:rPr>
        <w:t>eta</w:t>
      </w:r>
      <w:r w:rsidRPr="00214985">
        <w:rPr>
          <w:rFonts w:ascii="Arial Narrow" w:eastAsia="Arial Narrow" w:hAnsi="Arial Narrow" w:cs="Arial Narrow"/>
          <w:spacing w:val="1"/>
          <w:lang w:val="es-MX"/>
        </w:rPr>
        <w:t>r</w:t>
      </w:r>
      <w:r w:rsidRPr="00214985">
        <w:rPr>
          <w:rFonts w:ascii="Arial Narrow" w:eastAsia="Arial Narrow" w:hAnsi="Arial Narrow" w:cs="Arial Narrow"/>
          <w:lang w:val="es-MX"/>
        </w:rPr>
        <w:t>ia</w:t>
      </w:r>
      <w:r w:rsidRPr="00214985">
        <w:rPr>
          <w:rFonts w:ascii="Arial Narrow" w:eastAsia="Arial Narrow" w:hAnsi="Arial Narrow" w:cs="Arial Narrow"/>
          <w:spacing w:val="3"/>
          <w:lang w:val="es-MX"/>
        </w:rPr>
        <w:t xml:space="preserve"> </w:t>
      </w:r>
      <w:r w:rsidRPr="00214985">
        <w:rPr>
          <w:rFonts w:ascii="Arial Narrow" w:eastAsia="Arial Narrow" w:hAnsi="Arial Narrow" w:cs="Arial Narrow"/>
          <w:lang w:val="es-MX"/>
        </w:rPr>
        <w:t>de</w:t>
      </w:r>
      <w:r w:rsidRPr="00214985">
        <w:rPr>
          <w:rFonts w:ascii="Arial Narrow" w:eastAsia="Arial Narrow" w:hAnsi="Arial Narrow" w:cs="Arial Narrow"/>
          <w:spacing w:val="9"/>
          <w:lang w:val="es-MX"/>
        </w:rPr>
        <w:t xml:space="preserve"> </w:t>
      </w:r>
      <w:r w:rsidRPr="00214985">
        <w:rPr>
          <w:rFonts w:ascii="Arial Narrow" w:eastAsia="Arial Narrow" w:hAnsi="Arial Narrow" w:cs="Arial Narrow"/>
          <w:lang w:val="es-MX"/>
        </w:rPr>
        <w:t>Desa</w:t>
      </w:r>
      <w:r w:rsidRPr="00214985">
        <w:rPr>
          <w:rFonts w:ascii="Arial Narrow" w:eastAsia="Arial Narrow" w:hAnsi="Arial Narrow" w:cs="Arial Narrow"/>
          <w:spacing w:val="3"/>
          <w:lang w:val="es-MX"/>
        </w:rPr>
        <w:t>r</w:t>
      </w:r>
      <w:r w:rsidRPr="00214985">
        <w:rPr>
          <w:rFonts w:ascii="Arial Narrow" w:eastAsia="Arial Narrow" w:hAnsi="Arial Narrow" w:cs="Arial Narrow"/>
          <w:spacing w:val="1"/>
          <w:lang w:val="es-MX"/>
        </w:rPr>
        <w:t>r</w:t>
      </w:r>
      <w:r w:rsidRPr="00214985">
        <w:rPr>
          <w:rFonts w:ascii="Arial Narrow" w:eastAsia="Arial Narrow" w:hAnsi="Arial Narrow" w:cs="Arial Narrow"/>
          <w:lang w:val="es-MX"/>
        </w:rPr>
        <w:t>ollo</w:t>
      </w:r>
      <w:r w:rsidRPr="00214985">
        <w:rPr>
          <w:rFonts w:ascii="Arial Narrow" w:eastAsia="Arial Narrow" w:hAnsi="Arial Narrow" w:cs="Arial Narrow"/>
          <w:spacing w:val="3"/>
          <w:lang w:val="es-MX"/>
        </w:rPr>
        <w:t xml:space="preserve"> </w:t>
      </w:r>
      <w:r w:rsidRPr="00214985">
        <w:rPr>
          <w:rFonts w:ascii="Arial Narrow" w:eastAsia="Arial Narrow" w:hAnsi="Arial Narrow" w:cs="Arial Narrow"/>
          <w:spacing w:val="-1"/>
          <w:lang w:val="es-MX"/>
        </w:rPr>
        <w:t>S</w:t>
      </w:r>
      <w:r w:rsidRPr="00214985">
        <w:rPr>
          <w:rFonts w:ascii="Arial Narrow" w:eastAsia="Arial Narrow" w:hAnsi="Arial Narrow" w:cs="Arial Narrow"/>
          <w:lang w:val="es-MX"/>
        </w:rPr>
        <w:t>ocial,</w:t>
      </w:r>
      <w:r w:rsidRPr="00214985">
        <w:rPr>
          <w:rFonts w:ascii="Arial Narrow" w:eastAsia="Arial Narrow" w:hAnsi="Arial Narrow" w:cs="Arial Narrow"/>
          <w:spacing w:val="7"/>
          <w:lang w:val="es-MX"/>
        </w:rPr>
        <w:t xml:space="preserve"> </w:t>
      </w:r>
      <w:r w:rsidRPr="00214985">
        <w:rPr>
          <w:rFonts w:ascii="Arial Narrow" w:eastAsia="Arial Narrow" w:hAnsi="Arial Narrow" w:cs="Arial Narrow"/>
          <w:lang w:val="es-MX"/>
        </w:rPr>
        <w:t>Unive</w:t>
      </w:r>
      <w:r w:rsidRPr="00214985">
        <w:rPr>
          <w:rFonts w:ascii="Arial Narrow" w:eastAsia="Arial Narrow" w:hAnsi="Arial Narrow" w:cs="Arial Narrow"/>
          <w:spacing w:val="1"/>
          <w:lang w:val="es-MX"/>
        </w:rPr>
        <w:t>r</w:t>
      </w:r>
      <w:r w:rsidRPr="00214985">
        <w:rPr>
          <w:rFonts w:ascii="Arial Narrow" w:eastAsia="Arial Narrow" w:hAnsi="Arial Narrow" w:cs="Arial Narrow"/>
          <w:lang w:val="es-MX"/>
        </w:rPr>
        <w:t>sidad</w:t>
      </w:r>
      <w:r w:rsidRPr="00214985">
        <w:rPr>
          <w:rFonts w:ascii="Arial Narrow" w:eastAsia="Arial Narrow" w:hAnsi="Arial Narrow" w:cs="Arial Narrow"/>
          <w:spacing w:val="4"/>
          <w:lang w:val="es-MX"/>
        </w:rPr>
        <w:t xml:space="preserve"> </w:t>
      </w:r>
      <w:r w:rsidRPr="00214985">
        <w:rPr>
          <w:rFonts w:ascii="Arial Narrow" w:eastAsia="Arial Narrow" w:hAnsi="Arial Narrow" w:cs="Arial Narrow"/>
          <w:spacing w:val="-1"/>
          <w:lang w:val="es-MX"/>
        </w:rPr>
        <w:t>A</w:t>
      </w:r>
      <w:r w:rsidRPr="00214985">
        <w:rPr>
          <w:rFonts w:ascii="Arial Narrow" w:eastAsia="Arial Narrow" w:hAnsi="Arial Narrow" w:cs="Arial Narrow"/>
          <w:lang w:val="es-MX"/>
        </w:rPr>
        <w:t>utón</w:t>
      </w:r>
      <w:r w:rsidRPr="00214985">
        <w:rPr>
          <w:rFonts w:ascii="Arial Narrow" w:eastAsia="Arial Narrow" w:hAnsi="Arial Narrow" w:cs="Arial Narrow"/>
          <w:spacing w:val="3"/>
          <w:lang w:val="es-MX"/>
        </w:rPr>
        <w:t>o</w:t>
      </w:r>
      <w:r w:rsidRPr="00214985">
        <w:rPr>
          <w:rFonts w:ascii="Arial Narrow" w:eastAsia="Arial Narrow" w:hAnsi="Arial Narrow" w:cs="Arial Narrow"/>
          <w:spacing w:val="1"/>
          <w:lang w:val="es-MX"/>
        </w:rPr>
        <w:t>m</w:t>
      </w:r>
      <w:r w:rsidRPr="00214985">
        <w:rPr>
          <w:rFonts w:ascii="Arial Narrow" w:eastAsia="Arial Narrow" w:hAnsi="Arial Narrow" w:cs="Arial Narrow"/>
          <w:lang w:val="es-MX"/>
        </w:rPr>
        <w:t>a</w:t>
      </w:r>
      <w:r w:rsidRPr="00214985">
        <w:rPr>
          <w:rFonts w:ascii="Arial Narrow" w:eastAsia="Arial Narrow" w:hAnsi="Arial Narrow" w:cs="Arial Narrow"/>
          <w:spacing w:val="3"/>
          <w:lang w:val="es-MX"/>
        </w:rPr>
        <w:t xml:space="preserve"> </w:t>
      </w:r>
      <w:r w:rsidRPr="00214985">
        <w:rPr>
          <w:rFonts w:ascii="Arial Narrow" w:eastAsia="Arial Narrow" w:hAnsi="Arial Narrow" w:cs="Arial Narrow"/>
          <w:spacing w:val="1"/>
          <w:lang w:val="es-MX"/>
        </w:rPr>
        <w:t>M</w:t>
      </w:r>
      <w:r w:rsidRPr="00214985">
        <w:rPr>
          <w:rFonts w:ascii="Arial Narrow" w:eastAsia="Arial Narrow" w:hAnsi="Arial Narrow" w:cs="Arial Narrow"/>
          <w:lang w:val="es-MX"/>
        </w:rPr>
        <w:t>et</w:t>
      </w:r>
      <w:r w:rsidRPr="00214985">
        <w:rPr>
          <w:rFonts w:ascii="Arial Narrow" w:eastAsia="Arial Narrow" w:hAnsi="Arial Narrow" w:cs="Arial Narrow"/>
          <w:spacing w:val="1"/>
          <w:lang w:val="es-MX"/>
        </w:rPr>
        <w:t>r</w:t>
      </w:r>
      <w:r w:rsidRPr="00214985">
        <w:rPr>
          <w:rFonts w:ascii="Arial Narrow" w:eastAsia="Arial Narrow" w:hAnsi="Arial Narrow" w:cs="Arial Narrow"/>
          <w:lang w:val="es-MX"/>
        </w:rPr>
        <w:t xml:space="preserve">opolitana, </w:t>
      </w:r>
      <w:r w:rsidRPr="00214985">
        <w:rPr>
          <w:rFonts w:ascii="Arial Narrow" w:eastAsia="Arial Narrow" w:hAnsi="Arial Narrow" w:cs="Arial Narrow"/>
          <w:spacing w:val="1"/>
          <w:lang w:val="es-MX"/>
        </w:rPr>
        <w:t>M</w:t>
      </w:r>
      <w:r w:rsidRPr="00214985">
        <w:rPr>
          <w:rFonts w:ascii="Arial Narrow" w:eastAsia="Arial Narrow" w:hAnsi="Arial Narrow" w:cs="Arial Narrow"/>
          <w:lang w:val="es-MX"/>
        </w:rPr>
        <w:t>éxico</w:t>
      </w:r>
      <w:r w:rsidRPr="00214985">
        <w:rPr>
          <w:rFonts w:ascii="Arial Narrow" w:eastAsia="Arial Narrow" w:hAnsi="Arial Narrow" w:cs="Arial Narrow"/>
          <w:spacing w:val="5"/>
          <w:lang w:val="es-MX"/>
        </w:rPr>
        <w:t xml:space="preserve"> </w:t>
      </w:r>
      <w:r w:rsidRPr="00214985">
        <w:rPr>
          <w:rFonts w:ascii="Arial Narrow" w:eastAsia="Arial Narrow" w:hAnsi="Arial Narrow" w:cs="Arial Narrow"/>
          <w:lang w:val="es-MX"/>
        </w:rPr>
        <w:t>2009,</w:t>
      </w:r>
      <w:r w:rsidRPr="00214985">
        <w:rPr>
          <w:rFonts w:ascii="Arial Narrow" w:eastAsia="Arial Narrow" w:hAnsi="Arial Narrow" w:cs="Arial Narrow"/>
          <w:spacing w:val="8"/>
          <w:lang w:val="es-MX"/>
        </w:rPr>
        <w:t xml:space="preserve"> </w:t>
      </w:r>
      <w:r w:rsidRPr="00214985">
        <w:rPr>
          <w:rFonts w:ascii="Arial Narrow" w:eastAsia="Arial Narrow" w:hAnsi="Arial Narrow" w:cs="Arial Narrow"/>
          <w:lang w:val="es-MX"/>
        </w:rPr>
        <w:t>p.</w:t>
      </w:r>
      <w:r w:rsidRPr="00214985">
        <w:rPr>
          <w:rFonts w:ascii="Arial Narrow" w:eastAsia="Arial Narrow" w:hAnsi="Arial Narrow" w:cs="Arial Narrow"/>
          <w:spacing w:val="9"/>
          <w:lang w:val="es-MX"/>
        </w:rPr>
        <w:t xml:space="preserve"> </w:t>
      </w:r>
      <w:r w:rsidRPr="00214985">
        <w:rPr>
          <w:rFonts w:ascii="Arial Narrow" w:eastAsia="Arial Narrow" w:hAnsi="Arial Narrow" w:cs="Arial Narrow"/>
          <w:lang w:val="es-MX"/>
        </w:rPr>
        <w:t>97,</w:t>
      </w:r>
      <w:r w:rsidRPr="00214985">
        <w:rPr>
          <w:rFonts w:ascii="Arial Narrow" w:eastAsia="Arial Narrow" w:hAnsi="Arial Narrow" w:cs="Arial Narrow"/>
          <w:spacing w:val="8"/>
          <w:lang w:val="es-MX"/>
        </w:rPr>
        <w:t xml:space="preserve"> </w:t>
      </w:r>
      <w:r w:rsidRPr="00214985">
        <w:rPr>
          <w:rFonts w:ascii="Arial Narrow" w:eastAsia="Arial Narrow" w:hAnsi="Arial Narrow" w:cs="Arial Narrow"/>
          <w:lang w:val="es-MX"/>
        </w:rPr>
        <w:t>disponible</w:t>
      </w:r>
      <w:r w:rsidRPr="00214985">
        <w:rPr>
          <w:rFonts w:ascii="Arial Narrow" w:eastAsia="Arial Narrow" w:hAnsi="Arial Narrow" w:cs="Arial Narrow"/>
          <w:spacing w:val="3"/>
          <w:lang w:val="es-MX"/>
        </w:rPr>
        <w:t xml:space="preserve"> </w:t>
      </w:r>
      <w:r w:rsidRPr="00214985">
        <w:rPr>
          <w:rFonts w:ascii="Arial Narrow" w:eastAsia="Arial Narrow" w:hAnsi="Arial Narrow" w:cs="Arial Narrow"/>
          <w:lang w:val="es-MX"/>
        </w:rPr>
        <w:t xml:space="preserve">en: </w:t>
      </w:r>
      <w:hyperlink r:id="rId3">
        <w:r w:rsidRPr="00214985">
          <w:rPr>
            <w:rFonts w:ascii="Arial Narrow" w:eastAsia="Arial Narrow" w:hAnsi="Arial Narrow" w:cs="Arial Narrow"/>
            <w:color w:val="0000FF"/>
            <w:u w:val="single" w:color="0000FF"/>
            <w:lang w:val="es-MX"/>
          </w:rPr>
          <w:t>http://biblioteca.diputados.gob.</w:t>
        </w:r>
        <w:r w:rsidRPr="00214985">
          <w:rPr>
            <w:rFonts w:ascii="Arial Narrow" w:eastAsia="Arial Narrow" w:hAnsi="Arial Narrow" w:cs="Arial Narrow"/>
            <w:color w:val="0000FF"/>
            <w:spacing w:val="1"/>
            <w:u w:val="single" w:color="0000FF"/>
            <w:lang w:val="es-MX"/>
          </w:rPr>
          <w:t>m</w:t>
        </w:r>
        <w:r w:rsidRPr="00214985">
          <w:rPr>
            <w:rFonts w:ascii="Arial Narrow" w:eastAsia="Arial Narrow" w:hAnsi="Arial Narrow" w:cs="Arial Narrow"/>
            <w:color w:val="0000FF"/>
            <w:spacing w:val="2"/>
            <w:u w:val="single" w:color="0000FF"/>
            <w:lang w:val="es-MX"/>
          </w:rPr>
          <w:t>x</w:t>
        </w:r>
        <w:r w:rsidRPr="00214985">
          <w:rPr>
            <w:rFonts w:ascii="Arial Narrow" w:eastAsia="Arial Narrow" w:hAnsi="Arial Narrow" w:cs="Arial Narrow"/>
            <w:color w:val="0000FF"/>
            <w:u w:val="single" w:color="0000FF"/>
            <w:lang w:val="es-MX"/>
          </w:rPr>
          <w:t>/janiu</w:t>
        </w:r>
        <w:r w:rsidRPr="00214985">
          <w:rPr>
            <w:rFonts w:ascii="Arial Narrow" w:eastAsia="Arial Narrow" w:hAnsi="Arial Narrow" w:cs="Arial Narrow"/>
            <w:color w:val="0000FF"/>
            <w:spacing w:val="1"/>
            <w:u w:val="single" w:color="0000FF"/>
            <w:lang w:val="es-MX"/>
          </w:rPr>
          <w:t>m</w:t>
        </w:r>
        <w:r w:rsidRPr="00214985">
          <w:rPr>
            <w:rFonts w:ascii="Arial Narrow" w:eastAsia="Arial Narrow" w:hAnsi="Arial Narrow" w:cs="Arial Narrow"/>
            <w:color w:val="0000FF"/>
            <w:u w:val="single" w:color="0000FF"/>
            <w:lang w:val="es-MX"/>
          </w:rPr>
          <w:t>/bv/ce/scpd/</w:t>
        </w:r>
        <w:r w:rsidRPr="00214985">
          <w:rPr>
            <w:rFonts w:ascii="Arial Narrow" w:eastAsia="Arial Narrow" w:hAnsi="Arial Narrow" w:cs="Arial Narrow"/>
            <w:color w:val="0000FF"/>
            <w:spacing w:val="3"/>
            <w:u w:val="single" w:color="0000FF"/>
            <w:lang w:val="es-MX"/>
          </w:rPr>
          <w:t>L</w:t>
        </w:r>
        <w:r w:rsidRPr="00214985">
          <w:rPr>
            <w:rFonts w:ascii="Arial Narrow" w:eastAsia="Arial Narrow" w:hAnsi="Arial Narrow" w:cs="Arial Narrow"/>
            <w:color w:val="0000FF"/>
            <w:spacing w:val="-1"/>
            <w:u w:val="single" w:color="0000FF"/>
            <w:lang w:val="es-MX"/>
          </w:rPr>
          <w:t>X</w:t>
        </w:r>
        <w:r w:rsidRPr="00214985">
          <w:rPr>
            <w:rFonts w:ascii="Arial Narrow" w:eastAsia="Arial Narrow" w:hAnsi="Arial Narrow" w:cs="Arial Narrow"/>
            <w:color w:val="0000FF"/>
            <w:u w:val="single" w:color="0000FF"/>
            <w:lang w:val="es-MX"/>
          </w:rPr>
          <w:t>/estud_u</w:t>
        </w:r>
        <w:r w:rsidRPr="00214985">
          <w:rPr>
            <w:rFonts w:ascii="Arial Narrow" w:eastAsia="Arial Narrow" w:hAnsi="Arial Narrow" w:cs="Arial Narrow"/>
            <w:color w:val="0000FF"/>
            <w:spacing w:val="1"/>
            <w:u w:val="single" w:color="0000FF"/>
            <w:lang w:val="es-MX"/>
          </w:rPr>
          <w:t>r</w:t>
        </w:r>
        <w:r w:rsidRPr="00214985">
          <w:rPr>
            <w:rFonts w:ascii="Arial Narrow" w:eastAsia="Arial Narrow" w:hAnsi="Arial Narrow" w:cs="Arial Narrow"/>
            <w:color w:val="0000FF"/>
            <w:u w:val="single" w:color="0000FF"/>
            <w:lang w:val="es-MX"/>
          </w:rPr>
          <w:t>b</w:t>
        </w:r>
        <w:r w:rsidRPr="00214985">
          <w:rPr>
            <w:rFonts w:ascii="Arial Narrow" w:eastAsia="Arial Narrow" w:hAnsi="Arial Narrow" w:cs="Arial Narrow"/>
            <w:color w:val="0000FF"/>
            <w:spacing w:val="3"/>
            <w:u w:val="single" w:color="0000FF"/>
            <w:lang w:val="es-MX"/>
          </w:rPr>
          <w:t>.</w:t>
        </w:r>
        <w:r w:rsidRPr="00214985">
          <w:rPr>
            <w:rFonts w:ascii="Arial Narrow" w:eastAsia="Arial Narrow" w:hAnsi="Arial Narrow" w:cs="Arial Narrow"/>
            <w:color w:val="0000FF"/>
            <w:u w:val="single" w:color="0000FF"/>
            <w:lang w:val="es-MX"/>
          </w:rPr>
          <w:t>pdf</w:t>
        </w:r>
      </w:hyperlink>
    </w:p>
    <w:p w14:paraId="1B5A9ABD" w14:textId="77777777" w:rsidR="002D55D1" w:rsidRPr="00A21FE3" w:rsidRDefault="002D55D1" w:rsidP="002D55D1">
      <w:pPr>
        <w:pStyle w:val="FootnoteText"/>
        <w:rPr>
          <w:sz w:val="20"/>
          <w:szCs w:val="20"/>
          <w:lang w:val="es-MX"/>
        </w:rPr>
      </w:pPr>
    </w:p>
  </w:footnote>
  <w:footnote w:id="6">
    <w:p w14:paraId="7DEEF86F" w14:textId="77777777" w:rsidR="002D55D1" w:rsidRPr="00A21FE3" w:rsidRDefault="002D55D1" w:rsidP="002D55D1">
      <w:pPr>
        <w:pStyle w:val="FootnoteText"/>
        <w:jc w:val="both"/>
        <w:rPr>
          <w:rFonts w:ascii="Arial Narrow" w:hAnsi="Arial Narrow" w:cs="Arial"/>
          <w:lang w:val="es-MX"/>
        </w:rPr>
      </w:pPr>
      <w:r w:rsidRPr="00A21FE3">
        <w:rPr>
          <w:rStyle w:val="FootnoteReference"/>
          <w:rFonts w:ascii="Arial Narrow" w:hAnsi="Arial Narrow" w:cs="Arial"/>
          <w:sz w:val="20"/>
          <w:szCs w:val="20"/>
        </w:rPr>
        <w:footnoteRef/>
      </w:r>
      <w:r w:rsidRPr="00A21FE3">
        <w:rPr>
          <w:rFonts w:ascii="Arial Narrow" w:hAnsi="Arial Narrow" w:cs="Arial"/>
          <w:sz w:val="20"/>
          <w:szCs w:val="20"/>
        </w:rPr>
        <w:t xml:space="preserve"> The typical lot, in which an average of 4 people live, has an area that varies between 57 and 71 m2. Travel times to work centers are up to 4 hours. Although there is a high level of coverage of basic services, there are still deficiencies in the quality and frequency with which the water is distributed, lack of storm drainage and wastewater treatment, and there are problems in public transportation, garbage collection, security inside the complexes and maintenance of lighting. In an analysis of more than 100 complexes that was dedicated to comparing how people lived before and after having acquired their home, a large majority reported that they had more space and that the finishes of the home were better. Ibid, pp. 26, 34, 52, 69, 146, 163.</w:t>
      </w:r>
    </w:p>
  </w:footnote>
  <w:footnote w:id="7">
    <w:p w14:paraId="53BDA7DE" w14:textId="77777777" w:rsidR="002D55D1" w:rsidRPr="00935A91" w:rsidRDefault="002D55D1" w:rsidP="002D55D1">
      <w:pPr>
        <w:pStyle w:val="FootnoteText"/>
        <w:rPr>
          <w:lang w:val="es-MX"/>
        </w:rPr>
      </w:pPr>
      <w:r>
        <w:rPr>
          <w:rStyle w:val="FootnoteReference"/>
        </w:rPr>
        <w:footnoteRef/>
      </w:r>
      <w:r>
        <w:t xml:space="preserve"> </w:t>
      </w:r>
      <w:hyperlink r:id="rId4" w:history="1">
        <w:proofErr w:type="spellStart"/>
        <w:r w:rsidRPr="00935A91">
          <w:rPr>
            <w:rFonts w:eastAsia="Times New Roman" w:cs="Times New Roman"/>
            <w:color w:val="0000FF"/>
            <w:sz w:val="20"/>
            <w:szCs w:val="20"/>
            <w:u w:val="single"/>
            <w:lang w:val="en-GB"/>
          </w:rPr>
          <w:t>Anexo</w:t>
        </w:r>
        <w:proofErr w:type="spellEnd"/>
        <w:r w:rsidRPr="00935A91">
          <w:rPr>
            <w:rFonts w:eastAsia="Times New Roman" w:cs="Times New Roman"/>
            <w:color w:val="0000FF"/>
            <w:sz w:val="20"/>
            <w:szCs w:val="20"/>
            <w:u w:val="single"/>
            <w:lang w:val="en-GB"/>
          </w:rPr>
          <w:t xml:space="preserve"> C </w:t>
        </w:r>
        <w:proofErr w:type="spellStart"/>
        <w:r w:rsidRPr="00935A91">
          <w:rPr>
            <w:rFonts w:eastAsia="Times New Roman" w:cs="Times New Roman"/>
            <w:color w:val="0000FF"/>
            <w:sz w:val="20"/>
            <w:szCs w:val="20"/>
            <w:u w:val="single"/>
            <w:lang w:val="en-GB"/>
          </w:rPr>
          <w:t>Cifras</w:t>
        </w:r>
        <w:proofErr w:type="spellEnd"/>
        <w:r w:rsidRPr="00935A91">
          <w:rPr>
            <w:rFonts w:eastAsia="Times New Roman" w:cs="Times New Roman"/>
            <w:color w:val="0000FF"/>
            <w:sz w:val="20"/>
            <w:szCs w:val="20"/>
            <w:u w:val="single"/>
            <w:lang w:val="en-GB"/>
          </w:rPr>
          <w:t xml:space="preserve"> </w:t>
        </w:r>
        <w:proofErr w:type="spellStart"/>
        <w:r w:rsidRPr="00935A91">
          <w:rPr>
            <w:rFonts w:eastAsia="Times New Roman" w:cs="Times New Roman"/>
            <w:color w:val="0000FF"/>
            <w:sz w:val="20"/>
            <w:szCs w:val="20"/>
            <w:u w:val="single"/>
            <w:lang w:val="en-GB"/>
          </w:rPr>
          <w:t>Programas</w:t>
        </w:r>
        <w:proofErr w:type="spellEnd"/>
        <w:r w:rsidRPr="00935A91">
          <w:rPr>
            <w:rFonts w:eastAsia="Times New Roman" w:cs="Times New Roman"/>
            <w:color w:val="0000FF"/>
            <w:sz w:val="20"/>
            <w:szCs w:val="20"/>
            <w:u w:val="single"/>
            <w:lang w:val="en-GB"/>
          </w:rPr>
          <w:t xml:space="preserve"> CONAVI.pdf - Google Drive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14A4C" w14:textId="77777777" w:rsidR="00611E96" w:rsidRPr="00925A9D" w:rsidRDefault="00611E96" w:rsidP="00611E96">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2CFC74E5" wp14:editId="6C1D4583">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73DC13AF" w14:textId="77777777" w:rsidR="00611E96" w:rsidRPr="002745FF" w:rsidRDefault="00611E96" w:rsidP="00611E96">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5CEC04C0" w14:textId="77777777" w:rsidR="00611E96" w:rsidRPr="002745FF" w:rsidRDefault="00611E96" w:rsidP="00611E96">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p w14:paraId="657F3468" w14:textId="77777777" w:rsidR="00611E96" w:rsidRPr="00611E96" w:rsidRDefault="00611E96">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A0421"/>
    <w:multiLevelType w:val="hybridMultilevel"/>
    <w:tmpl w:val="0B8C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8752C"/>
    <w:multiLevelType w:val="hybridMultilevel"/>
    <w:tmpl w:val="AE521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44C4BCF"/>
    <w:multiLevelType w:val="hybridMultilevel"/>
    <w:tmpl w:val="7952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26D1F"/>
    <w:rsid w:val="00026D52"/>
    <w:rsid w:val="00031377"/>
    <w:rsid w:val="00032D0E"/>
    <w:rsid w:val="000344F8"/>
    <w:rsid w:val="0003674D"/>
    <w:rsid w:val="000410AB"/>
    <w:rsid w:val="00051881"/>
    <w:rsid w:val="0005390B"/>
    <w:rsid w:val="00053E6D"/>
    <w:rsid w:val="00063BFD"/>
    <w:rsid w:val="00072E19"/>
    <w:rsid w:val="00077294"/>
    <w:rsid w:val="00077AE5"/>
    <w:rsid w:val="000875C6"/>
    <w:rsid w:val="00091BF0"/>
    <w:rsid w:val="00097430"/>
    <w:rsid w:val="000A2B89"/>
    <w:rsid w:val="000A6F03"/>
    <w:rsid w:val="000B38AF"/>
    <w:rsid w:val="000C7384"/>
    <w:rsid w:val="000D210E"/>
    <w:rsid w:val="000D2183"/>
    <w:rsid w:val="000D283C"/>
    <w:rsid w:val="000D34F2"/>
    <w:rsid w:val="000D634A"/>
    <w:rsid w:val="000E1E28"/>
    <w:rsid w:val="000E42EE"/>
    <w:rsid w:val="000F0425"/>
    <w:rsid w:val="000F183C"/>
    <w:rsid w:val="00100FCF"/>
    <w:rsid w:val="00106F64"/>
    <w:rsid w:val="001146DA"/>
    <w:rsid w:val="00115798"/>
    <w:rsid w:val="001205D6"/>
    <w:rsid w:val="00124668"/>
    <w:rsid w:val="00127D8F"/>
    <w:rsid w:val="00131DFA"/>
    <w:rsid w:val="001456CB"/>
    <w:rsid w:val="00145CB3"/>
    <w:rsid w:val="001537CC"/>
    <w:rsid w:val="0015615C"/>
    <w:rsid w:val="00166A78"/>
    <w:rsid w:val="001676BA"/>
    <w:rsid w:val="00171DC8"/>
    <w:rsid w:val="00171E49"/>
    <w:rsid w:val="00174D74"/>
    <w:rsid w:val="00192033"/>
    <w:rsid w:val="001928BA"/>
    <w:rsid w:val="00194332"/>
    <w:rsid w:val="00194B4D"/>
    <w:rsid w:val="00197CE5"/>
    <w:rsid w:val="001B0DD5"/>
    <w:rsid w:val="001B7B09"/>
    <w:rsid w:val="001C4360"/>
    <w:rsid w:val="001D08C8"/>
    <w:rsid w:val="001D3313"/>
    <w:rsid w:val="001E3384"/>
    <w:rsid w:val="001E5478"/>
    <w:rsid w:val="001E7515"/>
    <w:rsid w:val="001F00CA"/>
    <w:rsid w:val="002028A9"/>
    <w:rsid w:val="00204C31"/>
    <w:rsid w:val="00210ED3"/>
    <w:rsid w:val="0021296A"/>
    <w:rsid w:val="002129D5"/>
    <w:rsid w:val="00212DC2"/>
    <w:rsid w:val="00221893"/>
    <w:rsid w:val="00224386"/>
    <w:rsid w:val="00226F79"/>
    <w:rsid w:val="00227E2F"/>
    <w:rsid w:val="00230775"/>
    <w:rsid w:val="00235A1A"/>
    <w:rsid w:val="002431DB"/>
    <w:rsid w:val="00244860"/>
    <w:rsid w:val="0024583B"/>
    <w:rsid w:val="0025174E"/>
    <w:rsid w:val="002571C7"/>
    <w:rsid w:val="002659B2"/>
    <w:rsid w:val="00266D70"/>
    <w:rsid w:val="002675EB"/>
    <w:rsid w:val="00273554"/>
    <w:rsid w:val="00282E14"/>
    <w:rsid w:val="0028432F"/>
    <w:rsid w:val="0028624E"/>
    <w:rsid w:val="002863A2"/>
    <w:rsid w:val="002906B5"/>
    <w:rsid w:val="00293243"/>
    <w:rsid w:val="002966DB"/>
    <w:rsid w:val="002969BF"/>
    <w:rsid w:val="002A529B"/>
    <w:rsid w:val="002B2448"/>
    <w:rsid w:val="002C2C0E"/>
    <w:rsid w:val="002D4E0C"/>
    <w:rsid w:val="002D55D1"/>
    <w:rsid w:val="002D7106"/>
    <w:rsid w:val="002E0EEC"/>
    <w:rsid w:val="002E456F"/>
    <w:rsid w:val="002E65F4"/>
    <w:rsid w:val="00305B08"/>
    <w:rsid w:val="003207A5"/>
    <w:rsid w:val="00323DEC"/>
    <w:rsid w:val="0033375D"/>
    <w:rsid w:val="00335FB9"/>
    <w:rsid w:val="00336C3F"/>
    <w:rsid w:val="00350908"/>
    <w:rsid w:val="00353D51"/>
    <w:rsid w:val="00356299"/>
    <w:rsid w:val="003577DB"/>
    <w:rsid w:val="0036094F"/>
    <w:rsid w:val="003658E5"/>
    <w:rsid w:val="00380489"/>
    <w:rsid w:val="00382BF5"/>
    <w:rsid w:val="00396E4C"/>
    <w:rsid w:val="003A314E"/>
    <w:rsid w:val="003A3957"/>
    <w:rsid w:val="003A74E7"/>
    <w:rsid w:val="003B0526"/>
    <w:rsid w:val="003B4835"/>
    <w:rsid w:val="003C37C3"/>
    <w:rsid w:val="003C4D32"/>
    <w:rsid w:val="003D0C10"/>
    <w:rsid w:val="003D3D66"/>
    <w:rsid w:val="003D6889"/>
    <w:rsid w:val="003E0166"/>
    <w:rsid w:val="003E552B"/>
    <w:rsid w:val="00401FD2"/>
    <w:rsid w:val="004045F8"/>
    <w:rsid w:val="00410560"/>
    <w:rsid w:val="00413481"/>
    <w:rsid w:val="00413A21"/>
    <w:rsid w:val="004153DE"/>
    <w:rsid w:val="00415EFC"/>
    <w:rsid w:val="004249D7"/>
    <w:rsid w:val="00427CEF"/>
    <w:rsid w:val="00433548"/>
    <w:rsid w:val="00440385"/>
    <w:rsid w:val="00440E30"/>
    <w:rsid w:val="00440ED0"/>
    <w:rsid w:val="00443DF5"/>
    <w:rsid w:val="00447412"/>
    <w:rsid w:val="004478C0"/>
    <w:rsid w:val="00451444"/>
    <w:rsid w:val="004556DC"/>
    <w:rsid w:val="00455C6D"/>
    <w:rsid w:val="00456419"/>
    <w:rsid w:val="00457CAA"/>
    <w:rsid w:val="00460258"/>
    <w:rsid w:val="004715DD"/>
    <w:rsid w:val="00471E39"/>
    <w:rsid w:val="0047346F"/>
    <w:rsid w:val="00473543"/>
    <w:rsid w:val="004837A9"/>
    <w:rsid w:val="00487B1A"/>
    <w:rsid w:val="00491BE6"/>
    <w:rsid w:val="00493D48"/>
    <w:rsid w:val="004948BD"/>
    <w:rsid w:val="004B4CAC"/>
    <w:rsid w:val="004C044F"/>
    <w:rsid w:val="004D03E1"/>
    <w:rsid w:val="004D21C9"/>
    <w:rsid w:val="004D48CA"/>
    <w:rsid w:val="004D5D19"/>
    <w:rsid w:val="004E0AB6"/>
    <w:rsid w:val="004E109C"/>
    <w:rsid w:val="004E49EC"/>
    <w:rsid w:val="004E4D86"/>
    <w:rsid w:val="004F4DB0"/>
    <w:rsid w:val="004F54F5"/>
    <w:rsid w:val="004F6770"/>
    <w:rsid w:val="00501A94"/>
    <w:rsid w:val="00513F83"/>
    <w:rsid w:val="00520DCB"/>
    <w:rsid w:val="00530EE2"/>
    <w:rsid w:val="00530EF5"/>
    <w:rsid w:val="005417E4"/>
    <w:rsid w:val="005455F8"/>
    <w:rsid w:val="005528A3"/>
    <w:rsid w:val="0055573E"/>
    <w:rsid w:val="00562D63"/>
    <w:rsid w:val="00570A1B"/>
    <w:rsid w:val="00570E41"/>
    <w:rsid w:val="005720FF"/>
    <w:rsid w:val="00576638"/>
    <w:rsid w:val="005849E6"/>
    <w:rsid w:val="00585F8E"/>
    <w:rsid w:val="005871D9"/>
    <w:rsid w:val="00591F62"/>
    <w:rsid w:val="005957ED"/>
    <w:rsid w:val="005A0F25"/>
    <w:rsid w:val="005C0CD2"/>
    <w:rsid w:val="005C17A6"/>
    <w:rsid w:val="005C233E"/>
    <w:rsid w:val="005D4F9E"/>
    <w:rsid w:val="005E2983"/>
    <w:rsid w:val="005E59C1"/>
    <w:rsid w:val="005E6EDB"/>
    <w:rsid w:val="005E7C37"/>
    <w:rsid w:val="005F0A9F"/>
    <w:rsid w:val="005F283E"/>
    <w:rsid w:val="0060068B"/>
    <w:rsid w:val="0060630F"/>
    <w:rsid w:val="0060785C"/>
    <w:rsid w:val="00611E96"/>
    <w:rsid w:val="00614FFD"/>
    <w:rsid w:val="00627A52"/>
    <w:rsid w:val="006304C5"/>
    <w:rsid w:val="0063240F"/>
    <w:rsid w:val="006347BB"/>
    <w:rsid w:val="00635102"/>
    <w:rsid w:val="00636BD7"/>
    <w:rsid w:val="006375A5"/>
    <w:rsid w:val="006412EA"/>
    <w:rsid w:val="00645695"/>
    <w:rsid w:val="00647CE9"/>
    <w:rsid w:val="00650CD4"/>
    <w:rsid w:val="00650D4D"/>
    <w:rsid w:val="006605E5"/>
    <w:rsid w:val="00660EDA"/>
    <w:rsid w:val="006617A4"/>
    <w:rsid w:val="00667227"/>
    <w:rsid w:val="00671485"/>
    <w:rsid w:val="006749F6"/>
    <w:rsid w:val="00682D26"/>
    <w:rsid w:val="00682DDB"/>
    <w:rsid w:val="006834E4"/>
    <w:rsid w:val="00687E4F"/>
    <w:rsid w:val="00695D3E"/>
    <w:rsid w:val="006A7352"/>
    <w:rsid w:val="006B5A71"/>
    <w:rsid w:val="006C7917"/>
    <w:rsid w:val="006D0C62"/>
    <w:rsid w:val="006D44A3"/>
    <w:rsid w:val="006E6CC3"/>
    <w:rsid w:val="006F0D4E"/>
    <w:rsid w:val="006F790C"/>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4462"/>
    <w:rsid w:val="00755F62"/>
    <w:rsid w:val="007560FD"/>
    <w:rsid w:val="007610CD"/>
    <w:rsid w:val="007625BA"/>
    <w:rsid w:val="00776BDB"/>
    <w:rsid w:val="00790C76"/>
    <w:rsid w:val="00790CBE"/>
    <w:rsid w:val="00792410"/>
    <w:rsid w:val="0079503A"/>
    <w:rsid w:val="00795469"/>
    <w:rsid w:val="00796729"/>
    <w:rsid w:val="0079720D"/>
    <w:rsid w:val="00797214"/>
    <w:rsid w:val="007A375D"/>
    <w:rsid w:val="007B01A6"/>
    <w:rsid w:val="007B5929"/>
    <w:rsid w:val="007B60AC"/>
    <w:rsid w:val="007C210B"/>
    <w:rsid w:val="007C4483"/>
    <w:rsid w:val="007C4A8E"/>
    <w:rsid w:val="007C5369"/>
    <w:rsid w:val="007C7025"/>
    <w:rsid w:val="007D1657"/>
    <w:rsid w:val="007D215C"/>
    <w:rsid w:val="007D47FE"/>
    <w:rsid w:val="007E1460"/>
    <w:rsid w:val="007E39E1"/>
    <w:rsid w:val="007F4648"/>
    <w:rsid w:val="007F7DA3"/>
    <w:rsid w:val="0081788D"/>
    <w:rsid w:val="008226B4"/>
    <w:rsid w:val="00827A9A"/>
    <w:rsid w:val="00832165"/>
    <w:rsid w:val="00833FF3"/>
    <w:rsid w:val="00842120"/>
    <w:rsid w:val="00842220"/>
    <w:rsid w:val="008427AA"/>
    <w:rsid w:val="00845F8F"/>
    <w:rsid w:val="00846B4A"/>
    <w:rsid w:val="00850B3F"/>
    <w:rsid w:val="00851702"/>
    <w:rsid w:val="008543FC"/>
    <w:rsid w:val="00854A55"/>
    <w:rsid w:val="008553DE"/>
    <w:rsid w:val="008568EA"/>
    <w:rsid w:val="008656FA"/>
    <w:rsid w:val="00874280"/>
    <w:rsid w:val="008774E3"/>
    <w:rsid w:val="008858C5"/>
    <w:rsid w:val="00893220"/>
    <w:rsid w:val="00894E27"/>
    <w:rsid w:val="00895233"/>
    <w:rsid w:val="008A2957"/>
    <w:rsid w:val="008A3B7D"/>
    <w:rsid w:val="008A5301"/>
    <w:rsid w:val="008B12FD"/>
    <w:rsid w:val="008B33E8"/>
    <w:rsid w:val="008B4DD7"/>
    <w:rsid w:val="008B4F3E"/>
    <w:rsid w:val="008C2924"/>
    <w:rsid w:val="008C3A0E"/>
    <w:rsid w:val="008C60C0"/>
    <w:rsid w:val="008D1A3C"/>
    <w:rsid w:val="008D3B8A"/>
    <w:rsid w:val="008E161D"/>
    <w:rsid w:val="008E21A2"/>
    <w:rsid w:val="008E4052"/>
    <w:rsid w:val="008E46C1"/>
    <w:rsid w:val="009002E8"/>
    <w:rsid w:val="009240B2"/>
    <w:rsid w:val="009242AE"/>
    <w:rsid w:val="00925A9D"/>
    <w:rsid w:val="009337F5"/>
    <w:rsid w:val="009358CD"/>
    <w:rsid w:val="00935A07"/>
    <w:rsid w:val="00935A91"/>
    <w:rsid w:val="00944000"/>
    <w:rsid w:val="00944040"/>
    <w:rsid w:val="00944E25"/>
    <w:rsid w:val="00945265"/>
    <w:rsid w:val="0094635D"/>
    <w:rsid w:val="009469B5"/>
    <w:rsid w:val="00951601"/>
    <w:rsid w:val="0095295A"/>
    <w:rsid w:val="00964D74"/>
    <w:rsid w:val="00977C96"/>
    <w:rsid w:val="009818C9"/>
    <w:rsid w:val="00982FCF"/>
    <w:rsid w:val="0098565E"/>
    <w:rsid w:val="00986237"/>
    <w:rsid w:val="00993C39"/>
    <w:rsid w:val="00997618"/>
    <w:rsid w:val="009A2849"/>
    <w:rsid w:val="009A2BBD"/>
    <w:rsid w:val="009A4B5F"/>
    <w:rsid w:val="009B459A"/>
    <w:rsid w:val="009D4AAC"/>
    <w:rsid w:val="009D76A9"/>
    <w:rsid w:val="009D7902"/>
    <w:rsid w:val="009E0073"/>
    <w:rsid w:val="009E2351"/>
    <w:rsid w:val="009F18EC"/>
    <w:rsid w:val="009F2043"/>
    <w:rsid w:val="009F37AC"/>
    <w:rsid w:val="009F5421"/>
    <w:rsid w:val="00A01741"/>
    <w:rsid w:val="00A153DB"/>
    <w:rsid w:val="00A21EF1"/>
    <w:rsid w:val="00A21FE3"/>
    <w:rsid w:val="00A22B1B"/>
    <w:rsid w:val="00A23512"/>
    <w:rsid w:val="00A34DA7"/>
    <w:rsid w:val="00A364CF"/>
    <w:rsid w:val="00A3761B"/>
    <w:rsid w:val="00A40490"/>
    <w:rsid w:val="00A41D57"/>
    <w:rsid w:val="00A439B9"/>
    <w:rsid w:val="00A54482"/>
    <w:rsid w:val="00A564C7"/>
    <w:rsid w:val="00A619C0"/>
    <w:rsid w:val="00A61E26"/>
    <w:rsid w:val="00A63977"/>
    <w:rsid w:val="00A72E0A"/>
    <w:rsid w:val="00A84B3F"/>
    <w:rsid w:val="00A86B19"/>
    <w:rsid w:val="00A86E08"/>
    <w:rsid w:val="00A9048E"/>
    <w:rsid w:val="00A92868"/>
    <w:rsid w:val="00A94BB4"/>
    <w:rsid w:val="00AA3895"/>
    <w:rsid w:val="00AA6359"/>
    <w:rsid w:val="00AA75B3"/>
    <w:rsid w:val="00AC4BC6"/>
    <w:rsid w:val="00AC50E4"/>
    <w:rsid w:val="00AD1796"/>
    <w:rsid w:val="00AD4CA9"/>
    <w:rsid w:val="00AD5801"/>
    <w:rsid w:val="00AD7262"/>
    <w:rsid w:val="00AE2231"/>
    <w:rsid w:val="00AE569D"/>
    <w:rsid w:val="00AE69A2"/>
    <w:rsid w:val="00AE796C"/>
    <w:rsid w:val="00AF291B"/>
    <w:rsid w:val="00B04529"/>
    <w:rsid w:val="00B12FDC"/>
    <w:rsid w:val="00B13589"/>
    <w:rsid w:val="00B14752"/>
    <w:rsid w:val="00B206BB"/>
    <w:rsid w:val="00B23887"/>
    <w:rsid w:val="00B246B4"/>
    <w:rsid w:val="00B259BD"/>
    <w:rsid w:val="00B30F74"/>
    <w:rsid w:val="00B31236"/>
    <w:rsid w:val="00B313AC"/>
    <w:rsid w:val="00B35218"/>
    <w:rsid w:val="00B42B30"/>
    <w:rsid w:val="00B43D96"/>
    <w:rsid w:val="00B4462A"/>
    <w:rsid w:val="00B458F6"/>
    <w:rsid w:val="00B54DD5"/>
    <w:rsid w:val="00B61545"/>
    <w:rsid w:val="00B7425B"/>
    <w:rsid w:val="00B84F46"/>
    <w:rsid w:val="00BC4577"/>
    <w:rsid w:val="00BC486C"/>
    <w:rsid w:val="00BD2C78"/>
    <w:rsid w:val="00BD5682"/>
    <w:rsid w:val="00BD6119"/>
    <w:rsid w:val="00BD6AAC"/>
    <w:rsid w:val="00BE21B8"/>
    <w:rsid w:val="00BE7A33"/>
    <w:rsid w:val="00BF4685"/>
    <w:rsid w:val="00BF69D2"/>
    <w:rsid w:val="00C0101A"/>
    <w:rsid w:val="00C07B5F"/>
    <w:rsid w:val="00C12BED"/>
    <w:rsid w:val="00C1564B"/>
    <w:rsid w:val="00C234D8"/>
    <w:rsid w:val="00C23DDD"/>
    <w:rsid w:val="00C35851"/>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960B6"/>
    <w:rsid w:val="00C968E1"/>
    <w:rsid w:val="00CA2C78"/>
    <w:rsid w:val="00CA65D2"/>
    <w:rsid w:val="00CB0B76"/>
    <w:rsid w:val="00CB1C6E"/>
    <w:rsid w:val="00CB32C4"/>
    <w:rsid w:val="00CC5BEF"/>
    <w:rsid w:val="00CC779C"/>
    <w:rsid w:val="00CD3192"/>
    <w:rsid w:val="00CD4806"/>
    <w:rsid w:val="00CE6A0E"/>
    <w:rsid w:val="00D00DDC"/>
    <w:rsid w:val="00D02F61"/>
    <w:rsid w:val="00D05B02"/>
    <w:rsid w:val="00D1125E"/>
    <w:rsid w:val="00D115F7"/>
    <w:rsid w:val="00D17FFD"/>
    <w:rsid w:val="00D226E4"/>
    <w:rsid w:val="00D230B7"/>
    <w:rsid w:val="00D27563"/>
    <w:rsid w:val="00D32E5B"/>
    <w:rsid w:val="00D35B0E"/>
    <w:rsid w:val="00D3608E"/>
    <w:rsid w:val="00D36435"/>
    <w:rsid w:val="00D36635"/>
    <w:rsid w:val="00D3698C"/>
    <w:rsid w:val="00D43E54"/>
    <w:rsid w:val="00D4489E"/>
    <w:rsid w:val="00D5082F"/>
    <w:rsid w:val="00D50EB9"/>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5055"/>
    <w:rsid w:val="00DB5616"/>
    <w:rsid w:val="00DC0CA6"/>
    <w:rsid w:val="00DC6253"/>
    <w:rsid w:val="00DC7FFC"/>
    <w:rsid w:val="00DD0358"/>
    <w:rsid w:val="00DD1A3F"/>
    <w:rsid w:val="00DD4909"/>
    <w:rsid w:val="00DE3FD8"/>
    <w:rsid w:val="00DE67AF"/>
    <w:rsid w:val="00DE7E3D"/>
    <w:rsid w:val="00DF0FB6"/>
    <w:rsid w:val="00DF1809"/>
    <w:rsid w:val="00DF208E"/>
    <w:rsid w:val="00DF558E"/>
    <w:rsid w:val="00DF6C40"/>
    <w:rsid w:val="00E15347"/>
    <w:rsid w:val="00E22392"/>
    <w:rsid w:val="00E262FF"/>
    <w:rsid w:val="00E30296"/>
    <w:rsid w:val="00E31842"/>
    <w:rsid w:val="00E4367D"/>
    <w:rsid w:val="00E4713C"/>
    <w:rsid w:val="00E56BA2"/>
    <w:rsid w:val="00E60057"/>
    <w:rsid w:val="00E60CF2"/>
    <w:rsid w:val="00E65B25"/>
    <w:rsid w:val="00E679E8"/>
    <w:rsid w:val="00E754F1"/>
    <w:rsid w:val="00E80226"/>
    <w:rsid w:val="00E84288"/>
    <w:rsid w:val="00E84769"/>
    <w:rsid w:val="00E92353"/>
    <w:rsid w:val="00EA6B3E"/>
    <w:rsid w:val="00EA7F03"/>
    <w:rsid w:val="00EC123F"/>
    <w:rsid w:val="00EC3079"/>
    <w:rsid w:val="00EC3E83"/>
    <w:rsid w:val="00ED147D"/>
    <w:rsid w:val="00EE0A7C"/>
    <w:rsid w:val="00EE156C"/>
    <w:rsid w:val="00EE5BA8"/>
    <w:rsid w:val="00EE5FB1"/>
    <w:rsid w:val="00EE65B1"/>
    <w:rsid w:val="00EE6765"/>
    <w:rsid w:val="00EE71DF"/>
    <w:rsid w:val="00EF0B0D"/>
    <w:rsid w:val="00F006B5"/>
    <w:rsid w:val="00F046B0"/>
    <w:rsid w:val="00F268C0"/>
    <w:rsid w:val="00F47087"/>
    <w:rsid w:val="00F47B64"/>
    <w:rsid w:val="00F611C6"/>
    <w:rsid w:val="00F62027"/>
    <w:rsid w:val="00F655AE"/>
    <w:rsid w:val="00F67F87"/>
    <w:rsid w:val="00F7101E"/>
    <w:rsid w:val="00F80A14"/>
    <w:rsid w:val="00F80D28"/>
    <w:rsid w:val="00F85DCD"/>
    <w:rsid w:val="00F97221"/>
    <w:rsid w:val="00FA3EB0"/>
    <w:rsid w:val="00FA61F7"/>
    <w:rsid w:val="00FB1650"/>
    <w:rsid w:val="00FB2482"/>
    <w:rsid w:val="00FB365F"/>
    <w:rsid w:val="00FB410E"/>
    <w:rsid w:val="00FB41B6"/>
    <w:rsid w:val="00FB60F8"/>
    <w:rsid w:val="00FC0B84"/>
    <w:rsid w:val="00FC1DDB"/>
    <w:rsid w:val="00FD41D3"/>
    <w:rsid w:val="00FD659F"/>
    <w:rsid w:val="00FE2B0F"/>
    <w:rsid w:val="00FE6E4C"/>
    <w:rsid w:val="00FF0507"/>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33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 w:type="character" w:customStyle="1" w:styleId="jlqj4b">
    <w:name w:val="jlqj4b"/>
    <w:basedOn w:val="DefaultParagraphFont"/>
    <w:rsid w:val="00E92353"/>
  </w:style>
  <w:style w:type="character" w:styleId="FollowedHyperlink">
    <w:name w:val="FollowedHyperlink"/>
    <w:basedOn w:val="DefaultParagraphFont"/>
    <w:semiHidden/>
    <w:unhideWhenUsed/>
    <w:rsid w:val="0095295A"/>
    <w:rPr>
      <w:color w:val="800080" w:themeColor="followedHyperlink"/>
      <w:u w:val="single"/>
    </w:rPr>
  </w:style>
  <w:style w:type="character" w:customStyle="1" w:styleId="viiyi">
    <w:name w:val="viiyi"/>
    <w:basedOn w:val="DefaultParagraphFont"/>
    <w:rsid w:val="00051881"/>
  </w:style>
  <w:style w:type="character" w:customStyle="1" w:styleId="UnresolvedMention">
    <w:name w:val="Unresolved Mention"/>
    <w:basedOn w:val="DefaultParagraphFont"/>
    <w:uiPriority w:val="99"/>
    <w:semiHidden/>
    <w:unhideWhenUsed/>
    <w:rsid w:val="00D17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210653581">
      <w:bodyDiv w:val="1"/>
      <w:marLeft w:val="0"/>
      <w:marRight w:val="0"/>
      <w:marTop w:val="0"/>
      <w:marBottom w:val="0"/>
      <w:divBdr>
        <w:top w:val="none" w:sz="0" w:space="0" w:color="auto"/>
        <w:left w:val="none" w:sz="0" w:space="0" w:color="auto"/>
        <w:bottom w:val="none" w:sz="0" w:space="0" w:color="auto"/>
        <w:right w:val="none" w:sz="0" w:space="0" w:color="auto"/>
      </w:divBdr>
    </w:div>
    <w:div w:id="384331628">
      <w:bodyDiv w:val="1"/>
      <w:marLeft w:val="0"/>
      <w:marRight w:val="0"/>
      <w:marTop w:val="0"/>
      <w:marBottom w:val="0"/>
      <w:divBdr>
        <w:top w:val="none" w:sz="0" w:space="0" w:color="auto"/>
        <w:left w:val="none" w:sz="0" w:space="0" w:color="auto"/>
        <w:bottom w:val="none" w:sz="0" w:space="0" w:color="auto"/>
        <w:right w:val="none" w:sz="0" w:space="0" w:color="auto"/>
      </w:divBdr>
      <w:divsChild>
        <w:div w:id="1969357184">
          <w:marLeft w:val="0"/>
          <w:marRight w:val="0"/>
          <w:marTop w:val="0"/>
          <w:marBottom w:val="0"/>
          <w:divBdr>
            <w:top w:val="none" w:sz="0" w:space="0" w:color="auto"/>
            <w:left w:val="none" w:sz="0" w:space="0" w:color="auto"/>
            <w:bottom w:val="none" w:sz="0" w:space="0" w:color="auto"/>
            <w:right w:val="none" w:sz="0" w:space="0" w:color="auto"/>
          </w:divBdr>
          <w:divsChild>
            <w:div w:id="476797848">
              <w:marLeft w:val="0"/>
              <w:marRight w:val="0"/>
              <w:marTop w:val="0"/>
              <w:marBottom w:val="0"/>
              <w:divBdr>
                <w:top w:val="none" w:sz="0" w:space="0" w:color="auto"/>
                <w:left w:val="none" w:sz="0" w:space="0" w:color="auto"/>
                <w:bottom w:val="none" w:sz="0" w:space="0" w:color="auto"/>
                <w:right w:val="none" w:sz="0" w:space="0" w:color="auto"/>
              </w:divBdr>
              <w:divsChild>
                <w:div w:id="10174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20686">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377125057">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ademia.edu/37554299/Situating_the_Inheritance_Rights_of_Care_Leav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c.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biblioteca.diputados.gob.mx/janium/bv/ce/scpd/LX/estud_urb.pdf" TargetMode="External"/><Relationship Id="rId2" Type="http://schemas.openxmlformats.org/officeDocument/2006/relationships/hyperlink" Target="https://hic-al.org/wp-content/uploads/2018/12/Vidas-borradas-digital.pdf" TargetMode="External"/><Relationship Id="rId1" Type="http://schemas.openxmlformats.org/officeDocument/2006/relationships/hyperlink" Target="https://www.gob.mx/shf/es/documentos/plan-nacional-de-vivienda-pnv-2019-2024?state=published" TargetMode="External"/><Relationship Id="rId4" Type="http://schemas.openxmlformats.org/officeDocument/2006/relationships/hyperlink" Target="https://drive.google.com/file/d/1X0BsHXC3Mh2jYR-EttZW7Hvmxxv1sfvp/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
      <w:docPartPr>
        <w:name w:val="EB3D8609186617448CB24AAD7C513A77"/>
        <w:category>
          <w:name w:val="General"/>
          <w:gallery w:val="placeholder"/>
        </w:category>
        <w:types>
          <w:type w:val="bbPlcHdr"/>
        </w:types>
        <w:behaviors>
          <w:behavior w:val="content"/>
        </w:behaviors>
        <w:guid w:val="{1B425E1C-0D60-7548-BB56-F3D7A2DD70E1}"/>
      </w:docPartPr>
      <w:docPartBody>
        <w:p w:rsidR="006F6388" w:rsidRDefault="00585559" w:rsidP="00585559">
          <w:pPr>
            <w:pStyle w:val="EB3D8609186617448CB24AAD7C513A77"/>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585559"/>
    <w:rsid w:val="00690D74"/>
    <w:rsid w:val="006F6388"/>
    <w:rsid w:val="00AF5918"/>
    <w:rsid w:val="00B452AD"/>
    <w:rsid w:val="00B62548"/>
    <w:rsid w:val="00F52EA2"/>
    <w:rsid w:val="00FA0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559"/>
    <w:rPr>
      <w:color w:val="808080"/>
    </w:rPr>
  </w:style>
  <w:style w:type="paragraph" w:customStyle="1" w:styleId="8C51350C3C2E40C7B851479DE8F27FC8">
    <w:name w:val="8C51350C3C2E40C7B851479DE8F27FC8"/>
    <w:rsid w:val="00690D74"/>
  </w:style>
  <w:style w:type="paragraph" w:customStyle="1" w:styleId="EB3D8609186617448CB24AAD7C513A77">
    <w:name w:val="EB3D8609186617448CB24AAD7C513A77"/>
    <w:rsid w:val="00585559"/>
    <w:pPr>
      <w:spacing w:after="0" w:line="240" w:lineRule="auto"/>
    </w:pPr>
    <w:rPr>
      <w:sz w:val="24"/>
      <w:szCs w:val="24"/>
      <w:lang w:val="en-ZA"/>
    </w:rPr>
  </w:style>
  <w:style w:type="paragraph" w:customStyle="1" w:styleId="AD3BE0FD3478984890A575BD7E9E9D0F">
    <w:name w:val="AD3BE0FD3478984890A575BD7E9E9D0F"/>
    <w:rsid w:val="00585559"/>
    <w:pPr>
      <w:spacing w:after="0" w:line="240" w:lineRule="auto"/>
    </w:pPr>
    <w:rPr>
      <w:sz w:val="24"/>
      <w:szCs w:val="24"/>
      <w:lang w:val="en-Z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6E69D-2E75-4A02-A39A-30C650D14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3.xml><?xml version="1.0" encoding="utf-8"?>
<ds:datastoreItem xmlns:ds="http://schemas.openxmlformats.org/officeDocument/2006/customXml" ds:itemID="{94E14274-DBAF-4E06-AA78-EE1FC78961D2}">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7D26891-6D71-4EE3-9B67-F3A8DCC3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8078</Words>
  <Characters>45018</Characters>
  <Application>Microsoft Office Word</Application>
  <DocSecurity>0</DocSecurity>
  <Lines>375</Lines>
  <Paragraphs>105</Paragraphs>
  <ScaleCrop>false</ScaleCrop>
  <HeadingPairs>
    <vt:vector size="6" baseType="variant">
      <vt:variant>
        <vt:lpstr>Title</vt:lpstr>
      </vt:variant>
      <vt:variant>
        <vt:i4>1</vt:i4>
      </vt:variant>
      <vt:variant>
        <vt:lpstr>Título</vt:lpstr>
      </vt:variant>
      <vt:variant>
        <vt:i4>1</vt:i4>
      </vt:variant>
      <vt:variant>
        <vt:lpstr/>
      </vt:variant>
      <vt:variant>
        <vt:i4>1</vt:i4>
      </vt:variant>
    </vt:vector>
  </HeadingPairs>
  <TitlesOfParts>
    <vt:vector size="3" baseType="lpstr">
      <vt:lpstr/>
      <vt:lpstr/>
      <vt:lpstr/>
    </vt:vector>
  </TitlesOfParts>
  <LinksUpToDate>false</LinksUpToDate>
  <CharactersWithSpaces>52991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2021-05-25T10:25:00Z</dcterms:created>
  <dcterms:modified xsi:type="dcterms:W3CDTF">2021-05-25T10:26:00Z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