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84" w:rsidRPr="007418A1" w:rsidRDefault="007418A1" w:rsidP="007F1E84">
      <w:pPr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bookmarkStart w:id="0" w:name="_GoBack"/>
      <w:bookmarkEnd w:id="0"/>
      <w:r w:rsidRPr="007418A1">
        <w:rPr>
          <w:rFonts w:ascii="Times New Roman" w:hAnsi="Times New Roman" w:cs="Times New Roman"/>
          <w:b/>
          <w:sz w:val="24"/>
          <w:szCs w:val="24"/>
          <w:lang w:val="en-AU"/>
        </w:rPr>
        <w:t>Contribution of Hungary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at the request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Siobhán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AU"/>
        </w:rPr>
        <w:t>Mullay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AU"/>
        </w:rPr>
        <w:t>, Special Rapporteur on trafficking in persons, especially women and children</w:t>
      </w:r>
    </w:p>
    <w:p w:rsidR="007418A1" w:rsidRPr="007418A1" w:rsidRDefault="007418A1" w:rsidP="007418A1">
      <w:pPr>
        <w:jc w:val="center"/>
        <w:rPr>
          <w:rFonts w:ascii="Times New Roman" w:hAnsi="Times New Roman" w:cs="Times New Roman"/>
          <w:i/>
          <w:sz w:val="24"/>
          <w:szCs w:val="24"/>
          <w:lang w:val="en-AU"/>
        </w:rPr>
      </w:pPr>
    </w:p>
    <w:p w:rsidR="003F1953" w:rsidRPr="003F1953" w:rsidRDefault="003F1953" w:rsidP="003F19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Examples of deprivation of citizenship as punishment against trafficked persons;</w:t>
      </w:r>
    </w:p>
    <w:p w:rsidR="003F1953" w:rsidRDefault="003F1953" w:rsidP="003F1953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Under Hungarian criminal law, no one may be deprived of his or her citizenship as a punishment.</w:t>
      </w:r>
    </w:p>
    <w:p w:rsidR="003F1953" w:rsidRDefault="003F1953" w:rsidP="003F19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3F1953">
        <w:rPr>
          <w:rFonts w:ascii="Times New Roman" w:hAnsi="Times New Roman" w:cs="Times New Roman"/>
          <w:i/>
          <w:sz w:val="24"/>
          <w:szCs w:val="24"/>
          <w:lang w:val="en-AU"/>
        </w:rPr>
        <w:t>The limits or challenges on the application of the non-punishment principle or discrimination in practice in implementation</w:t>
      </w:r>
      <w:r>
        <w:rPr>
          <w:rFonts w:ascii="Times New Roman" w:hAnsi="Times New Roman" w:cs="Times New Roman"/>
          <w:sz w:val="24"/>
          <w:szCs w:val="24"/>
          <w:lang w:val="en-AU"/>
        </w:rPr>
        <w:t>;</w:t>
      </w:r>
    </w:p>
    <w:p w:rsidR="009B21DB" w:rsidRPr="007418A1" w:rsidRDefault="009B21DB" w:rsidP="00471E9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740A3E">
        <w:rPr>
          <w:rFonts w:ascii="Times New Roman" w:hAnsi="Times New Roman" w:cs="Times New Roman"/>
          <w:sz w:val="24"/>
          <w:szCs w:val="24"/>
          <w:lang w:val="en-AU"/>
        </w:rPr>
        <w:t xml:space="preserve">Hungarian 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Government has stepped up its efforts to ensure </w:t>
      </w:r>
      <w:r w:rsidR="00E42DC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non-punishment of victims of human trafficking in recent years. The </w:t>
      </w:r>
      <w:r w:rsidR="008B200A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related activities 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include </w:t>
      </w:r>
      <w:r w:rsidR="008B200A" w:rsidRPr="007418A1">
        <w:rPr>
          <w:rFonts w:ascii="Times New Roman" w:hAnsi="Times New Roman" w:cs="Times New Roman"/>
          <w:sz w:val="24"/>
          <w:szCs w:val="24"/>
          <w:lang w:val="en-AU"/>
        </w:rPr>
        <w:t>legislative changes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and </w:t>
      </w:r>
      <w:r w:rsidR="007418A1" w:rsidRPr="007418A1">
        <w:rPr>
          <w:rFonts w:ascii="Times New Roman" w:hAnsi="Times New Roman" w:cs="Times New Roman"/>
          <w:sz w:val="24"/>
          <w:szCs w:val="24"/>
          <w:lang w:val="en-AU"/>
        </w:rPr>
        <w:t>attitude shaping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as well. </w:t>
      </w:r>
    </w:p>
    <w:p w:rsidR="009B21DB" w:rsidRPr="007418A1" w:rsidRDefault="009B21DB" w:rsidP="00471E96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In our experience, </w:t>
      </w:r>
      <w:r w:rsidR="008B200A" w:rsidRPr="007418A1">
        <w:rPr>
          <w:rStyle w:val="jlqj4b"/>
          <w:rFonts w:ascii="Times New Roman" w:hAnsi="Times New Roman" w:cs="Times New Roman"/>
          <w:sz w:val="24"/>
          <w:szCs w:val="24"/>
          <w:lang w:val="en-AU"/>
        </w:rPr>
        <w:t xml:space="preserve">the cases when </w:t>
      </w:r>
      <w:r w:rsidR="008B200A" w:rsidRPr="007418A1">
        <w:rPr>
          <w:rFonts w:ascii="Times New Roman" w:hAnsi="Times New Roman" w:cs="Times New Roman"/>
          <w:sz w:val="24"/>
          <w:szCs w:val="24"/>
          <w:lang w:val="en-AU"/>
        </w:rPr>
        <w:t>victims may face criminal charges</w:t>
      </w:r>
      <w:r w:rsidR="007418A1">
        <w:rPr>
          <w:rStyle w:val="jlqj4b"/>
          <w:rFonts w:ascii="Times New Roman" w:hAnsi="Times New Roman" w:cs="Times New Roman"/>
          <w:sz w:val="24"/>
          <w:szCs w:val="24"/>
          <w:lang w:val="en-AU"/>
        </w:rPr>
        <w:t xml:space="preserve"> are diverse, but can </w:t>
      </w:r>
      <w:r w:rsidR="008B200A" w:rsidRPr="007418A1">
        <w:rPr>
          <w:rStyle w:val="jlqj4b"/>
          <w:rFonts w:ascii="Times New Roman" w:hAnsi="Times New Roman" w:cs="Times New Roman"/>
          <w:sz w:val="24"/>
          <w:szCs w:val="24"/>
          <w:lang w:val="en-AU"/>
        </w:rPr>
        <w:t>ultimately be divided into two main parts</w:t>
      </w:r>
      <w:r w:rsidR="007418A1">
        <w:rPr>
          <w:rStyle w:val="jlqj4b"/>
          <w:rFonts w:ascii="Times New Roman" w:hAnsi="Times New Roman" w:cs="Times New Roman"/>
          <w:sz w:val="24"/>
          <w:szCs w:val="24"/>
          <w:lang w:val="en-AU"/>
        </w:rPr>
        <w:t>: (</w:t>
      </w:r>
      <w:proofErr w:type="spellStart"/>
      <w:r w:rsidR="007418A1">
        <w:rPr>
          <w:rStyle w:val="jlqj4b"/>
          <w:rFonts w:ascii="Times New Roman" w:hAnsi="Times New Roman" w:cs="Times New Roman"/>
          <w:sz w:val="24"/>
          <w:szCs w:val="24"/>
          <w:lang w:val="en-AU"/>
        </w:rPr>
        <w:t>i</w:t>
      </w:r>
      <w:proofErr w:type="spellEnd"/>
      <w:r w:rsidR="007418A1">
        <w:rPr>
          <w:rStyle w:val="jlqj4b"/>
          <w:rFonts w:ascii="Times New Roman" w:hAnsi="Times New Roman" w:cs="Times New Roman"/>
          <w:sz w:val="24"/>
          <w:szCs w:val="24"/>
          <w:lang w:val="en-AU"/>
        </w:rPr>
        <w:t xml:space="preserve">) victims are forced to commit different types of crimes, such as 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>shoplifting</w:t>
      </w:r>
      <w:r w:rsidR="007418A1">
        <w:rPr>
          <w:rFonts w:ascii="Times New Roman" w:hAnsi="Times New Roman" w:cs="Times New Roman"/>
          <w:sz w:val="24"/>
          <w:szCs w:val="24"/>
          <w:lang w:val="en-AU"/>
        </w:rPr>
        <w:t xml:space="preserve"> or pickpocketing; and (ii)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victim</w:t>
      </w:r>
      <w:r w:rsidR="007418A1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418A1">
        <w:rPr>
          <w:rFonts w:ascii="Times New Roman" w:hAnsi="Times New Roman" w:cs="Times New Roman"/>
          <w:sz w:val="24"/>
          <w:szCs w:val="24"/>
          <w:lang w:val="en-AU"/>
        </w:rPr>
        <w:t>are</w:t>
      </w:r>
      <w:r w:rsidR="008B200A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caught in breach of t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>he prohibitio</w:t>
      </w:r>
      <w:r w:rsidR="00E759D2" w:rsidRPr="007418A1">
        <w:rPr>
          <w:rFonts w:ascii="Times New Roman" w:hAnsi="Times New Roman" w:cs="Times New Roman"/>
          <w:sz w:val="24"/>
          <w:szCs w:val="24"/>
          <w:lang w:val="en-AU"/>
        </w:rPr>
        <w:t>n of offering sexual services.</w:t>
      </w:r>
    </w:p>
    <w:p w:rsidR="0015665D" w:rsidRPr="007418A1" w:rsidRDefault="008B200A" w:rsidP="00E759D2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Instead of a 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non-punishment provision 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specifically 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applying to victims of trafficking, </w:t>
      </w:r>
      <w:r w:rsidR="00183E25" w:rsidRPr="007418A1">
        <w:rPr>
          <w:rFonts w:ascii="Times New Roman" w:hAnsi="Times New Roman" w:cs="Times New Roman"/>
          <w:sz w:val="24"/>
          <w:szCs w:val="24"/>
          <w:lang w:val="en-AU"/>
        </w:rPr>
        <w:t>the Criminal Code</w:t>
      </w:r>
      <w:r w:rsidR="007418A1">
        <w:rPr>
          <w:rFonts w:ascii="Times New Roman" w:hAnsi="Times New Roman" w:cs="Times New Roman"/>
          <w:sz w:val="24"/>
          <w:szCs w:val="24"/>
          <w:lang w:val="en-AU"/>
        </w:rPr>
        <w:t xml:space="preserve"> applies a general list of criteria, indicated</w:t>
      </w:r>
      <w:r w:rsidR="00E42DC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under the heading 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t>“</w:t>
      </w:r>
      <w:r w:rsidR="0015665D" w:rsidRPr="007418A1">
        <w:rPr>
          <w:rFonts w:ascii="Times New Roman" w:hAnsi="Times New Roman" w:cs="Times New Roman"/>
          <w:i/>
          <w:sz w:val="24"/>
          <w:szCs w:val="24"/>
          <w:lang w:val="en-AU"/>
        </w:rPr>
        <w:t>reasons for excluding or limiting liability to punishment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t>”</w:t>
      </w:r>
      <w:r w:rsidR="00E42DCB" w:rsidRPr="007418A1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4B06B8" w:rsidRPr="007418A1" w:rsidRDefault="007418A1" w:rsidP="00EB44E4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The grounds that exclude or limit criminal liability are as follows</w:t>
      </w:r>
      <w:r w:rsidR="00E42DCB" w:rsidRPr="007418A1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br/>
        <w:t>a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>) infancy,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  <w:t>b) mental disorder,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  <w:t>c) coercion or threat,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  <w:t>d) error,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  <w:t>e) justifiable defence,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  <w:t>f) necessity,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lastRenderedPageBreak/>
        <w:t>g) permission by law,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br/>
        <w:t>h) any other reason specified in an Act.</w:t>
      </w:r>
    </w:p>
    <w:p w:rsidR="009B21DB" w:rsidRDefault="0015665D" w:rsidP="00EB44E4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>Obvi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>o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>sly</w:t>
      </w:r>
      <w:r w:rsidR="007418A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coercion or threat 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is best applied to trafficking cases. </w:t>
      </w:r>
      <w:r w:rsidR="009B21D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Article 19 (1) of the Criminal Code 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stipulates that </w:t>
      </w:r>
      <w:r w:rsidR="009B21D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a person shall not be liable to punishment if he/she commits a punishable act under coercion or threat which prevents him from acting in </w:t>
      </w:r>
      <w:r w:rsidR="003F1953">
        <w:rPr>
          <w:rFonts w:ascii="Times New Roman" w:hAnsi="Times New Roman" w:cs="Times New Roman"/>
          <w:sz w:val="24"/>
          <w:szCs w:val="24"/>
          <w:lang w:val="en-AU"/>
        </w:rPr>
        <w:t>line with his/her own will.</w:t>
      </w:r>
      <w:r w:rsidR="009B21D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F1953">
        <w:rPr>
          <w:rFonts w:ascii="Times New Roman" w:hAnsi="Times New Roman" w:cs="Times New Roman"/>
          <w:sz w:val="24"/>
          <w:szCs w:val="24"/>
          <w:lang w:val="en-AU"/>
        </w:rPr>
        <w:t>Further,</w:t>
      </w:r>
      <w:r w:rsidR="009B21D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under Paragraph (2), the punishment may be reduced without limitation if the coercion or threat limits the ability of the perpetrator of a criminal offence to act in line with his own will.</w:t>
      </w:r>
    </w:p>
    <w:p w:rsidR="003F1953" w:rsidRPr="003F1953" w:rsidRDefault="003F1953" w:rsidP="003F19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Information on laws and policies on the implementation of the non</w:t>
      </w:r>
      <w:r w:rsidRPr="003F1953">
        <w:rPr>
          <w:rFonts w:ascii="Times New Roman" w:hAnsi="Times New Roman" w:cs="Times New Roman"/>
          <w:i/>
          <w:sz w:val="24"/>
          <w:szCs w:val="24"/>
          <w:lang w:val="en-AU"/>
        </w:rPr>
        <w:t>-punishment principle</w:t>
      </w:r>
    </w:p>
    <w:p w:rsidR="0015665D" w:rsidRPr="007418A1" w:rsidRDefault="003F1953" w:rsidP="00EB44E4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t>n e</w:t>
      </w:r>
      <w:r w:rsidR="00FD427E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xplicit non-punishment provision applies to minors providing sexual services. 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t>Hungary’s National Strategy against Trafficking in Human Beings (2020–2023) and the action plan on measures to be implemented in 2020–2021</w:t>
      </w:r>
      <w:r w:rsidR="0015665D" w:rsidRPr="007418A1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t>was</w:t>
      </w:r>
      <w:r w:rsidR="0015665D" w:rsidRPr="007418A1">
        <w:rPr>
          <w:rFonts w:ascii="Times New Roman" w:hAnsi="Times New Roman" w:cs="Times New Roman"/>
          <w:i/>
          <w:sz w:val="24"/>
          <w:szCs w:val="24"/>
          <w:lang w:val="en-AU"/>
        </w:rPr>
        <w:t xml:space="preserve"> </w:t>
      </w:r>
      <w:r w:rsidR="00E759D2" w:rsidRPr="007418A1">
        <w:rPr>
          <w:rFonts w:ascii="Times New Roman" w:hAnsi="Times New Roman" w:cs="Times New Roman"/>
          <w:sz w:val="24"/>
          <w:szCs w:val="24"/>
          <w:lang w:val="en-AU"/>
        </w:rPr>
        <w:t>endorsed</w:t>
      </w:r>
      <w:r w:rsidR="0015665D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in February 2020 by Government Decision No. 1046/2020 (II. 18.). with the aim of, among other priorities, protecting children from sexual exploitation.</w:t>
      </w:r>
      <w:r w:rsidR="00EB44E4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B44E4" w:rsidRPr="007418A1">
        <w:rPr>
          <w:rFonts w:ascii="Times New Roman" w:hAnsi="Times New Roman" w:cs="Times New Roman"/>
          <w:i/>
          <w:sz w:val="24"/>
          <w:szCs w:val="24"/>
          <w:lang w:val="en-AU"/>
        </w:rPr>
        <w:t>Act V of 2020 on the amendment of certain laws to prevent the exploitation of victims of human trafficking</w:t>
      </w:r>
      <w:r w:rsidR="00EB44E4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was adopted by the Parliament on 10 March in this spirit. </w:t>
      </w:r>
      <w:r w:rsidR="00E42DCB" w:rsidRPr="007418A1">
        <w:rPr>
          <w:rFonts w:ascii="Times New Roman" w:hAnsi="Times New Roman" w:cs="Times New Roman"/>
          <w:sz w:val="24"/>
          <w:szCs w:val="24"/>
          <w:lang w:val="en-AU"/>
        </w:rPr>
        <w:t>In the framework of the amendment</w:t>
      </w:r>
      <w:r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42DCB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B44E4" w:rsidRPr="007418A1">
        <w:rPr>
          <w:rFonts w:ascii="Times New Roman" w:hAnsi="Times New Roman" w:cs="Times New Roman"/>
          <w:i/>
          <w:sz w:val="24"/>
          <w:szCs w:val="24"/>
          <w:lang w:val="en-AU"/>
        </w:rPr>
        <w:t>Act on Organized Crime</w:t>
      </w:r>
      <w:r w:rsidR="00EB44E4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stipulates that persons under the age of 18 may not offer sexual services. A new section was added </w:t>
      </w:r>
      <w:r w:rsidR="00E759D2" w:rsidRPr="007418A1">
        <w:rPr>
          <w:rFonts w:ascii="Times New Roman" w:hAnsi="Times New Roman" w:cs="Times New Roman"/>
          <w:lang w:val="en-AU"/>
        </w:rPr>
        <w:t xml:space="preserve">to </w:t>
      </w:r>
      <w:r w:rsidR="00EB44E4" w:rsidRPr="007418A1">
        <w:rPr>
          <w:rFonts w:ascii="Times New Roman" w:hAnsi="Times New Roman" w:cs="Times New Roman"/>
          <w:lang w:val="en-AU"/>
        </w:rPr>
        <w:t xml:space="preserve">the </w:t>
      </w:r>
      <w:r w:rsidR="00EB44E4" w:rsidRPr="007418A1">
        <w:rPr>
          <w:rFonts w:ascii="Times New Roman" w:hAnsi="Times New Roman" w:cs="Times New Roman"/>
          <w:i/>
          <w:lang w:val="en-AU"/>
        </w:rPr>
        <w:t>Act on Minor</w:t>
      </w:r>
      <w:r w:rsidR="00EB44E4" w:rsidRPr="007418A1">
        <w:rPr>
          <w:rFonts w:ascii="Times New Roman" w:hAnsi="Times New Roman" w:cs="Times New Roman"/>
          <w:lang w:val="en-AU"/>
        </w:rPr>
        <w:t xml:space="preserve"> </w:t>
      </w:r>
      <w:r w:rsidR="00EB44E4" w:rsidRPr="007418A1">
        <w:rPr>
          <w:rFonts w:ascii="Times New Roman" w:hAnsi="Times New Roman" w:cs="Times New Roman"/>
          <w:i/>
          <w:lang w:val="en-AU"/>
        </w:rPr>
        <w:t>Offences</w:t>
      </w:r>
      <w:r w:rsidR="00EB44E4" w:rsidRPr="007418A1">
        <w:rPr>
          <w:rFonts w:ascii="Times New Roman" w:hAnsi="Times New Roman" w:cs="Times New Roman"/>
          <w:lang w:val="en-AU"/>
        </w:rPr>
        <w:t xml:space="preserve"> as well: </w:t>
      </w:r>
      <w:r w:rsidR="00EB44E4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the violation of prohibition of offering sexual services is not punishable if the offender has not attained the age of 18 at the time of the commission of the act – in practice, it means that prostitutes below the age of majority are treated as presumed victims of human trafficking 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by the law, </w:t>
      </w:r>
      <w:r w:rsidR="00EB44E4" w:rsidRPr="007418A1">
        <w:rPr>
          <w:rFonts w:ascii="Times New Roman" w:hAnsi="Times New Roman" w:cs="Times New Roman"/>
          <w:sz w:val="24"/>
          <w:szCs w:val="24"/>
          <w:lang w:val="en-AU"/>
        </w:rPr>
        <w:t>and not pe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>rpetrators</w:t>
      </w:r>
      <w:r w:rsidR="00EB44E4" w:rsidRPr="007418A1">
        <w:rPr>
          <w:rFonts w:ascii="Times New Roman" w:hAnsi="Times New Roman" w:cs="Times New Roman"/>
          <w:sz w:val="24"/>
          <w:szCs w:val="24"/>
          <w:lang w:val="en-AU"/>
        </w:rPr>
        <w:t>, so offence procedure against cannot be commenced against them.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r w:rsidR="00962DFA" w:rsidRPr="007418A1">
        <w:rPr>
          <w:rFonts w:ascii="Times New Roman" w:hAnsi="Times New Roman" w:cs="Times New Roman"/>
          <w:sz w:val="24"/>
          <w:szCs w:val="24"/>
          <w:lang w:val="en-AU"/>
        </w:rPr>
        <w:t>Note: t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his is applicable to minors aged between 14 and 18, </w:t>
      </w:r>
      <w:r w:rsidR="00595E46" w:rsidRPr="007418A1">
        <w:rPr>
          <w:rFonts w:ascii="Times New Roman" w:hAnsi="Times New Roman" w:cs="Times New Roman"/>
          <w:sz w:val="24"/>
          <w:szCs w:val="24"/>
          <w:lang w:val="en-AU"/>
        </w:rPr>
        <w:t>considering that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children below 14 years of age are exempted from liability by the general principles</w:t>
      </w:r>
      <w:r w:rsidR="00595E4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46296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as referred to </w:t>
      </w:r>
      <w:r w:rsidR="00595E46" w:rsidRPr="007418A1">
        <w:rPr>
          <w:rFonts w:ascii="Times New Roman" w:hAnsi="Times New Roman" w:cs="Times New Roman"/>
          <w:sz w:val="24"/>
          <w:szCs w:val="24"/>
          <w:lang w:val="en-AU"/>
        </w:rPr>
        <w:t>above</w:t>
      </w:r>
      <w:r w:rsidR="00962DFA" w:rsidRPr="007418A1">
        <w:rPr>
          <w:rFonts w:ascii="Times New Roman" w:hAnsi="Times New Roman" w:cs="Times New Roman"/>
          <w:sz w:val="24"/>
          <w:szCs w:val="24"/>
          <w:lang w:val="en-AU"/>
        </w:rPr>
        <w:t>.)</w:t>
      </w:r>
    </w:p>
    <w:p w:rsidR="00EB44E4" w:rsidRPr="007418A1" w:rsidRDefault="00EB44E4" w:rsidP="00EB44E4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Now these minors receive adequate victim support services. The referral mechanism is laid down in the </w:t>
      </w:r>
      <w:r w:rsidRPr="007418A1">
        <w:rPr>
          <w:rFonts w:ascii="Times New Roman" w:hAnsi="Times New Roman" w:cs="Times New Roman"/>
          <w:i/>
          <w:sz w:val="24"/>
          <w:szCs w:val="24"/>
          <w:lang w:val="en-AU"/>
        </w:rPr>
        <w:t xml:space="preserve">Child Protection </w:t>
      </w:r>
      <w:r w:rsidRPr="007418A1">
        <w:rPr>
          <w:rFonts w:ascii="Times New Roman" w:hAnsi="Times New Roman" w:cs="Times New Roman"/>
          <w:i/>
          <w:sz w:val="24"/>
          <w:szCs w:val="24"/>
          <w:lang w:val="en-AU"/>
        </w:rPr>
        <w:lastRenderedPageBreak/>
        <w:t>Act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>: the police appl</w:t>
      </w:r>
      <w:r w:rsidR="003F1953">
        <w:rPr>
          <w:rFonts w:ascii="Times New Roman" w:hAnsi="Times New Roman" w:cs="Times New Roman"/>
          <w:sz w:val="24"/>
          <w:szCs w:val="24"/>
          <w:lang w:val="en-AU"/>
        </w:rPr>
        <w:t>ies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a so-called general protection measure and take the minor to the designated special childcare institution. </w:t>
      </w:r>
      <w:r w:rsidR="00B0529A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The National Police Headquarters modified </w:t>
      </w:r>
      <w:r w:rsidR="003F1953">
        <w:rPr>
          <w:rFonts w:ascii="Times New Roman" w:hAnsi="Times New Roman" w:cs="Times New Roman"/>
          <w:sz w:val="24"/>
          <w:szCs w:val="24"/>
          <w:lang w:val="en-AU"/>
        </w:rPr>
        <w:t>their</w:t>
      </w:r>
      <w:r w:rsidR="00B0529A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internal instruction on the implementation of police tasks connected to prostitution-related offenses and trafficking in human beings accordingly. In such cases, the g</w:t>
      </w:r>
      <w:r w:rsidRPr="007418A1">
        <w:rPr>
          <w:rFonts w:ascii="Times New Roman" w:hAnsi="Times New Roman" w:cs="Times New Roman"/>
          <w:sz w:val="24"/>
          <w:szCs w:val="24"/>
          <w:lang w:val="en-AU"/>
        </w:rPr>
        <w:t>uardianship authority is notified without delay, though the placement is an immediately enforceable decision, and not subject to prior decision of the guardianship authority.</w:t>
      </w:r>
    </w:p>
    <w:p w:rsidR="00AE3C95" w:rsidRDefault="00B43214" w:rsidP="00AE3C95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All these amendments came into force on 1 July 2020. </w:t>
      </w:r>
      <w:r w:rsidR="00AE3C95" w:rsidRPr="007418A1">
        <w:rPr>
          <w:rFonts w:ascii="Times New Roman" w:hAnsi="Times New Roman" w:cs="Times New Roman"/>
          <w:sz w:val="24"/>
          <w:szCs w:val="24"/>
          <w:lang w:val="en-AU"/>
        </w:rPr>
        <w:t>The</w:t>
      </w:r>
      <w:r w:rsidR="008F3360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E3C95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regulations are in line with </w:t>
      </w:r>
      <w:r w:rsidR="00AE3C95" w:rsidRPr="007418A1">
        <w:rPr>
          <w:rFonts w:ascii="Times New Roman" w:hAnsi="Times New Roman" w:cs="Times New Roman"/>
          <w:i/>
          <w:sz w:val="24"/>
          <w:szCs w:val="24"/>
          <w:lang w:val="en-AU"/>
        </w:rPr>
        <w:t>Directive 2011/36/EU of the European Parliament and of the Council</w:t>
      </w:r>
      <w:r w:rsidR="00AE3C95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declaring that “[v]</w:t>
      </w:r>
      <w:proofErr w:type="spellStart"/>
      <w:r w:rsidR="00AE3C95" w:rsidRPr="007418A1">
        <w:rPr>
          <w:rFonts w:ascii="Times New Roman" w:hAnsi="Times New Roman" w:cs="Times New Roman"/>
          <w:sz w:val="24"/>
          <w:szCs w:val="24"/>
          <w:lang w:val="en-AU"/>
        </w:rPr>
        <w:t>ictims</w:t>
      </w:r>
      <w:proofErr w:type="spellEnd"/>
      <w:r w:rsidR="00AE3C95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of trafficking in human beings should, in accordance with the basic principles of the legal systems of the relevant Member States, be protected from prosecution or punishment for criminal activities.”</w:t>
      </w:r>
    </w:p>
    <w:p w:rsidR="003F1953" w:rsidRPr="007418A1" w:rsidRDefault="003F1953" w:rsidP="00AE3C95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4B06B8" w:rsidRPr="007418A1" w:rsidRDefault="00B0529A" w:rsidP="00EB44E4">
      <w:p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7418A1">
        <w:rPr>
          <w:rFonts w:ascii="Times New Roman" w:hAnsi="Times New Roman" w:cs="Times New Roman"/>
          <w:sz w:val="24"/>
          <w:szCs w:val="24"/>
          <w:lang w:val="en-AU"/>
        </w:rPr>
        <w:t>We have so far presented the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legal environment, but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it’s important to put emphasis on 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the right application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>as well, and here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come to the picture the training activities and 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>attitude-shaping. The Ministry of Interior regularly organize</w:t>
      </w:r>
      <w:r w:rsidR="00F47C83" w:rsidRPr="007418A1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sensitivity trainings for investigators, judges and prosecutors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B06B8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from three counties of Hungary each time.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>During these events</w:t>
      </w:r>
      <w:r w:rsidR="003F1953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the </w:t>
      </w:r>
      <w:r w:rsidR="00FD427E" w:rsidRPr="007418A1">
        <w:rPr>
          <w:rFonts w:ascii="Times New Roman" w:hAnsi="Times New Roman" w:cs="Times New Roman"/>
          <w:sz w:val="24"/>
          <w:szCs w:val="24"/>
          <w:lang w:val="en-AU"/>
        </w:rPr>
        <w:t>actors of the criminal procedure are seated around the same table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D427E" w:rsidRPr="007418A1">
        <w:rPr>
          <w:rFonts w:ascii="Times New Roman" w:hAnsi="Times New Roman" w:cs="Times New Roman"/>
          <w:sz w:val="24"/>
          <w:szCs w:val="24"/>
          <w:lang w:val="en-AU"/>
        </w:rPr>
        <w:t>and rehearse practical cooperation through case studies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F47C83" w:rsidRPr="007418A1">
        <w:rPr>
          <w:rFonts w:ascii="Times New Roman" w:hAnsi="Times New Roman" w:cs="Times New Roman"/>
          <w:sz w:val="24"/>
          <w:szCs w:val="24"/>
          <w:lang w:val="en-AU"/>
        </w:rPr>
        <w:t>In addition to this, t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here are </w:t>
      </w:r>
      <w:r w:rsidR="003F1953">
        <w:rPr>
          <w:rFonts w:ascii="Times New Roman" w:hAnsi="Times New Roman" w:cs="Times New Roman"/>
          <w:sz w:val="24"/>
          <w:szCs w:val="24"/>
          <w:lang w:val="en-AU"/>
        </w:rPr>
        <w:t>numerous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other training initiat</w:t>
      </w:r>
      <w:r w:rsidR="00E759D2" w:rsidRPr="007418A1">
        <w:rPr>
          <w:rFonts w:ascii="Times New Roman" w:hAnsi="Times New Roman" w:cs="Times New Roman"/>
          <w:sz w:val="24"/>
          <w:szCs w:val="24"/>
          <w:lang w:val="en-AU"/>
        </w:rPr>
        <w:t>i</w:t>
      </w:r>
      <w:r w:rsidR="00F7767D" w:rsidRPr="007418A1">
        <w:rPr>
          <w:rFonts w:ascii="Times New Roman" w:hAnsi="Times New Roman" w:cs="Times New Roman"/>
          <w:sz w:val="24"/>
          <w:szCs w:val="24"/>
          <w:lang w:val="en-AU"/>
        </w:rPr>
        <w:t>v</w:t>
      </w:r>
      <w:r w:rsidR="00E759D2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es for different professionals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which, above the general knowledge and sensitization </w:t>
      </w:r>
      <w:r w:rsidR="00F7767D" w:rsidRPr="007418A1">
        <w:rPr>
          <w:rFonts w:ascii="Times New Roman" w:hAnsi="Times New Roman" w:cs="Times New Roman"/>
          <w:sz w:val="24"/>
          <w:szCs w:val="24"/>
          <w:lang w:val="en-AU"/>
        </w:rPr>
        <w:t>on the issue of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human trafficking</w:t>
      </w:r>
      <w:r w:rsidR="004062DB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 convey </w:t>
      </w:r>
      <w:r w:rsidR="00F7767D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message that </w:t>
      </w:r>
      <w:r w:rsidR="004062DB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11E87" w:rsidRPr="007418A1">
        <w:rPr>
          <w:rFonts w:ascii="Times New Roman" w:hAnsi="Times New Roman" w:cs="Times New Roman"/>
          <w:sz w:val="24"/>
          <w:szCs w:val="24"/>
          <w:lang w:val="en-AU"/>
        </w:rPr>
        <w:t xml:space="preserve">victims’ consent in trafficking cases is only a false appearance and thus irrelevant, and exploited persons must not be punished for unlawful acts. </w:t>
      </w:r>
    </w:p>
    <w:p w:rsidR="00FD427E" w:rsidRPr="007418A1" w:rsidRDefault="00FD427E">
      <w:pPr>
        <w:rPr>
          <w:lang w:val="en-AU"/>
        </w:rPr>
      </w:pPr>
    </w:p>
    <w:sectPr w:rsidR="00FD427E" w:rsidRPr="0074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00B92"/>
    <w:multiLevelType w:val="hybridMultilevel"/>
    <w:tmpl w:val="207488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39"/>
    <w:rsid w:val="0015665D"/>
    <w:rsid w:val="001644E2"/>
    <w:rsid w:val="00183E25"/>
    <w:rsid w:val="003076B7"/>
    <w:rsid w:val="003F1953"/>
    <w:rsid w:val="004062DB"/>
    <w:rsid w:val="00471E96"/>
    <w:rsid w:val="004724F2"/>
    <w:rsid w:val="004B06B8"/>
    <w:rsid w:val="00511E87"/>
    <w:rsid w:val="00595E46"/>
    <w:rsid w:val="006F64D8"/>
    <w:rsid w:val="00740A3E"/>
    <w:rsid w:val="007418A1"/>
    <w:rsid w:val="00746296"/>
    <w:rsid w:val="007F1E84"/>
    <w:rsid w:val="008B200A"/>
    <w:rsid w:val="008B4DCE"/>
    <w:rsid w:val="008F3360"/>
    <w:rsid w:val="00962DFA"/>
    <w:rsid w:val="009B21DB"/>
    <w:rsid w:val="00AE3C95"/>
    <w:rsid w:val="00AE7139"/>
    <w:rsid w:val="00B0529A"/>
    <w:rsid w:val="00B43214"/>
    <w:rsid w:val="00E42DCB"/>
    <w:rsid w:val="00E759D2"/>
    <w:rsid w:val="00EB44E4"/>
    <w:rsid w:val="00F47C83"/>
    <w:rsid w:val="00F7767D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F1BC6-919B-4B7E-ADC6-87F7910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8B200A"/>
  </w:style>
  <w:style w:type="paragraph" w:styleId="ListParagraph">
    <w:name w:val="List Paragraph"/>
    <w:basedOn w:val="Normal"/>
    <w:uiPriority w:val="34"/>
    <w:qFormat/>
    <w:rsid w:val="003F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B3D61-CD9A-457A-A969-02C2190AEF55}"/>
</file>

<file path=customXml/itemProps2.xml><?xml version="1.0" encoding="utf-8"?>
<ds:datastoreItem xmlns:ds="http://schemas.openxmlformats.org/officeDocument/2006/customXml" ds:itemID="{4D897974-C373-4D8D-B1A6-37A34AA8A1EA}"/>
</file>

<file path=customXml/itemProps3.xml><?xml version="1.0" encoding="utf-8"?>
<ds:datastoreItem xmlns:ds="http://schemas.openxmlformats.org/officeDocument/2006/customXml" ds:itemID="{B4FCA883-8AE2-4C4B-BBF8-92E024804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Márton</dc:creator>
  <cp:keywords/>
  <dc:description/>
  <cp:lastModifiedBy>ASENSIO PEREZ Vanessa</cp:lastModifiedBy>
  <cp:revision>2</cp:revision>
  <dcterms:created xsi:type="dcterms:W3CDTF">2021-02-11T09:01:00Z</dcterms:created>
  <dcterms:modified xsi:type="dcterms:W3CDTF">2021-02-11T09:01:00Z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