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23" w:rsidRPr="00206F50" w:rsidRDefault="00BE340D" w:rsidP="00BE340D">
      <w:pPr>
        <w:spacing w:line="276" w:lineRule="auto"/>
        <w:jc w:val="center"/>
        <w:rPr>
          <w:rFonts w:ascii="StobiSerif Regular" w:hAnsi="StobiSerif Regular"/>
          <w:b/>
          <w:sz w:val="22"/>
          <w:szCs w:val="22"/>
          <w:lang w:val="en-US"/>
        </w:rPr>
      </w:pPr>
      <w:bookmarkStart w:id="0" w:name="_GoBack"/>
      <w:bookmarkEnd w:id="0"/>
      <w:r w:rsidRPr="00206F50">
        <w:rPr>
          <w:rFonts w:ascii="StobiSerif Regular" w:hAnsi="StobiSerif Regular"/>
          <w:b/>
          <w:sz w:val="22"/>
          <w:szCs w:val="22"/>
          <w:lang w:val="en-US"/>
        </w:rPr>
        <w:t xml:space="preserve">Information provided by the Government of North Macedonia on the questions raised by the mandate of the Special Rapporteur on </w:t>
      </w:r>
      <w:bookmarkStart w:id="1" w:name="_Hlk63855872"/>
      <w:r w:rsidRPr="00206F50">
        <w:rPr>
          <w:rFonts w:ascii="StobiSerif Regular" w:hAnsi="StobiSerif Regular"/>
          <w:b/>
          <w:sz w:val="22"/>
          <w:szCs w:val="22"/>
          <w:lang w:val="en-US"/>
        </w:rPr>
        <w:t xml:space="preserve">trafficking in persons, especially women and children </w:t>
      </w:r>
      <w:bookmarkEnd w:id="1"/>
    </w:p>
    <w:p w:rsidR="00737D5D" w:rsidRPr="00B768B0" w:rsidRDefault="00737D5D" w:rsidP="00925820">
      <w:pPr>
        <w:spacing w:line="276" w:lineRule="auto"/>
        <w:jc w:val="center"/>
        <w:rPr>
          <w:rFonts w:ascii="Arial Narrow" w:hAnsi="Arial Narrow"/>
          <w:b/>
          <w:sz w:val="22"/>
          <w:szCs w:val="22"/>
        </w:rPr>
      </w:pPr>
    </w:p>
    <w:p w:rsidR="00206F50" w:rsidRDefault="00737D5D" w:rsidP="00206F50">
      <w:pPr>
        <w:spacing w:line="276" w:lineRule="auto"/>
        <w:rPr>
          <w:rFonts w:ascii="Arial Narrow" w:hAnsi="Arial Narrow"/>
          <w:sz w:val="22"/>
          <w:szCs w:val="22"/>
          <w:lang w:val="en-GB"/>
        </w:rPr>
      </w:pPr>
      <w:r>
        <w:rPr>
          <w:rFonts w:ascii="Arial Narrow" w:hAnsi="Arial Narrow"/>
          <w:sz w:val="22"/>
          <w:szCs w:val="22"/>
        </w:rPr>
        <w:t xml:space="preserve">    </w:t>
      </w:r>
    </w:p>
    <w:p w:rsidR="00BE340D" w:rsidRPr="00206F50" w:rsidRDefault="00BE340D" w:rsidP="00480C5B">
      <w:pPr>
        <w:ind w:firstLine="720"/>
        <w:rPr>
          <w:rFonts w:ascii="StobiSerif Regular" w:hAnsi="StobiSerif Regular"/>
          <w:sz w:val="22"/>
          <w:szCs w:val="22"/>
          <w:lang w:val="en-GB"/>
        </w:rPr>
      </w:pPr>
      <w:r w:rsidRPr="00206F50">
        <w:rPr>
          <w:rFonts w:ascii="StobiSerif Regular" w:hAnsi="StobiSerif Regular"/>
          <w:sz w:val="22"/>
          <w:szCs w:val="22"/>
          <w:lang w:val="en-US"/>
        </w:rPr>
        <w:t xml:space="preserve"> In reply to the letter of the Special Rapporteur on trafficking in persons, especially women and children of 14 December 2020, the Government of North Macedonia provides the following information:</w:t>
      </w:r>
    </w:p>
    <w:p w:rsidR="008E4D70" w:rsidRPr="00206F50" w:rsidRDefault="008E4D70" w:rsidP="00206F50">
      <w:pPr>
        <w:rPr>
          <w:rFonts w:ascii="StobiSerif Regular" w:hAnsi="StobiSerif Regular"/>
          <w:bCs/>
          <w:sz w:val="22"/>
          <w:szCs w:val="22"/>
          <w:u w:val="single"/>
          <w:lang w:val="en-GB"/>
        </w:rPr>
      </w:pPr>
    </w:p>
    <w:p w:rsidR="00737D5D" w:rsidRPr="00206F50" w:rsidRDefault="00206F50"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w:t>
      </w:r>
      <w:r w:rsidR="00737D5D" w:rsidRPr="00206F50">
        <w:rPr>
          <w:rFonts w:ascii="StobiSerif Regular" w:hAnsi="StobiSerif Regular"/>
          <w:sz w:val="22"/>
          <w:szCs w:val="22"/>
          <w:lang w:val="en-GB"/>
        </w:rPr>
        <w:t>he definitions in the Criminal Code in Article 122, define the term "victim" in an extensive manner: A victim of a crime shall refer to any individual who has suffered damage, including physical or mental injuries, emotional suffering, material loss or other injury or threat of the basic freedoms and rights as a consequence of a committed crime. A child – victim of a crime shall refer to a juvenile, younger than the age of 18.</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The notion of a victim, in the narrower meaning of "trafficked person", should be derived from the legal definition of incrimination and enforcement actions focused on the individual that the perpetrator intends to use as a means of exploitation.</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The</w:t>
      </w:r>
      <w:r w:rsidR="003B4EA1" w:rsidRPr="00206F50">
        <w:rPr>
          <w:rFonts w:ascii="StobiSerif Regular" w:hAnsi="StobiSerif Regular"/>
          <w:sz w:val="22"/>
          <w:szCs w:val="22"/>
          <w:lang w:val="en-GB"/>
        </w:rPr>
        <w:t xml:space="preserve"> </w:t>
      </w:r>
      <w:r w:rsidRPr="00206F50">
        <w:rPr>
          <w:rFonts w:ascii="StobiSerif Regular" w:hAnsi="StobiSerif Regular"/>
          <w:sz w:val="22"/>
          <w:szCs w:val="22"/>
          <w:lang w:val="en-GB"/>
        </w:rPr>
        <w:t>victims</w:t>
      </w:r>
      <w:r w:rsidR="00F37641" w:rsidRPr="00206F50">
        <w:rPr>
          <w:rFonts w:ascii="StobiSerif Regular" w:hAnsi="StobiSerif Regular"/>
          <w:sz w:val="22"/>
          <w:szCs w:val="22"/>
          <w:lang w:val="en-GB"/>
        </w:rPr>
        <w:t xml:space="preserve"> </w:t>
      </w:r>
      <w:r w:rsidRPr="00206F50">
        <w:rPr>
          <w:rFonts w:ascii="StobiSerif Regular" w:hAnsi="StobiSerif Regular"/>
          <w:sz w:val="22"/>
          <w:szCs w:val="22"/>
          <w:lang w:val="en-GB"/>
        </w:rPr>
        <w:t xml:space="preserve">impunity clause is contained in Article 418 - a "Trafficking in human beings", paragraph “(7) The victim of human trafficking forced to commit a crime or any other punishable </w:t>
      </w:r>
      <w:r w:rsidRPr="00206F50">
        <w:rPr>
          <w:rFonts w:ascii="StobiSerif Regular" w:hAnsi="StobiSerif Regular"/>
          <w:sz w:val="22"/>
          <w:szCs w:val="22"/>
          <w:lang w:val="en-US"/>
        </w:rPr>
        <w:t>act</w:t>
      </w:r>
      <w:r w:rsidRPr="00206F50">
        <w:rPr>
          <w:rFonts w:ascii="StobiSerif Regular" w:hAnsi="StobiSerif Regular"/>
          <w:sz w:val="22"/>
          <w:szCs w:val="22"/>
          <w:lang w:val="en-GB"/>
        </w:rPr>
        <w:t xml:space="preserve"> in the period during which he/she was a victim and which is directly connected to his position of a victim, shall not be punished.”</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The victims’ impunity clause applies regardless of the form of exploitation that was the target of human trafficking.</w:t>
      </w:r>
    </w:p>
    <w:p w:rsidR="00737D5D" w:rsidRPr="00206F50" w:rsidRDefault="00737D5D" w:rsidP="00737D5D">
      <w:pPr>
        <w:ind w:firstLine="720"/>
        <w:rPr>
          <w:rFonts w:ascii="StobiSerif Regular" w:hAnsi="StobiSerif Regular"/>
          <w:sz w:val="22"/>
          <w:szCs w:val="22"/>
          <w:lang w:val="en-US"/>
        </w:rPr>
      </w:pPr>
      <w:r w:rsidRPr="00206F50">
        <w:rPr>
          <w:rFonts w:ascii="StobiSerif Regular" w:hAnsi="StobiSerif Regular"/>
          <w:sz w:val="22"/>
          <w:szCs w:val="22"/>
          <w:lang w:val="en-US"/>
        </w:rPr>
        <w:t xml:space="preserve">In order to avoid secondary victimization of the victim, the provisions of the 2018 Law on Foreigners apply, where Article 10 stipulates that when there are grounds for doubt that a foreigner or an unaccompanied child is a victim (THB), illegal country entrance is not considered. For all listed actions recognized under the Law as an illegal entry, foreigner that is THB is not taken responsible. </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lastRenderedPageBreak/>
        <w:t>The Criminal Code also contains a provision on the impunity of a child victim of trafficking. Trafficking in children under Article 418-d paragraph (8) A child - victim of human trafficking shall not be punished in cases where the law foresees punishment of a child, when forced to commit a crime, if such action is a direct consequence of his position of a victim.</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 xml:space="preserve">It is also important to clarify the term "violence against a child" in Article 122 paragraph (41), which means "psychological violence, internet violence, peer violence, as well as stalking." Clarifying this term gives a broader content of the term violence as an element of the action of child trafficking, and thus its victim. The child victim is explicitly protected from impunity with a special clause contained in the </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 criminal act</w:t>
      </w:r>
      <w:r w:rsidRPr="00206F50">
        <w:rPr>
          <w:rFonts w:ascii="StobiSerif Regular" w:hAnsi="StobiSerif Regular"/>
          <w:sz w:val="22"/>
          <w:szCs w:val="22"/>
          <w:lang w:val="en-GB"/>
        </w:rPr>
        <w:t>.</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At the same time, the child victim has a special position and protection in accordance with the Law on Justice for Children, which prescribes special manners of acti</w:t>
      </w:r>
      <w:r w:rsidRPr="00206F50">
        <w:rPr>
          <w:rFonts w:ascii="StobiSerif Regular" w:hAnsi="StobiSerif Regular"/>
          <w:sz w:val="22"/>
          <w:szCs w:val="22"/>
        </w:rPr>
        <w:t>о</w:t>
      </w:r>
      <w:r w:rsidRPr="00206F50">
        <w:rPr>
          <w:rFonts w:ascii="StobiSerif Regular" w:hAnsi="StobiSerif Regular"/>
          <w:sz w:val="22"/>
          <w:szCs w:val="22"/>
          <w:lang w:val="en-GB"/>
        </w:rPr>
        <w:t>n</w:t>
      </w:r>
      <w:r w:rsidRPr="00206F50">
        <w:rPr>
          <w:rFonts w:ascii="StobiSerif Regular" w:hAnsi="StobiSerif Regular"/>
          <w:sz w:val="22"/>
          <w:szCs w:val="22"/>
          <w:lang w:val="en-US"/>
        </w:rPr>
        <w:t xml:space="preserve">s </w:t>
      </w:r>
      <w:r w:rsidRPr="00206F50">
        <w:rPr>
          <w:rFonts w:ascii="StobiSerif Regular" w:hAnsi="StobiSerif Regular"/>
          <w:sz w:val="22"/>
          <w:szCs w:val="22"/>
          <w:lang w:val="en-GB"/>
        </w:rPr>
        <w:t>to assist, support, care and protect the child victim, avoid secondary victimization and re-victimization. In any case, when established that the child has become a victim and has been trafficked in other forms of exploitation for the purpose of carrying out activities prohibited by law, it must be interpreted that such a situation constitutes a special ground for excluding criminality.</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This victim impunity clause applies regardless of the form of exploitation that was the target of human trafficking. Its correct interpretation and implementation should be correlated with the provisions of extreme necessity prescribed in the Criminal Code, as a general ground for excluding illegality.</w:t>
      </w:r>
    </w:p>
    <w:p w:rsidR="00737D5D" w:rsidRPr="00206F50" w:rsidRDefault="00737D5D" w:rsidP="00F37641">
      <w:pPr>
        <w:ind w:firstLine="720"/>
        <w:rPr>
          <w:rFonts w:ascii="StobiSerif Regular" w:hAnsi="StobiSerif Regular"/>
          <w:sz w:val="22"/>
          <w:szCs w:val="22"/>
          <w:lang w:val="en-GB"/>
        </w:rPr>
      </w:pPr>
      <w:r w:rsidRPr="00206F50">
        <w:rPr>
          <w:rFonts w:ascii="StobiSerif Regular" w:hAnsi="StobiSerif Regular"/>
          <w:sz w:val="22"/>
          <w:szCs w:val="22"/>
          <w:lang w:val="en-GB"/>
        </w:rPr>
        <w:t>The provision on impunity, the application of which assumes existence of probability, ie doubt that an individual is a victim, does not imply its extension to criminal acts or other illegal actions conducted by individuals that do not have the status of a trafficked person.</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 xml:space="preserve">It refers to the trafficked person, being in an extremely vulnerable situation and circumstances, and it is important to be underlined that this protection is available due to the potential victim status. Hence, the notion of a victim, as narrower meaning of "trafficked person", should be derived </w:t>
      </w:r>
      <w:r w:rsidRPr="00206F50">
        <w:rPr>
          <w:rFonts w:ascii="StobiSerif Regular" w:hAnsi="StobiSerif Regular"/>
          <w:sz w:val="22"/>
          <w:szCs w:val="22"/>
          <w:lang w:val="en-GB"/>
        </w:rPr>
        <w:lastRenderedPageBreak/>
        <w:t>from the legal definition of this incrimination and actions focused on the person that the perpetrator intends to use as a means of exploitation.</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The victim is not punished for the criminal act or other criminal offense he/ she commits as a victim of trafficking in a state of fear, threat, necessity or lack of other choice while being a victim, when it is directly related to her victim status: making or obtaining false documents, illegal crossing of the state border, activities related to its exploitation - prostitution, begging, illicit trade, etc.</w:t>
      </w:r>
    </w:p>
    <w:p w:rsidR="00737D5D" w:rsidRPr="00206F50" w:rsidRDefault="00737D5D" w:rsidP="00F37641">
      <w:pPr>
        <w:ind w:firstLine="720"/>
        <w:rPr>
          <w:rFonts w:ascii="StobiSerif Regular" w:hAnsi="StobiSerif Regular"/>
          <w:sz w:val="22"/>
          <w:szCs w:val="22"/>
          <w:lang w:val="en-GB"/>
        </w:rPr>
      </w:pPr>
      <w:r w:rsidRPr="00206F50">
        <w:rPr>
          <w:rFonts w:ascii="StobiSerif Regular" w:hAnsi="StobiSerif Regular"/>
          <w:sz w:val="22"/>
          <w:szCs w:val="22"/>
          <w:lang w:val="en-GB"/>
        </w:rPr>
        <w:t>Doubt is the first step and ground for undertaking certain actions and activities. Of particular importance is the functioning of the whole mechanism and the delimitation of the competencies of the individual bodies in that process. First, identifying the victim and determining the form of exploitation; and second, determination of</w:t>
      </w:r>
      <w:r w:rsidR="00F37641" w:rsidRPr="00206F50">
        <w:rPr>
          <w:rFonts w:ascii="StobiSerif Regular" w:hAnsi="StobiSerif Regular"/>
          <w:sz w:val="22"/>
          <w:szCs w:val="22"/>
          <w:lang w:val="en-GB"/>
        </w:rPr>
        <w:t xml:space="preserve"> </w:t>
      </w:r>
      <w:r w:rsidRPr="00206F50">
        <w:rPr>
          <w:rFonts w:ascii="StobiSerif Regular" w:hAnsi="StobiSerif Regular"/>
          <w:sz w:val="22"/>
          <w:szCs w:val="22"/>
          <w:lang w:val="en-GB"/>
        </w:rPr>
        <w:t>victims</w:t>
      </w:r>
      <w:r w:rsidR="00F37641" w:rsidRPr="00206F50">
        <w:rPr>
          <w:rFonts w:ascii="StobiSerif Regular" w:hAnsi="StobiSerif Regular"/>
          <w:sz w:val="22"/>
          <w:szCs w:val="22"/>
          <w:lang w:val="en-GB"/>
        </w:rPr>
        <w:t xml:space="preserve"> </w:t>
      </w:r>
      <w:r w:rsidRPr="00206F50">
        <w:rPr>
          <w:rFonts w:ascii="StobiSerif Regular" w:hAnsi="StobiSerif Regular"/>
          <w:sz w:val="22"/>
          <w:szCs w:val="22"/>
          <w:lang w:val="en-GB"/>
        </w:rPr>
        <w:t>participation in the commission of a criminal act or misdemeanour and the fulfilment of the conditions for victims impunity, resulting in not initiating a criminal or misdemeanour procedure, termination of proceedings or acquittal.</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 xml:space="preserve">At the same time, the actions of the </w:t>
      </w:r>
      <w:r w:rsidRPr="00206F50">
        <w:rPr>
          <w:rFonts w:ascii="StobiSerif Regular" w:hAnsi="StobiSerif Regular"/>
          <w:sz w:val="22"/>
          <w:szCs w:val="22"/>
          <w:lang w:val="en-US"/>
        </w:rPr>
        <w:t xml:space="preserve">law enforcement agencies </w:t>
      </w:r>
      <w:r w:rsidRPr="00206F50">
        <w:rPr>
          <w:rFonts w:ascii="StobiSerif Regular" w:hAnsi="StobiSerif Regular"/>
          <w:sz w:val="22"/>
          <w:szCs w:val="22"/>
          <w:lang w:val="en-GB"/>
        </w:rPr>
        <w:t xml:space="preserve">to </w:t>
      </w:r>
      <w:r w:rsidRPr="00206F50">
        <w:rPr>
          <w:rFonts w:ascii="StobiSerif Regular" w:hAnsi="StobiSerif Regular"/>
          <w:sz w:val="22"/>
          <w:szCs w:val="22"/>
          <w:lang w:val="en-US"/>
        </w:rPr>
        <w:t>provide shelter</w:t>
      </w:r>
      <w:r w:rsidRPr="00206F50">
        <w:rPr>
          <w:rFonts w:ascii="StobiSerif Regular" w:hAnsi="StobiSerif Regular"/>
          <w:sz w:val="22"/>
          <w:szCs w:val="22"/>
          <w:lang w:val="en-GB"/>
        </w:rPr>
        <w:t>, help, support and protect the potential victim are not conditioned by the cooperation of the individual if he / she is later identified as a victim of human trafficking.</w:t>
      </w:r>
    </w:p>
    <w:p w:rsidR="00737D5D" w:rsidRPr="00206F50" w:rsidRDefault="00737D5D" w:rsidP="00737D5D">
      <w:pPr>
        <w:ind w:firstLine="720"/>
        <w:rPr>
          <w:rFonts w:ascii="StobiSerif Regular" w:hAnsi="StobiSerif Regular"/>
          <w:sz w:val="22"/>
          <w:szCs w:val="22"/>
          <w:lang w:val="en-GB"/>
        </w:rPr>
      </w:pPr>
      <w:r w:rsidRPr="00206F50">
        <w:rPr>
          <w:rFonts w:ascii="StobiSerif Regular" w:hAnsi="StobiSerif Regular"/>
          <w:sz w:val="22"/>
          <w:szCs w:val="22"/>
          <w:lang w:val="en-GB"/>
        </w:rPr>
        <w:t>As victim is also considered an individual that has not yet been exploited and does not know that he/she will be exploited or that there is such an intention in relation to him/her (so, especially when it comes to cases of trafficking with fraud, promise, etc.)</w:t>
      </w:r>
    </w:p>
    <w:p w:rsidR="007336EF" w:rsidRPr="00206F50" w:rsidRDefault="007336EF" w:rsidP="007336EF">
      <w:pPr>
        <w:ind w:firstLine="720"/>
        <w:rPr>
          <w:rFonts w:ascii="StobiSerif Regular" w:hAnsi="StobiSerif Regular"/>
          <w:sz w:val="22"/>
          <w:szCs w:val="22"/>
          <w:lang w:val="en-US"/>
        </w:rPr>
      </w:pPr>
      <w:r w:rsidRPr="00206F50">
        <w:rPr>
          <w:rFonts w:ascii="StobiSerif Regular" w:hAnsi="StobiSerif Regular"/>
          <w:sz w:val="22"/>
          <w:szCs w:val="22"/>
          <w:lang w:val="en-US"/>
        </w:rPr>
        <w:t>In the police work and in the procedures led by the public prosecutors and judges (in criminal and misdemeanor courts) so far</w:t>
      </w:r>
      <w:r w:rsidRPr="00206F50">
        <w:rPr>
          <w:rFonts w:ascii="StobiSerif Regular" w:hAnsi="StobiSerif Regular"/>
          <w:sz w:val="22"/>
          <w:szCs w:val="22"/>
        </w:rPr>
        <w:t xml:space="preserve">, </w:t>
      </w:r>
      <w:r w:rsidRPr="00206F50">
        <w:rPr>
          <w:rFonts w:ascii="StobiSerif Regular" w:hAnsi="StobiSerif Regular"/>
          <w:sz w:val="22"/>
          <w:szCs w:val="22"/>
          <w:lang w:val="en-US"/>
        </w:rPr>
        <w:t>there is no case of a potential or identified victim of human trafficking</w:t>
      </w:r>
      <w:r w:rsidRPr="00206F50">
        <w:rPr>
          <w:rFonts w:ascii="StobiSerif Regular" w:hAnsi="StobiSerif Regular"/>
          <w:sz w:val="22"/>
          <w:szCs w:val="22"/>
        </w:rPr>
        <w:t xml:space="preserve"> </w:t>
      </w:r>
      <w:r w:rsidRPr="00206F50">
        <w:rPr>
          <w:rFonts w:ascii="StobiSerif Regular" w:hAnsi="StobiSerif Regular"/>
          <w:sz w:val="22"/>
          <w:szCs w:val="22"/>
          <w:lang w:val="en-US"/>
        </w:rPr>
        <w:t>to be deprived of liberty, detained or punished</w:t>
      </w:r>
      <w:r w:rsidRPr="00206F50">
        <w:rPr>
          <w:rFonts w:ascii="StobiSerif Regular" w:hAnsi="StobiSerif Regular"/>
          <w:sz w:val="22"/>
          <w:szCs w:val="22"/>
        </w:rPr>
        <w:t xml:space="preserve"> (</w:t>
      </w:r>
      <w:r w:rsidRPr="00206F50">
        <w:rPr>
          <w:rFonts w:ascii="StobiSerif Regular" w:hAnsi="StobiSerif Regular"/>
          <w:sz w:val="22"/>
          <w:szCs w:val="22"/>
          <w:lang w:val="en-US"/>
        </w:rPr>
        <w:t>for crime or misdemeanor</w:t>
      </w:r>
      <w:r w:rsidRPr="00206F50">
        <w:rPr>
          <w:rFonts w:ascii="StobiSerif Regular" w:hAnsi="StobiSerif Regular"/>
          <w:sz w:val="22"/>
          <w:szCs w:val="22"/>
        </w:rPr>
        <w:t xml:space="preserve">) </w:t>
      </w:r>
      <w:r w:rsidRPr="00206F50">
        <w:rPr>
          <w:rFonts w:ascii="StobiSerif Regular" w:hAnsi="StobiSerif Regular"/>
          <w:sz w:val="22"/>
          <w:szCs w:val="22"/>
          <w:lang w:val="en-US"/>
        </w:rPr>
        <w:t>for a certain illegal activity done under pressure in the period while being controlled or exploited by the trafficker</w:t>
      </w:r>
      <w:r w:rsidRPr="00206F50">
        <w:rPr>
          <w:rFonts w:ascii="StobiSerif Regular" w:hAnsi="StobiSerif Regular"/>
          <w:sz w:val="22"/>
          <w:szCs w:val="22"/>
        </w:rPr>
        <w:t>.</w:t>
      </w:r>
    </w:p>
    <w:p w:rsidR="007336EF" w:rsidRPr="00206F50" w:rsidRDefault="007336EF" w:rsidP="008E4D70">
      <w:pPr>
        <w:ind w:firstLine="720"/>
        <w:rPr>
          <w:rFonts w:ascii="StobiSerif Regular" w:hAnsi="StobiSerif Regular"/>
          <w:sz w:val="22"/>
          <w:szCs w:val="22"/>
        </w:rPr>
      </w:pPr>
      <w:r w:rsidRPr="00206F50">
        <w:rPr>
          <w:rFonts w:ascii="StobiSerif Regular" w:hAnsi="StobiSerif Regular"/>
          <w:sz w:val="22"/>
          <w:szCs w:val="22"/>
        </w:rPr>
        <w:t xml:space="preserve"> </w:t>
      </w:r>
      <w:r w:rsidRPr="00206F50">
        <w:rPr>
          <w:rFonts w:ascii="StobiSerif Regular" w:hAnsi="StobiSerif Regular"/>
          <w:sz w:val="22"/>
          <w:szCs w:val="22"/>
          <w:lang w:val="en-US"/>
        </w:rPr>
        <w:t>Moreover</w:t>
      </w:r>
      <w:r w:rsidRPr="00206F50">
        <w:rPr>
          <w:rFonts w:ascii="StobiSerif Regular" w:hAnsi="StobiSerif Regular"/>
          <w:sz w:val="22"/>
          <w:szCs w:val="22"/>
        </w:rPr>
        <w:t xml:space="preserve">, </w:t>
      </w:r>
      <w:r w:rsidRPr="00206F50">
        <w:rPr>
          <w:rFonts w:ascii="StobiSerif Regular" w:hAnsi="StobiSerif Regular"/>
          <w:sz w:val="22"/>
          <w:szCs w:val="22"/>
          <w:lang w:val="en-US"/>
        </w:rPr>
        <w:t>there are no cases of discrimination</w:t>
      </w:r>
      <w:r w:rsidRPr="00206F50">
        <w:rPr>
          <w:rFonts w:ascii="StobiSerif Regular" w:hAnsi="StobiSerif Regular"/>
          <w:sz w:val="22"/>
          <w:szCs w:val="22"/>
        </w:rPr>
        <w:t xml:space="preserve"> </w:t>
      </w:r>
      <w:r w:rsidRPr="00206F50">
        <w:rPr>
          <w:rFonts w:ascii="StobiSerif Regular" w:hAnsi="StobiSerif Regular"/>
          <w:sz w:val="22"/>
          <w:szCs w:val="22"/>
          <w:lang w:val="en-US"/>
        </w:rPr>
        <w:t>on any ground</w:t>
      </w:r>
      <w:r w:rsidRPr="00206F50">
        <w:rPr>
          <w:rFonts w:ascii="StobiSerif Regular" w:hAnsi="StobiSerif Regular"/>
          <w:sz w:val="22"/>
          <w:szCs w:val="22"/>
        </w:rPr>
        <w:t xml:space="preserve"> (</w:t>
      </w:r>
      <w:r w:rsidRPr="00206F50">
        <w:rPr>
          <w:rFonts w:ascii="StobiSerif Regular" w:hAnsi="StobiSerif Regular"/>
          <w:sz w:val="22"/>
          <w:szCs w:val="22"/>
          <w:lang w:val="en-US"/>
        </w:rPr>
        <w:t>gender</w:t>
      </w:r>
      <w:r w:rsidRPr="00206F50">
        <w:rPr>
          <w:rFonts w:ascii="StobiSerif Regular" w:hAnsi="StobiSerif Regular"/>
          <w:sz w:val="22"/>
          <w:szCs w:val="22"/>
        </w:rPr>
        <w:t xml:space="preserve">, </w:t>
      </w:r>
      <w:r w:rsidRPr="00206F50">
        <w:rPr>
          <w:rFonts w:ascii="StobiSerif Regular" w:hAnsi="StobiSerif Regular"/>
          <w:sz w:val="22"/>
          <w:szCs w:val="22"/>
          <w:lang w:val="en-US"/>
        </w:rPr>
        <w:t>race</w:t>
      </w:r>
      <w:r w:rsidRPr="00206F50">
        <w:rPr>
          <w:rFonts w:ascii="StobiSerif Regular" w:hAnsi="StobiSerif Regular"/>
          <w:sz w:val="22"/>
          <w:szCs w:val="22"/>
        </w:rPr>
        <w:t xml:space="preserve">, </w:t>
      </w:r>
      <w:r w:rsidRPr="00206F50">
        <w:rPr>
          <w:rFonts w:ascii="StobiSerif Regular" w:hAnsi="StobiSerif Regular"/>
          <w:sz w:val="22"/>
          <w:szCs w:val="22"/>
          <w:lang w:val="en-US"/>
        </w:rPr>
        <w:t>nationality</w:t>
      </w:r>
      <w:r w:rsidRPr="00206F50">
        <w:rPr>
          <w:rFonts w:ascii="StobiSerif Regular" w:hAnsi="StobiSerif Regular"/>
          <w:sz w:val="22"/>
          <w:szCs w:val="22"/>
        </w:rPr>
        <w:t xml:space="preserve">, </w:t>
      </w:r>
      <w:r w:rsidRPr="00206F50">
        <w:rPr>
          <w:rFonts w:ascii="StobiSerif Regular" w:hAnsi="StobiSerif Regular"/>
          <w:sz w:val="22"/>
          <w:szCs w:val="22"/>
          <w:lang w:val="en-US"/>
        </w:rPr>
        <w:t>religion etc.</w:t>
      </w:r>
      <w:r w:rsidRPr="00206F50">
        <w:rPr>
          <w:rFonts w:ascii="StobiSerif Regular" w:hAnsi="StobiSerif Regular"/>
          <w:sz w:val="22"/>
          <w:szCs w:val="22"/>
        </w:rPr>
        <w:t xml:space="preserve">) </w:t>
      </w:r>
      <w:r w:rsidRPr="00206F50">
        <w:rPr>
          <w:rFonts w:ascii="StobiSerif Regular" w:hAnsi="StobiSerif Regular"/>
          <w:sz w:val="22"/>
          <w:szCs w:val="22"/>
          <w:lang w:val="en-US"/>
        </w:rPr>
        <w:t>that would result into forced return to the country of origin</w:t>
      </w:r>
      <w:r w:rsidRPr="00206F50">
        <w:rPr>
          <w:rFonts w:ascii="StobiSerif Regular" w:hAnsi="StobiSerif Regular"/>
          <w:sz w:val="22"/>
          <w:szCs w:val="22"/>
        </w:rPr>
        <w:t xml:space="preserve">, </w:t>
      </w:r>
      <w:r w:rsidRPr="00206F50">
        <w:rPr>
          <w:rFonts w:ascii="StobiSerif Regular" w:hAnsi="StobiSerif Regular"/>
          <w:sz w:val="22"/>
          <w:szCs w:val="22"/>
          <w:lang w:val="en-US"/>
        </w:rPr>
        <w:t>restriction of rights</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lack of necessary help or </w:t>
      </w:r>
      <w:r w:rsidRPr="00206F50">
        <w:rPr>
          <w:rFonts w:ascii="StobiSerif Regular" w:hAnsi="StobiSerif Regular"/>
          <w:sz w:val="22"/>
          <w:szCs w:val="22"/>
          <w:lang w:val="en-US"/>
        </w:rPr>
        <w:lastRenderedPageBreak/>
        <w:t>support regardless if the victim cooperates or not with the competent state authorities</w:t>
      </w:r>
      <w:r w:rsidRPr="00206F50">
        <w:rPr>
          <w:rFonts w:ascii="StobiSerif Regular" w:hAnsi="StobiSerif Regular"/>
          <w:sz w:val="22"/>
          <w:szCs w:val="22"/>
        </w:rPr>
        <w:t>.</w:t>
      </w:r>
    </w:p>
    <w:p w:rsidR="007336EF" w:rsidRPr="00206F50" w:rsidRDefault="007336EF" w:rsidP="008E4D70">
      <w:pPr>
        <w:ind w:firstLine="720"/>
        <w:rPr>
          <w:rFonts w:ascii="StobiSerif Regular" w:hAnsi="StobiSerif Regular"/>
          <w:i/>
          <w:sz w:val="22"/>
          <w:szCs w:val="22"/>
          <w:lang w:val="en-US"/>
        </w:rPr>
      </w:pPr>
      <w:r w:rsidRPr="00206F50">
        <w:rPr>
          <w:rFonts w:ascii="StobiSerif Regular" w:hAnsi="StobiSerif Regular"/>
          <w:sz w:val="22"/>
          <w:szCs w:val="22"/>
          <w:lang w:val="en-US"/>
        </w:rPr>
        <w:t>The provisions for non-punishment of</w:t>
      </w:r>
      <w:r w:rsidRPr="00206F50">
        <w:rPr>
          <w:rFonts w:ascii="StobiSerif Regular" w:hAnsi="StobiSerif Regular"/>
          <w:sz w:val="22"/>
          <w:szCs w:val="22"/>
        </w:rPr>
        <w:t xml:space="preserve"> </w:t>
      </w:r>
      <w:r w:rsidRPr="00206F50">
        <w:rPr>
          <w:rFonts w:ascii="StobiSerif Regular" w:hAnsi="StobiSerif Regular"/>
          <w:sz w:val="22"/>
          <w:szCs w:val="22"/>
          <w:lang w:val="en-US"/>
        </w:rPr>
        <w:t>trafficking victims are derived by the implementation of the Council of Europe Convention on Action against Trafficking in Human Beings,</w:t>
      </w:r>
      <w:r w:rsidRPr="00206F50">
        <w:rPr>
          <w:rFonts w:ascii="StobiSerif Regular" w:hAnsi="StobiSerif Regular"/>
          <w:sz w:val="22"/>
          <w:szCs w:val="22"/>
        </w:rPr>
        <w:t xml:space="preserve"> </w:t>
      </w:r>
      <w:r w:rsidRPr="00206F50">
        <w:rPr>
          <w:rFonts w:ascii="StobiSerif Regular" w:hAnsi="StobiSerif Regular"/>
          <w:sz w:val="22"/>
          <w:szCs w:val="22"/>
          <w:lang w:val="en-US"/>
        </w:rPr>
        <w:t>ratified by the Assembly of the Republic of North Macedonia</w:t>
      </w:r>
      <w:r w:rsidR="008E4D70" w:rsidRPr="00206F50">
        <w:rPr>
          <w:rStyle w:val="FootnoteReference"/>
          <w:rFonts w:ascii="StobiSerif Regular" w:hAnsi="StobiSerif Regular"/>
          <w:sz w:val="22"/>
          <w:szCs w:val="22"/>
          <w:lang w:val="en-US"/>
        </w:rPr>
        <w:footnoteReference w:id="1"/>
      </w:r>
      <w:r w:rsidRPr="00206F50">
        <w:rPr>
          <w:rFonts w:ascii="StobiSerif Regular" w:hAnsi="StobiSerif Regular"/>
          <w:sz w:val="22"/>
          <w:szCs w:val="22"/>
        </w:rPr>
        <w:t xml:space="preserve">. </w:t>
      </w:r>
    </w:p>
    <w:p w:rsidR="007336EF" w:rsidRPr="00206F50" w:rsidRDefault="007336EF" w:rsidP="00206F50">
      <w:pPr>
        <w:ind w:firstLine="720"/>
        <w:rPr>
          <w:rFonts w:ascii="StobiSerif Regular" w:hAnsi="StobiSerif Regular"/>
          <w:sz w:val="22"/>
          <w:szCs w:val="22"/>
        </w:rPr>
      </w:pPr>
      <w:r w:rsidRPr="00206F50">
        <w:rPr>
          <w:rFonts w:ascii="StobiSerif Regular" w:hAnsi="StobiSerif Regular"/>
          <w:sz w:val="22"/>
          <w:szCs w:val="22"/>
          <w:lang w:val="en-US"/>
        </w:rPr>
        <w:t>Furthermore, Directive</w:t>
      </w:r>
      <w:r w:rsidRPr="00206F50">
        <w:rPr>
          <w:rFonts w:ascii="StobiSerif Regular" w:hAnsi="StobiSerif Regular"/>
          <w:sz w:val="22"/>
          <w:szCs w:val="22"/>
        </w:rPr>
        <w:t xml:space="preserve"> 2011/36/</w:t>
      </w:r>
      <w:r w:rsidRPr="00206F50">
        <w:rPr>
          <w:rFonts w:ascii="StobiSerif Regular" w:hAnsi="StobiSerif Regular"/>
          <w:sz w:val="22"/>
          <w:szCs w:val="22"/>
          <w:lang w:val="en-US"/>
        </w:rPr>
        <w:t>EU</w:t>
      </w:r>
      <w:r w:rsidRPr="00206F50">
        <w:rPr>
          <w:rFonts w:ascii="StobiSerif Regular" w:hAnsi="StobiSerif Regular"/>
          <w:sz w:val="22"/>
          <w:szCs w:val="22"/>
          <w:lang w:val="ru-RU"/>
        </w:rPr>
        <w:t xml:space="preserve"> </w:t>
      </w:r>
      <w:r w:rsidRPr="00206F50">
        <w:rPr>
          <w:rFonts w:ascii="StobiSerif Regular" w:hAnsi="StobiSerif Regular"/>
          <w:sz w:val="22"/>
          <w:szCs w:val="22"/>
          <w:lang w:val="en-US"/>
        </w:rPr>
        <w:t>of the European Parliament and of the Council of</w:t>
      </w:r>
      <w:r w:rsidR="00206F50" w:rsidRPr="00206F50">
        <w:rPr>
          <w:rFonts w:ascii="StobiSerif Regular" w:hAnsi="StobiSerif Regular"/>
          <w:sz w:val="22"/>
          <w:szCs w:val="22"/>
          <w:lang w:val="en-US"/>
        </w:rPr>
        <w:t xml:space="preserve"> </w:t>
      </w:r>
      <w:r w:rsidRPr="00206F50">
        <w:rPr>
          <w:rFonts w:ascii="StobiSerif Regular" w:hAnsi="StobiSerif Regular"/>
          <w:sz w:val="22"/>
          <w:szCs w:val="22"/>
          <w:lang w:val="ru-RU"/>
        </w:rPr>
        <w:t xml:space="preserve">2011 </w:t>
      </w:r>
      <w:r w:rsidRPr="00206F50">
        <w:rPr>
          <w:rFonts w:ascii="StobiSerif Regular" w:hAnsi="StobiSerif Regular"/>
          <w:sz w:val="22"/>
          <w:szCs w:val="22"/>
          <w:lang w:val="en-US"/>
        </w:rPr>
        <w:t>on preventing and combating trafficking in human beings and protecting its victims</w:t>
      </w:r>
      <w:r w:rsidRPr="00206F50">
        <w:rPr>
          <w:rFonts w:ascii="StobiSerif Regular" w:hAnsi="StobiSerif Regular"/>
          <w:sz w:val="22"/>
          <w:szCs w:val="22"/>
          <w:lang w:val="ru-RU"/>
        </w:rPr>
        <w:t xml:space="preserve"> </w:t>
      </w:r>
      <w:r w:rsidRPr="00206F50">
        <w:rPr>
          <w:rFonts w:ascii="StobiSerif Regular" w:hAnsi="StobiSerif Regular"/>
          <w:sz w:val="22"/>
          <w:szCs w:val="22"/>
          <w:lang w:val="en-US"/>
        </w:rPr>
        <w:t>and replacing Council Framework Decision of</w:t>
      </w:r>
      <w:r w:rsidRPr="00206F50">
        <w:rPr>
          <w:rFonts w:ascii="StobiSerif Regular" w:hAnsi="StobiSerif Regular"/>
          <w:sz w:val="22"/>
          <w:szCs w:val="22"/>
          <w:lang w:val="ru-RU"/>
        </w:rPr>
        <w:t xml:space="preserve"> 2002</w:t>
      </w:r>
      <w:r w:rsidRPr="00206F50">
        <w:rPr>
          <w:rFonts w:ascii="StobiSerif Regular" w:hAnsi="StobiSerif Regular"/>
          <w:sz w:val="22"/>
          <w:szCs w:val="22"/>
          <w:lang w:val="en-US"/>
        </w:rPr>
        <w:t>, envisages provisions in this direction</w:t>
      </w:r>
      <w:r w:rsidR="008E4D70" w:rsidRPr="00206F50">
        <w:rPr>
          <w:rFonts w:ascii="StobiSerif Regular" w:hAnsi="StobiSerif Regular"/>
          <w:sz w:val="22"/>
          <w:szCs w:val="22"/>
          <w:lang w:val="en-US"/>
        </w:rPr>
        <w:t>.</w:t>
      </w:r>
      <w:r w:rsidR="008E4D70" w:rsidRPr="00206F50">
        <w:rPr>
          <w:rStyle w:val="FootnoteReference"/>
          <w:rFonts w:ascii="StobiSerif Regular" w:hAnsi="StobiSerif Regular"/>
          <w:sz w:val="22"/>
          <w:szCs w:val="22"/>
          <w:lang w:val="en-US"/>
        </w:rPr>
        <w:footnoteReference w:id="2"/>
      </w:r>
      <w:r w:rsidRPr="00206F50">
        <w:rPr>
          <w:rFonts w:ascii="StobiSerif Regular" w:hAnsi="StobiSerif Regular"/>
          <w:sz w:val="22"/>
          <w:szCs w:val="22"/>
          <w:lang w:val="en-US"/>
        </w:rPr>
        <w:t xml:space="preserve"> </w:t>
      </w:r>
    </w:p>
    <w:p w:rsidR="007336EF" w:rsidRPr="00206F50" w:rsidRDefault="007336EF" w:rsidP="00206F50">
      <w:pPr>
        <w:ind w:firstLine="720"/>
        <w:rPr>
          <w:rFonts w:ascii="StobiSerif Regular" w:hAnsi="StobiSerif Regular"/>
          <w:sz w:val="22"/>
          <w:szCs w:val="22"/>
        </w:rPr>
      </w:pPr>
      <w:r w:rsidRPr="00206F50">
        <w:rPr>
          <w:rFonts w:ascii="StobiSerif Regular" w:hAnsi="StobiSerif Regular"/>
          <w:sz w:val="22"/>
          <w:szCs w:val="22"/>
          <w:lang w:val="en-US"/>
        </w:rPr>
        <w:t>In that regard, the Organization for Security and Cooperation in Europe</w:t>
      </w:r>
      <w:r w:rsidRPr="00206F50">
        <w:rPr>
          <w:rFonts w:ascii="StobiSerif Regular" w:hAnsi="StobiSerif Regular"/>
          <w:sz w:val="22"/>
          <w:szCs w:val="22"/>
        </w:rPr>
        <w:t xml:space="preserve"> (</w:t>
      </w:r>
      <w:r w:rsidRPr="00206F50">
        <w:rPr>
          <w:rFonts w:ascii="StobiSerif Regular" w:hAnsi="StobiSerif Regular"/>
          <w:sz w:val="22"/>
          <w:szCs w:val="22"/>
          <w:lang w:val="en-US"/>
        </w:rPr>
        <w:t>OSCE</w:t>
      </w:r>
      <w:r w:rsidRPr="00206F50">
        <w:rPr>
          <w:rFonts w:ascii="StobiSerif Regular" w:hAnsi="StobiSerif Regular"/>
          <w:sz w:val="22"/>
          <w:szCs w:val="22"/>
        </w:rPr>
        <w:t>)</w:t>
      </w:r>
      <w:r w:rsidRPr="00206F50">
        <w:rPr>
          <w:rFonts w:ascii="StobiSerif Regular" w:hAnsi="StobiSerif Regular"/>
          <w:sz w:val="22"/>
          <w:szCs w:val="22"/>
          <w:lang w:val="en-US"/>
        </w:rPr>
        <w:t xml:space="preserve"> in its</w:t>
      </w:r>
      <w:r w:rsidRPr="00206F50">
        <w:rPr>
          <w:rFonts w:ascii="StobiSerif Regular" w:hAnsi="StobiSerif Regular"/>
          <w:sz w:val="22"/>
          <w:szCs w:val="22"/>
        </w:rPr>
        <w:t xml:space="preserve"> </w:t>
      </w:r>
      <w:r w:rsidRPr="00206F50">
        <w:rPr>
          <w:rFonts w:ascii="StobiSerif Regular" w:hAnsi="StobiSerif Regular"/>
          <w:sz w:val="22"/>
          <w:szCs w:val="22"/>
          <w:lang w:val="en-US"/>
        </w:rPr>
        <w:t>2005 Action Plan to Combat Trafficking in Human Beings</w:t>
      </w:r>
      <w:r w:rsidRPr="00206F50">
        <w:rPr>
          <w:rFonts w:ascii="StobiSerif Regular" w:hAnsi="StobiSerif Regular"/>
          <w:sz w:val="22"/>
          <w:szCs w:val="22"/>
        </w:rPr>
        <w:t xml:space="preserve">, </w:t>
      </w:r>
      <w:r w:rsidRPr="00206F50">
        <w:rPr>
          <w:rFonts w:ascii="StobiSerif Regular" w:hAnsi="StobiSerif Regular"/>
          <w:sz w:val="22"/>
          <w:szCs w:val="22"/>
          <w:lang w:val="en-US"/>
        </w:rPr>
        <w:t>recommended that the victims are not punished for crimes which are a direct consequence to their condition of being victims</w:t>
      </w:r>
      <w:r w:rsidRPr="00206F50">
        <w:rPr>
          <w:rFonts w:ascii="StobiSerif Regular" w:hAnsi="StobiSerif Regular"/>
          <w:sz w:val="22"/>
          <w:szCs w:val="22"/>
        </w:rPr>
        <w:t xml:space="preserve">, </w:t>
      </w:r>
      <w:r w:rsidRPr="00206F50">
        <w:rPr>
          <w:rFonts w:ascii="StobiSerif Regular" w:hAnsi="StobiSerif Regular"/>
          <w:sz w:val="22"/>
          <w:szCs w:val="22"/>
          <w:lang w:val="en-US"/>
        </w:rPr>
        <w:t>as well as the GRETA Second report</w:t>
      </w:r>
      <w:r w:rsidRPr="00206F50">
        <w:rPr>
          <w:rFonts w:ascii="StobiSerif Regular" w:hAnsi="StobiSerif Regular"/>
          <w:sz w:val="22"/>
          <w:szCs w:val="22"/>
        </w:rPr>
        <w:t xml:space="preserve"> </w:t>
      </w:r>
      <w:r w:rsidRPr="00206F50">
        <w:rPr>
          <w:rFonts w:ascii="StobiSerif Regular" w:hAnsi="StobiSerif Regular"/>
          <w:sz w:val="22"/>
          <w:szCs w:val="22"/>
          <w:lang w:val="en-US"/>
        </w:rPr>
        <w:t>published</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in </w:t>
      </w:r>
      <w:r w:rsidRPr="00206F50">
        <w:rPr>
          <w:rFonts w:ascii="StobiSerif Regular" w:hAnsi="StobiSerif Regular"/>
          <w:sz w:val="22"/>
          <w:szCs w:val="22"/>
        </w:rPr>
        <w:t xml:space="preserve">2017 </w:t>
      </w:r>
      <w:r w:rsidRPr="00206F50">
        <w:rPr>
          <w:rFonts w:ascii="StobiSerif Regular" w:hAnsi="StobiSerif Regular"/>
          <w:sz w:val="22"/>
          <w:szCs w:val="22"/>
          <w:lang w:val="en-US"/>
        </w:rPr>
        <w:t>containing recommendations in correlation with Article</w:t>
      </w:r>
      <w:r w:rsidRPr="00206F50">
        <w:rPr>
          <w:rFonts w:ascii="StobiSerif Regular" w:hAnsi="StobiSerif Regular"/>
          <w:sz w:val="22"/>
          <w:szCs w:val="22"/>
        </w:rPr>
        <w:t xml:space="preserve"> 26 </w:t>
      </w:r>
      <w:r w:rsidRPr="00206F50">
        <w:rPr>
          <w:rFonts w:ascii="StobiSerif Regular" w:hAnsi="StobiSerif Regular"/>
          <w:sz w:val="22"/>
          <w:szCs w:val="22"/>
          <w:lang w:val="en-US"/>
        </w:rPr>
        <w:t>of the Convention</w:t>
      </w:r>
      <w:r w:rsidRPr="00206F50">
        <w:rPr>
          <w:rFonts w:ascii="StobiSerif Regular" w:hAnsi="StobiSerif Regular"/>
          <w:sz w:val="22"/>
          <w:szCs w:val="22"/>
        </w:rPr>
        <w:t>.</w:t>
      </w:r>
      <w:r w:rsidR="008E4D70" w:rsidRPr="00206F50">
        <w:rPr>
          <w:rStyle w:val="FootnoteReference"/>
          <w:rFonts w:ascii="StobiSerif Regular" w:hAnsi="StobiSerif Regular"/>
          <w:sz w:val="22"/>
          <w:szCs w:val="22"/>
        </w:rPr>
        <w:footnoteReference w:id="3"/>
      </w:r>
      <w:r w:rsidRPr="00206F50">
        <w:rPr>
          <w:rFonts w:ascii="StobiSerif Regular" w:hAnsi="StobiSerif Regular"/>
          <w:sz w:val="22"/>
          <w:szCs w:val="22"/>
        </w:rPr>
        <w:t xml:space="preserve"> </w:t>
      </w:r>
    </w:p>
    <w:p w:rsidR="007336EF" w:rsidRPr="00206F50" w:rsidRDefault="007336EF" w:rsidP="00480C5B">
      <w:pPr>
        <w:ind w:firstLine="720"/>
        <w:rPr>
          <w:rFonts w:ascii="StobiSerif Regular" w:hAnsi="StobiSerif Regular"/>
          <w:sz w:val="22"/>
          <w:szCs w:val="22"/>
        </w:rPr>
      </w:pPr>
      <w:r w:rsidRPr="00206F50">
        <w:rPr>
          <w:rFonts w:ascii="StobiSerif Regular" w:hAnsi="StobiSerif Regular"/>
          <w:sz w:val="22"/>
          <w:szCs w:val="22"/>
          <w:lang w:val="en-US"/>
        </w:rPr>
        <w:t>In accordance with the aforementioned, in February</w:t>
      </w:r>
      <w:r w:rsidRPr="00206F50">
        <w:rPr>
          <w:rFonts w:ascii="StobiSerif Regular" w:hAnsi="StobiSerif Regular"/>
          <w:sz w:val="22"/>
          <w:szCs w:val="22"/>
        </w:rPr>
        <w:t xml:space="preserve"> 2020 </w:t>
      </w:r>
      <w:r w:rsidRPr="00206F50">
        <w:rPr>
          <w:rFonts w:ascii="StobiSerif Regular" w:hAnsi="StobiSerif Regular"/>
          <w:sz w:val="22"/>
          <w:szCs w:val="22"/>
          <w:lang w:val="en-US"/>
        </w:rPr>
        <w:t xml:space="preserve">well-known academic professors </w:t>
      </w:r>
      <w:r w:rsidR="008E4D70" w:rsidRPr="00206F50">
        <w:rPr>
          <w:rFonts w:ascii="StobiSerif Regular" w:hAnsi="StobiSerif Regular"/>
          <w:sz w:val="22"/>
          <w:szCs w:val="22"/>
          <w:lang w:val="en-US"/>
        </w:rPr>
        <w:t xml:space="preserve">in North Macedonia </w:t>
      </w:r>
      <w:r w:rsidRPr="00206F50">
        <w:rPr>
          <w:rFonts w:ascii="StobiSerif Regular" w:hAnsi="StobiSerif Regular"/>
          <w:sz w:val="22"/>
          <w:szCs w:val="22"/>
          <w:lang w:val="en-US"/>
        </w:rPr>
        <w:t>drafted Guidelines for applying the principle of non-punishment</w:t>
      </w:r>
      <w:r w:rsidRPr="00206F50">
        <w:rPr>
          <w:rFonts w:ascii="StobiSerif Regular" w:hAnsi="StobiSerif Regular"/>
          <w:sz w:val="22"/>
          <w:szCs w:val="22"/>
        </w:rPr>
        <w:t xml:space="preserve"> </w:t>
      </w:r>
      <w:r w:rsidRPr="00206F50">
        <w:rPr>
          <w:rFonts w:ascii="StobiSerif Regular" w:hAnsi="StobiSerif Regular"/>
          <w:sz w:val="22"/>
          <w:szCs w:val="22"/>
          <w:lang w:val="en-US"/>
        </w:rPr>
        <w:t>to victims of human trafficking and child trafficking</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The Guidelines were drafted in order to help the </w:t>
      </w:r>
      <w:r w:rsidRPr="00206F50">
        <w:rPr>
          <w:rFonts w:ascii="StobiSerif Regular" w:hAnsi="StobiSerif Regular"/>
          <w:sz w:val="22"/>
          <w:szCs w:val="22"/>
          <w:lang w:val="en-US"/>
        </w:rPr>
        <w:lastRenderedPageBreak/>
        <w:t>competent authorities and subjects that prosecute crimes of trafficking in humans and in children, to apply correctly the principle of non-punishment of victims</w:t>
      </w:r>
      <w:r w:rsidRPr="00206F50">
        <w:rPr>
          <w:rFonts w:ascii="StobiSerif Regular" w:hAnsi="StobiSerif Regular"/>
          <w:sz w:val="22"/>
          <w:szCs w:val="22"/>
        </w:rPr>
        <w:t xml:space="preserve">. </w:t>
      </w:r>
      <w:r w:rsidRPr="00206F50">
        <w:rPr>
          <w:rFonts w:ascii="StobiSerif Regular" w:hAnsi="StobiSerif Regular"/>
          <w:sz w:val="22"/>
          <w:szCs w:val="22"/>
          <w:lang w:val="en-US"/>
        </w:rPr>
        <w:t>These Guidelines serve as a practical tool for authorities which detect, prosecute and punish these serious crimes,</w:t>
      </w:r>
      <w:r w:rsidRPr="00206F50">
        <w:rPr>
          <w:rFonts w:ascii="StobiSerif Regular" w:hAnsi="StobiSerif Regular"/>
          <w:sz w:val="22"/>
          <w:szCs w:val="22"/>
        </w:rPr>
        <w:t xml:space="preserve"> </w:t>
      </w:r>
      <w:r w:rsidRPr="00206F50">
        <w:rPr>
          <w:rFonts w:ascii="StobiSerif Regular" w:hAnsi="StobiSerif Regular"/>
          <w:sz w:val="22"/>
          <w:szCs w:val="22"/>
          <w:lang w:val="en-US"/>
        </w:rPr>
        <w:t>as well as for bodies and institutions competent for prevention, identification, help and support to victims and civil associations, so that they can recognize and identify the presumptions for non-punishment of victims</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The Guidelines refer to the action of the relevant authorities and subjects upon the </w:t>
      </w:r>
      <w:r w:rsidRPr="00480C5B">
        <w:rPr>
          <w:rFonts w:ascii="StobiSerif Regular" w:hAnsi="StobiSerif Regular"/>
          <w:sz w:val="22"/>
          <w:szCs w:val="22"/>
          <w:lang w:val="en-US"/>
        </w:rPr>
        <w:t>first suspicion</w:t>
      </w:r>
      <w:r w:rsidRPr="00206F50">
        <w:rPr>
          <w:rFonts w:ascii="StobiSerif Regular" w:hAnsi="StobiSerif Regular"/>
          <w:i/>
          <w:sz w:val="22"/>
          <w:szCs w:val="22"/>
          <w:lang w:val="en-US"/>
        </w:rPr>
        <w:t xml:space="preserve"> </w:t>
      </w:r>
      <w:r w:rsidRPr="00206F50">
        <w:rPr>
          <w:rFonts w:ascii="StobiSerif Regular" w:hAnsi="StobiSerif Regular"/>
          <w:sz w:val="22"/>
          <w:szCs w:val="22"/>
          <w:lang w:val="en-US"/>
        </w:rPr>
        <w:t>that perhaps in the specific case there is a potential victim of trafficking</w:t>
      </w:r>
      <w:r w:rsidRPr="00206F50">
        <w:rPr>
          <w:rFonts w:ascii="StobiSerif Regular" w:hAnsi="StobiSerif Regular"/>
          <w:sz w:val="22"/>
          <w:szCs w:val="22"/>
        </w:rPr>
        <w:t xml:space="preserve">. </w:t>
      </w:r>
      <w:r w:rsidRPr="00206F50">
        <w:rPr>
          <w:rFonts w:ascii="StobiSerif Regular" w:hAnsi="StobiSerif Regular"/>
          <w:sz w:val="22"/>
          <w:szCs w:val="22"/>
          <w:lang w:val="en-US"/>
        </w:rPr>
        <w:t>The suspicion is a basis for undertaking certain activities that should occur prior to the formal identification of the person as trafficking victim and can be used for assessing the situation according to the indicators, coordinated interdisciplinary and intersectoral cooperation, the initial provision of safety for the person, their accommodation and proper health i.e. psychological assistance</w:t>
      </w:r>
      <w:r w:rsidRPr="00206F50">
        <w:rPr>
          <w:rFonts w:ascii="StobiSerif Regular" w:hAnsi="StobiSerif Regular"/>
          <w:sz w:val="22"/>
          <w:szCs w:val="22"/>
        </w:rPr>
        <w:t xml:space="preserve">. </w:t>
      </w:r>
      <w:r w:rsidRPr="00206F50">
        <w:rPr>
          <w:rFonts w:ascii="StobiSerif Regular" w:hAnsi="StobiSerif Regular"/>
          <w:sz w:val="22"/>
          <w:szCs w:val="22"/>
          <w:lang w:val="en-US"/>
        </w:rPr>
        <w:t>The authorities’ action, for provision of safety, assistance, support and protection to the potential trafficking victim, is not conditioned by the cooperation of the person if it is later confirmed that the person is identified as a victim</w:t>
      </w:r>
      <w:r w:rsidRPr="00206F50">
        <w:rPr>
          <w:rFonts w:ascii="StobiSerif Regular" w:hAnsi="StobiSerif Regular"/>
          <w:sz w:val="22"/>
          <w:szCs w:val="22"/>
        </w:rPr>
        <w:t>.</w:t>
      </w:r>
    </w:p>
    <w:p w:rsidR="00206F50" w:rsidRPr="00206F50" w:rsidRDefault="00206F50" w:rsidP="00206F50">
      <w:pPr>
        <w:ind w:firstLine="720"/>
        <w:rPr>
          <w:rFonts w:ascii="StobiSerif Regular" w:hAnsi="StobiSerif Regular"/>
          <w:bCs/>
          <w:sz w:val="22"/>
          <w:szCs w:val="22"/>
          <w:u w:val="single"/>
          <w:lang w:val="en-GB"/>
        </w:rPr>
      </w:pPr>
      <w:r w:rsidRPr="00206F50">
        <w:rPr>
          <w:rFonts w:ascii="StobiSerif Regular" w:hAnsi="StobiSerif Regular"/>
          <w:sz w:val="22"/>
          <w:szCs w:val="22"/>
          <w:lang w:val="en-GB"/>
        </w:rPr>
        <w:t>According to the national legislation there is a general ground for exclusion of illegality (extreme necessity), as well as a special ground for impunity for the criminal offenses of Trafficking in Human Beings and Trafficking in Children (Article 418-a, paragraph 7 and Article 418- d paragraph 8). It is necessary in each individual case to recognize and determine the special conditions for application of either the general or the special provision.</w:t>
      </w:r>
    </w:p>
    <w:p w:rsidR="007336EF" w:rsidRPr="00206F50" w:rsidRDefault="007336EF" w:rsidP="00480C5B">
      <w:pPr>
        <w:ind w:firstLine="720"/>
        <w:rPr>
          <w:rFonts w:ascii="StobiSerif Regular" w:hAnsi="StobiSerif Regular"/>
          <w:sz w:val="22"/>
          <w:szCs w:val="22"/>
        </w:rPr>
      </w:pPr>
      <w:r w:rsidRPr="00206F50">
        <w:rPr>
          <w:rFonts w:ascii="StobiSerif Regular" w:hAnsi="StobiSerif Regular"/>
          <w:sz w:val="22"/>
          <w:szCs w:val="22"/>
          <w:lang w:val="en-US"/>
        </w:rPr>
        <w:t>When applying the Principle of non-punishment of trafficking victims one must take into consideration the complex questions regarding the determining of a status of a victim and the linkage of crimes and illicit activities with that status</w:t>
      </w:r>
      <w:r w:rsidRPr="00206F50">
        <w:rPr>
          <w:rFonts w:ascii="StobiSerif Regular" w:hAnsi="StobiSerif Regular"/>
          <w:sz w:val="22"/>
          <w:szCs w:val="22"/>
        </w:rPr>
        <w:t xml:space="preserve">, </w:t>
      </w:r>
      <w:r w:rsidRPr="00206F50">
        <w:rPr>
          <w:rFonts w:ascii="StobiSerif Regular" w:hAnsi="StobiSerif Regular"/>
          <w:sz w:val="22"/>
          <w:szCs w:val="22"/>
          <w:lang w:val="en-US"/>
        </w:rPr>
        <w:t>as well as the legal grounds for non-punishment set as material and legal, as well as process and legal assumptions for</w:t>
      </w:r>
      <w:r w:rsidRPr="00206F50">
        <w:rPr>
          <w:rFonts w:ascii="StobiSerif Regular" w:hAnsi="StobiSerif Regular"/>
          <w:sz w:val="22"/>
          <w:szCs w:val="22"/>
        </w:rPr>
        <w:t xml:space="preserve">: </w:t>
      </w:r>
      <w:r w:rsidRPr="00206F50">
        <w:rPr>
          <w:rFonts w:ascii="StobiSerif Regular" w:hAnsi="StobiSerif Regular"/>
          <w:sz w:val="22"/>
          <w:szCs w:val="22"/>
          <w:lang w:val="en-US"/>
        </w:rPr>
        <w:t>excluding the action</w:t>
      </w:r>
      <w:r w:rsidRPr="00206F50">
        <w:rPr>
          <w:rFonts w:ascii="StobiSerif Regular" w:hAnsi="StobiSerif Regular"/>
          <w:sz w:val="22"/>
          <w:szCs w:val="22"/>
        </w:rPr>
        <w:t xml:space="preserve">, </w:t>
      </w:r>
      <w:r w:rsidRPr="00206F50">
        <w:rPr>
          <w:rFonts w:ascii="StobiSerif Regular" w:hAnsi="StobiSerif Regular"/>
          <w:sz w:val="22"/>
          <w:szCs w:val="22"/>
          <w:lang w:val="en-US"/>
        </w:rPr>
        <w:t>excluding the illegality</w:t>
      </w:r>
      <w:r w:rsidRPr="00206F50">
        <w:rPr>
          <w:rFonts w:ascii="StobiSerif Regular" w:hAnsi="StobiSerif Regular"/>
          <w:sz w:val="22"/>
          <w:szCs w:val="22"/>
        </w:rPr>
        <w:t xml:space="preserve">, </w:t>
      </w:r>
      <w:r w:rsidRPr="00206F50">
        <w:rPr>
          <w:rFonts w:ascii="StobiSerif Regular" w:hAnsi="StobiSerif Regular"/>
          <w:sz w:val="22"/>
          <w:szCs w:val="22"/>
          <w:lang w:val="en-US"/>
        </w:rPr>
        <w:t>excluding guilt or releasing from punishment</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Determining whether those grounds exist throughout the process of identifying the victim affects the non-initiation of criminal </w:t>
      </w:r>
      <w:r w:rsidRPr="00206F50">
        <w:rPr>
          <w:rFonts w:ascii="StobiSerif Regular" w:hAnsi="StobiSerif Regular"/>
          <w:sz w:val="22"/>
          <w:szCs w:val="22"/>
          <w:lang w:val="en-US"/>
        </w:rPr>
        <w:lastRenderedPageBreak/>
        <w:t>proceedings</w:t>
      </w:r>
      <w:r w:rsidRPr="00206F50">
        <w:rPr>
          <w:rFonts w:ascii="StobiSerif Regular" w:hAnsi="StobiSerif Regular"/>
          <w:sz w:val="22"/>
          <w:szCs w:val="22"/>
        </w:rPr>
        <w:t xml:space="preserve">, </w:t>
      </w:r>
      <w:r w:rsidRPr="00206F50">
        <w:rPr>
          <w:rFonts w:ascii="StobiSerif Regular" w:hAnsi="StobiSerif Regular"/>
          <w:sz w:val="22"/>
          <w:szCs w:val="22"/>
          <w:lang w:val="en-US"/>
        </w:rPr>
        <w:t>halting the proceedings</w:t>
      </w:r>
      <w:r w:rsidRPr="00206F50">
        <w:rPr>
          <w:rFonts w:ascii="StobiSerif Regular" w:hAnsi="StobiSerif Regular"/>
          <w:sz w:val="22"/>
          <w:szCs w:val="22"/>
        </w:rPr>
        <w:t xml:space="preserve">, </w:t>
      </w:r>
      <w:r w:rsidRPr="00206F50">
        <w:rPr>
          <w:rFonts w:ascii="StobiSerif Regular" w:hAnsi="StobiSerif Regular"/>
          <w:sz w:val="22"/>
          <w:szCs w:val="22"/>
          <w:lang w:val="en-US"/>
        </w:rPr>
        <w:t>reaching releasing verdict or dismissing verdict</w:t>
      </w:r>
      <w:r w:rsidRPr="00206F50">
        <w:rPr>
          <w:rFonts w:ascii="StobiSerif Regular" w:hAnsi="StobiSerif Regular"/>
          <w:sz w:val="22"/>
          <w:szCs w:val="22"/>
        </w:rPr>
        <w:t xml:space="preserve"> </w:t>
      </w:r>
      <w:r w:rsidRPr="00206F50">
        <w:rPr>
          <w:rFonts w:ascii="StobiSerif Regular" w:hAnsi="StobiSerif Regular"/>
          <w:sz w:val="22"/>
          <w:szCs w:val="22"/>
          <w:lang w:val="en-US"/>
        </w:rPr>
        <w:t>or release from punishment</w:t>
      </w:r>
      <w:r w:rsidRPr="00206F50">
        <w:rPr>
          <w:rFonts w:ascii="StobiSerif Regular" w:hAnsi="StobiSerif Regular"/>
          <w:sz w:val="22"/>
          <w:szCs w:val="22"/>
        </w:rPr>
        <w:t xml:space="preserve">. </w:t>
      </w:r>
      <w:r w:rsidRPr="00206F50">
        <w:rPr>
          <w:rFonts w:ascii="StobiSerif Regular" w:hAnsi="StobiSerif Regular"/>
          <w:sz w:val="22"/>
          <w:szCs w:val="22"/>
          <w:lang w:val="en-US"/>
        </w:rPr>
        <w:t>Non-punishment clause is directed towards full protection of trafficking victims from applying measures of process duress</w:t>
      </w:r>
      <w:r w:rsidRPr="00206F50">
        <w:rPr>
          <w:rFonts w:ascii="StobiSerif Regular" w:hAnsi="StobiSerif Regular"/>
          <w:sz w:val="22"/>
          <w:szCs w:val="22"/>
        </w:rPr>
        <w:t xml:space="preserve"> (</w:t>
      </w:r>
      <w:r w:rsidRPr="00206F50">
        <w:rPr>
          <w:rFonts w:ascii="StobiSerif Regular" w:hAnsi="StobiSerif Regular"/>
          <w:sz w:val="22"/>
          <w:szCs w:val="22"/>
          <w:lang w:val="en-US"/>
        </w:rPr>
        <w:t>deprivation of liberty</w:t>
      </w:r>
      <w:r w:rsidRPr="00206F50">
        <w:rPr>
          <w:rFonts w:ascii="StobiSerif Regular" w:hAnsi="StobiSerif Regular"/>
          <w:sz w:val="22"/>
          <w:szCs w:val="22"/>
        </w:rPr>
        <w:t xml:space="preserve">, </w:t>
      </w:r>
      <w:r w:rsidRPr="00206F50">
        <w:rPr>
          <w:rFonts w:ascii="StobiSerif Regular" w:hAnsi="StobiSerif Regular"/>
          <w:sz w:val="22"/>
          <w:szCs w:val="22"/>
          <w:lang w:val="en-US"/>
        </w:rPr>
        <w:t>detention)</w:t>
      </w:r>
      <w:r w:rsidRPr="00206F50">
        <w:rPr>
          <w:rFonts w:ascii="StobiSerif Regular" w:hAnsi="StobiSerif Regular"/>
          <w:sz w:val="22"/>
          <w:szCs w:val="22"/>
        </w:rPr>
        <w:t xml:space="preserve">, </w:t>
      </w:r>
      <w:r w:rsidRPr="00206F50">
        <w:rPr>
          <w:rFonts w:ascii="StobiSerif Regular" w:hAnsi="StobiSerif Regular"/>
          <w:sz w:val="22"/>
          <w:szCs w:val="22"/>
          <w:lang w:val="en-US"/>
        </w:rPr>
        <w:t>initiating criminal proceedings</w:t>
      </w:r>
      <w:r w:rsidRPr="00206F50">
        <w:rPr>
          <w:rFonts w:ascii="StobiSerif Regular" w:hAnsi="StobiSerif Regular"/>
          <w:sz w:val="22"/>
          <w:szCs w:val="22"/>
        </w:rPr>
        <w:t xml:space="preserve">, </w:t>
      </w:r>
      <w:r w:rsidRPr="00206F50">
        <w:rPr>
          <w:rFonts w:ascii="StobiSerif Regular" w:hAnsi="StobiSerif Regular"/>
          <w:sz w:val="22"/>
          <w:szCs w:val="22"/>
          <w:lang w:val="en-US"/>
        </w:rPr>
        <w:t>criminal file</w:t>
      </w:r>
      <w:r w:rsidRPr="00206F50">
        <w:rPr>
          <w:rFonts w:ascii="StobiSerif Regular" w:hAnsi="StobiSerif Regular"/>
          <w:sz w:val="22"/>
          <w:szCs w:val="22"/>
        </w:rPr>
        <w:t xml:space="preserve">, </w:t>
      </w:r>
      <w:r w:rsidRPr="00206F50">
        <w:rPr>
          <w:rFonts w:ascii="StobiSerif Regular" w:hAnsi="StobiSerif Regular"/>
          <w:sz w:val="22"/>
          <w:szCs w:val="22"/>
          <w:lang w:val="en-US"/>
        </w:rPr>
        <w:t>imposing penalties etc</w:t>
      </w:r>
      <w:r w:rsidRPr="00206F50">
        <w:rPr>
          <w:rFonts w:ascii="StobiSerif Regular" w:hAnsi="StobiSerif Regular"/>
          <w:sz w:val="22"/>
          <w:szCs w:val="22"/>
        </w:rPr>
        <w:t>.</w:t>
      </w:r>
    </w:p>
    <w:p w:rsidR="007336EF" w:rsidRPr="00206F50" w:rsidRDefault="007336EF" w:rsidP="00480C5B">
      <w:pPr>
        <w:ind w:firstLine="720"/>
        <w:rPr>
          <w:rFonts w:ascii="StobiSerif Regular" w:hAnsi="StobiSerif Regular"/>
          <w:sz w:val="22"/>
          <w:szCs w:val="22"/>
          <w:lang w:val="en-US"/>
        </w:rPr>
      </w:pPr>
      <w:r w:rsidRPr="00206F50">
        <w:rPr>
          <w:rFonts w:ascii="StobiSerif Regular" w:hAnsi="StobiSerif Regular"/>
          <w:sz w:val="22"/>
          <w:szCs w:val="22"/>
          <w:lang w:val="en-US"/>
        </w:rPr>
        <w:t>In that regard</w:t>
      </w:r>
      <w:r w:rsidRPr="00206F50">
        <w:rPr>
          <w:rFonts w:ascii="StobiSerif Regular" w:hAnsi="StobiSerif Regular"/>
          <w:sz w:val="22"/>
          <w:szCs w:val="22"/>
        </w:rPr>
        <w:t xml:space="preserve">, </w:t>
      </w:r>
      <w:r w:rsidRPr="00206F50">
        <w:rPr>
          <w:rFonts w:ascii="StobiSerif Regular" w:hAnsi="StobiSerif Regular"/>
          <w:sz w:val="22"/>
          <w:szCs w:val="22"/>
          <w:lang w:val="en-US"/>
        </w:rPr>
        <w:t>the explicit manner for protection of victims from prosecution included in the clause of non-punishment of the victim in the Criminal Code</w:t>
      </w:r>
      <w:r w:rsidRPr="00206F50">
        <w:rPr>
          <w:rFonts w:ascii="StobiSerif Regular" w:hAnsi="StobiSerif Regular"/>
          <w:sz w:val="22"/>
          <w:szCs w:val="22"/>
        </w:rPr>
        <w:t xml:space="preserve"> </w:t>
      </w:r>
      <w:r w:rsidRPr="00206F50">
        <w:rPr>
          <w:rFonts w:ascii="StobiSerif Regular" w:hAnsi="StobiSerif Regular"/>
          <w:sz w:val="22"/>
          <w:szCs w:val="22"/>
          <w:lang w:val="en-US"/>
        </w:rPr>
        <w:t>shall be applied, regardless of the form of exploitation</w:t>
      </w:r>
      <w:r w:rsidRPr="00206F50">
        <w:rPr>
          <w:rFonts w:ascii="StobiSerif Regular" w:hAnsi="StobiSerif Regular"/>
          <w:sz w:val="22"/>
          <w:szCs w:val="22"/>
        </w:rPr>
        <w:t xml:space="preserve"> </w:t>
      </w:r>
      <w:r w:rsidRPr="00206F50">
        <w:rPr>
          <w:rFonts w:ascii="StobiSerif Regular" w:hAnsi="StobiSerif Regular"/>
          <w:sz w:val="22"/>
          <w:szCs w:val="22"/>
          <w:lang w:val="en-US"/>
        </w:rPr>
        <w:t>which was the target of human trafficking</w:t>
      </w:r>
      <w:r w:rsidRPr="00206F50">
        <w:rPr>
          <w:rFonts w:ascii="StobiSerif Regular" w:hAnsi="StobiSerif Regular"/>
          <w:sz w:val="22"/>
          <w:szCs w:val="22"/>
        </w:rPr>
        <w:t>.</w:t>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Interpretation and applying is in correlation with the last resort stipulated in the Criminal Code</w:t>
      </w:r>
      <w:r w:rsidRPr="00206F50">
        <w:rPr>
          <w:rFonts w:ascii="StobiSerif Regular" w:hAnsi="StobiSerif Regular"/>
          <w:sz w:val="22"/>
          <w:szCs w:val="22"/>
        </w:rPr>
        <w:t xml:space="preserve">, </w:t>
      </w:r>
      <w:r w:rsidRPr="00206F50">
        <w:rPr>
          <w:rFonts w:ascii="StobiSerif Regular" w:hAnsi="StobiSerif Regular"/>
          <w:sz w:val="22"/>
          <w:szCs w:val="22"/>
          <w:lang w:val="en-US"/>
        </w:rPr>
        <w:t>as general basis for excluding</w:t>
      </w:r>
      <w:r w:rsidRPr="00206F50">
        <w:rPr>
          <w:rFonts w:ascii="StobiSerif Regular" w:hAnsi="StobiSerif Regular"/>
          <w:sz w:val="22"/>
          <w:szCs w:val="22"/>
        </w:rPr>
        <w:t xml:space="preserve"> </w:t>
      </w:r>
      <w:r w:rsidRPr="00206F50">
        <w:rPr>
          <w:rFonts w:ascii="StobiSerif Regular" w:hAnsi="StobiSerif Regular"/>
          <w:sz w:val="22"/>
          <w:szCs w:val="22"/>
          <w:lang w:val="en-US"/>
        </w:rPr>
        <w:t>illegality</w:t>
      </w:r>
      <w:r w:rsidRPr="00206F50">
        <w:rPr>
          <w:rFonts w:ascii="StobiSerif Regular" w:hAnsi="StobiSerif Regular"/>
          <w:sz w:val="22"/>
          <w:szCs w:val="22"/>
        </w:rPr>
        <w:t xml:space="preserve">– </w:t>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Article</w:t>
      </w:r>
      <w:r w:rsidRPr="00206F50">
        <w:rPr>
          <w:rFonts w:ascii="StobiSerif Regular" w:hAnsi="StobiSerif Regular"/>
          <w:sz w:val="22"/>
          <w:szCs w:val="22"/>
        </w:rPr>
        <w:t xml:space="preserve"> 10 – </w:t>
      </w:r>
      <w:r w:rsidRPr="00206F50">
        <w:rPr>
          <w:rFonts w:ascii="StobiSerif Regular" w:hAnsi="StobiSerif Regular"/>
          <w:sz w:val="22"/>
          <w:szCs w:val="22"/>
          <w:lang w:val="en-US"/>
        </w:rPr>
        <w:t>Last resort in the Criminal Code</w:t>
      </w:r>
      <w:r w:rsidRPr="00206F50">
        <w:rPr>
          <w:rFonts w:ascii="StobiSerif Regular" w:hAnsi="StobiSerif Regular"/>
          <w:sz w:val="22"/>
          <w:szCs w:val="22"/>
        </w:rPr>
        <w:t>:</w:t>
      </w:r>
    </w:p>
    <w:p w:rsidR="007336EF" w:rsidRPr="00480C5B" w:rsidRDefault="007336EF" w:rsidP="007336EF">
      <w:pPr>
        <w:ind w:firstLine="720"/>
        <w:rPr>
          <w:rFonts w:ascii="StobiSerif Regular" w:hAnsi="StobiSerif Regular"/>
          <w:sz w:val="22"/>
          <w:szCs w:val="22"/>
        </w:rPr>
      </w:pPr>
      <w:r w:rsidRPr="00480C5B">
        <w:rPr>
          <w:rFonts w:ascii="StobiSerif Regular" w:hAnsi="StobiSerif Regular"/>
          <w:sz w:val="22"/>
          <w:szCs w:val="22"/>
        </w:rPr>
        <w:t xml:space="preserve">„(1) </w:t>
      </w:r>
      <w:r w:rsidRPr="00480C5B">
        <w:rPr>
          <w:rFonts w:ascii="StobiSerif Regular" w:hAnsi="StobiSerif Regular"/>
          <w:sz w:val="22"/>
          <w:szCs w:val="22"/>
          <w:lang w:val="en-US"/>
        </w:rPr>
        <w:t>The crime perpetrated as last resort shall not be deemed as a crime</w:t>
      </w:r>
      <w:r w:rsidRPr="00480C5B">
        <w:rPr>
          <w:rFonts w:ascii="StobiSerif Regular" w:hAnsi="StobiSerif Regular"/>
          <w:sz w:val="22"/>
          <w:szCs w:val="22"/>
        </w:rPr>
        <w:t>.</w:t>
      </w:r>
    </w:p>
    <w:p w:rsidR="007336EF" w:rsidRPr="00480C5B" w:rsidRDefault="007336EF" w:rsidP="007336EF">
      <w:pPr>
        <w:ind w:firstLine="720"/>
        <w:rPr>
          <w:rFonts w:ascii="StobiSerif Regular" w:hAnsi="StobiSerif Regular"/>
          <w:sz w:val="22"/>
          <w:szCs w:val="22"/>
          <w:lang w:val="en-US"/>
        </w:rPr>
      </w:pPr>
      <w:r w:rsidRPr="00480C5B">
        <w:rPr>
          <w:rFonts w:ascii="StobiSerif Regular" w:hAnsi="StobiSerif Regular"/>
          <w:sz w:val="22"/>
          <w:szCs w:val="22"/>
        </w:rPr>
        <w:t xml:space="preserve">(2) </w:t>
      </w:r>
      <w:r w:rsidRPr="00480C5B">
        <w:rPr>
          <w:rFonts w:ascii="StobiSerif Regular" w:hAnsi="StobiSerif Regular"/>
          <w:sz w:val="22"/>
          <w:szCs w:val="22"/>
          <w:lang w:val="en-US"/>
        </w:rPr>
        <w:t>Last resort shall mean when the crime is perpetrated in order for the perpetrator to remove from oneself or from another person simultaneous danger that could not be otherwise removed, and the perpetrated crime shall not be more serious than the threatening crime.</w:t>
      </w:r>
    </w:p>
    <w:p w:rsidR="007336EF" w:rsidRPr="00480C5B" w:rsidRDefault="007336EF" w:rsidP="007336EF">
      <w:pPr>
        <w:ind w:firstLine="720"/>
        <w:rPr>
          <w:rFonts w:ascii="StobiSerif Regular" w:hAnsi="StobiSerif Regular"/>
          <w:sz w:val="22"/>
          <w:szCs w:val="22"/>
        </w:rPr>
      </w:pPr>
      <w:r w:rsidRPr="00480C5B">
        <w:rPr>
          <w:rFonts w:ascii="StobiSerif Regular" w:hAnsi="StobiSerif Regular"/>
          <w:sz w:val="22"/>
          <w:szCs w:val="22"/>
        </w:rPr>
        <w:t xml:space="preserve">(3) </w:t>
      </w:r>
      <w:r w:rsidRPr="00480C5B">
        <w:rPr>
          <w:rFonts w:ascii="StobiSerif Regular" w:hAnsi="StobiSerif Regular"/>
          <w:sz w:val="22"/>
          <w:szCs w:val="22"/>
          <w:lang w:val="en-US"/>
        </w:rPr>
        <w:t>The perpetrator who caused danger and crossed the lines of last resort out of negligence,</w:t>
      </w:r>
      <w:r w:rsidRPr="00480C5B">
        <w:rPr>
          <w:rFonts w:ascii="StobiSerif Regular" w:hAnsi="StobiSerif Regular"/>
          <w:sz w:val="22"/>
          <w:szCs w:val="22"/>
        </w:rPr>
        <w:t xml:space="preserve"> </w:t>
      </w:r>
      <w:r w:rsidRPr="00480C5B">
        <w:rPr>
          <w:rFonts w:ascii="StobiSerif Regular" w:hAnsi="StobiSerif Regular"/>
          <w:sz w:val="22"/>
          <w:szCs w:val="22"/>
          <w:lang w:val="en-US"/>
        </w:rPr>
        <w:t>can be punished with a milder punishment, and if the crossing of lines was done under particularly extenuating</w:t>
      </w:r>
      <w:r w:rsidRPr="00480C5B">
        <w:rPr>
          <w:rFonts w:ascii="StobiSerif Regular" w:hAnsi="StobiSerif Regular"/>
          <w:sz w:val="22"/>
          <w:szCs w:val="22"/>
        </w:rPr>
        <w:t xml:space="preserve"> </w:t>
      </w:r>
      <w:r w:rsidRPr="00480C5B">
        <w:rPr>
          <w:rFonts w:ascii="StobiSerif Regular" w:hAnsi="StobiSerif Regular"/>
          <w:sz w:val="22"/>
          <w:szCs w:val="22"/>
          <w:lang w:val="en-US"/>
        </w:rPr>
        <w:t>circumstances, the perpetrator can be released</w:t>
      </w:r>
      <w:r w:rsidRPr="00480C5B">
        <w:rPr>
          <w:rFonts w:ascii="StobiSerif Regular" w:hAnsi="StobiSerif Regular"/>
          <w:sz w:val="22"/>
          <w:szCs w:val="22"/>
        </w:rPr>
        <w:t>.</w:t>
      </w:r>
    </w:p>
    <w:p w:rsidR="007336EF" w:rsidRPr="00206F50" w:rsidRDefault="007336EF" w:rsidP="00480C5B">
      <w:pPr>
        <w:ind w:firstLine="720"/>
        <w:rPr>
          <w:rFonts w:ascii="StobiSerif Regular" w:hAnsi="StobiSerif Regular"/>
          <w:sz w:val="22"/>
          <w:szCs w:val="22"/>
        </w:rPr>
      </w:pPr>
      <w:r w:rsidRPr="00480C5B">
        <w:rPr>
          <w:rFonts w:ascii="StobiSerif Regular" w:hAnsi="StobiSerif Regular"/>
          <w:sz w:val="22"/>
          <w:szCs w:val="22"/>
        </w:rPr>
        <w:t xml:space="preserve">(4) </w:t>
      </w:r>
      <w:r w:rsidRPr="00480C5B">
        <w:rPr>
          <w:rFonts w:ascii="StobiSerif Regular" w:hAnsi="StobiSerif Regular"/>
          <w:sz w:val="22"/>
          <w:szCs w:val="22"/>
          <w:lang w:val="en-US"/>
        </w:rPr>
        <w:t>There is no final resort if the perpetrator was bound to expose themselves to danger</w:t>
      </w:r>
      <w:r w:rsidRPr="00480C5B">
        <w:rPr>
          <w:rFonts w:ascii="StobiSerif Regular" w:hAnsi="StobiSerif Regular"/>
          <w:sz w:val="22"/>
          <w:szCs w:val="22"/>
        </w:rPr>
        <w:t>.“</w:t>
      </w:r>
      <w:r w:rsidRPr="00206F50">
        <w:rPr>
          <w:rFonts w:ascii="StobiSerif Regular" w:hAnsi="StobiSerif Regular"/>
          <w:sz w:val="22"/>
          <w:szCs w:val="22"/>
        </w:rPr>
        <w:tab/>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Taken into consideration that crossing the lines of last resort does not exclude illegality of the victim’s crime</w:t>
      </w:r>
      <w:r w:rsidRPr="00206F50">
        <w:rPr>
          <w:rFonts w:ascii="StobiSerif Regular" w:hAnsi="StobiSerif Regular"/>
          <w:sz w:val="22"/>
          <w:szCs w:val="22"/>
        </w:rPr>
        <w:t>,</w:t>
      </w:r>
      <w:r w:rsidRPr="00206F50">
        <w:rPr>
          <w:rFonts w:ascii="StobiSerif Regular" w:hAnsi="StobiSerif Regular"/>
          <w:sz w:val="22"/>
          <w:szCs w:val="22"/>
          <w:lang w:val="en-US"/>
        </w:rPr>
        <w:t xml:space="preserve"> and thus the possibility for the victim’s punishment for the perpetrated crime</w:t>
      </w:r>
      <w:r w:rsidRPr="00206F50">
        <w:rPr>
          <w:rFonts w:ascii="StobiSerif Regular" w:hAnsi="StobiSerif Regular"/>
          <w:sz w:val="22"/>
          <w:szCs w:val="22"/>
        </w:rPr>
        <w:t xml:space="preserve">, </w:t>
      </w:r>
      <w:r w:rsidRPr="00206F50">
        <w:rPr>
          <w:rFonts w:ascii="StobiSerif Regular" w:hAnsi="StobiSerif Regular"/>
          <w:sz w:val="22"/>
          <w:szCs w:val="22"/>
          <w:lang w:val="en-US"/>
        </w:rPr>
        <w:t>it shall be determined on a case by case basis (taking into consideration all the circumstances and the condition of the victim indicating significant limitation of the freedom of choice)</w:t>
      </w:r>
      <w:r w:rsidRPr="00206F50">
        <w:rPr>
          <w:rFonts w:ascii="StobiSerif Regular" w:hAnsi="StobiSerif Regular"/>
          <w:sz w:val="22"/>
          <w:szCs w:val="22"/>
        </w:rPr>
        <w:t xml:space="preserve"> </w:t>
      </w:r>
      <w:r w:rsidRPr="00206F50">
        <w:rPr>
          <w:rFonts w:ascii="StobiSerif Regular" w:hAnsi="StobiSerif Regular"/>
          <w:sz w:val="22"/>
          <w:szCs w:val="22"/>
          <w:lang w:val="en-US"/>
        </w:rPr>
        <w:t>if there are grounds for applying the non-punishment provision</w:t>
      </w:r>
      <w:r w:rsidRPr="00206F50">
        <w:rPr>
          <w:rFonts w:ascii="StobiSerif Regular" w:hAnsi="StobiSerif Regular"/>
          <w:sz w:val="22"/>
          <w:szCs w:val="22"/>
        </w:rPr>
        <w:t xml:space="preserve">. </w:t>
      </w:r>
      <w:r w:rsidRPr="00206F50">
        <w:rPr>
          <w:rFonts w:ascii="StobiSerif Regular" w:hAnsi="StobiSerif Regular"/>
          <w:sz w:val="22"/>
          <w:szCs w:val="22"/>
          <w:lang w:val="en-US"/>
        </w:rPr>
        <w:t xml:space="preserve">As a rule, that provision shall be applied when the crime perpetrated by the victim, under the circumstances the victim determines, causes a crime </w:t>
      </w:r>
      <w:r w:rsidRPr="00206F50">
        <w:rPr>
          <w:rFonts w:ascii="StobiSerif Regular" w:hAnsi="StobiSerif Regular"/>
          <w:sz w:val="22"/>
          <w:szCs w:val="22"/>
          <w:lang w:val="en-US"/>
        </w:rPr>
        <w:lastRenderedPageBreak/>
        <w:t>which is not significantly more serious than the crime threatening to the victim</w:t>
      </w:r>
      <w:r w:rsidRPr="00206F50">
        <w:rPr>
          <w:rFonts w:ascii="StobiSerif Regular" w:hAnsi="StobiSerif Regular"/>
          <w:sz w:val="22"/>
          <w:szCs w:val="22"/>
        </w:rPr>
        <w:t>.</w:t>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As regards the applying of the non-punishment clause</w:t>
      </w:r>
      <w:r w:rsidRPr="00206F50">
        <w:rPr>
          <w:rFonts w:ascii="StobiSerif Regular" w:hAnsi="StobiSerif Regular"/>
          <w:sz w:val="22"/>
          <w:szCs w:val="22"/>
        </w:rPr>
        <w:t xml:space="preserve"> </w:t>
      </w:r>
      <w:r w:rsidRPr="00206F50">
        <w:rPr>
          <w:rFonts w:ascii="StobiSerif Regular" w:hAnsi="StobiSerif Regular"/>
          <w:sz w:val="22"/>
          <w:szCs w:val="22"/>
          <w:lang w:val="en-US"/>
        </w:rPr>
        <w:t>of a child victim</w:t>
      </w:r>
      <w:r w:rsidRPr="00206F50">
        <w:rPr>
          <w:rFonts w:ascii="StobiSerif Regular" w:hAnsi="StobiSerif Regular"/>
          <w:sz w:val="22"/>
          <w:szCs w:val="22"/>
        </w:rPr>
        <w:t xml:space="preserve">, </w:t>
      </w:r>
      <w:r w:rsidRPr="00206F50">
        <w:rPr>
          <w:rFonts w:ascii="StobiSerif Regular" w:hAnsi="StobiSerif Regular"/>
          <w:sz w:val="22"/>
          <w:szCs w:val="22"/>
          <w:lang w:val="en-US"/>
        </w:rPr>
        <w:t>it shall be applied regardless of the fact whether the child cooperated with the trafficker, opposed, expressed disagreement or if there was no reaction at all</w:t>
      </w:r>
      <w:r w:rsidRPr="00206F50">
        <w:rPr>
          <w:rFonts w:ascii="StobiSerif Regular" w:hAnsi="StobiSerif Regular"/>
          <w:sz w:val="22"/>
          <w:szCs w:val="22"/>
        </w:rPr>
        <w:t>.</w:t>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The applying of the standard of non-punishment of the trafficking victim shall be done through a process that will include</w:t>
      </w:r>
      <w:r w:rsidRPr="00206F50">
        <w:rPr>
          <w:rFonts w:ascii="StobiSerif Regular" w:hAnsi="StobiSerif Regular"/>
          <w:sz w:val="22"/>
          <w:szCs w:val="22"/>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Identifying the victim</w:t>
      </w:r>
      <w:r w:rsidRPr="00206F50">
        <w:rPr>
          <w:rFonts w:ascii="StobiSerif Regular" w:hAnsi="StobiSerif Regular"/>
          <w:sz w:val="22"/>
          <w:szCs w:val="22"/>
        </w:rPr>
        <w:t xml:space="preserve">, </w:t>
      </w:r>
      <w:r w:rsidRPr="00206F50">
        <w:rPr>
          <w:rFonts w:ascii="StobiSerif Regular" w:hAnsi="StobiSerif Regular"/>
          <w:sz w:val="22"/>
          <w:szCs w:val="22"/>
          <w:lang w:val="en-US"/>
        </w:rPr>
        <w:t>determined by the form of trafficking</w:t>
      </w:r>
      <w:r w:rsidRPr="00206F50">
        <w:rPr>
          <w:rFonts w:ascii="StobiSerif Regular" w:hAnsi="StobiSerif Regular"/>
          <w:sz w:val="22"/>
          <w:szCs w:val="22"/>
        </w:rPr>
        <w:t xml:space="preserve">, </w:t>
      </w:r>
      <w:r w:rsidRPr="00206F50">
        <w:rPr>
          <w:rFonts w:ascii="StobiSerif Regular" w:hAnsi="StobiSerif Regular"/>
          <w:sz w:val="22"/>
          <w:szCs w:val="22"/>
          <w:lang w:val="en-US"/>
        </w:rPr>
        <w:t>the act and the manner of committing the act</w:t>
      </w:r>
      <w:r w:rsidRPr="00206F50">
        <w:rPr>
          <w:rFonts w:ascii="StobiSerif Regular" w:hAnsi="StobiSerif Regular"/>
          <w:sz w:val="22"/>
          <w:szCs w:val="22"/>
        </w:rPr>
        <w:t xml:space="preserve"> (</w:t>
      </w:r>
      <w:r w:rsidRPr="00206F50">
        <w:rPr>
          <w:rFonts w:ascii="StobiSerif Regular" w:hAnsi="StobiSerif Regular"/>
          <w:sz w:val="22"/>
          <w:szCs w:val="22"/>
          <w:lang w:val="en-US"/>
        </w:rPr>
        <w:t>duress</w:t>
      </w:r>
      <w:r w:rsidRPr="00206F50">
        <w:rPr>
          <w:rFonts w:ascii="StobiSerif Regular" w:hAnsi="StobiSerif Regular"/>
          <w:sz w:val="22"/>
          <w:szCs w:val="22"/>
        </w:rPr>
        <w:t>,</w:t>
      </w:r>
      <w:r w:rsidRPr="00206F50">
        <w:rPr>
          <w:rFonts w:ascii="StobiSerif Regular" w:hAnsi="StobiSerif Regular"/>
          <w:sz w:val="22"/>
          <w:szCs w:val="22"/>
          <w:lang w:val="en-US"/>
        </w:rPr>
        <w:t xml:space="preserve"> threat</w:t>
      </w:r>
      <w:r w:rsidRPr="00206F50">
        <w:rPr>
          <w:rFonts w:ascii="StobiSerif Regular" w:hAnsi="StobiSerif Regular"/>
          <w:sz w:val="22"/>
          <w:szCs w:val="22"/>
        </w:rPr>
        <w:t xml:space="preserve">, </w:t>
      </w:r>
      <w:r w:rsidRPr="00206F50">
        <w:rPr>
          <w:rFonts w:ascii="StobiSerif Regular" w:hAnsi="StobiSerif Regular"/>
          <w:sz w:val="22"/>
          <w:szCs w:val="22"/>
          <w:lang w:val="en-US"/>
        </w:rPr>
        <w:t>fraud etc</w:t>
      </w:r>
      <w:r w:rsidRPr="00206F50">
        <w:rPr>
          <w:rFonts w:ascii="StobiSerif Regular" w:hAnsi="StobiSerif Regular"/>
          <w:sz w:val="22"/>
          <w:szCs w:val="22"/>
        </w:rPr>
        <w:t>.)</w:t>
      </w:r>
      <w:r w:rsidRPr="00206F50">
        <w:rPr>
          <w:rFonts w:ascii="StobiSerif Regular" w:hAnsi="StobiSerif Regular"/>
          <w:sz w:val="22"/>
          <w:szCs w:val="22"/>
          <w:lang w:val="en-US"/>
        </w:rPr>
        <w:t xml:space="preserve"> and the objective of the misuse</w:t>
      </w:r>
      <w:r w:rsidRPr="00206F50">
        <w:rPr>
          <w:rFonts w:ascii="StobiSerif Regular" w:hAnsi="StobiSerif Regular"/>
          <w:sz w:val="22"/>
          <w:szCs w:val="22"/>
        </w:rPr>
        <w:t xml:space="preserve"> (</w:t>
      </w:r>
      <w:r w:rsidRPr="00206F50">
        <w:rPr>
          <w:rFonts w:ascii="StobiSerif Regular" w:hAnsi="StobiSerif Regular"/>
          <w:sz w:val="22"/>
          <w:szCs w:val="22"/>
          <w:lang w:val="en-US"/>
        </w:rPr>
        <w:t>prostitution</w:t>
      </w:r>
      <w:r w:rsidRPr="00206F50">
        <w:rPr>
          <w:rFonts w:ascii="StobiSerif Regular" w:hAnsi="StobiSerif Regular"/>
          <w:sz w:val="22"/>
          <w:szCs w:val="22"/>
        </w:rPr>
        <w:t xml:space="preserve">, </w:t>
      </w:r>
      <w:r w:rsidRPr="00206F50">
        <w:rPr>
          <w:rFonts w:ascii="StobiSerif Regular" w:hAnsi="StobiSerif Regular"/>
          <w:sz w:val="22"/>
          <w:szCs w:val="22"/>
          <w:lang w:val="en-US"/>
        </w:rPr>
        <w:t>forced marriage etc</w:t>
      </w:r>
      <w:r w:rsidRPr="00206F50">
        <w:rPr>
          <w:rFonts w:ascii="StobiSerif Regular" w:hAnsi="StobiSerif Regular"/>
          <w:sz w:val="22"/>
          <w:szCs w:val="22"/>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Identifying the crime perpetrated by the victim and its linkage with the status of a victim</w:t>
      </w:r>
      <w:r w:rsidRPr="00206F50">
        <w:rPr>
          <w:rFonts w:ascii="StobiSerif Regular" w:hAnsi="StobiSerif Regular"/>
          <w:sz w:val="22"/>
          <w:szCs w:val="22"/>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Identifying the grounds for non-punishment of the victim for the perpetrated crime</w:t>
      </w:r>
      <w:r w:rsidRPr="00206F50">
        <w:rPr>
          <w:rFonts w:ascii="StobiSerif Regular" w:hAnsi="StobiSerif Regular"/>
          <w:sz w:val="22"/>
          <w:szCs w:val="22"/>
        </w:rPr>
        <w:t xml:space="preserve">: </w:t>
      </w:r>
      <w:r w:rsidRPr="00206F50">
        <w:rPr>
          <w:rFonts w:ascii="StobiSerif Regular" w:hAnsi="StobiSerif Regular"/>
          <w:sz w:val="22"/>
          <w:szCs w:val="22"/>
          <w:lang w:val="en-US"/>
        </w:rPr>
        <w:t>absolute power</w:t>
      </w:r>
      <w:r w:rsidRPr="00206F50">
        <w:rPr>
          <w:rFonts w:ascii="StobiSerif Regular" w:hAnsi="StobiSerif Regular"/>
          <w:sz w:val="22"/>
          <w:szCs w:val="22"/>
        </w:rPr>
        <w:t xml:space="preserve">, </w:t>
      </w:r>
      <w:r w:rsidRPr="00206F50">
        <w:rPr>
          <w:rFonts w:ascii="StobiSerif Regular" w:hAnsi="StobiSerif Regular"/>
          <w:sz w:val="22"/>
          <w:szCs w:val="22"/>
          <w:lang w:val="en-US"/>
        </w:rPr>
        <w:t>duress</w:t>
      </w:r>
      <w:r w:rsidRPr="00206F50">
        <w:rPr>
          <w:rFonts w:ascii="StobiSerif Regular" w:hAnsi="StobiSerif Regular"/>
          <w:sz w:val="22"/>
          <w:szCs w:val="22"/>
        </w:rPr>
        <w:t xml:space="preserve">, </w:t>
      </w:r>
      <w:r w:rsidRPr="00206F50">
        <w:rPr>
          <w:rFonts w:ascii="StobiSerif Regular" w:hAnsi="StobiSerif Regular"/>
          <w:sz w:val="22"/>
          <w:szCs w:val="22"/>
          <w:lang w:val="en-US"/>
        </w:rPr>
        <w:t>threat</w:t>
      </w:r>
      <w:r w:rsidRPr="00206F50">
        <w:rPr>
          <w:rFonts w:ascii="StobiSerif Regular" w:hAnsi="StobiSerif Regular"/>
          <w:sz w:val="22"/>
          <w:szCs w:val="22"/>
        </w:rPr>
        <w:t xml:space="preserve">, </w:t>
      </w:r>
      <w:r w:rsidRPr="00206F50">
        <w:rPr>
          <w:rFonts w:ascii="StobiSerif Regular" w:hAnsi="StobiSerif Regular"/>
          <w:sz w:val="22"/>
          <w:szCs w:val="22"/>
          <w:lang w:val="en-US"/>
        </w:rPr>
        <w:t>fraud</w:t>
      </w:r>
      <w:r w:rsidRPr="00206F50">
        <w:rPr>
          <w:rFonts w:ascii="StobiSerif Regular" w:hAnsi="StobiSerif Regular"/>
          <w:sz w:val="22"/>
          <w:szCs w:val="22"/>
        </w:rPr>
        <w:t xml:space="preserve"> </w:t>
      </w:r>
      <w:r w:rsidRPr="00206F50">
        <w:rPr>
          <w:rFonts w:ascii="StobiSerif Regular" w:hAnsi="StobiSerif Regular"/>
          <w:sz w:val="22"/>
          <w:szCs w:val="22"/>
          <w:lang w:val="en-US"/>
        </w:rPr>
        <w:t>etc</w:t>
      </w:r>
      <w:r w:rsidRPr="00206F50">
        <w:rPr>
          <w:rFonts w:ascii="StobiSerif Regular" w:hAnsi="StobiSerif Regular"/>
          <w:sz w:val="22"/>
          <w:szCs w:val="22"/>
        </w:rPr>
        <w:t xml:space="preserve">. </w:t>
      </w:r>
      <w:r w:rsidRPr="00206F50">
        <w:rPr>
          <w:rFonts w:ascii="StobiSerif Regular" w:hAnsi="StobiSerif Regular"/>
          <w:sz w:val="22"/>
          <w:szCs w:val="22"/>
          <w:lang w:val="en-US"/>
        </w:rPr>
        <w:t>through the size of the intensity of the acts on the status of the victim and the victim’s sensibility to them</w:t>
      </w:r>
      <w:r w:rsidRPr="00206F50">
        <w:rPr>
          <w:rFonts w:ascii="StobiSerif Regular" w:hAnsi="StobiSerif Regular"/>
          <w:sz w:val="22"/>
          <w:szCs w:val="22"/>
        </w:rPr>
        <w:t xml:space="preserve">, </w:t>
      </w:r>
      <w:r w:rsidRPr="00206F50">
        <w:rPr>
          <w:rFonts w:ascii="StobiSerif Regular" w:hAnsi="StobiSerif Regular"/>
          <w:sz w:val="22"/>
          <w:szCs w:val="22"/>
          <w:lang w:val="en-US"/>
        </w:rPr>
        <w:t>through consequences as excluding free will and choice of behavior, fear, addiction etc</w:t>
      </w:r>
      <w:r w:rsidRPr="00206F50">
        <w:rPr>
          <w:rFonts w:ascii="StobiSerif Regular" w:hAnsi="StobiSerif Regular"/>
          <w:sz w:val="22"/>
          <w:szCs w:val="22"/>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Identifying crimes perpetrated by the victim for which it is not excluded that the victim may be punished and the forms of involvement</w:t>
      </w:r>
      <w:r w:rsidRPr="00206F50">
        <w:rPr>
          <w:rFonts w:ascii="StobiSerif Regular" w:hAnsi="StobiSerif Regular"/>
          <w:sz w:val="22"/>
          <w:szCs w:val="22"/>
        </w:rPr>
        <w:t xml:space="preserve"> – </w:t>
      </w:r>
      <w:r w:rsidRPr="00206F50">
        <w:rPr>
          <w:rFonts w:ascii="StobiSerif Regular" w:hAnsi="StobiSerif Regular"/>
          <w:sz w:val="22"/>
          <w:szCs w:val="22"/>
          <w:lang w:val="en-US"/>
        </w:rPr>
        <w:t>as a perpetrator or accomplice</w:t>
      </w:r>
      <w:r w:rsidRPr="00206F50">
        <w:rPr>
          <w:rFonts w:ascii="StobiSerif Regular" w:hAnsi="StobiSerif Regular"/>
          <w:sz w:val="22"/>
          <w:szCs w:val="22"/>
        </w:rPr>
        <w:t>.</w:t>
      </w:r>
    </w:p>
    <w:p w:rsidR="007336EF" w:rsidRPr="00206F50" w:rsidRDefault="007336EF" w:rsidP="007336EF">
      <w:pPr>
        <w:ind w:firstLine="720"/>
        <w:rPr>
          <w:rFonts w:ascii="StobiSerif Regular" w:hAnsi="StobiSerif Regular"/>
          <w:sz w:val="22"/>
          <w:szCs w:val="22"/>
        </w:rPr>
      </w:pPr>
      <w:r w:rsidRPr="00206F50">
        <w:rPr>
          <w:rFonts w:ascii="StobiSerif Regular" w:hAnsi="StobiSerif Regular"/>
          <w:sz w:val="22"/>
          <w:szCs w:val="22"/>
          <w:lang w:val="en-US"/>
        </w:rPr>
        <w:t>These clauses shall apply to foreign citizens as well (adults and children) in accordance with the 2018 Law on Foreigners</w:t>
      </w:r>
      <w:r w:rsidRPr="00206F50">
        <w:rPr>
          <w:rFonts w:ascii="StobiSerif Regular" w:hAnsi="StobiSerif Regular"/>
          <w:sz w:val="22"/>
          <w:szCs w:val="22"/>
        </w:rPr>
        <w:t xml:space="preserve">, </w:t>
      </w:r>
      <w:r w:rsidRPr="00206F50">
        <w:rPr>
          <w:rFonts w:ascii="StobiSerif Regular" w:hAnsi="StobiSerif Regular"/>
          <w:sz w:val="22"/>
          <w:szCs w:val="22"/>
          <w:lang w:val="en-US"/>
        </w:rPr>
        <w:t>by consistently applying and adhering to the Standard operative procedures for treatment of trafficking victims</w:t>
      </w:r>
      <w:r w:rsidRPr="00206F50">
        <w:rPr>
          <w:rFonts w:ascii="StobiSerif Regular" w:hAnsi="StobiSerif Regular"/>
          <w:sz w:val="22"/>
          <w:szCs w:val="22"/>
        </w:rPr>
        <w:t>.</w:t>
      </w:r>
    </w:p>
    <w:p w:rsidR="007336EF" w:rsidRPr="00206F50" w:rsidRDefault="00206F50" w:rsidP="007336EF">
      <w:pPr>
        <w:ind w:firstLine="720"/>
        <w:rPr>
          <w:rFonts w:ascii="StobiSerif Regular" w:hAnsi="StobiSerif Regular"/>
          <w:sz w:val="22"/>
          <w:szCs w:val="22"/>
        </w:rPr>
      </w:pPr>
      <w:r w:rsidRPr="00206F50">
        <w:rPr>
          <w:rFonts w:ascii="StobiSerif Regular" w:hAnsi="StobiSerif Regular"/>
          <w:sz w:val="22"/>
          <w:szCs w:val="22"/>
          <w:lang w:val="en-US"/>
        </w:rPr>
        <w:t xml:space="preserve">There </w:t>
      </w:r>
      <w:r w:rsidR="007336EF" w:rsidRPr="00206F50">
        <w:rPr>
          <w:rFonts w:ascii="StobiSerif Regular" w:hAnsi="StobiSerif Regular"/>
          <w:sz w:val="22"/>
          <w:szCs w:val="22"/>
          <w:lang w:val="en-US"/>
        </w:rPr>
        <w:t>are several examples of incriminated actions that the person being the trafficking victim can undertake, for which actions the non-punishment clause provides protection</w:t>
      </w:r>
      <w:r w:rsidR="007336EF" w:rsidRPr="00206F50">
        <w:rPr>
          <w:rFonts w:ascii="StobiSerif Regular" w:hAnsi="StobiSerif Regular"/>
          <w:sz w:val="22"/>
          <w:szCs w:val="22"/>
        </w:rPr>
        <w:t>:</w:t>
      </w:r>
    </w:p>
    <w:p w:rsidR="007336EF" w:rsidRPr="00206F50" w:rsidRDefault="007336EF" w:rsidP="007336EF">
      <w:pPr>
        <w:ind w:firstLine="720"/>
        <w:rPr>
          <w:rFonts w:ascii="StobiSerif Regular" w:hAnsi="StobiSerif Regular"/>
          <w:sz w:val="22"/>
          <w:szCs w:val="22"/>
          <w:u w:val="single"/>
        </w:rPr>
      </w:pPr>
      <w:r w:rsidRPr="00206F50">
        <w:rPr>
          <w:rFonts w:ascii="StobiSerif Regular" w:hAnsi="StobiSerif Regular"/>
          <w:sz w:val="22"/>
          <w:szCs w:val="22"/>
          <w:u w:val="single"/>
          <w:lang w:val="en-US"/>
        </w:rPr>
        <w:t>Crimes</w:t>
      </w:r>
      <w:r w:rsidRPr="00206F50">
        <w:rPr>
          <w:rFonts w:ascii="StobiSerif Regular" w:hAnsi="StobiSerif Regular"/>
          <w:sz w:val="22"/>
          <w:szCs w:val="22"/>
          <w:u w:val="single"/>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Forging personal documents</w:t>
      </w:r>
      <w:r w:rsidRPr="00206F50">
        <w:rPr>
          <w:rFonts w:ascii="StobiSerif Regular" w:hAnsi="StobiSerif Regular"/>
          <w:sz w:val="22"/>
          <w:szCs w:val="22"/>
        </w:rPr>
        <w:t xml:space="preserve">, </w:t>
      </w:r>
      <w:r w:rsidRPr="00206F50">
        <w:rPr>
          <w:rFonts w:ascii="StobiSerif Regular" w:hAnsi="StobiSerif Regular"/>
          <w:sz w:val="22"/>
          <w:szCs w:val="22"/>
          <w:lang w:val="en-US"/>
        </w:rPr>
        <w:t>uses personal documents with false content</w:t>
      </w:r>
      <w:r w:rsidRPr="00206F50">
        <w:rPr>
          <w:rFonts w:ascii="StobiSerif Regular" w:hAnsi="StobiSerif Regular"/>
          <w:sz w:val="22"/>
          <w:szCs w:val="22"/>
        </w:rPr>
        <w:t>,</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Crimes against property</w:t>
      </w:r>
      <w:r w:rsidRPr="00206F50">
        <w:rPr>
          <w:rFonts w:ascii="StobiSerif Regular" w:hAnsi="StobiSerif Regular"/>
          <w:sz w:val="22"/>
          <w:szCs w:val="22"/>
        </w:rPr>
        <w:t xml:space="preserve"> - </w:t>
      </w:r>
      <w:r w:rsidRPr="00206F50">
        <w:rPr>
          <w:rFonts w:ascii="StobiSerif Regular" w:hAnsi="StobiSerif Regular"/>
          <w:sz w:val="22"/>
          <w:szCs w:val="22"/>
          <w:lang w:val="en-US"/>
        </w:rPr>
        <w:t>theft</w:t>
      </w:r>
      <w:r w:rsidRPr="00206F50">
        <w:rPr>
          <w:rFonts w:ascii="StobiSerif Regular" w:hAnsi="StobiSerif Regular"/>
          <w:sz w:val="22"/>
          <w:szCs w:val="22"/>
        </w:rPr>
        <w:t xml:space="preserve">, </w:t>
      </w:r>
      <w:r w:rsidRPr="00206F50">
        <w:rPr>
          <w:rFonts w:ascii="StobiSerif Regular" w:hAnsi="StobiSerif Regular"/>
          <w:sz w:val="22"/>
          <w:szCs w:val="22"/>
          <w:lang w:val="en-US"/>
        </w:rPr>
        <w:t>grand theft</w:t>
      </w:r>
      <w:r w:rsidRPr="00206F50">
        <w:rPr>
          <w:rFonts w:ascii="StobiSerif Regular" w:hAnsi="StobiSerif Regular"/>
          <w:sz w:val="22"/>
          <w:szCs w:val="22"/>
        </w:rPr>
        <w:t xml:space="preserve">, </w:t>
      </w:r>
      <w:r w:rsidRPr="00206F50">
        <w:rPr>
          <w:rFonts w:ascii="StobiSerif Regular" w:hAnsi="StobiSerif Regular"/>
          <w:sz w:val="22"/>
          <w:szCs w:val="22"/>
          <w:lang w:val="en-US"/>
        </w:rPr>
        <w:t>burglary</w:t>
      </w:r>
      <w:r w:rsidRPr="00206F50">
        <w:rPr>
          <w:rFonts w:ascii="StobiSerif Regular" w:hAnsi="StobiSerif Regular"/>
          <w:sz w:val="22"/>
          <w:szCs w:val="22"/>
        </w:rPr>
        <w:t xml:space="preserve">, </w:t>
      </w:r>
      <w:r w:rsidRPr="00206F50">
        <w:rPr>
          <w:rFonts w:ascii="StobiSerif Regular" w:hAnsi="StobiSerif Regular"/>
          <w:sz w:val="22"/>
          <w:szCs w:val="22"/>
          <w:lang w:val="en-US"/>
        </w:rPr>
        <w:t>stealing a motor vehicle</w:t>
      </w:r>
      <w:r w:rsidRPr="00206F50">
        <w:rPr>
          <w:rFonts w:ascii="StobiSerif Regular" w:hAnsi="StobiSerif Regular"/>
          <w:sz w:val="22"/>
          <w:szCs w:val="22"/>
        </w:rPr>
        <w:t xml:space="preserve">, </w:t>
      </w:r>
      <w:r w:rsidRPr="00206F50">
        <w:rPr>
          <w:rFonts w:ascii="StobiSerif Regular" w:hAnsi="StobiSerif Regular"/>
          <w:sz w:val="22"/>
          <w:szCs w:val="22"/>
          <w:lang w:val="en-US"/>
        </w:rPr>
        <w:t>damaging other’s belongings, covering-up</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lastRenderedPageBreak/>
        <w:t>Violence</w:t>
      </w:r>
      <w:r w:rsidRPr="00206F50">
        <w:rPr>
          <w:rFonts w:ascii="StobiSerif Regular" w:hAnsi="StobiSerif Regular"/>
          <w:sz w:val="22"/>
          <w:szCs w:val="22"/>
        </w:rPr>
        <w:t xml:space="preserve">, </w:t>
      </w:r>
      <w:r w:rsidRPr="00206F50">
        <w:rPr>
          <w:rFonts w:ascii="StobiSerif Regular" w:hAnsi="StobiSerif Regular"/>
          <w:sz w:val="22"/>
          <w:szCs w:val="22"/>
          <w:lang w:val="en-US"/>
        </w:rPr>
        <w:t>bodily injury</w:t>
      </w:r>
      <w:r w:rsidRPr="00206F50">
        <w:rPr>
          <w:rFonts w:ascii="StobiSerif Regular" w:hAnsi="StobiSerif Regular"/>
          <w:sz w:val="22"/>
          <w:szCs w:val="22"/>
        </w:rPr>
        <w:t xml:space="preserve">, </w:t>
      </w:r>
      <w:r w:rsidRPr="00206F50">
        <w:rPr>
          <w:rFonts w:ascii="StobiSerif Regular" w:hAnsi="StobiSerif Regular"/>
          <w:sz w:val="22"/>
          <w:szCs w:val="22"/>
          <w:lang w:val="en-US"/>
        </w:rPr>
        <w:t>serious bodily injury</w:t>
      </w:r>
      <w:r w:rsidRPr="00206F50">
        <w:rPr>
          <w:rFonts w:ascii="StobiSerif Regular" w:hAnsi="StobiSerif Regular"/>
          <w:sz w:val="22"/>
          <w:szCs w:val="22"/>
        </w:rPr>
        <w:t xml:space="preserve"> </w:t>
      </w:r>
      <w:r w:rsidRPr="00206F50">
        <w:rPr>
          <w:rFonts w:ascii="StobiSerif Regular" w:hAnsi="StobiSerif Regular"/>
          <w:sz w:val="22"/>
          <w:szCs w:val="22"/>
          <w:lang w:val="en-US"/>
        </w:rPr>
        <w:t>or crimes that result into depriving a trafficker of life</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Unauthorized production and putting into circulation of narcotic drugs, psychotropic substances and precursors</w:t>
      </w:r>
      <w:r w:rsidRPr="00206F50">
        <w:rPr>
          <w:rFonts w:ascii="StobiSerif Regular" w:hAnsi="StobiSerif Regular"/>
          <w:sz w:val="22"/>
          <w:szCs w:val="22"/>
        </w:rPr>
        <w:t xml:space="preserve">, </w:t>
      </w:r>
      <w:r w:rsidRPr="00206F50">
        <w:rPr>
          <w:rFonts w:ascii="StobiSerif Regular" w:hAnsi="StobiSerif Regular"/>
          <w:sz w:val="22"/>
          <w:szCs w:val="22"/>
          <w:lang w:val="en-US"/>
        </w:rPr>
        <w:t>unauthorized production, holding, mediation and trafficking in firearms or dispersing substances</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Taking abroad</w:t>
      </w:r>
      <w:r w:rsidRPr="00206F50">
        <w:rPr>
          <w:rFonts w:ascii="StobiSerif Regular" w:hAnsi="StobiSerif Regular"/>
          <w:sz w:val="22"/>
          <w:szCs w:val="22"/>
        </w:rPr>
        <w:t xml:space="preserve"> </w:t>
      </w:r>
      <w:r w:rsidRPr="00206F50">
        <w:rPr>
          <w:rFonts w:ascii="StobiSerif Regular" w:hAnsi="StobiSerif Regular"/>
          <w:sz w:val="22"/>
          <w:szCs w:val="22"/>
          <w:lang w:val="en-US"/>
        </w:rPr>
        <w:t>goods under temporary protection or cultural inheritance or natural rarities</w:t>
      </w:r>
      <w:r w:rsidRPr="00206F50">
        <w:rPr>
          <w:rFonts w:ascii="StobiSerif Regular" w:hAnsi="StobiSerif Regular"/>
          <w:sz w:val="22"/>
          <w:szCs w:val="22"/>
        </w:rPr>
        <w:t xml:space="preserve">, </w:t>
      </w:r>
      <w:r w:rsidRPr="00206F50">
        <w:rPr>
          <w:rFonts w:ascii="StobiSerif Regular" w:hAnsi="StobiSerif Regular"/>
          <w:sz w:val="22"/>
          <w:szCs w:val="22"/>
          <w:lang w:val="en-US"/>
        </w:rPr>
        <w:t>entering</w:t>
      </w:r>
      <w:r w:rsidRPr="00206F50">
        <w:rPr>
          <w:rFonts w:ascii="StobiSerif Regular" w:hAnsi="StobiSerif Regular"/>
          <w:sz w:val="22"/>
          <w:szCs w:val="22"/>
        </w:rPr>
        <w:t xml:space="preserve"> </w:t>
      </w:r>
      <w:r w:rsidRPr="00206F50">
        <w:rPr>
          <w:rFonts w:ascii="StobiSerif Regular" w:hAnsi="StobiSerif Regular"/>
          <w:sz w:val="22"/>
          <w:szCs w:val="22"/>
          <w:lang w:val="en-US"/>
        </w:rPr>
        <w:t>illegally obtained goods under temporary protection or cultural inheritance or natural rarities</w:t>
      </w:r>
      <w:r w:rsidRPr="00206F50">
        <w:rPr>
          <w:rFonts w:ascii="StobiSerif Regular" w:hAnsi="StobiSerif Regular"/>
          <w:sz w:val="22"/>
          <w:szCs w:val="22"/>
        </w:rPr>
        <w:t xml:space="preserve">, </w:t>
      </w:r>
      <w:r w:rsidRPr="00206F50">
        <w:rPr>
          <w:rFonts w:ascii="StobiSerif Regular" w:hAnsi="StobiSerif Regular"/>
          <w:sz w:val="22"/>
          <w:szCs w:val="22"/>
          <w:lang w:val="en-US"/>
        </w:rPr>
        <w:t>Trafficking in goods under temporary protection or cultural inheritance or natural rarities</w:t>
      </w:r>
      <w:r w:rsidRPr="00206F50">
        <w:rPr>
          <w:rFonts w:ascii="StobiSerif Regular" w:hAnsi="StobiSerif Regular"/>
          <w:sz w:val="22"/>
          <w:szCs w:val="22"/>
        </w:rPr>
        <w:t xml:space="preserve"> </w:t>
      </w:r>
    </w:p>
    <w:p w:rsidR="007336EF" w:rsidRPr="00206F50" w:rsidRDefault="007336EF" w:rsidP="007336EF">
      <w:pPr>
        <w:numPr>
          <w:ilvl w:val="0"/>
          <w:numId w:val="1"/>
        </w:numPr>
        <w:rPr>
          <w:rFonts w:ascii="StobiSerif Regular" w:hAnsi="StobiSerif Regular"/>
          <w:sz w:val="22"/>
          <w:szCs w:val="22"/>
        </w:rPr>
      </w:pPr>
      <w:r w:rsidRPr="00206F50">
        <w:rPr>
          <w:rFonts w:ascii="StobiSerif Regular" w:hAnsi="StobiSerif Regular"/>
          <w:sz w:val="22"/>
          <w:szCs w:val="22"/>
          <w:lang w:val="en-US"/>
        </w:rPr>
        <w:t>Illicit production or illicit trade</w:t>
      </w:r>
    </w:p>
    <w:p w:rsidR="007336EF" w:rsidRPr="00206F50" w:rsidRDefault="007336EF" w:rsidP="007336EF">
      <w:pPr>
        <w:ind w:firstLine="720"/>
        <w:rPr>
          <w:rFonts w:ascii="StobiSerif Regular" w:hAnsi="StobiSerif Regular"/>
          <w:sz w:val="22"/>
          <w:szCs w:val="22"/>
        </w:rPr>
      </w:pPr>
    </w:p>
    <w:p w:rsidR="007336EF" w:rsidRPr="00206F50" w:rsidRDefault="007336EF" w:rsidP="007336EF">
      <w:pPr>
        <w:ind w:firstLine="720"/>
        <w:rPr>
          <w:rFonts w:ascii="StobiSerif Regular" w:hAnsi="StobiSerif Regular"/>
          <w:sz w:val="22"/>
          <w:szCs w:val="22"/>
          <w:u w:val="single"/>
        </w:rPr>
      </w:pPr>
      <w:r w:rsidRPr="00206F50">
        <w:rPr>
          <w:rFonts w:ascii="StobiSerif Regular" w:hAnsi="StobiSerif Regular"/>
          <w:sz w:val="22"/>
          <w:szCs w:val="22"/>
          <w:u w:val="single"/>
          <w:lang w:val="en-US"/>
        </w:rPr>
        <w:t>Misdemanours</w:t>
      </w:r>
      <w:r w:rsidRPr="00206F50">
        <w:rPr>
          <w:rFonts w:ascii="StobiSerif Regular" w:hAnsi="StobiSerif Regular"/>
          <w:sz w:val="22"/>
          <w:szCs w:val="22"/>
          <w:u w:val="single"/>
        </w:rPr>
        <w:t>:</w:t>
      </w:r>
    </w:p>
    <w:p w:rsidR="007336EF" w:rsidRDefault="007336EF" w:rsidP="00DF7CF9">
      <w:pPr>
        <w:ind w:left="720"/>
        <w:rPr>
          <w:rFonts w:ascii="StobiSerif Regular" w:hAnsi="StobiSerif Regular"/>
          <w:sz w:val="22"/>
          <w:szCs w:val="22"/>
          <w:u w:val="single"/>
          <w:lang w:val="en-US"/>
        </w:rPr>
      </w:pPr>
      <w:r w:rsidRPr="00206F50">
        <w:rPr>
          <w:rFonts w:ascii="StobiSerif Regular" w:hAnsi="StobiSerif Regular"/>
          <w:sz w:val="22"/>
          <w:szCs w:val="22"/>
          <w:u w:val="single"/>
          <w:lang w:val="en-US"/>
        </w:rPr>
        <w:t>Against public peace and order</w:t>
      </w:r>
    </w:p>
    <w:p w:rsidR="00DF7CF9" w:rsidRPr="00206F50" w:rsidRDefault="00DF7CF9" w:rsidP="00DF7CF9">
      <w:pPr>
        <w:ind w:left="720"/>
        <w:rPr>
          <w:rFonts w:ascii="StobiSerif Regular" w:hAnsi="StobiSerif Regular"/>
          <w:sz w:val="22"/>
          <w:szCs w:val="22"/>
          <w:u w:val="single"/>
        </w:rPr>
      </w:pPr>
    </w:p>
    <w:p w:rsidR="007336EF" w:rsidRPr="00DF7CF9" w:rsidRDefault="007336EF" w:rsidP="00DF7CF9">
      <w:pPr>
        <w:pStyle w:val="ListParagraph"/>
        <w:numPr>
          <w:ilvl w:val="0"/>
          <w:numId w:val="17"/>
        </w:numPr>
        <w:rPr>
          <w:rFonts w:ascii="StobiSerif Regular" w:hAnsi="StobiSerif Regular"/>
        </w:rPr>
      </w:pPr>
      <w:r w:rsidRPr="00DF7CF9">
        <w:rPr>
          <w:rFonts w:ascii="StobiSerif Regular" w:hAnsi="StobiSerif Regular"/>
          <w:lang w:val="en-US"/>
        </w:rPr>
        <w:t>prostitution in a public place</w:t>
      </w:r>
      <w:r w:rsidRPr="00DF7CF9">
        <w:rPr>
          <w:rFonts w:ascii="StobiSerif Regular" w:hAnsi="StobiSerif Regular"/>
        </w:rPr>
        <w:t xml:space="preserve"> </w:t>
      </w:r>
    </w:p>
    <w:p w:rsidR="007336EF" w:rsidRPr="00DF7CF9" w:rsidRDefault="007336EF" w:rsidP="00DF7CF9">
      <w:pPr>
        <w:pStyle w:val="ListParagraph"/>
        <w:numPr>
          <w:ilvl w:val="0"/>
          <w:numId w:val="17"/>
        </w:numPr>
        <w:rPr>
          <w:rFonts w:ascii="StobiSerif Regular" w:hAnsi="StobiSerif Regular"/>
        </w:rPr>
      </w:pPr>
      <w:r w:rsidRPr="00DF7CF9">
        <w:rPr>
          <w:rFonts w:ascii="StobiSerif Regular" w:hAnsi="StobiSerif Regular"/>
          <w:lang w:val="en-US"/>
        </w:rPr>
        <w:t>begging</w:t>
      </w:r>
    </w:p>
    <w:p w:rsidR="007336EF" w:rsidRPr="00DF7CF9" w:rsidRDefault="007336EF" w:rsidP="00DF7CF9">
      <w:pPr>
        <w:pStyle w:val="ListParagraph"/>
        <w:numPr>
          <w:ilvl w:val="0"/>
          <w:numId w:val="17"/>
        </w:numPr>
        <w:rPr>
          <w:rFonts w:ascii="StobiSerif Regular" w:hAnsi="StobiSerif Regular"/>
        </w:rPr>
      </w:pPr>
      <w:r w:rsidRPr="00DF7CF9">
        <w:rPr>
          <w:rFonts w:ascii="StobiSerif Regular" w:hAnsi="StobiSerif Regular"/>
          <w:lang w:val="en-US"/>
        </w:rPr>
        <w:t>gambling and other games of chance</w:t>
      </w:r>
    </w:p>
    <w:p w:rsidR="007336EF" w:rsidRPr="00206F50" w:rsidRDefault="007336EF" w:rsidP="007336EF">
      <w:pPr>
        <w:ind w:firstLine="720"/>
        <w:rPr>
          <w:rFonts w:ascii="StobiSerif Regular" w:hAnsi="StobiSerif Regular"/>
          <w:sz w:val="22"/>
          <w:szCs w:val="22"/>
          <w:u w:val="single"/>
        </w:rPr>
      </w:pPr>
    </w:p>
    <w:p w:rsidR="007336EF" w:rsidRDefault="00DF7CF9" w:rsidP="00DF7CF9">
      <w:pPr>
        <w:ind w:firstLine="720"/>
        <w:rPr>
          <w:rFonts w:ascii="StobiSerif Regular" w:hAnsi="StobiSerif Regular"/>
          <w:sz w:val="22"/>
          <w:szCs w:val="22"/>
          <w:u w:val="single"/>
        </w:rPr>
      </w:pPr>
      <w:r>
        <w:rPr>
          <w:rFonts w:ascii="StobiSerif Regular" w:hAnsi="StobiSerif Regular"/>
          <w:sz w:val="22"/>
          <w:szCs w:val="22"/>
          <w:u w:val="single"/>
          <w:lang w:val="en-US"/>
        </w:rPr>
        <w:t xml:space="preserve"> </w:t>
      </w:r>
      <w:r w:rsidR="007336EF" w:rsidRPr="00206F50">
        <w:rPr>
          <w:rFonts w:ascii="StobiSerif Regular" w:hAnsi="StobiSerif Regular"/>
          <w:sz w:val="22"/>
          <w:szCs w:val="22"/>
          <w:u w:val="single"/>
          <w:lang w:val="en-US"/>
        </w:rPr>
        <w:t>Misdemeanors that can be imposed to a foreigner</w:t>
      </w:r>
      <w:r w:rsidR="007336EF" w:rsidRPr="00206F50">
        <w:rPr>
          <w:rFonts w:ascii="StobiSerif Regular" w:hAnsi="StobiSerif Regular"/>
          <w:sz w:val="22"/>
          <w:szCs w:val="22"/>
          <w:u w:val="single"/>
        </w:rPr>
        <w:t xml:space="preserve"> </w:t>
      </w:r>
    </w:p>
    <w:p w:rsidR="00DF7CF9" w:rsidRPr="00206F50" w:rsidRDefault="00DF7CF9" w:rsidP="00DF7CF9">
      <w:pPr>
        <w:ind w:firstLine="720"/>
        <w:rPr>
          <w:rFonts w:ascii="StobiSerif Regular" w:hAnsi="StobiSerif Regular"/>
          <w:sz w:val="22"/>
          <w:szCs w:val="22"/>
        </w:rPr>
      </w:pPr>
    </w:p>
    <w:p w:rsidR="00505274" w:rsidRPr="00505274" w:rsidRDefault="007336EF" w:rsidP="00DF7CF9">
      <w:pPr>
        <w:pStyle w:val="ListParagraph"/>
        <w:numPr>
          <w:ilvl w:val="0"/>
          <w:numId w:val="16"/>
        </w:numPr>
        <w:rPr>
          <w:rFonts w:ascii="StobiSerif Regular" w:hAnsi="StobiSerif Regular"/>
        </w:rPr>
      </w:pPr>
      <w:r w:rsidRPr="00DF7CF9">
        <w:rPr>
          <w:rFonts w:ascii="StobiSerif Regular" w:hAnsi="StobiSerif Regular"/>
          <w:lang w:val="en-US"/>
        </w:rPr>
        <w:t xml:space="preserve">illegal </w:t>
      </w:r>
      <w:r w:rsidR="00505274">
        <w:rPr>
          <w:rFonts w:ascii="StobiSerif Regular" w:hAnsi="StobiSerif Regular"/>
          <w:lang w:val="en-US"/>
        </w:rPr>
        <w:t>entry</w:t>
      </w:r>
    </w:p>
    <w:p w:rsidR="007336EF" w:rsidRPr="00DF7CF9" w:rsidRDefault="007336EF" w:rsidP="00DF7CF9">
      <w:pPr>
        <w:pStyle w:val="ListParagraph"/>
        <w:numPr>
          <w:ilvl w:val="0"/>
          <w:numId w:val="16"/>
        </w:numPr>
        <w:rPr>
          <w:rFonts w:ascii="StobiSerif Regular" w:hAnsi="StobiSerif Regular"/>
        </w:rPr>
      </w:pPr>
      <w:r w:rsidRPr="00DF7CF9">
        <w:rPr>
          <w:rFonts w:ascii="StobiSerif Regular" w:hAnsi="StobiSerif Regular"/>
          <w:lang w:val="en-US"/>
        </w:rPr>
        <w:t>deleting or changing data in the visa</w:t>
      </w:r>
    </w:p>
    <w:p w:rsidR="007336EF" w:rsidRPr="00DF7CF9" w:rsidRDefault="007336EF" w:rsidP="00DF7CF9">
      <w:pPr>
        <w:pStyle w:val="ListParagraph"/>
        <w:numPr>
          <w:ilvl w:val="0"/>
          <w:numId w:val="16"/>
        </w:numPr>
        <w:rPr>
          <w:rFonts w:ascii="StobiSerif Regular" w:hAnsi="StobiSerif Regular"/>
        </w:rPr>
      </w:pPr>
      <w:r w:rsidRPr="00DF7CF9">
        <w:rPr>
          <w:rFonts w:ascii="StobiSerif Regular" w:hAnsi="StobiSerif Regular"/>
          <w:lang w:val="en-US"/>
        </w:rPr>
        <w:t>not leaving the country within the given deadline</w:t>
      </w:r>
    </w:p>
    <w:p w:rsidR="007336EF" w:rsidRPr="00DF7CF9" w:rsidRDefault="007336EF" w:rsidP="00DF7CF9">
      <w:pPr>
        <w:pStyle w:val="ListParagraph"/>
        <w:numPr>
          <w:ilvl w:val="0"/>
          <w:numId w:val="16"/>
        </w:numPr>
        <w:rPr>
          <w:rFonts w:ascii="StobiSerif Regular" w:hAnsi="StobiSerif Regular"/>
        </w:rPr>
      </w:pPr>
      <w:r w:rsidRPr="00DF7CF9">
        <w:rPr>
          <w:rFonts w:ascii="StobiSerif Regular" w:hAnsi="StobiSerif Regular"/>
          <w:lang w:val="en-US"/>
        </w:rPr>
        <w:t>moving and residing in a certain area on which movement or residence of foreigners is forbidden</w:t>
      </w:r>
    </w:p>
    <w:p w:rsidR="007336EF" w:rsidRPr="00DF7CF9" w:rsidRDefault="007336EF" w:rsidP="00DF7CF9">
      <w:pPr>
        <w:pStyle w:val="ListParagraph"/>
        <w:numPr>
          <w:ilvl w:val="0"/>
          <w:numId w:val="16"/>
        </w:numPr>
        <w:rPr>
          <w:rFonts w:ascii="StobiSerif Regular" w:hAnsi="StobiSerif Regular"/>
        </w:rPr>
      </w:pPr>
      <w:r w:rsidRPr="00DF7CF9">
        <w:rPr>
          <w:rFonts w:ascii="StobiSerif Regular" w:hAnsi="StobiSerif Regular"/>
          <w:lang w:val="en-US"/>
        </w:rPr>
        <w:t>staying in the country illegally</w:t>
      </w:r>
    </w:p>
    <w:p w:rsidR="007336EF" w:rsidRPr="00206F50" w:rsidRDefault="007336EF" w:rsidP="00DF7CF9">
      <w:pPr>
        <w:ind w:left="2790" w:hanging="1710"/>
        <w:rPr>
          <w:rFonts w:ascii="StobiSerif Regular" w:hAnsi="StobiSerif Regular"/>
          <w:sz w:val="22"/>
          <w:szCs w:val="22"/>
        </w:rPr>
      </w:pPr>
    </w:p>
    <w:p w:rsidR="00C10323" w:rsidRPr="00206F50" w:rsidRDefault="00C10323" w:rsidP="007336EF">
      <w:pPr>
        <w:ind w:firstLine="720"/>
        <w:rPr>
          <w:rFonts w:ascii="StobiSerif Regular" w:hAnsi="StobiSerif Regular"/>
          <w:sz w:val="22"/>
          <w:szCs w:val="22"/>
        </w:rPr>
      </w:pPr>
    </w:p>
    <w:sectPr w:rsidR="00C10323" w:rsidRPr="00206F50" w:rsidSect="00480C5B">
      <w:footerReference w:type="even" r:id="rId8"/>
      <w:footerReference w:type="default" r:id="rId9"/>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1E" w:rsidRDefault="0086761E">
      <w:r>
        <w:separator/>
      </w:r>
    </w:p>
  </w:endnote>
  <w:endnote w:type="continuationSeparator" w:id="0">
    <w:p w:rsidR="0086761E" w:rsidRDefault="0086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23" w:rsidRDefault="001D31E0" w:rsidP="009240D4">
    <w:pPr>
      <w:pStyle w:val="Footer"/>
      <w:framePr w:wrap="around" w:vAnchor="text" w:hAnchor="margin" w:xAlign="right" w:y="1"/>
      <w:rPr>
        <w:rStyle w:val="PageNumber"/>
      </w:rPr>
    </w:pPr>
    <w:r>
      <w:rPr>
        <w:rStyle w:val="PageNumber"/>
      </w:rPr>
      <w:fldChar w:fldCharType="begin"/>
    </w:r>
    <w:r w:rsidR="00C10323">
      <w:rPr>
        <w:rStyle w:val="PageNumber"/>
      </w:rPr>
      <w:instrText xml:space="preserve">PAGE  </w:instrText>
    </w:r>
    <w:r>
      <w:rPr>
        <w:rStyle w:val="PageNumber"/>
      </w:rPr>
      <w:fldChar w:fldCharType="end"/>
    </w:r>
  </w:p>
  <w:p w:rsidR="00C10323" w:rsidRDefault="00C10323" w:rsidP="006F3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23" w:rsidRDefault="001D31E0" w:rsidP="009240D4">
    <w:pPr>
      <w:pStyle w:val="Footer"/>
      <w:framePr w:wrap="around" w:vAnchor="text" w:hAnchor="margin" w:xAlign="right" w:y="1"/>
      <w:rPr>
        <w:rStyle w:val="PageNumber"/>
      </w:rPr>
    </w:pPr>
    <w:r>
      <w:rPr>
        <w:rStyle w:val="PageNumber"/>
      </w:rPr>
      <w:fldChar w:fldCharType="begin"/>
    </w:r>
    <w:r w:rsidR="00C10323">
      <w:rPr>
        <w:rStyle w:val="PageNumber"/>
      </w:rPr>
      <w:instrText xml:space="preserve">PAGE  </w:instrText>
    </w:r>
    <w:r>
      <w:rPr>
        <w:rStyle w:val="PageNumber"/>
      </w:rPr>
      <w:fldChar w:fldCharType="separate"/>
    </w:r>
    <w:r w:rsidR="00ED0CE0">
      <w:rPr>
        <w:rStyle w:val="PageNumber"/>
        <w:noProof/>
      </w:rPr>
      <w:t>1</w:t>
    </w:r>
    <w:r>
      <w:rPr>
        <w:rStyle w:val="PageNumber"/>
      </w:rPr>
      <w:fldChar w:fldCharType="end"/>
    </w:r>
  </w:p>
  <w:p w:rsidR="00C10323" w:rsidRDefault="00C10323" w:rsidP="006F34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1E" w:rsidRDefault="0086761E">
      <w:r>
        <w:separator/>
      </w:r>
    </w:p>
  </w:footnote>
  <w:footnote w:type="continuationSeparator" w:id="0">
    <w:p w:rsidR="0086761E" w:rsidRDefault="0086761E">
      <w:r>
        <w:continuationSeparator/>
      </w:r>
    </w:p>
  </w:footnote>
  <w:footnote w:id="1">
    <w:p w:rsidR="008E4D70" w:rsidRPr="00505274" w:rsidRDefault="008E4D70">
      <w:pPr>
        <w:pStyle w:val="FootnoteText"/>
        <w:rPr>
          <w:i/>
          <w:lang w:val="en-US"/>
        </w:rPr>
      </w:pPr>
      <w:r>
        <w:rPr>
          <w:rStyle w:val="FootnoteReference"/>
        </w:rPr>
        <w:footnoteRef/>
      </w:r>
      <w:r>
        <w:t xml:space="preserve"> </w:t>
      </w:r>
      <w:r w:rsidRPr="008E4D70">
        <w:rPr>
          <w:rFonts w:ascii="StobiSerif Regular" w:hAnsi="StobiSerif Regular"/>
          <w:sz w:val="16"/>
          <w:szCs w:val="16"/>
          <w:lang w:val="en-US"/>
        </w:rPr>
        <w:t>Article</w:t>
      </w:r>
      <w:r w:rsidRPr="008E4D70">
        <w:rPr>
          <w:rFonts w:ascii="StobiSerif Regular" w:hAnsi="StobiSerif Regular"/>
          <w:sz w:val="16"/>
          <w:szCs w:val="16"/>
        </w:rPr>
        <w:t xml:space="preserve"> 26 </w:t>
      </w:r>
      <w:r w:rsidRPr="008E4D70">
        <w:rPr>
          <w:rFonts w:ascii="StobiSerif Regular" w:hAnsi="StobiSerif Regular"/>
          <w:sz w:val="16"/>
          <w:szCs w:val="16"/>
          <w:lang w:val="en-US"/>
        </w:rPr>
        <w:t>of the Convention regulates the principle of non-punishment of victims of trafficking</w:t>
      </w:r>
      <w:r w:rsidRPr="008E4D70">
        <w:rPr>
          <w:rFonts w:ascii="StobiSerif Regular" w:hAnsi="StobiSerif Regular"/>
          <w:sz w:val="16"/>
          <w:szCs w:val="16"/>
          <w:lang w:val="ru-RU"/>
        </w:rPr>
        <w:t>:</w:t>
      </w:r>
      <w:r w:rsidRPr="008E4D70">
        <w:rPr>
          <w:rFonts w:ascii="StobiSerif Regular" w:hAnsi="StobiSerif Regular"/>
          <w:sz w:val="16"/>
          <w:szCs w:val="16"/>
          <w:lang w:val="en-US"/>
        </w:rPr>
        <w:t>“Each Party shall, in accordance with the basic principles of its legal system, provide for the possibility of not imposing penalties on victims for their involvement in unlawful activities, to the extent that they have been compelled to do so</w:t>
      </w:r>
      <w:r w:rsidRPr="008E4D70">
        <w:rPr>
          <w:rFonts w:ascii="StobiSerif Regular" w:hAnsi="StobiSerif Regular"/>
          <w:sz w:val="16"/>
          <w:szCs w:val="16"/>
        </w:rPr>
        <w:t xml:space="preserve"> “.</w:t>
      </w:r>
      <w:r w:rsidRPr="008E4D70">
        <w:t xml:space="preserve"> </w:t>
      </w:r>
    </w:p>
  </w:footnote>
  <w:footnote w:id="2">
    <w:p w:rsidR="008E4D70" w:rsidRPr="008E4D70" w:rsidRDefault="008E4D70">
      <w:pPr>
        <w:pStyle w:val="FootnoteText"/>
        <w:rPr>
          <w:lang w:val="en-US"/>
        </w:rPr>
      </w:pPr>
      <w:r>
        <w:rPr>
          <w:rStyle w:val="FootnoteReference"/>
        </w:rPr>
        <w:footnoteRef/>
      </w:r>
      <w:r>
        <w:t xml:space="preserve"> </w:t>
      </w:r>
      <w:r w:rsidRPr="008E4D70">
        <w:rPr>
          <w:lang w:val="en-US"/>
        </w:rPr>
        <w:t xml:space="preserve"> </w:t>
      </w:r>
      <w:r w:rsidRPr="008E4D70">
        <w:rPr>
          <w:rFonts w:ascii="StobiSerif Regular" w:hAnsi="StobiSerif Regular"/>
          <w:sz w:val="16"/>
          <w:szCs w:val="16"/>
          <w:lang w:val="en-US"/>
        </w:rPr>
        <w:t>Article 8 includes provisions as follows:</w:t>
      </w:r>
      <w:r w:rsidRPr="008E4D70">
        <w:rPr>
          <w:rFonts w:ascii="StobiSerif Regular" w:hAnsi="StobiSerif Regular"/>
          <w:sz w:val="16"/>
          <w:szCs w:val="16"/>
        </w:rPr>
        <w:t>“Member States shall, in accordance with the basic principles of their legal systems, take the necessary measures to ensure that competent national authorities are entitled not to prosecute or impose penalties on victims of trafficking in human beings for their involvement in criminal activities which they have been compelled to commit as a direct consequence of being subjected to any of the acts referred to in Article 2</w:t>
      </w:r>
      <w:r w:rsidRPr="008E4D70">
        <w:t>.</w:t>
      </w:r>
      <w:r w:rsidRPr="008E4D70">
        <w:rPr>
          <w:lang w:val="en-US"/>
        </w:rPr>
        <w:t>”</w:t>
      </w:r>
    </w:p>
  </w:footnote>
  <w:footnote w:id="3">
    <w:p w:rsidR="008E4D70" w:rsidRPr="008E4D70" w:rsidRDefault="008E4D70" w:rsidP="008E4D70">
      <w:pPr>
        <w:pStyle w:val="FootnoteText"/>
        <w:rPr>
          <w:lang w:val="en-US"/>
        </w:rPr>
      </w:pPr>
      <w:r>
        <w:rPr>
          <w:rStyle w:val="FootnoteReference"/>
        </w:rPr>
        <w:footnoteRef/>
      </w:r>
      <w:r>
        <w:t xml:space="preserve"> </w:t>
      </w:r>
      <w:r w:rsidRPr="008E4D70">
        <w:rPr>
          <w:sz w:val="16"/>
          <w:szCs w:val="16"/>
          <w:lang w:val="en-US"/>
        </w:rPr>
        <w:t>Namely</w:t>
      </w:r>
      <w:r w:rsidRPr="008E4D70">
        <w:rPr>
          <w:sz w:val="16"/>
          <w:szCs w:val="16"/>
        </w:rPr>
        <w:t xml:space="preserve">, </w:t>
      </w:r>
      <w:r w:rsidRPr="008E4D70">
        <w:rPr>
          <w:sz w:val="16"/>
          <w:szCs w:val="16"/>
          <w:lang w:val="en-US"/>
        </w:rPr>
        <w:t>item</w:t>
      </w:r>
      <w:r w:rsidRPr="008E4D70">
        <w:rPr>
          <w:sz w:val="16"/>
          <w:szCs w:val="16"/>
        </w:rPr>
        <w:t xml:space="preserve"> 153</w:t>
      </w:r>
      <w:r w:rsidRPr="008E4D70">
        <w:rPr>
          <w:sz w:val="16"/>
          <w:szCs w:val="16"/>
          <w:lang w:val="en-US"/>
        </w:rPr>
        <w:t xml:space="preserve"> of the abovementioned document reads as follows</w:t>
      </w:r>
      <w:r w:rsidRPr="008E4D70">
        <w:rPr>
          <w:sz w:val="16"/>
          <w:szCs w:val="16"/>
        </w:rPr>
        <w:t>:“</w:t>
      </w:r>
      <w:r w:rsidRPr="008E4D70">
        <w:rPr>
          <w:sz w:val="16"/>
          <w:szCs w:val="16"/>
          <w:lang w:val="en-US"/>
        </w:rPr>
        <w:t>GRETA requested the national authorities to undertake additional measures in order to ensure compliance with the principle of non-punishment of trafficking victims for their participation in illegal activities when being compelled to do so, as referred to in Article 26 of the Convention</w:t>
      </w:r>
      <w:r w:rsidRPr="008E4D70">
        <w:rPr>
          <w:sz w:val="16"/>
          <w:szCs w:val="16"/>
        </w:rPr>
        <w:t>.</w:t>
      </w:r>
      <w:r w:rsidRPr="008E4D70">
        <w:rPr>
          <w:sz w:val="16"/>
          <w:szCs w:val="16"/>
          <w:lang w:val="ru-RU"/>
        </w:rPr>
        <w:t>”</w:t>
      </w:r>
    </w:p>
    <w:p w:rsidR="008E4D70" w:rsidRPr="008E4D70" w:rsidRDefault="008E4D70">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1F"/>
    <w:multiLevelType w:val="hybridMultilevel"/>
    <w:tmpl w:val="2D82532E"/>
    <w:lvl w:ilvl="0" w:tplc="95D809E0">
      <w:start w:val="1"/>
      <w:numFmt w:val="bullet"/>
      <w:lvlText w:val=""/>
      <w:lvlJc w:val="left"/>
      <w:pPr>
        <w:ind w:left="720" w:hanging="360"/>
      </w:pPr>
      <w:rPr>
        <w:rFonts w:ascii="Wingdings" w:hAnsi="Wingdings" w:hint="default"/>
      </w:rPr>
    </w:lvl>
    <w:lvl w:ilvl="1" w:tplc="95D809E0">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hint="default"/>
      </w:rPr>
    </w:lvl>
    <w:lvl w:ilvl="3" w:tplc="08090003">
      <w:start w:val="1"/>
      <w:numFmt w:val="bullet"/>
      <w:lvlText w:val="o"/>
      <w:lvlJc w:val="left"/>
      <w:pPr>
        <w:ind w:left="2880" w:hanging="360"/>
      </w:pPr>
      <w:rPr>
        <w:rFonts w:ascii="Courier New" w:hAnsi="Courier New"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81C454E"/>
    <w:multiLevelType w:val="hybridMultilevel"/>
    <w:tmpl w:val="170C6C60"/>
    <w:lvl w:ilvl="0" w:tplc="95D809E0">
      <w:start w:val="1"/>
      <w:numFmt w:val="bullet"/>
      <w:lvlText w:val=""/>
      <w:lvlJc w:val="left"/>
      <w:pPr>
        <w:ind w:left="1308" w:hanging="360"/>
      </w:pPr>
      <w:rPr>
        <w:rFonts w:ascii="Wingdings" w:hAnsi="Wingdings" w:hint="default"/>
      </w:rPr>
    </w:lvl>
    <w:lvl w:ilvl="1" w:tplc="042F0003" w:tentative="1">
      <w:start w:val="1"/>
      <w:numFmt w:val="bullet"/>
      <w:lvlText w:val="o"/>
      <w:lvlJc w:val="left"/>
      <w:pPr>
        <w:ind w:left="2028" w:hanging="360"/>
      </w:pPr>
      <w:rPr>
        <w:rFonts w:ascii="Courier New" w:hAnsi="Courier New" w:hint="default"/>
      </w:rPr>
    </w:lvl>
    <w:lvl w:ilvl="2" w:tplc="042F0005" w:tentative="1">
      <w:start w:val="1"/>
      <w:numFmt w:val="bullet"/>
      <w:lvlText w:val=""/>
      <w:lvlJc w:val="left"/>
      <w:pPr>
        <w:ind w:left="2748" w:hanging="360"/>
      </w:pPr>
      <w:rPr>
        <w:rFonts w:ascii="Wingdings" w:hAnsi="Wingdings" w:hint="default"/>
      </w:rPr>
    </w:lvl>
    <w:lvl w:ilvl="3" w:tplc="042F0001" w:tentative="1">
      <w:start w:val="1"/>
      <w:numFmt w:val="bullet"/>
      <w:lvlText w:val=""/>
      <w:lvlJc w:val="left"/>
      <w:pPr>
        <w:ind w:left="3468" w:hanging="360"/>
      </w:pPr>
      <w:rPr>
        <w:rFonts w:ascii="Symbol" w:hAnsi="Symbol" w:hint="default"/>
      </w:rPr>
    </w:lvl>
    <w:lvl w:ilvl="4" w:tplc="042F0003" w:tentative="1">
      <w:start w:val="1"/>
      <w:numFmt w:val="bullet"/>
      <w:lvlText w:val="o"/>
      <w:lvlJc w:val="left"/>
      <w:pPr>
        <w:ind w:left="4188" w:hanging="360"/>
      </w:pPr>
      <w:rPr>
        <w:rFonts w:ascii="Courier New" w:hAnsi="Courier New" w:hint="default"/>
      </w:rPr>
    </w:lvl>
    <w:lvl w:ilvl="5" w:tplc="042F0005" w:tentative="1">
      <w:start w:val="1"/>
      <w:numFmt w:val="bullet"/>
      <w:lvlText w:val=""/>
      <w:lvlJc w:val="left"/>
      <w:pPr>
        <w:ind w:left="4908" w:hanging="360"/>
      </w:pPr>
      <w:rPr>
        <w:rFonts w:ascii="Wingdings" w:hAnsi="Wingdings" w:hint="default"/>
      </w:rPr>
    </w:lvl>
    <w:lvl w:ilvl="6" w:tplc="042F0001" w:tentative="1">
      <w:start w:val="1"/>
      <w:numFmt w:val="bullet"/>
      <w:lvlText w:val=""/>
      <w:lvlJc w:val="left"/>
      <w:pPr>
        <w:ind w:left="5628" w:hanging="360"/>
      </w:pPr>
      <w:rPr>
        <w:rFonts w:ascii="Symbol" w:hAnsi="Symbol" w:hint="default"/>
      </w:rPr>
    </w:lvl>
    <w:lvl w:ilvl="7" w:tplc="042F0003" w:tentative="1">
      <w:start w:val="1"/>
      <w:numFmt w:val="bullet"/>
      <w:lvlText w:val="o"/>
      <w:lvlJc w:val="left"/>
      <w:pPr>
        <w:ind w:left="6348" w:hanging="360"/>
      </w:pPr>
      <w:rPr>
        <w:rFonts w:ascii="Courier New" w:hAnsi="Courier New" w:hint="default"/>
      </w:rPr>
    </w:lvl>
    <w:lvl w:ilvl="8" w:tplc="042F0005" w:tentative="1">
      <w:start w:val="1"/>
      <w:numFmt w:val="bullet"/>
      <w:lvlText w:val=""/>
      <w:lvlJc w:val="left"/>
      <w:pPr>
        <w:ind w:left="7068" w:hanging="360"/>
      </w:pPr>
      <w:rPr>
        <w:rFonts w:ascii="Wingdings" w:hAnsi="Wingdings" w:hint="default"/>
      </w:rPr>
    </w:lvl>
  </w:abstractNum>
  <w:abstractNum w:abstractNumId="2" w15:restartNumberingAfterBreak="0">
    <w:nsid w:val="11077B96"/>
    <w:multiLevelType w:val="multilevel"/>
    <w:tmpl w:val="E976F2CA"/>
    <w:lvl w:ilvl="0">
      <w:numFmt w:val="bullet"/>
      <w:lvlText w:val="-"/>
      <w:lvlJc w:val="left"/>
      <w:pPr>
        <w:tabs>
          <w:tab w:val="num" w:pos="720"/>
        </w:tabs>
        <w:ind w:left="720" w:hanging="360"/>
      </w:pPr>
      <w:rPr>
        <w:rFonts w:ascii="StobiSerif Regular" w:eastAsia="Times New Roman" w:hAnsi="StobiSerif Regular"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65C05"/>
    <w:multiLevelType w:val="hybridMultilevel"/>
    <w:tmpl w:val="328815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D872BB"/>
    <w:multiLevelType w:val="hybridMultilevel"/>
    <w:tmpl w:val="9BAE025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1EBE22E4"/>
    <w:multiLevelType w:val="hybridMultilevel"/>
    <w:tmpl w:val="701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7124C"/>
    <w:multiLevelType w:val="hybridMultilevel"/>
    <w:tmpl w:val="3B28F98C"/>
    <w:lvl w:ilvl="0" w:tplc="747C3FC8">
      <w:start w:val="4"/>
      <w:numFmt w:val="bullet"/>
      <w:lvlText w:val="-"/>
      <w:lvlJc w:val="left"/>
      <w:pPr>
        <w:ind w:left="720" w:hanging="360"/>
      </w:pPr>
      <w:rPr>
        <w:rFonts w:ascii="StobiSerif Regular" w:eastAsia="Times New Roman" w:hAnsi="StobiSerif Regular" w:hint="default"/>
      </w:rPr>
    </w:lvl>
    <w:lvl w:ilvl="1" w:tplc="0A54B838">
      <w:numFmt w:val="bullet"/>
      <w:lvlText w:val="•"/>
      <w:lvlJc w:val="left"/>
      <w:pPr>
        <w:ind w:left="1440" w:hanging="360"/>
      </w:pPr>
      <w:rPr>
        <w:rFonts w:ascii="StobiSerif Regular" w:eastAsia="Times New Roman" w:hAnsi="StobiSerif 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310A8"/>
    <w:multiLevelType w:val="multilevel"/>
    <w:tmpl w:val="DC98378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D1017"/>
    <w:multiLevelType w:val="hybridMultilevel"/>
    <w:tmpl w:val="E976F2CA"/>
    <w:lvl w:ilvl="0" w:tplc="213A13EA">
      <w:numFmt w:val="bullet"/>
      <w:lvlText w:val="-"/>
      <w:lvlJc w:val="left"/>
      <w:pPr>
        <w:tabs>
          <w:tab w:val="num" w:pos="720"/>
        </w:tabs>
        <w:ind w:left="720" w:hanging="360"/>
      </w:pPr>
      <w:rPr>
        <w:rFonts w:ascii="StobiSerif Regular" w:eastAsia="Times New Roman" w:hAnsi="StobiSerif Regular" w:hint="default"/>
        <w:b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57BE6"/>
    <w:multiLevelType w:val="hybridMultilevel"/>
    <w:tmpl w:val="1190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E7224"/>
    <w:multiLevelType w:val="hybridMultilevel"/>
    <w:tmpl w:val="408477D8"/>
    <w:lvl w:ilvl="0" w:tplc="95D809E0">
      <w:start w:val="1"/>
      <w:numFmt w:val="bullet"/>
      <w:lvlText w:val=""/>
      <w:lvlJc w:val="left"/>
      <w:pPr>
        <w:ind w:left="720" w:hanging="360"/>
      </w:pPr>
      <w:rPr>
        <w:rFonts w:ascii="Wingdings" w:hAnsi="Wingdings" w:hint="default"/>
      </w:rPr>
    </w:lvl>
    <w:lvl w:ilvl="1" w:tplc="95D809E0">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31C058FD"/>
    <w:multiLevelType w:val="hybridMultilevel"/>
    <w:tmpl w:val="3006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73F9D"/>
    <w:multiLevelType w:val="hybridMultilevel"/>
    <w:tmpl w:val="517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D0F0C"/>
    <w:multiLevelType w:val="hybridMultilevel"/>
    <w:tmpl w:val="DC983784"/>
    <w:lvl w:ilvl="0" w:tplc="95D809E0">
      <w:start w:val="1"/>
      <w:numFmt w:val="bullet"/>
      <w:lvlText w:val=""/>
      <w:lvlJc w:val="left"/>
      <w:pPr>
        <w:ind w:left="720" w:hanging="360"/>
      </w:pPr>
      <w:rPr>
        <w:rFonts w:ascii="Wingdings" w:hAnsi="Wingdings" w:hint="default"/>
      </w:rPr>
    </w:lvl>
    <w:lvl w:ilvl="1" w:tplc="95D809E0">
      <w:start w:val="1"/>
      <w:numFmt w:val="bullet"/>
      <w:lvlText w:val=""/>
      <w:lvlJc w:val="left"/>
      <w:pPr>
        <w:ind w:left="1440" w:hanging="360"/>
      </w:pPr>
      <w:rPr>
        <w:rFonts w:ascii="Wingdings" w:hAnsi="Wingdings"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6D7C743D"/>
    <w:multiLevelType w:val="hybridMultilevel"/>
    <w:tmpl w:val="316E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51797"/>
    <w:multiLevelType w:val="hybridMultilevel"/>
    <w:tmpl w:val="946A4CB8"/>
    <w:lvl w:ilvl="0" w:tplc="08090001">
      <w:start w:val="1"/>
      <w:numFmt w:val="bullet"/>
      <w:lvlText w:val=""/>
      <w:lvlJc w:val="left"/>
      <w:pPr>
        <w:tabs>
          <w:tab w:val="num" w:pos="720"/>
        </w:tabs>
        <w:ind w:left="720" w:hanging="360"/>
      </w:pPr>
      <w:rPr>
        <w:rFonts w:ascii="Symbol" w:hAnsi="Symbol" w:hint="default"/>
        <w:b w:val="0"/>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b w:val="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765E8D"/>
    <w:multiLevelType w:val="multilevel"/>
    <w:tmpl w:val="408477D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8"/>
  </w:num>
  <w:num w:numId="5">
    <w:abstractNumId w:val="2"/>
  </w:num>
  <w:num w:numId="6">
    <w:abstractNumId w:val="15"/>
  </w:num>
  <w:num w:numId="7">
    <w:abstractNumId w:val="7"/>
  </w:num>
  <w:num w:numId="8">
    <w:abstractNumId w:val="10"/>
  </w:num>
  <w:num w:numId="9">
    <w:abstractNumId w:val="16"/>
  </w:num>
  <w:num w:numId="10">
    <w:abstractNumId w:val="0"/>
  </w:num>
  <w:num w:numId="11">
    <w:abstractNumId w:val="3"/>
  </w:num>
  <w:num w:numId="12">
    <w:abstractNumId w:val="4"/>
  </w:num>
  <w:num w:numId="13">
    <w:abstractNumId w:val="12"/>
  </w:num>
  <w:num w:numId="14">
    <w:abstractNumId w:val="11"/>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E5"/>
    <w:rsid w:val="00086B68"/>
    <w:rsid w:val="00087A86"/>
    <w:rsid w:val="000919B0"/>
    <w:rsid w:val="000D2676"/>
    <w:rsid w:val="000E58C9"/>
    <w:rsid w:val="000F7AD8"/>
    <w:rsid w:val="001177D2"/>
    <w:rsid w:val="00123287"/>
    <w:rsid w:val="001829CB"/>
    <w:rsid w:val="00196022"/>
    <w:rsid w:val="001D31E0"/>
    <w:rsid w:val="001D5850"/>
    <w:rsid w:val="00202F2C"/>
    <w:rsid w:val="00206F50"/>
    <w:rsid w:val="00210F96"/>
    <w:rsid w:val="0023204B"/>
    <w:rsid w:val="00233B8E"/>
    <w:rsid w:val="00255E86"/>
    <w:rsid w:val="00273B5F"/>
    <w:rsid w:val="002A3E15"/>
    <w:rsid w:val="003A526B"/>
    <w:rsid w:val="003B4EA1"/>
    <w:rsid w:val="003D7AD9"/>
    <w:rsid w:val="00401E0E"/>
    <w:rsid w:val="004321A0"/>
    <w:rsid w:val="00456E26"/>
    <w:rsid w:val="00476C81"/>
    <w:rsid w:val="00480C5B"/>
    <w:rsid w:val="004C10B6"/>
    <w:rsid w:val="004D7CDA"/>
    <w:rsid w:val="004F3350"/>
    <w:rsid w:val="00500EC8"/>
    <w:rsid w:val="00505274"/>
    <w:rsid w:val="005442D4"/>
    <w:rsid w:val="005571BD"/>
    <w:rsid w:val="00572EEF"/>
    <w:rsid w:val="00574F59"/>
    <w:rsid w:val="005D67E0"/>
    <w:rsid w:val="005F2EF8"/>
    <w:rsid w:val="00633A4B"/>
    <w:rsid w:val="00641D98"/>
    <w:rsid w:val="00642486"/>
    <w:rsid w:val="0065123D"/>
    <w:rsid w:val="006B1D14"/>
    <w:rsid w:val="006D0244"/>
    <w:rsid w:val="006F346F"/>
    <w:rsid w:val="007001E5"/>
    <w:rsid w:val="00711150"/>
    <w:rsid w:val="007125E9"/>
    <w:rsid w:val="00732A46"/>
    <w:rsid w:val="007336EF"/>
    <w:rsid w:val="00737D5D"/>
    <w:rsid w:val="007612D5"/>
    <w:rsid w:val="007A0B5F"/>
    <w:rsid w:val="007D3635"/>
    <w:rsid w:val="00836638"/>
    <w:rsid w:val="0086761E"/>
    <w:rsid w:val="008E4D70"/>
    <w:rsid w:val="009240D4"/>
    <w:rsid w:val="00925820"/>
    <w:rsid w:val="00925ED7"/>
    <w:rsid w:val="00937E6A"/>
    <w:rsid w:val="00965C76"/>
    <w:rsid w:val="009B2D20"/>
    <w:rsid w:val="00A23364"/>
    <w:rsid w:val="00A52827"/>
    <w:rsid w:val="00AA7B23"/>
    <w:rsid w:val="00AB4C86"/>
    <w:rsid w:val="00AB555B"/>
    <w:rsid w:val="00AF4715"/>
    <w:rsid w:val="00AF58BA"/>
    <w:rsid w:val="00B164EC"/>
    <w:rsid w:val="00B231F9"/>
    <w:rsid w:val="00B433F1"/>
    <w:rsid w:val="00B569B3"/>
    <w:rsid w:val="00B768B0"/>
    <w:rsid w:val="00B807B3"/>
    <w:rsid w:val="00BE340D"/>
    <w:rsid w:val="00C10323"/>
    <w:rsid w:val="00C33F76"/>
    <w:rsid w:val="00D23B84"/>
    <w:rsid w:val="00D56718"/>
    <w:rsid w:val="00D777FE"/>
    <w:rsid w:val="00DF7CF9"/>
    <w:rsid w:val="00E1632A"/>
    <w:rsid w:val="00E925A9"/>
    <w:rsid w:val="00EB386F"/>
    <w:rsid w:val="00ED0CE0"/>
    <w:rsid w:val="00ED35F6"/>
    <w:rsid w:val="00ED68E1"/>
    <w:rsid w:val="00ED6C44"/>
    <w:rsid w:val="00F10873"/>
    <w:rsid w:val="00F37641"/>
    <w:rsid w:val="00F4390C"/>
    <w:rsid w:val="00F60D2D"/>
    <w:rsid w:val="00F66895"/>
    <w:rsid w:val="00F74CA8"/>
    <w:rsid w:val="00FB3113"/>
    <w:rsid w:val="00FC2B72"/>
    <w:rsid w:val="00FD3EC3"/>
    <w:rsid w:val="00FE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53B9B2-28D7-4C65-8958-07455666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mk-MK" w:eastAsia="mk-M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7001E5"/>
    <w:pPr>
      <w:suppressAutoHyphens/>
      <w:jc w:val="both"/>
    </w:pPr>
    <w:rPr>
      <w:rFonts w:ascii="StobiSans Regular" w:eastAsia="Times New Roman" w:hAnsi="StobiSans Regula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1E5"/>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6F346F"/>
    <w:pPr>
      <w:tabs>
        <w:tab w:val="center" w:pos="4153"/>
        <w:tab w:val="right" w:pos="8306"/>
      </w:tabs>
    </w:pPr>
  </w:style>
  <w:style w:type="character" w:customStyle="1" w:styleId="FooterChar">
    <w:name w:val="Footer Char"/>
    <w:basedOn w:val="DefaultParagraphFont"/>
    <w:link w:val="Footer"/>
    <w:uiPriority w:val="99"/>
    <w:semiHidden/>
    <w:rsid w:val="009E39D4"/>
    <w:rPr>
      <w:rFonts w:ascii="StobiSans Regular" w:eastAsia="Times New Roman" w:hAnsi="StobiSans Regular"/>
      <w:sz w:val="24"/>
      <w:szCs w:val="24"/>
      <w:lang w:eastAsia="en-GB"/>
    </w:rPr>
  </w:style>
  <w:style w:type="character" w:styleId="PageNumber">
    <w:name w:val="page number"/>
    <w:basedOn w:val="DefaultParagraphFont"/>
    <w:uiPriority w:val="99"/>
    <w:rsid w:val="006F346F"/>
    <w:rPr>
      <w:rFonts w:cs="Times New Roman"/>
    </w:rPr>
  </w:style>
  <w:style w:type="paragraph" w:styleId="FootnoteText">
    <w:name w:val="footnote text"/>
    <w:basedOn w:val="Normal"/>
    <w:link w:val="FootnoteTextChar"/>
    <w:uiPriority w:val="99"/>
    <w:semiHidden/>
    <w:unhideWhenUsed/>
    <w:rsid w:val="008E4D70"/>
    <w:rPr>
      <w:sz w:val="20"/>
      <w:szCs w:val="20"/>
    </w:rPr>
  </w:style>
  <w:style w:type="character" w:customStyle="1" w:styleId="FootnoteTextChar">
    <w:name w:val="Footnote Text Char"/>
    <w:basedOn w:val="DefaultParagraphFont"/>
    <w:link w:val="FootnoteText"/>
    <w:uiPriority w:val="99"/>
    <w:semiHidden/>
    <w:rsid w:val="008E4D70"/>
    <w:rPr>
      <w:rFonts w:ascii="StobiSans Regular" w:eastAsia="Times New Roman" w:hAnsi="StobiSans Regular"/>
      <w:sz w:val="20"/>
      <w:szCs w:val="20"/>
      <w:lang w:eastAsia="en-GB"/>
    </w:rPr>
  </w:style>
  <w:style w:type="character" w:styleId="FootnoteReference">
    <w:name w:val="footnote reference"/>
    <w:basedOn w:val="DefaultParagraphFont"/>
    <w:uiPriority w:val="99"/>
    <w:semiHidden/>
    <w:unhideWhenUsed/>
    <w:rsid w:val="008E4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DF9E8-E955-45C8-943C-D4D299973C7A}">
  <ds:schemaRefs>
    <ds:schemaRef ds:uri="http://schemas.openxmlformats.org/officeDocument/2006/bibliography"/>
  </ds:schemaRefs>
</ds:datastoreItem>
</file>

<file path=customXml/itemProps2.xml><?xml version="1.0" encoding="utf-8"?>
<ds:datastoreItem xmlns:ds="http://schemas.openxmlformats.org/officeDocument/2006/customXml" ds:itemID="{F3C9D956-0BA2-4ED4-B585-24298B521FC7}"/>
</file>

<file path=customXml/itemProps3.xml><?xml version="1.0" encoding="utf-8"?>
<ds:datastoreItem xmlns:ds="http://schemas.openxmlformats.org/officeDocument/2006/customXml" ds:itemID="{EC2E694D-A9E7-43BD-9101-E4C9D11FF602}"/>
</file>

<file path=customXml/itemProps4.xml><?xml version="1.0" encoding="utf-8"?>
<ds:datastoreItem xmlns:ds="http://schemas.openxmlformats.org/officeDocument/2006/customXml" ds:itemID="{0013F3C9-D3C0-40D5-BF36-950693CEBEDA}"/>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12759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Во однос на начелото на неказнување на жртвите на трговија со луѓе, во Северна Македонија од февруари 2002 година, кога за прв пат во Кривичниот Законик во главата 34 -„Кривични дела против човечноста и меѓународното право“ се воведе новиот член 418-а “Т</vt:lpstr>
    </vt:vector>
  </TitlesOfParts>
  <Company>mvr na rm</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однос на начелото на неказнување на жртвите на трговија со луѓе, во Северна Македонија од февруари 2002 година, кога за прв пат во Кривичниот Законик во главата 34 -„Кривични дела против човечноста и меѓународното право“ се воведе новиот член 418-а “Т</dc:title>
  <dc:creator>Maja V. Gjorgjievska</dc:creator>
  <cp:lastModifiedBy>ASENSIO PEREZ Vanessa</cp:lastModifiedBy>
  <cp:revision>2</cp:revision>
  <cp:lastPrinted>2021-02-10T13:01:00Z</cp:lastPrinted>
  <dcterms:created xsi:type="dcterms:W3CDTF">2021-02-23T10:23:00Z</dcterms:created>
  <dcterms:modified xsi:type="dcterms:W3CDTF">2021-02-23T10:23:00Z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