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63D" w:rsidRDefault="001E363D" w:rsidP="00FD13F7">
      <w:pPr>
        <w:jc w:val="center"/>
        <w:rPr>
          <w:rFonts w:ascii="Times New Roman" w:hAnsi="Times New Roman" w:cs="Times New Roman"/>
          <w:b/>
          <w:sz w:val="24"/>
          <w:u w:val="single"/>
          <w:lang w:val="en-US"/>
        </w:rPr>
      </w:pPr>
      <w:bookmarkStart w:id="0" w:name="_GoBack"/>
      <w:bookmarkEnd w:id="0"/>
      <w:r>
        <w:rPr>
          <w:rFonts w:ascii="Times New Roman" w:hAnsi="Times New Roman" w:cs="Times New Roman"/>
          <w:b/>
          <w:sz w:val="24"/>
          <w:u w:val="single"/>
          <w:lang w:val="en-US"/>
        </w:rPr>
        <w:t xml:space="preserve">Response to the Office of the High Commissioner on the Human Rights implication of </w:t>
      </w:r>
      <w:r w:rsidR="00AB79F2">
        <w:rPr>
          <w:rFonts w:ascii="Times New Roman" w:hAnsi="Times New Roman" w:cs="Times New Roman"/>
          <w:b/>
          <w:sz w:val="24"/>
          <w:u w:val="single"/>
          <w:lang w:val="en-US"/>
        </w:rPr>
        <w:t>COVID-19</w:t>
      </w:r>
    </w:p>
    <w:p w:rsidR="00AB79F2" w:rsidRDefault="00AB79F2" w:rsidP="00AB79F2">
      <w:pPr>
        <w:jc w:val="center"/>
        <w:rPr>
          <w:rFonts w:ascii="Times New Roman" w:hAnsi="Times New Roman" w:cs="Times New Roman"/>
          <w:b/>
          <w:sz w:val="24"/>
          <w:u w:val="single"/>
          <w:lang w:val="en-US"/>
        </w:rPr>
      </w:pPr>
    </w:p>
    <w:p w:rsidR="000628DB" w:rsidRPr="00AB79F2" w:rsidRDefault="00F0374B" w:rsidP="000628DB">
      <w:pPr>
        <w:rPr>
          <w:rFonts w:ascii="Times New Roman" w:hAnsi="Times New Roman" w:cs="Times New Roman"/>
          <w:b/>
          <w:sz w:val="24"/>
          <w:lang w:val="en-US"/>
        </w:rPr>
      </w:pPr>
      <w:r w:rsidRPr="00AB79F2">
        <w:rPr>
          <w:rFonts w:ascii="Times New Roman" w:hAnsi="Times New Roman" w:cs="Times New Roman"/>
          <w:b/>
          <w:sz w:val="24"/>
          <w:lang w:val="en-US"/>
        </w:rPr>
        <w:t xml:space="preserve">Introduction - </w:t>
      </w:r>
      <w:r w:rsidR="000628DB" w:rsidRPr="00AB79F2">
        <w:rPr>
          <w:rFonts w:ascii="Times New Roman" w:hAnsi="Times New Roman" w:cs="Times New Roman"/>
          <w:b/>
          <w:sz w:val="24"/>
          <w:lang w:val="en-US"/>
        </w:rPr>
        <w:t>Impact on human rights</w:t>
      </w:r>
    </w:p>
    <w:p w:rsidR="000628DB" w:rsidRPr="00FD13F7" w:rsidRDefault="000628DB" w:rsidP="00FD13F7">
      <w:pPr>
        <w:jc w:val="both"/>
        <w:rPr>
          <w:rFonts w:ascii="Times New Roman" w:hAnsi="Times New Roman" w:cs="Times New Roman"/>
          <w:sz w:val="24"/>
        </w:rPr>
      </w:pPr>
      <w:r w:rsidRPr="00FD13F7">
        <w:rPr>
          <w:rFonts w:ascii="Times New Roman" w:hAnsi="Times New Roman" w:cs="Times New Roman"/>
          <w:sz w:val="24"/>
        </w:rPr>
        <w:t>The 2019 Novel Coronavirus (COVID-19) global public health pandemic created an unexpected exceptional circumstance which required all countries, including Trinidad and Tobago, to adopt extraordinary measures to preserve the lives of its citizens and residents</w:t>
      </w:r>
      <w:r w:rsidR="00F6195D" w:rsidRPr="00FD13F7">
        <w:rPr>
          <w:rFonts w:ascii="Times New Roman" w:hAnsi="Times New Roman" w:cs="Times New Roman"/>
          <w:sz w:val="24"/>
        </w:rPr>
        <w:t>, especially those persons in vulnerable categories</w:t>
      </w:r>
      <w:r w:rsidRPr="00FD13F7">
        <w:rPr>
          <w:rFonts w:ascii="Times New Roman" w:hAnsi="Times New Roman" w:cs="Times New Roman"/>
          <w:sz w:val="24"/>
        </w:rPr>
        <w:t xml:space="preserve">. In such a circumstance, it was unavoidable that some fundamental human rights of citizens were impacted in order to accomplish the overarching goal of controlling and preventing the spread of the virus. </w:t>
      </w:r>
    </w:p>
    <w:p w:rsidR="002031DB" w:rsidRDefault="002031DB" w:rsidP="002031DB">
      <w:pPr>
        <w:jc w:val="both"/>
        <w:rPr>
          <w:rFonts w:ascii="Times New Roman" w:hAnsi="Times New Roman" w:cs="Times New Roman"/>
          <w:b/>
          <w:sz w:val="24"/>
          <w:u w:val="single"/>
        </w:rPr>
      </w:pPr>
      <w:r w:rsidRPr="002031DB">
        <w:rPr>
          <w:rFonts w:ascii="Times New Roman" w:hAnsi="Times New Roman" w:cs="Times New Roman"/>
          <w:b/>
          <w:sz w:val="24"/>
          <w:u w:val="single"/>
        </w:rPr>
        <w:t>Promising/good Human Right Practices</w:t>
      </w:r>
    </w:p>
    <w:p w:rsidR="001C3EEC" w:rsidRDefault="00697596" w:rsidP="00B6593B">
      <w:pPr>
        <w:pStyle w:val="ListParagraph"/>
        <w:numPr>
          <w:ilvl w:val="0"/>
          <w:numId w:val="1"/>
        </w:numPr>
        <w:spacing w:before="240"/>
        <w:jc w:val="both"/>
        <w:rPr>
          <w:rFonts w:ascii="Times New Roman" w:hAnsi="Times New Roman" w:cs="Times New Roman"/>
          <w:sz w:val="24"/>
        </w:rPr>
      </w:pPr>
      <w:r w:rsidRPr="00B6593B">
        <w:rPr>
          <w:rFonts w:ascii="Times New Roman" w:hAnsi="Times New Roman" w:cs="Times New Roman"/>
          <w:sz w:val="24"/>
        </w:rPr>
        <w:t>B</w:t>
      </w:r>
      <w:r w:rsidR="000628DB" w:rsidRPr="00B6593B">
        <w:rPr>
          <w:rFonts w:ascii="Times New Roman" w:hAnsi="Times New Roman" w:cs="Times New Roman"/>
          <w:sz w:val="24"/>
        </w:rPr>
        <w:t xml:space="preserve">y necessity, </w:t>
      </w:r>
      <w:r w:rsidR="00B6593B" w:rsidRPr="00C01998">
        <w:rPr>
          <w:rFonts w:ascii="Times New Roman" w:hAnsi="Times New Roman" w:cs="Times New Roman"/>
          <w:b/>
          <w:sz w:val="24"/>
        </w:rPr>
        <w:t>30</w:t>
      </w:r>
      <w:r w:rsidR="000628DB" w:rsidRPr="00C01998">
        <w:rPr>
          <w:rFonts w:ascii="Times New Roman" w:hAnsi="Times New Roman" w:cs="Times New Roman"/>
          <w:b/>
          <w:sz w:val="24"/>
        </w:rPr>
        <w:t xml:space="preserve"> Public Health Regulations </w:t>
      </w:r>
      <w:r w:rsidR="00B6593B" w:rsidRPr="00C01998">
        <w:rPr>
          <w:rFonts w:ascii="Times New Roman" w:hAnsi="Times New Roman" w:cs="Times New Roman"/>
          <w:b/>
          <w:sz w:val="24"/>
        </w:rPr>
        <w:t>and Guidelines</w:t>
      </w:r>
      <w:r w:rsidR="00B6593B" w:rsidRPr="00B6593B">
        <w:rPr>
          <w:rFonts w:ascii="Times New Roman" w:hAnsi="Times New Roman" w:cs="Times New Roman"/>
          <w:sz w:val="24"/>
        </w:rPr>
        <w:t xml:space="preserve"> </w:t>
      </w:r>
      <w:r w:rsidR="000628DB" w:rsidRPr="00B6593B">
        <w:rPr>
          <w:rFonts w:ascii="Times New Roman" w:hAnsi="Times New Roman" w:cs="Times New Roman"/>
          <w:sz w:val="24"/>
        </w:rPr>
        <w:t>were enacted</w:t>
      </w:r>
      <w:r w:rsidR="00B6593B" w:rsidRPr="00B6593B">
        <w:rPr>
          <w:rFonts w:ascii="Times New Roman" w:hAnsi="Times New Roman" w:cs="Times New Roman"/>
          <w:sz w:val="24"/>
        </w:rPr>
        <w:t xml:space="preserve"> to-date</w:t>
      </w:r>
      <w:r w:rsidR="000628DB" w:rsidRPr="00B6593B">
        <w:rPr>
          <w:rFonts w:ascii="Times New Roman" w:hAnsi="Times New Roman" w:cs="Times New Roman"/>
          <w:sz w:val="24"/>
        </w:rPr>
        <w:t xml:space="preserve"> in accordance with the </w:t>
      </w:r>
      <w:r w:rsidR="000628DB" w:rsidRPr="00B6593B">
        <w:rPr>
          <w:rFonts w:ascii="Times New Roman" w:hAnsi="Times New Roman" w:cs="Times New Roman"/>
          <w:b/>
          <w:sz w:val="24"/>
        </w:rPr>
        <w:t>Public Health Ordinance Chap 12 No.4</w:t>
      </w:r>
      <w:r w:rsidR="000628DB" w:rsidRPr="00B6593B">
        <w:rPr>
          <w:rFonts w:ascii="Times New Roman" w:hAnsi="Times New Roman" w:cs="Times New Roman"/>
          <w:sz w:val="24"/>
        </w:rPr>
        <w:t xml:space="preserve">, which initiated complete closure of the borders and various stay-at-home orders between the months of March to </w:t>
      </w:r>
      <w:r w:rsidR="00F0374B" w:rsidRPr="00B6593B">
        <w:rPr>
          <w:rFonts w:ascii="Times New Roman" w:hAnsi="Times New Roman" w:cs="Times New Roman"/>
          <w:sz w:val="24"/>
        </w:rPr>
        <w:t>October</w:t>
      </w:r>
      <w:r w:rsidR="000628DB" w:rsidRPr="00B6593B">
        <w:rPr>
          <w:rFonts w:ascii="Times New Roman" w:hAnsi="Times New Roman" w:cs="Times New Roman"/>
          <w:sz w:val="24"/>
        </w:rPr>
        <w:t xml:space="preserve"> 2020 to slow transmission of the virus.</w:t>
      </w:r>
      <w:r w:rsidR="00B6593B">
        <w:rPr>
          <w:rFonts w:ascii="Times New Roman" w:hAnsi="Times New Roman" w:cs="Times New Roman"/>
          <w:sz w:val="24"/>
        </w:rPr>
        <w:t xml:space="preserve"> The enactments of these regulations were seen</w:t>
      </w:r>
      <w:r w:rsidR="000628DB" w:rsidRPr="00B6593B">
        <w:rPr>
          <w:rFonts w:ascii="Times New Roman" w:hAnsi="Times New Roman" w:cs="Times New Roman"/>
          <w:sz w:val="24"/>
        </w:rPr>
        <w:t xml:space="preserve"> </w:t>
      </w:r>
      <w:r w:rsidR="00B6593B">
        <w:rPr>
          <w:rFonts w:ascii="Times New Roman" w:hAnsi="Times New Roman" w:cs="Times New Roman"/>
          <w:sz w:val="24"/>
        </w:rPr>
        <w:t>as necessary</w:t>
      </w:r>
      <w:r w:rsidR="00B6593B" w:rsidRPr="00B6593B">
        <w:rPr>
          <w:rFonts w:ascii="Times New Roman" w:hAnsi="Times New Roman" w:cs="Times New Roman"/>
          <w:sz w:val="24"/>
        </w:rPr>
        <w:t xml:space="preserve">, yet proportional response to the crisis which faces the country. </w:t>
      </w:r>
    </w:p>
    <w:p w:rsidR="001C3EEC" w:rsidRDefault="001C3EEC" w:rsidP="001C3EEC">
      <w:pPr>
        <w:pStyle w:val="ListParagraph"/>
        <w:spacing w:before="240"/>
        <w:jc w:val="both"/>
        <w:rPr>
          <w:rFonts w:ascii="Times New Roman" w:hAnsi="Times New Roman" w:cs="Times New Roman"/>
          <w:sz w:val="24"/>
        </w:rPr>
      </w:pPr>
    </w:p>
    <w:p w:rsidR="001C3EEC" w:rsidRPr="002031DB" w:rsidRDefault="001C3EEC" w:rsidP="001C3EEC">
      <w:pPr>
        <w:pStyle w:val="ListParagraph"/>
        <w:numPr>
          <w:ilvl w:val="0"/>
          <w:numId w:val="1"/>
        </w:numPr>
        <w:jc w:val="both"/>
        <w:rPr>
          <w:rFonts w:ascii="Times New Roman" w:hAnsi="Times New Roman" w:cs="Times New Roman"/>
          <w:sz w:val="24"/>
        </w:rPr>
      </w:pPr>
      <w:r>
        <w:rPr>
          <w:rFonts w:ascii="Times New Roman" w:hAnsi="Times New Roman" w:cs="Times New Roman"/>
          <w:sz w:val="24"/>
        </w:rPr>
        <w:t xml:space="preserve">The </w:t>
      </w:r>
      <w:r w:rsidRPr="0036278A">
        <w:rPr>
          <w:rFonts w:ascii="Times New Roman" w:hAnsi="Times New Roman" w:cs="Times New Roman"/>
          <w:b/>
          <w:sz w:val="24"/>
        </w:rPr>
        <w:t>Public Health Regulations</w:t>
      </w:r>
      <w:r>
        <w:rPr>
          <w:rFonts w:ascii="Times New Roman" w:hAnsi="Times New Roman" w:cs="Times New Roman"/>
          <w:sz w:val="24"/>
        </w:rPr>
        <w:t xml:space="preserve"> temporarily suspended </w:t>
      </w:r>
      <w:r w:rsidR="00C01998">
        <w:rPr>
          <w:rFonts w:ascii="Times New Roman" w:hAnsi="Times New Roman" w:cs="Times New Roman"/>
          <w:sz w:val="24"/>
        </w:rPr>
        <w:t>the following</w:t>
      </w:r>
      <w:r>
        <w:rPr>
          <w:rFonts w:ascii="Times New Roman" w:hAnsi="Times New Roman" w:cs="Times New Roman"/>
          <w:sz w:val="24"/>
        </w:rPr>
        <w:t xml:space="preserve"> forms of movement and business:</w:t>
      </w:r>
    </w:p>
    <w:p w:rsidR="001C3EEC" w:rsidRDefault="001C3EEC" w:rsidP="001C3EEC">
      <w:pPr>
        <w:pStyle w:val="ListParagraph"/>
        <w:numPr>
          <w:ilvl w:val="0"/>
          <w:numId w:val="2"/>
        </w:numPr>
        <w:spacing w:after="0"/>
        <w:jc w:val="both"/>
        <w:rPr>
          <w:rFonts w:ascii="Times New Roman" w:hAnsi="Times New Roman" w:cs="Times New Roman"/>
          <w:sz w:val="24"/>
        </w:rPr>
      </w:pPr>
      <w:r>
        <w:rPr>
          <w:rFonts w:ascii="Times New Roman" w:hAnsi="Times New Roman" w:cs="Times New Roman"/>
          <w:sz w:val="24"/>
        </w:rPr>
        <w:t>Closure of borders to both nationals and non-nationals;</w:t>
      </w:r>
    </w:p>
    <w:p w:rsidR="001C3EEC" w:rsidRDefault="001C3EEC" w:rsidP="001C3EEC">
      <w:pPr>
        <w:pStyle w:val="ListParagraph"/>
        <w:numPr>
          <w:ilvl w:val="0"/>
          <w:numId w:val="2"/>
        </w:numPr>
        <w:spacing w:after="0"/>
        <w:jc w:val="both"/>
        <w:rPr>
          <w:rFonts w:ascii="Times New Roman" w:hAnsi="Times New Roman" w:cs="Times New Roman"/>
          <w:sz w:val="24"/>
        </w:rPr>
      </w:pPr>
      <w:r>
        <w:rPr>
          <w:rFonts w:ascii="Times New Roman" w:hAnsi="Times New Roman" w:cs="Times New Roman"/>
          <w:sz w:val="24"/>
        </w:rPr>
        <w:t>Closure of all schools and places of learning.</w:t>
      </w:r>
    </w:p>
    <w:p w:rsidR="001C3EEC" w:rsidRDefault="001C3EEC" w:rsidP="001C3EEC">
      <w:pPr>
        <w:pStyle w:val="ListParagraph"/>
        <w:numPr>
          <w:ilvl w:val="0"/>
          <w:numId w:val="2"/>
        </w:numPr>
        <w:spacing w:after="0"/>
        <w:jc w:val="both"/>
        <w:rPr>
          <w:rFonts w:ascii="Times New Roman" w:hAnsi="Times New Roman" w:cs="Times New Roman"/>
          <w:sz w:val="24"/>
        </w:rPr>
      </w:pPr>
      <w:r>
        <w:rPr>
          <w:rFonts w:ascii="Times New Roman" w:hAnsi="Times New Roman" w:cs="Times New Roman"/>
          <w:sz w:val="24"/>
        </w:rPr>
        <w:t>Closure of all places of worship;</w:t>
      </w:r>
    </w:p>
    <w:p w:rsidR="001C3EEC" w:rsidRDefault="001C3EEC" w:rsidP="001C3EEC">
      <w:pPr>
        <w:pStyle w:val="ListParagraph"/>
        <w:numPr>
          <w:ilvl w:val="0"/>
          <w:numId w:val="2"/>
        </w:numPr>
        <w:spacing w:after="0"/>
        <w:jc w:val="both"/>
        <w:rPr>
          <w:rFonts w:ascii="Times New Roman" w:hAnsi="Times New Roman" w:cs="Times New Roman"/>
          <w:sz w:val="24"/>
        </w:rPr>
      </w:pPr>
      <w:r>
        <w:rPr>
          <w:rFonts w:ascii="Times New Roman" w:hAnsi="Times New Roman" w:cs="Times New Roman"/>
          <w:sz w:val="24"/>
        </w:rPr>
        <w:t>Closure of recreational places;</w:t>
      </w:r>
    </w:p>
    <w:p w:rsidR="001C3EEC" w:rsidRDefault="001C3EEC" w:rsidP="001C3EEC">
      <w:pPr>
        <w:pStyle w:val="ListParagraph"/>
        <w:numPr>
          <w:ilvl w:val="0"/>
          <w:numId w:val="2"/>
        </w:numPr>
        <w:spacing w:after="0"/>
        <w:jc w:val="both"/>
        <w:rPr>
          <w:rFonts w:ascii="Times New Roman" w:hAnsi="Times New Roman" w:cs="Times New Roman"/>
          <w:sz w:val="24"/>
        </w:rPr>
      </w:pPr>
      <w:r>
        <w:rPr>
          <w:rFonts w:ascii="Times New Roman" w:hAnsi="Times New Roman" w:cs="Times New Roman"/>
          <w:sz w:val="24"/>
        </w:rPr>
        <w:t>Prohibition on gatherings of more than 5 persons;</w:t>
      </w:r>
    </w:p>
    <w:p w:rsidR="001C3EEC" w:rsidRDefault="001C3EEC" w:rsidP="001C3EEC">
      <w:pPr>
        <w:pStyle w:val="ListParagraph"/>
        <w:numPr>
          <w:ilvl w:val="0"/>
          <w:numId w:val="2"/>
        </w:numPr>
        <w:spacing w:after="0"/>
        <w:jc w:val="both"/>
        <w:rPr>
          <w:rFonts w:ascii="Times New Roman" w:hAnsi="Times New Roman" w:cs="Times New Roman"/>
          <w:sz w:val="24"/>
        </w:rPr>
      </w:pPr>
      <w:r>
        <w:rPr>
          <w:rFonts w:ascii="Times New Roman" w:hAnsi="Times New Roman" w:cs="Times New Roman"/>
          <w:sz w:val="24"/>
        </w:rPr>
        <w:t>Limiting of public transportation capacity to 50%;</w:t>
      </w:r>
    </w:p>
    <w:p w:rsidR="001C3EEC" w:rsidRDefault="001C3EEC" w:rsidP="001C3EEC">
      <w:pPr>
        <w:pStyle w:val="ListParagraph"/>
        <w:numPr>
          <w:ilvl w:val="0"/>
          <w:numId w:val="2"/>
        </w:numPr>
        <w:spacing w:after="0"/>
        <w:jc w:val="both"/>
        <w:rPr>
          <w:rFonts w:ascii="Times New Roman" w:hAnsi="Times New Roman" w:cs="Times New Roman"/>
          <w:sz w:val="24"/>
        </w:rPr>
      </w:pPr>
      <w:r>
        <w:rPr>
          <w:rFonts w:ascii="Times New Roman" w:hAnsi="Times New Roman" w:cs="Times New Roman"/>
          <w:sz w:val="24"/>
        </w:rPr>
        <w:t>Closure of work places to non-essential services;</w:t>
      </w:r>
    </w:p>
    <w:p w:rsidR="001C3EEC" w:rsidRPr="00882ECA" w:rsidRDefault="001C3EEC" w:rsidP="001C3EEC">
      <w:pPr>
        <w:pStyle w:val="ListParagraph"/>
        <w:numPr>
          <w:ilvl w:val="0"/>
          <w:numId w:val="2"/>
        </w:numPr>
        <w:spacing w:after="0"/>
        <w:jc w:val="both"/>
        <w:rPr>
          <w:rFonts w:ascii="Times New Roman" w:hAnsi="Times New Roman" w:cs="Times New Roman"/>
          <w:sz w:val="24"/>
        </w:rPr>
      </w:pPr>
      <w:r>
        <w:rPr>
          <w:rFonts w:ascii="Times New Roman" w:hAnsi="Times New Roman" w:cs="Times New Roman"/>
          <w:sz w:val="24"/>
        </w:rPr>
        <w:t>Closure of all restaurants and other similar establishments.</w:t>
      </w:r>
    </w:p>
    <w:p w:rsidR="001C3EEC" w:rsidRDefault="001C3EEC" w:rsidP="001C3EEC">
      <w:pPr>
        <w:pStyle w:val="ListParagraph"/>
        <w:spacing w:after="0"/>
        <w:jc w:val="both"/>
        <w:rPr>
          <w:rFonts w:ascii="Times New Roman" w:hAnsi="Times New Roman" w:cs="Times New Roman"/>
          <w:sz w:val="24"/>
        </w:rPr>
      </w:pPr>
    </w:p>
    <w:p w:rsidR="001C3EEC" w:rsidRDefault="00C01998" w:rsidP="001C3EEC">
      <w:pPr>
        <w:pStyle w:val="ListParagraph"/>
        <w:numPr>
          <w:ilvl w:val="0"/>
          <w:numId w:val="1"/>
        </w:numPr>
        <w:jc w:val="both"/>
        <w:rPr>
          <w:rFonts w:ascii="Times New Roman" w:hAnsi="Times New Roman" w:cs="Times New Roman"/>
          <w:sz w:val="24"/>
        </w:rPr>
      </w:pPr>
      <w:r w:rsidRPr="00C01998">
        <w:rPr>
          <w:rFonts w:ascii="Times New Roman" w:hAnsi="Times New Roman" w:cs="Times New Roman"/>
          <w:sz w:val="24"/>
        </w:rPr>
        <w:t>Particularly,</w:t>
      </w:r>
      <w:r>
        <w:rPr>
          <w:rFonts w:ascii="Times New Roman" w:hAnsi="Times New Roman" w:cs="Times New Roman"/>
          <w:b/>
          <w:sz w:val="24"/>
        </w:rPr>
        <w:t xml:space="preserve"> </w:t>
      </w:r>
      <w:r w:rsidR="001C3EEC" w:rsidRPr="0095660D">
        <w:rPr>
          <w:rFonts w:ascii="Times New Roman" w:hAnsi="Times New Roman" w:cs="Times New Roman"/>
          <w:b/>
          <w:sz w:val="24"/>
        </w:rPr>
        <w:t>Public Health Regulation (No.26)</w:t>
      </w:r>
      <w:r w:rsidR="001C3EEC">
        <w:rPr>
          <w:rFonts w:ascii="Times New Roman" w:hAnsi="Times New Roman" w:cs="Times New Roman"/>
          <w:sz w:val="24"/>
        </w:rPr>
        <w:t>, made the failure to wear a face mask, face covering or face shield in public a ticketable offence for both adults and children over the age of 8.</w:t>
      </w:r>
    </w:p>
    <w:p w:rsidR="001C3EEC" w:rsidRDefault="001C3EEC" w:rsidP="001C3EEC">
      <w:pPr>
        <w:pStyle w:val="ListParagraph"/>
        <w:jc w:val="both"/>
        <w:rPr>
          <w:rFonts w:ascii="Times New Roman" w:hAnsi="Times New Roman" w:cs="Times New Roman"/>
          <w:sz w:val="24"/>
        </w:rPr>
      </w:pPr>
    </w:p>
    <w:p w:rsidR="00C01998" w:rsidRDefault="00882ECA" w:rsidP="00C01998">
      <w:pPr>
        <w:pStyle w:val="ListParagraph"/>
        <w:numPr>
          <w:ilvl w:val="0"/>
          <w:numId w:val="1"/>
        </w:numPr>
        <w:spacing w:before="240"/>
        <w:jc w:val="both"/>
        <w:rPr>
          <w:rFonts w:ascii="Times New Roman" w:hAnsi="Times New Roman" w:cs="Times New Roman"/>
          <w:sz w:val="24"/>
        </w:rPr>
      </w:pPr>
      <w:r w:rsidRPr="00B6593B">
        <w:rPr>
          <w:rFonts w:ascii="Times New Roman" w:hAnsi="Times New Roman" w:cs="Times New Roman"/>
          <w:sz w:val="24"/>
        </w:rPr>
        <w:t>Despite such curtailments, t</w:t>
      </w:r>
      <w:r w:rsidR="00A04FC9" w:rsidRPr="00B6593B">
        <w:rPr>
          <w:rFonts w:ascii="Times New Roman" w:hAnsi="Times New Roman" w:cs="Times New Roman"/>
          <w:sz w:val="24"/>
        </w:rPr>
        <w:t xml:space="preserve">he Government’s early closure responses </w:t>
      </w:r>
      <w:r w:rsidRPr="00B6593B">
        <w:rPr>
          <w:rFonts w:ascii="Times New Roman" w:hAnsi="Times New Roman" w:cs="Times New Roman"/>
          <w:sz w:val="24"/>
        </w:rPr>
        <w:t>proved</w:t>
      </w:r>
      <w:r w:rsidR="00A04FC9" w:rsidRPr="00B6593B">
        <w:rPr>
          <w:rFonts w:ascii="Times New Roman" w:hAnsi="Times New Roman" w:cs="Times New Roman"/>
          <w:sz w:val="24"/>
        </w:rPr>
        <w:t xml:space="preserve"> to be effective </w:t>
      </w:r>
      <w:r w:rsidRPr="00B6593B">
        <w:rPr>
          <w:rFonts w:ascii="Times New Roman" w:hAnsi="Times New Roman" w:cs="Times New Roman"/>
          <w:sz w:val="24"/>
        </w:rPr>
        <w:t xml:space="preserve">risk management </w:t>
      </w:r>
      <w:r w:rsidR="00A04FC9" w:rsidRPr="00B6593B">
        <w:rPr>
          <w:rFonts w:ascii="Times New Roman" w:hAnsi="Times New Roman" w:cs="Times New Roman"/>
          <w:sz w:val="24"/>
        </w:rPr>
        <w:t xml:space="preserve">and can be deemed as a good </w:t>
      </w:r>
      <w:r w:rsidRPr="00B6593B">
        <w:rPr>
          <w:rFonts w:ascii="Times New Roman" w:hAnsi="Times New Roman" w:cs="Times New Roman"/>
          <w:sz w:val="24"/>
        </w:rPr>
        <w:t xml:space="preserve">human right </w:t>
      </w:r>
      <w:r w:rsidR="00A04FC9" w:rsidRPr="00B6593B">
        <w:rPr>
          <w:rFonts w:ascii="Times New Roman" w:hAnsi="Times New Roman" w:cs="Times New Roman"/>
          <w:sz w:val="24"/>
        </w:rPr>
        <w:t>practice</w:t>
      </w:r>
      <w:r w:rsidRPr="00B6593B">
        <w:rPr>
          <w:rFonts w:ascii="Times New Roman" w:hAnsi="Times New Roman" w:cs="Times New Roman"/>
          <w:sz w:val="24"/>
        </w:rPr>
        <w:t>,</w:t>
      </w:r>
      <w:r w:rsidR="00A04FC9" w:rsidRPr="00B6593B">
        <w:rPr>
          <w:rFonts w:ascii="Times New Roman" w:hAnsi="Times New Roman" w:cs="Times New Roman"/>
          <w:sz w:val="24"/>
        </w:rPr>
        <w:t xml:space="preserve"> </w:t>
      </w:r>
      <w:r w:rsidRPr="00B6593B">
        <w:rPr>
          <w:rFonts w:ascii="Times New Roman" w:hAnsi="Times New Roman" w:cs="Times New Roman"/>
          <w:sz w:val="24"/>
        </w:rPr>
        <w:t>to</w:t>
      </w:r>
      <w:r w:rsidR="00A04FC9" w:rsidRPr="00B6593B">
        <w:rPr>
          <w:rFonts w:ascii="Times New Roman" w:hAnsi="Times New Roman" w:cs="Times New Roman"/>
          <w:sz w:val="24"/>
        </w:rPr>
        <w:t xml:space="preserve"> be adopted in similar situations.</w:t>
      </w:r>
      <w:r w:rsidR="00C01998">
        <w:rPr>
          <w:rFonts w:ascii="Times New Roman" w:hAnsi="Times New Roman" w:cs="Times New Roman"/>
          <w:sz w:val="24"/>
        </w:rPr>
        <w:t xml:space="preserve"> </w:t>
      </w:r>
    </w:p>
    <w:p w:rsidR="00C01998" w:rsidRDefault="00C01998" w:rsidP="00C01998">
      <w:pPr>
        <w:pStyle w:val="ListParagraph"/>
        <w:spacing w:before="240"/>
        <w:jc w:val="both"/>
        <w:rPr>
          <w:rFonts w:ascii="Times New Roman" w:hAnsi="Times New Roman" w:cs="Times New Roman"/>
          <w:sz w:val="24"/>
        </w:rPr>
      </w:pPr>
    </w:p>
    <w:p w:rsidR="00F0374B" w:rsidRDefault="00882ECA" w:rsidP="00AB79F2">
      <w:pPr>
        <w:pStyle w:val="ListParagraph"/>
        <w:numPr>
          <w:ilvl w:val="0"/>
          <w:numId w:val="1"/>
        </w:numPr>
        <w:spacing w:before="240"/>
        <w:jc w:val="both"/>
        <w:rPr>
          <w:rFonts w:ascii="Times New Roman" w:hAnsi="Times New Roman" w:cs="Times New Roman"/>
          <w:sz w:val="24"/>
        </w:rPr>
      </w:pPr>
      <w:r w:rsidRPr="00C01998">
        <w:rPr>
          <w:rFonts w:ascii="Times New Roman" w:hAnsi="Times New Roman" w:cs="Times New Roman"/>
          <w:sz w:val="24"/>
        </w:rPr>
        <w:t>Noteworthy, in April 2020, the University of Oxford in a research study ranked Trinidad and Tobago second in a list of countries based on four measures the University used to rank countries were control of virus transmission; testing, tracing and isolation policies; management of risk of exporting and importing cases and community engagement.</w:t>
      </w:r>
    </w:p>
    <w:p w:rsidR="00AB79F2" w:rsidRPr="00AB79F2" w:rsidRDefault="00AB79F2" w:rsidP="00AB79F2">
      <w:pPr>
        <w:pStyle w:val="ListParagraph"/>
        <w:spacing w:before="240"/>
        <w:jc w:val="both"/>
        <w:rPr>
          <w:rFonts w:ascii="Times New Roman" w:hAnsi="Times New Roman" w:cs="Times New Roman"/>
          <w:sz w:val="24"/>
        </w:rPr>
      </w:pPr>
    </w:p>
    <w:p w:rsidR="00613893" w:rsidRDefault="00613893" w:rsidP="00613893">
      <w:pPr>
        <w:pStyle w:val="ListParagraph"/>
        <w:numPr>
          <w:ilvl w:val="0"/>
          <w:numId w:val="1"/>
        </w:numPr>
        <w:tabs>
          <w:tab w:val="left" w:pos="1890"/>
        </w:tabs>
        <w:spacing w:before="240" w:after="0"/>
        <w:jc w:val="both"/>
        <w:rPr>
          <w:rFonts w:ascii="Times New Roman" w:hAnsi="Times New Roman" w:cs="Times New Roman"/>
          <w:sz w:val="24"/>
        </w:rPr>
      </w:pPr>
      <w:r>
        <w:rPr>
          <w:rFonts w:ascii="Times New Roman" w:hAnsi="Times New Roman" w:cs="Times New Roman"/>
          <w:sz w:val="24"/>
        </w:rPr>
        <w:t xml:space="preserve">Another of the Government’s approaches to combatting the COVID-19 pandemic was consultation with medical </w:t>
      </w:r>
      <w:r w:rsidR="00882B2C">
        <w:rPr>
          <w:rFonts w:ascii="Times New Roman" w:hAnsi="Times New Roman" w:cs="Times New Roman"/>
          <w:sz w:val="24"/>
        </w:rPr>
        <w:t>personnel</w:t>
      </w:r>
      <w:r>
        <w:rPr>
          <w:rFonts w:ascii="Times New Roman" w:hAnsi="Times New Roman" w:cs="Times New Roman"/>
          <w:sz w:val="24"/>
        </w:rPr>
        <w:t xml:space="preserve"> such as the Chief Medical Officer and other members of his epidemiological team. These consultations would have charted the way forward taking into account specifications under the </w:t>
      </w:r>
      <w:r w:rsidRPr="00BD3295">
        <w:rPr>
          <w:rFonts w:ascii="Times New Roman" w:hAnsi="Times New Roman" w:cs="Times New Roman"/>
          <w:b/>
          <w:sz w:val="24"/>
        </w:rPr>
        <w:t>Public Health Ordinance Chap 12 No.4</w:t>
      </w:r>
      <w:r w:rsidRPr="00BD3295">
        <w:rPr>
          <w:rFonts w:ascii="Times New Roman" w:hAnsi="Times New Roman" w:cs="Times New Roman"/>
          <w:sz w:val="24"/>
        </w:rPr>
        <w:t xml:space="preserve"> </w:t>
      </w:r>
      <w:r>
        <w:rPr>
          <w:rFonts w:ascii="Times New Roman" w:hAnsi="Times New Roman" w:cs="Times New Roman"/>
          <w:sz w:val="24"/>
        </w:rPr>
        <w:t xml:space="preserve">which governs measures to be taken in times of public health emergencies. </w:t>
      </w:r>
    </w:p>
    <w:p w:rsidR="00613893" w:rsidRDefault="00613893" w:rsidP="00613893">
      <w:pPr>
        <w:pStyle w:val="ListParagraph"/>
        <w:tabs>
          <w:tab w:val="left" w:pos="1890"/>
        </w:tabs>
        <w:spacing w:after="0"/>
        <w:jc w:val="both"/>
        <w:rPr>
          <w:rFonts w:ascii="Times New Roman" w:hAnsi="Times New Roman" w:cs="Times New Roman"/>
          <w:sz w:val="24"/>
        </w:rPr>
      </w:pPr>
    </w:p>
    <w:p w:rsidR="00697596" w:rsidRPr="00FD13F7" w:rsidRDefault="009971CB" w:rsidP="00FD13F7">
      <w:pPr>
        <w:pStyle w:val="ListParagraph"/>
        <w:numPr>
          <w:ilvl w:val="0"/>
          <w:numId w:val="1"/>
        </w:numPr>
        <w:jc w:val="both"/>
        <w:rPr>
          <w:rFonts w:ascii="Times New Roman" w:hAnsi="Times New Roman" w:cs="Times New Roman"/>
          <w:sz w:val="24"/>
        </w:rPr>
      </w:pPr>
      <w:r w:rsidRPr="00FD13F7">
        <w:rPr>
          <w:rFonts w:ascii="Times New Roman" w:hAnsi="Times New Roman" w:cs="Times New Roman"/>
          <w:sz w:val="24"/>
        </w:rPr>
        <w:t>The human rights of citizens across all groups and sectors in Trinidad and Tobag</w:t>
      </w:r>
      <w:r w:rsidR="00697596" w:rsidRPr="00FD13F7">
        <w:rPr>
          <w:rFonts w:ascii="Times New Roman" w:hAnsi="Times New Roman" w:cs="Times New Roman"/>
          <w:sz w:val="24"/>
        </w:rPr>
        <w:t>o were affected by the pandemic, including health-care workers, the majority of whom are women, and other essential workers, older persons, migrants, refugees, internally displaced persons, persons with disabilities, persons belonging to minorities, indigenous peoples, persons deprived of their liberty, homeless persons and persons living in poverty.</w:t>
      </w:r>
    </w:p>
    <w:p w:rsidR="009971CB" w:rsidRPr="009971CB" w:rsidRDefault="009971CB" w:rsidP="00697596">
      <w:pPr>
        <w:pStyle w:val="ListParagraph"/>
        <w:jc w:val="both"/>
        <w:rPr>
          <w:rFonts w:ascii="Times New Roman" w:hAnsi="Times New Roman" w:cs="Times New Roman"/>
          <w:sz w:val="24"/>
        </w:rPr>
      </w:pPr>
      <w:r w:rsidRPr="009971CB">
        <w:rPr>
          <w:rFonts w:ascii="Times New Roman" w:hAnsi="Times New Roman" w:cs="Times New Roman"/>
          <w:sz w:val="24"/>
        </w:rPr>
        <w:tab/>
      </w:r>
    </w:p>
    <w:p w:rsidR="000628DB" w:rsidRDefault="000628DB" w:rsidP="00FD13F7">
      <w:pPr>
        <w:pStyle w:val="ListParagraph"/>
        <w:numPr>
          <w:ilvl w:val="0"/>
          <w:numId w:val="1"/>
        </w:numPr>
        <w:tabs>
          <w:tab w:val="left" w:pos="1890"/>
        </w:tabs>
        <w:spacing w:after="0"/>
        <w:jc w:val="both"/>
        <w:rPr>
          <w:rFonts w:ascii="Times New Roman" w:hAnsi="Times New Roman" w:cs="Times New Roman"/>
          <w:sz w:val="24"/>
        </w:rPr>
      </w:pPr>
      <w:r w:rsidRPr="0043524D">
        <w:rPr>
          <w:rFonts w:ascii="Times New Roman" w:hAnsi="Times New Roman" w:cs="Times New Roman"/>
          <w:sz w:val="24"/>
        </w:rPr>
        <w:t xml:space="preserve">The courts of Trinidad and Tobago have worked to incorporate technology to provide service for urgent matters, as far as possible, therefore, lessening the need for </w:t>
      </w:r>
      <w:r>
        <w:rPr>
          <w:rFonts w:ascii="Times New Roman" w:hAnsi="Times New Roman" w:cs="Times New Roman"/>
          <w:sz w:val="24"/>
        </w:rPr>
        <w:t>person entering into court buildings.</w:t>
      </w:r>
    </w:p>
    <w:p w:rsidR="000628DB" w:rsidRDefault="000628DB" w:rsidP="000628DB">
      <w:pPr>
        <w:pStyle w:val="ListParagraph"/>
        <w:tabs>
          <w:tab w:val="left" w:pos="1890"/>
        </w:tabs>
        <w:spacing w:before="240" w:after="0"/>
        <w:jc w:val="both"/>
        <w:rPr>
          <w:rFonts w:ascii="Times New Roman" w:hAnsi="Times New Roman" w:cs="Times New Roman"/>
          <w:sz w:val="24"/>
        </w:rPr>
      </w:pPr>
    </w:p>
    <w:p w:rsidR="000628DB" w:rsidRDefault="000628DB" w:rsidP="00FD13F7">
      <w:pPr>
        <w:pStyle w:val="ListParagraph"/>
        <w:numPr>
          <w:ilvl w:val="0"/>
          <w:numId w:val="1"/>
        </w:numPr>
        <w:tabs>
          <w:tab w:val="left" w:pos="1890"/>
        </w:tabs>
        <w:spacing w:after="0"/>
        <w:jc w:val="both"/>
        <w:rPr>
          <w:rFonts w:ascii="Times New Roman" w:hAnsi="Times New Roman" w:cs="Times New Roman"/>
          <w:sz w:val="24"/>
        </w:rPr>
      </w:pPr>
      <w:r>
        <w:rPr>
          <w:rFonts w:ascii="Times New Roman" w:hAnsi="Times New Roman" w:cs="Times New Roman"/>
          <w:sz w:val="24"/>
        </w:rPr>
        <w:t>The Chief Justice</w:t>
      </w:r>
      <w:r w:rsidR="006F3E98">
        <w:rPr>
          <w:rFonts w:ascii="Times New Roman" w:hAnsi="Times New Roman" w:cs="Times New Roman"/>
          <w:sz w:val="24"/>
        </w:rPr>
        <w:t xml:space="preserve"> of Trinidad and Tobago </w:t>
      </w:r>
      <w:r w:rsidR="00697596">
        <w:rPr>
          <w:rFonts w:ascii="Times New Roman" w:hAnsi="Times New Roman" w:cs="Times New Roman"/>
          <w:sz w:val="24"/>
        </w:rPr>
        <w:t>issued the</w:t>
      </w:r>
      <w:r w:rsidR="006F3E98">
        <w:rPr>
          <w:rFonts w:ascii="Times New Roman" w:hAnsi="Times New Roman" w:cs="Times New Roman"/>
          <w:sz w:val="24"/>
        </w:rPr>
        <w:t xml:space="preserve"> latest</w:t>
      </w:r>
      <w:r>
        <w:rPr>
          <w:rFonts w:ascii="Times New Roman" w:hAnsi="Times New Roman" w:cs="Times New Roman"/>
          <w:sz w:val="24"/>
        </w:rPr>
        <w:t xml:space="preserve"> </w:t>
      </w:r>
      <w:r w:rsidRPr="009A74A4">
        <w:rPr>
          <w:rFonts w:ascii="Times New Roman" w:hAnsi="Times New Roman" w:cs="Times New Roman"/>
          <w:b/>
          <w:sz w:val="24"/>
        </w:rPr>
        <w:t>Practice Direction</w:t>
      </w:r>
      <w:r>
        <w:rPr>
          <w:rFonts w:ascii="Times New Roman" w:hAnsi="Times New Roman" w:cs="Times New Roman"/>
          <w:sz w:val="24"/>
        </w:rPr>
        <w:t xml:space="preserve"> </w:t>
      </w:r>
      <w:r w:rsidR="006F3E98">
        <w:rPr>
          <w:rFonts w:ascii="Times New Roman" w:hAnsi="Times New Roman" w:cs="Times New Roman"/>
          <w:b/>
          <w:sz w:val="24"/>
        </w:rPr>
        <w:t>on Court Operations No.8</w:t>
      </w:r>
      <w:r>
        <w:rPr>
          <w:rFonts w:ascii="Times New Roman" w:hAnsi="Times New Roman" w:cs="Times New Roman"/>
          <w:sz w:val="24"/>
        </w:rPr>
        <w:t xml:space="preserve"> </w:t>
      </w:r>
      <w:r w:rsidRPr="009A74A4">
        <w:rPr>
          <w:rFonts w:ascii="Times New Roman" w:hAnsi="Times New Roman" w:cs="Times New Roman"/>
          <w:sz w:val="24"/>
        </w:rPr>
        <w:t xml:space="preserve">pursuant to </w:t>
      </w:r>
      <w:r w:rsidRPr="009A74A4">
        <w:rPr>
          <w:rFonts w:ascii="Times New Roman" w:hAnsi="Times New Roman" w:cs="Times New Roman"/>
          <w:b/>
          <w:sz w:val="24"/>
        </w:rPr>
        <w:t>Part 4 of the Civil Proceedings Rules 1998 (as amended), Part 20 of the Criminal Procedure Rules, Part 4 of the Family Proceedings Rules and Part 22 of the Children Court Rules</w:t>
      </w:r>
      <w:r w:rsidRPr="009A74A4">
        <w:rPr>
          <w:rFonts w:ascii="Times New Roman" w:hAnsi="Times New Roman" w:cs="Times New Roman"/>
          <w:sz w:val="24"/>
        </w:rPr>
        <w:t xml:space="preserve"> and is applicable to the Supreme Court and the Summary Courts</w:t>
      </w:r>
      <w:r>
        <w:rPr>
          <w:rFonts w:ascii="Times New Roman" w:hAnsi="Times New Roman" w:cs="Times New Roman"/>
          <w:sz w:val="24"/>
        </w:rPr>
        <w:t xml:space="preserve"> to take effect from the </w:t>
      </w:r>
      <w:r w:rsidR="006F3E98">
        <w:rPr>
          <w:rFonts w:ascii="Times New Roman" w:hAnsi="Times New Roman" w:cs="Times New Roman"/>
          <w:sz w:val="24"/>
        </w:rPr>
        <w:t>26</w:t>
      </w:r>
      <w:r w:rsidRPr="009A74A4">
        <w:rPr>
          <w:rFonts w:ascii="Times New Roman" w:hAnsi="Times New Roman" w:cs="Times New Roman"/>
          <w:sz w:val="24"/>
          <w:vertAlign w:val="superscript"/>
        </w:rPr>
        <w:t>h</w:t>
      </w:r>
      <w:r>
        <w:rPr>
          <w:rFonts w:ascii="Times New Roman" w:hAnsi="Times New Roman" w:cs="Times New Roman"/>
          <w:sz w:val="24"/>
        </w:rPr>
        <w:t xml:space="preserve"> </w:t>
      </w:r>
      <w:r w:rsidR="006F3E98">
        <w:rPr>
          <w:rFonts w:ascii="Times New Roman" w:hAnsi="Times New Roman" w:cs="Times New Roman"/>
          <w:sz w:val="24"/>
        </w:rPr>
        <w:t>October</w:t>
      </w:r>
      <w:r>
        <w:rPr>
          <w:rFonts w:ascii="Times New Roman" w:hAnsi="Times New Roman" w:cs="Times New Roman"/>
          <w:sz w:val="24"/>
        </w:rPr>
        <w:t xml:space="preserve"> 2020. The purpose of the practice direction is </w:t>
      </w:r>
      <w:r w:rsidRPr="009A74A4">
        <w:rPr>
          <w:rFonts w:ascii="Times New Roman" w:hAnsi="Times New Roman" w:cs="Times New Roman"/>
          <w:sz w:val="24"/>
        </w:rPr>
        <w:t>to provide for adequate and appropriate measures</w:t>
      </w:r>
      <w:r>
        <w:rPr>
          <w:rFonts w:ascii="Times New Roman" w:hAnsi="Times New Roman" w:cs="Times New Roman"/>
          <w:sz w:val="24"/>
        </w:rPr>
        <w:t xml:space="preserve"> for treating with the COVID-19 pandemic.</w:t>
      </w:r>
    </w:p>
    <w:p w:rsidR="000628DB" w:rsidRDefault="000628DB" w:rsidP="000628DB">
      <w:pPr>
        <w:pStyle w:val="ListParagraph"/>
        <w:tabs>
          <w:tab w:val="left" w:pos="1890"/>
        </w:tabs>
        <w:spacing w:before="240" w:after="0"/>
        <w:jc w:val="both"/>
        <w:rPr>
          <w:rFonts w:ascii="Times New Roman" w:hAnsi="Times New Roman" w:cs="Times New Roman"/>
          <w:sz w:val="24"/>
        </w:rPr>
      </w:pPr>
    </w:p>
    <w:p w:rsidR="000628DB" w:rsidRDefault="006F3E98" w:rsidP="00FD13F7">
      <w:pPr>
        <w:pStyle w:val="ListParagraph"/>
        <w:numPr>
          <w:ilvl w:val="0"/>
          <w:numId w:val="1"/>
        </w:numPr>
        <w:tabs>
          <w:tab w:val="left" w:pos="1890"/>
        </w:tabs>
        <w:spacing w:after="0"/>
        <w:jc w:val="both"/>
        <w:rPr>
          <w:rFonts w:ascii="Times New Roman" w:hAnsi="Times New Roman" w:cs="Times New Roman"/>
          <w:sz w:val="24"/>
        </w:rPr>
      </w:pPr>
      <w:r>
        <w:rPr>
          <w:rFonts w:ascii="Times New Roman" w:hAnsi="Times New Roman" w:cs="Times New Roman"/>
          <w:sz w:val="24"/>
        </w:rPr>
        <w:t>T</w:t>
      </w:r>
      <w:r w:rsidR="000628DB">
        <w:rPr>
          <w:rFonts w:ascii="Times New Roman" w:hAnsi="Times New Roman" w:cs="Times New Roman"/>
          <w:sz w:val="24"/>
        </w:rPr>
        <w:t>he Practice Direction</w:t>
      </w:r>
      <w:r>
        <w:rPr>
          <w:rFonts w:ascii="Times New Roman" w:hAnsi="Times New Roman" w:cs="Times New Roman"/>
          <w:sz w:val="24"/>
        </w:rPr>
        <w:t xml:space="preserve"> temporarily suspended in person hearings and</w:t>
      </w:r>
      <w:r w:rsidR="000628DB">
        <w:rPr>
          <w:rFonts w:ascii="Times New Roman" w:hAnsi="Times New Roman" w:cs="Times New Roman"/>
          <w:sz w:val="24"/>
        </w:rPr>
        <w:t xml:space="preserve"> advised that the following </w:t>
      </w:r>
      <w:r w:rsidR="000628DB" w:rsidRPr="009A74A4">
        <w:rPr>
          <w:rFonts w:ascii="Times New Roman" w:hAnsi="Times New Roman" w:cs="Times New Roman"/>
          <w:sz w:val="24"/>
        </w:rPr>
        <w:t xml:space="preserve">categories of hearings are to be conducted by electronic means ONLY: </w:t>
      </w:r>
    </w:p>
    <w:p w:rsidR="000628DB" w:rsidRDefault="000628DB" w:rsidP="000628DB">
      <w:pPr>
        <w:pStyle w:val="ListParagraph"/>
        <w:tabs>
          <w:tab w:val="left" w:pos="1890"/>
        </w:tabs>
        <w:spacing w:before="240" w:after="0"/>
        <w:jc w:val="both"/>
        <w:rPr>
          <w:rFonts w:ascii="Times New Roman" w:hAnsi="Times New Roman" w:cs="Times New Roman"/>
          <w:sz w:val="24"/>
        </w:rPr>
      </w:pPr>
      <w:r w:rsidRPr="009A74A4">
        <w:rPr>
          <w:rFonts w:ascii="Times New Roman" w:hAnsi="Times New Roman" w:cs="Times New Roman"/>
          <w:sz w:val="24"/>
        </w:rPr>
        <w:t>a.</w:t>
      </w:r>
      <w:r>
        <w:rPr>
          <w:rFonts w:ascii="Times New Roman" w:hAnsi="Times New Roman" w:cs="Times New Roman"/>
          <w:sz w:val="24"/>
        </w:rPr>
        <w:t xml:space="preserve"> </w:t>
      </w:r>
      <w:r w:rsidRPr="009A74A4">
        <w:rPr>
          <w:rFonts w:ascii="Times New Roman" w:hAnsi="Times New Roman" w:cs="Times New Roman"/>
          <w:sz w:val="24"/>
        </w:rPr>
        <w:t xml:space="preserve">Case Management Conferences; </w:t>
      </w:r>
    </w:p>
    <w:p w:rsidR="000628DB" w:rsidRDefault="000628DB" w:rsidP="000628DB">
      <w:pPr>
        <w:pStyle w:val="ListParagraph"/>
        <w:tabs>
          <w:tab w:val="left" w:pos="1890"/>
        </w:tabs>
        <w:spacing w:before="240" w:after="0"/>
        <w:jc w:val="both"/>
        <w:rPr>
          <w:rFonts w:ascii="Times New Roman" w:hAnsi="Times New Roman" w:cs="Times New Roman"/>
          <w:sz w:val="24"/>
        </w:rPr>
      </w:pPr>
      <w:r w:rsidRPr="009A74A4">
        <w:rPr>
          <w:rFonts w:ascii="Times New Roman" w:hAnsi="Times New Roman" w:cs="Times New Roman"/>
          <w:sz w:val="24"/>
        </w:rPr>
        <w:t>b.</w:t>
      </w:r>
      <w:r>
        <w:rPr>
          <w:rFonts w:ascii="Times New Roman" w:hAnsi="Times New Roman" w:cs="Times New Roman"/>
          <w:sz w:val="24"/>
        </w:rPr>
        <w:t xml:space="preserve"> </w:t>
      </w:r>
      <w:r w:rsidRPr="009A74A4">
        <w:rPr>
          <w:rFonts w:ascii="Times New Roman" w:hAnsi="Times New Roman" w:cs="Times New Roman"/>
          <w:sz w:val="24"/>
        </w:rPr>
        <w:t xml:space="preserve">Directions Hearings; </w:t>
      </w:r>
    </w:p>
    <w:p w:rsidR="000628DB" w:rsidRDefault="000628DB" w:rsidP="000628DB">
      <w:pPr>
        <w:pStyle w:val="ListParagraph"/>
        <w:tabs>
          <w:tab w:val="left" w:pos="1890"/>
        </w:tabs>
        <w:spacing w:before="240" w:after="0"/>
        <w:jc w:val="both"/>
        <w:rPr>
          <w:rFonts w:ascii="Times New Roman" w:hAnsi="Times New Roman" w:cs="Times New Roman"/>
          <w:sz w:val="24"/>
        </w:rPr>
      </w:pPr>
      <w:r w:rsidRPr="009A74A4">
        <w:rPr>
          <w:rFonts w:ascii="Times New Roman" w:hAnsi="Times New Roman" w:cs="Times New Roman"/>
          <w:sz w:val="24"/>
        </w:rPr>
        <w:t>c.</w:t>
      </w:r>
      <w:r>
        <w:rPr>
          <w:rFonts w:ascii="Times New Roman" w:hAnsi="Times New Roman" w:cs="Times New Roman"/>
          <w:sz w:val="24"/>
        </w:rPr>
        <w:t xml:space="preserve"> </w:t>
      </w:r>
      <w:r w:rsidRPr="009A74A4">
        <w:rPr>
          <w:rFonts w:ascii="Times New Roman" w:hAnsi="Times New Roman" w:cs="Times New Roman"/>
          <w:sz w:val="24"/>
        </w:rPr>
        <w:t xml:space="preserve">Status Hearings; </w:t>
      </w:r>
    </w:p>
    <w:p w:rsidR="000628DB" w:rsidRDefault="000628DB" w:rsidP="000628DB">
      <w:pPr>
        <w:pStyle w:val="ListParagraph"/>
        <w:tabs>
          <w:tab w:val="left" w:pos="1890"/>
        </w:tabs>
        <w:spacing w:before="240" w:after="0"/>
        <w:jc w:val="both"/>
        <w:rPr>
          <w:rFonts w:ascii="Times New Roman" w:hAnsi="Times New Roman" w:cs="Times New Roman"/>
          <w:sz w:val="24"/>
        </w:rPr>
      </w:pPr>
      <w:r w:rsidRPr="009A74A4">
        <w:rPr>
          <w:rFonts w:ascii="Times New Roman" w:hAnsi="Times New Roman" w:cs="Times New Roman"/>
          <w:sz w:val="24"/>
        </w:rPr>
        <w:t>d.</w:t>
      </w:r>
      <w:r>
        <w:rPr>
          <w:rFonts w:ascii="Times New Roman" w:hAnsi="Times New Roman" w:cs="Times New Roman"/>
          <w:sz w:val="24"/>
        </w:rPr>
        <w:t xml:space="preserve"> </w:t>
      </w:r>
      <w:r w:rsidRPr="009A74A4">
        <w:rPr>
          <w:rFonts w:ascii="Times New Roman" w:hAnsi="Times New Roman" w:cs="Times New Roman"/>
          <w:sz w:val="24"/>
        </w:rPr>
        <w:t xml:space="preserve">Cause List Hearings; </w:t>
      </w:r>
    </w:p>
    <w:p w:rsidR="000628DB" w:rsidRDefault="000628DB" w:rsidP="000628DB">
      <w:pPr>
        <w:pStyle w:val="ListParagraph"/>
        <w:tabs>
          <w:tab w:val="left" w:pos="1890"/>
        </w:tabs>
        <w:spacing w:before="240" w:after="0"/>
        <w:jc w:val="both"/>
        <w:rPr>
          <w:rFonts w:ascii="Times New Roman" w:hAnsi="Times New Roman" w:cs="Times New Roman"/>
          <w:sz w:val="24"/>
        </w:rPr>
      </w:pPr>
      <w:r w:rsidRPr="009A74A4">
        <w:rPr>
          <w:rFonts w:ascii="Times New Roman" w:hAnsi="Times New Roman" w:cs="Times New Roman"/>
          <w:sz w:val="24"/>
        </w:rPr>
        <w:t>e.</w:t>
      </w:r>
      <w:r>
        <w:rPr>
          <w:rFonts w:ascii="Times New Roman" w:hAnsi="Times New Roman" w:cs="Times New Roman"/>
          <w:sz w:val="24"/>
        </w:rPr>
        <w:t xml:space="preserve"> </w:t>
      </w:r>
      <w:r w:rsidRPr="009A74A4">
        <w:rPr>
          <w:rFonts w:ascii="Times New Roman" w:hAnsi="Times New Roman" w:cs="Times New Roman"/>
          <w:sz w:val="24"/>
        </w:rPr>
        <w:t xml:space="preserve">Pre-Trial Reviews; </w:t>
      </w:r>
    </w:p>
    <w:p w:rsidR="000628DB" w:rsidRDefault="000628DB" w:rsidP="000628DB">
      <w:pPr>
        <w:pStyle w:val="ListParagraph"/>
        <w:tabs>
          <w:tab w:val="left" w:pos="1890"/>
        </w:tabs>
        <w:spacing w:before="240" w:after="0"/>
        <w:jc w:val="both"/>
        <w:rPr>
          <w:rFonts w:ascii="Times New Roman" w:hAnsi="Times New Roman" w:cs="Times New Roman"/>
          <w:sz w:val="24"/>
        </w:rPr>
      </w:pPr>
      <w:r w:rsidRPr="009A74A4">
        <w:rPr>
          <w:rFonts w:ascii="Times New Roman" w:hAnsi="Times New Roman" w:cs="Times New Roman"/>
          <w:sz w:val="24"/>
        </w:rPr>
        <w:t>f.</w:t>
      </w:r>
      <w:r>
        <w:rPr>
          <w:rFonts w:ascii="Times New Roman" w:hAnsi="Times New Roman" w:cs="Times New Roman"/>
          <w:sz w:val="24"/>
        </w:rPr>
        <w:t xml:space="preserve"> </w:t>
      </w:r>
      <w:r w:rsidRPr="009A74A4">
        <w:rPr>
          <w:rFonts w:ascii="Times New Roman" w:hAnsi="Times New Roman" w:cs="Times New Roman"/>
          <w:sz w:val="24"/>
        </w:rPr>
        <w:t xml:space="preserve">Initial Hearings; </w:t>
      </w:r>
    </w:p>
    <w:p w:rsidR="000628DB" w:rsidRPr="000628DB" w:rsidRDefault="000628DB" w:rsidP="000628DB">
      <w:pPr>
        <w:pStyle w:val="ListParagraph"/>
        <w:tabs>
          <w:tab w:val="left" w:pos="1890"/>
        </w:tabs>
        <w:spacing w:before="240" w:after="0"/>
        <w:jc w:val="both"/>
        <w:rPr>
          <w:rFonts w:ascii="Times New Roman" w:hAnsi="Times New Roman" w:cs="Times New Roman"/>
          <w:sz w:val="24"/>
        </w:rPr>
      </w:pPr>
      <w:r w:rsidRPr="009A74A4">
        <w:rPr>
          <w:rFonts w:ascii="Times New Roman" w:hAnsi="Times New Roman" w:cs="Times New Roman"/>
          <w:sz w:val="24"/>
        </w:rPr>
        <w:t>g.</w:t>
      </w:r>
      <w:r>
        <w:rPr>
          <w:rFonts w:ascii="Times New Roman" w:hAnsi="Times New Roman" w:cs="Times New Roman"/>
          <w:sz w:val="24"/>
        </w:rPr>
        <w:t xml:space="preserve"> </w:t>
      </w:r>
      <w:r w:rsidRPr="009A74A4">
        <w:rPr>
          <w:rFonts w:ascii="Times New Roman" w:hAnsi="Times New Roman" w:cs="Times New Roman"/>
          <w:sz w:val="24"/>
        </w:rPr>
        <w:t xml:space="preserve">Intake Hearings; </w:t>
      </w:r>
    </w:p>
    <w:p w:rsidR="000628DB" w:rsidRDefault="000628DB" w:rsidP="000628DB">
      <w:pPr>
        <w:pStyle w:val="ListParagraph"/>
        <w:tabs>
          <w:tab w:val="left" w:pos="1890"/>
        </w:tabs>
        <w:spacing w:before="240" w:after="0"/>
        <w:jc w:val="both"/>
        <w:rPr>
          <w:rFonts w:ascii="Times New Roman" w:hAnsi="Times New Roman" w:cs="Times New Roman"/>
          <w:sz w:val="24"/>
        </w:rPr>
      </w:pPr>
      <w:r w:rsidRPr="009A74A4">
        <w:rPr>
          <w:rFonts w:ascii="Times New Roman" w:hAnsi="Times New Roman" w:cs="Times New Roman"/>
          <w:sz w:val="24"/>
        </w:rPr>
        <w:t>h.</w:t>
      </w:r>
      <w:r>
        <w:rPr>
          <w:rFonts w:ascii="Times New Roman" w:hAnsi="Times New Roman" w:cs="Times New Roman"/>
          <w:sz w:val="24"/>
        </w:rPr>
        <w:t xml:space="preserve"> </w:t>
      </w:r>
      <w:r w:rsidRPr="009A74A4">
        <w:rPr>
          <w:rFonts w:ascii="Times New Roman" w:hAnsi="Times New Roman" w:cs="Times New Roman"/>
          <w:sz w:val="24"/>
        </w:rPr>
        <w:t xml:space="preserve">Bail Applications; </w:t>
      </w:r>
    </w:p>
    <w:p w:rsidR="000628DB" w:rsidRDefault="000628DB" w:rsidP="000628DB">
      <w:pPr>
        <w:pStyle w:val="ListParagraph"/>
        <w:tabs>
          <w:tab w:val="left" w:pos="1890"/>
        </w:tabs>
        <w:spacing w:before="240" w:after="0"/>
        <w:jc w:val="both"/>
        <w:rPr>
          <w:rFonts w:ascii="Times New Roman" w:hAnsi="Times New Roman" w:cs="Times New Roman"/>
          <w:sz w:val="24"/>
        </w:rPr>
      </w:pPr>
      <w:r w:rsidRPr="009A74A4">
        <w:rPr>
          <w:rFonts w:ascii="Times New Roman" w:hAnsi="Times New Roman" w:cs="Times New Roman"/>
          <w:sz w:val="24"/>
        </w:rPr>
        <w:t>i.</w:t>
      </w:r>
      <w:r>
        <w:rPr>
          <w:rFonts w:ascii="Times New Roman" w:hAnsi="Times New Roman" w:cs="Times New Roman"/>
          <w:sz w:val="24"/>
        </w:rPr>
        <w:t xml:space="preserve"> Delivery </w:t>
      </w:r>
      <w:r w:rsidRPr="009A74A4">
        <w:rPr>
          <w:rFonts w:ascii="Times New Roman" w:hAnsi="Times New Roman" w:cs="Times New Roman"/>
          <w:sz w:val="24"/>
        </w:rPr>
        <w:t xml:space="preserve">of Judgments; </w:t>
      </w:r>
    </w:p>
    <w:p w:rsidR="000628DB" w:rsidRDefault="000628DB" w:rsidP="000628DB">
      <w:pPr>
        <w:pStyle w:val="ListParagraph"/>
        <w:tabs>
          <w:tab w:val="left" w:pos="1890"/>
        </w:tabs>
        <w:spacing w:before="240" w:after="0"/>
        <w:jc w:val="both"/>
        <w:rPr>
          <w:rFonts w:ascii="Times New Roman" w:hAnsi="Times New Roman" w:cs="Times New Roman"/>
          <w:sz w:val="24"/>
        </w:rPr>
      </w:pPr>
      <w:r w:rsidRPr="009A74A4">
        <w:rPr>
          <w:rFonts w:ascii="Times New Roman" w:hAnsi="Times New Roman" w:cs="Times New Roman"/>
          <w:sz w:val="24"/>
        </w:rPr>
        <w:t>j.</w:t>
      </w:r>
      <w:r>
        <w:rPr>
          <w:rFonts w:ascii="Times New Roman" w:hAnsi="Times New Roman" w:cs="Times New Roman"/>
          <w:sz w:val="24"/>
        </w:rPr>
        <w:t xml:space="preserve"> </w:t>
      </w:r>
      <w:r w:rsidRPr="009A74A4">
        <w:rPr>
          <w:rFonts w:ascii="Times New Roman" w:hAnsi="Times New Roman" w:cs="Times New Roman"/>
          <w:sz w:val="24"/>
        </w:rPr>
        <w:t xml:space="preserve">Applications including applications for detention of cash; and </w:t>
      </w:r>
    </w:p>
    <w:p w:rsidR="000628DB" w:rsidRDefault="000628DB" w:rsidP="000628DB">
      <w:pPr>
        <w:pStyle w:val="ListParagraph"/>
        <w:tabs>
          <w:tab w:val="left" w:pos="1890"/>
        </w:tabs>
        <w:spacing w:before="240" w:after="0"/>
        <w:jc w:val="both"/>
        <w:rPr>
          <w:rFonts w:ascii="Times New Roman" w:hAnsi="Times New Roman" w:cs="Times New Roman"/>
          <w:sz w:val="24"/>
        </w:rPr>
      </w:pPr>
      <w:r w:rsidRPr="009A74A4">
        <w:rPr>
          <w:rFonts w:ascii="Times New Roman" w:hAnsi="Times New Roman" w:cs="Times New Roman"/>
          <w:sz w:val="24"/>
        </w:rPr>
        <w:t>k.</w:t>
      </w:r>
      <w:r>
        <w:rPr>
          <w:rFonts w:ascii="Times New Roman" w:hAnsi="Times New Roman" w:cs="Times New Roman"/>
          <w:sz w:val="24"/>
        </w:rPr>
        <w:t xml:space="preserve"> </w:t>
      </w:r>
      <w:r w:rsidRPr="009A74A4">
        <w:rPr>
          <w:rFonts w:ascii="Times New Roman" w:hAnsi="Times New Roman" w:cs="Times New Roman"/>
          <w:sz w:val="24"/>
        </w:rPr>
        <w:t xml:space="preserve">Any other category of hearing which the assigned Judge or judicial officer deems appropriate for hearing by electronic means having regard to the need to maintain appropriate health and safety requirements and the room capacity standards set by the Judiciary. </w:t>
      </w:r>
    </w:p>
    <w:p w:rsidR="000628DB" w:rsidRDefault="000628DB" w:rsidP="000628DB">
      <w:pPr>
        <w:pStyle w:val="ListParagraph"/>
        <w:tabs>
          <w:tab w:val="left" w:pos="1890"/>
        </w:tabs>
        <w:spacing w:before="240" w:after="0"/>
        <w:jc w:val="both"/>
        <w:rPr>
          <w:rFonts w:ascii="Times New Roman" w:hAnsi="Times New Roman" w:cs="Times New Roman"/>
          <w:sz w:val="24"/>
        </w:rPr>
      </w:pPr>
    </w:p>
    <w:p w:rsidR="001D2F1D" w:rsidRDefault="004523FF" w:rsidP="00FD13F7">
      <w:pPr>
        <w:pStyle w:val="ListParagraph"/>
        <w:numPr>
          <w:ilvl w:val="0"/>
          <w:numId w:val="1"/>
        </w:numPr>
        <w:tabs>
          <w:tab w:val="left" w:pos="1890"/>
        </w:tabs>
        <w:spacing w:after="0"/>
        <w:jc w:val="both"/>
        <w:rPr>
          <w:rFonts w:ascii="Times New Roman" w:hAnsi="Times New Roman" w:cs="Times New Roman"/>
          <w:sz w:val="24"/>
        </w:rPr>
      </w:pPr>
      <w:r>
        <w:rPr>
          <w:rFonts w:ascii="Times New Roman" w:hAnsi="Times New Roman" w:cs="Times New Roman"/>
          <w:sz w:val="24"/>
        </w:rPr>
        <w:t>In person hearing of the</w:t>
      </w:r>
      <w:r w:rsidR="001D2F1D">
        <w:rPr>
          <w:rFonts w:ascii="Times New Roman" w:hAnsi="Times New Roman" w:cs="Times New Roman"/>
          <w:sz w:val="24"/>
        </w:rPr>
        <w:t xml:space="preserve"> following categories of c</w:t>
      </w:r>
      <w:r w:rsidR="000628DB" w:rsidRPr="009A74A4">
        <w:rPr>
          <w:rFonts w:ascii="Times New Roman" w:hAnsi="Times New Roman" w:cs="Times New Roman"/>
          <w:sz w:val="24"/>
        </w:rPr>
        <w:t xml:space="preserve">ases </w:t>
      </w:r>
      <w:r>
        <w:rPr>
          <w:rFonts w:ascii="Times New Roman" w:hAnsi="Times New Roman" w:cs="Times New Roman"/>
          <w:sz w:val="24"/>
        </w:rPr>
        <w:t xml:space="preserve">were allowed in the </w:t>
      </w:r>
      <w:r w:rsidR="000628DB" w:rsidRPr="009A74A4">
        <w:rPr>
          <w:rFonts w:ascii="Times New Roman" w:hAnsi="Times New Roman" w:cs="Times New Roman"/>
          <w:sz w:val="24"/>
        </w:rPr>
        <w:t>interest of justice</w:t>
      </w:r>
      <w:r w:rsidR="001D2F1D">
        <w:rPr>
          <w:rFonts w:ascii="Times New Roman" w:hAnsi="Times New Roman" w:cs="Times New Roman"/>
          <w:sz w:val="24"/>
        </w:rPr>
        <w:t>:</w:t>
      </w:r>
    </w:p>
    <w:p w:rsidR="000628DB" w:rsidRDefault="000628DB" w:rsidP="001D2F1D">
      <w:pPr>
        <w:pStyle w:val="ListParagraph"/>
        <w:tabs>
          <w:tab w:val="left" w:pos="1890"/>
        </w:tabs>
        <w:spacing w:after="0"/>
        <w:jc w:val="both"/>
        <w:rPr>
          <w:rFonts w:ascii="Times New Roman" w:hAnsi="Times New Roman" w:cs="Times New Roman"/>
          <w:sz w:val="24"/>
        </w:rPr>
      </w:pPr>
      <w:r w:rsidRPr="009A74A4">
        <w:rPr>
          <w:rFonts w:ascii="Times New Roman" w:hAnsi="Times New Roman" w:cs="Times New Roman"/>
          <w:sz w:val="24"/>
        </w:rPr>
        <w:t>a.</w:t>
      </w:r>
      <w:r>
        <w:rPr>
          <w:rFonts w:ascii="Times New Roman" w:hAnsi="Times New Roman" w:cs="Times New Roman"/>
          <w:sz w:val="24"/>
        </w:rPr>
        <w:t xml:space="preserve"> </w:t>
      </w:r>
      <w:r w:rsidRPr="009A74A4">
        <w:rPr>
          <w:rFonts w:ascii="Times New Roman" w:hAnsi="Times New Roman" w:cs="Times New Roman"/>
          <w:sz w:val="24"/>
        </w:rPr>
        <w:t xml:space="preserve">Domestic violence matters; </w:t>
      </w:r>
    </w:p>
    <w:p w:rsidR="000628DB" w:rsidRDefault="000628DB" w:rsidP="000628DB">
      <w:pPr>
        <w:pStyle w:val="ListParagraph"/>
        <w:tabs>
          <w:tab w:val="left" w:pos="1890"/>
        </w:tabs>
        <w:spacing w:before="240" w:after="0"/>
        <w:jc w:val="both"/>
        <w:rPr>
          <w:rFonts w:ascii="Times New Roman" w:hAnsi="Times New Roman" w:cs="Times New Roman"/>
          <w:sz w:val="24"/>
        </w:rPr>
      </w:pPr>
      <w:r w:rsidRPr="009A74A4">
        <w:rPr>
          <w:rFonts w:ascii="Times New Roman" w:hAnsi="Times New Roman" w:cs="Times New Roman"/>
          <w:sz w:val="24"/>
        </w:rPr>
        <w:lastRenderedPageBreak/>
        <w:t>b.</w:t>
      </w:r>
      <w:r>
        <w:rPr>
          <w:rFonts w:ascii="Times New Roman" w:hAnsi="Times New Roman" w:cs="Times New Roman"/>
          <w:sz w:val="24"/>
        </w:rPr>
        <w:t xml:space="preserve"> </w:t>
      </w:r>
      <w:r w:rsidRPr="009A74A4">
        <w:rPr>
          <w:rFonts w:ascii="Times New Roman" w:hAnsi="Times New Roman" w:cs="Times New Roman"/>
          <w:sz w:val="24"/>
        </w:rPr>
        <w:t xml:space="preserve">Family matters; </w:t>
      </w:r>
    </w:p>
    <w:p w:rsidR="000628DB" w:rsidRDefault="000628DB" w:rsidP="000628DB">
      <w:pPr>
        <w:pStyle w:val="ListParagraph"/>
        <w:tabs>
          <w:tab w:val="left" w:pos="1890"/>
        </w:tabs>
        <w:spacing w:before="240" w:after="0"/>
        <w:jc w:val="both"/>
        <w:rPr>
          <w:rFonts w:ascii="Times New Roman" w:hAnsi="Times New Roman" w:cs="Times New Roman"/>
          <w:sz w:val="24"/>
        </w:rPr>
      </w:pPr>
      <w:r w:rsidRPr="009A74A4">
        <w:rPr>
          <w:rFonts w:ascii="Times New Roman" w:hAnsi="Times New Roman" w:cs="Times New Roman"/>
          <w:sz w:val="24"/>
        </w:rPr>
        <w:t>c.</w:t>
      </w:r>
      <w:r>
        <w:rPr>
          <w:rFonts w:ascii="Times New Roman" w:hAnsi="Times New Roman" w:cs="Times New Roman"/>
          <w:sz w:val="24"/>
        </w:rPr>
        <w:t xml:space="preserve"> </w:t>
      </w:r>
      <w:r w:rsidRPr="009A74A4">
        <w:rPr>
          <w:rFonts w:ascii="Times New Roman" w:hAnsi="Times New Roman" w:cs="Times New Roman"/>
          <w:sz w:val="24"/>
        </w:rPr>
        <w:t xml:space="preserve">Petty Civil matters; and </w:t>
      </w:r>
    </w:p>
    <w:p w:rsidR="000628DB" w:rsidRDefault="000628DB" w:rsidP="00882B2C">
      <w:pPr>
        <w:pStyle w:val="ListParagraph"/>
        <w:tabs>
          <w:tab w:val="left" w:pos="1890"/>
        </w:tabs>
        <w:spacing w:before="240" w:after="0"/>
        <w:jc w:val="both"/>
        <w:rPr>
          <w:rFonts w:ascii="Times New Roman" w:hAnsi="Times New Roman" w:cs="Times New Roman"/>
          <w:sz w:val="24"/>
        </w:rPr>
      </w:pPr>
      <w:r w:rsidRPr="009A74A4">
        <w:rPr>
          <w:rFonts w:ascii="Times New Roman" w:hAnsi="Times New Roman" w:cs="Times New Roman"/>
          <w:sz w:val="24"/>
        </w:rPr>
        <w:t>d.</w:t>
      </w:r>
      <w:r>
        <w:rPr>
          <w:rFonts w:ascii="Times New Roman" w:hAnsi="Times New Roman" w:cs="Times New Roman"/>
          <w:sz w:val="24"/>
        </w:rPr>
        <w:t xml:space="preserve"> </w:t>
      </w:r>
      <w:r w:rsidRPr="009A74A4">
        <w:rPr>
          <w:rFonts w:ascii="Times New Roman" w:hAnsi="Times New Roman" w:cs="Times New Roman"/>
          <w:sz w:val="24"/>
        </w:rPr>
        <w:t>Urgent applications.</w:t>
      </w:r>
    </w:p>
    <w:p w:rsidR="00882B2C" w:rsidRPr="000628DB" w:rsidRDefault="00882B2C" w:rsidP="00882B2C">
      <w:pPr>
        <w:pStyle w:val="ListParagraph"/>
        <w:tabs>
          <w:tab w:val="left" w:pos="1890"/>
        </w:tabs>
        <w:spacing w:before="240" w:after="0"/>
        <w:jc w:val="both"/>
        <w:rPr>
          <w:rFonts w:ascii="Times New Roman" w:hAnsi="Times New Roman" w:cs="Times New Roman"/>
          <w:sz w:val="24"/>
        </w:rPr>
      </w:pPr>
    </w:p>
    <w:p w:rsidR="000628DB" w:rsidRDefault="000628DB" w:rsidP="00FD13F7">
      <w:pPr>
        <w:pStyle w:val="ListParagraph"/>
        <w:numPr>
          <w:ilvl w:val="0"/>
          <w:numId w:val="1"/>
        </w:numPr>
        <w:tabs>
          <w:tab w:val="left" w:pos="1890"/>
        </w:tabs>
        <w:spacing w:after="0"/>
        <w:jc w:val="both"/>
        <w:rPr>
          <w:rFonts w:ascii="Times New Roman" w:hAnsi="Times New Roman" w:cs="Times New Roman"/>
          <w:sz w:val="24"/>
        </w:rPr>
      </w:pPr>
      <w:r w:rsidRPr="0043524D">
        <w:rPr>
          <w:rFonts w:ascii="Times New Roman" w:hAnsi="Times New Roman" w:cs="Times New Roman"/>
          <w:sz w:val="24"/>
        </w:rPr>
        <w:t>The judiciary was responsible for setting up a domestic violence court hotline for applications for protection orders to ensure that protections were afforded in cases of domestic violence and protection orders were accessible.</w:t>
      </w:r>
    </w:p>
    <w:p w:rsidR="000628DB" w:rsidRDefault="000628DB" w:rsidP="000628DB">
      <w:pPr>
        <w:pStyle w:val="ListParagraph"/>
        <w:spacing w:before="240" w:after="0"/>
        <w:jc w:val="both"/>
        <w:rPr>
          <w:rFonts w:ascii="Times New Roman" w:hAnsi="Times New Roman" w:cs="Times New Roman"/>
          <w:sz w:val="24"/>
        </w:rPr>
      </w:pPr>
    </w:p>
    <w:p w:rsidR="000628DB" w:rsidRDefault="000628DB" w:rsidP="00FD13F7">
      <w:pPr>
        <w:pStyle w:val="ListParagraph"/>
        <w:numPr>
          <w:ilvl w:val="0"/>
          <w:numId w:val="1"/>
        </w:numPr>
        <w:tabs>
          <w:tab w:val="left" w:pos="1890"/>
        </w:tabs>
        <w:spacing w:after="0"/>
        <w:jc w:val="both"/>
        <w:rPr>
          <w:rFonts w:ascii="Times New Roman" w:hAnsi="Times New Roman" w:cs="Times New Roman"/>
          <w:sz w:val="24"/>
        </w:rPr>
      </w:pPr>
      <w:r>
        <w:rPr>
          <w:rFonts w:ascii="Times New Roman" w:hAnsi="Times New Roman" w:cs="Times New Roman"/>
          <w:sz w:val="24"/>
        </w:rPr>
        <w:t>Notably, the innovative efforts of the Trinidad and Tobago judiciary were recognized internationally.  In a p</w:t>
      </w:r>
      <w:r w:rsidRPr="0043524D">
        <w:rPr>
          <w:rFonts w:ascii="Times New Roman" w:hAnsi="Times New Roman" w:cs="Times New Roman"/>
          <w:sz w:val="24"/>
        </w:rPr>
        <w:t>ublication by U</w:t>
      </w:r>
      <w:r w:rsidR="00142DEC">
        <w:rPr>
          <w:rFonts w:ascii="Times New Roman" w:hAnsi="Times New Roman" w:cs="Times New Roman"/>
          <w:sz w:val="24"/>
        </w:rPr>
        <w:t>N</w:t>
      </w:r>
      <w:r w:rsidRPr="0043524D">
        <w:rPr>
          <w:rFonts w:ascii="Times New Roman" w:hAnsi="Times New Roman" w:cs="Times New Roman"/>
          <w:sz w:val="24"/>
        </w:rPr>
        <w:t xml:space="preserve"> Women “Justice for W</w:t>
      </w:r>
      <w:r>
        <w:rPr>
          <w:rFonts w:ascii="Times New Roman" w:hAnsi="Times New Roman" w:cs="Times New Roman"/>
          <w:sz w:val="24"/>
        </w:rPr>
        <w:t>omen Amidst Covid-</w:t>
      </w:r>
      <w:smartTag w:uri="urn:schemas-microsoft-com:office:smarttags" w:element="metricconverter">
        <w:smartTagPr>
          <w:attr w:name="ProductID" w:val="19”"/>
        </w:smartTagPr>
        <w:r>
          <w:rPr>
            <w:rFonts w:ascii="Times New Roman" w:hAnsi="Times New Roman" w:cs="Times New Roman"/>
            <w:sz w:val="24"/>
          </w:rPr>
          <w:t>19”</w:t>
        </w:r>
      </w:smartTag>
      <w:r>
        <w:rPr>
          <w:rFonts w:ascii="Times New Roman" w:hAnsi="Times New Roman" w:cs="Times New Roman"/>
          <w:sz w:val="24"/>
        </w:rPr>
        <w:t xml:space="preserve"> which aimed to examine</w:t>
      </w:r>
      <w:r w:rsidRPr="0043524D">
        <w:rPr>
          <w:rFonts w:ascii="Times New Roman" w:hAnsi="Times New Roman" w:cs="Times New Roman"/>
          <w:sz w:val="24"/>
        </w:rPr>
        <w:t xml:space="preserve"> how the impacts of COVID-19 are threatening women’s ability to access justice, </w:t>
      </w:r>
      <w:r>
        <w:rPr>
          <w:rFonts w:ascii="Times New Roman" w:hAnsi="Times New Roman" w:cs="Times New Roman"/>
          <w:sz w:val="24"/>
        </w:rPr>
        <w:t xml:space="preserve">it was noted </w:t>
      </w:r>
      <w:r w:rsidRPr="0043524D">
        <w:rPr>
          <w:rFonts w:ascii="Times New Roman" w:hAnsi="Times New Roman" w:cs="Times New Roman"/>
          <w:sz w:val="24"/>
        </w:rPr>
        <w:t xml:space="preserve">that </w:t>
      </w:r>
      <w:r>
        <w:rPr>
          <w:rFonts w:ascii="Times New Roman" w:hAnsi="Times New Roman" w:cs="Times New Roman"/>
          <w:sz w:val="24"/>
        </w:rPr>
        <w:t>“</w:t>
      </w:r>
      <w:r w:rsidRPr="0043524D">
        <w:rPr>
          <w:rFonts w:ascii="Times New Roman" w:hAnsi="Times New Roman" w:cs="Times New Roman"/>
          <w:sz w:val="24"/>
        </w:rPr>
        <w:t>in Trinidad and Tobago, while there are general court closures, innovative approaches have been adopted to bring emergency justice services closer to the people. Women judges and court staff are working from home, using their computers and mobile phones as channels for conducting court proceedings.</w:t>
      </w:r>
      <w:r>
        <w:rPr>
          <w:rFonts w:ascii="Times New Roman" w:hAnsi="Times New Roman" w:cs="Times New Roman"/>
          <w:sz w:val="24"/>
        </w:rPr>
        <w:t xml:space="preserve">” </w:t>
      </w:r>
    </w:p>
    <w:p w:rsidR="000628DB" w:rsidRDefault="000628DB" w:rsidP="00C01998">
      <w:pPr>
        <w:jc w:val="both"/>
        <w:rPr>
          <w:rFonts w:ascii="Times New Roman" w:hAnsi="Times New Roman" w:cs="Times New Roman"/>
          <w:sz w:val="24"/>
        </w:rPr>
      </w:pPr>
    </w:p>
    <w:p w:rsidR="006E2060" w:rsidRDefault="006E2060" w:rsidP="00C01998">
      <w:pPr>
        <w:jc w:val="both"/>
        <w:rPr>
          <w:rFonts w:ascii="Times New Roman" w:hAnsi="Times New Roman" w:cs="Times New Roman"/>
          <w:sz w:val="24"/>
        </w:rPr>
      </w:pPr>
    </w:p>
    <w:p w:rsidR="006E2060" w:rsidRDefault="006E2060" w:rsidP="00C01998">
      <w:pPr>
        <w:jc w:val="both"/>
        <w:rPr>
          <w:rFonts w:ascii="Times New Roman" w:hAnsi="Times New Roman" w:cs="Times New Roman"/>
          <w:sz w:val="24"/>
        </w:rPr>
      </w:pPr>
    </w:p>
    <w:sectPr w:rsidR="006E2060">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418" w:rsidRDefault="004D3418" w:rsidP="00A04FC9">
      <w:pPr>
        <w:spacing w:after="0" w:line="240" w:lineRule="auto"/>
      </w:pPr>
      <w:r>
        <w:separator/>
      </w:r>
    </w:p>
  </w:endnote>
  <w:endnote w:type="continuationSeparator" w:id="0">
    <w:p w:rsidR="004D3418" w:rsidRDefault="004D3418" w:rsidP="00A04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3408949"/>
      <w:docPartObj>
        <w:docPartGallery w:val="Page Numbers (Bottom of Page)"/>
        <w:docPartUnique/>
      </w:docPartObj>
    </w:sdtPr>
    <w:sdtEndPr>
      <w:rPr>
        <w:noProof/>
      </w:rPr>
    </w:sdtEndPr>
    <w:sdtContent>
      <w:p w:rsidR="00A04FC9" w:rsidRDefault="00A04FC9">
        <w:pPr>
          <w:pStyle w:val="Footer"/>
          <w:jc w:val="center"/>
        </w:pPr>
        <w:r>
          <w:fldChar w:fldCharType="begin"/>
        </w:r>
        <w:r>
          <w:instrText xml:space="preserve"> PAGE   \* MERGEFORMAT </w:instrText>
        </w:r>
        <w:r>
          <w:fldChar w:fldCharType="separate"/>
        </w:r>
        <w:r w:rsidR="00FC1701">
          <w:rPr>
            <w:noProof/>
          </w:rPr>
          <w:t>1</w:t>
        </w:r>
        <w:r>
          <w:rPr>
            <w:noProof/>
          </w:rPr>
          <w:fldChar w:fldCharType="end"/>
        </w:r>
      </w:p>
    </w:sdtContent>
  </w:sdt>
  <w:p w:rsidR="00A04FC9" w:rsidRDefault="00A04F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418" w:rsidRDefault="004D3418" w:rsidP="00A04FC9">
      <w:pPr>
        <w:spacing w:after="0" w:line="240" w:lineRule="auto"/>
      </w:pPr>
      <w:r>
        <w:separator/>
      </w:r>
    </w:p>
  </w:footnote>
  <w:footnote w:type="continuationSeparator" w:id="0">
    <w:p w:rsidR="004D3418" w:rsidRDefault="004D3418" w:rsidP="00A04F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04A73"/>
    <w:multiLevelType w:val="hybridMultilevel"/>
    <w:tmpl w:val="B5948C3C"/>
    <w:lvl w:ilvl="0" w:tplc="0606697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120EB7"/>
    <w:multiLevelType w:val="hybridMultilevel"/>
    <w:tmpl w:val="E028DE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030ED3"/>
    <w:multiLevelType w:val="hybridMultilevel"/>
    <w:tmpl w:val="BCBC074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D9342AA"/>
    <w:multiLevelType w:val="hybridMultilevel"/>
    <w:tmpl w:val="8496D8E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4" w15:restartNumberingAfterBreak="0">
    <w:nsid w:val="20127CEA"/>
    <w:multiLevelType w:val="hybridMultilevel"/>
    <w:tmpl w:val="B69283A2"/>
    <w:lvl w:ilvl="0" w:tplc="8828D9E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832141"/>
    <w:multiLevelType w:val="hybridMultilevel"/>
    <w:tmpl w:val="DB0CFDD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6BC39F9"/>
    <w:multiLevelType w:val="hybridMultilevel"/>
    <w:tmpl w:val="6A1E6362"/>
    <w:lvl w:ilvl="0" w:tplc="EE92E1D0">
      <w:start w:val="26"/>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E6A5E02"/>
    <w:multiLevelType w:val="hybridMultilevel"/>
    <w:tmpl w:val="8A685F4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335466ED"/>
    <w:multiLevelType w:val="hybridMultilevel"/>
    <w:tmpl w:val="D952B62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3AE650C7"/>
    <w:multiLevelType w:val="hybridMultilevel"/>
    <w:tmpl w:val="303E1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7060F3"/>
    <w:multiLevelType w:val="hybridMultilevel"/>
    <w:tmpl w:val="47063088"/>
    <w:lvl w:ilvl="0" w:tplc="06066974">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A9C14B1"/>
    <w:multiLevelType w:val="hybridMultilevel"/>
    <w:tmpl w:val="111EF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7B34CF"/>
    <w:multiLevelType w:val="hybridMultilevel"/>
    <w:tmpl w:val="30EAE0E4"/>
    <w:lvl w:ilvl="0" w:tplc="E4505738">
      <w:start w:val="19"/>
      <w:numFmt w:val="decimal"/>
      <w:lvlText w:val="%1."/>
      <w:lvlJc w:val="lef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7B7419"/>
    <w:multiLevelType w:val="hybridMultilevel"/>
    <w:tmpl w:val="8B2C8738"/>
    <w:lvl w:ilvl="0" w:tplc="BD108F1C">
      <w:start w:val="1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14B7CC4"/>
    <w:multiLevelType w:val="hybridMultilevel"/>
    <w:tmpl w:val="469E9262"/>
    <w:lvl w:ilvl="0" w:tplc="0409001B">
      <w:start w:val="1"/>
      <w:numFmt w:val="lowerRoman"/>
      <w:lvlText w:val="%1."/>
      <w:lvlJc w:val="right"/>
      <w:pPr>
        <w:ind w:left="927" w:hanging="360"/>
      </w:p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518A5264"/>
    <w:multiLevelType w:val="hybridMultilevel"/>
    <w:tmpl w:val="FB98BFC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51FF7C08"/>
    <w:multiLevelType w:val="hybridMultilevel"/>
    <w:tmpl w:val="82FC9BE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5400470E"/>
    <w:multiLevelType w:val="hybridMultilevel"/>
    <w:tmpl w:val="696E40CA"/>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8" w15:restartNumberingAfterBreak="0">
    <w:nsid w:val="5EAE0EEC"/>
    <w:multiLevelType w:val="hybridMultilevel"/>
    <w:tmpl w:val="A336BA74"/>
    <w:lvl w:ilvl="0" w:tplc="50FE813A">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934399"/>
    <w:multiLevelType w:val="hybridMultilevel"/>
    <w:tmpl w:val="F6E0971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600B53D6"/>
    <w:multiLevelType w:val="hybridMultilevel"/>
    <w:tmpl w:val="3466A89A"/>
    <w:lvl w:ilvl="0" w:tplc="6BC027CE">
      <w:start w:val="1"/>
      <w:numFmt w:val="decimal"/>
      <w:lvlText w:val="%1."/>
      <w:lvlJc w:val="left"/>
      <w:pPr>
        <w:ind w:left="720" w:hanging="360"/>
      </w:pPr>
      <w:rPr>
        <w:b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405A07"/>
    <w:multiLevelType w:val="hybridMultilevel"/>
    <w:tmpl w:val="963E50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A73F46"/>
    <w:multiLevelType w:val="hybridMultilevel"/>
    <w:tmpl w:val="5558A8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9EC24F8"/>
    <w:multiLevelType w:val="hybridMultilevel"/>
    <w:tmpl w:val="467A4D8E"/>
    <w:lvl w:ilvl="0" w:tplc="C060984A">
      <w:start w:val="1"/>
      <w:numFmt w:val="lowerRoman"/>
      <w:lvlText w:val="%1."/>
      <w:lvlJc w:val="right"/>
      <w:pPr>
        <w:ind w:left="1440" w:hanging="360"/>
      </w:pPr>
      <w:rPr>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0"/>
  </w:num>
  <w:num w:numId="2">
    <w:abstractNumId w:val="19"/>
  </w:num>
  <w:num w:numId="3">
    <w:abstractNumId w:val="7"/>
  </w:num>
  <w:num w:numId="4">
    <w:abstractNumId w:val="5"/>
  </w:num>
  <w:num w:numId="5">
    <w:abstractNumId w:val="21"/>
  </w:num>
  <w:num w:numId="6">
    <w:abstractNumId w:val="23"/>
  </w:num>
  <w:num w:numId="7">
    <w:abstractNumId w:val="14"/>
  </w:num>
  <w:num w:numId="8">
    <w:abstractNumId w:val="1"/>
  </w:num>
  <w:num w:numId="9">
    <w:abstractNumId w:val="4"/>
  </w:num>
  <w:num w:numId="10">
    <w:abstractNumId w:val="18"/>
  </w:num>
  <w:num w:numId="11">
    <w:abstractNumId w:val="20"/>
  </w:num>
  <w:num w:numId="12">
    <w:abstractNumId w:val="15"/>
  </w:num>
  <w:num w:numId="13">
    <w:abstractNumId w:val="22"/>
  </w:num>
  <w:num w:numId="14">
    <w:abstractNumId w:val="2"/>
  </w:num>
  <w:num w:numId="15">
    <w:abstractNumId w:val="3"/>
  </w:num>
  <w:num w:numId="16">
    <w:abstractNumId w:val="17"/>
  </w:num>
  <w:num w:numId="17">
    <w:abstractNumId w:val="0"/>
  </w:num>
  <w:num w:numId="18">
    <w:abstractNumId w:val="13"/>
  </w:num>
  <w:num w:numId="19">
    <w:abstractNumId w:val="12"/>
  </w:num>
  <w:num w:numId="20">
    <w:abstractNumId w:val="11"/>
  </w:num>
  <w:num w:numId="21">
    <w:abstractNumId w:val="9"/>
  </w:num>
  <w:num w:numId="22">
    <w:abstractNumId w:val="8"/>
  </w:num>
  <w:num w:numId="23">
    <w:abstractNumId w:val="16"/>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8DB"/>
    <w:rsid w:val="000505EE"/>
    <w:rsid w:val="00062551"/>
    <w:rsid w:val="000628DB"/>
    <w:rsid w:val="00067A92"/>
    <w:rsid w:val="00142DEC"/>
    <w:rsid w:val="0014429E"/>
    <w:rsid w:val="001B6CC4"/>
    <w:rsid w:val="001C3769"/>
    <w:rsid w:val="001C3EEC"/>
    <w:rsid w:val="001D2F1D"/>
    <w:rsid w:val="001E363D"/>
    <w:rsid w:val="002031DB"/>
    <w:rsid w:val="002F141E"/>
    <w:rsid w:val="00375393"/>
    <w:rsid w:val="003943D4"/>
    <w:rsid w:val="003C26A9"/>
    <w:rsid w:val="004523FF"/>
    <w:rsid w:val="00462AED"/>
    <w:rsid w:val="00487A0E"/>
    <w:rsid w:val="004D3418"/>
    <w:rsid w:val="0050297C"/>
    <w:rsid w:val="00510A90"/>
    <w:rsid w:val="00613893"/>
    <w:rsid w:val="00697596"/>
    <w:rsid w:val="006E2060"/>
    <w:rsid w:val="006F3E98"/>
    <w:rsid w:val="007A51D0"/>
    <w:rsid w:val="007D1CC5"/>
    <w:rsid w:val="007F5A82"/>
    <w:rsid w:val="00882B2C"/>
    <w:rsid w:val="00882ECA"/>
    <w:rsid w:val="008E7F76"/>
    <w:rsid w:val="0095660D"/>
    <w:rsid w:val="009826CA"/>
    <w:rsid w:val="009971CB"/>
    <w:rsid w:val="00A04FC9"/>
    <w:rsid w:val="00AB79F2"/>
    <w:rsid w:val="00B07E58"/>
    <w:rsid w:val="00B205E6"/>
    <w:rsid w:val="00B6593B"/>
    <w:rsid w:val="00C01998"/>
    <w:rsid w:val="00C27405"/>
    <w:rsid w:val="00D00FD5"/>
    <w:rsid w:val="00DF3352"/>
    <w:rsid w:val="00E26E50"/>
    <w:rsid w:val="00E37347"/>
    <w:rsid w:val="00E47D14"/>
    <w:rsid w:val="00EA19C4"/>
    <w:rsid w:val="00F0374B"/>
    <w:rsid w:val="00F6195D"/>
    <w:rsid w:val="00FC1701"/>
    <w:rsid w:val="00FD13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8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28DB"/>
    <w:pPr>
      <w:ind w:left="720"/>
      <w:contextualSpacing/>
    </w:pPr>
  </w:style>
  <w:style w:type="paragraph" w:styleId="Header">
    <w:name w:val="header"/>
    <w:basedOn w:val="Normal"/>
    <w:link w:val="HeaderChar"/>
    <w:uiPriority w:val="99"/>
    <w:unhideWhenUsed/>
    <w:rsid w:val="00A04F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4FC9"/>
  </w:style>
  <w:style w:type="paragraph" w:styleId="Footer">
    <w:name w:val="footer"/>
    <w:basedOn w:val="Normal"/>
    <w:link w:val="FooterChar"/>
    <w:uiPriority w:val="99"/>
    <w:unhideWhenUsed/>
    <w:rsid w:val="00A04F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4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6121809-AB5D-4828-9158-431A28E23F50}">
  <ds:schemaRefs>
    <ds:schemaRef ds:uri="http://schemas.openxmlformats.org/officeDocument/2006/bibliography"/>
  </ds:schemaRefs>
</ds:datastoreItem>
</file>

<file path=customXml/itemProps2.xml><?xml version="1.0" encoding="utf-8"?>
<ds:datastoreItem xmlns:ds="http://schemas.openxmlformats.org/officeDocument/2006/customXml" ds:itemID="{6E1C9F38-61C3-4B4A-B656-AB42FF3971AA}"/>
</file>

<file path=customXml/itemProps3.xml><?xml version="1.0" encoding="utf-8"?>
<ds:datastoreItem xmlns:ds="http://schemas.openxmlformats.org/officeDocument/2006/customXml" ds:itemID="{5A4C3C9E-64A3-4D1D-8B75-157D3AD80B4A}"/>
</file>

<file path=customXml/itemProps4.xml><?xml version="1.0" encoding="utf-8"?>
<ds:datastoreItem xmlns:ds="http://schemas.openxmlformats.org/officeDocument/2006/customXml" ds:itemID="{80A9AA28-D3FD-4114-A5C0-844AEA840476}"/>
</file>

<file path=docProps/app.xml><?xml version="1.0" encoding="utf-8"?>
<Properties xmlns="http://schemas.openxmlformats.org/officeDocument/2006/extended-properties" xmlns:vt="http://schemas.openxmlformats.org/officeDocument/2006/docPropsVTypes">
  <Template>Normal.dotm</Template>
  <TotalTime>0</TotalTime>
  <Pages>3</Pages>
  <Words>842</Words>
  <Characters>4802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2021-01-15T11:03:00Z</dcterms:created>
  <dcterms:modified xsi:type="dcterms:W3CDTF">2021-01-15T11:03:00Z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