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33A" w:rsidRPr="00E86416" w:rsidRDefault="00471A8D" w:rsidP="00E86416">
      <w:pPr>
        <w:spacing w:after="0" w:line="240" w:lineRule="auto"/>
        <w:jc w:val="center"/>
        <w:rPr>
          <w:rFonts w:ascii="Arial Negrita" w:hAnsi="Arial Negrita" w:cs="Arial"/>
          <w:b/>
          <w:bCs/>
          <w:sz w:val="26"/>
          <w:szCs w:val="26"/>
        </w:rPr>
      </w:pPr>
      <w:r w:rsidRPr="00E86416">
        <w:rPr>
          <w:rFonts w:ascii="Arial Negrita" w:hAnsi="Arial Negrita" w:cs="Arial"/>
          <w:b/>
          <w:bCs/>
          <w:sz w:val="26"/>
          <w:szCs w:val="26"/>
        </w:rPr>
        <w:t xml:space="preserve">Aportación de la Comisión Nacional de los Derechos Humanos de México (CNDH) </w:t>
      </w:r>
      <w:r w:rsidR="00E86416">
        <w:rPr>
          <w:rFonts w:ascii="Arial Negrita" w:hAnsi="Arial Negrita" w:cs="Arial"/>
          <w:b/>
          <w:bCs/>
          <w:sz w:val="26"/>
          <w:szCs w:val="26"/>
        </w:rPr>
        <w:t xml:space="preserve">para </w:t>
      </w:r>
      <w:r w:rsidRPr="00E86416">
        <w:rPr>
          <w:rFonts w:ascii="Arial Negrita" w:hAnsi="Arial Negrita" w:cs="Arial"/>
          <w:b/>
          <w:bCs/>
          <w:sz w:val="26"/>
          <w:szCs w:val="26"/>
        </w:rPr>
        <w:t>la Elaboración del Informe sobre la Discriminación, la S</w:t>
      </w:r>
      <w:r w:rsidR="00AF733A" w:rsidRPr="00E86416">
        <w:rPr>
          <w:rFonts w:ascii="Arial Negrita" w:hAnsi="Arial Negrita" w:cs="Arial"/>
          <w:b/>
          <w:bCs/>
          <w:sz w:val="26"/>
          <w:szCs w:val="26"/>
        </w:rPr>
        <w:t xml:space="preserve">egregación y </w:t>
      </w:r>
      <w:r w:rsidR="00E86416">
        <w:rPr>
          <w:rFonts w:ascii="Arial Negrita" w:hAnsi="Arial Negrita" w:cs="Arial"/>
          <w:b/>
          <w:bCs/>
          <w:sz w:val="26"/>
          <w:szCs w:val="26"/>
        </w:rPr>
        <w:t xml:space="preserve"> </w:t>
      </w:r>
      <w:r w:rsidRPr="00E86416">
        <w:rPr>
          <w:rFonts w:ascii="Arial Negrita" w:hAnsi="Arial Negrita" w:cs="Arial"/>
          <w:b/>
          <w:bCs/>
          <w:sz w:val="26"/>
          <w:szCs w:val="26"/>
        </w:rPr>
        <w:t>el Derecho a una Vivienda A</w:t>
      </w:r>
      <w:r w:rsidR="00AF733A" w:rsidRPr="00E86416">
        <w:rPr>
          <w:rFonts w:ascii="Arial Negrita" w:hAnsi="Arial Negrita" w:cs="Arial"/>
          <w:b/>
          <w:bCs/>
          <w:sz w:val="26"/>
          <w:szCs w:val="26"/>
        </w:rPr>
        <w:t>decuada</w:t>
      </w:r>
      <w:r w:rsidR="00E86416">
        <w:rPr>
          <w:rFonts w:ascii="Arial Negrita" w:hAnsi="Arial Negrita" w:cs="Arial"/>
          <w:b/>
          <w:bCs/>
          <w:sz w:val="26"/>
          <w:szCs w:val="26"/>
        </w:rPr>
        <w:t>, del Relator Especial de la ONU sobre el Derecho a una Vivienda Adecuada.</w:t>
      </w:r>
    </w:p>
    <w:p w:rsidR="00471A8D" w:rsidRDefault="00471A8D" w:rsidP="00A276D1">
      <w:pPr>
        <w:spacing w:after="0" w:line="240" w:lineRule="auto"/>
        <w:rPr>
          <w:rFonts w:cs="Arial"/>
          <w:b/>
          <w:smallCaps/>
          <w:szCs w:val="24"/>
          <w:u w:val="single"/>
          <w:lang w:val="es-ES"/>
        </w:rPr>
      </w:pPr>
    </w:p>
    <w:p w:rsidR="00471A8D" w:rsidRPr="00E86416" w:rsidRDefault="00471A8D" w:rsidP="00A276D1">
      <w:pPr>
        <w:spacing w:after="0" w:line="240" w:lineRule="auto"/>
        <w:rPr>
          <w:rFonts w:ascii="Arial Negrita" w:hAnsi="Arial Negrita" w:cs="Arial"/>
          <w:b/>
          <w:szCs w:val="24"/>
          <w:u w:val="single"/>
          <w:lang w:val="es-ES"/>
        </w:rPr>
      </w:pPr>
    </w:p>
    <w:p w:rsidR="00471A8D" w:rsidRPr="00E86416" w:rsidRDefault="00471A8D" w:rsidP="00471A8D">
      <w:pPr>
        <w:spacing w:after="0" w:line="240" w:lineRule="auto"/>
        <w:rPr>
          <w:rFonts w:ascii="Arial Negrita" w:hAnsi="Arial Negrita" w:cs="Arial"/>
          <w:b/>
          <w:szCs w:val="24"/>
          <w:u w:val="single"/>
          <w:lang w:val="es-ES"/>
        </w:rPr>
      </w:pPr>
      <w:r w:rsidRPr="00E86416">
        <w:rPr>
          <w:rFonts w:ascii="Arial Negrita" w:hAnsi="Arial Negrita" w:cs="Arial"/>
          <w:b/>
          <w:szCs w:val="24"/>
          <w:u w:val="single"/>
          <w:lang w:val="es-ES"/>
        </w:rPr>
        <w:t>I</w:t>
      </w:r>
      <w:r w:rsidR="00E86416" w:rsidRPr="00E86416">
        <w:rPr>
          <w:rFonts w:ascii="Arial Negrita" w:hAnsi="Arial Negrita" w:cs="Arial"/>
          <w:b/>
          <w:szCs w:val="24"/>
          <w:u w:val="single"/>
          <w:lang w:val="es-ES"/>
        </w:rPr>
        <w:t>nformación Básica</w:t>
      </w:r>
      <w:r w:rsidRPr="00E86416">
        <w:rPr>
          <w:rFonts w:ascii="Arial Negrita" w:hAnsi="Arial Negrita" w:cs="Arial"/>
          <w:b/>
          <w:szCs w:val="24"/>
          <w:u w:val="single"/>
          <w:lang w:val="es-ES"/>
        </w:rPr>
        <w:t xml:space="preserve"> </w:t>
      </w:r>
    </w:p>
    <w:p w:rsidR="00471A8D" w:rsidRPr="00471A8D" w:rsidRDefault="00471A8D" w:rsidP="00471A8D">
      <w:pPr>
        <w:spacing w:after="0" w:line="240" w:lineRule="auto"/>
        <w:rPr>
          <w:rFonts w:cs="Arial"/>
          <w:b/>
          <w:smallCaps/>
          <w:szCs w:val="24"/>
          <w:lang w:val="es-ES"/>
        </w:rPr>
      </w:pPr>
    </w:p>
    <w:p w:rsidR="00471A8D" w:rsidRPr="00471A8D" w:rsidRDefault="00471A8D" w:rsidP="00471A8D">
      <w:pPr>
        <w:spacing w:after="0" w:line="240" w:lineRule="auto"/>
        <w:rPr>
          <w:rFonts w:ascii="Arial Negrita" w:hAnsi="Arial Negrita" w:cs="Arial"/>
          <w:b/>
          <w:szCs w:val="24"/>
          <w:lang w:val="es-ES"/>
        </w:rPr>
      </w:pPr>
      <w:r>
        <w:rPr>
          <w:rFonts w:ascii="Arial Negrita" w:hAnsi="Arial Negrita" w:cs="Arial"/>
          <w:b/>
          <w:szCs w:val="24"/>
          <w:lang w:val="es-ES"/>
        </w:rPr>
        <w:t>1.</w:t>
      </w:r>
      <w:r w:rsidRPr="00471A8D">
        <w:rPr>
          <w:rFonts w:ascii="Arial Negrita" w:hAnsi="Arial Negrita" w:cs="Arial"/>
          <w:b/>
          <w:szCs w:val="24"/>
          <w:lang w:val="es-ES"/>
        </w:rPr>
        <w:t xml:space="preserve">Nombre de la persona, organización, institución, organismo o Estado: </w:t>
      </w:r>
    </w:p>
    <w:p w:rsidR="00471A8D" w:rsidRPr="00471A8D" w:rsidRDefault="00471A8D" w:rsidP="00471A8D">
      <w:pPr>
        <w:spacing w:after="0" w:line="240" w:lineRule="auto"/>
        <w:rPr>
          <w:rFonts w:cs="Arial"/>
          <w:szCs w:val="24"/>
          <w:lang w:val="es-ES"/>
        </w:rPr>
      </w:pPr>
      <w:r w:rsidRPr="00471A8D">
        <w:rPr>
          <w:rFonts w:cs="Arial"/>
          <w:szCs w:val="24"/>
          <w:lang w:val="es-ES"/>
        </w:rPr>
        <w:t>Comisión Nacional de los Derechos Humanos de México</w:t>
      </w:r>
    </w:p>
    <w:p w:rsidR="00471A8D" w:rsidRPr="00471A8D" w:rsidRDefault="00471A8D" w:rsidP="00471A8D">
      <w:pPr>
        <w:spacing w:after="0" w:line="240" w:lineRule="auto"/>
        <w:rPr>
          <w:rFonts w:cs="Arial"/>
          <w:b/>
          <w:smallCaps/>
          <w:szCs w:val="24"/>
          <w:u w:val="single"/>
          <w:lang w:val="es-ES"/>
        </w:rPr>
      </w:pPr>
    </w:p>
    <w:p w:rsidR="00471A8D" w:rsidRPr="00471A8D" w:rsidRDefault="00471A8D" w:rsidP="00471A8D">
      <w:pPr>
        <w:spacing w:after="0" w:line="240" w:lineRule="auto"/>
        <w:rPr>
          <w:rFonts w:cs="Arial"/>
          <w:b/>
          <w:szCs w:val="24"/>
          <w:lang w:val="es-ES"/>
        </w:rPr>
      </w:pPr>
      <w:r w:rsidRPr="00471A8D">
        <w:rPr>
          <w:rFonts w:cs="Arial"/>
          <w:b/>
          <w:szCs w:val="24"/>
          <w:lang w:val="es-ES"/>
        </w:rPr>
        <w:t>2. Tipo de entidad*</w:t>
      </w:r>
    </w:p>
    <w:p w:rsidR="00471A8D" w:rsidRPr="00471A8D" w:rsidRDefault="00471A8D" w:rsidP="00471A8D">
      <w:pPr>
        <w:spacing w:after="0" w:line="240" w:lineRule="auto"/>
        <w:rPr>
          <w:rFonts w:cs="Arial"/>
          <w:smallCaps/>
          <w:szCs w:val="24"/>
          <w:lang w:val="es-ES"/>
        </w:rPr>
      </w:pPr>
      <w:r w:rsidRPr="00471A8D">
        <w:rPr>
          <w:rFonts w:ascii="MS Gothic" w:eastAsia="MS Gothic" w:hAnsi="MS Gothic" w:cs="Arial"/>
          <w:smallCaps/>
          <w:szCs w:val="24"/>
          <w:lang w:val="es-ES"/>
        </w:rPr>
        <w:t xml:space="preserve"> </w:t>
      </w:r>
      <w:r w:rsidRPr="00C14E34">
        <w:rPr>
          <w:rFonts w:ascii="MS Gothic" w:eastAsia="MS Gothic" w:hAnsi="MS Gothic" w:cs="Arial"/>
          <w:b/>
          <w:smallCaps/>
          <w:szCs w:val="24"/>
          <w:lang w:val="es-ES"/>
        </w:rPr>
        <w:t>X</w:t>
      </w:r>
      <w:r w:rsidRPr="00471A8D">
        <w:rPr>
          <w:rFonts w:ascii="MS Gothic" w:eastAsia="MS Gothic" w:hAnsi="MS Gothic" w:cs="Arial"/>
          <w:smallCaps/>
          <w:szCs w:val="24"/>
          <w:lang w:val="es-ES"/>
        </w:rPr>
        <w:t xml:space="preserve"> </w:t>
      </w:r>
      <w:r w:rsidRPr="00471A8D">
        <w:rPr>
          <w:rFonts w:cs="Arial"/>
          <w:smallCaps/>
          <w:szCs w:val="24"/>
          <w:lang w:val="es-ES"/>
        </w:rPr>
        <w:t>Organización nacional de derechos humanos, defensor del pueblo</w:t>
      </w:r>
    </w:p>
    <w:p w:rsidR="00471A8D" w:rsidRPr="00471A8D" w:rsidRDefault="00471A8D" w:rsidP="00471A8D">
      <w:pPr>
        <w:spacing w:after="0" w:line="240" w:lineRule="auto"/>
        <w:rPr>
          <w:rFonts w:ascii="Arial Negrita" w:hAnsi="Arial Negrita" w:cs="Arial"/>
          <w:b/>
          <w:szCs w:val="24"/>
          <w:lang w:val="es-ES"/>
        </w:rPr>
      </w:pPr>
    </w:p>
    <w:p w:rsidR="00471A8D" w:rsidRPr="00471A8D" w:rsidRDefault="00471A8D" w:rsidP="00471A8D">
      <w:pPr>
        <w:spacing w:after="0" w:line="240" w:lineRule="auto"/>
        <w:rPr>
          <w:rFonts w:cs="Arial"/>
          <w:szCs w:val="24"/>
          <w:lang w:val="es-ES"/>
        </w:rPr>
      </w:pPr>
      <w:r w:rsidRPr="00471A8D">
        <w:rPr>
          <w:rFonts w:ascii="Arial Negrita" w:hAnsi="Arial Negrita" w:cs="Arial"/>
          <w:b/>
          <w:szCs w:val="24"/>
          <w:lang w:val="es-ES"/>
        </w:rPr>
        <w:t>3. Ciudad/</w:t>
      </w:r>
      <w:r>
        <w:rPr>
          <w:rFonts w:ascii="Arial Negrita" w:hAnsi="Arial Negrita" w:cs="Arial"/>
          <w:b/>
          <w:szCs w:val="24"/>
          <w:lang w:val="es-ES"/>
        </w:rPr>
        <w:t xml:space="preserve">Pueblo: </w:t>
      </w:r>
      <w:r w:rsidRPr="00471A8D">
        <w:rPr>
          <w:rFonts w:cs="Arial"/>
          <w:szCs w:val="24"/>
          <w:lang w:val="es-ES"/>
        </w:rPr>
        <w:t>Ciudad de México</w:t>
      </w:r>
    </w:p>
    <w:p w:rsidR="00471A8D" w:rsidRPr="00471A8D" w:rsidRDefault="00471A8D" w:rsidP="00471A8D">
      <w:pPr>
        <w:spacing w:after="0" w:line="240" w:lineRule="auto"/>
        <w:rPr>
          <w:rFonts w:ascii="Arial Negrita" w:hAnsi="Arial Negrita" w:cs="Arial"/>
          <w:b/>
          <w:szCs w:val="24"/>
          <w:lang w:val="es-ES"/>
        </w:rPr>
      </w:pPr>
    </w:p>
    <w:p w:rsidR="00471A8D" w:rsidRPr="00471A8D" w:rsidRDefault="00471A8D" w:rsidP="00471A8D">
      <w:pPr>
        <w:spacing w:after="0" w:line="240" w:lineRule="auto"/>
        <w:rPr>
          <w:rFonts w:cs="Arial"/>
          <w:szCs w:val="24"/>
          <w:lang w:val="es-ES"/>
        </w:rPr>
      </w:pPr>
      <w:r w:rsidRPr="00471A8D">
        <w:rPr>
          <w:rFonts w:ascii="Arial Negrita" w:hAnsi="Arial Negrita" w:cs="Arial"/>
          <w:b/>
          <w:szCs w:val="24"/>
          <w:lang w:val="es-ES"/>
        </w:rPr>
        <w:t>4. Estado/Prov</w:t>
      </w:r>
      <w:r>
        <w:rPr>
          <w:rFonts w:ascii="Arial Negrita" w:hAnsi="Arial Negrita" w:cs="Arial"/>
          <w:b/>
          <w:szCs w:val="24"/>
          <w:lang w:val="es-ES"/>
        </w:rPr>
        <w:t xml:space="preserve">incia: </w:t>
      </w:r>
      <w:r w:rsidRPr="00471A8D">
        <w:rPr>
          <w:rFonts w:cs="Arial"/>
          <w:szCs w:val="24"/>
          <w:lang w:val="es-ES"/>
        </w:rPr>
        <w:t>Ciudad de México</w:t>
      </w:r>
    </w:p>
    <w:p w:rsidR="00471A8D" w:rsidRPr="00471A8D" w:rsidRDefault="00471A8D" w:rsidP="00471A8D">
      <w:pPr>
        <w:spacing w:after="0" w:line="240" w:lineRule="auto"/>
        <w:rPr>
          <w:rFonts w:ascii="Arial Negrita" w:hAnsi="Arial Negrita" w:cs="Arial"/>
          <w:b/>
          <w:szCs w:val="24"/>
          <w:lang w:val="es-ES"/>
        </w:rPr>
      </w:pPr>
    </w:p>
    <w:p w:rsidR="00471A8D" w:rsidRPr="00471A8D" w:rsidRDefault="00471A8D" w:rsidP="00471A8D">
      <w:pPr>
        <w:spacing w:after="0" w:line="240" w:lineRule="auto"/>
        <w:rPr>
          <w:rFonts w:ascii="Arial Negrita" w:hAnsi="Arial Negrita" w:cs="Arial"/>
          <w:b/>
          <w:szCs w:val="24"/>
          <w:lang w:val="es-ES"/>
        </w:rPr>
      </w:pPr>
      <w:r w:rsidRPr="00471A8D">
        <w:rPr>
          <w:rFonts w:ascii="Arial Negrita" w:hAnsi="Arial Negrita" w:cs="Arial"/>
          <w:b/>
          <w:szCs w:val="24"/>
          <w:lang w:val="es-ES"/>
        </w:rPr>
        <w:t xml:space="preserve">5. País  </w:t>
      </w:r>
      <w:r w:rsidRPr="00C14E34">
        <w:rPr>
          <w:rFonts w:cs="Arial"/>
          <w:szCs w:val="24"/>
          <w:lang w:val="es-ES"/>
        </w:rPr>
        <w:t>México</w:t>
      </w:r>
    </w:p>
    <w:p w:rsidR="00471A8D" w:rsidRPr="00471A8D" w:rsidRDefault="00471A8D" w:rsidP="00471A8D">
      <w:pPr>
        <w:spacing w:after="0" w:line="240" w:lineRule="auto"/>
        <w:rPr>
          <w:rFonts w:cs="Arial"/>
          <w:b/>
          <w:smallCaps/>
          <w:szCs w:val="24"/>
          <w:u w:val="single"/>
          <w:lang w:val="es-ES"/>
        </w:rPr>
      </w:pPr>
    </w:p>
    <w:p w:rsidR="00471A8D" w:rsidRPr="00471A8D" w:rsidRDefault="00471A8D" w:rsidP="00471A8D">
      <w:pPr>
        <w:spacing w:after="0" w:line="240" w:lineRule="auto"/>
        <w:rPr>
          <w:rFonts w:ascii="Arial Negrita" w:hAnsi="Arial Negrita" w:cs="Arial"/>
          <w:b/>
          <w:szCs w:val="24"/>
          <w:u w:val="single"/>
          <w:lang w:val="es-ES"/>
        </w:rPr>
      </w:pPr>
      <w:bookmarkStart w:id="0" w:name="_GoBack"/>
      <w:bookmarkEnd w:id="0"/>
    </w:p>
    <w:p w:rsidR="00471A8D" w:rsidRDefault="00471A8D" w:rsidP="00A276D1">
      <w:pPr>
        <w:spacing w:after="0" w:line="240" w:lineRule="auto"/>
        <w:rPr>
          <w:rFonts w:cs="Arial"/>
          <w:b/>
          <w:smallCaps/>
          <w:szCs w:val="24"/>
          <w:u w:val="single"/>
          <w:lang w:val="es-ES"/>
        </w:rPr>
      </w:pPr>
    </w:p>
    <w:p w:rsidR="00911E3F" w:rsidRPr="00471A8D" w:rsidRDefault="00911E3F" w:rsidP="00A276D1">
      <w:pPr>
        <w:spacing w:after="0" w:line="240" w:lineRule="auto"/>
        <w:rPr>
          <w:rFonts w:ascii="Arial Negrita" w:hAnsi="Arial Negrita" w:cs="Arial"/>
          <w:b/>
          <w:szCs w:val="24"/>
          <w:u w:val="single"/>
          <w:lang w:val="es-ES"/>
        </w:rPr>
      </w:pPr>
      <w:r w:rsidRPr="00471A8D">
        <w:rPr>
          <w:rFonts w:ascii="Arial Negrita" w:hAnsi="Arial Negrita" w:cs="Arial"/>
          <w:b/>
          <w:szCs w:val="24"/>
          <w:u w:val="single"/>
          <w:lang w:val="es-ES"/>
        </w:rPr>
        <w:t>Discriminación en la vivienda</w:t>
      </w:r>
    </w:p>
    <w:p w:rsidR="00911E3F" w:rsidRPr="00ED4D35" w:rsidRDefault="00911E3F" w:rsidP="00A276D1">
      <w:pPr>
        <w:spacing w:after="0" w:line="240" w:lineRule="auto"/>
        <w:rPr>
          <w:rFonts w:cs="Arial"/>
          <w:b/>
          <w:smallCaps/>
          <w:sz w:val="12"/>
          <w:szCs w:val="12"/>
          <w:u w:val="single"/>
          <w:lang w:val="es-ES"/>
        </w:rPr>
      </w:pPr>
    </w:p>
    <w:p w:rsidR="00911E3F" w:rsidRDefault="00911E3F" w:rsidP="00A276D1">
      <w:pPr>
        <w:spacing w:after="0" w:line="240" w:lineRule="auto"/>
        <w:jc w:val="both"/>
        <w:rPr>
          <w:rFonts w:cs="Arial"/>
          <w:b/>
          <w:szCs w:val="24"/>
          <w:lang w:val="es-ES"/>
        </w:rPr>
      </w:pPr>
      <w:r w:rsidRPr="003E279D">
        <w:rPr>
          <w:rFonts w:cs="Arial"/>
          <w:b/>
          <w:smallCaps/>
          <w:szCs w:val="24"/>
          <w:lang w:val="es-ES"/>
        </w:rPr>
        <w:t>7</w:t>
      </w:r>
      <w:r w:rsidRPr="003E279D">
        <w:rPr>
          <w:rFonts w:cs="Arial"/>
          <w:b/>
          <w:szCs w:val="24"/>
          <w:lang w:val="es-ES"/>
        </w:rPr>
        <w:t>. ¿Qué formas específicas de discriminación legal o de facto y/o qué obstáculos afrontan los siguientes grupos en su país en relación al disfrute en condiciones de igualdad al derecho a una vivienda adecuada? (por favor proporcionar evidencias con ejemplos, estudios, informes e información estadística pertinente).</w:t>
      </w:r>
    </w:p>
    <w:p w:rsidR="00911E3F" w:rsidRPr="00ED4D35" w:rsidRDefault="00911E3F" w:rsidP="00A276D1">
      <w:pPr>
        <w:spacing w:after="0" w:line="240" w:lineRule="auto"/>
        <w:jc w:val="both"/>
        <w:rPr>
          <w:rFonts w:cs="Arial"/>
          <w:b/>
          <w:sz w:val="12"/>
          <w:szCs w:val="12"/>
          <w:lang w:val="es-ES"/>
        </w:rPr>
      </w:pPr>
    </w:p>
    <w:p w:rsidR="00911E3F" w:rsidRPr="003E279D" w:rsidRDefault="00911E3F" w:rsidP="00A276D1">
      <w:pPr>
        <w:autoSpaceDE w:val="0"/>
        <w:autoSpaceDN w:val="0"/>
        <w:adjustRightInd w:val="0"/>
        <w:spacing w:after="0" w:line="240" w:lineRule="auto"/>
        <w:jc w:val="both"/>
        <w:rPr>
          <w:rFonts w:cs="Arial"/>
          <w:szCs w:val="24"/>
          <w:lang w:val="es-ES"/>
        </w:rPr>
      </w:pPr>
      <w:r>
        <w:rPr>
          <w:rFonts w:cs="Arial"/>
          <w:szCs w:val="24"/>
          <w:lang w:val="es-ES"/>
        </w:rPr>
        <w:t xml:space="preserve">En primer término, se considera pertinente señalar algunos aspectos en que se encuentren distintos grupos de población en condición de vulnerabilidad o históricamente discriminados en relación con el derecho a la vivienda adecuada. </w:t>
      </w:r>
      <w:r w:rsidRPr="003E279D">
        <w:rPr>
          <w:rFonts w:cs="Arial"/>
          <w:szCs w:val="24"/>
          <w:lang w:val="es-ES"/>
        </w:rPr>
        <w:t xml:space="preserve">De conformidad con lo previsto en el </w:t>
      </w:r>
      <w:r w:rsidRPr="003E279D">
        <w:rPr>
          <w:rFonts w:cs="Arial"/>
          <w:i/>
          <w:szCs w:val="24"/>
          <w:lang w:val="es-ES"/>
        </w:rPr>
        <w:t>Programa Nacional de Vivienda 2019-2024</w:t>
      </w:r>
      <w:r w:rsidRPr="003E279D">
        <w:rPr>
          <w:rStyle w:val="FootnoteReference"/>
          <w:rFonts w:cs="Arial"/>
          <w:szCs w:val="24"/>
          <w:lang w:val="es-ES"/>
        </w:rPr>
        <w:footnoteReference w:id="1"/>
      </w:r>
      <w:r w:rsidRPr="003E279D">
        <w:rPr>
          <w:rFonts w:cs="Arial"/>
          <w:szCs w:val="24"/>
          <w:lang w:val="es-ES"/>
        </w:rPr>
        <w:t xml:space="preserve"> elaborado por el Gobierno Federal</w:t>
      </w:r>
      <w:r>
        <w:rPr>
          <w:rFonts w:cs="Arial"/>
          <w:szCs w:val="24"/>
          <w:lang w:val="es-ES"/>
        </w:rPr>
        <w:t>, se advierte que:</w:t>
      </w:r>
    </w:p>
    <w:p w:rsidR="00911E3F" w:rsidRPr="00ED4D35" w:rsidRDefault="00911E3F" w:rsidP="00A276D1">
      <w:pPr>
        <w:autoSpaceDE w:val="0"/>
        <w:autoSpaceDN w:val="0"/>
        <w:adjustRightInd w:val="0"/>
        <w:spacing w:after="0" w:line="240" w:lineRule="auto"/>
        <w:rPr>
          <w:rFonts w:cs="Arial"/>
          <w:sz w:val="12"/>
          <w:szCs w:val="12"/>
          <w:lang w:val="es-ES"/>
        </w:rPr>
      </w:pPr>
    </w:p>
    <w:p w:rsidR="00911E3F" w:rsidRPr="003E279D" w:rsidRDefault="00911E3F" w:rsidP="00A276D1">
      <w:pPr>
        <w:pStyle w:val="ListParagraph"/>
        <w:numPr>
          <w:ilvl w:val="0"/>
          <w:numId w:val="24"/>
        </w:numPr>
        <w:autoSpaceDE w:val="0"/>
        <w:autoSpaceDN w:val="0"/>
        <w:adjustRightInd w:val="0"/>
        <w:spacing w:after="0" w:line="240" w:lineRule="auto"/>
        <w:jc w:val="both"/>
        <w:rPr>
          <w:rFonts w:cs="Arial"/>
          <w:szCs w:val="24"/>
          <w:lang w:val="es-ES"/>
        </w:rPr>
      </w:pPr>
      <w:r w:rsidRPr="003E279D">
        <w:rPr>
          <w:rFonts w:cs="Arial"/>
          <w:b/>
          <w:szCs w:val="24"/>
          <w:lang w:val="es-ES"/>
        </w:rPr>
        <w:t>Personas con discapacidad:</w:t>
      </w:r>
      <w:r w:rsidRPr="003E279D">
        <w:rPr>
          <w:rFonts w:cs="Arial"/>
          <w:szCs w:val="24"/>
          <w:lang w:val="es-ES"/>
        </w:rPr>
        <w:t xml:space="preserve"> Este grupo poblacional representa el 6.4% de la población total del país. En 2018, el 48.6% de este grupo se encontraba en condición de pobreza, de los cuales 22.8% tenían carencia por acceso a los servicios básicos en la vivienda y 9.4% tenían carencia por calidad y espacio de la vivienda.</w:t>
      </w:r>
    </w:p>
    <w:p w:rsidR="00911E3F" w:rsidRPr="00ED4D35" w:rsidRDefault="00911E3F" w:rsidP="00A276D1">
      <w:pPr>
        <w:autoSpaceDE w:val="0"/>
        <w:autoSpaceDN w:val="0"/>
        <w:adjustRightInd w:val="0"/>
        <w:spacing w:after="0" w:line="240" w:lineRule="auto"/>
        <w:rPr>
          <w:rFonts w:cs="Arial"/>
          <w:sz w:val="12"/>
          <w:szCs w:val="12"/>
          <w:lang w:val="es-ES"/>
        </w:rPr>
      </w:pPr>
    </w:p>
    <w:p w:rsidR="00911E3F" w:rsidRPr="003E279D" w:rsidRDefault="00911E3F" w:rsidP="00A276D1">
      <w:pPr>
        <w:pStyle w:val="ListParagraph"/>
        <w:numPr>
          <w:ilvl w:val="0"/>
          <w:numId w:val="24"/>
        </w:numPr>
        <w:autoSpaceDE w:val="0"/>
        <w:autoSpaceDN w:val="0"/>
        <w:adjustRightInd w:val="0"/>
        <w:spacing w:after="0" w:line="240" w:lineRule="auto"/>
        <w:jc w:val="both"/>
        <w:rPr>
          <w:rFonts w:cs="Arial"/>
          <w:szCs w:val="24"/>
          <w:lang w:val="es-ES"/>
        </w:rPr>
      </w:pPr>
      <w:r w:rsidRPr="003E279D">
        <w:rPr>
          <w:rFonts w:cs="Arial"/>
          <w:b/>
          <w:szCs w:val="24"/>
          <w:lang w:val="es-ES"/>
        </w:rPr>
        <w:t xml:space="preserve">Mujeres: </w:t>
      </w:r>
      <w:r w:rsidRPr="003E279D">
        <w:rPr>
          <w:rFonts w:cs="Arial"/>
          <w:szCs w:val="24"/>
          <w:lang w:val="es-ES"/>
        </w:rPr>
        <w:t xml:space="preserve">Representan 51.4% de la población total del país. De acuerdo con el Instituto Nacional de </w:t>
      </w:r>
      <w:r w:rsidR="00DC308D">
        <w:rPr>
          <w:rFonts w:cs="Arial"/>
          <w:szCs w:val="24"/>
          <w:lang w:val="es-ES"/>
        </w:rPr>
        <w:t xml:space="preserve">las </w:t>
      </w:r>
      <w:r w:rsidRPr="003E279D">
        <w:rPr>
          <w:rFonts w:cs="Arial"/>
          <w:szCs w:val="24"/>
          <w:lang w:val="es-ES"/>
        </w:rPr>
        <w:t xml:space="preserve">Mujeres, en 2015 sólo 35.3% de las mujeres eran </w:t>
      </w:r>
      <w:r w:rsidRPr="003E279D">
        <w:rPr>
          <w:rFonts w:cs="Arial"/>
          <w:szCs w:val="24"/>
          <w:lang w:val="es-ES"/>
        </w:rPr>
        <w:lastRenderedPageBreak/>
        <w:t>propietarias de una vivienda en México, comparado con 56.0% de los hombres. En el ámbito rural, el porcentaje de titularidad femenina desciende a 30%.</w:t>
      </w:r>
    </w:p>
    <w:p w:rsidR="00911E3F" w:rsidRPr="00ED4D35" w:rsidRDefault="00911E3F" w:rsidP="00A276D1">
      <w:pPr>
        <w:autoSpaceDE w:val="0"/>
        <w:autoSpaceDN w:val="0"/>
        <w:adjustRightInd w:val="0"/>
        <w:spacing w:after="0" w:line="240" w:lineRule="auto"/>
        <w:rPr>
          <w:rFonts w:cs="Arial"/>
          <w:sz w:val="12"/>
          <w:szCs w:val="12"/>
          <w:lang w:val="es-ES"/>
        </w:rPr>
      </w:pPr>
    </w:p>
    <w:p w:rsidR="00911E3F" w:rsidRPr="003E279D" w:rsidRDefault="00911E3F" w:rsidP="00A276D1">
      <w:pPr>
        <w:pStyle w:val="ListParagraph"/>
        <w:numPr>
          <w:ilvl w:val="0"/>
          <w:numId w:val="24"/>
        </w:numPr>
        <w:autoSpaceDE w:val="0"/>
        <w:autoSpaceDN w:val="0"/>
        <w:adjustRightInd w:val="0"/>
        <w:spacing w:after="0" w:line="240" w:lineRule="auto"/>
        <w:jc w:val="both"/>
        <w:rPr>
          <w:rFonts w:cs="Arial"/>
          <w:szCs w:val="24"/>
          <w:lang w:val="es-ES"/>
        </w:rPr>
      </w:pPr>
      <w:r w:rsidRPr="003E279D">
        <w:rPr>
          <w:rFonts w:cs="Arial"/>
          <w:b/>
          <w:szCs w:val="24"/>
          <w:lang w:val="es-ES"/>
        </w:rPr>
        <w:t xml:space="preserve">Población indígena: </w:t>
      </w:r>
      <w:r w:rsidRPr="003E279D">
        <w:rPr>
          <w:rFonts w:cs="Arial"/>
          <w:szCs w:val="24"/>
          <w:lang w:val="es-ES"/>
        </w:rPr>
        <w:t>Las personas que se auto reconocen como indígenas representa el 21.5% de la población total del país. En 2017, el 32.4% de la población indígena presentaba carencias en la calidad y espacios de la vivienda, mientras que 79.1% habitaba una vivienda en rezago. En términos de acceso a servicios básicos, el 56.0% de la población indígena tenía carencia.</w:t>
      </w:r>
    </w:p>
    <w:p w:rsidR="00911E3F" w:rsidRPr="00ED4D35" w:rsidRDefault="00911E3F" w:rsidP="00A276D1">
      <w:pPr>
        <w:pStyle w:val="ListParagraph"/>
        <w:spacing w:after="0" w:line="240" w:lineRule="auto"/>
        <w:rPr>
          <w:rFonts w:cs="Arial"/>
          <w:sz w:val="12"/>
          <w:szCs w:val="12"/>
          <w:lang w:val="es-ES"/>
        </w:rPr>
      </w:pPr>
    </w:p>
    <w:p w:rsidR="00AF0B68" w:rsidRDefault="00911E3F" w:rsidP="00A276D1">
      <w:pPr>
        <w:pStyle w:val="ListParagraph"/>
        <w:numPr>
          <w:ilvl w:val="0"/>
          <w:numId w:val="24"/>
        </w:numPr>
        <w:autoSpaceDE w:val="0"/>
        <w:autoSpaceDN w:val="0"/>
        <w:adjustRightInd w:val="0"/>
        <w:spacing w:after="0" w:line="240" w:lineRule="auto"/>
        <w:jc w:val="both"/>
        <w:rPr>
          <w:rFonts w:cs="Arial"/>
          <w:szCs w:val="24"/>
          <w:lang w:val="es-ES"/>
        </w:rPr>
      </w:pPr>
      <w:r w:rsidRPr="003E279D">
        <w:rPr>
          <w:rFonts w:cs="Arial"/>
          <w:b/>
          <w:szCs w:val="24"/>
          <w:lang w:val="es-ES"/>
        </w:rPr>
        <w:t>Personas mayores:</w:t>
      </w:r>
      <w:r w:rsidRPr="003E279D">
        <w:rPr>
          <w:rFonts w:cs="Arial"/>
          <w:szCs w:val="24"/>
          <w:lang w:val="es-ES"/>
        </w:rPr>
        <w:t xml:space="preserve"> La población de personas mayores representa 10.4% de las personas en el país. Este porcentaje crecerá hasta 14.6% para 2030 conforme a proyecciones publicadas por el Consejo Nacional de Población (CONAPO). Del total de personas mayores, 43.7% viven en situación de pobreza, de los cuales 7.4% sufre de carencia a calidad y espacios en la vivienda y 20.8% por acceso a servicios básicos de vivienda. </w:t>
      </w:r>
    </w:p>
    <w:p w:rsidR="00AF0B68" w:rsidRPr="00ED4D35" w:rsidRDefault="00AF0B68" w:rsidP="00A276D1">
      <w:pPr>
        <w:pStyle w:val="ListParagraph"/>
        <w:spacing w:after="0" w:line="240" w:lineRule="auto"/>
        <w:rPr>
          <w:rFonts w:cs="Arial"/>
          <w:sz w:val="12"/>
          <w:szCs w:val="12"/>
          <w:lang w:val="es-ES"/>
        </w:rPr>
      </w:pPr>
    </w:p>
    <w:p w:rsidR="00911E3F" w:rsidRPr="003E279D" w:rsidRDefault="00911E3F" w:rsidP="00A276D1">
      <w:pPr>
        <w:pStyle w:val="ListParagraph"/>
        <w:autoSpaceDE w:val="0"/>
        <w:autoSpaceDN w:val="0"/>
        <w:adjustRightInd w:val="0"/>
        <w:spacing w:after="0" w:line="240" w:lineRule="auto"/>
        <w:jc w:val="both"/>
        <w:rPr>
          <w:rFonts w:cs="Arial"/>
          <w:szCs w:val="24"/>
          <w:lang w:val="es-ES"/>
        </w:rPr>
      </w:pPr>
      <w:r w:rsidRPr="003E279D">
        <w:rPr>
          <w:rFonts w:cs="Arial"/>
          <w:szCs w:val="24"/>
          <w:lang w:val="es-ES"/>
        </w:rPr>
        <w:t>Al igual que las personas con alguna discapacidad, las mayores requieren programas y proyectos habitacionales adaptados a sus posibilidades físicas.</w:t>
      </w:r>
    </w:p>
    <w:p w:rsidR="00911E3F" w:rsidRPr="003E279D" w:rsidRDefault="00911E3F" w:rsidP="00A276D1">
      <w:pPr>
        <w:spacing w:after="0" w:line="240" w:lineRule="auto"/>
        <w:rPr>
          <w:rFonts w:cs="Arial"/>
          <w:szCs w:val="24"/>
          <w:lang w:val="es-ES"/>
        </w:rPr>
      </w:pPr>
    </w:p>
    <w:p w:rsidR="00911E3F" w:rsidRDefault="00911E3F" w:rsidP="00A276D1">
      <w:pPr>
        <w:spacing w:after="0" w:line="240" w:lineRule="auto"/>
        <w:jc w:val="both"/>
        <w:rPr>
          <w:rFonts w:cs="Arial"/>
          <w:szCs w:val="24"/>
        </w:rPr>
      </w:pPr>
      <w:r w:rsidRPr="003E279D">
        <w:rPr>
          <w:rFonts w:cs="Arial"/>
          <w:szCs w:val="24"/>
          <w:lang w:val="es-ES"/>
        </w:rPr>
        <w:t xml:space="preserve">Por su parte, conforme a datos del Consejo Nacional de Evaluación de la Política de Desarrollo Social (CONEVAL) referidos en su </w:t>
      </w:r>
      <w:r w:rsidRPr="003E279D">
        <w:rPr>
          <w:rFonts w:cs="Arial"/>
          <w:i/>
          <w:szCs w:val="24"/>
          <w:lang w:val="es-ES"/>
        </w:rPr>
        <w:t>Estudio diagnóstico del derecho a la vivienda digna y decorosa 2018</w:t>
      </w:r>
      <w:r w:rsidRPr="003E279D">
        <w:rPr>
          <w:rStyle w:val="FootnoteReference"/>
          <w:rFonts w:cs="Arial"/>
          <w:szCs w:val="24"/>
          <w:lang w:val="es-ES"/>
        </w:rPr>
        <w:footnoteReference w:id="2"/>
      </w:r>
      <w:r w:rsidRPr="003E279D">
        <w:rPr>
          <w:rFonts w:cs="Arial"/>
          <w:szCs w:val="24"/>
          <w:lang w:val="es-ES"/>
        </w:rPr>
        <w:t xml:space="preserve">ha señalado que las </w:t>
      </w:r>
      <w:r w:rsidRPr="00677AE2">
        <w:rPr>
          <w:rFonts w:cs="Arial"/>
          <w:b/>
          <w:szCs w:val="24"/>
          <w:lang w:val="es-ES"/>
        </w:rPr>
        <w:t>personas jóvenes</w:t>
      </w:r>
      <w:r w:rsidRPr="003E279D">
        <w:rPr>
          <w:rFonts w:cs="Arial"/>
          <w:szCs w:val="24"/>
          <w:lang w:val="es-ES"/>
        </w:rPr>
        <w:t xml:space="preserve"> enfrentan dificultades para acceder a este derecho al relacionarse con una cuestión laboral y, por tanto, el ingreso</w:t>
      </w:r>
      <w:r>
        <w:rPr>
          <w:rFonts w:cs="Arial"/>
          <w:szCs w:val="24"/>
          <w:lang w:val="es-ES"/>
        </w:rPr>
        <w:t xml:space="preserve">, </w:t>
      </w:r>
      <w:r w:rsidRPr="003E279D">
        <w:rPr>
          <w:rFonts w:cs="Arial"/>
          <w:szCs w:val="24"/>
        </w:rPr>
        <w:t xml:space="preserve">toda vez que conforme a este </w:t>
      </w:r>
      <w:r>
        <w:rPr>
          <w:rFonts w:cs="Arial"/>
          <w:szCs w:val="24"/>
        </w:rPr>
        <w:t>ú</w:t>
      </w:r>
      <w:r w:rsidRPr="003E279D">
        <w:rPr>
          <w:rFonts w:cs="Arial"/>
          <w:szCs w:val="24"/>
        </w:rPr>
        <w:t xml:space="preserve">ltimo rubro para más del 76% no es posible comprar una vivienda. </w:t>
      </w:r>
      <w:r>
        <w:rPr>
          <w:rFonts w:cs="Arial"/>
          <w:szCs w:val="24"/>
        </w:rPr>
        <w:t>Adicionalmente</w:t>
      </w:r>
      <w:r w:rsidRPr="003E279D">
        <w:rPr>
          <w:rFonts w:cs="Arial"/>
          <w:szCs w:val="24"/>
        </w:rPr>
        <w:t xml:space="preserve">, también se refirió a la </w:t>
      </w:r>
      <w:r w:rsidRPr="00677AE2">
        <w:rPr>
          <w:rFonts w:cs="Arial"/>
          <w:b/>
          <w:szCs w:val="24"/>
        </w:rPr>
        <w:t xml:space="preserve">población </w:t>
      </w:r>
      <w:r>
        <w:rPr>
          <w:rFonts w:cs="Arial"/>
          <w:b/>
          <w:szCs w:val="24"/>
        </w:rPr>
        <w:t>sin hogar</w:t>
      </w:r>
      <w:r w:rsidRPr="003E279D">
        <w:rPr>
          <w:rFonts w:cs="Arial"/>
          <w:szCs w:val="24"/>
        </w:rPr>
        <w:t xml:space="preserve">, señalando la necesidad de recabar información sistematizada que permita diseñar estrategias específicas para garantizar este </w:t>
      </w:r>
      <w:r>
        <w:rPr>
          <w:rFonts w:cs="Arial"/>
          <w:szCs w:val="24"/>
        </w:rPr>
        <w:t>d</w:t>
      </w:r>
      <w:r w:rsidRPr="003E279D">
        <w:rPr>
          <w:rFonts w:cs="Arial"/>
          <w:szCs w:val="24"/>
        </w:rPr>
        <w:t>erecho.</w:t>
      </w:r>
    </w:p>
    <w:p w:rsidR="00911E3F" w:rsidRPr="00ED4D35" w:rsidRDefault="00911E3F" w:rsidP="00A276D1">
      <w:pPr>
        <w:spacing w:after="0" w:line="240" w:lineRule="auto"/>
        <w:jc w:val="both"/>
        <w:rPr>
          <w:rFonts w:cs="Arial"/>
          <w:sz w:val="12"/>
          <w:szCs w:val="12"/>
        </w:rPr>
      </w:pPr>
    </w:p>
    <w:p w:rsidR="00911E3F" w:rsidRDefault="00911E3F" w:rsidP="00A276D1">
      <w:pPr>
        <w:spacing w:after="0" w:line="240" w:lineRule="auto"/>
        <w:jc w:val="both"/>
        <w:rPr>
          <w:rFonts w:cs="Arial"/>
          <w:szCs w:val="24"/>
        </w:rPr>
      </w:pPr>
      <w:r>
        <w:rPr>
          <w:rFonts w:cs="Arial"/>
          <w:szCs w:val="24"/>
        </w:rPr>
        <w:t>En consecuencia, puede observarse que la situación de pobreza, la falta de acceso a financiamiento acorde a la situación específica de estos grupos, así como las brechas de desigualdad ya existentes, obstaculizan el goce efectivo del derecho a la vivienda de estos grupos poblaciones.</w:t>
      </w:r>
    </w:p>
    <w:p w:rsidR="00911E3F" w:rsidRPr="00ED4D35" w:rsidRDefault="00911E3F" w:rsidP="00A276D1">
      <w:pPr>
        <w:spacing w:after="0" w:line="240" w:lineRule="auto"/>
        <w:jc w:val="both"/>
        <w:rPr>
          <w:rFonts w:cs="Arial"/>
          <w:sz w:val="12"/>
          <w:szCs w:val="12"/>
        </w:rPr>
      </w:pPr>
    </w:p>
    <w:p w:rsidR="00911E3F" w:rsidRDefault="00911E3F" w:rsidP="00A276D1">
      <w:pPr>
        <w:spacing w:after="0" w:line="240" w:lineRule="auto"/>
        <w:jc w:val="both"/>
        <w:rPr>
          <w:rFonts w:cs="Arial"/>
          <w:szCs w:val="24"/>
        </w:rPr>
      </w:pPr>
      <w:r>
        <w:rPr>
          <w:rFonts w:cs="Arial"/>
          <w:szCs w:val="24"/>
        </w:rPr>
        <w:t xml:space="preserve">Aunado a lo anterior, se hace notar que con respecto a otros grupos poblaciones como </w:t>
      </w:r>
      <w:r w:rsidRPr="00677AE2">
        <w:rPr>
          <w:rFonts w:cs="Arial"/>
          <w:b/>
          <w:szCs w:val="24"/>
        </w:rPr>
        <w:t>minorías raciales, afrodescendientes</w:t>
      </w:r>
      <w:r w:rsidRPr="00677AE2">
        <w:rPr>
          <w:rStyle w:val="FootnoteReference"/>
          <w:rFonts w:cs="Arial"/>
          <w:b/>
          <w:szCs w:val="24"/>
        </w:rPr>
        <w:footnoteReference w:id="3"/>
      </w:r>
      <w:r w:rsidRPr="00677AE2">
        <w:rPr>
          <w:rFonts w:cs="Arial"/>
          <w:b/>
          <w:szCs w:val="24"/>
        </w:rPr>
        <w:t>, migrantes, refugiados</w:t>
      </w:r>
      <w:r>
        <w:rPr>
          <w:rFonts w:cs="Arial"/>
          <w:szCs w:val="24"/>
        </w:rPr>
        <w:t xml:space="preserve">, no se identificó información desagregada en relación con el ejercicio de este derecho. </w:t>
      </w:r>
    </w:p>
    <w:p w:rsidR="00911E3F" w:rsidRPr="00ED4D35" w:rsidRDefault="00911E3F" w:rsidP="00A276D1">
      <w:pPr>
        <w:spacing w:after="0" w:line="240" w:lineRule="auto"/>
        <w:jc w:val="both"/>
        <w:rPr>
          <w:rFonts w:cs="Arial"/>
          <w:sz w:val="12"/>
          <w:szCs w:val="12"/>
        </w:rPr>
      </w:pPr>
    </w:p>
    <w:p w:rsidR="00911E3F" w:rsidRDefault="00911E3F" w:rsidP="00A276D1">
      <w:pPr>
        <w:spacing w:after="0" w:line="240" w:lineRule="auto"/>
        <w:jc w:val="both"/>
        <w:rPr>
          <w:rFonts w:cs="Arial"/>
          <w:szCs w:val="24"/>
        </w:rPr>
      </w:pPr>
      <w:r>
        <w:rPr>
          <w:rFonts w:cs="Arial"/>
          <w:szCs w:val="24"/>
        </w:rPr>
        <w:t xml:space="preserve">En relación con las </w:t>
      </w:r>
      <w:r w:rsidRPr="00CE2099">
        <w:rPr>
          <w:rFonts w:cs="Arial"/>
          <w:b/>
          <w:szCs w:val="24"/>
        </w:rPr>
        <w:t>personas víctimas de desplazamiento forzado interno</w:t>
      </w:r>
      <w:r>
        <w:rPr>
          <w:rFonts w:cs="Arial"/>
          <w:szCs w:val="24"/>
        </w:rPr>
        <w:t xml:space="preserve">, la Comisión Nacional de los Derechos Humanos (CNDH) emitió, en 2016, el </w:t>
      </w:r>
      <w:r w:rsidRPr="00677AE2">
        <w:rPr>
          <w:rFonts w:cs="Arial"/>
          <w:i/>
          <w:szCs w:val="24"/>
        </w:rPr>
        <w:t xml:space="preserve">Informe </w:t>
      </w:r>
      <w:r w:rsidRPr="00677AE2">
        <w:rPr>
          <w:rFonts w:cs="Arial"/>
          <w:i/>
          <w:szCs w:val="24"/>
        </w:rPr>
        <w:lastRenderedPageBreak/>
        <w:t>Especial sobre Desplazamiento Forzado Interno (DFI) en México</w:t>
      </w:r>
      <w:r>
        <w:rPr>
          <w:rStyle w:val="FootnoteReference"/>
          <w:rFonts w:cs="Arial"/>
          <w:i/>
          <w:szCs w:val="24"/>
        </w:rPr>
        <w:footnoteReference w:id="4"/>
      </w:r>
      <w:r>
        <w:rPr>
          <w:rFonts w:cs="Arial"/>
          <w:szCs w:val="24"/>
        </w:rPr>
        <w:t>, del cual se destaca las condiciones de precariedad y falta de acceso a servicios públicos que enfrentan las personas desplazadas, además conforme a la información recabada se observó que l</w:t>
      </w:r>
      <w:r w:rsidRPr="00677AE2">
        <w:rPr>
          <w:rFonts w:cs="Arial"/>
          <w:szCs w:val="24"/>
        </w:rPr>
        <w:t xml:space="preserve">a Comisión Nacional de Vivienda (CONAVI) </w:t>
      </w:r>
      <w:r>
        <w:rPr>
          <w:rFonts w:cs="Arial"/>
          <w:szCs w:val="24"/>
        </w:rPr>
        <w:t xml:space="preserve">expresó </w:t>
      </w:r>
      <w:r w:rsidRPr="00677AE2">
        <w:rPr>
          <w:rFonts w:cs="Arial"/>
          <w:szCs w:val="24"/>
        </w:rPr>
        <w:t>que no c</w:t>
      </w:r>
      <w:r>
        <w:rPr>
          <w:rFonts w:cs="Arial"/>
          <w:szCs w:val="24"/>
        </w:rPr>
        <w:t>ontaba</w:t>
      </w:r>
      <w:r w:rsidRPr="00677AE2">
        <w:rPr>
          <w:rFonts w:cs="Arial"/>
          <w:szCs w:val="24"/>
        </w:rPr>
        <w:t xml:space="preserve">, de </w:t>
      </w:r>
      <w:r w:rsidR="00E95A20" w:rsidRPr="00677AE2">
        <w:rPr>
          <w:rFonts w:cs="Arial"/>
          <w:szCs w:val="24"/>
        </w:rPr>
        <w:t>manera específica</w:t>
      </w:r>
      <w:r w:rsidRPr="00677AE2">
        <w:rPr>
          <w:rFonts w:cs="Arial"/>
          <w:szCs w:val="24"/>
        </w:rPr>
        <w:t>, con mecanismos que facilit</w:t>
      </w:r>
      <w:r>
        <w:rPr>
          <w:rFonts w:cs="Arial"/>
          <w:szCs w:val="24"/>
        </w:rPr>
        <w:t>aran a la población desplazada,</w:t>
      </w:r>
      <w:r w:rsidRPr="00677AE2">
        <w:rPr>
          <w:rFonts w:cs="Arial"/>
          <w:szCs w:val="24"/>
        </w:rPr>
        <w:t xml:space="preserve"> el acceso directo a programas de vivienda</w:t>
      </w:r>
      <w:r>
        <w:rPr>
          <w:rStyle w:val="FootnoteReference"/>
          <w:rFonts w:cs="Arial"/>
          <w:szCs w:val="24"/>
        </w:rPr>
        <w:footnoteReference w:id="5"/>
      </w:r>
      <w:r w:rsidRPr="00677AE2">
        <w:rPr>
          <w:rFonts w:cs="Arial"/>
          <w:szCs w:val="24"/>
        </w:rPr>
        <w:t>.</w:t>
      </w:r>
    </w:p>
    <w:p w:rsidR="00911E3F" w:rsidRPr="00ED4D35" w:rsidRDefault="00911E3F" w:rsidP="00A276D1">
      <w:pPr>
        <w:spacing w:after="0" w:line="240" w:lineRule="auto"/>
        <w:jc w:val="both"/>
        <w:rPr>
          <w:rFonts w:cs="Arial"/>
          <w:sz w:val="12"/>
          <w:szCs w:val="12"/>
        </w:rPr>
      </w:pPr>
    </w:p>
    <w:p w:rsidR="00911E3F" w:rsidRPr="00CE2099" w:rsidRDefault="00911E3F" w:rsidP="00A276D1">
      <w:pPr>
        <w:spacing w:after="0" w:line="240" w:lineRule="auto"/>
        <w:jc w:val="both"/>
        <w:rPr>
          <w:rFonts w:cs="Arial"/>
          <w:szCs w:val="24"/>
        </w:rPr>
      </w:pPr>
      <w:r w:rsidRPr="00CE2099">
        <w:rPr>
          <w:rFonts w:cs="Arial"/>
          <w:szCs w:val="24"/>
        </w:rPr>
        <w:t xml:space="preserve">Asimismo, en el </w:t>
      </w:r>
      <w:r w:rsidRPr="00CE2099">
        <w:rPr>
          <w:rFonts w:cs="Arial"/>
          <w:i/>
          <w:szCs w:val="24"/>
        </w:rPr>
        <w:t>Informe en conjunto de sociedad civil sobre los derechos económicos, sociales, culturales y ambientales en México 2017. Informe alternativo a los Informes V y VI Periódicos combinados del Estado mexicano ante el Comité DESC de la ONU</w:t>
      </w:r>
      <w:r w:rsidRPr="00CE2099">
        <w:rPr>
          <w:rStyle w:val="FootnoteReference"/>
          <w:rFonts w:cs="Arial"/>
          <w:i/>
          <w:szCs w:val="24"/>
        </w:rPr>
        <w:footnoteReference w:id="6"/>
      </w:r>
      <w:r w:rsidRPr="00CE2099">
        <w:rPr>
          <w:rFonts w:cs="Arial"/>
          <w:i/>
          <w:szCs w:val="24"/>
        </w:rPr>
        <w:t>,</w:t>
      </w:r>
      <w:r w:rsidRPr="00CE2099">
        <w:rPr>
          <w:rFonts w:cs="Arial"/>
          <w:szCs w:val="24"/>
        </w:rPr>
        <w:t xml:space="preserve"> se asentó que durante el desplazamiento, el principal obstáculo identificado es la falta de un alojamiento temporal de emergencia que pueda brindarles seguridad y servicios básicos a las familias mientras llegan al lugar de destino donde se asentarán; hay una ausencia de política pública en materia humanitaria y, en cuanto al acceso a la vivienda, las familias desplazadas por lo general no tienen un lugar donde vivir en el lugar de asentamiento</w:t>
      </w:r>
      <w:r>
        <w:rPr>
          <w:rFonts w:cs="Arial"/>
          <w:szCs w:val="24"/>
        </w:rPr>
        <w:t xml:space="preserve">; </w:t>
      </w:r>
      <w:r w:rsidRPr="00CE2099">
        <w:rPr>
          <w:rFonts w:cs="Arial"/>
          <w:szCs w:val="24"/>
        </w:rPr>
        <w:t xml:space="preserve">en muchas ocasiones, su única alternativa es asentarse en zonas periféricas viviendo bajo condiciones severas de hacinamiento; se carece de seguridad jurídica de </w:t>
      </w:r>
      <w:r>
        <w:rPr>
          <w:rFonts w:cs="Arial"/>
          <w:szCs w:val="24"/>
        </w:rPr>
        <w:t xml:space="preserve">las </w:t>
      </w:r>
      <w:r w:rsidRPr="00CE2099">
        <w:rPr>
          <w:rFonts w:cs="Arial"/>
          <w:szCs w:val="24"/>
        </w:rPr>
        <w:t>viviendas ya que no son dueños ni rentan, y ocupan de manera ilegal terrenos abandonados.</w:t>
      </w:r>
    </w:p>
    <w:p w:rsidR="00911E3F" w:rsidRPr="00ED4D35" w:rsidRDefault="00911E3F" w:rsidP="00A276D1">
      <w:pPr>
        <w:spacing w:after="0" w:line="240" w:lineRule="auto"/>
        <w:jc w:val="both"/>
        <w:rPr>
          <w:sz w:val="12"/>
          <w:szCs w:val="12"/>
        </w:rPr>
      </w:pPr>
    </w:p>
    <w:p w:rsidR="00911E3F" w:rsidRPr="000E6910" w:rsidRDefault="00911E3F" w:rsidP="00A276D1">
      <w:pPr>
        <w:spacing w:after="0" w:line="240" w:lineRule="auto"/>
        <w:jc w:val="both"/>
        <w:rPr>
          <w:rFonts w:cs="Arial"/>
          <w:b/>
          <w:szCs w:val="24"/>
        </w:rPr>
      </w:pPr>
      <w:r w:rsidRPr="000E6910">
        <w:rPr>
          <w:rFonts w:cs="Arial"/>
          <w:b/>
          <w:szCs w:val="24"/>
        </w:rPr>
        <w:t>8. La discriminación en la vivienda puede afect</w:t>
      </w:r>
      <w:r>
        <w:rPr>
          <w:rFonts w:cs="Arial"/>
          <w:b/>
          <w:szCs w:val="24"/>
        </w:rPr>
        <w:t>ar</w:t>
      </w:r>
      <w:r w:rsidRPr="000E6910">
        <w:rPr>
          <w:rFonts w:cs="Arial"/>
          <w:b/>
          <w:szCs w:val="24"/>
        </w:rPr>
        <w:t xml:space="preserve"> a varias dimensiones del derecho a una vivienda adecuada y a otros derechos humanos. ¿Podría dar más detalles sobre las áreas específicas en las que se experimenta discriminación en relación a la vivienda? A continuación</w:t>
      </w:r>
      <w:r>
        <w:rPr>
          <w:rFonts w:cs="Arial"/>
          <w:b/>
          <w:szCs w:val="24"/>
        </w:rPr>
        <w:t>,</w:t>
      </w:r>
      <w:r w:rsidRPr="000E6910">
        <w:rPr>
          <w:rFonts w:cs="Arial"/>
          <w:b/>
          <w:szCs w:val="24"/>
        </w:rPr>
        <w:t xml:space="preserve"> se presentan ejemplos de diversas formas de discriminación que pueden experimentarse en relación a las diferentes dimensiones del derecho a una vivienda adecuada:</w:t>
      </w:r>
    </w:p>
    <w:p w:rsidR="00911E3F" w:rsidRPr="00ED4D35" w:rsidRDefault="00911E3F" w:rsidP="00A276D1">
      <w:pPr>
        <w:spacing w:after="0" w:line="240" w:lineRule="auto"/>
        <w:jc w:val="both"/>
        <w:rPr>
          <w:rFonts w:cs="Arial"/>
          <w:sz w:val="12"/>
          <w:szCs w:val="12"/>
        </w:rPr>
      </w:pPr>
    </w:p>
    <w:p w:rsidR="008305FB" w:rsidRDefault="00AF0B68" w:rsidP="00A276D1">
      <w:pPr>
        <w:spacing w:after="0" w:line="240" w:lineRule="auto"/>
        <w:jc w:val="both"/>
        <w:rPr>
          <w:rFonts w:cs="Arial"/>
          <w:szCs w:val="24"/>
          <w:lang w:val="es-ES"/>
        </w:rPr>
      </w:pPr>
      <w:r>
        <w:rPr>
          <w:rFonts w:cs="Arial"/>
          <w:szCs w:val="24"/>
          <w:lang w:val="es-ES"/>
        </w:rPr>
        <w:t>E</w:t>
      </w:r>
      <w:r w:rsidR="008305FB">
        <w:rPr>
          <w:rFonts w:cs="Arial"/>
          <w:szCs w:val="24"/>
          <w:lang w:val="es-ES"/>
        </w:rPr>
        <w:t>l CONEVAL</w:t>
      </w:r>
      <w:r w:rsidR="008305FB">
        <w:rPr>
          <w:rStyle w:val="FootnoteReference"/>
          <w:rFonts w:cs="Arial"/>
          <w:szCs w:val="24"/>
          <w:lang w:val="es-ES"/>
        </w:rPr>
        <w:footnoteReference w:id="7"/>
      </w:r>
      <w:r w:rsidR="008305FB">
        <w:rPr>
          <w:rFonts w:cs="Arial"/>
          <w:szCs w:val="24"/>
          <w:lang w:val="es-ES"/>
        </w:rPr>
        <w:t xml:space="preserve"> señal</w:t>
      </w:r>
      <w:r>
        <w:rPr>
          <w:rFonts w:cs="Arial"/>
          <w:szCs w:val="24"/>
          <w:lang w:val="es-ES"/>
        </w:rPr>
        <w:t>ó</w:t>
      </w:r>
      <w:r w:rsidR="008305FB">
        <w:rPr>
          <w:rFonts w:cs="Arial"/>
          <w:szCs w:val="24"/>
          <w:lang w:val="es-ES"/>
        </w:rPr>
        <w:t xml:space="preserve"> que</w:t>
      </w:r>
      <w:r>
        <w:rPr>
          <w:rFonts w:cs="Arial"/>
          <w:szCs w:val="24"/>
          <w:lang w:val="es-ES"/>
        </w:rPr>
        <w:t>,</w:t>
      </w:r>
      <w:r w:rsidR="008305FB">
        <w:rPr>
          <w:rFonts w:cs="Arial"/>
          <w:szCs w:val="24"/>
          <w:lang w:val="es-ES"/>
        </w:rPr>
        <w:t xml:space="preserve"> en nuestro país</w:t>
      </w:r>
      <w:r>
        <w:rPr>
          <w:rFonts w:cs="Arial"/>
          <w:szCs w:val="24"/>
          <w:lang w:val="es-ES"/>
        </w:rPr>
        <w:t>,</w:t>
      </w:r>
      <w:r w:rsidR="008305FB">
        <w:rPr>
          <w:rFonts w:cs="Arial"/>
          <w:szCs w:val="24"/>
          <w:lang w:val="es-ES"/>
        </w:rPr>
        <w:t xml:space="preserve"> existe una desigualdad en la accesibilidad a la vivienda digna y decorosa, esto implica un riesgo para la satisfacción de las necesidades básicas de una parte significativa de la población y la dificultad de los más pobres para adquirir una vivienda.</w:t>
      </w:r>
    </w:p>
    <w:p w:rsidR="008305FB" w:rsidRPr="00ED4D35" w:rsidRDefault="008305FB" w:rsidP="00A276D1">
      <w:pPr>
        <w:spacing w:after="0" w:line="240" w:lineRule="auto"/>
        <w:jc w:val="both"/>
        <w:rPr>
          <w:rFonts w:cs="Arial"/>
          <w:sz w:val="12"/>
          <w:szCs w:val="12"/>
          <w:lang w:val="es-ES"/>
        </w:rPr>
      </w:pPr>
    </w:p>
    <w:p w:rsidR="00911E3F" w:rsidRPr="00796CA2" w:rsidRDefault="00911E3F" w:rsidP="00A276D1">
      <w:pPr>
        <w:spacing w:after="0" w:line="240" w:lineRule="auto"/>
        <w:jc w:val="both"/>
        <w:rPr>
          <w:rFonts w:cs="Arial"/>
          <w:b/>
          <w:i/>
          <w:szCs w:val="24"/>
          <w:lang w:val="es-ES"/>
        </w:rPr>
      </w:pPr>
      <w:r w:rsidRPr="00796CA2">
        <w:rPr>
          <w:rFonts w:cs="Arial"/>
          <w:b/>
          <w:i/>
          <w:szCs w:val="24"/>
          <w:lang w:val="es-ES"/>
        </w:rPr>
        <w:t>Accesibilidad</w:t>
      </w:r>
    </w:p>
    <w:p w:rsidR="004A20D5" w:rsidRPr="00ED4D35" w:rsidRDefault="004A20D5" w:rsidP="00A276D1">
      <w:pPr>
        <w:spacing w:after="0" w:line="240" w:lineRule="auto"/>
        <w:jc w:val="both"/>
        <w:rPr>
          <w:rFonts w:cs="Arial"/>
          <w:i/>
          <w:sz w:val="12"/>
          <w:szCs w:val="12"/>
          <w:lang w:val="es-ES"/>
        </w:rPr>
      </w:pPr>
    </w:p>
    <w:p w:rsidR="004B3AF5" w:rsidRDefault="004B3AF5" w:rsidP="00A276D1">
      <w:pPr>
        <w:spacing w:after="0" w:line="240" w:lineRule="auto"/>
        <w:jc w:val="both"/>
        <w:rPr>
          <w:rFonts w:cs="Arial"/>
          <w:szCs w:val="24"/>
          <w:lang w:val="es-ES"/>
        </w:rPr>
      </w:pPr>
      <w:r>
        <w:rPr>
          <w:rFonts w:cs="Arial"/>
          <w:szCs w:val="24"/>
          <w:lang w:val="es-ES"/>
        </w:rPr>
        <w:t xml:space="preserve">Se estima un rezago de vivienda en 14 millones de estas, en el 45% sus ocupantes requieren una vivienda completa o mejoras sustanciales a la que habitan. </w:t>
      </w:r>
      <w:r w:rsidRPr="004B3AF5">
        <w:rPr>
          <w:rFonts w:cs="Arial"/>
          <w:szCs w:val="24"/>
          <w:lang w:val="es-ES"/>
        </w:rPr>
        <w:t xml:space="preserve">A nivel </w:t>
      </w:r>
      <w:r w:rsidR="00E95A20" w:rsidRPr="004B3AF5">
        <w:rPr>
          <w:rFonts w:cs="Arial"/>
          <w:szCs w:val="24"/>
          <w:lang w:val="es-ES"/>
        </w:rPr>
        <w:t>estatal, Chiapas</w:t>
      </w:r>
      <w:r w:rsidRPr="004B3AF5">
        <w:rPr>
          <w:rFonts w:cs="Arial"/>
          <w:szCs w:val="24"/>
          <w:lang w:val="es-ES"/>
        </w:rPr>
        <w:t xml:space="preserve"> (78.2%), Oaxaca (77.8%) y </w:t>
      </w:r>
      <w:r w:rsidR="00E95A20" w:rsidRPr="004B3AF5">
        <w:rPr>
          <w:rFonts w:cs="Arial"/>
          <w:szCs w:val="24"/>
          <w:lang w:val="es-ES"/>
        </w:rPr>
        <w:t>Guerrero (</w:t>
      </w:r>
      <w:r w:rsidRPr="004B3AF5">
        <w:rPr>
          <w:rFonts w:cs="Arial"/>
          <w:szCs w:val="24"/>
          <w:lang w:val="es-ES"/>
        </w:rPr>
        <w:t xml:space="preserve">72%) registran la mayor proporción de </w:t>
      </w:r>
      <w:r w:rsidR="00E95A20" w:rsidRPr="004B3AF5">
        <w:rPr>
          <w:rFonts w:cs="Arial"/>
          <w:szCs w:val="24"/>
          <w:lang w:val="es-ES"/>
        </w:rPr>
        <w:t>población con</w:t>
      </w:r>
      <w:r w:rsidRPr="004B3AF5">
        <w:rPr>
          <w:rFonts w:cs="Arial"/>
          <w:szCs w:val="24"/>
          <w:lang w:val="es-ES"/>
        </w:rPr>
        <w:t xml:space="preserve"> rezago de vivienda</w:t>
      </w:r>
      <w:r>
        <w:rPr>
          <w:rFonts w:cs="Arial"/>
          <w:szCs w:val="24"/>
          <w:lang w:val="es-ES"/>
        </w:rPr>
        <w:t>.</w:t>
      </w:r>
    </w:p>
    <w:p w:rsidR="004B3AF5" w:rsidRPr="00ED4D35" w:rsidRDefault="004B3AF5" w:rsidP="00A276D1">
      <w:pPr>
        <w:spacing w:after="0" w:line="240" w:lineRule="auto"/>
        <w:jc w:val="both"/>
        <w:rPr>
          <w:rFonts w:cs="Arial"/>
          <w:sz w:val="12"/>
          <w:szCs w:val="12"/>
          <w:lang w:val="es-ES"/>
        </w:rPr>
      </w:pPr>
    </w:p>
    <w:p w:rsidR="004B3AF5" w:rsidRDefault="00E95A20" w:rsidP="00A276D1">
      <w:pPr>
        <w:spacing w:after="0" w:line="240" w:lineRule="auto"/>
        <w:jc w:val="both"/>
        <w:rPr>
          <w:rFonts w:cs="Arial"/>
          <w:szCs w:val="24"/>
          <w:lang w:val="es-ES"/>
        </w:rPr>
      </w:pPr>
      <w:r>
        <w:rPr>
          <w:rFonts w:cs="Arial"/>
          <w:szCs w:val="24"/>
          <w:lang w:val="es-ES"/>
        </w:rPr>
        <w:lastRenderedPageBreak/>
        <w:t>E</w:t>
      </w:r>
      <w:r w:rsidRPr="004B3AF5">
        <w:rPr>
          <w:rFonts w:cs="Arial"/>
          <w:szCs w:val="24"/>
          <w:lang w:val="es-ES"/>
        </w:rPr>
        <w:t>l rezago de vivienda representa58% en las viviendas pertenecientes a los cuatro deciles inferiores de ingresos</w:t>
      </w:r>
      <w:r>
        <w:rPr>
          <w:rFonts w:cs="Arial"/>
          <w:szCs w:val="24"/>
          <w:lang w:val="es-ES"/>
        </w:rPr>
        <w:t xml:space="preserve">, siendo las comunidades indígenas, la población rural y los más pobres los más afectados, </w:t>
      </w:r>
      <w:r w:rsidRPr="004B3AF5">
        <w:rPr>
          <w:rFonts w:cs="Arial"/>
          <w:szCs w:val="24"/>
          <w:lang w:val="es-ES"/>
        </w:rPr>
        <w:t>en las viviendas rurales de Chiapas el rezago asciende a 96.5%, mientras que, en</w:t>
      </w:r>
      <w:r>
        <w:rPr>
          <w:rFonts w:cs="Arial"/>
          <w:szCs w:val="24"/>
          <w:lang w:val="es-ES"/>
        </w:rPr>
        <w:t xml:space="preserve"> </w:t>
      </w:r>
      <w:r w:rsidRPr="004B3AF5">
        <w:rPr>
          <w:rFonts w:cs="Arial"/>
          <w:szCs w:val="24"/>
          <w:lang w:val="es-ES"/>
        </w:rPr>
        <w:t>las viviendas de comunidades indígenas de la misma entidad, a 79%</w:t>
      </w:r>
      <w:r>
        <w:rPr>
          <w:rFonts w:cs="Arial"/>
          <w:szCs w:val="24"/>
          <w:lang w:val="es-ES"/>
        </w:rPr>
        <w:t>.</w:t>
      </w:r>
    </w:p>
    <w:p w:rsidR="00796CA2" w:rsidRPr="00ED4D35" w:rsidRDefault="00796CA2" w:rsidP="00A276D1">
      <w:pPr>
        <w:spacing w:after="0" w:line="240" w:lineRule="auto"/>
        <w:jc w:val="both"/>
        <w:rPr>
          <w:rFonts w:cs="Arial"/>
          <w:sz w:val="12"/>
          <w:szCs w:val="12"/>
          <w:lang w:val="es-ES"/>
        </w:rPr>
      </w:pPr>
    </w:p>
    <w:p w:rsidR="00796CA2" w:rsidRDefault="00E95A20" w:rsidP="00A276D1">
      <w:pPr>
        <w:spacing w:after="0" w:line="240" w:lineRule="auto"/>
        <w:jc w:val="both"/>
        <w:rPr>
          <w:rFonts w:cs="Arial"/>
          <w:szCs w:val="24"/>
          <w:lang w:val="es-ES"/>
        </w:rPr>
      </w:pPr>
      <w:r>
        <w:rPr>
          <w:rFonts w:cs="Arial"/>
          <w:szCs w:val="24"/>
          <w:lang w:val="es-ES"/>
        </w:rPr>
        <w:t xml:space="preserve">Respecto a los medios </w:t>
      </w:r>
      <w:r w:rsidRPr="00796CA2">
        <w:rPr>
          <w:rFonts w:cs="Arial"/>
          <w:szCs w:val="24"/>
          <w:lang w:val="es-ES"/>
        </w:rPr>
        <w:t>para acceder a</w:t>
      </w:r>
      <w:r>
        <w:rPr>
          <w:rFonts w:cs="Arial"/>
          <w:szCs w:val="24"/>
          <w:lang w:val="es-ES"/>
        </w:rPr>
        <w:t xml:space="preserve"> </w:t>
      </w:r>
      <w:r w:rsidRPr="00796CA2">
        <w:rPr>
          <w:rFonts w:cs="Arial"/>
          <w:szCs w:val="24"/>
          <w:lang w:val="es-ES"/>
        </w:rPr>
        <w:t>una vivienda</w:t>
      </w:r>
      <w:r>
        <w:rPr>
          <w:rFonts w:cs="Arial"/>
          <w:szCs w:val="24"/>
          <w:lang w:val="es-ES"/>
        </w:rPr>
        <w:t xml:space="preserve"> mediante </w:t>
      </w:r>
      <w:r w:rsidRPr="00796CA2">
        <w:rPr>
          <w:rFonts w:cs="Arial"/>
          <w:szCs w:val="24"/>
          <w:lang w:val="es-ES"/>
        </w:rPr>
        <w:t>el acceso a un crédito para su adquisición; la compra de vivienda nueva solo</w:t>
      </w:r>
      <w:r>
        <w:rPr>
          <w:rFonts w:cs="Arial"/>
          <w:szCs w:val="24"/>
          <w:lang w:val="es-ES"/>
        </w:rPr>
        <w:t xml:space="preserve"> </w:t>
      </w:r>
      <w:r w:rsidRPr="00796CA2">
        <w:rPr>
          <w:rFonts w:cs="Arial"/>
          <w:szCs w:val="24"/>
          <w:lang w:val="es-ES"/>
        </w:rPr>
        <w:t>es accesible para quienes perciben más de cinco salarios mínimos</w:t>
      </w:r>
      <w:r>
        <w:rPr>
          <w:rFonts w:cs="Arial"/>
          <w:szCs w:val="24"/>
          <w:lang w:val="es-ES"/>
        </w:rPr>
        <w:t xml:space="preserve">, excluyendo del mercado formal de vivienda a </w:t>
      </w:r>
      <w:r w:rsidRPr="00796CA2">
        <w:rPr>
          <w:rFonts w:cs="Arial"/>
          <w:szCs w:val="24"/>
          <w:lang w:val="es-ES"/>
        </w:rPr>
        <w:t>los hogares pertenecientes a los primeros</w:t>
      </w:r>
      <w:r>
        <w:rPr>
          <w:rFonts w:cs="Arial"/>
          <w:szCs w:val="24"/>
          <w:lang w:val="es-ES"/>
        </w:rPr>
        <w:t xml:space="preserve"> seis deciles de ingresos, </w:t>
      </w:r>
      <w:r w:rsidRPr="00796CA2">
        <w:rPr>
          <w:rFonts w:cs="Arial"/>
          <w:szCs w:val="24"/>
          <w:lang w:val="es-ES"/>
        </w:rPr>
        <w:t>al percibir un ingreso menor de cinco salarios mínimos</w:t>
      </w:r>
      <w:r>
        <w:rPr>
          <w:rFonts w:cs="Arial"/>
          <w:szCs w:val="24"/>
          <w:lang w:val="es-ES"/>
        </w:rPr>
        <w:t>.</w:t>
      </w:r>
    </w:p>
    <w:p w:rsidR="00796CA2" w:rsidRPr="00ED4D35" w:rsidRDefault="00796CA2" w:rsidP="00A276D1">
      <w:pPr>
        <w:spacing w:after="0" w:line="240" w:lineRule="auto"/>
        <w:jc w:val="both"/>
        <w:rPr>
          <w:rFonts w:cs="Arial"/>
          <w:sz w:val="12"/>
          <w:szCs w:val="12"/>
          <w:lang w:val="es-ES"/>
        </w:rPr>
      </w:pPr>
    </w:p>
    <w:p w:rsidR="00796CA2" w:rsidRDefault="00796CA2" w:rsidP="00A276D1">
      <w:pPr>
        <w:spacing w:after="0" w:line="240" w:lineRule="auto"/>
        <w:jc w:val="both"/>
        <w:rPr>
          <w:rFonts w:cs="Arial"/>
          <w:szCs w:val="24"/>
          <w:lang w:val="es-ES"/>
        </w:rPr>
      </w:pPr>
      <w:r>
        <w:rPr>
          <w:rFonts w:cs="Arial"/>
          <w:szCs w:val="24"/>
          <w:lang w:val="es-ES"/>
        </w:rPr>
        <w:t>Además de los créditos y subsidios l</w:t>
      </w:r>
      <w:r w:rsidRPr="00796CA2">
        <w:rPr>
          <w:rFonts w:cs="Arial"/>
          <w:szCs w:val="24"/>
          <w:lang w:val="es-ES"/>
        </w:rPr>
        <w:t xml:space="preserve">a </w:t>
      </w:r>
      <w:r>
        <w:rPr>
          <w:rFonts w:cs="Arial"/>
          <w:szCs w:val="24"/>
          <w:lang w:val="es-ES"/>
        </w:rPr>
        <w:t xml:space="preserve">autoproducción </w:t>
      </w:r>
      <w:r w:rsidRPr="00796CA2">
        <w:rPr>
          <w:rFonts w:cs="Arial"/>
          <w:szCs w:val="24"/>
          <w:lang w:val="es-ES"/>
        </w:rPr>
        <w:t xml:space="preserve">representa 64.2% de la </w:t>
      </w:r>
      <w:r w:rsidR="00E95A20" w:rsidRPr="00796CA2">
        <w:rPr>
          <w:rFonts w:cs="Arial"/>
          <w:szCs w:val="24"/>
          <w:lang w:val="es-ES"/>
        </w:rPr>
        <w:t>producción de</w:t>
      </w:r>
      <w:r w:rsidRPr="00796CA2">
        <w:rPr>
          <w:rFonts w:cs="Arial"/>
          <w:szCs w:val="24"/>
          <w:lang w:val="es-ES"/>
        </w:rPr>
        <w:t xml:space="preserve"> vivienda en el país, y constituye la </w:t>
      </w:r>
      <w:r w:rsidR="00E95A20" w:rsidRPr="00796CA2">
        <w:rPr>
          <w:rFonts w:cs="Arial"/>
          <w:szCs w:val="24"/>
          <w:lang w:val="es-ES"/>
        </w:rPr>
        <w:t>principal forma</w:t>
      </w:r>
      <w:r w:rsidRPr="00796CA2">
        <w:rPr>
          <w:rFonts w:cs="Arial"/>
          <w:szCs w:val="24"/>
          <w:lang w:val="es-ES"/>
        </w:rPr>
        <w:t xml:space="preserve"> de producción en estados con </w:t>
      </w:r>
      <w:r w:rsidR="00E95A20" w:rsidRPr="00796CA2">
        <w:rPr>
          <w:rFonts w:cs="Arial"/>
          <w:szCs w:val="24"/>
          <w:lang w:val="es-ES"/>
        </w:rPr>
        <w:t>mayor porcentaje</w:t>
      </w:r>
      <w:r w:rsidRPr="00796CA2">
        <w:rPr>
          <w:rFonts w:cs="Arial"/>
          <w:szCs w:val="24"/>
          <w:lang w:val="es-ES"/>
        </w:rPr>
        <w:t xml:space="preserve"> de población por debajo de la </w:t>
      </w:r>
      <w:r w:rsidR="00E95A20" w:rsidRPr="00796CA2">
        <w:rPr>
          <w:rFonts w:cs="Arial"/>
          <w:szCs w:val="24"/>
          <w:lang w:val="es-ES"/>
        </w:rPr>
        <w:t>línea de</w:t>
      </w:r>
      <w:r w:rsidRPr="00796CA2">
        <w:rPr>
          <w:rFonts w:cs="Arial"/>
          <w:szCs w:val="24"/>
          <w:lang w:val="es-ES"/>
        </w:rPr>
        <w:t xml:space="preserve"> pobreza por ingresos</w:t>
      </w:r>
      <w:r>
        <w:rPr>
          <w:rFonts w:cs="Arial"/>
          <w:szCs w:val="24"/>
          <w:lang w:val="es-ES"/>
        </w:rPr>
        <w:t>.</w:t>
      </w:r>
    </w:p>
    <w:p w:rsidR="004B3AF5" w:rsidRPr="00ED4D35" w:rsidRDefault="004B3AF5" w:rsidP="00A276D1">
      <w:pPr>
        <w:spacing w:after="0" w:line="240" w:lineRule="auto"/>
        <w:jc w:val="both"/>
        <w:rPr>
          <w:rFonts w:cs="Arial"/>
          <w:sz w:val="12"/>
          <w:szCs w:val="12"/>
          <w:lang w:val="es-ES"/>
        </w:rPr>
      </w:pPr>
    </w:p>
    <w:p w:rsidR="00911E3F" w:rsidRDefault="00911E3F" w:rsidP="00A276D1">
      <w:pPr>
        <w:spacing w:after="0" w:line="240" w:lineRule="auto"/>
        <w:jc w:val="both"/>
        <w:rPr>
          <w:rFonts w:cs="Arial"/>
          <w:b/>
          <w:i/>
          <w:szCs w:val="24"/>
          <w:lang w:val="es-ES"/>
        </w:rPr>
      </w:pPr>
      <w:r w:rsidRPr="00796CA2">
        <w:rPr>
          <w:rFonts w:cs="Arial"/>
          <w:b/>
          <w:i/>
          <w:szCs w:val="24"/>
          <w:lang w:val="es-ES"/>
        </w:rPr>
        <w:t>Habitabilidad</w:t>
      </w:r>
    </w:p>
    <w:p w:rsidR="00DF0DDC" w:rsidRPr="00ED4D35" w:rsidRDefault="00DF0DDC" w:rsidP="00A276D1">
      <w:pPr>
        <w:spacing w:after="0" w:line="240" w:lineRule="auto"/>
        <w:jc w:val="both"/>
        <w:rPr>
          <w:rFonts w:cs="Arial"/>
          <w:b/>
          <w:i/>
          <w:sz w:val="12"/>
          <w:szCs w:val="12"/>
          <w:lang w:val="es-ES"/>
        </w:rPr>
      </w:pPr>
    </w:p>
    <w:p w:rsidR="00DF0DDC" w:rsidRPr="006072DB" w:rsidRDefault="00DF0DDC" w:rsidP="00A276D1">
      <w:pPr>
        <w:spacing w:after="0" w:line="240" w:lineRule="auto"/>
        <w:jc w:val="both"/>
        <w:rPr>
          <w:rFonts w:cs="Arial"/>
          <w:szCs w:val="24"/>
          <w:lang w:val="es-ES"/>
        </w:rPr>
      </w:pPr>
      <w:r w:rsidRPr="006072DB">
        <w:rPr>
          <w:rFonts w:cs="Arial"/>
          <w:szCs w:val="24"/>
          <w:lang w:val="es-ES"/>
        </w:rPr>
        <w:t xml:space="preserve">Existen 64,000 personas que habitan locales no </w:t>
      </w:r>
      <w:r w:rsidR="00E95A20" w:rsidRPr="006072DB">
        <w:rPr>
          <w:rFonts w:cs="Arial"/>
          <w:szCs w:val="24"/>
          <w:lang w:val="es-ES"/>
        </w:rPr>
        <w:t>construidos para</w:t>
      </w:r>
      <w:r w:rsidR="006072DB" w:rsidRPr="006072DB">
        <w:rPr>
          <w:rFonts w:cs="Arial"/>
          <w:szCs w:val="24"/>
          <w:lang w:val="es-ES"/>
        </w:rPr>
        <w:t xml:space="preserve"> habitación, viviendas móviles o refugios, los cuales podrían no presentar </w:t>
      </w:r>
      <w:r w:rsidR="00E95A20" w:rsidRPr="006072DB">
        <w:rPr>
          <w:rFonts w:cs="Arial"/>
          <w:szCs w:val="24"/>
          <w:lang w:val="es-ES"/>
        </w:rPr>
        <w:t>los elementos</w:t>
      </w:r>
      <w:r w:rsidR="006072DB" w:rsidRPr="006072DB">
        <w:rPr>
          <w:rFonts w:cs="Arial"/>
          <w:szCs w:val="24"/>
          <w:lang w:val="es-ES"/>
        </w:rPr>
        <w:t xml:space="preserve"> mínimos de habitabilidad.</w:t>
      </w:r>
    </w:p>
    <w:p w:rsidR="00DF0DDC" w:rsidRPr="00817214" w:rsidRDefault="00DF0DDC" w:rsidP="00A276D1">
      <w:pPr>
        <w:spacing w:after="0" w:line="240" w:lineRule="auto"/>
        <w:jc w:val="both"/>
        <w:rPr>
          <w:rFonts w:cs="Arial"/>
          <w:b/>
          <w:i/>
          <w:sz w:val="12"/>
          <w:szCs w:val="12"/>
          <w:lang w:val="es-ES"/>
        </w:rPr>
      </w:pPr>
    </w:p>
    <w:p w:rsidR="00911E3F" w:rsidRDefault="00911E3F" w:rsidP="00A276D1">
      <w:pPr>
        <w:spacing w:after="0" w:line="240" w:lineRule="auto"/>
        <w:jc w:val="both"/>
        <w:rPr>
          <w:rFonts w:cs="Arial"/>
          <w:b/>
          <w:i/>
          <w:szCs w:val="24"/>
          <w:lang w:val="es-ES"/>
        </w:rPr>
      </w:pPr>
      <w:r w:rsidRPr="00796CA2">
        <w:rPr>
          <w:rFonts w:cs="Arial"/>
          <w:b/>
          <w:i/>
          <w:szCs w:val="24"/>
          <w:lang w:val="es-ES"/>
        </w:rPr>
        <w:t>Seguridad de la tenencia</w:t>
      </w:r>
    </w:p>
    <w:p w:rsidR="00796CA2" w:rsidRPr="00ED4D35" w:rsidRDefault="00796CA2" w:rsidP="00A276D1">
      <w:pPr>
        <w:spacing w:after="0" w:line="240" w:lineRule="auto"/>
        <w:jc w:val="both"/>
        <w:rPr>
          <w:rFonts w:cs="Arial"/>
          <w:b/>
          <w:i/>
          <w:sz w:val="12"/>
          <w:szCs w:val="12"/>
          <w:lang w:val="es-ES"/>
        </w:rPr>
      </w:pPr>
    </w:p>
    <w:p w:rsidR="00796CA2" w:rsidRDefault="00796CA2" w:rsidP="00A276D1">
      <w:pPr>
        <w:spacing w:after="0" w:line="240" w:lineRule="auto"/>
        <w:jc w:val="both"/>
        <w:rPr>
          <w:rFonts w:cs="Arial"/>
          <w:szCs w:val="24"/>
          <w:lang w:val="es-ES"/>
        </w:rPr>
      </w:pPr>
      <w:r>
        <w:rPr>
          <w:rFonts w:cs="Arial"/>
          <w:szCs w:val="24"/>
          <w:lang w:val="es-ES"/>
        </w:rPr>
        <w:t xml:space="preserve">El </w:t>
      </w:r>
      <w:r w:rsidRPr="00796CA2">
        <w:rPr>
          <w:rFonts w:cs="Arial"/>
          <w:szCs w:val="24"/>
          <w:lang w:val="es-ES"/>
        </w:rPr>
        <w:t xml:space="preserve">13% </w:t>
      </w:r>
      <w:r w:rsidR="00E95A20" w:rsidRPr="00796CA2">
        <w:rPr>
          <w:rFonts w:cs="Arial"/>
          <w:szCs w:val="24"/>
          <w:lang w:val="es-ES"/>
        </w:rPr>
        <w:t>de los</w:t>
      </w:r>
      <w:r w:rsidRPr="00796CA2">
        <w:rPr>
          <w:rFonts w:cs="Arial"/>
          <w:szCs w:val="24"/>
          <w:lang w:val="es-ES"/>
        </w:rPr>
        <w:t xml:space="preserve"> mexicanos que afirman ser propietarios </w:t>
      </w:r>
      <w:r w:rsidR="00E95A20" w:rsidRPr="00796CA2">
        <w:rPr>
          <w:rFonts w:cs="Arial"/>
          <w:szCs w:val="24"/>
          <w:lang w:val="es-ES"/>
        </w:rPr>
        <w:t>de</w:t>
      </w:r>
      <w:r w:rsidR="00E95A20">
        <w:rPr>
          <w:rFonts w:cs="Arial"/>
          <w:szCs w:val="24"/>
          <w:lang w:val="es-ES"/>
        </w:rPr>
        <w:t xml:space="preserve"> </w:t>
      </w:r>
      <w:r w:rsidR="00E95A20" w:rsidRPr="00796CA2">
        <w:rPr>
          <w:rFonts w:cs="Arial"/>
          <w:szCs w:val="24"/>
          <w:lang w:val="es-ES"/>
        </w:rPr>
        <w:t>sus</w:t>
      </w:r>
      <w:r w:rsidRPr="00796CA2">
        <w:rPr>
          <w:rFonts w:cs="Arial"/>
          <w:szCs w:val="24"/>
          <w:lang w:val="es-ES"/>
        </w:rPr>
        <w:t xml:space="preserve"> viviendas no poseen un título que lo </w:t>
      </w:r>
      <w:r w:rsidR="00E95A20" w:rsidRPr="00796CA2">
        <w:rPr>
          <w:rFonts w:cs="Arial"/>
          <w:szCs w:val="24"/>
          <w:lang w:val="es-ES"/>
        </w:rPr>
        <w:t>avale, de</w:t>
      </w:r>
      <w:r w:rsidRPr="00796CA2">
        <w:rPr>
          <w:rFonts w:cs="Arial"/>
          <w:szCs w:val="24"/>
          <w:lang w:val="es-ES"/>
        </w:rPr>
        <w:t xml:space="preserve"> acuerdo con la ENIGH 2016</w:t>
      </w:r>
      <w:r w:rsidR="008305FB">
        <w:rPr>
          <w:rStyle w:val="FootnoteReference"/>
          <w:rFonts w:cs="Arial"/>
          <w:szCs w:val="24"/>
          <w:lang w:val="es-ES"/>
        </w:rPr>
        <w:footnoteReference w:id="8"/>
      </w:r>
      <w:r w:rsidRPr="00796CA2">
        <w:rPr>
          <w:rFonts w:cs="Arial"/>
          <w:szCs w:val="24"/>
          <w:lang w:val="es-ES"/>
        </w:rPr>
        <w:t>, 27.4%de las viviendas en México no tienen escrituras.</w:t>
      </w:r>
    </w:p>
    <w:p w:rsidR="008305FB" w:rsidRPr="00ED4D35" w:rsidRDefault="008305FB" w:rsidP="00A276D1">
      <w:pPr>
        <w:spacing w:after="0" w:line="240" w:lineRule="auto"/>
        <w:jc w:val="both"/>
        <w:rPr>
          <w:rFonts w:cs="Arial"/>
          <w:sz w:val="12"/>
          <w:szCs w:val="12"/>
          <w:lang w:val="es-ES"/>
        </w:rPr>
      </w:pPr>
    </w:p>
    <w:p w:rsidR="008305FB" w:rsidRPr="00796CA2" w:rsidRDefault="008305FB" w:rsidP="00A276D1">
      <w:pPr>
        <w:spacing w:after="0" w:line="240" w:lineRule="auto"/>
        <w:jc w:val="both"/>
        <w:rPr>
          <w:rFonts w:cs="Arial"/>
          <w:szCs w:val="24"/>
          <w:lang w:val="es-ES"/>
        </w:rPr>
      </w:pPr>
      <w:r>
        <w:rPr>
          <w:rFonts w:cs="Arial"/>
          <w:szCs w:val="24"/>
          <w:lang w:val="es-ES"/>
        </w:rPr>
        <w:t>La</w:t>
      </w:r>
      <w:r w:rsidRPr="008305FB">
        <w:rPr>
          <w:rFonts w:cs="Arial"/>
          <w:szCs w:val="24"/>
          <w:lang w:val="es-ES"/>
        </w:rPr>
        <w:t xml:space="preserve"> </w:t>
      </w:r>
      <w:r w:rsidR="00E95A20" w:rsidRPr="008305FB">
        <w:rPr>
          <w:rFonts w:cs="Arial"/>
          <w:szCs w:val="24"/>
          <w:lang w:val="es-ES"/>
        </w:rPr>
        <w:t>titularidad de</w:t>
      </w:r>
      <w:r w:rsidRPr="008305FB">
        <w:rPr>
          <w:rFonts w:cs="Arial"/>
          <w:szCs w:val="24"/>
          <w:lang w:val="es-ES"/>
        </w:rPr>
        <w:t xml:space="preserve"> las viviendas por parte de mujeres es de30% en el ámbito rural y 30.9%, en las </w:t>
      </w:r>
      <w:r w:rsidR="00E95A20" w:rsidRPr="008305FB">
        <w:rPr>
          <w:rFonts w:cs="Arial"/>
          <w:szCs w:val="24"/>
          <w:lang w:val="es-ES"/>
        </w:rPr>
        <w:t>comunidades indígenas</w:t>
      </w:r>
      <w:r>
        <w:rPr>
          <w:rFonts w:cs="Arial"/>
          <w:szCs w:val="24"/>
          <w:lang w:val="es-ES"/>
        </w:rPr>
        <w:t xml:space="preserve">, con desigualdades marcadas por la condición de género en particular en estos ámbitos. </w:t>
      </w:r>
    </w:p>
    <w:p w:rsidR="00796CA2" w:rsidRPr="00ED4D35" w:rsidRDefault="00796CA2" w:rsidP="00A276D1">
      <w:pPr>
        <w:spacing w:after="0" w:line="240" w:lineRule="auto"/>
        <w:jc w:val="both"/>
        <w:rPr>
          <w:rFonts w:cs="Arial"/>
          <w:b/>
          <w:sz w:val="12"/>
          <w:szCs w:val="12"/>
          <w:lang w:val="es-ES"/>
        </w:rPr>
      </w:pPr>
    </w:p>
    <w:p w:rsidR="00911E3F" w:rsidRDefault="00911E3F" w:rsidP="00A276D1">
      <w:pPr>
        <w:spacing w:after="0" w:line="240" w:lineRule="auto"/>
        <w:jc w:val="both"/>
        <w:rPr>
          <w:rFonts w:cs="Arial"/>
          <w:b/>
          <w:i/>
          <w:szCs w:val="24"/>
          <w:lang w:val="es-ES"/>
        </w:rPr>
      </w:pPr>
      <w:r w:rsidRPr="00796CA2">
        <w:rPr>
          <w:rFonts w:cs="Arial"/>
          <w:b/>
          <w:i/>
          <w:szCs w:val="24"/>
          <w:lang w:val="es-ES"/>
        </w:rPr>
        <w:t>Disponibilidad de servicios, materiales, instalaciones e infraestructura</w:t>
      </w:r>
    </w:p>
    <w:p w:rsidR="00276147" w:rsidRPr="00ED4D35" w:rsidRDefault="00276147" w:rsidP="00A276D1">
      <w:pPr>
        <w:spacing w:after="0" w:line="240" w:lineRule="auto"/>
        <w:jc w:val="both"/>
        <w:rPr>
          <w:rFonts w:cs="Arial"/>
          <w:b/>
          <w:i/>
          <w:sz w:val="12"/>
          <w:szCs w:val="12"/>
          <w:lang w:val="es-ES"/>
        </w:rPr>
      </w:pPr>
    </w:p>
    <w:p w:rsidR="00276147" w:rsidRDefault="00E95A20" w:rsidP="00A276D1">
      <w:pPr>
        <w:spacing w:after="0" w:line="240" w:lineRule="auto"/>
        <w:jc w:val="both"/>
        <w:rPr>
          <w:rFonts w:cs="Arial"/>
          <w:szCs w:val="24"/>
          <w:lang w:val="es-ES"/>
        </w:rPr>
      </w:pPr>
      <w:r>
        <w:rPr>
          <w:rFonts w:cs="Arial"/>
          <w:szCs w:val="24"/>
          <w:lang w:val="es-ES"/>
        </w:rPr>
        <w:t>L</w:t>
      </w:r>
      <w:r w:rsidRPr="00276147">
        <w:rPr>
          <w:rFonts w:cs="Arial"/>
          <w:szCs w:val="24"/>
          <w:lang w:val="es-ES"/>
        </w:rPr>
        <w:t>a cobertura de servicios básicos es alta a nivel nacional solo 19.3% de la población presenta carencia por acceso a los servicios básicos en la vivienda</w:t>
      </w:r>
      <w:r>
        <w:rPr>
          <w:rFonts w:cs="Arial"/>
          <w:szCs w:val="24"/>
          <w:lang w:val="es-ES"/>
        </w:rPr>
        <w:t>, en el ámbito rural la</w:t>
      </w:r>
      <w:r w:rsidRPr="00276147">
        <w:rPr>
          <w:rFonts w:cs="Arial"/>
          <w:szCs w:val="24"/>
          <w:lang w:val="es-ES"/>
        </w:rPr>
        <w:t xml:space="preserve"> cobertura desciende de manera notoria:53.1% de la población que habita en localidades rurales presenta carencia por acceso a servicios básicos en la vivienda</w:t>
      </w:r>
      <w:r>
        <w:rPr>
          <w:rFonts w:cs="Arial"/>
          <w:szCs w:val="24"/>
          <w:lang w:val="es-ES"/>
        </w:rPr>
        <w:t>.</w:t>
      </w:r>
    </w:p>
    <w:p w:rsidR="00276147" w:rsidRPr="00ED4D35" w:rsidRDefault="00276147" w:rsidP="00A276D1">
      <w:pPr>
        <w:spacing w:after="0" w:line="240" w:lineRule="auto"/>
        <w:jc w:val="both"/>
        <w:rPr>
          <w:rFonts w:cs="Arial"/>
          <w:sz w:val="12"/>
          <w:szCs w:val="12"/>
          <w:lang w:val="es-ES"/>
        </w:rPr>
      </w:pPr>
    </w:p>
    <w:p w:rsidR="00276147" w:rsidRDefault="00276147" w:rsidP="00A276D1">
      <w:pPr>
        <w:spacing w:after="0" w:line="240" w:lineRule="auto"/>
        <w:jc w:val="both"/>
        <w:rPr>
          <w:rFonts w:cs="Arial"/>
          <w:szCs w:val="24"/>
          <w:lang w:val="es-ES"/>
        </w:rPr>
      </w:pPr>
      <w:r>
        <w:rPr>
          <w:rFonts w:cs="Arial"/>
          <w:szCs w:val="24"/>
          <w:lang w:val="es-ES"/>
        </w:rPr>
        <w:t xml:space="preserve">La </w:t>
      </w:r>
      <w:r w:rsidRPr="00276147">
        <w:rPr>
          <w:rFonts w:cs="Arial"/>
          <w:szCs w:val="24"/>
          <w:lang w:val="es-ES"/>
        </w:rPr>
        <w:t xml:space="preserve">disponibilidad de la infraestructura </w:t>
      </w:r>
      <w:r w:rsidR="00E95A20" w:rsidRPr="00276147">
        <w:rPr>
          <w:rFonts w:cs="Arial"/>
          <w:szCs w:val="24"/>
          <w:lang w:val="es-ES"/>
        </w:rPr>
        <w:t>complementaria, como</w:t>
      </w:r>
      <w:r w:rsidRPr="00276147">
        <w:rPr>
          <w:rFonts w:cs="Arial"/>
          <w:szCs w:val="24"/>
          <w:lang w:val="es-ES"/>
        </w:rPr>
        <w:t xml:space="preserve"> el alumbrado público o </w:t>
      </w:r>
      <w:r w:rsidR="00E95A20" w:rsidRPr="00276147">
        <w:rPr>
          <w:rFonts w:cs="Arial"/>
          <w:szCs w:val="24"/>
          <w:lang w:val="es-ES"/>
        </w:rPr>
        <w:t>la pavimentación</w:t>
      </w:r>
      <w:r w:rsidRPr="00276147">
        <w:rPr>
          <w:rFonts w:cs="Arial"/>
          <w:szCs w:val="24"/>
          <w:lang w:val="es-ES"/>
        </w:rPr>
        <w:t xml:space="preserve"> de las calles en el </w:t>
      </w:r>
      <w:r w:rsidR="00E95A20" w:rsidRPr="00276147">
        <w:rPr>
          <w:rFonts w:cs="Arial"/>
          <w:szCs w:val="24"/>
          <w:lang w:val="es-ES"/>
        </w:rPr>
        <w:t>entorno inmediato</w:t>
      </w:r>
      <w:r w:rsidRPr="00276147">
        <w:rPr>
          <w:rFonts w:cs="Arial"/>
          <w:szCs w:val="24"/>
          <w:lang w:val="es-ES"/>
        </w:rPr>
        <w:t xml:space="preserve"> a las viviendas, mostró muy baja</w:t>
      </w:r>
      <w:r>
        <w:rPr>
          <w:rFonts w:cs="Arial"/>
          <w:szCs w:val="24"/>
          <w:lang w:val="es-ES"/>
        </w:rPr>
        <w:t xml:space="preserve"> cobertura en todo el país. </w:t>
      </w:r>
      <w:r w:rsidRPr="00276147">
        <w:rPr>
          <w:rFonts w:cs="Arial"/>
          <w:szCs w:val="24"/>
          <w:lang w:val="es-ES"/>
        </w:rPr>
        <w:t>Los</w:t>
      </w:r>
      <w:r>
        <w:rPr>
          <w:rFonts w:cs="Arial"/>
          <w:szCs w:val="24"/>
          <w:lang w:val="es-ES"/>
        </w:rPr>
        <w:t xml:space="preserve"> estados</w:t>
      </w:r>
      <w:r w:rsidRPr="00276147">
        <w:rPr>
          <w:rFonts w:cs="Arial"/>
          <w:szCs w:val="24"/>
          <w:lang w:val="es-ES"/>
        </w:rPr>
        <w:t xml:space="preserve"> del sur, </w:t>
      </w:r>
      <w:r w:rsidR="00E95A20" w:rsidRPr="00276147">
        <w:rPr>
          <w:rFonts w:cs="Arial"/>
          <w:szCs w:val="24"/>
          <w:lang w:val="es-ES"/>
        </w:rPr>
        <w:t>Guerrero, Chiapas</w:t>
      </w:r>
      <w:r w:rsidRPr="00276147">
        <w:rPr>
          <w:rFonts w:cs="Arial"/>
          <w:szCs w:val="24"/>
          <w:lang w:val="es-ES"/>
        </w:rPr>
        <w:t xml:space="preserve"> y Oaxaca, tienen los niveles más </w:t>
      </w:r>
      <w:r w:rsidR="00E95A20" w:rsidRPr="00276147">
        <w:rPr>
          <w:rFonts w:cs="Arial"/>
          <w:szCs w:val="24"/>
          <w:lang w:val="es-ES"/>
        </w:rPr>
        <w:t>bajos de</w:t>
      </w:r>
      <w:r w:rsidRPr="00276147">
        <w:rPr>
          <w:rFonts w:cs="Arial"/>
          <w:szCs w:val="24"/>
          <w:lang w:val="es-ES"/>
        </w:rPr>
        <w:t xml:space="preserve"> cobertura en los servicios básicos y </w:t>
      </w:r>
      <w:r w:rsidR="00E95A20" w:rsidRPr="00276147">
        <w:rPr>
          <w:rFonts w:cs="Arial"/>
          <w:szCs w:val="24"/>
          <w:lang w:val="es-ES"/>
        </w:rPr>
        <w:t>complementarios de</w:t>
      </w:r>
      <w:r w:rsidRPr="00276147">
        <w:rPr>
          <w:rFonts w:cs="Arial"/>
          <w:szCs w:val="24"/>
          <w:lang w:val="es-ES"/>
        </w:rPr>
        <w:t xml:space="preserve"> todo el país</w:t>
      </w:r>
      <w:r>
        <w:rPr>
          <w:rFonts w:cs="Arial"/>
          <w:szCs w:val="24"/>
          <w:lang w:val="es-ES"/>
        </w:rPr>
        <w:t>.</w:t>
      </w:r>
    </w:p>
    <w:p w:rsidR="00276147" w:rsidRPr="00ED4D35" w:rsidRDefault="00276147" w:rsidP="00A276D1">
      <w:pPr>
        <w:spacing w:after="0" w:line="240" w:lineRule="auto"/>
        <w:jc w:val="both"/>
        <w:rPr>
          <w:rFonts w:cs="Arial"/>
          <w:sz w:val="12"/>
          <w:szCs w:val="12"/>
          <w:lang w:val="es-ES"/>
        </w:rPr>
      </w:pPr>
    </w:p>
    <w:p w:rsidR="00276147" w:rsidRDefault="00276147" w:rsidP="00A276D1">
      <w:pPr>
        <w:spacing w:after="0" w:line="240" w:lineRule="auto"/>
        <w:jc w:val="both"/>
        <w:rPr>
          <w:rFonts w:cs="Arial"/>
          <w:szCs w:val="24"/>
          <w:lang w:val="es-ES"/>
        </w:rPr>
      </w:pPr>
      <w:r>
        <w:rPr>
          <w:rFonts w:cs="Arial"/>
          <w:szCs w:val="24"/>
          <w:lang w:val="es-ES"/>
        </w:rPr>
        <w:t>E</w:t>
      </w:r>
      <w:r w:rsidRPr="00276147">
        <w:rPr>
          <w:rFonts w:cs="Arial"/>
          <w:szCs w:val="24"/>
          <w:lang w:val="es-ES"/>
        </w:rPr>
        <w:t xml:space="preserve">n 2017, 49% de </w:t>
      </w:r>
      <w:r w:rsidR="00E95A20" w:rsidRPr="00276147">
        <w:rPr>
          <w:rFonts w:cs="Arial"/>
          <w:szCs w:val="24"/>
          <w:lang w:val="es-ES"/>
        </w:rPr>
        <w:t>las viviendas</w:t>
      </w:r>
      <w:r w:rsidRPr="00276147">
        <w:rPr>
          <w:rFonts w:cs="Arial"/>
          <w:szCs w:val="24"/>
          <w:lang w:val="es-ES"/>
        </w:rPr>
        <w:t xml:space="preserve"> no disponían de servicio de </w:t>
      </w:r>
      <w:r w:rsidR="00E95A20">
        <w:rPr>
          <w:rFonts w:cs="Arial"/>
          <w:szCs w:val="24"/>
          <w:lang w:val="es-ES"/>
        </w:rPr>
        <w:t>I</w:t>
      </w:r>
      <w:r w:rsidR="00E95A20" w:rsidRPr="00276147">
        <w:rPr>
          <w:rFonts w:cs="Arial"/>
          <w:szCs w:val="24"/>
          <w:lang w:val="es-ES"/>
        </w:rPr>
        <w:t>nternet en</w:t>
      </w:r>
      <w:r w:rsidRPr="00276147">
        <w:rPr>
          <w:rFonts w:cs="Arial"/>
          <w:szCs w:val="24"/>
          <w:lang w:val="es-ES"/>
        </w:rPr>
        <w:t xml:space="preserve"> el ámbito rural </w:t>
      </w:r>
      <w:r w:rsidR="00DF0DDC" w:rsidRPr="00276147">
        <w:rPr>
          <w:rFonts w:cs="Arial"/>
          <w:szCs w:val="24"/>
          <w:lang w:val="es-ES"/>
        </w:rPr>
        <w:t>alcanzó 93.5</w:t>
      </w:r>
      <w:r w:rsidR="00DF0DDC">
        <w:rPr>
          <w:rFonts w:cs="Arial"/>
          <w:szCs w:val="24"/>
          <w:lang w:val="es-ES"/>
        </w:rPr>
        <w:t xml:space="preserve">% </w:t>
      </w:r>
      <w:r w:rsidRPr="00276147">
        <w:rPr>
          <w:rFonts w:cs="Arial"/>
          <w:szCs w:val="24"/>
          <w:lang w:val="es-ES"/>
        </w:rPr>
        <w:t xml:space="preserve">y en </w:t>
      </w:r>
      <w:r w:rsidR="00E95A20" w:rsidRPr="00276147">
        <w:rPr>
          <w:rFonts w:cs="Arial"/>
          <w:szCs w:val="24"/>
          <w:lang w:val="es-ES"/>
        </w:rPr>
        <w:t>las comunidades</w:t>
      </w:r>
      <w:r w:rsidRPr="00276147">
        <w:rPr>
          <w:rFonts w:cs="Arial"/>
          <w:szCs w:val="24"/>
          <w:lang w:val="es-ES"/>
        </w:rPr>
        <w:t xml:space="preserve"> indígenas 88.7%</w:t>
      </w:r>
      <w:r w:rsidR="00DF0DDC">
        <w:rPr>
          <w:rFonts w:cs="Arial"/>
          <w:szCs w:val="24"/>
          <w:lang w:val="es-ES"/>
        </w:rPr>
        <w:t>.</w:t>
      </w:r>
    </w:p>
    <w:p w:rsidR="00276147" w:rsidRPr="00ED4D35" w:rsidRDefault="00276147" w:rsidP="00A276D1">
      <w:pPr>
        <w:spacing w:after="0" w:line="240" w:lineRule="auto"/>
        <w:jc w:val="both"/>
        <w:rPr>
          <w:rFonts w:cs="Arial"/>
          <w:b/>
          <w:i/>
          <w:sz w:val="12"/>
          <w:szCs w:val="12"/>
          <w:lang w:val="es-ES"/>
        </w:rPr>
      </w:pPr>
    </w:p>
    <w:p w:rsidR="00911E3F" w:rsidRDefault="00911E3F" w:rsidP="00A276D1">
      <w:pPr>
        <w:spacing w:after="0" w:line="240" w:lineRule="auto"/>
        <w:jc w:val="both"/>
        <w:rPr>
          <w:rFonts w:cs="Arial"/>
          <w:b/>
          <w:i/>
          <w:szCs w:val="24"/>
          <w:lang w:val="es-ES"/>
        </w:rPr>
      </w:pPr>
      <w:r w:rsidRPr="00796CA2">
        <w:rPr>
          <w:rFonts w:cs="Arial"/>
          <w:b/>
          <w:i/>
          <w:szCs w:val="24"/>
          <w:lang w:val="es-ES"/>
        </w:rPr>
        <w:lastRenderedPageBreak/>
        <w:t>Ubicación</w:t>
      </w:r>
    </w:p>
    <w:p w:rsidR="008305FB" w:rsidRPr="00ED4D35" w:rsidRDefault="008305FB" w:rsidP="00A276D1">
      <w:pPr>
        <w:spacing w:after="0" w:line="240" w:lineRule="auto"/>
        <w:jc w:val="both"/>
        <w:rPr>
          <w:rFonts w:cs="Arial"/>
          <w:b/>
          <w:i/>
          <w:sz w:val="12"/>
          <w:szCs w:val="12"/>
          <w:lang w:val="es-ES"/>
        </w:rPr>
      </w:pPr>
    </w:p>
    <w:p w:rsidR="008305FB" w:rsidRPr="008305FB" w:rsidRDefault="008305FB" w:rsidP="00A276D1">
      <w:pPr>
        <w:spacing w:after="0" w:line="240" w:lineRule="auto"/>
        <w:jc w:val="both"/>
        <w:rPr>
          <w:rFonts w:cs="Arial"/>
          <w:szCs w:val="24"/>
          <w:lang w:val="es-ES"/>
        </w:rPr>
      </w:pPr>
      <w:r w:rsidRPr="008305FB">
        <w:rPr>
          <w:rFonts w:cs="Arial"/>
          <w:szCs w:val="24"/>
          <w:lang w:val="es-ES"/>
        </w:rPr>
        <w:t xml:space="preserve">Solo 14.7% de las viviendas están </w:t>
      </w:r>
      <w:r w:rsidR="00E95A20" w:rsidRPr="008305FB">
        <w:rPr>
          <w:rFonts w:cs="Arial"/>
          <w:szCs w:val="24"/>
          <w:lang w:val="es-ES"/>
        </w:rPr>
        <w:t>bien ubicadas</w:t>
      </w:r>
      <w:r w:rsidRPr="008305FB">
        <w:rPr>
          <w:rFonts w:cs="Arial"/>
          <w:szCs w:val="24"/>
          <w:lang w:val="es-ES"/>
        </w:rPr>
        <w:t xml:space="preserve">, es decir, cuentan con </w:t>
      </w:r>
      <w:r w:rsidR="00E95A20" w:rsidRPr="008305FB">
        <w:rPr>
          <w:rFonts w:cs="Arial"/>
          <w:szCs w:val="24"/>
          <w:lang w:val="es-ES"/>
        </w:rPr>
        <w:t>infraestructura básica</w:t>
      </w:r>
      <w:r w:rsidRPr="008305FB">
        <w:rPr>
          <w:rFonts w:cs="Arial"/>
          <w:szCs w:val="24"/>
          <w:lang w:val="es-ES"/>
        </w:rPr>
        <w:t xml:space="preserve"> y están próximas a fuentes de empleo:</w:t>
      </w:r>
      <w:r>
        <w:rPr>
          <w:rFonts w:cs="Arial"/>
          <w:szCs w:val="24"/>
          <w:lang w:val="es-ES"/>
        </w:rPr>
        <w:t xml:space="preserve"> El mayor porcentaje se concentra en </w:t>
      </w:r>
      <w:r w:rsidRPr="008305FB">
        <w:rPr>
          <w:rFonts w:cs="Arial"/>
          <w:szCs w:val="24"/>
          <w:lang w:val="es-ES"/>
        </w:rPr>
        <w:t>Ciudad de México (100%), Tlaxcala (86.8%) y</w:t>
      </w:r>
      <w:r>
        <w:rPr>
          <w:rFonts w:cs="Arial"/>
          <w:szCs w:val="24"/>
          <w:lang w:val="es-ES"/>
        </w:rPr>
        <w:t xml:space="preserve"> Durango (57.5%). </w:t>
      </w:r>
      <w:r w:rsidRPr="008305FB">
        <w:rPr>
          <w:rFonts w:cs="Arial"/>
          <w:szCs w:val="24"/>
          <w:lang w:val="es-ES"/>
        </w:rPr>
        <w:t xml:space="preserve">Además, en 2010, 20.3millones de personas habitaban </w:t>
      </w:r>
      <w:r w:rsidR="00E95A20" w:rsidRPr="008305FB">
        <w:rPr>
          <w:rFonts w:cs="Arial"/>
          <w:szCs w:val="24"/>
          <w:lang w:val="es-ES"/>
        </w:rPr>
        <w:t>localidades rurales</w:t>
      </w:r>
      <w:r w:rsidRPr="008305FB">
        <w:rPr>
          <w:rFonts w:cs="Arial"/>
          <w:szCs w:val="24"/>
          <w:lang w:val="es-ES"/>
        </w:rPr>
        <w:t xml:space="preserve"> en condiciones de aislamiento; lo </w:t>
      </w:r>
      <w:r w:rsidR="00E95A20" w:rsidRPr="008305FB">
        <w:rPr>
          <w:rFonts w:cs="Arial"/>
          <w:szCs w:val="24"/>
          <w:lang w:val="es-ES"/>
        </w:rPr>
        <w:t>cual, se</w:t>
      </w:r>
      <w:r w:rsidRPr="008305FB">
        <w:rPr>
          <w:rFonts w:cs="Arial"/>
          <w:szCs w:val="24"/>
          <w:lang w:val="es-ES"/>
        </w:rPr>
        <w:t xml:space="preserve"> traduce en limitaciones en el acceso </w:t>
      </w:r>
      <w:r w:rsidR="00E95A20" w:rsidRPr="008305FB">
        <w:rPr>
          <w:rFonts w:cs="Arial"/>
          <w:szCs w:val="24"/>
          <w:lang w:val="es-ES"/>
        </w:rPr>
        <w:t>a</w:t>
      </w:r>
      <w:r w:rsidR="00E95A20">
        <w:rPr>
          <w:rFonts w:cs="Arial"/>
          <w:szCs w:val="24"/>
          <w:lang w:val="es-ES"/>
        </w:rPr>
        <w:t xml:space="preserve"> </w:t>
      </w:r>
      <w:r w:rsidR="00E95A20" w:rsidRPr="008305FB">
        <w:rPr>
          <w:rFonts w:cs="Arial"/>
          <w:szCs w:val="24"/>
          <w:lang w:val="es-ES"/>
        </w:rPr>
        <w:t>bienes</w:t>
      </w:r>
      <w:r w:rsidRPr="008305FB">
        <w:rPr>
          <w:rFonts w:cs="Arial"/>
          <w:szCs w:val="24"/>
          <w:lang w:val="es-ES"/>
        </w:rPr>
        <w:t xml:space="preserve"> y servicios básicos y complementarios.</w:t>
      </w:r>
    </w:p>
    <w:p w:rsidR="008305FB" w:rsidRPr="00ED4D35" w:rsidRDefault="008305FB" w:rsidP="00A276D1">
      <w:pPr>
        <w:spacing w:after="0" w:line="240" w:lineRule="auto"/>
        <w:jc w:val="both"/>
        <w:rPr>
          <w:rFonts w:cs="Arial"/>
          <w:b/>
          <w:i/>
          <w:sz w:val="12"/>
          <w:szCs w:val="12"/>
          <w:lang w:val="es-ES"/>
        </w:rPr>
      </w:pPr>
    </w:p>
    <w:p w:rsidR="00911E3F" w:rsidRDefault="00911E3F" w:rsidP="00A276D1">
      <w:pPr>
        <w:spacing w:after="0" w:line="240" w:lineRule="auto"/>
        <w:jc w:val="both"/>
        <w:rPr>
          <w:rFonts w:cs="Arial"/>
          <w:b/>
          <w:i/>
          <w:szCs w:val="24"/>
          <w:lang w:val="es-ES"/>
        </w:rPr>
      </w:pPr>
      <w:r w:rsidRPr="00796CA2">
        <w:rPr>
          <w:rFonts w:cs="Arial"/>
          <w:b/>
          <w:i/>
          <w:szCs w:val="24"/>
          <w:lang w:val="es-ES"/>
        </w:rPr>
        <w:t>Adecuación cultural</w:t>
      </w:r>
    </w:p>
    <w:p w:rsidR="006072DB" w:rsidRPr="00ED4D35" w:rsidRDefault="006072DB" w:rsidP="00A276D1">
      <w:pPr>
        <w:spacing w:after="0" w:line="240" w:lineRule="auto"/>
        <w:jc w:val="both"/>
        <w:rPr>
          <w:rFonts w:cs="Arial"/>
          <w:b/>
          <w:i/>
          <w:sz w:val="12"/>
          <w:szCs w:val="12"/>
          <w:lang w:val="es-ES"/>
        </w:rPr>
      </w:pPr>
    </w:p>
    <w:p w:rsidR="006072DB" w:rsidRPr="006072DB" w:rsidRDefault="006072DB" w:rsidP="00A276D1">
      <w:pPr>
        <w:spacing w:after="0" w:line="240" w:lineRule="auto"/>
        <w:jc w:val="both"/>
        <w:rPr>
          <w:rFonts w:cs="Arial"/>
          <w:szCs w:val="24"/>
          <w:lang w:val="es-ES"/>
        </w:rPr>
      </w:pPr>
      <w:r>
        <w:rPr>
          <w:rFonts w:cs="Arial"/>
          <w:szCs w:val="24"/>
          <w:lang w:val="es-ES"/>
        </w:rPr>
        <w:t>C</w:t>
      </w:r>
      <w:r w:rsidRPr="006072DB">
        <w:rPr>
          <w:rFonts w:cs="Arial"/>
          <w:szCs w:val="24"/>
          <w:lang w:val="es-ES"/>
        </w:rPr>
        <w:t xml:space="preserve">erca de 50% de los mexicanos </w:t>
      </w:r>
      <w:r w:rsidR="00E95A20" w:rsidRPr="006072DB">
        <w:rPr>
          <w:rFonts w:cs="Arial"/>
          <w:szCs w:val="24"/>
          <w:lang w:val="es-ES"/>
        </w:rPr>
        <w:t>reportaron sentirse</w:t>
      </w:r>
      <w:r w:rsidRPr="006072DB">
        <w:rPr>
          <w:rFonts w:cs="Arial"/>
          <w:szCs w:val="24"/>
          <w:lang w:val="es-ES"/>
        </w:rPr>
        <w:t xml:space="preserve"> satisfechos con su vivienda; </w:t>
      </w:r>
      <w:r w:rsidR="00544729">
        <w:rPr>
          <w:rFonts w:cs="Arial"/>
          <w:szCs w:val="24"/>
          <w:lang w:val="es-ES"/>
        </w:rPr>
        <w:t xml:space="preserve">los estados con menor satisfacción son </w:t>
      </w:r>
      <w:r w:rsidRPr="006072DB">
        <w:rPr>
          <w:rFonts w:cs="Arial"/>
          <w:szCs w:val="24"/>
          <w:lang w:val="es-ES"/>
        </w:rPr>
        <w:t xml:space="preserve">Tabasco (13.9%), Guerrero (17.8%) </w:t>
      </w:r>
      <w:r w:rsidR="00E95A20" w:rsidRPr="006072DB">
        <w:rPr>
          <w:rFonts w:cs="Arial"/>
          <w:szCs w:val="24"/>
          <w:lang w:val="es-ES"/>
        </w:rPr>
        <w:t>y Tlaxcala</w:t>
      </w:r>
      <w:r w:rsidRPr="006072DB">
        <w:rPr>
          <w:rFonts w:cs="Arial"/>
          <w:szCs w:val="24"/>
          <w:lang w:val="es-ES"/>
        </w:rPr>
        <w:t xml:space="preserve"> (25.8%). Aunado a ello, 38.4% de la </w:t>
      </w:r>
      <w:r w:rsidR="00E95A20" w:rsidRPr="006072DB">
        <w:rPr>
          <w:rFonts w:cs="Arial"/>
          <w:szCs w:val="24"/>
          <w:lang w:val="es-ES"/>
        </w:rPr>
        <w:t>población dijo</w:t>
      </w:r>
      <w:r w:rsidRPr="006072DB">
        <w:rPr>
          <w:rFonts w:cs="Arial"/>
          <w:szCs w:val="24"/>
          <w:lang w:val="es-ES"/>
        </w:rPr>
        <w:t xml:space="preserve"> sentirse satisfecha con su </w:t>
      </w:r>
      <w:r w:rsidR="00E95A20" w:rsidRPr="006072DB">
        <w:rPr>
          <w:rFonts w:cs="Arial"/>
          <w:szCs w:val="24"/>
          <w:lang w:val="es-ES"/>
        </w:rPr>
        <w:t>vecindario. Otro</w:t>
      </w:r>
      <w:r w:rsidRPr="006072DB">
        <w:rPr>
          <w:rFonts w:cs="Arial"/>
          <w:szCs w:val="24"/>
          <w:lang w:val="es-ES"/>
        </w:rPr>
        <w:t xml:space="preserve"> aspecto que podría revelar la poca </w:t>
      </w:r>
      <w:r w:rsidR="00E95A20" w:rsidRPr="006072DB">
        <w:rPr>
          <w:rFonts w:cs="Arial"/>
          <w:szCs w:val="24"/>
          <w:lang w:val="es-ES"/>
        </w:rPr>
        <w:t>aceptabilidad de</w:t>
      </w:r>
      <w:r w:rsidRPr="006072DB">
        <w:rPr>
          <w:rFonts w:cs="Arial"/>
          <w:szCs w:val="24"/>
          <w:lang w:val="es-ES"/>
        </w:rPr>
        <w:t xml:space="preserve"> las viviendas es el abandono </w:t>
      </w:r>
      <w:r w:rsidR="00E95A20" w:rsidRPr="006072DB">
        <w:rPr>
          <w:rFonts w:cs="Arial"/>
          <w:szCs w:val="24"/>
          <w:lang w:val="es-ES"/>
        </w:rPr>
        <w:t>de estas</w:t>
      </w:r>
      <w:r w:rsidR="00AF0B68">
        <w:rPr>
          <w:rFonts w:cs="Arial"/>
          <w:szCs w:val="24"/>
          <w:lang w:val="es-ES"/>
        </w:rPr>
        <w:t>,</w:t>
      </w:r>
      <w:r w:rsidRPr="006072DB">
        <w:rPr>
          <w:rFonts w:cs="Arial"/>
          <w:szCs w:val="24"/>
          <w:lang w:val="es-ES"/>
        </w:rPr>
        <w:t xml:space="preserve"> en 2010, alrededor de cinco millones </w:t>
      </w:r>
      <w:r w:rsidR="00E95A20" w:rsidRPr="006072DB">
        <w:rPr>
          <w:rFonts w:cs="Arial"/>
          <w:szCs w:val="24"/>
          <w:lang w:val="es-ES"/>
        </w:rPr>
        <w:t>se encontraban</w:t>
      </w:r>
      <w:r w:rsidRPr="006072DB">
        <w:rPr>
          <w:rFonts w:cs="Arial"/>
          <w:szCs w:val="24"/>
          <w:lang w:val="es-ES"/>
        </w:rPr>
        <w:t xml:space="preserve"> deshabitadas</w:t>
      </w:r>
      <w:r w:rsidR="00544729">
        <w:rPr>
          <w:rFonts w:cs="Arial"/>
          <w:szCs w:val="24"/>
          <w:lang w:val="es-ES"/>
        </w:rPr>
        <w:t>.</w:t>
      </w:r>
    </w:p>
    <w:p w:rsidR="006072DB" w:rsidRPr="00ED4D35" w:rsidRDefault="006072DB" w:rsidP="00A276D1">
      <w:pPr>
        <w:spacing w:after="0" w:line="240" w:lineRule="auto"/>
        <w:jc w:val="both"/>
        <w:rPr>
          <w:rFonts w:cs="Arial"/>
          <w:b/>
          <w:i/>
          <w:sz w:val="12"/>
          <w:szCs w:val="12"/>
          <w:lang w:val="es-ES"/>
        </w:rPr>
      </w:pPr>
    </w:p>
    <w:p w:rsidR="00911E3F" w:rsidRDefault="00911E3F" w:rsidP="00A276D1">
      <w:pPr>
        <w:spacing w:after="0" w:line="240" w:lineRule="auto"/>
        <w:jc w:val="both"/>
        <w:rPr>
          <w:rFonts w:cs="Arial"/>
          <w:b/>
          <w:szCs w:val="24"/>
          <w:lang w:val="es-ES"/>
        </w:rPr>
      </w:pPr>
      <w:r>
        <w:rPr>
          <w:rFonts w:cs="Arial"/>
          <w:b/>
          <w:szCs w:val="24"/>
          <w:lang w:val="es-ES"/>
        </w:rPr>
        <w:t xml:space="preserve">9. </w:t>
      </w:r>
      <w:r w:rsidRPr="000E6910">
        <w:rPr>
          <w:rFonts w:cs="Arial"/>
          <w:b/>
          <w:szCs w:val="24"/>
          <w:lang w:val="es-ES"/>
        </w:rPr>
        <w:t>¿</w:t>
      </w:r>
      <w:r>
        <w:rPr>
          <w:rFonts w:cs="Arial"/>
          <w:b/>
          <w:szCs w:val="24"/>
          <w:lang w:val="es-ES"/>
        </w:rPr>
        <w:t>Existen leyes, políticas o prácticas actuales en su país, región o ciudad/comunidad que contribuyan o agraven la discriminación en relación con el derecho a una vivienda adecuada?</w:t>
      </w:r>
    </w:p>
    <w:p w:rsidR="00911E3F" w:rsidRPr="00817214" w:rsidRDefault="00911E3F" w:rsidP="00A276D1">
      <w:pPr>
        <w:spacing w:after="0" w:line="240" w:lineRule="auto"/>
        <w:jc w:val="both"/>
        <w:rPr>
          <w:rFonts w:cs="Arial"/>
          <w:b/>
          <w:sz w:val="12"/>
          <w:szCs w:val="12"/>
          <w:lang w:val="es-ES"/>
        </w:rPr>
      </w:pPr>
    </w:p>
    <w:p w:rsidR="00911E3F" w:rsidRDefault="00911E3F" w:rsidP="00A276D1">
      <w:pPr>
        <w:spacing w:after="0" w:line="240" w:lineRule="auto"/>
        <w:jc w:val="both"/>
        <w:rPr>
          <w:rFonts w:cs="Arial"/>
          <w:szCs w:val="24"/>
          <w:lang w:val="es-ES"/>
        </w:rPr>
      </w:pPr>
      <w:r>
        <w:rPr>
          <w:rFonts w:cs="Arial"/>
          <w:szCs w:val="24"/>
          <w:lang w:val="es-ES"/>
        </w:rPr>
        <w:t>De la revisión efectuada a lo previsto en el artículo 4° de la Constitución Política de los Estados Unidos Mexicanos, la Ley de Vivienda, la Ley General de Asentamientos Humanos y el Programa Nacional de Vivienda 2019-2024 como instrumentos marco en relación con el derecho a la vivienda reiteran lo dispuesto en el artículo 1° constitucional que establece la prohibición de discriminación por alguna de las categorías ahí referidas e incluso establece que deberán impulsarse acciones específicas para atender a los grupos en situación de vulnerabilidad.</w:t>
      </w:r>
    </w:p>
    <w:p w:rsidR="00911E3F" w:rsidRPr="00ED4D35" w:rsidRDefault="00911E3F" w:rsidP="00A276D1">
      <w:pPr>
        <w:spacing w:after="0" w:line="240" w:lineRule="auto"/>
        <w:jc w:val="both"/>
        <w:rPr>
          <w:rFonts w:cs="Arial"/>
          <w:sz w:val="12"/>
          <w:szCs w:val="12"/>
          <w:lang w:val="es-ES"/>
        </w:rPr>
      </w:pPr>
    </w:p>
    <w:p w:rsidR="00A21C93" w:rsidRPr="00657FF8" w:rsidRDefault="00AF733A" w:rsidP="00A276D1">
      <w:pPr>
        <w:spacing w:after="0" w:line="240" w:lineRule="auto"/>
        <w:jc w:val="both"/>
        <w:rPr>
          <w:rFonts w:cs="Arial"/>
          <w:b/>
          <w:bCs/>
          <w:szCs w:val="24"/>
        </w:rPr>
      </w:pPr>
      <w:r w:rsidRPr="00657FF8">
        <w:rPr>
          <w:rFonts w:cs="Arial"/>
          <w:b/>
          <w:bCs/>
          <w:szCs w:val="24"/>
        </w:rPr>
        <w:t>10. ¿Existen exenciones previstas en normativa o política nacional que permiten a (ciertos) proveedores de vivienda públicos, privados o religiosos dar un acceso exclusivo o preferido a la vivienda a miembros de un grupo determinado? Por ejemplo, en función de alguna afiliación, el contrato de trabajo, el servicio público, la edad, la discapacidad, el estado civil, el sexo, el género, la religión</w:t>
      </w:r>
      <w:r w:rsidR="00A21C93" w:rsidRPr="00657FF8">
        <w:rPr>
          <w:rFonts w:cs="Arial"/>
          <w:b/>
          <w:bCs/>
          <w:szCs w:val="24"/>
        </w:rPr>
        <w:t>, los ingresos u otros criterios.</w:t>
      </w:r>
    </w:p>
    <w:p w:rsidR="00657FF8" w:rsidRPr="00ED4D35" w:rsidRDefault="00657FF8" w:rsidP="00A276D1">
      <w:pPr>
        <w:spacing w:after="0" w:line="240" w:lineRule="auto"/>
        <w:jc w:val="both"/>
        <w:rPr>
          <w:rFonts w:cs="Arial"/>
          <w:bCs/>
          <w:sz w:val="12"/>
          <w:szCs w:val="12"/>
        </w:rPr>
      </w:pPr>
    </w:p>
    <w:p w:rsidR="009F6ECF" w:rsidRDefault="009F6ECF" w:rsidP="00A276D1">
      <w:pPr>
        <w:spacing w:after="0" w:line="240" w:lineRule="auto"/>
        <w:jc w:val="both"/>
        <w:rPr>
          <w:rFonts w:cs="Arial"/>
          <w:bCs/>
          <w:i/>
          <w:szCs w:val="24"/>
        </w:rPr>
      </w:pPr>
      <w:r>
        <w:rPr>
          <w:rFonts w:cs="Arial"/>
          <w:bCs/>
          <w:szCs w:val="24"/>
        </w:rPr>
        <w:t xml:space="preserve">El </w:t>
      </w:r>
      <w:r w:rsidRPr="009F6ECF">
        <w:rPr>
          <w:rFonts w:cs="Arial"/>
          <w:bCs/>
          <w:i/>
          <w:szCs w:val="24"/>
        </w:rPr>
        <w:t xml:space="preserve">“Acuerdo por el que se aprueba el Programa Especial de Regeneración Urbana y Vivienda Incluyente 2019–2024 </w:t>
      </w:r>
      <w:r w:rsidR="00133AB9" w:rsidRPr="009F6ECF">
        <w:rPr>
          <w:rFonts w:cs="Arial"/>
          <w:bCs/>
          <w:i/>
          <w:szCs w:val="24"/>
        </w:rPr>
        <w:t>p</w:t>
      </w:r>
      <w:r w:rsidRPr="009F6ECF">
        <w:rPr>
          <w:rFonts w:cs="Arial"/>
          <w:bCs/>
          <w:i/>
          <w:szCs w:val="24"/>
        </w:rPr>
        <w:t xml:space="preserve">ara </w:t>
      </w:r>
      <w:r w:rsidR="00133AB9">
        <w:rPr>
          <w:rFonts w:cs="Arial"/>
          <w:bCs/>
          <w:i/>
          <w:szCs w:val="24"/>
        </w:rPr>
        <w:t>l</w:t>
      </w:r>
      <w:r w:rsidRPr="009F6ECF">
        <w:rPr>
          <w:rFonts w:cs="Arial"/>
          <w:bCs/>
          <w:i/>
          <w:szCs w:val="24"/>
        </w:rPr>
        <w:t xml:space="preserve">a Ciudad </w:t>
      </w:r>
      <w:r w:rsidR="00133AB9">
        <w:rPr>
          <w:rFonts w:cs="Arial"/>
          <w:bCs/>
          <w:i/>
          <w:szCs w:val="24"/>
        </w:rPr>
        <w:t>d</w:t>
      </w:r>
      <w:r w:rsidRPr="009F6ECF">
        <w:rPr>
          <w:rFonts w:cs="Arial"/>
          <w:bCs/>
          <w:i/>
          <w:szCs w:val="24"/>
        </w:rPr>
        <w:t>e México”</w:t>
      </w:r>
      <w:r>
        <w:rPr>
          <w:rStyle w:val="FootnoteReference"/>
          <w:rFonts w:cs="Arial"/>
          <w:bCs/>
          <w:i/>
          <w:szCs w:val="24"/>
        </w:rPr>
        <w:footnoteReference w:id="9"/>
      </w:r>
      <w:r>
        <w:rPr>
          <w:rFonts w:cs="Arial"/>
          <w:bCs/>
          <w:i/>
          <w:szCs w:val="24"/>
        </w:rPr>
        <w:t>, en este se considera que “</w:t>
      </w:r>
      <w:r w:rsidRPr="009F6ECF">
        <w:rPr>
          <w:rFonts w:cs="Arial"/>
          <w:bCs/>
          <w:i/>
          <w:szCs w:val="24"/>
        </w:rPr>
        <w:t>toda persona tiene derecho a una vivienda adecuada para sí y su familia, adaptada a sus necesidades</w:t>
      </w:r>
      <w:r>
        <w:rPr>
          <w:rFonts w:cs="Arial"/>
          <w:bCs/>
          <w:i/>
          <w:szCs w:val="24"/>
        </w:rPr>
        <w:t>”.</w:t>
      </w:r>
    </w:p>
    <w:p w:rsidR="00544729" w:rsidRPr="00ED4D35" w:rsidRDefault="00544729" w:rsidP="00A276D1">
      <w:pPr>
        <w:spacing w:after="0" w:line="240" w:lineRule="auto"/>
        <w:jc w:val="both"/>
        <w:rPr>
          <w:rFonts w:cs="Arial"/>
          <w:bCs/>
          <w:i/>
          <w:sz w:val="12"/>
          <w:szCs w:val="12"/>
        </w:rPr>
      </w:pPr>
    </w:p>
    <w:p w:rsidR="00DC308D" w:rsidRDefault="00DC308D" w:rsidP="00A276D1">
      <w:pPr>
        <w:shd w:val="clear" w:color="auto" w:fill="FFFFFF"/>
        <w:spacing w:after="0" w:line="240" w:lineRule="auto"/>
        <w:jc w:val="both"/>
        <w:rPr>
          <w:rFonts w:eastAsia="Times New Roman" w:cs="Arial"/>
          <w:szCs w:val="24"/>
          <w:lang w:eastAsia="es-MX"/>
        </w:rPr>
      </w:pPr>
      <w:r>
        <w:rPr>
          <w:rFonts w:cs="Arial"/>
          <w:bCs/>
          <w:szCs w:val="24"/>
        </w:rPr>
        <w:t xml:space="preserve">Mediante el Programa Especial de Regeneración Urbana y Vivienda Incluyente </w:t>
      </w:r>
      <w:r w:rsidRPr="008B76F1">
        <w:rPr>
          <w:rFonts w:cs="Arial"/>
          <w:bCs/>
          <w:szCs w:val="24"/>
        </w:rPr>
        <w:t>fomenta la construcción de vivienda incluyente en corredores urbanos y zonas prioritarias brindando facilidades administrativas</w:t>
      </w:r>
      <w:r>
        <w:rPr>
          <w:rFonts w:cs="Arial"/>
          <w:bCs/>
          <w:szCs w:val="24"/>
        </w:rPr>
        <w:t>, como facilitación de trámites, agilización de procedimientos, mejora regulatoria</w:t>
      </w:r>
      <w:r w:rsidRPr="008B76F1">
        <w:rPr>
          <w:rFonts w:cs="Arial"/>
          <w:bCs/>
          <w:szCs w:val="24"/>
        </w:rPr>
        <w:t xml:space="preserve"> y </w:t>
      </w:r>
      <w:r>
        <w:rPr>
          <w:rFonts w:cs="Arial"/>
          <w:bCs/>
          <w:szCs w:val="24"/>
        </w:rPr>
        <w:t xml:space="preserve">acceso a beneficios </w:t>
      </w:r>
      <w:r w:rsidRPr="008B76F1">
        <w:rPr>
          <w:rFonts w:cs="Arial"/>
          <w:bCs/>
          <w:szCs w:val="24"/>
        </w:rPr>
        <w:t xml:space="preserve">fiscales a  proyectos que cumplan con </w:t>
      </w:r>
      <w:r>
        <w:rPr>
          <w:rFonts w:cs="Arial"/>
          <w:bCs/>
          <w:szCs w:val="24"/>
        </w:rPr>
        <w:t xml:space="preserve">diversos </w:t>
      </w:r>
      <w:r w:rsidRPr="008B76F1">
        <w:rPr>
          <w:rFonts w:cs="Arial"/>
          <w:bCs/>
          <w:szCs w:val="24"/>
        </w:rPr>
        <w:t>criterios</w:t>
      </w:r>
      <w:r>
        <w:rPr>
          <w:rFonts w:cs="Arial"/>
          <w:bCs/>
          <w:szCs w:val="24"/>
        </w:rPr>
        <w:t xml:space="preserve">, se destaca que </w:t>
      </w:r>
      <w:r w:rsidR="00E95A20" w:rsidRPr="008B76F1">
        <w:rPr>
          <w:rFonts w:eastAsia="Times New Roman" w:cs="Arial"/>
          <w:szCs w:val="24"/>
          <w:lang w:eastAsia="es-MX"/>
        </w:rPr>
        <w:t>el</w:t>
      </w:r>
      <w:r w:rsidR="00E95A20" w:rsidRPr="00AF0B68">
        <w:rPr>
          <w:rFonts w:eastAsia="Times New Roman" w:cs="Arial"/>
          <w:bCs/>
          <w:szCs w:val="24"/>
          <w:lang w:eastAsia="es-MX"/>
        </w:rPr>
        <w:t xml:space="preserve"> precio</w:t>
      </w:r>
      <w:r w:rsidRPr="00AF0B68">
        <w:rPr>
          <w:rFonts w:eastAsia="Times New Roman" w:cs="Arial"/>
          <w:bCs/>
          <w:szCs w:val="24"/>
          <w:lang w:eastAsia="es-MX"/>
        </w:rPr>
        <w:t xml:space="preserve"> </w:t>
      </w:r>
      <w:r w:rsidR="00E95A20" w:rsidRPr="00AF0B68">
        <w:rPr>
          <w:rFonts w:eastAsia="Times New Roman" w:cs="Arial"/>
          <w:bCs/>
          <w:szCs w:val="24"/>
          <w:lang w:eastAsia="es-MX"/>
        </w:rPr>
        <w:t>máximo</w:t>
      </w:r>
      <w:r w:rsidR="00E95A20" w:rsidRPr="00AF0B68">
        <w:rPr>
          <w:rFonts w:eastAsia="Times New Roman" w:cs="Arial"/>
          <w:szCs w:val="24"/>
          <w:lang w:eastAsia="es-MX"/>
        </w:rPr>
        <w:t xml:space="preserve"> </w:t>
      </w:r>
      <w:r w:rsidR="00E95A20" w:rsidRPr="00AF0B68">
        <w:rPr>
          <w:rFonts w:eastAsia="Times New Roman" w:cs="Arial"/>
          <w:szCs w:val="24"/>
          <w:lang w:eastAsia="es-MX"/>
        </w:rPr>
        <w:lastRenderedPageBreak/>
        <w:t>ponderado</w:t>
      </w:r>
      <w:r w:rsidRPr="00AF0B68">
        <w:rPr>
          <w:rFonts w:eastAsia="Times New Roman" w:cs="Arial"/>
          <w:szCs w:val="24"/>
          <w:lang w:eastAsia="es-MX"/>
        </w:rPr>
        <w:t xml:space="preserve"> del metro cuadrado </w:t>
      </w:r>
      <w:r w:rsidR="00E95A20" w:rsidRPr="00AF0B68">
        <w:rPr>
          <w:rFonts w:eastAsia="Times New Roman" w:cs="Arial"/>
          <w:szCs w:val="24"/>
          <w:lang w:eastAsia="es-MX"/>
        </w:rPr>
        <w:t>habitable</w:t>
      </w:r>
      <w:r w:rsidR="00E95A20" w:rsidRPr="00AF0B68">
        <w:rPr>
          <w:rFonts w:eastAsia="Times New Roman" w:cs="Arial"/>
          <w:bCs/>
          <w:szCs w:val="24"/>
          <w:lang w:eastAsia="es-MX"/>
        </w:rPr>
        <w:t xml:space="preserve"> no</w:t>
      </w:r>
      <w:r w:rsidRPr="00AF0B68">
        <w:rPr>
          <w:rFonts w:eastAsia="Times New Roman" w:cs="Arial"/>
          <w:bCs/>
          <w:szCs w:val="24"/>
          <w:lang w:eastAsia="es-MX"/>
        </w:rPr>
        <w:t xml:space="preserve"> podrá ser superior a 188</w:t>
      </w:r>
      <w:r w:rsidR="00AF0B68">
        <w:rPr>
          <w:rFonts w:cs="Arial"/>
          <w:color w:val="202124"/>
          <w:shd w:val="clear" w:color="auto" w:fill="FFFFFF"/>
        </w:rPr>
        <w:t>Unidades de Medida y Actualización</w:t>
      </w:r>
      <w:r w:rsidR="00AF0B68">
        <w:rPr>
          <w:rFonts w:eastAsia="Times New Roman" w:cs="Arial"/>
          <w:bCs/>
          <w:szCs w:val="24"/>
          <w:lang w:eastAsia="es-MX"/>
        </w:rPr>
        <w:t>(</w:t>
      </w:r>
      <w:r w:rsidRPr="00AF0B68">
        <w:rPr>
          <w:rFonts w:eastAsia="Times New Roman" w:cs="Arial"/>
          <w:bCs/>
          <w:szCs w:val="24"/>
          <w:lang w:eastAsia="es-MX"/>
        </w:rPr>
        <w:t>UMAs</w:t>
      </w:r>
      <w:r w:rsidR="00AF0B68">
        <w:rPr>
          <w:rFonts w:eastAsia="Times New Roman" w:cs="Arial"/>
          <w:bCs/>
          <w:szCs w:val="24"/>
          <w:lang w:eastAsia="es-MX"/>
        </w:rPr>
        <w:t>)</w:t>
      </w:r>
      <w:r>
        <w:rPr>
          <w:rFonts w:eastAsia="Times New Roman" w:cs="Arial"/>
          <w:szCs w:val="24"/>
          <w:lang w:eastAsia="es-MX"/>
        </w:rPr>
        <w:t>, así como aquellos relacionados con sustentabilidad, desarrollo urbano, movilidad, gestión de riesgo, arquitectónicos y técnicos y patrimonio cultural urbano.</w:t>
      </w:r>
      <w:r>
        <w:rPr>
          <w:rStyle w:val="FootnoteReference"/>
          <w:rFonts w:eastAsia="Times New Roman" w:cs="Arial"/>
          <w:szCs w:val="24"/>
          <w:lang w:eastAsia="es-MX"/>
        </w:rPr>
        <w:footnoteReference w:id="10"/>
      </w:r>
    </w:p>
    <w:p w:rsidR="00DC308D" w:rsidRPr="00ED4D35" w:rsidRDefault="00DC308D" w:rsidP="00A276D1">
      <w:pPr>
        <w:spacing w:after="0" w:line="240" w:lineRule="auto"/>
        <w:jc w:val="both"/>
        <w:rPr>
          <w:rFonts w:cs="Arial"/>
          <w:bCs/>
          <w:sz w:val="12"/>
          <w:szCs w:val="12"/>
        </w:rPr>
      </w:pPr>
    </w:p>
    <w:p w:rsidR="00657FF8" w:rsidRDefault="00133AB9" w:rsidP="00A276D1">
      <w:pPr>
        <w:spacing w:after="0" w:line="240" w:lineRule="auto"/>
        <w:jc w:val="both"/>
        <w:rPr>
          <w:rFonts w:cs="Arial"/>
          <w:bCs/>
          <w:szCs w:val="24"/>
        </w:rPr>
      </w:pPr>
      <w:r>
        <w:rPr>
          <w:rFonts w:cs="Arial"/>
          <w:bCs/>
          <w:szCs w:val="24"/>
        </w:rPr>
        <w:t xml:space="preserve">Posteriormente, </w:t>
      </w:r>
      <w:r w:rsidR="00657FF8">
        <w:rPr>
          <w:rFonts w:cs="Arial"/>
          <w:bCs/>
          <w:szCs w:val="24"/>
        </w:rPr>
        <w:t xml:space="preserve">se publicó la </w:t>
      </w:r>
      <w:r w:rsidR="00657FF8" w:rsidRPr="00657FF8">
        <w:rPr>
          <w:rFonts w:cs="Arial"/>
          <w:bCs/>
          <w:i/>
          <w:szCs w:val="24"/>
        </w:rPr>
        <w:t>“Resolución de carácter general mediante la cual se exime totalmente el pago de las contribuciones, de conformidad con el Programa Especial de Regeneración Urbana y Vivienda Incluyente 2019-2024”</w:t>
      </w:r>
      <w:r w:rsidR="009F6ECF">
        <w:rPr>
          <w:rStyle w:val="FootnoteReference"/>
          <w:rFonts w:cs="Arial"/>
          <w:bCs/>
          <w:szCs w:val="24"/>
        </w:rPr>
        <w:footnoteReference w:id="11"/>
      </w:r>
      <w:r>
        <w:rPr>
          <w:rFonts w:cs="Arial"/>
          <w:bCs/>
          <w:i/>
          <w:szCs w:val="24"/>
        </w:rPr>
        <w:t xml:space="preserve">. </w:t>
      </w:r>
      <w:r w:rsidR="00657FF8" w:rsidRPr="00544729">
        <w:rPr>
          <w:rFonts w:cs="Arial"/>
          <w:bCs/>
          <w:szCs w:val="24"/>
        </w:rPr>
        <w:t>Esta resolución exime el 100% del pago de 16 contribuciones establecidas en el Código Fiscal de la Ciudad de México</w:t>
      </w:r>
      <w:r w:rsidR="00DC308D" w:rsidRPr="00544729">
        <w:rPr>
          <w:rStyle w:val="FootnoteReference"/>
          <w:rFonts w:cs="Arial"/>
          <w:bCs/>
          <w:szCs w:val="24"/>
        </w:rPr>
        <w:footnoteReference w:id="12"/>
      </w:r>
      <w:r w:rsidR="00DC308D" w:rsidRPr="00544729">
        <w:rPr>
          <w:rFonts w:cs="Arial"/>
          <w:bCs/>
          <w:szCs w:val="24"/>
        </w:rPr>
        <w:t>.</w:t>
      </w:r>
    </w:p>
    <w:p w:rsidR="00E44112" w:rsidRPr="00657FF8" w:rsidRDefault="00E44112" w:rsidP="00A276D1">
      <w:pPr>
        <w:spacing w:after="0" w:line="240" w:lineRule="auto"/>
        <w:jc w:val="both"/>
        <w:rPr>
          <w:rFonts w:cs="Arial"/>
          <w:bCs/>
          <w:szCs w:val="24"/>
        </w:rPr>
      </w:pPr>
    </w:p>
    <w:p w:rsidR="00657FF8" w:rsidRDefault="00657FF8" w:rsidP="00A276D1">
      <w:pPr>
        <w:spacing w:after="0" w:line="240" w:lineRule="auto"/>
        <w:jc w:val="both"/>
        <w:rPr>
          <w:rFonts w:cs="Arial"/>
          <w:bCs/>
          <w:szCs w:val="24"/>
        </w:rPr>
      </w:pPr>
      <w:r>
        <w:rPr>
          <w:rFonts w:cs="Arial"/>
          <w:bCs/>
          <w:szCs w:val="24"/>
        </w:rPr>
        <w:t>Dicha exención</w:t>
      </w:r>
      <w:r w:rsidR="00AF0B68">
        <w:rPr>
          <w:rFonts w:cs="Arial"/>
          <w:bCs/>
          <w:szCs w:val="24"/>
        </w:rPr>
        <w:t>, de acuerdo a lo expuesto en ese documento,</w:t>
      </w:r>
      <w:r>
        <w:rPr>
          <w:rFonts w:cs="Arial"/>
          <w:bCs/>
          <w:szCs w:val="24"/>
        </w:rPr>
        <w:t xml:space="preserve"> genera una disminución en los costos de construcción, con la finalidad de ofrecer casas con un costo o precio más bajo y de esta forma las personas con menores ingresos puedan acceder a ellas.</w:t>
      </w:r>
    </w:p>
    <w:p w:rsidR="008B76F1" w:rsidRPr="00ED4D35" w:rsidRDefault="008B76F1" w:rsidP="00A276D1">
      <w:pPr>
        <w:spacing w:after="0" w:line="240" w:lineRule="auto"/>
        <w:jc w:val="both"/>
        <w:rPr>
          <w:rFonts w:cs="Arial"/>
          <w:bCs/>
          <w:sz w:val="12"/>
          <w:szCs w:val="12"/>
        </w:rPr>
      </w:pPr>
    </w:p>
    <w:p w:rsidR="008B76F1" w:rsidRDefault="00DC308D" w:rsidP="00A276D1">
      <w:pPr>
        <w:spacing w:after="0" w:line="240" w:lineRule="auto"/>
        <w:jc w:val="both"/>
        <w:rPr>
          <w:rFonts w:cs="Arial"/>
          <w:bCs/>
          <w:szCs w:val="24"/>
        </w:rPr>
      </w:pPr>
      <w:r>
        <w:rPr>
          <w:rFonts w:cs="Arial"/>
          <w:bCs/>
          <w:szCs w:val="24"/>
        </w:rPr>
        <w:t xml:space="preserve">Adicionalmente, el Gobierno de la Ciudad de México, emitió </w:t>
      </w:r>
      <w:r w:rsidR="008B76F1" w:rsidRPr="008B76F1">
        <w:rPr>
          <w:rFonts w:cs="Arial"/>
          <w:bCs/>
          <w:szCs w:val="24"/>
        </w:rPr>
        <w:t xml:space="preserve">el </w:t>
      </w:r>
      <w:r w:rsidR="008B76F1">
        <w:rPr>
          <w:rFonts w:cs="Arial"/>
          <w:bCs/>
          <w:szCs w:val="24"/>
        </w:rPr>
        <w:t>“</w:t>
      </w:r>
      <w:r w:rsidR="009F6ECF">
        <w:rPr>
          <w:rFonts w:cs="Arial"/>
          <w:bCs/>
          <w:i/>
          <w:szCs w:val="24"/>
        </w:rPr>
        <w:t>A</w:t>
      </w:r>
      <w:r w:rsidR="00857AA5" w:rsidRPr="00857AA5">
        <w:rPr>
          <w:rFonts w:cs="Arial"/>
          <w:bCs/>
          <w:i/>
          <w:szCs w:val="24"/>
        </w:rPr>
        <w:t xml:space="preserve">cuerdo mediante el cual se establece el </w:t>
      </w:r>
      <w:r w:rsidR="00857AA5">
        <w:rPr>
          <w:rFonts w:cs="Arial"/>
          <w:bCs/>
          <w:i/>
          <w:szCs w:val="24"/>
        </w:rPr>
        <w:t>Programa de R</w:t>
      </w:r>
      <w:r w:rsidR="00857AA5" w:rsidRPr="00857AA5">
        <w:rPr>
          <w:rFonts w:cs="Arial"/>
          <w:bCs/>
          <w:i/>
          <w:szCs w:val="24"/>
        </w:rPr>
        <w:t xml:space="preserve">eactivación </w:t>
      </w:r>
      <w:r w:rsidR="00857AA5">
        <w:rPr>
          <w:rFonts w:cs="Arial"/>
          <w:bCs/>
          <w:i/>
          <w:szCs w:val="24"/>
        </w:rPr>
        <w:t>E</w:t>
      </w:r>
      <w:r w:rsidR="00857AA5" w:rsidRPr="00857AA5">
        <w:rPr>
          <w:rFonts w:cs="Arial"/>
          <w:bCs/>
          <w:i/>
          <w:szCs w:val="24"/>
        </w:rPr>
        <w:t>conómica y</w:t>
      </w:r>
      <w:r w:rsidR="00857AA5">
        <w:rPr>
          <w:rFonts w:cs="Arial"/>
          <w:bCs/>
          <w:i/>
          <w:szCs w:val="24"/>
        </w:rPr>
        <w:t xml:space="preserve"> P</w:t>
      </w:r>
      <w:r w:rsidR="00857AA5" w:rsidRPr="00857AA5">
        <w:rPr>
          <w:rFonts w:cs="Arial"/>
          <w:bCs/>
          <w:i/>
          <w:szCs w:val="24"/>
        </w:rPr>
        <w:t xml:space="preserve">roducción de </w:t>
      </w:r>
      <w:r w:rsidR="00857AA5">
        <w:rPr>
          <w:rFonts w:cs="Arial"/>
          <w:bCs/>
          <w:i/>
          <w:szCs w:val="24"/>
        </w:rPr>
        <w:t>V</w:t>
      </w:r>
      <w:r w:rsidR="00857AA5" w:rsidRPr="00857AA5">
        <w:rPr>
          <w:rFonts w:cs="Arial"/>
          <w:bCs/>
          <w:i/>
          <w:szCs w:val="24"/>
        </w:rPr>
        <w:t xml:space="preserve">ivienda </w:t>
      </w:r>
      <w:r w:rsidR="00857AA5">
        <w:rPr>
          <w:rFonts w:cs="Arial"/>
          <w:bCs/>
          <w:i/>
          <w:szCs w:val="24"/>
        </w:rPr>
        <w:t>I</w:t>
      </w:r>
      <w:r w:rsidR="00857AA5" w:rsidRPr="00857AA5">
        <w:rPr>
          <w:rFonts w:cs="Arial"/>
          <w:bCs/>
          <w:i/>
          <w:szCs w:val="24"/>
        </w:rPr>
        <w:t xml:space="preserve">ncluyente, </w:t>
      </w:r>
      <w:r w:rsidR="00857AA5">
        <w:rPr>
          <w:rFonts w:cs="Arial"/>
          <w:bCs/>
          <w:i/>
          <w:szCs w:val="24"/>
        </w:rPr>
        <w:t>P</w:t>
      </w:r>
      <w:r w:rsidR="00857AA5" w:rsidRPr="00857AA5">
        <w:rPr>
          <w:rFonts w:cs="Arial"/>
          <w:bCs/>
          <w:i/>
          <w:szCs w:val="24"/>
        </w:rPr>
        <w:t xml:space="preserve">opular y de </w:t>
      </w:r>
      <w:r w:rsidR="00857AA5">
        <w:rPr>
          <w:rFonts w:cs="Arial"/>
          <w:bCs/>
          <w:i/>
          <w:szCs w:val="24"/>
        </w:rPr>
        <w:t>T</w:t>
      </w:r>
      <w:r w:rsidR="00857AA5" w:rsidRPr="00857AA5">
        <w:rPr>
          <w:rFonts w:cs="Arial"/>
          <w:bCs/>
          <w:i/>
          <w:szCs w:val="24"/>
        </w:rPr>
        <w:t xml:space="preserve">rabajadores en la </w:t>
      </w:r>
      <w:r w:rsidR="00857AA5">
        <w:rPr>
          <w:rFonts w:cs="Arial"/>
          <w:bCs/>
          <w:i/>
          <w:szCs w:val="24"/>
        </w:rPr>
        <w:t>C</w:t>
      </w:r>
      <w:r w:rsidR="00857AA5" w:rsidRPr="00857AA5">
        <w:rPr>
          <w:rFonts w:cs="Arial"/>
          <w:bCs/>
          <w:i/>
          <w:szCs w:val="24"/>
        </w:rPr>
        <w:t xml:space="preserve">iudad </w:t>
      </w:r>
      <w:r w:rsidR="00E95A20" w:rsidRPr="00857AA5">
        <w:rPr>
          <w:rFonts w:cs="Arial"/>
          <w:bCs/>
          <w:i/>
          <w:szCs w:val="24"/>
        </w:rPr>
        <w:t>de México</w:t>
      </w:r>
      <w:r w:rsidR="008B76F1">
        <w:rPr>
          <w:rFonts w:cs="Arial"/>
          <w:bCs/>
          <w:szCs w:val="24"/>
        </w:rPr>
        <w:t>”</w:t>
      </w:r>
      <w:r w:rsidR="008B76F1" w:rsidRPr="008B76F1">
        <w:rPr>
          <w:rFonts w:cs="Arial"/>
          <w:bCs/>
          <w:szCs w:val="24"/>
        </w:rPr>
        <w:t>,</w:t>
      </w:r>
      <w:r w:rsidR="009F6ECF">
        <w:rPr>
          <w:rStyle w:val="FootnoteReference"/>
          <w:rFonts w:cs="Arial"/>
          <w:bCs/>
          <w:szCs w:val="24"/>
        </w:rPr>
        <w:footnoteReference w:id="13"/>
      </w:r>
      <w:r w:rsidR="008B76F1" w:rsidRPr="008B76F1">
        <w:rPr>
          <w:rFonts w:cs="Arial"/>
          <w:bCs/>
          <w:szCs w:val="24"/>
        </w:rPr>
        <w:t xml:space="preserve"> que es el plan de reactivación de vivienda económica para los trabajadores</w:t>
      </w:r>
      <w:r w:rsidR="008B76F1">
        <w:rPr>
          <w:rFonts w:cs="Arial"/>
          <w:bCs/>
          <w:szCs w:val="24"/>
        </w:rPr>
        <w:t>.</w:t>
      </w:r>
    </w:p>
    <w:p w:rsidR="008B76F1" w:rsidRPr="00ED4D35" w:rsidRDefault="008B76F1" w:rsidP="00A276D1">
      <w:pPr>
        <w:spacing w:after="0" w:line="240" w:lineRule="auto"/>
        <w:jc w:val="both"/>
        <w:rPr>
          <w:rFonts w:cs="Arial"/>
          <w:bCs/>
          <w:sz w:val="12"/>
          <w:szCs w:val="12"/>
        </w:rPr>
      </w:pPr>
    </w:p>
    <w:p w:rsidR="00A660E7" w:rsidRDefault="00DC308D" w:rsidP="00A276D1">
      <w:pPr>
        <w:shd w:val="clear" w:color="auto" w:fill="FFFFFF"/>
        <w:spacing w:after="0" w:line="240" w:lineRule="auto"/>
        <w:jc w:val="both"/>
        <w:rPr>
          <w:rFonts w:eastAsia="Times New Roman" w:cs="Arial"/>
          <w:szCs w:val="24"/>
          <w:lang w:eastAsia="es-MX"/>
        </w:rPr>
      </w:pPr>
      <w:r>
        <w:rPr>
          <w:rFonts w:eastAsia="Times New Roman" w:cs="Arial"/>
          <w:szCs w:val="24"/>
          <w:lang w:eastAsia="es-MX"/>
        </w:rPr>
        <w:t>En el ámbito federal, e</w:t>
      </w:r>
      <w:r w:rsidR="00A660E7" w:rsidRPr="00A660E7">
        <w:rPr>
          <w:rFonts w:eastAsia="Times New Roman" w:cs="Arial"/>
          <w:szCs w:val="24"/>
          <w:lang w:eastAsia="es-MX"/>
        </w:rPr>
        <w:t>l Instituto del Fondo Nacional de la Vivienda para los Trabajadores</w:t>
      </w:r>
      <w:r w:rsidR="00A660E7">
        <w:rPr>
          <w:rFonts w:eastAsia="Times New Roman" w:cs="Arial"/>
          <w:szCs w:val="24"/>
          <w:lang w:eastAsia="es-MX"/>
        </w:rPr>
        <w:t xml:space="preserve"> (INFONAVIT), cuenta con programas dirigidos a proveedores externos y/o desarrolladores, orientados a beneficiar a los derechohabientes con menores ingresos y a elevar la calidad de vida de éstos y sus </w:t>
      </w:r>
      <w:r w:rsidR="00E95A20">
        <w:rPr>
          <w:rFonts w:eastAsia="Times New Roman" w:cs="Arial"/>
          <w:szCs w:val="24"/>
          <w:lang w:eastAsia="es-MX"/>
        </w:rPr>
        <w:t>familias. Los</w:t>
      </w:r>
      <w:r w:rsidR="00A660E7">
        <w:rPr>
          <w:rFonts w:eastAsia="Times New Roman" w:cs="Arial"/>
          <w:szCs w:val="24"/>
          <w:lang w:eastAsia="es-MX"/>
        </w:rPr>
        <w:t xml:space="preserve"> desarrolladores de viviendas sustentables</w:t>
      </w:r>
      <w:r w:rsidR="004B56CC">
        <w:rPr>
          <w:rFonts w:eastAsia="Times New Roman" w:cs="Arial"/>
          <w:szCs w:val="24"/>
          <w:lang w:eastAsia="es-MX"/>
        </w:rPr>
        <w:t xml:space="preserve"> obtienen incentivos y beneficios, se amplió también el Fondo de Estímulo a la Redensificación y Ubicación de la Vivienda, con el objetivo de fomentar el desarrollo de la vivienda bien ubicada.</w:t>
      </w:r>
    </w:p>
    <w:p w:rsidR="00A21C93" w:rsidRPr="00ED4D35" w:rsidRDefault="00A21C93" w:rsidP="00A276D1">
      <w:pPr>
        <w:spacing w:after="0" w:line="240" w:lineRule="auto"/>
        <w:jc w:val="both"/>
        <w:rPr>
          <w:rFonts w:cs="Arial"/>
          <w:bCs/>
          <w:sz w:val="12"/>
          <w:szCs w:val="12"/>
        </w:rPr>
      </w:pPr>
    </w:p>
    <w:p w:rsidR="009643C1" w:rsidRDefault="009643C1" w:rsidP="00A276D1">
      <w:pPr>
        <w:spacing w:after="0" w:line="240" w:lineRule="auto"/>
        <w:jc w:val="both"/>
        <w:rPr>
          <w:rFonts w:cs="Arial"/>
          <w:b/>
          <w:bCs/>
          <w:szCs w:val="24"/>
        </w:rPr>
      </w:pPr>
      <w:r w:rsidRPr="00657FF8">
        <w:rPr>
          <w:rFonts w:cs="Arial"/>
          <w:b/>
          <w:bCs/>
          <w:szCs w:val="24"/>
        </w:rPr>
        <w:lastRenderedPageBreak/>
        <w:t>11. ¿En caso de que pueda haber un trato diferenciado hacia determinados grupos en relación con la vivienda, por favor explique por qué dicho trato podría ser justificable de acuerdo con las normas internacionales de derechos humanos, por ejemplo, medidas positivas, que beneficien a un grupo específico para superar una discriminación o desventaja sistemática o que dicho trato equivaldría a una discriminación.</w:t>
      </w:r>
    </w:p>
    <w:p w:rsidR="00AF0B68" w:rsidRPr="00ED4D35" w:rsidRDefault="00AF0B68" w:rsidP="00A276D1">
      <w:pPr>
        <w:spacing w:after="0" w:line="240" w:lineRule="auto"/>
        <w:jc w:val="both"/>
        <w:rPr>
          <w:rFonts w:cs="Arial"/>
          <w:b/>
          <w:bCs/>
          <w:sz w:val="12"/>
          <w:szCs w:val="12"/>
        </w:rPr>
      </w:pPr>
    </w:p>
    <w:p w:rsidR="00336DD0" w:rsidRDefault="00336DD0" w:rsidP="00A276D1">
      <w:pPr>
        <w:spacing w:after="0" w:line="240" w:lineRule="auto"/>
        <w:jc w:val="both"/>
        <w:rPr>
          <w:rFonts w:cs="Arial"/>
          <w:bCs/>
          <w:szCs w:val="24"/>
        </w:rPr>
      </w:pPr>
      <w:r w:rsidRPr="00E927EB">
        <w:rPr>
          <w:rFonts w:cs="Arial"/>
          <w:bCs/>
          <w:szCs w:val="24"/>
        </w:rPr>
        <w:t xml:space="preserve">En la actualidad </w:t>
      </w:r>
      <w:r>
        <w:rPr>
          <w:rFonts w:cs="Arial"/>
          <w:bCs/>
          <w:szCs w:val="24"/>
        </w:rPr>
        <w:t xml:space="preserve">existe un alto rezago habitacional, de acuerdo con datos del </w:t>
      </w:r>
      <w:r w:rsidRPr="007C3645">
        <w:rPr>
          <w:rFonts w:cs="Arial"/>
          <w:bCs/>
          <w:szCs w:val="24"/>
        </w:rPr>
        <w:t>Consejo Nacional de Evaluación de la Política de Desarrollo Social</w:t>
      </w:r>
      <w:r>
        <w:rPr>
          <w:rFonts w:cs="Arial"/>
          <w:bCs/>
          <w:szCs w:val="24"/>
        </w:rPr>
        <w:t xml:space="preserve"> (CONEVAL) 2018, se observan carencias por calidad y espacios de vivienda en el 11.1% de la población y </w:t>
      </w:r>
      <w:r w:rsidRPr="007C3645">
        <w:rPr>
          <w:rFonts w:cs="Arial"/>
          <w:bCs/>
          <w:szCs w:val="24"/>
        </w:rPr>
        <w:t>carencia por acceso a los servicios básicos en la vivienda</w:t>
      </w:r>
      <w:r>
        <w:rPr>
          <w:rFonts w:cs="Arial"/>
          <w:bCs/>
          <w:szCs w:val="24"/>
        </w:rPr>
        <w:t xml:space="preserve"> en el 19.8%, exacerbada en los grupos en condición de vulnerabilidad, uno de estos grupos es la población indígena, que </w:t>
      </w:r>
      <w:r w:rsidRPr="007C3645">
        <w:rPr>
          <w:rFonts w:cs="Arial"/>
          <w:bCs/>
          <w:szCs w:val="24"/>
        </w:rPr>
        <w:t xml:space="preserve">cuenta con mayores carencias por calidad y espacios </w:t>
      </w:r>
      <w:r w:rsidR="00E95A20" w:rsidRPr="007C3645">
        <w:rPr>
          <w:rFonts w:cs="Arial"/>
          <w:bCs/>
          <w:szCs w:val="24"/>
        </w:rPr>
        <w:t>de vivienda</w:t>
      </w:r>
      <w:r w:rsidRPr="007C3645">
        <w:rPr>
          <w:rFonts w:cs="Arial"/>
          <w:bCs/>
          <w:szCs w:val="24"/>
        </w:rPr>
        <w:t xml:space="preserve"> (28.5%) y por acceso a servicios básicos ( 57.7%)</w:t>
      </w:r>
      <w:r>
        <w:rPr>
          <w:rFonts w:cs="Arial"/>
          <w:bCs/>
          <w:szCs w:val="24"/>
        </w:rPr>
        <w:t>.</w:t>
      </w:r>
    </w:p>
    <w:p w:rsidR="004B56CC" w:rsidRPr="00ED4D35" w:rsidRDefault="004B56CC" w:rsidP="00A276D1">
      <w:pPr>
        <w:spacing w:after="0" w:line="240" w:lineRule="auto"/>
        <w:jc w:val="both"/>
        <w:rPr>
          <w:rFonts w:cs="Arial"/>
          <w:b/>
          <w:bCs/>
          <w:sz w:val="12"/>
          <w:szCs w:val="12"/>
        </w:rPr>
      </w:pPr>
    </w:p>
    <w:p w:rsidR="00E927EB" w:rsidRDefault="00E95A20" w:rsidP="00A276D1">
      <w:pPr>
        <w:spacing w:after="0" w:line="240" w:lineRule="auto"/>
        <w:jc w:val="both"/>
        <w:rPr>
          <w:rFonts w:cs="Arial"/>
          <w:bCs/>
          <w:szCs w:val="24"/>
        </w:rPr>
      </w:pPr>
      <w:r>
        <w:rPr>
          <w:rFonts w:cs="Arial"/>
          <w:bCs/>
          <w:szCs w:val="24"/>
        </w:rPr>
        <w:t>En ese sentido, conforme a lo expuesto en el Programa Nacional de Vivienda (PNV) 2019-2024</w:t>
      </w:r>
      <w:r>
        <w:rPr>
          <w:rStyle w:val="FootnoteReference"/>
          <w:rFonts w:cs="Arial"/>
          <w:bCs/>
          <w:szCs w:val="24"/>
        </w:rPr>
        <w:footnoteReference w:id="14"/>
      </w:r>
      <w:r>
        <w:rPr>
          <w:rFonts w:cs="Arial"/>
          <w:bCs/>
          <w:szCs w:val="24"/>
        </w:rPr>
        <w:t xml:space="preserve">,uno de los cinco objetivos prioritarios de este Programa consiste en: </w:t>
      </w:r>
      <w:r w:rsidRPr="00E927EB">
        <w:rPr>
          <w:rFonts w:cs="Arial"/>
          <w:bCs/>
          <w:szCs w:val="24"/>
        </w:rPr>
        <w:t>Garantizar el ejercicio del derecho a la vivienda adecuada a todas las personas, especialmente a</w:t>
      </w:r>
      <w:r>
        <w:rPr>
          <w:rFonts w:cs="Arial"/>
          <w:bCs/>
          <w:szCs w:val="24"/>
        </w:rPr>
        <w:t xml:space="preserve"> </w:t>
      </w:r>
      <w:r w:rsidRPr="00E927EB">
        <w:rPr>
          <w:rFonts w:cs="Arial"/>
          <w:bCs/>
          <w:szCs w:val="24"/>
        </w:rPr>
        <w:t>los grupos en mayor condición de discriminación y vulnerabilidad, a través de soluciones financieras, técnicas y sociales de acuerdo con las necesidades específicas de cada grupo de población</w:t>
      </w:r>
      <w:r>
        <w:rPr>
          <w:rFonts w:cs="Arial"/>
          <w:bCs/>
          <w:szCs w:val="24"/>
        </w:rPr>
        <w:t>, por ejemplo, s</w:t>
      </w:r>
      <w:r w:rsidRPr="00E927EB">
        <w:rPr>
          <w:rFonts w:cs="Arial"/>
          <w:bCs/>
          <w:szCs w:val="24"/>
        </w:rPr>
        <w:t>e brindarán soluciones para atender la limitada asequibilidad de una vivienda adecuada, situación que particularmente</w:t>
      </w:r>
      <w:r>
        <w:rPr>
          <w:rFonts w:cs="Arial"/>
          <w:bCs/>
          <w:szCs w:val="24"/>
        </w:rPr>
        <w:t xml:space="preserve"> afecta</w:t>
      </w:r>
      <w:r w:rsidRPr="00E927EB">
        <w:rPr>
          <w:rFonts w:cs="Arial"/>
          <w:bCs/>
          <w:szCs w:val="24"/>
        </w:rPr>
        <w:t xml:space="preserve"> a personas </w:t>
      </w:r>
      <w:r>
        <w:rPr>
          <w:rFonts w:cs="Arial"/>
          <w:bCs/>
          <w:szCs w:val="24"/>
        </w:rPr>
        <w:t xml:space="preserve">que residen </w:t>
      </w:r>
      <w:r w:rsidRPr="00E927EB">
        <w:rPr>
          <w:rFonts w:cs="Arial"/>
          <w:bCs/>
          <w:szCs w:val="24"/>
        </w:rPr>
        <w:t>en zonas rurales, en comunidades indígenas y en condiciones d</w:t>
      </w:r>
      <w:r>
        <w:rPr>
          <w:rFonts w:cs="Arial"/>
          <w:bCs/>
          <w:szCs w:val="24"/>
        </w:rPr>
        <w:t xml:space="preserve">e mayor rezago habitacional. </w:t>
      </w:r>
    </w:p>
    <w:p w:rsidR="00E927EB" w:rsidRPr="00ED4D35" w:rsidRDefault="00E927EB" w:rsidP="00A276D1">
      <w:pPr>
        <w:spacing w:after="0" w:line="240" w:lineRule="auto"/>
        <w:jc w:val="both"/>
        <w:rPr>
          <w:rFonts w:cs="Arial"/>
          <w:b/>
          <w:bCs/>
          <w:sz w:val="12"/>
          <w:szCs w:val="12"/>
        </w:rPr>
      </w:pPr>
    </w:p>
    <w:p w:rsidR="00336DD0" w:rsidRDefault="00336DD0" w:rsidP="00A276D1">
      <w:pPr>
        <w:spacing w:after="0" w:line="240" w:lineRule="auto"/>
        <w:jc w:val="both"/>
        <w:rPr>
          <w:rFonts w:cs="Arial"/>
          <w:bCs/>
          <w:szCs w:val="24"/>
        </w:rPr>
      </w:pPr>
      <w:r>
        <w:rPr>
          <w:rFonts w:cs="Arial"/>
          <w:bCs/>
          <w:szCs w:val="24"/>
        </w:rPr>
        <w:t xml:space="preserve">El PNV </w:t>
      </w:r>
      <w:r w:rsidRPr="00847C05">
        <w:rPr>
          <w:rFonts w:cs="Arial"/>
          <w:bCs/>
          <w:szCs w:val="24"/>
        </w:rPr>
        <w:t>busca diversificar el tipo de programas y proyectos habitacionales</w:t>
      </w:r>
      <w:r>
        <w:rPr>
          <w:rFonts w:cs="Arial"/>
          <w:bCs/>
          <w:szCs w:val="24"/>
        </w:rPr>
        <w:t xml:space="preserve"> mediante </w:t>
      </w:r>
      <w:r w:rsidRPr="00847C05">
        <w:rPr>
          <w:rFonts w:cs="Arial"/>
          <w:bCs/>
          <w:szCs w:val="24"/>
        </w:rPr>
        <w:t xml:space="preserve">arrendamientos, producción social de vivienda </w:t>
      </w:r>
      <w:r w:rsidR="00E95A20" w:rsidRPr="00847C05">
        <w:rPr>
          <w:rFonts w:cs="Arial"/>
          <w:bCs/>
          <w:szCs w:val="24"/>
        </w:rPr>
        <w:t>asistida, microcréditos</w:t>
      </w:r>
      <w:r w:rsidRPr="00847C05">
        <w:rPr>
          <w:rFonts w:cs="Arial"/>
          <w:bCs/>
          <w:szCs w:val="24"/>
        </w:rPr>
        <w:t xml:space="preserve"> individuales y colectivos, fomento a la creación de </w:t>
      </w:r>
      <w:r w:rsidR="00E95A20" w:rsidRPr="00847C05">
        <w:rPr>
          <w:rFonts w:cs="Arial"/>
          <w:bCs/>
          <w:szCs w:val="24"/>
        </w:rPr>
        <w:t>cooperativas de</w:t>
      </w:r>
      <w:r w:rsidRPr="00847C05">
        <w:rPr>
          <w:rFonts w:cs="Arial"/>
          <w:bCs/>
          <w:szCs w:val="24"/>
        </w:rPr>
        <w:t xml:space="preserve"> vivienda, entre otros</w:t>
      </w:r>
      <w:r>
        <w:rPr>
          <w:rFonts w:cs="Arial"/>
          <w:bCs/>
          <w:szCs w:val="24"/>
        </w:rPr>
        <w:t>.</w:t>
      </w:r>
    </w:p>
    <w:p w:rsidR="00336DD0" w:rsidRPr="00ED4D35" w:rsidRDefault="00336DD0" w:rsidP="00A276D1">
      <w:pPr>
        <w:spacing w:after="0" w:line="240" w:lineRule="auto"/>
        <w:jc w:val="both"/>
        <w:rPr>
          <w:rFonts w:cs="Arial"/>
          <w:b/>
          <w:bCs/>
          <w:sz w:val="12"/>
          <w:szCs w:val="12"/>
        </w:rPr>
      </w:pPr>
    </w:p>
    <w:p w:rsidR="00336DD0" w:rsidRDefault="00AF0B68" w:rsidP="00A276D1">
      <w:pPr>
        <w:spacing w:after="0" w:line="240" w:lineRule="auto"/>
        <w:jc w:val="both"/>
        <w:rPr>
          <w:rFonts w:cs="Arial"/>
          <w:bCs/>
          <w:szCs w:val="24"/>
        </w:rPr>
      </w:pPr>
      <w:r>
        <w:rPr>
          <w:rFonts w:cs="Arial"/>
          <w:bCs/>
          <w:szCs w:val="24"/>
        </w:rPr>
        <w:t xml:space="preserve">La Ley Federal para Prevenir y Eliminar la Discriminación establece en su Capítulo III que los órganos públicos y autoridades federales conforme a su competencia pueden generar </w:t>
      </w:r>
      <w:r>
        <w:t>medidas positivas y compensatorias a favor de la igualdad de oportunidades</w:t>
      </w:r>
      <w:r w:rsidR="00AF72F9">
        <w:t>.</w:t>
      </w:r>
    </w:p>
    <w:p w:rsidR="00AF0B68" w:rsidRPr="00ED4D35" w:rsidRDefault="00AF0B68" w:rsidP="00A276D1">
      <w:pPr>
        <w:spacing w:after="0" w:line="240" w:lineRule="auto"/>
        <w:jc w:val="both"/>
        <w:rPr>
          <w:rFonts w:cs="Arial"/>
          <w:bCs/>
          <w:sz w:val="12"/>
          <w:szCs w:val="12"/>
        </w:rPr>
      </w:pPr>
    </w:p>
    <w:p w:rsidR="00E927EB" w:rsidRDefault="00336DD0" w:rsidP="00A276D1">
      <w:pPr>
        <w:spacing w:after="0" w:line="240" w:lineRule="auto"/>
        <w:jc w:val="both"/>
        <w:rPr>
          <w:rFonts w:cs="Arial"/>
          <w:bCs/>
          <w:szCs w:val="24"/>
        </w:rPr>
      </w:pPr>
      <w:r>
        <w:rPr>
          <w:rFonts w:cs="Arial"/>
          <w:bCs/>
          <w:szCs w:val="24"/>
        </w:rPr>
        <w:t>Por su parte, e</w:t>
      </w:r>
      <w:r w:rsidR="00E927EB" w:rsidRPr="004B56CC">
        <w:rPr>
          <w:rFonts w:cs="Arial"/>
          <w:bCs/>
          <w:szCs w:val="24"/>
        </w:rPr>
        <w:t xml:space="preserve">l </w:t>
      </w:r>
      <w:r w:rsidR="00E927EB">
        <w:rPr>
          <w:rFonts w:cs="Arial"/>
          <w:bCs/>
          <w:szCs w:val="24"/>
        </w:rPr>
        <w:t>gobierno de la Ciudad de México incorporó al Programa Especial de Regeneración Urbana y Vivienda Incluyente 2019-2024, la venta de 4 predios, el dinero obtenido será destinado a la construcción de 400 viviendas para comunidades indígenas residentes en el Centro Histórico, debido al hacinamiento importante en el que se encontraban estas familias de grupos indígenas.</w:t>
      </w:r>
      <w:r w:rsidR="007C3645">
        <w:rPr>
          <w:rStyle w:val="FootnoteReference"/>
          <w:rFonts w:cs="Arial"/>
          <w:bCs/>
          <w:szCs w:val="24"/>
        </w:rPr>
        <w:footnoteReference w:id="15"/>
      </w:r>
    </w:p>
    <w:p w:rsidR="00E927EB" w:rsidRPr="00ED4D35" w:rsidRDefault="00E927EB" w:rsidP="00A276D1">
      <w:pPr>
        <w:spacing w:after="0" w:line="240" w:lineRule="auto"/>
        <w:jc w:val="both"/>
        <w:rPr>
          <w:rFonts w:cs="Arial"/>
          <w:bCs/>
          <w:sz w:val="12"/>
          <w:szCs w:val="12"/>
        </w:rPr>
      </w:pPr>
    </w:p>
    <w:p w:rsidR="009643C1" w:rsidRPr="00336DD0" w:rsidRDefault="009643C1" w:rsidP="00A276D1">
      <w:pPr>
        <w:spacing w:after="0" w:line="240" w:lineRule="auto"/>
        <w:jc w:val="both"/>
        <w:rPr>
          <w:rFonts w:ascii="Arial Negrita" w:hAnsi="Arial Negrita" w:cs="Arial"/>
          <w:b/>
          <w:bCs/>
          <w:smallCaps/>
          <w:szCs w:val="24"/>
        </w:rPr>
      </w:pPr>
      <w:r w:rsidRPr="00336DD0">
        <w:rPr>
          <w:rFonts w:ascii="Arial Negrita" w:hAnsi="Arial Negrita" w:cs="Arial"/>
          <w:b/>
          <w:bCs/>
          <w:smallCaps/>
          <w:szCs w:val="24"/>
        </w:rPr>
        <w:t>Segregación socio-espacial y residencial</w:t>
      </w:r>
    </w:p>
    <w:p w:rsidR="009643C1" w:rsidRPr="00ED4D35" w:rsidRDefault="009643C1" w:rsidP="00A276D1">
      <w:pPr>
        <w:spacing w:after="0" w:line="240" w:lineRule="auto"/>
        <w:jc w:val="both"/>
        <w:rPr>
          <w:rFonts w:cs="Arial"/>
          <w:b/>
          <w:bCs/>
          <w:sz w:val="12"/>
          <w:szCs w:val="12"/>
        </w:rPr>
      </w:pPr>
    </w:p>
    <w:p w:rsidR="00AF733A" w:rsidRDefault="009643C1" w:rsidP="00A276D1">
      <w:pPr>
        <w:spacing w:after="0" w:line="240" w:lineRule="auto"/>
        <w:jc w:val="both"/>
        <w:rPr>
          <w:rFonts w:cs="Arial"/>
          <w:b/>
          <w:bCs/>
          <w:szCs w:val="24"/>
        </w:rPr>
      </w:pPr>
      <w:r w:rsidRPr="00911E3F">
        <w:rPr>
          <w:rFonts w:cs="Arial"/>
          <w:b/>
          <w:bCs/>
          <w:szCs w:val="24"/>
        </w:rPr>
        <w:t>12. ¿</w:t>
      </w:r>
      <w:r w:rsidRPr="002A1427">
        <w:rPr>
          <w:rFonts w:cs="Arial"/>
          <w:b/>
          <w:bCs/>
          <w:szCs w:val="24"/>
        </w:rPr>
        <w:t xml:space="preserve">Qué formas de segregación socio-espacial basado en la raza, la casta, la etnia, la religión, la nacionalidad, la situación migratoria, el patrimonio, la </w:t>
      </w:r>
      <w:r w:rsidRPr="002A1427">
        <w:rPr>
          <w:rFonts w:cs="Arial"/>
          <w:b/>
          <w:bCs/>
          <w:szCs w:val="24"/>
        </w:rPr>
        <w:lastRenderedPageBreak/>
        <w:t>situación económica/los ingresos u otros motivos sociales se observan en los contextos urbanos y/o urbano-rurales de su país?</w:t>
      </w:r>
    </w:p>
    <w:p w:rsidR="002A1427" w:rsidRPr="00ED4D35" w:rsidRDefault="002A1427" w:rsidP="00A276D1">
      <w:pPr>
        <w:spacing w:after="0" w:line="240" w:lineRule="auto"/>
        <w:jc w:val="both"/>
        <w:rPr>
          <w:rFonts w:cs="Arial"/>
          <w:b/>
          <w:bCs/>
          <w:sz w:val="12"/>
          <w:szCs w:val="12"/>
        </w:rPr>
      </w:pPr>
    </w:p>
    <w:p w:rsidR="002A1427" w:rsidRDefault="002B5E21" w:rsidP="00A276D1">
      <w:pPr>
        <w:spacing w:after="0" w:line="240" w:lineRule="auto"/>
        <w:jc w:val="both"/>
        <w:rPr>
          <w:rFonts w:cs="Arial"/>
          <w:bCs/>
          <w:szCs w:val="24"/>
        </w:rPr>
      </w:pPr>
      <w:r>
        <w:rPr>
          <w:rFonts w:cs="Arial"/>
          <w:bCs/>
          <w:szCs w:val="24"/>
        </w:rPr>
        <w:t xml:space="preserve">En </w:t>
      </w:r>
      <w:r w:rsidR="00535FBA">
        <w:rPr>
          <w:rFonts w:cs="Arial"/>
          <w:bCs/>
          <w:szCs w:val="24"/>
        </w:rPr>
        <w:t xml:space="preserve">el caso de </w:t>
      </w:r>
      <w:r>
        <w:rPr>
          <w:rFonts w:cs="Arial"/>
          <w:bCs/>
          <w:szCs w:val="24"/>
        </w:rPr>
        <w:t xml:space="preserve">la </w:t>
      </w:r>
      <w:r w:rsidR="00535FBA">
        <w:rPr>
          <w:rFonts w:cs="Arial"/>
          <w:bCs/>
          <w:szCs w:val="24"/>
        </w:rPr>
        <w:t>z</w:t>
      </w:r>
      <w:r>
        <w:rPr>
          <w:rFonts w:cs="Arial"/>
          <w:bCs/>
          <w:szCs w:val="24"/>
        </w:rPr>
        <w:t xml:space="preserve">ona </w:t>
      </w:r>
      <w:r w:rsidR="00535FBA">
        <w:rPr>
          <w:rFonts w:cs="Arial"/>
          <w:bCs/>
          <w:szCs w:val="24"/>
        </w:rPr>
        <w:t>m</w:t>
      </w:r>
      <w:r>
        <w:rPr>
          <w:rFonts w:cs="Arial"/>
          <w:bCs/>
          <w:szCs w:val="24"/>
        </w:rPr>
        <w:t xml:space="preserve">etropolitana de la Ciudad de México se </w:t>
      </w:r>
      <w:r w:rsidR="00336DD0">
        <w:rPr>
          <w:rFonts w:cs="Arial"/>
          <w:bCs/>
          <w:szCs w:val="24"/>
        </w:rPr>
        <w:t xml:space="preserve">advierte </w:t>
      </w:r>
      <w:r>
        <w:rPr>
          <w:rFonts w:cs="Arial"/>
          <w:bCs/>
          <w:szCs w:val="24"/>
        </w:rPr>
        <w:t xml:space="preserve">una segregación por situación económica </w:t>
      </w:r>
      <w:r w:rsidR="004A20D5" w:rsidRPr="00544729">
        <w:rPr>
          <w:rFonts w:cs="Arial"/>
          <w:bCs/>
          <w:szCs w:val="24"/>
        </w:rPr>
        <w:t>determinada</w:t>
      </w:r>
      <w:r w:rsidRPr="00544729">
        <w:rPr>
          <w:rFonts w:cs="Arial"/>
          <w:bCs/>
          <w:szCs w:val="24"/>
        </w:rPr>
        <w:t xml:space="preserve"> por diversos estratos socioeconómicos, mientras el Poniente se caracteriza por</w:t>
      </w:r>
      <w:r>
        <w:rPr>
          <w:rFonts w:cs="Arial"/>
          <w:bCs/>
          <w:szCs w:val="24"/>
        </w:rPr>
        <w:t xml:space="preserve"> desarrollos habitacionales destinados a familias de ingresos altos</w:t>
      </w:r>
      <w:r w:rsidRPr="00544729">
        <w:rPr>
          <w:rFonts w:cs="Arial"/>
          <w:bCs/>
          <w:szCs w:val="24"/>
        </w:rPr>
        <w:t>, el Oriente se caracteriza</w:t>
      </w:r>
      <w:r>
        <w:rPr>
          <w:rFonts w:cs="Arial"/>
          <w:bCs/>
          <w:szCs w:val="24"/>
        </w:rPr>
        <w:t xml:space="preserve"> por extensos desarrollos habitacionales de interés social</w:t>
      </w:r>
      <w:r w:rsidR="003A3C28">
        <w:rPr>
          <w:rStyle w:val="FootnoteReference"/>
          <w:rFonts w:cs="Arial"/>
          <w:bCs/>
          <w:szCs w:val="24"/>
        </w:rPr>
        <w:footnoteReference w:id="16"/>
      </w:r>
      <w:r w:rsidR="00336DD0">
        <w:rPr>
          <w:rFonts w:cs="Arial"/>
          <w:bCs/>
          <w:szCs w:val="24"/>
        </w:rPr>
        <w:t>.</w:t>
      </w:r>
    </w:p>
    <w:p w:rsidR="003A3C28" w:rsidRPr="00ED4D35" w:rsidRDefault="003A3C28" w:rsidP="00A276D1">
      <w:pPr>
        <w:spacing w:after="0" w:line="240" w:lineRule="auto"/>
        <w:jc w:val="both"/>
        <w:rPr>
          <w:rFonts w:cs="Arial"/>
          <w:bCs/>
          <w:sz w:val="12"/>
          <w:szCs w:val="12"/>
        </w:rPr>
      </w:pPr>
    </w:p>
    <w:p w:rsidR="003A3C28" w:rsidRDefault="003A3C28" w:rsidP="00A276D1">
      <w:pPr>
        <w:spacing w:after="0" w:line="240" w:lineRule="auto"/>
        <w:jc w:val="both"/>
        <w:rPr>
          <w:rFonts w:cs="Arial"/>
          <w:bCs/>
          <w:szCs w:val="24"/>
        </w:rPr>
      </w:pPr>
      <w:r>
        <w:rPr>
          <w:rFonts w:cs="Arial"/>
          <w:bCs/>
          <w:szCs w:val="24"/>
        </w:rPr>
        <w:t xml:space="preserve">También es posible observar una forma de segregación residencial llamada </w:t>
      </w:r>
      <w:r w:rsidRPr="003A3C28">
        <w:rPr>
          <w:rFonts w:cs="Arial"/>
          <w:bCs/>
          <w:i/>
          <w:szCs w:val="24"/>
        </w:rPr>
        <w:t>“</w:t>
      </w:r>
      <w:r>
        <w:rPr>
          <w:rFonts w:cs="Arial"/>
          <w:bCs/>
          <w:i/>
          <w:szCs w:val="24"/>
        </w:rPr>
        <w:t>Fraccionamientos cerrados</w:t>
      </w:r>
      <w:r w:rsidRPr="003A3C28">
        <w:rPr>
          <w:rFonts w:cs="Arial"/>
          <w:bCs/>
          <w:i/>
          <w:szCs w:val="24"/>
        </w:rPr>
        <w:t>”</w:t>
      </w:r>
      <w:r>
        <w:rPr>
          <w:rFonts w:cs="Arial"/>
          <w:bCs/>
          <w:szCs w:val="24"/>
        </w:rPr>
        <w:t xml:space="preserve">, aumentando la fragmentación de la ciudad, la mayoría de estos fraccionamientos son desarrollos dirigidos hacia la población con ingresos altos, sin embargo, también </w:t>
      </w:r>
      <w:r w:rsidR="00535FBA">
        <w:rPr>
          <w:rFonts w:cs="Arial"/>
          <w:bCs/>
          <w:szCs w:val="24"/>
        </w:rPr>
        <w:t xml:space="preserve">existen otros dirigidos a sectores económicos medios y bajos. </w:t>
      </w:r>
    </w:p>
    <w:p w:rsidR="003A3C28" w:rsidRPr="00ED4D35" w:rsidRDefault="003A3C28" w:rsidP="00A276D1">
      <w:pPr>
        <w:spacing w:after="0" w:line="240" w:lineRule="auto"/>
        <w:jc w:val="both"/>
        <w:rPr>
          <w:rFonts w:cs="Arial"/>
          <w:bCs/>
          <w:sz w:val="12"/>
          <w:szCs w:val="12"/>
        </w:rPr>
      </w:pPr>
    </w:p>
    <w:p w:rsidR="003A3C28" w:rsidRDefault="003A3C28" w:rsidP="00A276D1">
      <w:pPr>
        <w:spacing w:after="0" w:line="240" w:lineRule="auto"/>
        <w:jc w:val="both"/>
        <w:rPr>
          <w:rFonts w:cs="Arial"/>
          <w:bCs/>
          <w:szCs w:val="24"/>
        </w:rPr>
      </w:pPr>
      <w:r>
        <w:rPr>
          <w:rFonts w:cs="Arial"/>
          <w:bCs/>
          <w:szCs w:val="24"/>
        </w:rPr>
        <w:t xml:space="preserve">Estos fraccionamientos se caracterizan por el aislamiento que puede manifestarse mediante </w:t>
      </w:r>
      <w:r w:rsidRPr="003A3C28">
        <w:rPr>
          <w:rFonts w:cs="Arial"/>
          <w:bCs/>
          <w:szCs w:val="24"/>
        </w:rPr>
        <w:t>bardas, rejas, cadenas, plumas, casetas, dispositivos de vigilancia, por medio del lenguaje, las costumbres, el aspecto físico o la ropa</w:t>
      </w:r>
      <w:r w:rsidR="00607808">
        <w:rPr>
          <w:rFonts w:cs="Arial"/>
          <w:bCs/>
          <w:szCs w:val="24"/>
        </w:rPr>
        <w:t>.</w:t>
      </w:r>
    </w:p>
    <w:p w:rsidR="00336DD0" w:rsidRDefault="00336DD0" w:rsidP="00A276D1">
      <w:pPr>
        <w:spacing w:after="0" w:line="240" w:lineRule="auto"/>
        <w:jc w:val="both"/>
        <w:rPr>
          <w:rFonts w:cs="Arial"/>
          <w:bCs/>
          <w:szCs w:val="24"/>
        </w:rPr>
      </w:pPr>
    </w:p>
    <w:p w:rsidR="001443D2" w:rsidRDefault="001443D2" w:rsidP="00A276D1">
      <w:pPr>
        <w:spacing w:after="0" w:line="240" w:lineRule="auto"/>
        <w:jc w:val="both"/>
        <w:rPr>
          <w:rFonts w:cs="Arial"/>
          <w:bCs/>
          <w:szCs w:val="24"/>
        </w:rPr>
      </w:pPr>
      <w:r>
        <w:rPr>
          <w:rFonts w:cs="Arial"/>
          <w:bCs/>
          <w:szCs w:val="24"/>
        </w:rPr>
        <w:t xml:space="preserve">Existe también una periferización de la pobreza, existe una marcada tendencia a encontrar a estos grupos sociales en la periferia urbana, con asentamientos recientes, muchos de ellos de carácter informal y con un déficit marcado de servicios públicos, algunos de ellos en terrenos baratos con difícil acceso y con alto riesgo ambiental, formando agrupaciones en una situación de exclusión </w:t>
      </w:r>
      <w:r w:rsidR="00E95A20">
        <w:rPr>
          <w:rFonts w:cs="Arial"/>
          <w:bCs/>
          <w:szCs w:val="24"/>
        </w:rPr>
        <w:t>social, teniendo</w:t>
      </w:r>
      <w:r w:rsidR="00D038AB">
        <w:rPr>
          <w:rFonts w:cs="Arial"/>
          <w:bCs/>
          <w:szCs w:val="24"/>
        </w:rPr>
        <w:t xml:space="preserve"> por consiguiente la localización más céntrica de los hogares de ingresos elevados frente a los hogares de bajos ingresos</w:t>
      </w:r>
      <w:r>
        <w:rPr>
          <w:rStyle w:val="FootnoteReference"/>
          <w:rFonts w:cs="Arial"/>
          <w:bCs/>
          <w:szCs w:val="24"/>
        </w:rPr>
        <w:footnoteReference w:id="17"/>
      </w:r>
      <w:r w:rsidR="00336DD0">
        <w:rPr>
          <w:rFonts w:cs="Arial"/>
          <w:bCs/>
          <w:szCs w:val="24"/>
        </w:rPr>
        <w:t>.</w:t>
      </w:r>
    </w:p>
    <w:p w:rsidR="00D038AB" w:rsidRPr="00ED4D35" w:rsidRDefault="00D038AB" w:rsidP="00A276D1">
      <w:pPr>
        <w:spacing w:after="0" w:line="240" w:lineRule="auto"/>
        <w:jc w:val="both"/>
        <w:rPr>
          <w:rFonts w:cs="Arial"/>
          <w:bCs/>
          <w:sz w:val="12"/>
          <w:szCs w:val="12"/>
        </w:rPr>
      </w:pPr>
    </w:p>
    <w:p w:rsidR="00D038AB" w:rsidRDefault="00D038AB" w:rsidP="00A276D1">
      <w:pPr>
        <w:spacing w:after="0" w:line="240" w:lineRule="auto"/>
        <w:jc w:val="both"/>
        <w:rPr>
          <w:rFonts w:cs="Arial"/>
          <w:bCs/>
          <w:szCs w:val="24"/>
        </w:rPr>
      </w:pPr>
      <w:r>
        <w:rPr>
          <w:rFonts w:cs="Arial"/>
          <w:bCs/>
          <w:szCs w:val="24"/>
        </w:rPr>
        <w:t xml:space="preserve">Existen similitudes de segregación entre los grupos indígenas, los hogares de bajos ingresos y de </w:t>
      </w:r>
      <w:r w:rsidR="00535FBA">
        <w:rPr>
          <w:rFonts w:cs="Arial"/>
          <w:bCs/>
          <w:szCs w:val="24"/>
        </w:rPr>
        <w:t>las personas</w:t>
      </w:r>
      <w:r>
        <w:rPr>
          <w:rFonts w:cs="Arial"/>
          <w:bCs/>
          <w:szCs w:val="24"/>
        </w:rPr>
        <w:t xml:space="preserve"> emplead</w:t>
      </w:r>
      <w:r w:rsidR="00535FBA">
        <w:rPr>
          <w:rFonts w:cs="Arial"/>
          <w:bCs/>
          <w:szCs w:val="24"/>
        </w:rPr>
        <w:t>a</w:t>
      </w:r>
      <w:r>
        <w:rPr>
          <w:rFonts w:cs="Arial"/>
          <w:bCs/>
          <w:szCs w:val="24"/>
        </w:rPr>
        <w:t>s en el sector informal</w:t>
      </w:r>
      <w:r w:rsidR="00535FBA">
        <w:rPr>
          <w:rFonts w:cs="Arial"/>
          <w:bCs/>
          <w:szCs w:val="24"/>
        </w:rPr>
        <w:t>;</w:t>
      </w:r>
      <w:r>
        <w:rPr>
          <w:rFonts w:cs="Arial"/>
          <w:bCs/>
          <w:szCs w:val="24"/>
        </w:rPr>
        <w:t xml:space="preserve"> no obstante</w:t>
      </w:r>
      <w:r w:rsidR="00535FBA">
        <w:rPr>
          <w:rFonts w:cs="Arial"/>
          <w:bCs/>
          <w:szCs w:val="24"/>
        </w:rPr>
        <w:t>,</w:t>
      </w:r>
      <w:r>
        <w:rPr>
          <w:rFonts w:cs="Arial"/>
          <w:bCs/>
          <w:szCs w:val="24"/>
        </w:rPr>
        <w:t xml:space="preserve"> existe mayor nivel de discriminación en los grupos indígenas, ya que sus niveles de segregación son más altos, ocupando menos espacio por vivienda y se encuentran asentados más periféricamente que los otros </w:t>
      </w:r>
      <w:r w:rsidR="00535FBA">
        <w:rPr>
          <w:rFonts w:cs="Arial"/>
          <w:bCs/>
          <w:szCs w:val="24"/>
        </w:rPr>
        <w:t xml:space="preserve">dos </w:t>
      </w:r>
      <w:r>
        <w:rPr>
          <w:rFonts w:cs="Arial"/>
          <w:bCs/>
          <w:szCs w:val="24"/>
        </w:rPr>
        <w:t>grupos</w:t>
      </w:r>
      <w:r>
        <w:rPr>
          <w:rStyle w:val="FootnoteReference"/>
          <w:rFonts w:cs="Arial"/>
          <w:bCs/>
          <w:szCs w:val="24"/>
        </w:rPr>
        <w:footnoteReference w:id="18"/>
      </w:r>
      <w:r w:rsidR="00336DD0">
        <w:rPr>
          <w:rFonts w:cs="Arial"/>
          <w:bCs/>
          <w:szCs w:val="24"/>
        </w:rPr>
        <w:t>.</w:t>
      </w:r>
    </w:p>
    <w:p w:rsidR="009643C1" w:rsidRPr="00ED4D35" w:rsidRDefault="009643C1" w:rsidP="00A276D1">
      <w:pPr>
        <w:spacing w:after="0" w:line="240" w:lineRule="auto"/>
        <w:jc w:val="both"/>
        <w:rPr>
          <w:rFonts w:cs="Arial"/>
          <w:bCs/>
          <w:sz w:val="12"/>
          <w:szCs w:val="12"/>
        </w:rPr>
      </w:pPr>
    </w:p>
    <w:p w:rsidR="00C462DE" w:rsidRPr="00D038AB" w:rsidRDefault="009643C1" w:rsidP="00A276D1">
      <w:pPr>
        <w:spacing w:after="0" w:line="240" w:lineRule="auto"/>
        <w:jc w:val="both"/>
        <w:rPr>
          <w:rFonts w:cs="Arial"/>
          <w:b/>
          <w:bCs/>
          <w:szCs w:val="24"/>
        </w:rPr>
      </w:pPr>
      <w:r w:rsidRPr="00D038AB">
        <w:rPr>
          <w:rFonts w:cs="Arial"/>
          <w:b/>
          <w:bCs/>
          <w:szCs w:val="24"/>
        </w:rPr>
        <w:t>13. ¿Qué impacto tienen estas formas de segregación socio-espacial y residencial en las comunidades afectadas? Señale indicadores como las ta</w:t>
      </w:r>
      <w:r w:rsidR="00336DD0">
        <w:rPr>
          <w:rFonts w:cs="Arial"/>
          <w:b/>
          <w:bCs/>
          <w:szCs w:val="24"/>
        </w:rPr>
        <w:t>s</w:t>
      </w:r>
      <w:r w:rsidRPr="00D038AB">
        <w:rPr>
          <w:rFonts w:cs="Arial"/>
          <w:b/>
          <w:bCs/>
          <w:szCs w:val="24"/>
        </w:rPr>
        <w:t>as de pobreza, desempleo y subempleo; las tasas de prevalencia de la malnutrición; las disparidades</w:t>
      </w:r>
      <w:r w:rsidR="00C462DE" w:rsidRPr="00D038AB">
        <w:rPr>
          <w:rFonts w:cs="Arial"/>
          <w:b/>
          <w:bCs/>
          <w:szCs w:val="24"/>
        </w:rPr>
        <w:t xml:space="preserve"> en el acceso a los servicios e instalaciones (como el acceso a la escolarización, la atención sanitaria u otras prestaciones públicas); las disparidades en el acceso a las infraestructuras (falta y/o mala calidad del suministro de agua, saneamiento, transporte, energía, recogida de residuos y otros servicios públicos); las tasas de exposición a los riesgos </w:t>
      </w:r>
      <w:r w:rsidR="00C462DE" w:rsidRPr="00D038AB">
        <w:rPr>
          <w:rFonts w:cs="Arial"/>
          <w:b/>
          <w:bCs/>
          <w:szCs w:val="24"/>
        </w:rPr>
        <w:lastRenderedPageBreak/>
        <w:t>ambientales para la salud (mala calidad del aire, inundaciones, exposición a sustancias tóxicas en el suelo, etc.)</w:t>
      </w:r>
    </w:p>
    <w:p w:rsidR="00C462DE" w:rsidRPr="00ED4D35" w:rsidRDefault="00C462DE" w:rsidP="00A276D1">
      <w:pPr>
        <w:spacing w:after="0" w:line="240" w:lineRule="auto"/>
        <w:jc w:val="both"/>
        <w:rPr>
          <w:rFonts w:cs="Arial"/>
          <w:bCs/>
          <w:sz w:val="12"/>
          <w:szCs w:val="12"/>
        </w:rPr>
      </w:pPr>
    </w:p>
    <w:p w:rsidR="00D038AB" w:rsidRDefault="004B5207" w:rsidP="00A276D1">
      <w:pPr>
        <w:spacing w:after="0" w:line="240" w:lineRule="auto"/>
        <w:jc w:val="both"/>
        <w:rPr>
          <w:rFonts w:cs="Arial"/>
          <w:bCs/>
          <w:szCs w:val="24"/>
        </w:rPr>
      </w:pPr>
      <w:r>
        <w:rPr>
          <w:rFonts w:cs="Arial"/>
          <w:bCs/>
          <w:szCs w:val="24"/>
        </w:rPr>
        <w:t>En México</w:t>
      </w:r>
      <w:r w:rsidR="00336DD0">
        <w:rPr>
          <w:rFonts w:cs="Arial"/>
          <w:bCs/>
          <w:szCs w:val="24"/>
        </w:rPr>
        <w:t>,</w:t>
      </w:r>
      <w:r>
        <w:rPr>
          <w:rFonts w:cs="Arial"/>
          <w:bCs/>
          <w:szCs w:val="24"/>
        </w:rPr>
        <w:t xml:space="preserve"> las manchas urbanas fragmentadas implican altos costos para la dotación de infraestructuras básicas, ocasionando efectos negativos en materia de sustentabilidad medioambiental y desarrollo humano, aunado a esto las distancias a fuentes de trabajo y equipamientos básicos se amplia, aumentando costos en los recorridos y la contaminación ambiental generada por la movilización de vehículos motorizados</w:t>
      </w:r>
      <w:r>
        <w:rPr>
          <w:rStyle w:val="FootnoteReference"/>
          <w:rFonts w:cs="Arial"/>
          <w:bCs/>
          <w:szCs w:val="24"/>
        </w:rPr>
        <w:footnoteReference w:id="19"/>
      </w:r>
      <w:r w:rsidR="00336DD0">
        <w:rPr>
          <w:rFonts w:cs="Arial"/>
          <w:bCs/>
          <w:szCs w:val="24"/>
        </w:rPr>
        <w:t>.</w:t>
      </w:r>
    </w:p>
    <w:p w:rsidR="00D038AB" w:rsidRPr="00ED4D35" w:rsidRDefault="00D038AB" w:rsidP="00A276D1">
      <w:pPr>
        <w:spacing w:after="0" w:line="240" w:lineRule="auto"/>
        <w:jc w:val="both"/>
        <w:rPr>
          <w:rFonts w:cs="Arial"/>
          <w:bCs/>
          <w:sz w:val="12"/>
          <w:szCs w:val="12"/>
        </w:rPr>
      </w:pPr>
    </w:p>
    <w:p w:rsidR="00535FBA" w:rsidRDefault="00535FBA" w:rsidP="00A276D1">
      <w:pPr>
        <w:spacing w:after="0" w:line="240" w:lineRule="auto"/>
        <w:jc w:val="both"/>
        <w:rPr>
          <w:rFonts w:cs="Arial"/>
          <w:bCs/>
          <w:szCs w:val="24"/>
        </w:rPr>
      </w:pPr>
      <w:r>
        <w:rPr>
          <w:rFonts w:cs="Arial"/>
          <w:bCs/>
          <w:szCs w:val="24"/>
        </w:rPr>
        <w:t xml:space="preserve">De acuerdo con datos presentados </w:t>
      </w:r>
      <w:r w:rsidR="00AF72F9">
        <w:rPr>
          <w:rFonts w:cs="Arial"/>
          <w:bCs/>
          <w:szCs w:val="24"/>
        </w:rPr>
        <w:t xml:space="preserve">del multicitado </w:t>
      </w:r>
      <w:r w:rsidRPr="00A3344C">
        <w:rPr>
          <w:rFonts w:cs="Arial"/>
          <w:bCs/>
          <w:i/>
          <w:szCs w:val="24"/>
        </w:rPr>
        <w:t>“Estudio Diagnostico del Derecho a la Vivienda Digna y Decorosa 2018”</w:t>
      </w:r>
      <w:r>
        <w:rPr>
          <w:rStyle w:val="FootnoteReference"/>
          <w:rFonts w:cs="Arial"/>
          <w:bCs/>
          <w:i/>
          <w:szCs w:val="24"/>
        </w:rPr>
        <w:footnoteReference w:id="20"/>
      </w:r>
      <w:r>
        <w:rPr>
          <w:rFonts w:cs="Arial"/>
          <w:bCs/>
          <w:i/>
          <w:szCs w:val="24"/>
        </w:rPr>
        <w:t>,</w:t>
      </w:r>
      <w:r>
        <w:rPr>
          <w:rFonts w:cs="Arial"/>
          <w:bCs/>
          <w:szCs w:val="24"/>
        </w:rPr>
        <w:t xml:space="preserve"> en 2016, </w:t>
      </w:r>
      <w:r w:rsidR="00817214">
        <w:rPr>
          <w:rFonts w:cs="Arial"/>
          <w:bCs/>
          <w:szCs w:val="24"/>
        </w:rPr>
        <w:t>ocho de cada diez personas contaban</w:t>
      </w:r>
      <w:r>
        <w:rPr>
          <w:rFonts w:cs="Arial"/>
          <w:bCs/>
          <w:szCs w:val="24"/>
        </w:rPr>
        <w:t xml:space="preserve"> con infraestructura de servicios básicos en la vivienda, sin embargo, estos datos cambiaron en el ámbito rural, donde 53.1% presentó carencia por acceso a los servicios básicos.</w:t>
      </w:r>
    </w:p>
    <w:p w:rsidR="00535FBA" w:rsidRPr="00A276D1" w:rsidRDefault="00535FBA" w:rsidP="00A276D1">
      <w:pPr>
        <w:spacing w:after="0" w:line="240" w:lineRule="auto"/>
        <w:jc w:val="both"/>
        <w:rPr>
          <w:rFonts w:cs="Arial"/>
          <w:bCs/>
          <w:sz w:val="12"/>
          <w:szCs w:val="12"/>
        </w:rPr>
      </w:pPr>
    </w:p>
    <w:p w:rsidR="00535FBA" w:rsidRDefault="00535FBA" w:rsidP="00A276D1">
      <w:pPr>
        <w:spacing w:after="0" w:line="240" w:lineRule="auto"/>
        <w:jc w:val="both"/>
        <w:rPr>
          <w:rFonts w:cs="Arial"/>
          <w:bCs/>
          <w:szCs w:val="24"/>
        </w:rPr>
      </w:pPr>
      <w:r>
        <w:rPr>
          <w:rFonts w:cs="Arial"/>
          <w:bCs/>
          <w:szCs w:val="24"/>
        </w:rPr>
        <w:t xml:space="preserve">De estas carencias </w:t>
      </w:r>
      <w:r w:rsidRPr="00A3344C">
        <w:rPr>
          <w:rFonts w:cs="Arial"/>
          <w:bCs/>
          <w:szCs w:val="24"/>
        </w:rPr>
        <w:t xml:space="preserve">7.6% de </w:t>
      </w:r>
      <w:r w:rsidR="00E95A20" w:rsidRPr="00A3344C">
        <w:rPr>
          <w:rFonts w:cs="Arial"/>
          <w:bCs/>
          <w:szCs w:val="24"/>
        </w:rPr>
        <w:t>la población</w:t>
      </w:r>
      <w:r w:rsidRPr="00A3344C">
        <w:rPr>
          <w:rFonts w:cs="Arial"/>
          <w:bCs/>
          <w:szCs w:val="24"/>
        </w:rPr>
        <w:t xml:space="preserve"> no contaba con agua entubada </w:t>
      </w:r>
      <w:r w:rsidR="00E95A20" w:rsidRPr="00A3344C">
        <w:rPr>
          <w:rFonts w:cs="Arial"/>
          <w:bCs/>
          <w:szCs w:val="24"/>
        </w:rPr>
        <w:t>en sus</w:t>
      </w:r>
      <w:r w:rsidRPr="00A3344C">
        <w:rPr>
          <w:rFonts w:cs="Arial"/>
          <w:bCs/>
          <w:szCs w:val="24"/>
        </w:rPr>
        <w:t xml:space="preserve"> viviendas; 6.8% no tenía drenaje sanitario</w:t>
      </w:r>
      <w:r w:rsidR="00E95A20" w:rsidRPr="00A3344C">
        <w:rPr>
          <w:rFonts w:cs="Arial"/>
          <w:bCs/>
          <w:szCs w:val="24"/>
        </w:rPr>
        <w:t>; 0.4</w:t>
      </w:r>
      <w:r w:rsidRPr="00A3344C">
        <w:rPr>
          <w:rFonts w:cs="Arial"/>
          <w:bCs/>
          <w:szCs w:val="24"/>
        </w:rPr>
        <w:t xml:space="preserve">% carecía de electricidad en su </w:t>
      </w:r>
      <w:r w:rsidR="00E95A20" w:rsidRPr="00A3344C">
        <w:rPr>
          <w:rFonts w:cs="Arial"/>
          <w:bCs/>
          <w:szCs w:val="24"/>
        </w:rPr>
        <w:t>vivienda; y</w:t>
      </w:r>
      <w:r w:rsidRPr="00A3344C">
        <w:rPr>
          <w:rFonts w:cs="Arial"/>
          <w:bCs/>
          <w:szCs w:val="24"/>
        </w:rPr>
        <w:t xml:space="preserve"> 11.7% de la población habitaba </w:t>
      </w:r>
      <w:r w:rsidR="00E95A20" w:rsidRPr="00A3344C">
        <w:rPr>
          <w:rFonts w:cs="Arial"/>
          <w:bCs/>
          <w:szCs w:val="24"/>
        </w:rPr>
        <w:t>viviendas que</w:t>
      </w:r>
      <w:r w:rsidRPr="00A3344C">
        <w:rPr>
          <w:rFonts w:cs="Arial"/>
          <w:bCs/>
          <w:szCs w:val="24"/>
        </w:rPr>
        <w:t xml:space="preserve"> utilizaban leña o carbón para cocinar </w:t>
      </w:r>
      <w:r w:rsidR="00E95A20" w:rsidRPr="00A3344C">
        <w:rPr>
          <w:rFonts w:cs="Arial"/>
          <w:bCs/>
          <w:szCs w:val="24"/>
        </w:rPr>
        <w:t>y no</w:t>
      </w:r>
      <w:r w:rsidRPr="00A3344C">
        <w:rPr>
          <w:rFonts w:cs="Arial"/>
          <w:bCs/>
          <w:szCs w:val="24"/>
        </w:rPr>
        <w:t xml:space="preserve"> tenían chimenea. Al respecto, 10.5% de </w:t>
      </w:r>
      <w:r w:rsidR="00E95A20" w:rsidRPr="00A3344C">
        <w:rPr>
          <w:rFonts w:cs="Arial"/>
          <w:bCs/>
          <w:szCs w:val="24"/>
        </w:rPr>
        <w:t>las viviendas</w:t>
      </w:r>
      <w:r w:rsidRPr="00A3344C">
        <w:rPr>
          <w:rFonts w:cs="Arial"/>
          <w:bCs/>
          <w:szCs w:val="24"/>
        </w:rPr>
        <w:t xml:space="preserve"> no contaban con estufa de gas </w:t>
      </w:r>
      <w:r w:rsidR="00E95A20" w:rsidRPr="00A3344C">
        <w:rPr>
          <w:rFonts w:cs="Arial"/>
          <w:bCs/>
          <w:szCs w:val="24"/>
        </w:rPr>
        <w:t>o eléctrica</w:t>
      </w:r>
      <w:r w:rsidRPr="00A3344C">
        <w:rPr>
          <w:rFonts w:cs="Arial"/>
          <w:bCs/>
          <w:szCs w:val="24"/>
        </w:rPr>
        <w:t xml:space="preserve">. Además, 7.3% de los hogares no </w:t>
      </w:r>
      <w:r w:rsidR="00E95A20" w:rsidRPr="00A3344C">
        <w:rPr>
          <w:rFonts w:cs="Arial"/>
          <w:bCs/>
          <w:szCs w:val="24"/>
        </w:rPr>
        <w:t>tenía sanitario</w:t>
      </w:r>
      <w:r w:rsidRPr="00A3344C">
        <w:rPr>
          <w:rFonts w:cs="Arial"/>
          <w:bCs/>
          <w:szCs w:val="24"/>
        </w:rPr>
        <w:t xml:space="preserve"> en la vivienda</w:t>
      </w:r>
      <w:r>
        <w:rPr>
          <w:rFonts w:cs="Arial"/>
          <w:bCs/>
          <w:szCs w:val="24"/>
        </w:rPr>
        <w:t>.</w:t>
      </w:r>
    </w:p>
    <w:p w:rsidR="00535FBA" w:rsidRPr="00ED4D35" w:rsidRDefault="00535FBA" w:rsidP="00A276D1">
      <w:pPr>
        <w:spacing w:after="0" w:line="240" w:lineRule="auto"/>
        <w:jc w:val="both"/>
        <w:rPr>
          <w:rFonts w:cs="Arial"/>
          <w:bCs/>
          <w:sz w:val="12"/>
          <w:szCs w:val="12"/>
        </w:rPr>
      </w:pPr>
    </w:p>
    <w:p w:rsidR="00535FBA" w:rsidRDefault="00E95A20" w:rsidP="00A276D1">
      <w:pPr>
        <w:spacing w:after="0" w:line="240" w:lineRule="auto"/>
        <w:jc w:val="both"/>
        <w:rPr>
          <w:rFonts w:cs="Arial"/>
          <w:bCs/>
          <w:szCs w:val="24"/>
        </w:rPr>
      </w:pPr>
      <w:r>
        <w:rPr>
          <w:rFonts w:cs="Arial"/>
          <w:bCs/>
          <w:szCs w:val="24"/>
        </w:rPr>
        <w:t>En lo que respecta a la infraestructura complementaria, e</w:t>
      </w:r>
      <w:r w:rsidRPr="006F3392">
        <w:rPr>
          <w:rFonts w:cs="Arial"/>
          <w:bCs/>
          <w:szCs w:val="24"/>
        </w:rPr>
        <w:t>n localidades urbanas</w:t>
      </w:r>
      <w:r>
        <w:rPr>
          <w:rFonts w:cs="Arial"/>
          <w:bCs/>
          <w:szCs w:val="24"/>
        </w:rPr>
        <w:t xml:space="preserve"> el 50.9% </w:t>
      </w:r>
      <w:r w:rsidRPr="006F3392">
        <w:rPr>
          <w:rFonts w:cs="Arial"/>
          <w:bCs/>
          <w:szCs w:val="24"/>
        </w:rPr>
        <w:t>tenía alumbrado público y 48.9%</w:t>
      </w:r>
      <w:r>
        <w:rPr>
          <w:rFonts w:cs="Arial"/>
          <w:bCs/>
          <w:szCs w:val="24"/>
        </w:rPr>
        <w:t xml:space="preserve"> </w:t>
      </w:r>
      <w:r w:rsidRPr="006F3392">
        <w:rPr>
          <w:rFonts w:cs="Arial"/>
          <w:bCs/>
          <w:szCs w:val="24"/>
        </w:rPr>
        <w:t>pavimentación</w:t>
      </w:r>
      <w:r>
        <w:rPr>
          <w:rFonts w:cs="Arial"/>
          <w:bCs/>
          <w:szCs w:val="24"/>
        </w:rPr>
        <w:t xml:space="preserve"> </w:t>
      </w:r>
      <w:r w:rsidRPr="006F3392">
        <w:rPr>
          <w:rFonts w:cs="Arial"/>
          <w:bCs/>
          <w:szCs w:val="24"/>
        </w:rPr>
        <w:t>en el entorno inmediato de</w:t>
      </w:r>
      <w:r>
        <w:rPr>
          <w:rFonts w:cs="Arial"/>
          <w:bCs/>
          <w:szCs w:val="24"/>
        </w:rPr>
        <w:t xml:space="preserve"> </w:t>
      </w:r>
      <w:r w:rsidRPr="006F3392">
        <w:rPr>
          <w:rFonts w:cs="Arial"/>
          <w:bCs/>
          <w:szCs w:val="24"/>
        </w:rPr>
        <w:t>su vivienda</w:t>
      </w:r>
      <w:r>
        <w:rPr>
          <w:rFonts w:cs="Arial"/>
          <w:bCs/>
          <w:szCs w:val="24"/>
        </w:rPr>
        <w:t>.</w:t>
      </w:r>
    </w:p>
    <w:p w:rsidR="00535FBA" w:rsidRPr="00ED4D35" w:rsidRDefault="00535FBA" w:rsidP="00A276D1">
      <w:pPr>
        <w:spacing w:after="0" w:line="240" w:lineRule="auto"/>
        <w:jc w:val="both"/>
        <w:rPr>
          <w:rFonts w:cs="Arial"/>
          <w:bCs/>
          <w:sz w:val="12"/>
          <w:szCs w:val="12"/>
        </w:rPr>
      </w:pPr>
    </w:p>
    <w:p w:rsidR="00535FBA" w:rsidRDefault="00535FBA" w:rsidP="00A276D1">
      <w:pPr>
        <w:spacing w:after="0" w:line="240" w:lineRule="auto"/>
        <w:jc w:val="both"/>
        <w:rPr>
          <w:rFonts w:cs="Arial"/>
          <w:bCs/>
          <w:szCs w:val="24"/>
        </w:rPr>
      </w:pPr>
      <w:r>
        <w:rPr>
          <w:rFonts w:cs="Arial"/>
          <w:bCs/>
          <w:szCs w:val="24"/>
        </w:rPr>
        <w:t>L</w:t>
      </w:r>
      <w:r w:rsidRPr="006F3392">
        <w:rPr>
          <w:rFonts w:cs="Arial"/>
          <w:bCs/>
          <w:szCs w:val="24"/>
        </w:rPr>
        <w:t xml:space="preserve">as personas que </w:t>
      </w:r>
      <w:r w:rsidR="00E95A20" w:rsidRPr="006F3392">
        <w:rPr>
          <w:rFonts w:cs="Arial"/>
          <w:bCs/>
          <w:szCs w:val="24"/>
        </w:rPr>
        <w:t>habitan localidades</w:t>
      </w:r>
      <w:r w:rsidRPr="006F3392">
        <w:rPr>
          <w:rFonts w:cs="Arial"/>
          <w:bCs/>
          <w:szCs w:val="24"/>
        </w:rPr>
        <w:t xml:space="preserve"> urbanas gozan de </w:t>
      </w:r>
      <w:r w:rsidR="00E95A20" w:rsidRPr="006F3392">
        <w:rPr>
          <w:rFonts w:cs="Arial"/>
          <w:bCs/>
          <w:szCs w:val="24"/>
        </w:rPr>
        <w:t>una mejor</w:t>
      </w:r>
      <w:r w:rsidRPr="006F3392">
        <w:rPr>
          <w:rFonts w:cs="Arial"/>
          <w:bCs/>
          <w:szCs w:val="24"/>
        </w:rPr>
        <w:t xml:space="preserve"> cobertura de servicios </w:t>
      </w:r>
      <w:r w:rsidR="00E95A20" w:rsidRPr="006F3392">
        <w:rPr>
          <w:rFonts w:cs="Arial"/>
          <w:bCs/>
          <w:szCs w:val="24"/>
        </w:rPr>
        <w:t>básicos y</w:t>
      </w:r>
      <w:r w:rsidRPr="006F3392">
        <w:rPr>
          <w:rFonts w:cs="Arial"/>
          <w:bCs/>
          <w:szCs w:val="24"/>
        </w:rPr>
        <w:t xml:space="preserve"> complementarios que aquellas </w:t>
      </w:r>
      <w:r w:rsidR="00E95A20" w:rsidRPr="006F3392">
        <w:rPr>
          <w:rFonts w:cs="Arial"/>
          <w:bCs/>
          <w:szCs w:val="24"/>
        </w:rPr>
        <w:t>que viven</w:t>
      </w:r>
      <w:r w:rsidRPr="006F3392">
        <w:rPr>
          <w:rFonts w:cs="Arial"/>
          <w:bCs/>
          <w:szCs w:val="24"/>
        </w:rPr>
        <w:t xml:space="preserve"> en localidades rurales</w:t>
      </w:r>
      <w:r>
        <w:rPr>
          <w:rFonts w:cs="Arial"/>
          <w:bCs/>
          <w:szCs w:val="24"/>
        </w:rPr>
        <w:t xml:space="preserve">, estas brechas se acentúan cuando en una vivienda habita al menos una persona que habla alguna lengua indígena. </w:t>
      </w:r>
    </w:p>
    <w:p w:rsidR="00535FBA" w:rsidRPr="00ED4D35" w:rsidRDefault="00535FBA" w:rsidP="00A276D1">
      <w:pPr>
        <w:spacing w:after="0" w:line="240" w:lineRule="auto"/>
        <w:jc w:val="both"/>
        <w:rPr>
          <w:rFonts w:cs="Arial"/>
          <w:bCs/>
          <w:sz w:val="12"/>
          <w:szCs w:val="12"/>
        </w:rPr>
      </w:pPr>
    </w:p>
    <w:p w:rsidR="00535FBA" w:rsidRDefault="00535FBA" w:rsidP="00A276D1">
      <w:pPr>
        <w:spacing w:after="0" w:line="240" w:lineRule="auto"/>
        <w:jc w:val="both"/>
        <w:rPr>
          <w:rFonts w:cs="Arial"/>
          <w:bCs/>
          <w:szCs w:val="24"/>
        </w:rPr>
      </w:pPr>
      <w:r w:rsidRPr="00EC2CDF">
        <w:rPr>
          <w:rFonts w:cs="Arial"/>
          <w:bCs/>
          <w:szCs w:val="24"/>
        </w:rPr>
        <w:t xml:space="preserve">La región constituida por Chiapas, Oaxaca </w:t>
      </w:r>
      <w:r w:rsidR="00E95A20" w:rsidRPr="00EC2CDF">
        <w:rPr>
          <w:rFonts w:cs="Arial"/>
          <w:bCs/>
          <w:szCs w:val="24"/>
        </w:rPr>
        <w:t>y Guerrero</w:t>
      </w:r>
      <w:r w:rsidRPr="00EC2CDF">
        <w:rPr>
          <w:rFonts w:cs="Arial"/>
          <w:bCs/>
          <w:szCs w:val="24"/>
        </w:rPr>
        <w:t xml:space="preserve"> representa la zona con menor </w:t>
      </w:r>
      <w:r w:rsidR="00E95A20" w:rsidRPr="00EC2CDF">
        <w:rPr>
          <w:rFonts w:cs="Arial"/>
          <w:bCs/>
          <w:szCs w:val="24"/>
        </w:rPr>
        <w:t>disponibilidad de</w:t>
      </w:r>
      <w:r w:rsidRPr="00EC2CDF">
        <w:rPr>
          <w:rFonts w:cs="Arial"/>
          <w:bCs/>
          <w:szCs w:val="24"/>
        </w:rPr>
        <w:t xml:space="preserve"> infraestructura básica, </w:t>
      </w:r>
      <w:r w:rsidR="00E95A20" w:rsidRPr="00EC2CDF">
        <w:rPr>
          <w:rFonts w:cs="Arial"/>
          <w:bCs/>
          <w:szCs w:val="24"/>
        </w:rPr>
        <w:t>complementaria y</w:t>
      </w:r>
      <w:r w:rsidRPr="00EC2CDF">
        <w:rPr>
          <w:rFonts w:cs="Arial"/>
          <w:bCs/>
          <w:szCs w:val="24"/>
        </w:rPr>
        <w:t xml:space="preserve"> servicios en todo el país</w:t>
      </w:r>
      <w:r>
        <w:rPr>
          <w:rFonts w:cs="Arial"/>
          <w:bCs/>
          <w:szCs w:val="24"/>
        </w:rPr>
        <w:t xml:space="preserve">, aunado a esto, en estos estados habitan la mayor cantidad de personas que hablan una lengua indígena y presentan el menor acceso a servicios de </w:t>
      </w:r>
      <w:r w:rsidRPr="00EC2CDF">
        <w:rPr>
          <w:rFonts w:cs="Arial"/>
          <w:bCs/>
          <w:szCs w:val="24"/>
        </w:rPr>
        <w:t xml:space="preserve">internet y telefonía fija y </w:t>
      </w:r>
      <w:r w:rsidR="00E95A20" w:rsidRPr="00EC2CDF">
        <w:rPr>
          <w:rFonts w:cs="Arial"/>
          <w:bCs/>
          <w:szCs w:val="24"/>
        </w:rPr>
        <w:t>móvil. La</w:t>
      </w:r>
      <w:r w:rsidRPr="00EC2CDF">
        <w:rPr>
          <w:rFonts w:cs="Arial"/>
          <w:bCs/>
          <w:szCs w:val="24"/>
        </w:rPr>
        <w:t xml:space="preserve"> mayoría de las </w:t>
      </w:r>
      <w:r w:rsidR="00E95A20" w:rsidRPr="00EC2CDF">
        <w:rPr>
          <w:rFonts w:cs="Arial"/>
          <w:bCs/>
          <w:szCs w:val="24"/>
        </w:rPr>
        <w:t>comunidades indígenas</w:t>
      </w:r>
      <w:r w:rsidRPr="00EC2CDF">
        <w:rPr>
          <w:rFonts w:cs="Arial"/>
          <w:bCs/>
          <w:szCs w:val="24"/>
        </w:rPr>
        <w:t xml:space="preserve"> viven en zonas rurales alejadas </w:t>
      </w:r>
      <w:r w:rsidR="00E95A20" w:rsidRPr="00EC2CDF">
        <w:rPr>
          <w:rFonts w:cs="Arial"/>
          <w:bCs/>
          <w:szCs w:val="24"/>
        </w:rPr>
        <w:t>o aisladas</w:t>
      </w:r>
      <w:r w:rsidRPr="00EC2CDF">
        <w:rPr>
          <w:rFonts w:cs="Arial"/>
          <w:bCs/>
          <w:szCs w:val="24"/>
        </w:rPr>
        <w:t xml:space="preserve">, lo cual dificulta la provisión de </w:t>
      </w:r>
      <w:r w:rsidR="00E95A20" w:rsidRPr="00EC2CDF">
        <w:rPr>
          <w:rFonts w:cs="Arial"/>
          <w:bCs/>
          <w:szCs w:val="24"/>
        </w:rPr>
        <w:t>ciertos servicios</w:t>
      </w:r>
      <w:r w:rsidRPr="00EC2CDF">
        <w:rPr>
          <w:rFonts w:cs="Arial"/>
          <w:bCs/>
          <w:szCs w:val="24"/>
        </w:rPr>
        <w:t xml:space="preserve"> básicos.</w:t>
      </w:r>
    </w:p>
    <w:p w:rsidR="00535FBA" w:rsidRPr="00ED4D35" w:rsidRDefault="00535FBA" w:rsidP="00A276D1">
      <w:pPr>
        <w:spacing w:after="0" w:line="240" w:lineRule="auto"/>
        <w:jc w:val="both"/>
        <w:rPr>
          <w:rFonts w:cs="Arial"/>
          <w:bCs/>
          <w:sz w:val="12"/>
          <w:szCs w:val="12"/>
        </w:rPr>
      </w:pPr>
    </w:p>
    <w:p w:rsidR="00535FBA" w:rsidRDefault="00535FBA" w:rsidP="00A276D1">
      <w:pPr>
        <w:spacing w:after="0" w:line="240" w:lineRule="auto"/>
        <w:jc w:val="both"/>
        <w:rPr>
          <w:rFonts w:cs="Arial"/>
          <w:bCs/>
          <w:szCs w:val="24"/>
        </w:rPr>
      </w:pPr>
      <w:r>
        <w:rPr>
          <w:rFonts w:cs="Arial"/>
          <w:bCs/>
          <w:szCs w:val="24"/>
        </w:rPr>
        <w:t>En relación a la cobertura de agua entubada en 2017 la Comisión Nacional del Agua (C</w:t>
      </w:r>
      <w:r w:rsidR="00AF72F9">
        <w:rPr>
          <w:rFonts w:cs="Arial"/>
          <w:bCs/>
          <w:szCs w:val="24"/>
        </w:rPr>
        <w:t>onagua</w:t>
      </w:r>
      <w:r>
        <w:rPr>
          <w:rFonts w:cs="Arial"/>
          <w:bCs/>
          <w:szCs w:val="24"/>
        </w:rPr>
        <w:t>) reportó que en las localidades urbanas la cobertura era de 97.2%, mientras que en localidades rurales solo se tuvo una cobertura del 85%. Destacando que en las localidades indígenas la cobertura fue de 87.2%.</w:t>
      </w:r>
    </w:p>
    <w:p w:rsidR="00535FBA" w:rsidRPr="00ED4D35" w:rsidRDefault="00535FBA" w:rsidP="00A276D1">
      <w:pPr>
        <w:spacing w:after="0" w:line="240" w:lineRule="auto"/>
        <w:jc w:val="both"/>
        <w:rPr>
          <w:rFonts w:cs="Arial"/>
          <w:bCs/>
          <w:sz w:val="12"/>
          <w:szCs w:val="12"/>
        </w:rPr>
      </w:pPr>
    </w:p>
    <w:p w:rsidR="004B5207" w:rsidRDefault="00AF72F9" w:rsidP="00A276D1">
      <w:pPr>
        <w:spacing w:after="0" w:line="240" w:lineRule="auto"/>
        <w:jc w:val="both"/>
        <w:rPr>
          <w:rFonts w:cs="Arial"/>
          <w:bCs/>
          <w:szCs w:val="24"/>
        </w:rPr>
      </w:pPr>
      <w:r>
        <w:rPr>
          <w:rFonts w:cs="Arial"/>
          <w:bCs/>
          <w:szCs w:val="24"/>
        </w:rPr>
        <w:t>Por otra parte, l</w:t>
      </w:r>
      <w:r w:rsidR="004B5207">
        <w:rPr>
          <w:rFonts w:cs="Arial"/>
          <w:bCs/>
          <w:szCs w:val="24"/>
        </w:rPr>
        <w:t>a pandemia por COVID-19</w:t>
      </w:r>
      <w:r w:rsidR="00535FBA">
        <w:rPr>
          <w:rFonts w:cs="Arial"/>
          <w:bCs/>
          <w:szCs w:val="24"/>
        </w:rPr>
        <w:t>, por ejemplo,</w:t>
      </w:r>
      <w:r w:rsidR="004B5207">
        <w:rPr>
          <w:rFonts w:cs="Arial"/>
          <w:bCs/>
          <w:szCs w:val="24"/>
        </w:rPr>
        <w:t xml:space="preserve"> ha expuesto </w:t>
      </w:r>
      <w:r w:rsidR="00535FBA">
        <w:rPr>
          <w:rFonts w:cs="Arial"/>
          <w:bCs/>
          <w:szCs w:val="24"/>
        </w:rPr>
        <w:t xml:space="preserve">y agudizado </w:t>
      </w:r>
      <w:r w:rsidR="004B5207">
        <w:rPr>
          <w:rFonts w:cs="Arial"/>
          <w:bCs/>
          <w:szCs w:val="24"/>
        </w:rPr>
        <w:t xml:space="preserve">las desigualdades que enfrentan las personas, especialmente los grupos históricamente </w:t>
      </w:r>
      <w:r w:rsidR="004B5207">
        <w:rPr>
          <w:rFonts w:cs="Arial"/>
          <w:bCs/>
          <w:szCs w:val="24"/>
        </w:rPr>
        <w:lastRenderedPageBreak/>
        <w:t xml:space="preserve">discriminados en el ejercicio del derecho a una vivienda adecuada. Resaltando que al mantener el distanciamiento social impuesto por la pandemia, se han resguardado en viviendas que no resultan aptas, ni seguras para satisfacer las necesidades de los integrantes de las familias. </w:t>
      </w:r>
    </w:p>
    <w:p w:rsidR="00C57A13" w:rsidRPr="00ED4D35" w:rsidRDefault="00C57A13" w:rsidP="00A276D1">
      <w:pPr>
        <w:spacing w:after="0" w:line="240" w:lineRule="auto"/>
        <w:jc w:val="both"/>
        <w:rPr>
          <w:rFonts w:cs="Arial"/>
          <w:bCs/>
          <w:sz w:val="12"/>
          <w:szCs w:val="12"/>
        </w:rPr>
      </w:pPr>
    </w:p>
    <w:p w:rsidR="00C57A13" w:rsidRDefault="00C57A13" w:rsidP="00A276D1">
      <w:pPr>
        <w:spacing w:after="0" w:line="240" w:lineRule="auto"/>
        <w:jc w:val="both"/>
        <w:rPr>
          <w:rFonts w:cs="Arial"/>
          <w:bCs/>
          <w:szCs w:val="24"/>
        </w:rPr>
      </w:pPr>
      <w:r>
        <w:rPr>
          <w:rFonts w:cs="Arial"/>
          <w:bCs/>
          <w:szCs w:val="24"/>
        </w:rPr>
        <w:t xml:space="preserve">De esta forma, la vivienda es la primera línea de defensa contra la COVID-19, ya que en esta se </w:t>
      </w:r>
      <w:r w:rsidRPr="00C57A13">
        <w:rPr>
          <w:rFonts w:cs="Arial"/>
          <w:bCs/>
          <w:szCs w:val="24"/>
        </w:rPr>
        <w:t xml:space="preserve">habita, </w:t>
      </w:r>
      <w:r w:rsidR="00E95A20" w:rsidRPr="00C57A13">
        <w:rPr>
          <w:rFonts w:cs="Arial"/>
          <w:bCs/>
          <w:szCs w:val="24"/>
        </w:rPr>
        <w:t>descansa, trabaja</w:t>
      </w:r>
      <w:r w:rsidRPr="00C57A13">
        <w:rPr>
          <w:rFonts w:cs="Arial"/>
          <w:bCs/>
          <w:szCs w:val="24"/>
        </w:rPr>
        <w:t xml:space="preserve">, se brinda y recibe educación, se </w:t>
      </w:r>
      <w:r w:rsidR="00E95A20" w:rsidRPr="00C57A13">
        <w:rPr>
          <w:rFonts w:cs="Arial"/>
          <w:bCs/>
          <w:szCs w:val="24"/>
        </w:rPr>
        <w:t>realiza ejercicio</w:t>
      </w:r>
      <w:r w:rsidRPr="00C57A13">
        <w:rPr>
          <w:rFonts w:cs="Arial"/>
          <w:bCs/>
          <w:szCs w:val="24"/>
        </w:rPr>
        <w:t xml:space="preserve"> físico, se accede a bienes culturales, </w:t>
      </w:r>
      <w:r w:rsidR="00E95A20" w:rsidRPr="00C57A13">
        <w:rPr>
          <w:rFonts w:cs="Arial"/>
          <w:bCs/>
          <w:szCs w:val="24"/>
        </w:rPr>
        <w:t>se procura</w:t>
      </w:r>
      <w:r w:rsidRPr="00C57A13">
        <w:rPr>
          <w:rFonts w:cs="Arial"/>
          <w:bCs/>
          <w:szCs w:val="24"/>
        </w:rPr>
        <w:t xml:space="preserve"> apoyo y cuidado a quienes lo </w:t>
      </w:r>
      <w:r w:rsidR="00E95A20" w:rsidRPr="00C57A13">
        <w:rPr>
          <w:rFonts w:cs="Arial"/>
          <w:bCs/>
          <w:szCs w:val="24"/>
        </w:rPr>
        <w:t>necesitan y</w:t>
      </w:r>
      <w:r w:rsidRPr="00C57A13">
        <w:rPr>
          <w:rFonts w:cs="Arial"/>
          <w:bCs/>
          <w:szCs w:val="24"/>
        </w:rPr>
        <w:t xml:space="preserve"> se cultivan a la distancia los </w:t>
      </w:r>
      <w:r w:rsidR="00E95A20" w:rsidRPr="00C57A13">
        <w:rPr>
          <w:rFonts w:cs="Arial"/>
          <w:bCs/>
          <w:szCs w:val="24"/>
        </w:rPr>
        <w:t>vínculos fam</w:t>
      </w:r>
      <w:r w:rsidR="00E95A20">
        <w:rPr>
          <w:rFonts w:cs="Arial"/>
          <w:bCs/>
          <w:szCs w:val="24"/>
        </w:rPr>
        <w:t>iliares</w:t>
      </w:r>
      <w:r>
        <w:rPr>
          <w:rFonts w:cs="Arial"/>
          <w:bCs/>
          <w:szCs w:val="24"/>
        </w:rPr>
        <w:t xml:space="preserve"> y afectivos, entre otras, así la vivienda debe ser adecuada para poder desarrollar todas estas actividades</w:t>
      </w:r>
      <w:r w:rsidR="00EE5434">
        <w:rPr>
          <w:rFonts w:cs="Arial"/>
          <w:bCs/>
          <w:szCs w:val="24"/>
        </w:rPr>
        <w:t>.</w:t>
      </w:r>
    </w:p>
    <w:p w:rsidR="00EE5434" w:rsidRPr="00ED4D35" w:rsidRDefault="00EE5434" w:rsidP="00A276D1">
      <w:pPr>
        <w:spacing w:after="0" w:line="240" w:lineRule="auto"/>
        <w:jc w:val="both"/>
        <w:rPr>
          <w:rFonts w:cs="Arial"/>
          <w:bCs/>
          <w:sz w:val="12"/>
          <w:szCs w:val="12"/>
        </w:rPr>
      </w:pPr>
    </w:p>
    <w:p w:rsidR="00EE5434" w:rsidRDefault="00E95A20" w:rsidP="00A276D1">
      <w:pPr>
        <w:spacing w:after="0" w:line="240" w:lineRule="auto"/>
        <w:jc w:val="both"/>
        <w:rPr>
          <w:rFonts w:cs="Arial"/>
          <w:bCs/>
          <w:szCs w:val="24"/>
        </w:rPr>
      </w:pPr>
      <w:r>
        <w:rPr>
          <w:rFonts w:cs="Arial"/>
          <w:bCs/>
          <w:szCs w:val="24"/>
        </w:rPr>
        <w:t xml:space="preserve">Previo a la pandemia ya se advertían factores que dificultaban la posesión de una vivienda adecuada, como la pobreza, los beneficios a grandes inversores generadas por las fluctuaciones en el mercado inmobiliario, la gentrificación, </w:t>
      </w:r>
      <w:r w:rsidRPr="00EE5434">
        <w:rPr>
          <w:rFonts w:cs="Arial"/>
          <w:bCs/>
          <w:szCs w:val="24"/>
        </w:rPr>
        <w:t>la disminución de la inversión pública en vivienda armónica con el entorno, la ausencia de infraestructura que favorezca</w:t>
      </w:r>
      <w:r>
        <w:rPr>
          <w:rFonts w:cs="Arial"/>
          <w:bCs/>
          <w:szCs w:val="24"/>
        </w:rPr>
        <w:t xml:space="preserve"> </w:t>
      </w:r>
      <w:r w:rsidRPr="00EE5434">
        <w:rPr>
          <w:rFonts w:cs="Arial"/>
          <w:bCs/>
          <w:szCs w:val="24"/>
        </w:rPr>
        <w:t>la movilidad, la especulación financiera, la corrupción y la falta de regulaciones óptimas en relación con el suelo, los megaproyectos</w:t>
      </w:r>
      <w:r>
        <w:rPr>
          <w:rFonts w:cs="Arial"/>
          <w:bCs/>
          <w:szCs w:val="24"/>
        </w:rPr>
        <w:t>, entre otros.</w:t>
      </w:r>
      <w:r>
        <w:rPr>
          <w:rStyle w:val="FootnoteReference"/>
          <w:rFonts w:cs="Arial"/>
          <w:bCs/>
          <w:szCs w:val="24"/>
        </w:rPr>
        <w:footnoteReference w:id="21"/>
      </w:r>
    </w:p>
    <w:p w:rsidR="00EE5434" w:rsidRPr="00ED4D35" w:rsidRDefault="00EE5434" w:rsidP="00A276D1">
      <w:pPr>
        <w:spacing w:after="0" w:line="240" w:lineRule="auto"/>
        <w:jc w:val="both"/>
        <w:rPr>
          <w:rFonts w:cs="Arial"/>
          <w:bCs/>
          <w:sz w:val="12"/>
          <w:szCs w:val="12"/>
        </w:rPr>
      </w:pPr>
    </w:p>
    <w:p w:rsidR="004B5207" w:rsidRDefault="00FF2BDC" w:rsidP="00A276D1">
      <w:pPr>
        <w:spacing w:after="0" w:line="240" w:lineRule="auto"/>
        <w:jc w:val="both"/>
      </w:pPr>
      <w:r>
        <w:t>El Índice de Vulnerabilidad en Infraestructura de la Vivienda ante la COVID-19 (IVIVCOVID)</w:t>
      </w:r>
      <w:r w:rsidR="00535FBA">
        <w:rPr>
          <w:rStyle w:val="FootnoteReference"/>
        </w:rPr>
        <w:footnoteReference w:id="22"/>
      </w:r>
      <w:r>
        <w:t xml:space="preserve">, así mediante componentes territoriales, contextuales y sociales a los estudios convencionales de vivienda, localiza los municipios en los que las viviendas puedan representar un riesgo para sus habitantes en la fase de transmisión comunitaria por la COVID-19. </w:t>
      </w:r>
    </w:p>
    <w:p w:rsidR="00FF2BDC" w:rsidRPr="00ED4D35" w:rsidRDefault="00FF2BDC" w:rsidP="00A276D1">
      <w:pPr>
        <w:spacing w:after="0" w:line="240" w:lineRule="auto"/>
        <w:jc w:val="both"/>
        <w:rPr>
          <w:sz w:val="12"/>
          <w:szCs w:val="12"/>
        </w:rPr>
      </w:pPr>
    </w:p>
    <w:p w:rsidR="00FF2BDC" w:rsidRDefault="00FF2BDC" w:rsidP="00A276D1">
      <w:pPr>
        <w:spacing w:after="0" w:line="240" w:lineRule="auto"/>
        <w:jc w:val="both"/>
      </w:pPr>
      <w:r>
        <w:t xml:space="preserve">En este Índice se seleccionaron componentes de la vivienda para determinar su grado de influencia en la propagación del virus, cuando se clasifican como carentes, </w:t>
      </w:r>
      <w:r w:rsidR="00817214">
        <w:t>esta selección de carencias representa</w:t>
      </w:r>
      <w:r>
        <w:t xml:space="preserve"> inhabilidad para cumplir con al menos tres de las principales recomendaciones de la OMS.</w:t>
      </w:r>
    </w:p>
    <w:p w:rsidR="00FF2BDC" w:rsidRPr="00ED4D35" w:rsidRDefault="00FF2BDC" w:rsidP="00A276D1">
      <w:pPr>
        <w:spacing w:after="0" w:line="240" w:lineRule="auto"/>
        <w:jc w:val="both"/>
        <w:rPr>
          <w:sz w:val="12"/>
          <w:szCs w:val="12"/>
        </w:rPr>
      </w:pPr>
    </w:p>
    <w:p w:rsidR="00FF2BDC" w:rsidRDefault="00FF2BDC" w:rsidP="00A276D1">
      <w:pPr>
        <w:spacing w:after="0" w:line="240" w:lineRule="auto"/>
        <w:jc w:val="both"/>
      </w:pPr>
      <w:r>
        <w:t>Dicho análisis dio como resultado 8 subdimensiones:</w:t>
      </w:r>
    </w:p>
    <w:p w:rsidR="00FF2BDC" w:rsidRPr="00ED4D35" w:rsidRDefault="00FF2BDC" w:rsidP="00A276D1">
      <w:pPr>
        <w:spacing w:after="0" w:line="240" w:lineRule="auto"/>
        <w:jc w:val="both"/>
        <w:rPr>
          <w:sz w:val="12"/>
          <w:szCs w:val="12"/>
        </w:rPr>
      </w:pPr>
    </w:p>
    <w:p w:rsidR="00FF2BDC" w:rsidRDefault="00FF2BDC" w:rsidP="00A276D1">
      <w:pPr>
        <w:pStyle w:val="ListParagraph"/>
        <w:numPr>
          <w:ilvl w:val="0"/>
          <w:numId w:val="22"/>
        </w:numPr>
        <w:spacing w:after="0" w:line="240" w:lineRule="auto"/>
        <w:jc w:val="both"/>
      </w:pPr>
      <w:r>
        <w:t>Carencia en servicios por falta de agua entubada dentro de la vivienda</w:t>
      </w:r>
    </w:p>
    <w:p w:rsidR="004873C3" w:rsidRDefault="004873C3" w:rsidP="00A276D1">
      <w:pPr>
        <w:pStyle w:val="ListParagraph"/>
        <w:numPr>
          <w:ilvl w:val="1"/>
          <w:numId w:val="22"/>
        </w:numPr>
        <w:spacing w:after="0" w:line="240" w:lineRule="auto"/>
        <w:jc w:val="both"/>
      </w:pPr>
      <w:r>
        <w:t>Esta carencia está presente en 32.8 % del total de municipios del país. El 73.37 % se encuentran en Oaxaca, Veracruz, Puebla, Chiapas y Guerrero.</w:t>
      </w:r>
    </w:p>
    <w:p w:rsidR="00FF2BDC" w:rsidRDefault="00FF2BDC" w:rsidP="00A276D1">
      <w:pPr>
        <w:pStyle w:val="ListParagraph"/>
        <w:numPr>
          <w:ilvl w:val="0"/>
          <w:numId w:val="22"/>
        </w:numPr>
        <w:spacing w:after="0" w:line="240" w:lineRule="auto"/>
        <w:jc w:val="both"/>
      </w:pPr>
      <w:r>
        <w:t>Carencia por falta de servicio de drenaje</w:t>
      </w:r>
    </w:p>
    <w:p w:rsidR="004873C3" w:rsidRDefault="004873C3" w:rsidP="00A276D1">
      <w:pPr>
        <w:pStyle w:val="ListParagraph"/>
        <w:numPr>
          <w:ilvl w:val="1"/>
          <w:numId w:val="22"/>
        </w:numPr>
        <w:spacing w:after="0" w:line="240" w:lineRule="auto"/>
        <w:jc w:val="both"/>
      </w:pPr>
      <w:r>
        <w:t>Esta carencia está presente en 32.8 % del total de municipios de la república. El 73.95 % se encuentran en Oaxaca, Veracruz, Yucatán, Puebla y Guerrero</w:t>
      </w:r>
    </w:p>
    <w:p w:rsidR="00FF2BDC" w:rsidRDefault="00FF2BDC" w:rsidP="00A276D1">
      <w:pPr>
        <w:pStyle w:val="ListParagraph"/>
        <w:numPr>
          <w:ilvl w:val="0"/>
          <w:numId w:val="22"/>
        </w:numPr>
        <w:spacing w:after="0" w:line="240" w:lineRule="auto"/>
        <w:jc w:val="both"/>
      </w:pPr>
      <w:r>
        <w:t>Carencia por hacinamiento en la vivienda</w:t>
      </w:r>
    </w:p>
    <w:p w:rsidR="004873C3" w:rsidRDefault="004873C3" w:rsidP="00A276D1">
      <w:pPr>
        <w:pStyle w:val="ListParagraph"/>
        <w:numPr>
          <w:ilvl w:val="1"/>
          <w:numId w:val="22"/>
        </w:numPr>
        <w:spacing w:after="0" w:line="240" w:lineRule="auto"/>
        <w:jc w:val="both"/>
      </w:pPr>
      <w:r>
        <w:t xml:space="preserve">Esta carencia está presente en 54.4 % del total de municipios del país. El 66.5 % del total de municipios se encuentran en Oaxaca, Veracruz, Michoacán, Puebla y Estado de México. </w:t>
      </w:r>
    </w:p>
    <w:p w:rsidR="00FF2BDC" w:rsidRDefault="00FF2BDC" w:rsidP="00A276D1">
      <w:pPr>
        <w:pStyle w:val="ListParagraph"/>
        <w:numPr>
          <w:ilvl w:val="0"/>
          <w:numId w:val="22"/>
        </w:numPr>
        <w:spacing w:after="0" w:line="240" w:lineRule="auto"/>
        <w:jc w:val="both"/>
      </w:pPr>
      <w:r>
        <w:t>Carencia en infraestructura por muros en condiciones precarias</w:t>
      </w:r>
    </w:p>
    <w:p w:rsidR="004873C3" w:rsidRDefault="004873C3" w:rsidP="00A276D1">
      <w:pPr>
        <w:pStyle w:val="ListParagraph"/>
        <w:numPr>
          <w:ilvl w:val="1"/>
          <w:numId w:val="22"/>
        </w:numPr>
        <w:spacing w:after="0" w:line="240" w:lineRule="auto"/>
        <w:jc w:val="both"/>
      </w:pPr>
      <w:r>
        <w:lastRenderedPageBreak/>
        <w:t xml:space="preserve">Esta carencia está presente en 40.70 % del total de municipios del país. El 73.70 % se encuentran en Oaxaca, Veracruz, Chiapas, Guerrero y Puebla. </w:t>
      </w:r>
    </w:p>
    <w:p w:rsidR="00FF2BDC" w:rsidRDefault="00FF2BDC" w:rsidP="00A276D1">
      <w:pPr>
        <w:pStyle w:val="ListParagraph"/>
        <w:numPr>
          <w:ilvl w:val="0"/>
          <w:numId w:val="22"/>
        </w:numPr>
        <w:spacing w:after="0" w:line="240" w:lineRule="auto"/>
        <w:jc w:val="both"/>
      </w:pPr>
      <w:r>
        <w:t>Carencia en infraestructura por techos en condiciones precarias</w:t>
      </w:r>
    </w:p>
    <w:p w:rsidR="004873C3" w:rsidRDefault="004873C3" w:rsidP="00A276D1">
      <w:pPr>
        <w:pStyle w:val="ListParagraph"/>
        <w:numPr>
          <w:ilvl w:val="1"/>
          <w:numId w:val="22"/>
        </w:numPr>
        <w:spacing w:after="0" w:line="240" w:lineRule="auto"/>
        <w:jc w:val="both"/>
      </w:pPr>
      <w:r>
        <w:t xml:space="preserve">Esta carencia está presente en 29.05 % del total de municipios del país. Del total de municipios que presentan esta carencia el 59.1 % se encuentran en Puebla, Oaxaca, Veracruz, Michoacán y Yucatán. </w:t>
      </w:r>
    </w:p>
    <w:p w:rsidR="00FF2BDC" w:rsidRDefault="00FF2BDC" w:rsidP="00A276D1">
      <w:pPr>
        <w:pStyle w:val="ListParagraph"/>
        <w:numPr>
          <w:ilvl w:val="0"/>
          <w:numId w:val="22"/>
        </w:numPr>
        <w:spacing w:after="0" w:line="240" w:lineRule="auto"/>
        <w:jc w:val="both"/>
      </w:pPr>
      <w:r>
        <w:t>Carencia en infraestructura por pisos de tierra</w:t>
      </w:r>
    </w:p>
    <w:p w:rsidR="004873C3" w:rsidRDefault="004873C3" w:rsidP="00A276D1">
      <w:pPr>
        <w:pStyle w:val="ListParagraph"/>
        <w:numPr>
          <w:ilvl w:val="1"/>
          <w:numId w:val="22"/>
        </w:numPr>
        <w:spacing w:after="0" w:line="240" w:lineRule="auto"/>
        <w:jc w:val="both"/>
      </w:pPr>
      <w:r>
        <w:t>71.67 % del total de municipios que presentan esta carencia se encuentran en Oaxaca, Puebla, Veracruz, Chiapas y Guerrero. Esta carencia está presente en 61.05 % del total de municipios del país.</w:t>
      </w:r>
    </w:p>
    <w:p w:rsidR="00FF2BDC" w:rsidRDefault="00FF2BDC" w:rsidP="00A276D1">
      <w:pPr>
        <w:pStyle w:val="ListParagraph"/>
        <w:numPr>
          <w:ilvl w:val="0"/>
          <w:numId w:val="22"/>
        </w:numPr>
        <w:spacing w:after="0" w:line="240" w:lineRule="auto"/>
        <w:jc w:val="both"/>
      </w:pPr>
      <w:r>
        <w:t>Carencia por derechohabiencia a servicios de salud</w:t>
      </w:r>
    </w:p>
    <w:p w:rsidR="004873C3" w:rsidRDefault="004873C3" w:rsidP="00A276D1">
      <w:pPr>
        <w:pStyle w:val="ListParagraph"/>
        <w:numPr>
          <w:ilvl w:val="1"/>
          <w:numId w:val="22"/>
        </w:numPr>
        <w:spacing w:after="0" w:line="240" w:lineRule="auto"/>
        <w:jc w:val="both"/>
      </w:pPr>
      <w:r>
        <w:t xml:space="preserve">Esta carencia está presente en 34.14 % del total de municipios del país. El 66.5 % del total se encuentran en Oaxaca, Veracruz, Michoacán, Puebla y Estado de México. </w:t>
      </w:r>
    </w:p>
    <w:p w:rsidR="00FF2BDC" w:rsidRDefault="00FF2BDC" w:rsidP="00A276D1">
      <w:pPr>
        <w:pStyle w:val="ListParagraph"/>
        <w:numPr>
          <w:ilvl w:val="0"/>
          <w:numId w:val="22"/>
        </w:numPr>
        <w:spacing w:after="0" w:line="240" w:lineRule="auto"/>
        <w:jc w:val="both"/>
      </w:pPr>
      <w:r>
        <w:t>Densidad poblacional</w:t>
      </w:r>
    </w:p>
    <w:p w:rsidR="004873C3" w:rsidRPr="00ED4D35" w:rsidRDefault="004873C3" w:rsidP="00A276D1">
      <w:pPr>
        <w:spacing w:after="0" w:line="240" w:lineRule="auto"/>
        <w:ind w:left="720"/>
        <w:jc w:val="both"/>
        <w:rPr>
          <w:sz w:val="12"/>
          <w:szCs w:val="12"/>
        </w:rPr>
      </w:pPr>
    </w:p>
    <w:p w:rsidR="00FF2BDC" w:rsidRDefault="00FF2BDC" w:rsidP="00A276D1">
      <w:pPr>
        <w:spacing w:after="0" w:line="240" w:lineRule="auto"/>
        <w:jc w:val="both"/>
        <w:rPr>
          <w:rFonts w:cs="Arial"/>
          <w:bCs/>
          <w:szCs w:val="24"/>
        </w:rPr>
      </w:pPr>
      <w:r>
        <w:rPr>
          <w:rFonts w:cs="Arial"/>
          <w:bCs/>
          <w:szCs w:val="24"/>
        </w:rPr>
        <w:t xml:space="preserve">Para la construcción del </w:t>
      </w:r>
      <w:r w:rsidR="004873C3">
        <w:rPr>
          <w:rFonts w:cs="Arial"/>
          <w:bCs/>
          <w:szCs w:val="24"/>
        </w:rPr>
        <w:t>Índice</w:t>
      </w:r>
      <w:r>
        <w:rPr>
          <w:rFonts w:cs="Arial"/>
          <w:bCs/>
          <w:szCs w:val="24"/>
        </w:rPr>
        <w:t xml:space="preserve"> se tomaron en cuenta 2,444 de los 2,457 municipios que componen nuestro país, de estos el 16% </w:t>
      </w:r>
      <w:r w:rsidR="004873C3">
        <w:rPr>
          <w:rFonts w:cs="Arial"/>
          <w:bCs/>
          <w:szCs w:val="24"/>
        </w:rPr>
        <w:t>está</w:t>
      </w:r>
      <w:r>
        <w:rPr>
          <w:rFonts w:cs="Arial"/>
          <w:bCs/>
          <w:szCs w:val="24"/>
        </w:rPr>
        <w:t xml:space="preserve"> catalogado como de alta y muy alta vulnerabilidad</w:t>
      </w:r>
      <w:r w:rsidR="004873C3">
        <w:rPr>
          <w:rFonts w:cs="Arial"/>
          <w:bCs/>
          <w:szCs w:val="24"/>
        </w:rPr>
        <w:t>, de estos son 40 municipios en la clasificación de muy alta vulnerabilidad,</w:t>
      </w:r>
      <w:r>
        <w:rPr>
          <w:rFonts w:cs="Arial"/>
          <w:bCs/>
          <w:szCs w:val="24"/>
        </w:rPr>
        <w:t xml:space="preserve"> y </w:t>
      </w:r>
      <w:r w:rsidR="004873C3">
        <w:rPr>
          <w:rFonts w:cs="Arial"/>
          <w:bCs/>
          <w:szCs w:val="24"/>
        </w:rPr>
        <w:t xml:space="preserve">1,089 </w:t>
      </w:r>
      <w:r>
        <w:rPr>
          <w:rFonts w:cs="Arial"/>
          <w:bCs/>
          <w:szCs w:val="24"/>
        </w:rPr>
        <w:t>casi la mitad</w:t>
      </w:r>
      <w:r w:rsidR="004873C3">
        <w:rPr>
          <w:rFonts w:cs="Arial"/>
          <w:bCs/>
          <w:szCs w:val="24"/>
        </w:rPr>
        <w:t xml:space="preserve"> del total</w:t>
      </w:r>
      <w:r>
        <w:rPr>
          <w:rFonts w:cs="Arial"/>
          <w:bCs/>
          <w:szCs w:val="24"/>
        </w:rPr>
        <w:t xml:space="preserve"> en la clasificación de vulnerabilidad media</w:t>
      </w:r>
      <w:r w:rsidR="00A3344C">
        <w:rPr>
          <w:rStyle w:val="FootnoteReference"/>
        </w:rPr>
        <w:footnoteReference w:id="23"/>
      </w:r>
      <w:r w:rsidR="00E15258">
        <w:t>.</w:t>
      </w:r>
    </w:p>
    <w:p w:rsidR="00D038AB" w:rsidRPr="00ED4D35" w:rsidRDefault="00D038AB" w:rsidP="00A276D1">
      <w:pPr>
        <w:spacing w:after="0" w:line="240" w:lineRule="auto"/>
        <w:jc w:val="both"/>
        <w:rPr>
          <w:rFonts w:cs="Arial"/>
          <w:bCs/>
          <w:sz w:val="12"/>
          <w:szCs w:val="12"/>
        </w:rPr>
      </w:pPr>
    </w:p>
    <w:p w:rsidR="00535FBA" w:rsidRDefault="00535FBA" w:rsidP="00A276D1">
      <w:pPr>
        <w:spacing w:after="0" w:line="240" w:lineRule="auto"/>
        <w:jc w:val="both"/>
        <w:rPr>
          <w:rFonts w:cs="Arial"/>
          <w:bCs/>
          <w:szCs w:val="24"/>
        </w:rPr>
      </w:pPr>
      <w:r>
        <w:rPr>
          <w:rFonts w:cs="Arial"/>
          <w:bCs/>
          <w:szCs w:val="24"/>
        </w:rPr>
        <w:t>En definitiva, a nivel nacional el rezago afecta a casi 50% de las viviendas, principalmente en población de escasos recursos, comunidades indígenas, entorno rural y entidades de sur, destacando la falta de acceso a una vivienda digna en México ligada a la pobreza.</w:t>
      </w:r>
    </w:p>
    <w:p w:rsidR="00535FBA" w:rsidRPr="00ED4D35" w:rsidRDefault="00535FBA" w:rsidP="00A276D1">
      <w:pPr>
        <w:spacing w:after="0" w:line="240" w:lineRule="auto"/>
        <w:jc w:val="both"/>
        <w:rPr>
          <w:rFonts w:cs="Arial"/>
          <w:bCs/>
          <w:sz w:val="12"/>
          <w:szCs w:val="12"/>
        </w:rPr>
      </w:pPr>
    </w:p>
    <w:p w:rsidR="00535FBA" w:rsidRPr="00A3344C" w:rsidRDefault="00535FBA" w:rsidP="00A276D1">
      <w:pPr>
        <w:spacing w:after="0" w:line="240" w:lineRule="auto"/>
        <w:jc w:val="both"/>
        <w:rPr>
          <w:rFonts w:cs="Arial"/>
          <w:bCs/>
          <w:szCs w:val="24"/>
        </w:rPr>
      </w:pPr>
      <w:r>
        <w:rPr>
          <w:rFonts w:cs="Arial"/>
          <w:bCs/>
          <w:szCs w:val="24"/>
        </w:rPr>
        <w:t xml:space="preserve">En el entorno rural del país 8 de cada 10 viviendas padecen rezago de vivienda, siendo más vulnerables la población del sur-sureste, </w:t>
      </w:r>
      <w:r w:rsidR="00E95A20" w:rsidRPr="00B20997">
        <w:rPr>
          <w:rFonts w:cs="Arial"/>
          <w:bCs/>
          <w:szCs w:val="24"/>
        </w:rPr>
        <w:t>como Chiapas</w:t>
      </w:r>
      <w:r w:rsidRPr="00B20997">
        <w:rPr>
          <w:rFonts w:cs="Arial"/>
          <w:bCs/>
          <w:szCs w:val="24"/>
        </w:rPr>
        <w:t xml:space="preserve"> (78.2%), Oaxaca (77.8%), </w:t>
      </w:r>
      <w:r w:rsidR="00E95A20" w:rsidRPr="00B20997">
        <w:rPr>
          <w:rFonts w:cs="Arial"/>
          <w:bCs/>
          <w:szCs w:val="24"/>
        </w:rPr>
        <w:t>Guerrero (</w:t>
      </w:r>
      <w:r w:rsidRPr="00B20997">
        <w:rPr>
          <w:rFonts w:cs="Arial"/>
          <w:bCs/>
          <w:szCs w:val="24"/>
        </w:rPr>
        <w:t>72.0%), Veracruz (63.9%) y Campeche (61.2%).</w:t>
      </w:r>
      <w:r>
        <w:rPr>
          <w:rStyle w:val="FootnoteReference"/>
          <w:rFonts w:cs="Arial"/>
          <w:bCs/>
          <w:szCs w:val="24"/>
        </w:rPr>
        <w:footnoteReference w:id="24"/>
      </w:r>
    </w:p>
    <w:p w:rsidR="00D038AB" w:rsidRPr="00ED4D35" w:rsidRDefault="00D038AB" w:rsidP="00A276D1">
      <w:pPr>
        <w:spacing w:after="0" w:line="240" w:lineRule="auto"/>
        <w:jc w:val="both"/>
        <w:rPr>
          <w:rFonts w:cs="Arial"/>
          <w:bCs/>
          <w:sz w:val="12"/>
          <w:szCs w:val="12"/>
        </w:rPr>
      </w:pPr>
    </w:p>
    <w:p w:rsidR="009643C1" w:rsidRDefault="00C462DE" w:rsidP="00A276D1">
      <w:pPr>
        <w:spacing w:after="0" w:line="240" w:lineRule="auto"/>
        <w:jc w:val="both"/>
        <w:rPr>
          <w:rFonts w:cs="Arial"/>
          <w:b/>
          <w:bCs/>
          <w:szCs w:val="24"/>
        </w:rPr>
      </w:pPr>
      <w:r w:rsidRPr="00F06F3E">
        <w:rPr>
          <w:rFonts w:cs="Arial"/>
          <w:b/>
          <w:bCs/>
          <w:szCs w:val="24"/>
        </w:rPr>
        <w:t>14. ¿Ha habido leyes, políticas o prácticas en la historia reciente actual de su país, región o ciudad/comunidad que hayan causado o exacerbado la segregación residencial?</w:t>
      </w:r>
    </w:p>
    <w:p w:rsidR="00C462DE" w:rsidRPr="00ED4D35" w:rsidRDefault="00C462DE" w:rsidP="00A276D1">
      <w:pPr>
        <w:spacing w:after="0" w:line="240" w:lineRule="auto"/>
        <w:jc w:val="both"/>
        <w:rPr>
          <w:rFonts w:cs="Arial"/>
          <w:bCs/>
          <w:sz w:val="12"/>
          <w:szCs w:val="12"/>
        </w:rPr>
      </w:pPr>
    </w:p>
    <w:p w:rsidR="00AF72F9" w:rsidRPr="00AF72F9" w:rsidRDefault="00AF72F9" w:rsidP="00A276D1">
      <w:pPr>
        <w:autoSpaceDE w:val="0"/>
        <w:autoSpaceDN w:val="0"/>
        <w:adjustRightInd w:val="0"/>
        <w:spacing w:after="0" w:line="240" w:lineRule="auto"/>
        <w:jc w:val="both"/>
        <w:rPr>
          <w:rFonts w:cs="Arial"/>
          <w:bCs/>
          <w:szCs w:val="24"/>
        </w:rPr>
      </w:pPr>
      <w:r w:rsidRPr="00AF72F9">
        <w:rPr>
          <w:rFonts w:cs="Arial"/>
          <w:bCs/>
          <w:szCs w:val="24"/>
        </w:rPr>
        <w:t xml:space="preserve">Se ha referido a la redensificación y a la gentrificación como algunas </w:t>
      </w:r>
      <w:r>
        <w:rPr>
          <w:rFonts w:cs="Arial"/>
          <w:bCs/>
          <w:szCs w:val="24"/>
        </w:rPr>
        <w:t>prácticas</w:t>
      </w:r>
      <w:r w:rsidRPr="00AF72F9">
        <w:rPr>
          <w:rFonts w:cs="Arial"/>
          <w:bCs/>
          <w:szCs w:val="24"/>
        </w:rPr>
        <w:t xml:space="preserve"> suscitadas en algunas ciudades de México</w:t>
      </w:r>
      <w:r>
        <w:rPr>
          <w:rFonts w:cs="Arial"/>
          <w:bCs/>
          <w:szCs w:val="24"/>
        </w:rPr>
        <w:t xml:space="preserve"> y el mundo.</w:t>
      </w:r>
    </w:p>
    <w:p w:rsidR="00AF72F9" w:rsidRPr="00ED4D35" w:rsidRDefault="00AF72F9" w:rsidP="00A276D1">
      <w:pPr>
        <w:autoSpaceDE w:val="0"/>
        <w:autoSpaceDN w:val="0"/>
        <w:adjustRightInd w:val="0"/>
        <w:spacing w:after="0" w:line="240" w:lineRule="auto"/>
        <w:jc w:val="both"/>
        <w:rPr>
          <w:sz w:val="12"/>
          <w:szCs w:val="12"/>
        </w:rPr>
      </w:pPr>
    </w:p>
    <w:p w:rsidR="00AF72F9" w:rsidRDefault="00AF72F9" w:rsidP="00A276D1">
      <w:pPr>
        <w:spacing w:after="0" w:line="240" w:lineRule="auto"/>
        <w:jc w:val="both"/>
      </w:pPr>
      <w:r>
        <w:t xml:space="preserve">La redensificación </w:t>
      </w:r>
      <w:r w:rsidRPr="00471F58">
        <w:rPr>
          <w:shd w:val="clear" w:color="auto" w:fill="FFFFFF"/>
        </w:rPr>
        <w:t>habitacional consiste en hacer que una zona pueda tener nuevas construcciones de vivienda, así evitar que los pobladores se vean obligados a buscar otro hogar</w:t>
      </w:r>
      <w:r>
        <w:rPr>
          <w:shd w:val="clear" w:color="auto" w:fill="FFFFFF"/>
        </w:rPr>
        <w:t xml:space="preserve">; sin embargo, las autoridades </w:t>
      </w:r>
      <w:r>
        <w:t xml:space="preserve">deben, en primera instancia, comprender qué tipos de densidad ayudarán a sus ciudades a alcanzar ciertas metas y cuáles son las mejores formas de implementar estrategias adecuadas para sus contextos y </w:t>
      </w:r>
      <w:r>
        <w:lastRenderedPageBreak/>
        <w:t xml:space="preserve">comunidades, así como entender los costos y beneficios asociados con las estrategias de densificación sin implementarlas a ciegas. </w:t>
      </w:r>
    </w:p>
    <w:p w:rsidR="00AF72F9" w:rsidRPr="00ED4D35" w:rsidRDefault="00AF72F9" w:rsidP="00A276D1">
      <w:pPr>
        <w:autoSpaceDE w:val="0"/>
        <w:autoSpaceDN w:val="0"/>
        <w:adjustRightInd w:val="0"/>
        <w:spacing w:after="0" w:line="240" w:lineRule="auto"/>
        <w:jc w:val="both"/>
        <w:rPr>
          <w:sz w:val="12"/>
          <w:szCs w:val="12"/>
        </w:rPr>
      </w:pPr>
    </w:p>
    <w:p w:rsidR="00AF72F9" w:rsidRPr="00832DA7" w:rsidRDefault="00AF72F9" w:rsidP="00A276D1">
      <w:pPr>
        <w:autoSpaceDE w:val="0"/>
        <w:autoSpaceDN w:val="0"/>
        <w:adjustRightInd w:val="0"/>
        <w:spacing w:after="0" w:line="240" w:lineRule="auto"/>
        <w:jc w:val="both"/>
      </w:pPr>
      <w:r w:rsidRPr="00AF72F9">
        <w:t>La gentrificación, en un sentido amplio, es entendida como la transformación de los barrios por efecto de la llegada de personas de más alta condición social que instalan una fuerza de desplazamiento sobre los vecinos, pues pueden pagar más por el suelo, esto se advierte, por ejemplo, en la zona denominada La Condesa, Ciudad de México.</w:t>
      </w:r>
    </w:p>
    <w:p w:rsidR="00535FBA" w:rsidRPr="00ED4D35" w:rsidRDefault="00535FBA" w:rsidP="00A276D1">
      <w:pPr>
        <w:spacing w:after="0" w:line="240" w:lineRule="auto"/>
        <w:jc w:val="both"/>
        <w:rPr>
          <w:rFonts w:cs="Arial"/>
          <w:bCs/>
          <w:sz w:val="12"/>
          <w:szCs w:val="12"/>
        </w:rPr>
      </w:pPr>
    </w:p>
    <w:p w:rsidR="00C462DE" w:rsidRDefault="00C462DE" w:rsidP="00A276D1">
      <w:pPr>
        <w:spacing w:after="0" w:line="240" w:lineRule="auto"/>
        <w:jc w:val="both"/>
        <w:rPr>
          <w:rFonts w:cs="Arial"/>
          <w:b/>
          <w:bCs/>
          <w:szCs w:val="24"/>
        </w:rPr>
      </w:pPr>
      <w:r w:rsidRPr="00F15A65">
        <w:rPr>
          <w:rFonts w:cs="Arial"/>
          <w:b/>
          <w:bCs/>
          <w:szCs w:val="24"/>
        </w:rPr>
        <w:t>15. En su opinión, ¿Qué factores (actuales o históricos) son los principales impulsores de la segregación socio-espacial y residencial en contextos urbano-rurales en su país?</w:t>
      </w:r>
    </w:p>
    <w:p w:rsidR="00F15A65" w:rsidRPr="00F15A65" w:rsidRDefault="00F15A65" w:rsidP="00A276D1">
      <w:pPr>
        <w:spacing w:after="0" w:line="240" w:lineRule="auto"/>
        <w:jc w:val="both"/>
        <w:rPr>
          <w:rFonts w:cs="Arial"/>
          <w:bCs/>
          <w:szCs w:val="24"/>
        </w:rPr>
      </w:pPr>
    </w:p>
    <w:p w:rsidR="00F15A65" w:rsidRDefault="00F15A65" w:rsidP="00A276D1">
      <w:pPr>
        <w:spacing w:after="0" w:line="240" w:lineRule="auto"/>
        <w:jc w:val="both"/>
        <w:rPr>
          <w:rFonts w:cs="Arial"/>
          <w:bCs/>
          <w:szCs w:val="24"/>
        </w:rPr>
      </w:pPr>
      <w:r w:rsidRPr="00F15A65">
        <w:rPr>
          <w:rFonts w:cs="Arial"/>
          <w:bCs/>
          <w:szCs w:val="24"/>
        </w:rPr>
        <w:t xml:space="preserve">Las ciudades han </w:t>
      </w:r>
      <w:r>
        <w:rPr>
          <w:rFonts w:cs="Arial"/>
          <w:bCs/>
          <w:szCs w:val="24"/>
        </w:rPr>
        <w:t xml:space="preserve">tenido que transformarse rápidamente, principalmente para adecuarse a las necesidades de la economía global, </w:t>
      </w:r>
      <w:r w:rsidR="00246097">
        <w:rPr>
          <w:rFonts w:cs="Arial"/>
          <w:bCs/>
          <w:szCs w:val="24"/>
        </w:rPr>
        <w:t>aunado a esto la migración a las ciudades</w:t>
      </w:r>
      <w:r w:rsidR="00980ACD">
        <w:rPr>
          <w:rFonts w:cs="Arial"/>
          <w:bCs/>
          <w:szCs w:val="24"/>
        </w:rPr>
        <w:t xml:space="preserve"> desde el medio rural, para poder acceder a un trabajo remunerado, servicios de salud, educación, vivienda adecuada, entre otros, </w:t>
      </w:r>
      <w:r w:rsidR="00246097">
        <w:rPr>
          <w:rFonts w:cs="Arial"/>
          <w:bCs/>
          <w:szCs w:val="24"/>
        </w:rPr>
        <w:t>ha aumentado en las últimas décadas la demanda por una vivienda adecuada.</w:t>
      </w:r>
    </w:p>
    <w:p w:rsidR="00246097" w:rsidRPr="00ED4D35" w:rsidRDefault="00246097" w:rsidP="00A276D1">
      <w:pPr>
        <w:spacing w:after="0" w:line="240" w:lineRule="auto"/>
        <w:jc w:val="both"/>
        <w:rPr>
          <w:rFonts w:cs="Arial"/>
          <w:bCs/>
          <w:sz w:val="12"/>
          <w:szCs w:val="12"/>
        </w:rPr>
      </w:pPr>
    </w:p>
    <w:p w:rsidR="00246097" w:rsidRDefault="00246097" w:rsidP="00A276D1">
      <w:pPr>
        <w:spacing w:after="0" w:line="240" w:lineRule="auto"/>
        <w:jc w:val="both"/>
        <w:rPr>
          <w:rFonts w:cs="Arial"/>
          <w:bCs/>
          <w:szCs w:val="24"/>
        </w:rPr>
      </w:pPr>
      <w:r>
        <w:rPr>
          <w:rFonts w:cs="Arial"/>
          <w:bCs/>
          <w:szCs w:val="24"/>
        </w:rPr>
        <w:t>El crecimiento de las ciudades se ha generado de forma irregular y sin planeación, en donde ha surgido la necesidad de las personas para establecerse cerca de los centros de trabajo, sin embargo</w:t>
      </w:r>
      <w:r w:rsidR="00980ACD">
        <w:rPr>
          <w:rFonts w:cs="Arial"/>
          <w:bCs/>
          <w:szCs w:val="24"/>
        </w:rPr>
        <w:t>,</w:t>
      </w:r>
      <w:r>
        <w:rPr>
          <w:rFonts w:cs="Arial"/>
          <w:bCs/>
          <w:szCs w:val="24"/>
        </w:rPr>
        <w:t xml:space="preserve"> no todas las personas pueden acceder a un mecanismo de financiamiento a la vivienda</w:t>
      </w:r>
      <w:r w:rsidR="00980ACD">
        <w:rPr>
          <w:rFonts w:cs="Arial"/>
          <w:bCs/>
          <w:szCs w:val="24"/>
        </w:rPr>
        <w:t>, que les permita acceder a una vivienda adecuada.</w:t>
      </w:r>
    </w:p>
    <w:p w:rsidR="00980ACD" w:rsidRPr="00ED4D35" w:rsidRDefault="00980ACD" w:rsidP="00A276D1">
      <w:pPr>
        <w:spacing w:after="0" w:line="240" w:lineRule="auto"/>
        <w:jc w:val="both"/>
        <w:rPr>
          <w:rFonts w:cs="Arial"/>
          <w:bCs/>
          <w:sz w:val="12"/>
          <w:szCs w:val="12"/>
        </w:rPr>
      </w:pPr>
    </w:p>
    <w:p w:rsidR="00980ACD" w:rsidRDefault="00980ACD" w:rsidP="00A276D1">
      <w:pPr>
        <w:spacing w:after="0" w:line="240" w:lineRule="auto"/>
        <w:jc w:val="both"/>
        <w:rPr>
          <w:rFonts w:cs="Arial"/>
          <w:bCs/>
          <w:szCs w:val="24"/>
        </w:rPr>
      </w:pPr>
      <w:r>
        <w:rPr>
          <w:rFonts w:cs="Arial"/>
          <w:bCs/>
          <w:szCs w:val="24"/>
        </w:rPr>
        <w:t xml:space="preserve">Entre los años de 1980 y 2010 </w:t>
      </w:r>
      <w:r w:rsidR="00535FBA">
        <w:rPr>
          <w:rFonts w:cs="Arial"/>
          <w:bCs/>
          <w:szCs w:val="24"/>
        </w:rPr>
        <w:t>s</w:t>
      </w:r>
      <w:r>
        <w:rPr>
          <w:rFonts w:cs="Arial"/>
          <w:bCs/>
          <w:szCs w:val="24"/>
        </w:rPr>
        <w:t>e gener</w:t>
      </w:r>
      <w:r w:rsidR="00535FBA">
        <w:rPr>
          <w:rFonts w:cs="Arial"/>
          <w:bCs/>
          <w:szCs w:val="24"/>
        </w:rPr>
        <w:t>ó</w:t>
      </w:r>
      <w:r>
        <w:rPr>
          <w:rFonts w:cs="Arial"/>
          <w:bCs/>
          <w:szCs w:val="24"/>
        </w:rPr>
        <w:t xml:space="preserve"> un modelo de desarrollo de vivienda expansivo, horizontal y de bajo costo, el cual no consideraba las necesidades de la población, no se encontraba cerca de los centros de trabajo y de los servicios urbanos, dejando de lado las necesidades de poblaciones con mayor marginación social y rezago.</w:t>
      </w:r>
    </w:p>
    <w:p w:rsidR="00980ACD" w:rsidRPr="00ED4D35" w:rsidRDefault="00980ACD" w:rsidP="00A276D1">
      <w:pPr>
        <w:spacing w:after="0" w:line="240" w:lineRule="auto"/>
        <w:jc w:val="both"/>
        <w:rPr>
          <w:rFonts w:cs="Arial"/>
          <w:bCs/>
          <w:sz w:val="12"/>
          <w:szCs w:val="12"/>
        </w:rPr>
      </w:pPr>
    </w:p>
    <w:p w:rsidR="009D72A8" w:rsidRDefault="00980ACD" w:rsidP="00A276D1">
      <w:pPr>
        <w:spacing w:after="0" w:line="240" w:lineRule="auto"/>
        <w:jc w:val="both"/>
        <w:rPr>
          <w:rFonts w:cs="Arial"/>
          <w:bCs/>
          <w:szCs w:val="24"/>
        </w:rPr>
      </w:pPr>
      <w:r>
        <w:rPr>
          <w:rFonts w:cs="Arial"/>
          <w:bCs/>
          <w:szCs w:val="24"/>
        </w:rPr>
        <w:t xml:space="preserve">De esta forma, se comenzaron a habitar las periferias urbanas, principalmente por sectores populares de la </w:t>
      </w:r>
      <w:r w:rsidR="009D72A8">
        <w:rPr>
          <w:rFonts w:cs="Arial"/>
          <w:bCs/>
          <w:szCs w:val="24"/>
        </w:rPr>
        <w:t>población, en estos sectores se encuentran grupos de personas que se incorporaron al mercado informal de trabajo, generando que no tuvieran acceso a la seguridad social y percibiendo bajas remuneraciones.</w:t>
      </w:r>
    </w:p>
    <w:p w:rsidR="009D72A8" w:rsidRPr="00ED4D35" w:rsidRDefault="009D72A8" w:rsidP="00A276D1">
      <w:pPr>
        <w:spacing w:after="0" w:line="240" w:lineRule="auto"/>
        <w:jc w:val="both"/>
        <w:rPr>
          <w:rFonts w:cs="Arial"/>
          <w:bCs/>
          <w:sz w:val="12"/>
          <w:szCs w:val="12"/>
        </w:rPr>
      </w:pPr>
    </w:p>
    <w:p w:rsidR="00980ACD" w:rsidRDefault="009D72A8" w:rsidP="00A276D1">
      <w:pPr>
        <w:spacing w:after="0" w:line="240" w:lineRule="auto"/>
        <w:jc w:val="both"/>
        <w:rPr>
          <w:rFonts w:cs="Arial"/>
          <w:bCs/>
          <w:szCs w:val="24"/>
        </w:rPr>
      </w:pPr>
      <w:r>
        <w:rPr>
          <w:rFonts w:cs="Arial"/>
          <w:bCs/>
          <w:szCs w:val="24"/>
        </w:rPr>
        <w:t xml:space="preserve">En contraste con la periferia, se encontraba la redensificación de las zonas centrales de la ciudad, consolidadas y habitadas por las clases medias, aumentando las brechas de desigualdad y pobreza, por un </w:t>
      </w:r>
      <w:r w:rsidR="001F1459">
        <w:rPr>
          <w:rFonts w:cs="Arial"/>
          <w:bCs/>
          <w:szCs w:val="24"/>
        </w:rPr>
        <w:t>lado,</w:t>
      </w:r>
      <w:r>
        <w:rPr>
          <w:rFonts w:cs="Arial"/>
          <w:bCs/>
          <w:szCs w:val="24"/>
        </w:rPr>
        <w:t xml:space="preserve"> con territorios de riqueza y abundancia y por el otro con desarrollos habitacionales que carecen de bienes y servicios.</w:t>
      </w:r>
    </w:p>
    <w:p w:rsidR="00D620DB" w:rsidRPr="00ED4D35" w:rsidRDefault="00D620DB" w:rsidP="00A276D1">
      <w:pPr>
        <w:spacing w:after="0" w:line="240" w:lineRule="auto"/>
        <w:jc w:val="both"/>
        <w:rPr>
          <w:rFonts w:cs="Arial"/>
          <w:bCs/>
          <w:sz w:val="12"/>
          <w:szCs w:val="12"/>
        </w:rPr>
      </w:pPr>
    </w:p>
    <w:p w:rsidR="00C462DE" w:rsidRPr="001F1459" w:rsidRDefault="00C462DE" w:rsidP="00A276D1">
      <w:pPr>
        <w:spacing w:after="0" w:line="240" w:lineRule="auto"/>
        <w:jc w:val="both"/>
        <w:rPr>
          <w:rFonts w:cs="Arial"/>
          <w:b/>
          <w:bCs/>
          <w:szCs w:val="24"/>
        </w:rPr>
      </w:pPr>
      <w:r w:rsidRPr="001F1459">
        <w:rPr>
          <w:rFonts w:cs="Arial"/>
          <w:b/>
          <w:bCs/>
          <w:szCs w:val="24"/>
        </w:rPr>
        <w:t>16. ¿Existen en su país casos en los que la agrupación socio-espacial y residencial ha sido resultado de una elección voluntaria de residencia por parte de los miembros de determinados grupos?</w:t>
      </w:r>
    </w:p>
    <w:p w:rsidR="00C462DE" w:rsidRPr="00ED4D35" w:rsidRDefault="00C462DE" w:rsidP="00A276D1">
      <w:pPr>
        <w:spacing w:after="0" w:line="240" w:lineRule="auto"/>
        <w:jc w:val="both"/>
        <w:rPr>
          <w:rFonts w:cs="Arial"/>
          <w:bCs/>
          <w:sz w:val="12"/>
          <w:szCs w:val="12"/>
        </w:rPr>
      </w:pPr>
    </w:p>
    <w:p w:rsidR="00535FBA" w:rsidRDefault="00300D6F" w:rsidP="00A276D1">
      <w:pPr>
        <w:spacing w:after="0" w:line="240" w:lineRule="auto"/>
        <w:jc w:val="both"/>
        <w:rPr>
          <w:rFonts w:cs="Arial"/>
          <w:bCs/>
          <w:szCs w:val="24"/>
        </w:rPr>
      </w:pPr>
      <w:r>
        <w:rPr>
          <w:rFonts w:cs="Arial"/>
          <w:bCs/>
          <w:szCs w:val="24"/>
        </w:rPr>
        <w:t xml:space="preserve">De acuerdo con la revisión documental, se refiere el </w:t>
      </w:r>
      <w:r w:rsidR="004E1EBD">
        <w:rPr>
          <w:rFonts w:cs="Arial"/>
          <w:bCs/>
          <w:szCs w:val="24"/>
        </w:rPr>
        <w:t>artículo</w:t>
      </w:r>
      <w:r>
        <w:rPr>
          <w:rFonts w:cs="Arial"/>
          <w:bCs/>
          <w:szCs w:val="24"/>
        </w:rPr>
        <w:t xml:space="preserve"> intitulado </w:t>
      </w:r>
      <w:r w:rsidRPr="00300D6F">
        <w:rPr>
          <w:rFonts w:cs="Arial"/>
          <w:bCs/>
          <w:i/>
          <w:szCs w:val="24"/>
        </w:rPr>
        <w:t>“Segregación socio espacial urbana. Debates contemporáneos e implicaciones para las ciudades mexicanas”</w:t>
      </w:r>
      <w:r>
        <w:rPr>
          <w:rFonts w:cs="Arial"/>
          <w:bCs/>
          <w:i/>
          <w:szCs w:val="24"/>
        </w:rPr>
        <w:t xml:space="preserve">, </w:t>
      </w:r>
      <w:r>
        <w:rPr>
          <w:rFonts w:cs="Arial"/>
          <w:bCs/>
          <w:szCs w:val="24"/>
        </w:rPr>
        <w:t xml:space="preserve">publicado en agosto del 2011, en la revista </w:t>
      </w:r>
      <w:r w:rsidRPr="00300D6F">
        <w:rPr>
          <w:rFonts w:cs="Arial"/>
          <w:bCs/>
          <w:i/>
          <w:szCs w:val="24"/>
        </w:rPr>
        <w:t xml:space="preserve">“Estudios demográficos y </w:t>
      </w:r>
      <w:r w:rsidRPr="00300D6F">
        <w:rPr>
          <w:rFonts w:cs="Arial"/>
          <w:bCs/>
          <w:i/>
          <w:szCs w:val="24"/>
        </w:rPr>
        <w:lastRenderedPageBreak/>
        <w:t>urbanos”</w:t>
      </w:r>
      <w:r w:rsidR="00535FBA">
        <w:rPr>
          <w:rFonts w:cs="Arial"/>
          <w:bCs/>
          <w:i/>
          <w:szCs w:val="24"/>
        </w:rPr>
        <w:t xml:space="preserve">, </w:t>
      </w:r>
      <w:r>
        <w:rPr>
          <w:rFonts w:cs="Arial"/>
          <w:bCs/>
          <w:szCs w:val="24"/>
        </w:rPr>
        <w:t xml:space="preserve">se hace referencia a los </w:t>
      </w:r>
      <w:r w:rsidRPr="00300D6F">
        <w:rPr>
          <w:rFonts w:cs="Arial"/>
          <w:bCs/>
          <w:i/>
          <w:szCs w:val="24"/>
        </w:rPr>
        <w:t xml:space="preserve">“barrios </w:t>
      </w:r>
      <w:r w:rsidR="00E95A20" w:rsidRPr="00300D6F">
        <w:rPr>
          <w:rFonts w:cs="Arial"/>
          <w:bCs/>
          <w:i/>
          <w:szCs w:val="24"/>
        </w:rPr>
        <w:t>cerrados”</w:t>
      </w:r>
      <w:r w:rsidR="00E95A20" w:rsidRPr="00300D6F">
        <w:rPr>
          <w:rFonts w:cs="Arial"/>
          <w:bCs/>
          <w:szCs w:val="24"/>
        </w:rPr>
        <w:t xml:space="preserve"> como</w:t>
      </w:r>
      <w:r w:rsidRPr="00300D6F">
        <w:rPr>
          <w:rFonts w:cs="Arial"/>
          <w:bCs/>
          <w:szCs w:val="24"/>
        </w:rPr>
        <w:t xml:space="preserve"> una forma hegemónica de urbanización</w:t>
      </w:r>
      <w:r>
        <w:rPr>
          <w:rFonts w:cs="Arial"/>
          <w:bCs/>
          <w:szCs w:val="24"/>
        </w:rPr>
        <w:t>, esta puede ir desde condominios cerrados hasta emplazamientos suburbanos, creando formas de segregación que son generalmente autoinducidas</w:t>
      </w:r>
      <w:r w:rsidR="003642AD">
        <w:rPr>
          <w:rFonts w:cs="Arial"/>
          <w:bCs/>
          <w:szCs w:val="24"/>
        </w:rPr>
        <w:t xml:space="preserve">. </w:t>
      </w:r>
    </w:p>
    <w:p w:rsidR="00535FBA" w:rsidRPr="00ED4D35" w:rsidRDefault="00535FBA" w:rsidP="00A276D1">
      <w:pPr>
        <w:spacing w:after="0" w:line="240" w:lineRule="auto"/>
        <w:jc w:val="both"/>
        <w:rPr>
          <w:rFonts w:cs="Arial"/>
          <w:bCs/>
          <w:sz w:val="12"/>
          <w:szCs w:val="12"/>
        </w:rPr>
      </w:pPr>
    </w:p>
    <w:p w:rsidR="00300D6F" w:rsidRDefault="003642AD" w:rsidP="00A276D1">
      <w:pPr>
        <w:spacing w:after="0" w:line="240" w:lineRule="auto"/>
        <w:jc w:val="both"/>
        <w:rPr>
          <w:rFonts w:cs="Arial"/>
          <w:bCs/>
          <w:szCs w:val="24"/>
        </w:rPr>
      </w:pPr>
      <w:r>
        <w:rPr>
          <w:rFonts w:cs="Arial"/>
          <w:bCs/>
          <w:szCs w:val="24"/>
        </w:rPr>
        <w:t xml:space="preserve">Esta separación del espacio urbano se lleva a cabo principalmente por </w:t>
      </w:r>
      <w:r w:rsidRPr="003642AD">
        <w:rPr>
          <w:rFonts w:cs="Arial"/>
          <w:bCs/>
          <w:szCs w:val="24"/>
        </w:rPr>
        <w:t xml:space="preserve">grupos de las clases medias y altas que buscan cierto tipo de comodidades; </w:t>
      </w:r>
      <w:r>
        <w:rPr>
          <w:rFonts w:cs="Arial"/>
          <w:bCs/>
          <w:szCs w:val="24"/>
        </w:rPr>
        <w:t>como</w:t>
      </w:r>
      <w:r w:rsidRPr="003642AD">
        <w:rPr>
          <w:rFonts w:cs="Arial"/>
          <w:bCs/>
          <w:szCs w:val="24"/>
        </w:rPr>
        <w:t xml:space="preserve"> son el acceso restringido, los sistemas de vigilancia, cierto estatus social y la homogeneidad social en el interior</w:t>
      </w:r>
      <w:r>
        <w:rPr>
          <w:rFonts w:cs="Arial"/>
          <w:bCs/>
          <w:szCs w:val="24"/>
        </w:rPr>
        <w:t>, entre otras.</w:t>
      </w:r>
    </w:p>
    <w:p w:rsidR="003642AD" w:rsidRPr="00ED4D35" w:rsidRDefault="003642AD" w:rsidP="00A276D1">
      <w:pPr>
        <w:spacing w:after="0" w:line="240" w:lineRule="auto"/>
        <w:jc w:val="both"/>
        <w:rPr>
          <w:rFonts w:cs="Arial"/>
          <w:bCs/>
          <w:sz w:val="12"/>
          <w:szCs w:val="12"/>
        </w:rPr>
      </w:pPr>
    </w:p>
    <w:p w:rsidR="003642AD" w:rsidRDefault="003642AD" w:rsidP="00A276D1">
      <w:pPr>
        <w:spacing w:after="0" w:line="240" w:lineRule="auto"/>
        <w:jc w:val="both"/>
        <w:rPr>
          <w:rFonts w:cs="Arial"/>
          <w:bCs/>
          <w:szCs w:val="24"/>
        </w:rPr>
      </w:pPr>
      <w:r>
        <w:rPr>
          <w:rFonts w:cs="Arial"/>
          <w:bCs/>
          <w:szCs w:val="24"/>
        </w:rPr>
        <w:t xml:space="preserve">A diferencia de las urbanizaciones cerradas </w:t>
      </w:r>
      <w:r w:rsidRPr="003642AD">
        <w:rPr>
          <w:rFonts w:cs="Arial"/>
          <w:bCs/>
          <w:szCs w:val="24"/>
        </w:rPr>
        <w:t xml:space="preserve">de las clases medias y altas </w:t>
      </w:r>
      <w:r>
        <w:rPr>
          <w:rFonts w:cs="Arial"/>
          <w:bCs/>
          <w:szCs w:val="24"/>
        </w:rPr>
        <w:t xml:space="preserve">que </w:t>
      </w:r>
      <w:r w:rsidRPr="003642AD">
        <w:rPr>
          <w:rFonts w:cs="Arial"/>
          <w:bCs/>
          <w:szCs w:val="24"/>
        </w:rPr>
        <w:t xml:space="preserve">contienen servicios básicos y de proximidad: </w:t>
      </w:r>
      <w:r>
        <w:rPr>
          <w:rFonts w:cs="Arial"/>
          <w:bCs/>
          <w:szCs w:val="24"/>
        </w:rPr>
        <w:t xml:space="preserve">como </w:t>
      </w:r>
      <w:r w:rsidRPr="003642AD">
        <w:rPr>
          <w:rFonts w:cs="Arial"/>
          <w:bCs/>
          <w:szCs w:val="24"/>
        </w:rPr>
        <w:t>centro comercial, gimnasio, equipamiento educativo y vigilancia</w:t>
      </w:r>
      <w:r>
        <w:rPr>
          <w:rFonts w:cs="Arial"/>
          <w:bCs/>
          <w:szCs w:val="24"/>
        </w:rPr>
        <w:t xml:space="preserve">; en los suburbios y las comunidades cerradas de las clases medias y bajas, no cuentan con servicios y están generalmente </w:t>
      </w:r>
      <w:r w:rsidRPr="003642AD">
        <w:rPr>
          <w:rFonts w:cs="Arial"/>
          <w:bCs/>
          <w:szCs w:val="24"/>
        </w:rPr>
        <w:t>desligadas del tejido urbano principal debido al bajo precio del suelo, lo cual impone desplazamientos de mayor tiempo para los residentes</w:t>
      </w:r>
      <w:r>
        <w:rPr>
          <w:rFonts w:cs="Arial"/>
          <w:bCs/>
          <w:szCs w:val="24"/>
        </w:rPr>
        <w:t>.</w:t>
      </w:r>
    </w:p>
    <w:p w:rsidR="003642AD" w:rsidRPr="00ED4D35" w:rsidRDefault="003642AD" w:rsidP="00A276D1">
      <w:pPr>
        <w:spacing w:after="0" w:line="240" w:lineRule="auto"/>
        <w:jc w:val="both"/>
        <w:rPr>
          <w:rFonts w:cs="Arial"/>
          <w:bCs/>
          <w:sz w:val="12"/>
          <w:szCs w:val="12"/>
        </w:rPr>
      </w:pPr>
    </w:p>
    <w:p w:rsidR="003642AD" w:rsidRPr="00300D6F" w:rsidRDefault="00D620DB" w:rsidP="00A276D1">
      <w:pPr>
        <w:spacing w:after="0" w:line="240" w:lineRule="auto"/>
        <w:jc w:val="both"/>
        <w:rPr>
          <w:rFonts w:cs="Arial"/>
          <w:bCs/>
          <w:szCs w:val="24"/>
        </w:rPr>
      </w:pPr>
      <w:r>
        <w:rPr>
          <w:rFonts w:cs="Arial"/>
          <w:bCs/>
          <w:szCs w:val="24"/>
        </w:rPr>
        <w:t xml:space="preserve">El incremento de la violencia en la ciudad y la percepción de esta también ha fomentado la autosegregación de ciertas comunidades urbanas, principalmente de las clases medias y altas, </w:t>
      </w:r>
      <w:r w:rsidRPr="00D620DB">
        <w:rPr>
          <w:rFonts w:cs="Arial"/>
          <w:bCs/>
          <w:szCs w:val="24"/>
        </w:rPr>
        <w:t>dichos grupos sociales tienden a separarse por medio de urbanizaciones cerradas</w:t>
      </w:r>
      <w:r>
        <w:rPr>
          <w:rFonts w:cs="Arial"/>
          <w:bCs/>
          <w:szCs w:val="24"/>
        </w:rPr>
        <w:t xml:space="preserve">. </w:t>
      </w:r>
      <w:r w:rsidRPr="00D620DB">
        <w:rPr>
          <w:rFonts w:cs="Arial"/>
          <w:bCs/>
          <w:szCs w:val="24"/>
        </w:rPr>
        <w:t>En este caso la segregación es voluntaria y reforzada por su poder monetario, lo que les permite tener un sistema de distinción, seguridad y separación, sean tangibles o no.</w:t>
      </w:r>
      <w:r>
        <w:rPr>
          <w:rStyle w:val="FootnoteReference"/>
          <w:rFonts w:cs="Arial"/>
          <w:bCs/>
          <w:szCs w:val="24"/>
        </w:rPr>
        <w:footnoteReference w:id="25"/>
      </w:r>
    </w:p>
    <w:p w:rsidR="001F1459" w:rsidRPr="00ED4D35" w:rsidRDefault="001F1459" w:rsidP="00A276D1">
      <w:pPr>
        <w:spacing w:after="0" w:line="240" w:lineRule="auto"/>
        <w:jc w:val="both"/>
        <w:rPr>
          <w:rFonts w:cs="Arial"/>
          <w:bCs/>
          <w:sz w:val="12"/>
          <w:szCs w:val="12"/>
        </w:rPr>
      </w:pPr>
    </w:p>
    <w:p w:rsidR="00C462DE" w:rsidRPr="00D620DB" w:rsidRDefault="00C462DE" w:rsidP="00A276D1">
      <w:pPr>
        <w:spacing w:after="0" w:line="240" w:lineRule="auto"/>
        <w:jc w:val="both"/>
        <w:rPr>
          <w:rFonts w:cs="Arial"/>
          <w:b/>
          <w:bCs/>
          <w:szCs w:val="24"/>
        </w:rPr>
      </w:pPr>
      <w:r w:rsidRPr="00D620DB">
        <w:rPr>
          <w:rFonts w:cs="Arial"/>
          <w:b/>
          <w:bCs/>
          <w:szCs w:val="24"/>
        </w:rPr>
        <w:t xml:space="preserve">17. La preservación de la identidad cultural, el derecho a la autodeterminación de los pueblos indígenas y la protección de otros derechos de las minorías son ejemplos de motivos por los que los grupos pueden elegir vivir separados. ¿Puede comentar cómo se evidencian estas formas de separación socio-espacial/territorial en su país, si estas </w:t>
      </w:r>
      <w:r w:rsidR="00E95A20" w:rsidRPr="00D620DB">
        <w:rPr>
          <w:rFonts w:cs="Arial"/>
          <w:b/>
          <w:bCs/>
          <w:szCs w:val="24"/>
        </w:rPr>
        <w:t>comunidades son</w:t>
      </w:r>
      <w:r w:rsidRPr="00D620DB">
        <w:rPr>
          <w:rFonts w:cs="Arial"/>
          <w:b/>
          <w:bCs/>
          <w:szCs w:val="24"/>
        </w:rPr>
        <w:t xml:space="preserve"> objeto de discriminación y sufren consecuencias adversas de la segregación espacial</w:t>
      </w:r>
      <w:r w:rsidR="00890B4C" w:rsidRPr="00D620DB">
        <w:rPr>
          <w:rFonts w:cs="Arial"/>
          <w:b/>
          <w:bCs/>
          <w:szCs w:val="24"/>
        </w:rPr>
        <w:t xml:space="preserve"> (por ejemplo, a través de disparidades en el acceso a servicios, infraestructuras, condiciones de vida, etc.)?</w:t>
      </w:r>
    </w:p>
    <w:p w:rsidR="00890B4C" w:rsidRPr="00ED4D35" w:rsidRDefault="00890B4C" w:rsidP="00A276D1">
      <w:pPr>
        <w:spacing w:after="0" w:line="240" w:lineRule="auto"/>
        <w:jc w:val="both"/>
        <w:rPr>
          <w:rFonts w:cs="Arial"/>
          <w:bCs/>
          <w:sz w:val="12"/>
          <w:szCs w:val="12"/>
        </w:rPr>
      </w:pPr>
    </w:p>
    <w:p w:rsidR="00E45E21" w:rsidRDefault="0001691E" w:rsidP="00A276D1">
      <w:pPr>
        <w:spacing w:after="0" w:line="240" w:lineRule="auto"/>
        <w:jc w:val="both"/>
        <w:rPr>
          <w:rFonts w:cs="Arial"/>
          <w:bCs/>
          <w:szCs w:val="24"/>
        </w:rPr>
      </w:pPr>
      <w:r>
        <w:rPr>
          <w:rFonts w:cs="Arial"/>
          <w:bCs/>
          <w:szCs w:val="24"/>
        </w:rPr>
        <w:t xml:space="preserve">En el </w:t>
      </w:r>
      <w:r w:rsidRPr="0001691E">
        <w:rPr>
          <w:rFonts w:cs="Arial"/>
          <w:bCs/>
          <w:i/>
          <w:szCs w:val="24"/>
        </w:rPr>
        <w:t>“Estudio Diagnostico del Derecho a la Vivienda Digna y Decorosa 2018”</w:t>
      </w:r>
      <w:r>
        <w:rPr>
          <w:rFonts w:cs="Arial"/>
          <w:bCs/>
          <w:szCs w:val="24"/>
        </w:rPr>
        <w:t xml:space="preserve">, realizado por el CONEVAL, se advierte que uno de los principales retos en cuanto el derecho a la vivienda digna es la presencia del rezago en </w:t>
      </w:r>
      <w:r w:rsidR="00535FBA">
        <w:rPr>
          <w:rFonts w:cs="Arial"/>
          <w:bCs/>
          <w:szCs w:val="24"/>
        </w:rPr>
        <w:t>ésta</w:t>
      </w:r>
      <w:r>
        <w:rPr>
          <w:rFonts w:cs="Arial"/>
          <w:bCs/>
          <w:szCs w:val="24"/>
        </w:rPr>
        <w:t xml:space="preserve">, </w:t>
      </w:r>
      <w:r w:rsidRPr="0001691E">
        <w:rPr>
          <w:rFonts w:cs="Arial"/>
          <w:bCs/>
          <w:szCs w:val="24"/>
        </w:rPr>
        <w:t xml:space="preserve">la </w:t>
      </w:r>
      <w:r w:rsidR="00E95A20" w:rsidRPr="0001691E">
        <w:rPr>
          <w:rFonts w:cs="Arial"/>
          <w:bCs/>
          <w:szCs w:val="24"/>
        </w:rPr>
        <w:t>escasez de</w:t>
      </w:r>
      <w:r w:rsidRPr="0001691E">
        <w:rPr>
          <w:rFonts w:cs="Arial"/>
          <w:bCs/>
          <w:szCs w:val="24"/>
        </w:rPr>
        <w:t xml:space="preserve"> infraestructura y pr</w:t>
      </w:r>
      <w:r>
        <w:rPr>
          <w:rFonts w:cs="Arial"/>
          <w:bCs/>
          <w:szCs w:val="24"/>
        </w:rPr>
        <w:t>oximidad</w:t>
      </w:r>
      <w:r w:rsidRPr="0001691E">
        <w:rPr>
          <w:rFonts w:cs="Arial"/>
          <w:bCs/>
          <w:szCs w:val="24"/>
        </w:rPr>
        <w:t xml:space="preserve"> a las fuentes </w:t>
      </w:r>
      <w:r w:rsidR="00E95A20" w:rsidRPr="0001691E">
        <w:rPr>
          <w:rFonts w:cs="Arial"/>
          <w:bCs/>
          <w:szCs w:val="24"/>
        </w:rPr>
        <w:t>de empleo</w:t>
      </w:r>
      <w:r>
        <w:rPr>
          <w:rFonts w:cs="Arial"/>
          <w:bCs/>
          <w:szCs w:val="24"/>
        </w:rPr>
        <w:t xml:space="preserve">, </w:t>
      </w:r>
      <w:r w:rsidRPr="0001691E">
        <w:rPr>
          <w:rFonts w:cs="Arial"/>
          <w:bCs/>
          <w:szCs w:val="24"/>
        </w:rPr>
        <w:t xml:space="preserve">la inseguridad </w:t>
      </w:r>
      <w:r w:rsidR="00E95A20" w:rsidRPr="0001691E">
        <w:rPr>
          <w:rFonts w:cs="Arial"/>
          <w:bCs/>
          <w:szCs w:val="24"/>
        </w:rPr>
        <w:t>en la</w:t>
      </w:r>
      <w:r w:rsidRPr="0001691E">
        <w:rPr>
          <w:rFonts w:cs="Arial"/>
          <w:bCs/>
          <w:szCs w:val="24"/>
        </w:rPr>
        <w:t xml:space="preserve"> tenencia de las viviendas, principalmente </w:t>
      </w:r>
      <w:r w:rsidR="00E95A20" w:rsidRPr="0001691E">
        <w:rPr>
          <w:rFonts w:cs="Arial"/>
          <w:bCs/>
          <w:szCs w:val="24"/>
        </w:rPr>
        <w:t>en el</w:t>
      </w:r>
      <w:r w:rsidRPr="0001691E">
        <w:rPr>
          <w:rFonts w:cs="Arial"/>
          <w:bCs/>
          <w:szCs w:val="24"/>
        </w:rPr>
        <w:t xml:space="preserve"> caso de las mujeres indígenas</w:t>
      </w:r>
      <w:r>
        <w:rPr>
          <w:rFonts w:cs="Arial"/>
          <w:bCs/>
          <w:szCs w:val="24"/>
        </w:rPr>
        <w:t xml:space="preserve"> y las brechas </w:t>
      </w:r>
      <w:r w:rsidR="00E95A20" w:rsidRPr="0001691E">
        <w:rPr>
          <w:rFonts w:cs="Arial"/>
          <w:bCs/>
          <w:szCs w:val="24"/>
        </w:rPr>
        <w:t>identificadas entre</w:t>
      </w:r>
      <w:r w:rsidRPr="0001691E">
        <w:rPr>
          <w:rFonts w:cs="Arial"/>
          <w:bCs/>
          <w:szCs w:val="24"/>
        </w:rPr>
        <w:t xml:space="preserve"> las viviendas de </w:t>
      </w:r>
      <w:r w:rsidR="00E95A20" w:rsidRPr="0001691E">
        <w:rPr>
          <w:rFonts w:cs="Arial"/>
          <w:bCs/>
          <w:szCs w:val="24"/>
        </w:rPr>
        <w:t>comunidades indígenas</w:t>
      </w:r>
      <w:r w:rsidRPr="0001691E">
        <w:rPr>
          <w:rFonts w:cs="Arial"/>
          <w:bCs/>
          <w:szCs w:val="24"/>
        </w:rPr>
        <w:t>, el ámbito rural y el urbano</w:t>
      </w:r>
      <w:r>
        <w:rPr>
          <w:rFonts w:cs="Arial"/>
          <w:bCs/>
          <w:szCs w:val="24"/>
        </w:rPr>
        <w:t>.</w:t>
      </w:r>
    </w:p>
    <w:p w:rsidR="008E47DC" w:rsidRPr="00ED4D35" w:rsidRDefault="008E47DC" w:rsidP="00A276D1">
      <w:pPr>
        <w:spacing w:after="0" w:line="240" w:lineRule="auto"/>
        <w:jc w:val="both"/>
        <w:rPr>
          <w:rFonts w:cs="Arial"/>
          <w:bCs/>
          <w:sz w:val="12"/>
          <w:szCs w:val="12"/>
        </w:rPr>
      </w:pPr>
    </w:p>
    <w:p w:rsidR="0001691E" w:rsidRDefault="009457F3" w:rsidP="00A276D1">
      <w:pPr>
        <w:spacing w:after="0" w:line="240" w:lineRule="auto"/>
        <w:jc w:val="both"/>
        <w:rPr>
          <w:rFonts w:cs="Arial"/>
          <w:bCs/>
          <w:szCs w:val="24"/>
        </w:rPr>
      </w:pPr>
      <w:r>
        <w:rPr>
          <w:rFonts w:cs="Arial"/>
          <w:bCs/>
          <w:szCs w:val="24"/>
        </w:rPr>
        <w:t>E</w:t>
      </w:r>
      <w:r w:rsidRPr="009457F3">
        <w:rPr>
          <w:rFonts w:cs="Arial"/>
          <w:bCs/>
          <w:szCs w:val="24"/>
        </w:rPr>
        <w:t xml:space="preserve">n las viviendas rurales de </w:t>
      </w:r>
      <w:r w:rsidR="00E95A20" w:rsidRPr="009457F3">
        <w:rPr>
          <w:rFonts w:cs="Arial"/>
          <w:bCs/>
          <w:szCs w:val="24"/>
        </w:rPr>
        <w:t>Chiapas el</w:t>
      </w:r>
      <w:r w:rsidRPr="009457F3">
        <w:rPr>
          <w:rFonts w:cs="Arial"/>
          <w:bCs/>
          <w:szCs w:val="24"/>
        </w:rPr>
        <w:t xml:space="preserve"> rezago asciende a 96.5%, mientras </w:t>
      </w:r>
      <w:r w:rsidR="0031174F" w:rsidRPr="009457F3">
        <w:rPr>
          <w:rFonts w:cs="Arial"/>
          <w:bCs/>
          <w:szCs w:val="24"/>
        </w:rPr>
        <w:t>que,</w:t>
      </w:r>
      <w:r w:rsidRPr="009457F3">
        <w:rPr>
          <w:rFonts w:cs="Arial"/>
          <w:bCs/>
          <w:szCs w:val="24"/>
        </w:rPr>
        <w:t xml:space="preserve"> </w:t>
      </w:r>
      <w:r w:rsidR="00E95A20" w:rsidRPr="009457F3">
        <w:rPr>
          <w:rFonts w:cs="Arial"/>
          <w:bCs/>
          <w:szCs w:val="24"/>
        </w:rPr>
        <w:t>en</w:t>
      </w:r>
      <w:r w:rsidR="00E95A20">
        <w:rPr>
          <w:rFonts w:cs="Arial"/>
          <w:bCs/>
          <w:szCs w:val="24"/>
        </w:rPr>
        <w:t xml:space="preserve"> </w:t>
      </w:r>
      <w:r w:rsidR="00E95A20" w:rsidRPr="009457F3">
        <w:rPr>
          <w:rFonts w:cs="Arial"/>
          <w:bCs/>
          <w:szCs w:val="24"/>
        </w:rPr>
        <w:t>las</w:t>
      </w:r>
      <w:r w:rsidRPr="009457F3">
        <w:rPr>
          <w:rFonts w:cs="Arial"/>
          <w:bCs/>
          <w:szCs w:val="24"/>
        </w:rPr>
        <w:t xml:space="preserve"> viviendas de comunidades indígenas de </w:t>
      </w:r>
      <w:r w:rsidR="00E95A20" w:rsidRPr="009457F3">
        <w:rPr>
          <w:rFonts w:cs="Arial"/>
          <w:bCs/>
          <w:szCs w:val="24"/>
        </w:rPr>
        <w:t>la misma</w:t>
      </w:r>
      <w:r w:rsidRPr="009457F3">
        <w:rPr>
          <w:rFonts w:cs="Arial"/>
          <w:bCs/>
          <w:szCs w:val="24"/>
        </w:rPr>
        <w:t xml:space="preserve"> entidad, a 79%</w:t>
      </w:r>
      <w:r w:rsidR="0031174F">
        <w:rPr>
          <w:rFonts w:cs="Arial"/>
          <w:bCs/>
          <w:szCs w:val="24"/>
        </w:rPr>
        <w:t xml:space="preserve">. </w:t>
      </w:r>
      <w:r w:rsidR="0031174F" w:rsidRPr="0031174F">
        <w:rPr>
          <w:rFonts w:cs="Arial"/>
          <w:bCs/>
          <w:szCs w:val="24"/>
        </w:rPr>
        <w:t>En cuanto a la titularidad</w:t>
      </w:r>
      <w:r w:rsidR="0031174F">
        <w:rPr>
          <w:rFonts w:cs="Arial"/>
          <w:bCs/>
          <w:szCs w:val="24"/>
        </w:rPr>
        <w:t xml:space="preserve"> de la vivienda</w:t>
      </w:r>
      <w:r w:rsidR="0031174F" w:rsidRPr="0031174F">
        <w:rPr>
          <w:rFonts w:cs="Arial"/>
          <w:bCs/>
          <w:szCs w:val="24"/>
        </w:rPr>
        <w:t xml:space="preserve">, se </w:t>
      </w:r>
      <w:r w:rsidR="00E95A20" w:rsidRPr="0031174F">
        <w:rPr>
          <w:rFonts w:cs="Arial"/>
          <w:bCs/>
          <w:szCs w:val="24"/>
        </w:rPr>
        <w:t>identificaron desigualdades</w:t>
      </w:r>
      <w:r w:rsidR="0031174F" w:rsidRPr="0031174F">
        <w:rPr>
          <w:rFonts w:cs="Arial"/>
          <w:bCs/>
          <w:szCs w:val="24"/>
        </w:rPr>
        <w:t xml:space="preserve"> marcadas por la condición </w:t>
      </w:r>
      <w:r w:rsidR="00E95A20" w:rsidRPr="0031174F">
        <w:rPr>
          <w:rFonts w:cs="Arial"/>
          <w:bCs/>
          <w:szCs w:val="24"/>
        </w:rPr>
        <w:t>de</w:t>
      </w:r>
      <w:r w:rsidR="00E95A20">
        <w:rPr>
          <w:rFonts w:cs="Arial"/>
          <w:bCs/>
          <w:szCs w:val="24"/>
        </w:rPr>
        <w:t xml:space="preserve"> </w:t>
      </w:r>
      <w:r w:rsidR="00E95A20" w:rsidRPr="0031174F">
        <w:rPr>
          <w:rFonts w:cs="Arial"/>
          <w:bCs/>
          <w:szCs w:val="24"/>
        </w:rPr>
        <w:t>género</w:t>
      </w:r>
      <w:r w:rsidR="0031174F" w:rsidRPr="0031174F">
        <w:rPr>
          <w:rFonts w:cs="Arial"/>
          <w:bCs/>
          <w:szCs w:val="24"/>
        </w:rPr>
        <w:t xml:space="preserve">, donde la </w:t>
      </w:r>
      <w:r w:rsidR="00E95A20" w:rsidRPr="0031174F">
        <w:rPr>
          <w:rFonts w:cs="Arial"/>
          <w:bCs/>
          <w:szCs w:val="24"/>
        </w:rPr>
        <w:t>titularidad de</w:t>
      </w:r>
      <w:r w:rsidR="0031174F" w:rsidRPr="0031174F">
        <w:rPr>
          <w:rFonts w:cs="Arial"/>
          <w:bCs/>
          <w:szCs w:val="24"/>
        </w:rPr>
        <w:t xml:space="preserve"> las viviendas por parte de mujeres es de30% en el ámbito rural y 30.9%, en las </w:t>
      </w:r>
      <w:r w:rsidR="00E95A20" w:rsidRPr="0031174F">
        <w:rPr>
          <w:rFonts w:cs="Arial"/>
          <w:bCs/>
          <w:szCs w:val="24"/>
        </w:rPr>
        <w:t>comunidades indígenas</w:t>
      </w:r>
      <w:r w:rsidR="0031174F">
        <w:rPr>
          <w:rFonts w:cs="Arial"/>
          <w:bCs/>
          <w:szCs w:val="24"/>
        </w:rPr>
        <w:t>.</w:t>
      </w:r>
    </w:p>
    <w:p w:rsidR="0031174F" w:rsidRPr="00ED4D35" w:rsidRDefault="0031174F" w:rsidP="00A276D1">
      <w:pPr>
        <w:spacing w:after="0" w:line="240" w:lineRule="auto"/>
        <w:jc w:val="both"/>
        <w:rPr>
          <w:rFonts w:cs="Arial"/>
          <w:bCs/>
          <w:sz w:val="12"/>
          <w:szCs w:val="12"/>
        </w:rPr>
      </w:pPr>
    </w:p>
    <w:p w:rsidR="0031174F" w:rsidRDefault="0031174F" w:rsidP="00A276D1">
      <w:pPr>
        <w:spacing w:after="0" w:line="240" w:lineRule="auto"/>
        <w:jc w:val="both"/>
        <w:rPr>
          <w:rFonts w:cs="Arial"/>
          <w:bCs/>
          <w:szCs w:val="24"/>
        </w:rPr>
      </w:pPr>
      <w:r>
        <w:rPr>
          <w:rFonts w:cs="Arial"/>
          <w:bCs/>
          <w:szCs w:val="24"/>
        </w:rPr>
        <w:lastRenderedPageBreak/>
        <w:t xml:space="preserve">Existe también una desigualdad en cuanto a </w:t>
      </w:r>
      <w:r w:rsidRPr="0031174F">
        <w:rPr>
          <w:rFonts w:cs="Arial"/>
          <w:bCs/>
          <w:szCs w:val="24"/>
        </w:rPr>
        <w:t xml:space="preserve">la </w:t>
      </w:r>
      <w:r w:rsidR="00E95A20" w:rsidRPr="0031174F">
        <w:rPr>
          <w:rFonts w:cs="Arial"/>
          <w:bCs/>
          <w:szCs w:val="24"/>
        </w:rPr>
        <w:t>disponibilidad de</w:t>
      </w:r>
      <w:r w:rsidRPr="0031174F">
        <w:rPr>
          <w:rFonts w:cs="Arial"/>
          <w:bCs/>
          <w:szCs w:val="24"/>
        </w:rPr>
        <w:t xml:space="preserve"> equipamiento y de </w:t>
      </w:r>
      <w:r w:rsidR="00E95A20" w:rsidRPr="0031174F">
        <w:rPr>
          <w:rFonts w:cs="Arial"/>
          <w:bCs/>
          <w:szCs w:val="24"/>
        </w:rPr>
        <w:t>infraestructura básica</w:t>
      </w:r>
      <w:r w:rsidRPr="0031174F">
        <w:rPr>
          <w:rFonts w:cs="Arial"/>
          <w:bCs/>
          <w:szCs w:val="24"/>
        </w:rPr>
        <w:t>, complementaria y de servicios</w:t>
      </w:r>
      <w:r>
        <w:rPr>
          <w:rFonts w:cs="Arial"/>
          <w:bCs/>
          <w:szCs w:val="24"/>
        </w:rPr>
        <w:t xml:space="preserve">, </w:t>
      </w:r>
      <w:r w:rsidRPr="0031174F">
        <w:rPr>
          <w:rFonts w:cs="Arial"/>
          <w:bCs/>
          <w:szCs w:val="24"/>
        </w:rPr>
        <w:t xml:space="preserve">si bien a nivel </w:t>
      </w:r>
      <w:r w:rsidR="00E95A20" w:rsidRPr="0031174F">
        <w:rPr>
          <w:rFonts w:cs="Arial"/>
          <w:bCs/>
          <w:szCs w:val="24"/>
        </w:rPr>
        <w:t>nacional solo</w:t>
      </w:r>
      <w:r w:rsidRPr="0031174F">
        <w:rPr>
          <w:rFonts w:cs="Arial"/>
          <w:bCs/>
          <w:szCs w:val="24"/>
        </w:rPr>
        <w:t xml:space="preserve"> 19.3% de la población presenta carencia, el 53.1% de la población que habita en </w:t>
      </w:r>
      <w:r w:rsidR="00E95A20" w:rsidRPr="0031174F">
        <w:rPr>
          <w:rFonts w:cs="Arial"/>
          <w:bCs/>
          <w:szCs w:val="24"/>
        </w:rPr>
        <w:t>localidades rurales</w:t>
      </w:r>
      <w:r w:rsidRPr="0031174F">
        <w:rPr>
          <w:rFonts w:cs="Arial"/>
          <w:bCs/>
          <w:szCs w:val="24"/>
        </w:rPr>
        <w:t xml:space="preserve"> presenta carencia por </w:t>
      </w:r>
      <w:r w:rsidR="00E95A20" w:rsidRPr="0031174F">
        <w:rPr>
          <w:rFonts w:cs="Arial"/>
          <w:bCs/>
          <w:szCs w:val="24"/>
        </w:rPr>
        <w:t>acceso a</w:t>
      </w:r>
      <w:r w:rsidRPr="0031174F">
        <w:rPr>
          <w:rFonts w:cs="Arial"/>
          <w:bCs/>
          <w:szCs w:val="24"/>
        </w:rPr>
        <w:t xml:space="preserve"> servicios básicos en la vivienda</w:t>
      </w:r>
      <w:r>
        <w:rPr>
          <w:rFonts w:cs="Arial"/>
          <w:bCs/>
          <w:szCs w:val="24"/>
        </w:rPr>
        <w:t>.</w:t>
      </w:r>
    </w:p>
    <w:p w:rsidR="0031174F" w:rsidRPr="00ED4D35" w:rsidRDefault="0031174F" w:rsidP="00A276D1">
      <w:pPr>
        <w:spacing w:after="0" w:line="240" w:lineRule="auto"/>
        <w:jc w:val="both"/>
        <w:rPr>
          <w:rFonts w:cs="Arial"/>
          <w:bCs/>
          <w:sz w:val="12"/>
          <w:szCs w:val="12"/>
        </w:rPr>
      </w:pPr>
    </w:p>
    <w:p w:rsidR="0031174F" w:rsidRDefault="0031174F" w:rsidP="00A276D1">
      <w:pPr>
        <w:spacing w:after="0" w:line="240" w:lineRule="auto"/>
        <w:jc w:val="both"/>
        <w:rPr>
          <w:rFonts w:cs="Arial"/>
          <w:bCs/>
          <w:szCs w:val="24"/>
        </w:rPr>
      </w:pPr>
      <w:r>
        <w:rPr>
          <w:rFonts w:cs="Arial"/>
          <w:bCs/>
          <w:szCs w:val="24"/>
        </w:rPr>
        <w:t xml:space="preserve">En lo que respecta a los servicios de </w:t>
      </w:r>
      <w:r w:rsidR="00535FBA">
        <w:rPr>
          <w:rFonts w:cs="Arial"/>
          <w:bCs/>
          <w:szCs w:val="24"/>
        </w:rPr>
        <w:t>I</w:t>
      </w:r>
      <w:r>
        <w:rPr>
          <w:rFonts w:cs="Arial"/>
          <w:bCs/>
          <w:szCs w:val="24"/>
        </w:rPr>
        <w:t xml:space="preserve">nternet </w:t>
      </w:r>
      <w:r w:rsidRPr="0031174F">
        <w:rPr>
          <w:rFonts w:cs="Arial"/>
          <w:bCs/>
          <w:szCs w:val="24"/>
        </w:rPr>
        <w:t xml:space="preserve">en 2017, 49% de </w:t>
      </w:r>
      <w:r w:rsidR="00E95A20" w:rsidRPr="0031174F">
        <w:rPr>
          <w:rFonts w:cs="Arial"/>
          <w:bCs/>
          <w:szCs w:val="24"/>
        </w:rPr>
        <w:t>las viviendas</w:t>
      </w:r>
      <w:r w:rsidRPr="0031174F">
        <w:rPr>
          <w:rFonts w:cs="Arial"/>
          <w:bCs/>
          <w:szCs w:val="24"/>
        </w:rPr>
        <w:t xml:space="preserve"> no disponían de </w:t>
      </w:r>
      <w:r>
        <w:rPr>
          <w:rFonts w:cs="Arial"/>
          <w:bCs/>
          <w:szCs w:val="24"/>
        </w:rPr>
        <w:t>este servicio</w:t>
      </w:r>
      <w:r w:rsidRPr="0031174F">
        <w:rPr>
          <w:rFonts w:cs="Arial"/>
          <w:bCs/>
          <w:szCs w:val="24"/>
        </w:rPr>
        <w:t xml:space="preserve">, </w:t>
      </w:r>
      <w:r>
        <w:rPr>
          <w:rFonts w:cs="Arial"/>
          <w:bCs/>
          <w:szCs w:val="24"/>
        </w:rPr>
        <w:t>mientras</w:t>
      </w:r>
      <w:r w:rsidRPr="0031174F">
        <w:rPr>
          <w:rFonts w:cs="Arial"/>
          <w:bCs/>
          <w:szCs w:val="24"/>
        </w:rPr>
        <w:t xml:space="preserve"> que en el ámbito rural alcanzó 93.5y en </w:t>
      </w:r>
      <w:r w:rsidR="00E95A20" w:rsidRPr="0031174F">
        <w:rPr>
          <w:rFonts w:cs="Arial"/>
          <w:bCs/>
          <w:szCs w:val="24"/>
        </w:rPr>
        <w:t>las comunidades</w:t>
      </w:r>
      <w:r w:rsidRPr="0031174F">
        <w:rPr>
          <w:rFonts w:cs="Arial"/>
          <w:bCs/>
          <w:szCs w:val="24"/>
        </w:rPr>
        <w:t xml:space="preserve"> indígenas 88.7%</w:t>
      </w:r>
      <w:r>
        <w:rPr>
          <w:rFonts w:cs="Arial"/>
          <w:bCs/>
          <w:szCs w:val="24"/>
        </w:rPr>
        <w:t>.</w:t>
      </w:r>
    </w:p>
    <w:p w:rsidR="0031174F" w:rsidRPr="00ED4D35" w:rsidRDefault="0031174F" w:rsidP="00A276D1">
      <w:pPr>
        <w:spacing w:after="0" w:line="240" w:lineRule="auto"/>
        <w:jc w:val="both"/>
        <w:rPr>
          <w:rFonts w:cs="Arial"/>
          <w:bCs/>
          <w:sz w:val="12"/>
          <w:szCs w:val="12"/>
        </w:rPr>
      </w:pPr>
    </w:p>
    <w:p w:rsidR="0031174F" w:rsidRDefault="00ED4D35" w:rsidP="00A276D1">
      <w:pPr>
        <w:spacing w:after="0" w:line="240" w:lineRule="auto"/>
        <w:jc w:val="both"/>
        <w:rPr>
          <w:rFonts w:cs="Arial"/>
          <w:bCs/>
          <w:szCs w:val="24"/>
        </w:rPr>
      </w:pPr>
      <w:r>
        <w:rPr>
          <w:rFonts w:cs="Arial"/>
          <w:bCs/>
          <w:szCs w:val="24"/>
        </w:rPr>
        <w:t xml:space="preserve">En cuanto </w:t>
      </w:r>
      <w:r w:rsidR="0031174F" w:rsidRPr="0031174F">
        <w:rPr>
          <w:rFonts w:cs="Arial"/>
          <w:bCs/>
          <w:szCs w:val="24"/>
        </w:rPr>
        <w:t xml:space="preserve">a la calidad de los </w:t>
      </w:r>
      <w:r w:rsidR="00E95A20" w:rsidRPr="0031174F">
        <w:rPr>
          <w:rFonts w:cs="Arial"/>
          <w:bCs/>
          <w:szCs w:val="24"/>
        </w:rPr>
        <w:t>espacios y</w:t>
      </w:r>
      <w:r w:rsidR="0031174F" w:rsidRPr="0031174F">
        <w:rPr>
          <w:rFonts w:cs="Arial"/>
          <w:bCs/>
          <w:szCs w:val="24"/>
        </w:rPr>
        <w:t xml:space="preserve"> los materiales de la vivienda, se </w:t>
      </w:r>
      <w:r w:rsidR="00E95A20" w:rsidRPr="0031174F">
        <w:rPr>
          <w:rFonts w:cs="Arial"/>
          <w:bCs/>
          <w:szCs w:val="24"/>
        </w:rPr>
        <w:t>encontró que</w:t>
      </w:r>
      <w:r w:rsidR="0031174F" w:rsidRPr="0031174F">
        <w:rPr>
          <w:rFonts w:cs="Arial"/>
          <w:bCs/>
          <w:szCs w:val="24"/>
        </w:rPr>
        <w:t xml:space="preserve"> 3.3% de la población habitaba </w:t>
      </w:r>
      <w:r w:rsidR="00E95A20" w:rsidRPr="0031174F">
        <w:rPr>
          <w:rFonts w:cs="Arial"/>
          <w:bCs/>
          <w:szCs w:val="24"/>
        </w:rPr>
        <w:t>viviendas con</w:t>
      </w:r>
      <w:r w:rsidR="0031174F" w:rsidRPr="0031174F">
        <w:rPr>
          <w:rFonts w:cs="Arial"/>
          <w:bCs/>
          <w:szCs w:val="24"/>
        </w:rPr>
        <w:t xml:space="preserve"> piso de tierra, y el 1.3% </w:t>
      </w:r>
      <w:r w:rsidR="00443F4D" w:rsidRPr="0031174F">
        <w:rPr>
          <w:rFonts w:cs="Arial"/>
          <w:bCs/>
          <w:szCs w:val="24"/>
        </w:rPr>
        <w:t xml:space="preserve">reportó </w:t>
      </w:r>
      <w:r w:rsidR="00E95A20" w:rsidRPr="0031174F">
        <w:rPr>
          <w:rFonts w:cs="Arial"/>
          <w:bCs/>
          <w:szCs w:val="24"/>
        </w:rPr>
        <w:t>que el</w:t>
      </w:r>
      <w:r w:rsidR="00443F4D" w:rsidRPr="0031174F">
        <w:rPr>
          <w:rFonts w:cs="Arial"/>
          <w:bCs/>
          <w:szCs w:val="24"/>
        </w:rPr>
        <w:t xml:space="preserve"> techo </w:t>
      </w:r>
      <w:r w:rsidR="0031174F" w:rsidRPr="0031174F">
        <w:rPr>
          <w:rFonts w:cs="Arial"/>
          <w:bCs/>
          <w:szCs w:val="24"/>
        </w:rPr>
        <w:t xml:space="preserve">y 1.6% y los muros de su </w:t>
      </w:r>
      <w:r w:rsidR="00E95A20" w:rsidRPr="0031174F">
        <w:rPr>
          <w:rFonts w:cs="Arial"/>
          <w:bCs/>
          <w:szCs w:val="24"/>
        </w:rPr>
        <w:t>vivienda fueron</w:t>
      </w:r>
      <w:r w:rsidR="0031174F" w:rsidRPr="0031174F">
        <w:rPr>
          <w:rFonts w:cs="Arial"/>
          <w:bCs/>
          <w:szCs w:val="24"/>
        </w:rPr>
        <w:t xml:space="preserve"> construidos con materiales endebles</w:t>
      </w:r>
      <w:r w:rsidR="00443F4D">
        <w:rPr>
          <w:rFonts w:cs="Arial"/>
          <w:bCs/>
          <w:szCs w:val="24"/>
        </w:rPr>
        <w:t>. En</w:t>
      </w:r>
      <w:r w:rsidR="0031174F" w:rsidRPr="0031174F">
        <w:rPr>
          <w:rFonts w:cs="Arial"/>
          <w:bCs/>
          <w:szCs w:val="24"/>
        </w:rPr>
        <w:t xml:space="preserve"> el ámbito rural y el urbano</w:t>
      </w:r>
      <w:r w:rsidR="00443F4D">
        <w:rPr>
          <w:rFonts w:cs="Arial"/>
          <w:bCs/>
          <w:szCs w:val="24"/>
        </w:rPr>
        <w:t xml:space="preserve"> el </w:t>
      </w:r>
      <w:r w:rsidR="00443F4D" w:rsidRPr="00443F4D">
        <w:rPr>
          <w:rFonts w:cs="Arial"/>
          <w:bCs/>
          <w:szCs w:val="24"/>
        </w:rPr>
        <w:t>12.2</w:t>
      </w:r>
      <w:r w:rsidR="00443F4D">
        <w:rPr>
          <w:rFonts w:cs="Arial"/>
          <w:bCs/>
          <w:szCs w:val="24"/>
        </w:rPr>
        <w:t>%</w:t>
      </w:r>
      <w:r w:rsidR="00443F4D" w:rsidRPr="00443F4D">
        <w:rPr>
          <w:rFonts w:cs="Arial"/>
          <w:bCs/>
          <w:szCs w:val="24"/>
        </w:rPr>
        <w:t xml:space="preserve"> sufre carencia </w:t>
      </w:r>
      <w:r w:rsidR="00E95A20" w:rsidRPr="00443F4D">
        <w:rPr>
          <w:rFonts w:cs="Arial"/>
          <w:bCs/>
          <w:szCs w:val="24"/>
        </w:rPr>
        <w:t>por calidad</w:t>
      </w:r>
      <w:r w:rsidR="00443F4D" w:rsidRPr="00443F4D">
        <w:rPr>
          <w:rFonts w:cs="Arial"/>
          <w:bCs/>
          <w:szCs w:val="24"/>
        </w:rPr>
        <w:t xml:space="preserve"> y espacios de la vivienda</w:t>
      </w:r>
      <w:r w:rsidR="00443F4D">
        <w:rPr>
          <w:rFonts w:cs="Arial"/>
          <w:bCs/>
          <w:szCs w:val="24"/>
        </w:rPr>
        <w:t>.</w:t>
      </w:r>
    </w:p>
    <w:p w:rsidR="00443F4D" w:rsidRPr="00ED4D35" w:rsidRDefault="00443F4D" w:rsidP="00A276D1">
      <w:pPr>
        <w:spacing w:after="0" w:line="240" w:lineRule="auto"/>
        <w:jc w:val="both"/>
        <w:rPr>
          <w:rFonts w:cs="Arial"/>
          <w:bCs/>
          <w:sz w:val="12"/>
          <w:szCs w:val="12"/>
        </w:rPr>
      </w:pPr>
    </w:p>
    <w:p w:rsidR="00443F4D" w:rsidRDefault="00443F4D" w:rsidP="00A276D1">
      <w:pPr>
        <w:spacing w:after="0" w:line="240" w:lineRule="auto"/>
        <w:jc w:val="both"/>
        <w:rPr>
          <w:rFonts w:cs="Arial"/>
          <w:bCs/>
          <w:szCs w:val="24"/>
        </w:rPr>
      </w:pPr>
      <w:r>
        <w:rPr>
          <w:rFonts w:cs="Arial"/>
          <w:bCs/>
          <w:szCs w:val="24"/>
        </w:rPr>
        <w:t xml:space="preserve">El </w:t>
      </w:r>
      <w:r w:rsidRPr="00443F4D">
        <w:rPr>
          <w:rFonts w:cs="Arial"/>
          <w:bCs/>
          <w:szCs w:val="24"/>
        </w:rPr>
        <w:t xml:space="preserve">30.2% de las </w:t>
      </w:r>
      <w:r w:rsidR="00E95A20" w:rsidRPr="00443F4D">
        <w:rPr>
          <w:rFonts w:cs="Arial"/>
          <w:bCs/>
          <w:szCs w:val="24"/>
        </w:rPr>
        <w:t>viviendas donde</w:t>
      </w:r>
      <w:r w:rsidRPr="00443F4D">
        <w:rPr>
          <w:rFonts w:cs="Arial"/>
          <w:bCs/>
          <w:szCs w:val="24"/>
        </w:rPr>
        <w:t xml:space="preserve"> habita al menos un hablante de </w:t>
      </w:r>
      <w:r w:rsidR="00E95A20" w:rsidRPr="00443F4D">
        <w:rPr>
          <w:rFonts w:cs="Arial"/>
          <w:bCs/>
          <w:szCs w:val="24"/>
        </w:rPr>
        <w:t>alguna lengua</w:t>
      </w:r>
      <w:r w:rsidRPr="00443F4D">
        <w:rPr>
          <w:rFonts w:cs="Arial"/>
          <w:bCs/>
          <w:szCs w:val="24"/>
        </w:rPr>
        <w:t xml:space="preserve"> indígena tienen carencia por </w:t>
      </w:r>
      <w:r w:rsidR="00E95A20" w:rsidRPr="00443F4D">
        <w:rPr>
          <w:rFonts w:cs="Arial"/>
          <w:bCs/>
          <w:szCs w:val="24"/>
        </w:rPr>
        <w:t>calidad y</w:t>
      </w:r>
      <w:r w:rsidRPr="00443F4D">
        <w:rPr>
          <w:rFonts w:cs="Arial"/>
          <w:bCs/>
          <w:szCs w:val="24"/>
        </w:rPr>
        <w:t xml:space="preserve"> espacios de la vivienda, tres veces la </w:t>
      </w:r>
      <w:r w:rsidR="00E95A20" w:rsidRPr="00443F4D">
        <w:rPr>
          <w:rFonts w:cs="Arial"/>
          <w:bCs/>
          <w:szCs w:val="24"/>
        </w:rPr>
        <w:t>proporción de</w:t>
      </w:r>
      <w:r w:rsidRPr="00443F4D">
        <w:rPr>
          <w:rFonts w:cs="Arial"/>
          <w:bCs/>
          <w:szCs w:val="24"/>
        </w:rPr>
        <w:t xml:space="preserve"> la población no indígena</w:t>
      </w:r>
      <w:r>
        <w:rPr>
          <w:rFonts w:cs="Arial"/>
          <w:bCs/>
          <w:szCs w:val="24"/>
        </w:rPr>
        <w:t>.</w:t>
      </w:r>
    </w:p>
    <w:p w:rsidR="00443F4D" w:rsidRPr="00ED4D35" w:rsidRDefault="00443F4D" w:rsidP="00A276D1">
      <w:pPr>
        <w:spacing w:after="0" w:line="240" w:lineRule="auto"/>
        <w:jc w:val="both"/>
        <w:rPr>
          <w:rFonts w:cs="Arial"/>
          <w:bCs/>
          <w:sz w:val="12"/>
          <w:szCs w:val="12"/>
        </w:rPr>
      </w:pPr>
    </w:p>
    <w:p w:rsidR="00443F4D" w:rsidRDefault="00443F4D" w:rsidP="00A276D1">
      <w:pPr>
        <w:spacing w:after="0" w:line="240" w:lineRule="auto"/>
        <w:jc w:val="both"/>
        <w:rPr>
          <w:rFonts w:cs="Arial"/>
          <w:bCs/>
          <w:szCs w:val="24"/>
        </w:rPr>
      </w:pPr>
      <w:r w:rsidRPr="00443F4D">
        <w:rPr>
          <w:rFonts w:cs="Arial"/>
          <w:bCs/>
          <w:szCs w:val="24"/>
        </w:rPr>
        <w:t xml:space="preserve">En el caso </w:t>
      </w:r>
      <w:r w:rsidR="00E95A20" w:rsidRPr="00443F4D">
        <w:rPr>
          <w:rFonts w:cs="Arial"/>
          <w:bCs/>
          <w:szCs w:val="24"/>
        </w:rPr>
        <w:t>de la</w:t>
      </w:r>
      <w:r w:rsidRPr="00443F4D">
        <w:rPr>
          <w:rFonts w:cs="Arial"/>
          <w:bCs/>
          <w:szCs w:val="24"/>
        </w:rPr>
        <w:t xml:space="preserve"> carencia por acceso a servicios </w:t>
      </w:r>
      <w:r w:rsidR="00E95A20" w:rsidRPr="00443F4D">
        <w:rPr>
          <w:rFonts w:cs="Arial"/>
          <w:bCs/>
          <w:szCs w:val="24"/>
        </w:rPr>
        <w:t>básicos en</w:t>
      </w:r>
      <w:r w:rsidRPr="00443F4D">
        <w:rPr>
          <w:rFonts w:cs="Arial"/>
          <w:bCs/>
          <w:szCs w:val="24"/>
        </w:rPr>
        <w:t xml:space="preserve"> la vivienda, </w:t>
      </w:r>
      <w:r>
        <w:rPr>
          <w:rFonts w:cs="Arial"/>
          <w:bCs/>
          <w:szCs w:val="24"/>
        </w:rPr>
        <w:t xml:space="preserve">el </w:t>
      </w:r>
      <w:r w:rsidRPr="00443F4D">
        <w:rPr>
          <w:rFonts w:cs="Arial"/>
          <w:bCs/>
          <w:szCs w:val="24"/>
        </w:rPr>
        <w:t xml:space="preserve">56.6% de la </w:t>
      </w:r>
      <w:r w:rsidR="00E95A20" w:rsidRPr="00443F4D">
        <w:rPr>
          <w:rFonts w:cs="Arial"/>
          <w:bCs/>
          <w:szCs w:val="24"/>
        </w:rPr>
        <w:t>población indígena</w:t>
      </w:r>
      <w:r w:rsidRPr="00443F4D">
        <w:rPr>
          <w:rFonts w:cs="Arial"/>
          <w:bCs/>
          <w:szCs w:val="24"/>
        </w:rPr>
        <w:t xml:space="preserve"> presenta esta carencia</w:t>
      </w:r>
      <w:r>
        <w:rPr>
          <w:rFonts w:cs="Arial"/>
          <w:bCs/>
          <w:szCs w:val="24"/>
        </w:rPr>
        <w:t xml:space="preserve">, contra el 15.5% de la población no indígena. </w:t>
      </w:r>
      <w:r w:rsidRPr="00443F4D">
        <w:rPr>
          <w:rFonts w:cs="Arial"/>
          <w:bCs/>
          <w:szCs w:val="24"/>
        </w:rPr>
        <w:t xml:space="preserve">Además, la proporción de viviendas </w:t>
      </w:r>
      <w:r w:rsidR="00E95A20" w:rsidRPr="00443F4D">
        <w:rPr>
          <w:rFonts w:cs="Arial"/>
          <w:bCs/>
          <w:szCs w:val="24"/>
        </w:rPr>
        <w:t>habitadas por</w:t>
      </w:r>
      <w:r w:rsidRPr="00443F4D">
        <w:rPr>
          <w:rFonts w:cs="Arial"/>
          <w:bCs/>
          <w:szCs w:val="24"/>
        </w:rPr>
        <w:t xml:space="preserve"> población indígena que utilizan leña </w:t>
      </w:r>
      <w:r w:rsidR="00E95A20" w:rsidRPr="00443F4D">
        <w:rPr>
          <w:rFonts w:cs="Arial"/>
          <w:bCs/>
          <w:szCs w:val="24"/>
        </w:rPr>
        <w:t>o carbón</w:t>
      </w:r>
      <w:r w:rsidRPr="00443F4D">
        <w:rPr>
          <w:rFonts w:cs="Arial"/>
          <w:bCs/>
          <w:szCs w:val="24"/>
        </w:rPr>
        <w:t xml:space="preserve"> para cocinar es cuatro veces </w:t>
      </w:r>
      <w:r w:rsidR="00E95A20" w:rsidRPr="00443F4D">
        <w:rPr>
          <w:rFonts w:cs="Arial"/>
          <w:bCs/>
          <w:szCs w:val="24"/>
        </w:rPr>
        <w:t>mayor que</w:t>
      </w:r>
      <w:r w:rsidRPr="00443F4D">
        <w:rPr>
          <w:rFonts w:cs="Arial"/>
          <w:bCs/>
          <w:szCs w:val="24"/>
        </w:rPr>
        <w:t xml:space="preserve"> la nacional</w:t>
      </w:r>
      <w:r>
        <w:rPr>
          <w:rFonts w:cs="Arial"/>
          <w:bCs/>
          <w:szCs w:val="24"/>
        </w:rPr>
        <w:t>.</w:t>
      </w:r>
      <w:r>
        <w:rPr>
          <w:rStyle w:val="FootnoteReference"/>
          <w:rFonts w:cs="Arial"/>
          <w:bCs/>
          <w:szCs w:val="24"/>
        </w:rPr>
        <w:footnoteReference w:id="26"/>
      </w:r>
    </w:p>
    <w:p w:rsidR="00E45E21" w:rsidRPr="00ED4D35" w:rsidRDefault="00E45E21" w:rsidP="00A276D1">
      <w:pPr>
        <w:spacing w:after="0" w:line="240" w:lineRule="auto"/>
        <w:jc w:val="both"/>
        <w:rPr>
          <w:rFonts w:cs="Arial"/>
          <w:bCs/>
          <w:sz w:val="12"/>
          <w:szCs w:val="12"/>
          <w:highlight w:val="yellow"/>
        </w:rPr>
      </w:pPr>
    </w:p>
    <w:p w:rsidR="00911E3F" w:rsidRDefault="00911E3F" w:rsidP="00A276D1">
      <w:pPr>
        <w:spacing w:after="0" w:line="240" w:lineRule="auto"/>
        <w:jc w:val="both"/>
        <w:rPr>
          <w:rFonts w:cs="Arial"/>
          <w:b/>
          <w:szCs w:val="24"/>
          <w:lang w:val="es-ES"/>
        </w:rPr>
      </w:pPr>
      <w:r>
        <w:rPr>
          <w:rFonts w:cs="Arial"/>
          <w:b/>
          <w:szCs w:val="24"/>
          <w:lang w:val="es-ES"/>
        </w:rPr>
        <w:t>18. En su opinión, ¿Estas formas de separación/agrupación voluntaria observadas son compatibles con la legislación sobre los derechos humanos? (por ejemplo, para proteger los derechos de las minorías o para respetar la libertad de elección de los individuos para decidir con quién vivir juntos)</w:t>
      </w:r>
    </w:p>
    <w:p w:rsidR="00911E3F" w:rsidRPr="00ED4D35" w:rsidRDefault="00911E3F" w:rsidP="00A276D1">
      <w:pPr>
        <w:spacing w:after="0" w:line="240" w:lineRule="auto"/>
        <w:jc w:val="both"/>
        <w:rPr>
          <w:rFonts w:cs="Arial"/>
          <w:b/>
          <w:sz w:val="12"/>
          <w:szCs w:val="12"/>
          <w:lang w:val="es-ES"/>
        </w:rPr>
      </w:pPr>
    </w:p>
    <w:p w:rsidR="0044521F" w:rsidRDefault="0044521F" w:rsidP="00A276D1">
      <w:pPr>
        <w:spacing w:after="0" w:line="240" w:lineRule="auto"/>
        <w:jc w:val="both"/>
      </w:pPr>
      <w:r>
        <w:rPr>
          <w:rFonts w:cs="Arial"/>
          <w:szCs w:val="24"/>
          <w:lang w:val="es-ES"/>
        </w:rPr>
        <w:t>El artículo 2° constitucional reconoce que nuestra</w:t>
      </w:r>
      <w:r>
        <w:t xml:space="preserve"> Nación tiene una composición pluricultural sustentada originalmente en sus pueblos indígenas que son aquellos que descienden de poblaciones que habitaban en el territorio actual del país al iniciarse la colonización y que conservan sus propias instituciones sociales, económicas, culturales y políticas, o parte de ellas. </w:t>
      </w:r>
    </w:p>
    <w:p w:rsidR="0044521F" w:rsidRPr="00ED4D35" w:rsidRDefault="0044521F" w:rsidP="00A276D1">
      <w:pPr>
        <w:spacing w:after="0" w:line="240" w:lineRule="auto"/>
        <w:jc w:val="both"/>
        <w:rPr>
          <w:sz w:val="12"/>
          <w:szCs w:val="12"/>
        </w:rPr>
      </w:pPr>
    </w:p>
    <w:p w:rsidR="0044521F" w:rsidRDefault="0044521F" w:rsidP="00A276D1">
      <w:pPr>
        <w:spacing w:after="0" w:line="240" w:lineRule="auto"/>
        <w:jc w:val="both"/>
      </w:pPr>
      <w:r>
        <w:t>La conciencia de su identidad indígena deberá ser criterio fundamental para determinar a quiénes se aplican las disposiciones sobre pueblos indígenas. Son comunidades integrantes de un pueblo indígena, aquellas que formen una unidad social, económica y cultural, asentadas en un territorio y que reconocen autoridades propias de acuerdo con sus usos y costumbre</w:t>
      </w:r>
      <w:r w:rsidR="00ED4D35">
        <w:t>s.</w:t>
      </w:r>
    </w:p>
    <w:p w:rsidR="00ED4D35" w:rsidRPr="00ED4D35" w:rsidRDefault="00ED4D35" w:rsidP="00A276D1">
      <w:pPr>
        <w:spacing w:after="0" w:line="240" w:lineRule="auto"/>
        <w:jc w:val="both"/>
        <w:rPr>
          <w:rFonts w:cs="Arial"/>
          <w:sz w:val="12"/>
          <w:szCs w:val="12"/>
          <w:lang w:val="es-ES"/>
        </w:rPr>
      </w:pPr>
    </w:p>
    <w:p w:rsidR="00ED4D35" w:rsidRPr="0044521F" w:rsidRDefault="00ED4D35" w:rsidP="00A276D1">
      <w:pPr>
        <w:spacing w:after="0" w:line="240" w:lineRule="auto"/>
        <w:jc w:val="both"/>
        <w:rPr>
          <w:rFonts w:cs="Arial"/>
          <w:szCs w:val="24"/>
          <w:lang w:val="es-ES"/>
        </w:rPr>
      </w:pPr>
      <w:r>
        <w:rPr>
          <w:rFonts w:cs="Arial"/>
          <w:szCs w:val="24"/>
          <w:lang w:val="es-ES"/>
        </w:rPr>
        <w:t>En ese sentido, se estima que es coincidente con algunos instrumentos internacionales.</w:t>
      </w:r>
    </w:p>
    <w:p w:rsidR="0044521F" w:rsidRPr="00ED4D35" w:rsidRDefault="0044521F" w:rsidP="00A276D1">
      <w:pPr>
        <w:spacing w:after="0" w:line="240" w:lineRule="auto"/>
        <w:jc w:val="both"/>
        <w:rPr>
          <w:rFonts w:cs="Arial"/>
          <w:b/>
          <w:sz w:val="12"/>
          <w:szCs w:val="12"/>
          <w:lang w:val="es-ES"/>
        </w:rPr>
      </w:pPr>
    </w:p>
    <w:p w:rsidR="00911E3F" w:rsidRDefault="00911E3F" w:rsidP="00A276D1">
      <w:pPr>
        <w:spacing w:after="0" w:line="240" w:lineRule="auto"/>
        <w:jc w:val="both"/>
        <w:rPr>
          <w:rFonts w:cs="Arial"/>
          <w:b/>
          <w:szCs w:val="24"/>
          <w:lang w:val="es-ES"/>
        </w:rPr>
      </w:pPr>
      <w:r>
        <w:rPr>
          <w:rFonts w:cs="Arial"/>
          <w:b/>
          <w:szCs w:val="24"/>
          <w:lang w:val="es-ES"/>
        </w:rPr>
        <w:t xml:space="preserve">19. ¿Existen leyes o políticas que requieren que determinadas personas (y sus familias) residen en una vivienda que se les haya proporcionado o en una zona geográfica determinada (por ejemplo, solicitantes de asilo, migrantes, </w:t>
      </w:r>
      <w:r>
        <w:rPr>
          <w:rFonts w:cs="Arial"/>
          <w:b/>
          <w:szCs w:val="24"/>
          <w:lang w:val="es-ES"/>
        </w:rPr>
        <w:lastRenderedPageBreak/>
        <w:t>desplazados internos, refugiados, minorías étnicas, religiosas, lingüísticas o de otro tipo, pueblos indígenas, personas con discapacidad, personal de los servicios públicos y militares?</w:t>
      </w:r>
    </w:p>
    <w:p w:rsidR="00911E3F" w:rsidRPr="00ED4D35" w:rsidRDefault="00911E3F" w:rsidP="00A276D1">
      <w:pPr>
        <w:spacing w:after="0" w:line="240" w:lineRule="auto"/>
        <w:jc w:val="both"/>
        <w:rPr>
          <w:rFonts w:cs="Arial"/>
          <w:b/>
          <w:sz w:val="12"/>
          <w:szCs w:val="12"/>
          <w:lang w:val="es-ES"/>
        </w:rPr>
      </w:pPr>
    </w:p>
    <w:p w:rsidR="00911E3F" w:rsidRPr="001F03BC" w:rsidRDefault="00911E3F" w:rsidP="00A276D1">
      <w:pPr>
        <w:spacing w:after="0" w:line="240" w:lineRule="auto"/>
        <w:jc w:val="both"/>
        <w:rPr>
          <w:rFonts w:cs="Arial"/>
          <w:szCs w:val="24"/>
          <w:lang w:val="es-ES"/>
        </w:rPr>
      </w:pPr>
      <w:r w:rsidRPr="001F03BC">
        <w:rPr>
          <w:rFonts w:cs="Arial"/>
          <w:szCs w:val="24"/>
          <w:lang w:val="es-ES"/>
        </w:rPr>
        <w:t xml:space="preserve">La Ley del Instituto de Seguridad Social para las Fuerzas Armadas Mexicanas (ISSSFAM) prevé en su artículo 100 que a fin de atender las necesidades de habitación familiar de militares dicho Instituto debe </w:t>
      </w:r>
      <w:r w:rsidRPr="001F03BC">
        <w:rPr>
          <w:rFonts w:cs="Arial"/>
          <w:i/>
          <w:szCs w:val="24"/>
          <w:lang w:val="es-ES"/>
        </w:rPr>
        <w:t>c</w:t>
      </w:r>
      <w:r w:rsidR="00E95A20" w:rsidRPr="001F03BC">
        <w:rPr>
          <w:rFonts w:cs="Arial"/>
          <w:i/>
          <w:szCs w:val="24"/>
        </w:rPr>
        <w:t>construir</w:t>
      </w:r>
      <w:r w:rsidRPr="001F03BC">
        <w:rPr>
          <w:rFonts w:cs="Arial"/>
          <w:i/>
          <w:szCs w:val="24"/>
        </w:rPr>
        <w:t xml:space="preserve"> unidades habitacionales en plazas importantes del país, para su ocupación temporal mediante cuotas de recuperación,</w:t>
      </w:r>
      <w:r w:rsidRPr="001F03BC">
        <w:rPr>
          <w:rFonts w:cs="Arial"/>
          <w:szCs w:val="24"/>
        </w:rPr>
        <w:t xml:space="preserve"> así como </w:t>
      </w:r>
      <w:r w:rsidRPr="001F03BC">
        <w:rPr>
          <w:rFonts w:cs="Arial"/>
          <w:i/>
          <w:szCs w:val="24"/>
        </w:rPr>
        <w:t xml:space="preserve">construir unidades habitacionales en lugares próximos a los campos militares, bases navales o aéreas y cuarteles de las Fuerzas Armadas, para ser ocupadas temporalmente mediante cuotas de recuperación, por personal de generales, jefes, oficiales y tropa y sus equivalentes en la Armada de México en servicio </w:t>
      </w:r>
      <w:r w:rsidR="00E95A20" w:rsidRPr="001F03BC">
        <w:rPr>
          <w:rFonts w:cs="Arial"/>
          <w:i/>
          <w:szCs w:val="24"/>
        </w:rPr>
        <w:t>activo.</w:t>
      </w:r>
      <w:r w:rsidR="00E95A20">
        <w:rPr>
          <w:rFonts w:cs="Arial"/>
          <w:szCs w:val="24"/>
        </w:rPr>
        <w:t xml:space="preserve"> Si</w:t>
      </w:r>
      <w:r>
        <w:rPr>
          <w:rFonts w:cs="Arial"/>
          <w:szCs w:val="24"/>
        </w:rPr>
        <w:t xml:space="preserve"> bien no se advierte una disposición expresa de ocupar dichas viviendas si prevé el deber de generarlas.</w:t>
      </w:r>
    </w:p>
    <w:p w:rsidR="00911E3F" w:rsidRPr="00ED4D35" w:rsidRDefault="00911E3F" w:rsidP="00A276D1">
      <w:pPr>
        <w:spacing w:after="0" w:line="240" w:lineRule="auto"/>
        <w:jc w:val="both"/>
        <w:rPr>
          <w:rFonts w:cs="Arial"/>
          <w:b/>
          <w:sz w:val="12"/>
          <w:szCs w:val="12"/>
          <w:lang w:val="es-ES"/>
        </w:rPr>
      </w:pPr>
    </w:p>
    <w:p w:rsidR="00911E3F" w:rsidRDefault="00911E3F" w:rsidP="00A276D1">
      <w:pPr>
        <w:spacing w:after="0" w:line="240" w:lineRule="auto"/>
        <w:jc w:val="both"/>
        <w:rPr>
          <w:rFonts w:cs="Arial"/>
          <w:b/>
          <w:szCs w:val="24"/>
          <w:lang w:val="es-ES"/>
        </w:rPr>
      </w:pPr>
      <w:r>
        <w:rPr>
          <w:rFonts w:cs="Arial"/>
          <w:b/>
          <w:szCs w:val="24"/>
          <w:lang w:val="es-ES"/>
        </w:rPr>
        <w:t>20. En su opinión, ¿cuáles son los principales obstáculos para disminuir la segregación socio-especial, incluida la residencial?</w:t>
      </w:r>
    </w:p>
    <w:p w:rsidR="00911E3F" w:rsidRPr="00ED4D35" w:rsidRDefault="00911E3F" w:rsidP="00A276D1">
      <w:pPr>
        <w:spacing w:after="0" w:line="240" w:lineRule="auto"/>
        <w:jc w:val="both"/>
        <w:rPr>
          <w:rFonts w:cs="Arial"/>
          <w:b/>
          <w:sz w:val="12"/>
          <w:szCs w:val="12"/>
          <w:lang w:val="es-ES"/>
        </w:rPr>
      </w:pPr>
    </w:p>
    <w:p w:rsidR="00911E3F" w:rsidRPr="00057183" w:rsidRDefault="00911E3F" w:rsidP="00A276D1">
      <w:pPr>
        <w:autoSpaceDE w:val="0"/>
        <w:autoSpaceDN w:val="0"/>
        <w:adjustRightInd w:val="0"/>
        <w:spacing w:after="0" w:line="240" w:lineRule="auto"/>
        <w:jc w:val="both"/>
        <w:rPr>
          <w:rFonts w:cs="Arial"/>
          <w:szCs w:val="24"/>
        </w:rPr>
      </w:pPr>
      <w:r w:rsidRPr="00057183">
        <w:rPr>
          <w:rFonts w:cs="Arial"/>
          <w:szCs w:val="24"/>
        </w:rPr>
        <w:t xml:space="preserve">A partir de lo expuesto en el documento intitulado </w:t>
      </w:r>
      <w:r w:rsidRPr="00057183">
        <w:rPr>
          <w:rFonts w:cs="Arial"/>
          <w:i/>
          <w:szCs w:val="24"/>
        </w:rPr>
        <w:t>Vivienda y ODS en México</w:t>
      </w:r>
      <w:r w:rsidRPr="00057183">
        <w:rPr>
          <w:rStyle w:val="FootnoteReference"/>
          <w:rFonts w:cs="Arial"/>
          <w:i/>
          <w:szCs w:val="24"/>
        </w:rPr>
        <w:footnoteReference w:id="27"/>
      </w:r>
      <w:r w:rsidRPr="00057183">
        <w:rPr>
          <w:rFonts w:cs="Arial"/>
          <w:i/>
          <w:szCs w:val="24"/>
        </w:rPr>
        <w:t xml:space="preserve"> pueden advertirse como principales obstáculos:</w:t>
      </w:r>
    </w:p>
    <w:p w:rsidR="00911E3F" w:rsidRPr="00ED4D35" w:rsidRDefault="00911E3F" w:rsidP="00A276D1">
      <w:pPr>
        <w:autoSpaceDE w:val="0"/>
        <w:autoSpaceDN w:val="0"/>
        <w:adjustRightInd w:val="0"/>
        <w:spacing w:after="0" w:line="240" w:lineRule="auto"/>
        <w:rPr>
          <w:rFonts w:ascii="FiraSans-Light" w:hAnsi="FiraSans-Light" w:cs="FiraSans-Light"/>
          <w:sz w:val="12"/>
          <w:szCs w:val="12"/>
        </w:rPr>
      </w:pPr>
    </w:p>
    <w:p w:rsidR="00911E3F" w:rsidRDefault="00911E3F" w:rsidP="00A276D1">
      <w:pPr>
        <w:autoSpaceDE w:val="0"/>
        <w:autoSpaceDN w:val="0"/>
        <w:adjustRightInd w:val="0"/>
        <w:spacing w:after="0" w:line="240" w:lineRule="auto"/>
        <w:jc w:val="both"/>
        <w:rPr>
          <w:rFonts w:cs="Arial"/>
          <w:szCs w:val="24"/>
        </w:rPr>
      </w:pPr>
      <w:r w:rsidRPr="00057183">
        <w:rPr>
          <w:rFonts w:cs="Arial"/>
          <w:szCs w:val="24"/>
        </w:rPr>
        <w:t>Un modelo de construcción habitacional formal basado en el financiamiento y subsidio para la adquisición de viviendas terminadas localizadas en zonas periféricas, desconectadas y de escasa consolidación. Este modelo favorece el proceso de acelerada expansión urbana en baja densidad</w:t>
      </w:r>
      <w:r>
        <w:rPr>
          <w:rFonts w:cs="Arial"/>
          <w:szCs w:val="24"/>
        </w:rPr>
        <w:t>.</w:t>
      </w:r>
    </w:p>
    <w:p w:rsidR="00911E3F" w:rsidRPr="00ED4D35" w:rsidRDefault="00911E3F" w:rsidP="00A276D1">
      <w:pPr>
        <w:autoSpaceDE w:val="0"/>
        <w:autoSpaceDN w:val="0"/>
        <w:adjustRightInd w:val="0"/>
        <w:spacing w:after="0" w:line="240" w:lineRule="auto"/>
        <w:jc w:val="both"/>
        <w:rPr>
          <w:rFonts w:cs="Arial"/>
          <w:sz w:val="12"/>
          <w:szCs w:val="12"/>
        </w:rPr>
      </w:pPr>
    </w:p>
    <w:p w:rsidR="00911E3F" w:rsidRPr="003D5590" w:rsidRDefault="00911E3F" w:rsidP="00A276D1">
      <w:pPr>
        <w:autoSpaceDE w:val="0"/>
        <w:autoSpaceDN w:val="0"/>
        <w:adjustRightInd w:val="0"/>
        <w:spacing w:after="0" w:line="240" w:lineRule="auto"/>
        <w:jc w:val="both"/>
        <w:rPr>
          <w:rFonts w:cs="Arial"/>
          <w:szCs w:val="24"/>
        </w:rPr>
      </w:pPr>
      <w:r w:rsidRPr="003D5590">
        <w:rPr>
          <w:rFonts w:cs="Arial"/>
          <w:szCs w:val="24"/>
        </w:rPr>
        <w:t>La baja inversión para mejorar el ordenamiento territorial y el desarrollo urbano compacto. El Coneval (2016) recomendó incorporar no sólo el problema de la vivienda, sino otras dimensiones conflictivas como la expansión urbana descontrolada, segregación, problemas de contaminación, inseguridad, por citar algunas.</w:t>
      </w:r>
    </w:p>
    <w:p w:rsidR="00911E3F" w:rsidRPr="00ED4D35" w:rsidRDefault="00911E3F" w:rsidP="00A276D1">
      <w:pPr>
        <w:autoSpaceDE w:val="0"/>
        <w:autoSpaceDN w:val="0"/>
        <w:adjustRightInd w:val="0"/>
        <w:spacing w:after="0" w:line="240" w:lineRule="auto"/>
        <w:rPr>
          <w:rFonts w:cs="Arial"/>
          <w:sz w:val="12"/>
          <w:szCs w:val="12"/>
        </w:rPr>
      </w:pPr>
    </w:p>
    <w:p w:rsidR="00911E3F" w:rsidRPr="004A20D5" w:rsidRDefault="00535FBA" w:rsidP="00A276D1">
      <w:pPr>
        <w:spacing w:after="0" w:line="240" w:lineRule="auto"/>
        <w:jc w:val="both"/>
        <w:rPr>
          <w:rFonts w:cs="Arial"/>
          <w:bCs/>
          <w:szCs w:val="24"/>
        </w:rPr>
      </w:pPr>
      <w:r>
        <w:rPr>
          <w:rFonts w:cs="Arial"/>
          <w:bCs/>
          <w:szCs w:val="24"/>
        </w:rPr>
        <w:t>Adicionalmente, la fa</w:t>
      </w:r>
      <w:r w:rsidR="004A20D5">
        <w:rPr>
          <w:rFonts w:cs="Arial"/>
          <w:bCs/>
          <w:szCs w:val="24"/>
        </w:rPr>
        <w:t>l</w:t>
      </w:r>
      <w:r>
        <w:rPr>
          <w:rFonts w:cs="Arial"/>
          <w:bCs/>
          <w:szCs w:val="24"/>
        </w:rPr>
        <w:t xml:space="preserve">ta de </w:t>
      </w:r>
      <w:r w:rsidR="00911E3F" w:rsidRPr="004A20D5">
        <w:rPr>
          <w:rFonts w:cs="Arial"/>
          <w:bCs/>
          <w:szCs w:val="24"/>
        </w:rPr>
        <w:t>adopción de políticas urbanas por parte de los gobiernos, que busquen eliminar la desigualdad, así como el control de los desarrollos habitacionales realizados por grupos inmobiliarios y que estos desarrollos garanticen el ejercicio del derecho a la vivienda adecuada a todas las personas, especialmente a los grupos en mayor condición de discriminación y vulnerabilidad</w:t>
      </w:r>
      <w:r>
        <w:rPr>
          <w:rFonts w:cs="Arial"/>
          <w:bCs/>
          <w:szCs w:val="24"/>
        </w:rPr>
        <w:t>, es todavía un reto</w:t>
      </w:r>
      <w:r w:rsidR="00911E3F" w:rsidRPr="004A20D5">
        <w:rPr>
          <w:rFonts w:cs="Arial"/>
          <w:bCs/>
          <w:szCs w:val="24"/>
        </w:rPr>
        <w:t>.</w:t>
      </w:r>
    </w:p>
    <w:p w:rsidR="00911E3F" w:rsidRPr="00ED4D35" w:rsidRDefault="00911E3F" w:rsidP="00A276D1">
      <w:pPr>
        <w:autoSpaceDE w:val="0"/>
        <w:autoSpaceDN w:val="0"/>
        <w:adjustRightInd w:val="0"/>
        <w:spacing w:after="0" w:line="240" w:lineRule="auto"/>
        <w:rPr>
          <w:rFonts w:cs="Arial"/>
          <w:sz w:val="12"/>
          <w:szCs w:val="12"/>
        </w:rPr>
      </w:pPr>
    </w:p>
    <w:p w:rsidR="00911E3F" w:rsidRPr="00911E3F" w:rsidRDefault="00911E3F" w:rsidP="00A276D1">
      <w:pPr>
        <w:spacing w:after="0" w:line="240" w:lineRule="auto"/>
        <w:jc w:val="both"/>
        <w:rPr>
          <w:rFonts w:ascii="Arial Negrita" w:hAnsi="Arial Negrita" w:cs="Arial"/>
          <w:b/>
          <w:smallCaps/>
          <w:szCs w:val="24"/>
          <w:u w:val="single"/>
          <w:lang w:val="es-ES"/>
        </w:rPr>
      </w:pPr>
      <w:r w:rsidRPr="00911E3F">
        <w:rPr>
          <w:rFonts w:ascii="Arial Negrita" w:hAnsi="Arial Negrita" w:cs="Arial"/>
          <w:b/>
          <w:smallCaps/>
          <w:szCs w:val="24"/>
          <w:u w:val="single"/>
          <w:lang w:val="es-ES"/>
        </w:rPr>
        <w:t xml:space="preserve">Medidas </w:t>
      </w:r>
      <w:r>
        <w:rPr>
          <w:rFonts w:ascii="Arial Negrita" w:hAnsi="Arial Negrita" w:cs="Arial"/>
          <w:b/>
          <w:smallCaps/>
          <w:szCs w:val="24"/>
          <w:u w:val="single"/>
          <w:lang w:val="es-ES"/>
        </w:rPr>
        <w:t>y</w:t>
      </w:r>
      <w:r w:rsidRPr="00911E3F">
        <w:rPr>
          <w:rFonts w:ascii="Arial Negrita" w:hAnsi="Arial Negrita" w:cs="Arial"/>
          <w:b/>
          <w:smallCaps/>
          <w:szCs w:val="24"/>
          <w:u w:val="single"/>
          <w:lang w:val="es-ES"/>
        </w:rPr>
        <w:t xml:space="preserve"> buenas pr</w:t>
      </w:r>
      <w:r w:rsidRPr="00911E3F">
        <w:rPr>
          <w:rFonts w:ascii="Arial Negrita" w:hAnsi="Arial Negrita" w:cs="Arial" w:hint="eastAsia"/>
          <w:b/>
          <w:smallCaps/>
          <w:szCs w:val="24"/>
          <w:u w:val="single"/>
          <w:lang w:val="es-ES"/>
        </w:rPr>
        <w:t>á</w:t>
      </w:r>
      <w:r w:rsidRPr="00911E3F">
        <w:rPr>
          <w:rFonts w:ascii="Arial Negrita" w:hAnsi="Arial Negrita" w:cs="Arial"/>
          <w:b/>
          <w:smallCaps/>
          <w:szCs w:val="24"/>
          <w:u w:val="single"/>
          <w:lang w:val="es-ES"/>
        </w:rPr>
        <w:t xml:space="preserve">cticas </w:t>
      </w:r>
      <w:r>
        <w:rPr>
          <w:rFonts w:ascii="Arial Negrita" w:hAnsi="Arial Negrita" w:cs="Arial"/>
          <w:b/>
          <w:smallCaps/>
          <w:szCs w:val="24"/>
          <w:u w:val="single"/>
          <w:lang w:val="es-ES"/>
        </w:rPr>
        <w:t>p</w:t>
      </w:r>
      <w:r w:rsidRPr="00911E3F">
        <w:rPr>
          <w:rFonts w:ascii="Arial Negrita" w:hAnsi="Arial Negrita" w:cs="Arial"/>
          <w:b/>
          <w:smallCaps/>
          <w:szCs w:val="24"/>
          <w:u w:val="single"/>
          <w:lang w:val="es-ES"/>
        </w:rPr>
        <w:t xml:space="preserve">ara </w:t>
      </w:r>
      <w:r>
        <w:rPr>
          <w:rFonts w:ascii="Arial Negrita" w:hAnsi="Arial Negrita" w:cs="Arial"/>
          <w:b/>
          <w:smallCaps/>
          <w:szCs w:val="24"/>
          <w:u w:val="single"/>
          <w:lang w:val="es-ES"/>
        </w:rPr>
        <w:t>f</w:t>
      </w:r>
      <w:r w:rsidRPr="00911E3F">
        <w:rPr>
          <w:rFonts w:ascii="Arial Negrita" w:hAnsi="Arial Negrita" w:cs="Arial"/>
          <w:b/>
          <w:smallCaps/>
          <w:szCs w:val="24"/>
          <w:u w:val="single"/>
          <w:lang w:val="es-ES"/>
        </w:rPr>
        <w:t xml:space="preserve">renar </w:t>
      </w:r>
      <w:r>
        <w:rPr>
          <w:rFonts w:ascii="Arial Negrita" w:hAnsi="Arial Negrita" w:cs="Arial"/>
          <w:b/>
          <w:smallCaps/>
          <w:szCs w:val="24"/>
          <w:u w:val="single"/>
          <w:lang w:val="es-ES"/>
        </w:rPr>
        <w:t>l</w:t>
      </w:r>
      <w:r w:rsidRPr="00911E3F">
        <w:rPr>
          <w:rFonts w:ascii="Arial Negrita" w:hAnsi="Arial Negrita" w:cs="Arial"/>
          <w:b/>
          <w:smallCaps/>
          <w:szCs w:val="24"/>
          <w:u w:val="single"/>
          <w:lang w:val="es-ES"/>
        </w:rPr>
        <w:t>a discriminaci</w:t>
      </w:r>
      <w:r w:rsidRPr="00911E3F">
        <w:rPr>
          <w:rFonts w:ascii="Arial Negrita" w:hAnsi="Arial Negrita" w:cs="Arial" w:hint="eastAsia"/>
          <w:b/>
          <w:smallCaps/>
          <w:szCs w:val="24"/>
          <w:u w:val="single"/>
          <w:lang w:val="es-ES"/>
        </w:rPr>
        <w:t>ó</w:t>
      </w:r>
      <w:r w:rsidRPr="00911E3F">
        <w:rPr>
          <w:rFonts w:ascii="Arial Negrita" w:hAnsi="Arial Negrita" w:cs="Arial"/>
          <w:b/>
          <w:smallCaps/>
          <w:szCs w:val="24"/>
          <w:u w:val="single"/>
          <w:lang w:val="es-ES"/>
        </w:rPr>
        <w:t>n y reducir la segregaci</w:t>
      </w:r>
      <w:r w:rsidRPr="00911E3F">
        <w:rPr>
          <w:rFonts w:ascii="Arial Negrita" w:hAnsi="Arial Negrita" w:cs="Arial" w:hint="eastAsia"/>
          <w:b/>
          <w:smallCaps/>
          <w:szCs w:val="24"/>
          <w:u w:val="single"/>
          <w:lang w:val="es-ES"/>
        </w:rPr>
        <w:t>ó</w:t>
      </w:r>
      <w:r w:rsidRPr="00911E3F">
        <w:rPr>
          <w:rFonts w:ascii="Arial Negrita" w:hAnsi="Arial Negrita" w:cs="Arial"/>
          <w:b/>
          <w:smallCaps/>
          <w:szCs w:val="24"/>
          <w:u w:val="single"/>
          <w:lang w:val="es-ES"/>
        </w:rPr>
        <w:t>n</w:t>
      </w:r>
    </w:p>
    <w:p w:rsidR="00911E3F" w:rsidRPr="00ED4D35" w:rsidRDefault="00911E3F" w:rsidP="00A276D1">
      <w:pPr>
        <w:spacing w:after="0" w:line="240" w:lineRule="auto"/>
        <w:jc w:val="both"/>
        <w:rPr>
          <w:rFonts w:ascii="Arial Negrita" w:hAnsi="Arial Negrita" w:cs="Arial"/>
          <w:i/>
          <w:smallCaps/>
          <w:sz w:val="12"/>
          <w:szCs w:val="12"/>
          <w:lang w:val="es-ES"/>
        </w:rPr>
      </w:pPr>
    </w:p>
    <w:p w:rsidR="00911E3F" w:rsidRPr="00B45079" w:rsidRDefault="00911E3F" w:rsidP="00A276D1">
      <w:pPr>
        <w:spacing w:after="0" w:line="240" w:lineRule="auto"/>
        <w:jc w:val="both"/>
        <w:rPr>
          <w:rFonts w:cs="Arial"/>
          <w:b/>
          <w:szCs w:val="24"/>
          <w:lang w:val="es-ES"/>
        </w:rPr>
      </w:pPr>
      <w:r w:rsidRPr="00B45079">
        <w:rPr>
          <w:rFonts w:cs="Arial"/>
          <w:b/>
          <w:szCs w:val="24"/>
          <w:lang w:val="es-ES"/>
        </w:rPr>
        <w:lastRenderedPageBreak/>
        <w:t>21. ¿Qué leyes, políticas o medidas existen a nivel nacional o local para prevenir o prohibir la discriminación en relación con el derecho a una vivienda adecuada?</w:t>
      </w:r>
    </w:p>
    <w:p w:rsidR="00911E3F" w:rsidRPr="00ED4D35" w:rsidRDefault="00911E3F" w:rsidP="00A276D1">
      <w:pPr>
        <w:spacing w:after="0" w:line="240" w:lineRule="auto"/>
        <w:jc w:val="both"/>
        <w:rPr>
          <w:rFonts w:cs="Arial"/>
          <w:sz w:val="12"/>
          <w:szCs w:val="12"/>
          <w:lang w:val="es-ES"/>
        </w:rPr>
      </w:pPr>
    </w:p>
    <w:p w:rsidR="00911E3F" w:rsidRDefault="00911E3F" w:rsidP="00A276D1">
      <w:pPr>
        <w:spacing w:after="0" w:line="240" w:lineRule="auto"/>
        <w:jc w:val="both"/>
        <w:rPr>
          <w:rFonts w:cs="Arial"/>
          <w:szCs w:val="24"/>
          <w:lang w:val="es-ES"/>
        </w:rPr>
      </w:pPr>
      <w:r>
        <w:rPr>
          <w:rFonts w:cs="Arial"/>
          <w:szCs w:val="24"/>
          <w:lang w:val="es-ES"/>
        </w:rPr>
        <w:t xml:space="preserve">La Constitución Política de los Estados Unidos Mexicanos, en especial el artículo 1° y 4°, la Ley de Vivienda, la Ley General de Asentamientos Humanos, la Ley Federal para </w:t>
      </w:r>
      <w:r w:rsidR="00535FBA">
        <w:rPr>
          <w:rFonts w:cs="Arial"/>
          <w:szCs w:val="24"/>
          <w:lang w:val="es-ES"/>
        </w:rPr>
        <w:t>P</w:t>
      </w:r>
      <w:r>
        <w:rPr>
          <w:rFonts w:cs="Arial"/>
          <w:szCs w:val="24"/>
          <w:lang w:val="es-ES"/>
        </w:rPr>
        <w:t>revenir y Eliminar la Discriminación, así como el Programa Nacional de Vivienda 2019-2024 establecen la prohibición de discriminación por alguna de las categorías ahí referidas que restrinja el ejercicio de un derecho y, algunas de estos instrumentos establecen que deberán impulsarse acciones específicas para atender a los grupos en situación de vulnerabilidad.</w:t>
      </w:r>
    </w:p>
    <w:p w:rsidR="00911E3F" w:rsidRPr="00ED4D35" w:rsidRDefault="00911E3F" w:rsidP="00A276D1">
      <w:pPr>
        <w:spacing w:after="0" w:line="240" w:lineRule="auto"/>
        <w:jc w:val="both"/>
        <w:rPr>
          <w:rFonts w:cs="Arial"/>
          <w:sz w:val="12"/>
          <w:szCs w:val="12"/>
          <w:lang w:val="es-ES"/>
        </w:rPr>
      </w:pPr>
    </w:p>
    <w:p w:rsidR="00911E3F" w:rsidRPr="00B45079" w:rsidRDefault="00911E3F" w:rsidP="00A276D1">
      <w:pPr>
        <w:spacing w:after="0" w:line="240" w:lineRule="auto"/>
        <w:jc w:val="both"/>
        <w:rPr>
          <w:rFonts w:cs="Arial"/>
          <w:szCs w:val="24"/>
          <w:lang w:val="es-ES"/>
        </w:rPr>
      </w:pPr>
      <w:r>
        <w:rPr>
          <w:rFonts w:cs="Arial"/>
          <w:szCs w:val="24"/>
          <w:lang w:val="es-ES"/>
        </w:rPr>
        <w:t xml:space="preserve">No obstante, de conformidad con el </w:t>
      </w:r>
      <w:r w:rsidRPr="00CE2099">
        <w:rPr>
          <w:rFonts w:cs="Arial"/>
          <w:i/>
          <w:szCs w:val="24"/>
        </w:rPr>
        <w:t xml:space="preserve">Informe en conjunto de sociedad civil sobre los derechos económicos, sociales, culturales y ambientales en México 2017. Informe </w:t>
      </w:r>
      <w:r w:rsidRPr="00B45079">
        <w:rPr>
          <w:rFonts w:cs="Arial"/>
          <w:i/>
          <w:szCs w:val="24"/>
        </w:rPr>
        <w:t xml:space="preserve">alternativo a los Informes V y VI Periódicos combinados del Estado mexicano ante el Comité DESC de la ONU </w:t>
      </w:r>
      <w:r w:rsidRPr="00B45079">
        <w:rPr>
          <w:rFonts w:cs="Arial"/>
          <w:szCs w:val="24"/>
        </w:rPr>
        <w:t>se recomienda incorporar en su marco normativo los mecanismos que propicien la atención y realización de las siete características del derecho humano a la vivienda adecuada (Observación General N° 4 del Comité DESC)</w:t>
      </w:r>
      <w:r>
        <w:rPr>
          <w:rStyle w:val="FootnoteReference"/>
          <w:rFonts w:cs="Arial"/>
          <w:szCs w:val="24"/>
        </w:rPr>
        <w:footnoteReference w:id="28"/>
      </w:r>
      <w:r w:rsidRPr="00B45079">
        <w:rPr>
          <w:rFonts w:cs="Arial"/>
          <w:szCs w:val="24"/>
        </w:rPr>
        <w:t>, los indicadores desarrollados por el Programa de las Naciones Unidas para los Asentamientos Humanos (ONU-Hábitat), así como una política habitacional dotada de indicadores -que deben evaluarse de forma permanente- que muestren la eficiencia del recurso para llegar a la población más vulnerable.</w:t>
      </w:r>
    </w:p>
    <w:p w:rsidR="00911E3F" w:rsidRPr="00ED4D35" w:rsidRDefault="00911E3F" w:rsidP="00A276D1">
      <w:pPr>
        <w:spacing w:after="0" w:line="240" w:lineRule="auto"/>
        <w:jc w:val="both"/>
        <w:rPr>
          <w:rFonts w:cs="Arial"/>
          <w:sz w:val="12"/>
          <w:szCs w:val="12"/>
          <w:lang w:val="es-ES"/>
        </w:rPr>
      </w:pPr>
    </w:p>
    <w:p w:rsidR="00911E3F" w:rsidRDefault="00911E3F" w:rsidP="00A276D1">
      <w:pPr>
        <w:spacing w:after="0" w:line="240" w:lineRule="auto"/>
        <w:jc w:val="both"/>
        <w:rPr>
          <w:rFonts w:cs="Arial"/>
          <w:b/>
          <w:szCs w:val="24"/>
          <w:lang w:val="es-ES"/>
        </w:rPr>
      </w:pPr>
      <w:r w:rsidRPr="00B45079">
        <w:rPr>
          <w:rFonts w:cs="Arial"/>
          <w:b/>
          <w:szCs w:val="24"/>
          <w:lang w:val="es-ES"/>
        </w:rPr>
        <w:t>22. ¿Ha adoptado su Gobierno estatal, regional o local alguna medida positiva, como medidas de acción afirmativa, para reducir la discriminación, la segregación o la desigualdad estructural en relación con la vivienda? ¿En qué medida han tenido éxito estas iniciativas para abordar la discriminación y la segregación en relación a la vivienda?</w:t>
      </w:r>
    </w:p>
    <w:p w:rsidR="00911E3F" w:rsidRPr="00ED4D35" w:rsidRDefault="00911E3F" w:rsidP="00A276D1">
      <w:pPr>
        <w:spacing w:after="0" w:line="240" w:lineRule="auto"/>
        <w:jc w:val="both"/>
        <w:rPr>
          <w:rFonts w:cs="Arial"/>
          <w:b/>
          <w:sz w:val="12"/>
          <w:szCs w:val="12"/>
          <w:lang w:val="es-ES"/>
        </w:rPr>
      </w:pPr>
    </w:p>
    <w:p w:rsidR="00911E3F" w:rsidRDefault="00911E3F" w:rsidP="00A276D1">
      <w:pPr>
        <w:spacing w:after="0" w:line="240" w:lineRule="auto"/>
        <w:jc w:val="both"/>
        <w:rPr>
          <w:rFonts w:cs="Arial"/>
        </w:rPr>
      </w:pPr>
      <w:r w:rsidRPr="001030B9">
        <w:rPr>
          <w:rFonts w:cs="Arial"/>
          <w:szCs w:val="24"/>
          <w:lang w:val="es-ES"/>
        </w:rPr>
        <w:t xml:space="preserve">Del Informe de Labores 2019-2020 </w:t>
      </w:r>
      <w:r>
        <w:rPr>
          <w:rFonts w:cs="Arial"/>
          <w:szCs w:val="24"/>
          <w:lang w:val="es-ES"/>
        </w:rPr>
        <w:t xml:space="preserve">de la </w:t>
      </w:r>
      <w:r w:rsidRPr="001030B9">
        <w:rPr>
          <w:rFonts w:cs="Arial"/>
          <w:szCs w:val="24"/>
        </w:rPr>
        <w:t>Secretaría de Desarrollo Agrario, Territorial y Urbano (Sedatu)</w:t>
      </w:r>
      <w:r>
        <w:rPr>
          <w:rStyle w:val="FootnoteReference"/>
          <w:rFonts w:cs="Arial"/>
          <w:szCs w:val="24"/>
        </w:rPr>
        <w:footnoteReference w:id="29"/>
      </w:r>
      <w:r w:rsidRPr="001030B9">
        <w:rPr>
          <w:rFonts w:cs="Arial"/>
          <w:szCs w:val="24"/>
          <w:lang w:val="es-ES"/>
        </w:rPr>
        <w:t xml:space="preserve">señaló que </w:t>
      </w:r>
      <w:r>
        <w:rPr>
          <w:rFonts w:cs="Arial"/>
          <w:szCs w:val="24"/>
          <w:lang w:val="es-ES"/>
        </w:rPr>
        <w:t xml:space="preserve">en cumplimiento al </w:t>
      </w:r>
      <w:r w:rsidRPr="001030B9">
        <w:rPr>
          <w:rFonts w:cs="Arial"/>
          <w:szCs w:val="24"/>
        </w:rPr>
        <w:t>Programa Nacional de Reconstrucción (PNR)</w:t>
      </w:r>
      <w:r>
        <w:rPr>
          <w:rFonts w:cs="Arial"/>
          <w:szCs w:val="24"/>
        </w:rPr>
        <w:t xml:space="preserve"> que </w:t>
      </w:r>
      <w:r w:rsidRPr="001030B9">
        <w:rPr>
          <w:rFonts w:cs="Arial"/>
          <w:szCs w:val="24"/>
        </w:rPr>
        <w:t xml:space="preserve">tiene como objetivo retomar la responsabilidad del Estado en la protección de los derechos humanos de las personas y de las comunidades afectadas por los sismos de septiembre de 2017 y febrero de 2018, </w:t>
      </w:r>
      <w:r>
        <w:rPr>
          <w:rFonts w:cs="Arial"/>
          <w:szCs w:val="24"/>
        </w:rPr>
        <w:t xml:space="preserve">una parte de </w:t>
      </w:r>
      <w:r w:rsidRPr="001030B9">
        <w:rPr>
          <w:rFonts w:cs="Arial"/>
          <w:szCs w:val="24"/>
        </w:rPr>
        <w:t>los subsidios entregados para la reconstrucción de viviendas fueron para personas mayores</w:t>
      </w:r>
      <w:r>
        <w:rPr>
          <w:rFonts w:cs="Arial"/>
          <w:szCs w:val="24"/>
        </w:rPr>
        <w:t xml:space="preserve">; también se </w:t>
      </w:r>
      <w:r w:rsidRPr="001030B9">
        <w:rPr>
          <w:rFonts w:cs="Arial"/>
        </w:rPr>
        <w:t xml:space="preserve">elaboró un diagnóstico que registró 30 acciones para la mitigación de riesgos. </w:t>
      </w:r>
    </w:p>
    <w:p w:rsidR="00911E3F" w:rsidRPr="00ED4D35" w:rsidRDefault="00911E3F" w:rsidP="00A276D1">
      <w:pPr>
        <w:spacing w:after="0" w:line="240" w:lineRule="auto"/>
        <w:jc w:val="both"/>
        <w:rPr>
          <w:rFonts w:cs="Arial"/>
          <w:sz w:val="12"/>
          <w:szCs w:val="12"/>
          <w:lang w:val="es-ES"/>
        </w:rPr>
      </w:pPr>
    </w:p>
    <w:p w:rsidR="00911E3F" w:rsidRDefault="00911E3F" w:rsidP="00A276D1">
      <w:pPr>
        <w:spacing w:after="0" w:line="240" w:lineRule="auto"/>
        <w:jc w:val="both"/>
        <w:rPr>
          <w:rFonts w:cs="Arial"/>
          <w:szCs w:val="24"/>
        </w:rPr>
      </w:pPr>
      <w:r w:rsidRPr="00D05B79">
        <w:rPr>
          <w:rFonts w:cs="Arial"/>
          <w:szCs w:val="24"/>
          <w:lang w:val="es-ES"/>
        </w:rPr>
        <w:t xml:space="preserve">Por otra parte, según lo refiere </w:t>
      </w:r>
      <w:r w:rsidR="005A5139">
        <w:rPr>
          <w:rFonts w:cs="Arial"/>
          <w:szCs w:val="24"/>
          <w:lang w:val="es-ES"/>
        </w:rPr>
        <w:t>CONEVAL</w:t>
      </w:r>
      <w:r w:rsidRPr="00D05B79">
        <w:rPr>
          <w:rFonts w:cs="Arial"/>
          <w:szCs w:val="24"/>
          <w:lang w:val="es-ES"/>
        </w:rPr>
        <w:t xml:space="preserve"> en el documento intitulado </w:t>
      </w:r>
      <w:r w:rsidRPr="00D05B79">
        <w:rPr>
          <w:rFonts w:cs="Arial"/>
          <w:i/>
          <w:szCs w:val="24"/>
          <w:lang w:val="es-ES"/>
        </w:rPr>
        <w:t>La política social en el contexto de la pandemia por el virus SARS-CoV-2 (COVID-19)</w:t>
      </w:r>
      <w:r w:rsidRPr="00D05B79">
        <w:rPr>
          <w:rFonts w:cs="Arial"/>
          <w:szCs w:val="24"/>
          <w:lang w:val="es-ES"/>
        </w:rPr>
        <w:t xml:space="preserve">, señala como una </w:t>
      </w:r>
      <w:r w:rsidRPr="00D05B79">
        <w:rPr>
          <w:rFonts w:cs="Arial"/>
          <w:szCs w:val="24"/>
        </w:rPr>
        <w:t>acción implementada por el Gobierno Federal durante 2020 la inversión de 25,000 millones de pesos adicionales para la introducción de agua potable, drenaje, pavimento y la construcción y mejoramiento de 50,000 viviendas en zonas marginadas de 50 municipios del país</w:t>
      </w:r>
      <w:r>
        <w:rPr>
          <w:rFonts w:cs="Arial"/>
          <w:szCs w:val="24"/>
        </w:rPr>
        <w:t>, sin embargo, no se cuenta con información suficiente para establecer el éxito de estas iniciativas.</w:t>
      </w:r>
    </w:p>
    <w:p w:rsidR="00911E3F" w:rsidRPr="00ED4D35" w:rsidRDefault="00911E3F" w:rsidP="00A276D1">
      <w:pPr>
        <w:spacing w:after="0" w:line="240" w:lineRule="auto"/>
        <w:jc w:val="both"/>
        <w:rPr>
          <w:rFonts w:cs="Arial"/>
          <w:sz w:val="12"/>
          <w:szCs w:val="12"/>
          <w:lang w:val="es-ES"/>
        </w:rPr>
      </w:pPr>
    </w:p>
    <w:p w:rsidR="00911E3F" w:rsidRPr="003E279D" w:rsidRDefault="00A276D1" w:rsidP="00A276D1">
      <w:pPr>
        <w:spacing w:after="0" w:line="240" w:lineRule="auto"/>
        <w:jc w:val="both"/>
        <w:rPr>
          <w:rFonts w:cs="Arial"/>
          <w:szCs w:val="24"/>
          <w:lang w:val="es-ES"/>
        </w:rPr>
      </w:pPr>
      <w:r>
        <w:rPr>
          <w:rFonts w:cs="Arial"/>
          <w:bCs/>
          <w:szCs w:val="24"/>
          <w:lang w:val="es-ES"/>
        </w:rPr>
        <w:t xml:space="preserve">Con independencia de lo anterior, </w:t>
      </w:r>
      <w:r w:rsidR="00911E3F">
        <w:rPr>
          <w:rFonts w:cs="Arial"/>
          <w:bCs/>
          <w:szCs w:val="24"/>
          <w:lang w:val="es-ES"/>
        </w:rPr>
        <w:t>este Organismo Nacional</w:t>
      </w:r>
      <w:r w:rsidR="00911E3F" w:rsidRPr="003E279D">
        <w:rPr>
          <w:rFonts w:cs="Arial"/>
          <w:bCs/>
          <w:szCs w:val="24"/>
          <w:lang w:val="es-ES"/>
        </w:rPr>
        <w:t xml:space="preserve"> llama la atención del exhorto</w:t>
      </w:r>
      <w:r w:rsidR="00911E3F" w:rsidRPr="003E279D">
        <w:rPr>
          <w:rStyle w:val="FootnoteReference"/>
          <w:rFonts w:cs="Arial"/>
          <w:szCs w:val="24"/>
          <w:lang w:val="es-ES"/>
        </w:rPr>
        <w:footnoteReference w:id="30"/>
      </w:r>
      <w:r w:rsidR="00911E3F" w:rsidRPr="003E279D">
        <w:rPr>
          <w:rFonts w:cs="Arial"/>
          <w:bCs/>
          <w:szCs w:val="24"/>
          <w:lang w:val="es-ES"/>
        </w:rPr>
        <w:t xml:space="preserve"> formulado, el </w:t>
      </w:r>
      <w:r w:rsidR="00911E3F" w:rsidRPr="003E279D">
        <w:rPr>
          <w:rFonts w:cs="Arial"/>
          <w:szCs w:val="24"/>
          <w:lang w:val="es-ES"/>
        </w:rPr>
        <w:t xml:space="preserve">21 de marzo del presente año, por </w:t>
      </w:r>
      <w:r w:rsidR="00911E3F" w:rsidRPr="003E279D">
        <w:rPr>
          <w:rFonts w:cs="Arial"/>
          <w:bCs/>
          <w:szCs w:val="24"/>
          <w:lang w:val="es-ES"/>
        </w:rPr>
        <w:t>distintas organizaciones, así como personas académicas y activistas,</w:t>
      </w:r>
      <w:r w:rsidR="00911E3F" w:rsidRPr="003E279D">
        <w:rPr>
          <w:rFonts w:cs="Arial"/>
          <w:szCs w:val="24"/>
          <w:lang w:val="es-ES"/>
        </w:rPr>
        <w:t xml:space="preserve"> a las autoridades de los tres órdenes de gobierno para solicitar:</w:t>
      </w:r>
    </w:p>
    <w:p w:rsidR="00911E3F" w:rsidRPr="00A276D1" w:rsidRDefault="00911E3F" w:rsidP="00A276D1">
      <w:pPr>
        <w:shd w:val="clear" w:color="auto" w:fill="FFFFFF"/>
        <w:spacing w:after="0" w:line="240" w:lineRule="auto"/>
        <w:jc w:val="both"/>
        <w:rPr>
          <w:rFonts w:cs="Arial"/>
          <w:sz w:val="12"/>
          <w:szCs w:val="12"/>
          <w:lang w:val="es-ES"/>
        </w:rPr>
      </w:pPr>
    </w:p>
    <w:p w:rsidR="00911E3F" w:rsidRPr="003E279D" w:rsidRDefault="00911E3F" w:rsidP="00A276D1">
      <w:pPr>
        <w:pStyle w:val="ListParagraph"/>
        <w:numPr>
          <w:ilvl w:val="0"/>
          <w:numId w:val="25"/>
        </w:numPr>
        <w:shd w:val="clear" w:color="auto" w:fill="FFFFFF"/>
        <w:spacing w:after="0" w:line="240" w:lineRule="auto"/>
        <w:jc w:val="both"/>
        <w:rPr>
          <w:rFonts w:cs="Arial"/>
          <w:szCs w:val="24"/>
          <w:lang w:val="es-ES"/>
        </w:rPr>
      </w:pPr>
      <w:r w:rsidRPr="003E279D">
        <w:rPr>
          <w:rFonts w:cs="Arial"/>
          <w:szCs w:val="24"/>
          <w:lang w:val="es-ES"/>
        </w:rPr>
        <w:t xml:space="preserve">Suspender desalojos en todo el territorio nacional y velar que ningún privado aproveche la emergencia </w:t>
      </w:r>
      <w:r w:rsidR="00535FBA">
        <w:rPr>
          <w:rFonts w:cs="Arial"/>
          <w:szCs w:val="24"/>
          <w:lang w:val="es-ES"/>
        </w:rPr>
        <w:t>(C</w:t>
      </w:r>
      <w:r w:rsidR="004A20D5">
        <w:rPr>
          <w:rFonts w:cs="Arial"/>
          <w:szCs w:val="24"/>
          <w:lang w:val="es-ES"/>
        </w:rPr>
        <w:t>OVID-</w:t>
      </w:r>
      <w:r w:rsidR="00535FBA">
        <w:rPr>
          <w:rFonts w:cs="Arial"/>
          <w:szCs w:val="24"/>
          <w:lang w:val="es-ES"/>
        </w:rPr>
        <w:t xml:space="preserve">19) </w:t>
      </w:r>
      <w:r w:rsidRPr="003E279D">
        <w:rPr>
          <w:rFonts w:cs="Arial"/>
          <w:szCs w:val="24"/>
          <w:lang w:val="es-ES"/>
        </w:rPr>
        <w:t>para llevarlos a cabo a través de presiones indebidas;</w:t>
      </w:r>
    </w:p>
    <w:p w:rsidR="00911E3F" w:rsidRPr="003E279D" w:rsidRDefault="00911E3F" w:rsidP="00A276D1">
      <w:pPr>
        <w:pStyle w:val="ListParagraph"/>
        <w:numPr>
          <w:ilvl w:val="0"/>
          <w:numId w:val="25"/>
        </w:numPr>
        <w:shd w:val="clear" w:color="auto" w:fill="FFFFFF"/>
        <w:spacing w:after="0" w:line="240" w:lineRule="auto"/>
        <w:jc w:val="both"/>
        <w:rPr>
          <w:rFonts w:cs="Arial"/>
          <w:szCs w:val="24"/>
          <w:lang w:val="es-ES"/>
        </w:rPr>
      </w:pPr>
      <w:r w:rsidRPr="003E279D">
        <w:rPr>
          <w:rFonts w:cs="Arial"/>
          <w:szCs w:val="24"/>
          <w:lang w:val="es-ES"/>
        </w:rPr>
        <w:t>Decretar suspensión en el pago de las rentas de inmuebles usados para viviendas o pequeños negocios familiares, de los suministros básicos, y de los préstamos o créditos hipotecarios para los hogares que pierdan o reduzcan significativamente sus ingresos;</w:t>
      </w:r>
    </w:p>
    <w:p w:rsidR="00911E3F" w:rsidRPr="003E279D" w:rsidRDefault="00911E3F" w:rsidP="00A276D1">
      <w:pPr>
        <w:pStyle w:val="ListParagraph"/>
        <w:numPr>
          <w:ilvl w:val="0"/>
          <w:numId w:val="25"/>
        </w:numPr>
        <w:shd w:val="clear" w:color="auto" w:fill="FFFFFF"/>
        <w:spacing w:after="0" w:line="240" w:lineRule="auto"/>
        <w:jc w:val="both"/>
        <w:rPr>
          <w:rFonts w:cs="Arial"/>
          <w:szCs w:val="24"/>
          <w:lang w:val="es-ES"/>
        </w:rPr>
      </w:pPr>
      <w:r w:rsidRPr="003E279D">
        <w:rPr>
          <w:rFonts w:cs="Arial"/>
          <w:szCs w:val="24"/>
          <w:lang w:val="es-ES"/>
        </w:rPr>
        <w:t>Otorgar con urgencia alternativas de vivienda para quien no tenga dónde resguardarse, así como ofrecer alternativas a los servicios carentes y alimentos a los grupos en mayor riesgo;</w:t>
      </w:r>
    </w:p>
    <w:p w:rsidR="00911E3F" w:rsidRPr="003E279D" w:rsidRDefault="00911E3F" w:rsidP="00A276D1">
      <w:pPr>
        <w:pStyle w:val="ListParagraph"/>
        <w:numPr>
          <w:ilvl w:val="0"/>
          <w:numId w:val="25"/>
        </w:numPr>
        <w:shd w:val="clear" w:color="auto" w:fill="FFFFFF"/>
        <w:spacing w:after="0" w:line="240" w:lineRule="auto"/>
        <w:jc w:val="both"/>
        <w:rPr>
          <w:rFonts w:cs="Arial"/>
          <w:szCs w:val="24"/>
          <w:lang w:val="es-ES"/>
        </w:rPr>
      </w:pPr>
      <w:r w:rsidRPr="003E279D">
        <w:rPr>
          <w:rFonts w:cs="Arial"/>
          <w:szCs w:val="24"/>
          <w:lang w:val="es-ES"/>
        </w:rPr>
        <w:t>Suspender cortes de servicios domésticos de agua y saneamiento, así como establecer medidas urgentes de salubridad e higiene en asentamientos del país en condiciones precarias o no reconocidos.</w:t>
      </w:r>
    </w:p>
    <w:p w:rsidR="00911E3F" w:rsidRPr="003E279D" w:rsidRDefault="00911E3F" w:rsidP="00A276D1">
      <w:pPr>
        <w:pStyle w:val="ListParagraph"/>
        <w:numPr>
          <w:ilvl w:val="0"/>
          <w:numId w:val="25"/>
        </w:numPr>
        <w:shd w:val="clear" w:color="auto" w:fill="FFFFFF"/>
        <w:spacing w:after="0" w:line="240" w:lineRule="auto"/>
        <w:jc w:val="both"/>
        <w:rPr>
          <w:rFonts w:cs="Arial"/>
          <w:szCs w:val="24"/>
          <w:lang w:val="es-ES"/>
        </w:rPr>
      </w:pPr>
      <w:r w:rsidRPr="003E279D">
        <w:rPr>
          <w:rFonts w:cs="Arial"/>
          <w:szCs w:val="24"/>
          <w:lang w:val="es-ES"/>
        </w:rPr>
        <w:t>Aunado a la importancia de contar con información y datos suficientes en relación con los desalojos, personas con imposibilidad de pago de servicios y medidas adoptadas.</w:t>
      </w:r>
    </w:p>
    <w:p w:rsidR="00911E3F" w:rsidRPr="00A276D1" w:rsidRDefault="00911E3F" w:rsidP="00A276D1">
      <w:pPr>
        <w:spacing w:after="0" w:line="240" w:lineRule="auto"/>
        <w:rPr>
          <w:rFonts w:cs="Arial"/>
          <w:sz w:val="12"/>
          <w:szCs w:val="12"/>
          <w:lang w:val="es-ES"/>
        </w:rPr>
      </w:pPr>
    </w:p>
    <w:p w:rsidR="00911E3F" w:rsidRPr="00911E3F" w:rsidRDefault="00911E3F" w:rsidP="00A276D1">
      <w:pPr>
        <w:spacing w:after="0" w:line="240" w:lineRule="auto"/>
        <w:jc w:val="both"/>
        <w:rPr>
          <w:rFonts w:cs="Arial"/>
          <w:b/>
          <w:szCs w:val="24"/>
          <w:lang w:val="es-ES"/>
        </w:rPr>
      </w:pPr>
      <w:r w:rsidRPr="00911E3F">
        <w:rPr>
          <w:rFonts w:cs="Arial"/>
          <w:b/>
          <w:szCs w:val="24"/>
          <w:lang w:val="es-ES"/>
        </w:rPr>
        <w:t>23. ¿Se han aplicado leyes, políticas o medidas concretas para limitar o reducir la segregación residencial y socio-espacial en relación a la vivienda? ¿En qué medidas estas políticas han planteado problemas de derechos humanos?</w:t>
      </w:r>
    </w:p>
    <w:p w:rsidR="00911E3F" w:rsidRPr="00A276D1" w:rsidRDefault="00911E3F" w:rsidP="00A276D1">
      <w:pPr>
        <w:spacing w:after="0" w:line="240" w:lineRule="auto"/>
        <w:jc w:val="both"/>
        <w:rPr>
          <w:rFonts w:cs="Arial"/>
          <w:b/>
          <w:sz w:val="12"/>
          <w:szCs w:val="12"/>
          <w:lang w:val="es-ES"/>
        </w:rPr>
      </w:pPr>
    </w:p>
    <w:p w:rsidR="00ED4D35" w:rsidRPr="00ED4D35" w:rsidRDefault="00ED4D35" w:rsidP="00A276D1">
      <w:pPr>
        <w:spacing w:after="0" w:line="240" w:lineRule="auto"/>
        <w:jc w:val="both"/>
        <w:rPr>
          <w:rFonts w:cs="Arial"/>
          <w:szCs w:val="24"/>
          <w:lang w:val="es-ES"/>
        </w:rPr>
      </w:pPr>
      <w:r>
        <w:rPr>
          <w:rFonts w:cs="Arial"/>
          <w:szCs w:val="24"/>
          <w:lang w:val="es-ES"/>
        </w:rPr>
        <w:t>De la investigación efectuada no se cuenta con información suficiente en relación con lo solicitado.</w:t>
      </w:r>
    </w:p>
    <w:p w:rsidR="00ED4D35" w:rsidRPr="00A276D1" w:rsidRDefault="00ED4D35" w:rsidP="00A276D1">
      <w:pPr>
        <w:spacing w:after="0" w:line="240" w:lineRule="auto"/>
        <w:jc w:val="both"/>
        <w:rPr>
          <w:rFonts w:cs="Arial"/>
          <w:b/>
          <w:sz w:val="12"/>
          <w:szCs w:val="12"/>
          <w:lang w:val="es-ES"/>
        </w:rPr>
      </w:pPr>
    </w:p>
    <w:p w:rsidR="00911E3F" w:rsidRDefault="00911E3F" w:rsidP="00A276D1">
      <w:pPr>
        <w:spacing w:after="0" w:line="240" w:lineRule="auto"/>
        <w:jc w:val="both"/>
        <w:rPr>
          <w:rFonts w:cs="Arial"/>
          <w:b/>
          <w:szCs w:val="24"/>
          <w:lang w:val="es-ES"/>
        </w:rPr>
      </w:pPr>
      <w:r w:rsidRPr="00911E3F">
        <w:rPr>
          <w:rFonts w:cs="Arial"/>
          <w:b/>
          <w:szCs w:val="24"/>
          <w:lang w:val="es-ES"/>
        </w:rPr>
        <w:t>24. ¿Cuál es el papel de los medios de comunicación, así como de otras organizaciones no gubernamentales, de instituciones religiosas y gubernamentales, en el fomento de un clima que reduzca o exacerbe la discriminación en relación con la vivienda y la segregación.</w:t>
      </w:r>
    </w:p>
    <w:p w:rsidR="008E47DC" w:rsidRPr="00A276D1" w:rsidRDefault="008E47DC" w:rsidP="00A276D1">
      <w:pPr>
        <w:spacing w:after="0" w:line="240" w:lineRule="auto"/>
        <w:jc w:val="both"/>
        <w:rPr>
          <w:rFonts w:cs="Arial"/>
          <w:b/>
          <w:sz w:val="12"/>
          <w:szCs w:val="12"/>
          <w:lang w:val="es-ES"/>
        </w:rPr>
      </w:pPr>
    </w:p>
    <w:p w:rsidR="008E47DC" w:rsidRDefault="008E47DC" w:rsidP="00A276D1">
      <w:pPr>
        <w:spacing w:after="0" w:line="240" w:lineRule="auto"/>
        <w:jc w:val="both"/>
        <w:rPr>
          <w:rFonts w:cs="Arial"/>
          <w:szCs w:val="24"/>
        </w:rPr>
      </w:pPr>
      <w:r>
        <w:rPr>
          <w:rFonts w:cs="Arial"/>
          <w:szCs w:val="24"/>
        </w:rPr>
        <w:t xml:space="preserve">Se sugiere consultar con la Dirección General de Comunicación. </w:t>
      </w:r>
    </w:p>
    <w:p w:rsidR="008E47DC" w:rsidRPr="00A276D1" w:rsidRDefault="008E47DC" w:rsidP="00A276D1">
      <w:pPr>
        <w:spacing w:after="0" w:line="240" w:lineRule="auto"/>
        <w:jc w:val="both"/>
        <w:rPr>
          <w:rFonts w:cs="Arial"/>
          <w:b/>
          <w:sz w:val="12"/>
          <w:szCs w:val="12"/>
        </w:rPr>
      </w:pPr>
    </w:p>
    <w:p w:rsidR="00911E3F" w:rsidRPr="00ED4D35" w:rsidRDefault="00911E3F" w:rsidP="00A276D1">
      <w:pPr>
        <w:spacing w:after="0" w:line="240" w:lineRule="auto"/>
        <w:jc w:val="both"/>
        <w:rPr>
          <w:rFonts w:ascii="Arial Negrita" w:hAnsi="Arial Negrita" w:cs="Arial"/>
          <w:b/>
          <w:bCs/>
          <w:smallCaps/>
          <w:szCs w:val="24"/>
        </w:rPr>
      </w:pPr>
      <w:r w:rsidRPr="00ED4D35">
        <w:rPr>
          <w:rFonts w:ascii="Arial Negrita" w:hAnsi="Arial Negrita" w:cs="Arial"/>
          <w:b/>
          <w:bCs/>
          <w:smallCaps/>
          <w:szCs w:val="24"/>
        </w:rPr>
        <w:t>Datos sobre discriminación en la vivienda y segregación socio-espacial/residencial</w:t>
      </w:r>
    </w:p>
    <w:p w:rsidR="00911E3F" w:rsidRPr="00A276D1" w:rsidRDefault="00911E3F" w:rsidP="00A276D1">
      <w:pPr>
        <w:spacing w:after="0" w:line="240" w:lineRule="auto"/>
        <w:jc w:val="both"/>
        <w:rPr>
          <w:rFonts w:cs="Arial"/>
          <w:b/>
          <w:sz w:val="12"/>
          <w:szCs w:val="12"/>
          <w:lang w:val="es-ES"/>
        </w:rPr>
      </w:pPr>
    </w:p>
    <w:p w:rsidR="00911E3F" w:rsidRDefault="00911E3F" w:rsidP="00A276D1">
      <w:pPr>
        <w:spacing w:after="0" w:line="240" w:lineRule="auto"/>
        <w:jc w:val="both"/>
        <w:rPr>
          <w:rFonts w:cs="Arial"/>
          <w:b/>
          <w:szCs w:val="24"/>
        </w:rPr>
      </w:pPr>
      <w:r w:rsidRPr="00911E3F">
        <w:rPr>
          <w:rFonts w:cs="Arial"/>
          <w:b/>
          <w:szCs w:val="24"/>
        </w:rPr>
        <w:t xml:space="preserve">25. ¿Qué mecanismos institucionales existen para denunciar, monitorear y avanzar reparaciones en casos de discriminación o segregación en relación con el derecho a una vivienda adecuada? ¿En qué medida han sido eficaces para hacer frente a la discriminación? </w:t>
      </w:r>
    </w:p>
    <w:p w:rsidR="008E47DC" w:rsidRPr="00A276D1" w:rsidRDefault="008E47DC" w:rsidP="00A276D1">
      <w:pPr>
        <w:spacing w:after="0" w:line="240" w:lineRule="auto"/>
        <w:jc w:val="both"/>
        <w:rPr>
          <w:rFonts w:cs="Arial"/>
          <w:b/>
          <w:sz w:val="12"/>
          <w:szCs w:val="12"/>
        </w:rPr>
      </w:pPr>
    </w:p>
    <w:p w:rsidR="008E47DC" w:rsidRDefault="008E47DC" w:rsidP="00A276D1">
      <w:pPr>
        <w:spacing w:after="0" w:line="240" w:lineRule="auto"/>
        <w:jc w:val="both"/>
        <w:rPr>
          <w:rFonts w:cs="Arial"/>
          <w:szCs w:val="24"/>
        </w:rPr>
      </w:pPr>
      <w:r>
        <w:rPr>
          <w:rFonts w:cs="Arial"/>
          <w:szCs w:val="24"/>
        </w:rPr>
        <w:t xml:space="preserve">En términos del marco jurídico vigente, existen distintas instancias y procedimientos para ejercer alguna acción legal en defensa del derecho a una vivienda adecuada. </w:t>
      </w:r>
    </w:p>
    <w:p w:rsidR="008E47DC" w:rsidRPr="00A276D1" w:rsidRDefault="008E47DC" w:rsidP="00A276D1">
      <w:pPr>
        <w:spacing w:after="0" w:line="240" w:lineRule="auto"/>
        <w:jc w:val="both"/>
        <w:rPr>
          <w:rFonts w:cs="Arial"/>
          <w:sz w:val="12"/>
          <w:szCs w:val="12"/>
        </w:rPr>
      </w:pPr>
    </w:p>
    <w:p w:rsidR="008E47DC" w:rsidRDefault="008E47DC" w:rsidP="00A276D1">
      <w:pPr>
        <w:spacing w:after="0" w:line="240" w:lineRule="auto"/>
        <w:jc w:val="both"/>
      </w:pPr>
      <w:r>
        <w:rPr>
          <w:rFonts w:cs="Arial"/>
          <w:szCs w:val="24"/>
        </w:rPr>
        <w:lastRenderedPageBreak/>
        <w:t>En el ámbito jurisdiccional se prevé el juicio de amparo el cual puede ser promovido, entre otras hipótesis, en contra de</w:t>
      </w:r>
      <w:r>
        <w:t xml:space="preserve"> normas generales, actos u omisiones de autoridad que violen los derechos humanos reconocidos y las garantías otorgadas para su protección por la Constitución Política de los Estados Unidos Mexicanos, así como por los tratados internacionales de los que el Estado Mexicano sea parte.</w:t>
      </w:r>
    </w:p>
    <w:p w:rsidR="008E47DC" w:rsidRPr="00A276D1" w:rsidRDefault="008E47DC" w:rsidP="00A276D1">
      <w:pPr>
        <w:spacing w:after="0" w:line="240" w:lineRule="auto"/>
        <w:jc w:val="both"/>
        <w:rPr>
          <w:rFonts w:cs="Arial"/>
          <w:b/>
          <w:sz w:val="12"/>
          <w:szCs w:val="12"/>
        </w:rPr>
      </w:pPr>
    </w:p>
    <w:p w:rsidR="008E47DC" w:rsidRDefault="008E47DC" w:rsidP="00A276D1">
      <w:pPr>
        <w:spacing w:after="0" w:line="240" w:lineRule="auto"/>
        <w:jc w:val="both"/>
        <w:rPr>
          <w:color w:val="000000"/>
          <w:shd w:val="clear" w:color="auto" w:fill="FFFFFF"/>
        </w:rPr>
      </w:pPr>
      <w:r>
        <w:rPr>
          <w:rFonts w:cs="Arial"/>
          <w:szCs w:val="24"/>
        </w:rPr>
        <w:t xml:space="preserve">En el ámbito no jurisdiccional, se prevén los organismos públicos de derechos humanos, en el ámbito nacional y local; </w:t>
      </w:r>
      <w:r>
        <w:rPr>
          <w:color w:val="000000"/>
          <w:shd w:val="clear" w:color="auto" w:fill="FFFFFF"/>
        </w:rPr>
        <w:t>En materia de igualdad y no discriminación, el Consejo Nacional para Prevenir la Discriminación, y, en la Ciudad de México, el Consejo para Prevenir y Eliminar la Discriminación.</w:t>
      </w:r>
    </w:p>
    <w:p w:rsidR="008E47DC" w:rsidRPr="00A276D1" w:rsidRDefault="008E47DC" w:rsidP="00A276D1">
      <w:pPr>
        <w:spacing w:after="0" w:line="240" w:lineRule="auto"/>
        <w:jc w:val="both"/>
        <w:rPr>
          <w:color w:val="000000"/>
          <w:sz w:val="12"/>
          <w:szCs w:val="12"/>
          <w:shd w:val="clear" w:color="auto" w:fill="FFFFFF"/>
        </w:rPr>
      </w:pPr>
    </w:p>
    <w:p w:rsidR="008E47DC" w:rsidRDefault="008E47DC" w:rsidP="00A276D1">
      <w:pPr>
        <w:spacing w:after="0" w:line="240" w:lineRule="auto"/>
        <w:jc w:val="both"/>
        <w:rPr>
          <w:color w:val="000000"/>
          <w:shd w:val="clear" w:color="auto" w:fill="FFFFFF"/>
        </w:rPr>
      </w:pPr>
      <w:r>
        <w:rPr>
          <w:color w:val="000000"/>
          <w:shd w:val="clear" w:color="auto" w:fill="FFFFFF"/>
        </w:rPr>
        <w:t xml:space="preserve">Adicionalmente, conforme al artículo 95 de la Ley de Vivienda se prevé la “denuncia popular” establece que toda persona podrá denunciar </w:t>
      </w:r>
      <w:r>
        <w:t>todo hecho, acto u omisión que produzca o pueda producir daños al ejercicio de los derechos establecidos en esa Ley o contravengan sus disposiciones y de los demás ordenamientos que regulen materias relacionadas con la vivienda.</w:t>
      </w:r>
    </w:p>
    <w:p w:rsidR="008E47DC" w:rsidRPr="00A276D1" w:rsidRDefault="008E47DC" w:rsidP="00A276D1">
      <w:pPr>
        <w:spacing w:after="0" w:line="240" w:lineRule="auto"/>
        <w:jc w:val="both"/>
        <w:rPr>
          <w:rFonts w:cs="Arial"/>
          <w:b/>
          <w:sz w:val="12"/>
          <w:szCs w:val="12"/>
        </w:rPr>
      </w:pPr>
    </w:p>
    <w:p w:rsidR="008E47DC" w:rsidRDefault="008E47DC" w:rsidP="00A276D1">
      <w:pPr>
        <w:spacing w:after="0" w:line="240" w:lineRule="auto"/>
        <w:jc w:val="both"/>
      </w:pPr>
      <w:r>
        <w:rPr>
          <w:rFonts w:cs="Arial"/>
          <w:szCs w:val="24"/>
        </w:rPr>
        <w:t>En relación con su efectividad, es importante señalar lo expresado por el Comité Derechos Económicos, Sociales y Culturales (DESC) cuando recomienda al Estado mexicano</w:t>
      </w:r>
      <w:r>
        <w:rPr>
          <w:rStyle w:val="FootnoteReference"/>
          <w:rFonts w:cs="Arial"/>
          <w:szCs w:val="24"/>
        </w:rPr>
        <w:footnoteReference w:id="31"/>
      </w:r>
      <w:r>
        <w:t xml:space="preserve">adopte las medidas necesarias para garantizar que los derechos económicos, sociales y culturales sean exigibles en todos los niveles del sistema judicial y para facilitar a las víctimas de violaciones de tales derechos el acceso a recursos judiciales efectivos, incluyendo al juicio de amparo. </w:t>
      </w:r>
    </w:p>
    <w:p w:rsidR="008E47DC" w:rsidRPr="00A276D1" w:rsidRDefault="008E47DC" w:rsidP="00A276D1">
      <w:pPr>
        <w:spacing w:after="0" w:line="240" w:lineRule="auto"/>
        <w:jc w:val="both"/>
        <w:rPr>
          <w:sz w:val="12"/>
          <w:szCs w:val="12"/>
        </w:rPr>
      </w:pPr>
    </w:p>
    <w:p w:rsidR="008E47DC" w:rsidRDefault="008E47DC" w:rsidP="00A276D1">
      <w:pPr>
        <w:spacing w:after="0" w:line="240" w:lineRule="auto"/>
        <w:jc w:val="both"/>
        <w:rPr>
          <w:rFonts w:ascii="Times New Roman" w:hAnsi="Times New Roman" w:cs="Times New Roman"/>
          <w:szCs w:val="24"/>
          <w:lang w:eastAsia="es-MX"/>
        </w:rPr>
      </w:pPr>
      <w:r>
        <w:t>Asimismo, le alienta a llevar a cabo capacitaciones, especialmente entre jueces, abogados, agentes del orden, miembros del Congreso y otros actores, sobre el contenido de los derechos del PIDESC y la posibilidad de invocarlos ante los tribunales, y a llevar a cabo campañas de sensibilización entre los titulares de los derechos.</w:t>
      </w:r>
    </w:p>
    <w:p w:rsidR="00911E3F" w:rsidRPr="00A276D1" w:rsidRDefault="00911E3F" w:rsidP="00A276D1">
      <w:pPr>
        <w:spacing w:after="0" w:line="240" w:lineRule="auto"/>
        <w:jc w:val="both"/>
        <w:rPr>
          <w:rFonts w:cs="Arial"/>
          <w:b/>
          <w:sz w:val="12"/>
          <w:szCs w:val="12"/>
        </w:rPr>
      </w:pPr>
    </w:p>
    <w:p w:rsidR="00911E3F" w:rsidRDefault="00911E3F" w:rsidP="00A276D1">
      <w:pPr>
        <w:spacing w:after="0" w:line="240" w:lineRule="auto"/>
        <w:jc w:val="both"/>
        <w:rPr>
          <w:rFonts w:cs="Arial"/>
          <w:b/>
          <w:szCs w:val="24"/>
        </w:rPr>
      </w:pPr>
      <w:r w:rsidRPr="00911E3F">
        <w:rPr>
          <w:rFonts w:cs="Arial"/>
          <w:b/>
          <w:szCs w:val="24"/>
        </w:rPr>
        <w:t xml:space="preserve">26. En su opinión ¿Cuáles son los principales obstáculos para acceder la justicia frente situaciones de discriminación y segregación en relación al derecho a una vivienda adecuada? </w:t>
      </w:r>
    </w:p>
    <w:p w:rsidR="008E47DC" w:rsidRPr="00A276D1" w:rsidRDefault="008E47DC" w:rsidP="00A276D1">
      <w:pPr>
        <w:spacing w:after="0" w:line="240" w:lineRule="auto"/>
        <w:jc w:val="both"/>
        <w:rPr>
          <w:rFonts w:cs="Arial"/>
          <w:b/>
          <w:sz w:val="12"/>
          <w:szCs w:val="12"/>
        </w:rPr>
      </w:pPr>
    </w:p>
    <w:p w:rsidR="008E47DC" w:rsidRDefault="008E47DC" w:rsidP="00A276D1">
      <w:pPr>
        <w:spacing w:after="0" w:line="240" w:lineRule="auto"/>
        <w:jc w:val="both"/>
        <w:rPr>
          <w:rFonts w:cs="Arial"/>
          <w:szCs w:val="24"/>
        </w:rPr>
      </w:pPr>
      <w:r>
        <w:rPr>
          <w:rFonts w:cs="Arial"/>
          <w:szCs w:val="24"/>
        </w:rPr>
        <w:t>A partir de lo expuesto por el propio Comité DESC la dificultad de las personas por acceder a las instancias que pueden dirimir controversias, ya sea por falta de conocimiento de sus derechos y sus mecanismos, de asistencia jurídica especializada o de recursos para tal efecto.</w:t>
      </w:r>
    </w:p>
    <w:p w:rsidR="008E47DC" w:rsidRPr="00A276D1" w:rsidRDefault="008E47DC" w:rsidP="00A276D1">
      <w:pPr>
        <w:spacing w:after="0" w:line="240" w:lineRule="auto"/>
        <w:jc w:val="both"/>
        <w:rPr>
          <w:rFonts w:cs="Arial"/>
          <w:sz w:val="12"/>
          <w:szCs w:val="12"/>
        </w:rPr>
      </w:pPr>
    </w:p>
    <w:p w:rsidR="008E47DC" w:rsidRPr="00B83C5D" w:rsidRDefault="008E47DC" w:rsidP="00A276D1">
      <w:pPr>
        <w:spacing w:after="0" w:line="240" w:lineRule="auto"/>
        <w:jc w:val="both"/>
        <w:rPr>
          <w:rFonts w:cs="Arial"/>
          <w:szCs w:val="24"/>
        </w:rPr>
      </w:pPr>
      <w:r>
        <w:rPr>
          <w:rFonts w:cs="Arial"/>
          <w:szCs w:val="24"/>
        </w:rPr>
        <w:t xml:space="preserve">Por otra parte, la falta de medidas </w:t>
      </w:r>
      <w:r>
        <w:t>efectivas y oportunas para prevenir actos de violencia contra todos los defensores de derechos humanos y para la protección efectiva de su vida e integridad personal, asegurando una coordinación efectiva entre las autoridades federales, estatales y municipales.</w:t>
      </w:r>
    </w:p>
    <w:p w:rsidR="00911E3F" w:rsidRPr="00A276D1" w:rsidRDefault="00911E3F" w:rsidP="00A276D1">
      <w:pPr>
        <w:spacing w:after="0" w:line="240" w:lineRule="auto"/>
        <w:jc w:val="both"/>
        <w:rPr>
          <w:rFonts w:cs="Arial"/>
          <w:b/>
          <w:sz w:val="12"/>
          <w:szCs w:val="12"/>
        </w:rPr>
      </w:pPr>
    </w:p>
    <w:p w:rsidR="00911E3F" w:rsidRDefault="00911E3F" w:rsidP="00A276D1">
      <w:pPr>
        <w:spacing w:after="0" w:line="240" w:lineRule="auto"/>
        <w:jc w:val="both"/>
        <w:rPr>
          <w:rFonts w:cs="Arial"/>
          <w:b/>
          <w:szCs w:val="24"/>
        </w:rPr>
      </w:pPr>
      <w:r w:rsidRPr="00911E3F">
        <w:rPr>
          <w:rFonts w:cs="Arial"/>
          <w:b/>
          <w:szCs w:val="24"/>
        </w:rPr>
        <w:t xml:space="preserve">27. ¿Puede por favor indicar cómo individuos y grupos que han sido sujetos a discriminación o segregación pueden presentar quejas ante los organismos </w:t>
      </w:r>
      <w:r w:rsidRPr="00911E3F">
        <w:rPr>
          <w:rFonts w:cs="Arial"/>
          <w:b/>
          <w:szCs w:val="24"/>
        </w:rPr>
        <w:lastRenderedPageBreak/>
        <w:t>administrativos, no judiciales o judiciales para solicitar ayuda? Por favor, comparta información sobre cualquier caso/litigación importante a este respecto que haya sido tratado por las cortes, sistemas tribunales u otros organismos de su país.</w:t>
      </w:r>
    </w:p>
    <w:p w:rsidR="008E47DC" w:rsidRPr="00A276D1" w:rsidRDefault="008E47DC" w:rsidP="00A276D1">
      <w:pPr>
        <w:spacing w:after="0" w:line="240" w:lineRule="auto"/>
        <w:jc w:val="both"/>
        <w:rPr>
          <w:rFonts w:cs="Arial"/>
          <w:b/>
          <w:sz w:val="12"/>
          <w:szCs w:val="12"/>
        </w:rPr>
      </w:pPr>
    </w:p>
    <w:p w:rsidR="008E47DC" w:rsidRDefault="008E47DC" w:rsidP="00A276D1">
      <w:pPr>
        <w:spacing w:after="0" w:line="240" w:lineRule="auto"/>
        <w:jc w:val="both"/>
        <w:rPr>
          <w:rFonts w:cs="Arial"/>
          <w:szCs w:val="24"/>
        </w:rPr>
      </w:pPr>
      <w:r>
        <w:rPr>
          <w:rFonts w:cs="Arial"/>
          <w:szCs w:val="24"/>
        </w:rPr>
        <w:t>Conforme a lo previsto en la normatividad aplicable a este Organismo Nacional, se reciben quejas de manera electrónica, vía telefónica, a través de una aplicación móvil o presencial.</w:t>
      </w:r>
    </w:p>
    <w:p w:rsidR="008E47DC" w:rsidRPr="00A276D1" w:rsidRDefault="008E47DC" w:rsidP="00A276D1">
      <w:pPr>
        <w:spacing w:after="0" w:line="240" w:lineRule="auto"/>
        <w:jc w:val="both"/>
        <w:rPr>
          <w:rFonts w:cs="Arial"/>
          <w:sz w:val="8"/>
          <w:szCs w:val="8"/>
        </w:rPr>
      </w:pPr>
    </w:p>
    <w:p w:rsidR="008E47DC" w:rsidRDefault="008E47DC" w:rsidP="00A276D1">
      <w:pPr>
        <w:spacing w:after="0" w:line="240" w:lineRule="auto"/>
        <w:jc w:val="both"/>
        <w:rPr>
          <w:rFonts w:cs="Arial"/>
          <w:szCs w:val="24"/>
        </w:rPr>
      </w:pPr>
      <w:r>
        <w:rPr>
          <w:rFonts w:cs="Arial"/>
          <w:szCs w:val="24"/>
        </w:rPr>
        <w:t>Adicionalmente y conforme a su competencia ha emitido distintas recomendaciones</w:t>
      </w:r>
      <w:r>
        <w:rPr>
          <w:rStyle w:val="FootnoteReference"/>
          <w:rFonts w:cs="Arial"/>
          <w:szCs w:val="24"/>
        </w:rPr>
        <w:footnoteReference w:id="32"/>
      </w:r>
      <w:r>
        <w:rPr>
          <w:rFonts w:cs="Arial"/>
          <w:szCs w:val="24"/>
        </w:rPr>
        <w:t xml:space="preserve"> en relación con el derecho a la vivienda, se destaca la Recomendación 38/2018</w:t>
      </w:r>
      <w:r>
        <w:rPr>
          <w:rStyle w:val="FootnoteReference"/>
          <w:rFonts w:cs="Arial"/>
          <w:szCs w:val="24"/>
        </w:rPr>
        <w:footnoteReference w:id="33"/>
      </w:r>
      <w:r w:rsidRPr="00716C31">
        <w:rPr>
          <w:rFonts w:cs="Arial"/>
          <w:szCs w:val="24"/>
        </w:rPr>
        <w:t>emitida sobre el caso de la violación al derecho humano a una vivienda adecuada en relación con el derecho a un nivel de vida digna, en agravio de las personas damnificadas por el huracán “Ingrid” y la tormenta tropical “Manuel”, del municipio de Acapulco de Juárez, Guerrero</w:t>
      </w:r>
      <w:r>
        <w:rPr>
          <w:rFonts w:cs="Arial"/>
          <w:szCs w:val="24"/>
        </w:rPr>
        <w:t>.</w:t>
      </w:r>
    </w:p>
    <w:p w:rsidR="008E47DC" w:rsidRPr="00A276D1" w:rsidRDefault="008E47DC" w:rsidP="00A276D1">
      <w:pPr>
        <w:spacing w:after="0" w:line="240" w:lineRule="auto"/>
        <w:jc w:val="both"/>
        <w:rPr>
          <w:rFonts w:cs="Arial"/>
          <w:sz w:val="12"/>
          <w:szCs w:val="12"/>
        </w:rPr>
      </w:pPr>
    </w:p>
    <w:p w:rsidR="008E47DC" w:rsidRPr="0072137F" w:rsidRDefault="008E47DC" w:rsidP="00A276D1">
      <w:pPr>
        <w:spacing w:after="0" w:line="240" w:lineRule="auto"/>
        <w:jc w:val="both"/>
        <w:rPr>
          <w:rFonts w:cs="Arial"/>
          <w:szCs w:val="24"/>
        </w:rPr>
      </w:pPr>
      <w:r>
        <w:rPr>
          <w:rFonts w:cs="Arial"/>
          <w:szCs w:val="24"/>
        </w:rPr>
        <w:t>Asimismo, se refiere a la Recomendación 89/2020</w:t>
      </w:r>
      <w:r>
        <w:rPr>
          <w:rStyle w:val="FootnoteReference"/>
          <w:rFonts w:cs="Arial"/>
          <w:szCs w:val="24"/>
        </w:rPr>
        <w:footnoteReference w:id="34"/>
      </w:r>
      <w:r w:rsidR="00C5444D" w:rsidRPr="0072137F">
        <w:rPr>
          <w:rFonts w:cs="Arial"/>
          <w:szCs w:val="24"/>
        </w:rPr>
        <w:fldChar w:fldCharType="begin"/>
      </w:r>
      <w:r w:rsidRPr="0072137F">
        <w:rPr>
          <w:rFonts w:cs="Arial"/>
          <w:szCs w:val="24"/>
        </w:rPr>
        <w:instrText xml:space="preserve"> HYPERLINK "https://www.cndh.org.mx/documento/recomendacion-892020" </w:instrText>
      </w:r>
      <w:r w:rsidR="00C5444D" w:rsidRPr="0072137F">
        <w:rPr>
          <w:rFonts w:cs="Arial"/>
          <w:szCs w:val="24"/>
        </w:rPr>
        <w:fldChar w:fldCharType="separate"/>
      </w:r>
      <w:r w:rsidRPr="0072137F">
        <w:rPr>
          <w:rFonts w:cs="Arial"/>
          <w:szCs w:val="24"/>
        </w:rPr>
        <w:t>Sobre el incumplimiento de la conciliación respecto a la violación al derecho humano a una vivienda adecuada, en agravio de las personas damnificadas del huracán “INGRID” y la tormenta tropical “MANUEL”, en la colonia “El Patenco” en el Municipio de Coyuca de Benítez, Guerrero.</w:t>
      </w:r>
    </w:p>
    <w:p w:rsidR="00911E3F" w:rsidRPr="00A276D1" w:rsidRDefault="00C5444D" w:rsidP="00A276D1">
      <w:pPr>
        <w:spacing w:after="0" w:line="240" w:lineRule="auto"/>
        <w:jc w:val="both"/>
        <w:rPr>
          <w:rFonts w:cs="Arial"/>
          <w:b/>
          <w:bCs/>
          <w:sz w:val="12"/>
          <w:szCs w:val="12"/>
          <w:highlight w:val="yellow"/>
        </w:rPr>
      </w:pPr>
      <w:r w:rsidRPr="0072137F">
        <w:rPr>
          <w:rFonts w:cs="Arial"/>
          <w:szCs w:val="24"/>
        </w:rPr>
        <w:fldChar w:fldCharType="end"/>
      </w:r>
    </w:p>
    <w:p w:rsidR="00890B4C" w:rsidRPr="00911E3F" w:rsidRDefault="00890B4C" w:rsidP="00A276D1">
      <w:pPr>
        <w:spacing w:after="0" w:line="240" w:lineRule="auto"/>
        <w:jc w:val="both"/>
        <w:rPr>
          <w:rFonts w:cs="Arial"/>
          <w:b/>
          <w:bCs/>
          <w:szCs w:val="24"/>
        </w:rPr>
      </w:pPr>
      <w:r w:rsidRPr="00911E3F">
        <w:rPr>
          <w:rFonts w:cs="Arial"/>
          <w:b/>
          <w:bCs/>
          <w:szCs w:val="24"/>
        </w:rPr>
        <w:t>28. ¿Se recopilan datos sobre disparidades, discriminación y segregación socio-espacial en relación al derecho a la vivienda adecuada? ¿Estos datos están a disposición del público? En caso afirmativo, ¿Dónde se puede acceder a ellos? ¿Existe algún obstáculo práctico o legal para recopilar y difundir dicha información en su país?</w:t>
      </w:r>
    </w:p>
    <w:p w:rsidR="00890B4C" w:rsidRPr="00A276D1" w:rsidRDefault="00890B4C" w:rsidP="00A276D1">
      <w:pPr>
        <w:spacing w:after="0" w:line="240" w:lineRule="auto"/>
        <w:jc w:val="both"/>
        <w:rPr>
          <w:rFonts w:cs="Arial"/>
          <w:b/>
          <w:bCs/>
          <w:sz w:val="12"/>
          <w:szCs w:val="12"/>
        </w:rPr>
      </w:pPr>
    </w:p>
    <w:p w:rsidR="008E47DC" w:rsidRDefault="008E47DC" w:rsidP="00A276D1">
      <w:pPr>
        <w:spacing w:after="0" w:line="240" w:lineRule="auto"/>
        <w:jc w:val="both"/>
      </w:pPr>
      <w:r>
        <w:t xml:space="preserve">De la investigación realizada se advierte que es necesario fortalecer los sistemas institucionales de información, como puede advertirse en preguntas subsecuentes existen diferentes mecanismos que pueden aportar </w:t>
      </w:r>
      <w:r w:rsidR="00EA60FD">
        <w:t>datos,</w:t>
      </w:r>
      <w:r>
        <w:t xml:space="preserve"> aunque no necesariamente con la especificidad que se requiere en relación con la problemática o enfoque que se plantea.</w:t>
      </w:r>
    </w:p>
    <w:p w:rsidR="00A276D1" w:rsidRPr="00A276D1" w:rsidRDefault="00A276D1" w:rsidP="00A276D1">
      <w:pPr>
        <w:spacing w:after="0" w:line="240" w:lineRule="auto"/>
        <w:jc w:val="both"/>
        <w:rPr>
          <w:sz w:val="12"/>
          <w:szCs w:val="12"/>
        </w:rPr>
      </w:pPr>
    </w:p>
    <w:p w:rsidR="008E47DC" w:rsidRDefault="008E47DC" w:rsidP="00A276D1">
      <w:pPr>
        <w:spacing w:after="0" w:line="240" w:lineRule="auto"/>
        <w:jc w:val="both"/>
      </w:pPr>
      <w:r>
        <w:t>Por otra parte, el artículo 6° de la Constitución Política de los Estados Unidos Mexicanos, establece que toda persona tiene derecho al libre acceso a información plural y oportuna, así como a buscar, recibir y difundir información e ideas de toda índole por cualquier medio de expresión.</w:t>
      </w:r>
    </w:p>
    <w:p w:rsidR="00A276D1" w:rsidRPr="00A276D1" w:rsidRDefault="00A276D1" w:rsidP="00A276D1">
      <w:pPr>
        <w:spacing w:after="0" w:line="240" w:lineRule="auto"/>
        <w:jc w:val="both"/>
        <w:rPr>
          <w:sz w:val="12"/>
          <w:szCs w:val="12"/>
        </w:rPr>
      </w:pPr>
    </w:p>
    <w:p w:rsidR="008E47DC" w:rsidRDefault="008E47DC" w:rsidP="00A276D1">
      <w:pPr>
        <w:spacing w:after="0" w:line="240" w:lineRule="auto"/>
        <w:jc w:val="both"/>
      </w:pPr>
      <w:r>
        <w:t xml:space="preserve">Adicionalmente, dicho precepto establece que se contará con un organismo autónomo, especializado, imparcial y colegiado responsable de garantizar el cumplimiento del derecho de acceso a la información pública y a la protección de </w:t>
      </w:r>
      <w:r>
        <w:lastRenderedPageBreak/>
        <w:t>datos personales en posesión de los sujetos obligados en los términos que establezca la ley, institución que también se replica a nivel local.</w:t>
      </w:r>
    </w:p>
    <w:p w:rsidR="00A276D1" w:rsidRPr="00A276D1" w:rsidRDefault="00A276D1" w:rsidP="00A276D1">
      <w:pPr>
        <w:spacing w:after="0" w:line="240" w:lineRule="auto"/>
        <w:jc w:val="both"/>
        <w:rPr>
          <w:sz w:val="12"/>
          <w:szCs w:val="12"/>
        </w:rPr>
      </w:pPr>
    </w:p>
    <w:p w:rsidR="008E47DC" w:rsidRPr="00526D65" w:rsidRDefault="008E47DC" w:rsidP="00A276D1">
      <w:pPr>
        <w:spacing w:after="0" w:line="240" w:lineRule="auto"/>
        <w:jc w:val="both"/>
      </w:pPr>
      <w:r>
        <w:t xml:space="preserve">En México, </w:t>
      </w:r>
      <w:r w:rsidRPr="00526D65">
        <w:t>las personas presentan ante las Unidades de Transparencia de los Sujetos Obligados (dependencias, entidades, organismos autónomos)</w:t>
      </w:r>
      <w:r>
        <w:t xml:space="preserve"> una solicitud </w:t>
      </w:r>
      <w:r w:rsidRPr="00526D65">
        <w:t xml:space="preserve">por </w:t>
      </w:r>
      <w:r>
        <w:t>la</w:t>
      </w:r>
      <w:r w:rsidRPr="00526D65">
        <w:t xml:space="preserve"> que pueden requerir el acceso a información pública que se encuentra en documentos que generen, obtengan, adquieran, transformen o conserven en sus archivos.</w:t>
      </w:r>
    </w:p>
    <w:p w:rsidR="00A276D1" w:rsidRPr="00A276D1" w:rsidRDefault="00A276D1" w:rsidP="00A276D1">
      <w:pPr>
        <w:spacing w:after="0" w:line="240" w:lineRule="auto"/>
        <w:jc w:val="both"/>
        <w:rPr>
          <w:sz w:val="12"/>
          <w:szCs w:val="12"/>
        </w:rPr>
      </w:pPr>
    </w:p>
    <w:p w:rsidR="008E47DC" w:rsidRDefault="008E47DC" w:rsidP="00A276D1">
      <w:pPr>
        <w:spacing w:after="0" w:line="240" w:lineRule="auto"/>
        <w:jc w:val="both"/>
        <w:rPr>
          <w:rFonts w:cs="Arial"/>
          <w:b/>
          <w:bCs/>
          <w:szCs w:val="24"/>
        </w:rPr>
      </w:pPr>
      <w:r w:rsidRPr="00526D65">
        <w:t>En la generación, publicación y entrega de información se deberá garantizar que ésta sea accesible, confiable, verificable, veraz, oportuna y atenderá las necesidades del derecho de acceso a la información de toda persona.</w:t>
      </w:r>
    </w:p>
    <w:p w:rsidR="008E47DC" w:rsidRPr="00A276D1" w:rsidRDefault="008E47DC" w:rsidP="00A276D1">
      <w:pPr>
        <w:spacing w:after="0" w:line="240" w:lineRule="auto"/>
        <w:jc w:val="both"/>
        <w:rPr>
          <w:rFonts w:cs="Arial"/>
          <w:b/>
          <w:bCs/>
          <w:sz w:val="12"/>
          <w:szCs w:val="12"/>
        </w:rPr>
      </w:pPr>
    </w:p>
    <w:p w:rsidR="00890B4C" w:rsidRPr="00EC5FAF" w:rsidRDefault="00890B4C" w:rsidP="00A276D1">
      <w:pPr>
        <w:spacing w:after="0" w:line="240" w:lineRule="auto"/>
        <w:jc w:val="both"/>
        <w:rPr>
          <w:rFonts w:cs="Arial"/>
          <w:b/>
          <w:bCs/>
          <w:szCs w:val="24"/>
        </w:rPr>
      </w:pPr>
      <w:r w:rsidRPr="00EC5FAF">
        <w:rPr>
          <w:rFonts w:cs="Arial"/>
          <w:b/>
          <w:bCs/>
          <w:szCs w:val="24"/>
        </w:rPr>
        <w:t>29. ¿Podrían por favor compartir estudios o encuestas realizadas por el gobierno local, regional o nacional o por otras instituciones en su país que examine las disparidades, la discriminación y segregación socio-espacial en relación al derecho a la vivienda y como puede ser abordado? (por favor presentar el documento o incluir título y enlace)</w:t>
      </w:r>
    </w:p>
    <w:p w:rsidR="00EC5FAF" w:rsidRPr="00A276D1" w:rsidRDefault="00EC5FAF" w:rsidP="00A276D1">
      <w:pPr>
        <w:spacing w:after="0" w:line="240" w:lineRule="auto"/>
        <w:jc w:val="both"/>
        <w:rPr>
          <w:rFonts w:cs="Arial"/>
          <w:bCs/>
          <w:sz w:val="12"/>
          <w:szCs w:val="12"/>
        </w:rPr>
      </w:pPr>
    </w:p>
    <w:p w:rsidR="00467983" w:rsidRDefault="00467983" w:rsidP="00A276D1">
      <w:pPr>
        <w:spacing w:after="0" w:line="240" w:lineRule="auto"/>
        <w:jc w:val="both"/>
        <w:rPr>
          <w:rFonts w:cs="Arial"/>
          <w:bCs/>
          <w:szCs w:val="24"/>
        </w:rPr>
      </w:pPr>
      <w:r>
        <w:rPr>
          <w:rFonts w:cs="Arial"/>
          <w:bCs/>
          <w:szCs w:val="24"/>
        </w:rPr>
        <w:t xml:space="preserve">El </w:t>
      </w:r>
      <w:r w:rsidRPr="00467983">
        <w:rPr>
          <w:rFonts w:cs="Arial"/>
          <w:bCs/>
          <w:i/>
          <w:szCs w:val="24"/>
        </w:rPr>
        <w:t>“Censo de Población y Vivienda 2020”</w:t>
      </w:r>
      <w:r w:rsidRPr="00467983">
        <w:rPr>
          <w:rFonts w:cs="Arial"/>
          <w:bCs/>
          <w:szCs w:val="24"/>
        </w:rPr>
        <w:t>, se realizó del 2 al 27 de marzo; visitando cada una de las viviendas para obtener información sobre estas, contar a la población que vive en México e indagar sobre sus principales características demográficas, socioeconómicas y culturales.</w:t>
      </w:r>
      <w:r>
        <w:rPr>
          <w:rFonts w:cs="Arial"/>
          <w:bCs/>
          <w:szCs w:val="24"/>
        </w:rPr>
        <w:t xml:space="preserve"> Puede consultarse en línea en: </w:t>
      </w:r>
      <w:hyperlink r:id="rId8" w:history="1">
        <w:r w:rsidRPr="00176E66">
          <w:rPr>
            <w:rStyle w:val="Hyperlink"/>
            <w:rFonts w:cs="Arial"/>
            <w:bCs/>
            <w:szCs w:val="24"/>
          </w:rPr>
          <w:t>https://www.inegi.org.mx/programas/ccpv/2020/</w:t>
        </w:r>
      </w:hyperlink>
    </w:p>
    <w:p w:rsidR="00467983" w:rsidRPr="00A276D1" w:rsidRDefault="00467983" w:rsidP="00A276D1">
      <w:pPr>
        <w:spacing w:after="0" w:line="240" w:lineRule="auto"/>
        <w:jc w:val="both"/>
        <w:rPr>
          <w:rFonts w:cs="Arial"/>
          <w:bCs/>
          <w:sz w:val="12"/>
          <w:szCs w:val="12"/>
        </w:rPr>
      </w:pPr>
    </w:p>
    <w:p w:rsidR="00EC5FAF" w:rsidRDefault="00EC5FAF" w:rsidP="00A276D1">
      <w:pPr>
        <w:spacing w:after="0" w:line="240" w:lineRule="auto"/>
        <w:jc w:val="both"/>
        <w:rPr>
          <w:rFonts w:cs="Arial"/>
          <w:bCs/>
          <w:szCs w:val="24"/>
        </w:rPr>
      </w:pPr>
      <w:r>
        <w:rPr>
          <w:rFonts w:cs="Arial"/>
          <w:bCs/>
          <w:szCs w:val="24"/>
        </w:rPr>
        <w:t xml:space="preserve">El </w:t>
      </w:r>
      <w:r w:rsidRPr="00EC5FAF">
        <w:rPr>
          <w:rFonts w:cs="Arial"/>
          <w:bCs/>
          <w:i/>
          <w:szCs w:val="24"/>
        </w:rPr>
        <w:t>“Programa Nacional de Vivienda 2019-2024”</w:t>
      </w:r>
      <w:r>
        <w:rPr>
          <w:rFonts w:cs="Arial"/>
          <w:bCs/>
          <w:szCs w:val="24"/>
        </w:rPr>
        <w:t xml:space="preserve">, </w:t>
      </w:r>
      <w:r w:rsidRPr="00EC5FAF">
        <w:rPr>
          <w:rFonts w:cs="Arial"/>
          <w:bCs/>
          <w:szCs w:val="24"/>
        </w:rPr>
        <w:t>comprende una serie de ejes y acciones que distintas instituciones del Gobierno de México desarrollarán entre 2019 y 2024 para que más de 5 millones de familias tengan un hogar</w:t>
      </w:r>
      <w:r>
        <w:rPr>
          <w:rFonts w:cs="Arial"/>
          <w:bCs/>
          <w:szCs w:val="24"/>
        </w:rPr>
        <w:t>. E</w:t>
      </w:r>
      <w:r w:rsidRPr="00EC5FAF">
        <w:rPr>
          <w:rFonts w:cs="Arial"/>
          <w:bCs/>
          <w:szCs w:val="24"/>
        </w:rPr>
        <w:t>stá a cargo de la Secretaria de Desarrollo Agrario y Territorial (SEDATU)</w:t>
      </w:r>
      <w:r>
        <w:rPr>
          <w:rFonts w:cs="Arial"/>
          <w:bCs/>
          <w:szCs w:val="24"/>
        </w:rPr>
        <w:t xml:space="preserve">. Puede consultarse en línea en: </w:t>
      </w:r>
      <w:hyperlink r:id="rId9" w:history="1">
        <w:r w:rsidRPr="00176E66">
          <w:rPr>
            <w:rStyle w:val="Hyperlink"/>
            <w:rFonts w:cs="Arial"/>
            <w:bCs/>
            <w:szCs w:val="24"/>
          </w:rPr>
          <w:t>https://www.gob.mx/shf/documentos/plan-nacional-de-vivienda-pnv-2019-2024</w:t>
        </w:r>
      </w:hyperlink>
    </w:p>
    <w:p w:rsidR="00EC5FAF" w:rsidRPr="00A276D1" w:rsidRDefault="00EC5FAF" w:rsidP="00A276D1">
      <w:pPr>
        <w:spacing w:after="0" w:line="240" w:lineRule="auto"/>
        <w:jc w:val="both"/>
        <w:rPr>
          <w:rFonts w:cs="Arial"/>
          <w:bCs/>
          <w:sz w:val="12"/>
          <w:szCs w:val="12"/>
        </w:rPr>
      </w:pPr>
    </w:p>
    <w:p w:rsidR="001D613E" w:rsidRDefault="001D613E" w:rsidP="00A276D1">
      <w:pPr>
        <w:spacing w:after="0" w:line="240" w:lineRule="auto"/>
        <w:jc w:val="both"/>
        <w:rPr>
          <w:rFonts w:cs="Arial"/>
          <w:bCs/>
          <w:szCs w:val="24"/>
        </w:rPr>
      </w:pPr>
      <w:r>
        <w:rPr>
          <w:rFonts w:cs="Arial"/>
          <w:bCs/>
          <w:szCs w:val="24"/>
        </w:rPr>
        <w:t>En el “Informe de Labores de la Secretaría de Desarrollo Agrario, Territorial y Urbano 2019-2020”</w:t>
      </w:r>
      <w:r w:rsidR="00ED4D35">
        <w:rPr>
          <w:rFonts w:cs="Arial"/>
          <w:bCs/>
          <w:szCs w:val="24"/>
        </w:rPr>
        <w:t xml:space="preserve"> disponible en </w:t>
      </w:r>
      <w:hyperlink r:id="rId10" w:history="1">
        <w:r w:rsidR="00ED4D35" w:rsidRPr="00A92905">
          <w:rPr>
            <w:rStyle w:val="Hyperlink"/>
            <w:rFonts w:cs="Arial"/>
            <w:bCs/>
            <w:szCs w:val="24"/>
          </w:rPr>
          <w:t>https://www.gob.mx/cms/uploads/attachment/file/576453/2_INFORME__ok_.pdf</w:t>
        </w:r>
      </w:hyperlink>
    </w:p>
    <w:p w:rsidR="00B35834" w:rsidRPr="00A276D1" w:rsidRDefault="00B35834" w:rsidP="00A276D1">
      <w:pPr>
        <w:spacing w:after="0" w:line="240" w:lineRule="auto"/>
        <w:jc w:val="both"/>
        <w:rPr>
          <w:rFonts w:cs="Arial"/>
          <w:bCs/>
          <w:sz w:val="12"/>
          <w:szCs w:val="12"/>
        </w:rPr>
      </w:pPr>
    </w:p>
    <w:p w:rsidR="00B35834" w:rsidRDefault="00B35834" w:rsidP="00A276D1">
      <w:pPr>
        <w:spacing w:after="0" w:line="240" w:lineRule="auto"/>
        <w:jc w:val="both"/>
        <w:rPr>
          <w:rFonts w:cs="Arial"/>
          <w:bCs/>
          <w:szCs w:val="24"/>
        </w:rPr>
      </w:pPr>
      <w:r>
        <w:rPr>
          <w:rFonts w:cs="Arial"/>
          <w:bCs/>
          <w:szCs w:val="24"/>
        </w:rPr>
        <w:t xml:space="preserve">En el artículo </w:t>
      </w:r>
      <w:r w:rsidRPr="00B35834">
        <w:rPr>
          <w:rFonts w:cs="Arial"/>
          <w:bCs/>
          <w:i/>
          <w:szCs w:val="24"/>
        </w:rPr>
        <w:t>“</w:t>
      </w:r>
      <w:r>
        <w:rPr>
          <w:rFonts w:cs="Arial"/>
          <w:bCs/>
          <w:i/>
          <w:szCs w:val="24"/>
        </w:rPr>
        <w:t>La vulnerabilidad de la vivienda como indicador del contagio comunitario ante la COVID-19 en México (IVIV-COVID)</w:t>
      </w:r>
      <w:r w:rsidRPr="00B35834">
        <w:rPr>
          <w:rFonts w:cs="Arial"/>
          <w:bCs/>
          <w:i/>
          <w:szCs w:val="24"/>
        </w:rPr>
        <w:t>”</w:t>
      </w:r>
      <w:r>
        <w:rPr>
          <w:rFonts w:cs="Arial"/>
          <w:bCs/>
          <w:i/>
          <w:szCs w:val="24"/>
        </w:rPr>
        <w:t xml:space="preserve">, </w:t>
      </w:r>
      <w:r>
        <w:rPr>
          <w:rFonts w:cs="Arial"/>
          <w:bCs/>
          <w:szCs w:val="24"/>
        </w:rPr>
        <w:t>se hace referencia a un Índice de vivienda como respuesta a la emergencia sanitaria</w:t>
      </w:r>
      <w:r w:rsidR="00FF20AF">
        <w:rPr>
          <w:rFonts w:cs="Arial"/>
          <w:bCs/>
          <w:szCs w:val="24"/>
        </w:rPr>
        <w:t xml:space="preserve">, </w:t>
      </w:r>
      <w:r w:rsidR="00FF20AF" w:rsidRPr="00FF20AF">
        <w:rPr>
          <w:rFonts w:cs="Arial"/>
          <w:bCs/>
          <w:i/>
          <w:szCs w:val="24"/>
        </w:rPr>
        <w:t>“Índice de Vulnerabilidad en Infraestructura de la Vivienda ante la COVID-19 (IVIV-COVID)”</w:t>
      </w:r>
      <w:r>
        <w:rPr>
          <w:rFonts w:cs="Arial"/>
          <w:bCs/>
          <w:szCs w:val="24"/>
        </w:rPr>
        <w:t xml:space="preserve">, el cual considera </w:t>
      </w:r>
      <w:r w:rsidRPr="00B35834">
        <w:rPr>
          <w:rFonts w:cs="Arial"/>
          <w:bCs/>
          <w:szCs w:val="24"/>
        </w:rPr>
        <w:t xml:space="preserve">diferentes </w:t>
      </w:r>
      <w:r w:rsidR="00E95A20" w:rsidRPr="00B35834">
        <w:rPr>
          <w:rFonts w:cs="Arial"/>
          <w:bCs/>
          <w:szCs w:val="24"/>
        </w:rPr>
        <w:t>componentes de</w:t>
      </w:r>
      <w:r w:rsidRPr="00B35834">
        <w:rPr>
          <w:rFonts w:cs="Arial"/>
          <w:bCs/>
          <w:szCs w:val="24"/>
        </w:rPr>
        <w:t xml:space="preserve"> la vivienda para determinar su grado de </w:t>
      </w:r>
      <w:r w:rsidR="00E95A20" w:rsidRPr="00B35834">
        <w:rPr>
          <w:rFonts w:cs="Arial"/>
          <w:bCs/>
          <w:szCs w:val="24"/>
        </w:rPr>
        <w:t>influenciaren</w:t>
      </w:r>
      <w:r w:rsidRPr="00B35834">
        <w:rPr>
          <w:rFonts w:cs="Arial"/>
          <w:bCs/>
          <w:szCs w:val="24"/>
        </w:rPr>
        <w:t xml:space="preserve"> la propagación de este virus en específico, cuando se</w:t>
      </w:r>
      <w:r>
        <w:rPr>
          <w:rFonts w:cs="Arial"/>
          <w:bCs/>
          <w:szCs w:val="24"/>
        </w:rPr>
        <w:t xml:space="preserve"> clasifican como carentes</w:t>
      </w:r>
      <w:r w:rsidR="00FF20AF">
        <w:rPr>
          <w:rFonts w:cs="Arial"/>
          <w:bCs/>
          <w:szCs w:val="24"/>
        </w:rPr>
        <w:t xml:space="preserve">. Este puede consultarse en </w:t>
      </w:r>
      <w:hyperlink r:id="rId11" w:history="1">
        <w:r w:rsidR="00FF20AF" w:rsidRPr="007A1567">
          <w:rPr>
            <w:rStyle w:val="Hyperlink"/>
            <w:rFonts w:cs="Arial"/>
            <w:bCs/>
            <w:szCs w:val="24"/>
          </w:rPr>
          <w:t>https://drive.google.com/file/d/1NPoZZLLIYLOYu4-TlietueBbMlUmZwL0/view</w:t>
        </w:r>
      </w:hyperlink>
    </w:p>
    <w:p w:rsidR="001D613E" w:rsidRPr="00A276D1" w:rsidRDefault="001D613E" w:rsidP="00A276D1">
      <w:pPr>
        <w:spacing w:after="0" w:line="240" w:lineRule="auto"/>
        <w:jc w:val="both"/>
        <w:rPr>
          <w:rFonts w:cs="Arial"/>
          <w:bCs/>
          <w:sz w:val="12"/>
          <w:szCs w:val="12"/>
        </w:rPr>
      </w:pPr>
    </w:p>
    <w:p w:rsidR="00EC5FAF" w:rsidRDefault="00EC5FAF" w:rsidP="00A276D1">
      <w:pPr>
        <w:spacing w:after="0" w:line="240" w:lineRule="auto"/>
        <w:jc w:val="both"/>
        <w:rPr>
          <w:rFonts w:cs="Arial"/>
          <w:bCs/>
          <w:szCs w:val="24"/>
        </w:rPr>
      </w:pPr>
      <w:r>
        <w:rPr>
          <w:rFonts w:cs="Arial"/>
          <w:bCs/>
          <w:szCs w:val="24"/>
        </w:rPr>
        <w:t xml:space="preserve">El </w:t>
      </w:r>
      <w:r w:rsidRPr="00EC5FAF">
        <w:rPr>
          <w:rFonts w:cs="Arial"/>
          <w:bCs/>
          <w:i/>
          <w:szCs w:val="24"/>
        </w:rPr>
        <w:t xml:space="preserve">“Estudio Diagnóstico del Derecho a la Vivienda Digna y Decorosa </w:t>
      </w:r>
      <w:r w:rsidR="005A5139" w:rsidRPr="00EC5FAF">
        <w:rPr>
          <w:rFonts w:cs="Arial"/>
          <w:bCs/>
          <w:i/>
          <w:szCs w:val="24"/>
        </w:rPr>
        <w:t>2018”</w:t>
      </w:r>
      <w:r>
        <w:rPr>
          <w:rFonts w:cs="Arial"/>
          <w:bCs/>
          <w:szCs w:val="24"/>
        </w:rPr>
        <w:t xml:space="preserve">, tiene como propósito </w:t>
      </w:r>
      <w:r w:rsidRPr="00EC5FAF">
        <w:rPr>
          <w:rFonts w:cs="Arial"/>
          <w:bCs/>
          <w:szCs w:val="24"/>
        </w:rPr>
        <w:t xml:space="preserve">contar con un diagnóstico en materia del derecho a la vivienda digna y decorosa que permita entender el grado de avance en el cumplimiento pleno del derecho social de las personas, en términos de la obligación del Estado de garantizar </w:t>
      </w:r>
      <w:r w:rsidR="00E95A20" w:rsidRPr="00EC5FAF">
        <w:rPr>
          <w:rFonts w:cs="Arial"/>
          <w:bCs/>
          <w:szCs w:val="24"/>
        </w:rPr>
        <w:t>su disfrute</w:t>
      </w:r>
      <w:r w:rsidRPr="00EC5FAF">
        <w:rPr>
          <w:rFonts w:cs="Arial"/>
          <w:bCs/>
          <w:szCs w:val="24"/>
        </w:rPr>
        <w:t>. ​</w:t>
      </w:r>
      <w:r>
        <w:rPr>
          <w:rFonts w:cs="Arial"/>
          <w:bCs/>
          <w:szCs w:val="24"/>
        </w:rPr>
        <w:t xml:space="preserve">Puede consultarse en línea en: </w:t>
      </w:r>
      <w:hyperlink r:id="rId12" w:history="1">
        <w:r w:rsidRPr="00176E66">
          <w:rPr>
            <w:rStyle w:val="Hyperlink"/>
            <w:rFonts w:cs="Arial"/>
            <w:bCs/>
            <w:szCs w:val="24"/>
          </w:rPr>
          <w:t>https://www.coneval.org.mx/InformesPublicaciones/Paginas/Estudio-Diagnostico-Derecho-Vivienda-2018.aspx</w:t>
        </w:r>
      </w:hyperlink>
    </w:p>
    <w:p w:rsidR="00EC5FAF" w:rsidRPr="00A276D1" w:rsidRDefault="00EC5FAF" w:rsidP="00A276D1">
      <w:pPr>
        <w:spacing w:after="0" w:line="240" w:lineRule="auto"/>
        <w:jc w:val="both"/>
        <w:rPr>
          <w:rFonts w:cs="Arial"/>
          <w:bCs/>
          <w:sz w:val="12"/>
          <w:szCs w:val="12"/>
        </w:rPr>
      </w:pPr>
    </w:p>
    <w:p w:rsidR="001D613E" w:rsidRDefault="001D613E" w:rsidP="00A276D1">
      <w:pPr>
        <w:spacing w:after="0" w:line="240" w:lineRule="auto"/>
        <w:jc w:val="both"/>
        <w:rPr>
          <w:rFonts w:cs="Arial"/>
          <w:bCs/>
          <w:szCs w:val="24"/>
        </w:rPr>
      </w:pPr>
      <w:r>
        <w:rPr>
          <w:rFonts w:cs="Arial"/>
          <w:bCs/>
          <w:szCs w:val="24"/>
        </w:rPr>
        <w:t xml:space="preserve">La </w:t>
      </w:r>
      <w:r w:rsidRPr="001D613E">
        <w:rPr>
          <w:rFonts w:cs="Arial"/>
          <w:bCs/>
          <w:i/>
          <w:szCs w:val="24"/>
        </w:rPr>
        <w:t>“Encuesta Nacional de los Hogares (ENH) 2017”</w:t>
      </w:r>
      <w:r>
        <w:rPr>
          <w:rFonts w:cs="Arial"/>
          <w:bCs/>
          <w:i/>
          <w:szCs w:val="24"/>
        </w:rPr>
        <w:t xml:space="preserve">, </w:t>
      </w:r>
      <w:r w:rsidRPr="001D613E">
        <w:rPr>
          <w:rFonts w:cs="Arial"/>
          <w:bCs/>
          <w:szCs w:val="24"/>
        </w:rPr>
        <w:t>se realiza con el propósito de conocer las características de las viviendas; datos sociodemográficos acerca de los integrantes del hogar, su ocupación, educación; así como la disponibilidad de bienes y servicios de tecnologías de la información y las comunicaciones en los hogares.</w:t>
      </w:r>
      <w:r w:rsidRPr="00EC5FAF">
        <w:rPr>
          <w:rFonts w:cs="Arial"/>
          <w:bCs/>
          <w:szCs w:val="24"/>
        </w:rPr>
        <w:t>​</w:t>
      </w:r>
      <w:r>
        <w:rPr>
          <w:rFonts w:cs="Arial"/>
          <w:bCs/>
          <w:szCs w:val="24"/>
        </w:rPr>
        <w:t xml:space="preserve">Puede consultarse en línea en: </w:t>
      </w:r>
      <w:hyperlink r:id="rId13" w:history="1">
        <w:r w:rsidRPr="00176E66">
          <w:rPr>
            <w:rStyle w:val="Hyperlink"/>
            <w:rFonts w:cs="Arial"/>
            <w:bCs/>
            <w:szCs w:val="24"/>
          </w:rPr>
          <w:t>https://www.inegi.org.mx/programas/enh/2017/</w:t>
        </w:r>
      </w:hyperlink>
    </w:p>
    <w:p w:rsidR="001D613E" w:rsidRPr="00A276D1" w:rsidRDefault="001D613E" w:rsidP="00A276D1">
      <w:pPr>
        <w:spacing w:after="0" w:line="240" w:lineRule="auto"/>
        <w:jc w:val="both"/>
        <w:rPr>
          <w:rFonts w:cs="Arial"/>
          <w:bCs/>
          <w:sz w:val="12"/>
          <w:szCs w:val="12"/>
        </w:rPr>
      </w:pPr>
    </w:p>
    <w:p w:rsidR="001D613E" w:rsidRDefault="001D613E" w:rsidP="00A276D1">
      <w:pPr>
        <w:spacing w:after="0" w:line="240" w:lineRule="auto"/>
        <w:jc w:val="both"/>
        <w:rPr>
          <w:rFonts w:cs="Arial"/>
          <w:bCs/>
          <w:szCs w:val="24"/>
        </w:rPr>
      </w:pPr>
      <w:r>
        <w:rPr>
          <w:rFonts w:cs="Arial"/>
          <w:bCs/>
          <w:szCs w:val="24"/>
        </w:rPr>
        <w:t xml:space="preserve">La </w:t>
      </w:r>
      <w:r w:rsidRPr="001D613E">
        <w:rPr>
          <w:rFonts w:cs="Arial"/>
          <w:bCs/>
          <w:i/>
          <w:szCs w:val="24"/>
        </w:rPr>
        <w:t>“Encuesta Nacional de Vivienda (ENVI) 2014”</w:t>
      </w:r>
      <w:r>
        <w:rPr>
          <w:rFonts w:cs="Arial"/>
          <w:bCs/>
          <w:i/>
          <w:szCs w:val="24"/>
        </w:rPr>
        <w:t xml:space="preserve">, </w:t>
      </w:r>
      <w:r>
        <w:rPr>
          <w:rFonts w:cs="Arial"/>
          <w:bCs/>
          <w:szCs w:val="24"/>
        </w:rPr>
        <w:t xml:space="preserve">se realizó por primera vez por el </w:t>
      </w:r>
      <w:r w:rsidRPr="001D613E">
        <w:rPr>
          <w:rFonts w:cs="Arial"/>
          <w:bCs/>
          <w:szCs w:val="24"/>
        </w:rPr>
        <w:t>Instituto Nacional de Estadística y Geografía (INEGI), con el apoyo de la Comisión Nacional de Vivienda (CONAVI), el Fondo de la Vivienda del ISSSTE (FOVISSSTE), el Instituto del Fondo Nacional de la Vivienda para los Trabajadores (INFONAVIT), y la Sociedad Hipotecaria Federal (SHF)</w:t>
      </w:r>
      <w:r>
        <w:rPr>
          <w:rFonts w:cs="Arial"/>
          <w:bCs/>
          <w:szCs w:val="24"/>
        </w:rPr>
        <w:t xml:space="preserve">. Puede consultarse en línea en: </w:t>
      </w:r>
      <w:hyperlink r:id="rId14" w:history="1">
        <w:r w:rsidRPr="00176E66">
          <w:rPr>
            <w:rStyle w:val="Hyperlink"/>
            <w:rFonts w:cs="Arial"/>
            <w:bCs/>
            <w:szCs w:val="24"/>
          </w:rPr>
          <w:t>https://www.inegi.org.mx/programas/envi/2014/</w:t>
        </w:r>
      </w:hyperlink>
    </w:p>
    <w:p w:rsidR="001D613E" w:rsidRPr="00A276D1" w:rsidRDefault="001D613E" w:rsidP="00A276D1">
      <w:pPr>
        <w:spacing w:after="0" w:line="240" w:lineRule="auto"/>
        <w:jc w:val="both"/>
        <w:rPr>
          <w:rFonts w:cs="Arial"/>
          <w:bCs/>
          <w:i/>
          <w:sz w:val="12"/>
          <w:szCs w:val="12"/>
        </w:rPr>
      </w:pPr>
    </w:p>
    <w:p w:rsidR="00467983" w:rsidRDefault="00467983" w:rsidP="00A276D1">
      <w:pPr>
        <w:spacing w:after="0" w:line="240" w:lineRule="auto"/>
        <w:jc w:val="both"/>
        <w:rPr>
          <w:rFonts w:cs="Arial"/>
          <w:bCs/>
          <w:szCs w:val="24"/>
        </w:rPr>
      </w:pPr>
      <w:r>
        <w:rPr>
          <w:rFonts w:cs="Arial"/>
          <w:bCs/>
          <w:szCs w:val="24"/>
        </w:rPr>
        <w:t xml:space="preserve">El proyecto </w:t>
      </w:r>
      <w:r w:rsidRPr="00467983">
        <w:rPr>
          <w:rFonts w:cs="Arial"/>
          <w:bCs/>
          <w:i/>
          <w:szCs w:val="24"/>
        </w:rPr>
        <w:t>“Documenta desde abajo Contra el desamparo del Estado: violaciones a los derechos de las personas damnificadas por el sismo 19s”</w:t>
      </w:r>
      <w:r>
        <w:rPr>
          <w:rFonts w:cs="Arial"/>
          <w:bCs/>
          <w:i/>
          <w:szCs w:val="24"/>
        </w:rPr>
        <w:t xml:space="preserve">, </w:t>
      </w:r>
      <w:r>
        <w:rPr>
          <w:rFonts w:cs="Arial"/>
          <w:bCs/>
          <w:szCs w:val="24"/>
        </w:rPr>
        <w:t xml:space="preserve">con el propósito de tener un acercamiento con las personas damnificadas por el sismo del 19 de septiembre de 2017 en nuestro país, </w:t>
      </w:r>
      <w:r w:rsidRPr="00467983">
        <w:rPr>
          <w:rFonts w:cs="Arial"/>
          <w:bCs/>
          <w:szCs w:val="24"/>
        </w:rPr>
        <w:t xml:space="preserve">para </w:t>
      </w:r>
      <w:r w:rsidR="00E95A20" w:rsidRPr="00467983">
        <w:rPr>
          <w:rFonts w:cs="Arial"/>
          <w:bCs/>
          <w:szCs w:val="24"/>
        </w:rPr>
        <w:t>poder conocer</w:t>
      </w:r>
      <w:r w:rsidRPr="00467983">
        <w:rPr>
          <w:rFonts w:cs="Arial"/>
          <w:bCs/>
          <w:szCs w:val="24"/>
        </w:rPr>
        <w:t xml:space="preserve"> qué afectaciones sufrieron, relacionarlas con la violación de </w:t>
      </w:r>
      <w:r w:rsidR="00E95A20" w:rsidRPr="00467983">
        <w:rPr>
          <w:rFonts w:cs="Arial"/>
          <w:bCs/>
          <w:szCs w:val="24"/>
        </w:rPr>
        <w:t>sus derechos</w:t>
      </w:r>
      <w:r w:rsidRPr="00467983">
        <w:rPr>
          <w:rFonts w:cs="Arial"/>
          <w:bCs/>
          <w:szCs w:val="24"/>
        </w:rPr>
        <w:t xml:space="preserve"> humanos y con las responsabilidades de autoridades obligadas </w:t>
      </w:r>
      <w:r w:rsidR="00E95A20" w:rsidRPr="00467983">
        <w:rPr>
          <w:rFonts w:cs="Arial"/>
          <w:bCs/>
          <w:szCs w:val="24"/>
        </w:rPr>
        <w:t>a atender</w:t>
      </w:r>
      <w:r w:rsidRPr="00467983">
        <w:rPr>
          <w:rFonts w:cs="Arial"/>
          <w:bCs/>
          <w:szCs w:val="24"/>
        </w:rPr>
        <w:t xml:space="preserve"> estas situaciones.</w:t>
      </w:r>
      <w:r>
        <w:rPr>
          <w:rFonts w:cs="Arial"/>
          <w:bCs/>
          <w:szCs w:val="24"/>
        </w:rPr>
        <w:t xml:space="preserve"> Puede consultarse en línea en: </w:t>
      </w:r>
      <w:hyperlink r:id="rId15" w:history="1">
        <w:r w:rsidRPr="00176E66">
          <w:rPr>
            <w:rStyle w:val="Hyperlink"/>
            <w:rFonts w:cs="Arial"/>
            <w:bCs/>
            <w:szCs w:val="24"/>
          </w:rPr>
          <w:t>http://ru.juridicas.unam.mx/xmlui/handle/123456789/57211</w:t>
        </w:r>
      </w:hyperlink>
    </w:p>
    <w:p w:rsidR="00467983" w:rsidRPr="00A276D1" w:rsidRDefault="00467983" w:rsidP="00A276D1">
      <w:pPr>
        <w:spacing w:after="0" w:line="240" w:lineRule="auto"/>
        <w:jc w:val="both"/>
        <w:rPr>
          <w:rFonts w:cs="Arial"/>
          <w:bCs/>
          <w:sz w:val="12"/>
          <w:szCs w:val="12"/>
        </w:rPr>
      </w:pPr>
    </w:p>
    <w:p w:rsidR="008E54C5" w:rsidRDefault="008E54C5" w:rsidP="00A276D1">
      <w:pPr>
        <w:spacing w:after="0" w:line="240" w:lineRule="auto"/>
        <w:jc w:val="both"/>
        <w:rPr>
          <w:rFonts w:cs="Arial"/>
          <w:bCs/>
          <w:szCs w:val="24"/>
        </w:rPr>
      </w:pPr>
      <w:bookmarkStart w:id="1" w:name="_Hlk69308919"/>
      <w:r w:rsidRPr="008E54C5">
        <w:rPr>
          <w:rFonts w:cs="Arial"/>
          <w:bCs/>
          <w:szCs w:val="24"/>
        </w:rPr>
        <w:t xml:space="preserve">El </w:t>
      </w:r>
      <w:r w:rsidRPr="008E54C5">
        <w:rPr>
          <w:rFonts w:cs="Arial"/>
          <w:bCs/>
          <w:i/>
          <w:szCs w:val="24"/>
        </w:rPr>
        <w:t>“Informe Alternativo DESCA conjunto 2017”,</w:t>
      </w:r>
      <w:r>
        <w:rPr>
          <w:rFonts w:cs="Arial"/>
          <w:bCs/>
          <w:szCs w:val="24"/>
        </w:rPr>
        <w:t xml:space="preserve"> presenta </w:t>
      </w:r>
      <w:r w:rsidRPr="008E54C5">
        <w:rPr>
          <w:rFonts w:cs="Arial"/>
          <w:bCs/>
          <w:szCs w:val="24"/>
        </w:rPr>
        <w:t xml:space="preserve">información relevante sobre estos derechos, exponiendo tanto el estado que guarda su cumplimiento, como los obstáculos, los retrocesos, las limitaciones y los desafíos </w:t>
      </w:r>
      <w:r>
        <w:rPr>
          <w:rFonts w:cs="Arial"/>
          <w:bCs/>
          <w:szCs w:val="24"/>
        </w:rPr>
        <w:t xml:space="preserve">identificados </w:t>
      </w:r>
      <w:r w:rsidRPr="008E54C5">
        <w:rPr>
          <w:rFonts w:cs="Arial"/>
          <w:bCs/>
          <w:szCs w:val="24"/>
        </w:rPr>
        <w:t>para la plena realización de los DESCA en México</w:t>
      </w:r>
      <w:r>
        <w:rPr>
          <w:rFonts w:cs="Arial"/>
          <w:bCs/>
          <w:szCs w:val="24"/>
        </w:rPr>
        <w:t>. Puede consultarse en línea en:</w:t>
      </w:r>
      <w:hyperlink r:id="rId16" w:history="1">
        <w:r w:rsidRPr="00176E66">
          <w:rPr>
            <w:rStyle w:val="Hyperlink"/>
            <w:rFonts w:cs="Arial"/>
            <w:bCs/>
            <w:szCs w:val="24"/>
          </w:rPr>
          <w:t>http://cmdpdh.org/project/informe-alternativo-desca-conjunto-2017/</w:t>
        </w:r>
      </w:hyperlink>
    </w:p>
    <w:p w:rsidR="008E54C5" w:rsidRPr="00A276D1" w:rsidRDefault="008E54C5" w:rsidP="00A276D1">
      <w:pPr>
        <w:spacing w:after="0" w:line="240" w:lineRule="auto"/>
        <w:jc w:val="both"/>
        <w:rPr>
          <w:rFonts w:cs="Arial"/>
          <w:bCs/>
          <w:sz w:val="12"/>
          <w:szCs w:val="12"/>
        </w:rPr>
      </w:pPr>
    </w:p>
    <w:p w:rsidR="00540EBB" w:rsidRDefault="008E54C5" w:rsidP="00A276D1">
      <w:pPr>
        <w:spacing w:after="0" w:line="240" w:lineRule="auto"/>
        <w:jc w:val="both"/>
      </w:pPr>
      <w:r>
        <w:rPr>
          <w:rFonts w:cs="Arial"/>
          <w:bCs/>
          <w:szCs w:val="24"/>
        </w:rPr>
        <w:t xml:space="preserve">El </w:t>
      </w:r>
      <w:r w:rsidRPr="00540EBB">
        <w:rPr>
          <w:rFonts w:cs="Arial"/>
          <w:bCs/>
          <w:i/>
          <w:szCs w:val="24"/>
        </w:rPr>
        <w:t>“Informe Especial sobre Desplazamiento Forzado Interno (DFI) en México”</w:t>
      </w:r>
      <w:r w:rsidR="00540EBB">
        <w:rPr>
          <w:rFonts w:cs="Arial"/>
          <w:bCs/>
          <w:i/>
          <w:szCs w:val="24"/>
        </w:rPr>
        <w:t xml:space="preserve">, </w:t>
      </w:r>
      <w:r w:rsidR="00540EBB">
        <w:rPr>
          <w:rFonts w:cs="Arial"/>
          <w:bCs/>
          <w:szCs w:val="24"/>
        </w:rPr>
        <w:t xml:space="preserve">realizado por la Comisión Nacional de los Derechos Humanos en mayo de 2016, con el propósito de </w:t>
      </w:r>
      <w:r w:rsidR="00540EBB" w:rsidRPr="00540EBB">
        <w:rPr>
          <w:rFonts w:cs="Arial"/>
          <w:bCs/>
          <w:szCs w:val="24"/>
        </w:rPr>
        <w:t xml:space="preserve">analizar las causas, las manifestaciones y </w:t>
      </w:r>
      <w:r w:rsidR="00E95A20" w:rsidRPr="00540EBB">
        <w:rPr>
          <w:rFonts w:cs="Arial"/>
          <w:bCs/>
          <w:szCs w:val="24"/>
        </w:rPr>
        <w:t>las principales</w:t>
      </w:r>
      <w:r w:rsidR="00540EBB" w:rsidRPr="00540EBB">
        <w:rPr>
          <w:rFonts w:cs="Arial"/>
          <w:bCs/>
          <w:szCs w:val="24"/>
        </w:rPr>
        <w:t xml:space="preserve"> problemáticas del DFI en México, con el fin de proponer medidas y </w:t>
      </w:r>
      <w:r w:rsidR="00E95A20" w:rsidRPr="00540EBB">
        <w:rPr>
          <w:rFonts w:cs="Arial"/>
          <w:bCs/>
          <w:szCs w:val="24"/>
        </w:rPr>
        <w:t>acciones para</w:t>
      </w:r>
      <w:r w:rsidR="00540EBB" w:rsidRPr="00540EBB">
        <w:rPr>
          <w:rFonts w:cs="Arial"/>
          <w:bCs/>
          <w:szCs w:val="24"/>
        </w:rPr>
        <w:t xml:space="preserve"> la protección de personas desplazadas que son víctimas de violaciones múltiples </w:t>
      </w:r>
      <w:r w:rsidR="00E95A20" w:rsidRPr="00540EBB">
        <w:rPr>
          <w:rFonts w:cs="Arial"/>
          <w:bCs/>
          <w:szCs w:val="24"/>
        </w:rPr>
        <w:t>en sus</w:t>
      </w:r>
      <w:r w:rsidR="00540EBB" w:rsidRPr="00540EBB">
        <w:rPr>
          <w:rFonts w:cs="Arial"/>
          <w:bCs/>
          <w:szCs w:val="24"/>
        </w:rPr>
        <w:t xml:space="preserve"> derechos humanos. </w:t>
      </w:r>
      <w:r w:rsidR="00540EBB">
        <w:rPr>
          <w:rFonts w:cs="Arial"/>
          <w:bCs/>
          <w:szCs w:val="24"/>
        </w:rPr>
        <w:t>Puede consultarse en línea en:</w:t>
      </w:r>
      <w:hyperlink r:id="rId17" w:history="1">
        <w:r w:rsidR="00540EBB" w:rsidRPr="00176E66">
          <w:rPr>
            <w:rStyle w:val="Hyperlink"/>
          </w:rPr>
          <w:t>https://www.cndh.org.mx/sites/all/doc/Informes/Especiales/2016_IE_Desplazados.pdf</w:t>
        </w:r>
      </w:hyperlink>
    </w:p>
    <w:p w:rsidR="00CE1EB2" w:rsidRPr="00A276D1" w:rsidRDefault="00CE1EB2" w:rsidP="00A276D1">
      <w:pPr>
        <w:spacing w:after="0" w:line="240" w:lineRule="auto"/>
        <w:jc w:val="both"/>
        <w:rPr>
          <w:sz w:val="12"/>
          <w:szCs w:val="12"/>
        </w:rPr>
      </w:pPr>
    </w:p>
    <w:p w:rsidR="00CE1EB2" w:rsidRDefault="00E55251" w:rsidP="00A276D1">
      <w:pPr>
        <w:spacing w:after="0" w:line="240" w:lineRule="auto"/>
        <w:jc w:val="both"/>
      </w:pPr>
      <w:r>
        <w:t xml:space="preserve">El estudio </w:t>
      </w:r>
      <w:r w:rsidRPr="00E55251">
        <w:rPr>
          <w:i/>
        </w:rPr>
        <w:t>“La vivienda en el centro de los ODS en México”</w:t>
      </w:r>
      <w:r>
        <w:t xml:space="preserve">, resultado de la colaboración entre </w:t>
      </w:r>
      <w:r w:rsidRPr="00E55251">
        <w:t>ONU-</w:t>
      </w:r>
      <w:r w:rsidR="00E95A20" w:rsidRPr="00E55251">
        <w:t>Hábitat</w:t>
      </w:r>
      <w:r w:rsidRPr="00E55251">
        <w:t xml:space="preserve"> y el Instituto Nacional del Fondo de Vivienda de los Trabajadores (Infonavit)</w:t>
      </w:r>
      <w:r>
        <w:t xml:space="preserve">, </w:t>
      </w:r>
      <w:r w:rsidRPr="00E55251">
        <w:t>está dirigido a todos los actores del sector habitacional mexicano. Busca contribuir a la realización del derecho a una vivienda adecuada para todos, al tiempo que respalda el papel central del sector en el cumplimiento de la Agenda 2030 en México.</w:t>
      </w:r>
      <w:hyperlink r:id="rId18" w:history="1">
        <w:r w:rsidR="00CE1EB2" w:rsidRPr="00176E66">
          <w:rPr>
            <w:rStyle w:val="Hyperlink"/>
          </w:rPr>
          <w:t>https://www.onu.org.mx/wp-content/uploads/2019/04/VIVIENDA_Y_ODS.pdf</w:t>
        </w:r>
      </w:hyperlink>
    </w:p>
    <w:p w:rsidR="008E54C5" w:rsidRPr="00A276D1" w:rsidRDefault="008E54C5" w:rsidP="00A276D1">
      <w:pPr>
        <w:spacing w:after="0" w:line="240" w:lineRule="auto"/>
        <w:jc w:val="both"/>
        <w:rPr>
          <w:rFonts w:cs="Arial"/>
          <w:bCs/>
          <w:sz w:val="12"/>
          <w:szCs w:val="12"/>
          <w:highlight w:val="yellow"/>
        </w:rPr>
      </w:pPr>
    </w:p>
    <w:p w:rsidR="00890B4C" w:rsidRDefault="00890B4C" w:rsidP="00A276D1">
      <w:pPr>
        <w:spacing w:after="0" w:line="240" w:lineRule="auto"/>
        <w:jc w:val="both"/>
        <w:rPr>
          <w:rFonts w:cs="Arial"/>
          <w:b/>
          <w:bCs/>
          <w:szCs w:val="24"/>
        </w:rPr>
      </w:pPr>
      <w:r w:rsidRPr="0002507F">
        <w:rPr>
          <w:rFonts w:cs="Arial"/>
          <w:b/>
          <w:bCs/>
          <w:szCs w:val="24"/>
        </w:rPr>
        <w:t>30.</w:t>
      </w:r>
      <w:r w:rsidRPr="00540EBB">
        <w:rPr>
          <w:rFonts w:cs="Arial"/>
          <w:b/>
          <w:bCs/>
          <w:szCs w:val="24"/>
        </w:rPr>
        <w:t xml:space="preserve"> ¿Puede por favor proporcionar información y estadísticas relacionadas con las denuncias con discriminación en relación al derecho a una vivienda </w:t>
      </w:r>
      <w:r w:rsidRPr="00540EBB">
        <w:rPr>
          <w:rFonts w:cs="Arial"/>
          <w:b/>
          <w:bCs/>
          <w:szCs w:val="24"/>
        </w:rPr>
        <w:lastRenderedPageBreak/>
        <w:t>adecuada? ¿Cómo se han investigado y resuelto</w:t>
      </w:r>
      <w:r w:rsidR="007A0C3F" w:rsidRPr="00540EBB">
        <w:rPr>
          <w:rFonts w:cs="Arial"/>
          <w:b/>
          <w:bCs/>
          <w:szCs w:val="24"/>
        </w:rPr>
        <w:t xml:space="preserve"> estos casos, y, que información se puede proporcionar sobre casos en que se ha logrado requerir que actores privados o públicos pongan fin a dicha discriminación (por ejemplo, casos donde se ha logrado imponer sanciones o multas por incumplimiento)?</w:t>
      </w:r>
      <w:bookmarkEnd w:id="1"/>
    </w:p>
    <w:p w:rsidR="00D03670" w:rsidRPr="00D03670" w:rsidRDefault="00D03670" w:rsidP="00A276D1">
      <w:pPr>
        <w:spacing w:after="0" w:line="240" w:lineRule="auto"/>
        <w:jc w:val="both"/>
        <w:rPr>
          <w:rFonts w:cs="Arial"/>
          <w:bCs/>
          <w:szCs w:val="24"/>
        </w:rPr>
      </w:pPr>
    </w:p>
    <w:p w:rsidR="00D03670" w:rsidRDefault="00D03670" w:rsidP="00A276D1">
      <w:pPr>
        <w:spacing w:after="0" w:line="240" w:lineRule="auto"/>
        <w:jc w:val="both"/>
        <w:rPr>
          <w:rFonts w:cs="Arial"/>
          <w:bCs/>
          <w:szCs w:val="24"/>
        </w:rPr>
      </w:pPr>
      <w:r w:rsidRPr="00D03670">
        <w:rPr>
          <w:rFonts w:cs="Arial"/>
          <w:bCs/>
          <w:szCs w:val="24"/>
        </w:rPr>
        <w:t>El INEGI</w:t>
      </w:r>
      <w:r>
        <w:rPr>
          <w:rFonts w:cs="Arial"/>
          <w:bCs/>
          <w:szCs w:val="24"/>
        </w:rPr>
        <w:t xml:space="preserve"> realizó l</w:t>
      </w:r>
      <w:r w:rsidRPr="00D03670">
        <w:rPr>
          <w:rFonts w:cs="Arial"/>
          <w:bCs/>
          <w:szCs w:val="24"/>
        </w:rPr>
        <w:t xml:space="preserve">a </w:t>
      </w:r>
      <w:r w:rsidRPr="00D03670">
        <w:rPr>
          <w:rFonts w:cs="Arial"/>
          <w:bCs/>
          <w:i/>
          <w:szCs w:val="24"/>
        </w:rPr>
        <w:t>“Encuesta Nacional sobre Discriminación en México 2017”</w:t>
      </w:r>
      <w:r w:rsidRPr="00D03670">
        <w:rPr>
          <w:rFonts w:cs="Arial"/>
          <w:bCs/>
          <w:szCs w:val="24"/>
        </w:rPr>
        <w:t>, con la finalidad de obtener información relevante y actualizada, sobre la situación que guarda actualmente la discriminación en el país, específicamente hacia los grupos de estudio, que históricamente se han visto afectados en sus derechos individuales.</w:t>
      </w:r>
      <w:r w:rsidR="0002507F">
        <w:rPr>
          <w:rFonts w:cs="Arial"/>
          <w:bCs/>
          <w:szCs w:val="24"/>
        </w:rPr>
        <w:t xml:space="preserve"> Los resultados de la encuesta pueden consultarse en: </w:t>
      </w:r>
      <w:hyperlink r:id="rId19" w:history="1">
        <w:r w:rsidR="0002507F" w:rsidRPr="00176E66">
          <w:rPr>
            <w:rStyle w:val="Hyperlink"/>
            <w:rFonts w:cs="Arial"/>
            <w:bCs/>
            <w:szCs w:val="24"/>
          </w:rPr>
          <w:t>http://sindis.conapred.org.mx/wp-content/uploads/2019/02/ENADIS_2017_Prontuario.pdf</w:t>
        </w:r>
      </w:hyperlink>
    </w:p>
    <w:p w:rsidR="00D03670" w:rsidRPr="00A276D1" w:rsidRDefault="00D03670" w:rsidP="00A276D1">
      <w:pPr>
        <w:spacing w:after="0" w:line="240" w:lineRule="auto"/>
        <w:jc w:val="both"/>
        <w:rPr>
          <w:rFonts w:cs="Arial"/>
          <w:bCs/>
          <w:sz w:val="12"/>
          <w:szCs w:val="12"/>
        </w:rPr>
      </w:pPr>
    </w:p>
    <w:p w:rsidR="00D03670" w:rsidRDefault="00D03670" w:rsidP="00A276D1">
      <w:pPr>
        <w:spacing w:after="0" w:line="240" w:lineRule="auto"/>
        <w:jc w:val="both"/>
        <w:rPr>
          <w:rFonts w:cs="Arial"/>
          <w:bCs/>
          <w:szCs w:val="24"/>
        </w:rPr>
      </w:pPr>
      <w:r>
        <w:rPr>
          <w:rFonts w:cs="Arial"/>
          <w:bCs/>
          <w:szCs w:val="24"/>
        </w:rPr>
        <w:t xml:space="preserve">En México se creó en 2004 el </w:t>
      </w:r>
      <w:r w:rsidRPr="00D03670">
        <w:rPr>
          <w:rFonts w:cs="Arial"/>
          <w:bCs/>
          <w:i/>
          <w:szCs w:val="24"/>
        </w:rPr>
        <w:t>“Consejo Nacional para Prevenir la Discriminación (CONAPRED)”</w:t>
      </w:r>
      <w:r w:rsidRPr="00D03670">
        <w:rPr>
          <w:rFonts w:cs="Arial"/>
          <w:bCs/>
          <w:szCs w:val="24"/>
        </w:rPr>
        <w:t>, como órgano del Estado mexicano responsable de velar por la protección, respeto, cumplimiento y promoción del derecho a la no discriminación</w:t>
      </w:r>
      <w:r>
        <w:rPr>
          <w:rFonts w:cs="Arial"/>
          <w:bCs/>
          <w:szCs w:val="24"/>
        </w:rPr>
        <w:t xml:space="preserve">. </w:t>
      </w:r>
    </w:p>
    <w:p w:rsidR="00D03670" w:rsidRPr="00A276D1" w:rsidRDefault="00D03670" w:rsidP="00A276D1">
      <w:pPr>
        <w:spacing w:after="0" w:line="240" w:lineRule="auto"/>
        <w:jc w:val="both"/>
        <w:rPr>
          <w:rFonts w:cs="Arial"/>
          <w:bCs/>
          <w:sz w:val="12"/>
          <w:szCs w:val="12"/>
        </w:rPr>
      </w:pPr>
    </w:p>
    <w:p w:rsidR="00890B4C" w:rsidRDefault="00D03670" w:rsidP="00A276D1">
      <w:pPr>
        <w:spacing w:after="0" w:line="240" w:lineRule="auto"/>
        <w:jc w:val="both"/>
        <w:rPr>
          <w:rFonts w:cs="Arial"/>
          <w:bCs/>
          <w:szCs w:val="24"/>
        </w:rPr>
      </w:pPr>
      <w:r w:rsidRPr="00D03670">
        <w:rPr>
          <w:rFonts w:cs="Arial"/>
          <w:bCs/>
          <w:szCs w:val="24"/>
        </w:rPr>
        <w:t>El CONAPRED como órgano público encargado de la prevención y elaboración de políticas públicas contra la discriminación, ha elaborado dos encuestas nacionales que en conjunto generaron estadísticas y documentación respecto a la temática. El primero junto con la Secretaría de Desarrollo Social en 2005</w:t>
      </w:r>
      <w:r>
        <w:rPr>
          <w:rFonts w:cs="Arial"/>
          <w:bCs/>
          <w:szCs w:val="24"/>
        </w:rPr>
        <w:t>. (ENADIS 2005)</w:t>
      </w:r>
      <w:r w:rsidRPr="00D03670">
        <w:rPr>
          <w:rFonts w:cs="Arial"/>
          <w:bCs/>
          <w:szCs w:val="24"/>
        </w:rPr>
        <w:t>; el segundo, con el Instituto de Investigaciones Jurídicas de la UNAM en 2010</w:t>
      </w:r>
      <w:r>
        <w:rPr>
          <w:rFonts w:cs="Arial"/>
          <w:bCs/>
          <w:szCs w:val="24"/>
        </w:rPr>
        <w:t>, (ENADIS 2010).</w:t>
      </w:r>
    </w:p>
    <w:p w:rsidR="00B35834" w:rsidRPr="00A276D1" w:rsidRDefault="00B35834" w:rsidP="00A276D1">
      <w:pPr>
        <w:spacing w:after="0" w:line="240" w:lineRule="auto"/>
        <w:jc w:val="both"/>
        <w:rPr>
          <w:rFonts w:cs="Arial"/>
          <w:bCs/>
          <w:sz w:val="12"/>
          <w:szCs w:val="12"/>
        </w:rPr>
      </w:pPr>
    </w:p>
    <w:p w:rsidR="00D03670" w:rsidRDefault="00D03670" w:rsidP="00A276D1">
      <w:pPr>
        <w:spacing w:after="0" w:line="240" w:lineRule="auto"/>
        <w:jc w:val="both"/>
        <w:rPr>
          <w:rFonts w:cs="Arial"/>
          <w:bCs/>
          <w:szCs w:val="24"/>
        </w:rPr>
      </w:pPr>
      <w:r w:rsidRPr="00D03670">
        <w:rPr>
          <w:rFonts w:cs="Arial"/>
          <w:bCs/>
          <w:szCs w:val="24"/>
        </w:rPr>
        <w:t xml:space="preserve">La Encuesta Nacional sobre Discriminación en México ENADIS 2010 </w:t>
      </w:r>
      <w:r>
        <w:rPr>
          <w:rFonts w:cs="Arial"/>
          <w:bCs/>
          <w:szCs w:val="24"/>
        </w:rPr>
        <w:t>se encuentra</w:t>
      </w:r>
      <w:r w:rsidRPr="00D03670">
        <w:rPr>
          <w:rFonts w:cs="Arial"/>
          <w:bCs/>
          <w:szCs w:val="24"/>
        </w:rPr>
        <w:t xml:space="preserve"> disponible en:</w:t>
      </w:r>
      <w:hyperlink r:id="rId20" w:history="1">
        <w:r w:rsidRPr="00176E66">
          <w:rPr>
            <w:rStyle w:val="Hyperlink"/>
            <w:rFonts w:cs="Arial"/>
            <w:bCs/>
            <w:szCs w:val="24"/>
          </w:rPr>
          <w:t>https://www.conapred.org.mx/userfiles/files/Enadis-2010-RG-Accss-002.pdf</w:t>
        </w:r>
      </w:hyperlink>
    </w:p>
    <w:p w:rsidR="00D03670" w:rsidRPr="00A276D1" w:rsidRDefault="00D03670" w:rsidP="00A276D1">
      <w:pPr>
        <w:spacing w:after="0" w:line="240" w:lineRule="auto"/>
        <w:jc w:val="both"/>
        <w:rPr>
          <w:rFonts w:cs="Arial"/>
          <w:b/>
          <w:bCs/>
          <w:sz w:val="12"/>
          <w:szCs w:val="12"/>
        </w:rPr>
      </w:pPr>
    </w:p>
    <w:p w:rsidR="00D03670" w:rsidRDefault="00D03670" w:rsidP="00A276D1">
      <w:pPr>
        <w:spacing w:after="0" w:line="240" w:lineRule="auto"/>
        <w:jc w:val="both"/>
        <w:rPr>
          <w:rFonts w:cs="Arial"/>
          <w:color w:val="222222"/>
          <w:shd w:val="clear" w:color="auto" w:fill="FFFFFF"/>
        </w:rPr>
      </w:pPr>
      <w:r w:rsidRPr="00D03670">
        <w:rPr>
          <w:rFonts w:cs="Arial"/>
          <w:color w:val="222222"/>
          <w:shd w:val="clear" w:color="auto" w:fill="FFFFFF"/>
        </w:rPr>
        <w:t>La recopilación de información estadística sobre la discriminación ha sido abordada tanto por el CONAPRED, como por organismos públicos y privados, así como instituciones de educación superior, cuyo interés concuerda con los grupos de estudio</w:t>
      </w:r>
      <w:r w:rsidR="00A276D1">
        <w:rPr>
          <w:rFonts w:cs="Arial"/>
          <w:color w:val="222222"/>
          <w:shd w:val="clear" w:color="auto" w:fill="FFFFFF"/>
        </w:rPr>
        <w:t>,</w:t>
      </w:r>
      <w:r w:rsidRPr="00D03670">
        <w:rPr>
          <w:rFonts w:cs="Arial"/>
          <w:color w:val="222222"/>
          <w:shd w:val="clear" w:color="auto" w:fill="FFFFFF"/>
        </w:rPr>
        <w:t xml:space="preserve"> mencionados.</w:t>
      </w:r>
    </w:p>
    <w:p w:rsidR="00B35834" w:rsidRPr="00A276D1" w:rsidRDefault="00B35834" w:rsidP="00A276D1">
      <w:pPr>
        <w:spacing w:after="0" w:line="240" w:lineRule="auto"/>
        <w:jc w:val="both"/>
        <w:rPr>
          <w:rFonts w:cs="Arial"/>
          <w:color w:val="222222"/>
          <w:sz w:val="12"/>
          <w:szCs w:val="12"/>
          <w:shd w:val="clear" w:color="auto" w:fill="FFFFFF"/>
        </w:rPr>
      </w:pPr>
    </w:p>
    <w:p w:rsidR="00D03670" w:rsidRPr="00A276D1" w:rsidRDefault="00D03670" w:rsidP="00A276D1">
      <w:pPr>
        <w:pStyle w:val="ListParagraph"/>
        <w:numPr>
          <w:ilvl w:val="0"/>
          <w:numId w:val="23"/>
        </w:numPr>
        <w:spacing w:after="0" w:line="240" w:lineRule="auto"/>
        <w:jc w:val="both"/>
        <w:rPr>
          <w:rFonts w:cs="Arial"/>
          <w:bCs/>
          <w:szCs w:val="24"/>
        </w:rPr>
      </w:pPr>
      <w:r w:rsidRPr="00A276D1">
        <w:rPr>
          <w:rFonts w:cs="Arial"/>
          <w:color w:val="222222"/>
          <w:szCs w:val="24"/>
          <w:shd w:val="clear" w:color="auto" w:fill="FFFFFF"/>
        </w:rPr>
        <w:t>Encuesta de discriminación (EDIS) 2013, elaborada por el Consejo para Prevenir y Eliminar la Discriminación en la Ciudad de México (COPRED).</w:t>
      </w:r>
    </w:p>
    <w:p w:rsidR="00A276D1" w:rsidRPr="00A276D1" w:rsidRDefault="00A276D1" w:rsidP="00A276D1">
      <w:pPr>
        <w:pStyle w:val="ListParagraph"/>
        <w:spacing w:after="0" w:line="240" w:lineRule="auto"/>
        <w:jc w:val="both"/>
        <w:rPr>
          <w:rFonts w:cs="Arial"/>
          <w:bCs/>
          <w:sz w:val="12"/>
          <w:szCs w:val="12"/>
        </w:rPr>
      </w:pPr>
    </w:p>
    <w:p w:rsidR="00D03670" w:rsidRPr="00A276D1" w:rsidRDefault="00D03670" w:rsidP="00A276D1">
      <w:pPr>
        <w:pStyle w:val="ListParagraph"/>
        <w:numPr>
          <w:ilvl w:val="0"/>
          <w:numId w:val="23"/>
        </w:numPr>
        <w:spacing w:after="0" w:line="240" w:lineRule="auto"/>
        <w:jc w:val="both"/>
        <w:rPr>
          <w:rFonts w:cs="Arial"/>
          <w:bCs/>
          <w:szCs w:val="24"/>
        </w:rPr>
      </w:pPr>
      <w:r w:rsidRPr="00A276D1">
        <w:rPr>
          <w:rFonts w:cs="Arial"/>
          <w:color w:val="222222"/>
          <w:szCs w:val="24"/>
          <w:shd w:val="clear" w:color="auto" w:fill="FFFFFF"/>
        </w:rPr>
        <w:t>Encuesta nacional de derechos humanos, discriminación y grupos vulnerables (ENDHDyGV) 2014, realizada por la UNAM.</w:t>
      </w:r>
    </w:p>
    <w:p w:rsidR="00A276D1" w:rsidRPr="00A276D1" w:rsidRDefault="00A276D1" w:rsidP="00A276D1">
      <w:pPr>
        <w:pStyle w:val="ListParagraph"/>
        <w:spacing w:after="0" w:line="240" w:lineRule="auto"/>
        <w:jc w:val="both"/>
        <w:rPr>
          <w:rFonts w:cs="Arial"/>
          <w:bCs/>
          <w:sz w:val="12"/>
          <w:szCs w:val="12"/>
        </w:rPr>
      </w:pPr>
    </w:p>
    <w:p w:rsidR="00C462DE" w:rsidRPr="00A276D1" w:rsidRDefault="00D03670" w:rsidP="00A276D1">
      <w:pPr>
        <w:pStyle w:val="ListParagraph"/>
        <w:numPr>
          <w:ilvl w:val="0"/>
          <w:numId w:val="23"/>
        </w:numPr>
        <w:spacing w:after="0" w:line="240" w:lineRule="auto"/>
        <w:jc w:val="both"/>
        <w:rPr>
          <w:rFonts w:cs="Arial"/>
          <w:bCs/>
          <w:szCs w:val="24"/>
        </w:rPr>
      </w:pPr>
      <w:r w:rsidRPr="00A276D1">
        <w:rPr>
          <w:rFonts w:cs="Arial"/>
          <w:color w:val="222222"/>
          <w:szCs w:val="24"/>
          <w:shd w:val="clear" w:color="auto" w:fill="FFFFFF"/>
        </w:rPr>
        <w:t>Encuesta nacional en vivienda (ENV), distintas ediciones, elaborada por Parametría SA de CV.</w:t>
      </w:r>
    </w:p>
    <w:p w:rsidR="00C462DE" w:rsidRPr="00A276D1" w:rsidRDefault="00C462DE" w:rsidP="00A276D1">
      <w:pPr>
        <w:spacing w:after="0" w:line="240" w:lineRule="auto"/>
        <w:jc w:val="both"/>
        <w:rPr>
          <w:rFonts w:cs="Arial"/>
          <w:bCs/>
          <w:szCs w:val="24"/>
        </w:rPr>
      </w:pPr>
    </w:p>
    <w:p w:rsidR="00AF733A" w:rsidRDefault="00AF733A" w:rsidP="00A276D1">
      <w:pPr>
        <w:spacing w:after="0" w:line="240" w:lineRule="auto"/>
        <w:jc w:val="both"/>
        <w:rPr>
          <w:rFonts w:cs="Arial"/>
          <w:b/>
          <w:bCs/>
          <w:szCs w:val="24"/>
        </w:rPr>
      </w:pPr>
    </w:p>
    <w:p w:rsidR="00902D4C" w:rsidRDefault="00902D4C" w:rsidP="00A276D1">
      <w:pPr>
        <w:spacing w:after="0" w:line="240" w:lineRule="auto"/>
        <w:jc w:val="both"/>
        <w:rPr>
          <w:rFonts w:cs="Arial"/>
          <w:b/>
          <w:bCs/>
          <w:szCs w:val="24"/>
        </w:rPr>
      </w:pPr>
    </w:p>
    <w:p w:rsidR="00902D4C" w:rsidRDefault="00902D4C" w:rsidP="00A276D1">
      <w:pPr>
        <w:spacing w:after="0" w:line="240" w:lineRule="auto"/>
        <w:jc w:val="both"/>
        <w:rPr>
          <w:rFonts w:cs="Arial"/>
          <w:b/>
          <w:bCs/>
          <w:szCs w:val="24"/>
        </w:rPr>
      </w:pPr>
    </w:p>
    <w:p w:rsidR="00902D4C" w:rsidRDefault="00902D4C" w:rsidP="00A276D1">
      <w:pPr>
        <w:spacing w:after="0" w:line="240" w:lineRule="auto"/>
        <w:jc w:val="both"/>
        <w:rPr>
          <w:rFonts w:cs="Arial"/>
          <w:b/>
          <w:bCs/>
          <w:szCs w:val="24"/>
        </w:rPr>
      </w:pPr>
    </w:p>
    <w:sectPr w:rsidR="00902D4C" w:rsidSect="004F216D">
      <w:headerReference w:type="default" r:id="rId21"/>
      <w:footerReference w:type="default" r:id="rId22"/>
      <w:pgSz w:w="12240" w:h="15840" w:code="1"/>
      <w:pgMar w:top="1417" w:right="1418" w:bottom="1417" w:left="1701" w:header="709" w:footer="8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A2709" w16cex:dateUtc="2021-03-03T21: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1CC" w:rsidRDefault="00D671CC" w:rsidP="00406A68">
      <w:pPr>
        <w:spacing w:after="0" w:line="240" w:lineRule="auto"/>
      </w:pPr>
      <w:r>
        <w:separator/>
      </w:r>
    </w:p>
  </w:endnote>
  <w:endnote w:type="continuationSeparator" w:id="0">
    <w:p w:rsidR="00D671CC" w:rsidRDefault="00D671CC" w:rsidP="00406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Negrit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FiraSans-Ligh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953694"/>
      <w:docPartObj>
        <w:docPartGallery w:val="Page Numbers (Bottom of Page)"/>
        <w:docPartUnique/>
      </w:docPartObj>
    </w:sdtPr>
    <w:sdtEndPr>
      <w:rPr>
        <w:b/>
        <w:sz w:val="20"/>
        <w:szCs w:val="20"/>
      </w:rPr>
    </w:sdtEndPr>
    <w:sdtContent>
      <w:p w:rsidR="00ED4D35" w:rsidRPr="00ED4D35" w:rsidRDefault="00C5444D">
        <w:pPr>
          <w:pStyle w:val="Footer"/>
          <w:jc w:val="right"/>
          <w:rPr>
            <w:b/>
            <w:sz w:val="20"/>
            <w:szCs w:val="20"/>
          </w:rPr>
        </w:pPr>
        <w:r w:rsidRPr="00ED4D35">
          <w:rPr>
            <w:b/>
            <w:sz w:val="20"/>
            <w:szCs w:val="20"/>
          </w:rPr>
          <w:fldChar w:fldCharType="begin"/>
        </w:r>
        <w:r w:rsidR="00ED4D35" w:rsidRPr="00ED4D35">
          <w:rPr>
            <w:b/>
            <w:sz w:val="20"/>
            <w:szCs w:val="20"/>
          </w:rPr>
          <w:instrText>PAGE   \* MERGEFORMAT</w:instrText>
        </w:r>
        <w:r w:rsidRPr="00ED4D35">
          <w:rPr>
            <w:b/>
            <w:sz w:val="20"/>
            <w:szCs w:val="20"/>
          </w:rPr>
          <w:fldChar w:fldCharType="separate"/>
        </w:r>
        <w:r w:rsidR="00AB0EFE" w:rsidRPr="00AB0EFE">
          <w:rPr>
            <w:b/>
            <w:noProof/>
            <w:sz w:val="20"/>
            <w:szCs w:val="20"/>
            <w:lang w:val="es-ES"/>
          </w:rPr>
          <w:t>22</w:t>
        </w:r>
        <w:r w:rsidRPr="00ED4D35">
          <w:rPr>
            <w:b/>
            <w:sz w:val="20"/>
            <w:szCs w:val="20"/>
          </w:rPr>
          <w:fldChar w:fldCharType="end"/>
        </w:r>
      </w:p>
    </w:sdtContent>
  </w:sdt>
  <w:p w:rsidR="00DF0DDC" w:rsidRDefault="00DF0DD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1CC" w:rsidRDefault="00D671CC" w:rsidP="00406A68">
      <w:pPr>
        <w:spacing w:after="0" w:line="240" w:lineRule="auto"/>
      </w:pPr>
      <w:r>
        <w:separator/>
      </w:r>
    </w:p>
  </w:footnote>
  <w:footnote w:type="continuationSeparator" w:id="0">
    <w:p w:rsidR="00D671CC" w:rsidRDefault="00D671CC" w:rsidP="00406A68">
      <w:pPr>
        <w:spacing w:after="0" w:line="240" w:lineRule="auto"/>
      </w:pPr>
      <w:r>
        <w:continuationSeparator/>
      </w:r>
    </w:p>
  </w:footnote>
  <w:footnote w:id="1">
    <w:p w:rsidR="00DF0DDC" w:rsidRPr="003E279D" w:rsidRDefault="00DF0DDC" w:rsidP="00911E3F">
      <w:pPr>
        <w:pStyle w:val="FootnoteText"/>
        <w:jc w:val="both"/>
        <w:rPr>
          <w:rFonts w:ascii="Arial" w:hAnsi="Arial" w:cs="Arial"/>
          <w:sz w:val="18"/>
          <w:szCs w:val="18"/>
        </w:rPr>
      </w:pPr>
      <w:r w:rsidRPr="003E279D">
        <w:rPr>
          <w:rStyle w:val="FootnoteReference"/>
          <w:rFonts w:ascii="Arial" w:hAnsi="Arial" w:cs="Arial"/>
          <w:sz w:val="18"/>
          <w:szCs w:val="18"/>
        </w:rPr>
        <w:footnoteRef/>
      </w:r>
      <w:r w:rsidRPr="003E279D">
        <w:rPr>
          <w:rFonts w:ascii="Arial" w:hAnsi="Arial" w:cs="Arial"/>
          <w:sz w:val="18"/>
          <w:szCs w:val="18"/>
        </w:rPr>
        <w:t xml:space="preserve"> Disponible para consulta en http://portal.ruv.org.mx/wp-content/uploads/2019/12/191126_Programa-Nacional-de-Vivienda-2019-2024-v13.pdf</w:t>
      </w:r>
    </w:p>
  </w:footnote>
  <w:footnote w:id="2">
    <w:p w:rsidR="00DF0DDC" w:rsidRDefault="00DF0DDC" w:rsidP="00911E3F">
      <w:pPr>
        <w:pStyle w:val="FootnoteText"/>
        <w:rPr>
          <w:rFonts w:ascii="Arial" w:hAnsi="Arial" w:cs="Arial"/>
          <w:sz w:val="18"/>
          <w:szCs w:val="18"/>
        </w:rPr>
      </w:pPr>
      <w:r w:rsidRPr="00E05F5F">
        <w:rPr>
          <w:rStyle w:val="FootnoteReference"/>
          <w:rFonts w:ascii="Arial" w:hAnsi="Arial" w:cs="Arial"/>
          <w:sz w:val="18"/>
          <w:szCs w:val="18"/>
        </w:rPr>
        <w:footnoteRef/>
      </w:r>
      <w:r w:rsidRPr="00E05F5F">
        <w:rPr>
          <w:rFonts w:ascii="Arial" w:hAnsi="Arial" w:cs="Arial"/>
          <w:sz w:val="18"/>
          <w:szCs w:val="18"/>
        </w:rPr>
        <w:t xml:space="preserve"> Puede consultarse en</w:t>
      </w:r>
      <w:hyperlink r:id="rId1" w:history="1">
        <w:r w:rsidR="00AF0B68" w:rsidRPr="00A92905">
          <w:rPr>
            <w:rStyle w:val="Hyperlink"/>
            <w:rFonts w:ascii="Arial" w:hAnsi="Arial" w:cs="Arial"/>
            <w:sz w:val="18"/>
            <w:szCs w:val="18"/>
          </w:rPr>
          <w:t>https://www.coneval.org.mx/Evaluacion/IEPSM/Documents/Derechos_Sociales/Estudio_Diag_Vivienda_2018.pdf</w:t>
        </w:r>
      </w:hyperlink>
    </w:p>
    <w:p w:rsidR="00AF0B68" w:rsidRPr="00A276D1" w:rsidRDefault="00AF0B68" w:rsidP="00911E3F">
      <w:pPr>
        <w:pStyle w:val="FootnoteText"/>
        <w:rPr>
          <w:rFonts w:ascii="Arial" w:hAnsi="Arial" w:cs="Arial"/>
          <w:sz w:val="8"/>
          <w:szCs w:val="8"/>
        </w:rPr>
      </w:pPr>
    </w:p>
  </w:footnote>
  <w:footnote w:id="3">
    <w:p w:rsidR="00DF0DDC" w:rsidRDefault="00DF0DDC" w:rsidP="00911E3F">
      <w:pPr>
        <w:pStyle w:val="FootnoteText"/>
        <w:jc w:val="both"/>
        <w:rPr>
          <w:rFonts w:ascii="Arial" w:hAnsi="Arial" w:cs="Arial"/>
          <w:sz w:val="18"/>
          <w:szCs w:val="18"/>
        </w:rPr>
      </w:pPr>
      <w:r w:rsidRPr="00E05F5F">
        <w:rPr>
          <w:rStyle w:val="FootnoteReference"/>
          <w:rFonts w:ascii="Arial" w:hAnsi="Arial" w:cs="Arial"/>
          <w:sz w:val="18"/>
          <w:szCs w:val="18"/>
        </w:rPr>
        <w:footnoteRef/>
      </w:r>
      <w:r w:rsidRPr="00E05F5F">
        <w:rPr>
          <w:rFonts w:ascii="Arial" w:hAnsi="Arial" w:cs="Arial"/>
          <w:sz w:val="18"/>
          <w:szCs w:val="18"/>
        </w:rPr>
        <w:t xml:space="preserve"> Conforme al Censo Nacional de Población y Vivienda la población que se reconoce como afromexicana o afrodescendiente en México, representa el 2% de la población total (2 576 213 de personas). La totalidad de la información del Censo está disponible en </w:t>
      </w:r>
      <w:hyperlink r:id="rId2" w:anchor="Documentacion" w:history="1">
        <w:r w:rsidR="00AF0B68" w:rsidRPr="00A92905">
          <w:rPr>
            <w:rStyle w:val="Hyperlink"/>
            <w:rFonts w:ascii="Arial" w:hAnsi="Arial" w:cs="Arial"/>
            <w:sz w:val="18"/>
            <w:szCs w:val="18"/>
          </w:rPr>
          <w:t>https://www.inegi.org.mx/programas/ccpv/2020/#Documentacion</w:t>
        </w:r>
      </w:hyperlink>
    </w:p>
    <w:p w:rsidR="00AF0B68" w:rsidRPr="00A276D1" w:rsidRDefault="00AF0B68" w:rsidP="00911E3F">
      <w:pPr>
        <w:pStyle w:val="FootnoteText"/>
        <w:jc w:val="both"/>
        <w:rPr>
          <w:rFonts w:ascii="Arial" w:hAnsi="Arial" w:cs="Arial"/>
          <w:sz w:val="8"/>
          <w:szCs w:val="8"/>
        </w:rPr>
      </w:pPr>
    </w:p>
  </w:footnote>
  <w:footnote w:id="4">
    <w:p w:rsidR="00DF0DDC" w:rsidRDefault="00DF0DDC" w:rsidP="00911E3F">
      <w:pPr>
        <w:pStyle w:val="FootnoteText"/>
        <w:rPr>
          <w:rFonts w:ascii="Arial" w:hAnsi="Arial" w:cs="Arial"/>
          <w:sz w:val="18"/>
          <w:szCs w:val="18"/>
        </w:rPr>
      </w:pPr>
      <w:r w:rsidRPr="00E05F5F">
        <w:rPr>
          <w:rStyle w:val="FootnoteReference"/>
          <w:rFonts w:ascii="Arial" w:hAnsi="Arial" w:cs="Arial"/>
          <w:sz w:val="18"/>
          <w:szCs w:val="18"/>
        </w:rPr>
        <w:footnoteRef/>
      </w:r>
      <w:r w:rsidRPr="00E05F5F">
        <w:rPr>
          <w:rFonts w:ascii="Arial" w:hAnsi="Arial" w:cs="Arial"/>
          <w:sz w:val="18"/>
          <w:szCs w:val="18"/>
        </w:rPr>
        <w:t xml:space="preserve"> El Informe se encuentra disponible en </w:t>
      </w:r>
      <w:hyperlink r:id="rId3" w:history="1">
        <w:r w:rsidR="00AF0B68" w:rsidRPr="00A92905">
          <w:rPr>
            <w:rStyle w:val="Hyperlink"/>
            <w:rFonts w:ascii="Arial" w:hAnsi="Arial" w:cs="Arial"/>
            <w:sz w:val="18"/>
            <w:szCs w:val="18"/>
          </w:rPr>
          <w:t>https://www.cndh.org.mx/sites/all/doc/Informes/Especiales/2016_IE_Desplazados.pdf</w:t>
        </w:r>
      </w:hyperlink>
    </w:p>
    <w:p w:rsidR="00AF0B68" w:rsidRPr="00A276D1" w:rsidRDefault="00AF0B68" w:rsidP="00911E3F">
      <w:pPr>
        <w:pStyle w:val="FootnoteText"/>
        <w:rPr>
          <w:rFonts w:ascii="Arial" w:hAnsi="Arial" w:cs="Arial"/>
          <w:sz w:val="8"/>
          <w:szCs w:val="8"/>
        </w:rPr>
      </w:pPr>
    </w:p>
  </w:footnote>
  <w:footnote w:id="5">
    <w:p w:rsidR="00DF0DDC" w:rsidRDefault="00DF0DDC" w:rsidP="00911E3F">
      <w:pPr>
        <w:pStyle w:val="FootnoteText"/>
        <w:rPr>
          <w:rFonts w:ascii="Arial" w:hAnsi="Arial" w:cs="Arial"/>
          <w:sz w:val="18"/>
          <w:szCs w:val="18"/>
        </w:rPr>
      </w:pPr>
      <w:r w:rsidRPr="00E05F5F">
        <w:rPr>
          <w:rStyle w:val="FootnoteReference"/>
          <w:rFonts w:ascii="Arial" w:hAnsi="Arial" w:cs="Arial"/>
          <w:sz w:val="18"/>
          <w:szCs w:val="18"/>
        </w:rPr>
        <w:footnoteRef/>
      </w:r>
      <w:r w:rsidRPr="00E05F5F">
        <w:rPr>
          <w:rFonts w:ascii="Arial" w:hAnsi="Arial" w:cs="Arial"/>
          <w:sz w:val="18"/>
          <w:szCs w:val="18"/>
        </w:rPr>
        <w:t xml:space="preserve"> Op. cit., párr. 263</w:t>
      </w:r>
    </w:p>
    <w:p w:rsidR="00AF0B68" w:rsidRPr="00A276D1" w:rsidRDefault="00AF0B68" w:rsidP="00911E3F">
      <w:pPr>
        <w:pStyle w:val="FootnoteText"/>
        <w:rPr>
          <w:rFonts w:ascii="Arial" w:hAnsi="Arial" w:cs="Arial"/>
          <w:sz w:val="8"/>
          <w:szCs w:val="8"/>
        </w:rPr>
      </w:pPr>
    </w:p>
  </w:footnote>
  <w:footnote w:id="6">
    <w:p w:rsidR="00AF0B68" w:rsidRPr="00A276D1" w:rsidRDefault="00DF0DDC" w:rsidP="00911E3F">
      <w:pPr>
        <w:pStyle w:val="FootnoteText"/>
        <w:jc w:val="both"/>
        <w:rPr>
          <w:rFonts w:ascii="Arial" w:hAnsi="Arial" w:cs="Arial"/>
          <w:sz w:val="8"/>
          <w:szCs w:val="8"/>
        </w:rPr>
      </w:pPr>
      <w:r w:rsidRPr="00CE2099">
        <w:rPr>
          <w:rStyle w:val="FootnoteReference"/>
          <w:rFonts w:ascii="Arial" w:hAnsi="Arial" w:cs="Arial"/>
          <w:sz w:val="18"/>
          <w:szCs w:val="18"/>
        </w:rPr>
        <w:footnoteRef/>
      </w:r>
      <w:r w:rsidRPr="00CE2099">
        <w:rPr>
          <w:rFonts w:ascii="Arial" w:hAnsi="Arial" w:cs="Arial"/>
          <w:sz w:val="18"/>
          <w:szCs w:val="18"/>
        </w:rPr>
        <w:t xml:space="preserve"> El Informe en extenso está disponible en </w:t>
      </w:r>
      <w:hyperlink r:id="rId4" w:history="1">
        <w:r w:rsidR="00AF0B68" w:rsidRPr="00A92905">
          <w:rPr>
            <w:rStyle w:val="Hyperlink"/>
            <w:rFonts w:ascii="Arial" w:hAnsi="Arial" w:cs="Arial"/>
            <w:sz w:val="18"/>
            <w:szCs w:val="18"/>
          </w:rPr>
          <w:t>http://www.cmdpdh.org/publicaciones-pdf/cmdpdh_informe_desca_2017.pdf</w:t>
        </w:r>
      </w:hyperlink>
    </w:p>
  </w:footnote>
  <w:footnote w:id="7">
    <w:p w:rsidR="00AF0B68" w:rsidRPr="00796CA2" w:rsidRDefault="00DF0DDC" w:rsidP="008305FB">
      <w:pPr>
        <w:pStyle w:val="FootnoteText"/>
        <w:jc w:val="both"/>
        <w:rPr>
          <w:rFonts w:ascii="Arial" w:hAnsi="Arial" w:cs="Arial"/>
          <w:sz w:val="18"/>
          <w:szCs w:val="18"/>
        </w:rPr>
      </w:pPr>
      <w:r>
        <w:rPr>
          <w:rStyle w:val="FootnoteReference"/>
        </w:rPr>
        <w:footnoteRef/>
      </w:r>
      <w:r w:rsidRPr="00796CA2">
        <w:rPr>
          <w:rFonts w:ascii="Arial" w:hAnsi="Arial" w:cs="Arial"/>
          <w:sz w:val="18"/>
          <w:szCs w:val="18"/>
        </w:rPr>
        <w:t xml:space="preserve">El estudio completo puede consultarse en </w:t>
      </w:r>
      <w:hyperlink r:id="rId5" w:history="1">
        <w:r w:rsidR="00AF0B68" w:rsidRPr="00A92905">
          <w:rPr>
            <w:rStyle w:val="Hyperlink"/>
            <w:rFonts w:ascii="Arial" w:hAnsi="Arial" w:cs="Arial"/>
            <w:sz w:val="18"/>
            <w:szCs w:val="18"/>
          </w:rPr>
          <w:t>https://www.coneval.org.mx/InformesPublicaciones/Paginas/Estudio-Diagnostico-Derecho-Vivienda-2018.aspx</w:t>
        </w:r>
      </w:hyperlink>
    </w:p>
  </w:footnote>
  <w:footnote w:id="8">
    <w:p w:rsidR="00DF0DDC" w:rsidRPr="008305FB" w:rsidRDefault="00DF0DDC">
      <w:pPr>
        <w:pStyle w:val="FootnoteText"/>
        <w:rPr>
          <w:rFonts w:ascii="Arial" w:hAnsi="Arial" w:cs="Arial"/>
          <w:sz w:val="18"/>
          <w:szCs w:val="18"/>
        </w:rPr>
      </w:pPr>
      <w:r>
        <w:rPr>
          <w:rStyle w:val="FootnoteReference"/>
        </w:rPr>
        <w:footnoteRef/>
      </w:r>
      <w:r>
        <w:rPr>
          <w:rFonts w:ascii="Arial" w:hAnsi="Arial" w:cs="Arial"/>
          <w:sz w:val="18"/>
          <w:szCs w:val="18"/>
        </w:rPr>
        <w:t xml:space="preserve">La Encuesta completa puede consultarse en </w:t>
      </w:r>
      <w:r w:rsidRPr="008305FB">
        <w:rPr>
          <w:rFonts w:ascii="Arial" w:hAnsi="Arial" w:cs="Arial"/>
          <w:sz w:val="18"/>
          <w:szCs w:val="18"/>
        </w:rPr>
        <w:t>https://www.inegi.org.mx/programas/enigh/nc/2016/</w:t>
      </w:r>
    </w:p>
  </w:footnote>
  <w:footnote w:id="9">
    <w:p w:rsidR="00DF0DDC" w:rsidRPr="00544729" w:rsidRDefault="00DF0DDC" w:rsidP="00544729">
      <w:pPr>
        <w:pStyle w:val="FootnoteText"/>
        <w:jc w:val="both"/>
        <w:rPr>
          <w:rFonts w:ascii="Arial" w:hAnsi="Arial" w:cs="Arial"/>
          <w:sz w:val="18"/>
          <w:szCs w:val="18"/>
        </w:rPr>
      </w:pPr>
      <w:r w:rsidRPr="00544729">
        <w:rPr>
          <w:rStyle w:val="FootnoteReference"/>
          <w:rFonts w:ascii="Arial" w:hAnsi="Arial" w:cs="Arial"/>
          <w:sz w:val="18"/>
          <w:szCs w:val="18"/>
        </w:rPr>
        <w:footnoteRef/>
      </w:r>
      <w:r w:rsidR="00544729" w:rsidRPr="00544729">
        <w:rPr>
          <w:rFonts w:ascii="Arial" w:hAnsi="Arial" w:cs="Arial"/>
          <w:sz w:val="18"/>
          <w:szCs w:val="18"/>
        </w:rPr>
        <w:t>P</w:t>
      </w:r>
      <w:r w:rsidR="00544729" w:rsidRPr="00544729">
        <w:rPr>
          <w:rFonts w:ascii="Arial" w:hAnsi="Arial" w:cs="Arial"/>
          <w:bCs/>
          <w:sz w:val="18"/>
          <w:szCs w:val="18"/>
        </w:rPr>
        <w:t xml:space="preserve">ublicado en la Gaceta Oficial de la Ciudad de México, el </w:t>
      </w:r>
      <w:r w:rsidRPr="00544729">
        <w:rPr>
          <w:rFonts w:ascii="Arial" w:hAnsi="Arial" w:cs="Arial"/>
          <w:bCs/>
          <w:sz w:val="18"/>
          <w:szCs w:val="18"/>
        </w:rPr>
        <w:t>4 de noviembre de 20</w:t>
      </w:r>
      <w:r w:rsidR="00544729">
        <w:rPr>
          <w:rFonts w:ascii="Arial" w:hAnsi="Arial" w:cs="Arial"/>
          <w:bCs/>
          <w:sz w:val="18"/>
          <w:szCs w:val="18"/>
        </w:rPr>
        <w:t>2</w:t>
      </w:r>
      <w:r w:rsidRPr="00544729">
        <w:rPr>
          <w:rFonts w:ascii="Arial" w:hAnsi="Arial" w:cs="Arial"/>
          <w:bCs/>
          <w:sz w:val="18"/>
          <w:szCs w:val="18"/>
        </w:rPr>
        <w:t xml:space="preserve">1, </w:t>
      </w:r>
      <w:r w:rsidRPr="00544729">
        <w:rPr>
          <w:rFonts w:ascii="Arial" w:hAnsi="Arial" w:cs="Arial"/>
          <w:sz w:val="18"/>
          <w:szCs w:val="18"/>
        </w:rPr>
        <w:t>disponible en:</w:t>
      </w:r>
      <w:hyperlink r:id="rId6" w:history="1">
        <w:r w:rsidR="00544729" w:rsidRPr="00544729">
          <w:rPr>
            <w:rStyle w:val="Hyperlink"/>
            <w:rFonts w:ascii="Arial" w:hAnsi="Arial" w:cs="Arial"/>
            <w:sz w:val="18"/>
            <w:szCs w:val="18"/>
          </w:rPr>
          <w:t>https://www.seduvi.cdmx.gob.mx/storage/app/uploads/public/5f0/be9/996/5f0be99961701470249607.pdf</w:t>
        </w:r>
      </w:hyperlink>
    </w:p>
  </w:footnote>
  <w:footnote w:id="10">
    <w:p w:rsidR="00DF0DDC" w:rsidRPr="00544729" w:rsidRDefault="00DF0DDC" w:rsidP="00544729">
      <w:pPr>
        <w:pStyle w:val="FootnoteText"/>
        <w:jc w:val="both"/>
        <w:rPr>
          <w:rFonts w:ascii="Arial" w:hAnsi="Arial" w:cs="Arial"/>
          <w:sz w:val="18"/>
          <w:szCs w:val="18"/>
        </w:rPr>
      </w:pPr>
      <w:r w:rsidRPr="00544729">
        <w:rPr>
          <w:rStyle w:val="FootnoteReference"/>
          <w:rFonts w:ascii="Arial" w:hAnsi="Arial" w:cs="Arial"/>
          <w:sz w:val="18"/>
          <w:szCs w:val="18"/>
        </w:rPr>
        <w:footnoteRef/>
      </w:r>
      <w:r w:rsidRPr="00544729">
        <w:rPr>
          <w:rFonts w:ascii="Arial" w:hAnsi="Arial" w:cs="Arial"/>
          <w:sz w:val="18"/>
          <w:szCs w:val="18"/>
        </w:rPr>
        <w:t xml:space="preserve"> Puede consultarse en </w:t>
      </w:r>
      <w:hyperlink r:id="rId7" w:history="1">
        <w:r w:rsidRPr="00544729">
          <w:rPr>
            <w:rStyle w:val="Hyperlink"/>
            <w:rFonts w:ascii="Arial" w:hAnsi="Arial" w:cs="Arial"/>
            <w:sz w:val="18"/>
            <w:szCs w:val="18"/>
          </w:rPr>
          <w:t>https://tramites.cdmx.gob.mx/regeneracion-urbana/public/</w:t>
        </w:r>
      </w:hyperlink>
    </w:p>
    <w:p w:rsidR="00DF0DDC" w:rsidRPr="00A276D1" w:rsidRDefault="00DF0DDC" w:rsidP="00DC308D">
      <w:pPr>
        <w:pStyle w:val="FootnoteText"/>
        <w:rPr>
          <w:sz w:val="8"/>
          <w:szCs w:val="8"/>
        </w:rPr>
      </w:pPr>
    </w:p>
  </w:footnote>
  <w:footnote w:id="11">
    <w:p w:rsidR="00DF0DDC" w:rsidRPr="00544729" w:rsidRDefault="00DF0DDC" w:rsidP="00544729">
      <w:pPr>
        <w:pStyle w:val="FootnoteText"/>
        <w:jc w:val="both"/>
        <w:rPr>
          <w:rFonts w:ascii="Arial" w:hAnsi="Arial" w:cs="Arial"/>
          <w:sz w:val="18"/>
          <w:szCs w:val="18"/>
        </w:rPr>
      </w:pPr>
      <w:r w:rsidRPr="00544729">
        <w:rPr>
          <w:rStyle w:val="FootnoteReference"/>
          <w:rFonts w:ascii="Arial" w:hAnsi="Arial" w:cs="Arial"/>
          <w:sz w:val="18"/>
          <w:szCs w:val="18"/>
        </w:rPr>
        <w:footnoteRef/>
      </w:r>
      <w:r w:rsidRPr="00544729">
        <w:rPr>
          <w:rFonts w:ascii="Arial" w:hAnsi="Arial" w:cs="Arial"/>
          <w:sz w:val="18"/>
          <w:szCs w:val="18"/>
        </w:rPr>
        <w:t xml:space="preserve"> P</w:t>
      </w:r>
      <w:r w:rsidRPr="00544729">
        <w:rPr>
          <w:rFonts w:ascii="Arial" w:hAnsi="Arial" w:cs="Arial"/>
          <w:bCs/>
          <w:sz w:val="18"/>
          <w:szCs w:val="18"/>
        </w:rPr>
        <w:t>ublicado en la Gaceta Oficial de la Ciudad de México</w:t>
      </w:r>
      <w:r w:rsidRPr="00544729">
        <w:rPr>
          <w:rFonts w:ascii="Arial" w:hAnsi="Arial" w:cs="Arial"/>
          <w:sz w:val="18"/>
          <w:szCs w:val="18"/>
        </w:rPr>
        <w:t xml:space="preserve"> el </w:t>
      </w:r>
      <w:r w:rsidRPr="00544729">
        <w:rPr>
          <w:rFonts w:ascii="Arial" w:hAnsi="Arial" w:cs="Arial"/>
          <w:bCs/>
          <w:sz w:val="18"/>
          <w:szCs w:val="18"/>
        </w:rPr>
        <w:t xml:space="preserve">13 de diciembre de 2019 </w:t>
      </w:r>
      <w:r w:rsidRPr="00544729">
        <w:rPr>
          <w:rFonts w:ascii="Arial" w:hAnsi="Arial" w:cs="Arial"/>
          <w:sz w:val="18"/>
          <w:szCs w:val="18"/>
        </w:rPr>
        <w:t>para mayor información puede consultarse en:</w:t>
      </w:r>
    </w:p>
    <w:p w:rsidR="00DF0DDC" w:rsidRPr="00544729" w:rsidRDefault="00D671CC" w:rsidP="00544729">
      <w:pPr>
        <w:pStyle w:val="FootnoteText"/>
        <w:jc w:val="both"/>
        <w:rPr>
          <w:rFonts w:ascii="Arial" w:hAnsi="Arial" w:cs="Arial"/>
          <w:sz w:val="18"/>
          <w:szCs w:val="18"/>
        </w:rPr>
      </w:pPr>
      <w:hyperlink r:id="rId8" w:history="1">
        <w:r w:rsidR="00DF0DDC" w:rsidRPr="00544729">
          <w:rPr>
            <w:rStyle w:val="Hyperlink"/>
            <w:rFonts w:ascii="Arial" w:hAnsi="Arial" w:cs="Arial"/>
            <w:sz w:val="18"/>
            <w:szCs w:val="18"/>
          </w:rPr>
          <w:t>https://www.seduvi.cdmx.gob.mx/comunicacion/nota/resolucion-para-eximir-de-contribuciones-beneficiarios-del-peruyvi-2019-2024</w:t>
        </w:r>
      </w:hyperlink>
    </w:p>
    <w:p w:rsidR="00DF0DDC" w:rsidRPr="00A276D1" w:rsidRDefault="00DF0DDC">
      <w:pPr>
        <w:pStyle w:val="FootnoteText"/>
        <w:rPr>
          <w:sz w:val="8"/>
          <w:szCs w:val="8"/>
        </w:rPr>
      </w:pPr>
    </w:p>
  </w:footnote>
  <w:footnote w:id="12">
    <w:p w:rsidR="00544729" w:rsidRDefault="00DF0DDC" w:rsidP="00544729">
      <w:pPr>
        <w:spacing w:after="0" w:line="240" w:lineRule="auto"/>
        <w:jc w:val="both"/>
        <w:rPr>
          <w:rFonts w:cs="Arial"/>
          <w:bCs/>
          <w:sz w:val="18"/>
          <w:szCs w:val="18"/>
        </w:rPr>
      </w:pPr>
      <w:r w:rsidRPr="00544729">
        <w:rPr>
          <w:rStyle w:val="FootnoteReference"/>
          <w:rFonts w:cs="Arial"/>
          <w:sz w:val="18"/>
          <w:szCs w:val="18"/>
        </w:rPr>
        <w:footnoteRef/>
      </w:r>
      <w:r w:rsidRPr="00544729">
        <w:rPr>
          <w:rFonts w:cs="Arial"/>
          <w:bCs/>
          <w:sz w:val="18"/>
          <w:szCs w:val="18"/>
        </w:rPr>
        <w:t>Impuesto sobre Adquisición de Inmuebles; Verificación del informe preventivo de impacto ambiental; Evaluación de la manifestación de impacto ambiental; Instalación de tomas para suministrar agua potable o agua residual tratada y su conexión a las redes de distribución del servicio público, así como por la instalación de derivaciones o ramales o de albañales para su conexión a las redes de desalojo; Estudio de la solicitud y de la documentación técnica, administrativa y legal para el trámite de la obtención de la autorización para usar las redes de agua y drenaje o modificar las condiciones de uso; Autorización para uso de las redes de agua y drenaje o modificar sus condiciones de uso; Estudio de la solicitud y de la documentación técnica, administrativa y legal para el trámite y obtención de la autorización e instalación de una toma de agua de diámetro de entrada más grande que la ya existente; Registro, análisis y estudio manifestación de construcciones tipo; Expedición de licencias de demoliciones; Expedición de licencia de subdivisión, relotificación o fusión de predios; Inscripción, anotación o cancelación de asiento practicado en el Registro Público de la Propiedad y de Comercio de la Ciudad de México; Certificado de existencia o inexistencia de gravámenes, limitaciones de dominio y anotaciones preventivas único; Servicios de alineamiento de inmuebles sobre la vía pública</w:t>
      </w:r>
      <w:r w:rsidRPr="00AF0B68">
        <w:rPr>
          <w:rFonts w:cs="Arial"/>
          <w:bCs/>
          <w:sz w:val="18"/>
          <w:szCs w:val="18"/>
        </w:rPr>
        <w:t>; Servicios</w:t>
      </w:r>
      <w:r w:rsidRPr="00544729">
        <w:rPr>
          <w:rFonts w:cs="Arial"/>
          <w:bCs/>
          <w:sz w:val="18"/>
          <w:szCs w:val="18"/>
        </w:rPr>
        <w:t xml:space="preserve"> de señalamiento de número oficial de inmuebles; Dictamen de estudio de impacto urbano; Certificado único de zonificación de uso del suelo;</w:t>
      </w:r>
    </w:p>
    <w:p w:rsidR="00DF0DDC" w:rsidRPr="00A276D1" w:rsidRDefault="00DF0DDC" w:rsidP="00544729">
      <w:pPr>
        <w:spacing w:after="0" w:line="240" w:lineRule="auto"/>
        <w:jc w:val="both"/>
        <w:rPr>
          <w:rFonts w:cs="Arial"/>
          <w:sz w:val="8"/>
          <w:szCs w:val="8"/>
        </w:rPr>
      </w:pPr>
    </w:p>
  </w:footnote>
  <w:footnote w:id="13">
    <w:p w:rsidR="00DF0DDC" w:rsidRPr="00133AB9" w:rsidRDefault="00DF0DDC" w:rsidP="00544729">
      <w:pPr>
        <w:pStyle w:val="FootnoteText"/>
        <w:jc w:val="both"/>
        <w:rPr>
          <w:rFonts w:ascii="Arial" w:hAnsi="Arial" w:cs="Arial"/>
          <w:sz w:val="18"/>
          <w:szCs w:val="18"/>
        </w:rPr>
      </w:pPr>
      <w:r w:rsidRPr="00544729">
        <w:rPr>
          <w:rStyle w:val="FootnoteReference"/>
          <w:rFonts w:ascii="Arial" w:hAnsi="Arial" w:cs="Arial"/>
          <w:sz w:val="18"/>
          <w:szCs w:val="18"/>
        </w:rPr>
        <w:footnoteRef/>
      </w:r>
      <w:r w:rsidRPr="00544729">
        <w:rPr>
          <w:rFonts w:ascii="Arial" w:hAnsi="Arial" w:cs="Arial"/>
          <w:bCs/>
          <w:sz w:val="18"/>
          <w:szCs w:val="18"/>
        </w:rPr>
        <w:t>El 15 de junio de 2020 se dio a conocer en la Gaceta Oficial de la Ciudad de México y está d</w:t>
      </w:r>
      <w:r w:rsidRPr="00544729">
        <w:rPr>
          <w:rFonts w:ascii="Arial" w:hAnsi="Arial" w:cs="Arial"/>
          <w:sz w:val="18"/>
          <w:szCs w:val="18"/>
        </w:rPr>
        <w:t xml:space="preserve">isponible en </w:t>
      </w:r>
      <w:hyperlink r:id="rId9" w:history="1">
        <w:r w:rsidRPr="00544729">
          <w:rPr>
            <w:rStyle w:val="Hyperlink"/>
            <w:rFonts w:ascii="Arial" w:hAnsi="Arial" w:cs="Arial"/>
            <w:sz w:val="18"/>
            <w:szCs w:val="18"/>
          </w:rPr>
          <w:t>https://www.seduvi.cdmx.gob.mx/programasp/previt</w:t>
        </w:r>
      </w:hyperlink>
    </w:p>
  </w:footnote>
  <w:footnote w:id="14">
    <w:p w:rsidR="00E95A20" w:rsidRPr="00A276D1" w:rsidRDefault="00E95A20" w:rsidP="00544729">
      <w:pPr>
        <w:pStyle w:val="FootnoteText"/>
        <w:jc w:val="both"/>
        <w:rPr>
          <w:rFonts w:ascii="Arial" w:hAnsi="Arial" w:cs="Arial"/>
          <w:sz w:val="8"/>
          <w:szCs w:val="8"/>
        </w:rPr>
      </w:pPr>
    </w:p>
    <w:p w:rsidR="00E95A20" w:rsidRPr="00544729" w:rsidRDefault="00E95A20" w:rsidP="00544729">
      <w:pPr>
        <w:pStyle w:val="FootnoteText"/>
        <w:jc w:val="both"/>
        <w:rPr>
          <w:rFonts w:ascii="Arial" w:hAnsi="Arial" w:cs="Arial"/>
          <w:sz w:val="18"/>
          <w:szCs w:val="18"/>
        </w:rPr>
      </w:pPr>
      <w:r w:rsidRPr="00544729">
        <w:rPr>
          <w:rStyle w:val="FootnoteReference"/>
          <w:rFonts w:ascii="Arial" w:hAnsi="Arial" w:cs="Arial"/>
          <w:sz w:val="18"/>
          <w:szCs w:val="18"/>
        </w:rPr>
        <w:footnoteRef/>
      </w:r>
      <w:r>
        <w:rPr>
          <w:rFonts w:ascii="Arial" w:hAnsi="Arial" w:cs="Arial"/>
          <w:bCs/>
          <w:sz w:val="18"/>
          <w:szCs w:val="18"/>
        </w:rPr>
        <w:t>E</w:t>
      </w:r>
      <w:r w:rsidRPr="00544729">
        <w:rPr>
          <w:rFonts w:ascii="Arial" w:hAnsi="Arial" w:cs="Arial"/>
          <w:bCs/>
          <w:sz w:val="18"/>
          <w:szCs w:val="18"/>
        </w:rPr>
        <w:t xml:space="preserve">l Programa Nacional de Vivienda se puede consultar en </w:t>
      </w:r>
      <w:hyperlink r:id="rId10" w:history="1">
        <w:r w:rsidRPr="00544729">
          <w:rPr>
            <w:rStyle w:val="Hyperlink"/>
            <w:rFonts w:ascii="Arial" w:hAnsi="Arial" w:cs="Arial"/>
            <w:sz w:val="18"/>
            <w:szCs w:val="18"/>
          </w:rPr>
          <w:t>https://www.gob.mx/cms/uploads/attachment/file/513675/Programa_Nacional_de_Vivienda_2019-2024.pdf</w:t>
        </w:r>
      </w:hyperlink>
    </w:p>
  </w:footnote>
  <w:footnote w:id="15">
    <w:p w:rsidR="00DF0DDC" w:rsidRDefault="00DF0DDC" w:rsidP="00544729">
      <w:pPr>
        <w:pStyle w:val="FootnoteText"/>
        <w:jc w:val="both"/>
      </w:pPr>
      <w:r w:rsidRPr="00544729">
        <w:rPr>
          <w:rStyle w:val="FootnoteReference"/>
          <w:rFonts w:ascii="Arial" w:hAnsi="Arial" w:cs="Arial"/>
          <w:sz w:val="18"/>
          <w:szCs w:val="18"/>
        </w:rPr>
        <w:footnoteRef/>
      </w:r>
      <w:r w:rsidR="00544729">
        <w:rPr>
          <w:rFonts w:ascii="Arial" w:hAnsi="Arial" w:cs="Arial"/>
          <w:sz w:val="18"/>
          <w:szCs w:val="18"/>
        </w:rPr>
        <w:t xml:space="preserve">La nota periodística puede consultarse en </w:t>
      </w:r>
      <w:hyperlink r:id="rId11" w:history="1">
        <w:r w:rsidRPr="00544729">
          <w:rPr>
            <w:rStyle w:val="Hyperlink"/>
            <w:rFonts w:ascii="Arial" w:hAnsi="Arial" w:cs="Arial"/>
            <w:sz w:val="18"/>
            <w:szCs w:val="18"/>
          </w:rPr>
          <w:t>https://www.eluniversal.com.mx/metropoli/cdmx/define-cdmx-predios-para-programa-de-vivienda</w:t>
        </w:r>
      </w:hyperlink>
    </w:p>
    <w:p w:rsidR="00DF0DDC" w:rsidRPr="00A276D1" w:rsidRDefault="00DF0DDC">
      <w:pPr>
        <w:pStyle w:val="FootnoteText"/>
        <w:rPr>
          <w:sz w:val="8"/>
          <w:szCs w:val="8"/>
        </w:rPr>
      </w:pPr>
    </w:p>
  </w:footnote>
  <w:footnote w:id="16">
    <w:p w:rsidR="00544729" w:rsidRPr="00544729" w:rsidRDefault="00DF0DDC" w:rsidP="00544729">
      <w:pPr>
        <w:pStyle w:val="FootnoteText"/>
        <w:jc w:val="both"/>
        <w:rPr>
          <w:rFonts w:ascii="Arial" w:hAnsi="Arial" w:cs="Arial"/>
          <w:sz w:val="18"/>
          <w:szCs w:val="18"/>
        </w:rPr>
      </w:pPr>
      <w:r w:rsidRPr="00544729">
        <w:rPr>
          <w:rStyle w:val="FootnoteReference"/>
          <w:rFonts w:ascii="Arial" w:hAnsi="Arial" w:cs="Arial"/>
          <w:sz w:val="18"/>
          <w:szCs w:val="18"/>
        </w:rPr>
        <w:footnoteRef/>
      </w:r>
      <w:r w:rsidRPr="00544729">
        <w:rPr>
          <w:rFonts w:ascii="Arial" w:hAnsi="Arial" w:cs="Arial"/>
          <w:sz w:val="18"/>
          <w:szCs w:val="18"/>
        </w:rPr>
        <w:t xml:space="preserve"> Puede consultarse en </w:t>
      </w:r>
      <w:hyperlink r:id="rId12" w:history="1">
        <w:r w:rsidRPr="00544729">
          <w:rPr>
            <w:rStyle w:val="Hyperlink"/>
            <w:rFonts w:ascii="Arial" w:hAnsi="Arial" w:cs="Arial"/>
            <w:sz w:val="18"/>
            <w:szCs w:val="18"/>
          </w:rPr>
          <w:t>http://www.ub.edu/geocrit/-xcol/418.htm</w:t>
        </w:r>
      </w:hyperlink>
    </w:p>
  </w:footnote>
  <w:footnote w:id="17">
    <w:p w:rsidR="00DF0DDC" w:rsidRPr="00544729" w:rsidRDefault="00DF0DDC" w:rsidP="00544729">
      <w:pPr>
        <w:pStyle w:val="FootnoteText"/>
        <w:jc w:val="both"/>
        <w:rPr>
          <w:rFonts w:ascii="Arial" w:hAnsi="Arial" w:cs="Arial"/>
          <w:sz w:val="18"/>
          <w:szCs w:val="18"/>
        </w:rPr>
      </w:pPr>
      <w:r w:rsidRPr="00544729">
        <w:rPr>
          <w:rStyle w:val="FootnoteReference"/>
          <w:rFonts w:ascii="Arial" w:hAnsi="Arial" w:cs="Arial"/>
          <w:sz w:val="18"/>
          <w:szCs w:val="18"/>
        </w:rPr>
        <w:footnoteRef/>
      </w:r>
      <w:r w:rsidR="004E1EBD">
        <w:rPr>
          <w:rFonts w:ascii="Arial" w:hAnsi="Arial" w:cs="Arial"/>
          <w:sz w:val="18"/>
          <w:szCs w:val="18"/>
        </w:rPr>
        <w:t xml:space="preserve">Este artículo puede consultarse en </w:t>
      </w:r>
      <w:hyperlink r:id="rId13" w:history="1">
        <w:r w:rsidRPr="00544729">
          <w:rPr>
            <w:rStyle w:val="Hyperlink"/>
            <w:rFonts w:ascii="Arial" w:hAnsi="Arial" w:cs="Arial"/>
            <w:sz w:val="18"/>
            <w:szCs w:val="18"/>
          </w:rPr>
          <w:t>http://ladupo.igg.unam.mx/portal/Publicaciones/Articulos_Internacionales/EspPob_PeriUrb_SunInt_CMx_EURE_vol42_no125_2016.pdf</w:t>
        </w:r>
      </w:hyperlink>
    </w:p>
    <w:p w:rsidR="00DF0DDC" w:rsidRPr="00A276D1" w:rsidRDefault="00DF0DDC" w:rsidP="00544729">
      <w:pPr>
        <w:pStyle w:val="FootnoteText"/>
        <w:jc w:val="both"/>
        <w:rPr>
          <w:rFonts w:ascii="Arial" w:hAnsi="Arial" w:cs="Arial"/>
          <w:sz w:val="8"/>
          <w:szCs w:val="8"/>
        </w:rPr>
      </w:pPr>
    </w:p>
  </w:footnote>
  <w:footnote w:id="18">
    <w:p w:rsidR="00DF0DDC" w:rsidRPr="00544729" w:rsidRDefault="00DF0DDC" w:rsidP="00544729">
      <w:pPr>
        <w:pStyle w:val="FootnoteText"/>
        <w:jc w:val="both"/>
        <w:rPr>
          <w:rFonts w:ascii="Arial" w:hAnsi="Arial" w:cs="Arial"/>
          <w:sz w:val="18"/>
          <w:szCs w:val="18"/>
        </w:rPr>
      </w:pPr>
      <w:r w:rsidRPr="00544729">
        <w:rPr>
          <w:rStyle w:val="FootnoteReference"/>
          <w:rFonts w:ascii="Arial" w:hAnsi="Arial" w:cs="Arial"/>
          <w:sz w:val="18"/>
          <w:szCs w:val="18"/>
        </w:rPr>
        <w:footnoteRef/>
      </w:r>
      <w:r w:rsidR="004E1EBD">
        <w:rPr>
          <w:rFonts w:ascii="Arial" w:hAnsi="Arial" w:cs="Arial"/>
          <w:sz w:val="18"/>
          <w:szCs w:val="18"/>
        </w:rPr>
        <w:t xml:space="preserve">El artículo completo puede consultarse en </w:t>
      </w:r>
      <w:hyperlink r:id="rId14" w:history="1">
        <w:r w:rsidRPr="00544729">
          <w:rPr>
            <w:rStyle w:val="Hyperlink"/>
            <w:rFonts w:ascii="Arial" w:hAnsi="Arial" w:cs="Arial"/>
            <w:sz w:val="18"/>
            <w:szCs w:val="18"/>
          </w:rPr>
          <w:t>https://scielo.conicyt.cl/scielo.php?script=sci_arttext&amp;pid=S0250-71612012000200005</w:t>
        </w:r>
      </w:hyperlink>
    </w:p>
    <w:p w:rsidR="00DF0DDC" w:rsidRPr="00A276D1" w:rsidRDefault="00DF0DDC">
      <w:pPr>
        <w:pStyle w:val="FootnoteText"/>
        <w:rPr>
          <w:sz w:val="8"/>
          <w:szCs w:val="8"/>
        </w:rPr>
      </w:pPr>
    </w:p>
  </w:footnote>
  <w:footnote w:id="19">
    <w:p w:rsidR="00DF0DDC" w:rsidRPr="00544729" w:rsidRDefault="00DF0DDC" w:rsidP="00544729">
      <w:pPr>
        <w:pStyle w:val="FootnoteText"/>
        <w:jc w:val="both"/>
        <w:rPr>
          <w:rFonts w:ascii="Arial" w:hAnsi="Arial" w:cs="Arial"/>
          <w:sz w:val="18"/>
          <w:szCs w:val="18"/>
        </w:rPr>
      </w:pPr>
      <w:r w:rsidRPr="00544729">
        <w:rPr>
          <w:rStyle w:val="FootnoteReference"/>
          <w:rFonts w:ascii="Arial" w:hAnsi="Arial" w:cs="Arial"/>
          <w:sz w:val="18"/>
          <w:szCs w:val="18"/>
        </w:rPr>
        <w:footnoteRef/>
      </w:r>
      <w:r w:rsidR="004E1EBD">
        <w:rPr>
          <w:rFonts w:ascii="Arial" w:hAnsi="Arial" w:cs="Arial"/>
          <w:sz w:val="18"/>
          <w:szCs w:val="18"/>
        </w:rPr>
        <w:t xml:space="preserve"> El Estudio completo puede consultarse en</w:t>
      </w:r>
      <w:hyperlink r:id="rId15" w:history="1">
        <w:r w:rsidRPr="00544729">
          <w:rPr>
            <w:rStyle w:val="Hyperlink"/>
            <w:rFonts w:ascii="Arial" w:hAnsi="Arial" w:cs="Arial"/>
            <w:sz w:val="18"/>
            <w:szCs w:val="18"/>
          </w:rPr>
          <w:t>https://www.coneval.org.mx/InformesPublicaciones/Paginas/Estudio-Diagnostico-Derecho-Vivienda-2018.aspx</w:t>
        </w:r>
      </w:hyperlink>
    </w:p>
    <w:p w:rsidR="00DF0DDC" w:rsidRPr="00A276D1" w:rsidRDefault="00DF0DDC" w:rsidP="00544729">
      <w:pPr>
        <w:pStyle w:val="FootnoteText"/>
        <w:jc w:val="both"/>
        <w:rPr>
          <w:rFonts w:ascii="Arial" w:hAnsi="Arial" w:cs="Arial"/>
          <w:sz w:val="8"/>
          <w:szCs w:val="8"/>
        </w:rPr>
      </w:pPr>
    </w:p>
  </w:footnote>
  <w:footnote w:id="20">
    <w:p w:rsidR="00DF0DDC" w:rsidRDefault="00DF0DDC" w:rsidP="00544729">
      <w:pPr>
        <w:pStyle w:val="FootnoteText"/>
        <w:jc w:val="both"/>
      </w:pPr>
      <w:r w:rsidRPr="00544729">
        <w:rPr>
          <w:rStyle w:val="FootnoteReference"/>
          <w:rFonts w:ascii="Arial" w:hAnsi="Arial" w:cs="Arial"/>
          <w:sz w:val="18"/>
          <w:szCs w:val="18"/>
        </w:rPr>
        <w:footnoteRef/>
      </w:r>
      <w:hyperlink r:id="rId16" w:history="1">
        <w:r w:rsidR="004E1EBD">
          <w:rPr>
            <w:rStyle w:val="Hyperlink"/>
            <w:rFonts w:ascii="Arial" w:hAnsi="Arial" w:cs="Arial"/>
            <w:sz w:val="18"/>
            <w:szCs w:val="18"/>
          </w:rPr>
          <w:t>Ídem</w:t>
        </w:r>
      </w:hyperlink>
    </w:p>
  </w:footnote>
  <w:footnote w:id="21">
    <w:p w:rsidR="00E95A20" w:rsidRPr="004E1EBD" w:rsidRDefault="00E95A20" w:rsidP="004E1EBD">
      <w:pPr>
        <w:pStyle w:val="FootnoteText"/>
        <w:jc w:val="both"/>
        <w:rPr>
          <w:rFonts w:ascii="Arial" w:hAnsi="Arial" w:cs="Arial"/>
          <w:sz w:val="18"/>
          <w:szCs w:val="18"/>
        </w:rPr>
      </w:pPr>
      <w:r w:rsidRPr="004E1EBD">
        <w:rPr>
          <w:rStyle w:val="FootnoteReference"/>
          <w:rFonts w:ascii="Arial" w:hAnsi="Arial" w:cs="Arial"/>
          <w:sz w:val="18"/>
          <w:szCs w:val="18"/>
        </w:rPr>
        <w:footnoteRef/>
      </w:r>
      <w:r>
        <w:rPr>
          <w:rFonts w:ascii="Arial" w:hAnsi="Arial" w:cs="Arial"/>
          <w:sz w:val="18"/>
          <w:szCs w:val="18"/>
        </w:rPr>
        <w:t xml:space="preserve">El artículo puede consultarse en </w:t>
      </w:r>
      <w:hyperlink r:id="rId17" w:history="1">
        <w:r w:rsidRPr="004E1EBD">
          <w:rPr>
            <w:rStyle w:val="Hyperlink"/>
            <w:rFonts w:ascii="Arial" w:hAnsi="Arial" w:cs="Arial"/>
            <w:sz w:val="18"/>
            <w:szCs w:val="18"/>
          </w:rPr>
          <w:t>https://drive.google.com/file/d/1NPoZZLLIYLOYu4-TlietueBbMlUmZwL0/view</w:t>
        </w:r>
      </w:hyperlink>
    </w:p>
    <w:p w:rsidR="00E95A20" w:rsidRPr="00A276D1" w:rsidRDefault="00E95A20" w:rsidP="004E1EBD">
      <w:pPr>
        <w:pStyle w:val="FootnoteText"/>
        <w:jc w:val="both"/>
        <w:rPr>
          <w:rFonts w:ascii="Arial" w:hAnsi="Arial" w:cs="Arial"/>
          <w:sz w:val="8"/>
          <w:szCs w:val="8"/>
        </w:rPr>
      </w:pPr>
    </w:p>
  </w:footnote>
  <w:footnote w:id="22">
    <w:p w:rsidR="00DF0DDC" w:rsidRDefault="00DF0DDC" w:rsidP="004E1EBD">
      <w:pPr>
        <w:pStyle w:val="FootnoteText"/>
        <w:jc w:val="both"/>
      </w:pPr>
      <w:r w:rsidRPr="004E1EBD">
        <w:rPr>
          <w:rStyle w:val="FootnoteReference"/>
          <w:rFonts w:ascii="Arial" w:hAnsi="Arial" w:cs="Arial"/>
          <w:sz w:val="18"/>
          <w:szCs w:val="18"/>
        </w:rPr>
        <w:footnoteRef/>
      </w:r>
      <w:r w:rsidRPr="004E1EBD">
        <w:rPr>
          <w:rFonts w:ascii="Arial" w:hAnsi="Arial" w:cs="Arial"/>
          <w:sz w:val="18"/>
          <w:szCs w:val="18"/>
        </w:rPr>
        <w:t xml:space="preserve"> Publicado el 11 de junio de 2020</w:t>
      </w:r>
      <w:r w:rsidR="004E1EBD" w:rsidRPr="004E1EBD">
        <w:rPr>
          <w:rFonts w:ascii="Arial" w:hAnsi="Arial" w:cs="Arial"/>
          <w:sz w:val="18"/>
          <w:szCs w:val="18"/>
        </w:rPr>
        <w:t>, puede consultarse en https://drive.google.com/file/d/1NPoZZLLIYLOYu4-TlietueBbMlUmZwL0/view</w:t>
      </w:r>
    </w:p>
  </w:footnote>
  <w:footnote w:id="23">
    <w:p w:rsidR="00DF0DDC" w:rsidRPr="004E1EBD" w:rsidRDefault="00DF0DDC" w:rsidP="004E1EBD">
      <w:pPr>
        <w:pStyle w:val="FootnoteText"/>
        <w:jc w:val="both"/>
        <w:rPr>
          <w:rFonts w:ascii="Arial" w:hAnsi="Arial" w:cs="Arial"/>
          <w:sz w:val="18"/>
          <w:szCs w:val="18"/>
        </w:rPr>
      </w:pPr>
      <w:r w:rsidRPr="004E1EBD">
        <w:rPr>
          <w:rStyle w:val="FootnoteReference"/>
          <w:rFonts w:ascii="Arial" w:hAnsi="Arial" w:cs="Arial"/>
          <w:sz w:val="18"/>
          <w:szCs w:val="18"/>
        </w:rPr>
        <w:footnoteRef/>
      </w:r>
      <w:r w:rsidR="004E1EBD" w:rsidRPr="004E1EBD">
        <w:rPr>
          <w:rFonts w:ascii="Arial" w:hAnsi="Arial" w:cs="Arial"/>
          <w:sz w:val="18"/>
          <w:szCs w:val="18"/>
        </w:rPr>
        <w:t xml:space="preserve"> Puede consultarse en </w:t>
      </w:r>
      <w:hyperlink r:id="rId18" w:history="1">
        <w:r w:rsidRPr="004E1EBD">
          <w:rPr>
            <w:rStyle w:val="Hyperlink"/>
            <w:rFonts w:ascii="Arial" w:hAnsi="Arial" w:cs="Arial"/>
            <w:sz w:val="18"/>
            <w:szCs w:val="18"/>
          </w:rPr>
          <w:t>https://drive.google.com/file/d/1NPoZZLLIYLOYu4-TlietueBbMlUmZwL0/view</w:t>
        </w:r>
      </w:hyperlink>
    </w:p>
  </w:footnote>
  <w:footnote w:id="24">
    <w:p w:rsidR="00DF0DDC" w:rsidRDefault="00DF0DDC" w:rsidP="004E1EBD">
      <w:pPr>
        <w:pStyle w:val="FootnoteText"/>
        <w:jc w:val="both"/>
      </w:pPr>
      <w:r w:rsidRPr="004E1EBD">
        <w:rPr>
          <w:rStyle w:val="FootnoteReference"/>
          <w:rFonts w:ascii="Arial" w:hAnsi="Arial" w:cs="Arial"/>
          <w:sz w:val="18"/>
          <w:szCs w:val="18"/>
        </w:rPr>
        <w:footnoteRef/>
      </w:r>
      <w:r w:rsidR="004E1EBD" w:rsidRPr="004E1EBD">
        <w:rPr>
          <w:rFonts w:ascii="Arial" w:hAnsi="Arial" w:cs="Arial"/>
          <w:sz w:val="18"/>
          <w:szCs w:val="18"/>
        </w:rPr>
        <w:t xml:space="preserve">El estudio puede consultarse en </w:t>
      </w:r>
      <w:hyperlink r:id="rId19" w:history="1">
        <w:r w:rsidRPr="004E1EBD">
          <w:rPr>
            <w:rStyle w:val="Hyperlink"/>
            <w:rFonts w:ascii="Arial" w:hAnsi="Arial" w:cs="Arial"/>
            <w:sz w:val="18"/>
            <w:szCs w:val="18"/>
          </w:rPr>
          <w:t>https://www.coneval.org.mx/InformesPublicaciones/Paginas/Estudio-Diagnostico-Derecho-Vivienda-2018.aspx</w:t>
        </w:r>
      </w:hyperlink>
    </w:p>
  </w:footnote>
  <w:footnote w:id="25">
    <w:p w:rsidR="00DF0DDC" w:rsidRDefault="00DF0DDC">
      <w:pPr>
        <w:pStyle w:val="FootnoteText"/>
      </w:pPr>
      <w:r w:rsidRPr="004E1EBD">
        <w:rPr>
          <w:rStyle w:val="FootnoteReference"/>
          <w:rFonts w:ascii="Arial" w:hAnsi="Arial" w:cs="Arial"/>
          <w:sz w:val="18"/>
          <w:szCs w:val="18"/>
        </w:rPr>
        <w:footnoteRef/>
      </w:r>
      <w:r w:rsidR="004E1EBD" w:rsidRPr="004E1EBD">
        <w:rPr>
          <w:rFonts w:ascii="Arial" w:hAnsi="Arial" w:cs="Arial"/>
          <w:sz w:val="18"/>
          <w:szCs w:val="18"/>
        </w:rPr>
        <w:t xml:space="preserve">El artículo puede consultarse en </w:t>
      </w:r>
      <w:hyperlink r:id="rId20" w:history="1">
        <w:r w:rsidRPr="004E1EBD">
          <w:rPr>
            <w:rStyle w:val="Hyperlink"/>
            <w:rFonts w:ascii="Arial" w:hAnsi="Arial" w:cs="Arial"/>
            <w:sz w:val="18"/>
            <w:szCs w:val="18"/>
          </w:rPr>
          <w:t>http://www.scielo.org.mx/scielo.php?script=sci_arttext&amp;pid=S0186-72102011000200403</w:t>
        </w:r>
      </w:hyperlink>
    </w:p>
  </w:footnote>
  <w:footnote w:id="26">
    <w:p w:rsidR="00DF0DDC" w:rsidRPr="005A5139" w:rsidRDefault="00DF0DDC">
      <w:pPr>
        <w:pStyle w:val="FootnoteText"/>
        <w:rPr>
          <w:rFonts w:ascii="Arial" w:hAnsi="Arial" w:cs="Arial"/>
          <w:sz w:val="18"/>
          <w:szCs w:val="18"/>
        </w:rPr>
      </w:pPr>
      <w:r w:rsidRPr="005A5139">
        <w:rPr>
          <w:rStyle w:val="FootnoteReference"/>
          <w:rFonts w:ascii="Arial" w:hAnsi="Arial" w:cs="Arial"/>
          <w:sz w:val="18"/>
          <w:szCs w:val="18"/>
        </w:rPr>
        <w:footnoteRef/>
      </w:r>
      <w:r w:rsidR="005A5139" w:rsidRPr="005A5139">
        <w:rPr>
          <w:rFonts w:ascii="Arial" w:hAnsi="Arial" w:cs="Arial"/>
          <w:sz w:val="18"/>
          <w:szCs w:val="18"/>
        </w:rPr>
        <w:t xml:space="preserve">El estudio puede consultarse en </w:t>
      </w:r>
      <w:hyperlink r:id="rId21" w:history="1">
        <w:r w:rsidRPr="005A5139">
          <w:rPr>
            <w:rStyle w:val="Hyperlink"/>
            <w:rFonts w:ascii="Arial" w:hAnsi="Arial" w:cs="Arial"/>
            <w:sz w:val="18"/>
            <w:szCs w:val="18"/>
          </w:rPr>
          <w:t>https://www.coneval.org.mx/InformesPublicaciones/Paginas/Estudio-Diagnostico-Derecho-Vivienda-2018.aspx</w:t>
        </w:r>
      </w:hyperlink>
    </w:p>
  </w:footnote>
  <w:footnote w:id="27">
    <w:p w:rsidR="00DF0DDC" w:rsidRDefault="00DF0DDC" w:rsidP="00A276D1">
      <w:pPr>
        <w:autoSpaceDE w:val="0"/>
        <w:autoSpaceDN w:val="0"/>
        <w:adjustRightInd w:val="0"/>
        <w:jc w:val="both"/>
      </w:pPr>
      <w:r w:rsidRPr="005A5139">
        <w:rPr>
          <w:rStyle w:val="FootnoteReference"/>
          <w:rFonts w:cs="Arial"/>
          <w:sz w:val="18"/>
          <w:szCs w:val="18"/>
        </w:rPr>
        <w:footnoteRef/>
      </w:r>
      <w:r w:rsidRPr="005A5139">
        <w:rPr>
          <w:rFonts w:cs="Arial"/>
          <w:sz w:val="18"/>
          <w:szCs w:val="18"/>
        </w:rPr>
        <w:t xml:space="preserve"> Este documento derivo del convenio de colaboración firmado entre ONU-</w:t>
      </w:r>
      <w:r w:rsidR="005A5139" w:rsidRPr="005A5139">
        <w:rPr>
          <w:rFonts w:cs="Arial"/>
          <w:sz w:val="18"/>
          <w:szCs w:val="18"/>
        </w:rPr>
        <w:t>Hábitat</w:t>
      </w:r>
      <w:r w:rsidRPr="005A5139">
        <w:rPr>
          <w:rFonts w:cs="Arial"/>
          <w:sz w:val="18"/>
          <w:szCs w:val="18"/>
        </w:rPr>
        <w:t xml:space="preserve"> y el Instituto del Fondo Nacional de la Vivienda para los Trabajadores (INFONAVIT) y en el marco del Acuerdo Específico de Colaboración con la Secretaría de Desarrollo Agrario, Territorial y Urbano (SEDATU) vigente del 20 de agosto de 2014 al 30 de noviembre de 2018. Disponible para consulta en https://onuhabitat.org.mx/index.php/la-vivienda-en-el-centro-de-los-ods-en-mexico</w:t>
      </w:r>
    </w:p>
  </w:footnote>
  <w:footnote w:id="28">
    <w:p w:rsidR="00DF0DDC" w:rsidRPr="005A5139" w:rsidRDefault="00DF0DDC" w:rsidP="005A5139">
      <w:pPr>
        <w:pStyle w:val="FootnoteText"/>
        <w:jc w:val="both"/>
        <w:rPr>
          <w:rFonts w:ascii="Arial" w:hAnsi="Arial" w:cs="Arial"/>
          <w:sz w:val="18"/>
          <w:szCs w:val="18"/>
        </w:rPr>
      </w:pPr>
      <w:r w:rsidRPr="005A5139">
        <w:rPr>
          <w:rStyle w:val="FootnoteReference"/>
          <w:rFonts w:ascii="Arial" w:hAnsi="Arial" w:cs="Arial"/>
          <w:sz w:val="18"/>
          <w:szCs w:val="18"/>
        </w:rPr>
        <w:footnoteRef/>
      </w:r>
      <w:r w:rsidRPr="005A5139">
        <w:rPr>
          <w:rFonts w:ascii="Arial" w:hAnsi="Arial" w:cs="Arial"/>
          <w:sz w:val="18"/>
          <w:szCs w:val="18"/>
        </w:rPr>
        <w:t xml:space="preserve"> El Programa Nacional de Vivienda 2019-2024 incorpora esas siete características en su análisis.</w:t>
      </w:r>
    </w:p>
  </w:footnote>
  <w:footnote w:id="29">
    <w:p w:rsidR="00DF0DDC" w:rsidRDefault="00DF0DDC" w:rsidP="005A5139">
      <w:pPr>
        <w:pStyle w:val="FootnoteText"/>
        <w:jc w:val="both"/>
        <w:rPr>
          <w:rFonts w:ascii="Arial" w:hAnsi="Arial" w:cs="Arial"/>
          <w:sz w:val="18"/>
          <w:szCs w:val="18"/>
        </w:rPr>
      </w:pPr>
      <w:r w:rsidRPr="005A5139">
        <w:rPr>
          <w:rStyle w:val="FootnoteReference"/>
          <w:rFonts w:ascii="Arial" w:hAnsi="Arial" w:cs="Arial"/>
          <w:sz w:val="18"/>
          <w:szCs w:val="18"/>
        </w:rPr>
        <w:footnoteRef/>
      </w:r>
      <w:r w:rsidRPr="005A5139">
        <w:rPr>
          <w:rFonts w:ascii="Arial" w:hAnsi="Arial" w:cs="Arial"/>
          <w:sz w:val="18"/>
          <w:szCs w:val="18"/>
        </w:rPr>
        <w:t xml:space="preserve"> Disponible en </w:t>
      </w:r>
      <w:hyperlink r:id="rId22" w:history="1">
        <w:r w:rsidR="00A276D1" w:rsidRPr="00E31CBB">
          <w:rPr>
            <w:rStyle w:val="Hyperlink"/>
            <w:rFonts w:ascii="Arial" w:hAnsi="Arial" w:cs="Arial"/>
            <w:sz w:val="18"/>
            <w:szCs w:val="18"/>
          </w:rPr>
          <w:t>https://www.gob.mx/cms/uploads/attachment/file/576453/2_INFORME__ok_.pdf</w:t>
        </w:r>
      </w:hyperlink>
    </w:p>
    <w:p w:rsidR="00A276D1" w:rsidRPr="00A276D1" w:rsidRDefault="00A276D1" w:rsidP="005A5139">
      <w:pPr>
        <w:pStyle w:val="FootnoteText"/>
        <w:jc w:val="both"/>
        <w:rPr>
          <w:sz w:val="8"/>
          <w:szCs w:val="8"/>
        </w:rPr>
      </w:pPr>
    </w:p>
  </w:footnote>
  <w:footnote w:id="30">
    <w:p w:rsidR="00DF0DDC" w:rsidRPr="00140FCE" w:rsidRDefault="00DF0DDC" w:rsidP="00911E3F">
      <w:pPr>
        <w:pStyle w:val="FootnoteText"/>
        <w:jc w:val="both"/>
        <w:rPr>
          <w:rFonts w:ascii="Arial" w:hAnsi="Arial" w:cs="Arial"/>
          <w:sz w:val="18"/>
          <w:szCs w:val="18"/>
        </w:rPr>
      </w:pPr>
      <w:r w:rsidRPr="00140FCE">
        <w:rPr>
          <w:rStyle w:val="FootnoteReference"/>
          <w:rFonts w:ascii="Arial" w:hAnsi="Arial" w:cs="Arial"/>
          <w:sz w:val="18"/>
          <w:szCs w:val="18"/>
        </w:rPr>
        <w:footnoteRef/>
      </w:r>
      <w:r w:rsidRPr="00140FCE">
        <w:rPr>
          <w:rFonts w:ascii="Arial" w:hAnsi="Arial" w:cs="Arial"/>
          <w:sz w:val="18"/>
          <w:szCs w:val="18"/>
        </w:rPr>
        <w:t xml:space="preserve"> Urgen medidas para afrontar la pandemia del Coronavirus desde una perspectiva del Derecho a la Vivienda Adecuada. Disponible en: https://hic-al.org/2020/03/21/urgen-medidas-para-covid19/</w:t>
      </w:r>
    </w:p>
  </w:footnote>
  <w:footnote w:id="31">
    <w:p w:rsidR="008E47DC" w:rsidRDefault="008E47DC" w:rsidP="008E47DC">
      <w:pPr>
        <w:pStyle w:val="FootnoteText"/>
        <w:jc w:val="both"/>
        <w:rPr>
          <w:rFonts w:ascii="Arial" w:hAnsi="Arial" w:cs="Arial"/>
          <w:sz w:val="18"/>
          <w:szCs w:val="18"/>
        </w:rPr>
      </w:pPr>
      <w:r w:rsidRPr="008E47DC">
        <w:rPr>
          <w:rStyle w:val="FootnoteReference"/>
          <w:rFonts w:ascii="Arial" w:hAnsi="Arial" w:cs="Arial"/>
          <w:sz w:val="18"/>
          <w:szCs w:val="18"/>
        </w:rPr>
        <w:footnoteRef/>
      </w:r>
      <w:r w:rsidRPr="008E47DC">
        <w:rPr>
          <w:rFonts w:ascii="Arial" w:hAnsi="Arial" w:cs="Arial"/>
          <w:sz w:val="18"/>
          <w:szCs w:val="18"/>
        </w:rPr>
        <w:t xml:space="preserve"> Observaciones finales a los informes periódicos quinto y sexto combinados de México, disponible en </w:t>
      </w:r>
      <w:hyperlink r:id="rId23" w:history="1">
        <w:r w:rsidR="00A276D1" w:rsidRPr="00E31CBB">
          <w:rPr>
            <w:rStyle w:val="Hyperlink"/>
            <w:rFonts w:ascii="Arial" w:hAnsi="Arial" w:cs="Arial"/>
            <w:sz w:val="18"/>
            <w:szCs w:val="18"/>
          </w:rPr>
          <w:t>https://hchr.org.mx/comite/comite-de-derechos-economicos-sociales-y-culturales-de-la-onu-observaciones-finales-a-los-informes-periodicos-quinto-y-sexto-combinados-de-mexico-2/</w:t>
        </w:r>
      </w:hyperlink>
    </w:p>
    <w:p w:rsidR="00A276D1" w:rsidRPr="00A276D1" w:rsidRDefault="00A276D1" w:rsidP="008E47DC">
      <w:pPr>
        <w:pStyle w:val="FootnoteText"/>
        <w:jc w:val="both"/>
        <w:rPr>
          <w:rFonts w:ascii="Arial" w:hAnsi="Arial" w:cs="Arial"/>
          <w:sz w:val="8"/>
          <w:szCs w:val="8"/>
        </w:rPr>
      </w:pPr>
    </w:p>
  </w:footnote>
  <w:footnote w:id="32">
    <w:p w:rsidR="008E47DC" w:rsidRDefault="008E47DC" w:rsidP="008E47DC">
      <w:pPr>
        <w:pStyle w:val="FootnoteText"/>
        <w:jc w:val="both"/>
        <w:rPr>
          <w:rFonts w:ascii="Arial" w:hAnsi="Arial" w:cs="Arial"/>
          <w:sz w:val="18"/>
          <w:szCs w:val="18"/>
        </w:rPr>
      </w:pPr>
      <w:r w:rsidRPr="008E47DC">
        <w:rPr>
          <w:rStyle w:val="FootnoteReference"/>
          <w:rFonts w:ascii="Arial" w:hAnsi="Arial" w:cs="Arial"/>
          <w:sz w:val="18"/>
          <w:szCs w:val="18"/>
        </w:rPr>
        <w:footnoteRef/>
      </w:r>
      <w:r w:rsidRPr="008E47DC">
        <w:rPr>
          <w:rFonts w:ascii="Arial" w:hAnsi="Arial" w:cs="Arial"/>
          <w:sz w:val="18"/>
          <w:szCs w:val="18"/>
        </w:rPr>
        <w:t xml:space="preserve"> Recomendaciones relativas al derecho a una vivienda adecuada son las 76/1994, 60/2012, 75/2013 y 76/2013, 38/2018, 6/2016 y 91/2019, en esta última, adicionalmente, se vincula con el derecho a un medio ambiente sano y el interés superior de la niñez.</w:t>
      </w:r>
    </w:p>
    <w:p w:rsidR="00A276D1" w:rsidRPr="00A276D1" w:rsidRDefault="00A276D1" w:rsidP="008E47DC">
      <w:pPr>
        <w:pStyle w:val="FootnoteText"/>
        <w:jc w:val="both"/>
        <w:rPr>
          <w:rFonts w:ascii="Arial" w:hAnsi="Arial" w:cs="Arial"/>
          <w:sz w:val="8"/>
          <w:szCs w:val="8"/>
        </w:rPr>
      </w:pPr>
    </w:p>
  </w:footnote>
  <w:footnote w:id="33">
    <w:p w:rsidR="008E47DC" w:rsidRPr="008E47DC" w:rsidRDefault="008E47DC" w:rsidP="008E47DC">
      <w:pPr>
        <w:pStyle w:val="FootnoteText"/>
        <w:jc w:val="both"/>
        <w:rPr>
          <w:rFonts w:ascii="Arial" w:hAnsi="Arial" w:cs="Arial"/>
          <w:sz w:val="18"/>
          <w:szCs w:val="18"/>
        </w:rPr>
      </w:pPr>
      <w:r w:rsidRPr="008E47DC">
        <w:rPr>
          <w:rStyle w:val="FootnoteReference"/>
          <w:rFonts w:ascii="Arial" w:hAnsi="Arial" w:cs="Arial"/>
          <w:sz w:val="18"/>
          <w:szCs w:val="18"/>
        </w:rPr>
        <w:footnoteRef/>
      </w:r>
      <w:r w:rsidRPr="008E47DC">
        <w:rPr>
          <w:rFonts w:ascii="Arial" w:hAnsi="Arial" w:cs="Arial"/>
          <w:sz w:val="18"/>
          <w:szCs w:val="18"/>
        </w:rPr>
        <w:t xml:space="preserve"> Disponible en: </w:t>
      </w:r>
    </w:p>
    <w:p w:rsidR="008E47DC" w:rsidRPr="008E47DC" w:rsidRDefault="008E47DC" w:rsidP="008E47DC">
      <w:pPr>
        <w:pStyle w:val="FootnoteText"/>
        <w:jc w:val="both"/>
        <w:rPr>
          <w:rFonts w:ascii="Arial" w:hAnsi="Arial" w:cs="Arial"/>
          <w:sz w:val="18"/>
          <w:szCs w:val="18"/>
        </w:rPr>
      </w:pPr>
      <w:r w:rsidRPr="008E47DC">
        <w:rPr>
          <w:rFonts w:ascii="Arial" w:hAnsi="Arial" w:cs="Arial"/>
          <w:sz w:val="18"/>
          <w:szCs w:val="18"/>
        </w:rPr>
        <w:t>https://www.cndh.org.mx/sites/default/files/doc/Recomendaciones/2018/Rec_2018_038.pdf</w:t>
      </w:r>
    </w:p>
  </w:footnote>
  <w:footnote w:id="34">
    <w:p w:rsidR="008E47DC" w:rsidRPr="008E47DC" w:rsidRDefault="008E47DC" w:rsidP="008E47DC">
      <w:pPr>
        <w:pStyle w:val="FootnoteText"/>
        <w:jc w:val="both"/>
        <w:rPr>
          <w:rFonts w:ascii="Arial" w:hAnsi="Arial" w:cs="Arial"/>
          <w:sz w:val="18"/>
          <w:szCs w:val="18"/>
        </w:rPr>
      </w:pPr>
      <w:r w:rsidRPr="008E47DC">
        <w:rPr>
          <w:rStyle w:val="FootnoteReference"/>
          <w:rFonts w:ascii="Arial" w:hAnsi="Arial" w:cs="Arial"/>
          <w:sz w:val="18"/>
          <w:szCs w:val="18"/>
        </w:rPr>
        <w:footnoteRef/>
      </w:r>
      <w:r w:rsidRPr="008E47DC">
        <w:rPr>
          <w:rFonts w:ascii="Arial" w:hAnsi="Arial" w:cs="Arial"/>
          <w:sz w:val="18"/>
          <w:szCs w:val="18"/>
        </w:rPr>
        <w:t xml:space="preserve"> Puede consultarse en:</w:t>
      </w:r>
    </w:p>
    <w:p w:rsidR="008E47DC" w:rsidRDefault="008E47DC" w:rsidP="008E47DC">
      <w:pPr>
        <w:pStyle w:val="FootnoteText"/>
        <w:jc w:val="both"/>
      </w:pPr>
      <w:r w:rsidRPr="008E47DC">
        <w:rPr>
          <w:rFonts w:ascii="Arial" w:hAnsi="Arial" w:cs="Arial"/>
          <w:sz w:val="18"/>
          <w:szCs w:val="18"/>
        </w:rPr>
        <w:t>https://www.cndh.org.mx/sites/default/files/documentos/2020-12/REC_2020_089.pdf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DDC" w:rsidRDefault="00DF0DDC" w:rsidP="00113951">
    <w:pPr>
      <w:pStyle w:val="Header"/>
      <w:tabs>
        <w:tab w:val="clear" w:pos="8838"/>
      </w:tabs>
      <w:jc w:val="right"/>
      <w:rPr>
        <w:b/>
        <w:color w:val="215868"/>
      </w:rPr>
    </w:pPr>
    <w:r w:rsidRPr="00113951">
      <w:rPr>
        <w:noProof/>
        <w:lang w:val="en-GB" w:eastAsia="en-GB"/>
      </w:rPr>
      <w:drawing>
        <wp:anchor distT="0" distB="0" distL="114300" distR="114300" simplePos="0" relativeHeight="251659264" behindDoc="0" locked="0" layoutInCell="1" allowOverlap="1">
          <wp:simplePos x="0" y="0"/>
          <wp:positionH relativeFrom="margin">
            <wp:posOffset>1254760</wp:posOffset>
          </wp:positionH>
          <wp:positionV relativeFrom="paragraph">
            <wp:posOffset>-250190</wp:posOffset>
          </wp:positionV>
          <wp:extent cx="4519295" cy="219521"/>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19295" cy="219521"/>
                  </a:xfrm>
                  <a:prstGeom prst="rect">
                    <a:avLst/>
                  </a:prstGeom>
                  <a:noFill/>
                  <a:ln>
                    <a:noFill/>
                  </a:ln>
                  <a:effectLst/>
                </pic:spPr>
              </pic:pic>
            </a:graphicData>
          </a:graphic>
        </wp:anchor>
      </w:drawing>
    </w:r>
  </w:p>
  <w:p w:rsidR="00DF0DDC" w:rsidRPr="00113951" w:rsidRDefault="00DF0DDC" w:rsidP="00113951">
    <w:pPr>
      <w:pStyle w:val="Header"/>
      <w:tabs>
        <w:tab w:val="clear" w:pos="8838"/>
      </w:tabs>
      <w:jc w:val="right"/>
    </w:pPr>
    <w:r w:rsidRPr="00113951">
      <w:rPr>
        <w:noProof/>
        <w:lang w:val="en-GB" w:eastAsia="en-GB"/>
      </w:rPr>
      <w:drawing>
        <wp:anchor distT="0" distB="0" distL="114300" distR="114300" simplePos="0" relativeHeight="251660288" behindDoc="1" locked="0" layoutInCell="1" allowOverlap="1">
          <wp:simplePos x="0" y="0"/>
          <wp:positionH relativeFrom="margin">
            <wp:posOffset>0</wp:posOffset>
          </wp:positionH>
          <wp:positionV relativeFrom="paragraph">
            <wp:posOffset>-377825</wp:posOffset>
          </wp:positionV>
          <wp:extent cx="698500" cy="828040"/>
          <wp:effectExtent l="0" t="0" r="6350" b="0"/>
          <wp:wrapThrough wrapText="bothSides">
            <wp:wrapPolygon edited="0">
              <wp:start x="0" y="0"/>
              <wp:lineTo x="0" y="20871"/>
              <wp:lineTo x="21207" y="20871"/>
              <wp:lineTo x="21207" y="0"/>
              <wp:lineTo x="0" y="0"/>
            </wp:wrapPolygon>
          </wp:wrapThrough>
          <wp:docPr id="2" name="Imagen 2" descr="logo_vertical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vertical_color"/>
                  <pic:cNvPicPr>
                    <a:picLocks noChangeAspect="1" noChangeArrowheads="1"/>
                  </pic:cNvPicPr>
                </pic:nvPicPr>
                <pic:blipFill>
                  <a:blip r:embed="rId2">
                    <a:lum bright="14000" contrast="14000"/>
                    <a:extLst>
                      <a:ext uri="{28A0092B-C50C-407E-A947-70E740481C1C}">
                        <a14:useLocalDpi xmlns:a14="http://schemas.microsoft.com/office/drawing/2010/main" val="0"/>
                      </a:ext>
                    </a:extLst>
                  </a:blip>
                  <a:srcRect/>
                  <a:stretch>
                    <a:fillRect/>
                  </a:stretch>
                </pic:blipFill>
                <pic:spPr bwMode="auto">
                  <a:xfrm>
                    <a:off x="0" y="0"/>
                    <a:ext cx="698500" cy="828040"/>
                  </a:xfrm>
                  <a:prstGeom prst="rect">
                    <a:avLst/>
                  </a:prstGeom>
                  <a:noFill/>
                  <a:ln>
                    <a:noFill/>
                  </a:ln>
                </pic:spPr>
              </pic:pic>
            </a:graphicData>
          </a:graphic>
        </wp:anchor>
      </w:drawing>
    </w:r>
  </w:p>
  <w:p w:rsidR="00DF0DDC" w:rsidRDefault="00DF0DDC" w:rsidP="00406A68">
    <w:pPr>
      <w:pStyle w:val="Header"/>
      <w:tabs>
        <w:tab w:val="clear" w:pos="8838"/>
      </w:tabs>
      <w:jc w:val="right"/>
    </w:pPr>
  </w:p>
  <w:p w:rsidR="00DF0DDC" w:rsidRDefault="00DF0DDC" w:rsidP="00406A68">
    <w:pPr>
      <w:pStyle w:val="Header"/>
      <w:tabs>
        <w:tab w:val="clear" w:pos="88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5FA7"/>
    <w:multiLevelType w:val="hybridMultilevel"/>
    <w:tmpl w:val="BC8E3324"/>
    <w:lvl w:ilvl="0" w:tplc="080A0001">
      <w:start w:val="1"/>
      <w:numFmt w:val="bullet"/>
      <w:lvlText w:val=""/>
      <w:lvlJc w:val="left"/>
      <w:pPr>
        <w:ind w:left="720" w:hanging="360"/>
      </w:pPr>
      <w:rPr>
        <w:rFonts w:ascii="Symbol" w:hAnsi="Symbol" w:hint="default"/>
      </w:rPr>
    </w:lvl>
    <w:lvl w:ilvl="1" w:tplc="080A000D">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802980"/>
    <w:multiLevelType w:val="hybridMultilevel"/>
    <w:tmpl w:val="0E36920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892C12"/>
    <w:multiLevelType w:val="hybridMultilevel"/>
    <w:tmpl w:val="354E54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1B153D"/>
    <w:multiLevelType w:val="hybridMultilevel"/>
    <w:tmpl w:val="48BA86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583E31"/>
    <w:multiLevelType w:val="hybridMultilevel"/>
    <w:tmpl w:val="624A29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43345A"/>
    <w:multiLevelType w:val="hybridMultilevel"/>
    <w:tmpl w:val="4978F90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A0251A"/>
    <w:multiLevelType w:val="hybridMultilevel"/>
    <w:tmpl w:val="20246B7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15:restartNumberingAfterBreak="0">
    <w:nsid w:val="20627E8C"/>
    <w:multiLevelType w:val="hybridMultilevel"/>
    <w:tmpl w:val="0C64BB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CC6AAF"/>
    <w:multiLevelType w:val="hybridMultilevel"/>
    <w:tmpl w:val="222414B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 w15:restartNumberingAfterBreak="0">
    <w:nsid w:val="26221708"/>
    <w:multiLevelType w:val="hybridMultilevel"/>
    <w:tmpl w:val="9D1A8AF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505068"/>
    <w:multiLevelType w:val="hybridMultilevel"/>
    <w:tmpl w:val="F49A48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7F1692"/>
    <w:multiLevelType w:val="hybridMultilevel"/>
    <w:tmpl w:val="36547D66"/>
    <w:lvl w:ilvl="0" w:tplc="080A0001">
      <w:start w:val="1"/>
      <w:numFmt w:val="bullet"/>
      <w:lvlText w:val=""/>
      <w:lvlJc w:val="left"/>
      <w:pPr>
        <w:ind w:left="1647" w:hanging="360"/>
      </w:pPr>
      <w:rPr>
        <w:rFonts w:ascii="Symbol" w:hAnsi="Symbol" w:hint="default"/>
      </w:rPr>
    </w:lvl>
    <w:lvl w:ilvl="1" w:tplc="080A0003">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12" w15:restartNumberingAfterBreak="0">
    <w:nsid w:val="3DCD17F6"/>
    <w:multiLevelType w:val="hybridMultilevel"/>
    <w:tmpl w:val="DA7ECB1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3" w15:restartNumberingAfterBreak="0">
    <w:nsid w:val="43A26E48"/>
    <w:multiLevelType w:val="hybridMultilevel"/>
    <w:tmpl w:val="E00A9882"/>
    <w:lvl w:ilvl="0" w:tplc="5F3E56F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4F37327E"/>
    <w:multiLevelType w:val="hybridMultilevel"/>
    <w:tmpl w:val="8390D2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61F2F2E"/>
    <w:multiLevelType w:val="hybridMultilevel"/>
    <w:tmpl w:val="56E87F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A287920"/>
    <w:multiLevelType w:val="hybridMultilevel"/>
    <w:tmpl w:val="78C2420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B396BB4"/>
    <w:multiLevelType w:val="hybridMultilevel"/>
    <w:tmpl w:val="5E4E5F00"/>
    <w:lvl w:ilvl="0" w:tplc="080A0001">
      <w:start w:val="1"/>
      <w:numFmt w:val="bullet"/>
      <w:lvlText w:val=""/>
      <w:lvlJc w:val="left"/>
      <w:pPr>
        <w:ind w:left="1287" w:hanging="360"/>
      </w:pPr>
      <w:rPr>
        <w:rFonts w:ascii="Symbol" w:hAnsi="Symbol" w:hint="default"/>
      </w:rPr>
    </w:lvl>
    <w:lvl w:ilvl="1" w:tplc="080A0003">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8" w15:restartNumberingAfterBreak="0">
    <w:nsid w:val="5C6B4411"/>
    <w:multiLevelType w:val="hybridMultilevel"/>
    <w:tmpl w:val="F5AC70F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9" w15:restartNumberingAfterBreak="0">
    <w:nsid w:val="65BA55A6"/>
    <w:multiLevelType w:val="hybridMultilevel"/>
    <w:tmpl w:val="F6EA336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0" w15:restartNumberingAfterBreak="0">
    <w:nsid w:val="695F2035"/>
    <w:multiLevelType w:val="hybridMultilevel"/>
    <w:tmpl w:val="748C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AE46AF0"/>
    <w:multiLevelType w:val="hybridMultilevel"/>
    <w:tmpl w:val="16F65B50"/>
    <w:lvl w:ilvl="0" w:tplc="6AF805A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CFC4F0F"/>
    <w:multiLevelType w:val="hybridMultilevel"/>
    <w:tmpl w:val="53B6CC1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3" w15:restartNumberingAfterBreak="0">
    <w:nsid w:val="6E4F14D2"/>
    <w:multiLevelType w:val="hybridMultilevel"/>
    <w:tmpl w:val="BA1A00F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F6836A0"/>
    <w:multiLevelType w:val="hybridMultilevel"/>
    <w:tmpl w:val="118EED38"/>
    <w:lvl w:ilvl="0" w:tplc="130AEA4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6480096"/>
    <w:multiLevelType w:val="hybridMultilevel"/>
    <w:tmpl w:val="A72E156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6974B24"/>
    <w:multiLevelType w:val="hybridMultilevel"/>
    <w:tmpl w:val="FECA28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A7B1238"/>
    <w:multiLevelType w:val="hybridMultilevel"/>
    <w:tmpl w:val="4118800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8" w15:restartNumberingAfterBreak="0">
    <w:nsid w:val="7C577B8B"/>
    <w:multiLevelType w:val="hybridMultilevel"/>
    <w:tmpl w:val="6D049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5"/>
  </w:num>
  <w:num w:numId="3">
    <w:abstractNumId w:val="28"/>
  </w:num>
  <w:num w:numId="4">
    <w:abstractNumId w:val="20"/>
  </w:num>
  <w:num w:numId="5">
    <w:abstractNumId w:val="14"/>
  </w:num>
  <w:num w:numId="6">
    <w:abstractNumId w:val="13"/>
  </w:num>
  <w:num w:numId="7">
    <w:abstractNumId w:val="27"/>
  </w:num>
  <w:num w:numId="8">
    <w:abstractNumId w:val="22"/>
  </w:num>
  <w:num w:numId="9">
    <w:abstractNumId w:val="19"/>
  </w:num>
  <w:num w:numId="10">
    <w:abstractNumId w:val="12"/>
  </w:num>
  <w:num w:numId="11">
    <w:abstractNumId w:val="18"/>
  </w:num>
  <w:num w:numId="12">
    <w:abstractNumId w:val="6"/>
  </w:num>
  <w:num w:numId="13">
    <w:abstractNumId w:val="11"/>
  </w:num>
  <w:num w:numId="14">
    <w:abstractNumId w:val="17"/>
  </w:num>
  <w:num w:numId="15">
    <w:abstractNumId w:val="8"/>
  </w:num>
  <w:num w:numId="16">
    <w:abstractNumId w:val="4"/>
  </w:num>
  <w:num w:numId="17">
    <w:abstractNumId w:val="23"/>
  </w:num>
  <w:num w:numId="18">
    <w:abstractNumId w:val="16"/>
  </w:num>
  <w:num w:numId="19">
    <w:abstractNumId w:val="2"/>
  </w:num>
  <w:num w:numId="20">
    <w:abstractNumId w:val="15"/>
  </w:num>
  <w:num w:numId="21">
    <w:abstractNumId w:val="9"/>
  </w:num>
  <w:num w:numId="22">
    <w:abstractNumId w:val="5"/>
  </w:num>
  <w:num w:numId="23">
    <w:abstractNumId w:val="7"/>
  </w:num>
  <w:num w:numId="24">
    <w:abstractNumId w:val="21"/>
  </w:num>
  <w:num w:numId="25">
    <w:abstractNumId w:val="24"/>
  </w:num>
  <w:num w:numId="26">
    <w:abstractNumId w:val="0"/>
  </w:num>
  <w:num w:numId="27">
    <w:abstractNumId w:val="10"/>
  </w:num>
  <w:num w:numId="28">
    <w:abstractNumId w:val="26"/>
  </w:num>
  <w:num w:numId="2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06A68"/>
    <w:rsid w:val="0000167F"/>
    <w:rsid w:val="000041ED"/>
    <w:rsid w:val="0000565C"/>
    <w:rsid w:val="0001691E"/>
    <w:rsid w:val="00020755"/>
    <w:rsid w:val="0002451D"/>
    <w:rsid w:val="00024894"/>
    <w:rsid w:val="0002507F"/>
    <w:rsid w:val="00031E93"/>
    <w:rsid w:val="000325F6"/>
    <w:rsid w:val="000328A8"/>
    <w:rsid w:val="0003425F"/>
    <w:rsid w:val="000363E6"/>
    <w:rsid w:val="00045002"/>
    <w:rsid w:val="000474FA"/>
    <w:rsid w:val="0005231E"/>
    <w:rsid w:val="0006343E"/>
    <w:rsid w:val="00065ED2"/>
    <w:rsid w:val="00066149"/>
    <w:rsid w:val="00071811"/>
    <w:rsid w:val="00071E90"/>
    <w:rsid w:val="00074596"/>
    <w:rsid w:val="00080000"/>
    <w:rsid w:val="00080A7C"/>
    <w:rsid w:val="00082371"/>
    <w:rsid w:val="00083FEC"/>
    <w:rsid w:val="00093AFD"/>
    <w:rsid w:val="000A3222"/>
    <w:rsid w:val="000A36A1"/>
    <w:rsid w:val="000A790E"/>
    <w:rsid w:val="000C31C9"/>
    <w:rsid w:val="000C350D"/>
    <w:rsid w:val="000D1AEE"/>
    <w:rsid w:val="000E5FEE"/>
    <w:rsid w:val="000E7CEF"/>
    <w:rsid w:val="000F1D73"/>
    <w:rsid w:val="001001E8"/>
    <w:rsid w:val="001006A4"/>
    <w:rsid w:val="00103B68"/>
    <w:rsid w:val="001063E5"/>
    <w:rsid w:val="00111A5D"/>
    <w:rsid w:val="00113951"/>
    <w:rsid w:val="00120BF1"/>
    <w:rsid w:val="00131F16"/>
    <w:rsid w:val="00132CD5"/>
    <w:rsid w:val="00133AB9"/>
    <w:rsid w:val="00136723"/>
    <w:rsid w:val="001443D2"/>
    <w:rsid w:val="00144D2A"/>
    <w:rsid w:val="00145504"/>
    <w:rsid w:val="001507F0"/>
    <w:rsid w:val="00151761"/>
    <w:rsid w:val="0015461A"/>
    <w:rsid w:val="00162336"/>
    <w:rsid w:val="001670B0"/>
    <w:rsid w:val="001702EF"/>
    <w:rsid w:val="00175DFD"/>
    <w:rsid w:val="001779DE"/>
    <w:rsid w:val="00185E51"/>
    <w:rsid w:val="00192666"/>
    <w:rsid w:val="00195099"/>
    <w:rsid w:val="001A4861"/>
    <w:rsid w:val="001B037B"/>
    <w:rsid w:val="001B1837"/>
    <w:rsid w:val="001B46CE"/>
    <w:rsid w:val="001B4833"/>
    <w:rsid w:val="001B489F"/>
    <w:rsid w:val="001C017F"/>
    <w:rsid w:val="001C2F63"/>
    <w:rsid w:val="001C5380"/>
    <w:rsid w:val="001D19A1"/>
    <w:rsid w:val="001D2253"/>
    <w:rsid w:val="001D613E"/>
    <w:rsid w:val="001E6D5C"/>
    <w:rsid w:val="001F1459"/>
    <w:rsid w:val="001F344A"/>
    <w:rsid w:val="001F5B51"/>
    <w:rsid w:val="002015B0"/>
    <w:rsid w:val="002038B0"/>
    <w:rsid w:val="00211536"/>
    <w:rsid w:val="00211CBA"/>
    <w:rsid w:val="00212DEB"/>
    <w:rsid w:val="00213A26"/>
    <w:rsid w:val="00214F28"/>
    <w:rsid w:val="00215EA9"/>
    <w:rsid w:val="00221BB0"/>
    <w:rsid w:val="002272B9"/>
    <w:rsid w:val="00227B39"/>
    <w:rsid w:val="002309BC"/>
    <w:rsid w:val="00231BA6"/>
    <w:rsid w:val="00234015"/>
    <w:rsid w:val="00234A86"/>
    <w:rsid w:val="00241101"/>
    <w:rsid w:val="00241182"/>
    <w:rsid w:val="00242B36"/>
    <w:rsid w:val="0024385E"/>
    <w:rsid w:val="0024463C"/>
    <w:rsid w:val="00245EB2"/>
    <w:rsid w:val="00246097"/>
    <w:rsid w:val="0025265B"/>
    <w:rsid w:val="00253EEA"/>
    <w:rsid w:val="0025435A"/>
    <w:rsid w:val="002573EC"/>
    <w:rsid w:val="0026529F"/>
    <w:rsid w:val="00266E82"/>
    <w:rsid w:val="00267000"/>
    <w:rsid w:val="00273DAA"/>
    <w:rsid w:val="00273E6F"/>
    <w:rsid w:val="00276147"/>
    <w:rsid w:val="00282D46"/>
    <w:rsid w:val="00283CA1"/>
    <w:rsid w:val="002850A8"/>
    <w:rsid w:val="0029160E"/>
    <w:rsid w:val="0029615F"/>
    <w:rsid w:val="002A1311"/>
    <w:rsid w:val="002A1427"/>
    <w:rsid w:val="002A417C"/>
    <w:rsid w:val="002A4C65"/>
    <w:rsid w:val="002A5D27"/>
    <w:rsid w:val="002B2295"/>
    <w:rsid w:val="002B5E21"/>
    <w:rsid w:val="002C2C8A"/>
    <w:rsid w:val="002D0BE7"/>
    <w:rsid w:val="002D1D18"/>
    <w:rsid w:val="002D2ECB"/>
    <w:rsid w:val="002D4E41"/>
    <w:rsid w:val="002D5682"/>
    <w:rsid w:val="002D625B"/>
    <w:rsid w:val="002E5B86"/>
    <w:rsid w:val="002E7627"/>
    <w:rsid w:val="002F2838"/>
    <w:rsid w:val="002F5CA7"/>
    <w:rsid w:val="00300B02"/>
    <w:rsid w:val="00300D6F"/>
    <w:rsid w:val="00302779"/>
    <w:rsid w:val="0030345A"/>
    <w:rsid w:val="003046A3"/>
    <w:rsid w:val="0030546A"/>
    <w:rsid w:val="003113F6"/>
    <w:rsid w:val="0031174F"/>
    <w:rsid w:val="00311908"/>
    <w:rsid w:val="0031206E"/>
    <w:rsid w:val="00312F9E"/>
    <w:rsid w:val="00314C1C"/>
    <w:rsid w:val="003203D6"/>
    <w:rsid w:val="00320835"/>
    <w:rsid w:val="003270B4"/>
    <w:rsid w:val="003309B6"/>
    <w:rsid w:val="00332551"/>
    <w:rsid w:val="00332AC6"/>
    <w:rsid w:val="00336C0B"/>
    <w:rsid w:val="00336DD0"/>
    <w:rsid w:val="00337BF0"/>
    <w:rsid w:val="00341751"/>
    <w:rsid w:val="00344FC1"/>
    <w:rsid w:val="00347E1B"/>
    <w:rsid w:val="00352923"/>
    <w:rsid w:val="00353403"/>
    <w:rsid w:val="00353427"/>
    <w:rsid w:val="003540B5"/>
    <w:rsid w:val="003642AD"/>
    <w:rsid w:val="00365718"/>
    <w:rsid w:val="00367D61"/>
    <w:rsid w:val="00372521"/>
    <w:rsid w:val="0038368E"/>
    <w:rsid w:val="003860E8"/>
    <w:rsid w:val="003867FF"/>
    <w:rsid w:val="0038701C"/>
    <w:rsid w:val="00393E6B"/>
    <w:rsid w:val="003A3C28"/>
    <w:rsid w:val="003A738B"/>
    <w:rsid w:val="003B50EC"/>
    <w:rsid w:val="003B5420"/>
    <w:rsid w:val="003B76E6"/>
    <w:rsid w:val="003C0551"/>
    <w:rsid w:val="003C1308"/>
    <w:rsid w:val="003C28B5"/>
    <w:rsid w:val="003D1EF5"/>
    <w:rsid w:val="003D3FFD"/>
    <w:rsid w:val="003D60B8"/>
    <w:rsid w:val="003D612E"/>
    <w:rsid w:val="003D647D"/>
    <w:rsid w:val="003D7565"/>
    <w:rsid w:val="003E0DCA"/>
    <w:rsid w:val="003E4883"/>
    <w:rsid w:val="003F123A"/>
    <w:rsid w:val="003F3936"/>
    <w:rsid w:val="003F41DC"/>
    <w:rsid w:val="003F538E"/>
    <w:rsid w:val="00400FC6"/>
    <w:rsid w:val="00406A68"/>
    <w:rsid w:val="00407459"/>
    <w:rsid w:val="004120FF"/>
    <w:rsid w:val="00413EDD"/>
    <w:rsid w:val="00416E5B"/>
    <w:rsid w:val="00421AD4"/>
    <w:rsid w:val="00425EC4"/>
    <w:rsid w:val="004269D5"/>
    <w:rsid w:val="00426BE6"/>
    <w:rsid w:val="00431ABC"/>
    <w:rsid w:val="00432FDA"/>
    <w:rsid w:val="00434DEC"/>
    <w:rsid w:val="00437FFD"/>
    <w:rsid w:val="0044338D"/>
    <w:rsid w:val="00443F4D"/>
    <w:rsid w:val="0044521F"/>
    <w:rsid w:val="004454C1"/>
    <w:rsid w:val="00445538"/>
    <w:rsid w:val="00446AA0"/>
    <w:rsid w:val="004471C2"/>
    <w:rsid w:val="004508A0"/>
    <w:rsid w:val="00450925"/>
    <w:rsid w:val="00454E54"/>
    <w:rsid w:val="00455DCD"/>
    <w:rsid w:val="00455E95"/>
    <w:rsid w:val="00457998"/>
    <w:rsid w:val="0046375C"/>
    <w:rsid w:val="00464DCA"/>
    <w:rsid w:val="00464E06"/>
    <w:rsid w:val="004666CC"/>
    <w:rsid w:val="00467983"/>
    <w:rsid w:val="004717E0"/>
    <w:rsid w:val="00471A8D"/>
    <w:rsid w:val="0047529E"/>
    <w:rsid w:val="00476DE8"/>
    <w:rsid w:val="00477FDB"/>
    <w:rsid w:val="004824C5"/>
    <w:rsid w:val="00484DB6"/>
    <w:rsid w:val="00486532"/>
    <w:rsid w:val="004873C3"/>
    <w:rsid w:val="00493FED"/>
    <w:rsid w:val="004A116E"/>
    <w:rsid w:val="004A20D5"/>
    <w:rsid w:val="004A5D25"/>
    <w:rsid w:val="004A656A"/>
    <w:rsid w:val="004B2512"/>
    <w:rsid w:val="004B3AF5"/>
    <w:rsid w:val="004B5207"/>
    <w:rsid w:val="004B56CC"/>
    <w:rsid w:val="004C4938"/>
    <w:rsid w:val="004C53DF"/>
    <w:rsid w:val="004C707A"/>
    <w:rsid w:val="004D1AFA"/>
    <w:rsid w:val="004D6702"/>
    <w:rsid w:val="004E0A99"/>
    <w:rsid w:val="004E17AA"/>
    <w:rsid w:val="004E1EBD"/>
    <w:rsid w:val="004E66F5"/>
    <w:rsid w:val="004F2160"/>
    <w:rsid w:val="004F216D"/>
    <w:rsid w:val="00503B9D"/>
    <w:rsid w:val="00510393"/>
    <w:rsid w:val="00511862"/>
    <w:rsid w:val="00512A94"/>
    <w:rsid w:val="00512B1F"/>
    <w:rsid w:val="00514D46"/>
    <w:rsid w:val="005151D4"/>
    <w:rsid w:val="00516379"/>
    <w:rsid w:val="00517211"/>
    <w:rsid w:val="00525FA7"/>
    <w:rsid w:val="00530770"/>
    <w:rsid w:val="00533EE9"/>
    <w:rsid w:val="00534827"/>
    <w:rsid w:val="00535FBA"/>
    <w:rsid w:val="00540EBB"/>
    <w:rsid w:val="00541075"/>
    <w:rsid w:val="00541A98"/>
    <w:rsid w:val="00543BB5"/>
    <w:rsid w:val="00544729"/>
    <w:rsid w:val="00550F27"/>
    <w:rsid w:val="00553D4A"/>
    <w:rsid w:val="005564BA"/>
    <w:rsid w:val="005567A7"/>
    <w:rsid w:val="00556ED9"/>
    <w:rsid w:val="00561790"/>
    <w:rsid w:val="00572AAA"/>
    <w:rsid w:val="00577F32"/>
    <w:rsid w:val="00583B29"/>
    <w:rsid w:val="00586FED"/>
    <w:rsid w:val="00593434"/>
    <w:rsid w:val="00593E4D"/>
    <w:rsid w:val="00595487"/>
    <w:rsid w:val="005A1077"/>
    <w:rsid w:val="005A41C0"/>
    <w:rsid w:val="005A4EB2"/>
    <w:rsid w:val="005A5139"/>
    <w:rsid w:val="005B7899"/>
    <w:rsid w:val="005C10FB"/>
    <w:rsid w:val="005C1FFA"/>
    <w:rsid w:val="005C2093"/>
    <w:rsid w:val="005C22D9"/>
    <w:rsid w:val="005C26E5"/>
    <w:rsid w:val="005C2BA5"/>
    <w:rsid w:val="005C3353"/>
    <w:rsid w:val="005C684B"/>
    <w:rsid w:val="005D0376"/>
    <w:rsid w:val="005D2D2B"/>
    <w:rsid w:val="005D452D"/>
    <w:rsid w:val="005E6019"/>
    <w:rsid w:val="005F0007"/>
    <w:rsid w:val="005F20F4"/>
    <w:rsid w:val="005F4610"/>
    <w:rsid w:val="00600EFC"/>
    <w:rsid w:val="00603D06"/>
    <w:rsid w:val="00603F31"/>
    <w:rsid w:val="00604D47"/>
    <w:rsid w:val="00606392"/>
    <w:rsid w:val="006072DB"/>
    <w:rsid w:val="00607808"/>
    <w:rsid w:val="00607E82"/>
    <w:rsid w:val="006115F6"/>
    <w:rsid w:val="00611A3C"/>
    <w:rsid w:val="0061585C"/>
    <w:rsid w:val="00620AF3"/>
    <w:rsid w:val="0062180A"/>
    <w:rsid w:val="006263E5"/>
    <w:rsid w:val="00637D9A"/>
    <w:rsid w:val="006406D0"/>
    <w:rsid w:val="006421B0"/>
    <w:rsid w:val="006422F7"/>
    <w:rsid w:val="0064313B"/>
    <w:rsid w:val="00645FB6"/>
    <w:rsid w:val="006460EF"/>
    <w:rsid w:val="006469B3"/>
    <w:rsid w:val="00647C5B"/>
    <w:rsid w:val="00651866"/>
    <w:rsid w:val="00654F3E"/>
    <w:rsid w:val="00657FF8"/>
    <w:rsid w:val="00661453"/>
    <w:rsid w:val="006631A3"/>
    <w:rsid w:val="00666E70"/>
    <w:rsid w:val="00670FE3"/>
    <w:rsid w:val="00677C0F"/>
    <w:rsid w:val="00677F32"/>
    <w:rsid w:val="006873D0"/>
    <w:rsid w:val="0069365F"/>
    <w:rsid w:val="006A187E"/>
    <w:rsid w:val="006A23F1"/>
    <w:rsid w:val="006A2FB8"/>
    <w:rsid w:val="006A67B3"/>
    <w:rsid w:val="006A7C6F"/>
    <w:rsid w:val="006B03D9"/>
    <w:rsid w:val="006B1321"/>
    <w:rsid w:val="006B6C16"/>
    <w:rsid w:val="006B7433"/>
    <w:rsid w:val="006C076B"/>
    <w:rsid w:val="006C2509"/>
    <w:rsid w:val="006C3704"/>
    <w:rsid w:val="006E60EC"/>
    <w:rsid w:val="006E76B1"/>
    <w:rsid w:val="006F3392"/>
    <w:rsid w:val="006F3487"/>
    <w:rsid w:val="00706821"/>
    <w:rsid w:val="00706E35"/>
    <w:rsid w:val="00707F78"/>
    <w:rsid w:val="00712129"/>
    <w:rsid w:val="00712292"/>
    <w:rsid w:val="00714336"/>
    <w:rsid w:val="00721D01"/>
    <w:rsid w:val="007228F1"/>
    <w:rsid w:val="00722EBD"/>
    <w:rsid w:val="007236DB"/>
    <w:rsid w:val="00724362"/>
    <w:rsid w:val="00733316"/>
    <w:rsid w:val="00733403"/>
    <w:rsid w:val="00737E41"/>
    <w:rsid w:val="0074382B"/>
    <w:rsid w:val="00744409"/>
    <w:rsid w:val="00744DDA"/>
    <w:rsid w:val="00745B51"/>
    <w:rsid w:val="0074626B"/>
    <w:rsid w:val="00747C2A"/>
    <w:rsid w:val="00752022"/>
    <w:rsid w:val="00752BF6"/>
    <w:rsid w:val="00753ED3"/>
    <w:rsid w:val="00762B75"/>
    <w:rsid w:val="007640E7"/>
    <w:rsid w:val="00766763"/>
    <w:rsid w:val="00767F2D"/>
    <w:rsid w:val="00771B7F"/>
    <w:rsid w:val="007722AA"/>
    <w:rsid w:val="0078061E"/>
    <w:rsid w:val="0078486C"/>
    <w:rsid w:val="007875B4"/>
    <w:rsid w:val="00787DF7"/>
    <w:rsid w:val="007910B8"/>
    <w:rsid w:val="00792985"/>
    <w:rsid w:val="00796CA2"/>
    <w:rsid w:val="00797F72"/>
    <w:rsid w:val="007A0C3F"/>
    <w:rsid w:val="007A2A05"/>
    <w:rsid w:val="007B0D0C"/>
    <w:rsid w:val="007B1BEE"/>
    <w:rsid w:val="007B2337"/>
    <w:rsid w:val="007B4A7A"/>
    <w:rsid w:val="007B632A"/>
    <w:rsid w:val="007C1303"/>
    <w:rsid w:val="007C201A"/>
    <w:rsid w:val="007C3645"/>
    <w:rsid w:val="007C4325"/>
    <w:rsid w:val="007D0B56"/>
    <w:rsid w:val="007D2FDF"/>
    <w:rsid w:val="007E507E"/>
    <w:rsid w:val="007E6A2E"/>
    <w:rsid w:val="007E7F35"/>
    <w:rsid w:val="007F0960"/>
    <w:rsid w:val="007F1560"/>
    <w:rsid w:val="007F3910"/>
    <w:rsid w:val="007F39D2"/>
    <w:rsid w:val="007F4160"/>
    <w:rsid w:val="00800849"/>
    <w:rsid w:val="00800B40"/>
    <w:rsid w:val="00802501"/>
    <w:rsid w:val="00803A47"/>
    <w:rsid w:val="00811C30"/>
    <w:rsid w:val="00811F59"/>
    <w:rsid w:val="00817214"/>
    <w:rsid w:val="00817DA9"/>
    <w:rsid w:val="008200BF"/>
    <w:rsid w:val="00820391"/>
    <w:rsid w:val="008238E0"/>
    <w:rsid w:val="00827E36"/>
    <w:rsid w:val="008305FB"/>
    <w:rsid w:val="00831D6E"/>
    <w:rsid w:val="0084006F"/>
    <w:rsid w:val="008428C5"/>
    <w:rsid w:val="00842926"/>
    <w:rsid w:val="00846960"/>
    <w:rsid w:val="00846B87"/>
    <w:rsid w:val="0084779E"/>
    <w:rsid w:val="00847C05"/>
    <w:rsid w:val="00854ABF"/>
    <w:rsid w:val="0085695E"/>
    <w:rsid w:val="00857AA5"/>
    <w:rsid w:val="00862811"/>
    <w:rsid w:val="00865B94"/>
    <w:rsid w:val="0087004C"/>
    <w:rsid w:val="00874875"/>
    <w:rsid w:val="00875166"/>
    <w:rsid w:val="00876B4B"/>
    <w:rsid w:val="00877C4D"/>
    <w:rsid w:val="00884B97"/>
    <w:rsid w:val="008907FB"/>
    <w:rsid w:val="00890B4C"/>
    <w:rsid w:val="0089448A"/>
    <w:rsid w:val="008A070B"/>
    <w:rsid w:val="008A6F2E"/>
    <w:rsid w:val="008A7FAC"/>
    <w:rsid w:val="008B1731"/>
    <w:rsid w:val="008B57FC"/>
    <w:rsid w:val="008B76F1"/>
    <w:rsid w:val="008C1D8B"/>
    <w:rsid w:val="008C3C0E"/>
    <w:rsid w:val="008C4728"/>
    <w:rsid w:val="008C66DF"/>
    <w:rsid w:val="008D5470"/>
    <w:rsid w:val="008D5FE0"/>
    <w:rsid w:val="008E3642"/>
    <w:rsid w:val="008E3D25"/>
    <w:rsid w:val="008E47DC"/>
    <w:rsid w:val="008E54C5"/>
    <w:rsid w:val="008E5A00"/>
    <w:rsid w:val="008F1AA6"/>
    <w:rsid w:val="008F3357"/>
    <w:rsid w:val="008F5916"/>
    <w:rsid w:val="008F7A38"/>
    <w:rsid w:val="009008F8"/>
    <w:rsid w:val="009017C2"/>
    <w:rsid w:val="009018D6"/>
    <w:rsid w:val="00902D4C"/>
    <w:rsid w:val="0090396D"/>
    <w:rsid w:val="00905A73"/>
    <w:rsid w:val="00906A6C"/>
    <w:rsid w:val="009071CB"/>
    <w:rsid w:val="00907ED6"/>
    <w:rsid w:val="00911E3F"/>
    <w:rsid w:val="00915A88"/>
    <w:rsid w:val="00916252"/>
    <w:rsid w:val="0092185B"/>
    <w:rsid w:val="00925001"/>
    <w:rsid w:val="00930932"/>
    <w:rsid w:val="00936918"/>
    <w:rsid w:val="00936FDB"/>
    <w:rsid w:val="0094116E"/>
    <w:rsid w:val="009453FB"/>
    <w:rsid w:val="009457F3"/>
    <w:rsid w:val="009519E7"/>
    <w:rsid w:val="0095246B"/>
    <w:rsid w:val="00956863"/>
    <w:rsid w:val="00956F98"/>
    <w:rsid w:val="0095786A"/>
    <w:rsid w:val="009623D3"/>
    <w:rsid w:val="009643C1"/>
    <w:rsid w:val="00964C35"/>
    <w:rsid w:val="009678F4"/>
    <w:rsid w:val="00967E8B"/>
    <w:rsid w:val="0097056C"/>
    <w:rsid w:val="009707FF"/>
    <w:rsid w:val="00974CBC"/>
    <w:rsid w:val="009753A9"/>
    <w:rsid w:val="00980ACD"/>
    <w:rsid w:val="00982E04"/>
    <w:rsid w:val="00983BBF"/>
    <w:rsid w:val="00984693"/>
    <w:rsid w:val="009866DE"/>
    <w:rsid w:val="00987D5B"/>
    <w:rsid w:val="00990A86"/>
    <w:rsid w:val="009914B7"/>
    <w:rsid w:val="00991D8C"/>
    <w:rsid w:val="00997DC6"/>
    <w:rsid w:val="009A183B"/>
    <w:rsid w:val="009A22E7"/>
    <w:rsid w:val="009A2B41"/>
    <w:rsid w:val="009A5A22"/>
    <w:rsid w:val="009A69EC"/>
    <w:rsid w:val="009B2900"/>
    <w:rsid w:val="009B358A"/>
    <w:rsid w:val="009C0216"/>
    <w:rsid w:val="009D72A8"/>
    <w:rsid w:val="009E0675"/>
    <w:rsid w:val="009E11E0"/>
    <w:rsid w:val="009E4B69"/>
    <w:rsid w:val="009E4FA4"/>
    <w:rsid w:val="009E6D01"/>
    <w:rsid w:val="009E70F9"/>
    <w:rsid w:val="009E773A"/>
    <w:rsid w:val="009F0FCD"/>
    <w:rsid w:val="009F6ECF"/>
    <w:rsid w:val="00A03BE6"/>
    <w:rsid w:val="00A0427F"/>
    <w:rsid w:val="00A05473"/>
    <w:rsid w:val="00A06E7B"/>
    <w:rsid w:val="00A07877"/>
    <w:rsid w:val="00A1031A"/>
    <w:rsid w:val="00A13744"/>
    <w:rsid w:val="00A140E6"/>
    <w:rsid w:val="00A15F7D"/>
    <w:rsid w:val="00A16B19"/>
    <w:rsid w:val="00A20924"/>
    <w:rsid w:val="00A21C93"/>
    <w:rsid w:val="00A22969"/>
    <w:rsid w:val="00A25C7F"/>
    <w:rsid w:val="00A26016"/>
    <w:rsid w:val="00A2682C"/>
    <w:rsid w:val="00A276D1"/>
    <w:rsid w:val="00A3344C"/>
    <w:rsid w:val="00A34AE9"/>
    <w:rsid w:val="00A36CD8"/>
    <w:rsid w:val="00A4273C"/>
    <w:rsid w:val="00A46467"/>
    <w:rsid w:val="00A526C0"/>
    <w:rsid w:val="00A600D0"/>
    <w:rsid w:val="00A61116"/>
    <w:rsid w:val="00A61E66"/>
    <w:rsid w:val="00A631FD"/>
    <w:rsid w:val="00A65D79"/>
    <w:rsid w:val="00A660E7"/>
    <w:rsid w:val="00A70DEB"/>
    <w:rsid w:val="00A71331"/>
    <w:rsid w:val="00A74766"/>
    <w:rsid w:val="00A83D71"/>
    <w:rsid w:val="00A85D65"/>
    <w:rsid w:val="00A87861"/>
    <w:rsid w:val="00A90684"/>
    <w:rsid w:val="00A93D09"/>
    <w:rsid w:val="00A944E7"/>
    <w:rsid w:val="00A97FC6"/>
    <w:rsid w:val="00AA0032"/>
    <w:rsid w:val="00AA05BD"/>
    <w:rsid w:val="00AA38C7"/>
    <w:rsid w:val="00AB005A"/>
    <w:rsid w:val="00AB0EFE"/>
    <w:rsid w:val="00AB17B5"/>
    <w:rsid w:val="00AB206A"/>
    <w:rsid w:val="00AB3376"/>
    <w:rsid w:val="00AB7B4D"/>
    <w:rsid w:val="00AC58D7"/>
    <w:rsid w:val="00AD0AD5"/>
    <w:rsid w:val="00AD5015"/>
    <w:rsid w:val="00AE3E9B"/>
    <w:rsid w:val="00AF0B68"/>
    <w:rsid w:val="00AF30BE"/>
    <w:rsid w:val="00AF3AD1"/>
    <w:rsid w:val="00AF72F9"/>
    <w:rsid w:val="00AF733A"/>
    <w:rsid w:val="00AF7608"/>
    <w:rsid w:val="00B00101"/>
    <w:rsid w:val="00B01739"/>
    <w:rsid w:val="00B11E55"/>
    <w:rsid w:val="00B135ED"/>
    <w:rsid w:val="00B1422B"/>
    <w:rsid w:val="00B20164"/>
    <w:rsid w:val="00B20997"/>
    <w:rsid w:val="00B23FBA"/>
    <w:rsid w:val="00B24614"/>
    <w:rsid w:val="00B25877"/>
    <w:rsid w:val="00B3191E"/>
    <w:rsid w:val="00B32087"/>
    <w:rsid w:val="00B324F9"/>
    <w:rsid w:val="00B329AB"/>
    <w:rsid w:val="00B33E2F"/>
    <w:rsid w:val="00B35286"/>
    <w:rsid w:val="00B35834"/>
    <w:rsid w:val="00B3702E"/>
    <w:rsid w:val="00B47149"/>
    <w:rsid w:val="00B50817"/>
    <w:rsid w:val="00B541E7"/>
    <w:rsid w:val="00B67311"/>
    <w:rsid w:val="00B72534"/>
    <w:rsid w:val="00B73E58"/>
    <w:rsid w:val="00B77C15"/>
    <w:rsid w:val="00B80023"/>
    <w:rsid w:val="00B825A8"/>
    <w:rsid w:val="00B82F95"/>
    <w:rsid w:val="00B87416"/>
    <w:rsid w:val="00B87CEE"/>
    <w:rsid w:val="00B93298"/>
    <w:rsid w:val="00B93F84"/>
    <w:rsid w:val="00BA4486"/>
    <w:rsid w:val="00BB03BE"/>
    <w:rsid w:val="00BB158D"/>
    <w:rsid w:val="00BC03EF"/>
    <w:rsid w:val="00BC16FB"/>
    <w:rsid w:val="00BC2117"/>
    <w:rsid w:val="00BC4748"/>
    <w:rsid w:val="00BD19E5"/>
    <w:rsid w:val="00BD4164"/>
    <w:rsid w:val="00BD4DA4"/>
    <w:rsid w:val="00BD5EFB"/>
    <w:rsid w:val="00BE0CA0"/>
    <w:rsid w:val="00BE38E1"/>
    <w:rsid w:val="00BF129C"/>
    <w:rsid w:val="00BF5322"/>
    <w:rsid w:val="00C02C7C"/>
    <w:rsid w:val="00C03C74"/>
    <w:rsid w:val="00C0513C"/>
    <w:rsid w:val="00C11D29"/>
    <w:rsid w:val="00C12DE1"/>
    <w:rsid w:val="00C14E34"/>
    <w:rsid w:val="00C15C7C"/>
    <w:rsid w:val="00C212F0"/>
    <w:rsid w:val="00C23F0A"/>
    <w:rsid w:val="00C25A40"/>
    <w:rsid w:val="00C30264"/>
    <w:rsid w:val="00C312DD"/>
    <w:rsid w:val="00C32724"/>
    <w:rsid w:val="00C34C9B"/>
    <w:rsid w:val="00C36651"/>
    <w:rsid w:val="00C462DE"/>
    <w:rsid w:val="00C5444D"/>
    <w:rsid w:val="00C547B4"/>
    <w:rsid w:val="00C55674"/>
    <w:rsid w:val="00C56D65"/>
    <w:rsid w:val="00C577FA"/>
    <w:rsid w:val="00C57A13"/>
    <w:rsid w:val="00C61B09"/>
    <w:rsid w:val="00C6273C"/>
    <w:rsid w:val="00C62A4C"/>
    <w:rsid w:val="00C62EA0"/>
    <w:rsid w:val="00C67A4F"/>
    <w:rsid w:val="00C71860"/>
    <w:rsid w:val="00C72CE4"/>
    <w:rsid w:val="00C75DB2"/>
    <w:rsid w:val="00C8299F"/>
    <w:rsid w:val="00C85B59"/>
    <w:rsid w:val="00C86599"/>
    <w:rsid w:val="00C958AB"/>
    <w:rsid w:val="00C96420"/>
    <w:rsid w:val="00CA06A6"/>
    <w:rsid w:val="00CA11A7"/>
    <w:rsid w:val="00CA28C0"/>
    <w:rsid w:val="00CA3913"/>
    <w:rsid w:val="00CA4B52"/>
    <w:rsid w:val="00CB243D"/>
    <w:rsid w:val="00CB3A71"/>
    <w:rsid w:val="00CB7F78"/>
    <w:rsid w:val="00CC3751"/>
    <w:rsid w:val="00CC7B0B"/>
    <w:rsid w:val="00CD0282"/>
    <w:rsid w:val="00CD1A2C"/>
    <w:rsid w:val="00CD1F02"/>
    <w:rsid w:val="00CD3D01"/>
    <w:rsid w:val="00CD5CA0"/>
    <w:rsid w:val="00CE1EB2"/>
    <w:rsid w:val="00CE556F"/>
    <w:rsid w:val="00CE5878"/>
    <w:rsid w:val="00CF670C"/>
    <w:rsid w:val="00D03670"/>
    <w:rsid w:val="00D038AB"/>
    <w:rsid w:val="00D137E1"/>
    <w:rsid w:val="00D1439E"/>
    <w:rsid w:val="00D14D59"/>
    <w:rsid w:val="00D1586A"/>
    <w:rsid w:val="00D15D76"/>
    <w:rsid w:val="00D20782"/>
    <w:rsid w:val="00D2184A"/>
    <w:rsid w:val="00D2423C"/>
    <w:rsid w:val="00D255D1"/>
    <w:rsid w:val="00D259CA"/>
    <w:rsid w:val="00D25DEB"/>
    <w:rsid w:val="00D3375C"/>
    <w:rsid w:val="00D3560F"/>
    <w:rsid w:val="00D3625F"/>
    <w:rsid w:val="00D3676A"/>
    <w:rsid w:val="00D4237D"/>
    <w:rsid w:val="00D432D9"/>
    <w:rsid w:val="00D477C4"/>
    <w:rsid w:val="00D50955"/>
    <w:rsid w:val="00D56702"/>
    <w:rsid w:val="00D61C2D"/>
    <w:rsid w:val="00D620DB"/>
    <w:rsid w:val="00D657F4"/>
    <w:rsid w:val="00D671CC"/>
    <w:rsid w:val="00D70560"/>
    <w:rsid w:val="00D70B89"/>
    <w:rsid w:val="00D715EA"/>
    <w:rsid w:val="00D737F1"/>
    <w:rsid w:val="00D75CB1"/>
    <w:rsid w:val="00D766F6"/>
    <w:rsid w:val="00D80119"/>
    <w:rsid w:val="00D85671"/>
    <w:rsid w:val="00D866CF"/>
    <w:rsid w:val="00D8783D"/>
    <w:rsid w:val="00D879FA"/>
    <w:rsid w:val="00D91AE2"/>
    <w:rsid w:val="00DA05F2"/>
    <w:rsid w:val="00DA1344"/>
    <w:rsid w:val="00DA3BB5"/>
    <w:rsid w:val="00DA5422"/>
    <w:rsid w:val="00DB18FA"/>
    <w:rsid w:val="00DB26CB"/>
    <w:rsid w:val="00DB713D"/>
    <w:rsid w:val="00DC17D2"/>
    <w:rsid w:val="00DC203D"/>
    <w:rsid w:val="00DC308D"/>
    <w:rsid w:val="00DC6ABD"/>
    <w:rsid w:val="00DC75D0"/>
    <w:rsid w:val="00DC7F28"/>
    <w:rsid w:val="00DD212B"/>
    <w:rsid w:val="00DE129D"/>
    <w:rsid w:val="00DE2A19"/>
    <w:rsid w:val="00DE33FB"/>
    <w:rsid w:val="00DE4E59"/>
    <w:rsid w:val="00DE5C9D"/>
    <w:rsid w:val="00DF0DDC"/>
    <w:rsid w:val="00DF210C"/>
    <w:rsid w:val="00DF2CBB"/>
    <w:rsid w:val="00DF4E8A"/>
    <w:rsid w:val="00E025CD"/>
    <w:rsid w:val="00E0327B"/>
    <w:rsid w:val="00E122A5"/>
    <w:rsid w:val="00E15258"/>
    <w:rsid w:val="00E15EAF"/>
    <w:rsid w:val="00E2186A"/>
    <w:rsid w:val="00E22595"/>
    <w:rsid w:val="00E24D1E"/>
    <w:rsid w:val="00E25BDB"/>
    <w:rsid w:val="00E26ED0"/>
    <w:rsid w:val="00E32046"/>
    <w:rsid w:val="00E3220A"/>
    <w:rsid w:val="00E33C85"/>
    <w:rsid w:val="00E3668D"/>
    <w:rsid w:val="00E37008"/>
    <w:rsid w:val="00E4051C"/>
    <w:rsid w:val="00E41ED0"/>
    <w:rsid w:val="00E4283C"/>
    <w:rsid w:val="00E44112"/>
    <w:rsid w:val="00E44E67"/>
    <w:rsid w:val="00E45E21"/>
    <w:rsid w:val="00E474D8"/>
    <w:rsid w:val="00E50394"/>
    <w:rsid w:val="00E50B22"/>
    <w:rsid w:val="00E52209"/>
    <w:rsid w:val="00E54FA9"/>
    <w:rsid w:val="00E55251"/>
    <w:rsid w:val="00E55545"/>
    <w:rsid w:val="00E67423"/>
    <w:rsid w:val="00E6763E"/>
    <w:rsid w:val="00E67E67"/>
    <w:rsid w:val="00E67F31"/>
    <w:rsid w:val="00E7028A"/>
    <w:rsid w:val="00E7127B"/>
    <w:rsid w:val="00E778AB"/>
    <w:rsid w:val="00E839AD"/>
    <w:rsid w:val="00E85142"/>
    <w:rsid w:val="00E86416"/>
    <w:rsid w:val="00E86815"/>
    <w:rsid w:val="00E927EB"/>
    <w:rsid w:val="00E934A2"/>
    <w:rsid w:val="00E9383B"/>
    <w:rsid w:val="00E94D41"/>
    <w:rsid w:val="00E95A20"/>
    <w:rsid w:val="00E965E5"/>
    <w:rsid w:val="00E97635"/>
    <w:rsid w:val="00EA1131"/>
    <w:rsid w:val="00EA1BF8"/>
    <w:rsid w:val="00EA2D0B"/>
    <w:rsid w:val="00EA3665"/>
    <w:rsid w:val="00EA3EE0"/>
    <w:rsid w:val="00EA60FD"/>
    <w:rsid w:val="00EA7736"/>
    <w:rsid w:val="00EA7F03"/>
    <w:rsid w:val="00EB0906"/>
    <w:rsid w:val="00EB113E"/>
    <w:rsid w:val="00EB736D"/>
    <w:rsid w:val="00EB7A89"/>
    <w:rsid w:val="00EC2CDF"/>
    <w:rsid w:val="00EC5FAF"/>
    <w:rsid w:val="00EC6B0F"/>
    <w:rsid w:val="00ED0643"/>
    <w:rsid w:val="00ED4D35"/>
    <w:rsid w:val="00EE5434"/>
    <w:rsid w:val="00EE71AE"/>
    <w:rsid w:val="00EF09BE"/>
    <w:rsid w:val="00EF612B"/>
    <w:rsid w:val="00EF7B18"/>
    <w:rsid w:val="00F00EEF"/>
    <w:rsid w:val="00F01747"/>
    <w:rsid w:val="00F056E2"/>
    <w:rsid w:val="00F0649E"/>
    <w:rsid w:val="00F06F3E"/>
    <w:rsid w:val="00F077B7"/>
    <w:rsid w:val="00F122B8"/>
    <w:rsid w:val="00F14EC4"/>
    <w:rsid w:val="00F150A3"/>
    <w:rsid w:val="00F15A65"/>
    <w:rsid w:val="00F21D7C"/>
    <w:rsid w:val="00F31E87"/>
    <w:rsid w:val="00F33813"/>
    <w:rsid w:val="00F35F1C"/>
    <w:rsid w:val="00F37EE3"/>
    <w:rsid w:val="00F44F13"/>
    <w:rsid w:val="00F53C1F"/>
    <w:rsid w:val="00F55074"/>
    <w:rsid w:val="00F576E7"/>
    <w:rsid w:val="00F6291A"/>
    <w:rsid w:val="00F665C5"/>
    <w:rsid w:val="00F7065C"/>
    <w:rsid w:val="00F706F3"/>
    <w:rsid w:val="00F74D8C"/>
    <w:rsid w:val="00F80435"/>
    <w:rsid w:val="00F80C62"/>
    <w:rsid w:val="00F80CC8"/>
    <w:rsid w:val="00F84866"/>
    <w:rsid w:val="00F8762E"/>
    <w:rsid w:val="00F87C04"/>
    <w:rsid w:val="00F87D95"/>
    <w:rsid w:val="00F93C10"/>
    <w:rsid w:val="00F94CA1"/>
    <w:rsid w:val="00FA1148"/>
    <w:rsid w:val="00FA1E56"/>
    <w:rsid w:val="00FA4DC2"/>
    <w:rsid w:val="00FA7804"/>
    <w:rsid w:val="00FB021C"/>
    <w:rsid w:val="00FB050F"/>
    <w:rsid w:val="00FB20B8"/>
    <w:rsid w:val="00FB3886"/>
    <w:rsid w:val="00FB3ED2"/>
    <w:rsid w:val="00FB44CC"/>
    <w:rsid w:val="00FB5E5B"/>
    <w:rsid w:val="00FC2AA6"/>
    <w:rsid w:val="00FC7108"/>
    <w:rsid w:val="00FD482E"/>
    <w:rsid w:val="00FD48C6"/>
    <w:rsid w:val="00FD5A6A"/>
    <w:rsid w:val="00FE0886"/>
    <w:rsid w:val="00FE5A3A"/>
    <w:rsid w:val="00FF20AF"/>
    <w:rsid w:val="00FF2BDC"/>
    <w:rsid w:val="00FF5E3B"/>
    <w:rsid w:val="00FF6FC7"/>
    <w:rsid w:val="00FF7B6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072CB2-627C-4A18-A23E-43B9178C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087"/>
    <w:pPr>
      <w:spacing w:line="256" w:lineRule="auto"/>
    </w:pPr>
  </w:style>
  <w:style w:type="paragraph" w:styleId="Heading1">
    <w:name w:val="heading 1"/>
    <w:basedOn w:val="Normal"/>
    <w:next w:val="Normal"/>
    <w:link w:val="Heading1Char"/>
    <w:uiPriority w:val="9"/>
    <w:qFormat/>
    <w:rsid w:val="00F876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B50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53EEA"/>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A68"/>
    <w:pPr>
      <w:tabs>
        <w:tab w:val="center" w:pos="4419"/>
        <w:tab w:val="right" w:pos="8838"/>
      </w:tabs>
      <w:spacing w:after="0" w:line="240" w:lineRule="auto"/>
    </w:pPr>
  </w:style>
  <w:style w:type="character" w:customStyle="1" w:styleId="HeaderChar">
    <w:name w:val="Header Char"/>
    <w:basedOn w:val="DefaultParagraphFont"/>
    <w:link w:val="Header"/>
    <w:uiPriority w:val="99"/>
    <w:rsid w:val="00406A68"/>
  </w:style>
  <w:style w:type="paragraph" w:styleId="Footer">
    <w:name w:val="footer"/>
    <w:basedOn w:val="Normal"/>
    <w:link w:val="FooterChar"/>
    <w:uiPriority w:val="99"/>
    <w:unhideWhenUsed/>
    <w:rsid w:val="00406A68"/>
    <w:pPr>
      <w:tabs>
        <w:tab w:val="center" w:pos="4419"/>
        <w:tab w:val="right" w:pos="8838"/>
      </w:tabs>
      <w:spacing w:after="0" w:line="240" w:lineRule="auto"/>
    </w:pPr>
  </w:style>
  <w:style w:type="character" w:customStyle="1" w:styleId="FooterChar">
    <w:name w:val="Footer Char"/>
    <w:basedOn w:val="DefaultParagraphFont"/>
    <w:link w:val="Footer"/>
    <w:uiPriority w:val="99"/>
    <w:rsid w:val="00406A68"/>
  </w:style>
  <w:style w:type="paragraph" w:styleId="ListParagraph">
    <w:name w:val="List Paragraph"/>
    <w:aliases w:val="Cita texto,Fundamentacion,Evidence on Demand bullet points,CEIL PEAKS bullet points,Scriptoria bullet points,Dot pt,F5 List Paragraph,List Paragraph1,No Spacing1,List Paragraph Char Char Char,Indicator Text,Numbered Para 1,MAIN CONTENT"/>
    <w:basedOn w:val="Normal"/>
    <w:link w:val="ListParagraphChar"/>
    <w:uiPriority w:val="34"/>
    <w:qFormat/>
    <w:rsid w:val="00406A68"/>
    <w:pPr>
      <w:ind w:left="720"/>
      <w:contextualSpacing/>
    </w:pPr>
  </w:style>
  <w:style w:type="paragraph" w:styleId="BalloonText">
    <w:name w:val="Balloon Text"/>
    <w:basedOn w:val="Normal"/>
    <w:link w:val="BalloonTextChar"/>
    <w:uiPriority w:val="99"/>
    <w:semiHidden/>
    <w:unhideWhenUsed/>
    <w:rsid w:val="0011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951"/>
    <w:rPr>
      <w:rFonts w:ascii="Segoe UI" w:hAnsi="Segoe UI" w:cs="Segoe UI"/>
      <w:sz w:val="18"/>
      <w:szCs w:val="18"/>
    </w:rPr>
  </w:style>
  <w:style w:type="character" w:styleId="Hyperlink">
    <w:name w:val="Hyperlink"/>
    <w:basedOn w:val="DefaultParagraphFont"/>
    <w:uiPriority w:val="99"/>
    <w:unhideWhenUsed/>
    <w:rsid w:val="00EA3665"/>
    <w:rPr>
      <w:color w:val="0563C1" w:themeColor="hyperlink"/>
      <w:u w:val="single"/>
    </w:rPr>
  </w:style>
  <w:style w:type="character" w:customStyle="1" w:styleId="Heading1Char">
    <w:name w:val="Heading 1 Char"/>
    <w:basedOn w:val="DefaultParagraphFont"/>
    <w:link w:val="Heading1"/>
    <w:uiPriority w:val="9"/>
    <w:rsid w:val="00F8762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991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B87CEE"/>
    <w:rPr>
      <w:vertAlign w:val="superscript"/>
    </w:rPr>
  </w:style>
  <w:style w:type="character" w:customStyle="1" w:styleId="Ninguno">
    <w:name w:val="Ninguno"/>
    <w:rsid w:val="0024385E"/>
    <w:rPr>
      <w:lang w:val="es-ES_tradnl"/>
    </w:rPr>
  </w:style>
  <w:style w:type="paragraph" w:customStyle="1" w:styleId="Cuerpo">
    <w:name w:val="Cuerpo"/>
    <w:rsid w:val="00907ED6"/>
    <w:pPr>
      <w:pBdr>
        <w:top w:val="nil"/>
        <w:left w:val="nil"/>
        <w:bottom w:val="nil"/>
        <w:right w:val="nil"/>
        <w:between w:val="nil"/>
        <w:bar w:val="nil"/>
      </w:pBdr>
    </w:pPr>
    <w:rPr>
      <w:rFonts w:eastAsia="Arial Unicode MS" w:cs="Arial Unicode MS"/>
      <w:color w:val="000000"/>
      <w:u w:color="000000"/>
      <w:bdr w:val="nil"/>
      <w:lang w:val="es-ES_tradnl" w:eastAsia="es-MX"/>
    </w:rPr>
  </w:style>
  <w:style w:type="character" w:customStyle="1" w:styleId="Heading3Char">
    <w:name w:val="Heading 3 Char"/>
    <w:basedOn w:val="DefaultParagraphFont"/>
    <w:link w:val="Heading3"/>
    <w:uiPriority w:val="9"/>
    <w:rsid w:val="00253EEA"/>
    <w:rPr>
      <w:rFonts w:asciiTheme="majorHAnsi" w:eastAsiaTheme="majorEastAsia" w:hAnsiTheme="majorHAnsi" w:cstheme="majorBidi"/>
      <w:color w:val="1F4D78" w:themeColor="accent1" w:themeShade="7F"/>
      <w:szCs w:val="24"/>
    </w:rPr>
  </w:style>
  <w:style w:type="character" w:customStyle="1" w:styleId="ListParagraphChar">
    <w:name w:val="List Paragraph Char"/>
    <w:aliases w:val="Cita texto Char,Fundamentacion Char,Evidence on Demand bullet points Char,CEIL PEAKS bullet points Char,Scriptoria bullet points Char,Dot pt Char,F5 List Paragraph Char,List Paragraph1 Char,No Spacing1 Char,Indicator Text Char"/>
    <w:link w:val="ListParagraph"/>
    <w:uiPriority w:val="34"/>
    <w:qFormat/>
    <w:rsid w:val="00253EEA"/>
  </w:style>
  <w:style w:type="paragraph" w:customStyle="1" w:styleId="Default">
    <w:name w:val="Default"/>
    <w:rsid w:val="00253EEA"/>
    <w:pPr>
      <w:pBdr>
        <w:top w:val="nil"/>
        <w:left w:val="nil"/>
        <w:bottom w:val="nil"/>
        <w:right w:val="nil"/>
        <w:between w:val="nil"/>
        <w:bar w:val="nil"/>
      </w:pBdr>
      <w:spacing w:after="0" w:line="240" w:lineRule="auto"/>
    </w:pPr>
    <w:rPr>
      <w:rFonts w:eastAsia="Arial Unicode MS" w:cs="Arial Unicode MS"/>
      <w:color w:val="000000"/>
      <w:szCs w:val="24"/>
      <w:u w:color="000000"/>
      <w:bdr w:val="nil"/>
      <w:lang w:val="es-ES_tradnl" w:eastAsia="es-MX"/>
    </w:rPr>
  </w:style>
  <w:style w:type="paragraph" w:styleId="FootnoteText">
    <w:name w:val="footnote text"/>
    <w:basedOn w:val="Normal"/>
    <w:link w:val="FootnoteTextChar"/>
    <w:uiPriority w:val="99"/>
    <w:unhideWhenUsed/>
    <w:rsid w:val="00253EEA"/>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253EEA"/>
    <w:rPr>
      <w:rFonts w:asciiTheme="minorHAnsi" w:hAnsiTheme="minorHAnsi"/>
      <w:sz w:val="20"/>
      <w:szCs w:val="20"/>
    </w:rPr>
  </w:style>
  <w:style w:type="paragraph" w:styleId="EndnoteText">
    <w:name w:val="endnote text"/>
    <w:basedOn w:val="Normal"/>
    <w:link w:val="EndnoteTextChar"/>
    <w:uiPriority w:val="99"/>
    <w:semiHidden/>
    <w:unhideWhenUsed/>
    <w:rsid w:val="00253EEA"/>
    <w:pPr>
      <w:spacing w:after="0" w:line="240" w:lineRule="auto"/>
    </w:pPr>
    <w:rPr>
      <w:rFonts w:asciiTheme="minorHAnsi" w:hAnsiTheme="minorHAnsi"/>
      <w:sz w:val="20"/>
      <w:szCs w:val="20"/>
    </w:rPr>
  </w:style>
  <w:style w:type="character" w:customStyle="1" w:styleId="EndnoteTextChar">
    <w:name w:val="Endnote Text Char"/>
    <w:basedOn w:val="DefaultParagraphFont"/>
    <w:link w:val="EndnoteText"/>
    <w:uiPriority w:val="99"/>
    <w:semiHidden/>
    <w:rsid w:val="00253EEA"/>
    <w:rPr>
      <w:rFonts w:asciiTheme="minorHAnsi" w:hAnsiTheme="minorHAnsi"/>
      <w:sz w:val="20"/>
      <w:szCs w:val="20"/>
    </w:rPr>
  </w:style>
  <w:style w:type="character" w:styleId="EndnoteReference">
    <w:name w:val="endnote reference"/>
    <w:basedOn w:val="DefaultParagraphFont"/>
    <w:uiPriority w:val="99"/>
    <w:semiHidden/>
    <w:unhideWhenUsed/>
    <w:rsid w:val="00253EEA"/>
    <w:rPr>
      <w:vertAlign w:val="superscript"/>
    </w:rPr>
  </w:style>
  <w:style w:type="character" w:styleId="Emphasis">
    <w:name w:val="Emphasis"/>
    <w:basedOn w:val="DefaultParagraphFont"/>
    <w:uiPriority w:val="20"/>
    <w:qFormat/>
    <w:rsid w:val="00253EEA"/>
    <w:rPr>
      <w:i/>
      <w:iCs/>
    </w:rPr>
  </w:style>
  <w:style w:type="paragraph" w:styleId="NormalWeb">
    <w:name w:val="Normal (Web)"/>
    <w:basedOn w:val="Normal"/>
    <w:uiPriority w:val="99"/>
    <w:unhideWhenUsed/>
    <w:rsid w:val="0061585C"/>
    <w:pPr>
      <w:spacing w:before="100" w:beforeAutospacing="1" w:after="100" w:afterAutospacing="1" w:line="240" w:lineRule="auto"/>
    </w:pPr>
    <w:rPr>
      <w:rFonts w:ascii="Times New Roman" w:eastAsia="Times New Roman" w:hAnsi="Times New Roman" w:cs="Times New Roman"/>
      <w:szCs w:val="24"/>
      <w:lang w:eastAsia="es-MX"/>
    </w:rPr>
  </w:style>
  <w:style w:type="character" w:styleId="CommentReference">
    <w:name w:val="annotation reference"/>
    <w:basedOn w:val="DefaultParagraphFont"/>
    <w:uiPriority w:val="99"/>
    <w:semiHidden/>
    <w:unhideWhenUsed/>
    <w:rsid w:val="00C12DE1"/>
    <w:rPr>
      <w:sz w:val="16"/>
      <w:szCs w:val="16"/>
    </w:rPr>
  </w:style>
  <w:style w:type="paragraph" w:styleId="CommentText">
    <w:name w:val="annotation text"/>
    <w:basedOn w:val="Normal"/>
    <w:link w:val="CommentTextChar"/>
    <w:uiPriority w:val="99"/>
    <w:unhideWhenUsed/>
    <w:rsid w:val="00C12DE1"/>
    <w:pPr>
      <w:spacing w:after="20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C12DE1"/>
    <w:rPr>
      <w:rFonts w:asciiTheme="minorHAnsi" w:hAnsiTheme="minorHAnsi"/>
      <w:sz w:val="20"/>
      <w:szCs w:val="20"/>
    </w:rPr>
  </w:style>
  <w:style w:type="character" w:customStyle="1" w:styleId="Heading2Char">
    <w:name w:val="Heading 2 Char"/>
    <w:basedOn w:val="DefaultParagraphFont"/>
    <w:link w:val="Heading2"/>
    <w:uiPriority w:val="9"/>
    <w:rsid w:val="003B50EC"/>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817DA9"/>
    <w:rPr>
      <w:b/>
      <w:bCs/>
    </w:rPr>
  </w:style>
  <w:style w:type="paragraph" w:styleId="BodyText">
    <w:name w:val="Body Text"/>
    <w:basedOn w:val="Normal"/>
    <w:link w:val="BodyTextChar"/>
    <w:uiPriority w:val="1"/>
    <w:qFormat/>
    <w:rsid w:val="00332551"/>
    <w:pPr>
      <w:widowControl w:val="0"/>
      <w:autoSpaceDE w:val="0"/>
      <w:autoSpaceDN w:val="0"/>
      <w:spacing w:after="0" w:line="240" w:lineRule="auto"/>
    </w:pPr>
    <w:rPr>
      <w:rFonts w:ascii="Times New Roman" w:eastAsia="Times New Roman" w:hAnsi="Times New Roman" w:cs="Times New Roman"/>
      <w:sz w:val="22"/>
    </w:rPr>
  </w:style>
  <w:style w:type="character" w:customStyle="1" w:styleId="BodyTextChar">
    <w:name w:val="Body Text Char"/>
    <w:basedOn w:val="DefaultParagraphFont"/>
    <w:link w:val="BodyText"/>
    <w:uiPriority w:val="1"/>
    <w:rsid w:val="00332551"/>
    <w:rPr>
      <w:rFonts w:ascii="Times New Roman" w:eastAsia="Times New Roman" w:hAnsi="Times New Roman" w:cs="Times New Roman"/>
      <w:sz w:val="22"/>
    </w:rPr>
  </w:style>
  <w:style w:type="paragraph" w:styleId="NoSpacing">
    <w:name w:val="No Spacing"/>
    <w:uiPriority w:val="1"/>
    <w:qFormat/>
    <w:rsid w:val="00066149"/>
    <w:pPr>
      <w:spacing w:after="0" w:line="240" w:lineRule="auto"/>
    </w:pPr>
    <w:rPr>
      <w:rFonts w:asciiTheme="minorHAnsi" w:hAnsiTheme="minorHAnsi"/>
      <w:sz w:val="22"/>
    </w:rPr>
  </w:style>
  <w:style w:type="paragraph" w:styleId="CommentSubject">
    <w:name w:val="annotation subject"/>
    <w:basedOn w:val="CommentText"/>
    <w:next w:val="CommentText"/>
    <w:link w:val="CommentSubjectChar"/>
    <w:uiPriority w:val="99"/>
    <w:semiHidden/>
    <w:unhideWhenUsed/>
    <w:rsid w:val="0087004C"/>
    <w:pPr>
      <w:spacing w:after="160"/>
    </w:pPr>
    <w:rPr>
      <w:rFonts w:ascii="Arial" w:hAnsi="Arial"/>
      <w:b/>
      <w:bCs/>
    </w:rPr>
  </w:style>
  <w:style w:type="character" w:customStyle="1" w:styleId="CommentSubjectChar">
    <w:name w:val="Comment Subject Char"/>
    <w:basedOn w:val="CommentTextChar"/>
    <w:link w:val="CommentSubject"/>
    <w:uiPriority w:val="99"/>
    <w:semiHidden/>
    <w:rsid w:val="0087004C"/>
    <w:rPr>
      <w:rFonts w:asciiTheme="minorHAnsi" w:hAnsiTheme="minorHAnsi"/>
      <w:b/>
      <w:bCs/>
      <w:sz w:val="20"/>
      <w:szCs w:val="20"/>
    </w:rPr>
  </w:style>
  <w:style w:type="paragraph" w:styleId="PlainText">
    <w:name w:val="Plain Text"/>
    <w:basedOn w:val="Normal"/>
    <w:link w:val="PlainTextChar"/>
    <w:uiPriority w:val="99"/>
    <w:unhideWhenUsed/>
    <w:rsid w:val="008E3642"/>
    <w:pPr>
      <w:spacing w:after="0" w:line="240" w:lineRule="auto"/>
    </w:pPr>
    <w:rPr>
      <w:rFonts w:ascii="Arial Narrow" w:hAnsi="Arial Narrow" w:cs="Calibri"/>
      <w:szCs w:val="21"/>
    </w:rPr>
  </w:style>
  <w:style w:type="character" w:customStyle="1" w:styleId="PlainTextChar">
    <w:name w:val="Plain Text Char"/>
    <w:basedOn w:val="DefaultParagraphFont"/>
    <w:link w:val="PlainText"/>
    <w:uiPriority w:val="99"/>
    <w:rsid w:val="008E3642"/>
    <w:rPr>
      <w:rFonts w:ascii="Arial Narrow" w:hAnsi="Arial Narrow" w:cs="Calibri"/>
      <w:szCs w:val="21"/>
    </w:rPr>
  </w:style>
  <w:style w:type="character" w:customStyle="1" w:styleId="Mencinsinresolver1">
    <w:name w:val="Mención sin resolver1"/>
    <w:basedOn w:val="DefaultParagraphFont"/>
    <w:uiPriority w:val="99"/>
    <w:semiHidden/>
    <w:unhideWhenUsed/>
    <w:rsid w:val="006406D0"/>
    <w:rPr>
      <w:color w:val="605E5C"/>
      <w:shd w:val="clear" w:color="auto" w:fill="E1DFDD"/>
    </w:rPr>
  </w:style>
  <w:style w:type="character" w:customStyle="1" w:styleId="apple-converted-space">
    <w:name w:val="apple-converted-space"/>
    <w:basedOn w:val="DefaultParagraphFont"/>
    <w:rsid w:val="008B76F1"/>
  </w:style>
  <w:style w:type="character" w:customStyle="1" w:styleId="txtstatic--green">
    <w:name w:val="txt_static--green"/>
    <w:basedOn w:val="DefaultParagraphFont"/>
    <w:rsid w:val="008B76F1"/>
  </w:style>
  <w:style w:type="paragraph" w:customStyle="1" w:styleId="mili">
    <w:name w:val="mili"/>
    <w:basedOn w:val="Normal"/>
    <w:rsid w:val="008B76F1"/>
    <w:pPr>
      <w:spacing w:before="100" w:beforeAutospacing="1" w:after="100" w:afterAutospacing="1" w:line="240" w:lineRule="auto"/>
    </w:pPr>
    <w:rPr>
      <w:rFonts w:ascii="Times New Roman" w:eastAsia="Times New Roman" w:hAnsi="Times New Roman" w:cs="Times New Roman"/>
      <w:szCs w:val="24"/>
      <w:lang w:eastAsia="es-MX"/>
    </w:rPr>
  </w:style>
  <w:style w:type="character" w:customStyle="1" w:styleId="Mencinsinresolver2">
    <w:name w:val="Mención sin resolver2"/>
    <w:basedOn w:val="DefaultParagraphFont"/>
    <w:uiPriority w:val="99"/>
    <w:semiHidden/>
    <w:unhideWhenUsed/>
    <w:rsid w:val="00CC7B0B"/>
    <w:rPr>
      <w:color w:val="605E5C"/>
      <w:shd w:val="clear" w:color="auto" w:fill="E1DFDD"/>
    </w:rPr>
  </w:style>
  <w:style w:type="character" w:styleId="FollowedHyperlink">
    <w:name w:val="FollowedHyperlink"/>
    <w:basedOn w:val="DefaultParagraphFont"/>
    <w:uiPriority w:val="99"/>
    <w:semiHidden/>
    <w:unhideWhenUsed/>
    <w:rsid w:val="004A20D5"/>
    <w:rPr>
      <w:color w:val="954F72" w:themeColor="followedHyperlink"/>
      <w:u w:val="single"/>
    </w:rPr>
  </w:style>
  <w:style w:type="character" w:customStyle="1" w:styleId="UnresolvedMention">
    <w:name w:val="Unresolved Mention"/>
    <w:basedOn w:val="DefaultParagraphFont"/>
    <w:uiPriority w:val="99"/>
    <w:semiHidden/>
    <w:unhideWhenUsed/>
    <w:rsid w:val="00AF0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4999">
      <w:bodyDiv w:val="1"/>
      <w:marLeft w:val="0"/>
      <w:marRight w:val="0"/>
      <w:marTop w:val="0"/>
      <w:marBottom w:val="0"/>
      <w:divBdr>
        <w:top w:val="none" w:sz="0" w:space="0" w:color="auto"/>
        <w:left w:val="none" w:sz="0" w:space="0" w:color="auto"/>
        <w:bottom w:val="none" w:sz="0" w:space="0" w:color="auto"/>
        <w:right w:val="none" w:sz="0" w:space="0" w:color="auto"/>
      </w:divBdr>
    </w:div>
    <w:div w:id="105080316">
      <w:bodyDiv w:val="1"/>
      <w:marLeft w:val="0"/>
      <w:marRight w:val="0"/>
      <w:marTop w:val="0"/>
      <w:marBottom w:val="0"/>
      <w:divBdr>
        <w:top w:val="none" w:sz="0" w:space="0" w:color="auto"/>
        <w:left w:val="none" w:sz="0" w:space="0" w:color="auto"/>
        <w:bottom w:val="none" w:sz="0" w:space="0" w:color="auto"/>
        <w:right w:val="none" w:sz="0" w:space="0" w:color="auto"/>
      </w:divBdr>
    </w:div>
    <w:div w:id="111484416">
      <w:bodyDiv w:val="1"/>
      <w:marLeft w:val="0"/>
      <w:marRight w:val="0"/>
      <w:marTop w:val="0"/>
      <w:marBottom w:val="0"/>
      <w:divBdr>
        <w:top w:val="none" w:sz="0" w:space="0" w:color="auto"/>
        <w:left w:val="none" w:sz="0" w:space="0" w:color="auto"/>
        <w:bottom w:val="none" w:sz="0" w:space="0" w:color="auto"/>
        <w:right w:val="none" w:sz="0" w:space="0" w:color="auto"/>
      </w:divBdr>
    </w:div>
    <w:div w:id="272980496">
      <w:bodyDiv w:val="1"/>
      <w:marLeft w:val="0"/>
      <w:marRight w:val="0"/>
      <w:marTop w:val="0"/>
      <w:marBottom w:val="0"/>
      <w:divBdr>
        <w:top w:val="none" w:sz="0" w:space="0" w:color="auto"/>
        <w:left w:val="none" w:sz="0" w:space="0" w:color="auto"/>
        <w:bottom w:val="none" w:sz="0" w:space="0" w:color="auto"/>
        <w:right w:val="none" w:sz="0" w:space="0" w:color="auto"/>
      </w:divBdr>
    </w:div>
    <w:div w:id="360473980">
      <w:bodyDiv w:val="1"/>
      <w:marLeft w:val="0"/>
      <w:marRight w:val="0"/>
      <w:marTop w:val="0"/>
      <w:marBottom w:val="0"/>
      <w:divBdr>
        <w:top w:val="none" w:sz="0" w:space="0" w:color="auto"/>
        <w:left w:val="none" w:sz="0" w:space="0" w:color="auto"/>
        <w:bottom w:val="none" w:sz="0" w:space="0" w:color="auto"/>
        <w:right w:val="none" w:sz="0" w:space="0" w:color="auto"/>
      </w:divBdr>
    </w:div>
    <w:div w:id="427433993">
      <w:bodyDiv w:val="1"/>
      <w:marLeft w:val="0"/>
      <w:marRight w:val="0"/>
      <w:marTop w:val="0"/>
      <w:marBottom w:val="0"/>
      <w:divBdr>
        <w:top w:val="none" w:sz="0" w:space="0" w:color="auto"/>
        <w:left w:val="none" w:sz="0" w:space="0" w:color="auto"/>
        <w:bottom w:val="none" w:sz="0" w:space="0" w:color="auto"/>
        <w:right w:val="none" w:sz="0" w:space="0" w:color="auto"/>
      </w:divBdr>
    </w:div>
    <w:div w:id="540213441">
      <w:bodyDiv w:val="1"/>
      <w:marLeft w:val="0"/>
      <w:marRight w:val="0"/>
      <w:marTop w:val="0"/>
      <w:marBottom w:val="0"/>
      <w:divBdr>
        <w:top w:val="none" w:sz="0" w:space="0" w:color="auto"/>
        <w:left w:val="none" w:sz="0" w:space="0" w:color="auto"/>
        <w:bottom w:val="none" w:sz="0" w:space="0" w:color="auto"/>
        <w:right w:val="none" w:sz="0" w:space="0" w:color="auto"/>
      </w:divBdr>
    </w:div>
    <w:div w:id="550919917">
      <w:bodyDiv w:val="1"/>
      <w:marLeft w:val="0"/>
      <w:marRight w:val="0"/>
      <w:marTop w:val="0"/>
      <w:marBottom w:val="0"/>
      <w:divBdr>
        <w:top w:val="none" w:sz="0" w:space="0" w:color="auto"/>
        <w:left w:val="none" w:sz="0" w:space="0" w:color="auto"/>
        <w:bottom w:val="none" w:sz="0" w:space="0" w:color="auto"/>
        <w:right w:val="none" w:sz="0" w:space="0" w:color="auto"/>
      </w:divBdr>
      <w:divsChild>
        <w:div w:id="941231866">
          <w:marLeft w:val="0"/>
          <w:marRight w:val="0"/>
          <w:marTop w:val="0"/>
          <w:marBottom w:val="0"/>
          <w:divBdr>
            <w:top w:val="none" w:sz="0" w:space="0" w:color="auto"/>
            <w:left w:val="none" w:sz="0" w:space="0" w:color="auto"/>
            <w:bottom w:val="none" w:sz="0" w:space="0" w:color="auto"/>
            <w:right w:val="none" w:sz="0" w:space="0" w:color="auto"/>
          </w:divBdr>
          <w:divsChild>
            <w:div w:id="921989860">
              <w:marLeft w:val="0"/>
              <w:marRight w:val="0"/>
              <w:marTop w:val="0"/>
              <w:marBottom w:val="0"/>
              <w:divBdr>
                <w:top w:val="none" w:sz="0" w:space="0" w:color="auto"/>
                <w:left w:val="none" w:sz="0" w:space="0" w:color="auto"/>
                <w:bottom w:val="none" w:sz="0" w:space="0" w:color="auto"/>
                <w:right w:val="none" w:sz="0" w:space="0" w:color="auto"/>
              </w:divBdr>
              <w:divsChild>
                <w:div w:id="1248541798">
                  <w:marLeft w:val="0"/>
                  <w:marRight w:val="0"/>
                  <w:marTop w:val="0"/>
                  <w:marBottom w:val="0"/>
                  <w:divBdr>
                    <w:top w:val="none" w:sz="0" w:space="0" w:color="auto"/>
                    <w:left w:val="none" w:sz="0" w:space="0" w:color="auto"/>
                    <w:bottom w:val="single" w:sz="6" w:space="0" w:color="F1F1F1"/>
                    <w:right w:val="none" w:sz="0" w:space="0" w:color="auto"/>
                  </w:divBdr>
                  <w:divsChild>
                    <w:div w:id="15348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39194">
      <w:bodyDiv w:val="1"/>
      <w:marLeft w:val="0"/>
      <w:marRight w:val="0"/>
      <w:marTop w:val="0"/>
      <w:marBottom w:val="0"/>
      <w:divBdr>
        <w:top w:val="none" w:sz="0" w:space="0" w:color="auto"/>
        <w:left w:val="none" w:sz="0" w:space="0" w:color="auto"/>
        <w:bottom w:val="none" w:sz="0" w:space="0" w:color="auto"/>
        <w:right w:val="none" w:sz="0" w:space="0" w:color="auto"/>
      </w:divBdr>
    </w:div>
    <w:div w:id="573322664">
      <w:bodyDiv w:val="1"/>
      <w:marLeft w:val="0"/>
      <w:marRight w:val="0"/>
      <w:marTop w:val="0"/>
      <w:marBottom w:val="0"/>
      <w:divBdr>
        <w:top w:val="none" w:sz="0" w:space="0" w:color="auto"/>
        <w:left w:val="none" w:sz="0" w:space="0" w:color="auto"/>
        <w:bottom w:val="none" w:sz="0" w:space="0" w:color="auto"/>
        <w:right w:val="none" w:sz="0" w:space="0" w:color="auto"/>
      </w:divBdr>
    </w:div>
    <w:div w:id="623540238">
      <w:bodyDiv w:val="1"/>
      <w:marLeft w:val="0"/>
      <w:marRight w:val="0"/>
      <w:marTop w:val="0"/>
      <w:marBottom w:val="0"/>
      <w:divBdr>
        <w:top w:val="none" w:sz="0" w:space="0" w:color="auto"/>
        <w:left w:val="none" w:sz="0" w:space="0" w:color="auto"/>
        <w:bottom w:val="none" w:sz="0" w:space="0" w:color="auto"/>
        <w:right w:val="none" w:sz="0" w:space="0" w:color="auto"/>
      </w:divBdr>
    </w:div>
    <w:div w:id="665325657">
      <w:bodyDiv w:val="1"/>
      <w:marLeft w:val="0"/>
      <w:marRight w:val="0"/>
      <w:marTop w:val="0"/>
      <w:marBottom w:val="0"/>
      <w:divBdr>
        <w:top w:val="none" w:sz="0" w:space="0" w:color="auto"/>
        <w:left w:val="none" w:sz="0" w:space="0" w:color="auto"/>
        <w:bottom w:val="none" w:sz="0" w:space="0" w:color="auto"/>
        <w:right w:val="none" w:sz="0" w:space="0" w:color="auto"/>
      </w:divBdr>
    </w:div>
    <w:div w:id="667288374">
      <w:bodyDiv w:val="1"/>
      <w:marLeft w:val="0"/>
      <w:marRight w:val="0"/>
      <w:marTop w:val="0"/>
      <w:marBottom w:val="0"/>
      <w:divBdr>
        <w:top w:val="none" w:sz="0" w:space="0" w:color="auto"/>
        <w:left w:val="none" w:sz="0" w:space="0" w:color="auto"/>
        <w:bottom w:val="none" w:sz="0" w:space="0" w:color="auto"/>
        <w:right w:val="none" w:sz="0" w:space="0" w:color="auto"/>
      </w:divBdr>
    </w:div>
    <w:div w:id="696269788">
      <w:bodyDiv w:val="1"/>
      <w:marLeft w:val="0"/>
      <w:marRight w:val="0"/>
      <w:marTop w:val="0"/>
      <w:marBottom w:val="0"/>
      <w:divBdr>
        <w:top w:val="none" w:sz="0" w:space="0" w:color="auto"/>
        <w:left w:val="none" w:sz="0" w:space="0" w:color="auto"/>
        <w:bottom w:val="none" w:sz="0" w:space="0" w:color="auto"/>
        <w:right w:val="none" w:sz="0" w:space="0" w:color="auto"/>
      </w:divBdr>
      <w:divsChild>
        <w:div w:id="84738619">
          <w:marLeft w:val="0"/>
          <w:marRight w:val="0"/>
          <w:marTop w:val="0"/>
          <w:marBottom w:val="120"/>
          <w:divBdr>
            <w:top w:val="none" w:sz="0" w:space="0" w:color="auto"/>
            <w:left w:val="none" w:sz="0" w:space="0" w:color="auto"/>
            <w:bottom w:val="none" w:sz="0" w:space="0" w:color="auto"/>
            <w:right w:val="none" w:sz="0" w:space="0" w:color="auto"/>
          </w:divBdr>
        </w:div>
        <w:div w:id="686253068">
          <w:marLeft w:val="0"/>
          <w:marRight w:val="0"/>
          <w:marTop w:val="0"/>
          <w:marBottom w:val="120"/>
          <w:divBdr>
            <w:top w:val="none" w:sz="0" w:space="0" w:color="auto"/>
            <w:left w:val="none" w:sz="0" w:space="0" w:color="auto"/>
            <w:bottom w:val="none" w:sz="0" w:space="0" w:color="auto"/>
            <w:right w:val="none" w:sz="0" w:space="0" w:color="auto"/>
          </w:divBdr>
        </w:div>
        <w:div w:id="511259295">
          <w:marLeft w:val="0"/>
          <w:marRight w:val="0"/>
          <w:marTop w:val="0"/>
          <w:marBottom w:val="0"/>
          <w:divBdr>
            <w:top w:val="none" w:sz="0" w:space="0" w:color="auto"/>
            <w:left w:val="single" w:sz="12" w:space="0" w:color="auto"/>
            <w:bottom w:val="none" w:sz="0" w:space="0" w:color="auto"/>
            <w:right w:val="none" w:sz="0" w:space="0" w:color="auto"/>
          </w:divBdr>
          <w:divsChild>
            <w:div w:id="2093115106">
              <w:marLeft w:val="48"/>
              <w:marRight w:val="0"/>
              <w:marTop w:val="0"/>
              <w:marBottom w:val="120"/>
              <w:divBdr>
                <w:top w:val="none" w:sz="0" w:space="0" w:color="auto"/>
                <w:left w:val="none" w:sz="0" w:space="0" w:color="auto"/>
                <w:bottom w:val="none" w:sz="0" w:space="0" w:color="auto"/>
                <w:right w:val="none" w:sz="0" w:space="0" w:color="auto"/>
              </w:divBdr>
              <w:divsChild>
                <w:div w:id="12523971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30131647">
          <w:marLeft w:val="0"/>
          <w:marRight w:val="0"/>
          <w:marTop w:val="0"/>
          <w:marBottom w:val="0"/>
          <w:divBdr>
            <w:top w:val="none" w:sz="0" w:space="0" w:color="auto"/>
            <w:left w:val="single" w:sz="12" w:space="0" w:color="auto"/>
            <w:bottom w:val="none" w:sz="0" w:space="0" w:color="auto"/>
            <w:right w:val="none" w:sz="0" w:space="0" w:color="auto"/>
          </w:divBdr>
          <w:divsChild>
            <w:div w:id="758404394">
              <w:marLeft w:val="48"/>
              <w:marRight w:val="0"/>
              <w:marTop w:val="0"/>
              <w:marBottom w:val="120"/>
              <w:divBdr>
                <w:top w:val="none" w:sz="0" w:space="0" w:color="auto"/>
                <w:left w:val="none" w:sz="0" w:space="0" w:color="auto"/>
                <w:bottom w:val="none" w:sz="0" w:space="0" w:color="auto"/>
                <w:right w:val="none" w:sz="0" w:space="0" w:color="auto"/>
              </w:divBdr>
              <w:divsChild>
                <w:div w:id="5568181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06862138">
          <w:marLeft w:val="0"/>
          <w:marRight w:val="0"/>
          <w:marTop w:val="0"/>
          <w:marBottom w:val="120"/>
          <w:divBdr>
            <w:top w:val="none" w:sz="0" w:space="0" w:color="auto"/>
            <w:left w:val="none" w:sz="0" w:space="0" w:color="auto"/>
            <w:bottom w:val="none" w:sz="0" w:space="0" w:color="auto"/>
            <w:right w:val="none" w:sz="0" w:space="0" w:color="auto"/>
          </w:divBdr>
        </w:div>
      </w:divsChild>
    </w:div>
    <w:div w:id="740448239">
      <w:bodyDiv w:val="1"/>
      <w:marLeft w:val="0"/>
      <w:marRight w:val="0"/>
      <w:marTop w:val="0"/>
      <w:marBottom w:val="0"/>
      <w:divBdr>
        <w:top w:val="none" w:sz="0" w:space="0" w:color="auto"/>
        <w:left w:val="none" w:sz="0" w:space="0" w:color="auto"/>
        <w:bottom w:val="none" w:sz="0" w:space="0" w:color="auto"/>
        <w:right w:val="none" w:sz="0" w:space="0" w:color="auto"/>
      </w:divBdr>
    </w:div>
    <w:div w:id="773089049">
      <w:bodyDiv w:val="1"/>
      <w:marLeft w:val="0"/>
      <w:marRight w:val="0"/>
      <w:marTop w:val="0"/>
      <w:marBottom w:val="0"/>
      <w:divBdr>
        <w:top w:val="none" w:sz="0" w:space="0" w:color="auto"/>
        <w:left w:val="none" w:sz="0" w:space="0" w:color="auto"/>
        <w:bottom w:val="none" w:sz="0" w:space="0" w:color="auto"/>
        <w:right w:val="none" w:sz="0" w:space="0" w:color="auto"/>
      </w:divBdr>
    </w:div>
    <w:div w:id="844712204">
      <w:bodyDiv w:val="1"/>
      <w:marLeft w:val="0"/>
      <w:marRight w:val="0"/>
      <w:marTop w:val="0"/>
      <w:marBottom w:val="0"/>
      <w:divBdr>
        <w:top w:val="none" w:sz="0" w:space="0" w:color="auto"/>
        <w:left w:val="none" w:sz="0" w:space="0" w:color="auto"/>
        <w:bottom w:val="none" w:sz="0" w:space="0" w:color="auto"/>
        <w:right w:val="none" w:sz="0" w:space="0" w:color="auto"/>
      </w:divBdr>
    </w:div>
    <w:div w:id="859704060">
      <w:bodyDiv w:val="1"/>
      <w:marLeft w:val="0"/>
      <w:marRight w:val="0"/>
      <w:marTop w:val="0"/>
      <w:marBottom w:val="0"/>
      <w:divBdr>
        <w:top w:val="none" w:sz="0" w:space="0" w:color="auto"/>
        <w:left w:val="none" w:sz="0" w:space="0" w:color="auto"/>
        <w:bottom w:val="none" w:sz="0" w:space="0" w:color="auto"/>
        <w:right w:val="none" w:sz="0" w:space="0" w:color="auto"/>
      </w:divBdr>
    </w:div>
    <w:div w:id="942227257">
      <w:bodyDiv w:val="1"/>
      <w:marLeft w:val="0"/>
      <w:marRight w:val="0"/>
      <w:marTop w:val="0"/>
      <w:marBottom w:val="0"/>
      <w:divBdr>
        <w:top w:val="none" w:sz="0" w:space="0" w:color="auto"/>
        <w:left w:val="none" w:sz="0" w:space="0" w:color="auto"/>
        <w:bottom w:val="none" w:sz="0" w:space="0" w:color="auto"/>
        <w:right w:val="none" w:sz="0" w:space="0" w:color="auto"/>
      </w:divBdr>
    </w:div>
    <w:div w:id="975833982">
      <w:bodyDiv w:val="1"/>
      <w:marLeft w:val="0"/>
      <w:marRight w:val="0"/>
      <w:marTop w:val="0"/>
      <w:marBottom w:val="0"/>
      <w:divBdr>
        <w:top w:val="none" w:sz="0" w:space="0" w:color="auto"/>
        <w:left w:val="none" w:sz="0" w:space="0" w:color="auto"/>
        <w:bottom w:val="none" w:sz="0" w:space="0" w:color="auto"/>
        <w:right w:val="none" w:sz="0" w:space="0" w:color="auto"/>
      </w:divBdr>
    </w:div>
    <w:div w:id="1155072520">
      <w:bodyDiv w:val="1"/>
      <w:marLeft w:val="0"/>
      <w:marRight w:val="0"/>
      <w:marTop w:val="0"/>
      <w:marBottom w:val="0"/>
      <w:divBdr>
        <w:top w:val="none" w:sz="0" w:space="0" w:color="auto"/>
        <w:left w:val="none" w:sz="0" w:space="0" w:color="auto"/>
        <w:bottom w:val="none" w:sz="0" w:space="0" w:color="auto"/>
        <w:right w:val="none" w:sz="0" w:space="0" w:color="auto"/>
      </w:divBdr>
    </w:div>
    <w:div w:id="1168322108">
      <w:bodyDiv w:val="1"/>
      <w:marLeft w:val="0"/>
      <w:marRight w:val="0"/>
      <w:marTop w:val="0"/>
      <w:marBottom w:val="0"/>
      <w:divBdr>
        <w:top w:val="none" w:sz="0" w:space="0" w:color="auto"/>
        <w:left w:val="none" w:sz="0" w:space="0" w:color="auto"/>
        <w:bottom w:val="none" w:sz="0" w:space="0" w:color="auto"/>
        <w:right w:val="none" w:sz="0" w:space="0" w:color="auto"/>
      </w:divBdr>
    </w:div>
    <w:div w:id="1188375071">
      <w:bodyDiv w:val="1"/>
      <w:marLeft w:val="0"/>
      <w:marRight w:val="0"/>
      <w:marTop w:val="0"/>
      <w:marBottom w:val="0"/>
      <w:divBdr>
        <w:top w:val="none" w:sz="0" w:space="0" w:color="auto"/>
        <w:left w:val="none" w:sz="0" w:space="0" w:color="auto"/>
        <w:bottom w:val="none" w:sz="0" w:space="0" w:color="auto"/>
        <w:right w:val="none" w:sz="0" w:space="0" w:color="auto"/>
      </w:divBdr>
    </w:div>
    <w:div w:id="1189177368">
      <w:bodyDiv w:val="1"/>
      <w:marLeft w:val="0"/>
      <w:marRight w:val="0"/>
      <w:marTop w:val="0"/>
      <w:marBottom w:val="0"/>
      <w:divBdr>
        <w:top w:val="none" w:sz="0" w:space="0" w:color="auto"/>
        <w:left w:val="none" w:sz="0" w:space="0" w:color="auto"/>
        <w:bottom w:val="none" w:sz="0" w:space="0" w:color="auto"/>
        <w:right w:val="none" w:sz="0" w:space="0" w:color="auto"/>
      </w:divBdr>
    </w:div>
    <w:div w:id="1406950186">
      <w:bodyDiv w:val="1"/>
      <w:marLeft w:val="0"/>
      <w:marRight w:val="0"/>
      <w:marTop w:val="0"/>
      <w:marBottom w:val="0"/>
      <w:divBdr>
        <w:top w:val="none" w:sz="0" w:space="0" w:color="auto"/>
        <w:left w:val="none" w:sz="0" w:space="0" w:color="auto"/>
        <w:bottom w:val="none" w:sz="0" w:space="0" w:color="auto"/>
        <w:right w:val="none" w:sz="0" w:space="0" w:color="auto"/>
      </w:divBdr>
    </w:div>
    <w:div w:id="1505314643">
      <w:bodyDiv w:val="1"/>
      <w:marLeft w:val="0"/>
      <w:marRight w:val="0"/>
      <w:marTop w:val="0"/>
      <w:marBottom w:val="0"/>
      <w:divBdr>
        <w:top w:val="none" w:sz="0" w:space="0" w:color="auto"/>
        <w:left w:val="none" w:sz="0" w:space="0" w:color="auto"/>
        <w:bottom w:val="none" w:sz="0" w:space="0" w:color="auto"/>
        <w:right w:val="none" w:sz="0" w:space="0" w:color="auto"/>
      </w:divBdr>
    </w:div>
    <w:div w:id="1521579270">
      <w:bodyDiv w:val="1"/>
      <w:marLeft w:val="0"/>
      <w:marRight w:val="0"/>
      <w:marTop w:val="0"/>
      <w:marBottom w:val="0"/>
      <w:divBdr>
        <w:top w:val="none" w:sz="0" w:space="0" w:color="auto"/>
        <w:left w:val="none" w:sz="0" w:space="0" w:color="auto"/>
        <w:bottom w:val="none" w:sz="0" w:space="0" w:color="auto"/>
        <w:right w:val="none" w:sz="0" w:space="0" w:color="auto"/>
      </w:divBdr>
    </w:div>
    <w:div w:id="1537695264">
      <w:bodyDiv w:val="1"/>
      <w:marLeft w:val="0"/>
      <w:marRight w:val="0"/>
      <w:marTop w:val="0"/>
      <w:marBottom w:val="0"/>
      <w:divBdr>
        <w:top w:val="none" w:sz="0" w:space="0" w:color="auto"/>
        <w:left w:val="none" w:sz="0" w:space="0" w:color="auto"/>
        <w:bottom w:val="none" w:sz="0" w:space="0" w:color="auto"/>
        <w:right w:val="none" w:sz="0" w:space="0" w:color="auto"/>
      </w:divBdr>
    </w:div>
    <w:div w:id="1600093517">
      <w:bodyDiv w:val="1"/>
      <w:marLeft w:val="0"/>
      <w:marRight w:val="0"/>
      <w:marTop w:val="0"/>
      <w:marBottom w:val="0"/>
      <w:divBdr>
        <w:top w:val="none" w:sz="0" w:space="0" w:color="auto"/>
        <w:left w:val="none" w:sz="0" w:space="0" w:color="auto"/>
        <w:bottom w:val="none" w:sz="0" w:space="0" w:color="auto"/>
        <w:right w:val="none" w:sz="0" w:space="0" w:color="auto"/>
      </w:divBdr>
    </w:div>
    <w:div w:id="1608542896">
      <w:bodyDiv w:val="1"/>
      <w:marLeft w:val="0"/>
      <w:marRight w:val="0"/>
      <w:marTop w:val="0"/>
      <w:marBottom w:val="0"/>
      <w:divBdr>
        <w:top w:val="none" w:sz="0" w:space="0" w:color="auto"/>
        <w:left w:val="none" w:sz="0" w:space="0" w:color="auto"/>
        <w:bottom w:val="none" w:sz="0" w:space="0" w:color="auto"/>
        <w:right w:val="none" w:sz="0" w:space="0" w:color="auto"/>
      </w:divBdr>
    </w:div>
    <w:div w:id="1622421864">
      <w:bodyDiv w:val="1"/>
      <w:marLeft w:val="0"/>
      <w:marRight w:val="0"/>
      <w:marTop w:val="0"/>
      <w:marBottom w:val="0"/>
      <w:divBdr>
        <w:top w:val="none" w:sz="0" w:space="0" w:color="auto"/>
        <w:left w:val="none" w:sz="0" w:space="0" w:color="auto"/>
        <w:bottom w:val="none" w:sz="0" w:space="0" w:color="auto"/>
        <w:right w:val="none" w:sz="0" w:space="0" w:color="auto"/>
      </w:divBdr>
    </w:div>
    <w:div w:id="1629894113">
      <w:bodyDiv w:val="1"/>
      <w:marLeft w:val="0"/>
      <w:marRight w:val="0"/>
      <w:marTop w:val="0"/>
      <w:marBottom w:val="0"/>
      <w:divBdr>
        <w:top w:val="none" w:sz="0" w:space="0" w:color="auto"/>
        <w:left w:val="none" w:sz="0" w:space="0" w:color="auto"/>
        <w:bottom w:val="none" w:sz="0" w:space="0" w:color="auto"/>
        <w:right w:val="none" w:sz="0" w:space="0" w:color="auto"/>
      </w:divBdr>
    </w:div>
    <w:div w:id="1639653310">
      <w:bodyDiv w:val="1"/>
      <w:marLeft w:val="0"/>
      <w:marRight w:val="0"/>
      <w:marTop w:val="0"/>
      <w:marBottom w:val="0"/>
      <w:divBdr>
        <w:top w:val="none" w:sz="0" w:space="0" w:color="auto"/>
        <w:left w:val="none" w:sz="0" w:space="0" w:color="auto"/>
        <w:bottom w:val="none" w:sz="0" w:space="0" w:color="auto"/>
        <w:right w:val="none" w:sz="0" w:space="0" w:color="auto"/>
      </w:divBdr>
    </w:div>
    <w:div w:id="1679960051">
      <w:bodyDiv w:val="1"/>
      <w:marLeft w:val="0"/>
      <w:marRight w:val="0"/>
      <w:marTop w:val="0"/>
      <w:marBottom w:val="0"/>
      <w:divBdr>
        <w:top w:val="none" w:sz="0" w:space="0" w:color="auto"/>
        <w:left w:val="none" w:sz="0" w:space="0" w:color="auto"/>
        <w:bottom w:val="none" w:sz="0" w:space="0" w:color="auto"/>
        <w:right w:val="none" w:sz="0" w:space="0" w:color="auto"/>
      </w:divBdr>
    </w:div>
    <w:div w:id="1683584592">
      <w:bodyDiv w:val="1"/>
      <w:marLeft w:val="0"/>
      <w:marRight w:val="0"/>
      <w:marTop w:val="0"/>
      <w:marBottom w:val="0"/>
      <w:divBdr>
        <w:top w:val="none" w:sz="0" w:space="0" w:color="auto"/>
        <w:left w:val="none" w:sz="0" w:space="0" w:color="auto"/>
        <w:bottom w:val="none" w:sz="0" w:space="0" w:color="auto"/>
        <w:right w:val="none" w:sz="0" w:space="0" w:color="auto"/>
      </w:divBdr>
    </w:div>
    <w:div w:id="1748456229">
      <w:bodyDiv w:val="1"/>
      <w:marLeft w:val="0"/>
      <w:marRight w:val="0"/>
      <w:marTop w:val="0"/>
      <w:marBottom w:val="0"/>
      <w:divBdr>
        <w:top w:val="none" w:sz="0" w:space="0" w:color="auto"/>
        <w:left w:val="none" w:sz="0" w:space="0" w:color="auto"/>
        <w:bottom w:val="none" w:sz="0" w:space="0" w:color="auto"/>
        <w:right w:val="none" w:sz="0" w:space="0" w:color="auto"/>
      </w:divBdr>
    </w:div>
    <w:div w:id="1849710669">
      <w:bodyDiv w:val="1"/>
      <w:marLeft w:val="0"/>
      <w:marRight w:val="0"/>
      <w:marTop w:val="0"/>
      <w:marBottom w:val="0"/>
      <w:divBdr>
        <w:top w:val="none" w:sz="0" w:space="0" w:color="auto"/>
        <w:left w:val="none" w:sz="0" w:space="0" w:color="auto"/>
        <w:bottom w:val="none" w:sz="0" w:space="0" w:color="auto"/>
        <w:right w:val="none" w:sz="0" w:space="0" w:color="auto"/>
      </w:divBdr>
    </w:div>
    <w:div w:id="2057503040">
      <w:bodyDiv w:val="1"/>
      <w:marLeft w:val="0"/>
      <w:marRight w:val="0"/>
      <w:marTop w:val="0"/>
      <w:marBottom w:val="0"/>
      <w:divBdr>
        <w:top w:val="none" w:sz="0" w:space="0" w:color="auto"/>
        <w:left w:val="none" w:sz="0" w:space="0" w:color="auto"/>
        <w:bottom w:val="none" w:sz="0" w:space="0" w:color="auto"/>
        <w:right w:val="none" w:sz="0" w:space="0" w:color="auto"/>
      </w:divBdr>
    </w:div>
    <w:div w:id="2064675342">
      <w:bodyDiv w:val="1"/>
      <w:marLeft w:val="0"/>
      <w:marRight w:val="0"/>
      <w:marTop w:val="0"/>
      <w:marBottom w:val="0"/>
      <w:divBdr>
        <w:top w:val="none" w:sz="0" w:space="0" w:color="auto"/>
        <w:left w:val="none" w:sz="0" w:space="0" w:color="auto"/>
        <w:bottom w:val="none" w:sz="0" w:space="0" w:color="auto"/>
        <w:right w:val="none" w:sz="0" w:space="0" w:color="auto"/>
      </w:divBdr>
    </w:div>
    <w:div w:id="214388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egi.org.mx/programas/ccpv/2020/" TargetMode="External"/><Relationship Id="rId13" Type="http://schemas.openxmlformats.org/officeDocument/2006/relationships/hyperlink" Target="https://www.inegi.org.mx/programas/enh/2017/" TargetMode="External"/><Relationship Id="rId18" Type="http://schemas.openxmlformats.org/officeDocument/2006/relationships/hyperlink" Target="https://www.onu.org.mx/wp-content/uploads/2019/04/VIVIENDA_Y_ODS.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oneval.org.mx/InformesPublicaciones/Paginas/Estudio-Diagnostico-Derecho-Vivienda-2018.aspx" TargetMode="External"/><Relationship Id="rId17" Type="http://schemas.openxmlformats.org/officeDocument/2006/relationships/hyperlink" Target="https://www.cndh.org.mx/sites/all/doc/Informes/Especiales/2016_IE_Desplazados.pdf" TargetMode="External"/><Relationship Id="rId2" Type="http://schemas.openxmlformats.org/officeDocument/2006/relationships/numbering" Target="numbering.xml"/><Relationship Id="rId16" Type="http://schemas.openxmlformats.org/officeDocument/2006/relationships/hyperlink" Target="http://cmdpdh.org/project/informe-alternativo-desca-conjunto-2017/" TargetMode="External"/><Relationship Id="rId20" Type="http://schemas.openxmlformats.org/officeDocument/2006/relationships/hyperlink" Target="https://www.conapred.org.mx/userfiles/files/Enadis-2010-RG-Accss-002.pdf"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NPoZZLLIYLOYu4-TlietueBbMlUmZwL0/view" TargetMode="External"/><Relationship Id="rId24" Type="http://schemas.openxmlformats.org/officeDocument/2006/relationships/theme" Target="theme/theme1.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ru.juridicas.unam.mx/xmlui/handle/123456789/57211" TargetMode="External"/><Relationship Id="rId23" Type="http://schemas.openxmlformats.org/officeDocument/2006/relationships/fontTable" Target="fontTable.xml"/><Relationship Id="rId10" Type="http://schemas.openxmlformats.org/officeDocument/2006/relationships/hyperlink" Target="https://www.gob.mx/cms/uploads/attachment/file/576453/2_INFORME__ok_.pdf" TargetMode="External"/><Relationship Id="rId19" Type="http://schemas.openxmlformats.org/officeDocument/2006/relationships/hyperlink" Target="http://sindis.conapred.org.mx/wp-content/uploads/2019/02/ENADIS_2017_Prontuario.pdf"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gob.mx/shf/documentos/plan-nacional-de-vivienda-pnv-2019-2024" TargetMode="External"/><Relationship Id="rId14" Type="http://schemas.openxmlformats.org/officeDocument/2006/relationships/hyperlink" Target="https://www.inegi.org.mx/programas/envi/2014/" TargetMode="External"/><Relationship Id="rId22" Type="http://schemas.openxmlformats.org/officeDocument/2006/relationships/footer" Target="footer1.xml"/><Relationship Id="rId30"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www.seduvi.cdmx.gob.mx/comunicacion/nota/resolucion-para-eximir-de-contribuciones-beneficiarios-del-peruyvi-2019-2024" TargetMode="External"/><Relationship Id="rId13" Type="http://schemas.openxmlformats.org/officeDocument/2006/relationships/hyperlink" Target="http://ladupo.igg.unam.mx/portal/Publicaciones/Articulos_Internacionales/EspPob_PeriUrb_SunInt_CMx_EURE_vol42_no125_2016.pdf" TargetMode="External"/><Relationship Id="rId18" Type="http://schemas.openxmlformats.org/officeDocument/2006/relationships/hyperlink" Target="https://drive.google.com/file/d/1NPoZZLLIYLOYu4-TlietueBbMlUmZwL0/view" TargetMode="External"/><Relationship Id="rId3" Type="http://schemas.openxmlformats.org/officeDocument/2006/relationships/hyperlink" Target="https://www.cndh.org.mx/sites/all/doc/Informes/Especiales/2016_IE_Desplazados.pdf" TargetMode="External"/><Relationship Id="rId21" Type="http://schemas.openxmlformats.org/officeDocument/2006/relationships/hyperlink" Target="https://www.coneval.org.mx/InformesPublicaciones/Paginas/Estudio-Diagnostico-Derecho-Vivienda-2018.aspx" TargetMode="External"/><Relationship Id="rId7" Type="http://schemas.openxmlformats.org/officeDocument/2006/relationships/hyperlink" Target="https://tramites.cdmx.gob.mx/regeneracion-urbana/public/" TargetMode="External"/><Relationship Id="rId12" Type="http://schemas.openxmlformats.org/officeDocument/2006/relationships/hyperlink" Target="http://www.ub.edu/geocrit/-xcol/418.htm" TargetMode="External"/><Relationship Id="rId17" Type="http://schemas.openxmlformats.org/officeDocument/2006/relationships/hyperlink" Target="https://drive.google.com/file/d/1NPoZZLLIYLOYu4-TlietueBbMlUmZwL0/view" TargetMode="External"/><Relationship Id="rId2" Type="http://schemas.openxmlformats.org/officeDocument/2006/relationships/hyperlink" Target="https://www.inegi.org.mx/programas/ccpv/2020/" TargetMode="External"/><Relationship Id="rId16" Type="http://schemas.openxmlformats.org/officeDocument/2006/relationships/hyperlink" Target="https://www.coneval.org.mx/InformesPublicaciones/Paginas/Estudio-Diagnostico-Derecho-Vivienda-2018.aspx" TargetMode="External"/><Relationship Id="rId20" Type="http://schemas.openxmlformats.org/officeDocument/2006/relationships/hyperlink" Target="http://www.scielo.org.mx/scielo.php?script=sci_arttext&amp;pid=S0186-72102011000200403" TargetMode="External"/><Relationship Id="rId1" Type="http://schemas.openxmlformats.org/officeDocument/2006/relationships/hyperlink" Target="https://www.coneval.org.mx/Evaluacion/IEPSM/Documents/Derechos_Sociales/Estudio_Diag_Vivienda_2018.pdf" TargetMode="External"/><Relationship Id="rId6" Type="http://schemas.openxmlformats.org/officeDocument/2006/relationships/hyperlink" Target="https://www.seduvi.cdmx.gob.mx/storage/app/uploads/public/5f0/be9/996/5f0be99961701470249607.pdf" TargetMode="External"/><Relationship Id="rId11" Type="http://schemas.openxmlformats.org/officeDocument/2006/relationships/hyperlink" Target="https://www.eluniversal.com.mx/metropoli/cdmx/define-cdmx-predios-para-programa-de-vivienda" TargetMode="External"/><Relationship Id="rId5" Type="http://schemas.openxmlformats.org/officeDocument/2006/relationships/hyperlink" Target="https://www.coneval.org.mx/InformesPublicaciones/Paginas/Estudio-Diagnostico-Derecho-Vivienda-2018.aspx" TargetMode="External"/><Relationship Id="rId15" Type="http://schemas.openxmlformats.org/officeDocument/2006/relationships/hyperlink" Target="https://www.coneval.org.mx/InformesPublicaciones/Paginas/Estudio-Diagnostico-Derecho-Vivienda-2018.aspx" TargetMode="External"/><Relationship Id="rId23" Type="http://schemas.openxmlformats.org/officeDocument/2006/relationships/hyperlink" Target="https://hchr.org.mx/comite/comite-de-derechos-economicos-sociales-y-culturales-de-la-onu-observaciones-finales-a-los-informes-periodicos-quinto-y-sexto-combinados-de-mexico-2/" TargetMode="External"/><Relationship Id="rId10" Type="http://schemas.openxmlformats.org/officeDocument/2006/relationships/hyperlink" Target="https://www.gob.mx/cms/uploads/attachment/file/513675/Programa_Nacional_de_Vivienda_2019-2024.pdf" TargetMode="External"/><Relationship Id="rId19" Type="http://schemas.openxmlformats.org/officeDocument/2006/relationships/hyperlink" Target="https://www.coneval.org.mx/InformesPublicaciones/Paginas/Estudio-Diagnostico-Derecho-Vivienda-2018.aspx" TargetMode="External"/><Relationship Id="rId4" Type="http://schemas.openxmlformats.org/officeDocument/2006/relationships/hyperlink" Target="http://www.cmdpdh.org/publicaciones-pdf/cmdpdh_informe_desca_2017.pdf" TargetMode="External"/><Relationship Id="rId9" Type="http://schemas.openxmlformats.org/officeDocument/2006/relationships/hyperlink" Target="https://www.seduvi.cdmx.gob.mx/programasp/previt" TargetMode="External"/><Relationship Id="rId14" Type="http://schemas.openxmlformats.org/officeDocument/2006/relationships/hyperlink" Target="https://scielo.conicyt.cl/scielo.php?script=sci_arttext&amp;pid=S0250-71612012000200005" TargetMode="External"/><Relationship Id="rId22" Type="http://schemas.openxmlformats.org/officeDocument/2006/relationships/hyperlink" Target="https://www.gob.mx/cms/uploads/attachment/file/576453/2_INFORME__ok_.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A2A596-93BF-4920-B34F-99A6DCE03846}">
  <ds:schemaRefs>
    <ds:schemaRef ds:uri="http://schemas.openxmlformats.org/officeDocument/2006/bibliography"/>
  </ds:schemaRefs>
</ds:datastoreItem>
</file>

<file path=customXml/itemProps2.xml><?xml version="1.0" encoding="utf-8"?>
<ds:datastoreItem xmlns:ds="http://schemas.openxmlformats.org/officeDocument/2006/customXml" ds:itemID="{853DB8A7-477E-457E-9EFB-471F6390DC8A}"/>
</file>

<file path=customXml/itemProps3.xml><?xml version="1.0" encoding="utf-8"?>
<ds:datastoreItem xmlns:ds="http://schemas.openxmlformats.org/officeDocument/2006/customXml" ds:itemID="{27D8FAC2-3AEB-4158-97B8-22A06CC26DB0}"/>
</file>

<file path=customXml/itemProps4.xml><?xml version="1.0" encoding="utf-8"?>
<ds:datastoreItem xmlns:ds="http://schemas.openxmlformats.org/officeDocument/2006/customXml" ds:itemID="{2AF1415A-E1A5-49EC-A0D2-1CA73AEC4941}"/>
</file>

<file path=docProps/app.xml><?xml version="1.0" encoding="utf-8"?>
<Properties xmlns="http://schemas.openxmlformats.org/officeDocument/2006/extended-properties" xmlns:vt="http://schemas.openxmlformats.org/officeDocument/2006/docPropsVTypes">
  <Template>Normal.dotm</Template>
  <TotalTime>15</TotalTime>
  <Pages>22</Pages>
  <Words>8536</Words>
  <Characters>48658</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Comisión Nacional de los Derechos Humanos México</Company>
  <LinksUpToDate>false</LinksUpToDate>
  <CharactersWithSpaces>57080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Víctor del Angel Pescador Bravo</dc:creator>
  <cp:lastModifiedBy>GARDE Pascal</cp:lastModifiedBy>
  <cp:revision>5</cp:revision>
  <cp:lastPrinted>2021-04-15T22:33:00Z</cp:lastPrinted>
  <dcterms:created xsi:type="dcterms:W3CDTF">2021-04-19T17:45:00Z</dcterms:created>
  <dcterms:modified xsi:type="dcterms:W3CDTF">2021-05-06T08:57:00Z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