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rsidR="00226F79" w:rsidRDefault="00226F79" w:rsidP="00226F79">
      <w:pPr>
        <w:jc w:val="center"/>
        <w:rPr>
          <w:bCs/>
        </w:rPr>
      </w:pPr>
    </w:p>
    <w:p w:rsidR="00226F79" w:rsidRPr="00226F79" w:rsidRDefault="00226F79" w:rsidP="00226F79">
      <w:pPr>
        <w:jc w:val="center"/>
        <w:rPr>
          <w:sz w:val="24"/>
        </w:rPr>
      </w:pPr>
      <w:r w:rsidRPr="00226F79">
        <w:rPr>
          <w:bCs/>
          <w:sz w:val="24"/>
        </w:rPr>
        <w:t>QUESTIONNAIRE</w:t>
      </w:r>
    </w:p>
    <w:p w:rsidR="00226F79" w:rsidRDefault="00226F79" w:rsidP="00226F79">
      <w:pPr>
        <w:rPr>
          <w:b/>
        </w:rPr>
      </w:pPr>
    </w:p>
    <w:p w:rsidR="00226F79" w:rsidRPr="00226F79" w:rsidRDefault="00226F79" w:rsidP="00226F79">
      <w:pPr>
        <w:jc w:val="both"/>
        <w:rPr>
          <w:b/>
          <w:sz w:val="24"/>
          <w:szCs w:val="24"/>
          <w:u w:val="single"/>
        </w:rPr>
      </w:pPr>
      <w:r w:rsidRPr="00226F79">
        <w:rPr>
          <w:b/>
          <w:sz w:val="24"/>
          <w:szCs w:val="24"/>
          <w:u w:val="single"/>
        </w:rPr>
        <w:t xml:space="preserve">BASIC INFORMATION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C83762">
            <w:rPr>
              <w:sz w:val="24"/>
              <w:szCs w:val="24"/>
            </w:rPr>
            <w:t>The Danish Institute for Human Rights</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Type of Entity*</w:t>
      </w:r>
    </w:p>
    <w:p w:rsidR="00226F79" w:rsidRPr="00226F79" w:rsidRDefault="00227829"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rsidR="00226F79" w:rsidRPr="00226F79" w:rsidRDefault="00227829"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rsidR="00226F79" w:rsidRPr="00226F79" w:rsidRDefault="00227829"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rsidR="00226F79" w:rsidRPr="00226F79" w:rsidRDefault="00227829"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rsidR="00226F79" w:rsidRPr="00226F79" w:rsidRDefault="00227829"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rsidR="00226F79" w:rsidRPr="00226F79" w:rsidRDefault="00227829"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rsidR="00226F79" w:rsidRPr="00226F79" w:rsidRDefault="00227829"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rsidR="00226F79" w:rsidRPr="00226F79" w:rsidRDefault="00227829"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rsidR="00226F79" w:rsidRPr="00226F79" w:rsidRDefault="00227829" w:rsidP="00226F79">
      <w:pPr>
        <w:pStyle w:val="ListParagraph"/>
        <w:ind w:left="567"/>
        <w:jc w:val="both"/>
        <w:rPr>
          <w:sz w:val="24"/>
          <w:szCs w:val="24"/>
        </w:rPr>
      </w:pPr>
      <w:sdt>
        <w:sdtPr>
          <w:rPr>
            <w:rFonts w:ascii="MS Gothic" w:eastAsia="MS Gothic" w:hAnsi="MS Gothic"/>
            <w:sz w:val="24"/>
            <w:szCs w:val="24"/>
          </w:rPr>
          <w:id w:val="1135690096"/>
          <w14:checkbox>
            <w14:checked w14:val="1"/>
            <w14:checkedState w14:val="2612" w14:font="MS Gothic"/>
            <w14:uncheckedState w14:val="2610" w14:font="MS Gothic"/>
          </w14:checkbox>
        </w:sdtPr>
        <w:sdtEndPr/>
        <w:sdtContent>
          <w:r w:rsidR="00C83762">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rsidR="00226F79" w:rsidRPr="00226F79" w:rsidRDefault="00227829"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rsidR="00226F79" w:rsidRPr="00226F79" w:rsidRDefault="00227829"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rsidR="00226F79" w:rsidRPr="00226F79" w:rsidRDefault="00227829"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rsidR="00226F79" w:rsidRPr="00226F79" w:rsidRDefault="00227829"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 Categorization of your Work</w:t>
      </w:r>
    </w:p>
    <w:p w:rsidR="00226F79" w:rsidRPr="00226F79" w:rsidRDefault="00226F79" w:rsidP="00226F79">
      <w:pPr>
        <w:jc w:val="both"/>
        <w:rPr>
          <w:sz w:val="24"/>
          <w:szCs w:val="24"/>
        </w:rPr>
      </w:pPr>
      <w:r w:rsidRPr="00226F79">
        <w:rPr>
          <w:sz w:val="24"/>
          <w:szCs w:val="24"/>
        </w:rPr>
        <w:t>Please select one or more responses, as appropriate.</w:t>
      </w:r>
    </w:p>
    <w:p w:rsidR="00226F79" w:rsidRPr="00226F79" w:rsidRDefault="00227829" w:rsidP="00226F79">
      <w:pPr>
        <w:ind w:left="567"/>
        <w:jc w:val="both"/>
        <w:rPr>
          <w:sz w:val="24"/>
          <w:szCs w:val="24"/>
        </w:rPr>
      </w:pPr>
      <w:sdt>
        <w:sdtPr>
          <w:rPr>
            <w:sz w:val="24"/>
            <w:szCs w:val="24"/>
          </w:rPr>
          <w:id w:val="-1836444919"/>
          <w14:checkbox>
            <w14:checked w14:val="1"/>
            <w14:checkedState w14:val="2612" w14:font="MS Gothic"/>
            <w14:uncheckedState w14:val="2610" w14:font="MS Gothic"/>
          </w14:checkbox>
        </w:sdtPr>
        <w:sdtEndPr/>
        <w:sdtContent>
          <w:r w:rsidR="00C83762">
            <w:rPr>
              <w:rFonts w:ascii="MS Gothic" w:eastAsia="MS Gothic" w:hAnsi="MS Gothic" w:hint="eastAsia"/>
              <w:sz w:val="24"/>
              <w:szCs w:val="24"/>
            </w:rPr>
            <w:t>☒</w:t>
          </w:r>
        </w:sdtContent>
      </w:sdt>
      <w:r w:rsidR="00226F79" w:rsidRPr="00226F79">
        <w:rPr>
          <w:sz w:val="24"/>
          <w:szCs w:val="24"/>
        </w:rPr>
        <w:t>Public administration</w:t>
      </w:r>
    </w:p>
    <w:p w:rsidR="00226F79" w:rsidRPr="00226F79" w:rsidRDefault="00227829"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C83762">
            <w:rPr>
              <w:rFonts w:ascii="MS Gothic" w:eastAsia="MS Gothic" w:hAnsi="MS Gothic" w:hint="eastAsia"/>
              <w:sz w:val="24"/>
              <w:szCs w:val="24"/>
            </w:rPr>
            <w:t>☒</w:t>
          </w:r>
        </w:sdtContent>
      </w:sdt>
      <w:r w:rsidR="00226F79" w:rsidRPr="00226F79">
        <w:rPr>
          <w:sz w:val="24"/>
          <w:szCs w:val="24"/>
        </w:rPr>
        <w:t>Advocacy</w:t>
      </w:r>
    </w:p>
    <w:p w:rsidR="00226F79" w:rsidRPr="00226F79" w:rsidRDefault="00227829"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rsidR="00226F79" w:rsidRPr="00226F79" w:rsidRDefault="00227829" w:rsidP="00226F79">
      <w:pPr>
        <w:ind w:left="567"/>
        <w:jc w:val="both"/>
        <w:rPr>
          <w:sz w:val="24"/>
          <w:szCs w:val="24"/>
        </w:rPr>
      </w:pPr>
      <w:sdt>
        <w:sdtPr>
          <w:rPr>
            <w:sz w:val="24"/>
            <w:szCs w:val="24"/>
          </w:rPr>
          <w:id w:val="-807774150"/>
          <w14:checkbox>
            <w14:checked w14:val="1"/>
            <w14:checkedState w14:val="2612" w14:font="MS Gothic"/>
            <w14:uncheckedState w14:val="2610" w14:font="MS Gothic"/>
          </w14:checkbox>
        </w:sdtPr>
        <w:sdtEndPr/>
        <w:sdtContent>
          <w:r w:rsidR="00C83762">
            <w:rPr>
              <w:rFonts w:ascii="MS Gothic" w:eastAsia="MS Gothic" w:hAnsi="MS Gothic" w:hint="eastAsia"/>
              <w:sz w:val="24"/>
              <w:szCs w:val="24"/>
            </w:rPr>
            <w:t>☒</w:t>
          </w:r>
        </w:sdtContent>
      </w:sdt>
      <w:r w:rsidR="00226F79" w:rsidRPr="00226F79">
        <w:rPr>
          <w:sz w:val="24"/>
          <w:szCs w:val="24"/>
        </w:rPr>
        <w:t>Legal Assistance</w:t>
      </w:r>
    </w:p>
    <w:p w:rsidR="00226F79" w:rsidRPr="00226F79" w:rsidRDefault="00227829"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rsidR="00226F79" w:rsidRPr="00226F79" w:rsidRDefault="00227829"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rsidR="00226F79" w:rsidRPr="00226F79" w:rsidRDefault="00227829" w:rsidP="00226F79">
      <w:pPr>
        <w:ind w:left="567"/>
        <w:jc w:val="both"/>
        <w:rPr>
          <w:sz w:val="24"/>
          <w:szCs w:val="24"/>
        </w:rPr>
      </w:pPr>
      <w:sdt>
        <w:sdtPr>
          <w:rPr>
            <w:sz w:val="24"/>
            <w:szCs w:val="24"/>
          </w:rPr>
          <w:id w:val="-1431660576"/>
          <w14:checkbox>
            <w14:checked w14:val="1"/>
            <w14:checkedState w14:val="2612" w14:font="MS Gothic"/>
            <w14:uncheckedState w14:val="2610" w14:font="MS Gothic"/>
          </w14:checkbox>
        </w:sdtPr>
        <w:sdtEndPr/>
        <w:sdtContent>
          <w:r w:rsidR="00C83762">
            <w:rPr>
              <w:rFonts w:ascii="MS Gothic" w:eastAsia="MS Gothic" w:hAnsi="MS Gothic" w:hint="eastAsia"/>
              <w:sz w:val="24"/>
              <w:szCs w:val="24"/>
            </w:rPr>
            <w:t>☒</w:t>
          </w:r>
        </w:sdtContent>
      </w:sdt>
      <w:r w:rsidR="00226F79" w:rsidRPr="00226F79">
        <w:rPr>
          <w:sz w:val="24"/>
          <w:szCs w:val="24"/>
        </w:rPr>
        <w:t>Research</w:t>
      </w:r>
    </w:p>
    <w:p w:rsidR="00226F79" w:rsidRPr="00226F79" w:rsidRDefault="00227829"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rsidR="00226F79" w:rsidRPr="00226F79" w:rsidRDefault="00227829" w:rsidP="00226F79">
      <w:pPr>
        <w:ind w:left="567"/>
        <w:jc w:val="both"/>
        <w:rPr>
          <w:sz w:val="24"/>
          <w:szCs w:val="24"/>
        </w:rPr>
      </w:pPr>
      <w:sdt>
        <w:sdtPr>
          <w:rPr>
            <w:sz w:val="24"/>
            <w:szCs w:val="24"/>
          </w:rPr>
          <w:id w:val="1814833555"/>
          <w14:checkbox>
            <w14:checked w14:val="1"/>
            <w14:checkedState w14:val="2612" w14:font="MS Gothic"/>
            <w14:uncheckedState w14:val="2610" w14:font="MS Gothic"/>
          </w14:checkbox>
        </w:sdtPr>
        <w:sdtEndPr/>
        <w:sdtContent>
          <w:r w:rsidR="00C83762">
            <w:rPr>
              <w:rFonts w:ascii="MS Gothic" w:eastAsia="MS Gothic" w:hAnsi="MS Gothic" w:hint="eastAsia"/>
              <w:sz w:val="24"/>
              <w:szCs w:val="24"/>
            </w:rPr>
            <w:t>☒</w:t>
          </w:r>
        </w:sdtContent>
      </w:sdt>
      <w:r w:rsidR="00226F79" w:rsidRPr="00226F79">
        <w:rPr>
          <w:sz w:val="24"/>
          <w:szCs w:val="24"/>
        </w:rPr>
        <w:t>Training</w:t>
      </w:r>
    </w:p>
    <w:p w:rsidR="00226F79" w:rsidRPr="00226F79" w:rsidRDefault="00227829"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rsidR="00226F79" w:rsidRPr="00226F79" w:rsidRDefault="00227829"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C83762">
            <w:rPr>
              <w:sz w:val="24"/>
              <w:szCs w:val="24"/>
            </w:rPr>
            <w:t>Copenhagen</w:t>
          </w:r>
        </w:sdtContent>
      </w:sdt>
      <w:r w:rsidRPr="00226F79">
        <w:rPr>
          <w:sz w:val="24"/>
          <w:szCs w:val="24"/>
        </w:rPr>
        <w:t xml:space="preserve">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C83762">
            <w:rPr>
              <w:sz w:val="24"/>
              <w:szCs w:val="24"/>
            </w:rPr>
            <w:t>C</w:t>
          </w:r>
          <w:r w:rsidR="000D6999">
            <w:rPr>
              <w:sz w:val="24"/>
              <w:szCs w:val="24"/>
            </w:rPr>
            <w:t>apital Region of Denmark</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5. Country (please indicate your region or “international” if focus </w:t>
      </w:r>
      <w:r w:rsidR="000D6999">
        <w:rPr>
          <w:sz w:val="24"/>
          <w:szCs w:val="24"/>
        </w:rPr>
        <w:t xml:space="preserve">of </w:t>
      </w:r>
      <w:r w:rsidRPr="00226F79">
        <w:rPr>
          <w:sz w:val="24"/>
          <w:szCs w:val="24"/>
        </w:rPr>
        <w:t>the work of your organiza</w:t>
      </w:r>
      <w:r w:rsidR="000D6999">
        <w:rPr>
          <w:sz w:val="24"/>
          <w:szCs w:val="24"/>
        </w:rPr>
        <w:t>tion covers multiple countries):</w:t>
      </w:r>
      <w:r w:rsidRPr="00226F79">
        <w:rPr>
          <w:sz w:val="24"/>
          <w:szCs w:val="24"/>
        </w:rPr>
        <w:t xml:space="preserve"> </w:t>
      </w:r>
      <w:sdt>
        <w:sdtPr>
          <w:rPr>
            <w:sz w:val="24"/>
            <w:szCs w:val="24"/>
          </w:rPr>
          <w:id w:val="97685920"/>
          <w:placeholder>
            <w:docPart w:val="8C51350C3C2E40C7B851479DE8F27FC8"/>
          </w:placeholder>
        </w:sdtPr>
        <w:sdtEndPr/>
        <w:sdtContent>
          <w:r w:rsidR="00C83762">
            <w:rPr>
              <w:sz w:val="24"/>
              <w:szCs w:val="24"/>
            </w:rPr>
            <w:t>international</w:t>
          </w:r>
        </w:sdtContent>
      </w:sdt>
    </w:p>
    <w:p w:rsidR="00226F79" w:rsidRPr="00226F79" w:rsidRDefault="00226F79" w:rsidP="00226F79">
      <w:pPr>
        <w:jc w:val="both"/>
        <w:rPr>
          <w:sz w:val="24"/>
          <w:szCs w:val="24"/>
        </w:rPr>
      </w:pPr>
    </w:p>
    <w:p w:rsidR="00226F79" w:rsidRDefault="00226F79">
      <w:pPr>
        <w:rPr>
          <w:sz w:val="24"/>
          <w:szCs w:val="24"/>
        </w:rPr>
      </w:pPr>
      <w:bookmarkStart w:id="0" w:name="_GoBack"/>
      <w:bookmarkEnd w:id="0"/>
      <w:r>
        <w:rPr>
          <w:sz w:val="24"/>
          <w:szCs w:val="24"/>
        </w:rPr>
        <w:br w:type="page"/>
      </w:r>
    </w:p>
    <w:p w:rsidR="00226F79" w:rsidRPr="00226F79" w:rsidRDefault="00226F79" w:rsidP="00226F79">
      <w:pPr>
        <w:jc w:val="both"/>
        <w:rPr>
          <w:b/>
          <w:sz w:val="24"/>
          <w:szCs w:val="24"/>
          <w:u w:val="single"/>
        </w:rPr>
      </w:pPr>
      <w:r w:rsidRPr="00226F79">
        <w:rPr>
          <w:b/>
          <w:sz w:val="24"/>
          <w:szCs w:val="24"/>
          <w:u w:val="single"/>
        </w:rPr>
        <w:lastRenderedPageBreak/>
        <w:t>HOUSING DISCRIMINATION</w:t>
      </w:r>
    </w:p>
    <w:p w:rsidR="00226F79" w:rsidRPr="00226F79" w:rsidRDefault="00226F79" w:rsidP="00226F79">
      <w:pPr>
        <w:jc w:val="both"/>
        <w:rPr>
          <w:sz w:val="24"/>
          <w:szCs w:val="24"/>
          <w:u w:val="single"/>
        </w:rPr>
      </w:pPr>
    </w:p>
    <w:p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226F79" w:rsidRPr="00226F79" w:rsidRDefault="00226F79" w:rsidP="00226F79">
      <w:pPr>
        <w:jc w:val="both"/>
        <w:rPr>
          <w:sz w:val="24"/>
          <w:szCs w:val="24"/>
        </w:rPr>
      </w:pPr>
    </w:p>
    <w:p w:rsidR="00226F79" w:rsidRPr="00226F79" w:rsidRDefault="00226F79" w:rsidP="000D7C6D">
      <w:pPr>
        <w:pStyle w:val="ListParagraph"/>
        <w:numPr>
          <w:ilvl w:val="0"/>
          <w:numId w:val="1"/>
        </w:numPr>
        <w:jc w:val="both"/>
        <w:rPr>
          <w:sz w:val="24"/>
          <w:szCs w:val="24"/>
        </w:rPr>
      </w:pPr>
      <w:r w:rsidRPr="00226F79">
        <w:rPr>
          <w:sz w:val="24"/>
          <w:szCs w:val="24"/>
        </w:rPr>
        <w:t xml:space="preserve">People of African Descent, or Roma </w:t>
      </w:r>
    </w:p>
    <w:p w:rsidR="00226F79" w:rsidRPr="00226F79" w:rsidRDefault="00226F79" w:rsidP="000D7C6D">
      <w:pPr>
        <w:pStyle w:val="ListParagraph"/>
        <w:numPr>
          <w:ilvl w:val="0"/>
          <w:numId w:val="1"/>
        </w:numPr>
        <w:jc w:val="both"/>
        <w:rPr>
          <w:sz w:val="24"/>
          <w:szCs w:val="24"/>
        </w:rPr>
      </w:pPr>
      <w:r w:rsidRPr="00226F79">
        <w:rPr>
          <w:sz w:val="24"/>
          <w:szCs w:val="24"/>
        </w:rPr>
        <w:t>Racial, caste, ethnic, religious groups/minorities or other groups</w:t>
      </w:r>
    </w:p>
    <w:p w:rsidR="00226F79" w:rsidRPr="00226F79" w:rsidRDefault="00226F79" w:rsidP="000D7C6D">
      <w:pPr>
        <w:pStyle w:val="ListParagraph"/>
        <w:numPr>
          <w:ilvl w:val="0"/>
          <w:numId w:val="1"/>
        </w:numPr>
        <w:jc w:val="both"/>
        <w:rPr>
          <w:sz w:val="24"/>
          <w:szCs w:val="24"/>
        </w:rPr>
      </w:pPr>
      <w:r w:rsidRPr="00226F79">
        <w:rPr>
          <w:sz w:val="24"/>
          <w:szCs w:val="24"/>
        </w:rPr>
        <w:t xml:space="preserve">Migrants, foreigners, refugees, internally displaced persons </w:t>
      </w:r>
    </w:p>
    <w:p w:rsidR="00226F79" w:rsidRPr="00226F79" w:rsidRDefault="00226F79" w:rsidP="000D7C6D">
      <w:pPr>
        <w:pStyle w:val="ListParagraph"/>
        <w:numPr>
          <w:ilvl w:val="0"/>
          <w:numId w:val="1"/>
        </w:numPr>
        <w:jc w:val="both"/>
        <w:rPr>
          <w:sz w:val="24"/>
          <w:szCs w:val="24"/>
        </w:rPr>
      </w:pPr>
      <w:r w:rsidRPr="00226F79">
        <w:rPr>
          <w:sz w:val="24"/>
          <w:szCs w:val="24"/>
        </w:rPr>
        <w:t xml:space="preserve">Women, children or older persons </w:t>
      </w:r>
    </w:p>
    <w:p w:rsidR="00226F79" w:rsidRPr="00226F79" w:rsidRDefault="00226F79" w:rsidP="000D7C6D">
      <w:pPr>
        <w:pStyle w:val="ListParagraph"/>
        <w:numPr>
          <w:ilvl w:val="0"/>
          <w:numId w:val="1"/>
        </w:numPr>
        <w:jc w:val="both"/>
        <w:rPr>
          <w:sz w:val="24"/>
          <w:szCs w:val="24"/>
        </w:rPr>
      </w:pPr>
      <w:r w:rsidRPr="00226F79">
        <w:rPr>
          <w:sz w:val="24"/>
          <w:szCs w:val="24"/>
        </w:rPr>
        <w:t>Indigenous peoples</w:t>
      </w:r>
    </w:p>
    <w:p w:rsidR="00226F79" w:rsidRPr="00226F79" w:rsidRDefault="00226F79" w:rsidP="000D7C6D">
      <w:pPr>
        <w:pStyle w:val="ListParagraph"/>
        <w:numPr>
          <w:ilvl w:val="0"/>
          <w:numId w:val="1"/>
        </w:numPr>
        <w:jc w:val="both"/>
        <w:rPr>
          <w:sz w:val="24"/>
          <w:szCs w:val="24"/>
        </w:rPr>
      </w:pPr>
      <w:r w:rsidRPr="00226F79">
        <w:rPr>
          <w:sz w:val="24"/>
          <w:szCs w:val="24"/>
        </w:rPr>
        <w:t xml:space="preserve">Persons with disabilities </w:t>
      </w:r>
    </w:p>
    <w:p w:rsidR="00226F79" w:rsidRPr="00226F79" w:rsidRDefault="00226F79" w:rsidP="000D7C6D">
      <w:pPr>
        <w:pStyle w:val="ListParagraph"/>
        <w:numPr>
          <w:ilvl w:val="0"/>
          <w:numId w:val="1"/>
        </w:numPr>
        <w:jc w:val="both"/>
        <w:rPr>
          <w:sz w:val="24"/>
          <w:szCs w:val="24"/>
        </w:rPr>
      </w:pPr>
      <w:r w:rsidRPr="00226F79">
        <w:rPr>
          <w:sz w:val="24"/>
          <w:szCs w:val="24"/>
        </w:rPr>
        <w:t xml:space="preserve">LGBTQ persons </w:t>
      </w:r>
    </w:p>
    <w:p w:rsidR="00226F79" w:rsidRPr="00226F79" w:rsidRDefault="00226F79" w:rsidP="000D7C6D">
      <w:pPr>
        <w:pStyle w:val="ListParagraph"/>
        <w:numPr>
          <w:ilvl w:val="0"/>
          <w:numId w:val="1"/>
        </w:numPr>
        <w:jc w:val="both"/>
        <w:rPr>
          <w:sz w:val="24"/>
          <w:szCs w:val="24"/>
        </w:rPr>
      </w:pPr>
      <w:r w:rsidRPr="00226F79">
        <w:rPr>
          <w:sz w:val="24"/>
          <w:szCs w:val="24"/>
        </w:rPr>
        <w:t xml:space="preserve">Low income persons, including people living in poverty </w:t>
      </w:r>
    </w:p>
    <w:p w:rsidR="00226F79" w:rsidRPr="00226F79" w:rsidRDefault="00226F79" w:rsidP="000D7C6D">
      <w:pPr>
        <w:pStyle w:val="ListParagraph"/>
        <w:numPr>
          <w:ilvl w:val="0"/>
          <w:numId w:val="1"/>
        </w:numPr>
        <w:jc w:val="both"/>
        <w:rPr>
          <w:sz w:val="24"/>
          <w:szCs w:val="24"/>
        </w:rPr>
      </w:pPr>
      <w:r w:rsidRPr="00226F79">
        <w:rPr>
          <w:sz w:val="24"/>
          <w:szCs w:val="24"/>
        </w:rPr>
        <w:t>Residents of informal settlements; persons experiencing homelessness</w:t>
      </w:r>
    </w:p>
    <w:p w:rsidR="00226F79" w:rsidRPr="00226F79" w:rsidRDefault="00226F79" w:rsidP="000D7C6D">
      <w:pPr>
        <w:pStyle w:val="ListParagraph"/>
        <w:numPr>
          <w:ilvl w:val="0"/>
          <w:numId w:val="1"/>
        </w:numPr>
        <w:jc w:val="both"/>
        <w:rPr>
          <w:sz w:val="24"/>
          <w:szCs w:val="24"/>
        </w:rPr>
      </w:pPr>
      <w:r w:rsidRPr="00226F79">
        <w:rPr>
          <w:sz w:val="24"/>
          <w:szCs w:val="24"/>
        </w:rPr>
        <w:t>Other social groups, please specify</w:t>
      </w:r>
    </w:p>
    <w:p w:rsidR="00226F79" w:rsidRPr="00226F79" w:rsidRDefault="00226F79" w:rsidP="00226F79">
      <w:pPr>
        <w:jc w:val="both"/>
        <w:rPr>
          <w:sz w:val="24"/>
          <w:szCs w:val="24"/>
        </w:rPr>
      </w:pPr>
    </w:p>
    <w:sdt>
      <w:sdtPr>
        <w:rPr>
          <w:sz w:val="24"/>
          <w:szCs w:val="24"/>
        </w:rPr>
        <w:id w:val="726886835"/>
        <w:placeholder>
          <w:docPart w:val="8C51350C3C2E40C7B851479DE8F27FC8"/>
        </w:placeholder>
        <w:showingPlcHdr/>
      </w:sdtPr>
      <w:sdtEndPr/>
      <w:sdtContent>
        <w:p w:rsidR="00226F79" w:rsidRPr="00226F79" w:rsidRDefault="00226F79" w:rsidP="00226F79">
          <w:pPr>
            <w:jc w:val="both"/>
            <w:rPr>
              <w:sz w:val="24"/>
              <w:szCs w:val="24"/>
            </w:rPr>
          </w:pPr>
          <w:r w:rsidRPr="00226F79">
            <w:rPr>
              <w:rStyle w:val="PlaceholderText"/>
              <w:sz w:val="24"/>
              <w:szCs w:val="24"/>
            </w:rPr>
            <w:t>Click here to enter text.</w:t>
          </w:r>
        </w:p>
      </w:sdtContent>
    </w:sdt>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Accessibility</w:t>
      </w:r>
    </w:p>
    <w:p w:rsidR="00226F79" w:rsidRPr="00226F79" w:rsidRDefault="00226F79" w:rsidP="000D7C6D">
      <w:pPr>
        <w:pStyle w:val="ListParagraph"/>
        <w:numPr>
          <w:ilvl w:val="0"/>
          <w:numId w:val="2"/>
        </w:numPr>
        <w:jc w:val="both"/>
        <w:rPr>
          <w:sz w:val="24"/>
          <w:szCs w:val="24"/>
        </w:rPr>
      </w:pPr>
      <w:r w:rsidRPr="00226F79">
        <w:rPr>
          <w:sz w:val="24"/>
          <w:szCs w:val="24"/>
        </w:rPr>
        <w:t xml:space="preserve">Discrimination in relation to access to land, including water and natural resources essential for habitation; </w:t>
      </w:r>
    </w:p>
    <w:p w:rsidR="00226F79" w:rsidRPr="00226F79" w:rsidRDefault="00226F79" w:rsidP="000D7C6D">
      <w:pPr>
        <w:pStyle w:val="ListParagraph"/>
        <w:numPr>
          <w:ilvl w:val="0"/>
          <w:numId w:val="2"/>
        </w:numPr>
        <w:jc w:val="both"/>
        <w:rPr>
          <w:sz w:val="24"/>
          <w:szCs w:val="24"/>
        </w:rPr>
      </w:pPr>
      <w:r w:rsidRPr="00226F79">
        <w:rPr>
          <w:sz w:val="24"/>
          <w:szCs w:val="24"/>
        </w:rPr>
        <w:t xml:space="preserve">Discrimination in relation to housing for rental or for acquisition or in accessing public or social housing; </w:t>
      </w:r>
    </w:p>
    <w:p w:rsidR="00226F79" w:rsidRPr="00226F79" w:rsidRDefault="000C7384" w:rsidP="000D7C6D">
      <w:pPr>
        <w:pStyle w:val="ListParagraph"/>
        <w:numPr>
          <w:ilvl w:val="0"/>
          <w:numId w:val="2"/>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rsidR="00226F79" w:rsidRPr="00226F79" w:rsidRDefault="000C7384" w:rsidP="000D7C6D">
      <w:pPr>
        <w:pStyle w:val="ListParagraph"/>
        <w:numPr>
          <w:ilvl w:val="0"/>
          <w:numId w:val="2"/>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rsidR="00226F79" w:rsidRPr="00226F79" w:rsidRDefault="00226F79" w:rsidP="000D7C6D">
      <w:pPr>
        <w:pStyle w:val="ListParagraph"/>
        <w:numPr>
          <w:ilvl w:val="0"/>
          <w:numId w:val="2"/>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Habitability</w:t>
      </w:r>
    </w:p>
    <w:p w:rsidR="00226F79" w:rsidRPr="00226F79" w:rsidRDefault="00226F79" w:rsidP="000D7C6D">
      <w:pPr>
        <w:pStyle w:val="ListParagraph"/>
        <w:numPr>
          <w:ilvl w:val="0"/>
          <w:numId w:val="2"/>
        </w:numPr>
        <w:jc w:val="both"/>
        <w:rPr>
          <w:sz w:val="24"/>
          <w:szCs w:val="24"/>
        </w:rPr>
      </w:pPr>
      <w:r w:rsidRPr="00226F79">
        <w:rPr>
          <w:sz w:val="24"/>
          <w:szCs w:val="24"/>
        </w:rPr>
        <w:t xml:space="preserve">discrimination in relation to housing conditions, overcrowding or housing maintenance; </w:t>
      </w:r>
    </w:p>
    <w:p w:rsidR="00226F79" w:rsidRPr="00226F79" w:rsidRDefault="000C7384" w:rsidP="000D7C6D">
      <w:pPr>
        <w:pStyle w:val="ListParagraph"/>
        <w:numPr>
          <w:ilvl w:val="0"/>
          <w:numId w:val="2"/>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rsidR="00226F79" w:rsidRPr="00226F79" w:rsidRDefault="00226F79" w:rsidP="000D7C6D">
      <w:pPr>
        <w:pStyle w:val="ListParagraph"/>
        <w:numPr>
          <w:ilvl w:val="0"/>
          <w:numId w:val="2"/>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rsidR="00226F79" w:rsidRPr="00226F79" w:rsidRDefault="00226F79" w:rsidP="000D7C6D">
      <w:pPr>
        <w:pStyle w:val="ListParagraph"/>
        <w:numPr>
          <w:ilvl w:val="0"/>
          <w:numId w:val="2"/>
        </w:numPr>
        <w:jc w:val="both"/>
        <w:rPr>
          <w:sz w:val="24"/>
          <w:szCs w:val="24"/>
        </w:rPr>
      </w:pPr>
      <w:r w:rsidRPr="00226F79">
        <w:rPr>
          <w:sz w:val="24"/>
          <w:szCs w:val="24"/>
        </w:rPr>
        <w:t>Discrimination in relation to housing renovation or permission of housing extension;</w:t>
      </w:r>
    </w:p>
    <w:p w:rsidR="00226F79" w:rsidRDefault="00226F79" w:rsidP="00226F79">
      <w:pPr>
        <w:ind w:left="360"/>
        <w:jc w:val="both"/>
        <w:rPr>
          <w:sz w:val="24"/>
          <w:szCs w:val="24"/>
        </w:rPr>
      </w:pPr>
    </w:p>
    <w:p w:rsidR="003A314E" w:rsidRPr="00226F79" w:rsidRDefault="003A314E" w:rsidP="00226F79">
      <w:pPr>
        <w:ind w:left="360"/>
        <w:jc w:val="both"/>
        <w:rPr>
          <w:sz w:val="24"/>
          <w:szCs w:val="24"/>
        </w:rPr>
      </w:pPr>
    </w:p>
    <w:p w:rsidR="00226F79" w:rsidRPr="00226F79" w:rsidRDefault="00226F79" w:rsidP="00226F79">
      <w:pPr>
        <w:jc w:val="both"/>
        <w:rPr>
          <w:i/>
          <w:sz w:val="24"/>
          <w:szCs w:val="24"/>
        </w:rPr>
      </w:pPr>
      <w:r w:rsidRPr="00226F79">
        <w:rPr>
          <w:i/>
          <w:sz w:val="24"/>
          <w:szCs w:val="24"/>
        </w:rPr>
        <w:lastRenderedPageBreak/>
        <w:t>Affordability</w:t>
      </w:r>
    </w:p>
    <w:p w:rsidR="00226F79" w:rsidRPr="00226F79" w:rsidRDefault="00226F79" w:rsidP="000D7C6D">
      <w:pPr>
        <w:pStyle w:val="ListParagraph"/>
        <w:numPr>
          <w:ilvl w:val="0"/>
          <w:numId w:val="2"/>
        </w:numPr>
        <w:jc w:val="both"/>
        <w:rPr>
          <w:sz w:val="24"/>
          <w:szCs w:val="24"/>
        </w:rPr>
      </w:pPr>
      <w:r w:rsidRPr="00226F79">
        <w:rPr>
          <w:sz w:val="24"/>
          <w:szCs w:val="24"/>
        </w:rPr>
        <w:t>Discrimination in relation to access to public benefits related to housing;</w:t>
      </w:r>
    </w:p>
    <w:p w:rsidR="00226F79" w:rsidRPr="00226F79" w:rsidRDefault="00226F79" w:rsidP="000D7C6D">
      <w:pPr>
        <w:pStyle w:val="ListParagraph"/>
        <w:numPr>
          <w:ilvl w:val="0"/>
          <w:numId w:val="2"/>
        </w:numPr>
        <w:jc w:val="both"/>
        <w:rPr>
          <w:sz w:val="24"/>
          <w:szCs w:val="24"/>
        </w:rPr>
      </w:pPr>
      <w:r w:rsidRPr="00226F79">
        <w:rPr>
          <w:sz w:val="24"/>
          <w:szCs w:val="24"/>
        </w:rPr>
        <w:t xml:space="preserve">Lack of equal access to affordable housing; </w:t>
      </w:r>
    </w:p>
    <w:p w:rsidR="00226F79" w:rsidRPr="00226F79" w:rsidRDefault="00226F79" w:rsidP="000D7C6D">
      <w:pPr>
        <w:pStyle w:val="ListParagraph"/>
        <w:numPr>
          <w:ilvl w:val="0"/>
          <w:numId w:val="2"/>
        </w:numPr>
        <w:jc w:val="both"/>
        <w:rPr>
          <w:sz w:val="24"/>
          <w:szCs w:val="24"/>
        </w:rPr>
      </w:pPr>
      <w:r w:rsidRPr="00226F79">
        <w:rPr>
          <w:sz w:val="24"/>
          <w:szCs w:val="24"/>
        </w:rPr>
        <w:t>Discrimination in public and private housing financing;</w:t>
      </w:r>
    </w:p>
    <w:p w:rsidR="00226F79" w:rsidRPr="00226F79" w:rsidRDefault="00226F79" w:rsidP="000D7C6D">
      <w:pPr>
        <w:pStyle w:val="ListParagraph"/>
        <w:numPr>
          <w:ilvl w:val="0"/>
          <w:numId w:val="2"/>
        </w:numPr>
        <w:jc w:val="both"/>
        <w:rPr>
          <w:sz w:val="24"/>
          <w:szCs w:val="24"/>
        </w:rPr>
      </w:pPr>
      <w:r w:rsidRPr="00226F79">
        <w:rPr>
          <w:sz w:val="24"/>
          <w:szCs w:val="24"/>
        </w:rPr>
        <w:t>Discrimination related to housing and service costs, housing related fees, litigation or taxation;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Security of tenure</w:t>
      </w:r>
    </w:p>
    <w:p w:rsidR="00226F79" w:rsidRPr="00226F79" w:rsidRDefault="000C7384" w:rsidP="000D7C6D">
      <w:pPr>
        <w:pStyle w:val="ListParagraph"/>
        <w:numPr>
          <w:ilvl w:val="0"/>
          <w:numId w:val="2"/>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rsidR="00226F79" w:rsidRPr="00226F79" w:rsidRDefault="000C7384" w:rsidP="000D7C6D">
      <w:pPr>
        <w:pStyle w:val="ListParagraph"/>
        <w:numPr>
          <w:ilvl w:val="0"/>
          <w:numId w:val="2"/>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rsidR="00226F79" w:rsidRPr="00226F79" w:rsidRDefault="000C7384" w:rsidP="000D7C6D">
      <w:pPr>
        <w:pStyle w:val="ListParagraph"/>
        <w:numPr>
          <w:ilvl w:val="0"/>
          <w:numId w:val="2"/>
        </w:numPr>
        <w:jc w:val="both"/>
        <w:rPr>
          <w:sz w:val="24"/>
          <w:szCs w:val="24"/>
        </w:rPr>
      </w:pPr>
      <w:r>
        <w:rPr>
          <w:sz w:val="24"/>
          <w:szCs w:val="24"/>
        </w:rPr>
        <w:t>D</w:t>
      </w:r>
      <w:r w:rsidR="00226F79" w:rsidRPr="00226F79">
        <w:rPr>
          <w:sz w:val="24"/>
          <w:szCs w:val="24"/>
        </w:rPr>
        <w:t>ifferential treatment in land or title registration, permission of housing construction;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rsidR="00226F79" w:rsidRPr="00226F79" w:rsidRDefault="000C7384" w:rsidP="000D7C6D">
      <w:pPr>
        <w:pStyle w:val="ListParagraph"/>
        <w:numPr>
          <w:ilvl w:val="0"/>
          <w:numId w:val="2"/>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rsidR="00226F79" w:rsidRPr="00226F79" w:rsidRDefault="000C7384" w:rsidP="000D7C6D">
      <w:pPr>
        <w:pStyle w:val="ListParagraph"/>
        <w:numPr>
          <w:ilvl w:val="0"/>
          <w:numId w:val="2"/>
        </w:numPr>
        <w:jc w:val="both"/>
        <w:rPr>
          <w:sz w:val="24"/>
          <w:szCs w:val="24"/>
        </w:rPr>
      </w:pPr>
      <w:r>
        <w:rPr>
          <w:sz w:val="24"/>
          <w:szCs w:val="24"/>
        </w:rPr>
        <w:t>P</w:t>
      </w:r>
      <w:r w:rsidR="00226F79" w:rsidRPr="00226F79">
        <w:rPr>
          <w:sz w:val="24"/>
          <w:szCs w:val="24"/>
        </w:rPr>
        <w:t xml:space="preserve">ublic transportation services and transportation costs; </w:t>
      </w:r>
    </w:p>
    <w:p w:rsidR="00226F79" w:rsidRPr="00226F79" w:rsidRDefault="000C7384" w:rsidP="000D7C6D">
      <w:pPr>
        <w:pStyle w:val="ListParagraph"/>
        <w:numPr>
          <w:ilvl w:val="0"/>
          <w:numId w:val="2"/>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rsidR="00226F79" w:rsidRPr="00226F79" w:rsidRDefault="00226F79" w:rsidP="000D7C6D">
      <w:pPr>
        <w:pStyle w:val="ListParagraph"/>
        <w:numPr>
          <w:ilvl w:val="0"/>
          <w:numId w:val="2"/>
        </w:numPr>
        <w:jc w:val="both"/>
        <w:rPr>
          <w:sz w:val="24"/>
          <w:szCs w:val="24"/>
        </w:rPr>
      </w:pPr>
      <w:r w:rsidRPr="00226F79">
        <w:rPr>
          <w:sz w:val="24"/>
          <w:szCs w:val="24"/>
        </w:rPr>
        <w:t xml:space="preserve">spatial disparities in access to health care, education, child care, cultural and recreational facilities;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Location</w:t>
      </w:r>
    </w:p>
    <w:p w:rsidR="00226F79" w:rsidRPr="00226F79" w:rsidRDefault="000C7384" w:rsidP="000D7C6D">
      <w:pPr>
        <w:pStyle w:val="ListParagraph"/>
        <w:numPr>
          <w:ilvl w:val="0"/>
          <w:numId w:val="2"/>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rsidR="00226F79" w:rsidRPr="00226F79" w:rsidRDefault="000C7384" w:rsidP="000D7C6D">
      <w:pPr>
        <w:pStyle w:val="ListParagraph"/>
        <w:numPr>
          <w:ilvl w:val="0"/>
          <w:numId w:val="2"/>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rsidR="00226F79" w:rsidRPr="00226F79" w:rsidRDefault="000C7384" w:rsidP="000D7C6D">
      <w:pPr>
        <w:pStyle w:val="ListParagraph"/>
        <w:numPr>
          <w:ilvl w:val="0"/>
          <w:numId w:val="2"/>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rsidR="00226F79" w:rsidRPr="00226F79" w:rsidRDefault="000C7384" w:rsidP="000D7C6D">
      <w:pPr>
        <w:pStyle w:val="ListParagraph"/>
        <w:numPr>
          <w:ilvl w:val="0"/>
          <w:numId w:val="2"/>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rsidR="00226F79" w:rsidRPr="00226F79" w:rsidRDefault="00226F79" w:rsidP="00226F79">
      <w:pPr>
        <w:ind w:left="720"/>
        <w:jc w:val="both"/>
        <w:rPr>
          <w:sz w:val="24"/>
          <w:szCs w:val="24"/>
        </w:rPr>
      </w:pPr>
    </w:p>
    <w:p w:rsidR="00226F79" w:rsidRPr="00226F79" w:rsidRDefault="00226F79" w:rsidP="00226F79">
      <w:pPr>
        <w:jc w:val="both"/>
        <w:rPr>
          <w:i/>
          <w:sz w:val="24"/>
          <w:szCs w:val="24"/>
        </w:rPr>
      </w:pPr>
      <w:r w:rsidRPr="00226F79">
        <w:rPr>
          <w:i/>
          <w:sz w:val="24"/>
          <w:szCs w:val="24"/>
        </w:rPr>
        <w:t>Cultural adequacy</w:t>
      </w:r>
    </w:p>
    <w:p w:rsidR="00226F79" w:rsidRPr="00226F79" w:rsidRDefault="00226F79" w:rsidP="000D7C6D">
      <w:pPr>
        <w:pStyle w:val="ListParagraph"/>
        <w:numPr>
          <w:ilvl w:val="0"/>
          <w:numId w:val="2"/>
        </w:numPr>
        <w:jc w:val="both"/>
        <w:rPr>
          <w:sz w:val="24"/>
          <w:szCs w:val="24"/>
        </w:rPr>
      </w:pPr>
      <w:r w:rsidRPr="00226F79">
        <w:rPr>
          <w:sz w:val="24"/>
          <w:szCs w:val="24"/>
        </w:rPr>
        <w:t xml:space="preserve">Discrimination in relation to the recognition of culturally adequate dwellings as housing as well as equal access to public space; </w:t>
      </w:r>
    </w:p>
    <w:p w:rsidR="00226F79" w:rsidRPr="00226F79" w:rsidRDefault="000C7384" w:rsidP="000D7C6D">
      <w:pPr>
        <w:pStyle w:val="ListParagraph"/>
        <w:numPr>
          <w:ilvl w:val="0"/>
          <w:numId w:val="2"/>
        </w:numPr>
        <w:jc w:val="both"/>
        <w:rPr>
          <w:sz w:val="24"/>
          <w:szCs w:val="24"/>
        </w:rPr>
      </w:pPr>
      <w:r>
        <w:rPr>
          <w:sz w:val="24"/>
          <w:szCs w:val="24"/>
        </w:rPr>
        <w:t>P</w:t>
      </w:r>
      <w:r w:rsidR="00226F79" w:rsidRPr="00226F79">
        <w:rPr>
          <w:sz w:val="24"/>
          <w:szCs w:val="24"/>
        </w:rPr>
        <w:t>rohibition of accessing, maintaining or constructing culturally adequate housing;</w:t>
      </w:r>
    </w:p>
    <w:p w:rsidR="00226F79" w:rsidRPr="00226F79" w:rsidRDefault="000C7384" w:rsidP="000D7C6D">
      <w:pPr>
        <w:pStyle w:val="ListParagraph"/>
        <w:numPr>
          <w:ilvl w:val="0"/>
          <w:numId w:val="2"/>
        </w:numPr>
        <w:jc w:val="both"/>
        <w:rPr>
          <w:sz w:val="24"/>
          <w:szCs w:val="24"/>
        </w:rPr>
      </w:pPr>
      <w:r>
        <w:rPr>
          <w:sz w:val="24"/>
          <w:szCs w:val="24"/>
        </w:rPr>
        <w:t>L</w:t>
      </w:r>
      <w:r w:rsidR="00226F79" w:rsidRPr="00226F79">
        <w:rPr>
          <w:sz w:val="24"/>
          <w:szCs w:val="24"/>
        </w:rPr>
        <w:t>ack of recognition of mobile forms of residency.</w:t>
      </w:r>
    </w:p>
    <w:p w:rsidR="00226F79" w:rsidRPr="00226F79" w:rsidRDefault="00226F79" w:rsidP="00226F79">
      <w:pPr>
        <w:pStyle w:val="ListParagraph"/>
        <w:jc w:val="both"/>
        <w:rPr>
          <w:sz w:val="24"/>
          <w:szCs w:val="24"/>
        </w:rPr>
      </w:pPr>
    </w:p>
    <w:p w:rsidR="00226F79" w:rsidRPr="00226F79" w:rsidRDefault="00227829" w:rsidP="00226F79">
      <w:pPr>
        <w:jc w:val="both"/>
        <w:rPr>
          <w:sz w:val="24"/>
          <w:szCs w:val="24"/>
        </w:rPr>
      </w:pPr>
      <w:sdt>
        <w:sdtPr>
          <w:rPr>
            <w:sz w:val="24"/>
            <w:szCs w:val="24"/>
          </w:rPr>
          <w:id w:val="727583382"/>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rsidR="00561625" w:rsidRPr="00226F79" w:rsidRDefault="00561625" w:rsidP="00226F79">
      <w:pPr>
        <w:jc w:val="both"/>
        <w:rPr>
          <w:sz w:val="24"/>
          <w:szCs w:val="24"/>
        </w:rPr>
      </w:pPr>
    </w:p>
    <w:sdt>
      <w:sdtPr>
        <w:rPr>
          <w:sz w:val="24"/>
          <w:szCs w:val="24"/>
        </w:rPr>
        <w:id w:val="-1433501859"/>
      </w:sdtPr>
      <w:sdtEndPr>
        <w:rPr>
          <w:rFonts w:asciiTheme="majorBidi" w:hAnsiTheme="majorBidi" w:cstheme="majorBidi"/>
        </w:rPr>
      </w:sdtEndPr>
      <w:sdtContent>
        <w:sdt>
          <w:sdtPr>
            <w:rPr>
              <w:rFonts w:ascii="Calibri" w:hAnsi="Calibri" w:cs="Calibri"/>
              <w:color w:val="000000"/>
              <w:sz w:val="24"/>
              <w:szCs w:val="24"/>
              <w:lang w:eastAsia="en-GB"/>
            </w:rPr>
            <w:id w:val="1281306272"/>
          </w:sdtPr>
          <w:sdtEndPr>
            <w:rPr>
              <w:rFonts w:asciiTheme="majorBidi" w:hAnsiTheme="majorBidi" w:cstheme="majorBidi"/>
              <w:color w:val="auto"/>
              <w:lang w:eastAsia="en-US"/>
            </w:rPr>
          </w:sdtEndPr>
          <w:sdtContent>
            <w:p w:rsidR="00C83762" w:rsidRPr="000D6999" w:rsidRDefault="00C83762" w:rsidP="00561625">
              <w:pPr>
                <w:pBdr>
                  <w:top w:val="single" w:sz="4" w:space="1" w:color="auto"/>
                  <w:left w:val="single" w:sz="4" w:space="4" w:color="auto"/>
                  <w:bottom w:val="single" w:sz="4" w:space="1" w:color="auto"/>
                  <w:right w:val="single" w:sz="4" w:space="4" w:color="auto"/>
                </w:pBdr>
                <w:autoSpaceDE w:val="0"/>
                <w:autoSpaceDN w:val="0"/>
                <w:adjustRightInd w:val="0"/>
                <w:rPr>
                  <w:rFonts w:asciiTheme="majorBidi" w:hAnsiTheme="majorBidi" w:cstheme="majorBidi"/>
                  <w:sz w:val="24"/>
                  <w:szCs w:val="24"/>
                </w:rPr>
              </w:pPr>
              <w:r w:rsidRPr="00C83762">
                <w:rPr>
                  <w:rFonts w:asciiTheme="majorBidi" w:hAnsiTheme="majorBidi" w:cstheme="majorBidi"/>
                  <w:sz w:val="24"/>
                  <w:szCs w:val="24"/>
                  <w:lang w:eastAsia="en-GB"/>
                </w:rPr>
                <w:t xml:space="preserve">In 2018, the </w:t>
              </w:r>
              <w:r>
                <w:rPr>
                  <w:rFonts w:asciiTheme="majorBidi" w:hAnsiTheme="majorBidi" w:cstheme="majorBidi"/>
                  <w:sz w:val="24"/>
                  <w:szCs w:val="24"/>
                  <w:lang w:eastAsia="en-GB"/>
                </w:rPr>
                <w:t xml:space="preserve">Danish </w:t>
              </w:r>
              <w:r w:rsidRPr="00C83762">
                <w:rPr>
                  <w:rFonts w:asciiTheme="majorBidi" w:hAnsiTheme="majorBidi" w:cstheme="majorBidi"/>
                  <w:sz w:val="24"/>
                  <w:szCs w:val="24"/>
                  <w:lang w:eastAsia="en-GB"/>
                </w:rPr>
                <w:t>government introduced a set of legal amendments referred</w:t>
              </w:r>
              <w:r>
                <w:rPr>
                  <w:rFonts w:asciiTheme="majorBidi" w:hAnsiTheme="majorBidi" w:cstheme="majorBidi"/>
                  <w:sz w:val="24"/>
                  <w:szCs w:val="24"/>
                  <w:lang w:eastAsia="en-GB"/>
                </w:rPr>
                <w:t xml:space="preserve"> </w:t>
              </w:r>
              <w:r w:rsidRPr="00C83762">
                <w:rPr>
                  <w:rFonts w:asciiTheme="majorBidi" w:hAnsiTheme="majorBidi" w:cstheme="majorBidi"/>
                  <w:sz w:val="24"/>
                  <w:szCs w:val="24"/>
                </w:rPr>
                <w:t>to as the “ghetto-plan”, which target</w:t>
              </w:r>
              <w:r>
                <w:rPr>
                  <w:rFonts w:asciiTheme="majorBidi" w:hAnsiTheme="majorBidi" w:cstheme="majorBidi"/>
                  <w:sz w:val="24"/>
                  <w:szCs w:val="24"/>
                </w:rPr>
                <w:t>s</w:t>
              </w:r>
              <w:r w:rsidRPr="00C83762">
                <w:rPr>
                  <w:rFonts w:asciiTheme="majorBidi" w:hAnsiTheme="majorBidi" w:cstheme="majorBidi"/>
                  <w:sz w:val="24"/>
                  <w:szCs w:val="24"/>
                </w:rPr>
                <w:t xml:space="preserve"> social housing areas.</w:t>
              </w:r>
              <w:r>
                <w:rPr>
                  <w:rStyle w:val="FootnoteReference"/>
                  <w:rFonts w:asciiTheme="majorBidi" w:hAnsiTheme="majorBidi"/>
                  <w:sz w:val="24"/>
                  <w:szCs w:val="24"/>
                </w:rPr>
                <w:footnoteReference w:id="1"/>
              </w:r>
              <w:r w:rsidRPr="00C83762">
                <w:rPr>
                  <w:rFonts w:asciiTheme="majorBidi" w:hAnsiTheme="majorBidi" w:cstheme="majorBidi"/>
                  <w:sz w:val="24"/>
                  <w:szCs w:val="24"/>
                </w:rPr>
                <w:t xml:space="preserve"> </w:t>
              </w:r>
            </w:p>
            <w:p w:rsidR="00C83762" w:rsidRPr="000D6999" w:rsidRDefault="00C83762" w:rsidP="00561625">
              <w:pPr>
                <w:pBdr>
                  <w:top w:val="single" w:sz="4" w:space="1" w:color="auto"/>
                  <w:left w:val="single" w:sz="4" w:space="4" w:color="auto"/>
                  <w:bottom w:val="single" w:sz="4" w:space="1" w:color="auto"/>
                  <w:right w:val="single" w:sz="4" w:space="4" w:color="auto"/>
                </w:pBdr>
                <w:autoSpaceDE w:val="0"/>
                <w:autoSpaceDN w:val="0"/>
                <w:adjustRightInd w:val="0"/>
                <w:rPr>
                  <w:rFonts w:asciiTheme="majorBidi" w:hAnsiTheme="majorBidi" w:cstheme="majorBidi"/>
                  <w:sz w:val="24"/>
                  <w:szCs w:val="24"/>
                  <w:lang w:eastAsia="en-GB"/>
                </w:rPr>
              </w:pPr>
            </w:p>
            <w:p w:rsidR="00C83762" w:rsidRPr="00C83762" w:rsidRDefault="00C83762" w:rsidP="00561625">
              <w:pPr>
                <w:pBdr>
                  <w:top w:val="single" w:sz="4" w:space="1" w:color="auto"/>
                  <w:left w:val="single" w:sz="4" w:space="4" w:color="auto"/>
                  <w:bottom w:val="single" w:sz="4" w:space="1" w:color="auto"/>
                  <w:right w:val="single" w:sz="4" w:space="4" w:color="auto"/>
                </w:pBdr>
                <w:autoSpaceDE w:val="0"/>
                <w:autoSpaceDN w:val="0"/>
                <w:adjustRightInd w:val="0"/>
                <w:rPr>
                  <w:rFonts w:asciiTheme="majorBidi" w:hAnsiTheme="majorBidi" w:cstheme="majorBidi"/>
                  <w:sz w:val="24"/>
                  <w:szCs w:val="24"/>
                  <w:lang w:eastAsia="en-GB"/>
                </w:rPr>
              </w:pPr>
              <w:r w:rsidRPr="00C83762">
                <w:rPr>
                  <w:rFonts w:asciiTheme="majorBidi" w:hAnsiTheme="majorBidi" w:cstheme="majorBidi"/>
                  <w:sz w:val="24"/>
                  <w:szCs w:val="24"/>
                  <w:lang w:eastAsia="en-GB"/>
                </w:rPr>
                <w:t>The law differentiate between residential areas categorized as ”vulnerable</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areas” and “ghetto areas”. “Vulnerable areas” are defined as meeting</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two out of four criteria such as the rate of employment, the level of</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income and education among residents and the percentage of residents</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 xml:space="preserve">convicted </w:t>
              </w:r>
              <w:r>
                <w:rPr>
                  <w:rFonts w:asciiTheme="majorBidi" w:hAnsiTheme="majorBidi" w:cstheme="majorBidi"/>
                  <w:sz w:val="24"/>
                  <w:szCs w:val="24"/>
                  <w:lang w:eastAsia="en-GB"/>
                </w:rPr>
                <w:t>of</w:t>
              </w:r>
              <w:r w:rsidRPr="00C83762">
                <w:rPr>
                  <w:rFonts w:asciiTheme="majorBidi" w:hAnsiTheme="majorBidi" w:cstheme="majorBidi"/>
                  <w:sz w:val="24"/>
                  <w:szCs w:val="24"/>
                  <w:lang w:eastAsia="en-GB"/>
                </w:rPr>
                <w:t xml:space="preserve"> a criminal offense.</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“Ghetto areas” are defined by the same characteristics, but with the</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 xml:space="preserve">addition that more than 50 percent of the residents </w:t>
              </w:r>
              <w:r>
                <w:rPr>
                  <w:rFonts w:asciiTheme="majorBidi" w:hAnsiTheme="majorBidi" w:cstheme="majorBidi"/>
                  <w:sz w:val="24"/>
                  <w:szCs w:val="24"/>
                  <w:lang w:eastAsia="en-GB"/>
                </w:rPr>
                <w:t>in</w:t>
              </w:r>
              <w:r w:rsidRPr="00C83762">
                <w:rPr>
                  <w:rFonts w:asciiTheme="majorBidi" w:hAnsiTheme="majorBidi" w:cstheme="majorBidi"/>
                  <w:sz w:val="24"/>
                  <w:szCs w:val="24"/>
                  <w:lang w:eastAsia="en-GB"/>
                </w:rPr>
                <w:t xml:space="preserve"> the area are</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immigrants or descendants of immigrants from a non-Western country.</w:t>
              </w:r>
            </w:p>
            <w:p w:rsidR="00C83762" w:rsidRDefault="00C83762" w:rsidP="00561625">
              <w:pPr>
                <w:pBdr>
                  <w:top w:val="single" w:sz="4" w:space="1" w:color="auto"/>
                  <w:left w:val="single" w:sz="4" w:space="4" w:color="auto"/>
                  <w:bottom w:val="single" w:sz="4" w:space="1" w:color="auto"/>
                  <w:right w:val="single" w:sz="4" w:space="4" w:color="auto"/>
                </w:pBdr>
                <w:autoSpaceDE w:val="0"/>
                <w:autoSpaceDN w:val="0"/>
                <w:adjustRightInd w:val="0"/>
                <w:rPr>
                  <w:rFonts w:asciiTheme="majorBidi" w:hAnsiTheme="majorBidi" w:cstheme="majorBidi"/>
                  <w:sz w:val="24"/>
                  <w:szCs w:val="24"/>
                  <w:lang w:eastAsia="en-GB"/>
                </w:rPr>
              </w:pPr>
              <w:r w:rsidRPr="00C83762">
                <w:rPr>
                  <w:rFonts w:asciiTheme="majorBidi" w:hAnsiTheme="majorBidi" w:cstheme="majorBidi"/>
                  <w:sz w:val="24"/>
                  <w:szCs w:val="24"/>
                  <w:lang w:eastAsia="en-GB"/>
                </w:rPr>
                <w:t>Thus, the requirements aimed at ghetto areas target and affect ethnic</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minorities to a large extent.</w:t>
              </w:r>
            </w:p>
            <w:p w:rsidR="00C83762" w:rsidRPr="00C83762" w:rsidRDefault="00C83762" w:rsidP="00561625">
              <w:pPr>
                <w:pBdr>
                  <w:top w:val="single" w:sz="4" w:space="1" w:color="auto"/>
                  <w:left w:val="single" w:sz="4" w:space="4" w:color="auto"/>
                  <w:bottom w:val="single" w:sz="4" w:space="1" w:color="auto"/>
                  <w:right w:val="single" w:sz="4" w:space="4" w:color="auto"/>
                </w:pBdr>
                <w:autoSpaceDE w:val="0"/>
                <w:autoSpaceDN w:val="0"/>
                <w:adjustRightInd w:val="0"/>
                <w:rPr>
                  <w:rFonts w:asciiTheme="majorBidi" w:hAnsiTheme="majorBidi" w:cstheme="majorBidi"/>
                  <w:sz w:val="24"/>
                  <w:szCs w:val="24"/>
                  <w:lang w:eastAsia="en-GB"/>
                </w:rPr>
              </w:pPr>
            </w:p>
            <w:p w:rsidR="00C83762" w:rsidRPr="00C83762" w:rsidRDefault="00C83762" w:rsidP="00561625">
              <w:pPr>
                <w:pBdr>
                  <w:top w:val="single" w:sz="4" w:space="1" w:color="auto"/>
                  <w:left w:val="single" w:sz="4" w:space="4" w:color="auto"/>
                  <w:bottom w:val="single" w:sz="4" w:space="1" w:color="auto"/>
                  <w:right w:val="single" w:sz="4" w:space="4" w:color="auto"/>
                </w:pBdr>
                <w:autoSpaceDE w:val="0"/>
                <w:autoSpaceDN w:val="0"/>
                <w:adjustRightInd w:val="0"/>
                <w:rPr>
                  <w:rFonts w:asciiTheme="majorBidi" w:hAnsiTheme="majorBidi" w:cstheme="majorBidi"/>
                  <w:sz w:val="24"/>
                  <w:szCs w:val="24"/>
                  <w:lang w:eastAsia="en-GB"/>
                </w:rPr>
              </w:pPr>
              <w:r w:rsidRPr="00C83762">
                <w:rPr>
                  <w:rFonts w:asciiTheme="majorBidi" w:hAnsiTheme="majorBidi" w:cstheme="majorBidi"/>
                  <w:sz w:val="24"/>
                  <w:szCs w:val="24"/>
                  <w:lang w:eastAsia="en-GB"/>
                </w:rPr>
                <w:t>There is a requirement that the social housing associations in ghetto</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areas reduce the number of so-called ordinary family housing to a</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maximum of 40 percent by 2030 if a housing area has been categorized</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as a ghetto area for four years or more. The requirement has resulted in</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several terminations of leases of tenants to meet the requirement. In</w:t>
              </w:r>
            </w:p>
            <w:p w:rsidR="00C83762" w:rsidRPr="00C83762" w:rsidRDefault="00C83762" w:rsidP="00561625">
              <w:pPr>
                <w:pBdr>
                  <w:top w:val="single" w:sz="4" w:space="1" w:color="auto"/>
                  <w:left w:val="single" w:sz="4" w:space="4" w:color="auto"/>
                  <w:bottom w:val="single" w:sz="4" w:space="1" w:color="auto"/>
                  <w:right w:val="single" w:sz="4" w:space="4" w:color="auto"/>
                </w:pBdr>
                <w:autoSpaceDE w:val="0"/>
                <w:autoSpaceDN w:val="0"/>
                <w:adjustRightInd w:val="0"/>
                <w:rPr>
                  <w:rFonts w:asciiTheme="majorBidi" w:hAnsiTheme="majorBidi" w:cstheme="majorBidi"/>
                  <w:sz w:val="24"/>
                  <w:szCs w:val="24"/>
                  <w:lang w:eastAsia="en-GB"/>
                </w:rPr>
              </w:pPr>
              <w:r w:rsidRPr="00C83762">
                <w:rPr>
                  <w:rFonts w:asciiTheme="majorBidi" w:hAnsiTheme="majorBidi" w:cstheme="majorBidi"/>
                  <w:sz w:val="24"/>
                  <w:szCs w:val="24"/>
                  <w:lang w:eastAsia="en-GB"/>
                </w:rPr>
                <w:t>addition, some social housing areas have terminated leases of residents</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with non-Western ethnic background to avoid characterisation as a</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ghetto area.</w:t>
              </w:r>
              <w:r w:rsidR="00F60729">
                <w:rPr>
                  <w:rStyle w:val="FootnoteReference"/>
                  <w:rFonts w:asciiTheme="majorBidi" w:hAnsiTheme="majorBidi"/>
                  <w:sz w:val="24"/>
                  <w:szCs w:val="24"/>
                  <w:lang w:eastAsia="en-GB"/>
                </w:rPr>
                <w:footnoteReference w:id="2"/>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The government’s plan on social housing initiatives has been criticized</w:t>
              </w:r>
              <w:r>
                <w:rPr>
                  <w:rFonts w:asciiTheme="majorBidi" w:hAnsiTheme="majorBidi" w:cstheme="majorBidi"/>
                  <w:sz w:val="24"/>
                  <w:szCs w:val="24"/>
                  <w:lang w:eastAsia="en-GB"/>
                </w:rPr>
                <w:t xml:space="preserve"> f</w:t>
              </w:r>
              <w:r w:rsidRPr="00C83762">
                <w:rPr>
                  <w:rFonts w:asciiTheme="majorBidi" w:hAnsiTheme="majorBidi" w:cstheme="majorBidi"/>
                  <w:sz w:val="24"/>
                  <w:szCs w:val="24"/>
                  <w:lang w:eastAsia="en-GB"/>
                </w:rPr>
                <w:t>or discriminating based on ethnicity and there are</w:t>
              </w:r>
              <w:r w:rsidR="00C40A74">
                <w:rPr>
                  <w:rFonts w:asciiTheme="majorBidi" w:hAnsiTheme="majorBidi" w:cstheme="majorBidi"/>
                  <w:sz w:val="24"/>
                  <w:szCs w:val="24"/>
                  <w:lang w:eastAsia="en-GB"/>
                </w:rPr>
                <w:t xml:space="preserve"> to the Institute’s knowledge</w:t>
              </w:r>
              <w:r w:rsidRPr="00C83762">
                <w:rPr>
                  <w:rFonts w:asciiTheme="majorBidi" w:hAnsiTheme="majorBidi" w:cstheme="majorBidi"/>
                  <w:sz w:val="24"/>
                  <w:szCs w:val="24"/>
                  <w:lang w:eastAsia="en-GB"/>
                </w:rPr>
                <w:t xml:space="preserve"> - at the moment -</w:t>
              </w:r>
              <w:r>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three court cases pending before the Eastern High Court concerning this.</w:t>
              </w:r>
              <w:r w:rsidR="00561625">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According to the Gov</w:t>
              </w:r>
              <w:r w:rsidR="00561625">
                <w:rPr>
                  <w:rFonts w:asciiTheme="majorBidi" w:hAnsiTheme="majorBidi" w:cstheme="majorBidi"/>
                  <w:sz w:val="24"/>
                  <w:szCs w:val="24"/>
                  <w:lang w:eastAsia="en-GB"/>
                </w:rPr>
                <w:t>ernment the non-western tenants-</w:t>
              </w:r>
              <w:r w:rsidRPr="00C83762">
                <w:rPr>
                  <w:rFonts w:asciiTheme="majorBidi" w:hAnsiTheme="majorBidi" w:cstheme="majorBidi"/>
                  <w:sz w:val="24"/>
                  <w:szCs w:val="24"/>
                  <w:lang w:eastAsia="en-GB"/>
                </w:rPr>
                <w:t xml:space="preserve">criterion is added because earlier initiatives targeting the vulnerable areas suggested that a high concentration of non-western tenants is a challenge to the transformation of mono-tenure social housing estates into mixed tenure communities, since it can pose an integrational issue in addition to the socio-economic issues. </w:t>
              </w:r>
            </w:p>
            <w:p w:rsidR="00C83762" w:rsidRPr="00C83762" w:rsidRDefault="00C83762" w:rsidP="00561625">
              <w:pPr>
                <w:pBdr>
                  <w:top w:val="single" w:sz="4" w:space="1" w:color="auto"/>
                  <w:left w:val="single" w:sz="4" w:space="4" w:color="auto"/>
                  <w:bottom w:val="single" w:sz="4" w:space="1" w:color="auto"/>
                  <w:right w:val="single" w:sz="4" w:space="4" w:color="auto"/>
                </w:pBdr>
                <w:autoSpaceDE w:val="0"/>
                <w:autoSpaceDN w:val="0"/>
                <w:adjustRightInd w:val="0"/>
                <w:rPr>
                  <w:rFonts w:asciiTheme="majorBidi" w:hAnsiTheme="majorBidi" w:cstheme="majorBidi"/>
                  <w:sz w:val="24"/>
                  <w:szCs w:val="24"/>
                  <w:lang w:eastAsia="en-GB"/>
                </w:rPr>
              </w:pPr>
            </w:p>
            <w:p w:rsidR="006D0C62" w:rsidRPr="00C83762" w:rsidRDefault="00C83762" w:rsidP="00963F11">
              <w:pPr>
                <w:pBdr>
                  <w:top w:val="single" w:sz="4" w:space="1" w:color="auto"/>
                  <w:left w:val="single" w:sz="4" w:space="4" w:color="auto"/>
                  <w:bottom w:val="single" w:sz="4" w:space="1" w:color="auto"/>
                  <w:right w:val="single" w:sz="4" w:space="4" w:color="auto"/>
                </w:pBdr>
                <w:autoSpaceDE w:val="0"/>
                <w:autoSpaceDN w:val="0"/>
                <w:adjustRightInd w:val="0"/>
                <w:rPr>
                  <w:rFonts w:asciiTheme="majorBidi" w:hAnsiTheme="majorBidi" w:cstheme="majorBidi"/>
                  <w:sz w:val="24"/>
                  <w:szCs w:val="24"/>
                  <w:lang w:eastAsia="en-GB"/>
                </w:rPr>
              </w:pPr>
              <w:r w:rsidRPr="00C83762">
                <w:rPr>
                  <w:rFonts w:asciiTheme="majorBidi" w:hAnsiTheme="majorBidi" w:cstheme="majorBidi"/>
                  <w:sz w:val="24"/>
                  <w:szCs w:val="24"/>
                  <w:lang w:eastAsia="en-GB"/>
                </w:rPr>
                <w:t>It should be noted that the</w:t>
              </w:r>
              <w:r w:rsidR="00963F11">
                <w:rPr>
                  <w:rFonts w:asciiTheme="majorBidi" w:hAnsiTheme="majorBidi" w:cstheme="majorBidi"/>
                  <w:sz w:val="24"/>
                  <w:szCs w:val="24"/>
                  <w:lang w:eastAsia="en-GB"/>
                </w:rPr>
                <w:t xml:space="preserve"> Danish</w:t>
              </w:r>
              <w:r w:rsidRPr="00C83762">
                <w:rPr>
                  <w:rFonts w:asciiTheme="majorBidi" w:hAnsiTheme="majorBidi" w:cstheme="majorBidi"/>
                  <w:sz w:val="24"/>
                  <w:szCs w:val="24"/>
                  <w:lang w:eastAsia="en-GB"/>
                </w:rPr>
                <w:t xml:space="preserve"> government has proposed new political</w:t>
              </w:r>
              <w:r w:rsidR="00561625">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initiatives concerning social housing areas. The government proposes a</w:t>
              </w:r>
              <w:r w:rsidR="00561625">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new termin</w:t>
              </w:r>
              <w:r w:rsidR="00561625">
                <w:rPr>
                  <w:rFonts w:asciiTheme="majorBidi" w:hAnsiTheme="majorBidi" w:cstheme="majorBidi"/>
                  <w:sz w:val="24"/>
                  <w:szCs w:val="24"/>
                  <w:lang w:eastAsia="en-GB"/>
                </w:rPr>
                <w:t>ology removing the term “ghetto”</w:t>
              </w:r>
              <w:r w:rsidRPr="00C83762">
                <w:rPr>
                  <w:rFonts w:asciiTheme="majorBidi" w:hAnsiTheme="majorBidi" w:cstheme="majorBidi"/>
                  <w:sz w:val="24"/>
                  <w:szCs w:val="24"/>
                  <w:lang w:eastAsia="en-GB"/>
                </w:rPr>
                <w:t xml:space="preserve"> from laws and regulation</w:t>
              </w:r>
              <w:r w:rsidR="00561625">
                <w:rPr>
                  <w:rFonts w:asciiTheme="majorBidi" w:hAnsiTheme="majorBidi" w:cstheme="majorBidi"/>
                  <w:sz w:val="24"/>
                  <w:szCs w:val="24"/>
                  <w:lang w:eastAsia="en-GB"/>
                </w:rPr>
                <w:t xml:space="preserve"> and replacing it with the term “parallel societies”</w:t>
              </w:r>
              <w:r w:rsidRPr="00C83762">
                <w:rPr>
                  <w:rFonts w:asciiTheme="majorBidi" w:hAnsiTheme="majorBidi" w:cstheme="majorBidi"/>
                  <w:sz w:val="24"/>
                  <w:szCs w:val="24"/>
                  <w:lang w:eastAsia="en-GB"/>
                </w:rPr>
                <w:t>. Additionally, the</w:t>
              </w:r>
              <w:r w:rsidR="00561625">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government wants to reduce the share of residents that are immigrants</w:t>
              </w:r>
              <w:r w:rsidR="00963F11">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or descendants of immigrants with a non-Western origin in all residential areas</w:t>
              </w:r>
              <w:r w:rsidR="00561625">
                <w:rPr>
                  <w:rFonts w:asciiTheme="majorBidi" w:hAnsiTheme="majorBidi" w:cstheme="majorBidi"/>
                  <w:sz w:val="24"/>
                  <w:szCs w:val="24"/>
                  <w:lang w:eastAsia="en-GB"/>
                </w:rPr>
                <w:t xml:space="preserve"> in Denmark</w:t>
              </w:r>
              <w:r w:rsidRPr="00C83762">
                <w:rPr>
                  <w:rFonts w:asciiTheme="majorBidi" w:hAnsiTheme="majorBidi" w:cstheme="majorBidi"/>
                  <w:sz w:val="24"/>
                  <w:szCs w:val="24"/>
                  <w:lang w:eastAsia="en-GB"/>
                </w:rPr>
                <w:t>, so that in 10 years they will not exceed 30 percent of</w:t>
              </w:r>
              <w:r w:rsidR="00561625">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the total number of residents. The aim is to foster mixed housing areas</w:t>
              </w:r>
              <w:r w:rsidR="00561625">
                <w:rPr>
                  <w:rFonts w:asciiTheme="majorBidi" w:hAnsiTheme="majorBidi" w:cstheme="majorBidi"/>
                  <w:sz w:val="24"/>
                  <w:szCs w:val="24"/>
                  <w:lang w:eastAsia="en-GB"/>
                </w:rPr>
                <w:t xml:space="preserve"> </w:t>
              </w:r>
              <w:r w:rsidRPr="00C83762">
                <w:rPr>
                  <w:rFonts w:asciiTheme="majorBidi" w:hAnsiTheme="majorBidi" w:cstheme="majorBidi"/>
                  <w:sz w:val="24"/>
                  <w:szCs w:val="24"/>
                  <w:lang w:eastAsia="en-GB"/>
                </w:rPr>
                <w:t>when it comes to the residents.</w:t>
              </w:r>
              <w:r w:rsidR="00561625">
                <w:rPr>
                  <w:rStyle w:val="FootnoteReference"/>
                  <w:rFonts w:asciiTheme="majorBidi" w:hAnsiTheme="majorBidi"/>
                  <w:sz w:val="24"/>
                  <w:szCs w:val="24"/>
                  <w:lang w:eastAsia="en-GB"/>
                </w:rPr>
                <w:footnoteReference w:id="3"/>
              </w:r>
              <w:r w:rsidRPr="00C83762">
                <w:rPr>
                  <w:rFonts w:asciiTheme="majorBidi" w:hAnsiTheme="majorBidi" w:cstheme="majorBidi"/>
                  <w:sz w:val="24"/>
                  <w:szCs w:val="24"/>
                  <w:lang w:eastAsia="en-GB"/>
                </w:rPr>
                <w:t xml:space="preserve"> </w:t>
              </w:r>
            </w:p>
          </w:sdtContent>
        </w:sdt>
      </w:sdtContent>
    </w:sdt>
    <w:p w:rsidR="006D0C62" w:rsidRPr="00226F79" w:rsidRDefault="006D0C62" w:rsidP="00226F79">
      <w:pPr>
        <w:jc w:val="both"/>
        <w:rPr>
          <w:sz w:val="24"/>
          <w:szCs w:val="24"/>
        </w:rPr>
      </w:pPr>
    </w:p>
    <w:p w:rsidR="00226F79" w:rsidRDefault="003A314E" w:rsidP="00226F79">
      <w:pPr>
        <w:jc w:val="both"/>
        <w:rPr>
          <w:sz w:val="24"/>
          <w:szCs w:val="24"/>
        </w:rPr>
      </w:pPr>
      <w:r>
        <w:rPr>
          <w:sz w:val="24"/>
          <w:szCs w:val="24"/>
        </w:rPr>
        <w:lastRenderedPageBreak/>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rsidR="005E389A" w:rsidRPr="00226F79" w:rsidRDefault="005E389A" w:rsidP="00226F79">
      <w:pPr>
        <w:jc w:val="both"/>
        <w:rPr>
          <w:sz w:val="24"/>
          <w:szCs w:val="24"/>
        </w:rPr>
      </w:pPr>
    </w:p>
    <w:sdt>
      <w:sdtPr>
        <w:rPr>
          <w:sz w:val="24"/>
          <w:szCs w:val="24"/>
        </w:rPr>
        <w:id w:val="785089057"/>
      </w:sdtPr>
      <w:sdtEndPr/>
      <w:sdtContent>
        <w:p w:rsidR="00963F11" w:rsidRDefault="00963F11" w:rsidP="005E389A">
          <w:pPr>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The Act on Social Housing allows municipalities and social housing </w:t>
          </w:r>
          <w:r w:rsidR="005E389A">
            <w:rPr>
              <w:sz w:val="24"/>
              <w:szCs w:val="24"/>
            </w:rPr>
            <w:t>associations</w:t>
          </w:r>
          <w:r w:rsidR="006713BF">
            <w:rPr>
              <w:sz w:val="24"/>
              <w:szCs w:val="24"/>
            </w:rPr>
            <w:t xml:space="preserve"> to enter into agreements</w:t>
          </w:r>
          <w:r>
            <w:rPr>
              <w:sz w:val="24"/>
              <w:szCs w:val="24"/>
            </w:rPr>
            <w:t xml:space="preserve"> </w:t>
          </w:r>
          <w:r w:rsidR="006713BF">
            <w:rPr>
              <w:sz w:val="24"/>
              <w:szCs w:val="24"/>
            </w:rPr>
            <w:t>and</w:t>
          </w:r>
          <w:r>
            <w:rPr>
              <w:sz w:val="24"/>
              <w:szCs w:val="24"/>
            </w:rPr>
            <w:t xml:space="preserve"> give members of certain groups prior claim to the waiting list for vacant social housing</w:t>
          </w:r>
          <w:r w:rsidR="004D0CBB">
            <w:rPr>
              <w:sz w:val="24"/>
              <w:szCs w:val="24"/>
            </w:rPr>
            <w:t xml:space="preserve"> (called “flexible rental”)</w:t>
          </w:r>
          <w:r>
            <w:rPr>
              <w:sz w:val="24"/>
              <w:szCs w:val="24"/>
            </w:rPr>
            <w:t>.</w:t>
          </w:r>
          <w:r w:rsidR="006713BF">
            <w:rPr>
              <w:rStyle w:val="FootnoteReference"/>
              <w:sz w:val="24"/>
              <w:szCs w:val="24"/>
            </w:rPr>
            <w:footnoteReference w:id="4"/>
          </w:r>
          <w:r w:rsidR="004D0CBB">
            <w:rPr>
              <w:sz w:val="24"/>
              <w:szCs w:val="24"/>
            </w:rPr>
            <w:t xml:space="preserve"> Flexible rental can be used to ensure a more varied composition of residents in a residential area or to accommodate certain groups of housing seekers as elderly or young people, families with children and commuters. </w:t>
          </w:r>
        </w:p>
        <w:p w:rsidR="005E389A" w:rsidRDefault="005E389A" w:rsidP="005E389A">
          <w:pPr>
            <w:pBdr>
              <w:top w:val="single" w:sz="4" w:space="1" w:color="auto"/>
              <w:left w:val="single" w:sz="4" w:space="4" w:color="auto"/>
              <w:bottom w:val="single" w:sz="4" w:space="1" w:color="auto"/>
              <w:right w:val="single" w:sz="4" w:space="4" w:color="auto"/>
            </w:pBdr>
            <w:jc w:val="both"/>
            <w:rPr>
              <w:sz w:val="24"/>
              <w:szCs w:val="24"/>
            </w:rPr>
          </w:pPr>
        </w:p>
        <w:p w:rsidR="00BD77FE" w:rsidRDefault="00BD77FE" w:rsidP="00BD77FE">
          <w:pPr>
            <w:pBdr>
              <w:top w:val="single" w:sz="4" w:space="1" w:color="auto"/>
              <w:left w:val="single" w:sz="4" w:space="4" w:color="auto"/>
              <w:bottom w:val="single" w:sz="4" w:space="1" w:color="auto"/>
              <w:right w:val="single" w:sz="4" w:space="4" w:color="auto"/>
            </w:pBdr>
            <w:jc w:val="both"/>
            <w:rPr>
              <w:sz w:val="24"/>
              <w:szCs w:val="24"/>
            </w:rPr>
          </w:pPr>
          <w:r>
            <w:rPr>
              <w:sz w:val="24"/>
              <w:szCs w:val="24"/>
            </w:rPr>
            <w:t>However, municipalities must not assign social housing</w:t>
          </w:r>
          <w:r w:rsidR="00435406">
            <w:rPr>
              <w:sz w:val="24"/>
              <w:szCs w:val="24"/>
            </w:rPr>
            <w:t xml:space="preserve"> in a ghetto area</w:t>
          </w:r>
          <w:r>
            <w:rPr>
              <w:sz w:val="24"/>
              <w:szCs w:val="24"/>
            </w:rPr>
            <w:t xml:space="preserve"> to </w:t>
          </w:r>
          <w:r>
            <w:rPr>
              <w:rFonts w:asciiTheme="majorBidi" w:hAnsiTheme="majorBidi" w:cstheme="majorBidi"/>
              <w:sz w:val="24"/>
              <w:szCs w:val="24"/>
              <w:lang w:eastAsia="en-GB"/>
            </w:rPr>
            <w:t>persons who are receiving certain social benefits, recently released or non-nationals of Switzerland, the European Union or the European Economic Area</w:t>
          </w:r>
          <w:r w:rsidR="00435406">
            <w:rPr>
              <w:rFonts w:asciiTheme="majorBidi" w:hAnsiTheme="majorBidi" w:cstheme="majorBidi"/>
              <w:sz w:val="24"/>
              <w:szCs w:val="24"/>
              <w:lang w:eastAsia="en-GB"/>
            </w:rPr>
            <w:t>, unless it is impossible to assign the person to another social housing area.</w:t>
          </w:r>
          <w:r w:rsidR="00435406">
            <w:rPr>
              <w:rStyle w:val="FootnoteReference"/>
              <w:rFonts w:asciiTheme="majorBidi" w:hAnsiTheme="majorBidi"/>
              <w:sz w:val="24"/>
              <w:szCs w:val="24"/>
              <w:lang w:eastAsia="en-GB"/>
            </w:rPr>
            <w:footnoteReference w:id="5"/>
          </w:r>
        </w:p>
        <w:p w:rsidR="00BD77FE" w:rsidRDefault="00BD77FE" w:rsidP="005E389A">
          <w:pPr>
            <w:pBdr>
              <w:top w:val="single" w:sz="4" w:space="1" w:color="auto"/>
              <w:left w:val="single" w:sz="4" w:space="4" w:color="auto"/>
              <w:bottom w:val="single" w:sz="4" w:space="1" w:color="auto"/>
              <w:right w:val="single" w:sz="4" w:space="4" w:color="auto"/>
            </w:pBdr>
            <w:jc w:val="both"/>
            <w:rPr>
              <w:sz w:val="24"/>
              <w:szCs w:val="24"/>
            </w:rPr>
          </w:pPr>
        </w:p>
        <w:p w:rsidR="009A1975" w:rsidRDefault="00BD77FE" w:rsidP="00BD77FE">
          <w:pPr>
            <w:pBdr>
              <w:top w:val="single" w:sz="4" w:space="1" w:color="auto"/>
              <w:left w:val="single" w:sz="4" w:space="4" w:color="auto"/>
              <w:bottom w:val="single" w:sz="4" w:space="1" w:color="auto"/>
              <w:right w:val="single" w:sz="4" w:space="4" w:color="auto"/>
            </w:pBdr>
            <w:jc w:val="both"/>
            <w:rPr>
              <w:rFonts w:asciiTheme="majorBidi" w:hAnsiTheme="majorBidi" w:cstheme="majorBidi"/>
              <w:sz w:val="24"/>
              <w:szCs w:val="24"/>
              <w:lang w:eastAsia="en-GB"/>
            </w:rPr>
          </w:pPr>
          <w:r>
            <w:rPr>
              <w:sz w:val="24"/>
              <w:szCs w:val="24"/>
            </w:rPr>
            <w:t>As</w:t>
          </w:r>
          <w:r w:rsidR="005E389A">
            <w:rPr>
              <w:rFonts w:asciiTheme="majorBidi" w:hAnsiTheme="majorBidi" w:cstheme="majorBidi"/>
              <w:sz w:val="24"/>
              <w:szCs w:val="24"/>
              <w:lang w:eastAsia="en-GB"/>
            </w:rPr>
            <w:t xml:space="preserve"> part of the “ghetto-plan” housing associations are </w:t>
          </w:r>
          <w:r w:rsidR="00435406">
            <w:rPr>
              <w:rFonts w:asciiTheme="majorBidi" w:hAnsiTheme="majorBidi" w:cstheme="majorBidi"/>
              <w:sz w:val="24"/>
              <w:szCs w:val="24"/>
              <w:lang w:eastAsia="en-GB"/>
            </w:rPr>
            <w:t xml:space="preserve">now also </w:t>
          </w:r>
          <w:r w:rsidR="005E389A">
            <w:rPr>
              <w:rFonts w:asciiTheme="majorBidi" w:hAnsiTheme="majorBidi" w:cstheme="majorBidi"/>
              <w:sz w:val="24"/>
              <w:szCs w:val="24"/>
              <w:lang w:eastAsia="en-GB"/>
            </w:rPr>
            <w:t xml:space="preserve">required to reject assigning </w:t>
          </w:r>
          <w:r>
            <w:rPr>
              <w:rFonts w:asciiTheme="majorBidi" w:hAnsiTheme="majorBidi" w:cstheme="majorBidi"/>
              <w:sz w:val="24"/>
              <w:szCs w:val="24"/>
              <w:lang w:eastAsia="en-GB"/>
            </w:rPr>
            <w:t xml:space="preserve">rental </w:t>
          </w:r>
          <w:r w:rsidR="005E389A">
            <w:rPr>
              <w:rFonts w:asciiTheme="majorBidi" w:hAnsiTheme="majorBidi" w:cstheme="majorBidi"/>
              <w:sz w:val="24"/>
              <w:szCs w:val="24"/>
              <w:lang w:eastAsia="en-GB"/>
            </w:rPr>
            <w:t xml:space="preserve">homes located in an area that has been categorized as a ghetto area for the last 4 years to </w:t>
          </w:r>
          <w:r>
            <w:rPr>
              <w:rFonts w:asciiTheme="majorBidi" w:hAnsiTheme="majorBidi" w:cstheme="majorBidi"/>
              <w:sz w:val="24"/>
              <w:szCs w:val="24"/>
              <w:lang w:eastAsia="en-GB"/>
            </w:rPr>
            <w:t xml:space="preserve">a person, when he/she and his/her spouse or </w:t>
          </w:r>
          <w:r w:rsidR="00154A30">
            <w:rPr>
              <w:rFonts w:asciiTheme="majorBidi" w:hAnsiTheme="majorBidi" w:cstheme="majorBidi"/>
              <w:sz w:val="24"/>
              <w:szCs w:val="24"/>
              <w:lang w:eastAsia="en-GB"/>
            </w:rPr>
            <w:t>long-term</w:t>
          </w:r>
          <w:r>
            <w:rPr>
              <w:rFonts w:asciiTheme="majorBidi" w:hAnsiTheme="majorBidi" w:cstheme="majorBidi"/>
              <w:sz w:val="24"/>
              <w:szCs w:val="24"/>
              <w:lang w:eastAsia="en-GB"/>
            </w:rPr>
            <w:t xml:space="preserve"> partner </w:t>
          </w:r>
          <w:r w:rsidR="005E389A">
            <w:rPr>
              <w:rFonts w:asciiTheme="majorBidi" w:hAnsiTheme="majorBidi" w:cstheme="majorBidi"/>
              <w:sz w:val="24"/>
              <w:szCs w:val="24"/>
              <w:lang w:eastAsia="en-GB"/>
            </w:rPr>
            <w:t xml:space="preserve">are receiving </w:t>
          </w:r>
          <w:r w:rsidR="0062458A">
            <w:rPr>
              <w:rFonts w:asciiTheme="majorBidi" w:hAnsiTheme="majorBidi" w:cstheme="majorBidi"/>
              <w:sz w:val="24"/>
              <w:szCs w:val="24"/>
              <w:lang w:eastAsia="en-GB"/>
            </w:rPr>
            <w:t xml:space="preserve">certain </w:t>
          </w:r>
          <w:r>
            <w:rPr>
              <w:rFonts w:asciiTheme="majorBidi" w:hAnsiTheme="majorBidi" w:cstheme="majorBidi"/>
              <w:sz w:val="24"/>
              <w:szCs w:val="24"/>
              <w:lang w:eastAsia="en-GB"/>
            </w:rPr>
            <w:t>integration benefits</w:t>
          </w:r>
          <w:r w:rsidR="0062458A">
            <w:rPr>
              <w:rStyle w:val="FootnoteReference"/>
              <w:rFonts w:asciiTheme="majorBidi" w:hAnsiTheme="majorBidi"/>
              <w:sz w:val="24"/>
              <w:szCs w:val="24"/>
              <w:lang w:eastAsia="en-GB"/>
            </w:rPr>
            <w:footnoteReference w:id="6"/>
          </w:r>
          <w:r>
            <w:rPr>
              <w:rFonts w:asciiTheme="majorBidi" w:hAnsiTheme="majorBidi" w:cstheme="majorBidi"/>
              <w:sz w:val="24"/>
              <w:szCs w:val="24"/>
              <w:lang w:eastAsia="en-GB"/>
            </w:rPr>
            <w:t>, educational benefits or cash benefits.</w:t>
          </w:r>
          <w:r w:rsidR="00435406">
            <w:rPr>
              <w:rStyle w:val="FootnoteReference"/>
              <w:rFonts w:asciiTheme="majorBidi" w:hAnsiTheme="majorBidi"/>
              <w:sz w:val="24"/>
              <w:szCs w:val="24"/>
              <w:lang w:eastAsia="en-GB"/>
            </w:rPr>
            <w:footnoteReference w:id="7"/>
          </w:r>
          <w:r w:rsidR="0062458A">
            <w:rPr>
              <w:rFonts w:asciiTheme="majorBidi" w:hAnsiTheme="majorBidi" w:cstheme="majorBidi"/>
              <w:sz w:val="24"/>
              <w:szCs w:val="24"/>
              <w:lang w:eastAsia="en-GB"/>
            </w:rPr>
            <w:t xml:space="preserve"> </w:t>
          </w:r>
        </w:p>
        <w:p w:rsidR="009A1975" w:rsidRDefault="009A1975" w:rsidP="00BD77FE">
          <w:pPr>
            <w:pBdr>
              <w:top w:val="single" w:sz="4" w:space="1" w:color="auto"/>
              <w:left w:val="single" w:sz="4" w:space="4" w:color="auto"/>
              <w:bottom w:val="single" w:sz="4" w:space="1" w:color="auto"/>
              <w:right w:val="single" w:sz="4" w:space="4" w:color="auto"/>
            </w:pBdr>
            <w:jc w:val="both"/>
            <w:rPr>
              <w:rFonts w:asciiTheme="majorBidi" w:hAnsiTheme="majorBidi" w:cstheme="majorBidi"/>
              <w:sz w:val="24"/>
              <w:szCs w:val="24"/>
              <w:lang w:eastAsia="en-GB"/>
            </w:rPr>
          </w:pPr>
        </w:p>
        <w:p w:rsidR="00226F79" w:rsidRPr="0086720E" w:rsidRDefault="00BD77FE" w:rsidP="0086720E">
          <w:pPr>
            <w:pBdr>
              <w:top w:val="single" w:sz="4" w:space="1" w:color="auto"/>
              <w:left w:val="single" w:sz="4" w:space="4" w:color="auto"/>
              <w:bottom w:val="single" w:sz="4" w:space="1" w:color="auto"/>
              <w:right w:val="single" w:sz="4" w:space="4" w:color="auto"/>
            </w:pBdr>
            <w:jc w:val="both"/>
            <w:rPr>
              <w:rFonts w:asciiTheme="majorBidi" w:hAnsiTheme="majorBidi" w:cstheme="majorBidi"/>
              <w:sz w:val="24"/>
              <w:szCs w:val="24"/>
              <w:lang w:eastAsia="en-GB"/>
            </w:rPr>
          </w:pPr>
          <w:r>
            <w:rPr>
              <w:rFonts w:asciiTheme="majorBidi" w:hAnsiTheme="majorBidi" w:cstheme="majorBidi"/>
              <w:sz w:val="24"/>
              <w:szCs w:val="24"/>
              <w:lang w:eastAsia="en-GB"/>
            </w:rPr>
            <w:t xml:space="preserve">In March 2021 the government </w:t>
          </w:r>
          <w:r w:rsidRPr="00C83762">
            <w:rPr>
              <w:rFonts w:asciiTheme="majorBidi" w:hAnsiTheme="majorBidi" w:cstheme="majorBidi"/>
              <w:sz w:val="24"/>
              <w:szCs w:val="24"/>
              <w:lang w:eastAsia="en-GB"/>
            </w:rPr>
            <w:t>has proposed</w:t>
          </w:r>
          <w:r>
            <w:rPr>
              <w:rFonts w:asciiTheme="majorBidi" w:hAnsiTheme="majorBidi" w:cstheme="majorBidi"/>
              <w:sz w:val="24"/>
              <w:szCs w:val="24"/>
              <w:lang w:eastAsia="en-GB"/>
            </w:rPr>
            <w:t xml:space="preserve"> expanding these rules to also include sub-rentals and housing exchanges</w:t>
          </w:r>
          <w:r w:rsidR="00154A30">
            <w:rPr>
              <w:rFonts w:asciiTheme="majorBidi" w:hAnsiTheme="majorBidi" w:cstheme="majorBidi"/>
              <w:sz w:val="24"/>
              <w:szCs w:val="24"/>
              <w:lang w:eastAsia="en-GB"/>
            </w:rPr>
            <w:t xml:space="preserve"> in social housing areas</w:t>
          </w:r>
          <w:r>
            <w:rPr>
              <w:rFonts w:asciiTheme="majorBidi" w:hAnsiTheme="majorBidi" w:cstheme="majorBidi"/>
              <w:sz w:val="24"/>
              <w:szCs w:val="24"/>
              <w:lang w:eastAsia="en-GB"/>
            </w:rPr>
            <w:t>.</w:t>
          </w:r>
          <w:r w:rsidR="00435406">
            <w:rPr>
              <w:rStyle w:val="FootnoteReference"/>
              <w:rFonts w:asciiTheme="majorBidi" w:hAnsiTheme="majorBidi"/>
              <w:sz w:val="24"/>
              <w:szCs w:val="24"/>
              <w:lang w:eastAsia="en-GB"/>
            </w:rPr>
            <w:footnoteReference w:id="8"/>
          </w:r>
          <w:r>
            <w:rPr>
              <w:rFonts w:asciiTheme="majorBidi" w:hAnsiTheme="majorBidi" w:cstheme="majorBidi"/>
              <w:sz w:val="24"/>
              <w:szCs w:val="24"/>
              <w:lang w:eastAsia="en-GB"/>
            </w:rPr>
            <w:t xml:space="preserve"> </w:t>
          </w:r>
        </w:p>
      </w:sdtContent>
    </w:sdt>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226F79" w:rsidRPr="00226F79" w:rsidRDefault="00227829" w:rsidP="00A2101F">
      <w:pPr>
        <w:jc w:val="both"/>
        <w:rPr>
          <w:sz w:val="24"/>
          <w:szCs w:val="24"/>
        </w:rPr>
      </w:pPr>
      <w:sdt>
        <w:sdtPr>
          <w:rPr>
            <w:sz w:val="24"/>
            <w:szCs w:val="24"/>
          </w:rPr>
          <w:id w:val="2106150593"/>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lastRenderedPageBreak/>
        <w:t xml:space="preserve">12. What forms of spatial segregation along racial, caste, ethnicity, religion, nationality, migration status, heritage, economic status/income or other social grounds can be observed in urban and urban-rural contexts in your country? </w:t>
      </w:r>
    </w:p>
    <w:p w:rsidR="00226F79" w:rsidRPr="00226F79" w:rsidRDefault="00227829" w:rsidP="00226F79">
      <w:pPr>
        <w:jc w:val="both"/>
        <w:rPr>
          <w:strike/>
          <w:sz w:val="24"/>
          <w:szCs w:val="24"/>
        </w:rPr>
      </w:pPr>
      <w:sdt>
        <w:sdtPr>
          <w:rPr>
            <w:sz w:val="24"/>
            <w:szCs w:val="24"/>
          </w:rPr>
          <w:id w:val="671691551"/>
        </w:sdtPr>
        <w:sdtEndPr/>
        <w:sdtContent>
          <w:sdt>
            <w:sdtPr>
              <w:rPr>
                <w:sz w:val="24"/>
                <w:szCs w:val="24"/>
              </w:rPr>
              <w:id w:val="181651830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rsidR="006D0C62" w:rsidRDefault="00227829" w:rsidP="006D0C62">
      <w:pPr>
        <w:jc w:val="both"/>
        <w:rPr>
          <w:sz w:val="24"/>
          <w:szCs w:val="24"/>
        </w:rPr>
      </w:pPr>
      <w:sdt>
        <w:sdtPr>
          <w:rPr>
            <w:sz w:val="24"/>
            <w:szCs w:val="24"/>
          </w:rPr>
          <w:id w:val="1043406738"/>
          <w:showingPlcHdr/>
        </w:sdtPr>
        <w:sdtEndPr/>
        <w:sdtContent>
          <w:r w:rsidR="006D0C62">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rsidR="00226F79" w:rsidRPr="00226F79" w:rsidRDefault="00227829"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rsidR="00226F79" w:rsidRPr="00226F79" w:rsidRDefault="00227829"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rsidR="00226F79" w:rsidRPr="00226F79" w:rsidRDefault="00227829"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6D0C62" w:rsidRPr="00226F79" w:rsidRDefault="00227829"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rsid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rsidR="00226F79" w:rsidRPr="00226F79" w:rsidRDefault="00227829"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226F79" w:rsidRPr="00226F79" w:rsidRDefault="00227829"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rsidR="00226F79" w:rsidRPr="00226F79" w:rsidRDefault="00227829"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lastRenderedPageBreak/>
        <w:t>MEASURES AND GOOD PRACTICES TO CURB DISCRIMINATION AND REDUCE SEGREGATION</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rsidR="00226F79" w:rsidRPr="00C83762" w:rsidRDefault="00226F79" w:rsidP="00C83762">
      <w:pPr>
        <w:autoSpaceDE w:val="0"/>
        <w:autoSpaceDN w:val="0"/>
        <w:adjustRightInd w:val="0"/>
        <w:rPr>
          <w:color w:val="FF0000"/>
          <w:sz w:val="24"/>
          <w:szCs w:val="24"/>
        </w:rPr>
      </w:pPr>
    </w:p>
    <w:p w:rsidR="0086720E" w:rsidRPr="0086720E" w:rsidRDefault="0086720E" w:rsidP="0086720E">
      <w:pPr>
        <w:pBdr>
          <w:top w:val="single" w:sz="4" w:space="1" w:color="auto"/>
          <w:left w:val="single" w:sz="4" w:space="4" w:color="auto"/>
          <w:bottom w:val="single" w:sz="4" w:space="1" w:color="auto"/>
          <w:right w:val="single" w:sz="4" w:space="4" w:color="auto"/>
        </w:pBdr>
        <w:jc w:val="both"/>
        <w:rPr>
          <w:rFonts w:asciiTheme="majorBidi" w:hAnsiTheme="majorBidi" w:cstheme="majorBidi"/>
          <w:sz w:val="24"/>
          <w:szCs w:val="24"/>
          <w:lang w:eastAsia="en-GB"/>
        </w:rPr>
      </w:pPr>
      <w:r>
        <w:rPr>
          <w:sz w:val="24"/>
          <w:szCs w:val="24"/>
        </w:rPr>
        <w:t>The Act on Ethnic Equal Treatment is a civil law prohibiting direct and indirect discrimination regarding access to housing.</w:t>
      </w:r>
      <w:r>
        <w:rPr>
          <w:rStyle w:val="FootnoteReference"/>
          <w:sz w:val="24"/>
          <w:szCs w:val="24"/>
        </w:rPr>
        <w:footnoteReference w:id="9"/>
      </w:r>
      <w:r w:rsidR="006A1778">
        <w:rPr>
          <w:sz w:val="24"/>
          <w:szCs w:val="24"/>
        </w:rPr>
        <w:t xml:space="preserve"> </w:t>
      </w:r>
      <w:r w:rsidR="00DB04B3">
        <w:rPr>
          <w:sz w:val="24"/>
          <w:szCs w:val="24"/>
        </w:rPr>
        <w:t xml:space="preserve">The Act on </w:t>
      </w:r>
      <w:r w:rsidR="00DB04B3">
        <w:t>prohibition against</w:t>
      </w:r>
      <w:r w:rsidR="00DB04B3">
        <w:rPr>
          <w:sz w:val="24"/>
          <w:szCs w:val="24"/>
        </w:rPr>
        <w:t xml:space="preserve"> discrimination on grounds of disability</w:t>
      </w:r>
      <w:r w:rsidR="00DB04B3">
        <w:rPr>
          <w:rStyle w:val="FootnoteReference"/>
          <w:sz w:val="24"/>
          <w:szCs w:val="24"/>
        </w:rPr>
        <w:footnoteReference w:id="10"/>
      </w:r>
      <w:r w:rsidR="00DB04B3">
        <w:rPr>
          <w:sz w:val="24"/>
          <w:szCs w:val="24"/>
        </w:rPr>
        <w:t xml:space="preserve"> and the Act on Equal opportunities</w:t>
      </w:r>
      <w:r w:rsidR="00DB04B3">
        <w:rPr>
          <w:rStyle w:val="FootnoteReference"/>
          <w:sz w:val="24"/>
          <w:szCs w:val="24"/>
        </w:rPr>
        <w:footnoteReference w:id="11"/>
      </w:r>
      <w:r w:rsidR="00DB04B3">
        <w:rPr>
          <w:sz w:val="24"/>
          <w:szCs w:val="24"/>
        </w:rPr>
        <w:t xml:space="preserve"> between women and men prohibits direct and indirect all discrimination based on disability or gender, including in relation to access to housing. </w:t>
      </w:r>
    </w:p>
    <w:p w:rsidR="0086720E" w:rsidRPr="0086720E" w:rsidRDefault="0086720E" w:rsidP="00226F79">
      <w:pPr>
        <w:jc w:val="both"/>
        <w:rPr>
          <w:sz w:val="24"/>
          <w:szCs w:val="24"/>
        </w:rPr>
      </w:pPr>
    </w:p>
    <w:p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rsidR="00226F79" w:rsidRPr="00226F79" w:rsidRDefault="00227829" w:rsidP="00226F79">
      <w:pPr>
        <w:jc w:val="both"/>
        <w:rPr>
          <w:sz w:val="24"/>
          <w:szCs w:val="24"/>
        </w:rPr>
      </w:pPr>
      <w:sdt>
        <w:sdtPr>
          <w:rPr>
            <w:sz w:val="24"/>
            <w:szCs w:val="24"/>
          </w:rPr>
          <w:id w:val="1503775671"/>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rsidR="003A3FA5" w:rsidRDefault="003A3FA5" w:rsidP="00226F79">
      <w:pPr>
        <w:jc w:val="both"/>
        <w:rPr>
          <w:sz w:val="24"/>
          <w:szCs w:val="24"/>
        </w:rPr>
      </w:pPr>
    </w:p>
    <w:p w:rsidR="003A3FA5" w:rsidRPr="0086720E" w:rsidRDefault="003A3FA5" w:rsidP="003A3FA5">
      <w:pPr>
        <w:pBdr>
          <w:top w:val="single" w:sz="4" w:space="1" w:color="auto"/>
          <w:left w:val="single" w:sz="4" w:space="4" w:color="auto"/>
          <w:bottom w:val="single" w:sz="4" w:space="1" w:color="auto"/>
          <w:right w:val="single" w:sz="4" w:space="4" w:color="auto"/>
        </w:pBdr>
        <w:jc w:val="both"/>
        <w:rPr>
          <w:rFonts w:asciiTheme="majorBidi" w:hAnsiTheme="majorBidi" w:cstheme="majorBidi"/>
          <w:sz w:val="24"/>
          <w:szCs w:val="24"/>
          <w:lang w:eastAsia="en-GB"/>
        </w:rPr>
      </w:pPr>
      <w:r>
        <w:rPr>
          <w:sz w:val="24"/>
          <w:szCs w:val="24"/>
        </w:rPr>
        <w:t>As mentioned above under question no. 9, the overall aim of the “ghetto-plan” from 2018 was to combat parallel societies and to foster mixed housing areas in relation to residents. However, the ghetto-plan has been criticized for discriminat</w:t>
      </w:r>
      <w:r w:rsidR="003A1788">
        <w:rPr>
          <w:sz w:val="24"/>
          <w:szCs w:val="24"/>
        </w:rPr>
        <w:t>ion</w:t>
      </w:r>
      <w:r>
        <w:rPr>
          <w:sz w:val="24"/>
          <w:szCs w:val="24"/>
        </w:rPr>
        <w:t xml:space="preserve"> based on ethnicity and t</w:t>
      </w:r>
      <w:r w:rsidR="00C40A74">
        <w:rPr>
          <w:sz w:val="24"/>
          <w:szCs w:val="24"/>
        </w:rPr>
        <w:t>o the Institute’s knowledge t</w:t>
      </w:r>
      <w:r>
        <w:rPr>
          <w:sz w:val="24"/>
          <w:szCs w:val="24"/>
        </w:rPr>
        <w:t xml:space="preserve">here are – at the moment – three </w:t>
      </w:r>
      <w:r w:rsidR="005C3C8B">
        <w:rPr>
          <w:sz w:val="24"/>
          <w:szCs w:val="24"/>
        </w:rPr>
        <w:t>court</w:t>
      </w:r>
      <w:r>
        <w:rPr>
          <w:sz w:val="24"/>
          <w:szCs w:val="24"/>
        </w:rPr>
        <w:t xml:space="preserve"> cases pending concerning this</w:t>
      </w:r>
      <w:r w:rsidR="003A1788">
        <w:rPr>
          <w:sz w:val="24"/>
          <w:szCs w:val="24"/>
        </w:rPr>
        <w:t xml:space="preserve"> question</w:t>
      </w:r>
      <w:r>
        <w:rPr>
          <w:sz w:val="24"/>
          <w:szCs w:val="24"/>
        </w:rPr>
        <w:t xml:space="preserve">.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rsidR="00226F79" w:rsidRPr="00226F79" w:rsidRDefault="00227829" w:rsidP="00226F79">
      <w:pPr>
        <w:jc w:val="both"/>
        <w:rPr>
          <w:sz w:val="24"/>
          <w:szCs w:val="24"/>
        </w:rPr>
      </w:pPr>
      <w:sdt>
        <w:sdtPr>
          <w:rPr>
            <w:sz w:val="24"/>
            <w:szCs w:val="24"/>
          </w:rPr>
          <w:id w:val="-1062947959"/>
          <w:showingPlcHdr/>
        </w:sdtPr>
        <w:sdtEndPr/>
        <w:sdtContent>
          <w:r w:rsidR="00226F79" w:rsidRPr="00226F79">
            <w:rPr>
              <w:rStyle w:val="PlaceholderText"/>
              <w:sz w:val="24"/>
              <w:szCs w:val="24"/>
            </w:rPr>
            <w:t>Click here to enter text.</w:t>
          </w:r>
        </w:sdtContent>
      </w:sdt>
    </w:p>
    <w:p w:rsidR="00226F79" w:rsidRPr="00226F79" w:rsidRDefault="00226F79" w:rsidP="00226F79">
      <w:pPr>
        <w:ind w:left="360"/>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rsidR="00226F79" w:rsidRPr="00226F79" w:rsidRDefault="00227829"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rsidR="00487B1A" w:rsidRPr="00226F79" w:rsidRDefault="00227829" w:rsidP="00487B1A">
      <w:pPr>
        <w:jc w:val="both"/>
        <w:rPr>
          <w:sz w:val="24"/>
          <w:szCs w:val="24"/>
        </w:rPr>
      </w:pPr>
      <w:sdt>
        <w:sdtPr>
          <w:rPr>
            <w:sz w:val="24"/>
            <w:szCs w:val="24"/>
          </w:rPr>
          <w:id w:val="-587085050"/>
        </w:sdtPr>
        <w:sdtEndPr/>
        <w:sdtContent>
          <w:sdt>
            <w:sdtPr>
              <w:rPr>
                <w:sz w:val="24"/>
                <w:szCs w:val="24"/>
              </w:rPr>
              <w:id w:val="460544402"/>
              <w:showingPlcHdr/>
            </w:sdtPr>
            <w:sdtEndPr/>
            <w:sdtContent>
              <w:r w:rsidR="00487B1A"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29355A" w:rsidRDefault="0029355A" w:rsidP="0029355A">
      <w:pPr>
        <w:pBdr>
          <w:top w:val="single" w:sz="4" w:space="1" w:color="auto"/>
          <w:left w:val="single" w:sz="4" w:space="4" w:color="auto"/>
          <w:bottom w:val="single" w:sz="4" w:space="1" w:color="auto"/>
          <w:right w:val="single" w:sz="4" w:space="4" w:color="auto"/>
        </w:pBdr>
        <w:jc w:val="both"/>
        <w:rPr>
          <w:sz w:val="24"/>
          <w:szCs w:val="24"/>
        </w:rPr>
      </w:pPr>
      <w:r>
        <w:rPr>
          <w:sz w:val="24"/>
          <w:szCs w:val="24"/>
        </w:rPr>
        <w:lastRenderedPageBreak/>
        <w:t xml:space="preserve">Persons who feel they have been discriminated against can file a complaint at the Equal Treatment Board </w:t>
      </w:r>
      <w:r>
        <w:rPr>
          <w:i/>
          <w:iCs/>
          <w:sz w:val="24"/>
          <w:szCs w:val="24"/>
        </w:rPr>
        <w:t>(Ligebehandlingsnævnet)</w:t>
      </w:r>
      <w:r>
        <w:rPr>
          <w:sz w:val="24"/>
          <w:szCs w:val="24"/>
        </w:rPr>
        <w:t xml:space="preserve">. </w:t>
      </w:r>
      <w:r w:rsidRPr="0029355A">
        <w:rPr>
          <w:sz w:val="24"/>
          <w:szCs w:val="24"/>
        </w:rPr>
        <w:t>The Equal Treatment Board is a quasi-judicial board with judges who handle and decide on complaints regarding discrimination, including complaints on discrimination on the grounds of race and ethnic origin</w:t>
      </w:r>
      <w:r>
        <w:rPr>
          <w:sz w:val="24"/>
          <w:szCs w:val="24"/>
        </w:rPr>
        <w:t>, gender and disability</w:t>
      </w:r>
      <w:r w:rsidRPr="0029355A">
        <w:rPr>
          <w:sz w:val="24"/>
          <w:szCs w:val="24"/>
        </w:rPr>
        <w:t>. It is free of charge to file a complaint, however there is</w:t>
      </w:r>
      <w:r>
        <w:rPr>
          <w:sz w:val="24"/>
          <w:szCs w:val="24"/>
        </w:rPr>
        <w:t xml:space="preserve"> currently</w:t>
      </w:r>
      <w:r w:rsidRPr="0029355A">
        <w:rPr>
          <w:sz w:val="24"/>
          <w:szCs w:val="24"/>
        </w:rPr>
        <w:t xml:space="preserve"> a waiting time of approximately 6-9 months. The Board of Equal Treatment can award compensation if it finds that discrimination has occurred. </w:t>
      </w:r>
    </w:p>
    <w:p w:rsidR="0029355A" w:rsidRDefault="0029355A" w:rsidP="0029355A">
      <w:pPr>
        <w:pBdr>
          <w:top w:val="single" w:sz="4" w:space="1" w:color="auto"/>
          <w:left w:val="single" w:sz="4" w:space="4" w:color="auto"/>
          <w:bottom w:val="single" w:sz="4" w:space="1" w:color="auto"/>
          <w:right w:val="single" w:sz="4" w:space="4" w:color="auto"/>
        </w:pBdr>
        <w:jc w:val="both"/>
        <w:rPr>
          <w:sz w:val="24"/>
          <w:szCs w:val="24"/>
        </w:rPr>
      </w:pPr>
    </w:p>
    <w:p w:rsidR="0029355A" w:rsidRPr="00226F79" w:rsidRDefault="0029355A" w:rsidP="0029355A">
      <w:pPr>
        <w:pBdr>
          <w:top w:val="single" w:sz="4" w:space="1" w:color="auto"/>
          <w:left w:val="single" w:sz="4" w:space="4" w:color="auto"/>
          <w:bottom w:val="single" w:sz="4" w:space="1" w:color="auto"/>
          <w:right w:val="single" w:sz="4" w:space="4" w:color="auto"/>
        </w:pBdr>
        <w:jc w:val="both"/>
        <w:rPr>
          <w:sz w:val="24"/>
          <w:szCs w:val="24"/>
        </w:rPr>
      </w:pPr>
      <w:r w:rsidRPr="0029355A">
        <w:rPr>
          <w:sz w:val="24"/>
          <w:szCs w:val="24"/>
        </w:rPr>
        <w:t>A case can also be brought before the national courts. As mentioned above</w:t>
      </w:r>
      <w:r>
        <w:rPr>
          <w:sz w:val="24"/>
          <w:szCs w:val="24"/>
        </w:rPr>
        <w:t>,</w:t>
      </w:r>
      <w:r w:rsidRPr="0029355A">
        <w:rPr>
          <w:sz w:val="24"/>
          <w:szCs w:val="24"/>
        </w:rPr>
        <w:t xml:space="preserve"> there are </w:t>
      </w:r>
      <w:r>
        <w:rPr>
          <w:sz w:val="24"/>
          <w:szCs w:val="24"/>
        </w:rPr>
        <w:t xml:space="preserve">to the Institute’s knowledge </w:t>
      </w:r>
      <w:r w:rsidRPr="0029355A">
        <w:rPr>
          <w:sz w:val="24"/>
          <w:szCs w:val="24"/>
        </w:rPr>
        <w:t>currently three cases pending before the Eastern High Court regarding the “ghetto-</w:t>
      </w:r>
      <w:r>
        <w:rPr>
          <w:sz w:val="24"/>
          <w:szCs w:val="24"/>
        </w:rPr>
        <w:t>plan</w:t>
      </w:r>
      <w:r w:rsidRPr="0029355A">
        <w:rPr>
          <w:sz w:val="24"/>
          <w:szCs w:val="24"/>
        </w:rPr>
        <w:t xml:space="preserve">” from 2018. There are also a number of cases pending before the Equal Treatment </w:t>
      </w:r>
      <w:r>
        <w:rPr>
          <w:sz w:val="24"/>
          <w:szCs w:val="24"/>
        </w:rPr>
        <w:t>Board</w:t>
      </w:r>
      <w:r w:rsidRPr="0029355A">
        <w:rPr>
          <w:sz w:val="24"/>
          <w:szCs w:val="24"/>
        </w:rPr>
        <w:t xml:space="preserve"> regarding the same </w:t>
      </w:r>
      <w:r>
        <w:rPr>
          <w:sz w:val="24"/>
          <w:szCs w:val="24"/>
        </w:rPr>
        <w:t xml:space="preserve">piece of </w:t>
      </w:r>
      <w:r w:rsidRPr="0029355A">
        <w:rPr>
          <w:sz w:val="24"/>
          <w:szCs w:val="24"/>
        </w:rPr>
        <w:t xml:space="preserve">legislation. However, </w:t>
      </w:r>
      <w:r>
        <w:rPr>
          <w:sz w:val="24"/>
          <w:szCs w:val="24"/>
        </w:rPr>
        <w:t>the cases</w:t>
      </w:r>
      <w:r w:rsidRPr="0029355A">
        <w:rPr>
          <w:sz w:val="24"/>
          <w:szCs w:val="24"/>
        </w:rPr>
        <w:t xml:space="preserve"> have all been postponed, awaiting the result of the cases pending before the High Court.</w:t>
      </w:r>
      <w:r w:rsidRPr="0029355A">
        <w:t xml:space="preserve">   </w:t>
      </w:r>
    </w:p>
    <w:p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rsidR="006D0C62" w:rsidRPr="00226F79" w:rsidRDefault="00227829"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rsidR="00226F79" w:rsidRDefault="00227829" w:rsidP="00226F79">
      <w:pPr>
        <w:jc w:val="both"/>
        <w:rPr>
          <w:sz w:val="24"/>
          <w:szCs w:val="24"/>
        </w:rPr>
      </w:pPr>
      <w:sdt>
        <w:sdtPr>
          <w:rPr>
            <w:sz w:val="24"/>
            <w:szCs w:val="24"/>
          </w:rPr>
          <w:id w:val="1191101676"/>
          <w:showingPlcHdr/>
        </w:sdtPr>
        <w:sdtEndPr/>
        <w:sdtContent>
          <w:r w:rsidR="006D0C62" w:rsidRPr="00226F79">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rsidR="00471E39" w:rsidRDefault="00227829"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rsidR="003A314E" w:rsidRPr="003A314E" w:rsidRDefault="003A314E" w:rsidP="003A314E">
      <w:pPr>
        <w:jc w:val="both"/>
        <w:rPr>
          <w:sz w:val="24"/>
          <w:szCs w:val="24"/>
        </w:rPr>
      </w:pPr>
    </w:p>
    <w:sectPr w:rsidR="003A314E" w:rsidRPr="003A314E" w:rsidSect="00895233">
      <w:footerReference w:type="first" r:id="rId1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29" w:rsidRDefault="00227829">
      <w:r>
        <w:separator/>
      </w:r>
    </w:p>
  </w:endnote>
  <w:endnote w:type="continuationSeparator" w:id="0">
    <w:p w:rsidR="00227829" w:rsidRDefault="0022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79" w:rsidRDefault="00226F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29" w:rsidRDefault="00227829">
      <w:r>
        <w:separator/>
      </w:r>
    </w:p>
  </w:footnote>
  <w:footnote w:type="continuationSeparator" w:id="0">
    <w:p w:rsidR="00227829" w:rsidRDefault="00227829">
      <w:r>
        <w:continuationSeparator/>
      </w:r>
    </w:p>
  </w:footnote>
  <w:footnote w:id="1">
    <w:p w:rsidR="00C83762" w:rsidRPr="00561625" w:rsidRDefault="00C83762" w:rsidP="00561625">
      <w:pPr>
        <w:autoSpaceDE w:val="0"/>
        <w:autoSpaceDN w:val="0"/>
        <w:adjustRightInd w:val="0"/>
        <w:rPr>
          <w:rFonts w:asciiTheme="majorBidi" w:hAnsiTheme="majorBidi" w:cstheme="majorBidi"/>
          <w:sz w:val="24"/>
          <w:szCs w:val="24"/>
          <w:lang w:eastAsia="en-GB"/>
        </w:rPr>
      </w:pPr>
      <w:r>
        <w:rPr>
          <w:rStyle w:val="FootnoteReference"/>
        </w:rPr>
        <w:footnoteRef/>
      </w:r>
      <w:r>
        <w:t xml:space="preserve"> </w:t>
      </w:r>
      <w:r w:rsidRPr="00C83762">
        <w:rPr>
          <w:rFonts w:asciiTheme="majorBidi" w:hAnsiTheme="majorBidi" w:cstheme="majorBidi"/>
          <w:sz w:val="24"/>
          <w:szCs w:val="24"/>
        </w:rPr>
        <w:t>Bill no. 38 of 22 November 2018 on the Act on amendments to the Act on social housing with more, the Act on renting social housing and the Act on rental housing (Lovforslag L 38 af 22. november 2018 om ændring af lov om almene boliger m.v., lov om leje af almene boliger og</w:t>
      </w:r>
      <w:r>
        <w:rPr>
          <w:rFonts w:asciiTheme="majorBidi" w:hAnsiTheme="majorBidi" w:cstheme="majorBidi"/>
          <w:sz w:val="24"/>
          <w:szCs w:val="24"/>
        </w:rPr>
        <w:t xml:space="preserve"> </w:t>
      </w:r>
      <w:r w:rsidRPr="00C83762">
        <w:rPr>
          <w:rFonts w:asciiTheme="majorBidi" w:hAnsiTheme="majorBidi" w:cstheme="majorBidi"/>
          <w:sz w:val="24"/>
          <w:szCs w:val="24"/>
        </w:rPr>
        <w:t>lov om</w:t>
      </w:r>
      <w:r w:rsidR="00C41765">
        <w:rPr>
          <w:rFonts w:asciiTheme="majorBidi" w:hAnsiTheme="majorBidi" w:cstheme="majorBidi"/>
          <w:sz w:val="24"/>
          <w:szCs w:val="24"/>
        </w:rPr>
        <w:t xml:space="preserve"> leje). A</w:t>
      </w:r>
      <w:r>
        <w:rPr>
          <w:rFonts w:asciiTheme="majorBidi" w:hAnsiTheme="majorBidi" w:cstheme="majorBidi"/>
          <w:sz w:val="24"/>
          <w:szCs w:val="24"/>
        </w:rPr>
        <w:t xml:space="preserve">vailable in Danish at: </w:t>
      </w:r>
      <w:hyperlink r:id="rId1" w:history="1">
        <w:r w:rsidRPr="00244AB0">
          <w:rPr>
            <w:rStyle w:val="Hyperlink"/>
            <w:rFonts w:asciiTheme="majorBidi" w:hAnsiTheme="majorBidi" w:cstheme="majorBidi"/>
            <w:sz w:val="24"/>
            <w:szCs w:val="24"/>
          </w:rPr>
          <w:t>https://www.ft.dk/samling/20181/lovforslag/L38/som_vedtaget.htm</w:t>
        </w:r>
      </w:hyperlink>
      <w:r>
        <w:rPr>
          <w:rFonts w:asciiTheme="majorBidi" w:hAnsiTheme="majorBidi" w:cstheme="majorBidi"/>
          <w:sz w:val="24"/>
          <w:szCs w:val="24"/>
        </w:rPr>
        <w:t xml:space="preserve">. </w:t>
      </w:r>
    </w:p>
  </w:footnote>
  <w:footnote w:id="2">
    <w:p w:rsidR="00F60729" w:rsidRPr="00F60729" w:rsidRDefault="00F60729">
      <w:pPr>
        <w:pStyle w:val="FootnoteText"/>
      </w:pPr>
      <w:r>
        <w:rPr>
          <w:rStyle w:val="FootnoteReference"/>
        </w:rPr>
        <w:footnoteRef/>
      </w:r>
      <w:r>
        <w:t xml:space="preserve"> See for instance daily newspaper SN.dk, The Danish Institute for Human Rights file complaint over discrimination in ghetto area (Institut for Menneskerettigheder klager over discrimination i ghetto), 30 June 2020. Available in Danish at: </w:t>
      </w:r>
      <w:hyperlink r:id="rId2" w:history="1">
        <w:r w:rsidRPr="00244AB0">
          <w:rPr>
            <w:rStyle w:val="Hyperlink"/>
          </w:rPr>
          <w:t>https://sn.dk/Helsingoer/Institut-for-Menneskerettigheder-klager-over-diskrimination-i-ghetto-/artikel/1333690</w:t>
        </w:r>
      </w:hyperlink>
      <w:r>
        <w:t xml:space="preserve">. </w:t>
      </w:r>
    </w:p>
  </w:footnote>
  <w:footnote w:id="3">
    <w:p w:rsidR="00561625" w:rsidRPr="00C83762" w:rsidRDefault="00561625" w:rsidP="00561625">
      <w:pPr>
        <w:autoSpaceDE w:val="0"/>
        <w:autoSpaceDN w:val="0"/>
        <w:adjustRightInd w:val="0"/>
        <w:rPr>
          <w:rFonts w:asciiTheme="majorBidi" w:hAnsiTheme="majorBidi" w:cstheme="majorBidi"/>
          <w:sz w:val="24"/>
          <w:szCs w:val="24"/>
          <w:lang w:eastAsia="en-GB"/>
        </w:rPr>
      </w:pPr>
      <w:r>
        <w:rPr>
          <w:rStyle w:val="FootnoteReference"/>
        </w:rPr>
        <w:footnoteRef/>
      </w:r>
      <w:r>
        <w:t xml:space="preserve"> </w:t>
      </w:r>
      <w:r w:rsidRPr="00C83762">
        <w:rPr>
          <w:rFonts w:asciiTheme="majorBidi" w:hAnsiTheme="majorBidi" w:cstheme="majorBidi"/>
          <w:sz w:val="24"/>
          <w:szCs w:val="24"/>
          <w:lang w:eastAsia="en-GB"/>
        </w:rPr>
        <w:t>Press release by the Minist</w:t>
      </w:r>
      <w:r>
        <w:rPr>
          <w:rFonts w:asciiTheme="majorBidi" w:hAnsiTheme="majorBidi" w:cstheme="majorBidi"/>
          <w:sz w:val="24"/>
          <w:szCs w:val="24"/>
          <w:lang w:eastAsia="en-GB"/>
        </w:rPr>
        <w:t xml:space="preserve">ry of the Interior and Housing </w:t>
      </w:r>
      <w:r w:rsidRPr="00C83762">
        <w:rPr>
          <w:rFonts w:asciiTheme="majorBidi" w:hAnsiTheme="majorBidi" w:cstheme="majorBidi"/>
          <w:sz w:val="24"/>
          <w:szCs w:val="24"/>
          <w:lang w:eastAsia="en-GB"/>
        </w:rPr>
        <w:t>on initiatives to combat parallel societies</w:t>
      </w:r>
      <w:r>
        <w:rPr>
          <w:rFonts w:asciiTheme="majorBidi" w:hAnsiTheme="majorBidi" w:cstheme="majorBidi"/>
          <w:sz w:val="24"/>
          <w:szCs w:val="24"/>
          <w:lang w:eastAsia="en-GB"/>
        </w:rPr>
        <w:t xml:space="preserve"> (Indenrigs- og Boligministeriet, Nyt udspil skal forebygge parallelsamfund), 17 March 2021</w:t>
      </w:r>
      <w:r w:rsidRPr="00C83762">
        <w:rPr>
          <w:rFonts w:asciiTheme="majorBidi" w:hAnsiTheme="majorBidi" w:cstheme="majorBidi"/>
          <w:sz w:val="24"/>
          <w:szCs w:val="24"/>
          <w:lang w:eastAsia="en-GB"/>
        </w:rPr>
        <w:t>. Available in Danish at:</w:t>
      </w:r>
    </w:p>
    <w:p w:rsidR="00561625" w:rsidRPr="00561625" w:rsidRDefault="00227829" w:rsidP="00561625">
      <w:pPr>
        <w:pStyle w:val="FootnoteText"/>
        <w:rPr>
          <w:lang w:val="en-GB"/>
        </w:rPr>
      </w:pPr>
      <w:hyperlink r:id="rId3" w:history="1">
        <w:r w:rsidR="00561625" w:rsidRPr="00244AB0">
          <w:rPr>
            <w:rStyle w:val="Hyperlink"/>
            <w:rFonts w:asciiTheme="majorBidi" w:hAnsiTheme="majorBidi" w:cstheme="majorBidi"/>
          </w:rPr>
          <w:t>https://im.dk/nyheder/nyhedsarkiv/2021/mar/nyt-udspil-skal-forebygge-parallelsamfund</w:t>
        </w:r>
      </w:hyperlink>
      <w:r w:rsidR="00561625">
        <w:rPr>
          <w:rFonts w:asciiTheme="majorBidi" w:hAnsiTheme="majorBidi" w:cstheme="majorBidi"/>
        </w:rPr>
        <w:t>.</w:t>
      </w:r>
    </w:p>
  </w:footnote>
  <w:footnote w:id="4">
    <w:p w:rsidR="006713BF" w:rsidRPr="006713BF" w:rsidRDefault="006713BF">
      <w:pPr>
        <w:pStyle w:val="FootnoteText"/>
        <w:rPr>
          <w:lang w:val="en-GB"/>
        </w:rPr>
      </w:pPr>
      <w:r>
        <w:rPr>
          <w:rStyle w:val="FootnoteReference"/>
        </w:rPr>
        <w:footnoteRef/>
      </w:r>
      <w:r>
        <w:t xml:space="preserve"> </w:t>
      </w:r>
      <w:r>
        <w:rPr>
          <w:rFonts w:asciiTheme="majorBidi" w:hAnsiTheme="majorBidi" w:cstheme="majorBidi"/>
        </w:rPr>
        <w:t>T</w:t>
      </w:r>
      <w:r w:rsidRPr="00C83762">
        <w:rPr>
          <w:rFonts w:asciiTheme="majorBidi" w:hAnsiTheme="majorBidi" w:cstheme="majorBidi"/>
        </w:rPr>
        <w:t>he Act on social housing</w:t>
      </w:r>
      <w:r w:rsidR="005E389A">
        <w:rPr>
          <w:rFonts w:asciiTheme="majorBidi" w:hAnsiTheme="majorBidi" w:cstheme="majorBidi"/>
        </w:rPr>
        <w:t xml:space="preserve"> with more (Lov om almene boliger m.v.)</w:t>
      </w:r>
      <w:r>
        <w:rPr>
          <w:rFonts w:asciiTheme="majorBidi" w:hAnsiTheme="majorBidi" w:cstheme="majorBidi"/>
        </w:rPr>
        <w:t xml:space="preserve">, </w:t>
      </w:r>
      <w:r w:rsidR="0062458A">
        <w:rPr>
          <w:rFonts w:asciiTheme="majorBidi" w:hAnsiTheme="majorBidi" w:cstheme="majorBidi"/>
        </w:rPr>
        <w:t>article</w:t>
      </w:r>
      <w:r>
        <w:rPr>
          <w:rFonts w:asciiTheme="majorBidi" w:hAnsiTheme="majorBidi" w:cstheme="majorBidi"/>
        </w:rPr>
        <w:t xml:space="preserve"> 60. </w:t>
      </w:r>
    </w:p>
  </w:footnote>
  <w:footnote w:id="5">
    <w:p w:rsidR="00435406" w:rsidRPr="00435406" w:rsidRDefault="00435406">
      <w:pPr>
        <w:pStyle w:val="FootnoteText"/>
      </w:pPr>
      <w:r>
        <w:rPr>
          <w:rStyle w:val="FootnoteReference"/>
        </w:rPr>
        <w:footnoteRef/>
      </w:r>
      <w:r>
        <w:t xml:space="preserve"> </w:t>
      </w:r>
      <w:r>
        <w:rPr>
          <w:rFonts w:asciiTheme="majorBidi" w:hAnsiTheme="majorBidi" w:cstheme="majorBidi"/>
        </w:rPr>
        <w:t>T</w:t>
      </w:r>
      <w:r w:rsidRPr="00C83762">
        <w:rPr>
          <w:rFonts w:asciiTheme="majorBidi" w:hAnsiTheme="majorBidi" w:cstheme="majorBidi"/>
        </w:rPr>
        <w:t>he Act on social housing</w:t>
      </w:r>
      <w:r>
        <w:rPr>
          <w:rFonts w:asciiTheme="majorBidi" w:hAnsiTheme="majorBidi" w:cstheme="majorBidi"/>
        </w:rPr>
        <w:t xml:space="preserve"> with more (Lov om almene boliger m.v.), article 59, paragraph 6 and 7.</w:t>
      </w:r>
    </w:p>
  </w:footnote>
  <w:footnote w:id="6">
    <w:p w:rsidR="0062458A" w:rsidRPr="0062458A" w:rsidRDefault="0062458A">
      <w:pPr>
        <w:pStyle w:val="FootnoteText"/>
        <w:rPr>
          <w:lang w:val="en-GB"/>
        </w:rPr>
      </w:pPr>
      <w:r>
        <w:rPr>
          <w:rStyle w:val="FootnoteReference"/>
        </w:rPr>
        <w:footnoteRef/>
      </w:r>
      <w:r>
        <w:t xml:space="preserve"> Consolidation act no. 981 of 23 September 2018 on law on an active social policy (Lovbekendtgørelse nr. 981 af 23. </w:t>
      </w:r>
      <w:r w:rsidRPr="000D6999">
        <w:rPr>
          <w:lang w:val="da-DK"/>
        </w:rPr>
        <w:t xml:space="preserve">September 2019, om aktiv socialpolitik), article 11. Available in Danish at: </w:t>
      </w:r>
      <w:hyperlink r:id="rId4" w:anchor="K4" w:history="1">
        <w:r w:rsidRPr="000D6999">
          <w:rPr>
            <w:rStyle w:val="Hyperlink"/>
            <w:lang w:val="da-DK"/>
          </w:rPr>
          <w:t>https://www.retsinformation.dk/eli/lta/2019/981#K4</w:t>
        </w:r>
      </w:hyperlink>
      <w:r w:rsidRPr="000D6999">
        <w:rPr>
          <w:lang w:val="da-DK"/>
        </w:rPr>
        <w:t xml:space="preserve">. </w:t>
      </w:r>
      <w:r>
        <w:t xml:space="preserve">The ”integration benefit” is now called the ”self-supportand home journey benefit” or “the transition benefit”, see act no. 74 of 27 February 2019 on amendments to the act on foreigners, the act on integration, the act on repatriation and other laws (Lov nr. 174 af 27. februar 2019 om ændring af udlændingeloven, integrationsloven, repatrieringsloven og forskellige andre love). Available in Danish at: </w:t>
      </w:r>
      <w:hyperlink r:id="rId5" w:history="1">
        <w:r w:rsidRPr="00244AB0">
          <w:rPr>
            <w:rStyle w:val="Hyperlink"/>
          </w:rPr>
          <w:t>https://www.retsinformation.dk/Forms/R0710.aspx?id=207366</w:t>
        </w:r>
      </w:hyperlink>
      <w:r>
        <w:t>.</w:t>
      </w:r>
    </w:p>
  </w:footnote>
  <w:footnote w:id="7">
    <w:p w:rsidR="00435406" w:rsidRPr="00435406" w:rsidRDefault="00435406">
      <w:pPr>
        <w:pStyle w:val="FootnoteText"/>
        <w:rPr>
          <w:lang w:val="en-GB"/>
        </w:rPr>
      </w:pPr>
      <w:r>
        <w:rPr>
          <w:rStyle w:val="FootnoteReference"/>
        </w:rPr>
        <w:footnoteRef/>
      </w:r>
      <w:r>
        <w:t xml:space="preserve"> </w:t>
      </w:r>
      <w:r>
        <w:rPr>
          <w:rFonts w:asciiTheme="majorBidi" w:hAnsiTheme="majorBidi" w:cstheme="majorBidi"/>
        </w:rPr>
        <w:t>T</w:t>
      </w:r>
      <w:r w:rsidRPr="00C83762">
        <w:rPr>
          <w:rFonts w:asciiTheme="majorBidi" w:hAnsiTheme="majorBidi" w:cstheme="majorBidi"/>
        </w:rPr>
        <w:t>he Act on social housing</w:t>
      </w:r>
      <w:r>
        <w:rPr>
          <w:rFonts w:asciiTheme="majorBidi" w:hAnsiTheme="majorBidi" w:cstheme="majorBidi"/>
        </w:rPr>
        <w:t xml:space="preserve"> with more (Lov om almene boliger m.v.), article 51 c.</w:t>
      </w:r>
    </w:p>
  </w:footnote>
  <w:footnote w:id="8">
    <w:p w:rsidR="00435406" w:rsidRPr="00C83762" w:rsidRDefault="00435406" w:rsidP="00435406">
      <w:pPr>
        <w:autoSpaceDE w:val="0"/>
        <w:autoSpaceDN w:val="0"/>
        <w:adjustRightInd w:val="0"/>
        <w:rPr>
          <w:rFonts w:asciiTheme="majorBidi" w:hAnsiTheme="majorBidi" w:cstheme="majorBidi"/>
          <w:sz w:val="24"/>
          <w:szCs w:val="24"/>
          <w:lang w:eastAsia="en-GB"/>
        </w:rPr>
      </w:pPr>
      <w:r>
        <w:rPr>
          <w:rStyle w:val="FootnoteReference"/>
        </w:rPr>
        <w:footnoteRef/>
      </w:r>
      <w:r>
        <w:t xml:space="preserve"> </w:t>
      </w:r>
      <w:r w:rsidRPr="00C83762">
        <w:rPr>
          <w:rFonts w:asciiTheme="majorBidi" w:hAnsiTheme="majorBidi" w:cstheme="majorBidi"/>
          <w:sz w:val="24"/>
          <w:szCs w:val="24"/>
          <w:lang w:eastAsia="en-GB"/>
        </w:rPr>
        <w:t>Press release by the Minist</w:t>
      </w:r>
      <w:r>
        <w:rPr>
          <w:rFonts w:asciiTheme="majorBidi" w:hAnsiTheme="majorBidi" w:cstheme="majorBidi"/>
          <w:sz w:val="24"/>
          <w:szCs w:val="24"/>
          <w:lang w:eastAsia="en-GB"/>
        </w:rPr>
        <w:t xml:space="preserve">ry of the Interior and Housing </w:t>
      </w:r>
      <w:r w:rsidRPr="00C83762">
        <w:rPr>
          <w:rFonts w:asciiTheme="majorBidi" w:hAnsiTheme="majorBidi" w:cstheme="majorBidi"/>
          <w:sz w:val="24"/>
          <w:szCs w:val="24"/>
          <w:lang w:eastAsia="en-GB"/>
        </w:rPr>
        <w:t>on initiatives to combat parallel societies</w:t>
      </w:r>
      <w:r>
        <w:rPr>
          <w:rFonts w:asciiTheme="majorBidi" w:hAnsiTheme="majorBidi" w:cstheme="majorBidi"/>
          <w:sz w:val="24"/>
          <w:szCs w:val="24"/>
          <w:lang w:eastAsia="en-GB"/>
        </w:rPr>
        <w:t xml:space="preserve"> (Indenrigs- og Boligministeriet, Nyt udspil skal forebygge parallelsamfund), 17 March 2021</w:t>
      </w:r>
      <w:r w:rsidRPr="00C83762">
        <w:rPr>
          <w:rFonts w:asciiTheme="majorBidi" w:hAnsiTheme="majorBidi" w:cstheme="majorBidi"/>
          <w:sz w:val="24"/>
          <w:szCs w:val="24"/>
          <w:lang w:eastAsia="en-GB"/>
        </w:rPr>
        <w:t>. Available in Danish at:</w:t>
      </w:r>
    </w:p>
    <w:p w:rsidR="00435406" w:rsidRPr="00435406" w:rsidRDefault="00227829" w:rsidP="00435406">
      <w:pPr>
        <w:pStyle w:val="FootnoteText"/>
        <w:rPr>
          <w:lang w:val="en-GB"/>
        </w:rPr>
      </w:pPr>
      <w:hyperlink r:id="rId6" w:history="1">
        <w:r w:rsidR="00435406" w:rsidRPr="00244AB0">
          <w:rPr>
            <w:rStyle w:val="Hyperlink"/>
            <w:rFonts w:asciiTheme="majorBidi" w:hAnsiTheme="majorBidi" w:cstheme="majorBidi"/>
          </w:rPr>
          <w:t>https://im.dk/nyheder/nyhedsarkiv/2021/mar/nyt-udspil-skal-forebygge-parallelsamfund</w:t>
        </w:r>
      </w:hyperlink>
      <w:r w:rsidR="00435406">
        <w:rPr>
          <w:rFonts w:asciiTheme="majorBidi" w:hAnsiTheme="majorBidi" w:cstheme="majorBidi"/>
        </w:rPr>
        <w:t>.</w:t>
      </w:r>
    </w:p>
  </w:footnote>
  <w:footnote w:id="9">
    <w:p w:rsidR="0086720E" w:rsidRPr="0086720E" w:rsidRDefault="0086720E">
      <w:pPr>
        <w:pStyle w:val="FootnoteText"/>
        <w:rPr>
          <w:lang w:val="en-GB"/>
        </w:rPr>
      </w:pPr>
      <w:r>
        <w:rPr>
          <w:rStyle w:val="FootnoteReference"/>
        </w:rPr>
        <w:footnoteRef/>
      </w:r>
      <w:r>
        <w:t xml:space="preserve"> The Act on Ethnic Equal Treatment (</w:t>
      </w:r>
      <w:r w:rsidRPr="0086720E">
        <w:rPr>
          <w:lang w:val="en-GB"/>
        </w:rPr>
        <w:t>Lov om etnisk ligebehandling), a</w:t>
      </w:r>
      <w:r>
        <w:rPr>
          <w:lang w:val="en-GB"/>
        </w:rPr>
        <w:t xml:space="preserve">rticle 2, paragraph 1. </w:t>
      </w:r>
    </w:p>
  </w:footnote>
  <w:footnote w:id="10">
    <w:p w:rsidR="00DB04B3" w:rsidRPr="00DB04B3" w:rsidRDefault="00DB04B3">
      <w:pPr>
        <w:pStyle w:val="FootnoteText"/>
        <w:rPr>
          <w:lang w:val="en-GB"/>
        </w:rPr>
      </w:pPr>
      <w:r>
        <w:rPr>
          <w:rStyle w:val="FootnoteReference"/>
        </w:rPr>
        <w:footnoteRef/>
      </w:r>
      <w:r>
        <w:t xml:space="preserve"> The Act on prohibition against discrimination on grounds of disability</w:t>
      </w:r>
      <w:r w:rsidR="00040157">
        <w:t xml:space="preserve"> (Lov om forbud mod forskelsbehandling på grund af handicap).</w:t>
      </w:r>
    </w:p>
  </w:footnote>
  <w:footnote w:id="11">
    <w:p w:rsidR="00DB04B3" w:rsidRPr="00DB04B3" w:rsidRDefault="00DB04B3">
      <w:pPr>
        <w:pStyle w:val="FootnoteText"/>
        <w:rPr>
          <w:lang w:val="en-GB"/>
        </w:rPr>
      </w:pPr>
      <w:r>
        <w:rPr>
          <w:rStyle w:val="FootnoteReference"/>
        </w:rPr>
        <w:footnoteRef/>
      </w:r>
      <w:r>
        <w:t xml:space="preserve"> </w:t>
      </w:r>
      <w:r w:rsidRPr="00DB04B3">
        <w:rPr>
          <w:lang w:val="en-GB"/>
        </w:rPr>
        <w:t>The Act on Equal opportunities betw</w:t>
      </w:r>
      <w:r>
        <w:rPr>
          <w:lang w:val="en-GB"/>
        </w:rPr>
        <w:t>een women and men (Lov om ligestilling af kvinder og mænd)</w:t>
      </w:r>
      <w:r w:rsidR="00A2101F">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B0A6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8C62CE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10CC"/>
    <w:rsid w:val="00026D1F"/>
    <w:rsid w:val="00026D52"/>
    <w:rsid w:val="00031377"/>
    <w:rsid w:val="00032D0E"/>
    <w:rsid w:val="0003674D"/>
    <w:rsid w:val="00040157"/>
    <w:rsid w:val="000410AB"/>
    <w:rsid w:val="0005390B"/>
    <w:rsid w:val="00063BFD"/>
    <w:rsid w:val="00072E19"/>
    <w:rsid w:val="00077294"/>
    <w:rsid w:val="00077AE5"/>
    <w:rsid w:val="000875C6"/>
    <w:rsid w:val="00091BF0"/>
    <w:rsid w:val="00097430"/>
    <w:rsid w:val="000A2B89"/>
    <w:rsid w:val="000A6F03"/>
    <w:rsid w:val="000B38AF"/>
    <w:rsid w:val="000C7384"/>
    <w:rsid w:val="000D210E"/>
    <w:rsid w:val="000D2183"/>
    <w:rsid w:val="000D34F2"/>
    <w:rsid w:val="000D634A"/>
    <w:rsid w:val="000D6999"/>
    <w:rsid w:val="000D7C6D"/>
    <w:rsid w:val="000E1E28"/>
    <w:rsid w:val="000E42EE"/>
    <w:rsid w:val="000F0425"/>
    <w:rsid w:val="000F183C"/>
    <w:rsid w:val="00100FCF"/>
    <w:rsid w:val="00103638"/>
    <w:rsid w:val="00106F64"/>
    <w:rsid w:val="001146DA"/>
    <w:rsid w:val="00115798"/>
    <w:rsid w:val="001205D6"/>
    <w:rsid w:val="00124668"/>
    <w:rsid w:val="00131DFA"/>
    <w:rsid w:val="001456CB"/>
    <w:rsid w:val="00145CB3"/>
    <w:rsid w:val="001537CC"/>
    <w:rsid w:val="00154A30"/>
    <w:rsid w:val="0015615C"/>
    <w:rsid w:val="00166A78"/>
    <w:rsid w:val="001676BA"/>
    <w:rsid w:val="00171DC8"/>
    <w:rsid w:val="00194332"/>
    <w:rsid w:val="00197CE5"/>
    <w:rsid w:val="001B0DD5"/>
    <w:rsid w:val="001B7B09"/>
    <w:rsid w:val="001C4360"/>
    <w:rsid w:val="001D088C"/>
    <w:rsid w:val="001D08C8"/>
    <w:rsid w:val="001D3313"/>
    <w:rsid w:val="001E3384"/>
    <w:rsid w:val="001E5478"/>
    <w:rsid w:val="001E7515"/>
    <w:rsid w:val="001F00CA"/>
    <w:rsid w:val="002028A9"/>
    <w:rsid w:val="00204C31"/>
    <w:rsid w:val="00207049"/>
    <w:rsid w:val="00210ED3"/>
    <w:rsid w:val="0021296A"/>
    <w:rsid w:val="002129D5"/>
    <w:rsid w:val="00212DC2"/>
    <w:rsid w:val="00221893"/>
    <w:rsid w:val="00224386"/>
    <w:rsid w:val="00226F79"/>
    <w:rsid w:val="00227829"/>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355A"/>
    <w:rsid w:val="002966DB"/>
    <w:rsid w:val="002969BF"/>
    <w:rsid w:val="002B2448"/>
    <w:rsid w:val="002C2C0E"/>
    <w:rsid w:val="002D4E0C"/>
    <w:rsid w:val="002D7106"/>
    <w:rsid w:val="002E0EEC"/>
    <w:rsid w:val="002E456F"/>
    <w:rsid w:val="002E65F4"/>
    <w:rsid w:val="00305B08"/>
    <w:rsid w:val="003207A5"/>
    <w:rsid w:val="00323DEC"/>
    <w:rsid w:val="0033375D"/>
    <w:rsid w:val="00335FB9"/>
    <w:rsid w:val="00336C3F"/>
    <w:rsid w:val="00350908"/>
    <w:rsid w:val="00353D51"/>
    <w:rsid w:val="00356299"/>
    <w:rsid w:val="003577DB"/>
    <w:rsid w:val="0036094F"/>
    <w:rsid w:val="003658E5"/>
    <w:rsid w:val="00380489"/>
    <w:rsid w:val="00382BF5"/>
    <w:rsid w:val="00396E4C"/>
    <w:rsid w:val="003A1788"/>
    <w:rsid w:val="003A314E"/>
    <w:rsid w:val="003A3957"/>
    <w:rsid w:val="003A3FA5"/>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947"/>
    <w:rsid w:val="00427CEF"/>
    <w:rsid w:val="00433548"/>
    <w:rsid w:val="00435406"/>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D0CBB"/>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1625"/>
    <w:rsid w:val="00562D63"/>
    <w:rsid w:val="00570A1B"/>
    <w:rsid w:val="00570E41"/>
    <w:rsid w:val="005720FF"/>
    <w:rsid w:val="00576638"/>
    <w:rsid w:val="005849E6"/>
    <w:rsid w:val="00585F8E"/>
    <w:rsid w:val="005871D9"/>
    <w:rsid w:val="00591F62"/>
    <w:rsid w:val="005957ED"/>
    <w:rsid w:val="005A0F25"/>
    <w:rsid w:val="005C17A6"/>
    <w:rsid w:val="005C233E"/>
    <w:rsid w:val="005C3C8B"/>
    <w:rsid w:val="005D4F9E"/>
    <w:rsid w:val="005E2983"/>
    <w:rsid w:val="005E389A"/>
    <w:rsid w:val="005E59C1"/>
    <w:rsid w:val="005E7C37"/>
    <w:rsid w:val="005F0A9F"/>
    <w:rsid w:val="005F283E"/>
    <w:rsid w:val="0060068B"/>
    <w:rsid w:val="0060630F"/>
    <w:rsid w:val="0060785C"/>
    <w:rsid w:val="00611E96"/>
    <w:rsid w:val="00614FFD"/>
    <w:rsid w:val="0062458A"/>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3BF"/>
    <w:rsid w:val="00671485"/>
    <w:rsid w:val="006749F6"/>
    <w:rsid w:val="00682D26"/>
    <w:rsid w:val="00682DDB"/>
    <w:rsid w:val="006834E4"/>
    <w:rsid w:val="00687E4F"/>
    <w:rsid w:val="00695D3E"/>
    <w:rsid w:val="006A1778"/>
    <w:rsid w:val="006A7352"/>
    <w:rsid w:val="006B5A71"/>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04220"/>
    <w:rsid w:val="0081788D"/>
    <w:rsid w:val="008226B4"/>
    <w:rsid w:val="00827A9A"/>
    <w:rsid w:val="00832165"/>
    <w:rsid w:val="00833FF3"/>
    <w:rsid w:val="00840F75"/>
    <w:rsid w:val="00842120"/>
    <w:rsid w:val="00842220"/>
    <w:rsid w:val="008427AA"/>
    <w:rsid w:val="00846B4A"/>
    <w:rsid w:val="00850B3F"/>
    <w:rsid w:val="00851702"/>
    <w:rsid w:val="008543FC"/>
    <w:rsid w:val="00854A55"/>
    <w:rsid w:val="008553DE"/>
    <w:rsid w:val="008568EA"/>
    <w:rsid w:val="008656FA"/>
    <w:rsid w:val="0086720E"/>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51601"/>
    <w:rsid w:val="00963F11"/>
    <w:rsid w:val="00964D74"/>
    <w:rsid w:val="00977C96"/>
    <w:rsid w:val="009818C9"/>
    <w:rsid w:val="00982FCF"/>
    <w:rsid w:val="0098565E"/>
    <w:rsid w:val="00986237"/>
    <w:rsid w:val="00993C39"/>
    <w:rsid w:val="00997618"/>
    <w:rsid w:val="009A1975"/>
    <w:rsid w:val="009A2849"/>
    <w:rsid w:val="009A2BBD"/>
    <w:rsid w:val="009A4B5F"/>
    <w:rsid w:val="009B459A"/>
    <w:rsid w:val="009D4AAC"/>
    <w:rsid w:val="009D76A9"/>
    <w:rsid w:val="009E0073"/>
    <w:rsid w:val="009E2351"/>
    <w:rsid w:val="009F18EC"/>
    <w:rsid w:val="009F2043"/>
    <w:rsid w:val="009F37AC"/>
    <w:rsid w:val="009F5421"/>
    <w:rsid w:val="00A01741"/>
    <w:rsid w:val="00A153DB"/>
    <w:rsid w:val="00A2101F"/>
    <w:rsid w:val="00A21EF1"/>
    <w:rsid w:val="00A22B1B"/>
    <w:rsid w:val="00A23512"/>
    <w:rsid w:val="00A34DA7"/>
    <w:rsid w:val="00A364CF"/>
    <w:rsid w:val="00A3761B"/>
    <w:rsid w:val="00A40490"/>
    <w:rsid w:val="00A41D57"/>
    <w:rsid w:val="00A439B9"/>
    <w:rsid w:val="00A54482"/>
    <w:rsid w:val="00A55C2E"/>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AF5677"/>
    <w:rsid w:val="00B04529"/>
    <w:rsid w:val="00B13589"/>
    <w:rsid w:val="00B14752"/>
    <w:rsid w:val="00B23887"/>
    <w:rsid w:val="00B246B4"/>
    <w:rsid w:val="00B259BD"/>
    <w:rsid w:val="00B30A37"/>
    <w:rsid w:val="00B30F74"/>
    <w:rsid w:val="00B31236"/>
    <w:rsid w:val="00B313AC"/>
    <w:rsid w:val="00B42B30"/>
    <w:rsid w:val="00B43D96"/>
    <w:rsid w:val="00B4462A"/>
    <w:rsid w:val="00B458F6"/>
    <w:rsid w:val="00B54DD5"/>
    <w:rsid w:val="00B61545"/>
    <w:rsid w:val="00B7425B"/>
    <w:rsid w:val="00B84F46"/>
    <w:rsid w:val="00BC486C"/>
    <w:rsid w:val="00BD2C78"/>
    <w:rsid w:val="00BD6119"/>
    <w:rsid w:val="00BD6AAC"/>
    <w:rsid w:val="00BD77FE"/>
    <w:rsid w:val="00BE21B8"/>
    <w:rsid w:val="00BE7A33"/>
    <w:rsid w:val="00BF69D2"/>
    <w:rsid w:val="00C0101A"/>
    <w:rsid w:val="00C07B5F"/>
    <w:rsid w:val="00C12BED"/>
    <w:rsid w:val="00C1564B"/>
    <w:rsid w:val="00C234D8"/>
    <w:rsid w:val="00C23DDD"/>
    <w:rsid w:val="00C35851"/>
    <w:rsid w:val="00C40A74"/>
    <w:rsid w:val="00C41765"/>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3762"/>
    <w:rsid w:val="00C840A9"/>
    <w:rsid w:val="00C968E1"/>
    <w:rsid w:val="00CA65D2"/>
    <w:rsid w:val="00CB0B76"/>
    <w:rsid w:val="00CB1C6E"/>
    <w:rsid w:val="00CB32C4"/>
    <w:rsid w:val="00CC5BEF"/>
    <w:rsid w:val="00CC779C"/>
    <w:rsid w:val="00CD4806"/>
    <w:rsid w:val="00CE6A0E"/>
    <w:rsid w:val="00D00DDC"/>
    <w:rsid w:val="00D02F61"/>
    <w:rsid w:val="00D1125E"/>
    <w:rsid w:val="00D115F7"/>
    <w:rsid w:val="00D17A0E"/>
    <w:rsid w:val="00D226E4"/>
    <w:rsid w:val="00D230B7"/>
    <w:rsid w:val="00D27563"/>
    <w:rsid w:val="00D27922"/>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04B3"/>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4A22"/>
    <w:rsid w:val="00E15347"/>
    <w:rsid w:val="00E22392"/>
    <w:rsid w:val="00E2532E"/>
    <w:rsid w:val="00E262FF"/>
    <w:rsid w:val="00E30296"/>
    <w:rsid w:val="00E31842"/>
    <w:rsid w:val="00E347A6"/>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5BA8"/>
    <w:rsid w:val="00EE5FB1"/>
    <w:rsid w:val="00EE6765"/>
    <w:rsid w:val="00EF0B0D"/>
    <w:rsid w:val="00F006B5"/>
    <w:rsid w:val="00F046B0"/>
    <w:rsid w:val="00F268C0"/>
    <w:rsid w:val="00F47087"/>
    <w:rsid w:val="00F47B64"/>
    <w:rsid w:val="00F60729"/>
    <w:rsid w:val="00F611C6"/>
    <w:rsid w:val="00F62027"/>
    <w:rsid w:val="00F655AE"/>
    <w:rsid w:val="00F7101E"/>
    <w:rsid w:val="00F80A14"/>
    <w:rsid w:val="00F80D28"/>
    <w:rsid w:val="00F85DCD"/>
    <w:rsid w:val="00F97221"/>
    <w:rsid w:val="00FA23E9"/>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paragraph" w:customStyle="1" w:styleId="Default">
    <w:name w:val="Default"/>
    <w:rsid w:val="00C83762"/>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C83762"/>
    <w:rPr>
      <w:color w:val="808080"/>
      <w:shd w:val="clear" w:color="auto" w:fill="E6E6E6"/>
    </w:rPr>
  </w:style>
  <w:style w:type="character" w:styleId="FollowedHyperlink">
    <w:name w:val="FollowedHyperlink"/>
    <w:basedOn w:val="DefaultParagraphFont"/>
    <w:semiHidden/>
    <w:unhideWhenUsed/>
    <w:rsid w:val="00C83762"/>
    <w:rPr>
      <w:color w:val="800080" w:themeColor="followedHyperlink"/>
      <w:u w:val="single"/>
    </w:rPr>
  </w:style>
  <w:style w:type="paragraph" w:styleId="NormalIndent">
    <w:name w:val="Normal Indent"/>
    <w:basedOn w:val="Normal"/>
    <w:semiHidden/>
    <w:unhideWhenUsed/>
    <w:rsid w:val="00561625"/>
    <w:pPr>
      <w:ind w:left="720"/>
    </w:pPr>
  </w:style>
  <w:style w:type="paragraph" w:styleId="ListBullet">
    <w:name w:val="List Bullet"/>
    <w:basedOn w:val="Normal"/>
    <w:semiHidden/>
    <w:unhideWhenUsed/>
    <w:rsid w:val="00561625"/>
    <w:pPr>
      <w:numPr>
        <w:numId w:val="3"/>
      </w:numPr>
      <w:contextualSpacing/>
    </w:pPr>
  </w:style>
  <w:style w:type="paragraph" w:styleId="ListNumber">
    <w:name w:val="List Number"/>
    <w:basedOn w:val="Normal"/>
    <w:rsid w:val="00561625"/>
    <w:pPr>
      <w:numPr>
        <w:numId w:val="4"/>
      </w:numPr>
      <w:contextualSpacing/>
    </w:pPr>
  </w:style>
  <w:style w:type="paragraph" w:styleId="EndnoteText">
    <w:name w:val="endnote text"/>
    <w:basedOn w:val="Normal"/>
    <w:link w:val="EndnoteTextChar"/>
    <w:semiHidden/>
    <w:unhideWhenUsed/>
    <w:rsid w:val="00DB04B3"/>
  </w:style>
  <w:style w:type="character" w:customStyle="1" w:styleId="EndnoteTextChar">
    <w:name w:val="Endnote Text Char"/>
    <w:basedOn w:val="DefaultParagraphFont"/>
    <w:link w:val="EndnoteText"/>
    <w:semiHidden/>
    <w:rsid w:val="00DB04B3"/>
    <w:rPr>
      <w:lang w:eastAsia="en-US"/>
    </w:rPr>
  </w:style>
  <w:style w:type="character" w:styleId="EndnoteReference">
    <w:name w:val="endnote reference"/>
    <w:basedOn w:val="DefaultParagraphFont"/>
    <w:semiHidden/>
    <w:unhideWhenUsed/>
    <w:rsid w:val="00DB04B3"/>
    <w:rPr>
      <w:vertAlign w:val="superscript"/>
    </w:rPr>
  </w:style>
  <w:style w:type="character" w:styleId="Emphasis">
    <w:name w:val="Emphasis"/>
    <w:basedOn w:val="DefaultParagraphFont"/>
    <w:qFormat/>
    <w:rsid w:val="002935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656762484">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m.dk/nyheder/nyhedsarkiv/2021/mar/nyt-udspil-skal-forebygge-parallelsamfund" TargetMode="External"/><Relationship Id="rId2" Type="http://schemas.openxmlformats.org/officeDocument/2006/relationships/hyperlink" Target="https://sn.dk/Helsingoer/Institut-for-Menneskerettigheder-klager-over-diskrimination-i-ghetto-/artikel/1333690" TargetMode="External"/><Relationship Id="rId1" Type="http://schemas.openxmlformats.org/officeDocument/2006/relationships/hyperlink" Target="https://www.ft.dk/samling/20181/lovforslag/L38/som_vedtaget.htm" TargetMode="External"/><Relationship Id="rId6" Type="http://schemas.openxmlformats.org/officeDocument/2006/relationships/hyperlink" Target="https://im.dk/nyheder/nyhedsarkiv/2021/mar/nyt-udspil-skal-forebygge-parallelsamfund" TargetMode="External"/><Relationship Id="rId5" Type="http://schemas.openxmlformats.org/officeDocument/2006/relationships/hyperlink" Target="https://www.retsinformation.dk/Forms/R0710.aspx?id=207366" TargetMode="External"/><Relationship Id="rId4" Type="http://schemas.openxmlformats.org/officeDocument/2006/relationships/hyperlink" Target="https://www.retsinformation.dk/eli/lta/2019/98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226319"/>
    <w:rsid w:val="00297603"/>
    <w:rsid w:val="00690D74"/>
    <w:rsid w:val="00715EA6"/>
    <w:rsid w:val="00A04BD4"/>
    <w:rsid w:val="00AE0703"/>
    <w:rsid w:val="00F52E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54E539F5-6200-4205-A158-F678E560338F}"/>
</file>

<file path=customXml/itemProps3.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2270167-FA8D-44AE-939B-F2CC3B4D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2677</Words>
  <Characters>15259</Characters>
  <Application>Microsoft Office Word</Application>
  <DocSecurity>0</DocSecurity>
  <Lines>127</Lines>
  <Paragraphs>35</Paragraphs>
  <ScaleCrop>false</ScaleCrop>
  <HeadingPairs>
    <vt:vector size="6" baseType="variant">
      <vt:variant>
        <vt:lpstr>Title</vt:lpstr>
      </vt:variant>
      <vt:variant>
        <vt:i4>1</vt:i4>
      </vt:variant>
      <vt:variant>
        <vt:lpstr>Titel</vt:lpstr>
      </vt:variant>
      <vt:variant>
        <vt:i4>1</vt:i4>
      </vt:variant>
      <vt:variant>
        <vt:lpstr/>
      </vt:variant>
      <vt:variant>
        <vt:i4>1</vt:i4>
      </vt:variant>
    </vt:vector>
  </HeadingPairs>
  <TitlesOfParts>
    <vt:vector size="3" baseType="lpstr">
      <vt:lpstr/>
      <vt:lpstr/>
      <vt:lpstr/>
    </vt:vector>
  </TitlesOfParts>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2021-05-04T17:03:00Z</dcterms:created>
  <dcterms:modified xsi:type="dcterms:W3CDTF">2021-05-06T15:19:00Z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