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A92868" w:rsidRDefault="00A92868"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r w:rsidR="00833109" w:rsidRPr="00833109">
        <w:rPr>
          <w:sz w:val="24"/>
          <w:szCs w:val="24"/>
        </w:rPr>
        <w:t>Indian Institute of Technology Bombay</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835051"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835051"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835051"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835051"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835051"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835051"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835051" w:rsidP="00226F79">
      <w:pPr>
        <w:pStyle w:val="ListParagraph"/>
        <w:ind w:left="567"/>
        <w:jc w:val="both"/>
        <w:rPr>
          <w:sz w:val="24"/>
          <w:szCs w:val="24"/>
        </w:rPr>
      </w:pPr>
      <w:sdt>
        <w:sdtPr>
          <w:rPr>
            <w:rFonts w:ascii="MS Gothic" w:eastAsia="MS Gothic" w:hAnsi="MS Gothic"/>
            <w:sz w:val="24"/>
            <w:szCs w:val="24"/>
          </w:rPr>
          <w:id w:val="579956615"/>
          <w14:checkbox>
            <w14:checked w14:val="1"/>
            <w14:checkedState w14:val="2612" w14:font="MS Gothic"/>
            <w14:uncheckedState w14:val="2610" w14:font="MS Gothic"/>
          </w14:checkbox>
        </w:sdtPr>
        <w:sdtEndPr/>
        <w:sdtContent>
          <w:r w:rsidR="00423D3C">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226F79" w:rsidRDefault="00835051"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rsidR="00226F79" w:rsidRPr="00226F79" w:rsidRDefault="00835051"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835051"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835051"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835051"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835051"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835051"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835051"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rsidR="00226F79" w:rsidRPr="00226F79" w:rsidRDefault="00835051"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835051"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rsidR="00226F79" w:rsidRPr="00226F79" w:rsidRDefault="00835051"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226F79" w:rsidRDefault="00835051"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rsidR="00226F79" w:rsidRPr="00226F79" w:rsidRDefault="00835051"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423D3C">
            <w:rPr>
              <w:rFonts w:ascii="MS Gothic" w:eastAsia="MS Gothic" w:hAnsi="MS Gothic" w:hint="eastAsia"/>
              <w:sz w:val="24"/>
              <w:szCs w:val="24"/>
            </w:rPr>
            <w:t>☒</w:t>
          </w:r>
        </w:sdtContent>
      </w:sdt>
      <w:r w:rsidR="00226F79" w:rsidRPr="00226F79">
        <w:rPr>
          <w:sz w:val="24"/>
          <w:szCs w:val="24"/>
        </w:rPr>
        <w:t>Research</w:t>
      </w:r>
    </w:p>
    <w:p w:rsidR="00226F79" w:rsidRPr="00226F79" w:rsidRDefault="00835051"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bookmarkStart w:id="0" w:name="_GoBack"/>
      <w:bookmarkEnd w:id="0"/>
    </w:p>
    <w:p w:rsidR="00226F79" w:rsidRPr="00226F79" w:rsidRDefault="00835051"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rsidR="00226F79" w:rsidRPr="00226F79" w:rsidRDefault="00835051"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835051"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423D3C">
            <w:rPr>
              <w:sz w:val="24"/>
              <w:szCs w:val="24"/>
            </w:rPr>
            <w:t>Mumbai</w:t>
          </w:r>
        </w:sdtContent>
      </w:sdt>
      <w:r w:rsidRPr="00226F79">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423D3C">
            <w:rPr>
              <w:sz w:val="24"/>
              <w:szCs w:val="24"/>
            </w:rPr>
            <w:t>Maharashtra</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423D3C">
            <w:rPr>
              <w:sz w:val="24"/>
              <w:szCs w:val="24"/>
            </w:rPr>
            <w:t>India</w:t>
          </w:r>
        </w:sdtContent>
      </w:sdt>
    </w:p>
    <w:p w:rsidR="00226F79" w:rsidRPr="00226F79" w:rsidRDefault="00226F79" w:rsidP="00226F79">
      <w:pPr>
        <w:jc w:val="both"/>
        <w:rPr>
          <w:sz w:val="24"/>
          <w:szCs w:val="24"/>
        </w:rPr>
      </w:pPr>
    </w:p>
    <w:p w:rsidR="00226F79" w:rsidRDefault="00226F79">
      <w:pPr>
        <w:rPr>
          <w:sz w:val="24"/>
          <w:szCs w:val="24"/>
        </w:rPr>
      </w:pPr>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226F79" w:rsidRDefault="00226F79" w:rsidP="00226F79">
      <w:pPr>
        <w:jc w:val="both"/>
        <w:rPr>
          <w:sz w:val="24"/>
          <w:szCs w:val="24"/>
        </w:rPr>
      </w:pPr>
    </w:p>
    <w:p w:rsidR="00226F79" w:rsidRPr="00226F79" w:rsidRDefault="00226F79" w:rsidP="00A5082E">
      <w:pPr>
        <w:pStyle w:val="ListParagraph"/>
        <w:numPr>
          <w:ilvl w:val="0"/>
          <w:numId w:val="1"/>
        </w:numPr>
        <w:jc w:val="both"/>
        <w:rPr>
          <w:sz w:val="24"/>
          <w:szCs w:val="24"/>
        </w:rPr>
      </w:pPr>
      <w:r w:rsidRPr="00226F79">
        <w:rPr>
          <w:sz w:val="24"/>
          <w:szCs w:val="24"/>
        </w:rPr>
        <w:t xml:space="preserve">People of African Descent, or Roma </w:t>
      </w:r>
    </w:p>
    <w:p w:rsidR="00226F79" w:rsidRPr="00226F79" w:rsidRDefault="00226F79" w:rsidP="00A5082E">
      <w:pPr>
        <w:pStyle w:val="ListParagraph"/>
        <w:numPr>
          <w:ilvl w:val="0"/>
          <w:numId w:val="1"/>
        </w:numPr>
        <w:jc w:val="both"/>
        <w:rPr>
          <w:sz w:val="24"/>
          <w:szCs w:val="24"/>
        </w:rPr>
      </w:pPr>
      <w:r w:rsidRPr="00226F79">
        <w:rPr>
          <w:sz w:val="24"/>
          <w:szCs w:val="24"/>
        </w:rPr>
        <w:t>Racial, caste, ethnic, religious groups/minorities or other groups</w:t>
      </w:r>
    </w:p>
    <w:p w:rsidR="00226F79" w:rsidRPr="00226F79" w:rsidRDefault="00226F79" w:rsidP="00A5082E">
      <w:pPr>
        <w:pStyle w:val="ListParagraph"/>
        <w:numPr>
          <w:ilvl w:val="0"/>
          <w:numId w:val="1"/>
        </w:numPr>
        <w:jc w:val="both"/>
        <w:rPr>
          <w:sz w:val="24"/>
          <w:szCs w:val="24"/>
        </w:rPr>
      </w:pPr>
      <w:r w:rsidRPr="00226F79">
        <w:rPr>
          <w:sz w:val="24"/>
          <w:szCs w:val="24"/>
        </w:rPr>
        <w:t xml:space="preserve">Migrants, foreigners, refugees, internally displaced persons </w:t>
      </w:r>
    </w:p>
    <w:p w:rsidR="00226F79" w:rsidRPr="00226F79" w:rsidRDefault="00226F79" w:rsidP="00A5082E">
      <w:pPr>
        <w:pStyle w:val="ListParagraph"/>
        <w:numPr>
          <w:ilvl w:val="0"/>
          <w:numId w:val="1"/>
        </w:numPr>
        <w:jc w:val="both"/>
        <w:rPr>
          <w:sz w:val="24"/>
          <w:szCs w:val="24"/>
        </w:rPr>
      </w:pPr>
      <w:r w:rsidRPr="00226F79">
        <w:rPr>
          <w:sz w:val="24"/>
          <w:szCs w:val="24"/>
        </w:rPr>
        <w:t xml:space="preserve">Women, children or older persons </w:t>
      </w:r>
    </w:p>
    <w:p w:rsidR="00226F79" w:rsidRPr="00226F79" w:rsidRDefault="00226F79" w:rsidP="00A5082E">
      <w:pPr>
        <w:pStyle w:val="ListParagraph"/>
        <w:numPr>
          <w:ilvl w:val="0"/>
          <w:numId w:val="1"/>
        </w:numPr>
        <w:jc w:val="both"/>
        <w:rPr>
          <w:sz w:val="24"/>
          <w:szCs w:val="24"/>
        </w:rPr>
      </w:pPr>
      <w:r w:rsidRPr="00226F79">
        <w:rPr>
          <w:sz w:val="24"/>
          <w:szCs w:val="24"/>
        </w:rPr>
        <w:t>Indigenous peoples</w:t>
      </w:r>
    </w:p>
    <w:p w:rsidR="00226F79" w:rsidRPr="00226F79" w:rsidRDefault="00226F79" w:rsidP="00A5082E">
      <w:pPr>
        <w:pStyle w:val="ListParagraph"/>
        <w:numPr>
          <w:ilvl w:val="0"/>
          <w:numId w:val="1"/>
        </w:numPr>
        <w:jc w:val="both"/>
        <w:rPr>
          <w:sz w:val="24"/>
          <w:szCs w:val="24"/>
        </w:rPr>
      </w:pPr>
      <w:r w:rsidRPr="00226F79">
        <w:rPr>
          <w:sz w:val="24"/>
          <w:szCs w:val="24"/>
        </w:rPr>
        <w:t xml:space="preserve">Persons with disabilities </w:t>
      </w:r>
    </w:p>
    <w:p w:rsidR="00226F79" w:rsidRPr="00226F79" w:rsidRDefault="00226F79" w:rsidP="00A5082E">
      <w:pPr>
        <w:pStyle w:val="ListParagraph"/>
        <w:numPr>
          <w:ilvl w:val="0"/>
          <w:numId w:val="1"/>
        </w:numPr>
        <w:jc w:val="both"/>
        <w:rPr>
          <w:sz w:val="24"/>
          <w:szCs w:val="24"/>
        </w:rPr>
      </w:pPr>
      <w:r w:rsidRPr="00226F79">
        <w:rPr>
          <w:sz w:val="24"/>
          <w:szCs w:val="24"/>
        </w:rPr>
        <w:t xml:space="preserve">LGBTQ persons </w:t>
      </w:r>
    </w:p>
    <w:p w:rsidR="00226F79" w:rsidRPr="00226F79" w:rsidRDefault="00226F79" w:rsidP="00A5082E">
      <w:pPr>
        <w:pStyle w:val="ListParagraph"/>
        <w:numPr>
          <w:ilvl w:val="0"/>
          <w:numId w:val="1"/>
        </w:numPr>
        <w:jc w:val="both"/>
        <w:rPr>
          <w:sz w:val="24"/>
          <w:szCs w:val="24"/>
        </w:rPr>
      </w:pPr>
      <w:r w:rsidRPr="00226F79">
        <w:rPr>
          <w:sz w:val="24"/>
          <w:szCs w:val="24"/>
        </w:rPr>
        <w:t xml:space="preserve">Low income persons, including people living in poverty </w:t>
      </w:r>
    </w:p>
    <w:p w:rsidR="00226F79" w:rsidRPr="00226F79" w:rsidRDefault="00226F79" w:rsidP="00A5082E">
      <w:pPr>
        <w:pStyle w:val="ListParagraph"/>
        <w:numPr>
          <w:ilvl w:val="0"/>
          <w:numId w:val="1"/>
        </w:numPr>
        <w:jc w:val="both"/>
        <w:rPr>
          <w:sz w:val="24"/>
          <w:szCs w:val="24"/>
        </w:rPr>
      </w:pPr>
      <w:r w:rsidRPr="00226F79">
        <w:rPr>
          <w:sz w:val="24"/>
          <w:szCs w:val="24"/>
        </w:rPr>
        <w:t>Residents of informal settlements; persons experiencing homelessness</w:t>
      </w:r>
    </w:p>
    <w:p w:rsidR="00226F79" w:rsidRPr="00226F79" w:rsidRDefault="00226F79" w:rsidP="00A5082E">
      <w:pPr>
        <w:pStyle w:val="ListParagraph"/>
        <w:numPr>
          <w:ilvl w:val="0"/>
          <w:numId w:val="1"/>
        </w:numPr>
        <w:jc w:val="both"/>
        <w:rPr>
          <w:sz w:val="24"/>
          <w:szCs w:val="24"/>
        </w:rPr>
      </w:pPr>
      <w:r w:rsidRPr="00226F79">
        <w:rPr>
          <w:sz w:val="24"/>
          <w:szCs w:val="24"/>
        </w:rPr>
        <w:t>Other social groups, please specify</w:t>
      </w:r>
    </w:p>
    <w:p w:rsidR="00226F79" w:rsidRPr="00226F79" w:rsidRDefault="00226F79" w:rsidP="00226F79">
      <w:pPr>
        <w:jc w:val="both"/>
        <w:rPr>
          <w:sz w:val="24"/>
          <w:szCs w:val="24"/>
        </w:rPr>
      </w:pPr>
    </w:p>
    <w:sdt>
      <w:sdtPr>
        <w:id w:val="726886835"/>
        <w:placeholder>
          <w:docPart w:val="8C51350C3C2E40C7B851479DE8F27FC8"/>
        </w:placeholder>
      </w:sdtPr>
      <w:sdtEndPr/>
      <w:sdtContent>
        <w:p w:rsidR="00D410EB" w:rsidRDefault="006D1A8D" w:rsidP="00D410EB">
          <w:pPr>
            <w:pStyle w:val="ListParagraph"/>
            <w:numPr>
              <w:ilvl w:val="0"/>
              <w:numId w:val="3"/>
            </w:numPr>
            <w:jc w:val="both"/>
            <w:rPr>
              <w:sz w:val="24"/>
              <w:szCs w:val="24"/>
            </w:rPr>
          </w:pPr>
          <w:r w:rsidRPr="00EB190D">
            <w:rPr>
              <w:b/>
            </w:rPr>
            <w:t>C</w:t>
          </w:r>
          <w:r w:rsidRPr="00EB190D">
            <w:rPr>
              <w:b/>
              <w:sz w:val="24"/>
              <w:szCs w:val="24"/>
            </w:rPr>
            <w:t>aste and religious groups/minorities:</w:t>
          </w:r>
          <w:r>
            <w:rPr>
              <w:sz w:val="24"/>
              <w:szCs w:val="24"/>
            </w:rPr>
            <w:t xml:space="preserve"> </w:t>
          </w:r>
          <w:r w:rsidR="009E1A46">
            <w:rPr>
              <w:sz w:val="24"/>
              <w:szCs w:val="24"/>
            </w:rPr>
            <w:t xml:space="preserve">Housing supply in India, both homeownership and rental, is fully market based. The private players involved in production of the housing stock are totally profit oriented </w:t>
          </w:r>
          <w:r w:rsidR="00980B8F">
            <w:rPr>
              <w:sz w:val="24"/>
              <w:szCs w:val="24"/>
            </w:rPr>
            <w:t>as per the</w:t>
          </w:r>
          <w:r w:rsidR="009E1A46">
            <w:rPr>
              <w:sz w:val="24"/>
              <w:szCs w:val="24"/>
            </w:rPr>
            <w:t xml:space="preserve"> market logics. There is </w:t>
          </w:r>
          <w:r w:rsidR="00151301">
            <w:rPr>
              <w:sz w:val="24"/>
              <w:szCs w:val="24"/>
            </w:rPr>
            <w:t>less control of government on the day-to-day housing market transactions that does not necessarily come under the social justice purview of government.</w:t>
          </w:r>
          <w:r w:rsidR="00980B8F">
            <w:rPr>
              <w:sz w:val="24"/>
              <w:szCs w:val="24"/>
            </w:rPr>
            <w:t xml:space="preserve"> Discrimination along caste and religious lines is evident more so in urban regions with high population densities. </w:t>
          </w:r>
          <w:proofErr w:type="spellStart"/>
          <w:r w:rsidR="00980B8F">
            <w:rPr>
              <w:sz w:val="24"/>
              <w:szCs w:val="24"/>
            </w:rPr>
            <w:t>Thorat</w:t>
          </w:r>
          <w:proofErr w:type="spellEnd"/>
          <w:r w:rsidR="00980B8F">
            <w:rPr>
              <w:sz w:val="24"/>
              <w:szCs w:val="24"/>
            </w:rPr>
            <w:t xml:space="preserve"> et. al., (2015) examined form of </w:t>
          </w:r>
          <w:r w:rsidR="004C30AB">
            <w:rPr>
              <w:sz w:val="24"/>
              <w:szCs w:val="24"/>
            </w:rPr>
            <w:t xml:space="preserve">housing </w:t>
          </w:r>
          <w:r w:rsidR="00980B8F">
            <w:rPr>
              <w:sz w:val="24"/>
              <w:szCs w:val="24"/>
            </w:rPr>
            <w:t>discriminations along caste and religious lines in the five metropolitan areas of National Capital Region of Delhi</w:t>
          </w:r>
          <w:r w:rsidR="004C30AB">
            <w:rPr>
              <w:sz w:val="24"/>
              <w:szCs w:val="24"/>
            </w:rPr>
            <w:t xml:space="preserve">. The study found that, the urban rental housing markets and the homeowners renting out the houses operate discriminatorily against </w:t>
          </w:r>
          <w:proofErr w:type="spellStart"/>
          <w:r w:rsidR="004C30AB">
            <w:rPr>
              <w:sz w:val="24"/>
              <w:szCs w:val="24"/>
            </w:rPr>
            <w:t>Dalits</w:t>
          </w:r>
          <w:proofErr w:type="spellEnd"/>
          <w:r w:rsidR="004C30AB">
            <w:rPr>
              <w:sz w:val="24"/>
              <w:szCs w:val="24"/>
            </w:rPr>
            <w:t xml:space="preserve"> and Muslims. </w:t>
          </w:r>
          <w:r w:rsidR="00A12E60">
            <w:rPr>
              <w:sz w:val="24"/>
              <w:szCs w:val="24"/>
            </w:rPr>
            <w:t xml:space="preserve">These findings challenge the common assumption that the invisible hand operating in the market vouches only for efficiency and demand-supply stability ignoring the other behavioural factors. The prejudices of landlords and property dealers are rooted in the specific preferences held by these entities that work against </w:t>
          </w:r>
          <w:proofErr w:type="spellStart"/>
          <w:r w:rsidR="00A12E60">
            <w:rPr>
              <w:sz w:val="24"/>
              <w:szCs w:val="24"/>
            </w:rPr>
            <w:t>Dalits</w:t>
          </w:r>
          <w:proofErr w:type="spellEnd"/>
          <w:r w:rsidR="00A12E60">
            <w:rPr>
              <w:sz w:val="24"/>
              <w:szCs w:val="24"/>
            </w:rPr>
            <w:t xml:space="preserve"> and Muslims. Caste and religious identity defy the logics of markets in the rental housing sector and breeds social discrimination</w:t>
          </w:r>
          <w:r w:rsidR="00EB190D">
            <w:rPr>
              <w:sz w:val="24"/>
              <w:szCs w:val="24"/>
            </w:rPr>
            <w:t xml:space="preserve"> against specific groups.</w:t>
          </w:r>
        </w:p>
        <w:p w:rsidR="00D410EB" w:rsidRDefault="00D410EB" w:rsidP="00D410EB">
          <w:pPr>
            <w:pStyle w:val="ListParagraph"/>
            <w:ind w:left="1080"/>
            <w:rPr>
              <w:sz w:val="24"/>
              <w:szCs w:val="24"/>
            </w:rPr>
          </w:pPr>
        </w:p>
        <w:p w:rsidR="00D410EB" w:rsidRPr="00D410EB" w:rsidRDefault="00D410EB" w:rsidP="00D410EB">
          <w:pPr>
            <w:pStyle w:val="ListParagraph"/>
            <w:ind w:left="1080"/>
            <w:rPr>
              <w:sz w:val="24"/>
              <w:szCs w:val="24"/>
            </w:rPr>
          </w:pPr>
          <w:proofErr w:type="spellStart"/>
          <w:r w:rsidRPr="00D410EB">
            <w:rPr>
              <w:sz w:val="24"/>
              <w:szCs w:val="24"/>
            </w:rPr>
            <w:t>Thorat</w:t>
          </w:r>
          <w:proofErr w:type="spellEnd"/>
          <w:r w:rsidRPr="00D410EB">
            <w:rPr>
              <w:sz w:val="24"/>
              <w:szCs w:val="24"/>
            </w:rPr>
            <w:t xml:space="preserve"> et.</w:t>
          </w:r>
          <w:r>
            <w:rPr>
              <w:sz w:val="24"/>
              <w:szCs w:val="24"/>
            </w:rPr>
            <w:t xml:space="preserve"> al. (2015) can be accessed at: </w:t>
          </w:r>
          <w:r w:rsidRPr="00D410EB">
            <w:rPr>
              <w:sz w:val="24"/>
              <w:szCs w:val="24"/>
            </w:rPr>
            <w:t>https://www.jstor.org/stable/24482557?seq=1#metadata_info_tab_contents</w:t>
          </w:r>
        </w:p>
        <w:p w:rsidR="00EB190D" w:rsidRDefault="00EB190D" w:rsidP="00EB190D">
          <w:pPr>
            <w:pStyle w:val="ListParagraph"/>
            <w:ind w:left="1080"/>
            <w:jc w:val="both"/>
            <w:rPr>
              <w:sz w:val="24"/>
              <w:szCs w:val="24"/>
            </w:rPr>
          </w:pPr>
        </w:p>
        <w:p w:rsidR="00796C0E" w:rsidRDefault="00EB190D" w:rsidP="00A5082E">
          <w:pPr>
            <w:pStyle w:val="ListParagraph"/>
            <w:numPr>
              <w:ilvl w:val="0"/>
              <w:numId w:val="3"/>
            </w:numPr>
            <w:jc w:val="both"/>
            <w:rPr>
              <w:sz w:val="24"/>
              <w:szCs w:val="24"/>
            </w:rPr>
          </w:pPr>
          <w:r w:rsidRPr="00EB190D">
            <w:rPr>
              <w:b/>
              <w:sz w:val="24"/>
              <w:szCs w:val="24"/>
            </w:rPr>
            <w:t>Low income persons, including people living in poverty</w:t>
          </w:r>
          <w:r>
            <w:rPr>
              <w:sz w:val="24"/>
              <w:szCs w:val="24"/>
            </w:rPr>
            <w:t>:</w:t>
          </w:r>
          <w:r w:rsidR="00796C0E">
            <w:rPr>
              <w:sz w:val="24"/>
              <w:szCs w:val="24"/>
            </w:rPr>
            <w:t xml:space="preserve"> Low income households in urban areas get priced out of the housing markets as the prices are too high. Also, the scarcity of land, high population densities, and high speculative potential of land parcels push the land and house prices beyond the capacity of many low-income and middle-income households.</w:t>
          </w:r>
        </w:p>
        <w:p w:rsidR="00796C0E" w:rsidRPr="00796C0E" w:rsidRDefault="00796C0E" w:rsidP="00796C0E">
          <w:pPr>
            <w:pStyle w:val="ListParagraph"/>
            <w:rPr>
              <w:sz w:val="24"/>
              <w:szCs w:val="24"/>
            </w:rPr>
          </w:pPr>
        </w:p>
        <w:p w:rsidR="00226F79" w:rsidRPr="006D1A8D" w:rsidRDefault="00796C0E" w:rsidP="00A5082E">
          <w:pPr>
            <w:pStyle w:val="ListParagraph"/>
            <w:numPr>
              <w:ilvl w:val="0"/>
              <w:numId w:val="3"/>
            </w:numPr>
            <w:jc w:val="both"/>
            <w:rPr>
              <w:sz w:val="24"/>
              <w:szCs w:val="24"/>
            </w:rPr>
          </w:pPr>
          <w:r w:rsidRPr="00796C0E">
            <w:rPr>
              <w:b/>
              <w:sz w:val="24"/>
              <w:szCs w:val="24"/>
            </w:rPr>
            <w:t>Residents of informal settlements; persons experiencing homelessness</w:t>
          </w:r>
          <w:r>
            <w:rPr>
              <w:sz w:val="24"/>
              <w:szCs w:val="24"/>
            </w:rPr>
            <w:t xml:space="preserve">: Households from informal settlements </w:t>
          </w:r>
          <w:r w:rsidR="002516F4">
            <w:rPr>
              <w:sz w:val="24"/>
              <w:szCs w:val="24"/>
            </w:rPr>
            <w:t xml:space="preserve">are especially caught in between the informal nature of their tenure and highly formalizing tendencies of the state. The informal settlements attract a lot of urban poor migrants due to the low housing costs and easy and fast access to homes. Even though one vertical of Pradhan </w:t>
          </w:r>
          <w:proofErr w:type="spellStart"/>
          <w:r w:rsidR="002516F4">
            <w:rPr>
              <w:sz w:val="24"/>
              <w:szCs w:val="24"/>
            </w:rPr>
            <w:t>Mantri</w:t>
          </w:r>
          <w:proofErr w:type="spellEnd"/>
          <w:r w:rsidR="002516F4">
            <w:rPr>
              <w:sz w:val="24"/>
              <w:szCs w:val="24"/>
            </w:rPr>
            <w:t xml:space="preserve"> </w:t>
          </w:r>
          <w:proofErr w:type="spellStart"/>
          <w:r w:rsidR="002516F4">
            <w:rPr>
              <w:sz w:val="24"/>
              <w:szCs w:val="24"/>
            </w:rPr>
            <w:t>Awaas</w:t>
          </w:r>
          <w:proofErr w:type="spellEnd"/>
          <w:r w:rsidR="002516F4">
            <w:rPr>
              <w:sz w:val="24"/>
              <w:szCs w:val="24"/>
            </w:rPr>
            <w:t xml:space="preserve"> </w:t>
          </w:r>
          <w:proofErr w:type="spellStart"/>
          <w:r w:rsidR="002516F4">
            <w:rPr>
              <w:sz w:val="24"/>
              <w:szCs w:val="24"/>
            </w:rPr>
            <w:t>Yojana</w:t>
          </w:r>
          <w:proofErr w:type="spellEnd"/>
          <w:r w:rsidR="002516F4">
            <w:rPr>
              <w:sz w:val="24"/>
              <w:szCs w:val="24"/>
            </w:rPr>
            <w:t xml:space="preserve"> – Urban (PMAY-U) named In-Situ Slum </w:t>
          </w:r>
          <w:r w:rsidR="002516F4">
            <w:rPr>
              <w:sz w:val="24"/>
              <w:szCs w:val="24"/>
            </w:rPr>
            <w:lastRenderedPageBreak/>
            <w:t xml:space="preserve">Rehabilitation (ISSR) targets informal settlements, the uptake of the scheme is very low owing to the multiple stakeholders and their interests.  </w:t>
          </w:r>
        </w:p>
      </w:sdtContent>
    </w:sdt>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Accessibility</w:t>
      </w:r>
    </w:p>
    <w:p w:rsidR="00226F79" w:rsidRPr="00226F79" w:rsidRDefault="00226F79" w:rsidP="00A5082E">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rsidR="00226F79" w:rsidRPr="00226F79" w:rsidRDefault="00226F79" w:rsidP="00A5082E">
      <w:pPr>
        <w:pStyle w:val="ListParagraph"/>
        <w:numPr>
          <w:ilvl w:val="0"/>
          <w:numId w:val="2"/>
        </w:numPr>
        <w:jc w:val="both"/>
        <w:rPr>
          <w:sz w:val="24"/>
          <w:szCs w:val="24"/>
        </w:rPr>
      </w:pPr>
      <w:r w:rsidRPr="00226F79">
        <w:rPr>
          <w:sz w:val="24"/>
          <w:szCs w:val="24"/>
        </w:rPr>
        <w:t xml:space="preserve">Discrimination in relation to housing for rental or for acquisition or in accessing public or social housing; </w:t>
      </w:r>
    </w:p>
    <w:p w:rsidR="00226F79" w:rsidRPr="00226F79" w:rsidRDefault="000C7384" w:rsidP="00A5082E">
      <w:pPr>
        <w:pStyle w:val="ListParagraph"/>
        <w:numPr>
          <w:ilvl w:val="0"/>
          <w:numId w:val="2"/>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rsidR="00226F79" w:rsidRPr="00226F79" w:rsidRDefault="000C7384" w:rsidP="00A5082E">
      <w:pPr>
        <w:pStyle w:val="ListParagraph"/>
        <w:numPr>
          <w:ilvl w:val="0"/>
          <w:numId w:val="2"/>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rsidR="00226F79" w:rsidRPr="00226F79" w:rsidRDefault="00226F79" w:rsidP="00A5082E">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Habitability</w:t>
      </w:r>
    </w:p>
    <w:p w:rsidR="00226F79" w:rsidRPr="00226F79" w:rsidRDefault="00226F79" w:rsidP="00A5082E">
      <w:pPr>
        <w:pStyle w:val="ListParagraph"/>
        <w:numPr>
          <w:ilvl w:val="0"/>
          <w:numId w:val="2"/>
        </w:numPr>
        <w:jc w:val="both"/>
        <w:rPr>
          <w:sz w:val="24"/>
          <w:szCs w:val="24"/>
        </w:rPr>
      </w:pPr>
      <w:r w:rsidRPr="00226F79">
        <w:rPr>
          <w:sz w:val="24"/>
          <w:szCs w:val="24"/>
        </w:rPr>
        <w:t xml:space="preserve">discrimination in relation to housing conditions, overcrowding or housing maintenance; </w:t>
      </w:r>
    </w:p>
    <w:p w:rsidR="00226F79" w:rsidRPr="00226F79" w:rsidRDefault="000C7384" w:rsidP="00A5082E">
      <w:pPr>
        <w:pStyle w:val="ListParagraph"/>
        <w:numPr>
          <w:ilvl w:val="0"/>
          <w:numId w:val="2"/>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226F79" w:rsidRDefault="00226F79" w:rsidP="00A5082E">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rsidR="00226F79" w:rsidRPr="00226F79" w:rsidRDefault="00226F79" w:rsidP="00A5082E">
      <w:pPr>
        <w:pStyle w:val="ListParagraph"/>
        <w:numPr>
          <w:ilvl w:val="0"/>
          <w:numId w:val="2"/>
        </w:numPr>
        <w:jc w:val="both"/>
        <w:rPr>
          <w:sz w:val="24"/>
          <w:szCs w:val="24"/>
        </w:rPr>
      </w:pPr>
      <w:r w:rsidRPr="00226F79">
        <w:rPr>
          <w:sz w:val="24"/>
          <w:szCs w:val="24"/>
        </w:rPr>
        <w:t>Discrimination in relation to housing renovation or permission of housing extension;</w:t>
      </w:r>
    </w:p>
    <w:p w:rsidR="00226F79" w:rsidRDefault="00226F79" w:rsidP="00226F79">
      <w:pPr>
        <w:ind w:left="360"/>
        <w:jc w:val="both"/>
        <w:rPr>
          <w:sz w:val="24"/>
          <w:szCs w:val="24"/>
        </w:rPr>
      </w:pPr>
    </w:p>
    <w:p w:rsidR="003A314E" w:rsidRPr="00226F79" w:rsidRDefault="003A314E" w:rsidP="00226F79">
      <w:pPr>
        <w:ind w:left="360"/>
        <w:jc w:val="both"/>
        <w:rPr>
          <w:sz w:val="24"/>
          <w:szCs w:val="24"/>
        </w:rPr>
      </w:pPr>
    </w:p>
    <w:p w:rsidR="00226F79" w:rsidRPr="00226F79" w:rsidRDefault="00226F79" w:rsidP="00226F79">
      <w:pPr>
        <w:jc w:val="both"/>
        <w:rPr>
          <w:i/>
          <w:sz w:val="24"/>
          <w:szCs w:val="24"/>
        </w:rPr>
      </w:pPr>
      <w:r w:rsidRPr="00226F79">
        <w:rPr>
          <w:i/>
          <w:sz w:val="24"/>
          <w:szCs w:val="24"/>
        </w:rPr>
        <w:t>Affordability</w:t>
      </w:r>
    </w:p>
    <w:p w:rsidR="00226F79" w:rsidRPr="00226F79" w:rsidRDefault="00226F79" w:rsidP="00A5082E">
      <w:pPr>
        <w:pStyle w:val="ListParagraph"/>
        <w:numPr>
          <w:ilvl w:val="0"/>
          <w:numId w:val="2"/>
        </w:numPr>
        <w:jc w:val="both"/>
        <w:rPr>
          <w:sz w:val="24"/>
          <w:szCs w:val="24"/>
        </w:rPr>
      </w:pPr>
      <w:r w:rsidRPr="00226F79">
        <w:rPr>
          <w:sz w:val="24"/>
          <w:szCs w:val="24"/>
        </w:rPr>
        <w:t>Discrimination in relation to access to public benefits related to housing;</w:t>
      </w:r>
    </w:p>
    <w:p w:rsidR="00226F79" w:rsidRPr="00226F79" w:rsidRDefault="00226F79" w:rsidP="00A5082E">
      <w:pPr>
        <w:pStyle w:val="ListParagraph"/>
        <w:numPr>
          <w:ilvl w:val="0"/>
          <w:numId w:val="2"/>
        </w:numPr>
        <w:jc w:val="both"/>
        <w:rPr>
          <w:sz w:val="24"/>
          <w:szCs w:val="24"/>
        </w:rPr>
      </w:pPr>
      <w:r w:rsidRPr="00226F79">
        <w:rPr>
          <w:sz w:val="24"/>
          <w:szCs w:val="24"/>
        </w:rPr>
        <w:t xml:space="preserve">Lack of equal access to affordable housing; </w:t>
      </w:r>
    </w:p>
    <w:p w:rsidR="00226F79" w:rsidRPr="00226F79" w:rsidRDefault="00226F79" w:rsidP="00A5082E">
      <w:pPr>
        <w:pStyle w:val="ListParagraph"/>
        <w:numPr>
          <w:ilvl w:val="0"/>
          <w:numId w:val="2"/>
        </w:numPr>
        <w:jc w:val="both"/>
        <w:rPr>
          <w:sz w:val="24"/>
          <w:szCs w:val="24"/>
        </w:rPr>
      </w:pPr>
      <w:r w:rsidRPr="00226F79">
        <w:rPr>
          <w:sz w:val="24"/>
          <w:szCs w:val="24"/>
        </w:rPr>
        <w:t>Discrimination in public and private housing financing;</w:t>
      </w:r>
    </w:p>
    <w:p w:rsidR="00226F79" w:rsidRPr="00226F79" w:rsidRDefault="00226F79" w:rsidP="00A5082E">
      <w:pPr>
        <w:pStyle w:val="ListParagraph"/>
        <w:numPr>
          <w:ilvl w:val="0"/>
          <w:numId w:val="2"/>
        </w:numPr>
        <w:jc w:val="both"/>
        <w:rPr>
          <w:sz w:val="24"/>
          <w:szCs w:val="24"/>
        </w:rPr>
      </w:pPr>
      <w:r w:rsidRPr="00226F79">
        <w:rPr>
          <w:sz w:val="24"/>
          <w:szCs w:val="24"/>
        </w:rPr>
        <w:t>Discrimination related to housing and service costs, housing related fees, litigation or taxation;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Security of tenure</w:t>
      </w:r>
    </w:p>
    <w:p w:rsidR="00226F79" w:rsidRPr="00226F79" w:rsidRDefault="000C7384" w:rsidP="00A5082E">
      <w:pPr>
        <w:pStyle w:val="ListParagraph"/>
        <w:numPr>
          <w:ilvl w:val="0"/>
          <w:numId w:val="2"/>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rsidR="00226F79" w:rsidRPr="00226F79" w:rsidRDefault="000C7384" w:rsidP="00A5082E">
      <w:pPr>
        <w:pStyle w:val="ListParagraph"/>
        <w:numPr>
          <w:ilvl w:val="0"/>
          <w:numId w:val="2"/>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rsidR="00226F79" w:rsidRPr="00226F79" w:rsidRDefault="000C7384" w:rsidP="00A5082E">
      <w:pPr>
        <w:pStyle w:val="ListParagraph"/>
        <w:numPr>
          <w:ilvl w:val="0"/>
          <w:numId w:val="2"/>
        </w:numPr>
        <w:jc w:val="both"/>
        <w:rPr>
          <w:sz w:val="24"/>
          <w:szCs w:val="24"/>
        </w:rPr>
      </w:pPr>
      <w:r>
        <w:rPr>
          <w:sz w:val="24"/>
          <w:szCs w:val="24"/>
        </w:rPr>
        <w:t>D</w:t>
      </w:r>
      <w:r w:rsidR="00226F79" w:rsidRPr="00226F79">
        <w:rPr>
          <w:sz w:val="24"/>
          <w:szCs w:val="24"/>
        </w:rPr>
        <w:t>ifferential treatment in land or title registration, permission of housing construction;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rsidR="00226F79" w:rsidRPr="00226F79" w:rsidRDefault="000C7384" w:rsidP="00A5082E">
      <w:pPr>
        <w:pStyle w:val="ListParagraph"/>
        <w:numPr>
          <w:ilvl w:val="0"/>
          <w:numId w:val="2"/>
        </w:numPr>
        <w:jc w:val="both"/>
        <w:rPr>
          <w:sz w:val="24"/>
          <w:szCs w:val="24"/>
        </w:rPr>
      </w:pPr>
      <w:r>
        <w:rPr>
          <w:sz w:val="24"/>
          <w:szCs w:val="24"/>
        </w:rPr>
        <w:lastRenderedPageBreak/>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A5082E">
      <w:pPr>
        <w:pStyle w:val="ListParagraph"/>
        <w:numPr>
          <w:ilvl w:val="0"/>
          <w:numId w:val="2"/>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226F79" w:rsidRDefault="000C7384" w:rsidP="00A5082E">
      <w:pPr>
        <w:pStyle w:val="ListParagraph"/>
        <w:numPr>
          <w:ilvl w:val="0"/>
          <w:numId w:val="2"/>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A5082E">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A5082E">
      <w:pPr>
        <w:pStyle w:val="ListParagraph"/>
        <w:numPr>
          <w:ilvl w:val="0"/>
          <w:numId w:val="2"/>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A5082E">
      <w:pPr>
        <w:pStyle w:val="ListParagraph"/>
        <w:numPr>
          <w:ilvl w:val="0"/>
          <w:numId w:val="2"/>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226F79" w:rsidRDefault="000C7384" w:rsidP="00A5082E">
      <w:pPr>
        <w:pStyle w:val="ListParagraph"/>
        <w:numPr>
          <w:ilvl w:val="0"/>
          <w:numId w:val="2"/>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rsidR="00226F79" w:rsidRPr="00226F79" w:rsidRDefault="000C7384" w:rsidP="00A5082E">
      <w:pPr>
        <w:pStyle w:val="ListParagraph"/>
        <w:numPr>
          <w:ilvl w:val="0"/>
          <w:numId w:val="2"/>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226F79" w:rsidRDefault="00226F79" w:rsidP="00226F79">
      <w:pPr>
        <w:jc w:val="both"/>
        <w:rPr>
          <w:i/>
          <w:sz w:val="24"/>
          <w:szCs w:val="24"/>
        </w:rPr>
      </w:pPr>
      <w:r w:rsidRPr="00226F79">
        <w:rPr>
          <w:i/>
          <w:sz w:val="24"/>
          <w:szCs w:val="24"/>
        </w:rPr>
        <w:t>Cultural adequacy</w:t>
      </w:r>
    </w:p>
    <w:p w:rsidR="00226F79" w:rsidRPr="00226F79" w:rsidRDefault="00226F79" w:rsidP="00A5082E">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rsidR="00226F79" w:rsidRPr="00226F79" w:rsidRDefault="000C7384" w:rsidP="00A5082E">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rsidR="00226F79" w:rsidRPr="00226F79" w:rsidRDefault="000C7384" w:rsidP="00A5082E">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rsidR="00226F79" w:rsidRPr="00226F79" w:rsidRDefault="00226F79" w:rsidP="00226F79">
      <w:pPr>
        <w:pStyle w:val="ListParagraph"/>
        <w:jc w:val="both"/>
        <w:rPr>
          <w:sz w:val="24"/>
          <w:szCs w:val="24"/>
        </w:rPr>
      </w:pPr>
    </w:p>
    <w:sdt>
      <w:sdtPr>
        <w:rPr>
          <w:sz w:val="24"/>
          <w:szCs w:val="24"/>
        </w:rPr>
        <w:id w:val="727583382"/>
      </w:sdtPr>
      <w:sdtEndPr/>
      <w:sdtContent>
        <w:p w:rsidR="00DD7B55" w:rsidRDefault="00DD7B55" w:rsidP="00226F79">
          <w:pPr>
            <w:jc w:val="both"/>
            <w:rPr>
              <w:sz w:val="24"/>
              <w:szCs w:val="24"/>
            </w:rPr>
          </w:pPr>
          <w:r w:rsidRPr="007D3337">
            <w:rPr>
              <w:b/>
              <w:sz w:val="24"/>
              <w:szCs w:val="24"/>
            </w:rPr>
            <w:t>Accessibility:</w:t>
          </w:r>
        </w:p>
        <w:p w:rsidR="00DD7B55" w:rsidRDefault="00DD7B55" w:rsidP="00226F79">
          <w:pPr>
            <w:jc w:val="both"/>
            <w:rPr>
              <w:sz w:val="24"/>
              <w:szCs w:val="24"/>
            </w:rPr>
          </w:pPr>
          <w:r>
            <w:rPr>
              <w:sz w:val="24"/>
              <w:szCs w:val="24"/>
            </w:rPr>
            <w:t>As discussed earlier the Dalit and Muslim community faces discrimination in rental housing access.</w:t>
          </w:r>
        </w:p>
        <w:p w:rsidR="00306810" w:rsidRDefault="00DD7B55" w:rsidP="00226F79">
          <w:pPr>
            <w:jc w:val="both"/>
            <w:rPr>
              <w:sz w:val="24"/>
              <w:szCs w:val="24"/>
            </w:rPr>
          </w:pPr>
          <w:r>
            <w:rPr>
              <w:sz w:val="24"/>
              <w:szCs w:val="24"/>
            </w:rPr>
            <w:t>Indian state has so far neglected the plight of homeless citizens especially in the urban areas. The homeless people are treated as second-class citizens as they do not possess legally traceable citizenship documents. The housing schemes under which some homeless shelters we built are in a poor and uninhabitable condition.</w:t>
          </w:r>
        </w:p>
        <w:p w:rsidR="00306810" w:rsidRDefault="00306810" w:rsidP="00226F79">
          <w:pPr>
            <w:jc w:val="both"/>
            <w:rPr>
              <w:sz w:val="24"/>
              <w:szCs w:val="24"/>
            </w:rPr>
          </w:pPr>
        </w:p>
        <w:p w:rsidR="00306810" w:rsidRPr="007D3337" w:rsidRDefault="00306810" w:rsidP="00226F79">
          <w:pPr>
            <w:jc w:val="both"/>
            <w:rPr>
              <w:b/>
              <w:sz w:val="24"/>
              <w:szCs w:val="24"/>
            </w:rPr>
          </w:pPr>
          <w:r w:rsidRPr="007D3337">
            <w:rPr>
              <w:b/>
              <w:sz w:val="24"/>
              <w:szCs w:val="24"/>
            </w:rPr>
            <w:t>Habitability:</w:t>
          </w:r>
        </w:p>
        <w:p w:rsidR="00D9600F" w:rsidRDefault="00CF5332" w:rsidP="00226F79">
          <w:pPr>
            <w:jc w:val="both"/>
            <w:rPr>
              <w:sz w:val="24"/>
              <w:szCs w:val="24"/>
            </w:rPr>
          </w:pPr>
          <w:r>
            <w:rPr>
              <w:sz w:val="24"/>
              <w:szCs w:val="24"/>
            </w:rPr>
            <w:t>Indian slum areas house around 65 million individuals who live in poor and uninhabitable conditions facing overcrowding, lack of access to public utilities most importantly sanitation. The notified slums where the residents have legal tenure are in comparatively better condition than non-notified slums. They have access to public utilities like water, electricity, sanitation, and most importantly they live without the fear of eviction. In non-notified slums, the residents constantly live in fear of evictions and face lack of stable supply of basic utilities. The slum</w:t>
          </w:r>
          <w:r w:rsidR="00D77E42">
            <w:rPr>
              <w:sz w:val="24"/>
              <w:szCs w:val="24"/>
            </w:rPr>
            <w:t xml:space="preserve"> residents sometimes end up paying multiple times of the basic municipal rates for utilities like water. </w:t>
          </w:r>
          <w:r w:rsidR="00D9600F">
            <w:rPr>
              <w:sz w:val="24"/>
              <w:szCs w:val="24"/>
            </w:rPr>
            <w:t xml:space="preserve">For instance, a study by </w:t>
          </w:r>
          <w:proofErr w:type="spellStart"/>
          <w:r w:rsidR="00D9600F">
            <w:rPr>
              <w:sz w:val="24"/>
              <w:szCs w:val="24"/>
            </w:rPr>
            <w:t>Subbaraman</w:t>
          </w:r>
          <w:proofErr w:type="spellEnd"/>
          <w:r w:rsidR="00D9600F">
            <w:rPr>
              <w:sz w:val="24"/>
              <w:szCs w:val="24"/>
            </w:rPr>
            <w:t xml:space="preserve"> &amp; Murthy (2015) undertaken in the </w:t>
          </w:r>
          <w:proofErr w:type="spellStart"/>
          <w:r w:rsidR="00D9600F">
            <w:rPr>
              <w:sz w:val="24"/>
              <w:szCs w:val="24"/>
            </w:rPr>
            <w:t>Kaula</w:t>
          </w:r>
          <w:proofErr w:type="spellEnd"/>
          <w:r w:rsidR="00D9600F">
            <w:rPr>
              <w:sz w:val="24"/>
              <w:szCs w:val="24"/>
            </w:rPr>
            <w:t xml:space="preserve"> Bandar, Mumbai, a non-notified slum, the residents paid up to 40 times of the standard municipal water charges.</w:t>
          </w:r>
        </w:p>
        <w:p w:rsidR="00D9600F" w:rsidRDefault="00D9600F" w:rsidP="00226F79">
          <w:pPr>
            <w:jc w:val="both"/>
            <w:rPr>
              <w:sz w:val="24"/>
              <w:szCs w:val="24"/>
            </w:rPr>
          </w:pPr>
          <w:r>
            <w:rPr>
              <w:sz w:val="24"/>
              <w:szCs w:val="24"/>
            </w:rPr>
            <w:t xml:space="preserve">Study available at: </w:t>
          </w:r>
          <w:hyperlink r:id="rId11" w:history="1">
            <w:r w:rsidRPr="005E67BD">
              <w:rPr>
                <w:rStyle w:val="Hyperlink"/>
                <w:sz w:val="24"/>
                <w:szCs w:val="24"/>
              </w:rPr>
              <w:t>https://www.who.int/bulletin/volumes/93/11/15-155473.pdf</w:t>
            </w:r>
          </w:hyperlink>
        </w:p>
        <w:p w:rsidR="00D9600F" w:rsidRDefault="00D9600F" w:rsidP="00226F79">
          <w:pPr>
            <w:jc w:val="both"/>
            <w:rPr>
              <w:sz w:val="24"/>
              <w:szCs w:val="24"/>
            </w:rPr>
          </w:pPr>
        </w:p>
        <w:p w:rsidR="00D9600F" w:rsidRPr="007D3337" w:rsidRDefault="00D9600F" w:rsidP="00226F79">
          <w:pPr>
            <w:jc w:val="both"/>
            <w:rPr>
              <w:b/>
              <w:sz w:val="24"/>
              <w:szCs w:val="24"/>
            </w:rPr>
          </w:pPr>
          <w:r w:rsidRPr="007D3337">
            <w:rPr>
              <w:b/>
              <w:sz w:val="24"/>
              <w:szCs w:val="24"/>
            </w:rPr>
            <w:t>Affordability:</w:t>
          </w:r>
        </w:p>
        <w:p w:rsidR="00D4251A" w:rsidRDefault="00D4251A" w:rsidP="00D4251A">
          <w:pPr>
            <w:jc w:val="both"/>
            <w:rPr>
              <w:sz w:val="24"/>
              <w:szCs w:val="24"/>
            </w:rPr>
          </w:pPr>
          <w:r>
            <w:rPr>
              <w:sz w:val="24"/>
              <w:szCs w:val="24"/>
            </w:rPr>
            <w:t xml:space="preserve">The supply of affordable housing in India is fully market based. The scheme of Affordable Housing in Partnership (AHIP) also needs private player participation for implementation of the scheme. The price points at which the affordable housing is sold in India is beyond the affordability capacity of many low-income households. As per the research by K </w:t>
          </w:r>
          <w:proofErr w:type="spellStart"/>
          <w:r>
            <w:rPr>
              <w:sz w:val="24"/>
              <w:szCs w:val="24"/>
            </w:rPr>
            <w:t>Manav</w:t>
          </w:r>
          <w:proofErr w:type="spellEnd"/>
          <w:r>
            <w:rPr>
              <w:sz w:val="24"/>
              <w:szCs w:val="24"/>
            </w:rPr>
            <w:t xml:space="preserve"> (2019), only </w:t>
          </w:r>
          <w:r w:rsidRPr="00D4251A">
            <w:rPr>
              <w:sz w:val="24"/>
              <w:szCs w:val="24"/>
            </w:rPr>
            <w:t xml:space="preserve">2 % of the total </w:t>
          </w:r>
          <w:r>
            <w:rPr>
              <w:sz w:val="24"/>
              <w:szCs w:val="24"/>
            </w:rPr>
            <w:t xml:space="preserve">household </w:t>
          </w:r>
          <w:r w:rsidRPr="00D4251A">
            <w:rPr>
              <w:sz w:val="24"/>
              <w:szCs w:val="24"/>
            </w:rPr>
            <w:t>population</w:t>
          </w:r>
          <w:r>
            <w:rPr>
              <w:sz w:val="24"/>
              <w:szCs w:val="24"/>
            </w:rPr>
            <w:t xml:space="preserve"> in India earns </w:t>
          </w:r>
          <w:r w:rsidRPr="00D4251A">
            <w:rPr>
              <w:sz w:val="24"/>
              <w:szCs w:val="24"/>
            </w:rPr>
            <w:t xml:space="preserve">annual income </w:t>
          </w:r>
          <w:r w:rsidRPr="00D4251A">
            <w:rPr>
              <w:sz w:val="24"/>
              <w:szCs w:val="24"/>
            </w:rPr>
            <w:lastRenderedPageBreak/>
            <w:t xml:space="preserve">more than INR 0.5 million, </w:t>
          </w:r>
          <w:r>
            <w:rPr>
              <w:sz w:val="24"/>
              <w:szCs w:val="24"/>
            </w:rPr>
            <w:t xml:space="preserve">and they </w:t>
          </w:r>
          <w:r w:rsidRPr="00D4251A">
            <w:rPr>
              <w:sz w:val="24"/>
              <w:szCs w:val="24"/>
            </w:rPr>
            <w:t>are the</w:t>
          </w:r>
          <w:r>
            <w:rPr>
              <w:sz w:val="24"/>
              <w:szCs w:val="24"/>
            </w:rPr>
            <w:t xml:space="preserve"> </w:t>
          </w:r>
          <w:r w:rsidRPr="00D4251A">
            <w:rPr>
              <w:sz w:val="24"/>
              <w:szCs w:val="24"/>
            </w:rPr>
            <w:t>ones whose demand is fully catered to by private market. They have the highest affordability</w:t>
          </w:r>
          <w:r>
            <w:rPr>
              <w:sz w:val="24"/>
              <w:szCs w:val="24"/>
            </w:rPr>
            <w:t xml:space="preserve"> </w:t>
          </w:r>
          <w:r w:rsidRPr="00D4251A">
            <w:rPr>
              <w:sz w:val="24"/>
              <w:szCs w:val="24"/>
            </w:rPr>
            <w:t>amongst all the income groups owing to the higher incomes.</w:t>
          </w:r>
        </w:p>
        <w:p w:rsidR="00D4251A" w:rsidRDefault="00D4251A" w:rsidP="00D4251A">
          <w:pPr>
            <w:rPr>
              <w:sz w:val="24"/>
              <w:szCs w:val="24"/>
            </w:rPr>
          </w:pPr>
          <w:r>
            <w:rPr>
              <w:sz w:val="24"/>
              <w:szCs w:val="24"/>
            </w:rPr>
            <w:t xml:space="preserve">Study available at: </w:t>
          </w:r>
          <w:r w:rsidRPr="00D4251A">
            <w:rPr>
              <w:sz w:val="24"/>
              <w:szCs w:val="24"/>
            </w:rPr>
            <w:t>https://www.researchgate.net/publication/350894425_AFFORDABLE_HOUSING_CONTINUUM_FOR_ASSESSING_HOUSEHOLD_NEEDS_AND_POLICY_OUTCOMES_IN_URBAN_INDIA</w:t>
          </w:r>
        </w:p>
        <w:p w:rsidR="00D4251A" w:rsidRDefault="00D4251A" w:rsidP="00226F79">
          <w:pPr>
            <w:jc w:val="both"/>
            <w:rPr>
              <w:sz w:val="24"/>
              <w:szCs w:val="24"/>
            </w:rPr>
          </w:pPr>
        </w:p>
        <w:p w:rsidR="00D9600F" w:rsidRDefault="00D9600F" w:rsidP="00226F79">
          <w:pPr>
            <w:jc w:val="both"/>
            <w:rPr>
              <w:sz w:val="24"/>
              <w:szCs w:val="24"/>
            </w:rPr>
          </w:pPr>
          <w:r>
            <w:rPr>
              <w:sz w:val="24"/>
              <w:szCs w:val="24"/>
            </w:rPr>
            <w:t xml:space="preserve">Discrimination towards low-income and poor households by housing finance lending institutions is widespread in India. </w:t>
          </w:r>
          <w:r w:rsidR="00D71B18">
            <w:rPr>
              <w:sz w:val="24"/>
              <w:szCs w:val="24"/>
            </w:rPr>
            <w:t>The profit orientation of lending companies pushes them to design the institutional and structural framework behind lending more suitable for credit profile of high income customers. This leads to systemic exclusion of low-income and poor customers as they are unable to fit into the lending criteria of private lenders.</w:t>
          </w:r>
          <w:r w:rsidR="0082686B">
            <w:rPr>
              <w:sz w:val="24"/>
              <w:szCs w:val="24"/>
            </w:rPr>
            <w:t xml:space="preserve"> The study by</w:t>
          </w:r>
          <w:r w:rsidR="00D71B18">
            <w:rPr>
              <w:sz w:val="24"/>
              <w:szCs w:val="24"/>
            </w:rPr>
            <w:t xml:space="preserve"> </w:t>
          </w:r>
          <w:proofErr w:type="spellStart"/>
          <w:r w:rsidR="00D71B18">
            <w:rPr>
              <w:sz w:val="24"/>
              <w:szCs w:val="24"/>
            </w:rPr>
            <w:t>Bhanot</w:t>
          </w:r>
          <w:proofErr w:type="spellEnd"/>
          <w:r w:rsidR="00D71B18">
            <w:rPr>
              <w:sz w:val="24"/>
              <w:szCs w:val="24"/>
            </w:rPr>
            <w:t xml:space="preserve"> et.al. (2020) </w:t>
          </w:r>
          <w:r w:rsidR="0082686B">
            <w:rPr>
              <w:sz w:val="24"/>
              <w:szCs w:val="24"/>
            </w:rPr>
            <w:t>demonstrated that the lending by private companies has disproportionately gone into the favour of high income customers</w:t>
          </w:r>
          <w:r>
            <w:rPr>
              <w:sz w:val="24"/>
              <w:szCs w:val="24"/>
            </w:rPr>
            <w:t xml:space="preserve"> </w:t>
          </w:r>
          <w:r w:rsidR="0082686B">
            <w:rPr>
              <w:sz w:val="24"/>
              <w:szCs w:val="24"/>
            </w:rPr>
            <w:t xml:space="preserve">and substantially lowered in low-income groups. </w:t>
          </w:r>
        </w:p>
        <w:p w:rsidR="0082686B" w:rsidRDefault="0082686B" w:rsidP="00226F79">
          <w:pPr>
            <w:jc w:val="both"/>
            <w:rPr>
              <w:sz w:val="24"/>
              <w:szCs w:val="24"/>
            </w:rPr>
          </w:pPr>
          <w:r>
            <w:rPr>
              <w:sz w:val="24"/>
              <w:szCs w:val="24"/>
            </w:rPr>
            <w:t xml:space="preserve">Study available at: DOI: </w:t>
          </w:r>
          <w:r w:rsidRPr="0082686B">
            <w:rPr>
              <w:sz w:val="24"/>
              <w:szCs w:val="24"/>
            </w:rPr>
            <w:t>10.1080/02673037.2019.1614538</w:t>
          </w:r>
        </w:p>
        <w:p w:rsidR="0082686B" w:rsidRDefault="0082686B" w:rsidP="00226F79">
          <w:pPr>
            <w:jc w:val="both"/>
            <w:rPr>
              <w:sz w:val="24"/>
              <w:szCs w:val="24"/>
            </w:rPr>
          </w:pPr>
        </w:p>
        <w:p w:rsidR="007D3337" w:rsidRDefault="000F5F86" w:rsidP="007D3337">
          <w:pPr>
            <w:jc w:val="both"/>
            <w:rPr>
              <w:sz w:val="24"/>
              <w:szCs w:val="24"/>
            </w:rPr>
          </w:pPr>
          <w:r>
            <w:rPr>
              <w:sz w:val="24"/>
              <w:szCs w:val="24"/>
            </w:rPr>
            <w:t>Investigating the Credit Linked Subsidy Scheme (CLSS) that is an interest subvention scheme</w:t>
          </w:r>
          <w:r w:rsidR="00DC750E">
            <w:rPr>
              <w:sz w:val="24"/>
              <w:szCs w:val="24"/>
            </w:rPr>
            <w:t xml:space="preserve"> directed at improving the housing affordability of low-income beneficiaries reveals that this scheme is also perpetuating exclusionary policy. The scheme was earlier directed at low-income beneficiaries but eventually due to the lesser and lesser uptake of the scheme, the policymakers included middle-income groups as beneficiaries. As indicated in the study by </w:t>
          </w:r>
          <w:proofErr w:type="spellStart"/>
          <w:r w:rsidR="00DC750E">
            <w:rPr>
              <w:sz w:val="24"/>
              <w:szCs w:val="24"/>
            </w:rPr>
            <w:t>Kundu</w:t>
          </w:r>
          <w:proofErr w:type="spellEnd"/>
          <w:r w:rsidR="00DC750E">
            <w:rPr>
              <w:sz w:val="24"/>
              <w:szCs w:val="24"/>
            </w:rPr>
            <w:t xml:space="preserve"> &amp; Kumar (2017) </w:t>
          </w:r>
          <w:r w:rsidR="007D3337">
            <w:rPr>
              <w:sz w:val="24"/>
              <w:szCs w:val="24"/>
            </w:rPr>
            <w:t xml:space="preserve">the scheme </w:t>
          </w:r>
          <w:r w:rsidR="007D3337" w:rsidRPr="007D3337">
            <w:rPr>
              <w:sz w:val="24"/>
              <w:szCs w:val="24"/>
            </w:rPr>
            <w:t>ha</w:t>
          </w:r>
          <w:r w:rsidR="007D3337">
            <w:rPr>
              <w:sz w:val="24"/>
              <w:szCs w:val="24"/>
            </w:rPr>
            <w:t>s</w:t>
          </w:r>
          <w:r w:rsidR="007D3337" w:rsidRPr="007D3337">
            <w:rPr>
              <w:sz w:val="24"/>
              <w:szCs w:val="24"/>
            </w:rPr>
            <w:t xml:space="preserve"> raised the income</w:t>
          </w:r>
          <w:r w:rsidR="007D3337">
            <w:rPr>
              <w:sz w:val="24"/>
              <w:szCs w:val="24"/>
            </w:rPr>
            <w:t xml:space="preserve"> </w:t>
          </w:r>
          <w:r w:rsidR="007D3337" w:rsidRPr="007D3337">
            <w:rPr>
              <w:sz w:val="24"/>
              <w:szCs w:val="24"/>
            </w:rPr>
            <w:t>limits for eligibility of loans</w:t>
          </w:r>
          <w:r w:rsidR="007D3337">
            <w:rPr>
              <w:sz w:val="24"/>
              <w:szCs w:val="24"/>
            </w:rPr>
            <w:t xml:space="preserve"> and </w:t>
          </w:r>
          <w:r w:rsidR="007D3337" w:rsidRPr="007D3337">
            <w:rPr>
              <w:sz w:val="24"/>
              <w:szCs w:val="24"/>
            </w:rPr>
            <w:t>included the</w:t>
          </w:r>
          <w:r w:rsidR="007D3337">
            <w:rPr>
              <w:sz w:val="24"/>
              <w:szCs w:val="24"/>
            </w:rPr>
            <w:t xml:space="preserve"> </w:t>
          </w:r>
          <w:r w:rsidR="007D3337" w:rsidRPr="007D3337">
            <w:rPr>
              <w:sz w:val="24"/>
              <w:szCs w:val="24"/>
            </w:rPr>
            <w:t>middle-income group, diluting its</w:t>
          </w:r>
          <w:r w:rsidR="007D3337">
            <w:rPr>
              <w:sz w:val="24"/>
              <w:szCs w:val="24"/>
            </w:rPr>
            <w:t xml:space="preserve"> </w:t>
          </w:r>
          <w:r w:rsidR="007D3337" w:rsidRPr="007D3337">
            <w:rPr>
              <w:sz w:val="24"/>
              <w:szCs w:val="24"/>
            </w:rPr>
            <w:t>core agenda of being “pro-poor.”</w:t>
          </w:r>
          <w:r w:rsidR="007D3337">
            <w:rPr>
              <w:sz w:val="24"/>
              <w:szCs w:val="24"/>
            </w:rPr>
            <w:t xml:space="preserve"> This step has increased the chances of appropriation of subsidy benefits by the middle-income groups.</w:t>
          </w:r>
        </w:p>
        <w:p w:rsidR="007D3337" w:rsidRDefault="007D3337" w:rsidP="007D3337">
          <w:pPr>
            <w:jc w:val="both"/>
            <w:rPr>
              <w:sz w:val="24"/>
              <w:szCs w:val="24"/>
            </w:rPr>
          </w:pPr>
          <w:r>
            <w:rPr>
              <w:sz w:val="24"/>
              <w:szCs w:val="24"/>
            </w:rPr>
            <w:t xml:space="preserve">Study available at: </w:t>
          </w:r>
          <w:hyperlink r:id="rId12" w:history="1">
            <w:r w:rsidRPr="00060878">
              <w:rPr>
                <w:rStyle w:val="Hyperlink"/>
                <w:sz w:val="24"/>
                <w:szCs w:val="24"/>
              </w:rPr>
              <w:t>https://www.epw.in/journal/2017/52/notes/housing-urban-poor.html</w:t>
            </w:r>
          </w:hyperlink>
        </w:p>
        <w:p w:rsidR="0083181B" w:rsidRDefault="0083181B" w:rsidP="007D3337">
          <w:pPr>
            <w:jc w:val="both"/>
            <w:rPr>
              <w:sz w:val="24"/>
              <w:szCs w:val="24"/>
            </w:rPr>
          </w:pPr>
        </w:p>
        <w:p w:rsidR="0083181B" w:rsidRPr="00F72394" w:rsidRDefault="0083181B" w:rsidP="007D3337">
          <w:pPr>
            <w:jc w:val="both"/>
            <w:rPr>
              <w:b/>
              <w:sz w:val="24"/>
              <w:szCs w:val="24"/>
            </w:rPr>
          </w:pPr>
          <w:r w:rsidRPr="00F72394">
            <w:rPr>
              <w:b/>
              <w:sz w:val="24"/>
              <w:szCs w:val="24"/>
            </w:rPr>
            <w:t>Security of tenure:</w:t>
          </w:r>
        </w:p>
        <w:p w:rsidR="0083181B" w:rsidRDefault="0083181B" w:rsidP="007D3337">
          <w:pPr>
            <w:jc w:val="both"/>
            <w:rPr>
              <w:sz w:val="24"/>
              <w:szCs w:val="24"/>
            </w:rPr>
          </w:pPr>
          <w:r>
            <w:rPr>
              <w:sz w:val="24"/>
              <w:szCs w:val="24"/>
            </w:rPr>
            <w:t>This is also an impending policy concern especially for urban poor as the people living in notified and non-notified slums get a differential treatment from the government. The notified slum residents are better off as compared to non-notified slum residents when it comes to the access too water, electricity, and sanitation. Even, for receiving benefits through the housing scheme of In-Situ Slum Rehabilitation (ISSR) that targets households in informal settlements, people have to produce land title and other formal tenure documents. Many residents from non-notified slum are rendered ineligible for the slum rehabilitations schemes.</w:t>
          </w:r>
        </w:p>
        <w:p w:rsidR="00F72394" w:rsidRDefault="0083181B" w:rsidP="007D3337">
          <w:pPr>
            <w:jc w:val="both"/>
            <w:rPr>
              <w:sz w:val="24"/>
              <w:szCs w:val="24"/>
            </w:rPr>
          </w:pPr>
          <w:r>
            <w:rPr>
              <w:sz w:val="24"/>
              <w:szCs w:val="24"/>
            </w:rPr>
            <w:t>Additionally, there is always threat of eviction from the local planning authorities. Even during the pande</w:t>
          </w:r>
          <w:r w:rsidR="00F72394">
            <w:rPr>
              <w:sz w:val="24"/>
              <w:szCs w:val="24"/>
            </w:rPr>
            <w:t>mic, there have been almost 83</w:t>
          </w:r>
          <w:r>
            <w:rPr>
              <w:sz w:val="24"/>
              <w:szCs w:val="24"/>
            </w:rPr>
            <w:t xml:space="preserve"> cases of eviction in India as per the Housing and Land Rights Network (HLRN) report. This is an extreme case of violation of </w:t>
          </w:r>
          <w:r w:rsidR="00F72394">
            <w:rPr>
              <w:sz w:val="24"/>
              <w:szCs w:val="24"/>
            </w:rPr>
            <w:t xml:space="preserve">Right to Adequate Housing amidst the ravaging pandemic. As per the HLRN report </w:t>
          </w:r>
          <w:r w:rsidR="00F72394" w:rsidRPr="00F72394">
            <w:rPr>
              <w:sz w:val="24"/>
              <w:szCs w:val="24"/>
            </w:rPr>
            <w:t>Between 15 March 2020 and 31 October 2020, at least 83 incidents of forced eviction and home demolition by central and state government authorities in 22 states and Union Territories across urban and rural India</w:t>
          </w:r>
          <w:r w:rsidR="00F72394">
            <w:rPr>
              <w:sz w:val="24"/>
              <w:szCs w:val="24"/>
            </w:rPr>
            <w:t xml:space="preserve"> were recorded that affected</w:t>
          </w:r>
          <w:r w:rsidR="00F72394" w:rsidRPr="00F72394">
            <w:rPr>
              <w:sz w:val="24"/>
              <w:szCs w:val="24"/>
            </w:rPr>
            <w:t xml:space="preserve"> over 54,000 people</w:t>
          </w:r>
          <w:r w:rsidR="00F72394">
            <w:rPr>
              <w:sz w:val="24"/>
              <w:szCs w:val="24"/>
            </w:rPr>
            <w:t xml:space="preserve">. </w:t>
          </w:r>
        </w:p>
        <w:p w:rsidR="00F72394" w:rsidRDefault="00F72394" w:rsidP="007D3337">
          <w:pPr>
            <w:jc w:val="both"/>
            <w:rPr>
              <w:sz w:val="24"/>
              <w:szCs w:val="24"/>
            </w:rPr>
          </w:pPr>
        </w:p>
        <w:p w:rsidR="00F72394" w:rsidRDefault="00F72394" w:rsidP="009F49C8">
          <w:pPr>
            <w:rPr>
              <w:sz w:val="24"/>
              <w:szCs w:val="24"/>
            </w:rPr>
          </w:pPr>
          <w:r>
            <w:rPr>
              <w:sz w:val="24"/>
              <w:szCs w:val="24"/>
            </w:rPr>
            <w:t xml:space="preserve">Report available at: </w:t>
          </w:r>
          <w:hyperlink r:id="rId13" w:history="1">
            <w:r w:rsidRPr="00060878">
              <w:rPr>
                <w:rStyle w:val="Hyperlink"/>
                <w:sz w:val="24"/>
                <w:szCs w:val="24"/>
              </w:rPr>
              <w:t>https://www.hlrn.org.in/documents/Press_Release_Evictions_COVID19_November_2020.pdf</w:t>
            </w:r>
          </w:hyperlink>
        </w:p>
        <w:p w:rsidR="00F72394" w:rsidRDefault="00F72394" w:rsidP="007D3337">
          <w:pPr>
            <w:jc w:val="both"/>
            <w:rPr>
              <w:sz w:val="24"/>
              <w:szCs w:val="24"/>
            </w:rPr>
          </w:pPr>
        </w:p>
        <w:p w:rsidR="00E854DD" w:rsidRDefault="00E854DD" w:rsidP="007D3337">
          <w:pPr>
            <w:jc w:val="both"/>
            <w:rPr>
              <w:sz w:val="24"/>
              <w:szCs w:val="24"/>
            </w:rPr>
          </w:pPr>
        </w:p>
        <w:p w:rsidR="00E854DD" w:rsidRDefault="00E854DD" w:rsidP="007D3337">
          <w:pPr>
            <w:jc w:val="both"/>
            <w:rPr>
              <w:sz w:val="24"/>
              <w:szCs w:val="24"/>
            </w:rPr>
          </w:pPr>
        </w:p>
        <w:p w:rsidR="00F72394" w:rsidRDefault="00F72394" w:rsidP="007D3337">
          <w:pPr>
            <w:jc w:val="both"/>
            <w:rPr>
              <w:sz w:val="24"/>
              <w:szCs w:val="24"/>
            </w:rPr>
          </w:pPr>
          <w:r w:rsidRPr="00E854DD">
            <w:rPr>
              <w:b/>
              <w:sz w:val="24"/>
              <w:szCs w:val="24"/>
            </w:rPr>
            <w:lastRenderedPageBreak/>
            <w:t>Location</w:t>
          </w:r>
          <w:r>
            <w:rPr>
              <w:sz w:val="24"/>
              <w:szCs w:val="24"/>
            </w:rPr>
            <w:t>:</w:t>
          </w:r>
        </w:p>
        <w:p w:rsidR="00E854DD" w:rsidRDefault="00E854DD" w:rsidP="007D3337">
          <w:pPr>
            <w:jc w:val="both"/>
            <w:rPr>
              <w:sz w:val="24"/>
              <w:szCs w:val="24"/>
              <w:lang w:val="en-US"/>
            </w:rPr>
          </w:pPr>
          <w:r>
            <w:rPr>
              <w:sz w:val="24"/>
              <w:szCs w:val="24"/>
              <w:lang w:val="en-US"/>
            </w:rPr>
            <w:t xml:space="preserve">Generally, the location of the house is the decision of the homeowners. Sometimes, some of the households may decide to buy or build their home near some industrial area. But, in the case of some Resettlement and Rehabilitation policies the location of the new houses has jeopardize the health of the affected families by moving them near environmentally sensitive areas. For instance, the rehabilitation of households in </w:t>
          </w:r>
          <w:proofErr w:type="spellStart"/>
          <w:r>
            <w:rPr>
              <w:sz w:val="24"/>
              <w:szCs w:val="24"/>
              <w:lang w:val="en-US"/>
            </w:rPr>
            <w:t>Mahul</w:t>
          </w:r>
          <w:proofErr w:type="spellEnd"/>
          <w:r>
            <w:rPr>
              <w:sz w:val="24"/>
              <w:szCs w:val="24"/>
              <w:lang w:val="en-US"/>
            </w:rPr>
            <w:t xml:space="preserve">, Mumbai, which is surrounded by oil refineries. </w:t>
          </w:r>
          <w:r w:rsidRPr="00E854DD">
            <w:rPr>
              <w:sz w:val="24"/>
              <w:szCs w:val="24"/>
              <w:lang w:val="en-US"/>
            </w:rPr>
            <w:t xml:space="preserve">‘Toxic hell’, ‘human dumping ground’, ‘gas chamber’, ‘hellhole’ are some of the names given to </w:t>
          </w:r>
          <w:proofErr w:type="spellStart"/>
          <w:r w:rsidRPr="00E854DD">
            <w:rPr>
              <w:sz w:val="24"/>
              <w:szCs w:val="24"/>
              <w:lang w:val="en-US"/>
            </w:rPr>
            <w:t>Mahul</w:t>
          </w:r>
          <w:proofErr w:type="spellEnd"/>
          <w:r w:rsidRPr="00E854DD">
            <w:rPr>
              <w:sz w:val="24"/>
              <w:szCs w:val="24"/>
              <w:lang w:val="en-US"/>
            </w:rPr>
            <w:t xml:space="preserve"> village in </w:t>
          </w:r>
          <w:proofErr w:type="spellStart"/>
          <w:r w:rsidRPr="00E854DD">
            <w:rPr>
              <w:sz w:val="24"/>
              <w:szCs w:val="24"/>
              <w:lang w:val="en-US"/>
            </w:rPr>
            <w:t>Chembur</w:t>
          </w:r>
          <w:proofErr w:type="spellEnd"/>
          <w:r w:rsidRPr="00E854DD">
            <w:rPr>
              <w:sz w:val="24"/>
              <w:szCs w:val="24"/>
              <w:lang w:val="en-US"/>
            </w:rPr>
            <w:t xml:space="preserve">, situated on the eastern coast of Mumbai, which is surrounded by three refineries and 16 chemical factories. </w:t>
          </w:r>
          <w:r>
            <w:rPr>
              <w:sz w:val="24"/>
              <w:szCs w:val="24"/>
              <w:lang w:val="en-US"/>
            </w:rPr>
            <w:t>Almost</w:t>
          </w:r>
          <w:r w:rsidRPr="00E854DD">
            <w:rPr>
              <w:sz w:val="24"/>
              <w:szCs w:val="24"/>
              <w:lang w:val="en-US"/>
            </w:rPr>
            <w:t xml:space="preserve"> 5500 families (almost 30,000 residents) were “rehabilitated”</w:t>
          </w:r>
          <w:r>
            <w:rPr>
              <w:sz w:val="24"/>
              <w:szCs w:val="24"/>
              <w:lang w:val="en-US"/>
            </w:rPr>
            <w:t xml:space="preserve"> to </w:t>
          </w:r>
          <w:proofErr w:type="spellStart"/>
          <w:r>
            <w:rPr>
              <w:sz w:val="24"/>
              <w:szCs w:val="24"/>
              <w:lang w:val="en-US"/>
            </w:rPr>
            <w:t>Mahul</w:t>
          </w:r>
          <w:proofErr w:type="spellEnd"/>
          <w:r w:rsidRPr="00E854DD">
            <w:rPr>
              <w:sz w:val="24"/>
              <w:szCs w:val="24"/>
              <w:lang w:val="en-US"/>
            </w:rPr>
            <w:t xml:space="preserve"> as per the Bombay High Court Order of </w:t>
          </w:r>
          <w:hyperlink r:id="rId14" w:history="1">
            <w:r w:rsidRPr="00E854DD">
              <w:rPr>
                <w:sz w:val="24"/>
                <w:szCs w:val="24"/>
                <w:lang w:val="en-US"/>
              </w:rPr>
              <w:t>2009</w:t>
            </w:r>
          </w:hyperlink>
          <w:r w:rsidRPr="00E854DD">
            <w:rPr>
              <w:sz w:val="24"/>
              <w:szCs w:val="24"/>
              <w:lang w:val="en-US"/>
            </w:rPr>
            <w:t>.</w:t>
          </w:r>
          <w:r>
            <w:rPr>
              <w:sz w:val="24"/>
              <w:szCs w:val="24"/>
              <w:lang w:val="en-US"/>
            </w:rPr>
            <w:t xml:space="preserve"> </w:t>
          </w:r>
        </w:p>
        <w:p w:rsidR="009F49C8" w:rsidRDefault="009F49C8" w:rsidP="007D3337">
          <w:pPr>
            <w:jc w:val="both"/>
            <w:rPr>
              <w:sz w:val="24"/>
              <w:szCs w:val="24"/>
              <w:lang w:val="en-US"/>
            </w:rPr>
          </w:pPr>
        </w:p>
        <w:p w:rsidR="00E854DD" w:rsidRPr="009800F0" w:rsidRDefault="00E854DD" w:rsidP="007D3337">
          <w:pPr>
            <w:jc w:val="both"/>
            <w:rPr>
              <w:sz w:val="24"/>
              <w:szCs w:val="24"/>
              <w:lang w:val="fr-FR"/>
            </w:rPr>
          </w:pPr>
          <w:r w:rsidRPr="009800F0">
            <w:rPr>
              <w:sz w:val="24"/>
              <w:szCs w:val="24"/>
              <w:lang w:val="fr-FR"/>
            </w:rPr>
            <w:t xml:space="preserve">Article </w:t>
          </w:r>
          <w:proofErr w:type="spellStart"/>
          <w:r w:rsidRPr="009800F0">
            <w:rPr>
              <w:sz w:val="24"/>
              <w:szCs w:val="24"/>
              <w:lang w:val="fr-FR"/>
            </w:rPr>
            <w:t>available</w:t>
          </w:r>
          <w:proofErr w:type="spellEnd"/>
          <w:r w:rsidRPr="009800F0">
            <w:rPr>
              <w:sz w:val="24"/>
              <w:szCs w:val="24"/>
              <w:lang w:val="fr-FR"/>
            </w:rPr>
            <w:t xml:space="preserve"> on: </w:t>
          </w:r>
          <w:hyperlink r:id="rId15" w:history="1">
            <w:r w:rsidRPr="009800F0">
              <w:rPr>
                <w:rStyle w:val="Hyperlink"/>
                <w:sz w:val="24"/>
                <w:szCs w:val="24"/>
                <w:lang w:val="fr-FR"/>
              </w:rPr>
              <w:t>https://www.mumbailive.com/en/infrastructure/guest-article-on-mahul-rehabilitation-housing-rights-human-rights-in-mumbai-35335</w:t>
            </w:r>
          </w:hyperlink>
        </w:p>
        <w:p w:rsidR="00E854DD" w:rsidRPr="009800F0" w:rsidRDefault="00E854DD" w:rsidP="007D3337">
          <w:pPr>
            <w:jc w:val="both"/>
            <w:rPr>
              <w:sz w:val="24"/>
              <w:szCs w:val="24"/>
              <w:lang w:val="fr-FR"/>
            </w:rPr>
          </w:pPr>
        </w:p>
        <w:p w:rsidR="00F72394" w:rsidRDefault="00835051" w:rsidP="007D3337">
          <w:pPr>
            <w:jc w:val="both"/>
            <w:rPr>
              <w:sz w:val="24"/>
              <w:szCs w:val="24"/>
            </w:rPr>
          </w:pPr>
        </w:p>
      </w:sdtContent>
    </w:sdt>
    <w:p w:rsidR="00226F79" w:rsidRPr="00226F79" w:rsidRDefault="00F72394" w:rsidP="00226F79">
      <w:pPr>
        <w:jc w:val="both"/>
        <w:rPr>
          <w:sz w:val="24"/>
          <w:szCs w:val="24"/>
        </w:rPr>
      </w:pPr>
      <w:r>
        <w:rPr>
          <w:sz w:val="24"/>
          <w:szCs w:val="24"/>
        </w:rPr>
        <w:t xml:space="preserve"> </w:t>
      </w:r>
    </w:p>
    <w:p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rsidR="006D0C62" w:rsidRDefault="00835051" w:rsidP="006D0C62">
      <w:pPr>
        <w:jc w:val="both"/>
        <w:rPr>
          <w:sz w:val="24"/>
          <w:szCs w:val="24"/>
        </w:rPr>
      </w:pPr>
      <w:sdt>
        <w:sdtPr>
          <w:rPr>
            <w:sz w:val="24"/>
            <w:szCs w:val="24"/>
          </w:rPr>
          <w:id w:val="-1433501859"/>
          <w:showingPlcHdr/>
        </w:sdtPr>
        <w:sdtEndPr/>
        <w:sdtContent>
          <w:r w:rsidR="006D0C62">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226F79" w:rsidRPr="00226F79" w:rsidRDefault="00835051" w:rsidP="00226F79">
      <w:pPr>
        <w:jc w:val="both"/>
        <w:rPr>
          <w:sz w:val="24"/>
          <w:szCs w:val="24"/>
        </w:rPr>
      </w:pPr>
      <w:sdt>
        <w:sdtPr>
          <w:rPr>
            <w:sz w:val="24"/>
            <w:szCs w:val="24"/>
          </w:rPr>
          <w:id w:val="785089057"/>
        </w:sdtPr>
        <w:sdtEndPr/>
        <w:sdtContent>
          <w:sdt>
            <w:sdtPr>
              <w:rPr>
                <w:sz w:val="24"/>
                <w:szCs w:val="24"/>
              </w:rPr>
              <w:id w:val="-1791424749"/>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26F79" w:rsidRPr="00226F79" w:rsidRDefault="00835051" w:rsidP="00226F79">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226F79" w:rsidRPr="00226F79" w:rsidRDefault="00835051" w:rsidP="00327D87">
      <w:pPr>
        <w:rPr>
          <w:strike/>
          <w:sz w:val="24"/>
          <w:szCs w:val="24"/>
        </w:rPr>
      </w:pPr>
      <w:sdt>
        <w:sdtPr>
          <w:rPr>
            <w:sz w:val="24"/>
            <w:szCs w:val="24"/>
          </w:rPr>
          <w:id w:val="671691551"/>
        </w:sdtPr>
        <w:sdtEndPr/>
        <w:sdtContent>
          <w:sdt>
            <w:sdtPr>
              <w:rPr>
                <w:sz w:val="24"/>
                <w:szCs w:val="24"/>
              </w:rPr>
              <w:id w:val="1816518302"/>
            </w:sdtPr>
            <w:sdtEndPr/>
            <w:sdtContent>
              <w:r w:rsidR="00A4199F">
                <w:rPr>
                  <w:sz w:val="24"/>
                  <w:szCs w:val="24"/>
                </w:rPr>
                <w:t xml:space="preserve">There are some studies like </w:t>
              </w:r>
              <w:proofErr w:type="spellStart"/>
              <w:r w:rsidR="00A4199F">
                <w:rPr>
                  <w:sz w:val="24"/>
                  <w:szCs w:val="24"/>
                </w:rPr>
                <w:t>Bharathi</w:t>
              </w:r>
              <w:proofErr w:type="spellEnd"/>
              <w:r w:rsidR="00A4199F">
                <w:rPr>
                  <w:sz w:val="24"/>
                  <w:szCs w:val="24"/>
                </w:rPr>
                <w:t xml:space="preserve"> et.al. (2021), Singh et.al. (2019), and </w:t>
              </w:r>
              <w:proofErr w:type="spellStart"/>
              <w:r w:rsidR="00A4199F">
                <w:rPr>
                  <w:sz w:val="24"/>
                  <w:szCs w:val="24"/>
                </w:rPr>
                <w:t>Vithayathil</w:t>
              </w:r>
              <w:proofErr w:type="spellEnd"/>
              <w:r w:rsidR="00A4199F">
                <w:rPr>
                  <w:sz w:val="24"/>
                  <w:szCs w:val="24"/>
                </w:rPr>
                <w:t xml:space="preserve"> &amp; Singh (2012), which have studied the residential (spatial) segregation of caste in urban India. These studies report palpable levels of residential segregation on ward level in urban cities and it remains more or less similar to the patterns that are found in villages. The studies can be accessed at: (1) </w:t>
              </w:r>
              <w:proofErr w:type="spellStart"/>
              <w:r w:rsidR="00A4199F">
                <w:rPr>
                  <w:sz w:val="24"/>
                  <w:szCs w:val="24"/>
                </w:rPr>
                <w:t>Bharathi</w:t>
              </w:r>
              <w:proofErr w:type="spellEnd"/>
              <w:r w:rsidR="00A4199F">
                <w:rPr>
                  <w:sz w:val="24"/>
                  <w:szCs w:val="24"/>
                </w:rPr>
                <w:t xml:space="preserve"> et.al. (2021): </w:t>
              </w:r>
              <w:hyperlink r:id="rId16" w:history="1">
                <w:r w:rsidR="00A4199F" w:rsidRPr="001C18FD">
                  <w:rPr>
                    <w:rStyle w:val="Hyperlink"/>
                    <w:sz w:val="24"/>
                    <w:szCs w:val="24"/>
                  </w:rPr>
                  <w:t>https://www.sciencedirect.com/science/article/pii/S0305750X21000097?casa_token=ZOVkM5jfci0AAAAA:CYGp2N2N1QgIeGl5cTAT3xSFJgBKkK8mtXd_ayd44swafA7rE8Q_dxdjB2D7AnZ53GpE66y9Ww</w:t>
                </w:r>
              </w:hyperlink>
              <w:r w:rsidR="00A4199F">
                <w:rPr>
                  <w:sz w:val="24"/>
                  <w:szCs w:val="24"/>
                </w:rPr>
                <w:t xml:space="preserve"> (2) Singh et.al. (2019): </w:t>
              </w:r>
              <w:hyperlink r:id="rId17" w:history="1">
                <w:r w:rsidR="00A4199F" w:rsidRPr="001C18FD">
                  <w:rPr>
                    <w:rStyle w:val="Hyperlink"/>
                    <w:sz w:val="24"/>
                    <w:szCs w:val="24"/>
                  </w:rPr>
                  <w:t>https://journals.sagepub.com/doi/pdf/10.1177/0956247818812330</w:t>
                </w:r>
              </w:hyperlink>
              <w:r w:rsidR="00A4199F">
                <w:rPr>
                  <w:sz w:val="24"/>
                  <w:szCs w:val="24"/>
                </w:rPr>
                <w:t xml:space="preserve"> (3) </w:t>
              </w:r>
              <w:proofErr w:type="spellStart"/>
              <w:r w:rsidR="00A4199F">
                <w:rPr>
                  <w:sz w:val="24"/>
                  <w:szCs w:val="24"/>
                </w:rPr>
                <w:t>Vithayathi</w:t>
              </w:r>
              <w:proofErr w:type="spellEnd"/>
              <w:r w:rsidR="00A4199F">
                <w:rPr>
                  <w:sz w:val="24"/>
                  <w:szCs w:val="24"/>
                </w:rPr>
                <w:t xml:space="preserve"> &amp; Singh (2012): </w:t>
              </w:r>
              <w:r w:rsidR="00A4199F">
                <w:rPr>
                  <w:sz w:val="23"/>
                  <w:szCs w:val="23"/>
                </w:rPr>
                <w:t xml:space="preserve">https://www.jstor.org/stable/41720139 </w:t>
              </w:r>
              <w:r w:rsidR="00A4199F">
                <w:rPr>
                  <w:sz w:val="24"/>
                  <w:szCs w:val="24"/>
                </w:rPr>
                <w:t xml:space="preserve">  </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lastRenderedPageBreak/>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p w:rsidR="006D0C62" w:rsidRDefault="00835051" w:rsidP="006D0C62">
      <w:pPr>
        <w:jc w:val="both"/>
        <w:rPr>
          <w:sz w:val="24"/>
          <w:szCs w:val="24"/>
        </w:rPr>
      </w:pPr>
      <w:sdt>
        <w:sdtPr>
          <w:rPr>
            <w:sz w:val="24"/>
            <w:szCs w:val="24"/>
          </w:rPr>
          <w:id w:val="1043406738"/>
          <w:showingPlcHdr/>
        </w:sdtPr>
        <w:sdtEndPr/>
        <w:sdtContent>
          <w:r w:rsidR="006D0C62">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226F79" w:rsidRPr="00226F79" w:rsidRDefault="00835051"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226F79" w:rsidRPr="00226F79" w:rsidRDefault="00835051" w:rsidP="00226F79">
      <w:pPr>
        <w:jc w:val="both"/>
        <w:rPr>
          <w:sz w:val="24"/>
          <w:szCs w:val="24"/>
        </w:rPr>
      </w:pPr>
      <w:sdt>
        <w:sdtPr>
          <w:rPr>
            <w:sz w:val="24"/>
            <w:szCs w:val="24"/>
          </w:rPr>
          <w:id w:val="-796444237"/>
        </w:sdtPr>
        <w:sdtEndPr/>
        <w:sdtContent>
          <w:sdt>
            <w:sdtPr>
              <w:rPr>
                <w:sz w:val="24"/>
                <w:szCs w:val="24"/>
              </w:rPr>
              <w:id w:val="-914243571"/>
            </w:sdtPr>
            <w:sdtEndPr/>
            <w:sdtContent>
              <w:r w:rsidR="00327D87">
                <w:rPr>
                  <w:sz w:val="24"/>
                  <w:szCs w:val="24"/>
                </w:rPr>
                <w:t xml:space="preserve">The social structure of Indian caste system is at the root of residential segregation and the widespread social inequality prevalent in India. It is one of the most oppressive forms of social structures that divide people into multiple castes with a preconceived hierarchy. This in a way legitimizes the systemic oppression of people or communities that are down the hierarchy at the hand of those who are on the higher level of hierarchy.   </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226F79" w:rsidRPr="00226F79" w:rsidRDefault="00835051" w:rsidP="00226F79">
      <w:pPr>
        <w:jc w:val="both"/>
        <w:rPr>
          <w:sz w:val="24"/>
          <w:szCs w:val="24"/>
        </w:rPr>
      </w:pPr>
      <w:sdt>
        <w:sdtPr>
          <w:rPr>
            <w:sz w:val="24"/>
            <w:szCs w:val="24"/>
          </w:rPr>
          <w:id w:val="-155766628"/>
        </w:sdtPr>
        <w:sdtEndPr/>
        <w:sdtContent>
          <w:sdt>
            <w:sdtPr>
              <w:rPr>
                <w:sz w:val="24"/>
                <w:szCs w:val="24"/>
              </w:rPr>
              <w:id w:val="427857712"/>
            </w:sdtPr>
            <w:sdtEndPr/>
            <w:sdtContent>
              <w:r w:rsidR="00327D87">
                <w:rPr>
                  <w:sz w:val="24"/>
                  <w:szCs w:val="24"/>
                </w:rPr>
                <w:t>Historically, the people belonging to lower castes were devoid of capital and wealth due to the caste system widely practiced across India. These people while mo</w:t>
              </w:r>
              <w:r w:rsidR="00421894">
                <w:rPr>
                  <w:sz w:val="24"/>
                  <w:szCs w:val="24"/>
                </w:rPr>
                <w:t xml:space="preserve">ving to any city for livelihood look for places where the cost of living is minimal. Only slums and informal settlements offer this kind housing arrangement which is flexible and low cost. Therefore, these migrants and urban poor voluntarily choose informal settlements for living. </w:t>
              </w:r>
              <w:r w:rsidR="009427A5">
                <w:rPr>
                  <w:sz w:val="24"/>
                  <w:szCs w:val="24"/>
                </w:rPr>
                <w:t>This is also corroborated by the fact that the lower-caste household are heavily represented in slum area as compared to non-slum areas.</w:t>
              </w:r>
              <w:r w:rsidR="00421894">
                <w:rPr>
                  <w:sz w:val="24"/>
                  <w:szCs w:val="24"/>
                </w:rPr>
                <w:t xml:space="preserve"> </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D0C62" w:rsidRPr="00226F79" w:rsidRDefault="00835051"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rsid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rsidR="00226F79" w:rsidRPr="00226F79" w:rsidRDefault="00835051"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835051"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lastRenderedPageBreak/>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226F79" w:rsidRPr="00226F79" w:rsidRDefault="00835051"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226F79" w:rsidRDefault="00835051" w:rsidP="00226F79">
      <w:pPr>
        <w:jc w:val="both"/>
        <w:rPr>
          <w:sz w:val="24"/>
          <w:szCs w:val="24"/>
        </w:rPr>
      </w:pPr>
      <w:sdt>
        <w:sdtPr>
          <w:rPr>
            <w:sz w:val="24"/>
            <w:szCs w:val="24"/>
          </w:rPr>
          <w:id w:val="1273279467"/>
        </w:sdtPr>
        <w:sdtEndPr/>
        <w:sdtContent>
          <w:r w:rsidR="009427A5">
            <w:rPr>
              <w:sz w:val="24"/>
              <w:szCs w:val="24"/>
            </w:rPr>
            <w:t xml:space="preserve">The National Urban Housing and Habitat Policy 2007 is a national level policy that targets equal access to housing to all groups and especially the marginalized groups.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26F79" w:rsidRPr="00226F79" w:rsidRDefault="00835051"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226F79" w:rsidRPr="00226F79" w:rsidRDefault="00835051" w:rsidP="00226F79">
      <w:pPr>
        <w:jc w:val="both"/>
        <w:rPr>
          <w:sz w:val="24"/>
          <w:szCs w:val="24"/>
        </w:rPr>
      </w:pPr>
      <w:sdt>
        <w:sdtPr>
          <w:rPr>
            <w:sz w:val="24"/>
            <w:szCs w:val="24"/>
          </w:rPr>
          <w:id w:val="-1718507619"/>
        </w:sdtPr>
        <w:sdtEndPr/>
        <w:sdtContent>
          <w:sdt>
            <w:sdtPr>
              <w:rPr>
                <w:sz w:val="24"/>
                <w:szCs w:val="24"/>
              </w:rPr>
              <w:id w:val="-2110036250"/>
            </w:sdtPr>
            <w:sdtEndPr/>
            <w:sdtContent>
              <w:r w:rsidR="009427A5">
                <w:rPr>
                  <w:sz w:val="24"/>
                  <w:szCs w:val="24"/>
                </w:rPr>
                <w:t>NO</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rsidR="00226F79" w:rsidRPr="00226F79" w:rsidRDefault="00835051" w:rsidP="00226F79">
      <w:pPr>
        <w:jc w:val="both"/>
        <w:rPr>
          <w:sz w:val="24"/>
          <w:szCs w:val="24"/>
        </w:rPr>
      </w:pPr>
      <w:sdt>
        <w:sdtPr>
          <w:rPr>
            <w:sz w:val="24"/>
            <w:szCs w:val="24"/>
          </w:rPr>
          <w:id w:val="-1062947959"/>
        </w:sdtPr>
        <w:sdtEndPr/>
        <w:sdtContent>
          <w:r w:rsidR="009427A5">
            <w:rPr>
              <w:sz w:val="24"/>
              <w:szCs w:val="24"/>
            </w:rPr>
            <w:t>Media is useful in portraying the daily struggles faced by the discriminated communities in India in the context of housing.</w:t>
          </w:r>
        </w:sdtContent>
      </w:sdt>
    </w:p>
    <w:p w:rsidR="00226F79" w:rsidRPr="00226F79" w:rsidRDefault="00226F79" w:rsidP="00226F79">
      <w:pPr>
        <w:ind w:left="360"/>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835051" w:rsidP="00226F79">
      <w:pPr>
        <w:jc w:val="both"/>
        <w:rPr>
          <w:sz w:val="24"/>
          <w:szCs w:val="24"/>
        </w:rPr>
      </w:pPr>
      <w:sdt>
        <w:sdtPr>
          <w:rPr>
            <w:sz w:val="24"/>
            <w:szCs w:val="24"/>
          </w:rPr>
          <w:id w:val="-1413463060"/>
        </w:sdtPr>
        <w:sdtEndPr/>
        <w:sdtContent>
          <w:sdt>
            <w:sdtPr>
              <w:rPr>
                <w:sz w:val="24"/>
                <w:szCs w:val="24"/>
              </w:rPr>
              <w:id w:val="996921466"/>
            </w:sdtPr>
            <w:sdtEndPr/>
            <w:sdtContent>
              <w:r w:rsidR="009427A5">
                <w:rPr>
                  <w:sz w:val="24"/>
                  <w:szCs w:val="24"/>
                </w:rPr>
                <w:t>Affected people take up legal recourse.</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835051"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487B1A" w:rsidRPr="00226F79" w:rsidRDefault="00835051"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226F79">
                <w:rPr>
                  <w:rStyle w:val="PlaceholderText"/>
                  <w:sz w:val="24"/>
                  <w:szCs w:val="24"/>
                </w:rPr>
                <w:t>Click here to enter text.</w:t>
              </w:r>
            </w:sdtContent>
          </w:sdt>
        </w:sdtContent>
      </w:sdt>
    </w:p>
    <w:p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835051"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sdt>
      <w:sdtPr>
        <w:rPr>
          <w:sz w:val="24"/>
          <w:szCs w:val="24"/>
        </w:rPr>
        <w:id w:val="1191101676"/>
      </w:sdtPr>
      <w:sdtEndPr/>
      <w:sdtContent>
        <w:p w:rsidR="003B1D28" w:rsidRDefault="003B1D28" w:rsidP="009427A5">
          <w:pPr>
            <w:rPr>
              <w:sz w:val="24"/>
              <w:szCs w:val="24"/>
            </w:rPr>
          </w:pPr>
          <w:r>
            <w:rPr>
              <w:sz w:val="24"/>
              <w:szCs w:val="24"/>
            </w:rPr>
            <w:t>Studies on spatial segregation:</w:t>
          </w:r>
        </w:p>
        <w:p w:rsidR="009427A5" w:rsidRDefault="009427A5" w:rsidP="009427A5">
          <w:pPr>
            <w:rPr>
              <w:sz w:val="24"/>
              <w:szCs w:val="24"/>
            </w:rPr>
          </w:pPr>
          <w:r>
            <w:rPr>
              <w:sz w:val="24"/>
              <w:szCs w:val="24"/>
            </w:rPr>
            <w:t xml:space="preserve">(1) </w:t>
          </w:r>
          <w:proofErr w:type="spellStart"/>
          <w:r>
            <w:rPr>
              <w:sz w:val="24"/>
              <w:szCs w:val="24"/>
            </w:rPr>
            <w:t>Bharathi</w:t>
          </w:r>
          <w:proofErr w:type="spellEnd"/>
          <w:r>
            <w:rPr>
              <w:sz w:val="24"/>
              <w:szCs w:val="24"/>
            </w:rPr>
            <w:t xml:space="preserve"> et.al. (2021): </w:t>
          </w:r>
          <w:hyperlink r:id="rId18" w:history="1">
            <w:r w:rsidRPr="001C18FD">
              <w:rPr>
                <w:rStyle w:val="Hyperlink"/>
                <w:sz w:val="24"/>
                <w:szCs w:val="24"/>
              </w:rPr>
              <w:t>https://www.sciencedirect.com/science/article/pii/S0305750X21000097?casa_token=ZOVkM5jfci0AAAAA:CYGp2N2N1QgIeGl5cTAT3xSFJgBKkK8mtXd_ayd44swafA7rE8Q_dxdjB2D7AnZ53GpE66y9Ww</w:t>
            </w:r>
          </w:hyperlink>
          <w:r>
            <w:rPr>
              <w:sz w:val="24"/>
              <w:szCs w:val="24"/>
            </w:rPr>
            <w:t xml:space="preserve"> </w:t>
          </w:r>
        </w:p>
        <w:p w:rsidR="009427A5" w:rsidRDefault="009427A5" w:rsidP="009427A5">
          <w:pPr>
            <w:rPr>
              <w:sz w:val="24"/>
              <w:szCs w:val="24"/>
            </w:rPr>
          </w:pPr>
          <w:r>
            <w:rPr>
              <w:sz w:val="24"/>
              <w:szCs w:val="24"/>
            </w:rPr>
            <w:t xml:space="preserve">(2) Singh et.al. (2019): </w:t>
          </w:r>
          <w:hyperlink r:id="rId19" w:history="1">
            <w:r w:rsidRPr="001C18FD">
              <w:rPr>
                <w:rStyle w:val="Hyperlink"/>
                <w:sz w:val="24"/>
                <w:szCs w:val="24"/>
              </w:rPr>
              <w:t>https://journals.sagepub.com/doi/pdf/10.1177/0956247818812330</w:t>
            </w:r>
          </w:hyperlink>
          <w:r>
            <w:rPr>
              <w:sz w:val="24"/>
              <w:szCs w:val="24"/>
            </w:rPr>
            <w:t xml:space="preserve"> </w:t>
          </w:r>
        </w:p>
        <w:p w:rsidR="00226F79" w:rsidRDefault="009427A5" w:rsidP="009427A5">
          <w:pPr>
            <w:rPr>
              <w:sz w:val="24"/>
              <w:szCs w:val="24"/>
            </w:rPr>
          </w:pPr>
          <w:r>
            <w:rPr>
              <w:sz w:val="24"/>
              <w:szCs w:val="24"/>
            </w:rPr>
            <w:t xml:space="preserve">(3) </w:t>
          </w:r>
          <w:proofErr w:type="spellStart"/>
          <w:r>
            <w:rPr>
              <w:sz w:val="24"/>
              <w:szCs w:val="24"/>
            </w:rPr>
            <w:t>Vithayathi</w:t>
          </w:r>
          <w:proofErr w:type="spellEnd"/>
          <w:r>
            <w:rPr>
              <w:sz w:val="24"/>
              <w:szCs w:val="24"/>
            </w:rPr>
            <w:t xml:space="preserve"> &amp; Singh (2012): </w:t>
          </w:r>
          <w:hyperlink r:id="rId20" w:history="1">
            <w:r w:rsidRPr="001C18FD">
              <w:rPr>
                <w:rStyle w:val="Hyperlink"/>
                <w:sz w:val="23"/>
                <w:szCs w:val="23"/>
              </w:rPr>
              <w:t>https://www.jstor.org/stable/41720139</w:t>
            </w:r>
          </w:hyperlink>
          <w:r>
            <w:rPr>
              <w:sz w:val="23"/>
              <w:szCs w:val="23"/>
            </w:rPr>
            <w:t xml:space="preserve"> </w:t>
          </w:r>
        </w:p>
      </w:sdtContent>
    </w:sdt>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835051"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rsidR="003A314E" w:rsidRPr="003A314E" w:rsidRDefault="003A314E" w:rsidP="003A314E">
      <w:pPr>
        <w:jc w:val="both"/>
        <w:rPr>
          <w:sz w:val="24"/>
          <w:szCs w:val="24"/>
        </w:rPr>
      </w:pPr>
    </w:p>
    <w:sectPr w:rsidR="003A314E" w:rsidRPr="003A314E" w:rsidSect="00895233">
      <w:headerReference w:type="first" r:id="rId21"/>
      <w:footerReference w:type="first" r:id="rId2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51" w:rsidRDefault="00835051">
      <w:r>
        <w:separator/>
      </w:r>
    </w:p>
  </w:endnote>
  <w:endnote w:type="continuationSeparator" w:id="0">
    <w:p w:rsidR="00835051" w:rsidRDefault="0083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C8" w:rsidRDefault="009F49C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51" w:rsidRDefault="00835051">
      <w:r>
        <w:separator/>
      </w:r>
    </w:p>
  </w:footnote>
  <w:footnote w:type="continuationSeparator" w:id="0">
    <w:p w:rsidR="00835051" w:rsidRDefault="0083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C8" w:rsidRDefault="009F49C8">
    <w:pPr>
      <w:pStyle w:val="Header"/>
      <w:rPr>
        <w:lang w:val="fr-CH"/>
      </w:rPr>
    </w:pPr>
  </w:p>
  <w:p w:rsidR="009800F0" w:rsidRPr="00611E96" w:rsidRDefault="009800F0">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260AA"/>
    <w:multiLevelType w:val="hybridMultilevel"/>
    <w:tmpl w:val="EB90A58C"/>
    <w:lvl w:ilvl="0" w:tplc="C9848A8E">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zMzM1tDAxNTc1tDRR0lEKTi0uzszPAykwrQUAO6ImvywAAAA="/>
  </w:docVars>
  <w:rsids>
    <w:rsidRoot w:val="00F611C6"/>
    <w:rsid w:val="00000B5B"/>
    <w:rsid w:val="0000105C"/>
    <w:rsid w:val="00004B10"/>
    <w:rsid w:val="00005064"/>
    <w:rsid w:val="000138F6"/>
    <w:rsid w:val="00026D1F"/>
    <w:rsid w:val="00026D52"/>
    <w:rsid w:val="00031377"/>
    <w:rsid w:val="00032D0E"/>
    <w:rsid w:val="0003674D"/>
    <w:rsid w:val="000410AB"/>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0F5F86"/>
    <w:rsid w:val="00100FCF"/>
    <w:rsid w:val="00106F64"/>
    <w:rsid w:val="001146DA"/>
    <w:rsid w:val="00115798"/>
    <w:rsid w:val="001205D6"/>
    <w:rsid w:val="00124668"/>
    <w:rsid w:val="001307E2"/>
    <w:rsid w:val="00131DFA"/>
    <w:rsid w:val="001456CB"/>
    <w:rsid w:val="00145CB3"/>
    <w:rsid w:val="00151301"/>
    <w:rsid w:val="001537CC"/>
    <w:rsid w:val="0015615C"/>
    <w:rsid w:val="00166A78"/>
    <w:rsid w:val="001676BA"/>
    <w:rsid w:val="00171DC8"/>
    <w:rsid w:val="00172B84"/>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0DAA"/>
    <w:rsid w:val="00235A1A"/>
    <w:rsid w:val="002431DB"/>
    <w:rsid w:val="00244860"/>
    <w:rsid w:val="0024583B"/>
    <w:rsid w:val="002516F4"/>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C2C0E"/>
    <w:rsid w:val="002D4E0C"/>
    <w:rsid w:val="002D7106"/>
    <w:rsid w:val="002E0EEC"/>
    <w:rsid w:val="002E456F"/>
    <w:rsid w:val="002E65F4"/>
    <w:rsid w:val="00305B08"/>
    <w:rsid w:val="00306810"/>
    <w:rsid w:val="003207A5"/>
    <w:rsid w:val="00323DEC"/>
    <w:rsid w:val="00327D87"/>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B0526"/>
    <w:rsid w:val="003B1D28"/>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1894"/>
    <w:rsid w:val="00423D3C"/>
    <w:rsid w:val="004249D7"/>
    <w:rsid w:val="00427CEF"/>
    <w:rsid w:val="00433548"/>
    <w:rsid w:val="00440385"/>
    <w:rsid w:val="00440E30"/>
    <w:rsid w:val="00440ED0"/>
    <w:rsid w:val="00443DF5"/>
    <w:rsid w:val="00447412"/>
    <w:rsid w:val="00451344"/>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C30AB"/>
    <w:rsid w:val="004D21C9"/>
    <w:rsid w:val="004D48CA"/>
    <w:rsid w:val="004D5D19"/>
    <w:rsid w:val="004E0AB6"/>
    <w:rsid w:val="004E109C"/>
    <w:rsid w:val="004E28F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9679E"/>
    <w:rsid w:val="006A7352"/>
    <w:rsid w:val="006B5A71"/>
    <w:rsid w:val="006C7917"/>
    <w:rsid w:val="006D0C62"/>
    <w:rsid w:val="006D1A8D"/>
    <w:rsid w:val="006E6CC3"/>
    <w:rsid w:val="006F0D4E"/>
    <w:rsid w:val="006F141A"/>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6C0E"/>
    <w:rsid w:val="0079720D"/>
    <w:rsid w:val="00797214"/>
    <w:rsid w:val="007A375D"/>
    <w:rsid w:val="007B01A6"/>
    <w:rsid w:val="007B5929"/>
    <w:rsid w:val="007B60AC"/>
    <w:rsid w:val="007C4483"/>
    <w:rsid w:val="007C4A8E"/>
    <w:rsid w:val="007C5369"/>
    <w:rsid w:val="007D1657"/>
    <w:rsid w:val="007D3337"/>
    <w:rsid w:val="007D47FE"/>
    <w:rsid w:val="007E1460"/>
    <w:rsid w:val="007E39E1"/>
    <w:rsid w:val="007F4648"/>
    <w:rsid w:val="007F7DA3"/>
    <w:rsid w:val="0081788D"/>
    <w:rsid w:val="008226B4"/>
    <w:rsid w:val="0082686B"/>
    <w:rsid w:val="00827A9A"/>
    <w:rsid w:val="0083181B"/>
    <w:rsid w:val="00832165"/>
    <w:rsid w:val="00833109"/>
    <w:rsid w:val="00833FF3"/>
    <w:rsid w:val="00835051"/>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04E95"/>
    <w:rsid w:val="009240B2"/>
    <w:rsid w:val="009242AE"/>
    <w:rsid w:val="00925A9D"/>
    <w:rsid w:val="009337F5"/>
    <w:rsid w:val="009358CD"/>
    <w:rsid w:val="00935A07"/>
    <w:rsid w:val="009427A5"/>
    <w:rsid w:val="00944000"/>
    <w:rsid w:val="00944040"/>
    <w:rsid w:val="00944E25"/>
    <w:rsid w:val="00945265"/>
    <w:rsid w:val="0094635D"/>
    <w:rsid w:val="009469B5"/>
    <w:rsid w:val="00951601"/>
    <w:rsid w:val="00964D74"/>
    <w:rsid w:val="00977C96"/>
    <w:rsid w:val="009800F0"/>
    <w:rsid w:val="00980B8F"/>
    <w:rsid w:val="009818C9"/>
    <w:rsid w:val="00982FCF"/>
    <w:rsid w:val="0098565E"/>
    <w:rsid w:val="00986237"/>
    <w:rsid w:val="00993C39"/>
    <w:rsid w:val="00997618"/>
    <w:rsid w:val="009A2849"/>
    <w:rsid w:val="009A2BBD"/>
    <w:rsid w:val="009A4B5F"/>
    <w:rsid w:val="009B459A"/>
    <w:rsid w:val="009D4AAC"/>
    <w:rsid w:val="009D76A9"/>
    <w:rsid w:val="009E0073"/>
    <w:rsid w:val="009E1A46"/>
    <w:rsid w:val="009E2351"/>
    <w:rsid w:val="009F18EC"/>
    <w:rsid w:val="009F2043"/>
    <w:rsid w:val="009F37AC"/>
    <w:rsid w:val="009F49C8"/>
    <w:rsid w:val="009F5421"/>
    <w:rsid w:val="00A01741"/>
    <w:rsid w:val="00A12E60"/>
    <w:rsid w:val="00A153DB"/>
    <w:rsid w:val="00A21EF1"/>
    <w:rsid w:val="00A2263D"/>
    <w:rsid w:val="00A22B1B"/>
    <w:rsid w:val="00A23512"/>
    <w:rsid w:val="00A34DA7"/>
    <w:rsid w:val="00A364CF"/>
    <w:rsid w:val="00A3761B"/>
    <w:rsid w:val="00A40490"/>
    <w:rsid w:val="00A4199F"/>
    <w:rsid w:val="00A41D57"/>
    <w:rsid w:val="00A439B9"/>
    <w:rsid w:val="00A5082E"/>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0511A"/>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C486C"/>
    <w:rsid w:val="00BD2C78"/>
    <w:rsid w:val="00BD6119"/>
    <w:rsid w:val="00BD6AAC"/>
    <w:rsid w:val="00BE21B8"/>
    <w:rsid w:val="00BE7A33"/>
    <w:rsid w:val="00BF69D2"/>
    <w:rsid w:val="00C0101A"/>
    <w:rsid w:val="00C07B5F"/>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CF5332"/>
    <w:rsid w:val="00D00DDC"/>
    <w:rsid w:val="00D02F61"/>
    <w:rsid w:val="00D1125E"/>
    <w:rsid w:val="00D115F7"/>
    <w:rsid w:val="00D226E4"/>
    <w:rsid w:val="00D230B7"/>
    <w:rsid w:val="00D27563"/>
    <w:rsid w:val="00D32E5B"/>
    <w:rsid w:val="00D35B0E"/>
    <w:rsid w:val="00D3608E"/>
    <w:rsid w:val="00D36435"/>
    <w:rsid w:val="00D36635"/>
    <w:rsid w:val="00D3698C"/>
    <w:rsid w:val="00D410EB"/>
    <w:rsid w:val="00D4251A"/>
    <w:rsid w:val="00D43E54"/>
    <w:rsid w:val="00D5082F"/>
    <w:rsid w:val="00D50EB9"/>
    <w:rsid w:val="00D548D5"/>
    <w:rsid w:val="00D641EF"/>
    <w:rsid w:val="00D6600A"/>
    <w:rsid w:val="00D67524"/>
    <w:rsid w:val="00D70178"/>
    <w:rsid w:val="00D71B18"/>
    <w:rsid w:val="00D759B6"/>
    <w:rsid w:val="00D77E42"/>
    <w:rsid w:val="00D84C7E"/>
    <w:rsid w:val="00D852F5"/>
    <w:rsid w:val="00D869AE"/>
    <w:rsid w:val="00D94E49"/>
    <w:rsid w:val="00D9600F"/>
    <w:rsid w:val="00D968C8"/>
    <w:rsid w:val="00DA38D4"/>
    <w:rsid w:val="00DA5A2A"/>
    <w:rsid w:val="00DA5FC2"/>
    <w:rsid w:val="00DB5055"/>
    <w:rsid w:val="00DB5616"/>
    <w:rsid w:val="00DC0CA6"/>
    <w:rsid w:val="00DC6253"/>
    <w:rsid w:val="00DC750E"/>
    <w:rsid w:val="00DC7FFC"/>
    <w:rsid w:val="00DD0358"/>
    <w:rsid w:val="00DD4909"/>
    <w:rsid w:val="00DD7B55"/>
    <w:rsid w:val="00DE3FD8"/>
    <w:rsid w:val="00DE67AF"/>
    <w:rsid w:val="00DE7E3D"/>
    <w:rsid w:val="00DF0FB6"/>
    <w:rsid w:val="00DF1809"/>
    <w:rsid w:val="00DF208E"/>
    <w:rsid w:val="00DF558E"/>
    <w:rsid w:val="00DF6C40"/>
    <w:rsid w:val="00E15347"/>
    <w:rsid w:val="00E22392"/>
    <w:rsid w:val="00E262FF"/>
    <w:rsid w:val="00E30296"/>
    <w:rsid w:val="00E31842"/>
    <w:rsid w:val="00E34566"/>
    <w:rsid w:val="00E4367D"/>
    <w:rsid w:val="00E56BA2"/>
    <w:rsid w:val="00E60057"/>
    <w:rsid w:val="00E65B25"/>
    <w:rsid w:val="00E679E8"/>
    <w:rsid w:val="00E80226"/>
    <w:rsid w:val="00E84288"/>
    <w:rsid w:val="00E84769"/>
    <w:rsid w:val="00E854DD"/>
    <w:rsid w:val="00EA6B3E"/>
    <w:rsid w:val="00EA7F03"/>
    <w:rsid w:val="00EB190D"/>
    <w:rsid w:val="00EC123F"/>
    <w:rsid w:val="00EC3079"/>
    <w:rsid w:val="00EC3E83"/>
    <w:rsid w:val="00EE0A7C"/>
    <w:rsid w:val="00EE156C"/>
    <w:rsid w:val="00EE5BA8"/>
    <w:rsid w:val="00EE5FB1"/>
    <w:rsid w:val="00EE6765"/>
    <w:rsid w:val="00EF0B0D"/>
    <w:rsid w:val="00F006B5"/>
    <w:rsid w:val="00F046B0"/>
    <w:rsid w:val="00F268C0"/>
    <w:rsid w:val="00F47087"/>
    <w:rsid w:val="00F47B64"/>
    <w:rsid w:val="00F611C6"/>
    <w:rsid w:val="00F62027"/>
    <w:rsid w:val="00F655AE"/>
    <w:rsid w:val="00F7101E"/>
    <w:rsid w:val="00F72394"/>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308751253">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lrn.org.in/documents/Press_Release_Evictions_COVID19_November_2020.pdf" TargetMode="External"/><Relationship Id="rId18" Type="http://schemas.openxmlformats.org/officeDocument/2006/relationships/hyperlink" Target="https://www.sciencedirect.com/science/article/pii/S0305750X21000097?casa_token=ZOVkM5jfci0AAAAA:CYGp2N2N1QgIeGl5cTAT3xSFJgBKkK8mtXd_ayd44swafA7rE8Q_dxdjB2D7AnZ53GpE66y9Ww"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pw.in/journal/2017/52/notes/housing-urban-poor.html" TargetMode="External"/><Relationship Id="rId17" Type="http://schemas.openxmlformats.org/officeDocument/2006/relationships/hyperlink" Target="https://journals.sagepub.com/doi/pdf/10.1177/095624781881233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iencedirect.com/science/article/pii/S0305750X21000097?casa_token=ZOVkM5jfci0AAAAA:CYGp2N2N1QgIeGl5cTAT3xSFJgBKkK8mtXd_ayd44swafA7rE8Q_dxdjB2D7AnZ53GpE66y9Ww" TargetMode="External"/><Relationship Id="rId20" Type="http://schemas.openxmlformats.org/officeDocument/2006/relationships/hyperlink" Target="https://www.jstor.org/stable/417201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bulletin/volumes/93/11/15-155473.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mumbailive.com/en/infrastructure/guest-article-on-mahul-rehabilitation-housing-rights-human-rights-in-mumbai-3533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urnals.sagepub.com/doi/pdf/10.1177/09562478188123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randbench.com/wp-content/uploads/2016/07/Janhit-Manch.pdf"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74"/>
    <w:rsid w:val="002A3D66"/>
    <w:rsid w:val="0036134F"/>
    <w:rsid w:val="003D2322"/>
    <w:rsid w:val="003F06B2"/>
    <w:rsid w:val="00690D74"/>
    <w:rsid w:val="009B3576"/>
    <w:rsid w:val="00A526DE"/>
    <w:rsid w:val="00EA415E"/>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AFDA1A-863D-4A10-BA25-39C2FD00FEC3}"/>
</file>

<file path=customXml/itemProps4.xml><?xml version="1.0" encoding="utf-8"?>
<ds:datastoreItem xmlns:ds="http://schemas.openxmlformats.org/officeDocument/2006/customXml" ds:itemID="{5256FE4B-6D2B-48FC-8089-B94364E7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3629</Words>
  <Characters>20686</Characters>
  <Application>Microsoft Office Word</Application>
  <DocSecurity>0</DocSecurity>
  <Lines>172</Lines>
  <Paragraphs>48</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2021-05-10T08:28:00Z</dcterms:created>
  <dcterms:modified xsi:type="dcterms:W3CDTF">2021-05-10T16:10:00Z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