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0CD" w:rsidRDefault="009900CD">
      <w:pPr>
        <w:pStyle w:val="xmsonormal"/>
        <w:jc w:val="both"/>
        <w:rPr>
          <w:rFonts w:cs="Segoe UI Semilight"/>
          <w:sz w:val="25"/>
          <w:szCs w:val="25"/>
        </w:rPr>
      </w:pPr>
      <w:proofErr w:type="spellStart"/>
      <w:r w:rsidRPr="002B45D5">
        <w:rPr>
          <w:rFonts w:cs="Segoe UI Semilight"/>
          <w:b/>
          <w:sz w:val="25"/>
          <w:szCs w:val="25"/>
        </w:rPr>
        <w:t>Organisation</w:t>
      </w:r>
      <w:proofErr w:type="spellEnd"/>
      <w:r w:rsidR="002B45D5" w:rsidRPr="002B45D5">
        <w:rPr>
          <w:rFonts w:cs="Segoe UI Semilight"/>
          <w:b/>
          <w:sz w:val="25"/>
          <w:szCs w:val="25"/>
        </w:rPr>
        <w:t xml:space="preserve"> submitting inputs</w:t>
      </w:r>
      <w:r w:rsidRPr="009900CD">
        <w:rPr>
          <w:rFonts w:cs="Segoe UI Semilight"/>
          <w:sz w:val="25"/>
          <w:szCs w:val="25"/>
        </w:rPr>
        <w:t>:</w:t>
      </w:r>
      <w:r w:rsidR="00B85FEC">
        <w:rPr>
          <w:rFonts w:cs="Segoe UI Semilight"/>
          <w:sz w:val="25"/>
          <w:szCs w:val="25"/>
        </w:rPr>
        <w:t xml:space="preserve"> </w:t>
      </w:r>
      <w:r w:rsidR="00B85FEC" w:rsidRPr="00B85FEC">
        <w:rPr>
          <w:rFonts w:cs="Segoe UI Semilight"/>
          <w:sz w:val="25"/>
          <w:szCs w:val="25"/>
        </w:rPr>
        <w:t>Autonomous Women's Center</w:t>
      </w:r>
      <w:r>
        <w:rPr>
          <w:rFonts w:cs="Segoe UI Semilight"/>
          <w:sz w:val="25"/>
          <w:szCs w:val="25"/>
        </w:rPr>
        <w:t xml:space="preserve"> (AWC)</w:t>
      </w:r>
    </w:p>
    <w:p w:rsidR="009900CD" w:rsidRDefault="009900CD">
      <w:pPr>
        <w:pStyle w:val="xmsonormal"/>
        <w:jc w:val="both"/>
        <w:rPr>
          <w:rFonts w:cs="Segoe UI Semilight"/>
          <w:sz w:val="25"/>
          <w:szCs w:val="25"/>
        </w:rPr>
      </w:pPr>
      <w:proofErr w:type="spellStart"/>
      <w:r w:rsidRPr="002B45D5">
        <w:rPr>
          <w:rFonts w:cs="Segoe UI Semilight"/>
          <w:b/>
          <w:sz w:val="25"/>
          <w:szCs w:val="25"/>
        </w:rPr>
        <w:t>Adress</w:t>
      </w:r>
      <w:proofErr w:type="spellEnd"/>
      <w:r w:rsidRPr="002B45D5">
        <w:rPr>
          <w:rFonts w:cs="Segoe UI Semilight"/>
          <w:b/>
          <w:sz w:val="25"/>
          <w:szCs w:val="25"/>
        </w:rPr>
        <w:t>:</w:t>
      </w:r>
      <w:r>
        <w:rPr>
          <w:rFonts w:cs="Segoe UI Semilight"/>
          <w:sz w:val="25"/>
          <w:szCs w:val="25"/>
        </w:rPr>
        <w:t xml:space="preserve"> </w:t>
      </w:r>
      <w:proofErr w:type="spellStart"/>
      <w:r>
        <w:rPr>
          <w:rFonts w:cs="Segoe UI Semilight"/>
          <w:sz w:val="25"/>
          <w:szCs w:val="25"/>
        </w:rPr>
        <w:t>Tirsova</w:t>
      </w:r>
      <w:proofErr w:type="spellEnd"/>
      <w:r>
        <w:rPr>
          <w:rFonts w:cs="Segoe UI Semilight"/>
          <w:sz w:val="25"/>
          <w:szCs w:val="25"/>
        </w:rPr>
        <w:t xml:space="preserve"> 5a, 3</w:t>
      </w:r>
      <w:r w:rsidRPr="009900CD">
        <w:rPr>
          <w:rFonts w:cs="Segoe UI Semilight"/>
          <w:sz w:val="25"/>
          <w:szCs w:val="25"/>
          <w:vertAlign w:val="superscript"/>
        </w:rPr>
        <w:t>rd</w:t>
      </w:r>
      <w:r>
        <w:rPr>
          <w:rFonts w:cs="Segoe UI Semilight"/>
          <w:sz w:val="25"/>
          <w:szCs w:val="25"/>
        </w:rPr>
        <w:t xml:space="preserve"> floor, flat 7, 11000 Belgrade</w:t>
      </w:r>
    </w:p>
    <w:p w:rsidR="009900CD" w:rsidRDefault="009900CD">
      <w:pPr>
        <w:pStyle w:val="xmsonormal"/>
        <w:jc w:val="both"/>
        <w:rPr>
          <w:rFonts w:cs="Segoe UI Semilight"/>
          <w:sz w:val="25"/>
          <w:szCs w:val="25"/>
        </w:rPr>
      </w:pPr>
      <w:r w:rsidRPr="002B45D5">
        <w:rPr>
          <w:rFonts w:cs="Segoe UI Semilight"/>
          <w:b/>
          <w:sz w:val="25"/>
          <w:szCs w:val="25"/>
        </w:rPr>
        <w:t>Country:</w:t>
      </w:r>
      <w:r>
        <w:rPr>
          <w:rFonts w:cs="Segoe UI Semilight"/>
          <w:sz w:val="25"/>
          <w:szCs w:val="25"/>
        </w:rPr>
        <w:t xml:space="preserve"> Republic of Serbia</w:t>
      </w:r>
    </w:p>
    <w:p w:rsidR="009900CD" w:rsidRDefault="009900CD">
      <w:pPr>
        <w:pStyle w:val="xmsonormal"/>
        <w:jc w:val="both"/>
        <w:rPr>
          <w:rFonts w:cs="Segoe UI Semilight"/>
          <w:sz w:val="25"/>
          <w:szCs w:val="25"/>
        </w:rPr>
      </w:pPr>
      <w:r w:rsidRPr="002B45D5">
        <w:rPr>
          <w:rFonts w:cs="Segoe UI Semilight"/>
          <w:b/>
          <w:sz w:val="25"/>
          <w:szCs w:val="25"/>
        </w:rPr>
        <w:t>Website:</w:t>
      </w:r>
      <w:r w:rsidR="00B85FEC">
        <w:rPr>
          <w:rFonts w:cs="Segoe UI Semilight"/>
          <w:sz w:val="25"/>
          <w:szCs w:val="25"/>
        </w:rPr>
        <w:t xml:space="preserve"> </w:t>
      </w:r>
      <w:hyperlink r:id="rId8" w:history="1">
        <w:r w:rsidR="00B85FEC" w:rsidRPr="00175A42">
          <w:rPr>
            <w:rStyle w:val="Hyperlink"/>
            <w:rFonts w:cs="Segoe UI Semilight"/>
            <w:sz w:val="25"/>
            <w:szCs w:val="25"/>
          </w:rPr>
          <w:t>https://www.womenngo.org.rs/en/</w:t>
        </w:r>
      </w:hyperlink>
      <w:r w:rsidR="00B85FEC">
        <w:rPr>
          <w:rFonts w:cs="Segoe UI Semilight"/>
          <w:sz w:val="25"/>
          <w:szCs w:val="25"/>
        </w:rPr>
        <w:t xml:space="preserve"> </w:t>
      </w:r>
    </w:p>
    <w:p w:rsidR="00B85FEC" w:rsidRDefault="00B85FEC">
      <w:pPr>
        <w:pStyle w:val="xmsonormal"/>
        <w:jc w:val="both"/>
        <w:rPr>
          <w:rFonts w:cs="Segoe UI Semilight"/>
          <w:sz w:val="25"/>
          <w:szCs w:val="25"/>
        </w:rPr>
      </w:pPr>
      <w:r w:rsidRPr="002B45D5">
        <w:rPr>
          <w:rFonts w:cs="Segoe UI Semilight"/>
          <w:b/>
          <w:sz w:val="25"/>
          <w:szCs w:val="25"/>
        </w:rPr>
        <w:t>E-mail:</w:t>
      </w:r>
      <w:r>
        <w:rPr>
          <w:rFonts w:cs="Segoe UI Semilight"/>
          <w:sz w:val="25"/>
          <w:szCs w:val="25"/>
        </w:rPr>
        <w:t xml:space="preserve"> </w:t>
      </w:r>
      <w:hyperlink r:id="rId9" w:history="1">
        <w:r w:rsidRPr="00175A42">
          <w:rPr>
            <w:rStyle w:val="Hyperlink"/>
            <w:rFonts w:cs="Segoe UI Semilight"/>
            <w:sz w:val="25"/>
            <w:szCs w:val="25"/>
          </w:rPr>
          <w:t>dobre_prakse@azc.org.rs</w:t>
        </w:r>
      </w:hyperlink>
      <w:r>
        <w:rPr>
          <w:rFonts w:cs="Segoe UI Semilight"/>
          <w:sz w:val="25"/>
          <w:szCs w:val="25"/>
        </w:rPr>
        <w:t xml:space="preserve"> </w:t>
      </w:r>
    </w:p>
    <w:p w:rsidR="00B85FEC" w:rsidRDefault="00B85FEC">
      <w:pPr>
        <w:pStyle w:val="xmsonormal"/>
        <w:jc w:val="both"/>
        <w:rPr>
          <w:rFonts w:cs="Segoe UI Semilight"/>
          <w:sz w:val="25"/>
          <w:szCs w:val="25"/>
        </w:rPr>
      </w:pPr>
      <w:r w:rsidRPr="002B45D5">
        <w:rPr>
          <w:rFonts w:cs="Segoe UI Semilight"/>
          <w:b/>
          <w:sz w:val="25"/>
          <w:szCs w:val="25"/>
        </w:rPr>
        <w:t>Phone:</w:t>
      </w:r>
      <w:r>
        <w:rPr>
          <w:rFonts w:cs="Segoe UI Semilight"/>
          <w:sz w:val="25"/>
          <w:szCs w:val="25"/>
        </w:rPr>
        <w:t xml:space="preserve"> +381112687190 </w:t>
      </w:r>
    </w:p>
    <w:p w:rsidR="009900CD" w:rsidRPr="009900CD" w:rsidRDefault="009900CD">
      <w:pPr>
        <w:pStyle w:val="xmsonormal"/>
        <w:jc w:val="both"/>
        <w:rPr>
          <w:rFonts w:cs="Segoe UI Semilight"/>
          <w:sz w:val="25"/>
          <w:szCs w:val="25"/>
        </w:rPr>
      </w:pPr>
    </w:p>
    <w:p w:rsidR="009900CD" w:rsidRDefault="009900CD">
      <w:pPr>
        <w:pStyle w:val="xmsonormal"/>
        <w:jc w:val="both"/>
        <w:rPr>
          <w:rFonts w:cs="Segoe UI Semilight"/>
          <w:b/>
          <w:sz w:val="25"/>
          <w:szCs w:val="25"/>
        </w:rPr>
      </w:pPr>
    </w:p>
    <w:p w:rsidR="0041172E" w:rsidRDefault="00336F57">
      <w:pPr>
        <w:pStyle w:val="xmsonormal"/>
        <w:jc w:val="both"/>
      </w:pPr>
      <w:r>
        <w:rPr>
          <w:rFonts w:cs="Segoe UI Semilight"/>
          <w:b/>
          <w:sz w:val="25"/>
          <w:szCs w:val="25"/>
        </w:rPr>
        <w:t xml:space="preserve">Key questions and types of input sought to the Special Rapporteur – </w:t>
      </w:r>
      <w:proofErr w:type="spellStart"/>
      <w:r>
        <w:rPr>
          <w:rFonts w:cs="Segoe UI Semilight"/>
          <w:b/>
          <w:sz w:val="25"/>
          <w:szCs w:val="25"/>
        </w:rPr>
        <w:t>Femicide</w:t>
      </w:r>
      <w:proofErr w:type="spellEnd"/>
      <w:r>
        <w:rPr>
          <w:rFonts w:cs="Segoe UI Semilight"/>
          <w:b/>
          <w:sz w:val="25"/>
          <w:szCs w:val="25"/>
        </w:rPr>
        <w:t xml:space="preserve"> in Republic of Serbia</w:t>
      </w:r>
    </w:p>
    <w:p w:rsidR="0041172E" w:rsidRDefault="00336F57">
      <w:pPr>
        <w:numPr>
          <w:ilvl w:val="0"/>
          <w:numId w:val="6"/>
        </w:numPr>
        <w:spacing w:before="120" w:after="120"/>
        <w:jc w:val="both"/>
        <w:rPr>
          <w:i/>
          <w:iCs/>
        </w:rPr>
      </w:pPr>
      <w:r>
        <w:rPr>
          <w:rFonts w:eastAsia="Times New Roman"/>
          <w:i/>
          <w:iCs/>
        </w:rPr>
        <w:t xml:space="preserve">On the existence, or progress in the creation, of a national </w:t>
      </w:r>
      <w:proofErr w:type="spellStart"/>
      <w:r>
        <w:rPr>
          <w:rFonts w:eastAsia="Times New Roman"/>
          <w:i/>
          <w:iCs/>
        </w:rPr>
        <w:t>femicide</w:t>
      </w:r>
      <w:proofErr w:type="spellEnd"/>
      <w:r>
        <w:rPr>
          <w:rFonts w:eastAsia="Times New Roman"/>
          <w:i/>
          <w:iCs/>
        </w:rPr>
        <w:t xml:space="preserve"> watch and/or </w:t>
      </w:r>
      <w:proofErr w:type="spellStart"/>
      <w:r>
        <w:rPr>
          <w:rFonts w:eastAsia="Times New Roman"/>
          <w:i/>
          <w:iCs/>
        </w:rPr>
        <w:t>femicide</w:t>
      </w:r>
      <w:proofErr w:type="spellEnd"/>
      <w:r>
        <w:rPr>
          <w:rFonts w:eastAsia="Times New Roman"/>
          <w:i/>
          <w:iCs/>
        </w:rPr>
        <w:t xml:space="preserve"> observatory and/or observatory on violence against women with a </w:t>
      </w:r>
      <w:proofErr w:type="spellStart"/>
      <w:r>
        <w:rPr>
          <w:rFonts w:eastAsia="Times New Roman"/>
          <w:i/>
          <w:iCs/>
        </w:rPr>
        <w:t>femicide</w:t>
      </w:r>
      <w:proofErr w:type="spellEnd"/>
      <w:r>
        <w:rPr>
          <w:rFonts w:eastAsia="Times New Roman"/>
          <w:i/>
          <w:iCs/>
        </w:rPr>
        <w:t xml:space="preserve"> watch role; observatories at Ombudspersons’ office or Equality Bodies; academic institutions and/or NGOs, or any plans to create one.</w:t>
      </w:r>
    </w:p>
    <w:p w:rsidR="0041172E" w:rsidRDefault="00336F57">
      <w:pPr>
        <w:spacing w:before="120" w:after="120"/>
        <w:ind w:left="360"/>
        <w:jc w:val="both"/>
        <w:rPr>
          <w:rFonts w:eastAsia="Times New Roman"/>
        </w:rPr>
      </w:pPr>
      <w:r>
        <w:rPr>
          <w:rFonts w:eastAsia="Times New Roman"/>
          <w:b/>
          <w:bCs/>
        </w:rPr>
        <w:t xml:space="preserve">2003 - </w:t>
      </w:r>
      <w:r>
        <w:rPr>
          <w:rFonts w:eastAsia="Times New Roman"/>
        </w:rPr>
        <w:t xml:space="preserve">AWC for the first time collected data on the prevalence of </w:t>
      </w:r>
      <w:proofErr w:type="spellStart"/>
      <w:r>
        <w:rPr>
          <w:rFonts w:eastAsia="Times New Roman"/>
        </w:rPr>
        <w:t>femicide</w:t>
      </w:r>
      <w:proofErr w:type="spellEnd"/>
      <w:r>
        <w:rPr>
          <w:rFonts w:eastAsia="Times New Roman"/>
        </w:rPr>
        <w:t xml:space="preserve"> in the family-partner context (January</w:t>
      </w:r>
      <w:r>
        <w:rPr>
          <w:rFonts w:eastAsia="Times New Roman"/>
        </w:rPr>
        <w:t xml:space="preserve"> - November 2003) in the Republic of Serbia during the 16 days of activism campaign entitled "Why they are not among us?</w:t>
      </w:r>
      <w:proofErr w:type="gramStart"/>
      <w:r>
        <w:rPr>
          <w:rFonts w:eastAsia="Times New Roman"/>
        </w:rPr>
        <w:t>".</w:t>
      </w:r>
      <w:proofErr w:type="gramEnd"/>
      <w:r>
        <w:rPr>
          <w:rFonts w:eastAsia="Times New Roman"/>
        </w:rPr>
        <w:t xml:space="preserve"> Available via </w:t>
      </w:r>
      <w:hyperlink r:id="rId10">
        <w:r>
          <w:rPr>
            <w:rStyle w:val="Hyperlink"/>
            <w:rFonts w:eastAsia="Times New Roman"/>
          </w:rPr>
          <w:t>link</w:t>
        </w:r>
      </w:hyperlink>
      <w:r>
        <w:rPr>
          <w:rFonts w:eastAsia="Times New Roman"/>
        </w:rPr>
        <w:t xml:space="preserve">. </w:t>
      </w:r>
    </w:p>
    <w:p w:rsidR="0041172E" w:rsidRDefault="00336F57">
      <w:pPr>
        <w:spacing w:before="120" w:after="120"/>
        <w:ind w:left="360"/>
        <w:jc w:val="both"/>
        <w:rPr>
          <w:rFonts w:eastAsia="Times New Roman"/>
          <w:highlight w:val="yellow"/>
        </w:rPr>
      </w:pPr>
      <w:r>
        <w:rPr>
          <w:rFonts w:eastAsia="Times New Roman"/>
          <w:b/>
          <w:bCs/>
        </w:rPr>
        <w:t xml:space="preserve">2010. </w:t>
      </w:r>
      <w:r>
        <w:rPr>
          <w:rFonts w:eastAsia="Times New Roman"/>
        </w:rPr>
        <w:t xml:space="preserve">- </w:t>
      </w:r>
      <w:r>
        <w:rPr>
          <w:rFonts w:eastAsia="Times New Roman"/>
          <w:b/>
          <w:bCs/>
        </w:rPr>
        <w:t xml:space="preserve">AWC established the first model and database for data collection and monitoring of </w:t>
      </w:r>
      <w:proofErr w:type="spellStart"/>
      <w:r>
        <w:rPr>
          <w:rFonts w:eastAsia="Times New Roman"/>
          <w:b/>
          <w:bCs/>
        </w:rPr>
        <w:t>femicide</w:t>
      </w:r>
      <w:proofErr w:type="spellEnd"/>
      <w:r>
        <w:rPr>
          <w:rFonts w:eastAsia="Times New Roman"/>
          <w:b/>
          <w:bCs/>
        </w:rPr>
        <w:t xml:space="preserve"> by a partner and family member in Serbia.</w:t>
      </w:r>
      <w:r>
        <w:rPr>
          <w:rFonts w:eastAsia="Times New Roman"/>
        </w:rPr>
        <w:t xml:space="preserve"> The AWC has been collecting and publishing data on </w:t>
      </w:r>
      <w:proofErr w:type="spellStart"/>
      <w:r>
        <w:rPr>
          <w:rFonts w:eastAsia="Times New Roman"/>
        </w:rPr>
        <w:t>fe</w:t>
      </w:r>
      <w:r>
        <w:rPr>
          <w:rFonts w:eastAsia="Times New Roman"/>
        </w:rPr>
        <w:t>micide</w:t>
      </w:r>
      <w:proofErr w:type="spellEnd"/>
      <w:r>
        <w:rPr>
          <w:rFonts w:eastAsia="Times New Roman"/>
        </w:rPr>
        <w:t xml:space="preserve"> continuously since 2010. In the absence of publicly available, state statistics on the number of women killed by partners or family members, the AWC collects and analyses media releases and writes semi-annual and annual reports on the number and cha</w:t>
      </w:r>
      <w:r>
        <w:rPr>
          <w:rFonts w:eastAsia="Times New Roman"/>
        </w:rPr>
        <w:t>racteristics of this crime against women. Data are collected (following the example of women's organizations in Spain and Italy) by reviewing media reports because they are publicly available and easy to collect quickly. At that time, data could not be col</w:t>
      </w:r>
      <w:r>
        <w:rPr>
          <w:rFonts w:eastAsia="Times New Roman"/>
        </w:rPr>
        <w:t>lected from official records of state institutions (for example, the police) because they were not disaggregated by the sex</w:t>
      </w:r>
      <w:r w:rsidR="002B45D5">
        <w:rPr>
          <w:rFonts w:eastAsia="Times New Roman"/>
        </w:rPr>
        <w:t xml:space="preserve"> and relation</w:t>
      </w:r>
      <w:r>
        <w:rPr>
          <w:rFonts w:eastAsia="Times New Roman"/>
        </w:rPr>
        <w:t xml:space="preserve"> of the perpetrator and the victim.</w:t>
      </w:r>
    </w:p>
    <w:p w:rsidR="0041172E" w:rsidRDefault="00336F57">
      <w:pPr>
        <w:spacing w:before="120" w:after="120"/>
        <w:ind w:left="360"/>
        <w:jc w:val="both"/>
        <w:rPr>
          <w:rFonts w:eastAsia="Times New Roman"/>
          <w:highlight w:val="yellow"/>
        </w:rPr>
      </w:pPr>
      <w:r>
        <w:rPr>
          <w:rFonts w:eastAsia="Times New Roman"/>
          <w:b/>
          <w:bCs/>
          <w:lang w:val="sr-Latn-RS"/>
        </w:rPr>
        <w:t xml:space="preserve">2011 </w:t>
      </w:r>
      <w:r>
        <w:rPr>
          <w:rFonts w:eastAsia="Times New Roman"/>
          <w:lang w:val="sr-Latn-RS"/>
        </w:rPr>
        <w:t>-  The Women against Violence Network  coordinated by AWC in cooperation with the European W</w:t>
      </w:r>
      <w:r>
        <w:rPr>
          <w:rFonts w:eastAsia="Times New Roman"/>
          <w:lang w:val="sr-Latn-RS"/>
        </w:rPr>
        <w:t xml:space="preserve">omen's Lobby Network, established the first </w:t>
      </w:r>
      <w:r>
        <w:rPr>
          <w:rStyle w:val="Hyperlink"/>
          <w:rFonts w:eastAsia="Times New Roman"/>
          <w:lang w:val="sr-Latn-RS"/>
        </w:rPr>
        <w:fldChar w:fldCharType="begin"/>
      </w:r>
      <w:r>
        <w:rPr>
          <w:rStyle w:val="Hyperlink"/>
          <w:rFonts w:eastAsia="Times New Roman"/>
          <w:lang w:val="sr-Latn-RS"/>
        </w:rPr>
        <w:instrText xml:space="preserve"> HYPERLINK "https://www.womenngo.org.rs/en/publications/good-practice-development-program/677-independent-observatory-for-monitoring-violence-against-women-2011" \h </w:instrText>
      </w:r>
      <w:r>
        <w:rPr>
          <w:rStyle w:val="Hyperlink"/>
          <w:rFonts w:eastAsia="Times New Roman"/>
          <w:lang w:val="sr-Latn-RS"/>
        </w:rPr>
        <w:fldChar w:fldCharType="separate"/>
      </w:r>
      <w:r>
        <w:rPr>
          <w:rStyle w:val="Hyperlink"/>
          <w:rFonts w:eastAsia="Times New Roman"/>
          <w:lang w:val="sr-Latn-RS"/>
        </w:rPr>
        <w:t>Independent observatory for monitoring viole</w:t>
      </w:r>
      <w:r>
        <w:rPr>
          <w:rStyle w:val="Hyperlink"/>
          <w:rFonts w:eastAsia="Times New Roman"/>
          <w:lang w:val="sr-Latn-RS"/>
        </w:rPr>
        <w:t>nce against women</w:t>
      </w:r>
      <w:r>
        <w:rPr>
          <w:rStyle w:val="Hyperlink"/>
          <w:rFonts w:eastAsia="Times New Roman"/>
          <w:lang w:val="sr-Latn-RS"/>
        </w:rPr>
        <w:fldChar w:fldCharType="end"/>
      </w:r>
      <w:r>
        <w:rPr>
          <w:rFonts w:eastAsia="Times New Roman"/>
          <w:lang w:val="sr-Latn-RS"/>
        </w:rPr>
        <w:t>. Although the mandate of this Observatory was broader than the monitoring of femicide, some articles in the Observatory's annual reports were about femicide.</w:t>
      </w:r>
    </w:p>
    <w:p w:rsidR="0041172E" w:rsidRDefault="00336F57">
      <w:pPr>
        <w:spacing w:before="120" w:after="120"/>
        <w:ind w:left="360"/>
        <w:jc w:val="both"/>
        <w:rPr>
          <w:rFonts w:eastAsia="Times New Roman"/>
          <w:highlight w:val="yellow"/>
        </w:rPr>
      </w:pPr>
      <w:r>
        <w:rPr>
          <w:rFonts w:eastAsia="Times New Roman"/>
          <w:b/>
          <w:bCs/>
          <w:lang w:val="sr-Latn-RS"/>
        </w:rPr>
        <w:t>2017 –</w:t>
      </w:r>
      <w:r>
        <w:rPr>
          <w:rFonts w:eastAsia="Times New Roman"/>
          <w:lang w:val="sr-Latn-RS"/>
        </w:rPr>
        <w:t xml:space="preserve">  May 18 was declared by the Government of Republic of Serbia as the </w:t>
      </w:r>
      <w:r>
        <w:rPr>
          <w:rStyle w:val="Hyperlink"/>
          <w:rFonts w:eastAsia="Times New Roman"/>
          <w:i/>
          <w:iCs/>
          <w:lang w:val="sr-Latn-RS"/>
        </w:rPr>
        <w:fldChar w:fldCharType="begin"/>
      </w:r>
      <w:r>
        <w:rPr>
          <w:rStyle w:val="Hyperlink"/>
          <w:rFonts w:eastAsia="Times New Roman"/>
          <w:i/>
          <w:iCs/>
          <w:lang w:val="sr-Latn-RS"/>
        </w:rPr>
        <w:instrText xml:space="preserve"> HY</w:instrText>
      </w:r>
      <w:r>
        <w:rPr>
          <w:rStyle w:val="Hyperlink"/>
          <w:rFonts w:eastAsia="Times New Roman"/>
          <w:i/>
          <w:iCs/>
          <w:lang w:val="sr-Latn-RS"/>
        </w:rPr>
        <w:instrText xml:space="preserve">PERLINK "https://www.srbija.gov.rs/vest/294055/ustanovljen-dan-secanja-na-zene-zrtve-nasilja.php" \h </w:instrText>
      </w:r>
      <w:r>
        <w:rPr>
          <w:rStyle w:val="Hyperlink"/>
          <w:rFonts w:eastAsia="Times New Roman"/>
          <w:i/>
          <w:iCs/>
          <w:lang w:val="sr-Latn-RS"/>
        </w:rPr>
        <w:fldChar w:fldCharType="separate"/>
      </w:r>
      <w:r>
        <w:rPr>
          <w:rStyle w:val="Hyperlink"/>
          <w:rFonts w:eastAsia="Times New Roman"/>
          <w:i/>
          <w:iCs/>
          <w:lang w:val="sr-Latn-RS"/>
        </w:rPr>
        <w:t>Remembrance Day for Murdered Women Victims of Violence</w:t>
      </w:r>
      <w:r>
        <w:rPr>
          <w:rStyle w:val="Hyperlink"/>
          <w:rFonts w:eastAsia="Times New Roman"/>
          <w:i/>
          <w:iCs/>
          <w:lang w:val="sr-Latn-RS"/>
        </w:rPr>
        <w:fldChar w:fldCharType="end"/>
      </w:r>
      <w:r>
        <w:rPr>
          <w:rFonts w:eastAsia="Times New Roman"/>
          <w:i/>
          <w:iCs/>
          <w:lang w:val="sr-Latn-RS"/>
        </w:rPr>
        <w:t xml:space="preserve"> </w:t>
      </w:r>
      <w:r>
        <w:rPr>
          <w:rFonts w:eastAsia="Times New Roman"/>
          <w:lang w:val="sr-Latn-RS"/>
        </w:rPr>
        <w:t>ten days after representatives of the AWC and women's organisations WAV Network members submitted 8</w:t>
      </w:r>
      <w:r>
        <w:rPr>
          <w:rFonts w:eastAsia="Times New Roman"/>
          <w:lang w:val="sr-Latn-RS"/>
        </w:rPr>
        <w:t xml:space="preserve"> 000 signatures in support of the petition to declare this day, to the vice-president of Government of Serbia and president of Coordination Body for Gender Equality, Zorana Mihajlovic.</w:t>
      </w:r>
      <w:r w:rsidR="005902C5">
        <w:rPr>
          <w:rFonts w:eastAsia="Times New Roman"/>
        </w:rPr>
        <w:t xml:space="preserve"> </w:t>
      </w:r>
      <w:r>
        <w:rPr>
          <w:rFonts w:eastAsia="Times New Roman"/>
        </w:rPr>
        <w:t>In December of the sa</w:t>
      </w:r>
      <w:r w:rsidR="005902C5">
        <w:rPr>
          <w:rFonts w:eastAsia="Times New Roman"/>
        </w:rPr>
        <w:t>me year, AWC and women's organiz</w:t>
      </w:r>
      <w:r>
        <w:rPr>
          <w:rFonts w:eastAsia="Times New Roman"/>
        </w:rPr>
        <w:t>ations WAV Networ</w:t>
      </w:r>
      <w:r>
        <w:rPr>
          <w:rFonts w:eastAsia="Times New Roman"/>
        </w:rPr>
        <w:t xml:space="preserve">k members sent a proposal for the establishment of a monitoring body for </w:t>
      </w:r>
      <w:proofErr w:type="spellStart"/>
      <w:r>
        <w:rPr>
          <w:rFonts w:eastAsia="Times New Roman"/>
        </w:rPr>
        <w:t>femicide</w:t>
      </w:r>
      <w:proofErr w:type="spellEnd"/>
      <w:r>
        <w:rPr>
          <w:rFonts w:eastAsia="Times New Roman"/>
        </w:rPr>
        <w:t xml:space="preserve"> monitoring to the Coordination body for gender equality of the Government of the Republic of Serbia. On May 18, 2018, vice-president of Government of Serbia and president of </w:t>
      </w:r>
      <w:r>
        <w:rPr>
          <w:rFonts w:eastAsia="Times New Roman"/>
        </w:rPr>
        <w:t xml:space="preserve">Coordination Body for Gender Equality, </w:t>
      </w:r>
      <w:hyperlink r:id="rId11">
        <w:proofErr w:type="spellStart"/>
        <w:r>
          <w:rPr>
            <w:rStyle w:val="Hyperlink"/>
            <w:rFonts w:eastAsia="Times New Roman"/>
          </w:rPr>
          <w:t>Zorana</w:t>
        </w:r>
        <w:proofErr w:type="spellEnd"/>
        <w:r>
          <w:rPr>
            <w:rStyle w:val="Hyperlink"/>
            <w:rFonts w:eastAsia="Times New Roman"/>
          </w:rPr>
          <w:t xml:space="preserve"> </w:t>
        </w:r>
        <w:proofErr w:type="spellStart"/>
        <w:r>
          <w:rPr>
            <w:rStyle w:val="Hyperlink"/>
            <w:rFonts w:eastAsia="Times New Roman"/>
          </w:rPr>
          <w:t>Mihajlovic</w:t>
        </w:r>
        <w:proofErr w:type="spellEnd"/>
        <w:r>
          <w:rPr>
            <w:rStyle w:val="Hyperlink"/>
            <w:rFonts w:eastAsia="Times New Roman"/>
          </w:rPr>
          <w:t xml:space="preserve">, stated that she would advocate the establishment of </w:t>
        </w:r>
        <w:proofErr w:type="gramStart"/>
        <w:r>
          <w:rPr>
            <w:rStyle w:val="Hyperlink"/>
            <w:rFonts w:eastAsia="Times New Roman"/>
          </w:rPr>
          <w:t>a such</w:t>
        </w:r>
        <w:proofErr w:type="gramEnd"/>
        <w:r>
          <w:rPr>
            <w:rStyle w:val="Hyperlink"/>
            <w:rFonts w:eastAsia="Times New Roman"/>
          </w:rPr>
          <w:t xml:space="preserve"> body</w:t>
        </w:r>
      </w:hyperlink>
      <w:r>
        <w:rPr>
          <w:rFonts w:eastAsia="Times New Roman"/>
        </w:rPr>
        <w:t>, but this has not been done to date.</w:t>
      </w:r>
    </w:p>
    <w:p w:rsidR="0041172E" w:rsidRDefault="0041172E">
      <w:pPr>
        <w:spacing w:before="120" w:after="120"/>
        <w:ind w:left="360"/>
        <w:jc w:val="both"/>
      </w:pPr>
    </w:p>
    <w:p w:rsidR="0041172E" w:rsidRDefault="00336F57">
      <w:pPr>
        <w:numPr>
          <w:ilvl w:val="0"/>
          <w:numId w:val="7"/>
        </w:numPr>
        <w:spacing w:before="120" w:after="120"/>
        <w:jc w:val="both"/>
        <w:rPr>
          <w:i/>
          <w:iCs/>
        </w:rPr>
      </w:pPr>
      <w:r>
        <w:rPr>
          <w:rFonts w:eastAsia="Times New Roman"/>
          <w:i/>
          <w:iCs/>
        </w:rPr>
        <w:t xml:space="preserve">On other measures including research and studies undertaken to </w:t>
      </w:r>
      <w:proofErr w:type="spellStart"/>
      <w:r>
        <w:rPr>
          <w:rFonts w:eastAsia="Times New Roman"/>
          <w:i/>
          <w:iCs/>
        </w:rPr>
        <w:t>analyse</w:t>
      </w:r>
      <w:proofErr w:type="spellEnd"/>
      <w:r>
        <w:rPr>
          <w:rFonts w:eastAsia="Times New Roman"/>
          <w:i/>
          <w:iCs/>
        </w:rPr>
        <w:t xml:space="preserve"> </w:t>
      </w:r>
      <w:proofErr w:type="spellStart"/>
      <w:r>
        <w:rPr>
          <w:rFonts w:eastAsia="Times New Roman"/>
          <w:i/>
          <w:iCs/>
        </w:rPr>
        <w:t>femicide</w:t>
      </w:r>
      <w:proofErr w:type="spellEnd"/>
      <w:r>
        <w:rPr>
          <w:rFonts w:eastAsia="Times New Roman"/>
          <w:i/>
          <w:iCs/>
        </w:rPr>
        <w:t xml:space="preserve"> or gender related killings of women and girls, or homicides of women by intimate partners or family members and other </w:t>
      </w:r>
      <w:proofErr w:type="spellStart"/>
      <w:r>
        <w:rPr>
          <w:rFonts w:eastAsia="Times New Roman"/>
          <w:i/>
          <w:iCs/>
        </w:rPr>
        <w:t>femicides</w:t>
      </w:r>
      <w:proofErr w:type="spellEnd"/>
      <w:r>
        <w:rPr>
          <w:rFonts w:eastAsia="Times New Roman"/>
          <w:i/>
          <w:iCs/>
        </w:rPr>
        <w:t>. If available, please share a copy of such studi</w:t>
      </w:r>
      <w:r>
        <w:rPr>
          <w:rFonts w:eastAsia="Times New Roman"/>
          <w:i/>
          <w:iCs/>
        </w:rPr>
        <w:t>es.</w:t>
      </w:r>
    </w:p>
    <w:p w:rsidR="0041172E" w:rsidRDefault="00336F57">
      <w:pPr>
        <w:spacing w:before="120" w:after="120"/>
        <w:ind w:left="360"/>
        <w:jc w:val="both"/>
        <w:rPr>
          <w:rFonts w:eastAsia="Times New Roman"/>
        </w:rPr>
      </w:pPr>
      <w:r>
        <w:rPr>
          <w:rFonts w:eastAsia="Times New Roman"/>
          <w:b/>
          <w:bCs/>
        </w:rPr>
        <w:t>2010-2020:</w:t>
      </w:r>
      <w:r>
        <w:rPr>
          <w:rFonts w:eastAsia="Times New Roman"/>
        </w:rPr>
        <w:t xml:space="preserve"> Since 2010, the Autonomous Women's Center has been writing and publishing semi-annual and annual reports on the prevalence and characteristics of </w:t>
      </w:r>
      <w:proofErr w:type="spellStart"/>
      <w:r>
        <w:rPr>
          <w:rFonts w:eastAsia="Times New Roman"/>
        </w:rPr>
        <w:t>femicide</w:t>
      </w:r>
      <w:proofErr w:type="spellEnd"/>
      <w:r>
        <w:rPr>
          <w:rFonts w:eastAsia="Times New Roman"/>
        </w:rPr>
        <w:t xml:space="preserve"> in a family-partner context. They are available on the website of the AWC via </w:t>
      </w:r>
      <w:hyperlink r:id="rId12">
        <w:r>
          <w:rPr>
            <w:rStyle w:val="Hyperlink"/>
            <w:rFonts w:eastAsia="Times New Roman"/>
          </w:rPr>
          <w:t>link</w:t>
        </w:r>
      </w:hyperlink>
      <w:r>
        <w:rPr>
          <w:rFonts w:eastAsia="Times New Roman"/>
        </w:rPr>
        <w:t xml:space="preserve"> (Serbian only), as well as on the website of the WAV Network via </w:t>
      </w:r>
      <w:hyperlink r:id="rId13">
        <w:r>
          <w:rPr>
            <w:rStyle w:val="Hyperlink"/>
            <w:rFonts w:eastAsia="Times New Roman"/>
          </w:rPr>
          <w:t>link</w:t>
        </w:r>
      </w:hyperlink>
      <w:r>
        <w:rPr>
          <w:rFonts w:eastAsia="Times New Roman"/>
        </w:rPr>
        <w:t xml:space="preserve"> (English).</w:t>
      </w:r>
    </w:p>
    <w:p w:rsidR="0041172E" w:rsidRDefault="00336F57">
      <w:pPr>
        <w:spacing w:before="120" w:after="120"/>
        <w:ind w:left="360"/>
        <w:jc w:val="both"/>
        <w:rPr>
          <w:rFonts w:eastAsia="Times New Roman"/>
        </w:rPr>
      </w:pPr>
      <w:proofErr w:type="spellStart"/>
      <w:r>
        <w:rPr>
          <w:rFonts w:eastAsia="Times New Roman"/>
        </w:rPr>
        <w:t>Jovanovic</w:t>
      </w:r>
      <w:proofErr w:type="spellEnd"/>
      <w:r>
        <w:rPr>
          <w:rFonts w:eastAsia="Times New Roman"/>
        </w:rPr>
        <w:t xml:space="preserve">, S. (2013). ‘Murder of women by partners: a study of judicial practice’, in the Annual Report of the Observatory for Monitoring Violence against Women 2012, Autonomous Women's Center Belgrade. Available via </w:t>
      </w:r>
      <w:hyperlink r:id="rId14">
        <w:r>
          <w:rPr>
            <w:rStyle w:val="Hyperlink"/>
            <w:rFonts w:eastAsia="Times New Roman"/>
          </w:rPr>
          <w:t>link</w:t>
        </w:r>
      </w:hyperlink>
      <w:r>
        <w:rPr>
          <w:rFonts w:eastAsia="Times New Roman"/>
        </w:rPr>
        <w:t xml:space="preserve"> (Serbian).</w:t>
      </w:r>
    </w:p>
    <w:p w:rsidR="0041172E" w:rsidRDefault="00336F57">
      <w:pPr>
        <w:spacing w:before="120" w:after="120"/>
        <w:ind w:left="360"/>
        <w:jc w:val="both"/>
        <w:rPr>
          <w:rFonts w:eastAsia="Times New Roman"/>
        </w:rPr>
      </w:pPr>
      <w:proofErr w:type="spellStart"/>
      <w:r>
        <w:rPr>
          <w:rFonts w:eastAsia="Times New Roman"/>
        </w:rPr>
        <w:t>Lukic</w:t>
      </w:r>
      <w:proofErr w:type="spellEnd"/>
      <w:r>
        <w:rPr>
          <w:rFonts w:eastAsia="Times New Roman"/>
        </w:rPr>
        <w:t>, M. (2013). ‘Research on murders of women in the family during 2011 - actions of the police and centers for social work’ in t</w:t>
      </w:r>
      <w:r>
        <w:rPr>
          <w:rFonts w:eastAsia="Times New Roman"/>
        </w:rPr>
        <w:t xml:space="preserve">he Annual Report of the Observatory for Monitoring Violence against Women 2012), Autonomous Women's Center Belgrade. Available via </w:t>
      </w:r>
      <w:hyperlink r:id="rId15">
        <w:r>
          <w:rPr>
            <w:rStyle w:val="Hyperlink"/>
            <w:rFonts w:eastAsia="Times New Roman"/>
          </w:rPr>
          <w:t>link</w:t>
        </w:r>
      </w:hyperlink>
      <w:r>
        <w:rPr>
          <w:rFonts w:eastAsia="Times New Roman"/>
        </w:rPr>
        <w:t xml:space="preserve"> (Serbian).</w:t>
      </w:r>
    </w:p>
    <w:p w:rsidR="0041172E" w:rsidRDefault="00336F57">
      <w:pPr>
        <w:spacing w:before="120" w:after="120"/>
        <w:ind w:left="360"/>
        <w:jc w:val="both"/>
        <w:rPr>
          <w:rFonts w:eastAsia="Times New Roman"/>
        </w:rPr>
      </w:pPr>
      <w:r>
        <w:rPr>
          <w:rFonts w:eastAsia="Times New Roman"/>
        </w:rPr>
        <w:t xml:space="preserve">Lacmanovic, V. (2015). </w:t>
      </w:r>
      <w:proofErr w:type="spellStart"/>
      <w:r>
        <w:rPr>
          <w:rFonts w:eastAsia="Times New Roman"/>
        </w:rPr>
        <w:t>Femicide</w:t>
      </w:r>
      <w:proofErr w:type="spellEnd"/>
      <w:r>
        <w:rPr>
          <w:rFonts w:eastAsia="Times New Roman"/>
        </w:rPr>
        <w:t xml:space="preserve"> – Who kills us</w:t>
      </w:r>
      <w:proofErr w:type="gramStart"/>
      <w:r>
        <w:rPr>
          <w:rFonts w:eastAsia="Times New Roman"/>
        </w:rPr>
        <w:t>?,</w:t>
      </w:r>
      <w:proofErr w:type="gramEnd"/>
      <w:r>
        <w:rPr>
          <w:rFonts w:eastAsia="Times New Roman"/>
        </w:rPr>
        <w:t xml:space="preserve"> Social policy - a journal for the theory and practice of social policy and social work, Institute for Political Studies, Belgrade, 3/2015: 61-78. Available via </w:t>
      </w:r>
      <w:hyperlink r:id="rId16">
        <w:r>
          <w:rPr>
            <w:rStyle w:val="Hyperlink"/>
            <w:rFonts w:eastAsia="Times New Roman"/>
          </w:rPr>
          <w:t>link</w:t>
        </w:r>
      </w:hyperlink>
      <w:r>
        <w:rPr>
          <w:rFonts w:eastAsia="Times New Roman"/>
        </w:rPr>
        <w:t xml:space="preserve"> (Serbian).</w:t>
      </w:r>
    </w:p>
    <w:p w:rsidR="0041172E" w:rsidRDefault="00336F57">
      <w:pPr>
        <w:spacing w:before="120" w:after="120"/>
        <w:ind w:left="360"/>
        <w:jc w:val="both"/>
        <w:rPr>
          <w:rFonts w:eastAsia="Times New Roman"/>
        </w:rPr>
      </w:pPr>
      <w:proofErr w:type="spellStart"/>
      <w:r>
        <w:rPr>
          <w:rFonts w:eastAsia="Times New Roman"/>
        </w:rPr>
        <w:t>Lukic</w:t>
      </w:r>
      <w:proofErr w:type="spellEnd"/>
      <w:r>
        <w:rPr>
          <w:rFonts w:eastAsia="Times New Roman"/>
        </w:rPr>
        <w:t xml:space="preserve">, M. (2016). Report on </w:t>
      </w:r>
      <w:proofErr w:type="spellStart"/>
      <w:r>
        <w:rPr>
          <w:rFonts w:eastAsia="Times New Roman"/>
        </w:rPr>
        <w:t>femicide</w:t>
      </w:r>
      <w:proofErr w:type="spellEnd"/>
      <w:r>
        <w:rPr>
          <w:rFonts w:eastAsia="Times New Roman"/>
        </w:rPr>
        <w:t xml:space="preserve"> in Serbia for 2016 - Analysis of the actions of the police, prosecutor's office and centers for social work), Women </w:t>
      </w:r>
      <w:proofErr w:type="gramStart"/>
      <w:r>
        <w:rPr>
          <w:rFonts w:eastAsia="Times New Roman"/>
        </w:rPr>
        <w:t>Against</w:t>
      </w:r>
      <w:proofErr w:type="gramEnd"/>
      <w:r>
        <w:rPr>
          <w:rFonts w:eastAsia="Times New Roman"/>
        </w:rPr>
        <w:t xml:space="preserve"> Violence Ne</w:t>
      </w:r>
      <w:r>
        <w:rPr>
          <w:rFonts w:eastAsia="Times New Roman"/>
        </w:rPr>
        <w:t xml:space="preserve">twork, Autonomous Women's Center, Belgrade. Available via </w:t>
      </w:r>
      <w:hyperlink r:id="rId17">
        <w:r>
          <w:rPr>
            <w:rStyle w:val="Hyperlink"/>
            <w:rFonts w:eastAsia="Times New Roman"/>
          </w:rPr>
          <w:t>link</w:t>
        </w:r>
      </w:hyperlink>
      <w:r>
        <w:rPr>
          <w:rStyle w:val="Hyperlink"/>
          <w:rFonts w:eastAsia="Times New Roman"/>
        </w:rPr>
        <w:t xml:space="preserve"> </w:t>
      </w:r>
      <w:r>
        <w:rPr>
          <w:rFonts w:eastAsia="Times New Roman"/>
        </w:rPr>
        <w:t>(Serbian).</w:t>
      </w:r>
    </w:p>
    <w:p w:rsidR="0041172E" w:rsidRDefault="00336F57">
      <w:pPr>
        <w:spacing w:before="120" w:after="120"/>
        <w:ind w:left="360"/>
        <w:jc w:val="both"/>
        <w:rPr>
          <w:rFonts w:eastAsia="Times New Roman"/>
        </w:rPr>
      </w:pPr>
      <w:r>
        <w:rPr>
          <w:rFonts w:eastAsia="Times New Roman"/>
        </w:rPr>
        <w:t>Lacmanovic, V. (</w:t>
      </w:r>
      <w:proofErr w:type="spellStart"/>
      <w:r>
        <w:rPr>
          <w:rFonts w:eastAsia="Times New Roman"/>
        </w:rPr>
        <w:t>ed</w:t>
      </w:r>
      <w:proofErr w:type="spellEnd"/>
      <w:r>
        <w:rPr>
          <w:rFonts w:eastAsia="Times New Roman"/>
        </w:rPr>
        <w:t>) (2018) – Not One Women Less - Review of rep</w:t>
      </w:r>
      <w:r>
        <w:rPr>
          <w:rFonts w:eastAsia="Times New Roman"/>
        </w:rPr>
        <w:t xml:space="preserve">orts created within the project "Raise Voice for Silent – Toward more efficient identification of security risks for the prevention of </w:t>
      </w:r>
      <w:proofErr w:type="spellStart"/>
      <w:r>
        <w:rPr>
          <w:rFonts w:eastAsia="Times New Roman"/>
        </w:rPr>
        <w:t>femicide</w:t>
      </w:r>
      <w:proofErr w:type="spellEnd"/>
      <w:r>
        <w:rPr>
          <w:rFonts w:eastAsia="Times New Roman"/>
        </w:rPr>
        <w:t xml:space="preserve">“, Autonomous Women's Center, Belgrade. Available via </w:t>
      </w:r>
      <w:r>
        <w:rPr>
          <w:rStyle w:val="Hyperlink"/>
          <w:rFonts w:eastAsia="Times New Roman"/>
        </w:rPr>
        <w:t>link</w:t>
      </w:r>
      <w:r>
        <w:rPr>
          <w:rFonts w:eastAsia="Times New Roman"/>
        </w:rPr>
        <w:t xml:space="preserve"> (Serbian).</w:t>
      </w:r>
    </w:p>
    <w:p w:rsidR="0041172E" w:rsidRDefault="00336F57">
      <w:pPr>
        <w:spacing w:before="120" w:after="120"/>
        <w:ind w:left="360"/>
        <w:jc w:val="both"/>
        <w:rPr>
          <w:rFonts w:eastAsia="Times New Roman"/>
        </w:rPr>
      </w:pPr>
      <w:r>
        <w:rPr>
          <w:rFonts w:eastAsia="Times New Roman"/>
        </w:rPr>
        <w:t>Lacmanovic, V. (2019). ‘</w:t>
      </w:r>
      <w:proofErr w:type="spellStart"/>
      <w:r>
        <w:rPr>
          <w:rFonts w:eastAsia="Times New Roman"/>
        </w:rPr>
        <w:t>Femicide</w:t>
      </w:r>
      <w:proofErr w:type="spellEnd"/>
      <w:r>
        <w:rPr>
          <w:rFonts w:eastAsia="Times New Roman"/>
        </w:rPr>
        <w:t xml:space="preserve"> in Serbia:</w:t>
      </w:r>
      <w:r>
        <w:rPr>
          <w:rFonts w:eastAsia="Times New Roman"/>
        </w:rPr>
        <w:t xml:space="preserve"> Search for data, </w:t>
      </w:r>
      <w:proofErr w:type="spellStart"/>
      <w:r>
        <w:rPr>
          <w:rFonts w:eastAsia="Times New Roman"/>
        </w:rPr>
        <w:t>Istitutional</w:t>
      </w:r>
      <w:proofErr w:type="spellEnd"/>
      <w:r>
        <w:rPr>
          <w:rFonts w:eastAsia="Times New Roman"/>
        </w:rPr>
        <w:t xml:space="preserve"> response and the Media image’ in Annals for Istrian and Mediterranean Studies. </w:t>
      </w:r>
      <w:proofErr w:type="spellStart"/>
      <w:r>
        <w:rPr>
          <w:rFonts w:eastAsia="Times New Roman"/>
        </w:rPr>
        <w:t>Sociologia</w:t>
      </w:r>
      <w:proofErr w:type="spellEnd"/>
      <w:r>
        <w:rPr>
          <w:rFonts w:eastAsia="Times New Roman"/>
        </w:rPr>
        <w:t xml:space="preserve">, 29, 2019, 1: 39-55. Available via </w:t>
      </w:r>
      <w:hyperlink r:id="rId18">
        <w:r>
          <w:rPr>
            <w:rStyle w:val="Hyperlink"/>
            <w:rFonts w:eastAsia="Times New Roman"/>
          </w:rPr>
          <w:t>link</w:t>
        </w:r>
      </w:hyperlink>
      <w:r>
        <w:rPr>
          <w:rFonts w:eastAsia="Times New Roman"/>
        </w:rPr>
        <w:t xml:space="preserve"> (</w:t>
      </w:r>
      <w:r>
        <w:rPr>
          <w:rFonts w:eastAsia="Times New Roman"/>
        </w:rPr>
        <w:t>Serbian).</w:t>
      </w:r>
    </w:p>
    <w:p w:rsidR="005902C5" w:rsidRDefault="00336F57" w:rsidP="005902C5">
      <w:pPr>
        <w:spacing w:before="120" w:after="120"/>
        <w:ind w:left="360"/>
        <w:jc w:val="both"/>
        <w:rPr>
          <w:rFonts w:eastAsia="Times New Roman"/>
        </w:rPr>
      </w:pPr>
      <w:r>
        <w:rPr>
          <w:rFonts w:eastAsia="Times New Roman"/>
        </w:rPr>
        <w:t xml:space="preserve">Lacmanovic, V. (2020). ‘Making </w:t>
      </w:r>
      <w:proofErr w:type="spellStart"/>
      <w:r>
        <w:rPr>
          <w:rFonts w:eastAsia="Times New Roman"/>
        </w:rPr>
        <w:t>femicide</w:t>
      </w:r>
      <w:proofErr w:type="spellEnd"/>
      <w:r>
        <w:rPr>
          <w:rFonts w:eastAsia="Times New Roman"/>
        </w:rPr>
        <w:t xml:space="preserve"> visible’ in Perspectives Southeastern Europe #8: Women in Western Balkans: rights and fights.  Issue 8, October 2020: 60-66. Heinrich </w:t>
      </w:r>
      <w:proofErr w:type="spellStart"/>
      <w:r>
        <w:rPr>
          <w:rFonts w:eastAsia="Times New Roman"/>
        </w:rPr>
        <w:t>Böll</w:t>
      </w:r>
      <w:proofErr w:type="spellEnd"/>
      <w:r>
        <w:rPr>
          <w:rFonts w:eastAsia="Times New Roman"/>
        </w:rPr>
        <w:t xml:space="preserve"> </w:t>
      </w:r>
      <w:proofErr w:type="spellStart"/>
      <w:r>
        <w:rPr>
          <w:rFonts w:eastAsia="Times New Roman"/>
        </w:rPr>
        <w:t>Stiftung</w:t>
      </w:r>
      <w:proofErr w:type="spellEnd"/>
      <w:r>
        <w:rPr>
          <w:rFonts w:eastAsia="Times New Roman"/>
        </w:rPr>
        <w:t xml:space="preserve">. Available via </w:t>
      </w:r>
      <w:hyperlink r:id="rId19">
        <w:r>
          <w:rPr>
            <w:rStyle w:val="Hyperlink"/>
            <w:rFonts w:eastAsia="Times New Roman"/>
          </w:rPr>
          <w:t>link</w:t>
        </w:r>
      </w:hyperlink>
      <w:r>
        <w:rPr>
          <w:rFonts w:eastAsia="Times New Roman"/>
        </w:rPr>
        <w:t xml:space="preserve"> (English).</w:t>
      </w:r>
    </w:p>
    <w:p w:rsidR="005902C5" w:rsidRPr="005902C5" w:rsidRDefault="00336F57" w:rsidP="005902C5">
      <w:pPr>
        <w:pStyle w:val="ListParagraph"/>
        <w:numPr>
          <w:ilvl w:val="0"/>
          <w:numId w:val="7"/>
        </w:numPr>
        <w:spacing w:before="120" w:after="120"/>
        <w:jc w:val="both"/>
        <w:rPr>
          <w:rFonts w:eastAsia="Times New Roman"/>
        </w:rPr>
      </w:pPr>
      <w:r w:rsidRPr="005902C5">
        <w:rPr>
          <w:rFonts w:eastAsia="Times New Roman"/>
          <w:i/>
          <w:iCs/>
        </w:rPr>
        <w:t xml:space="preserve">On the results of analysis of </w:t>
      </w:r>
      <w:proofErr w:type="spellStart"/>
      <w:r w:rsidRPr="005902C5">
        <w:rPr>
          <w:rFonts w:eastAsia="Times New Roman"/>
          <w:i/>
          <w:iCs/>
        </w:rPr>
        <w:t>femicide</w:t>
      </w:r>
      <w:proofErr w:type="spellEnd"/>
      <w:r w:rsidRPr="005902C5">
        <w:rPr>
          <w:rFonts w:eastAsia="Times New Roman"/>
          <w:i/>
          <w:iCs/>
        </w:rPr>
        <w:t xml:space="preserve"> cases, including the review of previous court cases and recommendations and actions undertaken in this r</w:t>
      </w:r>
      <w:r w:rsidRPr="005902C5">
        <w:rPr>
          <w:rFonts w:eastAsia="Times New Roman"/>
          <w:i/>
          <w:iCs/>
        </w:rPr>
        <w:t>espect.</w:t>
      </w:r>
    </w:p>
    <w:p w:rsidR="005902C5" w:rsidRDefault="005902C5" w:rsidP="005902C5">
      <w:pPr>
        <w:pStyle w:val="ListParagraph"/>
        <w:spacing w:before="120" w:after="120"/>
        <w:ind w:left="360"/>
        <w:jc w:val="both"/>
        <w:rPr>
          <w:rFonts w:eastAsia="Times New Roman"/>
        </w:rPr>
      </w:pPr>
    </w:p>
    <w:p w:rsidR="005902C5" w:rsidRDefault="00336F57" w:rsidP="005902C5">
      <w:pPr>
        <w:pStyle w:val="ListParagraph"/>
        <w:spacing w:before="120" w:after="120"/>
        <w:ind w:left="360"/>
        <w:jc w:val="both"/>
        <w:rPr>
          <w:rFonts w:eastAsia="Times New Roman"/>
        </w:rPr>
      </w:pPr>
      <w:r w:rsidRPr="005902C5">
        <w:rPr>
          <w:rFonts w:eastAsia="Times New Roman"/>
        </w:rPr>
        <w:t xml:space="preserve">The data collected from media, shows that the number of women killed per year, the contexts in which women are killed and their relationships with the men who kill them have remained constant over the ten-year period. </w:t>
      </w:r>
    </w:p>
    <w:tbl>
      <w:tblPr>
        <w:tblW w:w="9450" w:type="dxa"/>
        <w:tblInd w:w="-90" w:type="dxa"/>
        <w:tblCellMar>
          <w:left w:w="0" w:type="dxa"/>
          <w:right w:w="0" w:type="dxa"/>
        </w:tblCellMar>
        <w:tblLook w:val="04A0" w:firstRow="1" w:lastRow="0" w:firstColumn="1" w:lastColumn="0" w:noHBand="0" w:noVBand="1"/>
      </w:tblPr>
      <w:tblGrid>
        <w:gridCol w:w="904"/>
        <w:gridCol w:w="776"/>
        <w:gridCol w:w="777"/>
        <w:gridCol w:w="777"/>
        <w:gridCol w:w="777"/>
        <w:gridCol w:w="777"/>
        <w:gridCol w:w="777"/>
        <w:gridCol w:w="777"/>
        <w:gridCol w:w="777"/>
        <w:gridCol w:w="777"/>
        <w:gridCol w:w="777"/>
        <w:gridCol w:w="777"/>
      </w:tblGrid>
      <w:tr w:rsidR="005902C5" w:rsidTr="007413BA">
        <w:tc>
          <w:tcPr>
            <w:tcW w:w="87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pPr>
            <w:proofErr w:type="spellStart"/>
            <w:r>
              <w:t>Femicide</w:t>
            </w:r>
            <w:proofErr w:type="spellEnd"/>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2010</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2011</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2012</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2013</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2014</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2015</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2016</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2017</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2018</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2019</w:t>
            </w:r>
          </w:p>
        </w:tc>
        <w:tc>
          <w:tcPr>
            <w:tcW w:w="78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jc w:val="center"/>
            </w:pPr>
            <w:r>
              <w:t>2020</w:t>
            </w:r>
          </w:p>
        </w:tc>
      </w:tr>
      <w:tr w:rsidR="005902C5" w:rsidTr="007413BA">
        <w:tc>
          <w:tcPr>
            <w:tcW w:w="87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pPr>
            <w:r>
              <w:t>Partner</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22</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23</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20</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27</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23</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24</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24</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23</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20</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20</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20</w:t>
            </w:r>
          </w:p>
        </w:tc>
      </w:tr>
      <w:tr w:rsidR="005902C5" w:rsidTr="007413BA">
        <w:tc>
          <w:tcPr>
            <w:tcW w:w="87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pPr>
            <w:r>
              <w:t>Family member</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4</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6</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12</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16</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4</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11</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9</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3</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10</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7</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6</w:t>
            </w:r>
          </w:p>
        </w:tc>
      </w:tr>
      <w:tr w:rsidR="005902C5" w:rsidTr="007413BA">
        <w:tc>
          <w:tcPr>
            <w:tcW w:w="870" w:type="dxa"/>
            <w:tcBorders>
              <w:top w:val="single" w:sz="4" w:space="0" w:color="auto"/>
              <w:left w:val="single" w:sz="4" w:space="0" w:color="auto"/>
              <w:bottom w:val="single" w:sz="4" w:space="0" w:color="auto"/>
              <w:right w:val="single" w:sz="4" w:space="0" w:color="auto"/>
            </w:tcBorders>
            <w:shd w:val="clear" w:color="auto" w:fill="E0C2CD"/>
          </w:tcPr>
          <w:p w:rsidR="005902C5" w:rsidRDefault="005902C5" w:rsidP="007413BA">
            <w:pPr>
              <w:pStyle w:val="TableContents"/>
            </w:pPr>
            <w:r>
              <w:t>In total</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26</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29</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32</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43</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27</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35</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33</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26</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30</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27</w:t>
            </w:r>
          </w:p>
        </w:tc>
        <w:tc>
          <w:tcPr>
            <w:tcW w:w="780" w:type="dxa"/>
            <w:tcBorders>
              <w:top w:val="single" w:sz="4" w:space="0" w:color="auto"/>
              <w:left w:val="single" w:sz="4" w:space="0" w:color="auto"/>
              <w:bottom w:val="single" w:sz="4" w:space="0" w:color="auto"/>
              <w:right w:val="single" w:sz="4" w:space="0" w:color="auto"/>
            </w:tcBorders>
          </w:tcPr>
          <w:p w:rsidR="005902C5" w:rsidRDefault="005902C5" w:rsidP="007413BA">
            <w:pPr>
              <w:pStyle w:val="TableContents"/>
              <w:jc w:val="center"/>
            </w:pPr>
            <w:r>
              <w:t>26</w:t>
            </w:r>
          </w:p>
        </w:tc>
      </w:tr>
    </w:tbl>
    <w:p w:rsidR="005902C5" w:rsidRDefault="005902C5" w:rsidP="005902C5">
      <w:pPr>
        <w:pStyle w:val="ListParagraph"/>
        <w:spacing w:before="120" w:after="120"/>
        <w:ind w:left="360"/>
        <w:jc w:val="both"/>
        <w:rPr>
          <w:rFonts w:eastAsia="Times New Roman"/>
        </w:rPr>
      </w:pPr>
    </w:p>
    <w:p w:rsidR="005902C5" w:rsidRDefault="00336F57" w:rsidP="005902C5">
      <w:pPr>
        <w:pStyle w:val="ListParagraph"/>
        <w:spacing w:before="120" w:after="120"/>
        <w:ind w:left="360"/>
        <w:jc w:val="both"/>
        <w:rPr>
          <w:rFonts w:eastAsia="Times New Roman"/>
        </w:rPr>
      </w:pPr>
      <w:r>
        <w:rPr>
          <w:rFonts w:eastAsia="Times New Roman"/>
          <w:b/>
          <w:bCs/>
        </w:rPr>
        <w:t>2018.</w:t>
      </w:r>
      <w:r>
        <w:rPr>
          <w:rFonts w:eastAsia="Times New Roman"/>
        </w:rPr>
        <w:t xml:space="preserve"> – the AWC monitored two trials for </w:t>
      </w:r>
      <w:proofErr w:type="spellStart"/>
      <w:r>
        <w:rPr>
          <w:rFonts w:eastAsia="Times New Roman"/>
        </w:rPr>
        <w:t>femicide</w:t>
      </w:r>
      <w:proofErr w:type="spellEnd"/>
      <w:r>
        <w:rPr>
          <w:rFonts w:eastAsia="Times New Roman"/>
        </w:rPr>
        <w:t>, and based on trial reports and verdicts</w:t>
      </w:r>
      <w:r>
        <w:rPr>
          <w:rFonts w:eastAsia="Times New Roman"/>
        </w:rPr>
        <w:t>, an analysis of the position of the injured parties was made. The results of the analysis indicate the need to change the practice in the direction of resolving property claims in criminal proceedings in order to avoid long and expensive procedures in civ</w:t>
      </w:r>
      <w:r>
        <w:rPr>
          <w:rFonts w:eastAsia="Times New Roman"/>
        </w:rPr>
        <w:t>il proceedings and to spare the injured party from retrial, testimony, exposure to high costs of retrials and the like. In addition, the following recommendations are listed in the analysis:</w:t>
      </w:r>
    </w:p>
    <w:p w:rsidR="005902C5" w:rsidRDefault="00336F57" w:rsidP="005902C5">
      <w:pPr>
        <w:pStyle w:val="ListParagraph"/>
        <w:spacing w:before="120" w:after="120"/>
        <w:ind w:left="360"/>
        <w:jc w:val="both"/>
        <w:rPr>
          <w:rFonts w:eastAsia="Times New Roman"/>
        </w:rPr>
      </w:pPr>
      <w:r>
        <w:rPr>
          <w:rFonts w:eastAsia="Times New Roman"/>
        </w:rPr>
        <w:t>- Consistently apply existing legislation in order to protect the</w:t>
      </w:r>
      <w:r>
        <w:rPr>
          <w:rFonts w:eastAsia="Times New Roman"/>
        </w:rPr>
        <w:t xml:space="preserve"> rights of victims in criminal proceedings;</w:t>
      </w:r>
    </w:p>
    <w:p w:rsidR="005902C5" w:rsidRDefault="00336F57" w:rsidP="005902C5">
      <w:pPr>
        <w:pStyle w:val="ListParagraph"/>
        <w:spacing w:before="120" w:after="120"/>
        <w:ind w:left="360"/>
        <w:jc w:val="both"/>
        <w:rPr>
          <w:rFonts w:eastAsia="Times New Roman"/>
        </w:rPr>
      </w:pPr>
      <w:r>
        <w:rPr>
          <w:rFonts w:eastAsia="Times New Roman"/>
        </w:rPr>
        <w:t>- Apply the existing legal provisions in order to protect the rights of the injured parties related to the realization of the property claim in criminal proceedings;</w:t>
      </w:r>
    </w:p>
    <w:p w:rsidR="005902C5" w:rsidRDefault="00336F57" w:rsidP="005902C5">
      <w:pPr>
        <w:pStyle w:val="ListParagraph"/>
        <w:spacing w:before="120" w:after="120"/>
        <w:ind w:left="360"/>
        <w:jc w:val="both"/>
        <w:rPr>
          <w:rFonts w:eastAsia="Times New Roman"/>
        </w:rPr>
      </w:pPr>
      <w:r>
        <w:rPr>
          <w:rFonts w:eastAsia="Times New Roman"/>
        </w:rPr>
        <w:t>- Tighten penal policies;</w:t>
      </w:r>
    </w:p>
    <w:p w:rsidR="005902C5" w:rsidRDefault="00336F57" w:rsidP="005902C5">
      <w:pPr>
        <w:pStyle w:val="ListParagraph"/>
        <w:spacing w:before="120" w:after="120"/>
        <w:ind w:left="360"/>
        <w:jc w:val="both"/>
        <w:rPr>
          <w:rFonts w:eastAsia="Times New Roman"/>
        </w:rPr>
      </w:pPr>
      <w:r>
        <w:rPr>
          <w:rFonts w:eastAsia="Times New Roman"/>
        </w:rPr>
        <w:t>- Provide continuous</w:t>
      </w:r>
      <w:r>
        <w:rPr>
          <w:rFonts w:eastAsia="Times New Roman"/>
        </w:rPr>
        <w:t xml:space="preserve"> education in order to standardize the conduct of professionals employed in state bodies, especially in the judiciary, in order to adopt an approach focused on the injured;</w:t>
      </w:r>
    </w:p>
    <w:p w:rsidR="00C954CF" w:rsidRDefault="00336F57" w:rsidP="00C954CF">
      <w:pPr>
        <w:pStyle w:val="ListParagraph"/>
        <w:spacing w:before="120" w:after="120"/>
        <w:ind w:left="360"/>
        <w:jc w:val="both"/>
        <w:rPr>
          <w:rFonts w:eastAsia="Times New Roman"/>
        </w:rPr>
      </w:pPr>
      <w:r>
        <w:rPr>
          <w:rFonts w:eastAsia="Times New Roman"/>
        </w:rPr>
        <w:t>- Provide continuous cooperation between non-governmental organizations and compete</w:t>
      </w:r>
      <w:r>
        <w:rPr>
          <w:rFonts w:eastAsia="Times New Roman"/>
        </w:rPr>
        <w:t>nt state bodies.</w:t>
      </w:r>
    </w:p>
    <w:p w:rsidR="005902C5" w:rsidRPr="00C954CF" w:rsidRDefault="00336F57" w:rsidP="00C954CF">
      <w:pPr>
        <w:spacing w:before="120" w:after="120"/>
        <w:jc w:val="both"/>
        <w:rPr>
          <w:rFonts w:eastAsia="Times New Roman"/>
        </w:rPr>
      </w:pPr>
      <w:r w:rsidRPr="00C954CF">
        <w:rPr>
          <w:rFonts w:eastAsia="Times New Roman"/>
          <w:i/>
          <w:iCs/>
        </w:rPr>
        <w:t xml:space="preserve">4. On concrete measures taken to improve support to victims of violence and to prevent </w:t>
      </w:r>
      <w:proofErr w:type="spellStart"/>
      <w:r w:rsidRPr="00C954CF">
        <w:rPr>
          <w:rFonts w:eastAsia="Times New Roman"/>
          <w:i/>
          <w:iCs/>
        </w:rPr>
        <w:t>femicide</w:t>
      </w:r>
      <w:proofErr w:type="spellEnd"/>
      <w:r w:rsidRPr="00C954CF">
        <w:rPr>
          <w:rFonts w:eastAsia="Times New Roman"/>
          <w:i/>
          <w:iCs/>
        </w:rPr>
        <w:t xml:space="preserve">, (risk assessment, efficiency of protection orders), in connection with the information gathered via </w:t>
      </w:r>
      <w:proofErr w:type="spellStart"/>
      <w:r w:rsidRPr="00C954CF">
        <w:rPr>
          <w:rFonts w:eastAsia="Times New Roman"/>
          <w:i/>
          <w:iCs/>
        </w:rPr>
        <w:t>femicide</w:t>
      </w:r>
      <w:proofErr w:type="spellEnd"/>
      <w:r w:rsidRPr="00C954CF">
        <w:rPr>
          <w:rFonts w:eastAsia="Times New Roman"/>
          <w:i/>
          <w:iCs/>
        </w:rPr>
        <w:t xml:space="preserve"> watches or observatories.</w:t>
      </w:r>
    </w:p>
    <w:p w:rsidR="005902C5" w:rsidRDefault="00336F57" w:rsidP="005902C5">
      <w:pPr>
        <w:pStyle w:val="ListParagraph"/>
        <w:spacing w:before="120" w:after="120"/>
        <w:ind w:left="360"/>
        <w:jc w:val="both"/>
        <w:rPr>
          <w:lang w:val="sr-Latn-RS"/>
        </w:rPr>
      </w:pPr>
      <w:r>
        <w:rPr>
          <w:b/>
          <w:bCs/>
          <w:lang w:val="sr-Latn-RS"/>
        </w:rPr>
        <w:t xml:space="preserve">2012 </w:t>
      </w:r>
      <w:r>
        <w:rPr>
          <w:lang w:val="sr-Latn-RS"/>
        </w:rPr>
        <w:t>–</w:t>
      </w:r>
      <w:r w:rsidR="006F0DB7">
        <w:rPr>
          <w:lang w:val="sr-Latn-RS"/>
        </w:rPr>
        <w:t xml:space="preserve"> </w:t>
      </w:r>
      <w:r w:rsidR="006F0DB7">
        <w:rPr>
          <w:rFonts w:eastAsia="Times New Roman"/>
        </w:rPr>
        <w:t>S</w:t>
      </w:r>
      <w:r w:rsidR="006F0DB7">
        <w:rPr>
          <w:rFonts w:eastAsia="Times New Roman"/>
        </w:rPr>
        <w:t>ecurity risk assessment</w:t>
      </w:r>
      <w:r w:rsidR="006F0DB7">
        <w:rPr>
          <w:lang w:val="sr-Latn-RS"/>
        </w:rPr>
        <w:t xml:space="preserve"> </w:t>
      </w:r>
      <w:r w:rsidR="005902C5">
        <w:rPr>
          <w:lang w:val="sr-Latn-RS"/>
        </w:rPr>
        <w:t>lists</w:t>
      </w:r>
      <w:r>
        <w:rPr>
          <w:lang w:val="sr-Latn-RS"/>
        </w:rPr>
        <w:t xml:space="preserve"> became an integral part of Special Protocol on Conduct of Police Officers in Cases of Domestic and Intimate Partner Violence against Women, at the </w:t>
      </w:r>
      <w:r>
        <w:rPr>
          <w:rStyle w:val="Hyperlink"/>
          <w:lang w:val="sr-Latn-RS"/>
        </w:rPr>
        <w:fldChar w:fldCharType="begin"/>
      </w:r>
      <w:r>
        <w:rPr>
          <w:rStyle w:val="Hyperlink"/>
          <w:lang w:val="sr-Latn-RS"/>
        </w:rPr>
        <w:instrText xml:space="preserve"> HYPERLINK "https://www.zeneprotivnasilja.net/vesti/181-mup-odgovorio-pozitivno-na-zahtev-mreze-da-se-u-policijsku-praksu-uvedu-liste-za-procenu-i-upravljanje-rizicima" \h </w:instrText>
      </w:r>
      <w:r>
        <w:rPr>
          <w:rStyle w:val="Hyperlink"/>
          <w:lang w:val="sr-Latn-RS"/>
        </w:rPr>
        <w:fldChar w:fldCharType="separate"/>
      </w:r>
      <w:r>
        <w:rPr>
          <w:rStyle w:val="Hyperlink"/>
          <w:lang w:val="sr-Latn-RS"/>
        </w:rPr>
        <w:t>initiative of the AWC and women's organizations WAV Network members</w:t>
      </w:r>
      <w:r>
        <w:rPr>
          <w:rStyle w:val="Hyperlink"/>
          <w:lang w:val="sr-Latn-RS"/>
        </w:rPr>
        <w:fldChar w:fldCharType="end"/>
      </w:r>
      <w:r>
        <w:rPr>
          <w:lang w:val="sr-Latn-RS"/>
        </w:rPr>
        <w:t>.</w:t>
      </w:r>
    </w:p>
    <w:p w:rsidR="005902C5" w:rsidRDefault="00336F57" w:rsidP="005902C5">
      <w:pPr>
        <w:pStyle w:val="ListParagraph"/>
        <w:spacing w:before="120" w:after="120"/>
        <w:ind w:left="360"/>
        <w:jc w:val="both"/>
        <w:rPr>
          <w:rFonts w:eastAsia="Times New Roman"/>
        </w:rPr>
      </w:pPr>
      <w:r>
        <w:rPr>
          <w:rFonts w:eastAsia="Times New Roman"/>
          <w:b/>
          <w:bCs/>
        </w:rPr>
        <w:t>2016</w:t>
      </w:r>
      <w:r>
        <w:rPr>
          <w:rFonts w:eastAsia="Times New Roman"/>
        </w:rPr>
        <w:t xml:space="preserve"> – On the </w:t>
      </w:r>
      <w:r>
        <w:rPr>
          <w:rFonts w:eastAsia="Times New Roman"/>
        </w:rPr>
        <w:t xml:space="preserve">request of </w:t>
      </w:r>
      <w:r>
        <w:rPr>
          <w:rFonts w:eastAsia="Times New Roman"/>
          <w:lang w:val="sr-Latn-RS"/>
        </w:rPr>
        <w:t xml:space="preserve">AWC and </w:t>
      </w:r>
      <w:r>
        <w:rPr>
          <w:rFonts w:eastAsia="Times New Roman"/>
        </w:rPr>
        <w:t>women NGO’s</w:t>
      </w:r>
      <w:r>
        <w:rPr>
          <w:rFonts w:eastAsia="Times New Roman"/>
          <w:lang w:val="sr-Latn-RS"/>
        </w:rPr>
        <w:t xml:space="preserve"> WAV network members </w:t>
      </w:r>
      <w:r>
        <w:rPr>
          <w:rFonts w:eastAsia="Times New Roman"/>
        </w:rPr>
        <w:t xml:space="preserve">or by its own initiative, </w:t>
      </w:r>
      <w:proofErr w:type="spellStart"/>
      <w:r>
        <w:rPr>
          <w:rFonts w:eastAsia="Times New Roman"/>
        </w:rPr>
        <w:t>Ombuds</w:t>
      </w:r>
      <w:proofErr w:type="spellEnd"/>
      <w:r>
        <w:rPr>
          <w:rFonts w:eastAsia="Times New Roman"/>
          <w:lang w:val="sr-Latn-RS"/>
        </w:rPr>
        <w:t>person</w:t>
      </w:r>
      <w:r>
        <w:rPr>
          <w:rFonts w:eastAsia="Times New Roman"/>
        </w:rPr>
        <w:t xml:space="preserve"> conducts enquiries, determine misconducts and issues recommendations to relevant institutions in cases of </w:t>
      </w:r>
      <w:proofErr w:type="spellStart"/>
      <w:r>
        <w:rPr>
          <w:rFonts w:eastAsia="Times New Roman"/>
        </w:rPr>
        <w:t>femicides</w:t>
      </w:r>
      <w:proofErr w:type="spellEnd"/>
      <w:r>
        <w:rPr>
          <w:rFonts w:eastAsia="Times New Roman"/>
        </w:rPr>
        <w:t>.</w:t>
      </w:r>
      <w:r>
        <w:rPr>
          <w:rFonts w:eastAsia="Times New Roman"/>
          <w:lang w:val="sr-Latn-RS"/>
        </w:rPr>
        <w:t xml:space="preserve"> Misconducts </w:t>
      </w:r>
      <w:r>
        <w:rPr>
          <w:rFonts w:eastAsia="Times New Roman"/>
        </w:rPr>
        <w:t>identified by the Ombudsperson includ</w:t>
      </w:r>
      <w:r>
        <w:rPr>
          <w:rFonts w:eastAsia="Times New Roman"/>
        </w:rPr>
        <w:t xml:space="preserve">e institution employees failing to: </w:t>
      </w:r>
    </w:p>
    <w:p w:rsidR="005902C5" w:rsidRDefault="00336F57" w:rsidP="005902C5">
      <w:pPr>
        <w:pStyle w:val="ListParagraph"/>
        <w:spacing w:before="120" w:after="120"/>
        <w:ind w:left="360"/>
        <w:jc w:val="both"/>
        <w:rPr>
          <w:rFonts w:eastAsia="Times New Roman"/>
        </w:rPr>
      </w:pPr>
      <w:r>
        <w:rPr>
          <w:rFonts w:eastAsia="Times New Roman"/>
        </w:rPr>
        <w:t xml:space="preserve">- </w:t>
      </w:r>
      <w:proofErr w:type="gramStart"/>
      <w:r>
        <w:rPr>
          <w:rFonts w:eastAsia="Times New Roman"/>
        </w:rPr>
        <w:t>forward</w:t>
      </w:r>
      <w:proofErr w:type="gramEnd"/>
      <w:r>
        <w:rPr>
          <w:rFonts w:eastAsia="Times New Roman"/>
        </w:rPr>
        <w:t xml:space="preserve"> information on reports of violence to other institutions responsible for providing protection to women and children; </w:t>
      </w:r>
    </w:p>
    <w:p w:rsidR="005902C5" w:rsidRDefault="00336F57" w:rsidP="005902C5">
      <w:pPr>
        <w:pStyle w:val="ListParagraph"/>
        <w:spacing w:before="120" w:after="120"/>
        <w:ind w:left="360"/>
        <w:jc w:val="both"/>
        <w:rPr>
          <w:rFonts w:eastAsia="Times New Roman"/>
        </w:rPr>
      </w:pPr>
      <w:r>
        <w:rPr>
          <w:rFonts w:eastAsia="Times New Roman"/>
        </w:rPr>
        <w:t>- initiate criminal proceedings or request the issuance of protection measures when women r</w:t>
      </w:r>
      <w:r>
        <w:rPr>
          <w:rFonts w:eastAsia="Times New Roman"/>
        </w:rPr>
        <w:t>eject to submit a report, even when they possess evidence of physical violence towards a woman or children;</w:t>
      </w:r>
    </w:p>
    <w:p w:rsidR="005902C5" w:rsidRDefault="00336F57" w:rsidP="005902C5">
      <w:pPr>
        <w:pStyle w:val="ListParagraph"/>
        <w:spacing w:before="120" w:after="120"/>
        <w:ind w:left="360"/>
        <w:jc w:val="both"/>
        <w:rPr>
          <w:rFonts w:eastAsia="Times New Roman"/>
        </w:rPr>
      </w:pPr>
      <w:r>
        <w:rPr>
          <w:rFonts w:eastAsia="Times New Roman"/>
        </w:rPr>
        <w:t>- check in all cases of reported violence whether the perpetrator possesses a weapon;</w:t>
      </w:r>
    </w:p>
    <w:p w:rsidR="006F0DB7" w:rsidRDefault="00336F57" w:rsidP="006F0DB7">
      <w:pPr>
        <w:pStyle w:val="ListParagraph"/>
        <w:spacing w:before="120" w:after="120"/>
        <w:ind w:left="360"/>
        <w:jc w:val="both"/>
        <w:rPr>
          <w:rFonts w:eastAsia="Times New Roman"/>
        </w:rPr>
      </w:pPr>
      <w:r>
        <w:rPr>
          <w:rFonts w:eastAsia="Times New Roman"/>
        </w:rPr>
        <w:t xml:space="preserve">- </w:t>
      </w:r>
      <w:proofErr w:type="gramStart"/>
      <w:r>
        <w:rPr>
          <w:rFonts w:eastAsia="Times New Roman"/>
        </w:rPr>
        <w:t>security</w:t>
      </w:r>
      <w:proofErr w:type="gramEnd"/>
      <w:r>
        <w:rPr>
          <w:rFonts w:eastAsia="Times New Roman"/>
        </w:rPr>
        <w:t xml:space="preserve"> risk assessment;</w:t>
      </w:r>
    </w:p>
    <w:p w:rsidR="006F0DB7" w:rsidRDefault="006F0DB7" w:rsidP="006F0DB7">
      <w:pPr>
        <w:pStyle w:val="ListParagraph"/>
        <w:spacing w:before="120" w:after="120"/>
        <w:ind w:left="360"/>
        <w:jc w:val="both"/>
        <w:rPr>
          <w:rFonts w:eastAsia="Times New Roman"/>
        </w:rPr>
      </w:pPr>
      <w:r>
        <w:rPr>
          <w:rFonts w:eastAsia="Times New Roman"/>
        </w:rPr>
        <w:t xml:space="preserve">- treat children as </w:t>
      </w:r>
      <w:r w:rsidR="00336F57">
        <w:rPr>
          <w:rFonts w:eastAsia="Times New Roman"/>
        </w:rPr>
        <w:t>victims of vio</w:t>
      </w:r>
      <w:r w:rsidR="00336F57">
        <w:rPr>
          <w:rFonts w:eastAsia="Times New Roman"/>
        </w:rPr>
        <w:t>lence and take necessary protection measures to protect children who witness violence towards their mothers;</w:t>
      </w:r>
    </w:p>
    <w:p w:rsidR="006F0DB7" w:rsidRDefault="00336F57" w:rsidP="006F0DB7">
      <w:pPr>
        <w:pStyle w:val="ListParagraph"/>
        <w:spacing w:before="120" w:after="120"/>
        <w:ind w:left="360"/>
        <w:jc w:val="both"/>
        <w:rPr>
          <w:rFonts w:eastAsia="Times New Roman"/>
        </w:rPr>
      </w:pPr>
      <w:r>
        <w:rPr>
          <w:rFonts w:eastAsia="Times New Roman"/>
        </w:rPr>
        <w:t>- make a plan of protection and support services for victims of violence;</w:t>
      </w:r>
    </w:p>
    <w:p w:rsidR="006F0DB7" w:rsidRDefault="006F0DB7" w:rsidP="006F0DB7">
      <w:pPr>
        <w:pStyle w:val="ListParagraph"/>
        <w:spacing w:before="120" w:after="120"/>
        <w:ind w:left="360"/>
        <w:jc w:val="both"/>
        <w:rPr>
          <w:rFonts w:eastAsia="Times New Roman"/>
        </w:rPr>
      </w:pPr>
      <w:r>
        <w:rPr>
          <w:rFonts w:eastAsia="Times New Roman"/>
        </w:rPr>
        <w:t xml:space="preserve">- </w:t>
      </w:r>
      <w:proofErr w:type="gramStart"/>
      <w:r w:rsidR="00336F57">
        <w:rPr>
          <w:rFonts w:eastAsia="Times New Roman"/>
        </w:rPr>
        <w:t>to</w:t>
      </w:r>
      <w:proofErr w:type="gramEnd"/>
      <w:r w:rsidR="00336F57">
        <w:rPr>
          <w:rFonts w:eastAsia="Times New Roman"/>
        </w:rPr>
        <w:t xml:space="preserve"> investigate violence because they qualify it as family problems and ma</w:t>
      </w:r>
      <w:r w:rsidR="00336F57">
        <w:rPr>
          <w:rFonts w:eastAsia="Times New Roman"/>
        </w:rPr>
        <w:t>rital conflicts.</w:t>
      </w:r>
    </w:p>
    <w:p w:rsidR="006F0DB7" w:rsidRDefault="006F0DB7" w:rsidP="006F0DB7">
      <w:pPr>
        <w:pStyle w:val="ListParagraph"/>
        <w:spacing w:before="120" w:after="120"/>
        <w:ind w:left="360"/>
        <w:jc w:val="both"/>
        <w:rPr>
          <w:rFonts w:eastAsia="Times New Roman"/>
        </w:rPr>
      </w:pPr>
    </w:p>
    <w:p w:rsidR="006F0DB7" w:rsidRDefault="00336F57" w:rsidP="006F0DB7">
      <w:pPr>
        <w:pStyle w:val="ListParagraph"/>
        <w:spacing w:before="120" w:after="120"/>
        <w:ind w:left="360"/>
        <w:jc w:val="both"/>
        <w:rPr>
          <w:rFonts w:eastAsia="Times New Roman"/>
        </w:rPr>
      </w:pPr>
      <w:r>
        <w:rPr>
          <w:rFonts w:eastAsia="Times New Roman"/>
          <w:b/>
          <w:bCs/>
        </w:rPr>
        <w:t>2017</w:t>
      </w:r>
      <w:r>
        <w:rPr>
          <w:rFonts w:eastAsia="Times New Roman"/>
        </w:rPr>
        <w:t xml:space="preserve"> - A new </w:t>
      </w:r>
      <w:r>
        <w:rPr>
          <w:rFonts w:eastAsia="Times New Roman"/>
          <w:i/>
          <w:iCs/>
        </w:rPr>
        <w:t>Law on Prevention of Domestic Violence</w:t>
      </w:r>
      <w:r>
        <w:rPr>
          <w:rFonts w:eastAsia="Times New Roman"/>
        </w:rPr>
        <w:t xml:space="preserve"> was adopted, and has been applied since June 2017. Among the novelties brought by this law - which raise the protection of victims of domestic violence to a higher level (and whose introd</w:t>
      </w:r>
      <w:r>
        <w:rPr>
          <w:rFonts w:eastAsia="Times New Roman"/>
        </w:rPr>
        <w:t>uction the AWC has advocated for many years) are: urgent measures of protection against domestic violence; mandatory risk assessment of recurrence of violence; mandatory coordination of competent authorities and consideration of all reported cases of viole</w:t>
      </w:r>
      <w:r>
        <w:rPr>
          <w:rFonts w:eastAsia="Times New Roman"/>
        </w:rPr>
        <w:t>nce; Coordination and Cooperation Groups led by the prosecutor at least once every 15 days to develop an individual plan for the protection and support of victims of violence; central record of all reported cases of domestic violence.</w:t>
      </w:r>
    </w:p>
    <w:p w:rsidR="006F0DB7" w:rsidRPr="00C954CF" w:rsidRDefault="00336F57" w:rsidP="00C954CF">
      <w:pPr>
        <w:pStyle w:val="ListParagraph"/>
        <w:numPr>
          <w:ilvl w:val="0"/>
          <w:numId w:val="8"/>
        </w:numPr>
        <w:spacing w:before="120" w:after="120"/>
        <w:jc w:val="both"/>
        <w:rPr>
          <w:rFonts w:eastAsia="Times New Roman"/>
          <w:i/>
          <w:iCs/>
        </w:rPr>
      </w:pPr>
      <w:r w:rsidRPr="00C954CF">
        <w:rPr>
          <w:rFonts w:eastAsia="Times New Roman"/>
          <w:i/>
          <w:iCs/>
        </w:rPr>
        <w:lastRenderedPageBreak/>
        <w:t>On good practices</w:t>
      </w:r>
      <w:r w:rsidRPr="00C954CF">
        <w:rPr>
          <w:rFonts w:eastAsia="Times New Roman"/>
          <w:i/>
          <w:iCs/>
        </w:rPr>
        <w:t xml:space="preserve"> and challenges in implementing an evidence-based response to the prevention of </w:t>
      </w:r>
      <w:proofErr w:type="spellStart"/>
      <w:r w:rsidRPr="00C954CF">
        <w:rPr>
          <w:rFonts w:eastAsia="Times New Roman"/>
          <w:i/>
          <w:iCs/>
        </w:rPr>
        <w:t>femicide.</w:t>
      </w:r>
      <w:proofErr w:type="spellEnd"/>
    </w:p>
    <w:p w:rsidR="006F0DB7" w:rsidRDefault="006F0DB7" w:rsidP="006F0DB7">
      <w:pPr>
        <w:pStyle w:val="ListParagraph"/>
        <w:spacing w:before="120" w:after="120"/>
        <w:ind w:left="360"/>
        <w:jc w:val="both"/>
        <w:rPr>
          <w:rFonts w:eastAsia="Times New Roman"/>
          <w:i/>
          <w:iCs/>
        </w:rPr>
      </w:pPr>
    </w:p>
    <w:p w:rsidR="006F0DB7" w:rsidRDefault="00336F57" w:rsidP="006F0DB7">
      <w:pPr>
        <w:pStyle w:val="ListParagraph"/>
        <w:spacing w:before="120" w:after="120"/>
        <w:ind w:left="360"/>
        <w:jc w:val="both"/>
        <w:rPr>
          <w:rFonts w:eastAsia="Times New Roman"/>
        </w:rPr>
      </w:pPr>
      <w:r>
        <w:rPr>
          <w:rFonts w:eastAsia="Times New Roman"/>
          <w:b/>
        </w:rPr>
        <w:t>Lack or absence of data</w:t>
      </w:r>
      <w:r>
        <w:rPr>
          <w:rFonts w:eastAsia="Times New Roman"/>
        </w:rPr>
        <w:t xml:space="preserve"> – certain data cannot be collected from the media or are not recorded in the</w:t>
      </w:r>
      <w:r>
        <w:rPr>
          <w:rFonts w:eastAsia="Times New Roman"/>
          <w:lang w:val="sr-Latn-RS"/>
        </w:rPr>
        <w:t xml:space="preserve"> institutional evidence </w:t>
      </w:r>
      <w:r>
        <w:rPr>
          <w:rFonts w:eastAsia="Times New Roman"/>
        </w:rPr>
        <w:t>(for example on the origin and legality of</w:t>
      </w:r>
      <w:r>
        <w:rPr>
          <w:rFonts w:eastAsia="Times New Roman"/>
        </w:rPr>
        <w:t xml:space="preserve"> the</w:t>
      </w:r>
      <w:r>
        <w:rPr>
          <w:rFonts w:eastAsia="Times New Roman"/>
          <w:lang w:val="sr-Latn-RS"/>
        </w:rPr>
        <w:t xml:space="preserve"> firearm </w:t>
      </w:r>
      <w:r w:rsidR="006F0DB7">
        <w:rPr>
          <w:rFonts w:eastAsia="Times New Roman"/>
        </w:rPr>
        <w:t>used in the violence;</w:t>
      </w:r>
      <w:r>
        <w:rPr>
          <w:rFonts w:eastAsia="Times New Roman"/>
        </w:rPr>
        <w:t xml:space="preserve"> on the victim's vulnerability).</w:t>
      </w:r>
    </w:p>
    <w:p w:rsidR="006F0DB7" w:rsidRDefault="006F0DB7" w:rsidP="006F0DB7">
      <w:pPr>
        <w:pStyle w:val="ListParagraph"/>
        <w:spacing w:before="120" w:after="120"/>
        <w:ind w:left="360"/>
        <w:jc w:val="both"/>
        <w:rPr>
          <w:rFonts w:eastAsia="Times New Roman"/>
        </w:rPr>
      </w:pPr>
    </w:p>
    <w:p w:rsidR="00C954CF" w:rsidRDefault="00336F57" w:rsidP="00C954CF">
      <w:pPr>
        <w:pStyle w:val="ListParagraph"/>
        <w:spacing w:before="120" w:after="120"/>
        <w:ind w:left="360"/>
        <w:jc w:val="both"/>
        <w:rPr>
          <w:rFonts w:eastAsia="Times New Roman"/>
          <w:lang w:val="sr-Latn-RS"/>
        </w:rPr>
      </w:pPr>
      <w:r>
        <w:rPr>
          <w:rFonts w:eastAsia="Times New Roman"/>
          <w:b/>
        </w:rPr>
        <w:t xml:space="preserve">Different data collection methodologies </w:t>
      </w:r>
      <w:r>
        <w:rPr>
          <w:rFonts w:eastAsia="Times New Roman"/>
        </w:rPr>
        <w:t xml:space="preserve">– </w:t>
      </w:r>
      <w:r w:rsidR="006F0DB7">
        <w:rPr>
          <w:rFonts w:eastAsia="Times New Roman"/>
          <w:lang w:val="sr-Latn-RS"/>
        </w:rPr>
        <w:t>the type and number</w:t>
      </w:r>
      <w:r>
        <w:rPr>
          <w:rFonts w:eastAsia="Times New Roman"/>
          <w:lang w:val="sr-Latn-RS"/>
        </w:rPr>
        <w:t xml:space="preserve"> of data collected on femicide cases may differ from institution to institution (for example, there is no standardized form of t</w:t>
      </w:r>
      <w:r>
        <w:rPr>
          <w:rFonts w:eastAsia="Times New Roman"/>
          <w:lang w:val="sr-Latn-RS"/>
        </w:rPr>
        <w:t>he autopsy report and it may differ from one medical institution to another).</w:t>
      </w:r>
    </w:p>
    <w:p w:rsidR="00C954CF" w:rsidRDefault="00C954CF" w:rsidP="00C954CF">
      <w:pPr>
        <w:pStyle w:val="ListParagraph"/>
        <w:spacing w:before="120" w:after="120"/>
        <w:ind w:left="360"/>
        <w:jc w:val="both"/>
        <w:rPr>
          <w:rFonts w:eastAsia="Times New Roman"/>
          <w:b/>
          <w:lang w:val="sr-Latn-RS"/>
        </w:rPr>
      </w:pPr>
    </w:p>
    <w:p w:rsidR="00C954CF" w:rsidRDefault="00336F57" w:rsidP="00C954CF">
      <w:pPr>
        <w:pStyle w:val="ListParagraph"/>
        <w:spacing w:before="120" w:after="120"/>
        <w:ind w:left="360"/>
        <w:jc w:val="both"/>
        <w:rPr>
          <w:rFonts w:eastAsia="Times New Roman"/>
        </w:rPr>
      </w:pPr>
      <w:r>
        <w:rPr>
          <w:rFonts w:eastAsia="Times New Roman"/>
          <w:b/>
          <w:lang w:val="sr-Latn-RS"/>
        </w:rPr>
        <w:t>Different scope</w:t>
      </w:r>
      <w:r>
        <w:rPr>
          <w:rFonts w:eastAsia="Times New Roman"/>
          <w:lang w:val="sr-Latn-RS"/>
        </w:rPr>
        <w:t xml:space="preserve"> </w:t>
      </w:r>
      <w:r>
        <w:rPr>
          <w:rFonts w:eastAsia="Times New Roman"/>
          <w:b/>
          <w:bCs/>
          <w:lang w:val="sr-Latn-RS"/>
        </w:rPr>
        <w:t>of cases</w:t>
      </w:r>
      <w:r>
        <w:rPr>
          <w:rFonts w:eastAsia="Times New Roman"/>
          <w:lang w:val="sr-Latn-RS"/>
        </w:rPr>
        <w:t xml:space="preserve"> - </w:t>
      </w:r>
      <w:r w:rsidR="00C954CF">
        <w:rPr>
          <w:rFonts w:eastAsia="Times New Roman"/>
        </w:rPr>
        <w:t xml:space="preserve"> </w:t>
      </w:r>
      <w:r w:rsidR="00C954CF" w:rsidRPr="00C954CF">
        <w:rPr>
          <w:rFonts w:eastAsia="Times New Roman"/>
        </w:rPr>
        <w:t xml:space="preserve">reporting on the number of </w:t>
      </w:r>
      <w:proofErr w:type="spellStart"/>
      <w:r w:rsidR="00C954CF" w:rsidRPr="00C954CF">
        <w:rPr>
          <w:rFonts w:eastAsia="Times New Roman"/>
        </w:rPr>
        <w:t>femicides</w:t>
      </w:r>
      <w:proofErr w:type="spellEnd"/>
      <w:r w:rsidR="00C954CF" w:rsidRPr="00C954CF">
        <w:rPr>
          <w:rFonts w:eastAsia="Times New Roman"/>
        </w:rPr>
        <w:t xml:space="preserve"> in 2019 in the 16 Days of Activism Against </w:t>
      </w:r>
      <w:r w:rsidR="00C954CF">
        <w:rPr>
          <w:rFonts w:eastAsia="Times New Roman"/>
        </w:rPr>
        <w:t xml:space="preserve">VAW </w:t>
      </w:r>
      <w:r w:rsidR="00C954CF" w:rsidRPr="00C954CF">
        <w:rPr>
          <w:rFonts w:eastAsia="Times New Roman"/>
        </w:rPr>
        <w:t>campaign, the police included women</w:t>
      </w:r>
      <w:r w:rsidR="00C954CF">
        <w:rPr>
          <w:rFonts w:eastAsia="Times New Roman"/>
        </w:rPr>
        <w:t xml:space="preserve"> killed by women in this number</w:t>
      </w:r>
      <w:r w:rsidR="00C954CF" w:rsidRPr="00C954CF">
        <w:rPr>
          <w:rFonts w:eastAsia="Times New Roman"/>
        </w:rPr>
        <w:t xml:space="preserve"> </w:t>
      </w:r>
      <w:r>
        <w:rPr>
          <w:rFonts w:eastAsia="Times New Roman"/>
        </w:rPr>
        <w:t xml:space="preserve">(while AWC consider as </w:t>
      </w:r>
      <w:proofErr w:type="spellStart"/>
      <w:r>
        <w:rPr>
          <w:rFonts w:eastAsia="Times New Roman"/>
        </w:rPr>
        <w:t>femicide</w:t>
      </w:r>
      <w:proofErr w:type="spellEnd"/>
      <w:r>
        <w:rPr>
          <w:rFonts w:eastAsia="Times New Roman"/>
        </w:rPr>
        <w:t xml:space="preserve"> just murders of women by male partner or family member).</w:t>
      </w:r>
    </w:p>
    <w:p w:rsidR="00C954CF" w:rsidRDefault="00C954CF" w:rsidP="00C954CF">
      <w:pPr>
        <w:pStyle w:val="ListParagraph"/>
        <w:spacing w:before="120" w:after="120"/>
        <w:ind w:left="360"/>
        <w:jc w:val="both"/>
        <w:rPr>
          <w:rFonts w:eastAsia="Times New Roman"/>
          <w:b/>
        </w:rPr>
      </w:pPr>
    </w:p>
    <w:p w:rsidR="00C954CF" w:rsidRDefault="00336F57" w:rsidP="00C954CF">
      <w:pPr>
        <w:pStyle w:val="ListParagraph"/>
        <w:spacing w:before="120" w:after="120"/>
        <w:ind w:left="360"/>
        <w:jc w:val="both"/>
        <w:rPr>
          <w:rFonts w:eastAsia="Times New Roman"/>
          <w:lang w:val="sr-Latn-RS"/>
        </w:rPr>
      </w:pPr>
      <w:r>
        <w:rPr>
          <w:rFonts w:eastAsia="Times New Roman"/>
          <w:b/>
        </w:rPr>
        <w:t>Disinterest of professionals</w:t>
      </w:r>
      <w:r>
        <w:rPr>
          <w:rFonts w:eastAsia="Times New Roman"/>
        </w:rPr>
        <w:t xml:space="preserve"> – </w:t>
      </w:r>
      <w:r>
        <w:rPr>
          <w:rFonts w:eastAsia="Times New Roman"/>
          <w:lang w:val="sr-Latn-RS"/>
        </w:rPr>
        <w:t>professionals may be uninterested to work on femicide prevention, as the system responsible fo</w:t>
      </w:r>
      <w:r>
        <w:rPr>
          <w:rFonts w:eastAsia="Times New Roman"/>
          <w:lang w:val="sr-Latn-RS"/>
        </w:rPr>
        <w:t xml:space="preserve">r providing protection to women and children is already overburdened with existing workloads, and creating new records </w:t>
      </w:r>
      <w:r>
        <w:rPr>
          <w:rFonts w:eastAsia="Times New Roman"/>
          <w:lang w:val="sr-Latn-RS"/>
        </w:rPr>
        <w:t xml:space="preserve">and reporting </w:t>
      </w:r>
      <w:r w:rsidR="00C954CF">
        <w:rPr>
          <w:rFonts w:eastAsia="Times New Roman"/>
          <w:lang w:val="sr-Latn-RS"/>
        </w:rPr>
        <w:t xml:space="preserve">about femicide </w:t>
      </w:r>
      <w:r>
        <w:rPr>
          <w:rFonts w:eastAsia="Times New Roman"/>
          <w:lang w:val="sr-Latn-RS"/>
        </w:rPr>
        <w:t>is additional work for them.</w:t>
      </w:r>
    </w:p>
    <w:p w:rsidR="00C954CF" w:rsidRDefault="00C954CF" w:rsidP="00C954CF">
      <w:pPr>
        <w:pStyle w:val="ListParagraph"/>
        <w:spacing w:before="120" w:after="120"/>
        <w:ind w:left="360"/>
        <w:jc w:val="both"/>
        <w:rPr>
          <w:rFonts w:eastAsia="Times New Roman"/>
          <w:b/>
        </w:rPr>
      </w:pPr>
    </w:p>
    <w:p w:rsidR="00C954CF" w:rsidRDefault="00336F57" w:rsidP="00C954CF">
      <w:pPr>
        <w:pStyle w:val="ListParagraph"/>
        <w:spacing w:before="120" w:after="120"/>
        <w:ind w:left="360"/>
        <w:jc w:val="both"/>
        <w:rPr>
          <w:rFonts w:eastAsia="Times New Roman"/>
        </w:rPr>
      </w:pPr>
      <w:r w:rsidRPr="00C954CF">
        <w:rPr>
          <w:rFonts w:eastAsia="Times New Roman"/>
          <w:b/>
        </w:rPr>
        <w:t xml:space="preserve">Data collection from institutions can take too long period of time </w:t>
      </w:r>
      <w:r w:rsidRPr="00C954CF">
        <w:rPr>
          <w:rFonts w:eastAsia="Times New Roman"/>
        </w:rPr>
        <w:t>–</w:t>
      </w:r>
      <w:r w:rsidRPr="00C954CF">
        <w:rPr>
          <w:rFonts w:eastAsia="Times New Roman"/>
          <w:lang w:val="sr-Latn-RS"/>
        </w:rPr>
        <w:t xml:space="preserve"> AWC </w:t>
      </w:r>
      <w:r w:rsidRPr="00C954CF">
        <w:rPr>
          <w:rFonts w:eastAsia="Times New Roman"/>
        </w:rPr>
        <w:t xml:space="preserve">collects data from institutions on the basis of the Law on Access to Information of Public Importance. This procedure is time </w:t>
      </w:r>
      <w:proofErr w:type="gramStart"/>
      <w:r w:rsidRPr="00C954CF">
        <w:rPr>
          <w:rFonts w:eastAsia="Times New Roman"/>
        </w:rPr>
        <w:t>consuming  especially</w:t>
      </w:r>
      <w:proofErr w:type="gramEnd"/>
      <w:r w:rsidRPr="00C954CF">
        <w:rPr>
          <w:rFonts w:eastAsia="Times New Roman"/>
        </w:rPr>
        <w:t xml:space="preserve"> due to: </w:t>
      </w:r>
    </w:p>
    <w:p w:rsidR="00C954CF" w:rsidRDefault="00336F57" w:rsidP="00C954CF">
      <w:pPr>
        <w:pStyle w:val="ListParagraph"/>
        <w:spacing w:before="120" w:after="120"/>
        <w:ind w:left="360"/>
        <w:jc w:val="both"/>
        <w:rPr>
          <w:rFonts w:eastAsia="Times New Roman"/>
        </w:rPr>
      </w:pPr>
      <w:r>
        <w:rPr>
          <w:rFonts w:eastAsia="Times New Roman"/>
        </w:rPr>
        <w:t xml:space="preserve">1) </w:t>
      </w:r>
      <w:proofErr w:type="gramStart"/>
      <w:r>
        <w:rPr>
          <w:rFonts w:eastAsia="Times New Roman"/>
        </w:rPr>
        <w:t>a</w:t>
      </w:r>
      <w:proofErr w:type="gramEnd"/>
      <w:r>
        <w:rPr>
          <w:rFonts w:eastAsia="Times New Roman"/>
        </w:rPr>
        <w:t xml:space="preserve"> centralized approval system (for example, the police first send response for approval to</w:t>
      </w:r>
      <w:r>
        <w:rPr>
          <w:rFonts w:eastAsia="Times New Roman"/>
        </w:rPr>
        <w:t xml:space="preserve"> the headquarters, and then to the AWC) – sometimes last few months</w:t>
      </w:r>
      <w:r w:rsidR="00C954CF">
        <w:rPr>
          <w:rFonts w:eastAsia="Times New Roman"/>
        </w:rPr>
        <w:t xml:space="preserve"> or longer.</w:t>
      </w:r>
    </w:p>
    <w:p w:rsidR="00C954CF" w:rsidRDefault="00336F57" w:rsidP="00C954CF">
      <w:pPr>
        <w:pStyle w:val="ListParagraph"/>
        <w:spacing w:before="120" w:after="120"/>
        <w:ind w:left="360"/>
        <w:jc w:val="both"/>
        <w:rPr>
          <w:rFonts w:eastAsia="Times New Roman"/>
        </w:rPr>
      </w:pPr>
      <w:r>
        <w:rPr>
          <w:rFonts w:eastAsia="Times New Roman"/>
        </w:rPr>
        <w:t xml:space="preserve">2) </w:t>
      </w:r>
      <w:proofErr w:type="gramStart"/>
      <w:r>
        <w:rPr>
          <w:rFonts w:eastAsia="Times New Roman"/>
        </w:rPr>
        <w:t>refusal</w:t>
      </w:r>
      <w:proofErr w:type="gramEnd"/>
      <w:r>
        <w:rPr>
          <w:rFonts w:eastAsia="Times New Roman"/>
        </w:rPr>
        <w:t xml:space="preserve"> of institutions to submit data with the explanation that it is a matter of protecting the privacy of the victim and the perpetrator - when the complaint procedure can last few m</w:t>
      </w:r>
      <w:r>
        <w:rPr>
          <w:rFonts w:eastAsia="Times New Roman"/>
        </w:rPr>
        <w:t>onths or years</w:t>
      </w:r>
      <w:r w:rsidR="00C954CF">
        <w:rPr>
          <w:rFonts w:eastAsia="Times New Roman"/>
        </w:rPr>
        <w:t>,</w:t>
      </w:r>
      <w:r>
        <w:rPr>
          <w:rFonts w:eastAsia="Times New Roman"/>
        </w:rPr>
        <w:t xml:space="preserve"> and lead to the data not being collected at all.</w:t>
      </w:r>
    </w:p>
    <w:p w:rsidR="00C954CF" w:rsidRDefault="00C954CF" w:rsidP="00C954CF">
      <w:pPr>
        <w:pStyle w:val="ListParagraph"/>
        <w:spacing w:before="120" w:after="120"/>
        <w:ind w:left="360"/>
        <w:jc w:val="both"/>
        <w:rPr>
          <w:rFonts w:eastAsia="Times New Roman"/>
        </w:rPr>
      </w:pPr>
    </w:p>
    <w:p w:rsidR="00C954CF" w:rsidRDefault="00336F57" w:rsidP="00C954CF">
      <w:pPr>
        <w:pStyle w:val="ListParagraph"/>
        <w:spacing w:before="120" w:after="120"/>
        <w:ind w:left="360"/>
        <w:jc w:val="both"/>
        <w:rPr>
          <w:rFonts w:eastAsia="Times New Roman"/>
          <w:lang w:val="sr-Latn-RS"/>
        </w:rPr>
      </w:pPr>
      <w:r>
        <w:rPr>
          <w:rFonts w:eastAsia="Times New Roman"/>
          <w:b/>
        </w:rPr>
        <w:t>Unclassifiable cases</w:t>
      </w:r>
      <w:r>
        <w:rPr>
          <w:rFonts w:eastAsia="Times New Roman"/>
        </w:rPr>
        <w:t xml:space="preserve"> – </w:t>
      </w:r>
      <w:r>
        <w:rPr>
          <w:rFonts w:eastAsia="Times New Roman"/>
          <w:lang w:val="sr-Latn-RS"/>
        </w:rPr>
        <w:t>there are cases for which it is not possible to determine whether it is a case of murder (femicide), suicide or natural death.</w:t>
      </w:r>
    </w:p>
    <w:p w:rsidR="00C954CF" w:rsidRDefault="00C954CF" w:rsidP="00C954CF">
      <w:pPr>
        <w:pStyle w:val="ListParagraph"/>
        <w:spacing w:before="120" w:after="120"/>
        <w:ind w:left="360"/>
        <w:jc w:val="both"/>
        <w:rPr>
          <w:rFonts w:eastAsia="Times New Roman"/>
          <w:b/>
        </w:rPr>
      </w:pPr>
    </w:p>
    <w:p w:rsidR="00C954CF" w:rsidRDefault="00336F57" w:rsidP="00C954CF">
      <w:pPr>
        <w:pStyle w:val="ListParagraph"/>
        <w:spacing w:before="120" w:after="120"/>
        <w:ind w:left="360"/>
        <w:jc w:val="both"/>
        <w:rPr>
          <w:rFonts w:eastAsia="Times New Roman"/>
        </w:rPr>
      </w:pPr>
      <w:r>
        <w:rPr>
          <w:rFonts w:eastAsia="Times New Roman"/>
          <w:b/>
        </w:rPr>
        <w:t xml:space="preserve">The death occurred as a result of many </w:t>
      </w:r>
      <w:r>
        <w:rPr>
          <w:rFonts w:eastAsia="Times New Roman"/>
          <w:b/>
        </w:rPr>
        <w:t>years of suffering violence</w:t>
      </w:r>
      <w:r>
        <w:rPr>
          <w:rFonts w:eastAsia="Times New Roman"/>
        </w:rPr>
        <w:t xml:space="preserve"> – these cases may remain completely undetected. It is particularly worrying that the AWC has information that in one case the perpetrators were punished only for domestic violence, not for the murder of a woman who died a few da</w:t>
      </w:r>
      <w:r>
        <w:rPr>
          <w:rFonts w:eastAsia="Times New Roman"/>
        </w:rPr>
        <w:t>ys after being beaten by her sons.</w:t>
      </w:r>
    </w:p>
    <w:p w:rsidR="00C954CF" w:rsidRDefault="00C954CF" w:rsidP="00C954CF">
      <w:pPr>
        <w:pStyle w:val="ListParagraph"/>
        <w:spacing w:before="120" w:after="120"/>
        <w:ind w:left="360"/>
        <w:jc w:val="both"/>
        <w:rPr>
          <w:rFonts w:eastAsia="Times New Roman"/>
          <w:b/>
        </w:rPr>
      </w:pPr>
    </w:p>
    <w:p w:rsidR="0041172E" w:rsidRDefault="00336F57" w:rsidP="00C954CF">
      <w:pPr>
        <w:pStyle w:val="ListParagraph"/>
        <w:spacing w:before="120" w:after="120"/>
        <w:ind w:left="360"/>
        <w:jc w:val="both"/>
        <w:rPr>
          <w:rFonts w:eastAsia="Times New Roman"/>
          <w:lang w:val="sr-Latn-RS"/>
        </w:rPr>
      </w:pPr>
      <w:r>
        <w:rPr>
          <w:rFonts w:eastAsia="Times New Roman"/>
          <w:b/>
        </w:rPr>
        <w:t>Contradictory data</w:t>
      </w:r>
      <w:r>
        <w:rPr>
          <w:rFonts w:eastAsia="Times New Roman"/>
        </w:rPr>
        <w:t xml:space="preserve"> – </w:t>
      </w:r>
      <w:r>
        <w:rPr>
          <w:rFonts w:eastAsia="Times New Roman"/>
          <w:lang w:val="sr-Latn-RS"/>
        </w:rPr>
        <w:t>data collected from different sources may be contradictory (one institution states that there have been previous reports of domestic violence by the victim, while another institution claims opposite).</w:t>
      </w:r>
    </w:p>
    <w:p w:rsidR="00C954CF" w:rsidRDefault="00C954CF" w:rsidP="00C954CF">
      <w:pPr>
        <w:pStyle w:val="ListParagraph"/>
        <w:spacing w:before="120" w:after="120"/>
        <w:ind w:left="360"/>
        <w:jc w:val="both"/>
        <w:rPr>
          <w:rFonts w:eastAsia="Times New Roman"/>
          <w:lang w:val="sr-Latn-RS"/>
        </w:rPr>
      </w:pPr>
    </w:p>
    <w:p w:rsidR="00C954CF" w:rsidRDefault="00C954CF" w:rsidP="00C954CF">
      <w:pPr>
        <w:pStyle w:val="ListParagraph"/>
        <w:spacing w:before="120" w:after="120"/>
        <w:ind w:left="360"/>
        <w:jc w:val="both"/>
        <w:rPr>
          <w:rFonts w:eastAsia="Times New Roman"/>
          <w:lang w:val="sr-Latn-RS"/>
        </w:rPr>
      </w:pPr>
    </w:p>
    <w:p w:rsidR="00C954CF" w:rsidRDefault="00C954CF" w:rsidP="00C954CF">
      <w:pPr>
        <w:pStyle w:val="ListParagraph"/>
        <w:spacing w:before="120" w:after="120"/>
        <w:ind w:left="360"/>
        <w:jc w:val="both"/>
        <w:rPr>
          <w:rFonts w:eastAsia="Times New Roman"/>
          <w:lang w:val="sr-Latn-RS"/>
        </w:rPr>
      </w:pPr>
    </w:p>
    <w:p w:rsidR="00C954CF" w:rsidRDefault="00C954CF" w:rsidP="00C954CF">
      <w:pPr>
        <w:pStyle w:val="ListParagraph"/>
        <w:spacing w:before="120" w:after="120"/>
        <w:ind w:left="360"/>
        <w:jc w:val="both"/>
        <w:rPr>
          <w:rFonts w:eastAsia="Times New Roman"/>
          <w:lang w:val="sr-Latn-RS"/>
        </w:rPr>
      </w:pPr>
    </w:p>
    <w:p w:rsidR="00C954CF" w:rsidRPr="00C954CF" w:rsidRDefault="00C954CF" w:rsidP="00C954CF">
      <w:pPr>
        <w:pStyle w:val="ListParagraph"/>
        <w:spacing w:before="120" w:after="120"/>
        <w:ind w:left="360"/>
        <w:jc w:val="both"/>
        <w:rPr>
          <w:rFonts w:eastAsia="Times New Roman"/>
          <w:lang w:val="sr-Latn-RS"/>
        </w:rPr>
      </w:pPr>
    </w:p>
    <w:p w:rsidR="00C954CF" w:rsidRPr="00C954CF" w:rsidRDefault="00336F57" w:rsidP="00C954CF">
      <w:pPr>
        <w:pStyle w:val="ListParagraph"/>
        <w:numPr>
          <w:ilvl w:val="0"/>
          <w:numId w:val="8"/>
        </w:numPr>
        <w:spacing w:before="120" w:after="120"/>
        <w:jc w:val="both"/>
        <w:rPr>
          <w:rFonts w:eastAsia="Times New Roman"/>
          <w:i/>
          <w:iCs/>
        </w:rPr>
      </w:pPr>
      <w:r w:rsidRPr="00C954CF">
        <w:rPr>
          <w:rFonts w:eastAsia="Times New Roman"/>
          <w:i/>
          <w:iCs/>
        </w:rPr>
        <w:lastRenderedPageBreak/>
        <w:t xml:space="preserve">On data, if available, on </w:t>
      </w:r>
      <w:proofErr w:type="spellStart"/>
      <w:r w:rsidRPr="00C954CF">
        <w:rPr>
          <w:rFonts w:eastAsia="Times New Roman"/>
          <w:i/>
          <w:iCs/>
        </w:rPr>
        <w:t>femicides</w:t>
      </w:r>
      <w:proofErr w:type="spellEnd"/>
      <w:r w:rsidRPr="00C954CF">
        <w:rPr>
          <w:rFonts w:eastAsia="Times New Roman"/>
          <w:i/>
          <w:iCs/>
        </w:rPr>
        <w:t xml:space="preserve"> or intimate-partner and family-related homicides of women and men in the past 3 years, including during the Covid-19 pandemic (indicating the time period e.g. since March 2020 to the end of December 2020) and its com</w:t>
      </w:r>
      <w:r w:rsidRPr="00C954CF">
        <w:rPr>
          <w:rFonts w:eastAsia="Times New Roman"/>
          <w:i/>
          <w:iCs/>
        </w:rPr>
        <w:t>parison with such data before the COVID-19 pandemic.</w:t>
      </w:r>
      <w:bookmarkStart w:id="0" w:name="_GoBack"/>
      <w:bookmarkEnd w:id="0"/>
    </w:p>
    <w:p w:rsidR="00C954CF" w:rsidRPr="00C954CF" w:rsidRDefault="00C954CF" w:rsidP="00C954CF">
      <w:pPr>
        <w:pStyle w:val="ListParagraph"/>
        <w:spacing w:before="120" w:after="120"/>
        <w:ind w:left="360"/>
        <w:jc w:val="both"/>
        <w:rPr>
          <w:i/>
          <w:iCs/>
        </w:rPr>
      </w:pPr>
    </w:p>
    <w:tbl>
      <w:tblPr>
        <w:tblW w:w="7834" w:type="dxa"/>
        <w:tblInd w:w="595" w:type="dxa"/>
        <w:tblLook w:val="0000" w:firstRow="0" w:lastRow="0" w:firstColumn="0" w:lastColumn="0" w:noHBand="0" w:noVBand="0"/>
      </w:tblPr>
      <w:tblGrid>
        <w:gridCol w:w="2094"/>
        <w:gridCol w:w="2551"/>
        <w:gridCol w:w="3189"/>
      </w:tblGrid>
      <w:tr w:rsidR="0041172E">
        <w:trPr>
          <w:trHeight w:val="323"/>
        </w:trPr>
        <w:tc>
          <w:tcPr>
            <w:tcW w:w="2094" w:type="dxa"/>
          </w:tcPr>
          <w:p w:rsidR="0041172E" w:rsidRDefault="0041172E">
            <w:pPr>
              <w:jc w:val="center"/>
            </w:pP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F4B083" w:themeFill="accent2" w:themeFillTint="99"/>
          </w:tcPr>
          <w:p w:rsidR="0041172E" w:rsidRDefault="00336F57">
            <w:pPr>
              <w:jc w:val="center"/>
            </w:pPr>
            <w:r>
              <w:t xml:space="preserve">Intimate-partner </w:t>
            </w:r>
            <w:proofErr w:type="spellStart"/>
            <w:r>
              <w:t>femicide</w:t>
            </w:r>
            <w:proofErr w:type="spellEnd"/>
          </w:p>
        </w:tc>
      </w:tr>
      <w:tr w:rsidR="0041172E">
        <w:trPr>
          <w:trHeight w:val="193"/>
        </w:trPr>
        <w:tc>
          <w:tcPr>
            <w:tcW w:w="2094" w:type="dxa"/>
          </w:tcPr>
          <w:p w:rsidR="0041172E" w:rsidRDefault="0041172E"/>
        </w:tc>
        <w:tc>
          <w:tcPr>
            <w:tcW w:w="2551" w:type="dxa"/>
            <w:tcBorders>
              <w:top w:val="single" w:sz="4" w:space="0" w:color="000000"/>
              <w:left w:val="single" w:sz="4" w:space="0" w:color="000000"/>
              <w:bottom w:val="single" w:sz="4" w:space="0" w:color="000000"/>
              <w:right w:val="single" w:sz="4" w:space="0" w:color="000000"/>
            </w:tcBorders>
          </w:tcPr>
          <w:p w:rsidR="0041172E" w:rsidRDefault="00336F57">
            <w:r>
              <w:t>January - March</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March - December</w:t>
            </w:r>
          </w:p>
        </w:tc>
      </w:tr>
      <w:tr w:rsidR="0041172E">
        <w:trPr>
          <w:trHeight w:val="70"/>
        </w:trPr>
        <w:tc>
          <w:tcPr>
            <w:tcW w:w="2094" w:type="dxa"/>
            <w:tcBorders>
              <w:top w:val="single" w:sz="4" w:space="0" w:color="000000"/>
              <w:left w:val="single" w:sz="4" w:space="0" w:color="000000"/>
              <w:bottom w:val="single" w:sz="4" w:space="0" w:color="000000"/>
              <w:right w:val="single" w:sz="4" w:space="0" w:color="000000"/>
            </w:tcBorders>
          </w:tcPr>
          <w:p w:rsidR="0041172E" w:rsidRDefault="00336F57">
            <w:pPr>
              <w:jc w:val="both"/>
            </w:pPr>
            <w:r>
              <w:t>2018.</w:t>
            </w:r>
          </w:p>
        </w:tc>
        <w:tc>
          <w:tcPr>
            <w:tcW w:w="2551"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5</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15</w:t>
            </w:r>
          </w:p>
        </w:tc>
      </w:tr>
      <w:tr w:rsidR="0041172E">
        <w:trPr>
          <w:trHeight w:val="301"/>
        </w:trPr>
        <w:tc>
          <w:tcPr>
            <w:tcW w:w="2094" w:type="dxa"/>
            <w:tcBorders>
              <w:top w:val="single" w:sz="4" w:space="0" w:color="000000"/>
              <w:left w:val="single" w:sz="4" w:space="0" w:color="000000"/>
              <w:bottom w:val="single" w:sz="4" w:space="0" w:color="000000"/>
              <w:right w:val="single" w:sz="4" w:space="0" w:color="000000"/>
            </w:tcBorders>
          </w:tcPr>
          <w:p w:rsidR="0041172E" w:rsidRDefault="00336F57">
            <w:pPr>
              <w:jc w:val="both"/>
            </w:pPr>
            <w:r>
              <w:t>2019.</w:t>
            </w:r>
          </w:p>
        </w:tc>
        <w:tc>
          <w:tcPr>
            <w:tcW w:w="2551"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1</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19</w:t>
            </w:r>
            <w:r>
              <w:rPr>
                <w:rStyle w:val="FootnoteAnchor"/>
              </w:rPr>
              <w:footnoteReference w:id="1"/>
            </w:r>
          </w:p>
        </w:tc>
      </w:tr>
      <w:tr w:rsidR="0041172E">
        <w:trPr>
          <w:trHeight w:val="85"/>
        </w:trPr>
        <w:tc>
          <w:tcPr>
            <w:tcW w:w="2094" w:type="dxa"/>
            <w:tcBorders>
              <w:top w:val="single" w:sz="4" w:space="0" w:color="000000"/>
              <w:left w:val="single" w:sz="4" w:space="0" w:color="000000"/>
              <w:bottom w:val="single" w:sz="4" w:space="0" w:color="000000"/>
              <w:right w:val="single" w:sz="4" w:space="0" w:color="000000"/>
            </w:tcBorders>
          </w:tcPr>
          <w:p w:rsidR="0041172E" w:rsidRDefault="00336F57">
            <w:pPr>
              <w:jc w:val="both"/>
            </w:pPr>
            <w:r>
              <w:t>2020.</w:t>
            </w:r>
          </w:p>
        </w:tc>
        <w:tc>
          <w:tcPr>
            <w:tcW w:w="2551"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3</w:t>
            </w:r>
            <w:r>
              <w:rPr>
                <w:rStyle w:val="FootnoteAnchor"/>
              </w:rPr>
              <w:footnoteReference w:id="2"/>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17</w:t>
            </w:r>
          </w:p>
        </w:tc>
      </w:tr>
    </w:tbl>
    <w:p w:rsidR="0041172E" w:rsidRDefault="0041172E">
      <w:pPr>
        <w:spacing w:before="120" w:after="120"/>
        <w:jc w:val="both"/>
        <w:rPr>
          <w:rFonts w:eastAsia="Times New Roman"/>
        </w:rPr>
      </w:pPr>
    </w:p>
    <w:tbl>
      <w:tblPr>
        <w:tblW w:w="7834" w:type="dxa"/>
        <w:tblInd w:w="595" w:type="dxa"/>
        <w:tblLook w:val="0000" w:firstRow="0" w:lastRow="0" w:firstColumn="0" w:lastColumn="0" w:noHBand="0" w:noVBand="0"/>
      </w:tblPr>
      <w:tblGrid>
        <w:gridCol w:w="2094"/>
        <w:gridCol w:w="2551"/>
        <w:gridCol w:w="3189"/>
      </w:tblGrid>
      <w:tr w:rsidR="0041172E">
        <w:trPr>
          <w:trHeight w:val="323"/>
        </w:trPr>
        <w:tc>
          <w:tcPr>
            <w:tcW w:w="2094" w:type="dxa"/>
          </w:tcPr>
          <w:p w:rsidR="0041172E" w:rsidRDefault="0041172E">
            <w:pPr>
              <w:jc w:val="center"/>
            </w:pPr>
          </w:p>
        </w:tc>
        <w:tc>
          <w:tcPr>
            <w:tcW w:w="5740" w:type="dxa"/>
            <w:gridSpan w:val="2"/>
            <w:tcBorders>
              <w:top w:val="single" w:sz="4" w:space="0" w:color="000000"/>
              <w:left w:val="single" w:sz="4" w:space="0" w:color="000000"/>
              <w:bottom w:val="single" w:sz="4" w:space="0" w:color="000000"/>
              <w:right w:val="single" w:sz="4" w:space="0" w:color="000000"/>
            </w:tcBorders>
            <w:shd w:val="clear" w:color="auto" w:fill="FFD966" w:themeFill="accent4" w:themeFillTint="99"/>
          </w:tcPr>
          <w:p w:rsidR="0041172E" w:rsidRDefault="00336F57">
            <w:pPr>
              <w:jc w:val="center"/>
            </w:pPr>
            <w:r>
              <w:t xml:space="preserve">Family-related </w:t>
            </w:r>
            <w:proofErr w:type="spellStart"/>
            <w:r>
              <w:t>femicide</w:t>
            </w:r>
            <w:proofErr w:type="spellEnd"/>
          </w:p>
        </w:tc>
      </w:tr>
      <w:tr w:rsidR="0041172E">
        <w:trPr>
          <w:trHeight w:val="193"/>
        </w:trPr>
        <w:tc>
          <w:tcPr>
            <w:tcW w:w="2094" w:type="dxa"/>
          </w:tcPr>
          <w:p w:rsidR="0041172E" w:rsidRDefault="0041172E"/>
        </w:tc>
        <w:tc>
          <w:tcPr>
            <w:tcW w:w="2551" w:type="dxa"/>
            <w:tcBorders>
              <w:top w:val="single" w:sz="4" w:space="0" w:color="000000"/>
              <w:left w:val="single" w:sz="4" w:space="0" w:color="000000"/>
              <w:bottom w:val="single" w:sz="4" w:space="0" w:color="000000"/>
              <w:right w:val="single" w:sz="4" w:space="0" w:color="000000"/>
            </w:tcBorders>
          </w:tcPr>
          <w:p w:rsidR="0041172E" w:rsidRDefault="00336F57">
            <w:r>
              <w:t>January - March</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March - December</w:t>
            </w:r>
          </w:p>
        </w:tc>
      </w:tr>
      <w:tr w:rsidR="0041172E">
        <w:trPr>
          <w:trHeight w:val="255"/>
        </w:trPr>
        <w:tc>
          <w:tcPr>
            <w:tcW w:w="2094" w:type="dxa"/>
            <w:tcBorders>
              <w:top w:val="single" w:sz="4" w:space="0" w:color="000000"/>
              <w:left w:val="single" w:sz="4" w:space="0" w:color="000000"/>
              <w:bottom w:val="single" w:sz="4" w:space="0" w:color="000000"/>
              <w:right w:val="single" w:sz="4" w:space="0" w:color="000000"/>
            </w:tcBorders>
          </w:tcPr>
          <w:p w:rsidR="0041172E" w:rsidRDefault="00336F57">
            <w:pPr>
              <w:jc w:val="both"/>
            </w:pPr>
            <w:r>
              <w:t>2018.</w:t>
            </w:r>
          </w:p>
        </w:tc>
        <w:tc>
          <w:tcPr>
            <w:tcW w:w="2551"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4</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6</w:t>
            </w:r>
          </w:p>
        </w:tc>
      </w:tr>
      <w:tr w:rsidR="0041172E">
        <w:trPr>
          <w:trHeight w:val="259"/>
        </w:trPr>
        <w:tc>
          <w:tcPr>
            <w:tcW w:w="2094" w:type="dxa"/>
            <w:tcBorders>
              <w:top w:val="single" w:sz="4" w:space="0" w:color="000000"/>
              <w:left w:val="single" w:sz="4" w:space="0" w:color="000000"/>
              <w:bottom w:val="single" w:sz="4" w:space="0" w:color="000000"/>
              <w:right w:val="single" w:sz="4" w:space="0" w:color="000000"/>
            </w:tcBorders>
          </w:tcPr>
          <w:p w:rsidR="0041172E" w:rsidRDefault="00336F57">
            <w:pPr>
              <w:jc w:val="both"/>
            </w:pPr>
            <w:r>
              <w:t>2019.</w:t>
            </w:r>
          </w:p>
        </w:tc>
        <w:tc>
          <w:tcPr>
            <w:tcW w:w="2551"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7</w:t>
            </w:r>
          </w:p>
        </w:tc>
      </w:tr>
      <w:tr w:rsidR="0041172E">
        <w:trPr>
          <w:trHeight w:val="331"/>
        </w:trPr>
        <w:tc>
          <w:tcPr>
            <w:tcW w:w="2094" w:type="dxa"/>
            <w:tcBorders>
              <w:top w:val="single" w:sz="4" w:space="0" w:color="000000"/>
              <w:left w:val="single" w:sz="4" w:space="0" w:color="000000"/>
              <w:bottom w:val="single" w:sz="4" w:space="0" w:color="000000"/>
              <w:right w:val="single" w:sz="4" w:space="0" w:color="000000"/>
            </w:tcBorders>
          </w:tcPr>
          <w:p w:rsidR="0041172E" w:rsidRDefault="00336F57">
            <w:pPr>
              <w:jc w:val="both"/>
            </w:pPr>
            <w:r>
              <w:t>2020.</w:t>
            </w:r>
          </w:p>
        </w:tc>
        <w:tc>
          <w:tcPr>
            <w:tcW w:w="2551"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1</w:t>
            </w:r>
          </w:p>
        </w:tc>
        <w:tc>
          <w:tcPr>
            <w:tcW w:w="3189" w:type="dxa"/>
            <w:tcBorders>
              <w:top w:val="single" w:sz="4" w:space="0" w:color="000000"/>
              <w:left w:val="single" w:sz="4" w:space="0" w:color="000000"/>
              <w:bottom w:val="single" w:sz="4" w:space="0" w:color="000000"/>
              <w:right w:val="single" w:sz="4" w:space="0" w:color="000000"/>
            </w:tcBorders>
          </w:tcPr>
          <w:p w:rsidR="0041172E" w:rsidRDefault="00336F57">
            <w:pPr>
              <w:jc w:val="center"/>
            </w:pPr>
            <w:r>
              <w:t>5</w:t>
            </w:r>
          </w:p>
        </w:tc>
      </w:tr>
    </w:tbl>
    <w:p w:rsidR="0041172E" w:rsidRDefault="0041172E">
      <w:pPr>
        <w:jc w:val="both"/>
      </w:pPr>
    </w:p>
    <w:p w:rsidR="0041172E" w:rsidRDefault="0041172E">
      <w:pPr>
        <w:spacing w:before="120" w:after="120"/>
        <w:jc w:val="both"/>
        <w:rPr>
          <w:rFonts w:eastAsia="Times New Roman"/>
          <w:highlight w:val="cyan"/>
        </w:rPr>
      </w:pPr>
    </w:p>
    <w:sectPr w:rsidR="0041172E">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57" w:rsidRDefault="00336F57">
      <w:r>
        <w:separator/>
      </w:r>
    </w:p>
  </w:endnote>
  <w:endnote w:type="continuationSeparator" w:id="0">
    <w:p w:rsidR="00336F57" w:rsidRDefault="0033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57" w:rsidRDefault="00336F57">
      <w:pPr>
        <w:rPr>
          <w:sz w:val="12"/>
        </w:rPr>
      </w:pPr>
      <w:r>
        <w:separator/>
      </w:r>
    </w:p>
  </w:footnote>
  <w:footnote w:type="continuationSeparator" w:id="0">
    <w:p w:rsidR="00336F57" w:rsidRDefault="00336F57">
      <w:pPr>
        <w:rPr>
          <w:sz w:val="12"/>
        </w:rPr>
      </w:pPr>
      <w:r>
        <w:continuationSeparator/>
      </w:r>
    </w:p>
  </w:footnote>
  <w:footnote w:id="1">
    <w:p w:rsidR="0041172E" w:rsidRDefault="00336F57">
      <w:pPr>
        <w:pStyle w:val="FootnoteText"/>
        <w:jc w:val="both"/>
        <w:rPr>
          <w:lang w:val="sr-Latn-RS"/>
        </w:rPr>
      </w:pPr>
      <w:r>
        <w:rPr>
          <w:rStyle w:val="FootnoteCharacters"/>
        </w:rPr>
        <w:footnoteRef/>
      </w:r>
      <w:r>
        <w:t xml:space="preserve"> </w:t>
      </w:r>
      <w:r>
        <w:rPr>
          <w:lang w:val="sr-Latn-RS"/>
        </w:rPr>
        <w:t>Including one case in which a woman committed suicide after her reports of violence were left without an adequate institutional response.</w:t>
      </w:r>
    </w:p>
  </w:footnote>
  <w:footnote w:id="2">
    <w:p w:rsidR="0041172E" w:rsidRDefault="00336F57">
      <w:pPr>
        <w:pStyle w:val="FootnoteText"/>
        <w:rPr>
          <w:lang w:val="sr-Latn-RS"/>
        </w:rPr>
      </w:pPr>
      <w:r>
        <w:rPr>
          <w:rStyle w:val="FootnoteCharacters"/>
        </w:rPr>
        <w:footnoteRef/>
      </w:r>
      <w:r>
        <w:t xml:space="preserve"> </w:t>
      </w:r>
      <w:r>
        <w:rPr>
          <w:lang w:val="sr-Latn-RS"/>
        </w:rPr>
        <w:t xml:space="preserve">Including </w:t>
      </w:r>
      <w:r>
        <w:rPr>
          <w:lang w:val="sr-Latn-RS"/>
        </w:rPr>
        <w:t xml:space="preserve">one case in which the media </w:t>
      </w:r>
      <w:r>
        <w:rPr>
          <w:lang w:val="sr-Latn-RS"/>
        </w:rPr>
        <w:t>state that a woman was killed by a neighbor, who had previously raped her.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4A09"/>
    <w:multiLevelType w:val="multilevel"/>
    <w:tmpl w:val="E7484E3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06CE3F98"/>
    <w:multiLevelType w:val="multilevel"/>
    <w:tmpl w:val="B96626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DC025F5"/>
    <w:multiLevelType w:val="multilevel"/>
    <w:tmpl w:val="DD48D7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20465365"/>
    <w:multiLevelType w:val="multilevel"/>
    <w:tmpl w:val="0F64F68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E5B0EAB"/>
    <w:multiLevelType w:val="multilevel"/>
    <w:tmpl w:val="F2CCFF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3DDA26F5"/>
    <w:multiLevelType w:val="hybridMultilevel"/>
    <w:tmpl w:val="3E7EC43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2"/>
    <w:lvlOverride w:ilvl="0">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2E"/>
    <w:rsid w:val="002B45D5"/>
    <w:rsid w:val="00336F57"/>
    <w:rsid w:val="0041172E"/>
    <w:rsid w:val="005902C5"/>
    <w:rsid w:val="006F0DB7"/>
    <w:rsid w:val="009900CD"/>
    <w:rsid w:val="00B85FEC"/>
    <w:rsid w:val="00C954C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650017-C4F1-4BAA-8133-CC38ACF8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8E0"/>
    <w:rPr>
      <w:rFonts w:ascii="Times New Roman" w:hAnsi="Times New Roman" w:cs="Times New Roman"/>
      <w:sz w:val="24"/>
      <w:szCs w:val="24"/>
    </w:rPr>
  </w:style>
  <w:style w:type="paragraph" w:styleId="Heading3">
    <w:name w:val="heading 3"/>
    <w:basedOn w:val="Heading"/>
    <w:next w:val="BodyText"/>
    <w:qFormat/>
    <w:pPr>
      <w:numPr>
        <w:ilvl w:val="2"/>
        <w:numId w:val="1"/>
      </w:numPr>
      <w:spacing w:before="140"/>
      <w:outlineLvl w:val="2"/>
    </w:pPr>
    <w:rPr>
      <w:rFonts w:ascii="Liberation Serif" w:eastAsia="Segoe UI" w:hAnsi="Liberation Serif"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E58"/>
    <w:rPr>
      <w:color w:val="0563C1" w:themeColor="hyperlink"/>
      <w:u w:val="single"/>
    </w:rPr>
  </w:style>
  <w:style w:type="character" w:customStyle="1" w:styleId="FootnoteTextChar">
    <w:name w:val="Footnote Text Char"/>
    <w:basedOn w:val="DefaultParagraphFont"/>
    <w:link w:val="FootnoteText"/>
    <w:uiPriority w:val="99"/>
    <w:semiHidden/>
    <w:qFormat/>
    <w:rsid w:val="00F31CFB"/>
    <w:rPr>
      <w:rFonts w:ascii="Times New Roman" w:hAnsi="Times New Roman" w:cs="Times New Roman"/>
      <w:sz w:val="20"/>
      <w:szCs w:val="20"/>
    </w:rPr>
  </w:style>
  <w:style w:type="character" w:customStyle="1" w:styleId="FootnoteCharacters">
    <w:name w:val="Footnote Characters"/>
    <w:basedOn w:val="DefaultParagraphFont"/>
    <w:uiPriority w:val="99"/>
    <w:semiHidden/>
    <w:unhideWhenUsed/>
    <w:qFormat/>
    <w:rsid w:val="00F31CFB"/>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uiPriority w:val="99"/>
    <w:semiHidden/>
    <w:qFormat/>
    <w:rsid w:val="00DF298C"/>
    <w:rPr>
      <w:rFonts w:ascii="Times New Roman" w:hAnsi="Times New Roman" w:cs="Times New Roman"/>
      <w:sz w:val="20"/>
      <w:szCs w:val="20"/>
    </w:rPr>
  </w:style>
  <w:style w:type="character" w:customStyle="1" w:styleId="EndnoteCharacters">
    <w:name w:val="Endnote Characters"/>
    <w:basedOn w:val="DefaultParagraphFont"/>
    <w:uiPriority w:val="99"/>
    <w:semiHidden/>
    <w:unhideWhenUsed/>
    <w:qFormat/>
    <w:rsid w:val="00DF298C"/>
    <w:rPr>
      <w:vertAlign w:val="superscript"/>
    </w:rPr>
  </w:style>
  <w:style w:type="character" w:customStyle="1" w:styleId="EndnoteAnchor">
    <w:name w:val="Endnote Anchor"/>
    <w:rPr>
      <w:vertAlign w:val="superscript"/>
    </w:rPr>
  </w:style>
  <w:style w:type="character" w:customStyle="1" w:styleId="StrongEmphasis">
    <w:name w:val="Strong Emphasis"/>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xmsonormal">
    <w:name w:val="x_msonormal"/>
    <w:basedOn w:val="Normal"/>
    <w:qFormat/>
    <w:rsid w:val="000348E0"/>
  </w:style>
  <w:style w:type="paragraph" w:styleId="ListParagraph">
    <w:name w:val="List Paragraph"/>
    <w:basedOn w:val="Normal"/>
    <w:uiPriority w:val="34"/>
    <w:qFormat/>
    <w:rsid w:val="000348E0"/>
    <w:pPr>
      <w:ind w:left="720"/>
      <w:contextualSpacing/>
    </w:pPr>
  </w:style>
  <w:style w:type="paragraph" w:styleId="FootnoteText">
    <w:name w:val="footnote text"/>
    <w:basedOn w:val="Normal"/>
    <w:link w:val="FootnoteTextChar"/>
    <w:uiPriority w:val="99"/>
    <w:semiHidden/>
    <w:unhideWhenUsed/>
    <w:rsid w:val="00F31CFB"/>
    <w:rPr>
      <w:sz w:val="20"/>
      <w:szCs w:val="20"/>
    </w:rPr>
  </w:style>
  <w:style w:type="paragraph" w:styleId="EndnoteText">
    <w:name w:val="endnote text"/>
    <w:basedOn w:val="Normal"/>
    <w:link w:val="EndnoteTextChar"/>
    <w:uiPriority w:val="99"/>
    <w:semiHidden/>
    <w:unhideWhenUsed/>
    <w:rsid w:val="00DF298C"/>
    <w:rPr>
      <w:sz w:val="20"/>
      <w:szCs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menngo.org.rs/en/" TargetMode="External"/><Relationship Id="rId13" Type="http://schemas.openxmlformats.org/officeDocument/2006/relationships/hyperlink" Target="https://www.zeneprotivnasilja.net/en/femicide-in-serbia" TargetMode="External"/><Relationship Id="rId18" Type="http://schemas.openxmlformats.org/officeDocument/2006/relationships/hyperlink" Target="https://www.zeneprotivnasilja.net/images/pdf/ASHS_29-2019-1_LACMANOVIC.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menngo.org.rs/publikacije/izvestaji-o-femicidu-u-srbiji" TargetMode="External"/><Relationship Id="rId17" Type="http://schemas.openxmlformats.org/officeDocument/2006/relationships/hyperlink" Target="https://www.zeneprotivnasilja.net/images/pdf/Izvestaj_o_femicidu_2016-Mreza_Zene_protiv_nasilja.pdf" TargetMode="External"/><Relationship Id="rId2" Type="http://schemas.openxmlformats.org/officeDocument/2006/relationships/numbering" Target="numbering.xml"/><Relationship Id="rId16" Type="http://schemas.openxmlformats.org/officeDocument/2006/relationships/hyperlink" Target="https://www.ips.ac.rs/publications/femicid-ko-nas-ubi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nas.rs/drustvo/mihajlovic-formirati-telo-za-pracenje-femicida/"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womenngo.org.rs/images/publikacije-dp/2013/Godisnji_izvestaj_Opservatorije_za_pracenje_nasilja_prema_zenama_2012.pdf" TargetMode="External"/><Relationship Id="rId23" Type="http://schemas.openxmlformats.org/officeDocument/2006/relationships/customXml" Target="../customXml/item3.xml"/><Relationship Id="rId10" Type="http://schemas.openxmlformats.org/officeDocument/2006/relationships/hyperlink" Target="https://www.womenngo.org.rs/en/policy-activities/campaigns/16-days-of-activism-against-violence-against-women/547-campaign-2003-why-they-are-not-among-us" TargetMode="External"/><Relationship Id="rId19" Type="http://schemas.openxmlformats.org/officeDocument/2006/relationships/hyperlink" Target="https://rs.boell.org/sites/default/files/importedFiles/2021/03/17/perspectives%2520-%252009-2020%2520-%2520web_0.pdf" TargetMode="External"/><Relationship Id="rId4" Type="http://schemas.openxmlformats.org/officeDocument/2006/relationships/settings" Target="settings.xml"/><Relationship Id="rId9" Type="http://schemas.openxmlformats.org/officeDocument/2006/relationships/hyperlink" Target="mailto:dobre_prakse@azc.org.rs" TargetMode="External"/><Relationship Id="rId14" Type="http://schemas.openxmlformats.org/officeDocument/2006/relationships/hyperlink" Target="https://www.womenngo.org.rs/images/publikacije-dp/2013/Godisnji_izvestaj_Opservatorije_za_pracenje_nasilja_prema_zenama_2012.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F0D12E-A55E-4585-B975-76DF1D9044C0}">
  <ds:schemaRefs>
    <ds:schemaRef ds:uri="http://schemas.openxmlformats.org/officeDocument/2006/bibliography"/>
  </ds:schemaRefs>
</ds:datastoreItem>
</file>

<file path=customXml/itemProps2.xml><?xml version="1.0" encoding="utf-8"?>
<ds:datastoreItem xmlns:ds="http://schemas.openxmlformats.org/officeDocument/2006/customXml" ds:itemID="{9589AD8C-1DB3-41CD-AC54-EDF2ADF0B629}"/>
</file>

<file path=customXml/itemProps3.xml><?xml version="1.0" encoding="utf-8"?>
<ds:datastoreItem xmlns:ds="http://schemas.openxmlformats.org/officeDocument/2006/customXml" ds:itemID="{997A62A0-9C54-4DFF-ADC4-29B444A429E8}"/>
</file>

<file path=customXml/itemProps4.xml><?xml version="1.0" encoding="utf-8"?>
<ds:datastoreItem xmlns:ds="http://schemas.openxmlformats.org/officeDocument/2006/customXml" ds:itemID="{235BF88D-3CC0-4960-9F1E-7DC527D86CD2}"/>
</file>

<file path=docProps/app.xml><?xml version="1.0" encoding="utf-8"?>
<Properties xmlns="http://schemas.openxmlformats.org/officeDocument/2006/extended-properties" xmlns:vt="http://schemas.openxmlformats.org/officeDocument/2006/docPropsVTypes">
  <Template>Normal</Template>
  <TotalTime>1372</TotalTime>
  <Pages>1</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Vedrana Lacmanovic</dc:creator>
  <dc:description/>
  <cp:lastModifiedBy>Vedrana Lacmanovic</cp:lastModifiedBy>
  <cp:revision>167</cp:revision>
  <dcterms:created xsi:type="dcterms:W3CDTF">2021-04-20T07:50:00Z</dcterms:created>
  <dcterms:modified xsi:type="dcterms:W3CDTF">2021-04-30T15:22:00Z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