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CellMar>
          <w:left w:w="27" w:type="dxa"/>
          <w:right w:w="27" w:type="dxa"/>
        </w:tblCellMar>
        <w:tblLook w:val="0000" w:firstRow="0" w:lastRow="0" w:firstColumn="0" w:lastColumn="0" w:noHBand="0" w:noVBand="0"/>
      </w:tblPr>
      <w:tblGrid>
        <w:gridCol w:w="3600"/>
        <w:gridCol w:w="2071"/>
        <w:gridCol w:w="3685"/>
      </w:tblGrid>
      <w:tr w:rsidR="00D3264E" w:rsidRPr="00D3264E" w:rsidTr="00170328">
        <w:trPr>
          <w:jc w:val="center"/>
        </w:trPr>
        <w:tc>
          <w:tcPr>
            <w:tcW w:w="3600" w:type="dxa"/>
            <w:tcBorders>
              <w:top w:val="nil"/>
              <w:left w:val="nil"/>
              <w:bottom w:val="nil"/>
              <w:right w:val="nil"/>
            </w:tcBorders>
          </w:tcPr>
          <w:p w:rsidR="00F571EC" w:rsidRPr="00D3264E" w:rsidRDefault="00EB6085" w:rsidP="00097245">
            <w:pPr>
              <w:jc w:val="both"/>
              <w:rPr>
                <w:b/>
                <w:lang w:val="fr-CH"/>
              </w:rPr>
            </w:pPr>
            <w:r w:rsidRPr="00D3264E">
              <w:rPr>
                <w:noProof/>
              </w:rPr>
              <mc:AlternateContent>
                <mc:Choice Requires="wps">
                  <w:drawing>
                    <wp:anchor distT="0" distB="0" distL="114300" distR="114300" simplePos="0" relativeHeight="251665408" behindDoc="0" locked="0" layoutInCell="1" allowOverlap="1" wp14:anchorId="167ADD29" wp14:editId="0283335B">
                      <wp:simplePos x="0" y="0"/>
                      <wp:positionH relativeFrom="column">
                        <wp:posOffset>947420</wp:posOffset>
                      </wp:positionH>
                      <wp:positionV relativeFrom="paragraph">
                        <wp:posOffset>111760</wp:posOffset>
                      </wp:positionV>
                      <wp:extent cx="1514475" cy="741045"/>
                      <wp:effectExtent l="0" t="0" r="9525" b="190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07C" w:rsidRPr="001D24D6" w:rsidRDefault="00B0107C" w:rsidP="00AE408B">
                                  <w:pPr>
                                    <w:rPr>
                                      <w:lang w:val="fr-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4.6pt;margin-top:8.8pt;width:119.25pt;height:5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" stroked="f">
                      <v:textbox>
                        <w:txbxContent>
                          <w:p w:rsidR="00B0107C" w:rsidRPr="001D24D6" w:rsidRDefault="00B0107C" w:rsidP="00AE408B">
                            <w:pPr>
                              <w:rPr>
                                <w:lang w:val="fr-CH"/>
                              </w:rPr>
                            </w:pPr>
                          </w:p>
                        </w:txbxContent>
                      </v:textbox>
                    </v:shape>
                  </w:pict>
                </mc:Fallback>
              </mc:AlternateContent>
            </w:r>
          </w:p>
        </w:tc>
        <w:tc>
          <w:tcPr>
            <w:tcW w:w="2071" w:type="dxa"/>
            <w:tcBorders>
              <w:top w:val="nil"/>
              <w:left w:val="nil"/>
              <w:bottom w:val="nil"/>
              <w:right w:val="nil"/>
            </w:tcBorders>
          </w:tcPr>
          <w:p w:rsidR="00F571EC" w:rsidRPr="00D3264E" w:rsidRDefault="00E37FF1" w:rsidP="00097245">
            <w:pPr>
              <w:jc w:val="both"/>
              <w:rPr>
                <w:b/>
              </w:rPr>
            </w:pPr>
            <w:r w:rsidRPr="00D3264E">
              <w:rPr>
                <w:noProof/>
              </w:rPr>
              <w:drawing>
                <wp:anchor distT="0" distB="0" distL="114300" distR="114300" simplePos="0" relativeHeight="251667456" behindDoc="0" locked="0" layoutInCell="1" allowOverlap="1" wp14:anchorId="61A7621F" wp14:editId="6D6C271C">
                  <wp:simplePos x="0" y="0"/>
                  <wp:positionH relativeFrom="column">
                    <wp:posOffset>801840</wp:posOffset>
                  </wp:positionH>
                  <wp:positionV relativeFrom="paragraph">
                    <wp:posOffset>-1164794</wp:posOffset>
                  </wp:positionV>
                  <wp:extent cx="2921635" cy="965835"/>
                  <wp:effectExtent l="0" t="0" r="0" b="5715"/>
                  <wp:wrapNone/>
                  <wp:docPr id="4" name="Picture 4" descr="Description: OHCHR_logo_blue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OHCHR_logo_blue_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635" cy="965835"/>
                          </a:xfrm>
                          <a:prstGeom prst="rect">
                            <a:avLst/>
                          </a:prstGeom>
                          <a:noFill/>
                          <a:ln>
                            <a:noFill/>
                          </a:ln>
                        </pic:spPr>
                      </pic:pic>
                    </a:graphicData>
                  </a:graphic>
                </wp:anchor>
              </w:drawing>
            </w:r>
          </w:p>
        </w:tc>
        <w:tc>
          <w:tcPr>
            <w:tcW w:w="3685" w:type="dxa"/>
            <w:tcBorders>
              <w:top w:val="nil"/>
              <w:left w:val="nil"/>
              <w:bottom w:val="nil"/>
              <w:right w:val="nil"/>
            </w:tcBorders>
          </w:tcPr>
          <w:p w:rsidR="00F571EC" w:rsidRPr="00D3264E" w:rsidRDefault="00F571EC" w:rsidP="00097245">
            <w:pPr>
              <w:jc w:val="both"/>
              <w:rPr>
                <w:b/>
              </w:rPr>
            </w:pPr>
          </w:p>
        </w:tc>
      </w:tr>
    </w:tbl>
    <w:tbl>
      <w:tblPr>
        <w:tblpPr w:leftFromText="180" w:rightFromText="180" w:vertAnchor="page" w:horzAnchor="page" w:tblpX="110" w:tblpY="1211"/>
        <w:tblW w:w="9450" w:type="dxa"/>
        <w:tblLook w:val="0000" w:firstRow="0" w:lastRow="0" w:firstColumn="0" w:lastColumn="0" w:noHBand="0" w:noVBand="0"/>
      </w:tblPr>
      <w:tblGrid>
        <w:gridCol w:w="9354"/>
        <w:gridCol w:w="222"/>
      </w:tblGrid>
      <w:tr w:rsidR="00D3264E" w:rsidRPr="00D3264E" w:rsidTr="00B0107C">
        <w:tc>
          <w:tcPr>
            <w:tcW w:w="6379" w:type="dxa"/>
          </w:tcPr>
          <w:tbl>
            <w:tblPr>
              <w:tblpPr w:leftFromText="180" w:rightFromText="180" w:vertAnchor="page" w:horzAnchor="margin" w:tblpY="1"/>
              <w:tblOverlap w:val="never"/>
              <w:tblW w:w="9450" w:type="dxa"/>
              <w:tblLook w:val="0000" w:firstRow="0" w:lastRow="0" w:firstColumn="0" w:lastColumn="0" w:noHBand="0" w:noVBand="0"/>
            </w:tblPr>
            <w:tblGrid>
              <w:gridCol w:w="3828"/>
              <w:gridCol w:w="1843"/>
              <w:gridCol w:w="3779"/>
            </w:tblGrid>
            <w:tr w:rsidR="00D3264E" w:rsidRPr="00D3264E" w:rsidTr="00E37FF1">
              <w:tc>
                <w:tcPr>
                  <w:tcW w:w="3828" w:type="dxa"/>
                </w:tcPr>
                <w:p w:rsidR="00E37FF1" w:rsidRPr="00D3264E" w:rsidRDefault="00E37FF1" w:rsidP="00097245">
                  <w:pPr>
                    <w:tabs>
                      <w:tab w:val="left" w:pos="-720"/>
                    </w:tabs>
                    <w:suppressAutoHyphens/>
                    <w:ind w:hanging="198"/>
                    <w:jc w:val="right"/>
                    <w:rPr>
                      <w:b/>
                      <w:lang w:val="fr-FR"/>
                    </w:rPr>
                  </w:pPr>
                </w:p>
                <w:p w:rsidR="00E37FF1" w:rsidRPr="00D3264E" w:rsidRDefault="00E37FF1" w:rsidP="00097245">
                  <w:pPr>
                    <w:tabs>
                      <w:tab w:val="left" w:pos="-720"/>
                    </w:tabs>
                    <w:suppressAutoHyphens/>
                    <w:jc w:val="right"/>
                    <w:rPr>
                      <w:lang w:val="fr-FR"/>
                    </w:rPr>
                  </w:pPr>
                  <w:r w:rsidRPr="00D3264E">
                    <w:rPr>
                      <w:b/>
                      <w:lang w:val="fr-FR"/>
                    </w:rPr>
                    <w:t>NATIONS UNIES</w:t>
                  </w:r>
                </w:p>
                <w:p w:rsidR="00E37FF1" w:rsidRPr="00D3264E" w:rsidRDefault="00E37FF1" w:rsidP="00097245">
                  <w:pPr>
                    <w:jc w:val="right"/>
                    <w:rPr>
                      <w:lang w:val="fr-FR"/>
                    </w:rPr>
                  </w:pPr>
                  <w:r w:rsidRPr="00D3264E">
                    <w:rPr>
                      <w:lang w:val="fr-FR"/>
                    </w:rPr>
                    <w:t xml:space="preserve">   Opération des Nations Unies </w:t>
                  </w:r>
                </w:p>
                <w:p w:rsidR="00E37FF1" w:rsidRPr="00D3264E" w:rsidRDefault="00E37FF1" w:rsidP="00097245">
                  <w:pPr>
                    <w:jc w:val="right"/>
                    <w:rPr>
                      <w:lang w:val="fr-FR"/>
                    </w:rPr>
                  </w:pPr>
                  <w:r w:rsidRPr="00D3264E">
                    <w:rPr>
                      <w:lang w:val="fr-FR"/>
                    </w:rPr>
                    <w:t>en Côte d’Ivoire</w:t>
                  </w:r>
                </w:p>
              </w:tc>
              <w:tc>
                <w:tcPr>
                  <w:tcW w:w="1843" w:type="dxa"/>
                </w:tcPr>
                <w:p w:rsidR="00E37FF1" w:rsidRPr="00D3264E" w:rsidRDefault="00E37FF1" w:rsidP="00097245">
                  <w:pPr>
                    <w:jc w:val="center"/>
                    <w:rPr>
                      <w:lang w:val="fr-FR"/>
                    </w:rPr>
                  </w:pPr>
                </w:p>
                <w:p w:rsidR="00E37FF1" w:rsidRPr="00D3264E" w:rsidRDefault="00E37FF1" w:rsidP="00097245">
                  <w:pPr>
                    <w:jc w:val="center"/>
                    <w:rPr>
                      <w:lang w:val="fr-FR"/>
                    </w:rPr>
                  </w:pPr>
                  <w:r w:rsidRPr="00D3264E">
                    <w:rPr>
                      <w:noProof/>
                    </w:rPr>
                    <w:drawing>
                      <wp:inline distT="0" distB="0" distL="0" distR="0" wp14:anchorId="135E0874" wp14:editId="19770B42">
                        <wp:extent cx="644525" cy="523240"/>
                        <wp:effectExtent l="0" t="0" r="3175" b="0"/>
                        <wp:docPr id="3" name="Picture 3" descr="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525" cy="523240"/>
                                </a:xfrm>
                                <a:prstGeom prst="rect">
                                  <a:avLst/>
                                </a:prstGeom>
                                <a:noFill/>
                                <a:ln>
                                  <a:noFill/>
                                </a:ln>
                              </pic:spPr>
                            </pic:pic>
                          </a:graphicData>
                        </a:graphic>
                      </wp:inline>
                    </w:drawing>
                  </w:r>
                </w:p>
                <w:p w:rsidR="00E37FF1" w:rsidRPr="00D3264E" w:rsidRDefault="00E37FF1" w:rsidP="00097245">
                  <w:pPr>
                    <w:keepNext/>
                    <w:jc w:val="center"/>
                    <w:outlineLvl w:val="0"/>
                    <w:rPr>
                      <w:b/>
                      <w:lang w:val="fr-FR"/>
                    </w:rPr>
                  </w:pPr>
                  <w:r w:rsidRPr="00D3264E">
                    <w:rPr>
                      <w:b/>
                      <w:lang w:val="fr-FR"/>
                    </w:rPr>
                    <w:t>ONUCI</w:t>
                  </w:r>
                </w:p>
              </w:tc>
              <w:tc>
                <w:tcPr>
                  <w:tcW w:w="3779" w:type="dxa"/>
                </w:tcPr>
                <w:p w:rsidR="00E37FF1" w:rsidRPr="00D3264E" w:rsidRDefault="00E37FF1" w:rsidP="00097245">
                  <w:pPr>
                    <w:tabs>
                      <w:tab w:val="left" w:pos="-720"/>
                    </w:tabs>
                    <w:suppressAutoHyphens/>
                    <w:rPr>
                      <w:b/>
                    </w:rPr>
                  </w:pPr>
                  <w:r w:rsidRPr="00D3264E">
                    <w:rPr>
                      <w:b/>
                    </w:rPr>
                    <w:t xml:space="preserve"> </w:t>
                  </w:r>
                </w:p>
                <w:p w:rsidR="00E37FF1" w:rsidRPr="00D3264E" w:rsidRDefault="00E37FF1" w:rsidP="00097245"/>
                <w:p w:rsidR="00E37FF1" w:rsidRPr="00D3264E" w:rsidRDefault="00E37FF1" w:rsidP="00097245"/>
              </w:tc>
            </w:tr>
            <w:tr w:rsidR="00D3264E" w:rsidRPr="00D3264E" w:rsidTr="00E37FF1">
              <w:tc>
                <w:tcPr>
                  <w:tcW w:w="3828" w:type="dxa"/>
                </w:tcPr>
                <w:p w:rsidR="00E37FF1" w:rsidRPr="00D3264E" w:rsidRDefault="00E37FF1" w:rsidP="00097245">
                  <w:pPr>
                    <w:tabs>
                      <w:tab w:val="left" w:pos="-720"/>
                    </w:tabs>
                    <w:suppressAutoHyphens/>
                    <w:ind w:hanging="198"/>
                    <w:jc w:val="right"/>
                    <w:rPr>
                      <w:b/>
                      <w:lang w:val="fr-FR"/>
                    </w:rPr>
                  </w:pPr>
                </w:p>
              </w:tc>
              <w:tc>
                <w:tcPr>
                  <w:tcW w:w="1843" w:type="dxa"/>
                </w:tcPr>
                <w:p w:rsidR="00E37FF1" w:rsidRPr="00D3264E" w:rsidRDefault="00E37FF1" w:rsidP="00097245">
                  <w:pPr>
                    <w:jc w:val="center"/>
                    <w:rPr>
                      <w:lang w:val="fr-FR"/>
                    </w:rPr>
                  </w:pPr>
                </w:p>
              </w:tc>
              <w:tc>
                <w:tcPr>
                  <w:tcW w:w="3779" w:type="dxa"/>
                </w:tcPr>
                <w:p w:rsidR="00E37FF1" w:rsidRPr="00D3264E" w:rsidRDefault="00E37FF1" w:rsidP="00097245">
                  <w:pPr>
                    <w:tabs>
                      <w:tab w:val="left" w:pos="-720"/>
                    </w:tabs>
                    <w:suppressAutoHyphens/>
                    <w:rPr>
                      <w:b/>
                    </w:rPr>
                  </w:pPr>
                </w:p>
              </w:tc>
            </w:tr>
          </w:tbl>
          <w:p w:rsidR="00AD4F47" w:rsidRPr="00D3264E" w:rsidRDefault="00AD4F47" w:rsidP="00097245">
            <w:pPr>
              <w:tabs>
                <w:tab w:val="left" w:pos="-720"/>
              </w:tabs>
              <w:suppressAutoHyphens/>
              <w:ind w:hanging="198"/>
              <w:jc w:val="right"/>
              <w:rPr>
                <w:b/>
                <w:lang w:val="fr-FR"/>
              </w:rPr>
            </w:pPr>
          </w:p>
        </w:tc>
        <w:tc>
          <w:tcPr>
            <w:tcW w:w="3071" w:type="dxa"/>
          </w:tcPr>
          <w:p w:rsidR="00AD4F47" w:rsidRPr="00D3264E" w:rsidRDefault="00AD4F47" w:rsidP="00097245">
            <w:pPr>
              <w:jc w:val="center"/>
              <w:rPr>
                <w:lang w:val="fr-FR"/>
              </w:rPr>
            </w:pPr>
          </w:p>
        </w:tc>
      </w:tr>
    </w:tbl>
    <w:p w:rsidR="00F57D41" w:rsidRPr="00D3264E" w:rsidRDefault="00F57D41" w:rsidP="00097245">
      <w:pPr>
        <w:jc w:val="both"/>
      </w:pPr>
    </w:p>
    <w:p w:rsidR="00F57D41" w:rsidRPr="00D3264E" w:rsidRDefault="00F57D41" w:rsidP="00097245">
      <w:pPr>
        <w:jc w:val="both"/>
      </w:pPr>
    </w:p>
    <w:p w:rsidR="00200059" w:rsidRPr="00D3264E" w:rsidRDefault="00200059" w:rsidP="00097245">
      <w:pPr>
        <w:jc w:val="both"/>
      </w:pPr>
    </w:p>
    <w:p w:rsidR="00200059" w:rsidRPr="00D3264E" w:rsidRDefault="00200059" w:rsidP="00097245">
      <w:pPr>
        <w:jc w:val="both"/>
      </w:pPr>
    </w:p>
    <w:p w:rsidR="00200059" w:rsidRPr="00D3264E" w:rsidRDefault="00200059" w:rsidP="00097245">
      <w:pPr>
        <w:jc w:val="both"/>
      </w:pPr>
    </w:p>
    <w:p w:rsidR="00200059" w:rsidRPr="00D3264E" w:rsidRDefault="00200059" w:rsidP="00097245">
      <w:pPr>
        <w:jc w:val="both"/>
      </w:pPr>
    </w:p>
    <w:p w:rsidR="00200059" w:rsidRPr="00D3264E" w:rsidRDefault="00200059" w:rsidP="00097245">
      <w:pPr>
        <w:jc w:val="both"/>
      </w:pPr>
    </w:p>
    <w:p w:rsidR="00B82B49" w:rsidRPr="00D3264E" w:rsidRDefault="00B82B49" w:rsidP="00097245">
      <w:pPr>
        <w:jc w:val="both"/>
      </w:pPr>
    </w:p>
    <w:p w:rsidR="00B82B49" w:rsidRPr="00D3264E" w:rsidRDefault="00B82B49" w:rsidP="00097245">
      <w:pPr>
        <w:jc w:val="both"/>
      </w:pPr>
    </w:p>
    <w:p w:rsidR="00AB7669" w:rsidRPr="00D3264E" w:rsidRDefault="00AB7669" w:rsidP="00097245">
      <w:pPr>
        <w:jc w:val="both"/>
      </w:pPr>
    </w:p>
    <w:p w:rsidR="007613FD" w:rsidRPr="00D3264E" w:rsidRDefault="007613FD" w:rsidP="00097245">
      <w:pPr>
        <w:jc w:val="both"/>
      </w:pPr>
    </w:p>
    <w:p w:rsidR="00200059" w:rsidRPr="00D3264E" w:rsidRDefault="00200059" w:rsidP="00097245">
      <w:pPr>
        <w:jc w:val="both"/>
      </w:pPr>
    </w:p>
    <w:p w:rsidR="00200059" w:rsidRPr="00D3264E" w:rsidRDefault="00200059" w:rsidP="0009724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576"/>
      </w:tblGrid>
      <w:tr w:rsidR="00D3264E" w:rsidRPr="00D3264E" w:rsidTr="00065547">
        <w:tc>
          <w:tcPr>
            <w:tcW w:w="9576" w:type="dxa"/>
            <w:shd w:val="clear" w:color="auto" w:fill="92D050"/>
          </w:tcPr>
          <w:p w:rsidR="00200059" w:rsidRPr="00D3264E" w:rsidRDefault="00200059" w:rsidP="00097245">
            <w:pPr>
              <w:jc w:val="both"/>
              <w:rPr>
                <w:lang w:val="fr-FR"/>
              </w:rPr>
            </w:pPr>
          </w:p>
          <w:p w:rsidR="00B82B49" w:rsidRPr="00D3264E" w:rsidRDefault="00B82B49" w:rsidP="00097245">
            <w:pPr>
              <w:jc w:val="both"/>
              <w:rPr>
                <w:lang w:val="fr-FR"/>
              </w:rPr>
            </w:pPr>
          </w:p>
          <w:p w:rsidR="00AD4F47" w:rsidRPr="00D3264E" w:rsidRDefault="00E57FA7" w:rsidP="00097245">
            <w:pPr>
              <w:jc w:val="center"/>
              <w:rPr>
                <w:b/>
                <w:lang w:val="fr-FR"/>
              </w:rPr>
            </w:pPr>
            <w:r w:rsidRPr="00D3264E">
              <w:rPr>
                <w:b/>
                <w:lang w:val="fr-FR"/>
              </w:rPr>
              <w:t>RAPPORT SUR LES VIOLS ET LEUR</w:t>
            </w:r>
            <w:r w:rsidR="003117AF" w:rsidRPr="00D3264E">
              <w:rPr>
                <w:b/>
                <w:lang w:val="fr-FR"/>
              </w:rPr>
              <w:t xml:space="preserve"> REPRESSION </w:t>
            </w:r>
          </w:p>
          <w:p w:rsidR="00200059" w:rsidRPr="00D3264E" w:rsidRDefault="00D94795" w:rsidP="00097245">
            <w:pPr>
              <w:jc w:val="center"/>
              <w:rPr>
                <w:b/>
                <w:lang w:val="fr-FR"/>
              </w:rPr>
            </w:pPr>
            <w:r w:rsidRPr="00D3264E">
              <w:rPr>
                <w:b/>
                <w:lang w:val="fr-FR"/>
              </w:rPr>
              <w:t>E</w:t>
            </w:r>
            <w:r w:rsidR="00200059" w:rsidRPr="00D3264E">
              <w:rPr>
                <w:b/>
                <w:lang w:val="fr-FR"/>
              </w:rPr>
              <w:t>N CÔTE D’IVOIRE</w:t>
            </w:r>
          </w:p>
          <w:p w:rsidR="00B82B49" w:rsidRPr="00D3264E" w:rsidRDefault="00B82B49" w:rsidP="00097245">
            <w:pPr>
              <w:jc w:val="both"/>
              <w:rPr>
                <w:lang w:val="fr-FR"/>
              </w:rPr>
            </w:pPr>
          </w:p>
          <w:p w:rsidR="00200059" w:rsidRPr="00D3264E" w:rsidRDefault="00200059" w:rsidP="00097245">
            <w:pPr>
              <w:jc w:val="both"/>
              <w:rPr>
                <w:lang w:val="fr-FR"/>
              </w:rPr>
            </w:pPr>
          </w:p>
        </w:tc>
      </w:tr>
    </w:tbl>
    <w:p w:rsidR="00F57D41" w:rsidRPr="00D3264E" w:rsidRDefault="00F57D41"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200059" w:rsidRPr="00D3264E" w:rsidRDefault="00200059" w:rsidP="00097245">
      <w:pPr>
        <w:jc w:val="both"/>
        <w:rPr>
          <w:lang w:val="fr-FR"/>
        </w:rPr>
      </w:pPr>
    </w:p>
    <w:p w:rsidR="00B82B49" w:rsidRPr="00D3264E" w:rsidRDefault="00B82B49" w:rsidP="00097245">
      <w:pPr>
        <w:jc w:val="both"/>
        <w:rPr>
          <w:lang w:val="fr-FR"/>
        </w:rPr>
      </w:pPr>
    </w:p>
    <w:p w:rsidR="00B82B49" w:rsidRPr="00D3264E" w:rsidRDefault="00B82B49" w:rsidP="00097245">
      <w:pPr>
        <w:jc w:val="both"/>
        <w:rPr>
          <w:lang w:val="fr-FR"/>
        </w:rPr>
      </w:pPr>
    </w:p>
    <w:p w:rsidR="00200059" w:rsidRPr="00D3264E" w:rsidRDefault="00200059" w:rsidP="00097245">
      <w:pPr>
        <w:jc w:val="both"/>
        <w:rPr>
          <w:lang w:val="fr-FR"/>
        </w:rPr>
      </w:pPr>
    </w:p>
    <w:p w:rsidR="00200059" w:rsidRPr="00D3264E" w:rsidRDefault="000C2353" w:rsidP="00097245">
      <w:pPr>
        <w:tabs>
          <w:tab w:val="left" w:pos="6615"/>
        </w:tabs>
        <w:jc w:val="both"/>
        <w:rPr>
          <w:lang w:val="fr-FR"/>
        </w:rPr>
      </w:pPr>
      <w:r w:rsidRPr="00D3264E">
        <w:rPr>
          <w:lang w:val="fr-FR"/>
        </w:rPr>
        <w:tab/>
      </w:r>
    </w:p>
    <w:p w:rsidR="00B321B8" w:rsidRPr="00D3264E" w:rsidRDefault="00B321B8" w:rsidP="00097245">
      <w:pPr>
        <w:jc w:val="both"/>
        <w:rPr>
          <w:lang w:val="fr-FR"/>
        </w:rPr>
      </w:pPr>
    </w:p>
    <w:p w:rsidR="004B2D91" w:rsidRPr="00D3264E" w:rsidRDefault="004B2D91" w:rsidP="00097245">
      <w:pPr>
        <w:pStyle w:val="Footer"/>
        <w:jc w:val="center"/>
        <w:rPr>
          <w:lang w:val="fr-FR"/>
        </w:rPr>
      </w:pPr>
    </w:p>
    <w:p w:rsidR="00AD4F47" w:rsidRPr="00D3264E" w:rsidRDefault="00AD4F47" w:rsidP="00097245">
      <w:pPr>
        <w:pStyle w:val="Footer"/>
        <w:jc w:val="center"/>
        <w:rPr>
          <w:b/>
          <w:lang w:val="fr-FR"/>
        </w:rPr>
      </w:pPr>
    </w:p>
    <w:p w:rsidR="004B2D91" w:rsidRPr="00D3264E" w:rsidRDefault="004B2D91" w:rsidP="00097245">
      <w:pPr>
        <w:pStyle w:val="Footer"/>
        <w:jc w:val="center"/>
        <w:rPr>
          <w:b/>
          <w:lang w:val="fr-FR"/>
        </w:rPr>
      </w:pPr>
    </w:p>
    <w:p w:rsidR="003E5D42" w:rsidRPr="00D3264E" w:rsidRDefault="004B2D91" w:rsidP="00097245">
      <w:pPr>
        <w:pStyle w:val="Footer"/>
        <w:jc w:val="center"/>
        <w:rPr>
          <w:b/>
          <w:lang w:val="fr-FR"/>
        </w:rPr>
      </w:pPr>
      <w:r w:rsidRPr="00D3264E">
        <w:rPr>
          <w:b/>
          <w:lang w:val="fr-FR"/>
        </w:rPr>
        <w:t>JUILLET 2016</w:t>
      </w:r>
    </w:p>
    <w:p w:rsidR="003E5D42" w:rsidRPr="00D3264E" w:rsidRDefault="003E5D42" w:rsidP="00097245">
      <w:pPr>
        <w:pStyle w:val="Heading1"/>
        <w:jc w:val="both"/>
        <w:rPr>
          <w:rFonts w:ascii="Times New Roman" w:hAnsi="Times New Roman"/>
          <w:sz w:val="24"/>
          <w:szCs w:val="24"/>
          <w:lang w:val="fr-FR"/>
        </w:rPr>
      </w:pPr>
      <w:bookmarkStart w:id="0" w:name="_Toc445887659"/>
      <w:bookmarkStart w:id="1" w:name="_Toc445912202"/>
      <w:bookmarkStart w:id="2" w:name="_Toc445972574"/>
      <w:bookmarkStart w:id="3" w:name="_Toc447784506"/>
      <w:bookmarkStart w:id="4" w:name="_Toc447786051"/>
      <w:bookmarkStart w:id="5" w:name="_Toc447786334"/>
      <w:bookmarkStart w:id="6" w:name="_Toc455746274"/>
      <w:r w:rsidRPr="00D3264E">
        <w:rPr>
          <w:rFonts w:ascii="Times New Roman" w:hAnsi="Times New Roman"/>
          <w:sz w:val="24"/>
          <w:szCs w:val="24"/>
          <w:lang w:val="fr-FR"/>
        </w:rPr>
        <w:lastRenderedPageBreak/>
        <w:t>LISTE DES ACRONYMES</w:t>
      </w:r>
      <w:bookmarkEnd w:id="0"/>
      <w:bookmarkEnd w:id="1"/>
      <w:bookmarkEnd w:id="2"/>
      <w:bookmarkEnd w:id="3"/>
      <w:bookmarkEnd w:id="4"/>
      <w:bookmarkEnd w:id="5"/>
      <w:bookmarkEnd w:id="6"/>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AFJCI</w:t>
      </w:r>
      <w:r w:rsidRPr="00D3264E">
        <w:rPr>
          <w:noProof/>
          <w:lang w:val="fr-FR"/>
        </w:rPr>
        <w:tab/>
      </w:r>
      <w:r w:rsidRPr="00D3264E">
        <w:rPr>
          <w:noProof/>
          <w:lang w:val="fr-FR"/>
        </w:rPr>
        <w:tab/>
      </w:r>
      <w:r w:rsidRPr="00D3264E">
        <w:rPr>
          <w:noProof/>
          <w:lang w:val="fr-FR"/>
        </w:rPr>
        <w:tab/>
        <w:t>Association des femmes juristes de Côte d'Ivoire</w:t>
      </w:r>
    </w:p>
    <w:p w:rsidR="003E5D42" w:rsidRPr="00D3264E" w:rsidRDefault="003E5D42" w:rsidP="00097245">
      <w:pPr>
        <w:tabs>
          <w:tab w:val="left" w:pos="2025"/>
        </w:tabs>
        <w:jc w:val="both"/>
        <w:rPr>
          <w:noProof/>
          <w:lang w:val="fr-FR"/>
        </w:rPr>
      </w:pPr>
    </w:p>
    <w:p w:rsidR="003E5D42" w:rsidRPr="00D3264E" w:rsidRDefault="003E5D42" w:rsidP="00097245">
      <w:pPr>
        <w:tabs>
          <w:tab w:val="left" w:pos="2025"/>
        </w:tabs>
        <w:jc w:val="both"/>
        <w:rPr>
          <w:noProof/>
          <w:lang w:val="fr-FR"/>
        </w:rPr>
      </w:pPr>
      <w:r w:rsidRPr="00D3264E">
        <w:rPr>
          <w:noProof/>
          <w:lang w:val="fr-FR"/>
        </w:rPr>
        <w:t>CADHP</w:t>
      </w:r>
      <w:r w:rsidRPr="00D3264E">
        <w:rPr>
          <w:noProof/>
          <w:lang w:val="fr-FR"/>
        </w:rPr>
        <w:tab/>
        <w:t xml:space="preserve"> </w:t>
      </w:r>
      <w:r w:rsidRPr="00D3264E">
        <w:rPr>
          <w:noProof/>
          <w:lang w:val="fr-FR"/>
        </w:rPr>
        <w:tab/>
        <w:t>Charte africaine des droits de l’homme et des peuples</w:t>
      </w:r>
    </w:p>
    <w:p w:rsidR="003E5D42" w:rsidRPr="00D3264E" w:rsidRDefault="003E5D42" w:rsidP="00097245">
      <w:pPr>
        <w:tabs>
          <w:tab w:val="left" w:pos="2025"/>
        </w:tabs>
        <w:jc w:val="both"/>
        <w:rPr>
          <w:noProof/>
          <w:lang w:val="fr-FR"/>
        </w:rPr>
      </w:pPr>
    </w:p>
    <w:p w:rsidR="003E5D42" w:rsidRPr="00D3264E" w:rsidRDefault="003E5D42" w:rsidP="00097245">
      <w:pPr>
        <w:tabs>
          <w:tab w:val="left" w:pos="2025"/>
        </w:tabs>
        <w:ind w:left="2160" w:hanging="2160"/>
        <w:jc w:val="both"/>
        <w:rPr>
          <w:noProof/>
          <w:lang w:val="fr-FR"/>
        </w:rPr>
      </w:pPr>
      <w:r w:rsidRPr="00D3264E">
        <w:rPr>
          <w:noProof/>
          <w:lang w:val="fr-FR"/>
        </w:rPr>
        <w:t>CAT</w:t>
      </w:r>
      <w:r w:rsidRPr="00D3264E">
        <w:rPr>
          <w:noProof/>
          <w:lang w:val="fr-FR"/>
        </w:rPr>
        <w:tab/>
        <w:t xml:space="preserve"> </w:t>
      </w:r>
      <w:r w:rsidRPr="00D3264E">
        <w:rPr>
          <w:noProof/>
          <w:lang w:val="fr-FR"/>
        </w:rPr>
        <w:tab/>
        <w:t xml:space="preserve">Convention contre la torture et autres peines ou </w:t>
      </w:r>
      <w:r w:rsidR="005A5256" w:rsidRPr="00D3264E">
        <w:rPr>
          <w:noProof/>
          <w:lang w:val="fr-FR"/>
        </w:rPr>
        <w:t>traitements cruels, inhumains ou</w:t>
      </w:r>
      <w:r w:rsidRPr="00D3264E">
        <w:rPr>
          <w:noProof/>
          <w:lang w:val="fr-FR"/>
        </w:rPr>
        <w:t xml:space="preserve"> dégradants</w:t>
      </w:r>
    </w:p>
    <w:p w:rsidR="003E5D42" w:rsidRPr="00D3264E" w:rsidRDefault="003E5D42" w:rsidP="00097245">
      <w:pPr>
        <w:tabs>
          <w:tab w:val="left" w:pos="2025"/>
        </w:tabs>
        <w:jc w:val="both"/>
        <w:rPr>
          <w:noProof/>
          <w:lang w:val="fr-FR"/>
        </w:rPr>
      </w:pPr>
    </w:p>
    <w:p w:rsidR="003E5D42" w:rsidRPr="00D3264E" w:rsidRDefault="003E5D42" w:rsidP="00097245">
      <w:pPr>
        <w:tabs>
          <w:tab w:val="left" w:pos="2025"/>
        </w:tabs>
        <w:jc w:val="both"/>
        <w:rPr>
          <w:noProof/>
          <w:lang w:val="fr-FR"/>
        </w:rPr>
      </w:pPr>
      <w:r w:rsidRPr="00D3264E">
        <w:rPr>
          <w:noProof/>
          <w:lang w:val="fr-FR"/>
        </w:rPr>
        <w:t>CDE</w:t>
      </w:r>
      <w:r w:rsidRPr="00D3264E">
        <w:rPr>
          <w:noProof/>
          <w:lang w:val="fr-FR"/>
        </w:rPr>
        <w:tab/>
        <w:t xml:space="preserve"> </w:t>
      </w:r>
      <w:r w:rsidRPr="00D3264E">
        <w:rPr>
          <w:noProof/>
          <w:lang w:val="fr-FR"/>
        </w:rPr>
        <w:tab/>
        <w:t xml:space="preserve">Convention </w:t>
      </w:r>
      <w:r w:rsidR="004363D8" w:rsidRPr="00D3264E">
        <w:rPr>
          <w:noProof/>
          <w:lang w:val="fr-FR"/>
        </w:rPr>
        <w:t xml:space="preserve">relative aux </w:t>
      </w:r>
      <w:r w:rsidRPr="00D3264E">
        <w:rPr>
          <w:noProof/>
          <w:lang w:val="fr-FR"/>
        </w:rPr>
        <w:t xml:space="preserve">droits de </w:t>
      </w:r>
      <w:r w:rsidR="004363D8" w:rsidRPr="00D3264E">
        <w:rPr>
          <w:noProof/>
          <w:lang w:val="fr-FR"/>
        </w:rPr>
        <w:t>l’</w:t>
      </w:r>
      <w:r w:rsidRPr="00D3264E">
        <w:rPr>
          <w:noProof/>
          <w:lang w:val="fr-FR"/>
        </w:rPr>
        <w:t>enfant</w:t>
      </w:r>
    </w:p>
    <w:p w:rsidR="003E5D42" w:rsidRPr="00D3264E" w:rsidRDefault="003E5D42" w:rsidP="00097245">
      <w:pPr>
        <w:tabs>
          <w:tab w:val="left" w:pos="2025"/>
        </w:tabs>
        <w:jc w:val="both"/>
        <w:rPr>
          <w:noProof/>
          <w:lang w:val="fr-FR"/>
        </w:rPr>
      </w:pPr>
    </w:p>
    <w:p w:rsidR="003E5D42" w:rsidRPr="00D3264E" w:rsidRDefault="003E5D42" w:rsidP="00097245">
      <w:pPr>
        <w:tabs>
          <w:tab w:val="left" w:pos="2025"/>
        </w:tabs>
        <w:ind w:left="2145" w:hanging="2145"/>
        <w:jc w:val="both"/>
        <w:rPr>
          <w:noProof/>
          <w:lang w:val="fr-FR"/>
        </w:rPr>
      </w:pPr>
      <w:r w:rsidRPr="00D3264E">
        <w:rPr>
          <w:noProof/>
          <w:lang w:val="fr-FR"/>
        </w:rPr>
        <w:t>CEDEF</w:t>
      </w:r>
      <w:r w:rsidRPr="00D3264E">
        <w:rPr>
          <w:noProof/>
          <w:lang w:val="fr-FR"/>
        </w:rPr>
        <w:tab/>
        <w:t xml:space="preserve">  Convention sur l’élimination de toutes les formes de discrimination à l’égard des femmes</w:t>
      </w:r>
    </w:p>
    <w:p w:rsidR="003E5D42" w:rsidRPr="00D3264E" w:rsidRDefault="003E5D42" w:rsidP="00097245">
      <w:pPr>
        <w:tabs>
          <w:tab w:val="left" w:pos="2025"/>
        </w:tabs>
        <w:jc w:val="both"/>
        <w:rPr>
          <w:noProof/>
          <w:lang w:val="fr-FR"/>
        </w:rPr>
      </w:pPr>
    </w:p>
    <w:p w:rsidR="003E5D42" w:rsidRPr="00D3264E" w:rsidRDefault="003E5D42" w:rsidP="00097245">
      <w:pPr>
        <w:jc w:val="both"/>
        <w:rPr>
          <w:noProof/>
          <w:lang w:val="fr-FR"/>
        </w:rPr>
      </w:pPr>
      <w:r w:rsidRPr="00D3264E">
        <w:rPr>
          <w:noProof/>
          <w:lang w:val="fr-FR"/>
        </w:rPr>
        <w:t>CPI</w:t>
      </w:r>
      <w:r w:rsidRPr="00D3264E">
        <w:rPr>
          <w:noProof/>
          <w:lang w:val="fr-FR"/>
        </w:rPr>
        <w:tab/>
      </w:r>
      <w:r w:rsidRPr="00D3264E">
        <w:rPr>
          <w:noProof/>
          <w:lang w:val="fr-FR"/>
        </w:rPr>
        <w:tab/>
      </w:r>
      <w:r w:rsidRPr="00D3264E">
        <w:rPr>
          <w:noProof/>
          <w:lang w:val="fr-FR"/>
        </w:rPr>
        <w:tab/>
        <w:t>Cour pénale internationale</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DDH</w:t>
      </w:r>
      <w:r w:rsidRPr="00D3264E">
        <w:rPr>
          <w:noProof/>
          <w:lang w:val="fr-FR"/>
        </w:rPr>
        <w:tab/>
      </w:r>
      <w:r w:rsidRPr="00D3264E">
        <w:rPr>
          <w:noProof/>
          <w:lang w:val="fr-FR"/>
        </w:rPr>
        <w:tab/>
      </w:r>
      <w:r w:rsidRPr="00D3264E">
        <w:rPr>
          <w:noProof/>
          <w:lang w:val="fr-FR"/>
        </w:rPr>
        <w:tab/>
        <w:t>Division des droits de l’homme</w:t>
      </w:r>
    </w:p>
    <w:p w:rsidR="005A5256" w:rsidRPr="00D3264E" w:rsidRDefault="005A5256" w:rsidP="00097245">
      <w:pPr>
        <w:jc w:val="both"/>
        <w:rPr>
          <w:noProof/>
          <w:lang w:val="fr-FR"/>
        </w:rPr>
      </w:pPr>
    </w:p>
    <w:p w:rsidR="005A5256" w:rsidRPr="00D3264E" w:rsidRDefault="005A5256" w:rsidP="00097245">
      <w:pPr>
        <w:jc w:val="both"/>
        <w:rPr>
          <w:lang w:val="fr-FR"/>
        </w:rPr>
      </w:pPr>
      <w:r w:rsidRPr="00D3264E">
        <w:rPr>
          <w:lang w:val="fr-FR"/>
        </w:rPr>
        <w:t xml:space="preserve">FNUAP </w:t>
      </w:r>
      <w:r w:rsidRPr="00D3264E">
        <w:rPr>
          <w:lang w:val="fr-FR"/>
        </w:rPr>
        <w:tab/>
      </w:r>
      <w:r w:rsidRPr="00D3264E">
        <w:rPr>
          <w:lang w:val="fr-FR"/>
        </w:rPr>
        <w:tab/>
        <w:t xml:space="preserve">Fonds des Nations Unies pour la population </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FRCI</w:t>
      </w:r>
      <w:r w:rsidRPr="00D3264E">
        <w:rPr>
          <w:noProof/>
          <w:lang w:val="fr-FR"/>
        </w:rPr>
        <w:tab/>
      </w:r>
      <w:r w:rsidRPr="00D3264E">
        <w:rPr>
          <w:noProof/>
          <w:lang w:val="fr-FR"/>
        </w:rPr>
        <w:tab/>
      </w:r>
      <w:r w:rsidRPr="00D3264E">
        <w:rPr>
          <w:noProof/>
          <w:lang w:val="fr-FR"/>
        </w:rPr>
        <w:tab/>
        <w:t>Forces républicaines de Côte d’Ivoire</w:t>
      </w:r>
    </w:p>
    <w:p w:rsidR="00BB365D" w:rsidRPr="00D3264E" w:rsidRDefault="00BB365D" w:rsidP="00097245">
      <w:pPr>
        <w:jc w:val="both"/>
        <w:rPr>
          <w:lang w:val="fr-FR"/>
        </w:rPr>
      </w:pPr>
    </w:p>
    <w:p w:rsidR="00BB365D" w:rsidRPr="00D3264E" w:rsidRDefault="00BB365D" w:rsidP="00097245">
      <w:pPr>
        <w:jc w:val="both"/>
        <w:rPr>
          <w:noProof/>
          <w:lang w:val="fr-FR"/>
        </w:rPr>
      </w:pPr>
      <w:r w:rsidRPr="00D3264E">
        <w:rPr>
          <w:lang w:val="fr-FR"/>
        </w:rPr>
        <w:t>GBV-IMS</w:t>
      </w:r>
      <w:r w:rsidRPr="00D3264E">
        <w:rPr>
          <w:lang w:val="fr-FR"/>
        </w:rPr>
        <w:tab/>
      </w:r>
      <w:r w:rsidRPr="00D3264E">
        <w:rPr>
          <w:lang w:val="fr-FR"/>
        </w:rPr>
        <w:tab/>
        <w:t xml:space="preserve">Système de gestion des informations sur la violence basée sur le genre </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HCDH</w:t>
      </w:r>
      <w:r w:rsidRPr="00D3264E">
        <w:rPr>
          <w:noProof/>
          <w:lang w:val="fr-FR"/>
        </w:rPr>
        <w:tab/>
      </w:r>
      <w:r w:rsidRPr="00D3264E">
        <w:rPr>
          <w:noProof/>
          <w:lang w:val="fr-FR"/>
        </w:rPr>
        <w:tab/>
      </w:r>
      <w:r w:rsidRPr="00D3264E">
        <w:rPr>
          <w:noProof/>
          <w:lang w:val="fr-FR"/>
        </w:rPr>
        <w:tab/>
        <w:t>Haut-Commissariat des Nations Unies aux droits de l’homme</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MJDHLP</w:t>
      </w:r>
      <w:r w:rsidRPr="00D3264E">
        <w:rPr>
          <w:noProof/>
          <w:lang w:val="fr-FR"/>
        </w:rPr>
        <w:tab/>
      </w:r>
      <w:r w:rsidRPr="00D3264E">
        <w:rPr>
          <w:noProof/>
          <w:lang w:val="fr-FR"/>
        </w:rPr>
        <w:tab/>
        <w:t>Ministère de la Justice, des Droits de l'Homme et des Libertés Publiques</w:t>
      </w:r>
    </w:p>
    <w:p w:rsidR="00DC79CB" w:rsidRPr="00D3264E" w:rsidRDefault="00DC79CB" w:rsidP="00097245">
      <w:pPr>
        <w:jc w:val="both"/>
        <w:rPr>
          <w:noProof/>
          <w:lang w:val="fr-FR"/>
        </w:rPr>
      </w:pPr>
    </w:p>
    <w:p w:rsidR="00DC79CB" w:rsidRPr="00D3264E" w:rsidRDefault="00DC79CB" w:rsidP="00097245">
      <w:pPr>
        <w:ind w:left="2160" w:hanging="2160"/>
        <w:jc w:val="both"/>
        <w:rPr>
          <w:noProof/>
          <w:lang w:val="fr-FR"/>
        </w:rPr>
      </w:pPr>
      <w:r w:rsidRPr="00D3264E">
        <w:rPr>
          <w:lang w:val="fr-FR"/>
        </w:rPr>
        <w:t>MPFFPE</w:t>
      </w:r>
      <w:r w:rsidRPr="00D3264E">
        <w:rPr>
          <w:bCs/>
          <w:lang w:val="fr-FR"/>
        </w:rPr>
        <w:t xml:space="preserve"> </w:t>
      </w:r>
      <w:r w:rsidRPr="00D3264E">
        <w:rPr>
          <w:bCs/>
          <w:lang w:val="fr-FR"/>
        </w:rPr>
        <w:tab/>
        <w:t xml:space="preserve">Ministère </w:t>
      </w:r>
      <w:r w:rsidRPr="00D3264E">
        <w:rPr>
          <w:lang w:val="fr-FR"/>
        </w:rPr>
        <w:t xml:space="preserve">de la Promotion de la Femme, de la Famille et de la Protection de l’Enfant </w:t>
      </w:r>
      <w:r w:rsidRPr="00D3264E">
        <w:rPr>
          <w:lang w:val="fr-FR"/>
        </w:rPr>
        <w:tab/>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MSFFE</w:t>
      </w:r>
      <w:r w:rsidRPr="00D3264E">
        <w:rPr>
          <w:noProof/>
          <w:lang w:val="fr-FR"/>
        </w:rPr>
        <w:tab/>
      </w:r>
      <w:r w:rsidRPr="00D3264E">
        <w:rPr>
          <w:noProof/>
          <w:lang w:val="fr-FR"/>
        </w:rPr>
        <w:tab/>
        <w:t>Ministère de la Solidarité, de la Famille, de la Femme et de l'Enfant</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ONUCI</w:t>
      </w:r>
      <w:r w:rsidRPr="00D3264E">
        <w:rPr>
          <w:noProof/>
          <w:lang w:val="fr-FR"/>
        </w:rPr>
        <w:tab/>
      </w:r>
      <w:r w:rsidRPr="00D3264E">
        <w:rPr>
          <w:noProof/>
          <w:lang w:val="fr-FR"/>
        </w:rPr>
        <w:tab/>
        <w:t>Opération des Nations Unies en Côte d’Ivoire</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ONG</w:t>
      </w:r>
      <w:r w:rsidRPr="00D3264E">
        <w:rPr>
          <w:noProof/>
          <w:lang w:val="fr-FR"/>
        </w:rPr>
        <w:tab/>
      </w:r>
      <w:r w:rsidRPr="00D3264E">
        <w:rPr>
          <w:noProof/>
          <w:lang w:val="fr-FR"/>
        </w:rPr>
        <w:tab/>
      </w:r>
      <w:r w:rsidRPr="00D3264E">
        <w:rPr>
          <w:noProof/>
          <w:lang w:val="fr-FR"/>
        </w:rPr>
        <w:tab/>
        <w:t>Organisation non gouvernementale</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PALAJ</w:t>
      </w:r>
      <w:r w:rsidRPr="00D3264E">
        <w:rPr>
          <w:noProof/>
          <w:lang w:val="fr-FR"/>
        </w:rPr>
        <w:tab/>
      </w:r>
      <w:r w:rsidRPr="00D3264E">
        <w:rPr>
          <w:noProof/>
          <w:lang w:val="fr-FR"/>
        </w:rPr>
        <w:tab/>
        <w:t>Projet d'amélioration de l'accès au droit et à la justice</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PIDCP</w:t>
      </w:r>
      <w:r w:rsidRPr="00D3264E">
        <w:rPr>
          <w:noProof/>
          <w:lang w:val="fr-FR"/>
        </w:rPr>
        <w:tab/>
      </w:r>
      <w:r w:rsidRPr="00D3264E">
        <w:rPr>
          <w:noProof/>
          <w:lang w:val="fr-FR"/>
        </w:rPr>
        <w:tab/>
      </w:r>
      <w:r w:rsidRPr="00D3264E">
        <w:rPr>
          <w:noProof/>
          <w:lang w:val="fr-FR"/>
        </w:rPr>
        <w:tab/>
        <w:t xml:space="preserve">Pacte international relatif aux droits civils et politiques </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PIDESC</w:t>
      </w:r>
      <w:r w:rsidRPr="00D3264E">
        <w:rPr>
          <w:noProof/>
          <w:lang w:val="fr-FR"/>
        </w:rPr>
        <w:tab/>
      </w:r>
      <w:r w:rsidRPr="00D3264E">
        <w:rPr>
          <w:noProof/>
          <w:lang w:val="fr-FR"/>
        </w:rPr>
        <w:tab/>
        <w:t>Pacte international relatif aux droits économiques, sociaux et culturels</w:t>
      </w:r>
    </w:p>
    <w:p w:rsidR="00224560" w:rsidRPr="00D3264E" w:rsidRDefault="00224560" w:rsidP="00097245">
      <w:pPr>
        <w:jc w:val="both"/>
        <w:rPr>
          <w:noProof/>
          <w:lang w:val="fr-FR"/>
        </w:rPr>
      </w:pPr>
    </w:p>
    <w:p w:rsidR="00224560" w:rsidRPr="00D3264E" w:rsidRDefault="00224560" w:rsidP="00097245">
      <w:pPr>
        <w:jc w:val="both"/>
        <w:rPr>
          <w:noProof/>
          <w:lang w:val="fr-FR"/>
        </w:rPr>
      </w:pPr>
      <w:r w:rsidRPr="00D3264E">
        <w:rPr>
          <w:lang w:val="fr-FR"/>
        </w:rPr>
        <w:t>PNUAD</w:t>
      </w:r>
      <w:r w:rsidRPr="00D3264E">
        <w:rPr>
          <w:rStyle w:val="st1"/>
          <w:lang w:val="nl-BE"/>
        </w:rPr>
        <w:t xml:space="preserve"> </w:t>
      </w:r>
      <w:r w:rsidRPr="00D3264E">
        <w:rPr>
          <w:rStyle w:val="st1"/>
          <w:lang w:val="nl-BE"/>
        </w:rPr>
        <w:tab/>
      </w:r>
      <w:r w:rsidRPr="00D3264E">
        <w:rPr>
          <w:rStyle w:val="st1"/>
          <w:lang w:val="nl-BE"/>
        </w:rPr>
        <w:tab/>
        <w:t>Plan-Cadre des Nations Unies po</w:t>
      </w:r>
      <w:r w:rsidR="00FC20CD" w:rsidRPr="00D3264E">
        <w:rPr>
          <w:rStyle w:val="st1"/>
          <w:lang w:val="nl-BE"/>
        </w:rPr>
        <w:t>ur l'a</w:t>
      </w:r>
      <w:r w:rsidRPr="00D3264E">
        <w:rPr>
          <w:rStyle w:val="st1"/>
          <w:lang w:val="nl-BE"/>
        </w:rPr>
        <w:t>ide au développement</w:t>
      </w:r>
      <w:r w:rsidRPr="00D3264E">
        <w:rPr>
          <w:lang w:val="fr-FR"/>
        </w:rPr>
        <w:t xml:space="preserve"> </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PNUD</w:t>
      </w:r>
      <w:r w:rsidRPr="00D3264E">
        <w:rPr>
          <w:noProof/>
          <w:lang w:val="fr-FR"/>
        </w:rPr>
        <w:tab/>
      </w:r>
      <w:r w:rsidRPr="00D3264E">
        <w:rPr>
          <w:noProof/>
          <w:lang w:val="fr-FR"/>
        </w:rPr>
        <w:tab/>
      </w:r>
      <w:r w:rsidRPr="00D3264E">
        <w:rPr>
          <w:noProof/>
          <w:lang w:val="fr-FR"/>
        </w:rPr>
        <w:tab/>
        <w:t>Progr</w:t>
      </w:r>
      <w:r w:rsidR="005A5256" w:rsidRPr="00D3264E">
        <w:rPr>
          <w:noProof/>
          <w:lang w:val="fr-FR"/>
        </w:rPr>
        <w:t>amme des Nations Unies pour le d</w:t>
      </w:r>
      <w:r w:rsidRPr="00D3264E">
        <w:rPr>
          <w:noProof/>
          <w:lang w:val="fr-FR"/>
        </w:rPr>
        <w:t>éveloppement</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SNLVBG</w:t>
      </w:r>
      <w:r w:rsidRPr="00D3264E">
        <w:rPr>
          <w:noProof/>
          <w:lang w:val="fr-FR"/>
        </w:rPr>
        <w:tab/>
      </w:r>
      <w:r w:rsidRPr="00D3264E">
        <w:rPr>
          <w:noProof/>
          <w:lang w:val="fr-FR"/>
        </w:rPr>
        <w:tab/>
        <w:t>Stratégie nationale de lutte contre les violences basées sur le genre</w:t>
      </w:r>
    </w:p>
    <w:p w:rsidR="00004441" w:rsidRPr="00D3264E" w:rsidRDefault="00004441" w:rsidP="00097245">
      <w:pPr>
        <w:jc w:val="both"/>
        <w:rPr>
          <w:noProof/>
          <w:lang w:val="fr-FR"/>
        </w:rPr>
      </w:pPr>
    </w:p>
    <w:p w:rsidR="00004441" w:rsidRPr="00D3264E" w:rsidRDefault="00004441" w:rsidP="00097245">
      <w:pPr>
        <w:jc w:val="both"/>
        <w:rPr>
          <w:noProof/>
          <w:lang w:val="fr-FR"/>
        </w:rPr>
      </w:pPr>
      <w:r w:rsidRPr="00D3264E">
        <w:rPr>
          <w:lang w:val="fr-FR"/>
        </w:rPr>
        <w:t>SNU</w:t>
      </w:r>
      <w:r w:rsidRPr="00D3264E">
        <w:rPr>
          <w:lang w:val="fr-FR"/>
        </w:rPr>
        <w:tab/>
      </w:r>
      <w:r w:rsidRPr="00D3264E">
        <w:rPr>
          <w:lang w:val="fr-FR"/>
        </w:rPr>
        <w:tab/>
      </w:r>
      <w:r w:rsidRPr="00D3264E">
        <w:rPr>
          <w:lang w:val="fr-FR"/>
        </w:rPr>
        <w:tab/>
        <w:t xml:space="preserve">Système des Nations Unies </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UNICEF</w:t>
      </w:r>
      <w:r w:rsidRPr="00D3264E">
        <w:rPr>
          <w:noProof/>
          <w:lang w:val="fr-FR"/>
        </w:rPr>
        <w:tab/>
      </w:r>
      <w:r w:rsidRPr="00D3264E">
        <w:rPr>
          <w:noProof/>
          <w:lang w:val="fr-FR"/>
        </w:rPr>
        <w:tab/>
        <w:t>Fonds des Nations Unies pour l’Enfance</w:t>
      </w:r>
    </w:p>
    <w:p w:rsidR="003E5D42" w:rsidRPr="00D3264E" w:rsidRDefault="003E5D42" w:rsidP="00097245">
      <w:pPr>
        <w:jc w:val="both"/>
        <w:rPr>
          <w:noProof/>
          <w:lang w:val="fr-FR"/>
        </w:rPr>
      </w:pPr>
    </w:p>
    <w:p w:rsidR="003E5D42" w:rsidRPr="00D3264E" w:rsidRDefault="00164327" w:rsidP="00097245">
      <w:pPr>
        <w:jc w:val="both"/>
        <w:rPr>
          <w:noProof/>
          <w:lang w:val="fr-FR"/>
        </w:rPr>
      </w:pPr>
      <w:r w:rsidRPr="00D3264E">
        <w:rPr>
          <w:noProof/>
          <w:lang w:val="fr-FR"/>
        </w:rPr>
        <w:t>USD</w:t>
      </w:r>
      <w:r w:rsidR="003E5D42" w:rsidRPr="00D3264E">
        <w:rPr>
          <w:noProof/>
          <w:lang w:val="fr-FR"/>
        </w:rPr>
        <w:tab/>
      </w:r>
      <w:r w:rsidR="003E5D42" w:rsidRPr="00D3264E">
        <w:rPr>
          <w:noProof/>
          <w:lang w:val="fr-FR"/>
        </w:rPr>
        <w:tab/>
      </w:r>
      <w:r w:rsidR="003E5D42" w:rsidRPr="00D3264E">
        <w:rPr>
          <w:noProof/>
          <w:lang w:val="fr-FR"/>
        </w:rPr>
        <w:tab/>
        <w:t xml:space="preserve">Dollar des Etats-Unis </w:t>
      </w:r>
    </w:p>
    <w:p w:rsidR="003E5D42" w:rsidRPr="00D3264E" w:rsidRDefault="003E5D42" w:rsidP="00097245">
      <w:pPr>
        <w:jc w:val="both"/>
        <w:rPr>
          <w:noProof/>
          <w:lang w:val="fr-FR"/>
        </w:rPr>
      </w:pPr>
    </w:p>
    <w:p w:rsidR="003E5D42" w:rsidRPr="00D3264E" w:rsidRDefault="003E5D42" w:rsidP="00097245">
      <w:pPr>
        <w:jc w:val="both"/>
        <w:rPr>
          <w:noProof/>
          <w:lang w:val="fr-FR"/>
        </w:rPr>
      </w:pPr>
      <w:r w:rsidRPr="00D3264E">
        <w:rPr>
          <w:noProof/>
          <w:lang w:val="fr-FR"/>
        </w:rPr>
        <w:t>VBG</w:t>
      </w:r>
      <w:r w:rsidRPr="00D3264E">
        <w:rPr>
          <w:noProof/>
          <w:lang w:val="fr-FR"/>
        </w:rPr>
        <w:tab/>
      </w:r>
      <w:r w:rsidRPr="00D3264E">
        <w:rPr>
          <w:noProof/>
          <w:lang w:val="fr-FR"/>
        </w:rPr>
        <w:tab/>
      </w:r>
      <w:r w:rsidRPr="00D3264E">
        <w:rPr>
          <w:noProof/>
          <w:lang w:val="fr-FR"/>
        </w:rPr>
        <w:tab/>
        <w:t xml:space="preserve">Violences basées sur le </w:t>
      </w:r>
      <w:r w:rsidR="004363D8" w:rsidRPr="00D3264E">
        <w:rPr>
          <w:noProof/>
          <w:lang w:val="fr-FR"/>
        </w:rPr>
        <w:t>g</w:t>
      </w:r>
      <w:r w:rsidRPr="00D3264E">
        <w:rPr>
          <w:noProof/>
          <w:lang w:val="fr-FR"/>
        </w:rPr>
        <w:t>enre</w:t>
      </w:r>
    </w:p>
    <w:p w:rsidR="00B346C1" w:rsidRPr="00D3264E" w:rsidRDefault="00B346C1" w:rsidP="00097245">
      <w:pPr>
        <w:jc w:val="both"/>
        <w:rPr>
          <w:noProof/>
          <w:lang w:val="fr-FR"/>
        </w:rPr>
      </w:pPr>
    </w:p>
    <w:p w:rsidR="00B346C1" w:rsidRPr="00D3264E" w:rsidRDefault="00B346C1" w:rsidP="00097245">
      <w:pPr>
        <w:jc w:val="both"/>
        <w:rPr>
          <w:noProof/>
          <w:lang w:val="fr-FR"/>
        </w:rPr>
      </w:pPr>
      <w:r w:rsidRPr="00D3264E">
        <w:rPr>
          <w:noProof/>
          <w:lang w:val="fr-FR"/>
        </w:rPr>
        <w:t xml:space="preserve">VSC </w:t>
      </w:r>
      <w:r w:rsidRPr="00D3264E">
        <w:rPr>
          <w:noProof/>
          <w:lang w:val="fr-FR"/>
        </w:rPr>
        <w:tab/>
      </w:r>
      <w:r w:rsidRPr="00D3264E">
        <w:rPr>
          <w:noProof/>
          <w:lang w:val="fr-FR"/>
        </w:rPr>
        <w:tab/>
      </w:r>
      <w:r w:rsidRPr="00D3264E">
        <w:rPr>
          <w:noProof/>
          <w:lang w:val="fr-FR"/>
        </w:rPr>
        <w:tab/>
        <w:t>Violences sexuelles liées aux conflits</w:t>
      </w: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3E5D42" w:rsidRPr="00D3264E" w:rsidRDefault="003E5D42" w:rsidP="00097245">
      <w:pPr>
        <w:jc w:val="both"/>
        <w:rPr>
          <w:b/>
          <w:lang w:val="fr-FR"/>
        </w:rPr>
      </w:pPr>
    </w:p>
    <w:p w:rsidR="00F24C59" w:rsidRPr="00D3264E" w:rsidRDefault="00F24C59" w:rsidP="00097245">
      <w:pPr>
        <w:jc w:val="both"/>
        <w:rPr>
          <w:lang w:val="fr-FR"/>
        </w:rPr>
      </w:pPr>
    </w:p>
    <w:p w:rsidR="00AB7669" w:rsidRPr="00D3264E" w:rsidRDefault="00AB7669" w:rsidP="00097245">
      <w:pPr>
        <w:jc w:val="both"/>
        <w:rPr>
          <w:lang w:val="fr-FR"/>
        </w:rPr>
      </w:pPr>
    </w:p>
    <w:p w:rsidR="009F5C0E" w:rsidRPr="00D3264E" w:rsidRDefault="009F5C0E" w:rsidP="00097245">
      <w:pPr>
        <w:jc w:val="both"/>
        <w:rPr>
          <w:lang w:val="fr-FR"/>
        </w:rPr>
      </w:pPr>
    </w:p>
    <w:p w:rsidR="00C77C39" w:rsidRPr="00D3264E" w:rsidRDefault="00C77C39" w:rsidP="00097245">
      <w:pPr>
        <w:jc w:val="both"/>
        <w:rPr>
          <w:lang w:val="fr-FR"/>
        </w:rPr>
      </w:pPr>
    </w:p>
    <w:p w:rsidR="006F2E87" w:rsidRPr="00D3264E" w:rsidRDefault="006F2E87" w:rsidP="00097245">
      <w:pPr>
        <w:pStyle w:val="TOCHeading"/>
        <w:spacing w:before="0" w:line="240" w:lineRule="auto"/>
        <w:rPr>
          <w:rFonts w:ascii="Times New Roman" w:hAnsi="Times New Roman"/>
          <w:color w:val="auto"/>
          <w:sz w:val="24"/>
          <w:szCs w:val="24"/>
          <w:lang w:val="fr-FR"/>
        </w:rPr>
      </w:pPr>
    </w:p>
    <w:p w:rsidR="00C76AE3" w:rsidRPr="00D3264E" w:rsidRDefault="00C76AE3" w:rsidP="00097245">
      <w:pPr>
        <w:rPr>
          <w:sz w:val="32"/>
          <w:szCs w:val="32"/>
          <w:lang w:val="fr-FR" w:eastAsia="ja-JP"/>
        </w:rPr>
      </w:pPr>
    </w:p>
    <w:p w:rsidR="00CF3944" w:rsidRPr="00D3264E" w:rsidRDefault="00CF3944" w:rsidP="00097245">
      <w:pPr>
        <w:pStyle w:val="TOCHeading"/>
        <w:spacing w:before="0" w:line="240" w:lineRule="auto"/>
        <w:jc w:val="center"/>
        <w:rPr>
          <w:rFonts w:ascii="Times New Roman" w:hAnsi="Times New Roman"/>
          <w:color w:val="auto"/>
          <w:sz w:val="32"/>
          <w:szCs w:val="32"/>
          <w:lang w:val="fr-FR"/>
        </w:rPr>
      </w:pPr>
      <w:r w:rsidRPr="00D3264E">
        <w:rPr>
          <w:rFonts w:ascii="Times New Roman" w:hAnsi="Times New Roman"/>
          <w:color w:val="auto"/>
          <w:sz w:val="32"/>
          <w:szCs w:val="32"/>
          <w:lang w:val="fr-FR"/>
        </w:rPr>
        <w:lastRenderedPageBreak/>
        <w:t>T</w:t>
      </w:r>
      <w:r w:rsidR="00C46C06" w:rsidRPr="00D3264E">
        <w:rPr>
          <w:rFonts w:ascii="Times New Roman" w:hAnsi="Times New Roman"/>
          <w:color w:val="auto"/>
          <w:sz w:val="32"/>
          <w:szCs w:val="32"/>
          <w:lang w:val="fr-FR"/>
        </w:rPr>
        <w:t>able des matières</w:t>
      </w:r>
    </w:p>
    <w:p w:rsidR="00644D30" w:rsidRPr="00D3264E" w:rsidRDefault="00CF3944" w:rsidP="00097245">
      <w:pPr>
        <w:pStyle w:val="TOC1"/>
      </w:pPr>
      <w:r w:rsidRPr="00D3264E">
        <w:rPr>
          <w:b w:val="0"/>
          <w:highlight w:val="yellow"/>
        </w:rPr>
        <w:fldChar w:fldCharType="begin"/>
      </w:r>
      <w:r w:rsidRPr="00D3264E">
        <w:rPr>
          <w:b w:val="0"/>
          <w:highlight w:val="yellow"/>
        </w:rPr>
        <w:instrText xml:space="preserve"> TOC \o "1-3" \h \z \u </w:instrText>
      </w:r>
      <w:r w:rsidRPr="00D3264E">
        <w:rPr>
          <w:b w:val="0"/>
          <w:highlight w:val="yellow"/>
        </w:rPr>
        <w:fldChar w:fldCharType="separate"/>
      </w:r>
    </w:p>
    <w:p w:rsidR="00B845F8" w:rsidRPr="00D3264E" w:rsidRDefault="0050151C" w:rsidP="00097245">
      <w:pPr>
        <w:pStyle w:val="TOC1"/>
        <w:rPr>
          <w:rStyle w:val="Hyperlink"/>
          <w:b w:val="0"/>
          <w:color w:val="auto"/>
        </w:rPr>
      </w:pPr>
      <w:hyperlink w:anchor="_Toc455746275" w:history="1">
        <w:r w:rsidR="00B845F8" w:rsidRPr="00D3264E">
          <w:rPr>
            <w:rStyle w:val="Hyperlink"/>
            <w:b w:val="0"/>
            <w:color w:val="auto"/>
          </w:rPr>
          <w:t>I.</w:t>
        </w:r>
        <w:r w:rsidR="00B845F8" w:rsidRPr="00D3264E">
          <w:rPr>
            <w:rFonts w:eastAsiaTheme="minorEastAsia"/>
            <w:b w:val="0"/>
            <w:lang w:val="en-US" w:eastAsia="en-US"/>
          </w:rPr>
          <w:tab/>
          <w:t xml:space="preserve">  </w:t>
        </w:r>
        <w:r w:rsidR="00E37FF1" w:rsidRPr="00D3264E">
          <w:rPr>
            <w:rFonts w:eastAsiaTheme="minorEastAsia"/>
            <w:b w:val="0"/>
            <w:lang w:val="en-US" w:eastAsia="en-US"/>
          </w:rPr>
          <w:t xml:space="preserve"> </w:t>
        </w:r>
        <w:r w:rsidR="00B845F8" w:rsidRPr="00D3264E">
          <w:rPr>
            <w:rStyle w:val="Hyperlink"/>
            <w:b w:val="0"/>
            <w:color w:val="auto"/>
          </w:rPr>
          <w:t>Résumé</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_Toc455746275 \h </w:instrText>
        </w:r>
        <w:r w:rsidR="00B845F8" w:rsidRPr="00D3264E">
          <w:rPr>
            <w:b w:val="0"/>
            <w:webHidden/>
          </w:rPr>
        </w:r>
        <w:r w:rsidR="00B845F8" w:rsidRPr="00D3264E">
          <w:rPr>
            <w:b w:val="0"/>
            <w:webHidden/>
          </w:rPr>
          <w:fldChar w:fldCharType="separate"/>
        </w:r>
        <w:r w:rsidR="00956B7E">
          <w:rPr>
            <w:b w:val="0"/>
            <w:webHidden/>
          </w:rPr>
          <w:t>5</w:t>
        </w:r>
        <w:r w:rsidR="00B845F8" w:rsidRPr="00D3264E">
          <w:rPr>
            <w:b w:val="0"/>
            <w:webHidden/>
          </w:rPr>
          <w:fldChar w:fldCharType="end"/>
        </w:r>
      </w:hyperlink>
    </w:p>
    <w:p w:rsidR="00B845F8" w:rsidRPr="00D3264E" w:rsidRDefault="00B845F8" w:rsidP="00097245">
      <w:pPr>
        <w:rPr>
          <w:rFonts w:eastAsiaTheme="minorEastAsia"/>
          <w:noProof/>
          <w:lang w:val="fr-FR" w:eastAsia="ja-JP"/>
        </w:rPr>
      </w:pPr>
    </w:p>
    <w:p w:rsidR="00B845F8" w:rsidRPr="00D3264E" w:rsidRDefault="0050151C" w:rsidP="00097245">
      <w:pPr>
        <w:pStyle w:val="TOC1"/>
        <w:rPr>
          <w:rStyle w:val="Hyperlink"/>
          <w:b w:val="0"/>
          <w:color w:val="auto"/>
        </w:rPr>
      </w:pPr>
      <w:hyperlink w:anchor="_Toc455746276" w:history="1">
        <w:r w:rsidR="00B845F8" w:rsidRPr="00D3264E">
          <w:rPr>
            <w:rStyle w:val="Hyperlink"/>
            <w:b w:val="0"/>
            <w:color w:val="auto"/>
          </w:rPr>
          <w:t>II.</w:t>
        </w:r>
        <w:r w:rsidR="00B845F8" w:rsidRPr="00D3264E">
          <w:rPr>
            <w:rFonts w:eastAsiaTheme="minorEastAsia"/>
            <w:b w:val="0"/>
            <w:lang w:val="en-US" w:eastAsia="en-US"/>
          </w:rPr>
          <w:tab/>
          <w:t xml:space="preserve">  </w:t>
        </w:r>
        <w:r w:rsidR="00E37FF1" w:rsidRPr="00D3264E">
          <w:rPr>
            <w:rFonts w:eastAsiaTheme="minorEastAsia"/>
            <w:b w:val="0"/>
            <w:lang w:val="en-US" w:eastAsia="en-US"/>
          </w:rPr>
          <w:t xml:space="preserve"> </w:t>
        </w:r>
        <w:r w:rsidR="00B845F8" w:rsidRPr="00D3264E">
          <w:rPr>
            <w:rStyle w:val="Hyperlink"/>
            <w:b w:val="0"/>
            <w:color w:val="auto"/>
          </w:rPr>
          <w:t>Introduction</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_Toc455746276 \h </w:instrText>
        </w:r>
        <w:r w:rsidR="00B845F8" w:rsidRPr="00D3264E">
          <w:rPr>
            <w:b w:val="0"/>
            <w:webHidden/>
          </w:rPr>
        </w:r>
        <w:r w:rsidR="00B845F8" w:rsidRPr="00D3264E">
          <w:rPr>
            <w:b w:val="0"/>
            <w:webHidden/>
          </w:rPr>
          <w:fldChar w:fldCharType="separate"/>
        </w:r>
        <w:r w:rsidR="00956B7E">
          <w:rPr>
            <w:b w:val="0"/>
            <w:webHidden/>
          </w:rPr>
          <w:t>6</w:t>
        </w:r>
        <w:r w:rsidR="00B845F8" w:rsidRPr="00D3264E">
          <w:rPr>
            <w:b w:val="0"/>
            <w:webHidden/>
          </w:rPr>
          <w:fldChar w:fldCharType="end"/>
        </w:r>
      </w:hyperlink>
    </w:p>
    <w:p w:rsidR="00B845F8" w:rsidRPr="00D3264E" w:rsidRDefault="00B845F8" w:rsidP="00097245">
      <w:pPr>
        <w:rPr>
          <w:rFonts w:eastAsiaTheme="minorEastAsia"/>
          <w:noProof/>
          <w:lang w:val="fr-FR" w:eastAsia="ja-JP"/>
        </w:rPr>
      </w:pPr>
    </w:p>
    <w:p w:rsidR="00B845F8" w:rsidRPr="00D3264E" w:rsidRDefault="0050151C" w:rsidP="00097245">
      <w:pPr>
        <w:pStyle w:val="TOC1"/>
        <w:rPr>
          <w:rStyle w:val="Hyperlink"/>
          <w:b w:val="0"/>
          <w:color w:val="auto"/>
        </w:rPr>
      </w:pPr>
      <w:hyperlink w:anchor="_Toc455746277" w:history="1">
        <w:r w:rsidR="00B845F8" w:rsidRPr="00D3264E">
          <w:rPr>
            <w:rStyle w:val="Hyperlink"/>
            <w:b w:val="0"/>
            <w:color w:val="auto"/>
          </w:rPr>
          <w:t>III.</w:t>
        </w:r>
        <w:r w:rsidR="00B845F8" w:rsidRPr="00D3264E">
          <w:rPr>
            <w:rFonts w:eastAsiaTheme="minorEastAsia"/>
            <w:b w:val="0"/>
            <w:lang w:val="en-US" w:eastAsia="en-US"/>
          </w:rPr>
          <w:tab/>
          <w:t xml:space="preserve">  </w:t>
        </w:r>
        <w:r w:rsidR="00E37FF1" w:rsidRPr="00D3264E">
          <w:rPr>
            <w:rFonts w:eastAsiaTheme="minorEastAsia"/>
            <w:b w:val="0"/>
            <w:lang w:val="en-US" w:eastAsia="en-US"/>
          </w:rPr>
          <w:t xml:space="preserve"> </w:t>
        </w:r>
        <w:r w:rsidR="00B845F8" w:rsidRPr="00D3264E">
          <w:rPr>
            <w:rStyle w:val="Hyperlink"/>
            <w:b w:val="0"/>
            <w:color w:val="auto"/>
          </w:rPr>
          <w:t>Méthodologie et difficultés</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_Toc455746277 \h </w:instrText>
        </w:r>
        <w:r w:rsidR="00B845F8" w:rsidRPr="00D3264E">
          <w:rPr>
            <w:b w:val="0"/>
            <w:webHidden/>
          </w:rPr>
        </w:r>
        <w:r w:rsidR="00B845F8" w:rsidRPr="00D3264E">
          <w:rPr>
            <w:b w:val="0"/>
            <w:webHidden/>
          </w:rPr>
          <w:fldChar w:fldCharType="separate"/>
        </w:r>
        <w:r w:rsidR="00956B7E">
          <w:rPr>
            <w:b w:val="0"/>
            <w:webHidden/>
          </w:rPr>
          <w:t>7</w:t>
        </w:r>
        <w:r w:rsidR="00B845F8" w:rsidRPr="00D3264E">
          <w:rPr>
            <w:b w:val="0"/>
            <w:webHidden/>
          </w:rPr>
          <w:fldChar w:fldCharType="end"/>
        </w:r>
      </w:hyperlink>
      <w:bookmarkStart w:id="7" w:name="_GoBack"/>
      <w:bookmarkEnd w:id="7"/>
    </w:p>
    <w:p w:rsidR="00B845F8" w:rsidRPr="00D3264E" w:rsidRDefault="00B845F8" w:rsidP="00097245">
      <w:pPr>
        <w:rPr>
          <w:rFonts w:eastAsiaTheme="minorEastAsia"/>
          <w:noProof/>
          <w:lang w:val="fr-FR" w:eastAsia="ja-JP"/>
        </w:rPr>
      </w:pPr>
    </w:p>
    <w:p w:rsidR="00B845F8" w:rsidRPr="00D3264E" w:rsidRDefault="0050151C" w:rsidP="00097245">
      <w:pPr>
        <w:pStyle w:val="TOC1"/>
        <w:rPr>
          <w:rStyle w:val="Hyperlink"/>
          <w:b w:val="0"/>
          <w:color w:val="auto"/>
        </w:rPr>
      </w:pPr>
      <w:hyperlink w:anchor="_Toc455746278" w:history="1">
        <w:r w:rsidR="00B845F8" w:rsidRPr="00D3264E">
          <w:rPr>
            <w:rStyle w:val="Hyperlink"/>
            <w:b w:val="0"/>
            <w:color w:val="auto"/>
          </w:rPr>
          <w:t>IV.</w:t>
        </w:r>
        <w:r w:rsidR="00B845F8" w:rsidRPr="00D3264E">
          <w:rPr>
            <w:rFonts w:eastAsiaTheme="minorEastAsia"/>
            <w:b w:val="0"/>
            <w:lang w:val="en-US" w:eastAsia="en-US"/>
          </w:rPr>
          <w:tab/>
          <w:t xml:space="preserve">  </w:t>
        </w:r>
        <w:r w:rsidR="00E37FF1" w:rsidRPr="00D3264E">
          <w:rPr>
            <w:rFonts w:eastAsiaTheme="minorEastAsia"/>
            <w:b w:val="0"/>
            <w:lang w:val="en-US" w:eastAsia="en-US"/>
          </w:rPr>
          <w:t xml:space="preserve"> </w:t>
        </w:r>
        <w:r w:rsidR="00B845F8" w:rsidRPr="00D3264E">
          <w:rPr>
            <w:rStyle w:val="Hyperlink"/>
            <w:b w:val="0"/>
            <w:color w:val="auto"/>
          </w:rPr>
          <w:t>Contexte</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_Toc455746278 \h </w:instrText>
        </w:r>
        <w:r w:rsidR="00B845F8" w:rsidRPr="00D3264E">
          <w:rPr>
            <w:b w:val="0"/>
            <w:webHidden/>
          </w:rPr>
        </w:r>
        <w:r w:rsidR="00B845F8" w:rsidRPr="00D3264E">
          <w:rPr>
            <w:b w:val="0"/>
            <w:webHidden/>
          </w:rPr>
          <w:fldChar w:fldCharType="separate"/>
        </w:r>
        <w:r w:rsidR="00956B7E">
          <w:rPr>
            <w:b w:val="0"/>
            <w:webHidden/>
          </w:rPr>
          <w:t>7</w:t>
        </w:r>
        <w:r w:rsidR="00B845F8" w:rsidRPr="00D3264E">
          <w:rPr>
            <w:b w:val="0"/>
            <w:webHidden/>
          </w:rPr>
          <w:fldChar w:fldCharType="end"/>
        </w:r>
      </w:hyperlink>
    </w:p>
    <w:p w:rsidR="00B845F8" w:rsidRPr="00D3264E" w:rsidRDefault="00B845F8" w:rsidP="00097245">
      <w:pPr>
        <w:rPr>
          <w:rFonts w:eastAsiaTheme="minorEastAsia"/>
          <w:noProof/>
          <w:lang w:val="fr-FR" w:eastAsia="ja-JP"/>
        </w:rPr>
      </w:pPr>
    </w:p>
    <w:p w:rsidR="00B845F8" w:rsidRPr="00D3264E" w:rsidRDefault="0050151C" w:rsidP="00097245">
      <w:pPr>
        <w:pStyle w:val="TOC1"/>
        <w:rPr>
          <w:rFonts w:eastAsiaTheme="minorEastAsia"/>
          <w:b w:val="0"/>
          <w:lang w:val="en-US" w:eastAsia="en-US"/>
        </w:rPr>
      </w:pPr>
      <w:hyperlink w:anchor="_Toc455746279" w:history="1">
        <w:r w:rsidR="00B845F8" w:rsidRPr="00D3264E">
          <w:rPr>
            <w:rStyle w:val="Hyperlink"/>
            <w:b w:val="0"/>
            <w:color w:val="auto"/>
          </w:rPr>
          <w:t>V.</w:t>
        </w:r>
        <w:r w:rsidR="00B845F8" w:rsidRPr="00D3264E">
          <w:rPr>
            <w:rFonts w:eastAsiaTheme="minorEastAsia"/>
            <w:b w:val="0"/>
            <w:lang w:val="en-US" w:eastAsia="en-US"/>
          </w:rPr>
          <w:tab/>
          <w:t xml:space="preserve">  </w:t>
        </w:r>
        <w:r w:rsidR="00E37FF1" w:rsidRPr="00D3264E">
          <w:rPr>
            <w:rFonts w:eastAsiaTheme="minorEastAsia"/>
            <w:b w:val="0"/>
            <w:lang w:val="en-US" w:eastAsia="en-US"/>
          </w:rPr>
          <w:t xml:space="preserve"> </w:t>
        </w:r>
        <w:r w:rsidR="00B845F8" w:rsidRPr="00D3264E">
          <w:rPr>
            <w:rStyle w:val="Hyperlink"/>
            <w:b w:val="0"/>
            <w:color w:val="auto"/>
          </w:rPr>
          <w:t>Cadre légal</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_Toc455746279 \h </w:instrText>
        </w:r>
        <w:r w:rsidR="00B845F8" w:rsidRPr="00D3264E">
          <w:rPr>
            <w:b w:val="0"/>
            <w:webHidden/>
          </w:rPr>
        </w:r>
        <w:r w:rsidR="00B845F8" w:rsidRPr="00D3264E">
          <w:rPr>
            <w:b w:val="0"/>
            <w:webHidden/>
          </w:rPr>
          <w:fldChar w:fldCharType="separate"/>
        </w:r>
        <w:r w:rsidR="00956B7E">
          <w:rPr>
            <w:b w:val="0"/>
            <w:webHidden/>
          </w:rPr>
          <w:t>9</w:t>
        </w:r>
        <w:r w:rsidR="00B845F8" w:rsidRPr="00D3264E">
          <w:rPr>
            <w:b w:val="0"/>
            <w:webHidden/>
          </w:rPr>
          <w:fldChar w:fldCharType="end"/>
        </w:r>
      </w:hyperlink>
    </w:p>
    <w:p w:rsidR="00B845F8" w:rsidRPr="00D3264E" w:rsidRDefault="0050151C" w:rsidP="00097245">
      <w:pPr>
        <w:pStyle w:val="TOC2"/>
        <w:spacing w:after="0" w:line="240" w:lineRule="auto"/>
        <w:rPr>
          <w:rFonts w:eastAsiaTheme="minorEastAsia"/>
          <w:sz w:val="24"/>
          <w:szCs w:val="24"/>
          <w:lang w:eastAsia="en-US"/>
        </w:rPr>
      </w:pPr>
      <w:hyperlink w:anchor="_Toc455746280" w:history="1">
        <w:r w:rsidR="00B845F8" w:rsidRPr="00D3264E">
          <w:rPr>
            <w:rStyle w:val="Hyperlink"/>
            <w:color w:val="auto"/>
            <w:sz w:val="24"/>
            <w:szCs w:val="24"/>
            <w:lang w:val="fr-FR"/>
          </w:rPr>
          <w:t>1.</w:t>
        </w:r>
        <w:r w:rsidR="00B845F8" w:rsidRPr="00D3264E">
          <w:rPr>
            <w:rFonts w:eastAsiaTheme="minorEastAsia"/>
            <w:sz w:val="24"/>
            <w:szCs w:val="24"/>
            <w:lang w:eastAsia="en-US"/>
          </w:rPr>
          <w:tab/>
        </w:r>
        <w:r w:rsidR="00B845F8" w:rsidRPr="00D3264E">
          <w:rPr>
            <w:rStyle w:val="Hyperlink"/>
            <w:color w:val="auto"/>
            <w:sz w:val="24"/>
            <w:szCs w:val="24"/>
            <w:lang w:val="fr-FR"/>
          </w:rPr>
          <w:t>Au niveau international</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_Toc455746280 \h </w:instrText>
        </w:r>
        <w:r w:rsidR="00B845F8" w:rsidRPr="00D3264E">
          <w:rPr>
            <w:webHidden/>
            <w:sz w:val="24"/>
            <w:szCs w:val="24"/>
          </w:rPr>
        </w:r>
        <w:r w:rsidR="00B845F8" w:rsidRPr="00D3264E">
          <w:rPr>
            <w:webHidden/>
            <w:sz w:val="24"/>
            <w:szCs w:val="24"/>
          </w:rPr>
          <w:fldChar w:fldCharType="separate"/>
        </w:r>
        <w:r w:rsidR="00956B7E">
          <w:rPr>
            <w:webHidden/>
            <w:sz w:val="24"/>
            <w:szCs w:val="24"/>
          </w:rPr>
          <w:t>9</w:t>
        </w:r>
        <w:r w:rsidR="00B845F8" w:rsidRPr="00D3264E">
          <w:rPr>
            <w:webHidden/>
            <w:sz w:val="24"/>
            <w:szCs w:val="24"/>
          </w:rPr>
          <w:fldChar w:fldCharType="end"/>
        </w:r>
      </w:hyperlink>
    </w:p>
    <w:p w:rsidR="00B845F8" w:rsidRPr="00D3264E" w:rsidRDefault="0050151C" w:rsidP="00097245">
      <w:pPr>
        <w:pStyle w:val="TOC2"/>
        <w:spacing w:after="0" w:line="240" w:lineRule="auto"/>
        <w:rPr>
          <w:rFonts w:eastAsiaTheme="minorEastAsia"/>
          <w:sz w:val="24"/>
          <w:szCs w:val="24"/>
          <w:lang w:eastAsia="en-US"/>
        </w:rPr>
      </w:pPr>
      <w:hyperlink w:anchor="_Toc455746281" w:history="1">
        <w:r w:rsidR="00B845F8" w:rsidRPr="00D3264E">
          <w:rPr>
            <w:rStyle w:val="Hyperlink"/>
            <w:color w:val="auto"/>
            <w:sz w:val="24"/>
            <w:szCs w:val="24"/>
            <w:lang w:val="fr-FR"/>
          </w:rPr>
          <w:t>2.</w:t>
        </w:r>
        <w:r w:rsidR="00B845F8" w:rsidRPr="00D3264E">
          <w:rPr>
            <w:rFonts w:eastAsiaTheme="minorEastAsia"/>
            <w:sz w:val="24"/>
            <w:szCs w:val="24"/>
            <w:lang w:eastAsia="en-US"/>
          </w:rPr>
          <w:tab/>
        </w:r>
        <w:r w:rsidR="00B845F8" w:rsidRPr="00D3264E">
          <w:rPr>
            <w:rStyle w:val="Hyperlink"/>
            <w:color w:val="auto"/>
            <w:sz w:val="24"/>
            <w:szCs w:val="24"/>
            <w:lang w:val="fr-FR"/>
          </w:rPr>
          <w:t>Au niveau régional</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_Toc455746281 \h </w:instrText>
        </w:r>
        <w:r w:rsidR="00B845F8" w:rsidRPr="00D3264E">
          <w:rPr>
            <w:webHidden/>
            <w:sz w:val="24"/>
            <w:szCs w:val="24"/>
          </w:rPr>
        </w:r>
        <w:r w:rsidR="00B845F8" w:rsidRPr="00D3264E">
          <w:rPr>
            <w:webHidden/>
            <w:sz w:val="24"/>
            <w:szCs w:val="24"/>
          </w:rPr>
          <w:fldChar w:fldCharType="separate"/>
        </w:r>
        <w:r w:rsidR="00956B7E">
          <w:rPr>
            <w:webHidden/>
            <w:sz w:val="24"/>
            <w:szCs w:val="24"/>
          </w:rPr>
          <w:t>11</w:t>
        </w:r>
        <w:r w:rsidR="00B845F8" w:rsidRPr="00D3264E">
          <w:rPr>
            <w:webHidden/>
            <w:sz w:val="24"/>
            <w:szCs w:val="24"/>
          </w:rPr>
          <w:fldChar w:fldCharType="end"/>
        </w:r>
      </w:hyperlink>
    </w:p>
    <w:p w:rsidR="00B845F8" w:rsidRPr="00D3264E" w:rsidRDefault="0050151C" w:rsidP="00097245">
      <w:pPr>
        <w:pStyle w:val="TOC2"/>
        <w:spacing w:after="0" w:line="240" w:lineRule="auto"/>
        <w:rPr>
          <w:rStyle w:val="Hyperlink"/>
          <w:color w:val="auto"/>
          <w:sz w:val="24"/>
          <w:szCs w:val="24"/>
        </w:rPr>
      </w:pPr>
      <w:hyperlink w:anchor="_Toc455746282" w:history="1">
        <w:r w:rsidR="00B845F8" w:rsidRPr="00D3264E">
          <w:rPr>
            <w:rStyle w:val="Hyperlink"/>
            <w:color w:val="auto"/>
            <w:sz w:val="24"/>
            <w:szCs w:val="24"/>
            <w:lang w:val="fr-FR"/>
          </w:rPr>
          <w:t>3.</w:t>
        </w:r>
        <w:r w:rsidR="00B845F8" w:rsidRPr="00D3264E">
          <w:rPr>
            <w:rFonts w:eastAsiaTheme="minorEastAsia"/>
            <w:sz w:val="24"/>
            <w:szCs w:val="24"/>
            <w:lang w:eastAsia="en-US"/>
          </w:rPr>
          <w:tab/>
        </w:r>
        <w:r w:rsidR="00B845F8" w:rsidRPr="00D3264E">
          <w:rPr>
            <w:rStyle w:val="Hyperlink"/>
            <w:color w:val="auto"/>
            <w:sz w:val="24"/>
            <w:szCs w:val="24"/>
            <w:lang w:val="fr-FR"/>
          </w:rPr>
          <w:t>Au niveau national</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_Toc455746282 \h </w:instrText>
        </w:r>
        <w:r w:rsidR="00B845F8" w:rsidRPr="00D3264E">
          <w:rPr>
            <w:webHidden/>
            <w:sz w:val="24"/>
            <w:szCs w:val="24"/>
          </w:rPr>
        </w:r>
        <w:r w:rsidR="00B845F8" w:rsidRPr="00D3264E">
          <w:rPr>
            <w:webHidden/>
            <w:sz w:val="24"/>
            <w:szCs w:val="24"/>
          </w:rPr>
          <w:fldChar w:fldCharType="separate"/>
        </w:r>
        <w:r w:rsidR="00956B7E">
          <w:rPr>
            <w:webHidden/>
            <w:sz w:val="24"/>
            <w:szCs w:val="24"/>
          </w:rPr>
          <w:t>11</w:t>
        </w:r>
        <w:r w:rsidR="00B845F8" w:rsidRPr="00D3264E">
          <w:rPr>
            <w:webHidden/>
            <w:sz w:val="24"/>
            <w:szCs w:val="24"/>
          </w:rPr>
          <w:fldChar w:fldCharType="end"/>
        </w:r>
      </w:hyperlink>
    </w:p>
    <w:p w:rsidR="00B845F8" w:rsidRPr="00D3264E" w:rsidRDefault="00B845F8" w:rsidP="00097245">
      <w:pPr>
        <w:rPr>
          <w:rFonts w:eastAsiaTheme="minorEastAsia"/>
          <w:noProof/>
          <w:lang w:eastAsia="ja-JP"/>
        </w:rPr>
      </w:pPr>
    </w:p>
    <w:p w:rsidR="00B845F8" w:rsidRPr="00D3264E" w:rsidRDefault="0050151C" w:rsidP="00097245">
      <w:pPr>
        <w:pStyle w:val="TOC1"/>
        <w:rPr>
          <w:rFonts w:eastAsiaTheme="minorEastAsia"/>
          <w:b w:val="0"/>
          <w:lang w:val="en-US" w:eastAsia="en-US"/>
        </w:rPr>
      </w:pPr>
      <w:hyperlink w:anchor="_Toc455746283" w:history="1">
        <w:r w:rsidR="00B845F8" w:rsidRPr="00D3264E">
          <w:rPr>
            <w:rStyle w:val="Hyperlink"/>
            <w:b w:val="0"/>
            <w:color w:val="auto"/>
          </w:rPr>
          <w:t>VI.</w:t>
        </w:r>
        <w:r w:rsidR="00B845F8" w:rsidRPr="00D3264E">
          <w:rPr>
            <w:rFonts w:eastAsiaTheme="minorEastAsia"/>
            <w:b w:val="0"/>
            <w:lang w:val="en-US" w:eastAsia="en-US"/>
          </w:rPr>
          <w:tab/>
          <w:t xml:space="preserve">  </w:t>
        </w:r>
        <w:r w:rsidR="00E37FF1" w:rsidRPr="00D3264E">
          <w:rPr>
            <w:rFonts w:eastAsiaTheme="minorEastAsia"/>
            <w:b w:val="0"/>
            <w:lang w:val="en-US" w:eastAsia="en-US"/>
          </w:rPr>
          <w:t xml:space="preserve"> </w:t>
        </w:r>
        <w:r w:rsidR="00B845F8" w:rsidRPr="00D3264E">
          <w:rPr>
            <w:rStyle w:val="Hyperlink"/>
            <w:b w:val="0"/>
            <w:color w:val="auto"/>
          </w:rPr>
          <w:t>Principales tendances des viols et de leur poursuite en justice</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_Toc455746283 \h </w:instrText>
        </w:r>
        <w:r w:rsidR="00B845F8" w:rsidRPr="00D3264E">
          <w:rPr>
            <w:b w:val="0"/>
            <w:webHidden/>
          </w:rPr>
        </w:r>
        <w:r w:rsidR="00B845F8" w:rsidRPr="00D3264E">
          <w:rPr>
            <w:b w:val="0"/>
            <w:webHidden/>
          </w:rPr>
          <w:fldChar w:fldCharType="separate"/>
        </w:r>
        <w:r w:rsidR="00956B7E">
          <w:rPr>
            <w:b w:val="0"/>
            <w:webHidden/>
          </w:rPr>
          <w:t>12</w:t>
        </w:r>
        <w:r w:rsidR="00B845F8" w:rsidRPr="00D3264E">
          <w:rPr>
            <w:b w:val="0"/>
            <w:webHidden/>
          </w:rPr>
          <w:fldChar w:fldCharType="end"/>
        </w:r>
      </w:hyperlink>
    </w:p>
    <w:p w:rsidR="00B845F8" w:rsidRPr="00D3264E" w:rsidRDefault="0050151C" w:rsidP="00097245">
      <w:pPr>
        <w:pStyle w:val="TOC2"/>
        <w:spacing w:after="0" w:line="240" w:lineRule="auto"/>
        <w:rPr>
          <w:rFonts w:eastAsiaTheme="minorEastAsia"/>
          <w:sz w:val="24"/>
          <w:szCs w:val="24"/>
          <w:lang w:eastAsia="en-US"/>
        </w:rPr>
      </w:pPr>
      <w:hyperlink w:anchor="_Toc455746284" w:history="1">
        <w:r w:rsidR="00B845F8" w:rsidRPr="00D3264E">
          <w:rPr>
            <w:rStyle w:val="Hyperlink"/>
            <w:color w:val="auto"/>
            <w:sz w:val="24"/>
            <w:szCs w:val="24"/>
            <w:lang w:val="fr-FR"/>
          </w:rPr>
          <w:t>1.</w:t>
        </w:r>
        <w:r w:rsidR="00B845F8" w:rsidRPr="00D3264E">
          <w:rPr>
            <w:rFonts w:eastAsiaTheme="minorEastAsia"/>
            <w:sz w:val="24"/>
            <w:szCs w:val="24"/>
            <w:lang w:eastAsia="en-US"/>
          </w:rPr>
          <w:tab/>
        </w:r>
        <w:r w:rsidR="00B845F8" w:rsidRPr="00D3264E">
          <w:rPr>
            <w:rStyle w:val="Hyperlink"/>
            <w:color w:val="auto"/>
            <w:sz w:val="24"/>
            <w:szCs w:val="24"/>
            <w:lang w:val="fr-FR"/>
          </w:rPr>
          <w:t>Principales tendances des viols</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_Toc455746284 \h </w:instrText>
        </w:r>
        <w:r w:rsidR="00B845F8" w:rsidRPr="00D3264E">
          <w:rPr>
            <w:webHidden/>
            <w:sz w:val="24"/>
            <w:szCs w:val="24"/>
          </w:rPr>
        </w:r>
        <w:r w:rsidR="00B845F8" w:rsidRPr="00D3264E">
          <w:rPr>
            <w:webHidden/>
            <w:sz w:val="24"/>
            <w:szCs w:val="24"/>
          </w:rPr>
          <w:fldChar w:fldCharType="separate"/>
        </w:r>
        <w:r w:rsidR="00956B7E">
          <w:rPr>
            <w:webHidden/>
            <w:sz w:val="24"/>
            <w:szCs w:val="24"/>
          </w:rPr>
          <w:t>12</w:t>
        </w:r>
        <w:r w:rsidR="00B845F8" w:rsidRPr="00D3264E">
          <w:rPr>
            <w:webHidden/>
            <w:sz w:val="24"/>
            <w:szCs w:val="24"/>
          </w:rPr>
          <w:fldChar w:fldCharType="end"/>
        </w:r>
      </w:hyperlink>
    </w:p>
    <w:p w:rsidR="00B845F8" w:rsidRPr="00D3264E" w:rsidRDefault="0050151C" w:rsidP="00097245">
      <w:pPr>
        <w:pStyle w:val="TOC2"/>
        <w:spacing w:after="0" w:line="240" w:lineRule="auto"/>
        <w:rPr>
          <w:rStyle w:val="Hyperlink"/>
          <w:color w:val="auto"/>
          <w:sz w:val="24"/>
          <w:szCs w:val="24"/>
        </w:rPr>
      </w:pPr>
      <w:hyperlink w:anchor="_Toc455746286" w:history="1">
        <w:r w:rsidR="00B845F8" w:rsidRPr="00D3264E">
          <w:rPr>
            <w:rStyle w:val="Hyperlink"/>
            <w:color w:val="auto"/>
            <w:sz w:val="24"/>
            <w:szCs w:val="24"/>
            <w:lang w:val="fr-FR"/>
          </w:rPr>
          <w:t>2.</w:t>
        </w:r>
        <w:r w:rsidR="00B845F8" w:rsidRPr="00D3264E">
          <w:rPr>
            <w:rFonts w:eastAsiaTheme="minorEastAsia"/>
            <w:sz w:val="24"/>
            <w:szCs w:val="24"/>
            <w:lang w:eastAsia="en-US"/>
          </w:rPr>
          <w:tab/>
        </w:r>
        <w:r w:rsidR="00B845F8" w:rsidRPr="00D3264E">
          <w:rPr>
            <w:rStyle w:val="Hyperlink"/>
            <w:color w:val="auto"/>
            <w:sz w:val="24"/>
            <w:szCs w:val="24"/>
            <w:lang w:val="fr-FR"/>
          </w:rPr>
          <w:t>Principales tendances relatives à la poursuite des viols</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_Toc455746286 \h </w:instrText>
        </w:r>
        <w:r w:rsidR="00B845F8" w:rsidRPr="00D3264E">
          <w:rPr>
            <w:webHidden/>
            <w:sz w:val="24"/>
            <w:szCs w:val="24"/>
          </w:rPr>
        </w:r>
        <w:r w:rsidR="00B845F8" w:rsidRPr="00D3264E">
          <w:rPr>
            <w:webHidden/>
            <w:sz w:val="24"/>
            <w:szCs w:val="24"/>
          </w:rPr>
          <w:fldChar w:fldCharType="separate"/>
        </w:r>
        <w:r w:rsidR="00956B7E">
          <w:rPr>
            <w:webHidden/>
            <w:sz w:val="24"/>
            <w:szCs w:val="24"/>
          </w:rPr>
          <w:t>16</w:t>
        </w:r>
        <w:r w:rsidR="00B845F8" w:rsidRPr="00D3264E">
          <w:rPr>
            <w:webHidden/>
            <w:sz w:val="24"/>
            <w:szCs w:val="24"/>
          </w:rPr>
          <w:fldChar w:fldCharType="end"/>
        </w:r>
      </w:hyperlink>
    </w:p>
    <w:p w:rsidR="00B845F8" w:rsidRPr="00D3264E" w:rsidRDefault="00B845F8" w:rsidP="00097245">
      <w:pPr>
        <w:rPr>
          <w:rFonts w:eastAsiaTheme="minorEastAsia"/>
          <w:noProof/>
          <w:lang w:eastAsia="ja-JP"/>
        </w:rPr>
      </w:pPr>
    </w:p>
    <w:p w:rsidR="00B845F8" w:rsidRPr="00D3264E" w:rsidRDefault="0050151C" w:rsidP="00097245">
      <w:pPr>
        <w:pStyle w:val="TOC1"/>
        <w:rPr>
          <w:rFonts w:eastAsiaTheme="minorEastAsia"/>
          <w:b w:val="0"/>
          <w:lang w:val="en-US" w:eastAsia="en-US"/>
        </w:rPr>
      </w:pPr>
      <w:hyperlink w:anchor="_Toc455746287" w:history="1">
        <w:r w:rsidR="00B845F8" w:rsidRPr="00D3264E">
          <w:rPr>
            <w:rStyle w:val="Hyperlink"/>
            <w:b w:val="0"/>
            <w:color w:val="auto"/>
          </w:rPr>
          <w:t>VII.</w:t>
        </w:r>
        <w:r w:rsidR="00B845F8" w:rsidRPr="00D3264E">
          <w:rPr>
            <w:rFonts w:eastAsiaTheme="minorEastAsia"/>
            <w:b w:val="0"/>
            <w:lang w:val="en-US" w:eastAsia="en-US"/>
          </w:rPr>
          <w:tab/>
          <w:t xml:space="preserve">  </w:t>
        </w:r>
        <w:r w:rsidR="00E37FF1" w:rsidRPr="00D3264E">
          <w:rPr>
            <w:rFonts w:eastAsiaTheme="minorEastAsia"/>
            <w:b w:val="0"/>
            <w:lang w:val="en-US" w:eastAsia="en-US"/>
          </w:rPr>
          <w:t xml:space="preserve"> </w:t>
        </w:r>
        <w:r w:rsidR="00B845F8" w:rsidRPr="00D3264E">
          <w:rPr>
            <w:rStyle w:val="Hyperlink"/>
            <w:b w:val="0"/>
            <w:color w:val="auto"/>
          </w:rPr>
          <w:t>Principaux obstacles à la répression judiciaire du viol</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_Toc455746287 \h </w:instrText>
        </w:r>
        <w:r w:rsidR="00B845F8" w:rsidRPr="00D3264E">
          <w:rPr>
            <w:b w:val="0"/>
            <w:webHidden/>
          </w:rPr>
        </w:r>
        <w:r w:rsidR="00B845F8" w:rsidRPr="00D3264E">
          <w:rPr>
            <w:b w:val="0"/>
            <w:webHidden/>
          </w:rPr>
          <w:fldChar w:fldCharType="separate"/>
        </w:r>
        <w:r w:rsidR="00956B7E">
          <w:rPr>
            <w:b w:val="0"/>
            <w:webHidden/>
          </w:rPr>
          <w:t>16</w:t>
        </w:r>
        <w:r w:rsidR="00B845F8" w:rsidRPr="00D3264E">
          <w:rPr>
            <w:b w:val="0"/>
            <w:webHidden/>
          </w:rPr>
          <w:fldChar w:fldCharType="end"/>
        </w:r>
      </w:hyperlink>
    </w:p>
    <w:p w:rsidR="00B845F8" w:rsidRPr="00D3264E" w:rsidRDefault="0050151C" w:rsidP="00097245">
      <w:pPr>
        <w:pStyle w:val="TOC2"/>
        <w:spacing w:after="0" w:line="240" w:lineRule="auto"/>
        <w:rPr>
          <w:rFonts w:eastAsiaTheme="minorEastAsia"/>
          <w:sz w:val="24"/>
          <w:szCs w:val="24"/>
          <w:lang w:eastAsia="en-US"/>
        </w:rPr>
      </w:pPr>
      <w:hyperlink w:anchor="_Toc455746288" w:history="1">
        <w:r w:rsidR="00B845F8" w:rsidRPr="00D3264E">
          <w:rPr>
            <w:rStyle w:val="Hyperlink"/>
            <w:color w:val="auto"/>
            <w:sz w:val="24"/>
            <w:szCs w:val="24"/>
            <w:lang w:val="fr-FR"/>
          </w:rPr>
          <w:t>1.</w:t>
        </w:r>
        <w:r w:rsidR="00B845F8" w:rsidRPr="00D3264E">
          <w:rPr>
            <w:rFonts w:eastAsiaTheme="minorEastAsia"/>
            <w:sz w:val="24"/>
            <w:szCs w:val="24"/>
            <w:lang w:eastAsia="en-US"/>
          </w:rPr>
          <w:tab/>
        </w:r>
        <w:r w:rsidR="00B845F8" w:rsidRPr="00D3264E">
          <w:rPr>
            <w:rStyle w:val="Hyperlink"/>
            <w:color w:val="auto"/>
            <w:sz w:val="24"/>
            <w:szCs w:val="24"/>
            <w:lang w:val="fr-FR"/>
          </w:rPr>
          <w:t>La procédure judiciaire</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_Toc455746288 \h </w:instrText>
        </w:r>
        <w:r w:rsidR="00B845F8" w:rsidRPr="00D3264E">
          <w:rPr>
            <w:webHidden/>
            <w:sz w:val="24"/>
            <w:szCs w:val="24"/>
          </w:rPr>
        </w:r>
        <w:r w:rsidR="00B845F8" w:rsidRPr="00D3264E">
          <w:rPr>
            <w:webHidden/>
            <w:sz w:val="24"/>
            <w:szCs w:val="24"/>
          </w:rPr>
          <w:fldChar w:fldCharType="separate"/>
        </w:r>
        <w:r w:rsidR="00956B7E">
          <w:rPr>
            <w:webHidden/>
            <w:sz w:val="24"/>
            <w:szCs w:val="24"/>
          </w:rPr>
          <w:t>16</w:t>
        </w:r>
        <w:r w:rsidR="00B845F8" w:rsidRPr="00D3264E">
          <w:rPr>
            <w:webHidden/>
            <w:sz w:val="24"/>
            <w:szCs w:val="24"/>
          </w:rPr>
          <w:fldChar w:fldCharType="end"/>
        </w:r>
      </w:hyperlink>
    </w:p>
    <w:p w:rsidR="00B845F8" w:rsidRPr="00D3264E" w:rsidRDefault="0050151C" w:rsidP="00097245">
      <w:pPr>
        <w:pStyle w:val="TOC2"/>
        <w:spacing w:after="0" w:line="240" w:lineRule="auto"/>
        <w:rPr>
          <w:rStyle w:val="Hyperlink"/>
          <w:color w:val="auto"/>
          <w:sz w:val="24"/>
          <w:szCs w:val="24"/>
        </w:rPr>
      </w:pPr>
      <w:hyperlink w:anchor="_Toc455746289" w:history="1">
        <w:r w:rsidR="00B845F8" w:rsidRPr="00D3264E">
          <w:rPr>
            <w:rStyle w:val="Hyperlink"/>
            <w:color w:val="auto"/>
            <w:sz w:val="24"/>
            <w:szCs w:val="24"/>
            <w:lang w:val="fr-FR"/>
          </w:rPr>
          <w:t>2.</w:t>
        </w:r>
        <w:r w:rsidR="00B845F8" w:rsidRPr="00D3264E">
          <w:rPr>
            <w:rFonts w:eastAsiaTheme="minorEastAsia"/>
            <w:sz w:val="24"/>
            <w:szCs w:val="24"/>
            <w:lang w:eastAsia="en-US"/>
          </w:rPr>
          <w:tab/>
        </w:r>
        <w:r w:rsidR="00B845F8" w:rsidRPr="00D3264E">
          <w:rPr>
            <w:rStyle w:val="Hyperlink"/>
            <w:color w:val="auto"/>
            <w:sz w:val="24"/>
            <w:szCs w:val="24"/>
            <w:lang w:val="fr-FR"/>
          </w:rPr>
          <w:t>Les arrangements à l’amiable</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_Toc455746289 \h </w:instrText>
        </w:r>
        <w:r w:rsidR="00B845F8" w:rsidRPr="00D3264E">
          <w:rPr>
            <w:webHidden/>
            <w:sz w:val="24"/>
            <w:szCs w:val="24"/>
          </w:rPr>
        </w:r>
        <w:r w:rsidR="00B845F8" w:rsidRPr="00D3264E">
          <w:rPr>
            <w:webHidden/>
            <w:sz w:val="24"/>
            <w:szCs w:val="24"/>
          </w:rPr>
          <w:fldChar w:fldCharType="separate"/>
        </w:r>
        <w:r w:rsidR="00956B7E">
          <w:rPr>
            <w:webHidden/>
            <w:sz w:val="24"/>
            <w:szCs w:val="24"/>
          </w:rPr>
          <w:t>20</w:t>
        </w:r>
        <w:r w:rsidR="00B845F8" w:rsidRPr="00D3264E">
          <w:rPr>
            <w:webHidden/>
            <w:sz w:val="24"/>
            <w:szCs w:val="24"/>
          </w:rPr>
          <w:fldChar w:fldCharType="end"/>
        </w:r>
      </w:hyperlink>
    </w:p>
    <w:p w:rsidR="00B845F8" w:rsidRPr="00D3264E" w:rsidRDefault="00B845F8" w:rsidP="00097245">
      <w:pPr>
        <w:rPr>
          <w:rFonts w:eastAsiaTheme="minorEastAsia"/>
          <w:noProof/>
          <w:lang w:eastAsia="ja-JP"/>
        </w:rPr>
      </w:pPr>
    </w:p>
    <w:p w:rsidR="00B845F8" w:rsidRPr="00D3264E" w:rsidRDefault="0050151C" w:rsidP="00097245">
      <w:pPr>
        <w:pStyle w:val="TOC1"/>
        <w:rPr>
          <w:rStyle w:val="Hyperlink"/>
          <w:b w:val="0"/>
          <w:color w:val="auto"/>
        </w:rPr>
      </w:pPr>
      <w:hyperlink w:anchor="_Toc455746290" w:history="1">
        <w:r w:rsidR="00B845F8" w:rsidRPr="00D3264E">
          <w:rPr>
            <w:rStyle w:val="Hyperlink"/>
            <w:b w:val="0"/>
            <w:color w:val="auto"/>
          </w:rPr>
          <w:t>VIII.  Principales réponses du gouvernement dans la lutte contre l’impunité pour les viols</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_Toc455746290 \h </w:instrText>
        </w:r>
        <w:r w:rsidR="00B845F8" w:rsidRPr="00D3264E">
          <w:rPr>
            <w:b w:val="0"/>
            <w:webHidden/>
          </w:rPr>
        </w:r>
        <w:r w:rsidR="00B845F8" w:rsidRPr="00D3264E">
          <w:rPr>
            <w:b w:val="0"/>
            <w:webHidden/>
          </w:rPr>
          <w:fldChar w:fldCharType="separate"/>
        </w:r>
        <w:r w:rsidR="00956B7E">
          <w:rPr>
            <w:b w:val="0"/>
            <w:webHidden/>
          </w:rPr>
          <w:t>22</w:t>
        </w:r>
        <w:r w:rsidR="00B845F8" w:rsidRPr="00D3264E">
          <w:rPr>
            <w:b w:val="0"/>
            <w:webHidden/>
          </w:rPr>
          <w:fldChar w:fldCharType="end"/>
        </w:r>
      </w:hyperlink>
    </w:p>
    <w:p w:rsidR="00B845F8" w:rsidRPr="00D3264E" w:rsidRDefault="00B845F8" w:rsidP="00097245">
      <w:pPr>
        <w:rPr>
          <w:rFonts w:eastAsiaTheme="minorEastAsia"/>
          <w:noProof/>
          <w:lang w:val="fr-FR" w:eastAsia="ja-JP"/>
        </w:rPr>
      </w:pPr>
    </w:p>
    <w:p w:rsidR="00B845F8" w:rsidRPr="00D3264E" w:rsidRDefault="0050151C" w:rsidP="00097245">
      <w:pPr>
        <w:pStyle w:val="TOC1"/>
        <w:rPr>
          <w:rStyle w:val="Hyperlink"/>
          <w:b w:val="0"/>
          <w:color w:val="auto"/>
        </w:rPr>
      </w:pPr>
      <w:hyperlink w:anchor="_Toc455746291" w:history="1">
        <w:r w:rsidR="00B845F8" w:rsidRPr="00D3264E">
          <w:rPr>
            <w:rStyle w:val="Hyperlink"/>
            <w:b w:val="0"/>
            <w:color w:val="auto"/>
          </w:rPr>
          <w:t>IX.</w:t>
        </w:r>
        <w:r w:rsidR="00B845F8" w:rsidRPr="00D3264E">
          <w:rPr>
            <w:rFonts w:eastAsiaTheme="minorEastAsia"/>
            <w:b w:val="0"/>
            <w:lang w:val="en-US" w:eastAsia="en-US"/>
          </w:rPr>
          <w:tab/>
          <w:t xml:space="preserve">  </w:t>
        </w:r>
        <w:r w:rsidR="00E37FF1" w:rsidRPr="00D3264E">
          <w:rPr>
            <w:rFonts w:eastAsiaTheme="minorEastAsia"/>
            <w:b w:val="0"/>
            <w:lang w:val="en-US" w:eastAsia="en-US"/>
          </w:rPr>
          <w:t xml:space="preserve"> </w:t>
        </w:r>
        <w:r w:rsidR="00B845F8" w:rsidRPr="00D3264E">
          <w:rPr>
            <w:rStyle w:val="Hyperlink"/>
            <w:b w:val="0"/>
            <w:color w:val="auto"/>
          </w:rPr>
          <w:t>Principales actions des Nations Unies dans la lutte contre l’impunité pour les viols</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_Toc455746291 \h </w:instrText>
        </w:r>
        <w:r w:rsidR="00B845F8" w:rsidRPr="00D3264E">
          <w:rPr>
            <w:b w:val="0"/>
            <w:webHidden/>
          </w:rPr>
        </w:r>
        <w:r w:rsidR="00B845F8" w:rsidRPr="00D3264E">
          <w:rPr>
            <w:b w:val="0"/>
            <w:webHidden/>
          </w:rPr>
          <w:fldChar w:fldCharType="separate"/>
        </w:r>
        <w:r w:rsidR="00956B7E">
          <w:rPr>
            <w:b w:val="0"/>
            <w:webHidden/>
          </w:rPr>
          <w:t>26</w:t>
        </w:r>
        <w:r w:rsidR="00B845F8" w:rsidRPr="00D3264E">
          <w:rPr>
            <w:b w:val="0"/>
            <w:webHidden/>
          </w:rPr>
          <w:fldChar w:fldCharType="end"/>
        </w:r>
      </w:hyperlink>
    </w:p>
    <w:p w:rsidR="00B845F8" w:rsidRPr="00D3264E" w:rsidRDefault="00B845F8" w:rsidP="00097245">
      <w:pPr>
        <w:rPr>
          <w:rFonts w:eastAsiaTheme="minorEastAsia"/>
          <w:noProof/>
          <w:lang w:val="fr-FR" w:eastAsia="ja-JP"/>
        </w:rPr>
      </w:pPr>
    </w:p>
    <w:p w:rsidR="00B845F8" w:rsidRPr="00D3264E" w:rsidRDefault="0050151C" w:rsidP="00097245">
      <w:pPr>
        <w:pStyle w:val="TOC1"/>
        <w:rPr>
          <w:rFonts w:eastAsiaTheme="minorEastAsia"/>
          <w:b w:val="0"/>
          <w:lang w:val="en-US" w:eastAsia="en-US"/>
        </w:rPr>
      </w:pPr>
      <w:hyperlink w:anchor="_Toc455746292" w:history="1">
        <w:r w:rsidR="00B845F8" w:rsidRPr="00D3264E">
          <w:rPr>
            <w:rStyle w:val="Hyperlink"/>
            <w:b w:val="0"/>
            <w:color w:val="auto"/>
          </w:rPr>
          <w:t>X.</w:t>
        </w:r>
        <w:r w:rsidR="00B845F8" w:rsidRPr="00D3264E">
          <w:rPr>
            <w:rFonts w:eastAsiaTheme="minorEastAsia"/>
            <w:b w:val="0"/>
            <w:lang w:val="en-US" w:eastAsia="en-US"/>
          </w:rPr>
          <w:tab/>
          <w:t xml:space="preserve">  </w:t>
        </w:r>
        <w:r w:rsidR="00B845F8" w:rsidRPr="00D3264E">
          <w:rPr>
            <w:rStyle w:val="Hyperlink"/>
            <w:b w:val="0"/>
            <w:color w:val="auto"/>
          </w:rPr>
          <w:t>Conclusions et recommandations</w:t>
        </w:r>
        <w:r w:rsidR="00B845F8" w:rsidRPr="00D3264E">
          <w:rPr>
            <w:b w:val="0"/>
            <w:webHidden/>
          </w:rPr>
          <w:tab/>
        </w:r>
        <w:r w:rsidR="00B845F8" w:rsidRPr="00D3264E">
          <w:rPr>
            <w:b w:val="0"/>
            <w:webHidden/>
          </w:rPr>
          <w:fldChar w:fldCharType="begin"/>
        </w:r>
        <w:r w:rsidR="00B845F8" w:rsidRPr="00D3264E">
          <w:rPr>
            <w:b w:val="0"/>
            <w:webHidden/>
          </w:rPr>
          <w:instrText xml:space="preserve"> PAGEREF _Toc455746292 \h </w:instrText>
        </w:r>
        <w:r w:rsidR="00B845F8" w:rsidRPr="00D3264E">
          <w:rPr>
            <w:b w:val="0"/>
            <w:webHidden/>
          </w:rPr>
        </w:r>
        <w:r w:rsidR="00B845F8" w:rsidRPr="00D3264E">
          <w:rPr>
            <w:b w:val="0"/>
            <w:webHidden/>
          </w:rPr>
          <w:fldChar w:fldCharType="separate"/>
        </w:r>
        <w:r w:rsidR="00956B7E">
          <w:rPr>
            <w:b w:val="0"/>
            <w:webHidden/>
          </w:rPr>
          <w:t>28</w:t>
        </w:r>
        <w:r w:rsidR="00B845F8" w:rsidRPr="00D3264E">
          <w:rPr>
            <w:b w:val="0"/>
            <w:webHidden/>
          </w:rPr>
          <w:fldChar w:fldCharType="end"/>
        </w:r>
      </w:hyperlink>
    </w:p>
    <w:p w:rsidR="00B845F8" w:rsidRPr="00D3264E" w:rsidRDefault="0050151C" w:rsidP="00097245">
      <w:pPr>
        <w:pStyle w:val="TOC2"/>
        <w:spacing w:after="0" w:line="240" w:lineRule="auto"/>
        <w:rPr>
          <w:rFonts w:eastAsiaTheme="minorEastAsia"/>
          <w:sz w:val="24"/>
          <w:szCs w:val="24"/>
          <w:lang w:eastAsia="en-US"/>
        </w:rPr>
      </w:pPr>
      <w:hyperlink w:anchor="_Toc455746293" w:history="1">
        <w:r w:rsidR="00B845F8" w:rsidRPr="00D3264E">
          <w:rPr>
            <w:rStyle w:val="Hyperlink"/>
            <w:i/>
            <w:color w:val="auto"/>
            <w:sz w:val="24"/>
            <w:szCs w:val="24"/>
            <w:lang w:val="fr-FR"/>
          </w:rPr>
          <w:t>Aux autorités de la Côte d’Ivoire</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_Toc455746293 \h </w:instrText>
        </w:r>
        <w:r w:rsidR="00B845F8" w:rsidRPr="00D3264E">
          <w:rPr>
            <w:webHidden/>
            <w:sz w:val="24"/>
            <w:szCs w:val="24"/>
          </w:rPr>
        </w:r>
        <w:r w:rsidR="00B845F8" w:rsidRPr="00D3264E">
          <w:rPr>
            <w:webHidden/>
            <w:sz w:val="24"/>
            <w:szCs w:val="24"/>
          </w:rPr>
          <w:fldChar w:fldCharType="separate"/>
        </w:r>
        <w:r w:rsidR="00956B7E">
          <w:rPr>
            <w:webHidden/>
            <w:sz w:val="24"/>
            <w:szCs w:val="24"/>
          </w:rPr>
          <w:t>29</w:t>
        </w:r>
        <w:r w:rsidR="00B845F8" w:rsidRPr="00D3264E">
          <w:rPr>
            <w:webHidden/>
            <w:sz w:val="24"/>
            <w:szCs w:val="24"/>
          </w:rPr>
          <w:fldChar w:fldCharType="end"/>
        </w:r>
      </w:hyperlink>
    </w:p>
    <w:p w:rsidR="00B845F8" w:rsidRPr="00D3264E" w:rsidRDefault="0050151C" w:rsidP="00097245">
      <w:pPr>
        <w:pStyle w:val="TOC2"/>
        <w:spacing w:after="0" w:line="240" w:lineRule="auto"/>
        <w:rPr>
          <w:rFonts w:eastAsiaTheme="minorEastAsia"/>
          <w:sz w:val="24"/>
          <w:szCs w:val="24"/>
          <w:lang w:eastAsia="en-US"/>
        </w:rPr>
      </w:pPr>
      <w:hyperlink w:anchor="_Toc455746294" w:history="1">
        <w:r w:rsidR="00B845F8" w:rsidRPr="00D3264E">
          <w:rPr>
            <w:rStyle w:val="Hyperlink"/>
            <w:i/>
            <w:color w:val="auto"/>
            <w:sz w:val="24"/>
            <w:szCs w:val="24"/>
            <w:lang w:val="fr-FR"/>
          </w:rPr>
          <w:t>Aux organisations non gouvernementales</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_Toc455746294 \h </w:instrText>
        </w:r>
        <w:r w:rsidR="00B845F8" w:rsidRPr="00D3264E">
          <w:rPr>
            <w:webHidden/>
            <w:sz w:val="24"/>
            <w:szCs w:val="24"/>
          </w:rPr>
        </w:r>
        <w:r w:rsidR="00B845F8" w:rsidRPr="00D3264E">
          <w:rPr>
            <w:webHidden/>
            <w:sz w:val="24"/>
            <w:szCs w:val="24"/>
          </w:rPr>
          <w:fldChar w:fldCharType="separate"/>
        </w:r>
        <w:r w:rsidR="00956B7E">
          <w:rPr>
            <w:webHidden/>
            <w:sz w:val="24"/>
            <w:szCs w:val="24"/>
          </w:rPr>
          <w:t>31</w:t>
        </w:r>
        <w:r w:rsidR="00B845F8" w:rsidRPr="00D3264E">
          <w:rPr>
            <w:webHidden/>
            <w:sz w:val="24"/>
            <w:szCs w:val="24"/>
          </w:rPr>
          <w:fldChar w:fldCharType="end"/>
        </w:r>
      </w:hyperlink>
    </w:p>
    <w:p w:rsidR="00B845F8" w:rsidRPr="00D3264E" w:rsidRDefault="0050151C" w:rsidP="00097245">
      <w:pPr>
        <w:pStyle w:val="TOC2"/>
        <w:spacing w:after="0" w:line="240" w:lineRule="auto"/>
        <w:rPr>
          <w:rFonts w:eastAsiaTheme="minorEastAsia"/>
          <w:sz w:val="24"/>
          <w:szCs w:val="24"/>
          <w:lang w:eastAsia="en-US"/>
        </w:rPr>
      </w:pPr>
      <w:hyperlink w:anchor="_Toc455746295" w:history="1">
        <w:r w:rsidR="00B845F8" w:rsidRPr="00D3264E">
          <w:rPr>
            <w:rStyle w:val="Hyperlink"/>
            <w:i/>
            <w:color w:val="auto"/>
            <w:sz w:val="24"/>
            <w:szCs w:val="24"/>
            <w:lang w:val="fr-FR"/>
          </w:rPr>
          <w:t>A la communauté internationale</w:t>
        </w:r>
        <w:r w:rsidR="00B845F8" w:rsidRPr="00D3264E">
          <w:rPr>
            <w:webHidden/>
            <w:sz w:val="24"/>
            <w:szCs w:val="24"/>
          </w:rPr>
          <w:tab/>
        </w:r>
        <w:r w:rsidR="00B845F8" w:rsidRPr="00D3264E">
          <w:rPr>
            <w:webHidden/>
            <w:sz w:val="24"/>
            <w:szCs w:val="24"/>
          </w:rPr>
          <w:fldChar w:fldCharType="begin"/>
        </w:r>
        <w:r w:rsidR="00B845F8" w:rsidRPr="00D3264E">
          <w:rPr>
            <w:webHidden/>
            <w:sz w:val="24"/>
            <w:szCs w:val="24"/>
          </w:rPr>
          <w:instrText xml:space="preserve"> PAGEREF _Toc455746295 \h </w:instrText>
        </w:r>
        <w:r w:rsidR="00B845F8" w:rsidRPr="00D3264E">
          <w:rPr>
            <w:webHidden/>
            <w:sz w:val="24"/>
            <w:szCs w:val="24"/>
          </w:rPr>
        </w:r>
        <w:r w:rsidR="00B845F8" w:rsidRPr="00D3264E">
          <w:rPr>
            <w:webHidden/>
            <w:sz w:val="24"/>
            <w:szCs w:val="24"/>
          </w:rPr>
          <w:fldChar w:fldCharType="separate"/>
        </w:r>
        <w:r w:rsidR="00956B7E">
          <w:rPr>
            <w:webHidden/>
            <w:sz w:val="24"/>
            <w:szCs w:val="24"/>
          </w:rPr>
          <w:t>31</w:t>
        </w:r>
        <w:r w:rsidR="00B845F8" w:rsidRPr="00D3264E">
          <w:rPr>
            <w:webHidden/>
            <w:sz w:val="24"/>
            <w:szCs w:val="24"/>
          </w:rPr>
          <w:fldChar w:fldCharType="end"/>
        </w:r>
      </w:hyperlink>
    </w:p>
    <w:p w:rsidR="00FD10CD" w:rsidRPr="00D3264E" w:rsidRDefault="00CF3944" w:rsidP="00097245">
      <w:pPr>
        <w:jc w:val="both"/>
        <w:rPr>
          <w:b/>
          <w:bCs/>
          <w:noProof/>
        </w:rPr>
      </w:pPr>
      <w:r w:rsidRPr="00D3264E">
        <w:rPr>
          <w:bCs/>
          <w:noProof/>
          <w:highlight w:val="yellow"/>
        </w:rPr>
        <w:fldChar w:fldCharType="end"/>
      </w:r>
    </w:p>
    <w:p w:rsidR="00FD10CD" w:rsidRPr="00D3264E" w:rsidRDefault="00FD10CD" w:rsidP="00097245">
      <w:pPr>
        <w:jc w:val="both"/>
        <w:rPr>
          <w:b/>
          <w:bCs/>
          <w:noProof/>
        </w:rPr>
      </w:pPr>
    </w:p>
    <w:p w:rsidR="00FD10CD" w:rsidRPr="00D3264E" w:rsidRDefault="00FD10CD" w:rsidP="00097245">
      <w:pPr>
        <w:jc w:val="both"/>
      </w:pPr>
    </w:p>
    <w:p w:rsidR="00FE753C" w:rsidRPr="00D3264E" w:rsidRDefault="00FE753C" w:rsidP="00097245">
      <w:pPr>
        <w:jc w:val="both"/>
      </w:pPr>
      <w:bookmarkStart w:id="8" w:name="_Toc418237708"/>
    </w:p>
    <w:p w:rsidR="006F2E87" w:rsidRPr="00D3264E" w:rsidRDefault="006F2E87" w:rsidP="00097245">
      <w:pPr>
        <w:jc w:val="both"/>
      </w:pPr>
    </w:p>
    <w:p w:rsidR="0002061B" w:rsidRPr="00D3264E" w:rsidRDefault="0002061B" w:rsidP="00097245">
      <w:pPr>
        <w:jc w:val="both"/>
      </w:pPr>
    </w:p>
    <w:p w:rsidR="006F2E87" w:rsidRPr="00D3264E" w:rsidRDefault="006F2E87" w:rsidP="00097245">
      <w:pPr>
        <w:jc w:val="both"/>
      </w:pPr>
    </w:p>
    <w:p w:rsidR="00C318E8" w:rsidRPr="00D3264E" w:rsidRDefault="00C318E8" w:rsidP="00097245">
      <w:pPr>
        <w:jc w:val="both"/>
      </w:pPr>
    </w:p>
    <w:p w:rsidR="00644D30" w:rsidRPr="00D3264E" w:rsidRDefault="00644D30" w:rsidP="00097245">
      <w:pPr>
        <w:jc w:val="both"/>
      </w:pPr>
    </w:p>
    <w:p w:rsidR="00C32266" w:rsidRPr="00D3264E" w:rsidRDefault="00C32266" w:rsidP="00097245">
      <w:pPr>
        <w:jc w:val="both"/>
      </w:pPr>
    </w:p>
    <w:p w:rsidR="00C32266" w:rsidRPr="00D3264E" w:rsidRDefault="00C32266" w:rsidP="00097245">
      <w:pPr>
        <w:jc w:val="both"/>
      </w:pPr>
    </w:p>
    <w:p w:rsidR="00996580" w:rsidRPr="00D3264E" w:rsidRDefault="00996580" w:rsidP="00097245">
      <w:pPr>
        <w:jc w:val="both"/>
      </w:pPr>
    </w:p>
    <w:p w:rsidR="00996580" w:rsidRPr="00D3264E" w:rsidRDefault="00996580" w:rsidP="00097245">
      <w:pPr>
        <w:jc w:val="both"/>
      </w:pPr>
    </w:p>
    <w:p w:rsidR="00996580" w:rsidRPr="00D3264E" w:rsidRDefault="00996580" w:rsidP="00097245">
      <w:pPr>
        <w:jc w:val="both"/>
      </w:pPr>
    </w:p>
    <w:p w:rsidR="004F3BE7" w:rsidRPr="00D3264E" w:rsidRDefault="004F3BE7" w:rsidP="00097245">
      <w:pPr>
        <w:pStyle w:val="Heading1"/>
        <w:numPr>
          <w:ilvl w:val="0"/>
          <w:numId w:val="1"/>
        </w:numPr>
        <w:jc w:val="both"/>
        <w:rPr>
          <w:rFonts w:ascii="Times New Roman" w:hAnsi="Times New Roman"/>
          <w:sz w:val="24"/>
          <w:szCs w:val="24"/>
          <w:lang w:val="fr-FR"/>
        </w:rPr>
      </w:pPr>
      <w:bookmarkStart w:id="9" w:name="_Toc455746275"/>
      <w:r w:rsidRPr="00D3264E">
        <w:rPr>
          <w:rFonts w:ascii="Times New Roman" w:hAnsi="Times New Roman"/>
          <w:sz w:val="24"/>
          <w:szCs w:val="24"/>
          <w:lang w:val="fr-FR"/>
        </w:rPr>
        <w:lastRenderedPageBreak/>
        <w:t>R</w:t>
      </w:r>
      <w:r w:rsidR="001D3996" w:rsidRPr="00D3264E">
        <w:rPr>
          <w:rFonts w:ascii="Times New Roman" w:hAnsi="Times New Roman"/>
          <w:sz w:val="24"/>
          <w:szCs w:val="24"/>
          <w:lang w:val="fr-FR"/>
        </w:rPr>
        <w:t>ésumé</w:t>
      </w:r>
      <w:bookmarkEnd w:id="9"/>
    </w:p>
    <w:p w:rsidR="004F3BE7" w:rsidRPr="00D3264E" w:rsidRDefault="004F3BE7" w:rsidP="00097245">
      <w:pPr>
        <w:jc w:val="both"/>
        <w:rPr>
          <w:lang w:val="fr-FR"/>
        </w:rPr>
      </w:pPr>
    </w:p>
    <w:p w:rsidR="0003634E" w:rsidRPr="00D3264E" w:rsidRDefault="002228FB" w:rsidP="00097245">
      <w:pPr>
        <w:pStyle w:val="ListParagraph"/>
        <w:numPr>
          <w:ilvl w:val="0"/>
          <w:numId w:val="5"/>
        </w:numPr>
        <w:autoSpaceDE w:val="0"/>
        <w:autoSpaceDN w:val="0"/>
        <w:adjustRightInd w:val="0"/>
        <w:ind w:left="-72"/>
        <w:jc w:val="both"/>
        <w:rPr>
          <w:rFonts w:eastAsia="Calibri"/>
          <w:i/>
          <w:lang w:val="fr-FR"/>
        </w:rPr>
      </w:pPr>
      <w:r w:rsidRPr="00D3264E">
        <w:rPr>
          <w:bCs/>
          <w:i/>
          <w:lang w:val="fr-FR"/>
        </w:rPr>
        <w:t>C</w:t>
      </w:r>
      <w:r w:rsidR="004F75A6" w:rsidRPr="00D3264E">
        <w:rPr>
          <w:bCs/>
          <w:i/>
          <w:lang w:val="fr-FR"/>
        </w:rPr>
        <w:t>e rapport</w:t>
      </w:r>
      <w:r w:rsidRPr="00D3264E">
        <w:rPr>
          <w:bCs/>
          <w:i/>
          <w:lang w:val="fr-FR"/>
        </w:rPr>
        <w:t xml:space="preserve"> conjoint de</w:t>
      </w:r>
      <w:r w:rsidR="004F75A6" w:rsidRPr="00D3264E">
        <w:rPr>
          <w:bCs/>
          <w:i/>
          <w:lang w:val="fr-FR"/>
        </w:rPr>
        <w:t xml:space="preserve"> </w:t>
      </w:r>
      <w:r w:rsidR="004F3BE7" w:rsidRPr="00D3264E">
        <w:rPr>
          <w:bCs/>
          <w:i/>
          <w:lang w:val="fr-FR"/>
        </w:rPr>
        <w:t>l’Opération des Nations Unies en Côte d’Ivoire (ONUCI)</w:t>
      </w:r>
      <w:r w:rsidR="00B84C0C" w:rsidRPr="00D3264E">
        <w:rPr>
          <w:bCs/>
          <w:i/>
          <w:lang w:val="fr-FR"/>
        </w:rPr>
        <w:t xml:space="preserve"> et </w:t>
      </w:r>
      <w:r w:rsidRPr="00D3264E">
        <w:rPr>
          <w:bCs/>
          <w:i/>
          <w:lang w:val="fr-FR"/>
        </w:rPr>
        <w:t>du</w:t>
      </w:r>
      <w:r w:rsidR="00B84C0C" w:rsidRPr="00D3264E">
        <w:rPr>
          <w:bCs/>
          <w:i/>
          <w:lang w:val="fr-FR"/>
        </w:rPr>
        <w:t xml:space="preserve"> Haut-Commissariat des Nations Unies aux droits de l’homme</w:t>
      </w:r>
      <w:r w:rsidRPr="00D3264E">
        <w:rPr>
          <w:bCs/>
          <w:i/>
          <w:lang w:val="fr-FR"/>
        </w:rPr>
        <w:t xml:space="preserve"> (HCDH)</w:t>
      </w:r>
      <w:r w:rsidR="004F3BE7" w:rsidRPr="00D3264E">
        <w:rPr>
          <w:bCs/>
          <w:i/>
          <w:lang w:val="fr-FR"/>
        </w:rPr>
        <w:t xml:space="preserve"> présente le</w:t>
      </w:r>
      <w:r w:rsidRPr="00D3264E">
        <w:rPr>
          <w:bCs/>
          <w:i/>
          <w:lang w:val="fr-FR"/>
        </w:rPr>
        <w:t>s</w:t>
      </w:r>
      <w:r w:rsidR="004F3BE7" w:rsidRPr="00D3264E">
        <w:rPr>
          <w:bCs/>
          <w:i/>
          <w:lang w:val="fr-FR"/>
        </w:rPr>
        <w:t xml:space="preserve"> résultat</w:t>
      </w:r>
      <w:r w:rsidRPr="00D3264E">
        <w:rPr>
          <w:bCs/>
          <w:i/>
          <w:lang w:val="fr-FR"/>
        </w:rPr>
        <w:t>s</w:t>
      </w:r>
      <w:r w:rsidR="004F3BE7" w:rsidRPr="00D3264E">
        <w:rPr>
          <w:bCs/>
          <w:i/>
          <w:lang w:val="fr-FR"/>
        </w:rPr>
        <w:t xml:space="preserve"> de</w:t>
      </w:r>
      <w:r w:rsidR="00A13740" w:rsidRPr="00D3264E">
        <w:rPr>
          <w:bCs/>
          <w:i/>
          <w:lang w:val="fr-FR"/>
        </w:rPr>
        <w:t xml:space="preserve"> l’observation </w:t>
      </w:r>
      <w:r w:rsidR="004F3BE7" w:rsidRPr="00D3264E">
        <w:rPr>
          <w:bCs/>
          <w:i/>
          <w:lang w:val="fr-FR"/>
        </w:rPr>
        <w:t xml:space="preserve">effectuée </w:t>
      </w:r>
      <w:r w:rsidRPr="00D3264E">
        <w:rPr>
          <w:bCs/>
          <w:i/>
          <w:lang w:val="fr-FR"/>
        </w:rPr>
        <w:t xml:space="preserve">par la Division des droits de l’homme (DDH) de l’ONUCI </w:t>
      </w:r>
      <w:r w:rsidR="004F3BE7" w:rsidRPr="00D3264E">
        <w:rPr>
          <w:bCs/>
          <w:i/>
          <w:lang w:val="fr-FR"/>
        </w:rPr>
        <w:t xml:space="preserve">sur la problématique des viols et </w:t>
      </w:r>
      <w:r w:rsidRPr="00D3264E">
        <w:rPr>
          <w:bCs/>
          <w:i/>
          <w:lang w:val="fr-FR"/>
        </w:rPr>
        <w:t xml:space="preserve">de </w:t>
      </w:r>
      <w:r w:rsidR="004F3BE7" w:rsidRPr="00D3264E">
        <w:rPr>
          <w:bCs/>
          <w:i/>
          <w:lang w:val="fr-FR"/>
        </w:rPr>
        <w:t xml:space="preserve">leur répression </w:t>
      </w:r>
      <w:r w:rsidR="00746B0D" w:rsidRPr="00D3264E">
        <w:rPr>
          <w:bCs/>
          <w:i/>
          <w:lang w:val="fr-FR"/>
        </w:rPr>
        <w:t>judicaire</w:t>
      </w:r>
      <w:r w:rsidR="005A5256" w:rsidRPr="00D3264E">
        <w:rPr>
          <w:bCs/>
          <w:i/>
          <w:lang w:val="fr-FR"/>
        </w:rPr>
        <w:t xml:space="preserve"> en République de Côte d’Ivoire </w:t>
      </w:r>
      <w:r w:rsidRPr="00D3264E">
        <w:rPr>
          <w:bCs/>
          <w:i/>
          <w:lang w:val="fr-FR"/>
        </w:rPr>
        <w:t>entre</w:t>
      </w:r>
      <w:r w:rsidR="004F3BE7" w:rsidRPr="00D3264E">
        <w:rPr>
          <w:bCs/>
          <w:i/>
          <w:lang w:val="fr-FR"/>
        </w:rPr>
        <w:t xml:space="preserve"> </w:t>
      </w:r>
      <w:r w:rsidRPr="00D3264E">
        <w:rPr>
          <w:bCs/>
          <w:i/>
          <w:lang w:val="fr-FR"/>
        </w:rPr>
        <w:t xml:space="preserve">le </w:t>
      </w:r>
      <w:r w:rsidR="004F3BE7" w:rsidRPr="00D3264E">
        <w:rPr>
          <w:bCs/>
          <w:i/>
          <w:lang w:val="fr-FR"/>
        </w:rPr>
        <w:t>1</w:t>
      </w:r>
      <w:r w:rsidR="004F3BE7" w:rsidRPr="00D3264E">
        <w:rPr>
          <w:bCs/>
          <w:i/>
          <w:vertAlign w:val="superscript"/>
          <w:lang w:val="fr-FR"/>
        </w:rPr>
        <w:t>er</w:t>
      </w:r>
      <w:r w:rsidR="004A4C32" w:rsidRPr="00D3264E">
        <w:rPr>
          <w:bCs/>
          <w:i/>
          <w:lang w:val="fr-FR"/>
        </w:rPr>
        <w:t xml:space="preserve"> janvier 2012 </w:t>
      </w:r>
      <w:r w:rsidRPr="00D3264E">
        <w:rPr>
          <w:bCs/>
          <w:i/>
          <w:lang w:val="fr-FR"/>
        </w:rPr>
        <w:t>et le</w:t>
      </w:r>
      <w:r w:rsidR="004A4C32" w:rsidRPr="00D3264E">
        <w:rPr>
          <w:bCs/>
          <w:i/>
          <w:lang w:val="fr-FR"/>
        </w:rPr>
        <w:t xml:space="preserve"> 3</w:t>
      </w:r>
      <w:r w:rsidR="000C7A33" w:rsidRPr="00D3264E">
        <w:rPr>
          <w:bCs/>
          <w:i/>
          <w:lang w:val="fr-FR"/>
        </w:rPr>
        <w:t>1 décembre</w:t>
      </w:r>
      <w:r w:rsidR="004A4C32" w:rsidRPr="00D3264E">
        <w:rPr>
          <w:bCs/>
          <w:i/>
          <w:lang w:val="fr-FR"/>
        </w:rPr>
        <w:t xml:space="preserve"> 2015</w:t>
      </w:r>
      <w:r w:rsidR="004F3BE7" w:rsidRPr="00D3264E">
        <w:rPr>
          <w:bCs/>
          <w:i/>
          <w:lang w:val="fr-FR"/>
        </w:rPr>
        <w:t xml:space="preserve">. </w:t>
      </w:r>
    </w:p>
    <w:p w:rsidR="0003634E" w:rsidRPr="00D3264E" w:rsidRDefault="0003634E" w:rsidP="00097245">
      <w:pPr>
        <w:pStyle w:val="ListParagraph"/>
        <w:autoSpaceDE w:val="0"/>
        <w:autoSpaceDN w:val="0"/>
        <w:adjustRightInd w:val="0"/>
        <w:ind w:left="-72"/>
        <w:jc w:val="both"/>
        <w:rPr>
          <w:rFonts w:eastAsia="Calibri"/>
          <w:i/>
          <w:lang w:val="fr-FR"/>
        </w:rPr>
      </w:pPr>
    </w:p>
    <w:p w:rsidR="00DF6ED5" w:rsidRPr="00D3264E" w:rsidRDefault="004F3BE7" w:rsidP="00097245">
      <w:pPr>
        <w:pStyle w:val="ListParagraph"/>
        <w:numPr>
          <w:ilvl w:val="0"/>
          <w:numId w:val="5"/>
        </w:numPr>
        <w:autoSpaceDE w:val="0"/>
        <w:autoSpaceDN w:val="0"/>
        <w:adjustRightInd w:val="0"/>
        <w:ind w:left="-72"/>
        <w:jc w:val="both"/>
        <w:rPr>
          <w:rFonts w:eastAsia="Calibri"/>
          <w:i/>
          <w:lang w:val="fr-FR"/>
        </w:rPr>
      </w:pPr>
      <w:r w:rsidRPr="00D3264E">
        <w:rPr>
          <w:bCs/>
          <w:i/>
          <w:lang w:val="fr-FR"/>
        </w:rPr>
        <w:t>Ce rapport</w:t>
      </w:r>
      <w:r w:rsidR="00C539AB" w:rsidRPr="00D3264E">
        <w:rPr>
          <w:bCs/>
          <w:i/>
          <w:lang w:val="fr-FR"/>
        </w:rPr>
        <w:t xml:space="preserve"> s’inscrit dans le cadre de la r</w:t>
      </w:r>
      <w:r w:rsidRPr="00D3264E">
        <w:rPr>
          <w:bCs/>
          <w:i/>
          <w:lang w:val="fr-FR"/>
        </w:rPr>
        <w:t xml:space="preserve">ésolution 1528 (2004) du Conseil de sécurité des Nations Unies et </w:t>
      </w:r>
      <w:r w:rsidR="0003634E" w:rsidRPr="00D3264E">
        <w:rPr>
          <w:bCs/>
          <w:i/>
          <w:lang w:val="fr-FR"/>
        </w:rPr>
        <w:t>d</w:t>
      </w:r>
      <w:r w:rsidRPr="00D3264E">
        <w:rPr>
          <w:bCs/>
          <w:i/>
          <w:lang w:val="fr-FR"/>
        </w:rPr>
        <w:t xml:space="preserve">es résolutions subséquentes qui donnent </w:t>
      </w:r>
      <w:r w:rsidR="00C97319" w:rsidRPr="00D3264E">
        <w:rPr>
          <w:bCs/>
          <w:i/>
          <w:lang w:val="fr-FR"/>
        </w:rPr>
        <w:t>notammen</w:t>
      </w:r>
      <w:r w:rsidR="004A4C32" w:rsidRPr="00D3264E">
        <w:rPr>
          <w:bCs/>
          <w:i/>
          <w:lang w:val="fr-FR"/>
        </w:rPr>
        <w:t xml:space="preserve">t </w:t>
      </w:r>
      <w:r w:rsidRPr="00D3264E">
        <w:rPr>
          <w:bCs/>
          <w:i/>
          <w:lang w:val="fr-FR"/>
        </w:rPr>
        <w:t xml:space="preserve">mandat à l’ONUCI </w:t>
      </w:r>
      <w:r w:rsidRPr="00D3264E">
        <w:rPr>
          <w:i/>
          <w:lang w:val="fr-FR"/>
        </w:rPr>
        <w:t>de </w:t>
      </w:r>
      <w:r w:rsidRPr="00D3264E">
        <w:rPr>
          <w:rFonts w:eastAsia="Calibri"/>
          <w:i/>
          <w:lang w:val="fr-FR"/>
        </w:rPr>
        <w:t xml:space="preserve">contribuer à la promotion et à la défense des droits de l’homme en Côte d’Ivoire en prêtant une attention particulière aux actes de violence commis contre les femmes et les </w:t>
      </w:r>
      <w:r w:rsidR="00A13740" w:rsidRPr="00D3264E">
        <w:rPr>
          <w:rFonts w:eastAsia="Calibri"/>
          <w:i/>
          <w:lang w:val="fr-FR"/>
        </w:rPr>
        <w:t>enfants</w:t>
      </w:r>
      <w:r w:rsidRPr="00D3264E">
        <w:rPr>
          <w:rFonts w:eastAsia="Calibri"/>
          <w:i/>
          <w:lang w:val="fr-FR"/>
        </w:rPr>
        <w:t xml:space="preserve">, et </w:t>
      </w:r>
      <w:r w:rsidR="004A4C32" w:rsidRPr="00D3264E">
        <w:rPr>
          <w:rFonts w:eastAsia="Calibri"/>
          <w:i/>
          <w:lang w:val="fr-FR"/>
        </w:rPr>
        <w:t>d’</w:t>
      </w:r>
      <w:r w:rsidRPr="00D3264E">
        <w:rPr>
          <w:rFonts w:eastAsia="Calibri"/>
          <w:i/>
          <w:lang w:val="fr-FR"/>
        </w:rPr>
        <w:t>aider à enquêter sur les violations des droits de l’homme pour mettre fin à l’impunité.</w:t>
      </w:r>
    </w:p>
    <w:p w:rsidR="00DF6ED5" w:rsidRPr="00D3264E" w:rsidRDefault="00DF6ED5" w:rsidP="00097245">
      <w:pPr>
        <w:pStyle w:val="ListParagraph"/>
        <w:autoSpaceDE w:val="0"/>
        <w:autoSpaceDN w:val="0"/>
        <w:adjustRightInd w:val="0"/>
        <w:ind w:left="-72"/>
        <w:jc w:val="both"/>
        <w:rPr>
          <w:rFonts w:eastAsia="Calibri"/>
          <w:i/>
          <w:lang w:val="fr-FR"/>
        </w:rPr>
      </w:pPr>
    </w:p>
    <w:p w:rsidR="002228FB" w:rsidRPr="00D3264E" w:rsidRDefault="004F3BE7" w:rsidP="00097245">
      <w:pPr>
        <w:pStyle w:val="ListParagraph"/>
        <w:numPr>
          <w:ilvl w:val="0"/>
          <w:numId w:val="5"/>
        </w:numPr>
        <w:autoSpaceDE w:val="0"/>
        <w:autoSpaceDN w:val="0"/>
        <w:adjustRightInd w:val="0"/>
        <w:ind w:left="-72"/>
        <w:jc w:val="both"/>
        <w:rPr>
          <w:rFonts w:eastAsia="Calibri"/>
          <w:i/>
          <w:lang w:val="fr-FR"/>
        </w:rPr>
      </w:pPr>
      <w:r w:rsidRPr="00D3264E">
        <w:rPr>
          <w:bCs/>
          <w:i/>
          <w:lang w:val="fr-FR"/>
        </w:rPr>
        <w:t>Dans le cadre de ses activités de su</w:t>
      </w:r>
      <w:r w:rsidR="0003634E" w:rsidRPr="00D3264E">
        <w:rPr>
          <w:bCs/>
          <w:i/>
          <w:lang w:val="fr-FR"/>
        </w:rPr>
        <w:t>ivi</w:t>
      </w:r>
      <w:r w:rsidRPr="00D3264E">
        <w:rPr>
          <w:bCs/>
          <w:i/>
          <w:lang w:val="fr-FR"/>
        </w:rPr>
        <w:t xml:space="preserve"> de la situation des droits de l’homme, la DDH a pu documenter </w:t>
      </w:r>
      <w:r w:rsidR="0038415C" w:rsidRPr="00D3264E">
        <w:rPr>
          <w:bCs/>
          <w:i/>
          <w:lang w:val="fr-FR"/>
        </w:rPr>
        <w:t>1</w:t>
      </w:r>
      <w:r w:rsidR="007947C0" w:rsidRPr="00D3264E">
        <w:rPr>
          <w:bCs/>
          <w:i/>
          <w:lang w:val="fr-FR"/>
        </w:rPr>
        <w:t>.</w:t>
      </w:r>
      <w:r w:rsidR="009212A9" w:rsidRPr="00D3264E">
        <w:rPr>
          <w:bCs/>
          <w:i/>
          <w:lang w:val="fr-FR"/>
        </w:rPr>
        <w:t>129</w:t>
      </w:r>
      <w:r w:rsidRPr="00D3264E">
        <w:rPr>
          <w:bCs/>
          <w:i/>
          <w:lang w:val="fr-FR"/>
        </w:rPr>
        <w:t xml:space="preserve"> </w:t>
      </w:r>
      <w:r w:rsidR="0038415C" w:rsidRPr="00D3264E">
        <w:rPr>
          <w:bCs/>
          <w:i/>
          <w:lang w:val="fr-FR"/>
        </w:rPr>
        <w:t xml:space="preserve">cas de viol </w:t>
      </w:r>
      <w:r w:rsidR="0003634E" w:rsidRPr="00D3264E">
        <w:rPr>
          <w:bCs/>
          <w:i/>
          <w:lang w:val="fr-FR"/>
        </w:rPr>
        <w:t xml:space="preserve">affectant </w:t>
      </w:r>
      <w:r w:rsidR="0038415C" w:rsidRPr="00D3264E">
        <w:rPr>
          <w:bCs/>
          <w:i/>
          <w:lang w:val="fr-FR"/>
        </w:rPr>
        <w:t>1</w:t>
      </w:r>
      <w:r w:rsidR="007947C0" w:rsidRPr="00D3264E">
        <w:rPr>
          <w:bCs/>
          <w:i/>
          <w:lang w:val="fr-FR"/>
        </w:rPr>
        <w:t>.</w:t>
      </w:r>
      <w:r w:rsidR="009212A9" w:rsidRPr="00D3264E">
        <w:rPr>
          <w:bCs/>
          <w:i/>
          <w:lang w:val="fr-FR"/>
        </w:rPr>
        <w:t>146</w:t>
      </w:r>
      <w:r w:rsidR="001055BB" w:rsidRPr="00D3264E">
        <w:rPr>
          <w:bCs/>
          <w:i/>
          <w:lang w:val="fr-FR"/>
        </w:rPr>
        <w:t xml:space="preserve"> victimes</w:t>
      </w:r>
      <w:r w:rsidRPr="00D3264E">
        <w:rPr>
          <w:bCs/>
          <w:i/>
          <w:lang w:val="fr-FR"/>
        </w:rPr>
        <w:t xml:space="preserve"> </w:t>
      </w:r>
      <w:r w:rsidR="00C6047E" w:rsidRPr="00D3264E">
        <w:rPr>
          <w:bCs/>
          <w:i/>
          <w:lang w:val="fr-FR"/>
        </w:rPr>
        <w:t xml:space="preserve">à travers </w:t>
      </w:r>
      <w:r w:rsidR="0003634E" w:rsidRPr="00D3264E">
        <w:rPr>
          <w:bCs/>
          <w:i/>
          <w:lang w:val="fr-FR"/>
        </w:rPr>
        <w:t xml:space="preserve">tout </w:t>
      </w:r>
      <w:r w:rsidR="00C6047E" w:rsidRPr="00D3264E">
        <w:rPr>
          <w:bCs/>
          <w:i/>
          <w:lang w:val="fr-FR"/>
        </w:rPr>
        <w:t>le</w:t>
      </w:r>
      <w:r w:rsidR="004F75A6" w:rsidRPr="00D3264E">
        <w:rPr>
          <w:bCs/>
          <w:i/>
          <w:lang w:val="fr-FR"/>
        </w:rPr>
        <w:t xml:space="preserve"> territoire de la Côte d’Ivoire</w:t>
      </w:r>
      <w:r w:rsidRPr="00D3264E">
        <w:rPr>
          <w:bCs/>
          <w:i/>
          <w:lang w:val="fr-FR"/>
        </w:rPr>
        <w:t xml:space="preserve"> entre le 1</w:t>
      </w:r>
      <w:r w:rsidRPr="00D3264E">
        <w:rPr>
          <w:bCs/>
          <w:i/>
          <w:vertAlign w:val="superscript"/>
          <w:lang w:val="fr-FR"/>
        </w:rPr>
        <w:t>er</w:t>
      </w:r>
      <w:r w:rsidRPr="00D3264E">
        <w:rPr>
          <w:bCs/>
          <w:i/>
          <w:lang w:val="fr-FR"/>
        </w:rPr>
        <w:t xml:space="preserve"> janvier 2012 et le 3</w:t>
      </w:r>
      <w:r w:rsidR="009212A9" w:rsidRPr="00D3264E">
        <w:rPr>
          <w:bCs/>
          <w:i/>
          <w:lang w:val="fr-FR"/>
        </w:rPr>
        <w:t>1</w:t>
      </w:r>
      <w:r w:rsidRPr="00D3264E">
        <w:rPr>
          <w:bCs/>
          <w:i/>
          <w:lang w:val="fr-FR"/>
        </w:rPr>
        <w:t xml:space="preserve"> </w:t>
      </w:r>
      <w:r w:rsidR="009212A9" w:rsidRPr="00D3264E">
        <w:rPr>
          <w:bCs/>
          <w:i/>
          <w:lang w:val="fr-FR"/>
        </w:rPr>
        <w:t xml:space="preserve">décembre </w:t>
      </w:r>
      <w:r w:rsidRPr="00D3264E">
        <w:rPr>
          <w:bCs/>
          <w:i/>
          <w:lang w:val="fr-FR"/>
        </w:rPr>
        <w:t xml:space="preserve">2015. </w:t>
      </w:r>
      <w:r w:rsidR="004F75A6" w:rsidRPr="00D3264E">
        <w:rPr>
          <w:bCs/>
          <w:i/>
          <w:lang w:val="fr-FR"/>
        </w:rPr>
        <w:t>Soi</w:t>
      </w:r>
      <w:r w:rsidR="00871966" w:rsidRPr="00D3264E">
        <w:rPr>
          <w:bCs/>
          <w:i/>
          <w:lang w:val="fr-FR"/>
        </w:rPr>
        <w:t>x</w:t>
      </w:r>
      <w:r w:rsidR="004F75A6" w:rsidRPr="00D3264E">
        <w:rPr>
          <w:bCs/>
          <w:i/>
          <w:lang w:val="fr-FR"/>
        </w:rPr>
        <w:t>ante-six</w:t>
      </w:r>
      <w:r w:rsidR="00CD1996" w:rsidRPr="00D3264E">
        <w:rPr>
          <w:bCs/>
          <w:i/>
          <w:lang w:val="fr-FR"/>
        </w:rPr>
        <w:t xml:space="preserve"> </w:t>
      </w:r>
      <w:r w:rsidRPr="00D3264E">
        <w:rPr>
          <w:bCs/>
          <w:i/>
          <w:lang w:val="fr-FR"/>
        </w:rPr>
        <w:t xml:space="preserve">pour cent des victimes étaient </w:t>
      </w:r>
      <w:r w:rsidR="000E1E7F" w:rsidRPr="00D3264E">
        <w:rPr>
          <w:bCs/>
          <w:i/>
          <w:lang w:val="fr-FR"/>
        </w:rPr>
        <w:t>des enfants</w:t>
      </w:r>
      <w:r w:rsidR="002228FB" w:rsidRPr="00D3264E">
        <w:rPr>
          <w:bCs/>
          <w:i/>
          <w:lang w:val="fr-FR"/>
        </w:rPr>
        <w:t xml:space="preserve">, dont </w:t>
      </w:r>
      <w:r w:rsidR="004F75A6" w:rsidRPr="00D3264E">
        <w:rPr>
          <w:bCs/>
          <w:i/>
          <w:lang w:val="fr-FR"/>
        </w:rPr>
        <w:t>un</w:t>
      </w:r>
      <w:r w:rsidR="0038457F" w:rsidRPr="00D3264E">
        <w:rPr>
          <w:bCs/>
          <w:i/>
          <w:lang w:val="fr-FR"/>
        </w:rPr>
        <w:t xml:space="preserve"> pour cent</w:t>
      </w:r>
      <w:r w:rsidR="003208DE" w:rsidRPr="00D3264E">
        <w:rPr>
          <w:bCs/>
          <w:i/>
          <w:lang w:val="fr-FR"/>
        </w:rPr>
        <w:t xml:space="preserve"> </w:t>
      </w:r>
      <w:r w:rsidR="002228FB" w:rsidRPr="00D3264E">
        <w:rPr>
          <w:bCs/>
          <w:i/>
          <w:lang w:val="fr-FR"/>
        </w:rPr>
        <w:t xml:space="preserve">étaient </w:t>
      </w:r>
      <w:r w:rsidR="003208DE" w:rsidRPr="00D3264E">
        <w:rPr>
          <w:bCs/>
          <w:i/>
          <w:lang w:val="fr-FR"/>
        </w:rPr>
        <w:t>des garçons</w:t>
      </w:r>
      <w:r w:rsidRPr="00D3264E">
        <w:rPr>
          <w:bCs/>
          <w:i/>
          <w:lang w:val="fr-FR"/>
        </w:rPr>
        <w:t>.</w:t>
      </w:r>
      <w:r w:rsidR="00CD1996" w:rsidRPr="00D3264E">
        <w:rPr>
          <w:bCs/>
          <w:i/>
          <w:lang w:val="fr-FR"/>
        </w:rPr>
        <w:t xml:space="preserve"> </w:t>
      </w:r>
    </w:p>
    <w:p w:rsidR="002228FB" w:rsidRPr="00D3264E" w:rsidRDefault="002228FB" w:rsidP="00097245">
      <w:pPr>
        <w:pStyle w:val="ListParagraph"/>
        <w:rPr>
          <w:bCs/>
          <w:i/>
          <w:lang w:val="fr-FR"/>
        </w:rPr>
      </w:pPr>
    </w:p>
    <w:p w:rsidR="00DF6ED5" w:rsidRPr="00D3264E" w:rsidRDefault="00CD1996" w:rsidP="00097245">
      <w:pPr>
        <w:pStyle w:val="ListParagraph"/>
        <w:numPr>
          <w:ilvl w:val="0"/>
          <w:numId w:val="5"/>
        </w:numPr>
        <w:autoSpaceDE w:val="0"/>
        <w:autoSpaceDN w:val="0"/>
        <w:adjustRightInd w:val="0"/>
        <w:ind w:left="-72"/>
        <w:jc w:val="both"/>
        <w:rPr>
          <w:rFonts w:eastAsia="Calibri"/>
          <w:i/>
          <w:lang w:val="fr-FR"/>
        </w:rPr>
      </w:pPr>
      <w:r w:rsidRPr="00D3264E">
        <w:rPr>
          <w:bCs/>
          <w:i/>
          <w:lang w:val="fr-FR"/>
        </w:rPr>
        <w:t>Près de s</w:t>
      </w:r>
      <w:r w:rsidR="009D3D0D" w:rsidRPr="00D3264E">
        <w:rPr>
          <w:bCs/>
          <w:i/>
          <w:lang w:val="fr-FR"/>
        </w:rPr>
        <w:t xml:space="preserve">ept </w:t>
      </w:r>
      <w:r w:rsidR="004F3BE7" w:rsidRPr="00D3264E">
        <w:rPr>
          <w:bCs/>
          <w:i/>
          <w:lang w:val="fr-FR"/>
        </w:rPr>
        <w:t xml:space="preserve">pour cent de </w:t>
      </w:r>
      <w:r w:rsidR="00C77010" w:rsidRPr="00D3264E">
        <w:rPr>
          <w:bCs/>
          <w:i/>
          <w:lang w:val="fr-FR"/>
        </w:rPr>
        <w:t xml:space="preserve">l’ensemble </w:t>
      </w:r>
      <w:r w:rsidR="004F75A6" w:rsidRPr="00D3264E">
        <w:rPr>
          <w:bCs/>
          <w:i/>
          <w:lang w:val="fr-FR"/>
        </w:rPr>
        <w:t>des auteurs</w:t>
      </w:r>
      <w:r w:rsidR="000234DD" w:rsidRPr="00D3264E">
        <w:rPr>
          <w:bCs/>
          <w:i/>
          <w:lang w:val="fr-FR"/>
        </w:rPr>
        <w:t xml:space="preserve"> présumés</w:t>
      </w:r>
      <w:r w:rsidR="004F75A6" w:rsidRPr="00D3264E">
        <w:rPr>
          <w:bCs/>
          <w:i/>
          <w:lang w:val="fr-FR"/>
        </w:rPr>
        <w:t xml:space="preserve"> </w:t>
      </w:r>
      <w:r w:rsidR="00C77010" w:rsidRPr="00D3264E">
        <w:rPr>
          <w:bCs/>
          <w:i/>
          <w:lang w:val="fr-FR"/>
        </w:rPr>
        <w:t>des</w:t>
      </w:r>
      <w:r w:rsidR="004F3BE7" w:rsidRPr="00D3264E">
        <w:rPr>
          <w:bCs/>
          <w:i/>
          <w:lang w:val="fr-FR"/>
        </w:rPr>
        <w:t xml:space="preserve"> cas </w:t>
      </w:r>
      <w:r w:rsidR="00C77010" w:rsidRPr="00D3264E">
        <w:rPr>
          <w:bCs/>
          <w:i/>
          <w:lang w:val="fr-FR"/>
        </w:rPr>
        <w:t xml:space="preserve">documentés par la DDH </w:t>
      </w:r>
      <w:r w:rsidR="005A5256" w:rsidRPr="00D3264E">
        <w:rPr>
          <w:bCs/>
          <w:i/>
          <w:lang w:val="fr-FR"/>
        </w:rPr>
        <w:t xml:space="preserve">étaient </w:t>
      </w:r>
      <w:r w:rsidR="004F3BE7" w:rsidRPr="00D3264E">
        <w:rPr>
          <w:bCs/>
          <w:i/>
          <w:lang w:val="fr-FR"/>
        </w:rPr>
        <w:t xml:space="preserve">des agents de l’Etat, </w:t>
      </w:r>
      <w:r w:rsidR="007947C0" w:rsidRPr="00D3264E">
        <w:rPr>
          <w:bCs/>
          <w:i/>
          <w:lang w:val="fr-FR"/>
        </w:rPr>
        <w:t xml:space="preserve">principalement </w:t>
      </w:r>
      <w:r w:rsidR="004F3BE7" w:rsidRPr="00D3264E">
        <w:rPr>
          <w:bCs/>
          <w:i/>
          <w:lang w:val="fr-FR"/>
        </w:rPr>
        <w:t xml:space="preserve">des éléments des Forces </w:t>
      </w:r>
      <w:r w:rsidR="0003634E" w:rsidRPr="00D3264E">
        <w:rPr>
          <w:bCs/>
          <w:i/>
          <w:lang w:val="fr-FR"/>
        </w:rPr>
        <w:t>r</w:t>
      </w:r>
      <w:r w:rsidR="004F3BE7" w:rsidRPr="00D3264E">
        <w:rPr>
          <w:bCs/>
          <w:i/>
          <w:lang w:val="fr-FR"/>
        </w:rPr>
        <w:t>épublicaines de Côte d’Ivoir</w:t>
      </w:r>
      <w:r w:rsidR="0051221B" w:rsidRPr="00D3264E">
        <w:rPr>
          <w:bCs/>
          <w:i/>
          <w:lang w:val="fr-FR"/>
        </w:rPr>
        <w:t>e</w:t>
      </w:r>
      <w:r w:rsidR="00A30171" w:rsidRPr="00D3264E">
        <w:rPr>
          <w:bCs/>
          <w:i/>
          <w:lang w:val="fr-FR"/>
        </w:rPr>
        <w:t xml:space="preserve"> (</w:t>
      </w:r>
      <w:r w:rsidR="0051221B" w:rsidRPr="00D3264E">
        <w:rPr>
          <w:bCs/>
          <w:i/>
          <w:lang w:val="fr-FR"/>
        </w:rPr>
        <w:t>FRCI</w:t>
      </w:r>
      <w:r w:rsidR="00A30171" w:rsidRPr="00D3264E">
        <w:rPr>
          <w:bCs/>
          <w:i/>
          <w:lang w:val="fr-FR"/>
        </w:rPr>
        <w:t>)</w:t>
      </w:r>
      <w:r w:rsidR="0051221B" w:rsidRPr="00D3264E">
        <w:rPr>
          <w:bCs/>
          <w:i/>
          <w:lang w:val="fr-FR"/>
        </w:rPr>
        <w:t xml:space="preserve"> </w:t>
      </w:r>
      <w:r w:rsidR="004F6237" w:rsidRPr="00D3264E">
        <w:rPr>
          <w:bCs/>
          <w:i/>
          <w:lang w:val="fr-FR"/>
        </w:rPr>
        <w:t xml:space="preserve">et </w:t>
      </w:r>
      <w:r w:rsidR="004F3BE7" w:rsidRPr="00D3264E">
        <w:rPr>
          <w:bCs/>
          <w:i/>
          <w:lang w:val="fr-FR"/>
        </w:rPr>
        <w:t>des enseignants</w:t>
      </w:r>
      <w:r w:rsidR="007947C0" w:rsidRPr="00D3264E">
        <w:rPr>
          <w:bCs/>
          <w:i/>
          <w:lang w:val="fr-FR"/>
        </w:rPr>
        <w:t xml:space="preserve">. </w:t>
      </w:r>
      <w:r w:rsidR="004F3BE7" w:rsidRPr="00D3264E">
        <w:rPr>
          <w:bCs/>
          <w:i/>
          <w:lang w:val="fr-FR"/>
        </w:rPr>
        <w:t xml:space="preserve">Ces chiffres </w:t>
      </w:r>
      <w:r w:rsidR="00643E74" w:rsidRPr="00D3264E">
        <w:rPr>
          <w:bCs/>
          <w:i/>
          <w:lang w:val="fr-FR"/>
        </w:rPr>
        <w:t xml:space="preserve">ne </w:t>
      </w:r>
      <w:r w:rsidR="004F3BE7" w:rsidRPr="00D3264E">
        <w:rPr>
          <w:bCs/>
          <w:i/>
          <w:lang w:val="fr-FR"/>
        </w:rPr>
        <w:t>se réfèrent qu’aux cas de viol documentés par la DDH</w:t>
      </w:r>
      <w:r w:rsidR="001055BB" w:rsidRPr="00D3264E">
        <w:rPr>
          <w:bCs/>
          <w:i/>
          <w:lang w:val="fr-FR"/>
        </w:rPr>
        <w:t xml:space="preserve"> au cours de la période </w:t>
      </w:r>
      <w:r w:rsidR="00C6047E" w:rsidRPr="00D3264E">
        <w:rPr>
          <w:bCs/>
          <w:i/>
          <w:lang w:val="fr-FR"/>
        </w:rPr>
        <w:t xml:space="preserve">couverte </w:t>
      </w:r>
      <w:r w:rsidR="001055BB" w:rsidRPr="00D3264E">
        <w:rPr>
          <w:bCs/>
          <w:i/>
          <w:lang w:val="fr-FR"/>
        </w:rPr>
        <w:t xml:space="preserve"> par ce rapport. </w:t>
      </w:r>
      <w:r w:rsidR="004F3BE7" w:rsidRPr="00D3264E">
        <w:rPr>
          <w:bCs/>
          <w:i/>
          <w:lang w:val="fr-FR"/>
        </w:rPr>
        <w:t xml:space="preserve">En effet, </w:t>
      </w:r>
      <w:r w:rsidR="000546B8" w:rsidRPr="00D3264E">
        <w:rPr>
          <w:bCs/>
          <w:i/>
          <w:lang w:val="fr-FR"/>
        </w:rPr>
        <w:t>la DDH n’a pas la capacité de documenter tous les cas de viol commis à travers l</w:t>
      </w:r>
      <w:r w:rsidR="00804EF6" w:rsidRPr="00D3264E">
        <w:rPr>
          <w:bCs/>
          <w:i/>
          <w:lang w:val="fr-FR"/>
        </w:rPr>
        <w:t>e</w:t>
      </w:r>
      <w:r w:rsidR="000546B8" w:rsidRPr="00D3264E">
        <w:rPr>
          <w:bCs/>
          <w:i/>
          <w:lang w:val="fr-FR"/>
        </w:rPr>
        <w:t xml:space="preserve"> </w:t>
      </w:r>
      <w:r w:rsidR="00C6047E" w:rsidRPr="00D3264E">
        <w:rPr>
          <w:bCs/>
          <w:i/>
          <w:lang w:val="fr-FR"/>
        </w:rPr>
        <w:t>pays</w:t>
      </w:r>
      <w:r w:rsidR="000546B8" w:rsidRPr="00D3264E">
        <w:rPr>
          <w:bCs/>
          <w:i/>
          <w:lang w:val="fr-FR"/>
        </w:rPr>
        <w:t xml:space="preserve">. Par ailleurs, </w:t>
      </w:r>
      <w:r w:rsidR="00643E74" w:rsidRPr="00D3264E">
        <w:rPr>
          <w:bCs/>
          <w:i/>
          <w:lang w:val="fr-FR"/>
        </w:rPr>
        <w:t xml:space="preserve">certaines </w:t>
      </w:r>
      <w:r w:rsidR="004F3BE7" w:rsidRPr="00D3264E">
        <w:rPr>
          <w:bCs/>
          <w:i/>
          <w:lang w:val="fr-FR"/>
        </w:rPr>
        <w:t>victimes ne dénoncent pas le</w:t>
      </w:r>
      <w:r w:rsidR="0003634E" w:rsidRPr="00D3264E">
        <w:rPr>
          <w:bCs/>
          <w:i/>
          <w:lang w:val="fr-FR"/>
        </w:rPr>
        <w:t>s</w:t>
      </w:r>
      <w:r w:rsidR="004F3BE7" w:rsidRPr="00D3264E">
        <w:rPr>
          <w:bCs/>
          <w:i/>
          <w:lang w:val="fr-FR"/>
        </w:rPr>
        <w:t xml:space="preserve"> </w:t>
      </w:r>
      <w:r w:rsidR="00E37A0C" w:rsidRPr="00D3264E">
        <w:rPr>
          <w:bCs/>
          <w:i/>
          <w:lang w:val="fr-FR"/>
        </w:rPr>
        <w:t>violences sexuelles</w:t>
      </w:r>
      <w:r w:rsidR="004F3BE7" w:rsidRPr="00D3264E">
        <w:rPr>
          <w:bCs/>
          <w:i/>
          <w:lang w:val="fr-FR"/>
        </w:rPr>
        <w:t xml:space="preserve"> dont elles ont fait l’objet en raison notamment </w:t>
      </w:r>
      <w:r w:rsidR="0055212B" w:rsidRPr="00D3264E">
        <w:rPr>
          <w:bCs/>
          <w:i/>
          <w:lang w:val="fr-FR"/>
        </w:rPr>
        <w:t xml:space="preserve">du risque </w:t>
      </w:r>
      <w:r w:rsidR="0003634E" w:rsidRPr="00D3264E">
        <w:rPr>
          <w:bCs/>
          <w:i/>
          <w:lang w:val="fr-FR"/>
        </w:rPr>
        <w:t xml:space="preserve">ou des craintes </w:t>
      </w:r>
      <w:r w:rsidR="00286268" w:rsidRPr="00D3264E">
        <w:rPr>
          <w:bCs/>
          <w:i/>
          <w:lang w:val="fr-FR"/>
        </w:rPr>
        <w:t xml:space="preserve">de représailles et </w:t>
      </w:r>
      <w:r w:rsidR="0055212B" w:rsidRPr="00D3264E">
        <w:rPr>
          <w:bCs/>
          <w:i/>
          <w:lang w:val="fr-FR"/>
        </w:rPr>
        <w:t xml:space="preserve">de </w:t>
      </w:r>
      <w:r w:rsidR="007947C0" w:rsidRPr="00D3264E">
        <w:rPr>
          <w:bCs/>
          <w:i/>
          <w:lang w:val="fr-FR"/>
        </w:rPr>
        <w:t xml:space="preserve">stigmatisation </w:t>
      </w:r>
      <w:r w:rsidR="0055212B" w:rsidRPr="00D3264E">
        <w:rPr>
          <w:bCs/>
          <w:i/>
          <w:lang w:val="fr-FR"/>
        </w:rPr>
        <w:t>par leurs communautés</w:t>
      </w:r>
      <w:r w:rsidR="00172C3B" w:rsidRPr="00D3264E">
        <w:rPr>
          <w:bCs/>
          <w:i/>
          <w:lang w:val="fr-FR"/>
        </w:rPr>
        <w:t>, du</w:t>
      </w:r>
      <w:r w:rsidR="00905888" w:rsidRPr="00D3264E">
        <w:rPr>
          <w:bCs/>
          <w:i/>
          <w:lang w:val="fr-FR"/>
        </w:rPr>
        <w:t xml:space="preserve"> manque de confiance dans le système judiciaire </w:t>
      </w:r>
      <w:r w:rsidR="007947C0" w:rsidRPr="00D3264E">
        <w:rPr>
          <w:bCs/>
          <w:i/>
          <w:lang w:val="fr-FR"/>
        </w:rPr>
        <w:t>et d</w:t>
      </w:r>
      <w:r w:rsidR="0003634E" w:rsidRPr="00D3264E">
        <w:rPr>
          <w:bCs/>
          <w:i/>
          <w:lang w:val="fr-FR"/>
        </w:rPr>
        <w:t>’</w:t>
      </w:r>
      <w:r w:rsidR="00E37A0C" w:rsidRPr="00D3264E">
        <w:rPr>
          <w:bCs/>
          <w:i/>
          <w:lang w:val="fr-FR"/>
        </w:rPr>
        <w:t>un</w:t>
      </w:r>
      <w:r w:rsidR="00B72AD9" w:rsidRPr="00D3264E">
        <w:rPr>
          <w:bCs/>
          <w:i/>
          <w:lang w:val="fr-FR"/>
        </w:rPr>
        <w:t>e</w:t>
      </w:r>
      <w:r w:rsidR="00FA7D1D" w:rsidRPr="00D3264E">
        <w:rPr>
          <w:bCs/>
          <w:i/>
          <w:lang w:val="fr-FR"/>
        </w:rPr>
        <w:t xml:space="preserve"> </w:t>
      </w:r>
      <w:r w:rsidR="00B72AD9" w:rsidRPr="00D3264E">
        <w:rPr>
          <w:bCs/>
          <w:i/>
          <w:lang w:val="fr-FR"/>
        </w:rPr>
        <w:t xml:space="preserve">tendance </w:t>
      </w:r>
      <w:r w:rsidR="00FA7D1D" w:rsidRPr="00D3264E">
        <w:rPr>
          <w:bCs/>
          <w:i/>
          <w:lang w:val="fr-FR"/>
        </w:rPr>
        <w:t xml:space="preserve">de la société </w:t>
      </w:r>
      <w:r w:rsidR="00B72AD9" w:rsidRPr="00D3264E">
        <w:rPr>
          <w:bCs/>
          <w:i/>
          <w:lang w:val="fr-FR"/>
        </w:rPr>
        <w:t xml:space="preserve">à recourir trop </w:t>
      </w:r>
      <w:r w:rsidR="007613FD" w:rsidRPr="00D3264E">
        <w:rPr>
          <w:bCs/>
          <w:i/>
          <w:lang w:val="fr-FR"/>
        </w:rPr>
        <w:t>fréquemment</w:t>
      </w:r>
      <w:r w:rsidR="00B72AD9" w:rsidRPr="00D3264E">
        <w:rPr>
          <w:bCs/>
          <w:i/>
          <w:lang w:val="fr-FR"/>
        </w:rPr>
        <w:t xml:space="preserve"> </w:t>
      </w:r>
      <w:r w:rsidR="007947C0" w:rsidRPr="00D3264E">
        <w:rPr>
          <w:bCs/>
          <w:i/>
          <w:lang w:val="fr-FR"/>
        </w:rPr>
        <w:t>aux arrangements à l’amiable.</w:t>
      </w:r>
    </w:p>
    <w:p w:rsidR="00DF6ED5" w:rsidRPr="00D3264E" w:rsidRDefault="00DF6ED5" w:rsidP="00097245">
      <w:pPr>
        <w:pStyle w:val="ListParagraph"/>
        <w:jc w:val="both"/>
        <w:rPr>
          <w:bCs/>
          <w:i/>
          <w:lang w:val="fr-FR"/>
        </w:rPr>
      </w:pPr>
    </w:p>
    <w:p w:rsidR="001055BB" w:rsidRPr="00D3264E" w:rsidRDefault="004F3BE7" w:rsidP="00097245">
      <w:pPr>
        <w:pStyle w:val="ListParagraph"/>
        <w:numPr>
          <w:ilvl w:val="0"/>
          <w:numId w:val="5"/>
        </w:numPr>
        <w:autoSpaceDE w:val="0"/>
        <w:autoSpaceDN w:val="0"/>
        <w:adjustRightInd w:val="0"/>
        <w:ind w:left="-72"/>
        <w:jc w:val="both"/>
        <w:rPr>
          <w:rFonts w:eastAsia="Calibri"/>
          <w:i/>
          <w:lang w:val="fr-FR"/>
        </w:rPr>
      </w:pPr>
      <w:r w:rsidRPr="00D3264E">
        <w:rPr>
          <w:bCs/>
          <w:i/>
          <w:lang w:val="fr-FR"/>
        </w:rPr>
        <w:t>En ce qui concerne la répression</w:t>
      </w:r>
      <w:r w:rsidR="00301F1D" w:rsidRPr="00D3264E">
        <w:rPr>
          <w:bCs/>
          <w:i/>
          <w:lang w:val="fr-FR"/>
        </w:rPr>
        <w:t xml:space="preserve"> judiciaire</w:t>
      </w:r>
      <w:r w:rsidRPr="00D3264E">
        <w:rPr>
          <w:bCs/>
          <w:i/>
          <w:lang w:val="fr-FR"/>
        </w:rPr>
        <w:t xml:space="preserve"> des viols, selon les</w:t>
      </w:r>
      <w:r w:rsidR="001055BB" w:rsidRPr="00D3264E">
        <w:rPr>
          <w:bCs/>
          <w:i/>
          <w:lang w:val="fr-FR"/>
        </w:rPr>
        <w:t xml:space="preserve"> données collectées par la DDH, </w:t>
      </w:r>
      <w:r w:rsidR="005A5256" w:rsidRPr="00D3264E">
        <w:rPr>
          <w:bCs/>
          <w:i/>
          <w:lang w:val="fr-FR"/>
        </w:rPr>
        <w:t xml:space="preserve">des enquêtes ont </w:t>
      </w:r>
      <w:r w:rsidR="007051A6" w:rsidRPr="00D3264E">
        <w:rPr>
          <w:bCs/>
          <w:i/>
          <w:lang w:val="fr-FR"/>
        </w:rPr>
        <w:t xml:space="preserve">été initiées et </w:t>
      </w:r>
      <w:r w:rsidR="001055BB" w:rsidRPr="00D3264E">
        <w:rPr>
          <w:bCs/>
          <w:i/>
          <w:lang w:val="fr-FR"/>
        </w:rPr>
        <w:t xml:space="preserve">des dossiers ouverts dans </w:t>
      </w:r>
      <w:r w:rsidR="009212A9" w:rsidRPr="00D3264E">
        <w:rPr>
          <w:bCs/>
          <w:i/>
          <w:lang w:val="fr-FR"/>
        </w:rPr>
        <w:t>1.021</w:t>
      </w:r>
      <w:r w:rsidR="001055BB" w:rsidRPr="00D3264E">
        <w:rPr>
          <w:bCs/>
          <w:i/>
          <w:lang w:val="fr-FR"/>
        </w:rPr>
        <w:t xml:space="preserve"> cas</w:t>
      </w:r>
      <w:r w:rsidR="002228FB" w:rsidRPr="00D3264E">
        <w:rPr>
          <w:bCs/>
          <w:i/>
          <w:lang w:val="fr-FR"/>
        </w:rPr>
        <w:t xml:space="preserve">, </w:t>
      </w:r>
      <w:r w:rsidR="0028597D" w:rsidRPr="00D3264E">
        <w:rPr>
          <w:bCs/>
          <w:i/>
          <w:lang w:val="fr-FR"/>
        </w:rPr>
        <w:t xml:space="preserve">soit 90 </w:t>
      </w:r>
      <w:r w:rsidR="001055BB" w:rsidRPr="00D3264E">
        <w:rPr>
          <w:bCs/>
          <w:i/>
          <w:lang w:val="fr-FR"/>
        </w:rPr>
        <w:t>pour cent du nombre total de</w:t>
      </w:r>
      <w:r w:rsidR="001E11EA" w:rsidRPr="00D3264E">
        <w:rPr>
          <w:bCs/>
          <w:i/>
          <w:lang w:val="fr-FR"/>
        </w:rPr>
        <w:t>s</w:t>
      </w:r>
      <w:r w:rsidR="001055BB" w:rsidRPr="00D3264E">
        <w:rPr>
          <w:bCs/>
          <w:i/>
          <w:lang w:val="fr-FR"/>
        </w:rPr>
        <w:t xml:space="preserve"> cas documentés par la DDH</w:t>
      </w:r>
      <w:r w:rsidR="007051A6" w:rsidRPr="00D3264E">
        <w:rPr>
          <w:bCs/>
          <w:i/>
          <w:lang w:val="fr-FR"/>
        </w:rPr>
        <w:t xml:space="preserve">. </w:t>
      </w:r>
      <w:r w:rsidR="00FC20CD" w:rsidRPr="00D3264E">
        <w:rPr>
          <w:bCs/>
          <w:i/>
          <w:lang w:val="fr-FR"/>
        </w:rPr>
        <w:t>Parmi c</w:t>
      </w:r>
      <w:r w:rsidR="002228FB" w:rsidRPr="00D3264E">
        <w:rPr>
          <w:bCs/>
          <w:i/>
          <w:lang w:val="fr-FR"/>
        </w:rPr>
        <w:t xml:space="preserve">es cas, </w:t>
      </w:r>
      <w:r w:rsidR="009212A9" w:rsidRPr="00D3264E">
        <w:rPr>
          <w:bCs/>
          <w:i/>
          <w:lang w:val="fr-FR"/>
        </w:rPr>
        <w:t>203</w:t>
      </w:r>
      <w:r w:rsidR="002228FB" w:rsidRPr="00D3264E">
        <w:rPr>
          <w:bCs/>
          <w:i/>
          <w:lang w:val="fr-FR"/>
        </w:rPr>
        <w:t xml:space="preserve"> -</w:t>
      </w:r>
      <w:r w:rsidR="0039222F" w:rsidRPr="00D3264E">
        <w:rPr>
          <w:bCs/>
          <w:i/>
          <w:lang w:val="fr-FR"/>
        </w:rPr>
        <w:t xml:space="preserve"> </w:t>
      </w:r>
      <w:r w:rsidR="0028597D" w:rsidRPr="00D3264E">
        <w:rPr>
          <w:bCs/>
          <w:i/>
          <w:lang w:val="fr-FR"/>
        </w:rPr>
        <w:t xml:space="preserve">soit </w:t>
      </w:r>
      <w:r w:rsidR="004F75A6" w:rsidRPr="00D3264E">
        <w:rPr>
          <w:bCs/>
          <w:i/>
          <w:lang w:val="fr-FR"/>
        </w:rPr>
        <w:t>près de 18</w:t>
      </w:r>
      <w:r w:rsidR="00CD1996" w:rsidRPr="00D3264E">
        <w:rPr>
          <w:bCs/>
          <w:i/>
          <w:lang w:val="fr-FR"/>
        </w:rPr>
        <w:t xml:space="preserve"> </w:t>
      </w:r>
      <w:r w:rsidR="00FE66E1" w:rsidRPr="00D3264E">
        <w:rPr>
          <w:bCs/>
          <w:i/>
          <w:lang w:val="fr-FR"/>
        </w:rPr>
        <w:t xml:space="preserve">pour cent du nombre total des cas documentés </w:t>
      </w:r>
      <w:r w:rsidR="0066178C" w:rsidRPr="00D3264E">
        <w:rPr>
          <w:bCs/>
          <w:i/>
          <w:lang w:val="fr-FR"/>
        </w:rPr>
        <w:t>pa</w:t>
      </w:r>
      <w:r w:rsidR="001055BB" w:rsidRPr="00D3264E">
        <w:rPr>
          <w:bCs/>
          <w:i/>
          <w:lang w:val="fr-FR"/>
        </w:rPr>
        <w:t>r la DDH</w:t>
      </w:r>
      <w:r w:rsidR="002228FB" w:rsidRPr="00D3264E">
        <w:rPr>
          <w:bCs/>
          <w:i/>
          <w:lang w:val="fr-FR"/>
        </w:rPr>
        <w:t xml:space="preserve"> -</w:t>
      </w:r>
      <w:r w:rsidR="0028597D" w:rsidRPr="00D3264E">
        <w:rPr>
          <w:bCs/>
          <w:i/>
          <w:lang w:val="fr-FR"/>
        </w:rPr>
        <w:t xml:space="preserve"> </w:t>
      </w:r>
      <w:r w:rsidR="005A5256" w:rsidRPr="00D3264E">
        <w:rPr>
          <w:bCs/>
          <w:i/>
          <w:lang w:val="fr-FR"/>
        </w:rPr>
        <w:t>ont</w:t>
      </w:r>
      <w:r w:rsidR="000546B8" w:rsidRPr="00D3264E">
        <w:rPr>
          <w:bCs/>
          <w:i/>
          <w:lang w:val="fr-FR"/>
        </w:rPr>
        <w:t xml:space="preserve"> fait l’objet d’un jugement</w:t>
      </w:r>
      <w:r w:rsidR="001055BB" w:rsidRPr="00D3264E">
        <w:rPr>
          <w:bCs/>
          <w:i/>
          <w:lang w:val="fr-FR"/>
        </w:rPr>
        <w:t xml:space="preserve">, tous </w:t>
      </w:r>
      <w:r w:rsidRPr="00D3264E">
        <w:rPr>
          <w:bCs/>
          <w:i/>
          <w:lang w:val="fr-FR"/>
        </w:rPr>
        <w:t>ap</w:t>
      </w:r>
      <w:r w:rsidR="003325CA" w:rsidRPr="00D3264E">
        <w:rPr>
          <w:bCs/>
          <w:i/>
          <w:lang w:val="fr-FR"/>
        </w:rPr>
        <w:t>rès avoir été correctionnalisés, c</w:t>
      </w:r>
      <w:r w:rsidR="00257E8D" w:rsidRPr="00D3264E">
        <w:rPr>
          <w:bCs/>
          <w:i/>
          <w:lang w:val="fr-FR"/>
        </w:rPr>
        <w:t>’est-</w:t>
      </w:r>
      <w:r w:rsidR="003325CA" w:rsidRPr="00D3264E">
        <w:rPr>
          <w:bCs/>
          <w:i/>
          <w:lang w:val="fr-FR"/>
        </w:rPr>
        <w:t>à</w:t>
      </w:r>
      <w:r w:rsidR="00257E8D" w:rsidRPr="00D3264E">
        <w:rPr>
          <w:bCs/>
          <w:i/>
          <w:lang w:val="fr-FR"/>
        </w:rPr>
        <w:t>-</w:t>
      </w:r>
      <w:r w:rsidR="003325CA" w:rsidRPr="00D3264E">
        <w:rPr>
          <w:bCs/>
          <w:i/>
          <w:lang w:val="fr-FR"/>
        </w:rPr>
        <w:t>d</w:t>
      </w:r>
      <w:r w:rsidR="00257E8D" w:rsidRPr="00D3264E">
        <w:rPr>
          <w:bCs/>
          <w:i/>
          <w:lang w:val="fr-FR"/>
        </w:rPr>
        <w:t>ire</w:t>
      </w:r>
      <w:r w:rsidR="003325CA" w:rsidRPr="00D3264E">
        <w:rPr>
          <w:bCs/>
          <w:i/>
          <w:lang w:val="fr-FR"/>
        </w:rPr>
        <w:t xml:space="preserve"> après </w:t>
      </w:r>
      <w:r w:rsidRPr="00D3264E">
        <w:rPr>
          <w:bCs/>
          <w:i/>
          <w:lang w:val="fr-FR"/>
        </w:rPr>
        <w:t xml:space="preserve">une requalification des </w:t>
      </w:r>
      <w:r w:rsidR="001E11EA" w:rsidRPr="00D3264E">
        <w:rPr>
          <w:bCs/>
          <w:i/>
          <w:lang w:val="fr-FR"/>
        </w:rPr>
        <w:t>faits en un délit</w:t>
      </w:r>
      <w:r w:rsidR="001055BB" w:rsidRPr="00D3264E">
        <w:rPr>
          <w:bCs/>
          <w:i/>
          <w:lang w:val="fr-FR"/>
        </w:rPr>
        <w:t xml:space="preserve">. </w:t>
      </w:r>
      <w:r w:rsidR="00CD1996" w:rsidRPr="00D3264E">
        <w:rPr>
          <w:bCs/>
          <w:i/>
          <w:lang w:val="fr-FR"/>
        </w:rPr>
        <w:t xml:space="preserve">Trente-huit </w:t>
      </w:r>
      <w:r w:rsidR="00E61B76" w:rsidRPr="00D3264E">
        <w:rPr>
          <w:bCs/>
          <w:i/>
          <w:lang w:val="fr-FR"/>
        </w:rPr>
        <w:t>cas</w:t>
      </w:r>
      <w:r w:rsidR="00CD4FBC" w:rsidRPr="00D3264E">
        <w:rPr>
          <w:bCs/>
          <w:i/>
          <w:lang w:val="fr-FR"/>
        </w:rPr>
        <w:t xml:space="preserve"> (</w:t>
      </w:r>
      <w:r w:rsidR="00E61B76" w:rsidRPr="00D3264E">
        <w:rPr>
          <w:bCs/>
          <w:i/>
          <w:lang w:val="fr-FR"/>
        </w:rPr>
        <w:t xml:space="preserve">soit </w:t>
      </w:r>
      <w:r w:rsidR="004F75A6" w:rsidRPr="00D3264E">
        <w:rPr>
          <w:bCs/>
          <w:i/>
          <w:lang w:val="fr-FR"/>
        </w:rPr>
        <w:t>trois</w:t>
      </w:r>
      <w:r w:rsidR="000546B8" w:rsidRPr="00D3264E">
        <w:rPr>
          <w:bCs/>
          <w:i/>
          <w:lang w:val="fr-FR"/>
        </w:rPr>
        <w:t xml:space="preserve"> </w:t>
      </w:r>
      <w:r w:rsidR="00A30171" w:rsidRPr="00D3264E">
        <w:rPr>
          <w:bCs/>
          <w:i/>
          <w:lang w:val="fr-FR"/>
        </w:rPr>
        <w:t>pour cent</w:t>
      </w:r>
      <w:r w:rsidR="000546B8" w:rsidRPr="00D3264E">
        <w:rPr>
          <w:bCs/>
          <w:i/>
          <w:lang w:val="fr-FR"/>
        </w:rPr>
        <w:t xml:space="preserve"> du nombre total de</w:t>
      </w:r>
      <w:r w:rsidR="0055212B" w:rsidRPr="00D3264E">
        <w:rPr>
          <w:bCs/>
          <w:i/>
          <w:lang w:val="fr-FR"/>
        </w:rPr>
        <w:t>s</w:t>
      </w:r>
      <w:r w:rsidR="000546B8" w:rsidRPr="00D3264E">
        <w:rPr>
          <w:bCs/>
          <w:i/>
          <w:lang w:val="fr-FR"/>
        </w:rPr>
        <w:t xml:space="preserve"> cas</w:t>
      </w:r>
      <w:r w:rsidR="00CD4FBC" w:rsidRPr="00D3264E">
        <w:rPr>
          <w:bCs/>
          <w:i/>
          <w:lang w:val="fr-FR"/>
        </w:rPr>
        <w:t>)</w:t>
      </w:r>
      <w:r w:rsidR="000546B8" w:rsidRPr="00D3264E">
        <w:rPr>
          <w:bCs/>
          <w:i/>
          <w:lang w:val="fr-FR"/>
        </w:rPr>
        <w:t xml:space="preserve"> </w:t>
      </w:r>
      <w:r w:rsidR="005A5256" w:rsidRPr="00D3264E">
        <w:rPr>
          <w:bCs/>
          <w:i/>
          <w:lang w:val="fr-FR"/>
        </w:rPr>
        <w:t>ont</w:t>
      </w:r>
      <w:r w:rsidR="004A4C32" w:rsidRPr="00D3264E">
        <w:rPr>
          <w:bCs/>
          <w:i/>
          <w:lang w:val="fr-FR"/>
        </w:rPr>
        <w:t xml:space="preserve"> fait l’objet d’un règle</w:t>
      </w:r>
      <w:r w:rsidRPr="00D3264E">
        <w:rPr>
          <w:bCs/>
          <w:i/>
          <w:lang w:val="fr-FR"/>
        </w:rPr>
        <w:t xml:space="preserve">ment à l’amiable </w:t>
      </w:r>
      <w:r w:rsidR="001055BB" w:rsidRPr="00D3264E">
        <w:rPr>
          <w:bCs/>
          <w:i/>
          <w:lang w:val="fr-FR"/>
        </w:rPr>
        <w:t>et 14 cas</w:t>
      </w:r>
      <w:r w:rsidR="00CD4FBC" w:rsidRPr="00D3264E">
        <w:rPr>
          <w:bCs/>
          <w:i/>
          <w:lang w:val="fr-FR"/>
        </w:rPr>
        <w:t xml:space="preserve"> (</w:t>
      </w:r>
      <w:r w:rsidR="004F75A6" w:rsidRPr="00D3264E">
        <w:rPr>
          <w:bCs/>
          <w:i/>
          <w:lang w:val="fr-FR"/>
        </w:rPr>
        <w:t>soit un</w:t>
      </w:r>
      <w:r w:rsidR="008E5626" w:rsidRPr="00D3264E">
        <w:rPr>
          <w:bCs/>
          <w:i/>
          <w:lang w:val="fr-FR"/>
        </w:rPr>
        <w:t xml:space="preserve"> pour cent</w:t>
      </w:r>
      <w:r w:rsidR="00C539AB" w:rsidRPr="00D3264E">
        <w:rPr>
          <w:bCs/>
          <w:i/>
          <w:lang w:val="fr-FR"/>
        </w:rPr>
        <w:t xml:space="preserve"> du nombre total des cas) </w:t>
      </w:r>
      <w:r w:rsidR="005A5256" w:rsidRPr="00D3264E">
        <w:rPr>
          <w:bCs/>
          <w:i/>
          <w:lang w:val="fr-FR"/>
        </w:rPr>
        <w:t>ont</w:t>
      </w:r>
      <w:r w:rsidR="007947C0" w:rsidRPr="00D3264E">
        <w:rPr>
          <w:bCs/>
          <w:i/>
          <w:lang w:val="fr-FR"/>
        </w:rPr>
        <w:t xml:space="preserve"> été</w:t>
      </w:r>
      <w:r w:rsidRPr="00D3264E">
        <w:rPr>
          <w:bCs/>
          <w:i/>
          <w:lang w:val="fr-FR"/>
        </w:rPr>
        <w:t xml:space="preserve"> classés sans suite. </w:t>
      </w:r>
      <w:r w:rsidR="001055BB" w:rsidRPr="00D3264E">
        <w:rPr>
          <w:bCs/>
          <w:i/>
          <w:lang w:val="fr-FR"/>
        </w:rPr>
        <w:t xml:space="preserve">Pour </w:t>
      </w:r>
      <w:r w:rsidR="009212A9" w:rsidRPr="00D3264E">
        <w:rPr>
          <w:bCs/>
          <w:i/>
          <w:lang w:val="fr-FR"/>
        </w:rPr>
        <w:t xml:space="preserve">56 </w:t>
      </w:r>
      <w:r w:rsidR="005A3823" w:rsidRPr="00D3264E">
        <w:rPr>
          <w:bCs/>
          <w:i/>
          <w:lang w:val="fr-FR"/>
        </w:rPr>
        <w:t xml:space="preserve">cas, </w:t>
      </w:r>
      <w:r w:rsidR="001055BB" w:rsidRPr="00D3264E">
        <w:rPr>
          <w:bCs/>
          <w:i/>
          <w:lang w:val="fr-FR"/>
        </w:rPr>
        <w:t xml:space="preserve">soit </w:t>
      </w:r>
      <w:r w:rsidR="00CD1996" w:rsidRPr="00D3264E">
        <w:rPr>
          <w:bCs/>
          <w:i/>
          <w:lang w:val="fr-FR"/>
        </w:rPr>
        <w:t>près de cinq</w:t>
      </w:r>
      <w:r w:rsidR="008E5626" w:rsidRPr="00D3264E">
        <w:rPr>
          <w:bCs/>
          <w:i/>
          <w:lang w:val="fr-FR"/>
        </w:rPr>
        <w:t xml:space="preserve"> pour cent</w:t>
      </w:r>
      <w:r w:rsidR="004F75A6" w:rsidRPr="00D3264E">
        <w:rPr>
          <w:bCs/>
          <w:i/>
          <w:lang w:val="fr-FR"/>
        </w:rPr>
        <w:t xml:space="preserve"> du nombre total des cas</w:t>
      </w:r>
      <w:r w:rsidR="008E5626" w:rsidRPr="00D3264E">
        <w:rPr>
          <w:bCs/>
          <w:i/>
          <w:lang w:val="fr-FR"/>
        </w:rPr>
        <w:t xml:space="preserve">, </w:t>
      </w:r>
      <w:r w:rsidR="005A3823" w:rsidRPr="00D3264E">
        <w:rPr>
          <w:bCs/>
          <w:i/>
          <w:lang w:val="fr-FR"/>
        </w:rPr>
        <w:t>les victi</w:t>
      </w:r>
      <w:r w:rsidR="005A5256" w:rsidRPr="00D3264E">
        <w:rPr>
          <w:bCs/>
          <w:i/>
          <w:lang w:val="fr-FR"/>
        </w:rPr>
        <w:t>mes ou leurs familles n’ont</w:t>
      </w:r>
      <w:r w:rsidR="005A3823" w:rsidRPr="00D3264E">
        <w:rPr>
          <w:bCs/>
          <w:i/>
          <w:lang w:val="fr-FR"/>
        </w:rPr>
        <w:t xml:space="preserve"> pas porté plainte.</w:t>
      </w:r>
    </w:p>
    <w:p w:rsidR="00DF6ED5" w:rsidRPr="00D3264E" w:rsidRDefault="00DF6ED5" w:rsidP="00097245">
      <w:pPr>
        <w:pStyle w:val="ListParagraph"/>
        <w:jc w:val="both"/>
        <w:rPr>
          <w:i/>
          <w:lang w:val="fr-FR"/>
        </w:rPr>
      </w:pPr>
    </w:p>
    <w:p w:rsidR="00DF6ED5" w:rsidRPr="00D3264E" w:rsidRDefault="004F3BE7" w:rsidP="00097245">
      <w:pPr>
        <w:pStyle w:val="ListParagraph"/>
        <w:numPr>
          <w:ilvl w:val="0"/>
          <w:numId w:val="5"/>
        </w:numPr>
        <w:autoSpaceDE w:val="0"/>
        <w:autoSpaceDN w:val="0"/>
        <w:adjustRightInd w:val="0"/>
        <w:ind w:left="-72"/>
        <w:jc w:val="both"/>
        <w:rPr>
          <w:rFonts w:eastAsia="Calibri"/>
          <w:i/>
          <w:lang w:val="fr-FR"/>
        </w:rPr>
      </w:pPr>
      <w:r w:rsidRPr="00D3264E">
        <w:rPr>
          <w:i/>
          <w:lang w:val="fr-FR"/>
        </w:rPr>
        <w:t xml:space="preserve">La répression </w:t>
      </w:r>
      <w:r w:rsidR="00301F1D" w:rsidRPr="00D3264E">
        <w:rPr>
          <w:i/>
          <w:lang w:val="fr-FR"/>
        </w:rPr>
        <w:t xml:space="preserve">judiciaire </w:t>
      </w:r>
      <w:r w:rsidRPr="00D3264E">
        <w:rPr>
          <w:i/>
          <w:lang w:val="fr-FR"/>
        </w:rPr>
        <w:t>des</w:t>
      </w:r>
      <w:r w:rsidR="00C539AB" w:rsidRPr="00D3264E">
        <w:rPr>
          <w:i/>
          <w:lang w:val="fr-FR"/>
        </w:rPr>
        <w:t xml:space="preserve"> crimes de viol</w:t>
      </w:r>
      <w:r w:rsidRPr="00D3264E">
        <w:rPr>
          <w:i/>
          <w:lang w:val="fr-FR"/>
        </w:rPr>
        <w:t xml:space="preserve"> a connu divers obsta</w:t>
      </w:r>
      <w:r w:rsidR="002F358B" w:rsidRPr="00D3264E">
        <w:rPr>
          <w:i/>
          <w:lang w:val="fr-FR"/>
        </w:rPr>
        <w:t>c</w:t>
      </w:r>
      <w:r w:rsidR="005A5256" w:rsidRPr="00D3264E">
        <w:rPr>
          <w:i/>
          <w:lang w:val="fr-FR"/>
        </w:rPr>
        <w:t xml:space="preserve">les, </w:t>
      </w:r>
      <w:r w:rsidRPr="00D3264E">
        <w:rPr>
          <w:i/>
          <w:lang w:val="fr-FR"/>
        </w:rPr>
        <w:t xml:space="preserve">notamment </w:t>
      </w:r>
      <w:r w:rsidR="001E11EA" w:rsidRPr="00D3264E">
        <w:rPr>
          <w:i/>
          <w:lang w:val="fr-FR"/>
        </w:rPr>
        <w:t xml:space="preserve">en raison de </w:t>
      </w:r>
      <w:r w:rsidR="00C539AB" w:rsidRPr="00D3264E">
        <w:rPr>
          <w:i/>
          <w:lang w:val="fr-FR"/>
        </w:rPr>
        <w:t>l’</w:t>
      </w:r>
      <w:r w:rsidRPr="00D3264E">
        <w:rPr>
          <w:i/>
          <w:lang w:val="fr-FR"/>
        </w:rPr>
        <w:t xml:space="preserve">absence </w:t>
      </w:r>
      <w:r w:rsidR="002F358B" w:rsidRPr="00D3264E">
        <w:rPr>
          <w:i/>
          <w:lang w:val="fr-FR"/>
        </w:rPr>
        <w:t xml:space="preserve">de </w:t>
      </w:r>
      <w:r w:rsidR="00A44BEA" w:rsidRPr="00D3264E">
        <w:rPr>
          <w:i/>
          <w:lang w:val="fr-FR"/>
        </w:rPr>
        <w:t xml:space="preserve">tenue de </w:t>
      </w:r>
      <w:r w:rsidRPr="00D3264E">
        <w:rPr>
          <w:i/>
          <w:lang w:val="fr-FR"/>
        </w:rPr>
        <w:t>sessions</w:t>
      </w:r>
      <w:r w:rsidR="00A44BEA" w:rsidRPr="00D3264E">
        <w:rPr>
          <w:i/>
          <w:lang w:val="fr-FR"/>
        </w:rPr>
        <w:t xml:space="preserve"> </w:t>
      </w:r>
      <w:r w:rsidR="00AE3905" w:rsidRPr="00D3264E">
        <w:rPr>
          <w:i/>
          <w:lang w:val="fr-FR"/>
        </w:rPr>
        <w:t xml:space="preserve">par les Cours d’assises </w:t>
      </w:r>
      <w:r w:rsidRPr="00D3264E">
        <w:rPr>
          <w:i/>
          <w:lang w:val="fr-FR"/>
        </w:rPr>
        <w:t>entre 200</w:t>
      </w:r>
      <w:r w:rsidR="004174A6" w:rsidRPr="00D3264E">
        <w:rPr>
          <w:i/>
          <w:lang w:val="fr-FR"/>
        </w:rPr>
        <w:t>1</w:t>
      </w:r>
      <w:r w:rsidR="0066178C" w:rsidRPr="00D3264E">
        <w:rPr>
          <w:i/>
          <w:lang w:val="fr-FR"/>
        </w:rPr>
        <w:t xml:space="preserve"> et 2014</w:t>
      </w:r>
      <w:r w:rsidR="0055212B" w:rsidRPr="00D3264E">
        <w:rPr>
          <w:i/>
          <w:lang w:val="fr-FR"/>
        </w:rPr>
        <w:t xml:space="preserve"> </w:t>
      </w:r>
      <w:r w:rsidR="001E11EA" w:rsidRPr="00D3264E">
        <w:rPr>
          <w:i/>
          <w:lang w:val="fr-FR"/>
        </w:rPr>
        <w:t xml:space="preserve">et </w:t>
      </w:r>
      <w:r w:rsidR="0055212B" w:rsidRPr="00D3264E">
        <w:rPr>
          <w:i/>
          <w:lang w:val="fr-FR"/>
        </w:rPr>
        <w:t xml:space="preserve">de </w:t>
      </w:r>
      <w:r w:rsidR="002F358B" w:rsidRPr="00D3264E">
        <w:rPr>
          <w:i/>
          <w:lang w:val="fr-FR"/>
        </w:rPr>
        <w:t xml:space="preserve">la tenue </w:t>
      </w:r>
      <w:r w:rsidR="0055212B" w:rsidRPr="00D3264E">
        <w:rPr>
          <w:i/>
          <w:lang w:val="fr-FR"/>
        </w:rPr>
        <w:t>ir</w:t>
      </w:r>
      <w:r w:rsidR="002F358B" w:rsidRPr="00D3264E">
        <w:rPr>
          <w:i/>
          <w:lang w:val="fr-FR"/>
        </w:rPr>
        <w:t xml:space="preserve">régulière de </w:t>
      </w:r>
      <w:r w:rsidR="00CD4FBC" w:rsidRPr="00D3264E">
        <w:rPr>
          <w:i/>
          <w:lang w:val="fr-FR"/>
        </w:rPr>
        <w:t xml:space="preserve">telles </w:t>
      </w:r>
      <w:r w:rsidRPr="00D3264E">
        <w:rPr>
          <w:i/>
          <w:lang w:val="fr-FR"/>
        </w:rPr>
        <w:t>sessions</w:t>
      </w:r>
      <w:r w:rsidR="002F358B" w:rsidRPr="00D3264E">
        <w:rPr>
          <w:i/>
          <w:lang w:val="fr-FR"/>
        </w:rPr>
        <w:t xml:space="preserve"> </w:t>
      </w:r>
      <w:r w:rsidR="001E11EA" w:rsidRPr="00D3264E">
        <w:rPr>
          <w:i/>
          <w:lang w:val="fr-FR"/>
        </w:rPr>
        <w:t>depuis 2014</w:t>
      </w:r>
      <w:r w:rsidR="00CD4FBC" w:rsidRPr="00D3264E">
        <w:rPr>
          <w:i/>
          <w:lang w:val="fr-FR"/>
        </w:rPr>
        <w:t xml:space="preserve">. Cette situation </w:t>
      </w:r>
      <w:r w:rsidR="001E11EA" w:rsidRPr="00D3264E">
        <w:rPr>
          <w:i/>
          <w:lang w:val="fr-FR"/>
        </w:rPr>
        <w:t xml:space="preserve">a créé </w:t>
      </w:r>
      <w:r w:rsidR="00C46C06" w:rsidRPr="00D3264E">
        <w:rPr>
          <w:i/>
          <w:lang w:val="fr-FR"/>
        </w:rPr>
        <w:t>une congestion des affaires relatives au crime de viol devant la justice</w:t>
      </w:r>
      <w:r w:rsidR="0066178C" w:rsidRPr="00D3264E">
        <w:rPr>
          <w:i/>
          <w:lang w:val="fr-FR"/>
        </w:rPr>
        <w:t xml:space="preserve">. </w:t>
      </w:r>
      <w:r w:rsidR="00704FB0" w:rsidRPr="00D3264E">
        <w:rPr>
          <w:i/>
          <w:lang w:val="fr-FR"/>
        </w:rPr>
        <w:t xml:space="preserve">Les </w:t>
      </w:r>
      <w:r w:rsidRPr="00D3264E">
        <w:rPr>
          <w:i/>
          <w:lang w:val="fr-FR"/>
        </w:rPr>
        <w:t xml:space="preserve">autorités judiciaires </w:t>
      </w:r>
      <w:r w:rsidR="00F276B9" w:rsidRPr="00D3264E">
        <w:rPr>
          <w:i/>
          <w:lang w:val="fr-FR"/>
        </w:rPr>
        <w:t xml:space="preserve">ont </w:t>
      </w:r>
      <w:r w:rsidRPr="00D3264E">
        <w:rPr>
          <w:i/>
          <w:lang w:val="fr-FR"/>
        </w:rPr>
        <w:t xml:space="preserve"> </w:t>
      </w:r>
      <w:r w:rsidR="000546B8" w:rsidRPr="00D3264E">
        <w:rPr>
          <w:i/>
          <w:lang w:val="fr-FR"/>
        </w:rPr>
        <w:t>« </w:t>
      </w:r>
      <w:r w:rsidR="00F276B9" w:rsidRPr="00D3264E">
        <w:rPr>
          <w:i/>
          <w:lang w:val="fr-FR"/>
        </w:rPr>
        <w:t>correctionnalisé</w:t>
      </w:r>
      <w:r w:rsidR="000546B8" w:rsidRPr="00D3264E">
        <w:rPr>
          <w:i/>
          <w:lang w:val="fr-FR"/>
        </w:rPr>
        <w:t> »</w:t>
      </w:r>
      <w:r w:rsidR="00F276B9" w:rsidRPr="00D3264E">
        <w:rPr>
          <w:i/>
          <w:lang w:val="fr-FR"/>
        </w:rPr>
        <w:t xml:space="preserve"> </w:t>
      </w:r>
      <w:r w:rsidR="0031591B" w:rsidRPr="00D3264E">
        <w:rPr>
          <w:i/>
          <w:lang w:val="fr-FR"/>
        </w:rPr>
        <w:t xml:space="preserve">des cas de viol documentés par la DDH </w:t>
      </w:r>
      <w:r w:rsidRPr="00D3264E">
        <w:rPr>
          <w:i/>
          <w:lang w:val="fr-FR"/>
        </w:rPr>
        <w:t xml:space="preserve">et </w:t>
      </w:r>
      <w:r w:rsidR="0031591B" w:rsidRPr="00D3264E">
        <w:rPr>
          <w:i/>
          <w:lang w:val="fr-FR"/>
        </w:rPr>
        <w:t>les ont requalifiés</w:t>
      </w:r>
      <w:r w:rsidR="00CD4FBC" w:rsidRPr="00D3264E">
        <w:rPr>
          <w:i/>
          <w:lang w:val="fr-FR"/>
        </w:rPr>
        <w:t>,</w:t>
      </w:r>
      <w:r w:rsidRPr="00D3264E">
        <w:rPr>
          <w:i/>
          <w:lang w:val="fr-FR"/>
        </w:rPr>
        <w:t xml:space="preserve"> </w:t>
      </w:r>
      <w:r w:rsidR="00D06B9D" w:rsidRPr="00D3264E">
        <w:rPr>
          <w:i/>
          <w:lang w:val="fr-FR"/>
        </w:rPr>
        <w:t xml:space="preserve">notamment </w:t>
      </w:r>
      <w:r w:rsidRPr="00D3264E">
        <w:rPr>
          <w:i/>
          <w:lang w:val="fr-FR"/>
        </w:rPr>
        <w:t xml:space="preserve">en </w:t>
      </w:r>
      <w:r w:rsidR="006356FF" w:rsidRPr="00D3264E">
        <w:rPr>
          <w:i/>
          <w:lang w:val="fr-FR"/>
        </w:rPr>
        <w:t>«</w:t>
      </w:r>
      <w:r w:rsidR="000546B8" w:rsidRPr="00D3264E">
        <w:rPr>
          <w:i/>
          <w:lang w:val="fr-FR"/>
        </w:rPr>
        <w:t xml:space="preserve"> </w:t>
      </w:r>
      <w:r w:rsidRPr="00D3264E">
        <w:rPr>
          <w:i/>
          <w:lang w:val="fr-FR"/>
        </w:rPr>
        <w:t>attentat à la pudeur</w:t>
      </w:r>
      <w:r w:rsidR="000546B8" w:rsidRPr="00D3264E">
        <w:rPr>
          <w:i/>
          <w:lang w:val="fr-FR"/>
        </w:rPr>
        <w:t xml:space="preserve"> </w:t>
      </w:r>
      <w:r w:rsidR="006356FF" w:rsidRPr="00D3264E">
        <w:rPr>
          <w:i/>
          <w:lang w:val="fr-FR"/>
        </w:rPr>
        <w:t>»</w:t>
      </w:r>
      <w:r w:rsidR="000546B8" w:rsidRPr="00D3264E">
        <w:rPr>
          <w:i/>
          <w:lang w:val="fr-FR"/>
        </w:rPr>
        <w:t>,</w:t>
      </w:r>
      <w:r w:rsidR="00526855" w:rsidRPr="00D3264E">
        <w:rPr>
          <w:i/>
          <w:lang w:val="fr-FR"/>
        </w:rPr>
        <w:t xml:space="preserve"> </w:t>
      </w:r>
      <w:r w:rsidR="00D06B9D" w:rsidRPr="00D3264E">
        <w:rPr>
          <w:i/>
          <w:lang w:val="fr-FR"/>
        </w:rPr>
        <w:t>délit pouvant être jugé</w:t>
      </w:r>
      <w:r w:rsidR="0066178C" w:rsidRPr="00D3264E">
        <w:rPr>
          <w:i/>
          <w:lang w:val="fr-FR"/>
        </w:rPr>
        <w:t xml:space="preserve"> par les tribunaux de p</w:t>
      </w:r>
      <w:r w:rsidR="00D06B9D" w:rsidRPr="00D3264E">
        <w:rPr>
          <w:i/>
          <w:lang w:val="fr-FR"/>
        </w:rPr>
        <w:t>remière instance, mais passible</w:t>
      </w:r>
      <w:r w:rsidR="0066178C" w:rsidRPr="00D3264E">
        <w:rPr>
          <w:i/>
          <w:lang w:val="fr-FR"/>
        </w:rPr>
        <w:t xml:space="preserve"> dès lors</w:t>
      </w:r>
      <w:r w:rsidR="00D06B9D" w:rsidRPr="00D3264E">
        <w:rPr>
          <w:i/>
          <w:lang w:val="fr-FR"/>
        </w:rPr>
        <w:t xml:space="preserve"> de sanctions moindres que s’il était jugé par une C</w:t>
      </w:r>
      <w:r w:rsidR="0066178C" w:rsidRPr="00D3264E">
        <w:rPr>
          <w:i/>
          <w:lang w:val="fr-FR"/>
        </w:rPr>
        <w:t>our d’assises.</w:t>
      </w:r>
    </w:p>
    <w:p w:rsidR="00644D30" w:rsidRPr="00D3264E" w:rsidRDefault="00644D30" w:rsidP="00097245">
      <w:pPr>
        <w:jc w:val="both"/>
        <w:rPr>
          <w:bCs/>
          <w:i/>
          <w:lang w:val="fr-FR"/>
        </w:rPr>
      </w:pPr>
    </w:p>
    <w:bookmarkEnd w:id="8"/>
    <w:p w:rsidR="00C86D95" w:rsidRPr="00D3264E" w:rsidRDefault="00C86D95" w:rsidP="00097245">
      <w:pPr>
        <w:pStyle w:val="ListParagraph"/>
        <w:numPr>
          <w:ilvl w:val="0"/>
          <w:numId w:val="5"/>
        </w:numPr>
        <w:autoSpaceDE w:val="0"/>
        <w:autoSpaceDN w:val="0"/>
        <w:adjustRightInd w:val="0"/>
        <w:ind w:left="-72"/>
        <w:jc w:val="both"/>
        <w:rPr>
          <w:rFonts w:eastAsia="Calibri"/>
          <w:i/>
          <w:lang w:val="fr-FR"/>
        </w:rPr>
      </w:pPr>
      <w:r w:rsidRPr="00D3264E">
        <w:rPr>
          <w:bCs/>
          <w:i/>
          <w:lang w:val="fr-FR"/>
        </w:rPr>
        <w:lastRenderedPageBreak/>
        <w:t>L’</w:t>
      </w:r>
      <w:r w:rsidR="00010C10" w:rsidRPr="00D3264E">
        <w:rPr>
          <w:bCs/>
          <w:i/>
          <w:lang w:val="fr-FR"/>
        </w:rPr>
        <w:t>engagement du g</w:t>
      </w:r>
      <w:r w:rsidRPr="00D3264E">
        <w:rPr>
          <w:bCs/>
          <w:i/>
          <w:lang w:val="fr-FR"/>
        </w:rPr>
        <w:t xml:space="preserve">ouvernement </w:t>
      </w:r>
      <w:r w:rsidR="00F160DF" w:rsidRPr="00D3264E">
        <w:rPr>
          <w:bCs/>
          <w:i/>
          <w:lang w:val="fr-FR"/>
        </w:rPr>
        <w:t xml:space="preserve">dans la lutte </w:t>
      </w:r>
      <w:r w:rsidRPr="00D3264E">
        <w:rPr>
          <w:bCs/>
          <w:i/>
          <w:lang w:val="fr-FR"/>
        </w:rPr>
        <w:t xml:space="preserve">contre les violences sexuelles doit être renforcé par des mesures pratiques visant à </w:t>
      </w:r>
      <w:r w:rsidR="00F160DF" w:rsidRPr="00D3264E">
        <w:rPr>
          <w:bCs/>
          <w:i/>
          <w:lang w:val="fr-FR"/>
        </w:rPr>
        <w:t xml:space="preserve">mettre fin à l’impunité qui prévaut pour </w:t>
      </w:r>
      <w:r w:rsidRPr="00D3264E">
        <w:rPr>
          <w:bCs/>
          <w:i/>
          <w:lang w:val="fr-FR"/>
        </w:rPr>
        <w:t>les violences sexuelles, notamment à l’encontre de</w:t>
      </w:r>
      <w:r w:rsidR="000E1E7F" w:rsidRPr="00D3264E">
        <w:rPr>
          <w:bCs/>
          <w:i/>
          <w:lang w:val="fr-FR"/>
        </w:rPr>
        <w:t>s enfants</w:t>
      </w:r>
      <w:r w:rsidR="0031591B" w:rsidRPr="00D3264E">
        <w:rPr>
          <w:bCs/>
          <w:i/>
          <w:lang w:val="fr-FR"/>
        </w:rPr>
        <w:t>, en raison du</w:t>
      </w:r>
      <w:r w:rsidR="00F276B9" w:rsidRPr="00D3264E">
        <w:rPr>
          <w:bCs/>
          <w:i/>
          <w:lang w:val="fr-FR"/>
        </w:rPr>
        <w:t xml:space="preserve"> faible taux de condamnation pour des crimes de viol</w:t>
      </w:r>
      <w:r w:rsidRPr="00D3264E">
        <w:rPr>
          <w:bCs/>
          <w:i/>
          <w:lang w:val="fr-FR"/>
        </w:rPr>
        <w:t xml:space="preserve">. Ce rapport formule des recommandations afin d’assurer une meilleure prévention </w:t>
      </w:r>
      <w:r w:rsidR="00C539AB" w:rsidRPr="00D3264E">
        <w:rPr>
          <w:bCs/>
          <w:i/>
          <w:lang w:val="fr-FR"/>
        </w:rPr>
        <w:t xml:space="preserve">et protection des femmes et des enfants face aux violences </w:t>
      </w:r>
      <w:r w:rsidRPr="00D3264E">
        <w:rPr>
          <w:bCs/>
          <w:i/>
          <w:lang w:val="fr-FR"/>
        </w:rPr>
        <w:t xml:space="preserve">sexuelles et </w:t>
      </w:r>
      <w:r w:rsidR="00C539AB" w:rsidRPr="00D3264E">
        <w:rPr>
          <w:bCs/>
          <w:i/>
          <w:lang w:val="fr-FR"/>
        </w:rPr>
        <w:t xml:space="preserve">de </w:t>
      </w:r>
      <w:r w:rsidRPr="00D3264E">
        <w:rPr>
          <w:bCs/>
          <w:i/>
          <w:lang w:val="fr-FR"/>
        </w:rPr>
        <w:t>renforcer la lutte contre l’impunité des auteurs de violences sexuelles en Côte d’Ivoire.</w:t>
      </w:r>
    </w:p>
    <w:p w:rsidR="009C108A" w:rsidRPr="00D3264E" w:rsidRDefault="009C108A" w:rsidP="00097245">
      <w:pPr>
        <w:autoSpaceDE w:val="0"/>
        <w:autoSpaceDN w:val="0"/>
        <w:adjustRightInd w:val="0"/>
        <w:jc w:val="both"/>
        <w:rPr>
          <w:rFonts w:eastAsia="Calibri"/>
          <w:i/>
          <w:lang w:val="fr-FR"/>
        </w:rPr>
      </w:pPr>
    </w:p>
    <w:p w:rsidR="00B84C0C" w:rsidRPr="00D3264E" w:rsidRDefault="004F3BE7" w:rsidP="00097245">
      <w:pPr>
        <w:pStyle w:val="Heading1"/>
        <w:numPr>
          <w:ilvl w:val="0"/>
          <w:numId w:val="1"/>
        </w:numPr>
        <w:jc w:val="both"/>
        <w:rPr>
          <w:rFonts w:ascii="Times New Roman" w:hAnsi="Times New Roman"/>
          <w:sz w:val="24"/>
          <w:szCs w:val="24"/>
          <w:lang w:val="fr-FR"/>
        </w:rPr>
      </w:pPr>
      <w:bookmarkStart w:id="10" w:name="_Toc455746276"/>
      <w:r w:rsidRPr="00D3264E">
        <w:rPr>
          <w:rFonts w:ascii="Times New Roman" w:hAnsi="Times New Roman"/>
          <w:sz w:val="24"/>
          <w:szCs w:val="24"/>
          <w:lang w:val="fr-FR"/>
        </w:rPr>
        <w:t>I</w:t>
      </w:r>
      <w:r w:rsidR="001D3996" w:rsidRPr="00D3264E">
        <w:rPr>
          <w:rFonts w:ascii="Times New Roman" w:hAnsi="Times New Roman"/>
          <w:sz w:val="24"/>
          <w:szCs w:val="24"/>
          <w:lang w:val="fr-FR"/>
        </w:rPr>
        <w:t>ntroduction</w:t>
      </w:r>
      <w:bookmarkEnd w:id="10"/>
    </w:p>
    <w:p w:rsidR="00D96244" w:rsidRPr="00D3264E" w:rsidRDefault="00D96244" w:rsidP="00097245">
      <w:pPr>
        <w:pStyle w:val="Heading1"/>
        <w:ind w:left="720"/>
        <w:jc w:val="both"/>
        <w:rPr>
          <w:rFonts w:ascii="Times New Roman" w:hAnsi="Times New Roman"/>
          <w:sz w:val="24"/>
          <w:szCs w:val="24"/>
          <w:highlight w:val="yellow"/>
          <w:lang w:val="fr-FR"/>
        </w:rPr>
      </w:pPr>
    </w:p>
    <w:p w:rsidR="00D96244" w:rsidRPr="00D3264E" w:rsidRDefault="00D96244" w:rsidP="00097245">
      <w:pPr>
        <w:pStyle w:val="ListParagraph"/>
        <w:numPr>
          <w:ilvl w:val="0"/>
          <w:numId w:val="5"/>
        </w:numPr>
        <w:autoSpaceDE w:val="0"/>
        <w:autoSpaceDN w:val="0"/>
        <w:adjustRightInd w:val="0"/>
        <w:ind w:left="0"/>
        <w:jc w:val="both"/>
        <w:rPr>
          <w:rFonts w:eastAsia="Calibri"/>
          <w:i/>
          <w:lang w:val="fr-FR"/>
        </w:rPr>
      </w:pPr>
      <w:r w:rsidRPr="00D3264E">
        <w:rPr>
          <w:lang w:val="fr-FR"/>
        </w:rPr>
        <w:t xml:space="preserve">L’élaboration du présent rapport s’inscrit dans le cadre du mandat de l’ONUCI, tel que stipulé par la </w:t>
      </w:r>
      <w:r w:rsidR="00BD6BEF" w:rsidRPr="00D3264E">
        <w:rPr>
          <w:lang w:val="fr-FR"/>
        </w:rPr>
        <w:t>r</w:t>
      </w:r>
      <w:r w:rsidRPr="00D3264E">
        <w:rPr>
          <w:lang w:val="fr-FR"/>
        </w:rPr>
        <w:t>ésolution 1528 (2004) et rappelé dans les résolutions subséquentes du Conseil de sécurité des Nations Unies</w:t>
      </w:r>
      <w:r w:rsidRPr="00D3264E">
        <w:rPr>
          <w:rStyle w:val="FootnoteReference"/>
          <w:lang w:val="fr-FR"/>
        </w:rPr>
        <w:footnoteReference w:id="2"/>
      </w:r>
      <w:r w:rsidRPr="00D3264E">
        <w:rPr>
          <w:lang w:val="fr-FR"/>
        </w:rPr>
        <w:t xml:space="preserve">, qui est de contribuer à la promotion et à la protection des droits de l’homme en Côte d’Ivoire en prêtant une attention particulière aux actes de violence commis contre les femmes et les enfants et d’enquêter sur les violations graves des droits de l’homme en vue de mettre fin à l’impunité qui prévaut à leur égard. </w:t>
      </w:r>
    </w:p>
    <w:p w:rsidR="004F3BE7" w:rsidRPr="00D3264E" w:rsidRDefault="004F3BE7" w:rsidP="00097245">
      <w:pPr>
        <w:jc w:val="both"/>
        <w:rPr>
          <w:lang w:val="fr-FR"/>
        </w:rPr>
      </w:pPr>
    </w:p>
    <w:p w:rsidR="004F2724" w:rsidRPr="00D3264E" w:rsidRDefault="005F1B9B" w:rsidP="00097245">
      <w:pPr>
        <w:pStyle w:val="ListParagraph"/>
        <w:numPr>
          <w:ilvl w:val="0"/>
          <w:numId w:val="5"/>
        </w:numPr>
        <w:autoSpaceDE w:val="0"/>
        <w:autoSpaceDN w:val="0"/>
        <w:adjustRightInd w:val="0"/>
        <w:ind w:left="0"/>
        <w:jc w:val="both"/>
        <w:rPr>
          <w:rFonts w:eastAsia="Calibri"/>
          <w:i/>
          <w:lang w:val="fr-FR"/>
        </w:rPr>
      </w:pPr>
      <w:r w:rsidRPr="00D3264E">
        <w:rPr>
          <w:lang w:val="fr-FR"/>
        </w:rPr>
        <w:t>Ce rapport, élaboré</w:t>
      </w:r>
      <w:r w:rsidR="00FB62F0" w:rsidRPr="00D3264E">
        <w:rPr>
          <w:lang w:val="fr-FR"/>
        </w:rPr>
        <w:t xml:space="preserve"> par la DDH</w:t>
      </w:r>
      <w:r w:rsidRPr="00D3264E">
        <w:rPr>
          <w:lang w:val="fr-FR"/>
        </w:rPr>
        <w:t xml:space="preserve"> de l’ONUCI</w:t>
      </w:r>
      <w:r w:rsidR="00CD1996" w:rsidRPr="00D3264E">
        <w:rPr>
          <w:lang w:val="fr-FR"/>
        </w:rPr>
        <w:t xml:space="preserve"> et </w:t>
      </w:r>
      <w:r w:rsidR="002228FB" w:rsidRPr="00D3264E">
        <w:rPr>
          <w:lang w:val="fr-FR"/>
        </w:rPr>
        <w:t>le</w:t>
      </w:r>
      <w:r w:rsidR="00B84C0C" w:rsidRPr="00D3264E">
        <w:rPr>
          <w:lang w:val="fr-FR"/>
        </w:rPr>
        <w:t xml:space="preserve"> HCDH</w:t>
      </w:r>
      <w:r w:rsidR="00FB62F0" w:rsidRPr="00D3264E">
        <w:rPr>
          <w:lang w:val="fr-FR"/>
        </w:rPr>
        <w:t>, présente</w:t>
      </w:r>
      <w:r w:rsidR="004F2724" w:rsidRPr="00D3264E">
        <w:rPr>
          <w:lang w:val="fr-FR"/>
        </w:rPr>
        <w:t xml:space="preserve"> </w:t>
      </w:r>
      <w:r w:rsidR="00FB62F0" w:rsidRPr="00D3264E">
        <w:rPr>
          <w:lang w:val="fr-FR"/>
        </w:rPr>
        <w:t>l’analyse des principales tendances en ce qui concerne le</w:t>
      </w:r>
      <w:r w:rsidR="001B3307" w:rsidRPr="00D3264E">
        <w:rPr>
          <w:lang w:val="fr-FR"/>
        </w:rPr>
        <w:t>s</w:t>
      </w:r>
      <w:r w:rsidR="00FB62F0" w:rsidRPr="00D3264E">
        <w:rPr>
          <w:lang w:val="fr-FR"/>
        </w:rPr>
        <w:t xml:space="preserve"> viol</w:t>
      </w:r>
      <w:r w:rsidR="0067332F" w:rsidRPr="00D3264E">
        <w:rPr>
          <w:lang w:val="fr-FR"/>
        </w:rPr>
        <w:t>s</w:t>
      </w:r>
      <w:r w:rsidR="00714AA8" w:rsidRPr="00D3264E">
        <w:rPr>
          <w:lang w:val="fr-FR"/>
        </w:rPr>
        <w:t xml:space="preserve"> et les tentatives de viol</w:t>
      </w:r>
      <w:r w:rsidR="00FB62F0" w:rsidRPr="00D3264E">
        <w:rPr>
          <w:lang w:val="fr-FR"/>
        </w:rPr>
        <w:t xml:space="preserve"> </w:t>
      </w:r>
      <w:r w:rsidR="00CD4FBC" w:rsidRPr="00D3264E">
        <w:rPr>
          <w:lang w:val="fr-FR"/>
        </w:rPr>
        <w:t xml:space="preserve">commis </w:t>
      </w:r>
      <w:r w:rsidR="00FB62F0" w:rsidRPr="00D3264E">
        <w:rPr>
          <w:lang w:val="fr-FR"/>
        </w:rPr>
        <w:t>en Côte d’Ivoire entre le 1</w:t>
      </w:r>
      <w:r w:rsidR="00FB62F0" w:rsidRPr="00D3264E">
        <w:rPr>
          <w:vertAlign w:val="superscript"/>
          <w:lang w:val="fr-FR"/>
        </w:rPr>
        <w:t>er</w:t>
      </w:r>
      <w:r w:rsidR="00FB62F0" w:rsidRPr="00D3264E">
        <w:rPr>
          <w:lang w:val="fr-FR"/>
        </w:rPr>
        <w:t xml:space="preserve"> janvier 2012 et le 3</w:t>
      </w:r>
      <w:r w:rsidR="00101A47" w:rsidRPr="00D3264E">
        <w:rPr>
          <w:lang w:val="fr-FR"/>
        </w:rPr>
        <w:t xml:space="preserve">1 décembre </w:t>
      </w:r>
      <w:r w:rsidR="00B92C7F" w:rsidRPr="00D3264E">
        <w:rPr>
          <w:lang w:val="fr-FR"/>
        </w:rPr>
        <w:t>2015</w:t>
      </w:r>
      <w:r w:rsidR="00CD4FBC" w:rsidRPr="00D3264E">
        <w:rPr>
          <w:lang w:val="fr-FR"/>
        </w:rPr>
        <w:t>,</w:t>
      </w:r>
      <w:r w:rsidR="00FB62F0" w:rsidRPr="00D3264E">
        <w:rPr>
          <w:lang w:val="fr-FR"/>
        </w:rPr>
        <w:t xml:space="preserve"> </w:t>
      </w:r>
      <w:r w:rsidR="00C46C06" w:rsidRPr="00D3264E">
        <w:rPr>
          <w:lang w:val="fr-FR"/>
        </w:rPr>
        <w:t xml:space="preserve">ainsi que </w:t>
      </w:r>
      <w:r w:rsidRPr="00D3264E">
        <w:rPr>
          <w:lang w:val="fr-FR"/>
        </w:rPr>
        <w:t xml:space="preserve">l’état des poursuites </w:t>
      </w:r>
      <w:r w:rsidR="00C94ADE" w:rsidRPr="00D3264E">
        <w:rPr>
          <w:lang w:val="fr-FR"/>
        </w:rPr>
        <w:t xml:space="preserve">judiciaires contre les </w:t>
      </w:r>
      <w:r w:rsidRPr="00D3264E">
        <w:rPr>
          <w:lang w:val="fr-FR"/>
        </w:rPr>
        <w:t xml:space="preserve">auteurs </w:t>
      </w:r>
      <w:r w:rsidR="00CC3305" w:rsidRPr="00D3264E">
        <w:rPr>
          <w:lang w:val="fr-FR"/>
        </w:rPr>
        <w:t xml:space="preserve">présumés </w:t>
      </w:r>
      <w:r w:rsidR="00FB62F0" w:rsidRPr="00D3264E">
        <w:rPr>
          <w:lang w:val="fr-FR"/>
        </w:rPr>
        <w:t xml:space="preserve">de </w:t>
      </w:r>
      <w:r w:rsidR="006D11FA" w:rsidRPr="00D3264E">
        <w:rPr>
          <w:lang w:val="fr-FR"/>
        </w:rPr>
        <w:t xml:space="preserve">ces </w:t>
      </w:r>
      <w:r w:rsidR="00FB62F0" w:rsidRPr="00D3264E">
        <w:rPr>
          <w:lang w:val="fr-FR"/>
        </w:rPr>
        <w:t xml:space="preserve">viols </w:t>
      </w:r>
      <w:r w:rsidR="005A5256" w:rsidRPr="00D3264E">
        <w:rPr>
          <w:lang w:val="fr-FR"/>
        </w:rPr>
        <w:t xml:space="preserve">et tentatives de viol </w:t>
      </w:r>
      <w:r w:rsidR="00CD4FBC" w:rsidRPr="00D3264E">
        <w:rPr>
          <w:lang w:val="fr-FR"/>
        </w:rPr>
        <w:t xml:space="preserve">durant cette </w:t>
      </w:r>
      <w:r w:rsidRPr="00D3264E">
        <w:rPr>
          <w:lang w:val="fr-FR"/>
        </w:rPr>
        <w:t>période</w:t>
      </w:r>
      <w:r w:rsidR="00FA7D1D" w:rsidRPr="00D3264E">
        <w:rPr>
          <w:lang w:val="fr-FR"/>
        </w:rPr>
        <w:t xml:space="preserve">, bien que les obligations de l’Etat </w:t>
      </w:r>
      <w:r w:rsidR="007613FD" w:rsidRPr="00D3264E">
        <w:rPr>
          <w:lang w:val="fr-FR"/>
        </w:rPr>
        <w:t>ivoirien</w:t>
      </w:r>
      <w:r w:rsidR="00FA7D1D" w:rsidRPr="00D3264E">
        <w:rPr>
          <w:lang w:val="fr-FR"/>
        </w:rPr>
        <w:t xml:space="preserve"> face à la </w:t>
      </w:r>
      <w:r w:rsidR="007613FD" w:rsidRPr="00D3264E">
        <w:rPr>
          <w:lang w:val="fr-FR"/>
        </w:rPr>
        <w:t>problématique</w:t>
      </w:r>
      <w:r w:rsidR="00B5350B" w:rsidRPr="00D3264E">
        <w:rPr>
          <w:lang w:val="fr-FR"/>
        </w:rPr>
        <w:t xml:space="preserve"> du viol aillent</w:t>
      </w:r>
      <w:r w:rsidR="001C0B70" w:rsidRPr="00D3264E">
        <w:rPr>
          <w:lang w:val="fr-FR"/>
        </w:rPr>
        <w:t xml:space="preserve"> </w:t>
      </w:r>
      <w:r w:rsidR="0088730B">
        <w:rPr>
          <w:lang w:val="fr-FR"/>
        </w:rPr>
        <w:t xml:space="preserve">bien </w:t>
      </w:r>
      <w:r w:rsidR="005F6045" w:rsidRPr="00D3264E">
        <w:rPr>
          <w:lang w:val="fr-FR"/>
        </w:rPr>
        <w:t xml:space="preserve">au-delà de la répression. </w:t>
      </w:r>
      <w:r w:rsidR="00FA7D1D" w:rsidRPr="00D3264E">
        <w:rPr>
          <w:lang w:val="fr-FR"/>
        </w:rPr>
        <w:t>Sur ce point, l</w:t>
      </w:r>
      <w:r w:rsidR="00704FB0" w:rsidRPr="00D3264E">
        <w:rPr>
          <w:lang w:val="fr-FR"/>
        </w:rPr>
        <w:t>e rapport</w:t>
      </w:r>
      <w:r w:rsidR="00FB62F0" w:rsidRPr="00D3264E">
        <w:rPr>
          <w:lang w:val="fr-FR"/>
        </w:rPr>
        <w:t xml:space="preserve"> met également en évidence certains progrès réalisés par les autorités ivoiriennes</w:t>
      </w:r>
      <w:r w:rsidR="0067332F" w:rsidRPr="00D3264E">
        <w:rPr>
          <w:lang w:val="fr-FR"/>
        </w:rPr>
        <w:t xml:space="preserve"> afin de lutter contre l</w:t>
      </w:r>
      <w:r w:rsidR="00E37A0C" w:rsidRPr="00D3264E">
        <w:rPr>
          <w:lang w:val="fr-FR"/>
        </w:rPr>
        <w:t>es violences sexuelles</w:t>
      </w:r>
      <w:r w:rsidR="000B6ED9" w:rsidRPr="00D3264E">
        <w:rPr>
          <w:lang w:val="fr-FR"/>
        </w:rPr>
        <w:t xml:space="preserve"> </w:t>
      </w:r>
      <w:r w:rsidR="00FB62F0" w:rsidRPr="00D3264E">
        <w:rPr>
          <w:lang w:val="fr-FR"/>
        </w:rPr>
        <w:t>et identifie les principaux obstacles à leur poursu</w:t>
      </w:r>
      <w:r w:rsidRPr="00D3264E">
        <w:rPr>
          <w:lang w:val="fr-FR"/>
        </w:rPr>
        <w:t>ite</w:t>
      </w:r>
      <w:r w:rsidR="00FB62F0" w:rsidRPr="00D3264E">
        <w:rPr>
          <w:lang w:val="fr-FR"/>
        </w:rPr>
        <w:t xml:space="preserve">. </w:t>
      </w:r>
    </w:p>
    <w:p w:rsidR="004F2724" w:rsidRPr="00D3264E" w:rsidRDefault="004F2724" w:rsidP="00097245">
      <w:pPr>
        <w:autoSpaceDE w:val="0"/>
        <w:autoSpaceDN w:val="0"/>
        <w:adjustRightInd w:val="0"/>
        <w:jc w:val="both"/>
        <w:rPr>
          <w:lang w:val="fr-FR"/>
        </w:rPr>
      </w:pPr>
    </w:p>
    <w:p w:rsidR="00F62BA4" w:rsidRPr="00D3264E" w:rsidRDefault="004F2724" w:rsidP="00097245">
      <w:pPr>
        <w:pStyle w:val="ListParagraph"/>
        <w:numPr>
          <w:ilvl w:val="0"/>
          <w:numId w:val="5"/>
        </w:numPr>
        <w:autoSpaceDE w:val="0"/>
        <w:autoSpaceDN w:val="0"/>
        <w:adjustRightInd w:val="0"/>
        <w:ind w:left="0"/>
        <w:jc w:val="both"/>
        <w:rPr>
          <w:lang w:val="fr-FR"/>
        </w:rPr>
      </w:pPr>
      <w:r w:rsidRPr="00D3264E">
        <w:rPr>
          <w:lang w:val="fr-FR"/>
        </w:rPr>
        <w:t>Bien qu’</w:t>
      </w:r>
      <w:r w:rsidR="004B5018" w:rsidRPr="00D3264E">
        <w:rPr>
          <w:lang w:val="fr-FR"/>
        </w:rPr>
        <w:t xml:space="preserve">ayant </w:t>
      </w:r>
      <w:r w:rsidRPr="00D3264E">
        <w:rPr>
          <w:lang w:val="fr-FR"/>
        </w:rPr>
        <w:t xml:space="preserve">documenté différents types de violence sexuelle, tels que des attouchements sexuels, des mariages forcés et des mutilations génitales féminines, </w:t>
      </w:r>
      <w:r w:rsidR="004B5018" w:rsidRPr="00D3264E">
        <w:rPr>
          <w:lang w:val="fr-FR"/>
        </w:rPr>
        <w:t xml:space="preserve">la DDH </w:t>
      </w:r>
      <w:r w:rsidRPr="00D3264E">
        <w:rPr>
          <w:lang w:val="fr-FR"/>
        </w:rPr>
        <w:t>a choisi d’analyser dans ce rapport le viol en particulier car il constitue le type de violence sexuelle</w:t>
      </w:r>
      <w:r w:rsidR="00F35E5A" w:rsidRPr="00D3264E">
        <w:rPr>
          <w:lang w:val="fr-FR"/>
        </w:rPr>
        <w:t xml:space="preserve"> </w:t>
      </w:r>
      <w:r w:rsidRPr="00D3264E">
        <w:rPr>
          <w:lang w:val="fr-FR"/>
        </w:rPr>
        <w:t>le plus souvent porté à sa connaissance et sur lequel elle dispose d</w:t>
      </w:r>
      <w:r w:rsidR="004B5018" w:rsidRPr="00D3264E">
        <w:rPr>
          <w:lang w:val="fr-FR"/>
        </w:rPr>
        <w:t xml:space="preserve">’un plus grand nombre </w:t>
      </w:r>
      <w:r w:rsidRPr="00D3264E">
        <w:rPr>
          <w:lang w:val="fr-FR"/>
        </w:rPr>
        <w:t>d’informations coll</w:t>
      </w:r>
      <w:r w:rsidR="00F35E5A" w:rsidRPr="00D3264E">
        <w:rPr>
          <w:lang w:val="fr-FR"/>
        </w:rPr>
        <w:t xml:space="preserve">ectées. </w:t>
      </w:r>
      <w:r w:rsidR="00554405" w:rsidRPr="00D3264E">
        <w:rPr>
          <w:lang w:val="fr-FR"/>
        </w:rPr>
        <w:t xml:space="preserve">En l’absence de définition du viol dans le droit ivoirien, la DDH s’est référée à la définition du viol </w:t>
      </w:r>
      <w:r w:rsidR="005B42F1" w:rsidRPr="00D3264E">
        <w:rPr>
          <w:lang w:val="fr-FR"/>
        </w:rPr>
        <w:t>par la Cour pénale internationale (CPI)</w:t>
      </w:r>
      <w:r w:rsidR="00554405" w:rsidRPr="00D3264E">
        <w:rPr>
          <w:rStyle w:val="FootnoteReference"/>
          <w:lang w:val="fr-FR"/>
        </w:rPr>
        <w:footnoteReference w:id="3"/>
      </w:r>
      <w:r w:rsidR="00F62BA4" w:rsidRPr="00D3264E">
        <w:rPr>
          <w:lang w:val="fr-FR"/>
        </w:rPr>
        <w:t xml:space="preserve"> : </w:t>
      </w:r>
    </w:p>
    <w:p w:rsidR="00F62BA4" w:rsidRPr="00D3264E" w:rsidRDefault="00F62BA4" w:rsidP="00097245">
      <w:pPr>
        <w:pStyle w:val="ListParagraph"/>
        <w:rPr>
          <w:lang w:val="fr-FR"/>
        </w:rPr>
      </w:pPr>
    </w:p>
    <w:p w:rsidR="00F62BA4" w:rsidRPr="00D3264E" w:rsidRDefault="00F62BA4" w:rsidP="00097245">
      <w:pPr>
        <w:pStyle w:val="ListParagraph"/>
        <w:autoSpaceDE w:val="0"/>
        <w:autoSpaceDN w:val="0"/>
        <w:adjustRightInd w:val="0"/>
        <w:ind w:left="432"/>
        <w:jc w:val="both"/>
        <w:rPr>
          <w:i/>
          <w:lang w:val="fr-FR"/>
        </w:rPr>
      </w:pPr>
      <w:r w:rsidRPr="00D3264E">
        <w:rPr>
          <w:i/>
          <w:lang w:val="fr-FR"/>
        </w:rPr>
        <w:t xml:space="preserve">1. L’auteur a pris possession du corps d’une personne de telle manière qu’il y a eu pénétration, même superficielle, d’une partie du corps de la victime ou de l’auteur par un organe sexuel, ou de l’anus ou du vagin de la victime par un objet ou toute partie du corps. </w:t>
      </w:r>
    </w:p>
    <w:p w:rsidR="00F62BA4" w:rsidRPr="00D3264E" w:rsidRDefault="00F62BA4" w:rsidP="00097245">
      <w:pPr>
        <w:pStyle w:val="ListParagraph"/>
        <w:ind w:left="432"/>
        <w:rPr>
          <w:i/>
          <w:lang w:val="fr-FR"/>
        </w:rPr>
      </w:pPr>
    </w:p>
    <w:p w:rsidR="004F2724" w:rsidRPr="00D3264E" w:rsidRDefault="00F62BA4" w:rsidP="00097245">
      <w:pPr>
        <w:pStyle w:val="ListParagraph"/>
        <w:autoSpaceDE w:val="0"/>
        <w:autoSpaceDN w:val="0"/>
        <w:adjustRightInd w:val="0"/>
        <w:ind w:left="432"/>
        <w:jc w:val="both"/>
        <w:rPr>
          <w:i/>
          <w:lang w:val="fr-FR"/>
        </w:rPr>
      </w:pPr>
      <w:r w:rsidRPr="00D3264E">
        <w:rPr>
          <w:i/>
          <w:lang w:val="fr-FR"/>
        </w:rPr>
        <w:t>2. L’acte a été commis par la force ou en usant à l’encontre de ladite ou desdites ou de tierces personnes de la menace de la force ou de la coercition, telle que celle causée par la menace de violences, contrainte, détention, pressions psychologiques, abus de pouvoir, ou bien à la faveur d’un environnement coercitif, ou encore en profitant de l’incapacité de ladite personne de donner son libre consentement. </w:t>
      </w:r>
    </w:p>
    <w:p w:rsidR="00BB0D35" w:rsidRPr="00D3264E" w:rsidRDefault="00BB0D35" w:rsidP="00097245">
      <w:pPr>
        <w:jc w:val="both"/>
        <w:rPr>
          <w:lang w:val="fr-FR"/>
        </w:rPr>
      </w:pPr>
    </w:p>
    <w:p w:rsidR="00D96244" w:rsidRPr="00D3264E" w:rsidRDefault="00FB62F0" w:rsidP="00097245">
      <w:pPr>
        <w:pStyle w:val="ListParagraph"/>
        <w:numPr>
          <w:ilvl w:val="0"/>
          <w:numId w:val="5"/>
        </w:numPr>
        <w:autoSpaceDE w:val="0"/>
        <w:autoSpaceDN w:val="0"/>
        <w:adjustRightInd w:val="0"/>
        <w:ind w:left="0"/>
        <w:jc w:val="both"/>
        <w:rPr>
          <w:lang w:val="fr-FR"/>
        </w:rPr>
      </w:pPr>
      <w:r w:rsidRPr="00D3264E">
        <w:rPr>
          <w:lang w:val="fr-FR"/>
        </w:rPr>
        <w:lastRenderedPageBreak/>
        <w:t xml:space="preserve">Ce rapport formule des recommandations </w:t>
      </w:r>
      <w:r w:rsidR="00CD4FBC" w:rsidRPr="00D3264E">
        <w:rPr>
          <w:lang w:val="fr-FR"/>
        </w:rPr>
        <w:t xml:space="preserve">en vue </w:t>
      </w:r>
      <w:r w:rsidRPr="00D3264E">
        <w:rPr>
          <w:lang w:val="fr-FR"/>
        </w:rPr>
        <w:t>de renforce</w:t>
      </w:r>
      <w:r w:rsidR="003D5A3D" w:rsidRPr="00D3264E">
        <w:rPr>
          <w:lang w:val="fr-FR"/>
        </w:rPr>
        <w:t xml:space="preserve">r </w:t>
      </w:r>
      <w:r w:rsidR="00A13740" w:rsidRPr="00D3264E">
        <w:rPr>
          <w:lang w:val="fr-FR"/>
        </w:rPr>
        <w:t xml:space="preserve">les actions </w:t>
      </w:r>
      <w:r w:rsidR="003B3E3C" w:rsidRPr="00D3264E">
        <w:rPr>
          <w:lang w:val="fr-FR"/>
        </w:rPr>
        <w:t xml:space="preserve">de prévention </w:t>
      </w:r>
      <w:r w:rsidR="00A13740" w:rsidRPr="00D3264E">
        <w:rPr>
          <w:lang w:val="fr-FR"/>
        </w:rPr>
        <w:t xml:space="preserve">et </w:t>
      </w:r>
      <w:r w:rsidR="003D5A3D" w:rsidRPr="00D3264E">
        <w:rPr>
          <w:lang w:val="fr-FR"/>
        </w:rPr>
        <w:t xml:space="preserve">la lutte contre l’impunité </w:t>
      </w:r>
      <w:r w:rsidR="003B3E3C" w:rsidRPr="00D3264E">
        <w:rPr>
          <w:lang w:val="fr-FR"/>
        </w:rPr>
        <w:t>à l’</w:t>
      </w:r>
      <w:r w:rsidR="00A13740" w:rsidRPr="00D3264E">
        <w:rPr>
          <w:lang w:val="fr-FR"/>
        </w:rPr>
        <w:t xml:space="preserve">égard </w:t>
      </w:r>
      <w:r w:rsidR="003B3E3C" w:rsidRPr="00D3264E">
        <w:rPr>
          <w:lang w:val="fr-FR"/>
        </w:rPr>
        <w:t xml:space="preserve">des violences sexuelles </w:t>
      </w:r>
      <w:r w:rsidRPr="00D3264E">
        <w:rPr>
          <w:lang w:val="fr-FR"/>
        </w:rPr>
        <w:t xml:space="preserve">et surmonter les obstacles </w:t>
      </w:r>
      <w:r w:rsidR="00CD4FBC" w:rsidRPr="00D3264E">
        <w:rPr>
          <w:lang w:val="fr-FR"/>
        </w:rPr>
        <w:t xml:space="preserve">persistants </w:t>
      </w:r>
      <w:r w:rsidR="001E11EA" w:rsidRPr="00D3264E">
        <w:rPr>
          <w:lang w:val="fr-FR"/>
        </w:rPr>
        <w:t xml:space="preserve">dans ce domaine. </w:t>
      </w:r>
    </w:p>
    <w:p w:rsidR="00714AA8" w:rsidRPr="00D3264E" w:rsidRDefault="00714AA8" w:rsidP="00097245">
      <w:pPr>
        <w:jc w:val="both"/>
        <w:rPr>
          <w:b/>
          <w:bCs/>
          <w:lang w:val="fr-FR"/>
        </w:rPr>
      </w:pPr>
    </w:p>
    <w:p w:rsidR="00714AA8" w:rsidRPr="00D3264E" w:rsidRDefault="00714AA8" w:rsidP="00097245">
      <w:pPr>
        <w:pStyle w:val="Heading1"/>
        <w:numPr>
          <w:ilvl w:val="0"/>
          <w:numId w:val="1"/>
        </w:numPr>
        <w:jc w:val="both"/>
        <w:rPr>
          <w:rFonts w:ascii="Times New Roman" w:hAnsi="Times New Roman"/>
          <w:sz w:val="24"/>
          <w:szCs w:val="24"/>
          <w:lang w:val="fr-FR"/>
        </w:rPr>
      </w:pPr>
      <w:bookmarkStart w:id="11" w:name="_Toc418237710"/>
      <w:bookmarkStart w:id="12" w:name="_Toc430613678"/>
      <w:bookmarkStart w:id="13" w:name="_Toc455746277"/>
      <w:r w:rsidRPr="00D3264E">
        <w:rPr>
          <w:rFonts w:ascii="Times New Roman" w:hAnsi="Times New Roman"/>
          <w:sz w:val="24"/>
          <w:szCs w:val="24"/>
          <w:lang w:val="fr-FR"/>
        </w:rPr>
        <w:t>Méthodologie et difficultés</w:t>
      </w:r>
      <w:bookmarkEnd w:id="11"/>
      <w:bookmarkEnd w:id="12"/>
      <w:bookmarkEnd w:id="13"/>
    </w:p>
    <w:p w:rsidR="00714AA8" w:rsidRPr="00D3264E" w:rsidRDefault="00714AA8" w:rsidP="00097245">
      <w:pPr>
        <w:jc w:val="both"/>
        <w:rPr>
          <w:lang w:val="fr-FR"/>
        </w:rPr>
      </w:pPr>
    </w:p>
    <w:p w:rsidR="00714AA8" w:rsidRPr="00D3264E" w:rsidRDefault="00714AA8" w:rsidP="00097245">
      <w:pPr>
        <w:pStyle w:val="ListParagraph"/>
        <w:numPr>
          <w:ilvl w:val="0"/>
          <w:numId w:val="5"/>
        </w:numPr>
        <w:ind w:left="0"/>
        <w:jc w:val="both"/>
        <w:rPr>
          <w:lang w:val="fr-FR"/>
        </w:rPr>
      </w:pPr>
      <w:r w:rsidRPr="00D3264E">
        <w:rPr>
          <w:lang w:val="fr-FR"/>
        </w:rPr>
        <w:t>Les informations contenues dans ce rappor</w:t>
      </w:r>
      <w:r w:rsidR="006D11FA" w:rsidRPr="00D3264E">
        <w:rPr>
          <w:lang w:val="fr-FR"/>
        </w:rPr>
        <w:t>t se basent sur les cas de viol</w:t>
      </w:r>
      <w:r w:rsidRPr="00D3264E">
        <w:rPr>
          <w:lang w:val="fr-FR"/>
        </w:rPr>
        <w:t xml:space="preserve"> documentés et vérifiés par la DDH selon les méthodes de collecte et de vérification des informations sur les violations des droits de l'homme élaborées par le HCDH, ainsi que sur le suivi de ces cas</w:t>
      </w:r>
      <w:r w:rsidR="009F667C" w:rsidRPr="00D3264E">
        <w:rPr>
          <w:lang w:val="fr-FR"/>
        </w:rPr>
        <w:t xml:space="preserve"> mené</w:t>
      </w:r>
      <w:r w:rsidRPr="00D3264E">
        <w:rPr>
          <w:lang w:val="fr-FR"/>
        </w:rPr>
        <w:t xml:space="preserve"> par la DDH.</w:t>
      </w:r>
      <w:r w:rsidRPr="00D3264E">
        <w:rPr>
          <w:rStyle w:val="FootnoteReference"/>
          <w:lang w:val="fr-FR"/>
        </w:rPr>
        <w:footnoteReference w:id="4"/>
      </w:r>
      <w:r w:rsidRPr="00D3264E">
        <w:rPr>
          <w:lang w:val="fr-FR"/>
        </w:rPr>
        <w:t xml:space="preserve"> Ce travail de collecte de données </w:t>
      </w:r>
      <w:r w:rsidR="00871966" w:rsidRPr="00D3264E">
        <w:rPr>
          <w:lang w:val="fr-FR"/>
        </w:rPr>
        <w:t xml:space="preserve">pour la documentation des cas de viol et le suivi de ces cas en justice </w:t>
      </w:r>
      <w:r w:rsidRPr="00D3264E">
        <w:rPr>
          <w:lang w:val="fr-FR"/>
        </w:rPr>
        <w:t xml:space="preserve">s’est fait bien souvent en étroite collaboration avec les organisations non gouvernementales </w:t>
      </w:r>
      <w:r w:rsidR="004B5018" w:rsidRPr="00D3264E">
        <w:rPr>
          <w:lang w:val="fr-FR"/>
        </w:rPr>
        <w:t xml:space="preserve">(ONG) </w:t>
      </w:r>
      <w:r w:rsidRPr="00D3264E">
        <w:rPr>
          <w:lang w:val="fr-FR"/>
        </w:rPr>
        <w:t>qui fournissent une assistance médicale, psycho-sociale ou juridique aux victimes de violence</w:t>
      </w:r>
      <w:r w:rsidR="00F74051" w:rsidRPr="00D3264E">
        <w:rPr>
          <w:lang w:val="fr-FR"/>
        </w:rPr>
        <w:t>s</w:t>
      </w:r>
      <w:r w:rsidRPr="00D3264E">
        <w:rPr>
          <w:lang w:val="fr-FR"/>
        </w:rPr>
        <w:t xml:space="preserve"> sexuelle</w:t>
      </w:r>
      <w:r w:rsidR="00F74051" w:rsidRPr="00D3264E">
        <w:rPr>
          <w:lang w:val="fr-FR"/>
        </w:rPr>
        <w:t>s</w:t>
      </w:r>
      <w:r w:rsidRPr="00D3264E">
        <w:rPr>
          <w:lang w:val="fr-FR"/>
        </w:rPr>
        <w:t>.</w:t>
      </w:r>
    </w:p>
    <w:p w:rsidR="00714AA8" w:rsidRPr="00D3264E" w:rsidRDefault="00714AA8" w:rsidP="00097245">
      <w:pPr>
        <w:pStyle w:val="ListParagraph"/>
        <w:ind w:left="0"/>
        <w:jc w:val="both"/>
        <w:rPr>
          <w:lang w:val="fr-FR"/>
        </w:rPr>
      </w:pPr>
    </w:p>
    <w:p w:rsidR="00714AA8" w:rsidRPr="00D3264E" w:rsidRDefault="00714AA8" w:rsidP="00097245">
      <w:pPr>
        <w:pStyle w:val="ListParagraph"/>
        <w:numPr>
          <w:ilvl w:val="0"/>
          <w:numId w:val="5"/>
        </w:numPr>
        <w:ind w:left="0"/>
        <w:jc w:val="both"/>
        <w:rPr>
          <w:lang w:val="fr-FR"/>
        </w:rPr>
      </w:pPr>
      <w:r w:rsidRPr="00D3264E">
        <w:rPr>
          <w:lang w:val="fr-FR"/>
        </w:rPr>
        <w:t>Le présent rapport, qui porte sur la période allant du 1</w:t>
      </w:r>
      <w:r w:rsidRPr="00D3264E">
        <w:rPr>
          <w:vertAlign w:val="superscript"/>
          <w:lang w:val="fr-FR"/>
        </w:rPr>
        <w:t>er</w:t>
      </w:r>
      <w:r w:rsidRPr="00D3264E">
        <w:rPr>
          <w:lang w:val="fr-FR"/>
        </w:rPr>
        <w:t xml:space="preserve"> janvier 2012 au 31 décembre 2015, ne </w:t>
      </w:r>
      <w:r w:rsidR="004B5018" w:rsidRPr="00D3264E">
        <w:rPr>
          <w:lang w:val="fr-FR"/>
        </w:rPr>
        <w:t xml:space="preserve">peut </w:t>
      </w:r>
      <w:r w:rsidRPr="00D3264E">
        <w:rPr>
          <w:lang w:val="fr-FR"/>
        </w:rPr>
        <w:t>rend</w:t>
      </w:r>
      <w:r w:rsidR="004B5018" w:rsidRPr="00D3264E">
        <w:rPr>
          <w:lang w:val="fr-FR"/>
        </w:rPr>
        <w:t>re</w:t>
      </w:r>
      <w:r w:rsidRPr="00D3264E">
        <w:rPr>
          <w:lang w:val="fr-FR"/>
        </w:rPr>
        <w:t xml:space="preserve"> compte de la totalité des cas de viol commis dans le pays, mais seulement d’une fraction de ces cas, à savoir ceux documentés par les bureaux régionaux de la DDH répartis sur l’ensemble du territoire.</w:t>
      </w:r>
      <w:r w:rsidRPr="00D3264E">
        <w:rPr>
          <w:rStyle w:val="FootnoteReference"/>
          <w:lang w:val="fr-FR"/>
        </w:rPr>
        <w:footnoteReference w:id="5"/>
      </w:r>
      <w:r w:rsidR="00FC20CD" w:rsidRPr="00D3264E">
        <w:rPr>
          <w:lang w:val="fr-FR"/>
        </w:rPr>
        <w:t xml:space="preserve"> Par ailleurs, le personnel de la</w:t>
      </w:r>
      <w:r w:rsidRPr="00D3264E">
        <w:rPr>
          <w:lang w:val="fr-FR"/>
        </w:rPr>
        <w:t xml:space="preserve"> DDH s’est entretenu avec des responsables des institutions judiciaires, d’</w:t>
      </w:r>
      <w:r w:rsidR="004B5018" w:rsidRPr="00D3264E">
        <w:rPr>
          <w:lang w:val="fr-FR"/>
        </w:rPr>
        <w:t xml:space="preserve">ONG </w:t>
      </w:r>
      <w:r w:rsidRPr="00D3264E">
        <w:rPr>
          <w:lang w:val="fr-FR"/>
        </w:rPr>
        <w:t>internationales et nationales et avec d’autres acteurs travaillant</w:t>
      </w:r>
      <w:r w:rsidR="00A34AC3" w:rsidRPr="00D3264E">
        <w:rPr>
          <w:lang w:val="fr-FR"/>
        </w:rPr>
        <w:t xml:space="preserve"> </w:t>
      </w:r>
      <w:r w:rsidRPr="00D3264E">
        <w:rPr>
          <w:lang w:val="fr-FR"/>
        </w:rPr>
        <w:t>dans le domaine des violences sexuelles, afin de vérifier, confirmer ou infirmer certaines informations en ce qui concerne les viols et leur répression au niveau judiciaire.</w:t>
      </w:r>
    </w:p>
    <w:p w:rsidR="00714AA8" w:rsidRPr="00D3264E" w:rsidRDefault="00714AA8" w:rsidP="00097245">
      <w:pPr>
        <w:pStyle w:val="ListParagraph"/>
        <w:jc w:val="both"/>
        <w:rPr>
          <w:lang w:val="fr-FR"/>
        </w:rPr>
      </w:pPr>
    </w:p>
    <w:p w:rsidR="00714AA8" w:rsidRPr="00D3264E" w:rsidRDefault="00714AA8" w:rsidP="00097245">
      <w:pPr>
        <w:pStyle w:val="ListParagraph"/>
        <w:numPr>
          <w:ilvl w:val="0"/>
          <w:numId w:val="5"/>
        </w:numPr>
        <w:ind w:left="0"/>
        <w:jc w:val="both"/>
        <w:rPr>
          <w:lang w:val="fr-FR"/>
        </w:rPr>
      </w:pPr>
      <w:r w:rsidRPr="00D3264E">
        <w:rPr>
          <w:lang w:val="fr-FR"/>
        </w:rPr>
        <w:t>Dans le cadre de l’élaboration du présent rapport, la DDH a été confrontée à certaines difficultés, notamment l’absence de statistiques officielles</w:t>
      </w:r>
      <w:r w:rsidR="006957CD" w:rsidRPr="00D3264E">
        <w:rPr>
          <w:lang w:val="fr-FR"/>
        </w:rPr>
        <w:t xml:space="preserve"> consolidées</w:t>
      </w:r>
      <w:r w:rsidR="006957CD" w:rsidRPr="00D3264E">
        <w:rPr>
          <w:rStyle w:val="FootnoteReference"/>
          <w:lang w:val="fr-FR"/>
        </w:rPr>
        <w:footnoteReference w:id="6"/>
      </w:r>
      <w:r w:rsidRPr="00D3264E">
        <w:rPr>
          <w:lang w:val="fr-FR"/>
        </w:rPr>
        <w:t>, au niveau national, concernant les viols</w:t>
      </w:r>
      <w:r w:rsidR="004B5018" w:rsidRPr="00D3264E">
        <w:rPr>
          <w:lang w:val="fr-FR"/>
        </w:rPr>
        <w:t>,</w:t>
      </w:r>
      <w:r w:rsidRPr="00D3264E">
        <w:rPr>
          <w:lang w:val="fr-FR"/>
        </w:rPr>
        <w:t xml:space="preserve"> et la réticence des victimes à d</w:t>
      </w:r>
      <w:r w:rsidR="00FC20CD" w:rsidRPr="00D3264E">
        <w:rPr>
          <w:lang w:val="fr-FR"/>
        </w:rPr>
        <w:t xml:space="preserve">énoncer les violences sexuelles, </w:t>
      </w:r>
      <w:r w:rsidRPr="00D3264E">
        <w:rPr>
          <w:lang w:val="fr-FR"/>
        </w:rPr>
        <w:t>dont elles ont fait l’objet</w:t>
      </w:r>
      <w:r w:rsidR="00FC20CD" w:rsidRPr="00D3264E">
        <w:rPr>
          <w:lang w:val="fr-FR"/>
        </w:rPr>
        <w:t>,</w:t>
      </w:r>
      <w:r w:rsidRPr="00D3264E">
        <w:rPr>
          <w:lang w:val="fr-FR"/>
        </w:rPr>
        <w:t xml:space="preserve"> par crainte de représailles de la part de leurs agresseurs et du risque de stigmatisation au sein de leur communauté. En outre, la DDH a rencontré des difficultés dans sa collecte d’informations sur le suivi des cas de viol, notamment en raison </w:t>
      </w:r>
      <w:r w:rsidR="003B3E3C" w:rsidRPr="00D3264E">
        <w:rPr>
          <w:lang w:val="fr-FR"/>
        </w:rPr>
        <w:t>d</w:t>
      </w:r>
      <w:r w:rsidRPr="00D3264E">
        <w:rPr>
          <w:lang w:val="fr-FR"/>
        </w:rPr>
        <w:t xml:space="preserve">e la lenteur des procédures judiciaires et du retard dans la délivrance des décisions de justice.  </w:t>
      </w:r>
    </w:p>
    <w:p w:rsidR="000D5D41" w:rsidRPr="00D3264E" w:rsidRDefault="000D5D41" w:rsidP="00097245">
      <w:pPr>
        <w:rPr>
          <w:lang w:val="fr-FR"/>
        </w:rPr>
      </w:pPr>
    </w:p>
    <w:p w:rsidR="00FB62F0" w:rsidRPr="00D3264E" w:rsidRDefault="00FB62F0" w:rsidP="00097245">
      <w:pPr>
        <w:pStyle w:val="Heading1"/>
        <w:numPr>
          <w:ilvl w:val="0"/>
          <w:numId w:val="1"/>
        </w:numPr>
        <w:jc w:val="both"/>
        <w:rPr>
          <w:rFonts w:ascii="Times New Roman" w:hAnsi="Times New Roman"/>
          <w:sz w:val="24"/>
          <w:szCs w:val="24"/>
          <w:lang w:val="fr-FR"/>
        </w:rPr>
      </w:pPr>
      <w:bookmarkStart w:id="14" w:name="_Toc455746278"/>
      <w:bookmarkStart w:id="15" w:name="_Toc418237709"/>
      <w:r w:rsidRPr="00D3264E">
        <w:rPr>
          <w:rFonts w:ascii="Times New Roman" w:hAnsi="Times New Roman"/>
          <w:sz w:val="24"/>
          <w:szCs w:val="24"/>
          <w:lang w:val="fr-FR"/>
        </w:rPr>
        <w:t>C</w:t>
      </w:r>
      <w:r w:rsidR="001D3996" w:rsidRPr="00D3264E">
        <w:rPr>
          <w:rFonts w:ascii="Times New Roman" w:hAnsi="Times New Roman"/>
          <w:sz w:val="24"/>
          <w:szCs w:val="24"/>
          <w:lang w:val="fr-FR"/>
        </w:rPr>
        <w:t>ontexte</w:t>
      </w:r>
      <w:bookmarkEnd w:id="14"/>
    </w:p>
    <w:bookmarkEnd w:id="15"/>
    <w:p w:rsidR="00BB0D35" w:rsidRPr="00D3264E" w:rsidRDefault="00BB0D35" w:rsidP="00097245">
      <w:pPr>
        <w:pStyle w:val="ListParagraph"/>
        <w:ind w:left="0"/>
        <w:jc w:val="both"/>
        <w:rPr>
          <w:lang w:val="fr-FR"/>
        </w:rPr>
      </w:pPr>
    </w:p>
    <w:p w:rsidR="00FB62F0" w:rsidRPr="00D3264E" w:rsidRDefault="00FC3D94" w:rsidP="00097245">
      <w:pPr>
        <w:pStyle w:val="ListParagraph"/>
        <w:numPr>
          <w:ilvl w:val="0"/>
          <w:numId w:val="5"/>
        </w:numPr>
        <w:ind w:left="0"/>
        <w:jc w:val="both"/>
        <w:rPr>
          <w:lang w:val="fr-FR"/>
        </w:rPr>
      </w:pPr>
      <w:r w:rsidRPr="00D3264E">
        <w:rPr>
          <w:lang w:val="fr-FR"/>
        </w:rPr>
        <w:t xml:space="preserve">Au </w:t>
      </w:r>
      <w:r w:rsidR="00FB62F0" w:rsidRPr="00D3264E">
        <w:rPr>
          <w:lang w:val="fr-FR"/>
        </w:rPr>
        <w:t xml:space="preserve">début des années 1990, la Côte d’Ivoire a connu des tensions politiques et des soubresauts liés au passage d’un régime de </w:t>
      </w:r>
      <w:hyperlink r:id="rId11" w:tooltip="Parti unique" w:history="1">
        <w:r w:rsidR="00FB62F0" w:rsidRPr="00D3264E">
          <w:rPr>
            <w:lang w:val="fr-FR"/>
          </w:rPr>
          <w:t>parti unique</w:t>
        </w:r>
      </w:hyperlink>
      <w:r w:rsidR="00FB62F0" w:rsidRPr="00D3264E">
        <w:rPr>
          <w:lang w:val="fr-FR"/>
        </w:rPr>
        <w:t xml:space="preserve"> à un régime </w:t>
      </w:r>
      <w:hyperlink r:id="rId12" w:tooltip="Multipartisme" w:history="1">
        <w:r w:rsidR="00FB62F0" w:rsidRPr="00D3264E">
          <w:rPr>
            <w:lang w:val="fr-FR"/>
          </w:rPr>
          <w:t>multipartite</w:t>
        </w:r>
      </w:hyperlink>
      <w:r w:rsidR="00FB62F0" w:rsidRPr="00D3264E">
        <w:rPr>
          <w:lang w:val="fr-FR"/>
        </w:rPr>
        <w:t>. Après la mort du Président Félix Houphouët-Boigny en 1993, le pays est entré dans une crise socio-politique alors qu’il était déjà fragilisé sur le plan économique.</w:t>
      </w:r>
      <w:r w:rsidR="003D5A3D" w:rsidRPr="00D3264E">
        <w:rPr>
          <w:lang w:val="fr-FR"/>
        </w:rPr>
        <w:t xml:space="preserve"> </w:t>
      </w:r>
      <w:r w:rsidR="00E61429" w:rsidRPr="00D3264E">
        <w:rPr>
          <w:lang w:val="fr-FR"/>
        </w:rPr>
        <w:t xml:space="preserve">Un temps </w:t>
      </w:r>
      <w:r w:rsidR="003D5A3D" w:rsidRPr="00D3264E">
        <w:rPr>
          <w:lang w:val="fr-FR"/>
        </w:rPr>
        <w:t>considérée comme un modèle</w:t>
      </w:r>
      <w:r w:rsidR="00FB62F0" w:rsidRPr="00D3264E">
        <w:rPr>
          <w:lang w:val="fr-FR"/>
        </w:rPr>
        <w:t xml:space="preserve"> de stabilité et de </w:t>
      </w:r>
      <w:r w:rsidR="00FB62F0" w:rsidRPr="00D3264E">
        <w:rPr>
          <w:lang w:val="fr-FR"/>
        </w:rPr>
        <w:lastRenderedPageBreak/>
        <w:t>développement en Afrique de l’Ouest,</w:t>
      </w:r>
      <w:r w:rsidR="00643E74" w:rsidRPr="00D3264E">
        <w:rPr>
          <w:lang w:val="fr-FR"/>
        </w:rPr>
        <w:t xml:space="preserve"> </w:t>
      </w:r>
      <w:r w:rsidR="00FB62F0" w:rsidRPr="00D3264E">
        <w:rPr>
          <w:lang w:val="fr-FR"/>
        </w:rPr>
        <w:t xml:space="preserve">la Côte d’Ivoire a connu, depuis 1993, une série de crises qui a sérieusement affecté les droits de l’homme, </w:t>
      </w:r>
      <w:r w:rsidR="003D5A3D" w:rsidRPr="00D3264E">
        <w:rPr>
          <w:lang w:val="fr-FR"/>
        </w:rPr>
        <w:t xml:space="preserve">notamment </w:t>
      </w:r>
      <w:r w:rsidR="00D06B9D" w:rsidRPr="00D3264E">
        <w:rPr>
          <w:lang w:val="fr-FR"/>
        </w:rPr>
        <w:t>ceux des femmes et des enfants</w:t>
      </w:r>
      <w:r w:rsidR="00FB62F0" w:rsidRPr="00D3264E">
        <w:rPr>
          <w:lang w:val="fr-FR"/>
        </w:rPr>
        <w:t>.</w:t>
      </w:r>
    </w:p>
    <w:p w:rsidR="00FB62F0" w:rsidRPr="00D3264E" w:rsidRDefault="00FB62F0" w:rsidP="00097245">
      <w:pPr>
        <w:pStyle w:val="ListParagraph"/>
        <w:ind w:left="0"/>
        <w:jc w:val="both"/>
        <w:rPr>
          <w:lang w:val="fr-FR"/>
        </w:rPr>
      </w:pPr>
    </w:p>
    <w:p w:rsidR="00FB62F0" w:rsidRPr="00D3264E" w:rsidRDefault="00FB62F0" w:rsidP="00097245">
      <w:pPr>
        <w:pStyle w:val="ListParagraph"/>
        <w:numPr>
          <w:ilvl w:val="0"/>
          <w:numId w:val="5"/>
        </w:numPr>
        <w:ind w:left="0"/>
        <w:jc w:val="both"/>
        <w:rPr>
          <w:lang w:val="fr-FR"/>
        </w:rPr>
      </w:pPr>
      <w:r w:rsidRPr="00D3264E">
        <w:rPr>
          <w:lang w:val="fr-FR"/>
        </w:rPr>
        <w:t>Le coup d’Etat militaire de 1999 et l’organisation de l’élection présidentielle en octobre 2000 ont ainsi déclenché une série d’actes de violence</w:t>
      </w:r>
      <w:r w:rsidR="007F171C" w:rsidRPr="00D3264E">
        <w:rPr>
          <w:lang w:val="fr-FR"/>
        </w:rPr>
        <w:t xml:space="preserve"> dont les femmes et les </w:t>
      </w:r>
      <w:r w:rsidR="00C77010" w:rsidRPr="00D3264E">
        <w:rPr>
          <w:lang w:val="fr-FR"/>
        </w:rPr>
        <w:t xml:space="preserve">enfants </w:t>
      </w:r>
      <w:r w:rsidRPr="00D3264E">
        <w:rPr>
          <w:lang w:val="fr-FR"/>
        </w:rPr>
        <w:t xml:space="preserve">ont été </w:t>
      </w:r>
      <w:r w:rsidR="00554C2C" w:rsidRPr="00D3264E">
        <w:rPr>
          <w:lang w:val="fr-FR"/>
        </w:rPr>
        <w:t xml:space="preserve">parmi les principales victimes. </w:t>
      </w:r>
      <w:r w:rsidRPr="00D3264E">
        <w:rPr>
          <w:lang w:val="fr-FR"/>
        </w:rPr>
        <w:t>La crise militaro-politique d</w:t>
      </w:r>
      <w:r w:rsidR="001D3996" w:rsidRPr="00D3264E">
        <w:rPr>
          <w:lang w:val="fr-FR"/>
        </w:rPr>
        <w:t>u 19</w:t>
      </w:r>
      <w:r w:rsidRPr="00D3264E">
        <w:rPr>
          <w:lang w:val="fr-FR"/>
        </w:rPr>
        <w:t xml:space="preserve"> septembre 2002 a également engendré de graves violations </w:t>
      </w:r>
      <w:r w:rsidR="00F62BA4" w:rsidRPr="00D3264E">
        <w:rPr>
          <w:lang w:val="fr-FR"/>
        </w:rPr>
        <w:t xml:space="preserve">et abus </w:t>
      </w:r>
      <w:r w:rsidRPr="00D3264E">
        <w:rPr>
          <w:lang w:val="fr-FR"/>
        </w:rPr>
        <w:t>des droits de l’homme</w:t>
      </w:r>
      <w:r w:rsidR="0039222F" w:rsidRPr="00D3264E">
        <w:rPr>
          <w:lang w:val="fr-FR"/>
        </w:rPr>
        <w:t xml:space="preserve"> </w:t>
      </w:r>
      <w:r w:rsidRPr="00D3264E">
        <w:rPr>
          <w:lang w:val="fr-FR"/>
        </w:rPr>
        <w:t>avec, pour corollaire,</w:t>
      </w:r>
      <w:r w:rsidR="0039222F" w:rsidRPr="00D3264E">
        <w:rPr>
          <w:lang w:val="fr-FR"/>
        </w:rPr>
        <w:t xml:space="preserve"> </w:t>
      </w:r>
      <w:r w:rsidRPr="00D3264E">
        <w:rPr>
          <w:lang w:val="fr-FR"/>
        </w:rPr>
        <w:t>le déplacement de plusieurs centaines de milliers de personnes dans un climat de terreur</w:t>
      </w:r>
      <w:r w:rsidR="00E61429" w:rsidRPr="00D3264E">
        <w:rPr>
          <w:lang w:val="fr-FR"/>
        </w:rPr>
        <w:t>. L</w:t>
      </w:r>
      <w:r w:rsidRPr="00D3264E">
        <w:rPr>
          <w:lang w:val="fr-FR"/>
        </w:rPr>
        <w:t>’entré</w:t>
      </w:r>
      <w:r w:rsidR="00B43DF2" w:rsidRPr="00D3264E">
        <w:rPr>
          <w:lang w:val="fr-FR"/>
        </w:rPr>
        <w:t xml:space="preserve">e en vigueur de l’accord de cessez-le-feu global du 3 mai </w:t>
      </w:r>
      <w:r w:rsidRPr="00D3264E">
        <w:rPr>
          <w:lang w:val="fr-FR"/>
        </w:rPr>
        <w:t xml:space="preserve">2003 n’a pas permis d’enrayer les actes de violence, notamment à </w:t>
      </w:r>
      <w:r w:rsidR="00D06B9D" w:rsidRPr="00D3264E">
        <w:rPr>
          <w:lang w:val="fr-FR"/>
        </w:rPr>
        <w:t>l’égard des femmes et des enfants</w:t>
      </w:r>
      <w:r w:rsidRPr="00D3264E">
        <w:rPr>
          <w:lang w:val="fr-FR"/>
        </w:rPr>
        <w:t xml:space="preserve">. </w:t>
      </w:r>
    </w:p>
    <w:p w:rsidR="0066178C" w:rsidRPr="00D3264E" w:rsidRDefault="0066178C" w:rsidP="00097245">
      <w:pPr>
        <w:pStyle w:val="ListParagraph"/>
        <w:ind w:left="0"/>
        <w:jc w:val="both"/>
        <w:rPr>
          <w:lang w:val="fr-FR"/>
        </w:rPr>
      </w:pPr>
    </w:p>
    <w:p w:rsidR="0066178C" w:rsidRPr="00D3264E" w:rsidRDefault="0066178C" w:rsidP="00097245">
      <w:pPr>
        <w:pStyle w:val="ListParagraph"/>
        <w:numPr>
          <w:ilvl w:val="0"/>
          <w:numId w:val="5"/>
        </w:numPr>
        <w:ind w:left="0"/>
        <w:jc w:val="both"/>
        <w:rPr>
          <w:rFonts w:eastAsia="Calibri"/>
          <w:lang w:val="fr-FR"/>
        </w:rPr>
      </w:pPr>
      <w:r w:rsidRPr="00D3264E">
        <w:rPr>
          <w:lang w:val="fr-FR"/>
        </w:rPr>
        <w:t>Malgré l’absence de belligérance directe après la signature de l’Accord politique d</w:t>
      </w:r>
      <w:r w:rsidR="00C821EB" w:rsidRPr="00D3264E">
        <w:rPr>
          <w:lang w:val="fr-FR"/>
        </w:rPr>
        <w:t xml:space="preserve">e </w:t>
      </w:r>
      <w:r w:rsidRPr="00D3264E">
        <w:rPr>
          <w:lang w:val="fr-FR"/>
        </w:rPr>
        <w:t>Ouagadougou</w:t>
      </w:r>
      <w:r w:rsidR="004B5018" w:rsidRPr="00D3264E">
        <w:rPr>
          <w:lang w:val="fr-FR"/>
        </w:rPr>
        <w:t>,</w:t>
      </w:r>
      <w:r w:rsidRPr="00D3264E">
        <w:rPr>
          <w:lang w:val="fr-FR"/>
        </w:rPr>
        <w:t xml:space="preserve"> le 4 mars 2007, les violations </w:t>
      </w:r>
      <w:r w:rsidR="00F62BA4" w:rsidRPr="00D3264E">
        <w:rPr>
          <w:lang w:val="fr-FR"/>
        </w:rPr>
        <w:t xml:space="preserve">et abus </w:t>
      </w:r>
      <w:r w:rsidRPr="00D3264E">
        <w:rPr>
          <w:lang w:val="fr-FR"/>
        </w:rPr>
        <w:t>des droits de l’homme</w:t>
      </w:r>
      <w:r w:rsidR="00E61429" w:rsidRPr="00D3264E">
        <w:rPr>
          <w:lang w:val="fr-FR"/>
        </w:rPr>
        <w:t>, dont les violences sexuelles</w:t>
      </w:r>
      <w:r w:rsidR="00175690" w:rsidRPr="00D3264E">
        <w:rPr>
          <w:lang w:val="fr-FR"/>
        </w:rPr>
        <w:t xml:space="preserve">, </w:t>
      </w:r>
      <w:r w:rsidR="007F171C" w:rsidRPr="00D3264E">
        <w:rPr>
          <w:lang w:val="fr-FR"/>
        </w:rPr>
        <w:t>se sont poursuivi</w:t>
      </w:r>
      <w:r w:rsidRPr="00D3264E">
        <w:rPr>
          <w:lang w:val="fr-FR"/>
        </w:rPr>
        <w:t xml:space="preserve">s à un niveau extrêmement préoccupant. </w:t>
      </w:r>
      <w:r w:rsidR="002C18BB" w:rsidRPr="00D3264E">
        <w:rPr>
          <w:lang w:val="fr-FR"/>
        </w:rPr>
        <w:t>L</w:t>
      </w:r>
      <w:r w:rsidRPr="00D3264E">
        <w:rPr>
          <w:lang w:val="fr-FR"/>
        </w:rPr>
        <w:t>a crise post-électorale</w:t>
      </w:r>
      <w:r w:rsidR="002C18BB" w:rsidRPr="00D3264E">
        <w:rPr>
          <w:lang w:val="fr-FR"/>
        </w:rPr>
        <w:t xml:space="preserve"> en particulier</w:t>
      </w:r>
      <w:r w:rsidR="0051444D" w:rsidRPr="00D3264E">
        <w:rPr>
          <w:lang w:val="fr-FR"/>
        </w:rPr>
        <w:t xml:space="preserve">, </w:t>
      </w:r>
      <w:r w:rsidRPr="00D3264E">
        <w:rPr>
          <w:lang w:val="fr-FR"/>
        </w:rPr>
        <w:t>qui a secoué la Côte d’Ivoire en 2010-2011</w:t>
      </w:r>
      <w:r w:rsidR="0051444D" w:rsidRPr="00D3264E">
        <w:rPr>
          <w:lang w:val="fr-FR"/>
        </w:rPr>
        <w:t xml:space="preserve">, </w:t>
      </w:r>
      <w:r w:rsidRPr="00D3264E">
        <w:rPr>
          <w:lang w:val="fr-FR"/>
        </w:rPr>
        <w:t>a</w:t>
      </w:r>
      <w:r w:rsidR="002C18BB" w:rsidRPr="00D3264E">
        <w:rPr>
          <w:rStyle w:val="hps"/>
          <w:lang w:val="fr-FR"/>
        </w:rPr>
        <w:t xml:space="preserve"> </w:t>
      </w:r>
      <w:r w:rsidR="004B5018" w:rsidRPr="00D3264E">
        <w:rPr>
          <w:rStyle w:val="hps"/>
          <w:lang w:val="fr-FR"/>
        </w:rPr>
        <w:t>donné lieu</w:t>
      </w:r>
      <w:r w:rsidR="002C18BB" w:rsidRPr="00D3264E">
        <w:rPr>
          <w:rStyle w:val="hps"/>
          <w:lang w:val="fr-FR"/>
        </w:rPr>
        <w:t xml:space="preserve"> </w:t>
      </w:r>
      <w:r w:rsidR="004B5018" w:rsidRPr="00D3264E">
        <w:rPr>
          <w:rStyle w:val="hps"/>
          <w:lang w:val="fr-FR"/>
        </w:rPr>
        <w:t xml:space="preserve">à </w:t>
      </w:r>
      <w:r w:rsidR="002C18BB" w:rsidRPr="00D3264E">
        <w:rPr>
          <w:rStyle w:val="hps"/>
          <w:lang w:val="fr-FR"/>
        </w:rPr>
        <w:t>une augmentation significative</w:t>
      </w:r>
      <w:r w:rsidR="003823B8" w:rsidRPr="00D3264E">
        <w:rPr>
          <w:rStyle w:val="hps"/>
          <w:lang w:val="fr-FR"/>
        </w:rPr>
        <w:t xml:space="preserve"> des cas</w:t>
      </w:r>
      <w:r w:rsidR="003823B8" w:rsidRPr="00D3264E">
        <w:rPr>
          <w:lang w:val="fr-FR"/>
        </w:rPr>
        <w:t xml:space="preserve"> </w:t>
      </w:r>
      <w:r w:rsidR="003823B8" w:rsidRPr="00D3264E">
        <w:rPr>
          <w:rStyle w:val="hps"/>
          <w:lang w:val="fr-FR"/>
        </w:rPr>
        <w:t xml:space="preserve">de viol et </w:t>
      </w:r>
      <w:r w:rsidR="0039222F" w:rsidRPr="00D3264E">
        <w:rPr>
          <w:rStyle w:val="hps"/>
          <w:lang w:val="fr-FR"/>
        </w:rPr>
        <w:t>d’</w:t>
      </w:r>
      <w:r w:rsidR="003823B8" w:rsidRPr="00D3264E">
        <w:rPr>
          <w:rStyle w:val="hps"/>
          <w:lang w:val="fr-FR"/>
        </w:rPr>
        <w:t>autres violences sexuelles</w:t>
      </w:r>
      <w:r w:rsidR="004B5018" w:rsidRPr="00D3264E">
        <w:rPr>
          <w:rStyle w:val="hps"/>
          <w:lang w:val="fr-FR"/>
        </w:rPr>
        <w:t>,</w:t>
      </w:r>
      <w:r w:rsidR="003823B8" w:rsidRPr="00D3264E">
        <w:rPr>
          <w:rStyle w:val="hps"/>
          <w:lang w:val="fr-FR"/>
        </w:rPr>
        <w:t xml:space="preserve"> </w:t>
      </w:r>
      <w:r w:rsidR="005843F6" w:rsidRPr="00D3264E">
        <w:rPr>
          <w:rStyle w:val="hps"/>
          <w:lang w:val="fr-FR"/>
        </w:rPr>
        <w:t xml:space="preserve">visant notamment des personnes en raison de leur affiliation </w:t>
      </w:r>
      <w:r w:rsidR="003823B8" w:rsidRPr="00D3264E">
        <w:rPr>
          <w:rStyle w:val="hps"/>
          <w:lang w:val="fr-FR"/>
        </w:rPr>
        <w:t>politique et/ou</w:t>
      </w:r>
      <w:r w:rsidR="005843F6" w:rsidRPr="00D3264E">
        <w:rPr>
          <w:rStyle w:val="hps"/>
          <w:lang w:val="fr-FR"/>
        </w:rPr>
        <w:t xml:space="preserve"> de leur appartenance</w:t>
      </w:r>
      <w:r w:rsidR="003823B8" w:rsidRPr="00D3264E">
        <w:rPr>
          <w:lang w:val="fr-FR"/>
        </w:rPr>
        <w:t xml:space="preserve"> </w:t>
      </w:r>
      <w:r w:rsidR="003823B8" w:rsidRPr="00D3264E">
        <w:rPr>
          <w:rStyle w:val="hps"/>
          <w:lang w:val="fr-FR"/>
        </w:rPr>
        <w:t>ethnique</w:t>
      </w:r>
      <w:r w:rsidR="005A5256" w:rsidRPr="00D3264E">
        <w:rPr>
          <w:rStyle w:val="hps"/>
          <w:lang w:val="fr-FR"/>
        </w:rPr>
        <w:t>,</w:t>
      </w:r>
      <w:r w:rsidR="003823B8" w:rsidRPr="00D3264E">
        <w:rPr>
          <w:lang w:val="fr-FR"/>
        </w:rPr>
        <w:t xml:space="preserve"> </w:t>
      </w:r>
      <w:r w:rsidR="002C18BB" w:rsidRPr="00D3264E">
        <w:rPr>
          <w:lang w:val="fr-FR"/>
        </w:rPr>
        <w:t xml:space="preserve">qui, </w:t>
      </w:r>
      <w:r w:rsidR="003823B8" w:rsidRPr="00D3264E">
        <w:rPr>
          <w:rStyle w:val="hps"/>
          <w:lang w:val="fr-FR"/>
        </w:rPr>
        <w:t>associé</w:t>
      </w:r>
      <w:r w:rsidR="002C18BB" w:rsidRPr="00D3264E">
        <w:rPr>
          <w:rStyle w:val="hps"/>
          <w:lang w:val="fr-FR"/>
        </w:rPr>
        <w:t>s</w:t>
      </w:r>
      <w:r w:rsidR="003823B8" w:rsidRPr="00D3264E">
        <w:rPr>
          <w:rStyle w:val="hps"/>
          <w:lang w:val="fr-FR"/>
        </w:rPr>
        <w:t xml:space="preserve"> à d’autres violations </w:t>
      </w:r>
      <w:r w:rsidR="0031035A" w:rsidRPr="00D3264E">
        <w:rPr>
          <w:rStyle w:val="hps"/>
          <w:lang w:val="fr-FR"/>
        </w:rPr>
        <w:t xml:space="preserve">et abus </w:t>
      </w:r>
      <w:r w:rsidR="003823B8" w:rsidRPr="00D3264E">
        <w:rPr>
          <w:rStyle w:val="hps"/>
          <w:lang w:val="fr-FR"/>
        </w:rPr>
        <w:t>des droits de l’homme</w:t>
      </w:r>
      <w:r w:rsidR="002C18BB" w:rsidRPr="00D3264E">
        <w:rPr>
          <w:rStyle w:val="hps"/>
          <w:lang w:val="fr-FR"/>
        </w:rPr>
        <w:t>, ont été commis</w:t>
      </w:r>
      <w:r w:rsidR="003823B8" w:rsidRPr="00D3264E">
        <w:rPr>
          <w:lang w:val="fr-FR"/>
        </w:rPr>
        <w:t xml:space="preserve"> </w:t>
      </w:r>
      <w:r w:rsidR="003823B8" w:rsidRPr="00D3264E">
        <w:rPr>
          <w:rStyle w:val="hps"/>
          <w:lang w:val="fr-FR"/>
        </w:rPr>
        <w:t>par des groupes armés</w:t>
      </w:r>
      <w:r w:rsidR="003823B8" w:rsidRPr="00D3264E">
        <w:rPr>
          <w:lang w:val="fr-FR"/>
        </w:rPr>
        <w:t xml:space="preserve"> </w:t>
      </w:r>
      <w:r w:rsidR="003823B8" w:rsidRPr="00D3264E">
        <w:rPr>
          <w:rStyle w:val="hps"/>
          <w:lang w:val="fr-FR"/>
        </w:rPr>
        <w:t>affiliés</w:t>
      </w:r>
      <w:r w:rsidR="003823B8" w:rsidRPr="00D3264E">
        <w:rPr>
          <w:lang w:val="fr-FR"/>
        </w:rPr>
        <w:t xml:space="preserve"> </w:t>
      </w:r>
      <w:r w:rsidR="003823B8" w:rsidRPr="00D3264E">
        <w:rPr>
          <w:rStyle w:val="hps"/>
          <w:lang w:val="fr-FR"/>
        </w:rPr>
        <w:t>à des partis politiques</w:t>
      </w:r>
      <w:r w:rsidR="003823B8" w:rsidRPr="00D3264E">
        <w:rPr>
          <w:lang w:val="fr-FR"/>
        </w:rPr>
        <w:t xml:space="preserve"> </w:t>
      </w:r>
      <w:r w:rsidR="003823B8" w:rsidRPr="00D3264E">
        <w:rPr>
          <w:rStyle w:val="hps"/>
          <w:lang w:val="fr-FR"/>
        </w:rPr>
        <w:t>en vue d’humilier</w:t>
      </w:r>
      <w:r w:rsidR="003823B8" w:rsidRPr="00D3264E">
        <w:rPr>
          <w:lang w:val="fr-FR"/>
        </w:rPr>
        <w:t xml:space="preserve"> </w:t>
      </w:r>
      <w:r w:rsidR="003823B8" w:rsidRPr="00D3264E">
        <w:rPr>
          <w:rStyle w:val="hps"/>
          <w:lang w:val="fr-FR"/>
        </w:rPr>
        <w:t>les hommes</w:t>
      </w:r>
      <w:r w:rsidR="003823B8" w:rsidRPr="00D3264E">
        <w:rPr>
          <w:lang w:val="fr-FR"/>
        </w:rPr>
        <w:t xml:space="preserve"> </w:t>
      </w:r>
      <w:r w:rsidR="003823B8" w:rsidRPr="00D3264E">
        <w:rPr>
          <w:rStyle w:val="hps"/>
          <w:lang w:val="fr-FR"/>
        </w:rPr>
        <w:t>et</w:t>
      </w:r>
      <w:r w:rsidR="003823B8" w:rsidRPr="00D3264E">
        <w:rPr>
          <w:lang w:val="fr-FR"/>
        </w:rPr>
        <w:t xml:space="preserve"> </w:t>
      </w:r>
      <w:r w:rsidR="003823B8" w:rsidRPr="00D3264E">
        <w:rPr>
          <w:rStyle w:val="hps"/>
          <w:lang w:val="fr-FR"/>
        </w:rPr>
        <w:t>les femmes</w:t>
      </w:r>
      <w:r w:rsidR="003823B8" w:rsidRPr="00D3264E">
        <w:rPr>
          <w:lang w:val="fr-FR"/>
        </w:rPr>
        <w:t xml:space="preserve"> </w:t>
      </w:r>
      <w:r w:rsidR="002C18BB" w:rsidRPr="00D3264E">
        <w:rPr>
          <w:rStyle w:val="hps"/>
          <w:lang w:val="fr-FR"/>
        </w:rPr>
        <w:t>considéré</w:t>
      </w:r>
      <w:r w:rsidR="003823B8" w:rsidRPr="00D3264E">
        <w:rPr>
          <w:rStyle w:val="hps"/>
          <w:lang w:val="fr-FR"/>
        </w:rPr>
        <w:t>s comme des opposants</w:t>
      </w:r>
      <w:r w:rsidR="003823B8" w:rsidRPr="00D3264E">
        <w:rPr>
          <w:lang w:val="fr-FR"/>
        </w:rPr>
        <w:t xml:space="preserve"> </w:t>
      </w:r>
      <w:r w:rsidR="003823B8" w:rsidRPr="00D3264E">
        <w:rPr>
          <w:rStyle w:val="hps"/>
          <w:lang w:val="fr-FR"/>
        </w:rPr>
        <w:t>politiques</w:t>
      </w:r>
      <w:r w:rsidR="003823B8" w:rsidRPr="00D3264E">
        <w:rPr>
          <w:lang w:val="fr-FR"/>
        </w:rPr>
        <w:t>.</w:t>
      </w:r>
    </w:p>
    <w:p w:rsidR="0066178C" w:rsidRPr="00D3264E" w:rsidRDefault="0066178C" w:rsidP="00097245">
      <w:pPr>
        <w:pStyle w:val="ListParagraph"/>
        <w:jc w:val="both"/>
        <w:rPr>
          <w:lang w:val="fr-FR"/>
        </w:rPr>
      </w:pPr>
    </w:p>
    <w:p w:rsidR="0066178C" w:rsidRPr="00D3264E" w:rsidRDefault="0066178C" w:rsidP="00097245">
      <w:pPr>
        <w:pStyle w:val="ListParagraph"/>
        <w:numPr>
          <w:ilvl w:val="0"/>
          <w:numId w:val="5"/>
        </w:numPr>
        <w:ind w:left="0"/>
        <w:jc w:val="both"/>
        <w:rPr>
          <w:rFonts w:eastAsia="Calibri"/>
          <w:lang w:val="fr-FR"/>
        </w:rPr>
      </w:pPr>
      <w:r w:rsidRPr="00D3264E">
        <w:rPr>
          <w:lang w:val="fr-FR"/>
        </w:rPr>
        <w:t xml:space="preserve">Dans son rapport d’enquête sur les violations des droits de l’homme et du droit international humanitaire survenues entre le 31 octobre 2010 et le 15 mai 2011, </w:t>
      </w:r>
      <w:r w:rsidRPr="00D3264E">
        <w:rPr>
          <w:rFonts w:eastAsia="Calibri"/>
          <w:lang w:val="fr-FR"/>
        </w:rPr>
        <w:t xml:space="preserve">la Commission </w:t>
      </w:r>
      <w:r w:rsidR="00E61429" w:rsidRPr="00D3264E">
        <w:rPr>
          <w:rFonts w:eastAsia="Calibri"/>
          <w:lang w:val="fr-FR"/>
        </w:rPr>
        <w:t>n</w:t>
      </w:r>
      <w:r w:rsidRPr="00D3264E">
        <w:rPr>
          <w:rFonts w:eastAsia="Calibri"/>
          <w:lang w:val="fr-FR"/>
        </w:rPr>
        <w:t>ationale d’</w:t>
      </w:r>
      <w:r w:rsidR="00E61429" w:rsidRPr="00D3264E">
        <w:rPr>
          <w:rFonts w:eastAsia="Calibri"/>
          <w:lang w:val="fr-FR"/>
        </w:rPr>
        <w:t>e</w:t>
      </w:r>
      <w:r w:rsidRPr="00D3264E">
        <w:rPr>
          <w:rFonts w:eastAsia="Calibri"/>
          <w:lang w:val="fr-FR"/>
        </w:rPr>
        <w:t xml:space="preserve">nquête a indiqué avoir enregistré 196 cas de viol de femmes et </w:t>
      </w:r>
      <w:r w:rsidR="001F3C23" w:rsidRPr="00D3264E">
        <w:rPr>
          <w:rFonts w:eastAsia="Calibri"/>
          <w:lang w:val="fr-FR"/>
        </w:rPr>
        <w:t>d’</w:t>
      </w:r>
      <w:r w:rsidRPr="00D3264E">
        <w:rPr>
          <w:rFonts w:eastAsia="Calibri"/>
          <w:lang w:val="fr-FR"/>
        </w:rPr>
        <w:t xml:space="preserve">autres agressions sexuelles, tout en soulignant que le nombre de cas signalés </w:t>
      </w:r>
      <w:r w:rsidR="00E61429" w:rsidRPr="00D3264E">
        <w:rPr>
          <w:rFonts w:eastAsia="Calibri"/>
          <w:lang w:val="fr-FR"/>
        </w:rPr>
        <w:t>était</w:t>
      </w:r>
      <w:r w:rsidRPr="00D3264E">
        <w:rPr>
          <w:rFonts w:eastAsia="Calibri"/>
          <w:lang w:val="fr-FR"/>
        </w:rPr>
        <w:t xml:space="preserve"> en-deçà du nombre de cas réels.</w:t>
      </w:r>
      <w:r w:rsidRPr="00D3264E">
        <w:rPr>
          <w:rStyle w:val="FootnoteReference"/>
          <w:rFonts w:eastAsia="Calibri"/>
          <w:lang w:val="fr-FR"/>
        </w:rPr>
        <w:footnoteReference w:id="7"/>
      </w:r>
      <w:r w:rsidRPr="00D3264E">
        <w:rPr>
          <w:rFonts w:eastAsia="Calibri"/>
          <w:lang w:val="fr-FR"/>
        </w:rPr>
        <w:t xml:space="preserve"> La Commission d’enquête internationale indépendante sur la Côte d’Ivoire</w:t>
      </w:r>
      <w:r w:rsidR="00E61429" w:rsidRPr="00D3264E">
        <w:rPr>
          <w:rFonts w:eastAsia="Calibri"/>
          <w:lang w:val="fr-FR"/>
        </w:rPr>
        <w:t>,</w:t>
      </w:r>
      <w:r w:rsidRPr="00D3264E">
        <w:rPr>
          <w:rFonts w:eastAsia="Calibri"/>
          <w:lang w:val="fr-FR"/>
        </w:rPr>
        <w:t xml:space="preserve"> dans son rapport au Conseil des droits de l’homme daté du 1</w:t>
      </w:r>
      <w:r w:rsidRPr="00D3264E">
        <w:rPr>
          <w:rFonts w:eastAsia="Calibri"/>
          <w:vertAlign w:val="superscript"/>
          <w:lang w:val="fr-FR"/>
        </w:rPr>
        <w:t>er</w:t>
      </w:r>
      <w:r w:rsidRPr="00D3264E">
        <w:rPr>
          <w:rFonts w:eastAsia="Calibri"/>
          <w:lang w:val="fr-FR"/>
        </w:rPr>
        <w:t xml:space="preserve"> juillet 2011</w:t>
      </w:r>
      <w:r w:rsidR="00E61429" w:rsidRPr="00D3264E">
        <w:rPr>
          <w:rFonts w:eastAsia="Calibri"/>
          <w:lang w:val="fr-FR"/>
        </w:rPr>
        <w:t>,</w:t>
      </w:r>
      <w:r w:rsidRPr="00D3264E">
        <w:rPr>
          <w:rFonts w:eastAsia="Calibri"/>
          <w:lang w:val="fr-FR"/>
        </w:rPr>
        <w:t xml:space="preserve"> </w:t>
      </w:r>
      <w:r w:rsidR="00710BB1" w:rsidRPr="00D3264E">
        <w:rPr>
          <w:rFonts w:eastAsia="Calibri"/>
          <w:lang w:val="fr-FR"/>
        </w:rPr>
        <w:t>a également fait état de « </w:t>
      </w:r>
      <w:r w:rsidR="00710BB1" w:rsidRPr="00D3264E">
        <w:rPr>
          <w:rFonts w:eastAsia="Calibri"/>
          <w:i/>
          <w:lang w:val="fr-FR"/>
        </w:rPr>
        <w:t>plusieurs témoignages de femmes et de jeunes filles victimes de violences sexuelles perpétrées par des miliciens armés, des hommes en uniforme et de ceux habillés en costume traditionnel Dozo dans la région de l’Ouest d’une part, et des hommes armés accompagnés de miliciens à Abidjan</w:t>
      </w:r>
      <w:r w:rsidR="006D11FA" w:rsidRPr="00D3264E">
        <w:rPr>
          <w:rFonts w:eastAsia="Calibri"/>
          <w:i/>
          <w:lang w:val="fr-FR"/>
        </w:rPr>
        <w:t xml:space="preserve"> </w:t>
      </w:r>
      <w:r w:rsidR="00710BB1" w:rsidRPr="00D3264E">
        <w:rPr>
          <w:rFonts w:eastAsia="Calibri"/>
          <w:lang w:val="fr-FR"/>
        </w:rPr>
        <w:t>».</w:t>
      </w:r>
      <w:r w:rsidR="00710BB1" w:rsidRPr="00D3264E">
        <w:rPr>
          <w:rStyle w:val="FootnoteReference"/>
          <w:rFonts w:eastAsia="Calibri"/>
          <w:lang w:val="fr-FR"/>
        </w:rPr>
        <w:t xml:space="preserve"> </w:t>
      </w:r>
      <w:r w:rsidR="00710BB1" w:rsidRPr="00D3264E">
        <w:rPr>
          <w:rStyle w:val="FootnoteReference"/>
          <w:rFonts w:eastAsia="Calibri"/>
          <w:lang w:val="fr-FR"/>
        </w:rPr>
        <w:footnoteReference w:id="8"/>
      </w:r>
    </w:p>
    <w:p w:rsidR="00FB62F0" w:rsidRPr="00D3264E" w:rsidRDefault="00FB62F0" w:rsidP="00097245">
      <w:pPr>
        <w:jc w:val="both"/>
        <w:rPr>
          <w:lang w:val="fr-FR"/>
        </w:rPr>
      </w:pPr>
    </w:p>
    <w:p w:rsidR="001F3C23" w:rsidRPr="00D3264E" w:rsidRDefault="00FB62F0" w:rsidP="00097245">
      <w:pPr>
        <w:pStyle w:val="ListParagraph"/>
        <w:numPr>
          <w:ilvl w:val="0"/>
          <w:numId w:val="5"/>
        </w:numPr>
        <w:spacing w:before="120"/>
        <w:ind w:left="0"/>
        <w:jc w:val="both"/>
        <w:rPr>
          <w:lang w:val="fr-FR"/>
        </w:rPr>
      </w:pPr>
      <w:r w:rsidRPr="00D3264E">
        <w:rPr>
          <w:lang w:val="fr-FR"/>
        </w:rPr>
        <w:t>En dépit de la fin des hostilités depuis 2011 et de l’accalmie engendrée par l</w:t>
      </w:r>
      <w:r w:rsidR="00E61429" w:rsidRPr="00D3264E">
        <w:rPr>
          <w:lang w:val="fr-FR"/>
        </w:rPr>
        <w:t xml:space="preserve">a </w:t>
      </w:r>
      <w:r w:rsidRPr="00D3264E">
        <w:rPr>
          <w:lang w:val="fr-FR"/>
        </w:rPr>
        <w:t>stabili</w:t>
      </w:r>
      <w:r w:rsidR="00E61429" w:rsidRPr="00D3264E">
        <w:rPr>
          <w:lang w:val="fr-FR"/>
        </w:rPr>
        <w:t>sation</w:t>
      </w:r>
      <w:r w:rsidRPr="00D3264E">
        <w:rPr>
          <w:lang w:val="fr-FR"/>
        </w:rPr>
        <w:t xml:space="preserve"> </w:t>
      </w:r>
      <w:r w:rsidR="00E61429" w:rsidRPr="00D3264E">
        <w:rPr>
          <w:lang w:val="fr-FR"/>
        </w:rPr>
        <w:t xml:space="preserve">progressive </w:t>
      </w:r>
      <w:r w:rsidRPr="00D3264E">
        <w:rPr>
          <w:lang w:val="fr-FR"/>
        </w:rPr>
        <w:t>des institutions, les viols</w:t>
      </w:r>
      <w:r w:rsidR="00E61429" w:rsidRPr="00D3264E">
        <w:rPr>
          <w:lang w:val="fr-FR"/>
        </w:rPr>
        <w:t>,</w:t>
      </w:r>
      <w:r w:rsidRPr="00D3264E">
        <w:rPr>
          <w:lang w:val="fr-FR"/>
        </w:rPr>
        <w:t xml:space="preserve"> commis principalement par de</w:t>
      </w:r>
      <w:r w:rsidR="00A13740" w:rsidRPr="00D3264E">
        <w:rPr>
          <w:lang w:val="fr-FR"/>
        </w:rPr>
        <w:t>s personnes privées</w:t>
      </w:r>
      <w:r w:rsidR="00D06D9B" w:rsidRPr="00D3264E">
        <w:rPr>
          <w:lang w:val="fr-FR"/>
        </w:rPr>
        <w:t>,</w:t>
      </w:r>
      <w:r w:rsidRPr="00D3264E">
        <w:rPr>
          <w:lang w:val="fr-FR"/>
        </w:rPr>
        <w:t xml:space="preserve"> se sont poursuivis à un </w:t>
      </w:r>
      <w:r w:rsidR="001D3996" w:rsidRPr="00D3264E">
        <w:rPr>
          <w:lang w:val="fr-FR"/>
        </w:rPr>
        <w:t xml:space="preserve">rythme </w:t>
      </w:r>
      <w:r w:rsidRPr="00D3264E">
        <w:rPr>
          <w:lang w:val="fr-FR"/>
        </w:rPr>
        <w:t xml:space="preserve">préoccupant. </w:t>
      </w:r>
      <w:r w:rsidR="0051444D" w:rsidRPr="00D3264E">
        <w:rPr>
          <w:rStyle w:val="hps"/>
          <w:lang w:val="fr-FR"/>
        </w:rPr>
        <w:t xml:space="preserve">La </w:t>
      </w:r>
      <w:r w:rsidR="002C18BB" w:rsidRPr="00D3264E">
        <w:rPr>
          <w:rStyle w:val="hps"/>
          <w:lang w:val="fr-FR"/>
        </w:rPr>
        <w:t xml:space="preserve">prévalence </w:t>
      </w:r>
      <w:r w:rsidR="0051444D" w:rsidRPr="00D3264E">
        <w:rPr>
          <w:rStyle w:val="hps"/>
          <w:lang w:val="fr-FR"/>
        </w:rPr>
        <w:t xml:space="preserve">actuelle </w:t>
      </w:r>
      <w:r w:rsidR="002C18BB" w:rsidRPr="00D3264E">
        <w:rPr>
          <w:rStyle w:val="hps"/>
          <w:lang w:val="fr-FR"/>
        </w:rPr>
        <w:t>des</w:t>
      </w:r>
      <w:r w:rsidR="002C18BB" w:rsidRPr="00D3264E">
        <w:rPr>
          <w:lang w:val="fr-FR"/>
        </w:rPr>
        <w:t xml:space="preserve"> </w:t>
      </w:r>
      <w:r w:rsidR="002C18BB" w:rsidRPr="00D3264E">
        <w:rPr>
          <w:rStyle w:val="hps"/>
          <w:lang w:val="fr-FR"/>
        </w:rPr>
        <w:t xml:space="preserve">viols et </w:t>
      </w:r>
      <w:r w:rsidR="0039222F" w:rsidRPr="00D3264E">
        <w:rPr>
          <w:rStyle w:val="hps"/>
          <w:lang w:val="fr-FR"/>
        </w:rPr>
        <w:t>d’</w:t>
      </w:r>
      <w:r w:rsidR="002C18BB" w:rsidRPr="00D3264E">
        <w:rPr>
          <w:rStyle w:val="hps"/>
          <w:lang w:val="fr-FR"/>
        </w:rPr>
        <w:t>autres violences sexuelles</w:t>
      </w:r>
      <w:r w:rsidR="002C18BB" w:rsidRPr="00D3264E">
        <w:rPr>
          <w:lang w:val="fr-FR"/>
        </w:rPr>
        <w:t>, même s</w:t>
      </w:r>
      <w:r w:rsidR="00BA0DAF" w:rsidRPr="00D3264E">
        <w:rPr>
          <w:lang w:val="fr-FR"/>
        </w:rPr>
        <w:t xml:space="preserve">i </w:t>
      </w:r>
      <w:r w:rsidR="00470D09" w:rsidRPr="00D3264E">
        <w:rPr>
          <w:lang w:val="fr-FR"/>
        </w:rPr>
        <w:t>elle ne</w:t>
      </w:r>
      <w:r w:rsidR="002C18BB" w:rsidRPr="00D3264E">
        <w:rPr>
          <w:lang w:val="fr-FR"/>
        </w:rPr>
        <w:t xml:space="preserve"> trouve pas </w:t>
      </w:r>
      <w:r w:rsidR="00BA0DAF" w:rsidRPr="00D3264E">
        <w:rPr>
          <w:lang w:val="fr-FR"/>
        </w:rPr>
        <w:t xml:space="preserve">seulement </w:t>
      </w:r>
      <w:r w:rsidR="002C18BB" w:rsidRPr="00D3264E">
        <w:rPr>
          <w:lang w:val="fr-FR"/>
        </w:rPr>
        <w:t xml:space="preserve">son origine </w:t>
      </w:r>
      <w:r w:rsidR="00BA0DAF" w:rsidRPr="00D3264E">
        <w:rPr>
          <w:lang w:val="fr-FR"/>
        </w:rPr>
        <w:t xml:space="preserve">dans les années de crise connues par la Côte d’Ivoire depuis 2002, a été sans conteste exacerbée par ces dernières qui ont favorisé une culture de violence en raison du climat général d’insécurité et ont été marquées par </w:t>
      </w:r>
      <w:r w:rsidR="00BA0DAF" w:rsidRPr="00D3264E">
        <w:rPr>
          <w:rStyle w:val="hps"/>
          <w:lang w:val="fr-FR"/>
        </w:rPr>
        <w:t xml:space="preserve">une </w:t>
      </w:r>
      <w:r w:rsidR="002C18BB" w:rsidRPr="00D3264E">
        <w:rPr>
          <w:rStyle w:val="hps"/>
          <w:lang w:val="fr-FR"/>
        </w:rPr>
        <w:t>impunité</w:t>
      </w:r>
      <w:r w:rsidR="002C18BB" w:rsidRPr="00D3264E">
        <w:rPr>
          <w:lang w:val="fr-FR"/>
        </w:rPr>
        <w:t xml:space="preserve"> </w:t>
      </w:r>
      <w:r w:rsidR="002C18BB" w:rsidRPr="00D3264E">
        <w:rPr>
          <w:rStyle w:val="hps"/>
          <w:lang w:val="fr-FR"/>
        </w:rPr>
        <w:t>persistante</w:t>
      </w:r>
      <w:r w:rsidR="002C18BB" w:rsidRPr="00D3264E">
        <w:rPr>
          <w:lang w:val="fr-FR"/>
        </w:rPr>
        <w:t xml:space="preserve"> </w:t>
      </w:r>
      <w:r w:rsidR="00BA0DAF" w:rsidRPr="00D3264E">
        <w:rPr>
          <w:lang w:val="fr-FR"/>
        </w:rPr>
        <w:t>due à l’absence de répression judiciaire systématique.</w:t>
      </w:r>
    </w:p>
    <w:p w:rsidR="00710BB1" w:rsidRPr="00D3264E" w:rsidRDefault="00710BB1" w:rsidP="00097245">
      <w:pPr>
        <w:pStyle w:val="ListParagraph"/>
        <w:ind w:left="0"/>
        <w:jc w:val="both"/>
        <w:rPr>
          <w:lang w:val="fr-FR"/>
        </w:rPr>
      </w:pPr>
    </w:p>
    <w:p w:rsidR="00FB62F0" w:rsidRPr="00D3264E" w:rsidRDefault="00BA0DAF" w:rsidP="00097245">
      <w:pPr>
        <w:pStyle w:val="ListParagraph"/>
        <w:numPr>
          <w:ilvl w:val="0"/>
          <w:numId w:val="5"/>
        </w:numPr>
        <w:ind w:left="0"/>
        <w:jc w:val="both"/>
        <w:rPr>
          <w:lang w:val="fr-FR"/>
        </w:rPr>
      </w:pPr>
      <w:r w:rsidRPr="00D3264E">
        <w:rPr>
          <w:lang w:val="fr-FR"/>
        </w:rPr>
        <w:t>En effet</w:t>
      </w:r>
      <w:r w:rsidR="00FB62F0" w:rsidRPr="00D3264E">
        <w:rPr>
          <w:lang w:val="fr-FR"/>
        </w:rPr>
        <w:t>, les diverses crises qu’a connues la Côte d’Ivoire ont eu pour conséquence un effondrement du système judiciaire</w:t>
      </w:r>
      <w:r w:rsidR="003A77EB" w:rsidRPr="00D3264E">
        <w:rPr>
          <w:lang w:val="fr-FR"/>
        </w:rPr>
        <w:t xml:space="preserve"> d</w:t>
      </w:r>
      <w:r w:rsidR="001E5EF2" w:rsidRPr="00D3264E">
        <w:rPr>
          <w:lang w:val="fr-FR"/>
        </w:rPr>
        <w:t>ans la mesure où</w:t>
      </w:r>
      <w:r w:rsidR="000A1F3D" w:rsidRPr="00D3264E">
        <w:rPr>
          <w:lang w:val="fr-FR"/>
        </w:rPr>
        <w:t xml:space="preserve"> le fonctionnement des</w:t>
      </w:r>
      <w:r w:rsidR="003A77EB" w:rsidRPr="00D3264E">
        <w:rPr>
          <w:lang w:val="fr-FR"/>
        </w:rPr>
        <w:t xml:space="preserve"> institutions </w:t>
      </w:r>
      <w:r w:rsidR="003A77EB" w:rsidRPr="00D3264E">
        <w:rPr>
          <w:lang w:val="fr-FR"/>
        </w:rPr>
        <w:lastRenderedPageBreak/>
        <w:t>jud</w:t>
      </w:r>
      <w:r w:rsidR="006B44E4" w:rsidRPr="00D3264E">
        <w:rPr>
          <w:lang w:val="fr-FR"/>
        </w:rPr>
        <w:t xml:space="preserve">iciaires </w:t>
      </w:r>
      <w:r w:rsidR="000A1F3D" w:rsidRPr="00D3264E">
        <w:rPr>
          <w:lang w:val="fr-FR"/>
        </w:rPr>
        <w:t>a</w:t>
      </w:r>
      <w:r w:rsidR="00B62742" w:rsidRPr="00D3264E">
        <w:rPr>
          <w:lang w:val="fr-FR"/>
        </w:rPr>
        <w:t xml:space="preserve"> été fortement fragilis</w:t>
      </w:r>
      <w:r w:rsidR="000B7F5C" w:rsidRPr="00D3264E">
        <w:rPr>
          <w:lang w:val="fr-FR"/>
        </w:rPr>
        <w:t>é</w:t>
      </w:r>
      <w:r w:rsidR="0051444D" w:rsidRPr="00D3264E">
        <w:rPr>
          <w:lang w:val="fr-FR"/>
        </w:rPr>
        <w:t xml:space="preserve"> entre 2002 et 2011</w:t>
      </w:r>
      <w:r w:rsidR="000A1F3D" w:rsidRPr="00D3264E">
        <w:rPr>
          <w:lang w:val="fr-FR"/>
        </w:rPr>
        <w:t xml:space="preserve">. </w:t>
      </w:r>
      <w:r w:rsidR="001F3C23" w:rsidRPr="00D3264E">
        <w:rPr>
          <w:lang w:val="fr-FR"/>
        </w:rPr>
        <w:t xml:space="preserve">Par ailleurs, les ex-zones du </w:t>
      </w:r>
      <w:r w:rsidR="001F3C23" w:rsidRPr="00D3264E">
        <w:rPr>
          <w:lang w:val="fr-CA" w:eastAsia="fr-FR"/>
        </w:rPr>
        <w:t xml:space="preserve">Centre </w:t>
      </w:r>
      <w:r w:rsidRPr="00D3264E">
        <w:rPr>
          <w:lang w:val="fr-CA" w:eastAsia="fr-FR"/>
        </w:rPr>
        <w:t>Nord-Ouest</w:t>
      </w:r>
      <w:r w:rsidR="001F3C23" w:rsidRPr="00D3264E">
        <w:rPr>
          <w:lang w:val="fr-FR"/>
        </w:rPr>
        <w:t xml:space="preserve"> ont été caractérisées</w:t>
      </w:r>
      <w:r w:rsidR="0051444D" w:rsidRPr="00D3264E">
        <w:rPr>
          <w:lang w:val="fr-FR"/>
        </w:rPr>
        <w:t xml:space="preserve"> pendant plusieurs années</w:t>
      </w:r>
      <w:r w:rsidR="001F3C23" w:rsidRPr="00D3264E">
        <w:rPr>
          <w:lang w:val="fr-FR"/>
        </w:rPr>
        <w:t xml:space="preserve"> par l'</w:t>
      </w:r>
      <w:r w:rsidR="004B5018" w:rsidRPr="00D3264E">
        <w:rPr>
          <w:lang w:val="fr-FR"/>
        </w:rPr>
        <w:t xml:space="preserve">absence </w:t>
      </w:r>
      <w:r w:rsidR="001F3C23" w:rsidRPr="00D3264E">
        <w:rPr>
          <w:lang w:val="fr-FR"/>
        </w:rPr>
        <w:t>de tribunaux, de la police et de la gendarmerie, ce qui a rendu difficile, voire</w:t>
      </w:r>
      <w:r w:rsidR="000B7F5C" w:rsidRPr="00D3264E">
        <w:rPr>
          <w:lang w:val="fr-FR"/>
        </w:rPr>
        <w:t xml:space="preserve"> impossible, </w:t>
      </w:r>
      <w:r w:rsidR="001F3C23" w:rsidRPr="00D3264E">
        <w:rPr>
          <w:lang w:val="fr-FR"/>
        </w:rPr>
        <w:t>la prise en charge judiciaire.</w:t>
      </w:r>
      <w:r w:rsidR="0019321B" w:rsidRPr="00D3264E">
        <w:rPr>
          <w:lang w:val="fr-FR"/>
        </w:rPr>
        <w:t xml:space="preserve"> Par ailleurs,</w:t>
      </w:r>
      <w:r w:rsidR="001F3C23" w:rsidRPr="00D3264E">
        <w:rPr>
          <w:lang w:val="fr-FR"/>
        </w:rPr>
        <w:t xml:space="preserve"> </w:t>
      </w:r>
      <w:r w:rsidR="00FB62F0" w:rsidRPr="00D3264E">
        <w:rPr>
          <w:lang w:val="fr-FR"/>
        </w:rPr>
        <w:t xml:space="preserve">une baisse </w:t>
      </w:r>
      <w:r w:rsidR="0051444D" w:rsidRPr="00D3264E">
        <w:rPr>
          <w:lang w:val="fr-FR"/>
        </w:rPr>
        <w:t xml:space="preserve">globale </w:t>
      </w:r>
      <w:r w:rsidR="00FB62F0" w:rsidRPr="00D3264E">
        <w:rPr>
          <w:lang w:val="fr-FR"/>
        </w:rPr>
        <w:t>des campagnes de se</w:t>
      </w:r>
      <w:r w:rsidR="005F1B9B" w:rsidRPr="00D3264E">
        <w:rPr>
          <w:lang w:val="fr-FR"/>
        </w:rPr>
        <w:t>nsibilisatio</w:t>
      </w:r>
      <w:r w:rsidR="006B44E4" w:rsidRPr="00D3264E">
        <w:rPr>
          <w:lang w:val="fr-FR"/>
        </w:rPr>
        <w:t xml:space="preserve">n </w:t>
      </w:r>
      <w:r w:rsidR="004B5018" w:rsidRPr="00D3264E">
        <w:rPr>
          <w:lang w:val="fr-FR"/>
        </w:rPr>
        <w:t xml:space="preserve">a été observée, </w:t>
      </w:r>
      <w:r w:rsidR="00B62742" w:rsidRPr="00D3264E">
        <w:rPr>
          <w:lang w:val="fr-FR"/>
        </w:rPr>
        <w:t xml:space="preserve">notamment </w:t>
      </w:r>
      <w:r w:rsidR="004B5018" w:rsidRPr="00D3264E">
        <w:rPr>
          <w:lang w:val="fr-FR"/>
        </w:rPr>
        <w:t>concernant l</w:t>
      </w:r>
      <w:r w:rsidR="006B44E4" w:rsidRPr="00D3264E">
        <w:rPr>
          <w:lang w:val="fr-FR"/>
        </w:rPr>
        <w:t xml:space="preserve">es violences sexuelles. </w:t>
      </w:r>
    </w:p>
    <w:p w:rsidR="003705A2" w:rsidRPr="00D3264E" w:rsidRDefault="003705A2" w:rsidP="00097245">
      <w:pPr>
        <w:pStyle w:val="ListParagraph"/>
        <w:ind w:left="0"/>
        <w:jc w:val="both"/>
        <w:rPr>
          <w:lang w:val="fr-FR"/>
        </w:rPr>
      </w:pPr>
    </w:p>
    <w:p w:rsidR="0042025A" w:rsidRPr="00D3264E" w:rsidRDefault="0042025A" w:rsidP="00097245">
      <w:pPr>
        <w:pStyle w:val="Heading1"/>
        <w:numPr>
          <w:ilvl w:val="0"/>
          <w:numId w:val="1"/>
        </w:numPr>
        <w:jc w:val="both"/>
        <w:rPr>
          <w:rFonts w:ascii="Times New Roman" w:hAnsi="Times New Roman"/>
          <w:sz w:val="24"/>
          <w:szCs w:val="24"/>
          <w:lang w:val="fr-FR"/>
        </w:rPr>
      </w:pPr>
      <w:bookmarkStart w:id="16" w:name="_Toc455746279"/>
      <w:r w:rsidRPr="00D3264E">
        <w:rPr>
          <w:rFonts w:ascii="Times New Roman" w:hAnsi="Times New Roman"/>
          <w:sz w:val="24"/>
          <w:szCs w:val="24"/>
          <w:lang w:val="fr-FR"/>
        </w:rPr>
        <w:t>C</w:t>
      </w:r>
      <w:r w:rsidR="001D3996" w:rsidRPr="00D3264E">
        <w:rPr>
          <w:rFonts w:ascii="Times New Roman" w:hAnsi="Times New Roman"/>
          <w:sz w:val="24"/>
          <w:szCs w:val="24"/>
          <w:lang w:val="fr-FR"/>
        </w:rPr>
        <w:t>adre légal</w:t>
      </w:r>
      <w:bookmarkEnd w:id="16"/>
    </w:p>
    <w:p w:rsidR="00FB62F0" w:rsidRPr="00D3264E" w:rsidRDefault="00FB62F0" w:rsidP="00097245">
      <w:pPr>
        <w:jc w:val="both"/>
        <w:rPr>
          <w:lang w:val="fr-FR"/>
        </w:rPr>
      </w:pPr>
    </w:p>
    <w:p w:rsidR="00FB62F0" w:rsidRPr="00D3264E" w:rsidRDefault="00FB62F0" w:rsidP="00097245">
      <w:pPr>
        <w:pStyle w:val="Heading2"/>
        <w:numPr>
          <w:ilvl w:val="0"/>
          <w:numId w:val="10"/>
        </w:numPr>
        <w:spacing w:before="0"/>
        <w:jc w:val="both"/>
        <w:rPr>
          <w:rFonts w:ascii="Times New Roman" w:hAnsi="Times New Roman"/>
          <w:color w:val="auto"/>
          <w:sz w:val="24"/>
          <w:szCs w:val="24"/>
          <w:lang w:val="fr-FR"/>
        </w:rPr>
      </w:pPr>
      <w:bookmarkStart w:id="17" w:name="_Toc455746280"/>
      <w:r w:rsidRPr="00D3264E">
        <w:rPr>
          <w:rFonts w:ascii="Times New Roman" w:hAnsi="Times New Roman"/>
          <w:color w:val="auto"/>
          <w:sz w:val="24"/>
          <w:szCs w:val="24"/>
          <w:lang w:val="fr-FR"/>
        </w:rPr>
        <w:t>Au niveau international</w:t>
      </w:r>
      <w:bookmarkEnd w:id="17"/>
      <w:r w:rsidRPr="00D3264E">
        <w:rPr>
          <w:rFonts w:ascii="Times New Roman" w:hAnsi="Times New Roman"/>
          <w:color w:val="auto"/>
          <w:sz w:val="24"/>
          <w:szCs w:val="24"/>
          <w:lang w:val="fr-FR"/>
        </w:rPr>
        <w:t> </w:t>
      </w:r>
    </w:p>
    <w:p w:rsidR="00FB62F0" w:rsidRPr="00D3264E" w:rsidRDefault="00FB62F0" w:rsidP="00097245">
      <w:pPr>
        <w:jc w:val="both"/>
        <w:rPr>
          <w:bCs/>
          <w:lang w:val="fr-FR"/>
        </w:rPr>
      </w:pPr>
    </w:p>
    <w:p w:rsidR="00450931" w:rsidRPr="00D3264E" w:rsidRDefault="004B5018" w:rsidP="00097245">
      <w:pPr>
        <w:pStyle w:val="ListParagraph"/>
        <w:numPr>
          <w:ilvl w:val="0"/>
          <w:numId w:val="5"/>
        </w:numPr>
        <w:ind w:left="0"/>
        <w:jc w:val="both"/>
        <w:rPr>
          <w:lang w:val="fr-FR"/>
        </w:rPr>
      </w:pPr>
      <w:r w:rsidRPr="00D3264E">
        <w:rPr>
          <w:lang w:val="fr-FR"/>
        </w:rPr>
        <w:t>P</w:t>
      </w:r>
      <w:r w:rsidR="00FB62F0" w:rsidRPr="00D3264E">
        <w:rPr>
          <w:lang w:val="fr-FR"/>
        </w:rPr>
        <w:t>lusieurs déclarations</w:t>
      </w:r>
      <w:r w:rsidRPr="00D3264E">
        <w:rPr>
          <w:lang w:val="fr-FR"/>
        </w:rPr>
        <w:t xml:space="preserve"> internationales</w:t>
      </w:r>
      <w:r w:rsidR="00702FA9" w:rsidRPr="00D3264E">
        <w:rPr>
          <w:rStyle w:val="FootnoteReference"/>
          <w:lang w:val="fr-FR"/>
        </w:rPr>
        <w:footnoteReference w:id="9"/>
      </w:r>
      <w:r w:rsidR="00FB62F0" w:rsidRPr="00D3264E">
        <w:rPr>
          <w:lang w:val="fr-FR"/>
        </w:rPr>
        <w:t xml:space="preserve"> engagent </w:t>
      </w:r>
      <w:r w:rsidR="00CC3305" w:rsidRPr="00D3264E">
        <w:rPr>
          <w:lang w:val="fr-FR"/>
        </w:rPr>
        <w:t>l</w:t>
      </w:r>
      <w:r w:rsidR="00FB62F0" w:rsidRPr="00D3264E">
        <w:rPr>
          <w:lang w:val="fr-FR"/>
        </w:rPr>
        <w:t>es Etats concernant la question des viols. Il s’agit essentiellement de la Déclaration universelle des droits de l’homme (1948), de la Déclaration sur l’élimination de la violence contre les femmes (1994) et de la Déclaration de Beijing (1995)</w:t>
      </w:r>
      <w:r w:rsidR="00FB62F0" w:rsidRPr="00D3264E">
        <w:rPr>
          <w:vertAlign w:val="superscript"/>
        </w:rPr>
        <w:footnoteReference w:id="10"/>
      </w:r>
      <w:r w:rsidR="00FB62F0" w:rsidRPr="00D3264E">
        <w:rPr>
          <w:lang w:val="fr-FR"/>
        </w:rPr>
        <w:t>.</w:t>
      </w:r>
      <w:r w:rsidR="00450931" w:rsidRPr="00D3264E">
        <w:rPr>
          <w:lang w:val="fr-FR"/>
        </w:rPr>
        <w:t xml:space="preserve"> </w:t>
      </w:r>
      <w:r w:rsidR="00FB62F0" w:rsidRPr="00D3264E">
        <w:rPr>
          <w:lang w:val="fr-FR"/>
        </w:rPr>
        <w:t>La lutte contre les viols en Côte d’Ivoire s’ins</w:t>
      </w:r>
      <w:r w:rsidR="0042025A" w:rsidRPr="00D3264E">
        <w:rPr>
          <w:lang w:val="fr-FR"/>
        </w:rPr>
        <w:t>crit également dans le cadre de</w:t>
      </w:r>
      <w:r w:rsidR="00FB62F0" w:rsidRPr="00D3264E">
        <w:rPr>
          <w:lang w:val="fr-FR"/>
        </w:rPr>
        <w:t xml:space="preserve"> traités internationaux liant ce pays. Selon l’article 87 de la Constitution ivoirienne</w:t>
      </w:r>
      <w:r w:rsidR="008620E4" w:rsidRPr="00D3264E">
        <w:rPr>
          <w:lang w:val="fr-FR"/>
        </w:rPr>
        <w:t xml:space="preserve"> du 1</w:t>
      </w:r>
      <w:r w:rsidR="008620E4" w:rsidRPr="00D3264E">
        <w:rPr>
          <w:vertAlign w:val="superscript"/>
          <w:lang w:val="fr-FR"/>
        </w:rPr>
        <w:t>er</w:t>
      </w:r>
      <w:r w:rsidR="008620E4" w:rsidRPr="00D3264E">
        <w:rPr>
          <w:lang w:val="fr-FR"/>
        </w:rPr>
        <w:t xml:space="preserve"> août 2000</w:t>
      </w:r>
      <w:r w:rsidR="00FB62F0" w:rsidRPr="00D3264E">
        <w:rPr>
          <w:lang w:val="fr-FR"/>
        </w:rPr>
        <w:t xml:space="preserve">, </w:t>
      </w:r>
      <w:r w:rsidR="00FB62F0" w:rsidRPr="00D3264E">
        <w:rPr>
          <w:i/>
          <w:iCs/>
          <w:lang w:val="fr-FR"/>
        </w:rPr>
        <w:t>«</w:t>
      </w:r>
      <w:r w:rsidR="005618A7" w:rsidRPr="00D3264E">
        <w:rPr>
          <w:i/>
          <w:iCs/>
          <w:lang w:val="fr-FR"/>
        </w:rPr>
        <w:t xml:space="preserve"> </w:t>
      </w:r>
      <w:r w:rsidR="00FB62F0" w:rsidRPr="00D3264E">
        <w:rPr>
          <w:i/>
          <w:iCs/>
          <w:lang w:val="fr-FR"/>
        </w:rPr>
        <w:t>les Traités ou Accords régulièrement rati</w:t>
      </w:r>
      <w:r w:rsidR="005A5256" w:rsidRPr="00D3264E">
        <w:rPr>
          <w:i/>
          <w:iCs/>
          <w:lang w:val="fr-FR"/>
        </w:rPr>
        <w:t xml:space="preserve">fiés ont, dès leur publication, </w:t>
      </w:r>
      <w:r w:rsidR="00FB62F0" w:rsidRPr="00D3264E">
        <w:rPr>
          <w:i/>
          <w:iCs/>
          <w:lang w:val="fr-FR"/>
        </w:rPr>
        <w:t>une autorité supérieure à celle des lois […]</w:t>
      </w:r>
      <w:r w:rsidR="005618A7" w:rsidRPr="00D3264E">
        <w:rPr>
          <w:i/>
          <w:iCs/>
          <w:lang w:val="fr-FR"/>
        </w:rPr>
        <w:t xml:space="preserve"> </w:t>
      </w:r>
      <w:r w:rsidR="00FB62F0" w:rsidRPr="00D3264E">
        <w:rPr>
          <w:i/>
          <w:iCs/>
          <w:lang w:val="fr-FR"/>
        </w:rPr>
        <w:t xml:space="preserve">». </w:t>
      </w:r>
      <w:r w:rsidR="00FB62F0" w:rsidRPr="00D3264E">
        <w:rPr>
          <w:lang w:val="fr-FR"/>
        </w:rPr>
        <w:t xml:space="preserve">Ainsi, </w:t>
      </w:r>
      <w:r w:rsidR="00A05DBB" w:rsidRPr="00D3264E">
        <w:rPr>
          <w:lang w:val="fr-FR"/>
        </w:rPr>
        <w:t>étant de tradition juridique moniste,</w:t>
      </w:r>
      <w:r w:rsidR="00FB62F0" w:rsidRPr="00D3264E">
        <w:rPr>
          <w:lang w:val="fr-FR"/>
        </w:rPr>
        <w:t xml:space="preserve"> </w:t>
      </w:r>
      <w:r w:rsidR="00C85295" w:rsidRPr="00D3264E">
        <w:rPr>
          <w:lang w:val="fr-FR"/>
        </w:rPr>
        <w:t xml:space="preserve">la Côte d’Ivoire </w:t>
      </w:r>
      <w:r w:rsidR="00FB62F0" w:rsidRPr="00D3264E">
        <w:rPr>
          <w:lang w:val="fr-FR"/>
        </w:rPr>
        <w:t xml:space="preserve">doit se conformer aux dispositions </w:t>
      </w:r>
      <w:r w:rsidR="00450931" w:rsidRPr="00D3264E">
        <w:rPr>
          <w:lang w:val="fr-FR"/>
        </w:rPr>
        <w:t>des textes suivants auxquels elle a adhéré</w:t>
      </w:r>
      <w:r w:rsidR="0019321B" w:rsidRPr="00D3264E">
        <w:rPr>
          <w:lang w:val="fr-FR"/>
        </w:rPr>
        <w:t xml:space="preserve"> ou qu’elle a ratifiés</w:t>
      </w:r>
      <w:r w:rsidR="00450931" w:rsidRPr="00D3264E">
        <w:rPr>
          <w:lang w:val="fr-FR"/>
        </w:rPr>
        <w:t>, à savoir :</w:t>
      </w:r>
    </w:p>
    <w:p w:rsidR="00450931" w:rsidRPr="00D3264E" w:rsidRDefault="00450931" w:rsidP="00097245">
      <w:pPr>
        <w:pStyle w:val="ListParagraph"/>
        <w:jc w:val="both"/>
        <w:rPr>
          <w:lang w:val="fr-FR"/>
        </w:rPr>
      </w:pPr>
    </w:p>
    <w:p w:rsidR="00450931" w:rsidRPr="00D3264E" w:rsidRDefault="00450931" w:rsidP="00097245">
      <w:pPr>
        <w:pStyle w:val="ListParagraph"/>
        <w:numPr>
          <w:ilvl w:val="0"/>
          <w:numId w:val="18"/>
        </w:numPr>
        <w:jc w:val="both"/>
        <w:rPr>
          <w:lang w:val="fr-FR"/>
        </w:rPr>
      </w:pPr>
      <w:r w:rsidRPr="00D3264E">
        <w:rPr>
          <w:lang w:val="fr-FR"/>
        </w:rPr>
        <w:t xml:space="preserve">le </w:t>
      </w:r>
      <w:r w:rsidR="00FB62F0" w:rsidRPr="00D3264E">
        <w:rPr>
          <w:lang w:val="fr-FR"/>
        </w:rPr>
        <w:t xml:space="preserve">Pacte international </w:t>
      </w:r>
      <w:r w:rsidR="0042025A" w:rsidRPr="00D3264E">
        <w:rPr>
          <w:lang w:val="fr-FR"/>
        </w:rPr>
        <w:t xml:space="preserve">relatif aux </w:t>
      </w:r>
      <w:r w:rsidR="00FB62F0" w:rsidRPr="00D3264E">
        <w:rPr>
          <w:lang w:val="fr-FR"/>
        </w:rPr>
        <w:t>droits civils et politiques (PIDCP)</w:t>
      </w:r>
      <w:r w:rsidR="008620E4" w:rsidRPr="00D3264E">
        <w:rPr>
          <w:rStyle w:val="FootnoteReference"/>
          <w:lang w:val="fr-FR"/>
        </w:rPr>
        <w:footnoteReference w:id="11"/>
      </w:r>
      <w:r w:rsidR="004B042D" w:rsidRPr="00D3264E">
        <w:rPr>
          <w:lang w:val="fr-FR"/>
        </w:rPr>
        <w:t xml:space="preserve">, qui, </w:t>
      </w:r>
      <w:r w:rsidR="004224E2" w:rsidRPr="00D3264E">
        <w:rPr>
          <w:lang w:val="fr-FR"/>
        </w:rPr>
        <w:t>par ex</w:t>
      </w:r>
      <w:r w:rsidR="00A13740" w:rsidRPr="00D3264E">
        <w:rPr>
          <w:lang w:val="fr-FR"/>
        </w:rPr>
        <w:t>e</w:t>
      </w:r>
      <w:r w:rsidR="004224E2" w:rsidRPr="00D3264E">
        <w:rPr>
          <w:lang w:val="fr-FR"/>
        </w:rPr>
        <w:t xml:space="preserve">mple </w:t>
      </w:r>
      <w:r w:rsidR="004B042D" w:rsidRPr="00D3264E">
        <w:rPr>
          <w:lang w:val="fr-FR"/>
        </w:rPr>
        <w:t>en son article 2, protège les droits des femmes contre toute forme de discrimination basée su</w:t>
      </w:r>
      <w:r w:rsidR="005A5256" w:rsidRPr="00D3264E">
        <w:rPr>
          <w:lang w:val="fr-FR"/>
        </w:rPr>
        <w:t xml:space="preserve">r le sexe et, en son article 7, </w:t>
      </w:r>
      <w:r w:rsidR="004B042D" w:rsidRPr="00D3264E">
        <w:rPr>
          <w:lang w:val="fr-FR"/>
        </w:rPr>
        <w:t>interdit la torture et autre</w:t>
      </w:r>
      <w:r w:rsidR="00C85295" w:rsidRPr="00D3264E">
        <w:rPr>
          <w:lang w:val="fr-FR"/>
        </w:rPr>
        <w:t>s</w:t>
      </w:r>
      <w:r w:rsidR="004B042D" w:rsidRPr="00D3264E">
        <w:rPr>
          <w:lang w:val="fr-FR"/>
        </w:rPr>
        <w:t xml:space="preserve"> traitement</w:t>
      </w:r>
      <w:r w:rsidR="00C85295" w:rsidRPr="00D3264E">
        <w:rPr>
          <w:lang w:val="fr-FR"/>
        </w:rPr>
        <w:t>s</w:t>
      </w:r>
      <w:r w:rsidR="004B042D" w:rsidRPr="00D3264E">
        <w:rPr>
          <w:lang w:val="fr-FR"/>
        </w:rPr>
        <w:t xml:space="preserve"> cruel</w:t>
      </w:r>
      <w:r w:rsidR="00C85295" w:rsidRPr="00D3264E">
        <w:rPr>
          <w:lang w:val="fr-FR"/>
        </w:rPr>
        <w:t>s</w:t>
      </w:r>
      <w:r w:rsidR="004B042D" w:rsidRPr="00D3264E">
        <w:rPr>
          <w:lang w:val="fr-FR"/>
        </w:rPr>
        <w:t>, inhumain</w:t>
      </w:r>
      <w:r w:rsidR="00C85295" w:rsidRPr="00D3264E">
        <w:rPr>
          <w:lang w:val="fr-FR"/>
        </w:rPr>
        <w:t>s</w:t>
      </w:r>
      <w:r w:rsidR="004B042D" w:rsidRPr="00D3264E">
        <w:rPr>
          <w:lang w:val="fr-FR"/>
        </w:rPr>
        <w:t xml:space="preserve"> ou dégradant</w:t>
      </w:r>
      <w:r w:rsidR="00C85295" w:rsidRPr="00D3264E">
        <w:rPr>
          <w:lang w:val="fr-FR"/>
        </w:rPr>
        <w:t>s</w:t>
      </w:r>
      <w:r w:rsidR="00702FA9" w:rsidRPr="00D3264E">
        <w:rPr>
          <w:lang w:val="fr-FR"/>
        </w:rPr>
        <w:t xml:space="preserve">; </w:t>
      </w:r>
    </w:p>
    <w:p w:rsidR="00450931" w:rsidRPr="00D3264E" w:rsidRDefault="00450931" w:rsidP="00097245">
      <w:pPr>
        <w:pStyle w:val="ListParagraph"/>
        <w:numPr>
          <w:ilvl w:val="0"/>
          <w:numId w:val="18"/>
        </w:numPr>
        <w:jc w:val="both"/>
        <w:rPr>
          <w:lang w:val="fr-FR"/>
        </w:rPr>
      </w:pPr>
      <w:r w:rsidRPr="00D3264E">
        <w:rPr>
          <w:lang w:val="fr-FR"/>
        </w:rPr>
        <w:t>le</w:t>
      </w:r>
      <w:r w:rsidR="00FB62F0" w:rsidRPr="00D3264E">
        <w:rPr>
          <w:lang w:val="fr-FR"/>
        </w:rPr>
        <w:t xml:space="preserve"> Pacte international </w:t>
      </w:r>
      <w:r w:rsidR="0042025A" w:rsidRPr="00D3264E">
        <w:rPr>
          <w:lang w:val="fr-FR"/>
        </w:rPr>
        <w:t xml:space="preserve">relatif aux </w:t>
      </w:r>
      <w:r w:rsidR="00FB62F0" w:rsidRPr="00D3264E">
        <w:rPr>
          <w:lang w:val="fr-FR"/>
        </w:rPr>
        <w:t>droits économiques, sociaux et culturels (PIDESC)</w:t>
      </w:r>
      <w:r w:rsidR="00B322EF" w:rsidRPr="00D3264E">
        <w:rPr>
          <w:rStyle w:val="FootnoteReference"/>
          <w:lang w:val="fr-FR"/>
        </w:rPr>
        <w:footnoteReference w:id="12"/>
      </w:r>
      <w:r w:rsidR="004B042D" w:rsidRPr="00D3264E">
        <w:rPr>
          <w:lang w:val="fr-FR"/>
        </w:rPr>
        <w:t xml:space="preserve">, qui, </w:t>
      </w:r>
      <w:r w:rsidR="00E731C1" w:rsidRPr="00D3264E">
        <w:rPr>
          <w:lang w:val="fr-FR"/>
        </w:rPr>
        <w:t xml:space="preserve">notamment </w:t>
      </w:r>
      <w:r w:rsidR="004B042D" w:rsidRPr="00D3264E">
        <w:rPr>
          <w:lang w:val="fr-FR"/>
        </w:rPr>
        <w:t>en son article 2, protège les femmes contre toute forme de discrimination</w:t>
      </w:r>
      <w:r w:rsidR="00702FA9" w:rsidRPr="00D3264E">
        <w:rPr>
          <w:lang w:val="fr-FR"/>
        </w:rPr>
        <w:t>;</w:t>
      </w:r>
      <w:r w:rsidRPr="00D3264E">
        <w:rPr>
          <w:lang w:val="fr-FR"/>
        </w:rPr>
        <w:t xml:space="preserve"> </w:t>
      </w:r>
    </w:p>
    <w:p w:rsidR="00450931" w:rsidRPr="00D3264E" w:rsidRDefault="00EC52BB" w:rsidP="00097245">
      <w:pPr>
        <w:pStyle w:val="ListParagraph"/>
        <w:numPr>
          <w:ilvl w:val="0"/>
          <w:numId w:val="18"/>
        </w:numPr>
        <w:jc w:val="both"/>
        <w:rPr>
          <w:lang w:val="fr-FR"/>
        </w:rPr>
      </w:pPr>
      <w:r w:rsidRPr="00D3264E">
        <w:rPr>
          <w:lang w:val="fr-FR"/>
        </w:rPr>
        <w:t>la Convention contre la t</w:t>
      </w:r>
      <w:r w:rsidR="00FB62F0" w:rsidRPr="00D3264E">
        <w:rPr>
          <w:lang w:val="fr-FR"/>
        </w:rPr>
        <w:t xml:space="preserve">orture </w:t>
      </w:r>
      <w:r w:rsidR="00A30171" w:rsidRPr="00D3264E">
        <w:rPr>
          <w:lang w:val="fr-FR"/>
        </w:rPr>
        <w:t xml:space="preserve">et autres peines ou traitements cruels, inhumains ou dégradants </w:t>
      </w:r>
      <w:r w:rsidR="00FB62F0" w:rsidRPr="00D3264E">
        <w:rPr>
          <w:lang w:val="fr-FR"/>
        </w:rPr>
        <w:t>(CAT)</w:t>
      </w:r>
      <w:r w:rsidR="00B322EF" w:rsidRPr="00D3264E">
        <w:rPr>
          <w:rStyle w:val="FootnoteReference"/>
          <w:lang w:val="fr-FR"/>
        </w:rPr>
        <w:footnoteReference w:id="13"/>
      </w:r>
      <w:r w:rsidR="00702FA9" w:rsidRPr="00D3264E">
        <w:rPr>
          <w:lang w:val="fr-FR"/>
        </w:rPr>
        <w:t> </w:t>
      </w:r>
      <w:r w:rsidR="001D6CA4" w:rsidRPr="00D3264E">
        <w:rPr>
          <w:lang w:val="fr-FR"/>
        </w:rPr>
        <w:t xml:space="preserve">qui donne </w:t>
      </w:r>
      <w:r w:rsidR="00FB3F9E" w:rsidRPr="00D3264E">
        <w:rPr>
          <w:lang w:val="fr-FR"/>
        </w:rPr>
        <w:t xml:space="preserve">notamment </w:t>
      </w:r>
      <w:r w:rsidR="001D6CA4" w:rsidRPr="00D3264E">
        <w:rPr>
          <w:lang w:val="fr-FR"/>
        </w:rPr>
        <w:t xml:space="preserve">une définition de la torture, sous laquelle tombent </w:t>
      </w:r>
      <w:r w:rsidR="001D6CA4" w:rsidRPr="00D3264E">
        <w:rPr>
          <w:lang w:val="fr-FR"/>
        </w:rPr>
        <w:lastRenderedPageBreak/>
        <w:t>les formes les plus fréquentes de violence à l’égard des femmes (viol</w:t>
      </w:r>
      <w:r w:rsidR="00450931" w:rsidRPr="00D3264E">
        <w:rPr>
          <w:lang w:val="fr-FR"/>
        </w:rPr>
        <w:t xml:space="preserve"> et autres violences sexuelles)</w:t>
      </w:r>
      <w:r w:rsidR="00702FA9" w:rsidRPr="00D3264E">
        <w:rPr>
          <w:lang w:val="fr-FR"/>
        </w:rPr>
        <w:t xml:space="preserve">; </w:t>
      </w:r>
    </w:p>
    <w:p w:rsidR="00753FA4" w:rsidRPr="00D3264E" w:rsidRDefault="00FB62F0" w:rsidP="00097245">
      <w:pPr>
        <w:pStyle w:val="ListParagraph"/>
        <w:numPr>
          <w:ilvl w:val="0"/>
          <w:numId w:val="18"/>
        </w:numPr>
        <w:jc w:val="both"/>
        <w:rPr>
          <w:lang w:val="fr-FR"/>
        </w:rPr>
      </w:pPr>
      <w:r w:rsidRPr="00D3264E">
        <w:rPr>
          <w:lang w:val="fr-FR"/>
        </w:rPr>
        <w:t>la Convention sur l’élimination de toutes</w:t>
      </w:r>
      <w:r w:rsidR="001142DD" w:rsidRPr="00D3264E">
        <w:rPr>
          <w:lang w:val="fr-FR"/>
        </w:rPr>
        <w:t xml:space="preserve"> les </w:t>
      </w:r>
      <w:r w:rsidRPr="00D3264E">
        <w:rPr>
          <w:lang w:val="fr-FR"/>
        </w:rPr>
        <w:t>formes de discrimination à l’égard des femmes (CEDEF)</w:t>
      </w:r>
      <w:r w:rsidRPr="00D3264E">
        <w:rPr>
          <w:rStyle w:val="FootnoteReference"/>
          <w:lang w:val="fr-FR"/>
        </w:rPr>
        <w:footnoteReference w:id="14"/>
      </w:r>
      <w:r w:rsidR="00C85295" w:rsidRPr="00D3264E">
        <w:rPr>
          <w:lang w:val="fr-FR"/>
        </w:rPr>
        <w:t>,</w:t>
      </w:r>
      <w:r w:rsidR="00450931" w:rsidRPr="00D3264E">
        <w:rPr>
          <w:lang w:val="fr-FR"/>
        </w:rPr>
        <w:t xml:space="preserve"> qui prévoit une interdiction générale et absolue de la </w:t>
      </w:r>
      <w:r w:rsidR="00746B0D" w:rsidRPr="00D3264E">
        <w:rPr>
          <w:lang w:val="fr-FR"/>
        </w:rPr>
        <w:t>discrimination</w:t>
      </w:r>
      <w:r w:rsidR="00450931" w:rsidRPr="00D3264E">
        <w:rPr>
          <w:lang w:val="fr-FR"/>
        </w:rPr>
        <w:t xml:space="preserve"> à l’égard des femmes</w:t>
      </w:r>
      <w:r w:rsidR="00C85295" w:rsidRPr="00D3264E">
        <w:rPr>
          <w:lang w:val="fr-FR"/>
        </w:rPr>
        <w:t>,</w:t>
      </w:r>
      <w:r w:rsidR="00450931" w:rsidRPr="00D3264E">
        <w:rPr>
          <w:rStyle w:val="FootnoteReference"/>
          <w:lang w:val="fr-FR"/>
        </w:rPr>
        <w:footnoteReference w:id="15"/>
      </w:r>
      <w:r w:rsidR="00702FA9" w:rsidRPr="00D3264E">
        <w:rPr>
          <w:lang w:val="fr-FR"/>
        </w:rPr>
        <w:t> </w:t>
      </w:r>
      <w:r w:rsidR="00871966" w:rsidRPr="00D3264E">
        <w:rPr>
          <w:lang w:val="fr-FR"/>
        </w:rPr>
        <w:t xml:space="preserve"> et l’Observation générale 19 adoptée en 1992 par le Comité pour l'élimination de la discrimination à l'égard des femmes</w:t>
      </w:r>
      <w:r w:rsidR="00C85295" w:rsidRPr="00D3264E">
        <w:rPr>
          <w:lang w:val="fr-FR"/>
        </w:rPr>
        <w:t xml:space="preserve"> </w:t>
      </w:r>
      <w:r w:rsidR="00871966" w:rsidRPr="00D3264E">
        <w:rPr>
          <w:lang w:val="fr-FR"/>
        </w:rPr>
        <w:t>port</w:t>
      </w:r>
      <w:r w:rsidR="00C85295" w:rsidRPr="00D3264E">
        <w:rPr>
          <w:lang w:val="fr-FR"/>
        </w:rPr>
        <w:t>ant</w:t>
      </w:r>
      <w:r w:rsidR="00871966" w:rsidRPr="00D3264E">
        <w:rPr>
          <w:lang w:val="fr-FR"/>
        </w:rPr>
        <w:t xml:space="preserve"> sur les violences à l’égard des femmes</w:t>
      </w:r>
      <w:r w:rsidR="00702FA9" w:rsidRPr="00D3264E">
        <w:rPr>
          <w:lang w:val="fr-FR"/>
        </w:rPr>
        <w:t xml:space="preserve">; </w:t>
      </w:r>
    </w:p>
    <w:p w:rsidR="006D11FA" w:rsidRPr="00D3264E" w:rsidRDefault="00FB62F0" w:rsidP="00097245">
      <w:pPr>
        <w:pStyle w:val="ListParagraph"/>
        <w:numPr>
          <w:ilvl w:val="0"/>
          <w:numId w:val="18"/>
        </w:numPr>
        <w:jc w:val="both"/>
        <w:rPr>
          <w:lang w:val="fr-FR"/>
        </w:rPr>
      </w:pPr>
      <w:r w:rsidRPr="00D3264E">
        <w:rPr>
          <w:lang w:val="fr-FR"/>
        </w:rPr>
        <w:t xml:space="preserve">la Convention </w:t>
      </w:r>
      <w:r w:rsidR="00C85295" w:rsidRPr="00D3264E">
        <w:rPr>
          <w:lang w:val="fr-FR"/>
        </w:rPr>
        <w:t xml:space="preserve">relative aux </w:t>
      </w:r>
      <w:r w:rsidRPr="00D3264E">
        <w:rPr>
          <w:lang w:val="fr-FR"/>
        </w:rPr>
        <w:t>droits de l’enfant (CDE)</w:t>
      </w:r>
      <w:r w:rsidR="003163A2" w:rsidRPr="00D3264E">
        <w:rPr>
          <w:rStyle w:val="FootnoteReference"/>
          <w:lang w:val="fr-FR"/>
        </w:rPr>
        <w:footnoteReference w:id="16"/>
      </w:r>
      <w:r w:rsidR="004B042D" w:rsidRPr="00D3264E">
        <w:rPr>
          <w:lang w:val="fr-FR"/>
        </w:rPr>
        <w:t>, qui, en son article 34, protège les enfants contre toutes les formes d'exploitation sexuelle et de violence sexuelle</w:t>
      </w:r>
      <w:r w:rsidR="00753FA4" w:rsidRPr="00D3264E">
        <w:rPr>
          <w:lang w:val="fr-FR"/>
        </w:rPr>
        <w:t>, le Protocole facultatif à la CDE concernant la vente d'enfants, la prostitution des enfants et la pornographie mettant en scène des enfants</w:t>
      </w:r>
      <w:r w:rsidR="00884B93" w:rsidRPr="00D3264E">
        <w:rPr>
          <w:rStyle w:val="FootnoteReference"/>
          <w:lang w:val="fr-FR"/>
        </w:rPr>
        <w:footnoteReference w:id="17"/>
      </w:r>
      <w:r w:rsidR="00753FA4" w:rsidRPr="00D3264E">
        <w:rPr>
          <w:lang w:val="fr-FR"/>
        </w:rPr>
        <w:t xml:space="preserve"> et le Protocole facultatif à la CDE concernant l'implication d'enfants dans les conflits armés</w:t>
      </w:r>
      <w:r w:rsidR="00884B93" w:rsidRPr="00D3264E">
        <w:rPr>
          <w:rStyle w:val="FootnoteReference"/>
          <w:lang w:val="fr-FR"/>
        </w:rPr>
        <w:footnoteReference w:id="18"/>
      </w:r>
      <w:r w:rsidR="00554405" w:rsidRPr="00D3264E">
        <w:rPr>
          <w:lang w:val="fr-FR"/>
        </w:rPr>
        <w:t> ;</w:t>
      </w:r>
      <w:r w:rsidR="00753FA4" w:rsidRPr="00D3264E">
        <w:rPr>
          <w:lang w:val="fr-FR"/>
        </w:rPr>
        <w:t xml:space="preserve"> </w:t>
      </w:r>
    </w:p>
    <w:p w:rsidR="00450931" w:rsidRPr="00D3264E" w:rsidRDefault="00FB62F0" w:rsidP="00097245">
      <w:pPr>
        <w:pStyle w:val="ListParagraph"/>
        <w:numPr>
          <w:ilvl w:val="0"/>
          <w:numId w:val="18"/>
        </w:numPr>
        <w:jc w:val="both"/>
        <w:rPr>
          <w:lang w:val="fr-FR"/>
        </w:rPr>
      </w:pPr>
      <w:r w:rsidRPr="00D3264E">
        <w:rPr>
          <w:lang w:val="fr-FR"/>
        </w:rPr>
        <w:t xml:space="preserve">la </w:t>
      </w:r>
      <w:r w:rsidRPr="00D3264E">
        <w:rPr>
          <w:rStyle w:val="majoreventChar"/>
          <w:rFonts w:ascii="Times New Roman" w:hAnsi="Times New Roman"/>
          <w:bCs/>
          <w:color w:val="auto"/>
          <w:sz w:val="24"/>
          <w:szCs w:val="24"/>
          <w:shd w:val="clear" w:color="auto" w:fill="auto"/>
          <w:lang w:val="fr-FR"/>
        </w:rPr>
        <w:t>Convention pour la répression de la traite des êtres humains et de l'exploitati</w:t>
      </w:r>
      <w:r w:rsidR="0042025A" w:rsidRPr="00D3264E">
        <w:rPr>
          <w:rStyle w:val="majoreventChar"/>
          <w:rFonts w:ascii="Times New Roman" w:hAnsi="Times New Roman"/>
          <w:bCs/>
          <w:color w:val="auto"/>
          <w:sz w:val="24"/>
          <w:szCs w:val="24"/>
          <w:shd w:val="clear" w:color="auto" w:fill="auto"/>
          <w:lang w:val="fr-FR"/>
        </w:rPr>
        <w:t>on de la prostitution d'autrui</w:t>
      </w:r>
      <w:r w:rsidR="003163A2" w:rsidRPr="00D3264E">
        <w:rPr>
          <w:rStyle w:val="FootnoteReference"/>
          <w:rFonts w:eastAsia="MS Mincho"/>
          <w:bCs/>
          <w:lang w:val="fr-FR"/>
        </w:rPr>
        <w:footnoteReference w:id="19"/>
      </w:r>
      <w:r w:rsidR="00753FA4" w:rsidRPr="00D3264E">
        <w:rPr>
          <w:rStyle w:val="majoreventChar"/>
          <w:rFonts w:ascii="Times New Roman" w:hAnsi="Times New Roman"/>
          <w:bCs/>
          <w:color w:val="auto"/>
          <w:sz w:val="24"/>
          <w:szCs w:val="24"/>
          <w:shd w:val="clear" w:color="auto" w:fill="auto"/>
          <w:lang w:val="fr-FR"/>
        </w:rPr>
        <w:t>.</w:t>
      </w:r>
    </w:p>
    <w:p w:rsidR="007955E0" w:rsidRPr="00D3264E" w:rsidRDefault="007955E0" w:rsidP="00097245">
      <w:pPr>
        <w:pStyle w:val="ListParagraph"/>
        <w:jc w:val="both"/>
        <w:rPr>
          <w:lang w:val="fr-FR"/>
        </w:rPr>
      </w:pPr>
    </w:p>
    <w:p w:rsidR="001D6CA4" w:rsidRPr="00D3264E" w:rsidRDefault="00FB62F0" w:rsidP="00097245">
      <w:pPr>
        <w:pStyle w:val="ListParagraph"/>
        <w:numPr>
          <w:ilvl w:val="0"/>
          <w:numId w:val="5"/>
        </w:numPr>
        <w:ind w:left="0"/>
        <w:jc w:val="both"/>
        <w:rPr>
          <w:rFonts w:eastAsia="Calibri"/>
          <w:lang w:val="fr-FR"/>
        </w:rPr>
      </w:pPr>
      <w:r w:rsidRPr="00D3264E">
        <w:rPr>
          <w:lang w:val="fr-FR"/>
        </w:rPr>
        <w:t xml:space="preserve">Dans le cadre de la lutte contre l’impunité des crimes internationaux, </w:t>
      </w:r>
      <w:r w:rsidR="007955E0" w:rsidRPr="00D3264E">
        <w:rPr>
          <w:lang w:val="fr-FR"/>
        </w:rPr>
        <w:t>l</w:t>
      </w:r>
      <w:r w:rsidRPr="00D3264E">
        <w:rPr>
          <w:lang w:val="fr-FR"/>
        </w:rPr>
        <w:t>a Côte d’Ivoire a</w:t>
      </w:r>
      <w:r w:rsidR="007955E0" w:rsidRPr="00D3264E">
        <w:rPr>
          <w:lang w:val="fr-FR"/>
        </w:rPr>
        <w:t>vait déposé une d</w:t>
      </w:r>
      <w:r w:rsidRPr="00D3264E">
        <w:rPr>
          <w:lang w:val="fr-FR"/>
        </w:rPr>
        <w:t xml:space="preserve">éclaration </w:t>
      </w:r>
      <w:r w:rsidRPr="00D3264E">
        <w:rPr>
          <w:i/>
          <w:iCs/>
          <w:lang w:val="fr-FR"/>
        </w:rPr>
        <w:t>ad hoc</w:t>
      </w:r>
      <w:r w:rsidRPr="00D3264E">
        <w:rPr>
          <w:lang w:val="fr-FR"/>
        </w:rPr>
        <w:t xml:space="preserve"> le 1</w:t>
      </w:r>
      <w:r w:rsidRPr="00D3264E">
        <w:rPr>
          <w:vertAlign w:val="superscript"/>
          <w:lang w:val="fr-FR"/>
        </w:rPr>
        <w:t>er</w:t>
      </w:r>
      <w:r w:rsidRPr="00D3264E">
        <w:rPr>
          <w:lang w:val="fr-FR"/>
        </w:rPr>
        <w:t xml:space="preserve"> octobre 2003</w:t>
      </w:r>
      <w:r w:rsidR="00C85295" w:rsidRPr="00D3264E">
        <w:rPr>
          <w:lang w:val="fr-FR"/>
        </w:rPr>
        <w:t>,</w:t>
      </w:r>
      <w:r w:rsidRPr="00D3264E">
        <w:rPr>
          <w:rStyle w:val="FootnoteReference"/>
          <w:lang w:val="fr-FR"/>
        </w:rPr>
        <w:footnoteReference w:id="20"/>
      </w:r>
      <w:r w:rsidRPr="00D3264E">
        <w:rPr>
          <w:lang w:val="fr-FR"/>
        </w:rPr>
        <w:t xml:space="preserve"> acceptant que la CPI exerce sa compétence </w:t>
      </w:r>
      <w:r w:rsidRPr="00D3264E">
        <w:rPr>
          <w:i/>
          <w:lang w:val="fr-FR"/>
        </w:rPr>
        <w:t>«</w:t>
      </w:r>
      <w:r w:rsidR="005618A7" w:rsidRPr="00D3264E">
        <w:rPr>
          <w:i/>
          <w:lang w:val="fr-FR"/>
        </w:rPr>
        <w:t xml:space="preserve"> </w:t>
      </w:r>
      <w:r w:rsidRPr="00D3264E">
        <w:rPr>
          <w:i/>
          <w:lang w:val="fr-FR"/>
        </w:rPr>
        <w:t>aux fins d’identifier, de poursuivre et de juger les auteurs et complices des actes commis sur le territoire ivoirien depuis les événements du 19 septembre 2002</w:t>
      </w:r>
      <w:r w:rsidR="005618A7" w:rsidRPr="00D3264E">
        <w:rPr>
          <w:i/>
          <w:lang w:val="fr-FR"/>
        </w:rPr>
        <w:t xml:space="preserve"> </w:t>
      </w:r>
      <w:r w:rsidRPr="00D3264E">
        <w:rPr>
          <w:i/>
          <w:lang w:val="fr-FR"/>
        </w:rPr>
        <w:t>».</w:t>
      </w:r>
      <w:r w:rsidRPr="00D3264E">
        <w:rPr>
          <w:bCs/>
          <w:lang w:val="fr-FR"/>
        </w:rPr>
        <w:t xml:space="preserve"> </w:t>
      </w:r>
      <w:r w:rsidR="007955E0" w:rsidRPr="00D3264E">
        <w:rPr>
          <w:bCs/>
          <w:lang w:val="fr-FR"/>
        </w:rPr>
        <w:t xml:space="preserve">Le 15 février 2013, </w:t>
      </w:r>
      <w:r w:rsidR="00EE49A6" w:rsidRPr="00D3264E">
        <w:rPr>
          <w:bCs/>
          <w:lang w:val="fr-FR"/>
        </w:rPr>
        <w:t>la Côte d’Ivoire</w:t>
      </w:r>
      <w:r w:rsidR="007955E0" w:rsidRPr="00D3264E">
        <w:rPr>
          <w:bCs/>
          <w:lang w:val="fr-FR"/>
        </w:rPr>
        <w:t xml:space="preserve"> a procédé à la ratification du Statut </w:t>
      </w:r>
      <w:r w:rsidR="007F33C1" w:rsidRPr="00D3264E">
        <w:rPr>
          <w:bCs/>
          <w:lang w:val="fr-FR"/>
        </w:rPr>
        <w:t xml:space="preserve">de la CPI (Statut </w:t>
      </w:r>
      <w:r w:rsidR="007955E0" w:rsidRPr="00D3264E">
        <w:rPr>
          <w:bCs/>
          <w:lang w:val="fr-FR"/>
        </w:rPr>
        <w:t>de Rome</w:t>
      </w:r>
      <w:r w:rsidR="007F33C1" w:rsidRPr="00D3264E">
        <w:rPr>
          <w:bCs/>
          <w:lang w:val="fr-FR"/>
        </w:rPr>
        <w:t>)</w:t>
      </w:r>
      <w:r w:rsidR="008E4D6C" w:rsidRPr="00D3264E">
        <w:rPr>
          <w:rStyle w:val="FootnoteReference"/>
          <w:lang w:val="fr-FR"/>
        </w:rPr>
        <w:t xml:space="preserve"> </w:t>
      </w:r>
      <w:r w:rsidR="008E4D6C" w:rsidRPr="00D3264E">
        <w:rPr>
          <w:rStyle w:val="FootnoteReference"/>
          <w:lang w:val="fr-FR"/>
        </w:rPr>
        <w:footnoteReference w:id="21"/>
      </w:r>
      <w:r w:rsidR="00702FA9" w:rsidRPr="00D3264E">
        <w:rPr>
          <w:bCs/>
          <w:lang w:val="fr-FR"/>
        </w:rPr>
        <w:t xml:space="preserve"> qui </w:t>
      </w:r>
      <w:r w:rsidR="001D6CA4" w:rsidRPr="00D3264E">
        <w:rPr>
          <w:lang w:val="fr-FR"/>
        </w:rPr>
        <w:t>criminalise</w:t>
      </w:r>
      <w:r w:rsidR="00702FA9" w:rsidRPr="00D3264E">
        <w:rPr>
          <w:lang w:val="fr-FR"/>
        </w:rPr>
        <w:t xml:space="preserve"> </w:t>
      </w:r>
      <w:r w:rsidR="005B42F1" w:rsidRPr="00D3264E">
        <w:rPr>
          <w:lang w:val="fr-FR"/>
        </w:rPr>
        <w:t xml:space="preserve">notamment </w:t>
      </w:r>
      <w:r w:rsidR="00702FA9" w:rsidRPr="00D3264E">
        <w:rPr>
          <w:lang w:val="fr-FR"/>
        </w:rPr>
        <w:t xml:space="preserve">le viol </w:t>
      </w:r>
      <w:r w:rsidR="005B42F1" w:rsidRPr="00D3264E">
        <w:rPr>
          <w:lang w:val="fr-FR"/>
        </w:rPr>
        <w:t xml:space="preserve">en tant que </w:t>
      </w:r>
      <w:r w:rsidR="00702FA9" w:rsidRPr="00D3264E">
        <w:rPr>
          <w:lang w:val="fr-FR"/>
        </w:rPr>
        <w:t xml:space="preserve">crime contre l’humanité </w:t>
      </w:r>
      <w:r w:rsidR="005B42F1" w:rsidRPr="00D3264E">
        <w:rPr>
          <w:lang w:val="fr-FR"/>
        </w:rPr>
        <w:t>ou</w:t>
      </w:r>
      <w:r w:rsidR="004A5188" w:rsidRPr="00D3264E">
        <w:rPr>
          <w:lang w:val="fr-FR"/>
        </w:rPr>
        <w:t xml:space="preserve"> crime de guerre</w:t>
      </w:r>
      <w:r w:rsidR="005B42F1" w:rsidRPr="00D3264E">
        <w:rPr>
          <w:lang w:val="fr-FR"/>
        </w:rPr>
        <w:t xml:space="preserve">. </w:t>
      </w:r>
      <w:r w:rsidR="006922A6" w:rsidRPr="00D3264E">
        <w:rPr>
          <w:lang w:val="fr-FR"/>
        </w:rPr>
        <w:t xml:space="preserve">Certains </w:t>
      </w:r>
      <w:r w:rsidR="00702FA9" w:rsidRPr="00D3264E">
        <w:rPr>
          <w:lang w:val="fr-FR"/>
        </w:rPr>
        <w:t>mandats d’arr</w:t>
      </w:r>
      <w:r w:rsidR="006922A6" w:rsidRPr="00D3264E">
        <w:rPr>
          <w:lang w:val="fr-FR"/>
        </w:rPr>
        <w:t xml:space="preserve">êt émis par la CPI comportent des </w:t>
      </w:r>
      <w:r w:rsidR="00702FA9" w:rsidRPr="00D3264E">
        <w:rPr>
          <w:lang w:val="fr-FR"/>
        </w:rPr>
        <w:t xml:space="preserve">inculpations de viol </w:t>
      </w:r>
      <w:r w:rsidR="006D11FA" w:rsidRPr="00D3264E">
        <w:rPr>
          <w:lang w:val="fr-FR"/>
        </w:rPr>
        <w:t xml:space="preserve">comme </w:t>
      </w:r>
      <w:r w:rsidR="006922A6" w:rsidRPr="00D3264E">
        <w:rPr>
          <w:lang w:val="fr-FR"/>
        </w:rPr>
        <w:t>crime de guerre et/ou</w:t>
      </w:r>
      <w:r w:rsidR="006D11FA" w:rsidRPr="00D3264E">
        <w:rPr>
          <w:lang w:val="fr-FR"/>
        </w:rPr>
        <w:t xml:space="preserve"> comme</w:t>
      </w:r>
      <w:r w:rsidR="00702FA9" w:rsidRPr="00D3264E">
        <w:rPr>
          <w:lang w:val="fr-FR"/>
        </w:rPr>
        <w:t xml:space="preserve"> crime </w:t>
      </w:r>
      <w:r w:rsidR="00450931" w:rsidRPr="00D3264E">
        <w:rPr>
          <w:lang w:val="fr-FR"/>
        </w:rPr>
        <w:t>contre l’humanité, notamment contre l’ex-Préside</w:t>
      </w:r>
      <w:r w:rsidR="00562D64" w:rsidRPr="00D3264E">
        <w:rPr>
          <w:lang w:val="fr-FR"/>
        </w:rPr>
        <w:t xml:space="preserve">nt ivoirien, Laurent Gbagbo, l’ex-Première Dame, Simone </w:t>
      </w:r>
      <w:r w:rsidR="00863B70" w:rsidRPr="00D3264E">
        <w:rPr>
          <w:lang w:val="fr-FR"/>
        </w:rPr>
        <w:t xml:space="preserve">Ehivet </w:t>
      </w:r>
      <w:r w:rsidR="00562D64" w:rsidRPr="00D3264E">
        <w:rPr>
          <w:lang w:val="fr-FR"/>
        </w:rPr>
        <w:t xml:space="preserve">Gbagbo, et l’ex-chef des Jeunes Patriotes, </w:t>
      </w:r>
      <w:r w:rsidR="00562D64" w:rsidRPr="00D3264E">
        <w:rPr>
          <w:rStyle w:val="st1"/>
          <w:lang w:val="fr-FR"/>
        </w:rPr>
        <w:t>Charles Blé Goudé.</w:t>
      </w:r>
      <w:r w:rsidR="00905888" w:rsidRPr="00D3264E">
        <w:rPr>
          <w:rStyle w:val="FootnoteReference"/>
          <w:lang w:val="fr-FR"/>
        </w:rPr>
        <w:footnoteReference w:id="22"/>
      </w:r>
    </w:p>
    <w:p w:rsidR="001D6CA4" w:rsidRPr="00D3264E" w:rsidRDefault="001D6CA4" w:rsidP="00097245">
      <w:pPr>
        <w:pStyle w:val="ListParagraph"/>
        <w:ind w:left="0"/>
        <w:jc w:val="both"/>
        <w:rPr>
          <w:rFonts w:eastAsia="Calibri"/>
          <w:lang w:val="fr-FR"/>
        </w:rPr>
      </w:pPr>
    </w:p>
    <w:p w:rsidR="001D6CA4" w:rsidRPr="00D3264E" w:rsidRDefault="00D6226C" w:rsidP="00097245">
      <w:pPr>
        <w:pStyle w:val="ListParagraph"/>
        <w:numPr>
          <w:ilvl w:val="0"/>
          <w:numId w:val="5"/>
        </w:numPr>
        <w:ind w:left="0"/>
        <w:jc w:val="both"/>
        <w:rPr>
          <w:rFonts w:eastAsia="Calibri"/>
          <w:lang w:val="fr-FR"/>
        </w:rPr>
      </w:pPr>
      <w:r w:rsidRPr="00D3264E">
        <w:rPr>
          <w:lang w:val="fr-FR"/>
        </w:rPr>
        <w:t>Outre les résolutions qui portent sur la Côte d’Ivoire et qui définissent notamment le mandat de l’ONUCI</w:t>
      </w:r>
      <w:r w:rsidRPr="00D3264E">
        <w:rPr>
          <w:rStyle w:val="FootnoteReference"/>
          <w:lang w:val="fr-FR"/>
        </w:rPr>
        <w:footnoteReference w:id="23"/>
      </w:r>
      <w:r w:rsidR="006D11FA" w:rsidRPr="00D3264E">
        <w:rPr>
          <w:lang w:val="fr-FR"/>
        </w:rPr>
        <w:t xml:space="preserve"> en mettant l’accent sur la </w:t>
      </w:r>
      <w:r w:rsidR="002A34D2" w:rsidRPr="00D3264E">
        <w:rPr>
          <w:lang w:val="fr-FR"/>
        </w:rPr>
        <w:t>lutte</w:t>
      </w:r>
      <w:r w:rsidR="006D11FA" w:rsidRPr="00D3264E">
        <w:rPr>
          <w:lang w:val="fr-FR"/>
        </w:rPr>
        <w:t xml:space="preserve"> contre</w:t>
      </w:r>
      <w:r w:rsidR="00CD1996" w:rsidRPr="00D3264E">
        <w:rPr>
          <w:lang w:val="fr-FR"/>
        </w:rPr>
        <w:t xml:space="preserve"> les actes de violence à l’égard des femmes et des enfants</w:t>
      </w:r>
      <w:r w:rsidRPr="00D3264E">
        <w:rPr>
          <w:lang w:val="fr-FR"/>
        </w:rPr>
        <w:t xml:space="preserve">, </w:t>
      </w:r>
      <w:r w:rsidR="00450931" w:rsidRPr="00D3264E">
        <w:rPr>
          <w:lang w:val="fr-FR"/>
        </w:rPr>
        <w:t>l</w:t>
      </w:r>
      <w:r w:rsidR="001D6CA4" w:rsidRPr="00D3264E">
        <w:rPr>
          <w:lang w:val="fr-FR"/>
        </w:rPr>
        <w:t xml:space="preserve">e </w:t>
      </w:r>
      <w:hyperlink r:id="rId13" w:history="1">
        <w:r w:rsidR="001D6CA4" w:rsidRPr="00D3264E">
          <w:rPr>
            <w:lang w:val="fr-FR"/>
          </w:rPr>
          <w:t>Conseil de sécurité des Nations Unies</w:t>
        </w:r>
      </w:hyperlink>
      <w:r w:rsidR="006D11FA" w:rsidRPr="00D3264E">
        <w:rPr>
          <w:lang w:val="fr-FR"/>
        </w:rPr>
        <w:t xml:space="preserve"> a adopté</w:t>
      </w:r>
      <w:r w:rsidR="001D6CA4" w:rsidRPr="00D3264E">
        <w:rPr>
          <w:lang w:val="fr-FR"/>
        </w:rPr>
        <w:t xml:space="preserve"> </w:t>
      </w:r>
      <w:r w:rsidRPr="00D3264E">
        <w:rPr>
          <w:lang w:val="fr-FR"/>
        </w:rPr>
        <w:t>des</w:t>
      </w:r>
      <w:r w:rsidR="001D6CA4" w:rsidRPr="00D3264E">
        <w:rPr>
          <w:lang w:val="fr-FR"/>
        </w:rPr>
        <w:t xml:space="preserve"> résolutions </w:t>
      </w:r>
      <w:r w:rsidR="008E4D6C" w:rsidRPr="00D3264E">
        <w:rPr>
          <w:lang w:val="fr-FR"/>
        </w:rPr>
        <w:t>qui ont pour objectif de</w:t>
      </w:r>
      <w:r w:rsidR="001D6CA4" w:rsidRPr="00D3264E">
        <w:rPr>
          <w:lang w:val="fr-FR"/>
        </w:rPr>
        <w:t xml:space="preserve"> mettre fin à la violence </w:t>
      </w:r>
      <w:r w:rsidR="00863B70" w:rsidRPr="00D3264E">
        <w:rPr>
          <w:lang w:val="fr-FR"/>
        </w:rPr>
        <w:t xml:space="preserve">sexuelle en période de conflit. Parmi ces résolutions, il convient de souligner </w:t>
      </w:r>
      <w:r w:rsidR="001D6CA4" w:rsidRPr="00D3264E">
        <w:rPr>
          <w:lang w:val="fr-FR"/>
        </w:rPr>
        <w:t xml:space="preserve">la </w:t>
      </w:r>
      <w:hyperlink r:id="rId14" w:history="1">
        <w:r w:rsidR="001D6CA4" w:rsidRPr="00D3264E">
          <w:rPr>
            <w:lang w:val="fr-FR"/>
          </w:rPr>
          <w:t>résolution 1325 (2000)</w:t>
        </w:r>
      </w:hyperlink>
      <w:r w:rsidR="001D6CA4" w:rsidRPr="00D3264E">
        <w:rPr>
          <w:lang w:val="fr-FR"/>
        </w:rPr>
        <w:t xml:space="preserve"> qui demande à toutes les parties à un conflit armé d’incorporer dans leur législation les politiques et procédures qui protègent les femmes des crimes sexistes tels que le viol et l’agression sexuelle</w:t>
      </w:r>
      <w:r w:rsidR="00AE3EB3" w:rsidRPr="00D3264E">
        <w:rPr>
          <w:lang w:val="fr-FR"/>
        </w:rPr>
        <w:t xml:space="preserve"> et</w:t>
      </w:r>
      <w:r w:rsidR="001D6CA4" w:rsidRPr="00D3264E">
        <w:rPr>
          <w:lang w:val="fr-FR"/>
        </w:rPr>
        <w:t xml:space="preserve"> la </w:t>
      </w:r>
      <w:hyperlink r:id="rId15" w:history="1">
        <w:r w:rsidR="001D6CA4" w:rsidRPr="00D3264E">
          <w:rPr>
            <w:lang w:val="fr-FR"/>
          </w:rPr>
          <w:t>résolution 1960 (2010)</w:t>
        </w:r>
      </w:hyperlink>
      <w:r w:rsidR="001D6CA4" w:rsidRPr="00D3264E">
        <w:rPr>
          <w:lang w:val="fr-FR"/>
        </w:rPr>
        <w:t xml:space="preserve"> dans l</w:t>
      </w:r>
      <w:r w:rsidR="00597D7E" w:rsidRPr="00D3264E">
        <w:rPr>
          <w:lang w:val="fr-FR"/>
        </w:rPr>
        <w:t>a</w:t>
      </w:r>
      <w:r w:rsidR="001D6CA4" w:rsidRPr="00D3264E">
        <w:rPr>
          <w:lang w:val="fr-FR"/>
        </w:rPr>
        <w:t>quel</w:t>
      </w:r>
      <w:r w:rsidR="00597D7E" w:rsidRPr="00D3264E">
        <w:rPr>
          <w:lang w:val="fr-FR"/>
        </w:rPr>
        <w:t>le</w:t>
      </w:r>
      <w:r w:rsidR="001D6CA4" w:rsidRPr="00D3264E">
        <w:rPr>
          <w:lang w:val="fr-FR"/>
        </w:rPr>
        <w:t xml:space="preserve"> </w:t>
      </w:r>
      <w:r w:rsidR="001D6CA4" w:rsidRPr="00D3264E">
        <w:rPr>
          <w:lang w:val="fr-FR"/>
        </w:rPr>
        <w:lastRenderedPageBreak/>
        <w:t xml:space="preserve">le Conseil de sécurité a demandé au Secrétaire général de dresser la liste des parties soupçonnées de manière crédible de commettre des violences sexuelles ou d’en être responsables dans les situations inscrites à l’ordre du jour du Conseil et qui </w:t>
      </w:r>
      <w:r w:rsidR="00863B70" w:rsidRPr="00D3264E">
        <w:rPr>
          <w:lang w:val="fr-FR"/>
        </w:rPr>
        <w:t>demande</w:t>
      </w:r>
      <w:r w:rsidR="001D6CA4" w:rsidRPr="00D3264E">
        <w:rPr>
          <w:lang w:val="fr-FR"/>
        </w:rPr>
        <w:t xml:space="preserve"> que soient pris des arrangements en matière de suivi, d’analyse et d’établissement de rapport concernant expressément les violences sexuelles liées aux conflits. </w:t>
      </w:r>
      <w:r w:rsidR="00CD1996" w:rsidRPr="00D3264E">
        <w:rPr>
          <w:lang w:val="fr-FR"/>
        </w:rPr>
        <w:t xml:space="preserve">Suite à cette </w:t>
      </w:r>
      <w:r w:rsidR="00BC022C" w:rsidRPr="00D3264E">
        <w:rPr>
          <w:lang w:val="fr-FR"/>
        </w:rPr>
        <w:t>résolution</w:t>
      </w:r>
      <w:r w:rsidR="00CD1996" w:rsidRPr="00D3264E">
        <w:rPr>
          <w:lang w:val="fr-FR"/>
        </w:rPr>
        <w:t>, e</w:t>
      </w:r>
      <w:r w:rsidR="00AE3EB3" w:rsidRPr="00D3264E">
        <w:rPr>
          <w:lang w:val="fr-FR"/>
        </w:rPr>
        <w:t xml:space="preserve">n mars 2012, à l’issue de la publication du Rapport </w:t>
      </w:r>
      <w:r w:rsidR="0039222F" w:rsidRPr="00D3264E">
        <w:rPr>
          <w:lang w:val="fr-FR"/>
        </w:rPr>
        <w:t>a</w:t>
      </w:r>
      <w:r w:rsidR="00AE3EB3" w:rsidRPr="00D3264E">
        <w:rPr>
          <w:lang w:val="fr-FR"/>
        </w:rPr>
        <w:t xml:space="preserve">nnuel du Secrétaire </w:t>
      </w:r>
      <w:r w:rsidR="0039222F" w:rsidRPr="00D3264E">
        <w:rPr>
          <w:lang w:val="fr-FR"/>
        </w:rPr>
        <w:t>g</w:t>
      </w:r>
      <w:r w:rsidR="00AE3EB3" w:rsidRPr="00D3264E">
        <w:rPr>
          <w:lang w:val="fr-FR"/>
        </w:rPr>
        <w:t>énéral des Nations Unies sur l</w:t>
      </w:r>
      <w:r w:rsidR="0039222F" w:rsidRPr="00D3264E">
        <w:rPr>
          <w:lang w:val="fr-FR"/>
        </w:rPr>
        <w:t>a</w:t>
      </w:r>
      <w:r w:rsidR="00AE3EB3" w:rsidRPr="00D3264E">
        <w:rPr>
          <w:lang w:val="fr-FR"/>
        </w:rPr>
        <w:t xml:space="preserve"> </w:t>
      </w:r>
      <w:r w:rsidR="0039222F" w:rsidRPr="00D3264E">
        <w:rPr>
          <w:lang w:val="fr-FR"/>
        </w:rPr>
        <w:t>v</w:t>
      </w:r>
      <w:r w:rsidR="00AE3EB3" w:rsidRPr="00D3264E">
        <w:rPr>
          <w:lang w:val="fr-FR"/>
        </w:rPr>
        <w:t xml:space="preserve">iolence </w:t>
      </w:r>
      <w:r w:rsidR="0039222F" w:rsidRPr="00D3264E">
        <w:rPr>
          <w:lang w:val="fr-FR"/>
        </w:rPr>
        <w:t>s</w:t>
      </w:r>
      <w:r w:rsidR="00AE3EB3" w:rsidRPr="00D3264E">
        <w:rPr>
          <w:lang w:val="fr-FR"/>
        </w:rPr>
        <w:t xml:space="preserve">exuelle liée </w:t>
      </w:r>
      <w:r w:rsidR="0039222F" w:rsidRPr="00D3264E">
        <w:rPr>
          <w:lang w:val="fr-FR"/>
        </w:rPr>
        <w:t>aux conflits</w:t>
      </w:r>
      <w:r w:rsidR="0039222F" w:rsidRPr="00D3264E">
        <w:rPr>
          <w:rStyle w:val="FootnoteReference"/>
          <w:lang w:val="fr-FR"/>
        </w:rPr>
        <w:footnoteReference w:id="24"/>
      </w:r>
      <w:r w:rsidR="00AE3EB3" w:rsidRPr="00D3264E">
        <w:rPr>
          <w:lang w:val="fr-FR"/>
        </w:rPr>
        <w:t>,</w:t>
      </w:r>
      <w:r w:rsidR="00644D30" w:rsidRPr="00D3264E">
        <w:rPr>
          <w:lang w:val="fr-FR"/>
        </w:rPr>
        <w:t xml:space="preserve"> </w:t>
      </w:r>
      <w:r w:rsidR="00AE3EB3" w:rsidRPr="00D3264E">
        <w:rPr>
          <w:lang w:val="fr-FR"/>
        </w:rPr>
        <w:t>la Côte d’Ivoire a été placée sous</w:t>
      </w:r>
      <w:r w:rsidR="006D11FA" w:rsidRPr="00D3264E">
        <w:rPr>
          <w:lang w:val="fr-FR"/>
        </w:rPr>
        <w:t xml:space="preserve"> observation par le Conseil de s</w:t>
      </w:r>
      <w:r w:rsidR="00AE3EB3" w:rsidRPr="00D3264E">
        <w:rPr>
          <w:lang w:val="fr-FR"/>
        </w:rPr>
        <w:t xml:space="preserve">écurité des Nations Unies et plusieurs groupes armés </w:t>
      </w:r>
      <w:r w:rsidR="006D11FA" w:rsidRPr="00D3264E">
        <w:rPr>
          <w:lang w:val="fr-FR"/>
        </w:rPr>
        <w:t>suspectés d’avoir commis des violences sexuelles liées aux conflits</w:t>
      </w:r>
      <w:r w:rsidR="00AE3EB3" w:rsidRPr="00D3264E">
        <w:rPr>
          <w:lang w:val="fr-FR"/>
        </w:rPr>
        <w:t xml:space="preserve"> ont été listés dans l’annexe de ce rapport. Enfin, dans sa </w:t>
      </w:r>
      <w:hyperlink r:id="rId16" w:history="1">
        <w:r w:rsidR="00AE3EB3" w:rsidRPr="00D3264E">
          <w:rPr>
            <w:lang w:val="fr-FR"/>
          </w:rPr>
          <w:t>résolution 2106 (2013)</w:t>
        </w:r>
      </w:hyperlink>
      <w:r w:rsidR="00AE3EB3" w:rsidRPr="00D3264E">
        <w:rPr>
          <w:lang w:val="fr-FR"/>
        </w:rPr>
        <w:t>, le Conseil de sécurité vise à renforcer la surveillance et la prévention de la violence sexuelle dans les conflits.</w:t>
      </w:r>
    </w:p>
    <w:p w:rsidR="001B2120" w:rsidRPr="00D3264E" w:rsidRDefault="001B2120" w:rsidP="00097245">
      <w:pPr>
        <w:pStyle w:val="ListParagraph"/>
        <w:ind w:left="0"/>
        <w:jc w:val="both"/>
        <w:rPr>
          <w:lang w:val="fr-FR"/>
        </w:rPr>
      </w:pPr>
    </w:p>
    <w:p w:rsidR="00FB62F0" w:rsidRPr="00D3264E" w:rsidRDefault="00FB62F0" w:rsidP="00097245">
      <w:pPr>
        <w:pStyle w:val="Heading2"/>
        <w:numPr>
          <w:ilvl w:val="0"/>
          <w:numId w:val="10"/>
        </w:numPr>
        <w:spacing w:before="0"/>
        <w:jc w:val="both"/>
        <w:rPr>
          <w:rFonts w:ascii="Times New Roman" w:hAnsi="Times New Roman"/>
          <w:color w:val="auto"/>
          <w:sz w:val="24"/>
          <w:szCs w:val="24"/>
          <w:lang w:val="fr-FR"/>
        </w:rPr>
      </w:pPr>
      <w:bookmarkStart w:id="18" w:name="_Toc455746281"/>
      <w:r w:rsidRPr="00D3264E">
        <w:rPr>
          <w:rFonts w:ascii="Times New Roman" w:hAnsi="Times New Roman"/>
          <w:color w:val="auto"/>
          <w:sz w:val="24"/>
          <w:szCs w:val="24"/>
          <w:lang w:val="fr-FR"/>
        </w:rPr>
        <w:t>Au niveau régional</w:t>
      </w:r>
      <w:bookmarkEnd w:id="18"/>
      <w:r w:rsidRPr="00D3264E">
        <w:rPr>
          <w:rFonts w:ascii="Times New Roman" w:hAnsi="Times New Roman"/>
          <w:color w:val="auto"/>
          <w:sz w:val="24"/>
          <w:szCs w:val="24"/>
          <w:lang w:val="fr-FR"/>
        </w:rPr>
        <w:t> </w:t>
      </w:r>
    </w:p>
    <w:p w:rsidR="00FB62F0" w:rsidRPr="00D3264E" w:rsidRDefault="00C85295" w:rsidP="00097245">
      <w:pPr>
        <w:pStyle w:val="NormalWeb"/>
        <w:numPr>
          <w:ilvl w:val="0"/>
          <w:numId w:val="5"/>
        </w:numPr>
        <w:ind w:left="0"/>
        <w:jc w:val="both"/>
        <w:rPr>
          <w:lang w:val="fr-FR"/>
        </w:rPr>
      </w:pPr>
      <w:r w:rsidRPr="00D3264E">
        <w:rPr>
          <w:lang w:val="fr-FR"/>
        </w:rPr>
        <w:t>L</w:t>
      </w:r>
      <w:r w:rsidR="000D7C97" w:rsidRPr="00D3264E">
        <w:rPr>
          <w:lang w:val="fr-FR"/>
        </w:rPr>
        <w:t>a Côte d’Ivoire est liée par</w:t>
      </w:r>
      <w:r w:rsidR="00FB62F0" w:rsidRPr="00D3264E">
        <w:rPr>
          <w:lang w:val="fr-FR"/>
        </w:rPr>
        <w:t xml:space="preserve"> la Charte africaine des droits de l’</w:t>
      </w:r>
      <w:r w:rsidR="004F405D" w:rsidRPr="00D3264E">
        <w:rPr>
          <w:lang w:val="fr-FR"/>
        </w:rPr>
        <w:t>h</w:t>
      </w:r>
      <w:r w:rsidR="00FB62F0" w:rsidRPr="00D3264E">
        <w:rPr>
          <w:lang w:val="fr-FR"/>
        </w:rPr>
        <w:t>omme et des peuples</w:t>
      </w:r>
      <w:r w:rsidR="00FB62F0" w:rsidRPr="00D3264E">
        <w:rPr>
          <w:rStyle w:val="FootnoteReference"/>
          <w:lang w:val="fr-FR"/>
        </w:rPr>
        <w:footnoteReference w:id="25"/>
      </w:r>
      <w:r w:rsidR="000D7C97" w:rsidRPr="00D3264E">
        <w:rPr>
          <w:lang w:val="fr-FR"/>
        </w:rPr>
        <w:t xml:space="preserve"> et</w:t>
      </w:r>
      <w:r w:rsidR="003D5A3D" w:rsidRPr="00D3264E">
        <w:rPr>
          <w:lang w:val="fr-FR"/>
        </w:rPr>
        <w:t xml:space="preserve"> par</w:t>
      </w:r>
      <w:r w:rsidR="00FB62F0" w:rsidRPr="00D3264E">
        <w:rPr>
          <w:lang w:val="fr-FR"/>
        </w:rPr>
        <w:t xml:space="preserve"> la Charte africaine relative aux droits et au bien-être de l’enfant</w:t>
      </w:r>
      <w:r w:rsidR="00642891" w:rsidRPr="00D3264E">
        <w:rPr>
          <w:lang w:val="fr-FR"/>
        </w:rPr>
        <w:t xml:space="preserve">, qui, en son article 27, prévoit que les Etats parties s'engagent à protéger l'enfant contre toute forme d'exploitation ou de mauvais traitements sexuels. La Côte d’Ivoire </w:t>
      </w:r>
      <w:r w:rsidR="00FB62F0" w:rsidRPr="00D3264E">
        <w:rPr>
          <w:lang w:val="fr-FR"/>
        </w:rPr>
        <w:t xml:space="preserve">doit se conformer à la </w:t>
      </w:r>
      <w:r w:rsidR="003034D9" w:rsidRPr="00D3264E">
        <w:rPr>
          <w:lang w:val="fr-FR"/>
        </w:rPr>
        <w:t>r</w:t>
      </w:r>
      <w:r w:rsidR="00FB62F0" w:rsidRPr="00D3264E">
        <w:rPr>
          <w:lang w:val="fr-FR"/>
        </w:rPr>
        <w:t xml:space="preserve">ésolution de la Commission </w:t>
      </w:r>
      <w:r w:rsidR="00EE49A6" w:rsidRPr="00D3264E">
        <w:rPr>
          <w:lang w:val="fr-FR"/>
        </w:rPr>
        <w:t>a</w:t>
      </w:r>
      <w:r w:rsidR="00FB62F0" w:rsidRPr="00D3264E">
        <w:rPr>
          <w:lang w:val="fr-FR"/>
        </w:rPr>
        <w:t xml:space="preserve">fricaine des </w:t>
      </w:r>
      <w:r w:rsidR="00EE49A6" w:rsidRPr="00D3264E">
        <w:rPr>
          <w:lang w:val="fr-FR"/>
        </w:rPr>
        <w:t>d</w:t>
      </w:r>
      <w:r w:rsidR="00FB62F0" w:rsidRPr="00D3264E">
        <w:rPr>
          <w:lang w:val="fr-FR"/>
        </w:rPr>
        <w:t>roits de l’</w:t>
      </w:r>
      <w:r w:rsidR="00EE49A6" w:rsidRPr="00D3264E">
        <w:rPr>
          <w:lang w:val="fr-FR"/>
        </w:rPr>
        <w:t>h</w:t>
      </w:r>
      <w:r w:rsidR="00FB62F0" w:rsidRPr="00D3264E">
        <w:rPr>
          <w:lang w:val="fr-FR"/>
        </w:rPr>
        <w:t>omm</w:t>
      </w:r>
      <w:r w:rsidR="000D7C97" w:rsidRPr="00D3264E">
        <w:rPr>
          <w:lang w:val="fr-FR"/>
        </w:rPr>
        <w:t xml:space="preserve">e et des </w:t>
      </w:r>
      <w:r w:rsidR="00EE49A6" w:rsidRPr="00D3264E">
        <w:rPr>
          <w:lang w:val="fr-FR"/>
        </w:rPr>
        <w:t>p</w:t>
      </w:r>
      <w:r w:rsidR="000D7C97" w:rsidRPr="00D3264E">
        <w:rPr>
          <w:lang w:val="fr-FR"/>
        </w:rPr>
        <w:t xml:space="preserve">euples (CADHP) de l’Union </w:t>
      </w:r>
      <w:r w:rsidR="00EE49A6" w:rsidRPr="00D3264E">
        <w:rPr>
          <w:lang w:val="fr-FR"/>
        </w:rPr>
        <w:t>a</w:t>
      </w:r>
      <w:r w:rsidR="000D7C97" w:rsidRPr="00D3264E">
        <w:rPr>
          <w:lang w:val="fr-FR"/>
        </w:rPr>
        <w:t>fricaine</w:t>
      </w:r>
      <w:r w:rsidR="00FB62F0" w:rsidRPr="00D3264E">
        <w:rPr>
          <w:lang w:val="fr-FR"/>
        </w:rPr>
        <w:t xml:space="preserve"> sur la situation des femmes et des enfants en Afrique (2004). </w:t>
      </w:r>
      <w:r w:rsidR="00286268" w:rsidRPr="00D3264E">
        <w:rPr>
          <w:lang w:val="fr-FR"/>
        </w:rPr>
        <w:t>L</w:t>
      </w:r>
      <w:r w:rsidR="00FB62F0" w:rsidRPr="00D3264E">
        <w:rPr>
          <w:lang w:val="fr-FR"/>
        </w:rPr>
        <w:t xml:space="preserve">a Côte d’Ivoire a </w:t>
      </w:r>
      <w:r w:rsidR="00EE49A6" w:rsidRPr="00D3264E">
        <w:rPr>
          <w:lang w:val="fr-FR"/>
        </w:rPr>
        <w:t xml:space="preserve">également </w:t>
      </w:r>
      <w:r w:rsidR="00FB62F0" w:rsidRPr="00D3264E">
        <w:rPr>
          <w:lang w:val="fr-FR"/>
        </w:rPr>
        <w:t xml:space="preserve">ratifié le </w:t>
      </w:r>
      <w:r w:rsidR="00C77010" w:rsidRPr="00D3264E">
        <w:rPr>
          <w:lang w:val="fr-FR"/>
        </w:rPr>
        <w:t>P</w:t>
      </w:r>
      <w:r w:rsidR="00FB62F0" w:rsidRPr="00D3264E">
        <w:rPr>
          <w:lang w:val="fr-FR"/>
        </w:rPr>
        <w:t xml:space="preserve">rotocole à la Charte </w:t>
      </w:r>
      <w:r w:rsidR="00C77010" w:rsidRPr="00D3264E">
        <w:rPr>
          <w:lang w:val="fr-FR"/>
        </w:rPr>
        <w:t>a</w:t>
      </w:r>
      <w:r w:rsidR="00FB62F0" w:rsidRPr="00D3264E">
        <w:rPr>
          <w:lang w:val="fr-FR"/>
        </w:rPr>
        <w:t xml:space="preserve">fricaine des </w:t>
      </w:r>
      <w:r w:rsidR="00C77010" w:rsidRPr="00D3264E">
        <w:rPr>
          <w:lang w:val="fr-FR"/>
        </w:rPr>
        <w:t>d</w:t>
      </w:r>
      <w:r w:rsidR="00FB62F0" w:rsidRPr="00D3264E">
        <w:rPr>
          <w:lang w:val="fr-FR"/>
        </w:rPr>
        <w:t>roits de l’</w:t>
      </w:r>
      <w:r w:rsidR="00C77010" w:rsidRPr="00D3264E">
        <w:rPr>
          <w:lang w:val="fr-FR"/>
        </w:rPr>
        <w:t>h</w:t>
      </w:r>
      <w:r w:rsidR="00FB62F0" w:rsidRPr="00D3264E">
        <w:rPr>
          <w:lang w:val="fr-FR"/>
        </w:rPr>
        <w:t xml:space="preserve">omme et des </w:t>
      </w:r>
      <w:r w:rsidR="00C77010" w:rsidRPr="00D3264E">
        <w:rPr>
          <w:lang w:val="fr-FR"/>
        </w:rPr>
        <w:t>p</w:t>
      </w:r>
      <w:r w:rsidR="00FB62F0" w:rsidRPr="00D3264E">
        <w:rPr>
          <w:lang w:val="fr-FR"/>
        </w:rPr>
        <w:t xml:space="preserve">euples relatif aux </w:t>
      </w:r>
      <w:r w:rsidR="00C77010" w:rsidRPr="00D3264E">
        <w:rPr>
          <w:lang w:val="fr-FR"/>
        </w:rPr>
        <w:t>d</w:t>
      </w:r>
      <w:r w:rsidR="00FB62F0" w:rsidRPr="00D3264E">
        <w:rPr>
          <w:lang w:val="fr-FR"/>
        </w:rPr>
        <w:t xml:space="preserve">roits des </w:t>
      </w:r>
      <w:r w:rsidR="00C77010" w:rsidRPr="00D3264E">
        <w:rPr>
          <w:lang w:val="fr-FR"/>
        </w:rPr>
        <w:t>f</w:t>
      </w:r>
      <w:r w:rsidR="00FB62F0" w:rsidRPr="00D3264E">
        <w:rPr>
          <w:lang w:val="fr-FR"/>
        </w:rPr>
        <w:t>emmes (Protocole de Maputo de 2003)</w:t>
      </w:r>
      <w:r w:rsidR="00286268" w:rsidRPr="00D3264E">
        <w:rPr>
          <w:lang w:val="fr-FR"/>
        </w:rPr>
        <w:t xml:space="preserve"> le 9 mars 2012</w:t>
      </w:r>
      <w:r w:rsidR="00FB62F0" w:rsidRPr="00D3264E">
        <w:rPr>
          <w:lang w:val="fr-FR"/>
        </w:rPr>
        <w:t>.</w:t>
      </w:r>
      <w:r w:rsidR="00C77010" w:rsidRPr="00D3264E">
        <w:rPr>
          <w:rStyle w:val="FootnoteReference"/>
          <w:lang w:val="fr-FR"/>
        </w:rPr>
        <w:footnoteReference w:id="26"/>
      </w:r>
      <w:r w:rsidR="0039222F" w:rsidRPr="00D3264E">
        <w:rPr>
          <w:bCs/>
          <w:lang w:val="fr-FR"/>
        </w:rPr>
        <w:t xml:space="preserve"> </w:t>
      </w:r>
      <w:r w:rsidR="00C21FA3" w:rsidRPr="00D3264E">
        <w:rPr>
          <w:lang w:val="fr-FR"/>
        </w:rPr>
        <w:t>En son article 4, ce protocole réaffirme que toute femme a droit au respect de sa vie, de son intégrité physique et à la sécurité de sa personne et que toutes formes d’exploitation, de punition et de traitement inhumain ou dégradant doivent être interdites. Selon cet article, les Etats s’engagent à prendre des mesures appropriées et effectives pour notamment adopter et renforcer les lois interdisant toutes formes de violence à l’égard des femmes, y compris les rapports sexuels non désirés ou forcés, en privé ou en public</w:t>
      </w:r>
      <w:r w:rsidR="00631D9D" w:rsidRPr="00D3264E">
        <w:rPr>
          <w:lang w:val="fr-FR"/>
        </w:rPr>
        <w:t>.</w:t>
      </w:r>
      <w:r w:rsidR="00C21FA3" w:rsidRPr="00D3264E">
        <w:rPr>
          <w:lang w:val="fr-FR"/>
        </w:rPr>
        <w:t xml:space="preserve"> </w:t>
      </w:r>
    </w:p>
    <w:p w:rsidR="00FB62F0" w:rsidRPr="00D3264E" w:rsidRDefault="00FB62F0" w:rsidP="00097245">
      <w:pPr>
        <w:pStyle w:val="Heading2"/>
        <w:numPr>
          <w:ilvl w:val="0"/>
          <w:numId w:val="10"/>
        </w:numPr>
        <w:spacing w:before="0"/>
        <w:jc w:val="both"/>
        <w:rPr>
          <w:rFonts w:ascii="Times New Roman" w:hAnsi="Times New Roman"/>
          <w:color w:val="auto"/>
          <w:sz w:val="24"/>
          <w:szCs w:val="24"/>
          <w:lang w:val="fr-FR"/>
        </w:rPr>
      </w:pPr>
      <w:bookmarkStart w:id="19" w:name="_Toc455746282"/>
      <w:r w:rsidRPr="00D3264E">
        <w:rPr>
          <w:rFonts w:ascii="Times New Roman" w:hAnsi="Times New Roman"/>
          <w:color w:val="auto"/>
          <w:sz w:val="24"/>
          <w:szCs w:val="24"/>
          <w:lang w:val="fr-FR"/>
        </w:rPr>
        <w:t>Au niveau national</w:t>
      </w:r>
      <w:bookmarkEnd w:id="19"/>
      <w:r w:rsidRPr="00D3264E">
        <w:rPr>
          <w:rFonts w:ascii="Times New Roman" w:hAnsi="Times New Roman"/>
          <w:color w:val="auto"/>
          <w:sz w:val="24"/>
          <w:szCs w:val="24"/>
          <w:lang w:val="fr-FR"/>
        </w:rPr>
        <w:t> </w:t>
      </w:r>
    </w:p>
    <w:p w:rsidR="00FB62F0" w:rsidRPr="00D3264E" w:rsidRDefault="00FB62F0" w:rsidP="00097245">
      <w:pPr>
        <w:jc w:val="both"/>
        <w:rPr>
          <w:b/>
          <w:bCs/>
          <w:lang w:val="fr-FR"/>
        </w:rPr>
      </w:pPr>
    </w:p>
    <w:p w:rsidR="00FB62F0" w:rsidRPr="00D3264E" w:rsidRDefault="00C85295" w:rsidP="00097245">
      <w:pPr>
        <w:pStyle w:val="ListParagraph"/>
        <w:numPr>
          <w:ilvl w:val="0"/>
          <w:numId w:val="5"/>
        </w:numPr>
        <w:ind w:left="0"/>
        <w:jc w:val="both"/>
        <w:rPr>
          <w:lang w:val="fr-FR"/>
        </w:rPr>
      </w:pPr>
      <w:r w:rsidRPr="00D3264E">
        <w:rPr>
          <w:lang w:val="fr-FR"/>
        </w:rPr>
        <w:t>Par sa</w:t>
      </w:r>
      <w:r w:rsidR="00FB62F0" w:rsidRPr="00D3264E">
        <w:rPr>
          <w:lang w:val="fr-FR"/>
        </w:rPr>
        <w:t xml:space="preserve"> Constitution (2000), le peuple ivoirien «</w:t>
      </w:r>
      <w:r w:rsidR="005618A7" w:rsidRPr="00D3264E">
        <w:rPr>
          <w:lang w:val="fr-FR"/>
        </w:rPr>
        <w:t xml:space="preserve"> </w:t>
      </w:r>
      <w:r w:rsidR="00FB62F0" w:rsidRPr="00D3264E">
        <w:rPr>
          <w:i/>
          <w:lang w:val="fr-FR"/>
        </w:rPr>
        <w:t>proclame son adhésion aux droits et libertés tels que définis dans la Déclaration universelle des Droits de l'Homme de 1948 et dans la Charte africaine des Droits de l'Homme et des Peuples de 1981</w:t>
      </w:r>
      <w:r w:rsidR="00FB62F0" w:rsidRPr="00D3264E">
        <w:rPr>
          <w:lang w:val="fr-FR"/>
        </w:rPr>
        <w:t xml:space="preserve">», dont l’égalité </w:t>
      </w:r>
      <w:r w:rsidR="003C5B58" w:rsidRPr="00D3264E">
        <w:rPr>
          <w:lang w:val="fr-FR"/>
        </w:rPr>
        <w:t>entre les hommes et les femmes. L</w:t>
      </w:r>
      <w:r w:rsidR="00FB62F0" w:rsidRPr="00D3264E">
        <w:rPr>
          <w:lang w:val="fr-FR"/>
        </w:rPr>
        <w:t>a Co</w:t>
      </w:r>
      <w:r w:rsidR="006E3F78" w:rsidRPr="00D3264E">
        <w:rPr>
          <w:lang w:val="fr-FR"/>
        </w:rPr>
        <w:t xml:space="preserve">nstitution prévoit par ailleurs, </w:t>
      </w:r>
      <w:r w:rsidR="00FB62F0" w:rsidRPr="00D3264E">
        <w:rPr>
          <w:lang w:val="fr-FR"/>
        </w:rPr>
        <w:t>en son article 3</w:t>
      </w:r>
      <w:r w:rsidR="006E3F78" w:rsidRPr="00D3264E">
        <w:rPr>
          <w:lang w:val="fr-FR"/>
        </w:rPr>
        <w:t>,</w:t>
      </w:r>
      <w:r w:rsidR="00FB62F0" w:rsidRPr="00D3264E">
        <w:rPr>
          <w:lang w:val="fr-FR"/>
        </w:rPr>
        <w:t xml:space="preserve"> que «</w:t>
      </w:r>
      <w:r w:rsidR="0062495A" w:rsidRPr="00D3264E">
        <w:rPr>
          <w:lang w:val="fr-FR"/>
        </w:rPr>
        <w:t xml:space="preserve"> </w:t>
      </w:r>
      <w:r w:rsidR="00FB62F0" w:rsidRPr="00D3264E">
        <w:rPr>
          <w:i/>
          <w:lang w:val="fr-FR"/>
        </w:rPr>
        <w:t>sont interdits et punis par la loi, l'esclavage, le travail forcé, les traitements inhumains et cruels, dégradants et humiliants, la torture physique ou morale, les violences physiques et les mutilations et toutes les formes d'avilissement de l'être humain</w:t>
      </w:r>
      <w:r w:rsidR="0062495A" w:rsidRPr="00D3264E">
        <w:rPr>
          <w:i/>
          <w:lang w:val="fr-FR"/>
        </w:rPr>
        <w:t xml:space="preserve"> </w:t>
      </w:r>
      <w:r w:rsidR="00FB62F0" w:rsidRPr="00D3264E">
        <w:rPr>
          <w:lang w:val="fr-FR"/>
        </w:rPr>
        <w:t>».</w:t>
      </w:r>
    </w:p>
    <w:p w:rsidR="00FB62F0" w:rsidRPr="00D3264E" w:rsidRDefault="00FB62F0" w:rsidP="00097245">
      <w:pPr>
        <w:pStyle w:val="ListParagraph"/>
        <w:ind w:left="0"/>
        <w:jc w:val="both"/>
        <w:rPr>
          <w:lang w:val="fr-FR"/>
        </w:rPr>
      </w:pPr>
    </w:p>
    <w:p w:rsidR="00D37379" w:rsidRPr="00D3264E" w:rsidRDefault="00FB62F0" w:rsidP="00097245">
      <w:pPr>
        <w:pStyle w:val="ListParagraph"/>
        <w:numPr>
          <w:ilvl w:val="0"/>
          <w:numId w:val="5"/>
        </w:numPr>
        <w:ind w:left="0"/>
        <w:jc w:val="both"/>
        <w:rPr>
          <w:lang w:val="fr-FR"/>
        </w:rPr>
      </w:pPr>
      <w:r w:rsidRPr="00D3264E">
        <w:rPr>
          <w:lang w:val="fr-FR"/>
        </w:rPr>
        <w:t>En droit interne, la répression du viol est régie par le Code pénal (1981)</w:t>
      </w:r>
      <w:r w:rsidR="00E30C0E" w:rsidRPr="00D3264E">
        <w:rPr>
          <w:rStyle w:val="FootnoteReference"/>
          <w:lang w:val="fr-FR"/>
        </w:rPr>
        <w:footnoteReference w:id="27"/>
      </w:r>
      <w:r w:rsidRPr="00D3264E">
        <w:rPr>
          <w:lang w:val="fr-FR"/>
        </w:rPr>
        <w:t xml:space="preserve"> qui, toutefois, n’en donne pas une définitio</w:t>
      </w:r>
      <w:r w:rsidR="00B96641" w:rsidRPr="00D3264E">
        <w:rPr>
          <w:lang w:val="fr-FR"/>
        </w:rPr>
        <w:t>n</w:t>
      </w:r>
      <w:r w:rsidR="002300F7" w:rsidRPr="00D3264E">
        <w:rPr>
          <w:lang w:val="fr-FR"/>
        </w:rPr>
        <w:t xml:space="preserve">. </w:t>
      </w:r>
      <w:r w:rsidRPr="00D3264E">
        <w:rPr>
          <w:lang w:val="fr-FR"/>
        </w:rPr>
        <w:t xml:space="preserve">L’article 354 du Code pénal </w:t>
      </w:r>
      <w:r w:rsidR="002300F7" w:rsidRPr="00D3264E">
        <w:rPr>
          <w:lang w:val="fr-FR"/>
        </w:rPr>
        <w:t xml:space="preserve">en énonce seulement les sanctions en </w:t>
      </w:r>
      <w:r w:rsidR="0069185E" w:rsidRPr="00D3264E">
        <w:rPr>
          <w:lang w:val="fr-FR"/>
        </w:rPr>
        <w:t>précis</w:t>
      </w:r>
      <w:r w:rsidR="002300F7" w:rsidRPr="00D3264E">
        <w:rPr>
          <w:lang w:val="fr-FR"/>
        </w:rPr>
        <w:t>ant</w:t>
      </w:r>
      <w:r w:rsidR="0069185E" w:rsidRPr="00D3264E">
        <w:rPr>
          <w:lang w:val="fr-FR"/>
        </w:rPr>
        <w:t xml:space="preserve"> que</w:t>
      </w:r>
      <w:r w:rsidRPr="00D3264E">
        <w:rPr>
          <w:lang w:val="fr-FR"/>
        </w:rPr>
        <w:t xml:space="preserve"> le viol </w:t>
      </w:r>
      <w:r w:rsidR="0069185E" w:rsidRPr="00D3264E">
        <w:rPr>
          <w:lang w:val="fr-FR"/>
        </w:rPr>
        <w:t xml:space="preserve">est puni </w:t>
      </w:r>
      <w:r w:rsidRPr="00D3264E">
        <w:rPr>
          <w:lang w:val="fr-FR"/>
        </w:rPr>
        <w:t xml:space="preserve">d’un emprisonnement de cinq à </w:t>
      </w:r>
      <w:r w:rsidR="00C85295" w:rsidRPr="00D3264E">
        <w:rPr>
          <w:lang w:val="fr-FR"/>
        </w:rPr>
        <w:t>20</w:t>
      </w:r>
      <w:r w:rsidRPr="00D3264E">
        <w:rPr>
          <w:lang w:val="fr-FR"/>
        </w:rPr>
        <w:t xml:space="preserve"> ans. La peine est celle de l’empri</w:t>
      </w:r>
      <w:r w:rsidR="00B5350B" w:rsidRPr="00D3264E">
        <w:rPr>
          <w:lang w:val="fr-FR"/>
        </w:rPr>
        <w:t>sonnement à vie si l’auteur : 1º</w:t>
      </w:r>
      <w:r w:rsidRPr="00D3264E">
        <w:rPr>
          <w:lang w:val="fr-FR"/>
        </w:rPr>
        <w:t xml:space="preserve"> est aidé dans son crime par une ou plusieurs personnes ; 2</w:t>
      </w:r>
      <w:r w:rsidR="00B5350B" w:rsidRPr="00D3264E">
        <w:rPr>
          <w:lang w:val="fr-FR"/>
        </w:rPr>
        <w:t>º</w:t>
      </w:r>
      <w:r w:rsidRPr="00D3264E">
        <w:rPr>
          <w:lang w:val="fr-FR"/>
        </w:rPr>
        <w:t xml:space="preserve"> est le père</w:t>
      </w:r>
      <w:r w:rsidR="00C85295" w:rsidRPr="00D3264E">
        <w:rPr>
          <w:lang w:val="fr-FR"/>
        </w:rPr>
        <w:t xml:space="preserve"> ou</w:t>
      </w:r>
      <w:r w:rsidRPr="00D3264E">
        <w:rPr>
          <w:lang w:val="fr-FR"/>
        </w:rPr>
        <w:t xml:space="preserve"> un ascendant </w:t>
      </w:r>
      <w:r w:rsidR="00C85295" w:rsidRPr="00D3264E">
        <w:rPr>
          <w:lang w:val="fr-FR"/>
        </w:rPr>
        <w:t>de la vict</w:t>
      </w:r>
      <w:r w:rsidR="00AC3B98" w:rsidRPr="00D3264E">
        <w:rPr>
          <w:lang w:val="fr-FR"/>
        </w:rPr>
        <w:t>i</w:t>
      </w:r>
      <w:r w:rsidR="00C85295" w:rsidRPr="00D3264E">
        <w:rPr>
          <w:lang w:val="fr-FR"/>
        </w:rPr>
        <w:t xml:space="preserve">me </w:t>
      </w:r>
      <w:r w:rsidRPr="00D3264E">
        <w:rPr>
          <w:lang w:val="fr-FR"/>
        </w:rPr>
        <w:t xml:space="preserve">ou une personne ayant autorité sur </w:t>
      </w:r>
      <w:r w:rsidR="00C85295" w:rsidRPr="00D3264E">
        <w:rPr>
          <w:lang w:val="fr-FR"/>
        </w:rPr>
        <w:t>elle</w:t>
      </w:r>
      <w:r w:rsidRPr="00D3264E">
        <w:rPr>
          <w:lang w:val="fr-FR"/>
        </w:rPr>
        <w:t xml:space="preserve">, s’il est chargé de son éducation, de sa formation intellectuelle ou professionnelle. </w:t>
      </w:r>
      <w:r w:rsidR="0069185E" w:rsidRPr="00D3264E">
        <w:rPr>
          <w:lang w:val="fr-FR"/>
        </w:rPr>
        <w:t>L’article 354 du Code pénal ajoute que l</w:t>
      </w:r>
      <w:r w:rsidRPr="00D3264E">
        <w:rPr>
          <w:lang w:val="fr-FR"/>
        </w:rPr>
        <w:t xml:space="preserve">’emprisonnement à vie </w:t>
      </w:r>
      <w:r w:rsidR="000F0D09" w:rsidRPr="00D3264E">
        <w:rPr>
          <w:lang w:val="fr-FR"/>
        </w:rPr>
        <w:t xml:space="preserve">s’applique également </w:t>
      </w:r>
      <w:r w:rsidRPr="00D3264E">
        <w:rPr>
          <w:lang w:val="fr-FR"/>
        </w:rPr>
        <w:t xml:space="preserve">si la victime est mineure de 15 ans. </w:t>
      </w:r>
      <w:r w:rsidR="002300F7" w:rsidRPr="00D3264E">
        <w:rPr>
          <w:lang w:val="fr-FR"/>
        </w:rPr>
        <w:t>Le Code pénal ne prévoit pas de sanctions pour d’autres crimes de violence sexuelle.</w:t>
      </w:r>
      <w:r w:rsidR="007E699B" w:rsidRPr="00D3264E">
        <w:rPr>
          <w:lang w:val="fr-FR"/>
        </w:rPr>
        <w:t xml:space="preserve"> Il est à noter</w:t>
      </w:r>
      <w:r w:rsidR="007C0983" w:rsidRPr="00D3264E">
        <w:rPr>
          <w:lang w:val="fr-FR"/>
        </w:rPr>
        <w:t xml:space="preserve"> en particulier</w:t>
      </w:r>
      <w:r w:rsidR="007E699B" w:rsidRPr="00D3264E">
        <w:rPr>
          <w:lang w:val="fr-FR"/>
        </w:rPr>
        <w:t xml:space="preserve"> que l’article 354 ne prévoit pas de sanction</w:t>
      </w:r>
      <w:r w:rsidR="00B5350B" w:rsidRPr="00D3264E">
        <w:rPr>
          <w:lang w:val="fr-FR"/>
        </w:rPr>
        <w:t>s</w:t>
      </w:r>
      <w:r w:rsidR="007E699B" w:rsidRPr="00D3264E">
        <w:rPr>
          <w:lang w:val="fr-FR"/>
        </w:rPr>
        <w:t xml:space="preserve"> pour le viol conjugal.</w:t>
      </w:r>
    </w:p>
    <w:p w:rsidR="005E34A0" w:rsidRPr="00D3264E" w:rsidRDefault="005E34A0" w:rsidP="00097245">
      <w:pPr>
        <w:pStyle w:val="ListParagraph"/>
        <w:jc w:val="both"/>
        <w:rPr>
          <w:lang w:val="fr-FR"/>
        </w:rPr>
      </w:pPr>
    </w:p>
    <w:p w:rsidR="005E34A0" w:rsidRPr="00D3264E" w:rsidRDefault="005E34A0" w:rsidP="00097245">
      <w:pPr>
        <w:pStyle w:val="ListParagraph"/>
        <w:numPr>
          <w:ilvl w:val="0"/>
          <w:numId w:val="5"/>
        </w:numPr>
        <w:autoSpaceDE w:val="0"/>
        <w:autoSpaceDN w:val="0"/>
        <w:adjustRightInd w:val="0"/>
        <w:ind w:left="0"/>
        <w:jc w:val="both"/>
        <w:rPr>
          <w:rFonts w:eastAsia="Calibri"/>
          <w:b/>
          <w:bCs/>
          <w:i/>
          <w:lang w:val="fr-FR"/>
        </w:rPr>
      </w:pPr>
      <w:r w:rsidRPr="00D3264E">
        <w:rPr>
          <w:rFonts w:eastAsia="Calibri"/>
          <w:bCs/>
          <w:lang w:val="fr-FR"/>
        </w:rPr>
        <w:t xml:space="preserve">Par ailleurs, l’article </w:t>
      </w:r>
      <w:r w:rsidR="005618A7" w:rsidRPr="00D3264E">
        <w:rPr>
          <w:rFonts w:eastAsia="Calibri"/>
          <w:bCs/>
          <w:lang w:val="fr-FR"/>
        </w:rPr>
        <w:t xml:space="preserve">355 du Code pénal prévoit que « </w:t>
      </w:r>
      <w:r w:rsidRPr="00D3264E">
        <w:rPr>
          <w:rFonts w:eastAsia="Calibri"/>
          <w:i/>
          <w:lang w:val="fr-FR"/>
        </w:rPr>
        <w:t>quiconque commet un attentat à la pudeur consommé ou tenté avec violences sur une personne de l'un ou de</w:t>
      </w:r>
      <w:r w:rsidRPr="00D3264E">
        <w:rPr>
          <w:rFonts w:eastAsia="Calibri"/>
          <w:b/>
          <w:bCs/>
          <w:i/>
          <w:lang w:val="fr-FR"/>
        </w:rPr>
        <w:t xml:space="preserve"> </w:t>
      </w:r>
      <w:r w:rsidRPr="00D3264E">
        <w:rPr>
          <w:rFonts w:eastAsia="Calibri"/>
          <w:i/>
          <w:lang w:val="fr-FR"/>
        </w:rPr>
        <w:t>l'autre sexe, est puni d'un emprisonnement de deux à cinq ans et d'une amende de 100.000 à 1.000.000 de</w:t>
      </w:r>
      <w:r w:rsidRPr="00D3264E">
        <w:rPr>
          <w:rFonts w:eastAsia="Calibri"/>
          <w:b/>
          <w:bCs/>
          <w:i/>
          <w:lang w:val="fr-FR"/>
        </w:rPr>
        <w:t xml:space="preserve"> </w:t>
      </w:r>
      <w:r w:rsidRPr="00D3264E">
        <w:rPr>
          <w:rFonts w:eastAsia="Calibri"/>
          <w:i/>
          <w:lang w:val="fr-FR"/>
        </w:rPr>
        <w:t>francs.</w:t>
      </w:r>
      <w:r w:rsidRPr="00D3264E">
        <w:rPr>
          <w:rFonts w:eastAsia="Calibri"/>
          <w:b/>
          <w:bCs/>
          <w:i/>
          <w:lang w:val="fr-FR"/>
        </w:rPr>
        <w:t xml:space="preserve"> </w:t>
      </w:r>
      <w:r w:rsidRPr="00D3264E">
        <w:rPr>
          <w:rFonts w:eastAsia="Calibri"/>
          <w:i/>
          <w:lang w:val="fr-FR"/>
        </w:rPr>
        <w:t>L'emprisonnement est de cinq à dix ans et l'amende de 200.000 à 2.000.000 de francs, si :</w:t>
      </w:r>
      <w:r w:rsidRPr="00D3264E">
        <w:rPr>
          <w:rFonts w:eastAsia="Calibri"/>
          <w:b/>
          <w:bCs/>
          <w:i/>
          <w:lang w:val="fr-FR"/>
        </w:rPr>
        <w:t xml:space="preserve"> </w:t>
      </w:r>
      <w:r w:rsidRPr="00D3264E">
        <w:rPr>
          <w:rFonts w:eastAsia="Calibri"/>
          <w:i/>
          <w:lang w:val="fr-FR"/>
        </w:rPr>
        <w:t>1</w:t>
      </w:r>
      <w:r w:rsidRPr="00D3264E">
        <w:rPr>
          <w:rFonts w:eastAsia="Calibri"/>
          <w:i/>
          <w:vertAlign w:val="superscript"/>
          <w:lang w:val="fr-FR"/>
        </w:rPr>
        <w:t>o</w:t>
      </w:r>
      <w:r w:rsidRPr="00D3264E">
        <w:rPr>
          <w:rFonts w:eastAsia="Calibri"/>
          <w:i/>
          <w:lang w:val="fr-FR"/>
        </w:rPr>
        <w:t xml:space="preserve"> L'auteur est l'une des personnes visées par le deuxième paragraphe du deuxième alinéa de l'article 354 ou la</w:t>
      </w:r>
      <w:r w:rsidRPr="00D3264E">
        <w:rPr>
          <w:rFonts w:eastAsia="Calibri"/>
          <w:b/>
          <w:bCs/>
          <w:i/>
          <w:lang w:val="fr-FR"/>
        </w:rPr>
        <w:t xml:space="preserve"> </w:t>
      </w:r>
      <w:r w:rsidRPr="00D3264E">
        <w:rPr>
          <w:rFonts w:eastAsia="Calibri"/>
          <w:i/>
          <w:lang w:val="fr-FR"/>
        </w:rPr>
        <w:t>mère de la victime ;</w:t>
      </w:r>
      <w:r w:rsidRPr="00D3264E">
        <w:rPr>
          <w:rFonts w:eastAsia="Calibri"/>
          <w:b/>
          <w:bCs/>
          <w:i/>
          <w:lang w:val="fr-FR"/>
        </w:rPr>
        <w:t xml:space="preserve"> </w:t>
      </w:r>
      <w:r w:rsidRPr="00D3264E">
        <w:rPr>
          <w:rFonts w:eastAsia="Calibri"/>
          <w:i/>
          <w:lang w:val="fr-FR"/>
        </w:rPr>
        <w:t>2</w:t>
      </w:r>
      <w:r w:rsidRPr="00D3264E">
        <w:rPr>
          <w:rFonts w:eastAsia="Calibri"/>
          <w:i/>
          <w:vertAlign w:val="superscript"/>
          <w:lang w:val="fr-FR"/>
        </w:rPr>
        <w:t>o</w:t>
      </w:r>
      <w:r w:rsidRPr="00D3264E">
        <w:rPr>
          <w:rFonts w:eastAsia="Calibri"/>
          <w:i/>
          <w:lang w:val="fr-FR"/>
        </w:rPr>
        <w:t xml:space="preserve"> L'auteur a été aidé par une ou plusieurs personnes ; 3</w:t>
      </w:r>
      <w:r w:rsidRPr="00D3264E">
        <w:rPr>
          <w:rFonts w:eastAsia="Calibri"/>
          <w:i/>
          <w:vertAlign w:val="superscript"/>
          <w:lang w:val="fr-FR"/>
        </w:rPr>
        <w:t xml:space="preserve">o </w:t>
      </w:r>
      <w:r w:rsidRPr="00D3264E">
        <w:rPr>
          <w:rFonts w:eastAsia="Calibri"/>
          <w:i/>
          <w:lang w:val="fr-FR"/>
        </w:rPr>
        <w:t>La victime est âgée de moins de 15 ans.</w:t>
      </w:r>
      <w:r w:rsidR="00C34E62" w:rsidRPr="00D3264E">
        <w:rPr>
          <w:rFonts w:eastAsia="Calibri"/>
          <w:i/>
          <w:lang w:val="fr-FR"/>
        </w:rPr>
        <w:t>»</w:t>
      </w:r>
    </w:p>
    <w:p w:rsidR="00DD4949" w:rsidRPr="00D3264E" w:rsidRDefault="00DD4949" w:rsidP="00097245">
      <w:pPr>
        <w:pStyle w:val="ListParagraph"/>
        <w:jc w:val="both"/>
        <w:rPr>
          <w:lang w:val="fr-FR"/>
        </w:rPr>
      </w:pPr>
    </w:p>
    <w:p w:rsidR="00DD4949" w:rsidRPr="00D3264E" w:rsidRDefault="00DD4949" w:rsidP="00097245">
      <w:pPr>
        <w:pStyle w:val="ListParagraph"/>
        <w:numPr>
          <w:ilvl w:val="0"/>
          <w:numId w:val="5"/>
        </w:numPr>
        <w:ind w:left="0"/>
        <w:jc w:val="both"/>
        <w:rPr>
          <w:lang w:val="fr-FR"/>
        </w:rPr>
      </w:pPr>
      <w:r w:rsidRPr="00D3264E">
        <w:rPr>
          <w:bCs/>
          <w:lang w:val="fr-FR"/>
        </w:rPr>
        <w:t>Enfin, le Code</w:t>
      </w:r>
      <w:r w:rsidR="002479F0" w:rsidRPr="00D3264E">
        <w:rPr>
          <w:bCs/>
          <w:lang w:val="fr-FR"/>
        </w:rPr>
        <w:t xml:space="preserve"> pénal et le Code</w:t>
      </w:r>
      <w:r w:rsidRPr="00D3264E">
        <w:rPr>
          <w:bCs/>
          <w:lang w:val="fr-FR"/>
        </w:rPr>
        <w:t xml:space="preserve"> de procédure pénale</w:t>
      </w:r>
      <w:r w:rsidRPr="00D3264E">
        <w:rPr>
          <w:rStyle w:val="FootnoteReference"/>
          <w:bCs/>
          <w:lang w:val="fr-FR"/>
        </w:rPr>
        <w:footnoteReference w:id="28"/>
      </w:r>
      <w:r w:rsidRPr="00D3264E">
        <w:rPr>
          <w:bCs/>
          <w:lang w:val="fr-FR"/>
        </w:rPr>
        <w:t xml:space="preserve"> </w:t>
      </w:r>
      <w:r w:rsidR="002479F0" w:rsidRPr="00D3264E">
        <w:rPr>
          <w:bCs/>
          <w:lang w:val="fr-FR"/>
        </w:rPr>
        <w:t xml:space="preserve">ont </w:t>
      </w:r>
      <w:r w:rsidRPr="00D3264E">
        <w:rPr>
          <w:bCs/>
          <w:lang w:val="fr-FR"/>
        </w:rPr>
        <w:t>été amendé</w:t>
      </w:r>
      <w:r w:rsidR="002479F0" w:rsidRPr="00D3264E">
        <w:rPr>
          <w:bCs/>
          <w:lang w:val="fr-FR"/>
        </w:rPr>
        <w:t>s</w:t>
      </w:r>
      <w:r w:rsidRPr="00D3264E">
        <w:rPr>
          <w:bCs/>
          <w:lang w:val="fr-FR"/>
        </w:rPr>
        <w:t xml:space="preserve"> </w:t>
      </w:r>
      <w:r w:rsidR="002479F0" w:rsidRPr="00D3264E">
        <w:rPr>
          <w:bCs/>
          <w:lang w:val="fr-FR"/>
        </w:rPr>
        <w:t xml:space="preserve">respectivement </w:t>
      </w:r>
      <w:r w:rsidRPr="00D3264E">
        <w:rPr>
          <w:bCs/>
          <w:lang w:val="fr-FR"/>
        </w:rPr>
        <w:t>par l</w:t>
      </w:r>
      <w:r w:rsidR="002479F0" w:rsidRPr="00D3264E">
        <w:rPr>
          <w:bCs/>
          <w:lang w:val="fr-FR"/>
        </w:rPr>
        <w:t>es</w:t>
      </w:r>
      <w:r w:rsidRPr="00D3264E">
        <w:rPr>
          <w:bCs/>
          <w:lang w:val="fr-FR"/>
        </w:rPr>
        <w:t xml:space="preserve"> loi</w:t>
      </w:r>
      <w:r w:rsidR="002479F0" w:rsidRPr="00D3264E">
        <w:rPr>
          <w:bCs/>
          <w:lang w:val="fr-FR"/>
        </w:rPr>
        <w:t>s</w:t>
      </w:r>
      <w:r w:rsidRPr="00D3264E">
        <w:rPr>
          <w:bCs/>
          <w:lang w:val="fr-FR"/>
        </w:rPr>
        <w:t xml:space="preserve"> n°2015-13</w:t>
      </w:r>
      <w:r w:rsidR="002479F0" w:rsidRPr="00D3264E">
        <w:rPr>
          <w:bCs/>
          <w:lang w:val="fr-FR"/>
        </w:rPr>
        <w:t>4 et nº2015-133</w:t>
      </w:r>
      <w:r w:rsidRPr="00D3264E">
        <w:rPr>
          <w:bCs/>
          <w:lang w:val="fr-FR"/>
        </w:rPr>
        <w:t xml:space="preserve"> du 9 mars 2015</w:t>
      </w:r>
      <w:r w:rsidRPr="00D3264E">
        <w:rPr>
          <w:rStyle w:val="FootnoteReference"/>
          <w:bCs/>
          <w:lang w:val="fr-FR"/>
        </w:rPr>
        <w:footnoteReference w:id="29"/>
      </w:r>
      <w:r w:rsidRPr="00D3264E">
        <w:rPr>
          <w:bCs/>
          <w:lang w:val="fr-FR"/>
        </w:rPr>
        <w:t xml:space="preserve">. </w:t>
      </w:r>
      <w:r w:rsidR="002479F0" w:rsidRPr="00D3264E">
        <w:rPr>
          <w:lang w:val="fr-FR"/>
        </w:rPr>
        <w:t>Le Code pénal inclut désormais les crimes internationaux définis dans le Statut de Rome</w:t>
      </w:r>
      <w:r w:rsidR="00C43858" w:rsidRPr="00D3264E">
        <w:rPr>
          <w:rStyle w:val="FootnoteReference"/>
          <w:lang w:val="fr-FR"/>
        </w:rPr>
        <w:footnoteReference w:id="30"/>
      </w:r>
      <w:r w:rsidR="002479F0" w:rsidRPr="00D3264E">
        <w:rPr>
          <w:lang w:val="fr-FR"/>
        </w:rPr>
        <w:t xml:space="preserve">. Par ailleurs, </w:t>
      </w:r>
      <w:r w:rsidR="002479F0" w:rsidRPr="00D3264E">
        <w:rPr>
          <w:bCs/>
          <w:lang w:val="fr-FR"/>
        </w:rPr>
        <w:t>l’</w:t>
      </w:r>
      <w:r w:rsidRPr="00D3264E">
        <w:rPr>
          <w:bCs/>
          <w:lang w:val="fr-FR"/>
        </w:rPr>
        <w:t>article 7 nouveau</w:t>
      </w:r>
      <w:r w:rsidR="00205EB8" w:rsidRPr="00D3264E">
        <w:rPr>
          <w:bCs/>
          <w:lang w:val="fr-FR"/>
        </w:rPr>
        <w:t xml:space="preserve"> </w:t>
      </w:r>
      <w:r w:rsidR="002479F0" w:rsidRPr="00D3264E">
        <w:rPr>
          <w:bCs/>
          <w:lang w:val="fr-FR"/>
        </w:rPr>
        <w:t xml:space="preserve">du Code de procédure pénale </w:t>
      </w:r>
      <w:r w:rsidR="00205EB8" w:rsidRPr="00D3264E">
        <w:rPr>
          <w:bCs/>
          <w:lang w:val="fr-FR"/>
        </w:rPr>
        <w:t>comporte</w:t>
      </w:r>
      <w:r w:rsidRPr="00D3264E">
        <w:rPr>
          <w:bCs/>
          <w:lang w:val="fr-FR"/>
        </w:rPr>
        <w:t xml:space="preserve"> une légère avancée en matière du délai de pre</w:t>
      </w:r>
      <w:r w:rsidR="000543C8" w:rsidRPr="00D3264E">
        <w:rPr>
          <w:bCs/>
          <w:lang w:val="fr-FR"/>
        </w:rPr>
        <w:t xml:space="preserve">scription de l’action publique dans la mesure où il prévoit que, pour les crimes, l’action publique se prescrit par </w:t>
      </w:r>
      <w:r w:rsidR="00C85295" w:rsidRPr="00D3264E">
        <w:rPr>
          <w:bCs/>
          <w:lang w:val="fr-FR"/>
        </w:rPr>
        <w:t>10</w:t>
      </w:r>
      <w:r w:rsidR="000543C8" w:rsidRPr="00D3264E">
        <w:rPr>
          <w:bCs/>
          <w:lang w:val="fr-FR"/>
        </w:rPr>
        <w:t xml:space="preserve"> années révolues à compter du jour où le crime a été commis si, dans cet intervalle, il n’a été fait aucun acte d’instruction ou de poursuite.</w:t>
      </w:r>
      <w:r w:rsidR="002479F0" w:rsidRPr="00D3264E">
        <w:rPr>
          <w:bCs/>
          <w:lang w:val="fr-FR"/>
        </w:rPr>
        <w:t xml:space="preserve"> </w:t>
      </w:r>
    </w:p>
    <w:p w:rsidR="00D37379" w:rsidRPr="00D3264E" w:rsidRDefault="00D37379" w:rsidP="00097245">
      <w:pPr>
        <w:jc w:val="both"/>
        <w:rPr>
          <w:u w:val="single"/>
          <w:lang w:val="fr-FR"/>
        </w:rPr>
      </w:pPr>
    </w:p>
    <w:p w:rsidR="00D37379" w:rsidRPr="00D3264E" w:rsidRDefault="00D46392" w:rsidP="00097245">
      <w:pPr>
        <w:pStyle w:val="Heading1"/>
        <w:numPr>
          <w:ilvl w:val="0"/>
          <w:numId w:val="1"/>
        </w:numPr>
        <w:jc w:val="both"/>
        <w:rPr>
          <w:rFonts w:ascii="Times New Roman" w:hAnsi="Times New Roman"/>
          <w:sz w:val="24"/>
          <w:szCs w:val="24"/>
          <w:lang w:val="fr-FR"/>
        </w:rPr>
      </w:pPr>
      <w:bookmarkStart w:id="20" w:name="_Toc455746283"/>
      <w:r w:rsidRPr="00D3264E">
        <w:rPr>
          <w:rFonts w:ascii="Times New Roman" w:hAnsi="Times New Roman"/>
          <w:sz w:val="24"/>
          <w:szCs w:val="24"/>
          <w:lang w:val="fr-FR"/>
        </w:rPr>
        <w:t>Principales</w:t>
      </w:r>
      <w:r w:rsidR="00011DF3" w:rsidRPr="00D3264E">
        <w:rPr>
          <w:rFonts w:ascii="Times New Roman" w:hAnsi="Times New Roman"/>
          <w:sz w:val="24"/>
          <w:szCs w:val="24"/>
          <w:lang w:val="fr-FR"/>
        </w:rPr>
        <w:t xml:space="preserve"> tendances des viols et de leur poursuite</w:t>
      </w:r>
      <w:r w:rsidRPr="00D3264E">
        <w:rPr>
          <w:rFonts w:ascii="Times New Roman" w:hAnsi="Times New Roman"/>
          <w:sz w:val="24"/>
          <w:szCs w:val="24"/>
          <w:lang w:val="fr-FR"/>
        </w:rPr>
        <w:t xml:space="preserve"> en justice</w:t>
      </w:r>
      <w:bookmarkEnd w:id="20"/>
    </w:p>
    <w:p w:rsidR="00D37379" w:rsidRPr="00D3264E" w:rsidRDefault="00D37379" w:rsidP="00097245">
      <w:pPr>
        <w:jc w:val="both"/>
        <w:rPr>
          <w:lang w:val="fr-FR"/>
        </w:rPr>
      </w:pPr>
    </w:p>
    <w:p w:rsidR="00E400D7" w:rsidRPr="00D3264E" w:rsidRDefault="00E400D7" w:rsidP="00097245">
      <w:pPr>
        <w:pStyle w:val="Heading2"/>
        <w:numPr>
          <w:ilvl w:val="0"/>
          <w:numId w:val="31"/>
        </w:numPr>
        <w:spacing w:before="0"/>
        <w:jc w:val="both"/>
        <w:rPr>
          <w:rFonts w:ascii="Times New Roman" w:hAnsi="Times New Roman"/>
          <w:color w:val="auto"/>
          <w:sz w:val="24"/>
          <w:szCs w:val="24"/>
          <w:lang w:val="fr-FR"/>
        </w:rPr>
      </w:pPr>
      <w:bookmarkStart w:id="21" w:name="_Toc455746284"/>
      <w:r w:rsidRPr="00D3264E">
        <w:rPr>
          <w:rFonts w:ascii="Times New Roman" w:hAnsi="Times New Roman"/>
          <w:color w:val="auto"/>
          <w:sz w:val="24"/>
          <w:szCs w:val="24"/>
          <w:lang w:val="fr-FR"/>
        </w:rPr>
        <w:t>Principales tendances des viols</w:t>
      </w:r>
      <w:bookmarkEnd w:id="21"/>
    </w:p>
    <w:p w:rsidR="00E400D7" w:rsidRPr="00D3264E" w:rsidRDefault="00E400D7" w:rsidP="00097245">
      <w:pPr>
        <w:jc w:val="both"/>
        <w:rPr>
          <w:lang w:val="fr-FR"/>
        </w:rPr>
      </w:pPr>
    </w:p>
    <w:p w:rsidR="006F2E87" w:rsidRPr="00D3264E" w:rsidRDefault="00621063" w:rsidP="00097245">
      <w:pPr>
        <w:pStyle w:val="ListParagraph"/>
        <w:numPr>
          <w:ilvl w:val="0"/>
          <w:numId w:val="5"/>
        </w:numPr>
        <w:ind w:left="0"/>
        <w:jc w:val="both"/>
        <w:rPr>
          <w:lang w:val="fr-FR"/>
        </w:rPr>
      </w:pPr>
      <w:r w:rsidRPr="00D3264E">
        <w:rPr>
          <w:lang w:val="fr-FR"/>
        </w:rPr>
        <w:t>Entre le 1</w:t>
      </w:r>
      <w:r w:rsidRPr="00D3264E">
        <w:rPr>
          <w:vertAlign w:val="superscript"/>
          <w:lang w:val="fr-FR"/>
        </w:rPr>
        <w:t>er</w:t>
      </w:r>
      <w:r w:rsidR="0057046F" w:rsidRPr="00D3264E">
        <w:rPr>
          <w:lang w:val="fr-FR"/>
        </w:rPr>
        <w:t xml:space="preserve"> janvier 2012 et le 3</w:t>
      </w:r>
      <w:r w:rsidR="006445E4" w:rsidRPr="00D3264E">
        <w:rPr>
          <w:lang w:val="fr-FR"/>
        </w:rPr>
        <w:t>1</w:t>
      </w:r>
      <w:r w:rsidR="00936892" w:rsidRPr="00D3264E">
        <w:rPr>
          <w:lang w:val="fr-FR"/>
        </w:rPr>
        <w:t xml:space="preserve"> </w:t>
      </w:r>
      <w:r w:rsidR="006445E4" w:rsidRPr="00D3264E">
        <w:rPr>
          <w:lang w:val="fr-FR"/>
        </w:rPr>
        <w:t>décembre</w:t>
      </w:r>
      <w:r w:rsidR="00936892" w:rsidRPr="00D3264E">
        <w:rPr>
          <w:lang w:val="fr-FR"/>
        </w:rPr>
        <w:t xml:space="preserve"> 2015</w:t>
      </w:r>
      <w:r w:rsidRPr="00D3264E">
        <w:rPr>
          <w:lang w:val="fr-FR"/>
        </w:rPr>
        <w:t xml:space="preserve">, la </w:t>
      </w:r>
      <w:r w:rsidR="00936892" w:rsidRPr="00D3264E">
        <w:rPr>
          <w:lang w:val="fr-FR"/>
        </w:rPr>
        <w:t>DDH a documenté 1</w:t>
      </w:r>
      <w:r w:rsidR="0055212B" w:rsidRPr="00D3264E">
        <w:rPr>
          <w:lang w:val="fr-FR"/>
        </w:rPr>
        <w:t>.</w:t>
      </w:r>
      <w:r w:rsidR="006445E4" w:rsidRPr="00D3264E">
        <w:rPr>
          <w:lang w:val="fr-FR"/>
        </w:rPr>
        <w:t>129</w:t>
      </w:r>
      <w:r w:rsidR="00F67F41" w:rsidRPr="00D3264E">
        <w:rPr>
          <w:lang w:val="fr-FR"/>
        </w:rPr>
        <w:t xml:space="preserve"> cas</w:t>
      </w:r>
      <w:r w:rsidR="005417F5" w:rsidRPr="00D3264E">
        <w:rPr>
          <w:rStyle w:val="FootnoteReference"/>
          <w:lang w:val="fr-FR"/>
        </w:rPr>
        <w:footnoteReference w:id="31"/>
      </w:r>
      <w:r w:rsidR="00F67F41" w:rsidRPr="00D3264E">
        <w:rPr>
          <w:lang w:val="fr-FR"/>
        </w:rPr>
        <w:t xml:space="preserve"> de viol</w:t>
      </w:r>
      <w:r w:rsidR="00936892" w:rsidRPr="00D3264E">
        <w:rPr>
          <w:lang w:val="fr-FR"/>
        </w:rPr>
        <w:t xml:space="preserve"> </w:t>
      </w:r>
      <w:r w:rsidR="00B46A83" w:rsidRPr="00D3264E">
        <w:rPr>
          <w:lang w:val="fr-FR"/>
        </w:rPr>
        <w:t xml:space="preserve">commis </w:t>
      </w:r>
      <w:r w:rsidR="00936892" w:rsidRPr="00D3264E">
        <w:rPr>
          <w:lang w:val="fr-FR"/>
        </w:rPr>
        <w:t>sur 1</w:t>
      </w:r>
      <w:r w:rsidR="0055212B" w:rsidRPr="00D3264E">
        <w:rPr>
          <w:lang w:val="fr-FR"/>
        </w:rPr>
        <w:t>.</w:t>
      </w:r>
      <w:r w:rsidR="006445E4" w:rsidRPr="00D3264E">
        <w:rPr>
          <w:lang w:val="fr-FR"/>
        </w:rPr>
        <w:t>146</w:t>
      </w:r>
      <w:r w:rsidRPr="00D3264E">
        <w:rPr>
          <w:lang w:val="fr-FR"/>
        </w:rPr>
        <w:t xml:space="preserve"> </w:t>
      </w:r>
      <w:r w:rsidR="00EA0C76" w:rsidRPr="00D3264E">
        <w:rPr>
          <w:lang w:val="fr-FR"/>
        </w:rPr>
        <w:t>victimes</w:t>
      </w:r>
      <w:r w:rsidR="005417F5" w:rsidRPr="00D3264E">
        <w:rPr>
          <w:lang w:val="fr-FR"/>
        </w:rPr>
        <w:t xml:space="preserve"> </w:t>
      </w:r>
      <w:r w:rsidR="00EA0C76" w:rsidRPr="00D3264E">
        <w:rPr>
          <w:lang w:val="fr-FR"/>
        </w:rPr>
        <w:t xml:space="preserve">réparties comme suit: 178 victimes dont 90 </w:t>
      </w:r>
      <w:r w:rsidR="00642891" w:rsidRPr="00D3264E">
        <w:rPr>
          <w:lang w:val="fr-FR"/>
        </w:rPr>
        <w:t>enfants</w:t>
      </w:r>
      <w:r w:rsidR="00EA0C76" w:rsidRPr="00D3264E">
        <w:rPr>
          <w:lang w:val="fr-FR"/>
        </w:rPr>
        <w:t xml:space="preserve"> en 2012, 462 victimes</w:t>
      </w:r>
      <w:r w:rsidR="006D11FA" w:rsidRPr="00D3264E">
        <w:rPr>
          <w:lang w:val="fr-FR"/>
        </w:rPr>
        <w:t xml:space="preserve"> dont 296 </w:t>
      </w:r>
      <w:r w:rsidR="00642891" w:rsidRPr="00D3264E">
        <w:rPr>
          <w:lang w:val="fr-FR"/>
        </w:rPr>
        <w:t xml:space="preserve">enfants </w:t>
      </w:r>
      <w:r w:rsidR="0038415C" w:rsidRPr="00D3264E">
        <w:rPr>
          <w:lang w:val="fr-FR"/>
        </w:rPr>
        <w:t xml:space="preserve">en 2013, </w:t>
      </w:r>
      <w:r w:rsidR="006D11FA" w:rsidRPr="00D3264E">
        <w:rPr>
          <w:lang w:val="fr-FR"/>
        </w:rPr>
        <w:t>336 victimes</w:t>
      </w:r>
      <w:r w:rsidR="00F97AAD" w:rsidRPr="00D3264E">
        <w:rPr>
          <w:lang w:val="fr-FR"/>
        </w:rPr>
        <w:t xml:space="preserve"> dont 239</w:t>
      </w:r>
      <w:r w:rsidR="00F67F41" w:rsidRPr="00D3264E">
        <w:rPr>
          <w:lang w:val="fr-FR"/>
        </w:rPr>
        <w:t xml:space="preserve"> </w:t>
      </w:r>
      <w:r w:rsidR="00642891" w:rsidRPr="00D3264E">
        <w:rPr>
          <w:lang w:val="fr-FR"/>
        </w:rPr>
        <w:t xml:space="preserve">enfants </w:t>
      </w:r>
      <w:r w:rsidR="00F67F41" w:rsidRPr="00D3264E">
        <w:rPr>
          <w:lang w:val="fr-FR"/>
        </w:rPr>
        <w:t>en 2014</w:t>
      </w:r>
      <w:r w:rsidR="0038415C" w:rsidRPr="00D3264E">
        <w:rPr>
          <w:lang w:val="fr-FR"/>
        </w:rPr>
        <w:t xml:space="preserve"> et </w:t>
      </w:r>
      <w:r w:rsidR="006445E4" w:rsidRPr="00D3264E">
        <w:rPr>
          <w:lang w:val="fr-FR"/>
        </w:rPr>
        <w:t xml:space="preserve">170 </w:t>
      </w:r>
      <w:r w:rsidR="0038415C" w:rsidRPr="00D3264E">
        <w:rPr>
          <w:lang w:val="fr-FR"/>
        </w:rPr>
        <w:t xml:space="preserve">victimes dont </w:t>
      </w:r>
      <w:r w:rsidR="006445E4" w:rsidRPr="00D3264E">
        <w:rPr>
          <w:lang w:val="fr-FR"/>
        </w:rPr>
        <w:t xml:space="preserve">136 </w:t>
      </w:r>
      <w:r w:rsidR="00642891" w:rsidRPr="00D3264E">
        <w:rPr>
          <w:lang w:val="fr-FR"/>
        </w:rPr>
        <w:t xml:space="preserve">enfants </w:t>
      </w:r>
      <w:r w:rsidR="0038415C" w:rsidRPr="00D3264E">
        <w:rPr>
          <w:lang w:val="fr-FR"/>
        </w:rPr>
        <w:t>en</w:t>
      </w:r>
      <w:r w:rsidR="00B46A83" w:rsidRPr="00D3264E">
        <w:rPr>
          <w:lang w:val="fr-FR"/>
        </w:rPr>
        <w:t xml:space="preserve"> </w:t>
      </w:r>
      <w:r w:rsidR="0038415C" w:rsidRPr="00D3264E">
        <w:rPr>
          <w:lang w:val="fr-FR"/>
        </w:rPr>
        <w:t>2015</w:t>
      </w:r>
      <w:r w:rsidR="00EA0C76" w:rsidRPr="00D3264E">
        <w:rPr>
          <w:lang w:val="fr-FR"/>
        </w:rPr>
        <w:t xml:space="preserve">. </w:t>
      </w:r>
      <w:r w:rsidR="00DD4949" w:rsidRPr="00D3264E">
        <w:rPr>
          <w:lang w:val="fr-FR"/>
        </w:rPr>
        <w:t>La plupart des victimes étaient des femmes et des filles, la DDH n’ayant documenté aucun cas de viol à l’encontre d’hommes adultes et ayant documenté des cas de viol contre 1</w:t>
      </w:r>
      <w:r w:rsidR="005C0697" w:rsidRPr="00D3264E">
        <w:rPr>
          <w:lang w:val="fr-FR"/>
        </w:rPr>
        <w:t xml:space="preserve">2 </w:t>
      </w:r>
      <w:r w:rsidR="00DD4949" w:rsidRPr="00D3264E">
        <w:rPr>
          <w:lang w:val="fr-FR"/>
        </w:rPr>
        <w:t xml:space="preserve">garçons. </w:t>
      </w:r>
    </w:p>
    <w:p w:rsidR="006F2E87" w:rsidRPr="00D3264E" w:rsidRDefault="006F2E87" w:rsidP="00097245">
      <w:pPr>
        <w:jc w:val="both"/>
        <w:rPr>
          <w:lang w:val="fr-FR"/>
        </w:rPr>
      </w:pPr>
    </w:p>
    <w:p w:rsidR="00E705AB" w:rsidRPr="00D3264E" w:rsidRDefault="0069185E" w:rsidP="00097245">
      <w:pPr>
        <w:pStyle w:val="ListParagraph"/>
        <w:numPr>
          <w:ilvl w:val="0"/>
          <w:numId w:val="5"/>
        </w:numPr>
        <w:ind w:left="0"/>
        <w:jc w:val="both"/>
        <w:rPr>
          <w:lang w:val="fr-FR"/>
        </w:rPr>
      </w:pPr>
      <w:r w:rsidRPr="00D3264E">
        <w:rPr>
          <w:lang w:val="fr-FR"/>
        </w:rPr>
        <w:lastRenderedPageBreak/>
        <w:t>Les villes de Bouaké, Guiglo, Duekoué, Abidjan, Yamoussoukro, San Pedro et leurs environs ont enregistré respectivement le plus grand nombre de cas au cours de la période considérée par ce rapport.</w:t>
      </w:r>
      <w:r w:rsidR="006D11FA" w:rsidRPr="00D3264E">
        <w:rPr>
          <w:lang w:val="fr-FR"/>
        </w:rPr>
        <w:t xml:space="preserve"> </w:t>
      </w:r>
      <w:r w:rsidR="009E1DED" w:rsidRPr="00D3264E">
        <w:rPr>
          <w:lang w:val="fr-FR"/>
        </w:rPr>
        <w:t xml:space="preserve">Le grand nombre de cas documentés dans ces villes peut avoir plusieurs explications, notamment une plus grande présence de réseaux locaux de protection dans ces zones, une meilleure information des populations et une meilleure réceptivité et qualité des services pour accueillir et prendre en charge les victimes. </w:t>
      </w:r>
    </w:p>
    <w:p w:rsidR="00E705AB" w:rsidRPr="00D3264E" w:rsidRDefault="00E705AB" w:rsidP="00097245">
      <w:pPr>
        <w:pStyle w:val="ListParagraph"/>
        <w:ind w:left="0"/>
        <w:jc w:val="both"/>
        <w:rPr>
          <w:lang w:val="fr-FR"/>
        </w:rPr>
      </w:pPr>
    </w:p>
    <w:p w:rsidR="0069185E" w:rsidRPr="00D3264E" w:rsidRDefault="00E705AB" w:rsidP="00097245">
      <w:pPr>
        <w:pStyle w:val="ListParagraph"/>
        <w:numPr>
          <w:ilvl w:val="0"/>
          <w:numId w:val="5"/>
        </w:numPr>
        <w:ind w:left="0"/>
        <w:jc w:val="both"/>
        <w:rPr>
          <w:lang w:val="fr-FR"/>
        </w:rPr>
      </w:pPr>
      <w:r w:rsidRPr="00D3264E">
        <w:rPr>
          <w:lang w:val="fr-FR"/>
        </w:rPr>
        <w:t>L</w:t>
      </w:r>
      <w:r w:rsidR="0069185E" w:rsidRPr="00D3264E">
        <w:rPr>
          <w:lang w:val="fr-FR"/>
        </w:rPr>
        <w:t>a DDH a enregistré dans la ville de Bouaké près de 40 pour cent de l’ensemble des cas de viol documentés sur l’ensemble du territoire entre le 1</w:t>
      </w:r>
      <w:r w:rsidR="0069185E" w:rsidRPr="00D3264E">
        <w:rPr>
          <w:vertAlign w:val="superscript"/>
          <w:lang w:val="fr-FR"/>
        </w:rPr>
        <w:t xml:space="preserve">er </w:t>
      </w:r>
      <w:r w:rsidR="0069185E" w:rsidRPr="00D3264E">
        <w:rPr>
          <w:lang w:val="fr-FR"/>
        </w:rPr>
        <w:t>juille</w:t>
      </w:r>
      <w:r w:rsidR="006D11FA" w:rsidRPr="00D3264E">
        <w:rPr>
          <w:lang w:val="fr-FR"/>
        </w:rPr>
        <w:t xml:space="preserve">t et le 31 décembre 2013. </w:t>
      </w:r>
      <w:r w:rsidR="0069185E" w:rsidRPr="00D3264E">
        <w:rPr>
          <w:rStyle w:val="hps"/>
          <w:lang w:val="fr-FR"/>
        </w:rPr>
        <w:t xml:space="preserve">Cette </w:t>
      </w:r>
      <w:r w:rsidR="00AE3EB3" w:rsidRPr="00D3264E">
        <w:rPr>
          <w:rStyle w:val="hps"/>
          <w:lang w:val="fr-FR"/>
        </w:rPr>
        <w:t>prévalence des viols à Bouaké pourrait s’</w:t>
      </w:r>
      <w:r w:rsidR="0069185E" w:rsidRPr="00D3264E">
        <w:rPr>
          <w:rStyle w:val="hps"/>
          <w:lang w:val="fr-FR"/>
        </w:rPr>
        <w:t>explique</w:t>
      </w:r>
      <w:r w:rsidR="00AE3EB3" w:rsidRPr="00D3264E">
        <w:rPr>
          <w:rStyle w:val="hps"/>
          <w:lang w:val="fr-FR"/>
        </w:rPr>
        <w:t>r</w:t>
      </w:r>
      <w:r w:rsidR="0069185E" w:rsidRPr="00D3264E">
        <w:rPr>
          <w:rStyle w:val="hps"/>
          <w:lang w:val="fr-FR"/>
        </w:rPr>
        <w:t xml:space="preserve"> </w:t>
      </w:r>
      <w:r w:rsidRPr="00D3264E">
        <w:rPr>
          <w:rStyle w:val="hps"/>
          <w:lang w:val="fr-FR"/>
        </w:rPr>
        <w:t>par</w:t>
      </w:r>
      <w:r w:rsidR="0069185E" w:rsidRPr="00D3264E">
        <w:rPr>
          <w:rStyle w:val="hps"/>
          <w:lang w:val="fr-FR"/>
        </w:rPr>
        <w:t xml:space="preserve"> la présence importante d’ex-</w:t>
      </w:r>
      <w:r w:rsidR="0069185E" w:rsidRPr="00D3264E">
        <w:rPr>
          <w:lang w:val="fr-FR"/>
        </w:rPr>
        <w:t xml:space="preserve">combattants dans cette zone, qui ont été souvent </w:t>
      </w:r>
      <w:r w:rsidR="0069185E" w:rsidRPr="00D3264E">
        <w:rPr>
          <w:rStyle w:val="hps"/>
          <w:lang w:val="fr-FR"/>
        </w:rPr>
        <w:t>réinsérés</w:t>
      </w:r>
      <w:r w:rsidR="0069185E" w:rsidRPr="00D3264E">
        <w:rPr>
          <w:lang w:val="fr-FR"/>
        </w:rPr>
        <w:t xml:space="preserve"> </w:t>
      </w:r>
      <w:r w:rsidR="0069185E" w:rsidRPr="00D3264E">
        <w:rPr>
          <w:rStyle w:val="hps"/>
          <w:lang w:val="fr-FR"/>
        </w:rPr>
        <w:t>dans la société</w:t>
      </w:r>
      <w:r w:rsidR="0069185E" w:rsidRPr="00D3264E">
        <w:rPr>
          <w:lang w:val="fr-FR"/>
        </w:rPr>
        <w:t xml:space="preserve"> </w:t>
      </w:r>
      <w:r w:rsidR="0069185E" w:rsidRPr="00D3264E">
        <w:rPr>
          <w:rStyle w:val="hps"/>
          <w:lang w:val="fr-FR"/>
        </w:rPr>
        <w:t>en tant que conducteurs</w:t>
      </w:r>
      <w:r w:rsidR="0069185E" w:rsidRPr="00D3264E">
        <w:rPr>
          <w:lang w:val="fr-FR"/>
        </w:rPr>
        <w:t xml:space="preserve"> </w:t>
      </w:r>
      <w:r w:rsidR="0069185E" w:rsidRPr="00D3264E">
        <w:rPr>
          <w:rStyle w:val="hps"/>
          <w:lang w:val="fr-FR"/>
        </w:rPr>
        <w:t>de moto</w:t>
      </w:r>
      <w:r w:rsidR="0069185E" w:rsidRPr="00D3264E">
        <w:rPr>
          <w:lang w:val="fr-FR"/>
        </w:rPr>
        <w:t xml:space="preserve"> </w:t>
      </w:r>
      <w:r w:rsidR="0069185E" w:rsidRPr="00D3264E">
        <w:rPr>
          <w:rStyle w:val="hps"/>
          <w:lang w:val="fr-FR"/>
        </w:rPr>
        <w:t>et de taxi</w:t>
      </w:r>
      <w:r w:rsidR="0069185E" w:rsidRPr="00D3264E">
        <w:rPr>
          <w:lang w:val="fr-FR"/>
        </w:rPr>
        <w:t xml:space="preserve">, </w:t>
      </w:r>
      <w:r w:rsidR="0069185E" w:rsidRPr="00D3264E">
        <w:rPr>
          <w:rStyle w:val="hps"/>
          <w:lang w:val="fr-FR"/>
        </w:rPr>
        <w:t>et ont été impliqués</w:t>
      </w:r>
      <w:r w:rsidR="0069185E" w:rsidRPr="00D3264E">
        <w:rPr>
          <w:lang w:val="fr-FR"/>
        </w:rPr>
        <w:t xml:space="preserve"> </w:t>
      </w:r>
      <w:r w:rsidR="0069185E" w:rsidRPr="00D3264E">
        <w:rPr>
          <w:rStyle w:val="hps"/>
          <w:lang w:val="fr-FR"/>
        </w:rPr>
        <w:t xml:space="preserve">dans de nombreux </w:t>
      </w:r>
      <w:r w:rsidRPr="00D3264E">
        <w:rPr>
          <w:rStyle w:val="hps"/>
          <w:lang w:val="fr-FR"/>
        </w:rPr>
        <w:t xml:space="preserve">vols à </w:t>
      </w:r>
      <w:r w:rsidR="0069185E" w:rsidRPr="00D3264E">
        <w:rPr>
          <w:rStyle w:val="hps"/>
          <w:lang w:val="fr-FR"/>
        </w:rPr>
        <w:t xml:space="preserve">main armée à l’encontre de </w:t>
      </w:r>
      <w:r w:rsidRPr="00D3264E">
        <w:rPr>
          <w:rStyle w:val="hps"/>
          <w:lang w:val="fr-FR"/>
        </w:rPr>
        <w:t xml:space="preserve">personnes circulant à bord de </w:t>
      </w:r>
      <w:r w:rsidR="0069185E" w:rsidRPr="00D3264E">
        <w:rPr>
          <w:rStyle w:val="hps"/>
          <w:lang w:val="fr-FR"/>
        </w:rPr>
        <w:t>transport</w:t>
      </w:r>
      <w:r w:rsidRPr="00D3264E">
        <w:rPr>
          <w:rStyle w:val="hps"/>
          <w:lang w:val="fr-FR"/>
        </w:rPr>
        <w:t>s</w:t>
      </w:r>
      <w:r w:rsidR="0069185E" w:rsidRPr="00D3264E">
        <w:rPr>
          <w:rStyle w:val="hps"/>
          <w:lang w:val="fr-FR"/>
        </w:rPr>
        <w:t xml:space="preserve"> public</w:t>
      </w:r>
      <w:r w:rsidRPr="00D3264E">
        <w:rPr>
          <w:rStyle w:val="hps"/>
          <w:lang w:val="fr-FR"/>
        </w:rPr>
        <w:t>s</w:t>
      </w:r>
      <w:r w:rsidR="00FF7086" w:rsidRPr="00D3264E">
        <w:rPr>
          <w:rStyle w:val="hps"/>
          <w:lang w:val="fr-FR"/>
        </w:rPr>
        <w:t xml:space="preserve"> et/</w:t>
      </w:r>
      <w:r w:rsidRPr="00D3264E">
        <w:rPr>
          <w:rStyle w:val="hps"/>
          <w:lang w:val="fr-FR"/>
        </w:rPr>
        <w:t xml:space="preserve">ou dans des </w:t>
      </w:r>
      <w:r w:rsidR="0069185E" w:rsidRPr="00D3264E">
        <w:rPr>
          <w:rStyle w:val="hps"/>
          <w:lang w:val="fr-FR"/>
        </w:rPr>
        <w:t>habitations</w:t>
      </w:r>
      <w:r w:rsidRPr="00D3264E">
        <w:rPr>
          <w:rStyle w:val="hps"/>
          <w:lang w:val="fr-FR"/>
        </w:rPr>
        <w:t>,</w:t>
      </w:r>
      <w:r w:rsidR="0069185E" w:rsidRPr="00D3264E">
        <w:rPr>
          <w:rStyle w:val="hps"/>
          <w:lang w:val="fr-FR"/>
        </w:rPr>
        <w:t xml:space="preserve"> au cours desquels des</w:t>
      </w:r>
      <w:r w:rsidR="0069185E" w:rsidRPr="00D3264E">
        <w:rPr>
          <w:lang w:val="fr-FR"/>
        </w:rPr>
        <w:t xml:space="preserve"> </w:t>
      </w:r>
      <w:r w:rsidR="0069185E" w:rsidRPr="00D3264E">
        <w:rPr>
          <w:rStyle w:val="hps"/>
          <w:lang w:val="fr-FR"/>
        </w:rPr>
        <w:t xml:space="preserve">viols ont été commis. </w:t>
      </w:r>
    </w:p>
    <w:p w:rsidR="0069185E" w:rsidRPr="00D3264E" w:rsidRDefault="0069185E" w:rsidP="00097245">
      <w:pPr>
        <w:pStyle w:val="ListParagraph"/>
        <w:tabs>
          <w:tab w:val="left" w:pos="-720"/>
        </w:tabs>
        <w:autoSpaceDE w:val="0"/>
        <w:autoSpaceDN w:val="0"/>
        <w:adjustRightInd w:val="0"/>
        <w:ind w:left="-37"/>
        <w:jc w:val="both"/>
        <w:rPr>
          <w:bCs/>
          <w:lang w:val="fr-FR"/>
        </w:rPr>
      </w:pPr>
    </w:p>
    <w:p w:rsidR="000134FE" w:rsidRPr="00D3264E" w:rsidRDefault="0055212B" w:rsidP="00097245">
      <w:pPr>
        <w:pStyle w:val="ListParagraph"/>
        <w:numPr>
          <w:ilvl w:val="0"/>
          <w:numId w:val="5"/>
        </w:numPr>
        <w:tabs>
          <w:tab w:val="left" w:pos="-720"/>
        </w:tabs>
        <w:autoSpaceDE w:val="0"/>
        <w:autoSpaceDN w:val="0"/>
        <w:adjustRightInd w:val="0"/>
        <w:ind w:left="-37"/>
        <w:jc w:val="both"/>
        <w:rPr>
          <w:bCs/>
          <w:lang w:val="fr-FR"/>
        </w:rPr>
      </w:pPr>
      <w:r w:rsidRPr="00D3264E">
        <w:rPr>
          <w:lang w:val="fr-FR"/>
        </w:rPr>
        <w:t>L</w:t>
      </w:r>
      <w:r w:rsidR="00F67F41" w:rsidRPr="00D3264E">
        <w:rPr>
          <w:lang w:val="fr-FR"/>
        </w:rPr>
        <w:t xml:space="preserve">es </w:t>
      </w:r>
      <w:r w:rsidR="00BD7E40" w:rsidRPr="00D3264E">
        <w:rPr>
          <w:lang w:val="fr-FR"/>
        </w:rPr>
        <w:t>viols</w:t>
      </w:r>
      <w:r w:rsidRPr="00D3264E">
        <w:rPr>
          <w:lang w:val="fr-FR"/>
        </w:rPr>
        <w:t xml:space="preserve"> documentés par la DDH au cours de la période en revue</w:t>
      </w:r>
      <w:r w:rsidR="00BD7E40" w:rsidRPr="00D3264E">
        <w:rPr>
          <w:lang w:val="fr-FR"/>
        </w:rPr>
        <w:t xml:space="preserve"> ont été principalement </w:t>
      </w:r>
      <w:r w:rsidR="00EA0C76" w:rsidRPr="00D3264E">
        <w:rPr>
          <w:lang w:val="fr-FR"/>
        </w:rPr>
        <w:t>perpétré</w:t>
      </w:r>
      <w:r w:rsidR="00BD7E40" w:rsidRPr="00D3264E">
        <w:rPr>
          <w:lang w:val="fr-FR"/>
        </w:rPr>
        <w:t xml:space="preserve">s </w:t>
      </w:r>
      <w:r w:rsidR="000F0D09" w:rsidRPr="00D3264E">
        <w:rPr>
          <w:lang w:val="fr-FR"/>
        </w:rPr>
        <w:t>au sein d</w:t>
      </w:r>
      <w:r w:rsidR="00BD7E40" w:rsidRPr="00D3264E">
        <w:rPr>
          <w:lang w:val="fr-FR"/>
        </w:rPr>
        <w:t xml:space="preserve">es ménages (chez la victime </w:t>
      </w:r>
      <w:r w:rsidR="000F0D09" w:rsidRPr="00D3264E">
        <w:rPr>
          <w:lang w:val="fr-FR"/>
        </w:rPr>
        <w:t>et/</w:t>
      </w:r>
      <w:r w:rsidR="00BD7E40" w:rsidRPr="00D3264E">
        <w:rPr>
          <w:lang w:val="fr-FR"/>
        </w:rPr>
        <w:t>ou l’auteur) et dans des endro</w:t>
      </w:r>
      <w:r w:rsidR="00345BEA" w:rsidRPr="00D3264E">
        <w:rPr>
          <w:lang w:val="fr-FR"/>
        </w:rPr>
        <w:t>its isolés</w:t>
      </w:r>
      <w:r w:rsidR="000F0D09" w:rsidRPr="00D3264E">
        <w:rPr>
          <w:lang w:val="fr-FR"/>
        </w:rPr>
        <w:t>,</w:t>
      </w:r>
      <w:r w:rsidR="00345BEA" w:rsidRPr="00D3264E">
        <w:rPr>
          <w:lang w:val="fr-FR"/>
        </w:rPr>
        <w:t xml:space="preserve"> comme </w:t>
      </w:r>
      <w:r w:rsidR="00E705AB" w:rsidRPr="00D3264E">
        <w:rPr>
          <w:lang w:val="fr-FR"/>
        </w:rPr>
        <w:t>d</w:t>
      </w:r>
      <w:r w:rsidR="00345BEA" w:rsidRPr="00D3264E">
        <w:rPr>
          <w:lang w:val="fr-FR"/>
        </w:rPr>
        <w:t>es champs, la brousse</w:t>
      </w:r>
      <w:r w:rsidR="00BD7E40" w:rsidRPr="00D3264E">
        <w:rPr>
          <w:lang w:val="fr-FR"/>
        </w:rPr>
        <w:t xml:space="preserve"> ou </w:t>
      </w:r>
      <w:r w:rsidR="000F0D09" w:rsidRPr="00D3264E">
        <w:rPr>
          <w:lang w:val="fr-FR"/>
        </w:rPr>
        <w:t>d</w:t>
      </w:r>
      <w:r w:rsidR="00BD7E40" w:rsidRPr="00D3264E">
        <w:rPr>
          <w:lang w:val="fr-FR"/>
        </w:rPr>
        <w:t xml:space="preserve">es maisons inachevées. </w:t>
      </w:r>
      <w:r w:rsidR="00E705AB" w:rsidRPr="00D3264E">
        <w:rPr>
          <w:lang w:val="fr-FR"/>
        </w:rPr>
        <w:t>C</w:t>
      </w:r>
      <w:r w:rsidR="00BD7E40" w:rsidRPr="00D3264E">
        <w:rPr>
          <w:lang w:val="fr-FR"/>
        </w:rPr>
        <w:t>es actes de vio</w:t>
      </w:r>
      <w:r w:rsidR="00345BEA" w:rsidRPr="00D3264E">
        <w:rPr>
          <w:lang w:val="fr-FR"/>
        </w:rPr>
        <w:t xml:space="preserve">lence ont </w:t>
      </w:r>
      <w:r w:rsidR="00E705AB" w:rsidRPr="00D3264E">
        <w:rPr>
          <w:lang w:val="fr-FR"/>
        </w:rPr>
        <w:t xml:space="preserve">parfois </w:t>
      </w:r>
      <w:r w:rsidR="00345BEA" w:rsidRPr="00D3264E">
        <w:rPr>
          <w:lang w:val="fr-FR"/>
        </w:rPr>
        <w:t>été perpétrés lors de</w:t>
      </w:r>
      <w:r w:rsidR="00BD7E40" w:rsidRPr="00D3264E">
        <w:rPr>
          <w:lang w:val="fr-FR"/>
        </w:rPr>
        <w:t xml:space="preserve"> braquages et de vol</w:t>
      </w:r>
      <w:r w:rsidR="00EA0C76" w:rsidRPr="00D3264E">
        <w:rPr>
          <w:lang w:val="fr-FR"/>
        </w:rPr>
        <w:t>s</w:t>
      </w:r>
      <w:r w:rsidR="00BD7E40" w:rsidRPr="00D3264E">
        <w:rPr>
          <w:lang w:val="fr-FR"/>
        </w:rPr>
        <w:t xml:space="preserve">. </w:t>
      </w:r>
    </w:p>
    <w:p w:rsidR="000134FE" w:rsidRPr="00D3264E" w:rsidRDefault="000134FE" w:rsidP="00097245">
      <w:pPr>
        <w:pStyle w:val="ListParagraph"/>
        <w:tabs>
          <w:tab w:val="left" w:pos="-720"/>
        </w:tabs>
        <w:autoSpaceDE w:val="0"/>
        <w:autoSpaceDN w:val="0"/>
        <w:adjustRightInd w:val="0"/>
        <w:ind w:left="-37"/>
        <w:jc w:val="both"/>
        <w:rPr>
          <w:bCs/>
          <w:lang w:val="fr-FR"/>
        </w:rPr>
      </w:pPr>
    </w:p>
    <w:p w:rsidR="00772343" w:rsidRPr="00D3264E" w:rsidRDefault="00345BEA" w:rsidP="00097245">
      <w:pPr>
        <w:pStyle w:val="ListParagraph"/>
        <w:numPr>
          <w:ilvl w:val="0"/>
          <w:numId w:val="5"/>
        </w:numPr>
        <w:tabs>
          <w:tab w:val="left" w:pos="-720"/>
        </w:tabs>
        <w:autoSpaceDE w:val="0"/>
        <w:autoSpaceDN w:val="0"/>
        <w:adjustRightInd w:val="0"/>
        <w:ind w:left="-37"/>
        <w:jc w:val="both"/>
        <w:rPr>
          <w:bCs/>
          <w:lang w:val="fr-FR"/>
        </w:rPr>
      </w:pPr>
      <w:r w:rsidRPr="00D3264E">
        <w:rPr>
          <w:lang w:val="fr-FR"/>
        </w:rPr>
        <w:t xml:space="preserve">Dans </w:t>
      </w:r>
      <w:r w:rsidR="000F0D09" w:rsidRPr="00D3264E">
        <w:rPr>
          <w:lang w:val="fr-FR"/>
        </w:rPr>
        <w:t xml:space="preserve">certains </w:t>
      </w:r>
      <w:r w:rsidRPr="00D3264E">
        <w:rPr>
          <w:lang w:val="fr-FR"/>
        </w:rPr>
        <w:t>cas,</w:t>
      </w:r>
      <w:r w:rsidR="005F07E2" w:rsidRPr="00D3264E">
        <w:rPr>
          <w:lang w:val="fr-FR"/>
        </w:rPr>
        <w:t xml:space="preserve"> le viol a été suivi du meurtre de la victime. Au cours de la période considérée par le rapp</w:t>
      </w:r>
      <w:r w:rsidR="0057046F" w:rsidRPr="00D3264E">
        <w:rPr>
          <w:lang w:val="fr-FR"/>
        </w:rPr>
        <w:t>ort, la DDH</w:t>
      </w:r>
      <w:r w:rsidR="00E50B3D" w:rsidRPr="00D3264E">
        <w:rPr>
          <w:lang w:val="fr-FR"/>
        </w:rPr>
        <w:t xml:space="preserve"> a ainsi documenté </w:t>
      </w:r>
      <w:r w:rsidR="000134FE" w:rsidRPr="00D3264E">
        <w:rPr>
          <w:lang w:val="fr-FR"/>
        </w:rPr>
        <w:t>l</w:t>
      </w:r>
      <w:r w:rsidR="00E50B3D" w:rsidRPr="00D3264E">
        <w:rPr>
          <w:lang w:val="fr-FR"/>
        </w:rPr>
        <w:t xml:space="preserve">es </w:t>
      </w:r>
      <w:r w:rsidR="00D37379" w:rsidRPr="00D3264E">
        <w:rPr>
          <w:lang w:val="fr-FR"/>
        </w:rPr>
        <w:t xml:space="preserve">cas de </w:t>
      </w:r>
      <w:r w:rsidR="00DF760B" w:rsidRPr="00D3264E">
        <w:rPr>
          <w:lang w:val="fr-FR"/>
        </w:rPr>
        <w:t xml:space="preserve">14 </w:t>
      </w:r>
      <w:r w:rsidR="006D11FA" w:rsidRPr="00D3264E">
        <w:rPr>
          <w:lang w:val="fr-FR"/>
        </w:rPr>
        <w:t>personnes</w:t>
      </w:r>
      <w:r w:rsidR="000134FE" w:rsidRPr="00D3264E">
        <w:rPr>
          <w:lang w:val="fr-FR"/>
        </w:rPr>
        <w:t xml:space="preserve">, dont </w:t>
      </w:r>
      <w:r w:rsidR="00DF760B" w:rsidRPr="00D3264E">
        <w:rPr>
          <w:lang w:val="fr-FR"/>
        </w:rPr>
        <w:t xml:space="preserve">neuf </w:t>
      </w:r>
      <w:r w:rsidR="00642891" w:rsidRPr="00D3264E">
        <w:rPr>
          <w:lang w:val="fr-FR"/>
        </w:rPr>
        <w:t>enfants</w:t>
      </w:r>
      <w:r w:rsidR="000134FE" w:rsidRPr="00D3264E">
        <w:rPr>
          <w:lang w:val="fr-FR"/>
        </w:rPr>
        <w:t xml:space="preserve">, </w:t>
      </w:r>
      <w:r w:rsidR="0075653F" w:rsidRPr="00D3264E">
        <w:rPr>
          <w:lang w:val="fr-FR"/>
        </w:rPr>
        <w:t xml:space="preserve">qui ont été </w:t>
      </w:r>
      <w:r w:rsidR="000134FE" w:rsidRPr="00D3264E">
        <w:rPr>
          <w:lang w:val="fr-FR"/>
        </w:rPr>
        <w:t>tuées</w:t>
      </w:r>
      <w:r w:rsidR="0075653F" w:rsidRPr="00D3264E">
        <w:rPr>
          <w:lang w:val="fr-FR"/>
        </w:rPr>
        <w:t xml:space="preserve"> après avoir été violées</w:t>
      </w:r>
      <w:r w:rsidR="000134FE" w:rsidRPr="00D3264E">
        <w:rPr>
          <w:lang w:val="fr-FR"/>
        </w:rPr>
        <w:t xml:space="preserve">. </w:t>
      </w:r>
      <w:r w:rsidR="00772343" w:rsidRPr="00D3264E">
        <w:rPr>
          <w:lang w:val="fr-FR"/>
        </w:rPr>
        <w:t>A titre d’exemple,</w:t>
      </w:r>
      <w:r w:rsidR="005F07E2" w:rsidRPr="00D3264E">
        <w:rPr>
          <w:lang w:val="fr-FR"/>
        </w:rPr>
        <w:t xml:space="preserve"> </w:t>
      </w:r>
      <w:r w:rsidR="00772343" w:rsidRPr="00D3264E">
        <w:rPr>
          <w:bCs/>
          <w:lang w:val="fr-FR"/>
        </w:rPr>
        <w:t xml:space="preserve">le 20 septembre 2014, un homme non identifié </w:t>
      </w:r>
      <w:r w:rsidR="00B43DF2" w:rsidRPr="00D3264E">
        <w:rPr>
          <w:bCs/>
          <w:lang w:val="fr-FR"/>
        </w:rPr>
        <w:t xml:space="preserve">a </w:t>
      </w:r>
      <w:r w:rsidR="000134FE" w:rsidRPr="00D3264E">
        <w:rPr>
          <w:bCs/>
          <w:lang w:val="fr-FR"/>
        </w:rPr>
        <w:t>violé</w:t>
      </w:r>
      <w:r w:rsidR="007C0983" w:rsidRPr="00D3264E">
        <w:rPr>
          <w:bCs/>
          <w:lang w:val="fr-FR"/>
        </w:rPr>
        <w:t xml:space="preserve">, </w:t>
      </w:r>
      <w:r w:rsidR="000134FE" w:rsidRPr="00D3264E">
        <w:rPr>
          <w:bCs/>
          <w:lang w:val="fr-FR"/>
        </w:rPr>
        <w:t xml:space="preserve">puis tué </w:t>
      </w:r>
      <w:r w:rsidR="00772343" w:rsidRPr="00D3264E">
        <w:rPr>
          <w:bCs/>
          <w:lang w:val="fr-FR"/>
        </w:rPr>
        <w:t xml:space="preserve">une femme de 24 ans à Hiré (43 km de Divo). </w:t>
      </w:r>
      <w:r w:rsidR="000134FE" w:rsidRPr="00D3264E">
        <w:rPr>
          <w:bCs/>
          <w:lang w:val="fr-FR"/>
        </w:rPr>
        <w:t xml:space="preserve">Il </w:t>
      </w:r>
      <w:r w:rsidR="00320D11" w:rsidRPr="00D3264E">
        <w:rPr>
          <w:bCs/>
          <w:lang w:val="fr-FR"/>
        </w:rPr>
        <w:t>s</w:t>
      </w:r>
      <w:r w:rsidR="0075653F" w:rsidRPr="00D3264E">
        <w:rPr>
          <w:bCs/>
          <w:lang w:val="fr-FR"/>
        </w:rPr>
        <w:t>’est</w:t>
      </w:r>
      <w:r w:rsidR="00320D11" w:rsidRPr="00D3264E">
        <w:rPr>
          <w:bCs/>
          <w:lang w:val="fr-FR"/>
        </w:rPr>
        <w:t xml:space="preserve"> introduit par force dans </w:t>
      </w:r>
      <w:r w:rsidR="000134FE" w:rsidRPr="00D3264E">
        <w:rPr>
          <w:bCs/>
          <w:lang w:val="fr-FR"/>
        </w:rPr>
        <w:t>s</w:t>
      </w:r>
      <w:r w:rsidR="00175690" w:rsidRPr="00D3264E">
        <w:rPr>
          <w:bCs/>
          <w:lang w:val="fr-FR"/>
        </w:rPr>
        <w:t>a maison</w:t>
      </w:r>
      <w:r w:rsidR="000134FE" w:rsidRPr="00D3264E">
        <w:rPr>
          <w:bCs/>
          <w:lang w:val="fr-FR"/>
        </w:rPr>
        <w:t xml:space="preserve">, </w:t>
      </w:r>
      <w:r w:rsidR="00320D11" w:rsidRPr="00D3264E">
        <w:rPr>
          <w:bCs/>
          <w:lang w:val="fr-FR"/>
        </w:rPr>
        <w:t xml:space="preserve">alors qu’elle s’y trouvait </w:t>
      </w:r>
      <w:r w:rsidR="00772343" w:rsidRPr="00D3264E">
        <w:rPr>
          <w:bCs/>
          <w:lang w:val="fr-FR"/>
        </w:rPr>
        <w:t xml:space="preserve">avec ses </w:t>
      </w:r>
      <w:r w:rsidR="00320D11" w:rsidRPr="00D3264E">
        <w:rPr>
          <w:bCs/>
          <w:lang w:val="fr-FR"/>
        </w:rPr>
        <w:t xml:space="preserve">deux enfants âgés de 2 et 4 ans. </w:t>
      </w:r>
      <w:r w:rsidR="000134FE" w:rsidRPr="00D3264E">
        <w:rPr>
          <w:bCs/>
          <w:lang w:val="fr-FR"/>
        </w:rPr>
        <w:t>Armé, l</w:t>
      </w:r>
      <w:r w:rsidR="00320D11" w:rsidRPr="00D3264E">
        <w:rPr>
          <w:bCs/>
          <w:lang w:val="fr-FR"/>
        </w:rPr>
        <w:t>’homme a maî</w:t>
      </w:r>
      <w:r w:rsidR="00772343" w:rsidRPr="00D3264E">
        <w:rPr>
          <w:bCs/>
          <w:lang w:val="fr-FR"/>
        </w:rPr>
        <w:t xml:space="preserve">trisé </w:t>
      </w:r>
      <w:r w:rsidR="00320D11" w:rsidRPr="00D3264E">
        <w:rPr>
          <w:bCs/>
          <w:lang w:val="fr-FR"/>
        </w:rPr>
        <w:t xml:space="preserve">la femme </w:t>
      </w:r>
      <w:r w:rsidR="00772343" w:rsidRPr="00D3264E">
        <w:rPr>
          <w:bCs/>
          <w:lang w:val="fr-FR"/>
        </w:rPr>
        <w:t xml:space="preserve">et </w:t>
      </w:r>
      <w:r w:rsidR="0075653F" w:rsidRPr="00D3264E">
        <w:rPr>
          <w:bCs/>
          <w:lang w:val="fr-FR"/>
        </w:rPr>
        <w:t xml:space="preserve">l’a </w:t>
      </w:r>
      <w:r w:rsidR="00772343" w:rsidRPr="00D3264E">
        <w:rPr>
          <w:bCs/>
          <w:lang w:val="fr-FR"/>
        </w:rPr>
        <w:t>violé</w:t>
      </w:r>
      <w:r w:rsidR="00320D11" w:rsidRPr="00D3264E">
        <w:rPr>
          <w:bCs/>
          <w:lang w:val="fr-FR"/>
        </w:rPr>
        <w:t>e</w:t>
      </w:r>
      <w:r w:rsidR="00772343" w:rsidRPr="00D3264E">
        <w:rPr>
          <w:bCs/>
          <w:lang w:val="fr-FR"/>
        </w:rPr>
        <w:t xml:space="preserve"> en présence de ses enfants. </w:t>
      </w:r>
      <w:r w:rsidR="000134FE" w:rsidRPr="00D3264E">
        <w:rPr>
          <w:bCs/>
          <w:lang w:val="fr-FR"/>
        </w:rPr>
        <w:t>I</w:t>
      </w:r>
      <w:r w:rsidR="00772343" w:rsidRPr="00D3264E">
        <w:rPr>
          <w:bCs/>
          <w:lang w:val="fr-FR"/>
        </w:rPr>
        <w:t xml:space="preserve">l </w:t>
      </w:r>
      <w:r w:rsidR="0075653F" w:rsidRPr="00D3264E">
        <w:rPr>
          <w:bCs/>
          <w:lang w:val="fr-FR"/>
        </w:rPr>
        <w:t xml:space="preserve">l’a </w:t>
      </w:r>
      <w:r w:rsidR="000134FE" w:rsidRPr="00D3264E">
        <w:rPr>
          <w:bCs/>
          <w:lang w:val="fr-FR"/>
        </w:rPr>
        <w:t>ensuite tuée</w:t>
      </w:r>
      <w:r w:rsidR="00772343" w:rsidRPr="00D3264E">
        <w:rPr>
          <w:bCs/>
          <w:lang w:val="fr-FR"/>
        </w:rPr>
        <w:t xml:space="preserve"> d’une balle dans la tête avant de s’enfuir.</w:t>
      </w:r>
      <w:r w:rsidR="009B0282" w:rsidRPr="00D3264E">
        <w:rPr>
          <w:bCs/>
          <w:lang w:val="fr-FR"/>
        </w:rPr>
        <w:t xml:space="preserve"> Malgré des enquêtes ouvertes au niveau de la gendarmerie d’Hiré, l’auteur n’aurait toujours pas été identifié.</w:t>
      </w:r>
    </w:p>
    <w:p w:rsidR="00772343" w:rsidRPr="00D3264E" w:rsidRDefault="00772343" w:rsidP="00097245">
      <w:pPr>
        <w:tabs>
          <w:tab w:val="left" w:pos="-720"/>
        </w:tabs>
        <w:autoSpaceDE w:val="0"/>
        <w:autoSpaceDN w:val="0"/>
        <w:adjustRightInd w:val="0"/>
        <w:jc w:val="both"/>
        <w:rPr>
          <w:bCs/>
          <w:lang w:val="fr-FR"/>
        </w:rPr>
      </w:pPr>
    </w:p>
    <w:p w:rsidR="005F07E2" w:rsidRPr="00D3264E" w:rsidRDefault="005F07E2" w:rsidP="00097245">
      <w:pPr>
        <w:pStyle w:val="ListParagraph"/>
        <w:numPr>
          <w:ilvl w:val="0"/>
          <w:numId w:val="5"/>
        </w:numPr>
        <w:tabs>
          <w:tab w:val="left" w:pos="-720"/>
        </w:tabs>
        <w:autoSpaceDE w:val="0"/>
        <w:autoSpaceDN w:val="0"/>
        <w:adjustRightInd w:val="0"/>
        <w:ind w:left="-37"/>
        <w:jc w:val="both"/>
        <w:rPr>
          <w:bCs/>
          <w:lang w:val="fr-FR"/>
        </w:rPr>
      </w:pPr>
      <w:r w:rsidRPr="00D3264E">
        <w:rPr>
          <w:lang w:val="fr-FR"/>
        </w:rPr>
        <w:t>La DDH est par ailleurs préoccupée par l</w:t>
      </w:r>
      <w:r w:rsidR="0057046F" w:rsidRPr="00D3264E">
        <w:rPr>
          <w:lang w:val="fr-FR"/>
        </w:rPr>
        <w:t>e nombre de viols collectifs (</w:t>
      </w:r>
      <w:r w:rsidR="00E50B3D" w:rsidRPr="00D3264E">
        <w:rPr>
          <w:lang w:val="fr-FR"/>
        </w:rPr>
        <w:t>1</w:t>
      </w:r>
      <w:r w:rsidR="00DF760B" w:rsidRPr="00D3264E">
        <w:rPr>
          <w:lang w:val="fr-FR"/>
        </w:rPr>
        <w:t>65 c</w:t>
      </w:r>
      <w:r w:rsidRPr="00D3264E">
        <w:rPr>
          <w:lang w:val="fr-FR"/>
        </w:rPr>
        <w:t>as</w:t>
      </w:r>
      <w:r w:rsidR="00E50B3D" w:rsidRPr="00D3264E">
        <w:rPr>
          <w:lang w:val="fr-FR"/>
        </w:rPr>
        <w:t xml:space="preserve"> à l’encontre de 23</w:t>
      </w:r>
      <w:r w:rsidR="00143785" w:rsidRPr="00D3264E">
        <w:rPr>
          <w:lang w:val="fr-FR"/>
        </w:rPr>
        <w:t>9</w:t>
      </w:r>
      <w:r w:rsidR="00E50B3D" w:rsidRPr="00D3264E">
        <w:rPr>
          <w:lang w:val="fr-FR"/>
        </w:rPr>
        <w:t xml:space="preserve"> victimes, dont 1</w:t>
      </w:r>
      <w:r w:rsidR="00143785" w:rsidRPr="00D3264E">
        <w:rPr>
          <w:lang w:val="fr-FR"/>
        </w:rPr>
        <w:t>10</w:t>
      </w:r>
      <w:r w:rsidR="00E50B3D" w:rsidRPr="00D3264E">
        <w:rPr>
          <w:lang w:val="fr-FR"/>
        </w:rPr>
        <w:t xml:space="preserve"> </w:t>
      </w:r>
      <w:r w:rsidR="00642891" w:rsidRPr="00D3264E">
        <w:rPr>
          <w:lang w:val="fr-FR"/>
        </w:rPr>
        <w:t>enfants</w:t>
      </w:r>
      <w:r w:rsidRPr="00D3264E">
        <w:rPr>
          <w:lang w:val="fr-FR"/>
        </w:rPr>
        <w:t xml:space="preserve">) qu’elle a documentés. </w:t>
      </w:r>
      <w:r w:rsidR="00772343" w:rsidRPr="00D3264E">
        <w:rPr>
          <w:lang w:val="fr-FR"/>
        </w:rPr>
        <w:t xml:space="preserve">A titre d’exemple, </w:t>
      </w:r>
      <w:r w:rsidR="00C20A1C" w:rsidRPr="00D3264E">
        <w:rPr>
          <w:bCs/>
          <w:lang w:val="fr-FR"/>
        </w:rPr>
        <w:t>à</w:t>
      </w:r>
      <w:r w:rsidR="00772343" w:rsidRPr="00D3264E">
        <w:rPr>
          <w:bCs/>
          <w:lang w:val="fr-FR"/>
        </w:rPr>
        <w:t xml:space="preserve"> Bouaké, une fille </w:t>
      </w:r>
      <w:r w:rsidR="00320D11" w:rsidRPr="00D3264E">
        <w:rPr>
          <w:bCs/>
          <w:lang w:val="fr-FR"/>
        </w:rPr>
        <w:t xml:space="preserve">âgée de 15 ans a été séquestrée, </w:t>
      </w:r>
      <w:r w:rsidR="00175690" w:rsidRPr="00D3264E">
        <w:rPr>
          <w:bCs/>
          <w:lang w:val="fr-FR"/>
        </w:rPr>
        <w:t>puis violée par cinq jeunes hommes</w:t>
      </w:r>
      <w:r w:rsidR="00772343" w:rsidRPr="00D3264E">
        <w:rPr>
          <w:bCs/>
          <w:lang w:val="fr-FR"/>
        </w:rPr>
        <w:t xml:space="preserve"> de son quartier, du 19 au 21 novembre 2013. La victime a rapporté que «</w:t>
      </w:r>
      <w:r w:rsidR="0062495A" w:rsidRPr="00D3264E">
        <w:rPr>
          <w:bCs/>
          <w:lang w:val="fr-FR"/>
        </w:rPr>
        <w:t xml:space="preserve"> </w:t>
      </w:r>
      <w:r w:rsidR="00772343" w:rsidRPr="00D3264E">
        <w:rPr>
          <w:bCs/>
          <w:i/>
          <w:lang w:val="fr-FR"/>
        </w:rPr>
        <w:t>le 19 novembre 2013, ma «tantie» m’a envoyée récupérer ses affaires chez son tailleur (..). En cours de route, j’ai été abordée par un jeune du quartier qui s’est approché de moi et m’a arraché mon bracelet (...). Cela faisait la deuxième fois qu’il confisquait mes bracelets (...). Il m’a demandé de le suivre chez lui pour récupérer mon bracelet (...). En chem</w:t>
      </w:r>
      <w:r w:rsidR="008D67A8" w:rsidRPr="00D3264E">
        <w:rPr>
          <w:bCs/>
          <w:i/>
          <w:lang w:val="fr-FR"/>
        </w:rPr>
        <w:t>in vers sa prétendue maison, on a été rattrapé</w:t>
      </w:r>
      <w:r w:rsidR="00C20A1C" w:rsidRPr="00D3264E">
        <w:rPr>
          <w:bCs/>
          <w:i/>
          <w:lang w:val="fr-FR"/>
        </w:rPr>
        <w:t xml:space="preserve"> par un autre jeune, </w:t>
      </w:r>
      <w:r w:rsidR="00772343" w:rsidRPr="00D3264E">
        <w:rPr>
          <w:bCs/>
          <w:i/>
          <w:lang w:val="fr-FR"/>
        </w:rPr>
        <w:t>que je ne connaissais pas</w:t>
      </w:r>
      <w:r w:rsidR="00C20A1C" w:rsidRPr="00D3264E">
        <w:rPr>
          <w:bCs/>
          <w:i/>
          <w:lang w:val="fr-FR"/>
        </w:rPr>
        <w:t>,</w:t>
      </w:r>
      <w:r w:rsidR="00772343" w:rsidRPr="00D3264E">
        <w:rPr>
          <w:bCs/>
          <w:i/>
          <w:lang w:val="fr-FR"/>
        </w:rPr>
        <w:t xml:space="preserve"> qui a sorti un couteau et a menacé de me tuer si je criais (...). Je les ai donc suivis jusqu’à un domicile où se trouvaient déjà deux autres jeunes gens que je ne connaissais pas (...). Ils m’ont obligée à rentrer dans la maison et à me déshabiller (…). Pendant deux jours, les quatre jeunes gens m’ont séquestrée et violée à tour de rôle (...). Ils ne me donnaient ni de l’eau ni à manger. Le troisième jour, </w:t>
      </w:r>
      <w:r w:rsidR="00320D11" w:rsidRPr="00D3264E">
        <w:rPr>
          <w:bCs/>
          <w:i/>
          <w:lang w:val="fr-FR"/>
        </w:rPr>
        <w:t>l’</w:t>
      </w:r>
      <w:r w:rsidR="00772343" w:rsidRPr="00D3264E">
        <w:rPr>
          <w:bCs/>
          <w:i/>
          <w:lang w:val="fr-FR"/>
        </w:rPr>
        <w:t>un de leurs amis</w:t>
      </w:r>
      <w:r w:rsidR="00320D11" w:rsidRPr="00D3264E">
        <w:rPr>
          <w:bCs/>
          <w:i/>
          <w:lang w:val="fr-FR"/>
        </w:rPr>
        <w:t>,</w:t>
      </w:r>
      <w:r w:rsidR="00772343" w:rsidRPr="00D3264E">
        <w:rPr>
          <w:bCs/>
          <w:i/>
          <w:lang w:val="fr-FR"/>
        </w:rPr>
        <w:t xml:space="preserve"> qui était venu leur rendre visite, s’est ajouté aux autres et m'a violée à son tour</w:t>
      </w:r>
      <w:r w:rsidR="0062495A" w:rsidRPr="00D3264E">
        <w:rPr>
          <w:bCs/>
          <w:i/>
          <w:lang w:val="fr-FR"/>
        </w:rPr>
        <w:t xml:space="preserve"> </w:t>
      </w:r>
      <w:r w:rsidR="00772343" w:rsidRPr="00D3264E">
        <w:rPr>
          <w:bCs/>
          <w:lang w:val="fr-FR"/>
        </w:rPr>
        <w:t xml:space="preserve">». </w:t>
      </w:r>
      <w:r w:rsidR="009B0282" w:rsidRPr="00D3264E">
        <w:rPr>
          <w:bCs/>
          <w:lang w:val="fr-FR"/>
        </w:rPr>
        <w:t xml:space="preserve">Trois des auteurs présumés de ces viols auraient été arrêtés, puis relâchés par manque de preuve. </w:t>
      </w:r>
      <w:r w:rsidRPr="00D3264E">
        <w:rPr>
          <w:lang w:val="fr-FR"/>
        </w:rPr>
        <w:t>Des viols à répétition</w:t>
      </w:r>
      <w:r w:rsidR="00E50B3D" w:rsidRPr="00D3264E">
        <w:rPr>
          <w:lang w:val="fr-FR"/>
        </w:rPr>
        <w:t xml:space="preserve"> à l’encontre de </w:t>
      </w:r>
      <w:r w:rsidR="00143785" w:rsidRPr="00D3264E">
        <w:rPr>
          <w:lang w:val="fr-FR"/>
        </w:rPr>
        <w:t>70</w:t>
      </w:r>
      <w:r w:rsidR="00E50B3D" w:rsidRPr="00D3264E">
        <w:rPr>
          <w:lang w:val="fr-FR"/>
        </w:rPr>
        <w:t xml:space="preserve"> victimes, dont </w:t>
      </w:r>
      <w:r w:rsidR="00143785" w:rsidRPr="00D3264E">
        <w:rPr>
          <w:lang w:val="fr-FR"/>
        </w:rPr>
        <w:t>64</w:t>
      </w:r>
      <w:r w:rsidR="00E50B3D" w:rsidRPr="00D3264E">
        <w:rPr>
          <w:lang w:val="fr-FR"/>
        </w:rPr>
        <w:t xml:space="preserve"> </w:t>
      </w:r>
      <w:r w:rsidR="00642891" w:rsidRPr="00D3264E">
        <w:rPr>
          <w:lang w:val="fr-FR"/>
        </w:rPr>
        <w:t>enfants</w:t>
      </w:r>
      <w:r w:rsidRPr="00D3264E">
        <w:rPr>
          <w:lang w:val="fr-FR"/>
        </w:rPr>
        <w:t xml:space="preserve">, ont été aussi documentés par la DDH. Ces viols ont eu lieu principalement en </w:t>
      </w:r>
      <w:r w:rsidRPr="00D3264E">
        <w:rPr>
          <w:lang w:val="fr-FR"/>
        </w:rPr>
        <w:lastRenderedPageBreak/>
        <w:t>milieu scolaire, sur la route des champs</w:t>
      </w:r>
      <w:r w:rsidR="00E705AB" w:rsidRPr="00D3264E">
        <w:rPr>
          <w:lang w:val="fr-FR"/>
        </w:rPr>
        <w:t>,</w:t>
      </w:r>
      <w:r w:rsidRPr="00D3264E">
        <w:rPr>
          <w:lang w:val="fr-FR"/>
        </w:rPr>
        <w:t xml:space="preserve"> et souvent nuitamment</w:t>
      </w:r>
      <w:r w:rsidR="000134FE" w:rsidRPr="00D3264E">
        <w:rPr>
          <w:lang w:val="fr-FR"/>
        </w:rPr>
        <w:t>,</w:t>
      </w:r>
      <w:r w:rsidRPr="00D3264E">
        <w:rPr>
          <w:lang w:val="fr-FR"/>
        </w:rPr>
        <w:t xml:space="preserve"> dans des endroits isolés en milieu urbain. </w:t>
      </w:r>
    </w:p>
    <w:p w:rsidR="00131D80" w:rsidRPr="00D3264E" w:rsidRDefault="00131D80" w:rsidP="00097245">
      <w:pPr>
        <w:pStyle w:val="ListParagraph"/>
        <w:tabs>
          <w:tab w:val="left" w:pos="-720"/>
        </w:tabs>
        <w:autoSpaceDE w:val="0"/>
        <w:autoSpaceDN w:val="0"/>
        <w:adjustRightInd w:val="0"/>
        <w:ind w:left="-37"/>
        <w:jc w:val="both"/>
        <w:rPr>
          <w:bCs/>
          <w:lang w:val="fr-FR"/>
        </w:rPr>
      </w:pPr>
    </w:p>
    <w:p w:rsidR="00E528EC" w:rsidRPr="00D3264E" w:rsidRDefault="00131D80" w:rsidP="00097245">
      <w:pPr>
        <w:pStyle w:val="ListParagraph"/>
        <w:numPr>
          <w:ilvl w:val="0"/>
          <w:numId w:val="5"/>
        </w:numPr>
        <w:tabs>
          <w:tab w:val="left" w:pos="-720"/>
        </w:tabs>
        <w:autoSpaceDE w:val="0"/>
        <w:autoSpaceDN w:val="0"/>
        <w:adjustRightInd w:val="0"/>
        <w:ind w:left="-37"/>
        <w:jc w:val="both"/>
        <w:rPr>
          <w:lang w:val="fr-FR"/>
        </w:rPr>
      </w:pPr>
      <w:r w:rsidRPr="00D3264E">
        <w:rPr>
          <w:bCs/>
          <w:lang w:val="fr-FR"/>
        </w:rPr>
        <w:t xml:space="preserve"> </w:t>
      </w:r>
      <w:r w:rsidR="006D11FA" w:rsidRPr="00D3264E">
        <w:rPr>
          <w:lang w:val="fr-FR"/>
        </w:rPr>
        <w:t>Soixante-six</w:t>
      </w:r>
      <w:r w:rsidR="00DF760B" w:rsidRPr="00D3264E">
        <w:rPr>
          <w:lang w:val="fr-FR"/>
        </w:rPr>
        <w:t xml:space="preserve"> </w:t>
      </w:r>
      <w:r w:rsidR="00BF2563" w:rsidRPr="00D3264E">
        <w:rPr>
          <w:lang w:val="fr-FR"/>
        </w:rPr>
        <w:t>pour cent des victimes enregistrées par la DDH au cours de la période couverte par ce rapport</w:t>
      </w:r>
      <w:r w:rsidR="00205EB8" w:rsidRPr="00D3264E">
        <w:rPr>
          <w:lang w:val="fr-FR"/>
        </w:rPr>
        <w:t xml:space="preserve">, </w:t>
      </w:r>
      <w:r w:rsidR="00BF2563" w:rsidRPr="00D3264E">
        <w:rPr>
          <w:lang w:val="fr-FR"/>
        </w:rPr>
        <w:t xml:space="preserve">à </w:t>
      </w:r>
      <w:r w:rsidR="0055212B" w:rsidRPr="00D3264E">
        <w:rPr>
          <w:lang w:val="fr-FR"/>
        </w:rPr>
        <w:t xml:space="preserve">savoir </w:t>
      </w:r>
      <w:r w:rsidR="00DF760B" w:rsidRPr="00D3264E">
        <w:rPr>
          <w:lang w:val="fr-FR"/>
        </w:rPr>
        <w:t>761</w:t>
      </w:r>
      <w:r w:rsidR="006D11FA" w:rsidRPr="00D3264E">
        <w:rPr>
          <w:lang w:val="fr-FR"/>
        </w:rPr>
        <w:t>,</w:t>
      </w:r>
      <w:r w:rsidR="00EA0C76" w:rsidRPr="00D3264E">
        <w:rPr>
          <w:lang w:val="fr-FR"/>
        </w:rPr>
        <w:t xml:space="preserve"> </w:t>
      </w:r>
      <w:r w:rsidR="00BF2563" w:rsidRPr="00D3264E">
        <w:rPr>
          <w:lang w:val="fr-FR"/>
        </w:rPr>
        <w:t>sont</w:t>
      </w:r>
      <w:r w:rsidR="000E1E7F" w:rsidRPr="00D3264E">
        <w:rPr>
          <w:lang w:val="fr-FR"/>
        </w:rPr>
        <w:t xml:space="preserve"> des enfants</w:t>
      </w:r>
      <w:r w:rsidR="00D538A6" w:rsidRPr="00D3264E">
        <w:rPr>
          <w:lang w:val="fr-FR"/>
        </w:rPr>
        <w:t xml:space="preserve"> </w:t>
      </w:r>
      <w:r w:rsidR="00EA0C76" w:rsidRPr="00D3264E">
        <w:rPr>
          <w:lang w:val="fr-FR"/>
        </w:rPr>
        <w:t xml:space="preserve">âgés </w:t>
      </w:r>
      <w:r w:rsidR="000E1E7F" w:rsidRPr="00D3264E">
        <w:rPr>
          <w:lang w:val="fr-FR"/>
        </w:rPr>
        <w:t>entre</w:t>
      </w:r>
      <w:r w:rsidR="00EA0C76" w:rsidRPr="00D3264E">
        <w:rPr>
          <w:lang w:val="fr-FR"/>
        </w:rPr>
        <w:t xml:space="preserve"> 2 </w:t>
      </w:r>
      <w:r w:rsidR="000E1E7F" w:rsidRPr="00D3264E">
        <w:rPr>
          <w:lang w:val="fr-FR"/>
        </w:rPr>
        <w:t>et</w:t>
      </w:r>
      <w:r w:rsidR="00EA0C76" w:rsidRPr="00D3264E">
        <w:rPr>
          <w:lang w:val="fr-FR"/>
        </w:rPr>
        <w:t xml:space="preserve"> 17 ans</w:t>
      </w:r>
      <w:r w:rsidR="00BF2563" w:rsidRPr="00D3264E">
        <w:rPr>
          <w:lang w:val="fr-FR"/>
        </w:rPr>
        <w:t xml:space="preserve">. Ce nombre comprend </w:t>
      </w:r>
      <w:r w:rsidR="00DF760B" w:rsidRPr="00D3264E">
        <w:rPr>
          <w:lang w:val="fr-FR"/>
        </w:rPr>
        <w:t xml:space="preserve">12 </w:t>
      </w:r>
      <w:r w:rsidR="00621063" w:rsidRPr="00D3264E">
        <w:rPr>
          <w:lang w:val="fr-FR"/>
        </w:rPr>
        <w:t xml:space="preserve">garçons </w:t>
      </w:r>
      <w:r w:rsidR="00234294" w:rsidRPr="00D3264E">
        <w:rPr>
          <w:lang w:val="fr-FR"/>
        </w:rPr>
        <w:t xml:space="preserve">(environ 1 pour cent de l’ensemble des </w:t>
      </w:r>
      <w:r w:rsidR="000E1E7F" w:rsidRPr="00D3264E">
        <w:rPr>
          <w:lang w:val="fr-FR"/>
        </w:rPr>
        <w:t xml:space="preserve">enfants </w:t>
      </w:r>
      <w:r w:rsidR="00234294" w:rsidRPr="00D3264E">
        <w:rPr>
          <w:lang w:val="fr-FR"/>
        </w:rPr>
        <w:t xml:space="preserve">victimes) </w:t>
      </w:r>
      <w:r w:rsidR="00621063" w:rsidRPr="00D3264E">
        <w:rPr>
          <w:lang w:val="fr-FR"/>
        </w:rPr>
        <w:t>âg</w:t>
      </w:r>
      <w:r w:rsidR="00BF2563" w:rsidRPr="00D3264E">
        <w:rPr>
          <w:lang w:val="fr-FR"/>
        </w:rPr>
        <w:t>és</w:t>
      </w:r>
      <w:r w:rsidR="00621063" w:rsidRPr="00D3264E">
        <w:rPr>
          <w:lang w:val="fr-FR"/>
        </w:rPr>
        <w:t xml:space="preserve"> </w:t>
      </w:r>
      <w:r w:rsidR="00BF2563" w:rsidRPr="00D3264E">
        <w:rPr>
          <w:lang w:val="fr-FR"/>
        </w:rPr>
        <w:t>de</w:t>
      </w:r>
      <w:r w:rsidR="00621063" w:rsidRPr="00D3264E">
        <w:rPr>
          <w:lang w:val="fr-FR"/>
        </w:rPr>
        <w:t xml:space="preserve"> 8 </w:t>
      </w:r>
      <w:r w:rsidR="00BF2563" w:rsidRPr="00D3264E">
        <w:rPr>
          <w:lang w:val="fr-FR"/>
        </w:rPr>
        <w:t>à</w:t>
      </w:r>
      <w:r w:rsidR="00621063" w:rsidRPr="00D3264E">
        <w:rPr>
          <w:lang w:val="fr-FR"/>
        </w:rPr>
        <w:t xml:space="preserve"> 16 ans. </w:t>
      </w:r>
      <w:r w:rsidR="00BF2563" w:rsidRPr="00D3264E">
        <w:rPr>
          <w:lang w:val="fr-FR"/>
        </w:rPr>
        <w:t>U</w:t>
      </w:r>
      <w:r w:rsidR="004F3BE7" w:rsidRPr="00D3264E">
        <w:rPr>
          <w:lang w:val="fr-FR"/>
        </w:rPr>
        <w:t>ne grande proportion d</w:t>
      </w:r>
      <w:r w:rsidR="00BF2563" w:rsidRPr="00D3264E">
        <w:rPr>
          <w:lang w:val="fr-FR"/>
        </w:rPr>
        <w:t xml:space="preserve">es </w:t>
      </w:r>
      <w:r w:rsidR="00642891" w:rsidRPr="00D3264E">
        <w:rPr>
          <w:lang w:val="fr-FR"/>
        </w:rPr>
        <w:t>enfants</w:t>
      </w:r>
      <w:r w:rsidR="00BF2563" w:rsidRPr="00D3264E">
        <w:rPr>
          <w:lang w:val="fr-FR"/>
        </w:rPr>
        <w:t xml:space="preserve"> sont victimes de viols a</w:t>
      </w:r>
      <w:r w:rsidR="004F3BE7" w:rsidRPr="00D3264E">
        <w:rPr>
          <w:lang w:val="fr-FR"/>
        </w:rPr>
        <w:t>u sein d</w:t>
      </w:r>
      <w:r w:rsidR="00BF2563" w:rsidRPr="00D3264E">
        <w:rPr>
          <w:lang w:val="fr-FR"/>
        </w:rPr>
        <w:t>e leur</w:t>
      </w:r>
      <w:r w:rsidR="004F3BE7" w:rsidRPr="00D3264E">
        <w:rPr>
          <w:lang w:val="fr-FR"/>
        </w:rPr>
        <w:t xml:space="preserve"> cercle familial ou communautaire. Le </w:t>
      </w:r>
      <w:r w:rsidR="004F3BE7" w:rsidRPr="00D3264E">
        <w:rPr>
          <w:i/>
          <w:lang w:val="fr-FR"/>
        </w:rPr>
        <w:t>modus operandi</w:t>
      </w:r>
      <w:r w:rsidR="004F3BE7" w:rsidRPr="00D3264E">
        <w:rPr>
          <w:lang w:val="fr-FR"/>
        </w:rPr>
        <w:t xml:space="preserve"> </w:t>
      </w:r>
      <w:r w:rsidR="00BF2563" w:rsidRPr="00D3264E">
        <w:rPr>
          <w:lang w:val="fr-FR"/>
        </w:rPr>
        <w:t>est</w:t>
      </w:r>
      <w:r w:rsidR="004F405D" w:rsidRPr="00D3264E">
        <w:rPr>
          <w:lang w:val="fr-FR"/>
        </w:rPr>
        <w:t xml:space="preserve"> souvent</w:t>
      </w:r>
      <w:r w:rsidR="004F3BE7" w:rsidRPr="00D3264E">
        <w:rPr>
          <w:lang w:val="fr-FR"/>
        </w:rPr>
        <w:t xml:space="preserve"> </w:t>
      </w:r>
      <w:r w:rsidR="00345BEA" w:rsidRPr="00D3264E">
        <w:rPr>
          <w:lang w:val="fr-FR"/>
        </w:rPr>
        <w:t>le suivant</w:t>
      </w:r>
      <w:r w:rsidR="004F3BE7" w:rsidRPr="00D3264E">
        <w:rPr>
          <w:lang w:val="fr-FR"/>
        </w:rPr>
        <w:t xml:space="preserve"> : les auteurs présumés recourent à la ruse en demandant des services aux victimes afin de les isoler, soit en les appâtant avec des cadeaux ou des récompenses pour établir un lien de déférence, </w:t>
      </w:r>
      <w:r w:rsidR="00C20A1C" w:rsidRPr="00D3264E">
        <w:rPr>
          <w:lang w:val="fr-FR"/>
        </w:rPr>
        <w:t>soit en recourant à la force</w:t>
      </w:r>
      <w:r w:rsidR="00BF2563" w:rsidRPr="00D3264E">
        <w:rPr>
          <w:lang w:val="fr-FR"/>
        </w:rPr>
        <w:t>,</w:t>
      </w:r>
      <w:r w:rsidR="00C20A1C" w:rsidRPr="00D3264E">
        <w:rPr>
          <w:lang w:val="fr-FR"/>
        </w:rPr>
        <w:t xml:space="preserve"> usant</w:t>
      </w:r>
      <w:r w:rsidR="004F3BE7" w:rsidRPr="00D3264E">
        <w:rPr>
          <w:lang w:val="fr-FR"/>
        </w:rPr>
        <w:t xml:space="preserve"> d</w:t>
      </w:r>
      <w:r w:rsidR="00BF2563" w:rsidRPr="00D3264E">
        <w:rPr>
          <w:lang w:val="fr-FR"/>
        </w:rPr>
        <w:t>’a</w:t>
      </w:r>
      <w:r w:rsidR="004F3BE7" w:rsidRPr="00D3264E">
        <w:rPr>
          <w:lang w:val="fr-FR"/>
        </w:rPr>
        <w:t xml:space="preserve">rmes blanches ou </w:t>
      </w:r>
      <w:r w:rsidR="00C20A1C" w:rsidRPr="00D3264E">
        <w:rPr>
          <w:lang w:val="fr-FR"/>
        </w:rPr>
        <w:t>d</w:t>
      </w:r>
      <w:r w:rsidR="00BF2563" w:rsidRPr="00D3264E">
        <w:rPr>
          <w:lang w:val="fr-FR"/>
        </w:rPr>
        <w:t>’</w:t>
      </w:r>
      <w:r w:rsidR="004F3BE7" w:rsidRPr="00D3264E">
        <w:rPr>
          <w:lang w:val="fr-FR"/>
        </w:rPr>
        <w:t>armes à feu.</w:t>
      </w:r>
    </w:p>
    <w:p w:rsidR="00E528EC" w:rsidRPr="00D3264E" w:rsidRDefault="00E528EC" w:rsidP="00097245">
      <w:pPr>
        <w:rPr>
          <w:lang w:val="fr-FR"/>
        </w:rPr>
      </w:pPr>
    </w:p>
    <w:p w:rsidR="00445124" w:rsidRPr="00D3264E" w:rsidRDefault="00E705AB" w:rsidP="00097245">
      <w:pPr>
        <w:pStyle w:val="ListParagraph"/>
        <w:numPr>
          <w:ilvl w:val="0"/>
          <w:numId w:val="5"/>
        </w:numPr>
        <w:tabs>
          <w:tab w:val="left" w:pos="-720"/>
        </w:tabs>
        <w:autoSpaceDE w:val="0"/>
        <w:autoSpaceDN w:val="0"/>
        <w:adjustRightInd w:val="0"/>
        <w:ind w:left="-37"/>
        <w:jc w:val="both"/>
        <w:rPr>
          <w:lang w:val="fr-FR"/>
        </w:rPr>
      </w:pPr>
      <w:r w:rsidRPr="00D3264E">
        <w:rPr>
          <w:lang w:val="fr-FR"/>
        </w:rPr>
        <w:t>L</w:t>
      </w:r>
      <w:r w:rsidR="00445124" w:rsidRPr="00D3264E">
        <w:rPr>
          <w:bCs/>
          <w:lang w:val="fr-FR"/>
        </w:rPr>
        <w:t>a DDH a pu constater qu</w:t>
      </w:r>
      <w:r w:rsidR="00445124" w:rsidRPr="00D3264E">
        <w:rPr>
          <w:lang w:val="fr-FR"/>
        </w:rPr>
        <w:t>e plus de 93 pour cent du nombre total des auteurs de</w:t>
      </w:r>
      <w:r w:rsidR="003034D9" w:rsidRPr="00D3264E">
        <w:rPr>
          <w:lang w:val="fr-FR"/>
        </w:rPr>
        <w:t>s</w:t>
      </w:r>
      <w:r w:rsidR="00445124" w:rsidRPr="00D3264E">
        <w:rPr>
          <w:lang w:val="fr-FR"/>
        </w:rPr>
        <w:t xml:space="preserve"> viol</w:t>
      </w:r>
      <w:r w:rsidRPr="00D3264E">
        <w:rPr>
          <w:lang w:val="fr-FR"/>
        </w:rPr>
        <w:t>s</w:t>
      </w:r>
      <w:r w:rsidR="00445124" w:rsidRPr="00D3264E">
        <w:rPr>
          <w:lang w:val="fr-FR"/>
        </w:rPr>
        <w:t xml:space="preserve"> qu’elle a documentés au cours de la période couverte par ce rapport étaient des </w:t>
      </w:r>
      <w:r w:rsidR="00642891" w:rsidRPr="00D3264E">
        <w:rPr>
          <w:lang w:val="fr-FR"/>
        </w:rPr>
        <w:t xml:space="preserve">personnes privées </w:t>
      </w:r>
      <w:r w:rsidR="00445124" w:rsidRPr="00D3264E">
        <w:rPr>
          <w:lang w:val="fr-FR"/>
        </w:rPr>
        <w:t xml:space="preserve">sans fonction au sein de l’Etat ivoirien, tandis que près de sept pour cent étaient des agents de l’Etat, à savoir 92 </w:t>
      </w:r>
      <w:r w:rsidR="00F160DF" w:rsidRPr="00D3264E">
        <w:rPr>
          <w:lang w:val="fr-FR"/>
        </w:rPr>
        <w:t xml:space="preserve">auteurs </w:t>
      </w:r>
      <w:r w:rsidR="00445124" w:rsidRPr="00D3264E">
        <w:rPr>
          <w:lang w:val="fr-FR"/>
        </w:rPr>
        <w:t>sur un total de 1.394 répertoriés pour l’ensemble des cas. Les auteurs de viols qui n’étaient pas des agents de l’Etat étaient pour la plupart inconnus des victimes (environ 60 pour cent), tandis qu’environ 30 pour cent étaient des voisins et connaissances et environ 10 pour cent étaient des membres de l</w:t>
      </w:r>
      <w:r w:rsidR="004022A5" w:rsidRPr="00D3264E">
        <w:rPr>
          <w:lang w:val="fr-FR"/>
        </w:rPr>
        <w:t>eur</w:t>
      </w:r>
      <w:r w:rsidR="00445124" w:rsidRPr="00D3264E">
        <w:rPr>
          <w:lang w:val="fr-FR"/>
        </w:rPr>
        <w:t xml:space="preserve"> famille. Ces viols ont lieu pour la plupart dans des lieux déserts et/ou pendant la nuit. </w:t>
      </w:r>
    </w:p>
    <w:p w:rsidR="00445124" w:rsidRPr="00D3264E" w:rsidRDefault="00445124" w:rsidP="00097245">
      <w:pPr>
        <w:pStyle w:val="ListParagraph"/>
        <w:ind w:left="-37"/>
        <w:jc w:val="both"/>
        <w:rPr>
          <w:lang w:val="fr-FR"/>
        </w:rPr>
      </w:pPr>
    </w:p>
    <w:p w:rsidR="00445124" w:rsidRPr="00D3264E" w:rsidRDefault="00445124" w:rsidP="00097245">
      <w:pPr>
        <w:pStyle w:val="ListParagraph"/>
        <w:numPr>
          <w:ilvl w:val="0"/>
          <w:numId w:val="5"/>
        </w:numPr>
        <w:ind w:left="-37"/>
        <w:jc w:val="both"/>
        <w:rPr>
          <w:lang w:val="fr-FR"/>
        </w:rPr>
      </w:pPr>
      <w:r w:rsidRPr="00D3264E">
        <w:rPr>
          <w:lang w:val="fr-FR"/>
        </w:rPr>
        <w:t xml:space="preserve">En ce qui concerne les agents de l’Etat auteurs de viol, environ 60 pour cent </w:t>
      </w:r>
      <w:r w:rsidR="0062495A" w:rsidRPr="00D3264E">
        <w:rPr>
          <w:lang w:val="fr-FR"/>
        </w:rPr>
        <w:t>relèv</w:t>
      </w:r>
      <w:r w:rsidR="002A34D2" w:rsidRPr="00D3264E">
        <w:rPr>
          <w:lang w:val="fr-FR"/>
        </w:rPr>
        <w:t>ent</w:t>
      </w:r>
      <w:r w:rsidRPr="00D3264E">
        <w:rPr>
          <w:lang w:val="fr-FR"/>
        </w:rPr>
        <w:t xml:space="preserve"> des forces de défense et de sécurité, principalement des éléments des FRCI (51 éléments</w:t>
      </w:r>
      <w:r w:rsidR="004022A5" w:rsidRPr="00D3264E">
        <w:rPr>
          <w:lang w:val="fr-FR"/>
        </w:rPr>
        <w:t>, soit</w:t>
      </w:r>
      <w:r w:rsidRPr="00D3264E">
        <w:rPr>
          <w:lang w:val="fr-FR"/>
        </w:rPr>
        <w:t xml:space="preserve"> 55 pour cent)</w:t>
      </w:r>
      <w:r w:rsidRPr="00D3264E">
        <w:rPr>
          <w:rStyle w:val="FootnoteReference"/>
          <w:lang w:val="fr-FR"/>
        </w:rPr>
        <w:footnoteReference w:id="32"/>
      </w:r>
      <w:r w:rsidRPr="00D3264E">
        <w:rPr>
          <w:lang w:val="fr-FR"/>
        </w:rPr>
        <w:t xml:space="preserve"> et, dans une moindre mesure, des gendarmes et des policiers (un gendarme, un garde pénitentiaire et trois policiers). L</w:t>
      </w:r>
      <w:r w:rsidRPr="00D3264E">
        <w:rPr>
          <w:bCs/>
          <w:lang w:val="fr-FR"/>
        </w:rPr>
        <w:t>es viols impliquant des éléments des FRCI, des gendarmes et des policiers ont eu lieu à Abidjan, Agboville, Yamoussoukro, Taï, Bongouanou, Odienné, Issia, Abengourou et Bouaké</w:t>
      </w:r>
      <w:r w:rsidRPr="00D3264E">
        <w:rPr>
          <w:lang w:val="fr-FR"/>
        </w:rPr>
        <w:t>. Le nombre d</w:t>
      </w:r>
      <w:r w:rsidR="00642891" w:rsidRPr="00D3264E">
        <w:rPr>
          <w:lang w:val="fr-FR"/>
        </w:rPr>
        <w:t xml:space="preserve">’enfants victimes </w:t>
      </w:r>
      <w:r w:rsidRPr="00D3264E">
        <w:rPr>
          <w:lang w:val="fr-FR"/>
        </w:rPr>
        <w:t>de viols a</w:t>
      </w:r>
      <w:r w:rsidR="002A34D2" w:rsidRPr="00D3264E">
        <w:rPr>
          <w:lang w:val="fr-FR"/>
        </w:rPr>
        <w:t>t</w:t>
      </w:r>
      <w:r w:rsidRPr="00D3264E">
        <w:rPr>
          <w:lang w:val="fr-FR"/>
        </w:rPr>
        <w:t>tribués à des agents de l'Etat en uniforme est particulièrement élevé</w:t>
      </w:r>
      <w:r w:rsidR="004022A5" w:rsidRPr="00D3264E">
        <w:rPr>
          <w:lang w:val="fr-FR"/>
        </w:rPr>
        <w:t>,</w:t>
      </w:r>
      <w:r w:rsidRPr="00D3264E">
        <w:rPr>
          <w:lang w:val="fr-FR"/>
        </w:rPr>
        <w:t xml:space="preserve"> avec 41 victimes âgées entre 3 et 17 ans, à savoir cinq pour cent du nombre total d</w:t>
      </w:r>
      <w:r w:rsidR="00642891" w:rsidRPr="00D3264E">
        <w:rPr>
          <w:lang w:val="fr-FR"/>
        </w:rPr>
        <w:t xml:space="preserve">’enfants victimes </w:t>
      </w:r>
      <w:r w:rsidRPr="00D3264E">
        <w:rPr>
          <w:lang w:val="fr-FR"/>
        </w:rPr>
        <w:t xml:space="preserve">répertoriés par la DDH. Parmi les 40 agents civils de l’Etat auteurs de viol </w:t>
      </w:r>
      <w:r w:rsidR="002A34D2" w:rsidRPr="00D3264E">
        <w:rPr>
          <w:lang w:val="fr-FR"/>
        </w:rPr>
        <w:t>ré</w:t>
      </w:r>
      <w:r w:rsidRPr="00D3264E">
        <w:rPr>
          <w:lang w:val="fr-FR"/>
        </w:rPr>
        <w:t>pertoriés par la DDH, 32 étaient des enseignants, soit deux pour cent du nombre total des auteurs de viol enregistrés.</w:t>
      </w:r>
      <w:r w:rsidRPr="00D3264E">
        <w:rPr>
          <w:bCs/>
          <w:lang w:val="fr-FR"/>
        </w:rPr>
        <w:t xml:space="preserve"> </w:t>
      </w:r>
    </w:p>
    <w:p w:rsidR="00445124" w:rsidRPr="00D3264E" w:rsidRDefault="00445124" w:rsidP="00097245">
      <w:pPr>
        <w:pStyle w:val="ListParagraph"/>
        <w:jc w:val="both"/>
        <w:rPr>
          <w:bCs/>
          <w:lang w:val="fr-FR"/>
        </w:rPr>
      </w:pPr>
    </w:p>
    <w:p w:rsidR="00445124" w:rsidRPr="00D3264E" w:rsidRDefault="00445124" w:rsidP="00097245">
      <w:pPr>
        <w:pStyle w:val="ListParagraph"/>
        <w:numPr>
          <w:ilvl w:val="0"/>
          <w:numId w:val="5"/>
        </w:numPr>
        <w:ind w:left="-37"/>
        <w:jc w:val="both"/>
        <w:rPr>
          <w:lang w:val="fr-FR"/>
        </w:rPr>
      </w:pPr>
      <w:r w:rsidRPr="00D3264E">
        <w:rPr>
          <w:bCs/>
          <w:lang w:val="fr-FR"/>
        </w:rPr>
        <w:t xml:space="preserve">Il est enfin important de noter que toutes les victimes des viols attribués à des enseignants étaient </w:t>
      </w:r>
      <w:r w:rsidR="00642891" w:rsidRPr="00D3264E">
        <w:rPr>
          <w:bCs/>
          <w:lang w:val="fr-FR"/>
        </w:rPr>
        <w:t xml:space="preserve">des enfants </w:t>
      </w:r>
      <w:r w:rsidRPr="00D3264E">
        <w:rPr>
          <w:bCs/>
          <w:lang w:val="fr-FR"/>
        </w:rPr>
        <w:t xml:space="preserve">de sexe féminin, à l’exception d’un cas contre un </w:t>
      </w:r>
      <w:r w:rsidR="0062495A" w:rsidRPr="00D3264E">
        <w:rPr>
          <w:bCs/>
          <w:lang w:val="fr-FR"/>
        </w:rPr>
        <w:t xml:space="preserve">garçon. En effet, le 7 mai 2014, </w:t>
      </w:r>
      <w:r w:rsidRPr="00D3264E">
        <w:rPr>
          <w:bCs/>
          <w:lang w:val="fr-FR"/>
        </w:rPr>
        <w:t>dans le village de Guedeyo-Sodepalm 1 (165 kilomètres au nord de San Pedro), un élève âgé de 9 ans a été violé par un instituteur âgé de 41 ans dans l’enceinte de son école. Le garçon rapporte que «</w:t>
      </w:r>
      <w:r w:rsidR="005618A7" w:rsidRPr="00D3264E">
        <w:rPr>
          <w:bCs/>
          <w:lang w:val="fr-FR"/>
        </w:rPr>
        <w:t xml:space="preserve"> </w:t>
      </w:r>
      <w:r w:rsidRPr="00D3264E">
        <w:rPr>
          <w:bCs/>
          <w:i/>
          <w:lang w:val="fr-FR"/>
        </w:rPr>
        <w:t xml:space="preserve">Ce jour-là, je suis allé jouer avec mes camarades dans la cour de notre école car nous n’avions pas cours (..). Aux environs de 12 heures 30, un maître de notre école qui se trouvait dans sa classe m’a demandé de venir dans sa classe (…). J’ai laissé mes camarades de jeux pour le rejoindre dans la classe où il était (…). Lorsque je suis rentré dans sa classe, il a refermé la porte et m’a demandé de me déshabiller (…). Comme je croyais avoir fait une bêtise, je me suis exécuté. Après, il m’a demandé de me coucher sur le ventre sur la table (..). Il s’est approché de </w:t>
      </w:r>
      <w:r w:rsidRPr="00D3264E">
        <w:rPr>
          <w:bCs/>
          <w:i/>
          <w:lang w:val="fr-FR"/>
        </w:rPr>
        <w:lastRenderedPageBreak/>
        <w:t>moi et m’a violé. J’avais très mal et j’ai commencé à pleurer. Après cela, il m’a demandé de ne rien dire à quelqu’un (…)</w:t>
      </w:r>
      <w:r w:rsidR="005618A7" w:rsidRPr="00D3264E">
        <w:rPr>
          <w:bCs/>
          <w:i/>
          <w:lang w:val="fr-FR"/>
        </w:rPr>
        <w:t xml:space="preserve"> </w:t>
      </w:r>
      <w:r w:rsidRPr="00D3264E">
        <w:rPr>
          <w:bCs/>
          <w:i/>
          <w:lang w:val="fr-FR"/>
        </w:rPr>
        <w:t xml:space="preserve">». </w:t>
      </w:r>
      <w:r w:rsidRPr="00D3264E">
        <w:rPr>
          <w:bCs/>
          <w:lang w:val="fr-FR"/>
        </w:rPr>
        <w:t>L’auteur de ce viol a été condamné le 1</w:t>
      </w:r>
      <w:r w:rsidRPr="00D3264E">
        <w:rPr>
          <w:bCs/>
          <w:vertAlign w:val="superscript"/>
          <w:lang w:val="fr-FR"/>
        </w:rPr>
        <w:t>er</w:t>
      </w:r>
      <w:r w:rsidRPr="00D3264E">
        <w:rPr>
          <w:bCs/>
          <w:lang w:val="fr-FR"/>
        </w:rPr>
        <w:t xml:space="preserve"> juillet 2014 à 24 mois de prison avec sursis par le Tribunal de Première Instance de Soubré.</w:t>
      </w:r>
    </w:p>
    <w:p w:rsidR="000D5D41" w:rsidRPr="00D3264E" w:rsidRDefault="000D5D41" w:rsidP="00097245">
      <w:pPr>
        <w:pStyle w:val="Heading2"/>
        <w:spacing w:before="0"/>
        <w:jc w:val="center"/>
        <w:rPr>
          <w:rFonts w:ascii="Times New Roman" w:hAnsi="Times New Roman"/>
          <w:i/>
          <w:color w:val="auto"/>
          <w:sz w:val="24"/>
          <w:szCs w:val="24"/>
          <w:lang w:val="fr-FR"/>
        </w:rPr>
      </w:pPr>
      <w:bookmarkStart w:id="22" w:name="_Toc435708263"/>
      <w:bookmarkStart w:id="23" w:name="_Toc445972587"/>
      <w:bookmarkStart w:id="24" w:name="_Toc447784516"/>
      <w:bookmarkStart w:id="25" w:name="_Toc447786061"/>
      <w:bookmarkStart w:id="26" w:name="_Toc447786148"/>
      <w:bookmarkStart w:id="27" w:name="_Toc447786345"/>
      <w:bookmarkStart w:id="28" w:name="_Toc455746285"/>
    </w:p>
    <w:p w:rsidR="00EB087F" w:rsidRPr="00D3264E" w:rsidRDefault="005716DE" w:rsidP="00097245">
      <w:pPr>
        <w:pStyle w:val="Heading2"/>
        <w:spacing w:before="0"/>
        <w:jc w:val="center"/>
        <w:rPr>
          <w:rFonts w:ascii="Times New Roman" w:hAnsi="Times New Roman"/>
          <w:i/>
          <w:color w:val="auto"/>
          <w:sz w:val="24"/>
          <w:szCs w:val="24"/>
          <w:lang w:val="fr-FR"/>
        </w:rPr>
      </w:pPr>
      <w:r w:rsidRPr="00D3264E">
        <w:rPr>
          <w:rFonts w:ascii="Times New Roman" w:hAnsi="Times New Roman"/>
          <w:i/>
          <w:color w:val="auto"/>
          <w:sz w:val="24"/>
          <w:szCs w:val="24"/>
          <w:lang w:val="fr-FR"/>
        </w:rPr>
        <w:t>Graphique des auteurs des cas de viol documentés par la DDH</w:t>
      </w:r>
      <w:bookmarkEnd w:id="22"/>
      <w:bookmarkEnd w:id="23"/>
      <w:bookmarkEnd w:id="24"/>
      <w:bookmarkEnd w:id="25"/>
      <w:bookmarkEnd w:id="26"/>
      <w:bookmarkEnd w:id="27"/>
      <w:bookmarkEnd w:id="28"/>
    </w:p>
    <w:p w:rsidR="00F06F4F" w:rsidRPr="00D3264E" w:rsidRDefault="00F06F4F" w:rsidP="00097245">
      <w:pPr>
        <w:rPr>
          <w:lang w:val="fr-FR"/>
        </w:rPr>
      </w:pPr>
    </w:p>
    <w:p w:rsidR="008D67A8" w:rsidRPr="00D3264E" w:rsidRDefault="00B200E3" w:rsidP="00097245">
      <w:pPr>
        <w:tabs>
          <w:tab w:val="left" w:pos="2255"/>
          <w:tab w:val="center" w:pos="4680"/>
        </w:tabs>
        <w:jc w:val="center"/>
        <w:rPr>
          <w:lang w:val="fr-FR"/>
        </w:rPr>
      </w:pPr>
      <w:r w:rsidRPr="00D3264E">
        <w:rPr>
          <w:i/>
          <w:noProof/>
        </w:rPr>
        <mc:AlternateContent>
          <mc:Choice Requires="wps">
            <w:drawing>
              <wp:anchor distT="0" distB="0" distL="114300" distR="114300" simplePos="0" relativeHeight="251661312" behindDoc="0" locked="0" layoutInCell="1" allowOverlap="1" wp14:anchorId="1D80A153" wp14:editId="6AB9AC8A">
                <wp:simplePos x="0" y="0"/>
                <wp:positionH relativeFrom="column">
                  <wp:posOffset>3683479</wp:posOffset>
                </wp:positionH>
                <wp:positionV relativeFrom="paragraph">
                  <wp:posOffset>297324</wp:posOffset>
                </wp:positionV>
                <wp:extent cx="1690778" cy="1403985"/>
                <wp:effectExtent l="0" t="0" r="508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778" cy="1403985"/>
                        </a:xfrm>
                        <a:prstGeom prst="rect">
                          <a:avLst/>
                        </a:prstGeom>
                        <a:solidFill>
                          <a:srgbClr val="FFFFFF"/>
                        </a:solidFill>
                        <a:ln w="9525">
                          <a:noFill/>
                          <a:miter lim="800000"/>
                          <a:headEnd/>
                          <a:tailEnd/>
                        </a:ln>
                      </wps:spPr>
                      <wps:txbx>
                        <w:txbxContent>
                          <w:p w:rsidR="00B0107C" w:rsidRPr="00EB087F" w:rsidRDefault="00B0107C" w:rsidP="00EB087F">
                            <w:pPr>
                              <w:jc w:val="center"/>
                              <w:rPr>
                                <w:b/>
                              </w:rPr>
                            </w:pPr>
                            <w:r w:rsidRPr="00EB087F">
                              <w:rPr>
                                <w:b/>
                              </w:rPr>
                              <w:t>Ensemble des auteurs de viol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90.05pt;margin-top:23.4pt;width:133.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" stroked="f">
                <v:textbox style="mso-fit-shape-to-text:t">
                  <w:txbxContent>
                    <w:p w:rsidR="00B0107C" w:rsidRPr="00EB087F" w:rsidRDefault="00B0107C" w:rsidP="00EB087F">
                      <w:pPr>
                        <w:jc w:val="center"/>
                        <w:rPr>
                          <w:b/>
                        </w:rPr>
                      </w:pPr>
                      <w:r w:rsidRPr="00EB087F">
                        <w:rPr>
                          <w:b/>
                        </w:rPr>
                        <w:t>Ensemble des auteurs de viol</w:t>
                      </w:r>
                    </w:p>
                  </w:txbxContent>
                </v:textbox>
              </v:shape>
            </w:pict>
          </mc:Fallback>
        </mc:AlternateContent>
      </w:r>
      <w:r w:rsidR="00321ABF" w:rsidRPr="00D3264E">
        <w:rPr>
          <w:i/>
          <w:noProof/>
        </w:rPr>
        <mc:AlternateContent>
          <mc:Choice Requires="wps">
            <w:drawing>
              <wp:anchor distT="0" distB="0" distL="114300" distR="114300" simplePos="0" relativeHeight="251663360" behindDoc="0" locked="0" layoutInCell="1" allowOverlap="1" wp14:anchorId="0C06FCD0" wp14:editId="031D742F">
                <wp:simplePos x="0" y="0"/>
                <wp:positionH relativeFrom="column">
                  <wp:posOffset>1704975</wp:posOffset>
                </wp:positionH>
                <wp:positionV relativeFrom="paragraph">
                  <wp:posOffset>1844040</wp:posOffset>
                </wp:positionV>
                <wp:extent cx="781050" cy="4953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95300"/>
                        </a:xfrm>
                        <a:prstGeom prst="rect">
                          <a:avLst/>
                        </a:prstGeom>
                        <a:solidFill>
                          <a:schemeClr val="accent2"/>
                        </a:solidFill>
                        <a:ln w="9525">
                          <a:noFill/>
                          <a:miter lim="800000"/>
                          <a:headEnd/>
                          <a:tailEnd/>
                        </a:ln>
                      </wps:spPr>
                      <wps:txbx>
                        <w:txbxContent>
                          <w:p w:rsidR="00B0107C" w:rsidRPr="00321ABF" w:rsidRDefault="00B0107C" w:rsidP="00321ABF">
                            <w:pP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4.25pt;margin-top:145.2pt;width:61.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" fillcolor="#c0504d [3205]" stroked="f">
                <v:textbox>
                  <w:txbxContent>
                    <w:p w:rsidR="00B0107C" w:rsidRPr="00321ABF" w:rsidRDefault="00B0107C" w:rsidP="00321ABF">
                      <w:pPr>
                        <w:rPr>
                          <w:b/>
                          <w:sz w:val="32"/>
                          <w:szCs w:val="32"/>
                        </w:rPr>
                      </w:pPr>
                    </w:p>
                  </w:txbxContent>
                </v:textbox>
              </v:shape>
            </w:pict>
          </mc:Fallback>
        </mc:AlternateContent>
      </w:r>
      <w:r w:rsidR="00BD3B39" w:rsidRPr="00D3264E">
        <w:rPr>
          <w:noProof/>
        </w:rPr>
        <w:drawing>
          <wp:inline distT="0" distB="0" distL="0" distR="0" wp14:anchorId="1BF87064" wp14:editId="24FC728A">
            <wp:extent cx="512445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D3B39" w:rsidRPr="00D3264E">
        <w:rPr>
          <w:noProof/>
        </w:rPr>
        <w:drawing>
          <wp:inline distT="0" distB="0" distL="0" distR="0" wp14:anchorId="642C4448" wp14:editId="11445D51">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67A8" w:rsidRPr="00D3264E" w:rsidRDefault="008D67A8" w:rsidP="00097245">
      <w:pPr>
        <w:jc w:val="both"/>
        <w:rPr>
          <w:lang w:val="fr-FR"/>
        </w:rPr>
      </w:pPr>
    </w:p>
    <w:p w:rsidR="00CF5C07" w:rsidRPr="00D3264E" w:rsidRDefault="004022A5" w:rsidP="00097245">
      <w:pPr>
        <w:pStyle w:val="ListParagraph"/>
        <w:numPr>
          <w:ilvl w:val="0"/>
          <w:numId w:val="5"/>
        </w:numPr>
        <w:ind w:left="-37"/>
        <w:jc w:val="both"/>
        <w:rPr>
          <w:lang w:val="fr-FR"/>
        </w:rPr>
      </w:pPr>
      <w:r w:rsidRPr="00D3264E">
        <w:rPr>
          <w:lang w:val="fr-FR"/>
        </w:rPr>
        <w:t>L</w:t>
      </w:r>
      <w:r w:rsidR="00621063" w:rsidRPr="00D3264E">
        <w:rPr>
          <w:lang w:val="fr-FR"/>
        </w:rPr>
        <w:t>es enquêtes menées da</w:t>
      </w:r>
      <w:r w:rsidR="00F67F41" w:rsidRPr="00D3264E">
        <w:rPr>
          <w:lang w:val="fr-FR"/>
        </w:rPr>
        <w:t>ns le cadre du présent rapport ont mis en évidence</w:t>
      </w:r>
      <w:r w:rsidR="00621063" w:rsidRPr="00D3264E">
        <w:rPr>
          <w:lang w:val="fr-FR"/>
        </w:rPr>
        <w:t xml:space="preserve"> que les viols perpé</w:t>
      </w:r>
      <w:r w:rsidR="00F67F41" w:rsidRPr="00D3264E">
        <w:rPr>
          <w:lang w:val="fr-FR"/>
        </w:rPr>
        <w:t xml:space="preserve">trés par </w:t>
      </w:r>
      <w:r w:rsidR="00A433F4" w:rsidRPr="00D3264E">
        <w:rPr>
          <w:lang w:val="fr-FR"/>
        </w:rPr>
        <w:t>de</w:t>
      </w:r>
      <w:r w:rsidR="00F67F41" w:rsidRPr="00D3264E">
        <w:rPr>
          <w:lang w:val="fr-FR"/>
        </w:rPr>
        <w:t>s membres de la famille de</w:t>
      </w:r>
      <w:r w:rsidR="00A433F4" w:rsidRPr="00D3264E">
        <w:rPr>
          <w:lang w:val="fr-FR"/>
        </w:rPr>
        <w:t>s</w:t>
      </w:r>
      <w:r w:rsidR="00F67F41" w:rsidRPr="00D3264E">
        <w:rPr>
          <w:lang w:val="fr-FR"/>
        </w:rPr>
        <w:t xml:space="preserve"> victime</w:t>
      </w:r>
      <w:r w:rsidR="00A433F4" w:rsidRPr="00D3264E">
        <w:rPr>
          <w:lang w:val="fr-FR"/>
        </w:rPr>
        <w:t>s</w:t>
      </w:r>
      <w:r w:rsidR="00621063" w:rsidRPr="00D3264E">
        <w:rPr>
          <w:lang w:val="fr-FR"/>
        </w:rPr>
        <w:t xml:space="preserve">, principalement le père, l’oncle, le frère, le cousin, le beau-fils, le gendre </w:t>
      </w:r>
      <w:r w:rsidR="00B26FB5" w:rsidRPr="00D3264E">
        <w:rPr>
          <w:lang w:val="fr-FR"/>
        </w:rPr>
        <w:t>ou le grand-p</w:t>
      </w:r>
      <w:r w:rsidR="0055212B" w:rsidRPr="00D3264E">
        <w:rPr>
          <w:lang w:val="fr-FR"/>
        </w:rPr>
        <w:t xml:space="preserve">ère, représentent </w:t>
      </w:r>
      <w:r w:rsidR="00D6701C" w:rsidRPr="00D3264E">
        <w:rPr>
          <w:lang w:val="fr-FR"/>
        </w:rPr>
        <w:t>10</w:t>
      </w:r>
      <w:r w:rsidR="00A30171" w:rsidRPr="00D3264E">
        <w:rPr>
          <w:lang w:val="fr-FR"/>
        </w:rPr>
        <w:t xml:space="preserve"> pour cent</w:t>
      </w:r>
      <w:r w:rsidR="00A10C0B" w:rsidRPr="00D3264E">
        <w:rPr>
          <w:rStyle w:val="FootnoteReference"/>
          <w:lang w:val="fr-FR"/>
        </w:rPr>
        <w:footnoteReference w:id="33"/>
      </w:r>
      <w:r w:rsidR="00621063" w:rsidRPr="00D3264E">
        <w:rPr>
          <w:lang w:val="fr-FR"/>
        </w:rPr>
        <w:t xml:space="preserve"> des cas de viol documentés</w:t>
      </w:r>
      <w:r w:rsidR="00F54373" w:rsidRPr="00D3264E">
        <w:rPr>
          <w:lang w:val="fr-FR"/>
        </w:rPr>
        <w:t xml:space="preserve"> par la DDH. En raison de leur </w:t>
      </w:r>
      <w:r w:rsidR="00621063" w:rsidRPr="00D3264E">
        <w:rPr>
          <w:lang w:val="fr-FR"/>
        </w:rPr>
        <w:t>vulnérabilité, du fait qu’</w:t>
      </w:r>
      <w:r w:rsidR="00FD39C7" w:rsidRPr="00D3264E">
        <w:rPr>
          <w:lang w:val="fr-FR"/>
        </w:rPr>
        <w:t>ils sont souvent enclin</w:t>
      </w:r>
      <w:r w:rsidR="00621063" w:rsidRPr="00D3264E">
        <w:rPr>
          <w:lang w:val="fr-FR"/>
        </w:rPr>
        <w:t>s à faire conf</w:t>
      </w:r>
      <w:r w:rsidR="00FD39C7" w:rsidRPr="00D3264E">
        <w:rPr>
          <w:lang w:val="fr-FR"/>
        </w:rPr>
        <w:t>iance aux adultes</w:t>
      </w:r>
      <w:r w:rsidR="00621063" w:rsidRPr="00D3264E">
        <w:rPr>
          <w:lang w:val="fr-FR"/>
        </w:rPr>
        <w:t xml:space="preserve">, les </w:t>
      </w:r>
      <w:r w:rsidR="00642891" w:rsidRPr="00D3264E">
        <w:rPr>
          <w:lang w:val="fr-FR"/>
        </w:rPr>
        <w:t xml:space="preserve">enfants </w:t>
      </w:r>
      <w:r w:rsidR="00621063" w:rsidRPr="00D3264E">
        <w:rPr>
          <w:lang w:val="fr-FR"/>
        </w:rPr>
        <w:t xml:space="preserve">sont les </w:t>
      </w:r>
      <w:r w:rsidR="00F67F41" w:rsidRPr="00D3264E">
        <w:rPr>
          <w:lang w:val="fr-FR"/>
        </w:rPr>
        <w:t xml:space="preserve">principales </w:t>
      </w:r>
      <w:r w:rsidR="00621063" w:rsidRPr="00D3264E">
        <w:rPr>
          <w:lang w:val="fr-FR"/>
        </w:rPr>
        <w:t xml:space="preserve">cibles de cette catégorie d’auteurs présumés. Les villes </w:t>
      </w:r>
      <w:r w:rsidR="00621063" w:rsidRPr="00D3264E">
        <w:rPr>
          <w:lang w:val="fr-FR"/>
        </w:rPr>
        <w:lastRenderedPageBreak/>
        <w:t xml:space="preserve">d’Abidjan, Bouaké, Daloa, Duekoué et San Pedro et leurs environs ont enregistré le plus grand </w:t>
      </w:r>
      <w:r w:rsidR="00F400F9" w:rsidRPr="00D3264E">
        <w:rPr>
          <w:lang w:val="fr-FR"/>
        </w:rPr>
        <w:t>n</w:t>
      </w:r>
      <w:r w:rsidR="00542C1C" w:rsidRPr="00D3264E">
        <w:rPr>
          <w:lang w:val="fr-FR"/>
        </w:rPr>
        <w:t>ombre de viol</w:t>
      </w:r>
      <w:r w:rsidR="009A24D9" w:rsidRPr="00D3264E">
        <w:rPr>
          <w:lang w:val="fr-FR"/>
        </w:rPr>
        <w:t>s</w:t>
      </w:r>
      <w:r w:rsidR="00542C1C" w:rsidRPr="00D3264E">
        <w:rPr>
          <w:lang w:val="fr-FR"/>
        </w:rPr>
        <w:t xml:space="preserve"> de ce type</w:t>
      </w:r>
      <w:r w:rsidR="00621063" w:rsidRPr="00D3264E">
        <w:rPr>
          <w:lang w:val="fr-FR"/>
        </w:rPr>
        <w:t xml:space="preserve">. </w:t>
      </w:r>
      <w:r w:rsidR="00925DFE" w:rsidRPr="00D3264E">
        <w:rPr>
          <w:lang w:val="fr-FR"/>
        </w:rPr>
        <w:t xml:space="preserve">Il est à noter que </w:t>
      </w:r>
      <w:r w:rsidR="00A433F4" w:rsidRPr="00D3264E">
        <w:rPr>
          <w:lang w:val="fr-FR"/>
        </w:rPr>
        <w:t xml:space="preserve">les </w:t>
      </w:r>
      <w:r w:rsidR="00925DFE" w:rsidRPr="00D3264E">
        <w:rPr>
          <w:lang w:val="fr-FR"/>
        </w:rPr>
        <w:t xml:space="preserve">viols </w:t>
      </w:r>
      <w:r w:rsidR="003F6AC7" w:rsidRPr="00D3264E">
        <w:rPr>
          <w:lang w:val="fr-FR"/>
        </w:rPr>
        <w:t xml:space="preserve">commis par </w:t>
      </w:r>
      <w:r w:rsidR="00A433F4" w:rsidRPr="00D3264E">
        <w:rPr>
          <w:lang w:val="fr-FR"/>
        </w:rPr>
        <w:t>d</w:t>
      </w:r>
      <w:r w:rsidR="003F6AC7" w:rsidRPr="00D3264E">
        <w:rPr>
          <w:lang w:val="fr-FR"/>
        </w:rPr>
        <w:t>es membres de l</w:t>
      </w:r>
      <w:r w:rsidR="00F400F9" w:rsidRPr="00D3264E">
        <w:rPr>
          <w:lang w:val="fr-FR"/>
        </w:rPr>
        <w:t>a famille</w:t>
      </w:r>
      <w:r w:rsidR="00925DFE" w:rsidRPr="00D3264E">
        <w:rPr>
          <w:lang w:val="fr-FR"/>
        </w:rPr>
        <w:t xml:space="preserve"> </w:t>
      </w:r>
      <w:r w:rsidR="00102B24" w:rsidRPr="00D3264E">
        <w:rPr>
          <w:lang w:val="fr-FR"/>
        </w:rPr>
        <w:t>ne sont</w:t>
      </w:r>
      <w:r w:rsidR="00925DFE" w:rsidRPr="00D3264E">
        <w:rPr>
          <w:lang w:val="fr-FR"/>
        </w:rPr>
        <w:t xml:space="preserve"> souvent pas ébruité</w:t>
      </w:r>
      <w:r w:rsidR="00102B24" w:rsidRPr="00D3264E">
        <w:rPr>
          <w:lang w:val="fr-FR"/>
        </w:rPr>
        <w:t>s</w:t>
      </w:r>
      <w:r w:rsidR="00621063" w:rsidRPr="00D3264E">
        <w:rPr>
          <w:lang w:val="fr-FR"/>
        </w:rPr>
        <w:t xml:space="preserve"> en raison de pressions familiales et communautaires pour préserver l’honneur de la famille et éviter la honte, les humiliations, le rejet et la stigmatisat</w:t>
      </w:r>
      <w:r w:rsidR="00F67F41" w:rsidRPr="00D3264E">
        <w:rPr>
          <w:lang w:val="fr-FR"/>
        </w:rPr>
        <w:t>ion qui pourraient en découler</w:t>
      </w:r>
      <w:r w:rsidR="00A433F4" w:rsidRPr="00D3264E">
        <w:rPr>
          <w:lang w:val="fr-FR"/>
        </w:rPr>
        <w:t>. Ceci</w:t>
      </w:r>
      <w:r w:rsidR="00621063" w:rsidRPr="00D3264E">
        <w:rPr>
          <w:lang w:val="fr-FR"/>
        </w:rPr>
        <w:t xml:space="preserve"> explique</w:t>
      </w:r>
      <w:r w:rsidR="00925DFE" w:rsidRPr="00D3264E">
        <w:rPr>
          <w:lang w:val="fr-FR"/>
        </w:rPr>
        <w:t xml:space="preserve"> également</w:t>
      </w:r>
      <w:r w:rsidR="00621063" w:rsidRPr="00D3264E">
        <w:rPr>
          <w:lang w:val="fr-FR"/>
        </w:rPr>
        <w:t xml:space="preserve"> la forte propension aux arrangements à l’ami</w:t>
      </w:r>
      <w:r w:rsidR="009F3815" w:rsidRPr="00D3264E">
        <w:rPr>
          <w:lang w:val="fr-FR"/>
        </w:rPr>
        <w:t>able pour les cas de viol</w:t>
      </w:r>
      <w:r w:rsidR="00621063" w:rsidRPr="00D3264E">
        <w:rPr>
          <w:lang w:val="fr-FR"/>
        </w:rPr>
        <w:t xml:space="preserve"> commis par les membres de la famille</w:t>
      </w:r>
      <w:r w:rsidR="00A433F4" w:rsidRPr="00D3264E">
        <w:rPr>
          <w:lang w:val="fr-FR"/>
        </w:rPr>
        <w:t>, principalement en milieu rural</w:t>
      </w:r>
      <w:r w:rsidR="00621063" w:rsidRPr="00D3264E">
        <w:rPr>
          <w:lang w:val="fr-FR"/>
        </w:rPr>
        <w:t>.</w:t>
      </w:r>
    </w:p>
    <w:p w:rsidR="00CF5C07" w:rsidRPr="00D3264E" w:rsidRDefault="00CF5C07" w:rsidP="00097245">
      <w:pPr>
        <w:pStyle w:val="ListParagraph"/>
        <w:ind w:left="-37"/>
        <w:jc w:val="both"/>
        <w:rPr>
          <w:lang w:val="fr-FR"/>
        </w:rPr>
      </w:pPr>
    </w:p>
    <w:p w:rsidR="00E400D7" w:rsidRPr="00D3264E" w:rsidRDefault="00E400D7" w:rsidP="00097245">
      <w:pPr>
        <w:pStyle w:val="Heading2"/>
        <w:numPr>
          <w:ilvl w:val="0"/>
          <w:numId w:val="31"/>
        </w:numPr>
        <w:spacing w:before="0"/>
        <w:jc w:val="both"/>
        <w:rPr>
          <w:rFonts w:ascii="Times New Roman" w:hAnsi="Times New Roman"/>
          <w:color w:val="auto"/>
          <w:sz w:val="24"/>
          <w:szCs w:val="24"/>
          <w:lang w:val="fr-FR"/>
        </w:rPr>
      </w:pPr>
      <w:bookmarkStart w:id="29" w:name="_Toc455746286"/>
      <w:r w:rsidRPr="00D3264E">
        <w:rPr>
          <w:rFonts w:ascii="Times New Roman" w:hAnsi="Times New Roman"/>
          <w:color w:val="auto"/>
          <w:sz w:val="24"/>
          <w:szCs w:val="24"/>
          <w:lang w:val="fr-FR"/>
        </w:rPr>
        <w:t>Principales tendances relatives à la poursuite des viols</w:t>
      </w:r>
      <w:bookmarkEnd w:id="29"/>
    </w:p>
    <w:p w:rsidR="00E400D7" w:rsidRPr="00D3264E" w:rsidRDefault="00E400D7" w:rsidP="00097245">
      <w:pPr>
        <w:pStyle w:val="ListParagraph"/>
        <w:ind w:left="-37"/>
        <w:jc w:val="both"/>
        <w:rPr>
          <w:lang w:val="fr-FR"/>
        </w:rPr>
      </w:pPr>
    </w:p>
    <w:p w:rsidR="004022A5" w:rsidRPr="00D3264E" w:rsidRDefault="004022A5" w:rsidP="00097245">
      <w:pPr>
        <w:pStyle w:val="ListParagraph"/>
        <w:numPr>
          <w:ilvl w:val="0"/>
          <w:numId w:val="5"/>
        </w:numPr>
        <w:ind w:left="-37"/>
        <w:jc w:val="both"/>
        <w:rPr>
          <w:lang w:val="fr-FR"/>
        </w:rPr>
      </w:pPr>
      <w:r w:rsidRPr="00D3264E">
        <w:rPr>
          <w:lang w:val="fr-FR"/>
        </w:rPr>
        <w:t>S</w:t>
      </w:r>
      <w:r w:rsidR="00680ABF" w:rsidRPr="00D3264E">
        <w:rPr>
          <w:lang w:val="fr-FR"/>
        </w:rPr>
        <w:t>elon</w:t>
      </w:r>
      <w:r w:rsidR="00B517D8" w:rsidRPr="00D3264E">
        <w:rPr>
          <w:lang w:val="fr-FR"/>
        </w:rPr>
        <w:t xml:space="preserve"> les données co</w:t>
      </w:r>
      <w:r w:rsidR="00257E8D" w:rsidRPr="00D3264E">
        <w:rPr>
          <w:lang w:val="fr-FR"/>
        </w:rPr>
        <w:t xml:space="preserve">llectées par la DDH, </w:t>
      </w:r>
      <w:r w:rsidR="001E11EA" w:rsidRPr="00D3264E">
        <w:rPr>
          <w:bCs/>
          <w:lang w:val="fr-FR"/>
        </w:rPr>
        <w:t xml:space="preserve">des </w:t>
      </w:r>
      <w:r w:rsidR="0062495A" w:rsidRPr="00D3264E">
        <w:rPr>
          <w:bCs/>
          <w:lang w:val="fr-FR"/>
        </w:rPr>
        <w:t>enquêtes ont</w:t>
      </w:r>
      <w:r w:rsidR="0028597D" w:rsidRPr="00D3264E">
        <w:rPr>
          <w:bCs/>
          <w:lang w:val="fr-FR"/>
        </w:rPr>
        <w:t xml:space="preserve"> été initiées et des </w:t>
      </w:r>
      <w:r w:rsidR="001E11EA" w:rsidRPr="00D3264E">
        <w:rPr>
          <w:bCs/>
          <w:lang w:val="fr-FR"/>
        </w:rPr>
        <w:t>dossiers</w:t>
      </w:r>
      <w:r w:rsidR="00F554B2" w:rsidRPr="00D3264E">
        <w:rPr>
          <w:bCs/>
          <w:lang w:val="fr-FR"/>
        </w:rPr>
        <w:t xml:space="preserve"> </w:t>
      </w:r>
      <w:r w:rsidR="001E11EA" w:rsidRPr="00D3264E">
        <w:rPr>
          <w:bCs/>
          <w:lang w:val="fr-FR"/>
        </w:rPr>
        <w:t xml:space="preserve">ouverts dans </w:t>
      </w:r>
      <w:r w:rsidR="0000054A" w:rsidRPr="00D3264E">
        <w:rPr>
          <w:bCs/>
          <w:lang w:val="fr-FR"/>
        </w:rPr>
        <w:t xml:space="preserve">1.021 </w:t>
      </w:r>
      <w:r w:rsidR="001E11EA" w:rsidRPr="00D3264E">
        <w:rPr>
          <w:bCs/>
          <w:lang w:val="fr-FR"/>
        </w:rPr>
        <w:t xml:space="preserve">cas, soit </w:t>
      </w:r>
      <w:r w:rsidR="0028597D" w:rsidRPr="00D3264E">
        <w:rPr>
          <w:bCs/>
          <w:lang w:val="fr-FR"/>
        </w:rPr>
        <w:t xml:space="preserve">90 </w:t>
      </w:r>
      <w:r w:rsidR="001E11EA" w:rsidRPr="00D3264E">
        <w:rPr>
          <w:bCs/>
          <w:lang w:val="fr-FR"/>
        </w:rPr>
        <w:t>pour cent des cas documentés par la DDH</w:t>
      </w:r>
      <w:r w:rsidR="0028597D" w:rsidRPr="00D3264E">
        <w:rPr>
          <w:bCs/>
          <w:lang w:val="fr-FR"/>
        </w:rPr>
        <w:t xml:space="preserve">. </w:t>
      </w:r>
      <w:r w:rsidRPr="00D3264E">
        <w:rPr>
          <w:bCs/>
          <w:lang w:val="fr-FR"/>
        </w:rPr>
        <w:t xml:space="preserve">Parmi </w:t>
      </w:r>
      <w:r w:rsidR="0028597D" w:rsidRPr="00D3264E">
        <w:rPr>
          <w:bCs/>
          <w:lang w:val="fr-FR"/>
        </w:rPr>
        <w:t xml:space="preserve">ces cas, </w:t>
      </w:r>
      <w:r w:rsidR="0000054A" w:rsidRPr="00D3264E">
        <w:rPr>
          <w:bCs/>
          <w:lang w:val="fr-FR"/>
        </w:rPr>
        <w:t xml:space="preserve">203 </w:t>
      </w:r>
      <w:r w:rsidRPr="00D3264E">
        <w:rPr>
          <w:bCs/>
          <w:lang w:val="fr-FR"/>
        </w:rPr>
        <w:t>-</w:t>
      </w:r>
      <w:r w:rsidR="00257E8D" w:rsidRPr="00D3264E">
        <w:rPr>
          <w:bCs/>
          <w:lang w:val="fr-FR"/>
        </w:rPr>
        <w:t xml:space="preserve"> soit</w:t>
      </w:r>
      <w:r w:rsidR="006D11FA" w:rsidRPr="00D3264E">
        <w:rPr>
          <w:bCs/>
          <w:lang w:val="fr-FR"/>
        </w:rPr>
        <w:t xml:space="preserve"> près de 18</w:t>
      </w:r>
      <w:r w:rsidR="00CD1996" w:rsidRPr="00D3264E">
        <w:rPr>
          <w:bCs/>
          <w:lang w:val="fr-FR"/>
        </w:rPr>
        <w:t xml:space="preserve"> </w:t>
      </w:r>
      <w:r w:rsidR="00257E8D" w:rsidRPr="00D3264E">
        <w:rPr>
          <w:bCs/>
          <w:lang w:val="fr-FR"/>
        </w:rPr>
        <w:t xml:space="preserve">pour cent du nombre total des cas de viol documentés </w:t>
      </w:r>
      <w:r w:rsidR="001E11EA" w:rsidRPr="00D3264E">
        <w:rPr>
          <w:bCs/>
          <w:lang w:val="fr-FR"/>
        </w:rPr>
        <w:t xml:space="preserve">par la DDH </w:t>
      </w:r>
      <w:r w:rsidRPr="00D3264E">
        <w:rPr>
          <w:bCs/>
          <w:lang w:val="fr-FR"/>
        </w:rPr>
        <w:t xml:space="preserve">- </w:t>
      </w:r>
      <w:r w:rsidR="0062495A" w:rsidRPr="00D3264E">
        <w:rPr>
          <w:bCs/>
          <w:lang w:val="fr-FR"/>
        </w:rPr>
        <w:t>ont</w:t>
      </w:r>
      <w:r w:rsidR="00257E8D" w:rsidRPr="00D3264E">
        <w:rPr>
          <w:bCs/>
          <w:lang w:val="fr-FR"/>
        </w:rPr>
        <w:t xml:space="preserve"> fait l’objet d’un jugement.</w:t>
      </w:r>
      <w:r w:rsidR="00B517D8" w:rsidRPr="00D3264E">
        <w:rPr>
          <w:lang w:val="fr-FR"/>
        </w:rPr>
        <w:t xml:space="preserve"> </w:t>
      </w:r>
      <w:r w:rsidR="00827D8A" w:rsidRPr="00D3264E">
        <w:rPr>
          <w:lang w:val="fr-FR"/>
        </w:rPr>
        <w:t xml:space="preserve">Tous </w:t>
      </w:r>
      <w:r w:rsidR="00A433F4" w:rsidRPr="00D3264E">
        <w:rPr>
          <w:lang w:val="fr-FR"/>
        </w:rPr>
        <w:t>l</w:t>
      </w:r>
      <w:r w:rsidR="00EA181D" w:rsidRPr="00D3264E">
        <w:rPr>
          <w:lang w:val="fr-FR"/>
        </w:rPr>
        <w:t>e</w:t>
      </w:r>
      <w:r w:rsidR="00827D8A" w:rsidRPr="00D3264E">
        <w:rPr>
          <w:lang w:val="fr-FR"/>
        </w:rPr>
        <w:t xml:space="preserve">s cas jugés </w:t>
      </w:r>
      <w:r w:rsidR="006C31BB" w:rsidRPr="00D3264E">
        <w:rPr>
          <w:lang w:val="fr-FR"/>
        </w:rPr>
        <w:t>l</w:t>
      </w:r>
      <w:r w:rsidR="0062495A" w:rsidRPr="00D3264E">
        <w:rPr>
          <w:lang w:val="fr-FR"/>
        </w:rPr>
        <w:t xml:space="preserve">’ont </w:t>
      </w:r>
      <w:r w:rsidR="00680ABF" w:rsidRPr="00D3264E">
        <w:rPr>
          <w:lang w:val="fr-FR"/>
        </w:rPr>
        <w:t xml:space="preserve">été après avoir été </w:t>
      </w:r>
      <w:r w:rsidR="00F54373" w:rsidRPr="00D3264E">
        <w:rPr>
          <w:lang w:val="fr-FR"/>
        </w:rPr>
        <w:t>«</w:t>
      </w:r>
      <w:r w:rsidR="005618A7" w:rsidRPr="00D3264E">
        <w:rPr>
          <w:lang w:val="fr-FR"/>
        </w:rPr>
        <w:t xml:space="preserve"> </w:t>
      </w:r>
      <w:r w:rsidR="00680ABF" w:rsidRPr="00D3264E">
        <w:rPr>
          <w:i/>
          <w:lang w:val="fr-FR"/>
        </w:rPr>
        <w:t>correctionnalisés</w:t>
      </w:r>
      <w:r w:rsidR="005618A7" w:rsidRPr="00D3264E">
        <w:rPr>
          <w:i/>
          <w:lang w:val="fr-FR"/>
        </w:rPr>
        <w:t xml:space="preserve"> </w:t>
      </w:r>
      <w:r w:rsidR="00F54373" w:rsidRPr="00D3264E">
        <w:rPr>
          <w:lang w:val="fr-FR"/>
        </w:rPr>
        <w:t>»</w:t>
      </w:r>
      <w:r w:rsidR="00324F9D" w:rsidRPr="00D3264E">
        <w:rPr>
          <w:lang w:val="fr-FR"/>
        </w:rPr>
        <w:t xml:space="preserve"> dans la grande majorité des cas par le parquet</w:t>
      </w:r>
      <w:r w:rsidR="00A433F4" w:rsidRPr="00D3264E">
        <w:rPr>
          <w:lang w:val="fr-FR"/>
        </w:rPr>
        <w:t>,</w:t>
      </w:r>
      <w:r w:rsidR="006C31BB" w:rsidRPr="00D3264E">
        <w:rPr>
          <w:lang w:val="fr-FR"/>
        </w:rPr>
        <w:t xml:space="preserve"> avec pour co</w:t>
      </w:r>
      <w:r w:rsidR="0055212B" w:rsidRPr="00D3264E">
        <w:rPr>
          <w:lang w:val="fr-FR"/>
        </w:rPr>
        <w:t>rollaire une requalification du viol</w:t>
      </w:r>
      <w:r w:rsidR="006C31BB" w:rsidRPr="00D3264E">
        <w:rPr>
          <w:lang w:val="fr-FR"/>
        </w:rPr>
        <w:t xml:space="preserve"> en attentat à la pudeur</w:t>
      </w:r>
      <w:r w:rsidR="0055212B" w:rsidRPr="00D3264E">
        <w:rPr>
          <w:lang w:val="fr-FR"/>
        </w:rPr>
        <w:t xml:space="preserve"> et autre délit</w:t>
      </w:r>
      <w:r w:rsidR="006C31BB" w:rsidRPr="00D3264E">
        <w:rPr>
          <w:lang w:val="fr-FR"/>
        </w:rPr>
        <w:t xml:space="preserve">. </w:t>
      </w:r>
      <w:r w:rsidR="009E1DED" w:rsidRPr="00D3264E">
        <w:rPr>
          <w:bCs/>
          <w:lang w:val="fr-FR"/>
        </w:rPr>
        <w:t>La correctionnalisation est une pratique judiciaire qui consiste à soumettre un crime (</w:t>
      </w:r>
      <w:r w:rsidRPr="00D3264E">
        <w:rPr>
          <w:bCs/>
          <w:lang w:val="fr-FR"/>
        </w:rPr>
        <w:t xml:space="preserve">dans ce cas le </w:t>
      </w:r>
      <w:r w:rsidR="009E1DED" w:rsidRPr="00D3264E">
        <w:rPr>
          <w:bCs/>
          <w:lang w:val="fr-FR"/>
        </w:rPr>
        <w:t xml:space="preserve">viol), </w:t>
      </w:r>
      <w:r w:rsidRPr="00D3264E">
        <w:rPr>
          <w:bCs/>
          <w:lang w:val="fr-FR"/>
        </w:rPr>
        <w:t xml:space="preserve">en le </w:t>
      </w:r>
      <w:r w:rsidR="009E1DED" w:rsidRPr="00D3264E">
        <w:rPr>
          <w:bCs/>
          <w:lang w:val="fr-FR"/>
        </w:rPr>
        <w:t>qualifi</w:t>
      </w:r>
      <w:r w:rsidRPr="00D3264E">
        <w:rPr>
          <w:bCs/>
          <w:lang w:val="fr-FR"/>
        </w:rPr>
        <w:t xml:space="preserve">ant de délit (en l’occurrence </w:t>
      </w:r>
      <w:r w:rsidR="009E1DED" w:rsidRPr="00D3264E">
        <w:rPr>
          <w:bCs/>
          <w:lang w:val="fr-FR"/>
        </w:rPr>
        <w:t>d’agression sexuelle ou attentat à la</w:t>
      </w:r>
      <w:r w:rsidR="00F160DF" w:rsidRPr="00D3264E">
        <w:rPr>
          <w:bCs/>
          <w:lang w:val="fr-FR"/>
        </w:rPr>
        <w:t xml:space="preserve"> pudeur</w:t>
      </w:r>
      <w:r w:rsidR="009E1DED" w:rsidRPr="00D3264E">
        <w:rPr>
          <w:bCs/>
          <w:lang w:val="fr-FR"/>
        </w:rPr>
        <w:t xml:space="preserve">), à un tribunal correctionnel en lieu et place d'un tribunal spécialisé en matière criminelle. </w:t>
      </w:r>
      <w:r w:rsidR="00F276B9" w:rsidRPr="00D3264E">
        <w:rPr>
          <w:bCs/>
          <w:lang w:val="fr-FR"/>
        </w:rPr>
        <w:t>Dans les cas documentés par la DDH, la correctionnalisation n’aurait pas ét</w:t>
      </w:r>
      <w:r w:rsidR="0031591B" w:rsidRPr="00D3264E">
        <w:rPr>
          <w:bCs/>
          <w:lang w:val="fr-FR"/>
        </w:rPr>
        <w:t>é justifiée</w:t>
      </w:r>
      <w:r w:rsidR="00F276B9" w:rsidRPr="00D3264E">
        <w:rPr>
          <w:bCs/>
          <w:lang w:val="fr-FR"/>
        </w:rPr>
        <w:t xml:space="preserve"> car</w:t>
      </w:r>
      <w:r w:rsidR="00F276B9" w:rsidRPr="00D3264E">
        <w:rPr>
          <w:lang w:val="fr-FR"/>
        </w:rPr>
        <w:t xml:space="preserve"> les faits étaient constitutifs de viol</w:t>
      </w:r>
      <w:r w:rsidR="0031591B" w:rsidRPr="00D3264E">
        <w:rPr>
          <w:lang w:val="fr-FR"/>
        </w:rPr>
        <w:t>.</w:t>
      </w:r>
    </w:p>
    <w:p w:rsidR="004022A5" w:rsidRPr="00D3264E" w:rsidRDefault="004022A5" w:rsidP="00097245">
      <w:pPr>
        <w:pStyle w:val="ListParagraph"/>
        <w:rPr>
          <w:lang w:val="fr-FR"/>
        </w:rPr>
      </w:pPr>
    </w:p>
    <w:p w:rsidR="00F607D6" w:rsidRPr="00D3264E" w:rsidRDefault="00F004BC" w:rsidP="00097245">
      <w:pPr>
        <w:pStyle w:val="ListParagraph"/>
        <w:numPr>
          <w:ilvl w:val="0"/>
          <w:numId w:val="5"/>
        </w:numPr>
        <w:ind w:left="-37"/>
        <w:jc w:val="both"/>
        <w:rPr>
          <w:lang w:val="fr-FR"/>
        </w:rPr>
      </w:pPr>
      <w:r w:rsidRPr="00D3264E">
        <w:rPr>
          <w:lang w:val="fr-FR"/>
        </w:rPr>
        <w:t xml:space="preserve">Par ailleurs, </w:t>
      </w:r>
      <w:r w:rsidR="008E5626" w:rsidRPr="00D3264E">
        <w:rPr>
          <w:lang w:val="fr-FR"/>
        </w:rPr>
        <w:t xml:space="preserve">38 </w:t>
      </w:r>
      <w:r w:rsidR="00EA181D" w:rsidRPr="00D3264E">
        <w:rPr>
          <w:lang w:val="fr-FR"/>
        </w:rPr>
        <w:t>cas</w:t>
      </w:r>
      <w:r w:rsidR="00A433F4" w:rsidRPr="00D3264E">
        <w:rPr>
          <w:lang w:val="fr-FR"/>
        </w:rPr>
        <w:t xml:space="preserve"> (</w:t>
      </w:r>
      <w:r w:rsidR="006D11FA" w:rsidRPr="00D3264E">
        <w:rPr>
          <w:lang w:val="fr-FR"/>
        </w:rPr>
        <w:t xml:space="preserve">soit trois </w:t>
      </w:r>
      <w:r w:rsidR="00A30171" w:rsidRPr="00D3264E">
        <w:rPr>
          <w:lang w:val="fr-FR"/>
        </w:rPr>
        <w:t>pour cent</w:t>
      </w:r>
      <w:r w:rsidR="00FD5D26" w:rsidRPr="00D3264E">
        <w:rPr>
          <w:bCs/>
          <w:lang w:val="fr-FR"/>
        </w:rPr>
        <w:t xml:space="preserve"> du nombre total des cas de viol documentés par la DDH</w:t>
      </w:r>
      <w:r w:rsidR="00A433F4" w:rsidRPr="00D3264E">
        <w:rPr>
          <w:lang w:val="fr-FR"/>
        </w:rPr>
        <w:t>)</w:t>
      </w:r>
      <w:r w:rsidR="0062071D" w:rsidRPr="00D3264E">
        <w:rPr>
          <w:lang w:val="fr-FR"/>
        </w:rPr>
        <w:t xml:space="preserve"> </w:t>
      </w:r>
      <w:r w:rsidR="0062495A" w:rsidRPr="00D3264E">
        <w:rPr>
          <w:lang w:val="fr-FR"/>
        </w:rPr>
        <w:t xml:space="preserve">ont </w:t>
      </w:r>
      <w:r w:rsidR="0062071D" w:rsidRPr="00D3264E">
        <w:rPr>
          <w:lang w:val="fr-FR"/>
        </w:rPr>
        <w:t xml:space="preserve">fait l’objet d’un </w:t>
      </w:r>
      <w:r w:rsidR="008F0A07" w:rsidRPr="00D3264E">
        <w:rPr>
          <w:lang w:val="fr-FR"/>
        </w:rPr>
        <w:t>règlement</w:t>
      </w:r>
      <w:r w:rsidR="0062071D" w:rsidRPr="00D3264E">
        <w:rPr>
          <w:lang w:val="fr-FR"/>
        </w:rPr>
        <w:t xml:space="preserve"> à l’amiable</w:t>
      </w:r>
      <w:r w:rsidR="00490D98" w:rsidRPr="00D3264E">
        <w:rPr>
          <w:lang w:val="fr-FR"/>
        </w:rPr>
        <w:t xml:space="preserve"> </w:t>
      </w:r>
      <w:r w:rsidR="001055BB" w:rsidRPr="00D3264E">
        <w:rPr>
          <w:lang w:val="fr-FR"/>
        </w:rPr>
        <w:t>et 14 cas</w:t>
      </w:r>
      <w:r w:rsidR="00A433F4" w:rsidRPr="00D3264E">
        <w:rPr>
          <w:lang w:val="fr-FR"/>
        </w:rPr>
        <w:t xml:space="preserve"> (</w:t>
      </w:r>
      <w:r w:rsidR="00FD5D26" w:rsidRPr="00D3264E">
        <w:rPr>
          <w:lang w:val="fr-FR"/>
        </w:rPr>
        <w:t>soit un</w:t>
      </w:r>
      <w:r w:rsidR="008E5626" w:rsidRPr="00D3264E">
        <w:rPr>
          <w:lang w:val="fr-FR"/>
        </w:rPr>
        <w:t xml:space="preserve"> pour cent</w:t>
      </w:r>
      <w:r w:rsidR="00FD5D26" w:rsidRPr="00D3264E">
        <w:rPr>
          <w:bCs/>
          <w:lang w:val="fr-FR"/>
        </w:rPr>
        <w:t xml:space="preserve"> du nombre total des cas de viol documentés par la DDH</w:t>
      </w:r>
      <w:r w:rsidR="00A433F4" w:rsidRPr="00D3264E">
        <w:rPr>
          <w:lang w:val="fr-FR"/>
        </w:rPr>
        <w:t xml:space="preserve">) </w:t>
      </w:r>
      <w:r w:rsidR="0062495A" w:rsidRPr="00D3264E">
        <w:rPr>
          <w:lang w:val="fr-FR"/>
        </w:rPr>
        <w:t>on</w:t>
      </w:r>
      <w:r w:rsidR="0062071D" w:rsidRPr="00D3264E">
        <w:rPr>
          <w:lang w:val="fr-FR"/>
        </w:rPr>
        <w:t>t été classés sans suite. Pour</w:t>
      </w:r>
      <w:r w:rsidR="001055BB" w:rsidRPr="00D3264E">
        <w:rPr>
          <w:lang w:val="fr-FR"/>
        </w:rPr>
        <w:t xml:space="preserve"> 5</w:t>
      </w:r>
      <w:r w:rsidR="0000054A" w:rsidRPr="00D3264E">
        <w:rPr>
          <w:lang w:val="fr-FR"/>
        </w:rPr>
        <w:t xml:space="preserve">6 </w:t>
      </w:r>
      <w:r w:rsidR="008E5626" w:rsidRPr="00D3264E">
        <w:rPr>
          <w:lang w:val="fr-FR"/>
        </w:rPr>
        <w:t>cas</w:t>
      </w:r>
      <w:r w:rsidR="00A433F4" w:rsidRPr="00D3264E">
        <w:rPr>
          <w:lang w:val="fr-FR"/>
        </w:rPr>
        <w:t xml:space="preserve"> (</w:t>
      </w:r>
      <w:r w:rsidR="001055BB" w:rsidRPr="00D3264E">
        <w:rPr>
          <w:lang w:val="fr-FR"/>
        </w:rPr>
        <w:t xml:space="preserve">soit </w:t>
      </w:r>
      <w:r w:rsidR="00CD1996" w:rsidRPr="00D3264E">
        <w:rPr>
          <w:lang w:val="fr-FR"/>
        </w:rPr>
        <w:t>près de cinq</w:t>
      </w:r>
      <w:r w:rsidR="008E5626" w:rsidRPr="00D3264E">
        <w:rPr>
          <w:lang w:val="fr-FR"/>
        </w:rPr>
        <w:t xml:space="preserve"> pour cent</w:t>
      </w:r>
      <w:r w:rsidR="00FD5D26" w:rsidRPr="00D3264E">
        <w:rPr>
          <w:bCs/>
          <w:lang w:val="fr-FR"/>
        </w:rPr>
        <w:t xml:space="preserve"> du nombre total des cas de viol documentés par la DDH</w:t>
      </w:r>
      <w:r w:rsidR="00A433F4" w:rsidRPr="00D3264E">
        <w:rPr>
          <w:lang w:val="fr-FR"/>
        </w:rPr>
        <w:t xml:space="preserve">), </w:t>
      </w:r>
      <w:r w:rsidR="0062071D" w:rsidRPr="00D3264E">
        <w:rPr>
          <w:lang w:val="fr-FR"/>
        </w:rPr>
        <w:t>les</w:t>
      </w:r>
      <w:r w:rsidR="0062495A" w:rsidRPr="00D3264E">
        <w:rPr>
          <w:lang w:val="fr-FR"/>
        </w:rPr>
        <w:t xml:space="preserve"> victimes ou leur famille n’ont </w:t>
      </w:r>
      <w:r w:rsidR="0062071D" w:rsidRPr="00D3264E">
        <w:rPr>
          <w:lang w:val="fr-FR"/>
        </w:rPr>
        <w:t>pas porté plainte.</w:t>
      </w:r>
      <w:r w:rsidR="009E1DED" w:rsidRPr="00D3264E">
        <w:rPr>
          <w:bCs/>
          <w:lang w:val="fr-FR"/>
        </w:rPr>
        <w:t xml:space="preserve"> </w:t>
      </w:r>
    </w:p>
    <w:p w:rsidR="00F607D6" w:rsidRPr="00D3264E" w:rsidRDefault="00F607D6" w:rsidP="00097245">
      <w:pPr>
        <w:pStyle w:val="ListParagraph"/>
        <w:ind w:left="0"/>
        <w:jc w:val="both"/>
        <w:rPr>
          <w:bCs/>
          <w:lang w:val="fr-FR"/>
        </w:rPr>
      </w:pPr>
    </w:p>
    <w:p w:rsidR="000E1E7F" w:rsidRPr="00D3264E" w:rsidRDefault="000E1E7F" w:rsidP="00097245">
      <w:pPr>
        <w:pStyle w:val="Heading1"/>
        <w:numPr>
          <w:ilvl w:val="0"/>
          <w:numId w:val="1"/>
        </w:numPr>
        <w:jc w:val="both"/>
        <w:rPr>
          <w:rFonts w:ascii="Times New Roman" w:hAnsi="Times New Roman"/>
          <w:sz w:val="24"/>
          <w:szCs w:val="24"/>
          <w:lang w:val="fr-FR"/>
        </w:rPr>
      </w:pPr>
      <w:bookmarkStart w:id="30" w:name="_Toc455746287"/>
      <w:r w:rsidRPr="00D3264E">
        <w:rPr>
          <w:rFonts w:ascii="Times New Roman" w:hAnsi="Times New Roman"/>
          <w:sz w:val="24"/>
          <w:szCs w:val="24"/>
          <w:lang w:val="fr-FR"/>
        </w:rPr>
        <w:t>Principaux obstacles à la répression judiciaire du viol</w:t>
      </w:r>
      <w:bookmarkEnd w:id="30"/>
    </w:p>
    <w:p w:rsidR="000E1E7F" w:rsidRPr="00D3264E" w:rsidRDefault="000E1E7F" w:rsidP="00097245">
      <w:pPr>
        <w:pStyle w:val="Heading2"/>
        <w:spacing w:before="0"/>
        <w:jc w:val="both"/>
        <w:rPr>
          <w:rFonts w:ascii="Times New Roman" w:hAnsi="Times New Roman"/>
          <w:color w:val="auto"/>
          <w:sz w:val="24"/>
          <w:szCs w:val="24"/>
          <w:lang w:val="fr-FR"/>
        </w:rPr>
      </w:pPr>
      <w:bookmarkStart w:id="31" w:name="_Toc418237727"/>
    </w:p>
    <w:p w:rsidR="000E1E7F" w:rsidRPr="00D3264E" w:rsidRDefault="000E1E7F" w:rsidP="00097245">
      <w:pPr>
        <w:pStyle w:val="Heading2"/>
        <w:numPr>
          <w:ilvl w:val="0"/>
          <w:numId w:val="11"/>
        </w:numPr>
        <w:spacing w:before="0"/>
        <w:jc w:val="both"/>
        <w:rPr>
          <w:rFonts w:ascii="Times New Roman" w:hAnsi="Times New Roman"/>
          <w:color w:val="auto"/>
          <w:sz w:val="24"/>
          <w:szCs w:val="24"/>
          <w:lang w:val="fr-FR"/>
        </w:rPr>
      </w:pPr>
      <w:bookmarkStart w:id="32" w:name="_Toc455746288"/>
      <w:r w:rsidRPr="00D3264E">
        <w:rPr>
          <w:rFonts w:ascii="Times New Roman" w:hAnsi="Times New Roman"/>
          <w:color w:val="auto"/>
          <w:sz w:val="24"/>
          <w:szCs w:val="24"/>
          <w:lang w:val="fr-FR"/>
        </w:rPr>
        <w:t>La procédure judiciaire</w:t>
      </w:r>
      <w:bookmarkEnd w:id="31"/>
      <w:bookmarkEnd w:id="32"/>
    </w:p>
    <w:p w:rsidR="000E1E7F" w:rsidRPr="00D3264E" w:rsidRDefault="000E1E7F" w:rsidP="00097245">
      <w:pPr>
        <w:jc w:val="both"/>
        <w:rPr>
          <w:lang w:val="fr-FR"/>
        </w:rPr>
      </w:pPr>
    </w:p>
    <w:p w:rsidR="000E1E7F" w:rsidRPr="00D3264E" w:rsidRDefault="000E1E7F" w:rsidP="00097245">
      <w:pPr>
        <w:pStyle w:val="ListParagraph"/>
        <w:numPr>
          <w:ilvl w:val="0"/>
          <w:numId w:val="18"/>
        </w:numPr>
        <w:jc w:val="both"/>
        <w:rPr>
          <w:lang w:val="fr-FR"/>
        </w:rPr>
      </w:pPr>
      <w:r w:rsidRPr="00D3264E">
        <w:rPr>
          <w:u w:val="single"/>
          <w:lang w:val="fr-FR"/>
        </w:rPr>
        <w:t>Les enquêtes</w:t>
      </w:r>
      <w:r w:rsidRPr="00D3264E">
        <w:rPr>
          <w:lang w:val="fr-FR"/>
        </w:rPr>
        <w:t> :</w:t>
      </w:r>
    </w:p>
    <w:p w:rsidR="000E1E7F" w:rsidRPr="00D3264E" w:rsidRDefault="000E1E7F" w:rsidP="00097245">
      <w:pPr>
        <w:rPr>
          <w:lang w:val="fr-FR"/>
        </w:rPr>
      </w:pPr>
    </w:p>
    <w:p w:rsidR="000E1E7F" w:rsidRPr="00D3264E" w:rsidRDefault="000E1E7F" w:rsidP="00097245">
      <w:pPr>
        <w:numPr>
          <w:ilvl w:val="0"/>
          <w:numId w:val="5"/>
        </w:numPr>
        <w:ind w:left="-72"/>
        <w:contextualSpacing/>
        <w:jc w:val="both"/>
        <w:rPr>
          <w:lang w:val="fr-FR"/>
        </w:rPr>
      </w:pPr>
      <w:r w:rsidRPr="00D3264E">
        <w:rPr>
          <w:lang w:val="fr-FR"/>
        </w:rPr>
        <w:t xml:space="preserve">Au cours de l’observation qu’elle a effectuée dans le cadre de la rédaction de ce rapport, la DDH a pu </w:t>
      </w:r>
      <w:r w:rsidR="007C0983" w:rsidRPr="00D3264E">
        <w:rPr>
          <w:lang w:val="fr-FR"/>
        </w:rPr>
        <w:t xml:space="preserve">constater </w:t>
      </w:r>
      <w:r w:rsidRPr="00D3264E">
        <w:rPr>
          <w:lang w:val="fr-FR"/>
        </w:rPr>
        <w:t xml:space="preserve">plusieurs dysfonctionnements au niveau de la conduite des enquêtes sur les cas de viol qu’elle avait documentés, notamment au niveau de la gestion des enquêtes et de la récolte et de l’analyse des éléments de preuve par les officiers de police judiciaire. </w:t>
      </w:r>
    </w:p>
    <w:p w:rsidR="000E1E7F" w:rsidRPr="00D3264E" w:rsidRDefault="000E1E7F" w:rsidP="00097245">
      <w:pPr>
        <w:ind w:left="-72"/>
        <w:contextualSpacing/>
        <w:jc w:val="both"/>
        <w:rPr>
          <w:lang w:val="fr-FR"/>
        </w:rPr>
      </w:pPr>
    </w:p>
    <w:p w:rsidR="000E1E7F" w:rsidRPr="00D3264E" w:rsidRDefault="000E1E7F" w:rsidP="00097245">
      <w:pPr>
        <w:numPr>
          <w:ilvl w:val="0"/>
          <w:numId w:val="5"/>
        </w:numPr>
        <w:ind w:left="-72"/>
        <w:contextualSpacing/>
        <w:jc w:val="both"/>
        <w:rPr>
          <w:lang w:val="fr-FR"/>
        </w:rPr>
      </w:pPr>
      <w:r w:rsidRPr="00D3264E">
        <w:rPr>
          <w:lang w:val="fr-FR"/>
        </w:rPr>
        <w:t xml:space="preserve">Il ressort des entretiens menés par la DDH que, dans plusieurs cas, il a été demandé à la victime d’apporter la preuve de ce qu’elle avançait, voire de donner des précisions sur l’identité de son agresseur, avant de pouvoir porter plainte. </w:t>
      </w:r>
    </w:p>
    <w:p w:rsidR="000E1E7F" w:rsidRPr="00D3264E" w:rsidRDefault="000E1E7F" w:rsidP="00097245">
      <w:pPr>
        <w:pStyle w:val="ListParagraph"/>
        <w:rPr>
          <w:lang w:val="fr-FR"/>
        </w:rPr>
      </w:pPr>
    </w:p>
    <w:p w:rsidR="000E1E7F" w:rsidRPr="00D3264E" w:rsidRDefault="000E1E7F" w:rsidP="00097245">
      <w:pPr>
        <w:numPr>
          <w:ilvl w:val="0"/>
          <w:numId w:val="5"/>
        </w:numPr>
        <w:ind w:left="-72"/>
        <w:contextualSpacing/>
        <w:jc w:val="both"/>
        <w:rPr>
          <w:lang w:val="fr-FR"/>
        </w:rPr>
      </w:pPr>
      <w:r w:rsidRPr="00D3264E">
        <w:rPr>
          <w:lang w:val="fr-FR"/>
        </w:rPr>
        <w:t xml:space="preserve">A plusieurs reprises, la police judiciaire ou la gendarmerie en charge de l’enquête a en outre exigé des victimes qu’elles fournissent un certificat médical. Pourtant le certificat médical n’est pas obligatoire au moment du dépôt de la plainte, comme l’a rappelé la circulaire émise par le </w:t>
      </w:r>
      <w:r w:rsidR="00D17C27" w:rsidRPr="00D3264E">
        <w:rPr>
          <w:lang w:val="fr-FR"/>
        </w:rPr>
        <w:t xml:space="preserve">Ministère </w:t>
      </w:r>
      <w:r w:rsidR="00D17C27" w:rsidRPr="00D3264E">
        <w:rPr>
          <w:bCs/>
          <w:lang w:val="fr-FR"/>
        </w:rPr>
        <w:t>de la Justice, des Droits de l'Homme et des Libertés Publiques (</w:t>
      </w:r>
      <w:r w:rsidRPr="00D3264E">
        <w:rPr>
          <w:bCs/>
          <w:lang w:val="fr-FR"/>
        </w:rPr>
        <w:t>MJDHLP</w:t>
      </w:r>
      <w:r w:rsidR="00D17C27" w:rsidRPr="00D3264E">
        <w:rPr>
          <w:bCs/>
          <w:lang w:val="fr-FR"/>
        </w:rPr>
        <w:t>)</w:t>
      </w:r>
      <w:r w:rsidRPr="00D3264E">
        <w:rPr>
          <w:bCs/>
          <w:lang w:val="fr-FR"/>
        </w:rPr>
        <w:t xml:space="preserve"> en mars </w:t>
      </w:r>
      <w:r w:rsidRPr="00D3264E">
        <w:rPr>
          <w:bCs/>
          <w:lang w:val="fr-FR"/>
        </w:rPr>
        <w:lastRenderedPageBreak/>
        <w:t>2014</w:t>
      </w:r>
      <w:r w:rsidRPr="00D3264E">
        <w:rPr>
          <w:rStyle w:val="FootnoteReference"/>
          <w:bCs/>
          <w:lang w:val="fr-FR"/>
        </w:rPr>
        <w:footnoteReference w:id="34"/>
      </w:r>
      <w:r w:rsidRPr="00D3264E">
        <w:rPr>
          <w:bCs/>
          <w:lang w:val="fr-FR"/>
        </w:rPr>
        <w:t xml:space="preserve">. </w:t>
      </w:r>
      <w:r w:rsidRPr="00D3264E">
        <w:rPr>
          <w:lang w:val="fr-FR"/>
        </w:rPr>
        <w:t>Ainsi, le certificat médical peut être produit bien après le dépôt de plainte, à condition que la victime ait consulté un médecin le plus tôt possible après le viol et que le médecin ait constitué un dossier médical qu’il aura gardé confidentiellement. En effet, à tout moment de la procédure judiciaire, le procureur peut demander au médecin de rouvrir le dossier et de rédiger un certificat médical sur simple réquisition, sous peine d’encourir des sanctions correspondant à une amende de 6.000 à 12.000 FCFA (12 à 24 USD)</w:t>
      </w:r>
      <w:r w:rsidRPr="00D3264E">
        <w:rPr>
          <w:rStyle w:val="FootnoteReference"/>
          <w:lang w:val="fr-FR"/>
        </w:rPr>
        <w:footnoteReference w:id="35"/>
      </w:r>
      <w:r w:rsidRPr="00D3264E">
        <w:rPr>
          <w:lang w:val="fr-FR"/>
        </w:rPr>
        <w:t xml:space="preserve">. </w:t>
      </w:r>
    </w:p>
    <w:p w:rsidR="000E1E7F" w:rsidRPr="00D3264E" w:rsidRDefault="000E1E7F" w:rsidP="00097245">
      <w:pPr>
        <w:pStyle w:val="ListParagraph"/>
        <w:rPr>
          <w:lang w:val="fr-FR"/>
        </w:rPr>
      </w:pPr>
    </w:p>
    <w:p w:rsidR="000E1E7F" w:rsidRPr="00D3264E" w:rsidRDefault="000E1E7F" w:rsidP="00097245">
      <w:pPr>
        <w:numPr>
          <w:ilvl w:val="0"/>
          <w:numId w:val="5"/>
        </w:numPr>
        <w:ind w:left="-72"/>
        <w:contextualSpacing/>
        <w:jc w:val="both"/>
        <w:rPr>
          <w:lang w:val="fr-FR"/>
        </w:rPr>
      </w:pPr>
      <w:r w:rsidRPr="00D3264E">
        <w:rPr>
          <w:lang w:val="fr-FR"/>
        </w:rPr>
        <w:t xml:space="preserve">Il est aussi important de noter que le coût d’un certificat médical varie entre 30.000 et 50.000 FCFA (60 et 100 USD) et est hors de portée pour la majorité des victimes. </w:t>
      </w:r>
      <w:r w:rsidRPr="00D3264E">
        <w:rPr>
          <w:bCs/>
          <w:lang w:val="fr-FR"/>
        </w:rPr>
        <w:t xml:space="preserve">Depuis 2012, les </w:t>
      </w:r>
      <w:r w:rsidRPr="00D3264E">
        <w:rPr>
          <w:lang w:val="fr-FR" w:eastAsia="fr-FR"/>
        </w:rPr>
        <w:t xml:space="preserve">Nations Unies mènent un plaidoyer pour la gratuité du certificat médical pour les victimes de viol. Toutefois, </w:t>
      </w:r>
      <w:r w:rsidRPr="00D3264E">
        <w:rPr>
          <w:lang w:val="fr-FR"/>
        </w:rPr>
        <w:t xml:space="preserve">seuls quelques médecins, souvent membres des plateformes de lutte contre les violences basées sur le genre, acceptent de délivrer gratuitement des certificats médicaux. Les médecins militaires qui exercent dans les hôpitaux militaires sont tenus de délivrer gratuitement le certificat médical suite à un engagement pris par la Côte d’Ivoire dans le cadre de la lutte contre les violences sexuelles liées au conflit. Par ailleurs, le Procureur de la République ou les officiers de police judiciaire peuvent réquisitionner les médecins pour établir le certificat médical. Toutefois, certains médecins, même réquisitionnés, refusent de s’exécuter malgré les sanctions qu’ils peuvent encourir. </w:t>
      </w:r>
    </w:p>
    <w:p w:rsidR="000E1E7F" w:rsidRPr="00D3264E" w:rsidRDefault="000E1E7F" w:rsidP="00097245">
      <w:pPr>
        <w:pStyle w:val="ListParagraph"/>
        <w:rPr>
          <w:lang w:val="fr-FR"/>
        </w:rPr>
      </w:pPr>
    </w:p>
    <w:p w:rsidR="000E1E7F" w:rsidRPr="00D3264E" w:rsidRDefault="000E1E7F" w:rsidP="00097245">
      <w:pPr>
        <w:numPr>
          <w:ilvl w:val="0"/>
          <w:numId w:val="5"/>
        </w:numPr>
        <w:ind w:left="-72"/>
        <w:contextualSpacing/>
        <w:jc w:val="both"/>
        <w:rPr>
          <w:lang w:val="fr-FR"/>
        </w:rPr>
      </w:pPr>
      <w:r w:rsidRPr="00D3264E">
        <w:rPr>
          <w:lang w:val="fr-FR"/>
        </w:rPr>
        <w:t xml:space="preserve">Selon les témoignages concordants de magistrats et d’officiers de police judiciaire rencontrés par la DDH, des difficultés subsistent également au niveau de la preuve du viol. </w:t>
      </w:r>
      <w:r w:rsidRPr="00D3264E">
        <w:rPr>
          <w:lang w:val="fr-FR" w:eastAsia="fr-FR"/>
        </w:rPr>
        <w:t>Outre le certificat médical, il existe en effet plusieurs autres outils pour établir le viol, tels que l’expertise psychologique, l’examen de la scène du crime, les enquêtes de moralité de l’inculpé</w:t>
      </w:r>
      <w:r w:rsidRPr="00D3264E">
        <w:rPr>
          <w:rStyle w:val="FootnoteReference"/>
          <w:lang w:val="fr-FR" w:eastAsia="fr-FR"/>
        </w:rPr>
        <w:footnoteReference w:id="36"/>
      </w:r>
      <w:r w:rsidRPr="00D3264E">
        <w:rPr>
          <w:lang w:val="fr-FR" w:eastAsia="fr-FR"/>
        </w:rPr>
        <w:t xml:space="preserve"> et la confrontation,</w:t>
      </w:r>
      <w:r w:rsidRPr="00D3264E">
        <w:rPr>
          <w:lang w:val="fr-FR"/>
        </w:rPr>
        <w:t xml:space="preserve"> en tenant compte des possibles traumatismes auxquels font face les victimes de violence</w:t>
      </w:r>
      <w:r w:rsidR="00154834" w:rsidRPr="00D3264E">
        <w:rPr>
          <w:lang w:val="fr-FR"/>
        </w:rPr>
        <w:t>s</w:t>
      </w:r>
      <w:r w:rsidRPr="00D3264E">
        <w:rPr>
          <w:lang w:val="fr-FR"/>
        </w:rPr>
        <w:t xml:space="preserve"> sexuelle</w:t>
      </w:r>
      <w:r w:rsidR="00154834" w:rsidRPr="00D3264E">
        <w:rPr>
          <w:lang w:val="fr-FR"/>
        </w:rPr>
        <w:t>s</w:t>
      </w:r>
      <w:r w:rsidRPr="00D3264E">
        <w:rPr>
          <w:lang w:val="fr-FR"/>
        </w:rPr>
        <w:t>, ainsi que des mesures appropriées de sécurité et de confidentialité</w:t>
      </w:r>
      <w:r w:rsidRPr="00D3264E">
        <w:rPr>
          <w:lang w:val="fr-FR" w:eastAsia="fr-FR"/>
        </w:rPr>
        <w:t xml:space="preserve">. </w:t>
      </w:r>
      <w:r w:rsidRPr="00D3264E">
        <w:rPr>
          <w:lang w:val="fr-FR"/>
        </w:rPr>
        <w:t>Mais bien souvent les officiers de police judiciaire n’ont pas recours à ces différents types de preuve, invoquant le manque de moyens, notamment de transport, pour se rendre sur les lieux et mener les enquêtes, ou même pour remettre les convocations aux personnes suspectées. Or les officiers de police judiciaire ont en principe l’obligation de constater les infractions à la loi pénale, d’en rassembler les preuves et d’en rechercher les auteurs, tant qu’une information n’est pas ouverte.</w:t>
      </w:r>
      <w:r w:rsidRPr="00D3264E">
        <w:rPr>
          <w:rStyle w:val="FootnoteReference"/>
          <w:lang w:val="fr-FR"/>
        </w:rPr>
        <w:footnoteReference w:id="37"/>
      </w:r>
      <w:r w:rsidRPr="00D3264E">
        <w:rPr>
          <w:lang w:val="fr-FR"/>
        </w:rPr>
        <w:t xml:space="preserve">  </w:t>
      </w:r>
    </w:p>
    <w:p w:rsidR="000E1E7F" w:rsidRPr="00D3264E" w:rsidRDefault="000E1E7F" w:rsidP="00097245">
      <w:pPr>
        <w:pStyle w:val="ListParagraph"/>
        <w:rPr>
          <w:lang w:val="fr-FR"/>
        </w:rPr>
      </w:pPr>
    </w:p>
    <w:p w:rsidR="000E1E7F" w:rsidRPr="00D3264E" w:rsidRDefault="000E1E7F" w:rsidP="00097245">
      <w:pPr>
        <w:numPr>
          <w:ilvl w:val="0"/>
          <w:numId w:val="5"/>
        </w:numPr>
        <w:ind w:left="-72"/>
        <w:contextualSpacing/>
        <w:jc w:val="both"/>
        <w:rPr>
          <w:lang w:val="fr-FR"/>
        </w:rPr>
      </w:pPr>
      <w:r w:rsidRPr="00D3264E">
        <w:rPr>
          <w:lang w:val="fr-FR"/>
        </w:rPr>
        <w:t xml:space="preserve">Enfin, il </w:t>
      </w:r>
      <w:r w:rsidR="007C0983" w:rsidRPr="00D3264E">
        <w:rPr>
          <w:lang w:val="fr-FR"/>
        </w:rPr>
        <w:t xml:space="preserve">convient </w:t>
      </w:r>
      <w:r w:rsidRPr="00D3264E">
        <w:rPr>
          <w:lang w:val="fr-FR"/>
        </w:rPr>
        <w:t>de rappeler que le Tribunal militaire est compétent pour les infractions à caractère sexuel commises par les éléments des FRCI, les gendarmes ou les policiers dans la mesure où elles sont commises durant leur service. La poursuite de ces crimes par la juridiction militaire fait face à différents obstacles, notamment du fait qu’un seul tribunal militaire existe en Côte d’Ivoire, à savoir à Abidjan, pour traiter les infractions commises sur l’ensemble du territoire. Il est également à noter que les ordres de poursuite devant le Tribunal militaire doivent être pris par les ministères de tutelle des personnes suspectées, ce qui en quelque sorte assujettit toute poursuite judiciaire à un</w:t>
      </w:r>
      <w:r w:rsidR="00F1527D" w:rsidRPr="00D3264E">
        <w:rPr>
          <w:lang w:val="fr-FR"/>
        </w:rPr>
        <w:t>e décision du pouvoir exécutif.</w:t>
      </w:r>
    </w:p>
    <w:p w:rsidR="000E1E7F" w:rsidRPr="00D3264E" w:rsidRDefault="000E1E7F" w:rsidP="00097245">
      <w:pPr>
        <w:pStyle w:val="ListParagraph"/>
        <w:numPr>
          <w:ilvl w:val="0"/>
          <w:numId w:val="18"/>
        </w:numPr>
        <w:jc w:val="both"/>
        <w:rPr>
          <w:lang w:val="fr-FR"/>
        </w:rPr>
      </w:pPr>
      <w:r w:rsidRPr="00D3264E">
        <w:rPr>
          <w:u w:val="single"/>
          <w:lang w:val="fr-FR"/>
        </w:rPr>
        <w:lastRenderedPageBreak/>
        <w:t>La procédure devant la Cour d’assises et la qualification juridique des faits</w:t>
      </w:r>
      <w:r w:rsidRPr="00D3264E">
        <w:rPr>
          <w:lang w:val="fr-FR"/>
        </w:rPr>
        <w:t> :</w:t>
      </w:r>
    </w:p>
    <w:p w:rsidR="000E1E7F" w:rsidRPr="00D3264E" w:rsidRDefault="000E1E7F" w:rsidP="00097245">
      <w:pPr>
        <w:ind w:left="360"/>
        <w:jc w:val="both"/>
        <w:rPr>
          <w:lang w:val="fr-FR"/>
        </w:rPr>
      </w:pPr>
    </w:p>
    <w:p w:rsidR="000E1E7F" w:rsidRPr="00D3264E" w:rsidRDefault="000E1E7F" w:rsidP="00097245">
      <w:pPr>
        <w:pStyle w:val="ListParagraph"/>
        <w:numPr>
          <w:ilvl w:val="0"/>
          <w:numId w:val="5"/>
        </w:numPr>
        <w:ind w:left="-72"/>
        <w:jc w:val="both"/>
        <w:rPr>
          <w:lang w:val="fr-FR"/>
        </w:rPr>
      </w:pPr>
      <w:r w:rsidRPr="00D3264E">
        <w:rPr>
          <w:lang w:val="fr-FR"/>
        </w:rPr>
        <w:t>Les crises qu’a connues la Côte d’Ivoire depuis 1999 ont eu pour corollaire, entre 2001 et 2014, la non tenue de sessions</w:t>
      </w:r>
      <w:r w:rsidRPr="00D3264E">
        <w:rPr>
          <w:vertAlign w:val="superscript"/>
        </w:rPr>
        <w:footnoteReference w:id="38"/>
      </w:r>
      <w:r w:rsidRPr="00D3264E">
        <w:rPr>
          <w:lang w:val="fr-FR"/>
        </w:rPr>
        <w:t xml:space="preserve"> par les Cours d’assises, qui sont compétentes pour juger le viol en tant que crime au regard de la loi ivoirienne. Durant cette période, certains crimes, notamment les viols, ont été «</w:t>
      </w:r>
      <w:r w:rsidR="005618A7" w:rsidRPr="00D3264E">
        <w:rPr>
          <w:lang w:val="fr-FR"/>
        </w:rPr>
        <w:t xml:space="preserve"> </w:t>
      </w:r>
      <w:r w:rsidRPr="00D3264E">
        <w:rPr>
          <w:i/>
          <w:lang w:val="fr-FR"/>
        </w:rPr>
        <w:t>correctionnalisés</w:t>
      </w:r>
      <w:r w:rsidR="005618A7" w:rsidRPr="00D3264E">
        <w:rPr>
          <w:i/>
          <w:lang w:val="fr-FR"/>
        </w:rPr>
        <w:t xml:space="preserve"> </w:t>
      </w:r>
      <w:r w:rsidRPr="00D3264E">
        <w:rPr>
          <w:lang w:val="fr-FR"/>
        </w:rPr>
        <w:t>» afin de donner une forme de justice aux victimes et de trouver une solution à la situation de nombreuses personnes en détention pr</w:t>
      </w:r>
      <w:r w:rsidR="003034D9" w:rsidRPr="00D3264E">
        <w:rPr>
          <w:lang w:val="fr-FR"/>
        </w:rPr>
        <w:t>éventive</w:t>
      </w:r>
      <w:r w:rsidRPr="00D3264E">
        <w:rPr>
          <w:lang w:val="fr-FR"/>
        </w:rPr>
        <w:t xml:space="preserve"> depuis plusieurs années dans l’attente de comparaître devant les Cours d’assises et de faciliter leur jugement rapide. </w:t>
      </w:r>
    </w:p>
    <w:p w:rsidR="000E1E7F" w:rsidRPr="00D3264E" w:rsidRDefault="000E1E7F" w:rsidP="00097245">
      <w:pPr>
        <w:pStyle w:val="ListParagraph"/>
        <w:ind w:left="-72"/>
        <w:jc w:val="both"/>
        <w:rPr>
          <w:lang w:val="fr-FR"/>
        </w:rPr>
      </w:pPr>
    </w:p>
    <w:p w:rsidR="000E1E7F" w:rsidRPr="00D3264E" w:rsidRDefault="000E1E7F" w:rsidP="00097245">
      <w:pPr>
        <w:pStyle w:val="ListParagraph"/>
        <w:numPr>
          <w:ilvl w:val="0"/>
          <w:numId w:val="5"/>
        </w:numPr>
        <w:ind w:left="-72"/>
        <w:jc w:val="both"/>
        <w:rPr>
          <w:lang w:val="fr-FR"/>
        </w:rPr>
      </w:pPr>
      <w:r w:rsidRPr="00D3264E">
        <w:rPr>
          <w:lang w:val="fr-FR"/>
        </w:rPr>
        <w:t>L’absence de définition du viol</w:t>
      </w:r>
      <w:r w:rsidRPr="00D3264E">
        <w:rPr>
          <w:vertAlign w:val="superscript"/>
        </w:rPr>
        <w:footnoteReference w:id="39"/>
      </w:r>
      <w:r w:rsidRPr="00D3264E">
        <w:rPr>
          <w:lang w:val="fr-FR"/>
        </w:rPr>
        <w:t xml:space="preserve"> et de l’attentat à la pudeur dans le Code pénal ivoirien et leur catégorisation sous le chapitre des attentats aux mœurs plutôt que sous le chapitre de l’atteinte à l’intégrité physique laissent aux juges une certaine flexibilité dans le cadre de la qualification des faits. Cela a une incidence importan</w:t>
      </w:r>
      <w:r w:rsidR="00C73BDC" w:rsidRPr="00D3264E">
        <w:rPr>
          <w:lang w:val="fr-FR"/>
        </w:rPr>
        <w:t>t</w:t>
      </w:r>
      <w:r w:rsidRPr="00D3264E">
        <w:rPr>
          <w:lang w:val="fr-FR"/>
        </w:rPr>
        <w:t>e sur la peine qui peut être prononcée à l’encontre de l’auteur du viol dans la mesure où la peine prévue pour l’attentat à la pudeur est nettement inférieure à la peine prévue pour le viol. En effet la peine encourue pour l’attentat à la pudeur peut aller de deux à cinq ans d’emprisonnement, voir 10 ans en cas de circonstances aggravantes notamment lorsque la victime a moins de 15 ans</w:t>
      </w:r>
      <w:r w:rsidRPr="00D3264E">
        <w:rPr>
          <w:vertAlign w:val="superscript"/>
        </w:rPr>
        <w:footnoteReference w:id="40"/>
      </w:r>
      <w:r w:rsidRPr="00D3264E">
        <w:rPr>
          <w:lang w:val="fr-FR"/>
        </w:rPr>
        <w:t>, tandis que la peine pour le viol</w:t>
      </w:r>
      <w:r w:rsidRPr="00D3264E">
        <w:rPr>
          <w:vertAlign w:val="superscript"/>
        </w:rPr>
        <w:footnoteReference w:id="41"/>
      </w:r>
      <w:r w:rsidRPr="00D3264E">
        <w:rPr>
          <w:vertAlign w:val="superscript"/>
          <w:lang w:val="fr-FR"/>
        </w:rPr>
        <w:t xml:space="preserve"> </w:t>
      </w:r>
      <w:r w:rsidRPr="00D3264E">
        <w:rPr>
          <w:lang w:val="fr-FR"/>
        </w:rPr>
        <w:t xml:space="preserve">varie entre cinq et 20 ans d’emprisonnement, voire l’emprisonnement à vie en cas de circonstances aggravantes. </w:t>
      </w:r>
    </w:p>
    <w:p w:rsidR="000E1E7F" w:rsidRPr="00D3264E" w:rsidRDefault="000E1E7F" w:rsidP="00097245">
      <w:pPr>
        <w:pStyle w:val="ListParagraph"/>
        <w:ind w:left="-72"/>
        <w:jc w:val="both"/>
        <w:rPr>
          <w:lang w:val="fr-FR"/>
        </w:rPr>
      </w:pPr>
    </w:p>
    <w:p w:rsidR="000E1E7F" w:rsidRPr="00D3264E" w:rsidRDefault="000E1E7F" w:rsidP="00097245">
      <w:pPr>
        <w:pStyle w:val="ListParagraph"/>
        <w:numPr>
          <w:ilvl w:val="0"/>
          <w:numId w:val="5"/>
        </w:numPr>
        <w:ind w:left="0"/>
        <w:jc w:val="both"/>
        <w:rPr>
          <w:lang w:val="fr-FR"/>
        </w:rPr>
      </w:pPr>
      <w:r w:rsidRPr="00D3264E">
        <w:rPr>
          <w:lang w:val="fr-FR"/>
        </w:rPr>
        <w:t xml:space="preserve">Les crimes de viol ont ainsi été le plus souvent requalifiés </w:t>
      </w:r>
      <w:r w:rsidRPr="00D3264E">
        <w:rPr>
          <w:i/>
          <w:lang w:val="fr-FR"/>
        </w:rPr>
        <w:t>«</w:t>
      </w:r>
      <w:r w:rsidR="005618A7" w:rsidRPr="00D3264E">
        <w:rPr>
          <w:i/>
          <w:lang w:val="fr-FR"/>
        </w:rPr>
        <w:t xml:space="preserve"> </w:t>
      </w:r>
      <w:r w:rsidRPr="00D3264E">
        <w:rPr>
          <w:i/>
          <w:lang w:val="fr-FR"/>
        </w:rPr>
        <w:t>à la baisse</w:t>
      </w:r>
      <w:r w:rsidR="005618A7" w:rsidRPr="00D3264E">
        <w:rPr>
          <w:i/>
          <w:lang w:val="fr-FR"/>
        </w:rPr>
        <w:t xml:space="preserve"> </w:t>
      </w:r>
      <w:r w:rsidRPr="00D3264E">
        <w:rPr>
          <w:i/>
          <w:lang w:val="fr-FR"/>
        </w:rPr>
        <w:t>»</w:t>
      </w:r>
      <w:r w:rsidRPr="00D3264E">
        <w:rPr>
          <w:lang w:val="fr-FR"/>
        </w:rPr>
        <w:t xml:space="preserve"> par les magistrats et de nombreux auteurs présumés de viols ont été jugés principalement pour </w:t>
      </w:r>
      <w:r w:rsidRPr="00D3264E">
        <w:rPr>
          <w:i/>
          <w:lang w:val="fr-FR"/>
        </w:rPr>
        <w:t>«</w:t>
      </w:r>
      <w:r w:rsidR="005618A7" w:rsidRPr="00D3264E">
        <w:rPr>
          <w:i/>
          <w:lang w:val="fr-FR"/>
        </w:rPr>
        <w:t xml:space="preserve"> </w:t>
      </w:r>
      <w:r w:rsidRPr="00D3264E">
        <w:rPr>
          <w:i/>
          <w:lang w:val="fr-FR"/>
        </w:rPr>
        <w:t>attentat à la pudeur</w:t>
      </w:r>
      <w:r w:rsidR="005618A7" w:rsidRPr="00D3264E">
        <w:rPr>
          <w:i/>
          <w:lang w:val="fr-FR"/>
        </w:rPr>
        <w:t xml:space="preserve"> </w:t>
      </w:r>
      <w:r w:rsidRPr="00D3264E">
        <w:rPr>
          <w:i/>
          <w:lang w:val="fr-FR"/>
        </w:rPr>
        <w:t xml:space="preserve">» </w:t>
      </w:r>
      <w:r w:rsidRPr="00D3264E">
        <w:rPr>
          <w:iCs/>
          <w:lang w:val="fr-FR"/>
        </w:rPr>
        <w:t>par des tribunaux du premier degré.</w:t>
      </w:r>
      <w:r w:rsidRPr="00D3264E">
        <w:rPr>
          <w:lang w:val="fr-FR"/>
        </w:rPr>
        <w:t xml:space="preserve"> La correctionnalisation minimise la gravité du viol et remet en cause la classification tripartite (contravention-délit-crime) des infractions et, par conséquent, l’échelle des peines.</w:t>
      </w:r>
    </w:p>
    <w:p w:rsidR="000E1E7F" w:rsidRPr="00D3264E" w:rsidRDefault="000E1E7F" w:rsidP="00097245">
      <w:pPr>
        <w:pStyle w:val="ListParagraph"/>
        <w:ind w:left="0"/>
        <w:jc w:val="both"/>
        <w:rPr>
          <w:lang w:val="fr-FR"/>
        </w:rPr>
      </w:pPr>
    </w:p>
    <w:p w:rsidR="000E1E7F" w:rsidRPr="00D3264E" w:rsidRDefault="000E1E7F" w:rsidP="00097245">
      <w:pPr>
        <w:pStyle w:val="ListParagraph"/>
        <w:numPr>
          <w:ilvl w:val="0"/>
          <w:numId w:val="5"/>
        </w:numPr>
        <w:ind w:left="0"/>
        <w:jc w:val="both"/>
        <w:rPr>
          <w:lang w:val="fr-FR"/>
        </w:rPr>
      </w:pPr>
      <w:r w:rsidRPr="00D3264E">
        <w:rPr>
          <w:lang w:val="fr-FR"/>
        </w:rPr>
        <w:t xml:space="preserve">Par ailleurs, la DDH a pu constater que, dans certains cas, les auteurs de viols </w:t>
      </w:r>
      <w:r w:rsidRPr="00D3264E">
        <w:rPr>
          <w:i/>
          <w:lang w:val="fr-FR"/>
        </w:rPr>
        <w:t xml:space="preserve">«correctionnalisés» </w:t>
      </w:r>
      <w:r w:rsidRPr="00D3264E">
        <w:rPr>
          <w:lang w:val="fr-FR"/>
        </w:rPr>
        <w:t>n’ont même pas été condamnés aux peines minimales prévues pour le délit  d’</w:t>
      </w:r>
      <w:r w:rsidRPr="00D3264E">
        <w:rPr>
          <w:i/>
          <w:lang w:val="fr-FR"/>
        </w:rPr>
        <w:t>«</w:t>
      </w:r>
      <w:r w:rsidR="005618A7" w:rsidRPr="00D3264E">
        <w:rPr>
          <w:i/>
          <w:lang w:val="fr-FR"/>
        </w:rPr>
        <w:t xml:space="preserve"> </w:t>
      </w:r>
      <w:r w:rsidRPr="00D3264E">
        <w:rPr>
          <w:i/>
          <w:lang w:val="fr-FR"/>
        </w:rPr>
        <w:t>attentat à la pudeur</w:t>
      </w:r>
      <w:r w:rsidR="005618A7" w:rsidRPr="00D3264E">
        <w:rPr>
          <w:i/>
          <w:lang w:val="fr-FR"/>
        </w:rPr>
        <w:t xml:space="preserve"> </w:t>
      </w:r>
      <w:r w:rsidRPr="00D3264E">
        <w:rPr>
          <w:lang w:val="fr-FR"/>
        </w:rPr>
        <w:t>» alors que les faits étai</w:t>
      </w:r>
      <w:r w:rsidR="00E528EC" w:rsidRPr="00D3264E">
        <w:rPr>
          <w:lang w:val="fr-FR"/>
        </w:rPr>
        <w:t>en</w:t>
      </w:r>
      <w:r w:rsidRPr="00D3264E">
        <w:rPr>
          <w:lang w:val="fr-FR"/>
        </w:rPr>
        <w:t xml:space="preserve">t constitutifs de viol et auraient déjà dû faire l’objet d’une peine plus forte. Ainsi, par exemple, le 3 janvier 2014, </w:t>
      </w:r>
      <w:r w:rsidR="003034D9" w:rsidRPr="00D3264E">
        <w:rPr>
          <w:lang w:val="fr-FR"/>
        </w:rPr>
        <w:t>dans le</w:t>
      </w:r>
      <w:r w:rsidRPr="00D3264E">
        <w:rPr>
          <w:lang w:val="fr-FR"/>
        </w:rPr>
        <w:t xml:space="preserve"> quartier Bakayoko de Séguéla, un homme exerçant le métier de tailleur a violé une jeune fille de 14 ans. Les parents de la victime ont porté plainte le 12 janvier 2014. L’auteur présumé a été arrêté et </w:t>
      </w:r>
      <w:r w:rsidR="00EB6085" w:rsidRPr="00D3264E">
        <w:rPr>
          <w:lang w:val="fr-FR"/>
        </w:rPr>
        <w:t xml:space="preserve">condamné à une peine d’un an d’emprisonnement </w:t>
      </w:r>
      <w:r w:rsidRPr="00D3264E">
        <w:rPr>
          <w:lang w:val="fr-FR"/>
        </w:rPr>
        <w:t xml:space="preserve">et à une amende de 100.000 FCFA (environ 200 USD) pour </w:t>
      </w:r>
      <w:r w:rsidRPr="00D3264E">
        <w:rPr>
          <w:iCs/>
          <w:lang w:val="fr-FR"/>
        </w:rPr>
        <w:t xml:space="preserve">attentat à la pudeur. Or, l’article 355 du Code pénal ivoirien prévoit un emprisonnement de cinq à </w:t>
      </w:r>
      <w:r w:rsidR="00E528EC" w:rsidRPr="00D3264E">
        <w:rPr>
          <w:iCs/>
          <w:lang w:val="fr-FR"/>
        </w:rPr>
        <w:t>dix</w:t>
      </w:r>
      <w:r w:rsidRPr="00D3264E">
        <w:rPr>
          <w:iCs/>
          <w:lang w:val="fr-FR"/>
        </w:rPr>
        <w:t xml:space="preserve"> ans et une amende de 200.000 à 2.000.000 FCFA (environ 400 à 4.000 USD) pour attentat à la pudeur à l’encontre d’une victime âgée de moins de 15 ans. </w:t>
      </w:r>
    </w:p>
    <w:p w:rsidR="000E1E7F" w:rsidRPr="00D3264E" w:rsidRDefault="000E1E7F" w:rsidP="00097245">
      <w:pPr>
        <w:pStyle w:val="ListParagraph"/>
        <w:ind w:left="0"/>
        <w:jc w:val="both"/>
        <w:rPr>
          <w:lang w:val="fr-FR"/>
        </w:rPr>
      </w:pPr>
    </w:p>
    <w:p w:rsidR="000E1E7F" w:rsidRPr="00D3264E" w:rsidRDefault="000E1E7F" w:rsidP="00097245">
      <w:pPr>
        <w:pStyle w:val="ListParagraph"/>
        <w:numPr>
          <w:ilvl w:val="0"/>
          <w:numId w:val="5"/>
        </w:numPr>
        <w:ind w:left="0"/>
        <w:jc w:val="both"/>
        <w:rPr>
          <w:lang w:val="fr-FR"/>
        </w:rPr>
      </w:pPr>
      <w:r w:rsidRPr="00D3264E">
        <w:rPr>
          <w:lang w:val="fr-FR"/>
        </w:rPr>
        <w:t>Malgré la reprise des sessions d'assises en avril 2014, la tendance à la «</w:t>
      </w:r>
      <w:r w:rsidR="0062495A" w:rsidRPr="00D3264E">
        <w:rPr>
          <w:lang w:val="fr-FR"/>
        </w:rPr>
        <w:t xml:space="preserve"> </w:t>
      </w:r>
      <w:r w:rsidRPr="00D3264E">
        <w:rPr>
          <w:i/>
          <w:lang w:val="fr-FR"/>
        </w:rPr>
        <w:t>correctionnalisation</w:t>
      </w:r>
      <w:r w:rsidR="0062495A" w:rsidRPr="00D3264E">
        <w:rPr>
          <w:i/>
          <w:lang w:val="fr-FR"/>
        </w:rPr>
        <w:t xml:space="preserve"> </w:t>
      </w:r>
      <w:r w:rsidRPr="00D3264E">
        <w:rPr>
          <w:lang w:val="fr-FR"/>
        </w:rPr>
        <w:t xml:space="preserve">» des viols perdure. Selon les témoignages de magistrats et de représentants d’organisations </w:t>
      </w:r>
      <w:r w:rsidRPr="00D3264E">
        <w:rPr>
          <w:lang w:val="fr-FR"/>
        </w:rPr>
        <w:lastRenderedPageBreak/>
        <w:t>partenaires rencontrés par la DDH, cela s’explique notamment par la tenue irrégulière</w:t>
      </w:r>
      <w:r w:rsidRPr="00D3264E">
        <w:rPr>
          <w:rStyle w:val="FootnoteReference"/>
          <w:lang w:val="fr-FR"/>
        </w:rPr>
        <w:footnoteReference w:id="42"/>
      </w:r>
      <w:r w:rsidRPr="00D3264E">
        <w:rPr>
          <w:lang w:val="fr-FR"/>
        </w:rPr>
        <w:t xml:space="preserve"> des sessions en assises et le souci d’un jugement rapide qui donne satisfaction aux victimes et à l'opinion dans la fraîcheur des faits, même si la peine est moins forte.</w:t>
      </w:r>
      <w:r w:rsidRPr="00D3264E">
        <w:rPr>
          <w:vertAlign w:val="superscript"/>
        </w:rPr>
        <w:footnoteReference w:id="43"/>
      </w:r>
      <w:r w:rsidRPr="00D3264E">
        <w:rPr>
          <w:lang w:val="fr-FR"/>
        </w:rPr>
        <w:t xml:space="preserve"> </w:t>
      </w:r>
    </w:p>
    <w:p w:rsidR="000E1E7F" w:rsidRPr="00D3264E" w:rsidRDefault="000E1E7F" w:rsidP="00097245">
      <w:pPr>
        <w:pStyle w:val="ListParagraph"/>
        <w:rPr>
          <w:lang w:val="fr-FR"/>
        </w:rPr>
      </w:pPr>
    </w:p>
    <w:p w:rsidR="000E1E7F" w:rsidRPr="00D3264E" w:rsidRDefault="000E1E7F" w:rsidP="00097245">
      <w:pPr>
        <w:pStyle w:val="ListParagraph"/>
        <w:numPr>
          <w:ilvl w:val="0"/>
          <w:numId w:val="5"/>
        </w:numPr>
        <w:ind w:left="0"/>
        <w:jc w:val="both"/>
        <w:rPr>
          <w:lang w:val="fr-FR"/>
        </w:rPr>
      </w:pPr>
      <w:r w:rsidRPr="00D3264E">
        <w:rPr>
          <w:lang w:val="fr-FR"/>
        </w:rPr>
        <w:t>En effet, l’instruction des dossiers en assises reste bien souvent lente et longue</w:t>
      </w:r>
      <w:r w:rsidRPr="00D3264E">
        <w:rPr>
          <w:vertAlign w:val="superscript"/>
        </w:rPr>
        <w:footnoteReference w:id="44"/>
      </w:r>
      <w:r w:rsidRPr="00D3264E">
        <w:rPr>
          <w:lang w:val="fr-FR"/>
        </w:rPr>
        <w:t xml:space="preserve">. Selon certains acteurs judiciaires rencontrés par la DDH dans le cadre de sa recherche, la répression effective des viols lors des sessions d'assises est également affectée par le manque de préparation et de formation préalables à l'exercice de la fonction de juré. Par ailleurs, l’absence quasi-systématique des témoins et des victimes, qui ne jugent plus opportun de se présenter aux sessions d'assises car trop de temps s’est écoulé depuis la commission des faits, constitue un autre obstacle important à la répression des viols par les Cours d’assises. Enfin, les arrêts des </w:t>
      </w:r>
      <w:r w:rsidR="001A0A9A" w:rsidRPr="00D3264E">
        <w:rPr>
          <w:lang w:val="fr-FR"/>
        </w:rPr>
        <w:t>C</w:t>
      </w:r>
      <w:r w:rsidRPr="00D3264E">
        <w:rPr>
          <w:lang w:val="fr-FR"/>
        </w:rPr>
        <w:t>ours d’assises ne sont pas susceptibles de recours en appel, mais d’un seul pourvoi en cassation.</w:t>
      </w:r>
    </w:p>
    <w:p w:rsidR="000E1E7F" w:rsidRPr="00D3264E" w:rsidRDefault="000E1E7F" w:rsidP="00097245">
      <w:pPr>
        <w:jc w:val="both"/>
        <w:rPr>
          <w:lang w:val="fr-FR"/>
        </w:rPr>
      </w:pPr>
    </w:p>
    <w:p w:rsidR="000E1E7F" w:rsidRPr="00D3264E" w:rsidRDefault="000E1E7F" w:rsidP="00097245">
      <w:pPr>
        <w:pStyle w:val="ListParagraph"/>
        <w:numPr>
          <w:ilvl w:val="0"/>
          <w:numId w:val="18"/>
        </w:numPr>
        <w:jc w:val="both"/>
        <w:rPr>
          <w:lang w:val="fr-FR"/>
        </w:rPr>
      </w:pPr>
      <w:r w:rsidRPr="00D3264E">
        <w:rPr>
          <w:u w:val="single"/>
          <w:lang w:val="fr-FR"/>
        </w:rPr>
        <w:t>Prise en charge et protection des victimes </w:t>
      </w:r>
      <w:r w:rsidR="001A0A9A" w:rsidRPr="00D3264E">
        <w:rPr>
          <w:u w:val="single"/>
          <w:lang w:val="fr-FR"/>
        </w:rPr>
        <w:t>et des témoins</w:t>
      </w:r>
      <w:r w:rsidRPr="00D3264E">
        <w:rPr>
          <w:lang w:val="fr-FR"/>
        </w:rPr>
        <w:t>:</w:t>
      </w:r>
    </w:p>
    <w:p w:rsidR="000E1E7F" w:rsidRPr="00D3264E" w:rsidRDefault="000E1E7F" w:rsidP="00097245">
      <w:pPr>
        <w:jc w:val="both"/>
        <w:rPr>
          <w:lang w:val="fr-FR"/>
        </w:rPr>
      </w:pPr>
    </w:p>
    <w:p w:rsidR="000E1E7F" w:rsidRPr="00D3264E" w:rsidRDefault="000E1E7F" w:rsidP="00097245">
      <w:pPr>
        <w:pStyle w:val="ListParagraph"/>
        <w:numPr>
          <w:ilvl w:val="0"/>
          <w:numId w:val="5"/>
        </w:numPr>
        <w:ind w:left="0"/>
        <w:jc w:val="both"/>
        <w:rPr>
          <w:lang w:val="fr-FR"/>
        </w:rPr>
      </w:pPr>
      <w:r w:rsidRPr="00D3264E">
        <w:rPr>
          <w:lang w:val="fr-FR"/>
        </w:rPr>
        <w:t>Le système national de prise en charge juridique et judiciaire des victimes de violences sexuelles demeure très faible. La plupart des services d</w:t>
      </w:r>
      <w:r w:rsidR="0062495A" w:rsidRPr="00D3264E">
        <w:rPr>
          <w:lang w:val="fr-FR"/>
        </w:rPr>
        <w:t>e prise en charge judiciaire des</w:t>
      </w:r>
      <w:r w:rsidRPr="00D3264E">
        <w:rPr>
          <w:lang w:val="fr-FR"/>
        </w:rPr>
        <w:t xml:space="preserve"> victimes sont concentrés à Abidjan, à l’exception des cliniques juridiques évoquées au paragraphe </w:t>
      </w:r>
      <w:r w:rsidR="00E400D7" w:rsidRPr="00D3264E">
        <w:rPr>
          <w:lang w:val="fr-FR"/>
        </w:rPr>
        <w:t>71</w:t>
      </w:r>
      <w:r w:rsidRPr="00D3264E">
        <w:rPr>
          <w:lang w:val="fr-FR"/>
        </w:rPr>
        <w:t xml:space="preserve"> du présent rapport. Pour la majorité des victimes de violences sexuelles, l’accès à une aide judiciaire gratuite et efficace demeure donc très limité. Toutefois, même si elles en ont les moyens, les victimes se trouvent bien souvent dans l’impossibilité de pouvoir recourir à un avocat dans la mesure où leur grande majorité se concentre à Abidjan. Par ailleurs, les frais de justice criminelle découlant des pièces à mettre aux dossiers judiciaires, dont les coûts peuvent être importants, doivent être supportés par les victimes. Enfin, les victimes de violences sexuelles ne peuvent bien souvent pas se permettre d’abandonner leurs activités génératrices de revenus pour suivre les procédures judiciaires. </w:t>
      </w:r>
    </w:p>
    <w:p w:rsidR="000E1E7F" w:rsidRPr="00D3264E" w:rsidRDefault="000E1E7F" w:rsidP="00097245">
      <w:pPr>
        <w:pStyle w:val="ListParagraph"/>
        <w:ind w:left="0"/>
        <w:jc w:val="both"/>
        <w:rPr>
          <w:lang w:val="fr-FR"/>
        </w:rPr>
      </w:pPr>
    </w:p>
    <w:p w:rsidR="000E1E7F" w:rsidRPr="00D3264E" w:rsidRDefault="000E1E7F" w:rsidP="00097245">
      <w:pPr>
        <w:pStyle w:val="ListParagraph"/>
        <w:numPr>
          <w:ilvl w:val="0"/>
          <w:numId w:val="5"/>
        </w:numPr>
        <w:ind w:left="0"/>
        <w:jc w:val="both"/>
        <w:rPr>
          <w:lang w:val="fr-FR"/>
        </w:rPr>
      </w:pPr>
      <w:r w:rsidRPr="00D3264E">
        <w:rPr>
          <w:lang w:val="fr-FR"/>
        </w:rPr>
        <w:t xml:space="preserve">Aucun système de protection judiciaire n’est disponible pour les victimes, notamment de violences sexuelles, </w:t>
      </w:r>
      <w:r w:rsidR="00ED5E3E" w:rsidRPr="00D3264E">
        <w:rPr>
          <w:lang w:val="fr-FR"/>
        </w:rPr>
        <w:t xml:space="preserve">ni pour </w:t>
      </w:r>
      <w:r w:rsidRPr="00D3264E">
        <w:rPr>
          <w:lang w:val="fr-FR"/>
        </w:rPr>
        <w:t>les témoins dans le cadre de procédures judiciaires, ce qui peut conduire à une revictimisation. La législation ne prévoit aucune disposition spécifique sur la question de la protection des victimes et des témoins. Certaines dispositions du Code pénal</w:t>
      </w:r>
      <w:r w:rsidRPr="00D3264E">
        <w:rPr>
          <w:rStyle w:val="FootnoteReference"/>
          <w:lang w:val="fr-FR"/>
        </w:rPr>
        <w:footnoteReference w:id="45"/>
      </w:r>
      <w:r w:rsidRPr="00D3264E">
        <w:rPr>
          <w:lang w:val="fr-FR"/>
        </w:rPr>
        <w:t xml:space="preserve"> qui punissent notamment l’intimidation, la corruption ou l’agression des témoins peuvent être utilisées par les magistrats pour assurer la protection des témoins et </w:t>
      </w:r>
      <w:r w:rsidR="001A0A9A" w:rsidRPr="00D3264E">
        <w:rPr>
          <w:lang w:val="fr-FR"/>
        </w:rPr>
        <w:t xml:space="preserve">des </w:t>
      </w:r>
      <w:r w:rsidRPr="00D3264E">
        <w:rPr>
          <w:lang w:val="fr-FR"/>
        </w:rPr>
        <w:t xml:space="preserve">victimes, mais il serait important qu’un mécanisme spécifique de protection des victimes et témoins soit établi. </w:t>
      </w:r>
    </w:p>
    <w:p w:rsidR="000E1E7F" w:rsidRPr="00D3264E" w:rsidRDefault="000E1E7F" w:rsidP="00097245">
      <w:pPr>
        <w:pStyle w:val="ListParagraph"/>
        <w:rPr>
          <w:lang w:val="fr-FR"/>
        </w:rPr>
      </w:pPr>
    </w:p>
    <w:p w:rsidR="000E1E7F" w:rsidRPr="00D3264E" w:rsidRDefault="000E1E7F" w:rsidP="00097245">
      <w:pPr>
        <w:pStyle w:val="ListParagraph"/>
        <w:numPr>
          <w:ilvl w:val="0"/>
          <w:numId w:val="5"/>
        </w:numPr>
        <w:ind w:left="0"/>
        <w:jc w:val="both"/>
        <w:rPr>
          <w:lang w:val="fr-FR"/>
        </w:rPr>
      </w:pPr>
      <w:r w:rsidRPr="00D3264E">
        <w:rPr>
          <w:lang w:val="fr-FR"/>
        </w:rPr>
        <w:t xml:space="preserve">Cette protection est fondamentale pour les victimes de violences sexuelles, souvent mineures, dans la mesure où elles font souvent l’objet de stigmatisation et de représailles lorsqu’elles intentent une procédure en justice contre les auteurs présumés des sévices qu’elles ont subis. Ces risques sont accentués lors des audiences qui sont publiques, alors qu’il faudrait requérir, dans </w:t>
      </w:r>
      <w:r w:rsidRPr="00D3264E">
        <w:rPr>
          <w:lang w:val="fr-FR"/>
        </w:rPr>
        <w:lastRenderedPageBreak/>
        <w:t>certains cas, le huis clos pour assurer la confidentialité de la poursuite judiciaire</w:t>
      </w:r>
      <w:r w:rsidRPr="00D3264E" w:rsidDel="0043723C">
        <w:rPr>
          <w:lang w:val="fr-FR"/>
        </w:rPr>
        <w:t xml:space="preserve"> </w:t>
      </w:r>
      <w:r w:rsidRPr="00D3264E">
        <w:rPr>
          <w:lang w:val="fr-FR"/>
        </w:rPr>
        <w:t>et protéger les victimes, notamment quand elles sont mineures, leurs parents et les témoins.</w:t>
      </w:r>
    </w:p>
    <w:p w:rsidR="00F75F34" w:rsidRPr="00D3264E" w:rsidRDefault="00F75F34" w:rsidP="00097245">
      <w:pPr>
        <w:pStyle w:val="ListParagraph"/>
        <w:ind w:left="0"/>
        <w:jc w:val="both"/>
        <w:rPr>
          <w:lang w:val="fr-FR"/>
        </w:rPr>
      </w:pPr>
    </w:p>
    <w:p w:rsidR="000E1E7F" w:rsidRPr="00D3264E" w:rsidRDefault="000E1E7F" w:rsidP="00097245">
      <w:pPr>
        <w:pStyle w:val="ListParagraph"/>
        <w:numPr>
          <w:ilvl w:val="0"/>
          <w:numId w:val="5"/>
        </w:numPr>
        <w:tabs>
          <w:tab w:val="left" w:pos="0"/>
        </w:tabs>
        <w:ind w:left="0"/>
        <w:jc w:val="both"/>
        <w:rPr>
          <w:lang w:val="fr-FR"/>
        </w:rPr>
      </w:pPr>
      <w:r w:rsidRPr="00D3264E">
        <w:rPr>
          <w:lang w:val="fr-FR"/>
        </w:rPr>
        <w:t>Un avant-projet de loi sur les mécanismes de protection des victimes, des témoins et des personnes concernées, qui vise à mettre en place le cadre réglementaire et un organe officiel qui aura en charge la gestion des personnes à protéger, est t</w:t>
      </w:r>
      <w:r w:rsidR="00DC79CB" w:rsidRPr="00D3264E">
        <w:rPr>
          <w:lang w:val="fr-FR"/>
        </w:rPr>
        <w:t>oujours à l’étude au niveau du M</w:t>
      </w:r>
      <w:r w:rsidRPr="00D3264E">
        <w:rPr>
          <w:lang w:val="fr-FR"/>
        </w:rPr>
        <w:t xml:space="preserve">inistère de la Justice. </w:t>
      </w:r>
    </w:p>
    <w:p w:rsidR="000E1E7F" w:rsidRPr="00D3264E" w:rsidRDefault="000E1E7F" w:rsidP="00097245">
      <w:pPr>
        <w:pStyle w:val="ListParagraph"/>
        <w:ind w:left="0"/>
        <w:jc w:val="both"/>
        <w:rPr>
          <w:lang w:val="fr-FR"/>
        </w:rPr>
      </w:pPr>
    </w:p>
    <w:p w:rsidR="000E1E7F" w:rsidRPr="00D3264E" w:rsidRDefault="000E1E7F" w:rsidP="00097245">
      <w:pPr>
        <w:pStyle w:val="Heading2"/>
        <w:numPr>
          <w:ilvl w:val="0"/>
          <w:numId w:val="11"/>
        </w:numPr>
        <w:spacing w:before="0"/>
        <w:jc w:val="both"/>
        <w:rPr>
          <w:rFonts w:ascii="Times New Roman" w:hAnsi="Times New Roman"/>
          <w:color w:val="auto"/>
          <w:sz w:val="24"/>
          <w:szCs w:val="24"/>
          <w:lang w:val="fr-FR"/>
        </w:rPr>
      </w:pPr>
      <w:bookmarkStart w:id="33" w:name="_Toc418237728"/>
      <w:r w:rsidRPr="00D3264E">
        <w:rPr>
          <w:rFonts w:ascii="Times New Roman" w:hAnsi="Times New Roman"/>
          <w:color w:val="auto"/>
          <w:sz w:val="24"/>
          <w:szCs w:val="24"/>
          <w:lang w:val="fr-FR"/>
        </w:rPr>
        <w:t> </w:t>
      </w:r>
      <w:bookmarkStart w:id="34" w:name="_Toc455746289"/>
      <w:r w:rsidRPr="00D3264E">
        <w:rPr>
          <w:rFonts w:ascii="Times New Roman" w:hAnsi="Times New Roman"/>
          <w:color w:val="auto"/>
          <w:sz w:val="24"/>
          <w:szCs w:val="24"/>
          <w:lang w:val="fr-FR"/>
        </w:rPr>
        <w:t>Les arrangements à l’amiable</w:t>
      </w:r>
      <w:bookmarkEnd w:id="33"/>
      <w:bookmarkEnd w:id="34"/>
    </w:p>
    <w:p w:rsidR="000E1E7F" w:rsidRPr="00D3264E" w:rsidRDefault="000E1E7F" w:rsidP="00097245">
      <w:pPr>
        <w:pStyle w:val="ListParagraph"/>
        <w:ind w:left="0"/>
        <w:jc w:val="both"/>
        <w:rPr>
          <w:b/>
          <w:i/>
          <w:lang w:val="fr-FR"/>
        </w:rPr>
      </w:pPr>
    </w:p>
    <w:p w:rsidR="000E1E7F" w:rsidRPr="00D3264E" w:rsidRDefault="000E1E7F" w:rsidP="00097245">
      <w:pPr>
        <w:pStyle w:val="ListParagraph"/>
        <w:numPr>
          <w:ilvl w:val="0"/>
          <w:numId w:val="5"/>
        </w:numPr>
        <w:ind w:left="0"/>
        <w:jc w:val="both"/>
        <w:rPr>
          <w:b/>
          <w:i/>
          <w:lang w:val="fr-FR"/>
        </w:rPr>
      </w:pPr>
      <w:r w:rsidRPr="00D3264E">
        <w:rPr>
          <w:lang w:val="fr-FR"/>
        </w:rPr>
        <w:t xml:space="preserve">Les violences sexuelles sont considérées comme une source d'humiliation et de déshonneur pour la victime, sa famille et sa communauté. Il est dès lors </w:t>
      </w:r>
      <w:r w:rsidR="0062495A" w:rsidRPr="00D3264E">
        <w:rPr>
          <w:lang w:val="fr-FR"/>
        </w:rPr>
        <w:t xml:space="preserve">fréquent </w:t>
      </w:r>
      <w:r w:rsidRPr="00D3264E">
        <w:rPr>
          <w:lang w:val="fr-FR"/>
        </w:rPr>
        <w:t>de ne pas les dénoncer, les ébruiter, ni de les porter à la connaissance de la gendarmerie, de la police et des autorités judiciaires, ce afin de préserver les alliances familiales et communautaires. Les arrangements à l’amiable sont particulièrement privilégiés</w:t>
      </w:r>
      <w:r w:rsidR="00E61F92" w:rsidRPr="00D3264E">
        <w:rPr>
          <w:lang w:val="fr-FR"/>
        </w:rPr>
        <w:t xml:space="preserve"> dans les cas de viol d’enfants</w:t>
      </w:r>
      <w:r w:rsidRPr="00D3264E">
        <w:rPr>
          <w:lang w:val="fr-FR"/>
        </w:rPr>
        <w:t xml:space="preserve">, ce qui minimiserait les graves conséquences physiques et psychologiques auxquelles sont confrontées les victimes.  </w:t>
      </w:r>
    </w:p>
    <w:p w:rsidR="000E1E7F" w:rsidRPr="00D3264E" w:rsidRDefault="000E1E7F" w:rsidP="00097245">
      <w:pPr>
        <w:pStyle w:val="ListParagraph"/>
        <w:ind w:left="0"/>
        <w:jc w:val="both"/>
        <w:rPr>
          <w:b/>
          <w:i/>
          <w:lang w:val="fr-FR"/>
        </w:rPr>
      </w:pPr>
    </w:p>
    <w:p w:rsidR="000E1E7F" w:rsidRPr="00D3264E" w:rsidRDefault="000E1E7F" w:rsidP="00097245">
      <w:pPr>
        <w:pStyle w:val="ListParagraph"/>
        <w:numPr>
          <w:ilvl w:val="0"/>
          <w:numId w:val="5"/>
        </w:numPr>
        <w:ind w:left="0"/>
        <w:jc w:val="both"/>
        <w:rPr>
          <w:b/>
          <w:i/>
          <w:lang w:val="fr-FR"/>
        </w:rPr>
      </w:pPr>
      <w:r w:rsidRPr="00D3264E">
        <w:rPr>
          <w:lang w:val="fr-FR"/>
        </w:rPr>
        <w:t>Le viol commis par un proche, membre de la famille ou membre de la communauté villageoise, ethnique ou religieuse connu de la victime, fera dès lors régulièrement l’objet d’un règlement à l’amiable</w:t>
      </w:r>
      <w:r w:rsidRPr="00D3264E">
        <w:rPr>
          <w:rStyle w:val="FootnoteReference"/>
          <w:lang w:val="fr-FR"/>
        </w:rPr>
        <w:footnoteReference w:id="46"/>
      </w:r>
      <w:r w:rsidRPr="00D3264E">
        <w:rPr>
          <w:lang w:val="fr-FR"/>
        </w:rPr>
        <w:t xml:space="preserve">, initié par les membres de la famille du coupable par le truchement des </w:t>
      </w:r>
      <w:r w:rsidRPr="00D3264E">
        <w:rPr>
          <w:i/>
          <w:lang w:val="fr-FR"/>
        </w:rPr>
        <w:t>leaders</w:t>
      </w:r>
      <w:r w:rsidRPr="00D3264E">
        <w:rPr>
          <w:lang w:val="fr-FR"/>
        </w:rPr>
        <w:t xml:space="preserve"> religieux ou communautaires</w:t>
      </w:r>
      <w:r w:rsidRPr="00D3264E">
        <w:rPr>
          <w:vertAlign w:val="superscript"/>
        </w:rPr>
        <w:footnoteReference w:id="47"/>
      </w:r>
      <w:r w:rsidRPr="00D3264E">
        <w:rPr>
          <w:lang w:val="fr-FR"/>
        </w:rPr>
        <w:t>. Ces derniers, craints et respectés au sein de leurs communautés respectives, s'immiscent régulièrement dans l'exercice des missions d'administration de la justice criminelle et proposent, au détriment des droits de la victime, des arrangements à l'amiable en vue de préserver la cohésion sociale, l’image de la communauté et d’éviter à l’auteur présumé de se retrouver en prison. Généralement, la victime de viol n’est pas associée à l’arrangement et n’a aucun mot à dire, la décision prise s’imposant à elle. Le règlement à l’amiable contribue sans conteste à la banalisation du viol et au retranchement de la victime dans une position de faiblesse et de vulnérabilité.</w:t>
      </w:r>
    </w:p>
    <w:p w:rsidR="000E1E7F" w:rsidRPr="00D3264E" w:rsidRDefault="000E1E7F" w:rsidP="00097245">
      <w:pPr>
        <w:pStyle w:val="ListParagraph"/>
        <w:ind w:left="0"/>
        <w:jc w:val="both"/>
        <w:rPr>
          <w:b/>
          <w:i/>
          <w:lang w:val="fr-FR"/>
        </w:rPr>
      </w:pPr>
    </w:p>
    <w:p w:rsidR="000E1E7F" w:rsidRPr="00D3264E" w:rsidRDefault="000E1E7F" w:rsidP="00097245">
      <w:pPr>
        <w:pStyle w:val="ListParagraph"/>
        <w:numPr>
          <w:ilvl w:val="0"/>
          <w:numId w:val="5"/>
        </w:numPr>
        <w:ind w:left="0"/>
        <w:jc w:val="both"/>
        <w:rPr>
          <w:b/>
          <w:i/>
          <w:lang w:val="fr-FR"/>
        </w:rPr>
      </w:pPr>
      <w:r w:rsidRPr="00D3264E">
        <w:rPr>
          <w:lang w:val="fr-FR"/>
        </w:rPr>
        <w:t>La DDH a été informée de cas où la communauté a sanctionné la victime pour avoir porté plai</w:t>
      </w:r>
      <w:r w:rsidR="00644D30" w:rsidRPr="00D3264E">
        <w:rPr>
          <w:lang w:val="fr-FR"/>
        </w:rPr>
        <w:t xml:space="preserve">nte. A titre illustratif, à San </w:t>
      </w:r>
      <w:r w:rsidRPr="00D3264E">
        <w:rPr>
          <w:lang w:val="fr-FR"/>
        </w:rPr>
        <w:t>Pedro, le 9 juillet 2013, une victime de 32 ans et son époux ont été «</w:t>
      </w:r>
      <w:r w:rsidRPr="00D3264E">
        <w:rPr>
          <w:i/>
          <w:lang w:val="fr-FR"/>
        </w:rPr>
        <w:t>condamnés</w:t>
      </w:r>
      <w:r w:rsidRPr="00D3264E">
        <w:rPr>
          <w:lang w:val="fr-FR"/>
        </w:rPr>
        <w:t>» par leur chef de communauté à payer une amende de 300.000 FCFA (environ 600 USD) à un présumé auteur de viol appartenant à leur communauté. Il était reproché au couple de n’avoir pas saisi le chef de leur communauté du litige qui les opposait à «</w:t>
      </w:r>
      <w:r w:rsidRPr="00D3264E">
        <w:rPr>
          <w:i/>
          <w:lang w:val="fr-FR"/>
        </w:rPr>
        <w:t>un frère</w:t>
      </w:r>
      <w:r w:rsidRPr="00D3264E">
        <w:rPr>
          <w:lang w:val="fr-FR"/>
        </w:rPr>
        <w:t>» de la même communauté et d’avoir directement porté l’affaire à la connaissance de la police. Rencontré par la DDH à ce sujet, le chef coutumier a justifié sa décision en reconnaissant «</w:t>
      </w:r>
      <w:r w:rsidR="005618A7" w:rsidRPr="00D3264E">
        <w:rPr>
          <w:lang w:val="fr-FR"/>
        </w:rPr>
        <w:t xml:space="preserve"> </w:t>
      </w:r>
      <w:r w:rsidRPr="00D3264E">
        <w:rPr>
          <w:i/>
          <w:lang w:val="fr-FR"/>
        </w:rPr>
        <w:t>que ses sujets se sont rassemblés, le 15 juin 2013, pour ramener l’apaisement entre les frères de la communauté qui se sont retrouvés devant le tribunal alors que le litige pouvait être réglé au sein de la communauté</w:t>
      </w:r>
      <w:r w:rsidR="005618A7" w:rsidRPr="00D3264E">
        <w:rPr>
          <w:i/>
          <w:lang w:val="fr-FR"/>
        </w:rPr>
        <w:t xml:space="preserve"> </w:t>
      </w:r>
      <w:r w:rsidRPr="00D3264E">
        <w:rPr>
          <w:lang w:val="fr-FR"/>
        </w:rPr>
        <w:t xml:space="preserve">». L’autorité judiciaire aurait fait observer au chef de village, à l’occasion de </w:t>
      </w:r>
      <w:r w:rsidRPr="00D3264E">
        <w:rPr>
          <w:lang w:val="fr-FR"/>
        </w:rPr>
        <w:lastRenderedPageBreak/>
        <w:t>ce procès, que si une affaire entre les membres de sa communauté arrivait à son niveau (à la justice), c’est qu’il avait failli à ses responsabilités et à son rôle de chef.</w:t>
      </w:r>
    </w:p>
    <w:p w:rsidR="000E1E7F" w:rsidRPr="00D3264E" w:rsidRDefault="000E1E7F" w:rsidP="00097245">
      <w:pPr>
        <w:pStyle w:val="ListParagraph"/>
        <w:ind w:left="0"/>
        <w:jc w:val="both"/>
        <w:rPr>
          <w:lang w:val="fr-FR"/>
        </w:rPr>
      </w:pPr>
    </w:p>
    <w:p w:rsidR="000E1E7F" w:rsidRPr="00D3264E" w:rsidRDefault="000E1E7F" w:rsidP="00097245">
      <w:pPr>
        <w:pStyle w:val="ListParagraph"/>
        <w:numPr>
          <w:ilvl w:val="0"/>
          <w:numId w:val="5"/>
        </w:numPr>
        <w:ind w:left="0"/>
        <w:jc w:val="both"/>
        <w:rPr>
          <w:b/>
          <w:i/>
          <w:lang w:val="fr-FR"/>
        </w:rPr>
      </w:pPr>
      <w:r w:rsidRPr="00D3264E">
        <w:rPr>
          <w:lang w:val="fr-FR"/>
        </w:rPr>
        <w:t xml:space="preserve">Le règlement à l’amiable intervient à toutes les étapes de la procédure: avant la dénonciation publique du viol, lors de la saisine de la police ou la gendarmerie par la victime ou ses parents, au parquet, à la Cour d'appel et en sessions d'assises. Aucune localité ou communauté en Côte d'Ivoire n’échappe à cette pratique communément admise et tolérée. L’arrangement à l’amiable est culturel et sociologique. Il sert à préserver l’auteur d’une peine de prison considérée comme une source grave de fracture de la cohésion familiale, sociale et communautaire, bien </w:t>
      </w:r>
      <w:r w:rsidRPr="00D3264E">
        <w:rPr>
          <w:rStyle w:val="hps"/>
          <w:lang w:val="fr-FR"/>
        </w:rPr>
        <w:t>qu'il continue</w:t>
      </w:r>
      <w:r w:rsidRPr="00D3264E">
        <w:rPr>
          <w:lang w:val="fr-FR"/>
        </w:rPr>
        <w:t xml:space="preserve"> </w:t>
      </w:r>
      <w:r w:rsidRPr="00D3264E">
        <w:rPr>
          <w:rStyle w:val="hps"/>
          <w:lang w:val="fr-FR"/>
        </w:rPr>
        <w:t>à renforcer les stéréotypes</w:t>
      </w:r>
      <w:r w:rsidRPr="00D3264E">
        <w:rPr>
          <w:lang w:val="fr-FR"/>
        </w:rPr>
        <w:t xml:space="preserve"> </w:t>
      </w:r>
      <w:r w:rsidRPr="00D3264E">
        <w:rPr>
          <w:rStyle w:val="hps"/>
          <w:lang w:val="fr-FR"/>
        </w:rPr>
        <w:t>ancrés</w:t>
      </w:r>
      <w:r w:rsidRPr="00D3264E">
        <w:rPr>
          <w:lang w:val="fr-FR"/>
        </w:rPr>
        <w:t xml:space="preserve"> </w:t>
      </w:r>
      <w:r w:rsidRPr="00D3264E">
        <w:rPr>
          <w:rStyle w:val="hps"/>
          <w:lang w:val="fr-FR"/>
        </w:rPr>
        <w:t>dans les</w:t>
      </w:r>
      <w:r w:rsidRPr="00D3264E">
        <w:rPr>
          <w:lang w:val="fr-FR"/>
        </w:rPr>
        <w:t xml:space="preserve"> </w:t>
      </w:r>
      <w:r w:rsidRPr="00D3264E">
        <w:rPr>
          <w:rStyle w:val="hps"/>
          <w:lang w:val="fr-FR"/>
        </w:rPr>
        <w:t>communautés,</w:t>
      </w:r>
      <w:r w:rsidRPr="00D3264E">
        <w:rPr>
          <w:lang w:val="fr-FR"/>
        </w:rPr>
        <w:t xml:space="preserve"> </w:t>
      </w:r>
      <w:r w:rsidRPr="00D3264E">
        <w:rPr>
          <w:rStyle w:val="hps"/>
          <w:lang w:val="fr-FR"/>
        </w:rPr>
        <w:t>minant ainsi</w:t>
      </w:r>
      <w:r w:rsidRPr="00D3264E">
        <w:rPr>
          <w:lang w:val="fr-FR"/>
        </w:rPr>
        <w:t xml:space="preserve"> </w:t>
      </w:r>
      <w:r w:rsidRPr="00D3264E">
        <w:rPr>
          <w:rStyle w:val="hps"/>
          <w:lang w:val="fr-FR"/>
        </w:rPr>
        <w:t>les efforts visant à</w:t>
      </w:r>
      <w:r w:rsidRPr="00D3264E">
        <w:rPr>
          <w:lang w:val="fr-FR"/>
        </w:rPr>
        <w:t xml:space="preserve"> </w:t>
      </w:r>
      <w:r w:rsidRPr="00D3264E">
        <w:rPr>
          <w:rStyle w:val="hps"/>
          <w:lang w:val="fr-FR"/>
        </w:rPr>
        <w:t>lutter contre l’impunité qui persiste pour les viols</w:t>
      </w:r>
      <w:r w:rsidRPr="00D3264E">
        <w:rPr>
          <w:lang w:val="fr-FR"/>
        </w:rPr>
        <w:t xml:space="preserve"> </w:t>
      </w:r>
      <w:r w:rsidRPr="00D3264E">
        <w:rPr>
          <w:rStyle w:val="hps"/>
          <w:lang w:val="fr-FR"/>
        </w:rPr>
        <w:t>et autres</w:t>
      </w:r>
      <w:r w:rsidRPr="00D3264E">
        <w:rPr>
          <w:lang w:val="fr-FR"/>
        </w:rPr>
        <w:t xml:space="preserve"> </w:t>
      </w:r>
      <w:r w:rsidRPr="00D3264E">
        <w:rPr>
          <w:rStyle w:val="hps"/>
          <w:lang w:val="fr-FR"/>
        </w:rPr>
        <w:t>crimes de violence</w:t>
      </w:r>
      <w:r w:rsidRPr="00D3264E">
        <w:rPr>
          <w:lang w:val="fr-FR"/>
        </w:rPr>
        <w:t xml:space="preserve"> </w:t>
      </w:r>
      <w:r w:rsidRPr="00D3264E">
        <w:rPr>
          <w:rStyle w:val="hps"/>
          <w:lang w:val="fr-FR"/>
        </w:rPr>
        <w:t>sexuelle</w:t>
      </w:r>
      <w:r w:rsidRPr="00D3264E">
        <w:rPr>
          <w:lang w:val="fr-FR"/>
        </w:rPr>
        <w:t xml:space="preserve">. Par ailleurs, il permet dans certains cas aux victimes et à leurs familles d’obtenir un dédommagement plus rapidement de la part de l’auteur présumé et/ou de sa famille. Une pression est ainsi souvent exercée sur les victimes par leurs familles pour qu’elles acceptent un règlement à l’amiable. </w:t>
      </w:r>
    </w:p>
    <w:p w:rsidR="000E1E7F" w:rsidRPr="00D3264E" w:rsidRDefault="000E1E7F" w:rsidP="00097245">
      <w:pPr>
        <w:pStyle w:val="ListParagraph"/>
        <w:ind w:left="0"/>
        <w:jc w:val="both"/>
        <w:rPr>
          <w:lang w:val="fr-FR"/>
        </w:rPr>
      </w:pPr>
    </w:p>
    <w:p w:rsidR="000E1E7F" w:rsidRPr="00D3264E" w:rsidRDefault="000E1E7F" w:rsidP="00097245">
      <w:pPr>
        <w:pStyle w:val="ListParagraph"/>
        <w:numPr>
          <w:ilvl w:val="0"/>
          <w:numId w:val="5"/>
        </w:numPr>
        <w:ind w:left="0"/>
        <w:jc w:val="both"/>
        <w:rPr>
          <w:b/>
          <w:i/>
          <w:lang w:val="fr-FR"/>
        </w:rPr>
      </w:pPr>
      <w:r w:rsidRPr="00D3264E">
        <w:rPr>
          <w:lang w:val="fr-FR"/>
        </w:rPr>
        <w:t xml:space="preserve">Le règlement à l’amiable a souvent lieu lorsque, d’un commun accord, la famille de la victime et l’auteur du viol ou sa famille s’entendent sur les modalités de paiement de tous ou une partie des frais que nécessitera la prise en charge de la victime. Il s’agira généralement des  frais pour les soins médicaux et le certificat médical et éventuellement des dédommagements. Ainsi, à titre d’exemple, </w:t>
      </w:r>
      <w:r w:rsidR="00644D30" w:rsidRPr="00D3264E">
        <w:rPr>
          <w:iCs/>
          <w:lang w:val="fr-FR"/>
        </w:rPr>
        <w:t>le 31 mars 2012, à San Pe</w:t>
      </w:r>
      <w:r w:rsidRPr="00D3264E">
        <w:rPr>
          <w:iCs/>
          <w:lang w:val="fr-FR"/>
        </w:rPr>
        <w:t>dro, une fille de 14 ans a été violée par un conducteur de taxi-</w:t>
      </w:r>
      <w:r w:rsidR="0062495A" w:rsidRPr="00D3264E">
        <w:rPr>
          <w:iCs/>
          <w:lang w:val="fr-FR"/>
        </w:rPr>
        <w:t>moto qu’elle connaissait bien. L’</w:t>
      </w:r>
      <w:r w:rsidRPr="00D3264E">
        <w:rPr>
          <w:iCs/>
          <w:lang w:val="fr-FR"/>
        </w:rPr>
        <w:t xml:space="preserve">auteur </w:t>
      </w:r>
      <w:r w:rsidR="0062495A" w:rsidRPr="00D3264E">
        <w:rPr>
          <w:iCs/>
          <w:lang w:val="fr-FR"/>
        </w:rPr>
        <w:t xml:space="preserve">présumé </w:t>
      </w:r>
      <w:r w:rsidRPr="00D3264E">
        <w:rPr>
          <w:iCs/>
          <w:lang w:val="fr-FR"/>
        </w:rPr>
        <w:t xml:space="preserve">du viol a été arrêté le 2 avril 2012 par la police qui l’a conduit à la </w:t>
      </w:r>
      <w:r w:rsidR="00093228" w:rsidRPr="00D3264E">
        <w:rPr>
          <w:iCs/>
          <w:lang w:val="fr-FR"/>
        </w:rPr>
        <w:t>Maison d’arrêt et de correction (MAC)</w:t>
      </w:r>
      <w:r w:rsidRPr="00D3264E">
        <w:rPr>
          <w:iCs/>
          <w:lang w:val="fr-FR"/>
        </w:rPr>
        <w:t xml:space="preserve"> de Sassandra</w:t>
      </w:r>
      <w:r w:rsidR="00616197" w:rsidRPr="00D3264E">
        <w:rPr>
          <w:iCs/>
          <w:lang w:val="fr-FR"/>
        </w:rPr>
        <w:t xml:space="preserve"> en attendant son procès. </w:t>
      </w:r>
      <w:r w:rsidRPr="00D3264E">
        <w:rPr>
          <w:iCs/>
          <w:lang w:val="fr-FR"/>
        </w:rPr>
        <w:t xml:space="preserve">Un règlement à l’amiable a été conclu pour la prise en charge des frais médicaux et la famille de </w:t>
      </w:r>
      <w:r w:rsidR="00616197" w:rsidRPr="00D3264E">
        <w:rPr>
          <w:iCs/>
          <w:lang w:val="fr-FR"/>
        </w:rPr>
        <w:t xml:space="preserve">la victime a retiré sa plainte. </w:t>
      </w:r>
      <w:r w:rsidRPr="00D3264E">
        <w:rPr>
          <w:iCs/>
          <w:lang w:val="fr-FR"/>
        </w:rPr>
        <w:t>L’auteur du viol a été relâché après s’être engagé à apporter à la victime toute l’assistance nécessaire.</w:t>
      </w:r>
      <w:r w:rsidRPr="00D3264E">
        <w:rPr>
          <w:lang w:val="fr-FR"/>
        </w:rPr>
        <w:t xml:space="preserve"> Le règlement à l’amiable peut avoir lieu par la force ou sous la pression exercée généralement sur la victime ou sa famille.</w:t>
      </w:r>
    </w:p>
    <w:p w:rsidR="000E1E7F" w:rsidRPr="00D3264E" w:rsidRDefault="000E1E7F" w:rsidP="00097245">
      <w:pPr>
        <w:jc w:val="both"/>
        <w:rPr>
          <w:lang w:val="fr-FR"/>
        </w:rPr>
      </w:pPr>
    </w:p>
    <w:p w:rsidR="000E1E7F" w:rsidRPr="00D3264E" w:rsidRDefault="000E1E7F" w:rsidP="00097245">
      <w:pPr>
        <w:pStyle w:val="ListParagraph"/>
        <w:numPr>
          <w:ilvl w:val="0"/>
          <w:numId w:val="5"/>
        </w:numPr>
        <w:ind w:left="0"/>
        <w:jc w:val="both"/>
        <w:rPr>
          <w:lang w:val="fr-FR"/>
        </w:rPr>
      </w:pPr>
      <w:r w:rsidRPr="00D3264E">
        <w:rPr>
          <w:lang w:val="fr-FR"/>
        </w:rPr>
        <w:t xml:space="preserve">Par ailleurs, des cas d’abandon de procédures ont été constatés suite aux pressions exercées par des membres de la famille ou de la communauté sur les victimes, même au niveau de la police, de la gendarmerie et du parquet, au profit d’un arrangement à l’amiable. Certains policiers et gendarmes saisis de plaintes pour viol s'improvisent </w:t>
      </w:r>
      <w:r w:rsidR="00616197" w:rsidRPr="00D3264E">
        <w:rPr>
          <w:lang w:val="fr-FR"/>
        </w:rPr>
        <w:t xml:space="preserve">en </w:t>
      </w:r>
      <w:r w:rsidRPr="00D3264E">
        <w:rPr>
          <w:lang w:val="fr-FR"/>
        </w:rPr>
        <w:t>négociateurs en vue de conclure des arrangements à l'amiable. Ils viole</w:t>
      </w:r>
      <w:r w:rsidR="00616197" w:rsidRPr="00D3264E">
        <w:rPr>
          <w:lang w:val="fr-FR"/>
        </w:rPr>
        <w:t xml:space="preserve">nt ainsi l’article 40, alinéa 2, </w:t>
      </w:r>
      <w:r w:rsidRPr="00D3264E">
        <w:rPr>
          <w:lang w:val="fr-FR"/>
        </w:rPr>
        <w:t xml:space="preserve">du Code de procédure pénale, qui exige de toute autorité constituée, de tout officier public ou fonctionnaire, qui acquiert, dans l’exercice de ses fonctions, la connaissance d’un crime ou d’un délit, qu’il en donne avis sans délai au Procureur de la République. </w:t>
      </w:r>
    </w:p>
    <w:p w:rsidR="00A63B4F" w:rsidRPr="00D3264E" w:rsidRDefault="00A63B4F" w:rsidP="00097245">
      <w:pPr>
        <w:pStyle w:val="ListParagraph"/>
        <w:ind w:left="0"/>
        <w:jc w:val="both"/>
        <w:rPr>
          <w:lang w:val="fr-FR"/>
        </w:rPr>
      </w:pPr>
    </w:p>
    <w:p w:rsidR="000E1E7F" w:rsidRPr="00D3264E" w:rsidRDefault="000E1E7F" w:rsidP="00097245">
      <w:pPr>
        <w:pStyle w:val="ListParagraph"/>
        <w:numPr>
          <w:ilvl w:val="0"/>
          <w:numId w:val="5"/>
        </w:numPr>
        <w:ind w:left="0"/>
        <w:jc w:val="both"/>
        <w:rPr>
          <w:b/>
          <w:i/>
          <w:lang w:val="fr-FR"/>
        </w:rPr>
      </w:pPr>
      <w:r w:rsidRPr="00D3264E">
        <w:rPr>
          <w:lang w:val="fr-FR"/>
        </w:rPr>
        <w:t xml:space="preserve">Bien que, selon le droit ivoirien, le retrait de la plainte ou la rétractation de la victime n’est pas une cause d’extinction de l’action publique en matière de viol, il arrive souvent que les pressions exercées en vue d’arrangements à l’amiable - par les </w:t>
      </w:r>
      <w:r w:rsidRPr="00D3264E">
        <w:rPr>
          <w:i/>
          <w:lang w:val="fr-FR"/>
        </w:rPr>
        <w:t xml:space="preserve">leaders </w:t>
      </w:r>
      <w:r w:rsidRPr="00D3264E">
        <w:rPr>
          <w:lang w:val="fr-FR"/>
        </w:rPr>
        <w:t>communautaires, les guides religieux, les communautés et même certaines autorités politiques dans les commissariats de police, les brigades de gendarmerie et les parquets - obligent les victimes à retirer leur plainte par peur de représailles de la part de la communauté, favorisant l’arrêt des procédures judiciaires</w:t>
      </w:r>
      <w:r w:rsidRPr="00D3264E">
        <w:rPr>
          <w:vertAlign w:val="superscript"/>
          <w:lang w:val="fr-FR"/>
        </w:rPr>
        <w:t xml:space="preserve"> </w:t>
      </w:r>
      <w:r w:rsidRPr="00D3264E">
        <w:rPr>
          <w:lang w:val="fr-FR"/>
        </w:rPr>
        <w:t xml:space="preserve">et le classement des dossiers de viols. </w:t>
      </w:r>
    </w:p>
    <w:p w:rsidR="000E1E7F" w:rsidRPr="00D3264E" w:rsidRDefault="000E1E7F" w:rsidP="00097245">
      <w:pPr>
        <w:pStyle w:val="ListParagraph"/>
        <w:ind w:left="0"/>
        <w:jc w:val="both"/>
        <w:rPr>
          <w:lang w:val="fr-FR"/>
        </w:rPr>
      </w:pPr>
    </w:p>
    <w:p w:rsidR="000E1E7F" w:rsidRPr="00D3264E" w:rsidRDefault="000E1E7F" w:rsidP="00097245">
      <w:pPr>
        <w:pStyle w:val="ListParagraph"/>
        <w:numPr>
          <w:ilvl w:val="0"/>
          <w:numId w:val="5"/>
        </w:numPr>
        <w:ind w:left="0"/>
        <w:jc w:val="both"/>
        <w:rPr>
          <w:b/>
          <w:i/>
          <w:lang w:val="fr-FR"/>
        </w:rPr>
      </w:pPr>
      <w:r w:rsidRPr="00D3264E">
        <w:rPr>
          <w:lang w:val="fr-FR"/>
        </w:rPr>
        <w:t xml:space="preserve">Il a été enfin observé que des victimes ont saisi la justice en cas d’échec du règlement à l’amiable, lorsque l’auteur du viol ne s’acquitte pas de ses obligations. La DDH a en effet </w:t>
      </w:r>
      <w:r w:rsidRPr="00D3264E">
        <w:rPr>
          <w:lang w:val="fr-FR"/>
        </w:rPr>
        <w:lastRenderedPageBreak/>
        <w:t xml:space="preserve">constaté que des familles de victimes avaient déposé plainte auprès de la police ou de la gendarmerie car elles n’avaient </w:t>
      </w:r>
      <w:r w:rsidR="001A0A9A" w:rsidRPr="00D3264E">
        <w:rPr>
          <w:lang w:val="fr-FR"/>
        </w:rPr>
        <w:t xml:space="preserve">pas </w:t>
      </w:r>
      <w:r w:rsidRPr="00D3264E">
        <w:rPr>
          <w:lang w:val="fr-FR"/>
        </w:rPr>
        <w:t xml:space="preserve">obtenu dédommagement malgré la conclusion d’un accord à l’amiable avec l’auteur présumé ou sa famille. </w:t>
      </w:r>
    </w:p>
    <w:p w:rsidR="000E1E7F" w:rsidRPr="00D3264E" w:rsidRDefault="000E1E7F" w:rsidP="00097245">
      <w:pPr>
        <w:pStyle w:val="Heading1"/>
        <w:jc w:val="both"/>
        <w:rPr>
          <w:rFonts w:ascii="Times New Roman" w:hAnsi="Times New Roman"/>
          <w:sz w:val="24"/>
          <w:szCs w:val="24"/>
          <w:lang w:val="fr-FR"/>
        </w:rPr>
      </w:pPr>
    </w:p>
    <w:p w:rsidR="00F607D6" w:rsidRPr="00D3264E" w:rsidRDefault="00F160DF" w:rsidP="00097245">
      <w:pPr>
        <w:pStyle w:val="Heading1"/>
        <w:numPr>
          <w:ilvl w:val="0"/>
          <w:numId w:val="1"/>
        </w:numPr>
        <w:jc w:val="both"/>
        <w:rPr>
          <w:rFonts w:ascii="Times New Roman" w:hAnsi="Times New Roman"/>
          <w:sz w:val="24"/>
          <w:szCs w:val="24"/>
          <w:lang w:val="fr-FR"/>
        </w:rPr>
      </w:pPr>
      <w:bookmarkStart w:id="35" w:name="_Toc455746290"/>
      <w:r w:rsidRPr="00D3264E">
        <w:rPr>
          <w:rFonts w:ascii="Times New Roman" w:hAnsi="Times New Roman"/>
          <w:sz w:val="24"/>
          <w:szCs w:val="24"/>
          <w:lang w:val="fr-FR"/>
        </w:rPr>
        <w:t>Principales r</w:t>
      </w:r>
      <w:r w:rsidR="00667C95" w:rsidRPr="00D3264E">
        <w:rPr>
          <w:rFonts w:ascii="Times New Roman" w:hAnsi="Times New Roman"/>
          <w:sz w:val="24"/>
          <w:szCs w:val="24"/>
          <w:lang w:val="fr-FR"/>
        </w:rPr>
        <w:t>éponses du gouvernement dans la lutte contre l’impunité pour les viols</w:t>
      </w:r>
      <w:bookmarkEnd w:id="35"/>
    </w:p>
    <w:p w:rsidR="00BB365D" w:rsidRPr="00D3264E" w:rsidRDefault="00BB365D" w:rsidP="00097245">
      <w:pPr>
        <w:jc w:val="both"/>
        <w:rPr>
          <w:lang w:val="fr-FR"/>
        </w:rPr>
      </w:pPr>
    </w:p>
    <w:p w:rsidR="00BB365D" w:rsidRPr="00D3264E" w:rsidRDefault="00BB365D" w:rsidP="00097245">
      <w:pPr>
        <w:jc w:val="both"/>
        <w:rPr>
          <w:lang w:val="fr-FR"/>
        </w:rPr>
      </w:pPr>
      <w:r w:rsidRPr="00D3264E">
        <w:rPr>
          <w:lang w:val="fr-FR"/>
        </w:rPr>
        <w:t>Cette section du rapport présente les principales réponses du gouvernement dans la lutte contre l’impunité des viols</w:t>
      </w:r>
      <w:r w:rsidR="004022A5" w:rsidRPr="00D3264E">
        <w:rPr>
          <w:lang w:val="fr-FR"/>
        </w:rPr>
        <w:t xml:space="preserve">, sans </w:t>
      </w:r>
      <w:r w:rsidRPr="00D3264E">
        <w:rPr>
          <w:lang w:val="fr-FR"/>
        </w:rPr>
        <w:t>prétend</w:t>
      </w:r>
      <w:r w:rsidR="004022A5" w:rsidRPr="00D3264E">
        <w:rPr>
          <w:lang w:val="fr-FR"/>
        </w:rPr>
        <w:t xml:space="preserve">re à une description </w:t>
      </w:r>
      <w:r w:rsidRPr="00D3264E">
        <w:rPr>
          <w:lang w:val="fr-FR"/>
        </w:rPr>
        <w:t>exhaustive.</w:t>
      </w:r>
    </w:p>
    <w:p w:rsidR="00F607D6" w:rsidRPr="00D3264E" w:rsidRDefault="00F607D6" w:rsidP="00097245">
      <w:pPr>
        <w:pStyle w:val="ListParagraph"/>
        <w:jc w:val="both"/>
        <w:rPr>
          <w:bCs/>
          <w:lang w:val="fr-FR"/>
        </w:rPr>
      </w:pPr>
    </w:p>
    <w:p w:rsidR="00C57BC2" w:rsidRPr="00D3264E" w:rsidRDefault="00C57BC2" w:rsidP="00097245">
      <w:pPr>
        <w:pStyle w:val="ListParagraph"/>
        <w:numPr>
          <w:ilvl w:val="0"/>
          <w:numId w:val="18"/>
        </w:numPr>
        <w:jc w:val="both"/>
        <w:rPr>
          <w:lang w:val="fr-FR"/>
        </w:rPr>
      </w:pPr>
      <w:r w:rsidRPr="00D3264E">
        <w:rPr>
          <w:u w:val="single"/>
          <w:lang w:val="fr-FR"/>
        </w:rPr>
        <w:t>Stratégie nationale de lutte contre les violences basées sur le genre</w:t>
      </w:r>
      <w:r w:rsidRPr="00D3264E">
        <w:rPr>
          <w:lang w:val="fr-FR"/>
        </w:rPr>
        <w:t>:</w:t>
      </w:r>
    </w:p>
    <w:p w:rsidR="00C57BC2" w:rsidRPr="00D3264E" w:rsidRDefault="00C57BC2" w:rsidP="00097245">
      <w:pPr>
        <w:pStyle w:val="ListParagraph"/>
        <w:ind w:left="360"/>
        <w:jc w:val="both"/>
        <w:rPr>
          <w:lang w:val="fr-FR"/>
        </w:rPr>
      </w:pPr>
    </w:p>
    <w:p w:rsidR="00A84159" w:rsidRPr="00D3264E" w:rsidRDefault="00C57BC2" w:rsidP="00097245">
      <w:pPr>
        <w:pStyle w:val="ListParagraph"/>
        <w:numPr>
          <w:ilvl w:val="0"/>
          <w:numId w:val="5"/>
        </w:numPr>
        <w:ind w:left="0"/>
        <w:jc w:val="both"/>
        <w:rPr>
          <w:lang w:val="fr-FR"/>
        </w:rPr>
      </w:pPr>
      <w:r w:rsidRPr="00D3264E">
        <w:rPr>
          <w:lang w:val="fr-FR" w:eastAsia="fr-FR"/>
        </w:rPr>
        <w:t>L’adoption et le lancement de la</w:t>
      </w:r>
      <w:r w:rsidRPr="00D3264E">
        <w:rPr>
          <w:bCs/>
          <w:lang w:val="fr-FR"/>
        </w:rPr>
        <w:t xml:space="preserve"> Stratégie nationale de lutte cont</w:t>
      </w:r>
      <w:r w:rsidR="00BB365D" w:rsidRPr="00D3264E">
        <w:rPr>
          <w:bCs/>
          <w:lang w:val="fr-FR"/>
        </w:rPr>
        <w:t>re les violences basées sur le g</w:t>
      </w:r>
      <w:r w:rsidRPr="00D3264E">
        <w:rPr>
          <w:bCs/>
          <w:lang w:val="fr-FR"/>
        </w:rPr>
        <w:t>enre (SNLVBG)</w:t>
      </w:r>
      <w:r w:rsidR="00616197" w:rsidRPr="00D3264E">
        <w:rPr>
          <w:lang w:val="fr-FR" w:eastAsia="fr-FR"/>
        </w:rPr>
        <w:t xml:space="preserve"> constituent </w:t>
      </w:r>
      <w:r w:rsidRPr="00D3264E">
        <w:rPr>
          <w:lang w:val="fr-FR" w:eastAsia="fr-FR"/>
        </w:rPr>
        <w:t xml:space="preserve">une </w:t>
      </w:r>
      <w:r w:rsidRPr="00D3264E">
        <w:rPr>
          <w:bCs/>
          <w:lang w:val="fr-FR"/>
        </w:rPr>
        <w:t xml:space="preserve">initiative importante qui </w:t>
      </w:r>
      <w:r w:rsidR="00896E38" w:rsidRPr="00D3264E">
        <w:rPr>
          <w:bCs/>
          <w:lang w:val="fr-FR"/>
        </w:rPr>
        <w:t xml:space="preserve">a </w:t>
      </w:r>
      <w:r w:rsidRPr="00D3264E">
        <w:rPr>
          <w:bCs/>
          <w:lang w:val="fr-FR"/>
        </w:rPr>
        <w:t>aid</w:t>
      </w:r>
      <w:r w:rsidR="00010C10" w:rsidRPr="00D3264E">
        <w:rPr>
          <w:bCs/>
          <w:lang w:val="fr-FR"/>
        </w:rPr>
        <w:t>é le g</w:t>
      </w:r>
      <w:r w:rsidRPr="00D3264E">
        <w:rPr>
          <w:bCs/>
          <w:lang w:val="fr-FR"/>
        </w:rPr>
        <w:t xml:space="preserve">ouvernement à définir ses orientations stratégiques, mais aussi </w:t>
      </w:r>
      <w:r w:rsidR="00A84159" w:rsidRPr="00D3264E">
        <w:rPr>
          <w:bCs/>
          <w:lang w:val="fr-FR"/>
        </w:rPr>
        <w:t>à</w:t>
      </w:r>
      <w:r w:rsidRPr="00D3264E">
        <w:rPr>
          <w:bCs/>
          <w:lang w:val="fr-FR"/>
        </w:rPr>
        <w:t xml:space="preserve"> circonscrire ses efforts dans ce domaine. </w:t>
      </w:r>
    </w:p>
    <w:p w:rsidR="00A84159" w:rsidRPr="00D3264E" w:rsidRDefault="00A84159" w:rsidP="00097245">
      <w:pPr>
        <w:pStyle w:val="ListParagraph"/>
        <w:ind w:left="0"/>
        <w:jc w:val="both"/>
        <w:rPr>
          <w:lang w:val="fr-FR"/>
        </w:rPr>
      </w:pPr>
    </w:p>
    <w:p w:rsidR="00A84159" w:rsidRPr="00D3264E" w:rsidRDefault="00C57BC2" w:rsidP="00097245">
      <w:pPr>
        <w:pStyle w:val="ListParagraph"/>
        <w:numPr>
          <w:ilvl w:val="0"/>
          <w:numId w:val="5"/>
        </w:numPr>
        <w:ind w:left="0"/>
        <w:jc w:val="both"/>
        <w:rPr>
          <w:lang w:val="fr-FR"/>
        </w:rPr>
      </w:pPr>
      <w:r w:rsidRPr="00D3264E">
        <w:rPr>
          <w:bCs/>
          <w:lang w:val="fr-FR"/>
        </w:rPr>
        <w:t>Initiée en 2009, son processus d’élaboration, puis de révision suite à la crise post-électorale, s’est poursuivi jusqu’en 2013 avec l’appui technique d’UN Action</w:t>
      </w:r>
      <w:r w:rsidRPr="00D3264E">
        <w:rPr>
          <w:rStyle w:val="FootnoteReference"/>
          <w:bCs/>
          <w:lang w:val="fr-FR"/>
        </w:rPr>
        <w:footnoteReference w:id="48"/>
      </w:r>
      <w:r w:rsidRPr="00D3264E">
        <w:rPr>
          <w:bCs/>
          <w:lang w:val="fr-FR"/>
        </w:rPr>
        <w:t>, et la stratégie a été officiellement lancée</w:t>
      </w:r>
      <w:r w:rsidR="00BB365D" w:rsidRPr="00D3264E">
        <w:rPr>
          <w:bCs/>
          <w:lang w:val="fr-FR"/>
        </w:rPr>
        <w:t>,</w:t>
      </w:r>
      <w:r w:rsidRPr="00D3264E">
        <w:rPr>
          <w:bCs/>
          <w:lang w:val="fr-FR"/>
        </w:rPr>
        <w:t xml:space="preserve"> le 5 septembre 2014, par le </w:t>
      </w:r>
      <w:r w:rsidR="00D53758" w:rsidRPr="00D3264E">
        <w:rPr>
          <w:bCs/>
          <w:lang w:val="fr-FR"/>
        </w:rPr>
        <w:t>m</w:t>
      </w:r>
      <w:r w:rsidRPr="00D3264E">
        <w:rPr>
          <w:bCs/>
          <w:lang w:val="fr-FR"/>
        </w:rPr>
        <w:t xml:space="preserve">inistère </w:t>
      </w:r>
      <w:r w:rsidR="00D53758" w:rsidRPr="00D3264E">
        <w:rPr>
          <w:bCs/>
          <w:lang w:val="fr-FR"/>
        </w:rPr>
        <w:t>qui était alors en charge de la solidarité, de la famille, de la femme et de l’e</w:t>
      </w:r>
      <w:r w:rsidRPr="00D3264E">
        <w:rPr>
          <w:bCs/>
          <w:lang w:val="fr-FR"/>
        </w:rPr>
        <w:t>nfant (MSFFE)</w:t>
      </w:r>
      <w:r w:rsidR="00D53758" w:rsidRPr="00D3264E">
        <w:rPr>
          <w:bCs/>
          <w:lang w:val="fr-FR"/>
        </w:rPr>
        <w:t xml:space="preserve">. Sous la direction du MSFFE et, depuis janvier 2016, du Ministère </w:t>
      </w:r>
      <w:r w:rsidR="00D53758" w:rsidRPr="00D3264E">
        <w:rPr>
          <w:lang w:val="fr-FR"/>
        </w:rPr>
        <w:t>de la Promotion de la Femme, de la Famille et de la Protection de l’Enfant (MPFFPE)</w:t>
      </w:r>
      <w:r w:rsidR="00D53758" w:rsidRPr="00D3264E">
        <w:rPr>
          <w:bCs/>
          <w:lang w:val="fr-FR"/>
        </w:rPr>
        <w:t>,</w:t>
      </w:r>
      <w:r w:rsidRPr="00D3264E">
        <w:rPr>
          <w:bCs/>
          <w:lang w:val="fr-FR"/>
        </w:rPr>
        <w:t xml:space="preserve"> la mise en œuvre de cette stratégie est assurée</w:t>
      </w:r>
      <w:r w:rsidR="00093228" w:rsidRPr="00D3264E">
        <w:rPr>
          <w:bCs/>
          <w:lang w:val="fr-FR"/>
        </w:rPr>
        <w:t xml:space="preserve"> par le Comité national</w:t>
      </w:r>
      <w:r w:rsidRPr="00D3264E">
        <w:rPr>
          <w:bCs/>
          <w:lang w:val="fr-FR"/>
        </w:rPr>
        <w:t xml:space="preserve"> de lutte contre les</w:t>
      </w:r>
      <w:r w:rsidR="00093228" w:rsidRPr="00D3264E">
        <w:rPr>
          <w:bCs/>
          <w:lang w:val="fr-FR"/>
        </w:rPr>
        <w:t xml:space="preserve"> violences basées sur le genre, </w:t>
      </w:r>
      <w:r w:rsidRPr="00D3264E">
        <w:rPr>
          <w:bCs/>
          <w:lang w:val="fr-FR"/>
        </w:rPr>
        <w:t xml:space="preserve">qui regroupe notamment des acteurs des structures étatiques, d’ONG internationales et nationales, et des représentants des Nations Unies. </w:t>
      </w:r>
    </w:p>
    <w:p w:rsidR="00A84159" w:rsidRPr="00D3264E" w:rsidRDefault="00A84159" w:rsidP="00097245">
      <w:pPr>
        <w:pStyle w:val="ListParagraph"/>
        <w:rPr>
          <w:lang w:val="fr-FR"/>
        </w:rPr>
      </w:pPr>
    </w:p>
    <w:p w:rsidR="00C57BC2" w:rsidRPr="00D3264E" w:rsidRDefault="00C57BC2" w:rsidP="00097245">
      <w:pPr>
        <w:pStyle w:val="ListParagraph"/>
        <w:numPr>
          <w:ilvl w:val="0"/>
          <w:numId w:val="5"/>
        </w:numPr>
        <w:ind w:left="0"/>
        <w:jc w:val="both"/>
        <w:rPr>
          <w:lang w:val="fr-FR"/>
        </w:rPr>
      </w:pPr>
      <w:r w:rsidRPr="00D3264E">
        <w:rPr>
          <w:lang w:val="fr-FR"/>
        </w:rPr>
        <w:t xml:space="preserve">La SNLVBG comprend différents axes prioritaires portant sur la prévention des violences basées sur le genre, la réforme du secteur de la sécurité/désarmement, démobilisation et réinsertion, la prise en charge multisectorielle, la coordination et </w:t>
      </w:r>
      <w:r w:rsidR="00A84159" w:rsidRPr="00D3264E">
        <w:rPr>
          <w:lang w:val="fr-FR"/>
        </w:rPr>
        <w:t xml:space="preserve">la </w:t>
      </w:r>
      <w:r w:rsidRPr="00D3264E">
        <w:rPr>
          <w:lang w:val="fr-FR"/>
        </w:rPr>
        <w:t xml:space="preserve">collecte des données sur les violences basées sur le genre et enfin la justice et </w:t>
      </w:r>
      <w:r w:rsidR="00A84159" w:rsidRPr="00D3264E">
        <w:rPr>
          <w:lang w:val="fr-FR"/>
        </w:rPr>
        <w:t xml:space="preserve">la </w:t>
      </w:r>
      <w:r w:rsidRPr="00D3264E">
        <w:rPr>
          <w:lang w:val="fr-FR"/>
        </w:rPr>
        <w:t>lutte contre l’impunité des violences sexuelles. Le niveau de mise en œuvre de cette stratégie est resté limité.</w:t>
      </w:r>
      <w:r w:rsidRPr="00D3264E">
        <w:rPr>
          <w:rStyle w:val="FootnoteReference"/>
          <w:lang w:val="fr-FR"/>
        </w:rPr>
        <w:footnoteReference w:id="49"/>
      </w:r>
    </w:p>
    <w:p w:rsidR="00C57BC2" w:rsidRPr="00D3264E" w:rsidRDefault="00C57BC2" w:rsidP="00097245">
      <w:pPr>
        <w:pStyle w:val="ListParagraph"/>
        <w:ind w:left="0"/>
        <w:jc w:val="both"/>
        <w:rPr>
          <w:lang w:val="fr-FR"/>
        </w:rPr>
      </w:pPr>
    </w:p>
    <w:p w:rsidR="00C57BC2" w:rsidRPr="00D3264E" w:rsidRDefault="00093228" w:rsidP="00097245">
      <w:pPr>
        <w:pStyle w:val="ListParagraph"/>
        <w:numPr>
          <w:ilvl w:val="0"/>
          <w:numId w:val="5"/>
        </w:numPr>
        <w:ind w:left="0"/>
        <w:jc w:val="both"/>
        <w:rPr>
          <w:lang w:val="fr-FR"/>
        </w:rPr>
      </w:pPr>
      <w:r w:rsidRPr="00D3264E">
        <w:rPr>
          <w:lang w:val="fr-FR"/>
        </w:rPr>
        <w:t>Dès la fin de la crise, le</w:t>
      </w:r>
      <w:r w:rsidR="00C57BC2" w:rsidRPr="00D3264E">
        <w:rPr>
          <w:lang w:val="fr-FR"/>
        </w:rPr>
        <w:t xml:space="preserve"> </w:t>
      </w:r>
      <w:r w:rsidRPr="00D3264E">
        <w:rPr>
          <w:bCs/>
          <w:lang w:val="fr-FR"/>
        </w:rPr>
        <w:t>Comité national de lutte contre les violences basées sur le genre</w:t>
      </w:r>
      <w:r w:rsidRPr="00D3264E">
        <w:rPr>
          <w:lang w:val="fr-FR"/>
        </w:rPr>
        <w:t xml:space="preserve"> </w:t>
      </w:r>
      <w:r w:rsidR="00C57BC2" w:rsidRPr="00D3264E">
        <w:rPr>
          <w:lang w:val="fr-FR"/>
        </w:rPr>
        <w:t xml:space="preserve">a </w:t>
      </w:r>
      <w:r w:rsidR="00BB365D" w:rsidRPr="00D3264E">
        <w:rPr>
          <w:lang w:val="fr-FR"/>
        </w:rPr>
        <w:t>décidé d’adopter le Système de gestion des informations sur la violence basée sur le g</w:t>
      </w:r>
      <w:r w:rsidR="00C57BC2" w:rsidRPr="00D3264E">
        <w:rPr>
          <w:lang w:val="fr-FR"/>
        </w:rPr>
        <w:t xml:space="preserve">enre (GBV-IMS), y compris la violence sexuelle, parmi les outils devant permettre le suivi de la mise en œuvre de l’axe transversal relatif à la collecte de données </w:t>
      </w:r>
      <w:r w:rsidR="007B4094" w:rsidRPr="00D3264E">
        <w:rPr>
          <w:lang w:val="fr-FR"/>
        </w:rPr>
        <w:t>sur les violences basées sur le genre (</w:t>
      </w:r>
      <w:r w:rsidR="00C57BC2" w:rsidRPr="00D3264E">
        <w:rPr>
          <w:lang w:val="fr-FR"/>
        </w:rPr>
        <w:t>VBG</w:t>
      </w:r>
      <w:r w:rsidR="007B4094" w:rsidRPr="00D3264E">
        <w:rPr>
          <w:lang w:val="fr-FR"/>
        </w:rPr>
        <w:t>)</w:t>
      </w:r>
      <w:r w:rsidR="00C57BC2" w:rsidRPr="00D3264E">
        <w:rPr>
          <w:lang w:val="fr-FR"/>
        </w:rPr>
        <w:t xml:space="preserve"> inscrit dans la SNLVBG. Le GBV</w:t>
      </w:r>
      <w:r w:rsidR="00BB365D" w:rsidRPr="00D3264E">
        <w:rPr>
          <w:lang w:val="fr-FR"/>
        </w:rPr>
        <w:t>-</w:t>
      </w:r>
      <w:r w:rsidR="00C57BC2" w:rsidRPr="00D3264E">
        <w:rPr>
          <w:lang w:val="fr-FR"/>
        </w:rPr>
        <w:t xml:space="preserve">IMS est un outil humanitaire utilisé dans au moins 15 pays, introduit en Côte d’Ivoire par </w:t>
      </w:r>
      <w:r w:rsidR="007B4094" w:rsidRPr="00D3264E">
        <w:rPr>
          <w:lang w:val="fr-FR"/>
        </w:rPr>
        <w:t xml:space="preserve">l’ONG </w:t>
      </w:r>
      <w:r w:rsidR="00C57BC2" w:rsidRPr="00D3264E">
        <w:rPr>
          <w:i/>
          <w:lang w:val="fr-FR"/>
        </w:rPr>
        <w:t>I</w:t>
      </w:r>
      <w:r w:rsidR="007B4094" w:rsidRPr="00D3264E">
        <w:rPr>
          <w:i/>
          <w:lang w:val="fr-FR"/>
        </w:rPr>
        <w:t>nternational Rescue Committee</w:t>
      </w:r>
      <w:r w:rsidR="007B4094" w:rsidRPr="00D3264E">
        <w:rPr>
          <w:lang w:val="fr-FR"/>
        </w:rPr>
        <w:t xml:space="preserve"> (I</w:t>
      </w:r>
      <w:r w:rsidR="00C57BC2" w:rsidRPr="00D3264E">
        <w:rPr>
          <w:lang w:val="fr-FR"/>
        </w:rPr>
        <w:t>RC</w:t>
      </w:r>
      <w:r w:rsidR="007B4094" w:rsidRPr="00D3264E">
        <w:rPr>
          <w:lang w:val="fr-FR"/>
        </w:rPr>
        <w:t>)</w:t>
      </w:r>
      <w:r w:rsidR="00C57BC2" w:rsidRPr="00D3264E">
        <w:rPr>
          <w:lang w:val="fr-FR"/>
        </w:rPr>
        <w:t xml:space="preserve"> en 2010</w:t>
      </w:r>
      <w:r w:rsidR="00A84159" w:rsidRPr="00D3264E">
        <w:rPr>
          <w:lang w:val="fr-FR"/>
        </w:rPr>
        <w:t>,</w:t>
      </w:r>
      <w:r w:rsidR="00C57BC2" w:rsidRPr="00D3264E">
        <w:rPr>
          <w:lang w:val="fr-FR"/>
        </w:rPr>
        <w:t xml:space="preserve"> et utilisé comme système de gestion de l’information du Sous-cluster VBG depuis 2011. A la fin de l’année 2012, le MSFFE a sollicité et obtenu de ses partenaires la nationalisation de ce système pour une appropriation nationale. Depuis, les acteurs de l</w:t>
      </w:r>
      <w:r w:rsidR="007B4094" w:rsidRPr="00D3264E">
        <w:rPr>
          <w:lang w:val="fr-FR"/>
        </w:rPr>
        <w:t>a lutte contre les VBG ont tenu</w:t>
      </w:r>
      <w:r w:rsidR="00C57BC2" w:rsidRPr="00D3264E">
        <w:rPr>
          <w:lang w:val="fr-FR"/>
        </w:rPr>
        <w:t xml:space="preserve"> plusieurs ateliers en vue de valider la codification des incidents VBG, y compris celle des </w:t>
      </w:r>
      <w:r w:rsidR="00C57BC2" w:rsidRPr="00D3264E">
        <w:rPr>
          <w:lang w:val="fr-FR"/>
        </w:rPr>
        <w:lastRenderedPageBreak/>
        <w:t xml:space="preserve">structures et des acteurs en vue de faciliter l’analyse des données et de permettre une prise en charge </w:t>
      </w:r>
      <w:r w:rsidR="00A84159" w:rsidRPr="00D3264E">
        <w:rPr>
          <w:lang w:val="fr-FR"/>
        </w:rPr>
        <w:t>plus complète des</w:t>
      </w:r>
      <w:r w:rsidR="00C57BC2" w:rsidRPr="00D3264E">
        <w:rPr>
          <w:lang w:val="fr-FR"/>
        </w:rPr>
        <w:t xml:space="preserve"> différents cas. A terme, le processus devrait faciliter la mise en place d’une base de données sur les viols et tout type de violences basées sur le genre au plan national.</w:t>
      </w:r>
    </w:p>
    <w:p w:rsidR="009F5C0E" w:rsidRPr="00D3264E" w:rsidRDefault="009F5C0E" w:rsidP="00097245">
      <w:pPr>
        <w:pStyle w:val="ListParagraph"/>
        <w:ind w:left="0"/>
        <w:jc w:val="both"/>
        <w:rPr>
          <w:lang w:val="fr-FR"/>
        </w:rPr>
      </w:pPr>
    </w:p>
    <w:p w:rsidR="00C57BC2" w:rsidRPr="00D3264E" w:rsidRDefault="00A84159" w:rsidP="00097245">
      <w:pPr>
        <w:pStyle w:val="ListParagraph"/>
        <w:numPr>
          <w:ilvl w:val="0"/>
          <w:numId w:val="18"/>
        </w:numPr>
        <w:jc w:val="both"/>
        <w:rPr>
          <w:lang w:val="fr-FR"/>
        </w:rPr>
      </w:pPr>
      <w:r w:rsidRPr="00D3264E">
        <w:rPr>
          <w:u w:val="single"/>
          <w:lang w:val="fr-FR"/>
        </w:rPr>
        <w:t>R</w:t>
      </w:r>
      <w:r w:rsidR="00C57BC2" w:rsidRPr="00D3264E">
        <w:rPr>
          <w:u w:val="single"/>
          <w:lang w:val="fr-FR"/>
        </w:rPr>
        <w:t>épression </w:t>
      </w:r>
      <w:r w:rsidRPr="00D3264E">
        <w:rPr>
          <w:u w:val="single"/>
          <w:lang w:val="fr-FR"/>
        </w:rPr>
        <w:t xml:space="preserve">judiciaire </w:t>
      </w:r>
      <w:r w:rsidR="00C57BC2" w:rsidRPr="00D3264E">
        <w:rPr>
          <w:u w:val="single"/>
          <w:lang w:val="fr-FR"/>
        </w:rPr>
        <w:t>des crimes de viol</w:t>
      </w:r>
      <w:r w:rsidR="00C57BC2" w:rsidRPr="00D3264E">
        <w:rPr>
          <w:lang w:val="fr-FR"/>
        </w:rPr>
        <w:t>:</w:t>
      </w:r>
    </w:p>
    <w:p w:rsidR="00C57BC2" w:rsidRPr="00D3264E" w:rsidRDefault="00C57BC2" w:rsidP="00097245">
      <w:pPr>
        <w:pStyle w:val="ListParagraph"/>
        <w:ind w:left="360"/>
        <w:jc w:val="both"/>
        <w:rPr>
          <w:lang w:val="fr-FR"/>
        </w:rPr>
      </w:pPr>
    </w:p>
    <w:p w:rsidR="00C57BC2" w:rsidRPr="00D3264E" w:rsidRDefault="00C57BC2" w:rsidP="00097245">
      <w:pPr>
        <w:pStyle w:val="ListParagraph"/>
        <w:numPr>
          <w:ilvl w:val="0"/>
          <w:numId w:val="5"/>
        </w:numPr>
        <w:ind w:left="0"/>
        <w:jc w:val="both"/>
        <w:rPr>
          <w:lang w:val="fr-FR"/>
        </w:rPr>
      </w:pPr>
      <w:r w:rsidRPr="00D3264E">
        <w:rPr>
          <w:bCs/>
          <w:lang w:val="fr-FR"/>
        </w:rPr>
        <w:t>Le redéploiement à travers le pays des autorités judiciaires a commencé en juin 2007 avec la réinstallation de la Cour d’appel de Bouaké. Il s’est poursuivi progressivement avec la réhabilitation des tribunaux et le redéploiement des magistrats, des auxiliaires de justice et des agents pénitentiaires sur l’étendue du territoire national, même si la crise post-électorale de 2010-2011 a quelque peu retardé le processus. Par ailleurs, au mois d’avril 2014, les sessions d’assises, qui étaient interrompues depuis 2001</w:t>
      </w:r>
      <w:r w:rsidRPr="00D3264E">
        <w:rPr>
          <w:rStyle w:val="FootnoteReference"/>
          <w:bCs/>
          <w:lang w:val="fr-FR"/>
        </w:rPr>
        <w:footnoteReference w:id="50"/>
      </w:r>
      <w:r w:rsidRPr="00D3264E">
        <w:rPr>
          <w:bCs/>
          <w:lang w:val="fr-FR"/>
        </w:rPr>
        <w:t>, ont repris dans</w:t>
      </w:r>
      <w:r w:rsidRPr="00D3264E">
        <w:rPr>
          <w:lang w:val="fr-FR"/>
        </w:rPr>
        <w:t xml:space="preserve"> trois ressorts des Cours d’appel à Abidjan (Abidjan-Plateau, Abidjan Yopougon et Abengourou), Daloa (Daloa, Gagnoa et Man) et Bouaké (Bouaké et Korhogo). </w:t>
      </w:r>
    </w:p>
    <w:p w:rsidR="00C57BC2" w:rsidRPr="00D3264E" w:rsidRDefault="00C57BC2" w:rsidP="00097245">
      <w:pPr>
        <w:pStyle w:val="ListParagraph"/>
        <w:ind w:left="0"/>
        <w:jc w:val="both"/>
        <w:rPr>
          <w:lang w:val="fr-FR"/>
        </w:rPr>
      </w:pPr>
    </w:p>
    <w:p w:rsidR="00C57BC2" w:rsidRPr="00D3264E" w:rsidRDefault="00A01936" w:rsidP="00097245">
      <w:pPr>
        <w:pStyle w:val="ListParagraph"/>
        <w:numPr>
          <w:ilvl w:val="0"/>
          <w:numId w:val="5"/>
        </w:numPr>
        <w:ind w:left="0"/>
        <w:jc w:val="both"/>
        <w:rPr>
          <w:lang w:val="fr-FR"/>
        </w:rPr>
      </w:pPr>
      <w:r w:rsidRPr="00D3264E">
        <w:rPr>
          <w:bCs/>
          <w:lang w:val="fr-FR"/>
        </w:rPr>
        <w:t>En outre</w:t>
      </w:r>
      <w:r w:rsidR="00C57BC2" w:rsidRPr="00D3264E">
        <w:rPr>
          <w:bCs/>
          <w:lang w:val="fr-FR"/>
        </w:rPr>
        <w:t>, ces dernières années, l</w:t>
      </w:r>
      <w:r w:rsidR="00C57BC2" w:rsidRPr="00D3264E">
        <w:rPr>
          <w:lang w:val="fr-FR"/>
        </w:rPr>
        <w:t xml:space="preserve">e </w:t>
      </w:r>
      <w:r w:rsidR="00C57BC2" w:rsidRPr="00D3264E">
        <w:rPr>
          <w:bCs/>
          <w:lang w:val="fr-FR"/>
        </w:rPr>
        <w:t>MJDHLP</w:t>
      </w:r>
      <w:r w:rsidR="00DC79CB" w:rsidRPr="00D3264E">
        <w:rPr>
          <w:rStyle w:val="FootnoteReference"/>
          <w:bCs/>
          <w:lang w:val="fr-FR"/>
        </w:rPr>
        <w:footnoteReference w:id="51"/>
      </w:r>
      <w:r w:rsidR="00C57BC2" w:rsidRPr="00D3264E">
        <w:rPr>
          <w:bCs/>
          <w:lang w:val="fr-FR"/>
        </w:rPr>
        <w:t xml:space="preserve"> </w:t>
      </w:r>
      <w:r w:rsidR="00C57BC2" w:rsidRPr="00D3264E">
        <w:rPr>
          <w:lang w:val="fr-FR"/>
        </w:rPr>
        <w:t>s’est engagé, avec l’appui de partenaires, à améliorer l’accès équitable aux services de la justice</w:t>
      </w:r>
      <w:r w:rsidR="00C57BC2" w:rsidRPr="00D3264E">
        <w:rPr>
          <w:rStyle w:val="FootnoteReference"/>
          <w:lang w:val="fr-FR"/>
        </w:rPr>
        <w:footnoteReference w:id="52"/>
      </w:r>
      <w:r w:rsidR="00C57BC2" w:rsidRPr="00D3264E">
        <w:rPr>
          <w:lang w:val="fr-FR"/>
        </w:rPr>
        <w:t>. Dans le cadre du projet Projet d’appui à l’amélioration de l’accès aux droits et à la justice (PALAJ)</w:t>
      </w:r>
      <w:r w:rsidR="00C57BC2" w:rsidRPr="00D3264E">
        <w:rPr>
          <w:rStyle w:val="FootnoteReference"/>
          <w:lang w:val="fr-FR"/>
        </w:rPr>
        <w:footnoteReference w:id="53"/>
      </w:r>
      <w:r w:rsidR="00C57BC2" w:rsidRPr="00D3264E">
        <w:rPr>
          <w:lang w:val="fr-FR"/>
        </w:rPr>
        <w:t xml:space="preserve">, ont été mises en place, au mois de mai 2013, </w:t>
      </w:r>
      <w:r w:rsidR="00C57BC2" w:rsidRPr="00D3264E">
        <w:rPr>
          <w:rFonts w:eastAsia="Arial Unicode MS"/>
          <w:lang w:val="fr-FR"/>
        </w:rPr>
        <w:t>dans les villes de Bondoukou, Boua</w:t>
      </w:r>
      <w:r w:rsidR="00644D30" w:rsidRPr="00D3264E">
        <w:rPr>
          <w:rFonts w:eastAsia="Arial Unicode MS"/>
          <w:lang w:val="fr-FR"/>
        </w:rPr>
        <w:t xml:space="preserve">ké, Guiglo, Korhogo, Man et San </w:t>
      </w:r>
      <w:r w:rsidR="00C57BC2" w:rsidRPr="00D3264E">
        <w:rPr>
          <w:rFonts w:eastAsia="Arial Unicode MS"/>
          <w:lang w:val="fr-FR"/>
        </w:rPr>
        <w:t>Pedro</w:t>
      </w:r>
      <w:r w:rsidR="00C57BC2" w:rsidRPr="00D3264E">
        <w:rPr>
          <w:lang w:val="fr-FR"/>
        </w:rPr>
        <w:t>, six cliniques juridiques chargées d’accompagner les plus vulnérables, notamment les victimes de viol, auprès des services de justice. Entre mai 2013 et août 2015, 331 victimes de viol ont bénéficié d’une consultation juridique et 40 victimes ont reçu une assistance judiciaire dans le cadre du PALAJ. Il est à noter qu’</w:t>
      </w:r>
      <w:r w:rsidR="00C57BC2" w:rsidRPr="00D3264E">
        <w:rPr>
          <w:bCs/>
          <w:lang w:val="fr-FR"/>
        </w:rPr>
        <w:t xml:space="preserve">en vue de faciliter l’accès de tous à la justice, une aide légale judiciaire a été </w:t>
      </w:r>
      <w:r w:rsidR="002A34D2" w:rsidRPr="00D3264E">
        <w:rPr>
          <w:bCs/>
          <w:lang w:val="fr-FR"/>
        </w:rPr>
        <w:t>instituée</w:t>
      </w:r>
      <w:r w:rsidR="00C57BC2" w:rsidRPr="00D3264E">
        <w:rPr>
          <w:bCs/>
          <w:lang w:val="fr-FR"/>
        </w:rPr>
        <w:t xml:space="preserve"> dans les années 1970 pour les personnes démunies (appelée «</w:t>
      </w:r>
      <w:r w:rsidR="00C57BC2" w:rsidRPr="00D3264E">
        <w:rPr>
          <w:bCs/>
          <w:i/>
          <w:lang w:val="fr-FR"/>
        </w:rPr>
        <w:t>assistance judiciaire</w:t>
      </w:r>
      <w:r w:rsidR="00C57BC2" w:rsidRPr="00D3264E">
        <w:rPr>
          <w:bCs/>
          <w:lang w:val="fr-FR"/>
        </w:rPr>
        <w:t>»).</w:t>
      </w:r>
      <w:r w:rsidR="00C57BC2" w:rsidRPr="00D3264E">
        <w:rPr>
          <w:rStyle w:val="FootnoteReference"/>
          <w:bCs/>
          <w:lang w:val="fr-FR"/>
        </w:rPr>
        <w:footnoteReference w:id="54"/>
      </w:r>
      <w:r w:rsidR="00C57BC2" w:rsidRPr="00D3264E">
        <w:rPr>
          <w:bCs/>
          <w:lang w:val="fr-FR"/>
        </w:rPr>
        <w:t xml:space="preserve"> Cette assistance concerne toute personne démunie, y compris les femmes et les enfants victimes de violences sexuelles.</w:t>
      </w:r>
      <w:r w:rsidR="00C57BC2" w:rsidRPr="00D3264E">
        <w:rPr>
          <w:rStyle w:val="FootnoteReference"/>
          <w:bCs/>
          <w:lang w:val="fr-FR"/>
        </w:rPr>
        <w:footnoteReference w:id="55"/>
      </w:r>
      <w:r w:rsidR="00C57BC2" w:rsidRPr="00D3264E">
        <w:rPr>
          <w:bCs/>
          <w:lang w:val="fr-FR"/>
        </w:rPr>
        <w:t xml:space="preserve"> </w:t>
      </w:r>
    </w:p>
    <w:p w:rsidR="00C57BC2" w:rsidRPr="00D3264E" w:rsidRDefault="00C57BC2" w:rsidP="00097245">
      <w:pPr>
        <w:pStyle w:val="ListParagraph"/>
        <w:jc w:val="both"/>
        <w:rPr>
          <w:lang w:val="fr-FR"/>
        </w:rPr>
      </w:pPr>
    </w:p>
    <w:p w:rsidR="00C57BC2" w:rsidRPr="00D3264E" w:rsidRDefault="00C57BC2" w:rsidP="00097245">
      <w:pPr>
        <w:pStyle w:val="ListParagraph"/>
        <w:numPr>
          <w:ilvl w:val="0"/>
          <w:numId w:val="5"/>
        </w:numPr>
        <w:ind w:left="0"/>
        <w:jc w:val="both"/>
        <w:rPr>
          <w:lang w:val="fr-FR"/>
        </w:rPr>
      </w:pPr>
      <w:r w:rsidRPr="00D3264E">
        <w:rPr>
          <w:lang w:val="fr-FR"/>
        </w:rPr>
        <w:lastRenderedPageBreak/>
        <w:t xml:space="preserve">En vue de réduire les règlements à l’amiable des cas de violences basées sur le genre, en l’occurrence les viols, le MSFFE, avec l’appui technique et financier du Fond des Nations Unies pour la population (FNUAP), a permis d’engager, depuis 2014, 200 </w:t>
      </w:r>
      <w:r w:rsidRPr="00D3264E">
        <w:rPr>
          <w:i/>
          <w:lang w:val="fr-FR"/>
        </w:rPr>
        <w:t>leaders</w:t>
      </w:r>
      <w:r w:rsidRPr="00D3264E">
        <w:rPr>
          <w:lang w:val="fr-FR"/>
        </w:rPr>
        <w:t xml:space="preserve"> communautaires et guides religieux et 100 femmes</w:t>
      </w:r>
      <w:r w:rsidRPr="00D3264E">
        <w:rPr>
          <w:i/>
          <w:lang w:val="fr-FR"/>
        </w:rPr>
        <w:t xml:space="preserve"> leaders</w:t>
      </w:r>
      <w:r w:rsidRPr="00D3264E">
        <w:rPr>
          <w:lang w:val="fr-FR"/>
        </w:rPr>
        <w:t xml:space="preserve"> dans la lutte contre les mariages précoces, les mutila</w:t>
      </w:r>
      <w:r w:rsidR="00616197" w:rsidRPr="00D3264E">
        <w:rPr>
          <w:lang w:val="fr-FR"/>
        </w:rPr>
        <w:t>tions génitales féminines et autres</w:t>
      </w:r>
      <w:r w:rsidRPr="00D3264E">
        <w:rPr>
          <w:lang w:val="fr-FR"/>
        </w:rPr>
        <w:t xml:space="preserve"> violences sexuelles, par la dénonciation des cas et le bannissement des règlements à l’amiable.</w:t>
      </w:r>
      <w:r w:rsidRPr="00D3264E">
        <w:rPr>
          <w:lang w:val="fr-BE"/>
        </w:rPr>
        <w:t xml:space="preserve"> Le gouvernement a également rédigé un avant-projet de loi sur la protection des victimes et des témoins, qui est toujours à l’étude</w:t>
      </w:r>
      <w:r w:rsidR="00DC79CB" w:rsidRPr="00D3264E">
        <w:rPr>
          <w:lang w:val="fr-BE"/>
        </w:rPr>
        <w:t xml:space="preserve"> au niveau du M</w:t>
      </w:r>
      <w:r w:rsidR="000C6515" w:rsidRPr="00D3264E">
        <w:rPr>
          <w:lang w:val="fr-BE"/>
        </w:rPr>
        <w:t>inistère de la Justice</w:t>
      </w:r>
      <w:r w:rsidRPr="00D3264E">
        <w:rPr>
          <w:lang w:val="fr-BE"/>
        </w:rPr>
        <w:t xml:space="preserve">. </w:t>
      </w:r>
    </w:p>
    <w:p w:rsidR="00C57BC2" w:rsidRPr="00D3264E" w:rsidRDefault="00C57BC2" w:rsidP="00097245">
      <w:pPr>
        <w:pStyle w:val="ListParagraph"/>
        <w:ind w:left="0"/>
        <w:jc w:val="both"/>
        <w:rPr>
          <w:highlight w:val="yellow"/>
          <w:lang w:val="fr-FR"/>
        </w:rPr>
      </w:pPr>
    </w:p>
    <w:p w:rsidR="00C57BC2" w:rsidRPr="00D3264E" w:rsidRDefault="00C57BC2" w:rsidP="00097245">
      <w:pPr>
        <w:pStyle w:val="ListParagraph"/>
        <w:numPr>
          <w:ilvl w:val="0"/>
          <w:numId w:val="5"/>
        </w:numPr>
        <w:ind w:left="0"/>
        <w:jc w:val="both"/>
        <w:rPr>
          <w:lang w:val="fr-FR"/>
        </w:rPr>
      </w:pPr>
      <w:r w:rsidRPr="00D3264E">
        <w:rPr>
          <w:lang w:val="fr-FR"/>
        </w:rPr>
        <w:t xml:space="preserve">Le 18 mars 2014, afin de faciliter l’accès des victimes de viol à la justice, </w:t>
      </w:r>
      <w:r w:rsidRPr="00D3264E">
        <w:rPr>
          <w:bCs/>
          <w:lang w:val="fr-FR"/>
        </w:rPr>
        <w:t>le Ministre de la Justice, des Droits de l’Homme et des Libertés Publiques a émis une</w:t>
      </w:r>
      <w:r w:rsidRPr="00D3264E">
        <w:rPr>
          <w:lang w:val="fr-FR"/>
        </w:rPr>
        <w:t xml:space="preserve"> circulaire afin que «</w:t>
      </w:r>
      <w:r w:rsidR="005618A7" w:rsidRPr="00D3264E">
        <w:rPr>
          <w:lang w:val="fr-FR"/>
        </w:rPr>
        <w:t xml:space="preserve"> </w:t>
      </w:r>
      <w:r w:rsidRPr="00D3264E">
        <w:rPr>
          <w:i/>
          <w:lang w:val="fr-FR"/>
        </w:rPr>
        <w:t>dans des commissariats de police, brigades de gendarmerie, et autres services de police judiciaire, la réception des plaintes des victimes de violences et voies de fait, de coups et blessures volontaires et d’agressions sexuelles ne soit pas subordonnée à la production de certificats médicaux</w:t>
      </w:r>
      <w:r w:rsidR="005618A7" w:rsidRPr="00D3264E">
        <w:rPr>
          <w:i/>
          <w:lang w:val="fr-FR"/>
        </w:rPr>
        <w:t xml:space="preserve"> </w:t>
      </w:r>
      <w:r w:rsidRPr="00D3264E">
        <w:rPr>
          <w:i/>
          <w:lang w:val="fr-FR"/>
        </w:rPr>
        <w:t>»</w:t>
      </w:r>
      <w:r w:rsidRPr="00D3264E">
        <w:rPr>
          <w:rStyle w:val="FootnoteReference"/>
          <w:lang w:val="fr-FR"/>
        </w:rPr>
        <w:footnoteReference w:id="56"/>
      </w:r>
      <w:r w:rsidRPr="00D3264E">
        <w:rPr>
          <w:lang w:val="fr-FR"/>
        </w:rPr>
        <w:t>. Cette mesure administrative avait pour objectif d’apporter une réponse face au constat selon lequel la réception des plaintes des victimes d’agressions physiques, dans les services de police et de la gendarmerie, était subordonnée à la production d’un certificat médical.</w:t>
      </w:r>
      <w:r w:rsidRPr="00D3264E">
        <w:rPr>
          <w:rStyle w:val="FootnoteReference"/>
          <w:lang w:val="fr-FR"/>
        </w:rPr>
        <w:footnoteReference w:id="57"/>
      </w:r>
    </w:p>
    <w:p w:rsidR="00C57BC2" w:rsidRPr="00D3264E" w:rsidRDefault="00C57BC2" w:rsidP="00097245">
      <w:pPr>
        <w:jc w:val="both"/>
        <w:rPr>
          <w:u w:val="single"/>
          <w:lang w:val="fr-FR" w:eastAsia="fr-FR"/>
        </w:rPr>
      </w:pPr>
    </w:p>
    <w:p w:rsidR="00C57BC2" w:rsidRPr="00D3264E" w:rsidRDefault="00A01936" w:rsidP="00097245">
      <w:pPr>
        <w:pStyle w:val="ListParagraph"/>
        <w:numPr>
          <w:ilvl w:val="0"/>
          <w:numId w:val="18"/>
        </w:numPr>
        <w:jc w:val="both"/>
        <w:rPr>
          <w:lang w:val="fr-FR" w:eastAsia="fr-FR"/>
        </w:rPr>
      </w:pPr>
      <w:r w:rsidRPr="00D3264E">
        <w:rPr>
          <w:u w:val="single"/>
          <w:lang w:val="fr-FR" w:eastAsia="fr-FR"/>
        </w:rPr>
        <w:t>P</w:t>
      </w:r>
      <w:r w:rsidR="00C57BC2" w:rsidRPr="00D3264E">
        <w:rPr>
          <w:u w:val="single"/>
          <w:lang w:val="fr-FR" w:eastAsia="fr-FR"/>
        </w:rPr>
        <w:t>rotection des</w:t>
      </w:r>
      <w:r w:rsidR="00642891" w:rsidRPr="00D3264E">
        <w:rPr>
          <w:u w:val="single"/>
          <w:lang w:val="fr-FR" w:eastAsia="fr-FR"/>
        </w:rPr>
        <w:t xml:space="preserve"> enfants</w:t>
      </w:r>
      <w:r w:rsidR="00C57BC2" w:rsidRPr="00D3264E">
        <w:rPr>
          <w:lang w:val="fr-FR" w:eastAsia="fr-FR"/>
        </w:rPr>
        <w:t>:</w:t>
      </w:r>
    </w:p>
    <w:p w:rsidR="00C57BC2" w:rsidRPr="00D3264E" w:rsidRDefault="00C57BC2" w:rsidP="00097245">
      <w:pPr>
        <w:pStyle w:val="ListParagraph"/>
        <w:jc w:val="both"/>
        <w:rPr>
          <w:lang w:val="fr-FR"/>
        </w:rPr>
      </w:pPr>
    </w:p>
    <w:p w:rsidR="00616197" w:rsidRPr="00D3264E" w:rsidRDefault="00C57BC2" w:rsidP="00097245">
      <w:pPr>
        <w:pStyle w:val="ListParagraph"/>
        <w:numPr>
          <w:ilvl w:val="0"/>
          <w:numId w:val="5"/>
        </w:numPr>
        <w:ind w:left="0"/>
        <w:jc w:val="both"/>
        <w:rPr>
          <w:lang w:val="fr-FR"/>
        </w:rPr>
      </w:pPr>
      <w:r w:rsidRPr="00D3264E">
        <w:rPr>
          <w:lang w:val="fr-FR"/>
        </w:rPr>
        <w:t xml:space="preserve">L’adoption de la Politique nationale de protection de l’enfant et son lancement officiel le 16 juin 2014, assortie de son Plan d’action budgétisé, constitue une avancée majeure en ce qui concerne la protection des </w:t>
      </w:r>
      <w:r w:rsidR="00642891" w:rsidRPr="00D3264E">
        <w:rPr>
          <w:lang w:val="fr-FR"/>
        </w:rPr>
        <w:t xml:space="preserve">enfants </w:t>
      </w:r>
      <w:r w:rsidRPr="00D3264E">
        <w:rPr>
          <w:lang w:val="fr-FR"/>
        </w:rPr>
        <w:t xml:space="preserve">contre toutes les formes d’abus et de violence, y compris les violences sexuelles. Cette politique vise à assurer les mesures de prévention et de réponse à tous les cas de violence et d’abus commis à l’encontre d’enfants, y compris les cas de violence sexuelle, qui soient adaptées aux besoins de protection spécifique de cette population de par leur âge et leur statut de mineur au vu de la législation nationale. </w:t>
      </w:r>
    </w:p>
    <w:p w:rsidR="00616197" w:rsidRPr="00D3264E" w:rsidRDefault="00616197" w:rsidP="00097245">
      <w:pPr>
        <w:pStyle w:val="ListParagraph"/>
        <w:ind w:left="0"/>
        <w:jc w:val="both"/>
        <w:rPr>
          <w:lang w:val="fr-FR"/>
        </w:rPr>
      </w:pPr>
    </w:p>
    <w:p w:rsidR="002D45B8" w:rsidRPr="00D3264E" w:rsidRDefault="00C57BC2" w:rsidP="00097245">
      <w:pPr>
        <w:pStyle w:val="ListParagraph"/>
        <w:numPr>
          <w:ilvl w:val="0"/>
          <w:numId w:val="5"/>
        </w:numPr>
        <w:ind w:left="0"/>
        <w:jc w:val="both"/>
        <w:rPr>
          <w:lang w:val="fr-FR"/>
        </w:rPr>
      </w:pPr>
      <w:r w:rsidRPr="00D3264E">
        <w:rPr>
          <w:lang w:val="fr-FR"/>
        </w:rPr>
        <w:t xml:space="preserve">Par ailleurs, le 24 décembre 2014, le </w:t>
      </w:r>
      <w:r w:rsidR="00616197" w:rsidRPr="00D3264E">
        <w:rPr>
          <w:lang w:val="fr-FR"/>
        </w:rPr>
        <w:t>M</w:t>
      </w:r>
      <w:r w:rsidRPr="00D3264E">
        <w:rPr>
          <w:lang w:val="fr-FR"/>
        </w:rPr>
        <w:t>inistère de l’</w:t>
      </w:r>
      <w:r w:rsidR="00616197" w:rsidRPr="00D3264E">
        <w:rPr>
          <w:lang w:val="fr-FR"/>
        </w:rPr>
        <w:t>E</w:t>
      </w:r>
      <w:r w:rsidRPr="00D3264E">
        <w:rPr>
          <w:lang w:val="fr-FR"/>
        </w:rPr>
        <w:t xml:space="preserve">ducation </w:t>
      </w:r>
      <w:r w:rsidR="00616197" w:rsidRPr="00D3264E">
        <w:rPr>
          <w:lang w:val="fr-FR"/>
        </w:rPr>
        <w:t>N</w:t>
      </w:r>
      <w:r w:rsidRPr="00D3264E">
        <w:rPr>
          <w:lang w:val="fr-FR"/>
        </w:rPr>
        <w:t>ationale et de l’</w:t>
      </w:r>
      <w:r w:rsidR="00616197" w:rsidRPr="00D3264E">
        <w:rPr>
          <w:lang w:val="fr-FR"/>
        </w:rPr>
        <w:t>E</w:t>
      </w:r>
      <w:r w:rsidRPr="00D3264E">
        <w:rPr>
          <w:lang w:val="fr-FR"/>
        </w:rPr>
        <w:t xml:space="preserve">nseignement </w:t>
      </w:r>
      <w:r w:rsidR="00616197" w:rsidRPr="00D3264E">
        <w:rPr>
          <w:lang w:val="fr-FR"/>
        </w:rPr>
        <w:t>T</w:t>
      </w:r>
      <w:r w:rsidRPr="00D3264E">
        <w:rPr>
          <w:lang w:val="fr-FR"/>
        </w:rPr>
        <w:t>echnique a émis un arrêté portant code de conduite des personnels des structures p</w:t>
      </w:r>
      <w:r w:rsidR="00DC79CB" w:rsidRPr="00D3264E">
        <w:rPr>
          <w:lang w:val="fr-FR"/>
        </w:rPr>
        <w:t xml:space="preserve">ubliques et privées relevant de ce </w:t>
      </w:r>
      <w:r w:rsidR="001F3262" w:rsidRPr="00D3264E">
        <w:rPr>
          <w:lang w:val="fr-FR"/>
        </w:rPr>
        <w:t>m</w:t>
      </w:r>
      <w:r w:rsidRPr="00D3264E">
        <w:rPr>
          <w:lang w:val="fr-FR"/>
        </w:rPr>
        <w:t>inist</w:t>
      </w:r>
      <w:r w:rsidR="001A0A9A" w:rsidRPr="00D3264E">
        <w:rPr>
          <w:lang w:val="fr-FR"/>
        </w:rPr>
        <w:t>ère</w:t>
      </w:r>
      <w:r w:rsidRPr="00D3264E">
        <w:rPr>
          <w:lang w:val="fr-FR"/>
        </w:rPr>
        <w:t xml:space="preserve"> </w:t>
      </w:r>
      <w:r w:rsidR="00A01936" w:rsidRPr="00D3264E">
        <w:rPr>
          <w:lang w:val="fr-FR"/>
        </w:rPr>
        <w:t xml:space="preserve">afin </w:t>
      </w:r>
      <w:r w:rsidR="00616197" w:rsidRPr="00D3264E">
        <w:rPr>
          <w:lang w:val="fr-FR"/>
        </w:rPr>
        <w:t xml:space="preserve">de </w:t>
      </w:r>
      <w:r w:rsidRPr="00D3264E">
        <w:rPr>
          <w:lang w:val="fr-FR"/>
        </w:rPr>
        <w:t xml:space="preserve">notamment renforcer la protection des élèves contre les violences sexuelles. Le 22 janvier 2015, </w:t>
      </w:r>
      <w:r w:rsidR="00A01936" w:rsidRPr="00D3264E">
        <w:rPr>
          <w:lang w:val="fr-FR"/>
        </w:rPr>
        <w:t>une</w:t>
      </w:r>
      <w:r w:rsidRPr="00D3264E">
        <w:rPr>
          <w:lang w:val="fr-FR"/>
        </w:rPr>
        <w:t xml:space="preserve"> campagne sur la protection des enfants contre les violences en milieu scolaire</w:t>
      </w:r>
      <w:r w:rsidR="000E1E7F" w:rsidRPr="00D3264E">
        <w:rPr>
          <w:lang w:val="fr-FR"/>
        </w:rPr>
        <w:t>, y compris les violences sexuelles,</w:t>
      </w:r>
      <w:r w:rsidRPr="00D3264E">
        <w:rPr>
          <w:lang w:val="fr-FR"/>
        </w:rPr>
        <w:t xml:space="preserve"> a é</w:t>
      </w:r>
      <w:r w:rsidR="00616197" w:rsidRPr="00D3264E">
        <w:rPr>
          <w:lang w:val="fr-FR"/>
        </w:rPr>
        <w:t>té officiellement lancée par ce même ministère.</w:t>
      </w:r>
    </w:p>
    <w:p w:rsidR="00F06F4F" w:rsidRPr="00D3264E" w:rsidRDefault="00F06F4F" w:rsidP="00097245">
      <w:pPr>
        <w:pStyle w:val="ListParagraph"/>
        <w:ind w:left="0"/>
        <w:jc w:val="both"/>
        <w:rPr>
          <w:lang w:val="fr-FR"/>
        </w:rPr>
      </w:pPr>
    </w:p>
    <w:p w:rsidR="00F1527D" w:rsidRPr="00D3264E" w:rsidRDefault="00F1527D" w:rsidP="00097245">
      <w:pPr>
        <w:pStyle w:val="ListParagraph"/>
        <w:ind w:left="0"/>
        <w:jc w:val="both"/>
        <w:rPr>
          <w:lang w:val="fr-FR"/>
        </w:rPr>
      </w:pPr>
    </w:p>
    <w:p w:rsidR="00F1527D" w:rsidRPr="00D3264E" w:rsidRDefault="00F1527D" w:rsidP="00097245">
      <w:pPr>
        <w:pStyle w:val="ListParagraph"/>
        <w:ind w:left="0"/>
        <w:jc w:val="both"/>
        <w:rPr>
          <w:lang w:val="fr-FR"/>
        </w:rPr>
      </w:pPr>
    </w:p>
    <w:p w:rsidR="00F1527D" w:rsidRPr="00D3264E" w:rsidRDefault="00F1527D" w:rsidP="00097245">
      <w:pPr>
        <w:pStyle w:val="ListParagraph"/>
        <w:ind w:left="0"/>
        <w:jc w:val="both"/>
        <w:rPr>
          <w:lang w:val="fr-FR"/>
        </w:rPr>
      </w:pPr>
    </w:p>
    <w:p w:rsidR="00F1527D" w:rsidRPr="00D3264E" w:rsidRDefault="00F1527D" w:rsidP="00097245">
      <w:pPr>
        <w:pStyle w:val="ListParagraph"/>
        <w:ind w:left="0"/>
        <w:jc w:val="both"/>
        <w:rPr>
          <w:lang w:val="fr-FR"/>
        </w:rPr>
      </w:pPr>
    </w:p>
    <w:p w:rsidR="00C57BC2" w:rsidRPr="00D3264E" w:rsidRDefault="00A01936" w:rsidP="00097245">
      <w:pPr>
        <w:pStyle w:val="ListParagraph"/>
        <w:numPr>
          <w:ilvl w:val="0"/>
          <w:numId w:val="18"/>
        </w:numPr>
        <w:jc w:val="both"/>
        <w:rPr>
          <w:lang w:val="fr-FR"/>
        </w:rPr>
      </w:pPr>
      <w:r w:rsidRPr="00D3264E">
        <w:rPr>
          <w:u w:val="single"/>
          <w:lang w:val="fr-FR"/>
        </w:rPr>
        <w:lastRenderedPageBreak/>
        <w:t>V</w:t>
      </w:r>
      <w:r w:rsidR="00C57BC2" w:rsidRPr="00D3264E">
        <w:rPr>
          <w:u w:val="single"/>
          <w:lang w:val="fr-FR"/>
        </w:rPr>
        <w:t>iolences sexuelles liées aux conflits</w:t>
      </w:r>
      <w:r w:rsidR="007B4094" w:rsidRPr="00D3264E">
        <w:rPr>
          <w:u w:val="single"/>
          <w:lang w:val="fr-FR"/>
        </w:rPr>
        <w:t xml:space="preserve"> et actions prises par les FRCI</w:t>
      </w:r>
      <w:r w:rsidR="00C57BC2" w:rsidRPr="00D3264E">
        <w:rPr>
          <w:lang w:val="fr-FR"/>
        </w:rPr>
        <w:t>:</w:t>
      </w:r>
    </w:p>
    <w:p w:rsidR="00C57BC2" w:rsidRPr="00D3264E" w:rsidRDefault="00C57BC2" w:rsidP="00097245">
      <w:pPr>
        <w:jc w:val="both"/>
        <w:rPr>
          <w:bCs/>
          <w:lang w:val="fr-FR"/>
        </w:rPr>
      </w:pPr>
    </w:p>
    <w:p w:rsidR="00C57BC2" w:rsidRPr="00D3264E" w:rsidRDefault="00C57BC2" w:rsidP="00097245">
      <w:pPr>
        <w:pStyle w:val="ListParagraph"/>
        <w:numPr>
          <w:ilvl w:val="0"/>
          <w:numId w:val="5"/>
        </w:numPr>
        <w:ind w:left="0"/>
        <w:jc w:val="both"/>
        <w:rPr>
          <w:lang w:val="fr-FR"/>
        </w:rPr>
      </w:pPr>
      <w:r w:rsidRPr="00D3264E">
        <w:rPr>
          <w:bCs/>
          <w:lang w:val="fr-FR"/>
        </w:rPr>
        <w:t>Les engagements pris par le gouvernement, en juin 2014, lors du Sommet mondial</w:t>
      </w:r>
      <w:r w:rsidR="00097245" w:rsidRPr="00D3264E">
        <w:rPr>
          <w:rStyle w:val="FootnoteReference"/>
          <w:bCs/>
          <w:lang w:val="fr-FR"/>
        </w:rPr>
        <w:footnoteReference w:id="58"/>
      </w:r>
      <w:r w:rsidRPr="00D3264E">
        <w:rPr>
          <w:bCs/>
          <w:lang w:val="fr-FR"/>
        </w:rPr>
        <w:t xml:space="preserve"> pour mettre fin aux violenc</w:t>
      </w:r>
      <w:r w:rsidR="00097245" w:rsidRPr="00D3264E">
        <w:rPr>
          <w:bCs/>
          <w:lang w:val="fr-FR"/>
        </w:rPr>
        <w:t>es sexuelles dans les conflits  tenu à Londres</w:t>
      </w:r>
      <w:r w:rsidRPr="00D3264E">
        <w:rPr>
          <w:bCs/>
          <w:lang w:val="fr-FR"/>
        </w:rPr>
        <w:t xml:space="preserve"> se sont traduits notamment par l’adoption d’un plan d'action national pour la lutte contre les violences sexuelles liées au conflit</w:t>
      </w:r>
      <w:r w:rsidRPr="00D3264E">
        <w:rPr>
          <w:rStyle w:val="FootnoteReference"/>
          <w:bCs/>
          <w:lang w:val="fr-FR"/>
        </w:rPr>
        <w:footnoteReference w:id="59"/>
      </w:r>
      <w:r w:rsidRPr="00D3264E">
        <w:rPr>
          <w:bCs/>
          <w:lang w:val="fr-FR"/>
        </w:rPr>
        <w:t xml:space="preserve">. Ce plan d’action, qui a été finalisé et validé en août 2014, a pour objectif </w:t>
      </w:r>
      <w:r w:rsidRPr="00D3264E">
        <w:rPr>
          <w:lang w:val="fr-FR" w:eastAsia="fr-FR"/>
        </w:rPr>
        <w:t xml:space="preserve">l’atteinte des résultats des différents axes de la </w:t>
      </w:r>
      <w:r w:rsidRPr="00D3264E">
        <w:rPr>
          <w:bCs/>
          <w:lang w:val="fr-FR"/>
        </w:rPr>
        <w:t xml:space="preserve">SNLVBG </w:t>
      </w:r>
      <w:r w:rsidRPr="00D3264E">
        <w:rPr>
          <w:lang w:val="fr-FR" w:eastAsia="fr-FR"/>
        </w:rPr>
        <w:t xml:space="preserve">d’une façon transversale. Plus précisément, </w:t>
      </w:r>
      <w:r w:rsidR="00A01936" w:rsidRPr="00D3264E">
        <w:rPr>
          <w:lang w:val="fr-FR" w:eastAsia="fr-FR"/>
        </w:rPr>
        <w:t>i</w:t>
      </w:r>
      <w:r w:rsidRPr="00D3264E">
        <w:rPr>
          <w:lang w:val="fr-FR" w:eastAsia="fr-FR"/>
        </w:rPr>
        <w:t>l vise à contribuer à la mise en œuvre de deux axes stratégiques : l’un portant sur la «</w:t>
      </w:r>
      <w:r w:rsidR="00154834" w:rsidRPr="00D3264E">
        <w:rPr>
          <w:lang w:val="fr-FR" w:eastAsia="fr-FR"/>
        </w:rPr>
        <w:t xml:space="preserve"> </w:t>
      </w:r>
      <w:r w:rsidRPr="00D3264E">
        <w:rPr>
          <w:i/>
          <w:lang w:val="fr-FR" w:eastAsia="fr-FR"/>
        </w:rPr>
        <w:t>Réforme du Secteur de la Sécurité, Désarmement, Démobilisation et Réinsertion et violences sexuelles</w:t>
      </w:r>
      <w:r w:rsidR="00154834" w:rsidRPr="00D3264E">
        <w:rPr>
          <w:lang w:val="fr-FR" w:eastAsia="fr-FR"/>
        </w:rPr>
        <w:t xml:space="preserve"> » et </w:t>
      </w:r>
      <w:r w:rsidRPr="00D3264E">
        <w:rPr>
          <w:lang w:val="fr-FR" w:eastAsia="fr-FR"/>
        </w:rPr>
        <w:t xml:space="preserve">l’autre </w:t>
      </w:r>
      <w:r w:rsidR="00154834" w:rsidRPr="00D3264E">
        <w:rPr>
          <w:lang w:val="fr-FR" w:eastAsia="fr-FR"/>
        </w:rPr>
        <w:t xml:space="preserve">portant </w:t>
      </w:r>
      <w:r w:rsidRPr="00D3264E">
        <w:rPr>
          <w:lang w:val="fr-FR" w:eastAsia="fr-FR"/>
        </w:rPr>
        <w:t>sur la « </w:t>
      </w:r>
      <w:r w:rsidRPr="00D3264E">
        <w:rPr>
          <w:i/>
          <w:lang w:val="fr-FR" w:eastAsia="fr-FR"/>
        </w:rPr>
        <w:t>Justice et la lutte contre l’impunité</w:t>
      </w:r>
      <w:r w:rsidR="00154834" w:rsidRPr="00D3264E">
        <w:rPr>
          <w:i/>
          <w:lang w:val="fr-FR" w:eastAsia="fr-FR"/>
        </w:rPr>
        <w:t xml:space="preserve"> </w:t>
      </w:r>
      <w:r w:rsidRPr="00D3264E">
        <w:rPr>
          <w:lang w:val="fr-FR" w:eastAsia="fr-FR"/>
        </w:rPr>
        <w:t xml:space="preserve">». </w:t>
      </w:r>
    </w:p>
    <w:p w:rsidR="00C57BC2" w:rsidRPr="00D3264E" w:rsidRDefault="00C57BC2" w:rsidP="00097245">
      <w:pPr>
        <w:pStyle w:val="ListParagraph"/>
        <w:jc w:val="both"/>
        <w:rPr>
          <w:rFonts w:eastAsia="MS Mincho"/>
          <w:lang w:val="fr-FR" w:eastAsia="fr-FR"/>
        </w:rPr>
      </w:pPr>
    </w:p>
    <w:p w:rsidR="00DD5C15" w:rsidRPr="00D3264E" w:rsidRDefault="00A01936" w:rsidP="00097245">
      <w:pPr>
        <w:pStyle w:val="ListParagraph"/>
        <w:numPr>
          <w:ilvl w:val="0"/>
          <w:numId w:val="5"/>
        </w:numPr>
        <w:ind w:left="-72"/>
        <w:jc w:val="both"/>
        <w:rPr>
          <w:lang w:val="fr-FR"/>
        </w:rPr>
      </w:pPr>
      <w:r w:rsidRPr="00D3264E">
        <w:rPr>
          <w:rFonts w:eastAsia="MS Mincho"/>
          <w:lang w:val="fr-FR" w:eastAsia="fr-FR"/>
        </w:rPr>
        <w:t>C</w:t>
      </w:r>
      <w:r w:rsidR="00C57BC2" w:rsidRPr="00D3264E">
        <w:rPr>
          <w:rFonts w:eastAsia="MS Mincho"/>
          <w:lang w:val="fr-FR" w:eastAsia="fr-FR"/>
        </w:rPr>
        <w:t>onformément aux engagements pris au cours du Sommet mondial, les victimes de violences sexuelles peuvent bénéficier gratuitement d</w:t>
      </w:r>
      <w:r w:rsidRPr="00D3264E">
        <w:rPr>
          <w:rFonts w:eastAsia="MS Mincho"/>
          <w:lang w:val="fr-FR" w:eastAsia="fr-FR"/>
        </w:rPr>
        <w:t>’</w:t>
      </w:r>
      <w:r w:rsidR="00C57BC2" w:rsidRPr="00D3264E">
        <w:rPr>
          <w:rFonts w:eastAsia="MS Mincho"/>
          <w:lang w:val="fr-FR" w:eastAsia="fr-FR"/>
        </w:rPr>
        <w:t>u</w:t>
      </w:r>
      <w:r w:rsidRPr="00D3264E">
        <w:rPr>
          <w:rFonts w:eastAsia="MS Mincho"/>
          <w:lang w:val="fr-FR" w:eastAsia="fr-FR"/>
        </w:rPr>
        <w:t>n</w:t>
      </w:r>
      <w:r w:rsidR="00C57BC2" w:rsidRPr="00D3264E">
        <w:rPr>
          <w:rFonts w:eastAsia="MS Mincho"/>
          <w:lang w:val="fr-FR" w:eastAsia="fr-FR"/>
        </w:rPr>
        <w:t xml:space="preserve"> certificat médical lorsqu’elles sont prises en charge dans les hôpitaux militaires.</w:t>
      </w:r>
      <w:r w:rsidR="00C57BC2" w:rsidRPr="00D3264E">
        <w:rPr>
          <w:rFonts w:eastAsia="MS Mincho"/>
          <w:lang w:val="fr-FR"/>
        </w:rPr>
        <w:t xml:space="preserve"> Par ailleurs, dans le cadre de la mise en œuvre d</w:t>
      </w:r>
      <w:r w:rsidRPr="00D3264E">
        <w:rPr>
          <w:rFonts w:eastAsia="MS Mincho"/>
          <w:lang w:val="fr-FR"/>
        </w:rPr>
        <w:t>u</w:t>
      </w:r>
      <w:r w:rsidR="00C57BC2" w:rsidRPr="00D3264E">
        <w:rPr>
          <w:rFonts w:eastAsia="MS Mincho"/>
          <w:lang w:val="fr-FR"/>
        </w:rPr>
        <w:t xml:space="preserve"> plan d’action, avec l’appui technique du Bureau de la Représentante du Secrétaire Général des Nations Unies chargée de la question des violences sexuelles dans les conflits, les FRCI ont pris plusieurs mesures concrètes </w:t>
      </w:r>
      <w:r w:rsidR="00C57BC2" w:rsidRPr="00D3264E">
        <w:rPr>
          <w:rFonts w:eastAsiaTheme="minorHAnsi"/>
          <w:lang w:val="fr-FR"/>
        </w:rPr>
        <w:t>e</w:t>
      </w:r>
      <w:r w:rsidR="00C57BC2" w:rsidRPr="00D3264E">
        <w:rPr>
          <w:lang w:val="fr-FR" w:eastAsia="fr-FR"/>
        </w:rPr>
        <w:t>n réponse au phénomène des violences sexuelles et dans le but de respecter les obligations internationales qui incombent à l’Etat de Côte d'Ivoire</w:t>
      </w:r>
      <w:r w:rsidR="00C57BC2" w:rsidRPr="00D3264E">
        <w:rPr>
          <w:rFonts w:eastAsia="MS Mincho"/>
          <w:lang w:val="fr-FR"/>
        </w:rPr>
        <w:t xml:space="preserve">. </w:t>
      </w:r>
    </w:p>
    <w:p w:rsidR="00DD5C15" w:rsidRPr="00D3264E" w:rsidRDefault="00DD5C15" w:rsidP="00097245">
      <w:pPr>
        <w:pStyle w:val="ListParagraph"/>
        <w:rPr>
          <w:lang w:val="fr-FR" w:eastAsia="fr-FR"/>
        </w:rPr>
      </w:pPr>
    </w:p>
    <w:p w:rsidR="00C57BC2" w:rsidRPr="00D3264E" w:rsidRDefault="00C57BC2" w:rsidP="00097245">
      <w:pPr>
        <w:pStyle w:val="ListParagraph"/>
        <w:numPr>
          <w:ilvl w:val="0"/>
          <w:numId w:val="5"/>
        </w:numPr>
        <w:ind w:left="-72"/>
        <w:jc w:val="both"/>
        <w:rPr>
          <w:lang w:val="fr-FR"/>
        </w:rPr>
      </w:pPr>
      <w:r w:rsidRPr="00D3264E">
        <w:rPr>
          <w:lang w:val="fr-FR" w:eastAsia="fr-FR"/>
        </w:rPr>
        <w:t xml:space="preserve">En juin 2015, au cours d’un atelier sur l’intégration des dispositions spécifiques aux violences sexuelles liées au conflit dans la Charte d’éthique et le Code de déontologie des Armées, les FRCI ont adopté un </w:t>
      </w:r>
      <w:r w:rsidRPr="00D3264E">
        <w:rPr>
          <w:rFonts w:eastAsia="Calibri"/>
          <w:lang w:val="fr-FR"/>
        </w:rPr>
        <w:t>Code de conduite du soldat ivoirien face aux violences sexuelles, y com</w:t>
      </w:r>
      <w:r w:rsidR="005618A7" w:rsidRPr="00D3264E">
        <w:rPr>
          <w:rFonts w:eastAsia="Calibri"/>
          <w:lang w:val="fr-FR"/>
        </w:rPr>
        <w:t>pris celles liées aux conflits</w:t>
      </w:r>
      <w:r w:rsidRPr="00D3264E">
        <w:rPr>
          <w:rFonts w:eastAsia="Calibri"/>
          <w:lang w:val="fr-FR"/>
        </w:rPr>
        <w:t xml:space="preserve">. Ce document, subordonné à la Charte d’éthique, elle-même </w:t>
      </w:r>
      <w:r w:rsidRPr="00D3264E">
        <w:rPr>
          <w:rStyle w:val="Emphasis"/>
          <w:rFonts w:eastAsia="Calibri"/>
          <w:i w:val="0"/>
          <w:lang w:val="fr-FR"/>
        </w:rPr>
        <w:t>subordonnée</w:t>
      </w:r>
      <w:r w:rsidRPr="00D3264E">
        <w:rPr>
          <w:rFonts w:eastAsia="Calibri"/>
          <w:i/>
          <w:lang w:val="fr-FR"/>
        </w:rPr>
        <w:t xml:space="preserve"> </w:t>
      </w:r>
      <w:r w:rsidRPr="00D3264E">
        <w:rPr>
          <w:rFonts w:eastAsia="Calibri"/>
          <w:lang w:val="fr-FR"/>
        </w:rPr>
        <w:t xml:space="preserve">au Code de déontologie, a été validé par le </w:t>
      </w:r>
      <w:r w:rsidRPr="00D3264E">
        <w:rPr>
          <w:lang w:val="fr-BE"/>
        </w:rPr>
        <w:t xml:space="preserve">Ministre auprès du Président de la République, chargé de la Défense </w:t>
      </w:r>
      <w:r w:rsidRPr="00D3264E">
        <w:rPr>
          <w:rFonts w:eastAsia="Calibri"/>
          <w:lang w:val="fr-FR"/>
        </w:rPr>
        <w:t>et circulé dans les rangs des FRCI. Enfin, e</w:t>
      </w:r>
      <w:r w:rsidRPr="00D3264E">
        <w:rPr>
          <w:rFonts w:eastAsia="MS Mincho"/>
          <w:lang w:val="fr-FR"/>
        </w:rPr>
        <w:t>n juin 2015,</w:t>
      </w:r>
      <w:r w:rsidRPr="00D3264E">
        <w:rPr>
          <w:rFonts w:eastAsia="MS Mincho"/>
          <w:lang w:val="fr-BE"/>
        </w:rPr>
        <w:t xml:space="preserve"> des commandants sur le terrain ont signé des actes d’engagement visant à prévenir et dénoncer les actes de violence sexuelle qui seraient commis par leurs éléments. Ces commandants se sont ainsi engagés à répondre aux crimes de violences sexuelles, à collaborer avec la justice militaire et à assumer la responsabilité de commandement, </w:t>
      </w:r>
      <w:r w:rsidR="00154834" w:rsidRPr="00D3264E">
        <w:rPr>
          <w:rFonts w:eastAsia="MS Mincho"/>
          <w:lang w:val="fr-BE"/>
        </w:rPr>
        <w:t>au cas où les troupes sous leur commandement</w:t>
      </w:r>
      <w:r w:rsidRPr="00D3264E">
        <w:rPr>
          <w:rFonts w:eastAsia="MS Mincho"/>
          <w:lang w:val="fr-BE"/>
        </w:rPr>
        <w:t xml:space="preserve"> seraient  impliquées dans la commission de crimes de violences sexuelles. </w:t>
      </w:r>
    </w:p>
    <w:p w:rsidR="00C57BC2" w:rsidRPr="00D3264E" w:rsidRDefault="00C57BC2" w:rsidP="00097245">
      <w:pPr>
        <w:pStyle w:val="ListParagraph"/>
        <w:ind w:left="-144"/>
        <w:jc w:val="both"/>
        <w:rPr>
          <w:lang w:val="fr-CH"/>
        </w:rPr>
      </w:pPr>
    </w:p>
    <w:p w:rsidR="00C57BC2" w:rsidRPr="00D3264E" w:rsidRDefault="00C57BC2" w:rsidP="00097245">
      <w:pPr>
        <w:pStyle w:val="ListParagraph"/>
        <w:numPr>
          <w:ilvl w:val="0"/>
          <w:numId w:val="5"/>
        </w:numPr>
        <w:ind w:left="-144"/>
        <w:jc w:val="both"/>
        <w:rPr>
          <w:lang w:val="fr-FR"/>
        </w:rPr>
      </w:pPr>
      <w:r w:rsidRPr="00D3264E">
        <w:rPr>
          <w:lang w:val="fr-CH"/>
        </w:rPr>
        <w:t xml:space="preserve">Le 24 août 2015, un </w:t>
      </w:r>
      <w:r w:rsidRPr="00D3264E">
        <w:rPr>
          <w:lang w:val="fr-FR"/>
        </w:rPr>
        <w:t xml:space="preserve">mécanisme de collaboration entre les FRCI et l’ONUCI </w:t>
      </w:r>
      <w:r w:rsidR="00A01936" w:rsidRPr="00D3264E">
        <w:rPr>
          <w:lang w:val="fr-FR"/>
        </w:rPr>
        <w:t xml:space="preserve"> a été lancé </w:t>
      </w:r>
      <w:r w:rsidRPr="00D3264E">
        <w:rPr>
          <w:lang w:val="fr-FR"/>
        </w:rPr>
        <w:t>afin</w:t>
      </w:r>
      <w:r w:rsidR="00DE1345" w:rsidRPr="00D3264E">
        <w:rPr>
          <w:lang w:val="fr-FR"/>
        </w:rPr>
        <w:t xml:space="preserve"> d’assurer un meilleur suivi des cas de violations des droits de l’homme attribués à des éléments des FRCI en vue de </w:t>
      </w:r>
      <w:r w:rsidRPr="00D3264E">
        <w:rPr>
          <w:lang w:val="fr-FR"/>
        </w:rPr>
        <w:t>renforcer la lutte contre les violations des droits de l’homme, notamment les violences sexuelles, et</w:t>
      </w:r>
      <w:r w:rsidR="00DE1345" w:rsidRPr="00D3264E">
        <w:rPr>
          <w:lang w:val="fr-FR"/>
        </w:rPr>
        <w:t xml:space="preserve"> d’assurer </w:t>
      </w:r>
      <w:r w:rsidRPr="00D3264E">
        <w:rPr>
          <w:lang w:val="fr-FR"/>
        </w:rPr>
        <w:t xml:space="preserve">une meilleure coordination des activités de promotion organisées en faveur des FRCI. Depuis le mois de </w:t>
      </w:r>
      <w:r w:rsidR="00154834" w:rsidRPr="00D3264E">
        <w:rPr>
          <w:lang w:val="fr-FR"/>
        </w:rPr>
        <w:t>janvier 2016</w:t>
      </w:r>
      <w:r w:rsidRPr="00D3264E">
        <w:rPr>
          <w:lang w:val="fr-FR"/>
        </w:rPr>
        <w:t xml:space="preserve">, </w:t>
      </w:r>
      <w:r w:rsidRPr="00D3264E">
        <w:rPr>
          <w:rFonts w:eastAsia="Calibri"/>
          <w:lang w:val="fr-FR"/>
        </w:rPr>
        <w:t xml:space="preserve">la Commission </w:t>
      </w:r>
      <w:r w:rsidR="001F3262" w:rsidRPr="00D3264E">
        <w:rPr>
          <w:rFonts w:eastAsia="Calibri"/>
          <w:lang w:val="fr-FR"/>
        </w:rPr>
        <w:t>n</w:t>
      </w:r>
      <w:r w:rsidRPr="00D3264E">
        <w:rPr>
          <w:rFonts w:eastAsia="Calibri"/>
          <w:lang w:val="fr-FR"/>
        </w:rPr>
        <w:t xml:space="preserve">ationale des </w:t>
      </w:r>
      <w:r w:rsidR="001F3262" w:rsidRPr="00D3264E">
        <w:rPr>
          <w:rFonts w:eastAsia="Calibri"/>
          <w:lang w:val="fr-FR"/>
        </w:rPr>
        <w:t>d</w:t>
      </w:r>
      <w:r w:rsidRPr="00D3264E">
        <w:rPr>
          <w:rFonts w:eastAsia="Calibri"/>
          <w:lang w:val="fr-FR"/>
        </w:rPr>
        <w:t>roits de l’</w:t>
      </w:r>
      <w:r w:rsidR="001F3262" w:rsidRPr="00D3264E">
        <w:rPr>
          <w:rFonts w:eastAsia="Calibri"/>
          <w:lang w:val="fr-FR"/>
        </w:rPr>
        <w:t>h</w:t>
      </w:r>
      <w:r w:rsidRPr="00D3264E">
        <w:rPr>
          <w:rFonts w:eastAsia="Calibri"/>
          <w:lang w:val="fr-FR"/>
        </w:rPr>
        <w:t xml:space="preserve">omme de Côte d’Ivoire (CNDH-CI) fait partie intégrante de ce mécanisme. </w:t>
      </w:r>
      <w:r w:rsidR="00A01936" w:rsidRPr="00D3264E">
        <w:rPr>
          <w:rFonts w:eastAsia="Calibri"/>
          <w:lang w:val="fr-FR"/>
        </w:rPr>
        <w:t xml:space="preserve">L’ONUCI et le HCDH </w:t>
      </w:r>
      <w:r w:rsidR="00B33554" w:rsidRPr="00D3264E">
        <w:rPr>
          <w:rFonts w:eastAsia="Calibri"/>
          <w:lang w:val="fr-FR"/>
        </w:rPr>
        <w:t xml:space="preserve">saluent </w:t>
      </w:r>
      <w:r w:rsidR="00A01936" w:rsidRPr="00D3264E">
        <w:rPr>
          <w:rFonts w:eastAsia="Calibri"/>
          <w:lang w:val="fr-FR"/>
        </w:rPr>
        <w:t>l</w:t>
      </w:r>
      <w:r w:rsidR="00B83A47" w:rsidRPr="00D3264E">
        <w:rPr>
          <w:rFonts w:eastAsia="Calibri"/>
          <w:lang w:val="fr-FR"/>
        </w:rPr>
        <w:t>’engagement de l’Etat-M</w:t>
      </w:r>
      <w:r w:rsidR="009D1192" w:rsidRPr="00D3264E">
        <w:rPr>
          <w:rFonts w:eastAsia="Calibri"/>
          <w:lang w:val="fr-FR"/>
        </w:rPr>
        <w:t>ajor des FRCI en faveur du fonctionn</w:t>
      </w:r>
      <w:r w:rsidR="00B83A47" w:rsidRPr="00D3264E">
        <w:rPr>
          <w:rFonts w:eastAsia="Calibri"/>
          <w:lang w:val="fr-FR"/>
        </w:rPr>
        <w:t>ement effectif de ce mécanisme et</w:t>
      </w:r>
      <w:r w:rsidR="00A01936" w:rsidRPr="00D3264E">
        <w:rPr>
          <w:rFonts w:eastAsia="Calibri"/>
          <w:lang w:val="fr-FR"/>
        </w:rPr>
        <w:t>,</w:t>
      </w:r>
      <w:r w:rsidR="00B83A47" w:rsidRPr="00D3264E">
        <w:rPr>
          <w:rFonts w:eastAsia="Calibri"/>
          <w:lang w:val="fr-FR"/>
        </w:rPr>
        <w:t xml:space="preserve"> de manière plus générale</w:t>
      </w:r>
      <w:r w:rsidR="00A01936" w:rsidRPr="00D3264E">
        <w:rPr>
          <w:rFonts w:eastAsia="Calibri"/>
          <w:lang w:val="fr-FR"/>
        </w:rPr>
        <w:t>,</w:t>
      </w:r>
      <w:r w:rsidR="00B83A47" w:rsidRPr="00D3264E">
        <w:rPr>
          <w:rFonts w:eastAsia="Calibri"/>
          <w:lang w:val="fr-FR"/>
        </w:rPr>
        <w:t xml:space="preserve"> dans la lutte contre les violences sexuelles.</w:t>
      </w:r>
    </w:p>
    <w:p w:rsidR="00F1527D" w:rsidRPr="00D3264E" w:rsidRDefault="00F1527D" w:rsidP="00097245">
      <w:pPr>
        <w:jc w:val="both"/>
        <w:rPr>
          <w:lang w:val="fr-FR"/>
        </w:rPr>
      </w:pPr>
    </w:p>
    <w:p w:rsidR="00ED2134" w:rsidRPr="00D3264E" w:rsidRDefault="00ED2134" w:rsidP="00097245">
      <w:pPr>
        <w:pStyle w:val="Heading1"/>
        <w:numPr>
          <w:ilvl w:val="0"/>
          <w:numId w:val="1"/>
        </w:numPr>
        <w:jc w:val="both"/>
        <w:rPr>
          <w:rFonts w:ascii="Times New Roman" w:hAnsi="Times New Roman"/>
          <w:sz w:val="24"/>
          <w:szCs w:val="24"/>
          <w:lang w:val="fr-FR"/>
        </w:rPr>
      </w:pPr>
      <w:bookmarkStart w:id="36" w:name="_Toc455746291"/>
      <w:r w:rsidRPr="00D3264E">
        <w:rPr>
          <w:rFonts w:ascii="Times New Roman" w:hAnsi="Times New Roman"/>
          <w:sz w:val="24"/>
          <w:szCs w:val="24"/>
          <w:lang w:val="fr-FR"/>
        </w:rPr>
        <w:lastRenderedPageBreak/>
        <w:t>Principales actions des Nations Unies dans la lutte contre l’impunité pour les viols</w:t>
      </w:r>
      <w:bookmarkEnd w:id="36"/>
    </w:p>
    <w:p w:rsidR="00ED2134" w:rsidRPr="00D3264E" w:rsidRDefault="00ED2134" w:rsidP="00097245">
      <w:pPr>
        <w:contextualSpacing/>
        <w:jc w:val="both"/>
        <w:rPr>
          <w:lang w:val="fr-FR"/>
        </w:rPr>
      </w:pPr>
    </w:p>
    <w:p w:rsidR="00ED2134" w:rsidRPr="00D3264E" w:rsidRDefault="00ED2134" w:rsidP="00097245">
      <w:pPr>
        <w:numPr>
          <w:ilvl w:val="0"/>
          <w:numId w:val="5"/>
        </w:numPr>
        <w:ind w:left="-142"/>
        <w:contextualSpacing/>
        <w:jc w:val="both"/>
        <w:rPr>
          <w:lang w:val="fr-FR"/>
        </w:rPr>
      </w:pPr>
      <w:r w:rsidRPr="00D3264E">
        <w:rPr>
          <w:lang w:val="fr-FR"/>
        </w:rPr>
        <w:t>Le Système des Nations Unies (SNU) en Côte d’Ivoire œuvre dans la lutte contre les violences basées sur le genre (VBG), y compris les violences sexuelles, depuis plusieurs années, mais ce n’est qu’en 2009 que des actions conjointes ont été intégrées dans le</w:t>
      </w:r>
      <w:r w:rsidRPr="00D3264E">
        <w:rPr>
          <w:b/>
          <w:lang w:val="nl-BE"/>
        </w:rPr>
        <w:t xml:space="preserve"> </w:t>
      </w:r>
      <w:r w:rsidRPr="00D3264E">
        <w:rPr>
          <w:lang w:val="nl-BE"/>
        </w:rPr>
        <w:t>Plan-</w:t>
      </w:r>
      <w:r w:rsidR="00B142E1" w:rsidRPr="00D3264E">
        <w:rPr>
          <w:lang w:val="nl-BE"/>
        </w:rPr>
        <w:t>Cadre des Nations Unies pour l'a</w:t>
      </w:r>
      <w:r w:rsidRPr="00D3264E">
        <w:rPr>
          <w:lang w:val="nl-BE"/>
        </w:rPr>
        <w:t>ide au développement</w:t>
      </w:r>
      <w:r w:rsidRPr="00D3264E">
        <w:rPr>
          <w:lang w:val="fr-FR"/>
        </w:rPr>
        <w:t xml:space="preserve"> (PNUAD), ainsi que dans le plan de travail du Groupe Thématique Genre et Développement et</w:t>
      </w:r>
      <w:r w:rsidR="00A01936" w:rsidRPr="00D3264E">
        <w:rPr>
          <w:lang w:val="fr-FR"/>
        </w:rPr>
        <w:t>,</w:t>
      </w:r>
      <w:r w:rsidRPr="00D3264E">
        <w:rPr>
          <w:lang w:val="fr-FR"/>
        </w:rPr>
        <w:t xml:space="preserve"> depuis 2011</w:t>
      </w:r>
      <w:r w:rsidR="00A01936" w:rsidRPr="00D3264E">
        <w:rPr>
          <w:lang w:val="fr-FR"/>
        </w:rPr>
        <w:t>,</w:t>
      </w:r>
      <w:r w:rsidRPr="00D3264E">
        <w:rPr>
          <w:lang w:val="fr-FR"/>
        </w:rPr>
        <w:t xml:space="preserve"> contre les violences sexuelles liées au conflit au lendemain de la crise post-électorale. En février 2011, le Représentant spécial adjoint pour l'ONUCI, Coordonnateur résident des Nations Unies, Coordonnateur de l’action humanitaire et Représentant résident du PNUD, a activé le Sous-Cluster VBG pour coordonner les actions du secteur pendant la crise post-électorale sous le leadership du FNUAP. </w:t>
      </w:r>
    </w:p>
    <w:p w:rsidR="00ED2134" w:rsidRPr="00D3264E" w:rsidRDefault="00ED2134" w:rsidP="00097245">
      <w:pPr>
        <w:ind w:left="-72"/>
        <w:contextualSpacing/>
        <w:jc w:val="both"/>
        <w:rPr>
          <w:lang w:val="fr-FR"/>
        </w:rPr>
      </w:pPr>
    </w:p>
    <w:p w:rsidR="00ED2134" w:rsidRPr="00D3264E" w:rsidRDefault="00ED2134" w:rsidP="00097245">
      <w:pPr>
        <w:numPr>
          <w:ilvl w:val="0"/>
          <w:numId w:val="5"/>
        </w:numPr>
        <w:ind w:left="-72"/>
        <w:contextualSpacing/>
        <w:jc w:val="both"/>
        <w:rPr>
          <w:lang w:val="fr-FR"/>
        </w:rPr>
      </w:pPr>
      <w:r w:rsidRPr="00D3264E">
        <w:rPr>
          <w:lang w:val="fr-FR"/>
        </w:rPr>
        <w:t>En mars 2012, à l’issue de la publication du Rapport Annuel du Secrétaire Général des Nations Unies sur les Violences Sexuelles liées à la crise de 2011, la Côte d’Ivoire a été placée sous</w:t>
      </w:r>
      <w:r w:rsidR="00135F50" w:rsidRPr="00D3264E">
        <w:rPr>
          <w:lang w:val="fr-FR"/>
        </w:rPr>
        <w:t xml:space="preserve"> observation par le Conseil de s</w:t>
      </w:r>
      <w:r w:rsidRPr="00D3264E">
        <w:rPr>
          <w:lang w:val="fr-FR"/>
        </w:rPr>
        <w:t>écurité des Nations Unies</w:t>
      </w:r>
      <w:r w:rsidR="00A01936" w:rsidRPr="00D3264E">
        <w:rPr>
          <w:lang w:val="fr-FR"/>
        </w:rPr>
        <w:t>,</w:t>
      </w:r>
      <w:r w:rsidRPr="00D3264E">
        <w:rPr>
          <w:lang w:val="fr-FR"/>
        </w:rPr>
        <w:t xml:space="preserve"> et plusieurs groupes armés suspectés d’avoir commis des </w:t>
      </w:r>
      <w:r w:rsidR="00B346C1" w:rsidRPr="00D3264E">
        <w:rPr>
          <w:lang w:val="fr-FR"/>
        </w:rPr>
        <w:t xml:space="preserve">violences sexuelles liées aux conflits (VSC) </w:t>
      </w:r>
      <w:r w:rsidRPr="00D3264E">
        <w:rPr>
          <w:lang w:val="fr-FR"/>
        </w:rPr>
        <w:t xml:space="preserve">ont été listés dans l’annexe de ce rapport. Le 5 juin 2012, le Représentant Spécial du Secrétaire Général de l’ONU pour la Côte d’Ivoire a institué des réunions thématiques de haut niveau pour définir des orientations stratégiques et fixer les priorités par rapport aux efforts à fournir dans la lutte contre les VBG/VSC.  Par ailleurs, </w:t>
      </w:r>
      <w:r w:rsidRPr="00D3264E">
        <w:rPr>
          <w:lang w:val="fr-CI"/>
        </w:rPr>
        <w:t>le 2 avril 2014, le SNU a entériné la décision de créer un sous-groupe de travail au Groupe de travail sur les VBG, le Groupe de Travail MARA</w:t>
      </w:r>
      <w:r w:rsidRPr="00D3264E">
        <w:rPr>
          <w:vertAlign w:val="superscript"/>
          <w:lang w:val="fr-CI"/>
        </w:rPr>
        <w:footnoteReference w:id="60"/>
      </w:r>
      <w:r w:rsidRPr="00D3264E">
        <w:rPr>
          <w:lang w:val="fr-CI"/>
        </w:rPr>
        <w:t xml:space="preserve">, pour </w:t>
      </w:r>
      <w:r w:rsidRPr="00D3264E">
        <w:rPr>
          <w:lang w:val="fr-FR"/>
        </w:rPr>
        <w:t>le suivi de</w:t>
      </w:r>
      <w:r w:rsidR="00135F50" w:rsidRPr="00D3264E">
        <w:rPr>
          <w:lang w:val="fr-FR"/>
        </w:rPr>
        <w:t xml:space="preserve"> tous les incidents de VSC. Ce g</w:t>
      </w:r>
      <w:r w:rsidRPr="00D3264E">
        <w:rPr>
          <w:lang w:val="fr-FR"/>
        </w:rPr>
        <w:t>roupe de travail s’est réuni régulièrement jusqu’en décembre 2014. A partir de janvier 2015, les cas de VSC ont continué d’être suivis par le SNU et les partenaires et ceux impliquant des éléments FRCI, notamment à travers le Mécanisme conjoi</w:t>
      </w:r>
      <w:r w:rsidR="00B83A47" w:rsidRPr="00D3264E">
        <w:rPr>
          <w:lang w:val="fr-FR"/>
        </w:rPr>
        <w:t xml:space="preserve">nt de collaboration ONUCI-FRCI. </w:t>
      </w:r>
      <w:r w:rsidRPr="00D3264E">
        <w:rPr>
          <w:lang w:val="fr-FR"/>
        </w:rPr>
        <w:t xml:space="preserve">La coordination et l’opérationnalisation des questions relatives à </w:t>
      </w:r>
      <w:r w:rsidR="001A0A9A" w:rsidRPr="00D3264E">
        <w:rPr>
          <w:lang w:val="fr-FR"/>
        </w:rPr>
        <w:t xml:space="preserve">la </w:t>
      </w:r>
      <w:r w:rsidRPr="00D3264E">
        <w:rPr>
          <w:lang w:val="fr-FR"/>
        </w:rPr>
        <w:t>lutte contre les VBG/VSC par le SNU ont été transférées au Groupe Thématique Genre et Dév</w:t>
      </w:r>
      <w:r w:rsidR="00FF7086" w:rsidRPr="00D3264E">
        <w:rPr>
          <w:lang w:val="fr-FR"/>
        </w:rPr>
        <w:t>eloppement (GTGD) du SNU dont la coordination</w:t>
      </w:r>
      <w:r w:rsidRPr="00D3264E">
        <w:rPr>
          <w:lang w:val="fr-FR"/>
        </w:rPr>
        <w:t xml:space="preserve"> est assur</w:t>
      </w:r>
      <w:r w:rsidRPr="00D3264E">
        <w:rPr>
          <w:rFonts w:eastAsiaTheme="minorHAnsi"/>
          <w:lang w:val="fr-FR" w:eastAsia="ja-JP"/>
        </w:rPr>
        <w:t>é</w:t>
      </w:r>
      <w:r w:rsidR="00FF7086" w:rsidRPr="00D3264E">
        <w:rPr>
          <w:rFonts w:eastAsiaTheme="minorHAnsi"/>
          <w:lang w:val="fr-FR" w:eastAsia="ja-JP"/>
        </w:rPr>
        <w:t>e</w:t>
      </w:r>
      <w:r w:rsidRPr="00D3264E">
        <w:rPr>
          <w:rFonts w:eastAsiaTheme="minorHAnsi"/>
          <w:lang w:val="fr-FR" w:eastAsia="ja-JP"/>
        </w:rPr>
        <w:t xml:space="preserve"> par ONU</w:t>
      </w:r>
      <w:r w:rsidR="00C77C39" w:rsidRPr="00D3264E">
        <w:rPr>
          <w:rFonts w:eastAsiaTheme="minorHAnsi"/>
          <w:lang w:val="fr-FR" w:eastAsia="ja-JP"/>
        </w:rPr>
        <w:t xml:space="preserve"> Femmes</w:t>
      </w:r>
      <w:r w:rsidRPr="00D3264E">
        <w:rPr>
          <w:rFonts w:eastAsiaTheme="minorHAnsi"/>
          <w:lang w:val="fr-FR" w:eastAsia="ja-JP"/>
        </w:rPr>
        <w:t>.</w:t>
      </w:r>
      <w:r w:rsidRPr="00D3264E">
        <w:rPr>
          <w:lang w:val="fr-FR"/>
        </w:rPr>
        <w:t xml:space="preserve"> </w:t>
      </w:r>
    </w:p>
    <w:p w:rsidR="00ED2134" w:rsidRPr="00D3264E" w:rsidRDefault="00ED2134" w:rsidP="00097245">
      <w:pPr>
        <w:ind w:left="-72"/>
        <w:contextualSpacing/>
        <w:jc w:val="both"/>
        <w:rPr>
          <w:lang w:val="fr-FR"/>
        </w:rPr>
      </w:pPr>
    </w:p>
    <w:p w:rsidR="00ED2134" w:rsidRPr="00D3264E" w:rsidRDefault="00ED2134" w:rsidP="00097245">
      <w:pPr>
        <w:numPr>
          <w:ilvl w:val="0"/>
          <w:numId w:val="5"/>
        </w:numPr>
        <w:ind w:left="-72"/>
        <w:contextualSpacing/>
        <w:jc w:val="both"/>
        <w:rPr>
          <w:lang w:val="fr-FR"/>
        </w:rPr>
      </w:pPr>
      <w:r w:rsidRPr="00D3264E">
        <w:rPr>
          <w:lang w:val="fr-FR"/>
        </w:rPr>
        <w:t>En octobre 2014, l’Equipe d’experts de l’état de droit et des questions touchant la violence sexuelle liée aux conflits</w:t>
      </w:r>
      <w:r w:rsidR="00F24E3B" w:rsidRPr="00D3264E">
        <w:rPr>
          <w:lang w:val="fr-FR"/>
        </w:rPr>
        <w:t xml:space="preserve"> au sein du Bureau de la Représentante spéciale du Secrétaire général des Nations Unies chargée de la question des violences sexuelles en conflit </w:t>
      </w:r>
      <w:r w:rsidRPr="00D3264E">
        <w:rPr>
          <w:lang w:val="fr-FR"/>
        </w:rPr>
        <w:t xml:space="preserve">a </w:t>
      </w:r>
      <w:r w:rsidRPr="00D3264E">
        <w:rPr>
          <w:lang w:val="fr-CH"/>
        </w:rPr>
        <w:t>effectué une visite en Côte d’Ivoire</w:t>
      </w:r>
      <w:r w:rsidRPr="00D3264E">
        <w:rPr>
          <w:lang w:val="fr-FR"/>
        </w:rPr>
        <w:t>. Suite à cette visite, en coordination avec l’ONUCI, l’Equipe a convenu</w:t>
      </w:r>
      <w:r w:rsidR="00B845F8" w:rsidRPr="00D3264E">
        <w:rPr>
          <w:lang w:val="fr-FR"/>
        </w:rPr>
        <w:t>,</w:t>
      </w:r>
      <w:r w:rsidRPr="00D3264E">
        <w:rPr>
          <w:lang w:val="fr-FR"/>
        </w:rPr>
        <w:t xml:space="preserve"> avec les autorités nationales, un soutien dans les domaines suivants: i) un appui </w:t>
      </w:r>
      <w:r w:rsidR="00B845F8" w:rsidRPr="00D3264E">
        <w:rPr>
          <w:lang w:val="fr-FR"/>
        </w:rPr>
        <w:t>à la mise en œuvre d’un plan d’a</w:t>
      </w:r>
      <w:r w:rsidRPr="00D3264E">
        <w:rPr>
          <w:lang w:val="fr-FR"/>
        </w:rPr>
        <w:t xml:space="preserve">ction du secteur de la sécurité sur la violence sexuelle, </w:t>
      </w:r>
      <w:r w:rsidR="00B845F8" w:rsidRPr="00D3264E">
        <w:rPr>
          <w:lang w:val="fr-FR"/>
        </w:rPr>
        <w:t>comprenant les FRCI, la Police n</w:t>
      </w:r>
      <w:r w:rsidRPr="00D3264E">
        <w:rPr>
          <w:lang w:val="fr-FR"/>
        </w:rPr>
        <w:t>ationale et la Gendarmerie ; ii) un soutien au renforcement des capacités d’enquête de la Police nationale et de la Gendarmerie ;  iii) un appui au renforcement du cadre juridique, par le biais d’un expert déployé dans la Cellule d'Exécution (CELEX) au sein du Ministère de la Justice, y compris en matière de protection des victimes et des témoins, et de réparations ; iv) une assistance à la Cellule Spéciale d'Enquêtes et d'Instruction</w:t>
      </w:r>
      <w:r w:rsidR="00B845F8" w:rsidRPr="00D3264E">
        <w:rPr>
          <w:lang w:val="fr-FR"/>
        </w:rPr>
        <w:t xml:space="preserve"> </w:t>
      </w:r>
      <w:r w:rsidRPr="00D3264E">
        <w:rPr>
          <w:lang w:val="fr-FR"/>
        </w:rPr>
        <w:t>(CSEI) chargée d’examiner les crimes post-électoraux ; et v)</w:t>
      </w:r>
      <w:r w:rsidR="001F3262" w:rsidRPr="00D3264E">
        <w:rPr>
          <w:lang w:val="fr-FR"/>
        </w:rPr>
        <w:t xml:space="preserve"> </w:t>
      </w:r>
      <w:r w:rsidRPr="00D3264E">
        <w:rPr>
          <w:lang w:val="fr-FR"/>
        </w:rPr>
        <w:t xml:space="preserve">une assistance à l’Institut </w:t>
      </w:r>
      <w:r w:rsidR="001F3262" w:rsidRPr="00D3264E">
        <w:rPr>
          <w:lang w:val="fr-FR"/>
        </w:rPr>
        <w:t>n</w:t>
      </w:r>
      <w:r w:rsidRPr="00D3264E">
        <w:rPr>
          <w:lang w:val="fr-FR"/>
        </w:rPr>
        <w:t xml:space="preserve">ational de </w:t>
      </w:r>
      <w:r w:rsidR="001F3262" w:rsidRPr="00D3264E">
        <w:rPr>
          <w:lang w:val="fr-FR"/>
        </w:rPr>
        <w:t>f</w:t>
      </w:r>
      <w:r w:rsidRPr="00D3264E">
        <w:rPr>
          <w:lang w:val="fr-FR"/>
        </w:rPr>
        <w:t xml:space="preserve">ormation </w:t>
      </w:r>
      <w:r w:rsidR="001F3262" w:rsidRPr="00D3264E">
        <w:rPr>
          <w:lang w:val="fr-FR"/>
        </w:rPr>
        <w:t>j</w:t>
      </w:r>
      <w:r w:rsidRPr="00D3264E">
        <w:rPr>
          <w:lang w:val="fr-FR"/>
        </w:rPr>
        <w:t>udiciaire.</w:t>
      </w:r>
    </w:p>
    <w:p w:rsidR="00ED2134" w:rsidRPr="00D3264E" w:rsidRDefault="00ED2134" w:rsidP="00097245">
      <w:pPr>
        <w:ind w:left="-72"/>
        <w:contextualSpacing/>
        <w:jc w:val="both"/>
        <w:rPr>
          <w:lang w:val="fr-FR"/>
        </w:rPr>
      </w:pPr>
    </w:p>
    <w:p w:rsidR="0087708C" w:rsidRPr="00D3264E" w:rsidRDefault="00010C10" w:rsidP="00097245">
      <w:pPr>
        <w:numPr>
          <w:ilvl w:val="0"/>
          <w:numId w:val="5"/>
        </w:numPr>
        <w:ind w:left="-72"/>
        <w:contextualSpacing/>
        <w:jc w:val="both"/>
        <w:rPr>
          <w:lang w:val="fr-FR"/>
        </w:rPr>
      </w:pPr>
      <w:r w:rsidRPr="00D3264E">
        <w:rPr>
          <w:lang w:val="fr-FR"/>
        </w:rPr>
        <w:t>Avec la fin de la crise, le g</w:t>
      </w:r>
      <w:r w:rsidR="00B845F8" w:rsidRPr="00D3264E">
        <w:rPr>
          <w:lang w:val="fr-FR"/>
        </w:rPr>
        <w:t xml:space="preserve">ouvernement, </w:t>
      </w:r>
      <w:r w:rsidR="00ED2134" w:rsidRPr="00D3264E">
        <w:rPr>
          <w:lang w:val="fr-FR"/>
        </w:rPr>
        <w:t>via notamment le MSFFE et le SNU</w:t>
      </w:r>
      <w:r w:rsidR="00B845F8" w:rsidRPr="00D3264E">
        <w:rPr>
          <w:lang w:val="fr-FR"/>
        </w:rPr>
        <w:t>,</w:t>
      </w:r>
      <w:r w:rsidR="00ED2134" w:rsidRPr="00D3264E">
        <w:rPr>
          <w:lang w:val="fr-FR"/>
        </w:rPr>
        <w:t xml:space="preserve"> ont initié de multiples activités de prévention, réponse et renforcement des capacités des acteurs nationaux sur </w:t>
      </w:r>
      <w:r w:rsidR="00ED2134" w:rsidRPr="00D3264E">
        <w:rPr>
          <w:lang w:val="fr-FR"/>
        </w:rPr>
        <w:lastRenderedPageBreak/>
        <w:t xml:space="preserve">la problématique des VBG, y compris au bénéfice des professionnels des médias dans le cadre du Projet d’Appui Institutionnel Multisectoriel à la Sortie de Crise financée par la Banque Africaine de Développement (BAD). </w:t>
      </w:r>
      <w:r w:rsidR="00ED2134" w:rsidRPr="00D3264E">
        <w:rPr>
          <w:lang w:val="fr-BE"/>
        </w:rPr>
        <w:t>Plusieurs autres interventions ont</w:t>
      </w:r>
      <w:r w:rsidR="00B845F8" w:rsidRPr="00D3264E">
        <w:rPr>
          <w:lang w:val="fr-BE"/>
        </w:rPr>
        <w:t xml:space="preserve"> eu</w:t>
      </w:r>
      <w:r w:rsidR="00ED2134" w:rsidRPr="00D3264E">
        <w:rPr>
          <w:lang w:val="fr-BE"/>
        </w:rPr>
        <w:t xml:space="preserve"> lieu pour la mise en œuvre de la SNLVBG dans le cadre de différents projets de prévention et de réponse aux violences basées sur le genre, y compris les VSC, menés par les partenaires au développement (FNUAP, PNUD, UNICEF, etc.) dès octobre 2013. Depuis le début de ces interventions, des progrès ont été notés au niveau du renforcement du dispositif institutionnel et des structures impliquées dans la prévention et la réponse aux VBG, la sensibilisation et la formation des forces de défense et de l’armée aux droits de l’homme et l’amélioration du dispositif d’assistance médicale, psychosociale, juridique et judiciaire aux victimes. Ces actions ont </w:t>
      </w:r>
      <w:r w:rsidR="00ED2134" w:rsidRPr="00D3264E">
        <w:rPr>
          <w:rFonts w:eastAsia="Calibri"/>
          <w:lang w:val="fr-FR"/>
        </w:rPr>
        <w:t>significativement contribué à une meilleure collecte et transmission des données relatives aux cas de violence</w:t>
      </w:r>
      <w:r w:rsidR="001F3262" w:rsidRPr="00D3264E">
        <w:rPr>
          <w:rFonts w:eastAsia="Calibri"/>
          <w:lang w:val="fr-FR"/>
        </w:rPr>
        <w:t>s</w:t>
      </w:r>
      <w:r w:rsidR="00ED2134" w:rsidRPr="00D3264E">
        <w:rPr>
          <w:rFonts w:eastAsia="Calibri"/>
          <w:lang w:val="fr-FR"/>
        </w:rPr>
        <w:t xml:space="preserve"> sexuelle</w:t>
      </w:r>
      <w:r w:rsidR="001F3262" w:rsidRPr="00D3264E">
        <w:rPr>
          <w:rFonts w:eastAsia="Calibri"/>
          <w:lang w:val="fr-FR"/>
        </w:rPr>
        <w:t>s</w:t>
      </w:r>
      <w:r w:rsidR="00ED2134" w:rsidRPr="00D3264E">
        <w:rPr>
          <w:rFonts w:eastAsia="Calibri"/>
          <w:lang w:val="fr-FR"/>
        </w:rPr>
        <w:t xml:space="preserve"> et à l’opérationnalisation de la SNLVBG. </w:t>
      </w:r>
      <w:r w:rsidR="0087708C" w:rsidRPr="00D3264E">
        <w:rPr>
          <w:lang w:val="fr-FR"/>
        </w:rPr>
        <w:t xml:space="preserve"> </w:t>
      </w:r>
    </w:p>
    <w:p w:rsidR="0087708C" w:rsidRPr="00D3264E" w:rsidRDefault="0087708C" w:rsidP="00097245">
      <w:pPr>
        <w:ind w:left="-72"/>
        <w:contextualSpacing/>
        <w:jc w:val="both"/>
        <w:rPr>
          <w:lang w:val="fr-FR"/>
        </w:rPr>
      </w:pPr>
    </w:p>
    <w:p w:rsidR="0087708C" w:rsidRPr="00D3264E" w:rsidRDefault="0087708C" w:rsidP="00097245">
      <w:pPr>
        <w:numPr>
          <w:ilvl w:val="0"/>
          <w:numId w:val="5"/>
        </w:numPr>
        <w:ind w:left="-72"/>
        <w:contextualSpacing/>
        <w:jc w:val="both"/>
        <w:rPr>
          <w:lang w:val="fr-FR"/>
        </w:rPr>
      </w:pPr>
      <w:r w:rsidRPr="00D3264E">
        <w:rPr>
          <w:lang w:val="fr-FR"/>
        </w:rPr>
        <w:t xml:space="preserve">En vue de renforcer la lutte contre les violences basées sur le genre, y compris les violences sexuelles, au niveau communautaire, ONU Femmes a notamment financé la mise </w:t>
      </w:r>
      <w:r w:rsidR="009A0F67" w:rsidRPr="00D3264E">
        <w:rPr>
          <w:lang w:val="fr-FR"/>
        </w:rPr>
        <w:t xml:space="preserve">en </w:t>
      </w:r>
      <w:r w:rsidRPr="00D3264E">
        <w:rPr>
          <w:lang w:val="fr-FR"/>
        </w:rPr>
        <w:t xml:space="preserve">place de 80 comités de lutte contre les violences et de cinq bureaux d’écoute, dont quatre au sein des commissariats </w:t>
      </w:r>
      <w:r w:rsidR="00F64532" w:rsidRPr="00D3264E">
        <w:rPr>
          <w:lang w:val="fr-FR"/>
        </w:rPr>
        <w:t xml:space="preserve">de police </w:t>
      </w:r>
      <w:r w:rsidRPr="00D3264E">
        <w:rPr>
          <w:lang w:val="fr-FR"/>
        </w:rPr>
        <w:t xml:space="preserve">et un au sein d’un escadron de gendarmerie. De même, 100 acteurs ont été </w:t>
      </w:r>
      <w:r w:rsidR="00F64532" w:rsidRPr="00D3264E">
        <w:rPr>
          <w:lang w:val="fr-FR"/>
        </w:rPr>
        <w:t>identifiés</w:t>
      </w:r>
      <w:r w:rsidRPr="00D3264E">
        <w:rPr>
          <w:lang w:val="fr-FR"/>
        </w:rPr>
        <w:t xml:space="preserve"> et formés pour conduire des campagnes de lutte contre les violences </w:t>
      </w:r>
      <w:r w:rsidR="001F3262" w:rsidRPr="00D3264E">
        <w:rPr>
          <w:lang w:val="fr-FR"/>
        </w:rPr>
        <w:t xml:space="preserve">sexuelles  </w:t>
      </w:r>
      <w:r w:rsidRPr="00D3264E">
        <w:rPr>
          <w:lang w:val="fr-FR"/>
        </w:rPr>
        <w:t xml:space="preserve">au niveau national. Par ailleurs, ONU Femmes a renforcé les capacités de la ligne verte </w:t>
      </w:r>
      <w:r w:rsidR="00C73BDC" w:rsidRPr="00D3264E">
        <w:rPr>
          <w:lang w:val="fr-FR"/>
        </w:rPr>
        <w:t>«</w:t>
      </w:r>
      <w:r w:rsidR="00B845F8" w:rsidRPr="00D3264E">
        <w:rPr>
          <w:lang w:val="fr-FR"/>
        </w:rPr>
        <w:t xml:space="preserve"> I</w:t>
      </w:r>
      <w:r w:rsidRPr="00D3264E">
        <w:rPr>
          <w:lang w:val="fr-FR"/>
        </w:rPr>
        <w:t>nfo sida</w:t>
      </w:r>
      <w:r w:rsidR="00B845F8" w:rsidRPr="00D3264E">
        <w:rPr>
          <w:lang w:val="fr-FR"/>
        </w:rPr>
        <w:t xml:space="preserve"> </w:t>
      </w:r>
      <w:r w:rsidR="00C73BDC" w:rsidRPr="00D3264E">
        <w:rPr>
          <w:lang w:val="fr-FR"/>
        </w:rPr>
        <w:t>»</w:t>
      </w:r>
      <w:r w:rsidRPr="00D3264E">
        <w:rPr>
          <w:lang w:val="fr-FR"/>
        </w:rPr>
        <w:t xml:space="preserve"> pour qu’elle puisse être utilisée dans le cadre de la lutte contre les violences, ce qui permet désormais aux victimes ou témoins de violences de pouvoir les dénoncer en toute discrétion ou </w:t>
      </w:r>
      <w:r w:rsidR="001F3262" w:rsidRPr="00D3264E">
        <w:rPr>
          <w:lang w:val="fr-FR"/>
        </w:rPr>
        <w:t>d’</w:t>
      </w:r>
      <w:r w:rsidRPr="00D3264E">
        <w:rPr>
          <w:lang w:val="fr-FR"/>
        </w:rPr>
        <w:t xml:space="preserve">obtenir des informations sur les démarches à entreprendre. Afin d’avoir des données fiables permettant de mieux orienter les stratégies de lutte contre les VBG, ONU Femmes a </w:t>
      </w:r>
      <w:r w:rsidR="001F3262" w:rsidRPr="00D3264E">
        <w:rPr>
          <w:lang w:val="fr-FR"/>
        </w:rPr>
        <w:t>mené</w:t>
      </w:r>
      <w:r w:rsidRPr="00D3264E">
        <w:rPr>
          <w:lang w:val="fr-FR"/>
        </w:rPr>
        <w:t xml:space="preserve"> trois études sur (1) les violences faites aux femmes dans les services de santé de la reproduction; (2) les liens entre les violences faites aux femmes et la mortalité maternelle</w:t>
      </w:r>
      <w:r w:rsidRPr="00D3264E">
        <w:rPr>
          <w:rStyle w:val="FootnoteReference"/>
          <w:lang w:val="fr-FR"/>
        </w:rPr>
        <w:footnoteReference w:id="61"/>
      </w:r>
      <w:r w:rsidRPr="00D3264E">
        <w:rPr>
          <w:lang w:val="fr-FR"/>
        </w:rPr>
        <w:t xml:space="preserve"> et (3) l’évaluation des mécanismes nationaux de lutte contre les VBG</w:t>
      </w:r>
      <w:r w:rsidRPr="00D3264E">
        <w:rPr>
          <w:rStyle w:val="FootnoteReference"/>
          <w:lang w:val="fr-FR"/>
        </w:rPr>
        <w:footnoteReference w:id="62"/>
      </w:r>
      <w:r w:rsidRPr="00D3264E">
        <w:rPr>
          <w:lang w:val="fr-FR"/>
        </w:rPr>
        <w:t xml:space="preserve">. </w:t>
      </w:r>
    </w:p>
    <w:p w:rsidR="0087708C" w:rsidRPr="00D3264E" w:rsidRDefault="0087708C" w:rsidP="00097245">
      <w:pPr>
        <w:ind w:left="-72"/>
        <w:contextualSpacing/>
        <w:jc w:val="both"/>
        <w:rPr>
          <w:lang w:val="fr-FR"/>
        </w:rPr>
      </w:pPr>
    </w:p>
    <w:p w:rsidR="0087708C" w:rsidRPr="00D3264E" w:rsidRDefault="00ED2134" w:rsidP="00097245">
      <w:pPr>
        <w:numPr>
          <w:ilvl w:val="0"/>
          <w:numId w:val="5"/>
        </w:numPr>
        <w:ind w:left="-72"/>
        <w:contextualSpacing/>
        <w:jc w:val="both"/>
        <w:rPr>
          <w:lang w:val="fr-FR"/>
        </w:rPr>
      </w:pPr>
      <w:r w:rsidRPr="00D3264E">
        <w:rPr>
          <w:lang w:val="fr-FR"/>
        </w:rPr>
        <w:t>Du 1</w:t>
      </w:r>
      <w:r w:rsidRPr="00D3264E">
        <w:rPr>
          <w:vertAlign w:val="superscript"/>
          <w:lang w:val="fr-FR"/>
        </w:rPr>
        <w:t>er</w:t>
      </w:r>
      <w:r w:rsidRPr="00D3264E">
        <w:rPr>
          <w:lang w:val="fr-FR"/>
        </w:rPr>
        <w:t xml:space="preserve"> au 5 septembre 2014, UN Action a entrepris une mission technique pour promouvoir la mise en œuvre de la</w:t>
      </w:r>
      <w:r w:rsidRPr="00D3264E">
        <w:rPr>
          <w:rFonts w:eastAsia="Calibri"/>
          <w:lang w:val="fr-FR"/>
        </w:rPr>
        <w:t xml:space="preserve"> SNLVBG</w:t>
      </w:r>
      <w:r w:rsidRPr="00D3264E">
        <w:rPr>
          <w:lang w:val="fr-FR"/>
        </w:rPr>
        <w:t>. La Coordinatrice de UN Action a sollicité l’appui du PNUD pour la mise en place d’une cartographie (</w:t>
      </w:r>
      <w:r w:rsidRPr="00D3264E">
        <w:rPr>
          <w:i/>
          <w:lang w:val="fr-FR"/>
        </w:rPr>
        <w:t>mapping</w:t>
      </w:r>
      <w:r w:rsidRPr="00D3264E">
        <w:rPr>
          <w:lang w:val="fr-FR"/>
        </w:rPr>
        <w:t xml:space="preserve">) des interventions de mise en œuvre de la </w:t>
      </w:r>
      <w:r w:rsidR="00010C10" w:rsidRPr="00D3264E">
        <w:rPr>
          <w:lang w:val="fr-FR"/>
        </w:rPr>
        <w:t>SNLVBG par le g</w:t>
      </w:r>
      <w:r w:rsidRPr="00D3264E">
        <w:rPr>
          <w:lang w:val="fr-FR"/>
        </w:rPr>
        <w:t xml:space="preserve">ouvernement et le SNU pour avoir une meilleure visibilité sur les réponses à apporter. Grâce à l’appui technique et financier de plusieurs agences du SNU, </w:t>
      </w:r>
      <w:r w:rsidR="00C73BDC" w:rsidRPr="00D3264E">
        <w:rPr>
          <w:lang w:val="fr-FR"/>
        </w:rPr>
        <w:t>c’est-à-dire</w:t>
      </w:r>
      <w:r w:rsidRPr="00D3264E">
        <w:rPr>
          <w:lang w:val="fr-FR"/>
        </w:rPr>
        <w:t xml:space="preserve"> le PNUD, le HCDH, ONU</w:t>
      </w:r>
      <w:r w:rsidR="00C77C39" w:rsidRPr="00D3264E">
        <w:rPr>
          <w:lang w:val="fr-FR"/>
        </w:rPr>
        <w:t xml:space="preserve"> Femmes</w:t>
      </w:r>
      <w:r w:rsidRPr="00D3264E">
        <w:rPr>
          <w:lang w:val="fr-FR"/>
        </w:rPr>
        <w:t xml:space="preserve"> et le FNUAP, un consultant national a été recruté et a remis son rapport le 19 novembre 2015. Sur la base des résultats de ce </w:t>
      </w:r>
      <w:r w:rsidRPr="00D3264E">
        <w:rPr>
          <w:i/>
          <w:lang w:val="fr-FR"/>
        </w:rPr>
        <w:t>mapping</w:t>
      </w:r>
      <w:r w:rsidRPr="00D3264E">
        <w:rPr>
          <w:lang w:val="fr-FR"/>
        </w:rPr>
        <w:t>, le SNU a enta</w:t>
      </w:r>
      <w:r w:rsidR="00010C10" w:rsidRPr="00D3264E">
        <w:rPr>
          <w:lang w:val="fr-FR"/>
        </w:rPr>
        <w:t>mé un plaidoyer à l’endroit du g</w:t>
      </w:r>
      <w:r w:rsidRPr="00D3264E">
        <w:rPr>
          <w:lang w:val="fr-FR"/>
        </w:rPr>
        <w:t xml:space="preserve">ouvernement en vue d’optimiser la mise en œuvre de la SNLVBG. </w:t>
      </w:r>
    </w:p>
    <w:p w:rsidR="0087708C" w:rsidRPr="00D3264E" w:rsidRDefault="0087708C" w:rsidP="00097245">
      <w:pPr>
        <w:pStyle w:val="ListParagraph"/>
        <w:rPr>
          <w:highlight w:val="yellow"/>
          <w:lang w:val="fr-FR"/>
        </w:rPr>
      </w:pPr>
    </w:p>
    <w:p w:rsidR="003C60B3" w:rsidRPr="00D3264E" w:rsidRDefault="0087708C" w:rsidP="00097245">
      <w:pPr>
        <w:numPr>
          <w:ilvl w:val="0"/>
          <w:numId w:val="5"/>
        </w:numPr>
        <w:ind w:left="-72"/>
        <w:contextualSpacing/>
        <w:jc w:val="both"/>
        <w:rPr>
          <w:lang w:val="fr-FR"/>
        </w:rPr>
      </w:pPr>
      <w:r w:rsidRPr="00D3264E">
        <w:rPr>
          <w:lang w:val="fr-FR"/>
        </w:rPr>
        <w:t>Enfin, sous la coordination d’ONU Femme</w:t>
      </w:r>
      <w:r w:rsidR="00FF7086" w:rsidRPr="00D3264E">
        <w:rPr>
          <w:lang w:val="fr-FR"/>
        </w:rPr>
        <w:t xml:space="preserve">s, des activités relatives aux </w:t>
      </w:r>
      <w:r w:rsidRPr="00D3264E">
        <w:rPr>
          <w:lang w:val="fr-FR"/>
        </w:rPr>
        <w:t>16 journées d’activisme ont été conduites à Abidjan et dans plusieurs régions de la Côte d’Ivoire</w:t>
      </w:r>
      <w:r w:rsidR="001F3262" w:rsidRPr="00D3264E">
        <w:rPr>
          <w:lang w:val="fr-FR"/>
        </w:rPr>
        <w:t xml:space="preserve">, impliquant </w:t>
      </w:r>
      <w:r w:rsidRPr="00D3264E">
        <w:rPr>
          <w:lang w:val="fr-FR"/>
        </w:rPr>
        <w:t>l’ensemble du SNU et du MSFFE. Plus spécifiquement, à</w:t>
      </w:r>
      <w:r w:rsidR="00ED2134" w:rsidRPr="00D3264E">
        <w:rPr>
          <w:lang w:val="fr-FR"/>
        </w:rPr>
        <w:t xml:space="preserve"> l’occasion de la campagne menée du 25 novembre </w:t>
      </w:r>
      <w:r w:rsidR="00ED2134" w:rsidRPr="00D3264E">
        <w:rPr>
          <w:lang w:val="fr-FR"/>
        </w:rPr>
        <w:lastRenderedPageBreak/>
        <w:t>au 10 décembre 2015, le FNUAP a notamment fait un don de matériel d'une valeur de 12.580.530 FCFA</w:t>
      </w:r>
      <w:r w:rsidR="00BC24C6" w:rsidRPr="00D3264E">
        <w:rPr>
          <w:lang w:val="fr-FR"/>
        </w:rPr>
        <w:t xml:space="preserve"> (</w:t>
      </w:r>
      <w:r w:rsidR="008F2018" w:rsidRPr="00D3264E">
        <w:rPr>
          <w:lang w:val="fr-FR"/>
        </w:rPr>
        <w:t xml:space="preserve">environ </w:t>
      </w:r>
      <w:r w:rsidR="00BC24C6" w:rsidRPr="00D3264E">
        <w:rPr>
          <w:lang w:val="fr-FR"/>
        </w:rPr>
        <w:t>21.700 USD)</w:t>
      </w:r>
      <w:r w:rsidR="00ED2134" w:rsidRPr="00D3264E">
        <w:rPr>
          <w:lang w:val="fr-FR"/>
        </w:rPr>
        <w:t xml:space="preserve"> au gouvernement en vue de renforcer la lutte contre les VBG</w:t>
      </w:r>
      <w:r w:rsidR="002E1833" w:rsidRPr="00D3264E">
        <w:rPr>
          <w:lang w:val="fr-FR"/>
        </w:rPr>
        <w:t>.</w:t>
      </w:r>
    </w:p>
    <w:p w:rsidR="00B57097" w:rsidRPr="00D3264E" w:rsidRDefault="00B57097" w:rsidP="00097245">
      <w:pPr>
        <w:jc w:val="both"/>
        <w:rPr>
          <w:lang w:val="fr-FR"/>
        </w:rPr>
      </w:pPr>
    </w:p>
    <w:p w:rsidR="00B57097" w:rsidRPr="00D3264E" w:rsidRDefault="00B57097" w:rsidP="00097245">
      <w:pPr>
        <w:pStyle w:val="Heading1"/>
        <w:numPr>
          <w:ilvl w:val="0"/>
          <w:numId w:val="1"/>
        </w:numPr>
        <w:jc w:val="both"/>
        <w:rPr>
          <w:rFonts w:ascii="Times New Roman" w:hAnsi="Times New Roman"/>
          <w:sz w:val="24"/>
          <w:szCs w:val="24"/>
          <w:lang w:val="fr-FR"/>
        </w:rPr>
      </w:pPr>
      <w:bookmarkStart w:id="37" w:name="_Toc455746292"/>
      <w:r w:rsidRPr="00D3264E">
        <w:rPr>
          <w:rFonts w:ascii="Times New Roman" w:hAnsi="Times New Roman"/>
          <w:sz w:val="24"/>
          <w:szCs w:val="24"/>
          <w:lang w:val="fr-FR"/>
        </w:rPr>
        <w:t>C</w:t>
      </w:r>
      <w:r w:rsidR="00112E1A" w:rsidRPr="00D3264E">
        <w:rPr>
          <w:rFonts w:ascii="Times New Roman" w:hAnsi="Times New Roman"/>
          <w:sz w:val="24"/>
          <w:szCs w:val="24"/>
          <w:lang w:val="fr-FR"/>
        </w:rPr>
        <w:t>onclusions</w:t>
      </w:r>
      <w:r w:rsidR="003F0BF9" w:rsidRPr="00D3264E">
        <w:rPr>
          <w:rFonts w:ascii="Times New Roman" w:hAnsi="Times New Roman"/>
          <w:sz w:val="24"/>
          <w:szCs w:val="24"/>
          <w:lang w:val="fr-FR"/>
        </w:rPr>
        <w:t xml:space="preserve"> et recommandations</w:t>
      </w:r>
      <w:bookmarkEnd w:id="37"/>
    </w:p>
    <w:p w:rsidR="003F0BF9" w:rsidRPr="00D3264E" w:rsidRDefault="003F0BF9" w:rsidP="00097245">
      <w:pPr>
        <w:contextualSpacing/>
        <w:jc w:val="both"/>
        <w:rPr>
          <w:lang w:val="fr-FR"/>
        </w:rPr>
      </w:pPr>
    </w:p>
    <w:p w:rsidR="00FF530E" w:rsidRPr="00D3264E" w:rsidRDefault="003F0BF9" w:rsidP="00097245">
      <w:pPr>
        <w:pStyle w:val="ListParagraph"/>
        <w:numPr>
          <w:ilvl w:val="0"/>
          <w:numId w:val="5"/>
        </w:numPr>
        <w:ind w:left="0"/>
        <w:jc w:val="both"/>
        <w:rPr>
          <w:b/>
          <w:i/>
          <w:lang w:val="fr-FR"/>
        </w:rPr>
      </w:pPr>
      <w:r w:rsidRPr="00D3264E">
        <w:rPr>
          <w:lang w:val="fr-FR"/>
        </w:rPr>
        <w:t xml:space="preserve">Ce rapport fait état de l’ampleur de la problématique des viols en Côte d’Ivoire. La </w:t>
      </w:r>
      <w:r w:rsidR="00FF530E" w:rsidRPr="00D3264E">
        <w:rPr>
          <w:lang w:val="fr-FR"/>
        </w:rPr>
        <w:t xml:space="preserve">prévention des viols et leur </w:t>
      </w:r>
      <w:r w:rsidRPr="00D3264E">
        <w:rPr>
          <w:lang w:val="fr-FR"/>
        </w:rPr>
        <w:t>répression sont des défis majeurs au</w:t>
      </w:r>
      <w:r w:rsidR="00BC24C6" w:rsidRPr="00D3264E">
        <w:rPr>
          <w:lang w:val="fr-FR"/>
        </w:rPr>
        <w:t>x</w:t>
      </w:r>
      <w:r w:rsidRPr="00D3264E">
        <w:rPr>
          <w:lang w:val="fr-FR"/>
        </w:rPr>
        <w:t>quel</w:t>
      </w:r>
      <w:r w:rsidR="00BC24C6" w:rsidRPr="00D3264E">
        <w:rPr>
          <w:lang w:val="fr-FR"/>
        </w:rPr>
        <w:t>s</w:t>
      </w:r>
      <w:r w:rsidRPr="00D3264E">
        <w:rPr>
          <w:lang w:val="fr-FR"/>
        </w:rPr>
        <w:t xml:space="preserve"> l’Etat doit continuer à faire face avec urgence. Les engagements et les mesures pris par les structures de l’Etat sont à saluer et constituent un point de départ important pour un renforcement de l’action d</w:t>
      </w:r>
      <w:r w:rsidR="00FF530E" w:rsidRPr="00D3264E">
        <w:rPr>
          <w:lang w:val="fr-FR"/>
        </w:rPr>
        <w:t>u gouvernement</w:t>
      </w:r>
      <w:r w:rsidRPr="00D3264E">
        <w:rPr>
          <w:lang w:val="fr-FR"/>
        </w:rPr>
        <w:t xml:space="preserve"> dans le domaine de la lutte contre l’impunité et l</w:t>
      </w:r>
      <w:r w:rsidR="00B83A47" w:rsidRPr="00D3264E">
        <w:rPr>
          <w:lang w:val="fr-FR"/>
        </w:rPr>
        <w:t xml:space="preserve">a répression du crime de viol. </w:t>
      </w:r>
    </w:p>
    <w:p w:rsidR="00FF530E" w:rsidRPr="00D3264E" w:rsidRDefault="00FF530E" w:rsidP="00097245">
      <w:pPr>
        <w:pStyle w:val="ListParagraph"/>
        <w:ind w:left="0"/>
        <w:jc w:val="both"/>
        <w:rPr>
          <w:b/>
          <w:i/>
          <w:lang w:val="fr-FR"/>
        </w:rPr>
      </w:pPr>
    </w:p>
    <w:p w:rsidR="003F0BF9" w:rsidRPr="00D3264E" w:rsidRDefault="003F0BF9" w:rsidP="00097245">
      <w:pPr>
        <w:pStyle w:val="ListParagraph"/>
        <w:numPr>
          <w:ilvl w:val="0"/>
          <w:numId w:val="5"/>
        </w:numPr>
        <w:ind w:left="0"/>
        <w:jc w:val="both"/>
        <w:rPr>
          <w:b/>
          <w:i/>
          <w:lang w:val="fr-FR"/>
        </w:rPr>
      </w:pPr>
      <w:r w:rsidRPr="00D3264E">
        <w:rPr>
          <w:lang w:val="fr-FR"/>
        </w:rPr>
        <w:t>L</w:t>
      </w:r>
      <w:r w:rsidR="00CF4589" w:rsidRPr="00D3264E">
        <w:rPr>
          <w:lang w:val="fr-FR"/>
        </w:rPr>
        <w:t>e rapport note avec préoccupation</w:t>
      </w:r>
      <w:r w:rsidR="00C73BDC" w:rsidRPr="00D3264E">
        <w:rPr>
          <w:lang w:val="fr-FR"/>
        </w:rPr>
        <w:t xml:space="preserve"> </w:t>
      </w:r>
      <w:r w:rsidRPr="00D3264E">
        <w:rPr>
          <w:lang w:val="fr-FR"/>
        </w:rPr>
        <w:t xml:space="preserve">le pourcentage </w:t>
      </w:r>
      <w:r w:rsidR="00CF4589" w:rsidRPr="00D3264E">
        <w:rPr>
          <w:lang w:val="fr-FR"/>
        </w:rPr>
        <w:t xml:space="preserve">élevé </w:t>
      </w:r>
      <w:r w:rsidRPr="00D3264E">
        <w:rPr>
          <w:lang w:val="fr-FR"/>
        </w:rPr>
        <w:t>de viol</w:t>
      </w:r>
      <w:r w:rsidR="00E61F92" w:rsidRPr="00D3264E">
        <w:rPr>
          <w:lang w:val="fr-FR"/>
        </w:rPr>
        <w:t>s commis à l’encontre d’enfants</w:t>
      </w:r>
      <w:r w:rsidR="00CF4589" w:rsidRPr="00D3264E">
        <w:rPr>
          <w:lang w:val="fr-FR"/>
        </w:rPr>
        <w:t xml:space="preserve"> notamment </w:t>
      </w:r>
      <w:r w:rsidR="00916949" w:rsidRPr="00D3264E">
        <w:rPr>
          <w:lang w:val="fr-FR"/>
        </w:rPr>
        <w:t xml:space="preserve">en </w:t>
      </w:r>
      <w:r w:rsidRPr="00D3264E">
        <w:rPr>
          <w:lang w:val="fr-FR"/>
        </w:rPr>
        <w:t>milieu scolaire et au sein même des familles ivoiriennes.</w:t>
      </w:r>
      <w:r w:rsidRPr="00D3264E">
        <w:rPr>
          <w:b/>
          <w:i/>
          <w:lang w:val="fr-FR"/>
        </w:rPr>
        <w:t xml:space="preserve"> </w:t>
      </w:r>
      <w:r w:rsidRPr="00D3264E">
        <w:rPr>
          <w:lang w:val="fr-FR"/>
        </w:rPr>
        <w:t xml:space="preserve">Les éléments des FRCI et les enseignants </w:t>
      </w:r>
      <w:r w:rsidR="00B845F8" w:rsidRPr="00D3264E">
        <w:rPr>
          <w:lang w:val="fr-FR"/>
        </w:rPr>
        <w:t xml:space="preserve">ont été </w:t>
      </w:r>
      <w:r w:rsidRPr="00D3264E">
        <w:rPr>
          <w:lang w:val="fr-FR"/>
        </w:rPr>
        <w:t xml:space="preserve">les principaux agents de l’Etat auteurs de viol, notamment à l’encontre d’enfants. </w:t>
      </w:r>
      <w:r w:rsidR="00093228" w:rsidRPr="00D3264E">
        <w:rPr>
          <w:lang w:val="fr-FR"/>
        </w:rPr>
        <w:t>Les efforts déployés au niveau de l’armée ivoirienne pour mettre en œuvre la politique de tolérance zéro, dans laquelle l’Etat</w:t>
      </w:r>
      <w:r w:rsidR="00093228" w:rsidRPr="00D3264E">
        <w:rPr>
          <w:b/>
          <w:lang w:val="fr-FR"/>
        </w:rPr>
        <w:t>-</w:t>
      </w:r>
      <w:r w:rsidR="00093228" w:rsidRPr="00D3264E">
        <w:rPr>
          <w:lang w:val="fr-FR"/>
        </w:rPr>
        <w:t xml:space="preserve">Major des FRCI est fortement engagé, sont à saluer et les actions doivent être renforcées au niveau de l’éducation nationale en vue de la mise en œuvre du Code de conduite des personnels des structures publiques et privées. </w:t>
      </w:r>
    </w:p>
    <w:p w:rsidR="003F0BF9" w:rsidRPr="00D3264E" w:rsidRDefault="003F0BF9" w:rsidP="00097245">
      <w:pPr>
        <w:pStyle w:val="ListParagraph"/>
        <w:ind w:left="0"/>
        <w:jc w:val="both"/>
        <w:rPr>
          <w:b/>
          <w:i/>
          <w:lang w:val="fr-FR"/>
        </w:rPr>
      </w:pPr>
    </w:p>
    <w:p w:rsidR="00FF530E" w:rsidRPr="00D3264E" w:rsidRDefault="00FF530E" w:rsidP="00097245">
      <w:pPr>
        <w:pStyle w:val="ListParagraph"/>
        <w:numPr>
          <w:ilvl w:val="0"/>
          <w:numId w:val="5"/>
        </w:numPr>
        <w:ind w:left="0"/>
        <w:jc w:val="both"/>
        <w:rPr>
          <w:b/>
          <w:i/>
          <w:lang w:val="fr-FR"/>
        </w:rPr>
      </w:pPr>
      <w:r w:rsidRPr="00D3264E">
        <w:rPr>
          <w:lang w:val="fr-FR"/>
        </w:rPr>
        <w:t>L</w:t>
      </w:r>
      <w:r w:rsidR="003F0BF9" w:rsidRPr="00D3264E">
        <w:rPr>
          <w:lang w:val="fr-FR"/>
        </w:rPr>
        <w:t xml:space="preserve">e rapport </w:t>
      </w:r>
      <w:r w:rsidRPr="00D3264E">
        <w:rPr>
          <w:lang w:val="fr-FR"/>
        </w:rPr>
        <w:t xml:space="preserve">souligne </w:t>
      </w:r>
      <w:r w:rsidR="003F0BF9" w:rsidRPr="00D3264E">
        <w:rPr>
          <w:lang w:val="fr-FR"/>
        </w:rPr>
        <w:t xml:space="preserve">que, même si les crimes de viol sont sanctionnés en droit ivoirien et </w:t>
      </w:r>
      <w:r w:rsidR="00FF7086" w:rsidRPr="00D3264E">
        <w:rPr>
          <w:lang w:val="fr-FR"/>
        </w:rPr>
        <w:t>bien que les autorités aient</w:t>
      </w:r>
      <w:r w:rsidR="003F0BF9" w:rsidRPr="00D3264E">
        <w:rPr>
          <w:lang w:val="fr-FR"/>
        </w:rPr>
        <w:t xml:space="preserve"> l'obligation d'enquêter et de poursuivre tous les auteurs des crimes de violence sexuelle, les progrès dans la lutte contre l’impunité qui prévaut à l’égard des viols </w:t>
      </w:r>
      <w:r w:rsidRPr="00D3264E">
        <w:rPr>
          <w:lang w:val="fr-FR"/>
        </w:rPr>
        <w:t>demeurent</w:t>
      </w:r>
      <w:r w:rsidR="003F0BF9" w:rsidRPr="00D3264E">
        <w:rPr>
          <w:lang w:val="fr-FR"/>
        </w:rPr>
        <w:t xml:space="preserve"> limités. </w:t>
      </w:r>
      <w:r w:rsidRPr="00D3264E">
        <w:rPr>
          <w:lang w:val="fr-FR"/>
        </w:rPr>
        <w:t>En effet, l</w:t>
      </w:r>
      <w:r w:rsidR="003F0BF9" w:rsidRPr="00D3264E">
        <w:rPr>
          <w:lang w:val="fr-FR"/>
        </w:rPr>
        <w:t>a grande majorité des cas de viol documentés par la DDH au cours de la période considérée par ce rapport sont restés impunis.</w:t>
      </w:r>
      <w:r w:rsidR="002A34D2" w:rsidRPr="00D3264E">
        <w:rPr>
          <w:lang w:val="fr-FR"/>
        </w:rPr>
        <w:t xml:space="preserve"> </w:t>
      </w:r>
    </w:p>
    <w:p w:rsidR="00FF530E" w:rsidRPr="00D3264E" w:rsidRDefault="00FF530E" w:rsidP="00097245">
      <w:pPr>
        <w:pStyle w:val="ListParagraph"/>
        <w:rPr>
          <w:lang w:val="fr-FR"/>
        </w:rPr>
      </w:pPr>
    </w:p>
    <w:p w:rsidR="00FF530E" w:rsidRPr="00D3264E" w:rsidRDefault="003F0BF9" w:rsidP="00097245">
      <w:pPr>
        <w:pStyle w:val="ListParagraph"/>
        <w:numPr>
          <w:ilvl w:val="0"/>
          <w:numId w:val="5"/>
        </w:numPr>
        <w:ind w:left="0"/>
        <w:jc w:val="both"/>
        <w:rPr>
          <w:b/>
          <w:i/>
          <w:lang w:val="fr-FR"/>
        </w:rPr>
      </w:pPr>
      <w:r w:rsidRPr="00D3264E">
        <w:rPr>
          <w:lang w:val="fr-FR"/>
        </w:rPr>
        <w:t>Plusieurs obstacles expliquent ce</w:t>
      </w:r>
      <w:r w:rsidR="00FF530E" w:rsidRPr="00D3264E">
        <w:rPr>
          <w:lang w:val="fr-FR"/>
        </w:rPr>
        <w:t>tte situation</w:t>
      </w:r>
      <w:r w:rsidR="0068059A" w:rsidRPr="00D3264E">
        <w:rPr>
          <w:lang w:val="fr-FR"/>
        </w:rPr>
        <w:t>, notamment la</w:t>
      </w:r>
      <w:r w:rsidRPr="00D3264E">
        <w:rPr>
          <w:lang w:val="fr-FR"/>
        </w:rPr>
        <w:t xml:space="preserve"> réticence </w:t>
      </w:r>
      <w:r w:rsidR="0068059A" w:rsidRPr="00D3264E">
        <w:rPr>
          <w:lang w:val="fr-FR"/>
        </w:rPr>
        <w:t xml:space="preserve">des victimes </w:t>
      </w:r>
      <w:r w:rsidRPr="00D3264E">
        <w:rPr>
          <w:lang w:val="fr-FR"/>
        </w:rPr>
        <w:t>à dénoncer les viols de peur d’être l’objet de représailles</w:t>
      </w:r>
      <w:r w:rsidR="0068059A" w:rsidRPr="00D3264E">
        <w:rPr>
          <w:lang w:val="fr-FR"/>
        </w:rPr>
        <w:t xml:space="preserve"> et/ou de stigmatisation</w:t>
      </w:r>
      <w:r w:rsidRPr="00D3264E">
        <w:rPr>
          <w:lang w:val="fr-FR"/>
        </w:rPr>
        <w:t xml:space="preserve">, mais aussi </w:t>
      </w:r>
      <w:r w:rsidR="00FF530E" w:rsidRPr="00D3264E">
        <w:rPr>
          <w:lang w:val="fr-FR"/>
        </w:rPr>
        <w:t>par crainte d</w:t>
      </w:r>
      <w:r w:rsidRPr="00D3264E">
        <w:rPr>
          <w:lang w:val="fr-FR"/>
        </w:rPr>
        <w:t xml:space="preserve">es pressions exercées </w:t>
      </w:r>
      <w:r w:rsidR="00FF530E" w:rsidRPr="00D3264E">
        <w:rPr>
          <w:lang w:val="fr-FR"/>
        </w:rPr>
        <w:t>au sein de leur famille, de leur</w:t>
      </w:r>
      <w:r w:rsidRPr="00D3264E">
        <w:rPr>
          <w:lang w:val="fr-FR"/>
        </w:rPr>
        <w:t xml:space="preserve"> communauté et </w:t>
      </w:r>
      <w:r w:rsidR="00FF530E" w:rsidRPr="00D3264E">
        <w:rPr>
          <w:lang w:val="fr-FR"/>
        </w:rPr>
        <w:t xml:space="preserve">même par des </w:t>
      </w:r>
      <w:r w:rsidRPr="00D3264E">
        <w:rPr>
          <w:lang w:val="fr-FR"/>
        </w:rPr>
        <w:t>responsables locaux de la police et de la gendarmerie, afin d’encourager des règlements à l’amiable. Par ailleurs, le conditionnement, dans certains cas, du dépôt d’une plainte et l'ouverture d'une enquête à l</w:t>
      </w:r>
      <w:r w:rsidR="00FF530E" w:rsidRPr="00D3264E">
        <w:rPr>
          <w:lang w:val="fr-FR"/>
        </w:rPr>
        <w:t xml:space="preserve">a production </w:t>
      </w:r>
      <w:r w:rsidRPr="00D3264E">
        <w:rPr>
          <w:lang w:val="fr-FR"/>
        </w:rPr>
        <w:t>d’un certificat médical, ainsi qu</w:t>
      </w:r>
      <w:r w:rsidR="00FF530E" w:rsidRPr="00D3264E">
        <w:rPr>
          <w:lang w:val="fr-FR"/>
        </w:rPr>
        <w:t xml:space="preserve">’un </w:t>
      </w:r>
      <w:r w:rsidRPr="00D3264E">
        <w:rPr>
          <w:lang w:val="fr-FR"/>
        </w:rPr>
        <w:t xml:space="preserve">manque </w:t>
      </w:r>
      <w:r w:rsidR="00FF530E" w:rsidRPr="00D3264E">
        <w:rPr>
          <w:lang w:val="fr-FR"/>
        </w:rPr>
        <w:t xml:space="preserve">général </w:t>
      </w:r>
      <w:r w:rsidRPr="00D3264E">
        <w:rPr>
          <w:lang w:val="fr-FR"/>
        </w:rPr>
        <w:t>de confiance dans la réponse de l’appareil judiciaire</w:t>
      </w:r>
      <w:r w:rsidR="00FF530E" w:rsidRPr="00D3264E">
        <w:rPr>
          <w:lang w:val="fr-FR"/>
        </w:rPr>
        <w:t>,</w:t>
      </w:r>
      <w:r w:rsidRPr="00D3264E">
        <w:rPr>
          <w:lang w:val="fr-FR"/>
        </w:rPr>
        <w:t xml:space="preserve"> continuent de décourager </w:t>
      </w:r>
      <w:r w:rsidR="00FF530E" w:rsidRPr="00D3264E">
        <w:rPr>
          <w:lang w:val="fr-FR"/>
        </w:rPr>
        <w:t>la</w:t>
      </w:r>
      <w:r w:rsidRPr="00D3264E">
        <w:rPr>
          <w:lang w:val="fr-FR"/>
        </w:rPr>
        <w:t xml:space="preserve"> dénonc</w:t>
      </w:r>
      <w:r w:rsidR="00FF530E" w:rsidRPr="00D3264E">
        <w:rPr>
          <w:lang w:val="fr-FR"/>
        </w:rPr>
        <w:t>iation</w:t>
      </w:r>
      <w:r w:rsidRPr="00D3264E">
        <w:rPr>
          <w:lang w:val="fr-FR"/>
        </w:rPr>
        <w:t xml:space="preserve"> </w:t>
      </w:r>
      <w:r w:rsidR="00FF530E" w:rsidRPr="00D3264E">
        <w:rPr>
          <w:lang w:val="fr-FR"/>
        </w:rPr>
        <w:t>d</w:t>
      </w:r>
      <w:r w:rsidRPr="00D3264E">
        <w:rPr>
          <w:lang w:val="fr-FR"/>
        </w:rPr>
        <w:t xml:space="preserve">es viols. </w:t>
      </w:r>
    </w:p>
    <w:p w:rsidR="00FF530E" w:rsidRPr="00D3264E" w:rsidRDefault="00FF530E" w:rsidP="00097245">
      <w:pPr>
        <w:pStyle w:val="ListParagraph"/>
        <w:rPr>
          <w:lang w:val="fr-FR"/>
        </w:rPr>
      </w:pPr>
    </w:p>
    <w:p w:rsidR="003F0BF9" w:rsidRPr="00D3264E" w:rsidRDefault="003F0BF9" w:rsidP="00097245">
      <w:pPr>
        <w:pStyle w:val="ListParagraph"/>
        <w:numPr>
          <w:ilvl w:val="0"/>
          <w:numId w:val="5"/>
        </w:numPr>
        <w:ind w:left="0"/>
        <w:jc w:val="both"/>
        <w:rPr>
          <w:b/>
          <w:i/>
          <w:lang w:val="fr-FR"/>
        </w:rPr>
      </w:pPr>
      <w:r w:rsidRPr="00D3264E">
        <w:rPr>
          <w:lang w:val="fr-FR"/>
        </w:rPr>
        <w:t xml:space="preserve">Cette situation est aggravée par les dysfonctionnements du système judiciaire, notamment des </w:t>
      </w:r>
      <w:r w:rsidR="00FF530E" w:rsidRPr="00D3264E">
        <w:rPr>
          <w:lang w:val="fr-FR"/>
        </w:rPr>
        <w:t>c</w:t>
      </w:r>
      <w:r w:rsidR="004B7CAC" w:rsidRPr="00D3264E">
        <w:rPr>
          <w:lang w:val="fr-FR"/>
        </w:rPr>
        <w:t xml:space="preserve">ours d'assises, </w:t>
      </w:r>
      <w:r w:rsidR="0068059A" w:rsidRPr="00D3264E">
        <w:rPr>
          <w:lang w:val="fr-FR"/>
        </w:rPr>
        <w:t xml:space="preserve">marqués par </w:t>
      </w:r>
      <w:r w:rsidRPr="00D3264E">
        <w:rPr>
          <w:lang w:val="fr-FR"/>
        </w:rPr>
        <w:t>les lenteurs judiciaires et la propension à la «</w:t>
      </w:r>
      <w:r w:rsidR="00B845F8" w:rsidRPr="00D3264E">
        <w:rPr>
          <w:lang w:val="fr-FR"/>
        </w:rPr>
        <w:t xml:space="preserve"> </w:t>
      </w:r>
      <w:r w:rsidRPr="00D3264E">
        <w:rPr>
          <w:i/>
          <w:lang w:val="fr-FR"/>
        </w:rPr>
        <w:t>correctionnalisation</w:t>
      </w:r>
      <w:r w:rsidR="00B845F8" w:rsidRPr="00D3264E">
        <w:rPr>
          <w:i/>
          <w:lang w:val="fr-FR"/>
        </w:rPr>
        <w:t xml:space="preserve"> </w:t>
      </w:r>
      <w:r w:rsidRPr="00D3264E">
        <w:rPr>
          <w:lang w:val="fr-FR"/>
        </w:rPr>
        <w:t>» des viols</w:t>
      </w:r>
      <w:r w:rsidR="001C0B70" w:rsidRPr="00D3264E">
        <w:rPr>
          <w:lang w:val="fr-FR"/>
        </w:rPr>
        <w:t xml:space="preserve">, ainsi que </w:t>
      </w:r>
      <w:r w:rsidR="005F6045" w:rsidRPr="00D3264E">
        <w:rPr>
          <w:lang w:val="fr-FR"/>
        </w:rPr>
        <w:t xml:space="preserve">par </w:t>
      </w:r>
      <w:r w:rsidR="00B845F8" w:rsidRPr="00D3264E">
        <w:rPr>
          <w:lang w:val="fr-FR"/>
        </w:rPr>
        <w:t>d</w:t>
      </w:r>
      <w:r w:rsidR="001C0B70" w:rsidRPr="00D3264E">
        <w:rPr>
          <w:lang w:val="fr-FR"/>
        </w:rPr>
        <w:t xml:space="preserve">es manquements au niveau légal, </w:t>
      </w:r>
      <w:r w:rsidR="00FC5FBB" w:rsidRPr="00D3264E">
        <w:rPr>
          <w:lang w:val="fr-FR"/>
        </w:rPr>
        <w:t xml:space="preserve">y compris </w:t>
      </w:r>
      <w:r w:rsidR="001C0B70" w:rsidRPr="00D3264E">
        <w:rPr>
          <w:lang w:val="fr-FR"/>
        </w:rPr>
        <w:t>en ce qui concerne la d</w:t>
      </w:r>
      <w:r w:rsidR="005F6045" w:rsidRPr="00D3264E">
        <w:rPr>
          <w:lang w:val="fr-FR"/>
        </w:rPr>
        <w:t xml:space="preserve">éfinition du viol et </w:t>
      </w:r>
      <w:r w:rsidR="001C0B70" w:rsidRPr="00D3264E">
        <w:rPr>
          <w:lang w:val="fr-FR"/>
        </w:rPr>
        <w:t>l’application des dispositions légales, le manque de formation des agents d’application des lois</w:t>
      </w:r>
      <w:r w:rsidR="005F6045" w:rsidRPr="00D3264E">
        <w:rPr>
          <w:lang w:val="fr-FR"/>
        </w:rPr>
        <w:t xml:space="preserve"> et les faiblesses de prise en charge juridique et judiciaire des victimes. </w:t>
      </w:r>
      <w:r w:rsidRPr="00D3264E">
        <w:rPr>
          <w:lang w:val="fr-FR"/>
        </w:rPr>
        <w:t xml:space="preserve">Ces </w:t>
      </w:r>
      <w:r w:rsidRPr="00D3264E">
        <w:rPr>
          <w:bCs/>
          <w:lang w:val="fr-FR"/>
        </w:rPr>
        <w:t xml:space="preserve">dysfonctionnements pénalisent les victimes en ce qu’elles ont difficilement accès à la justice et </w:t>
      </w:r>
      <w:r w:rsidR="00C24717" w:rsidRPr="00D3264E">
        <w:rPr>
          <w:bCs/>
          <w:lang w:val="fr-FR"/>
        </w:rPr>
        <w:t xml:space="preserve">parce que </w:t>
      </w:r>
      <w:r w:rsidRPr="00D3264E">
        <w:rPr>
          <w:bCs/>
          <w:lang w:val="fr-FR"/>
        </w:rPr>
        <w:t xml:space="preserve">les sévices qu’elles ont subis ne sont pas jugés à leur juste valeur. Cette situation </w:t>
      </w:r>
      <w:r w:rsidR="00CF4589" w:rsidRPr="00D3264E">
        <w:rPr>
          <w:bCs/>
          <w:lang w:val="fr-FR"/>
        </w:rPr>
        <w:t xml:space="preserve">est de nature à </w:t>
      </w:r>
      <w:r w:rsidRPr="00D3264E">
        <w:rPr>
          <w:bCs/>
          <w:lang w:val="fr-FR"/>
        </w:rPr>
        <w:t>favorise</w:t>
      </w:r>
      <w:r w:rsidR="00CF4589" w:rsidRPr="00D3264E">
        <w:rPr>
          <w:bCs/>
          <w:lang w:val="fr-FR"/>
        </w:rPr>
        <w:t>r</w:t>
      </w:r>
      <w:r w:rsidRPr="00D3264E">
        <w:rPr>
          <w:bCs/>
          <w:lang w:val="fr-FR"/>
        </w:rPr>
        <w:t xml:space="preserve"> l’impunité</w:t>
      </w:r>
      <w:r w:rsidR="00CF4589" w:rsidRPr="00D3264E">
        <w:rPr>
          <w:bCs/>
          <w:lang w:val="fr-FR"/>
        </w:rPr>
        <w:t xml:space="preserve"> des auteurs présumés</w:t>
      </w:r>
      <w:r w:rsidRPr="00D3264E">
        <w:rPr>
          <w:bCs/>
          <w:lang w:val="fr-FR"/>
        </w:rPr>
        <w:t xml:space="preserve"> des viols</w:t>
      </w:r>
      <w:r w:rsidR="00CF4589" w:rsidRPr="00D3264E">
        <w:rPr>
          <w:bCs/>
          <w:lang w:val="fr-FR"/>
        </w:rPr>
        <w:t>.</w:t>
      </w:r>
    </w:p>
    <w:p w:rsidR="005F6045" w:rsidRPr="00D3264E" w:rsidRDefault="005F6045" w:rsidP="00097245">
      <w:pPr>
        <w:pStyle w:val="ListParagraph"/>
        <w:ind w:left="0"/>
        <w:jc w:val="both"/>
        <w:rPr>
          <w:b/>
          <w:i/>
          <w:lang w:val="fr-FR"/>
        </w:rPr>
      </w:pPr>
    </w:p>
    <w:p w:rsidR="003F0BF9" w:rsidRPr="00D3264E" w:rsidRDefault="003F0BF9" w:rsidP="00097245">
      <w:pPr>
        <w:pStyle w:val="ListParagraph"/>
        <w:numPr>
          <w:ilvl w:val="0"/>
          <w:numId w:val="5"/>
        </w:numPr>
        <w:ind w:left="0"/>
        <w:jc w:val="both"/>
        <w:rPr>
          <w:b/>
          <w:i/>
          <w:lang w:val="fr-FR"/>
        </w:rPr>
      </w:pPr>
      <w:r w:rsidRPr="00D3264E">
        <w:rPr>
          <w:lang w:val="fr-FR"/>
        </w:rPr>
        <w:t xml:space="preserve">Les programmes mis en œuvre et les mesures prises </w:t>
      </w:r>
      <w:r w:rsidR="004B7CAC" w:rsidRPr="00D3264E">
        <w:rPr>
          <w:lang w:val="fr-FR"/>
        </w:rPr>
        <w:t>par les institutions de l’Etat, avec l’appui de</w:t>
      </w:r>
      <w:r w:rsidRPr="00D3264E">
        <w:rPr>
          <w:lang w:val="fr-FR"/>
        </w:rPr>
        <w:t xml:space="preserve"> partenaires, </w:t>
      </w:r>
      <w:r w:rsidR="004B7CAC" w:rsidRPr="00D3264E">
        <w:rPr>
          <w:lang w:val="fr-FR"/>
        </w:rPr>
        <w:t xml:space="preserve">notamment le système des Nations Unies, </w:t>
      </w:r>
      <w:r w:rsidRPr="00D3264E">
        <w:rPr>
          <w:lang w:val="fr-FR"/>
        </w:rPr>
        <w:t>démontrent que ces institutions sont conscientes de l’ampleur d</w:t>
      </w:r>
      <w:r w:rsidR="004B7583" w:rsidRPr="00D3264E">
        <w:rPr>
          <w:lang w:val="fr-FR"/>
        </w:rPr>
        <w:t>e</w:t>
      </w:r>
      <w:r w:rsidRPr="00D3264E">
        <w:rPr>
          <w:lang w:val="fr-FR"/>
        </w:rPr>
        <w:t xml:space="preserve"> ce fléau et contribuent déjà à son éradication. Ce rapport met en évidence la nécessité de renforcer les actions, les mesures et les politiques mises en place pour </w:t>
      </w:r>
      <w:r w:rsidRPr="00D3264E">
        <w:rPr>
          <w:lang w:val="fr-FR"/>
        </w:rPr>
        <w:lastRenderedPageBreak/>
        <w:t>combattre l’impunité pour les crimes de viol. Il souligne l’importance de la SNLGBV et de sa mise en œuvre et plaide pour une action urgente et ciblée sur les</w:t>
      </w:r>
      <w:r w:rsidR="001847ED" w:rsidRPr="00D3264E">
        <w:rPr>
          <w:lang w:val="fr-FR"/>
        </w:rPr>
        <w:t xml:space="preserve"> enfants</w:t>
      </w:r>
      <w:r w:rsidRPr="00D3264E">
        <w:rPr>
          <w:lang w:val="fr-FR"/>
        </w:rPr>
        <w:t xml:space="preserve">. Les recommandations de ce rapport se focalisent sur la réponse du système judiciaire et la nécessité de réformer certaines pratiques et normes afin de consolider l’action de répression du viol. </w:t>
      </w:r>
    </w:p>
    <w:p w:rsidR="006C5DC4" w:rsidRPr="00D3264E" w:rsidRDefault="006C5DC4" w:rsidP="00097245">
      <w:pPr>
        <w:jc w:val="both"/>
        <w:rPr>
          <w:lang w:val="fr-FR"/>
        </w:rPr>
      </w:pPr>
    </w:p>
    <w:p w:rsidR="006C5DC4" w:rsidRPr="00D3264E" w:rsidRDefault="00713264" w:rsidP="00097245">
      <w:pPr>
        <w:pStyle w:val="Heading2"/>
        <w:spacing w:before="0"/>
        <w:jc w:val="both"/>
        <w:rPr>
          <w:rFonts w:ascii="Times New Roman" w:hAnsi="Times New Roman"/>
          <w:i/>
          <w:color w:val="auto"/>
          <w:sz w:val="24"/>
          <w:szCs w:val="24"/>
          <w:lang w:val="fr-FR"/>
        </w:rPr>
      </w:pPr>
      <w:bookmarkStart w:id="38" w:name="_Toc455746293"/>
      <w:r w:rsidRPr="00D3264E">
        <w:rPr>
          <w:rFonts w:ascii="Times New Roman" w:hAnsi="Times New Roman"/>
          <w:i/>
          <w:color w:val="auto"/>
          <w:sz w:val="24"/>
          <w:szCs w:val="24"/>
          <w:lang w:val="fr-FR"/>
        </w:rPr>
        <w:t>Aux autorités de la C</w:t>
      </w:r>
      <w:r w:rsidR="0061092B" w:rsidRPr="00D3264E">
        <w:rPr>
          <w:rFonts w:ascii="Times New Roman" w:hAnsi="Times New Roman"/>
          <w:i/>
          <w:color w:val="auto"/>
          <w:sz w:val="24"/>
          <w:szCs w:val="24"/>
          <w:lang w:val="fr-FR"/>
        </w:rPr>
        <w:t>ô</w:t>
      </w:r>
      <w:r w:rsidRPr="00D3264E">
        <w:rPr>
          <w:rFonts w:ascii="Times New Roman" w:hAnsi="Times New Roman"/>
          <w:i/>
          <w:color w:val="auto"/>
          <w:sz w:val="24"/>
          <w:szCs w:val="24"/>
          <w:lang w:val="fr-FR"/>
        </w:rPr>
        <w:t>te d’Ivoire</w:t>
      </w:r>
      <w:bookmarkEnd w:id="38"/>
    </w:p>
    <w:p w:rsidR="00177E39" w:rsidRPr="00D3264E" w:rsidRDefault="00177E39" w:rsidP="00097245">
      <w:pPr>
        <w:jc w:val="both"/>
        <w:rPr>
          <w:lang w:val="fr-FR"/>
        </w:rPr>
      </w:pPr>
    </w:p>
    <w:p w:rsidR="00F43C3F" w:rsidRPr="00D3264E" w:rsidRDefault="00F43C3F" w:rsidP="00097245">
      <w:pPr>
        <w:pStyle w:val="ListParagraph"/>
        <w:numPr>
          <w:ilvl w:val="0"/>
          <w:numId w:val="18"/>
        </w:numPr>
        <w:jc w:val="both"/>
        <w:rPr>
          <w:lang w:val="fr-FR"/>
        </w:rPr>
      </w:pPr>
      <w:r w:rsidRPr="00D3264E">
        <w:rPr>
          <w:u w:val="single"/>
          <w:lang w:val="fr-FR"/>
        </w:rPr>
        <w:t>Stratégie nationale de lutte contre les violences basées sur le genre</w:t>
      </w:r>
      <w:r w:rsidRPr="00D3264E">
        <w:rPr>
          <w:lang w:val="fr-FR"/>
        </w:rPr>
        <w:t>:</w:t>
      </w:r>
    </w:p>
    <w:p w:rsidR="00F43C3F" w:rsidRPr="00D3264E" w:rsidRDefault="00F43C3F" w:rsidP="00097245">
      <w:pPr>
        <w:pStyle w:val="ListParagraph"/>
        <w:ind w:left="450"/>
        <w:jc w:val="both"/>
        <w:rPr>
          <w:lang w:val="fr-FR"/>
        </w:rPr>
      </w:pPr>
    </w:p>
    <w:p w:rsidR="005602FA" w:rsidRPr="00D3264E" w:rsidRDefault="00C24717" w:rsidP="00097245">
      <w:pPr>
        <w:numPr>
          <w:ilvl w:val="0"/>
          <w:numId w:val="2"/>
        </w:numPr>
        <w:contextualSpacing/>
        <w:jc w:val="both"/>
        <w:rPr>
          <w:rFonts w:eastAsia="MS Mincho"/>
          <w:lang w:val="fr-FR"/>
        </w:rPr>
      </w:pPr>
      <w:r w:rsidRPr="00D3264E">
        <w:rPr>
          <w:rFonts w:eastAsia="MS Mincho"/>
          <w:lang w:val="fr-FR"/>
        </w:rPr>
        <w:t>A</w:t>
      </w:r>
      <w:r w:rsidR="005602FA" w:rsidRPr="00D3264E">
        <w:rPr>
          <w:rFonts w:eastAsia="MS Mincho"/>
          <w:lang w:val="fr-FR"/>
        </w:rPr>
        <w:t>ccélérer l</w:t>
      </w:r>
      <w:r w:rsidRPr="00D3264E">
        <w:rPr>
          <w:rFonts w:eastAsia="MS Mincho"/>
          <w:lang w:val="fr-FR"/>
        </w:rPr>
        <w:t xml:space="preserve">e développement  </w:t>
      </w:r>
      <w:r w:rsidR="005602FA" w:rsidRPr="00D3264E">
        <w:rPr>
          <w:rFonts w:eastAsia="MS Mincho"/>
          <w:lang w:val="fr-FR"/>
        </w:rPr>
        <w:t xml:space="preserve">d’un programme de mise en œuvre de la Stratégie nationale de lutte contre les violences basées sur le genre et mettre à disposition les fonds nécessaires pour sa mise en œuvre, notamment </w:t>
      </w:r>
      <w:r w:rsidR="00B83A47" w:rsidRPr="00D3264E">
        <w:rPr>
          <w:rFonts w:eastAsia="MS Mincho"/>
          <w:lang w:val="fr-FR"/>
        </w:rPr>
        <w:t xml:space="preserve">de </w:t>
      </w:r>
      <w:r w:rsidR="005602FA" w:rsidRPr="00D3264E">
        <w:rPr>
          <w:rFonts w:eastAsia="MS Mincho"/>
          <w:lang w:val="fr-FR"/>
        </w:rPr>
        <w:t>son axe prioritaire nº2 port</w:t>
      </w:r>
      <w:r w:rsidRPr="00D3264E">
        <w:rPr>
          <w:rFonts w:eastAsia="MS Mincho"/>
          <w:lang w:val="fr-FR"/>
        </w:rPr>
        <w:t>ant</w:t>
      </w:r>
      <w:r w:rsidR="005602FA" w:rsidRPr="00D3264E">
        <w:rPr>
          <w:rFonts w:eastAsia="MS Mincho"/>
          <w:lang w:val="fr-FR"/>
        </w:rPr>
        <w:t xml:space="preserve"> sur la justice et la lutte contre l’impunité;</w:t>
      </w:r>
    </w:p>
    <w:p w:rsidR="005602FA" w:rsidRPr="00D3264E" w:rsidRDefault="005602FA" w:rsidP="00097245">
      <w:pPr>
        <w:ind w:left="450"/>
        <w:contextualSpacing/>
        <w:jc w:val="both"/>
        <w:rPr>
          <w:rFonts w:eastAsia="MS Mincho"/>
          <w:lang w:val="fr-FR"/>
        </w:rPr>
      </w:pPr>
    </w:p>
    <w:p w:rsidR="005602FA" w:rsidRPr="00D3264E" w:rsidRDefault="00C24717" w:rsidP="00097245">
      <w:pPr>
        <w:numPr>
          <w:ilvl w:val="0"/>
          <w:numId w:val="2"/>
        </w:numPr>
        <w:contextualSpacing/>
        <w:jc w:val="both"/>
        <w:rPr>
          <w:rFonts w:eastAsia="MS Mincho"/>
          <w:lang w:val="fr-FR"/>
        </w:rPr>
      </w:pPr>
      <w:r w:rsidRPr="00D3264E">
        <w:rPr>
          <w:rFonts w:eastAsia="MS Mincho"/>
          <w:lang w:val="fr-FR"/>
        </w:rPr>
        <w:t>F</w:t>
      </w:r>
      <w:r w:rsidR="005602FA" w:rsidRPr="00D3264E">
        <w:rPr>
          <w:rFonts w:eastAsia="MS Mincho"/>
          <w:lang w:val="fr-FR"/>
        </w:rPr>
        <w:t>inaliser le processus de nationalisation du Système de gestion des informations s</w:t>
      </w:r>
      <w:r w:rsidR="00B83A47" w:rsidRPr="00D3264E">
        <w:rPr>
          <w:rFonts w:eastAsia="MS Mincho"/>
          <w:lang w:val="fr-FR"/>
        </w:rPr>
        <w:t>ur les violences basées sur le g</w:t>
      </w:r>
      <w:r w:rsidR="005602FA" w:rsidRPr="00D3264E">
        <w:rPr>
          <w:rFonts w:eastAsia="MS Mincho"/>
          <w:lang w:val="fr-FR"/>
        </w:rPr>
        <w:t>enre (GBV-IMS) et mettre à disposition les fonds nécessaires pour sa péren</w:t>
      </w:r>
      <w:r w:rsidR="006E307A" w:rsidRPr="00D3264E">
        <w:rPr>
          <w:rFonts w:eastAsia="MS Mincho"/>
          <w:lang w:val="fr-FR"/>
        </w:rPr>
        <w:t>n</w:t>
      </w:r>
      <w:r w:rsidR="005602FA" w:rsidRPr="00D3264E">
        <w:rPr>
          <w:rFonts w:eastAsia="MS Mincho"/>
          <w:lang w:val="fr-FR"/>
        </w:rPr>
        <w:t>isation;</w:t>
      </w:r>
    </w:p>
    <w:p w:rsidR="000175CE" w:rsidRPr="00D3264E" w:rsidRDefault="000175CE" w:rsidP="00097245">
      <w:pPr>
        <w:pStyle w:val="ListParagraph"/>
        <w:jc w:val="both"/>
        <w:rPr>
          <w:rFonts w:eastAsia="MS Mincho"/>
          <w:lang w:val="fr-FR"/>
        </w:rPr>
      </w:pPr>
    </w:p>
    <w:p w:rsidR="006F2E87" w:rsidRPr="00D3264E" w:rsidRDefault="00C24717" w:rsidP="00097245">
      <w:pPr>
        <w:numPr>
          <w:ilvl w:val="0"/>
          <w:numId w:val="2"/>
        </w:numPr>
        <w:contextualSpacing/>
        <w:jc w:val="both"/>
        <w:rPr>
          <w:rFonts w:eastAsia="MS Mincho"/>
          <w:lang w:val="fr-FR"/>
        </w:rPr>
      </w:pPr>
      <w:r w:rsidRPr="00D3264E">
        <w:rPr>
          <w:rFonts w:eastAsia="MS Mincho"/>
          <w:lang w:val="fr-FR"/>
        </w:rPr>
        <w:t>D</w:t>
      </w:r>
      <w:r w:rsidR="000175CE" w:rsidRPr="00D3264E">
        <w:rPr>
          <w:rFonts w:eastAsia="MS Mincho"/>
          <w:lang w:val="fr-FR"/>
        </w:rPr>
        <w:t>onner priorité aux campagnes de prévention des violences sexuelles en milieu scolaire en mettant notamment l’accent sur le respect du Code de conduite des personnels des structures publiques et privées;</w:t>
      </w:r>
    </w:p>
    <w:p w:rsidR="00F43C3F" w:rsidRPr="00D3264E" w:rsidRDefault="00F43C3F" w:rsidP="00097245">
      <w:pPr>
        <w:jc w:val="both"/>
        <w:rPr>
          <w:lang w:val="fr-FR"/>
        </w:rPr>
      </w:pPr>
    </w:p>
    <w:p w:rsidR="00F43C3F" w:rsidRPr="00D3264E" w:rsidRDefault="00D53758" w:rsidP="00097245">
      <w:pPr>
        <w:pStyle w:val="ListParagraph"/>
        <w:numPr>
          <w:ilvl w:val="0"/>
          <w:numId w:val="18"/>
        </w:numPr>
        <w:jc w:val="both"/>
        <w:rPr>
          <w:lang w:val="fr-FR"/>
        </w:rPr>
      </w:pPr>
      <w:r w:rsidRPr="00D3264E">
        <w:rPr>
          <w:u w:val="single"/>
          <w:lang w:val="fr-FR"/>
        </w:rPr>
        <w:t>R</w:t>
      </w:r>
      <w:r w:rsidR="00F43C3F" w:rsidRPr="00D3264E">
        <w:rPr>
          <w:u w:val="single"/>
          <w:lang w:val="fr-FR"/>
        </w:rPr>
        <w:t xml:space="preserve">épression </w:t>
      </w:r>
      <w:r w:rsidR="00C24717" w:rsidRPr="00D3264E">
        <w:rPr>
          <w:u w:val="single"/>
          <w:lang w:val="fr-FR"/>
        </w:rPr>
        <w:t>judiciaire</w:t>
      </w:r>
      <w:r w:rsidR="00F43C3F" w:rsidRPr="00D3264E">
        <w:rPr>
          <w:lang w:val="fr-FR"/>
        </w:rPr>
        <w:t>:</w:t>
      </w:r>
    </w:p>
    <w:p w:rsidR="00F43C3F" w:rsidRPr="00D3264E" w:rsidRDefault="00F43C3F" w:rsidP="00097245">
      <w:pPr>
        <w:pStyle w:val="ListParagraph"/>
        <w:ind w:left="360"/>
        <w:jc w:val="both"/>
        <w:rPr>
          <w:lang w:val="fr-FR"/>
        </w:rPr>
      </w:pPr>
    </w:p>
    <w:p w:rsidR="00286FE5" w:rsidRPr="00D3264E" w:rsidRDefault="00C24717" w:rsidP="00097245">
      <w:pPr>
        <w:pStyle w:val="ListParagraph"/>
        <w:numPr>
          <w:ilvl w:val="0"/>
          <w:numId w:val="2"/>
        </w:numPr>
        <w:jc w:val="both"/>
        <w:rPr>
          <w:lang w:val="fr-FR"/>
        </w:rPr>
      </w:pPr>
      <w:r w:rsidRPr="00D3264E">
        <w:rPr>
          <w:lang w:val="fr-FR"/>
        </w:rPr>
        <w:t>P</w:t>
      </w:r>
      <w:r w:rsidR="00177E39" w:rsidRPr="00D3264E">
        <w:rPr>
          <w:lang w:val="fr-FR"/>
        </w:rPr>
        <w:t xml:space="preserve">rendre toutes les mesures nécessaires afin de traduire en justice et </w:t>
      </w:r>
      <w:r w:rsidRPr="00D3264E">
        <w:rPr>
          <w:lang w:val="fr-FR"/>
        </w:rPr>
        <w:t xml:space="preserve">de </w:t>
      </w:r>
      <w:r w:rsidR="00177E39" w:rsidRPr="00D3264E">
        <w:rPr>
          <w:lang w:val="fr-FR"/>
        </w:rPr>
        <w:t>sanctionner l</w:t>
      </w:r>
      <w:r w:rsidR="00286FE5" w:rsidRPr="00D3264E">
        <w:rPr>
          <w:lang w:val="fr-FR"/>
        </w:rPr>
        <w:t>’ensemble des</w:t>
      </w:r>
      <w:r w:rsidR="00177E39" w:rsidRPr="00D3264E">
        <w:rPr>
          <w:lang w:val="fr-FR"/>
        </w:rPr>
        <w:t xml:space="preserve"> auteurs de viols, </w:t>
      </w:r>
      <w:r w:rsidR="00286FE5" w:rsidRPr="00D3264E">
        <w:rPr>
          <w:lang w:val="fr-FR"/>
        </w:rPr>
        <w:t>en particulier à l’encontre des enfants;</w:t>
      </w:r>
    </w:p>
    <w:p w:rsidR="00286FE5" w:rsidRPr="00D3264E" w:rsidRDefault="00286FE5" w:rsidP="00097245">
      <w:pPr>
        <w:pStyle w:val="ListParagraph"/>
        <w:ind w:left="450"/>
        <w:jc w:val="both"/>
        <w:rPr>
          <w:lang w:val="fr-FR"/>
        </w:rPr>
      </w:pPr>
    </w:p>
    <w:p w:rsidR="00177E39" w:rsidRPr="00D3264E" w:rsidRDefault="00286FE5" w:rsidP="00097245">
      <w:pPr>
        <w:pStyle w:val="ListParagraph"/>
        <w:numPr>
          <w:ilvl w:val="0"/>
          <w:numId w:val="2"/>
        </w:numPr>
        <w:jc w:val="both"/>
        <w:rPr>
          <w:lang w:val="fr-FR"/>
        </w:rPr>
      </w:pPr>
      <w:r w:rsidRPr="00D3264E">
        <w:rPr>
          <w:lang w:val="fr-FR"/>
        </w:rPr>
        <w:t>Prendre toutes les mesures nécessaires</w:t>
      </w:r>
      <w:r w:rsidR="003B3E3C" w:rsidRPr="00D3264E">
        <w:rPr>
          <w:lang w:val="fr-FR"/>
        </w:rPr>
        <w:t xml:space="preserve"> pour</w:t>
      </w:r>
      <w:r w:rsidRPr="00D3264E">
        <w:rPr>
          <w:lang w:val="fr-FR"/>
        </w:rPr>
        <w:t xml:space="preserve"> que les agents de l’Etat auteurs de viol, </w:t>
      </w:r>
      <w:r w:rsidR="00177E39" w:rsidRPr="00D3264E">
        <w:rPr>
          <w:lang w:val="fr-FR"/>
        </w:rPr>
        <w:t>en particulier les éléments des FRCI et les enseignants</w:t>
      </w:r>
      <w:r w:rsidRPr="00D3264E">
        <w:rPr>
          <w:lang w:val="fr-FR"/>
        </w:rPr>
        <w:t>, rendent compte de leurs actes devant la justice</w:t>
      </w:r>
      <w:r w:rsidR="00C24717" w:rsidRPr="00D3264E">
        <w:rPr>
          <w:lang w:val="fr-FR"/>
        </w:rPr>
        <w:t> </w:t>
      </w:r>
      <w:r w:rsidR="00177E39" w:rsidRPr="00D3264E">
        <w:rPr>
          <w:lang w:val="fr-FR"/>
        </w:rPr>
        <w:t xml:space="preserve">et s’assurer de poursuites et </w:t>
      </w:r>
      <w:r w:rsidRPr="00D3264E">
        <w:rPr>
          <w:lang w:val="fr-FR"/>
        </w:rPr>
        <w:t xml:space="preserve">de la prise </w:t>
      </w:r>
      <w:r w:rsidR="00732E43" w:rsidRPr="00D3264E">
        <w:rPr>
          <w:lang w:val="fr-FR"/>
        </w:rPr>
        <w:t xml:space="preserve">de </w:t>
      </w:r>
      <w:r w:rsidR="00177E39" w:rsidRPr="00D3264E">
        <w:rPr>
          <w:lang w:val="fr-FR"/>
        </w:rPr>
        <w:t>sanctions administratives et disciplinaires</w:t>
      </w:r>
      <w:r w:rsidR="00732E43" w:rsidRPr="00D3264E">
        <w:rPr>
          <w:lang w:val="fr-FR"/>
        </w:rPr>
        <w:t xml:space="preserve"> à leur encontre</w:t>
      </w:r>
      <w:r w:rsidR="00177E39" w:rsidRPr="00D3264E">
        <w:rPr>
          <w:lang w:val="fr-FR"/>
        </w:rPr>
        <w:t xml:space="preserve"> nonobstant la procédure judiciaire;</w:t>
      </w:r>
    </w:p>
    <w:p w:rsidR="00177E39" w:rsidRPr="00D3264E" w:rsidRDefault="00177E39" w:rsidP="00097245">
      <w:pPr>
        <w:jc w:val="both"/>
        <w:rPr>
          <w:lang w:val="fr-FR"/>
        </w:rPr>
      </w:pPr>
    </w:p>
    <w:p w:rsidR="00177E39" w:rsidRPr="00D3264E" w:rsidRDefault="00C24717" w:rsidP="00097245">
      <w:pPr>
        <w:pStyle w:val="ListParagraph"/>
        <w:numPr>
          <w:ilvl w:val="0"/>
          <w:numId w:val="2"/>
        </w:numPr>
        <w:jc w:val="both"/>
        <w:rPr>
          <w:lang w:val="fr-FR"/>
        </w:rPr>
      </w:pPr>
      <w:r w:rsidRPr="00D3264E">
        <w:rPr>
          <w:lang w:val="fr-FR"/>
        </w:rPr>
        <w:t>M</w:t>
      </w:r>
      <w:r w:rsidR="00177E39" w:rsidRPr="00D3264E">
        <w:rPr>
          <w:lang w:val="fr-FR"/>
        </w:rPr>
        <w:t>ettre sans délai les moyens nécessaires à la disposition des autorités compétentes pour faciliter l’instruction des crimes de viol</w:t>
      </w:r>
      <w:r w:rsidRPr="00D3264E">
        <w:rPr>
          <w:lang w:val="fr-FR"/>
        </w:rPr>
        <w:t> ;</w:t>
      </w:r>
      <w:r w:rsidR="00177E39" w:rsidRPr="00D3264E">
        <w:rPr>
          <w:lang w:val="fr-FR"/>
        </w:rPr>
        <w:t xml:space="preserve"> et assurer une tenue régulière des sessions par les Cours d’assises, qui sont les seules compétentes, conformément au droit ivoirien, pour juger les crimes de viol</w:t>
      </w:r>
      <w:r w:rsidR="00732E43" w:rsidRPr="00D3264E">
        <w:rPr>
          <w:lang w:val="fr-FR"/>
        </w:rPr>
        <w:t>, en leur allouant notamment le budget né</w:t>
      </w:r>
      <w:r w:rsidR="004A5EE3" w:rsidRPr="00D3264E">
        <w:rPr>
          <w:lang w:val="fr-FR"/>
        </w:rPr>
        <w:t xml:space="preserve">cessaire </w:t>
      </w:r>
      <w:r w:rsidRPr="00D3264E">
        <w:rPr>
          <w:lang w:val="fr-FR"/>
        </w:rPr>
        <w:t>à</w:t>
      </w:r>
      <w:r w:rsidR="004A5EE3" w:rsidRPr="00D3264E">
        <w:rPr>
          <w:lang w:val="fr-FR"/>
        </w:rPr>
        <w:t xml:space="preserve"> leur organisation</w:t>
      </w:r>
      <w:r w:rsidR="00F43C3F" w:rsidRPr="00D3264E">
        <w:rPr>
          <w:lang w:val="fr-FR"/>
        </w:rPr>
        <w:t>;</w:t>
      </w:r>
    </w:p>
    <w:p w:rsidR="00845290" w:rsidRPr="00D3264E" w:rsidRDefault="00845290" w:rsidP="00097245">
      <w:pPr>
        <w:pStyle w:val="ListParagraph"/>
        <w:jc w:val="both"/>
        <w:rPr>
          <w:lang w:val="fr-FR"/>
        </w:rPr>
      </w:pPr>
    </w:p>
    <w:p w:rsidR="00845290" w:rsidRPr="00D3264E" w:rsidRDefault="00C24717" w:rsidP="00097245">
      <w:pPr>
        <w:pStyle w:val="ListParagraph"/>
        <w:numPr>
          <w:ilvl w:val="0"/>
          <w:numId w:val="2"/>
        </w:numPr>
        <w:jc w:val="both"/>
        <w:rPr>
          <w:lang w:val="fr-FR"/>
        </w:rPr>
      </w:pPr>
      <w:r w:rsidRPr="00D3264E">
        <w:rPr>
          <w:lang w:val="fr-FR"/>
        </w:rPr>
        <w:t>C</w:t>
      </w:r>
      <w:r w:rsidR="00845290" w:rsidRPr="00D3264E">
        <w:rPr>
          <w:lang w:val="fr-FR"/>
        </w:rPr>
        <w:t>onsidérer la tenue de sessions d’assises spécialisées sur les crimes de viol afin de lutter efficacement et promptement contre ces crimes;</w:t>
      </w:r>
    </w:p>
    <w:p w:rsidR="00F74051" w:rsidRPr="00D3264E" w:rsidRDefault="00F74051" w:rsidP="00097245">
      <w:pPr>
        <w:pStyle w:val="ListParagraph"/>
        <w:jc w:val="both"/>
        <w:rPr>
          <w:lang w:val="fr-FR"/>
        </w:rPr>
      </w:pPr>
    </w:p>
    <w:p w:rsidR="00CF5C07" w:rsidRPr="00D3264E" w:rsidRDefault="00C24717" w:rsidP="00097245">
      <w:pPr>
        <w:numPr>
          <w:ilvl w:val="0"/>
          <w:numId w:val="2"/>
        </w:numPr>
        <w:spacing w:after="200"/>
        <w:contextualSpacing/>
        <w:jc w:val="both"/>
        <w:rPr>
          <w:rFonts w:eastAsia="Calibri"/>
          <w:lang w:val="fr-FR"/>
        </w:rPr>
      </w:pPr>
      <w:r w:rsidRPr="00D3264E">
        <w:rPr>
          <w:rFonts w:eastAsia="Calibri"/>
          <w:lang w:val="fr-FR"/>
        </w:rPr>
        <w:t>V</w:t>
      </w:r>
      <w:r w:rsidR="00F74051" w:rsidRPr="00D3264E">
        <w:rPr>
          <w:rFonts w:eastAsia="Calibri"/>
          <w:lang w:val="fr-FR"/>
        </w:rPr>
        <w:t xml:space="preserve">eiller à ce que toutes les victimes de violences sexuelles aient accès à la justice, en particulier en </w:t>
      </w:r>
      <w:r w:rsidRPr="00D3264E">
        <w:rPr>
          <w:rFonts w:eastAsia="Calibri"/>
          <w:lang w:val="fr-FR"/>
        </w:rPr>
        <w:t xml:space="preserve">leur </w:t>
      </w:r>
      <w:r w:rsidR="00F74051" w:rsidRPr="00D3264E">
        <w:rPr>
          <w:rFonts w:eastAsia="Calibri"/>
          <w:lang w:val="fr-FR"/>
        </w:rPr>
        <w:t>fournissant une aide juridique gratuite;</w:t>
      </w:r>
    </w:p>
    <w:p w:rsidR="00CF5C07" w:rsidRPr="00D3264E" w:rsidRDefault="00CF5C07" w:rsidP="00097245">
      <w:pPr>
        <w:jc w:val="both"/>
        <w:rPr>
          <w:lang w:val="fr-FR"/>
        </w:rPr>
      </w:pPr>
    </w:p>
    <w:p w:rsidR="00647E10" w:rsidRPr="00D3264E" w:rsidRDefault="00C24717" w:rsidP="00097245">
      <w:pPr>
        <w:numPr>
          <w:ilvl w:val="0"/>
          <w:numId w:val="2"/>
        </w:numPr>
        <w:spacing w:after="200"/>
        <w:contextualSpacing/>
        <w:jc w:val="both"/>
        <w:rPr>
          <w:rFonts w:eastAsia="Calibri"/>
          <w:lang w:val="fr-FR"/>
        </w:rPr>
      </w:pPr>
      <w:r w:rsidRPr="00D3264E">
        <w:rPr>
          <w:lang w:val="fr-FR"/>
        </w:rPr>
        <w:t>A</w:t>
      </w:r>
      <w:r w:rsidR="00F74051" w:rsidRPr="00D3264E">
        <w:rPr>
          <w:lang w:val="fr-FR"/>
        </w:rPr>
        <w:t>dopter et diffuser par voie réglementaire auprès des forces de sécurité et du personnel judiciaire des protocoles d’audition de</w:t>
      </w:r>
      <w:r w:rsidRPr="00D3264E">
        <w:rPr>
          <w:lang w:val="fr-FR"/>
        </w:rPr>
        <w:t>s</w:t>
      </w:r>
      <w:r w:rsidR="00F74051" w:rsidRPr="00D3264E">
        <w:rPr>
          <w:lang w:val="fr-FR"/>
        </w:rPr>
        <w:t xml:space="preserve"> victime</w:t>
      </w:r>
      <w:r w:rsidRPr="00D3264E">
        <w:rPr>
          <w:lang w:val="fr-FR"/>
        </w:rPr>
        <w:t>s mineures,</w:t>
      </w:r>
      <w:r w:rsidR="00F74051" w:rsidRPr="00D3264E">
        <w:rPr>
          <w:lang w:val="fr-FR"/>
        </w:rPr>
        <w:t xml:space="preserve"> </w:t>
      </w:r>
      <w:r w:rsidRPr="00D3264E">
        <w:rPr>
          <w:lang w:val="fr-FR"/>
        </w:rPr>
        <w:t xml:space="preserve">ainsi que </w:t>
      </w:r>
      <w:r w:rsidR="00F74051" w:rsidRPr="00D3264E">
        <w:rPr>
          <w:lang w:val="fr-FR"/>
        </w:rPr>
        <w:t xml:space="preserve">des procédures et outils </w:t>
      </w:r>
      <w:r w:rsidR="00F74051" w:rsidRPr="00D3264E">
        <w:rPr>
          <w:lang w:val="fr-FR"/>
        </w:rPr>
        <w:lastRenderedPageBreak/>
        <w:t>de signalement, d’avis et de référence des cas d’enfants victimes vers les autorités et services appropriés;</w:t>
      </w:r>
    </w:p>
    <w:p w:rsidR="00F43C3F" w:rsidRPr="00D3264E" w:rsidRDefault="00D53758" w:rsidP="00097245">
      <w:pPr>
        <w:pStyle w:val="ListParagraph"/>
        <w:numPr>
          <w:ilvl w:val="0"/>
          <w:numId w:val="18"/>
        </w:numPr>
        <w:jc w:val="both"/>
        <w:rPr>
          <w:lang w:val="fr-FR"/>
        </w:rPr>
      </w:pPr>
      <w:r w:rsidRPr="00D3264E">
        <w:rPr>
          <w:u w:val="single"/>
          <w:lang w:val="fr-FR"/>
        </w:rPr>
        <w:t>L</w:t>
      </w:r>
      <w:r w:rsidR="006E307A" w:rsidRPr="00D3264E">
        <w:rPr>
          <w:u w:val="single"/>
          <w:lang w:val="fr-FR"/>
        </w:rPr>
        <w:t>ég</w:t>
      </w:r>
      <w:r w:rsidR="00F43C3F" w:rsidRPr="00D3264E">
        <w:rPr>
          <w:u w:val="single"/>
          <w:lang w:val="fr-FR"/>
        </w:rPr>
        <w:t>islation</w:t>
      </w:r>
      <w:r w:rsidR="00F43C3F" w:rsidRPr="00D3264E">
        <w:rPr>
          <w:lang w:val="fr-FR"/>
        </w:rPr>
        <w:t>:</w:t>
      </w:r>
    </w:p>
    <w:p w:rsidR="009A37C6" w:rsidRPr="00D3264E" w:rsidRDefault="009A37C6" w:rsidP="00097245">
      <w:pPr>
        <w:pStyle w:val="ListParagraph"/>
        <w:ind w:left="450"/>
        <w:jc w:val="both"/>
        <w:rPr>
          <w:lang w:val="fr-FR"/>
        </w:rPr>
      </w:pPr>
    </w:p>
    <w:p w:rsidR="00695ED4" w:rsidRPr="00D3264E" w:rsidRDefault="00C24717" w:rsidP="00097245">
      <w:pPr>
        <w:pStyle w:val="ListParagraph"/>
        <w:numPr>
          <w:ilvl w:val="0"/>
          <w:numId w:val="2"/>
        </w:numPr>
        <w:jc w:val="both"/>
        <w:rPr>
          <w:lang w:val="fr-FR"/>
        </w:rPr>
      </w:pPr>
      <w:r w:rsidRPr="00D3264E">
        <w:rPr>
          <w:lang w:val="fr-FR"/>
        </w:rPr>
        <w:t>R</w:t>
      </w:r>
      <w:r w:rsidR="005002F0" w:rsidRPr="00D3264E">
        <w:rPr>
          <w:lang w:val="fr-FR"/>
        </w:rPr>
        <w:t xml:space="preserve">éviser </w:t>
      </w:r>
      <w:r w:rsidR="0066758A" w:rsidRPr="00D3264E">
        <w:rPr>
          <w:lang w:val="fr-FR"/>
        </w:rPr>
        <w:t>le</w:t>
      </w:r>
      <w:r w:rsidR="005002F0" w:rsidRPr="00D3264E">
        <w:rPr>
          <w:lang w:val="fr-FR"/>
        </w:rPr>
        <w:t xml:space="preserve"> C</w:t>
      </w:r>
      <w:r w:rsidR="00F35EB1" w:rsidRPr="00D3264E">
        <w:rPr>
          <w:lang w:val="fr-FR"/>
        </w:rPr>
        <w:t xml:space="preserve">ode pénal </w:t>
      </w:r>
      <w:r w:rsidR="00793535" w:rsidRPr="00D3264E">
        <w:rPr>
          <w:lang w:val="fr-FR"/>
        </w:rPr>
        <w:t>con</w:t>
      </w:r>
      <w:r w:rsidR="00324F9D" w:rsidRPr="00D3264E">
        <w:rPr>
          <w:lang w:val="fr-FR"/>
        </w:rPr>
        <w:t>forméme</w:t>
      </w:r>
      <w:r w:rsidR="007A05CE" w:rsidRPr="00D3264E">
        <w:rPr>
          <w:lang w:val="fr-FR"/>
        </w:rPr>
        <w:t>nt aux standards interna</w:t>
      </w:r>
      <w:r w:rsidR="00793535" w:rsidRPr="00D3264E">
        <w:rPr>
          <w:lang w:val="fr-FR"/>
        </w:rPr>
        <w:t xml:space="preserve">tionaux </w:t>
      </w:r>
      <w:r w:rsidR="009B62D8" w:rsidRPr="00D3264E">
        <w:rPr>
          <w:lang w:val="fr-FR"/>
        </w:rPr>
        <w:t xml:space="preserve">afin d’y intégrer </w:t>
      </w:r>
      <w:r w:rsidR="00E06A94" w:rsidRPr="00D3264E">
        <w:rPr>
          <w:lang w:val="fr-FR"/>
        </w:rPr>
        <w:t>une définition d</w:t>
      </w:r>
      <w:r w:rsidR="009B62D8" w:rsidRPr="00D3264E">
        <w:rPr>
          <w:lang w:val="fr-FR"/>
        </w:rPr>
        <w:t>u viol et des autres</w:t>
      </w:r>
      <w:r w:rsidR="00E06A94" w:rsidRPr="00D3264E">
        <w:rPr>
          <w:lang w:val="fr-FR"/>
        </w:rPr>
        <w:t xml:space="preserve"> </w:t>
      </w:r>
      <w:r w:rsidRPr="00D3264E">
        <w:rPr>
          <w:lang w:val="fr-FR"/>
        </w:rPr>
        <w:t xml:space="preserve">formes de </w:t>
      </w:r>
      <w:r w:rsidR="00E06A94" w:rsidRPr="00D3264E">
        <w:rPr>
          <w:lang w:val="fr-FR"/>
        </w:rPr>
        <w:t>violence</w:t>
      </w:r>
      <w:r w:rsidR="009B62D8" w:rsidRPr="00D3264E">
        <w:rPr>
          <w:lang w:val="fr-FR"/>
        </w:rPr>
        <w:t>s</w:t>
      </w:r>
      <w:r w:rsidR="00E06A94" w:rsidRPr="00D3264E">
        <w:rPr>
          <w:lang w:val="fr-FR"/>
        </w:rPr>
        <w:t xml:space="preserve"> sexuelle</w:t>
      </w:r>
      <w:r w:rsidR="009B62D8" w:rsidRPr="00D3264E">
        <w:rPr>
          <w:lang w:val="fr-FR"/>
        </w:rPr>
        <w:t xml:space="preserve">s </w:t>
      </w:r>
      <w:r w:rsidR="009939AB" w:rsidRPr="00D3264E">
        <w:rPr>
          <w:lang w:val="fr-FR"/>
        </w:rPr>
        <w:t xml:space="preserve">en y </w:t>
      </w:r>
      <w:r w:rsidR="009B62D8" w:rsidRPr="00D3264E">
        <w:rPr>
          <w:lang w:val="fr-FR"/>
        </w:rPr>
        <w:t>précis</w:t>
      </w:r>
      <w:r w:rsidR="009939AB" w:rsidRPr="00D3264E">
        <w:rPr>
          <w:lang w:val="fr-FR"/>
        </w:rPr>
        <w:t>ant</w:t>
      </w:r>
      <w:r w:rsidR="009B62D8" w:rsidRPr="00D3264E">
        <w:rPr>
          <w:lang w:val="fr-FR"/>
        </w:rPr>
        <w:t xml:space="preserve"> les différents éléments </w:t>
      </w:r>
      <w:r w:rsidR="009749ED" w:rsidRPr="00D3264E">
        <w:rPr>
          <w:lang w:val="fr-FR"/>
        </w:rPr>
        <w:t>constitutifs</w:t>
      </w:r>
      <w:r w:rsidRPr="00D3264E">
        <w:rPr>
          <w:lang w:val="fr-FR"/>
        </w:rPr>
        <w:t xml:space="preserve"> ; </w:t>
      </w:r>
      <w:r w:rsidR="009749ED" w:rsidRPr="00D3264E">
        <w:rPr>
          <w:lang w:val="fr-FR"/>
        </w:rPr>
        <w:t xml:space="preserve">assurer </w:t>
      </w:r>
      <w:r w:rsidRPr="00D3264E">
        <w:rPr>
          <w:lang w:val="fr-FR"/>
        </w:rPr>
        <w:t>des</w:t>
      </w:r>
      <w:r w:rsidR="009749ED" w:rsidRPr="00D3264E">
        <w:rPr>
          <w:lang w:val="fr-FR"/>
        </w:rPr>
        <w:t xml:space="preserve"> consultation</w:t>
      </w:r>
      <w:r w:rsidRPr="00D3264E">
        <w:rPr>
          <w:lang w:val="fr-FR"/>
        </w:rPr>
        <w:t>s</w:t>
      </w:r>
      <w:r w:rsidR="009749ED" w:rsidRPr="00D3264E">
        <w:rPr>
          <w:lang w:val="fr-FR"/>
        </w:rPr>
        <w:t xml:space="preserve">, de manière participative, </w:t>
      </w:r>
      <w:r w:rsidRPr="00D3264E">
        <w:rPr>
          <w:lang w:val="fr-FR"/>
        </w:rPr>
        <w:t xml:space="preserve">avec des </w:t>
      </w:r>
      <w:r w:rsidR="009749ED" w:rsidRPr="00D3264E">
        <w:rPr>
          <w:lang w:val="fr-FR"/>
        </w:rPr>
        <w:t xml:space="preserve">experts et praticiens engagés dans </w:t>
      </w:r>
      <w:r w:rsidR="0066758A" w:rsidRPr="00D3264E">
        <w:rPr>
          <w:lang w:val="fr-FR"/>
        </w:rPr>
        <w:t xml:space="preserve">la lutte contre les violences basées sur le genre </w:t>
      </w:r>
      <w:r w:rsidR="009749ED" w:rsidRPr="00D3264E">
        <w:rPr>
          <w:lang w:val="fr-FR"/>
        </w:rPr>
        <w:t>dans le cadre du</w:t>
      </w:r>
      <w:r w:rsidR="0066758A" w:rsidRPr="00D3264E">
        <w:rPr>
          <w:lang w:val="fr-FR"/>
        </w:rPr>
        <w:t xml:space="preserve"> processus de révision </w:t>
      </w:r>
      <w:r w:rsidR="00325724" w:rsidRPr="00D3264E">
        <w:rPr>
          <w:lang w:val="fr-FR"/>
        </w:rPr>
        <w:t>d</w:t>
      </w:r>
      <w:r w:rsidR="009749ED" w:rsidRPr="00D3264E">
        <w:rPr>
          <w:lang w:val="fr-FR"/>
        </w:rPr>
        <w:t>u C</w:t>
      </w:r>
      <w:r w:rsidR="00325724" w:rsidRPr="00D3264E">
        <w:rPr>
          <w:lang w:val="fr-FR"/>
        </w:rPr>
        <w:t>ode</w:t>
      </w:r>
      <w:r w:rsidR="009749ED" w:rsidRPr="00D3264E">
        <w:rPr>
          <w:lang w:val="fr-FR"/>
        </w:rPr>
        <w:t xml:space="preserve"> pénal et du Code de procédure pénale </w:t>
      </w:r>
      <w:r w:rsidR="0066758A" w:rsidRPr="00D3264E">
        <w:rPr>
          <w:lang w:val="fr-FR"/>
        </w:rPr>
        <w:t>actuellement en cours</w:t>
      </w:r>
      <w:r w:rsidR="00F35EB1" w:rsidRPr="00D3264E">
        <w:rPr>
          <w:lang w:val="fr-FR"/>
        </w:rPr>
        <w:t>;</w:t>
      </w:r>
      <w:r w:rsidR="00695ED4" w:rsidRPr="00D3264E">
        <w:rPr>
          <w:lang w:val="fr-FR"/>
        </w:rPr>
        <w:t xml:space="preserve"> </w:t>
      </w:r>
    </w:p>
    <w:p w:rsidR="0066758A" w:rsidRPr="00D3264E" w:rsidRDefault="0066758A" w:rsidP="00097245">
      <w:pPr>
        <w:pStyle w:val="ListParagraph"/>
        <w:ind w:left="450"/>
        <w:jc w:val="both"/>
        <w:rPr>
          <w:lang w:val="fr-FR"/>
        </w:rPr>
      </w:pPr>
    </w:p>
    <w:p w:rsidR="0066758A" w:rsidRPr="00D3264E" w:rsidRDefault="00C24717" w:rsidP="00097245">
      <w:pPr>
        <w:pStyle w:val="ListParagraph"/>
        <w:numPr>
          <w:ilvl w:val="0"/>
          <w:numId w:val="2"/>
        </w:numPr>
        <w:jc w:val="both"/>
        <w:rPr>
          <w:lang w:val="fr-FR"/>
        </w:rPr>
      </w:pPr>
      <w:r w:rsidRPr="00D3264E">
        <w:rPr>
          <w:lang w:val="fr-FR"/>
        </w:rPr>
        <w:t>S</w:t>
      </w:r>
      <w:r w:rsidR="0066758A" w:rsidRPr="00D3264E">
        <w:rPr>
          <w:lang w:val="fr-FR"/>
        </w:rPr>
        <w:t>e doter d’une loi sur la protection des victime</w:t>
      </w:r>
      <w:r w:rsidR="00177E39" w:rsidRPr="00D3264E">
        <w:rPr>
          <w:lang w:val="fr-FR"/>
        </w:rPr>
        <w:t>s</w:t>
      </w:r>
      <w:r w:rsidR="00325724" w:rsidRPr="00D3264E">
        <w:rPr>
          <w:lang w:val="fr-FR"/>
        </w:rPr>
        <w:t xml:space="preserve"> et des témoins</w:t>
      </w:r>
      <w:r w:rsidR="007A05CE" w:rsidRPr="00D3264E">
        <w:rPr>
          <w:lang w:val="fr-FR"/>
        </w:rPr>
        <w:t xml:space="preserve">, </w:t>
      </w:r>
      <w:r w:rsidRPr="00D3264E">
        <w:rPr>
          <w:lang w:val="fr-FR"/>
        </w:rPr>
        <w:t xml:space="preserve">et </w:t>
      </w:r>
      <w:r w:rsidR="007A05CE" w:rsidRPr="00D3264E">
        <w:rPr>
          <w:lang w:val="fr-FR"/>
        </w:rPr>
        <w:t>veiller à la mise en place d’un programme spécifique de protection des victimes</w:t>
      </w:r>
      <w:r w:rsidR="00177E39" w:rsidRPr="00D3264E">
        <w:rPr>
          <w:lang w:val="fr-FR"/>
        </w:rPr>
        <w:t xml:space="preserve">, notamment mineures, </w:t>
      </w:r>
      <w:r w:rsidR="007A05CE" w:rsidRPr="00D3264E">
        <w:rPr>
          <w:lang w:val="fr-FR"/>
        </w:rPr>
        <w:t>et témoins</w:t>
      </w:r>
      <w:r w:rsidRPr="00D3264E">
        <w:rPr>
          <w:lang w:val="fr-FR"/>
        </w:rPr>
        <w:t xml:space="preserve"> ; </w:t>
      </w:r>
      <w:r w:rsidR="007A05CE" w:rsidRPr="00D3264E">
        <w:rPr>
          <w:lang w:val="fr-FR"/>
        </w:rPr>
        <w:t xml:space="preserve"> </w:t>
      </w:r>
      <w:r w:rsidR="00D35D37" w:rsidRPr="00D3264E">
        <w:rPr>
          <w:lang w:val="fr-FR"/>
        </w:rPr>
        <w:t>assurer la confidentialité</w:t>
      </w:r>
      <w:r w:rsidR="007A05CE" w:rsidRPr="00D3264E">
        <w:rPr>
          <w:lang w:val="fr-FR"/>
        </w:rPr>
        <w:t xml:space="preserve"> de la procédure judiciaire</w:t>
      </w:r>
      <w:r w:rsidRPr="00D3264E">
        <w:rPr>
          <w:lang w:val="fr-FR"/>
        </w:rPr>
        <w:t>,</w:t>
      </w:r>
      <w:r w:rsidR="007A05CE" w:rsidRPr="00D3264E">
        <w:rPr>
          <w:lang w:val="fr-FR"/>
        </w:rPr>
        <w:t xml:space="preserve"> notamment en optant pour des</w:t>
      </w:r>
      <w:r w:rsidR="00D35D37" w:rsidRPr="00D3264E">
        <w:rPr>
          <w:lang w:val="fr-FR"/>
        </w:rPr>
        <w:t xml:space="preserve"> séances à</w:t>
      </w:r>
      <w:r w:rsidR="007A05CE" w:rsidRPr="00D3264E">
        <w:rPr>
          <w:lang w:val="fr-FR"/>
        </w:rPr>
        <w:t xml:space="preserve"> huis-clos, particulièrement </w:t>
      </w:r>
      <w:r w:rsidRPr="00D3264E">
        <w:rPr>
          <w:lang w:val="fr-FR"/>
        </w:rPr>
        <w:t>lorsque des</w:t>
      </w:r>
      <w:r w:rsidR="007A05CE" w:rsidRPr="00D3264E">
        <w:rPr>
          <w:lang w:val="fr-FR"/>
        </w:rPr>
        <w:t xml:space="preserve"> </w:t>
      </w:r>
      <w:r w:rsidR="00154834" w:rsidRPr="00D3264E">
        <w:rPr>
          <w:lang w:val="fr-FR"/>
        </w:rPr>
        <w:t>enfant</w:t>
      </w:r>
      <w:r w:rsidR="007A05CE" w:rsidRPr="00D3264E">
        <w:rPr>
          <w:lang w:val="fr-FR"/>
        </w:rPr>
        <w:t>s sont impliqués</w:t>
      </w:r>
      <w:r w:rsidR="0066758A" w:rsidRPr="00D3264E">
        <w:rPr>
          <w:lang w:val="fr-FR"/>
        </w:rPr>
        <w:t>;</w:t>
      </w:r>
    </w:p>
    <w:p w:rsidR="00732E43" w:rsidRPr="00D3264E" w:rsidRDefault="00732E43" w:rsidP="00097245">
      <w:pPr>
        <w:jc w:val="both"/>
        <w:rPr>
          <w:lang w:val="fr-FR"/>
        </w:rPr>
      </w:pPr>
    </w:p>
    <w:p w:rsidR="00221875" w:rsidRPr="00D3264E" w:rsidRDefault="00C24717" w:rsidP="00097245">
      <w:pPr>
        <w:pStyle w:val="ListParagraph"/>
        <w:numPr>
          <w:ilvl w:val="0"/>
          <w:numId w:val="2"/>
        </w:numPr>
        <w:jc w:val="both"/>
        <w:rPr>
          <w:lang w:val="fr-FR"/>
        </w:rPr>
      </w:pPr>
      <w:r w:rsidRPr="00D3264E">
        <w:rPr>
          <w:lang w:val="fr-FR"/>
        </w:rPr>
        <w:t>L</w:t>
      </w:r>
      <w:r w:rsidR="00732E43" w:rsidRPr="00D3264E">
        <w:rPr>
          <w:lang w:val="fr-FR"/>
        </w:rPr>
        <w:t xml:space="preserve">égiférer pour la création d’un fonds d’indemnisation et de réparation </w:t>
      </w:r>
      <w:r w:rsidRPr="00D3264E">
        <w:rPr>
          <w:lang w:val="fr-FR"/>
        </w:rPr>
        <w:t xml:space="preserve">pour les </w:t>
      </w:r>
      <w:r w:rsidR="00732E43" w:rsidRPr="00D3264E">
        <w:rPr>
          <w:lang w:val="fr-FR"/>
        </w:rPr>
        <w:t>victime</w:t>
      </w:r>
      <w:r w:rsidR="00F74051" w:rsidRPr="00D3264E">
        <w:rPr>
          <w:lang w:val="fr-FR"/>
        </w:rPr>
        <w:t>s</w:t>
      </w:r>
      <w:r w:rsidRPr="00D3264E">
        <w:rPr>
          <w:lang w:val="fr-FR"/>
        </w:rPr>
        <w:t>;</w:t>
      </w:r>
      <w:r w:rsidR="00732E43" w:rsidRPr="00D3264E">
        <w:rPr>
          <w:lang w:val="fr-FR"/>
        </w:rPr>
        <w:t xml:space="preserve"> </w:t>
      </w:r>
    </w:p>
    <w:p w:rsidR="004B7583" w:rsidRPr="00D3264E" w:rsidRDefault="004B7583" w:rsidP="00097245">
      <w:pPr>
        <w:ind w:left="90"/>
        <w:jc w:val="both"/>
        <w:rPr>
          <w:lang w:val="fr-FR"/>
        </w:rPr>
      </w:pPr>
    </w:p>
    <w:p w:rsidR="00DE1345" w:rsidRPr="00D3264E" w:rsidRDefault="00C24717" w:rsidP="00097245">
      <w:pPr>
        <w:pStyle w:val="ListParagraph"/>
        <w:numPr>
          <w:ilvl w:val="0"/>
          <w:numId w:val="2"/>
        </w:numPr>
        <w:jc w:val="both"/>
        <w:rPr>
          <w:lang w:val="fr-FR"/>
        </w:rPr>
      </w:pPr>
      <w:r w:rsidRPr="00D3264E">
        <w:rPr>
          <w:lang w:val="fr-FR"/>
        </w:rPr>
        <w:t>L</w:t>
      </w:r>
      <w:r w:rsidR="00221875" w:rsidRPr="00D3264E">
        <w:rPr>
          <w:lang w:val="fr-FR"/>
        </w:rPr>
        <w:t>égiférer</w:t>
      </w:r>
      <w:r w:rsidR="00324F9D" w:rsidRPr="00D3264E">
        <w:rPr>
          <w:lang w:val="fr-FR"/>
        </w:rPr>
        <w:t xml:space="preserve"> et prendre les mesures nécessaires</w:t>
      </w:r>
      <w:r w:rsidR="00221875" w:rsidRPr="00D3264E">
        <w:rPr>
          <w:lang w:val="fr-FR"/>
        </w:rPr>
        <w:t xml:space="preserve"> pour la gratuité du certificat médical pour les victimes de viol</w:t>
      </w:r>
      <w:r w:rsidR="00FF47A3" w:rsidRPr="00D3264E">
        <w:rPr>
          <w:lang w:val="fr-FR"/>
        </w:rPr>
        <w:t>ences sexuelles</w:t>
      </w:r>
      <w:r w:rsidR="00221875" w:rsidRPr="00D3264E">
        <w:rPr>
          <w:lang w:val="fr-FR"/>
        </w:rPr>
        <w:t xml:space="preserve">, </w:t>
      </w:r>
      <w:r w:rsidR="00141B63" w:rsidRPr="00D3264E">
        <w:rPr>
          <w:lang w:val="fr-FR"/>
        </w:rPr>
        <w:t xml:space="preserve">et </w:t>
      </w:r>
      <w:r w:rsidR="00221875" w:rsidRPr="00D3264E">
        <w:rPr>
          <w:lang w:val="fr-FR"/>
        </w:rPr>
        <w:t>veiller à l’application effective de la Circulaire n°005 du 18 mars 2014</w:t>
      </w:r>
      <w:r w:rsidR="00FF47A3" w:rsidRPr="00D3264E">
        <w:rPr>
          <w:lang w:val="fr-FR"/>
        </w:rPr>
        <w:t>;</w:t>
      </w:r>
    </w:p>
    <w:p w:rsidR="006F2E87" w:rsidRPr="00D3264E" w:rsidRDefault="006F2E87" w:rsidP="00097245">
      <w:pPr>
        <w:jc w:val="both"/>
        <w:rPr>
          <w:lang w:val="fr-FR"/>
        </w:rPr>
      </w:pPr>
    </w:p>
    <w:p w:rsidR="00221875" w:rsidRPr="00D3264E" w:rsidRDefault="00C24717" w:rsidP="00097245">
      <w:pPr>
        <w:pStyle w:val="ListParagraph"/>
        <w:numPr>
          <w:ilvl w:val="0"/>
          <w:numId w:val="18"/>
        </w:numPr>
        <w:jc w:val="both"/>
        <w:rPr>
          <w:u w:val="single"/>
          <w:lang w:val="fr-FR"/>
        </w:rPr>
      </w:pPr>
      <w:r w:rsidRPr="00D3264E">
        <w:rPr>
          <w:u w:val="single"/>
          <w:lang w:val="fr-FR"/>
        </w:rPr>
        <w:t>R</w:t>
      </w:r>
      <w:r w:rsidR="00F43C3F" w:rsidRPr="00D3264E">
        <w:rPr>
          <w:u w:val="single"/>
          <w:lang w:val="fr-FR"/>
        </w:rPr>
        <w:t>enforcement des capacités</w:t>
      </w:r>
      <w:r w:rsidR="00F43C3F" w:rsidRPr="00D3264E">
        <w:rPr>
          <w:lang w:val="fr-FR"/>
        </w:rPr>
        <w:t>:</w:t>
      </w:r>
    </w:p>
    <w:p w:rsidR="00221875" w:rsidRPr="00D3264E" w:rsidRDefault="00221875" w:rsidP="00097245">
      <w:pPr>
        <w:pStyle w:val="ListParagraph"/>
        <w:jc w:val="both"/>
        <w:rPr>
          <w:lang w:val="fr-FR"/>
        </w:rPr>
      </w:pPr>
    </w:p>
    <w:p w:rsidR="00221875" w:rsidRPr="00D3264E" w:rsidRDefault="00C24717" w:rsidP="00097245">
      <w:pPr>
        <w:pStyle w:val="ListParagraph"/>
        <w:numPr>
          <w:ilvl w:val="0"/>
          <w:numId w:val="2"/>
        </w:numPr>
        <w:jc w:val="both"/>
        <w:rPr>
          <w:lang w:val="fr-FR"/>
        </w:rPr>
      </w:pPr>
      <w:r w:rsidRPr="00D3264E">
        <w:rPr>
          <w:lang w:val="fr-FR"/>
        </w:rPr>
        <w:t>P</w:t>
      </w:r>
      <w:r w:rsidR="00A55E1F" w:rsidRPr="00D3264E">
        <w:rPr>
          <w:lang w:val="fr-FR"/>
        </w:rPr>
        <w:t xml:space="preserve">oursuivre la nomination et </w:t>
      </w:r>
      <w:r w:rsidR="003E6C64" w:rsidRPr="00D3264E">
        <w:rPr>
          <w:lang w:val="fr-FR"/>
        </w:rPr>
        <w:t xml:space="preserve">la </w:t>
      </w:r>
      <w:r w:rsidR="00A55E1F" w:rsidRPr="00D3264E">
        <w:rPr>
          <w:lang w:val="fr-FR"/>
        </w:rPr>
        <w:t xml:space="preserve">formation </w:t>
      </w:r>
      <w:r w:rsidR="00221875" w:rsidRPr="00D3264E">
        <w:rPr>
          <w:lang w:val="fr-FR"/>
        </w:rPr>
        <w:t>de points focaux sur les questions des droits des femmes et des enfants au sein des commissariats de police et des brigades de gendarmerie</w:t>
      </w:r>
      <w:r w:rsidR="00A55E1F" w:rsidRPr="00D3264E">
        <w:rPr>
          <w:lang w:val="fr-FR"/>
        </w:rPr>
        <w:t xml:space="preserve">, ainsi que </w:t>
      </w:r>
      <w:r w:rsidR="00221875" w:rsidRPr="00D3264E">
        <w:rPr>
          <w:lang w:val="fr-FR"/>
        </w:rPr>
        <w:t>d</w:t>
      </w:r>
      <w:r w:rsidR="00A55E1F" w:rsidRPr="00D3264E">
        <w:rPr>
          <w:lang w:val="fr-FR"/>
        </w:rPr>
        <w:t>’</w:t>
      </w:r>
      <w:r w:rsidR="00221875" w:rsidRPr="00D3264E">
        <w:rPr>
          <w:lang w:val="fr-FR"/>
        </w:rPr>
        <w:t>agents d’application des lois, y compris des auxiliaires de</w:t>
      </w:r>
      <w:r w:rsidR="00105A0E" w:rsidRPr="00D3264E">
        <w:rPr>
          <w:lang w:val="fr-FR"/>
        </w:rPr>
        <w:t xml:space="preserve"> la</w:t>
      </w:r>
      <w:r w:rsidR="00221875" w:rsidRPr="00D3264E">
        <w:rPr>
          <w:lang w:val="fr-FR"/>
        </w:rPr>
        <w:t xml:space="preserve"> justice, sur les violences sexuelles;</w:t>
      </w:r>
    </w:p>
    <w:p w:rsidR="00E50A5D" w:rsidRPr="00D3264E" w:rsidRDefault="00E50A5D" w:rsidP="00097245">
      <w:pPr>
        <w:jc w:val="both"/>
        <w:rPr>
          <w:lang w:val="fr-FR"/>
        </w:rPr>
      </w:pPr>
    </w:p>
    <w:p w:rsidR="00DD348B" w:rsidRPr="00D3264E" w:rsidRDefault="00C24717" w:rsidP="00097245">
      <w:pPr>
        <w:pStyle w:val="ListParagraph"/>
        <w:numPr>
          <w:ilvl w:val="0"/>
          <w:numId w:val="2"/>
        </w:numPr>
        <w:jc w:val="both"/>
        <w:rPr>
          <w:lang w:val="fr-FR"/>
        </w:rPr>
      </w:pPr>
      <w:r w:rsidRPr="00D3264E">
        <w:rPr>
          <w:lang w:val="fr-FR"/>
        </w:rPr>
        <w:t>O</w:t>
      </w:r>
      <w:r w:rsidR="00713264" w:rsidRPr="00D3264E">
        <w:rPr>
          <w:lang w:val="fr-FR"/>
        </w:rPr>
        <w:t>r</w:t>
      </w:r>
      <w:r w:rsidR="005002F0" w:rsidRPr="00D3264E">
        <w:rPr>
          <w:lang w:val="fr-FR"/>
        </w:rPr>
        <w:t>ganiser et intensifier l</w:t>
      </w:r>
      <w:r w:rsidR="006C5DC4" w:rsidRPr="00D3264E">
        <w:rPr>
          <w:lang w:val="fr-FR"/>
        </w:rPr>
        <w:t>es campagnes nationales d</w:t>
      </w:r>
      <w:r w:rsidR="00170475" w:rsidRPr="00D3264E">
        <w:rPr>
          <w:lang w:val="fr-FR"/>
        </w:rPr>
        <w:t>’information</w:t>
      </w:r>
      <w:r w:rsidR="00C02ED4" w:rsidRPr="00D3264E">
        <w:rPr>
          <w:lang w:val="fr-FR"/>
        </w:rPr>
        <w:t xml:space="preserve"> et</w:t>
      </w:r>
      <w:r w:rsidR="00170475" w:rsidRPr="00D3264E">
        <w:rPr>
          <w:lang w:val="fr-FR"/>
        </w:rPr>
        <w:t xml:space="preserve"> d</w:t>
      </w:r>
      <w:r w:rsidR="006C5DC4" w:rsidRPr="00D3264E">
        <w:rPr>
          <w:lang w:val="fr-FR"/>
        </w:rPr>
        <w:t xml:space="preserve">e </w:t>
      </w:r>
      <w:r w:rsidR="002E1FB9" w:rsidRPr="00D3264E">
        <w:rPr>
          <w:lang w:val="fr-FR"/>
        </w:rPr>
        <w:t>sensibilisation</w:t>
      </w:r>
      <w:r w:rsidR="00C02ED4" w:rsidRPr="00D3264E">
        <w:rPr>
          <w:lang w:val="fr-FR"/>
        </w:rPr>
        <w:t>,</w:t>
      </w:r>
      <w:r w:rsidR="002E1FB9" w:rsidRPr="00D3264E">
        <w:rPr>
          <w:lang w:val="fr-FR"/>
        </w:rPr>
        <w:t xml:space="preserve"> </w:t>
      </w:r>
      <w:r w:rsidR="00B845F8" w:rsidRPr="00D3264E">
        <w:rPr>
          <w:lang w:val="fr-FR"/>
        </w:rPr>
        <w:t xml:space="preserve">y compris sur </w:t>
      </w:r>
      <w:r w:rsidR="00BB273B" w:rsidRPr="00D3264E">
        <w:rPr>
          <w:lang w:val="fr-FR"/>
        </w:rPr>
        <w:t>la prévention et la réponse aux cas de viol</w:t>
      </w:r>
      <w:r w:rsidR="00B845F8" w:rsidRPr="00D3264E">
        <w:rPr>
          <w:lang w:val="fr-FR"/>
        </w:rPr>
        <w:t>, en particulier d’</w:t>
      </w:r>
      <w:r w:rsidR="00154834" w:rsidRPr="00D3264E">
        <w:rPr>
          <w:lang w:val="fr-FR"/>
        </w:rPr>
        <w:t>enfants</w:t>
      </w:r>
      <w:r w:rsidR="004462C6" w:rsidRPr="00D3264E">
        <w:rPr>
          <w:lang w:val="fr-FR"/>
        </w:rPr>
        <w:t>,</w:t>
      </w:r>
      <w:r w:rsidR="002B3530" w:rsidRPr="00D3264E">
        <w:rPr>
          <w:lang w:val="fr-FR"/>
        </w:rPr>
        <w:t xml:space="preserve"> </w:t>
      </w:r>
      <w:r w:rsidR="002E1FB9" w:rsidRPr="00D3264E">
        <w:rPr>
          <w:lang w:val="fr-FR"/>
        </w:rPr>
        <w:t>surtout en milieu rural</w:t>
      </w:r>
      <w:r w:rsidR="00C02ED4" w:rsidRPr="00D3264E">
        <w:rPr>
          <w:lang w:val="fr-FR"/>
        </w:rPr>
        <w:t xml:space="preserve"> ; </w:t>
      </w:r>
      <w:r w:rsidR="0053370B" w:rsidRPr="00D3264E">
        <w:rPr>
          <w:lang w:val="fr-FR"/>
        </w:rPr>
        <w:t xml:space="preserve">engager les </w:t>
      </w:r>
      <w:r w:rsidR="0053370B" w:rsidRPr="00D3264E">
        <w:rPr>
          <w:i/>
          <w:lang w:val="fr-FR"/>
        </w:rPr>
        <w:t>leaders</w:t>
      </w:r>
      <w:r w:rsidR="0053370B" w:rsidRPr="00D3264E">
        <w:rPr>
          <w:lang w:val="fr-FR"/>
        </w:rPr>
        <w:t xml:space="preserve"> communautaires </w:t>
      </w:r>
      <w:r w:rsidR="00905888" w:rsidRPr="00D3264E">
        <w:rPr>
          <w:lang w:val="fr-FR"/>
        </w:rPr>
        <w:t xml:space="preserve">et les préfets </w:t>
      </w:r>
      <w:r w:rsidR="0053370B" w:rsidRPr="00D3264E">
        <w:rPr>
          <w:lang w:val="fr-FR"/>
        </w:rPr>
        <w:t xml:space="preserve">dans la lutte contre les </w:t>
      </w:r>
      <w:r w:rsidR="00B83A47" w:rsidRPr="00D3264E">
        <w:rPr>
          <w:lang w:val="fr-FR"/>
        </w:rPr>
        <w:t>crimes de viol</w:t>
      </w:r>
      <w:r w:rsidR="0053370B" w:rsidRPr="00D3264E">
        <w:rPr>
          <w:lang w:val="fr-FR"/>
        </w:rPr>
        <w:t xml:space="preserve"> afin de proscrire les règlements à l’amiable et de sanctionner ceux qui s'investiraient</w:t>
      </w:r>
      <w:r w:rsidR="00105A0E" w:rsidRPr="00D3264E">
        <w:rPr>
          <w:lang w:val="fr-FR"/>
        </w:rPr>
        <w:t xml:space="preserve"> dans cette pratique</w:t>
      </w:r>
      <w:r w:rsidR="00105A0E" w:rsidRPr="00D3264E">
        <w:rPr>
          <w:rFonts w:eastAsia="Calibri"/>
          <w:lang w:val="fr-FR"/>
        </w:rPr>
        <w:t>;</w:t>
      </w:r>
    </w:p>
    <w:p w:rsidR="00221875" w:rsidRPr="00D3264E" w:rsidRDefault="00221875" w:rsidP="00097245">
      <w:pPr>
        <w:pStyle w:val="ListParagraph"/>
        <w:jc w:val="both"/>
        <w:rPr>
          <w:lang w:val="fr-FR"/>
        </w:rPr>
      </w:pPr>
    </w:p>
    <w:p w:rsidR="00FF47A3" w:rsidRPr="00D3264E" w:rsidRDefault="00C24717" w:rsidP="00097245">
      <w:pPr>
        <w:pStyle w:val="ListParagraph"/>
        <w:numPr>
          <w:ilvl w:val="0"/>
          <w:numId w:val="2"/>
        </w:numPr>
        <w:jc w:val="both"/>
        <w:rPr>
          <w:lang w:val="fr-FR"/>
        </w:rPr>
      </w:pPr>
      <w:r w:rsidRPr="00D3264E">
        <w:rPr>
          <w:lang w:val="fr-FR"/>
        </w:rPr>
        <w:t>S</w:t>
      </w:r>
      <w:r w:rsidR="00221875" w:rsidRPr="00D3264E">
        <w:rPr>
          <w:lang w:val="fr-FR"/>
        </w:rPr>
        <w:t xml:space="preserve">’assurer qu’au cours de la formation initiale de base et de la formation continue, les agents des forces de sécurité et le personnel judiciaire </w:t>
      </w:r>
      <w:r w:rsidR="007033BF" w:rsidRPr="00D3264E">
        <w:rPr>
          <w:lang w:val="fr-FR"/>
        </w:rPr>
        <w:t>reçoivent</w:t>
      </w:r>
      <w:r w:rsidR="00221875" w:rsidRPr="00D3264E">
        <w:rPr>
          <w:lang w:val="fr-FR"/>
        </w:rPr>
        <w:t xml:space="preserve"> des formations de qualité permettant l’acquisition de compétences en </w:t>
      </w:r>
      <w:r w:rsidR="007033BF" w:rsidRPr="00D3264E">
        <w:rPr>
          <w:lang w:val="fr-FR"/>
        </w:rPr>
        <w:t>matière</w:t>
      </w:r>
      <w:r w:rsidR="00221875" w:rsidRPr="00D3264E">
        <w:rPr>
          <w:lang w:val="fr-FR"/>
        </w:rPr>
        <w:t xml:space="preserve"> de prévention et </w:t>
      </w:r>
      <w:r w:rsidR="009A24D9" w:rsidRPr="00D3264E">
        <w:rPr>
          <w:lang w:val="fr-FR"/>
        </w:rPr>
        <w:t xml:space="preserve">de </w:t>
      </w:r>
      <w:r w:rsidR="00221875" w:rsidRPr="00D3264E">
        <w:rPr>
          <w:lang w:val="fr-FR"/>
        </w:rPr>
        <w:t>réponse au</w:t>
      </w:r>
      <w:r w:rsidR="007A766A" w:rsidRPr="00D3264E">
        <w:rPr>
          <w:lang w:val="fr-FR"/>
        </w:rPr>
        <w:t xml:space="preserve">x violences sexuelles, notamment à l’encontre </w:t>
      </w:r>
      <w:r w:rsidR="00221875" w:rsidRPr="00D3264E">
        <w:rPr>
          <w:lang w:val="fr-FR"/>
        </w:rPr>
        <w:t>des enfants;</w:t>
      </w:r>
    </w:p>
    <w:p w:rsidR="00670A68" w:rsidRPr="00D3264E" w:rsidRDefault="00670A68" w:rsidP="00097245">
      <w:pPr>
        <w:jc w:val="both"/>
        <w:rPr>
          <w:lang w:val="fr-FR"/>
        </w:rPr>
      </w:pPr>
    </w:p>
    <w:p w:rsidR="007A766A" w:rsidRPr="00D3264E" w:rsidRDefault="00C24717" w:rsidP="00097245">
      <w:pPr>
        <w:pStyle w:val="ListParagraph"/>
        <w:numPr>
          <w:ilvl w:val="0"/>
          <w:numId w:val="18"/>
        </w:numPr>
        <w:jc w:val="both"/>
        <w:rPr>
          <w:lang w:val="fr-FR"/>
        </w:rPr>
      </w:pPr>
      <w:r w:rsidRPr="00D3264E">
        <w:rPr>
          <w:u w:val="single"/>
          <w:lang w:val="fr-FR"/>
        </w:rPr>
        <w:t>V</w:t>
      </w:r>
      <w:r w:rsidR="007A766A" w:rsidRPr="00D3264E">
        <w:rPr>
          <w:u w:val="single"/>
          <w:lang w:val="fr-FR"/>
        </w:rPr>
        <w:t>iolences sexuelles liées au conflit</w:t>
      </w:r>
      <w:r w:rsidR="007A766A" w:rsidRPr="00D3264E">
        <w:rPr>
          <w:lang w:val="fr-FR"/>
        </w:rPr>
        <w:t>:</w:t>
      </w:r>
    </w:p>
    <w:p w:rsidR="007A766A" w:rsidRPr="00D3264E" w:rsidRDefault="007A766A" w:rsidP="00097245">
      <w:pPr>
        <w:pStyle w:val="ListParagraph"/>
        <w:jc w:val="both"/>
        <w:rPr>
          <w:lang w:val="fr-FR"/>
        </w:rPr>
      </w:pPr>
    </w:p>
    <w:p w:rsidR="004A5EE3" w:rsidRPr="00D3264E" w:rsidRDefault="00C24717" w:rsidP="00097245">
      <w:pPr>
        <w:numPr>
          <w:ilvl w:val="0"/>
          <w:numId w:val="2"/>
        </w:numPr>
        <w:contextualSpacing/>
        <w:jc w:val="both"/>
        <w:rPr>
          <w:rFonts w:eastAsia="MS Mincho"/>
          <w:lang w:val="fr-FR"/>
        </w:rPr>
      </w:pPr>
      <w:r w:rsidRPr="00D3264E">
        <w:rPr>
          <w:rFonts w:eastAsia="MS Mincho"/>
          <w:lang w:val="fr-FR"/>
        </w:rPr>
        <w:t>N</w:t>
      </w:r>
      <w:r w:rsidR="004A5EE3" w:rsidRPr="00D3264E">
        <w:rPr>
          <w:rFonts w:eastAsia="MS Mincho"/>
          <w:lang w:val="fr-FR"/>
        </w:rPr>
        <w:t xml:space="preserve">ommer un représentant de haut niveau chargé de la problématique des violences sexuelles liées au conflit </w:t>
      </w:r>
      <w:r w:rsidRPr="00D3264E">
        <w:rPr>
          <w:rFonts w:eastAsia="MS Mincho"/>
          <w:lang w:val="fr-FR"/>
        </w:rPr>
        <w:t>afin d’</w:t>
      </w:r>
      <w:r w:rsidR="007613FD" w:rsidRPr="00D3264E">
        <w:rPr>
          <w:rFonts w:eastAsia="MS Mincho"/>
          <w:lang w:val="fr-FR"/>
        </w:rPr>
        <w:t>institutionnaliser</w:t>
      </w:r>
      <w:r w:rsidR="004A5EE3" w:rsidRPr="00D3264E">
        <w:rPr>
          <w:rFonts w:eastAsia="MS Mincho"/>
          <w:lang w:val="fr-FR"/>
        </w:rPr>
        <w:t xml:space="preserve"> l’engagement et la volonté politique de la Côte d’Ivoire </w:t>
      </w:r>
      <w:r w:rsidRPr="00D3264E">
        <w:rPr>
          <w:rFonts w:eastAsia="MS Mincho"/>
          <w:lang w:val="fr-FR"/>
        </w:rPr>
        <w:t xml:space="preserve">et </w:t>
      </w:r>
      <w:r w:rsidR="004A5EE3" w:rsidRPr="00D3264E">
        <w:rPr>
          <w:rFonts w:eastAsia="MS Mincho"/>
          <w:lang w:val="fr-FR"/>
        </w:rPr>
        <w:t>de coordonner les actions de l’Etat dans ce domaine</w:t>
      </w:r>
      <w:r w:rsidRPr="00D3264E">
        <w:rPr>
          <w:rFonts w:eastAsia="MS Mincho"/>
          <w:lang w:val="fr-FR"/>
        </w:rPr>
        <w:t xml:space="preserve">, notamment pour </w:t>
      </w:r>
      <w:r w:rsidR="004A5EE3" w:rsidRPr="00D3264E">
        <w:rPr>
          <w:rFonts w:eastAsia="MS Mincho"/>
          <w:lang w:val="fr-FR"/>
        </w:rPr>
        <w:t xml:space="preserve">assurer la </w:t>
      </w:r>
      <w:r w:rsidR="004A5EE3" w:rsidRPr="00D3264E">
        <w:rPr>
          <w:rFonts w:eastAsia="MS Mincho"/>
          <w:lang w:val="fr-FR"/>
        </w:rPr>
        <w:lastRenderedPageBreak/>
        <w:t>mise en œuvre du Plan d’action des forces de défense et de sécurité sur la prévention et la réponse à la violence sexuelle liée aux conflits;</w:t>
      </w:r>
    </w:p>
    <w:p w:rsidR="004A5EE3" w:rsidRPr="00D3264E" w:rsidRDefault="004A5EE3" w:rsidP="00097245">
      <w:pPr>
        <w:ind w:left="90"/>
        <w:jc w:val="both"/>
        <w:rPr>
          <w:rFonts w:eastAsia="MS Mincho"/>
          <w:lang w:val="fr-FR"/>
        </w:rPr>
      </w:pPr>
    </w:p>
    <w:p w:rsidR="004A5EE3" w:rsidRPr="00D3264E" w:rsidRDefault="00C24717" w:rsidP="00097245">
      <w:pPr>
        <w:numPr>
          <w:ilvl w:val="0"/>
          <w:numId w:val="2"/>
        </w:numPr>
        <w:contextualSpacing/>
        <w:jc w:val="both"/>
        <w:rPr>
          <w:rFonts w:eastAsia="MS Mincho"/>
          <w:lang w:val="fr-FR"/>
        </w:rPr>
      </w:pPr>
      <w:r w:rsidRPr="00D3264E">
        <w:rPr>
          <w:rFonts w:eastAsia="MS Mincho"/>
          <w:lang w:val="fr-FR"/>
        </w:rPr>
        <w:t>P</w:t>
      </w:r>
      <w:r w:rsidR="004A5EE3" w:rsidRPr="00D3264E">
        <w:rPr>
          <w:rFonts w:eastAsia="MS Mincho"/>
          <w:lang w:val="fr-FR"/>
        </w:rPr>
        <w:t>oursuivre la coopération avec ses partenaires, notamment</w:t>
      </w:r>
      <w:r w:rsidR="00B845F8" w:rsidRPr="00D3264E">
        <w:rPr>
          <w:lang w:val="fr-FR"/>
        </w:rPr>
        <w:t xml:space="preserve"> l’Equipe d’experts de l’état de droit et des questions touchant la violence sexuelle liée aux conflits</w:t>
      </w:r>
      <w:r w:rsidR="00F24E3B" w:rsidRPr="00D3264E">
        <w:rPr>
          <w:lang w:val="fr-FR"/>
        </w:rPr>
        <w:t xml:space="preserve"> au sein du Bureau de la Représentante spéciale du Secrétaire général des Nations Unies chargée de la question des violences sexuelles en conflit</w:t>
      </w:r>
      <w:r w:rsidR="00B845F8" w:rsidRPr="00D3264E">
        <w:rPr>
          <w:rFonts w:eastAsia="MS Mincho"/>
          <w:lang w:val="fr-FR"/>
        </w:rPr>
        <w:t xml:space="preserve">, </w:t>
      </w:r>
      <w:r w:rsidR="004A5EE3" w:rsidRPr="00D3264E">
        <w:rPr>
          <w:rFonts w:eastAsia="MS Mincho"/>
          <w:lang w:val="fr-FR"/>
        </w:rPr>
        <w:t>en vue de faciliter l’assistance technique aux institutions nationales dans le cadre du renforcement de leurs capacités pour mieux lutter contre les violences sexuelles;</w:t>
      </w:r>
    </w:p>
    <w:p w:rsidR="004A5EE3" w:rsidRPr="00D3264E" w:rsidRDefault="004A5EE3" w:rsidP="00097245">
      <w:pPr>
        <w:jc w:val="both"/>
        <w:rPr>
          <w:rFonts w:eastAsia="MS Mincho"/>
          <w:lang w:val="fr-FR"/>
        </w:rPr>
      </w:pPr>
    </w:p>
    <w:p w:rsidR="00CA6126" w:rsidRPr="00D3264E" w:rsidRDefault="00C24717" w:rsidP="00097245">
      <w:pPr>
        <w:numPr>
          <w:ilvl w:val="0"/>
          <w:numId w:val="2"/>
        </w:numPr>
        <w:contextualSpacing/>
        <w:jc w:val="both"/>
        <w:rPr>
          <w:rFonts w:eastAsia="MS Mincho"/>
          <w:lang w:val="fr-FR"/>
        </w:rPr>
      </w:pPr>
      <w:r w:rsidRPr="00D3264E">
        <w:rPr>
          <w:rFonts w:eastAsia="MS Mincho"/>
          <w:lang w:val="fr-FR"/>
        </w:rPr>
        <w:t>A</w:t>
      </w:r>
      <w:r w:rsidR="004A5EE3" w:rsidRPr="00D3264E">
        <w:rPr>
          <w:rFonts w:eastAsia="MS Mincho"/>
          <w:lang w:val="fr-FR"/>
        </w:rPr>
        <w:t>llouer les ressources adéquates pour la mise en œuvre de toutes les initiatives en cours et des divers engagements pris par la Côte d’Ivoire dans le cadre de la lutte contre les violences sexuelles;</w:t>
      </w:r>
    </w:p>
    <w:p w:rsidR="004A5EE3" w:rsidRPr="00D3264E" w:rsidRDefault="004A5EE3" w:rsidP="00097245">
      <w:pPr>
        <w:jc w:val="both"/>
        <w:rPr>
          <w:lang w:val="fr-FR"/>
        </w:rPr>
      </w:pPr>
    </w:p>
    <w:p w:rsidR="006C5DC4" w:rsidRPr="00D3264E" w:rsidRDefault="006C5DC4" w:rsidP="00097245">
      <w:pPr>
        <w:pStyle w:val="Heading2"/>
        <w:spacing w:before="0"/>
        <w:jc w:val="both"/>
        <w:rPr>
          <w:rFonts w:ascii="Times New Roman" w:hAnsi="Times New Roman"/>
          <w:i/>
          <w:color w:val="auto"/>
          <w:sz w:val="24"/>
          <w:szCs w:val="24"/>
          <w:lang w:val="fr-FR"/>
        </w:rPr>
      </w:pPr>
      <w:bookmarkStart w:id="39" w:name="_Toc455746294"/>
      <w:r w:rsidRPr="00D3264E">
        <w:rPr>
          <w:rFonts w:ascii="Times New Roman" w:hAnsi="Times New Roman"/>
          <w:i/>
          <w:color w:val="auto"/>
          <w:sz w:val="24"/>
          <w:szCs w:val="24"/>
          <w:lang w:val="fr-FR"/>
        </w:rPr>
        <w:t xml:space="preserve">Aux </w:t>
      </w:r>
      <w:r w:rsidR="00E50A5D" w:rsidRPr="00D3264E">
        <w:rPr>
          <w:rFonts w:ascii="Times New Roman" w:hAnsi="Times New Roman"/>
          <w:i/>
          <w:color w:val="auto"/>
          <w:sz w:val="24"/>
          <w:szCs w:val="24"/>
          <w:lang w:val="fr-FR"/>
        </w:rPr>
        <w:t>organisations non gouvernementales</w:t>
      </w:r>
      <w:bookmarkEnd w:id="39"/>
    </w:p>
    <w:p w:rsidR="00B1544C" w:rsidRPr="00D3264E" w:rsidRDefault="00B1544C" w:rsidP="00097245">
      <w:pPr>
        <w:jc w:val="both"/>
        <w:rPr>
          <w:lang w:val="fr-FR"/>
        </w:rPr>
      </w:pPr>
    </w:p>
    <w:p w:rsidR="00B1544C" w:rsidRPr="00D3264E" w:rsidRDefault="00C24717" w:rsidP="00097245">
      <w:pPr>
        <w:pStyle w:val="ListParagraph"/>
        <w:numPr>
          <w:ilvl w:val="0"/>
          <w:numId w:val="4"/>
        </w:numPr>
        <w:jc w:val="both"/>
        <w:rPr>
          <w:lang w:val="fr-FR"/>
        </w:rPr>
      </w:pPr>
      <w:r w:rsidRPr="00D3264E">
        <w:rPr>
          <w:lang w:val="fr-FR"/>
        </w:rPr>
        <w:t>O</w:t>
      </w:r>
      <w:r w:rsidR="00F803B7" w:rsidRPr="00D3264E">
        <w:rPr>
          <w:lang w:val="fr-FR"/>
        </w:rPr>
        <w:t>rganiser et intensifier l</w:t>
      </w:r>
      <w:r w:rsidR="00B1544C" w:rsidRPr="00D3264E">
        <w:rPr>
          <w:lang w:val="fr-FR"/>
        </w:rPr>
        <w:t>es campagnes nationales de lutte contre les viol</w:t>
      </w:r>
      <w:r w:rsidR="00C02ED4" w:rsidRPr="00D3264E">
        <w:rPr>
          <w:lang w:val="fr-FR"/>
        </w:rPr>
        <w:t>ences sexuelles</w:t>
      </w:r>
      <w:r w:rsidR="00170475" w:rsidRPr="00D3264E">
        <w:rPr>
          <w:lang w:val="fr-FR"/>
        </w:rPr>
        <w:t xml:space="preserve">, en particulier </w:t>
      </w:r>
      <w:r w:rsidR="005211B5" w:rsidRPr="00D3264E">
        <w:rPr>
          <w:lang w:val="fr-FR"/>
        </w:rPr>
        <w:t>concernant l</w:t>
      </w:r>
      <w:r w:rsidR="00154834" w:rsidRPr="00D3264E">
        <w:rPr>
          <w:lang w:val="fr-FR"/>
        </w:rPr>
        <w:t>es enfants</w:t>
      </w:r>
      <w:r w:rsidR="00170475" w:rsidRPr="00D3264E">
        <w:rPr>
          <w:lang w:val="fr-FR"/>
        </w:rPr>
        <w:t>,</w:t>
      </w:r>
      <w:r w:rsidR="00B1544C" w:rsidRPr="00D3264E">
        <w:rPr>
          <w:lang w:val="fr-FR"/>
        </w:rPr>
        <w:t xml:space="preserve"> en impliquant activement les </w:t>
      </w:r>
      <w:r w:rsidR="00B1544C" w:rsidRPr="00D3264E">
        <w:rPr>
          <w:i/>
          <w:lang w:val="fr-FR"/>
        </w:rPr>
        <w:t>leaders</w:t>
      </w:r>
      <w:r w:rsidR="00B1544C" w:rsidRPr="00D3264E">
        <w:rPr>
          <w:lang w:val="fr-FR"/>
        </w:rPr>
        <w:t xml:space="preserve"> </w:t>
      </w:r>
      <w:r w:rsidR="00EC52BB" w:rsidRPr="00D3264E">
        <w:rPr>
          <w:lang w:val="fr-FR"/>
        </w:rPr>
        <w:t>communautaires, les agents d’</w:t>
      </w:r>
      <w:r w:rsidR="00B1544C" w:rsidRPr="00D3264E">
        <w:rPr>
          <w:lang w:val="fr-FR"/>
        </w:rPr>
        <w:t>application des lois, les travailleurs sociaux, le personnel de san</w:t>
      </w:r>
      <w:r w:rsidR="002C3F19" w:rsidRPr="00D3264E">
        <w:rPr>
          <w:lang w:val="fr-FR"/>
        </w:rPr>
        <w:t xml:space="preserve">té, </w:t>
      </w:r>
      <w:r w:rsidR="00C02ED4" w:rsidRPr="00D3264E">
        <w:rPr>
          <w:lang w:val="fr-FR"/>
        </w:rPr>
        <w:t xml:space="preserve">les enseignants, </w:t>
      </w:r>
      <w:r w:rsidR="002C3F19" w:rsidRPr="00D3264E">
        <w:rPr>
          <w:lang w:val="fr-FR"/>
        </w:rPr>
        <w:t>les élèves et les étudiants</w:t>
      </w:r>
      <w:r w:rsidR="00B1544C" w:rsidRPr="00D3264E">
        <w:rPr>
          <w:lang w:val="fr-FR"/>
        </w:rPr>
        <w:t>;</w:t>
      </w:r>
    </w:p>
    <w:p w:rsidR="00695ED4" w:rsidRPr="00D3264E" w:rsidRDefault="00695ED4" w:rsidP="00097245">
      <w:pPr>
        <w:pStyle w:val="ListParagraph"/>
        <w:jc w:val="both"/>
        <w:rPr>
          <w:lang w:val="fr-FR"/>
        </w:rPr>
      </w:pPr>
    </w:p>
    <w:p w:rsidR="00695ED4" w:rsidRPr="00D3264E" w:rsidRDefault="005211B5" w:rsidP="00097245">
      <w:pPr>
        <w:pStyle w:val="ListParagraph"/>
        <w:numPr>
          <w:ilvl w:val="0"/>
          <w:numId w:val="4"/>
        </w:numPr>
        <w:jc w:val="both"/>
        <w:rPr>
          <w:lang w:val="fr-FR"/>
        </w:rPr>
      </w:pPr>
      <w:r w:rsidRPr="00D3264E">
        <w:rPr>
          <w:lang w:val="fr-FR"/>
        </w:rPr>
        <w:t>C</w:t>
      </w:r>
      <w:r w:rsidR="00695ED4" w:rsidRPr="00D3264E">
        <w:rPr>
          <w:lang w:val="fr-FR"/>
        </w:rPr>
        <w:t>ontinuer d’</w:t>
      </w:r>
      <w:r w:rsidR="00FF47A3" w:rsidRPr="00D3264E">
        <w:rPr>
          <w:lang w:val="fr-FR"/>
        </w:rPr>
        <w:t>accompagner les victimes de violences sexuelles</w:t>
      </w:r>
      <w:r w:rsidRPr="00D3264E">
        <w:rPr>
          <w:lang w:val="fr-FR"/>
        </w:rPr>
        <w:t xml:space="preserve">, </w:t>
      </w:r>
      <w:r w:rsidR="00695ED4" w:rsidRPr="00D3264E">
        <w:rPr>
          <w:lang w:val="fr-FR"/>
        </w:rPr>
        <w:t xml:space="preserve">notamment </w:t>
      </w:r>
      <w:r w:rsidRPr="00D3264E">
        <w:rPr>
          <w:lang w:val="fr-FR"/>
        </w:rPr>
        <w:t xml:space="preserve">par </w:t>
      </w:r>
      <w:r w:rsidR="00695ED4" w:rsidRPr="00D3264E">
        <w:rPr>
          <w:lang w:val="fr-FR"/>
        </w:rPr>
        <w:t xml:space="preserve">des programmes </w:t>
      </w:r>
      <w:r w:rsidR="00170475" w:rsidRPr="00D3264E">
        <w:rPr>
          <w:lang w:val="fr-FR"/>
        </w:rPr>
        <w:t>d’aide</w:t>
      </w:r>
      <w:r w:rsidR="0054567F" w:rsidRPr="00D3264E">
        <w:rPr>
          <w:lang w:val="fr-FR"/>
        </w:rPr>
        <w:t xml:space="preserve">, </w:t>
      </w:r>
      <w:r w:rsidRPr="00D3264E">
        <w:rPr>
          <w:lang w:val="fr-FR"/>
        </w:rPr>
        <w:t xml:space="preserve">de </w:t>
      </w:r>
      <w:r w:rsidR="0054567F" w:rsidRPr="00D3264E">
        <w:rPr>
          <w:lang w:val="fr-FR"/>
        </w:rPr>
        <w:t>prise en charge</w:t>
      </w:r>
      <w:r w:rsidR="00170475" w:rsidRPr="00D3264E">
        <w:rPr>
          <w:lang w:val="fr-FR"/>
        </w:rPr>
        <w:t xml:space="preserve"> et </w:t>
      </w:r>
      <w:r w:rsidR="00695ED4" w:rsidRPr="00D3264E">
        <w:rPr>
          <w:lang w:val="fr-FR"/>
        </w:rPr>
        <w:t>d’assistance judiciaire;</w:t>
      </w:r>
    </w:p>
    <w:p w:rsidR="006C5DC4" w:rsidRPr="00D3264E" w:rsidRDefault="006C5DC4" w:rsidP="00097245">
      <w:pPr>
        <w:jc w:val="both"/>
        <w:rPr>
          <w:lang w:val="fr-FR"/>
        </w:rPr>
      </w:pPr>
    </w:p>
    <w:p w:rsidR="006C5DC4" w:rsidRPr="00D3264E" w:rsidRDefault="006C5DC4" w:rsidP="00097245">
      <w:pPr>
        <w:pStyle w:val="Heading2"/>
        <w:spacing w:before="0"/>
        <w:jc w:val="both"/>
        <w:rPr>
          <w:rFonts w:ascii="Times New Roman" w:hAnsi="Times New Roman"/>
          <w:i/>
          <w:color w:val="auto"/>
          <w:sz w:val="24"/>
          <w:szCs w:val="24"/>
          <w:lang w:val="fr-FR"/>
        </w:rPr>
      </w:pPr>
      <w:bookmarkStart w:id="40" w:name="_Toc455746295"/>
      <w:r w:rsidRPr="00D3264E">
        <w:rPr>
          <w:rFonts w:ascii="Times New Roman" w:hAnsi="Times New Roman"/>
          <w:i/>
          <w:color w:val="auto"/>
          <w:sz w:val="24"/>
          <w:szCs w:val="24"/>
          <w:lang w:val="fr-FR"/>
        </w:rPr>
        <w:t xml:space="preserve">A la </w:t>
      </w:r>
      <w:r w:rsidR="005211B5" w:rsidRPr="00D3264E">
        <w:rPr>
          <w:rFonts w:ascii="Times New Roman" w:hAnsi="Times New Roman"/>
          <w:i/>
          <w:color w:val="auto"/>
          <w:sz w:val="24"/>
          <w:szCs w:val="24"/>
          <w:lang w:val="fr-FR"/>
        </w:rPr>
        <w:t>c</w:t>
      </w:r>
      <w:r w:rsidRPr="00D3264E">
        <w:rPr>
          <w:rFonts w:ascii="Times New Roman" w:hAnsi="Times New Roman"/>
          <w:i/>
          <w:color w:val="auto"/>
          <w:sz w:val="24"/>
          <w:szCs w:val="24"/>
          <w:lang w:val="fr-FR"/>
        </w:rPr>
        <w:t>ommunauté internationale</w:t>
      </w:r>
      <w:bookmarkEnd w:id="40"/>
    </w:p>
    <w:p w:rsidR="006C5DC4" w:rsidRPr="00D3264E" w:rsidRDefault="006C5DC4" w:rsidP="00097245">
      <w:pPr>
        <w:jc w:val="both"/>
        <w:rPr>
          <w:lang w:val="fr-FR"/>
        </w:rPr>
      </w:pPr>
    </w:p>
    <w:p w:rsidR="004F3BE7" w:rsidRPr="00D3264E" w:rsidRDefault="005211B5" w:rsidP="00097245">
      <w:pPr>
        <w:pStyle w:val="ListParagraph"/>
        <w:numPr>
          <w:ilvl w:val="0"/>
          <w:numId w:val="6"/>
        </w:numPr>
        <w:jc w:val="both"/>
        <w:rPr>
          <w:lang w:val="fr-FR"/>
        </w:rPr>
      </w:pPr>
      <w:r w:rsidRPr="00D3264E">
        <w:rPr>
          <w:lang w:val="fr-FR"/>
        </w:rPr>
        <w:t>A</w:t>
      </w:r>
      <w:r w:rsidR="006C5DC4" w:rsidRPr="00D3264E">
        <w:rPr>
          <w:lang w:val="fr-FR"/>
        </w:rPr>
        <w:t xml:space="preserve">pporter </w:t>
      </w:r>
      <w:r w:rsidR="00FD7851" w:rsidRPr="00D3264E">
        <w:rPr>
          <w:lang w:val="fr-FR"/>
        </w:rPr>
        <w:t>l’appui nécessaire</w:t>
      </w:r>
      <w:r w:rsidR="0066758A" w:rsidRPr="00D3264E">
        <w:rPr>
          <w:lang w:val="fr-FR"/>
        </w:rPr>
        <w:t xml:space="preserve"> à la mise en œuvre de la Stratégie </w:t>
      </w:r>
      <w:r w:rsidR="00C02ED4" w:rsidRPr="00D3264E">
        <w:rPr>
          <w:lang w:val="fr-FR"/>
        </w:rPr>
        <w:t>n</w:t>
      </w:r>
      <w:r w:rsidR="0066758A" w:rsidRPr="00D3264E">
        <w:rPr>
          <w:lang w:val="fr-FR"/>
        </w:rPr>
        <w:t xml:space="preserve">ationale de </w:t>
      </w:r>
      <w:r w:rsidR="00C02ED4" w:rsidRPr="00D3264E">
        <w:rPr>
          <w:lang w:val="fr-FR"/>
        </w:rPr>
        <w:t>l</w:t>
      </w:r>
      <w:r w:rsidR="0066758A" w:rsidRPr="00D3264E">
        <w:rPr>
          <w:lang w:val="fr-FR"/>
        </w:rPr>
        <w:t xml:space="preserve">utte contre les </w:t>
      </w:r>
      <w:r w:rsidR="00C02ED4" w:rsidRPr="00D3264E">
        <w:rPr>
          <w:lang w:val="fr-FR"/>
        </w:rPr>
        <w:t>v</w:t>
      </w:r>
      <w:r w:rsidR="0066758A" w:rsidRPr="00D3264E">
        <w:rPr>
          <w:lang w:val="fr-FR"/>
        </w:rPr>
        <w:t xml:space="preserve">iolences basées sur le </w:t>
      </w:r>
      <w:r w:rsidR="00C02ED4" w:rsidRPr="00D3264E">
        <w:rPr>
          <w:lang w:val="fr-FR"/>
        </w:rPr>
        <w:t>g</w:t>
      </w:r>
      <w:r w:rsidR="0066758A" w:rsidRPr="00D3264E">
        <w:rPr>
          <w:lang w:val="fr-FR"/>
        </w:rPr>
        <w:t xml:space="preserve">enre et </w:t>
      </w:r>
      <w:r w:rsidR="00C02ED4" w:rsidRPr="00D3264E">
        <w:rPr>
          <w:lang w:val="fr-FR"/>
        </w:rPr>
        <w:t xml:space="preserve">de </w:t>
      </w:r>
      <w:r w:rsidR="0066758A" w:rsidRPr="00D3264E">
        <w:rPr>
          <w:lang w:val="fr-FR"/>
        </w:rPr>
        <w:t>tous les</w:t>
      </w:r>
      <w:r w:rsidR="006C5DC4" w:rsidRPr="00D3264E">
        <w:rPr>
          <w:lang w:val="fr-FR"/>
        </w:rPr>
        <w:t xml:space="preserve"> programmes orientés vers la prise en charge holistique et mult</w:t>
      </w:r>
      <w:r w:rsidR="00FF47A3" w:rsidRPr="00D3264E">
        <w:rPr>
          <w:lang w:val="fr-FR"/>
        </w:rPr>
        <w:t>isectorielle des victimes de violences sexuelles</w:t>
      </w:r>
      <w:r w:rsidR="00170475" w:rsidRPr="00D3264E">
        <w:rPr>
          <w:lang w:val="fr-FR"/>
        </w:rPr>
        <w:t xml:space="preserve">, </w:t>
      </w:r>
      <w:r w:rsidR="002D62FB" w:rsidRPr="00D3264E">
        <w:rPr>
          <w:lang w:val="fr-FR"/>
        </w:rPr>
        <w:t xml:space="preserve">en </w:t>
      </w:r>
      <w:r w:rsidR="00170475" w:rsidRPr="00D3264E">
        <w:rPr>
          <w:lang w:val="fr-FR"/>
        </w:rPr>
        <w:t>tenant compte des proc</w:t>
      </w:r>
      <w:r w:rsidR="002D62FB" w:rsidRPr="00D3264E">
        <w:rPr>
          <w:lang w:val="fr-FR"/>
        </w:rPr>
        <w:t>é</w:t>
      </w:r>
      <w:r w:rsidR="00170475" w:rsidRPr="00D3264E">
        <w:rPr>
          <w:lang w:val="fr-FR"/>
        </w:rPr>
        <w:t>dures et outils spécifiques r</w:t>
      </w:r>
      <w:r w:rsidR="002D62FB" w:rsidRPr="00D3264E">
        <w:rPr>
          <w:lang w:val="fr-FR"/>
        </w:rPr>
        <w:t>é</w:t>
      </w:r>
      <w:r w:rsidR="00170475" w:rsidRPr="00D3264E">
        <w:rPr>
          <w:lang w:val="fr-FR"/>
        </w:rPr>
        <w:t xml:space="preserve">pondant aux besoins particuliers de protection des </w:t>
      </w:r>
      <w:r w:rsidR="00154834" w:rsidRPr="00D3264E">
        <w:rPr>
          <w:lang w:val="fr-FR"/>
        </w:rPr>
        <w:t>enfants</w:t>
      </w:r>
      <w:r w:rsidR="006C5DC4" w:rsidRPr="00D3264E">
        <w:rPr>
          <w:lang w:val="fr-FR"/>
        </w:rPr>
        <w:t>;</w:t>
      </w:r>
    </w:p>
    <w:p w:rsidR="004F3BE7" w:rsidRPr="00D3264E" w:rsidRDefault="004F3BE7" w:rsidP="00097245">
      <w:pPr>
        <w:pStyle w:val="ListParagraph"/>
        <w:ind w:left="360"/>
        <w:jc w:val="both"/>
        <w:rPr>
          <w:lang w:val="fr-FR"/>
        </w:rPr>
      </w:pPr>
    </w:p>
    <w:p w:rsidR="00B57097" w:rsidRPr="00D3264E" w:rsidRDefault="005211B5" w:rsidP="00097245">
      <w:pPr>
        <w:pStyle w:val="ListParagraph"/>
        <w:numPr>
          <w:ilvl w:val="0"/>
          <w:numId w:val="6"/>
        </w:numPr>
        <w:jc w:val="both"/>
        <w:rPr>
          <w:lang w:val="fr-FR"/>
        </w:rPr>
      </w:pPr>
      <w:r w:rsidRPr="00D3264E">
        <w:rPr>
          <w:lang w:val="fr-FR"/>
        </w:rPr>
        <w:t>A</w:t>
      </w:r>
      <w:r w:rsidR="00FD7851" w:rsidRPr="00D3264E">
        <w:rPr>
          <w:lang w:val="fr-FR"/>
        </w:rPr>
        <w:t xml:space="preserve">ppuyer le </w:t>
      </w:r>
      <w:r w:rsidR="006C5DC4" w:rsidRPr="00D3264E">
        <w:rPr>
          <w:lang w:val="fr-FR"/>
        </w:rPr>
        <w:t>renforcement des capacités des acteurs nationaux, y compris les autorités religieuses, traditionnelles, administratives, judiciaires, municipales et politiques, ainsi que les associations féminines e</w:t>
      </w:r>
      <w:r w:rsidR="00F803B7" w:rsidRPr="00D3264E">
        <w:rPr>
          <w:lang w:val="fr-FR"/>
        </w:rPr>
        <w:t>t de jeunes</w:t>
      </w:r>
      <w:r w:rsidR="006C5DC4" w:rsidRPr="00D3264E">
        <w:rPr>
          <w:lang w:val="fr-FR"/>
        </w:rPr>
        <w:t>, les ONG et les média</w:t>
      </w:r>
      <w:r w:rsidR="00F803B7" w:rsidRPr="00D3264E">
        <w:rPr>
          <w:lang w:val="fr-FR"/>
        </w:rPr>
        <w:t>s</w:t>
      </w:r>
      <w:r w:rsidR="006C5DC4" w:rsidRPr="00D3264E">
        <w:rPr>
          <w:lang w:val="fr-FR"/>
        </w:rPr>
        <w:t>, en matière de lutte contre le</w:t>
      </w:r>
      <w:r w:rsidR="006E5448" w:rsidRPr="00D3264E">
        <w:rPr>
          <w:lang w:val="fr-FR"/>
        </w:rPr>
        <w:t>s violences sexuelles</w:t>
      </w:r>
      <w:r w:rsidR="00FF47A3" w:rsidRPr="00D3264E">
        <w:rPr>
          <w:lang w:val="fr-FR"/>
        </w:rPr>
        <w:t>;</w:t>
      </w:r>
    </w:p>
    <w:p w:rsidR="00B57097" w:rsidRPr="00D3264E" w:rsidRDefault="00B57097" w:rsidP="00097245">
      <w:pPr>
        <w:pStyle w:val="ListParagraph"/>
        <w:jc w:val="both"/>
        <w:rPr>
          <w:lang w:val="fr-FR"/>
        </w:rPr>
      </w:pPr>
    </w:p>
    <w:p w:rsidR="00FF47A3" w:rsidRPr="00D3264E" w:rsidRDefault="005211B5" w:rsidP="00097245">
      <w:pPr>
        <w:pStyle w:val="ListParagraph"/>
        <w:numPr>
          <w:ilvl w:val="0"/>
          <w:numId w:val="6"/>
        </w:numPr>
        <w:jc w:val="both"/>
        <w:rPr>
          <w:lang w:val="fr-FR"/>
        </w:rPr>
      </w:pPr>
      <w:r w:rsidRPr="00D3264E">
        <w:rPr>
          <w:lang w:val="fr-FR"/>
        </w:rPr>
        <w:t>P</w:t>
      </w:r>
      <w:r w:rsidR="00FF47A3" w:rsidRPr="00D3264E">
        <w:rPr>
          <w:lang w:val="fr-FR"/>
        </w:rPr>
        <w:t>oursuivre l’appui technique afin de renforcer les capacité</w:t>
      </w:r>
      <w:r w:rsidR="00241D5A" w:rsidRPr="00D3264E">
        <w:rPr>
          <w:lang w:val="fr-FR"/>
        </w:rPr>
        <w:t>s</w:t>
      </w:r>
      <w:r w:rsidR="00FF47A3" w:rsidRPr="00D3264E">
        <w:rPr>
          <w:lang w:val="fr-FR"/>
        </w:rPr>
        <w:t xml:space="preserve"> des</w:t>
      </w:r>
      <w:r w:rsidR="003E6C64" w:rsidRPr="00D3264E">
        <w:rPr>
          <w:lang w:val="fr-FR"/>
        </w:rPr>
        <w:t xml:space="preserve"> agents de l’Etat dans leur ensemble, notamment des</w:t>
      </w:r>
      <w:r w:rsidR="00FF47A3" w:rsidRPr="00D3264E">
        <w:rPr>
          <w:lang w:val="fr-FR"/>
        </w:rPr>
        <w:t xml:space="preserve"> acteurs de la justice</w:t>
      </w:r>
      <w:r w:rsidR="003E6C64" w:rsidRPr="00D3264E">
        <w:rPr>
          <w:lang w:val="fr-FR"/>
        </w:rPr>
        <w:t xml:space="preserve"> et de la chaî</w:t>
      </w:r>
      <w:r w:rsidR="00F95A97" w:rsidRPr="00D3264E">
        <w:rPr>
          <w:lang w:val="fr-FR"/>
        </w:rPr>
        <w:t>n</w:t>
      </w:r>
      <w:r w:rsidR="003E6C64" w:rsidRPr="00D3264E">
        <w:rPr>
          <w:lang w:val="fr-FR"/>
        </w:rPr>
        <w:t>e pé</w:t>
      </w:r>
      <w:r w:rsidR="00F95A97" w:rsidRPr="00D3264E">
        <w:rPr>
          <w:lang w:val="fr-FR"/>
        </w:rPr>
        <w:t>n</w:t>
      </w:r>
      <w:r w:rsidR="003E6C64" w:rsidRPr="00D3264E">
        <w:rPr>
          <w:lang w:val="fr-FR"/>
        </w:rPr>
        <w:t>ale e</w:t>
      </w:r>
      <w:r w:rsidR="006E307A" w:rsidRPr="00D3264E">
        <w:rPr>
          <w:lang w:val="fr-FR"/>
        </w:rPr>
        <w:t>t des forces de défense et de sé</w:t>
      </w:r>
      <w:r w:rsidR="003E6C64" w:rsidRPr="00D3264E">
        <w:rPr>
          <w:lang w:val="fr-FR"/>
        </w:rPr>
        <w:t>curité</w:t>
      </w:r>
      <w:r w:rsidRPr="00D3264E">
        <w:rPr>
          <w:lang w:val="fr-FR"/>
        </w:rPr>
        <w:t>,</w:t>
      </w:r>
      <w:r w:rsidR="003E6C64" w:rsidRPr="00D3264E">
        <w:rPr>
          <w:lang w:val="fr-FR"/>
        </w:rPr>
        <w:t xml:space="preserve"> </w:t>
      </w:r>
      <w:r w:rsidR="00FF47A3" w:rsidRPr="00D3264E">
        <w:rPr>
          <w:lang w:val="fr-FR"/>
        </w:rPr>
        <w:t>pour lutter contre les violences sexuelles.</w:t>
      </w:r>
    </w:p>
    <w:p w:rsidR="00BB0D35" w:rsidRPr="00D3264E" w:rsidRDefault="00BB0D35" w:rsidP="00097245">
      <w:pPr>
        <w:jc w:val="center"/>
        <w:rPr>
          <w:lang w:val="fr-FR"/>
        </w:rPr>
      </w:pPr>
    </w:p>
    <w:p w:rsidR="001346B6" w:rsidRPr="00D3264E" w:rsidRDefault="004F3BE7" w:rsidP="00097245">
      <w:pPr>
        <w:pStyle w:val="ListParagraph"/>
        <w:ind w:left="360"/>
        <w:jc w:val="center"/>
        <w:rPr>
          <w:b/>
          <w:lang w:val="fr-FR"/>
        </w:rPr>
      </w:pPr>
      <w:r w:rsidRPr="00D3264E">
        <w:rPr>
          <w:b/>
          <w:lang w:val="fr-FR"/>
        </w:rPr>
        <w:t>-------------------------------------</w:t>
      </w:r>
    </w:p>
    <w:sectPr w:rsidR="001346B6" w:rsidRPr="00D3264E" w:rsidSect="004B3C9D">
      <w:headerReference w:type="default" r:id="rId19"/>
      <w:footerReference w:type="even" r:id="rId20"/>
      <w:footerReference w:type="default" r:id="rId21"/>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1C" w:rsidRDefault="0050151C" w:rsidP="00A30100">
      <w:r>
        <w:separator/>
      </w:r>
    </w:p>
  </w:endnote>
  <w:endnote w:type="continuationSeparator" w:id="0">
    <w:p w:rsidR="0050151C" w:rsidRDefault="0050151C" w:rsidP="00A30100">
      <w:r>
        <w:continuationSeparator/>
      </w:r>
    </w:p>
  </w:endnote>
  <w:endnote w:type="continuationNotice" w:id="1">
    <w:p w:rsidR="0050151C" w:rsidRDefault="00501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7C" w:rsidRDefault="0050151C" w:rsidP="006158F9">
    <w:pPr>
      <w:pStyle w:val="Footer"/>
      <w:jc w:val="center"/>
    </w:pPr>
    <w:r>
      <w:fldChar w:fldCharType="begin"/>
    </w:r>
    <w:r>
      <w:instrText xml:space="preserve"> DOCPROPERTY CURRENTCLASS \* MERGEFORMAT </w:instrText>
    </w:r>
    <w:r>
      <w:fldChar w:fldCharType="separate"/>
    </w:r>
    <w:r w:rsidR="00097245">
      <w:t>Classified - Confidential</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281150"/>
      <w:docPartObj>
        <w:docPartGallery w:val="Page Numbers (Bottom of Page)"/>
        <w:docPartUnique/>
      </w:docPartObj>
    </w:sdtPr>
    <w:sdtEndPr>
      <w:rPr>
        <w:noProof/>
      </w:rPr>
    </w:sdtEndPr>
    <w:sdtContent>
      <w:p w:rsidR="00B0107C" w:rsidRDefault="00B0107C">
        <w:pPr>
          <w:pStyle w:val="Footer"/>
          <w:jc w:val="right"/>
        </w:pPr>
        <w:r>
          <w:fldChar w:fldCharType="begin"/>
        </w:r>
        <w:r>
          <w:instrText xml:space="preserve"> PAGE   \* MERGEFORMAT </w:instrText>
        </w:r>
        <w:r>
          <w:fldChar w:fldCharType="separate"/>
        </w:r>
        <w:r w:rsidR="00956B7E">
          <w:rPr>
            <w:noProof/>
          </w:rPr>
          <w:t>4</w:t>
        </w:r>
        <w:r>
          <w:rPr>
            <w:noProof/>
          </w:rPr>
          <w:fldChar w:fldCharType="end"/>
        </w:r>
      </w:p>
    </w:sdtContent>
  </w:sdt>
  <w:p w:rsidR="00B0107C" w:rsidRPr="008D67A8" w:rsidRDefault="00B0107C">
    <w:pPr>
      <w:pStyle w:val="Footer"/>
      <w:jc w:val="right"/>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1C" w:rsidRDefault="0050151C" w:rsidP="00A30100">
      <w:r>
        <w:separator/>
      </w:r>
    </w:p>
  </w:footnote>
  <w:footnote w:type="continuationSeparator" w:id="0">
    <w:p w:rsidR="0050151C" w:rsidRDefault="0050151C" w:rsidP="00A30100">
      <w:r>
        <w:continuationSeparator/>
      </w:r>
    </w:p>
  </w:footnote>
  <w:footnote w:type="continuationNotice" w:id="1">
    <w:p w:rsidR="0050151C" w:rsidRDefault="0050151C"/>
  </w:footnote>
  <w:footnote w:id="2">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dernière résolution du Conseil de sécurité concernant la situation en Côte d’Ivoire est la résolution 2284, adoptée le 28 avril 2016.</w:t>
      </w:r>
    </w:p>
  </w:footnote>
  <w:footnote w:id="3">
    <w:p w:rsidR="00B0107C" w:rsidRPr="00D53758" w:rsidRDefault="00B0107C" w:rsidP="00D53758">
      <w:pPr>
        <w:autoSpaceDE w:val="0"/>
        <w:autoSpaceDN w:val="0"/>
        <w:adjustRightInd w:val="0"/>
        <w:jc w:val="both"/>
        <w:rPr>
          <w:rFonts w:eastAsiaTheme="minorHAnsi"/>
          <w:sz w:val="20"/>
          <w:szCs w:val="20"/>
          <w:lang w:val="fr-FR"/>
        </w:rPr>
      </w:pPr>
      <w:r w:rsidRPr="00D53758">
        <w:rPr>
          <w:rStyle w:val="FootnoteReference"/>
          <w:sz w:val="20"/>
          <w:szCs w:val="20"/>
        </w:rPr>
        <w:footnoteRef/>
      </w:r>
      <w:r w:rsidRPr="00D53758">
        <w:rPr>
          <w:sz w:val="20"/>
          <w:szCs w:val="20"/>
          <w:lang w:val="fr-FR"/>
        </w:rPr>
        <w:t xml:space="preserve"> Voir Cour pénale internationale, Eléments des Crimes, articles 7(1)(g) et 8(2)(e)(vi)</w:t>
      </w:r>
      <w:r w:rsidRPr="00D53758">
        <w:rPr>
          <w:rFonts w:eastAsiaTheme="minorHAnsi"/>
          <w:i/>
          <w:sz w:val="20"/>
          <w:szCs w:val="20"/>
          <w:lang w:val="fr-FR"/>
        </w:rPr>
        <w:t>. </w:t>
      </w:r>
    </w:p>
    <w:p w:rsidR="00B0107C" w:rsidRPr="00D53758" w:rsidRDefault="00B0107C" w:rsidP="00D53758">
      <w:pPr>
        <w:pStyle w:val="FootnoteText"/>
        <w:jc w:val="both"/>
        <w:rPr>
          <w:lang w:val="fr-FR"/>
        </w:rPr>
      </w:pPr>
    </w:p>
  </w:footnote>
  <w:footnote w:id="4">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Voir notamment les chapitres 7 et 8 du Manuel sur le </w:t>
      </w:r>
      <w:r w:rsidRPr="00D53758">
        <w:rPr>
          <w:i/>
          <w:lang w:val="fr-FR"/>
        </w:rPr>
        <w:t>monitoring</w:t>
      </w:r>
      <w:r w:rsidRPr="00D53758">
        <w:rPr>
          <w:lang w:val="fr-FR"/>
        </w:rPr>
        <w:t xml:space="preserve"> des droits de l’homme disponible sur le site : </w:t>
      </w:r>
      <w:hyperlink r:id="rId1" w:history="1">
        <w:r w:rsidRPr="00D53758">
          <w:rPr>
            <w:rStyle w:val="Hyperlink"/>
            <w:color w:val="auto"/>
            <w:u w:val="none"/>
            <w:lang w:val="fr-FR"/>
          </w:rPr>
          <w:t>http://www.ohchr.org/Documents/Publications/Chapter07-24pp.pdf</w:t>
        </w:r>
      </w:hyperlink>
      <w:r w:rsidRPr="00D53758">
        <w:rPr>
          <w:lang w:val="fr-FR"/>
        </w:rPr>
        <w:t xml:space="preserve"> et http://www.ohchr.org/Documents/Publications/Chapter08-44pp.pdf</w:t>
      </w:r>
    </w:p>
  </w:footnote>
  <w:footnote w:id="5">
    <w:p w:rsidR="00B0107C" w:rsidRPr="00D53758" w:rsidRDefault="00B0107C" w:rsidP="00D53758">
      <w:pPr>
        <w:pStyle w:val="ListParagraph"/>
        <w:ind w:left="0"/>
        <w:jc w:val="both"/>
        <w:rPr>
          <w:sz w:val="20"/>
          <w:szCs w:val="20"/>
          <w:lang w:val="fr-FR"/>
        </w:rPr>
      </w:pPr>
      <w:r w:rsidRPr="00D53758">
        <w:rPr>
          <w:rStyle w:val="FootnoteReference"/>
          <w:sz w:val="20"/>
          <w:szCs w:val="20"/>
        </w:rPr>
        <w:footnoteRef/>
      </w:r>
      <w:r w:rsidRPr="00D53758">
        <w:rPr>
          <w:sz w:val="20"/>
          <w:szCs w:val="20"/>
          <w:lang w:val="fr-FR"/>
        </w:rPr>
        <w:t xml:space="preserve"> La DDH n’a pris en compte que les cas de viol qui ont été portés à son attention et qu’elle a pu documenter selon sa méthodologie. </w:t>
      </w:r>
      <w:r w:rsidRPr="00D53758">
        <w:rPr>
          <w:rFonts w:eastAsia="Calibri"/>
          <w:sz w:val="20"/>
          <w:szCs w:val="20"/>
          <w:lang w:val="fr-FR"/>
        </w:rPr>
        <w:t xml:space="preserve">Les statistiques de la DDH concernant les crimes de violence sexuelle peuvent différer de celles d’autres sources, comme les autres agences des Nations Unies, les ONG et les ministères ivoiriens concernés en raison des différentes méthodologies utilisées.  </w:t>
      </w:r>
    </w:p>
  </w:footnote>
  <w:footnote w:id="6">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Plusieurs institutions étatiques disposent de statistiques relatives aux viols en Côte d’Ivoire, mais il n’existe pas de statistiques officielles consolidées.</w:t>
      </w:r>
    </w:p>
  </w:footnote>
  <w:footnote w:id="7">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Commission nationale d’enquête, « </w:t>
      </w:r>
      <w:r w:rsidRPr="00D53758">
        <w:rPr>
          <w:i/>
          <w:lang w:val="fr-FR"/>
        </w:rPr>
        <w:t>Rapport d’enquête sur les violations des droits de l’homme et du droit international humanitaire survenues dans la période du 31 octobre 2010 au 15 mai 2011</w:t>
      </w:r>
      <w:r w:rsidRPr="00D53758">
        <w:rPr>
          <w:lang w:val="fr-FR"/>
        </w:rPr>
        <w:t xml:space="preserve"> », Juillet 2012, page 14. </w:t>
      </w:r>
    </w:p>
  </w:footnote>
  <w:footnote w:id="8">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 </w:t>
      </w:r>
      <w:r w:rsidRPr="00D53758">
        <w:rPr>
          <w:i/>
          <w:lang w:val="fr-FR"/>
        </w:rPr>
        <w:t>Rapport de la Commission d’enquête internationale indépendante sur la Côte d’Ivoire »</w:t>
      </w:r>
      <w:r w:rsidRPr="00D53758">
        <w:rPr>
          <w:lang w:val="fr-FR"/>
        </w:rPr>
        <w:t>, 1</w:t>
      </w:r>
      <w:r w:rsidRPr="00D53758">
        <w:rPr>
          <w:vertAlign w:val="superscript"/>
          <w:lang w:val="fr-FR"/>
        </w:rPr>
        <w:t>er</w:t>
      </w:r>
      <w:r w:rsidRPr="00D53758">
        <w:rPr>
          <w:lang w:val="fr-FR"/>
        </w:rPr>
        <w:t xml:space="preserve"> juillet 2011, A/HRC/17/48, page 22. </w:t>
      </w:r>
    </w:p>
  </w:footnote>
  <w:footnote w:id="9">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Certaines dispositions de ces textes sont reconnues comme faisant partie du droit international coutumier. </w:t>
      </w:r>
    </w:p>
  </w:footnote>
  <w:footnote w:id="10">
    <w:p w:rsidR="00B0107C" w:rsidRPr="00D53758" w:rsidRDefault="00B0107C" w:rsidP="00D53758">
      <w:pPr>
        <w:tabs>
          <w:tab w:val="left" w:pos="720"/>
        </w:tabs>
        <w:jc w:val="both"/>
        <w:rPr>
          <w:sz w:val="20"/>
          <w:szCs w:val="20"/>
          <w:lang w:val="fr-FR"/>
        </w:rPr>
      </w:pPr>
      <w:r w:rsidRPr="00D53758">
        <w:rPr>
          <w:rStyle w:val="FootnoteReference"/>
          <w:sz w:val="20"/>
          <w:szCs w:val="20"/>
        </w:rPr>
        <w:footnoteRef/>
      </w:r>
      <w:r w:rsidRPr="00D53758">
        <w:rPr>
          <w:sz w:val="20"/>
          <w:szCs w:val="20"/>
          <w:lang w:val="fr-FR"/>
        </w:rPr>
        <w:t xml:space="preserve"> Adoptée au terme de la 4</w:t>
      </w:r>
      <w:r w:rsidRPr="00D53758">
        <w:rPr>
          <w:sz w:val="20"/>
          <w:szCs w:val="20"/>
          <w:vertAlign w:val="superscript"/>
          <w:lang w:val="fr-FR"/>
        </w:rPr>
        <w:t>ème</w:t>
      </w:r>
      <w:r w:rsidRPr="00D53758">
        <w:rPr>
          <w:sz w:val="20"/>
          <w:szCs w:val="20"/>
          <w:lang w:val="fr-FR"/>
        </w:rPr>
        <w:t xml:space="preserve"> Conférence mondiale sur les Femmes, la Déclaration de Beijing a impulsé une véritable dynamique au plan international, engageant les gouvernements à adopter des mesures concrètes visant à mieux promouvoir et défendre les droits des femmes. Le Programme d’action de Beijing appelle notamment les gouvernements à instituer dans les codes pénal, civil, du travail et administratif les sanctions voulues pour punir les actes de violence à l’égard des femmes et réparer les torts causés aux femmes; légiférer et appliquer les lois et les examiner et les analyser pour s’assurer qu’elles contribuent efficacement à éliminer la violence à l’égard des femmes, en mettant l’accent sur la prévention de la violence et la poursuite des délinquants; assurer la protection des femmes contre la violence et donner à celles-ci accès à des voies de recours justes et efficaces, prévoyant notamment l’indemnisation et la réadaptation des victimes et la rééducation des délinquants. Cet appel a été renouvelé lors de l’examen quinquennal du Programme d’action de Beijing en 2000. </w:t>
      </w:r>
    </w:p>
  </w:footnote>
  <w:footnote w:id="11">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Côte d’Ivoire a adhéré au PIDCP le 26 mars 1992.</w:t>
      </w:r>
    </w:p>
  </w:footnote>
  <w:footnote w:id="12">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Côte d’Ivoire a adhéré au PIDESC le 26 mars 1992.</w:t>
      </w:r>
    </w:p>
  </w:footnote>
  <w:footnote w:id="13">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Côte d’Ivoire a adhéré à la Convention contre la torture et autres peines ou traitements cruels, inhumains ou dégradants le 18 décembre 1995. L’article 2 de la Convention contre la torture enjoint les États parties à prendre les mesures législatives, administratives, judiciaires et autres mesures efficaces pour empêcher que des actes de torture soient commis dans tout territoire sous leur juridiction; l’article 16 enjoint chaque Etat partie d’empêcher sur tout territoire sous sa juridiction d'autres actes constitutifs de peines ou traitements cruels, inhumains ou dégradants qui ne sont pas des actes de torture.</w:t>
      </w:r>
    </w:p>
  </w:footnote>
  <w:footnote w:id="14">
    <w:p w:rsidR="00B0107C" w:rsidRPr="00D53758" w:rsidRDefault="00B0107C" w:rsidP="00D53758">
      <w:pPr>
        <w:tabs>
          <w:tab w:val="left" w:pos="720"/>
        </w:tabs>
        <w:jc w:val="both"/>
        <w:rPr>
          <w:sz w:val="20"/>
          <w:szCs w:val="20"/>
          <w:lang w:val="fr-FR"/>
        </w:rPr>
      </w:pPr>
      <w:r w:rsidRPr="00D53758">
        <w:rPr>
          <w:rStyle w:val="FootnoteReference"/>
          <w:sz w:val="20"/>
          <w:szCs w:val="20"/>
        </w:rPr>
        <w:footnoteRef/>
      </w:r>
      <w:r w:rsidRPr="00D53758">
        <w:rPr>
          <w:sz w:val="20"/>
          <w:szCs w:val="20"/>
          <w:lang w:val="fr-FR"/>
        </w:rPr>
        <w:t xml:space="preserve"> La Convention sur l’élimination de toutes les formes de discrimination à l’égard des femmes a été ratifiée par la Côte d’Ivoire en 1995. </w:t>
      </w:r>
    </w:p>
  </w:footnote>
  <w:footnote w:id="15">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Même si cette convention ne prévoit pas d’interdiction expresse de la violence contre les femmes, le Comité pour l’élimination de la discrimination envers les femmes a rendu public en 1992 une recommandation générale (recommandation générale nº19) sur la violence à l’égard des femmes, dans laquelle la violence contre les femmes est clairement décrite et désignée comme une forme de discrimination. </w:t>
      </w:r>
    </w:p>
  </w:footnote>
  <w:footnote w:id="16">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Convention relative aux droits de l’enfant (CDE) a été adoptée par l'Assemblée générale des Nations Unies dans sa résolution 44/25 du 20 novembre 1989. Elle a été ratifiée par la Côte d’Ivoire le 4 février 1991.</w:t>
      </w:r>
    </w:p>
  </w:footnote>
  <w:footnote w:id="17">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Côte d’Ivoire y a adhéré le 18 septembre 2011. </w:t>
      </w:r>
    </w:p>
  </w:footnote>
  <w:footnote w:id="18">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Côte d’Ivoire y a adhéré le 12 mars 2012. </w:t>
      </w:r>
    </w:p>
  </w:footnote>
  <w:footnote w:id="19">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Adoptée par l'Assemblée générale des Nations Unies le 2 décembre 1949, elle a été signée et ratifiée par la Côte d’Ivoire en 1999.</w:t>
      </w:r>
    </w:p>
  </w:footnote>
  <w:footnote w:id="20">
    <w:p w:rsidR="00B0107C" w:rsidRPr="00D53758" w:rsidRDefault="00B0107C" w:rsidP="00D53758">
      <w:pPr>
        <w:jc w:val="both"/>
        <w:rPr>
          <w:sz w:val="20"/>
          <w:szCs w:val="20"/>
          <w:lang w:val="fr-FR"/>
        </w:rPr>
      </w:pPr>
      <w:r w:rsidRPr="00D53758">
        <w:rPr>
          <w:rStyle w:val="FootnoteReference"/>
          <w:sz w:val="20"/>
          <w:szCs w:val="20"/>
        </w:rPr>
        <w:footnoteRef/>
      </w:r>
      <w:r w:rsidRPr="00D53758">
        <w:rPr>
          <w:sz w:val="20"/>
          <w:szCs w:val="20"/>
          <w:lang w:val="fr-FR"/>
        </w:rPr>
        <w:t xml:space="preserve">  Le Greffe de la CPI a accusé réception de cette déclaration le 31 octobre 2003.</w:t>
      </w:r>
    </w:p>
  </w:footnote>
  <w:footnote w:id="21">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Côte d’Ivoire avait procédé à la signature du Statut de Rome le 30 novembre 1998.</w:t>
      </w:r>
    </w:p>
  </w:footnote>
  <w:footnote w:id="22">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Laurent Gbagbo et Charles Blé Goudé sont actuellement en détention à la CPI à La Haye. </w:t>
      </w:r>
    </w:p>
  </w:footnote>
  <w:footnote w:id="23">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Voir paragraphe 8 du présent rapport. </w:t>
      </w:r>
    </w:p>
  </w:footnote>
  <w:footnote w:id="24">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Voir Rapport annuel du Secrétaire général des Nations Unies sur la violence sexuelle liée aux conflits</w:t>
      </w:r>
      <w:r w:rsidRPr="00D53758">
        <w:rPr>
          <w:rStyle w:val="FootnoteReference"/>
          <w:lang w:val="fr-FR"/>
        </w:rPr>
        <w:footnoteRef/>
      </w:r>
      <w:r w:rsidRPr="00D53758">
        <w:rPr>
          <w:lang w:val="fr-FR"/>
        </w:rPr>
        <w:t xml:space="preserve">, 13 janvier 2012, </w:t>
      </w:r>
      <w:r w:rsidRPr="00D53758">
        <w:rPr>
          <w:rFonts w:eastAsia="Calibri"/>
          <w:lang w:val="fr-FR"/>
        </w:rPr>
        <w:t>A/66/657–S/2012/33.</w:t>
      </w:r>
      <w:r w:rsidRPr="00D53758">
        <w:rPr>
          <w:lang w:val="fr-FR"/>
        </w:rPr>
        <w:t xml:space="preserve"> </w:t>
      </w:r>
    </w:p>
  </w:footnote>
  <w:footnote w:id="25">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 Côte d’Ivoire a ratifié la CADHP le 6 janvier 1992. </w:t>
      </w:r>
    </w:p>
  </w:footnote>
  <w:footnote w:id="26">
    <w:p w:rsidR="00B0107C" w:rsidRPr="00D53758" w:rsidRDefault="00B0107C" w:rsidP="00D53758">
      <w:pPr>
        <w:pStyle w:val="NormalWeb"/>
        <w:spacing w:before="0" w:after="0"/>
        <w:jc w:val="both"/>
        <w:rPr>
          <w:sz w:val="20"/>
          <w:szCs w:val="20"/>
          <w:lang w:val="fr-FR"/>
        </w:rPr>
      </w:pPr>
      <w:r w:rsidRPr="00D53758">
        <w:rPr>
          <w:rStyle w:val="FootnoteReference"/>
          <w:sz w:val="20"/>
          <w:szCs w:val="20"/>
        </w:rPr>
        <w:footnoteRef/>
      </w:r>
      <w:r w:rsidRPr="00D53758">
        <w:rPr>
          <w:sz w:val="20"/>
          <w:szCs w:val="20"/>
          <w:lang w:val="fr-FR"/>
        </w:rPr>
        <w:t xml:space="preserve"> </w:t>
      </w:r>
      <w:r w:rsidRPr="00D53758">
        <w:rPr>
          <w:rStyle w:val="Strong"/>
          <w:b w:val="0"/>
          <w:sz w:val="20"/>
          <w:szCs w:val="20"/>
          <w:lang w:val="fr-FR"/>
        </w:rPr>
        <w:t>Le Protocole à la Charte africaine des droits de l’homme et des peuples relatif aux droits de la femme en Afrique</w:t>
      </w:r>
      <w:r w:rsidRPr="00D53758">
        <w:rPr>
          <w:sz w:val="20"/>
          <w:szCs w:val="20"/>
          <w:lang w:val="fr-FR"/>
        </w:rPr>
        <w:t xml:space="preserve"> a été adopté le 11 juillet 2003 par l’Union africaine et est entré en vigueur le 25 novembre 2005. Le document formule des droits spécifiques à la protection des femmes et des filles en Afrique en tenant compte des conditions socioculturelles. Il stipule entre autres la garantie pour les femmes de tous les droits humains fondamentaux et internationaux reconnus et la protection contre les pratiques traditionnelles dangereuses pour la santé, comme la mutilation génitale féminine.</w:t>
      </w:r>
    </w:p>
  </w:footnote>
  <w:footnote w:id="27">
    <w:p w:rsidR="00B0107C" w:rsidRPr="00D53758" w:rsidRDefault="00B0107C" w:rsidP="00D53758">
      <w:pPr>
        <w:pStyle w:val="Default"/>
        <w:jc w:val="both"/>
        <w:rPr>
          <w:rFonts w:ascii="Times New Roman" w:hAnsi="Times New Roman" w:cs="Times New Roman"/>
          <w:color w:val="auto"/>
          <w:sz w:val="20"/>
          <w:szCs w:val="20"/>
          <w:lang w:val="fr-FR"/>
        </w:rPr>
      </w:pPr>
      <w:r w:rsidRPr="00D53758">
        <w:rPr>
          <w:rStyle w:val="FootnoteReference"/>
          <w:rFonts w:ascii="Times New Roman" w:hAnsi="Times New Roman" w:cs="Times New Roman"/>
          <w:color w:val="auto"/>
          <w:sz w:val="20"/>
          <w:szCs w:val="20"/>
        </w:rPr>
        <w:footnoteRef/>
      </w:r>
      <w:r w:rsidRPr="00D53758">
        <w:rPr>
          <w:rFonts w:ascii="Times New Roman" w:hAnsi="Times New Roman" w:cs="Times New Roman"/>
          <w:color w:val="auto"/>
          <w:sz w:val="20"/>
          <w:szCs w:val="20"/>
          <w:lang w:val="fr-FR"/>
        </w:rPr>
        <w:t xml:space="preserve"> Loi n°1981-640 du 31 juillet 1981 instituant le Code pénal (modifiée par la Loi n° 1995-522 du 6 juillet 1995 et modifiée et complétée par la Loi nº2015-134 du 9 mars 2015).</w:t>
      </w:r>
    </w:p>
  </w:footnote>
  <w:footnote w:id="28">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Loi nº60-366 du 14 novembre 1960 portant institution du Code de procédure pénale.</w:t>
      </w:r>
    </w:p>
  </w:footnote>
  <w:footnote w:id="29">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Loi nº2015-133 du 9 mars 2015 modifiant et complétant la Loi nº60-366 du 14 novembre 1960 portant institution du Code de procédure pénale et Loi nº2015-134 du 9 mars 2015 modifiant et complétant la Loi nº81-640 du 31 juillet 1981 instituant le Code pénal.</w:t>
      </w:r>
    </w:p>
  </w:footnote>
  <w:footnote w:id="30">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Voir les nouveaux articles 138 et 139 du Code pénal. </w:t>
      </w:r>
    </w:p>
  </w:footnote>
  <w:footnote w:id="31">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Un cas de viol se réfère à un incident de viol qui peut impliquer plusieurs victimes. </w:t>
      </w:r>
    </w:p>
  </w:footnote>
  <w:footnote w:id="32">
    <w:p w:rsidR="00B0107C" w:rsidRPr="00D53758" w:rsidRDefault="00B0107C" w:rsidP="00D53758">
      <w:pPr>
        <w:autoSpaceDE w:val="0"/>
        <w:autoSpaceDN w:val="0"/>
        <w:adjustRightInd w:val="0"/>
        <w:jc w:val="both"/>
        <w:rPr>
          <w:rFonts w:eastAsia="Calibri"/>
          <w:bCs/>
          <w:sz w:val="20"/>
          <w:szCs w:val="20"/>
          <w:lang w:val="fr-FR"/>
        </w:rPr>
      </w:pPr>
      <w:r w:rsidRPr="00D53758">
        <w:rPr>
          <w:rStyle w:val="FootnoteReference"/>
          <w:sz w:val="20"/>
          <w:szCs w:val="20"/>
        </w:rPr>
        <w:footnoteRef/>
      </w:r>
      <w:r w:rsidRPr="00D53758">
        <w:rPr>
          <w:rFonts w:eastAsia="Calibri"/>
          <w:bCs/>
          <w:sz w:val="20"/>
          <w:szCs w:val="20"/>
          <w:lang w:val="fr-FR"/>
        </w:rPr>
        <w:t xml:space="preserve"> Dans son rapport au Conseil de sécurité du 13 janvier 2012</w:t>
      </w:r>
      <w:r w:rsidRPr="00D53758">
        <w:rPr>
          <w:rFonts w:eastAsia="Calibri"/>
          <w:sz w:val="20"/>
          <w:szCs w:val="20"/>
          <w:lang w:val="fr-FR"/>
        </w:rPr>
        <w:t xml:space="preserve"> (A/66/657–S/2012/33)</w:t>
      </w:r>
      <w:r w:rsidRPr="00D53758">
        <w:rPr>
          <w:rFonts w:eastAsia="Calibri"/>
          <w:bCs/>
          <w:sz w:val="20"/>
          <w:szCs w:val="20"/>
          <w:lang w:val="fr-FR"/>
        </w:rPr>
        <w:t>, le Secrétaire général des Nations Unies a inclus les FRCI dans la liste des parties soupçonnées d’avoir, selon toute probabilité, commis des viols ou d’autres formes de violences sexuelles, ou d’en être responsables.</w:t>
      </w:r>
      <w:r w:rsidRPr="00D53758">
        <w:rPr>
          <w:sz w:val="20"/>
          <w:szCs w:val="20"/>
          <w:lang w:val="fr-FR"/>
        </w:rPr>
        <w:t xml:space="preserve"> </w:t>
      </w:r>
    </w:p>
  </w:footnote>
  <w:footnote w:id="33">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Il est à noter que ce type de viols est souvent moins rapporté à l’ONUCI en raison de sa spécificité. </w:t>
      </w:r>
    </w:p>
  </w:footnote>
  <w:footnote w:id="34">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Voir paragraphe 73 du présent rapport. </w:t>
      </w:r>
    </w:p>
  </w:footnote>
  <w:footnote w:id="35">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Article 60 du Code de procédure pénale.</w:t>
      </w:r>
    </w:p>
  </w:footnote>
  <w:footnote w:id="36">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Selon l’article 79 du Code de procédure pénale, le juge d’instruction procède ou fait procéder à une enquête sur la personnalité des inculpés, ainsi que sur leur situation matérielle, familiale ou sociale. Le juge d’instruction peut prescrire un examen médical, confier à un médecin le soin de procéder à un examen médico-psychologique ou ordonner toute autre mesure utile. </w:t>
      </w:r>
    </w:p>
  </w:footnote>
  <w:footnote w:id="37">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Article 14 du Code de procédure pénale. </w:t>
      </w:r>
    </w:p>
  </w:footnote>
  <w:footnote w:id="38">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Deux exceptions sont à noter : des sessions d’assises ont été organisées à Abidjan pour traiter de l’affaire des tueries de Guitrozon et de Petit Duekoué à Daloa en 2007 et de l’affaire du déversement des déchets toxiques du cargo Probo Koala, affrété par Trafigura en 2008.</w:t>
      </w:r>
    </w:p>
  </w:footnote>
  <w:footnote w:id="39">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Voir paragraphe 26 du présent rapport. </w:t>
      </w:r>
    </w:p>
  </w:footnote>
  <w:footnote w:id="40">
    <w:p w:rsidR="00B0107C" w:rsidRPr="00D53758" w:rsidRDefault="00B0107C" w:rsidP="00D53758">
      <w:pPr>
        <w:autoSpaceDE w:val="0"/>
        <w:autoSpaceDN w:val="0"/>
        <w:adjustRightInd w:val="0"/>
        <w:jc w:val="both"/>
        <w:rPr>
          <w:rFonts w:eastAsia="Calibri"/>
          <w:b/>
          <w:bCs/>
          <w:sz w:val="20"/>
          <w:szCs w:val="20"/>
          <w:lang w:val="fr-FR"/>
        </w:rPr>
      </w:pPr>
      <w:r w:rsidRPr="00D53758">
        <w:rPr>
          <w:rStyle w:val="FootnoteReference"/>
          <w:sz w:val="20"/>
          <w:szCs w:val="20"/>
        </w:rPr>
        <w:footnoteRef/>
      </w:r>
      <w:r w:rsidRPr="00D53758">
        <w:rPr>
          <w:sz w:val="20"/>
          <w:szCs w:val="20"/>
          <w:lang w:val="fr-FR"/>
        </w:rPr>
        <w:t xml:space="preserve"> Voir l’article </w:t>
      </w:r>
      <w:r w:rsidRPr="00D53758">
        <w:rPr>
          <w:rFonts w:eastAsia="Calibri"/>
          <w:bCs/>
          <w:sz w:val="20"/>
          <w:szCs w:val="20"/>
          <w:lang w:val="fr-FR"/>
        </w:rPr>
        <w:t>355 du Code pénal.</w:t>
      </w:r>
    </w:p>
  </w:footnote>
  <w:footnote w:id="41">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w:t>
      </w:r>
      <w:r w:rsidRPr="00D53758">
        <w:rPr>
          <w:rFonts w:eastAsia="Calibri"/>
          <w:lang w:val="fr-FR"/>
        </w:rPr>
        <w:t>Voir l’article 354 du Code pénal.</w:t>
      </w:r>
    </w:p>
  </w:footnote>
  <w:footnote w:id="42">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Selon l’article 235 du Code de procédure pénale, « </w:t>
      </w:r>
      <w:r w:rsidRPr="00D53758">
        <w:rPr>
          <w:i/>
          <w:lang w:val="fr-FR"/>
        </w:rPr>
        <w:t xml:space="preserve">la tenue des Assises a lieu tous les trois mois </w:t>
      </w:r>
      <w:r w:rsidRPr="00D53758">
        <w:rPr>
          <w:lang w:val="fr-FR"/>
        </w:rPr>
        <w:t>».</w:t>
      </w:r>
    </w:p>
  </w:footnote>
  <w:footnote w:id="43">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L'instruction d'un dossier en correctionnel, surtout en cas de flagrant délit, dure une à quatre semaines maximum et l'affaire est inscrite au rôle et jugée dans les mêmes délais.</w:t>
      </w:r>
    </w:p>
  </w:footnote>
  <w:footnote w:id="44">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Elles peuvent durer d’un à cinq ans. La loi requiert notamment une enquête psychiatrique et une enquête de moralité, ce qui coûte cher et prend du temps.</w:t>
      </w:r>
    </w:p>
  </w:footnote>
  <w:footnote w:id="45">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Voir les articles 302 et 304 du Code pénal. </w:t>
      </w:r>
    </w:p>
  </w:footnote>
  <w:footnote w:id="46">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Il consiste à régler un problème dans la sphère privée (communautaire, familiale et religieuse) à travers la médiation et des pressions de diverses formes exercées sur la victime et sa famille, pour éviter que le problème ne s’ébruite ou prenne la voie judiciaire ou encore que le mis en cause ne soit emprisonné si la victime ou sa famille recourt à la voie judiciaire.</w:t>
      </w:r>
    </w:p>
  </w:footnote>
  <w:footnote w:id="47">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Il s’agit, entre autres, des chefs de village, des notables, des imams, des pasteurs et des chefs de famille.</w:t>
      </w:r>
    </w:p>
  </w:footnote>
  <w:footnote w:id="48">
    <w:p w:rsidR="00B0107C" w:rsidRPr="00D53758" w:rsidRDefault="00B0107C" w:rsidP="00D53758">
      <w:pPr>
        <w:jc w:val="both"/>
        <w:rPr>
          <w:sz w:val="20"/>
          <w:szCs w:val="20"/>
          <w:lang w:val="fr-FR"/>
        </w:rPr>
      </w:pPr>
      <w:r w:rsidRPr="00D53758">
        <w:rPr>
          <w:rStyle w:val="FootnoteReference"/>
          <w:sz w:val="20"/>
          <w:szCs w:val="20"/>
        </w:rPr>
        <w:footnoteRef/>
      </w:r>
      <w:r w:rsidRPr="00D53758">
        <w:rPr>
          <w:sz w:val="20"/>
          <w:szCs w:val="20"/>
          <w:lang w:val="fr-FR"/>
        </w:rPr>
        <w:t xml:space="preserve"> </w:t>
      </w:r>
      <w:r w:rsidRPr="00D53758">
        <w:rPr>
          <w:bCs/>
          <w:sz w:val="20"/>
          <w:szCs w:val="20"/>
          <w:lang w:val="fr-FR"/>
        </w:rPr>
        <w:t xml:space="preserve">Dans le cadre de l’initiative « </w:t>
      </w:r>
      <w:r w:rsidRPr="00D53758">
        <w:rPr>
          <w:bCs/>
          <w:i/>
          <w:sz w:val="20"/>
          <w:szCs w:val="20"/>
          <w:lang w:val="fr-FR"/>
        </w:rPr>
        <w:t xml:space="preserve">Action de l’ONU contre les violences sexuelles dans les pays en conflits </w:t>
      </w:r>
      <w:r w:rsidRPr="00D53758">
        <w:rPr>
          <w:bCs/>
          <w:sz w:val="20"/>
          <w:szCs w:val="20"/>
          <w:lang w:val="fr-FR"/>
        </w:rPr>
        <w:t>», 12 entités de l’ONU travaillent ensemble depuis 2013 et coordonnent leurs efforts afin de lutter contre les violences sexuelles et d’assurer un engagement public et politique mondial en faveur de la prévention et de la lutte contre les violences sexuelles dans les pays en conflit.</w:t>
      </w:r>
      <w:r w:rsidRPr="00D53758">
        <w:rPr>
          <w:sz w:val="20"/>
          <w:szCs w:val="20"/>
          <w:lang w:val="fr-FR"/>
        </w:rPr>
        <w:t xml:space="preserve"> </w:t>
      </w:r>
    </w:p>
  </w:footnote>
  <w:footnote w:id="49">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Voir paragraphe 85 du présent rapport.</w:t>
      </w:r>
    </w:p>
  </w:footnote>
  <w:footnote w:id="50">
    <w:p w:rsidR="00B0107C" w:rsidRPr="00D53758" w:rsidRDefault="00B0107C" w:rsidP="00D53758">
      <w:pPr>
        <w:pStyle w:val="FootnoteText"/>
        <w:jc w:val="both"/>
        <w:rPr>
          <w:lang w:val="fr-FR"/>
        </w:rPr>
      </w:pPr>
      <w:r w:rsidRPr="00D53758">
        <w:rPr>
          <w:rStyle w:val="FootnoteReference"/>
        </w:rPr>
        <w:footnoteRef/>
      </w:r>
      <w:r w:rsidRPr="00D53758">
        <w:rPr>
          <w:bCs/>
          <w:lang w:val="fr-FR"/>
        </w:rPr>
        <w:t xml:space="preserve"> </w:t>
      </w:r>
      <w:r w:rsidRPr="00D53758">
        <w:rPr>
          <w:lang w:val="fr-FR"/>
        </w:rPr>
        <w:t xml:space="preserve">Deux exceptions sont à noter : des sessions d’assises ont été organisées à Abidjan pour traiter de l’affaire des tueries de Guitrozon et de Petit Duekoué à Daloa en 2007 et de l’affaire du déversement des déchets toxiques du cargo Probo Koala, affrété par Trafigura en 2008. </w:t>
      </w:r>
    </w:p>
  </w:footnote>
  <w:footnote w:id="51">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Depuis janvier 2016, ce ministère a été scindé en deux. Il existe depuis lors un Ministère de la Justice et un Ministère des Droits de l’Homme et des Libertés Publiques.</w:t>
      </w:r>
    </w:p>
  </w:footnote>
  <w:footnote w:id="52">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L’accès équitable aux services de la justice est l’un des cinq axes stratégiques retenus par la politique sectorielle adoptée par le Conseil des Ministres le 6 juin 2013.</w:t>
      </w:r>
    </w:p>
  </w:footnote>
  <w:footnote w:id="53">
    <w:p w:rsidR="00B0107C" w:rsidRPr="00D53758" w:rsidRDefault="00B0107C" w:rsidP="00D53758">
      <w:pPr>
        <w:jc w:val="both"/>
        <w:rPr>
          <w:bCs/>
          <w:sz w:val="20"/>
          <w:szCs w:val="20"/>
          <w:lang w:val="fr-FR"/>
        </w:rPr>
      </w:pPr>
      <w:r w:rsidRPr="00D53758">
        <w:rPr>
          <w:rStyle w:val="FootnoteReference"/>
          <w:sz w:val="20"/>
          <w:szCs w:val="20"/>
        </w:rPr>
        <w:footnoteRef/>
      </w:r>
      <w:r w:rsidRPr="00D53758">
        <w:rPr>
          <w:sz w:val="20"/>
          <w:szCs w:val="20"/>
          <w:lang w:val="fr-FR"/>
        </w:rPr>
        <w:t xml:space="preserve"> </w:t>
      </w:r>
      <w:r w:rsidRPr="00D53758">
        <w:rPr>
          <w:bCs/>
          <w:sz w:val="20"/>
          <w:szCs w:val="20"/>
          <w:lang w:val="fr-FR"/>
        </w:rPr>
        <w:t>Le Projet d’appui à l’amélioration de l’accès aux droits et à la justice (PALAJ) a été officiellement lancé en mars 2013 par l’ONUCI, l’Union européenne, l’UNICEF, le Programme des Nations Unies pour le développement (PNUD) et l’</w:t>
      </w:r>
      <w:r w:rsidRPr="00D53758">
        <w:rPr>
          <w:rStyle w:val="fullarticletexte1"/>
          <w:rFonts w:ascii="Times New Roman" w:hAnsi="Times New Roman"/>
          <w:lang w:val="fr-FR"/>
        </w:rPr>
        <w:t>Association des femmes juristes de Côte d’Ivoire (</w:t>
      </w:r>
      <w:r w:rsidRPr="00D53758">
        <w:rPr>
          <w:bCs/>
          <w:sz w:val="20"/>
          <w:szCs w:val="20"/>
          <w:lang w:val="fr-FR"/>
        </w:rPr>
        <w:t>AFJCI). Il vise au rapprochement entre la justice et les justiciables à travers le renforcement des capacités des individus et groupes vulnérables à connaître et réclamer leurs droits.</w:t>
      </w:r>
      <w:r w:rsidRPr="00D53758">
        <w:rPr>
          <w:rStyle w:val="Heading1Char"/>
          <w:rFonts w:ascii="Times New Roman" w:hAnsi="Times New Roman"/>
          <w:lang w:val="fr-FR"/>
        </w:rPr>
        <w:t xml:space="preserve"> </w:t>
      </w:r>
      <w:r w:rsidRPr="00D53758">
        <w:rPr>
          <w:sz w:val="20"/>
          <w:szCs w:val="20"/>
          <w:lang w:val="fr-FR"/>
        </w:rPr>
        <w:t>En décembre 2014, au cours d’un atelier de trois jours organisé à Grand-Bassam, la DDH a renforcé les capacités des équipes des cliniques juridiques mises en place dans le cadre de ce projet et des acteurs locaux qui participent à la lutte contre l’impunité des auteurs de violences sexuelles sur le suivi des cas de violence sexuelles, y compris celles liées au conflit.</w:t>
      </w:r>
    </w:p>
  </w:footnote>
  <w:footnote w:id="54">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Elle a été instituée </w:t>
      </w:r>
      <w:r w:rsidRPr="00D53758">
        <w:rPr>
          <w:bCs/>
          <w:lang w:val="fr-FR"/>
        </w:rPr>
        <w:t xml:space="preserve">par l’adoption de la Loi n°72-833 du 21décembre 1972 portant Code de procédure civile, commerciale et administrative (articles 27 à 31) dont les modalités d’application sont fixées par le Décret n°75-319 du 9 mai 1975. </w:t>
      </w:r>
    </w:p>
  </w:footnote>
  <w:footnote w:id="55">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w:t>
      </w:r>
      <w:r w:rsidRPr="00D53758">
        <w:rPr>
          <w:bCs/>
          <w:lang w:val="fr-FR"/>
        </w:rPr>
        <w:t>Le processus pour accéder à une telle assistance est contraignant car les services compétents sont exclusivement basés à Abidjan et les documents à fournir ne sont pas toujours faciles à obtenir.</w:t>
      </w:r>
    </w:p>
  </w:footnote>
  <w:footnote w:id="56">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Circulaire nº005 du 18 mars 2014 relative à la réception dans les services de police judiciaire des plaintes des victimes d’agressions physiques. </w:t>
      </w:r>
    </w:p>
  </w:footnote>
  <w:footnote w:id="57">
    <w:p w:rsidR="00B0107C" w:rsidRPr="00D53758" w:rsidRDefault="00B0107C" w:rsidP="00D53758">
      <w:pPr>
        <w:jc w:val="both"/>
        <w:rPr>
          <w:sz w:val="20"/>
          <w:szCs w:val="20"/>
          <w:lang w:val="fr-FR"/>
        </w:rPr>
      </w:pPr>
      <w:r w:rsidRPr="00D53758">
        <w:rPr>
          <w:rStyle w:val="FootnoteReference"/>
          <w:sz w:val="20"/>
          <w:szCs w:val="20"/>
        </w:rPr>
        <w:footnoteRef/>
      </w:r>
      <w:r w:rsidRPr="00D53758">
        <w:rPr>
          <w:sz w:val="20"/>
          <w:szCs w:val="20"/>
          <w:lang w:val="fr-FR"/>
        </w:rPr>
        <w:t xml:space="preserve"> Tout en rappelant l’importance de ce document médico-légal, le Ministre de la Justice, soucieux de permettre aux personnes dépourvues de ressources et résidant dans des localités dépourvues de centres de santé de pouvoir saisir la justice, propose des solutions alternatives. Celles-ci consistent en la consignation dans un procès-verbal qui a une valeur probante au même titre que le certificat médical des violences constatées par les officiers de police judiciaire, quitte à la victime d’apporter le certificat médical plus tard pour la poursuite de l’enquête judiciaire. </w:t>
      </w:r>
    </w:p>
  </w:footnote>
  <w:footnote w:id="58">
    <w:p w:rsidR="00097245" w:rsidRPr="00D53758" w:rsidRDefault="00097245" w:rsidP="00097245">
      <w:pPr>
        <w:pStyle w:val="FootnoteText"/>
        <w:jc w:val="both"/>
        <w:rPr>
          <w:lang w:val="fr-FR"/>
        </w:rPr>
      </w:pPr>
      <w:r w:rsidRPr="00D53758">
        <w:rPr>
          <w:rStyle w:val="FootnoteReference"/>
        </w:rPr>
        <w:footnoteRef/>
      </w:r>
      <w:r w:rsidRPr="00D53758">
        <w:rPr>
          <w:lang w:val="fr-FR"/>
        </w:rPr>
        <w:t xml:space="preserve"> </w:t>
      </w:r>
      <w:r w:rsidRPr="00D53758">
        <w:rPr>
          <w:rFonts w:eastAsiaTheme="minorHAnsi"/>
          <w:lang w:val="fr-FR"/>
        </w:rPr>
        <w:t xml:space="preserve">Lors de ce sommet, le Chef d’État-Major Soumaïla Bakayoko a prononcé une déclaration d’engagement contre les violences sexuelles à laquelle s’est jointe la politique de tolérance zéro de la Côte d’Ivoire à l’égard des auteurs présumés de violence sexuelle. Cette déclaration a été suivie par celle du </w:t>
      </w:r>
      <w:r w:rsidRPr="00D53758">
        <w:rPr>
          <w:lang w:val="fr-FR"/>
        </w:rPr>
        <w:t>Ministre des Affaires Etrangères.</w:t>
      </w:r>
    </w:p>
  </w:footnote>
  <w:footnote w:id="59">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w:t>
      </w:r>
      <w:r w:rsidRPr="00D53758">
        <w:rPr>
          <w:lang w:val="fr-BE"/>
        </w:rPr>
        <w:t xml:space="preserve">Ce plan d’action couvre la prévention, notamment par le </w:t>
      </w:r>
      <w:r w:rsidRPr="00D53758">
        <w:rPr>
          <w:i/>
          <w:lang w:val="fr-BE"/>
        </w:rPr>
        <w:t>vetting</w:t>
      </w:r>
      <w:r w:rsidRPr="00D53758">
        <w:rPr>
          <w:lang w:val="fr-BE"/>
        </w:rPr>
        <w:t xml:space="preserve"> et des codes de conduite renforcés, le renforcement des capacités de l’armée et l’apport d’une réponse par le biais d’enquêtes et de poursuites judiciaires.</w:t>
      </w:r>
      <w:r w:rsidRPr="00D53758">
        <w:rPr>
          <w:lang w:val="fr-FR"/>
        </w:rPr>
        <w:t xml:space="preserve"> </w:t>
      </w:r>
    </w:p>
  </w:footnote>
  <w:footnote w:id="60">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 </w:t>
      </w:r>
      <w:r w:rsidRPr="00D53758">
        <w:rPr>
          <w:i/>
          <w:lang w:val="fr-FR"/>
        </w:rPr>
        <w:t>Monitoring Analysis and Reporting Arrangements</w:t>
      </w:r>
      <w:r w:rsidRPr="00D53758">
        <w:rPr>
          <w:lang w:val="fr-FR"/>
        </w:rPr>
        <w:t> » en application de la Résolution 1960 du Conseil de sécurité des Nations Unies.</w:t>
      </w:r>
    </w:p>
  </w:footnote>
  <w:footnote w:id="61">
    <w:p w:rsidR="00B0107C" w:rsidRPr="00D53758" w:rsidRDefault="00B0107C" w:rsidP="00D53758">
      <w:pPr>
        <w:jc w:val="both"/>
        <w:rPr>
          <w:sz w:val="20"/>
          <w:szCs w:val="20"/>
          <w:lang w:val="fr-FR"/>
        </w:rPr>
      </w:pPr>
      <w:r w:rsidRPr="00D53758">
        <w:rPr>
          <w:rStyle w:val="FootnoteReference"/>
          <w:sz w:val="20"/>
          <w:szCs w:val="20"/>
        </w:rPr>
        <w:footnoteRef/>
      </w:r>
      <w:r w:rsidRPr="00D53758">
        <w:rPr>
          <w:sz w:val="20"/>
          <w:szCs w:val="20"/>
          <w:lang w:val="fr-FR"/>
        </w:rPr>
        <w:t>« </w:t>
      </w:r>
      <w:r w:rsidRPr="00D53758">
        <w:rPr>
          <w:i/>
          <w:sz w:val="20"/>
          <w:szCs w:val="20"/>
          <w:lang w:val="fr-FR"/>
        </w:rPr>
        <w:t>Liens entre violences faites aux femmes et santé maternelle : cas de 7 pays en Afrique Subsaharienne et en Haïti</w:t>
      </w:r>
      <w:r w:rsidRPr="00D53758">
        <w:rPr>
          <w:sz w:val="20"/>
          <w:szCs w:val="20"/>
          <w:lang w:val="fr-FR"/>
        </w:rPr>
        <w:t> », Juin 2015, disponible au lien suivant : http://www.unwomenwestandcentralafrica.com/uploads/2/0/3/3/20331433/a4_un_women_cera_print_2.pdf</w:t>
      </w:r>
      <w:hyperlink r:id="rId2" w:history="1"/>
    </w:p>
  </w:footnote>
  <w:footnote w:id="62">
    <w:p w:rsidR="00B0107C" w:rsidRPr="00D53758" w:rsidRDefault="00B0107C" w:rsidP="00D53758">
      <w:pPr>
        <w:pStyle w:val="FootnoteText"/>
        <w:jc w:val="both"/>
        <w:rPr>
          <w:lang w:val="fr-FR"/>
        </w:rPr>
      </w:pPr>
      <w:r w:rsidRPr="00D53758">
        <w:rPr>
          <w:rStyle w:val="FootnoteReference"/>
        </w:rPr>
        <w:footnoteRef/>
      </w:r>
      <w:r w:rsidRPr="00D53758">
        <w:rPr>
          <w:lang w:val="fr-FR"/>
        </w:rPr>
        <w:t xml:space="preserve"> « </w:t>
      </w:r>
      <w:r w:rsidRPr="00D53758">
        <w:rPr>
          <w:i/>
          <w:lang w:val="fr-FR"/>
        </w:rPr>
        <w:t>Evaluation des mécanismes nationaux de lutte contre les violences basées sur le genre – Rapport final</w:t>
      </w:r>
      <w:r w:rsidRPr="00D53758">
        <w:rPr>
          <w:lang w:val="fr-FR"/>
        </w:rPr>
        <w:t xml:space="preserve"> », Ministère de la Solidarité, de la Famille, de la Femme et de l’Enfant avec l’appui d’ONU Femmes et le Fonds français MUSKOKA, Juillet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7C" w:rsidRDefault="00B0107C" w:rsidP="00A84EE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836"/>
    <w:multiLevelType w:val="hybridMultilevel"/>
    <w:tmpl w:val="479241EC"/>
    <w:lvl w:ilvl="0" w:tplc="7C6817F6">
      <w:start w:val="1"/>
      <w:numFmt w:val="bullet"/>
      <w:lvlText w:val=""/>
      <w:lvlJc w:val="left"/>
      <w:pPr>
        <w:tabs>
          <w:tab w:val="num" w:pos="720"/>
        </w:tabs>
        <w:ind w:left="720" w:hanging="360"/>
      </w:pPr>
      <w:rPr>
        <w:rFonts w:ascii="Wingdings" w:hAnsi="Wingdings" w:hint="default"/>
      </w:rPr>
    </w:lvl>
    <w:lvl w:ilvl="1" w:tplc="8AC05678" w:tentative="1">
      <w:start w:val="1"/>
      <w:numFmt w:val="bullet"/>
      <w:lvlText w:val=""/>
      <w:lvlJc w:val="left"/>
      <w:pPr>
        <w:tabs>
          <w:tab w:val="num" w:pos="1440"/>
        </w:tabs>
        <w:ind w:left="1440" w:hanging="360"/>
      </w:pPr>
      <w:rPr>
        <w:rFonts w:ascii="Wingdings" w:hAnsi="Wingdings" w:hint="default"/>
      </w:rPr>
    </w:lvl>
    <w:lvl w:ilvl="2" w:tplc="A82AE3D6" w:tentative="1">
      <w:start w:val="1"/>
      <w:numFmt w:val="bullet"/>
      <w:lvlText w:val=""/>
      <w:lvlJc w:val="left"/>
      <w:pPr>
        <w:tabs>
          <w:tab w:val="num" w:pos="2160"/>
        </w:tabs>
        <w:ind w:left="2160" w:hanging="360"/>
      </w:pPr>
      <w:rPr>
        <w:rFonts w:ascii="Wingdings" w:hAnsi="Wingdings" w:hint="default"/>
      </w:rPr>
    </w:lvl>
    <w:lvl w:ilvl="3" w:tplc="2522E0D2" w:tentative="1">
      <w:start w:val="1"/>
      <w:numFmt w:val="bullet"/>
      <w:lvlText w:val=""/>
      <w:lvlJc w:val="left"/>
      <w:pPr>
        <w:tabs>
          <w:tab w:val="num" w:pos="2880"/>
        </w:tabs>
        <w:ind w:left="2880" w:hanging="360"/>
      </w:pPr>
      <w:rPr>
        <w:rFonts w:ascii="Wingdings" w:hAnsi="Wingdings" w:hint="default"/>
      </w:rPr>
    </w:lvl>
    <w:lvl w:ilvl="4" w:tplc="7A3CCF9A" w:tentative="1">
      <w:start w:val="1"/>
      <w:numFmt w:val="bullet"/>
      <w:lvlText w:val=""/>
      <w:lvlJc w:val="left"/>
      <w:pPr>
        <w:tabs>
          <w:tab w:val="num" w:pos="3600"/>
        </w:tabs>
        <w:ind w:left="3600" w:hanging="360"/>
      </w:pPr>
      <w:rPr>
        <w:rFonts w:ascii="Wingdings" w:hAnsi="Wingdings" w:hint="default"/>
      </w:rPr>
    </w:lvl>
    <w:lvl w:ilvl="5" w:tplc="EB8CF68A" w:tentative="1">
      <w:start w:val="1"/>
      <w:numFmt w:val="bullet"/>
      <w:lvlText w:val=""/>
      <w:lvlJc w:val="left"/>
      <w:pPr>
        <w:tabs>
          <w:tab w:val="num" w:pos="4320"/>
        </w:tabs>
        <w:ind w:left="4320" w:hanging="360"/>
      </w:pPr>
      <w:rPr>
        <w:rFonts w:ascii="Wingdings" w:hAnsi="Wingdings" w:hint="default"/>
      </w:rPr>
    </w:lvl>
    <w:lvl w:ilvl="6" w:tplc="C4D6E3EA" w:tentative="1">
      <w:start w:val="1"/>
      <w:numFmt w:val="bullet"/>
      <w:lvlText w:val=""/>
      <w:lvlJc w:val="left"/>
      <w:pPr>
        <w:tabs>
          <w:tab w:val="num" w:pos="5040"/>
        </w:tabs>
        <w:ind w:left="5040" w:hanging="360"/>
      </w:pPr>
      <w:rPr>
        <w:rFonts w:ascii="Wingdings" w:hAnsi="Wingdings" w:hint="default"/>
      </w:rPr>
    </w:lvl>
    <w:lvl w:ilvl="7" w:tplc="227AF4E8" w:tentative="1">
      <w:start w:val="1"/>
      <w:numFmt w:val="bullet"/>
      <w:lvlText w:val=""/>
      <w:lvlJc w:val="left"/>
      <w:pPr>
        <w:tabs>
          <w:tab w:val="num" w:pos="5760"/>
        </w:tabs>
        <w:ind w:left="5760" w:hanging="360"/>
      </w:pPr>
      <w:rPr>
        <w:rFonts w:ascii="Wingdings" w:hAnsi="Wingdings" w:hint="default"/>
      </w:rPr>
    </w:lvl>
    <w:lvl w:ilvl="8" w:tplc="23803978" w:tentative="1">
      <w:start w:val="1"/>
      <w:numFmt w:val="bullet"/>
      <w:lvlText w:val=""/>
      <w:lvlJc w:val="left"/>
      <w:pPr>
        <w:tabs>
          <w:tab w:val="num" w:pos="6480"/>
        </w:tabs>
        <w:ind w:left="6480" w:hanging="360"/>
      </w:pPr>
      <w:rPr>
        <w:rFonts w:ascii="Wingdings" w:hAnsi="Wingdings" w:hint="default"/>
      </w:rPr>
    </w:lvl>
  </w:abstractNum>
  <w:abstractNum w:abstractNumId="1">
    <w:nsid w:val="04457029"/>
    <w:multiLevelType w:val="hybridMultilevel"/>
    <w:tmpl w:val="1DF83398"/>
    <w:lvl w:ilvl="0" w:tplc="D3526CBE">
      <w:start w:val="1"/>
      <w:numFmt w:val="decimal"/>
      <w:lvlText w:val="%1."/>
      <w:lvlJc w:val="left"/>
      <w:pPr>
        <w:ind w:left="360" w:hanging="360"/>
      </w:pPr>
      <w:rPr>
        <w:rFonts w:eastAsia="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2D4ADB"/>
    <w:multiLevelType w:val="hybridMultilevel"/>
    <w:tmpl w:val="C7B4F2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2260CD"/>
    <w:multiLevelType w:val="hybridMultilevel"/>
    <w:tmpl w:val="78D87FAC"/>
    <w:lvl w:ilvl="0" w:tplc="5A6AF122">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E97E60"/>
    <w:multiLevelType w:val="hybridMultilevel"/>
    <w:tmpl w:val="1C58DF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30F5C41"/>
    <w:multiLevelType w:val="hybridMultilevel"/>
    <w:tmpl w:val="1FC8BECA"/>
    <w:lvl w:ilvl="0" w:tplc="43BE26E2">
      <w:start w:val="2"/>
      <w:numFmt w:val="bullet"/>
      <w:lvlText w:val="-"/>
      <w:lvlJc w:val="left"/>
      <w:pPr>
        <w:ind w:left="1170" w:hanging="360"/>
      </w:pPr>
      <w:rPr>
        <w:rFonts w:ascii="Times New Roman" w:eastAsia="Calibri" w:hAnsi="Times New Roman" w:cs="Times New Roman"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6">
    <w:nsid w:val="17BB09E5"/>
    <w:multiLevelType w:val="hybridMultilevel"/>
    <w:tmpl w:val="B492DF6E"/>
    <w:lvl w:ilvl="0" w:tplc="0B064790">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701BE"/>
    <w:multiLevelType w:val="hybridMultilevel"/>
    <w:tmpl w:val="E5B26336"/>
    <w:lvl w:ilvl="0" w:tplc="0409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8">
    <w:nsid w:val="22572C6F"/>
    <w:multiLevelType w:val="hybridMultilevel"/>
    <w:tmpl w:val="E326DE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CA2ED1"/>
    <w:multiLevelType w:val="multilevel"/>
    <w:tmpl w:val="6B2047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4439A"/>
    <w:multiLevelType w:val="hybridMultilevel"/>
    <w:tmpl w:val="D0664F8E"/>
    <w:lvl w:ilvl="0" w:tplc="50926A3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7E1D60"/>
    <w:multiLevelType w:val="hybridMultilevel"/>
    <w:tmpl w:val="27926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770F9B"/>
    <w:multiLevelType w:val="hybridMultilevel"/>
    <w:tmpl w:val="5EA8B4A2"/>
    <w:lvl w:ilvl="0" w:tplc="BD9C9354">
      <w:start w:val="1"/>
      <w:numFmt w:val="decimal"/>
      <w:lvlText w:val="%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533B1E"/>
    <w:multiLevelType w:val="hybridMultilevel"/>
    <w:tmpl w:val="54E8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90F84"/>
    <w:multiLevelType w:val="hybridMultilevel"/>
    <w:tmpl w:val="99443A62"/>
    <w:lvl w:ilvl="0" w:tplc="0C44F6CC">
      <w:start w:val="10"/>
      <w:numFmt w:val="bullet"/>
      <w:lvlText w:val="-"/>
      <w:lvlJc w:val="left"/>
      <w:pPr>
        <w:ind w:left="580" w:hanging="360"/>
      </w:pPr>
      <w:rPr>
        <w:rFonts w:ascii="Times New Roman" w:eastAsia="Times New Roman" w:hAnsi="Times New Roman" w:cs="Times New Roman" w:hint="default"/>
        <w:color w:val="auto"/>
        <w:sz w:val="22"/>
        <w:u w:val="none"/>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5">
    <w:nsid w:val="3AB91E0F"/>
    <w:multiLevelType w:val="multilevel"/>
    <w:tmpl w:val="A7584D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DF3DDB"/>
    <w:multiLevelType w:val="hybridMultilevel"/>
    <w:tmpl w:val="050A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D3DCE"/>
    <w:multiLevelType w:val="hybridMultilevel"/>
    <w:tmpl w:val="019E8A1A"/>
    <w:lvl w:ilvl="0" w:tplc="34B8E506">
      <w:start w:val="1"/>
      <w:numFmt w:val="upperRoman"/>
      <w:lvlText w:val="%1."/>
      <w:lvlJc w:val="left"/>
      <w:pPr>
        <w:ind w:left="720" w:hanging="720"/>
      </w:pPr>
      <w:rPr>
        <w:rFonts w:ascii="Times New Roman" w:hAnsi="Times New Roman" w:cs="Times New Roman" w:hint="default"/>
        <w:sz w:val="24"/>
        <w:szCs w:val="24"/>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F52CAC"/>
    <w:multiLevelType w:val="multilevel"/>
    <w:tmpl w:val="320A284C"/>
    <w:lvl w:ilvl="0">
      <w:start w:val="1"/>
      <w:numFmt w:val="decimal"/>
      <w:lvlText w:val="%1."/>
      <w:lvlJc w:val="left"/>
      <w:pPr>
        <w:ind w:left="720" w:hanging="360"/>
      </w:pPr>
      <w:rPr>
        <w:rFonts w:ascii="Cambria" w:eastAsia="Calibri" w:hAnsi="Cambria"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C1B5F34"/>
    <w:multiLevelType w:val="hybridMultilevel"/>
    <w:tmpl w:val="ACBC5DB0"/>
    <w:lvl w:ilvl="0" w:tplc="4A20389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05712A"/>
    <w:multiLevelType w:val="hybridMultilevel"/>
    <w:tmpl w:val="804EB066"/>
    <w:lvl w:ilvl="0" w:tplc="D3526CBE">
      <w:start w:val="1"/>
      <w:numFmt w:val="decimal"/>
      <w:lvlText w:val="%1."/>
      <w:lvlJc w:val="left"/>
      <w:pPr>
        <w:ind w:left="360" w:hanging="360"/>
      </w:pPr>
      <w:rPr>
        <w:rFonts w:eastAsia="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8F79A3"/>
    <w:multiLevelType w:val="hybridMultilevel"/>
    <w:tmpl w:val="8C1C8876"/>
    <w:lvl w:ilvl="0" w:tplc="48403180">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EE3E67"/>
    <w:multiLevelType w:val="hybridMultilevel"/>
    <w:tmpl w:val="56B6DD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E071CE"/>
    <w:multiLevelType w:val="hybridMultilevel"/>
    <w:tmpl w:val="5C602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032157"/>
    <w:multiLevelType w:val="hybridMultilevel"/>
    <w:tmpl w:val="F634D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7B4C05"/>
    <w:multiLevelType w:val="hybridMultilevel"/>
    <w:tmpl w:val="31CE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C723C"/>
    <w:multiLevelType w:val="hybridMultilevel"/>
    <w:tmpl w:val="7B9CB2C8"/>
    <w:lvl w:ilvl="0" w:tplc="553C31AA">
      <w:start w:val="1"/>
      <w:numFmt w:val="decimal"/>
      <w:lvlText w:val="%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064BBD"/>
    <w:multiLevelType w:val="hybridMultilevel"/>
    <w:tmpl w:val="D0AA86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6D0D677F"/>
    <w:multiLevelType w:val="hybridMultilevel"/>
    <w:tmpl w:val="7C5C4280"/>
    <w:lvl w:ilvl="0" w:tplc="D3526CBE">
      <w:start w:val="1"/>
      <w:numFmt w:val="decimal"/>
      <w:lvlText w:val="%1."/>
      <w:lvlJc w:val="left"/>
      <w:pPr>
        <w:ind w:left="360" w:hanging="360"/>
      </w:pPr>
      <w:rPr>
        <w:rFonts w:eastAsia="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A26FBD"/>
    <w:multiLevelType w:val="hybridMultilevel"/>
    <w:tmpl w:val="65DE8D6E"/>
    <w:lvl w:ilvl="0" w:tplc="1FAEA5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73D31"/>
    <w:multiLevelType w:val="multilevel"/>
    <w:tmpl w:val="5F7E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4"/>
  </w:num>
  <w:num w:numId="4">
    <w:abstractNumId w:val="22"/>
  </w:num>
  <w:num w:numId="5">
    <w:abstractNumId w:val="26"/>
  </w:num>
  <w:num w:numId="6">
    <w:abstractNumId w:val="23"/>
  </w:num>
  <w:num w:numId="7">
    <w:abstractNumId w:val="15"/>
  </w:num>
  <w:num w:numId="8">
    <w:abstractNumId w:val="9"/>
  </w:num>
  <w:num w:numId="9">
    <w:abstractNumId w:val="14"/>
  </w:num>
  <w:num w:numId="10">
    <w:abstractNumId w:val="2"/>
  </w:num>
  <w:num w:numId="11">
    <w:abstractNumId w:val="8"/>
  </w:num>
  <w:num w:numId="12">
    <w:abstractNumId w:val="28"/>
  </w:num>
  <w:num w:numId="13">
    <w:abstractNumId w:val="18"/>
  </w:num>
  <w:num w:numId="14">
    <w:abstractNumId w:val="19"/>
  </w:num>
  <w:num w:numId="15">
    <w:abstractNumId w:val="21"/>
  </w:num>
  <w:num w:numId="16">
    <w:abstractNumId w:val="10"/>
  </w:num>
  <w:num w:numId="17">
    <w:abstractNumId w:val="30"/>
  </w:num>
  <w:num w:numId="18">
    <w:abstractNumId w:val="29"/>
  </w:num>
  <w:num w:numId="19">
    <w:abstractNumId w:val="0"/>
  </w:num>
  <w:num w:numId="20">
    <w:abstractNumId w:val="25"/>
  </w:num>
  <w:num w:numId="21">
    <w:abstractNumId w:val="20"/>
  </w:num>
  <w:num w:numId="22">
    <w:abstractNumId w:val="7"/>
  </w:num>
  <w:num w:numId="23">
    <w:abstractNumId w:val="5"/>
  </w:num>
  <w:num w:numId="24">
    <w:abstractNumId w:val="1"/>
  </w:num>
  <w:num w:numId="25">
    <w:abstractNumId w:val="13"/>
  </w:num>
  <w:num w:numId="26">
    <w:abstractNumId w:val="6"/>
  </w:num>
  <w:num w:numId="27">
    <w:abstractNumId w:val="3"/>
  </w:num>
  <w:num w:numId="28">
    <w:abstractNumId w:val="12"/>
  </w:num>
  <w:num w:numId="29">
    <w:abstractNumId w:val="16"/>
  </w:num>
  <w:num w:numId="30">
    <w:abstractNumId w:val="11"/>
  </w:num>
  <w:num w:numId="3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EC"/>
    <w:rsid w:val="0000054A"/>
    <w:rsid w:val="00001D20"/>
    <w:rsid w:val="00001EE4"/>
    <w:rsid w:val="00004441"/>
    <w:rsid w:val="00006230"/>
    <w:rsid w:val="000070FD"/>
    <w:rsid w:val="000073D1"/>
    <w:rsid w:val="00010C10"/>
    <w:rsid w:val="0001181E"/>
    <w:rsid w:val="00011DF3"/>
    <w:rsid w:val="000134FE"/>
    <w:rsid w:val="00014012"/>
    <w:rsid w:val="00014A61"/>
    <w:rsid w:val="00015DFD"/>
    <w:rsid w:val="000175CE"/>
    <w:rsid w:val="000178CC"/>
    <w:rsid w:val="00020247"/>
    <w:rsid w:val="0002061B"/>
    <w:rsid w:val="00020837"/>
    <w:rsid w:val="000211E5"/>
    <w:rsid w:val="000225EC"/>
    <w:rsid w:val="000234DD"/>
    <w:rsid w:val="00023523"/>
    <w:rsid w:val="00023F32"/>
    <w:rsid w:val="00024FE9"/>
    <w:rsid w:val="000258BB"/>
    <w:rsid w:val="000272EA"/>
    <w:rsid w:val="0003033C"/>
    <w:rsid w:val="00030BBE"/>
    <w:rsid w:val="00032435"/>
    <w:rsid w:val="0003247B"/>
    <w:rsid w:val="00034E33"/>
    <w:rsid w:val="0003634E"/>
    <w:rsid w:val="00042D36"/>
    <w:rsid w:val="00043315"/>
    <w:rsid w:val="0004410C"/>
    <w:rsid w:val="00046735"/>
    <w:rsid w:val="00047B00"/>
    <w:rsid w:val="00047E15"/>
    <w:rsid w:val="00051577"/>
    <w:rsid w:val="000516FC"/>
    <w:rsid w:val="00051AD7"/>
    <w:rsid w:val="000543C8"/>
    <w:rsid w:val="000546B8"/>
    <w:rsid w:val="000547B0"/>
    <w:rsid w:val="000563C1"/>
    <w:rsid w:val="00056FB0"/>
    <w:rsid w:val="00057E86"/>
    <w:rsid w:val="00062209"/>
    <w:rsid w:val="00065228"/>
    <w:rsid w:val="00065547"/>
    <w:rsid w:val="0006712B"/>
    <w:rsid w:val="000676D9"/>
    <w:rsid w:val="0007074C"/>
    <w:rsid w:val="00070803"/>
    <w:rsid w:val="00070A7C"/>
    <w:rsid w:val="00072DC7"/>
    <w:rsid w:val="00074AD5"/>
    <w:rsid w:val="000757C5"/>
    <w:rsid w:val="0008055B"/>
    <w:rsid w:val="000816FA"/>
    <w:rsid w:val="000835E0"/>
    <w:rsid w:val="0008373D"/>
    <w:rsid w:val="0008579F"/>
    <w:rsid w:val="00085A74"/>
    <w:rsid w:val="00086A04"/>
    <w:rsid w:val="00086EF6"/>
    <w:rsid w:val="0008752D"/>
    <w:rsid w:val="00090E68"/>
    <w:rsid w:val="000918E3"/>
    <w:rsid w:val="00093228"/>
    <w:rsid w:val="00095FA3"/>
    <w:rsid w:val="00097245"/>
    <w:rsid w:val="000A09FC"/>
    <w:rsid w:val="000A1F3D"/>
    <w:rsid w:val="000A3604"/>
    <w:rsid w:val="000A6123"/>
    <w:rsid w:val="000A6D20"/>
    <w:rsid w:val="000B1746"/>
    <w:rsid w:val="000B2BFF"/>
    <w:rsid w:val="000B3176"/>
    <w:rsid w:val="000B38E9"/>
    <w:rsid w:val="000B4157"/>
    <w:rsid w:val="000B47E5"/>
    <w:rsid w:val="000B5D80"/>
    <w:rsid w:val="000B6ED9"/>
    <w:rsid w:val="000B7F5C"/>
    <w:rsid w:val="000C0524"/>
    <w:rsid w:val="000C081D"/>
    <w:rsid w:val="000C16A2"/>
    <w:rsid w:val="000C2353"/>
    <w:rsid w:val="000C27AF"/>
    <w:rsid w:val="000C6515"/>
    <w:rsid w:val="000C68DE"/>
    <w:rsid w:val="000C7A33"/>
    <w:rsid w:val="000D09C2"/>
    <w:rsid w:val="000D1A67"/>
    <w:rsid w:val="000D5702"/>
    <w:rsid w:val="000D57A4"/>
    <w:rsid w:val="000D5D41"/>
    <w:rsid w:val="000D71A0"/>
    <w:rsid w:val="000D745E"/>
    <w:rsid w:val="000D7C97"/>
    <w:rsid w:val="000E0852"/>
    <w:rsid w:val="000E0AB0"/>
    <w:rsid w:val="000E1E7F"/>
    <w:rsid w:val="000E26E1"/>
    <w:rsid w:val="000E45D1"/>
    <w:rsid w:val="000E6A4E"/>
    <w:rsid w:val="000E79BB"/>
    <w:rsid w:val="000E7B59"/>
    <w:rsid w:val="000E7DAC"/>
    <w:rsid w:val="000F05EC"/>
    <w:rsid w:val="000F0D09"/>
    <w:rsid w:val="000F1311"/>
    <w:rsid w:val="000F3EF2"/>
    <w:rsid w:val="000F7565"/>
    <w:rsid w:val="00100247"/>
    <w:rsid w:val="0010070F"/>
    <w:rsid w:val="00100BD1"/>
    <w:rsid w:val="00101A47"/>
    <w:rsid w:val="0010266B"/>
    <w:rsid w:val="00102B24"/>
    <w:rsid w:val="00104FC3"/>
    <w:rsid w:val="00105596"/>
    <w:rsid w:val="001055BB"/>
    <w:rsid w:val="00105A0E"/>
    <w:rsid w:val="00111067"/>
    <w:rsid w:val="00112E1A"/>
    <w:rsid w:val="00113077"/>
    <w:rsid w:val="00113B9A"/>
    <w:rsid w:val="001142DD"/>
    <w:rsid w:val="00116F29"/>
    <w:rsid w:val="001175F4"/>
    <w:rsid w:val="0012154F"/>
    <w:rsid w:val="00121632"/>
    <w:rsid w:val="00121BAD"/>
    <w:rsid w:val="001224DB"/>
    <w:rsid w:val="00124582"/>
    <w:rsid w:val="001257F9"/>
    <w:rsid w:val="00126AE6"/>
    <w:rsid w:val="001271CF"/>
    <w:rsid w:val="001272D4"/>
    <w:rsid w:val="00131D80"/>
    <w:rsid w:val="00133573"/>
    <w:rsid w:val="00133FA6"/>
    <w:rsid w:val="001345B8"/>
    <w:rsid w:val="001346B6"/>
    <w:rsid w:val="00135F50"/>
    <w:rsid w:val="001361F7"/>
    <w:rsid w:val="00136A2B"/>
    <w:rsid w:val="00140664"/>
    <w:rsid w:val="00141B63"/>
    <w:rsid w:val="00142256"/>
    <w:rsid w:val="00142F0A"/>
    <w:rsid w:val="001432FA"/>
    <w:rsid w:val="00143785"/>
    <w:rsid w:val="00145BC3"/>
    <w:rsid w:val="0015008B"/>
    <w:rsid w:val="001505DE"/>
    <w:rsid w:val="00150DE2"/>
    <w:rsid w:val="00151850"/>
    <w:rsid w:val="00151AAB"/>
    <w:rsid w:val="00152536"/>
    <w:rsid w:val="00154834"/>
    <w:rsid w:val="001559FE"/>
    <w:rsid w:val="001572B8"/>
    <w:rsid w:val="00161D57"/>
    <w:rsid w:val="00164327"/>
    <w:rsid w:val="00165811"/>
    <w:rsid w:val="0016646C"/>
    <w:rsid w:val="00167E4C"/>
    <w:rsid w:val="00170328"/>
    <w:rsid w:val="00170475"/>
    <w:rsid w:val="00172C3B"/>
    <w:rsid w:val="00173C54"/>
    <w:rsid w:val="00173D35"/>
    <w:rsid w:val="00175690"/>
    <w:rsid w:val="00177781"/>
    <w:rsid w:val="00177E39"/>
    <w:rsid w:val="001827B3"/>
    <w:rsid w:val="001847ED"/>
    <w:rsid w:val="001878B0"/>
    <w:rsid w:val="0019321B"/>
    <w:rsid w:val="001A0A9A"/>
    <w:rsid w:val="001A1039"/>
    <w:rsid w:val="001A1738"/>
    <w:rsid w:val="001A64E4"/>
    <w:rsid w:val="001A6975"/>
    <w:rsid w:val="001A6C71"/>
    <w:rsid w:val="001B2120"/>
    <w:rsid w:val="001B3307"/>
    <w:rsid w:val="001B4BEC"/>
    <w:rsid w:val="001B55F1"/>
    <w:rsid w:val="001B6BE5"/>
    <w:rsid w:val="001C0B70"/>
    <w:rsid w:val="001C2F83"/>
    <w:rsid w:val="001C43A0"/>
    <w:rsid w:val="001C4A38"/>
    <w:rsid w:val="001C77DC"/>
    <w:rsid w:val="001C7FB5"/>
    <w:rsid w:val="001D050C"/>
    <w:rsid w:val="001D1B7C"/>
    <w:rsid w:val="001D3816"/>
    <w:rsid w:val="001D3996"/>
    <w:rsid w:val="001D4D9F"/>
    <w:rsid w:val="001D4E28"/>
    <w:rsid w:val="001D66EA"/>
    <w:rsid w:val="001D6CA4"/>
    <w:rsid w:val="001D73FA"/>
    <w:rsid w:val="001D7F35"/>
    <w:rsid w:val="001E01BD"/>
    <w:rsid w:val="001E11EA"/>
    <w:rsid w:val="001E15A4"/>
    <w:rsid w:val="001E190D"/>
    <w:rsid w:val="001E2373"/>
    <w:rsid w:val="001E2C84"/>
    <w:rsid w:val="001E5C99"/>
    <w:rsid w:val="001E5EF2"/>
    <w:rsid w:val="001E61C8"/>
    <w:rsid w:val="001E789D"/>
    <w:rsid w:val="001E78F8"/>
    <w:rsid w:val="001E7916"/>
    <w:rsid w:val="001E7CD5"/>
    <w:rsid w:val="001F01C0"/>
    <w:rsid w:val="001F10FC"/>
    <w:rsid w:val="001F1445"/>
    <w:rsid w:val="001F3262"/>
    <w:rsid w:val="001F3C23"/>
    <w:rsid w:val="001F55E5"/>
    <w:rsid w:val="001F5C2E"/>
    <w:rsid w:val="001F6E58"/>
    <w:rsid w:val="001F7361"/>
    <w:rsid w:val="001F7F5D"/>
    <w:rsid w:val="00200059"/>
    <w:rsid w:val="0020031A"/>
    <w:rsid w:val="002011E4"/>
    <w:rsid w:val="002015D9"/>
    <w:rsid w:val="00203E6B"/>
    <w:rsid w:val="00204F9A"/>
    <w:rsid w:val="00205BA3"/>
    <w:rsid w:val="00205EB8"/>
    <w:rsid w:val="0020615D"/>
    <w:rsid w:val="00207385"/>
    <w:rsid w:val="0021062D"/>
    <w:rsid w:val="00214D30"/>
    <w:rsid w:val="00215525"/>
    <w:rsid w:val="00220525"/>
    <w:rsid w:val="00221875"/>
    <w:rsid w:val="00221FBE"/>
    <w:rsid w:val="002228FB"/>
    <w:rsid w:val="002229F2"/>
    <w:rsid w:val="00222EF9"/>
    <w:rsid w:val="0022315F"/>
    <w:rsid w:val="0022451F"/>
    <w:rsid w:val="00224560"/>
    <w:rsid w:val="002261EA"/>
    <w:rsid w:val="00230040"/>
    <w:rsid w:val="002300F7"/>
    <w:rsid w:val="00230D04"/>
    <w:rsid w:val="0023247E"/>
    <w:rsid w:val="0023318D"/>
    <w:rsid w:val="00233FEE"/>
    <w:rsid w:val="00234294"/>
    <w:rsid w:val="00236357"/>
    <w:rsid w:val="00236D01"/>
    <w:rsid w:val="00237FBA"/>
    <w:rsid w:val="00241300"/>
    <w:rsid w:val="00241D5A"/>
    <w:rsid w:val="00241E5F"/>
    <w:rsid w:val="002432A5"/>
    <w:rsid w:val="0024331C"/>
    <w:rsid w:val="00245EF6"/>
    <w:rsid w:val="002479F0"/>
    <w:rsid w:val="0025031E"/>
    <w:rsid w:val="00250637"/>
    <w:rsid w:val="00251A60"/>
    <w:rsid w:val="00251CD2"/>
    <w:rsid w:val="00252C5D"/>
    <w:rsid w:val="00253741"/>
    <w:rsid w:val="00253936"/>
    <w:rsid w:val="00253FEE"/>
    <w:rsid w:val="00255F86"/>
    <w:rsid w:val="00257E8D"/>
    <w:rsid w:val="002605B1"/>
    <w:rsid w:val="0026179D"/>
    <w:rsid w:val="00261BE9"/>
    <w:rsid w:val="002624F9"/>
    <w:rsid w:val="00263232"/>
    <w:rsid w:val="00263A47"/>
    <w:rsid w:val="00264FE1"/>
    <w:rsid w:val="002671B3"/>
    <w:rsid w:val="00267AEA"/>
    <w:rsid w:val="00270C17"/>
    <w:rsid w:val="00270F3E"/>
    <w:rsid w:val="002759FB"/>
    <w:rsid w:val="002812BC"/>
    <w:rsid w:val="00282135"/>
    <w:rsid w:val="00282D6A"/>
    <w:rsid w:val="002845C4"/>
    <w:rsid w:val="0028597D"/>
    <w:rsid w:val="00286268"/>
    <w:rsid w:val="00286F11"/>
    <w:rsid w:val="00286FE5"/>
    <w:rsid w:val="002877E7"/>
    <w:rsid w:val="00287F09"/>
    <w:rsid w:val="00292EFD"/>
    <w:rsid w:val="00293F64"/>
    <w:rsid w:val="00295377"/>
    <w:rsid w:val="0029550B"/>
    <w:rsid w:val="00297D3B"/>
    <w:rsid w:val="002A0103"/>
    <w:rsid w:val="002A1CD5"/>
    <w:rsid w:val="002A2C57"/>
    <w:rsid w:val="002A34D2"/>
    <w:rsid w:val="002A4EEB"/>
    <w:rsid w:val="002A5DD4"/>
    <w:rsid w:val="002A5FFD"/>
    <w:rsid w:val="002A75E9"/>
    <w:rsid w:val="002B1AB2"/>
    <w:rsid w:val="002B2092"/>
    <w:rsid w:val="002B3530"/>
    <w:rsid w:val="002B4684"/>
    <w:rsid w:val="002B576E"/>
    <w:rsid w:val="002B677F"/>
    <w:rsid w:val="002B684C"/>
    <w:rsid w:val="002C0945"/>
    <w:rsid w:val="002C18BB"/>
    <w:rsid w:val="002C2A5F"/>
    <w:rsid w:val="002C2F21"/>
    <w:rsid w:val="002C3F19"/>
    <w:rsid w:val="002C5827"/>
    <w:rsid w:val="002C5958"/>
    <w:rsid w:val="002D3E5F"/>
    <w:rsid w:val="002D45B8"/>
    <w:rsid w:val="002D4D1E"/>
    <w:rsid w:val="002D5E24"/>
    <w:rsid w:val="002D5ED4"/>
    <w:rsid w:val="002D62FB"/>
    <w:rsid w:val="002D6974"/>
    <w:rsid w:val="002D6D68"/>
    <w:rsid w:val="002D6DCE"/>
    <w:rsid w:val="002E1833"/>
    <w:rsid w:val="002E1FB9"/>
    <w:rsid w:val="002E6384"/>
    <w:rsid w:val="002F09CE"/>
    <w:rsid w:val="002F15CF"/>
    <w:rsid w:val="002F3213"/>
    <w:rsid w:val="002F358B"/>
    <w:rsid w:val="002F415B"/>
    <w:rsid w:val="002F5201"/>
    <w:rsid w:val="002F602D"/>
    <w:rsid w:val="002F604C"/>
    <w:rsid w:val="002F6825"/>
    <w:rsid w:val="00300F9F"/>
    <w:rsid w:val="00301F1D"/>
    <w:rsid w:val="00302A30"/>
    <w:rsid w:val="003034D9"/>
    <w:rsid w:val="003043C4"/>
    <w:rsid w:val="00305128"/>
    <w:rsid w:val="00305425"/>
    <w:rsid w:val="00305FDE"/>
    <w:rsid w:val="00307145"/>
    <w:rsid w:val="0031035A"/>
    <w:rsid w:val="00311039"/>
    <w:rsid w:val="003117AF"/>
    <w:rsid w:val="00313E6A"/>
    <w:rsid w:val="00314860"/>
    <w:rsid w:val="0031591B"/>
    <w:rsid w:val="00315B9E"/>
    <w:rsid w:val="003163A2"/>
    <w:rsid w:val="003166C6"/>
    <w:rsid w:val="00316E38"/>
    <w:rsid w:val="003208DE"/>
    <w:rsid w:val="00320D11"/>
    <w:rsid w:val="00321098"/>
    <w:rsid w:val="003218EE"/>
    <w:rsid w:val="00321ABF"/>
    <w:rsid w:val="0032228C"/>
    <w:rsid w:val="00324F9D"/>
    <w:rsid w:val="00325724"/>
    <w:rsid w:val="00327060"/>
    <w:rsid w:val="003278C5"/>
    <w:rsid w:val="00331FBF"/>
    <w:rsid w:val="003325CA"/>
    <w:rsid w:val="00333233"/>
    <w:rsid w:val="0033342C"/>
    <w:rsid w:val="00335303"/>
    <w:rsid w:val="00335D17"/>
    <w:rsid w:val="00337020"/>
    <w:rsid w:val="00337D27"/>
    <w:rsid w:val="003433DF"/>
    <w:rsid w:val="00345BEA"/>
    <w:rsid w:val="0034687A"/>
    <w:rsid w:val="003519EC"/>
    <w:rsid w:val="00352C2E"/>
    <w:rsid w:val="003536B9"/>
    <w:rsid w:val="00355060"/>
    <w:rsid w:val="00356A73"/>
    <w:rsid w:val="00357688"/>
    <w:rsid w:val="0035791A"/>
    <w:rsid w:val="00357A7C"/>
    <w:rsid w:val="00362D8A"/>
    <w:rsid w:val="00364173"/>
    <w:rsid w:val="003659B9"/>
    <w:rsid w:val="003672E1"/>
    <w:rsid w:val="003705A2"/>
    <w:rsid w:val="003732D2"/>
    <w:rsid w:val="00373A5A"/>
    <w:rsid w:val="00375D98"/>
    <w:rsid w:val="00377811"/>
    <w:rsid w:val="00381AE6"/>
    <w:rsid w:val="003823B8"/>
    <w:rsid w:val="0038415C"/>
    <w:rsid w:val="0038457F"/>
    <w:rsid w:val="003855F5"/>
    <w:rsid w:val="003858C8"/>
    <w:rsid w:val="00386861"/>
    <w:rsid w:val="00386AC3"/>
    <w:rsid w:val="0039098D"/>
    <w:rsid w:val="0039222F"/>
    <w:rsid w:val="003937CE"/>
    <w:rsid w:val="00393D8D"/>
    <w:rsid w:val="003977FD"/>
    <w:rsid w:val="003A19F2"/>
    <w:rsid w:val="003A723E"/>
    <w:rsid w:val="003A766B"/>
    <w:rsid w:val="003A77EB"/>
    <w:rsid w:val="003B0B54"/>
    <w:rsid w:val="003B0ED2"/>
    <w:rsid w:val="003B0F67"/>
    <w:rsid w:val="003B1928"/>
    <w:rsid w:val="003B3C5F"/>
    <w:rsid w:val="003B3E3C"/>
    <w:rsid w:val="003C12AA"/>
    <w:rsid w:val="003C15BA"/>
    <w:rsid w:val="003C2766"/>
    <w:rsid w:val="003C337D"/>
    <w:rsid w:val="003C468C"/>
    <w:rsid w:val="003C4762"/>
    <w:rsid w:val="003C5230"/>
    <w:rsid w:val="003C5B58"/>
    <w:rsid w:val="003C5E7D"/>
    <w:rsid w:val="003C60B3"/>
    <w:rsid w:val="003C6567"/>
    <w:rsid w:val="003C7649"/>
    <w:rsid w:val="003D0742"/>
    <w:rsid w:val="003D21E9"/>
    <w:rsid w:val="003D49AC"/>
    <w:rsid w:val="003D574C"/>
    <w:rsid w:val="003D58DF"/>
    <w:rsid w:val="003D5A3D"/>
    <w:rsid w:val="003D71EF"/>
    <w:rsid w:val="003E0B90"/>
    <w:rsid w:val="003E2614"/>
    <w:rsid w:val="003E2B90"/>
    <w:rsid w:val="003E33EB"/>
    <w:rsid w:val="003E5707"/>
    <w:rsid w:val="003E5D42"/>
    <w:rsid w:val="003E63CE"/>
    <w:rsid w:val="003E6C64"/>
    <w:rsid w:val="003F0BF9"/>
    <w:rsid w:val="003F0E21"/>
    <w:rsid w:val="003F10C9"/>
    <w:rsid w:val="003F4F12"/>
    <w:rsid w:val="003F5CFD"/>
    <w:rsid w:val="003F6AC7"/>
    <w:rsid w:val="003F7002"/>
    <w:rsid w:val="004009C5"/>
    <w:rsid w:val="00400B4C"/>
    <w:rsid w:val="00401675"/>
    <w:rsid w:val="004022A5"/>
    <w:rsid w:val="004040E4"/>
    <w:rsid w:val="00404261"/>
    <w:rsid w:val="00407452"/>
    <w:rsid w:val="0041020E"/>
    <w:rsid w:val="0041044D"/>
    <w:rsid w:val="00411269"/>
    <w:rsid w:val="00415288"/>
    <w:rsid w:val="004157CF"/>
    <w:rsid w:val="0041694C"/>
    <w:rsid w:val="0041722F"/>
    <w:rsid w:val="004174A6"/>
    <w:rsid w:val="0042025A"/>
    <w:rsid w:val="00421071"/>
    <w:rsid w:val="00421C32"/>
    <w:rsid w:val="004222A0"/>
    <w:rsid w:val="004224E2"/>
    <w:rsid w:val="004273D3"/>
    <w:rsid w:val="004275C8"/>
    <w:rsid w:val="00432666"/>
    <w:rsid w:val="00432C45"/>
    <w:rsid w:val="00434015"/>
    <w:rsid w:val="00434579"/>
    <w:rsid w:val="00435AC7"/>
    <w:rsid w:val="004363D8"/>
    <w:rsid w:val="00440456"/>
    <w:rsid w:val="00441E11"/>
    <w:rsid w:val="00442376"/>
    <w:rsid w:val="0044247C"/>
    <w:rsid w:val="004428A7"/>
    <w:rsid w:val="00445124"/>
    <w:rsid w:val="00445AA5"/>
    <w:rsid w:val="004462C6"/>
    <w:rsid w:val="004470E4"/>
    <w:rsid w:val="004505B2"/>
    <w:rsid w:val="00450931"/>
    <w:rsid w:val="00451A6A"/>
    <w:rsid w:val="00451B83"/>
    <w:rsid w:val="00453C06"/>
    <w:rsid w:val="00454A49"/>
    <w:rsid w:val="00454E80"/>
    <w:rsid w:val="00457B15"/>
    <w:rsid w:val="00460545"/>
    <w:rsid w:val="00461383"/>
    <w:rsid w:val="00462001"/>
    <w:rsid w:val="004625C3"/>
    <w:rsid w:val="004628EA"/>
    <w:rsid w:val="0046492D"/>
    <w:rsid w:val="00465F32"/>
    <w:rsid w:val="004661D2"/>
    <w:rsid w:val="00470D09"/>
    <w:rsid w:val="00472E27"/>
    <w:rsid w:val="00475022"/>
    <w:rsid w:val="00476CD2"/>
    <w:rsid w:val="00482CBC"/>
    <w:rsid w:val="0048364F"/>
    <w:rsid w:val="004841A0"/>
    <w:rsid w:val="00484AC9"/>
    <w:rsid w:val="00484C56"/>
    <w:rsid w:val="004850CF"/>
    <w:rsid w:val="00485CA6"/>
    <w:rsid w:val="004871AB"/>
    <w:rsid w:val="00490D98"/>
    <w:rsid w:val="0049188F"/>
    <w:rsid w:val="00491F37"/>
    <w:rsid w:val="004927A9"/>
    <w:rsid w:val="00493AAA"/>
    <w:rsid w:val="00494702"/>
    <w:rsid w:val="00496535"/>
    <w:rsid w:val="004976A1"/>
    <w:rsid w:val="004A075E"/>
    <w:rsid w:val="004A1AE1"/>
    <w:rsid w:val="004A2638"/>
    <w:rsid w:val="004A295F"/>
    <w:rsid w:val="004A377D"/>
    <w:rsid w:val="004A4C32"/>
    <w:rsid w:val="004A5188"/>
    <w:rsid w:val="004A5EE3"/>
    <w:rsid w:val="004A65C5"/>
    <w:rsid w:val="004B042D"/>
    <w:rsid w:val="004B18FC"/>
    <w:rsid w:val="004B1C37"/>
    <w:rsid w:val="004B2D91"/>
    <w:rsid w:val="004B307B"/>
    <w:rsid w:val="004B3C9D"/>
    <w:rsid w:val="004B421C"/>
    <w:rsid w:val="004B4980"/>
    <w:rsid w:val="004B5018"/>
    <w:rsid w:val="004B5307"/>
    <w:rsid w:val="004B53D3"/>
    <w:rsid w:val="004B6814"/>
    <w:rsid w:val="004B7583"/>
    <w:rsid w:val="004B7CAC"/>
    <w:rsid w:val="004C0F91"/>
    <w:rsid w:val="004C19E0"/>
    <w:rsid w:val="004C3B98"/>
    <w:rsid w:val="004D015B"/>
    <w:rsid w:val="004D23BF"/>
    <w:rsid w:val="004D303A"/>
    <w:rsid w:val="004D3D6E"/>
    <w:rsid w:val="004E05D8"/>
    <w:rsid w:val="004E0CC3"/>
    <w:rsid w:val="004E2962"/>
    <w:rsid w:val="004E2BB0"/>
    <w:rsid w:val="004E4072"/>
    <w:rsid w:val="004E497B"/>
    <w:rsid w:val="004E7A1E"/>
    <w:rsid w:val="004F0122"/>
    <w:rsid w:val="004F2288"/>
    <w:rsid w:val="004F2724"/>
    <w:rsid w:val="004F3BE7"/>
    <w:rsid w:val="004F405D"/>
    <w:rsid w:val="004F4376"/>
    <w:rsid w:val="004F52F9"/>
    <w:rsid w:val="004F6237"/>
    <w:rsid w:val="004F75A6"/>
    <w:rsid w:val="005002F0"/>
    <w:rsid w:val="00501304"/>
    <w:rsid w:val="0050151C"/>
    <w:rsid w:val="00502984"/>
    <w:rsid w:val="00502A85"/>
    <w:rsid w:val="00503709"/>
    <w:rsid w:val="00503864"/>
    <w:rsid w:val="00503F2F"/>
    <w:rsid w:val="00505793"/>
    <w:rsid w:val="005057C2"/>
    <w:rsid w:val="005058D4"/>
    <w:rsid w:val="0050633D"/>
    <w:rsid w:val="00511F35"/>
    <w:rsid w:val="0051221B"/>
    <w:rsid w:val="0051444D"/>
    <w:rsid w:val="00515522"/>
    <w:rsid w:val="0051587C"/>
    <w:rsid w:val="005166B4"/>
    <w:rsid w:val="005172C9"/>
    <w:rsid w:val="0052045E"/>
    <w:rsid w:val="005211B5"/>
    <w:rsid w:val="005211C0"/>
    <w:rsid w:val="00521D59"/>
    <w:rsid w:val="005245D1"/>
    <w:rsid w:val="005265F7"/>
    <w:rsid w:val="00526855"/>
    <w:rsid w:val="0052775E"/>
    <w:rsid w:val="00530815"/>
    <w:rsid w:val="00530EB3"/>
    <w:rsid w:val="00532688"/>
    <w:rsid w:val="00532941"/>
    <w:rsid w:val="0053314E"/>
    <w:rsid w:val="0053370B"/>
    <w:rsid w:val="00533E8D"/>
    <w:rsid w:val="0053683B"/>
    <w:rsid w:val="00537268"/>
    <w:rsid w:val="0054156E"/>
    <w:rsid w:val="005417F5"/>
    <w:rsid w:val="005418A9"/>
    <w:rsid w:val="00541A5F"/>
    <w:rsid w:val="00542C1C"/>
    <w:rsid w:val="00543F5D"/>
    <w:rsid w:val="00543FE6"/>
    <w:rsid w:val="00544789"/>
    <w:rsid w:val="0054567F"/>
    <w:rsid w:val="00547324"/>
    <w:rsid w:val="00547D8B"/>
    <w:rsid w:val="0055212B"/>
    <w:rsid w:val="00552C60"/>
    <w:rsid w:val="00552DC3"/>
    <w:rsid w:val="00552F0F"/>
    <w:rsid w:val="00553E23"/>
    <w:rsid w:val="00554400"/>
    <w:rsid w:val="00554405"/>
    <w:rsid w:val="00554C2C"/>
    <w:rsid w:val="00554C5C"/>
    <w:rsid w:val="005553F6"/>
    <w:rsid w:val="005562DA"/>
    <w:rsid w:val="00556617"/>
    <w:rsid w:val="005602FA"/>
    <w:rsid w:val="005618A7"/>
    <w:rsid w:val="00561C1E"/>
    <w:rsid w:val="00562D64"/>
    <w:rsid w:val="00563B7C"/>
    <w:rsid w:val="00563C2F"/>
    <w:rsid w:val="005645B5"/>
    <w:rsid w:val="005672E4"/>
    <w:rsid w:val="00567817"/>
    <w:rsid w:val="0057046F"/>
    <w:rsid w:val="005710D7"/>
    <w:rsid w:val="005716DE"/>
    <w:rsid w:val="005740F0"/>
    <w:rsid w:val="00574CE1"/>
    <w:rsid w:val="005753C2"/>
    <w:rsid w:val="00576AEC"/>
    <w:rsid w:val="005828CF"/>
    <w:rsid w:val="00582BF2"/>
    <w:rsid w:val="00583220"/>
    <w:rsid w:val="00583DB6"/>
    <w:rsid w:val="005843F6"/>
    <w:rsid w:val="005845AA"/>
    <w:rsid w:val="00585E18"/>
    <w:rsid w:val="00586159"/>
    <w:rsid w:val="00586FEF"/>
    <w:rsid w:val="00587186"/>
    <w:rsid w:val="00590BF5"/>
    <w:rsid w:val="00592A10"/>
    <w:rsid w:val="00595EE3"/>
    <w:rsid w:val="0059713B"/>
    <w:rsid w:val="005974E9"/>
    <w:rsid w:val="00597D7E"/>
    <w:rsid w:val="005A297B"/>
    <w:rsid w:val="005A3823"/>
    <w:rsid w:val="005A4434"/>
    <w:rsid w:val="005A5256"/>
    <w:rsid w:val="005A6703"/>
    <w:rsid w:val="005B05D7"/>
    <w:rsid w:val="005B125D"/>
    <w:rsid w:val="005B1B60"/>
    <w:rsid w:val="005B1D1B"/>
    <w:rsid w:val="005B1D8F"/>
    <w:rsid w:val="005B42F1"/>
    <w:rsid w:val="005B4480"/>
    <w:rsid w:val="005B6632"/>
    <w:rsid w:val="005B7056"/>
    <w:rsid w:val="005B7EC7"/>
    <w:rsid w:val="005C0697"/>
    <w:rsid w:val="005C0A86"/>
    <w:rsid w:val="005C3741"/>
    <w:rsid w:val="005C410E"/>
    <w:rsid w:val="005C4EC3"/>
    <w:rsid w:val="005C5572"/>
    <w:rsid w:val="005C5897"/>
    <w:rsid w:val="005D0743"/>
    <w:rsid w:val="005D39AB"/>
    <w:rsid w:val="005D3DFC"/>
    <w:rsid w:val="005D5448"/>
    <w:rsid w:val="005D5839"/>
    <w:rsid w:val="005D7869"/>
    <w:rsid w:val="005E1033"/>
    <w:rsid w:val="005E22AF"/>
    <w:rsid w:val="005E34A0"/>
    <w:rsid w:val="005E3949"/>
    <w:rsid w:val="005E468B"/>
    <w:rsid w:val="005E4804"/>
    <w:rsid w:val="005E4C80"/>
    <w:rsid w:val="005E5568"/>
    <w:rsid w:val="005E735B"/>
    <w:rsid w:val="005F07E2"/>
    <w:rsid w:val="005F0AB9"/>
    <w:rsid w:val="005F11DA"/>
    <w:rsid w:val="005F1B9B"/>
    <w:rsid w:val="005F44CC"/>
    <w:rsid w:val="005F4506"/>
    <w:rsid w:val="005F48BB"/>
    <w:rsid w:val="005F5244"/>
    <w:rsid w:val="005F5245"/>
    <w:rsid w:val="005F582A"/>
    <w:rsid w:val="005F6045"/>
    <w:rsid w:val="005F6436"/>
    <w:rsid w:val="00606013"/>
    <w:rsid w:val="006072CD"/>
    <w:rsid w:val="0061092B"/>
    <w:rsid w:val="00611655"/>
    <w:rsid w:val="006116E7"/>
    <w:rsid w:val="0061291F"/>
    <w:rsid w:val="006158F9"/>
    <w:rsid w:val="00616197"/>
    <w:rsid w:val="0062071D"/>
    <w:rsid w:val="00620FA4"/>
    <w:rsid w:val="00621063"/>
    <w:rsid w:val="0062147D"/>
    <w:rsid w:val="00621529"/>
    <w:rsid w:val="006215A2"/>
    <w:rsid w:val="00621A28"/>
    <w:rsid w:val="00624707"/>
    <w:rsid w:val="0062495A"/>
    <w:rsid w:val="00625C0A"/>
    <w:rsid w:val="00626003"/>
    <w:rsid w:val="00631D9D"/>
    <w:rsid w:val="00633509"/>
    <w:rsid w:val="006356FF"/>
    <w:rsid w:val="00635A18"/>
    <w:rsid w:val="00636507"/>
    <w:rsid w:val="006379E0"/>
    <w:rsid w:val="00642891"/>
    <w:rsid w:val="00643E74"/>
    <w:rsid w:val="0064405A"/>
    <w:rsid w:val="006445E4"/>
    <w:rsid w:val="00644C63"/>
    <w:rsid w:val="00644D30"/>
    <w:rsid w:val="0064580C"/>
    <w:rsid w:val="00645CD6"/>
    <w:rsid w:val="0064708B"/>
    <w:rsid w:val="00647AE5"/>
    <w:rsid w:val="00647E10"/>
    <w:rsid w:val="00651263"/>
    <w:rsid w:val="00651B7A"/>
    <w:rsid w:val="0065242D"/>
    <w:rsid w:val="00653483"/>
    <w:rsid w:val="00654741"/>
    <w:rsid w:val="00654FC6"/>
    <w:rsid w:val="00656E2E"/>
    <w:rsid w:val="00656E59"/>
    <w:rsid w:val="00656FCB"/>
    <w:rsid w:val="00660D99"/>
    <w:rsid w:val="0066178C"/>
    <w:rsid w:val="006645B1"/>
    <w:rsid w:val="006652C9"/>
    <w:rsid w:val="00666F10"/>
    <w:rsid w:val="0066758A"/>
    <w:rsid w:val="00667A6F"/>
    <w:rsid w:val="00667C95"/>
    <w:rsid w:val="00670A68"/>
    <w:rsid w:val="00671893"/>
    <w:rsid w:val="00671DD3"/>
    <w:rsid w:val="0067332F"/>
    <w:rsid w:val="00674546"/>
    <w:rsid w:val="00674FEF"/>
    <w:rsid w:val="00675231"/>
    <w:rsid w:val="006759CE"/>
    <w:rsid w:val="00676AC6"/>
    <w:rsid w:val="0067747A"/>
    <w:rsid w:val="0068059A"/>
    <w:rsid w:val="00680ABF"/>
    <w:rsid w:val="00681362"/>
    <w:rsid w:val="00687071"/>
    <w:rsid w:val="0069019C"/>
    <w:rsid w:val="00690906"/>
    <w:rsid w:val="006914C5"/>
    <w:rsid w:val="0069185E"/>
    <w:rsid w:val="006922A6"/>
    <w:rsid w:val="006957CD"/>
    <w:rsid w:val="00695ED4"/>
    <w:rsid w:val="00696F70"/>
    <w:rsid w:val="00697B80"/>
    <w:rsid w:val="006A2121"/>
    <w:rsid w:val="006A2EEA"/>
    <w:rsid w:val="006A4D4B"/>
    <w:rsid w:val="006A6A15"/>
    <w:rsid w:val="006A6A76"/>
    <w:rsid w:val="006A71AA"/>
    <w:rsid w:val="006B0442"/>
    <w:rsid w:val="006B1B86"/>
    <w:rsid w:val="006B2268"/>
    <w:rsid w:val="006B3D5E"/>
    <w:rsid w:val="006B44E4"/>
    <w:rsid w:val="006B5000"/>
    <w:rsid w:val="006B686F"/>
    <w:rsid w:val="006B74A7"/>
    <w:rsid w:val="006C0919"/>
    <w:rsid w:val="006C0934"/>
    <w:rsid w:val="006C31BB"/>
    <w:rsid w:val="006C42D4"/>
    <w:rsid w:val="006C4DEE"/>
    <w:rsid w:val="006C5BBC"/>
    <w:rsid w:val="006C5DC4"/>
    <w:rsid w:val="006D11FA"/>
    <w:rsid w:val="006D2266"/>
    <w:rsid w:val="006D37AC"/>
    <w:rsid w:val="006D405D"/>
    <w:rsid w:val="006D6D43"/>
    <w:rsid w:val="006E016F"/>
    <w:rsid w:val="006E293A"/>
    <w:rsid w:val="006E307A"/>
    <w:rsid w:val="006E3081"/>
    <w:rsid w:val="006E3465"/>
    <w:rsid w:val="006E3F78"/>
    <w:rsid w:val="006E5448"/>
    <w:rsid w:val="006E6B3F"/>
    <w:rsid w:val="006F259D"/>
    <w:rsid w:val="006F284A"/>
    <w:rsid w:val="006F29BA"/>
    <w:rsid w:val="006F2E87"/>
    <w:rsid w:val="006F3892"/>
    <w:rsid w:val="006F6FBB"/>
    <w:rsid w:val="006F7CD4"/>
    <w:rsid w:val="00700C4B"/>
    <w:rsid w:val="00701275"/>
    <w:rsid w:val="00702E8D"/>
    <w:rsid w:val="00702FA9"/>
    <w:rsid w:val="007033BF"/>
    <w:rsid w:val="00704503"/>
    <w:rsid w:val="00704FB0"/>
    <w:rsid w:val="007051A6"/>
    <w:rsid w:val="007068CC"/>
    <w:rsid w:val="007103B8"/>
    <w:rsid w:val="00710BB1"/>
    <w:rsid w:val="007118DA"/>
    <w:rsid w:val="00712D88"/>
    <w:rsid w:val="0071306F"/>
    <w:rsid w:val="00713264"/>
    <w:rsid w:val="00714846"/>
    <w:rsid w:val="00714AA8"/>
    <w:rsid w:val="00714F7A"/>
    <w:rsid w:val="007159FA"/>
    <w:rsid w:val="00717020"/>
    <w:rsid w:val="00717023"/>
    <w:rsid w:val="00720331"/>
    <w:rsid w:val="00721D4C"/>
    <w:rsid w:val="007233F5"/>
    <w:rsid w:val="00723CE1"/>
    <w:rsid w:val="00724245"/>
    <w:rsid w:val="00725D8A"/>
    <w:rsid w:val="00726099"/>
    <w:rsid w:val="0072781E"/>
    <w:rsid w:val="00727CDA"/>
    <w:rsid w:val="00730819"/>
    <w:rsid w:val="00730C26"/>
    <w:rsid w:val="0073165C"/>
    <w:rsid w:val="00731A95"/>
    <w:rsid w:val="00732334"/>
    <w:rsid w:val="00732E43"/>
    <w:rsid w:val="007331A2"/>
    <w:rsid w:val="00736881"/>
    <w:rsid w:val="00736C3C"/>
    <w:rsid w:val="00737F90"/>
    <w:rsid w:val="00744799"/>
    <w:rsid w:val="00746B0D"/>
    <w:rsid w:val="00747DDF"/>
    <w:rsid w:val="00752A7C"/>
    <w:rsid w:val="00753FA4"/>
    <w:rsid w:val="007548A9"/>
    <w:rsid w:val="0075547C"/>
    <w:rsid w:val="0075646D"/>
    <w:rsid w:val="0075653F"/>
    <w:rsid w:val="00756DFD"/>
    <w:rsid w:val="007575CC"/>
    <w:rsid w:val="00760A5F"/>
    <w:rsid w:val="007613FD"/>
    <w:rsid w:val="00763C08"/>
    <w:rsid w:val="00763E7C"/>
    <w:rsid w:val="007647B5"/>
    <w:rsid w:val="00764848"/>
    <w:rsid w:val="00764F16"/>
    <w:rsid w:val="00767CB6"/>
    <w:rsid w:val="00770693"/>
    <w:rsid w:val="007709A4"/>
    <w:rsid w:val="00771307"/>
    <w:rsid w:val="007713D3"/>
    <w:rsid w:val="00772343"/>
    <w:rsid w:val="007729D3"/>
    <w:rsid w:val="00783C57"/>
    <w:rsid w:val="00784656"/>
    <w:rsid w:val="00784D27"/>
    <w:rsid w:val="00784E79"/>
    <w:rsid w:val="00784EB8"/>
    <w:rsid w:val="007863E5"/>
    <w:rsid w:val="00791AB6"/>
    <w:rsid w:val="00792D81"/>
    <w:rsid w:val="00793535"/>
    <w:rsid w:val="007947C0"/>
    <w:rsid w:val="007955E0"/>
    <w:rsid w:val="007A05CE"/>
    <w:rsid w:val="007A2AD5"/>
    <w:rsid w:val="007A3406"/>
    <w:rsid w:val="007A766A"/>
    <w:rsid w:val="007B2048"/>
    <w:rsid w:val="007B2B4B"/>
    <w:rsid w:val="007B3963"/>
    <w:rsid w:val="007B3C1A"/>
    <w:rsid w:val="007B3D0B"/>
    <w:rsid w:val="007B4094"/>
    <w:rsid w:val="007B5197"/>
    <w:rsid w:val="007B7781"/>
    <w:rsid w:val="007C0265"/>
    <w:rsid w:val="007C06BC"/>
    <w:rsid w:val="007C0983"/>
    <w:rsid w:val="007C0F9B"/>
    <w:rsid w:val="007C1860"/>
    <w:rsid w:val="007C65F6"/>
    <w:rsid w:val="007D2C4E"/>
    <w:rsid w:val="007D3314"/>
    <w:rsid w:val="007D541B"/>
    <w:rsid w:val="007E083F"/>
    <w:rsid w:val="007E1184"/>
    <w:rsid w:val="007E122D"/>
    <w:rsid w:val="007E39B3"/>
    <w:rsid w:val="007E3BA0"/>
    <w:rsid w:val="007E699B"/>
    <w:rsid w:val="007F0A7A"/>
    <w:rsid w:val="007F103E"/>
    <w:rsid w:val="007F171C"/>
    <w:rsid w:val="007F1C13"/>
    <w:rsid w:val="007F2AED"/>
    <w:rsid w:val="007F33C1"/>
    <w:rsid w:val="007F37F1"/>
    <w:rsid w:val="007F4529"/>
    <w:rsid w:val="007F489F"/>
    <w:rsid w:val="007F4E65"/>
    <w:rsid w:val="007F5A58"/>
    <w:rsid w:val="007F5D95"/>
    <w:rsid w:val="007F68A4"/>
    <w:rsid w:val="00802F3B"/>
    <w:rsid w:val="00803370"/>
    <w:rsid w:val="00804EF6"/>
    <w:rsid w:val="00806325"/>
    <w:rsid w:val="00807158"/>
    <w:rsid w:val="0080781F"/>
    <w:rsid w:val="008103BC"/>
    <w:rsid w:val="00812A88"/>
    <w:rsid w:val="00813C09"/>
    <w:rsid w:val="00814131"/>
    <w:rsid w:val="0081590A"/>
    <w:rsid w:val="00815C51"/>
    <w:rsid w:val="00815DE0"/>
    <w:rsid w:val="008164CC"/>
    <w:rsid w:val="008204DF"/>
    <w:rsid w:val="008225E6"/>
    <w:rsid w:val="00823134"/>
    <w:rsid w:val="00823F93"/>
    <w:rsid w:val="00824110"/>
    <w:rsid w:val="00824F56"/>
    <w:rsid w:val="00827D8A"/>
    <w:rsid w:val="00827E37"/>
    <w:rsid w:val="0083087B"/>
    <w:rsid w:val="00833623"/>
    <w:rsid w:val="00836033"/>
    <w:rsid w:val="00841217"/>
    <w:rsid w:val="00841811"/>
    <w:rsid w:val="00842EA7"/>
    <w:rsid w:val="00844E1A"/>
    <w:rsid w:val="00845290"/>
    <w:rsid w:val="00850AD9"/>
    <w:rsid w:val="0085283B"/>
    <w:rsid w:val="00852E3C"/>
    <w:rsid w:val="00853812"/>
    <w:rsid w:val="00853B13"/>
    <w:rsid w:val="00855C06"/>
    <w:rsid w:val="00856DC0"/>
    <w:rsid w:val="00857185"/>
    <w:rsid w:val="00861791"/>
    <w:rsid w:val="008620E4"/>
    <w:rsid w:val="00862280"/>
    <w:rsid w:val="00863746"/>
    <w:rsid w:val="00863B70"/>
    <w:rsid w:val="008650B6"/>
    <w:rsid w:val="00870012"/>
    <w:rsid w:val="008712D7"/>
    <w:rsid w:val="00871966"/>
    <w:rsid w:val="00873134"/>
    <w:rsid w:val="008736B9"/>
    <w:rsid w:val="00873C9B"/>
    <w:rsid w:val="0087444B"/>
    <w:rsid w:val="00876677"/>
    <w:rsid w:val="00876793"/>
    <w:rsid w:val="0087708C"/>
    <w:rsid w:val="0088033D"/>
    <w:rsid w:val="00880D87"/>
    <w:rsid w:val="008821B9"/>
    <w:rsid w:val="0088395E"/>
    <w:rsid w:val="00884B93"/>
    <w:rsid w:val="0088730B"/>
    <w:rsid w:val="00892DE2"/>
    <w:rsid w:val="0089302A"/>
    <w:rsid w:val="00893760"/>
    <w:rsid w:val="0089379D"/>
    <w:rsid w:val="008938FB"/>
    <w:rsid w:val="0089641E"/>
    <w:rsid w:val="00896C41"/>
    <w:rsid w:val="00896E38"/>
    <w:rsid w:val="00897EDC"/>
    <w:rsid w:val="008A0478"/>
    <w:rsid w:val="008A0A19"/>
    <w:rsid w:val="008A0F58"/>
    <w:rsid w:val="008A1BF3"/>
    <w:rsid w:val="008A373E"/>
    <w:rsid w:val="008A4B2A"/>
    <w:rsid w:val="008A5A70"/>
    <w:rsid w:val="008A6544"/>
    <w:rsid w:val="008A67B9"/>
    <w:rsid w:val="008A72C7"/>
    <w:rsid w:val="008A7A9E"/>
    <w:rsid w:val="008A7EB0"/>
    <w:rsid w:val="008B0A74"/>
    <w:rsid w:val="008B1BDA"/>
    <w:rsid w:val="008B2682"/>
    <w:rsid w:val="008B4239"/>
    <w:rsid w:val="008B5CC3"/>
    <w:rsid w:val="008B637A"/>
    <w:rsid w:val="008B64A0"/>
    <w:rsid w:val="008C03F2"/>
    <w:rsid w:val="008C080A"/>
    <w:rsid w:val="008C1030"/>
    <w:rsid w:val="008C1FD2"/>
    <w:rsid w:val="008C2399"/>
    <w:rsid w:val="008C4B9E"/>
    <w:rsid w:val="008C4D8D"/>
    <w:rsid w:val="008C6904"/>
    <w:rsid w:val="008C79A8"/>
    <w:rsid w:val="008D107C"/>
    <w:rsid w:val="008D10A6"/>
    <w:rsid w:val="008D4A3E"/>
    <w:rsid w:val="008D67A8"/>
    <w:rsid w:val="008D70DD"/>
    <w:rsid w:val="008E20B5"/>
    <w:rsid w:val="008E2C02"/>
    <w:rsid w:val="008E2C60"/>
    <w:rsid w:val="008E383F"/>
    <w:rsid w:val="008E4D6C"/>
    <w:rsid w:val="008E5626"/>
    <w:rsid w:val="008E5B98"/>
    <w:rsid w:val="008E695E"/>
    <w:rsid w:val="008E7C3E"/>
    <w:rsid w:val="008F0A07"/>
    <w:rsid w:val="008F0A46"/>
    <w:rsid w:val="008F0BB2"/>
    <w:rsid w:val="008F1762"/>
    <w:rsid w:val="008F2018"/>
    <w:rsid w:val="008F207C"/>
    <w:rsid w:val="008F225E"/>
    <w:rsid w:val="008F2938"/>
    <w:rsid w:val="008F2A95"/>
    <w:rsid w:val="008F4343"/>
    <w:rsid w:val="008F5882"/>
    <w:rsid w:val="00900522"/>
    <w:rsid w:val="00902089"/>
    <w:rsid w:val="00902997"/>
    <w:rsid w:val="009029A5"/>
    <w:rsid w:val="00902C1E"/>
    <w:rsid w:val="00903FF0"/>
    <w:rsid w:val="00904105"/>
    <w:rsid w:val="009046D1"/>
    <w:rsid w:val="00905888"/>
    <w:rsid w:val="00907026"/>
    <w:rsid w:val="009112E0"/>
    <w:rsid w:val="00911B34"/>
    <w:rsid w:val="00914E6C"/>
    <w:rsid w:val="00915789"/>
    <w:rsid w:val="00916337"/>
    <w:rsid w:val="00916949"/>
    <w:rsid w:val="00917723"/>
    <w:rsid w:val="009204EA"/>
    <w:rsid w:val="009205B3"/>
    <w:rsid w:val="00920C6A"/>
    <w:rsid w:val="009212A9"/>
    <w:rsid w:val="00922A9B"/>
    <w:rsid w:val="00922D98"/>
    <w:rsid w:val="00923EC4"/>
    <w:rsid w:val="00925574"/>
    <w:rsid w:val="00925D10"/>
    <w:rsid w:val="00925DFE"/>
    <w:rsid w:val="009304F2"/>
    <w:rsid w:val="00933B7D"/>
    <w:rsid w:val="00933F40"/>
    <w:rsid w:val="0093446A"/>
    <w:rsid w:val="00934E02"/>
    <w:rsid w:val="0093585B"/>
    <w:rsid w:val="00936892"/>
    <w:rsid w:val="00936D94"/>
    <w:rsid w:val="009370C7"/>
    <w:rsid w:val="009372CF"/>
    <w:rsid w:val="00937F19"/>
    <w:rsid w:val="00940958"/>
    <w:rsid w:val="00941710"/>
    <w:rsid w:val="0094194A"/>
    <w:rsid w:val="00942142"/>
    <w:rsid w:val="00942D78"/>
    <w:rsid w:val="009433A2"/>
    <w:rsid w:val="009447E4"/>
    <w:rsid w:val="00945D01"/>
    <w:rsid w:val="009465D1"/>
    <w:rsid w:val="00951B27"/>
    <w:rsid w:val="00952006"/>
    <w:rsid w:val="00954B28"/>
    <w:rsid w:val="00954F08"/>
    <w:rsid w:val="0095556F"/>
    <w:rsid w:val="00955B08"/>
    <w:rsid w:val="0095609B"/>
    <w:rsid w:val="00956B7E"/>
    <w:rsid w:val="009603EB"/>
    <w:rsid w:val="00960C04"/>
    <w:rsid w:val="00962889"/>
    <w:rsid w:val="00963123"/>
    <w:rsid w:val="00967023"/>
    <w:rsid w:val="009675AA"/>
    <w:rsid w:val="0097003A"/>
    <w:rsid w:val="00973D4A"/>
    <w:rsid w:val="009749ED"/>
    <w:rsid w:val="00976CEF"/>
    <w:rsid w:val="009771C4"/>
    <w:rsid w:val="0097761D"/>
    <w:rsid w:val="00977652"/>
    <w:rsid w:val="00980CB6"/>
    <w:rsid w:val="00984096"/>
    <w:rsid w:val="00984132"/>
    <w:rsid w:val="009868AA"/>
    <w:rsid w:val="00990A33"/>
    <w:rsid w:val="009931E2"/>
    <w:rsid w:val="009939AB"/>
    <w:rsid w:val="00996580"/>
    <w:rsid w:val="0099676F"/>
    <w:rsid w:val="00996968"/>
    <w:rsid w:val="009A0AC8"/>
    <w:rsid w:val="009A0F67"/>
    <w:rsid w:val="009A24D9"/>
    <w:rsid w:val="009A37C6"/>
    <w:rsid w:val="009A3F92"/>
    <w:rsid w:val="009A48FF"/>
    <w:rsid w:val="009B0282"/>
    <w:rsid w:val="009B562E"/>
    <w:rsid w:val="009B5D12"/>
    <w:rsid w:val="009B62D8"/>
    <w:rsid w:val="009C07E3"/>
    <w:rsid w:val="009C0961"/>
    <w:rsid w:val="009C108A"/>
    <w:rsid w:val="009C36D8"/>
    <w:rsid w:val="009C3919"/>
    <w:rsid w:val="009C420B"/>
    <w:rsid w:val="009C4B74"/>
    <w:rsid w:val="009C79E1"/>
    <w:rsid w:val="009D1192"/>
    <w:rsid w:val="009D2088"/>
    <w:rsid w:val="009D249C"/>
    <w:rsid w:val="009D2664"/>
    <w:rsid w:val="009D39C4"/>
    <w:rsid w:val="009D3B70"/>
    <w:rsid w:val="009D3D0D"/>
    <w:rsid w:val="009D5BEF"/>
    <w:rsid w:val="009D706B"/>
    <w:rsid w:val="009E01EC"/>
    <w:rsid w:val="009E1DED"/>
    <w:rsid w:val="009E374F"/>
    <w:rsid w:val="009E4A55"/>
    <w:rsid w:val="009E4D21"/>
    <w:rsid w:val="009E4DDA"/>
    <w:rsid w:val="009F0FCB"/>
    <w:rsid w:val="009F129C"/>
    <w:rsid w:val="009F2838"/>
    <w:rsid w:val="009F3815"/>
    <w:rsid w:val="009F3CD2"/>
    <w:rsid w:val="009F4134"/>
    <w:rsid w:val="009F41BD"/>
    <w:rsid w:val="009F5C0E"/>
    <w:rsid w:val="009F604E"/>
    <w:rsid w:val="009F667C"/>
    <w:rsid w:val="009F6CB2"/>
    <w:rsid w:val="009F7FA3"/>
    <w:rsid w:val="00A01936"/>
    <w:rsid w:val="00A02D06"/>
    <w:rsid w:val="00A0320A"/>
    <w:rsid w:val="00A03B2B"/>
    <w:rsid w:val="00A057CE"/>
    <w:rsid w:val="00A05DBB"/>
    <w:rsid w:val="00A066F2"/>
    <w:rsid w:val="00A07A6A"/>
    <w:rsid w:val="00A1004C"/>
    <w:rsid w:val="00A10C0B"/>
    <w:rsid w:val="00A130A7"/>
    <w:rsid w:val="00A13740"/>
    <w:rsid w:val="00A1672C"/>
    <w:rsid w:val="00A16970"/>
    <w:rsid w:val="00A204EA"/>
    <w:rsid w:val="00A21C24"/>
    <w:rsid w:val="00A230E6"/>
    <w:rsid w:val="00A23610"/>
    <w:rsid w:val="00A245F9"/>
    <w:rsid w:val="00A26607"/>
    <w:rsid w:val="00A26B08"/>
    <w:rsid w:val="00A27482"/>
    <w:rsid w:val="00A30100"/>
    <w:rsid w:val="00A30171"/>
    <w:rsid w:val="00A30D94"/>
    <w:rsid w:val="00A30FCB"/>
    <w:rsid w:val="00A31A13"/>
    <w:rsid w:val="00A32293"/>
    <w:rsid w:val="00A32662"/>
    <w:rsid w:val="00A32844"/>
    <w:rsid w:val="00A34AC3"/>
    <w:rsid w:val="00A374B6"/>
    <w:rsid w:val="00A40FC8"/>
    <w:rsid w:val="00A41027"/>
    <w:rsid w:val="00A433F4"/>
    <w:rsid w:val="00A439FD"/>
    <w:rsid w:val="00A43BF9"/>
    <w:rsid w:val="00A4452D"/>
    <w:rsid w:val="00A44BEA"/>
    <w:rsid w:val="00A44F82"/>
    <w:rsid w:val="00A46A1B"/>
    <w:rsid w:val="00A5139C"/>
    <w:rsid w:val="00A529BC"/>
    <w:rsid w:val="00A55D7E"/>
    <w:rsid w:val="00A55E1F"/>
    <w:rsid w:val="00A577C2"/>
    <w:rsid w:val="00A60671"/>
    <w:rsid w:val="00A6114D"/>
    <w:rsid w:val="00A63B4F"/>
    <w:rsid w:val="00A643A0"/>
    <w:rsid w:val="00A649D2"/>
    <w:rsid w:val="00A6600E"/>
    <w:rsid w:val="00A66843"/>
    <w:rsid w:val="00A66CA6"/>
    <w:rsid w:val="00A73503"/>
    <w:rsid w:val="00A75095"/>
    <w:rsid w:val="00A76D34"/>
    <w:rsid w:val="00A814A4"/>
    <w:rsid w:val="00A84159"/>
    <w:rsid w:val="00A84EEB"/>
    <w:rsid w:val="00A8618A"/>
    <w:rsid w:val="00A909F7"/>
    <w:rsid w:val="00A90D41"/>
    <w:rsid w:val="00A961E0"/>
    <w:rsid w:val="00A97F10"/>
    <w:rsid w:val="00AA048E"/>
    <w:rsid w:val="00AA0F89"/>
    <w:rsid w:val="00AA12D7"/>
    <w:rsid w:val="00AA3122"/>
    <w:rsid w:val="00AA3199"/>
    <w:rsid w:val="00AA3DB0"/>
    <w:rsid w:val="00AA5441"/>
    <w:rsid w:val="00AA646B"/>
    <w:rsid w:val="00AA683E"/>
    <w:rsid w:val="00AA6E6A"/>
    <w:rsid w:val="00AB12DA"/>
    <w:rsid w:val="00AB1BEE"/>
    <w:rsid w:val="00AB4B60"/>
    <w:rsid w:val="00AB4F6D"/>
    <w:rsid w:val="00AB5F2C"/>
    <w:rsid w:val="00AB71E8"/>
    <w:rsid w:val="00AB7669"/>
    <w:rsid w:val="00AC0FED"/>
    <w:rsid w:val="00AC328D"/>
    <w:rsid w:val="00AC3B98"/>
    <w:rsid w:val="00AC3F93"/>
    <w:rsid w:val="00AC4FF7"/>
    <w:rsid w:val="00AC6060"/>
    <w:rsid w:val="00AD4F47"/>
    <w:rsid w:val="00AD62DC"/>
    <w:rsid w:val="00AE0ACA"/>
    <w:rsid w:val="00AE125D"/>
    <w:rsid w:val="00AE1D1B"/>
    <w:rsid w:val="00AE3905"/>
    <w:rsid w:val="00AE3EB3"/>
    <w:rsid w:val="00AE408B"/>
    <w:rsid w:val="00AE55ED"/>
    <w:rsid w:val="00AE69B4"/>
    <w:rsid w:val="00AE7DE8"/>
    <w:rsid w:val="00AF4874"/>
    <w:rsid w:val="00AF50B7"/>
    <w:rsid w:val="00B0107C"/>
    <w:rsid w:val="00B01E0C"/>
    <w:rsid w:val="00B06C6F"/>
    <w:rsid w:val="00B07460"/>
    <w:rsid w:val="00B10FCB"/>
    <w:rsid w:val="00B11958"/>
    <w:rsid w:val="00B12AF8"/>
    <w:rsid w:val="00B142E1"/>
    <w:rsid w:val="00B15330"/>
    <w:rsid w:val="00B1544C"/>
    <w:rsid w:val="00B165F8"/>
    <w:rsid w:val="00B200E3"/>
    <w:rsid w:val="00B2202C"/>
    <w:rsid w:val="00B22CC7"/>
    <w:rsid w:val="00B23222"/>
    <w:rsid w:val="00B23371"/>
    <w:rsid w:val="00B2575D"/>
    <w:rsid w:val="00B2670A"/>
    <w:rsid w:val="00B26C40"/>
    <w:rsid w:val="00B26FB5"/>
    <w:rsid w:val="00B31857"/>
    <w:rsid w:val="00B321B8"/>
    <w:rsid w:val="00B322EF"/>
    <w:rsid w:val="00B33554"/>
    <w:rsid w:val="00B33D94"/>
    <w:rsid w:val="00B346C1"/>
    <w:rsid w:val="00B360BD"/>
    <w:rsid w:val="00B43DF2"/>
    <w:rsid w:val="00B46676"/>
    <w:rsid w:val="00B46754"/>
    <w:rsid w:val="00B46A83"/>
    <w:rsid w:val="00B46F6D"/>
    <w:rsid w:val="00B47E56"/>
    <w:rsid w:val="00B503C3"/>
    <w:rsid w:val="00B517D8"/>
    <w:rsid w:val="00B51901"/>
    <w:rsid w:val="00B51BBE"/>
    <w:rsid w:val="00B521D0"/>
    <w:rsid w:val="00B52DC7"/>
    <w:rsid w:val="00B531AC"/>
    <w:rsid w:val="00B53415"/>
    <w:rsid w:val="00B53472"/>
    <w:rsid w:val="00B5350B"/>
    <w:rsid w:val="00B561F4"/>
    <w:rsid w:val="00B5682A"/>
    <w:rsid w:val="00B56C9A"/>
    <w:rsid w:val="00B57097"/>
    <w:rsid w:val="00B578BD"/>
    <w:rsid w:val="00B62378"/>
    <w:rsid w:val="00B62742"/>
    <w:rsid w:val="00B62A09"/>
    <w:rsid w:val="00B630A8"/>
    <w:rsid w:val="00B65B52"/>
    <w:rsid w:val="00B66216"/>
    <w:rsid w:val="00B671B8"/>
    <w:rsid w:val="00B677BC"/>
    <w:rsid w:val="00B67A91"/>
    <w:rsid w:val="00B7156F"/>
    <w:rsid w:val="00B71744"/>
    <w:rsid w:val="00B72ACA"/>
    <w:rsid w:val="00B72AD9"/>
    <w:rsid w:val="00B72C79"/>
    <w:rsid w:val="00B72D6A"/>
    <w:rsid w:val="00B7389C"/>
    <w:rsid w:val="00B73A2A"/>
    <w:rsid w:val="00B7443D"/>
    <w:rsid w:val="00B74E33"/>
    <w:rsid w:val="00B74FAF"/>
    <w:rsid w:val="00B76703"/>
    <w:rsid w:val="00B776AB"/>
    <w:rsid w:val="00B77E36"/>
    <w:rsid w:val="00B8075F"/>
    <w:rsid w:val="00B82B49"/>
    <w:rsid w:val="00B83A47"/>
    <w:rsid w:val="00B845F8"/>
    <w:rsid w:val="00B84C0C"/>
    <w:rsid w:val="00B877DF"/>
    <w:rsid w:val="00B904FC"/>
    <w:rsid w:val="00B91036"/>
    <w:rsid w:val="00B91904"/>
    <w:rsid w:val="00B92589"/>
    <w:rsid w:val="00B92C7F"/>
    <w:rsid w:val="00B9301C"/>
    <w:rsid w:val="00B957F5"/>
    <w:rsid w:val="00B95DFE"/>
    <w:rsid w:val="00B96641"/>
    <w:rsid w:val="00B966CC"/>
    <w:rsid w:val="00B96B9F"/>
    <w:rsid w:val="00BA0DAF"/>
    <w:rsid w:val="00BA3C5C"/>
    <w:rsid w:val="00BA4227"/>
    <w:rsid w:val="00BA4A17"/>
    <w:rsid w:val="00BA5A46"/>
    <w:rsid w:val="00BA6664"/>
    <w:rsid w:val="00BB0D35"/>
    <w:rsid w:val="00BB0E55"/>
    <w:rsid w:val="00BB1389"/>
    <w:rsid w:val="00BB273B"/>
    <w:rsid w:val="00BB365D"/>
    <w:rsid w:val="00BB4672"/>
    <w:rsid w:val="00BB797C"/>
    <w:rsid w:val="00BC022C"/>
    <w:rsid w:val="00BC12DD"/>
    <w:rsid w:val="00BC19C3"/>
    <w:rsid w:val="00BC24C6"/>
    <w:rsid w:val="00BC7444"/>
    <w:rsid w:val="00BD0925"/>
    <w:rsid w:val="00BD11E9"/>
    <w:rsid w:val="00BD1D5A"/>
    <w:rsid w:val="00BD2AB4"/>
    <w:rsid w:val="00BD3B39"/>
    <w:rsid w:val="00BD515D"/>
    <w:rsid w:val="00BD5E35"/>
    <w:rsid w:val="00BD66CB"/>
    <w:rsid w:val="00BD6BEF"/>
    <w:rsid w:val="00BD7BB1"/>
    <w:rsid w:val="00BD7DEB"/>
    <w:rsid w:val="00BD7E40"/>
    <w:rsid w:val="00BE177A"/>
    <w:rsid w:val="00BE2A92"/>
    <w:rsid w:val="00BE3292"/>
    <w:rsid w:val="00BE3F2F"/>
    <w:rsid w:val="00BE4418"/>
    <w:rsid w:val="00BE45C5"/>
    <w:rsid w:val="00BE4F05"/>
    <w:rsid w:val="00BE5EC7"/>
    <w:rsid w:val="00BE71A2"/>
    <w:rsid w:val="00BE7503"/>
    <w:rsid w:val="00BE76E2"/>
    <w:rsid w:val="00BE7D83"/>
    <w:rsid w:val="00BE7FD6"/>
    <w:rsid w:val="00BF0463"/>
    <w:rsid w:val="00BF1693"/>
    <w:rsid w:val="00BF2563"/>
    <w:rsid w:val="00BF3D9C"/>
    <w:rsid w:val="00BF5DC3"/>
    <w:rsid w:val="00BF6841"/>
    <w:rsid w:val="00BF76C2"/>
    <w:rsid w:val="00C027C1"/>
    <w:rsid w:val="00C02ED4"/>
    <w:rsid w:val="00C05254"/>
    <w:rsid w:val="00C061F3"/>
    <w:rsid w:val="00C06ACA"/>
    <w:rsid w:val="00C151FA"/>
    <w:rsid w:val="00C16284"/>
    <w:rsid w:val="00C20A1C"/>
    <w:rsid w:val="00C2195E"/>
    <w:rsid w:val="00C21CF3"/>
    <w:rsid w:val="00C21FA3"/>
    <w:rsid w:val="00C22996"/>
    <w:rsid w:val="00C232D2"/>
    <w:rsid w:val="00C24717"/>
    <w:rsid w:val="00C249F2"/>
    <w:rsid w:val="00C30A0C"/>
    <w:rsid w:val="00C30D1F"/>
    <w:rsid w:val="00C318E8"/>
    <w:rsid w:val="00C32266"/>
    <w:rsid w:val="00C34E62"/>
    <w:rsid w:val="00C36DF3"/>
    <w:rsid w:val="00C370F9"/>
    <w:rsid w:val="00C372A8"/>
    <w:rsid w:val="00C37EE7"/>
    <w:rsid w:val="00C40DA5"/>
    <w:rsid w:val="00C427C3"/>
    <w:rsid w:val="00C43858"/>
    <w:rsid w:val="00C44442"/>
    <w:rsid w:val="00C4461F"/>
    <w:rsid w:val="00C44F16"/>
    <w:rsid w:val="00C45145"/>
    <w:rsid w:val="00C45746"/>
    <w:rsid w:val="00C46C06"/>
    <w:rsid w:val="00C52285"/>
    <w:rsid w:val="00C539AB"/>
    <w:rsid w:val="00C55A6B"/>
    <w:rsid w:val="00C55A74"/>
    <w:rsid w:val="00C55C32"/>
    <w:rsid w:val="00C56044"/>
    <w:rsid w:val="00C560F7"/>
    <w:rsid w:val="00C57981"/>
    <w:rsid w:val="00C57BC2"/>
    <w:rsid w:val="00C60381"/>
    <w:rsid w:val="00C6047E"/>
    <w:rsid w:val="00C64962"/>
    <w:rsid w:val="00C7127A"/>
    <w:rsid w:val="00C71488"/>
    <w:rsid w:val="00C71AA6"/>
    <w:rsid w:val="00C71DC6"/>
    <w:rsid w:val="00C72CA3"/>
    <w:rsid w:val="00C73BDC"/>
    <w:rsid w:val="00C73E63"/>
    <w:rsid w:val="00C74001"/>
    <w:rsid w:val="00C75C35"/>
    <w:rsid w:val="00C76AE3"/>
    <w:rsid w:val="00C77010"/>
    <w:rsid w:val="00C77C39"/>
    <w:rsid w:val="00C810E1"/>
    <w:rsid w:val="00C8191C"/>
    <w:rsid w:val="00C81FD0"/>
    <w:rsid w:val="00C821EB"/>
    <w:rsid w:val="00C8232C"/>
    <w:rsid w:val="00C83C88"/>
    <w:rsid w:val="00C85295"/>
    <w:rsid w:val="00C86100"/>
    <w:rsid w:val="00C8677B"/>
    <w:rsid w:val="00C86D95"/>
    <w:rsid w:val="00C87145"/>
    <w:rsid w:val="00C928D3"/>
    <w:rsid w:val="00C92C1A"/>
    <w:rsid w:val="00C93331"/>
    <w:rsid w:val="00C9451E"/>
    <w:rsid w:val="00C94ADE"/>
    <w:rsid w:val="00C94FCB"/>
    <w:rsid w:val="00C97319"/>
    <w:rsid w:val="00C97326"/>
    <w:rsid w:val="00C97932"/>
    <w:rsid w:val="00CA6126"/>
    <w:rsid w:val="00CA620C"/>
    <w:rsid w:val="00CA6E89"/>
    <w:rsid w:val="00CB1397"/>
    <w:rsid w:val="00CB22ED"/>
    <w:rsid w:val="00CB297C"/>
    <w:rsid w:val="00CB34BD"/>
    <w:rsid w:val="00CB435E"/>
    <w:rsid w:val="00CB5101"/>
    <w:rsid w:val="00CB7405"/>
    <w:rsid w:val="00CB761F"/>
    <w:rsid w:val="00CC193A"/>
    <w:rsid w:val="00CC2AC9"/>
    <w:rsid w:val="00CC2C02"/>
    <w:rsid w:val="00CC32F8"/>
    <w:rsid w:val="00CC3305"/>
    <w:rsid w:val="00CC4325"/>
    <w:rsid w:val="00CC6358"/>
    <w:rsid w:val="00CC72A7"/>
    <w:rsid w:val="00CD1994"/>
    <w:rsid w:val="00CD1996"/>
    <w:rsid w:val="00CD2220"/>
    <w:rsid w:val="00CD2F00"/>
    <w:rsid w:val="00CD4156"/>
    <w:rsid w:val="00CD4F23"/>
    <w:rsid w:val="00CD4FBC"/>
    <w:rsid w:val="00CD5F7C"/>
    <w:rsid w:val="00CD6867"/>
    <w:rsid w:val="00CE102D"/>
    <w:rsid w:val="00CE288D"/>
    <w:rsid w:val="00CE2D4C"/>
    <w:rsid w:val="00CE325C"/>
    <w:rsid w:val="00CE4AFE"/>
    <w:rsid w:val="00CE7E0A"/>
    <w:rsid w:val="00CF0868"/>
    <w:rsid w:val="00CF3944"/>
    <w:rsid w:val="00CF4589"/>
    <w:rsid w:val="00CF571E"/>
    <w:rsid w:val="00CF5C07"/>
    <w:rsid w:val="00CF662A"/>
    <w:rsid w:val="00CF7677"/>
    <w:rsid w:val="00D04BF9"/>
    <w:rsid w:val="00D05443"/>
    <w:rsid w:val="00D06B9D"/>
    <w:rsid w:val="00D06D9B"/>
    <w:rsid w:val="00D071B0"/>
    <w:rsid w:val="00D1041A"/>
    <w:rsid w:val="00D11D41"/>
    <w:rsid w:val="00D14006"/>
    <w:rsid w:val="00D14187"/>
    <w:rsid w:val="00D1462E"/>
    <w:rsid w:val="00D1471B"/>
    <w:rsid w:val="00D14744"/>
    <w:rsid w:val="00D15FDD"/>
    <w:rsid w:val="00D16ADE"/>
    <w:rsid w:val="00D16F47"/>
    <w:rsid w:val="00D17C02"/>
    <w:rsid w:val="00D17C0B"/>
    <w:rsid w:val="00D17C27"/>
    <w:rsid w:val="00D2530A"/>
    <w:rsid w:val="00D27376"/>
    <w:rsid w:val="00D31BF9"/>
    <w:rsid w:val="00D3264E"/>
    <w:rsid w:val="00D33C64"/>
    <w:rsid w:val="00D3440A"/>
    <w:rsid w:val="00D34CEB"/>
    <w:rsid w:val="00D34FD3"/>
    <w:rsid w:val="00D35D37"/>
    <w:rsid w:val="00D36598"/>
    <w:rsid w:val="00D37379"/>
    <w:rsid w:val="00D40960"/>
    <w:rsid w:val="00D4104C"/>
    <w:rsid w:val="00D4418C"/>
    <w:rsid w:val="00D4586C"/>
    <w:rsid w:val="00D45E74"/>
    <w:rsid w:val="00D46392"/>
    <w:rsid w:val="00D471AC"/>
    <w:rsid w:val="00D5165A"/>
    <w:rsid w:val="00D51B35"/>
    <w:rsid w:val="00D53758"/>
    <w:rsid w:val="00D538A6"/>
    <w:rsid w:val="00D5512B"/>
    <w:rsid w:val="00D552AA"/>
    <w:rsid w:val="00D555BF"/>
    <w:rsid w:val="00D55FE8"/>
    <w:rsid w:val="00D577B6"/>
    <w:rsid w:val="00D60411"/>
    <w:rsid w:val="00D60BB3"/>
    <w:rsid w:val="00D613F6"/>
    <w:rsid w:val="00D6226C"/>
    <w:rsid w:val="00D62733"/>
    <w:rsid w:val="00D62B9F"/>
    <w:rsid w:val="00D64CDD"/>
    <w:rsid w:val="00D64EBF"/>
    <w:rsid w:val="00D660D7"/>
    <w:rsid w:val="00D6701C"/>
    <w:rsid w:val="00D6774C"/>
    <w:rsid w:val="00D70BCE"/>
    <w:rsid w:val="00D71B5E"/>
    <w:rsid w:val="00D71FB0"/>
    <w:rsid w:val="00D73108"/>
    <w:rsid w:val="00D74CAE"/>
    <w:rsid w:val="00D74FFF"/>
    <w:rsid w:val="00D7546C"/>
    <w:rsid w:val="00D756CE"/>
    <w:rsid w:val="00D80483"/>
    <w:rsid w:val="00D82BD7"/>
    <w:rsid w:val="00D84C9E"/>
    <w:rsid w:val="00D861D1"/>
    <w:rsid w:val="00D863E6"/>
    <w:rsid w:val="00D91888"/>
    <w:rsid w:val="00D92A29"/>
    <w:rsid w:val="00D92B76"/>
    <w:rsid w:val="00D93BC9"/>
    <w:rsid w:val="00D93F25"/>
    <w:rsid w:val="00D941F8"/>
    <w:rsid w:val="00D94795"/>
    <w:rsid w:val="00D95610"/>
    <w:rsid w:val="00D96244"/>
    <w:rsid w:val="00D96E26"/>
    <w:rsid w:val="00DA137E"/>
    <w:rsid w:val="00DA5F3D"/>
    <w:rsid w:val="00DA69A6"/>
    <w:rsid w:val="00DA6F18"/>
    <w:rsid w:val="00DB06DA"/>
    <w:rsid w:val="00DB0E6A"/>
    <w:rsid w:val="00DB1836"/>
    <w:rsid w:val="00DB1913"/>
    <w:rsid w:val="00DB3DF9"/>
    <w:rsid w:val="00DB4203"/>
    <w:rsid w:val="00DC0298"/>
    <w:rsid w:val="00DC27F5"/>
    <w:rsid w:val="00DC2D19"/>
    <w:rsid w:val="00DC302B"/>
    <w:rsid w:val="00DC6640"/>
    <w:rsid w:val="00DC6968"/>
    <w:rsid w:val="00DC725B"/>
    <w:rsid w:val="00DC739B"/>
    <w:rsid w:val="00DC79CB"/>
    <w:rsid w:val="00DD1D66"/>
    <w:rsid w:val="00DD2824"/>
    <w:rsid w:val="00DD2FBB"/>
    <w:rsid w:val="00DD317B"/>
    <w:rsid w:val="00DD348B"/>
    <w:rsid w:val="00DD4949"/>
    <w:rsid w:val="00DD5286"/>
    <w:rsid w:val="00DD5C15"/>
    <w:rsid w:val="00DD61A4"/>
    <w:rsid w:val="00DD67A1"/>
    <w:rsid w:val="00DD716F"/>
    <w:rsid w:val="00DE0D3A"/>
    <w:rsid w:val="00DE105A"/>
    <w:rsid w:val="00DE1345"/>
    <w:rsid w:val="00DE166F"/>
    <w:rsid w:val="00DE18FD"/>
    <w:rsid w:val="00DE1D36"/>
    <w:rsid w:val="00DE3248"/>
    <w:rsid w:val="00DE68F7"/>
    <w:rsid w:val="00DF38BD"/>
    <w:rsid w:val="00DF4478"/>
    <w:rsid w:val="00DF6638"/>
    <w:rsid w:val="00DF6ED5"/>
    <w:rsid w:val="00DF7046"/>
    <w:rsid w:val="00DF760B"/>
    <w:rsid w:val="00E0047E"/>
    <w:rsid w:val="00E00CFD"/>
    <w:rsid w:val="00E01430"/>
    <w:rsid w:val="00E057B6"/>
    <w:rsid w:val="00E06A94"/>
    <w:rsid w:val="00E07878"/>
    <w:rsid w:val="00E0797E"/>
    <w:rsid w:val="00E104D0"/>
    <w:rsid w:val="00E10BA2"/>
    <w:rsid w:val="00E12F85"/>
    <w:rsid w:val="00E131F3"/>
    <w:rsid w:val="00E134A4"/>
    <w:rsid w:val="00E14B24"/>
    <w:rsid w:val="00E14C44"/>
    <w:rsid w:val="00E168EE"/>
    <w:rsid w:val="00E16998"/>
    <w:rsid w:val="00E20810"/>
    <w:rsid w:val="00E21D17"/>
    <w:rsid w:val="00E2656F"/>
    <w:rsid w:val="00E3025C"/>
    <w:rsid w:val="00E30C0E"/>
    <w:rsid w:val="00E31E40"/>
    <w:rsid w:val="00E334E3"/>
    <w:rsid w:val="00E33F64"/>
    <w:rsid w:val="00E351CB"/>
    <w:rsid w:val="00E35DB7"/>
    <w:rsid w:val="00E37A0C"/>
    <w:rsid w:val="00E37FF1"/>
    <w:rsid w:val="00E400D7"/>
    <w:rsid w:val="00E41258"/>
    <w:rsid w:val="00E417BF"/>
    <w:rsid w:val="00E41D76"/>
    <w:rsid w:val="00E42618"/>
    <w:rsid w:val="00E43360"/>
    <w:rsid w:val="00E4514C"/>
    <w:rsid w:val="00E47EF7"/>
    <w:rsid w:val="00E500FA"/>
    <w:rsid w:val="00E50A5D"/>
    <w:rsid w:val="00E50B3D"/>
    <w:rsid w:val="00E528EC"/>
    <w:rsid w:val="00E55FB6"/>
    <w:rsid w:val="00E57FA7"/>
    <w:rsid w:val="00E600C1"/>
    <w:rsid w:val="00E601AC"/>
    <w:rsid w:val="00E61429"/>
    <w:rsid w:val="00E61B76"/>
    <w:rsid w:val="00E61F92"/>
    <w:rsid w:val="00E6729F"/>
    <w:rsid w:val="00E705AB"/>
    <w:rsid w:val="00E707AF"/>
    <w:rsid w:val="00E71103"/>
    <w:rsid w:val="00E717DD"/>
    <w:rsid w:val="00E71F02"/>
    <w:rsid w:val="00E731C1"/>
    <w:rsid w:val="00E736F5"/>
    <w:rsid w:val="00E74466"/>
    <w:rsid w:val="00E74A21"/>
    <w:rsid w:val="00E7622B"/>
    <w:rsid w:val="00E76264"/>
    <w:rsid w:val="00E765BA"/>
    <w:rsid w:val="00E77622"/>
    <w:rsid w:val="00E8275E"/>
    <w:rsid w:val="00E82AC6"/>
    <w:rsid w:val="00E840B5"/>
    <w:rsid w:val="00E85EFF"/>
    <w:rsid w:val="00E879CB"/>
    <w:rsid w:val="00E902A3"/>
    <w:rsid w:val="00E908EC"/>
    <w:rsid w:val="00E90903"/>
    <w:rsid w:val="00E917AA"/>
    <w:rsid w:val="00E921B5"/>
    <w:rsid w:val="00E97B25"/>
    <w:rsid w:val="00EA01A1"/>
    <w:rsid w:val="00EA0C76"/>
    <w:rsid w:val="00EA0EEE"/>
    <w:rsid w:val="00EA181D"/>
    <w:rsid w:val="00EA1E41"/>
    <w:rsid w:val="00EA1F02"/>
    <w:rsid w:val="00EA2C20"/>
    <w:rsid w:val="00EA31E0"/>
    <w:rsid w:val="00EA32DE"/>
    <w:rsid w:val="00EA3BC4"/>
    <w:rsid w:val="00EA3C8C"/>
    <w:rsid w:val="00EA4157"/>
    <w:rsid w:val="00EA49BE"/>
    <w:rsid w:val="00EA5759"/>
    <w:rsid w:val="00EA59B0"/>
    <w:rsid w:val="00EA734E"/>
    <w:rsid w:val="00EA760C"/>
    <w:rsid w:val="00EB087F"/>
    <w:rsid w:val="00EB1CD7"/>
    <w:rsid w:val="00EB3222"/>
    <w:rsid w:val="00EB3C07"/>
    <w:rsid w:val="00EB4023"/>
    <w:rsid w:val="00EB473B"/>
    <w:rsid w:val="00EB4D77"/>
    <w:rsid w:val="00EB54F2"/>
    <w:rsid w:val="00EB6085"/>
    <w:rsid w:val="00EC1152"/>
    <w:rsid w:val="00EC4DE5"/>
    <w:rsid w:val="00EC52BB"/>
    <w:rsid w:val="00EC607C"/>
    <w:rsid w:val="00EC6B44"/>
    <w:rsid w:val="00EC6F78"/>
    <w:rsid w:val="00ED0948"/>
    <w:rsid w:val="00ED0AA7"/>
    <w:rsid w:val="00ED1162"/>
    <w:rsid w:val="00ED1BD2"/>
    <w:rsid w:val="00ED2134"/>
    <w:rsid w:val="00ED3BDA"/>
    <w:rsid w:val="00ED5AA4"/>
    <w:rsid w:val="00ED5C4F"/>
    <w:rsid w:val="00ED5E3E"/>
    <w:rsid w:val="00ED6ED1"/>
    <w:rsid w:val="00ED7240"/>
    <w:rsid w:val="00EE119A"/>
    <w:rsid w:val="00EE1A51"/>
    <w:rsid w:val="00EE1D4B"/>
    <w:rsid w:val="00EE1F26"/>
    <w:rsid w:val="00EE2717"/>
    <w:rsid w:val="00EE49A6"/>
    <w:rsid w:val="00EE4DF4"/>
    <w:rsid w:val="00EE5B87"/>
    <w:rsid w:val="00EE5C45"/>
    <w:rsid w:val="00EE5E9A"/>
    <w:rsid w:val="00EE6B73"/>
    <w:rsid w:val="00EF0F22"/>
    <w:rsid w:val="00EF6477"/>
    <w:rsid w:val="00EF7CF6"/>
    <w:rsid w:val="00F004BC"/>
    <w:rsid w:val="00F018A3"/>
    <w:rsid w:val="00F029E0"/>
    <w:rsid w:val="00F04393"/>
    <w:rsid w:val="00F04EC4"/>
    <w:rsid w:val="00F05C2C"/>
    <w:rsid w:val="00F062E0"/>
    <w:rsid w:val="00F06F4F"/>
    <w:rsid w:val="00F07BA2"/>
    <w:rsid w:val="00F12222"/>
    <w:rsid w:val="00F149C2"/>
    <w:rsid w:val="00F14AC0"/>
    <w:rsid w:val="00F14F14"/>
    <w:rsid w:val="00F1527D"/>
    <w:rsid w:val="00F160DF"/>
    <w:rsid w:val="00F1633B"/>
    <w:rsid w:val="00F1650C"/>
    <w:rsid w:val="00F173C3"/>
    <w:rsid w:val="00F20613"/>
    <w:rsid w:val="00F21514"/>
    <w:rsid w:val="00F21887"/>
    <w:rsid w:val="00F234CE"/>
    <w:rsid w:val="00F2446E"/>
    <w:rsid w:val="00F24C59"/>
    <w:rsid w:val="00F24E3B"/>
    <w:rsid w:val="00F25717"/>
    <w:rsid w:val="00F27438"/>
    <w:rsid w:val="00F276B9"/>
    <w:rsid w:val="00F30C5C"/>
    <w:rsid w:val="00F31111"/>
    <w:rsid w:val="00F32668"/>
    <w:rsid w:val="00F35281"/>
    <w:rsid w:val="00F35C2C"/>
    <w:rsid w:val="00F35E5A"/>
    <w:rsid w:val="00F35EB1"/>
    <w:rsid w:val="00F360CA"/>
    <w:rsid w:val="00F37609"/>
    <w:rsid w:val="00F378A0"/>
    <w:rsid w:val="00F400F9"/>
    <w:rsid w:val="00F40633"/>
    <w:rsid w:val="00F40E04"/>
    <w:rsid w:val="00F41437"/>
    <w:rsid w:val="00F43A36"/>
    <w:rsid w:val="00F43C3F"/>
    <w:rsid w:val="00F45A61"/>
    <w:rsid w:val="00F45D45"/>
    <w:rsid w:val="00F46CAE"/>
    <w:rsid w:val="00F51792"/>
    <w:rsid w:val="00F52B0E"/>
    <w:rsid w:val="00F54373"/>
    <w:rsid w:val="00F554B2"/>
    <w:rsid w:val="00F557F7"/>
    <w:rsid w:val="00F563BE"/>
    <w:rsid w:val="00F571EC"/>
    <w:rsid w:val="00F57D41"/>
    <w:rsid w:val="00F57E8D"/>
    <w:rsid w:val="00F607D6"/>
    <w:rsid w:val="00F60C38"/>
    <w:rsid w:val="00F62BA4"/>
    <w:rsid w:val="00F631C1"/>
    <w:rsid w:val="00F63250"/>
    <w:rsid w:val="00F63F6E"/>
    <w:rsid w:val="00F64532"/>
    <w:rsid w:val="00F67303"/>
    <w:rsid w:val="00F6774C"/>
    <w:rsid w:val="00F67901"/>
    <w:rsid w:val="00F67F41"/>
    <w:rsid w:val="00F71121"/>
    <w:rsid w:val="00F71912"/>
    <w:rsid w:val="00F72B4F"/>
    <w:rsid w:val="00F734F3"/>
    <w:rsid w:val="00F74051"/>
    <w:rsid w:val="00F74179"/>
    <w:rsid w:val="00F75E72"/>
    <w:rsid w:val="00F75F34"/>
    <w:rsid w:val="00F76C81"/>
    <w:rsid w:val="00F774D6"/>
    <w:rsid w:val="00F803B7"/>
    <w:rsid w:val="00F82EE5"/>
    <w:rsid w:val="00F84CF9"/>
    <w:rsid w:val="00F85190"/>
    <w:rsid w:val="00F86A5C"/>
    <w:rsid w:val="00F87A56"/>
    <w:rsid w:val="00F920D0"/>
    <w:rsid w:val="00F925EF"/>
    <w:rsid w:val="00F957F8"/>
    <w:rsid w:val="00F95A97"/>
    <w:rsid w:val="00F97752"/>
    <w:rsid w:val="00F97AAD"/>
    <w:rsid w:val="00F97E1B"/>
    <w:rsid w:val="00FA149C"/>
    <w:rsid w:val="00FA3F91"/>
    <w:rsid w:val="00FA63C6"/>
    <w:rsid w:val="00FA64EB"/>
    <w:rsid w:val="00FA7B2C"/>
    <w:rsid w:val="00FA7D1D"/>
    <w:rsid w:val="00FB0E21"/>
    <w:rsid w:val="00FB1BDE"/>
    <w:rsid w:val="00FB3F9E"/>
    <w:rsid w:val="00FB591D"/>
    <w:rsid w:val="00FB62F0"/>
    <w:rsid w:val="00FB7AD5"/>
    <w:rsid w:val="00FC0523"/>
    <w:rsid w:val="00FC12E4"/>
    <w:rsid w:val="00FC20CD"/>
    <w:rsid w:val="00FC2F90"/>
    <w:rsid w:val="00FC3D94"/>
    <w:rsid w:val="00FC4CBA"/>
    <w:rsid w:val="00FC5FBB"/>
    <w:rsid w:val="00FD0497"/>
    <w:rsid w:val="00FD0C98"/>
    <w:rsid w:val="00FD10CD"/>
    <w:rsid w:val="00FD1354"/>
    <w:rsid w:val="00FD39C7"/>
    <w:rsid w:val="00FD4BCB"/>
    <w:rsid w:val="00FD526A"/>
    <w:rsid w:val="00FD5D26"/>
    <w:rsid w:val="00FD76B4"/>
    <w:rsid w:val="00FD7851"/>
    <w:rsid w:val="00FE0D44"/>
    <w:rsid w:val="00FE4A68"/>
    <w:rsid w:val="00FE66E1"/>
    <w:rsid w:val="00FE753C"/>
    <w:rsid w:val="00FF0EDF"/>
    <w:rsid w:val="00FF217C"/>
    <w:rsid w:val="00FF37E0"/>
    <w:rsid w:val="00FF3BD5"/>
    <w:rsid w:val="00FF3D31"/>
    <w:rsid w:val="00FF47A3"/>
    <w:rsid w:val="00FF4C87"/>
    <w:rsid w:val="00FF530E"/>
    <w:rsid w:val="00FF55F6"/>
    <w:rsid w:val="00FF70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EC"/>
    <w:rPr>
      <w:rFonts w:ascii="Times New Roman" w:eastAsia="Times New Roman" w:hAnsi="Times New Roman"/>
      <w:sz w:val="24"/>
      <w:szCs w:val="24"/>
    </w:rPr>
  </w:style>
  <w:style w:type="paragraph" w:styleId="Heading1">
    <w:name w:val="heading 1"/>
    <w:basedOn w:val="Normal"/>
    <w:next w:val="Normal"/>
    <w:link w:val="Heading1Char"/>
    <w:qFormat/>
    <w:rsid w:val="00F571EC"/>
    <w:pPr>
      <w:keepNext/>
      <w:jc w:val="center"/>
      <w:outlineLvl w:val="0"/>
    </w:pPr>
    <w:rPr>
      <w:rFonts w:ascii="Arial" w:hAnsi="Arial"/>
      <w:b/>
      <w:sz w:val="20"/>
      <w:szCs w:val="20"/>
    </w:rPr>
  </w:style>
  <w:style w:type="paragraph" w:styleId="Heading2">
    <w:name w:val="heading 2"/>
    <w:basedOn w:val="Normal"/>
    <w:next w:val="Normal"/>
    <w:link w:val="Heading2Char"/>
    <w:uiPriority w:val="9"/>
    <w:unhideWhenUsed/>
    <w:qFormat/>
    <w:rsid w:val="008241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241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BE76E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71EC"/>
    <w:rPr>
      <w:rFonts w:ascii="Arial" w:eastAsia="Times New Roman" w:hAnsi="Arial" w:cs="Times New Roman"/>
      <w:b/>
      <w:sz w:val="20"/>
      <w:szCs w:val="20"/>
    </w:rPr>
  </w:style>
  <w:style w:type="paragraph" w:styleId="ListParagraph">
    <w:name w:val="List Paragraph"/>
    <w:basedOn w:val="Normal"/>
    <w:uiPriority w:val="34"/>
    <w:qFormat/>
    <w:rsid w:val="00F571EC"/>
    <w:pPr>
      <w:ind w:left="720"/>
      <w:contextualSpacing/>
    </w:pPr>
  </w:style>
  <w:style w:type="paragraph" w:styleId="BalloonText">
    <w:name w:val="Balloon Text"/>
    <w:basedOn w:val="Normal"/>
    <w:link w:val="BalloonTextChar"/>
    <w:uiPriority w:val="99"/>
    <w:semiHidden/>
    <w:unhideWhenUsed/>
    <w:rsid w:val="00F571EC"/>
    <w:rPr>
      <w:rFonts w:ascii="Tahoma" w:hAnsi="Tahoma" w:cs="Tahoma"/>
      <w:sz w:val="16"/>
      <w:szCs w:val="16"/>
    </w:rPr>
  </w:style>
  <w:style w:type="character" w:customStyle="1" w:styleId="BalloonTextChar">
    <w:name w:val="Balloon Text Char"/>
    <w:link w:val="BalloonText"/>
    <w:uiPriority w:val="99"/>
    <w:semiHidden/>
    <w:rsid w:val="00F571EC"/>
    <w:rPr>
      <w:rFonts w:ascii="Tahoma" w:eastAsia="Times New Roman" w:hAnsi="Tahoma" w:cs="Tahoma"/>
      <w:sz w:val="16"/>
      <w:szCs w:val="16"/>
    </w:rPr>
  </w:style>
  <w:style w:type="table" w:styleId="TableGrid">
    <w:name w:val="Table Grid"/>
    <w:basedOn w:val="TableNormal"/>
    <w:uiPriority w:val="59"/>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0100"/>
    <w:pPr>
      <w:tabs>
        <w:tab w:val="center" w:pos="4680"/>
        <w:tab w:val="right" w:pos="9360"/>
      </w:tabs>
    </w:pPr>
  </w:style>
  <w:style w:type="character" w:customStyle="1" w:styleId="HeaderChar">
    <w:name w:val="Header Char"/>
    <w:link w:val="Header"/>
    <w:uiPriority w:val="99"/>
    <w:rsid w:val="00A301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100"/>
    <w:pPr>
      <w:tabs>
        <w:tab w:val="center" w:pos="4680"/>
        <w:tab w:val="right" w:pos="9360"/>
      </w:tabs>
    </w:pPr>
  </w:style>
  <w:style w:type="character" w:customStyle="1" w:styleId="FooterChar">
    <w:name w:val="Footer Char"/>
    <w:link w:val="Footer"/>
    <w:uiPriority w:val="99"/>
    <w:rsid w:val="00A3010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677BC"/>
    <w:rPr>
      <w:sz w:val="20"/>
      <w:szCs w:val="20"/>
    </w:rPr>
  </w:style>
  <w:style w:type="character" w:customStyle="1" w:styleId="FootnoteTextChar">
    <w:name w:val="Footnote Text Char"/>
    <w:link w:val="FootnoteText"/>
    <w:uiPriority w:val="99"/>
    <w:semiHidden/>
    <w:rsid w:val="00B677BC"/>
    <w:rPr>
      <w:rFonts w:ascii="Times New Roman" w:eastAsia="Times New Roman" w:hAnsi="Times New Roman" w:cs="Times New Roman"/>
      <w:sz w:val="20"/>
      <w:szCs w:val="20"/>
    </w:rPr>
  </w:style>
  <w:style w:type="character" w:styleId="FootnoteReference">
    <w:name w:val="footnote reference"/>
    <w:uiPriority w:val="99"/>
    <w:unhideWhenUsed/>
    <w:rsid w:val="00B677BC"/>
    <w:rPr>
      <w:vertAlign w:val="superscript"/>
    </w:rPr>
  </w:style>
  <w:style w:type="character" w:styleId="CommentReference">
    <w:name w:val="annotation reference"/>
    <w:uiPriority w:val="99"/>
    <w:semiHidden/>
    <w:unhideWhenUsed/>
    <w:rsid w:val="00BF1693"/>
    <w:rPr>
      <w:sz w:val="16"/>
      <w:szCs w:val="16"/>
    </w:rPr>
  </w:style>
  <w:style w:type="paragraph" w:styleId="CommentText">
    <w:name w:val="annotation text"/>
    <w:basedOn w:val="Normal"/>
    <w:link w:val="CommentTextChar"/>
    <w:uiPriority w:val="99"/>
    <w:unhideWhenUsed/>
    <w:rsid w:val="00065547"/>
    <w:rPr>
      <w:sz w:val="20"/>
      <w:szCs w:val="20"/>
    </w:rPr>
  </w:style>
  <w:style w:type="character" w:customStyle="1" w:styleId="CommentTextChar">
    <w:name w:val="Comment Text Char"/>
    <w:link w:val="CommentText"/>
    <w:uiPriority w:val="99"/>
    <w:rsid w:val="00BF169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693"/>
    <w:rPr>
      <w:b/>
      <w:bCs/>
    </w:rPr>
  </w:style>
  <w:style w:type="character" w:customStyle="1" w:styleId="CommentSubjectChar">
    <w:name w:val="Comment Subject Char"/>
    <w:link w:val="CommentSubject"/>
    <w:uiPriority w:val="99"/>
    <w:semiHidden/>
    <w:rsid w:val="00BF1693"/>
    <w:rPr>
      <w:rFonts w:ascii="Times New Roman" w:eastAsia="Times New Roman" w:hAnsi="Times New Roman" w:cs="Times New Roman"/>
      <w:b/>
      <w:bCs/>
      <w:sz w:val="20"/>
      <w:szCs w:val="20"/>
    </w:rPr>
  </w:style>
  <w:style w:type="paragraph" w:styleId="Revision">
    <w:name w:val="Revision"/>
    <w:hidden/>
    <w:uiPriority w:val="99"/>
    <w:semiHidden/>
    <w:rsid w:val="00BB1389"/>
    <w:rPr>
      <w:rFonts w:ascii="Times New Roman" w:eastAsia="Times New Roman" w:hAnsi="Times New Roman"/>
      <w:sz w:val="24"/>
      <w:szCs w:val="24"/>
    </w:rPr>
  </w:style>
  <w:style w:type="paragraph" w:styleId="Subtitle">
    <w:name w:val="Subtitle"/>
    <w:basedOn w:val="Normal"/>
    <w:next w:val="Normal"/>
    <w:link w:val="SubtitleChar"/>
    <w:uiPriority w:val="11"/>
    <w:qFormat/>
    <w:rsid w:val="00D94795"/>
    <w:pPr>
      <w:numPr>
        <w:ilvl w:val="1"/>
      </w:numPr>
    </w:pPr>
    <w:rPr>
      <w:rFonts w:ascii="Cambria" w:hAnsi="Cambria"/>
      <w:i/>
      <w:iCs/>
      <w:color w:val="4F81BD"/>
      <w:spacing w:val="15"/>
    </w:rPr>
  </w:style>
  <w:style w:type="character" w:customStyle="1" w:styleId="SubtitleChar">
    <w:name w:val="Subtitle Char"/>
    <w:link w:val="Subtitle"/>
    <w:uiPriority w:val="11"/>
    <w:rsid w:val="00D94795"/>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unhideWhenUsed/>
    <w:qFormat/>
    <w:rsid w:val="00D94795"/>
    <w:pPr>
      <w:keepLines/>
      <w:spacing w:before="480" w:line="276" w:lineRule="auto"/>
      <w:jc w:val="left"/>
      <w:outlineLvl w:val="9"/>
    </w:pPr>
    <w:rPr>
      <w:rFonts w:ascii="Cambria" w:hAnsi="Cambria"/>
      <w:bCs/>
      <w:color w:val="365F91"/>
      <w:sz w:val="28"/>
      <w:szCs w:val="28"/>
      <w:lang w:eastAsia="ja-JP"/>
    </w:rPr>
  </w:style>
  <w:style w:type="paragraph" w:styleId="TOC2">
    <w:name w:val="toc 2"/>
    <w:basedOn w:val="Normal"/>
    <w:next w:val="Normal"/>
    <w:autoRedefine/>
    <w:uiPriority w:val="39"/>
    <w:unhideWhenUsed/>
    <w:qFormat/>
    <w:rsid w:val="009C108A"/>
    <w:pPr>
      <w:tabs>
        <w:tab w:val="left" w:pos="660"/>
        <w:tab w:val="right" w:leader="dot" w:pos="9350"/>
      </w:tabs>
      <w:spacing w:after="100" w:line="276" w:lineRule="auto"/>
      <w:ind w:left="220"/>
    </w:pPr>
    <w:rPr>
      <w:noProof/>
      <w:sz w:val="22"/>
      <w:szCs w:val="22"/>
      <w:lang w:eastAsia="ja-JP"/>
    </w:rPr>
  </w:style>
  <w:style w:type="paragraph" w:styleId="TOC1">
    <w:name w:val="toc 1"/>
    <w:basedOn w:val="Normal"/>
    <w:next w:val="Normal"/>
    <w:autoRedefine/>
    <w:uiPriority w:val="39"/>
    <w:unhideWhenUsed/>
    <w:qFormat/>
    <w:rsid w:val="000B4157"/>
    <w:pPr>
      <w:tabs>
        <w:tab w:val="left" w:pos="440"/>
        <w:tab w:val="left" w:pos="880"/>
        <w:tab w:val="right" w:leader="dot" w:pos="9350"/>
      </w:tabs>
    </w:pPr>
    <w:rPr>
      <w:b/>
      <w:noProof/>
      <w:lang w:val="fr-FR" w:eastAsia="ja-JP"/>
    </w:rPr>
  </w:style>
  <w:style w:type="paragraph" w:styleId="TOC3">
    <w:name w:val="toc 3"/>
    <w:basedOn w:val="Normal"/>
    <w:next w:val="Normal"/>
    <w:autoRedefine/>
    <w:uiPriority w:val="39"/>
    <w:unhideWhenUsed/>
    <w:qFormat/>
    <w:rsid w:val="00D94795"/>
    <w:pPr>
      <w:spacing w:after="100" w:line="276" w:lineRule="auto"/>
      <w:ind w:left="440"/>
    </w:pPr>
    <w:rPr>
      <w:rFonts w:ascii="Calibri" w:hAnsi="Calibri"/>
      <w:sz w:val="22"/>
      <w:szCs w:val="22"/>
      <w:lang w:eastAsia="ja-JP"/>
    </w:rPr>
  </w:style>
  <w:style w:type="character" w:styleId="Hyperlink">
    <w:name w:val="Hyperlink"/>
    <w:uiPriority w:val="99"/>
    <w:unhideWhenUsed/>
    <w:rsid w:val="004C19E0"/>
    <w:rPr>
      <w:color w:val="0000FF"/>
      <w:u w:val="single"/>
    </w:rPr>
  </w:style>
  <w:style w:type="character" w:customStyle="1" w:styleId="Heading2Char">
    <w:name w:val="Heading 2 Char"/>
    <w:link w:val="Heading2"/>
    <w:uiPriority w:val="9"/>
    <w:rsid w:val="0082411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24110"/>
    <w:rPr>
      <w:rFonts w:ascii="Cambria" w:eastAsia="Times New Roman" w:hAnsi="Cambria" w:cs="Times New Roman"/>
      <w:b/>
      <w:bCs/>
      <w:color w:val="4F81BD"/>
      <w:sz w:val="24"/>
      <w:szCs w:val="24"/>
    </w:rPr>
  </w:style>
  <w:style w:type="paragraph" w:customStyle="1" w:styleId="Default">
    <w:name w:val="Default"/>
    <w:rsid w:val="003F10C9"/>
    <w:pPr>
      <w:autoSpaceDE w:val="0"/>
      <w:autoSpaceDN w:val="0"/>
      <w:adjustRightInd w:val="0"/>
    </w:pPr>
    <w:rPr>
      <w:rFonts w:cs="Calibri"/>
      <w:color w:val="000000"/>
      <w:sz w:val="24"/>
      <w:szCs w:val="24"/>
    </w:rPr>
  </w:style>
  <w:style w:type="paragraph" w:customStyle="1" w:styleId="redtext">
    <w:name w:val="red_text"/>
    <w:basedOn w:val="Normal"/>
    <w:rsid w:val="003F10C9"/>
    <w:pPr>
      <w:spacing w:after="210"/>
    </w:pPr>
  </w:style>
  <w:style w:type="character" w:customStyle="1" w:styleId="Heading4Char">
    <w:name w:val="Heading 4 Char"/>
    <w:link w:val="Heading4"/>
    <w:uiPriority w:val="9"/>
    <w:rsid w:val="00BE76E2"/>
    <w:rPr>
      <w:rFonts w:ascii="Cambria" w:eastAsia="Times New Roman" w:hAnsi="Cambria" w:cs="Times New Roman"/>
      <w:b/>
      <w:bCs/>
      <w:i/>
      <w:iCs/>
      <w:color w:val="4F81BD"/>
      <w:sz w:val="24"/>
      <w:szCs w:val="24"/>
    </w:rPr>
  </w:style>
  <w:style w:type="character" w:styleId="Strong">
    <w:name w:val="Strong"/>
    <w:uiPriority w:val="22"/>
    <w:qFormat/>
    <w:rsid w:val="00635A18"/>
    <w:rPr>
      <w:b/>
      <w:bCs/>
    </w:rPr>
  </w:style>
  <w:style w:type="paragraph" w:customStyle="1" w:styleId="majorevent">
    <w:name w:val="majorevent"/>
    <w:basedOn w:val="Normal"/>
    <w:link w:val="majoreventChar"/>
    <w:rsid w:val="00635A18"/>
    <w:pPr>
      <w:pBdr>
        <w:top w:val="single" w:sz="6" w:space="4" w:color="993333"/>
        <w:left w:val="single" w:sz="6" w:space="4" w:color="993333"/>
        <w:bottom w:val="single" w:sz="6" w:space="4" w:color="993333"/>
        <w:right w:val="single" w:sz="6" w:space="4" w:color="993333"/>
      </w:pBdr>
      <w:shd w:val="clear" w:color="auto" w:fill="00FF66"/>
      <w:spacing w:before="100" w:beforeAutospacing="1" w:after="100" w:afterAutospacing="1"/>
    </w:pPr>
    <w:rPr>
      <w:rFonts w:ascii="Verdana" w:eastAsia="MS Mincho" w:hAnsi="Verdana"/>
      <w:color w:val="000000"/>
      <w:sz w:val="18"/>
      <w:szCs w:val="18"/>
    </w:rPr>
  </w:style>
  <w:style w:type="character" w:customStyle="1" w:styleId="majoreventChar">
    <w:name w:val="majorevent Char"/>
    <w:link w:val="majorevent"/>
    <w:rsid w:val="00635A18"/>
    <w:rPr>
      <w:rFonts w:ascii="Verdana" w:eastAsia="MS Mincho" w:hAnsi="Verdana" w:cs="Times New Roman"/>
      <w:color w:val="000000"/>
      <w:sz w:val="18"/>
      <w:szCs w:val="18"/>
      <w:shd w:val="clear" w:color="auto" w:fill="00FF66"/>
    </w:rPr>
  </w:style>
  <w:style w:type="character" w:customStyle="1" w:styleId="style20style20style57style57">
    <w:name w:val="style20 style20 style57 style57"/>
    <w:basedOn w:val="DefaultParagraphFont"/>
    <w:rsid w:val="00635A18"/>
  </w:style>
  <w:style w:type="character" w:customStyle="1" w:styleId="A4">
    <w:name w:val="A4"/>
    <w:uiPriority w:val="99"/>
    <w:rsid w:val="00DE105A"/>
    <w:rPr>
      <w:rFonts w:cs="HelveticaNeueLT Std"/>
      <w:color w:val="FFFFFF"/>
      <w:sz w:val="14"/>
      <w:szCs w:val="14"/>
    </w:rPr>
  </w:style>
  <w:style w:type="character" w:customStyle="1" w:styleId="treatydate1">
    <w:name w:val="treatydate1"/>
    <w:rsid w:val="00BD11E9"/>
    <w:rPr>
      <w:rFonts w:ascii="Arial" w:hAnsi="Arial" w:cs="Arial" w:hint="default"/>
      <w:caps w:val="0"/>
      <w:strike w:val="0"/>
      <w:dstrike w:val="0"/>
      <w:color w:val="858585"/>
      <w:sz w:val="26"/>
      <w:szCs w:val="26"/>
      <w:u w:val="none"/>
      <w:effect w:val="none"/>
    </w:rPr>
  </w:style>
  <w:style w:type="character" w:customStyle="1" w:styleId="fullarticletexte1">
    <w:name w:val="fullarticletexte1"/>
    <w:rsid w:val="001C43A0"/>
    <w:rPr>
      <w:rFonts w:ascii="Verdana" w:hAnsi="Verdana" w:hint="default"/>
      <w:b w:val="0"/>
      <w:bCs w:val="0"/>
      <w:sz w:val="20"/>
      <w:szCs w:val="20"/>
    </w:rPr>
  </w:style>
  <w:style w:type="character" w:styleId="PlaceholderText">
    <w:name w:val="Placeholder Text"/>
    <w:uiPriority w:val="99"/>
    <w:semiHidden/>
    <w:rsid w:val="00710BB1"/>
    <w:rPr>
      <w:color w:val="808080"/>
    </w:rPr>
  </w:style>
  <w:style w:type="character" w:customStyle="1" w:styleId="hps">
    <w:name w:val="hps"/>
    <w:basedOn w:val="DefaultParagraphFont"/>
    <w:rsid w:val="003823B8"/>
  </w:style>
  <w:style w:type="paragraph" w:styleId="NormalWeb">
    <w:name w:val="Normal (Web)"/>
    <w:basedOn w:val="Normal"/>
    <w:uiPriority w:val="99"/>
    <w:unhideWhenUsed/>
    <w:rsid w:val="008E4D6C"/>
    <w:pPr>
      <w:spacing w:before="300" w:after="300"/>
    </w:pPr>
  </w:style>
  <w:style w:type="character" w:customStyle="1" w:styleId="st1">
    <w:name w:val="st1"/>
    <w:basedOn w:val="DefaultParagraphFont"/>
    <w:rsid w:val="00562D64"/>
  </w:style>
  <w:style w:type="character" w:customStyle="1" w:styleId="fullarticletexte">
    <w:name w:val="fullarticletexte"/>
    <w:basedOn w:val="DefaultParagraphFont"/>
    <w:rsid w:val="00C928D3"/>
  </w:style>
  <w:style w:type="character" w:customStyle="1" w:styleId="shorttext">
    <w:name w:val="short_text"/>
    <w:basedOn w:val="DefaultParagraphFont"/>
    <w:rsid w:val="009939AB"/>
  </w:style>
  <w:style w:type="character" w:styleId="Emphasis">
    <w:name w:val="Emphasis"/>
    <w:basedOn w:val="DefaultParagraphFont"/>
    <w:uiPriority w:val="20"/>
    <w:qFormat/>
    <w:rsid w:val="008225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EC"/>
    <w:rPr>
      <w:rFonts w:ascii="Times New Roman" w:eastAsia="Times New Roman" w:hAnsi="Times New Roman"/>
      <w:sz w:val="24"/>
      <w:szCs w:val="24"/>
    </w:rPr>
  </w:style>
  <w:style w:type="paragraph" w:styleId="Heading1">
    <w:name w:val="heading 1"/>
    <w:basedOn w:val="Normal"/>
    <w:next w:val="Normal"/>
    <w:link w:val="Heading1Char"/>
    <w:qFormat/>
    <w:rsid w:val="00F571EC"/>
    <w:pPr>
      <w:keepNext/>
      <w:jc w:val="center"/>
      <w:outlineLvl w:val="0"/>
    </w:pPr>
    <w:rPr>
      <w:rFonts w:ascii="Arial" w:hAnsi="Arial"/>
      <w:b/>
      <w:sz w:val="20"/>
      <w:szCs w:val="20"/>
    </w:rPr>
  </w:style>
  <w:style w:type="paragraph" w:styleId="Heading2">
    <w:name w:val="heading 2"/>
    <w:basedOn w:val="Normal"/>
    <w:next w:val="Normal"/>
    <w:link w:val="Heading2Char"/>
    <w:uiPriority w:val="9"/>
    <w:unhideWhenUsed/>
    <w:qFormat/>
    <w:rsid w:val="008241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241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BE76E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71EC"/>
    <w:rPr>
      <w:rFonts w:ascii="Arial" w:eastAsia="Times New Roman" w:hAnsi="Arial" w:cs="Times New Roman"/>
      <w:b/>
      <w:sz w:val="20"/>
      <w:szCs w:val="20"/>
    </w:rPr>
  </w:style>
  <w:style w:type="paragraph" w:styleId="ListParagraph">
    <w:name w:val="List Paragraph"/>
    <w:basedOn w:val="Normal"/>
    <w:uiPriority w:val="34"/>
    <w:qFormat/>
    <w:rsid w:val="00F571EC"/>
    <w:pPr>
      <w:ind w:left="720"/>
      <w:contextualSpacing/>
    </w:pPr>
  </w:style>
  <w:style w:type="paragraph" w:styleId="BalloonText">
    <w:name w:val="Balloon Text"/>
    <w:basedOn w:val="Normal"/>
    <w:link w:val="BalloonTextChar"/>
    <w:uiPriority w:val="99"/>
    <w:semiHidden/>
    <w:unhideWhenUsed/>
    <w:rsid w:val="00F571EC"/>
    <w:rPr>
      <w:rFonts w:ascii="Tahoma" w:hAnsi="Tahoma" w:cs="Tahoma"/>
      <w:sz w:val="16"/>
      <w:szCs w:val="16"/>
    </w:rPr>
  </w:style>
  <w:style w:type="character" w:customStyle="1" w:styleId="BalloonTextChar">
    <w:name w:val="Balloon Text Char"/>
    <w:link w:val="BalloonText"/>
    <w:uiPriority w:val="99"/>
    <w:semiHidden/>
    <w:rsid w:val="00F571EC"/>
    <w:rPr>
      <w:rFonts w:ascii="Tahoma" w:eastAsia="Times New Roman" w:hAnsi="Tahoma" w:cs="Tahoma"/>
      <w:sz w:val="16"/>
      <w:szCs w:val="16"/>
    </w:rPr>
  </w:style>
  <w:style w:type="table" w:styleId="TableGrid">
    <w:name w:val="Table Grid"/>
    <w:basedOn w:val="TableNormal"/>
    <w:uiPriority w:val="59"/>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0100"/>
    <w:pPr>
      <w:tabs>
        <w:tab w:val="center" w:pos="4680"/>
        <w:tab w:val="right" w:pos="9360"/>
      </w:tabs>
    </w:pPr>
  </w:style>
  <w:style w:type="character" w:customStyle="1" w:styleId="HeaderChar">
    <w:name w:val="Header Char"/>
    <w:link w:val="Header"/>
    <w:uiPriority w:val="99"/>
    <w:rsid w:val="00A301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100"/>
    <w:pPr>
      <w:tabs>
        <w:tab w:val="center" w:pos="4680"/>
        <w:tab w:val="right" w:pos="9360"/>
      </w:tabs>
    </w:pPr>
  </w:style>
  <w:style w:type="character" w:customStyle="1" w:styleId="FooterChar">
    <w:name w:val="Footer Char"/>
    <w:link w:val="Footer"/>
    <w:uiPriority w:val="99"/>
    <w:rsid w:val="00A3010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677BC"/>
    <w:rPr>
      <w:sz w:val="20"/>
      <w:szCs w:val="20"/>
    </w:rPr>
  </w:style>
  <w:style w:type="character" w:customStyle="1" w:styleId="FootnoteTextChar">
    <w:name w:val="Footnote Text Char"/>
    <w:link w:val="FootnoteText"/>
    <w:uiPriority w:val="99"/>
    <w:semiHidden/>
    <w:rsid w:val="00B677BC"/>
    <w:rPr>
      <w:rFonts w:ascii="Times New Roman" w:eastAsia="Times New Roman" w:hAnsi="Times New Roman" w:cs="Times New Roman"/>
      <w:sz w:val="20"/>
      <w:szCs w:val="20"/>
    </w:rPr>
  </w:style>
  <w:style w:type="character" w:styleId="FootnoteReference">
    <w:name w:val="footnote reference"/>
    <w:uiPriority w:val="99"/>
    <w:unhideWhenUsed/>
    <w:rsid w:val="00B677BC"/>
    <w:rPr>
      <w:vertAlign w:val="superscript"/>
    </w:rPr>
  </w:style>
  <w:style w:type="character" w:styleId="CommentReference">
    <w:name w:val="annotation reference"/>
    <w:uiPriority w:val="99"/>
    <w:semiHidden/>
    <w:unhideWhenUsed/>
    <w:rsid w:val="00BF1693"/>
    <w:rPr>
      <w:sz w:val="16"/>
      <w:szCs w:val="16"/>
    </w:rPr>
  </w:style>
  <w:style w:type="paragraph" w:styleId="CommentText">
    <w:name w:val="annotation text"/>
    <w:basedOn w:val="Normal"/>
    <w:link w:val="CommentTextChar"/>
    <w:uiPriority w:val="99"/>
    <w:unhideWhenUsed/>
    <w:rsid w:val="00065547"/>
    <w:rPr>
      <w:sz w:val="20"/>
      <w:szCs w:val="20"/>
    </w:rPr>
  </w:style>
  <w:style w:type="character" w:customStyle="1" w:styleId="CommentTextChar">
    <w:name w:val="Comment Text Char"/>
    <w:link w:val="CommentText"/>
    <w:uiPriority w:val="99"/>
    <w:rsid w:val="00BF169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693"/>
    <w:rPr>
      <w:b/>
      <w:bCs/>
    </w:rPr>
  </w:style>
  <w:style w:type="character" w:customStyle="1" w:styleId="CommentSubjectChar">
    <w:name w:val="Comment Subject Char"/>
    <w:link w:val="CommentSubject"/>
    <w:uiPriority w:val="99"/>
    <w:semiHidden/>
    <w:rsid w:val="00BF1693"/>
    <w:rPr>
      <w:rFonts w:ascii="Times New Roman" w:eastAsia="Times New Roman" w:hAnsi="Times New Roman" w:cs="Times New Roman"/>
      <w:b/>
      <w:bCs/>
      <w:sz w:val="20"/>
      <w:szCs w:val="20"/>
    </w:rPr>
  </w:style>
  <w:style w:type="paragraph" w:styleId="Revision">
    <w:name w:val="Revision"/>
    <w:hidden/>
    <w:uiPriority w:val="99"/>
    <w:semiHidden/>
    <w:rsid w:val="00BB1389"/>
    <w:rPr>
      <w:rFonts w:ascii="Times New Roman" w:eastAsia="Times New Roman" w:hAnsi="Times New Roman"/>
      <w:sz w:val="24"/>
      <w:szCs w:val="24"/>
    </w:rPr>
  </w:style>
  <w:style w:type="paragraph" w:styleId="Subtitle">
    <w:name w:val="Subtitle"/>
    <w:basedOn w:val="Normal"/>
    <w:next w:val="Normal"/>
    <w:link w:val="SubtitleChar"/>
    <w:uiPriority w:val="11"/>
    <w:qFormat/>
    <w:rsid w:val="00D94795"/>
    <w:pPr>
      <w:numPr>
        <w:ilvl w:val="1"/>
      </w:numPr>
    </w:pPr>
    <w:rPr>
      <w:rFonts w:ascii="Cambria" w:hAnsi="Cambria"/>
      <w:i/>
      <w:iCs/>
      <w:color w:val="4F81BD"/>
      <w:spacing w:val="15"/>
    </w:rPr>
  </w:style>
  <w:style w:type="character" w:customStyle="1" w:styleId="SubtitleChar">
    <w:name w:val="Subtitle Char"/>
    <w:link w:val="Subtitle"/>
    <w:uiPriority w:val="11"/>
    <w:rsid w:val="00D94795"/>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unhideWhenUsed/>
    <w:qFormat/>
    <w:rsid w:val="00D94795"/>
    <w:pPr>
      <w:keepLines/>
      <w:spacing w:before="480" w:line="276" w:lineRule="auto"/>
      <w:jc w:val="left"/>
      <w:outlineLvl w:val="9"/>
    </w:pPr>
    <w:rPr>
      <w:rFonts w:ascii="Cambria" w:hAnsi="Cambria"/>
      <w:bCs/>
      <w:color w:val="365F91"/>
      <w:sz w:val="28"/>
      <w:szCs w:val="28"/>
      <w:lang w:eastAsia="ja-JP"/>
    </w:rPr>
  </w:style>
  <w:style w:type="paragraph" w:styleId="TOC2">
    <w:name w:val="toc 2"/>
    <w:basedOn w:val="Normal"/>
    <w:next w:val="Normal"/>
    <w:autoRedefine/>
    <w:uiPriority w:val="39"/>
    <w:unhideWhenUsed/>
    <w:qFormat/>
    <w:rsid w:val="009C108A"/>
    <w:pPr>
      <w:tabs>
        <w:tab w:val="left" w:pos="660"/>
        <w:tab w:val="right" w:leader="dot" w:pos="9350"/>
      </w:tabs>
      <w:spacing w:after="100" w:line="276" w:lineRule="auto"/>
      <w:ind w:left="220"/>
    </w:pPr>
    <w:rPr>
      <w:noProof/>
      <w:sz w:val="22"/>
      <w:szCs w:val="22"/>
      <w:lang w:eastAsia="ja-JP"/>
    </w:rPr>
  </w:style>
  <w:style w:type="paragraph" w:styleId="TOC1">
    <w:name w:val="toc 1"/>
    <w:basedOn w:val="Normal"/>
    <w:next w:val="Normal"/>
    <w:autoRedefine/>
    <w:uiPriority w:val="39"/>
    <w:unhideWhenUsed/>
    <w:qFormat/>
    <w:rsid w:val="000B4157"/>
    <w:pPr>
      <w:tabs>
        <w:tab w:val="left" w:pos="440"/>
        <w:tab w:val="left" w:pos="880"/>
        <w:tab w:val="right" w:leader="dot" w:pos="9350"/>
      </w:tabs>
    </w:pPr>
    <w:rPr>
      <w:b/>
      <w:noProof/>
      <w:lang w:val="fr-FR" w:eastAsia="ja-JP"/>
    </w:rPr>
  </w:style>
  <w:style w:type="paragraph" w:styleId="TOC3">
    <w:name w:val="toc 3"/>
    <w:basedOn w:val="Normal"/>
    <w:next w:val="Normal"/>
    <w:autoRedefine/>
    <w:uiPriority w:val="39"/>
    <w:unhideWhenUsed/>
    <w:qFormat/>
    <w:rsid w:val="00D94795"/>
    <w:pPr>
      <w:spacing w:after="100" w:line="276" w:lineRule="auto"/>
      <w:ind w:left="440"/>
    </w:pPr>
    <w:rPr>
      <w:rFonts w:ascii="Calibri" w:hAnsi="Calibri"/>
      <w:sz w:val="22"/>
      <w:szCs w:val="22"/>
      <w:lang w:eastAsia="ja-JP"/>
    </w:rPr>
  </w:style>
  <w:style w:type="character" w:styleId="Hyperlink">
    <w:name w:val="Hyperlink"/>
    <w:uiPriority w:val="99"/>
    <w:unhideWhenUsed/>
    <w:rsid w:val="004C19E0"/>
    <w:rPr>
      <w:color w:val="0000FF"/>
      <w:u w:val="single"/>
    </w:rPr>
  </w:style>
  <w:style w:type="character" w:customStyle="1" w:styleId="Heading2Char">
    <w:name w:val="Heading 2 Char"/>
    <w:link w:val="Heading2"/>
    <w:uiPriority w:val="9"/>
    <w:rsid w:val="0082411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24110"/>
    <w:rPr>
      <w:rFonts w:ascii="Cambria" w:eastAsia="Times New Roman" w:hAnsi="Cambria" w:cs="Times New Roman"/>
      <w:b/>
      <w:bCs/>
      <w:color w:val="4F81BD"/>
      <w:sz w:val="24"/>
      <w:szCs w:val="24"/>
    </w:rPr>
  </w:style>
  <w:style w:type="paragraph" w:customStyle="1" w:styleId="Default">
    <w:name w:val="Default"/>
    <w:rsid w:val="003F10C9"/>
    <w:pPr>
      <w:autoSpaceDE w:val="0"/>
      <w:autoSpaceDN w:val="0"/>
      <w:adjustRightInd w:val="0"/>
    </w:pPr>
    <w:rPr>
      <w:rFonts w:cs="Calibri"/>
      <w:color w:val="000000"/>
      <w:sz w:val="24"/>
      <w:szCs w:val="24"/>
    </w:rPr>
  </w:style>
  <w:style w:type="paragraph" w:customStyle="1" w:styleId="redtext">
    <w:name w:val="red_text"/>
    <w:basedOn w:val="Normal"/>
    <w:rsid w:val="003F10C9"/>
    <w:pPr>
      <w:spacing w:after="210"/>
    </w:pPr>
  </w:style>
  <w:style w:type="character" w:customStyle="1" w:styleId="Heading4Char">
    <w:name w:val="Heading 4 Char"/>
    <w:link w:val="Heading4"/>
    <w:uiPriority w:val="9"/>
    <w:rsid w:val="00BE76E2"/>
    <w:rPr>
      <w:rFonts w:ascii="Cambria" w:eastAsia="Times New Roman" w:hAnsi="Cambria" w:cs="Times New Roman"/>
      <w:b/>
      <w:bCs/>
      <w:i/>
      <w:iCs/>
      <w:color w:val="4F81BD"/>
      <w:sz w:val="24"/>
      <w:szCs w:val="24"/>
    </w:rPr>
  </w:style>
  <w:style w:type="character" w:styleId="Strong">
    <w:name w:val="Strong"/>
    <w:uiPriority w:val="22"/>
    <w:qFormat/>
    <w:rsid w:val="00635A18"/>
    <w:rPr>
      <w:b/>
      <w:bCs/>
    </w:rPr>
  </w:style>
  <w:style w:type="paragraph" w:customStyle="1" w:styleId="majorevent">
    <w:name w:val="majorevent"/>
    <w:basedOn w:val="Normal"/>
    <w:link w:val="majoreventChar"/>
    <w:rsid w:val="00635A18"/>
    <w:pPr>
      <w:pBdr>
        <w:top w:val="single" w:sz="6" w:space="4" w:color="993333"/>
        <w:left w:val="single" w:sz="6" w:space="4" w:color="993333"/>
        <w:bottom w:val="single" w:sz="6" w:space="4" w:color="993333"/>
        <w:right w:val="single" w:sz="6" w:space="4" w:color="993333"/>
      </w:pBdr>
      <w:shd w:val="clear" w:color="auto" w:fill="00FF66"/>
      <w:spacing w:before="100" w:beforeAutospacing="1" w:after="100" w:afterAutospacing="1"/>
    </w:pPr>
    <w:rPr>
      <w:rFonts w:ascii="Verdana" w:eastAsia="MS Mincho" w:hAnsi="Verdana"/>
      <w:color w:val="000000"/>
      <w:sz w:val="18"/>
      <w:szCs w:val="18"/>
    </w:rPr>
  </w:style>
  <w:style w:type="character" w:customStyle="1" w:styleId="majoreventChar">
    <w:name w:val="majorevent Char"/>
    <w:link w:val="majorevent"/>
    <w:rsid w:val="00635A18"/>
    <w:rPr>
      <w:rFonts w:ascii="Verdana" w:eastAsia="MS Mincho" w:hAnsi="Verdana" w:cs="Times New Roman"/>
      <w:color w:val="000000"/>
      <w:sz w:val="18"/>
      <w:szCs w:val="18"/>
      <w:shd w:val="clear" w:color="auto" w:fill="00FF66"/>
    </w:rPr>
  </w:style>
  <w:style w:type="character" w:customStyle="1" w:styleId="style20style20style57style57">
    <w:name w:val="style20 style20 style57 style57"/>
    <w:basedOn w:val="DefaultParagraphFont"/>
    <w:rsid w:val="00635A18"/>
  </w:style>
  <w:style w:type="character" w:customStyle="1" w:styleId="A4">
    <w:name w:val="A4"/>
    <w:uiPriority w:val="99"/>
    <w:rsid w:val="00DE105A"/>
    <w:rPr>
      <w:rFonts w:cs="HelveticaNeueLT Std"/>
      <w:color w:val="FFFFFF"/>
      <w:sz w:val="14"/>
      <w:szCs w:val="14"/>
    </w:rPr>
  </w:style>
  <w:style w:type="character" w:customStyle="1" w:styleId="treatydate1">
    <w:name w:val="treatydate1"/>
    <w:rsid w:val="00BD11E9"/>
    <w:rPr>
      <w:rFonts w:ascii="Arial" w:hAnsi="Arial" w:cs="Arial" w:hint="default"/>
      <w:caps w:val="0"/>
      <w:strike w:val="0"/>
      <w:dstrike w:val="0"/>
      <w:color w:val="858585"/>
      <w:sz w:val="26"/>
      <w:szCs w:val="26"/>
      <w:u w:val="none"/>
      <w:effect w:val="none"/>
    </w:rPr>
  </w:style>
  <w:style w:type="character" w:customStyle="1" w:styleId="fullarticletexte1">
    <w:name w:val="fullarticletexte1"/>
    <w:rsid w:val="001C43A0"/>
    <w:rPr>
      <w:rFonts w:ascii="Verdana" w:hAnsi="Verdana" w:hint="default"/>
      <w:b w:val="0"/>
      <w:bCs w:val="0"/>
      <w:sz w:val="20"/>
      <w:szCs w:val="20"/>
    </w:rPr>
  </w:style>
  <w:style w:type="character" w:styleId="PlaceholderText">
    <w:name w:val="Placeholder Text"/>
    <w:uiPriority w:val="99"/>
    <w:semiHidden/>
    <w:rsid w:val="00710BB1"/>
    <w:rPr>
      <w:color w:val="808080"/>
    </w:rPr>
  </w:style>
  <w:style w:type="character" w:customStyle="1" w:styleId="hps">
    <w:name w:val="hps"/>
    <w:basedOn w:val="DefaultParagraphFont"/>
    <w:rsid w:val="003823B8"/>
  </w:style>
  <w:style w:type="paragraph" w:styleId="NormalWeb">
    <w:name w:val="Normal (Web)"/>
    <w:basedOn w:val="Normal"/>
    <w:uiPriority w:val="99"/>
    <w:unhideWhenUsed/>
    <w:rsid w:val="008E4D6C"/>
    <w:pPr>
      <w:spacing w:before="300" w:after="300"/>
    </w:pPr>
  </w:style>
  <w:style w:type="character" w:customStyle="1" w:styleId="st1">
    <w:name w:val="st1"/>
    <w:basedOn w:val="DefaultParagraphFont"/>
    <w:rsid w:val="00562D64"/>
  </w:style>
  <w:style w:type="character" w:customStyle="1" w:styleId="fullarticletexte">
    <w:name w:val="fullarticletexte"/>
    <w:basedOn w:val="DefaultParagraphFont"/>
    <w:rsid w:val="00C928D3"/>
  </w:style>
  <w:style w:type="character" w:customStyle="1" w:styleId="shorttext">
    <w:name w:val="short_text"/>
    <w:basedOn w:val="DefaultParagraphFont"/>
    <w:rsid w:val="009939AB"/>
  </w:style>
  <w:style w:type="character" w:styleId="Emphasis">
    <w:name w:val="Emphasis"/>
    <w:basedOn w:val="DefaultParagraphFont"/>
    <w:uiPriority w:val="20"/>
    <w:qFormat/>
    <w:rsid w:val="00822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334">
      <w:bodyDiv w:val="1"/>
      <w:marLeft w:val="0"/>
      <w:marRight w:val="0"/>
      <w:marTop w:val="0"/>
      <w:marBottom w:val="0"/>
      <w:divBdr>
        <w:top w:val="none" w:sz="0" w:space="0" w:color="auto"/>
        <w:left w:val="none" w:sz="0" w:space="0" w:color="auto"/>
        <w:bottom w:val="none" w:sz="0" w:space="0" w:color="auto"/>
        <w:right w:val="none" w:sz="0" w:space="0" w:color="auto"/>
      </w:divBdr>
      <w:divsChild>
        <w:div w:id="940532221">
          <w:marLeft w:val="0"/>
          <w:marRight w:val="0"/>
          <w:marTop w:val="120"/>
          <w:marBottom w:val="240"/>
          <w:divBdr>
            <w:top w:val="none" w:sz="0" w:space="0" w:color="auto"/>
            <w:left w:val="none" w:sz="0" w:space="0" w:color="auto"/>
            <w:bottom w:val="none" w:sz="0" w:space="0" w:color="auto"/>
            <w:right w:val="none" w:sz="0" w:space="0" w:color="auto"/>
          </w:divBdr>
        </w:div>
        <w:div w:id="1937589370">
          <w:marLeft w:val="0"/>
          <w:marRight w:val="0"/>
          <w:marTop w:val="120"/>
          <w:marBottom w:val="240"/>
          <w:divBdr>
            <w:top w:val="none" w:sz="0" w:space="0" w:color="auto"/>
            <w:left w:val="none" w:sz="0" w:space="0" w:color="auto"/>
            <w:bottom w:val="none" w:sz="0" w:space="0" w:color="auto"/>
            <w:right w:val="none" w:sz="0" w:space="0" w:color="auto"/>
          </w:divBdr>
        </w:div>
        <w:div w:id="1416198748">
          <w:marLeft w:val="0"/>
          <w:marRight w:val="0"/>
          <w:marTop w:val="120"/>
          <w:marBottom w:val="240"/>
          <w:divBdr>
            <w:top w:val="none" w:sz="0" w:space="0" w:color="auto"/>
            <w:left w:val="none" w:sz="0" w:space="0" w:color="auto"/>
            <w:bottom w:val="none" w:sz="0" w:space="0" w:color="auto"/>
            <w:right w:val="none" w:sz="0" w:space="0" w:color="auto"/>
          </w:divBdr>
        </w:div>
        <w:div w:id="936213204">
          <w:marLeft w:val="0"/>
          <w:marRight w:val="0"/>
          <w:marTop w:val="120"/>
          <w:marBottom w:val="240"/>
          <w:divBdr>
            <w:top w:val="none" w:sz="0" w:space="0" w:color="auto"/>
            <w:left w:val="none" w:sz="0" w:space="0" w:color="auto"/>
            <w:bottom w:val="none" w:sz="0" w:space="0" w:color="auto"/>
            <w:right w:val="none" w:sz="0" w:space="0" w:color="auto"/>
          </w:divBdr>
        </w:div>
        <w:div w:id="989867451">
          <w:marLeft w:val="0"/>
          <w:marRight w:val="0"/>
          <w:marTop w:val="120"/>
          <w:marBottom w:val="240"/>
          <w:divBdr>
            <w:top w:val="none" w:sz="0" w:space="0" w:color="auto"/>
            <w:left w:val="none" w:sz="0" w:space="0" w:color="auto"/>
            <w:bottom w:val="none" w:sz="0" w:space="0" w:color="auto"/>
            <w:right w:val="none" w:sz="0" w:space="0" w:color="auto"/>
          </w:divBdr>
        </w:div>
        <w:div w:id="1402823714">
          <w:marLeft w:val="0"/>
          <w:marRight w:val="0"/>
          <w:marTop w:val="120"/>
          <w:marBottom w:val="240"/>
          <w:divBdr>
            <w:top w:val="none" w:sz="0" w:space="0" w:color="auto"/>
            <w:left w:val="none" w:sz="0" w:space="0" w:color="auto"/>
            <w:bottom w:val="none" w:sz="0" w:space="0" w:color="auto"/>
            <w:right w:val="none" w:sz="0" w:space="0" w:color="auto"/>
          </w:divBdr>
        </w:div>
      </w:divsChild>
    </w:div>
    <w:div w:id="324435949">
      <w:bodyDiv w:val="1"/>
      <w:marLeft w:val="0"/>
      <w:marRight w:val="0"/>
      <w:marTop w:val="0"/>
      <w:marBottom w:val="0"/>
      <w:divBdr>
        <w:top w:val="none" w:sz="0" w:space="0" w:color="auto"/>
        <w:left w:val="none" w:sz="0" w:space="0" w:color="auto"/>
        <w:bottom w:val="none" w:sz="0" w:space="0" w:color="auto"/>
        <w:right w:val="none" w:sz="0" w:space="0" w:color="auto"/>
      </w:divBdr>
    </w:div>
    <w:div w:id="410197684">
      <w:bodyDiv w:val="1"/>
      <w:marLeft w:val="0"/>
      <w:marRight w:val="0"/>
      <w:marTop w:val="0"/>
      <w:marBottom w:val="0"/>
      <w:divBdr>
        <w:top w:val="none" w:sz="0" w:space="0" w:color="auto"/>
        <w:left w:val="none" w:sz="0" w:space="0" w:color="auto"/>
        <w:bottom w:val="none" w:sz="0" w:space="0" w:color="auto"/>
        <w:right w:val="none" w:sz="0" w:space="0" w:color="auto"/>
      </w:divBdr>
    </w:div>
    <w:div w:id="990793319">
      <w:bodyDiv w:val="1"/>
      <w:marLeft w:val="0"/>
      <w:marRight w:val="0"/>
      <w:marTop w:val="0"/>
      <w:marBottom w:val="0"/>
      <w:divBdr>
        <w:top w:val="none" w:sz="0" w:space="0" w:color="auto"/>
        <w:left w:val="none" w:sz="0" w:space="0" w:color="auto"/>
        <w:bottom w:val="none" w:sz="0" w:space="0" w:color="auto"/>
        <w:right w:val="none" w:sz="0" w:space="0" w:color="auto"/>
      </w:divBdr>
    </w:div>
    <w:div w:id="1022704696">
      <w:bodyDiv w:val="1"/>
      <w:marLeft w:val="0"/>
      <w:marRight w:val="0"/>
      <w:marTop w:val="0"/>
      <w:marBottom w:val="0"/>
      <w:divBdr>
        <w:top w:val="none" w:sz="0" w:space="0" w:color="auto"/>
        <w:left w:val="none" w:sz="0" w:space="0" w:color="auto"/>
        <w:bottom w:val="none" w:sz="0" w:space="0" w:color="auto"/>
        <w:right w:val="none" w:sz="0" w:space="0" w:color="auto"/>
      </w:divBdr>
    </w:div>
    <w:div w:id="1057977158">
      <w:bodyDiv w:val="1"/>
      <w:marLeft w:val="0"/>
      <w:marRight w:val="0"/>
      <w:marTop w:val="0"/>
      <w:marBottom w:val="0"/>
      <w:divBdr>
        <w:top w:val="none" w:sz="0" w:space="0" w:color="auto"/>
        <w:left w:val="none" w:sz="0" w:space="0" w:color="auto"/>
        <w:bottom w:val="none" w:sz="0" w:space="0" w:color="auto"/>
        <w:right w:val="none" w:sz="0" w:space="0" w:color="auto"/>
      </w:divBdr>
      <w:divsChild>
        <w:div w:id="981469483">
          <w:marLeft w:val="0"/>
          <w:marRight w:val="0"/>
          <w:marTop w:val="0"/>
          <w:marBottom w:val="0"/>
          <w:divBdr>
            <w:top w:val="single" w:sz="12" w:space="0" w:color="FAF9F4"/>
            <w:left w:val="single" w:sz="12" w:space="0" w:color="FAF9F4"/>
            <w:bottom w:val="single" w:sz="12" w:space="0" w:color="FAF9F4"/>
            <w:right w:val="single" w:sz="12" w:space="0" w:color="FAF9F4"/>
          </w:divBdr>
          <w:divsChild>
            <w:div w:id="2095470253">
              <w:marLeft w:val="0"/>
              <w:marRight w:val="0"/>
              <w:marTop w:val="0"/>
              <w:marBottom w:val="0"/>
              <w:divBdr>
                <w:top w:val="single" w:sz="12" w:space="18" w:color="D0AB66"/>
                <w:left w:val="single" w:sz="6" w:space="24" w:color="D7D7D7"/>
                <w:bottom w:val="single" w:sz="12" w:space="13" w:color="D0AB66"/>
                <w:right w:val="single" w:sz="12" w:space="18" w:color="D0AB66"/>
              </w:divBdr>
            </w:div>
          </w:divsChild>
        </w:div>
      </w:divsChild>
    </w:div>
    <w:div w:id="1302269959">
      <w:bodyDiv w:val="1"/>
      <w:marLeft w:val="0"/>
      <w:marRight w:val="0"/>
      <w:marTop w:val="0"/>
      <w:marBottom w:val="0"/>
      <w:divBdr>
        <w:top w:val="none" w:sz="0" w:space="0" w:color="auto"/>
        <w:left w:val="none" w:sz="0" w:space="0" w:color="auto"/>
        <w:bottom w:val="none" w:sz="0" w:space="0" w:color="auto"/>
        <w:right w:val="none" w:sz="0" w:space="0" w:color="auto"/>
      </w:divBdr>
    </w:div>
    <w:div w:id="1321543435">
      <w:bodyDiv w:val="1"/>
      <w:marLeft w:val="0"/>
      <w:marRight w:val="0"/>
      <w:marTop w:val="0"/>
      <w:marBottom w:val="0"/>
      <w:divBdr>
        <w:top w:val="none" w:sz="0" w:space="0" w:color="auto"/>
        <w:left w:val="none" w:sz="0" w:space="0" w:color="auto"/>
        <w:bottom w:val="none" w:sz="0" w:space="0" w:color="auto"/>
        <w:right w:val="none" w:sz="0" w:space="0" w:color="auto"/>
      </w:divBdr>
    </w:div>
    <w:div w:id="1541168289">
      <w:bodyDiv w:val="1"/>
      <w:marLeft w:val="0"/>
      <w:marRight w:val="0"/>
      <w:marTop w:val="0"/>
      <w:marBottom w:val="0"/>
      <w:divBdr>
        <w:top w:val="none" w:sz="0" w:space="0" w:color="auto"/>
        <w:left w:val="none" w:sz="0" w:space="0" w:color="auto"/>
        <w:bottom w:val="none" w:sz="0" w:space="0" w:color="auto"/>
        <w:right w:val="none" w:sz="0" w:space="0" w:color="auto"/>
      </w:divBdr>
      <w:divsChild>
        <w:div w:id="1757630081">
          <w:marLeft w:val="0"/>
          <w:marRight w:val="0"/>
          <w:marTop w:val="0"/>
          <w:marBottom w:val="0"/>
          <w:divBdr>
            <w:top w:val="none" w:sz="0" w:space="0" w:color="auto"/>
            <w:left w:val="none" w:sz="0" w:space="0" w:color="auto"/>
            <w:bottom w:val="none" w:sz="0" w:space="0" w:color="auto"/>
            <w:right w:val="none" w:sz="0" w:space="0" w:color="auto"/>
          </w:divBdr>
          <w:divsChild>
            <w:div w:id="516235396">
              <w:marLeft w:val="0"/>
              <w:marRight w:val="0"/>
              <w:marTop w:val="0"/>
              <w:marBottom w:val="0"/>
              <w:divBdr>
                <w:top w:val="none" w:sz="0" w:space="0" w:color="auto"/>
                <w:left w:val="none" w:sz="0" w:space="0" w:color="auto"/>
                <w:bottom w:val="none" w:sz="0" w:space="0" w:color="auto"/>
                <w:right w:val="none" w:sz="0" w:space="0" w:color="auto"/>
              </w:divBdr>
              <w:divsChild>
                <w:div w:id="846553015">
                  <w:marLeft w:val="0"/>
                  <w:marRight w:val="0"/>
                  <w:marTop w:val="0"/>
                  <w:marBottom w:val="0"/>
                  <w:divBdr>
                    <w:top w:val="none" w:sz="0" w:space="0" w:color="auto"/>
                    <w:left w:val="none" w:sz="0" w:space="0" w:color="auto"/>
                    <w:bottom w:val="none" w:sz="0" w:space="0" w:color="auto"/>
                    <w:right w:val="none" w:sz="0" w:space="0" w:color="auto"/>
                  </w:divBdr>
                  <w:divsChild>
                    <w:div w:id="2045130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24465545">
      <w:bodyDiv w:val="1"/>
      <w:marLeft w:val="0"/>
      <w:marRight w:val="0"/>
      <w:marTop w:val="0"/>
      <w:marBottom w:val="0"/>
      <w:divBdr>
        <w:top w:val="none" w:sz="0" w:space="0" w:color="auto"/>
        <w:left w:val="none" w:sz="0" w:space="0" w:color="auto"/>
        <w:bottom w:val="none" w:sz="0" w:space="0" w:color="auto"/>
        <w:right w:val="none" w:sz="0" w:space="0" w:color="auto"/>
      </w:divBdr>
    </w:div>
    <w:div w:id="1854301337">
      <w:bodyDiv w:val="1"/>
      <w:marLeft w:val="0"/>
      <w:marRight w:val="0"/>
      <w:marTop w:val="0"/>
      <w:marBottom w:val="0"/>
      <w:divBdr>
        <w:top w:val="none" w:sz="0" w:space="0" w:color="auto"/>
        <w:left w:val="none" w:sz="0" w:space="0" w:color="auto"/>
        <w:bottom w:val="none" w:sz="0" w:space="0" w:color="auto"/>
        <w:right w:val="none" w:sz="0" w:space="0" w:color="auto"/>
      </w:divBdr>
    </w:div>
    <w:div w:id="2124612225">
      <w:bodyDiv w:val="1"/>
      <w:marLeft w:val="0"/>
      <w:marRight w:val="0"/>
      <w:marTop w:val="0"/>
      <w:marBottom w:val="0"/>
      <w:divBdr>
        <w:top w:val="none" w:sz="0" w:space="0" w:color="auto"/>
        <w:left w:val="none" w:sz="0" w:space="0" w:color="auto"/>
        <w:bottom w:val="none" w:sz="0" w:space="0" w:color="auto"/>
        <w:right w:val="none" w:sz="0" w:space="0" w:color="auto"/>
      </w:divBdr>
      <w:divsChild>
        <w:div w:id="1048183952">
          <w:marLeft w:val="0"/>
          <w:marRight w:val="0"/>
          <w:marTop w:val="0"/>
          <w:marBottom w:val="0"/>
          <w:divBdr>
            <w:top w:val="none" w:sz="0" w:space="0" w:color="auto"/>
            <w:left w:val="none" w:sz="0" w:space="0" w:color="auto"/>
            <w:bottom w:val="none" w:sz="0" w:space="0" w:color="auto"/>
            <w:right w:val="none" w:sz="0" w:space="0" w:color="auto"/>
          </w:divBdr>
          <w:divsChild>
            <w:div w:id="1529641060">
              <w:marLeft w:val="-150"/>
              <w:marRight w:val="-150"/>
              <w:marTop w:val="0"/>
              <w:marBottom w:val="0"/>
              <w:divBdr>
                <w:top w:val="none" w:sz="0" w:space="0" w:color="auto"/>
                <w:left w:val="none" w:sz="0" w:space="0" w:color="auto"/>
                <w:bottom w:val="none" w:sz="0" w:space="0" w:color="auto"/>
                <w:right w:val="none" w:sz="0" w:space="0" w:color="auto"/>
              </w:divBdr>
              <w:divsChild>
                <w:div w:id="1285044237">
                  <w:marLeft w:val="0"/>
                  <w:marRight w:val="0"/>
                  <w:marTop w:val="0"/>
                  <w:marBottom w:val="0"/>
                  <w:divBdr>
                    <w:top w:val="none" w:sz="0" w:space="0" w:color="auto"/>
                    <w:left w:val="none" w:sz="0" w:space="0" w:color="auto"/>
                    <w:bottom w:val="none" w:sz="0" w:space="0" w:color="auto"/>
                    <w:right w:val="none" w:sz="0" w:space="0" w:color="auto"/>
                  </w:divBdr>
                  <w:divsChild>
                    <w:div w:id="779493554">
                      <w:marLeft w:val="0"/>
                      <w:marRight w:val="0"/>
                      <w:marTop w:val="0"/>
                      <w:marBottom w:val="0"/>
                      <w:divBdr>
                        <w:top w:val="none" w:sz="0" w:space="0" w:color="auto"/>
                        <w:left w:val="none" w:sz="0" w:space="0" w:color="auto"/>
                        <w:bottom w:val="none" w:sz="0" w:space="0" w:color="auto"/>
                        <w:right w:val="none" w:sz="0" w:space="0" w:color="auto"/>
                      </w:divBdr>
                      <w:divsChild>
                        <w:div w:id="1186168315">
                          <w:marLeft w:val="0"/>
                          <w:marRight w:val="0"/>
                          <w:marTop w:val="0"/>
                          <w:marBottom w:val="0"/>
                          <w:divBdr>
                            <w:top w:val="none" w:sz="0" w:space="0" w:color="auto"/>
                            <w:left w:val="none" w:sz="0" w:space="0" w:color="auto"/>
                            <w:bottom w:val="none" w:sz="0" w:space="0" w:color="auto"/>
                            <w:right w:val="none" w:sz="0" w:space="0" w:color="auto"/>
                          </w:divBdr>
                          <w:divsChild>
                            <w:div w:id="8829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fr/sc/" TargetMode="External"/><Relationship Id="rId18" Type="http://schemas.openxmlformats.org/officeDocument/2006/relationships/chart" Target="charts/chart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fr.wikipedia.org/wiki/Multipartisme" TargetMode="External"/><Relationship Id="rId17" Type="http://schemas.openxmlformats.org/officeDocument/2006/relationships/chart" Target="charts/chart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un.org/fr/documents/view_doc.asp?symbol=S/RES/2106(20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ikipedia.org/wiki/Parti_unique"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un.org/fr/documents/view_doc.asp?symbol=S/RES/1960(201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org/fr/documents/view_doc.asp?symbol=S/RES/1325(200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womenwestandcentralafrica.com/uploads/2/0/3/3/20331433/a4_un_women_ceraprint_2.pdf" TargetMode="External"/><Relationship Id="rId1" Type="http://schemas.openxmlformats.org/officeDocument/2006/relationships/hyperlink" Target="http://www.ohchr.org/Documents/Publications/Chapter07-24pp.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Sheet1!$B$2:$B$3</c:f>
              <c:strCache>
                <c:ptCount val="2"/>
                <c:pt idx="0">
                  <c:v>Agents de l'Etat</c:v>
                </c:pt>
                <c:pt idx="1">
                  <c:v>Autres</c:v>
                </c:pt>
              </c:strCache>
            </c:strRef>
          </c:cat>
          <c:val>
            <c:numRef>
              <c:f>Sheet1!$C$2:$C$3</c:f>
              <c:numCache>
                <c:formatCode>General</c:formatCode>
                <c:ptCount val="2"/>
                <c:pt idx="0">
                  <c:v>92</c:v>
                </c:pt>
                <c:pt idx="1">
                  <c:v>1302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Sheet1!$B$2:$B$6</c:f>
              <c:strCache>
                <c:ptCount val="5"/>
                <c:pt idx="0">
                  <c:v>FRCI</c:v>
                </c:pt>
                <c:pt idx="1">
                  <c:v>Enseignants</c:v>
                </c:pt>
                <c:pt idx="2">
                  <c:v>Gendarmes</c:v>
                </c:pt>
                <c:pt idx="3">
                  <c:v>Policiers</c:v>
                </c:pt>
                <c:pt idx="4">
                  <c:v>Autres agents de l'Etat</c:v>
                </c:pt>
              </c:strCache>
            </c:strRef>
          </c:cat>
          <c:val>
            <c:numRef>
              <c:f>Sheet1!$C$2:$C$6</c:f>
              <c:numCache>
                <c:formatCode>General</c:formatCode>
                <c:ptCount val="5"/>
                <c:pt idx="0">
                  <c:v>51</c:v>
                </c:pt>
                <c:pt idx="1">
                  <c:v>32</c:v>
                </c:pt>
                <c:pt idx="2">
                  <c:v>1</c:v>
                </c:pt>
                <c:pt idx="3">
                  <c:v>3</c:v>
                </c:pt>
                <c:pt idx="4">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0.57917</cdr:x>
      <cdr:y>0.06713</cdr:y>
    </cdr:from>
    <cdr:to>
      <cdr:x>0.98333</cdr:x>
      <cdr:y>0.16357</cdr:y>
    </cdr:to>
    <cdr:sp macro="" textlink="">
      <cdr:nvSpPr>
        <cdr:cNvPr id="2" name="Text Box 2"/>
        <cdr:cNvSpPr txBox="1">
          <a:spLocks xmlns:a="http://schemas.openxmlformats.org/drawingml/2006/main" noChangeArrowheads="1"/>
        </cdr:cNvSpPr>
      </cdr:nvSpPr>
      <cdr:spPr bwMode="auto">
        <a:xfrm xmlns:a="http://schemas.openxmlformats.org/drawingml/2006/main">
          <a:off x="2647950" y="184150"/>
          <a:ext cx="1847850" cy="26456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ctr"/>
          <a:r>
            <a:rPr lang="en-US" b="1"/>
            <a:t>Agents de l'Etat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8BF2FE-516C-49D3-91E8-35F3A3D266DB}"/>
</file>

<file path=customXml/itemProps2.xml><?xml version="1.0" encoding="utf-8"?>
<ds:datastoreItem xmlns:ds="http://schemas.openxmlformats.org/officeDocument/2006/customXml" ds:itemID="{50A340CF-8636-4B83-8738-59C1FD199F2D}"/>
</file>

<file path=customXml/itemProps3.xml><?xml version="1.0" encoding="utf-8"?>
<ds:datastoreItem xmlns:ds="http://schemas.openxmlformats.org/officeDocument/2006/customXml" ds:itemID="{936B6482-EB98-4B48-92AF-BC669517665C}"/>
</file>

<file path=customXml/itemProps4.xml><?xml version="1.0" encoding="utf-8"?>
<ds:datastoreItem xmlns:ds="http://schemas.openxmlformats.org/officeDocument/2006/customXml" ds:itemID="{923A732B-7785-4438-9ED6-22D974D51932}"/>
</file>

<file path=docProps/app.xml><?xml version="1.0" encoding="utf-8"?>
<Properties xmlns="http://schemas.openxmlformats.org/officeDocument/2006/extended-properties" xmlns:vt="http://schemas.openxmlformats.org/officeDocument/2006/docPropsVTypes">
  <Template>Normal</Template>
  <TotalTime>0</TotalTime>
  <Pages>31</Pages>
  <Words>12309</Words>
  <Characters>70165</Characters>
  <Application>Microsoft Office Word</Application>
  <DocSecurity>0</DocSecurity>
  <Lines>584</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82310</CharactersWithSpaces>
  <SharedDoc>false</SharedDoc>
  <HLinks>
    <vt:vector size="132" baseType="variant">
      <vt:variant>
        <vt:i4>7798830</vt:i4>
      </vt:variant>
      <vt:variant>
        <vt:i4>150</vt:i4>
      </vt:variant>
      <vt:variant>
        <vt:i4>0</vt:i4>
      </vt:variant>
      <vt:variant>
        <vt:i4>5</vt:i4>
      </vt:variant>
      <vt:variant>
        <vt:lpwstr>http://fr.wikipedia.org/wiki/Multipartisme</vt:lpwstr>
      </vt:variant>
      <vt:variant>
        <vt:lpwstr/>
      </vt:variant>
      <vt:variant>
        <vt:i4>1966204</vt:i4>
      </vt:variant>
      <vt:variant>
        <vt:i4>147</vt:i4>
      </vt:variant>
      <vt:variant>
        <vt:i4>0</vt:i4>
      </vt:variant>
      <vt:variant>
        <vt:i4>5</vt:i4>
      </vt:variant>
      <vt:variant>
        <vt:lpwstr>http://fr.wikipedia.org/wiki/Parti_unique</vt:lpwstr>
      </vt:variant>
      <vt:variant>
        <vt:lpwstr/>
      </vt:variant>
      <vt:variant>
        <vt:i4>1835059</vt:i4>
      </vt:variant>
      <vt:variant>
        <vt:i4>140</vt:i4>
      </vt:variant>
      <vt:variant>
        <vt:i4>0</vt:i4>
      </vt:variant>
      <vt:variant>
        <vt:i4>5</vt:i4>
      </vt:variant>
      <vt:variant>
        <vt:lpwstr/>
      </vt:variant>
      <vt:variant>
        <vt:lpwstr>_Toc435708274</vt:lpwstr>
      </vt:variant>
      <vt:variant>
        <vt:i4>1835059</vt:i4>
      </vt:variant>
      <vt:variant>
        <vt:i4>134</vt:i4>
      </vt:variant>
      <vt:variant>
        <vt:i4>0</vt:i4>
      </vt:variant>
      <vt:variant>
        <vt:i4>5</vt:i4>
      </vt:variant>
      <vt:variant>
        <vt:lpwstr/>
      </vt:variant>
      <vt:variant>
        <vt:lpwstr>_Toc435708273</vt:lpwstr>
      </vt:variant>
      <vt:variant>
        <vt:i4>1835059</vt:i4>
      </vt:variant>
      <vt:variant>
        <vt:i4>128</vt:i4>
      </vt:variant>
      <vt:variant>
        <vt:i4>0</vt:i4>
      </vt:variant>
      <vt:variant>
        <vt:i4>5</vt:i4>
      </vt:variant>
      <vt:variant>
        <vt:lpwstr/>
      </vt:variant>
      <vt:variant>
        <vt:lpwstr>_Toc435708272</vt:lpwstr>
      </vt:variant>
      <vt:variant>
        <vt:i4>1835059</vt:i4>
      </vt:variant>
      <vt:variant>
        <vt:i4>122</vt:i4>
      </vt:variant>
      <vt:variant>
        <vt:i4>0</vt:i4>
      </vt:variant>
      <vt:variant>
        <vt:i4>5</vt:i4>
      </vt:variant>
      <vt:variant>
        <vt:lpwstr/>
      </vt:variant>
      <vt:variant>
        <vt:lpwstr>_Toc435708271</vt:lpwstr>
      </vt:variant>
      <vt:variant>
        <vt:i4>1835059</vt:i4>
      </vt:variant>
      <vt:variant>
        <vt:i4>116</vt:i4>
      </vt:variant>
      <vt:variant>
        <vt:i4>0</vt:i4>
      </vt:variant>
      <vt:variant>
        <vt:i4>5</vt:i4>
      </vt:variant>
      <vt:variant>
        <vt:lpwstr/>
      </vt:variant>
      <vt:variant>
        <vt:lpwstr>_Toc435708270</vt:lpwstr>
      </vt:variant>
      <vt:variant>
        <vt:i4>1900595</vt:i4>
      </vt:variant>
      <vt:variant>
        <vt:i4>110</vt:i4>
      </vt:variant>
      <vt:variant>
        <vt:i4>0</vt:i4>
      </vt:variant>
      <vt:variant>
        <vt:i4>5</vt:i4>
      </vt:variant>
      <vt:variant>
        <vt:lpwstr/>
      </vt:variant>
      <vt:variant>
        <vt:lpwstr>_Toc435708269</vt:lpwstr>
      </vt:variant>
      <vt:variant>
        <vt:i4>1900595</vt:i4>
      </vt:variant>
      <vt:variant>
        <vt:i4>104</vt:i4>
      </vt:variant>
      <vt:variant>
        <vt:i4>0</vt:i4>
      </vt:variant>
      <vt:variant>
        <vt:i4>5</vt:i4>
      </vt:variant>
      <vt:variant>
        <vt:lpwstr/>
      </vt:variant>
      <vt:variant>
        <vt:lpwstr>_Toc435708268</vt:lpwstr>
      </vt:variant>
      <vt:variant>
        <vt:i4>1900595</vt:i4>
      </vt:variant>
      <vt:variant>
        <vt:i4>98</vt:i4>
      </vt:variant>
      <vt:variant>
        <vt:i4>0</vt:i4>
      </vt:variant>
      <vt:variant>
        <vt:i4>5</vt:i4>
      </vt:variant>
      <vt:variant>
        <vt:lpwstr/>
      </vt:variant>
      <vt:variant>
        <vt:lpwstr>_Toc435708267</vt:lpwstr>
      </vt:variant>
      <vt:variant>
        <vt:i4>1900595</vt:i4>
      </vt:variant>
      <vt:variant>
        <vt:i4>92</vt:i4>
      </vt:variant>
      <vt:variant>
        <vt:i4>0</vt:i4>
      </vt:variant>
      <vt:variant>
        <vt:i4>5</vt:i4>
      </vt:variant>
      <vt:variant>
        <vt:lpwstr/>
      </vt:variant>
      <vt:variant>
        <vt:lpwstr>_Toc435708266</vt:lpwstr>
      </vt:variant>
      <vt:variant>
        <vt:i4>1900595</vt:i4>
      </vt:variant>
      <vt:variant>
        <vt:i4>86</vt:i4>
      </vt:variant>
      <vt:variant>
        <vt:i4>0</vt:i4>
      </vt:variant>
      <vt:variant>
        <vt:i4>5</vt:i4>
      </vt:variant>
      <vt:variant>
        <vt:lpwstr/>
      </vt:variant>
      <vt:variant>
        <vt:lpwstr>_Toc435708265</vt:lpwstr>
      </vt:variant>
      <vt:variant>
        <vt:i4>1900595</vt:i4>
      </vt:variant>
      <vt:variant>
        <vt:i4>80</vt:i4>
      </vt:variant>
      <vt:variant>
        <vt:i4>0</vt:i4>
      </vt:variant>
      <vt:variant>
        <vt:i4>5</vt:i4>
      </vt:variant>
      <vt:variant>
        <vt:lpwstr/>
      </vt:variant>
      <vt:variant>
        <vt:lpwstr>_Toc435708264</vt:lpwstr>
      </vt:variant>
      <vt:variant>
        <vt:i4>1966131</vt:i4>
      </vt:variant>
      <vt:variant>
        <vt:i4>50</vt:i4>
      </vt:variant>
      <vt:variant>
        <vt:i4>0</vt:i4>
      </vt:variant>
      <vt:variant>
        <vt:i4>5</vt:i4>
      </vt:variant>
      <vt:variant>
        <vt:lpwstr/>
      </vt:variant>
      <vt:variant>
        <vt:lpwstr>_Toc435708259</vt:lpwstr>
      </vt:variant>
      <vt:variant>
        <vt:i4>1966131</vt:i4>
      </vt:variant>
      <vt:variant>
        <vt:i4>44</vt:i4>
      </vt:variant>
      <vt:variant>
        <vt:i4>0</vt:i4>
      </vt:variant>
      <vt:variant>
        <vt:i4>5</vt:i4>
      </vt:variant>
      <vt:variant>
        <vt:lpwstr/>
      </vt:variant>
      <vt:variant>
        <vt:lpwstr>_Toc435708258</vt:lpwstr>
      </vt:variant>
      <vt:variant>
        <vt:i4>1966131</vt:i4>
      </vt:variant>
      <vt:variant>
        <vt:i4>38</vt:i4>
      </vt:variant>
      <vt:variant>
        <vt:i4>0</vt:i4>
      </vt:variant>
      <vt:variant>
        <vt:i4>5</vt:i4>
      </vt:variant>
      <vt:variant>
        <vt:lpwstr/>
      </vt:variant>
      <vt:variant>
        <vt:lpwstr>_Toc435708257</vt:lpwstr>
      </vt:variant>
      <vt:variant>
        <vt:i4>1966131</vt:i4>
      </vt:variant>
      <vt:variant>
        <vt:i4>32</vt:i4>
      </vt:variant>
      <vt:variant>
        <vt:i4>0</vt:i4>
      </vt:variant>
      <vt:variant>
        <vt:i4>5</vt:i4>
      </vt:variant>
      <vt:variant>
        <vt:lpwstr/>
      </vt:variant>
      <vt:variant>
        <vt:lpwstr>_Toc435708256</vt:lpwstr>
      </vt:variant>
      <vt:variant>
        <vt:i4>1966131</vt:i4>
      </vt:variant>
      <vt:variant>
        <vt:i4>26</vt:i4>
      </vt:variant>
      <vt:variant>
        <vt:i4>0</vt:i4>
      </vt:variant>
      <vt:variant>
        <vt:i4>5</vt:i4>
      </vt:variant>
      <vt:variant>
        <vt:lpwstr/>
      </vt:variant>
      <vt:variant>
        <vt:lpwstr>_Toc435708255</vt:lpwstr>
      </vt:variant>
      <vt:variant>
        <vt:i4>1966131</vt:i4>
      </vt:variant>
      <vt:variant>
        <vt:i4>20</vt:i4>
      </vt:variant>
      <vt:variant>
        <vt:i4>0</vt:i4>
      </vt:variant>
      <vt:variant>
        <vt:i4>5</vt:i4>
      </vt:variant>
      <vt:variant>
        <vt:lpwstr/>
      </vt:variant>
      <vt:variant>
        <vt:lpwstr>_Toc435708254</vt:lpwstr>
      </vt:variant>
      <vt:variant>
        <vt:i4>1966131</vt:i4>
      </vt:variant>
      <vt:variant>
        <vt:i4>14</vt:i4>
      </vt:variant>
      <vt:variant>
        <vt:i4>0</vt:i4>
      </vt:variant>
      <vt:variant>
        <vt:i4>5</vt:i4>
      </vt:variant>
      <vt:variant>
        <vt:lpwstr/>
      </vt:variant>
      <vt:variant>
        <vt:lpwstr>_Toc435708253</vt:lpwstr>
      </vt:variant>
      <vt:variant>
        <vt:i4>1966131</vt:i4>
      </vt:variant>
      <vt:variant>
        <vt:i4>8</vt:i4>
      </vt:variant>
      <vt:variant>
        <vt:i4>0</vt:i4>
      </vt:variant>
      <vt:variant>
        <vt:i4>5</vt:i4>
      </vt:variant>
      <vt:variant>
        <vt:lpwstr/>
      </vt:variant>
      <vt:variant>
        <vt:lpwstr>_Toc435708252</vt:lpwstr>
      </vt:variant>
      <vt:variant>
        <vt:i4>1966131</vt:i4>
      </vt:variant>
      <vt:variant>
        <vt:i4>2</vt:i4>
      </vt:variant>
      <vt:variant>
        <vt:i4>0</vt:i4>
      </vt:variant>
      <vt:variant>
        <vt:i4>5</vt:i4>
      </vt:variant>
      <vt:variant>
        <vt:lpwstr/>
      </vt:variant>
      <vt:variant>
        <vt:lpwstr>_Toc435708251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 UNOCI</dc:creator>
  <cp:lastModifiedBy>onuci</cp:lastModifiedBy>
  <cp:revision>2</cp:revision>
  <cp:lastPrinted>2016-07-08T14:22:00Z</cp:lastPrinted>
  <dcterms:created xsi:type="dcterms:W3CDTF">2016-07-11T11:00:00Z</dcterms:created>
  <dcterms:modified xsi:type="dcterms:W3CDTF">2016-07-11T11:00:00Z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b3bd6c8f-fa44-496a-88ee-495dd26911c8</vt:lpwstr>
  </property>
  <property fmtid="{D5CDD505-2E9C-101B-9397-08002B2CF9AE}" pid="3" name="MODFILEGUID">
    <vt:lpwstr>1996e002-12a2-4612-99ca-2c4d53475534</vt:lpwstr>
  </property>
  <property fmtid="{D5CDD505-2E9C-101B-9397-08002B2CF9AE}" pid="4" name="FILEOWNER">
    <vt:lpwstr>DPKO user</vt:lpwstr>
  </property>
  <property fmtid="{D5CDD505-2E9C-101B-9397-08002B2CF9AE}" pid="5" name="MODFILEOWNER">
    <vt:lpwstr>A84793</vt:lpwstr>
  </property>
  <property fmtid="{D5CDD505-2E9C-101B-9397-08002B2CF9AE}" pid="6" name="IPPCLASS">
    <vt:i4>1</vt:i4>
  </property>
  <property fmtid="{D5CDD505-2E9C-101B-9397-08002B2CF9AE}" pid="7" name="MODIPPCLASS">
    <vt:i4>2</vt:i4>
  </property>
  <property fmtid="{D5CDD505-2E9C-101B-9397-08002B2CF9AE}" pid="8" name="MACHINEID">
    <vt:lpwstr>A84793-0071</vt:lpwstr>
  </property>
  <property fmtid="{D5CDD505-2E9C-101B-9397-08002B2CF9AE}" pid="9" name="MODMACHINEID">
    <vt:lpwstr>A84793-0071</vt:lpwstr>
  </property>
  <property fmtid="{D5CDD505-2E9C-101B-9397-08002B2CF9AE}" pid="10" name="CURRENTCLASS">
    <vt:lpwstr>Classified - Confidential</vt:lpwstr>
  </property>
  <property fmtid="{D5CDD505-2E9C-101B-9397-08002B2CF9AE}" pid="11" name="ContentTypeId">
    <vt:lpwstr>0x0101008822B9E06671B54FA89F14538B9B0FEA</vt:lpwstr>
  </property>
  <property fmtid="{D5CDD505-2E9C-101B-9397-08002B2CF9AE}" pid="12" name="Order">
    <vt:r8>3612800</vt:r8>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