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BF5" w:rsidRPr="00AA0A7F" w:rsidRDefault="00160BF5" w:rsidP="00160BF5">
      <w:pPr>
        <w:pStyle w:val="NormalWeb"/>
        <w:rPr>
          <w:rFonts w:asciiTheme="minorHAnsi" w:hAnsiTheme="minorHAnsi" w:cs="Tahoma"/>
          <w:color w:val="500050"/>
          <w:sz w:val="22"/>
          <w:szCs w:val="22"/>
          <w:shd w:val="clear" w:color="auto" w:fill="FFFFFF"/>
        </w:rPr>
      </w:pPr>
      <w:r w:rsidRPr="008721AB">
        <w:rPr>
          <w:rFonts w:asciiTheme="minorHAnsi" w:hAnsiTheme="minorHAnsi" w:cs="Tahoma"/>
          <w:b/>
          <w:color w:val="000000"/>
          <w:sz w:val="22"/>
          <w:szCs w:val="22"/>
          <w:shd w:val="clear" w:color="auto" w:fill="FFFFFF"/>
        </w:rPr>
        <w:t>Projected Attendance</w:t>
      </w:r>
      <w:r w:rsidRPr="00AA0A7F">
        <w:rPr>
          <w:rFonts w:asciiTheme="minorHAnsi" w:hAnsiTheme="minorHAnsi" w:cs="Tahoma"/>
          <w:color w:val="000000"/>
          <w:sz w:val="22"/>
          <w:szCs w:val="22"/>
          <w:shd w:val="clear" w:color="auto" w:fill="FFFFFF"/>
        </w:rPr>
        <w:t xml:space="preserve">: </w:t>
      </w:r>
      <w:r w:rsidR="0053772B">
        <w:rPr>
          <w:rFonts w:asciiTheme="minorHAnsi" w:hAnsiTheme="minorHAnsi" w:cs="Tahoma"/>
          <w:color w:val="000000"/>
          <w:sz w:val="22"/>
          <w:szCs w:val="22"/>
          <w:shd w:val="clear" w:color="auto" w:fill="FFFFFF"/>
        </w:rPr>
        <w:t>100</w:t>
      </w:r>
      <w:r w:rsidRPr="00AA0A7F">
        <w:rPr>
          <w:rFonts w:asciiTheme="minorHAnsi" w:hAnsiTheme="minorHAnsi" w:cs="Tahoma"/>
          <w:color w:val="000000"/>
          <w:sz w:val="22"/>
          <w:szCs w:val="22"/>
          <w:shd w:val="clear" w:color="auto" w:fill="FFFFFF"/>
        </w:rPr>
        <w:t xml:space="preserve"> </w:t>
      </w:r>
      <w:proofErr w:type="spellStart"/>
      <w:proofErr w:type="gramStart"/>
      <w:r w:rsidRPr="00AA0A7F">
        <w:rPr>
          <w:rFonts w:asciiTheme="minorHAnsi" w:hAnsiTheme="minorHAnsi" w:cs="Tahoma"/>
          <w:color w:val="000000"/>
          <w:sz w:val="22"/>
          <w:szCs w:val="22"/>
          <w:shd w:val="clear" w:color="auto" w:fill="FFFFFF"/>
        </w:rPr>
        <w:t>px</w:t>
      </w:r>
      <w:proofErr w:type="spellEnd"/>
      <w:proofErr w:type="gramEnd"/>
      <w:r w:rsidRPr="00AA0A7F">
        <w:rPr>
          <w:rFonts w:asciiTheme="minorHAnsi" w:hAnsiTheme="minorHAnsi" w:cs="Tahoma"/>
          <w:color w:val="000000"/>
          <w:sz w:val="22"/>
          <w:szCs w:val="22"/>
          <w:shd w:val="clear" w:color="auto" w:fill="FFFFFF"/>
        </w:rPr>
        <w:t xml:space="preserve">, </w:t>
      </w:r>
    </w:p>
    <w:p w:rsidR="00160BF5" w:rsidRPr="00AA0A7F" w:rsidRDefault="00160BF5" w:rsidP="00160BF5">
      <w:pPr>
        <w:pStyle w:val="NormalWeb"/>
        <w:rPr>
          <w:rFonts w:asciiTheme="minorHAnsi" w:hAnsiTheme="minorHAnsi" w:cs="Tahoma"/>
          <w:color w:val="500050"/>
          <w:sz w:val="22"/>
          <w:szCs w:val="22"/>
          <w:shd w:val="clear" w:color="auto" w:fill="FFFFFF"/>
        </w:rPr>
      </w:pPr>
      <w:r w:rsidRPr="008721AB">
        <w:rPr>
          <w:rFonts w:asciiTheme="minorHAnsi" w:hAnsiTheme="minorHAnsi" w:cs="Tahoma"/>
          <w:b/>
          <w:color w:val="000000"/>
          <w:sz w:val="22"/>
          <w:szCs w:val="22"/>
          <w:shd w:val="clear" w:color="auto" w:fill="FFFFFF"/>
        </w:rPr>
        <w:t>Language</w:t>
      </w:r>
      <w:r w:rsidRPr="00AA0A7F">
        <w:rPr>
          <w:rFonts w:asciiTheme="minorHAnsi" w:hAnsiTheme="minorHAnsi" w:cs="Tahoma"/>
          <w:color w:val="000000"/>
          <w:sz w:val="22"/>
          <w:szCs w:val="22"/>
          <w:shd w:val="clear" w:color="auto" w:fill="FFFFFF"/>
        </w:rPr>
        <w:t>: English</w:t>
      </w:r>
    </w:p>
    <w:p w:rsidR="008721AB" w:rsidRDefault="00160BF5" w:rsidP="008721AB">
      <w:pPr>
        <w:spacing w:after="0"/>
        <w:jc w:val="both"/>
        <w:rPr>
          <w:rFonts w:cs="Arial"/>
          <w:color w:val="2B2B2B"/>
          <w:shd w:val="clear" w:color="auto" w:fill="FFFFFF"/>
        </w:rPr>
      </w:pPr>
      <w:r w:rsidRPr="00AA0A7F">
        <w:rPr>
          <w:rFonts w:cs="Tahoma"/>
          <w:color w:val="500050"/>
          <w:shd w:val="clear" w:color="auto" w:fill="FFFFFF"/>
        </w:rPr>
        <w:t> </w:t>
      </w:r>
      <w:r w:rsidRPr="00AA0A7F">
        <w:rPr>
          <w:rFonts w:cs="Times New Roman"/>
          <w:b/>
          <w:bCs/>
        </w:rPr>
        <w:t xml:space="preserve">Workshop </w:t>
      </w:r>
      <w:r w:rsidR="008721AB">
        <w:rPr>
          <w:rFonts w:cs="Times New Roman"/>
          <w:b/>
          <w:bCs/>
        </w:rPr>
        <w:t>Description:</w:t>
      </w:r>
      <w:r w:rsidR="00E921B8">
        <w:rPr>
          <w:rFonts w:cs="Times New Roman"/>
          <w:b/>
          <w:bCs/>
        </w:rPr>
        <w:t xml:space="preserve"> </w:t>
      </w:r>
      <w:r w:rsidR="008721AB" w:rsidRPr="008721AB">
        <w:rPr>
          <w:rFonts w:cs="Arial"/>
          <w:color w:val="2B2B2B"/>
        </w:rPr>
        <w:t>This Workshop is being co-organised by </w:t>
      </w:r>
      <w:hyperlink r:id="rId9" w:tgtFrame="_blank" w:history="1">
        <w:r w:rsidR="008721AB" w:rsidRPr="008721AB">
          <w:rPr>
            <w:rStyle w:val="Hyperlink"/>
            <w:rFonts w:cs="Arial"/>
            <w:color w:val="24890D"/>
            <w:bdr w:val="none" w:sz="0" w:space="0" w:color="auto" w:frame="1"/>
          </w:rPr>
          <w:t>Asia Justice and Rights </w:t>
        </w:r>
      </w:hyperlink>
      <w:r w:rsidR="008721AB" w:rsidRPr="008721AB">
        <w:rPr>
          <w:rFonts w:cs="Arial"/>
          <w:color w:val="2B2B2B"/>
        </w:rPr>
        <w:t xml:space="preserve">(AJAR),a regional </w:t>
      </w:r>
      <w:proofErr w:type="spellStart"/>
      <w:r w:rsidR="008721AB" w:rsidRPr="008721AB">
        <w:rPr>
          <w:rFonts w:cs="Arial"/>
          <w:color w:val="2B2B2B"/>
        </w:rPr>
        <w:t>non profit</w:t>
      </w:r>
      <w:proofErr w:type="spellEnd"/>
      <w:r w:rsidR="008721AB" w:rsidRPr="008721AB">
        <w:rPr>
          <w:rFonts w:cs="Arial"/>
          <w:color w:val="2B2B2B"/>
        </w:rPr>
        <w:t xml:space="preserve"> organization based in Indonesia with offices in Jakarta, Dili and Yangon and a residential human rights training centre in Bali and </w:t>
      </w:r>
      <w:hyperlink r:id="rId10" w:tgtFrame="_blank" w:history="1">
        <w:r w:rsidR="008721AB" w:rsidRPr="008721AB">
          <w:rPr>
            <w:rStyle w:val="Hyperlink"/>
            <w:rFonts w:cs="Arial"/>
            <w:color w:val="24890D"/>
            <w:bdr w:val="none" w:sz="0" w:space="0" w:color="auto" w:frame="1"/>
          </w:rPr>
          <w:t>Bridges Across Borders South East Asia Community Legal Education Initiative</w:t>
        </w:r>
      </w:hyperlink>
      <w:r w:rsidR="007A7D4D">
        <w:rPr>
          <w:rFonts w:cs="Arial"/>
          <w:color w:val="2B2B2B"/>
        </w:rPr>
        <w:t xml:space="preserve"> (BABSEACLE) and the Office of the </w:t>
      </w:r>
      <w:r w:rsidR="00915128">
        <w:rPr>
          <w:rFonts w:cs="Arial"/>
          <w:color w:val="2B2B2B"/>
        </w:rPr>
        <w:t xml:space="preserve">UN </w:t>
      </w:r>
      <w:r w:rsidR="007A7D4D">
        <w:rPr>
          <w:rFonts w:cs="Arial"/>
          <w:color w:val="2B2B2B"/>
        </w:rPr>
        <w:t xml:space="preserve">High Commissioner for Human Rights (OHCHR). </w:t>
      </w:r>
      <w:r w:rsidR="008721AB">
        <w:rPr>
          <w:rFonts w:cs="Arial"/>
          <w:color w:val="2B2B2B"/>
        </w:rPr>
        <w:t>The</w:t>
      </w:r>
      <w:r w:rsidR="008721AB" w:rsidRPr="008721AB">
        <w:rPr>
          <w:rFonts w:cs="Arial"/>
          <w:color w:val="2B2B2B"/>
        </w:rPr>
        <w:t>s</w:t>
      </w:r>
      <w:r w:rsidR="008721AB">
        <w:rPr>
          <w:rFonts w:cs="Arial"/>
          <w:color w:val="2B2B2B"/>
        </w:rPr>
        <w:t>e</w:t>
      </w:r>
      <w:r w:rsidR="008721AB" w:rsidRPr="008721AB">
        <w:rPr>
          <w:rFonts w:cs="Arial"/>
          <w:color w:val="2B2B2B"/>
        </w:rPr>
        <w:t xml:space="preserve"> sessions will address current and pressing human rights issues and involve in depth discussions on steps to moving forward to improve the current human rights situation in the region. </w:t>
      </w:r>
      <w:r w:rsidR="008721AB" w:rsidRPr="008721AB">
        <w:rPr>
          <w:rFonts w:cs="Arial"/>
          <w:color w:val="2B2B2B"/>
          <w:shd w:val="clear" w:color="auto" w:fill="FFFFFF"/>
        </w:rPr>
        <w:t xml:space="preserve">Each of the </w:t>
      </w:r>
      <w:r w:rsidR="00FA7E6F">
        <w:rPr>
          <w:rFonts w:cs="Arial"/>
          <w:color w:val="2B2B2B"/>
          <w:shd w:val="clear" w:color="auto" w:fill="FFFFFF"/>
        </w:rPr>
        <w:t>three</w:t>
      </w:r>
      <w:r w:rsidR="008721AB" w:rsidRPr="008721AB">
        <w:rPr>
          <w:rFonts w:cs="Arial"/>
          <w:color w:val="2B2B2B"/>
          <w:shd w:val="clear" w:color="auto" w:fill="FFFFFF"/>
        </w:rPr>
        <w:t xml:space="preserve"> areas to be covered in the workshop relates to one of AJAR’s core programs, focused on addressing mass human rights violations in contexts of transitions to democracy in the Asia Pacific region.</w:t>
      </w:r>
    </w:p>
    <w:p w:rsidR="008721AB" w:rsidRDefault="008721AB" w:rsidP="008721AB">
      <w:pPr>
        <w:spacing w:after="0"/>
        <w:jc w:val="both"/>
        <w:rPr>
          <w:rFonts w:cs="Times New Roman"/>
          <w:b/>
          <w:bCs/>
        </w:rPr>
      </w:pPr>
    </w:p>
    <w:tbl>
      <w:tblPr>
        <w:tblStyle w:val="TableGrid"/>
        <w:tblW w:w="10278" w:type="dxa"/>
        <w:tblLook w:val="04A0" w:firstRow="1" w:lastRow="0" w:firstColumn="1" w:lastColumn="0" w:noHBand="0" w:noVBand="1"/>
      </w:tblPr>
      <w:tblGrid>
        <w:gridCol w:w="1122"/>
        <w:gridCol w:w="9156"/>
      </w:tblGrid>
      <w:tr w:rsidR="008721AB" w:rsidRPr="002D20C2" w:rsidTr="002D20C2">
        <w:trPr>
          <w:trHeight w:val="348"/>
        </w:trPr>
        <w:tc>
          <w:tcPr>
            <w:tcW w:w="1122" w:type="dxa"/>
          </w:tcPr>
          <w:p w:rsidR="008721AB" w:rsidRPr="002D20C2" w:rsidRDefault="008721AB" w:rsidP="00C35DD1">
            <w:pPr>
              <w:rPr>
                <w:rFonts w:cs="Times New Roman"/>
                <w:b/>
              </w:rPr>
            </w:pPr>
            <w:r w:rsidRPr="002D20C2">
              <w:rPr>
                <w:rFonts w:cs="Times New Roman"/>
                <w:b/>
              </w:rPr>
              <w:t>Time</w:t>
            </w:r>
          </w:p>
        </w:tc>
        <w:tc>
          <w:tcPr>
            <w:tcW w:w="9156" w:type="dxa"/>
          </w:tcPr>
          <w:p w:rsidR="008721AB" w:rsidRPr="002D20C2" w:rsidRDefault="008721AB" w:rsidP="00935E18">
            <w:pPr>
              <w:jc w:val="center"/>
              <w:rPr>
                <w:rFonts w:cs="Times New Roman"/>
                <w:b/>
              </w:rPr>
            </w:pPr>
            <w:r w:rsidRPr="002D20C2">
              <w:rPr>
                <w:rFonts w:cs="Times New Roman"/>
                <w:b/>
              </w:rPr>
              <w:t>Session Title and Details</w:t>
            </w:r>
          </w:p>
        </w:tc>
      </w:tr>
      <w:tr w:rsidR="008721AB" w:rsidRPr="002D20C2" w:rsidTr="002D20C2">
        <w:trPr>
          <w:trHeight w:val="280"/>
        </w:trPr>
        <w:tc>
          <w:tcPr>
            <w:tcW w:w="1122" w:type="dxa"/>
          </w:tcPr>
          <w:p w:rsidR="008721AB" w:rsidRPr="002D20C2" w:rsidRDefault="008721AB" w:rsidP="008911EF">
            <w:pPr>
              <w:rPr>
                <w:rFonts w:eastAsia="Times New Roman" w:cs="Times New Roman"/>
                <w:color w:val="000000"/>
              </w:rPr>
            </w:pPr>
            <w:r w:rsidRPr="002D20C2">
              <w:rPr>
                <w:rFonts w:eastAsia="Times New Roman" w:cs="Times New Roman"/>
                <w:color w:val="000000"/>
              </w:rPr>
              <w:t xml:space="preserve">8:30am - </w:t>
            </w:r>
            <w:r w:rsidR="008911EF">
              <w:rPr>
                <w:rFonts w:eastAsia="Times New Roman" w:cs="Times New Roman"/>
                <w:color w:val="000000"/>
              </w:rPr>
              <w:t>8</w:t>
            </w:r>
            <w:r w:rsidRPr="002D20C2">
              <w:rPr>
                <w:rFonts w:eastAsia="Times New Roman" w:cs="Times New Roman"/>
                <w:color w:val="000000"/>
              </w:rPr>
              <w:t>:</w:t>
            </w:r>
            <w:r w:rsidR="008911EF">
              <w:rPr>
                <w:rFonts w:eastAsia="Times New Roman" w:cs="Times New Roman"/>
                <w:color w:val="000000"/>
              </w:rPr>
              <w:t>45</w:t>
            </w:r>
            <w:r w:rsidRPr="002D20C2">
              <w:rPr>
                <w:rFonts w:eastAsia="Times New Roman" w:cs="Times New Roman"/>
                <w:color w:val="000000"/>
              </w:rPr>
              <w:t>am</w:t>
            </w:r>
          </w:p>
        </w:tc>
        <w:tc>
          <w:tcPr>
            <w:tcW w:w="9156" w:type="dxa"/>
          </w:tcPr>
          <w:p w:rsidR="008721AB" w:rsidRPr="002D20C2" w:rsidRDefault="008721AB" w:rsidP="00830D64">
            <w:pPr>
              <w:rPr>
                <w:rFonts w:eastAsia="Times New Roman" w:cs="Times New Roman"/>
                <w:b/>
                <w:color w:val="000000" w:themeColor="text1"/>
              </w:rPr>
            </w:pPr>
            <w:r w:rsidRPr="002D20C2">
              <w:rPr>
                <w:rFonts w:eastAsia="Times New Roman" w:cs="Times New Roman"/>
                <w:b/>
                <w:color w:val="000000" w:themeColor="text1"/>
              </w:rPr>
              <w:t>Registration</w:t>
            </w:r>
          </w:p>
          <w:p w:rsidR="008721AB" w:rsidRPr="002D20C2" w:rsidRDefault="008721AB" w:rsidP="00830D64">
            <w:pPr>
              <w:pStyle w:val="Quote"/>
              <w:rPr>
                <w:rFonts w:asciiTheme="minorHAnsi" w:hAnsiTheme="minorHAnsi" w:cs="Times New Roman"/>
                <w:b/>
                <w:i w:val="0"/>
                <w:color w:val="000000" w:themeColor="text1"/>
                <w:szCs w:val="22"/>
              </w:rPr>
            </w:pPr>
          </w:p>
        </w:tc>
      </w:tr>
      <w:tr w:rsidR="008721AB" w:rsidRPr="002D20C2" w:rsidTr="002D20C2">
        <w:trPr>
          <w:trHeight w:val="268"/>
        </w:trPr>
        <w:tc>
          <w:tcPr>
            <w:tcW w:w="1122" w:type="dxa"/>
          </w:tcPr>
          <w:p w:rsidR="008721AB" w:rsidRPr="002D20C2" w:rsidRDefault="008911EF" w:rsidP="008911EF">
            <w:pPr>
              <w:rPr>
                <w:rFonts w:eastAsia="Times New Roman" w:cs="Times New Roman"/>
                <w:color w:val="000000"/>
              </w:rPr>
            </w:pPr>
            <w:r>
              <w:rPr>
                <w:rFonts w:eastAsia="Times New Roman" w:cs="Times New Roman"/>
                <w:color w:val="000000"/>
              </w:rPr>
              <w:t>8:45am-</w:t>
            </w:r>
            <w:r w:rsidR="008721AB" w:rsidRPr="002D20C2">
              <w:rPr>
                <w:rFonts w:eastAsia="Times New Roman" w:cs="Times New Roman"/>
                <w:color w:val="000000"/>
              </w:rPr>
              <w:t xml:space="preserve">9:00am </w:t>
            </w:r>
          </w:p>
        </w:tc>
        <w:tc>
          <w:tcPr>
            <w:tcW w:w="9156" w:type="dxa"/>
          </w:tcPr>
          <w:p w:rsidR="008721AB" w:rsidRPr="002D20C2" w:rsidRDefault="008721AB" w:rsidP="00830D64">
            <w:pPr>
              <w:pStyle w:val="Quote"/>
              <w:rPr>
                <w:rFonts w:asciiTheme="minorHAnsi" w:hAnsiTheme="minorHAnsi" w:cs="Times New Roman"/>
                <w:b/>
                <w:i w:val="0"/>
                <w:color w:val="000000" w:themeColor="text1"/>
                <w:szCs w:val="22"/>
              </w:rPr>
            </w:pPr>
            <w:r w:rsidRPr="002D20C2">
              <w:rPr>
                <w:rFonts w:asciiTheme="minorHAnsi" w:hAnsiTheme="minorHAnsi" w:cs="Times New Roman"/>
                <w:b/>
                <w:i w:val="0"/>
                <w:color w:val="000000" w:themeColor="text1"/>
                <w:szCs w:val="22"/>
              </w:rPr>
              <w:t>Welcome Address</w:t>
            </w:r>
            <w:r w:rsidR="008911EF">
              <w:rPr>
                <w:rFonts w:asciiTheme="minorHAnsi" w:hAnsiTheme="minorHAnsi" w:cs="Times New Roman"/>
                <w:b/>
                <w:i w:val="0"/>
                <w:color w:val="000000" w:themeColor="text1"/>
                <w:szCs w:val="22"/>
              </w:rPr>
              <w:t xml:space="preserve"> and Opening of the Asia Pro Bono Exchange</w:t>
            </w:r>
          </w:p>
        </w:tc>
      </w:tr>
      <w:tr w:rsidR="008721AB" w:rsidRPr="002D20C2" w:rsidTr="002D20C2">
        <w:trPr>
          <w:trHeight w:val="280"/>
        </w:trPr>
        <w:tc>
          <w:tcPr>
            <w:tcW w:w="1122" w:type="dxa"/>
          </w:tcPr>
          <w:p w:rsidR="008721AB" w:rsidRPr="002D20C2" w:rsidRDefault="008721AB" w:rsidP="008911EF">
            <w:pPr>
              <w:rPr>
                <w:rFonts w:eastAsia="Times New Roman" w:cs="Times New Roman"/>
                <w:color w:val="000000"/>
              </w:rPr>
            </w:pPr>
            <w:r w:rsidRPr="002D20C2">
              <w:rPr>
                <w:rFonts w:eastAsia="Times New Roman" w:cs="Times New Roman"/>
                <w:color w:val="000000"/>
              </w:rPr>
              <w:t>9:</w:t>
            </w:r>
            <w:r w:rsidR="008911EF">
              <w:rPr>
                <w:rFonts w:eastAsia="Times New Roman" w:cs="Times New Roman"/>
                <w:color w:val="000000"/>
              </w:rPr>
              <w:t>00</w:t>
            </w:r>
            <w:r w:rsidRPr="002D20C2">
              <w:rPr>
                <w:rFonts w:eastAsia="Times New Roman" w:cs="Times New Roman"/>
                <w:color w:val="000000"/>
              </w:rPr>
              <w:t>am-11:00am</w:t>
            </w:r>
          </w:p>
        </w:tc>
        <w:tc>
          <w:tcPr>
            <w:tcW w:w="9156" w:type="dxa"/>
          </w:tcPr>
          <w:p w:rsidR="002D20C2" w:rsidRPr="002D20C2" w:rsidRDefault="008721AB" w:rsidP="002D20C2">
            <w:pPr>
              <w:spacing w:line="301" w:lineRule="atLeast"/>
              <w:ind w:left="-110"/>
              <w:textAlignment w:val="baseline"/>
              <w:rPr>
                <w:rFonts w:eastAsia="Times New Roman" w:cs="Arial"/>
                <w:b/>
                <w:bCs/>
              </w:rPr>
            </w:pPr>
            <w:r w:rsidRPr="002D20C2">
              <w:rPr>
                <w:rFonts w:cs="Tahoma"/>
                <w:b/>
                <w:color w:val="000000"/>
                <w:u w:val="single"/>
                <w:shd w:val="clear" w:color="auto" w:fill="FFFFFF"/>
              </w:rPr>
              <w:t>Session</w:t>
            </w:r>
            <w:r w:rsidRPr="002D20C2">
              <w:rPr>
                <w:rFonts w:cs="Tahoma"/>
                <w:b/>
                <w:u w:val="single"/>
                <w:shd w:val="clear" w:color="auto" w:fill="FFFFFF"/>
              </w:rPr>
              <w:t xml:space="preserve"> I</w:t>
            </w:r>
            <w:r w:rsidRPr="002D20C2">
              <w:rPr>
                <w:rFonts w:cs="Tahoma"/>
                <w:b/>
                <w:shd w:val="clear" w:color="auto" w:fill="FFFFFF"/>
              </w:rPr>
              <w:t>: </w:t>
            </w:r>
            <w:r w:rsidR="002D20C2" w:rsidRPr="002D20C2">
              <w:rPr>
                <w:rFonts w:eastAsia="Times New Roman" w:cs="Arial"/>
              </w:rPr>
              <w:t> </w:t>
            </w:r>
            <w:r w:rsidR="002D20C2" w:rsidRPr="002D20C2">
              <w:rPr>
                <w:rFonts w:eastAsia="Times New Roman" w:cs="Arial"/>
                <w:b/>
                <w:bCs/>
              </w:rPr>
              <w:t>Transitional Justice: </w:t>
            </w:r>
          </w:p>
          <w:p w:rsidR="008721AB" w:rsidRDefault="002D20C2" w:rsidP="002D20C2">
            <w:pPr>
              <w:spacing w:line="301" w:lineRule="atLeast"/>
              <w:ind w:left="-110"/>
              <w:textAlignment w:val="baseline"/>
              <w:rPr>
                <w:rFonts w:eastAsia="Times New Roman" w:cs="Arial"/>
                <w:color w:val="2B2B2B"/>
              </w:rPr>
            </w:pPr>
            <w:r w:rsidRPr="002D20C2">
              <w:rPr>
                <w:rFonts w:eastAsia="Times New Roman" w:cs="Arial"/>
                <w:color w:val="2B2B2B"/>
              </w:rPr>
              <w:t xml:space="preserve">In this session we will introduce the transitional justice framework and how it is applied, and explore some of the challenges in the region through a TJ lens and AJAR’s work. Mechanisms such as the International Criminal Court, hybrid courts, national courts, truth and reconciliation commissions, civil society led initiatives, reparations programs for victims and reform programs will be explored drawing on specific regional experiences and examples of the transitions in in Indonesia, Timor </w:t>
            </w:r>
            <w:proofErr w:type="spellStart"/>
            <w:r w:rsidRPr="002D20C2">
              <w:rPr>
                <w:rFonts w:eastAsia="Times New Roman" w:cs="Arial"/>
                <w:color w:val="2B2B2B"/>
              </w:rPr>
              <w:t>Leste</w:t>
            </w:r>
            <w:proofErr w:type="spellEnd"/>
            <w:r w:rsidRPr="002D20C2">
              <w:rPr>
                <w:rFonts w:eastAsia="Times New Roman" w:cs="Arial"/>
                <w:color w:val="2B2B2B"/>
              </w:rPr>
              <w:t>, Sri Lanka, Cambodia and Myanmar.</w:t>
            </w:r>
          </w:p>
          <w:p w:rsidR="002D20C2" w:rsidRPr="002D20C2" w:rsidRDefault="002D20C2" w:rsidP="002D20C2">
            <w:pPr>
              <w:spacing w:line="301" w:lineRule="atLeast"/>
              <w:ind w:left="-110"/>
              <w:textAlignment w:val="baseline"/>
              <w:rPr>
                <w:rFonts w:cs="Times New Roman"/>
                <w:color w:val="000000" w:themeColor="text1"/>
              </w:rPr>
            </w:pPr>
          </w:p>
        </w:tc>
      </w:tr>
      <w:tr w:rsidR="008721AB" w:rsidRPr="002D20C2" w:rsidTr="002D20C2">
        <w:trPr>
          <w:trHeight w:val="280"/>
        </w:trPr>
        <w:tc>
          <w:tcPr>
            <w:tcW w:w="1122" w:type="dxa"/>
          </w:tcPr>
          <w:p w:rsidR="008721AB" w:rsidRPr="002D20C2" w:rsidRDefault="008721AB" w:rsidP="00AA0A7F">
            <w:pPr>
              <w:rPr>
                <w:rFonts w:eastAsia="Times New Roman" w:cs="Times New Roman"/>
                <w:color w:val="000000"/>
              </w:rPr>
            </w:pPr>
            <w:r w:rsidRPr="002D20C2">
              <w:rPr>
                <w:rFonts w:eastAsia="Times New Roman" w:cs="Times New Roman"/>
                <w:color w:val="000000"/>
              </w:rPr>
              <w:t>11:00am-11:30am</w:t>
            </w:r>
          </w:p>
        </w:tc>
        <w:tc>
          <w:tcPr>
            <w:tcW w:w="9156" w:type="dxa"/>
          </w:tcPr>
          <w:p w:rsidR="008721AB" w:rsidRPr="002D20C2" w:rsidRDefault="008721AB" w:rsidP="00830D64">
            <w:pPr>
              <w:rPr>
                <w:rFonts w:eastAsia="Times New Roman" w:cs="Times New Roman"/>
                <w:b/>
                <w:color w:val="000000" w:themeColor="text1"/>
              </w:rPr>
            </w:pPr>
            <w:r w:rsidRPr="002D20C2">
              <w:rPr>
                <w:rFonts w:eastAsia="Times New Roman" w:cs="Times New Roman"/>
                <w:b/>
                <w:color w:val="000000" w:themeColor="text1"/>
              </w:rPr>
              <w:t>Morning Refreshment</w:t>
            </w:r>
          </w:p>
        </w:tc>
      </w:tr>
      <w:tr w:rsidR="008721AB" w:rsidRPr="002D20C2" w:rsidTr="002D20C2">
        <w:trPr>
          <w:trHeight w:val="1591"/>
        </w:trPr>
        <w:tc>
          <w:tcPr>
            <w:tcW w:w="1122" w:type="dxa"/>
          </w:tcPr>
          <w:p w:rsidR="008721AB" w:rsidRPr="002D20C2" w:rsidRDefault="008721AB" w:rsidP="00AA0A7F">
            <w:pPr>
              <w:rPr>
                <w:rFonts w:eastAsia="Times New Roman" w:cs="Times New Roman"/>
                <w:color w:val="000000"/>
              </w:rPr>
            </w:pPr>
            <w:r w:rsidRPr="002D20C2">
              <w:rPr>
                <w:rFonts w:eastAsia="Times New Roman" w:cs="Times New Roman"/>
                <w:color w:val="000000"/>
              </w:rPr>
              <w:t>11:30am-12:30pm</w:t>
            </w:r>
          </w:p>
        </w:tc>
        <w:tc>
          <w:tcPr>
            <w:tcW w:w="9156" w:type="dxa"/>
          </w:tcPr>
          <w:p w:rsidR="002D20C2" w:rsidRPr="002D20C2" w:rsidRDefault="008721AB" w:rsidP="002D20C2">
            <w:pPr>
              <w:spacing w:line="301" w:lineRule="atLeast"/>
              <w:ind w:left="-110"/>
              <w:textAlignment w:val="baseline"/>
              <w:rPr>
                <w:rFonts w:eastAsia="Times New Roman" w:cs="Arial"/>
                <w:b/>
                <w:bCs/>
                <w:color w:val="2B2B2B"/>
              </w:rPr>
            </w:pPr>
            <w:r w:rsidRPr="002D20C2">
              <w:rPr>
                <w:rFonts w:cs="Tahoma"/>
                <w:b/>
                <w:color w:val="000000"/>
                <w:u w:val="single"/>
                <w:shd w:val="clear" w:color="auto" w:fill="FFFFFF"/>
              </w:rPr>
              <w:t>Session II</w:t>
            </w:r>
            <w:r w:rsidRPr="002D20C2">
              <w:rPr>
                <w:rFonts w:cs="Tahoma"/>
                <w:b/>
                <w:color w:val="000000"/>
                <w:shd w:val="clear" w:color="auto" w:fill="FFFFFF"/>
              </w:rPr>
              <w:t>: </w:t>
            </w:r>
            <w:r w:rsidR="002D20C2" w:rsidRPr="002D20C2">
              <w:rPr>
                <w:rFonts w:eastAsia="Times New Roman" w:cs="Arial"/>
                <w:b/>
                <w:bCs/>
              </w:rPr>
              <w:t>Gender Based Violence:</w:t>
            </w:r>
            <w:r w:rsidR="002D20C2" w:rsidRPr="002D20C2">
              <w:rPr>
                <w:rFonts w:eastAsia="Times New Roman" w:cs="Arial"/>
                <w:b/>
                <w:bCs/>
                <w:color w:val="2B2B2B"/>
              </w:rPr>
              <w:t> </w:t>
            </w:r>
          </w:p>
          <w:p w:rsidR="008721AB" w:rsidRDefault="002D20C2" w:rsidP="002D20C2">
            <w:pPr>
              <w:spacing w:line="301" w:lineRule="atLeast"/>
              <w:ind w:left="-110"/>
              <w:textAlignment w:val="baseline"/>
              <w:rPr>
                <w:rFonts w:eastAsia="Times New Roman" w:cs="Arial"/>
                <w:color w:val="2B2B2B"/>
              </w:rPr>
            </w:pPr>
            <w:r w:rsidRPr="002D20C2">
              <w:rPr>
                <w:rFonts w:eastAsia="Times New Roman" w:cs="Arial"/>
                <w:color w:val="2B2B2B"/>
              </w:rPr>
              <w:t xml:space="preserve">This session will explore the approaches that can be taken to address mass gender-based violations, including AJAR’s recent </w:t>
            </w:r>
            <w:proofErr w:type="spellStart"/>
            <w:r w:rsidRPr="002D20C2">
              <w:rPr>
                <w:rFonts w:eastAsia="Times New Roman" w:cs="Arial"/>
                <w:color w:val="2B2B2B"/>
              </w:rPr>
              <w:t>multi year</w:t>
            </w:r>
            <w:proofErr w:type="spellEnd"/>
            <w:r w:rsidRPr="002D20C2">
              <w:rPr>
                <w:rFonts w:eastAsia="Times New Roman" w:cs="Arial"/>
                <w:color w:val="2B2B2B"/>
              </w:rPr>
              <w:t xml:space="preserve"> program in four Asian countries. This will include an introduction to a range tools developed to assist in working with victims of gender based violations and examples drawn from helping to build women victim’s networks in Indonesia, Timor </w:t>
            </w:r>
            <w:proofErr w:type="spellStart"/>
            <w:r w:rsidRPr="002D20C2">
              <w:rPr>
                <w:rFonts w:eastAsia="Times New Roman" w:cs="Arial"/>
                <w:color w:val="2B2B2B"/>
              </w:rPr>
              <w:t>Leste</w:t>
            </w:r>
            <w:proofErr w:type="spellEnd"/>
            <w:r w:rsidRPr="002D20C2">
              <w:rPr>
                <w:rFonts w:eastAsia="Times New Roman" w:cs="Arial"/>
                <w:color w:val="2B2B2B"/>
              </w:rPr>
              <w:t>, Myanmar and Sri Lanka.</w:t>
            </w:r>
          </w:p>
          <w:p w:rsidR="002D20C2" w:rsidRPr="002D20C2" w:rsidRDefault="002D20C2" w:rsidP="002D20C2">
            <w:pPr>
              <w:spacing w:line="301" w:lineRule="atLeast"/>
              <w:ind w:left="-110"/>
              <w:textAlignment w:val="baseline"/>
              <w:rPr>
                <w:rFonts w:cs="Tahoma"/>
                <w:color w:val="000000"/>
              </w:rPr>
            </w:pPr>
          </w:p>
        </w:tc>
      </w:tr>
      <w:tr w:rsidR="008721AB" w:rsidRPr="002D20C2" w:rsidTr="002D20C2">
        <w:trPr>
          <w:trHeight w:val="280"/>
        </w:trPr>
        <w:tc>
          <w:tcPr>
            <w:tcW w:w="1122" w:type="dxa"/>
          </w:tcPr>
          <w:p w:rsidR="008721AB" w:rsidRPr="002D20C2" w:rsidRDefault="008721AB" w:rsidP="008721AB">
            <w:pPr>
              <w:rPr>
                <w:rFonts w:eastAsia="Times New Roman" w:cs="Times New Roman"/>
                <w:color w:val="000000"/>
              </w:rPr>
            </w:pPr>
            <w:r w:rsidRPr="002D20C2">
              <w:rPr>
                <w:rFonts w:eastAsia="Times New Roman" w:cs="Times New Roman"/>
                <w:color w:val="000000"/>
              </w:rPr>
              <w:t>12:30pm–1:30pm</w:t>
            </w:r>
          </w:p>
        </w:tc>
        <w:tc>
          <w:tcPr>
            <w:tcW w:w="9156" w:type="dxa"/>
          </w:tcPr>
          <w:p w:rsidR="008721AB" w:rsidRPr="002D20C2" w:rsidRDefault="008721AB" w:rsidP="00F676C4">
            <w:pPr>
              <w:rPr>
                <w:rFonts w:eastAsia="Times New Roman" w:cs="Times New Roman"/>
                <w:b/>
                <w:color w:val="000000" w:themeColor="text1"/>
              </w:rPr>
            </w:pPr>
            <w:r w:rsidRPr="002D20C2">
              <w:rPr>
                <w:rFonts w:eastAsia="Times New Roman" w:cs="Times New Roman"/>
                <w:b/>
                <w:color w:val="000000" w:themeColor="text1"/>
              </w:rPr>
              <w:t>Lunch</w:t>
            </w:r>
          </w:p>
        </w:tc>
      </w:tr>
      <w:tr w:rsidR="008721AB" w:rsidRPr="001F521A" w:rsidTr="002D20C2">
        <w:trPr>
          <w:trHeight w:val="280"/>
        </w:trPr>
        <w:tc>
          <w:tcPr>
            <w:tcW w:w="1122" w:type="dxa"/>
          </w:tcPr>
          <w:p w:rsidR="008721AB" w:rsidRPr="002D20C2" w:rsidRDefault="00785D41" w:rsidP="00A1736C">
            <w:pPr>
              <w:rPr>
                <w:rFonts w:eastAsia="Times New Roman" w:cs="Times New Roman"/>
                <w:color w:val="000000"/>
              </w:rPr>
            </w:pPr>
            <w:r>
              <w:rPr>
                <w:rFonts w:eastAsia="Times New Roman" w:cs="Times New Roman"/>
                <w:color w:val="000000"/>
              </w:rPr>
              <w:t>1:30pm- 3:15</w:t>
            </w:r>
            <w:r w:rsidR="008721AB" w:rsidRPr="002D20C2">
              <w:rPr>
                <w:rFonts w:eastAsia="Times New Roman" w:cs="Times New Roman"/>
                <w:color w:val="000000"/>
              </w:rPr>
              <w:t xml:space="preserve"> pm</w:t>
            </w:r>
          </w:p>
        </w:tc>
        <w:tc>
          <w:tcPr>
            <w:tcW w:w="9156" w:type="dxa"/>
          </w:tcPr>
          <w:p w:rsidR="002D20C2" w:rsidRPr="00785D41" w:rsidRDefault="008911EF" w:rsidP="008911EF">
            <w:pPr>
              <w:pStyle w:val="NormalWeb"/>
              <w:spacing w:before="0" w:beforeAutospacing="0" w:after="0" w:afterAutospacing="0"/>
              <w:ind w:left="-110"/>
              <w:rPr>
                <w:rFonts w:asciiTheme="minorHAnsi" w:hAnsiTheme="minorHAnsi" w:cs="Tahoma"/>
                <w:b/>
                <w:color w:val="000000"/>
                <w:sz w:val="22"/>
                <w:szCs w:val="22"/>
                <w:u w:val="single"/>
              </w:rPr>
            </w:pPr>
            <w:r w:rsidRPr="008911EF">
              <w:rPr>
                <w:rFonts w:asciiTheme="minorHAnsi" w:hAnsiTheme="minorHAnsi" w:cs="Tahoma"/>
                <w:b/>
                <w:color w:val="000000"/>
                <w:sz w:val="22"/>
                <w:szCs w:val="22"/>
                <w:u w:val="single"/>
              </w:rPr>
              <w:t>Session III:</w:t>
            </w:r>
            <w:r>
              <w:rPr>
                <w:rFonts w:asciiTheme="minorHAnsi" w:hAnsiTheme="minorHAnsi" w:cs="Tahoma"/>
                <w:b/>
                <w:color w:val="000000"/>
                <w:sz w:val="22"/>
                <w:szCs w:val="22"/>
                <w:u w:val="single"/>
              </w:rPr>
              <w:t xml:space="preserve"> </w:t>
            </w:r>
            <w:r w:rsidR="00785D41">
              <w:rPr>
                <w:rFonts w:asciiTheme="minorHAnsi" w:hAnsiTheme="minorHAnsi" w:cs="Tahoma"/>
                <w:b/>
                <w:color w:val="000000"/>
                <w:sz w:val="22"/>
                <w:szCs w:val="22"/>
                <w:u w:val="single"/>
              </w:rPr>
              <w:t xml:space="preserve">Cooperation between United </w:t>
            </w:r>
            <w:r w:rsidR="0058445A">
              <w:rPr>
                <w:rFonts w:asciiTheme="minorHAnsi" w:hAnsiTheme="minorHAnsi" w:cs="Tahoma"/>
                <w:b/>
                <w:color w:val="000000"/>
                <w:sz w:val="22"/>
                <w:szCs w:val="22"/>
                <w:u w:val="single"/>
              </w:rPr>
              <w:t xml:space="preserve">Nations </w:t>
            </w:r>
            <w:proofErr w:type="gramStart"/>
            <w:r w:rsidR="0058445A">
              <w:rPr>
                <w:rFonts w:asciiTheme="minorHAnsi" w:hAnsiTheme="minorHAnsi" w:cs="Tahoma"/>
                <w:b/>
                <w:color w:val="000000"/>
                <w:sz w:val="22"/>
                <w:szCs w:val="22"/>
                <w:u w:val="single"/>
              </w:rPr>
              <w:t>and</w:t>
            </w:r>
            <w:r w:rsidR="00785D41" w:rsidRPr="00785D41">
              <w:rPr>
                <w:rFonts w:asciiTheme="minorHAnsi" w:hAnsiTheme="minorHAnsi" w:cs="Tahoma"/>
                <w:b/>
                <w:color w:val="000000"/>
                <w:sz w:val="22"/>
                <w:szCs w:val="22"/>
                <w:u w:val="single"/>
              </w:rPr>
              <w:t xml:space="preserve"> </w:t>
            </w:r>
            <w:r w:rsidR="00A05234" w:rsidRPr="00785D41">
              <w:rPr>
                <w:rFonts w:asciiTheme="minorHAnsi" w:hAnsiTheme="minorHAnsi" w:cs="Tahoma"/>
                <w:b/>
                <w:color w:val="000000"/>
                <w:sz w:val="22"/>
                <w:szCs w:val="22"/>
                <w:u w:val="single"/>
              </w:rPr>
              <w:t xml:space="preserve"> Regional</w:t>
            </w:r>
            <w:proofErr w:type="gramEnd"/>
            <w:r w:rsidR="00A05234" w:rsidRPr="00785D41">
              <w:rPr>
                <w:rFonts w:asciiTheme="minorHAnsi" w:hAnsiTheme="minorHAnsi" w:cs="Tahoma"/>
                <w:b/>
                <w:color w:val="000000"/>
                <w:sz w:val="22"/>
                <w:szCs w:val="22"/>
                <w:u w:val="single"/>
              </w:rPr>
              <w:t xml:space="preserve"> Human Rights Mechanisms</w:t>
            </w:r>
            <w:r w:rsidR="00785D41">
              <w:rPr>
                <w:rFonts w:asciiTheme="minorHAnsi" w:hAnsiTheme="minorHAnsi" w:cs="Tahoma"/>
                <w:b/>
                <w:color w:val="000000"/>
                <w:sz w:val="22"/>
                <w:szCs w:val="22"/>
                <w:u w:val="single"/>
              </w:rPr>
              <w:t>(RHRMs)</w:t>
            </w:r>
            <w:r w:rsidR="00A05234" w:rsidRPr="00785D41">
              <w:rPr>
                <w:rFonts w:asciiTheme="minorHAnsi" w:hAnsiTheme="minorHAnsi" w:cs="Tahoma"/>
                <w:b/>
                <w:color w:val="000000"/>
                <w:sz w:val="22"/>
                <w:szCs w:val="22"/>
                <w:u w:val="single"/>
              </w:rPr>
              <w:t xml:space="preserve"> </w:t>
            </w:r>
            <w:r w:rsidR="00785D41" w:rsidRPr="00785D41">
              <w:rPr>
                <w:rFonts w:asciiTheme="minorHAnsi" w:hAnsiTheme="minorHAnsi" w:cs="Tahoma"/>
                <w:b/>
                <w:color w:val="000000"/>
                <w:sz w:val="22"/>
                <w:szCs w:val="22"/>
                <w:u w:val="single"/>
              </w:rPr>
              <w:t xml:space="preserve">, civil society </w:t>
            </w:r>
            <w:r w:rsidR="00785D41">
              <w:rPr>
                <w:rFonts w:asciiTheme="minorHAnsi" w:hAnsiTheme="minorHAnsi" w:cs="Tahoma"/>
                <w:b/>
                <w:color w:val="000000"/>
                <w:sz w:val="22"/>
                <w:szCs w:val="22"/>
                <w:u w:val="single"/>
              </w:rPr>
              <w:t>organisations (CSOs)</w:t>
            </w:r>
            <w:r w:rsidR="00785D41" w:rsidRPr="00785D41">
              <w:rPr>
                <w:rFonts w:asciiTheme="minorHAnsi" w:hAnsiTheme="minorHAnsi" w:cs="Tahoma"/>
                <w:b/>
                <w:color w:val="000000"/>
                <w:sz w:val="22"/>
                <w:szCs w:val="22"/>
                <w:u w:val="single"/>
              </w:rPr>
              <w:t>and human rights defenders</w:t>
            </w:r>
            <w:r w:rsidR="00785D41">
              <w:rPr>
                <w:rFonts w:asciiTheme="minorHAnsi" w:hAnsiTheme="minorHAnsi" w:cs="Tahoma"/>
                <w:b/>
                <w:color w:val="000000"/>
                <w:sz w:val="22"/>
                <w:szCs w:val="22"/>
                <w:u w:val="single"/>
              </w:rPr>
              <w:t xml:space="preserve"> (HRDs)</w:t>
            </w:r>
            <w:r w:rsidR="00785D41" w:rsidRPr="00785D41">
              <w:rPr>
                <w:rFonts w:asciiTheme="minorHAnsi" w:hAnsiTheme="minorHAnsi" w:cs="Tahoma"/>
                <w:b/>
                <w:color w:val="000000"/>
                <w:sz w:val="22"/>
                <w:szCs w:val="22"/>
                <w:u w:val="single"/>
              </w:rPr>
              <w:t>.</w:t>
            </w:r>
          </w:p>
          <w:p w:rsidR="00A05234" w:rsidRDefault="00A05234" w:rsidP="007A7D4D">
            <w:pPr>
              <w:pStyle w:val="NormalWeb"/>
              <w:spacing w:before="0" w:beforeAutospacing="0" w:after="0" w:afterAutospacing="0"/>
              <w:ind w:left="-110"/>
              <w:rPr>
                <w:rFonts w:asciiTheme="minorHAnsi" w:hAnsiTheme="minorHAnsi" w:cs="Tahoma"/>
                <w:color w:val="000000"/>
                <w:sz w:val="22"/>
                <w:szCs w:val="22"/>
              </w:rPr>
            </w:pPr>
            <w:r w:rsidRPr="00A05234">
              <w:rPr>
                <w:rFonts w:asciiTheme="minorHAnsi" w:hAnsiTheme="minorHAnsi" w:cs="Tahoma"/>
                <w:color w:val="000000"/>
                <w:sz w:val="22"/>
                <w:szCs w:val="22"/>
              </w:rPr>
              <w:lastRenderedPageBreak/>
              <w:t>This</w:t>
            </w:r>
            <w:r>
              <w:rPr>
                <w:rFonts w:asciiTheme="minorHAnsi" w:hAnsiTheme="minorHAnsi" w:cs="Tahoma"/>
                <w:color w:val="000000"/>
                <w:sz w:val="22"/>
                <w:szCs w:val="22"/>
              </w:rPr>
              <w:t xml:space="preserve"> session will</w:t>
            </w:r>
            <w:r w:rsidR="00785D41">
              <w:rPr>
                <w:rFonts w:asciiTheme="minorHAnsi" w:hAnsiTheme="minorHAnsi" w:cs="Tahoma"/>
                <w:color w:val="000000"/>
                <w:sz w:val="22"/>
                <w:szCs w:val="22"/>
              </w:rPr>
              <w:t xml:space="preserve"> provide an overview of the UN and RHRMs and how CSOs and HRDs can cooperate with them, a specific </w:t>
            </w:r>
            <w:r w:rsidR="0058445A">
              <w:rPr>
                <w:rFonts w:asciiTheme="minorHAnsi" w:hAnsiTheme="minorHAnsi" w:cs="Tahoma"/>
                <w:color w:val="000000"/>
                <w:sz w:val="22"/>
                <w:szCs w:val="22"/>
              </w:rPr>
              <w:t>focus on</w:t>
            </w:r>
            <w:r>
              <w:rPr>
                <w:rFonts w:asciiTheme="minorHAnsi" w:hAnsiTheme="minorHAnsi" w:cs="Tahoma"/>
                <w:color w:val="000000"/>
                <w:sz w:val="22"/>
                <w:szCs w:val="22"/>
              </w:rPr>
              <w:t xml:space="preserve"> how lawyers could assist victims accessing</w:t>
            </w:r>
            <w:r w:rsidR="00785D41">
              <w:rPr>
                <w:rFonts w:asciiTheme="minorHAnsi" w:hAnsiTheme="minorHAnsi" w:cs="Tahoma"/>
                <w:color w:val="000000"/>
                <w:sz w:val="22"/>
                <w:szCs w:val="22"/>
              </w:rPr>
              <w:t xml:space="preserve"> the human rights system in relation to prevailing human rights challenges in the region</w:t>
            </w:r>
            <w:r w:rsidR="00BF4FC6">
              <w:rPr>
                <w:rFonts w:asciiTheme="minorHAnsi" w:hAnsiTheme="minorHAnsi" w:cs="Tahoma"/>
                <w:color w:val="000000"/>
                <w:sz w:val="22"/>
                <w:szCs w:val="22"/>
              </w:rPr>
              <w:t>.</w:t>
            </w:r>
            <w:bookmarkStart w:id="0" w:name="_GoBack"/>
            <w:bookmarkEnd w:id="0"/>
            <w:r>
              <w:rPr>
                <w:rFonts w:asciiTheme="minorHAnsi" w:hAnsiTheme="minorHAnsi" w:cs="Tahoma"/>
                <w:color w:val="000000"/>
                <w:sz w:val="22"/>
                <w:szCs w:val="22"/>
              </w:rPr>
              <w:t xml:space="preserve"> </w:t>
            </w:r>
            <w:r w:rsidR="00785D41">
              <w:rPr>
                <w:rFonts w:asciiTheme="minorHAnsi" w:hAnsiTheme="minorHAnsi" w:cs="Tahoma"/>
                <w:color w:val="000000"/>
                <w:sz w:val="22"/>
                <w:szCs w:val="22"/>
              </w:rPr>
              <w:t xml:space="preserve">Participants will </w:t>
            </w:r>
            <w:r w:rsidR="00022A23">
              <w:rPr>
                <w:rFonts w:asciiTheme="minorHAnsi" w:hAnsiTheme="minorHAnsi" w:cs="Tahoma"/>
                <w:color w:val="000000"/>
                <w:sz w:val="22"/>
                <w:szCs w:val="22"/>
              </w:rPr>
              <w:t>share best practices, challenges, lessons learnt and identify new forms of cooperation.</w:t>
            </w:r>
          </w:p>
          <w:p w:rsidR="00785D41" w:rsidRDefault="00785D41" w:rsidP="007A7D4D">
            <w:pPr>
              <w:pStyle w:val="NormalWeb"/>
              <w:spacing w:before="0" w:beforeAutospacing="0" w:after="0" w:afterAutospacing="0"/>
              <w:ind w:left="-110"/>
              <w:rPr>
                <w:rFonts w:asciiTheme="minorHAnsi" w:hAnsiTheme="minorHAnsi" w:cs="Tahoma"/>
                <w:color w:val="000000"/>
                <w:sz w:val="22"/>
                <w:szCs w:val="22"/>
              </w:rPr>
            </w:pPr>
          </w:p>
          <w:p w:rsidR="00785D41" w:rsidRDefault="00022A23" w:rsidP="00785D41">
            <w:pPr>
              <w:pStyle w:val="NormalWeb"/>
              <w:numPr>
                <w:ilvl w:val="0"/>
                <w:numId w:val="38"/>
              </w:numPr>
              <w:spacing w:before="0" w:beforeAutospacing="0" w:after="0" w:afterAutospacing="0"/>
              <w:rPr>
                <w:rFonts w:asciiTheme="minorHAnsi" w:hAnsiTheme="minorHAnsi" w:cs="Tahoma"/>
                <w:color w:val="000000"/>
                <w:sz w:val="22"/>
                <w:szCs w:val="22"/>
              </w:rPr>
            </w:pPr>
            <w:r w:rsidRPr="00785D41">
              <w:rPr>
                <w:rFonts w:asciiTheme="minorHAnsi" w:hAnsiTheme="minorHAnsi" w:cs="Tahoma"/>
                <w:color w:val="000000"/>
                <w:sz w:val="22"/>
                <w:szCs w:val="22"/>
              </w:rPr>
              <w:t xml:space="preserve">Introductory </w:t>
            </w:r>
            <w:r w:rsidR="001F521A" w:rsidRPr="00785D41">
              <w:rPr>
                <w:rFonts w:asciiTheme="minorHAnsi" w:hAnsiTheme="minorHAnsi" w:cs="Tahoma"/>
                <w:color w:val="000000"/>
                <w:sz w:val="22"/>
                <w:szCs w:val="22"/>
              </w:rPr>
              <w:t>statement OHCHR</w:t>
            </w:r>
            <w:r w:rsidR="00785D41" w:rsidRPr="00785D41">
              <w:rPr>
                <w:rFonts w:asciiTheme="minorHAnsi" w:hAnsiTheme="minorHAnsi" w:cs="Tahoma"/>
                <w:color w:val="000000"/>
                <w:sz w:val="22"/>
                <w:szCs w:val="22"/>
              </w:rPr>
              <w:t xml:space="preserve"> (5</w:t>
            </w:r>
            <w:r w:rsidRPr="00785D41">
              <w:rPr>
                <w:rFonts w:asciiTheme="minorHAnsi" w:hAnsiTheme="minorHAnsi" w:cs="Tahoma"/>
                <w:color w:val="000000"/>
                <w:sz w:val="22"/>
                <w:szCs w:val="22"/>
              </w:rPr>
              <w:t xml:space="preserve"> </w:t>
            </w:r>
            <w:proofErr w:type="spellStart"/>
            <w:r w:rsidRPr="00785D41">
              <w:rPr>
                <w:rFonts w:asciiTheme="minorHAnsi" w:hAnsiTheme="minorHAnsi" w:cs="Tahoma"/>
                <w:color w:val="000000"/>
                <w:sz w:val="22"/>
                <w:szCs w:val="22"/>
              </w:rPr>
              <w:t>mins</w:t>
            </w:r>
            <w:proofErr w:type="spellEnd"/>
            <w:r w:rsidR="00785D41">
              <w:rPr>
                <w:rFonts w:asciiTheme="minorHAnsi" w:hAnsiTheme="minorHAnsi" w:cs="Tahoma"/>
                <w:color w:val="000000"/>
                <w:sz w:val="22"/>
                <w:szCs w:val="22"/>
              </w:rPr>
              <w:t>)</w:t>
            </w:r>
          </w:p>
          <w:p w:rsidR="00785D41" w:rsidRDefault="00785D41" w:rsidP="00785D41">
            <w:pPr>
              <w:pStyle w:val="NormalWeb"/>
              <w:spacing w:before="0" w:beforeAutospacing="0" w:after="0" w:afterAutospacing="0"/>
              <w:ind w:left="250"/>
              <w:rPr>
                <w:rFonts w:asciiTheme="minorHAnsi" w:hAnsiTheme="minorHAnsi" w:cs="Tahoma"/>
                <w:color w:val="000000"/>
                <w:sz w:val="22"/>
                <w:szCs w:val="22"/>
              </w:rPr>
            </w:pPr>
          </w:p>
          <w:p w:rsidR="00022A23" w:rsidRPr="00785D41" w:rsidRDefault="001F521A" w:rsidP="00785D41">
            <w:pPr>
              <w:pStyle w:val="NormalWeb"/>
              <w:numPr>
                <w:ilvl w:val="0"/>
                <w:numId w:val="38"/>
              </w:numPr>
              <w:spacing w:before="0" w:beforeAutospacing="0" w:after="0" w:afterAutospacing="0"/>
              <w:rPr>
                <w:rFonts w:asciiTheme="minorHAnsi" w:hAnsiTheme="minorHAnsi" w:cs="Tahoma"/>
                <w:color w:val="000000"/>
                <w:sz w:val="22"/>
                <w:szCs w:val="22"/>
              </w:rPr>
            </w:pPr>
            <w:r w:rsidRPr="00785D41">
              <w:rPr>
                <w:rFonts w:asciiTheme="minorHAnsi" w:hAnsiTheme="minorHAnsi" w:cs="Tahoma"/>
                <w:color w:val="000000"/>
                <w:sz w:val="22"/>
                <w:szCs w:val="22"/>
              </w:rPr>
              <w:t xml:space="preserve">Ms. </w:t>
            </w:r>
            <w:proofErr w:type="spellStart"/>
            <w:r w:rsidRPr="00785D41">
              <w:rPr>
                <w:rFonts w:asciiTheme="minorHAnsi" w:hAnsiTheme="minorHAnsi" w:cs="Tahoma"/>
                <w:color w:val="000000"/>
                <w:sz w:val="22"/>
                <w:szCs w:val="22"/>
              </w:rPr>
              <w:t>Heisoo</w:t>
            </w:r>
            <w:proofErr w:type="spellEnd"/>
            <w:r w:rsidRPr="00785D41">
              <w:rPr>
                <w:rFonts w:asciiTheme="minorHAnsi" w:hAnsiTheme="minorHAnsi" w:cs="Tahoma"/>
                <w:color w:val="000000"/>
                <w:sz w:val="22"/>
                <w:szCs w:val="22"/>
              </w:rPr>
              <w:t xml:space="preserve"> Shin,</w:t>
            </w:r>
            <w:r w:rsidR="0058445A">
              <w:rPr>
                <w:rFonts w:asciiTheme="minorHAnsi" w:hAnsiTheme="minorHAnsi" w:cs="Tahoma"/>
                <w:color w:val="000000"/>
                <w:sz w:val="22"/>
                <w:szCs w:val="22"/>
              </w:rPr>
              <w:t xml:space="preserve"> Member, </w:t>
            </w:r>
            <w:r w:rsidRPr="00785D41">
              <w:rPr>
                <w:rFonts w:asciiTheme="minorHAnsi" w:hAnsiTheme="minorHAnsi" w:cs="Tahoma"/>
                <w:color w:val="000000"/>
                <w:sz w:val="22"/>
                <w:szCs w:val="22"/>
              </w:rPr>
              <w:t>UN Committee on Economic Social and Cultural Rights (CESCR)-</w:t>
            </w:r>
          </w:p>
          <w:p w:rsidR="00785D41" w:rsidRDefault="001F521A" w:rsidP="00785D41">
            <w:pPr>
              <w:pStyle w:val="NormalWeb"/>
              <w:spacing w:before="0" w:beforeAutospacing="0" w:after="0" w:afterAutospacing="0"/>
              <w:ind w:left="250"/>
              <w:rPr>
                <w:rFonts w:ascii="Arial" w:hAnsi="Arial" w:cs="Arial"/>
                <w:i/>
                <w:sz w:val="20"/>
                <w:szCs w:val="20"/>
              </w:rPr>
            </w:pPr>
            <w:r w:rsidRPr="001F521A">
              <w:rPr>
                <w:rFonts w:ascii="Arial" w:hAnsi="Arial" w:cs="Arial"/>
                <w:i/>
                <w:sz w:val="20"/>
                <w:szCs w:val="20"/>
              </w:rPr>
              <w:t>Overview of the</w:t>
            </w:r>
            <w:r>
              <w:rPr>
                <w:rFonts w:ascii="Arial" w:hAnsi="Arial" w:cs="Arial"/>
                <w:i/>
                <w:sz w:val="20"/>
                <w:szCs w:val="20"/>
              </w:rPr>
              <w:t xml:space="preserve"> UN </w:t>
            </w:r>
            <w:r w:rsidR="0058445A">
              <w:rPr>
                <w:rFonts w:ascii="Arial" w:hAnsi="Arial" w:cs="Arial"/>
                <w:i/>
                <w:sz w:val="20"/>
                <w:szCs w:val="20"/>
              </w:rPr>
              <w:t xml:space="preserve"> treaty body system , </w:t>
            </w:r>
            <w:r w:rsidRPr="001F521A">
              <w:rPr>
                <w:rFonts w:ascii="Arial" w:hAnsi="Arial" w:cs="Arial"/>
                <w:i/>
                <w:sz w:val="20"/>
                <w:szCs w:val="20"/>
              </w:rPr>
              <w:t xml:space="preserve">and how CSOs and HRDs could engage with it, specific focus on the CESCR committee </w:t>
            </w:r>
            <w:r w:rsidR="00022A23">
              <w:rPr>
                <w:rFonts w:ascii="Arial" w:hAnsi="Arial" w:cs="Arial"/>
                <w:i/>
                <w:sz w:val="20"/>
                <w:szCs w:val="20"/>
              </w:rPr>
              <w:t>, cooperation with UN treaty bodies and  Regional organisations in Asia</w:t>
            </w:r>
            <w:r w:rsidR="00022A23" w:rsidRPr="001F521A">
              <w:rPr>
                <w:rFonts w:ascii="Arial" w:hAnsi="Arial" w:cs="Arial"/>
                <w:i/>
                <w:sz w:val="20"/>
                <w:szCs w:val="20"/>
              </w:rPr>
              <w:t xml:space="preserve"> </w:t>
            </w:r>
            <w:r w:rsidR="00022A23">
              <w:rPr>
                <w:rFonts w:ascii="Arial" w:hAnsi="Arial" w:cs="Arial"/>
                <w:i/>
                <w:sz w:val="20"/>
                <w:szCs w:val="20"/>
              </w:rPr>
              <w:t>(</w:t>
            </w:r>
            <w:r w:rsidR="00785D41">
              <w:rPr>
                <w:rFonts w:ascii="Arial" w:hAnsi="Arial" w:cs="Arial"/>
                <w:i/>
                <w:sz w:val="20"/>
                <w:szCs w:val="20"/>
              </w:rPr>
              <w:t>12</w:t>
            </w:r>
            <w:r w:rsidR="00022A23">
              <w:rPr>
                <w:rFonts w:ascii="Arial" w:hAnsi="Arial" w:cs="Arial"/>
                <w:i/>
                <w:sz w:val="20"/>
                <w:szCs w:val="20"/>
              </w:rPr>
              <w:t xml:space="preserve"> </w:t>
            </w:r>
            <w:proofErr w:type="spellStart"/>
            <w:r w:rsidR="00022A23">
              <w:rPr>
                <w:rFonts w:ascii="Arial" w:hAnsi="Arial" w:cs="Arial"/>
                <w:i/>
                <w:sz w:val="20"/>
                <w:szCs w:val="20"/>
              </w:rPr>
              <w:t>mins</w:t>
            </w:r>
            <w:proofErr w:type="spellEnd"/>
            <w:r w:rsidR="00022A23">
              <w:rPr>
                <w:rFonts w:ascii="Arial" w:hAnsi="Arial" w:cs="Arial"/>
                <w:i/>
                <w:sz w:val="20"/>
                <w:szCs w:val="20"/>
              </w:rPr>
              <w:t>)</w:t>
            </w:r>
          </w:p>
          <w:p w:rsidR="00785D41" w:rsidRDefault="00785D41" w:rsidP="00785D41">
            <w:pPr>
              <w:pStyle w:val="NormalWeb"/>
              <w:spacing w:before="0" w:beforeAutospacing="0" w:after="0" w:afterAutospacing="0"/>
              <w:ind w:left="-110"/>
              <w:rPr>
                <w:rFonts w:ascii="Arial" w:hAnsi="Arial" w:cs="Arial"/>
                <w:i/>
                <w:sz w:val="20"/>
                <w:szCs w:val="20"/>
              </w:rPr>
            </w:pPr>
          </w:p>
          <w:p w:rsidR="001F521A" w:rsidRPr="00785D41" w:rsidRDefault="001F521A" w:rsidP="00785D41">
            <w:pPr>
              <w:pStyle w:val="NormalWeb"/>
              <w:numPr>
                <w:ilvl w:val="0"/>
                <w:numId w:val="38"/>
              </w:numPr>
              <w:spacing w:before="0" w:beforeAutospacing="0" w:after="0" w:afterAutospacing="0"/>
              <w:rPr>
                <w:rFonts w:asciiTheme="minorHAnsi" w:hAnsiTheme="minorHAnsi" w:cs="Tahoma"/>
                <w:color w:val="000000"/>
                <w:sz w:val="22"/>
                <w:szCs w:val="22"/>
              </w:rPr>
            </w:pPr>
            <w:r w:rsidRPr="00785D41">
              <w:rPr>
                <w:rFonts w:asciiTheme="minorHAnsi" w:hAnsiTheme="minorHAnsi" w:cs="Tahoma"/>
                <w:color w:val="000000"/>
                <w:sz w:val="22"/>
                <w:szCs w:val="22"/>
              </w:rPr>
              <w:t xml:space="preserve">Ms. </w:t>
            </w:r>
            <w:proofErr w:type="spellStart"/>
            <w:r w:rsidRPr="00785D41">
              <w:rPr>
                <w:rFonts w:asciiTheme="minorHAnsi" w:hAnsiTheme="minorHAnsi" w:cs="Tahoma"/>
                <w:color w:val="000000"/>
                <w:sz w:val="22"/>
                <w:szCs w:val="22"/>
              </w:rPr>
              <w:t>Nahla</w:t>
            </w:r>
            <w:proofErr w:type="spellEnd"/>
            <w:r w:rsidRPr="00785D41">
              <w:rPr>
                <w:rFonts w:asciiTheme="minorHAnsi" w:hAnsiTheme="minorHAnsi" w:cs="Tahoma"/>
                <w:color w:val="000000"/>
                <w:sz w:val="22"/>
                <w:szCs w:val="22"/>
              </w:rPr>
              <w:t xml:space="preserve"> </w:t>
            </w:r>
            <w:proofErr w:type="spellStart"/>
            <w:r w:rsidRPr="00785D41">
              <w:rPr>
                <w:rFonts w:asciiTheme="minorHAnsi" w:hAnsiTheme="minorHAnsi" w:cs="Tahoma"/>
                <w:color w:val="000000"/>
                <w:sz w:val="22"/>
                <w:szCs w:val="22"/>
              </w:rPr>
              <w:t>Haidar</w:t>
            </w:r>
            <w:proofErr w:type="spellEnd"/>
            <w:r w:rsidRPr="00785D41">
              <w:rPr>
                <w:rFonts w:asciiTheme="minorHAnsi" w:hAnsiTheme="minorHAnsi" w:cs="Tahoma"/>
                <w:color w:val="000000"/>
                <w:sz w:val="22"/>
                <w:szCs w:val="22"/>
              </w:rPr>
              <w:t xml:space="preserve">, Member </w:t>
            </w:r>
            <w:r w:rsidR="0058445A">
              <w:rPr>
                <w:rFonts w:asciiTheme="minorHAnsi" w:hAnsiTheme="minorHAnsi" w:cs="Tahoma"/>
                <w:color w:val="000000"/>
                <w:sz w:val="22"/>
                <w:szCs w:val="22"/>
              </w:rPr>
              <w:t>,</w:t>
            </w:r>
            <w:r w:rsidRPr="00785D41">
              <w:rPr>
                <w:rFonts w:asciiTheme="minorHAnsi" w:hAnsiTheme="minorHAnsi" w:cs="Tahoma"/>
                <w:color w:val="000000"/>
                <w:sz w:val="22"/>
                <w:szCs w:val="22"/>
              </w:rPr>
              <w:t>UN Committee on Elimination of Discrimination Against Women(CEDAW)</w:t>
            </w:r>
            <w:r w:rsidRPr="00785D41">
              <w:rPr>
                <w:rFonts w:ascii="Arial" w:hAnsi="Arial" w:cs="Arial"/>
                <w:sz w:val="20"/>
                <w:szCs w:val="20"/>
              </w:rPr>
              <w:t xml:space="preserve"> </w:t>
            </w:r>
            <w:r w:rsidRPr="00785D41">
              <w:rPr>
                <w:rFonts w:ascii="Arial" w:hAnsi="Arial" w:cs="Arial"/>
                <w:i/>
                <w:sz w:val="20"/>
                <w:szCs w:val="20"/>
              </w:rPr>
              <w:t>How CSOs and HRDs could engage with</w:t>
            </w:r>
            <w:r w:rsidR="00022A23" w:rsidRPr="00785D41">
              <w:rPr>
                <w:rFonts w:ascii="Arial" w:hAnsi="Arial" w:cs="Arial"/>
                <w:i/>
                <w:sz w:val="20"/>
                <w:szCs w:val="20"/>
              </w:rPr>
              <w:t xml:space="preserve"> </w:t>
            </w:r>
            <w:r w:rsidRPr="00785D41">
              <w:rPr>
                <w:rFonts w:ascii="Arial" w:hAnsi="Arial" w:cs="Arial"/>
                <w:i/>
                <w:sz w:val="20"/>
                <w:szCs w:val="20"/>
              </w:rPr>
              <w:t>CEDAW</w:t>
            </w:r>
            <w:r w:rsidRPr="00785D41">
              <w:rPr>
                <w:rFonts w:ascii="Arial" w:hAnsi="Arial" w:cs="Arial"/>
                <w:sz w:val="20"/>
                <w:szCs w:val="20"/>
              </w:rPr>
              <w:t xml:space="preserve"> committee </w:t>
            </w:r>
            <w:r w:rsidR="00022A23" w:rsidRPr="00785D41">
              <w:rPr>
                <w:rFonts w:ascii="Arial" w:hAnsi="Arial" w:cs="Arial"/>
                <w:sz w:val="20"/>
                <w:szCs w:val="20"/>
              </w:rPr>
              <w:t xml:space="preserve"> and CEDAW cooperation with Asian regional organisations (</w:t>
            </w:r>
            <w:r w:rsidR="0058445A">
              <w:rPr>
                <w:rFonts w:ascii="Arial" w:hAnsi="Arial" w:cs="Arial"/>
                <w:sz w:val="20"/>
                <w:szCs w:val="20"/>
              </w:rPr>
              <w:t>10</w:t>
            </w:r>
            <w:r w:rsidR="00022A23" w:rsidRPr="00785D41">
              <w:rPr>
                <w:rFonts w:ascii="Arial" w:hAnsi="Arial" w:cs="Arial"/>
                <w:sz w:val="20"/>
                <w:szCs w:val="20"/>
              </w:rPr>
              <w:t xml:space="preserve"> </w:t>
            </w:r>
            <w:proofErr w:type="spellStart"/>
            <w:r w:rsidR="00022A23" w:rsidRPr="00785D41">
              <w:rPr>
                <w:rFonts w:ascii="Arial" w:hAnsi="Arial" w:cs="Arial"/>
                <w:sz w:val="20"/>
                <w:szCs w:val="20"/>
              </w:rPr>
              <w:t>mins</w:t>
            </w:r>
            <w:proofErr w:type="spellEnd"/>
            <w:r w:rsidR="00022A23" w:rsidRPr="00785D41">
              <w:rPr>
                <w:rFonts w:ascii="Arial" w:hAnsi="Arial" w:cs="Arial"/>
                <w:sz w:val="20"/>
                <w:szCs w:val="20"/>
              </w:rPr>
              <w:t>)</w:t>
            </w:r>
          </w:p>
          <w:p w:rsidR="00785D41" w:rsidRPr="00785D41" w:rsidRDefault="00785D41" w:rsidP="0058445A">
            <w:pPr>
              <w:pStyle w:val="NormalWeb"/>
              <w:spacing w:before="0" w:beforeAutospacing="0" w:after="0" w:afterAutospacing="0"/>
              <w:ind w:left="250"/>
              <w:rPr>
                <w:rFonts w:asciiTheme="minorHAnsi" w:hAnsiTheme="minorHAnsi" w:cs="Tahoma"/>
                <w:color w:val="000000"/>
                <w:sz w:val="22"/>
                <w:szCs w:val="22"/>
              </w:rPr>
            </w:pPr>
          </w:p>
          <w:p w:rsidR="001F521A" w:rsidRDefault="001F521A" w:rsidP="00785D41">
            <w:pPr>
              <w:pStyle w:val="NormalWeb"/>
              <w:numPr>
                <w:ilvl w:val="0"/>
                <w:numId w:val="38"/>
              </w:numPr>
              <w:spacing w:before="0" w:beforeAutospacing="0" w:after="0" w:afterAutospacing="0"/>
              <w:rPr>
                <w:rFonts w:asciiTheme="minorHAnsi" w:hAnsiTheme="minorHAnsi" w:cs="Tahoma"/>
                <w:color w:val="000000"/>
                <w:sz w:val="22"/>
                <w:szCs w:val="22"/>
              </w:rPr>
            </w:pPr>
            <w:r>
              <w:rPr>
                <w:rFonts w:asciiTheme="minorHAnsi" w:hAnsiTheme="minorHAnsi" w:cs="Tahoma"/>
                <w:color w:val="000000"/>
                <w:sz w:val="22"/>
                <w:szCs w:val="22"/>
              </w:rPr>
              <w:t xml:space="preserve">Mr. Tae-Ung </w:t>
            </w:r>
            <w:proofErr w:type="spellStart"/>
            <w:r>
              <w:rPr>
                <w:rFonts w:asciiTheme="minorHAnsi" w:hAnsiTheme="minorHAnsi" w:cs="Tahoma"/>
                <w:color w:val="000000"/>
                <w:sz w:val="22"/>
                <w:szCs w:val="22"/>
              </w:rPr>
              <w:t>Baik</w:t>
            </w:r>
            <w:proofErr w:type="spellEnd"/>
            <w:r>
              <w:rPr>
                <w:rFonts w:asciiTheme="minorHAnsi" w:hAnsiTheme="minorHAnsi" w:cs="Tahoma"/>
                <w:color w:val="000000"/>
                <w:sz w:val="22"/>
                <w:szCs w:val="22"/>
              </w:rPr>
              <w:t>, Expert</w:t>
            </w:r>
            <w:r w:rsidR="0058445A">
              <w:rPr>
                <w:rFonts w:asciiTheme="minorHAnsi" w:hAnsiTheme="minorHAnsi" w:cs="Tahoma"/>
                <w:color w:val="000000"/>
                <w:sz w:val="22"/>
                <w:szCs w:val="22"/>
              </w:rPr>
              <w:t>,</w:t>
            </w:r>
            <w:r>
              <w:rPr>
                <w:rFonts w:asciiTheme="minorHAnsi" w:hAnsiTheme="minorHAnsi" w:cs="Tahoma"/>
                <w:color w:val="000000"/>
                <w:sz w:val="22"/>
                <w:szCs w:val="22"/>
              </w:rPr>
              <w:t xml:space="preserve"> </w:t>
            </w:r>
            <w:r w:rsidR="0058445A">
              <w:rPr>
                <w:rFonts w:asciiTheme="minorHAnsi" w:hAnsiTheme="minorHAnsi" w:cs="Tahoma"/>
                <w:color w:val="000000"/>
                <w:sz w:val="22"/>
                <w:szCs w:val="22"/>
              </w:rPr>
              <w:t xml:space="preserve">UN </w:t>
            </w:r>
            <w:r>
              <w:rPr>
                <w:rFonts w:asciiTheme="minorHAnsi" w:hAnsiTheme="minorHAnsi" w:cs="Tahoma"/>
                <w:color w:val="000000"/>
                <w:sz w:val="22"/>
                <w:szCs w:val="22"/>
              </w:rPr>
              <w:t>Working Group on Enforced and involuntary Disappearances (WGED)</w:t>
            </w:r>
            <w:r w:rsidR="00022A23">
              <w:rPr>
                <w:rFonts w:asciiTheme="minorHAnsi" w:hAnsiTheme="minorHAnsi" w:cs="Tahoma"/>
                <w:color w:val="000000"/>
                <w:sz w:val="22"/>
                <w:szCs w:val="22"/>
              </w:rPr>
              <w:t>-</w:t>
            </w:r>
          </w:p>
          <w:p w:rsidR="00022A23" w:rsidRDefault="00022A23" w:rsidP="0058445A">
            <w:pPr>
              <w:pStyle w:val="NormalWeb"/>
              <w:spacing w:before="0" w:beforeAutospacing="0" w:after="0" w:afterAutospacing="0"/>
              <w:ind w:left="250"/>
              <w:rPr>
                <w:rFonts w:ascii="Arial" w:hAnsi="Arial" w:cs="Arial"/>
                <w:i/>
                <w:sz w:val="20"/>
                <w:szCs w:val="20"/>
              </w:rPr>
            </w:pPr>
            <w:r w:rsidRPr="001F521A">
              <w:rPr>
                <w:rFonts w:ascii="Arial" w:hAnsi="Arial" w:cs="Arial"/>
                <w:i/>
                <w:sz w:val="20"/>
                <w:szCs w:val="20"/>
              </w:rPr>
              <w:t>Overview of the</w:t>
            </w:r>
            <w:r>
              <w:rPr>
                <w:rFonts w:ascii="Arial" w:hAnsi="Arial" w:cs="Arial"/>
                <w:i/>
                <w:sz w:val="20"/>
                <w:szCs w:val="20"/>
              </w:rPr>
              <w:t xml:space="preserve"> </w:t>
            </w:r>
            <w:r w:rsidR="0058445A">
              <w:rPr>
                <w:rFonts w:ascii="Arial" w:hAnsi="Arial" w:cs="Arial"/>
                <w:i/>
                <w:sz w:val="20"/>
                <w:szCs w:val="20"/>
              </w:rPr>
              <w:t xml:space="preserve">UN </w:t>
            </w:r>
            <w:r>
              <w:rPr>
                <w:rFonts w:ascii="Arial" w:hAnsi="Arial" w:cs="Arial"/>
                <w:i/>
                <w:sz w:val="20"/>
                <w:szCs w:val="20"/>
              </w:rPr>
              <w:t xml:space="preserve">Special Procedures Mechanisms </w:t>
            </w:r>
            <w:r w:rsidR="0058445A">
              <w:rPr>
                <w:rFonts w:ascii="Arial" w:hAnsi="Arial" w:cs="Arial"/>
                <w:i/>
                <w:sz w:val="20"/>
                <w:szCs w:val="20"/>
              </w:rPr>
              <w:t>f</w:t>
            </w:r>
            <w:r>
              <w:rPr>
                <w:rFonts w:ascii="Arial" w:hAnsi="Arial" w:cs="Arial"/>
                <w:i/>
                <w:sz w:val="20"/>
                <w:szCs w:val="20"/>
              </w:rPr>
              <w:t xml:space="preserve">unctions,  and  </w:t>
            </w:r>
            <w:r w:rsidRPr="001F521A">
              <w:rPr>
                <w:rFonts w:ascii="Arial" w:hAnsi="Arial" w:cs="Arial"/>
                <w:i/>
                <w:sz w:val="20"/>
                <w:szCs w:val="20"/>
              </w:rPr>
              <w:t xml:space="preserve"> how CS</w:t>
            </w:r>
            <w:r>
              <w:rPr>
                <w:rFonts w:ascii="Arial" w:hAnsi="Arial" w:cs="Arial"/>
                <w:i/>
                <w:sz w:val="20"/>
                <w:szCs w:val="20"/>
              </w:rPr>
              <w:t>Os and HRDs could engage with them</w:t>
            </w:r>
            <w:r w:rsidRPr="001F521A">
              <w:rPr>
                <w:rFonts w:ascii="Arial" w:hAnsi="Arial" w:cs="Arial"/>
                <w:i/>
                <w:sz w:val="20"/>
                <w:szCs w:val="20"/>
              </w:rPr>
              <w:t xml:space="preserve">, </w:t>
            </w:r>
            <w:r>
              <w:rPr>
                <w:rFonts w:ascii="Arial" w:hAnsi="Arial" w:cs="Arial"/>
                <w:i/>
                <w:sz w:val="20"/>
                <w:szCs w:val="20"/>
              </w:rPr>
              <w:t xml:space="preserve">with </w:t>
            </w:r>
            <w:r w:rsidRPr="001F521A">
              <w:rPr>
                <w:rFonts w:ascii="Arial" w:hAnsi="Arial" w:cs="Arial"/>
                <w:i/>
                <w:sz w:val="20"/>
                <w:szCs w:val="20"/>
              </w:rPr>
              <w:t xml:space="preserve">specific focus on </w:t>
            </w:r>
            <w:r>
              <w:rPr>
                <w:rFonts w:ascii="Arial" w:hAnsi="Arial" w:cs="Arial"/>
                <w:i/>
                <w:sz w:val="20"/>
                <w:szCs w:val="20"/>
              </w:rPr>
              <w:t xml:space="preserve">the WGED , how the WGED can engage with </w:t>
            </w:r>
            <w:r w:rsidR="0058445A">
              <w:rPr>
                <w:rFonts w:ascii="Arial" w:hAnsi="Arial" w:cs="Arial"/>
                <w:i/>
                <w:sz w:val="20"/>
                <w:szCs w:val="20"/>
              </w:rPr>
              <w:t>regional organisations in Asia</w:t>
            </w:r>
            <w:r>
              <w:rPr>
                <w:rFonts w:ascii="Arial" w:hAnsi="Arial" w:cs="Arial"/>
                <w:i/>
                <w:sz w:val="20"/>
                <w:szCs w:val="20"/>
              </w:rPr>
              <w:t>(1</w:t>
            </w:r>
            <w:r w:rsidR="00785D41">
              <w:rPr>
                <w:rFonts w:ascii="Arial" w:hAnsi="Arial" w:cs="Arial"/>
                <w:i/>
                <w:sz w:val="20"/>
                <w:szCs w:val="20"/>
              </w:rPr>
              <w:t>2</w:t>
            </w:r>
            <w:r>
              <w:rPr>
                <w:rFonts w:ascii="Arial" w:hAnsi="Arial" w:cs="Arial"/>
                <w:i/>
                <w:sz w:val="20"/>
                <w:szCs w:val="20"/>
              </w:rPr>
              <w:t xml:space="preserve"> </w:t>
            </w:r>
            <w:proofErr w:type="spellStart"/>
            <w:r>
              <w:rPr>
                <w:rFonts w:ascii="Arial" w:hAnsi="Arial" w:cs="Arial"/>
                <w:i/>
                <w:sz w:val="20"/>
                <w:szCs w:val="20"/>
              </w:rPr>
              <w:t>mins</w:t>
            </w:r>
            <w:proofErr w:type="spellEnd"/>
            <w:r>
              <w:rPr>
                <w:rFonts w:ascii="Arial" w:hAnsi="Arial" w:cs="Arial"/>
                <w:i/>
                <w:sz w:val="20"/>
                <w:szCs w:val="20"/>
              </w:rPr>
              <w:t>)</w:t>
            </w:r>
          </w:p>
          <w:p w:rsidR="00022A23" w:rsidRDefault="00022A23" w:rsidP="007A7D4D">
            <w:pPr>
              <w:pStyle w:val="NormalWeb"/>
              <w:spacing w:before="0" w:beforeAutospacing="0" w:after="0" w:afterAutospacing="0"/>
              <w:ind w:left="-110"/>
              <w:rPr>
                <w:rFonts w:ascii="Arial" w:hAnsi="Arial" w:cs="Arial"/>
                <w:i/>
                <w:sz w:val="20"/>
                <w:szCs w:val="20"/>
              </w:rPr>
            </w:pPr>
          </w:p>
          <w:p w:rsidR="00022A23" w:rsidRDefault="001F521A" w:rsidP="00785D41">
            <w:pPr>
              <w:pStyle w:val="NormalWeb"/>
              <w:numPr>
                <w:ilvl w:val="0"/>
                <w:numId w:val="38"/>
              </w:numPr>
              <w:spacing w:before="0" w:beforeAutospacing="0" w:after="0" w:afterAutospacing="0"/>
              <w:rPr>
                <w:rFonts w:ascii="Arial" w:hAnsi="Arial" w:cs="Arial"/>
                <w:i/>
                <w:sz w:val="20"/>
                <w:szCs w:val="20"/>
              </w:rPr>
            </w:pPr>
            <w:r w:rsidRPr="00022A23">
              <w:rPr>
                <w:rFonts w:asciiTheme="minorHAnsi" w:hAnsiTheme="minorHAnsi" w:cs="Tahoma"/>
                <w:color w:val="000000"/>
                <w:sz w:val="22"/>
                <w:szCs w:val="22"/>
              </w:rPr>
              <w:t xml:space="preserve">Ms. Vicky </w:t>
            </w:r>
            <w:proofErr w:type="spellStart"/>
            <w:r w:rsidRPr="00022A23">
              <w:rPr>
                <w:rFonts w:asciiTheme="minorHAnsi" w:hAnsiTheme="minorHAnsi" w:cs="Tahoma"/>
                <w:color w:val="000000"/>
                <w:sz w:val="22"/>
                <w:szCs w:val="22"/>
              </w:rPr>
              <w:t>Tauli</w:t>
            </w:r>
            <w:proofErr w:type="spellEnd"/>
            <w:r w:rsidRPr="00022A23">
              <w:rPr>
                <w:rFonts w:asciiTheme="minorHAnsi" w:hAnsiTheme="minorHAnsi" w:cs="Tahoma"/>
                <w:color w:val="000000"/>
                <w:sz w:val="22"/>
                <w:szCs w:val="22"/>
              </w:rPr>
              <w:t xml:space="preserve"> –</w:t>
            </w:r>
            <w:proofErr w:type="spellStart"/>
            <w:r w:rsidRPr="00022A23">
              <w:rPr>
                <w:rFonts w:asciiTheme="minorHAnsi" w:hAnsiTheme="minorHAnsi" w:cs="Tahoma"/>
                <w:color w:val="000000"/>
                <w:sz w:val="22"/>
                <w:szCs w:val="22"/>
              </w:rPr>
              <w:t>Corpuz</w:t>
            </w:r>
            <w:proofErr w:type="spellEnd"/>
            <w:r w:rsidRPr="00022A23">
              <w:rPr>
                <w:rFonts w:asciiTheme="minorHAnsi" w:hAnsiTheme="minorHAnsi" w:cs="Tahoma"/>
                <w:color w:val="000000"/>
                <w:sz w:val="22"/>
                <w:szCs w:val="22"/>
              </w:rPr>
              <w:t xml:space="preserve"> </w:t>
            </w:r>
            <w:r w:rsidR="0058445A">
              <w:rPr>
                <w:rFonts w:asciiTheme="minorHAnsi" w:hAnsiTheme="minorHAnsi" w:cs="Tahoma"/>
                <w:color w:val="000000"/>
                <w:sz w:val="22"/>
                <w:szCs w:val="22"/>
              </w:rPr>
              <w:t xml:space="preserve">, UN </w:t>
            </w:r>
            <w:r w:rsidRPr="00022A23">
              <w:rPr>
                <w:rFonts w:asciiTheme="minorHAnsi" w:hAnsiTheme="minorHAnsi" w:cs="Tahoma"/>
                <w:color w:val="000000"/>
                <w:sz w:val="22"/>
                <w:szCs w:val="22"/>
              </w:rPr>
              <w:t xml:space="preserve">Special Rapporteur on </w:t>
            </w:r>
            <w:proofErr w:type="spellStart"/>
            <w:r w:rsidRPr="00022A23">
              <w:rPr>
                <w:rFonts w:asciiTheme="minorHAnsi" w:hAnsiTheme="minorHAnsi" w:cs="Tahoma"/>
                <w:color w:val="000000"/>
                <w:sz w:val="22"/>
                <w:szCs w:val="22"/>
              </w:rPr>
              <w:t>Indegenous</w:t>
            </w:r>
            <w:proofErr w:type="spellEnd"/>
            <w:r w:rsidRPr="00022A23">
              <w:rPr>
                <w:rFonts w:asciiTheme="minorHAnsi" w:hAnsiTheme="minorHAnsi" w:cs="Tahoma"/>
                <w:color w:val="000000"/>
                <w:sz w:val="22"/>
                <w:szCs w:val="22"/>
              </w:rPr>
              <w:t xml:space="preserve"> people</w:t>
            </w:r>
            <w:r w:rsidR="00022A23">
              <w:rPr>
                <w:rFonts w:asciiTheme="minorHAnsi" w:hAnsiTheme="minorHAnsi" w:cs="Tahoma"/>
                <w:color w:val="000000"/>
                <w:sz w:val="22"/>
                <w:szCs w:val="22"/>
              </w:rPr>
              <w:t>-</w:t>
            </w:r>
            <w:r w:rsidR="00022A23">
              <w:rPr>
                <w:rFonts w:ascii="Arial" w:hAnsi="Arial" w:cs="Arial"/>
                <w:i/>
                <w:sz w:val="20"/>
                <w:szCs w:val="20"/>
              </w:rPr>
              <w:t xml:space="preserve"> H</w:t>
            </w:r>
            <w:r w:rsidR="00022A23" w:rsidRPr="001F521A">
              <w:rPr>
                <w:rFonts w:ascii="Arial" w:hAnsi="Arial" w:cs="Arial"/>
                <w:i/>
                <w:sz w:val="20"/>
                <w:szCs w:val="20"/>
              </w:rPr>
              <w:t xml:space="preserve">ow CSOs and HRDs could engage with </w:t>
            </w:r>
            <w:r w:rsidR="00022A23">
              <w:rPr>
                <w:rFonts w:ascii="Arial" w:hAnsi="Arial" w:cs="Arial"/>
                <w:i/>
                <w:sz w:val="20"/>
                <w:szCs w:val="20"/>
              </w:rPr>
              <w:t>the Special Rapporteur</w:t>
            </w:r>
            <w:r w:rsidR="0058445A">
              <w:rPr>
                <w:rFonts w:ascii="Arial" w:hAnsi="Arial" w:cs="Arial"/>
                <w:i/>
                <w:sz w:val="20"/>
                <w:szCs w:val="20"/>
              </w:rPr>
              <w:t xml:space="preserve"> (10 </w:t>
            </w:r>
            <w:r w:rsidR="00022A23">
              <w:rPr>
                <w:rFonts w:ascii="Arial" w:hAnsi="Arial" w:cs="Arial"/>
                <w:i/>
                <w:sz w:val="20"/>
                <w:szCs w:val="20"/>
              </w:rPr>
              <w:t xml:space="preserve"> </w:t>
            </w:r>
            <w:proofErr w:type="spellStart"/>
            <w:r w:rsidR="00022A23">
              <w:rPr>
                <w:rFonts w:ascii="Arial" w:hAnsi="Arial" w:cs="Arial"/>
                <w:i/>
                <w:sz w:val="20"/>
                <w:szCs w:val="20"/>
              </w:rPr>
              <w:t>mins</w:t>
            </w:r>
            <w:proofErr w:type="spellEnd"/>
            <w:r w:rsidR="00022A23">
              <w:rPr>
                <w:rFonts w:ascii="Arial" w:hAnsi="Arial" w:cs="Arial"/>
                <w:i/>
                <w:sz w:val="20"/>
                <w:szCs w:val="20"/>
              </w:rPr>
              <w:t>)</w:t>
            </w:r>
          </w:p>
          <w:p w:rsidR="00785D41" w:rsidRDefault="00785D41" w:rsidP="00785D41">
            <w:pPr>
              <w:pStyle w:val="NormalWeb"/>
              <w:spacing w:before="0" w:beforeAutospacing="0" w:after="0" w:afterAutospacing="0"/>
              <w:ind w:left="-110"/>
              <w:rPr>
                <w:rFonts w:asciiTheme="minorHAnsi" w:hAnsiTheme="minorHAnsi" w:cs="Tahoma"/>
                <w:color w:val="000000"/>
                <w:sz w:val="22"/>
                <w:szCs w:val="22"/>
              </w:rPr>
            </w:pPr>
          </w:p>
          <w:p w:rsidR="00785D41" w:rsidRDefault="00785D41" w:rsidP="00785D41">
            <w:pPr>
              <w:pStyle w:val="NormalWeb"/>
              <w:numPr>
                <w:ilvl w:val="0"/>
                <w:numId w:val="38"/>
              </w:numPr>
              <w:spacing w:before="0" w:beforeAutospacing="0" w:after="0" w:afterAutospacing="0"/>
              <w:rPr>
                <w:rFonts w:asciiTheme="minorHAnsi" w:hAnsiTheme="minorHAnsi" w:cs="Tahoma"/>
                <w:color w:val="000000"/>
                <w:sz w:val="22"/>
                <w:szCs w:val="22"/>
              </w:rPr>
            </w:pPr>
            <w:proofErr w:type="spellStart"/>
            <w:r>
              <w:rPr>
                <w:rFonts w:asciiTheme="minorHAnsi" w:hAnsiTheme="minorHAnsi" w:cs="Tahoma"/>
                <w:color w:val="000000"/>
                <w:sz w:val="22"/>
                <w:szCs w:val="22"/>
              </w:rPr>
              <w:t>Ms.Liza</w:t>
            </w:r>
            <w:proofErr w:type="spellEnd"/>
            <w:r>
              <w:rPr>
                <w:rFonts w:asciiTheme="minorHAnsi" w:hAnsiTheme="minorHAnsi" w:cs="Tahoma"/>
                <w:color w:val="000000"/>
                <w:sz w:val="22"/>
                <w:szCs w:val="22"/>
              </w:rPr>
              <w:t xml:space="preserve"> </w:t>
            </w:r>
            <w:proofErr w:type="spellStart"/>
            <w:r>
              <w:rPr>
                <w:rFonts w:asciiTheme="minorHAnsi" w:hAnsiTheme="minorHAnsi" w:cs="Tahoma"/>
                <w:color w:val="000000"/>
                <w:sz w:val="22"/>
                <w:szCs w:val="22"/>
              </w:rPr>
              <w:t>Sekaggya</w:t>
            </w:r>
            <w:proofErr w:type="spellEnd"/>
            <w:r>
              <w:rPr>
                <w:rFonts w:asciiTheme="minorHAnsi" w:hAnsiTheme="minorHAnsi" w:cs="Tahoma"/>
                <w:color w:val="000000"/>
                <w:sz w:val="22"/>
                <w:szCs w:val="22"/>
              </w:rPr>
              <w:t>,  OHCHR</w:t>
            </w:r>
            <w:r w:rsidR="0058445A">
              <w:rPr>
                <w:rFonts w:asciiTheme="minorHAnsi" w:hAnsiTheme="minorHAnsi" w:cs="Tahoma"/>
                <w:color w:val="000000"/>
                <w:sz w:val="22"/>
                <w:szCs w:val="22"/>
              </w:rPr>
              <w:t xml:space="preserve">, </w:t>
            </w:r>
            <w:r>
              <w:rPr>
                <w:rFonts w:asciiTheme="minorHAnsi" w:hAnsiTheme="minorHAnsi" w:cs="Tahoma"/>
                <w:color w:val="000000"/>
                <w:sz w:val="22"/>
                <w:szCs w:val="22"/>
              </w:rPr>
              <w:t xml:space="preserve"> </w:t>
            </w:r>
            <w:r w:rsidR="00915128" w:rsidRPr="00915128">
              <w:rPr>
                <w:rFonts w:asciiTheme="minorHAnsi" w:hAnsiTheme="minorHAnsi" w:cs="Tahoma"/>
                <w:i/>
                <w:color w:val="000000"/>
                <w:sz w:val="22"/>
                <w:szCs w:val="22"/>
              </w:rPr>
              <w:t xml:space="preserve">The </w:t>
            </w:r>
            <w:r w:rsidR="00915128">
              <w:rPr>
                <w:rFonts w:asciiTheme="minorHAnsi" w:hAnsiTheme="minorHAnsi" w:cs="Tahoma"/>
                <w:i/>
                <w:color w:val="000000"/>
                <w:sz w:val="22"/>
                <w:szCs w:val="22"/>
              </w:rPr>
              <w:t xml:space="preserve">UN Human  Rights Council and </w:t>
            </w:r>
            <w:r w:rsidRPr="00915128">
              <w:rPr>
                <w:rFonts w:asciiTheme="minorHAnsi" w:hAnsiTheme="minorHAnsi" w:cs="Tahoma"/>
                <w:i/>
                <w:color w:val="000000"/>
                <w:sz w:val="22"/>
                <w:szCs w:val="22"/>
              </w:rPr>
              <w:t xml:space="preserve"> UPR process and the Role of CSOs and HRDs</w:t>
            </w:r>
            <w:r>
              <w:rPr>
                <w:rFonts w:asciiTheme="minorHAnsi" w:hAnsiTheme="minorHAnsi" w:cs="Tahoma"/>
                <w:color w:val="000000"/>
                <w:sz w:val="22"/>
                <w:szCs w:val="22"/>
              </w:rPr>
              <w:t xml:space="preserve">- (12 </w:t>
            </w:r>
            <w:proofErr w:type="spellStart"/>
            <w:r>
              <w:rPr>
                <w:rFonts w:asciiTheme="minorHAnsi" w:hAnsiTheme="minorHAnsi" w:cs="Tahoma"/>
                <w:color w:val="000000"/>
                <w:sz w:val="22"/>
                <w:szCs w:val="22"/>
              </w:rPr>
              <w:t>mins</w:t>
            </w:r>
            <w:proofErr w:type="spellEnd"/>
            <w:r>
              <w:rPr>
                <w:rFonts w:asciiTheme="minorHAnsi" w:hAnsiTheme="minorHAnsi" w:cs="Tahoma"/>
                <w:color w:val="000000"/>
                <w:sz w:val="22"/>
                <w:szCs w:val="22"/>
              </w:rPr>
              <w:t>)</w:t>
            </w:r>
          </w:p>
          <w:p w:rsidR="00785D41" w:rsidRDefault="00785D41" w:rsidP="007A7D4D">
            <w:pPr>
              <w:pStyle w:val="NormalWeb"/>
              <w:spacing w:before="0" w:beforeAutospacing="0" w:after="0" w:afterAutospacing="0"/>
              <w:ind w:left="-110"/>
              <w:rPr>
                <w:rFonts w:ascii="Arial" w:hAnsi="Arial" w:cs="Arial"/>
                <w:i/>
                <w:sz w:val="20"/>
                <w:szCs w:val="20"/>
              </w:rPr>
            </w:pPr>
          </w:p>
          <w:p w:rsidR="00785D41" w:rsidRDefault="00785D41" w:rsidP="00785D41">
            <w:pPr>
              <w:pStyle w:val="NormalWeb"/>
              <w:numPr>
                <w:ilvl w:val="0"/>
                <w:numId w:val="38"/>
              </w:numPr>
              <w:spacing w:before="0" w:beforeAutospacing="0" w:after="0" w:afterAutospacing="0"/>
              <w:rPr>
                <w:rFonts w:ascii="Arial" w:hAnsi="Arial" w:cs="Arial"/>
                <w:i/>
                <w:sz w:val="20"/>
                <w:szCs w:val="20"/>
              </w:rPr>
            </w:pPr>
            <w:r w:rsidRPr="0058445A">
              <w:rPr>
                <w:rFonts w:ascii="Arial" w:hAnsi="Arial" w:cs="Arial"/>
                <w:sz w:val="20"/>
                <w:szCs w:val="20"/>
              </w:rPr>
              <w:t xml:space="preserve">Ms. </w:t>
            </w:r>
            <w:proofErr w:type="spellStart"/>
            <w:r w:rsidRPr="0058445A">
              <w:rPr>
                <w:rFonts w:ascii="Arial" w:hAnsi="Arial" w:cs="Arial"/>
                <w:sz w:val="20"/>
                <w:szCs w:val="20"/>
              </w:rPr>
              <w:t>Leena</w:t>
            </w:r>
            <w:proofErr w:type="spellEnd"/>
            <w:r w:rsidRPr="0058445A">
              <w:rPr>
                <w:rFonts w:ascii="Arial" w:hAnsi="Arial" w:cs="Arial"/>
                <w:sz w:val="20"/>
                <w:szCs w:val="20"/>
              </w:rPr>
              <w:t xml:space="preserve"> Gosh</w:t>
            </w:r>
            <w:r>
              <w:rPr>
                <w:rFonts w:ascii="Arial" w:hAnsi="Arial" w:cs="Arial"/>
                <w:i/>
                <w:sz w:val="20"/>
                <w:szCs w:val="20"/>
              </w:rPr>
              <w:t>, ASEAN secretariat-</w:t>
            </w:r>
            <w:r w:rsidR="0058445A">
              <w:rPr>
                <w:rFonts w:ascii="Arial" w:hAnsi="Arial" w:cs="Arial"/>
                <w:i/>
                <w:sz w:val="20"/>
                <w:szCs w:val="20"/>
              </w:rPr>
              <w:t xml:space="preserve">overview of the ASEAN mechanisms, </w:t>
            </w:r>
            <w:r>
              <w:rPr>
                <w:rFonts w:ascii="Arial" w:hAnsi="Arial" w:cs="Arial"/>
                <w:i/>
                <w:sz w:val="20"/>
                <w:szCs w:val="20"/>
              </w:rPr>
              <w:t>cooperation of CSO and HRDs with the ASEAN</w:t>
            </w:r>
            <w:r w:rsidR="0058445A">
              <w:rPr>
                <w:rFonts w:ascii="Arial" w:hAnsi="Arial" w:cs="Arial"/>
                <w:i/>
                <w:sz w:val="20"/>
                <w:szCs w:val="20"/>
              </w:rPr>
              <w:t xml:space="preserve"> mechanisms</w:t>
            </w:r>
            <w:r>
              <w:rPr>
                <w:rFonts w:ascii="Arial" w:hAnsi="Arial" w:cs="Arial"/>
                <w:i/>
                <w:sz w:val="20"/>
                <w:szCs w:val="20"/>
              </w:rPr>
              <w:t>, ASEAN cooperation with</w:t>
            </w:r>
            <w:r w:rsidR="0058445A">
              <w:rPr>
                <w:rFonts w:ascii="Arial" w:hAnsi="Arial" w:cs="Arial"/>
                <w:i/>
                <w:sz w:val="20"/>
                <w:szCs w:val="20"/>
              </w:rPr>
              <w:t xml:space="preserve"> UN </w:t>
            </w:r>
            <w:r>
              <w:rPr>
                <w:rFonts w:ascii="Arial" w:hAnsi="Arial" w:cs="Arial"/>
                <w:i/>
                <w:sz w:val="20"/>
                <w:szCs w:val="20"/>
              </w:rPr>
              <w:t xml:space="preserve"> mechanisms (12 </w:t>
            </w:r>
            <w:proofErr w:type="spellStart"/>
            <w:r>
              <w:rPr>
                <w:rFonts w:ascii="Arial" w:hAnsi="Arial" w:cs="Arial"/>
                <w:i/>
                <w:sz w:val="20"/>
                <w:szCs w:val="20"/>
              </w:rPr>
              <w:t>mins</w:t>
            </w:r>
            <w:proofErr w:type="spellEnd"/>
            <w:r>
              <w:rPr>
                <w:rFonts w:ascii="Arial" w:hAnsi="Arial" w:cs="Arial"/>
                <w:i/>
                <w:sz w:val="20"/>
                <w:szCs w:val="20"/>
              </w:rPr>
              <w:t>)</w:t>
            </w:r>
            <w:r w:rsidR="0058445A">
              <w:rPr>
                <w:rFonts w:ascii="Arial" w:hAnsi="Arial" w:cs="Arial"/>
                <w:i/>
                <w:sz w:val="20"/>
                <w:szCs w:val="20"/>
              </w:rPr>
              <w:t xml:space="preserve"> (TBC)</w:t>
            </w:r>
          </w:p>
          <w:p w:rsidR="00022A23" w:rsidRDefault="00022A23" w:rsidP="007A7D4D">
            <w:pPr>
              <w:pStyle w:val="NormalWeb"/>
              <w:spacing w:before="0" w:beforeAutospacing="0" w:after="0" w:afterAutospacing="0"/>
              <w:ind w:left="-110"/>
              <w:rPr>
                <w:rFonts w:asciiTheme="minorHAnsi" w:hAnsiTheme="minorHAnsi" w:cs="Tahoma"/>
                <w:color w:val="000000"/>
                <w:sz w:val="22"/>
                <w:szCs w:val="22"/>
              </w:rPr>
            </w:pPr>
            <w:r>
              <w:rPr>
                <w:rFonts w:ascii="Arial" w:hAnsi="Arial" w:cs="Arial"/>
                <w:sz w:val="20"/>
                <w:szCs w:val="20"/>
              </w:rPr>
              <w:t xml:space="preserve"> </w:t>
            </w:r>
          </w:p>
          <w:p w:rsidR="001F521A" w:rsidRPr="001F521A" w:rsidRDefault="00022A23" w:rsidP="007A7D4D">
            <w:pPr>
              <w:pStyle w:val="NormalWeb"/>
              <w:spacing w:before="0" w:beforeAutospacing="0" w:after="0" w:afterAutospacing="0"/>
              <w:ind w:left="-110"/>
              <w:rPr>
                <w:rFonts w:asciiTheme="minorHAnsi" w:hAnsiTheme="minorHAnsi" w:cs="Tahoma"/>
                <w:color w:val="000000"/>
                <w:sz w:val="22"/>
                <w:szCs w:val="22"/>
              </w:rPr>
            </w:pPr>
            <w:r>
              <w:rPr>
                <w:rFonts w:asciiTheme="minorHAnsi" w:hAnsiTheme="minorHAnsi" w:cs="Tahoma"/>
                <w:color w:val="000000"/>
                <w:sz w:val="22"/>
                <w:szCs w:val="22"/>
              </w:rPr>
              <w:t>Discussion- Participants can ask questions, share experiences etc.</w:t>
            </w:r>
          </w:p>
          <w:p w:rsidR="001F521A" w:rsidRPr="001F521A" w:rsidRDefault="001F521A" w:rsidP="007A7D4D">
            <w:pPr>
              <w:pStyle w:val="NormalWeb"/>
              <w:spacing w:before="0" w:beforeAutospacing="0" w:after="0" w:afterAutospacing="0"/>
              <w:ind w:left="-110"/>
              <w:rPr>
                <w:rFonts w:asciiTheme="minorHAnsi" w:hAnsiTheme="minorHAnsi" w:cs="Tahoma"/>
                <w:color w:val="000000"/>
                <w:sz w:val="22"/>
                <w:szCs w:val="22"/>
              </w:rPr>
            </w:pPr>
          </w:p>
        </w:tc>
      </w:tr>
      <w:tr w:rsidR="008721AB" w:rsidRPr="002D20C2" w:rsidTr="002D20C2">
        <w:trPr>
          <w:trHeight w:val="280"/>
        </w:trPr>
        <w:tc>
          <w:tcPr>
            <w:tcW w:w="1122" w:type="dxa"/>
          </w:tcPr>
          <w:p w:rsidR="008721AB" w:rsidRPr="002D20C2" w:rsidRDefault="00785D41" w:rsidP="00AA0A7F">
            <w:pPr>
              <w:rPr>
                <w:rFonts w:eastAsia="Times New Roman" w:cs="Times New Roman"/>
                <w:color w:val="000000"/>
              </w:rPr>
            </w:pPr>
            <w:r>
              <w:rPr>
                <w:rFonts w:eastAsia="Times New Roman" w:cs="Times New Roman"/>
                <w:color w:val="000000"/>
              </w:rPr>
              <w:lastRenderedPageBreak/>
              <w:t>3:15</w:t>
            </w:r>
            <w:r w:rsidR="008721AB" w:rsidRPr="002D20C2">
              <w:rPr>
                <w:rFonts w:eastAsia="Times New Roman" w:cs="Times New Roman"/>
                <w:color w:val="000000"/>
              </w:rPr>
              <w:t>pm – 3:30pm</w:t>
            </w:r>
          </w:p>
        </w:tc>
        <w:tc>
          <w:tcPr>
            <w:tcW w:w="9156" w:type="dxa"/>
          </w:tcPr>
          <w:p w:rsidR="008721AB" w:rsidRPr="002D20C2" w:rsidRDefault="008721AB" w:rsidP="00830D64">
            <w:pPr>
              <w:rPr>
                <w:rFonts w:eastAsia="Times New Roman" w:cs="Times New Roman"/>
                <w:b/>
                <w:color w:val="000000" w:themeColor="text1"/>
              </w:rPr>
            </w:pPr>
            <w:r w:rsidRPr="002D20C2">
              <w:rPr>
                <w:rFonts w:eastAsia="Times New Roman" w:cs="Times New Roman"/>
                <w:b/>
                <w:color w:val="000000" w:themeColor="text1"/>
              </w:rPr>
              <w:t>Afternoon Refreshment</w:t>
            </w:r>
          </w:p>
        </w:tc>
      </w:tr>
      <w:tr w:rsidR="008721AB" w:rsidRPr="002D20C2" w:rsidTr="002D20C2">
        <w:trPr>
          <w:trHeight w:val="280"/>
        </w:trPr>
        <w:tc>
          <w:tcPr>
            <w:tcW w:w="1122" w:type="dxa"/>
          </w:tcPr>
          <w:p w:rsidR="008721AB" w:rsidRPr="002D20C2" w:rsidRDefault="008721AB" w:rsidP="008911EF">
            <w:pPr>
              <w:rPr>
                <w:rFonts w:eastAsia="Times New Roman" w:cs="Times New Roman"/>
                <w:color w:val="000000"/>
              </w:rPr>
            </w:pPr>
            <w:r w:rsidRPr="002D20C2">
              <w:rPr>
                <w:rFonts w:eastAsia="Times New Roman" w:cs="Times New Roman"/>
                <w:color w:val="000000"/>
              </w:rPr>
              <w:t>3:30 pm – 4:</w:t>
            </w:r>
            <w:r w:rsidR="008911EF">
              <w:rPr>
                <w:rFonts w:eastAsia="Times New Roman" w:cs="Times New Roman"/>
                <w:color w:val="000000"/>
              </w:rPr>
              <w:t>45</w:t>
            </w:r>
            <w:r w:rsidRPr="002D20C2">
              <w:rPr>
                <w:rFonts w:eastAsia="Times New Roman" w:cs="Times New Roman"/>
                <w:color w:val="000000"/>
              </w:rPr>
              <w:t>pm</w:t>
            </w:r>
          </w:p>
        </w:tc>
        <w:tc>
          <w:tcPr>
            <w:tcW w:w="9156" w:type="dxa"/>
          </w:tcPr>
          <w:p w:rsidR="008721AB" w:rsidRPr="002D20C2" w:rsidRDefault="008721AB" w:rsidP="008721AB">
            <w:pPr>
              <w:spacing w:line="301" w:lineRule="atLeast"/>
              <w:ind w:left="-110"/>
              <w:textAlignment w:val="baseline"/>
              <w:rPr>
                <w:rFonts w:eastAsia="Times New Roman" w:cs="Arial"/>
                <w:b/>
                <w:bCs/>
                <w:color w:val="2B2B2B"/>
              </w:rPr>
            </w:pPr>
            <w:r w:rsidRPr="002D20C2">
              <w:rPr>
                <w:rFonts w:cs="Tahoma"/>
                <w:b/>
                <w:color w:val="000000"/>
                <w:u w:val="single"/>
                <w:shd w:val="clear" w:color="auto" w:fill="FFFFFF"/>
              </w:rPr>
              <w:t>Session IV</w:t>
            </w:r>
            <w:r w:rsidRPr="002D20C2">
              <w:rPr>
                <w:rFonts w:cs="Tahoma"/>
                <w:b/>
                <w:shd w:val="clear" w:color="auto" w:fill="FFFFFF"/>
              </w:rPr>
              <w:t xml:space="preserve">: </w:t>
            </w:r>
            <w:r w:rsidRPr="002D20C2">
              <w:rPr>
                <w:rFonts w:eastAsia="Times New Roman" w:cs="Arial"/>
                <w:b/>
                <w:bCs/>
              </w:rPr>
              <w:t>The Stolen Children:</w:t>
            </w:r>
            <w:r w:rsidRPr="002D20C2">
              <w:rPr>
                <w:rFonts w:eastAsia="Times New Roman" w:cs="Arial"/>
                <w:b/>
                <w:bCs/>
                <w:color w:val="2B2B2B"/>
              </w:rPr>
              <w:t> </w:t>
            </w:r>
          </w:p>
          <w:p w:rsidR="008721AB" w:rsidRPr="002D20C2" w:rsidRDefault="008721AB" w:rsidP="008721AB">
            <w:pPr>
              <w:spacing w:line="301" w:lineRule="atLeast"/>
              <w:ind w:left="-110"/>
              <w:textAlignment w:val="baseline"/>
              <w:rPr>
                <w:rFonts w:eastAsia="Times New Roman" w:cs="Times New Roman"/>
                <w:color w:val="000000" w:themeColor="text1"/>
              </w:rPr>
            </w:pPr>
            <w:r w:rsidRPr="002D20C2">
              <w:rPr>
                <w:rFonts w:eastAsia="Times New Roman" w:cs="Arial"/>
                <w:color w:val="2B2B2B"/>
              </w:rPr>
              <w:t xml:space="preserve">During the 24 year long military occupation of East Timor by Indonesia at least 4,000 children were taken from Timor to Indonesia by members of the Indonesian security forces. Little has been known of the fate of these children until a recent program led by AJAR has focused on uncovering the facts behind the program, identifying and finding some of the children and reuniting them with their families in Timor </w:t>
            </w:r>
            <w:proofErr w:type="spellStart"/>
            <w:r w:rsidRPr="002D20C2">
              <w:rPr>
                <w:rFonts w:eastAsia="Times New Roman" w:cs="Arial"/>
                <w:color w:val="2B2B2B"/>
              </w:rPr>
              <w:t>Leste</w:t>
            </w:r>
            <w:proofErr w:type="spellEnd"/>
            <w:r w:rsidRPr="002D20C2">
              <w:rPr>
                <w:rFonts w:eastAsia="Times New Roman" w:cs="Arial"/>
                <w:color w:val="2B2B2B"/>
              </w:rPr>
              <w:t xml:space="preserve">. AJAR has produced a short film on the stolen children of Timor </w:t>
            </w:r>
            <w:proofErr w:type="spellStart"/>
            <w:r w:rsidRPr="002D20C2">
              <w:rPr>
                <w:rFonts w:eastAsia="Times New Roman" w:cs="Arial"/>
                <w:color w:val="2B2B2B"/>
              </w:rPr>
              <w:t>Leste</w:t>
            </w:r>
            <w:proofErr w:type="spellEnd"/>
            <w:r w:rsidRPr="002D20C2">
              <w:rPr>
                <w:rFonts w:eastAsia="Times New Roman" w:cs="Arial"/>
                <w:color w:val="2B2B2B"/>
              </w:rPr>
              <w:t xml:space="preserve"> and the program of reuniting them with their parents. This session will include a viewing of the 20 minute film, discussion of the program with those who have led it, and a contextualization of this field of violations and related examples such of those in Argentina, Canada and Australia.</w:t>
            </w:r>
          </w:p>
        </w:tc>
      </w:tr>
      <w:tr w:rsidR="008721AB" w:rsidRPr="002D20C2" w:rsidTr="002D20C2">
        <w:trPr>
          <w:trHeight w:val="280"/>
        </w:trPr>
        <w:tc>
          <w:tcPr>
            <w:tcW w:w="1122" w:type="dxa"/>
          </w:tcPr>
          <w:p w:rsidR="008721AB" w:rsidRPr="002D20C2" w:rsidRDefault="008721AB" w:rsidP="008911EF">
            <w:pPr>
              <w:rPr>
                <w:rFonts w:eastAsia="Times New Roman" w:cs="Times New Roman"/>
                <w:color w:val="000000"/>
              </w:rPr>
            </w:pPr>
            <w:r w:rsidRPr="002D20C2">
              <w:rPr>
                <w:rFonts w:eastAsia="Times New Roman" w:cs="Times New Roman"/>
                <w:color w:val="000000"/>
              </w:rPr>
              <w:t>4:</w:t>
            </w:r>
            <w:r w:rsidR="008911EF">
              <w:rPr>
                <w:rFonts w:eastAsia="Times New Roman" w:cs="Times New Roman"/>
                <w:color w:val="000000"/>
              </w:rPr>
              <w:t>45</w:t>
            </w:r>
            <w:r w:rsidRPr="002D20C2">
              <w:rPr>
                <w:rFonts w:eastAsia="Times New Roman" w:cs="Times New Roman"/>
                <w:color w:val="000000"/>
              </w:rPr>
              <w:t>pm – 5:00pm</w:t>
            </w:r>
          </w:p>
        </w:tc>
        <w:tc>
          <w:tcPr>
            <w:tcW w:w="9156" w:type="dxa"/>
          </w:tcPr>
          <w:p w:rsidR="008721AB" w:rsidRPr="002D20C2" w:rsidRDefault="008721AB" w:rsidP="00AA0A7F">
            <w:pPr>
              <w:rPr>
                <w:rFonts w:eastAsia="Times New Roman" w:cs="Times New Roman"/>
                <w:i/>
                <w:color w:val="000000" w:themeColor="text1"/>
              </w:rPr>
            </w:pPr>
            <w:r w:rsidRPr="002D20C2">
              <w:rPr>
                <w:rFonts w:eastAsia="Arial" w:cs="Arial"/>
                <w:b/>
              </w:rPr>
              <w:t>Workshop Closing Remarks</w:t>
            </w:r>
          </w:p>
        </w:tc>
      </w:tr>
    </w:tbl>
    <w:p w:rsidR="00454E8A" w:rsidRPr="002D20C2" w:rsidRDefault="00454E8A" w:rsidP="00C35DD1">
      <w:pPr>
        <w:spacing w:after="0" w:line="240" w:lineRule="auto"/>
        <w:rPr>
          <w:rFonts w:cs="Times New Roman"/>
          <w:b/>
        </w:rPr>
      </w:pPr>
    </w:p>
    <w:p w:rsidR="00C35DD1" w:rsidRPr="00827B96" w:rsidRDefault="007D32E2" w:rsidP="00C35DD1">
      <w:pPr>
        <w:spacing w:after="0" w:line="240" w:lineRule="auto"/>
        <w:rPr>
          <w:rFonts w:ascii="Times New Roman" w:hAnsi="Times New Roman" w:cs="Times New Roman"/>
          <w:b/>
          <w:sz w:val="24"/>
          <w:szCs w:val="24"/>
        </w:rPr>
      </w:pPr>
      <w:r w:rsidRPr="002D20C2">
        <w:rPr>
          <w:rFonts w:cs="Times New Roman"/>
          <w:b/>
        </w:rPr>
        <w:tab/>
      </w:r>
      <w:r w:rsidRPr="002D20C2">
        <w:rPr>
          <w:rFonts w:cs="Times New Roman"/>
          <w:b/>
        </w:rPr>
        <w:tab/>
      </w:r>
      <w:r w:rsidRPr="002D20C2">
        <w:rPr>
          <w:rFonts w:cs="Times New Roman"/>
          <w:b/>
        </w:rPr>
        <w:tab/>
      </w:r>
      <w:r w:rsidRPr="002D20C2">
        <w:rPr>
          <w:rFonts w:cs="Times New Roman"/>
          <w:b/>
        </w:rPr>
        <w:tab/>
      </w:r>
      <w:r w:rsidRPr="002D20C2">
        <w:rPr>
          <w:rFonts w:cs="Times New Roman"/>
          <w:b/>
        </w:rPr>
        <w:tab/>
      </w:r>
      <w:r w:rsidRPr="002D20C2">
        <w:rPr>
          <w:rFonts w:cs="Times New Roman"/>
          <w:b/>
        </w:rPr>
        <w:tab/>
      </w:r>
      <w:r w:rsidRPr="002D20C2">
        <w:rPr>
          <w:rFonts w:cs="Times New Roman"/>
          <w:b/>
        </w:rPr>
        <w:tab/>
      </w:r>
      <w:r w:rsidRPr="002D20C2">
        <w:rPr>
          <w:rFonts w:cs="Times New Roman"/>
          <w:b/>
        </w:rPr>
        <w:tab/>
      </w:r>
      <w:r w:rsidRPr="002D20C2">
        <w:rPr>
          <w:rFonts w:cs="Times New Roman"/>
          <w:b/>
        </w:rPr>
        <w:tab/>
      </w:r>
      <w:r w:rsidRPr="00827B96">
        <w:rPr>
          <w:rFonts w:ascii="Times New Roman" w:hAnsi="Times New Roman" w:cs="Times New Roman"/>
          <w:b/>
          <w:sz w:val="24"/>
          <w:szCs w:val="24"/>
        </w:rPr>
        <w:tab/>
      </w:r>
      <w:r w:rsidRPr="00827B96">
        <w:rPr>
          <w:rFonts w:ascii="Times New Roman" w:hAnsi="Times New Roman" w:cs="Times New Roman"/>
          <w:b/>
          <w:sz w:val="24"/>
          <w:szCs w:val="24"/>
        </w:rPr>
        <w:tab/>
      </w:r>
    </w:p>
    <w:sectPr w:rsidR="00C35DD1" w:rsidRPr="00827B96" w:rsidSect="00C16220">
      <w:headerReference w:type="first" r:id="rId11"/>
      <w:footerReference w:type="first" r:id="rId12"/>
      <w:type w:val="continuous"/>
      <w:pgSz w:w="12240" w:h="15840" w:code="1"/>
      <w:pgMar w:top="1709"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F8" w:rsidRDefault="003A7AF8" w:rsidP="00E23129">
      <w:pPr>
        <w:spacing w:after="0" w:line="240" w:lineRule="auto"/>
      </w:pPr>
      <w:r>
        <w:separator/>
      </w:r>
    </w:p>
  </w:endnote>
  <w:endnote w:type="continuationSeparator" w:id="0">
    <w:p w:rsidR="003A7AF8" w:rsidRDefault="003A7AF8" w:rsidP="00E2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85063"/>
      <w:docPartObj>
        <w:docPartGallery w:val="Page Numbers (Bottom of Page)"/>
        <w:docPartUnique/>
      </w:docPartObj>
    </w:sdtPr>
    <w:sdtEndPr/>
    <w:sdtContent>
      <w:p w:rsidR="00C16220" w:rsidRDefault="00F64CB9">
        <w:pPr>
          <w:pStyle w:val="Footer"/>
          <w:jc w:val="right"/>
        </w:pPr>
        <w:r>
          <w:fldChar w:fldCharType="begin"/>
        </w:r>
        <w:r>
          <w:instrText xml:space="preserve"> PAGE   \* MERGEFORMAT </w:instrText>
        </w:r>
        <w:r>
          <w:fldChar w:fldCharType="separate"/>
        </w:r>
        <w:r w:rsidR="00BF4FC6">
          <w:rPr>
            <w:noProof/>
          </w:rPr>
          <w:t>1</w:t>
        </w:r>
        <w:r>
          <w:rPr>
            <w:noProof/>
          </w:rPr>
          <w:fldChar w:fldCharType="end"/>
        </w:r>
      </w:p>
    </w:sdtContent>
  </w:sdt>
  <w:p w:rsidR="00C16220" w:rsidRDefault="00C16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F8" w:rsidRDefault="003A7AF8" w:rsidP="00E23129">
      <w:pPr>
        <w:spacing w:after="0" w:line="240" w:lineRule="auto"/>
      </w:pPr>
      <w:r>
        <w:separator/>
      </w:r>
    </w:p>
  </w:footnote>
  <w:footnote w:type="continuationSeparator" w:id="0">
    <w:p w:rsidR="003A7AF8" w:rsidRDefault="003A7AF8" w:rsidP="00E23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C2" w:rsidRDefault="002D20C2" w:rsidP="002D20C2">
    <w:pPr>
      <w:pStyle w:val="NormalWeb"/>
      <w:jc w:val="center"/>
      <w:rPr>
        <w:rStyle w:val="Strong"/>
        <w:rFonts w:ascii="Arial" w:hAnsi="Arial" w:cs="Arial"/>
        <w:color w:val="2B2B2B"/>
        <w:bdr w:val="none" w:sz="0" w:space="0" w:color="auto" w:frame="1"/>
        <w:shd w:val="clear" w:color="auto" w:fill="FFFFFF"/>
      </w:rPr>
    </w:pPr>
    <w:r>
      <w:rPr>
        <w:rFonts w:ascii="Arial" w:hAnsi="Arial" w:cs="Arial"/>
        <w:b/>
        <w:bCs/>
        <w:noProof/>
        <w:color w:val="2B2B2B"/>
      </w:rPr>
      <w:drawing>
        <wp:anchor distT="0" distB="0" distL="114300" distR="114300" simplePos="0" relativeHeight="251660288" behindDoc="0" locked="0" layoutInCell="1" allowOverlap="1">
          <wp:simplePos x="0" y="0"/>
          <wp:positionH relativeFrom="column">
            <wp:posOffset>5847080</wp:posOffset>
          </wp:positionH>
          <wp:positionV relativeFrom="paragraph">
            <wp:posOffset>174625</wp:posOffset>
          </wp:positionV>
          <wp:extent cx="903605" cy="922020"/>
          <wp:effectExtent l="19050" t="0" r="0" b="0"/>
          <wp:wrapThrough wrapText="bothSides">
            <wp:wrapPolygon edited="0">
              <wp:start x="9563" y="0"/>
              <wp:lineTo x="4554" y="446"/>
              <wp:lineTo x="-455" y="4017"/>
              <wp:lineTo x="0" y="18298"/>
              <wp:lineTo x="4098" y="20975"/>
              <wp:lineTo x="9563" y="20975"/>
              <wp:lineTo x="11840" y="20975"/>
              <wp:lineTo x="18215" y="20975"/>
              <wp:lineTo x="21403" y="18744"/>
              <wp:lineTo x="21403" y="4909"/>
              <wp:lineTo x="15027" y="446"/>
              <wp:lineTo x="11840" y="0"/>
              <wp:lineTo x="9563"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03605" cy="922020"/>
                  </a:xfrm>
                  <a:prstGeom prst="rect">
                    <a:avLst/>
                  </a:prstGeom>
                  <a:noFill/>
                  <a:ln w="9525">
                    <a:noFill/>
                    <a:miter lim="800000"/>
                    <a:headEnd/>
                    <a:tailEnd/>
                  </a:ln>
                </pic:spPr>
              </pic:pic>
            </a:graphicData>
          </a:graphic>
        </wp:anchor>
      </w:drawing>
    </w:r>
    <w:r>
      <w:rPr>
        <w:rFonts w:ascii="Arial" w:hAnsi="Arial" w:cs="Arial"/>
        <w:b/>
        <w:bCs/>
        <w:noProof/>
        <w:color w:val="2B2B2B"/>
      </w:rPr>
      <w:drawing>
        <wp:anchor distT="0" distB="0" distL="114300" distR="114300" simplePos="0" relativeHeight="251659264" behindDoc="0" locked="0" layoutInCell="1" allowOverlap="1">
          <wp:simplePos x="0" y="0"/>
          <wp:positionH relativeFrom="margin">
            <wp:posOffset>-760730</wp:posOffset>
          </wp:positionH>
          <wp:positionV relativeFrom="margin">
            <wp:posOffset>-1277620</wp:posOffset>
          </wp:positionV>
          <wp:extent cx="1038225" cy="795020"/>
          <wp:effectExtent l="19050" t="0" r="9525" b="0"/>
          <wp:wrapSquare wrapText="bothSides"/>
          <wp:docPr id="2" name="Picture 0" descr="Logo-AJ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JAR.png"/>
                  <pic:cNvPicPr/>
                </pic:nvPicPr>
                <pic:blipFill>
                  <a:blip r:embed="rId2"/>
                  <a:stretch>
                    <a:fillRect/>
                  </a:stretch>
                </pic:blipFill>
                <pic:spPr>
                  <a:xfrm>
                    <a:off x="0" y="0"/>
                    <a:ext cx="1038225" cy="795020"/>
                  </a:xfrm>
                  <a:prstGeom prst="rect">
                    <a:avLst/>
                  </a:prstGeom>
                </pic:spPr>
              </pic:pic>
            </a:graphicData>
          </a:graphic>
        </wp:anchor>
      </w:drawing>
    </w:r>
  </w:p>
  <w:p w:rsidR="002D20C2" w:rsidRPr="002D20C2" w:rsidRDefault="002D20C2" w:rsidP="002D20C2">
    <w:pPr>
      <w:pStyle w:val="NormalWeb"/>
      <w:jc w:val="center"/>
      <w:rPr>
        <w:rFonts w:ascii="Arial" w:hAnsi="Arial" w:cs="Arial"/>
        <w:color w:val="2B2B2B"/>
        <w:sz w:val="32"/>
        <w:szCs w:val="32"/>
        <w:shd w:val="clear" w:color="auto" w:fill="FFFFFF"/>
      </w:rPr>
    </w:pPr>
    <w:r>
      <w:rPr>
        <w:rStyle w:val="Strong"/>
        <w:rFonts w:ascii="Arial" w:hAnsi="Arial" w:cs="Arial"/>
        <w:color w:val="2B2B2B"/>
        <w:sz w:val="32"/>
        <w:szCs w:val="32"/>
        <w:bdr w:val="none" w:sz="0" w:space="0" w:color="auto" w:frame="1"/>
        <w:shd w:val="clear" w:color="auto" w:fill="FFFFFF"/>
      </w:rPr>
      <w:t xml:space="preserve">      </w:t>
    </w:r>
    <w:r w:rsidRPr="002D20C2">
      <w:rPr>
        <w:rStyle w:val="Strong"/>
        <w:rFonts w:ascii="Arial" w:hAnsi="Arial" w:cs="Arial"/>
        <w:color w:val="2B2B2B"/>
        <w:sz w:val="32"/>
        <w:szCs w:val="32"/>
        <w:bdr w:val="none" w:sz="0" w:space="0" w:color="auto" w:frame="1"/>
        <w:shd w:val="clear" w:color="auto" w:fill="FFFFFF"/>
      </w:rPr>
      <w:t>Workshop on Thematic Human Rights Topics from Around the Asia Region</w:t>
    </w:r>
  </w:p>
  <w:p w:rsidR="002D20C2" w:rsidRDefault="00C16220" w:rsidP="00C16220">
    <w:pPr>
      <w:pStyle w:val="NormalWeb"/>
      <w:tabs>
        <w:tab w:val="left" w:pos="1553"/>
        <w:tab w:val="center" w:pos="4680"/>
      </w:tabs>
      <w:rPr>
        <w:rFonts w:asciiTheme="minorHAnsi" w:hAnsiTheme="minorHAnsi" w:cs="Tahoma"/>
        <w:color w:val="000000"/>
        <w:sz w:val="22"/>
        <w:szCs w:val="22"/>
        <w:u w:val="single"/>
        <w:shd w:val="clear" w:color="auto" w:fill="FFFFFF"/>
      </w:rPr>
    </w:pPr>
    <w:r>
      <w:rPr>
        <w:rFonts w:ascii="Arial" w:hAnsi="Arial" w:cs="Arial"/>
        <w:color w:val="2B2B2B"/>
        <w:sz w:val="20"/>
        <w:szCs w:val="20"/>
        <w:shd w:val="clear" w:color="auto" w:fill="FFFFFF"/>
      </w:rPr>
      <w:tab/>
    </w:r>
    <w:r>
      <w:rPr>
        <w:rFonts w:ascii="Arial" w:hAnsi="Arial" w:cs="Arial"/>
        <w:color w:val="2B2B2B"/>
        <w:sz w:val="20"/>
        <w:szCs w:val="20"/>
        <w:shd w:val="clear" w:color="auto" w:fill="FFFFFF"/>
      </w:rPr>
      <w:tab/>
    </w:r>
    <w:r w:rsidR="002D20C2">
      <w:rPr>
        <w:rFonts w:ascii="Arial" w:hAnsi="Arial" w:cs="Arial"/>
        <w:color w:val="2B2B2B"/>
        <w:sz w:val="20"/>
        <w:szCs w:val="20"/>
        <w:shd w:val="clear" w:color="auto" w:fill="FFFFFF"/>
      </w:rPr>
      <w:t xml:space="preserve">August 29th, </w:t>
    </w:r>
    <w:proofErr w:type="spellStart"/>
    <w:r w:rsidR="002D20C2">
      <w:rPr>
        <w:rFonts w:ascii="Arial" w:hAnsi="Arial" w:cs="Arial"/>
        <w:color w:val="2B2B2B"/>
        <w:sz w:val="20"/>
        <w:szCs w:val="20"/>
        <w:shd w:val="clear" w:color="auto" w:fill="FFFFFF"/>
      </w:rPr>
      <w:t>Puri</w:t>
    </w:r>
    <w:proofErr w:type="spellEnd"/>
    <w:r w:rsidR="002D20C2">
      <w:rPr>
        <w:rFonts w:ascii="Arial" w:hAnsi="Arial" w:cs="Arial"/>
        <w:color w:val="2B2B2B"/>
        <w:sz w:val="20"/>
        <w:szCs w:val="20"/>
        <w:shd w:val="clear" w:color="auto" w:fill="FFFFFF"/>
      </w:rPr>
      <w:t xml:space="preserve"> </w:t>
    </w:r>
    <w:proofErr w:type="spellStart"/>
    <w:r w:rsidR="002D20C2">
      <w:rPr>
        <w:rFonts w:ascii="Arial" w:hAnsi="Arial" w:cs="Arial"/>
        <w:color w:val="2B2B2B"/>
        <w:sz w:val="20"/>
        <w:szCs w:val="20"/>
        <w:shd w:val="clear" w:color="auto" w:fill="FFFFFF"/>
      </w:rPr>
      <w:t>Dalem</w:t>
    </w:r>
    <w:proofErr w:type="spellEnd"/>
    <w:r w:rsidR="002D20C2">
      <w:rPr>
        <w:rFonts w:ascii="Arial" w:hAnsi="Arial" w:cs="Arial"/>
        <w:color w:val="2B2B2B"/>
        <w:sz w:val="20"/>
        <w:szCs w:val="20"/>
        <w:shd w:val="clear" w:color="auto" w:fill="FFFFFF"/>
      </w:rPr>
      <w:t xml:space="preserve"> Hotel, Sanur, Bali.</w:t>
    </w:r>
  </w:p>
  <w:p w:rsidR="002D20C2" w:rsidRDefault="002D20C2" w:rsidP="002D20C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5F0"/>
    <w:multiLevelType w:val="multilevel"/>
    <w:tmpl w:val="E2F6AF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1E239A"/>
    <w:multiLevelType w:val="hybridMultilevel"/>
    <w:tmpl w:val="E8D0280C"/>
    <w:lvl w:ilvl="0" w:tplc="0809000B">
      <w:start w:val="1"/>
      <w:numFmt w:val="bullet"/>
      <w:lvlText w:val=""/>
      <w:lvlJc w:val="left"/>
      <w:pPr>
        <w:ind w:left="610" w:hanging="360"/>
      </w:pPr>
      <w:rPr>
        <w:rFonts w:ascii="Wingdings" w:hAnsi="Wingdings"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2">
    <w:nsid w:val="07D77CE3"/>
    <w:multiLevelType w:val="hybridMultilevel"/>
    <w:tmpl w:val="CA8E51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6322A"/>
    <w:multiLevelType w:val="multilevel"/>
    <w:tmpl w:val="834C80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C317101"/>
    <w:multiLevelType w:val="hybridMultilevel"/>
    <w:tmpl w:val="269ECF1E"/>
    <w:lvl w:ilvl="0" w:tplc="08090001">
      <w:start w:val="1"/>
      <w:numFmt w:val="bullet"/>
      <w:lvlText w:val=""/>
      <w:lvlJc w:val="left"/>
      <w:pPr>
        <w:ind w:left="610" w:hanging="360"/>
      </w:pPr>
      <w:rPr>
        <w:rFonts w:ascii="Symbol" w:hAnsi="Symbo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5">
    <w:nsid w:val="102F148C"/>
    <w:multiLevelType w:val="hybridMultilevel"/>
    <w:tmpl w:val="8618E97C"/>
    <w:lvl w:ilvl="0" w:tplc="890645E2">
      <w:start w:val="201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A04FAF"/>
    <w:multiLevelType w:val="hybridMultilevel"/>
    <w:tmpl w:val="5238C246"/>
    <w:lvl w:ilvl="0" w:tplc="F09662F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60892"/>
    <w:multiLevelType w:val="hybridMultilevel"/>
    <w:tmpl w:val="14323622"/>
    <w:lvl w:ilvl="0" w:tplc="890645E2">
      <w:start w:val="20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4A05A0"/>
    <w:multiLevelType w:val="multilevel"/>
    <w:tmpl w:val="E180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AD6BA4"/>
    <w:multiLevelType w:val="multilevel"/>
    <w:tmpl w:val="8B84DE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1D97736C"/>
    <w:multiLevelType w:val="multilevel"/>
    <w:tmpl w:val="683E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D768D0"/>
    <w:multiLevelType w:val="hybridMultilevel"/>
    <w:tmpl w:val="A7B8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4668BF"/>
    <w:multiLevelType w:val="hybridMultilevel"/>
    <w:tmpl w:val="46FA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7B030F"/>
    <w:multiLevelType w:val="hybridMultilevel"/>
    <w:tmpl w:val="EE4A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6F0326"/>
    <w:multiLevelType w:val="hybridMultilevel"/>
    <w:tmpl w:val="7B40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D8528D"/>
    <w:multiLevelType w:val="hybridMultilevel"/>
    <w:tmpl w:val="59F8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B72683"/>
    <w:multiLevelType w:val="hybridMultilevel"/>
    <w:tmpl w:val="50EA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3B5A14"/>
    <w:multiLevelType w:val="multilevel"/>
    <w:tmpl w:val="FA42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9E47D8"/>
    <w:multiLevelType w:val="hybridMultilevel"/>
    <w:tmpl w:val="3D681D02"/>
    <w:lvl w:ilvl="0" w:tplc="890645E2">
      <w:start w:val="20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B510F4"/>
    <w:multiLevelType w:val="hybridMultilevel"/>
    <w:tmpl w:val="30A8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7C32E8"/>
    <w:multiLevelType w:val="multilevel"/>
    <w:tmpl w:val="FA42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83A25A7"/>
    <w:multiLevelType w:val="hybridMultilevel"/>
    <w:tmpl w:val="4564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3B47A2"/>
    <w:multiLevelType w:val="hybridMultilevel"/>
    <w:tmpl w:val="A3D47F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C757A5A"/>
    <w:multiLevelType w:val="hybridMultilevel"/>
    <w:tmpl w:val="4CC2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006299"/>
    <w:multiLevelType w:val="hybridMultilevel"/>
    <w:tmpl w:val="5B5EA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927231"/>
    <w:multiLevelType w:val="hybridMultilevel"/>
    <w:tmpl w:val="02F2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212641"/>
    <w:multiLevelType w:val="hybridMultilevel"/>
    <w:tmpl w:val="AC9C8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F14FFA"/>
    <w:multiLevelType w:val="hybridMultilevel"/>
    <w:tmpl w:val="22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4A5D9C"/>
    <w:multiLevelType w:val="hybridMultilevel"/>
    <w:tmpl w:val="ECEE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5C438B"/>
    <w:multiLevelType w:val="hybridMultilevel"/>
    <w:tmpl w:val="CAE0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715D8A"/>
    <w:multiLevelType w:val="hybridMultilevel"/>
    <w:tmpl w:val="F51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EF35FB"/>
    <w:multiLevelType w:val="hybridMultilevel"/>
    <w:tmpl w:val="1316A3EE"/>
    <w:lvl w:ilvl="0" w:tplc="0809000D">
      <w:start w:val="1"/>
      <w:numFmt w:val="bullet"/>
      <w:lvlText w:val=""/>
      <w:lvlJc w:val="left"/>
      <w:pPr>
        <w:ind w:left="250" w:hanging="360"/>
      </w:pPr>
      <w:rPr>
        <w:rFonts w:ascii="Wingdings" w:hAnsi="Wingdings" w:hint="default"/>
      </w:rPr>
    </w:lvl>
    <w:lvl w:ilvl="1" w:tplc="08090003" w:tentative="1">
      <w:start w:val="1"/>
      <w:numFmt w:val="bullet"/>
      <w:lvlText w:val="o"/>
      <w:lvlJc w:val="left"/>
      <w:pPr>
        <w:ind w:left="970" w:hanging="360"/>
      </w:pPr>
      <w:rPr>
        <w:rFonts w:ascii="Courier New" w:hAnsi="Courier New" w:cs="Courier New" w:hint="default"/>
      </w:rPr>
    </w:lvl>
    <w:lvl w:ilvl="2" w:tplc="08090005" w:tentative="1">
      <w:start w:val="1"/>
      <w:numFmt w:val="bullet"/>
      <w:lvlText w:val=""/>
      <w:lvlJc w:val="left"/>
      <w:pPr>
        <w:ind w:left="1690" w:hanging="360"/>
      </w:pPr>
      <w:rPr>
        <w:rFonts w:ascii="Wingdings" w:hAnsi="Wingdings" w:hint="default"/>
      </w:rPr>
    </w:lvl>
    <w:lvl w:ilvl="3" w:tplc="08090001" w:tentative="1">
      <w:start w:val="1"/>
      <w:numFmt w:val="bullet"/>
      <w:lvlText w:val=""/>
      <w:lvlJc w:val="left"/>
      <w:pPr>
        <w:ind w:left="2410" w:hanging="360"/>
      </w:pPr>
      <w:rPr>
        <w:rFonts w:ascii="Symbol" w:hAnsi="Symbol" w:hint="default"/>
      </w:rPr>
    </w:lvl>
    <w:lvl w:ilvl="4" w:tplc="08090003" w:tentative="1">
      <w:start w:val="1"/>
      <w:numFmt w:val="bullet"/>
      <w:lvlText w:val="o"/>
      <w:lvlJc w:val="left"/>
      <w:pPr>
        <w:ind w:left="3130" w:hanging="360"/>
      </w:pPr>
      <w:rPr>
        <w:rFonts w:ascii="Courier New" w:hAnsi="Courier New" w:cs="Courier New" w:hint="default"/>
      </w:rPr>
    </w:lvl>
    <w:lvl w:ilvl="5" w:tplc="08090005" w:tentative="1">
      <w:start w:val="1"/>
      <w:numFmt w:val="bullet"/>
      <w:lvlText w:val=""/>
      <w:lvlJc w:val="left"/>
      <w:pPr>
        <w:ind w:left="3850" w:hanging="360"/>
      </w:pPr>
      <w:rPr>
        <w:rFonts w:ascii="Wingdings" w:hAnsi="Wingdings" w:hint="default"/>
      </w:rPr>
    </w:lvl>
    <w:lvl w:ilvl="6" w:tplc="08090001" w:tentative="1">
      <w:start w:val="1"/>
      <w:numFmt w:val="bullet"/>
      <w:lvlText w:val=""/>
      <w:lvlJc w:val="left"/>
      <w:pPr>
        <w:ind w:left="4570" w:hanging="360"/>
      </w:pPr>
      <w:rPr>
        <w:rFonts w:ascii="Symbol" w:hAnsi="Symbol" w:hint="default"/>
      </w:rPr>
    </w:lvl>
    <w:lvl w:ilvl="7" w:tplc="08090003" w:tentative="1">
      <w:start w:val="1"/>
      <w:numFmt w:val="bullet"/>
      <w:lvlText w:val="o"/>
      <w:lvlJc w:val="left"/>
      <w:pPr>
        <w:ind w:left="5290" w:hanging="360"/>
      </w:pPr>
      <w:rPr>
        <w:rFonts w:ascii="Courier New" w:hAnsi="Courier New" w:cs="Courier New" w:hint="default"/>
      </w:rPr>
    </w:lvl>
    <w:lvl w:ilvl="8" w:tplc="08090005" w:tentative="1">
      <w:start w:val="1"/>
      <w:numFmt w:val="bullet"/>
      <w:lvlText w:val=""/>
      <w:lvlJc w:val="left"/>
      <w:pPr>
        <w:ind w:left="6010" w:hanging="360"/>
      </w:pPr>
      <w:rPr>
        <w:rFonts w:ascii="Wingdings" w:hAnsi="Wingdings" w:hint="default"/>
      </w:rPr>
    </w:lvl>
  </w:abstractNum>
  <w:abstractNum w:abstractNumId="32">
    <w:nsid w:val="6F0D1934"/>
    <w:multiLevelType w:val="multilevel"/>
    <w:tmpl w:val="397472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70400AB8"/>
    <w:multiLevelType w:val="hybridMultilevel"/>
    <w:tmpl w:val="C97A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D71D42"/>
    <w:multiLevelType w:val="hybridMultilevel"/>
    <w:tmpl w:val="CD6EB062"/>
    <w:lvl w:ilvl="0" w:tplc="0809000B">
      <w:start w:val="1"/>
      <w:numFmt w:val="bullet"/>
      <w:lvlText w:val=""/>
      <w:lvlJc w:val="left"/>
      <w:pPr>
        <w:ind w:left="250" w:hanging="360"/>
      </w:pPr>
      <w:rPr>
        <w:rFonts w:ascii="Wingdings" w:hAnsi="Wingdings" w:hint="default"/>
      </w:rPr>
    </w:lvl>
    <w:lvl w:ilvl="1" w:tplc="08090003" w:tentative="1">
      <w:start w:val="1"/>
      <w:numFmt w:val="bullet"/>
      <w:lvlText w:val="o"/>
      <w:lvlJc w:val="left"/>
      <w:pPr>
        <w:ind w:left="970" w:hanging="360"/>
      </w:pPr>
      <w:rPr>
        <w:rFonts w:ascii="Courier New" w:hAnsi="Courier New" w:cs="Courier New" w:hint="default"/>
      </w:rPr>
    </w:lvl>
    <w:lvl w:ilvl="2" w:tplc="08090005" w:tentative="1">
      <w:start w:val="1"/>
      <w:numFmt w:val="bullet"/>
      <w:lvlText w:val=""/>
      <w:lvlJc w:val="left"/>
      <w:pPr>
        <w:ind w:left="1690" w:hanging="360"/>
      </w:pPr>
      <w:rPr>
        <w:rFonts w:ascii="Wingdings" w:hAnsi="Wingdings" w:hint="default"/>
      </w:rPr>
    </w:lvl>
    <w:lvl w:ilvl="3" w:tplc="08090001" w:tentative="1">
      <w:start w:val="1"/>
      <w:numFmt w:val="bullet"/>
      <w:lvlText w:val=""/>
      <w:lvlJc w:val="left"/>
      <w:pPr>
        <w:ind w:left="2410" w:hanging="360"/>
      </w:pPr>
      <w:rPr>
        <w:rFonts w:ascii="Symbol" w:hAnsi="Symbol" w:hint="default"/>
      </w:rPr>
    </w:lvl>
    <w:lvl w:ilvl="4" w:tplc="08090003" w:tentative="1">
      <w:start w:val="1"/>
      <w:numFmt w:val="bullet"/>
      <w:lvlText w:val="o"/>
      <w:lvlJc w:val="left"/>
      <w:pPr>
        <w:ind w:left="3130" w:hanging="360"/>
      </w:pPr>
      <w:rPr>
        <w:rFonts w:ascii="Courier New" w:hAnsi="Courier New" w:cs="Courier New" w:hint="default"/>
      </w:rPr>
    </w:lvl>
    <w:lvl w:ilvl="5" w:tplc="08090005" w:tentative="1">
      <w:start w:val="1"/>
      <w:numFmt w:val="bullet"/>
      <w:lvlText w:val=""/>
      <w:lvlJc w:val="left"/>
      <w:pPr>
        <w:ind w:left="3850" w:hanging="360"/>
      </w:pPr>
      <w:rPr>
        <w:rFonts w:ascii="Wingdings" w:hAnsi="Wingdings" w:hint="default"/>
      </w:rPr>
    </w:lvl>
    <w:lvl w:ilvl="6" w:tplc="08090001" w:tentative="1">
      <w:start w:val="1"/>
      <w:numFmt w:val="bullet"/>
      <w:lvlText w:val=""/>
      <w:lvlJc w:val="left"/>
      <w:pPr>
        <w:ind w:left="4570" w:hanging="360"/>
      </w:pPr>
      <w:rPr>
        <w:rFonts w:ascii="Symbol" w:hAnsi="Symbol" w:hint="default"/>
      </w:rPr>
    </w:lvl>
    <w:lvl w:ilvl="7" w:tplc="08090003" w:tentative="1">
      <w:start w:val="1"/>
      <w:numFmt w:val="bullet"/>
      <w:lvlText w:val="o"/>
      <w:lvlJc w:val="left"/>
      <w:pPr>
        <w:ind w:left="5290" w:hanging="360"/>
      </w:pPr>
      <w:rPr>
        <w:rFonts w:ascii="Courier New" w:hAnsi="Courier New" w:cs="Courier New" w:hint="default"/>
      </w:rPr>
    </w:lvl>
    <w:lvl w:ilvl="8" w:tplc="08090005" w:tentative="1">
      <w:start w:val="1"/>
      <w:numFmt w:val="bullet"/>
      <w:lvlText w:val=""/>
      <w:lvlJc w:val="left"/>
      <w:pPr>
        <w:ind w:left="6010" w:hanging="360"/>
      </w:pPr>
      <w:rPr>
        <w:rFonts w:ascii="Wingdings" w:hAnsi="Wingdings" w:hint="default"/>
      </w:rPr>
    </w:lvl>
  </w:abstractNum>
  <w:abstractNum w:abstractNumId="35">
    <w:nsid w:val="76BA0124"/>
    <w:multiLevelType w:val="hybridMultilevel"/>
    <w:tmpl w:val="D2606DA8"/>
    <w:lvl w:ilvl="0" w:tplc="890645E2">
      <w:start w:val="20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012D5E"/>
    <w:multiLevelType w:val="hybridMultilevel"/>
    <w:tmpl w:val="36D8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C55F91"/>
    <w:multiLevelType w:val="hybridMultilevel"/>
    <w:tmpl w:val="23DA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36"/>
  </w:num>
  <w:num w:numId="4">
    <w:abstractNumId w:val="5"/>
  </w:num>
  <w:num w:numId="5">
    <w:abstractNumId w:val="16"/>
  </w:num>
  <w:num w:numId="6">
    <w:abstractNumId w:val="14"/>
  </w:num>
  <w:num w:numId="7">
    <w:abstractNumId w:val="18"/>
  </w:num>
  <w:num w:numId="8">
    <w:abstractNumId w:val="7"/>
  </w:num>
  <w:num w:numId="9">
    <w:abstractNumId w:val="29"/>
  </w:num>
  <w:num w:numId="10">
    <w:abstractNumId w:val="6"/>
  </w:num>
  <w:num w:numId="11">
    <w:abstractNumId w:val="27"/>
  </w:num>
  <w:num w:numId="12">
    <w:abstractNumId w:val="35"/>
  </w:num>
  <w:num w:numId="13">
    <w:abstractNumId w:val="30"/>
  </w:num>
  <w:num w:numId="14">
    <w:abstractNumId w:val="9"/>
  </w:num>
  <w:num w:numId="15">
    <w:abstractNumId w:val="26"/>
  </w:num>
  <w:num w:numId="16">
    <w:abstractNumId w:val="32"/>
  </w:num>
  <w:num w:numId="17">
    <w:abstractNumId w:val="33"/>
  </w:num>
  <w:num w:numId="18">
    <w:abstractNumId w:val="3"/>
  </w:num>
  <w:num w:numId="19">
    <w:abstractNumId w:val="0"/>
  </w:num>
  <w:num w:numId="20">
    <w:abstractNumId w:val="24"/>
  </w:num>
  <w:num w:numId="21">
    <w:abstractNumId w:val="37"/>
  </w:num>
  <w:num w:numId="22">
    <w:abstractNumId w:val="13"/>
  </w:num>
  <w:num w:numId="23">
    <w:abstractNumId w:val="15"/>
  </w:num>
  <w:num w:numId="24">
    <w:abstractNumId w:val="25"/>
  </w:num>
  <w:num w:numId="25">
    <w:abstractNumId w:val="19"/>
  </w:num>
  <w:num w:numId="26">
    <w:abstractNumId w:val="11"/>
  </w:num>
  <w:num w:numId="27">
    <w:abstractNumId w:val="12"/>
  </w:num>
  <w:num w:numId="28">
    <w:abstractNumId w:val="23"/>
  </w:num>
  <w:num w:numId="29">
    <w:abstractNumId w:val="8"/>
  </w:num>
  <w:num w:numId="30">
    <w:abstractNumId w:val="10"/>
  </w:num>
  <w:num w:numId="31">
    <w:abstractNumId w:val="17"/>
  </w:num>
  <w:num w:numId="32">
    <w:abstractNumId w:val="20"/>
  </w:num>
  <w:num w:numId="33">
    <w:abstractNumId w:val="4"/>
  </w:num>
  <w:num w:numId="34">
    <w:abstractNumId w:val="2"/>
  </w:num>
  <w:num w:numId="35">
    <w:abstractNumId w:val="34"/>
  </w:num>
  <w:num w:numId="36">
    <w:abstractNumId w:val="1"/>
  </w:num>
  <w:num w:numId="37">
    <w:abstractNumId w:val="2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129"/>
    <w:rsid w:val="00000C10"/>
    <w:rsid w:val="00022A23"/>
    <w:rsid w:val="00052DFD"/>
    <w:rsid w:val="00054BC6"/>
    <w:rsid w:val="00057F3E"/>
    <w:rsid w:val="000B12E0"/>
    <w:rsid w:val="000E1222"/>
    <w:rsid w:val="000E319F"/>
    <w:rsid w:val="000E36E5"/>
    <w:rsid w:val="000F5F65"/>
    <w:rsid w:val="001057FD"/>
    <w:rsid w:val="00113B14"/>
    <w:rsid w:val="00124543"/>
    <w:rsid w:val="00136AF0"/>
    <w:rsid w:val="0014256A"/>
    <w:rsid w:val="00146A2A"/>
    <w:rsid w:val="00156CC7"/>
    <w:rsid w:val="00160BF5"/>
    <w:rsid w:val="00194F78"/>
    <w:rsid w:val="001A007E"/>
    <w:rsid w:val="001B27ED"/>
    <w:rsid w:val="001D3343"/>
    <w:rsid w:val="001E43C1"/>
    <w:rsid w:val="001E4FA1"/>
    <w:rsid w:val="001F521A"/>
    <w:rsid w:val="0020148E"/>
    <w:rsid w:val="002076AD"/>
    <w:rsid w:val="002423D8"/>
    <w:rsid w:val="00245F7E"/>
    <w:rsid w:val="0026692E"/>
    <w:rsid w:val="002806B7"/>
    <w:rsid w:val="002830E1"/>
    <w:rsid w:val="00290863"/>
    <w:rsid w:val="002B7F38"/>
    <w:rsid w:val="002C68A8"/>
    <w:rsid w:val="002D20C2"/>
    <w:rsid w:val="002D2D3A"/>
    <w:rsid w:val="002D6C64"/>
    <w:rsid w:val="002E366C"/>
    <w:rsid w:val="002F2CA1"/>
    <w:rsid w:val="00307B96"/>
    <w:rsid w:val="00322CF7"/>
    <w:rsid w:val="00350E2A"/>
    <w:rsid w:val="0035253C"/>
    <w:rsid w:val="00374153"/>
    <w:rsid w:val="00393002"/>
    <w:rsid w:val="003A7AF8"/>
    <w:rsid w:val="003F5F10"/>
    <w:rsid w:val="00401F9C"/>
    <w:rsid w:val="00450315"/>
    <w:rsid w:val="00454E8A"/>
    <w:rsid w:val="0047260D"/>
    <w:rsid w:val="004A4E72"/>
    <w:rsid w:val="004B327A"/>
    <w:rsid w:val="004B3E64"/>
    <w:rsid w:val="004D2E84"/>
    <w:rsid w:val="004D79A9"/>
    <w:rsid w:val="004F645F"/>
    <w:rsid w:val="004F7E31"/>
    <w:rsid w:val="00500F04"/>
    <w:rsid w:val="00501221"/>
    <w:rsid w:val="005025BB"/>
    <w:rsid w:val="00536431"/>
    <w:rsid w:val="0053772B"/>
    <w:rsid w:val="00582B27"/>
    <w:rsid w:val="00584422"/>
    <w:rsid w:val="0058445A"/>
    <w:rsid w:val="0058487D"/>
    <w:rsid w:val="0059112E"/>
    <w:rsid w:val="005B49D4"/>
    <w:rsid w:val="005D4E78"/>
    <w:rsid w:val="005F0B8C"/>
    <w:rsid w:val="0060009E"/>
    <w:rsid w:val="006057C8"/>
    <w:rsid w:val="00634F19"/>
    <w:rsid w:val="006356EF"/>
    <w:rsid w:val="0066061A"/>
    <w:rsid w:val="00661738"/>
    <w:rsid w:val="00665501"/>
    <w:rsid w:val="00680388"/>
    <w:rsid w:val="00683D6E"/>
    <w:rsid w:val="00686D23"/>
    <w:rsid w:val="006A25B4"/>
    <w:rsid w:val="006C4E43"/>
    <w:rsid w:val="00717B21"/>
    <w:rsid w:val="00724436"/>
    <w:rsid w:val="0072492F"/>
    <w:rsid w:val="007321FF"/>
    <w:rsid w:val="00764C60"/>
    <w:rsid w:val="00765810"/>
    <w:rsid w:val="007768E2"/>
    <w:rsid w:val="00785D41"/>
    <w:rsid w:val="00790E7C"/>
    <w:rsid w:val="007A1BCF"/>
    <w:rsid w:val="007A7D4D"/>
    <w:rsid w:val="007B16A4"/>
    <w:rsid w:val="007C2F1C"/>
    <w:rsid w:val="007C60AD"/>
    <w:rsid w:val="007D32E2"/>
    <w:rsid w:val="007E4388"/>
    <w:rsid w:val="007F0F8A"/>
    <w:rsid w:val="007F35C1"/>
    <w:rsid w:val="0081131D"/>
    <w:rsid w:val="00821837"/>
    <w:rsid w:val="0082492D"/>
    <w:rsid w:val="00827B96"/>
    <w:rsid w:val="00836E90"/>
    <w:rsid w:val="00845FFF"/>
    <w:rsid w:val="008721AB"/>
    <w:rsid w:val="00880827"/>
    <w:rsid w:val="008846EE"/>
    <w:rsid w:val="008911EF"/>
    <w:rsid w:val="008B254B"/>
    <w:rsid w:val="008B63AF"/>
    <w:rsid w:val="008B6C43"/>
    <w:rsid w:val="008C5F9E"/>
    <w:rsid w:val="008D3DAB"/>
    <w:rsid w:val="008D5D40"/>
    <w:rsid w:val="008D71EC"/>
    <w:rsid w:val="008E76B0"/>
    <w:rsid w:val="0090240A"/>
    <w:rsid w:val="00905C03"/>
    <w:rsid w:val="00915128"/>
    <w:rsid w:val="0091603E"/>
    <w:rsid w:val="0092240C"/>
    <w:rsid w:val="00935501"/>
    <w:rsid w:val="00935E18"/>
    <w:rsid w:val="0093616A"/>
    <w:rsid w:val="009402F8"/>
    <w:rsid w:val="00940FA5"/>
    <w:rsid w:val="00942E9D"/>
    <w:rsid w:val="00951E58"/>
    <w:rsid w:val="009640FD"/>
    <w:rsid w:val="009844A7"/>
    <w:rsid w:val="009A05EF"/>
    <w:rsid w:val="009A6D77"/>
    <w:rsid w:val="00A00DCE"/>
    <w:rsid w:val="00A05234"/>
    <w:rsid w:val="00A12AA7"/>
    <w:rsid w:val="00A1736C"/>
    <w:rsid w:val="00A270BC"/>
    <w:rsid w:val="00A46780"/>
    <w:rsid w:val="00A76273"/>
    <w:rsid w:val="00A91DE2"/>
    <w:rsid w:val="00AA0A7F"/>
    <w:rsid w:val="00AC3BD1"/>
    <w:rsid w:val="00AC520F"/>
    <w:rsid w:val="00AC6752"/>
    <w:rsid w:val="00AF7BC3"/>
    <w:rsid w:val="00B10FE0"/>
    <w:rsid w:val="00B16415"/>
    <w:rsid w:val="00B243F0"/>
    <w:rsid w:val="00B25A13"/>
    <w:rsid w:val="00B51178"/>
    <w:rsid w:val="00B80FBC"/>
    <w:rsid w:val="00B87E5C"/>
    <w:rsid w:val="00B95104"/>
    <w:rsid w:val="00BA73E1"/>
    <w:rsid w:val="00BB364C"/>
    <w:rsid w:val="00BC0378"/>
    <w:rsid w:val="00BF4FC6"/>
    <w:rsid w:val="00C16220"/>
    <w:rsid w:val="00C2000C"/>
    <w:rsid w:val="00C22589"/>
    <w:rsid w:val="00C326A5"/>
    <w:rsid w:val="00C35DD1"/>
    <w:rsid w:val="00C35F8F"/>
    <w:rsid w:val="00C67963"/>
    <w:rsid w:val="00CA4181"/>
    <w:rsid w:val="00CA59AE"/>
    <w:rsid w:val="00CB02D0"/>
    <w:rsid w:val="00CB0676"/>
    <w:rsid w:val="00CB74CC"/>
    <w:rsid w:val="00CE3A88"/>
    <w:rsid w:val="00D07EA6"/>
    <w:rsid w:val="00D223B5"/>
    <w:rsid w:val="00D23B3E"/>
    <w:rsid w:val="00D25F9B"/>
    <w:rsid w:val="00D66B44"/>
    <w:rsid w:val="00D71F28"/>
    <w:rsid w:val="00D96360"/>
    <w:rsid w:val="00DC5BBD"/>
    <w:rsid w:val="00E10452"/>
    <w:rsid w:val="00E23129"/>
    <w:rsid w:val="00E4468D"/>
    <w:rsid w:val="00E521CC"/>
    <w:rsid w:val="00E6179D"/>
    <w:rsid w:val="00E654F2"/>
    <w:rsid w:val="00E761F7"/>
    <w:rsid w:val="00E921B8"/>
    <w:rsid w:val="00ED2DA4"/>
    <w:rsid w:val="00ED5E87"/>
    <w:rsid w:val="00EE32FB"/>
    <w:rsid w:val="00EF279A"/>
    <w:rsid w:val="00EF54F1"/>
    <w:rsid w:val="00F0620D"/>
    <w:rsid w:val="00F201B8"/>
    <w:rsid w:val="00F52009"/>
    <w:rsid w:val="00F64CB9"/>
    <w:rsid w:val="00F676C4"/>
    <w:rsid w:val="00F9378E"/>
    <w:rsid w:val="00F97D44"/>
    <w:rsid w:val="00FA063E"/>
    <w:rsid w:val="00FA50EB"/>
    <w:rsid w:val="00FA7E6F"/>
    <w:rsid w:val="00FC3759"/>
    <w:rsid w:val="00FC77C3"/>
    <w:rsid w:val="00FD1D83"/>
    <w:rsid w:val="00FD722D"/>
    <w:rsid w:val="00FF3B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129"/>
  </w:style>
  <w:style w:type="paragraph" w:styleId="Footer">
    <w:name w:val="footer"/>
    <w:basedOn w:val="Normal"/>
    <w:link w:val="FooterChar"/>
    <w:uiPriority w:val="99"/>
    <w:unhideWhenUsed/>
    <w:rsid w:val="00E23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129"/>
  </w:style>
  <w:style w:type="paragraph" w:styleId="ListParagraph">
    <w:name w:val="List Paragraph"/>
    <w:basedOn w:val="Normal"/>
    <w:uiPriority w:val="34"/>
    <w:qFormat/>
    <w:rsid w:val="00E23129"/>
    <w:pPr>
      <w:ind w:left="720"/>
      <w:contextualSpacing/>
    </w:pPr>
  </w:style>
  <w:style w:type="paragraph" w:styleId="Quote">
    <w:name w:val="Quote"/>
    <w:basedOn w:val="Normal"/>
    <w:next w:val="Normal"/>
    <w:link w:val="QuoteChar"/>
    <w:uiPriority w:val="29"/>
    <w:qFormat/>
    <w:rsid w:val="00E23129"/>
    <w:pPr>
      <w:spacing w:after="0" w:line="240" w:lineRule="auto"/>
    </w:pPr>
    <w:rPr>
      <w:rFonts w:ascii="Calibri" w:eastAsia="Calibri" w:hAnsi="Calibri" w:cs="Cordia New"/>
      <w:i/>
      <w:iCs/>
      <w:color w:val="4BACC6"/>
      <w:szCs w:val="28"/>
      <w:lang w:bidi="th-TH"/>
    </w:rPr>
  </w:style>
  <w:style w:type="character" w:customStyle="1" w:styleId="QuoteChar">
    <w:name w:val="Quote Char"/>
    <w:basedOn w:val="DefaultParagraphFont"/>
    <w:link w:val="Quote"/>
    <w:uiPriority w:val="29"/>
    <w:rsid w:val="00E23129"/>
    <w:rPr>
      <w:rFonts w:ascii="Calibri" w:eastAsia="Calibri" w:hAnsi="Calibri" w:cs="Cordia New"/>
      <w:i/>
      <w:iCs/>
      <w:color w:val="4BACC6"/>
      <w:szCs w:val="28"/>
      <w:lang w:bidi="th-TH"/>
    </w:rPr>
  </w:style>
  <w:style w:type="table" w:customStyle="1" w:styleId="TableGrid1">
    <w:name w:val="Table Grid1"/>
    <w:basedOn w:val="TableNormal"/>
    <w:next w:val="TableGrid"/>
    <w:uiPriority w:val="59"/>
    <w:rsid w:val="00E231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23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65810"/>
    <w:rPr>
      <w:sz w:val="16"/>
      <w:szCs w:val="16"/>
    </w:rPr>
  </w:style>
  <w:style w:type="paragraph" w:styleId="CommentText">
    <w:name w:val="annotation text"/>
    <w:basedOn w:val="Normal"/>
    <w:link w:val="CommentTextChar"/>
    <w:uiPriority w:val="99"/>
    <w:unhideWhenUsed/>
    <w:rsid w:val="00765810"/>
    <w:pPr>
      <w:spacing w:after="120" w:line="240" w:lineRule="auto"/>
    </w:pPr>
    <w:rPr>
      <w:rFonts w:ascii="Arial" w:eastAsia="Arial" w:hAnsi="Arial" w:cs="Times New Roman"/>
      <w:sz w:val="20"/>
      <w:szCs w:val="20"/>
      <w:lang w:val="en-AU" w:eastAsia="en-AU"/>
    </w:rPr>
  </w:style>
  <w:style w:type="character" w:customStyle="1" w:styleId="CommentTextChar">
    <w:name w:val="Comment Text Char"/>
    <w:basedOn w:val="DefaultParagraphFont"/>
    <w:link w:val="CommentText"/>
    <w:uiPriority w:val="99"/>
    <w:rsid w:val="00765810"/>
    <w:rPr>
      <w:rFonts w:ascii="Arial" w:eastAsia="Arial" w:hAnsi="Arial" w:cs="Times New Roman"/>
      <w:sz w:val="20"/>
      <w:szCs w:val="20"/>
      <w:lang w:val="en-AU" w:eastAsia="en-AU"/>
    </w:rPr>
  </w:style>
  <w:style w:type="paragraph" w:styleId="BalloonText">
    <w:name w:val="Balloon Text"/>
    <w:basedOn w:val="Normal"/>
    <w:link w:val="BalloonTextChar"/>
    <w:uiPriority w:val="99"/>
    <w:semiHidden/>
    <w:unhideWhenUsed/>
    <w:rsid w:val="00765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81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0FE0"/>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10FE0"/>
    <w:rPr>
      <w:rFonts w:ascii="Arial" w:eastAsia="Arial" w:hAnsi="Arial" w:cs="Times New Roman"/>
      <w:b/>
      <w:bCs/>
      <w:sz w:val="20"/>
      <w:szCs w:val="20"/>
      <w:lang w:val="en-AU" w:eastAsia="en-AU"/>
    </w:rPr>
  </w:style>
  <w:style w:type="paragraph" w:styleId="NormalWeb">
    <w:name w:val="Normal (Web)"/>
    <w:basedOn w:val="Normal"/>
    <w:uiPriority w:val="99"/>
    <w:unhideWhenUsed/>
    <w:rsid w:val="00160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0BF5"/>
  </w:style>
  <w:style w:type="character" w:styleId="Emphasis">
    <w:name w:val="Emphasis"/>
    <w:basedOn w:val="DefaultParagraphFont"/>
    <w:uiPriority w:val="20"/>
    <w:qFormat/>
    <w:rsid w:val="00160BF5"/>
    <w:rPr>
      <w:i/>
      <w:iCs/>
    </w:rPr>
  </w:style>
  <w:style w:type="paragraph" w:customStyle="1" w:styleId="Normal1">
    <w:name w:val="Normal1"/>
    <w:rsid w:val="0020148E"/>
    <w:rPr>
      <w:rFonts w:ascii="Calibri" w:eastAsia="Calibri" w:hAnsi="Calibri" w:cs="Calibri"/>
      <w:color w:val="000000"/>
    </w:rPr>
  </w:style>
  <w:style w:type="character" w:styleId="Strong">
    <w:name w:val="Strong"/>
    <w:basedOn w:val="DefaultParagraphFont"/>
    <w:uiPriority w:val="22"/>
    <w:qFormat/>
    <w:rsid w:val="0053772B"/>
    <w:rPr>
      <w:b/>
      <w:bCs/>
    </w:rPr>
  </w:style>
  <w:style w:type="character" w:styleId="Hyperlink">
    <w:name w:val="Hyperlink"/>
    <w:basedOn w:val="DefaultParagraphFont"/>
    <w:uiPriority w:val="99"/>
    <w:semiHidden/>
    <w:unhideWhenUsed/>
    <w:rsid w:val="008721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129"/>
  </w:style>
  <w:style w:type="paragraph" w:styleId="Footer">
    <w:name w:val="footer"/>
    <w:basedOn w:val="Normal"/>
    <w:link w:val="FooterChar"/>
    <w:uiPriority w:val="99"/>
    <w:unhideWhenUsed/>
    <w:rsid w:val="00E23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129"/>
  </w:style>
  <w:style w:type="paragraph" w:styleId="ListParagraph">
    <w:name w:val="List Paragraph"/>
    <w:basedOn w:val="Normal"/>
    <w:uiPriority w:val="34"/>
    <w:qFormat/>
    <w:rsid w:val="00E23129"/>
    <w:pPr>
      <w:ind w:left="720"/>
      <w:contextualSpacing/>
    </w:pPr>
  </w:style>
  <w:style w:type="paragraph" w:styleId="Quote">
    <w:name w:val="Quote"/>
    <w:basedOn w:val="Normal"/>
    <w:next w:val="Normal"/>
    <w:link w:val="QuoteChar"/>
    <w:uiPriority w:val="29"/>
    <w:qFormat/>
    <w:rsid w:val="00E23129"/>
    <w:pPr>
      <w:spacing w:after="0" w:line="240" w:lineRule="auto"/>
    </w:pPr>
    <w:rPr>
      <w:rFonts w:ascii="Calibri" w:eastAsia="Calibri" w:hAnsi="Calibri" w:cs="Cordia New"/>
      <w:i/>
      <w:iCs/>
      <w:color w:val="4BACC6"/>
      <w:szCs w:val="28"/>
      <w:lang w:bidi="th-TH"/>
    </w:rPr>
  </w:style>
  <w:style w:type="character" w:customStyle="1" w:styleId="QuoteChar">
    <w:name w:val="Quote Char"/>
    <w:basedOn w:val="DefaultParagraphFont"/>
    <w:link w:val="Quote"/>
    <w:uiPriority w:val="29"/>
    <w:rsid w:val="00E23129"/>
    <w:rPr>
      <w:rFonts w:ascii="Calibri" w:eastAsia="Calibri" w:hAnsi="Calibri" w:cs="Cordia New"/>
      <w:i/>
      <w:iCs/>
      <w:color w:val="4BACC6"/>
      <w:szCs w:val="28"/>
      <w:lang w:bidi="th-TH"/>
    </w:rPr>
  </w:style>
  <w:style w:type="table" w:customStyle="1" w:styleId="TableGrid1">
    <w:name w:val="Table Grid1"/>
    <w:basedOn w:val="TableNormal"/>
    <w:next w:val="TableGrid"/>
    <w:uiPriority w:val="59"/>
    <w:rsid w:val="00E231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23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65810"/>
    <w:rPr>
      <w:sz w:val="16"/>
      <w:szCs w:val="16"/>
    </w:rPr>
  </w:style>
  <w:style w:type="paragraph" w:styleId="CommentText">
    <w:name w:val="annotation text"/>
    <w:basedOn w:val="Normal"/>
    <w:link w:val="CommentTextChar"/>
    <w:uiPriority w:val="99"/>
    <w:unhideWhenUsed/>
    <w:rsid w:val="00765810"/>
    <w:pPr>
      <w:spacing w:after="120" w:line="240" w:lineRule="auto"/>
    </w:pPr>
    <w:rPr>
      <w:rFonts w:ascii="Arial" w:eastAsia="Arial" w:hAnsi="Arial" w:cs="Times New Roman"/>
      <w:sz w:val="20"/>
      <w:szCs w:val="20"/>
      <w:lang w:val="en-AU" w:eastAsia="en-AU"/>
    </w:rPr>
  </w:style>
  <w:style w:type="character" w:customStyle="1" w:styleId="CommentTextChar">
    <w:name w:val="Comment Text Char"/>
    <w:basedOn w:val="DefaultParagraphFont"/>
    <w:link w:val="CommentText"/>
    <w:uiPriority w:val="99"/>
    <w:rsid w:val="00765810"/>
    <w:rPr>
      <w:rFonts w:ascii="Arial" w:eastAsia="Arial" w:hAnsi="Arial" w:cs="Times New Roman"/>
      <w:sz w:val="20"/>
      <w:szCs w:val="20"/>
      <w:lang w:val="en-AU" w:eastAsia="en-AU"/>
    </w:rPr>
  </w:style>
  <w:style w:type="paragraph" w:styleId="BalloonText">
    <w:name w:val="Balloon Text"/>
    <w:basedOn w:val="Normal"/>
    <w:link w:val="BalloonTextChar"/>
    <w:uiPriority w:val="99"/>
    <w:semiHidden/>
    <w:unhideWhenUsed/>
    <w:rsid w:val="00765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81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0FE0"/>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10FE0"/>
    <w:rPr>
      <w:rFonts w:ascii="Arial" w:eastAsia="Arial" w:hAnsi="Arial" w:cs="Times New Roman"/>
      <w:b/>
      <w:bCs/>
      <w:sz w:val="20"/>
      <w:szCs w:val="20"/>
      <w:lang w:val="en-AU" w:eastAsia="en-AU"/>
    </w:rPr>
  </w:style>
  <w:style w:type="paragraph" w:styleId="NormalWeb">
    <w:name w:val="Normal (Web)"/>
    <w:basedOn w:val="Normal"/>
    <w:uiPriority w:val="99"/>
    <w:unhideWhenUsed/>
    <w:rsid w:val="00160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0BF5"/>
  </w:style>
  <w:style w:type="character" w:styleId="Emphasis">
    <w:name w:val="Emphasis"/>
    <w:basedOn w:val="DefaultParagraphFont"/>
    <w:uiPriority w:val="20"/>
    <w:qFormat/>
    <w:rsid w:val="00160BF5"/>
    <w:rPr>
      <w:i/>
      <w:iCs/>
    </w:rPr>
  </w:style>
  <w:style w:type="paragraph" w:customStyle="1" w:styleId="Normal1">
    <w:name w:val="Normal1"/>
    <w:rsid w:val="0020148E"/>
    <w:rPr>
      <w:rFonts w:ascii="Calibri" w:eastAsia="Calibri" w:hAnsi="Calibri" w:cs="Calibri"/>
      <w:color w:val="000000"/>
    </w:rPr>
  </w:style>
  <w:style w:type="character" w:styleId="Strong">
    <w:name w:val="Strong"/>
    <w:basedOn w:val="DefaultParagraphFont"/>
    <w:uiPriority w:val="22"/>
    <w:qFormat/>
    <w:rsid w:val="0053772B"/>
    <w:rPr>
      <w:b/>
      <w:bCs/>
    </w:rPr>
  </w:style>
  <w:style w:type="character" w:styleId="Hyperlink">
    <w:name w:val="Hyperlink"/>
    <w:basedOn w:val="DefaultParagraphFont"/>
    <w:uiPriority w:val="99"/>
    <w:semiHidden/>
    <w:unhideWhenUsed/>
    <w:rsid w:val="008721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634264">
      <w:bodyDiv w:val="1"/>
      <w:marLeft w:val="0"/>
      <w:marRight w:val="0"/>
      <w:marTop w:val="0"/>
      <w:marBottom w:val="0"/>
      <w:divBdr>
        <w:top w:val="none" w:sz="0" w:space="0" w:color="auto"/>
        <w:left w:val="none" w:sz="0" w:space="0" w:color="auto"/>
        <w:bottom w:val="none" w:sz="0" w:space="0" w:color="auto"/>
        <w:right w:val="none" w:sz="0" w:space="0" w:color="auto"/>
      </w:divBdr>
    </w:div>
    <w:div w:id="1338848324">
      <w:bodyDiv w:val="1"/>
      <w:marLeft w:val="0"/>
      <w:marRight w:val="0"/>
      <w:marTop w:val="0"/>
      <w:marBottom w:val="0"/>
      <w:divBdr>
        <w:top w:val="none" w:sz="0" w:space="0" w:color="auto"/>
        <w:left w:val="none" w:sz="0" w:space="0" w:color="auto"/>
        <w:bottom w:val="none" w:sz="0" w:space="0" w:color="auto"/>
        <w:right w:val="none" w:sz="0" w:space="0" w:color="auto"/>
      </w:divBdr>
    </w:div>
    <w:div w:id="1368599540">
      <w:bodyDiv w:val="1"/>
      <w:marLeft w:val="0"/>
      <w:marRight w:val="0"/>
      <w:marTop w:val="0"/>
      <w:marBottom w:val="0"/>
      <w:divBdr>
        <w:top w:val="none" w:sz="0" w:space="0" w:color="auto"/>
        <w:left w:val="none" w:sz="0" w:space="0" w:color="auto"/>
        <w:bottom w:val="none" w:sz="0" w:space="0" w:color="auto"/>
        <w:right w:val="none" w:sz="0" w:space="0" w:color="auto"/>
      </w:divBdr>
    </w:div>
    <w:div w:id="1371295718">
      <w:bodyDiv w:val="1"/>
      <w:marLeft w:val="0"/>
      <w:marRight w:val="0"/>
      <w:marTop w:val="0"/>
      <w:marBottom w:val="0"/>
      <w:divBdr>
        <w:top w:val="none" w:sz="0" w:space="0" w:color="auto"/>
        <w:left w:val="none" w:sz="0" w:space="0" w:color="auto"/>
        <w:bottom w:val="none" w:sz="0" w:space="0" w:color="auto"/>
        <w:right w:val="none" w:sz="0" w:space="0" w:color="auto"/>
      </w:divBdr>
    </w:div>
    <w:div w:id="1582565839">
      <w:bodyDiv w:val="1"/>
      <w:marLeft w:val="0"/>
      <w:marRight w:val="0"/>
      <w:marTop w:val="0"/>
      <w:marBottom w:val="0"/>
      <w:divBdr>
        <w:top w:val="none" w:sz="0" w:space="0" w:color="auto"/>
        <w:left w:val="none" w:sz="0" w:space="0" w:color="auto"/>
        <w:bottom w:val="none" w:sz="0" w:space="0" w:color="auto"/>
        <w:right w:val="none" w:sz="0" w:space="0" w:color="auto"/>
      </w:divBdr>
    </w:div>
    <w:div w:id="173376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r20.rs6.net/tn.jsp?t=x47kfwxab.0.0.f7lr9edab.0&amp;id=preview&amp;r=3&amp;p=http%3A%2F%2Fwww.babseacle.org" TargetMode="External"/><Relationship Id="rId4" Type="http://schemas.microsoft.com/office/2007/relationships/stylesWithEffects" Target="stylesWithEffects.xml"/><Relationship Id="rId9" Type="http://schemas.openxmlformats.org/officeDocument/2006/relationships/hyperlink" Target="http://r20.rs6.net/tn.jsp?t=x47kfwxab.0.0.f7lr9edab.0&amp;id=preview&amp;r=3&amp;p=http%3A%2F%2Fasia-ajar.org%2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250371-5A2F-40D2-BD25-77FBB9A19CC0}"/>
</file>

<file path=customXml/itemProps2.xml><?xml version="1.0" encoding="utf-8"?>
<ds:datastoreItem xmlns:ds="http://schemas.openxmlformats.org/officeDocument/2006/customXml" ds:itemID="{FB836461-0DD1-4C26-A218-DFFBE26C980A}"/>
</file>

<file path=customXml/itemProps3.xml><?xml version="1.0" encoding="utf-8"?>
<ds:datastoreItem xmlns:ds="http://schemas.openxmlformats.org/officeDocument/2006/customXml" ds:itemID="{162FCC1A-29F5-4047-9078-1DAF05A911CD}"/>
</file>

<file path=customXml/itemProps4.xml><?xml version="1.0" encoding="utf-8"?>
<ds:datastoreItem xmlns:ds="http://schemas.openxmlformats.org/officeDocument/2006/customXml" ds:itemID="{ABA5A5C4-A452-4A60-9180-C20A25247D8F}"/>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Liza Sekaggya</cp:lastModifiedBy>
  <cp:revision>2</cp:revision>
  <dcterms:created xsi:type="dcterms:W3CDTF">2016-08-11T08:22:00Z</dcterms:created>
  <dcterms:modified xsi:type="dcterms:W3CDTF">2016-08-11T08:22:00Z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3746400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