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32" w:rsidRDefault="00E82C9C" w:rsidP="00E82C9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fr-FR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val="en-GB" w:eastAsia="fr-FR"/>
        </w:rPr>
        <w:t>United Nations Workshop (21/10/2015)</w:t>
      </w:r>
    </w:p>
    <w:p w:rsidR="00C54832" w:rsidRDefault="00C54832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82C9C" w:rsidRDefault="00E82C9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82C9C" w:rsidRDefault="00E82C9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Welcome </w:t>
      </w:r>
    </w:p>
    <w:p w:rsidR="00E82C9C" w:rsidRDefault="00E82C9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82C9C" w:rsidRDefault="00E82C9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Video </w:t>
      </w:r>
    </w:p>
    <w:p w:rsidR="00E82C9C" w:rsidRDefault="00E82C9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82C9C" w:rsidRDefault="009A12AE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Execution of judgments rendered by an international court raises a number of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complex issues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9A12AE" w:rsidRDefault="009A12AE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9A12AE" w:rsidRDefault="00FA1C5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Unlike national systems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which provide for clear rules on how execution of judicial decisions shall take place, international courts do not have same </w:t>
      </w:r>
      <w:r w:rsidR="004F5B24">
        <w:rPr>
          <w:rFonts w:ascii="Arial" w:eastAsia="Times New Roman" w:hAnsi="Arial" w:cs="Arial"/>
          <w:sz w:val="28"/>
          <w:szCs w:val="28"/>
          <w:lang w:val="en-GB" w:eastAsia="fr-FR"/>
        </w:rPr>
        <w:t>t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>ype</w:t>
      </w:r>
      <w:r w:rsidR="004F5B24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mechanisms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FA1C51" w:rsidRDefault="00FA1C5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FA1C51" w:rsidRDefault="00FA1C5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Most importantly, international courts </w:t>
      </w:r>
      <w:r w:rsidR="001E1325">
        <w:rPr>
          <w:rFonts w:ascii="Arial" w:eastAsia="Times New Roman" w:hAnsi="Arial" w:cs="Arial"/>
          <w:sz w:val="28"/>
          <w:szCs w:val="28"/>
          <w:lang w:val="en-GB" w:eastAsia="fr-FR"/>
        </w:rPr>
        <w:t>cannot take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coercive </w:t>
      </w:r>
      <w:r w:rsidR="001E1325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action</w:t>
      </w:r>
      <w:r w:rsidR="001E1325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against a member state: they do not have a </w:t>
      </w:r>
      <w:r w:rsidR="001E1325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bailiff</w:t>
      </w:r>
      <w:r w:rsidR="001E1325">
        <w:rPr>
          <w:rFonts w:ascii="Arial" w:eastAsia="Times New Roman" w:hAnsi="Arial" w:cs="Arial"/>
          <w:sz w:val="28"/>
          <w:szCs w:val="28"/>
          <w:lang w:val="en-GB" w:eastAsia="fr-FR"/>
        </w:rPr>
        <w:t xml:space="preserve">, nor do they have a </w:t>
      </w:r>
      <w:r w:rsidR="001E1325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police force</w:t>
      </w:r>
      <w:r w:rsidR="001E1325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ensure that their judgments are executed. </w:t>
      </w:r>
    </w:p>
    <w:p w:rsidR="001E1325" w:rsidRDefault="001E1325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1E1325" w:rsidRDefault="001E1325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So, how </w:t>
      </w:r>
      <w:r w:rsidR="000221B2">
        <w:rPr>
          <w:rFonts w:ascii="Arial" w:eastAsia="Times New Roman" w:hAnsi="Arial" w:cs="Arial"/>
          <w:sz w:val="28"/>
          <w:szCs w:val="28"/>
          <w:lang w:val="en-GB" w:eastAsia="fr-FR"/>
        </w:rPr>
        <w:t xml:space="preserve">can it be </w:t>
      </w:r>
      <w:r w:rsidR="000221B2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ensured</w:t>
      </w:r>
      <w:r w:rsidR="000221B2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that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judgments of the Europea</w:t>
      </w:r>
      <w:r w:rsidR="000221B2">
        <w:rPr>
          <w:rFonts w:ascii="Arial" w:eastAsia="Times New Roman" w:hAnsi="Arial" w:cs="Arial"/>
          <w:sz w:val="28"/>
          <w:szCs w:val="28"/>
          <w:lang w:val="en-GB" w:eastAsia="fr-FR"/>
        </w:rPr>
        <w:t xml:space="preserve">n Court of Human Rights are </w:t>
      </w:r>
      <w:r w:rsidR="000221B2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executed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? </w:t>
      </w:r>
    </w:p>
    <w:p w:rsidR="001E1325" w:rsidRDefault="001E1325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1E1325" w:rsidRDefault="001E1325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To </w:t>
      </w:r>
      <w:r w:rsidR="000221B2">
        <w:rPr>
          <w:rFonts w:ascii="Arial" w:eastAsia="Times New Roman" w:hAnsi="Arial" w:cs="Arial"/>
          <w:sz w:val="28"/>
          <w:szCs w:val="28"/>
          <w:lang w:val="en-GB" w:eastAsia="fr-FR"/>
        </w:rPr>
        <w:t xml:space="preserve">answer that question, we have to take a look at </w:t>
      </w:r>
      <w:r w:rsidR="000221B2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Article 46</w:t>
      </w:r>
      <w:r w:rsidR="000221B2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European Convention on Human Rights. </w:t>
      </w:r>
    </w:p>
    <w:p w:rsidR="001E1325" w:rsidRDefault="001E1325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Article 46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European Convention on Human Rights is very clear: </w:t>
      </w: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“The High Contracting Parties undertake to abide by the final judgment of the Court in any case to which they are parties”. </w:t>
      </w: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other words, what Article 46 says is that when a state becomes a party to the Convention, that member state is </w:t>
      </w: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under the obligation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abide by the judgments of the European Court. </w:t>
      </w: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221B2" w:rsidRDefault="000221B2" w:rsidP="000221B2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This is an obligation expressed at </w:t>
      </w: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international level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and all the powers and organs of the state are responsible to fulfil it. </w:t>
      </w:r>
    </w:p>
    <w:p w:rsidR="00FA1C51" w:rsidRDefault="00FA1C5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respondent States are, in principle,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free to choose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the means to be put in place in order to meet this international obligation.</w:t>
      </w: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However, this freedom goes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hand-in-hand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with the Committee of Minister’s control. </w:t>
      </w: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lastRenderedPageBreak/>
        <w:t xml:space="preserve">Consequently,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scope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execution measures required is defined in each case on the basis of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conclusions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and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findings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European Court in its judgment. </w:t>
      </w:r>
    </w:p>
    <w:p w:rsidR="00A3201F" w:rsidRDefault="00A320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4C4D79" w:rsidRDefault="004C4D7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Committee of Minister’s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practice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and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legal situation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in the member state concerned are also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taken into consideration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in this respect. </w:t>
      </w:r>
    </w:p>
    <w:p w:rsidR="004C4D79" w:rsidRDefault="004C4D7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What is the </w:t>
      </w: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nature of the measures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that member States should take to execute a judgment? </w:t>
      </w: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There are </w:t>
      </w: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two types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measures: </w:t>
      </w: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Individual and general measures</w:t>
      </w: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Individual measures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: 1) payment of just satisfaction; 2) other measures (we have seen some examples of types of individual measures in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video</w:t>
      </w:r>
      <w:r w:rsid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</w:t>
      </w:r>
      <w:r w:rsidR="00AF7F8E">
        <w:rPr>
          <w:rFonts w:ascii="Arial" w:eastAsia="Times New Roman" w:hAnsi="Arial" w:cs="Arial"/>
          <w:sz w:val="28"/>
          <w:szCs w:val="28"/>
          <w:lang w:val="en-GB" w:eastAsia="fr-FR"/>
        </w:rPr>
        <w:t>clip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so I will not repeat them)</w:t>
      </w: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762CAF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It is important to note that t</w:t>
      </w:r>
      <w:r w:rsidR="00B005C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he </w:t>
      </w:r>
      <w:r w:rsidR="00B005CB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main idea</w:t>
      </w:r>
      <w:r w:rsidR="00B005C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behind the individual measures is to bring the applicant, as much as possible, to the </w:t>
      </w:r>
      <w:r w:rsidR="00B005CB">
        <w:rPr>
          <w:rFonts w:ascii="Arial" w:eastAsia="Times New Roman" w:hAnsi="Arial" w:cs="Arial"/>
          <w:b/>
          <w:sz w:val="28"/>
          <w:szCs w:val="28"/>
          <w:lang w:val="en-GB" w:eastAsia="fr-FR"/>
        </w:rPr>
        <w:t>same legal situation</w:t>
      </w:r>
      <w:r w:rsidR="00B005C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if he or she would be if</w:t>
      </w:r>
      <w:r w:rsidR="00416246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the violation had not occurred</w:t>
      </w:r>
      <w:r w:rsidR="00B005C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B005CB" w:rsidRDefault="00B005CB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416246" w:rsidRPr="00B005CB" w:rsidRDefault="00B005CB" w:rsidP="004162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B005CB">
        <w:rPr>
          <w:rFonts w:ascii="Arial" w:eastAsia="Times New Roman" w:hAnsi="Arial" w:cs="Arial"/>
          <w:b/>
          <w:sz w:val="28"/>
          <w:szCs w:val="28"/>
          <w:lang w:val="en-GB" w:eastAsia="fr-FR"/>
        </w:rPr>
        <w:t>General measures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: </w:t>
      </w:r>
      <w:r w:rsidR="00416246" w:rsidRPr="00B005C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Change of legislation, administrative practice, and domestic courts’ case-law all fall under the general measures. </w:t>
      </w:r>
    </w:p>
    <w:p w:rsidR="00416246" w:rsidRDefault="00416246" w:rsidP="004162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416246" w:rsidRDefault="00416246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main idea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behind the general measures is the </w:t>
      </w:r>
      <w:r w:rsidR="00B005CB" w:rsidRPr="00B005CB">
        <w:rPr>
          <w:rFonts w:ascii="Arial" w:eastAsia="Times New Roman" w:hAnsi="Arial" w:cs="Arial"/>
          <w:sz w:val="28"/>
          <w:szCs w:val="28"/>
          <w:lang w:val="en-GB" w:eastAsia="fr-FR"/>
        </w:rPr>
        <w:t>prevention of similar violations and enforcement of common Convention rights in all member States of the Council of Europe.</w:t>
      </w:r>
    </w:p>
    <w:p w:rsidR="00416246" w:rsidRDefault="00416246" w:rsidP="00B005CB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B005CB" w:rsidRDefault="008826CA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It is also important to note that taking of general measures will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prevent new applications 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>to be brought before the European Court</w:t>
      </w:r>
      <w:r w:rsidR="00762CA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Human Rights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C54832" w:rsidRDefault="00C54832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FB7D2F" w:rsidRDefault="00FB7D2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b/>
          <w:sz w:val="28"/>
          <w:szCs w:val="28"/>
          <w:lang w:val="en-GB" w:eastAsia="fr-FR"/>
        </w:rPr>
        <w:t>Therefore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full and </w:t>
      </w:r>
      <w:r w:rsidR="00762CAF">
        <w:rPr>
          <w:rFonts w:ascii="Arial" w:eastAsia="Times New Roman" w:hAnsi="Arial" w:cs="Arial"/>
          <w:sz w:val="28"/>
          <w:szCs w:val="28"/>
          <w:lang w:val="en-GB" w:eastAsia="fr-FR"/>
        </w:rPr>
        <w:t>timely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execution of all judgments of the European Court of Human Rights is a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fundamental safeguard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ensure the effective protection of the rights enshrined in the European Convention on Human Rights.</w:t>
      </w:r>
    </w:p>
    <w:p w:rsidR="00FB7D2F" w:rsidRDefault="00FB7D2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5B3F13" w:rsidRDefault="005B3F1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------</w:t>
      </w:r>
    </w:p>
    <w:p w:rsidR="005B3F13" w:rsidRDefault="005B3F1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762CAF" w:rsidRDefault="00762CA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 would like to say a few words on the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new working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that the Committee of Ministers adopted in 2011. </w:t>
      </w:r>
    </w:p>
    <w:p w:rsidR="008826CA" w:rsidRDefault="005B3F1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lastRenderedPageBreak/>
        <w:t xml:space="preserve">Since the number of judgments finding a violation of the European Convention has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increased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 xml:space="preserve">significantly 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recent years, the Committee of Ministers was </w:t>
      </w:r>
      <w:r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compelled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change its working methods</w:t>
      </w:r>
      <w:r w:rsidR="00E93503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on the supervision of execution of judgments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These new working methods have brought important changes 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 xml:space="preserve">(i.e. </w:t>
      </w:r>
      <w:r w:rsidR="00E823E8" w:rsidRPr="00AF7F8E">
        <w:rPr>
          <w:rFonts w:ascii="Arial" w:eastAsia="Times New Roman" w:hAnsi="Arial" w:cs="Arial"/>
          <w:b/>
          <w:sz w:val="28"/>
          <w:szCs w:val="28"/>
          <w:lang w:val="en-GB" w:eastAsia="fr-FR"/>
        </w:rPr>
        <w:t>twin track approach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 xml:space="preserve">) 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to the working methods that were inforce since 2004. </w:t>
      </w: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main aim was to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improve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the efficiency and transparency of the supervision process. </w:t>
      </w: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practical terms, under the new system, all cases will be examined under the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standard procedure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unless, because of its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specific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nature, a case warrants consideration under the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enhanced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procedure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2A15E9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2A15E9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types of cases that should be followed under the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enhanced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procedure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are the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following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: </w:t>
      </w:r>
    </w:p>
    <w:p w:rsidR="002A15E9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2A15E9" w:rsidRDefault="002A15E9" w:rsidP="002A15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Judgments requiring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urgent individual measures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; </w:t>
      </w:r>
    </w:p>
    <w:p w:rsidR="002A15E9" w:rsidRDefault="002A15E9" w:rsidP="002A15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Pilot judgments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; </w:t>
      </w:r>
    </w:p>
    <w:p w:rsidR="002A15E9" w:rsidRDefault="002A15E9" w:rsidP="002A15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Judgments raising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structural and/or complex problems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as identified by the Court or by the Committee of Ministers; </w:t>
      </w:r>
    </w:p>
    <w:p w:rsidR="002A15E9" w:rsidRPr="002A15E9" w:rsidRDefault="002A15E9" w:rsidP="002A15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Interstate cases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E93503" w:rsidRDefault="00E9350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E93503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new working methods also introduced a </w:t>
      </w:r>
      <w:r w:rsidR="0070179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mechanism of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continuous supervision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execution of judgments. </w:t>
      </w:r>
    </w:p>
    <w:p w:rsidR="002A15E9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9D0787" w:rsidRDefault="002A15E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practical terms this means that all cases examined for execution control are under the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permanent supervision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Committee of Ministers which should receive,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in real time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, relevant information on the measures </w:t>
      </w:r>
      <w:r w:rsidR="009D078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taken or envisaged by the member States. </w:t>
      </w:r>
    </w:p>
    <w:p w:rsidR="009D0787" w:rsidRDefault="009D078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9D0787" w:rsidRDefault="009D078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member States are expected to present this information to the Committee of Ministers in the form of </w:t>
      </w: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action plans or reports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>(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>as we have seen in the video</w:t>
      </w:r>
      <w:r w:rsidR="00E823E8">
        <w:rPr>
          <w:rFonts w:ascii="Arial" w:eastAsia="Times New Roman" w:hAnsi="Arial" w:cs="Arial"/>
          <w:sz w:val="28"/>
          <w:szCs w:val="28"/>
          <w:lang w:val="en-GB" w:eastAsia="fr-FR"/>
        </w:rPr>
        <w:t>)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9D0787" w:rsidRDefault="009D078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905CF0" w:rsidRDefault="009D078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Four meeting</w:t>
      </w:r>
      <w:r w:rsidR="0070179B" w:rsidRPr="00872371">
        <w:rPr>
          <w:rFonts w:ascii="Arial" w:eastAsia="Times New Roman" w:hAnsi="Arial" w:cs="Arial"/>
          <w:b/>
          <w:sz w:val="28"/>
          <w:szCs w:val="28"/>
          <w:lang w:val="en-GB" w:eastAsia="fr-FR"/>
        </w:rPr>
        <w:t>s</w:t>
      </w:r>
      <w:r w:rsidR="0070179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the Committee of Ministers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in a year are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reserved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for the supervision of </w:t>
      </w:r>
      <w:r w:rsidR="00905CF0">
        <w:rPr>
          <w:rFonts w:ascii="Arial" w:eastAsia="Times New Roman" w:hAnsi="Arial" w:cs="Arial"/>
          <w:sz w:val="28"/>
          <w:szCs w:val="28"/>
          <w:lang w:val="en-GB" w:eastAsia="fr-FR"/>
        </w:rPr>
        <w:t xml:space="preserve">execution of judgments. </w:t>
      </w:r>
    </w:p>
    <w:p w:rsidR="00905CF0" w:rsidRDefault="00905CF0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4A0C11" w:rsidRDefault="00905CF0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Committee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only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examines the cases examined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under the enhanced procedure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at these meetings but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transfer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cases from enhanced to standard procedure or from standard to enhanced procedure is possible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under certain conditions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4A0C11" w:rsidRDefault="004A0C1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lastRenderedPageBreak/>
        <w:t xml:space="preserve">The Committee of Ministers shall decide to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close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the examination of a case when it is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convinced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that all the necessary measures are tak</w:t>
      </w:r>
      <w:r w:rsidR="0070179B">
        <w:rPr>
          <w:rFonts w:ascii="Arial" w:eastAsia="Times New Roman" w:hAnsi="Arial" w:cs="Arial"/>
          <w:sz w:val="28"/>
          <w:szCs w:val="28"/>
          <w:lang w:val="en-GB" w:eastAsia="fr-FR"/>
        </w:rPr>
        <w:t>en for the full execution of a judgment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4A0C11" w:rsidRDefault="004A0C11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8826CA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question might arise at this juncture as to what happens if a member State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fails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execute a judgment. </w:t>
      </w:r>
    </w:p>
    <w:p w:rsidR="0018555C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18555C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What are the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consequences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of non-execution of a judgment? </w:t>
      </w:r>
    </w:p>
    <w:p w:rsidR="0018555C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18555C" w:rsidRDefault="008C3926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When I started</w:t>
      </w:r>
      <w:r w:rsidR="00643449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my presentation</w:t>
      </w:r>
      <w:r w:rsidR="000D43FD">
        <w:rPr>
          <w:rFonts w:ascii="Arial" w:eastAsia="Times New Roman" w:hAnsi="Arial" w:cs="Arial"/>
          <w:sz w:val="28"/>
          <w:szCs w:val="28"/>
          <w:lang w:val="en-GB" w:eastAsia="fr-FR"/>
        </w:rPr>
        <w:t>,</w:t>
      </w:r>
      <w:r w:rsidR="00643449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 mentioned that the member states are under the obligation to </w:t>
      </w:r>
      <w:r w:rsidR="00643449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abide</w:t>
      </w:r>
      <w:r w:rsidR="00643449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by the judgments of the Court and this obligation is expressed at </w:t>
      </w:r>
      <w:r w:rsidR="00643449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international level</w:t>
      </w:r>
      <w:r w:rsidR="00643449"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643449" w:rsidRDefault="00643449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643449" w:rsidRDefault="0070179B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However, there might be situations where a member state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cannot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fulfil its obligation because of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political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,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economic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or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other reasons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18555C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70179B" w:rsidRDefault="0018555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In such situations, t</w:t>
      </w:r>
      <w:r w:rsidR="00FB7D2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he Committee of Ministers </w:t>
      </w:r>
      <w:r w:rsidR="0070179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might invite the member state concerned to </w:t>
      </w:r>
      <w:r w:rsidR="0070179B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cooperate</w:t>
      </w:r>
      <w:r w:rsidR="0070179B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with the relevant instances of the Council of Europe. </w:t>
      </w:r>
    </w:p>
    <w:p w:rsidR="0070179B" w:rsidRDefault="0070179B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70179B" w:rsidRDefault="0070179B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This can take the form of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cooperation activities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or </w:t>
      </w:r>
      <w:r w:rsidR="00A37327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providing technical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 assistance</w:t>
      </w:r>
      <w:r w:rsidR="00A3732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the authorities of the </w:t>
      </w:r>
      <w:proofErr w:type="gramStart"/>
      <w:r w:rsidR="00A37327">
        <w:rPr>
          <w:rFonts w:ascii="Arial" w:eastAsia="Times New Roman" w:hAnsi="Arial" w:cs="Arial"/>
          <w:sz w:val="28"/>
          <w:szCs w:val="28"/>
          <w:lang w:val="en-GB" w:eastAsia="fr-FR"/>
        </w:rPr>
        <w:t>member</w:t>
      </w:r>
      <w:proofErr w:type="gramEnd"/>
      <w:r w:rsidR="00A3732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State. </w:t>
      </w:r>
    </w:p>
    <w:p w:rsidR="0070179B" w:rsidRDefault="0070179B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A37327" w:rsidRDefault="00A3732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aim is to ensure </w:t>
      </w:r>
      <w:r w:rsidR="006A746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that the </w:t>
      </w:r>
      <w:r w:rsidR="006A7467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obstacles</w:t>
      </w:r>
      <w:r w:rsidR="006A746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the execution of a judgment are </w:t>
      </w:r>
      <w:r w:rsidR="006A7467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eliminated</w:t>
      </w:r>
      <w:r w:rsidR="006A7467"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70179B" w:rsidRDefault="0070179B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FB7D2F" w:rsidRDefault="006A746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If a member state fails to cooperate and eventually fails to execute a judgment, the Committee of Ministers </w:t>
      </w:r>
      <w:r w:rsidR="00FB7D2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will 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exercise </w:t>
      </w:r>
      <w:r w:rsidR="00FB7D2F">
        <w:rPr>
          <w:rFonts w:ascii="Arial" w:eastAsia="Times New Roman" w:hAnsi="Arial" w:cs="Arial"/>
          <w:b/>
          <w:sz w:val="28"/>
          <w:szCs w:val="28"/>
          <w:lang w:val="en-GB" w:eastAsia="fr-FR"/>
        </w:rPr>
        <w:t>political and diplomatic</w:t>
      </w:r>
      <w:r w:rsidR="00FB7D2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="00FB7D2F">
        <w:rPr>
          <w:rFonts w:ascii="Arial" w:eastAsia="Times New Roman" w:hAnsi="Arial" w:cs="Arial"/>
          <w:b/>
          <w:sz w:val="28"/>
          <w:szCs w:val="28"/>
          <w:lang w:val="en-GB" w:eastAsia="fr-FR"/>
        </w:rPr>
        <w:t>pressure</w:t>
      </w:r>
      <w:r w:rsidR="00FB7D2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on the Member State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6A7467" w:rsidRDefault="006A746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6A7467" w:rsidRDefault="006A746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This pressure shall take the form of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strong worded decisions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or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interim resolutions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urging the authorities of the </w:t>
      </w:r>
      <w:proofErr w:type="gramStart"/>
      <w:r>
        <w:rPr>
          <w:rFonts w:ascii="Arial" w:eastAsia="Times New Roman" w:hAnsi="Arial" w:cs="Arial"/>
          <w:sz w:val="28"/>
          <w:szCs w:val="28"/>
          <w:lang w:val="en-GB" w:eastAsia="fr-FR"/>
        </w:rPr>
        <w:t>member</w:t>
      </w:r>
      <w:proofErr w:type="gramEnd"/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State to execute. </w:t>
      </w:r>
    </w:p>
    <w:p w:rsidR="006A7467" w:rsidRDefault="006A746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6A7467" w:rsidRDefault="006A746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Committee might also exercise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other means of diplomatic pressure</w:t>
      </w:r>
      <w:r w:rsidR="007F19CA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which it shall </w:t>
      </w:r>
      <w:r w:rsidR="007F19CA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increase gradually</w:t>
      </w:r>
      <w:r w:rsidR="007F19CA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if the member state persists in not executing a judgment. </w:t>
      </w:r>
    </w:p>
    <w:p w:rsidR="007F19CA" w:rsidRDefault="007F19CA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------</w:t>
      </w: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7F19CA" w:rsidRDefault="007F19CA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 would like to say a few words on </w:t>
      </w:r>
      <w:r w:rsidR="000B6A1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</w:t>
      </w:r>
      <w:r w:rsidR="000B6A1F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work</w:t>
      </w:r>
      <w:r w:rsidR="000B6A1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carried out by the </w:t>
      </w:r>
      <w:r w:rsidR="000B6A1F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Department</w:t>
      </w:r>
      <w:r w:rsidR="000B6A1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for Execution of Judgments. </w:t>
      </w: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lastRenderedPageBreak/>
        <w:t xml:space="preserve">The Department’s primary task is to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assist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the Committee of Ministers to exercise its task in the supervision of execution of judgments. </w:t>
      </w: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B6A1F" w:rsidRDefault="000B6A1F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In addition to that, the Department </w:t>
      </w:r>
      <w:r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works in close cooperation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with the </w:t>
      </w:r>
      <w:r w:rsidR="00861993">
        <w:rPr>
          <w:rFonts w:ascii="Arial" w:eastAsia="Times New Roman" w:hAnsi="Arial" w:cs="Arial"/>
          <w:sz w:val="28"/>
          <w:szCs w:val="28"/>
          <w:lang w:val="en-GB" w:eastAsia="fr-FR"/>
        </w:rPr>
        <w:t xml:space="preserve">authorities of the member states and </w:t>
      </w:r>
      <w:r w:rsidR="00861993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provides </w:t>
      </w:r>
      <w:r w:rsidR="008C3926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them </w:t>
      </w:r>
      <w:r w:rsidR="00861993" w:rsidRPr="008C3926">
        <w:rPr>
          <w:rFonts w:ascii="Arial" w:eastAsia="Times New Roman" w:hAnsi="Arial" w:cs="Arial"/>
          <w:b/>
          <w:sz w:val="28"/>
          <w:szCs w:val="28"/>
          <w:lang w:val="en-GB" w:eastAsia="fr-FR"/>
        </w:rPr>
        <w:t>technical assistance</w:t>
      </w:r>
      <w:r w:rsidR="008C3926">
        <w:rPr>
          <w:rFonts w:ascii="Arial" w:eastAsia="Times New Roman" w:hAnsi="Arial" w:cs="Arial"/>
          <w:sz w:val="28"/>
          <w:szCs w:val="28"/>
          <w:lang w:val="en-GB" w:eastAsia="fr-FR"/>
        </w:rPr>
        <w:t>, if they need such assistance</w:t>
      </w:r>
      <w:r w:rsidR="00861993">
        <w:rPr>
          <w:rFonts w:ascii="Arial" w:eastAsia="Times New Roman" w:hAnsi="Arial" w:cs="Arial"/>
          <w:sz w:val="28"/>
          <w:szCs w:val="28"/>
          <w:lang w:val="en-GB" w:eastAsia="fr-FR"/>
        </w:rPr>
        <w:t xml:space="preserve">. </w:t>
      </w:r>
    </w:p>
    <w:p w:rsidR="00861993" w:rsidRDefault="0086199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861993" w:rsidRDefault="0086199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This cooperation is an </w:t>
      </w:r>
      <w:r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>ongoing process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and is </w:t>
      </w:r>
      <w:r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>essential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to ensure timely execution of judgments. </w:t>
      </w:r>
    </w:p>
    <w:p w:rsidR="00861993" w:rsidRDefault="00861993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861993" w:rsidRDefault="00891C9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Department for Execution issues an </w:t>
      </w:r>
      <w:r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>annual report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every year. </w:t>
      </w:r>
    </w:p>
    <w:p w:rsidR="00891C97" w:rsidRDefault="00891C9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891C97" w:rsidRDefault="00891C9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This report, which can be found on the Department’s website, provides </w:t>
      </w:r>
      <w:r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>statistical information</w:t>
      </w: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 </w:t>
      </w:r>
      <w:r w:rsidR="00C26E2F">
        <w:rPr>
          <w:rFonts w:ascii="Arial" w:eastAsia="Times New Roman" w:hAnsi="Arial" w:cs="Arial"/>
          <w:sz w:val="28"/>
          <w:szCs w:val="28"/>
          <w:lang w:val="en-GB" w:eastAsia="fr-FR"/>
        </w:rPr>
        <w:t xml:space="preserve">relating to the Committee of Ministers’ action. </w:t>
      </w:r>
    </w:p>
    <w:p w:rsidR="00891C97" w:rsidRDefault="00891C9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891C97" w:rsidRDefault="00891C97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The</w:t>
      </w:r>
      <w:r w:rsidR="008244C8">
        <w:rPr>
          <w:rFonts w:ascii="Arial" w:eastAsia="Times New Roman" w:hAnsi="Arial" w:cs="Arial"/>
          <w:sz w:val="28"/>
          <w:szCs w:val="28"/>
          <w:lang w:val="en-GB" w:eastAsia="fr-FR"/>
        </w:rPr>
        <w:t xml:space="preserve"> statistical information is </w:t>
      </w:r>
      <w:r w:rsidR="008244C8"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 xml:space="preserve">divided into different </w:t>
      </w:r>
      <w:r w:rsidR="00003CFC" w:rsidRPr="00F95849">
        <w:rPr>
          <w:rFonts w:ascii="Arial" w:eastAsia="Times New Roman" w:hAnsi="Arial" w:cs="Arial"/>
          <w:b/>
          <w:sz w:val="28"/>
          <w:szCs w:val="28"/>
          <w:lang w:val="en-GB" w:eastAsia="fr-FR"/>
        </w:rPr>
        <w:t>categories</w:t>
      </w:r>
      <w:r w:rsidR="00003CFC">
        <w:rPr>
          <w:rFonts w:ascii="Arial" w:eastAsia="Times New Roman" w:hAnsi="Arial" w:cs="Arial"/>
          <w:sz w:val="28"/>
          <w:szCs w:val="28"/>
          <w:lang w:val="en-GB" w:eastAsia="fr-FR"/>
        </w:rPr>
        <w:t xml:space="preserve">: new cases, cases examined under enhanced and standard procedure, main themes under the enhanced procedure and main states with cases under the enhanced procedure. </w:t>
      </w:r>
    </w:p>
    <w:p w:rsidR="00003CFC" w:rsidRDefault="00003CF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03CFC" w:rsidRDefault="00003CF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 xml:space="preserve">The annual report also provides the most important cases examined by the CM in a given year. </w:t>
      </w:r>
    </w:p>
    <w:p w:rsidR="00003CFC" w:rsidRDefault="00003CF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003CFC" w:rsidRDefault="00003CFC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  <w:r>
        <w:rPr>
          <w:rFonts w:ascii="Arial" w:eastAsia="Times New Roman" w:hAnsi="Arial" w:cs="Arial"/>
          <w:sz w:val="28"/>
          <w:szCs w:val="28"/>
          <w:lang w:val="en-GB" w:eastAsia="fr-FR"/>
        </w:rPr>
        <w:t>Thank you</w:t>
      </w:r>
    </w:p>
    <w:p w:rsidR="007F19CA" w:rsidRDefault="007F19CA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p w:rsidR="007F19CA" w:rsidRDefault="007F19CA" w:rsidP="00FB7D2F">
      <w:pPr>
        <w:spacing w:after="0" w:line="240" w:lineRule="auto"/>
        <w:rPr>
          <w:rFonts w:ascii="Arial" w:eastAsia="Times New Roman" w:hAnsi="Arial" w:cs="Arial"/>
          <w:sz w:val="28"/>
          <w:szCs w:val="28"/>
          <w:lang w:val="en-GB" w:eastAsia="fr-FR"/>
        </w:rPr>
      </w:pPr>
    </w:p>
    <w:sectPr w:rsidR="007F19C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1F" w:rsidRDefault="00A3201F" w:rsidP="00A3201F">
      <w:pPr>
        <w:spacing w:after="0" w:line="240" w:lineRule="auto"/>
      </w:pPr>
      <w:r>
        <w:separator/>
      </w:r>
    </w:p>
  </w:endnote>
  <w:endnote w:type="continuationSeparator" w:id="0">
    <w:p w:rsidR="00A3201F" w:rsidRDefault="00A3201F" w:rsidP="00A3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06801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201F" w:rsidRDefault="00A320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3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201F" w:rsidRDefault="00A32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1F" w:rsidRDefault="00A3201F" w:rsidP="00A3201F">
      <w:pPr>
        <w:spacing w:after="0" w:line="240" w:lineRule="auto"/>
      </w:pPr>
      <w:r>
        <w:separator/>
      </w:r>
    </w:p>
  </w:footnote>
  <w:footnote w:type="continuationSeparator" w:id="0">
    <w:p w:rsidR="00A3201F" w:rsidRDefault="00A3201F" w:rsidP="00A32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8211F"/>
    <w:multiLevelType w:val="hybridMultilevel"/>
    <w:tmpl w:val="CA04A150"/>
    <w:lvl w:ilvl="0" w:tplc="EAA8D25C">
      <w:start w:val="4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D2F"/>
    <w:rsid w:val="00003CFC"/>
    <w:rsid w:val="000221B2"/>
    <w:rsid w:val="000B6A1F"/>
    <w:rsid w:val="000D43FD"/>
    <w:rsid w:val="0018555C"/>
    <w:rsid w:val="001E1325"/>
    <w:rsid w:val="00227217"/>
    <w:rsid w:val="002A15E9"/>
    <w:rsid w:val="00301CE0"/>
    <w:rsid w:val="00416246"/>
    <w:rsid w:val="0042468E"/>
    <w:rsid w:val="004A0C11"/>
    <w:rsid w:val="004C4D79"/>
    <w:rsid w:val="004F5B24"/>
    <w:rsid w:val="005B3F13"/>
    <w:rsid w:val="00643449"/>
    <w:rsid w:val="006A7467"/>
    <w:rsid w:val="006C539E"/>
    <w:rsid w:val="0070179B"/>
    <w:rsid w:val="00762CAF"/>
    <w:rsid w:val="007F19CA"/>
    <w:rsid w:val="008244C8"/>
    <w:rsid w:val="00861993"/>
    <w:rsid w:val="00872371"/>
    <w:rsid w:val="008826CA"/>
    <w:rsid w:val="00891C97"/>
    <w:rsid w:val="008C3926"/>
    <w:rsid w:val="008C7165"/>
    <w:rsid w:val="00905CF0"/>
    <w:rsid w:val="009A12AE"/>
    <w:rsid w:val="009D0787"/>
    <w:rsid w:val="00A3201F"/>
    <w:rsid w:val="00A327A4"/>
    <w:rsid w:val="00A37327"/>
    <w:rsid w:val="00AF7F8E"/>
    <w:rsid w:val="00B005CB"/>
    <w:rsid w:val="00C26E2F"/>
    <w:rsid w:val="00C54832"/>
    <w:rsid w:val="00D5249A"/>
    <w:rsid w:val="00E823E8"/>
    <w:rsid w:val="00E82C9C"/>
    <w:rsid w:val="00E93503"/>
    <w:rsid w:val="00F845FA"/>
    <w:rsid w:val="00F95849"/>
    <w:rsid w:val="00FA1C51"/>
    <w:rsid w:val="00FB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1F"/>
    <w:rPr>
      <w:lang w:val="en-US"/>
    </w:rPr>
  </w:style>
  <w:style w:type="paragraph" w:styleId="ListParagraph">
    <w:name w:val="List Paragraph"/>
    <w:basedOn w:val="Normal"/>
    <w:uiPriority w:val="34"/>
    <w:qFormat/>
    <w:rsid w:val="002A1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4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D2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01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01F"/>
    <w:rPr>
      <w:lang w:val="en-US"/>
    </w:rPr>
  </w:style>
  <w:style w:type="paragraph" w:styleId="ListParagraph">
    <w:name w:val="List Paragraph"/>
    <w:basedOn w:val="Normal"/>
    <w:uiPriority w:val="34"/>
    <w:qFormat/>
    <w:rsid w:val="002A15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4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B3F2F-FEF6-4EBF-9F54-02A1102AFFD0}"/>
</file>

<file path=customXml/itemProps2.xml><?xml version="1.0" encoding="utf-8"?>
<ds:datastoreItem xmlns:ds="http://schemas.openxmlformats.org/officeDocument/2006/customXml" ds:itemID="{FF4C2B05-C589-4F3F-925C-56116F75DBDC}"/>
</file>

<file path=customXml/itemProps3.xml><?xml version="1.0" encoding="utf-8"?>
<ds:datastoreItem xmlns:ds="http://schemas.openxmlformats.org/officeDocument/2006/customXml" ds:itemID="{55E10FBB-EE6C-4654-A16E-EF441AF699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DERMAN Ozgur</dc:creator>
  <cp:lastModifiedBy>Liza Sekaggya</cp:lastModifiedBy>
  <cp:revision>2</cp:revision>
  <cp:lastPrinted>2015-10-21T08:41:00Z</cp:lastPrinted>
  <dcterms:created xsi:type="dcterms:W3CDTF">2015-10-29T16:35:00Z</dcterms:created>
  <dcterms:modified xsi:type="dcterms:W3CDTF">2015-10-29T16:35:00Z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3219000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