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29"/>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3"/>
        <w:gridCol w:w="1357"/>
        <w:gridCol w:w="5140"/>
      </w:tblGrid>
      <w:tr w:rsidR="00933FE3" w:rsidRPr="00FE64AC" w:rsidTr="00704D9F">
        <w:trPr>
          <w:cantSplit/>
          <w:trHeight w:val="483"/>
        </w:trPr>
        <w:tc>
          <w:tcPr>
            <w:tcW w:w="4173" w:type="dxa"/>
          </w:tcPr>
          <w:p w:rsidR="00933FE3" w:rsidRPr="00FE64AC" w:rsidRDefault="00933FE3" w:rsidP="0066153A">
            <w:pPr>
              <w:spacing w:after="0" w:line="240" w:lineRule="auto"/>
              <w:jc w:val="both"/>
              <w:rPr>
                <w:rFonts w:ascii="Book Antiqua" w:hAnsi="Book Antiqua"/>
                <w:b/>
                <w:sz w:val="24"/>
                <w:szCs w:val="24"/>
              </w:rPr>
            </w:pPr>
            <w:bookmarkStart w:id="0" w:name="_GoBack"/>
            <w:bookmarkEnd w:id="0"/>
            <w:r w:rsidRPr="00FE64AC">
              <w:rPr>
                <w:rFonts w:ascii="Book Antiqua" w:hAnsi="Book Antiqua"/>
                <w:b/>
                <w:sz w:val="24"/>
                <w:szCs w:val="24"/>
              </w:rPr>
              <w:t>AFRICAN UNION</w:t>
            </w:r>
          </w:p>
        </w:tc>
        <w:tc>
          <w:tcPr>
            <w:tcW w:w="1357" w:type="dxa"/>
            <w:vMerge w:val="restart"/>
          </w:tcPr>
          <w:p w:rsidR="00933FE3" w:rsidRPr="00FE64AC" w:rsidRDefault="00933FE3" w:rsidP="0066153A">
            <w:pPr>
              <w:spacing w:after="0" w:line="240" w:lineRule="auto"/>
              <w:jc w:val="both"/>
              <w:rPr>
                <w:rFonts w:ascii="Book Antiqua" w:hAnsi="Book Antiqua"/>
                <w:sz w:val="24"/>
                <w:szCs w:val="24"/>
                <w:lang w:val="en-IE"/>
              </w:rPr>
            </w:pPr>
          </w:p>
          <w:p w:rsidR="00933FE3" w:rsidRPr="00FE64AC" w:rsidRDefault="00933FE3" w:rsidP="0066153A">
            <w:pPr>
              <w:spacing w:after="0" w:line="240" w:lineRule="auto"/>
              <w:jc w:val="both"/>
              <w:rPr>
                <w:rFonts w:ascii="Book Antiqua" w:hAnsi="Book Antiqua"/>
                <w:sz w:val="24"/>
                <w:szCs w:val="24"/>
                <w:lang w:val="en-IE"/>
              </w:rPr>
            </w:pPr>
            <w:r w:rsidRPr="00FE64AC">
              <w:rPr>
                <w:rFonts w:ascii="Book Antiqua" w:hAnsi="Book Antiqua"/>
                <w:noProof/>
                <w:sz w:val="24"/>
                <w:szCs w:val="24"/>
                <w:lang w:val="en-GB" w:eastAsia="en-GB"/>
              </w:rPr>
              <w:drawing>
                <wp:inline distT="0" distB="0" distL="0" distR="0" wp14:anchorId="08A9F1B3" wp14:editId="7AAA27A8">
                  <wp:extent cx="695325" cy="6286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p>
          <w:p w:rsidR="00933FE3" w:rsidRPr="00FE64AC" w:rsidRDefault="00933FE3" w:rsidP="0066153A">
            <w:pPr>
              <w:spacing w:after="0" w:line="240" w:lineRule="auto"/>
              <w:jc w:val="both"/>
              <w:rPr>
                <w:rFonts w:ascii="Book Antiqua" w:hAnsi="Book Antiqua"/>
                <w:sz w:val="24"/>
                <w:szCs w:val="24"/>
                <w:lang w:val="en-IE"/>
              </w:rPr>
            </w:pPr>
          </w:p>
        </w:tc>
        <w:tc>
          <w:tcPr>
            <w:tcW w:w="5140" w:type="dxa"/>
          </w:tcPr>
          <w:p w:rsidR="00933FE3" w:rsidRPr="00FE64AC" w:rsidRDefault="00933FE3" w:rsidP="0066153A">
            <w:pPr>
              <w:spacing w:after="0" w:line="240" w:lineRule="auto"/>
              <w:jc w:val="both"/>
              <w:rPr>
                <w:rFonts w:ascii="Book Antiqua" w:hAnsi="Book Antiqua"/>
                <w:b/>
                <w:sz w:val="24"/>
                <w:szCs w:val="24"/>
              </w:rPr>
            </w:pPr>
            <w:r w:rsidRPr="00FE64AC">
              <w:rPr>
                <w:rFonts w:ascii="Book Antiqua" w:hAnsi="Book Antiqua"/>
                <w:b/>
                <w:sz w:val="24"/>
                <w:szCs w:val="24"/>
              </w:rPr>
              <w:t>UNION AFRICAINE</w:t>
            </w:r>
          </w:p>
          <w:p w:rsidR="00933FE3" w:rsidRPr="00FE64AC" w:rsidRDefault="00933FE3" w:rsidP="0066153A">
            <w:pPr>
              <w:spacing w:after="0" w:line="240" w:lineRule="auto"/>
              <w:jc w:val="both"/>
              <w:rPr>
                <w:rFonts w:ascii="Book Antiqua" w:hAnsi="Book Antiqua"/>
                <w:sz w:val="24"/>
                <w:szCs w:val="24"/>
                <w:lang w:val="en-IE"/>
              </w:rPr>
            </w:pPr>
          </w:p>
        </w:tc>
      </w:tr>
      <w:tr w:rsidR="00933FE3" w:rsidRPr="000F3709" w:rsidTr="00704D9F">
        <w:trPr>
          <w:cantSplit/>
          <w:trHeight w:val="939"/>
        </w:trPr>
        <w:tc>
          <w:tcPr>
            <w:tcW w:w="4173" w:type="dxa"/>
          </w:tcPr>
          <w:p w:rsidR="00933FE3" w:rsidRPr="00FE64AC" w:rsidRDefault="00933FE3" w:rsidP="0066153A">
            <w:pPr>
              <w:spacing w:after="0" w:line="240" w:lineRule="auto"/>
              <w:jc w:val="both"/>
              <w:rPr>
                <w:rFonts w:ascii="Book Antiqua" w:hAnsi="Book Antiqua"/>
                <w:sz w:val="24"/>
                <w:szCs w:val="24"/>
                <w:lang w:val="en-IE"/>
              </w:rPr>
            </w:pPr>
            <w:r w:rsidRPr="00FE64AC">
              <w:rPr>
                <w:rFonts w:ascii="Book Antiqua" w:hAnsi="Book Antiqua"/>
                <w:sz w:val="24"/>
                <w:szCs w:val="24"/>
                <w:lang w:val="en-IE"/>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4.75pt" o:ole="" fillcolor="window">
                  <v:imagedata r:id="rId10" o:title=""/>
                </v:shape>
                <o:OLEObject Type="Embed" ProgID="PBrush" ShapeID="_x0000_i1025" DrawAspect="Content" ObjectID="_1507636691" r:id="rId11"/>
              </w:object>
            </w:r>
          </w:p>
          <w:p w:rsidR="00933FE3" w:rsidRPr="00FE64AC" w:rsidRDefault="00933FE3" w:rsidP="0066153A">
            <w:pPr>
              <w:spacing w:after="0" w:line="240" w:lineRule="auto"/>
              <w:jc w:val="both"/>
              <w:rPr>
                <w:rFonts w:ascii="Book Antiqua" w:hAnsi="Book Antiqua"/>
                <w:i/>
                <w:iCs/>
                <w:sz w:val="24"/>
                <w:szCs w:val="24"/>
                <w:lang w:val="en-GB"/>
              </w:rPr>
            </w:pPr>
            <w:r w:rsidRPr="00FE64AC">
              <w:rPr>
                <w:rFonts w:ascii="Book Antiqua" w:hAnsi="Book Antiqua"/>
                <w:b/>
                <w:iCs/>
                <w:sz w:val="24"/>
                <w:szCs w:val="24"/>
                <w:lang w:val="en-GB"/>
              </w:rPr>
              <w:t>African Commission on Human &amp; Peoples’ Rights</w:t>
            </w:r>
          </w:p>
        </w:tc>
        <w:tc>
          <w:tcPr>
            <w:tcW w:w="1357" w:type="dxa"/>
            <w:vMerge/>
          </w:tcPr>
          <w:p w:rsidR="00933FE3" w:rsidRPr="00FE64AC" w:rsidRDefault="00933FE3" w:rsidP="0066153A">
            <w:pPr>
              <w:spacing w:after="0" w:line="240" w:lineRule="auto"/>
              <w:jc w:val="both"/>
              <w:rPr>
                <w:rFonts w:ascii="Book Antiqua" w:hAnsi="Book Antiqua"/>
                <w:sz w:val="24"/>
                <w:szCs w:val="24"/>
                <w:lang w:val="en-IE"/>
              </w:rPr>
            </w:pPr>
          </w:p>
        </w:tc>
        <w:tc>
          <w:tcPr>
            <w:tcW w:w="5140" w:type="dxa"/>
          </w:tcPr>
          <w:p w:rsidR="00933FE3" w:rsidRPr="00FE64AC" w:rsidRDefault="00933FE3" w:rsidP="0066153A">
            <w:pPr>
              <w:spacing w:after="0" w:line="240" w:lineRule="auto"/>
              <w:jc w:val="both"/>
              <w:rPr>
                <w:rFonts w:ascii="Book Antiqua" w:hAnsi="Book Antiqua"/>
                <w:b/>
                <w:sz w:val="24"/>
                <w:szCs w:val="24"/>
                <w:lang w:val="fr-FR"/>
              </w:rPr>
            </w:pPr>
            <w:r w:rsidRPr="00FE64AC">
              <w:rPr>
                <w:rFonts w:ascii="Book Antiqua" w:hAnsi="Book Antiqua"/>
                <w:b/>
                <w:sz w:val="24"/>
                <w:szCs w:val="24"/>
                <w:lang w:val="fr-FR"/>
              </w:rPr>
              <w:t>UNIÃO AFRICANA</w:t>
            </w:r>
          </w:p>
          <w:p w:rsidR="00933FE3" w:rsidRPr="00FE64AC" w:rsidRDefault="00933FE3" w:rsidP="0066153A">
            <w:pPr>
              <w:spacing w:after="0" w:line="240" w:lineRule="auto"/>
              <w:jc w:val="both"/>
              <w:rPr>
                <w:rFonts w:ascii="Book Antiqua" w:hAnsi="Book Antiqua"/>
                <w:b/>
                <w:sz w:val="24"/>
                <w:szCs w:val="24"/>
                <w:lang w:val="fr-FR"/>
              </w:rPr>
            </w:pPr>
          </w:p>
          <w:p w:rsidR="00933FE3" w:rsidRPr="00FE64AC" w:rsidRDefault="00933FE3" w:rsidP="0066153A">
            <w:pPr>
              <w:spacing w:after="0" w:line="240" w:lineRule="auto"/>
              <w:jc w:val="both"/>
              <w:rPr>
                <w:rFonts w:ascii="Book Antiqua" w:hAnsi="Book Antiqua"/>
                <w:sz w:val="24"/>
                <w:szCs w:val="24"/>
                <w:lang w:val="fr-FR"/>
              </w:rPr>
            </w:pPr>
            <w:r w:rsidRPr="00FE64AC">
              <w:rPr>
                <w:rFonts w:ascii="Book Antiqua" w:hAnsi="Book Antiqua"/>
                <w:b/>
                <w:sz w:val="24"/>
                <w:szCs w:val="24"/>
                <w:lang w:val="fr-FR"/>
              </w:rPr>
              <w:t>Commission Africaine des Droits de l’Homme &amp; des Peuples</w:t>
            </w:r>
          </w:p>
        </w:tc>
      </w:tr>
      <w:tr w:rsidR="00933FE3" w:rsidRPr="00FE64AC" w:rsidTr="00704D9F">
        <w:trPr>
          <w:cantSplit/>
          <w:trHeight w:val="171"/>
        </w:trPr>
        <w:tc>
          <w:tcPr>
            <w:tcW w:w="10670" w:type="dxa"/>
            <w:gridSpan w:val="3"/>
          </w:tcPr>
          <w:p w:rsidR="00933FE3" w:rsidRPr="0066153A" w:rsidRDefault="00933FE3" w:rsidP="0066153A">
            <w:pPr>
              <w:spacing w:after="0" w:line="240" w:lineRule="auto"/>
              <w:jc w:val="center"/>
              <w:rPr>
                <w:rFonts w:ascii="Book Antiqua" w:hAnsi="Book Antiqua"/>
                <w:sz w:val="20"/>
                <w:szCs w:val="20"/>
              </w:rPr>
            </w:pPr>
            <w:r w:rsidRPr="0066153A">
              <w:rPr>
                <w:rFonts w:ascii="Book Antiqua" w:hAnsi="Book Antiqua"/>
                <w:sz w:val="20"/>
                <w:szCs w:val="20"/>
              </w:rPr>
              <w:t xml:space="preserve">No. 31 </w:t>
            </w:r>
            <w:proofErr w:type="spellStart"/>
            <w:r w:rsidRPr="0066153A">
              <w:rPr>
                <w:rFonts w:ascii="Book Antiqua" w:hAnsi="Book Antiqua"/>
                <w:sz w:val="20"/>
                <w:szCs w:val="20"/>
              </w:rPr>
              <w:t>Bijilo</w:t>
            </w:r>
            <w:proofErr w:type="spellEnd"/>
            <w:r w:rsidRPr="0066153A">
              <w:rPr>
                <w:rFonts w:ascii="Book Antiqua" w:hAnsi="Book Antiqua"/>
                <w:sz w:val="20"/>
                <w:szCs w:val="20"/>
              </w:rPr>
              <w:t xml:space="preserve"> Annex Lay-out, Kombo North District, Western Region, P. O. Box 673, Banjul, The Gambia   Tel: (220) 441 05 05 /441 05 06, Fax: (220)  441 05 04     E-mail: </w:t>
            </w:r>
            <w:hyperlink r:id="rId12" w:history="1">
              <w:r w:rsidRPr="0066153A">
                <w:rPr>
                  <w:rStyle w:val="Hyperlink"/>
                  <w:rFonts w:ascii="Book Antiqua" w:hAnsi="Book Antiqua"/>
                  <w:sz w:val="20"/>
                  <w:szCs w:val="20"/>
                </w:rPr>
                <w:t>au-banjul@africa-union.org</w:t>
              </w:r>
            </w:hyperlink>
            <w:r w:rsidRPr="0066153A">
              <w:rPr>
                <w:rFonts w:ascii="Book Antiqua" w:hAnsi="Book Antiqua"/>
                <w:sz w:val="20"/>
                <w:szCs w:val="20"/>
              </w:rPr>
              <w:t xml:space="preserve"> ; Web </w:t>
            </w:r>
            <w:hyperlink r:id="rId13" w:history="1">
              <w:r w:rsidRPr="0066153A">
                <w:rPr>
                  <w:rStyle w:val="Hyperlink"/>
                  <w:rFonts w:ascii="Book Antiqua" w:hAnsi="Book Antiqua"/>
                  <w:sz w:val="20"/>
                  <w:szCs w:val="20"/>
                </w:rPr>
                <w:t>www.achpr.org</w:t>
              </w:r>
            </w:hyperlink>
          </w:p>
        </w:tc>
      </w:tr>
    </w:tbl>
    <w:p w:rsidR="00933FE3" w:rsidRPr="00FE64AC" w:rsidRDefault="00933FE3" w:rsidP="00354F81">
      <w:pPr>
        <w:spacing w:after="0" w:line="360" w:lineRule="auto"/>
        <w:jc w:val="both"/>
        <w:rPr>
          <w:rFonts w:ascii="Book Antiqua" w:hAnsi="Book Antiqua"/>
          <w:sz w:val="24"/>
          <w:szCs w:val="24"/>
          <w:lang w:val="ga-IE"/>
        </w:rPr>
      </w:pPr>
    </w:p>
    <w:p w:rsidR="00E87DB1" w:rsidRPr="00C17964" w:rsidRDefault="00E87DB1" w:rsidP="00E87DB1">
      <w:pPr>
        <w:spacing w:after="0" w:line="360" w:lineRule="auto"/>
        <w:jc w:val="both"/>
        <w:rPr>
          <w:rFonts w:ascii="Book Antiqua" w:hAnsi="Book Antiqua"/>
          <w:sz w:val="24"/>
          <w:szCs w:val="24"/>
        </w:rPr>
      </w:pPr>
    </w:p>
    <w:p w:rsidR="00E87DB1" w:rsidRPr="00C17964" w:rsidRDefault="00E87DB1" w:rsidP="00E87DB1">
      <w:pPr>
        <w:spacing w:after="0" w:line="360" w:lineRule="auto"/>
        <w:jc w:val="both"/>
        <w:rPr>
          <w:rFonts w:ascii="Book Antiqua" w:hAnsi="Book Antiqua"/>
          <w:sz w:val="24"/>
          <w:szCs w:val="24"/>
        </w:rPr>
      </w:pPr>
    </w:p>
    <w:p w:rsidR="00E87DB1" w:rsidRPr="00C17964" w:rsidRDefault="00E87DB1" w:rsidP="00E87DB1">
      <w:pPr>
        <w:spacing w:after="0" w:line="360" w:lineRule="auto"/>
        <w:jc w:val="both"/>
        <w:rPr>
          <w:rFonts w:ascii="Book Antiqua" w:hAnsi="Book Antiqua"/>
          <w:sz w:val="24"/>
          <w:szCs w:val="24"/>
        </w:rPr>
      </w:pPr>
    </w:p>
    <w:p w:rsidR="00E87DB1" w:rsidRPr="00E87DB1" w:rsidRDefault="00E87DB1" w:rsidP="00E87DB1">
      <w:pPr>
        <w:spacing w:after="0" w:line="360" w:lineRule="auto"/>
        <w:jc w:val="center"/>
        <w:rPr>
          <w:rFonts w:ascii="Book Antiqua" w:hAnsi="Book Antiqua"/>
          <w:b/>
          <w:sz w:val="32"/>
          <w:szCs w:val="32"/>
          <w:lang w:val="fr-FR"/>
        </w:rPr>
      </w:pPr>
      <w:r w:rsidRPr="00E87DB1">
        <w:rPr>
          <w:rFonts w:ascii="Book Antiqua" w:hAnsi="Book Antiqua"/>
          <w:b/>
          <w:sz w:val="32"/>
          <w:szCs w:val="32"/>
          <w:lang w:val="fr-FR"/>
        </w:rPr>
        <w:t>Atelier des cours/Commissions régionale et sous régionales des droits de l’homme</w:t>
      </w:r>
    </w:p>
    <w:p w:rsidR="00933FE3" w:rsidRPr="00E87DB1" w:rsidRDefault="00933FE3" w:rsidP="00354F81">
      <w:pPr>
        <w:spacing w:after="0" w:line="360" w:lineRule="auto"/>
        <w:jc w:val="both"/>
        <w:rPr>
          <w:rFonts w:ascii="Book Antiqua" w:hAnsi="Book Antiqua"/>
          <w:sz w:val="24"/>
          <w:szCs w:val="24"/>
          <w:lang w:val="fr-FR"/>
        </w:rPr>
      </w:pPr>
    </w:p>
    <w:p w:rsidR="00933FE3" w:rsidRPr="00E87DB1" w:rsidRDefault="00933FE3" w:rsidP="00354F81">
      <w:pPr>
        <w:spacing w:after="0" w:line="360" w:lineRule="auto"/>
        <w:jc w:val="both"/>
        <w:rPr>
          <w:rFonts w:ascii="Book Antiqua" w:hAnsi="Book Antiqua"/>
          <w:sz w:val="24"/>
          <w:szCs w:val="24"/>
          <w:lang w:val="fr-FR"/>
        </w:rPr>
      </w:pPr>
    </w:p>
    <w:p w:rsidR="00E87DB1" w:rsidRPr="00E87DB1" w:rsidRDefault="00E87DB1" w:rsidP="00354F81">
      <w:pPr>
        <w:spacing w:after="0" w:line="360" w:lineRule="auto"/>
        <w:jc w:val="both"/>
        <w:rPr>
          <w:rFonts w:ascii="Book Antiqua" w:hAnsi="Book Antiqua"/>
          <w:sz w:val="24"/>
          <w:szCs w:val="24"/>
          <w:lang w:val="fr-FR"/>
        </w:rPr>
      </w:pPr>
    </w:p>
    <w:p w:rsidR="00E87DB1" w:rsidRPr="00C17964" w:rsidRDefault="00E87DB1" w:rsidP="00C17964">
      <w:pPr>
        <w:spacing w:after="0" w:line="360" w:lineRule="auto"/>
        <w:ind w:left="-180" w:right="-360"/>
        <w:rPr>
          <w:rFonts w:ascii="Book Antiqua" w:hAnsi="Book Antiqua"/>
          <w:b/>
          <w:i/>
          <w:sz w:val="24"/>
          <w:szCs w:val="24"/>
          <w:lang w:val="fr-FR"/>
        </w:rPr>
      </w:pPr>
      <w:r w:rsidRPr="00E87DB1">
        <w:rPr>
          <w:rFonts w:ascii="Book Antiqua" w:hAnsi="Book Antiqua"/>
          <w:b/>
          <w:sz w:val="24"/>
          <w:szCs w:val="24"/>
          <w:lang w:val="fr-FR"/>
        </w:rPr>
        <w:t xml:space="preserve">Thème : </w:t>
      </w:r>
      <w:r w:rsidRPr="00C17964">
        <w:rPr>
          <w:rFonts w:ascii="Book Antiqua" w:hAnsi="Book Antiqua"/>
          <w:b/>
          <w:i/>
          <w:sz w:val="24"/>
          <w:szCs w:val="24"/>
          <w:lang w:val="fr-FR"/>
        </w:rPr>
        <w:t xml:space="preserve">Aperçu des mécanismes régionaux et sous régionaux ; accès et relations entre </w:t>
      </w:r>
    </w:p>
    <w:p w:rsidR="00E87DB1" w:rsidRPr="00C17964" w:rsidRDefault="00E87DB1" w:rsidP="00C17964">
      <w:pPr>
        <w:spacing w:after="0" w:line="360" w:lineRule="auto"/>
        <w:ind w:left="-180" w:right="-360"/>
        <w:rPr>
          <w:rFonts w:ascii="Book Antiqua" w:hAnsi="Book Antiqua"/>
          <w:b/>
          <w:i/>
          <w:sz w:val="24"/>
          <w:szCs w:val="24"/>
          <w:lang w:val="fr-FR"/>
        </w:rPr>
      </w:pPr>
      <w:r w:rsidRPr="00C17964">
        <w:rPr>
          <w:rFonts w:ascii="Book Antiqua" w:hAnsi="Book Antiqua"/>
          <w:b/>
          <w:i/>
          <w:sz w:val="24"/>
          <w:szCs w:val="24"/>
          <w:lang w:val="fr-FR"/>
        </w:rPr>
        <w:t xml:space="preserve">                </w:t>
      </w:r>
      <w:proofErr w:type="gramStart"/>
      <w:r w:rsidRPr="00C17964">
        <w:rPr>
          <w:rFonts w:ascii="Book Antiqua" w:hAnsi="Book Antiqua"/>
          <w:b/>
          <w:i/>
          <w:sz w:val="24"/>
          <w:szCs w:val="24"/>
          <w:lang w:val="fr-FR"/>
        </w:rPr>
        <w:t>les</w:t>
      </w:r>
      <w:proofErr w:type="gramEnd"/>
      <w:r w:rsidRPr="00C17964">
        <w:rPr>
          <w:rFonts w:ascii="Book Antiqua" w:hAnsi="Book Antiqua"/>
          <w:b/>
          <w:i/>
          <w:sz w:val="24"/>
          <w:szCs w:val="24"/>
          <w:lang w:val="fr-FR"/>
        </w:rPr>
        <w:t xml:space="preserve"> cours et les commissions ; coopération existante avec d’autres  </w:t>
      </w:r>
      <w:r w:rsidR="00C17964" w:rsidRPr="00C17964">
        <w:rPr>
          <w:rFonts w:ascii="Book Antiqua" w:hAnsi="Book Antiqua"/>
          <w:b/>
          <w:i/>
          <w:sz w:val="24"/>
          <w:szCs w:val="24"/>
          <w:lang w:val="fr-FR"/>
        </w:rPr>
        <w:t>mécanismes</w:t>
      </w:r>
    </w:p>
    <w:p w:rsidR="00E87DB1" w:rsidRPr="00E87DB1" w:rsidRDefault="00E87DB1" w:rsidP="00C17964">
      <w:pPr>
        <w:spacing w:after="0" w:line="360" w:lineRule="auto"/>
        <w:ind w:left="-180" w:right="-360"/>
        <w:rPr>
          <w:rFonts w:ascii="Book Antiqua" w:hAnsi="Book Antiqua"/>
          <w:b/>
          <w:sz w:val="24"/>
          <w:szCs w:val="24"/>
          <w:lang w:val="fr-FR"/>
        </w:rPr>
      </w:pPr>
      <w:r w:rsidRPr="00C17964">
        <w:rPr>
          <w:rFonts w:ascii="Book Antiqua" w:hAnsi="Book Antiqua"/>
          <w:b/>
          <w:i/>
          <w:sz w:val="24"/>
          <w:szCs w:val="24"/>
          <w:lang w:val="fr-FR"/>
        </w:rPr>
        <w:t xml:space="preserve">                </w:t>
      </w:r>
    </w:p>
    <w:p w:rsidR="00933FE3" w:rsidRPr="00FE64AC" w:rsidRDefault="00933FE3" w:rsidP="00354F81">
      <w:pPr>
        <w:spacing w:after="0" w:line="360" w:lineRule="auto"/>
        <w:jc w:val="both"/>
        <w:rPr>
          <w:rFonts w:ascii="Book Antiqua" w:hAnsi="Book Antiqua"/>
          <w:b/>
          <w:sz w:val="24"/>
          <w:szCs w:val="24"/>
          <w:lang w:val="fr-FR"/>
        </w:rPr>
      </w:pPr>
    </w:p>
    <w:p w:rsidR="00933FE3" w:rsidRPr="00FE64AC" w:rsidRDefault="00933FE3" w:rsidP="00354F81">
      <w:pPr>
        <w:spacing w:after="0" w:line="360" w:lineRule="auto"/>
        <w:jc w:val="both"/>
        <w:rPr>
          <w:rFonts w:ascii="Book Antiqua" w:hAnsi="Book Antiqua"/>
          <w:b/>
          <w:sz w:val="24"/>
          <w:szCs w:val="24"/>
          <w:lang w:val="fr-FR"/>
        </w:rPr>
      </w:pPr>
    </w:p>
    <w:p w:rsidR="00E87DB1" w:rsidRDefault="00E87DB1" w:rsidP="00E87DB1">
      <w:pPr>
        <w:spacing w:after="0" w:line="360" w:lineRule="auto"/>
        <w:jc w:val="center"/>
        <w:rPr>
          <w:rFonts w:ascii="Book Antiqua" w:hAnsi="Book Antiqua"/>
          <w:sz w:val="24"/>
          <w:szCs w:val="24"/>
          <w:lang w:val="fr-FR"/>
        </w:rPr>
      </w:pPr>
      <w:r w:rsidRPr="00E87DB1">
        <w:rPr>
          <w:rFonts w:ascii="Book Antiqua" w:hAnsi="Book Antiqua"/>
          <w:sz w:val="24"/>
          <w:szCs w:val="24"/>
          <w:lang w:val="fr-FR"/>
        </w:rPr>
        <w:t>P</w:t>
      </w:r>
      <w:r w:rsidR="00933FE3" w:rsidRPr="00E87DB1">
        <w:rPr>
          <w:rFonts w:ascii="Book Antiqua" w:hAnsi="Book Antiqua"/>
          <w:sz w:val="24"/>
          <w:szCs w:val="24"/>
          <w:lang w:val="fr-FR"/>
        </w:rPr>
        <w:t>ar</w:t>
      </w:r>
    </w:p>
    <w:p w:rsidR="00E87DB1" w:rsidRPr="00E87DB1" w:rsidRDefault="00E87DB1" w:rsidP="00E87DB1">
      <w:pPr>
        <w:spacing w:after="0" w:line="360" w:lineRule="auto"/>
        <w:jc w:val="center"/>
        <w:rPr>
          <w:rFonts w:ascii="Book Antiqua" w:hAnsi="Book Antiqua"/>
          <w:sz w:val="24"/>
          <w:szCs w:val="24"/>
          <w:lang w:val="fr-FR"/>
        </w:rPr>
      </w:pPr>
    </w:p>
    <w:p w:rsidR="00933FE3" w:rsidRDefault="00933FE3" w:rsidP="00E87DB1">
      <w:pPr>
        <w:spacing w:after="0" w:line="360" w:lineRule="auto"/>
        <w:jc w:val="center"/>
        <w:rPr>
          <w:rFonts w:ascii="Book Antiqua" w:hAnsi="Book Antiqua"/>
          <w:b/>
          <w:sz w:val="24"/>
          <w:szCs w:val="24"/>
          <w:lang w:val="fr-FR"/>
        </w:rPr>
      </w:pPr>
      <w:r w:rsidRPr="00FE64AC">
        <w:rPr>
          <w:rFonts w:ascii="Book Antiqua" w:hAnsi="Book Antiqua"/>
          <w:b/>
          <w:sz w:val="24"/>
          <w:szCs w:val="24"/>
          <w:lang w:val="fr-FR"/>
        </w:rPr>
        <w:t xml:space="preserve">Me Reine </w:t>
      </w:r>
      <w:proofErr w:type="spellStart"/>
      <w:r w:rsidRPr="00FE64AC">
        <w:rPr>
          <w:rFonts w:ascii="Book Antiqua" w:hAnsi="Book Antiqua"/>
          <w:b/>
          <w:sz w:val="24"/>
          <w:szCs w:val="24"/>
          <w:lang w:val="fr-FR"/>
        </w:rPr>
        <w:t>Alapini</w:t>
      </w:r>
      <w:proofErr w:type="spellEnd"/>
      <w:r w:rsidRPr="00FE64AC">
        <w:rPr>
          <w:rFonts w:ascii="Book Antiqua" w:hAnsi="Book Antiqua"/>
          <w:b/>
          <w:sz w:val="24"/>
          <w:szCs w:val="24"/>
          <w:lang w:val="fr-FR"/>
        </w:rPr>
        <w:t xml:space="preserve"> </w:t>
      </w:r>
      <w:proofErr w:type="spellStart"/>
      <w:r w:rsidRPr="00FE64AC">
        <w:rPr>
          <w:rFonts w:ascii="Book Antiqua" w:hAnsi="Book Antiqua"/>
          <w:b/>
          <w:sz w:val="24"/>
          <w:szCs w:val="24"/>
          <w:lang w:val="fr-FR"/>
        </w:rPr>
        <w:t>Gansou</w:t>
      </w:r>
      <w:proofErr w:type="spellEnd"/>
    </w:p>
    <w:p w:rsidR="00933FE3" w:rsidRPr="00E87DB1" w:rsidRDefault="00933FE3" w:rsidP="00E87DB1">
      <w:pPr>
        <w:spacing w:after="0" w:line="360" w:lineRule="auto"/>
        <w:jc w:val="center"/>
        <w:rPr>
          <w:rFonts w:ascii="Book Antiqua" w:hAnsi="Book Antiqua"/>
          <w:b/>
          <w:i/>
          <w:sz w:val="24"/>
          <w:szCs w:val="24"/>
          <w:lang w:val="fr-FR"/>
        </w:rPr>
      </w:pPr>
      <w:r w:rsidRPr="00E87DB1">
        <w:rPr>
          <w:rFonts w:ascii="Book Antiqua" w:hAnsi="Book Antiqua"/>
          <w:b/>
          <w:i/>
          <w:sz w:val="24"/>
          <w:szCs w:val="24"/>
          <w:lang w:val="fr-FR"/>
        </w:rPr>
        <w:t xml:space="preserve">Membre de la Commission africaine des droits de l’homme et des peuples et </w:t>
      </w:r>
      <w:proofErr w:type="spellStart"/>
      <w:r w:rsidRPr="00E87DB1">
        <w:rPr>
          <w:rFonts w:ascii="Book Antiqua" w:hAnsi="Book Antiqua"/>
          <w:b/>
          <w:i/>
          <w:sz w:val="24"/>
          <w:szCs w:val="24"/>
          <w:lang w:val="fr-FR"/>
        </w:rPr>
        <w:t>Rapporteure</w:t>
      </w:r>
      <w:proofErr w:type="spellEnd"/>
      <w:r w:rsidRPr="00E87DB1">
        <w:rPr>
          <w:rFonts w:ascii="Book Antiqua" w:hAnsi="Book Antiqua"/>
          <w:b/>
          <w:i/>
          <w:sz w:val="24"/>
          <w:szCs w:val="24"/>
          <w:lang w:val="fr-FR"/>
        </w:rPr>
        <w:t xml:space="preserve"> spéciale sur les droits des défenseurs des droits de l’homme en Afrique</w:t>
      </w:r>
    </w:p>
    <w:p w:rsidR="00933FE3" w:rsidRPr="00FE64AC" w:rsidRDefault="00933FE3" w:rsidP="00354F81">
      <w:pPr>
        <w:spacing w:after="0" w:line="360" w:lineRule="auto"/>
        <w:jc w:val="both"/>
        <w:rPr>
          <w:rFonts w:ascii="Book Antiqua" w:hAnsi="Book Antiqua"/>
          <w:sz w:val="24"/>
          <w:szCs w:val="24"/>
          <w:lang w:val="fr-FR"/>
        </w:rPr>
      </w:pPr>
    </w:p>
    <w:p w:rsidR="003E20E2" w:rsidRPr="00FE64AC" w:rsidRDefault="003E20E2" w:rsidP="00354F81">
      <w:pPr>
        <w:spacing w:after="0" w:line="360" w:lineRule="auto"/>
        <w:jc w:val="both"/>
        <w:rPr>
          <w:rFonts w:ascii="Book Antiqua" w:hAnsi="Book Antiqua"/>
          <w:sz w:val="24"/>
          <w:szCs w:val="24"/>
          <w:lang w:val="fr-FR"/>
        </w:rPr>
      </w:pPr>
    </w:p>
    <w:p w:rsidR="00933FE3" w:rsidRDefault="00933FE3" w:rsidP="00354F81">
      <w:pPr>
        <w:spacing w:after="0" w:line="360" w:lineRule="auto"/>
        <w:jc w:val="both"/>
        <w:rPr>
          <w:rFonts w:ascii="Book Antiqua" w:hAnsi="Book Antiqua"/>
          <w:sz w:val="24"/>
          <w:szCs w:val="24"/>
          <w:lang w:val="fr-FR"/>
        </w:rPr>
      </w:pPr>
    </w:p>
    <w:p w:rsidR="00E87DB1" w:rsidRPr="00FE64AC" w:rsidRDefault="00E87DB1" w:rsidP="00354F81">
      <w:pPr>
        <w:spacing w:after="0" w:line="360" w:lineRule="auto"/>
        <w:jc w:val="both"/>
        <w:rPr>
          <w:rFonts w:ascii="Book Antiqua" w:hAnsi="Book Antiqua"/>
          <w:sz w:val="24"/>
          <w:szCs w:val="24"/>
          <w:lang w:val="fr-FR"/>
        </w:rPr>
      </w:pPr>
    </w:p>
    <w:p w:rsidR="00E87DB1" w:rsidRPr="00E87DB1" w:rsidRDefault="00E87DB1" w:rsidP="00E87DB1">
      <w:pPr>
        <w:spacing w:after="0" w:line="360" w:lineRule="auto"/>
        <w:jc w:val="center"/>
        <w:rPr>
          <w:rFonts w:ascii="Book Antiqua" w:hAnsi="Book Antiqua"/>
          <w:sz w:val="24"/>
          <w:szCs w:val="24"/>
          <w:lang w:val="fr-FR"/>
        </w:rPr>
      </w:pPr>
      <w:r w:rsidRPr="00E87DB1">
        <w:rPr>
          <w:rFonts w:ascii="Book Antiqua" w:hAnsi="Book Antiqua"/>
          <w:sz w:val="24"/>
          <w:szCs w:val="24"/>
          <w:lang w:val="fr-FR"/>
        </w:rPr>
        <w:t>Strasbourg, 20-21 octobre 2015</w:t>
      </w:r>
    </w:p>
    <w:p w:rsidR="00933FE3" w:rsidRPr="00FE64AC" w:rsidRDefault="00063CA0" w:rsidP="00354F81">
      <w:pPr>
        <w:spacing w:after="0" w:line="360" w:lineRule="auto"/>
        <w:ind w:left="360"/>
        <w:jc w:val="both"/>
        <w:rPr>
          <w:rFonts w:ascii="Book Antiqua" w:hAnsi="Book Antiqua"/>
          <w:b/>
          <w:sz w:val="24"/>
          <w:szCs w:val="24"/>
          <w:lang w:val="fr-FR"/>
        </w:rPr>
      </w:pPr>
      <w:r w:rsidRPr="00FE64AC">
        <w:rPr>
          <w:rFonts w:ascii="Book Antiqua" w:hAnsi="Book Antiqua"/>
          <w:b/>
          <w:sz w:val="24"/>
          <w:szCs w:val="24"/>
          <w:lang w:val="fr-FR"/>
        </w:rPr>
        <w:lastRenderedPageBreak/>
        <w:t xml:space="preserve">0. </w:t>
      </w:r>
      <w:r w:rsidR="00933FE3" w:rsidRPr="00FE64AC">
        <w:rPr>
          <w:rFonts w:ascii="Book Antiqua" w:hAnsi="Book Antiqua"/>
          <w:b/>
          <w:sz w:val="24"/>
          <w:szCs w:val="24"/>
          <w:lang w:val="fr-FR"/>
        </w:rPr>
        <w:t>Introduction</w:t>
      </w:r>
    </w:p>
    <w:p w:rsidR="00933FE3" w:rsidRPr="00FE64AC" w:rsidRDefault="00933FE3" w:rsidP="00354F81">
      <w:pPr>
        <w:spacing w:after="0" w:line="360" w:lineRule="auto"/>
        <w:jc w:val="both"/>
        <w:rPr>
          <w:rFonts w:ascii="Book Antiqua" w:hAnsi="Book Antiqua"/>
          <w:b/>
          <w:sz w:val="24"/>
          <w:szCs w:val="24"/>
          <w:lang w:val="fr-FR"/>
        </w:rPr>
      </w:pPr>
    </w:p>
    <w:p w:rsidR="0006721C" w:rsidRPr="00EF1D30" w:rsidRDefault="00E012AC" w:rsidP="00EE7B62">
      <w:pPr>
        <w:pStyle w:val="ListParagraph"/>
        <w:numPr>
          <w:ilvl w:val="0"/>
          <w:numId w:val="3"/>
        </w:numPr>
        <w:spacing w:after="0" w:line="360" w:lineRule="auto"/>
        <w:ind w:left="1077" w:hanging="357"/>
        <w:jc w:val="both"/>
        <w:rPr>
          <w:rFonts w:ascii="Book Antiqua" w:hAnsi="Book Antiqua"/>
          <w:b/>
          <w:i/>
          <w:sz w:val="24"/>
          <w:szCs w:val="24"/>
          <w:lang w:val="fr-FR"/>
        </w:rPr>
      </w:pPr>
      <w:r>
        <w:rPr>
          <w:rFonts w:ascii="Book Antiqua" w:hAnsi="Book Antiqua"/>
          <w:sz w:val="24"/>
          <w:szCs w:val="24"/>
          <w:lang w:val="fr-FR"/>
        </w:rPr>
        <w:t xml:space="preserve">Je voudrais à la suite des autres intervenants remercier les organisateurs de cet atelier pour l’initiative qui a été prise en ce qu’il est important pour les organes juridictionnelles ou quasi juridictionnelle de protection des droits de l’homme de dialoguer, de communiquer et de partager sur leurs différentes expériences en vue de l’effectivité de la protection des droits humains. Il m’a été demandé de présenter une communication sur le thème </w:t>
      </w:r>
      <w:r w:rsidR="00933FE3" w:rsidRPr="00FE64AC">
        <w:rPr>
          <w:rFonts w:ascii="Book Antiqua" w:hAnsi="Book Antiqua"/>
          <w:sz w:val="24"/>
          <w:szCs w:val="24"/>
          <w:lang w:val="fr-FR"/>
        </w:rPr>
        <w:t>« </w:t>
      </w:r>
      <w:r w:rsidR="00EF1D30" w:rsidRPr="00EF1D30">
        <w:rPr>
          <w:rFonts w:ascii="Book Antiqua" w:hAnsi="Book Antiqua"/>
          <w:b/>
          <w:i/>
          <w:sz w:val="24"/>
          <w:szCs w:val="24"/>
          <w:lang w:val="fr-FR"/>
        </w:rPr>
        <w:t>Aperçu des mécanismes régionaux et sous régionaux ; accès et relations entre les cours et les commissions ; coopération existante avec d’autres  mécanismes</w:t>
      </w:r>
      <w:r w:rsidR="00933FE3" w:rsidRPr="00EF1D30">
        <w:rPr>
          <w:rFonts w:ascii="Book Antiqua" w:hAnsi="Book Antiqua"/>
          <w:sz w:val="24"/>
          <w:szCs w:val="24"/>
          <w:lang w:val="fr-FR"/>
        </w:rPr>
        <w:t>».</w:t>
      </w:r>
      <w:r w:rsidR="0006721C" w:rsidRPr="00EF1D30">
        <w:rPr>
          <w:rFonts w:ascii="Book Antiqua" w:hAnsi="Book Antiqua"/>
          <w:sz w:val="24"/>
          <w:szCs w:val="24"/>
          <w:lang w:val="fr-FR"/>
        </w:rPr>
        <w:t xml:space="preserve"> </w:t>
      </w:r>
      <w:r>
        <w:rPr>
          <w:rFonts w:ascii="Book Antiqua" w:hAnsi="Book Antiqua"/>
          <w:sz w:val="24"/>
          <w:szCs w:val="24"/>
          <w:lang w:val="fr-FR"/>
        </w:rPr>
        <w:t xml:space="preserve">J’aimerais avant d’aborder le vif du sujet </w:t>
      </w:r>
      <w:r w:rsidR="0006721C" w:rsidRPr="00EF1D30">
        <w:rPr>
          <w:rFonts w:ascii="Book Antiqua" w:hAnsi="Book Antiqua"/>
          <w:sz w:val="24"/>
          <w:szCs w:val="24"/>
          <w:lang w:val="fr-FR"/>
        </w:rPr>
        <w:t xml:space="preserve">faire une brève présentation de la Commission africaine des droits de l’homme et des peuples (la Commission africaine). </w:t>
      </w:r>
    </w:p>
    <w:p w:rsidR="0006721C" w:rsidRPr="00FE64AC" w:rsidRDefault="0006721C" w:rsidP="00354F81">
      <w:pPr>
        <w:pStyle w:val="ListParagraph"/>
        <w:spacing w:after="0" w:line="360" w:lineRule="auto"/>
        <w:ind w:left="1080"/>
        <w:jc w:val="both"/>
        <w:rPr>
          <w:rFonts w:ascii="Book Antiqua" w:hAnsi="Book Antiqua"/>
          <w:sz w:val="24"/>
          <w:szCs w:val="24"/>
          <w:lang w:val="fr-FR"/>
        </w:rPr>
      </w:pPr>
    </w:p>
    <w:p w:rsidR="0006721C" w:rsidRPr="00FE64AC" w:rsidRDefault="0006721C" w:rsidP="00354F81">
      <w:pPr>
        <w:pStyle w:val="ListParagraph"/>
        <w:numPr>
          <w:ilvl w:val="0"/>
          <w:numId w:val="2"/>
        </w:numPr>
        <w:spacing w:after="0" w:line="360" w:lineRule="auto"/>
        <w:jc w:val="both"/>
        <w:rPr>
          <w:rFonts w:ascii="Book Antiqua" w:hAnsi="Book Antiqua" w:cs="Arial"/>
          <w:b/>
          <w:sz w:val="24"/>
          <w:szCs w:val="24"/>
          <w:lang w:val="fr-FR"/>
        </w:rPr>
      </w:pPr>
      <w:r w:rsidRPr="00FE64AC">
        <w:rPr>
          <w:rFonts w:ascii="Book Antiqua" w:hAnsi="Book Antiqua" w:cs="Arial"/>
          <w:b/>
          <w:sz w:val="24"/>
          <w:szCs w:val="24"/>
          <w:lang w:val="fr-FR"/>
        </w:rPr>
        <w:t xml:space="preserve">Brève présentation de la Commission africaine des droits de l’homme et des peuples  </w:t>
      </w:r>
    </w:p>
    <w:p w:rsidR="0006721C" w:rsidRPr="00FE64AC" w:rsidRDefault="0006721C" w:rsidP="00354F81">
      <w:pPr>
        <w:pStyle w:val="ListParagraph"/>
        <w:spacing w:after="0" w:line="360" w:lineRule="auto"/>
        <w:ind w:left="1080"/>
        <w:jc w:val="both"/>
        <w:rPr>
          <w:rFonts w:ascii="Book Antiqua" w:hAnsi="Book Antiqua"/>
          <w:sz w:val="24"/>
          <w:szCs w:val="24"/>
          <w:lang w:val="fr-FR"/>
        </w:rPr>
      </w:pPr>
    </w:p>
    <w:p w:rsidR="0006721C" w:rsidRPr="00FE64AC" w:rsidRDefault="002B633A"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cs="Arial"/>
          <w:sz w:val="24"/>
          <w:szCs w:val="24"/>
          <w:lang w:val="fr-FR"/>
        </w:rPr>
        <w:t xml:space="preserve">La Commission africaine </w:t>
      </w:r>
      <w:r w:rsidR="0006721C" w:rsidRPr="00FE64AC">
        <w:rPr>
          <w:rFonts w:ascii="Book Antiqua" w:hAnsi="Book Antiqua" w:cs="Arial"/>
          <w:sz w:val="24"/>
          <w:szCs w:val="24"/>
          <w:lang w:val="fr-FR"/>
        </w:rPr>
        <w:t>est la première institution panafricaine mis</w:t>
      </w:r>
      <w:r w:rsidR="00E012AC">
        <w:rPr>
          <w:rFonts w:ascii="Book Antiqua" w:hAnsi="Book Antiqua" w:cs="Arial"/>
          <w:sz w:val="24"/>
          <w:szCs w:val="24"/>
          <w:lang w:val="fr-FR"/>
        </w:rPr>
        <w:t>e</w:t>
      </w:r>
      <w:r w:rsidR="0006721C" w:rsidRPr="00FE64AC">
        <w:rPr>
          <w:rFonts w:ascii="Book Antiqua" w:hAnsi="Book Antiqua" w:cs="Arial"/>
          <w:sz w:val="24"/>
          <w:szCs w:val="24"/>
          <w:lang w:val="fr-FR"/>
        </w:rPr>
        <w:t xml:space="preserve"> en place par les Etats africains en vue de la promotion et la protection des droits de l'homme et des peuples sur le continent africain. Elle </w:t>
      </w:r>
      <w:r w:rsidRPr="00FE64AC">
        <w:rPr>
          <w:rFonts w:ascii="Book Antiqua" w:hAnsi="Book Antiqua" w:cs="Arial"/>
          <w:sz w:val="24"/>
          <w:szCs w:val="24"/>
          <w:lang w:val="fr-FR"/>
        </w:rPr>
        <w:t xml:space="preserve">a été créée en </w:t>
      </w:r>
      <w:r w:rsidR="0006721C" w:rsidRPr="00FE64AC">
        <w:rPr>
          <w:rFonts w:ascii="Book Antiqua" w:hAnsi="Book Antiqua" w:cs="Arial"/>
          <w:sz w:val="24"/>
          <w:szCs w:val="24"/>
          <w:lang w:val="fr-FR"/>
        </w:rPr>
        <w:t xml:space="preserve">1987 en </w:t>
      </w:r>
      <w:r w:rsidRPr="00FE64AC">
        <w:rPr>
          <w:rFonts w:ascii="Book Antiqua" w:hAnsi="Book Antiqua" w:cs="Arial"/>
          <w:sz w:val="24"/>
          <w:szCs w:val="24"/>
          <w:lang w:val="fr-FR"/>
        </w:rPr>
        <w:t xml:space="preserve">vertu de l'article 30 de la Charte africaine des droits de l’homme et des peuples (la Charte africaine), </w:t>
      </w:r>
      <w:r w:rsidR="0006721C" w:rsidRPr="00FE64AC">
        <w:rPr>
          <w:rFonts w:ascii="Book Antiqua" w:hAnsi="Book Antiqua" w:cs="Arial"/>
          <w:sz w:val="24"/>
          <w:szCs w:val="24"/>
          <w:lang w:val="fr-FR"/>
        </w:rPr>
        <w:t xml:space="preserve">adoptée en juin 1981 et </w:t>
      </w:r>
      <w:r w:rsidRPr="00FE64AC">
        <w:rPr>
          <w:rFonts w:ascii="Book Antiqua" w:hAnsi="Book Antiqua" w:cs="Arial"/>
          <w:sz w:val="24"/>
          <w:szCs w:val="24"/>
          <w:lang w:val="fr-FR"/>
        </w:rPr>
        <w:t>qui est entrée en vigueur le 21 octobre 198</w:t>
      </w:r>
      <w:r w:rsidR="0006721C" w:rsidRPr="00FE64AC">
        <w:rPr>
          <w:rFonts w:ascii="Book Antiqua" w:hAnsi="Book Antiqua" w:cs="Arial"/>
          <w:sz w:val="24"/>
          <w:szCs w:val="24"/>
          <w:lang w:val="fr-FR"/>
        </w:rPr>
        <w:t>6</w:t>
      </w:r>
      <w:r w:rsidRPr="00FE64AC">
        <w:rPr>
          <w:rFonts w:ascii="Book Antiqua" w:hAnsi="Book Antiqua" w:cs="Arial"/>
          <w:sz w:val="24"/>
          <w:szCs w:val="24"/>
          <w:lang w:val="fr-FR"/>
        </w:rPr>
        <w:t xml:space="preserve">. </w:t>
      </w:r>
    </w:p>
    <w:p w:rsidR="0006721C" w:rsidRPr="00FE64AC" w:rsidRDefault="0006721C" w:rsidP="00354F81">
      <w:pPr>
        <w:pStyle w:val="ListParagraph"/>
        <w:spacing w:after="0" w:line="360" w:lineRule="auto"/>
        <w:ind w:left="1080"/>
        <w:jc w:val="both"/>
        <w:rPr>
          <w:rFonts w:ascii="Book Antiqua" w:hAnsi="Book Antiqua"/>
          <w:sz w:val="24"/>
          <w:szCs w:val="24"/>
          <w:lang w:val="fr-FR"/>
        </w:rPr>
      </w:pPr>
    </w:p>
    <w:p w:rsidR="002B633A" w:rsidRPr="00FE64AC" w:rsidRDefault="0006721C"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cs="Arial"/>
          <w:sz w:val="24"/>
          <w:szCs w:val="24"/>
          <w:lang w:val="fr-FR"/>
        </w:rPr>
        <w:t xml:space="preserve">La Commission </w:t>
      </w:r>
      <w:r w:rsidR="00C05D28" w:rsidRPr="00FE64AC">
        <w:rPr>
          <w:rFonts w:ascii="Book Antiqua" w:hAnsi="Book Antiqua" w:cs="Arial"/>
          <w:sz w:val="24"/>
          <w:szCs w:val="24"/>
          <w:lang w:val="fr-FR"/>
        </w:rPr>
        <w:t xml:space="preserve">africaine </w:t>
      </w:r>
      <w:r w:rsidR="002B633A" w:rsidRPr="00FE64AC">
        <w:rPr>
          <w:rFonts w:ascii="Book Antiqua" w:hAnsi="Book Antiqua" w:cs="Arial"/>
          <w:sz w:val="24"/>
          <w:szCs w:val="24"/>
          <w:lang w:val="fr-FR"/>
        </w:rPr>
        <w:t xml:space="preserve">est composée de onze (11) membres, ressortissants des États membres de l'Union africaine (UA), </w:t>
      </w:r>
      <w:r w:rsidRPr="00FE64AC">
        <w:rPr>
          <w:rFonts w:ascii="Book Antiqua" w:hAnsi="Book Antiqua" w:cs="Arial"/>
          <w:sz w:val="24"/>
          <w:szCs w:val="24"/>
          <w:lang w:val="fr-FR"/>
        </w:rPr>
        <w:t xml:space="preserve">élus par l’Assemblée de l’UA pour un mandat de 6ans renouvelable.  </w:t>
      </w:r>
      <w:r w:rsidR="00C05D28" w:rsidRPr="00FE64AC">
        <w:rPr>
          <w:rFonts w:ascii="Book Antiqua" w:hAnsi="Book Antiqua" w:cs="Arial"/>
          <w:sz w:val="24"/>
          <w:szCs w:val="24"/>
          <w:lang w:val="fr-FR"/>
        </w:rPr>
        <w:t xml:space="preserve">La Commission africaine se réunit </w:t>
      </w:r>
      <w:r w:rsidR="002B633A" w:rsidRPr="00FE64AC">
        <w:rPr>
          <w:rFonts w:ascii="Book Antiqua" w:hAnsi="Book Antiqua" w:cs="Arial"/>
          <w:sz w:val="24"/>
          <w:szCs w:val="24"/>
          <w:lang w:val="fr-FR"/>
        </w:rPr>
        <w:t>deux (2) fois par an en sessions ordinaires</w:t>
      </w:r>
      <w:r w:rsidR="00C05D28" w:rsidRPr="00FE64AC">
        <w:rPr>
          <w:rFonts w:ascii="Book Antiqua" w:hAnsi="Book Antiqua" w:cs="Arial"/>
          <w:sz w:val="24"/>
          <w:szCs w:val="24"/>
          <w:lang w:val="fr-FR"/>
        </w:rPr>
        <w:t xml:space="preserve"> dont la durée est de 15 jours. </w:t>
      </w:r>
      <w:r w:rsidR="00A83287" w:rsidRPr="00FE64AC">
        <w:rPr>
          <w:rFonts w:ascii="Book Antiqua" w:hAnsi="Book Antiqua" w:cs="Arial"/>
          <w:sz w:val="24"/>
          <w:szCs w:val="24"/>
          <w:lang w:val="fr-FR"/>
        </w:rPr>
        <w:t xml:space="preserve">Elle peut également tenir des sessions </w:t>
      </w:r>
      <w:r w:rsidR="005C3AEC">
        <w:rPr>
          <w:rFonts w:ascii="Book Antiqua" w:hAnsi="Book Antiqua" w:cs="Arial"/>
          <w:sz w:val="24"/>
          <w:szCs w:val="24"/>
          <w:lang w:val="fr-FR"/>
        </w:rPr>
        <w:t xml:space="preserve"> extraordinaires </w:t>
      </w:r>
      <w:r w:rsidR="002B633A" w:rsidRPr="00FE64AC">
        <w:rPr>
          <w:rFonts w:ascii="Book Antiqua" w:hAnsi="Book Antiqua" w:cs="Arial"/>
          <w:sz w:val="24"/>
          <w:szCs w:val="24"/>
          <w:lang w:val="fr-FR"/>
        </w:rPr>
        <w:t>chaque fois que</w:t>
      </w:r>
      <w:r w:rsidR="005C3AEC">
        <w:rPr>
          <w:rFonts w:ascii="Book Antiqua" w:hAnsi="Book Antiqua" w:cs="Arial"/>
          <w:sz w:val="24"/>
          <w:szCs w:val="24"/>
          <w:lang w:val="fr-FR"/>
        </w:rPr>
        <w:t xml:space="preserve"> nécessaire</w:t>
      </w:r>
      <w:r w:rsidR="002B633A" w:rsidRPr="00FE64AC">
        <w:rPr>
          <w:rFonts w:ascii="Book Antiqua" w:hAnsi="Book Antiqua" w:cs="Arial"/>
          <w:sz w:val="24"/>
          <w:szCs w:val="24"/>
          <w:lang w:val="fr-FR"/>
        </w:rPr>
        <w:t xml:space="preserve">. </w:t>
      </w:r>
    </w:p>
    <w:p w:rsidR="00A83287" w:rsidRPr="00FE64AC" w:rsidRDefault="00A83287" w:rsidP="00354F81">
      <w:pPr>
        <w:pStyle w:val="ListParagraph"/>
        <w:spacing w:after="0" w:line="360" w:lineRule="auto"/>
        <w:ind w:left="1080"/>
        <w:jc w:val="both"/>
        <w:rPr>
          <w:rFonts w:ascii="Book Antiqua" w:hAnsi="Book Antiqua"/>
          <w:sz w:val="24"/>
          <w:szCs w:val="24"/>
          <w:lang w:val="fr-FR"/>
        </w:rPr>
      </w:pPr>
    </w:p>
    <w:p w:rsidR="00A83287" w:rsidRPr="00E012AC" w:rsidRDefault="00A83287"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cs="Arial"/>
          <w:sz w:val="24"/>
          <w:szCs w:val="24"/>
          <w:lang w:val="fr-FR"/>
        </w:rPr>
        <w:lastRenderedPageBreak/>
        <w:t>En vertu de</w:t>
      </w:r>
      <w:r w:rsidR="007D0F42" w:rsidRPr="00FE64AC">
        <w:rPr>
          <w:rFonts w:ascii="Book Antiqua" w:hAnsi="Book Antiqua" w:cs="Arial"/>
          <w:sz w:val="24"/>
          <w:szCs w:val="24"/>
          <w:lang w:val="fr-FR"/>
        </w:rPr>
        <w:t xml:space="preserve"> l'arti</w:t>
      </w:r>
      <w:r w:rsidRPr="00FE64AC">
        <w:rPr>
          <w:rFonts w:ascii="Book Antiqua" w:hAnsi="Book Antiqua" w:cs="Arial"/>
          <w:sz w:val="24"/>
          <w:szCs w:val="24"/>
          <w:lang w:val="fr-FR"/>
        </w:rPr>
        <w:t xml:space="preserve">cle 45 de la Charte africaine, </w:t>
      </w:r>
      <w:r w:rsidRPr="00FE64AC">
        <w:rPr>
          <w:rFonts w:ascii="Book Antiqua" w:eastAsia="Times New Roman" w:hAnsi="Book Antiqua" w:cs="Arial"/>
          <w:sz w:val="24"/>
          <w:szCs w:val="24"/>
          <w:lang w:val="fr-FR" w:eastAsia="fr-FR"/>
        </w:rPr>
        <w:t xml:space="preserve">la Commission africaine a quatre missions  principales: la promotion et la protection des droits de l’homme et des peuples ;  l’interprétation de la Charte africaine et l’exécution de toute autre tâche qui peut lui être confiée par la Conférence des Chefs d’Etat et des Gouvernements. </w:t>
      </w:r>
    </w:p>
    <w:p w:rsidR="00E012AC" w:rsidRPr="00E012AC" w:rsidRDefault="00E012AC" w:rsidP="00E012AC">
      <w:pPr>
        <w:pStyle w:val="ListParagraph"/>
        <w:rPr>
          <w:rFonts w:ascii="Book Antiqua" w:hAnsi="Book Antiqua"/>
          <w:sz w:val="24"/>
          <w:szCs w:val="24"/>
          <w:lang w:val="fr-FR"/>
        </w:rPr>
      </w:pPr>
    </w:p>
    <w:p w:rsidR="00E012AC" w:rsidRPr="00FE64AC" w:rsidRDefault="00E012AC" w:rsidP="00354F81">
      <w:pPr>
        <w:pStyle w:val="ListParagraph"/>
        <w:numPr>
          <w:ilvl w:val="0"/>
          <w:numId w:val="3"/>
        </w:numPr>
        <w:spacing w:after="0" w:line="360" w:lineRule="auto"/>
        <w:jc w:val="both"/>
        <w:rPr>
          <w:rFonts w:ascii="Book Antiqua" w:hAnsi="Book Antiqua"/>
          <w:sz w:val="24"/>
          <w:szCs w:val="24"/>
          <w:lang w:val="fr-FR"/>
        </w:rPr>
      </w:pPr>
      <w:r>
        <w:rPr>
          <w:rFonts w:ascii="Book Antiqua" w:hAnsi="Book Antiqua"/>
          <w:sz w:val="24"/>
          <w:szCs w:val="24"/>
          <w:lang w:val="fr-FR"/>
        </w:rPr>
        <w:t xml:space="preserve">Nous allons aborder à présent les questions liées à l’accès à la Commission africaine et aux relations que celle-ci entreprend avec d’autres organes, tant à l’échelle continental qu’universel. </w:t>
      </w:r>
    </w:p>
    <w:p w:rsidR="00A83287" w:rsidRPr="00FE64AC" w:rsidRDefault="00A83287" w:rsidP="00354F81">
      <w:pPr>
        <w:pStyle w:val="ListParagraph"/>
        <w:spacing w:after="0" w:line="360" w:lineRule="auto"/>
        <w:ind w:left="1080"/>
        <w:jc w:val="both"/>
        <w:rPr>
          <w:rFonts w:ascii="Book Antiqua" w:hAnsi="Book Antiqua"/>
          <w:sz w:val="24"/>
          <w:szCs w:val="24"/>
          <w:lang w:val="fr-FR"/>
        </w:rPr>
      </w:pPr>
    </w:p>
    <w:p w:rsidR="00A83287" w:rsidRPr="00FE64AC" w:rsidRDefault="00B06805" w:rsidP="00354F81">
      <w:pPr>
        <w:pStyle w:val="ListParagraph"/>
        <w:numPr>
          <w:ilvl w:val="0"/>
          <w:numId w:val="2"/>
        </w:numPr>
        <w:spacing w:after="0" w:line="360" w:lineRule="auto"/>
        <w:jc w:val="both"/>
        <w:rPr>
          <w:rFonts w:ascii="Book Antiqua" w:hAnsi="Book Antiqua"/>
          <w:b/>
          <w:sz w:val="24"/>
          <w:szCs w:val="24"/>
          <w:lang w:val="fr-FR"/>
        </w:rPr>
      </w:pPr>
      <w:r w:rsidRPr="00FE64AC">
        <w:rPr>
          <w:rFonts w:ascii="Book Antiqua" w:hAnsi="Book Antiqua"/>
          <w:b/>
          <w:sz w:val="24"/>
          <w:szCs w:val="24"/>
          <w:lang w:val="fr-FR"/>
        </w:rPr>
        <w:t xml:space="preserve"> </w:t>
      </w:r>
      <w:r w:rsidR="00A83287" w:rsidRPr="00FE64AC">
        <w:rPr>
          <w:rFonts w:ascii="Book Antiqua" w:hAnsi="Book Antiqua"/>
          <w:b/>
          <w:sz w:val="24"/>
          <w:szCs w:val="24"/>
          <w:lang w:val="fr-FR"/>
        </w:rPr>
        <w:t xml:space="preserve">Accès à la Commission africaine </w:t>
      </w:r>
    </w:p>
    <w:p w:rsidR="00A83287" w:rsidRPr="00FE64AC" w:rsidRDefault="00A83287" w:rsidP="00354F81">
      <w:pPr>
        <w:pStyle w:val="ListParagraph"/>
        <w:spacing w:after="0" w:line="360" w:lineRule="auto"/>
        <w:ind w:left="1080"/>
        <w:jc w:val="both"/>
        <w:rPr>
          <w:rFonts w:ascii="Book Antiqua" w:hAnsi="Book Antiqua"/>
          <w:sz w:val="24"/>
          <w:szCs w:val="24"/>
          <w:lang w:val="fr-FR"/>
        </w:rPr>
      </w:pPr>
    </w:p>
    <w:p w:rsidR="00E012AC" w:rsidRPr="00E012AC" w:rsidRDefault="00A83287" w:rsidP="00E012AC">
      <w:pPr>
        <w:pStyle w:val="ListParagraph"/>
        <w:numPr>
          <w:ilvl w:val="0"/>
          <w:numId w:val="3"/>
        </w:numPr>
        <w:spacing w:after="0" w:line="360" w:lineRule="auto"/>
        <w:jc w:val="both"/>
        <w:rPr>
          <w:rFonts w:ascii="Book Antiqua" w:hAnsi="Book Antiqua"/>
          <w:sz w:val="24"/>
          <w:szCs w:val="24"/>
          <w:lang w:val="fr-FR"/>
        </w:rPr>
      </w:pPr>
      <w:r w:rsidRPr="00E012AC">
        <w:rPr>
          <w:rFonts w:ascii="Book Antiqua" w:hAnsi="Book Antiqua" w:cs="Arial"/>
          <w:sz w:val="24"/>
          <w:szCs w:val="24"/>
          <w:lang w:val="fr-FR"/>
        </w:rPr>
        <w:t xml:space="preserve">En abordant la question </w:t>
      </w:r>
      <w:r w:rsidR="00E012AC" w:rsidRPr="00E012AC">
        <w:rPr>
          <w:rFonts w:ascii="Book Antiqua" w:hAnsi="Book Antiqua" w:cs="Arial"/>
          <w:sz w:val="24"/>
          <w:szCs w:val="24"/>
          <w:lang w:val="fr-FR"/>
        </w:rPr>
        <w:t>liée à</w:t>
      </w:r>
      <w:r w:rsidRPr="00E012AC">
        <w:rPr>
          <w:rFonts w:ascii="Book Antiqua" w:hAnsi="Book Antiqua" w:cs="Arial"/>
          <w:sz w:val="24"/>
          <w:szCs w:val="24"/>
          <w:lang w:val="fr-FR"/>
        </w:rPr>
        <w:t xml:space="preserve"> l’accessibilité de la Commission africaine, </w:t>
      </w:r>
      <w:r w:rsidR="00E012AC" w:rsidRPr="00E012AC">
        <w:rPr>
          <w:rFonts w:ascii="Book Antiqua" w:hAnsi="Book Antiqua" w:cs="Arial"/>
          <w:sz w:val="24"/>
          <w:szCs w:val="24"/>
          <w:lang w:val="fr-FR"/>
        </w:rPr>
        <w:t>je vais m’</w:t>
      </w:r>
      <w:r w:rsidRPr="00E012AC">
        <w:rPr>
          <w:rFonts w:ascii="Book Antiqua" w:hAnsi="Book Antiqua" w:cs="Arial"/>
          <w:sz w:val="24"/>
          <w:szCs w:val="24"/>
          <w:lang w:val="fr-FR"/>
        </w:rPr>
        <w:t xml:space="preserve">appesantir sur </w:t>
      </w:r>
      <w:r w:rsidR="000C4F83" w:rsidRPr="00E012AC">
        <w:rPr>
          <w:rFonts w:ascii="Book Antiqua" w:hAnsi="Book Antiqua" w:cs="Arial"/>
          <w:sz w:val="24"/>
          <w:szCs w:val="24"/>
          <w:lang w:val="fr-FR"/>
        </w:rPr>
        <w:t>son</w:t>
      </w:r>
      <w:r w:rsidR="002B633A" w:rsidRPr="00E012AC">
        <w:rPr>
          <w:rFonts w:ascii="Book Antiqua" w:hAnsi="Book Antiqua" w:cs="Arial"/>
          <w:sz w:val="24"/>
          <w:szCs w:val="24"/>
          <w:lang w:val="fr-FR"/>
        </w:rPr>
        <w:t xml:space="preserve"> mandat de protection des droits de l’</w:t>
      </w:r>
      <w:r w:rsidR="007D0F42" w:rsidRPr="00E012AC">
        <w:rPr>
          <w:rFonts w:ascii="Book Antiqua" w:hAnsi="Book Antiqua" w:cs="Arial"/>
          <w:sz w:val="24"/>
          <w:szCs w:val="24"/>
          <w:lang w:val="fr-FR"/>
        </w:rPr>
        <w:t>homme</w:t>
      </w:r>
      <w:r w:rsidR="00E012AC" w:rsidRPr="00E012AC">
        <w:rPr>
          <w:rFonts w:ascii="Book Antiqua" w:hAnsi="Book Antiqua" w:cs="Arial"/>
          <w:sz w:val="24"/>
          <w:szCs w:val="24"/>
          <w:lang w:val="fr-FR"/>
        </w:rPr>
        <w:t xml:space="preserve">.  </w:t>
      </w:r>
    </w:p>
    <w:p w:rsidR="00E012AC" w:rsidRPr="00E012AC" w:rsidRDefault="00E012AC" w:rsidP="00E012AC">
      <w:pPr>
        <w:pStyle w:val="ListParagraph"/>
        <w:spacing w:after="0" w:line="360" w:lineRule="auto"/>
        <w:ind w:left="1080"/>
        <w:jc w:val="both"/>
        <w:rPr>
          <w:rFonts w:ascii="Book Antiqua" w:hAnsi="Book Antiqua"/>
          <w:sz w:val="24"/>
          <w:szCs w:val="24"/>
          <w:lang w:val="fr-FR"/>
        </w:rPr>
      </w:pPr>
    </w:p>
    <w:p w:rsidR="00885563" w:rsidRPr="00FE64AC" w:rsidRDefault="00E012AC" w:rsidP="00354F81">
      <w:pPr>
        <w:pStyle w:val="ListParagraph"/>
        <w:numPr>
          <w:ilvl w:val="0"/>
          <w:numId w:val="3"/>
        </w:numPr>
        <w:spacing w:after="0" w:line="360" w:lineRule="auto"/>
        <w:jc w:val="both"/>
        <w:rPr>
          <w:rStyle w:val="longtext"/>
          <w:rFonts w:ascii="Book Antiqua" w:hAnsi="Book Antiqua"/>
          <w:sz w:val="24"/>
          <w:szCs w:val="24"/>
          <w:lang w:val="fr-FR"/>
        </w:rPr>
      </w:pPr>
      <w:r>
        <w:rPr>
          <w:rFonts w:ascii="Book Antiqua" w:hAnsi="Book Antiqua"/>
          <w:sz w:val="24"/>
          <w:szCs w:val="24"/>
          <w:lang w:val="fr-FR"/>
        </w:rPr>
        <w:t>L</w:t>
      </w:r>
      <w:r w:rsidR="002B5E25" w:rsidRPr="00FE64AC">
        <w:rPr>
          <w:rFonts w:ascii="Book Antiqua" w:hAnsi="Book Antiqua"/>
          <w:sz w:val="24"/>
          <w:szCs w:val="24"/>
          <w:lang w:val="fr-FR"/>
        </w:rPr>
        <w:t xml:space="preserve">a Commission est chargée de </w:t>
      </w:r>
      <w:r w:rsidR="00BE24E5">
        <w:rPr>
          <w:rFonts w:ascii="Book Antiqua" w:hAnsi="Book Antiqua"/>
          <w:sz w:val="24"/>
          <w:szCs w:val="24"/>
          <w:lang w:val="fr-FR"/>
        </w:rPr>
        <w:t>protéger l</w:t>
      </w:r>
      <w:r w:rsidR="002B5E25" w:rsidRPr="00FE64AC">
        <w:rPr>
          <w:rFonts w:ascii="Book Antiqua" w:hAnsi="Book Antiqua"/>
          <w:sz w:val="24"/>
          <w:szCs w:val="24"/>
          <w:lang w:val="fr-FR"/>
        </w:rPr>
        <w:t xml:space="preserve">es droits </w:t>
      </w:r>
      <w:r w:rsidR="002B5E25" w:rsidRPr="00FE64AC">
        <w:rPr>
          <w:rStyle w:val="longtext"/>
          <w:rFonts w:ascii="Book Antiqua" w:hAnsi="Book Antiqua"/>
          <w:sz w:val="24"/>
          <w:szCs w:val="24"/>
          <w:lang w:val="fr-FR"/>
        </w:rPr>
        <w:t xml:space="preserve">et libertés </w:t>
      </w:r>
      <w:r w:rsidR="00BE24E5">
        <w:rPr>
          <w:rStyle w:val="longtext"/>
          <w:rFonts w:ascii="Book Antiqua" w:hAnsi="Book Antiqua"/>
          <w:sz w:val="24"/>
          <w:szCs w:val="24"/>
          <w:lang w:val="fr-FR"/>
        </w:rPr>
        <w:t>de tout individu tels qu’</w:t>
      </w:r>
      <w:r w:rsidR="002B5E25" w:rsidRPr="00FE64AC">
        <w:rPr>
          <w:rStyle w:val="longtext"/>
          <w:rFonts w:ascii="Book Antiqua" w:hAnsi="Book Antiqua"/>
          <w:sz w:val="24"/>
          <w:szCs w:val="24"/>
          <w:lang w:val="fr-FR"/>
        </w:rPr>
        <w:t>énoncés dans la Charte africaine</w:t>
      </w:r>
      <w:r w:rsidR="00BE24E5">
        <w:rPr>
          <w:rStyle w:val="longtext"/>
          <w:rFonts w:ascii="Book Antiqua" w:hAnsi="Book Antiqua"/>
          <w:sz w:val="24"/>
          <w:szCs w:val="24"/>
          <w:lang w:val="fr-FR"/>
        </w:rPr>
        <w:t xml:space="preserve"> et conformément à son règlement intérieur. La Commission africaine s’inspire aussi du droit international des droits de l’homme et </w:t>
      </w:r>
      <w:r w:rsidR="002B5E25" w:rsidRPr="00FE64AC">
        <w:rPr>
          <w:rStyle w:val="longtext"/>
          <w:rFonts w:ascii="Book Antiqua" w:hAnsi="Book Antiqua"/>
          <w:sz w:val="24"/>
          <w:szCs w:val="24"/>
          <w:lang w:val="fr-FR"/>
        </w:rPr>
        <w:t xml:space="preserve"> </w:t>
      </w:r>
      <w:r w:rsidR="00BE24E5">
        <w:rPr>
          <w:rStyle w:val="longtext"/>
          <w:rFonts w:ascii="Book Antiqua" w:hAnsi="Book Antiqua"/>
          <w:sz w:val="24"/>
          <w:szCs w:val="24"/>
          <w:lang w:val="fr-FR"/>
        </w:rPr>
        <w:t>du droit international humanitaire conformément aux articles 60 et 61 de la Charte. Cette charge s’articule par le biais de</w:t>
      </w:r>
      <w:r w:rsidR="00A83287" w:rsidRPr="00FE64AC">
        <w:rPr>
          <w:rStyle w:val="longtext"/>
          <w:rFonts w:ascii="Book Antiqua" w:hAnsi="Book Antiqua"/>
          <w:sz w:val="24"/>
          <w:szCs w:val="24"/>
          <w:lang w:val="fr-FR"/>
        </w:rPr>
        <w:t xml:space="preserve"> la procédure des plaintes/communications</w:t>
      </w:r>
      <w:r w:rsidR="00BE24E5">
        <w:rPr>
          <w:rStyle w:val="longtext"/>
          <w:rFonts w:ascii="Book Antiqua" w:hAnsi="Book Antiqua"/>
          <w:sz w:val="24"/>
          <w:szCs w:val="24"/>
          <w:lang w:val="fr-FR"/>
        </w:rPr>
        <w:t xml:space="preserve"> et aussi par le biais d’autres canaux tels que le</w:t>
      </w:r>
      <w:r w:rsidR="00D9267F" w:rsidRPr="00FE64AC">
        <w:rPr>
          <w:rStyle w:val="longtext"/>
          <w:rFonts w:ascii="Book Antiqua" w:hAnsi="Book Antiqua"/>
          <w:sz w:val="24"/>
          <w:szCs w:val="24"/>
          <w:lang w:val="fr-FR"/>
        </w:rPr>
        <w:t>s appels urgents</w:t>
      </w:r>
      <w:r w:rsidR="00BE24E5">
        <w:rPr>
          <w:rStyle w:val="longtext"/>
          <w:rFonts w:ascii="Book Antiqua" w:hAnsi="Book Antiqua"/>
          <w:sz w:val="24"/>
          <w:szCs w:val="24"/>
          <w:lang w:val="fr-FR"/>
        </w:rPr>
        <w:t xml:space="preserve"> de ses procédures spéciales</w:t>
      </w:r>
      <w:r w:rsidR="00BE24E5">
        <w:rPr>
          <w:rStyle w:val="FootnoteReference"/>
          <w:rFonts w:ascii="Book Antiqua" w:hAnsi="Book Antiqua"/>
          <w:sz w:val="24"/>
          <w:szCs w:val="24"/>
          <w:lang w:val="fr-FR"/>
        </w:rPr>
        <w:footnoteReference w:id="1"/>
      </w:r>
      <w:r w:rsidR="00D9267F" w:rsidRPr="00FE64AC">
        <w:rPr>
          <w:rStyle w:val="longtext"/>
          <w:rFonts w:ascii="Book Antiqua" w:hAnsi="Book Antiqua"/>
          <w:sz w:val="24"/>
          <w:szCs w:val="24"/>
          <w:lang w:val="fr-FR"/>
        </w:rPr>
        <w:t xml:space="preserve">, </w:t>
      </w:r>
      <w:r w:rsidR="00BE24E5">
        <w:rPr>
          <w:rStyle w:val="longtext"/>
          <w:rFonts w:ascii="Book Antiqua" w:hAnsi="Book Antiqua"/>
          <w:sz w:val="24"/>
          <w:szCs w:val="24"/>
          <w:lang w:val="fr-FR"/>
        </w:rPr>
        <w:t>les</w:t>
      </w:r>
      <w:r w:rsidR="00D9267F" w:rsidRPr="00FE64AC">
        <w:rPr>
          <w:rStyle w:val="longtext"/>
          <w:rFonts w:ascii="Book Antiqua" w:hAnsi="Book Antiqua"/>
          <w:sz w:val="24"/>
          <w:szCs w:val="24"/>
          <w:lang w:val="fr-FR"/>
        </w:rPr>
        <w:t xml:space="preserve"> mesures conservatoires et les missions d’établissement des faits</w:t>
      </w:r>
      <w:r w:rsidR="00BE24E5">
        <w:rPr>
          <w:rStyle w:val="FootnoteReference"/>
          <w:rFonts w:ascii="Book Antiqua" w:hAnsi="Book Antiqua"/>
          <w:sz w:val="24"/>
          <w:szCs w:val="24"/>
          <w:lang w:val="fr-FR"/>
        </w:rPr>
        <w:footnoteReference w:id="2"/>
      </w:r>
      <w:r w:rsidR="00D9267F" w:rsidRPr="00FE64AC">
        <w:rPr>
          <w:rStyle w:val="longtext"/>
          <w:rFonts w:ascii="Book Antiqua" w:hAnsi="Book Antiqua"/>
          <w:sz w:val="24"/>
          <w:szCs w:val="24"/>
          <w:lang w:val="fr-FR"/>
        </w:rPr>
        <w:t>.</w:t>
      </w:r>
      <w:r w:rsidR="002B5E25" w:rsidRPr="00FE64AC">
        <w:rPr>
          <w:rFonts w:ascii="Book Antiqua" w:eastAsia="Times New Roman" w:hAnsi="Book Antiqua" w:cs="Times New Roman"/>
          <w:bCs/>
          <w:sz w:val="24"/>
          <w:szCs w:val="24"/>
          <w:lang w:val="fr-FR" w:eastAsia="fr-FR"/>
        </w:rPr>
        <w:t xml:space="preserve"> </w:t>
      </w:r>
    </w:p>
    <w:p w:rsidR="00885563" w:rsidRPr="00FE64AC" w:rsidRDefault="00885563" w:rsidP="00354F81">
      <w:pPr>
        <w:pStyle w:val="ListParagraph"/>
        <w:spacing w:after="0" w:line="360" w:lineRule="auto"/>
        <w:ind w:left="1080"/>
        <w:jc w:val="both"/>
        <w:rPr>
          <w:rStyle w:val="longtext"/>
          <w:rFonts w:ascii="Book Antiqua" w:hAnsi="Book Antiqua"/>
          <w:sz w:val="24"/>
          <w:szCs w:val="24"/>
          <w:lang w:val="fr-FR"/>
        </w:rPr>
      </w:pPr>
    </w:p>
    <w:p w:rsidR="00294131" w:rsidRDefault="00BE24E5" w:rsidP="00354F81">
      <w:pPr>
        <w:pStyle w:val="ListParagraph"/>
        <w:numPr>
          <w:ilvl w:val="0"/>
          <w:numId w:val="3"/>
        </w:numPr>
        <w:spacing w:after="0" w:line="360" w:lineRule="auto"/>
        <w:jc w:val="both"/>
        <w:rPr>
          <w:rStyle w:val="longtext"/>
          <w:rFonts w:ascii="Book Antiqua" w:hAnsi="Book Antiqua"/>
          <w:sz w:val="24"/>
          <w:szCs w:val="24"/>
          <w:lang w:val="fr-FR"/>
        </w:rPr>
      </w:pPr>
      <w:r>
        <w:rPr>
          <w:rStyle w:val="longtext"/>
          <w:rFonts w:ascii="Book Antiqua" w:hAnsi="Book Antiqua"/>
          <w:sz w:val="24"/>
          <w:szCs w:val="24"/>
          <w:lang w:val="fr-FR"/>
        </w:rPr>
        <w:lastRenderedPageBreak/>
        <w:t xml:space="preserve">Lorsque la Charte parle de communication, elle soutient deux idées. Elle soutient dans un premier temps l’idée liée aux litiges entre les Etats parties sur des questions des droits de l’homme et dans un second temps, l’idée liée aux plaintes portées par les individus contre les Etats parties pour violations </w:t>
      </w:r>
      <w:r w:rsidR="00294131">
        <w:rPr>
          <w:rFonts w:ascii="Book Antiqua" w:hAnsi="Book Antiqua"/>
          <w:sz w:val="24"/>
          <w:szCs w:val="24"/>
          <w:lang w:val="fr-FR"/>
        </w:rPr>
        <w:t xml:space="preserve">d’une </w:t>
      </w:r>
      <w:r w:rsidR="00294131" w:rsidRPr="00FE64AC">
        <w:rPr>
          <w:rFonts w:ascii="Book Antiqua" w:hAnsi="Book Antiqua"/>
          <w:sz w:val="24"/>
          <w:szCs w:val="24"/>
          <w:lang w:val="fr-FR"/>
        </w:rPr>
        <w:t>ou plusieurs dispositions de la Charte</w:t>
      </w:r>
      <w:r>
        <w:rPr>
          <w:rStyle w:val="longtext"/>
          <w:rFonts w:ascii="Book Antiqua" w:hAnsi="Book Antiqua"/>
          <w:sz w:val="24"/>
          <w:szCs w:val="24"/>
          <w:lang w:val="fr-FR"/>
        </w:rPr>
        <w:t xml:space="preserve">. </w:t>
      </w:r>
    </w:p>
    <w:p w:rsidR="00294131" w:rsidRPr="00294131" w:rsidRDefault="00294131" w:rsidP="00294131">
      <w:pPr>
        <w:pStyle w:val="ListParagraph"/>
        <w:rPr>
          <w:rStyle w:val="longtext"/>
          <w:rFonts w:ascii="Book Antiqua" w:hAnsi="Book Antiqua"/>
          <w:sz w:val="24"/>
          <w:szCs w:val="24"/>
          <w:lang w:val="fr-FR"/>
        </w:rPr>
      </w:pPr>
    </w:p>
    <w:p w:rsidR="00885563" w:rsidRPr="00FE64AC" w:rsidRDefault="00BE24E5" w:rsidP="00354F81">
      <w:pPr>
        <w:pStyle w:val="ListParagraph"/>
        <w:numPr>
          <w:ilvl w:val="0"/>
          <w:numId w:val="3"/>
        </w:numPr>
        <w:spacing w:after="0" w:line="360" w:lineRule="auto"/>
        <w:jc w:val="both"/>
        <w:rPr>
          <w:rFonts w:ascii="Book Antiqua" w:hAnsi="Book Antiqua"/>
          <w:sz w:val="24"/>
          <w:szCs w:val="24"/>
          <w:lang w:val="fr-FR"/>
        </w:rPr>
      </w:pPr>
      <w:r>
        <w:rPr>
          <w:rStyle w:val="longtext"/>
          <w:rFonts w:ascii="Book Antiqua" w:hAnsi="Book Antiqua"/>
          <w:sz w:val="24"/>
          <w:szCs w:val="24"/>
          <w:lang w:val="fr-FR"/>
        </w:rPr>
        <w:t>La procédure des Plaintes liée aux communications</w:t>
      </w:r>
      <w:r w:rsidR="000A1785" w:rsidRPr="00FE64AC">
        <w:rPr>
          <w:rFonts w:ascii="Book Antiqua" w:hAnsi="Book Antiqua"/>
          <w:sz w:val="24"/>
          <w:szCs w:val="24"/>
          <w:lang w:val="fr-FR"/>
        </w:rPr>
        <w:t xml:space="preserve"> </w:t>
      </w:r>
      <w:r w:rsidR="00C633D0" w:rsidRPr="00FE64AC">
        <w:rPr>
          <w:rFonts w:ascii="Book Antiqua" w:hAnsi="Book Antiqua"/>
          <w:sz w:val="24"/>
          <w:szCs w:val="24"/>
          <w:lang w:val="fr-FR"/>
        </w:rPr>
        <w:t>interétatiques</w:t>
      </w:r>
      <w:r w:rsidR="00266CF9">
        <w:rPr>
          <w:rFonts w:ascii="Book Antiqua" w:hAnsi="Book Antiqua"/>
          <w:sz w:val="24"/>
          <w:szCs w:val="24"/>
          <w:lang w:val="fr-FR"/>
        </w:rPr>
        <w:t xml:space="preserve"> </w:t>
      </w:r>
      <w:r>
        <w:rPr>
          <w:rFonts w:ascii="Book Antiqua" w:hAnsi="Book Antiqua"/>
          <w:sz w:val="24"/>
          <w:szCs w:val="24"/>
          <w:lang w:val="fr-FR"/>
        </w:rPr>
        <w:t xml:space="preserve">est prévue aux </w:t>
      </w:r>
      <w:r w:rsidR="00266CF9">
        <w:rPr>
          <w:rFonts w:ascii="Book Antiqua" w:hAnsi="Book Antiqua"/>
          <w:sz w:val="24"/>
          <w:szCs w:val="24"/>
          <w:lang w:val="fr-FR"/>
        </w:rPr>
        <w:t xml:space="preserve">articles </w:t>
      </w:r>
      <w:r w:rsidR="00266CF9" w:rsidRPr="00266CF9">
        <w:rPr>
          <w:rFonts w:ascii="Book Antiqua" w:hAnsi="Book Antiqua"/>
          <w:sz w:val="24"/>
          <w:szCs w:val="24"/>
          <w:lang w:val="fr-FR"/>
        </w:rPr>
        <w:t xml:space="preserve">47 </w:t>
      </w:r>
      <w:r w:rsidR="00266CF9">
        <w:rPr>
          <w:rFonts w:ascii="Book Antiqua" w:hAnsi="Book Antiqua"/>
          <w:sz w:val="24"/>
          <w:szCs w:val="24"/>
          <w:lang w:val="fr-FR"/>
        </w:rPr>
        <w:t>à</w:t>
      </w:r>
      <w:r w:rsidR="00266CF9" w:rsidRPr="00266CF9">
        <w:rPr>
          <w:rFonts w:ascii="Book Antiqua" w:hAnsi="Book Antiqua"/>
          <w:sz w:val="24"/>
          <w:szCs w:val="24"/>
          <w:lang w:val="fr-FR"/>
        </w:rPr>
        <w:t xml:space="preserve"> 53 de la charte</w:t>
      </w:r>
      <w:r w:rsidR="00C633D0" w:rsidRPr="00FE64AC">
        <w:rPr>
          <w:rFonts w:ascii="Book Antiqua" w:hAnsi="Book Antiqua"/>
          <w:sz w:val="24"/>
          <w:szCs w:val="24"/>
          <w:lang w:val="fr-FR"/>
        </w:rPr>
        <w:t xml:space="preserve"> et </w:t>
      </w:r>
      <w:r w:rsidR="00294131">
        <w:rPr>
          <w:rFonts w:ascii="Book Antiqua" w:hAnsi="Book Antiqua"/>
          <w:sz w:val="24"/>
          <w:szCs w:val="24"/>
          <w:lang w:val="fr-FR"/>
        </w:rPr>
        <w:t>la procédure d</w:t>
      </w:r>
      <w:r w:rsidR="00885563" w:rsidRPr="00FE64AC">
        <w:rPr>
          <w:rFonts w:ascii="Book Antiqua" w:hAnsi="Book Antiqua"/>
          <w:sz w:val="24"/>
          <w:szCs w:val="24"/>
          <w:lang w:val="fr-FR"/>
        </w:rPr>
        <w:t xml:space="preserve">es </w:t>
      </w:r>
      <w:r w:rsidR="000A1785" w:rsidRPr="00FE64AC">
        <w:rPr>
          <w:rFonts w:ascii="Book Antiqua" w:hAnsi="Book Antiqua"/>
          <w:sz w:val="24"/>
          <w:szCs w:val="24"/>
          <w:lang w:val="fr-FR"/>
        </w:rPr>
        <w:t xml:space="preserve">communications émanant des individus ou des organisations </w:t>
      </w:r>
      <w:r w:rsidR="00294131">
        <w:rPr>
          <w:rFonts w:ascii="Book Antiqua" w:hAnsi="Book Antiqua"/>
          <w:sz w:val="24"/>
          <w:szCs w:val="24"/>
          <w:lang w:val="fr-FR"/>
        </w:rPr>
        <w:t xml:space="preserve">non gouvernementales est prévue aux </w:t>
      </w:r>
      <w:r w:rsidR="00266CF9">
        <w:rPr>
          <w:rFonts w:ascii="Book Antiqua" w:hAnsi="Book Antiqua"/>
          <w:sz w:val="24"/>
          <w:szCs w:val="24"/>
          <w:lang w:val="fr-FR"/>
        </w:rPr>
        <w:t xml:space="preserve">Articles </w:t>
      </w:r>
      <w:r w:rsidR="002B5E25" w:rsidRPr="00FE64AC">
        <w:rPr>
          <w:rFonts w:ascii="Book Antiqua" w:hAnsi="Book Antiqua"/>
          <w:sz w:val="24"/>
          <w:szCs w:val="24"/>
          <w:lang w:val="fr-FR"/>
        </w:rPr>
        <w:t xml:space="preserve">55 </w:t>
      </w:r>
      <w:r w:rsidR="00266CF9">
        <w:rPr>
          <w:rFonts w:ascii="Book Antiqua" w:hAnsi="Book Antiqua"/>
          <w:sz w:val="24"/>
          <w:szCs w:val="24"/>
          <w:lang w:val="fr-FR"/>
        </w:rPr>
        <w:t>à 59 de la Charte</w:t>
      </w:r>
      <w:r w:rsidR="002B5E25" w:rsidRPr="00FE64AC">
        <w:rPr>
          <w:rFonts w:ascii="Book Antiqua" w:hAnsi="Book Antiqua"/>
          <w:sz w:val="24"/>
          <w:szCs w:val="24"/>
          <w:lang w:val="fr-FR"/>
        </w:rPr>
        <w:t>.</w:t>
      </w:r>
    </w:p>
    <w:p w:rsidR="00885563" w:rsidRPr="00FE64AC" w:rsidRDefault="00885563" w:rsidP="00354F81">
      <w:pPr>
        <w:pStyle w:val="ListParagraph"/>
        <w:spacing w:after="0" w:line="360" w:lineRule="auto"/>
        <w:ind w:left="1080"/>
        <w:jc w:val="both"/>
        <w:rPr>
          <w:rFonts w:ascii="Book Antiqua" w:hAnsi="Book Antiqua"/>
          <w:sz w:val="24"/>
          <w:szCs w:val="24"/>
          <w:lang w:val="fr-FR"/>
        </w:rPr>
      </w:pPr>
    </w:p>
    <w:p w:rsidR="00294131" w:rsidRDefault="00294131" w:rsidP="00354F81">
      <w:pPr>
        <w:pStyle w:val="ListParagraph"/>
        <w:numPr>
          <w:ilvl w:val="0"/>
          <w:numId w:val="3"/>
        </w:numPr>
        <w:spacing w:after="0" w:line="360" w:lineRule="auto"/>
        <w:jc w:val="both"/>
        <w:rPr>
          <w:rFonts w:ascii="Book Antiqua" w:hAnsi="Book Antiqua"/>
          <w:sz w:val="24"/>
          <w:szCs w:val="24"/>
          <w:lang w:val="fr-FR"/>
        </w:rPr>
      </w:pPr>
      <w:r>
        <w:rPr>
          <w:rFonts w:ascii="Book Antiqua" w:hAnsi="Book Antiqua" w:cs="Arial"/>
          <w:sz w:val="24"/>
          <w:szCs w:val="24"/>
          <w:lang w:val="fr-FR"/>
        </w:rPr>
        <w:t>L</w:t>
      </w:r>
      <w:r w:rsidR="000A1785" w:rsidRPr="00FE64AC">
        <w:rPr>
          <w:rFonts w:ascii="Book Antiqua" w:hAnsi="Book Antiqua" w:cs="Arial"/>
          <w:sz w:val="24"/>
          <w:szCs w:val="24"/>
          <w:lang w:val="fr-FR"/>
        </w:rPr>
        <w:t xml:space="preserve">’une des forces de la Commission </w:t>
      </w:r>
      <w:r>
        <w:rPr>
          <w:rFonts w:ascii="Book Antiqua" w:hAnsi="Book Antiqua" w:cs="Arial"/>
          <w:sz w:val="24"/>
          <w:szCs w:val="24"/>
          <w:lang w:val="fr-FR"/>
        </w:rPr>
        <w:t xml:space="preserve">africaine </w:t>
      </w:r>
      <w:r w:rsidR="000A1785" w:rsidRPr="00FE64AC">
        <w:rPr>
          <w:rFonts w:ascii="Book Antiqua" w:hAnsi="Book Antiqua" w:cs="Arial"/>
          <w:sz w:val="24"/>
          <w:szCs w:val="24"/>
          <w:lang w:val="fr-FR"/>
        </w:rPr>
        <w:t>est qu’elle est accessible à tou</w:t>
      </w:r>
      <w:r>
        <w:rPr>
          <w:rFonts w:ascii="Book Antiqua" w:hAnsi="Book Antiqua" w:cs="Arial"/>
          <w:sz w:val="24"/>
          <w:szCs w:val="24"/>
          <w:lang w:val="fr-FR"/>
        </w:rPr>
        <w:t>s les ressortissants des Etats parties, à tous acteurs qui ont un lien avec la Commission africaine par le biais de l’affiliation, du statut d’observateur ou de toute autre forme de partenariat avec la Comm</w:t>
      </w:r>
      <w:r w:rsidR="00306B44">
        <w:rPr>
          <w:rFonts w:ascii="Book Antiqua" w:hAnsi="Book Antiqua" w:cs="Arial"/>
          <w:sz w:val="24"/>
          <w:szCs w:val="24"/>
          <w:lang w:val="fr-FR"/>
        </w:rPr>
        <w:t>ission africaine pourvu qu’</w:t>
      </w:r>
      <w:r>
        <w:rPr>
          <w:rFonts w:ascii="Book Antiqua" w:hAnsi="Book Antiqua" w:cs="Arial"/>
          <w:sz w:val="24"/>
          <w:szCs w:val="24"/>
          <w:lang w:val="fr-FR"/>
        </w:rPr>
        <w:t>une ou plusieurs dispositions de la Charte africaine fasse l’objet de violation par un Etat partie. L</w:t>
      </w:r>
      <w:r w:rsidR="000A1785" w:rsidRPr="00FE64AC">
        <w:rPr>
          <w:rFonts w:ascii="Book Antiqua" w:hAnsi="Book Antiqua" w:cs="Arial"/>
          <w:sz w:val="24"/>
          <w:szCs w:val="24"/>
          <w:lang w:val="fr-FR"/>
        </w:rPr>
        <w:t>e</w:t>
      </w:r>
      <w:r>
        <w:rPr>
          <w:rFonts w:ascii="Book Antiqua" w:hAnsi="Book Antiqua" w:cs="Arial"/>
          <w:sz w:val="24"/>
          <w:szCs w:val="24"/>
          <w:lang w:val="fr-FR"/>
        </w:rPr>
        <w:t>s individus</w:t>
      </w:r>
      <w:r w:rsidR="000A1785" w:rsidRPr="00FE64AC">
        <w:rPr>
          <w:rFonts w:ascii="Book Antiqua" w:hAnsi="Book Antiqua" w:cs="Arial"/>
          <w:sz w:val="24"/>
          <w:szCs w:val="24"/>
          <w:lang w:val="fr-FR"/>
        </w:rPr>
        <w:t xml:space="preserve"> </w:t>
      </w:r>
      <w:r>
        <w:rPr>
          <w:rFonts w:ascii="Book Antiqua" w:hAnsi="Book Antiqua" w:cs="Arial"/>
          <w:sz w:val="24"/>
          <w:szCs w:val="24"/>
          <w:lang w:val="fr-FR"/>
        </w:rPr>
        <w:t xml:space="preserve">ou les </w:t>
      </w:r>
      <w:proofErr w:type="spellStart"/>
      <w:r>
        <w:rPr>
          <w:rFonts w:ascii="Book Antiqua" w:hAnsi="Book Antiqua" w:cs="Arial"/>
          <w:sz w:val="24"/>
          <w:szCs w:val="24"/>
          <w:lang w:val="fr-FR"/>
        </w:rPr>
        <w:t>ONGs</w:t>
      </w:r>
      <w:proofErr w:type="spellEnd"/>
      <w:r>
        <w:rPr>
          <w:rFonts w:ascii="Book Antiqua" w:hAnsi="Book Antiqua" w:cs="Arial"/>
          <w:sz w:val="24"/>
          <w:szCs w:val="24"/>
          <w:lang w:val="fr-FR"/>
        </w:rPr>
        <w:t xml:space="preserve"> nationales ou internationales peuvent saisir sans restriction </w:t>
      </w:r>
      <w:r w:rsidR="000A1785" w:rsidRPr="00FE64AC">
        <w:rPr>
          <w:rFonts w:ascii="Book Antiqua" w:hAnsi="Book Antiqua" w:cs="Arial"/>
          <w:sz w:val="24"/>
          <w:szCs w:val="24"/>
          <w:lang w:val="fr-FR"/>
        </w:rPr>
        <w:t xml:space="preserve">la Commission </w:t>
      </w:r>
      <w:r>
        <w:rPr>
          <w:rFonts w:ascii="Book Antiqua" w:hAnsi="Book Antiqua" w:cs="Arial"/>
          <w:sz w:val="24"/>
          <w:szCs w:val="24"/>
          <w:lang w:val="fr-FR"/>
        </w:rPr>
        <w:t>s’ils</w:t>
      </w:r>
      <w:r w:rsidR="000A1785" w:rsidRPr="00FE64AC">
        <w:rPr>
          <w:rFonts w:ascii="Book Antiqua" w:hAnsi="Book Antiqua"/>
          <w:sz w:val="24"/>
          <w:szCs w:val="24"/>
          <w:lang w:val="fr-FR"/>
        </w:rPr>
        <w:t xml:space="preserve"> estiment que leurs droits ou ceux d’autres personnes ont été violés par un Etat partie à la Charte africaine. </w:t>
      </w:r>
    </w:p>
    <w:p w:rsidR="00294131" w:rsidRPr="00294131" w:rsidRDefault="00294131" w:rsidP="00294131">
      <w:pPr>
        <w:pStyle w:val="ListParagraph"/>
        <w:rPr>
          <w:rFonts w:ascii="Book Antiqua" w:hAnsi="Book Antiqua"/>
          <w:sz w:val="24"/>
          <w:szCs w:val="24"/>
          <w:lang w:val="fr-FR"/>
        </w:rPr>
      </w:pPr>
    </w:p>
    <w:p w:rsidR="000A1785" w:rsidRDefault="000A1785" w:rsidP="00354F81">
      <w:pPr>
        <w:pStyle w:val="ListParagraph"/>
        <w:numPr>
          <w:ilvl w:val="0"/>
          <w:numId w:val="3"/>
        </w:numPr>
        <w:spacing w:after="0" w:line="360" w:lineRule="auto"/>
        <w:jc w:val="both"/>
        <w:rPr>
          <w:rFonts w:ascii="Book Antiqua" w:hAnsi="Book Antiqua"/>
          <w:sz w:val="24"/>
          <w:szCs w:val="24"/>
          <w:lang w:val="fr-FR"/>
        </w:rPr>
      </w:pPr>
      <w:r w:rsidRPr="00294131">
        <w:rPr>
          <w:rFonts w:ascii="Book Antiqua" w:hAnsi="Book Antiqua"/>
          <w:sz w:val="24"/>
          <w:szCs w:val="24"/>
          <w:lang w:val="fr-FR"/>
        </w:rPr>
        <w:t xml:space="preserve">Une communication peut également être introduite par un Etat partie à la Charte qui croit raisonnablement qu’un autre Etat partie a violé l’un quelconque des droits garantis par la Charte. </w:t>
      </w:r>
      <w:r w:rsidR="00294131" w:rsidRPr="00294131">
        <w:rPr>
          <w:rFonts w:ascii="Book Antiqua" w:hAnsi="Book Antiqua"/>
          <w:sz w:val="24"/>
          <w:szCs w:val="24"/>
          <w:lang w:val="fr-FR"/>
        </w:rPr>
        <w:t>A</w:t>
      </w:r>
      <w:r w:rsidRPr="00294131">
        <w:rPr>
          <w:rFonts w:ascii="Book Antiqua" w:hAnsi="Book Antiqua"/>
          <w:sz w:val="24"/>
          <w:szCs w:val="24"/>
          <w:lang w:val="fr-FR"/>
        </w:rPr>
        <w:t xml:space="preserve"> ce jour, la Commission n’a reçu que trois  Communications </w:t>
      </w:r>
      <w:r w:rsidR="00294131" w:rsidRPr="00294131">
        <w:rPr>
          <w:rFonts w:ascii="Book Antiqua" w:hAnsi="Book Antiqua"/>
          <w:sz w:val="24"/>
          <w:szCs w:val="24"/>
          <w:lang w:val="fr-FR"/>
        </w:rPr>
        <w:t>mettant aux prises les Etats Parties</w:t>
      </w:r>
      <w:r w:rsidR="00294131">
        <w:rPr>
          <w:rStyle w:val="FootnoteReference"/>
          <w:rFonts w:ascii="Book Antiqua" w:hAnsi="Book Antiqua"/>
          <w:sz w:val="24"/>
          <w:szCs w:val="24"/>
          <w:lang w:val="fr-FR"/>
        </w:rPr>
        <w:footnoteReference w:id="3"/>
      </w:r>
      <w:r w:rsidR="00294131" w:rsidRPr="00294131">
        <w:rPr>
          <w:rFonts w:ascii="Book Antiqua" w:hAnsi="Book Antiqua"/>
          <w:sz w:val="24"/>
          <w:szCs w:val="24"/>
          <w:lang w:val="fr-FR"/>
        </w:rPr>
        <w:t xml:space="preserve">. </w:t>
      </w:r>
    </w:p>
    <w:p w:rsidR="00294131" w:rsidRPr="00294131" w:rsidRDefault="00294131" w:rsidP="00294131">
      <w:pPr>
        <w:pStyle w:val="ListParagraph"/>
        <w:rPr>
          <w:rFonts w:ascii="Book Antiqua" w:hAnsi="Book Antiqua"/>
          <w:sz w:val="24"/>
          <w:szCs w:val="24"/>
          <w:lang w:val="fr-FR"/>
        </w:rPr>
      </w:pPr>
    </w:p>
    <w:p w:rsidR="00D653FD" w:rsidRDefault="000A1785" w:rsidP="00354F81">
      <w:pPr>
        <w:pStyle w:val="ListParagraph"/>
        <w:numPr>
          <w:ilvl w:val="0"/>
          <w:numId w:val="3"/>
        </w:numPr>
        <w:spacing w:after="0" w:line="360" w:lineRule="auto"/>
        <w:jc w:val="both"/>
        <w:rPr>
          <w:rStyle w:val="longtext"/>
          <w:rFonts w:ascii="Book Antiqua" w:hAnsi="Book Antiqua"/>
          <w:sz w:val="24"/>
          <w:szCs w:val="24"/>
          <w:lang w:val="fr-FR"/>
        </w:rPr>
      </w:pPr>
      <w:r w:rsidRPr="00FE64AC">
        <w:rPr>
          <w:rStyle w:val="longtext"/>
          <w:rFonts w:ascii="Book Antiqua" w:hAnsi="Book Antiqua"/>
          <w:sz w:val="24"/>
          <w:szCs w:val="24"/>
          <w:lang w:val="fr-FR"/>
        </w:rPr>
        <w:t>Il convient de noter que, contrairement à d’autres organes régionaux où le plaignant doit être la victime ou une personne apparentée à elle, dans la Charte africaine, il n’y a pas de restriction quant à celui qui introduit la communication.</w:t>
      </w:r>
      <w:r w:rsidRPr="00FE64AC">
        <w:rPr>
          <w:rFonts w:ascii="Book Antiqua" w:hAnsi="Book Antiqua" w:cs="Arial"/>
          <w:color w:val="000000"/>
          <w:sz w:val="24"/>
          <w:szCs w:val="24"/>
          <w:lang w:val="fr-FR"/>
        </w:rPr>
        <w:t xml:space="preserve">  </w:t>
      </w:r>
      <w:r w:rsidRPr="00FE64AC">
        <w:rPr>
          <w:rStyle w:val="longtext"/>
          <w:rFonts w:ascii="Book Antiqua" w:hAnsi="Book Antiqua"/>
          <w:sz w:val="24"/>
          <w:szCs w:val="24"/>
          <w:lang w:val="fr-FR"/>
        </w:rPr>
        <w:lastRenderedPageBreak/>
        <w:t xml:space="preserve">Ainsi, une communication peut être introduite au nom d’une victime par une personne ou une organisation qui ne connait pas, n’a jamais vu ou rencontré la victime. </w:t>
      </w:r>
    </w:p>
    <w:p w:rsidR="00D653FD" w:rsidRPr="00D653FD" w:rsidRDefault="00D653FD" w:rsidP="00D653FD">
      <w:pPr>
        <w:pStyle w:val="ListParagraph"/>
        <w:rPr>
          <w:rFonts w:ascii="Book Antiqua" w:hAnsi="Book Antiqua"/>
          <w:lang w:val="fr-FR"/>
        </w:rPr>
      </w:pPr>
    </w:p>
    <w:p w:rsidR="000A1785" w:rsidRPr="00FE64AC" w:rsidRDefault="00E87DB1" w:rsidP="00354F81">
      <w:pPr>
        <w:pStyle w:val="ListParagraph"/>
        <w:numPr>
          <w:ilvl w:val="0"/>
          <w:numId w:val="3"/>
        </w:numPr>
        <w:spacing w:after="0" w:line="360" w:lineRule="auto"/>
        <w:jc w:val="both"/>
        <w:rPr>
          <w:rFonts w:ascii="Book Antiqua" w:hAnsi="Book Antiqua"/>
          <w:sz w:val="24"/>
          <w:szCs w:val="24"/>
          <w:lang w:val="fr-FR"/>
        </w:rPr>
      </w:pPr>
      <w:r>
        <w:rPr>
          <w:rFonts w:ascii="Book Antiqua" w:hAnsi="Book Antiqua"/>
          <w:lang w:val="fr-FR"/>
        </w:rPr>
        <w:t>La Commission</w:t>
      </w:r>
      <w:r w:rsidRPr="00E87DB1">
        <w:rPr>
          <w:rFonts w:ascii="Book Antiqua" w:hAnsi="Book Antiqua"/>
          <w:lang w:val="fr-FR"/>
        </w:rPr>
        <w:t xml:space="preserve"> peut </w:t>
      </w:r>
      <w:r w:rsidR="00D653FD">
        <w:rPr>
          <w:rFonts w:ascii="Book Antiqua" w:hAnsi="Book Antiqua"/>
          <w:lang w:val="fr-FR"/>
        </w:rPr>
        <w:t xml:space="preserve">cependant </w:t>
      </w:r>
      <w:r w:rsidRPr="00E87DB1">
        <w:rPr>
          <w:rFonts w:ascii="Book Antiqua" w:hAnsi="Book Antiqua"/>
          <w:lang w:val="fr-FR"/>
        </w:rPr>
        <w:t>dans certains cas</w:t>
      </w:r>
      <w:r>
        <w:rPr>
          <w:rFonts w:ascii="Book Antiqua" w:hAnsi="Book Antiqua"/>
          <w:lang w:val="fr-FR"/>
        </w:rPr>
        <w:t>,</w:t>
      </w:r>
      <w:r w:rsidRPr="00E87DB1">
        <w:rPr>
          <w:rFonts w:ascii="Book Antiqua" w:hAnsi="Book Antiqua"/>
          <w:lang w:val="fr-FR"/>
        </w:rPr>
        <w:t xml:space="preserve"> </w:t>
      </w:r>
      <w:r>
        <w:rPr>
          <w:rFonts w:ascii="Book Antiqua" w:hAnsi="Book Antiqua"/>
          <w:lang w:val="fr-FR"/>
        </w:rPr>
        <w:t xml:space="preserve">bien que relativement très rares, </w:t>
      </w:r>
      <w:r w:rsidRPr="00E87DB1">
        <w:rPr>
          <w:rFonts w:ascii="Book Antiqua" w:hAnsi="Book Antiqua"/>
          <w:lang w:val="fr-FR"/>
        </w:rPr>
        <w:t>demande</w:t>
      </w:r>
      <w:r>
        <w:rPr>
          <w:rFonts w:ascii="Book Antiqua" w:hAnsi="Book Antiqua"/>
          <w:lang w:val="fr-FR"/>
        </w:rPr>
        <w:t>r le consentement de la victime</w:t>
      </w:r>
      <w:r>
        <w:rPr>
          <w:rStyle w:val="FootnoteReference"/>
          <w:rFonts w:ascii="Book Antiqua" w:hAnsi="Book Antiqua"/>
          <w:lang w:val="fr-FR"/>
        </w:rPr>
        <w:footnoteReference w:id="4"/>
      </w:r>
      <w:r>
        <w:rPr>
          <w:rFonts w:ascii="Book Antiqua" w:hAnsi="Book Antiqua"/>
          <w:lang w:val="fr-FR"/>
        </w:rPr>
        <w:t xml:space="preserve">. </w:t>
      </w:r>
      <w:r w:rsidR="00A17448" w:rsidRPr="00FE64AC">
        <w:rPr>
          <w:rFonts w:ascii="Book Antiqua" w:hAnsi="Book Antiqua" w:cs="Arial"/>
          <w:sz w:val="24"/>
          <w:szCs w:val="24"/>
          <w:lang w:val="fr-FR"/>
        </w:rPr>
        <w:t xml:space="preserve">Des enquêtes relatives aux plaintes sont menées et les décisions sont préparées à chacune des 3 étapes de l'examen d'une plainte introduite devant la Commission, à savoir: - la saisine, la recevabilité et le fond. </w:t>
      </w:r>
      <w:r w:rsidR="001B779F">
        <w:rPr>
          <w:rFonts w:ascii="Book Antiqua" w:hAnsi="Book Antiqua" w:cs="Arial"/>
          <w:sz w:val="24"/>
          <w:szCs w:val="24"/>
          <w:lang w:val="fr-FR"/>
        </w:rPr>
        <w:t xml:space="preserve"> Cependant</w:t>
      </w:r>
      <w:r w:rsidR="00E94C92">
        <w:rPr>
          <w:rFonts w:ascii="Book Antiqua" w:hAnsi="Book Antiqua" w:cs="Arial"/>
          <w:sz w:val="24"/>
          <w:szCs w:val="24"/>
          <w:lang w:val="fr-FR"/>
        </w:rPr>
        <w:t>,</w:t>
      </w:r>
      <w:r w:rsidR="001B779F">
        <w:rPr>
          <w:rFonts w:ascii="Book Antiqua" w:hAnsi="Book Antiqua" w:cs="Arial"/>
          <w:sz w:val="24"/>
          <w:szCs w:val="24"/>
          <w:lang w:val="fr-FR"/>
        </w:rPr>
        <w:t xml:space="preserve"> </w:t>
      </w:r>
      <w:r w:rsidR="00E94C92">
        <w:rPr>
          <w:rFonts w:ascii="Book Antiqua" w:hAnsi="Book Antiqua"/>
          <w:sz w:val="24"/>
          <w:szCs w:val="24"/>
          <w:lang w:val="fr-FR"/>
        </w:rPr>
        <w:t>i</w:t>
      </w:r>
      <w:r w:rsidR="000A1785" w:rsidRPr="00FE64AC">
        <w:rPr>
          <w:rFonts w:ascii="Book Antiqua" w:hAnsi="Book Antiqua"/>
          <w:sz w:val="24"/>
          <w:szCs w:val="24"/>
          <w:lang w:val="fr-FR"/>
        </w:rPr>
        <w:t xml:space="preserve">l sied de souligner  que </w:t>
      </w:r>
      <w:r w:rsidR="00E94C92" w:rsidRPr="00FE64AC">
        <w:rPr>
          <w:rFonts w:ascii="Book Antiqua" w:hAnsi="Book Antiqua"/>
          <w:sz w:val="24"/>
          <w:szCs w:val="24"/>
          <w:lang w:val="fr-FR"/>
        </w:rPr>
        <w:t xml:space="preserve">pour qu’une Communication soit déclarée recevable </w:t>
      </w:r>
      <w:r w:rsidR="00E94C92">
        <w:rPr>
          <w:rFonts w:ascii="Book Antiqua" w:hAnsi="Book Antiqua"/>
          <w:sz w:val="24"/>
          <w:szCs w:val="24"/>
          <w:lang w:val="fr-FR"/>
        </w:rPr>
        <w:t>elle doit</w:t>
      </w:r>
      <w:r w:rsidR="00E94C92" w:rsidRPr="00FE64AC">
        <w:rPr>
          <w:rFonts w:ascii="Book Antiqua" w:hAnsi="Book Antiqua"/>
          <w:sz w:val="24"/>
          <w:szCs w:val="24"/>
          <w:lang w:val="fr-FR"/>
        </w:rPr>
        <w:t xml:space="preserve"> remplir</w:t>
      </w:r>
      <w:r w:rsidR="00E94C92">
        <w:rPr>
          <w:rFonts w:ascii="Book Antiqua" w:hAnsi="Book Antiqua"/>
          <w:sz w:val="24"/>
          <w:szCs w:val="24"/>
          <w:lang w:val="fr-FR"/>
        </w:rPr>
        <w:t xml:space="preserve">  les </w:t>
      </w:r>
      <w:r w:rsidR="00E94C92" w:rsidRPr="00FE64AC">
        <w:rPr>
          <w:rFonts w:ascii="Book Antiqua" w:hAnsi="Book Antiqua"/>
          <w:sz w:val="24"/>
          <w:szCs w:val="24"/>
          <w:lang w:val="fr-FR"/>
        </w:rPr>
        <w:t>sept (7) conditions cumulatives</w:t>
      </w:r>
      <w:r w:rsidR="00E94C92">
        <w:rPr>
          <w:rFonts w:ascii="Book Antiqua" w:hAnsi="Book Antiqua"/>
          <w:sz w:val="24"/>
          <w:szCs w:val="24"/>
          <w:lang w:val="fr-FR"/>
        </w:rPr>
        <w:t xml:space="preserve"> prévue à </w:t>
      </w:r>
      <w:r w:rsidR="000A1785" w:rsidRPr="00FE64AC">
        <w:rPr>
          <w:rFonts w:ascii="Book Antiqua" w:hAnsi="Book Antiqua"/>
          <w:sz w:val="24"/>
          <w:szCs w:val="24"/>
          <w:lang w:val="fr-FR"/>
        </w:rPr>
        <w:t>l’article 56 de la Charte</w:t>
      </w:r>
      <w:r w:rsidR="00E94C92">
        <w:rPr>
          <w:rFonts w:ascii="Book Antiqua" w:hAnsi="Book Antiqua"/>
          <w:sz w:val="24"/>
          <w:szCs w:val="24"/>
          <w:lang w:val="fr-FR"/>
        </w:rPr>
        <w:t>.</w:t>
      </w:r>
      <w:r w:rsidR="000A1785" w:rsidRPr="00FE64AC">
        <w:rPr>
          <w:rFonts w:ascii="Book Antiqua" w:hAnsi="Book Antiqua"/>
          <w:sz w:val="24"/>
          <w:szCs w:val="24"/>
          <w:lang w:val="fr-FR"/>
        </w:rPr>
        <w:t xml:space="preserve"> </w:t>
      </w:r>
    </w:p>
    <w:p w:rsidR="000A1785" w:rsidRPr="00FE64AC" w:rsidRDefault="000A1785" w:rsidP="00354F81">
      <w:pPr>
        <w:pStyle w:val="ListParagraph"/>
        <w:spacing w:after="0" w:line="360" w:lineRule="auto"/>
        <w:ind w:left="1080"/>
        <w:jc w:val="both"/>
        <w:rPr>
          <w:rFonts w:ascii="Book Antiqua" w:hAnsi="Book Antiqua"/>
          <w:sz w:val="24"/>
          <w:szCs w:val="24"/>
          <w:lang w:val="fr-FR"/>
        </w:rPr>
      </w:pPr>
    </w:p>
    <w:p w:rsidR="005226AF" w:rsidRPr="005226AF" w:rsidRDefault="000A1785" w:rsidP="005226AF">
      <w:pPr>
        <w:pStyle w:val="ListParagraph"/>
        <w:numPr>
          <w:ilvl w:val="0"/>
          <w:numId w:val="3"/>
        </w:numPr>
        <w:spacing w:after="0" w:line="360" w:lineRule="auto"/>
        <w:jc w:val="both"/>
        <w:rPr>
          <w:rFonts w:ascii="Book Antiqua" w:hAnsi="Book Antiqua"/>
          <w:sz w:val="24"/>
          <w:szCs w:val="24"/>
          <w:lang w:val="fr-FR"/>
        </w:rPr>
      </w:pPr>
      <w:r w:rsidRPr="00266CF9">
        <w:rPr>
          <w:rFonts w:ascii="Book Antiqua" w:hAnsi="Book Antiqua" w:cs="Arial"/>
          <w:sz w:val="24"/>
          <w:szCs w:val="24"/>
          <w:lang w:val="fr-FR"/>
        </w:rPr>
        <w:t xml:space="preserve">Depuis sa création, la Commission a enregistré cinq cent </w:t>
      </w:r>
      <w:r w:rsidR="005226AF" w:rsidRPr="00266CF9">
        <w:rPr>
          <w:rFonts w:ascii="Book Antiqua" w:hAnsi="Book Antiqua" w:cs="Arial"/>
          <w:sz w:val="24"/>
          <w:szCs w:val="24"/>
          <w:lang w:val="fr-FR"/>
        </w:rPr>
        <w:t>soixante-quinze</w:t>
      </w:r>
      <w:r w:rsidRPr="00266CF9">
        <w:rPr>
          <w:rFonts w:ascii="Book Antiqua" w:hAnsi="Book Antiqua" w:cs="Arial"/>
          <w:sz w:val="24"/>
          <w:szCs w:val="24"/>
          <w:lang w:val="fr-FR"/>
        </w:rPr>
        <w:t xml:space="preserve"> (575) plaintes</w:t>
      </w:r>
      <w:r w:rsidR="00C633D0" w:rsidRPr="00266CF9">
        <w:rPr>
          <w:rFonts w:ascii="Book Antiqua" w:hAnsi="Book Antiqua" w:cs="Arial"/>
          <w:sz w:val="24"/>
          <w:szCs w:val="24"/>
          <w:lang w:val="fr-FR"/>
        </w:rPr>
        <w:t xml:space="preserve">. Elle en a finalisé </w:t>
      </w:r>
      <w:r w:rsidR="0081421B" w:rsidRPr="00266CF9">
        <w:rPr>
          <w:rFonts w:ascii="Book Antiqua" w:hAnsi="Book Antiqua" w:cs="Arial"/>
          <w:sz w:val="24"/>
          <w:szCs w:val="24"/>
          <w:lang w:val="fr-FR"/>
        </w:rPr>
        <w:t xml:space="preserve"> </w:t>
      </w:r>
      <w:r w:rsidR="00266CF9" w:rsidRPr="00266CF9">
        <w:rPr>
          <w:rFonts w:ascii="Book Antiqua" w:hAnsi="Book Antiqua" w:cs="Arial"/>
          <w:sz w:val="24"/>
          <w:szCs w:val="24"/>
          <w:lang w:val="fr-FR"/>
        </w:rPr>
        <w:t>quatre cent dix-huit (41</w:t>
      </w:r>
      <w:r w:rsidR="00266CF9">
        <w:rPr>
          <w:rFonts w:ascii="Book Antiqua" w:hAnsi="Book Antiqua" w:cs="Arial"/>
          <w:sz w:val="24"/>
          <w:szCs w:val="24"/>
          <w:lang w:val="fr-FR"/>
        </w:rPr>
        <w:t>6</w:t>
      </w:r>
      <w:r w:rsidR="00266CF9" w:rsidRPr="00266CF9">
        <w:rPr>
          <w:rFonts w:ascii="Book Antiqua" w:hAnsi="Book Antiqua" w:cs="Arial"/>
          <w:sz w:val="24"/>
          <w:szCs w:val="24"/>
          <w:lang w:val="fr-FR"/>
        </w:rPr>
        <w:t>)</w:t>
      </w:r>
      <w:r w:rsidR="0081421B" w:rsidRPr="00266CF9">
        <w:rPr>
          <w:rFonts w:ascii="Book Antiqua" w:hAnsi="Book Antiqua" w:cs="Arial"/>
          <w:sz w:val="24"/>
          <w:szCs w:val="24"/>
          <w:lang w:val="fr-FR"/>
        </w:rPr>
        <w:t xml:space="preserve"> </w:t>
      </w:r>
      <w:r w:rsidR="00C633D0" w:rsidRPr="00266CF9">
        <w:rPr>
          <w:rFonts w:ascii="Book Antiqua" w:hAnsi="Book Antiqua" w:cs="Arial"/>
          <w:sz w:val="24"/>
          <w:szCs w:val="24"/>
          <w:lang w:val="fr-FR"/>
        </w:rPr>
        <w:t xml:space="preserve">et transféré trois (3) à la Cour africaine des droits de l’homme et des peuples (la Cour). A cette date, </w:t>
      </w:r>
      <w:r w:rsidR="00266CF9" w:rsidRPr="00266CF9">
        <w:rPr>
          <w:rFonts w:ascii="Book Antiqua" w:hAnsi="Book Antiqua" w:cs="Arial"/>
          <w:sz w:val="24"/>
          <w:szCs w:val="24"/>
          <w:lang w:val="fr-FR"/>
        </w:rPr>
        <w:t xml:space="preserve">cent cinquante-six (156) </w:t>
      </w:r>
      <w:r w:rsidR="00C633D0" w:rsidRPr="00266CF9">
        <w:rPr>
          <w:rFonts w:ascii="Book Antiqua" w:hAnsi="Book Antiqua" w:cs="Arial"/>
          <w:sz w:val="24"/>
          <w:szCs w:val="24"/>
          <w:lang w:val="fr-FR"/>
        </w:rPr>
        <w:t xml:space="preserve"> sont </w:t>
      </w:r>
      <w:r w:rsidR="0081421B" w:rsidRPr="00266CF9">
        <w:rPr>
          <w:rFonts w:ascii="Book Antiqua" w:hAnsi="Book Antiqua" w:cs="Arial"/>
          <w:sz w:val="24"/>
          <w:szCs w:val="24"/>
          <w:lang w:val="fr-FR"/>
        </w:rPr>
        <w:t xml:space="preserve">actuellement pendantes devant elle </w:t>
      </w:r>
      <w:r w:rsidRPr="00266CF9">
        <w:rPr>
          <w:rFonts w:ascii="Book Antiqua" w:hAnsi="Book Antiqua" w:cs="Arial"/>
          <w:sz w:val="24"/>
          <w:szCs w:val="24"/>
          <w:lang w:val="fr-FR"/>
        </w:rPr>
        <w:t xml:space="preserve">dont </w:t>
      </w:r>
      <w:r w:rsidR="00266CF9">
        <w:rPr>
          <w:rFonts w:ascii="Book Antiqua" w:hAnsi="Book Antiqua" w:cs="Arial"/>
          <w:sz w:val="24"/>
          <w:szCs w:val="24"/>
          <w:lang w:val="fr-FR"/>
        </w:rPr>
        <w:t>cent dix-huit (118)</w:t>
      </w:r>
      <w:r w:rsidRPr="00266CF9">
        <w:rPr>
          <w:rFonts w:ascii="Book Antiqua" w:hAnsi="Book Antiqua" w:cs="Arial"/>
          <w:sz w:val="24"/>
          <w:szCs w:val="24"/>
          <w:lang w:val="fr-FR"/>
        </w:rPr>
        <w:t xml:space="preserve"> communication</w:t>
      </w:r>
      <w:r w:rsidR="0081421B" w:rsidRPr="00266CF9">
        <w:rPr>
          <w:rFonts w:ascii="Book Antiqua" w:hAnsi="Book Antiqua" w:cs="Arial"/>
          <w:sz w:val="24"/>
          <w:szCs w:val="24"/>
          <w:lang w:val="fr-FR"/>
        </w:rPr>
        <w:t>s</w:t>
      </w:r>
      <w:r w:rsidRPr="00266CF9">
        <w:rPr>
          <w:rFonts w:ascii="Book Antiqua" w:hAnsi="Book Antiqua" w:cs="Arial"/>
          <w:sz w:val="24"/>
          <w:szCs w:val="24"/>
          <w:lang w:val="fr-FR"/>
        </w:rPr>
        <w:t xml:space="preserve"> sur la recevabilité</w:t>
      </w:r>
      <w:r w:rsidR="00266CF9">
        <w:rPr>
          <w:rFonts w:ascii="Book Antiqua" w:hAnsi="Book Antiqua" w:cs="Arial"/>
          <w:sz w:val="24"/>
          <w:szCs w:val="24"/>
          <w:lang w:val="fr-FR"/>
        </w:rPr>
        <w:t xml:space="preserve">, trente et cinq (35) </w:t>
      </w:r>
      <w:r w:rsidRPr="00266CF9">
        <w:rPr>
          <w:rFonts w:ascii="Book Antiqua" w:hAnsi="Book Antiqua" w:cs="Arial"/>
          <w:sz w:val="24"/>
          <w:szCs w:val="24"/>
          <w:lang w:val="fr-FR"/>
        </w:rPr>
        <w:t xml:space="preserve"> communications sur le fond</w:t>
      </w:r>
      <w:r w:rsidR="00266CF9">
        <w:rPr>
          <w:rFonts w:ascii="Book Antiqua" w:hAnsi="Book Antiqua" w:cs="Arial"/>
          <w:sz w:val="24"/>
          <w:szCs w:val="24"/>
          <w:lang w:val="fr-FR"/>
        </w:rPr>
        <w:t>, une (1) demande en révision et deux (2) communications contre le Soudan du Sud en suspens</w:t>
      </w:r>
      <w:r w:rsidRPr="00266CF9">
        <w:rPr>
          <w:rFonts w:ascii="Book Antiqua" w:hAnsi="Book Antiqua" w:cs="Arial"/>
          <w:sz w:val="24"/>
          <w:szCs w:val="24"/>
          <w:lang w:val="fr-FR"/>
        </w:rPr>
        <w:t>.</w:t>
      </w:r>
      <w:r w:rsidR="00881472" w:rsidRPr="00266CF9">
        <w:rPr>
          <w:rFonts w:ascii="Book Antiqua" w:hAnsi="Book Antiqua" w:cs="Arial"/>
          <w:sz w:val="24"/>
          <w:szCs w:val="24"/>
          <w:lang w:val="fr-FR"/>
        </w:rPr>
        <w:t xml:space="preserve"> </w:t>
      </w:r>
      <w:r w:rsidR="003D270F" w:rsidRPr="00266CF9">
        <w:rPr>
          <w:rFonts w:ascii="Book Antiqua" w:hAnsi="Book Antiqua" w:cs="Arial"/>
          <w:sz w:val="24"/>
          <w:szCs w:val="24"/>
          <w:lang w:val="fr-FR"/>
        </w:rPr>
        <w:t>Un nombre important de</w:t>
      </w:r>
      <w:r w:rsidR="00881472" w:rsidRPr="00266CF9">
        <w:rPr>
          <w:rFonts w:ascii="Book Antiqua" w:hAnsi="Book Antiqua" w:cs="Arial"/>
          <w:sz w:val="24"/>
          <w:szCs w:val="24"/>
          <w:lang w:val="fr-FR"/>
        </w:rPr>
        <w:t xml:space="preserve"> ces communications</w:t>
      </w:r>
      <w:r w:rsidR="00881472" w:rsidRPr="00FE64AC">
        <w:rPr>
          <w:rFonts w:ascii="Book Antiqua" w:hAnsi="Book Antiqua" w:cs="Arial"/>
          <w:sz w:val="24"/>
          <w:szCs w:val="24"/>
          <w:lang w:val="fr-FR"/>
        </w:rPr>
        <w:t xml:space="preserve"> sont introduites par les </w:t>
      </w:r>
      <w:proofErr w:type="spellStart"/>
      <w:r w:rsidR="00881472" w:rsidRPr="00FE64AC">
        <w:rPr>
          <w:rFonts w:ascii="Book Antiqua" w:hAnsi="Book Antiqua" w:cs="Arial"/>
          <w:sz w:val="24"/>
          <w:szCs w:val="24"/>
          <w:lang w:val="fr-FR"/>
        </w:rPr>
        <w:t>ONG</w:t>
      </w:r>
      <w:r w:rsidR="003D270F" w:rsidRPr="00FE64AC">
        <w:rPr>
          <w:rFonts w:ascii="Book Antiqua" w:hAnsi="Book Antiqua" w:cs="Arial"/>
          <w:sz w:val="24"/>
          <w:szCs w:val="24"/>
          <w:lang w:val="fr-FR"/>
        </w:rPr>
        <w:t>s</w:t>
      </w:r>
      <w:proofErr w:type="spellEnd"/>
      <w:r w:rsidR="00881472" w:rsidRPr="00FE64AC">
        <w:rPr>
          <w:rFonts w:ascii="Book Antiqua" w:hAnsi="Book Antiqua" w:cs="Arial"/>
          <w:sz w:val="24"/>
          <w:szCs w:val="24"/>
          <w:lang w:val="fr-FR"/>
        </w:rPr>
        <w:t xml:space="preserve"> qui sont par ailleurs les yeux et les oreilles de la Commission africaine sans lesquelles le bon fonctionnement et l'efficacité de la Commission africaine, seraient affaiblis.</w:t>
      </w:r>
    </w:p>
    <w:p w:rsidR="002B5E25" w:rsidRPr="005226AF" w:rsidRDefault="002B5E25" w:rsidP="005226AF">
      <w:pPr>
        <w:spacing w:after="0" w:line="360" w:lineRule="auto"/>
        <w:ind w:left="720"/>
        <w:jc w:val="both"/>
        <w:rPr>
          <w:rFonts w:ascii="Book Antiqua" w:hAnsi="Book Antiqua"/>
          <w:sz w:val="24"/>
          <w:szCs w:val="24"/>
          <w:lang w:val="fr-FR"/>
        </w:rPr>
      </w:pPr>
    </w:p>
    <w:p w:rsidR="00354F81" w:rsidRPr="00FE64AC" w:rsidRDefault="00C4684A" w:rsidP="00354F81">
      <w:pPr>
        <w:pStyle w:val="ListParagraph"/>
        <w:numPr>
          <w:ilvl w:val="0"/>
          <w:numId w:val="3"/>
        </w:numPr>
        <w:spacing w:after="0" w:line="360" w:lineRule="auto"/>
        <w:jc w:val="both"/>
        <w:rPr>
          <w:rFonts w:ascii="Book Antiqua" w:hAnsi="Book Antiqua"/>
          <w:sz w:val="24"/>
          <w:szCs w:val="24"/>
          <w:lang w:val="fr-FR"/>
        </w:rPr>
      </w:pPr>
      <w:r>
        <w:rPr>
          <w:rFonts w:ascii="Book Antiqua" w:eastAsia="Times New Roman" w:hAnsi="Book Antiqua" w:cs="Times New Roman"/>
          <w:sz w:val="24"/>
          <w:szCs w:val="24"/>
          <w:lang w:val="fr-FR" w:eastAsia="fr-FR"/>
        </w:rPr>
        <w:t>Malgré le pas franchi, l</w:t>
      </w:r>
      <w:r w:rsidR="002B5E25" w:rsidRPr="00FE64AC">
        <w:rPr>
          <w:rFonts w:ascii="Book Antiqua" w:eastAsia="Times New Roman" w:hAnsi="Book Antiqua" w:cs="Times New Roman"/>
          <w:sz w:val="24"/>
          <w:szCs w:val="24"/>
          <w:lang w:val="fr-FR" w:eastAsia="fr-FR"/>
        </w:rPr>
        <w:t xml:space="preserve">a Commission africaine </w:t>
      </w:r>
      <w:r>
        <w:rPr>
          <w:rFonts w:ascii="Book Antiqua" w:eastAsia="Times New Roman" w:hAnsi="Book Antiqua" w:cs="Times New Roman"/>
          <w:sz w:val="24"/>
          <w:szCs w:val="24"/>
          <w:lang w:val="fr-FR" w:eastAsia="fr-FR"/>
        </w:rPr>
        <w:t>reste</w:t>
      </w:r>
      <w:r w:rsidR="002B5E25" w:rsidRPr="00FE64AC">
        <w:rPr>
          <w:rFonts w:ascii="Book Antiqua" w:eastAsia="Times New Roman" w:hAnsi="Book Antiqua" w:cs="Times New Roman"/>
          <w:sz w:val="24"/>
          <w:szCs w:val="24"/>
          <w:lang w:val="fr-FR" w:eastAsia="fr-FR"/>
        </w:rPr>
        <w:t xml:space="preserve"> confronté</w:t>
      </w:r>
      <w:r w:rsidR="0077056C" w:rsidRPr="00FE64AC">
        <w:rPr>
          <w:rFonts w:ascii="Book Antiqua" w:eastAsia="Times New Roman" w:hAnsi="Book Antiqua" w:cs="Times New Roman"/>
          <w:sz w:val="24"/>
          <w:szCs w:val="24"/>
          <w:lang w:val="fr-FR" w:eastAsia="fr-FR"/>
        </w:rPr>
        <w:t>e</w:t>
      </w:r>
      <w:r w:rsidR="002B5E25" w:rsidRPr="00FE64AC">
        <w:rPr>
          <w:rFonts w:ascii="Book Antiqua" w:eastAsia="Times New Roman" w:hAnsi="Book Antiqua" w:cs="Times New Roman"/>
          <w:sz w:val="24"/>
          <w:szCs w:val="24"/>
          <w:lang w:val="fr-FR" w:eastAsia="fr-FR"/>
        </w:rPr>
        <w:t xml:space="preserve"> à des défis de taille qui ne lui permettent pas de bien remplir son mandat de protection</w:t>
      </w:r>
      <w:r w:rsidR="0077056C" w:rsidRPr="00FE64AC">
        <w:rPr>
          <w:rFonts w:ascii="Book Antiqua" w:eastAsia="Times New Roman" w:hAnsi="Book Antiqua" w:cs="Times New Roman"/>
          <w:sz w:val="24"/>
          <w:szCs w:val="24"/>
          <w:lang w:val="fr-FR" w:eastAsia="fr-FR"/>
        </w:rPr>
        <w:t xml:space="preserve">, notamment la non-exécution des appels urgents lancés par la Commission en situation d'urgence; le refus par certains Etats membres d’exécuter les mesures </w:t>
      </w:r>
      <w:r w:rsidR="0077056C" w:rsidRPr="00FE64AC">
        <w:rPr>
          <w:rFonts w:ascii="Book Antiqua" w:eastAsia="Times New Roman" w:hAnsi="Book Antiqua" w:cs="Times New Roman"/>
          <w:sz w:val="24"/>
          <w:szCs w:val="24"/>
          <w:lang w:val="fr-FR" w:eastAsia="fr-FR"/>
        </w:rPr>
        <w:lastRenderedPageBreak/>
        <w:t>conservatoires indiquées par la Commission; le dépôt tardif par certaines parties de leurs mémoires devant la Commission</w:t>
      </w:r>
      <w:r w:rsidR="005226AF">
        <w:rPr>
          <w:rFonts w:ascii="Book Antiqua" w:eastAsia="Times New Roman" w:hAnsi="Book Antiqua" w:cs="Times New Roman"/>
          <w:sz w:val="24"/>
          <w:szCs w:val="24"/>
          <w:lang w:val="fr-FR" w:eastAsia="fr-FR"/>
        </w:rPr>
        <w:t>,</w:t>
      </w:r>
      <w:r w:rsidR="001B779F">
        <w:rPr>
          <w:rFonts w:ascii="Book Antiqua" w:eastAsia="Times New Roman" w:hAnsi="Book Antiqua" w:cs="Times New Roman"/>
          <w:sz w:val="24"/>
          <w:szCs w:val="24"/>
          <w:lang w:val="fr-FR" w:eastAsia="fr-FR"/>
        </w:rPr>
        <w:t xml:space="preserve"> </w:t>
      </w:r>
      <w:r w:rsidR="0077056C" w:rsidRPr="00FE64AC">
        <w:rPr>
          <w:rFonts w:ascii="Book Antiqua" w:eastAsia="Times New Roman" w:hAnsi="Book Antiqua" w:cs="Times New Roman"/>
          <w:sz w:val="24"/>
          <w:szCs w:val="24"/>
          <w:lang w:val="fr-FR" w:eastAsia="fr-FR"/>
        </w:rPr>
        <w:t>qui entrave l’examen des communications dans les délais raisonnables</w:t>
      </w:r>
      <w:r w:rsidR="003E20E2" w:rsidRPr="00FE64AC">
        <w:rPr>
          <w:rFonts w:ascii="Book Antiqua" w:eastAsia="Times New Roman" w:hAnsi="Book Antiqua" w:cs="Times New Roman"/>
          <w:sz w:val="24"/>
          <w:szCs w:val="24"/>
          <w:lang w:val="fr-FR" w:eastAsia="fr-FR"/>
        </w:rPr>
        <w:t> ;</w:t>
      </w:r>
      <w:r w:rsidR="0077056C" w:rsidRPr="00FE64AC">
        <w:rPr>
          <w:rFonts w:ascii="Book Antiqua" w:eastAsia="Times New Roman" w:hAnsi="Book Antiqua" w:cs="Times New Roman"/>
          <w:sz w:val="24"/>
          <w:szCs w:val="24"/>
          <w:lang w:val="fr-FR" w:eastAsia="fr-FR"/>
        </w:rPr>
        <w:t xml:space="preserve"> </w:t>
      </w:r>
      <w:r w:rsidR="002B5E25" w:rsidRPr="00FE64AC">
        <w:rPr>
          <w:rFonts w:ascii="Book Antiqua" w:eastAsia="Times New Roman" w:hAnsi="Book Antiqua" w:cs="Times New Roman"/>
          <w:sz w:val="24"/>
          <w:szCs w:val="24"/>
          <w:lang w:val="fr-FR" w:eastAsia="fr-FR"/>
        </w:rPr>
        <w:t>la dépendance  vis-à-vis de la conférence des che</w:t>
      </w:r>
      <w:r w:rsidR="003E20E2" w:rsidRPr="00FE64AC">
        <w:rPr>
          <w:rFonts w:ascii="Book Antiqua" w:eastAsia="Times New Roman" w:hAnsi="Book Antiqua" w:cs="Times New Roman"/>
          <w:sz w:val="24"/>
          <w:szCs w:val="24"/>
          <w:lang w:val="fr-FR" w:eastAsia="fr-FR"/>
        </w:rPr>
        <w:t>fs d’Etats  et de gouvernements et surtout la réticence de certains Etats membres à mettre en œuvre les recommandations de la Commission.</w:t>
      </w:r>
    </w:p>
    <w:p w:rsidR="00354F81" w:rsidRPr="00FE64AC" w:rsidRDefault="00354F81" w:rsidP="00354F81">
      <w:pPr>
        <w:pStyle w:val="ListParagraph"/>
        <w:spacing w:after="0" w:line="360" w:lineRule="auto"/>
        <w:ind w:left="1080"/>
        <w:jc w:val="both"/>
        <w:rPr>
          <w:rFonts w:ascii="Book Antiqua" w:hAnsi="Book Antiqua"/>
          <w:sz w:val="24"/>
          <w:szCs w:val="24"/>
          <w:lang w:val="fr-FR"/>
        </w:rPr>
      </w:pPr>
    </w:p>
    <w:p w:rsidR="00354F81" w:rsidRPr="00FE64AC" w:rsidRDefault="00D9267F"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La mise en œuvre des décisions rendues par la Commission est le talon d’Achille de la Commission quoique l’article 112</w:t>
      </w:r>
      <w:r w:rsidR="002314FD">
        <w:rPr>
          <w:rStyle w:val="FootnoteReference"/>
          <w:rFonts w:ascii="Book Antiqua" w:hAnsi="Book Antiqua"/>
          <w:sz w:val="24"/>
          <w:szCs w:val="24"/>
          <w:lang w:val="fr-FR"/>
        </w:rPr>
        <w:footnoteReference w:id="5"/>
      </w:r>
      <w:r w:rsidRPr="00FE64AC">
        <w:rPr>
          <w:rFonts w:ascii="Book Antiqua" w:hAnsi="Book Antiqua"/>
          <w:sz w:val="24"/>
          <w:szCs w:val="24"/>
          <w:lang w:val="fr-FR"/>
        </w:rPr>
        <w:t xml:space="preserve"> d</w:t>
      </w:r>
      <w:r w:rsidR="004F3816" w:rsidRPr="00FE64AC">
        <w:rPr>
          <w:rFonts w:ascii="Book Antiqua" w:hAnsi="Book Antiqua"/>
          <w:sz w:val="24"/>
          <w:szCs w:val="24"/>
          <w:lang w:val="fr-FR"/>
        </w:rPr>
        <w:t>u</w:t>
      </w:r>
      <w:r w:rsidRPr="00FE64AC">
        <w:rPr>
          <w:rFonts w:ascii="Book Antiqua" w:hAnsi="Book Antiqua"/>
          <w:sz w:val="24"/>
          <w:szCs w:val="24"/>
          <w:lang w:val="fr-FR"/>
        </w:rPr>
        <w:t xml:space="preserve"> Règlement intérieur  indique les différentes mesures qui doivent être prise</w:t>
      </w:r>
      <w:r w:rsidR="001B779F">
        <w:rPr>
          <w:rFonts w:ascii="Book Antiqua" w:hAnsi="Book Antiqua"/>
          <w:sz w:val="24"/>
          <w:szCs w:val="24"/>
          <w:lang w:val="fr-FR"/>
        </w:rPr>
        <w:t>s</w:t>
      </w:r>
      <w:r w:rsidRPr="00FE64AC">
        <w:rPr>
          <w:rFonts w:ascii="Book Antiqua" w:hAnsi="Book Antiqua"/>
          <w:sz w:val="24"/>
          <w:szCs w:val="24"/>
          <w:lang w:val="fr-FR"/>
        </w:rPr>
        <w:t xml:space="preserve"> pour le suivi de la mise en œuvre des décisions rendues. Ces décisions demeurent des recommandations sans force exécutoire et dépendent de la bonne volonté de l’Etat concerné de les mettre en œuvre ou pas.</w:t>
      </w:r>
      <w:r w:rsidR="0063505F" w:rsidRPr="00FE64AC">
        <w:rPr>
          <w:rFonts w:ascii="Book Antiqua" w:eastAsia="Calibri" w:hAnsi="Book Antiqua" w:cs="Times New Roman"/>
          <w:sz w:val="24"/>
          <w:szCs w:val="24"/>
          <w:lang w:val="fr-FR"/>
        </w:rPr>
        <w:t xml:space="preserve"> </w:t>
      </w:r>
    </w:p>
    <w:p w:rsidR="00D65556" w:rsidRPr="00FE64AC" w:rsidRDefault="00D65556" w:rsidP="00354F81">
      <w:pPr>
        <w:pStyle w:val="ListParagraph"/>
        <w:spacing w:after="0" w:line="360" w:lineRule="auto"/>
        <w:ind w:left="1080"/>
        <w:jc w:val="both"/>
        <w:rPr>
          <w:rFonts w:ascii="Book Antiqua" w:hAnsi="Book Antiqua"/>
          <w:sz w:val="24"/>
          <w:szCs w:val="24"/>
          <w:lang w:val="fr-FR"/>
        </w:rPr>
      </w:pPr>
    </w:p>
    <w:p w:rsidR="002907B4" w:rsidRPr="00FE64AC" w:rsidRDefault="008B24BE"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 xml:space="preserve">Néanmoins, </w:t>
      </w:r>
      <w:r w:rsidR="00D65556" w:rsidRPr="00FE64AC">
        <w:rPr>
          <w:rFonts w:ascii="Book Antiqua" w:hAnsi="Book Antiqua"/>
          <w:sz w:val="24"/>
          <w:szCs w:val="24"/>
          <w:lang w:val="fr-FR"/>
        </w:rPr>
        <w:t>les décisions de la Commission ne sont pas toujours sans résultats, comme l’attestent les suites données par certains Etats.</w:t>
      </w:r>
      <w:r w:rsidR="00D65556" w:rsidRPr="00FE64AC">
        <w:rPr>
          <w:rFonts w:ascii="Book Antiqua" w:eastAsia="Times New Roman" w:hAnsi="Book Antiqua" w:cs="Times New Roman"/>
          <w:sz w:val="24"/>
          <w:szCs w:val="24"/>
          <w:lang w:val="fr-FR" w:eastAsia="fr-FR"/>
        </w:rPr>
        <w:t xml:space="preserve">  Elles </w:t>
      </w:r>
      <w:r w:rsidRPr="00FE64AC">
        <w:rPr>
          <w:rFonts w:ascii="Book Antiqua" w:hAnsi="Book Antiqua"/>
          <w:sz w:val="24"/>
          <w:szCs w:val="24"/>
          <w:lang w:val="fr-FR"/>
        </w:rPr>
        <w:t xml:space="preserve">constituent </w:t>
      </w:r>
      <w:r w:rsidR="00D65556" w:rsidRPr="00FE64AC">
        <w:rPr>
          <w:rFonts w:ascii="Book Antiqua" w:hAnsi="Book Antiqua"/>
          <w:sz w:val="24"/>
          <w:szCs w:val="24"/>
          <w:lang w:val="fr-FR"/>
        </w:rPr>
        <w:t xml:space="preserve">par </w:t>
      </w:r>
      <w:r w:rsidR="00D65556" w:rsidRPr="00FE64AC">
        <w:rPr>
          <w:rFonts w:ascii="Book Antiqua" w:hAnsi="Book Antiqua"/>
          <w:sz w:val="24"/>
          <w:szCs w:val="24"/>
          <w:lang w:val="fr-FR"/>
        </w:rPr>
        <w:lastRenderedPageBreak/>
        <w:t xml:space="preserve">ailleurs </w:t>
      </w:r>
      <w:r w:rsidR="002907B4" w:rsidRPr="00FE64AC">
        <w:rPr>
          <w:rFonts w:ascii="Book Antiqua" w:hAnsi="Book Antiqua"/>
          <w:sz w:val="24"/>
          <w:szCs w:val="24"/>
          <w:lang w:val="fr-FR"/>
        </w:rPr>
        <w:t>aujourd’hui une source d’inspiration jurisprudentielle incontournable pour de nombreuses juridictions nationales et régionales</w:t>
      </w:r>
      <w:r w:rsidR="00007D42">
        <w:rPr>
          <w:rFonts w:ascii="Book Antiqua" w:hAnsi="Book Antiqua"/>
          <w:sz w:val="24"/>
          <w:szCs w:val="24"/>
          <w:lang w:val="fr-FR"/>
        </w:rPr>
        <w:t xml:space="preserve"> voire internationale</w:t>
      </w:r>
      <w:r w:rsidR="001B779F">
        <w:rPr>
          <w:rFonts w:ascii="Book Antiqua" w:hAnsi="Book Antiqua"/>
          <w:sz w:val="24"/>
          <w:szCs w:val="24"/>
          <w:lang w:val="fr-FR"/>
        </w:rPr>
        <w:t>s</w:t>
      </w:r>
      <w:r w:rsidR="002314FD">
        <w:rPr>
          <w:rStyle w:val="FootnoteReference"/>
          <w:rFonts w:ascii="Book Antiqua" w:hAnsi="Book Antiqua"/>
          <w:sz w:val="24"/>
          <w:szCs w:val="24"/>
          <w:lang w:val="fr-FR"/>
        </w:rPr>
        <w:footnoteReference w:id="6"/>
      </w:r>
      <w:r w:rsidR="002907B4" w:rsidRPr="00FE64AC">
        <w:rPr>
          <w:rFonts w:ascii="Book Antiqua" w:hAnsi="Book Antiqua"/>
          <w:sz w:val="24"/>
          <w:szCs w:val="24"/>
          <w:lang w:val="fr-FR"/>
        </w:rPr>
        <w:t>.</w:t>
      </w:r>
    </w:p>
    <w:p w:rsidR="002B633A" w:rsidRPr="00FE64AC" w:rsidRDefault="002B633A" w:rsidP="00354F81">
      <w:pPr>
        <w:spacing w:after="0" w:line="360" w:lineRule="auto"/>
        <w:jc w:val="both"/>
        <w:rPr>
          <w:rFonts w:ascii="Book Antiqua" w:hAnsi="Book Antiqua"/>
          <w:b/>
          <w:sz w:val="24"/>
          <w:szCs w:val="24"/>
          <w:lang w:val="fr-FR"/>
        </w:rPr>
      </w:pPr>
    </w:p>
    <w:p w:rsidR="002B633A" w:rsidRPr="00FE64AC" w:rsidRDefault="00F02CC2" w:rsidP="00354F81">
      <w:pPr>
        <w:pStyle w:val="ListParagraph"/>
        <w:numPr>
          <w:ilvl w:val="0"/>
          <w:numId w:val="2"/>
        </w:numPr>
        <w:spacing w:after="0" w:line="360" w:lineRule="auto"/>
        <w:jc w:val="both"/>
        <w:rPr>
          <w:rFonts w:ascii="Book Antiqua" w:hAnsi="Book Antiqua"/>
          <w:b/>
          <w:sz w:val="24"/>
          <w:szCs w:val="24"/>
          <w:lang w:val="fr-FR"/>
        </w:rPr>
      </w:pPr>
      <w:r w:rsidRPr="00FE64AC">
        <w:rPr>
          <w:rFonts w:ascii="Book Antiqua" w:hAnsi="Book Antiqua"/>
          <w:b/>
          <w:sz w:val="24"/>
          <w:szCs w:val="24"/>
          <w:lang w:val="fr-FR"/>
        </w:rPr>
        <w:t xml:space="preserve">Collaboration </w:t>
      </w:r>
      <w:r w:rsidR="002314FD">
        <w:rPr>
          <w:rFonts w:ascii="Book Antiqua" w:hAnsi="Book Antiqua"/>
          <w:b/>
          <w:sz w:val="24"/>
          <w:szCs w:val="24"/>
          <w:lang w:val="fr-FR"/>
        </w:rPr>
        <w:t xml:space="preserve">de la Commission africaine </w:t>
      </w:r>
      <w:r w:rsidRPr="00FE64AC">
        <w:rPr>
          <w:rFonts w:ascii="Book Antiqua" w:hAnsi="Book Antiqua"/>
          <w:b/>
          <w:sz w:val="24"/>
          <w:szCs w:val="24"/>
          <w:lang w:val="fr-FR"/>
        </w:rPr>
        <w:t xml:space="preserve">avec </w:t>
      </w:r>
      <w:r w:rsidR="002314FD">
        <w:rPr>
          <w:rFonts w:ascii="Book Antiqua" w:hAnsi="Book Antiqua"/>
          <w:b/>
          <w:sz w:val="24"/>
          <w:szCs w:val="24"/>
          <w:lang w:val="fr-FR"/>
        </w:rPr>
        <w:t>d’</w:t>
      </w:r>
      <w:r w:rsidR="00A554BB" w:rsidRPr="00FE64AC">
        <w:rPr>
          <w:rFonts w:ascii="Book Antiqua" w:hAnsi="Book Antiqua"/>
          <w:b/>
          <w:sz w:val="24"/>
          <w:szCs w:val="24"/>
          <w:lang w:val="fr-FR"/>
        </w:rPr>
        <w:t xml:space="preserve">autres </w:t>
      </w:r>
      <w:r w:rsidR="002314FD">
        <w:rPr>
          <w:rFonts w:ascii="Book Antiqua" w:hAnsi="Book Antiqua"/>
          <w:b/>
          <w:sz w:val="24"/>
          <w:szCs w:val="24"/>
          <w:lang w:val="fr-FR"/>
        </w:rPr>
        <w:t>organes</w:t>
      </w:r>
      <w:r w:rsidRPr="00FE64AC">
        <w:rPr>
          <w:rFonts w:ascii="Book Antiqua" w:hAnsi="Book Antiqua"/>
          <w:b/>
          <w:sz w:val="24"/>
          <w:szCs w:val="24"/>
          <w:lang w:val="fr-FR"/>
        </w:rPr>
        <w:t xml:space="preserve"> de protection des droits de l’homme</w:t>
      </w:r>
    </w:p>
    <w:p w:rsidR="008A19F8" w:rsidRPr="00FE64AC" w:rsidRDefault="008A19F8" w:rsidP="00354F81">
      <w:pPr>
        <w:pStyle w:val="ListParagraph"/>
        <w:spacing w:after="0" w:line="360" w:lineRule="auto"/>
        <w:jc w:val="both"/>
        <w:rPr>
          <w:rFonts w:ascii="Book Antiqua" w:hAnsi="Book Antiqua"/>
          <w:b/>
          <w:sz w:val="24"/>
          <w:szCs w:val="24"/>
          <w:lang w:val="fr-FR"/>
        </w:rPr>
      </w:pPr>
    </w:p>
    <w:p w:rsidR="00B842E6" w:rsidRPr="00FE64AC" w:rsidRDefault="008A19F8"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 xml:space="preserve">La Charte africaine, en son article 45 (1) (c) prévoit que la Commission doit coopérer avec les autres institutions africaines et internationales qui s’intéressent à la promotion et à la protection des droits de l’homme et des peuples. Conformément à cet article, depuis sa création, la Commission a entretenu et continue d’entretenir de bonnes relations avec différents organes. </w:t>
      </w:r>
    </w:p>
    <w:p w:rsidR="008A19F8" w:rsidRPr="00FE64AC" w:rsidRDefault="008A19F8" w:rsidP="00354F81">
      <w:pPr>
        <w:pStyle w:val="ListParagraph"/>
        <w:spacing w:after="0" w:line="360" w:lineRule="auto"/>
        <w:ind w:left="1080"/>
        <w:jc w:val="both"/>
        <w:rPr>
          <w:rFonts w:ascii="Book Antiqua" w:hAnsi="Book Antiqua"/>
          <w:sz w:val="24"/>
          <w:szCs w:val="24"/>
          <w:lang w:val="fr-FR"/>
        </w:rPr>
      </w:pPr>
    </w:p>
    <w:p w:rsidR="00613EB8" w:rsidRPr="00FE64AC" w:rsidRDefault="00B842E6" w:rsidP="00354F81">
      <w:pPr>
        <w:pStyle w:val="ListParagraph"/>
        <w:numPr>
          <w:ilvl w:val="0"/>
          <w:numId w:val="14"/>
        </w:numPr>
        <w:spacing w:after="0" w:line="360" w:lineRule="auto"/>
        <w:jc w:val="both"/>
        <w:rPr>
          <w:rFonts w:ascii="Book Antiqua" w:hAnsi="Book Antiqua"/>
          <w:b/>
          <w:i/>
          <w:sz w:val="24"/>
          <w:szCs w:val="24"/>
          <w:lang w:val="fr-FR"/>
        </w:rPr>
      </w:pPr>
      <w:r w:rsidRPr="00FE64AC">
        <w:rPr>
          <w:rFonts w:ascii="Book Antiqua" w:hAnsi="Book Antiqua"/>
          <w:b/>
          <w:i/>
          <w:sz w:val="24"/>
          <w:szCs w:val="24"/>
          <w:lang w:val="fr-FR"/>
        </w:rPr>
        <w:t xml:space="preserve">Collaboration </w:t>
      </w:r>
      <w:r w:rsidR="00613EB8" w:rsidRPr="00FE64AC">
        <w:rPr>
          <w:rFonts w:ascii="Book Antiqua" w:hAnsi="Book Antiqua"/>
          <w:b/>
          <w:i/>
          <w:sz w:val="24"/>
          <w:szCs w:val="24"/>
          <w:lang w:val="fr-FR"/>
        </w:rPr>
        <w:t xml:space="preserve">entre la Commission </w:t>
      </w:r>
      <w:r w:rsidR="002314FD">
        <w:rPr>
          <w:rFonts w:ascii="Book Antiqua" w:hAnsi="Book Antiqua"/>
          <w:b/>
          <w:i/>
          <w:sz w:val="24"/>
          <w:szCs w:val="24"/>
          <w:lang w:val="fr-FR"/>
        </w:rPr>
        <w:t xml:space="preserve">et </w:t>
      </w:r>
      <w:r w:rsidR="00613EB8" w:rsidRPr="00FE64AC">
        <w:rPr>
          <w:rFonts w:ascii="Book Antiqua" w:hAnsi="Book Antiqua"/>
          <w:b/>
          <w:i/>
          <w:sz w:val="24"/>
          <w:szCs w:val="24"/>
          <w:lang w:val="fr-FR"/>
        </w:rPr>
        <w:t xml:space="preserve">les autres juridictions </w:t>
      </w:r>
      <w:r w:rsidR="00711149" w:rsidRPr="00FE64AC">
        <w:rPr>
          <w:rFonts w:ascii="Book Antiqua" w:hAnsi="Book Antiqua"/>
          <w:b/>
          <w:i/>
          <w:sz w:val="24"/>
          <w:szCs w:val="24"/>
          <w:lang w:val="fr-FR"/>
        </w:rPr>
        <w:t xml:space="preserve">régionales et sous régionales </w:t>
      </w:r>
      <w:r w:rsidR="00613EB8" w:rsidRPr="00FE64AC">
        <w:rPr>
          <w:rFonts w:ascii="Book Antiqua" w:hAnsi="Book Antiqua"/>
          <w:b/>
          <w:i/>
          <w:sz w:val="24"/>
          <w:szCs w:val="24"/>
          <w:lang w:val="fr-FR"/>
        </w:rPr>
        <w:t>africaines.</w:t>
      </w:r>
    </w:p>
    <w:p w:rsidR="00613EB8" w:rsidRPr="00FE64AC" w:rsidRDefault="00613EB8" w:rsidP="00354F81">
      <w:pPr>
        <w:pStyle w:val="ListParagraph"/>
        <w:spacing w:after="0" w:line="360" w:lineRule="auto"/>
        <w:ind w:left="1080"/>
        <w:jc w:val="both"/>
        <w:rPr>
          <w:rFonts w:ascii="Book Antiqua" w:hAnsi="Book Antiqua"/>
          <w:b/>
          <w:i/>
          <w:sz w:val="24"/>
          <w:szCs w:val="24"/>
          <w:lang w:val="fr-FR"/>
        </w:rPr>
      </w:pPr>
    </w:p>
    <w:p w:rsidR="00EE7D9D" w:rsidRPr="00FE64AC" w:rsidRDefault="00613EB8" w:rsidP="00354F81">
      <w:pPr>
        <w:pStyle w:val="ListParagraph"/>
        <w:numPr>
          <w:ilvl w:val="0"/>
          <w:numId w:val="3"/>
        </w:numPr>
        <w:spacing w:after="0" w:line="360" w:lineRule="auto"/>
        <w:jc w:val="both"/>
        <w:rPr>
          <w:rFonts w:ascii="Book Antiqua" w:eastAsia="Times New Roman" w:hAnsi="Book Antiqua" w:cs="Arial"/>
          <w:color w:val="000000"/>
          <w:sz w:val="24"/>
          <w:szCs w:val="24"/>
          <w:lang w:val="fr-FR"/>
        </w:rPr>
      </w:pPr>
      <w:r w:rsidRPr="00FE64AC">
        <w:rPr>
          <w:rFonts w:ascii="Book Antiqua" w:eastAsia="Times New Roman" w:hAnsi="Book Antiqua" w:cs="Arial"/>
          <w:color w:val="000000"/>
          <w:sz w:val="24"/>
          <w:szCs w:val="24"/>
          <w:lang w:val="fr-FR"/>
        </w:rPr>
        <w:t>Le Système Africain des droits de l’homme s’enrichit de plus en plus d’organes chargés de la promotion et la protection des droits de l’homme sur le continent. Aujourd’hui l’Afrique dispose, à côté de la Commission africaine, d’une Cour africaine des droits de l’homme et des peuple</w:t>
      </w:r>
      <w:r w:rsidR="00EE7D9D" w:rsidRPr="00FE64AC">
        <w:rPr>
          <w:rFonts w:ascii="Book Antiqua" w:eastAsia="Times New Roman" w:hAnsi="Book Antiqua" w:cs="Arial"/>
          <w:color w:val="000000"/>
          <w:sz w:val="24"/>
          <w:szCs w:val="24"/>
          <w:lang w:val="fr-FR"/>
        </w:rPr>
        <w:t>s</w:t>
      </w:r>
      <w:r w:rsidR="00EE7D9D" w:rsidRPr="00FE64AC">
        <w:rPr>
          <w:rFonts w:ascii="Book Antiqua" w:hAnsi="Book Antiqua"/>
          <w:sz w:val="24"/>
          <w:szCs w:val="24"/>
          <w:lang w:val="fr-FR"/>
        </w:rPr>
        <w:t xml:space="preserve"> </w:t>
      </w:r>
      <w:r w:rsidR="00EE7D9D" w:rsidRPr="00FE64AC">
        <w:rPr>
          <w:rFonts w:ascii="Book Antiqua" w:eastAsia="Times New Roman" w:hAnsi="Book Antiqua" w:cs="Arial"/>
          <w:color w:val="000000"/>
          <w:sz w:val="24"/>
          <w:szCs w:val="24"/>
          <w:lang w:val="fr-FR"/>
        </w:rPr>
        <w:t xml:space="preserve">créée pour compléter et renforcer les fonctions </w:t>
      </w:r>
      <w:r w:rsidR="002314FD">
        <w:rPr>
          <w:rFonts w:ascii="Book Antiqua" w:eastAsia="Times New Roman" w:hAnsi="Book Antiqua" w:cs="Arial"/>
          <w:color w:val="000000"/>
          <w:sz w:val="24"/>
          <w:szCs w:val="24"/>
          <w:lang w:val="fr-FR"/>
        </w:rPr>
        <w:t xml:space="preserve">juridictionnelles </w:t>
      </w:r>
      <w:r w:rsidR="00EE7D9D" w:rsidRPr="00FE64AC">
        <w:rPr>
          <w:rFonts w:ascii="Book Antiqua" w:eastAsia="Times New Roman" w:hAnsi="Book Antiqua" w:cs="Arial"/>
          <w:color w:val="000000"/>
          <w:sz w:val="24"/>
          <w:szCs w:val="24"/>
          <w:lang w:val="fr-FR"/>
        </w:rPr>
        <w:t>de la Commission africaine.</w:t>
      </w:r>
    </w:p>
    <w:p w:rsidR="00EE7D9D" w:rsidRPr="00FE64AC" w:rsidRDefault="00EE7D9D" w:rsidP="00354F81">
      <w:pPr>
        <w:pStyle w:val="ListParagraph"/>
        <w:spacing w:after="0" w:line="360" w:lineRule="auto"/>
        <w:ind w:left="1080"/>
        <w:jc w:val="both"/>
        <w:rPr>
          <w:rFonts w:ascii="Book Antiqua" w:eastAsia="Times New Roman" w:hAnsi="Book Antiqua" w:cs="Arial"/>
          <w:color w:val="000000"/>
          <w:sz w:val="24"/>
          <w:szCs w:val="24"/>
          <w:lang w:val="fr-FR"/>
        </w:rPr>
      </w:pPr>
    </w:p>
    <w:p w:rsidR="008A19F8" w:rsidRPr="00FE64AC" w:rsidRDefault="00613EB8"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eastAsia="Times New Roman" w:hAnsi="Book Antiqua" w:cs="Arial"/>
          <w:color w:val="000000"/>
          <w:sz w:val="24"/>
          <w:szCs w:val="24"/>
          <w:lang w:val="fr-FR"/>
        </w:rPr>
        <w:t>Par ailleurs</w:t>
      </w:r>
      <w:r w:rsidR="00D65556" w:rsidRPr="00FE64AC">
        <w:rPr>
          <w:rFonts w:ascii="Book Antiqua" w:eastAsia="Times New Roman" w:hAnsi="Book Antiqua" w:cs="Arial"/>
          <w:color w:val="000000"/>
          <w:sz w:val="24"/>
          <w:szCs w:val="24"/>
          <w:lang w:val="fr-FR"/>
        </w:rPr>
        <w:t>, a</w:t>
      </w:r>
      <w:r w:rsidR="00D65556" w:rsidRPr="00FE64AC">
        <w:rPr>
          <w:rFonts w:ascii="Book Antiqua" w:hAnsi="Book Antiqua"/>
          <w:sz w:val="24"/>
          <w:szCs w:val="24"/>
          <w:lang w:val="fr-FR"/>
        </w:rPr>
        <w:t xml:space="preserve">vec l'émergence des accords </w:t>
      </w:r>
      <w:proofErr w:type="spellStart"/>
      <w:r w:rsidR="00D65556" w:rsidRPr="00FE64AC">
        <w:rPr>
          <w:rFonts w:ascii="Book Antiqua" w:hAnsi="Book Antiqua"/>
          <w:sz w:val="24"/>
          <w:szCs w:val="24"/>
          <w:lang w:val="fr-FR"/>
        </w:rPr>
        <w:t>sous-régionaux</w:t>
      </w:r>
      <w:proofErr w:type="spellEnd"/>
      <w:r w:rsidR="00D65556" w:rsidRPr="00FE64AC">
        <w:rPr>
          <w:rFonts w:ascii="Book Antiqua" w:hAnsi="Book Antiqua"/>
          <w:sz w:val="24"/>
          <w:szCs w:val="24"/>
          <w:lang w:val="fr-FR"/>
        </w:rPr>
        <w:t xml:space="preserve">, les organisations </w:t>
      </w:r>
      <w:proofErr w:type="spellStart"/>
      <w:r w:rsidR="00D65556" w:rsidRPr="00FE64AC">
        <w:rPr>
          <w:rFonts w:ascii="Book Antiqua" w:hAnsi="Book Antiqua"/>
          <w:sz w:val="24"/>
          <w:szCs w:val="24"/>
          <w:lang w:val="fr-FR"/>
        </w:rPr>
        <w:t>sous-régionales</w:t>
      </w:r>
      <w:proofErr w:type="spellEnd"/>
      <w:r w:rsidR="00D65556" w:rsidRPr="00FE64AC">
        <w:rPr>
          <w:rFonts w:ascii="Book Antiqua" w:hAnsi="Book Antiqua"/>
          <w:sz w:val="24"/>
          <w:szCs w:val="24"/>
          <w:lang w:val="fr-FR"/>
        </w:rPr>
        <w:t xml:space="preserve"> ont également pris des mesures afin d’inclure les droits de l'homme dans leur programme de développement et de faire en sorte que  des solutions relatives aux droits de l’homme soient </w:t>
      </w:r>
      <w:r w:rsidR="002314FD">
        <w:rPr>
          <w:rFonts w:ascii="Book Antiqua" w:hAnsi="Book Antiqua"/>
          <w:sz w:val="24"/>
          <w:szCs w:val="24"/>
          <w:lang w:val="fr-FR"/>
        </w:rPr>
        <w:t>effectivement données</w:t>
      </w:r>
      <w:r w:rsidR="00D65556" w:rsidRPr="00FE64AC">
        <w:rPr>
          <w:rFonts w:ascii="Book Antiqua" w:hAnsi="Book Antiqua"/>
          <w:sz w:val="24"/>
          <w:szCs w:val="24"/>
          <w:lang w:val="fr-FR"/>
        </w:rPr>
        <w:t xml:space="preserve"> aux populations. C’est ainsi qu’elles se dotent</w:t>
      </w:r>
      <w:r w:rsidRPr="00FE64AC">
        <w:rPr>
          <w:rFonts w:ascii="Book Antiqua" w:eastAsia="Times New Roman" w:hAnsi="Book Antiqua" w:cs="Arial"/>
          <w:color w:val="000000"/>
          <w:sz w:val="24"/>
          <w:szCs w:val="24"/>
          <w:lang w:val="fr-FR"/>
        </w:rPr>
        <w:t xml:space="preserve">, de plus en plus, des organes juridictionnelles ou quasi juridictionnelles ayant compétences à recevoir des plaintes relatives aux violations des droits de l’homme. </w:t>
      </w:r>
      <w:r w:rsidR="00D65556" w:rsidRPr="00FE64AC">
        <w:rPr>
          <w:rFonts w:ascii="Book Antiqua" w:eastAsia="Times New Roman" w:hAnsi="Book Antiqua" w:cs="Arial"/>
          <w:color w:val="000000"/>
          <w:sz w:val="24"/>
          <w:szCs w:val="24"/>
          <w:lang w:val="fr-FR"/>
        </w:rPr>
        <w:t xml:space="preserve"> </w:t>
      </w:r>
    </w:p>
    <w:p w:rsidR="008A19F8" w:rsidRPr="00FE64AC" w:rsidRDefault="008A19F8" w:rsidP="00354F81">
      <w:pPr>
        <w:pStyle w:val="ListParagraph"/>
        <w:spacing w:after="0" w:line="360" w:lineRule="auto"/>
        <w:ind w:left="1080"/>
        <w:jc w:val="both"/>
        <w:rPr>
          <w:rFonts w:ascii="Book Antiqua" w:hAnsi="Book Antiqua"/>
          <w:sz w:val="24"/>
          <w:szCs w:val="24"/>
          <w:lang w:val="fr-FR"/>
        </w:rPr>
      </w:pPr>
    </w:p>
    <w:p w:rsidR="008A19F8" w:rsidRPr="00FE64AC" w:rsidRDefault="00D65556"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 xml:space="preserve">Ainsi, dans la sous-région Ouest-africaine, la Communauté économique des Etats d'Afrique de l'Ouest (CEDEAO) a mis en place la Cour de </w:t>
      </w:r>
      <w:r w:rsidR="002314FD">
        <w:rPr>
          <w:rFonts w:ascii="Book Antiqua" w:hAnsi="Book Antiqua"/>
          <w:sz w:val="24"/>
          <w:szCs w:val="24"/>
          <w:lang w:val="fr-FR"/>
        </w:rPr>
        <w:t xml:space="preserve">justice de </w:t>
      </w:r>
      <w:r w:rsidRPr="00FE64AC">
        <w:rPr>
          <w:rFonts w:ascii="Book Antiqua" w:hAnsi="Book Antiqua"/>
          <w:sz w:val="24"/>
          <w:szCs w:val="24"/>
          <w:lang w:val="fr-FR"/>
        </w:rPr>
        <w:t>la CEDEAO, dans la sous-région de l’Afrique de l'Est, la Communauté Est-africaine (CEA) a mis en place la Cour de Justice de la communauté de l’Afrique de l’Est et dans la sous-région de l’Afrique australe, la Communauté de développement de l’Afrique australe (SADC) a mis en place le tribunal de la SADC. Je ne m’attarderai pas la dessus dans la mesure où des présentations y relatives seront faites.</w:t>
      </w:r>
    </w:p>
    <w:p w:rsidR="008A19F8" w:rsidRPr="00FE64AC" w:rsidRDefault="008A19F8" w:rsidP="00354F81">
      <w:pPr>
        <w:spacing w:after="0" w:line="360" w:lineRule="auto"/>
        <w:jc w:val="both"/>
        <w:rPr>
          <w:rFonts w:ascii="Book Antiqua" w:hAnsi="Book Antiqua"/>
          <w:sz w:val="24"/>
          <w:szCs w:val="24"/>
          <w:lang w:val="fr-FR"/>
        </w:rPr>
      </w:pPr>
    </w:p>
    <w:p w:rsidR="00EE7D9D" w:rsidRPr="00FE64AC" w:rsidRDefault="008A19F8"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De toutes ces juridictions, il sied de noter que la Commission collabore étroitement avec la Cour africaine des droits de l’homme et des peuples, d’où la présente partie</w:t>
      </w:r>
      <w:r w:rsidR="001B779F">
        <w:rPr>
          <w:rFonts w:ascii="Book Antiqua" w:hAnsi="Book Antiqua"/>
          <w:sz w:val="24"/>
          <w:szCs w:val="24"/>
          <w:lang w:val="fr-FR"/>
        </w:rPr>
        <w:t xml:space="preserve"> </w:t>
      </w:r>
      <w:r w:rsidRPr="00FE64AC">
        <w:rPr>
          <w:rFonts w:ascii="Book Antiqua" w:hAnsi="Book Antiqua"/>
          <w:sz w:val="24"/>
          <w:szCs w:val="24"/>
          <w:lang w:val="fr-FR"/>
        </w:rPr>
        <w:t xml:space="preserve">va se concentrer sur cette collaboration. </w:t>
      </w:r>
    </w:p>
    <w:p w:rsidR="00EE7D9D" w:rsidRPr="00FE64AC" w:rsidRDefault="00EE7D9D" w:rsidP="00354F81">
      <w:pPr>
        <w:pStyle w:val="ListParagraph"/>
        <w:spacing w:after="0" w:line="360" w:lineRule="auto"/>
        <w:ind w:left="1080"/>
        <w:jc w:val="both"/>
        <w:rPr>
          <w:rFonts w:ascii="Book Antiqua" w:hAnsi="Book Antiqua"/>
          <w:sz w:val="24"/>
          <w:szCs w:val="24"/>
          <w:lang w:val="fr-FR"/>
        </w:rPr>
      </w:pPr>
    </w:p>
    <w:p w:rsidR="002314FD" w:rsidRPr="00A668B9" w:rsidRDefault="00EE7D9D" w:rsidP="002314FD">
      <w:pPr>
        <w:pStyle w:val="ListParagraph"/>
        <w:numPr>
          <w:ilvl w:val="0"/>
          <w:numId w:val="3"/>
        </w:numPr>
        <w:spacing w:after="0" w:line="360" w:lineRule="auto"/>
        <w:jc w:val="both"/>
        <w:rPr>
          <w:rFonts w:ascii="Book Antiqua" w:hAnsi="Book Antiqua"/>
          <w:sz w:val="24"/>
          <w:szCs w:val="24"/>
          <w:lang w:val="fr-FR"/>
        </w:rPr>
      </w:pPr>
      <w:r w:rsidRPr="002314FD">
        <w:rPr>
          <w:rFonts w:ascii="Book Antiqua" w:hAnsi="Book Antiqua"/>
          <w:bCs/>
          <w:sz w:val="24"/>
          <w:szCs w:val="24"/>
          <w:lang w:val="fr-FR"/>
        </w:rPr>
        <w:t xml:space="preserve">La relation existant entre la Commission et la Cour est une relation institutionnelle. </w:t>
      </w:r>
      <w:r w:rsidR="00A668B9">
        <w:rPr>
          <w:rFonts w:ascii="Book Antiqua" w:hAnsi="Book Antiqua"/>
          <w:bCs/>
          <w:sz w:val="24"/>
          <w:szCs w:val="24"/>
          <w:lang w:val="fr-FR"/>
        </w:rPr>
        <w:t>Cette relation est enre</w:t>
      </w:r>
      <w:r w:rsidRPr="002314FD">
        <w:rPr>
          <w:rFonts w:ascii="Book Antiqua" w:hAnsi="Book Antiqua"/>
          <w:sz w:val="24"/>
          <w:szCs w:val="24"/>
          <w:lang w:val="fr-FR"/>
        </w:rPr>
        <w:t>gistré</w:t>
      </w:r>
      <w:r w:rsidR="00A668B9">
        <w:rPr>
          <w:rFonts w:ascii="Book Antiqua" w:hAnsi="Book Antiqua"/>
          <w:sz w:val="24"/>
          <w:szCs w:val="24"/>
          <w:lang w:val="fr-FR"/>
        </w:rPr>
        <w:t>e</w:t>
      </w:r>
      <w:r w:rsidRPr="002314FD">
        <w:rPr>
          <w:rFonts w:ascii="Book Antiqua" w:hAnsi="Book Antiqua"/>
          <w:sz w:val="24"/>
          <w:szCs w:val="24"/>
          <w:lang w:val="fr-FR"/>
        </w:rPr>
        <w:t xml:space="preserve"> dans le Préambule du Protocole qui stipule que la Cour est destinée à "compléter et renforcer les fonctions de la Commission africaine. </w:t>
      </w:r>
      <w:r w:rsidR="00A668B9">
        <w:rPr>
          <w:rFonts w:ascii="Book Antiqua" w:hAnsi="Book Antiqua"/>
          <w:sz w:val="24"/>
          <w:szCs w:val="24"/>
          <w:lang w:val="fr-FR"/>
        </w:rPr>
        <w:t>Elle est également prévue dans cinq articles du protocole</w:t>
      </w:r>
      <w:r w:rsidR="00A668B9">
        <w:rPr>
          <w:rStyle w:val="FootnoteReference"/>
          <w:rFonts w:ascii="Book Antiqua" w:hAnsi="Book Antiqua"/>
          <w:sz w:val="24"/>
          <w:szCs w:val="24"/>
          <w:lang w:val="fr-FR"/>
        </w:rPr>
        <w:footnoteReference w:id="7"/>
      </w:r>
      <w:r w:rsidR="00A668B9">
        <w:rPr>
          <w:rFonts w:ascii="Book Antiqua" w:hAnsi="Book Antiqua"/>
          <w:sz w:val="24"/>
          <w:szCs w:val="24"/>
          <w:lang w:val="fr-FR"/>
        </w:rPr>
        <w:t xml:space="preserve">. </w:t>
      </w:r>
    </w:p>
    <w:p w:rsidR="00A668B9" w:rsidRPr="00A668B9" w:rsidRDefault="00A668B9" w:rsidP="00A668B9">
      <w:pPr>
        <w:pStyle w:val="ListParagraph"/>
        <w:rPr>
          <w:rFonts w:ascii="Book Antiqua" w:hAnsi="Book Antiqua"/>
          <w:sz w:val="24"/>
          <w:szCs w:val="24"/>
          <w:lang w:val="fr-FR"/>
        </w:rPr>
      </w:pPr>
    </w:p>
    <w:p w:rsidR="004F3816" w:rsidRPr="00FE64AC" w:rsidRDefault="001E24DC" w:rsidP="00354F81">
      <w:pPr>
        <w:pStyle w:val="ListParagraph"/>
        <w:numPr>
          <w:ilvl w:val="0"/>
          <w:numId w:val="3"/>
        </w:numPr>
        <w:spacing w:after="0" w:line="360" w:lineRule="auto"/>
        <w:jc w:val="both"/>
        <w:rPr>
          <w:rFonts w:ascii="Book Antiqua" w:hAnsi="Book Antiqua" w:cs="Arial"/>
          <w:color w:val="000000" w:themeColor="text1"/>
          <w:sz w:val="24"/>
          <w:szCs w:val="24"/>
          <w:lang w:val="fr-FR"/>
        </w:rPr>
      </w:pPr>
      <w:r w:rsidRPr="00FE64AC">
        <w:rPr>
          <w:rFonts w:ascii="Book Antiqua" w:hAnsi="Book Antiqua"/>
          <w:sz w:val="24"/>
          <w:szCs w:val="24"/>
          <w:lang w:val="fr-FR"/>
        </w:rPr>
        <w:t>La première et la plus importante initiative des deux institutions vers la mise en œuvre de leur relation de complémentarité a été l'harmonisation de leurs règlements intérieurs respectifs</w:t>
      </w:r>
      <w:r w:rsidR="00A95F03" w:rsidRPr="00FE64AC">
        <w:rPr>
          <w:rFonts w:ascii="Book Antiqua" w:hAnsi="Book Antiqua"/>
          <w:sz w:val="24"/>
          <w:szCs w:val="24"/>
          <w:lang w:val="fr-FR"/>
        </w:rPr>
        <w:t xml:space="preserve"> en vue de l’exécution effective de leur mandat commun de protection des droits de l’homme</w:t>
      </w:r>
      <w:r w:rsidRPr="00FE64AC">
        <w:rPr>
          <w:rFonts w:ascii="Book Antiqua" w:hAnsi="Book Antiqua"/>
          <w:sz w:val="24"/>
          <w:szCs w:val="24"/>
          <w:lang w:val="fr-FR"/>
        </w:rPr>
        <w:t xml:space="preserve">. </w:t>
      </w:r>
      <w:r w:rsidR="0085439E" w:rsidRPr="00FE64AC">
        <w:rPr>
          <w:rFonts w:ascii="Book Antiqua" w:hAnsi="Book Antiqua"/>
          <w:sz w:val="24"/>
          <w:szCs w:val="24"/>
          <w:lang w:val="fr-FR"/>
        </w:rPr>
        <w:t>C</w:t>
      </w:r>
      <w:r w:rsidR="004F3816" w:rsidRPr="00FE64AC">
        <w:rPr>
          <w:rFonts w:ascii="Book Antiqua" w:hAnsi="Book Antiqua" w:cs="Arial"/>
          <w:color w:val="000000" w:themeColor="text1"/>
          <w:sz w:val="24"/>
          <w:szCs w:val="24"/>
          <w:lang w:val="fr-FR"/>
        </w:rPr>
        <w:t xml:space="preserve">es règlements intérieurs </w:t>
      </w:r>
      <w:r w:rsidR="004F3816" w:rsidRPr="00FE64AC">
        <w:rPr>
          <w:rFonts w:ascii="Book Antiqua" w:hAnsi="Book Antiqua" w:cs="Arial"/>
          <w:color w:val="000000" w:themeColor="text1"/>
          <w:sz w:val="24"/>
          <w:szCs w:val="24"/>
          <w:lang w:val="fr-FR"/>
        </w:rPr>
        <w:lastRenderedPageBreak/>
        <w:t xml:space="preserve">prévoient </w:t>
      </w:r>
      <w:r w:rsidR="002F44EF" w:rsidRPr="00FE64AC">
        <w:rPr>
          <w:rFonts w:ascii="Book Antiqua" w:hAnsi="Book Antiqua" w:cs="Arial"/>
          <w:color w:val="000000" w:themeColor="text1"/>
          <w:sz w:val="24"/>
          <w:szCs w:val="24"/>
          <w:lang w:val="fr-FR"/>
        </w:rPr>
        <w:t xml:space="preserve">des dispositions </w:t>
      </w:r>
      <w:r w:rsidR="004F3816" w:rsidRPr="00FE64AC">
        <w:rPr>
          <w:rFonts w:ascii="Book Antiqua" w:hAnsi="Book Antiqua" w:cs="Arial"/>
          <w:color w:val="000000" w:themeColor="text1"/>
          <w:sz w:val="24"/>
          <w:szCs w:val="24"/>
          <w:lang w:val="fr-FR"/>
        </w:rPr>
        <w:t>consacrée</w:t>
      </w:r>
      <w:r w:rsidR="002F44EF" w:rsidRPr="00FE64AC">
        <w:rPr>
          <w:rFonts w:ascii="Book Antiqua" w:hAnsi="Book Antiqua" w:cs="Arial"/>
          <w:color w:val="000000" w:themeColor="text1"/>
          <w:sz w:val="24"/>
          <w:szCs w:val="24"/>
          <w:lang w:val="fr-FR"/>
        </w:rPr>
        <w:t>s</w:t>
      </w:r>
      <w:r w:rsidR="004F3816" w:rsidRPr="00FE64AC">
        <w:rPr>
          <w:rFonts w:ascii="Book Antiqua" w:hAnsi="Book Antiqua" w:cs="Arial"/>
          <w:color w:val="000000" w:themeColor="text1"/>
          <w:sz w:val="24"/>
          <w:szCs w:val="24"/>
          <w:lang w:val="fr-FR"/>
        </w:rPr>
        <w:t xml:space="preserve"> à la relation entre </w:t>
      </w:r>
      <w:r w:rsidR="0085439E" w:rsidRPr="00FE64AC">
        <w:rPr>
          <w:rFonts w:ascii="Book Antiqua" w:hAnsi="Book Antiqua" w:cs="Arial"/>
          <w:color w:val="000000" w:themeColor="text1"/>
          <w:sz w:val="24"/>
          <w:szCs w:val="24"/>
          <w:lang w:val="fr-FR"/>
        </w:rPr>
        <w:t xml:space="preserve">les deux institutions </w:t>
      </w:r>
      <w:r w:rsidR="004F3816" w:rsidRPr="00FE64AC">
        <w:rPr>
          <w:rFonts w:ascii="Book Antiqua" w:hAnsi="Book Antiqua" w:cs="Arial"/>
          <w:color w:val="000000" w:themeColor="text1"/>
          <w:sz w:val="24"/>
          <w:szCs w:val="24"/>
          <w:lang w:val="fr-FR"/>
        </w:rPr>
        <w:t xml:space="preserve">concernant notamment la complémentarité, </w:t>
      </w:r>
      <w:r w:rsidR="0085439E" w:rsidRPr="00FE64AC">
        <w:rPr>
          <w:rFonts w:ascii="Book Antiqua" w:hAnsi="Book Antiqua" w:cs="Arial"/>
          <w:color w:val="000000" w:themeColor="text1"/>
          <w:sz w:val="24"/>
          <w:szCs w:val="24"/>
          <w:lang w:val="fr-FR"/>
        </w:rPr>
        <w:t>les</w:t>
      </w:r>
      <w:r w:rsidR="004F3816" w:rsidRPr="00FE64AC">
        <w:rPr>
          <w:rFonts w:ascii="Book Antiqua" w:hAnsi="Book Antiqua" w:cs="Arial"/>
          <w:color w:val="000000" w:themeColor="text1"/>
          <w:sz w:val="24"/>
          <w:szCs w:val="24"/>
          <w:lang w:val="fr-FR"/>
        </w:rPr>
        <w:t xml:space="preserve"> consultations entre la Commission, la Cour et leurs bureaux respectifs, la saisine de la Cour</w:t>
      </w:r>
      <w:r w:rsidR="0085439E" w:rsidRPr="00FE64AC">
        <w:rPr>
          <w:rFonts w:ascii="Book Antiqua" w:hAnsi="Book Antiqua" w:cs="Arial"/>
          <w:color w:val="000000" w:themeColor="text1"/>
          <w:sz w:val="24"/>
          <w:szCs w:val="24"/>
          <w:lang w:val="fr-FR"/>
        </w:rPr>
        <w:t xml:space="preserve"> par la Commission</w:t>
      </w:r>
      <w:r w:rsidR="002F44EF" w:rsidRPr="00FE64AC">
        <w:rPr>
          <w:rFonts w:ascii="Book Antiqua" w:hAnsi="Book Antiqua" w:cs="Arial"/>
          <w:color w:val="000000" w:themeColor="text1"/>
          <w:sz w:val="24"/>
          <w:szCs w:val="24"/>
          <w:lang w:val="fr-FR"/>
        </w:rPr>
        <w:t>.</w:t>
      </w:r>
    </w:p>
    <w:p w:rsidR="002F44EF" w:rsidRPr="00FE64AC" w:rsidRDefault="002F44EF" w:rsidP="00354F81">
      <w:pPr>
        <w:pStyle w:val="ListParagraph"/>
        <w:spacing w:after="0" w:line="360" w:lineRule="auto"/>
        <w:ind w:left="1080"/>
        <w:jc w:val="both"/>
        <w:rPr>
          <w:rFonts w:ascii="Book Antiqua" w:hAnsi="Book Antiqua" w:cs="Arial"/>
          <w:color w:val="000000" w:themeColor="text1"/>
          <w:sz w:val="24"/>
          <w:szCs w:val="24"/>
          <w:lang w:val="fr-FR"/>
        </w:rPr>
      </w:pPr>
    </w:p>
    <w:p w:rsidR="00E64C56" w:rsidRPr="00FE64AC" w:rsidRDefault="002F44EF" w:rsidP="00354F81">
      <w:pPr>
        <w:pStyle w:val="ListParagraph"/>
        <w:numPr>
          <w:ilvl w:val="0"/>
          <w:numId w:val="3"/>
        </w:numPr>
        <w:spacing w:after="0" w:line="360" w:lineRule="auto"/>
        <w:jc w:val="both"/>
        <w:rPr>
          <w:rFonts w:ascii="Book Antiqua" w:eastAsia="Calibri" w:hAnsi="Book Antiqua" w:cs="Arial"/>
          <w:sz w:val="24"/>
          <w:szCs w:val="24"/>
          <w:lang w:val="fr-FR"/>
        </w:rPr>
      </w:pPr>
      <w:r w:rsidRPr="00FE64AC">
        <w:rPr>
          <w:rFonts w:ascii="Book Antiqua" w:eastAsia="Calibri" w:hAnsi="Book Antiqua" w:cs="Arial"/>
          <w:sz w:val="24"/>
          <w:szCs w:val="24"/>
          <w:lang w:val="fr-FR"/>
        </w:rPr>
        <w:t>À titre d’exemple</w:t>
      </w:r>
      <w:r w:rsidR="001B779F">
        <w:rPr>
          <w:rFonts w:ascii="Book Antiqua" w:eastAsia="Calibri" w:hAnsi="Book Antiqua" w:cs="Arial"/>
          <w:sz w:val="24"/>
          <w:szCs w:val="24"/>
          <w:lang w:val="fr-FR"/>
        </w:rPr>
        <w:t xml:space="preserve">, </w:t>
      </w:r>
      <w:r w:rsidRPr="00FE64AC">
        <w:rPr>
          <w:rFonts w:ascii="Book Antiqua" w:eastAsia="Calibri" w:hAnsi="Book Antiqua" w:cs="Arial"/>
          <w:sz w:val="24"/>
          <w:szCs w:val="24"/>
          <w:lang w:val="fr-FR"/>
        </w:rPr>
        <w:t xml:space="preserve">l’article 118 du Règlement </w:t>
      </w:r>
      <w:r w:rsidR="0085439E" w:rsidRPr="00FE64AC">
        <w:rPr>
          <w:rFonts w:ascii="Book Antiqua" w:eastAsia="Calibri" w:hAnsi="Book Antiqua" w:cs="Arial"/>
          <w:sz w:val="24"/>
          <w:szCs w:val="24"/>
          <w:lang w:val="fr-FR"/>
        </w:rPr>
        <w:t xml:space="preserve">intérieur </w:t>
      </w:r>
      <w:r w:rsidRPr="00FE64AC">
        <w:rPr>
          <w:rFonts w:ascii="Book Antiqua" w:eastAsia="Calibri" w:hAnsi="Book Antiqua" w:cs="Arial"/>
          <w:sz w:val="24"/>
          <w:szCs w:val="24"/>
          <w:lang w:val="fr-FR"/>
        </w:rPr>
        <w:t xml:space="preserve">de la Commission africaine précise que celle-ci peut saisir la Cour africaine </w:t>
      </w:r>
      <w:r w:rsidR="0085439E" w:rsidRPr="00FE64AC">
        <w:rPr>
          <w:rFonts w:ascii="Book Antiqua" w:hAnsi="Book Antiqua" w:cs="Arial"/>
          <w:color w:val="000000" w:themeColor="text1"/>
          <w:sz w:val="24"/>
          <w:szCs w:val="24"/>
          <w:lang w:val="fr-FR"/>
        </w:rPr>
        <w:t xml:space="preserve">à tout moment  de l’examen d’une communication </w:t>
      </w:r>
      <w:r w:rsidRPr="00FE64AC">
        <w:rPr>
          <w:rFonts w:ascii="Book Antiqua" w:eastAsia="Calibri" w:hAnsi="Book Antiqua" w:cs="Arial"/>
          <w:sz w:val="24"/>
          <w:szCs w:val="24"/>
          <w:lang w:val="fr-FR"/>
        </w:rPr>
        <w:t>lorsqu’un État partie n’a pas mis en œuvre ses recommandations dans les délais prescrits ou lorsqu’un État n’a pas donné de suite à une demande de mesures provisoires recommandées par la Commission ou encore lorsque la communication introduite devant la Commission révèle une situation de violation graves et massives des droits de l’homme. Mieux encore, à tout moment, durant l’examen d’une communication, la Commission peut décider de saisir la Cour. En application de cette disposition, la Commission a déjà saisi la Cour de trois affai</w:t>
      </w:r>
      <w:r w:rsidR="0085439E" w:rsidRPr="00FE64AC">
        <w:rPr>
          <w:rFonts w:ascii="Book Antiqua" w:eastAsia="Calibri" w:hAnsi="Book Antiqua" w:cs="Arial"/>
          <w:sz w:val="24"/>
          <w:szCs w:val="24"/>
          <w:lang w:val="fr-FR"/>
        </w:rPr>
        <w:t>res</w:t>
      </w:r>
      <w:r w:rsidR="00C17055" w:rsidRPr="00FE64AC">
        <w:rPr>
          <w:rStyle w:val="FootnoteReference"/>
          <w:rFonts w:ascii="Book Antiqua" w:hAnsi="Book Antiqua"/>
          <w:sz w:val="24"/>
          <w:szCs w:val="24"/>
          <w:lang w:val="fr-FR"/>
        </w:rPr>
        <w:footnoteReference w:id="8"/>
      </w:r>
      <w:r w:rsidR="00C17055" w:rsidRPr="00FE64AC">
        <w:rPr>
          <w:rFonts w:ascii="Book Antiqua" w:hAnsi="Book Antiqua"/>
          <w:sz w:val="24"/>
          <w:szCs w:val="24"/>
          <w:lang w:val="fr-FR"/>
        </w:rPr>
        <w:t xml:space="preserve">. </w:t>
      </w:r>
    </w:p>
    <w:p w:rsidR="003D270F" w:rsidRPr="00FE64AC" w:rsidRDefault="003D270F" w:rsidP="003D270F">
      <w:pPr>
        <w:pStyle w:val="ListParagraph"/>
        <w:spacing w:after="0" w:line="360" w:lineRule="auto"/>
        <w:ind w:left="1080"/>
        <w:jc w:val="both"/>
        <w:rPr>
          <w:rFonts w:ascii="Book Antiqua" w:eastAsia="Calibri" w:hAnsi="Book Antiqua" w:cs="Arial"/>
          <w:sz w:val="24"/>
          <w:szCs w:val="24"/>
          <w:lang w:val="fr-FR"/>
        </w:rPr>
      </w:pPr>
    </w:p>
    <w:p w:rsidR="00E64C56" w:rsidRPr="00FE64AC" w:rsidRDefault="0085439E" w:rsidP="00354F81">
      <w:pPr>
        <w:pStyle w:val="ListParagraph"/>
        <w:numPr>
          <w:ilvl w:val="0"/>
          <w:numId w:val="3"/>
        </w:numPr>
        <w:spacing w:after="0" w:line="360" w:lineRule="auto"/>
        <w:jc w:val="both"/>
        <w:rPr>
          <w:rFonts w:ascii="Book Antiqua" w:eastAsia="Calibri" w:hAnsi="Book Antiqua" w:cs="Arial"/>
          <w:sz w:val="24"/>
          <w:szCs w:val="24"/>
          <w:lang w:val="fr-FR"/>
        </w:rPr>
      </w:pPr>
      <w:r w:rsidRPr="00FE64AC">
        <w:rPr>
          <w:rFonts w:ascii="Book Antiqua" w:hAnsi="Book Antiqua"/>
          <w:sz w:val="24"/>
          <w:szCs w:val="24"/>
          <w:lang w:val="fr-FR"/>
        </w:rPr>
        <w:t xml:space="preserve">Le protocole prévoit également le renvoi des affaires à la Commission africaine par la Cour (article.6 (3) Protocole). À cet égard, la Cour a déjà renvoyé un total de </w:t>
      </w:r>
      <w:r w:rsidR="002D24B9">
        <w:rPr>
          <w:rFonts w:ascii="Book Antiqua" w:hAnsi="Book Antiqua"/>
          <w:sz w:val="24"/>
          <w:szCs w:val="24"/>
          <w:lang w:val="fr-FR"/>
        </w:rPr>
        <w:t>quatre</w:t>
      </w:r>
      <w:r w:rsidRPr="00FE64AC">
        <w:rPr>
          <w:rFonts w:ascii="Book Antiqua" w:hAnsi="Book Antiqua"/>
          <w:sz w:val="24"/>
          <w:szCs w:val="24"/>
          <w:lang w:val="fr-FR"/>
        </w:rPr>
        <w:t xml:space="preserve"> (</w:t>
      </w:r>
      <w:r w:rsidR="002D24B9">
        <w:rPr>
          <w:rFonts w:ascii="Book Antiqua" w:hAnsi="Book Antiqua"/>
          <w:sz w:val="24"/>
          <w:szCs w:val="24"/>
          <w:lang w:val="fr-FR"/>
        </w:rPr>
        <w:t>4</w:t>
      </w:r>
      <w:r w:rsidRPr="00FE64AC">
        <w:rPr>
          <w:rFonts w:ascii="Book Antiqua" w:hAnsi="Book Antiqua"/>
          <w:sz w:val="24"/>
          <w:szCs w:val="24"/>
          <w:lang w:val="fr-FR"/>
        </w:rPr>
        <w:t>) cas à la Commission</w:t>
      </w:r>
      <w:r w:rsidRPr="00FE64AC">
        <w:rPr>
          <w:rStyle w:val="FootnoteReference"/>
          <w:rFonts w:ascii="Book Antiqua" w:hAnsi="Book Antiqua"/>
          <w:sz w:val="24"/>
          <w:szCs w:val="24"/>
          <w:lang w:val="fr-FR"/>
        </w:rPr>
        <w:footnoteReference w:id="9"/>
      </w:r>
      <w:r w:rsidRPr="00FE64AC">
        <w:rPr>
          <w:rFonts w:ascii="Book Antiqua" w:hAnsi="Book Antiqua"/>
          <w:sz w:val="24"/>
          <w:szCs w:val="24"/>
          <w:lang w:val="fr-FR"/>
        </w:rPr>
        <w:t xml:space="preserve">  </w:t>
      </w:r>
      <w:r w:rsidR="00E64C56" w:rsidRPr="00FE64AC">
        <w:rPr>
          <w:rFonts w:ascii="Book Antiqua" w:hAnsi="Book Antiqua"/>
          <w:sz w:val="24"/>
          <w:szCs w:val="24"/>
          <w:lang w:val="fr-FR"/>
        </w:rPr>
        <w:t xml:space="preserve">car elle avait </w:t>
      </w:r>
      <w:r w:rsidR="00E64C56" w:rsidRPr="00FE64AC">
        <w:rPr>
          <w:rFonts w:ascii="Book Antiqua" w:eastAsia="Times New Roman" w:hAnsi="Book Antiqua" w:cs="Times New Roman"/>
          <w:sz w:val="24"/>
          <w:szCs w:val="24"/>
          <w:lang w:val="fr-FR"/>
        </w:rPr>
        <w:t xml:space="preserve">jugé qu'elle n'avait pas compétence pour les examiner notamment parce que l’Etat défendeur n’avait </w:t>
      </w:r>
      <w:r w:rsidR="00E64C56" w:rsidRPr="00FE64AC">
        <w:rPr>
          <w:rFonts w:ascii="Book Antiqua" w:eastAsia="Times New Roman" w:hAnsi="Book Antiqua" w:cs="Times New Roman"/>
          <w:sz w:val="24"/>
          <w:szCs w:val="24"/>
          <w:lang w:val="fr-FR"/>
        </w:rPr>
        <w:lastRenderedPageBreak/>
        <w:t>pas encore ratifié le protocole,  ou fait la déclaration prévue par l’article 34 (6). Par ailleurs, la Cour a transféré une affaire à la Commission africaine parce qu'une ONG  n'avait pas le statut d'observateur auprès de la Commission africaine conformément à  l'article 5 (3) du protocole portant création de la Cour.</w:t>
      </w:r>
      <w:r w:rsidR="00E64C56" w:rsidRPr="00FE64AC">
        <w:rPr>
          <w:rFonts w:ascii="Book Antiqua" w:hAnsi="Book Antiqua"/>
          <w:sz w:val="24"/>
          <w:szCs w:val="24"/>
          <w:lang w:val="fr-FR"/>
        </w:rPr>
        <w:t xml:space="preserve"> </w:t>
      </w:r>
    </w:p>
    <w:p w:rsidR="00E64C56" w:rsidRPr="00FE64AC" w:rsidRDefault="00E64C56" w:rsidP="00354F81">
      <w:pPr>
        <w:pStyle w:val="ListParagraph"/>
        <w:spacing w:after="0" w:line="360" w:lineRule="auto"/>
        <w:ind w:left="1080"/>
        <w:jc w:val="both"/>
        <w:rPr>
          <w:rFonts w:ascii="Book Antiqua" w:eastAsia="Calibri" w:hAnsi="Book Antiqua" w:cs="Arial"/>
          <w:sz w:val="24"/>
          <w:szCs w:val="24"/>
          <w:lang w:val="fr-FR"/>
        </w:rPr>
      </w:pPr>
    </w:p>
    <w:p w:rsidR="00E64C56" w:rsidRPr="00FE64AC" w:rsidRDefault="00E64C56" w:rsidP="00354F81">
      <w:pPr>
        <w:pStyle w:val="ListParagraph"/>
        <w:numPr>
          <w:ilvl w:val="0"/>
          <w:numId w:val="3"/>
        </w:numPr>
        <w:spacing w:after="0" w:line="360" w:lineRule="auto"/>
        <w:jc w:val="both"/>
        <w:rPr>
          <w:rFonts w:ascii="Book Antiqua" w:eastAsia="Calibri" w:hAnsi="Book Antiqua" w:cs="Arial"/>
          <w:sz w:val="24"/>
          <w:szCs w:val="24"/>
          <w:lang w:val="fr-FR"/>
        </w:rPr>
      </w:pPr>
      <w:r w:rsidRPr="00FE64AC">
        <w:rPr>
          <w:rFonts w:ascii="Book Antiqua" w:hAnsi="Book Antiqua"/>
          <w:sz w:val="24"/>
          <w:szCs w:val="24"/>
          <w:lang w:val="fr-FR"/>
        </w:rPr>
        <w:t xml:space="preserve">Afin </w:t>
      </w:r>
      <w:r w:rsidR="002314FD">
        <w:rPr>
          <w:rFonts w:ascii="Book Antiqua" w:hAnsi="Book Antiqua"/>
          <w:sz w:val="24"/>
          <w:szCs w:val="24"/>
          <w:lang w:val="fr-FR"/>
        </w:rPr>
        <w:t>de donner effet aux dispositions pertinentes du</w:t>
      </w:r>
      <w:r w:rsidR="00445FA0">
        <w:rPr>
          <w:rFonts w:ascii="Book Antiqua" w:hAnsi="Book Antiqua"/>
          <w:sz w:val="24"/>
          <w:szCs w:val="24"/>
          <w:lang w:val="fr-FR"/>
        </w:rPr>
        <w:t xml:space="preserve"> protocole, il a été nécessaire </w:t>
      </w:r>
      <w:r w:rsidR="002314FD">
        <w:rPr>
          <w:rFonts w:ascii="Book Antiqua" w:hAnsi="Book Antiqua"/>
          <w:sz w:val="24"/>
          <w:szCs w:val="24"/>
          <w:lang w:val="fr-FR"/>
        </w:rPr>
        <w:t>d’</w:t>
      </w:r>
      <w:r w:rsidR="00BE7B95">
        <w:rPr>
          <w:rFonts w:ascii="Book Antiqua" w:hAnsi="Book Antiqua"/>
          <w:sz w:val="24"/>
          <w:szCs w:val="24"/>
          <w:lang w:val="fr-FR"/>
        </w:rPr>
        <w:t>institutionnaliser</w:t>
      </w:r>
      <w:r w:rsidR="002314FD">
        <w:rPr>
          <w:rFonts w:ascii="Book Antiqua" w:hAnsi="Book Antiqua"/>
          <w:sz w:val="24"/>
          <w:szCs w:val="24"/>
          <w:lang w:val="fr-FR"/>
        </w:rPr>
        <w:t xml:space="preserve"> le principe de complémentarité entre les deux organes ; ce qui permet une bonne relation de travail sur les questions qui engagent les deux institutions</w:t>
      </w:r>
      <w:r w:rsidR="0022757E">
        <w:rPr>
          <w:rFonts w:ascii="Book Antiqua" w:hAnsi="Book Antiqua"/>
          <w:sz w:val="24"/>
          <w:szCs w:val="24"/>
          <w:lang w:val="fr-FR"/>
        </w:rPr>
        <w:t xml:space="preserve">. A cet égard et conformément aux </w:t>
      </w:r>
      <w:r w:rsidR="00BE7B95">
        <w:rPr>
          <w:rFonts w:ascii="Book Antiqua" w:hAnsi="Book Antiqua"/>
          <w:sz w:val="24"/>
          <w:szCs w:val="24"/>
          <w:lang w:val="fr-FR"/>
        </w:rPr>
        <w:t>règlements</w:t>
      </w:r>
      <w:r w:rsidR="0022757E">
        <w:rPr>
          <w:rFonts w:ascii="Book Antiqua" w:hAnsi="Book Antiqua"/>
          <w:sz w:val="24"/>
          <w:szCs w:val="24"/>
          <w:lang w:val="fr-FR"/>
        </w:rPr>
        <w:t xml:space="preserve"> </w:t>
      </w:r>
      <w:r w:rsidR="00BE7B95">
        <w:rPr>
          <w:rFonts w:ascii="Book Antiqua" w:hAnsi="Book Antiqua"/>
          <w:sz w:val="24"/>
          <w:szCs w:val="24"/>
          <w:lang w:val="fr-FR"/>
        </w:rPr>
        <w:t>intérieurs</w:t>
      </w:r>
      <w:r w:rsidR="0022757E">
        <w:rPr>
          <w:rFonts w:ascii="Book Antiqua" w:hAnsi="Book Antiqua"/>
          <w:sz w:val="24"/>
          <w:szCs w:val="24"/>
          <w:lang w:val="fr-FR"/>
        </w:rPr>
        <w:t xml:space="preserve"> de la Commission et la Cour, </w:t>
      </w:r>
      <w:r w:rsidRPr="00FE64AC">
        <w:rPr>
          <w:rFonts w:ascii="Book Antiqua" w:eastAsia="Calibri" w:hAnsi="Book Antiqua" w:cs="Arial"/>
          <w:sz w:val="24"/>
          <w:szCs w:val="24"/>
          <w:lang w:val="fr-FR"/>
        </w:rPr>
        <w:t xml:space="preserve"> </w:t>
      </w:r>
      <w:r w:rsidR="0022757E">
        <w:rPr>
          <w:rFonts w:ascii="Book Antiqua" w:eastAsia="Calibri" w:hAnsi="Book Antiqua" w:cs="Arial"/>
          <w:sz w:val="24"/>
          <w:szCs w:val="24"/>
          <w:lang w:val="fr-FR"/>
        </w:rPr>
        <w:t xml:space="preserve">il est prévu que les </w:t>
      </w:r>
      <w:r w:rsidRPr="00FE64AC">
        <w:rPr>
          <w:rFonts w:ascii="Book Antiqua" w:eastAsia="Calibri" w:hAnsi="Book Antiqua" w:cs="Arial"/>
          <w:sz w:val="24"/>
          <w:szCs w:val="24"/>
          <w:lang w:val="fr-FR"/>
        </w:rPr>
        <w:t xml:space="preserve">deux institutions organisent des réunions conjointes </w:t>
      </w:r>
      <w:r w:rsidRPr="00FE64AC">
        <w:rPr>
          <w:rFonts w:ascii="Book Antiqua" w:hAnsi="Book Antiqua"/>
          <w:sz w:val="24"/>
          <w:szCs w:val="24"/>
          <w:lang w:val="fr-FR"/>
        </w:rPr>
        <w:t xml:space="preserve">et des séances de consultations. </w:t>
      </w:r>
      <w:r w:rsidR="0022757E">
        <w:rPr>
          <w:rFonts w:ascii="Book Antiqua" w:eastAsia="Calibri" w:hAnsi="Book Antiqua" w:cs="Arial"/>
          <w:sz w:val="24"/>
          <w:szCs w:val="24"/>
          <w:lang w:val="fr-FR"/>
        </w:rPr>
        <w:t>L</w:t>
      </w:r>
      <w:r w:rsidRPr="00FE64AC">
        <w:rPr>
          <w:rFonts w:ascii="Book Antiqua" w:eastAsia="Calibri" w:hAnsi="Book Antiqua" w:cs="Arial"/>
          <w:sz w:val="24"/>
          <w:szCs w:val="24"/>
          <w:lang w:val="fr-FR"/>
        </w:rPr>
        <w:t xml:space="preserve">es Bureaux de la Cour et la Commission se sont </w:t>
      </w:r>
      <w:r w:rsidR="00445FA0">
        <w:rPr>
          <w:rFonts w:ascii="Book Antiqua" w:eastAsia="Calibri" w:hAnsi="Book Antiqua" w:cs="Arial"/>
          <w:sz w:val="24"/>
          <w:szCs w:val="24"/>
          <w:lang w:val="fr-FR"/>
        </w:rPr>
        <w:t xml:space="preserve">déjà réunis à </w:t>
      </w:r>
      <w:r w:rsidRPr="00FE64AC">
        <w:rPr>
          <w:rFonts w:ascii="Book Antiqua" w:eastAsia="Calibri" w:hAnsi="Book Antiqua" w:cs="Arial"/>
          <w:sz w:val="24"/>
          <w:szCs w:val="24"/>
          <w:lang w:val="fr-FR"/>
        </w:rPr>
        <w:t>6 reprises</w:t>
      </w:r>
      <w:r w:rsidR="00445FA0">
        <w:rPr>
          <w:rFonts w:ascii="Book Antiqua" w:eastAsia="Calibri" w:hAnsi="Book Antiqua" w:cs="Arial"/>
          <w:sz w:val="24"/>
          <w:szCs w:val="24"/>
          <w:lang w:val="fr-FR"/>
        </w:rPr>
        <w:t xml:space="preserve">. Les membres de la Commission africaine et les juges de la Cour se sont aussi réunis </w:t>
      </w:r>
      <w:r w:rsidR="002D01EE">
        <w:rPr>
          <w:rFonts w:ascii="Book Antiqua" w:eastAsia="Calibri" w:hAnsi="Book Antiqua" w:cs="Arial"/>
          <w:sz w:val="24"/>
          <w:szCs w:val="24"/>
          <w:lang w:val="fr-FR"/>
        </w:rPr>
        <w:t xml:space="preserve"> quatre (4) </w:t>
      </w:r>
      <w:r w:rsidR="00445FA0">
        <w:rPr>
          <w:rFonts w:ascii="Book Antiqua" w:eastAsia="Calibri" w:hAnsi="Book Antiqua" w:cs="Arial"/>
          <w:sz w:val="24"/>
          <w:szCs w:val="24"/>
          <w:lang w:val="fr-FR"/>
        </w:rPr>
        <w:t xml:space="preserve">fois </w:t>
      </w:r>
      <w:r w:rsidRPr="00FE64AC">
        <w:rPr>
          <w:rFonts w:ascii="Book Antiqua" w:eastAsia="Calibri" w:hAnsi="Book Antiqua" w:cs="Arial"/>
          <w:sz w:val="24"/>
          <w:szCs w:val="24"/>
          <w:lang w:val="fr-FR"/>
        </w:rPr>
        <w:t>depuis 2012</w:t>
      </w:r>
      <w:r w:rsidRPr="00FE64AC">
        <w:rPr>
          <w:rFonts w:ascii="Book Antiqua" w:hAnsi="Book Antiqua"/>
          <w:sz w:val="24"/>
          <w:szCs w:val="24"/>
          <w:lang w:val="fr-FR"/>
        </w:rPr>
        <w:t>.</w:t>
      </w:r>
    </w:p>
    <w:p w:rsidR="00667CC7" w:rsidRPr="00FE64AC" w:rsidRDefault="00667CC7" w:rsidP="00354F81">
      <w:pPr>
        <w:pStyle w:val="ListParagraph"/>
        <w:spacing w:after="0" w:line="360" w:lineRule="auto"/>
        <w:ind w:left="1080"/>
        <w:jc w:val="both"/>
        <w:rPr>
          <w:rFonts w:ascii="Book Antiqua" w:hAnsi="Book Antiqua"/>
          <w:sz w:val="24"/>
          <w:szCs w:val="24"/>
          <w:lang w:val="fr-FR"/>
        </w:rPr>
      </w:pPr>
    </w:p>
    <w:p w:rsidR="00906A3B" w:rsidRPr="00FE64AC" w:rsidRDefault="00BE7B95" w:rsidP="00354F81">
      <w:pPr>
        <w:pStyle w:val="ListParagraph"/>
        <w:numPr>
          <w:ilvl w:val="0"/>
          <w:numId w:val="3"/>
        </w:numPr>
        <w:spacing w:after="0" w:line="360" w:lineRule="auto"/>
        <w:jc w:val="both"/>
        <w:rPr>
          <w:rFonts w:ascii="Book Antiqua" w:hAnsi="Book Antiqua" w:cs="Arial"/>
          <w:color w:val="000000"/>
          <w:sz w:val="24"/>
          <w:szCs w:val="24"/>
          <w:lang w:val="fr-FR"/>
        </w:rPr>
      </w:pPr>
      <w:r>
        <w:rPr>
          <w:rFonts w:ascii="Book Antiqua" w:hAnsi="Book Antiqua"/>
          <w:sz w:val="24"/>
          <w:szCs w:val="24"/>
          <w:lang w:val="fr-FR"/>
        </w:rPr>
        <w:t xml:space="preserve">Indépendamment de la Cour, la </w:t>
      </w:r>
      <w:r w:rsidRPr="00FE64AC">
        <w:rPr>
          <w:rFonts w:ascii="Book Antiqua" w:hAnsi="Book Antiqua"/>
          <w:sz w:val="24"/>
          <w:szCs w:val="24"/>
          <w:lang w:val="fr-FR"/>
        </w:rPr>
        <w:t xml:space="preserve">Commission </w:t>
      </w:r>
      <w:r>
        <w:rPr>
          <w:rFonts w:ascii="Book Antiqua" w:hAnsi="Book Antiqua"/>
          <w:sz w:val="24"/>
          <w:szCs w:val="24"/>
          <w:lang w:val="fr-FR"/>
        </w:rPr>
        <w:t xml:space="preserve">africaine entretient des relations de travail </w:t>
      </w:r>
      <w:r w:rsidRPr="00FE64AC">
        <w:rPr>
          <w:rFonts w:ascii="Book Antiqua" w:hAnsi="Book Antiqua"/>
          <w:sz w:val="24"/>
          <w:szCs w:val="24"/>
          <w:lang w:val="fr-FR"/>
        </w:rPr>
        <w:t>avec les autres mécanismes</w:t>
      </w:r>
      <w:r>
        <w:rPr>
          <w:rFonts w:ascii="Book Antiqua" w:hAnsi="Book Antiqua"/>
          <w:sz w:val="24"/>
          <w:szCs w:val="24"/>
          <w:lang w:val="fr-FR"/>
        </w:rPr>
        <w:t>. En raison de l’importance cruciale que revêt la situation des droits humains des enfants en Afrique</w:t>
      </w:r>
      <w:r w:rsidR="00063CA0" w:rsidRPr="00FE64AC">
        <w:rPr>
          <w:rFonts w:ascii="Book Antiqua" w:hAnsi="Book Antiqua" w:cs="Arial"/>
          <w:color w:val="000000"/>
          <w:sz w:val="24"/>
          <w:szCs w:val="24"/>
          <w:lang w:val="fr-FR"/>
        </w:rPr>
        <w:t>, la commission africaine collabore également avec le Comité africain d’Experts sur les droits et le Bien-être de l’enfant.</w:t>
      </w:r>
    </w:p>
    <w:p w:rsidR="00CC5AB1" w:rsidRDefault="00CC5AB1" w:rsidP="00CC5AB1">
      <w:pPr>
        <w:spacing w:after="0" w:line="360" w:lineRule="auto"/>
        <w:ind w:left="1080"/>
        <w:jc w:val="both"/>
        <w:rPr>
          <w:rFonts w:ascii="Book Antiqua" w:hAnsi="Book Antiqua"/>
          <w:b/>
          <w:i/>
          <w:sz w:val="24"/>
          <w:szCs w:val="24"/>
          <w:lang w:val="fr-FR"/>
        </w:rPr>
      </w:pPr>
    </w:p>
    <w:p w:rsidR="00CC5AB1" w:rsidRDefault="00CC5AB1" w:rsidP="00CC5AB1">
      <w:pPr>
        <w:pStyle w:val="ListParagraph"/>
        <w:numPr>
          <w:ilvl w:val="0"/>
          <w:numId w:val="14"/>
        </w:numPr>
        <w:spacing w:after="0" w:line="360" w:lineRule="auto"/>
        <w:jc w:val="both"/>
        <w:rPr>
          <w:rFonts w:ascii="Book Antiqua" w:hAnsi="Book Antiqua"/>
          <w:b/>
          <w:i/>
          <w:sz w:val="24"/>
          <w:szCs w:val="24"/>
          <w:lang w:val="fr-FR"/>
        </w:rPr>
      </w:pPr>
      <w:r w:rsidRPr="00CC5AB1">
        <w:rPr>
          <w:rFonts w:ascii="Book Antiqua" w:hAnsi="Book Antiqua"/>
          <w:b/>
          <w:i/>
          <w:sz w:val="24"/>
          <w:szCs w:val="24"/>
          <w:lang w:val="fr-FR"/>
        </w:rPr>
        <w:t>Collaboration entre la Commission avec les autres systèmes régionaux non africains</w:t>
      </w:r>
      <w:r w:rsidR="000F3709">
        <w:rPr>
          <w:rFonts w:ascii="Book Antiqua" w:hAnsi="Book Antiqua"/>
          <w:b/>
          <w:i/>
          <w:sz w:val="24"/>
          <w:szCs w:val="24"/>
          <w:lang w:val="fr-FR"/>
        </w:rPr>
        <w:t> :</w:t>
      </w:r>
      <w:r w:rsidRPr="00CC5AB1">
        <w:rPr>
          <w:rFonts w:ascii="Book Antiqua" w:hAnsi="Book Antiqua"/>
          <w:b/>
          <w:i/>
          <w:sz w:val="24"/>
          <w:szCs w:val="24"/>
          <w:lang w:val="fr-FR"/>
        </w:rPr>
        <w:t xml:space="preserve"> Cas de la cour</w:t>
      </w:r>
      <w:r w:rsidR="000F3709">
        <w:rPr>
          <w:rFonts w:ascii="Book Antiqua" w:hAnsi="Book Antiqua"/>
          <w:b/>
          <w:i/>
          <w:sz w:val="24"/>
          <w:szCs w:val="24"/>
          <w:lang w:val="fr-FR"/>
        </w:rPr>
        <w:t xml:space="preserve"> interaméricaine </w:t>
      </w:r>
      <w:r w:rsidRPr="00CC5AB1">
        <w:rPr>
          <w:rFonts w:ascii="Book Antiqua" w:hAnsi="Book Antiqua"/>
          <w:b/>
          <w:i/>
          <w:sz w:val="24"/>
          <w:szCs w:val="24"/>
          <w:lang w:val="fr-FR"/>
        </w:rPr>
        <w:t xml:space="preserve">et </w:t>
      </w:r>
      <w:r w:rsidR="000F3709">
        <w:rPr>
          <w:rFonts w:ascii="Book Antiqua" w:hAnsi="Book Antiqua"/>
          <w:b/>
          <w:i/>
          <w:sz w:val="24"/>
          <w:szCs w:val="24"/>
          <w:lang w:val="fr-FR"/>
        </w:rPr>
        <w:t xml:space="preserve">de </w:t>
      </w:r>
      <w:r w:rsidRPr="00CC5AB1">
        <w:rPr>
          <w:rFonts w:ascii="Book Antiqua" w:hAnsi="Book Antiqua"/>
          <w:b/>
          <w:i/>
          <w:sz w:val="24"/>
          <w:szCs w:val="24"/>
          <w:lang w:val="fr-FR"/>
        </w:rPr>
        <w:t>la Commission inter américaine</w:t>
      </w:r>
      <w:r w:rsidR="000F3709">
        <w:rPr>
          <w:rFonts w:ascii="Book Antiqua" w:hAnsi="Book Antiqua"/>
          <w:b/>
          <w:i/>
          <w:sz w:val="24"/>
          <w:szCs w:val="24"/>
          <w:lang w:val="fr-FR"/>
        </w:rPr>
        <w:t xml:space="preserve"> des droits de l’homme.</w:t>
      </w:r>
    </w:p>
    <w:p w:rsidR="00990E9A" w:rsidRPr="00CC5AB1" w:rsidRDefault="00990E9A" w:rsidP="00990E9A">
      <w:pPr>
        <w:pStyle w:val="ListParagraph"/>
        <w:spacing w:after="0" w:line="360" w:lineRule="auto"/>
        <w:ind w:left="1440"/>
        <w:jc w:val="both"/>
        <w:rPr>
          <w:rFonts w:ascii="Book Antiqua" w:hAnsi="Book Antiqua"/>
          <w:b/>
          <w:i/>
          <w:sz w:val="24"/>
          <w:szCs w:val="24"/>
          <w:lang w:val="fr-FR"/>
        </w:rPr>
      </w:pPr>
    </w:p>
    <w:p w:rsidR="005A29D5" w:rsidRDefault="00990E9A" w:rsidP="00941687">
      <w:pPr>
        <w:pStyle w:val="ListParagraph"/>
        <w:numPr>
          <w:ilvl w:val="0"/>
          <w:numId w:val="3"/>
        </w:numPr>
        <w:spacing w:after="0" w:line="360" w:lineRule="auto"/>
        <w:jc w:val="both"/>
        <w:rPr>
          <w:rFonts w:ascii="Book Antiqua" w:hAnsi="Book Antiqua" w:cs="Arial"/>
          <w:color w:val="000000"/>
          <w:sz w:val="24"/>
          <w:szCs w:val="24"/>
          <w:lang w:val="fr-FR"/>
        </w:rPr>
      </w:pPr>
      <w:r>
        <w:rPr>
          <w:rFonts w:ascii="Book Antiqua" w:hAnsi="Book Antiqua" w:cs="Arial"/>
          <w:color w:val="000000"/>
          <w:sz w:val="24"/>
          <w:szCs w:val="24"/>
          <w:lang w:val="fr-FR"/>
        </w:rPr>
        <w:t xml:space="preserve">La Commission africaine collabore avec la Cour </w:t>
      </w:r>
      <w:r w:rsidR="00B01C19">
        <w:rPr>
          <w:rFonts w:ascii="Book Antiqua" w:hAnsi="Book Antiqua" w:cs="Arial"/>
          <w:color w:val="000000"/>
          <w:sz w:val="24"/>
          <w:szCs w:val="24"/>
          <w:lang w:val="fr-FR"/>
        </w:rPr>
        <w:t xml:space="preserve">interaméricaine des droits de l’homme (la Cour interaméricaine) </w:t>
      </w:r>
      <w:r>
        <w:rPr>
          <w:rFonts w:ascii="Book Antiqua" w:hAnsi="Book Antiqua" w:cs="Arial"/>
          <w:color w:val="000000"/>
          <w:sz w:val="24"/>
          <w:szCs w:val="24"/>
          <w:lang w:val="fr-FR"/>
        </w:rPr>
        <w:t>et la Commission interaméricaine des droits de l’homme</w:t>
      </w:r>
      <w:r w:rsidR="00B01C19">
        <w:rPr>
          <w:rFonts w:ascii="Book Antiqua" w:hAnsi="Book Antiqua" w:cs="Arial"/>
          <w:color w:val="000000"/>
          <w:sz w:val="24"/>
          <w:szCs w:val="24"/>
          <w:lang w:val="fr-FR"/>
        </w:rPr>
        <w:t xml:space="preserve"> (la Commission interaméricaine)</w:t>
      </w:r>
      <w:r>
        <w:rPr>
          <w:rFonts w:ascii="Book Antiqua" w:hAnsi="Book Antiqua" w:cs="Arial"/>
          <w:color w:val="000000"/>
          <w:sz w:val="24"/>
          <w:szCs w:val="24"/>
          <w:lang w:val="fr-FR"/>
        </w:rPr>
        <w:t xml:space="preserve">. Cette collaboration s’est traduite </w:t>
      </w:r>
      <w:r w:rsidR="005A29D5">
        <w:rPr>
          <w:rFonts w:ascii="Book Antiqua" w:hAnsi="Book Antiqua" w:cs="Arial"/>
          <w:color w:val="000000"/>
          <w:sz w:val="24"/>
          <w:szCs w:val="24"/>
          <w:lang w:val="fr-FR"/>
        </w:rPr>
        <w:t xml:space="preserve"> par une visite d’étude du personnel du secrétariat de la Commission </w:t>
      </w:r>
      <w:r w:rsidR="00941687">
        <w:rPr>
          <w:rFonts w:ascii="Book Antiqua" w:hAnsi="Book Antiqua" w:cs="Arial"/>
          <w:color w:val="000000"/>
          <w:sz w:val="24"/>
          <w:szCs w:val="24"/>
          <w:lang w:val="fr-FR"/>
        </w:rPr>
        <w:t xml:space="preserve">africaine à </w:t>
      </w:r>
      <w:r w:rsidR="00941687">
        <w:rPr>
          <w:rFonts w:ascii="Book Antiqua" w:hAnsi="Book Antiqua" w:cs="Arial"/>
          <w:color w:val="000000"/>
          <w:sz w:val="24"/>
          <w:szCs w:val="24"/>
          <w:lang w:val="fr-FR"/>
        </w:rPr>
        <w:lastRenderedPageBreak/>
        <w:t>la Cour interaméricaine et à la commission interaméricaine en vue du renforcement des capacités, du partage d’expériences et des méthodes de travail dans le but</w:t>
      </w:r>
      <w:r w:rsidR="00B23179">
        <w:rPr>
          <w:rFonts w:ascii="Book Antiqua" w:hAnsi="Book Antiqua" w:cs="Arial"/>
          <w:color w:val="000000"/>
          <w:sz w:val="24"/>
          <w:szCs w:val="24"/>
          <w:lang w:val="fr-FR"/>
        </w:rPr>
        <w:t xml:space="preserve"> d’améliorer le travail de la Commission</w:t>
      </w:r>
      <w:r w:rsidR="00B01C19">
        <w:rPr>
          <w:rFonts w:ascii="Book Antiqua" w:hAnsi="Book Antiqua" w:cs="Arial"/>
          <w:color w:val="000000"/>
          <w:sz w:val="24"/>
          <w:szCs w:val="24"/>
          <w:lang w:val="fr-FR"/>
        </w:rPr>
        <w:t xml:space="preserve"> africaine</w:t>
      </w:r>
      <w:r w:rsidR="005A29D5">
        <w:rPr>
          <w:rFonts w:ascii="Book Antiqua" w:hAnsi="Book Antiqua" w:cs="Arial"/>
          <w:color w:val="000000"/>
          <w:sz w:val="24"/>
          <w:szCs w:val="24"/>
          <w:lang w:val="fr-FR"/>
        </w:rPr>
        <w:t xml:space="preserve">. </w:t>
      </w:r>
    </w:p>
    <w:p w:rsidR="00B01C19" w:rsidRDefault="00B01C19" w:rsidP="00B01C19">
      <w:pPr>
        <w:pStyle w:val="ListParagraph"/>
        <w:spacing w:after="0" w:line="360" w:lineRule="auto"/>
        <w:ind w:left="1080"/>
        <w:jc w:val="both"/>
        <w:rPr>
          <w:rFonts w:ascii="Book Antiqua" w:hAnsi="Book Antiqua" w:cs="Arial"/>
          <w:color w:val="000000"/>
          <w:sz w:val="24"/>
          <w:szCs w:val="24"/>
          <w:lang w:val="fr-FR"/>
        </w:rPr>
      </w:pPr>
    </w:p>
    <w:p w:rsidR="00941687" w:rsidRPr="005A29D5" w:rsidRDefault="00941687" w:rsidP="00941687">
      <w:pPr>
        <w:pStyle w:val="ListParagraph"/>
        <w:numPr>
          <w:ilvl w:val="0"/>
          <w:numId w:val="3"/>
        </w:numPr>
        <w:spacing w:after="0" w:line="360" w:lineRule="auto"/>
        <w:jc w:val="both"/>
        <w:rPr>
          <w:rFonts w:ascii="Book Antiqua" w:hAnsi="Book Antiqua" w:cs="Arial"/>
          <w:color w:val="000000"/>
          <w:sz w:val="24"/>
          <w:szCs w:val="24"/>
          <w:lang w:val="fr-FR"/>
        </w:rPr>
      </w:pPr>
      <w:r>
        <w:rPr>
          <w:rFonts w:ascii="Book Antiqua" w:hAnsi="Book Antiqua" w:cs="Arial"/>
          <w:color w:val="000000"/>
          <w:sz w:val="24"/>
          <w:szCs w:val="24"/>
          <w:lang w:val="fr-FR"/>
        </w:rPr>
        <w:t xml:space="preserve">La Commission africaine et la Commission interaméricaine collabore également sur d’autres questions </w:t>
      </w:r>
      <w:r w:rsidR="00B01C19">
        <w:rPr>
          <w:rFonts w:ascii="Book Antiqua" w:hAnsi="Book Antiqua" w:cs="Arial"/>
          <w:color w:val="000000"/>
          <w:sz w:val="24"/>
          <w:szCs w:val="24"/>
          <w:lang w:val="fr-FR"/>
        </w:rPr>
        <w:t xml:space="preserve">de promotion et de protection </w:t>
      </w:r>
      <w:r>
        <w:rPr>
          <w:rFonts w:ascii="Book Antiqua" w:hAnsi="Book Antiqua" w:cs="Arial"/>
          <w:color w:val="000000"/>
          <w:sz w:val="24"/>
          <w:szCs w:val="24"/>
          <w:lang w:val="fr-FR"/>
        </w:rPr>
        <w:t xml:space="preserve">des droits de l’homme, notamment le dialogue en cours sur les droits des minorités sexuelles. </w:t>
      </w:r>
    </w:p>
    <w:p w:rsidR="00063CA0" w:rsidRPr="00941687" w:rsidRDefault="00063CA0" w:rsidP="00941687">
      <w:pPr>
        <w:spacing w:after="0" w:line="360" w:lineRule="auto"/>
        <w:ind w:left="720"/>
        <w:jc w:val="both"/>
        <w:rPr>
          <w:rFonts w:ascii="Book Antiqua" w:hAnsi="Book Antiqua" w:cs="Arial"/>
          <w:color w:val="000000"/>
          <w:sz w:val="24"/>
          <w:szCs w:val="24"/>
          <w:lang w:val="fr-FR"/>
        </w:rPr>
      </w:pPr>
    </w:p>
    <w:p w:rsidR="00990E9A" w:rsidRPr="00FE64AC" w:rsidRDefault="00990E9A" w:rsidP="00990E9A">
      <w:pPr>
        <w:pStyle w:val="ListParagraph"/>
        <w:spacing w:after="0" w:line="360" w:lineRule="auto"/>
        <w:ind w:left="1080"/>
        <w:jc w:val="both"/>
        <w:rPr>
          <w:rFonts w:ascii="Book Antiqua" w:hAnsi="Book Antiqua" w:cs="Arial"/>
          <w:color w:val="000000"/>
          <w:sz w:val="24"/>
          <w:szCs w:val="24"/>
          <w:lang w:val="fr-FR"/>
        </w:rPr>
      </w:pPr>
    </w:p>
    <w:p w:rsidR="00951A44" w:rsidRDefault="00CC5AB1" w:rsidP="00354F81">
      <w:pPr>
        <w:pStyle w:val="ListParagraph"/>
        <w:numPr>
          <w:ilvl w:val="0"/>
          <w:numId w:val="14"/>
        </w:numPr>
        <w:spacing w:after="0" w:line="360" w:lineRule="auto"/>
        <w:jc w:val="both"/>
        <w:rPr>
          <w:rFonts w:ascii="Book Antiqua" w:hAnsi="Book Antiqua"/>
          <w:b/>
          <w:i/>
          <w:sz w:val="24"/>
          <w:szCs w:val="24"/>
          <w:lang w:val="fr-FR"/>
        </w:rPr>
      </w:pPr>
      <w:r>
        <w:rPr>
          <w:rFonts w:ascii="Book Antiqua" w:hAnsi="Book Antiqua"/>
          <w:b/>
          <w:i/>
          <w:sz w:val="24"/>
          <w:szCs w:val="24"/>
          <w:lang w:val="fr-FR"/>
        </w:rPr>
        <w:t xml:space="preserve">Collaboration entre la Commission </w:t>
      </w:r>
      <w:r w:rsidR="00B01C19">
        <w:rPr>
          <w:rFonts w:ascii="Book Antiqua" w:hAnsi="Book Antiqua"/>
          <w:b/>
          <w:i/>
          <w:sz w:val="24"/>
          <w:szCs w:val="24"/>
          <w:lang w:val="fr-FR"/>
        </w:rPr>
        <w:t xml:space="preserve">africaine </w:t>
      </w:r>
      <w:r>
        <w:rPr>
          <w:rFonts w:ascii="Book Antiqua" w:hAnsi="Book Antiqua"/>
          <w:b/>
          <w:i/>
          <w:sz w:val="24"/>
          <w:szCs w:val="24"/>
          <w:lang w:val="fr-FR"/>
        </w:rPr>
        <w:t xml:space="preserve">avec les mécanismes </w:t>
      </w:r>
      <w:r w:rsidR="003061A9" w:rsidRPr="00FE64AC">
        <w:rPr>
          <w:rFonts w:ascii="Book Antiqua" w:hAnsi="Book Antiqua"/>
          <w:b/>
          <w:i/>
          <w:sz w:val="24"/>
          <w:szCs w:val="24"/>
          <w:lang w:val="fr-FR"/>
        </w:rPr>
        <w:t xml:space="preserve">onusiens </w:t>
      </w:r>
    </w:p>
    <w:p w:rsidR="0066153A" w:rsidRPr="00FE64AC" w:rsidRDefault="0066153A" w:rsidP="0066153A">
      <w:pPr>
        <w:pStyle w:val="ListParagraph"/>
        <w:spacing w:after="0" w:line="360" w:lineRule="auto"/>
        <w:ind w:left="1440"/>
        <w:jc w:val="both"/>
        <w:rPr>
          <w:rFonts w:ascii="Book Antiqua" w:hAnsi="Book Antiqua"/>
          <w:b/>
          <w:i/>
          <w:sz w:val="24"/>
          <w:szCs w:val="24"/>
          <w:lang w:val="fr-FR"/>
        </w:rPr>
      </w:pPr>
    </w:p>
    <w:p w:rsidR="00711149" w:rsidRPr="00FE64AC" w:rsidRDefault="00870A6E" w:rsidP="00354F81">
      <w:pPr>
        <w:pStyle w:val="ListParagraph"/>
        <w:numPr>
          <w:ilvl w:val="0"/>
          <w:numId w:val="3"/>
        </w:numPr>
        <w:spacing w:after="0" w:line="360" w:lineRule="auto"/>
        <w:jc w:val="both"/>
        <w:rPr>
          <w:rFonts w:ascii="Book Antiqua" w:hAnsi="Book Antiqua"/>
          <w:sz w:val="24"/>
          <w:szCs w:val="24"/>
          <w:lang w:val="fr-FR"/>
        </w:rPr>
      </w:pPr>
      <w:r>
        <w:rPr>
          <w:rFonts w:ascii="Book Antiqua" w:hAnsi="Book Antiqua"/>
          <w:sz w:val="24"/>
          <w:szCs w:val="24"/>
          <w:lang w:val="fr-FR"/>
        </w:rPr>
        <w:t xml:space="preserve">La relation entre la Commission africaine avec les autres mécanismes en dehors du continent </w:t>
      </w:r>
      <w:r w:rsidR="003061A9" w:rsidRPr="00FE64AC">
        <w:rPr>
          <w:rFonts w:ascii="Book Antiqua" w:hAnsi="Book Antiqua"/>
          <w:sz w:val="24"/>
          <w:szCs w:val="24"/>
          <w:lang w:val="fr-FR"/>
        </w:rPr>
        <w:t xml:space="preserve">s’est progressivement renforcée au cours des années avec diverses initiatives visant à soutenir et à consolider les rapports qui existent entre eux. </w:t>
      </w:r>
    </w:p>
    <w:p w:rsidR="00711149" w:rsidRPr="00FE64AC" w:rsidRDefault="00711149" w:rsidP="00354F81">
      <w:pPr>
        <w:pStyle w:val="ListParagraph"/>
        <w:spacing w:after="0" w:line="360" w:lineRule="auto"/>
        <w:ind w:left="1080"/>
        <w:jc w:val="both"/>
        <w:rPr>
          <w:rFonts w:ascii="Book Antiqua" w:hAnsi="Book Antiqua"/>
          <w:sz w:val="24"/>
          <w:szCs w:val="24"/>
          <w:lang w:val="fr-FR"/>
        </w:rPr>
      </w:pPr>
    </w:p>
    <w:p w:rsidR="00711149" w:rsidRPr="00FE64AC" w:rsidRDefault="003061A9"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 xml:space="preserve">Je citerai à titre d’exemple la relation existant entre la Commission et le Conseil des Droits de l’homme à travers le Haut-Commissariat des Nations Unies aux droits de l’homme. </w:t>
      </w:r>
      <w:r w:rsidR="00BE7B95">
        <w:rPr>
          <w:rFonts w:ascii="Book Antiqua" w:hAnsi="Book Antiqua"/>
          <w:sz w:val="24"/>
          <w:szCs w:val="24"/>
          <w:lang w:val="fr-FR"/>
        </w:rPr>
        <w:t>C</w:t>
      </w:r>
      <w:r w:rsidRPr="00FE64AC">
        <w:rPr>
          <w:rFonts w:ascii="Book Antiqua" w:hAnsi="Book Antiqua"/>
          <w:sz w:val="24"/>
          <w:szCs w:val="24"/>
          <w:lang w:val="fr-FR"/>
        </w:rPr>
        <w:t xml:space="preserve">ette relation </w:t>
      </w:r>
      <w:r w:rsidR="00A808DA" w:rsidRPr="00FE64AC">
        <w:rPr>
          <w:rFonts w:ascii="Book Antiqua" w:hAnsi="Book Antiqua"/>
          <w:sz w:val="24"/>
          <w:szCs w:val="24"/>
          <w:lang w:val="fr-FR"/>
        </w:rPr>
        <w:t>informelle</w:t>
      </w:r>
      <w:r w:rsidR="00BE7B95">
        <w:rPr>
          <w:rFonts w:ascii="Book Antiqua" w:hAnsi="Book Antiqua"/>
          <w:sz w:val="24"/>
          <w:szCs w:val="24"/>
          <w:lang w:val="fr-FR"/>
        </w:rPr>
        <w:t xml:space="preserve"> par le passé </w:t>
      </w:r>
      <w:r w:rsidR="00A808DA" w:rsidRPr="00FE64AC">
        <w:rPr>
          <w:rFonts w:ascii="Book Antiqua" w:hAnsi="Book Antiqua"/>
          <w:sz w:val="24"/>
          <w:szCs w:val="24"/>
          <w:lang w:val="fr-FR"/>
        </w:rPr>
        <w:t>a été matérialisée</w:t>
      </w:r>
      <w:r w:rsidRPr="00FE64AC">
        <w:rPr>
          <w:rFonts w:ascii="Book Antiqua" w:hAnsi="Book Antiqua"/>
          <w:sz w:val="24"/>
          <w:szCs w:val="24"/>
          <w:lang w:val="fr-FR"/>
        </w:rPr>
        <w:t xml:space="preserve"> par l’adoption en janvier 2012 à </w:t>
      </w:r>
      <w:proofErr w:type="spellStart"/>
      <w:r w:rsidRPr="00FE64AC">
        <w:rPr>
          <w:rFonts w:ascii="Book Antiqua" w:hAnsi="Book Antiqua"/>
          <w:sz w:val="24"/>
          <w:szCs w:val="24"/>
          <w:lang w:val="fr-FR"/>
        </w:rPr>
        <w:t>Addis</w:t>
      </w:r>
      <w:proofErr w:type="spellEnd"/>
      <w:r w:rsidRPr="00FE64AC">
        <w:rPr>
          <w:rFonts w:ascii="Book Antiqua" w:hAnsi="Book Antiqua"/>
          <w:sz w:val="24"/>
          <w:szCs w:val="24"/>
          <w:lang w:val="fr-FR"/>
        </w:rPr>
        <w:t xml:space="preserve"> </w:t>
      </w:r>
      <w:proofErr w:type="spellStart"/>
      <w:r w:rsidRPr="00FE64AC">
        <w:rPr>
          <w:rFonts w:ascii="Book Antiqua" w:hAnsi="Book Antiqua"/>
          <w:sz w:val="24"/>
          <w:szCs w:val="24"/>
          <w:lang w:val="fr-FR"/>
        </w:rPr>
        <w:t>Abeba</w:t>
      </w:r>
      <w:proofErr w:type="spellEnd"/>
      <w:r w:rsidRPr="00FE64AC">
        <w:rPr>
          <w:rFonts w:ascii="Book Antiqua" w:hAnsi="Book Antiqua"/>
          <w:sz w:val="24"/>
          <w:szCs w:val="24"/>
          <w:lang w:val="fr-FR"/>
        </w:rPr>
        <w:t xml:space="preserve"> d’une  feuille de route communément appelé « la Feuille de Route d’</w:t>
      </w:r>
      <w:proofErr w:type="spellStart"/>
      <w:r w:rsidRPr="00FE64AC">
        <w:rPr>
          <w:rFonts w:ascii="Book Antiqua" w:hAnsi="Book Antiqua"/>
          <w:sz w:val="24"/>
          <w:szCs w:val="24"/>
          <w:lang w:val="fr-FR"/>
        </w:rPr>
        <w:t>Addis</w:t>
      </w:r>
      <w:proofErr w:type="spellEnd"/>
      <w:r w:rsidRPr="00FE64AC">
        <w:rPr>
          <w:rFonts w:ascii="Book Antiqua" w:hAnsi="Book Antiqua"/>
          <w:sz w:val="24"/>
          <w:szCs w:val="24"/>
          <w:lang w:val="fr-FR"/>
        </w:rPr>
        <w:t xml:space="preserve"> </w:t>
      </w:r>
      <w:proofErr w:type="spellStart"/>
      <w:r w:rsidRPr="00FE64AC">
        <w:rPr>
          <w:rFonts w:ascii="Book Antiqua" w:hAnsi="Book Antiqua"/>
          <w:sz w:val="24"/>
          <w:szCs w:val="24"/>
          <w:lang w:val="fr-FR"/>
        </w:rPr>
        <w:t>Abeba</w:t>
      </w:r>
      <w:proofErr w:type="spellEnd"/>
      <w:r w:rsidRPr="00FE64AC">
        <w:rPr>
          <w:rFonts w:ascii="Book Antiqua" w:hAnsi="Book Antiqua"/>
          <w:sz w:val="24"/>
          <w:szCs w:val="24"/>
          <w:lang w:val="fr-FR"/>
        </w:rPr>
        <w:t> » à l’issue d’un dialogue entre les titulaires de mandat au titre des procédures spéciales du Haut Conseil des droits de l’homme</w:t>
      </w:r>
      <w:r w:rsidR="00BE7B95">
        <w:rPr>
          <w:rFonts w:ascii="Book Antiqua" w:hAnsi="Book Antiqua"/>
          <w:sz w:val="24"/>
          <w:szCs w:val="24"/>
          <w:lang w:val="fr-FR"/>
        </w:rPr>
        <w:t xml:space="preserve"> des Nations Unies</w:t>
      </w:r>
      <w:r w:rsidRPr="00FE64AC">
        <w:rPr>
          <w:rFonts w:ascii="Book Antiqua" w:hAnsi="Book Antiqua"/>
          <w:sz w:val="24"/>
          <w:szCs w:val="24"/>
          <w:lang w:val="fr-FR"/>
        </w:rPr>
        <w:t xml:space="preserve"> et les mécanismes spéciaux de la Commission.</w:t>
      </w:r>
    </w:p>
    <w:p w:rsidR="00711149" w:rsidRPr="00FE64AC" w:rsidRDefault="00711149" w:rsidP="00354F81">
      <w:pPr>
        <w:pStyle w:val="ListParagraph"/>
        <w:spacing w:after="0" w:line="360" w:lineRule="auto"/>
        <w:ind w:left="1080"/>
        <w:jc w:val="both"/>
        <w:rPr>
          <w:rFonts w:ascii="Book Antiqua" w:hAnsi="Book Antiqua"/>
          <w:sz w:val="24"/>
          <w:szCs w:val="24"/>
          <w:lang w:val="fr-FR"/>
        </w:rPr>
      </w:pPr>
    </w:p>
    <w:p w:rsidR="00A808DA" w:rsidRPr="00FE64AC" w:rsidRDefault="003061A9" w:rsidP="00354F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 xml:space="preserve">La mise en œuvre de cette feuille de route qui continue jusqu’à ce jour a permis aux deux organes de renforcer la collaboration entre les titulaires de mandat au titre des procédures spéciales dans l’exécution de leurs mandats dont l'objectif commun est de </w:t>
      </w:r>
      <w:r w:rsidR="00711149" w:rsidRPr="00FE64AC">
        <w:rPr>
          <w:rFonts w:ascii="Book Antiqua" w:hAnsi="Book Antiqua"/>
          <w:sz w:val="24"/>
          <w:szCs w:val="24"/>
          <w:lang w:val="fr-FR"/>
        </w:rPr>
        <w:t xml:space="preserve">promouvoir et </w:t>
      </w:r>
      <w:r w:rsidRPr="00FE64AC">
        <w:rPr>
          <w:rFonts w:ascii="Book Antiqua" w:hAnsi="Book Antiqua"/>
          <w:sz w:val="24"/>
          <w:szCs w:val="24"/>
          <w:lang w:val="fr-FR"/>
        </w:rPr>
        <w:t xml:space="preserve">protéger les droits de l'homme, notamment par le partage </w:t>
      </w:r>
      <w:r w:rsidR="00791201" w:rsidRPr="00FE64AC">
        <w:rPr>
          <w:rFonts w:ascii="Book Antiqua" w:hAnsi="Book Antiqua"/>
          <w:sz w:val="24"/>
          <w:szCs w:val="24"/>
          <w:lang w:val="fr-FR"/>
        </w:rPr>
        <w:t xml:space="preserve">systématique </w:t>
      </w:r>
      <w:r w:rsidRPr="00FE64AC">
        <w:rPr>
          <w:rFonts w:ascii="Book Antiqua" w:hAnsi="Book Antiqua"/>
          <w:sz w:val="24"/>
          <w:szCs w:val="24"/>
          <w:lang w:val="fr-FR"/>
        </w:rPr>
        <w:t xml:space="preserve">d’information, l’organisation des missions et activités </w:t>
      </w:r>
      <w:r w:rsidRPr="00FE64AC">
        <w:rPr>
          <w:rFonts w:ascii="Book Antiqua" w:hAnsi="Book Antiqua"/>
          <w:sz w:val="24"/>
          <w:szCs w:val="24"/>
          <w:lang w:val="fr-FR"/>
        </w:rPr>
        <w:lastRenderedPageBreak/>
        <w:t>conjointes</w:t>
      </w:r>
      <w:r w:rsidR="00791201">
        <w:rPr>
          <w:rStyle w:val="FootnoteReference"/>
          <w:rFonts w:ascii="Book Antiqua" w:hAnsi="Book Antiqua"/>
          <w:sz w:val="24"/>
          <w:szCs w:val="24"/>
          <w:lang w:val="fr-FR"/>
        </w:rPr>
        <w:footnoteReference w:id="10"/>
      </w:r>
      <w:r w:rsidRPr="00FE64AC">
        <w:rPr>
          <w:rFonts w:ascii="Book Antiqua" w:hAnsi="Book Antiqua"/>
          <w:sz w:val="24"/>
          <w:szCs w:val="24"/>
          <w:lang w:val="fr-FR"/>
        </w:rPr>
        <w:t>, la publication des déclarations et communiqués conjoints</w:t>
      </w:r>
      <w:r w:rsidR="00412AAC">
        <w:rPr>
          <w:rStyle w:val="FootnoteReference"/>
          <w:rFonts w:ascii="Book Antiqua" w:hAnsi="Book Antiqua"/>
          <w:sz w:val="24"/>
          <w:szCs w:val="24"/>
          <w:lang w:val="fr-FR"/>
        </w:rPr>
        <w:footnoteReference w:id="11"/>
      </w:r>
      <w:r w:rsidR="00711149" w:rsidRPr="00FE64AC">
        <w:rPr>
          <w:rFonts w:ascii="Book Antiqua" w:hAnsi="Book Antiqua"/>
          <w:sz w:val="24"/>
          <w:szCs w:val="24"/>
          <w:lang w:val="fr-FR"/>
        </w:rPr>
        <w:t>, l’élaboration d’appels urgents conjoints</w:t>
      </w:r>
      <w:r w:rsidRPr="00FE64AC">
        <w:rPr>
          <w:rFonts w:ascii="Book Antiqua" w:hAnsi="Book Antiqua"/>
          <w:sz w:val="24"/>
          <w:szCs w:val="24"/>
          <w:lang w:val="fr-FR"/>
        </w:rPr>
        <w:t xml:space="preserve">.  </w:t>
      </w:r>
    </w:p>
    <w:p w:rsidR="00A808DA" w:rsidRPr="00FE64AC" w:rsidRDefault="00A808DA" w:rsidP="00354F81">
      <w:pPr>
        <w:pStyle w:val="ListParagraph"/>
        <w:spacing w:after="0" w:line="360" w:lineRule="auto"/>
        <w:ind w:left="1080"/>
        <w:jc w:val="both"/>
        <w:rPr>
          <w:rFonts w:ascii="Book Antiqua" w:hAnsi="Book Antiqua"/>
          <w:sz w:val="24"/>
          <w:szCs w:val="24"/>
          <w:lang w:val="fr-FR"/>
        </w:rPr>
      </w:pPr>
    </w:p>
    <w:p w:rsidR="00A64CC8" w:rsidRDefault="007D7A9C" w:rsidP="00FE64AC">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 xml:space="preserve">La collaboration avec les mécanismes onusiens existe également dans le domaine </w:t>
      </w:r>
      <w:r w:rsidR="00A808DA" w:rsidRPr="00FE64AC">
        <w:rPr>
          <w:rFonts w:ascii="Book Antiqua" w:hAnsi="Book Antiqua"/>
          <w:sz w:val="24"/>
          <w:szCs w:val="24"/>
          <w:lang w:val="fr-FR"/>
        </w:rPr>
        <w:t>contentieux</w:t>
      </w:r>
      <w:r w:rsidRPr="00FE64AC">
        <w:rPr>
          <w:rFonts w:ascii="Book Antiqua" w:hAnsi="Book Antiqua"/>
          <w:sz w:val="24"/>
          <w:szCs w:val="24"/>
          <w:lang w:val="fr-FR"/>
        </w:rPr>
        <w:t xml:space="preserve">, notamment par l'échange d’informations qui pourraient être utiles aux deux mécanismes de droits de l'homme concernant les plaintes individuelles qui leur sont soumises en </w:t>
      </w:r>
      <w:r w:rsidRPr="00FE64AC">
        <w:rPr>
          <w:rFonts w:ascii="Book Antiqua" w:hAnsi="Book Antiqua" w:cs="Arial"/>
          <w:sz w:val="24"/>
          <w:szCs w:val="24"/>
          <w:lang w:val="fr-FR"/>
        </w:rPr>
        <w:t>vue de vérifier que les plaintes soumises n’ont pas déjà été réglées ou sont pendantes devant une autre instance. Cet échange d’information est facilité par des points focaux qui ont été désignés a</w:t>
      </w:r>
      <w:r w:rsidR="00A64CC8" w:rsidRPr="00FE64AC">
        <w:rPr>
          <w:rFonts w:ascii="Book Antiqua" w:hAnsi="Book Antiqua"/>
          <w:sz w:val="24"/>
          <w:szCs w:val="24"/>
          <w:lang w:val="fr-FR"/>
        </w:rPr>
        <w:t xml:space="preserve">u niveau de la Commission </w:t>
      </w:r>
      <w:r w:rsidRPr="00FE64AC">
        <w:rPr>
          <w:rFonts w:ascii="Book Antiqua" w:hAnsi="Book Antiqua"/>
          <w:sz w:val="24"/>
          <w:szCs w:val="24"/>
          <w:lang w:val="fr-FR"/>
        </w:rPr>
        <w:t xml:space="preserve">africaine </w:t>
      </w:r>
      <w:r w:rsidR="00A808DA" w:rsidRPr="00FE64AC">
        <w:rPr>
          <w:rFonts w:ascii="Book Antiqua" w:hAnsi="Book Antiqua"/>
          <w:sz w:val="24"/>
          <w:szCs w:val="24"/>
          <w:lang w:val="fr-FR"/>
        </w:rPr>
        <w:t>et de</w:t>
      </w:r>
      <w:r w:rsidR="00A64CC8" w:rsidRPr="00FE64AC">
        <w:rPr>
          <w:rFonts w:ascii="Book Antiqua" w:hAnsi="Book Antiqua"/>
          <w:sz w:val="24"/>
          <w:szCs w:val="24"/>
          <w:lang w:val="fr-FR"/>
        </w:rPr>
        <w:t xml:space="preserve"> la Section de pétitions et de demande de renseignements de l'Office du Haut -Commissariat des Nations Unies aux droits de l'homme, </w:t>
      </w:r>
      <w:r w:rsidR="00A808DA" w:rsidRPr="00FE64AC">
        <w:rPr>
          <w:rFonts w:ascii="Book Antiqua" w:hAnsi="Book Antiqua"/>
          <w:sz w:val="24"/>
          <w:szCs w:val="24"/>
          <w:lang w:val="fr-FR"/>
        </w:rPr>
        <w:t xml:space="preserve">section </w:t>
      </w:r>
      <w:r w:rsidR="00A64CC8" w:rsidRPr="00FE64AC">
        <w:rPr>
          <w:rFonts w:ascii="Book Antiqua" w:hAnsi="Book Antiqua"/>
          <w:sz w:val="24"/>
          <w:szCs w:val="24"/>
          <w:lang w:val="fr-FR"/>
        </w:rPr>
        <w:t>en charge du traitement des plaintes individuelles pour violations des droits de l'homme soumis aux différents comités (Comité des droits de l'homme,</w:t>
      </w:r>
      <w:r w:rsidR="00D9738E" w:rsidRPr="00FE64AC">
        <w:rPr>
          <w:rFonts w:ascii="Book Antiqua" w:hAnsi="Book Antiqua"/>
          <w:sz w:val="24"/>
          <w:szCs w:val="24"/>
          <w:lang w:val="fr-FR"/>
        </w:rPr>
        <w:t xml:space="preserve"> Comité contre la torture , </w:t>
      </w:r>
      <w:proofErr w:type="spellStart"/>
      <w:r w:rsidR="00D9738E" w:rsidRPr="00FE64AC">
        <w:rPr>
          <w:rFonts w:ascii="Book Antiqua" w:hAnsi="Book Antiqua"/>
          <w:sz w:val="24"/>
          <w:szCs w:val="24"/>
          <w:lang w:val="fr-FR"/>
        </w:rPr>
        <w:t>etc</w:t>
      </w:r>
      <w:proofErr w:type="spellEnd"/>
      <w:r w:rsidR="00A64CC8" w:rsidRPr="00FE64AC">
        <w:rPr>
          <w:rFonts w:ascii="Book Antiqua" w:hAnsi="Book Antiqua"/>
          <w:sz w:val="24"/>
          <w:szCs w:val="24"/>
          <w:lang w:val="fr-FR"/>
        </w:rPr>
        <w:t xml:space="preserve">). </w:t>
      </w:r>
    </w:p>
    <w:p w:rsidR="00530BAA" w:rsidRPr="00FE64AC" w:rsidRDefault="00530BAA" w:rsidP="00354F81">
      <w:pPr>
        <w:spacing w:after="0" w:line="360" w:lineRule="auto"/>
        <w:jc w:val="both"/>
        <w:rPr>
          <w:rFonts w:ascii="Book Antiqua" w:hAnsi="Book Antiqua"/>
          <w:sz w:val="24"/>
          <w:szCs w:val="24"/>
          <w:lang w:val="fr-FR"/>
        </w:rPr>
      </w:pPr>
    </w:p>
    <w:p w:rsidR="00D157BE" w:rsidRPr="00FE64AC" w:rsidRDefault="00063CA0" w:rsidP="00354F81">
      <w:pPr>
        <w:spacing w:after="0" w:line="360" w:lineRule="auto"/>
        <w:jc w:val="both"/>
        <w:rPr>
          <w:rFonts w:ascii="Book Antiqua" w:hAnsi="Book Antiqua"/>
          <w:b/>
          <w:sz w:val="24"/>
          <w:szCs w:val="24"/>
          <w:lang w:val="fr-FR"/>
        </w:rPr>
      </w:pPr>
      <w:r w:rsidRPr="00FE64AC">
        <w:rPr>
          <w:rFonts w:ascii="Book Antiqua" w:hAnsi="Book Antiqua"/>
          <w:b/>
          <w:sz w:val="24"/>
          <w:szCs w:val="24"/>
          <w:lang w:val="fr-FR"/>
        </w:rPr>
        <w:t xml:space="preserve">IV. </w:t>
      </w:r>
      <w:r w:rsidR="00F71493" w:rsidRPr="00FE64AC">
        <w:rPr>
          <w:rFonts w:ascii="Book Antiqua" w:hAnsi="Book Antiqua"/>
          <w:b/>
          <w:sz w:val="24"/>
          <w:szCs w:val="24"/>
          <w:lang w:val="fr-FR"/>
        </w:rPr>
        <w:t>C</w:t>
      </w:r>
      <w:r w:rsidR="00EB3580" w:rsidRPr="00FE64AC">
        <w:rPr>
          <w:rFonts w:ascii="Book Antiqua" w:hAnsi="Book Antiqua"/>
          <w:b/>
          <w:sz w:val="24"/>
          <w:szCs w:val="24"/>
          <w:lang w:val="fr-FR"/>
        </w:rPr>
        <w:t>onclusion</w:t>
      </w:r>
    </w:p>
    <w:p w:rsidR="00530BAA" w:rsidRPr="00FE64AC" w:rsidRDefault="00530BAA" w:rsidP="00354F81">
      <w:pPr>
        <w:spacing w:after="0" w:line="360" w:lineRule="auto"/>
        <w:jc w:val="both"/>
        <w:rPr>
          <w:rFonts w:ascii="Book Antiqua" w:hAnsi="Book Antiqua"/>
          <w:sz w:val="24"/>
          <w:szCs w:val="24"/>
          <w:lang w:val="fr-FR"/>
        </w:rPr>
      </w:pPr>
    </w:p>
    <w:p w:rsidR="00DF58D1" w:rsidRPr="00FE64AC" w:rsidRDefault="00DF58D1" w:rsidP="00500E81">
      <w:pPr>
        <w:pStyle w:val="ListParagraph"/>
        <w:numPr>
          <w:ilvl w:val="0"/>
          <w:numId w:val="3"/>
        </w:numPr>
        <w:spacing w:after="0" w:line="360" w:lineRule="auto"/>
        <w:jc w:val="both"/>
        <w:rPr>
          <w:rFonts w:ascii="Book Antiqua" w:hAnsi="Book Antiqua"/>
          <w:sz w:val="24"/>
          <w:szCs w:val="24"/>
          <w:lang w:val="fr-FR"/>
        </w:rPr>
      </w:pPr>
      <w:r w:rsidRPr="00FE64AC">
        <w:rPr>
          <w:rFonts w:ascii="Book Antiqua" w:hAnsi="Book Antiqua"/>
          <w:sz w:val="24"/>
          <w:szCs w:val="24"/>
          <w:lang w:val="fr-FR"/>
        </w:rPr>
        <w:t>Chaque organe a ses forces et ses faiblesses</w:t>
      </w:r>
      <w:r w:rsidR="00CC5AB1">
        <w:rPr>
          <w:rFonts w:ascii="Book Antiqua" w:hAnsi="Book Antiqua"/>
          <w:sz w:val="24"/>
          <w:szCs w:val="24"/>
          <w:lang w:val="fr-FR"/>
        </w:rPr>
        <w:t xml:space="preserve"> ; mais à </w:t>
      </w:r>
      <w:r w:rsidRPr="00FE64AC">
        <w:rPr>
          <w:rFonts w:ascii="Book Antiqua" w:hAnsi="Book Antiqua"/>
          <w:sz w:val="24"/>
          <w:szCs w:val="24"/>
          <w:lang w:val="fr-FR"/>
        </w:rPr>
        <w:t xml:space="preserve">travers </w:t>
      </w:r>
      <w:r w:rsidR="00CC5AB1">
        <w:rPr>
          <w:rFonts w:ascii="Book Antiqua" w:hAnsi="Book Antiqua"/>
          <w:sz w:val="24"/>
          <w:szCs w:val="24"/>
          <w:lang w:val="fr-FR"/>
        </w:rPr>
        <w:t xml:space="preserve">une bonne </w:t>
      </w:r>
      <w:r w:rsidRPr="00FE64AC">
        <w:rPr>
          <w:rFonts w:ascii="Book Antiqua" w:hAnsi="Book Antiqua"/>
          <w:sz w:val="24"/>
          <w:szCs w:val="24"/>
          <w:lang w:val="fr-FR"/>
        </w:rPr>
        <w:t xml:space="preserve"> collaboration</w:t>
      </w:r>
      <w:r w:rsidR="00CC5AB1">
        <w:rPr>
          <w:rFonts w:ascii="Book Antiqua" w:hAnsi="Book Antiqua"/>
          <w:sz w:val="24"/>
          <w:szCs w:val="24"/>
          <w:lang w:val="fr-FR"/>
        </w:rPr>
        <w:t xml:space="preserve"> et des échanges d’expériences</w:t>
      </w:r>
      <w:r w:rsidRPr="00FE64AC">
        <w:rPr>
          <w:rFonts w:ascii="Book Antiqua" w:hAnsi="Book Antiqua"/>
          <w:sz w:val="24"/>
          <w:szCs w:val="24"/>
          <w:lang w:val="fr-FR"/>
        </w:rPr>
        <w:t xml:space="preserve">, les systèmes sous régionaux, régionaux et internationaux de protection des droits de l’homme peuvent </w:t>
      </w:r>
      <w:r w:rsidR="00CC5AB1">
        <w:rPr>
          <w:rFonts w:ascii="Book Antiqua" w:hAnsi="Book Antiqua"/>
          <w:sz w:val="24"/>
          <w:szCs w:val="24"/>
          <w:lang w:val="fr-FR"/>
        </w:rPr>
        <w:t xml:space="preserve">optimiser leur rendement et leur efficacité pour la mise en œuvre de leurs mandats respectifs. Ils peuvent ainsi aboutir à une synergie </w:t>
      </w:r>
      <w:r w:rsidRPr="00FE64AC">
        <w:rPr>
          <w:rFonts w:ascii="Book Antiqua" w:hAnsi="Book Antiqua" w:cs="NimbusSansL"/>
          <w:sz w:val="24"/>
          <w:szCs w:val="24"/>
          <w:lang w:val="fr-FR" w:eastAsia="fr-FR"/>
        </w:rPr>
        <w:t xml:space="preserve">d’actions capable d’influer positivement sur </w:t>
      </w:r>
      <w:r w:rsidR="00CC5AB1">
        <w:rPr>
          <w:rFonts w:ascii="Book Antiqua" w:hAnsi="Book Antiqua" w:cs="NimbusSansL"/>
          <w:sz w:val="24"/>
          <w:szCs w:val="24"/>
          <w:lang w:val="fr-FR" w:eastAsia="fr-FR"/>
        </w:rPr>
        <w:t xml:space="preserve">les défis liés à </w:t>
      </w:r>
      <w:r w:rsidRPr="00FE64AC">
        <w:rPr>
          <w:rFonts w:ascii="Book Antiqua" w:hAnsi="Book Antiqua" w:cs="NimbusSansL"/>
          <w:sz w:val="24"/>
          <w:szCs w:val="24"/>
          <w:lang w:val="fr-FR" w:eastAsia="fr-FR"/>
        </w:rPr>
        <w:t>la protection des droits de l’homme.</w:t>
      </w:r>
      <w:r w:rsidRPr="00FE64AC">
        <w:rPr>
          <w:rFonts w:ascii="Book Antiqua" w:hAnsi="Book Antiqua"/>
          <w:sz w:val="24"/>
          <w:szCs w:val="24"/>
          <w:lang w:val="fr-FR"/>
        </w:rPr>
        <w:t xml:space="preserve"> </w:t>
      </w:r>
    </w:p>
    <w:p w:rsidR="00DF58D1" w:rsidRPr="00FE64AC" w:rsidRDefault="00DF58D1" w:rsidP="00DF58D1">
      <w:pPr>
        <w:pStyle w:val="ListParagraph"/>
        <w:spacing w:after="0" w:line="360" w:lineRule="auto"/>
        <w:ind w:left="1080"/>
        <w:jc w:val="both"/>
        <w:rPr>
          <w:rFonts w:ascii="Book Antiqua" w:hAnsi="Book Antiqua"/>
          <w:sz w:val="24"/>
          <w:szCs w:val="24"/>
          <w:lang w:val="fr-FR"/>
        </w:rPr>
      </w:pPr>
    </w:p>
    <w:p w:rsidR="00870A6E" w:rsidRDefault="00C17055" w:rsidP="00870A6E">
      <w:pPr>
        <w:pStyle w:val="ListParagraph"/>
        <w:numPr>
          <w:ilvl w:val="0"/>
          <w:numId w:val="3"/>
        </w:numPr>
        <w:spacing w:after="0" w:line="360" w:lineRule="auto"/>
        <w:jc w:val="both"/>
        <w:rPr>
          <w:rFonts w:ascii="Book Antiqua" w:hAnsi="Book Antiqua"/>
          <w:sz w:val="24"/>
          <w:szCs w:val="24"/>
          <w:lang w:val="fr-FR"/>
        </w:rPr>
      </w:pPr>
      <w:r w:rsidRPr="00140994">
        <w:rPr>
          <w:rFonts w:ascii="Book Antiqua" w:hAnsi="Book Antiqua" w:cs="NimbusSansL"/>
          <w:sz w:val="24"/>
          <w:szCs w:val="24"/>
          <w:lang w:val="fr-FR" w:eastAsia="fr-FR"/>
        </w:rPr>
        <w:t xml:space="preserve">Le renforcement de la collaboration entre les différents </w:t>
      </w:r>
      <w:r w:rsidR="00DF58D1" w:rsidRPr="00140994">
        <w:rPr>
          <w:rFonts w:ascii="Book Antiqua" w:hAnsi="Book Antiqua" w:cs="NimbusSansL"/>
          <w:sz w:val="24"/>
          <w:szCs w:val="24"/>
          <w:lang w:val="fr-FR" w:eastAsia="fr-FR"/>
        </w:rPr>
        <w:t>mécanismes</w:t>
      </w:r>
      <w:r w:rsidRPr="00140994">
        <w:rPr>
          <w:rFonts w:ascii="Book Antiqua" w:hAnsi="Book Antiqua" w:cs="NimbusSansL"/>
          <w:sz w:val="24"/>
          <w:szCs w:val="24"/>
          <w:lang w:val="fr-FR" w:eastAsia="fr-FR"/>
        </w:rPr>
        <w:t xml:space="preserve"> </w:t>
      </w:r>
      <w:r w:rsidR="00E35F54">
        <w:rPr>
          <w:rFonts w:ascii="Book Antiqua" w:hAnsi="Book Antiqua" w:cs="NimbusSansL"/>
          <w:sz w:val="24"/>
          <w:szCs w:val="24"/>
          <w:lang w:val="fr-FR" w:eastAsia="fr-FR"/>
        </w:rPr>
        <w:t xml:space="preserve">de protection des droits de l’homme </w:t>
      </w:r>
      <w:r w:rsidR="00FE64AC" w:rsidRPr="00140994">
        <w:rPr>
          <w:rFonts w:ascii="Book Antiqua" w:hAnsi="Book Antiqua" w:cs="NimbusSansL"/>
          <w:sz w:val="24"/>
          <w:szCs w:val="24"/>
          <w:lang w:val="fr-FR" w:eastAsia="fr-FR"/>
        </w:rPr>
        <w:t xml:space="preserve">constitue </w:t>
      </w:r>
      <w:r w:rsidR="00140994" w:rsidRPr="00140994">
        <w:rPr>
          <w:rFonts w:ascii="Book Antiqua" w:hAnsi="Book Antiqua"/>
          <w:sz w:val="24"/>
          <w:szCs w:val="24"/>
          <w:lang w:val="fr-FR"/>
        </w:rPr>
        <w:t xml:space="preserve">un outil incontournable dans le </w:t>
      </w:r>
      <w:r w:rsidR="00140994" w:rsidRPr="00140994">
        <w:rPr>
          <w:rFonts w:ascii="Book Antiqua" w:hAnsi="Book Antiqua"/>
          <w:sz w:val="24"/>
          <w:szCs w:val="24"/>
          <w:lang w:val="fr-FR"/>
        </w:rPr>
        <w:lastRenderedPageBreak/>
        <w:t>cadr</w:t>
      </w:r>
      <w:r w:rsidR="00E35F54">
        <w:rPr>
          <w:rFonts w:ascii="Book Antiqua" w:hAnsi="Book Antiqua"/>
          <w:sz w:val="24"/>
          <w:szCs w:val="24"/>
          <w:lang w:val="fr-FR"/>
        </w:rPr>
        <w:t xml:space="preserve">e de l’exécution de leur mandat.  D’où </w:t>
      </w:r>
      <w:r w:rsidR="00140994" w:rsidRPr="00140994">
        <w:rPr>
          <w:rFonts w:ascii="Book Antiqua" w:hAnsi="Book Antiqua"/>
          <w:sz w:val="24"/>
          <w:szCs w:val="24"/>
          <w:lang w:val="fr-FR"/>
        </w:rPr>
        <w:t>la nécessité pour ce forum de continuer à identifier de plus en plus des mesures concrètes pouvant permettre de pérenniser et de renforcer la coopération existante entre différents mécanismes mais également le besoin d</w:t>
      </w:r>
      <w:r w:rsidR="00140994">
        <w:rPr>
          <w:rFonts w:ascii="Book Antiqua" w:hAnsi="Book Antiqua"/>
          <w:sz w:val="24"/>
          <w:szCs w:val="24"/>
          <w:lang w:val="fr-FR"/>
        </w:rPr>
        <w:t>e l</w:t>
      </w:r>
      <w:r w:rsidR="00140994" w:rsidRPr="00140994">
        <w:rPr>
          <w:rFonts w:ascii="Book Antiqua" w:hAnsi="Book Antiqua"/>
          <w:sz w:val="24"/>
          <w:szCs w:val="24"/>
          <w:lang w:val="fr-FR"/>
        </w:rPr>
        <w:t>’initier là où elle n’</w:t>
      </w:r>
      <w:r w:rsidR="001B779F">
        <w:rPr>
          <w:rFonts w:ascii="Book Antiqua" w:hAnsi="Book Antiqua"/>
          <w:sz w:val="24"/>
          <w:szCs w:val="24"/>
          <w:lang w:val="fr-FR"/>
        </w:rPr>
        <w:t>est</w:t>
      </w:r>
      <w:r w:rsidR="00140994" w:rsidRPr="00140994">
        <w:rPr>
          <w:rFonts w:ascii="Book Antiqua" w:hAnsi="Book Antiqua"/>
          <w:sz w:val="24"/>
          <w:szCs w:val="24"/>
          <w:lang w:val="fr-FR"/>
        </w:rPr>
        <w:t xml:space="preserve"> pas encore</w:t>
      </w:r>
      <w:r w:rsidR="001B779F">
        <w:rPr>
          <w:rFonts w:ascii="Book Antiqua" w:hAnsi="Book Antiqua"/>
          <w:sz w:val="24"/>
          <w:szCs w:val="24"/>
          <w:lang w:val="fr-FR"/>
        </w:rPr>
        <w:t xml:space="preserve"> établie.</w:t>
      </w:r>
    </w:p>
    <w:p w:rsidR="00870A6E" w:rsidRPr="00870A6E" w:rsidRDefault="00870A6E" w:rsidP="00870A6E">
      <w:pPr>
        <w:pStyle w:val="ListParagraph"/>
        <w:rPr>
          <w:rFonts w:ascii="Book Antiqua" w:hAnsi="Book Antiqua"/>
          <w:sz w:val="24"/>
          <w:szCs w:val="24"/>
          <w:lang w:val="fr-FR"/>
        </w:rPr>
      </w:pPr>
    </w:p>
    <w:p w:rsidR="00870A6E" w:rsidRDefault="00CC5AB1" w:rsidP="00870A6E">
      <w:pPr>
        <w:pStyle w:val="ListParagraph"/>
        <w:numPr>
          <w:ilvl w:val="0"/>
          <w:numId w:val="3"/>
        </w:numPr>
        <w:spacing w:after="0" w:line="360" w:lineRule="auto"/>
        <w:jc w:val="both"/>
        <w:rPr>
          <w:rFonts w:ascii="Book Antiqua" w:hAnsi="Book Antiqua"/>
          <w:sz w:val="24"/>
          <w:szCs w:val="24"/>
          <w:lang w:val="fr-FR"/>
        </w:rPr>
      </w:pPr>
      <w:r w:rsidRPr="00870A6E">
        <w:rPr>
          <w:rFonts w:ascii="Book Antiqua" w:hAnsi="Book Antiqua"/>
          <w:sz w:val="24"/>
          <w:szCs w:val="24"/>
          <w:lang w:val="fr-FR"/>
        </w:rPr>
        <w:t>Pour ma part, je voudrais déjà proposer quelques modèles de stratégies</w:t>
      </w:r>
      <w:r w:rsidR="00870A6E" w:rsidRPr="00870A6E">
        <w:rPr>
          <w:rFonts w:ascii="Book Antiqua" w:hAnsi="Book Antiqua"/>
          <w:sz w:val="24"/>
          <w:szCs w:val="24"/>
          <w:lang w:val="fr-FR"/>
        </w:rPr>
        <w:t>, notamment</w:t>
      </w:r>
      <w:r w:rsidRPr="00870A6E">
        <w:rPr>
          <w:rFonts w:ascii="Book Antiqua" w:hAnsi="Book Antiqua"/>
          <w:sz w:val="24"/>
          <w:szCs w:val="24"/>
          <w:lang w:val="fr-FR"/>
        </w:rPr>
        <w:t> continuer sur la même lanc</w:t>
      </w:r>
      <w:r w:rsidR="00870A6E" w:rsidRPr="00870A6E">
        <w:rPr>
          <w:rFonts w:ascii="Book Antiqua" w:hAnsi="Book Antiqua"/>
          <w:sz w:val="24"/>
          <w:szCs w:val="24"/>
          <w:lang w:val="fr-FR"/>
        </w:rPr>
        <w:t>é</w:t>
      </w:r>
      <w:r w:rsidRPr="00870A6E">
        <w:rPr>
          <w:rFonts w:ascii="Book Antiqua" w:hAnsi="Book Antiqua"/>
          <w:sz w:val="24"/>
          <w:szCs w:val="24"/>
          <w:lang w:val="fr-FR"/>
        </w:rPr>
        <w:t>e que cet évènement qui a pris essor depuis 2010.</w:t>
      </w:r>
      <w:r w:rsidR="00870A6E" w:rsidRPr="00870A6E">
        <w:rPr>
          <w:rFonts w:ascii="Book Antiqua" w:hAnsi="Book Antiqua"/>
          <w:sz w:val="24"/>
          <w:szCs w:val="24"/>
          <w:lang w:val="fr-FR"/>
        </w:rPr>
        <w:t xml:space="preserve"> </w:t>
      </w:r>
      <w:r w:rsidRPr="00870A6E">
        <w:rPr>
          <w:rFonts w:ascii="Book Antiqua" w:hAnsi="Book Antiqua"/>
          <w:sz w:val="24"/>
          <w:szCs w:val="24"/>
          <w:lang w:val="fr-FR"/>
        </w:rPr>
        <w:t>Il serait nécessaire de dupliquer le modèle de coopération inter</w:t>
      </w:r>
      <w:r w:rsidR="00870A6E">
        <w:rPr>
          <w:rFonts w:ascii="Book Antiqua" w:hAnsi="Book Antiqua"/>
          <w:sz w:val="24"/>
          <w:szCs w:val="24"/>
          <w:lang w:val="fr-FR"/>
        </w:rPr>
        <w:t xml:space="preserve"> </w:t>
      </w:r>
      <w:r w:rsidRPr="00870A6E">
        <w:rPr>
          <w:rFonts w:ascii="Book Antiqua" w:hAnsi="Book Antiqua"/>
          <w:sz w:val="24"/>
          <w:szCs w:val="24"/>
          <w:lang w:val="fr-FR"/>
        </w:rPr>
        <w:t>organ</w:t>
      </w:r>
      <w:r w:rsidR="00870A6E">
        <w:rPr>
          <w:rFonts w:ascii="Book Antiqua" w:hAnsi="Book Antiqua"/>
          <w:sz w:val="24"/>
          <w:szCs w:val="24"/>
          <w:lang w:val="fr-FR"/>
        </w:rPr>
        <w:t>es</w:t>
      </w:r>
      <w:r w:rsidRPr="00870A6E">
        <w:rPr>
          <w:rFonts w:ascii="Book Antiqua" w:hAnsi="Book Antiqua"/>
          <w:sz w:val="24"/>
          <w:szCs w:val="24"/>
          <w:lang w:val="fr-FR"/>
        </w:rPr>
        <w:t xml:space="preserve"> qui devra inclure par exemple et la liste n’est pas exhaustive les visites de travail et d’échange, les réunion de coordination, les programmes d’échange des juges et des commissaires avec le nécessaire accompagnement du Conseil des droits de l’Homme par le biais du </w:t>
      </w:r>
      <w:r w:rsidR="00B01C19">
        <w:rPr>
          <w:rFonts w:ascii="Book Antiqua" w:hAnsi="Book Antiqua"/>
          <w:sz w:val="24"/>
          <w:szCs w:val="24"/>
          <w:lang w:val="fr-FR"/>
        </w:rPr>
        <w:t xml:space="preserve">Haut- </w:t>
      </w:r>
      <w:r w:rsidRPr="00870A6E">
        <w:rPr>
          <w:rFonts w:ascii="Book Antiqua" w:hAnsi="Book Antiqua"/>
          <w:sz w:val="24"/>
          <w:szCs w:val="24"/>
          <w:lang w:val="fr-FR"/>
        </w:rPr>
        <w:t xml:space="preserve">Commissariat </w:t>
      </w:r>
      <w:r w:rsidR="00870A6E">
        <w:rPr>
          <w:rFonts w:ascii="Book Antiqua" w:hAnsi="Book Antiqua"/>
          <w:sz w:val="24"/>
          <w:szCs w:val="24"/>
          <w:lang w:val="fr-FR"/>
        </w:rPr>
        <w:t xml:space="preserve">des Nations Unies </w:t>
      </w:r>
      <w:r w:rsidRPr="00870A6E">
        <w:rPr>
          <w:rFonts w:ascii="Book Antiqua" w:hAnsi="Book Antiqua"/>
          <w:sz w:val="24"/>
          <w:szCs w:val="24"/>
          <w:lang w:val="fr-FR"/>
        </w:rPr>
        <w:t>aux droits de l’homme et d’autres partenaires acquit</w:t>
      </w:r>
      <w:r w:rsidR="00B01C19">
        <w:rPr>
          <w:rFonts w:ascii="Book Antiqua" w:hAnsi="Book Antiqua"/>
          <w:sz w:val="24"/>
          <w:szCs w:val="24"/>
          <w:lang w:val="fr-FR"/>
        </w:rPr>
        <w:t>s</w:t>
      </w:r>
      <w:r w:rsidRPr="00870A6E">
        <w:rPr>
          <w:rFonts w:ascii="Book Antiqua" w:hAnsi="Book Antiqua"/>
          <w:sz w:val="24"/>
          <w:szCs w:val="24"/>
          <w:lang w:val="fr-FR"/>
        </w:rPr>
        <w:t xml:space="preserve"> à la protection des droits de l’homme. </w:t>
      </w:r>
    </w:p>
    <w:p w:rsidR="00870A6E" w:rsidRPr="00870A6E" w:rsidRDefault="00870A6E" w:rsidP="00870A6E">
      <w:pPr>
        <w:pStyle w:val="ListParagraph"/>
        <w:rPr>
          <w:rFonts w:ascii="Book Antiqua" w:hAnsi="Book Antiqua"/>
          <w:sz w:val="24"/>
          <w:szCs w:val="24"/>
          <w:lang w:val="fr-FR"/>
        </w:rPr>
      </w:pPr>
    </w:p>
    <w:p w:rsidR="003D270F" w:rsidRPr="00870A6E" w:rsidRDefault="00DF58D1" w:rsidP="00870A6E">
      <w:pPr>
        <w:pStyle w:val="ListParagraph"/>
        <w:numPr>
          <w:ilvl w:val="0"/>
          <w:numId w:val="3"/>
        </w:numPr>
        <w:spacing w:after="0" w:line="360" w:lineRule="auto"/>
        <w:jc w:val="both"/>
        <w:rPr>
          <w:rFonts w:ascii="Book Antiqua" w:hAnsi="Book Antiqua"/>
          <w:sz w:val="24"/>
          <w:szCs w:val="24"/>
          <w:lang w:val="fr-FR"/>
        </w:rPr>
      </w:pPr>
      <w:r w:rsidRPr="00870A6E">
        <w:rPr>
          <w:rFonts w:ascii="Book Antiqua" w:hAnsi="Book Antiqua"/>
          <w:sz w:val="24"/>
          <w:szCs w:val="24"/>
          <w:lang w:val="fr-FR"/>
        </w:rPr>
        <w:t xml:space="preserve">Je ne saurais terminer </w:t>
      </w:r>
      <w:r w:rsidR="00AD139E" w:rsidRPr="00870A6E">
        <w:rPr>
          <w:rFonts w:ascii="Book Antiqua" w:hAnsi="Book Antiqua"/>
          <w:sz w:val="24"/>
          <w:szCs w:val="24"/>
          <w:lang w:val="fr-FR"/>
        </w:rPr>
        <w:t xml:space="preserve">mon propos </w:t>
      </w:r>
      <w:r w:rsidRPr="00870A6E">
        <w:rPr>
          <w:rFonts w:ascii="Book Antiqua" w:hAnsi="Book Antiqua"/>
          <w:sz w:val="24"/>
          <w:szCs w:val="24"/>
          <w:lang w:val="fr-FR"/>
        </w:rPr>
        <w:t>sans remercier les organisateurs de cet atelier</w:t>
      </w:r>
      <w:r w:rsidR="00870A6E">
        <w:rPr>
          <w:rFonts w:ascii="Book Antiqua" w:hAnsi="Book Antiqua"/>
          <w:sz w:val="24"/>
          <w:szCs w:val="24"/>
          <w:lang w:val="fr-FR"/>
        </w:rPr>
        <w:t xml:space="preserve"> dont les résultats vont permettre de </w:t>
      </w:r>
      <w:r w:rsidR="00E35F54" w:rsidRPr="00870A6E">
        <w:rPr>
          <w:rFonts w:ascii="Book Antiqua" w:hAnsi="Book Antiqua"/>
          <w:sz w:val="24"/>
          <w:szCs w:val="24"/>
          <w:lang w:val="fr-FR"/>
        </w:rPr>
        <w:t xml:space="preserve">renforcer davantage la collaboration </w:t>
      </w:r>
      <w:r w:rsidR="00500E81" w:rsidRPr="00870A6E">
        <w:rPr>
          <w:rFonts w:ascii="Book Antiqua" w:hAnsi="Book Antiqua"/>
          <w:sz w:val="24"/>
          <w:szCs w:val="24"/>
          <w:lang w:val="fr-FR"/>
        </w:rPr>
        <w:t xml:space="preserve">entre les différents mécanismes </w:t>
      </w:r>
      <w:r w:rsidR="00140994" w:rsidRPr="00870A6E">
        <w:rPr>
          <w:rFonts w:ascii="Book Antiqua" w:hAnsi="Book Antiqua"/>
          <w:sz w:val="24"/>
          <w:szCs w:val="24"/>
          <w:lang w:val="fr-FR"/>
        </w:rPr>
        <w:t>et l</w:t>
      </w:r>
      <w:r w:rsidR="00E35F54" w:rsidRPr="00870A6E">
        <w:rPr>
          <w:rFonts w:ascii="Book Antiqua" w:hAnsi="Book Antiqua"/>
          <w:sz w:val="24"/>
          <w:szCs w:val="24"/>
          <w:lang w:val="fr-FR"/>
        </w:rPr>
        <w:t>a reconnaissance de la complémentarité qui existe entre</w:t>
      </w:r>
      <w:r w:rsidR="00140994" w:rsidRPr="00870A6E">
        <w:rPr>
          <w:rFonts w:ascii="Book Antiqua" w:hAnsi="Book Antiqua"/>
          <w:sz w:val="24"/>
          <w:szCs w:val="24"/>
          <w:lang w:val="fr-FR"/>
        </w:rPr>
        <w:t xml:space="preserve">. Des ateliers de ce genre méritent d’être régulièrement organisés </w:t>
      </w:r>
      <w:r w:rsidR="00CC62D1" w:rsidRPr="00870A6E">
        <w:rPr>
          <w:rFonts w:ascii="Book Antiqua" w:hAnsi="Book Antiqua"/>
          <w:sz w:val="24"/>
          <w:szCs w:val="24"/>
          <w:lang w:val="fr-FR"/>
        </w:rPr>
        <w:t xml:space="preserve">en vue de </w:t>
      </w:r>
      <w:r w:rsidR="00140994" w:rsidRPr="00870A6E">
        <w:rPr>
          <w:rFonts w:ascii="Book Antiqua" w:hAnsi="Book Antiqua"/>
          <w:sz w:val="24"/>
          <w:szCs w:val="24"/>
          <w:lang w:val="fr-FR"/>
        </w:rPr>
        <w:t xml:space="preserve">permettre le partage continu des bonnes pratiques. </w:t>
      </w:r>
    </w:p>
    <w:p w:rsidR="00140994" w:rsidRDefault="00140994" w:rsidP="00354F81">
      <w:pPr>
        <w:spacing w:after="0" w:line="360" w:lineRule="auto"/>
        <w:jc w:val="both"/>
        <w:rPr>
          <w:rFonts w:ascii="Book Antiqua" w:hAnsi="Book Antiqua"/>
          <w:sz w:val="24"/>
          <w:szCs w:val="24"/>
          <w:lang w:val="fr-FR"/>
        </w:rPr>
      </w:pPr>
    </w:p>
    <w:p w:rsidR="00906A3B" w:rsidRPr="00FE64AC" w:rsidRDefault="00500E81" w:rsidP="00354F81">
      <w:pPr>
        <w:spacing w:after="0" w:line="360" w:lineRule="auto"/>
        <w:jc w:val="both"/>
        <w:rPr>
          <w:rFonts w:ascii="Book Antiqua" w:hAnsi="Book Antiqua"/>
          <w:sz w:val="24"/>
          <w:szCs w:val="24"/>
          <w:lang w:val="fr-FR"/>
        </w:rPr>
      </w:pPr>
      <w:r w:rsidRPr="00FE64AC">
        <w:rPr>
          <w:rFonts w:ascii="Book Antiqua" w:hAnsi="Book Antiqua"/>
          <w:sz w:val="24"/>
          <w:szCs w:val="24"/>
          <w:lang w:val="fr-FR"/>
        </w:rPr>
        <w:t>Je</w:t>
      </w:r>
      <w:r w:rsidR="00906A3B" w:rsidRPr="00FE64AC">
        <w:rPr>
          <w:rFonts w:ascii="Book Antiqua" w:hAnsi="Book Antiqua"/>
          <w:sz w:val="24"/>
          <w:szCs w:val="24"/>
          <w:lang w:val="fr-FR"/>
        </w:rPr>
        <w:t xml:space="preserve"> vous remerci</w:t>
      </w:r>
      <w:r w:rsidRPr="00FE64AC">
        <w:rPr>
          <w:rFonts w:ascii="Book Antiqua" w:hAnsi="Book Antiqua"/>
          <w:sz w:val="24"/>
          <w:szCs w:val="24"/>
          <w:lang w:val="fr-FR"/>
        </w:rPr>
        <w:t>e</w:t>
      </w:r>
      <w:r w:rsidR="00906A3B" w:rsidRPr="00FE64AC">
        <w:rPr>
          <w:rFonts w:ascii="Book Antiqua" w:hAnsi="Book Antiqua"/>
          <w:sz w:val="24"/>
          <w:szCs w:val="24"/>
          <w:lang w:val="fr-FR"/>
        </w:rPr>
        <w:t xml:space="preserve"> pour votre aimable attention</w:t>
      </w:r>
    </w:p>
    <w:sectPr w:rsidR="00906A3B" w:rsidRPr="00FE64AC" w:rsidSect="00C17964">
      <w:footerReference w:type="defaul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45E" w:rsidRDefault="00C4745E" w:rsidP="004C5F49">
      <w:pPr>
        <w:spacing w:after="0" w:line="240" w:lineRule="auto"/>
      </w:pPr>
      <w:r>
        <w:separator/>
      </w:r>
    </w:p>
  </w:endnote>
  <w:endnote w:type="continuationSeparator" w:id="0">
    <w:p w:rsidR="00C4745E" w:rsidRDefault="00C4745E" w:rsidP="004C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imbusSans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86723"/>
      <w:docPartObj>
        <w:docPartGallery w:val="Page Numbers (Bottom of Page)"/>
        <w:docPartUnique/>
      </w:docPartObj>
    </w:sdtPr>
    <w:sdtEndPr>
      <w:rPr>
        <w:noProof/>
      </w:rPr>
    </w:sdtEndPr>
    <w:sdtContent>
      <w:p w:rsidR="000F3709" w:rsidRDefault="000F3709">
        <w:pPr>
          <w:pStyle w:val="Footer"/>
          <w:jc w:val="center"/>
        </w:pPr>
        <w:r>
          <w:fldChar w:fldCharType="begin"/>
        </w:r>
        <w:r>
          <w:instrText xml:space="preserve"> PAGE   \* MERGEFORMAT </w:instrText>
        </w:r>
        <w:r>
          <w:fldChar w:fldCharType="separate"/>
        </w:r>
        <w:r w:rsidR="003B072F">
          <w:rPr>
            <w:noProof/>
          </w:rPr>
          <w:t>2</w:t>
        </w:r>
        <w:r>
          <w:rPr>
            <w:noProof/>
          </w:rPr>
          <w:fldChar w:fldCharType="end"/>
        </w:r>
      </w:p>
    </w:sdtContent>
  </w:sdt>
  <w:p w:rsidR="000F3709" w:rsidRDefault="000F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45E" w:rsidRDefault="00C4745E" w:rsidP="004C5F49">
      <w:pPr>
        <w:spacing w:after="0" w:line="240" w:lineRule="auto"/>
      </w:pPr>
      <w:r>
        <w:separator/>
      </w:r>
    </w:p>
  </w:footnote>
  <w:footnote w:type="continuationSeparator" w:id="0">
    <w:p w:rsidR="00C4745E" w:rsidRDefault="00C4745E" w:rsidP="004C5F49">
      <w:pPr>
        <w:spacing w:after="0" w:line="240" w:lineRule="auto"/>
      </w:pPr>
      <w:r>
        <w:continuationSeparator/>
      </w:r>
    </w:p>
  </w:footnote>
  <w:footnote w:id="1">
    <w:p w:rsidR="00BE24E5" w:rsidRPr="00306B44" w:rsidRDefault="00BE24E5" w:rsidP="00306B44">
      <w:pPr>
        <w:jc w:val="both"/>
        <w:rPr>
          <w:rFonts w:ascii="Book Antiqua" w:hAnsi="Book Antiqua"/>
          <w:sz w:val="18"/>
          <w:szCs w:val="18"/>
          <w:lang w:val="fr-FR"/>
        </w:rPr>
      </w:pPr>
      <w:r w:rsidRPr="00306B44">
        <w:rPr>
          <w:rStyle w:val="FootnoteReference"/>
          <w:rFonts w:ascii="Book Antiqua" w:hAnsi="Book Antiqua"/>
          <w:sz w:val="18"/>
          <w:szCs w:val="18"/>
        </w:rPr>
        <w:footnoteRef/>
      </w:r>
      <w:r w:rsidRPr="00306B44">
        <w:rPr>
          <w:rFonts w:ascii="Book Antiqua" w:hAnsi="Book Antiqua"/>
          <w:sz w:val="18"/>
          <w:szCs w:val="18"/>
          <w:lang w:val="fr-FR"/>
        </w:rPr>
        <w:t xml:space="preserve"> </w:t>
      </w:r>
      <w:r w:rsidR="00EE7B62" w:rsidRPr="00306B44">
        <w:rPr>
          <w:rFonts w:ascii="Book Antiqua" w:eastAsia="SimSun" w:hAnsi="Book Antiqua" w:cs="Arial"/>
          <w:sz w:val="18"/>
          <w:szCs w:val="18"/>
          <w:lang w:val="fr-FR" w:eastAsia="zh-CN" w:bidi="hi-IN"/>
        </w:rPr>
        <w:t>La Commission a mis en place 1</w:t>
      </w:r>
      <w:r w:rsidR="00E02B55" w:rsidRPr="00306B44">
        <w:rPr>
          <w:rFonts w:ascii="Book Antiqua" w:eastAsia="SimSun" w:hAnsi="Book Antiqua" w:cs="Arial"/>
          <w:sz w:val="18"/>
          <w:szCs w:val="18"/>
          <w:lang w:val="fr-FR" w:eastAsia="zh-CN" w:bidi="hi-IN"/>
        </w:rPr>
        <w:t>5</w:t>
      </w:r>
      <w:r w:rsidR="00EE7B62" w:rsidRPr="00306B44">
        <w:rPr>
          <w:rFonts w:ascii="Book Antiqua" w:eastAsia="SimSun" w:hAnsi="Book Antiqua" w:cs="Arial"/>
          <w:sz w:val="18"/>
          <w:szCs w:val="18"/>
          <w:lang w:val="fr-FR" w:eastAsia="zh-CN" w:bidi="hi-IN"/>
        </w:rPr>
        <w:t xml:space="preserve"> mécanismes spéciaux pour traiter des questions thématiques relatives aux droits de l'homme qui touchent particulièrement le continent africain: 5 Rapporteurs spéciaux, </w:t>
      </w:r>
      <w:r w:rsidR="00D653FD" w:rsidRPr="00306B44">
        <w:rPr>
          <w:rFonts w:ascii="Book Antiqua" w:eastAsia="SimSun" w:hAnsi="Book Antiqua" w:cs="Arial"/>
          <w:sz w:val="18"/>
          <w:szCs w:val="18"/>
          <w:lang w:val="fr-FR" w:eastAsia="zh-CN" w:bidi="hi-IN"/>
        </w:rPr>
        <w:t>7 groupes de travail</w:t>
      </w:r>
      <w:r w:rsidR="00D653FD">
        <w:rPr>
          <w:rFonts w:ascii="Book Antiqua" w:eastAsia="SimSun" w:hAnsi="Book Antiqua" w:cs="Arial"/>
          <w:sz w:val="18"/>
          <w:szCs w:val="18"/>
          <w:lang w:val="fr-FR" w:eastAsia="zh-CN" w:bidi="hi-IN"/>
        </w:rPr>
        <w:t xml:space="preserve"> et </w:t>
      </w:r>
      <w:r w:rsidR="00EE7B62" w:rsidRPr="00306B44">
        <w:rPr>
          <w:rFonts w:ascii="Book Antiqua" w:eastAsia="SimSun" w:hAnsi="Book Antiqua" w:cs="Arial"/>
          <w:sz w:val="18"/>
          <w:szCs w:val="18"/>
          <w:lang w:val="fr-FR" w:eastAsia="zh-CN" w:bidi="hi-IN"/>
        </w:rPr>
        <w:t>3 Comités de suivi.</w:t>
      </w:r>
    </w:p>
  </w:footnote>
  <w:footnote w:id="2">
    <w:p w:rsidR="00BE24E5" w:rsidRPr="00BE24E5" w:rsidRDefault="00BE24E5" w:rsidP="00306B44">
      <w:pPr>
        <w:pStyle w:val="FootnoteText"/>
        <w:jc w:val="both"/>
        <w:rPr>
          <w:lang w:val="fr-FR"/>
        </w:rPr>
      </w:pPr>
      <w:r w:rsidRPr="00306B44">
        <w:rPr>
          <w:rStyle w:val="FootnoteReference"/>
          <w:rFonts w:ascii="Book Antiqua" w:hAnsi="Book Antiqua"/>
          <w:sz w:val="18"/>
          <w:szCs w:val="18"/>
        </w:rPr>
        <w:footnoteRef/>
      </w:r>
      <w:r w:rsidRPr="00306B44">
        <w:rPr>
          <w:rFonts w:ascii="Book Antiqua" w:hAnsi="Book Antiqua"/>
          <w:sz w:val="18"/>
          <w:szCs w:val="18"/>
          <w:lang w:val="fr-FR"/>
        </w:rPr>
        <w:t xml:space="preserve"> </w:t>
      </w:r>
      <w:r w:rsidR="007E6508" w:rsidRPr="00306B44">
        <w:rPr>
          <w:rFonts w:ascii="Book Antiqua" w:hAnsi="Book Antiqua"/>
          <w:sz w:val="18"/>
          <w:szCs w:val="18"/>
          <w:lang w:val="fr-FR"/>
        </w:rPr>
        <w:t xml:space="preserve">La Commission a déjà effectué </w:t>
      </w:r>
      <w:r w:rsidR="00F20DD1">
        <w:rPr>
          <w:rFonts w:ascii="Book Antiqua" w:hAnsi="Book Antiqua"/>
          <w:sz w:val="18"/>
          <w:szCs w:val="18"/>
          <w:lang w:val="fr-FR"/>
        </w:rPr>
        <w:t xml:space="preserve">plusieurs missions </w:t>
      </w:r>
      <w:r w:rsidR="007E6508" w:rsidRPr="00306B44">
        <w:rPr>
          <w:rFonts w:ascii="Book Antiqua" w:hAnsi="Book Antiqua"/>
          <w:sz w:val="18"/>
          <w:szCs w:val="18"/>
          <w:lang w:val="fr-FR"/>
        </w:rPr>
        <w:t>d’établissement des faits </w:t>
      </w:r>
      <w:r w:rsidR="00F20DD1">
        <w:rPr>
          <w:rFonts w:ascii="Book Antiqua" w:hAnsi="Book Antiqua"/>
          <w:sz w:val="18"/>
          <w:szCs w:val="18"/>
          <w:lang w:val="fr-FR"/>
        </w:rPr>
        <w:t xml:space="preserve">notamment </w:t>
      </w:r>
      <w:r w:rsidR="00306B44" w:rsidRPr="00306B44">
        <w:rPr>
          <w:rFonts w:ascii="Book Antiqua" w:hAnsi="Book Antiqua"/>
          <w:sz w:val="18"/>
          <w:szCs w:val="18"/>
          <w:lang w:val="fr-FR"/>
        </w:rPr>
        <w:t>au Zimbabwe (2002), au Soudan(2004), au Botswana (2008), en République Sahraouie (2012), au Mali (2013) et en RCA (2014)</w:t>
      </w:r>
    </w:p>
  </w:footnote>
  <w:footnote w:id="3">
    <w:p w:rsidR="00294131" w:rsidRPr="00294131" w:rsidRDefault="00294131">
      <w:pPr>
        <w:pStyle w:val="FootnoteText"/>
        <w:rPr>
          <w:lang w:val="fr-FR"/>
        </w:rPr>
      </w:pPr>
      <w:r>
        <w:rPr>
          <w:rStyle w:val="FootnoteReference"/>
        </w:rPr>
        <w:footnoteRef/>
      </w:r>
      <w:r w:rsidRPr="00294131">
        <w:rPr>
          <w:lang w:val="fr-FR"/>
        </w:rPr>
        <w:t xml:space="preserve"> </w:t>
      </w:r>
      <w:r w:rsidRPr="00C4684A">
        <w:rPr>
          <w:rFonts w:ascii="Book Antiqua" w:hAnsi="Book Antiqua"/>
          <w:sz w:val="18"/>
          <w:szCs w:val="18"/>
          <w:lang w:val="fr-FR"/>
        </w:rPr>
        <w:t>Communication 227/99 – République Démocratique du Congo c/Burundi, Rwanda et Uganda; Communication 422/12- Soudan c</w:t>
      </w:r>
      <w:r>
        <w:rPr>
          <w:rFonts w:ascii="Book Antiqua" w:hAnsi="Book Antiqua"/>
          <w:sz w:val="18"/>
          <w:szCs w:val="18"/>
          <w:lang w:val="fr-FR"/>
        </w:rPr>
        <w:t xml:space="preserve">/ </w:t>
      </w:r>
      <w:r w:rsidRPr="00C4684A">
        <w:rPr>
          <w:rFonts w:ascii="Book Antiqua" w:hAnsi="Book Antiqua"/>
          <w:sz w:val="18"/>
          <w:szCs w:val="18"/>
          <w:lang w:val="fr-FR"/>
        </w:rPr>
        <w:t>Soudan du Sud et la Communication 478/14 - Djibouti c/</w:t>
      </w:r>
      <w:r>
        <w:rPr>
          <w:rFonts w:ascii="Book Antiqua" w:hAnsi="Book Antiqua"/>
          <w:sz w:val="18"/>
          <w:szCs w:val="18"/>
          <w:lang w:val="fr-FR"/>
        </w:rPr>
        <w:t xml:space="preserve"> Ery</w:t>
      </w:r>
      <w:r w:rsidRPr="00C4684A">
        <w:rPr>
          <w:rFonts w:ascii="Book Antiqua" w:hAnsi="Book Antiqua"/>
          <w:sz w:val="18"/>
          <w:szCs w:val="18"/>
          <w:lang w:val="fr-FR"/>
        </w:rPr>
        <w:t>thrée</w:t>
      </w:r>
      <w:r>
        <w:rPr>
          <w:rFonts w:ascii="Book Antiqua" w:hAnsi="Book Antiqua"/>
          <w:sz w:val="18"/>
          <w:szCs w:val="18"/>
          <w:lang w:val="fr-FR"/>
        </w:rPr>
        <w:t>.</w:t>
      </w:r>
    </w:p>
  </w:footnote>
  <w:footnote w:id="4">
    <w:p w:rsidR="00E87DB1" w:rsidRPr="00C4684A" w:rsidRDefault="00E87DB1" w:rsidP="00C4684A">
      <w:pPr>
        <w:spacing w:line="240" w:lineRule="auto"/>
        <w:rPr>
          <w:rFonts w:ascii="Book Antiqua" w:eastAsia="Calibri" w:hAnsi="Book Antiqua" w:cs="Times New Roman"/>
          <w:sz w:val="18"/>
          <w:szCs w:val="18"/>
          <w:lang w:val="fr-FR"/>
        </w:rPr>
      </w:pPr>
      <w:r w:rsidRPr="001B779F">
        <w:rPr>
          <w:rStyle w:val="FootnoteReference"/>
          <w:rFonts w:ascii="Book Antiqua" w:hAnsi="Book Antiqua"/>
          <w:sz w:val="18"/>
          <w:szCs w:val="18"/>
        </w:rPr>
        <w:footnoteRef/>
      </w:r>
      <w:r w:rsidRPr="001B779F">
        <w:rPr>
          <w:rFonts w:ascii="Book Antiqua" w:hAnsi="Book Antiqua"/>
          <w:sz w:val="18"/>
          <w:szCs w:val="18"/>
          <w:lang w:val="fr-FR"/>
        </w:rPr>
        <w:t xml:space="preserve"> </w:t>
      </w:r>
      <w:r w:rsidR="001B779F" w:rsidRPr="001B779F">
        <w:rPr>
          <w:rFonts w:ascii="Book Antiqua" w:eastAsia="Calibri" w:hAnsi="Book Antiqua" w:cs="Times New Roman"/>
          <w:sz w:val="18"/>
          <w:szCs w:val="18"/>
          <w:lang w:val="fr-FR"/>
        </w:rPr>
        <w:t xml:space="preserve">Communication 464/14 – </w:t>
      </w:r>
      <w:proofErr w:type="spellStart"/>
      <w:r w:rsidR="001B779F" w:rsidRPr="001B779F">
        <w:rPr>
          <w:rFonts w:ascii="Book Antiqua" w:eastAsia="Calibri" w:hAnsi="Book Antiqua" w:cs="Times New Roman"/>
          <w:sz w:val="18"/>
          <w:szCs w:val="18"/>
          <w:lang w:val="fr-FR"/>
        </w:rPr>
        <w:t>Uhuru</w:t>
      </w:r>
      <w:proofErr w:type="spellEnd"/>
      <w:r w:rsidR="001B779F" w:rsidRPr="001B779F">
        <w:rPr>
          <w:rFonts w:ascii="Book Antiqua" w:eastAsia="Calibri" w:hAnsi="Book Antiqua" w:cs="Times New Roman"/>
          <w:sz w:val="18"/>
          <w:szCs w:val="18"/>
          <w:lang w:val="fr-FR"/>
        </w:rPr>
        <w:t xml:space="preserve"> Kenyatta et</w:t>
      </w:r>
      <w:r w:rsidR="001B779F">
        <w:rPr>
          <w:rFonts w:ascii="Book Antiqua" w:eastAsia="Calibri" w:hAnsi="Book Antiqua" w:cs="Times New Roman"/>
          <w:sz w:val="18"/>
          <w:szCs w:val="18"/>
          <w:lang w:val="fr-FR"/>
        </w:rPr>
        <w:t xml:space="preserve"> William </w:t>
      </w:r>
      <w:proofErr w:type="spellStart"/>
      <w:r w:rsidR="001B779F">
        <w:rPr>
          <w:rFonts w:ascii="Book Antiqua" w:eastAsia="Calibri" w:hAnsi="Book Antiqua" w:cs="Times New Roman"/>
          <w:sz w:val="18"/>
          <w:szCs w:val="18"/>
          <w:lang w:val="fr-FR"/>
        </w:rPr>
        <w:t>Ruto</w:t>
      </w:r>
      <w:proofErr w:type="spellEnd"/>
      <w:r w:rsidR="001B779F">
        <w:rPr>
          <w:rFonts w:ascii="Book Antiqua" w:eastAsia="Calibri" w:hAnsi="Book Antiqua" w:cs="Times New Roman"/>
          <w:sz w:val="18"/>
          <w:szCs w:val="18"/>
          <w:lang w:val="fr-FR"/>
        </w:rPr>
        <w:t xml:space="preserve"> (repré</w:t>
      </w:r>
      <w:r w:rsidR="001B779F" w:rsidRPr="001B779F">
        <w:rPr>
          <w:rFonts w:ascii="Book Antiqua" w:eastAsia="Calibri" w:hAnsi="Book Antiqua" w:cs="Times New Roman"/>
          <w:sz w:val="18"/>
          <w:szCs w:val="18"/>
          <w:lang w:val="fr-FR"/>
        </w:rPr>
        <w:t xml:space="preserve">sentés par Innocence Project </w:t>
      </w:r>
      <w:proofErr w:type="spellStart"/>
      <w:r w:rsidR="001B779F" w:rsidRPr="001B779F">
        <w:rPr>
          <w:rFonts w:ascii="Book Antiqua" w:eastAsia="Calibri" w:hAnsi="Book Antiqua" w:cs="Times New Roman"/>
          <w:sz w:val="18"/>
          <w:szCs w:val="18"/>
          <w:lang w:val="fr-FR"/>
        </w:rPr>
        <w:t>Africa</w:t>
      </w:r>
      <w:proofErr w:type="spellEnd"/>
      <w:r w:rsidR="001B779F" w:rsidRPr="001B779F">
        <w:rPr>
          <w:rFonts w:ascii="Book Antiqua" w:eastAsia="Calibri" w:hAnsi="Book Antiqua" w:cs="Times New Roman"/>
          <w:sz w:val="18"/>
          <w:szCs w:val="18"/>
          <w:lang w:val="fr-FR"/>
        </w:rPr>
        <w:t>) c/ R</w:t>
      </w:r>
      <w:r w:rsidR="001B779F">
        <w:rPr>
          <w:rFonts w:ascii="Book Antiqua" w:eastAsia="Calibri" w:hAnsi="Book Antiqua" w:cs="Times New Roman"/>
          <w:sz w:val="18"/>
          <w:szCs w:val="18"/>
          <w:lang w:val="fr-FR"/>
        </w:rPr>
        <w:t>é</w:t>
      </w:r>
      <w:r w:rsidR="001B779F" w:rsidRPr="001B779F">
        <w:rPr>
          <w:rFonts w:ascii="Book Antiqua" w:eastAsia="Calibri" w:hAnsi="Book Antiqua" w:cs="Times New Roman"/>
          <w:sz w:val="18"/>
          <w:szCs w:val="18"/>
          <w:lang w:val="fr-FR"/>
        </w:rPr>
        <w:t>publique du Kenya</w:t>
      </w:r>
    </w:p>
  </w:footnote>
  <w:footnote w:id="5">
    <w:p w:rsidR="00FF653E" w:rsidRPr="00375440" w:rsidRDefault="002314FD" w:rsidP="00FF653E">
      <w:pPr>
        <w:autoSpaceDE w:val="0"/>
        <w:autoSpaceDN w:val="0"/>
        <w:adjustRightInd w:val="0"/>
        <w:spacing w:after="0" w:line="240" w:lineRule="auto"/>
        <w:jc w:val="both"/>
        <w:rPr>
          <w:rFonts w:ascii="Book Antiqua" w:hAnsi="Book Antiqua" w:cs="Cambria"/>
          <w:sz w:val="18"/>
          <w:szCs w:val="18"/>
          <w:lang w:val="fr-FR"/>
        </w:rPr>
      </w:pPr>
      <w:r>
        <w:rPr>
          <w:rStyle w:val="FootnoteReference"/>
        </w:rPr>
        <w:footnoteRef/>
      </w:r>
      <w:r w:rsidR="00B01C19" w:rsidRPr="00B01C19">
        <w:rPr>
          <w:sz w:val="18"/>
          <w:szCs w:val="18"/>
          <w:lang w:val="fr-FR"/>
        </w:rPr>
        <w:t>Article 112</w:t>
      </w:r>
      <w:r w:rsidR="00B01C19">
        <w:rPr>
          <w:lang w:val="fr-FR"/>
        </w:rPr>
        <w:t>.</w:t>
      </w:r>
      <w:r w:rsidRPr="002314FD">
        <w:rPr>
          <w:lang w:val="fr-FR"/>
        </w:rPr>
        <w:t xml:space="preserve"> </w:t>
      </w:r>
      <w:r w:rsidR="00FF653E" w:rsidRPr="00375440">
        <w:rPr>
          <w:rFonts w:ascii="Book Antiqua" w:hAnsi="Book Antiqua" w:cs="Cambria"/>
          <w:sz w:val="18"/>
          <w:szCs w:val="18"/>
          <w:lang w:val="fr-FR"/>
        </w:rPr>
        <w:t>1. Après examen du rapport d’activités de la Commission par la Conférence, le/la Secrétaire informe les parties, dans un délai de trente (30) jours, qu’elles peuvent publier la décision.</w:t>
      </w:r>
    </w:p>
    <w:p w:rsidR="00FF653E" w:rsidRPr="00375440" w:rsidRDefault="00FF653E" w:rsidP="00FF653E">
      <w:pPr>
        <w:autoSpaceDE w:val="0"/>
        <w:autoSpaceDN w:val="0"/>
        <w:adjustRightInd w:val="0"/>
        <w:spacing w:after="0" w:line="240" w:lineRule="auto"/>
        <w:jc w:val="both"/>
        <w:rPr>
          <w:rFonts w:ascii="Book Antiqua" w:hAnsi="Book Antiqua" w:cs="Cambria"/>
          <w:sz w:val="18"/>
          <w:szCs w:val="18"/>
          <w:lang w:val="fr-FR"/>
        </w:rPr>
      </w:pPr>
      <w:r w:rsidRPr="00375440">
        <w:rPr>
          <w:rFonts w:ascii="Book Antiqua" w:hAnsi="Book Antiqua" w:cs="Cambria"/>
          <w:sz w:val="18"/>
          <w:szCs w:val="18"/>
          <w:lang w:val="fr-FR"/>
        </w:rPr>
        <w:t>2. Lorsque la décision a été rendue contre l’État défendeur, les parties doivent, dans un délai de cent</w:t>
      </w:r>
      <w:r>
        <w:rPr>
          <w:rFonts w:ascii="Book Antiqua" w:hAnsi="Book Antiqua" w:cs="Cambria"/>
          <w:sz w:val="18"/>
          <w:szCs w:val="18"/>
          <w:lang w:val="fr-FR"/>
        </w:rPr>
        <w:t xml:space="preserve"> </w:t>
      </w:r>
      <w:r w:rsidRPr="00375440">
        <w:rPr>
          <w:rFonts w:ascii="Book Antiqua" w:hAnsi="Book Antiqua" w:cs="Cambria"/>
          <w:sz w:val="18"/>
          <w:szCs w:val="18"/>
          <w:lang w:val="fr-FR"/>
        </w:rPr>
        <w:t>quatre-vingt-jours (180) jours à compter de la réception de la notification spécifiée à l’alinéa 1 du</w:t>
      </w:r>
      <w:r>
        <w:rPr>
          <w:rFonts w:ascii="Book Antiqua" w:hAnsi="Book Antiqua" w:cs="Cambria"/>
          <w:sz w:val="18"/>
          <w:szCs w:val="18"/>
          <w:lang w:val="fr-FR"/>
        </w:rPr>
        <w:t xml:space="preserve">  </w:t>
      </w:r>
      <w:r w:rsidRPr="00375440">
        <w:rPr>
          <w:rFonts w:ascii="Book Antiqua" w:hAnsi="Book Antiqua" w:cs="Cambria"/>
          <w:sz w:val="18"/>
          <w:szCs w:val="18"/>
          <w:lang w:val="fr-FR"/>
        </w:rPr>
        <w:t>présent article, informer par écrit la Commission de toutes les mesures prises ou qui sont en train d’être</w:t>
      </w:r>
      <w:r>
        <w:rPr>
          <w:rFonts w:ascii="Book Antiqua" w:hAnsi="Book Antiqua" w:cs="Cambria"/>
          <w:sz w:val="18"/>
          <w:szCs w:val="18"/>
          <w:lang w:val="fr-FR"/>
        </w:rPr>
        <w:t xml:space="preserve"> </w:t>
      </w:r>
      <w:r w:rsidRPr="00375440">
        <w:rPr>
          <w:rFonts w:ascii="Book Antiqua" w:hAnsi="Book Antiqua" w:cs="Cambria"/>
          <w:sz w:val="18"/>
          <w:szCs w:val="18"/>
          <w:lang w:val="fr-FR"/>
        </w:rPr>
        <w:t xml:space="preserve">prises par l’État défendeur pour donner effet à la décision. </w:t>
      </w:r>
    </w:p>
    <w:p w:rsidR="00FF653E" w:rsidRPr="00375440" w:rsidRDefault="00FF653E" w:rsidP="00FF653E">
      <w:pPr>
        <w:autoSpaceDE w:val="0"/>
        <w:autoSpaceDN w:val="0"/>
        <w:adjustRightInd w:val="0"/>
        <w:spacing w:after="0" w:line="240" w:lineRule="auto"/>
        <w:jc w:val="both"/>
        <w:rPr>
          <w:rFonts w:ascii="Book Antiqua" w:hAnsi="Book Antiqua" w:cs="Cambria"/>
          <w:sz w:val="18"/>
          <w:szCs w:val="18"/>
          <w:lang w:val="fr-FR"/>
        </w:rPr>
      </w:pPr>
      <w:r w:rsidRPr="00375440">
        <w:rPr>
          <w:rFonts w:ascii="Book Antiqua" w:hAnsi="Book Antiqua" w:cs="Cambria"/>
          <w:sz w:val="18"/>
          <w:szCs w:val="18"/>
          <w:lang w:val="fr-FR"/>
        </w:rPr>
        <w:t>3. Dans un délai de quatre-vingt-dix jours (90) suivant la réception de la réponse écrite de l’État, la Commission peut l’inviter à soumettre des informations supplémentaires sur les mesures</w:t>
      </w:r>
      <w:r>
        <w:rPr>
          <w:rFonts w:ascii="Book Antiqua" w:hAnsi="Book Antiqua" w:cs="Cambria"/>
          <w:sz w:val="18"/>
          <w:szCs w:val="18"/>
          <w:lang w:val="fr-FR"/>
        </w:rPr>
        <w:t xml:space="preserve"> </w:t>
      </w:r>
      <w:r w:rsidRPr="00375440">
        <w:rPr>
          <w:rFonts w:ascii="Book Antiqua" w:hAnsi="Book Antiqua" w:cs="Cambria"/>
          <w:sz w:val="18"/>
          <w:szCs w:val="18"/>
          <w:lang w:val="fr-FR"/>
        </w:rPr>
        <w:t>qu’il a prises en réponse à ses recommandations.</w:t>
      </w:r>
    </w:p>
    <w:p w:rsidR="00FF653E" w:rsidRPr="00375440" w:rsidRDefault="00FF653E" w:rsidP="00FF653E">
      <w:pPr>
        <w:autoSpaceDE w:val="0"/>
        <w:autoSpaceDN w:val="0"/>
        <w:adjustRightInd w:val="0"/>
        <w:spacing w:after="0" w:line="240" w:lineRule="auto"/>
        <w:jc w:val="both"/>
        <w:rPr>
          <w:rFonts w:ascii="Book Antiqua" w:hAnsi="Book Antiqua"/>
          <w:sz w:val="18"/>
          <w:szCs w:val="18"/>
          <w:lang w:val="fr-FR"/>
        </w:rPr>
      </w:pPr>
      <w:r w:rsidRPr="00375440">
        <w:rPr>
          <w:rFonts w:ascii="Book Antiqua" w:hAnsi="Book Antiqua"/>
          <w:sz w:val="18"/>
          <w:szCs w:val="18"/>
          <w:lang w:val="fr-FR"/>
        </w:rPr>
        <w:t xml:space="preserve">4. ne reçoit aucune réponse de la part de l’État défendeur, elle peut envoyer une lettre de rappel à l’État partie concerné pour l’inviter à soumettre ses informations dans un délai de quatre-vingt -dix (90) jours à compter de la date du rappel. </w:t>
      </w:r>
    </w:p>
    <w:p w:rsidR="00FF653E" w:rsidRPr="00375440" w:rsidRDefault="00FF653E" w:rsidP="00FF653E">
      <w:pPr>
        <w:autoSpaceDE w:val="0"/>
        <w:autoSpaceDN w:val="0"/>
        <w:adjustRightInd w:val="0"/>
        <w:spacing w:after="0" w:line="240" w:lineRule="auto"/>
        <w:jc w:val="both"/>
        <w:rPr>
          <w:rFonts w:ascii="Book Antiqua" w:hAnsi="Book Antiqua"/>
          <w:sz w:val="18"/>
          <w:szCs w:val="18"/>
          <w:lang w:val="fr-FR"/>
        </w:rPr>
      </w:pPr>
      <w:r w:rsidRPr="00375440">
        <w:rPr>
          <w:rFonts w:ascii="Book Antiqua" w:hAnsi="Book Antiqua"/>
          <w:sz w:val="18"/>
          <w:szCs w:val="18"/>
          <w:lang w:val="fr-FR"/>
        </w:rPr>
        <w:t>5. Le rapporteur de la Communication ou tout autre membre de la Commission désigné à cet effet doit vérifier les mesures prises par les États parties pour se conformer aux recommandations de la Commission sur chaque Communication.</w:t>
      </w:r>
    </w:p>
    <w:p w:rsidR="00FF653E" w:rsidRPr="00375440" w:rsidRDefault="00FF653E" w:rsidP="00FF653E">
      <w:pPr>
        <w:autoSpaceDE w:val="0"/>
        <w:autoSpaceDN w:val="0"/>
        <w:adjustRightInd w:val="0"/>
        <w:spacing w:after="0" w:line="240" w:lineRule="auto"/>
        <w:jc w:val="both"/>
        <w:rPr>
          <w:rFonts w:ascii="Book Antiqua" w:hAnsi="Book Antiqua"/>
          <w:sz w:val="18"/>
          <w:szCs w:val="18"/>
          <w:lang w:val="fr-FR"/>
        </w:rPr>
      </w:pPr>
      <w:r w:rsidRPr="00375440">
        <w:rPr>
          <w:rFonts w:ascii="Book Antiqua" w:hAnsi="Book Antiqua"/>
          <w:sz w:val="18"/>
          <w:szCs w:val="18"/>
          <w:lang w:val="fr-FR"/>
        </w:rPr>
        <w:t>6. Le rapporteur peut établir des contacts et entreprendre les actions requises pour bien remplir les</w:t>
      </w:r>
      <w:r>
        <w:rPr>
          <w:rFonts w:ascii="Book Antiqua" w:hAnsi="Book Antiqua"/>
          <w:sz w:val="18"/>
          <w:szCs w:val="18"/>
          <w:lang w:val="fr-FR"/>
        </w:rPr>
        <w:t xml:space="preserve"> </w:t>
      </w:r>
      <w:r w:rsidRPr="00375440">
        <w:rPr>
          <w:rFonts w:ascii="Book Antiqua" w:hAnsi="Book Antiqua"/>
          <w:sz w:val="18"/>
          <w:szCs w:val="18"/>
          <w:lang w:val="fr-FR"/>
        </w:rPr>
        <w:t>fonctions qui lui sont confiées y compris, faire des recommandations le cas échéant à la Commission.</w:t>
      </w:r>
    </w:p>
    <w:p w:rsidR="00FF653E" w:rsidRPr="00375440" w:rsidRDefault="00FF653E" w:rsidP="00FF653E">
      <w:pPr>
        <w:autoSpaceDE w:val="0"/>
        <w:autoSpaceDN w:val="0"/>
        <w:adjustRightInd w:val="0"/>
        <w:spacing w:after="0" w:line="240" w:lineRule="auto"/>
        <w:jc w:val="both"/>
        <w:rPr>
          <w:rFonts w:ascii="Book Antiqua" w:hAnsi="Book Antiqua"/>
          <w:sz w:val="18"/>
          <w:szCs w:val="18"/>
          <w:lang w:val="fr-FR"/>
        </w:rPr>
      </w:pPr>
      <w:r w:rsidRPr="00375440">
        <w:rPr>
          <w:rFonts w:ascii="Book Antiqua" w:hAnsi="Book Antiqua"/>
          <w:sz w:val="18"/>
          <w:szCs w:val="18"/>
          <w:lang w:val="fr-FR"/>
        </w:rPr>
        <w:t>7. A chaque session ordinaire de la Commission</w:t>
      </w:r>
      <w:r w:rsidRPr="00375440">
        <w:rPr>
          <w:rFonts w:ascii="Book Antiqua" w:hAnsi="Book Antiqua"/>
          <w:b/>
          <w:bCs/>
          <w:sz w:val="18"/>
          <w:szCs w:val="18"/>
          <w:lang w:val="fr-FR"/>
        </w:rPr>
        <w:t xml:space="preserve">, </w:t>
      </w:r>
      <w:r w:rsidRPr="00375440">
        <w:rPr>
          <w:rFonts w:ascii="Book Antiqua" w:hAnsi="Book Antiqua"/>
          <w:sz w:val="18"/>
          <w:szCs w:val="18"/>
          <w:lang w:val="fr-FR"/>
        </w:rPr>
        <w:t>le rapporteur présente en séance publique, un</w:t>
      </w:r>
      <w:r>
        <w:rPr>
          <w:rFonts w:ascii="Book Antiqua" w:hAnsi="Book Antiqua"/>
          <w:sz w:val="18"/>
          <w:szCs w:val="18"/>
          <w:lang w:val="fr-FR"/>
        </w:rPr>
        <w:t xml:space="preserve"> </w:t>
      </w:r>
      <w:r w:rsidRPr="00375440">
        <w:rPr>
          <w:rFonts w:ascii="Book Antiqua" w:hAnsi="Book Antiqua"/>
          <w:sz w:val="18"/>
          <w:szCs w:val="18"/>
          <w:lang w:val="fr-FR"/>
        </w:rPr>
        <w:t xml:space="preserve">rapport sur le suivi de la mise en </w:t>
      </w:r>
      <w:proofErr w:type="spellStart"/>
      <w:r w:rsidRPr="00375440">
        <w:rPr>
          <w:rFonts w:ascii="Book Antiqua" w:hAnsi="Book Antiqua"/>
          <w:sz w:val="18"/>
          <w:szCs w:val="18"/>
          <w:lang w:val="fr-FR"/>
        </w:rPr>
        <w:t>oeuvre</w:t>
      </w:r>
      <w:proofErr w:type="spellEnd"/>
      <w:r w:rsidRPr="00375440">
        <w:rPr>
          <w:rFonts w:ascii="Book Antiqua" w:hAnsi="Book Antiqua"/>
          <w:sz w:val="18"/>
          <w:szCs w:val="18"/>
          <w:lang w:val="fr-FR"/>
        </w:rPr>
        <w:t xml:space="preserve"> des recommandations de la Commission.</w:t>
      </w:r>
    </w:p>
    <w:p w:rsidR="00FF653E" w:rsidRPr="00375440" w:rsidRDefault="00FF653E" w:rsidP="00FF653E">
      <w:pPr>
        <w:autoSpaceDE w:val="0"/>
        <w:autoSpaceDN w:val="0"/>
        <w:adjustRightInd w:val="0"/>
        <w:spacing w:after="0" w:line="240" w:lineRule="auto"/>
        <w:jc w:val="both"/>
        <w:rPr>
          <w:rFonts w:ascii="Book Antiqua" w:hAnsi="Book Antiqua"/>
          <w:sz w:val="18"/>
          <w:szCs w:val="18"/>
          <w:lang w:val="fr-FR"/>
        </w:rPr>
      </w:pPr>
      <w:r w:rsidRPr="00375440">
        <w:rPr>
          <w:rFonts w:ascii="Book Antiqua" w:hAnsi="Book Antiqua"/>
          <w:sz w:val="18"/>
          <w:szCs w:val="18"/>
          <w:lang w:val="fr-FR"/>
        </w:rPr>
        <w:t xml:space="preserve">8. La Commission attire l’attention du Sous-comité sur la mise en œuvre des décisions de l’Union africaine du Comité des Représentants permanents et du Conseil Exécutif, sur toute situation de </w:t>
      </w:r>
      <w:proofErr w:type="spellStart"/>
      <w:r w:rsidRPr="00375440">
        <w:rPr>
          <w:rFonts w:ascii="Book Antiqua" w:hAnsi="Book Antiqua"/>
          <w:sz w:val="18"/>
          <w:szCs w:val="18"/>
          <w:lang w:val="fr-FR"/>
        </w:rPr>
        <w:t>non respect</w:t>
      </w:r>
      <w:proofErr w:type="spellEnd"/>
      <w:r w:rsidRPr="00375440">
        <w:rPr>
          <w:rFonts w:ascii="Book Antiqua" w:hAnsi="Book Antiqua"/>
          <w:sz w:val="18"/>
          <w:szCs w:val="18"/>
          <w:lang w:val="fr-FR"/>
        </w:rPr>
        <w:t xml:space="preserve"> des décisions de la Commission.</w:t>
      </w:r>
    </w:p>
    <w:p w:rsidR="002314FD" w:rsidRPr="00FF653E" w:rsidRDefault="00FF653E" w:rsidP="00FF653E">
      <w:pPr>
        <w:autoSpaceDE w:val="0"/>
        <w:autoSpaceDN w:val="0"/>
        <w:adjustRightInd w:val="0"/>
        <w:spacing w:after="0" w:line="240" w:lineRule="auto"/>
        <w:jc w:val="both"/>
        <w:rPr>
          <w:rFonts w:ascii="Book Antiqua" w:hAnsi="Book Antiqua"/>
          <w:sz w:val="18"/>
          <w:szCs w:val="18"/>
          <w:lang w:val="fr-FR"/>
        </w:rPr>
      </w:pPr>
      <w:r w:rsidRPr="00375440">
        <w:rPr>
          <w:rFonts w:ascii="Book Antiqua" w:hAnsi="Book Antiqua"/>
          <w:sz w:val="18"/>
          <w:szCs w:val="18"/>
          <w:lang w:val="fr-FR"/>
        </w:rPr>
        <w:t>9. La Commission inclut dans son rapport d’activités des informations sur toutes les activités de suivi.</w:t>
      </w:r>
    </w:p>
  </w:footnote>
  <w:footnote w:id="6">
    <w:p w:rsidR="002314FD" w:rsidRPr="002314FD" w:rsidRDefault="002314FD">
      <w:pPr>
        <w:pStyle w:val="FootnoteText"/>
        <w:rPr>
          <w:lang w:val="fr-FR"/>
        </w:rPr>
      </w:pPr>
      <w:r>
        <w:rPr>
          <w:rStyle w:val="FootnoteReference"/>
        </w:rPr>
        <w:footnoteRef/>
      </w:r>
      <w:r w:rsidRPr="002314FD">
        <w:rPr>
          <w:lang w:val="fr-FR"/>
        </w:rPr>
        <w:t xml:space="preserve"> </w:t>
      </w:r>
      <w:r>
        <w:rPr>
          <w:lang w:val="fr-FR"/>
        </w:rPr>
        <w:t>Cas du Kenya et celui de l’Afrique du Sud</w:t>
      </w:r>
    </w:p>
  </w:footnote>
  <w:footnote w:id="7">
    <w:p w:rsidR="00A668B9" w:rsidRPr="00A668B9" w:rsidRDefault="00A668B9" w:rsidP="00A668B9">
      <w:pPr>
        <w:pStyle w:val="FootnoteText"/>
        <w:rPr>
          <w:rFonts w:ascii="Book Antiqua" w:hAnsi="Book Antiqua"/>
          <w:sz w:val="18"/>
          <w:szCs w:val="18"/>
          <w:lang w:val="fr-FR"/>
        </w:rPr>
      </w:pPr>
      <w:r>
        <w:rPr>
          <w:rStyle w:val="FootnoteReference"/>
        </w:rPr>
        <w:footnoteRef/>
      </w:r>
      <w:r w:rsidRPr="00A668B9">
        <w:rPr>
          <w:lang w:val="fr-FR"/>
        </w:rPr>
        <w:t xml:space="preserve"> </w:t>
      </w:r>
      <w:r>
        <w:rPr>
          <w:lang w:val="fr-FR"/>
        </w:rPr>
        <w:t>-</w:t>
      </w:r>
      <w:r w:rsidRPr="00A668B9">
        <w:rPr>
          <w:rFonts w:ascii="Book Antiqua" w:hAnsi="Book Antiqua"/>
          <w:sz w:val="18"/>
          <w:szCs w:val="18"/>
          <w:lang w:val="fr-FR"/>
        </w:rPr>
        <w:t xml:space="preserve">Article 2 – La Cour a </w:t>
      </w:r>
      <w:proofErr w:type="spellStart"/>
      <w:r w:rsidRPr="00A668B9">
        <w:rPr>
          <w:rFonts w:ascii="Book Antiqua" w:hAnsi="Book Antiqua"/>
          <w:sz w:val="18"/>
          <w:szCs w:val="18"/>
          <w:lang w:val="fr-FR"/>
        </w:rPr>
        <w:t>ete</w:t>
      </w:r>
      <w:proofErr w:type="spellEnd"/>
      <w:r w:rsidRPr="00A668B9">
        <w:rPr>
          <w:rFonts w:ascii="Book Antiqua" w:hAnsi="Book Antiqua"/>
          <w:sz w:val="18"/>
          <w:szCs w:val="18"/>
          <w:lang w:val="fr-FR"/>
        </w:rPr>
        <w:t xml:space="preserve"> </w:t>
      </w:r>
      <w:proofErr w:type="spellStart"/>
      <w:r w:rsidRPr="00A668B9">
        <w:rPr>
          <w:rFonts w:ascii="Book Antiqua" w:hAnsi="Book Antiqua"/>
          <w:sz w:val="18"/>
          <w:szCs w:val="18"/>
          <w:lang w:val="fr-FR"/>
        </w:rPr>
        <w:t>creee</w:t>
      </w:r>
      <w:proofErr w:type="spellEnd"/>
      <w:r w:rsidRPr="00A668B9">
        <w:rPr>
          <w:rFonts w:ascii="Book Antiqua" w:hAnsi="Book Antiqua"/>
          <w:sz w:val="18"/>
          <w:szCs w:val="18"/>
          <w:lang w:val="fr-FR"/>
        </w:rPr>
        <w:t xml:space="preserve"> pour «compléter les fonctions de protection de la Commission...» ;</w:t>
      </w:r>
    </w:p>
    <w:p w:rsidR="00A668B9" w:rsidRPr="00A668B9" w:rsidRDefault="00A668B9" w:rsidP="00A668B9">
      <w:pPr>
        <w:pStyle w:val="FootnoteText"/>
        <w:rPr>
          <w:rFonts w:ascii="Book Antiqua" w:hAnsi="Book Antiqua"/>
          <w:sz w:val="18"/>
          <w:szCs w:val="18"/>
          <w:lang w:val="fr-FR"/>
        </w:rPr>
      </w:pPr>
      <w:r w:rsidRPr="00A668B9">
        <w:rPr>
          <w:rFonts w:ascii="Book Antiqua" w:hAnsi="Book Antiqua"/>
          <w:sz w:val="18"/>
          <w:szCs w:val="18"/>
          <w:lang w:val="fr-FR"/>
        </w:rPr>
        <w:t xml:space="preserve"> - Article 5 (1) (a) - La Commission est l'une des entités ayant qualité pour saisir directement la Cour. </w:t>
      </w:r>
    </w:p>
    <w:p w:rsidR="00A668B9" w:rsidRPr="00A668B9" w:rsidRDefault="00A668B9" w:rsidP="00A668B9">
      <w:pPr>
        <w:pStyle w:val="FootnoteText"/>
        <w:rPr>
          <w:rFonts w:ascii="Book Antiqua" w:hAnsi="Book Antiqua"/>
          <w:sz w:val="18"/>
          <w:szCs w:val="18"/>
          <w:lang w:val="fr-FR"/>
        </w:rPr>
      </w:pPr>
      <w:r w:rsidRPr="00A668B9">
        <w:rPr>
          <w:rFonts w:ascii="Book Antiqua" w:hAnsi="Book Antiqua"/>
          <w:sz w:val="18"/>
          <w:szCs w:val="18"/>
          <w:lang w:val="fr-FR"/>
        </w:rPr>
        <w:t xml:space="preserve">- Article 6 -Avant de statuer sur la recevabilité d'une requête introduite en vertu de l'article 5(3) du Protocole, la Cour </w:t>
      </w:r>
    </w:p>
    <w:p w:rsidR="00A668B9" w:rsidRPr="00A668B9" w:rsidRDefault="00A668B9" w:rsidP="00A668B9">
      <w:pPr>
        <w:pStyle w:val="FootnoteText"/>
        <w:rPr>
          <w:rFonts w:ascii="Book Antiqua" w:hAnsi="Book Antiqua"/>
          <w:sz w:val="18"/>
          <w:szCs w:val="18"/>
          <w:lang w:val="fr-FR"/>
        </w:rPr>
      </w:pPr>
      <w:r w:rsidRPr="00A668B9">
        <w:rPr>
          <w:rFonts w:ascii="Book Antiqua" w:hAnsi="Book Antiqua"/>
          <w:sz w:val="18"/>
          <w:szCs w:val="18"/>
          <w:lang w:val="fr-FR"/>
        </w:rPr>
        <w:t xml:space="preserve">                    </w:t>
      </w:r>
      <w:proofErr w:type="gramStart"/>
      <w:r w:rsidRPr="00A668B9">
        <w:rPr>
          <w:rFonts w:ascii="Book Antiqua" w:hAnsi="Book Antiqua"/>
          <w:sz w:val="18"/>
          <w:szCs w:val="18"/>
          <w:lang w:val="fr-FR"/>
        </w:rPr>
        <w:t>peut</w:t>
      </w:r>
      <w:proofErr w:type="gramEnd"/>
      <w:r w:rsidRPr="00A668B9">
        <w:rPr>
          <w:rFonts w:ascii="Book Antiqua" w:hAnsi="Book Antiqua"/>
          <w:sz w:val="18"/>
          <w:szCs w:val="18"/>
          <w:lang w:val="fr-FR"/>
        </w:rPr>
        <w:t xml:space="preserve"> solliciter l'avis de la Commission. La Cour peut connaître des requêtes ou les renvoyer devant la </w:t>
      </w:r>
    </w:p>
    <w:p w:rsidR="00A668B9" w:rsidRPr="00A668B9" w:rsidRDefault="00A668B9" w:rsidP="00A668B9">
      <w:pPr>
        <w:pStyle w:val="FootnoteText"/>
        <w:rPr>
          <w:rFonts w:ascii="Book Antiqua" w:hAnsi="Book Antiqua"/>
          <w:sz w:val="18"/>
          <w:szCs w:val="18"/>
          <w:lang w:val="fr-FR"/>
        </w:rPr>
      </w:pPr>
      <w:r w:rsidRPr="00A668B9">
        <w:rPr>
          <w:rFonts w:ascii="Book Antiqua" w:hAnsi="Book Antiqua"/>
          <w:sz w:val="18"/>
          <w:szCs w:val="18"/>
          <w:lang w:val="fr-FR"/>
        </w:rPr>
        <w:t xml:space="preserve">                    Commission. </w:t>
      </w:r>
    </w:p>
    <w:p w:rsidR="00A668B9" w:rsidRPr="00A668B9" w:rsidRDefault="00A668B9" w:rsidP="00A668B9">
      <w:pPr>
        <w:pStyle w:val="FootnoteText"/>
        <w:rPr>
          <w:rFonts w:ascii="Book Antiqua" w:hAnsi="Book Antiqua"/>
          <w:sz w:val="18"/>
          <w:szCs w:val="18"/>
          <w:lang w:val="fr-FR"/>
        </w:rPr>
      </w:pPr>
      <w:r w:rsidRPr="00A668B9">
        <w:rPr>
          <w:rFonts w:ascii="Book Antiqua" w:hAnsi="Book Antiqua"/>
          <w:sz w:val="18"/>
          <w:szCs w:val="18"/>
          <w:lang w:val="fr-FR"/>
        </w:rPr>
        <w:t xml:space="preserve">- Article 8 - La Cour élabore son Règlement intérieur en tenant compte de la relation de complémentarité entre elle et  </w:t>
      </w:r>
    </w:p>
    <w:p w:rsidR="00A668B9" w:rsidRPr="00A668B9" w:rsidRDefault="00A668B9" w:rsidP="00A668B9">
      <w:pPr>
        <w:pStyle w:val="FootnoteText"/>
        <w:rPr>
          <w:rFonts w:ascii="Book Antiqua" w:hAnsi="Book Antiqua"/>
          <w:sz w:val="18"/>
          <w:szCs w:val="18"/>
          <w:lang w:val="fr-FR"/>
        </w:rPr>
      </w:pPr>
      <w:r w:rsidRPr="00A668B9">
        <w:rPr>
          <w:rFonts w:ascii="Book Antiqua" w:hAnsi="Book Antiqua"/>
          <w:sz w:val="18"/>
          <w:szCs w:val="18"/>
          <w:lang w:val="fr-FR"/>
        </w:rPr>
        <w:t xml:space="preserve">                    </w:t>
      </w:r>
      <w:proofErr w:type="gramStart"/>
      <w:r w:rsidRPr="00A668B9">
        <w:rPr>
          <w:rFonts w:ascii="Book Antiqua" w:hAnsi="Book Antiqua"/>
          <w:sz w:val="18"/>
          <w:szCs w:val="18"/>
          <w:lang w:val="fr-FR"/>
        </w:rPr>
        <w:t>la</w:t>
      </w:r>
      <w:proofErr w:type="gramEnd"/>
      <w:r w:rsidRPr="00A668B9">
        <w:rPr>
          <w:rFonts w:ascii="Book Antiqua" w:hAnsi="Book Antiqua"/>
          <w:sz w:val="18"/>
          <w:szCs w:val="18"/>
          <w:lang w:val="fr-FR"/>
        </w:rPr>
        <w:t xml:space="preserve"> Commission.  </w:t>
      </w:r>
    </w:p>
    <w:p w:rsidR="00A668B9" w:rsidRPr="00A668B9" w:rsidRDefault="00A668B9" w:rsidP="00A668B9">
      <w:pPr>
        <w:pStyle w:val="FootnoteText"/>
        <w:rPr>
          <w:lang w:val="fr-FR"/>
        </w:rPr>
      </w:pPr>
      <w:r w:rsidRPr="00A668B9">
        <w:rPr>
          <w:rFonts w:ascii="Book Antiqua" w:hAnsi="Book Antiqua"/>
          <w:sz w:val="18"/>
          <w:szCs w:val="18"/>
          <w:lang w:val="fr-FR"/>
        </w:rPr>
        <w:t>- Article 33 - La Cour consulte la Commission en tant que de besoin, lors de l’élaboration de son Règlement intérieur.</w:t>
      </w:r>
    </w:p>
  </w:footnote>
  <w:footnote w:id="8">
    <w:p w:rsidR="00C17055" w:rsidRPr="00C17055" w:rsidRDefault="00C17055" w:rsidP="00C17055">
      <w:pPr>
        <w:pStyle w:val="FootnoteText"/>
        <w:jc w:val="both"/>
        <w:rPr>
          <w:rFonts w:ascii="Book Antiqua" w:hAnsi="Book Antiqua"/>
          <w:lang w:val="fr-FR"/>
        </w:rPr>
      </w:pPr>
      <w:r w:rsidRPr="00C17055">
        <w:rPr>
          <w:rStyle w:val="FootnoteReference"/>
          <w:rFonts w:ascii="Book Antiqua" w:hAnsi="Book Antiqua"/>
        </w:rPr>
        <w:footnoteRef/>
      </w:r>
      <w:r w:rsidRPr="00C17055">
        <w:rPr>
          <w:rFonts w:ascii="Book Antiqua" w:hAnsi="Book Antiqua"/>
          <w:lang w:val="fr-FR"/>
        </w:rPr>
        <w:t xml:space="preserve"> Communication 411/12 - </w:t>
      </w:r>
      <w:proofErr w:type="spellStart"/>
      <w:r w:rsidRPr="00C17055">
        <w:rPr>
          <w:rFonts w:ascii="Book Antiqua" w:hAnsi="Book Antiqua"/>
          <w:lang w:val="fr-FR"/>
        </w:rPr>
        <w:t>Saif</w:t>
      </w:r>
      <w:proofErr w:type="spellEnd"/>
      <w:r w:rsidRPr="00C17055">
        <w:rPr>
          <w:rFonts w:ascii="Book Antiqua" w:hAnsi="Book Antiqua"/>
          <w:lang w:val="fr-FR"/>
        </w:rPr>
        <w:t xml:space="preserve"> Al-Islam Kadhafi (représenté par </w:t>
      </w:r>
      <w:proofErr w:type="spellStart"/>
      <w:r w:rsidRPr="00C17055">
        <w:rPr>
          <w:rFonts w:ascii="Book Antiqua" w:hAnsi="Book Antiqua"/>
          <w:lang w:val="fr-FR"/>
        </w:rPr>
        <w:t>Mishana</w:t>
      </w:r>
      <w:proofErr w:type="spellEnd"/>
      <w:r w:rsidRPr="00C17055">
        <w:rPr>
          <w:rFonts w:ascii="Book Antiqua" w:hAnsi="Book Antiqua"/>
          <w:lang w:val="fr-FR"/>
        </w:rPr>
        <w:t xml:space="preserve"> </w:t>
      </w:r>
      <w:proofErr w:type="spellStart"/>
      <w:r w:rsidRPr="00C17055">
        <w:rPr>
          <w:rFonts w:ascii="Book Antiqua" w:hAnsi="Book Antiqua"/>
          <w:lang w:val="fr-FR"/>
        </w:rPr>
        <w:t>Hosseinioun</w:t>
      </w:r>
      <w:proofErr w:type="spellEnd"/>
      <w:r w:rsidRPr="00C17055">
        <w:rPr>
          <w:rFonts w:ascii="Book Antiqua" w:hAnsi="Book Antiqua"/>
          <w:lang w:val="fr-FR"/>
        </w:rPr>
        <w:t xml:space="preserve">) c/ Libye (Affaire pour le non-respect des mesures provisoires); 381/09 de la Communication - Centre pour le développement des droits des minorités -Kenya et </w:t>
      </w:r>
      <w:proofErr w:type="spellStart"/>
      <w:r w:rsidRPr="00C17055">
        <w:rPr>
          <w:rFonts w:ascii="Book Antiqua" w:hAnsi="Book Antiqua"/>
          <w:lang w:val="fr-FR"/>
        </w:rPr>
        <w:t>Minority</w:t>
      </w:r>
      <w:proofErr w:type="spellEnd"/>
      <w:r w:rsidRPr="00C17055">
        <w:rPr>
          <w:rFonts w:ascii="Book Antiqua" w:hAnsi="Book Antiqua"/>
          <w:lang w:val="fr-FR"/>
        </w:rPr>
        <w:t xml:space="preserve"> </w:t>
      </w:r>
      <w:proofErr w:type="spellStart"/>
      <w:r w:rsidRPr="00C17055">
        <w:rPr>
          <w:rFonts w:ascii="Book Antiqua" w:hAnsi="Book Antiqua"/>
          <w:lang w:val="fr-FR"/>
        </w:rPr>
        <w:t>Rights</w:t>
      </w:r>
      <w:proofErr w:type="spellEnd"/>
      <w:r w:rsidRPr="00C17055">
        <w:rPr>
          <w:rFonts w:ascii="Book Antiqua" w:hAnsi="Book Antiqua"/>
          <w:lang w:val="fr-FR"/>
        </w:rPr>
        <w:t xml:space="preserve"> Group International (pour le compte de la Communauté </w:t>
      </w:r>
      <w:proofErr w:type="spellStart"/>
      <w:r w:rsidRPr="00C17055">
        <w:rPr>
          <w:rFonts w:ascii="Book Antiqua" w:hAnsi="Book Antiqua"/>
          <w:lang w:val="fr-FR"/>
        </w:rPr>
        <w:t>Ogiek</w:t>
      </w:r>
      <w:proofErr w:type="spellEnd"/>
      <w:r w:rsidRPr="00C17055">
        <w:rPr>
          <w:rFonts w:ascii="Book Antiqua" w:hAnsi="Book Antiqua"/>
          <w:lang w:val="fr-FR"/>
        </w:rPr>
        <w:t xml:space="preserve"> de la forêt de </w:t>
      </w:r>
      <w:proofErr w:type="spellStart"/>
      <w:r w:rsidRPr="00C17055">
        <w:rPr>
          <w:rFonts w:ascii="Book Antiqua" w:hAnsi="Book Antiqua"/>
          <w:lang w:val="fr-FR"/>
        </w:rPr>
        <w:t>Mau</w:t>
      </w:r>
      <w:proofErr w:type="spellEnd"/>
      <w:r w:rsidRPr="00C17055">
        <w:rPr>
          <w:rFonts w:ascii="Book Antiqua" w:hAnsi="Book Antiqua"/>
          <w:lang w:val="fr-FR"/>
        </w:rPr>
        <w:t xml:space="preserve">) c/ Kenya (pour le non-respect des mesures provisoires, et pour violations graves et massives des droits de l'homme) ; et Communication 394/11 - Initiative égyptienne pour les droits personnels (EIPR), </w:t>
      </w:r>
      <w:proofErr w:type="spellStart"/>
      <w:r w:rsidRPr="00C17055">
        <w:rPr>
          <w:rFonts w:ascii="Book Antiqua" w:hAnsi="Book Antiqua"/>
          <w:lang w:val="fr-FR"/>
        </w:rPr>
        <w:t>Human</w:t>
      </w:r>
      <w:proofErr w:type="spellEnd"/>
      <w:r w:rsidRPr="00C17055">
        <w:rPr>
          <w:rFonts w:ascii="Book Antiqua" w:hAnsi="Book Antiqua"/>
          <w:lang w:val="fr-FR"/>
        </w:rPr>
        <w:t xml:space="preserve"> </w:t>
      </w:r>
      <w:proofErr w:type="spellStart"/>
      <w:r w:rsidRPr="00C17055">
        <w:rPr>
          <w:rFonts w:ascii="Book Antiqua" w:hAnsi="Book Antiqua"/>
          <w:lang w:val="fr-FR"/>
        </w:rPr>
        <w:t>Rights</w:t>
      </w:r>
      <w:proofErr w:type="spellEnd"/>
      <w:r w:rsidRPr="00C17055">
        <w:rPr>
          <w:rFonts w:ascii="Book Antiqua" w:hAnsi="Book Antiqua"/>
          <w:lang w:val="fr-FR"/>
        </w:rPr>
        <w:t xml:space="preserve"> Watch (HRW) INTERIGHTS, et de la Ligue libyenne des droits de l'homme (au nom du peuple de la Libye) c/ Libye (cas de graves et massives violations des droits de l'homme).</w:t>
      </w:r>
    </w:p>
    <w:p w:rsidR="00C17055" w:rsidRPr="00C17055" w:rsidRDefault="00C17055" w:rsidP="00C17055">
      <w:pPr>
        <w:pStyle w:val="FootnoteText"/>
        <w:jc w:val="both"/>
        <w:rPr>
          <w:rFonts w:ascii="Book Antiqua" w:hAnsi="Book Antiqua"/>
          <w:lang w:val="fr-FR"/>
        </w:rPr>
      </w:pPr>
    </w:p>
  </w:footnote>
  <w:footnote w:id="9">
    <w:p w:rsidR="0085439E" w:rsidRPr="00C17055" w:rsidRDefault="0085439E" w:rsidP="0085439E">
      <w:pPr>
        <w:pStyle w:val="FootnoteText"/>
        <w:jc w:val="both"/>
        <w:rPr>
          <w:rFonts w:ascii="Book Antiqua" w:hAnsi="Book Antiqua"/>
          <w:lang w:val="fr-FR"/>
        </w:rPr>
      </w:pPr>
      <w:r w:rsidRPr="00C17055">
        <w:rPr>
          <w:rStyle w:val="FootnoteReference"/>
          <w:rFonts w:ascii="Book Antiqua" w:hAnsi="Book Antiqua"/>
        </w:rPr>
        <w:footnoteRef/>
      </w:r>
      <w:r w:rsidRPr="00C17055">
        <w:rPr>
          <w:rFonts w:ascii="Book Antiqua" w:hAnsi="Book Antiqua"/>
          <w:lang w:val="fr-FR"/>
        </w:rPr>
        <w:t xml:space="preserve"> Affaire 002/2011 - Youssef </w:t>
      </w:r>
      <w:proofErr w:type="spellStart"/>
      <w:r w:rsidRPr="00C17055">
        <w:rPr>
          <w:rFonts w:ascii="Book Antiqua" w:hAnsi="Book Antiqua"/>
          <w:lang w:val="fr-FR"/>
        </w:rPr>
        <w:t>Ababaou</w:t>
      </w:r>
      <w:proofErr w:type="spellEnd"/>
      <w:r w:rsidRPr="00C17055">
        <w:rPr>
          <w:rFonts w:ascii="Book Antiqua" w:hAnsi="Book Antiqua"/>
          <w:lang w:val="fr-FR"/>
        </w:rPr>
        <w:t xml:space="preserve"> pour le compte de </w:t>
      </w:r>
      <w:proofErr w:type="spellStart"/>
      <w:r w:rsidRPr="00C17055">
        <w:rPr>
          <w:rFonts w:ascii="Book Antiqua" w:hAnsi="Book Antiqua"/>
          <w:lang w:val="fr-FR"/>
        </w:rPr>
        <w:t>Soufiane</w:t>
      </w:r>
      <w:proofErr w:type="spellEnd"/>
      <w:r w:rsidRPr="00C17055">
        <w:rPr>
          <w:rFonts w:ascii="Book Antiqua" w:hAnsi="Book Antiqua"/>
          <w:lang w:val="fr-FR"/>
        </w:rPr>
        <w:t xml:space="preserve"> </w:t>
      </w:r>
      <w:proofErr w:type="spellStart"/>
      <w:r w:rsidRPr="00C17055">
        <w:rPr>
          <w:rFonts w:ascii="Book Antiqua" w:hAnsi="Book Antiqua"/>
          <w:lang w:val="fr-FR"/>
        </w:rPr>
        <w:t>Ababou</w:t>
      </w:r>
      <w:proofErr w:type="spellEnd"/>
      <w:r w:rsidRPr="00C17055">
        <w:rPr>
          <w:rFonts w:ascii="Book Antiqua" w:hAnsi="Book Antiqua"/>
          <w:lang w:val="fr-FR"/>
        </w:rPr>
        <w:t xml:space="preserve"> c/ République Démocratique et populaire d’Algérie ; Affaire 005/2011 - Daniel </w:t>
      </w:r>
      <w:proofErr w:type="spellStart"/>
      <w:r w:rsidRPr="00C17055">
        <w:rPr>
          <w:rFonts w:ascii="Book Antiqua" w:hAnsi="Book Antiqua"/>
          <w:lang w:val="fr-FR"/>
        </w:rPr>
        <w:t>Amare</w:t>
      </w:r>
      <w:proofErr w:type="spellEnd"/>
      <w:r w:rsidRPr="00C17055">
        <w:rPr>
          <w:rFonts w:ascii="Book Antiqua" w:hAnsi="Book Antiqua"/>
          <w:lang w:val="fr-FR"/>
        </w:rPr>
        <w:t xml:space="preserve"> et </w:t>
      </w:r>
      <w:proofErr w:type="spellStart"/>
      <w:r w:rsidRPr="00C17055">
        <w:rPr>
          <w:rFonts w:ascii="Book Antiqua" w:hAnsi="Book Antiqua"/>
          <w:lang w:val="fr-FR"/>
        </w:rPr>
        <w:t>Mulugeta</w:t>
      </w:r>
      <w:proofErr w:type="spellEnd"/>
      <w:r w:rsidRPr="00C17055">
        <w:rPr>
          <w:rFonts w:ascii="Book Antiqua" w:hAnsi="Book Antiqua"/>
          <w:lang w:val="fr-FR"/>
        </w:rPr>
        <w:t xml:space="preserve"> </w:t>
      </w:r>
      <w:proofErr w:type="spellStart"/>
      <w:r w:rsidRPr="00C17055">
        <w:rPr>
          <w:rFonts w:ascii="Book Antiqua" w:hAnsi="Book Antiqua"/>
          <w:lang w:val="fr-FR"/>
        </w:rPr>
        <w:t>Amare</w:t>
      </w:r>
      <w:proofErr w:type="spellEnd"/>
      <w:r w:rsidRPr="00C17055">
        <w:rPr>
          <w:rFonts w:ascii="Book Antiqua" w:hAnsi="Book Antiqua"/>
          <w:lang w:val="fr-FR"/>
        </w:rPr>
        <w:t xml:space="preserve"> c/Mozambique Airlines et la République du Mozambique ; Affaire 006/2011 - Association Juristes d’Afrique pour la Bonne Gouvernance c/Cote d’Ivoire ; Application 008/2011 - </w:t>
      </w:r>
      <w:proofErr w:type="spellStart"/>
      <w:r w:rsidRPr="00C17055">
        <w:rPr>
          <w:rFonts w:ascii="Book Antiqua" w:hAnsi="Book Antiqua"/>
          <w:lang w:val="fr-FR"/>
        </w:rPr>
        <w:t>Ekollo</w:t>
      </w:r>
      <w:proofErr w:type="spellEnd"/>
      <w:r w:rsidRPr="00C17055">
        <w:rPr>
          <w:rFonts w:ascii="Book Antiqua" w:hAnsi="Book Antiqua"/>
          <w:lang w:val="fr-FR"/>
        </w:rPr>
        <w:t xml:space="preserve"> </w:t>
      </w:r>
      <w:proofErr w:type="spellStart"/>
      <w:r w:rsidRPr="00C17055">
        <w:rPr>
          <w:rFonts w:ascii="Book Antiqua" w:hAnsi="Book Antiqua"/>
          <w:lang w:val="fr-FR"/>
        </w:rPr>
        <w:t>Moundi</w:t>
      </w:r>
      <w:proofErr w:type="spellEnd"/>
      <w:r w:rsidRPr="00C17055">
        <w:rPr>
          <w:rFonts w:ascii="Book Antiqua" w:hAnsi="Book Antiqua"/>
          <w:lang w:val="fr-FR"/>
        </w:rPr>
        <w:t xml:space="preserve"> Alexandre c/la République du Cameroun et la République Fédérale du Nigeria</w:t>
      </w:r>
    </w:p>
    <w:p w:rsidR="0085439E" w:rsidRPr="00C17055" w:rsidRDefault="0085439E" w:rsidP="0085439E">
      <w:pPr>
        <w:pStyle w:val="FootnoteText"/>
        <w:rPr>
          <w:lang w:val="fr-FR"/>
        </w:rPr>
      </w:pPr>
    </w:p>
  </w:footnote>
  <w:footnote w:id="10">
    <w:p w:rsidR="00791201" w:rsidRPr="00412AAC" w:rsidRDefault="00791201">
      <w:pPr>
        <w:pStyle w:val="FootnoteText"/>
        <w:rPr>
          <w:rFonts w:ascii="Book Antiqua" w:hAnsi="Book Antiqua"/>
          <w:sz w:val="18"/>
          <w:szCs w:val="18"/>
          <w:lang w:val="fr-FR"/>
        </w:rPr>
      </w:pPr>
      <w:r w:rsidRPr="00412AAC">
        <w:rPr>
          <w:rStyle w:val="FootnoteReference"/>
          <w:rFonts w:ascii="Book Antiqua" w:hAnsi="Book Antiqua"/>
          <w:sz w:val="18"/>
          <w:szCs w:val="18"/>
        </w:rPr>
        <w:footnoteRef/>
      </w:r>
      <w:r w:rsidRPr="00412AAC">
        <w:rPr>
          <w:rFonts w:ascii="Book Antiqua" w:hAnsi="Book Antiqua"/>
          <w:sz w:val="18"/>
          <w:szCs w:val="18"/>
          <w:lang w:val="fr-FR"/>
        </w:rPr>
        <w:t xml:space="preserve"> Les </w:t>
      </w:r>
      <w:proofErr w:type="spellStart"/>
      <w:r w:rsidRPr="00412AAC">
        <w:rPr>
          <w:rFonts w:ascii="Book Antiqua" w:hAnsi="Book Antiqua"/>
          <w:sz w:val="18"/>
          <w:szCs w:val="18"/>
          <w:lang w:val="fr-FR"/>
        </w:rPr>
        <w:t>rapporteures</w:t>
      </w:r>
      <w:proofErr w:type="spellEnd"/>
      <w:r w:rsidRPr="00412AAC">
        <w:rPr>
          <w:rFonts w:ascii="Book Antiqua" w:hAnsi="Book Antiqua"/>
          <w:sz w:val="18"/>
          <w:szCs w:val="18"/>
          <w:lang w:val="fr-FR"/>
        </w:rPr>
        <w:t xml:space="preserve"> spéciales sur les défenseurs des droits de l’homme ont effectué une mission conjointe en Tunisie (2012)</w:t>
      </w:r>
    </w:p>
  </w:footnote>
  <w:footnote w:id="11">
    <w:p w:rsidR="00412AAC" w:rsidRPr="00412AAC" w:rsidRDefault="00412AAC" w:rsidP="00412AAC">
      <w:pPr>
        <w:pStyle w:val="FootnoteText"/>
        <w:rPr>
          <w:rFonts w:ascii="Book Antiqua" w:hAnsi="Book Antiqua"/>
          <w:sz w:val="18"/>
          <w:szCs w:val="18"/>
          <w:lang w:val="fr-FR"/>
        </w:rPr>
      </w:pPr>
      <w:r w:rsidRPr="00412AAC">
        <w:rPr>
          <w:rStyle w:val="FootnoteReference"/>
          <w:rFonts w:ascii="Book Antiqua" w:hAnsi="Book Antiqua"/>
          <w:sz w:val="18"/>
          <w:szCs w:val="18"/>
        </w:rPr>
        <w:footnoteRef/>
      </w:r>
      <w:r w:rsidRPr="00412AAC">
        <w:rPr>
          <w:rFonts w:ascii="Book Antiqua" w:hAnsi="Book Antiqua"/>
          <w:sz w:val="18"/>
          <w:szCs w:val="18"/>
          <w:lang w:val="fr-FR"/>
        </w:rPr>
        <w:t xml:space="preserve"> Communiqué conjoint </w:t>
      </w:r>
      <w:r w:rsidR="00990E9A">
        <w:rPr>
          <w:rFonts w:ascii="Book Antiqua" w:hAnsi="Book Antiqua"/>
          <w:sz w:val="18"/>
          <w:szCs w:val="18"/>
          <w:lang w:val="fr-FR"/>
        </w:rPr>
        <w:t xml:space="preserve">publié à différentes occasions, notamment </w:t>
      </w:r>
      <w:r w:rsidRPr="00412AAC">
        <w:rPr>
          <w:rFonts w:ascii="Book Antiqua" w:hAnsi="Book Antiqua"/>
          <w:sz w:val="18"/>
          <w:szCs w:val="18"/>
          <w:lang w:val="fr-FR"/>
        </w:rPr>
        <w:t>à l'occasion de la journée internationale en soutien des victimes de la torture</w:t>
      </w:r>
      <w:r w:rsidR="00990E9A">
        <w:rPr>
          <w:rFonts w:ascii="Book Antiqua" w:hAnsi="Book Antiqua"/>
          <w:sz w:val="18"/>
          <w:szCs w:val="18"/>
          <w:lang w:val="fr-FR"/>
        </w:rPr>
        <w:t>, journée internationale des Migrants, …</w:t>
      </w:r>
    </w:p>
    <w:p w:rsidR="00412AAC" w:rsidRPr="00412AAC" w:rsidRDefault="00412AAC">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singleLevel"/>
    <w:tmpl w:val="0000003A"/>
    <w:name w:val="WW8Num58"/>
    <w:lvl w:ilvl="0">
      <w:start w:val="1"/>
      <w:numFmt w:val="lowerLetter"/>
      <w:lvlText w:val="%1)"/>
      <w:lvlJc w:val="left"/>
      <w:pPr>
        <w:tabs>
          <w:tab w:val="num" w:pos="0"/>
        </w:tabs>
        <w:ind w:left="720" w:hanging="360"/>
      </w:pPr>
    </w:lvl>
  </w:abstractNum>
  <w:abstractNum w:abstractNumId="1">
    <w:nsid w:val="02C7323B"/>
    <w:multiLevelType w:val="hybridMultilevel"/>
    <w:tmpl w:val="7ADE363E"/>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F6651"/>
    <w:multiLevelType w:val="hybridMultilevel"/>
    <w:tmpl w:val="0E008B9C"/>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80DFF"/>
    <w:multiLevelType w:val="hybridMultilevel"/>
    <w:tmpl w:val="94089DD8"/>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80139B"/>
    <w:multiLevelType w:val="hybridMultilevel"/>
    <w:tmpl w:val="C0669914"/>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220A23A1"/>
    <w:multiLevelType w:val="hybridMultilevel"/>
    <w:tmpl w:val="36501FB2"/>
    <w:lvl w:ilvl="0" w:tplc="AAD8973E">
      <w:start w:val="1"/>
      <w:numFmt w:val="decimal"/>
      <w:lvlText w:val="%1."/>
      <w:lvlJc w:val="left"/>
      <w:pPr>
        <w:ind w:left="2520" w:hanging="360"/>
      </w:pPr>
      <w:rPr>
        <w:rFonts w:ascii="Calibri" w:hAnsi="Calibri"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23F0C7E"/>
    <w:multiLevelType w:val="hybridMultilevel"/>
    <w:tmpl w:val="61A6ACC2"/>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7C7613"/>
    <w:multiLevelType w:val="hybridMultilevel"/>
    <w:tmpl w:val="01A68854"/>
    <w:lvl w:ilvl="0" w:tplc="AAD8973E">
      <w:start w:val="1"/>
      <w:numFmt w:val="decimal"/>
      <w:lvlText w:val="%1."/>
      <w:lvlJc w:val="left"/>
      <w:pPr>
        <w:ind w:left="1800" w:hanging="360"/>
      </w:pPr>
      <w:rPr>
        <w:rFonts w:ascii="Calibri" w:hAnsi="Calibri"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162A95"/>
    <w:multiLevelType w:val="hybridMultilevel"/>
    <w:tmpl w:val="832CD4B0"/>
    <w:lvl w:ilvl="0" w:tplc="AAD8973E">
      <w:start w:val="1"/>
      <w:numFmt w:val="decimal"/>
      <w:lvlText w:val="%1."/>
      <w:lvlJc w:val="left"/>
      <w:pPr>
        <w:ind w:left="2520" w:hanging="360"/>
      </w:pPr>
      <w:rPr>
        <w:rFonts w:ascii="Calibri" w:hAnsi="Calibri"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2E7601C"/>
    <w:multiLevelType w:val="multilevel"/>
    <w:tmpl w:val="9DF8A21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nsid w:val="4FED70BE"/>
    <w:multiLevelType w:val="hybridMultilevel"/>
    <w:tmpl w:val="E1262A6C"/>
    <w:lvl w:ilvl="0" w:tplc="AAD8973E">
      <w:start w:val="1"/>
      <w:numFmt w:val="decimal"/>
      <w:lvlText w:val="%1."/>
      <w:lvlJc w:val="left"/>
      <w:pPr>
        <w:ind w:left="1800" w:hanging="360"/>
      </w:pPr>
      <w:rPr>
        <w:rFonts w:ascii="Calibri" w:hAnsi="Calibri"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2D098B"/>
    <w:multiLevelType w:val="hybridMultilevel"/>
    <w:tmpl w:val="E2047132"/>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9D64A3"/>
    <w:multiLevelType w:val="hybridMultilevel"/>
    <w:tmpl w:val="23EEDC60"/>
    <w:lvl w:ilvl="0" w:tplc="AAD8973E">
      <w:start w:val="1"/>
      <w:numFmt w:val="decimal"/>
      <w:lvlText w:val="%1."/>
      <w:lvlJc w:val="left"/>
      <w:pPr>
        <w:ind w:left="1800" w:hanging="360"/>
      </w:pPr>
      <w:rPr>
        <w:rFonts w:ascii="Calibri" w:hAnsi="Calibri"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5A139C"/>
    <w:multiLevelType w:val="hybridMultilevel"/>
    <w:tmpl w:val="F1248A10"/>
    <w:lvl w:ilvl="0" w:tplc="22929BD0">
      <w:start w:val="4"/>
      <w:numFmt w:val="bullet"/>
      <w:lvlText w:val="-"/>
      <w:lvlJc w:val="left"/>
      <w:pPr>
        <w:ind w:left="1440" w:hanging="360"/>
      </w:pPr>
      <w:rPr>
        <w:rFonts w:ascii="Book Antiqua" w:eastAsiaTheme="minorHAnsi"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19905F1"/>
    <w:multiLevelType w:val="hybridMultilevel"/>
    <w:tmpl w:val="A8FEBBFE"/>
    <w:lvl w:ilvl="0" w:tplc="2C786038">
      <w:start w:val="1"/>
      <w:numFmt w:val="bullet"/>
      <w:lvlText w:val="-"/>
      <w:lvlJc w:val="left"/>
      <w:pPr>
        <w:ind w:left="720" w:hanging="360"/>
      </w:pPr>
      <w:rPr>
        <w:rFonts w:ascii="Book Antiqua" w:eastAsiaTheme="minorHAnsi"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363CAB"/>
    <w:multiLevelType w:val="hybridMultilevel"/>
    <w:tmpl w:val="634CCCEC"/>
    <w:lvl w:ilvl="0" w:tplc="AAD8973E">
      <w:start w:val="1"/>
      <w:numFmt w:val="decimal"/>
      <w:lvlText w:val="%1."/>
      <w:lvlJc w:val="left"/>
      <w:pPr>
        <w:ind w:left="1800" w:hanging="360"/>
      </w:pPr>
      <w:rPr>
        <w:rFonts w:ascii="Calibri" w:hAnsi="Calibri"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7D27F6"/>
    <w:multiLevelType w:val="hybridMultilevel"/>
    <w:tmpl w:val="7ADE363E"/>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A31CBC"/>
    <w:multiLevelType w:val="hybridMultilevel"/>
    <w:tmpl w:val="FB940858"/>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611820"/>
    <w:multiLevelType w:val="hybridMultilevel"/>
    <w:tmpl w:val="E2047132"/>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2F36A6"/>
    <w:multiLevelType w:val="hybridMultilevel"/>
    <w:tmpl w:val="7ADE363E"/>
    <w:lvl w:ilvl="0" w:tplc="AAD8973E">
      <w:start w:val="1"/>
      <w:numFmt w:val="decimal"/>
      <w:lvlText w:val="%1."/>
      <w:lvlJc w:val="left"/>
      <w:pPr>
        <w:ind w:left="1080" w:hanging="360"/>
      </w:pPr>
      <w:rPr>
        <w:rFonts w:ascii="Calibri" w:hAnsi="Calibri"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6242E8"/>
    <w:multiLevelType w:val="hybridMultilevel"/>
    <w:tmpl w:val="B78866BE"/>
    <w:lvl w:ilvl="0" w:tplc="13E44E14">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0F2417"/>
    <w:multiLevelType w:val="hybridMultilevel"/>
    <w:tmpl w:val="F4528AD0"/>
    <w:lvl w:ilvl="0" w:tplc="F65CD158">
      <w:start w:val="1"/>
      <w:numFmt w:val="upperRoman"/>
      <w:lvlText w:val="%1."/>
      <w:lvlJc w:val="left"/>
      <w:pPr>
        <w:ind w:left="720" w:hanging="360"/>
      </w:pPr>
      <w:rPr>
        <w:rFonts w:ascii="Book Antiqua" w:eastAsia="Calibri" w:hAnsi="Book Antiqua"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1"/>
  </w:num>
  <w:num w:numId="3">
    <w:abstractNumId w:val="17"/>
  </w:num>
  <w:num w:numId="4">
    <w:abstractNumId w:val="4"/>
  </w:num>
  <w:num w:numId="5">
    <w:abstractNumId w:val="19"/>
  </w:num>
  <w:num w:numId="6">
    <w:abstractNumId w:val="6"/>
  </w:num>
  <w:num w:numId="7">
    <w:abstractNumId w:val="7"/>
  </w:num>
  <w:num w:numId="8">
    <w:abstractNumId w:val="5"/>
  </w:num>
  <w:num w:numId="9">
    <w:abstractNumId w:val="1"/>
  </w:num>
  <w:num w:numId="10">
    <w:abstractNumId w:val="16"/>
  </w:num>
  <w:num w:numId="11">
    <w:abstractNumId w:val="10"/>
  </w:num>
  <w:num w:numId="12">
    <w:abstractNumId w:val="8"/>
  </w:num>
  <w:num w:numId="13">
    <w:abstractNumId w:val="0"/>
  </w:num>
  <w:num w:numId="14">
    <w:abstractNumId w:val="13"/>
  </w:num>
  <w:num w:numId="15">
    <w:abstractNumId w:val="2"/>
  </w:num>
  <w:num w:numId="16">
    <w:abstractNumId w:val="12"/>
  </w:num>
  <w:num w:numId="17">
    <w:abstractNumId w:val="3"/>
  </w:num>
  <w:num w:numId="18">
    <w:abstractNumId w:val="15"/>
  </w:num>
  <w:num w:numId="19">
    <w:abstractNumId w:val="11"/>
  </w:num>
  <w:num w:numId="20">
    <w:abstractNumId w:val="18"/>
  </w:num>
  <w:num w:numId="21">
    <w:abstractNumId w:val="20"/>
  </w:num>
  <w:num w:numId="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49"/>
    <w:rsid w:val="000044FB"/>
    <w:rsid w:val="00007D42"/>
    <w:rsid w:val="000417B1"/>
    <w:rsid w:val="00063CA0"/>
    <w:rsid w:val="0006721C"/>
    <w:rsid w:val="00070067"/>
    <w:rsid w:val="000A1785"/>
    <w:rsid w:val="000A224D"/>
    <w:rsid w:val="000C4F83"/>
    <w:rsid w:val="000E139E"/>
    <w:rsid w:val="000F3709"/>
    <w:rsid w:val="000F41A7"/>
    <w:rsid w:val="001174C6"/>
    <w:rsid w:val="00140994"/>
    <w:rsid w:val="00161C64"/>
    <w:rsid w:val="001A1752"/>
    <w:rsid w:val="001B13D9"/>
    <w:rsid w:val="001B779F"/>
    <w:rsid w:val="001E24DC"/>
    <w:rsid w:val="0022757E"/>
    <w:rsid w:val="002314FD"/>
    <w:rsid w:val="00266CF9"/>
    <w:rsid w:val="002907B4"/>
    <w:rsid w:val="00294131"/>
    <w:rsid w:val="002A431C"/>
    <w:rsid w:val="002A468A"/>
    <w:rsid w:val="002B5E25"/>
    <w:rsid w:val="002B633A"/>
    <w:rsid w:val="002D01EE"/>
    <w:rsid w:val="002D24B9"/>
    <w:rsid w:val="002F44EF"/>
    <w:rsid w:val="003061A9"/>
    <w:rsid w:val="00306B44"/>
    <w:rsid w:val="00354F81"/>
    <w:rsid w:val="00390527"/>
    <w:rsid w:val="003A3CA6"/>
    <w:rsid w:val="003B072F"/>
    <w:rsid w:val="003D270F"/>
    <w:rsid w:val="003E20E2"/>
    <w:rsid w:val="003E68ED"/>
    <w:rsid w:val="00412AAC"/>
    <w:rsid w:val="00425375"/>
    <w:rsid w:val="00445FA0"/>
    <w:rsid w:val="00451BA5"/>
    <w:rsid w:val="004549BE"/>
    <w:rsid w:val="00456B41"/>
    <w:rsid w:val="00496627"/>
    <w:rsid w:val="00496C10"/>
    <w:rsid w:val="004A0210"/>
    <w:rsid w:val="004A5966"/>
    <w:rsid w:val="004B20AE"/>
    <w:rsid w:val="004B50A3"/>
    <w:rsid w:val="004C5F49"/>
    <w:rsid w:val="004F02F3"/>
    <w:rsid w:val="004F3816"/>
    <w:rsid w:val="004F45B2"/>
    <w:rsid w:val="0050038A"/>
    <w:rsid w:val="00500E81"/>
    <w:rsid w:val="005226AF"/>
    <w:rsid w:val="00530BAA"/>
    <w:rsid w:val="00546BEF"/>
    <w:rsid w:val="005765D9"/>
    <w:rsid w:val="005A29D5"/>
    <w:rsid w:val="005C3AEC"/>
    <w:rsid w:val="005F3BBE"/>
    <w:rsid w:val="00613EB8"/>
    <w:rsid w:val="0063505F"/>
    <w:rsid w:val="00643B41"/>
    <w:rsid w:val="00644F2D"/>
    <w:rsid w:val="0066153A"/>
    <w:rsid w:val="0066391F"/>
    <w:rsid w:val="00667CC7"/>
    <w:rsid w:val="006E3F47"/>
    <w:rsid w:val="00711149"/>
    <w:rsid w:val="0071689A"/>
    <w:rsid w:val="00752E45"/>
    <w:rsid w:val="0077056C"/>
    <w:rsid w:val="00791201"/>
    <w:rsid w:val="007D0F42"/>
    <w:rsid w:val="007D3216"/>
    <w:rsid w:val="007D7A9C"/>
    <w:rsid w:val="007E6508"/>
    <w:rsid w:val="0081421B"/>
    <w:rsid w:val="0085439E"/>
    <w:rsid w:val="008624AE"/>
    <w:rsid w:val="00862C4D"/>
    <w:rsid w:val="00870A6E"/>
    <w:rsid w:val="00881472"/>
    <w:rsid w:val="00885563"/>
    <w:rsid w:val="00886312"/>
    <w:rsid w:val="008A19F8"/>
    <w:rsid w:val="008B24BE"/>
    <w:rsid w:val="008B71AA"/>
    <w:rsid w:val="008F2581"/>
    <w:rsid w:val="00906A3B"/>
    <w:rsid w:val="009122D2"/>
    <w:rsid w:val="00933FE3"/>
    <w:rsid w:val="00941687"/>
    <w:rsid w:val="00951A44"/>
    <w:rsid w:val="00954115"/>
    <w:rsid w:val="00970286"/>
    <w:rsid w:val="00982E3E"/>
    <w:rsid w:val="00990E9A"/>
    <w:rsid w:val="00A07994"/>
    <w:rsid w:val="00A17448"/>
    <w:rsid w:val="00A27B5B"/>
    <w:rsid w:val="00A51599"/>
    <w:rsid w:val="00A5367F"/>
    <w:rsid w:val="00A54464"/>
    <w:rsid w:val="00A554BB"/>
    <w:rsid w:val="00A612D9"/>
    <w:rsid w:val="00A64CC8"/>
    <w:rsid w:val="00A668B9"/>
    <w:rsid w:val="00A808DA"/>
    <w:rsid w:val="00A83287"/>
    <w:rsid w:val="00A86AD2"/>
    <w:rsid w:val="00A94B28"/>
    <w:rsid w:val="00A95F03"/>
    <w:rsid w:val="00AA5089"/>
    <w:rsid w:val="00AC3451"/>
    <w:rsid w:val="00AD139E"/>
    <w:rsid w:val="00AD4BF4"/>
    <w:rsid w:val="00B01C19"/>
    <w:rsid w:val="00B06805"/>
    <w:rsid w:val="00B23179"/>
    <w:rsid w:val="00B636EE"/>
    <w:rsid w:val="00B765B1"/>
    <w:rsid w:val="00B842E6"/>
    <w:rsid w:val="00BB6D4C"/>
    <w:rsid w:val="00BE24E5"/>
    <w:rsid w:val="00BE7B95"/>
    <w:rsid w:val="00BF7C8C"/>
    <w:rsid w:val="00C021D5"/>
    <w:rsid w:val="00C05D28"/>
    <w:rsid w:val="00C11A13"/>
    <w:rsid w:val="00C17055"/>
    <w:rsid w:val="00C17964"/>
    <w:rsid w:val="00C436E2"/>
    <w:rsid w:val="00C4684A"/>
    <w:rsid w:val="00C4745E"/>
    <w:rsid w:val="00C633D0"/>
    <w:rsid w:val="00CC5AB1"/>
    <w:rsid w:val="00CC62D1"/>
    <w:rsid w:val="00D01CF2"/>
    <w:rsid w:val="00D157BE"/>
    <w:rsid w:val="00D653FD"/>
    <w:rsid w:val="00D65556"/>
    <w:rsid w:val="00D9267F"/>
    <w:rsid w:val="00D9738E"/>
    <w:rsid w:val="00DF58D1"/>
    <w:rsid w:val="00E012AC"/>
    <w:rsid w:val="00E02B55"/>
    <w:rsid w:val="00E15429"/>
    <w:rsid w:val="00E26B10"/>
    <w:rsid w:val="00E35F54"/>
    <w:rsid w:val="00E64C56"/>
    <w:rsid w:val="00E87DB1"/>
    <w:rsid w:val="00E94C92"/>
    <w:rsid w:val="00EB3580"/>
    <w:rsid w:val="00EC2CA0"/>
    <w:rsid w:val="00EE7B62"/>
    <w:rsid w:val="00EE7D9D"/>
    <w:rsid w:val="00EF1D30"/>
    <w:rsid w:val="00F02CC2"/>
    <w:rsid w:val="00F20DD1"/>
    <w:rsid w:val="00F71493"/>
    <w:rsid w:val="00FE64AC"/>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5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4">
    <w:name w:val="heading 4"/>
    <w:basedOn w:val="Normal"/>
    <w:next w:val="Normal"/>
    <w:link w:val="Heading4Char"/>
    <w:uiPriority w:val="9"/>
    <w:semiHidden/>
    <w:unhideWhenUsed/>
    <w:qFormat/>
    <w:rsid w:val="00933F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3F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3F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3FE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C5F49"/>
    <w:pPr>
      <w:spacing w:after="0" w:line="240" w:lineRule="auto"/>
    </w:pPr>
    <w:rPr>
      <w:sz w:val="20"/>
      <w:szCs w:val="20"/>
    </w:rPr>
  </w:style>
  <w:style w:type="character" w:customStyle="1" w:styleId="FootnoteTextChar">
    <w:name w:val="Footnote Text Char"/>
    <w:basedOn w:val="DefaultParagraphFont"/>
    <w:link w:val="FootnoteText"/>
    <w:uiPriority w:val="99"/>
    <w:rsid w:val="004C5F49"/>
    <w:rPr>
      <w:sz w:val="20"/>
      <w:szCs w:val="20"/>
    </w:rPr>
  </w:style>
  <w:style w:type="character" w:styleId="FootnoteReference">
    <w:name w:val="footnote reference"/>
    <w:uiPriority w:val="99"/>
    <w:semiHidden/>
    <w:rsid w:val="004C5F49"/>
    <w:rPr>
      <w:vertAlign w:val="superscript"/>
    </w:rPr>
  </w:style>
  <w:style w:type="character" w:customStyle="1" w:styleId="Heading1Char">
    <w:name w:val="Heading 1 Char"/>
    <w:basedOn w:val="DefaultParagraphFont"/>
    <w:link w:val="Heading1"/>
    <w:uiPriority w:val="9"/>
    <w:rsid w:val="00D157BE"/>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D157BE"/>
  </w:style>
  <w:style w:type="paragraph" w:customStyle="1" w:styleId="Default">
    <w:name w:val="Default"/>
    <w:uiPriority w:val="99"/>
    <w:rsid w:val="00EB3580"/>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4Char">
    <w:name w:val="Heading 4 Char"/>
    <w:basedOn w:val="DefaultParagraphFont"/>
    <w:link w:val="Heading4"/>
    <w:uiPriority w:val="9"/>
    <w:semiHidden/>
    <w:rsid w:val="00933F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3F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33F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3FE3"/>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933FE3"/>
    <w:rPr>
      <w:color w:val="0000FF" w:themeColor="hyperlink"/>
      <w:u w:val="single"/>
    </w:rPr>
  </w:style>
  <w:style w:type="paragraph" w:styleId="BalloonText">
    <w:name w:val="Balloon Text"/>
    <w:basedOn w:val="Normal"/>
    <w:link w:val="BalloonTextChar"/>
    <w:uiPriority w:val="99"/>
    <w:semiHidden/>
    <w:unhideWhenUsed/>
    <w:rsid w:val="0093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E3"/>
    <w:rPr>
      <w:rFonts w:ascii="Tahoma" w:hAnsi="Tahoma" w:cs="Tahoma"/>
      <w:sz w:val="16"/>
      <w:szCs w:val="16"/>
    </w:rPr>
  </w:style>
  <w:style w:type="paragraph" w:styleId="BodyText">
    <w:name w:val="Body Text"/>
    <w:basedOn w:val="Normal"/>
    <w:link w:val="BodyTextChar"/>
    <w:uiPriority w:val="99"/>
    <w:semiHidden/>
    <w:unhideWhenUsed/>
    <w:rsid w:val="00AA5089"/>
    <w:pPr>
      <w:spacing w:after="120"/>
    </w:pPr>
  </w:style>
  <w:style w:type="character" w:customStyle="1" w:styleId="BodyTextChar">
    <w:name w:val="Body Text Char"/>
    <w:basedOn w:val="DefaultParagraphFont"/>
    <w:link w:val="BodyText"/>
    <w:uiPriority w:val="99"/>
    <w:semiHidden/>
    <w:rsid w:val="00AA5089"/>
  </w:style>
  <w:style w:type="paragraph" w:styleId="ListParagraph">
    <w:name w:val="List Paragraph"/>
    <w:basedOn w:val="Normal"/>
    <w:uiPriority w:val="99"/>
    <w:qFormat/>
    <w:rsid w:val="00982E3E"/>
    <w:pPr>
      <w:ind w:left="720"/>
      <w:contextualSpacing/>
    </w:pPr>
  </w:style>
  <w:style w:type="character" w:customStyle="1" w:styleId="longtext">
    <w:name w:val="long_text"/>
    <w:rsid w:val="00A83287"/>
  </w:style>
  <w:style w:type="paragraph" w:styleId="Header">
    <w:name w:val="header"/>
    <w:basedOn w:val="Normal"/>
    <w:link w:val="HeaderChar"/>
    <w:uiPriority w:val="99"/>
    <w:unhideWhenUsed/>
    <w:rsid w:val="003E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E2"/>
  </w:style>
  <w:style w:type="paragraph" w:styleId="Footer">
    <w:name w:val="footer"/>
    <w:basedOn w:val="Normal"/>
    <w:link w:val="FooterChar"/>
    <w:uiPriority w:val="99"/>
    <w:unhideWhenUsed/>
    <w:rsid w:val="003E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E2"/>
  </w:style>
  <w:style w:type="character" w:customStyle="1" w:styleId="WW8Num11z2">
    <w:name w:val="WW8Num11z2"/>
    <w:rsid w:val="00496627"/>
    <w:rPr>
      <w:rFonts w:ascii="Wingdings" w:hAnsi="Wingdings" w:cs="Wingdings"/>
      <w:sz w:val="20"/>
    </w:rPr>
  </w:style>
  <w:style w:type="character" w:styleId="CommentReference">
    <w:name w:val="annotation reference"/>
    <w:basedOn w:val="DefaultParagraphFont"/>
    <w:uiPriority w:val="99"/>
    <w:semiHidden/>
    <w:unhideWhenUsed/>
    <w:rsid w:val="00E94C92"/>
    <w:rPr>
      <w:sz w:val="16"/>
      <w:szCs w:val="16"/>
    </w:rPr>
  </w:style>
  <w:style w:type="paragraph" w:styleId="CommentText">
    <w:name w:val="annotation text"/>
    <w:basedOn w:val="Normal"/>
    <w:link w:val="CommentTextChar"/>
    <w:uiPriority w:val="99"/>
    <w:semiHidden/>
    <w:unhideWhenUsed/>
    <w:rsid w:val="00E94C92"/>
    <w:pPr>
      <w:spacing w:line="240" w:lineRule="auto"/>
    </w:pPr>
    <w:rPr>
      <w:sz w:val="20"/>
      <w:szCs w:val="20"/>
    </w:rPr>
  </w:style>
  <w:style w:type="character" w:customStyle="1" w:styleId="CommentTextChar">
    <w:name w:val="Comment Text Char"/>
    <w:basedOn w:val="DefaultParagraphFont"/>
    <w:link w:val="CommentText"/>
    <w:uiPriority w:val="99"/>
    <w:semiHidden/>
    <w:rsid w:val="00E94C92"/>
    <w:rPr>
      <w:sz w:val="20"/>
      <w:szCs w:val="20"/>
    </w:rPr>
  </w:style>
  <w:style w:type="paragraph" w:styleId="CommentSubject">
    <w:name w:val="annotation subject"/>
    <w:basedOn w:val="CommentText"/>
    <w:next w:val="CommentText"/>
    <w:link w:val="CommentSubjectChar"/>
    <w:uiPriority w:val="99"/>
    <w:semiHidden/>
    <w:unhideWhenUsed/>
    <w:rsid w:val="00E94C92"/>
    <w:rPr>
      <w:b/>
      <w:bCs/>
    </w:rPr>
  </w:style>
  <w:style w:type="character" w:customStyle="1" w:styleId="CommentSubjectChar">
    <w:name w:val="Comment Subject Char"/>
    <w:basedOn w:val="CommentTextChar"/>
    <w:link w:val="CommentSubject"/>
    <w:uiPriority w:val="99"/>
    <w:semiHidden/>
    <w:rsid w:val="00E94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5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4">
    <w:name w:val="heading 4"/>
    <w:basedOn w:val="Normal"/>
    <w:next w:val="Normal"/>
    <w:link w:val="Heading4Char"/>
    <w:uiPriority w:val="9"/>
    <w:semiHidden/>
    <w:unhideWhenUsed/>
    <w:qFormat/>
    <w:rsid w:val="00933F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3F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3F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3FE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C5F49"/>
    <w:pPr>
      <w:spacing w:after="0" w:line="240" w:lineRule="auto"/>
    </w:pPr>
    <w:rPr>
      <w:sz w:val="20"/>
      <w:szCs w:val="20"/>
    </w:rPr>
  </w:style>
  <w:style w:type="character" w:customStyle="1" w:styleId="FootnoteTextChar">
    <w:name w:val="Footnote Text Char"/>
    <w:basedOn w:val="DefaultParagraphFont"/>
    <w:link w:val="FootnoteText"/>
    <w:uiPriority w:val="99"/>
    <w:rsid w:val="004C5F49"/>
    <w:rPr>
      <w:sz w:val="20"/>
      <w:szCs w:val="20"/>
    </w:rPr>
  </w:style>
  <w:style w:type="character" w:styleId="FootnoteReference">
    <w:name w:val="footnote reference"/>
    <w:uiPriority w:val="99"/>
    <w:semiHidden/>
    <w:rsid w:val="004C5F49"/>
    <w:rPr>
      <w:vertAlign w:val="superscript"/>
    </w:rPr>
  </w:style>
  <w:style w:type="character" w:customStyle="1" w:styleId="Heading1Char">
    <w:name w:val="Heading 1 Char"/>
    <w:basedOn w:val="DefaultParagraphFont"/>
    <w:link w:val="Heading1"/>
    <w:uiPriority w:val="9"/>
    <w:rsid w:val="00D157BE"/>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DefaultParagraphFont"/>
    <w:rsid w:val="00D157BE"/>
  </w:style>
  <w:style w:type="paragraph" w:customStyle="1" w:styleId="Default">
    <w:name w:val="Default"/>
    <w:uiPriority w:val="99"/>
    <w:rsid w:val="00EB3580"/>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4Char">
    <w:name w:val="Heading 4 Char"/>
    <w:basedOn w:val="DefaultParagraphFont"/>
    <w:link w:val="Heading4"/>
    <w:uiPriority w:val="9"/>
    <w:semiHidden/>
    <w:rsid w:val="00933F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3F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33F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3FE3"/>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933FE3"/>
    <w:rPr>
      <w:color w:val="0000FF" w:themeColor="hyperlink"/>
      <w:u w:val="single"/>
    </w:rPr>
  </w:style>
  <w:style w:type="paragraph" w:styleId="BalloonText">
    <w:name w:val="Balloon Text"/>
    <w:basedOn w:val="Normal"/>
    <w:link w:val="BalloonTextChar"/>
    <w:uiPriority w:val="99"/>
    <w:semiHidden/>
    <w:unhideWhenUsed/>
    <w:rsid w:val="0093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E3"/>
    <w:rPr>
      <w:rFonts w:ascii="Tahoma" w:hAnsi="Tahoma" w:cs="Tahoma"/>
      <w:sz w:val="16"/>
      <w:szCs w:val="16"/>
    </w:rPr>
  </w:style>
  <w:style w:type="paragraph" w:styleId="BodyText">
    <w:name w:val="Body Text"/>
    <w:basedOn w:val="Normal"/>
    <w:link w:val="BodyTextChar"/>
    <w:uiPriority w:val="99"/>
    <w:semiHidden/>
    <w:unhideWhenUsed/>
    <w:rsid w:val="00AA5089"/>
    <w:pPr>
      <w:spacing w:after="120"/>
    </w:pPr>
  </w:style>
  <w:style w:type="character" w:customStyle="1" w:styleId="BodyTextChar">
    <w:name w:val="Body Text Char"/>
    <w:basedOn w:val="DefaultParagraphFont"/>
    <w:link w:val="BodyText"/>
    <w:uiPriority w:val="99"/>
    <w:semiHidden/>
    <w:rsid w:val="00AA5089"/>
  </w:style>
  <w:style w:type="paragraph" w:styleId="ListParagraph">
    <w:name w:val="List Paragraph"/>
    <w:basedOn w:val="Normal"/>
    <w:uiPriority w:val="99"/>
    <w:qFormat/>
    <w:rsid w:val="00982E3E"/>
    <w:pPr>
      <w:ind w:left="720"/>
      <w:contextualSpacing/>
    </w:pPr>
  </w:style>
  <w:style w:type="character" w:customStyle="1" w:styleId="longtext">
    <w:name w:val="long_text"/>
    <w:rsid w:val="00A83287"/>
  </w:style>
  <w:style w:type="paragraph" w:styleId="Header">
    <w:name w:val="header"/>
    <w:basedOn w:val="Normal"/>
    <w:link w:val="HeaderChar"/>
    <w:uiPriority w:val="99"/>
    <w:unhideWhenUsed/>
    <w:rsid w:val="003E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E2"/>
  </w:style>
  <w:style w:type="paragraph" w:styleId="Footer">
    <w:name w:val="footer"/>
    <w:basedOn w:val="Normal"/>
    <w:link w:val="FooterChar"/>
    <w:uiPriority w:val="99"/>
    <w:unhideWhenUsed/>
    <w:rsid w:val="003E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E2"/>
  </w:style>
  <w:style w:type="character" w:customStyle="1" w:styleId="WW8Num11z2">
    <w:name w:val="WW8Num11z2"/>
    <w:rsid w:val="00496627"/>
    <w:rPr>
      <w:rFonts w:ascii="Wingdings" w:hAnsi="Wingdings" w:cs="Wingdings"/>
      <w:sz w:val="20"/>
    </w:rPr>
  </w:style>
  <w:style w:type="character" w:styleId="CommentReference">
    <w:name w:val="annotation reference"/>
    <w:basedOn w:val="DefaultParagraphFont"/>
    <w:uiPriority w:val="99"/>
    <w:semiHidden/>
    <w:unhideWhenUsed/>
    <w:rsid w:val="00E94C92"/>
    <w:rPr>
      <w:sz w:val="16"/>
      <w:szCs w:val="16"/>
    </w:rPr>
  </w:style>
  <w:style w:type="paragraph" w:styleId="CommentText">
    <w:name w:val="annotation text"/>
    <w:basedOn w:val="Normal"/>
    <w:link w:val="CommentTextChar"/>
    <w:uiPriority w:val="99"/>
    <w:semiHidden/>
    <w:unhideWhenUsed/>
    <w:rsid w:val="00E94C92"/>
    <w:pPr>
      <w:spacing w:line="240" w:lineRule="auto"/>
    </w:pPr>
    <w:rPr>
      <w:sz w:val="20"/>
      <w:szCs w:val="20"/>
    </w:rPr>
  </w:style>
  <w:style w:type="character" w:customStyle="1" w:styleId="CommentTextChar">
    <w:name w:val="Comment Text Char"/>
    <w:basedOn w:val="DefaultParagraphFont"/>
    <w:link w:val="CommentText"/>
    <w:uiPriority w:val="99"/>
    <w:semiHidden/>
    <w:rsid w:val="00E94C92"/>
    <w:rPr>
      <w:sz w:val="20"/>
      <w:szCs w:val="20"/>
    </w:rPr>
  </w:style>
  <w:style w:type="paragraph" w:styleId="CommentSubject">
    <w:name w:val="annotation subject"/>
    <w:basedOn w:val="CommentText"/>
    <w:next w:val="CommentText"/>
    <w:link w:val="CommentSubjectChar"/>
    <w:uiPriority w:val="99"/>
    <w:semiHidden/>
    <w:unhideWhenUsed/>
    <w:rsid w:val="00E94C92"/>
    <w:rPr>
      <w:b/>
      <w:bCs/>
    </w:rPr>
  </w:style>
  <w:style w:type="character" w:customStyle="1" w:styleId="CommentSubjectChar">
    <w:name w:val="Comment Subject Char"/>
    <w:basedOn w:val="CommentTextChar"/>
    <w:link w:val="CommentSubject"/>
    <w:uiPriority w:val="99"/>
    <w:semiHidden/>
    <w:rsid w:val="00E9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71520">
      <w:bodyDiv w:val="1"/>
      <w:marLeft w:val="0"/>
      <w:marRight w:val="0"/>
      <w:marTop w:val="0"/>
      <w:marBottom w:val="0"/>
      <w:divBdr>
        <w:top w:val="none" w:sz="0" w:space="0" w:color="auto"/>
        <w:left w:val="none" w:sz="0" w:space="0" w:color="auto"/>
        <w:bottom w:val="none" w:sz="0" w:space="0" w:color="auto"/>
        <w:right w:val="none" w:sz="0" w:space="0" w:color="auto"/>
      </w:divBdr>
      <w:divsChild>
        <w:div w:id="722605830">
          <w:marLeft w:val="1080"/>
          <w:marRight w:val="0"/>
          <w:marTop w:val="60"/>
          <w:marBottom w:val="0"/>
          <w:divBdr>
            <w:top w:val="none" w:sz="0" w:space="0" w:color="auto"/>
            <w:left w:val="none" w:sz="0" w:space="0" w:color="auto"/>
            <w:bottom w:val="none" w:sz="0" w:space="0" w:color="auto"/>
            <w:right w:val="none" w:sz="0" w:space="0" w:color="auto"/>
          </w:divBdr>
        </w:div>
        <w:div w:id="624045193">
          <w:marLeft w:val="1080"/>
          <w:marRight w:val="0"/>
          <w:marTop w:val="60"/>
          <w:marBottom w:val="0"/>
          <w:divBdr>
            <w:top w:val="none" w:sz="0" w:space="0" w:color="auto"/>
            <w:left w:val="none" w:sz="0" w:space="0" w:color="auto"/>
            <w:bottom w:val="none" w:sz="0" w:space="0" w:color="auto"/>
            <w:right w:val="none" w:sz="0" w:space="0" w:color="auto"/>
          </w:divBdr>
        </w:div>
        <w:div w:id="2128353567">
          <w:marLeft w:val="1080"/>
          <w:marRight w:val="0"/>
          <w:marTop w:val="60"/>
          <w:marBottom w:val="0"/>
          <w:divBdr>
            <w:top w:val="none" w:sz="0" w:space="0" w:color="auto"/>
            <w:left w:val="none" w:sz="0" w:space="0" w:color="auto"/>
            <w:bottom w:val="none" w:sz="0" w:space="0" w:color="auto"/>
            <w:right w:val="none" w:sz="0" w:space="0" w:color="auto"/>
          </w:divBdr>
        </w:div>
        <w:div w:id="590116511">
          <w:marLeft w:val="1080"/>
          <w:marRight w:val="0"/>
          <w:marTop w:val="60"/>
          <w:marBottom w:val="0"/>
          <w:divBdr>
            <w:top w:val="none" w:sz="0" w:space="0" w:color="auto"/>
            <w:left w:val="none" w:sz="0" w:space="0" w:color="auto"/>
            <w:bottom w:val="none" w:sz="0" w:space="0" w:color="auto"/>
            <w:right w:val="none" w:sz="0" w:space="0" w:color="auto"/>
          </w:divBdr>
        </w:div>
        <w:div w:id="888877908">
          <w:marLeft w:val="1080"/>
          <w:marRight w:val="0"/>
          <w:marTop w:val="60"/>
          <w:marBottom w:val="0"/>
          <w:divBdr>
            <w:top w:val="none" w:sz="0" w:space="0" w:color="auto"/>
            <w:left w:val="none" w:sz="0" w:space="0" w:color="auto"/>
            <w:bottom w:val="none" w:sz="0" w:space="0" w:color="auto"/>
            <w:right w:val="none" w:sz="0" w:space="0" w:color="auto"/>
          </w:divBdr>
        </w:div>
      </w:divsChild>
    </w:div>
    <w:div w:id="677384983">
      <w:bodyDiv w:val="1"/>
      <w:marLeft w:val="0"/>
      <w:marRight w:val="0"/>
      <w:marTop w:val="0"/>
      <w:marBottom w:val="0"/>
      <w:divBdr>
        <w:top w:val="none" w:sz="0" w:space="0" w:color="auto"/>
        <w:left w:val="none" w:sz="0" w:space="0" w:color="auto"/>
        <w:bottom w:val="none" w:sz="0" w:space="0" w:color="auto"/>
        <w:right w:val="none" w:sz="0" w:space="0" w:color="auto"/>
      </w:divBdr>
    </w:div>
    <w:div w:id="1034694672">
      <w:bodyDiv w:val="1"/>
      <w:marLeft w:val="0"/>
      <w:marRight w:val="0"/>
      <w:marTop w:val="0"/>
      <w:marBottom w:val="0"/>
      <w:divBdr>
        <w:top w:val="none" w:sz="0" w:space="0" w:color="auto"/>
        <w:left w:val="none" w:sz="0" w:space="0" w:color="auto"/>
        <w:bottom w:val="none" w:sz="0" w:space="0" w:color="auto"/>
        <w:right w:val="none" w:sz="0" w:space="0" w:color="auto"/>
      </w:divBdr>
    </w:div>
    <w:div w:id="1245340584">
      <w:bodyDiv w:val="1"/>
      <w:marLeft w:val="0"/>
      <w:marRight w:val="0"/>
      <w:marTop w:val="0"/>
      <w:marBottom w:val="0"/>
      <w:divBdr>
        <w:top w:val="none" w:sz="0" w:space="0" w:color="auto"/>
        <w:left w:val="none" w:sz="0" w:space="0" w:color="auto"/>
        <w:bottom w:val="none" w:sz="0" w:space="0" w:color="auto"/>
        <w:right w:val="none" w:sz="0" w:space="0" w:color="auto"/>
      </w:divBdr>
    </w:div>
    <w:div w:id="13393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pr.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banjul@africa-union.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27A28-01E1-40FE-B7B6-A9A16962F835}"/>
</file>

<file path=customXml/itemProps2.xml><?xml version="1.0" encoding="utf-8"?>
<ds:datastoreItem xmlns:ds="http://schemas.openxmlformats.org/officeDocument/2006/customXml" ds:itemID="{5D17592D-F64B-4B61-9F0C-7729BC2DB35D}"/>
</file>

<file path=customXml/itemProps3.xml><?xml version="1.0" encoding="utf-8"?>
<ds:datastoreItem xmlns:ds="http://schemas.openxmlformats.org/officeDocument/2006/customXml" ds:itemID="{225447D9-FD92-42F9-9A5A-E3E1AE92E9A8}"/>
</file>

<file path=customXml/itemProps4.xml><?xml version="1.0" encoding="utf-8"?>
<ds:datastoreItem xmlns:ds="http://schemas.openxmlformats.org/officeDocument/2006/customXml" ds:itemID="{BCF5A017-062E-4BE5-9E3E-CDE9FED84CFF}"/>
</file>

<file path=docProps/app.xml><?xml version="1.0" encoding="utf-8"?>
<Properties xmlns="http://schemas.openxmlformats.org/officeDocument/2006/extended-properties" xmlns:vt="http://schemas.openxmlformats.org/officeDocument/2006/docPropsVTypes">
  <Template>Normal.dotm</Template>
  <TotalTime>1</TotalTime>
  <Pages>13</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Bagona</dc:creator>
  <cp:lastModifiedBy>Liza Sekaggya</cp:lastModifiedBy>
  <cp:revision>2</cp:revision>
  <cp:lastPrinted>2015-10-14T16:57:00Z</cp:lastPrinted>
  <dcterms:created xsi:type="dcterms:W3CDTF">2015-10-29T14:12:00Z</dcterms:created>
  <dcterms:modified xsi:type="dcterms:W3CDTF">2015-10-29T14:12:00Z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