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1B" w:rsidRDefault="00486A1B" w:rsidP="00486A1B">
      <w:pPr>
        <w:bidi/>
        <w:spacing w:after="0" w:line="240" w:lineRule="auto"/>
        <w:rPr>
          <w:rFonts w:ascii="Times New Roman" w:hAnsi="Times New Roman"/>
          <w:bCs/>
          <w:sz w:val="28"/>
          <w:szCs w:val="28"/>
          <w:lang w:val="en-US" w:bidi="he-IL"/>
        </w:rPr>
      </w:pPr>
      <w:r>
        <w:rPr>
          <w:rFonts w:ascii="Times New Roman" w:hAnsi="Times New Roman"/>
          <w:bCs/>
          <w:sz w:val="28"/>
          <w:szCs w:val="28"/>
          <w:rtl/>
          <w:lang w:val="en-US" w:bidi="he-IL"/>
        </w:rPr>
        <w:t>ועדת הבדיקה של האו"ם קוראת לישראל לבחון מחדש את כללי הפתיחה באש לפני יום השנה להפגנות בעזה</w:t>
      </w:r>
    </w:p>
    <w:p w:rsidR="00486A1B" w:rsidRDefault="00486A1B" w:rsidP="00486A1B">
      <w:pPr>
        <w:bidi/>
        <w:spacing w:after="0" w:line="240" w:lineRule="auto"/>
        <w:rPr>
          <w:rFonts w:ascii="Times New Roman" w:hAnsi="Times New Roman"/>
          <w:bCs/>
          <w:sz w:val="28"/>
          <w:szCs w:val="28"/>
          <w:rtl/>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ג'נבה (18 מרץ 2019): ועדת הבדיקה העצמאית של האו</w:t>
      </w:r>
      <w:r>
        <w:rPr>
          <w:rFonts w:ascii="Times New Roman" w:hAnsi="Times New Roman"/>
          <w:b/>
          <w:rtl/>
          <w:lang w:val="en-US"/>
        </w:rPr>
        <w:t>"</w:t>
      </w:r>
      <w:r>
        <w:rPr>
          <w:rFonts w:ascii="Times New Roman" w:hAnsi="Times New Roman"/>
          <w:b/>
          <w:rtl/>
          <w:lang w:val="en-US" w:bidi="he-IL"/>
        </w:rPr>
        <w:t>ם בנוגע להפגנות בשטח הפלסטיני הכבוש הציגה היום את ממצאיה למועצת זכויות האדם, לאחר שחקרה את כל מקרי המוות ומקרי פציעה רבים שאירעו בשנה שעברה במהלך ההפגנות בסמוך לגדר המערכת בין ישראל לעזה.</w:t>
      </w:r>
    </w:p>
    <w:p w:rsidR="00486A1B" w:rsidRDefault="00486A1B" w:rsidP="00486A1B">
      <w:pPr>
        <w:bidi/>
        <w:spacing w:after="0" w:line="240" w:lineRule="auto"/>
        <w:rPr>
          <w:rFonts w:ascii="Times New Roman" w:hAnsi="Times New Roman"/>
          <w:b/>
          <w:rtl/>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דו"ח הועדה בוחן מקרוב את פקודות צה"ל בנוגע לשימוש בכוח קטלני על ידי צלפים נגד מפגינים פלסטינים.</w:t>
      </w:r>
    </w:p>
    <w:p w:rsidR="00486A1B" w:rsidRDefault="00486A1B" w:rsidP="00486A1B">
      <w:pPr>
        <w:bidi/>
        <w:spacing w:after="0" w:line="240" w:lineRule="auto"/>
        <w:rPr>
          <w:rFonts w:ascii="Times New Roman" w:hAnsi="Times New Roman"/>
          <w:b/>
          <w:rtl/>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"יחד עם הצגת הדו"ח המקיף הזה, אנו קוראים לישראל להבטיח באופן מיידי שהוראות הפתיחה באש של כוחות הביטחון יתוקנו באופן שתואם את הסטנדרטים המשפטיים הבינלאומיים. יום השנה של ההפגנות יחול בעוד פחות משבועיים.  אנחנו מבינים כי קהל גדול צפוי להגיע למוקדי ההפגנה.  אסור לחזור על השימוש המופרז בכוח כפי שאירע ב-30 למרץ, 14 למאי ו-12 לאוקטובר 2018", אמר יו"ר הועדה, סנטיאגו קנטון (ארגנטינה), למועצת זכויות האדם.</w:t>
      </w:r>
    </w:p>
    <w:p w:rsidR="00486A1B" w:rsidRDefault="00486A1B" w:rsidP="00486A1B">
      <w:pPr>
        <w:bidi/>
        <w:spacing w:after="0" w:line="240" w:lineRule="auto"/>
        <w:rPr>
          <w:rFonts w:ascii="Times New Roman" w:hAnsi="Times New Roman"/>
          <w:b/>
          <w:rtl/>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"ידוע לנו שבכיר ישראלי אמר לאחרונה לתקשורת הבינלאומית שמפקד מנוסה אישר כל כדור שנורה. יחד עם זאת, כאשר בוחנים את השימוש באש חיה על-ידי צה"ל נגד מפגינים פלסטינים, הועדה מצאה שברוב המקרים השימוש בכוח קטלני אושר בניגוד לחוק.  הדבר הביא בהכרח לפגיעה שרירותית בחייהם של אנשים", אמר קנטון.</w:t>
      </w:r>
    </w:p>
    <w:p w:rsidR="00486A1B" w:rsidRDefault="00486A1B" w:rsidP="00486A1B">
      <w:pPr>
        <w:bidi/>
        <w:spacing w:after="0" w:line="240" w:lineRule="auto"/>
        <w:rPr>
          <w:rFonts w:ascii="Times New Roman" w:hAnsi="Times New Roman"/>
          <w:b/>
          <w:rtl/>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הועדה מצאה שבמהלך התקופה שנבדקה, כוחות הביטחון הישראלים ירו באש חיה ופצעו 6,016 מפגינים. 189 מפגינים נהרגו במוקדי ההפגנות, 183 מהם מאש חיה.</w:t>
      </w:r>
    </w:p>
    <w:p w:rsidR="00486A1B" w:rsidRDefault="00486A1B" w:rsidP="00486A1B">
      <w:pPr>
        <w:bidi/>
        <w:spacing w:after="0" w:line="240" w:lineRule="auto"/>
        <w:rPr>
          <w:rFonts w:ascii="Times New Roman" w:hAnsi="Times New Roman"/>
          <w:b/>
          <w:rtl/>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 xml:space="preserve">הועדה מצאה שלא היתה הצדקה לכוחות הביטחון הישראלים להרוג ולפצוע אנשים, לרבות עיתונאים, אנשי צוות רפואי וילדים, שלא היוו סכנה מיידית </w:t>
      </w:r>
      <w:r>
        <w:rPr>
          <w:rFonts w:ascii="Arial" w:hAnsi="Arial" w:cs="Arial"/>
          <w:color w:val="222222"/>
          <w:shd w:val="clear" w:color="auto" w:fill="FFFFFF"/>
          <w:rtl/>
          <w:lang w:bidi="he-IL"/>
        </w:rPr>
        <w:t>של מוות או פציעה חמורה לסובבים אותם</w:t>
      </w:r>
      <w:r>
        <w:rPr>
          <w:rFonts w:ascii="Times New Roman" w:hAnsi="Times New Roman"/>
          <w:b/>
          <w:rtl/>
          <w:lang w:val="en-US" w:bidi="he-IL"/>
        </w:rPr>
        <w:t>.</w:t>
      </w:r>
    </w:p>
    <w:p w:rsidR="00486A1B" w:rsidRDefault="00486A1B" w:rsidP="00486A1B">
      <w:pPr>
        <w:bidi/>
        <w:spacing w:after="0" w:line="240" w:lineRule="auto"/>
        <w:rPr>
          <w:rFonts w:ascii="Times New Roman" w:hAnsi="Times New Roman"/>
          <w:b/>
          <w:rtl/>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הועדה מצאה שהוראות הפתיחה באש של כוחות הביטחון הישראלים תרמו להתנהגות בלתי חוקית.  לפי ההוראות, ניתן לירות לעבר הרגליים של "מסית מרכזי" או "מתפרע מרכזי" עקב מעשים כגון שריפת צמיגים, חיתוך הגדר או חצייתה, או בשל הובלת המפגינים, או עידודם לצעוד, לעבר גדר המערכת.</w:t>
      </w:r>
    </w:p>
    <w:p w:rsidR="00486A1B" w:rsidRDefault="00486A1B" w:rsidP="00486A1B">
      <w:pPr>
        <w:bidi/>
        <w:spacing w:after="0" w:line="240" w:lineRule="auto"/>
        <w:rPr>
          <w:rFonts w:ascii="Times New Roman" w:hAnsi="Times New Roman"/>
          <w:b/>
          <w:rtl/>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"אנחנו דוחים את העמדה שירי מכוון לעבר מפגינים אלה עולה בקנה אחד עם הסטנדרטים המחמירים של משפט זכויות האדם בנוגע לשימוש בכוח קטלני. בהתבסס על הוראות הפתיחה באש, 4,903 מפגינים בלתי חמושים נורו בגפיים התחתונות, רבים מהם כאשר עמדו במרחק של מאות מטרים מהצלפים", אמר קנטון.</w:t>
      </w:r>
    </w:p>
    <w:p w:rsidR="00486A1B" w:rsidRDefault="00486A1B" w:rsidP="00486A1B">
      <w:pPr>
        <w:bidi/>
        <w:spacing w:after="0" w:line="240" w:lineRule="auto"/>
        <w:rPr>
          <w:rFonts w:ascii="Times New Roman" w:hAnsi="Times New Roman"/>
          <w:b/>
          <w:rtl/>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"לועדה יסוד סביר להאמין שבמהלך ההפגנות, המכונות "צעדת השיבה הגדולה", חיילים ישראלים ירו ופצעו קשות אזרחים אשר לא השתתפו באופן ישיר בלחימה ולא היוו איום מיידי לכוחות הביטחון הישראלי או עבור האוכלוסיה האזרחית בישראל.  כוחות הביטחון הישראלים הפרו את משפט זכויות האדם הבינלאומי ואת המשפט ההומניטרי. חלק מההפרות האלה עלולות להוות פשעי מלחמה או פשעים נגד האנושות, ועל ישראל לחקור אותן מיד", אמרה חברת הועדה קארי בטי מורונגי (קניה).</w:t>
      </w:r>
    </w:p>
    <w:p w:rsidR="00486A1B" w:rsidRDefault="00486A1B" w:rsidP="00486A1B">
      <w:pPr>
        <w:bidi/>
        <w:spacing w:after="0" w:line="240" w:lineRule="auto"/>
        <w:rPr>
          <w:rFonts w:ascii="Times New Roman" w:hAnsi="Times New Roman"/>
          <w:b/>
          <w:rtl/>
          <w:lang w:bidi="he-IL"/>
        </w:rPr>
      </w:pPr>
    </w:p>
    <w:p w:rsidR="00486A1B" w:rsidRDefault="00486A1B" w:rsidP="00486A1B">
      <w:pPr>
        <w:bidi/>
        <w:spacing w:after="0" w:line="240" w:lineRule="auto"/>
        <w:rPr>
          <w:rFonts w:ascii="Times New Roman" w:hAnsi="Times New Roman"/>
          <w:b/>
          <w:rtl/>
          <w:lang w:bidi="he-IL"/>
        </w:rPr>
      </w:pPr>
      <w:r>
        <w:rPr>
          <w:rFonts w:ascii="Times New Roman" w:hAnsi="Times New Roman"/>
          <w:b/>
          <w:rtl/>
          <w:lang w:bidi="he-IL"/>
        </w:rPr>
        <w:t>"אנו מקדמים בברכה את ההצהרות האחרונות בתקשורת של בכירים ישראלים לפיהן ישראל מבצעת חקירה פלילית בנוגע למותם של 11 פלסטינים בידי הכוחות הישראלים במהלך ההפגנות בגבול עזה בשנה שעברה.  אנחנו קוראים לחקור כל מקרה של שימוש בכוח קטלני על-ידי כוחות הביטחון הישראלים", אמרה מורונגי.</w:t>
      </w:r>
    </w:p>
    <w:p w:rsidR="00486A1B" w:rsidRDefault="00486A1B" w:rsidP="00486A1B">
      <w:pPr>
        <w:bidi/>
        <w:spacing w:after="0" w:line="240" w:lineRule="auto"/>
        <w:rPr>
          <w:rFonts w:ascii="Times New Roman" w:hAnsi="Times New Roman"/>
          <w:b/>
          <w:rtl/>
          <w:lang w:bidi="he-IL"/>
        </w:rPr>
      </w:pPr>
    </w:p>
    <w:p w:rsidR="00486A1B" w:rsidRDefault="00486A1B" w:rsidP="00486A1B">
      <w:pPr>
        <w:bidi/>
        <w:spacing w:after="0" w:line="240" w:lineRule="auto"/>
        <w:rPr>
          <w:rFonts w:ascii="Times New Roman" w:hAnsi="Times New Roman"/>
          <w:b/>
          <w:rtl/>
          <w:lang w:bidi="he-IL"/>
        </w:rPr>
      </w:pPr>
      <w:r>
        <w:rPr>
          <w:rFonts w:ascii="Times New Roman" w:hAnsi="Times New Roman"/>
          <w:b/>
          <w:rtl/>
          <w:lang w:bidi="he-IL"/>
        </w:rPr>
        <w:t>"החקירות שלנו העלו כי צלפים ישראלים עשו שימוש בקליעים בעלי מהירות גבוהה וברובי צלפים ארוכי טווח מצוידים בכוונות אופטיות מתוחכמות.  הם ראו לפניהם את המטרה המוגדלת והיו מודעים לתוצאות הירי, אך עדיין לחצו על ההדק, לא פעם או פעמיים, אלא יותר מ-6,000 פעמים", אמרה חברת הועדה שרה חוסיין (בנגלדש). "הצלפים הרגו 32 ילדים, שלושה פראמדיקים מזוהים בבירור, ושני עיתונאים בעלי סימני זיהוי ברורים.  הם ירו במפגינים בלתי חמושים, ילדים, ואנשים עם מוגבלויות, ובאנשי צוות רפואי ועיתונאים המבצעים את עבודתם, כאשר ידעו מי הם", אמרה חוסיין.</w:t>
      </w:r>
      <w:r>
        <w:rPr>
          <w:rFonts w:ascii="Times New Roman" w:hAnsi="Times New Roman"/>
          <w:b/>
          <w:rtl/>
          <w:lang w:bidi="he-IL"/>
        </w:rPr>
        <w:br/>
      </w:r>
      <w:r>
        <w:rPr>
          <w:rFonts w:ascii="Times New Roman" w:hAnsi="Times New Roman"/>
          <w:b/>
          <w:rtl/>
          <w:lang w:bidi="he-IL"/>
        </w:rPr>
        <w:br/>
        <w:t>הועדה מצאה שהמספר הכולל של ההרוגים במהלך ה-14 במאי 2018, יום ההפגנות הקטלני ביותר עד כה, הוא גבוה ממה שדווח בתקשורת, זאת מכיוון שמספר משמעותי של מפגינים מתו מפצעיהם במהלך הימים והשבועות שלאחר מכן. בסך הכל 73 מפגינים פלסטינים נהרגו בשל פגיעות ירי שנגרמו ב-14 במאי 2018.</w:t>
      </w:r>
    </w:p>
    <w:p w:rsidR="00486A1B" w:rsidRDefault="00486A1B" w:rsidP="00486A1B">
      <w:pPr>
        <w:bidi/>
        <w:spacing w:after="0" w:line="240" w:lineRule="auto"/>
        <w:rPr>
          <w:rFonts w:ascii="Times New Roman" w:hAnsi="Times New Roman"/>
          <w:b/>
          <w:rtl/>
          <w:lang w:bidi="he-IL"/>
        </w:rPr>
      </w:pPr>
    </w:p>
    <w:p w:rsidR="00486A1B" w:rsidRDefault="00486A1B" w:rsidP="00486A1B">
      <w:pPr>
        <w:bidi/>
        <w:spacing w:after="0" w:line="240" w:lineRule="auto"/>
        <w:rPr>
          <w:rFonts w:ascii="Times New Roman" w:hAnsi="Times New Roman"/>
          <w:b/>
          <w:rtl/>
          <w:lang w:bidi="he-IL"/>
        </w:rPr>
      </w:pPr>
      <w:r>
        <w:rPr>
          <w:rFonts w:ascii="Times New Roman" w:hAnsi="Times New Roman"/>
          <w:b/>
          <w:rtl/>
          <w:lang w:bidi="he-IL"/>
        </w:rPr>
        <w:t>הועדה בחנה את הטענה</w:t>
      </w:r>
      <w:r>
        <w:rPr>
          <w:rFonts w:ascii="Times New Roman" w:hAnsi="Times New Roman"/>
          <w:b/>
          <w:rtl/>
        </w:rPr>
        <w:t xml:space="preserve"> </w:t>
      </w:r>
      <w:r>
        <w:rPr>
          <w:rFonts w:ascii="Times New Roman" w:hAnsi="Times New Roman"/>
          <w:b/>
          <w:rtl/>
          <w:lang w:bidi="he-IL"/>
        </w:rPr>
        <w:t>הישראלית שההפגנות בסמוך לגדר ההפרדה חיפו על</w:t>
      </w:r>
      <w:r>
        <w:rPr>
          <w:rFonts w:ascii="Times New Roman" w:hAnsi="Times New Roman"/>
          <w:b/>
          <w:rtl/>
        </w:rPr>
        <w:t xml:space="preserve"> "</w:t>
      </w:r>
      <w:r>
        <w:rPr>
          <w:rFonts w:ascii="Times New Roman" w:hAnsi="Times New Roman"/>
          <w:b/>
          <w:rtl/>
          <w:lang w:bidi="he-IL"/>
        </w:rPr>
        <w:t>פעולות טרור</w:t>
      </w:r>
      <w:r>
        <w:rPr>
          <w:rFonts w:ascii="Times New Roman" w:hAnsi="Times New Roman"/>
          <w:b/>
          <w:rtl/>
        </w:rPr>
        <w:t xml:space="preserve">" </w:t>
      </w:r>
      <w:r>
        <w:rPr>
          <w:rFonts w:ascii="Times New Roman" w:hAnsi="Times New Roman"/>
          <w:b/>
          <w:rtl/>
          <w:lang w:bidi="he-IL"/>
        </w:rPr>
        <w:t>של הקבוצות</w:t>
      </w:r>
      <w:r>
        <w:rPr>
          <w:rFonts w:ascii="Times New Roman" w:hAnsi="Times New Roman"/>
          <w:b/>
          <w:rtl/>
        </w:rPr>
        <w:t xml:space="preserve"> </w:t>
      </w:r>
      <w:r>
        <w:rPr>
          <w:rFonts w:ascii="Times New Roman" w:hAnsi="Times New Roman"/>
          <w:b/>
          <w:rtl/>
          <w:lang w:bidi="he-IL"/>
        </w:rPr>
        <w:t>החמושות הפלסטיניות. אולם, הועדה מצאה שההפגנות היו</w:t>
      </w:r>
      <w:r>
        <w:rPr>
          <w:rFonts w:ascii="Times New Roman" w:hAnsi="Times New Roman"/>
          <w:b/>
          <w:rtl/>
        </w:rPr>
        <w:t xml:space="preserve"> </w:t>
      </w:r>
      <w:r>
        <w:rPr>
          <w:rFonts w:ascii="Times New Roman" w:hAnsi="Times New Roman"/>
          <w:b/>
          <w:rtl/>
          <w:lang w:bidi="he-IL"/>
        </w:rPr>
        <w:t>בעלות אופי אזרחי כמעט לחלוטין, עם</w:t>
      </w:r>
      <w:r>
        <w:rPr>
          <w:rFonts w:ascii="Times New Roman" w:hAnsi="Times New Roman"/>
          <w:b/>
          <w:rtl/>
        </w:rPr>
        <w:t xml:space="preserve"> </w:t>
      </w:r>
      <w:r>
        <w:rPr>
          <w:rFonts w:ascii="Times New Roman" w:hAnsi="Times New Roman"/>
          <w:b/>
          <w:rtl/>
          <w:lang w:bidi="he-IL"/>
        </w:rPr>
        <w:t>מטרות פוליטיות שהוצהרו בבירור, ולא</w:t>
      </w:r>
      <w:r>
        <w:rPr>
          <w:rFonts w:ascii="Times New Roman" w:hAnsi="Times New Roman"/>
          <w:b/>
          <w:rtl/>
        </w:rPr>
        <w:t xml:space="preserve"> </w:t>
      </w:r>
      <w:r>
        <w:rPr>
          <w:rFonts w:ascii="Times New Roman" w:hAnsi="Times New Roman"/>
          <w:b/>
          <w:rtl/>
          <w:lang w:bidi="he-IL"/>
        </w:rPr>
        <w:t>היוו לחימה או חלק ממערכה צבאית</w:t>
      </w:r>
      <w:r>
        <w:rPr>
          <w:rFonts w:ascii="Times New Roman" w:hAnsi="Times New Roman"/>
          <w:b/>
          <w:lang w:bidi="he-IL"/>
        </w:rPr>
        <w:t>.</w:t>
      </w:r>
    </w:p>
    <w:p w:rsidR="00486A1B" w:rsidRDefault="00486A1B" w:rsidP="00486A1B">
      <w:pPr>
        <w:bidi/>
        <w:spacing w:after="0" w:line="240" w:lineRule="auto"/>
        <w:rPr>
          <w:rFonts w:ascii="Times New Roman" w:hAnsi="Times New Roman"/>
          <w:b/>
          <w:rtl/>
          <w:lang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bidi="he-IL"/>
        </w:rPr>
        <w:t xml:space="preserve">למרות שמדי פעם ההפגנות היו אלימות, כאשר מפגינים רבים זרקו אבנים, </w:t>
      </w:r>
      <w:r>
        <w:rPr>
          <w:rFonts w:ascii="Times New Roman" w:hAnsi="Times New Roman"/>
          <w:b/>
          <w:rtl/>
          <w:lang w:val="en-US" w:bidi="he-IL"/>
        </w:rPr>
        <w:t>עברו דרך הגדר מספר פעמים, והפריחו עפיפונים ובלונים עם חומרי בעירה מחוברים אליהם, הועדה מצאה שהשימוש בכוח קטלני כנגד מפגינים לא היה הכרחי או לא היה מידתי.</w:t>
      </w:r>
    </w:p>
    <w:p w:rsidR="00486A1B" w:rsidRDefault="00486A1B" w:rsidP="00486A1B">
      <w:pPr>
        <w:bidi/>
        <w:spacing w:after="0" w:line="240" w:lineRule="auto"/>
        <w:rPr>
          <w:rFonts w:ascii="Times New Roman" w:hAnsi="Times New Roman"/>
          <w:b/>
          <w:rtl/>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הועדה מצאה גם שירי מכוון לעבר מפגינים לא חמושים רק על סמך השתייכותם הפוליטית או חברותם בארגון חמוש אינו חוקי.</w:t>
      </w:r>
    </w:p>
    <w:p w:rsidR="00486A1B" w:rsidRDefault="00486A1B" w:rsidP="00486A1B">
      <w:pPr>
        <w:bidi/>
        <w:spacing w:after="0" w:line="240" w:lineRule="auto"/>
        <w:rPr>
          <w:rFonts w:ascii="Times New Roman" w:hAnsi="Times New Roman"/>
          <w:b/>
          <w:rtl/>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"בהקשר המיוחד של ההפגנות הללו ולאור הנוכחות של אזרחים רבים, קשה מאוד לבצע ירי מכוון לעברם, תוך שמירה על עקרונות המשפט ההומניטרי בדבר הבחנה, מידתיות ואמצעי זהירות. העובדה ש-1,576 אנשים נפגעו מכדור או רסיסי עצם מעידה על הסכנה כי אזרחים תמימים יפגעו על-ידי נתזים, רסיסי קליעים וירי שעובר דרך גוף אחד לאדם אחר, כאשר צלפים יורים כדורים חיים בעלי מהירות גבוהה לתוך קהל מפגינים", אמר קנטון.</w:t>
      </w:r>
    </w:p>
    <w:p w:rsidR="00486A1B" w:rsidRDefault="00486A1B" w:rsidP="00486A1B">
      <w:pPr>
        <w:bidi/>
        <w:spacing w:after="0" w:line="240" w:lineRule="auto"/>
        <w:rPr>
          <w:rFonts w:ascii="Times New Roman" w:hAnsi="Times New Roman"/>
          <w:b/>
          <w:rtl/>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 xml:space="preserve">בשני אירועים שנחקרו על-ידי הועדה, יתכן שהשימוש בכוח על-ידי כוחות הביטחון הישראליים אינו בלתי חוקי.  באחד מהמקרים, ב-14 במאי 2018, לפחות חמוש אחד ירה לעבר הכוחות הישראלים מתוך ההפגנות או בסמוך להן באתר הפגנות זמני. 21 תושבי עזה נהרגו בתגובה, חלקם היו לכאורה חברי קבוצות חמושות.  הועדה מצאה שמקרה נוסף ב-12 לאוקטובר, בסמוך לגדר המערכת במרכז הרצועה, עשוי היה להוות סכנה מיידית לחייהם או לגופם של אנשי כוחות הביטחון הישראלים.  </w:t>
      </w:r>
    </w:p>
    <w:p w:rsidR="00486A1B" w:rsidRDefault="00486A1B" w:rsidP="00486A1B">
      <w:pPr>
        <w:bidi/>
        <w:spacing w:after="0" w:line="240" w:lineRule="auto"/>
        <w:rPr>
          <w:rFonts w:ascii="Times New Roman" w:hAnsi="Times New Roman"/>
          <w:b/>
          <w:rtl/>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הועדה מצאה שחלק מחברי "הועדה הלאומית העליונה" שארגנה את ההפגנות, ושכללה נציגי חמאס, עודדו או הגנו על השימוש חסר האבחנה של עפיפוני ובלוני תבערה מצד מפגינים, אשר גרמו לפחד בקרב אזרחים ונזק משמעותי לרכוש בדרום ישראל.  הועדה הגיעה למסקנה כי ארגון החמאס, האחראי בפועל למתרחש בעזה, נכשל במניעת המעשים הללו.</w:t>
      </w:r>
    </w:p>
    <w:p w:rsidR="00486A1B" w:rsidRDefault="00486A1B" w:rsidP="00486A1B">
      <w:pPr>
        <w:bidi/>
        <w:spacing w:after="0" w:line="240" w:lineRule="auto"/>
        <w:rPr>
          <w:rFonts w:ascii="Times New Roman" w:hAnsi="Times New Roman"/>
          <w:b/>
          <w:lang w:val="en-US"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"אנחנו קוראים למארגנים בעזה, ולכל המפגינים, להקפיד שההפגנות יהיו בלתי אלימות לחלוטין, בהתאם לעקרונות שנקבעו על-ידי יוזמי תנועת המחאה", הוסיף סנטיאגו קנטון.</w:t>
      </w:r>
    </w:p>
    <w:p w:rsidR="00486A1B" w:rsidRDefault="00486A1B" w:rsidP="00486A1B">
      <w:pPr>
        <w:bidi/>
        <w:spacing w:after="0" w:line="240" w:lineRule="auto"/>
        <w:rPr>
          <w:rFonts w:ascii="Times New Roman" w:hAnsi="Times New Roman"/>
          <w:shd w:val="clear" w:color="auto" w:fill="FFFFFF"/>
          <w:rtl/>
          <w:lang w:bidi="he-IL"/>
        </w:rPr>
      </w:pPr>
    </w:p>
    <w:p w:rsidR="00486A1B" w:rsidRDefault="00486A1B" w:rsidP="00486A1B">
      <w:pPr>
        <w:bidi/>
        <w:spacing w:after="0" w:line="240" w:lineRule="auto"/>
        <w:rPr>
          <w:rFonts w:ascii="Times New Roman" w:hAnsi="Times New Roman"/>
          <w:b/>
          <w:rtl/>
          <w:lang w:val="en-US" w:bidi="he-IL"/>
        </w:rPr>
      </w:pPr>
      <w:r>
        <w:rPr>
          <w:rFonts w:ascii="Times New Roman" w:hAnsi="Times New Roman"/>
          <w:b/>
          <w:rtl/>
          <w:lang w:val="en-US" w:bidi="he-IL"/>
        </w:rPr>
        <w:t>הועדה מונתה על</w:t>
      </w:r>
      <w:r>
        <w:rPr>
          <w:rFonts w:ascii="Times New Roman" w:hAnsi="Times New Roman"/>
          <w:b/>
          <w:rtl/>
          <w:lang w:val="en-US"/>
        </w:rPr>
        <w:t>-</w:t>
      </w:r>
      <w:r>
        <w:rPr>
          <w:rFonts w:ascii="Times New Roman" w:hAnsi="Times New Roman"/>
          <w:b/>
          <w:rtl/>
          <w:lang w:val="en-US" w:bidi="he-IL"/>
        </w:rPr>
        <w:t xml:space="preserve">ידי מועצת זכויות האדם של האו"ם ב-18 למאי </w:t>
      </w:r>
      <w:r>
        <w:rPr>
          <w:rFonts w:ascii="Times New Roman" w:hAnsi="Times New Roman"/>
          <w:b/>
          <w:rtl/>
          <w:lang w:val="en-US"/>
        </w:rPr>
        <w:t xml:space="preserve">2018 </w:t>
      </w:r>
      <w:r>
        <w:rPr>
          <w:rFonts w:ascii="Times New Roman" w:hAnsi="Times New Roman"/>
          <w:b/>
          <w:rtl/>
          <w:lang w:val="en-US" w:bidi="he-IL"/>
        </w:rPr>
        <w:t>על מנת לחקור את כל הטענות בדבר הפרות של המשפט הבינלאומי ההומניטרי ושל משפט זכויות האדם הבינלאומי בשטח הפלסטיני הכבוש</w:t>
      </w:r>
      <w:r>
        <w:rPr>
          <w:rFonts w:ascii="Times New Roman" w:hAnsi="Times New Roman"/>
          <w:b/>
          <w:rtl/>
          <w:lang w:val="en-US"/>
        </w:rPr>
        <w:t xml:space="preserve">, </w:t>
      </w:r>
      <w:r>
        <w:rPr>
          <w:rFonts w:ascii="Times New Roman" w:hAnsi="Times New Roman"/>
          <w:b/>
          <w:rtl/>
          <w:lang w:val="en-US" w:bidi="he-IL"/>
        </w:rPr>
        <w:t>בהקשר של ההפגנות רחבות ההיקף בעזה בין ה</w:t>
      </w:r>
      <w:r>
        <w:rPr>
          <w:rFonts w:ascii="Times New Roman" w:hAnsi="Times New Roman"/>
          <w:b/>
          <w:rtl/>
          <w:lang w:val="en-US"/>
        </w:rPr>
        <w:t xml:space="preserve">-30 </w:t>
      </w:r>
      <w:r>
        <w:rPr>
          <w:rFonts w:ascii="Times New Roman" w:hAnsi="Times New Roman"/>
          <w:b/>
          <w:rtl/>
          <w:lang w:val="en-US" w:bidi="he-IL"/>
        </w:rPr>
        <w:t xml:space="preserve">למרץ </w:t>
      </w:r>
      <w:r>
        <w:rPr>
          <w:rFonts w:ascii="Times New Roman" w:hAnsi="Times New Roman"/>
          <w:b/>
          <w:rtl/>
          <w:lang w:val="en-US"/>
        </w:rPr>
        <w:t>2018</w:t>
      </w:r>
      <w:r>
        <w:rPr>
          <w:rFonts w:ascii="Times New Roman" w:hAnsi="Times New Roman"/>
          <w:b/>
          <w:rtl/>
          <w:lang w:val="en-US" w:bidi="he-IL"/>
        </w:rPr>
        <w:t xml:space="preserve"> ל-31 לדצמבר 2018.  צוות של חוקרים מנוסים ומומחים מנציבות זכויות האדם של האו"ם סייע לחברי הועדה.</w:t>
      </w:r>
    </w:p>
    <w:p w:rsidR="00486A1B" w:rsidRDefault="00486A1B" w:rsidP="00486A1B">
      <w:pPr>
        <w:bidi/>
        <w:spacing w:after="0" w:line="240" w:lineRule="auto"/>
        <w:rPr>
          <w:rFonts w:ascii="Times New Roman" w:hAnsi="Times New Roman"/>
          <w:b/>
          <w:rtl/>
          <w:lang w:val="en-US" w:bidi="he-IL"/>
        </w:rPr>
      </w:pPr>
    </w:p>
    <w:p w:rsidR="00486A1B" w:rsidRDefault="00486A1B" w:rsidP="00486A1B">
      <w:pPr>
        <w:bidi/>
        <w:spacing w:after="0" w:line="240" w:lineRule="auto"/>
        <w:rPr>
          <w:rFonts w:ascii="Times New Roman" w:hAnsi="Times New Roman"/>
          <w:b/>
          <w:sz w:val="24"/>
          <w:szCs w:val="24"/>
          <w:rtl/>
          <w:lang w:val="en-US" w:bidi="he-IL"/>
        </w:rPr>
      </w:pPr>
      <w:r>
        <w:rPr>
          <w:rFonts w:ascii="Times New Roman" w:hAnsi="Times New Roman"/>
          <w:b/>
          <w:sz w:val="24"/>
          <w:szCs w:val="24"/>
          <w:rtl/>
          <w:lang w:val="en-US" w:bidi="he-IL"/>
        </w:rPr>
        <w:t>--</w:t>
      </w:r>
    </w:p>
    <w:p w:rsidR="00486A1B" w:rsidRDefault="00486A1B" w:rsidP="00486A1B">
      <w:pPr>
        <w:bidi/>
        <w:spacing w:after="0" w:line="240" w:lineRule="auto"/>
        <w:rPr>
          <w:rFonts w:ascii="Times New Roman" w:hAnsi="Times New Roman"/>
          <w:b/>
          <w:sz w:val="24"/>
          <w:szCs w:val="24"/>
          <w:rtl/>
          <w:lang w:val="en-US" w:bidi="he-IL"/>
        </w:rPr>
      </w:pPr>
    </w:p>
    <w:p w:rsidR="00486A1B" w:rsidRDefault="00486A1B" w:rsidP="00486A1B">
      <w:pPr>
        <w:shd w:val="clear" w:color="auto" w:fill="FFFFFF"/>
        <w:bidi/>
        <w:spacing w:after="0" w:line="240" w:lineRule="auto"/>
        <w:rPr>
          <w:rFonts w:ascii="Times New Roman" w:eastAsia="Times New Roman" w:hAnsi="Times New Roman"/>
          <w:rtl/>
          <w:lang w:bidi="he-IL"/>
        </w:rPr>
      </w:pPr>
      <w:r>
        <w:rPr>
          <w:rFonts w:ascii="Times New Roman" w:eastAsia="Times New Roman" w:hAnsi="Times New Roman"/>
          <w:rtl/>
          <w:lang w:bidi="he-IL"/>
        </w:rPr>
        <w:t>למידע נוסף ולקריאת דו"ח הועדה המקוצר, בקרו </w:t>
      </w:r>
      <w:r>
        <w:rPr>
          <w:rStyle w:val="Hyperlink"/>
          <w:rFonts w:ascii="Times New Roman" w:hAnsi="Times New Roman"/>
          <w:rtl/>
          <w:lang w:bidi="he-IL"/>
        </w:rPr>
        <w:t>באתר הדו"ח</w:t>
      </w:r>
    </w:p>
    <w:p w:rsidR="00486A1B" w:rsidRDefault="00486A1B" w:rsidP="00486A1B">
      <w:pPr>
        <w:shd w:val="clear" w:color="auto" w:fill="FFFFFF"/>
        <w:tabs>
          <w:tab w:val="left" w:pos="5609"/>
        </w:tabs>
        <w:bidi/>
        <w:spacing w:after="0" w:line="240" w:lineRule="auto"/>
        <w:rPr>
          <w:rFonts w:ascii="Times New Roman" w:eastAsia="Times New Roman" w:hAnsi="Times New Roman"/>
          <w:lang w:bidi="he-IL"/>
        </w:rPr>
      </w:pPr>
    </w:p>
    <w:p w:rsidR="00486A1B" w:rsidRDefault="00486A1B" w:rsidP="00486A1B">
      <w:pPr>
        <w:shd w:val="clear" w:color="auto" w:fill="FFFFFF"/>
        <w:bidi/>
        <w:spacing w:after="0" w:line="240" w:lineRule="auto"/>
        <w:rPr>
          <w:rFonts w:ascii="Times New Roman" w:eastAsia="Times New Roman" w:hAnsi="Times New Roman"/>
          <w:rtl/>
          <w:lang w:bidi="he-IL"/>
        </w:rPr>
      </w:pPr>
      <w:r>
        <w:rPr>
          <w:rFonts w:ascii="Times New Roman" w:eastAsia="Times New Roman" w:hAnsi="Times New Roman"/>
          <w:rtl/>
          <w:lang w:bidi="he-IL"/>
        </w:rPr>
        <w:t>לפרטים נוספים:</w:t>
      </w:r>
    </w:p>
    <w:p w:rsidR="00486A1B" w:rsidRDefault="00486A1B" w:rsidP="00486A1B">
      <w:pPr>
        <w:shd w:val="clear" w:color="auto" w:fill="FFFFFF"/>
        <w:bidi/>
        <w:spacing w:after="0" w:line="240" w:lineRule="auto"/>
        <w:rPr>
          <w:rFonts w:ascii="Times New Roman" w:eastAsia="Times New Roman" w:hAnsi="Times New Roman"/>
          <w:rtl/>
          <w:lang w:bidi="he-IL"/>
        </w:rPr>
      </w:pPr>
      <w:r>
        <w:rPr>
          <w:rFonts w:ascii="Times New Roman" w:eastAsia="Times New Roman" w:hAnsi="Times New Roman"/>
          <w:b/>
          <w:bCs/>
          <w:rtl/>
          <w:lang w:bidi="he-IL"/>
        </w:rPr>
        <w:t> </w:t>
      </w:r>
    </w:p>
    <w:p w:rsidR="00486A1B" w:rsidRDefault="00486A1B" w:rsidP="00486A1B">
      <w:pPr>
        <w:shd w:val="clear" w:color="auto" w:fill="FFFFFF"/>
        <w:bidi/>
        <w:spacing w:after="0" w:line="240" w:lineRule="auto"/>
        <w:rPr>
          <w:rFonts w:ascii="Times New Roman" w:eastAsia="Times New Roman" w:hAnsi="Times New Roman"/>
          <w:rtl/>
          <w:lang w:bidi="he-IL"/>
        </w:rPr>
      </w:pPr>
      <w:r>
        <w:rPr>
          <w:rFonts w:ascii="Times New Roman" w:eastAsia="Times New Roman" w:hAnsi="Times New Roman"/>
          <w:rtl/>
          <w:lang w:bidi="he-IL"/>
        </w:rPr>
        <w:t>מר יוהן אריקסון:</w:t>
      </w:r>
      <w:r>
        <w:rPr>
          <w:rFonts w:ascii="Times New Roman" w:eastAsia="Times New Roman" w:hAnsi="Times New Roman"/>
          <w:b/>
          <w:bCs/>
          <w:rtl/>
          <w:lang w:bidi="he-IL"/>
        </w:rPr>
        <w:t> </w:t>
      </w:r>
      <w:r>
        <w:rPr>
          <w:rFonts w:ascii="Times New Roman" w:eastAsia="Times New Roman" w:hAnsi="Times New Roman"/>
          <w:lang w:val="en-US" w:bidi="he-IL"/>
        </w:rPr>
        <w:t>+41 76 691 10 82</w:t>
      </w:r>
      <w:r>
        <w:rPr>
          <w:rFonts w:ascii="Times New Roman" w:eastAsia="Times New Roman" w:hAnsi="Times New Roman"/>
          <w:b/>
          <w:bCs/>
          <w:rtl/>
          <w:lang w:bidi="he-IL"/>
        </w:rPr>
        <w:t>, </w:t>
      </w:r>
      <w:r>
        <w:rPr>
          <w:rStyle w:val="Hyperlink"/>
          <w:rFonts w:ascii="Times New Roman" w:hAnsi="Times New Roman"/>
          <w:rtl/>
        </w:rPr>
        <w:fldChar w:fldCharType="begin"/>
      </w:r>
      <w:r>
        <w:rPr>
          <w:rStyle w:val="Hyperlink"/>
          <w:rFonts w:ascii="Times New Roman" w:hAnsi="Times New Roman"/>
          <w:rtl/>
        </w:rPr>
        <w:instrText xml:space="preserve"> </w:instrText>
      </w:r>
      <w:r>
        <w:rPr>
          <w:rStyle w:val="Hyperlink"/>
          <w:rFonts w:ascii="Times New Roman" w:hAnsi="Times New Roman"/>
        </w:rPr>
        <w:instrText>HYPERLINK "mailto:mediacoioptprotests@ohchr.org" \t "_blank</w:instrText>
      </w:r>
      <w:r>
        <w:rPr>
          <w:rStyle w:val="Hyperlink"/>
          <w:rFonts w:ascii="Times New Roman" w:hAnsi="Times New Roman"/>
          <w:rtl/>
        </w:rPr>
        <w:instrText xml:space="preserve">" </w:instrText>
      </w:r>
      <w:r>
        <w:rPr>
          <w:rStyle w:val="Hyperlink"/>
          <w:rFonts w:ascii="Times New Roman" w:hAnsi="Times New Roman"/>
          <w:rtl/>
        </w:rPr>
        <w:fldChar w:fldCharType="separate"/>
      </w:r>
      <w:r>
        <w:rPr>
          <w:rStyle w:val="Hyperlink"/>
          <w:rFonts w:ascii="Times New Roman" w:hAnsi="Times New Roman"/>
          <w:lang w:bidi="he-IL"/>
        </w:rPr>
        <w:t>mediacoioptprotests@ohchr.org</w:t>
      </w:r>
      <w:r>
        <w:rPr>
          <w:rStyle w:val="Hyperlink"/>
          <w:rFonts w:ascii="Times New Roman" w:hAnsi="Times New Roman"/>
          <w:rtl/>
        </w:rPr>
        <w:fldChar w:fldCharType="end"/>
      </w:r>
    </w:p>
    <w:p w:rsidR="00486A1B" w:rsidRDefault="00486A1B" w:rsidP="00486A1B">
      <w:pPr>
        <w:shd w:val="clear" w:color="auto" w:fill="FFFFFF"/>
        <w:bidi/>
        <w:spacing w:after="0" w:line="240" w:lineRule="auto"/>
        <w:rPr>
          <w:rFonts w:ascii="Times New Roman" w:eastAsia="Times New Roman" w:hAnsi="Times New Roman"/>
          <w:rtl/>
          <w:lang w:bidi="he-IL"/>
        </w:rPr>
      </w:pPr>
      <w:r>
        <w:rPr>
          <w:rFonts w:ascii="Times New Roman" w:eastAsia="Times New Roman" w:hAnsi="Times New Roman"/>
          <w:b/>
          <w:bCs/>
          <w:rtl/>
          <w:lang w:bidi="he-IL"/>
        </w:rPr>
        <w:t> </w:t>
      </w:r>
    </w:p>
    <w:p w:rsidR="00486A1B" w:rsidRDefault="00486A1B" w:rsidP="00486A1B">
      <w:pPr>
        <w:shd w:val="clear" w:color="auto" w:fill="FFFFFF"/>
        <w:bidi/>
        <w:spacing w:after="0" w:line="240" w:lineRule="auto"/>
        <w:rPr>
          <w:rStyle w:val="Hyperlink"/>
          <w:rtl/>
        </w:rPr>
      </w:pPr>
      <w:r>
        <w:rPr>
          <w:rFonts w:ascii="Times New Roman" w:eastAsia="Times New Roman" w:hAnsi="Times New Roman"/>
          <w:rtl/>
          <w:lang w:bidi="he-IL"/>
        </w:rPr>
        <w:t>מר רונלדו גומז:</w:t>
      </w:r>
      <w:r>
        <w:rPr>
          <w:rFonts w:ascii="Times New Roman" w:eastAsia="Times New Roman" w:hAnsi="Times New Roman"/>
          <w:b/>
          <w:bCs/>
          <w:rtl/>
          <w:lang w:bidi="he-IL"/>
        </w:rPr>
        <w:t> </w:t>
      </w:r>
      <w:r>
        <w:rPr>
          <w:rFonts w:ascii="Times New Roman" w:eastAsia="Times New Roman" w:hAnsi="Times New Roman"/>
          <w:lang w:val="en-US" w:bidi="he-IL"/>
        </w:rPr>
        <w:t>+41 22 917 97 11</w:t>
      </w:r>
      <w:r>
        <w:rPr>
          <w:rFonts w:ascii="Times New Roman" w:eastAsia="Times New Roman" w:hAnsi="Times New Roman"/>
          <w:b/>
          <w:bCs/>
          <w:rtl/>
          <w:lang w:bidi="he-IL"/>
        </w:rPr>
        <w:t>, </w:t>
      </w:r>
      <w:r>
        <w:rPr>
          <w:rStyle w:val="Hyperlink"/>
          <w:rFonts w:ascii="Times New Roman" w:hAnsi="Times New Roman"/>
          <w:rtl/>
        </w:rPr>
        <w:fldChar w:fldCharType="begin"/>
      </w:r>
      <w:r>
        <w:rPr>
          <w:rStyle w:val="Hyperlink"/>
          <w:rFonts w:ascii="Times New Roman" w:hAnsi="Times New Roman"/>
          <w:rtl/>
        </w:rPr>
        <w:instrText xml:space="preserve"> </w:instrText>
      </w:r>
      <w:r>
        <w:rPr>
          <w:rStyle w:val="Hyperlink"/>
          <w:rFonts w:ascii="Times New Roman" w:hAnsi="Times New Roman"/>
        </w:rPr>
        <w:instrText>HYPERLINK "mailto:rgomez@ohchr.org" \t "_blank</w:instrText>
      </w:r>
      <w:r>
        <w:rPr>
          <w:rStyle w:val="Hyperlink"/>
          <w:rFonts w:ascii="Times New Roman" w:hAnsi="Times New Roman"/>
          <w:rtl/>
        </w:rPr>
        <w:instrText xml:space="preserve">" </w:instrText>
      </w:r>
      <w:r>
        <w:rPr>
          <w:rStyle w:val="Hyperlink"/>
          <w:rFonts w:ascii="Times New Roman" w:hAnsi="Times New Roman"/>
          <w:rtl/>
        </w:rPr>
        <w:fldChar w:fldCharType="separate"/>
      </w:r>
      <w:r>
        <w:rPr>
          <w:rStyle w:val="Hyperlink"/>
          <w:rFonts w:ascii="Times New Roman" w:hAnsi="Times New Roman"/>
          <w:lang w:bidi="he-IL"/>
        </w:rPr>
        <w:t>rgomez@ohchr.org</w:t>
      </w:r>
      <w:r>
        <w:rPr>
          <w:rStyle w:val="Hyperlink"/>
          <w:rFonts w:ascii="Times New Roman" w:hAnsi="Times New Roman"/>
          <w:rtl/>
        </w:rPr>
        <w:fldChar w:fldCharType="end"/>
      </w:r>
    </w:p>
    <w:p w:rsidR="00486A1B" w:rsidRDefault="00486A1B" w:rsidP="00486A1B">
      <w:pPr>
        <w:shd w:val="clear" w:color="auto" w:fill="FFFFFF"/>
        <w:bidi/>
        <w:spacing w:after="0" w:line="240" w:lineRule="auto"/>
        <w:rPr>
          <w:rFonts w:eastAsia="Times New Roman"/>
          <w:rtl/>
          <w:lang w:val="en-US"/>
        </w:rPr>
      </w:pPr>
    </w:p>
    <w:p w:rsidR="00486A1B" w:rsidRDefault="00486A1B" w:rsidP="00486A1B">
      <w:pPr>
        <w:shd w:val="clear" w:color="auto" w:fill="FFFFFF"/>
        <w:bidi/>
        <w:spacing w:after="0" w:line="240" w:lineRule="auto"/>
        <w:rPr>
          <w:rFonts w:ascii="Arial" w:eastAsia="Times New Roman" w:hAnsi="Arial" w:cs="Arial"/>
          <w:color w:val="222222"/>
          <w:rtl/>
          <w:lang w:val="en-US" w:bidi="he-IL"/>
        </w:rPr>
      </w:pPr>
      <w:r>
        <w:rPr>
          <w:rFonts w:ascii="Times New Roman" w:eastAsia="Times New Roman" w:hAnsi="Times New Roman"/>
          <w:rtl/>
          <w:lang w:val="en-US" w:bidi="he-IL"/>
        </w:rPr>
        <w:t>מר סדריק סאפי:</w:t>
      </w:r>
      <w:r>
        <w:rPr>
          <w:rFonts w:ascii="Times New Roman" w:eastAsia="Times New Roman" w:hAnsi="Times New Roman"/>
          <w:lang w:val="en-US" w:bidi="he-IL"/>
        </w:rPr>
        <w:t>+41 22 917 9845</w:t>
      </w:r>
      <w:r>
        <w:rPr>
          <w:rFonts w:ascii="Arial" w:eastAsia="Times New Roman" w:hAnsi="Arial" w:cs="Arial"/>
          <w:b/>
          <w:bCs/>
          <w:color w:val="222222"/>
          <w:rtl/>
          <w:lang w:val="en-US" w:bidi="he-IL"/>
        </w:rPr>
        <w:t xml:space="preserve">, </w:t>
      </w:r>
      <w:r>
        <w:rPr>
          <w:rStyle w:val="Hyperlink"/>
          <w:rFonts w:ascii="Times New Roman" w:hAnsi="Times New Roman"/>
          <w:rtl/>
          <w:lang w:bidi="he-IL"/>
        </w:rPr>
        <w:fldChar w:fldCharType="begin"/>
      </w:r>
      <w:r>
        <w:rPr>
          <w:rStyle w:val="Hyperlink"/>
          <w:rFonts w:ascii="Times New Roman" w:hAnsi="Times New Roman"/>
          <w:rtl/>
          <w:lang w:bidi="he-IL"/>
        </w:rPr>
        <w:instrText xml:space="preserve"> </w:instrText>
      </w:r>
      <w:r>
        <w:rPr>
          <w:rStyle w:val="Hyperlink"/>
          <w:rFonts w:ascii="Times New Roman" w:hAnsi="Times New Roman"/>
          <w:lang w:bidi="he-IL"/>
        </w:rPr>
        <w:instrText>HYPERLINK "mailto:csapey@ohchr.org" \t "_blank</w:instrText>
      </w:r>
      <w:r>
        <w:rPr>
          <w:rStyle w:val="Hyperlink"/>
          <w:rFonts w:ascii="Times New Roman" w:hAnsi="Times New Roman"/>
          <w:rtl/>
          <w:lang w:bidi="he-IL"/>
        </w:rPr>
        <w:instrText xml:space="preserve">" </w:instrText>
      </w:r>
      <w:r>
        <w:rPr>
          <w:rStyle w:val="Hyperlink"/>
          <w:rFonts w:ascii="Times New Roman" w:hAnsi="Times New Roman"/>
          <w:rtl/>
          <w:lang w:bidi="he-IL"/>
        </w:rPr>
        <w:fldChar w:fldCharType="separate"/>
      </w:r>
      <w:r>
        <w:rPr>
          <w:rStyle w:val="Hyperlink"/>
          <w:rFonts w:ascii="Times New Roman" w:hAnsi="Times New Roman"/>
          <w:lang w:bidi="he-IL"/>
        </w:rPr>
        <w:t>csapey@ohchr.org</w:t>
      </w:r>
      <w:r>
        <w:rPr>
          <w:rStyle w:val="Hyperlink"/>
          <w:rFonts w:ascii="Times New Roman" w:hAnsi="Times New Roman"/>
          <w:rtl/>
          <w:lang w:bidi="he-IL"/>
        </w:rPr>
        <w:fldChar w:fldCharType="end"/>
      </w:r>
      <w:r>
        <w:rPr>
          <w:rFonts w:ascii="Arial" w:eastAsia="Times New Roman" w:hAnsi="Arial" w:cs="Arial"/>
          <w:color w:val="222222"/>
          <w:lang w:val="en-US" w:bidi="he-IL"/>
        </w:rPr>
        <w:t xml:space="preserve"> </w:t>
      </w:r>
    </w:p>
    <w:p w:rsidR="00486A1B" w:rsidRDefault="00486A1B" w:rsidP="00486A1B">
      <w:pPr>
        <w:shd w:val="clear" w:color="auto" w:fill="FFFFFF"/>
        <w:bidi/>
        <w:spacing w:after="0" w:line="240" w:lineRule="auto"/>
        <w:rPr>
          <w:rFonts w:ascii="Times New Roman" w:eastAsia="Times New Roman" w:hAnsi="Times New Roman"/>
          <w:lang w:bidi="he-IL"/>
        </w:rPr>
      </w:pPr>
    </w:p>
    <w:p w:rsidR="00486A1B" w:rsidRDefault="00486A1B" w:rsidP="00486A1B">
      <w:pPr>
        <w:shd w:val="clear" w:color="auto" w:fill="FFFFFF"/>
        <w:bidi/>
        <w:spacing w:after="0" w:line="240" w:lineRule="auto"/>
        <w:rPr>
          <w:rFonts w:ascii="Times New Roman" w:eastAsia="Times New Roman" w:hAnsi="Times New Roman"/>
          <w:rtl/>
          <w:lang w:bidi="he-IL"/>
        </w:rPr>
      </w:pPr>
      <w:r>
        <w:rPr>
          <w:rFonts w:ascii="Times New Roman" w:eastAsia="Times New Roman" w:hAnsi="Times New Roman"/>
          <w:rtl/>
          <w:lang w:bidi="he-IL"/>
        </w:rPr>
        <w:t>לבקשת ראיונות לתקשורת, ניתן ליצור קשר במספר</w:t>
      </w:r>
      <w:r>
        <w:rPr>
          <w:rFonts w:ascii="Times New Roman" w:eastAsia="Times New Roman" w:hAnsi="Times New Roman"/>
          <w:b/>
          <w:bCs/>
          <w:rtl/>
          <w:lang w:bidi="he-IL"/>
        </w:rPr>
        <w:t> </w:t>
      </w:r>
      <w:r>
        <w:rPr>
          <w:rFonts w:ascii="Times New Roman" w:eastAsia="Times New Roman" w:hAnsi="Times New Roman"/>
          <w:lang w:val="en-US" w:bidi="he-IL"/>
        </w:rPr>
        <w:t>+41 22 917 81 82</w:t>
      </w:r>
    </w:p>
    <w:p w:rsidR="00486A1B" w:rsidRDefault="00486A1B" w:rsidP="00486A1B">
      <w:pPr>
        <w:shd w:val="clear" w:color="auto" w:fill="FFFFFF"/>
        <w:bidi/>
        <w:spacing w:after="0" w:line="240" w:lineRule="auto"/>
        <w:rPr>
          <w:rFonts w:ascii="Times New Roman" w:eastAsia="Times New Roman" w:hAnsi="Times New Roman"/>
          <w:rtl/>
          <w:lang w:bidi="he-IL"/>
        </w:rPr>
      </w:pPr>
      <w:r>
        <w:rPr>
          <w:rFonts w:ascii="Times New Roman" w:eastAsia="Times New Roman" w:hAnsi="Times New Roman"/>
          <w:rtl/>
        </w:rPr>
        <w:t> </w:t>
      </w:r>
    </w:p>
    <w:p w:rsidR="00486A1B" w:rsidRDefault="00486A1B" w:rsidP="00486A1B">
      <w:pPr>
        <w:shd w:val="clear" w:color="auto" w:fill="FFFFFF"/>
        <w:bidi/>
        <w:spacing w:after="0" w:line="240" w:lineRule="auto"/>
        <w:rPr>
          <w:rFonts w:ascii="Times New Roman" w:eastAsia="Times New Roman" w:hAnsi="Times New Roman"/>
          <w:rtl/>
          <w:lang w:bidi="he-IL"/>
        </w:rPr>
      </w:pPr>
      <w:r>
        <w:rPr>
          <w:rFonts w:ascii="Times New Roman" w:eastAsia="Times New Roman" w:hAnsi="Times New Roman"/>
          <w:rtl/>
          <w:lang w:bidi="he-IL"/>
        </w:rPr>
        <w:t>סרטונים לשידור ניתן להוריד כאן:</w:t>
      </w:r>
    </w:p>
    <w:p w:rsidR="00486A1B" w:rsidRDefault="00486A1B" w:rsidP="00486A1B">
      <w:pPr>
        <w:shd w:val="clear" w:color="auto" w:fill="FFFFFF"/>
        <w:bidi/>
        <w:spacing w:after="0" w:line="240" w:lineRule="auto"/>
        <w:rPr>
          <w:rFonts w:ascii="Times New Roman" w:eastAsia="Times New Roman" w:hAnsi="Times New Roman"/>
          <w:rtl/>
          <w:lang w:bidi="he-IL"/>
        </w:rPr>
      </w:pPr>
    </w:p>
    <w:p w:rsidR="00486A1B" w:rsidRDefault="00486A1B" w:rsidP="00486A1B">
      <w:pPr>
        <w:shd w:val="clear" w:color="auto" w:fill="FFFFFF"/>
        <w:spacing w:after="0" w:line="240" w:lineRule="auto"/>
        <w:rPr>
          <w:rFonts w:ascii="Arial" w:eastAsia="Times New Roman" w:hAnsi="Arial" w:cs="Arial"/>
          <w:color w:val="222222"/>
          <w:rtl/>
          <w:lang w:val="en-US" w:bidi="he-IL"/>
        </w:rPr>
      </w:pPr>
      <w:r>
        <w:rPr>
          <w:rFonts w:ascii="Arial" w:eastAsia="Times New Roman" w:hAnsi="Arial" w:cs="Arial"/>
          <w:b/>
          <w:bCs/>
          <w:color w:val="222222"/>
          <w:u w:val="single"/>
          <w:lang w:val="en-US" w:bidi="he-IL"/>
        </w:rPr>
        <w:t>Video 1</w:t>
      </w:r>
      <w:r>
        <w:rPr>
          <w:rFonts w:ascii="Arial" w:eastAsia="Times New Roman" w:hAnsi="Arial" w:cs="Arial"/>
          <w:b/>
          <w:bCs/>
          <w:color w:val="222222"/>
          <w:lang w:val="en-US" w:bidi="he-IL"/>
        </w:rPr>
        <w:t> (Incident Compilation at Gaza separation fence during protests)</w:t>
      </w:r>
      <w:proofErr w:type="gramStart"/>
      <w:r>
        <w:rPr>
          <w:rFonts w:ascii="Arial" w:eastAsia="Times New Roman" w:hAnsi="Arial" w:cs="Arial"/>
          <w:b/>
          <w:bCs/>
          <w:color w:val="222222"/>
          <w:lang w:val="en-US" w:bidi="he-IL"/>
        </w:rPr>
        <w:t> </w:t>
      </w:r>
      <w:r>
        <w:rPr>
          <w:rFonts w:ascii="Arial" w:eastAsia="Times New Roman" w:hAnsi="Arial" w:cs="Arial"/>
          <w:b/>
          <w:bCs/>
          <w:color w:val="222222"/>
          <w:u w:val="single"/>
          <w:lang w:val="en-US" w:bidi="he-IL"/>
        </w:rPr>
        <w:t> </w:t>
      </w:r>
      <w:r>
        <w:rPr>
          <w:rFonts w:ascii="Arial" w:eastAsia="Times New Roman" w:hAnsi="Arial" w:cs="Arial"/>
          <w:b/>
          <w:bCs/>
          <w:color w:val="222222"/>
          <w:lang w:val="en-US" w:bidi="he-IL"/>
        </w:rPr>
        <w:t>[</w:t>
      </w:r>
      <w:proofErr w:type="spellStart"/>
      <w:proofErr w:type="gramEnd"/>
      <w:r>
        <w:rPr>
          <w:rFonts w:ascii="Arial" w:eastAsia="Times New Roman" w:hAnsi="Arial" w:cs="Arial"/>
          <w:b/>
          <w:bCs/>
          <w:color w:val="222222"/>
          <w:u w:val="single"/>
          <w:lang w:val="en-US" w:bidi="he-IL"/>
        </w:rPr>
        <w:t>shotlist</w:t>
      </w:r>
      <w:proofErr w:type="spellEnd"/>
      <w:r>
        <w:rPr>
          <w:rFonts w:ascii="Arial" w:eastAsia="Times New Roman" w:hAnsi="Arial" w:cs="Arial"/>
          <w:b/>
          <w:bCs/>
          <w:color w:val="222222"/>
          <w:u w:val="single"/>
          <w:lang w:val="en-US" w:bidi="he-IL"/>
        </w:rPr>
        <w:t xml:space="preserve"> &amp; storyline</w:t>
      </w:r>
      <w:r>
        <w:rPr>
          <w:rFonts w:ascii="Arial" w:eastAsia="Times New Roman" w:hAnsi="Arial" w:cs="Arial"/>
          <w:b/>
          <w:bCs/>
          <w:color w:val="222222"/>
          <w:lang w:val="en-US" w:bidi="he-IL"/>
        </w:rPr>
        <w:t>]</w:t>
      </w:r>
    </w:p>
    <w:p w:rsidR="00486A1B" w:rsidRDefault="00486A1B" w:rsidP="00486A1B">
      <w:pPr>
        <w:shd w:val="clear" w:color="auto" w:fill="FFFFFF"/>
        <w:spacing w:after="0" w:line="240" w:lineRule="auto"/>
        <w:rPr>
          <w:rFonts w:ascii="Arial" w:eastAsia="Times New Roman" w:hAnsi="Arial" w:cs="Arial"/>
          <w:b/>
          <w:bCs/>
          <w:color w:val="222222"/>
          <w:u w:val="single"/>
          <w:lang w:val="en-US" w:bidi="he-IL"/>
        </w:rPr>
      </w:pPr>
    </w:p>
    <w:p w:rsidR="00486A1B" w:rsidRDefault="00486A1B" w:rsidP="00486A1B">
      <w:pPr>
        <w:shd w:val="clear" w:color="auto" w:fill="FFFFFF"/>
        <w:spacing w:after="0" w:line="240" w:lineRule="auto"/>
        <w:rPr>
          <w:rFonts w:ascii="Arial" w:eastAsia="Times New Roman" w:hAnsi="Arial" w:cs="Arial"/>
          <w:color w:val="222222"/>
          <w:lang w:val="en-US" w:bidi="he-IL"/>
        </w:rPr>
      </w:pPr>
      <w:r>
        <w:rPr>
          <w:rFonts w:ascii="Arial" w:eastAsia="Times New Roman" w:hAnsi="Arial" w:cs="Arial"/>
          <w:b/>
          <w:bCs/>
          <w:color w:val="222222"/>
          <w:u w:val="single"/>
          <w:lang w:val="en-US" w:bidi="he-IL"/>
        </w:rPr>
        <w:t>Video 2</w:t>
      </w:r>
      <w:r>
        <w:rPr>
          <w:rFonts w:ascii="Arial" w:eastAsia="Times New Roman" w:hAnsi="Arial" w:cs="Arial"/>
          <w:b/>
          <w:bCs/>
          <w:color w:val="222222"/>
          <w:lang w:val="en-US" w:bidi="he-IL"/>
        </w:rPr>
        <w:t xml:space="preserve"> (Ahmad Abu </w:t>
      </w:r>
      <w:proofErr w:type="spellStart"/>
      <w:r>
        <w:rPr>
          <w:rFonts w:ascii="Arial" w:eastAsia="Times New Roman" w:hAnsi="Arial" w:cs="Arial"/>
          <w:b/>
          <w:bCs/>
          <w:color w:val="222222"/>
          <w:lang w:val="en-US" w:bidi="he-IL"/>
        </w:rPr>
        <w:t>Artema</w:t>
      </w:r>
      <w:proofErr w:type="spellEnd"/>
      <w:r>
        <w:rPr>
          <w:rFonts w:ascii="Arial" w:eastAsia="Times New Roman" w:hAnsi="Arial" w:cs="Arial"/>
          <w:b/>
          <w:bCs/>
          <w:color w:val="222222"/>
          <w:lang w:val="en-US" w:bidi="he-IL"/>
        </w:rPr>
        <w:t>: the Reasons; The Voice from the Other Side of the Fence) [</w:t>
      </w:r>
      <w:proofErr w:type="spellStart"/>
      <w:r>
        <w:rPr>
          <w:rFonts w:ascii="Arial" w:eastAsia="Times New Roman" w:hAnsi="Arial" w:cs="Arial"/>
          <w:b/>
          <w:bCs/>
          <w:color w:val="222222"/>
          <w:u w:val="single"/>
          <w:lang w:val="en-US" w:bidi="he-IL"/>
        </w:rPr>
        <w:t>shotlist</w:t>
      </w:r>
      <w:proofErr w:type="spellEnd"/>
      <w:r>
        <w:rPr>
          <w:rFonts w:ascii="Arial" w:eastAsia="Times New Roman" w:hAnsi="Arial" w:cs="Arial"/>
          <w:b/>
          <w:bCs/>
          <w:color w:val="222222"/>
          <w:u w:val="single"/>
          <w:lang w:val="en-US" w:bidi="he-IL"/>
        </w:rPr>
        <w:t xml:space="preserve"> &amp; storyline</w:t>
      </w:r>
      <w:r>
        <w:rPr>
          <w:rFonts w:ascii="Arial" w:eastAsia="Times New Roman" w:hAnsi="Arial" w:cs="Arial"/>
          <w:b/>
          <w:bCs/>
          <w:color w:val="222222"/>
          <w:lang w:val="en-US" w:bidi="he-IL"/>
        </w:rPr>
        <w:t>]</w:t>
      </w:r>
    </w:p>
    <w:p w:rsidR="00486A1B" w:rsidRDefault="00486A1B" w:rsidP="00486A1B">
      <w:pPr>
        <w:shd w:val="clear" w:color="auto" w:fill="FFFFFF"/>
        <w:spacing w:after="0" w:line="240" w:lineRule="auto"/>
        <w:rPr>
          <w:rFonts w:ascii="Arial" w:eastAsia="Times New Roman" w:hAnsi="Arial" w:cs="Arial"/>
          <w:color w:val="222222"/>
          <w:lang w:val="en-US" w:bidi="he-IL"/>
        </w:rPr>
      </w:pPr>
    </w:p>
    <w:p w:rsidR="00486A1B" w:rsidRDefault="00486A1B" w:rsidP="00486A1B">
      <w:pPr>
        <w:shd w:val="clear" w:color="auto" w:fill="FFFFFF"/>
        <w:spacing w:after="0" w:line="240" w:lineRule="auto"/>
        <w:rPr>
          <w:rFonts w:ascii="Arial" w:eastAsia="Times New Roman" w:hAnsi="Arial" w:cs="Arial"/>
          <w:b/>
          <w:bCs/>
          <w:color w:val="222222"/>
          <w:u w:val="single"/>
          <w:lang w:val="en-US" w:bidi="he-IL"/>
        </w:rPr>
      </w:pPr>
      <w:r>
        <w:rPr>
          <w:rFonts w:ascii="Arial" w:eastAsia="Times New Roman" w:hAnsi="Arial" w:cs="Arial"/>
          <w:b/>
          <w:bCs/>
          <w:color w:val="222222"/>
          <w:u w:val="single"/>
          <w:lang w:val="en-US" w:bidi="he-IL"/>
        </w:rPr>
        <w:t>Video 3</w:t>
      </w:r>
      <w:r>
        <w:rPr>
          <w:rFonts w:ascii="Arial" w:eastAsia="Times New Roman" w:hAnsi="Arial" w:cs="Arial"/>
          <w:b/>
          <w:bCs/>
          <w:color w:val="222222"/>
          <w:lang w:val="en-US" w:bidi="he-IL"/>
        </w:rPr>
        <w:t> (Minors injured) [</w:t>
      </w:r>
      <w:proofErr w:type="spellStart"/>
      <w:r>
        <w:rPr>
          <w:rFonts w:ascii="Arial" w:eastAsia="Times New Roman" w:hAnsi="Arial" w:cs="Arial"/>
          <w:b/>
          <w:bCs/>
          <w:color w:val="222222"/>
          <w:u w:val="single"/>
          <w:lang w:val="en-US" w:bidi="he-IL"/>
        </w:rPr>
        <w:t>shotlist</w:t>
      </w:r>
      <w:proofErr w:type="spellEnd"/>
      <w:r>
        <w:rPr>
          <w:rFonts w:ascii="Arial" w:eastAsia="Times New Roman" w:hAnsi="Arial" w:cs="Arial"/>
          <w:b/>
          <w:bCs/>
          <w:color w:val="222222"/>
          <w:u w:val="single"/>
          <w:lang w:val="en-US" w:bidi="he-IL"/>
        </w:rPr>
        <w:t xml:space="preserve"> &amp; storyline</w:t>
      </w:r>
    </w:p>
    <w:p w:rsidR="00486A1B" w:rsidRDefault="00486A1B" w:rsidP="00486A1B">
      <w:pPr>
        <w:shd w:val="clear" w:color="auto" w:fill="FFFFFF"/>
        <w:spacing w:after="0" w:line="240" w:lineRule="auto"/>
        <w:rPr>
          <w:rFonts w:ascii="Times New Roman" w:eastAsia="Times New Roman" w:hAnsi="Times New Roman"/>
          <w:lang w:bidi="he-IL"/>
        </w:rPr>
      </w:pPr>
    </w:p>
    <w:p w:rsidR="00961DCE" w:rsidRDefault="00486A1B">
      <w:bookmarkStart w:id="0" w:name="_GoBack"/>
      <w:bookmarkEnd w:id="0"/>
    </w:p>
    <w:sectPr w:rsidR="00961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58"/>
    <w:rsid w:val="000C4AEA"/>
    <w:rsid w:val="000F0C58"/>
    <w:rsid w:val="00486A1B"/>
    <w:rsid w:val="00E47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906A0-C1F2-4E58-83DD-AC000A86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A1B"/>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6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90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13CBB6-F87A-4CEF-A9CA-8A0D4516801E}"/>
</file>

<file path=customXml/itemProps2.xml><?xml version="1.0" encoding="utf-8"?>
<ds:datastoreItem xmlns:ds="http://schemas.openxmlformats.org/officeDocument/2006/customXml" ds:itemID="{45F86C15-569F-48D3-AD46-958FEF70DED0}"/>
</file>

<file path=customXml/itemProps3.xml><?xml version="1.0" encoding="utf-8"?>
<ds:datastoreItem xmlns:ds="http://schemas.openxmlformats.org/officeDocument/2006/customXml" ds:itemID="{5FFED70E-1757-4C4F-9E71-D5DBEBAB4612}"/>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COI_OPT_PR_18.03.2019_Hebrew</dc:title>
  <dc:subject/>
  <dc:creator>ERIKSSON Johan</dc:creator>
  <cp:keywords/>
  <dc:description/>
  <cp:lastModifiedBy>ERIKSSON Johan</cp:lastModifiedBy>
  <cp:revision>2</cp:revision>
  <dcterms:created xsi:type="dcterms:W3CDTF">2019-03-17T20:57:00Z</dcterms:created>
  <dcterms:modified xsi:type="dcterms:W3CDTF">2019-03-17T20:57:00Z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