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A5DC3" w:rsidRDefault="00AA5DC3">
      <w:pPr>
        <w:pBdr>
          <w:top w:val="nil"/>
          <w:left w:val="nil"/>
          <w:bottom w:val="nil"/>
          <w:right w:val="nil"/>
          <w:between w:val="nil"/>
        </w:pBdr>
        <w:jc w:val="right"/>
        <w:rPr>
          <w:color w:val="000000"/>
          <w:sz w:val="24"/>
          <w:szCs w:val="24"/>
        </w:rPr>
      </w:pPr>
      <w:bookmarkStart w:id="0" w:name="_GoBack"/>
      <w:bookmarkEnd w:id="0"/>
    </w:p>
    <w:p w14:paraId="00000002" w14:textId="77777777" w:rsidR="00AA5DC3" w:rsidRDefault="00D245D4">
      <w:pPr>
        <w:pBdr>
          <w:top w:val="nil"/>
          <w:left w:val="nil"/>
          <w:bottom w:val="nil"/>
          <w:right w:val="nil"/>
          <w:between w:val="nil"/>
        </w:pBdr>
        <w:jc w:val="center"/>
        <w:rPr>
          <w:color w:val="000000"/>
          <w:sz w:val="24"/>
          <w:szCs w:val="24"/>
        </w:rPr>
      </w:pPr>
      <w:r>
        <w:rPr>
          <w:rFonts w:eastAsia="Times New Roman"/>
          <w:b/>
          <w:color w:val="000000"/>
          <w:sz w:val="24"/>
          <w:szCs w:val="24"/>
        </w:rPr>
        <w:t>ANNEX III</w:t>
      </w:r>
    </w:p>
    <w:p w14:paraId="00000003" w14:textId="77777777" w:rsidR="00AA5DC3" w:rsidRDefault="00AA5DC3">
      <w:pPr>
        <w:pBdr>
          <w:top w:val="nil"/>
          <w:left w:val="nil"/>
          <w:bottom w:val="nil"/>
          <w:right w:val="nil"/>
          <w:between w:val="nil"/>
        </w:pBdr>
        <w:rPr>
          <w:color w:val="000000"/>
          <w:sz w:val="24"/>
          <w:szCs w:val="24"/>
        </w:rPr>
      </w:pPr>
    </w:p>
    <w:p w14:paraId="00000004" w14:textId="2FC8FD87" w:rsidR="00AA5DC3" w:rsidRDefault="00D245D4">
      <w:pPr>
        <w:pBdr>
          <w:top w:val="nil"/>
          <w:left w:val="nil"/>
          <w:bottom w:val="nil"/>
          <w:right w:val="nil"/>
          <w:between w:val="nil"/>
        </w:pBdr>
        <w:jc w:val="center"/>
        <w:rPr>
          <w:color w:val="000000"/>
          <w:sz w:val="24"/>
          <w:szCs w:val="24"/>
        </w:rPr>
      </w:pPr>
      <w:r>
        <w:rPr>
          <w:rFonts w:eastAsia="Times New Roman"/>
          <w:color w:val="000000"/>
          <w:sz w:val="24"/>
          <w:szCs w:val="24"/>
        </w:rPr>
        <w:t xml:space="preserve">Fiche biographique </w:t>
      </w:r>
      <w:r>
        <w:rPr>
          <w:rFonts w:eastAsia="Times New Roman"/>
          <w:color w:val="000000"/>
          <w:sz w:val="24"/>
          <w:szCs w:val="24"/>
        </w:rPr>
        <w:t>des</w:t>
      </w:r>
      <w:r>
        <w:rPr>
          <w:rFonts w:eastAsia="Times New Roman"/>
          <w:color w:val="000000"/>
          <w:sz w:val="24"/>
          <w:szCs w:val="24"/>
        </w:rPr>
        <w:t xml:space="preserve"> candidats postulant au Comité contre la </w:t>
      </w:r>
      <w:r>
        <w:rPr>
          <w:rFonts w:eastAsia="Times New Roman"/>
          <w:color w:val="000000"/>
          <w:sz w:val="24"/>
          <w:szCs w:val="24"/>
        </w:rPr>
        <w:t>t</w:t>
      </w:r>
      <w:r>
        <w:rPr>
          <w:rFonts w:eastAsia="Times New Roman"/>
          <w:color w:val="000000"/>
          <w:sz w:val="24"/>
          <w:szCs w:val="24"/>
        </w:rPr>
        <w:t>orture</w:t>
      </w:r>
    </w:p>
    <w:p w14:paraId="00000005" w14:textId="77777777" w:rsidR="00AA5DC3" w:rsidRDefault="00AA5DC3">
      <w:pPr>
        <w:pBdr>
          <w:top w:val="nil"/>
          <w:left w:val="nil"/>
          <w:bottom w:val="nil"/>
          <w:right w:val="nil"/>
          <w:between w:val="nil"/>
        </w:pBdr>
        <w:rPr>
          <w:color w:val="000000"/>
          <w:sz w:val="24"/>
          <w:szCs w:val="24"/>
        </w:rPr>
      </w:pPr>
    </w:p>
    <w:p w14:paraId="00000006" w14:textId="77777777" w:rsidR="00AA5DC3" w:rsidRDefault="00D245D4">
      <w:pPr>
        <w:pBdr>
          <w:top w:val="nil"/>
          <w:left w:val="nil"/>
          <w:bottom w:val="nil"/>
          <w:right w:val="nil"/>
          <w:between w:val="nil"/>
        </w:pBdr>
        <w:rPr>
          <w:color w:val="000000"/>
          <w:sz w:val="24"/>
          <w:szCs w:val="24"/>
        </w:rPr>
      </w:pPr>
      <w:r>
        <w:rPr>
          <w:rFonts w:eastAsia="Times New Roman"/>
          <w:color w:val="000000"/>
          <w:sz w:val="24"/>
          <w:szCs w:val="24"/>
        </w:rPr>
        <w:t>Nom et prénom: MAEDA Naoko</w:t>
      </w:r>
    </w:p>
    <w:p w14:paraId="00000007" w14:textId="77777777" w:rsidR="00AA5DC3" w:rsidRDefault="00AA5DC3">
      <w:pPr>
        <w:pBdr>
          <w:top w:val="nil"/>
          <w:left w:val="nil"/>
          <w:bottom w:val="nil"/>
          <w:right w:val="nil"/>
          <w:between w:val="nil"/>
        </w:pBdr>
        <w:rPr>
          <w:color w:val="000000"/>
          <w:sz w:val="24"/>
          <w:szCs w:val="24"/>
        </w:rPr>
      </w:pPr>
    </w:p>
    <w:p w14:paraId="00000008" w14:textId="77777777" w:rsidR="00AA5DC3" w:rsidRDefault="00D245D4">
      <w:pPr>
        <w:pBdr>
          <w:top w:val="nil"/>
          <w:left w:val="nil"/>
          <w:bottom w:val="nil"/>
          <w:right w:val="nil"/>
          <w:between w:val="nil"/>
        </w:pBdr>
        <w:rPr>
          <w:color w:val="000000"/>
          <w:sz w:val="24"/>
          <w:szCs w:val="24"/>
        </w:rPr>
      </w:pPr>
      <w:r>
        <w:rPr>
          <w:rFonts w:eastAsia="Times New Roman"/>
          <w:color w:val="000000"/>
          <w:sz w:val="24"/>
          <w:szCs w:val="24"/>
        </w:rPr>
        <w:t>Date et lieu de naissance: le 4 juillet 1971, Kyoto, Japon</w:t>
      </w:r>
    </w:p>
    <w:p w14:paraId="00000009" w14:textId="77777777" w:rsidR="00AA5DC3" w:rsidRDefault="00D245D4">
      <w:pPr>
        <w:pBdr>
          <w:top w:val="nil"/>
          <w:left w:val="nil"/>
          <w:bottom w:val="nil"/>
          <w:right w:val="nil"/>
          <w:between w:val="nil"/>
        </w:pBdr>
        <w:rPr>
          <w:color w:val="000000"/>
          <w:sz w:val="24"/>
          <w:szCs w:val="24"/>
        </w:rPr>
      </w:pPr>
      <w:r>
        <w:rPr>
          <w:rFonts w:eastAsia="Times New Roman"/>
          <w:color w:val="000000"/>
          <w:sz w:val="24"/>
          <w:szCs w:val="24"/>
        </w:rPr>
        <w:t xml:space="preserve"> </w:t>
      </w:r>
    </w:p>
    <w:p w14:paraId="0000000A" w14:textId="77777777" w:rsidR="00AA5DC3" w:rsidRDefault="00D245D4">
      <w:pPr>
        <w:pBdr>
          <w:top w:val="nil"/>
          <w:left w:val="nil"/>
          <w:bottom w:val="nil"/>
          <w:right w:val="nil"/>
          <w:between w:val="nil"/>
        </w:pBdr>
        <w:rPr>
          <w:color w:val="000000"/>
          <w:sz w:val="24"/>
          <w:szCs w:val="24"/>
        </w:rPr>
      </w:pPr>
      <w:r>
        <w:rPr>
          <w:rFonts w:eastAsia="Times New Roman"/>
          <w:color w:val="000000"/>
          <w:sz w:val="24"/>
          <w:szCs w:val="24"/>
        </w:rPr>
        <w:t xml:space="preserve">Langues de travail: anglais et japonais </w:t>
      </w:r>
    </w:p>
    <w:p w14:paraId="0000000B" w14:textId="77777777" w:rsidR="00AA5DC3" w:rsidRDefault="00AA5DC3">
      <w:pPr>
        <w:pBdr>
          <w:top w:val="nil"/>
          <w:left w:val="nil"/>
          <w:bottom w:val="nil"/>
          <w:right w:val="nil"/>
          <w:between w:val="nil"/>
        </w:pBdr>
        <w:rPr>
          <w:color w:val="000000"/>
          <w:sz w:val="24"/>
          <w:szCs w:val="24"/>
        </w:rPr>
      </w:pPr>
    </w:p>
    <w:p w14:paraId="0000000C" w14:textId="77777777" w:rsidR="00AA5DC3" w:rsidRDefault="00D245D4">
      <w:pPr>
        <w:pBdr>
          <w:top w:val="nil"/>
          <w:left w:val="nil"/>
          <w:bottom w:val="nil"/>
          <w:right w:val="nil"/>
          <w:between w:val="nil"/>
        </w:pBdr>
        <w:rPr>
          <w:color w:val="000000"/>
          <w:sz w:val="24"/>
          <w:szCs w:val="24"/>
        </w:rPr>
      </w:pPr>
      <w:r>
        <w:rPr>
          <w:rFonts w:eastAsia="Times New Roman"/>
          <w:color w:val="000000"/>
          <w:sz w:val="24"/>
          <w:szCs w:val="24"/>
        </w:rPr>
        <w:t>Postes actuels</w:t>
      </w:r>
      <w:r>
        <w:rPr>
          <w:rFonts w:eastAsia="Times New Roman"/>
          <w:color w:val="000000"/>
          <w:sz w:val="24"/>
          <w:szCs w:val="24"/>
        </w:rPr>
        <w:t xml:space="preserve"> </w:t>
      </w:r>
      <w:r>
        <w:rPr>
          <w:rFonts w:eastAsia="Times New Roman"/>
          <w:color w:val="000000"/>
          <w:sz w:val="24"/>
          <w:szCs w:val="24"/>
        </w:rPr>
        <w:t>:</w:t>
      </w:r>
    </w:p>
    <w:p w14:paraId="0000000D" w14:textId="4CB2F62A" w:rsidR="00AA5DC3" w:rsidRDefault="00D245D4">
      <w:pPr>
        <w:widowControl w:val="0"/>
        <w:numPr>
          <w:ilvl w:val="0"/>
          <w:numId w:val="4"/>
        </w:numPr>
        <w:pBdr>
          <w:top w:val="nil"/>
          <w:left w:val="nil"/>
          <w:bottom w:val="nil"/>
          <w:right w:val="nil"/>
          <w:between w:val="nil"/>
        </w:pBdr>
        <w:jc w:val="both"/>
        <w:rPr>
          <w:color w:val="000000"/>
          <w:sz w:val="24"/>
          <w:szCs w:val="24"/>
        </w:rPr>
      </w:pPr>
      <w:r>
        <w:rPr>
          <w:rFonts w:eastAsia="Times New Roman"/>
          <w:color w:val="000000"/>
          <w:sz w:val="24"/>
          <w:szCs w:val="24"/>
        </w:rPr>
        <w:t>Professeur de droit international, Faculté de droit, Université des femmes de Kyoto (2020–</w:t>
      </w:r>
      <w:r>
        <w:rPr>
          <w:rFonts w:eastAsia="Times New Roman"/>
          <w:color w:val="000000"/>
          <w:sz w:val="24"/>
          <w:szCs w:val="24"/>
        </w:rPr>
        <w:t xml:space="preserve"> jusqu’à maintenant</w:t>
      </w:r>
      <w:r>
        <w:rPr>
          <w:rFonts w:eastAsia="Times New Roman"/>
          <w:color w:val="000000"/>
          <w:sz w:val="24"/>
          <w:szCs w:val="24"/>
        </w:rPr>
        <w:t>)</w:t>
      </w:r>
    </w:p>
    <w:p w14:paraId="0000000E" w14:textId="2B172295" w:rsidR="00AA5DC3" w:rsidRDefault="00D245D4">
      <w:pPr>
        <w:widowControl w:val="0"/>
        <w:numPr>
          <w:ilvl w:val="0"/>
          <w:numId w:val="4"/>
        </w:numPr>
        <w:pBdr>
          <w:top w:val="nil"/>
          <w:left w:val="nil"/>
          <w:bottom w:val="nil"/>
          <w:right w:val="nil"/>
          <w:between w:val="nil"/>
        </w:pBdr>
        <w:jc w:val="both"/>
        <w:rPr>
          <w:color w:val="000000"/>
          <w:sz w:val="24"/>
          <w:szCs w:val="24"/>
        </w:rPr>
      </w:pPr>
      <w:r>
        <w:rPr>
          <w:rFonts w:eastAsia="Times New Roman"/>
          <w:color w:val="000000"/>
          <w:sz w:val="24"/>
          <w:szCs w:val="24"/>
        </w:rPr>
        <w:t xml:space="preserve">Conseillère pour l’examen des </w:t>
      </w:r>
      <w:r>
        <w:rPr>
          <w:rFonts w:eastAsia="Times New Roman"/>
          <w:color w:val="000000"/>
          <w:sz w:val="24"/>
          <w:szCs w:val="24"/>
        </w:rPr>
        <w:t>demandes</w:t>
      </w:r>
      <w:r>
        <w:rPr>
          <w:rFonts w:eastAsia="Times New Roman"/>
          <w:color w:val="000000"/>
          <w:sz w:val="24"/>
          <w:szCs w:val="24"/>
        </w:rPr>
        <w:t xml:space="preserve"> d’asile, Ministère de la justice (2018–</w:t>
      </w:r>
      <w:r>
        <w:rPr>
          <w:rFonts w:eastAsia="Times New Roman"/>
          <w:color w:val="000000"/>
          <w:sz w:val="24"/>
          <w:szCs w:val="24"/>
        </w:rPr>
        <w:t>jusqu’à maintenant</w:t>
      </w:r>
      <w:r>
        <w:rPr>
          <w:rFonts w:eastAsia="Times New Roman"/>
          <w:color w:val="000000"/>
          <w:sz w:val="24"/>
          <w:szCs w:val="24"/>
        </w:rPr>
        <w:t xml:space="preserve">) </w:t>
      </w:r>
    </w:p>
    <w:p w14:paraId="0000000F" w14:textId="31967C21" w:rsidR="00AA5DC3" w:rsidRDefault="00D245D4">
      <w:pPr>
        <w:widowControl w:val="0"/>
        <w:numPr>
          <w:ilvl w:val="0"/>
          <w:numId w:val="4"/>
        </w:numPr>
        <w:pBdr>
          <w:top w:val="nil"/>
          <w:left w:val="nil"/>
          <w:bottom w:val="nil"/>
          <w:right w:val="nil"/>
          <w:between w:val="nil"/>
        </w:pBdr>
        <w:jc w:val="both"/>
        <w:rPr>
          <w:color w:val="000000"/>
          <w:sz w:val="24"/>
          <w:szCs w:val="24"/>
        </w:rPr>
      </w:pPr>
      <w:r>
        <w:rPr>
          <w:rFonts w:eastAsia="Times New Roman"/>
          <w:color w:val="000000"/>
          <w:sz w:val="24"/>
          <w:szCs w:val="24"/>
        </w:rPr>
        <w:t>Membre du conseil exécutif de l’Association du droit international des droits de l’</w:t>
      </w:r>
      <w:r>
        <w:rPr>
          <w:rFonts w:eastAsia="Times New Roman"/>
          <w:color w:val="000000"/>
          <w:sz w:val="24"/>
          <w:szCs w:val="24"/>
        </w:rPr>
        <w:t>H</w:t>
      </w:r>
      <w:r>
        <w:rPr>
          <w:rFonts w:eastAsia="Times New Roman"/>
          <w:color w:val="000000"/>
          <w:sz w:val="24"/>
          <w:szCs w:val="24"/>
        </w:rPr>
        <w:t>omme, Japon</w:t>
      </w:r>
    </w:p>
    <w:p w14:paraId="00000010" w14:textId="77777777" w:rsidR="00AA5DC3" w:rsidRDefault="00D245D4">
      <w:pPr>
        <w:widowControl w:val="0"/>
        <w:numPr>
          <w:ilvl w:val="0"/>
          <w:numId w:val="4"/>
        </w:numPr>
        <w:pBdr>
          <w:top w:val="nil"/>
          <w:left w:val="nil"/>
          <w:bottom w:val="nil"/>
          <w:right w:val="nil"/>
          <w:between w:val="nil"/>
        </w:pBdr>
        <w:jc w:val="both"/>
        <w:rPr>
          <w:color w:val="000000"/>
          <w:sz w:val="24"/>
          <w:szCs w:val="24"/>
        </w:rPr>
      </w:pPr>
      <w:r>
        <w:rPr>
          <w:rFonts w:eastAsia="Times New Roman"/>
          <w:color w:val="000000"/>
          <w:sz w:val="24"/>
          <w:szCs w:val="24"/>
        </w:rPr>
        <w:t xml:space="preserve">Secrétaire, Comité de planification, Société japonaise de droit international (JSIL) </w:t>
      </w:r>
    </w:p>
    <w:p w14:paraId="00000011" w14:textId="77777777" w:rsidR="00AA5DC3" w:rsidRDefault="00D245D4">
      <w:pPr>
        <w:widowControl w:val="0"/>
        <w:numPr>
          <w:ilvl w:val="0"/>
          <w:numId w:val="4"/>
        </w:numPr>
        <w:pBdr>
          <w:top w:val="nil"/>
          <w:left w:val="nil"/>
          <w:bottom w:val="nil"/>
          <w:right w:val="nil"/>
          <w:between w:val="nil"/>
        </w:pBdr>
        <w:jc w:val="both"/>
        <w:rPr>
          <w:color w:val="000000"/>
          <w:sz w:val="24"/>
          <w:szCs w:val="24"/>
        </w:rPr>
      </w:pPr>
      <w:r>
        <w:rPr>
          <w:rFonts w:eastAsia="Times New Roman"/>
          <w:color w:val="000000"/>
          <w:sz w:val="24"/>
          <w:szCs w:val="24"/>
        </w:rPr>
        <w:t>Membre des conseils pour la promotion des droits de l’homme d’Osaka, de Kyoto et de Sakai</w:t>
      </w:r>
    </w:p>
    <w:p w14:paraId="00000012" w14:textId="77777777" w:rsidR="00AA5DC3" w:rsidRDefault="00AA5DC3">
      <w:pPr>
        <w:pBdr>
          <w:top w:val="nil"/>
          <w:left w:val="nil"/>
          <w:bottom w:val="nil"/>
          <w:right w:val="nil"/>
          <w:between w:val="nil"/>
        </w:pBdr>
        <w:rPr>
          <w:color w:val="000000"/>
          <w:sz w:val="24"/>
          <w:szCs w:val="24"/>
        </w:rPr>
      </w:pPr>
    </w:p>
    <w:p w14:paraId="00000013" w14:textId="77777777" w:rsidR="00AA5DC3" w:rsidRDefault="00D245D4">
      <w:pPr>
        <w:pBdr>
          <w:top w:val="nil"/>
          <w:left w:val="nil"/>
          <w:bottom w:val="nil"/>
          <w:right w:val="nil"/>
          <w:between w:val="nil"/>
        </w:pBdr>
        <w:rPr>
          <w:color w:val="000000"/>
          <w:sz w:val="24"/>
          <w:szCs w:val="24"/>
        </w:rPr>
      </w:pPr>
      <w:r>
        <w:rPr>
          <w:rFonts w:eastAsia="Times New Roman"/>
          <w:color w:val="000000"/>
          <w:sz w:val="24"/>
          <w:szCs w:val="24"/>
        </w:rPr>
        <w:t>Principales activités professionnelles</w:t>
      </w:r>
      <w:r>
        <w:rPr>
          <w:rFonts w:eastAsia="Times New Roman"/>
          <w:color w:val="000000"/>
          <w:sz w:val="24"/>
          <w:szCs w:val="24"/>
        </w:rPr>
        <w:t xml:space="preserve"> </w:t>
      </w:r>
      <w:r>
        <w:rPr>
          <w:rFonts w:eastAsia="Times New Roman"/>
          <w:color w:val="000000"/>
          <w:sz w:val="24"/>
          <w:szCs w:val="24"/>
        </w:rPr>
        <w:t>:</w:t>
      </w:r>
    </w:p>
    <w:p w14:paraId="00000014" w14:textId="10A6237C" w:rsidR="00AA5DC3" w:rsidRDefault="00D245D4">
      <w:pPr>
        <w:widowControl w:val="0"/>
        <w:numPr>
          <w:ilvl w:val="0"/>
          <w:numId w:val="2"/>
        </w:numPr>
        <w:pBdr>
          <w:top w:val="nil"/>
          <w:left w:val="nil"/>
          <w:bottom w:val="nil"/>
          <w:right w:val="nil"/>
          <w:between w:val="nil"/>
        </w:pBdr>
        <w:jc w:val="both"/>
        <w:rPr>
          <w:color w:val="000000"/>
          <w:sz w:val="24"/>
          <w:szCs w:val="24"/>
        </w:rPr>
      </w:pPr>
      <w:r>
        <w:rPr>
          <w:rFonts w:eastAsia="Times New Roman"/>
          <w:color w:val="000000"/>
          <w:sz w:val="24"/>
          <w:szCs w:val="24"/>
        </w:rPr>
        <w:t xml:space="preserve">Plus de 20 ans d'expérience approfondie </w:t>
      </w:r>
      <w:r>
        <w:rPr>
          <w:rFonts w:eastAsia="Times New Roman"/>
          <w:color w:val="000000"/>
          <w:sz w:val="24"/>
          <w:szCs w:val="24"/>
        </w:rPr>
        <w:t>dans</w:t>
      </w:r>
      <w:r>
        <w:rPr>
          <w:rFonts w:eastAsia="Times New Roman"/>
          <w:color w:val="000000"/>
          <w:sz w:val="24"/>
          <w:szCs w:val="24"/>
        </w:rPr>
        <w:t xml:space="preserve"> la recherche et </w:t>
      </w:r>
      <w:r>
        <w:rPr>
          <w:rFonts w:eastAsia="Times New Roman"/>
          <w:color w:val="000000"/>
          <w:sz w:val="24"/>
          <w:szCs w:val="24"/>
        </w:rPr>
        <w:t xml:space="preserve"> l'enseignement dans les domaines du droit international de</w:t>
      </w:r>
      <w:r>
        <w:rPr>
          <w:rFonts w:eastAsia="Times New Roman"/>
          <w:color w:val="000000"/>
          <w:sz w:val="24"/>
          <w:szCs w:val="24"/>
        </w:rPr>
        <w:t xml:space="preserve">s droits de l'homme, des organisations internationales et du droit des réfugiés, avec un grand nombre de publications fondées sur les </w:t>
      </w:r>
      <w:r>
        <w:rPr>
          <w:rFonts w:eastAsia="Times New Roman"/>
          <w:color w:val="000000"/>
          <w:sz w:val="24"/>
          <w:szCs w:val="24"/>
        </w:rPr>
        <w:t>dernières avancées mondiales.</w:t>
      </w:r>
    </w:p>
    <w:p w14:paraId="00000015" w14:textId="734B1445" w:rsidR="00AA5DC3" w:rsidRDefault="00D245D4">
      <w:pPr>
        <w:widowControl w:val="0"/>
        <w:numPr>
          <w:ilvl w:val="0"/>
          <w:numId w:val="2"/>
        </w:numPr>
        <w:pBdr>
          <w:top w:val="nil"/>
          <w:left w:val="nil"/>
          <w:bottom w:val="nil"/>
          <w:right w:val="nil"/>
          <w:between w:val="nil"/>
        </w:pBdr>
        <w:jc w:val="both"/>
        <w:rPr>
          <w:color w:val="000000"/>
          <w:sz w:val="24"/>
          <w:szCs w:val="24"/>
        </w:rPr>
      </w:pPr>
      <w:r>
        <w:rPr>
          <w:rFonts w:eastAsia="Times New Roman"/>
          <w:color w:val="000000"/>
          <w:sz w:val="24"/>
          <w:szCs w:val="24"/>
        </w:rPr>
        <w:t>Connaissance approfondie et riche expérience de la résolution des problèmes réels de promotion et de protection des droits de l'homme sur le terrain, tels que la discrimination fondée sur le sexe, en tant que</w:t>
      </w:r>
      <w:r>
        <w:rPr>
          <w:rFonts w:eastAsia="Times New Roman"/>
          <w:color w:val="000000"/>
          <w:sz w:val="24"/>
          <w:szCs w:val="24"/>
        </w:rPr>
        <w:t xml:space="preserve"> membre des conseils de promotion des mesures r</w:t>
      </w:r>
      <w:r>
        <w:rPr>
          <w:rFonts w:eastAsia="Times New Roman"/>
          <w:color w:val="000000"/>
          <w:sz w:val="24"/>
          <w:szCs w:val="24"/>
        </w:rPr>
        <w:t>elatives aux droits de l'Homme des gouvernements locaux.</w:t>
      </w:r>
    </w:p>
    <w:p w14:paraId="00000016" w14:textId="22558744" w:rsidR="00AA5DC3" w:rsidRDefault="00D245D4">
      <w:pPr>
        <w:widowControl w:val="0"/>
        <w:numPr>
          <w:ilvl w:val="0"/>
          <w:numId w:val="2"/>
        </w:numPr>
        <w:pBdr>
          <w:top w:val="nil"/>
          <w:left w:val="nil"/>
          <w:bottom w:val="nil"/>
          <w:right w:val="nil"/>
          <w:between w:val="nil"/>
        </w:pBdr>
        <w:jc w:val="both"/>
        <w:rPr>
          <w:color w:val="000000"/>
          <w:sz w:val="24"/>
          <w:szCs w:val="24"/>
        </w:rPr>
      </w:pPr>
      <w:r>
        <w:rPr>
          <w:rFonts w:eastAsia="Times New Roman"/>
          <w:color w:val="000000"/>
          <w:sz w:val="24"/>
          <w:szCs w:val="24"/>
        </w:rPr>
        <w:t>Contribution active au développement de la compréhension des populations locales en matière d</w:t>
      </w:r>
      <w:r>
        <w:rPr>
          <w:rFonts w:eastAsia="Times New Roman"/>
          <w:color w:val="000000"/>
          <w:sz w:val="24"/>
          <w:szCs w:val="24"/>
        </w:rPr>
        <w:t xml:space="preserve">e droits de l'homme par la participation en tant que panéliste </w:t>
      </w:r>
      <w:r>
        <w:rPr>
          <w:rFonts w:eastAsia="Times New Roman"/>
          <w:color w:val="000000"/>
          <w:sz w:val="24"/>
          <w:szCs w:val="24"/>
        </w:rPr>
        <w:t>à divers</w:t>
      </w:r>
      <w:r>
        <w:rPr>
          <w:rFonts w:eastAsia="Times New Roman"/>
          <w:color w:val="000000"/>
          <w:sz w:val="24"/>
          <w:szCs w:val="24"/>
        </w:rPr>
        <w:t xml:space="preserve"> symposiums.</w:t>
      </w:r>
    </w:p>
    <w:p w14:paraId="00000017" w14:textId="4632FA45" w:rsidR="00AA5DC3" w:rsidRDefault="00D245D4">
      <w:pPr>
        <w:widowControl w:val="0"/>
        <w:numPr>
          <w:ilvl w:val="0"/>
          <w:numId w:val="2"/>
        </w:numPr>
        <w:pBdr>
          <w:top w:val="nil"/>
          <w:left w:val="nil"/>
          <w:bottom w:val="nil"/>
          <w:right w:val="nil"/>
          <w:between w:val="nil"/>
        </w:pBdr>
        <w:jc w:val="both"/>
        <w:rPr>
          <w:color w:val="000000"/>
          <w:sz w:val="24"/>
          <w:szCs w:val="24"/>
        </w:rPr>
      </w:pPr>
      <w:r>
        <w:rPr>
          <w:rFonts w:eastAsia="Times New Roman"/>
          <w:color w:val="000000"/>
          <w:sz w:val="24"/>
          <w:szCs w:val="24"/>
        </w:rPr>
        <w:t xml:space="preserve">Service en tant que Conseillère pour l’examen des </w:t>
      </w:r>
      <w:r>
        <w:rPr>
          <w:rFonts w:eastAsia="Times New Roman"/>
          <w:color w:val="000000"/>
          <w:sz w:val="24"/>
          <w:szCs w:val="24"/>
        </w:rPr>
        <w:t>demandes</w:t>
      </w:r>
      <w:r>
        <w:rPr>
          <w:rFonts w:eastAsia="Times New Roman"/>
          <w:color w:val="000000"/>
          <w:sz w:val="24"/>
          <w:szCs w:val="24"/>
        </w:rPr>
        <w:t xml:space="preserve"> d’asile, pour la promotion et la protection des droits des réfugiés et des demandeurs d'asile en fournissant des avis indépendants et impartiaux au Ministre de la Justice du Japon.</w:t>
      </w:r>
    </w:p>
    <w:p w14:paraId="00000018" w14:textId="77777777" w:rsidR="00AA5DC3" w:rsidRDefault="00AA5DC3">
      <w:pPr>
        <w:widowControl w:val="0"/>
        <w:pBdr>
          <w:top w:val="nil"/>
          <w:left w:val="nil"/>
          <w:bottom w:val="nil"/>
          <w:right w:val="nil"/>
          <w:between w:val="nil"/>
        </w:pBdr>
        <w:ind w:left="360"/>
        <w:jc w:val="both"/>
        <w:rPr>
          <w:color w:val="000000"/>
          <w:sz w:val="24"/>
          <w:szCs w:val="24"/>
        </w:rPr>
      </w:pPr>
    </w:p>
    <w:p w14:paraId="00000019" w14:textId="77777777" w:rsidR="00AA5DC3" w:rsidRDefault="00D245D4">
      <w:pPr>
        <w:pBdr>
          <w:top w:val="nil"/>
          <w:left w:val="nil"/>
          <w:bottom w:val="nil"/>
          <w:right w:val="nil"/>
          <w:between w:val="nil"/>
        </w:pBdr>
        <w:rPr>
          <w:color w:val="000000"/>
          <w:sz w:val="24"/>
          <w:szCs w:val="24"/>
        </w:rPr>
      </w:pPr>
      <w:r>
        <w:rPr>
          <w:rFonts w:eastAsia="Times New Roman"/>
          <w:color w:val="000000"/>
          <w:sz w:val="24"/>
          <w:szCs w:val="24"/>
        </w:rPr>
        <w:t>Éducation</w:t>
      </w:r>
      <w:r>
        <w:rPr>
          <w:rFonts w:eastAsia="Times New Roman"/>
          <w:color w:val="000000"/>
          <w:sz w:val="24"/>
          <w:szCs w:val="24"/>
        </w:rPr>
        <w:t xml:space="preserve"> </w:t>
      </w:r>
      <w:r>
        <w:rPr>
          <w:rFonts w:eastAsia="Times New Roman"/>
          <w:color w:val="000000"/>
          <w:sz w:val="24"/>
          <w:szCs w:val="24"/>
        </w:rPr>
        <w:t>:</w:t>
      </w:r>
    </w:p>
    <w:p w14:paraId="0000001A" w14:textId="77777777" w:rsidR="00AA5DC3" w:rsidRDefault="00D245D4">
      <w:pPr>
        <w:widowControl w:val="0"/>
        <w:numPr>
          <w:ilvl w:val="0"/>
          <w:numId w:val="5"/>
        </w:numPr>
        <w:pBdr>
          <w:top w:val="nil"/>
          <w:left w:val="nil"/>
          <w:bottom w:val="nil"/>
          <w:right w:val="nil"/>
          <w:between w:val="nil"/>
        </w:pBdr>
        <w:jc w:val="both"/>
        <w:rPr>
          <w:color w:val="000000"/>
          <w:sz w:val="24"/>
          <w:szCs w:val="24"/>
        </w:rPr>
      </w:pPr>
      <w:r>
        <w:rPr>
          <w:rFonts w:eastAsia="Times New Roman"/>
          <w:color w:val="000000"/>
          <w:sz w:val="24"/>
          <w:szCs w:val="24"/>
        </w:rPr>
        <w:t>Doctorat en études humaines et environnementales, École supérieure de l’Université de Kyoto (2010)</w:t>
      </w:r>
    </w:p>
    <w:p w14:paraId="0000001B" w14:textId="77777777" w:rsidR="00AA5DC3" w:rsidRDefault="00D245D4">
      <w:pPr>
        <w:widowControl w:val="0"/>
        <w:numPr>
          <w:ilvl w:val="0"/>
          <w:numId w:val="5"/>
        </w:numPr>
        <w:pBdr>
          <w:top w:val="nil"/>
          <w:left w:val="nil"/>
          <w:bottom w:val="nil"/>
          <w:right w:val="nil"/>
          <w:between w:val="nil"/>
        </w:pBdr>
        <w:jc w:val="both"/>
        <w:rPr>
          <w:color w:val="000000"/>
          <w:sz w:val="24"/>
          <w:szCs w:val="24"/>
        </w:rPr>
      </w:pPr>
      <w:r>
        <w:rPr>
          <w:rFonts w:eastAsia="Times New Roman"/>
          <w:color w:val="000000"/>
          <w:sz w:val="24"/>
          <w:szCs w:val="24"/>
        </w:rPr>
        <w:t> Maîtrise en droits de l’homme et libertés civiles, Faculté de droit, Université de Leicester (2001)</w:t>
      </w:r>
    </w:p>
    <w:p w14:paraId="0000001C" w14:textId="77777777" w:rsidR="00AA5DC3" w:rsidRDefault="00D245D4">
      <w:pPr>
        <w:widowControl w:val="0"/>
        <w:numPr>
          <w:ilvl w:val="0"/>
          <w:numId w:val="5"/>
        </w:numPr>
        <w:pBdr>
          <w:top w:val="nil"/>
          <w:left w:val="nil"/>
          <w:bottom w:val="nil"/>
          <w:right w:val="nil"/>
          <w:between w:val="nil"/>
        </w:pBdr>
        <w:jc w:val="both"/>
        <w:rPr>
          <w:color w:val="000000"/>
          <w:sz w:val="24"/>
          <w:szCs w:val="24"/>
        </w:rPr>
      </w:pPr>
      <w:r>
        <w:rPr>
          <w:rFonts w:eastAsia="Times New Roman"/>
          <w:color w:val="000000"/>
          <w:sz w:val="24"/>
          <w:szCs w:val="24"/>
        </w:rPr>
        <w:t xml:space="preserve">Maîtrise en études humaines et environnementales, École </w:t>
      </w:r>
      <w:r>
        <w:rPr>
          <w:rFonts w:eastAsia="Times New Roman"/>
          <w:color w:val="000000"/>
          <w:sz w:val="24"/>
          <w:szCs w:val="24"/>
        </w:rPr>
        <w:t>supérieure de l’Université de Kyoto (1998)</w:t>
      </w:r>
    </w:p>
    <w:p w14:paraId="0000001D" w14:textId="77777777" w:rsidR="00AA5DC3" w:rsidRDefault="00D245D4">
      <w:pPr>
        <w:widowControl w:val="0"/>
        <w:numPr>
          <w:ilvl w:val="0"/>
          <w:numId w:val="5"/>
        </w:numPr>
        <w:pBdr>
          <w:top w:val="nil"/>
          <w:left w:val="nil"/>
          <w:bottom w:val="nil"/>
          <w:right w:val="nil"/>
          <w:between w:val="nil"/>
        </w:pBdr>
        <w:jc w:val="both"/>
        <w:rPr>
          <w:color w:val="000000"/>
          <w:sz w:val="24"/>
          <w:szCs w:val="24"/>
        </w:rPr>
      </w:pPr>
      <w:r>
        <w:rPr>
          <w:rFonts w:eastAsia="Times New Roman"/>
          <w:color w:val="000000"/>
          <w:sz w:val="24"/>
          <w:szCs w:val="24"/>
        </w:rPr>
        <w:t>Licence en droit, Faculté de droit, Université de Kyoto (1996)</w:t>
      </w:r>
    </w:p>
    <w:p w14:paraId="0000001E" w14:textId="77777777" w:rsidR="00AA5DC3" w:rsidRDefault="00AA5DC3">
      <w:pPr>
        <w:pBdr>
          <w:top w:val="nil"/>
          <w:left w:val="nil"/>
          <w:bottom w:val="nil"/>
          <w:right w:val="nil"/>
          <w:between w:val="nil"/>
        </w:pBdr>
        <w:rPr>
          <w:color w:val="000000"/>
          <w:sz w:val="24"/>
          <w:szCs w:val="24"/>
        </w:rPr>
      </w:pPr>
    </w:p>
    <w:p w14:paraId="0000001F" w14:textId="77777777" w:rsidR="00AA5DC3" w:rsidRDefault="00D245D4">
      <w:pPr>
        <w:widowControl w:val="0"/>
        <w:pBdr>
          <w:top w:val="nil"/>
          <w:left w:val="nil"/>
          <w:bottom w:val="nil"/>
          <w:right w:val="nil"/>
          <w:between w:val="nil"/>
        </w:pBdr>
        <w:jc w:val="both"/>
        <w:rPr>
          <w:color w:val="000000"/>
          <w:sz w:val="24"/>
          <w:szCs w:val="24"/>
        </w:rPr>
      </w:pPr>
      <w:r>
        <w:rPr>
          <w:rFonts w:eastAsia="Times New Roman"/>
          <w:color w:val="000000"/>
          <w:sz w:val="24"/>
          <w:szCs w:val="24"/>
        </w:rPr>
        <w:t>Autres activités principales dans le domaine des droits de l’homme pertinentes pour le mandat du Comité contre la Torture</w:t>
      </w:r>
      <w:r>
        <w:rPr>
          <w:rFonts w:eastAsia="Times New Roman"/>
          <w:color w:val="000000"/>
          <w:sz w:val="24"/>
          <w:szCs w:val="24"/>
        </w:rPr>
        <w:t xml:space="preserve"> </w:t>
      </w:r>
      <w:r>
        <w:rPr>
          <w:rFonts w:eastAsia="Times New Roman"/>
          <w:color w:val="000000"/>
          <w:sz w:val="24"/>
          <w:szCs w:val="24"/>
        </w:rPr>
        <w:t xml:space="preserve">: </w:t>
      </w:r>
    </w:p>
    <w:p w14:paraId="00000020" w14:textId="286E85D0" w:rsidR="00AA5DC3" w:rsidRDefault="00D245D4">
      <w:pPr>
        <w:widowControl w:val="0"/>
        <w:numPr>
          <w:ilvl w:val="0"/>
          <w:numId w:val="2"/>
        </w:numPr>
        <w:pBdr>
          <w:top w:val="nil"/>
          <w:left w:val="nil"/>
          <w:bottom w:val="nil"/>
          <w:right w:val="nil"/>
          <w:between w:val="nil"/>
        </w:pBdr>
        <w:jc w:val="both"/>
        <w:rPr>
          <w:color w:val="000000"/>
          <w:sz w:val="24"/>
          <w:szCs w:val="24"/>
        </w:rPr>
      </w:pPr>
      <w:r>
        <w:rPr>
          <w:rFonts w:eastAsia="Times New Roman"/>
          <w:color w:val="000000"/>
          <w:sz w:val="24"/>
          <w:szCs w:val="24"/>
        </w:rPr>
        <w:t xml:space="preserve">Connaissance </w:t>
      </w:r>
      <w:r>
        <w:rPr>
          <w:rFonts w:eastAsia="Times New Roman"/>
          <w:color w:val="000000"/>
          <w:sz w:val="24"/>
          <w:szCs w:val="24"/>
        </w:rPr>
        <w:t>fonctionnelle</w:t>
      </w:r>
      <w:r>
        <w:rPr>
          <w:rFonts w:eastAsia="Times New Roman"/>
          <w:color w:val="000000"/>
          <w:sz w:val="24"/>
          <w:szCs w:val="24"/>
        </w:rPr>
        <w:t xml:space="preserve"> et approfondie des fonctions des organes de traités des Nations unies en matière de droits de l'homme et de leur mise en œuvre par les États, grâce à une expérience diplomatique en tant que conseillère en matière de droits de l'homme à la Mis</w:t>
      </w:r>
      <w:r>
        <w:rPr>
          <w:rFonts w:eastAsia="Times New Roman"/>
          <w:color w:val="000000"/>
          <w:sz w:val="24"/>
          <w:szCs w:val="24"/>
        </w:rPr>
        <w:t xml:space="preserve">sion permanente du Japon auprès des Organisations Internationales à Genève et en tant que fonctionnaire au ministère des Affaires étrangères du Japon, et grâce à la participation à des examens nationaux </w:t>
      </w:r>
      <w:r>
        <w:rPr>
          <w:rFonts w:eastAsia="Times New Roman"/>
          <w:color w:val="000000"/>
          <w:sz w:val="24"/>
          <w:szCs w:val="24"/>
        </w:rPr>
        <w:lastRenderedPageBreak/>
        <w:t xml:space="preserve">au cours de ces </w:t>
      </w:r>
      <w:r>
        <w:rPr>
          <w:rFonts w:eastAsia="Times New Roman"/>
          <w:color w:val="000000"/>
          <w:sz w:val="24"/>
          <w:szCs w:val="24"/>
        </w:rPr>
        <w:t>affectations</w:t>
      </w:r>
      <w:r>
        <w:rPr>
          <w:rFonts w:eastAsia="Times New Roman"/>
          <w:color w:val="000000"/>
          <w:sz w:val="24"/>
          <w:szCs w:val="24"/>
        </w:rPr>
        <w:t>.</w:t>
      </w:r>
    </w:p>
    <w:p w14:paraId="00000021" w14:textId="0FE197DE" w:rsidR="00AA5DC3" w:rsidRDefault="00D245D4">
      <w:pPr>
        <w:widowControl w:val="0"/>
        <w:numPr>
          <w:ilvl w:val="0"/>
          <w:numId w:val="2"/>
        </w:numPr>
        <w:pBdr>
          <w:top w:val="nil"/>
          <w:left w:val="nil"/>
          <w:bottom w:val="nil"/>
          <w:right w:val="nil"/>
          <w:between w:val="nil"/>
        </w:pBdr>
        <w:jc w:val="both"/>
        <w:rPr>
          <w:color w:val="000000"/>
          <w:sz w:val="24"/>
          <w:szCs w:val="24"/>
        </w:rPr>
      </w:pPr>
      <w:r>
        <w:rPr>
          <w:rFonts w:eastAsia="Times New Roman"/>
          <w:color w:val="000000"/>
          <w:sz w:val="24"/>
          <w:szCs w:val="24"/>
        </w:rPr>
        <w:t>Développement</w:t>
      </w:r>
      <w:r>
        <w:rPr>
          <w:rFonts w:eastAsia="Times New Roman"/>
          <w:color w:val="000000"/>
          <w:sz w:val="24"/>
          <w:szCs w:val="24"/>
        </w:rPr>
        <w:t xml:space="preserve"> d'une compréhension approfondie du mécanisme des droits de l'homme de l'ONU grâce à des échanges de</w:t>
      </w:r>
      <w:r>
        <w:rPr>
          <w:rFonts w:eastAsia="Times New Roman"/>
          <w:color w:val="000000"/>
          <w:sz w:val="24"/>
          <w:szCs w:val="24"/>
        </w:rPr>
        <w:t xml:space="preserve"> points de</w:t>
      </w:r>
      <w:r>
        <w:rPr>
          <w:rFonts w:eastAsia="Times New Roman"/>
          <w:color w:val="000000"/>
          <w:sz w:val="24"/>
          <w:szCs w:val="24"/>
        </w:rPr>
        <w:t xml:space="preserve"> </w:t>
      </w:r>
      <w:r>
        <w:rPr>
          <w:rFonts w:eastAsia="Times New Roman"/>
          <w:color w:val="000000"/>
          <w:sz w:val="24"/>
          <w:szCs w:val="24"/>
        </w:rPr>
        <w:t>vue</w:t>
      </w:r>
      <w:r>
        <w:rPr>
          <w:rFonts w:eastAsia="Times New Roman"/>
          <w:color w:val="000000"/>
          <w:sz w:val="24"/>
          <w:szCs w:val="24"/>
        </w:rPr>
        <w:t xml:space="preserve"> avec les membres du CEDAW, du CERD et d'autres organes de traités des droits de l'homme.</w:t>
      </w:r>
    </w:p>
    <w:p w14:paraId="00000022" w14:textId="5C8BD8BE" w:rsidR="00AA5DC3" w:rsidRDefault="00D245D4">
      <w:pPr>
        <w:widowControl w:val="0"/>
        <w:numPr>
          <w:ilvl w:val="0"/>
          <w:numId w:val="2"/>
        </w:numPr>
        <w:pBdr>
          <w:top w:val="nil"/>
          <w:left w:val="nil"/>
          <w:bottom w:val="nil"/>
          <w:right w:val="nil"/>
          <w:between w:val="nil"/>
        </w:pBdr>
        <w:jc w:val="both"/>
        <w:rPr>
          <w:color w:val="000000"/>
          <w:sz w:val="24"/>
          <w:szCs w:val="24"/>
        </w:rPr>
      </w:pPr>
      <w:r>
        <w:rPr>
          <w:rFonts w:eastAsia="Times New Roman"/>
          <w:color w:val="000000"/>
          <w:sz w:val="24"/>
          <w:szCs w:val="24"/>
        </w:rPr>
        <w:t>Participations</w:t>
      </w:r>
      <w:r>
        <w:rPr>
          <w:rFonts w:eastAsia="Times New Roman"/>
          <w:color w:val="000000"/>
          <w:sz w:val="24"/>
          <w:szCs w:val="24"/>
        </w:rPr>
        <w:t xml:space="preserve"> aux activités des associations juridiques nationales et internationales dans le domaine du droit international public et des droits de l'homme. </w:t>
      </w:r>
    </w:p>
    <w:p w14:paraId="00000023" w14:textId="2DFCF6CD" w:rsidR="00AA5DC3" w:rsidRDefault="00D245D4">
      <w:pPr>
        <w:widowControl w:val="0"/>
        <w:numPr>
          <w:ilvl w:val="0"/>
          <w:numId w:val="2"/>
        </w:numPr>
        <w:pBdr>
          <w:top w:val="nil"/>
          <w:left w:val="nil"/>
          <w:bottom w:val="nil"/>
          <w:right w:val="nil"/>
          <w:between w:val="nil"/>
        </w:pBdr>
        <w:jc w:val="both"/>
        <w:rPr>
          <w:color w:val="000000"/>
          <w:sz w:val="24"/>
          <w:szCs w:val="24"/>
        </w:rPr>
      </w:pPr>
      <w:r>
        <w:rPr>
          <w:rFonts w:eastAsia="Times New Roman"/>
          <w:color w:val="000000"/>
          <w:sz w:val="24"/>
          <w:szCs w:val="24"/>
        </w:rPr>
        <w:t>Connaissance approfondie de la formation en matière de droits de l'homme, notamment grâce à l'expérience acqui</w:t>
      </w:r>
      <w:r>
        <w:rPr>
          <w:rFonts w:eastAsia="Times New Roman"/>
          <w:color w:val="000000"/>
          <w:sz w:val="24"/>
          <w:szCs w:val="24"/>
        </w:rPr>
        <w:t xml:space="preserve">se </w:t>
      </w:r>
      <w:r>
        <w:rPr>
          <w:rFonts w:eastAsia="Times New Roman"/>
          <w:color w:val="000000"/>
          <w:sz w:val="24"/>
          <w:szCs w:val="24"/>
        </w:rPr>
        <w:t>dans la direction</w:t>
      </w:r>
      <w:r>
        <w:rPr>
          <w:rFonts w:eastAsia="Times New Roman"/>
          <w:color w:val="000000"/>
          <w:sz w:val="24"/>
          <w:szCs w:val="24"/>
        </w:rPr>
        <w:t xml:space="preserve"> </w:t>
      </w:r>
      <w:r>
        <w:rPr>
          <w:rFonts w:eastAsia="Times New Roman"/>
          <w:color w:val="000000"/>
          <w:sz w:val="24"/>
          <w:szCs w:val="24"/>
        </w:rPr>
        <w:t>d’</w:t>
      </w:r>
      <w:r>
        <w:rPr>
          <w:rFonts w:eastAsia="Times New Roman"/>
          <w:color w:val="000000"/>
          <w:sz w:val="24"/>
          <w:szCs w:val="24"/>
        </w:rPr>
        <w:t>un programme d'éducation de droits de l'homme destiné à des fonctionnaires de gouvernements étrangers</w:t>
      </w:r>
      <w:r>
        <w:rPr>
          <w:rFonts w:eastAsia="Times New Roman"/>
          <w:color w:val="000000"/>
          <w:sz w:val="24"/>
          <w:szCs w:val="24"/>
        </w:rPr>
        <w:t xml:space="preserve"> de divers pays.</w:t>
      </w:r>
    </w:p>
    <w:p w14:paraId="00000024" w14:textId="77777777" w:rsidR="00AA5DC3" w:rsidRDefault="00AA5DC3">
      <w:pPr>
        <w:widowControl w:val="0"/>
        <w:pBdr>
          <w:top w:val="nil"/>
          <w:left w:val="nil"/>
          <w:bottom w:val="nil"/>
          <w:right w:val="nil"/>
          <w:between w:val="nil"/>
        </w:pBdr>
        <w:ind w:left="360"/>
        <w:jc w:val="both"/>
        <w:rPr>
          <w:color w:val="000000"/>
          <w:sz w:val="24"/>
          <w:szCs w:val="24"/>
        </w:rPr>
      </w:pPr>
    </w:p>
    <w:p w14:paraId="00000025" w14:textId="5C94DA6E" w:rsidR="00AA5DC3" w:rsidRDefault="00D245D4" w:rsidP="00D245D4">
      <w:pPr>
        <w:pBdr>
          <w:top w:val="nil"/>
          <w:left w:val="nil"/>
          <w:bottom w:val="nil"/>
          <w:right w:val="nil"/>
          <w:between w:val="nil"/>
        </w:pBdr>
        <w:jc w:val="both"/>
        <w:rPr>
          <w:color w:val="000000"/>
          <w:sz w:val="24"/>
          <w:szCs w:val="24"/>
        </w:rPr>
      </w:pPr>
      <w:r>
        <w:rPr>
          <w:rFonts w:eastAsia="Times New Roman"/>
          <w:color w:val="000000"/>
          <w:sz w:val="24"/>
          <w:szCs w:val="24"/>
        </w:rPr>
        <w:t xml:space="preserve">Liste des publications les plus récentes dans </w:t>
      </w:r>
      <w:r>
        <w:rPr>
          <w:rFonts w:eastAsia="Times New Roman"/>
          <w:color w:val="000000"/>
          <w:sz w:val="24"/>
          <w:szCs w:val="24"/>
        </w:rPr>
        <w:t>ce</w:t>
      </w:r>
      <w:r>
        <w:rPr>
          <w:rFonts w:eastAsia="Times New Roman"/>
          <w:color w:val="000000"/>
          <w:sz w:val="24"/>
          <w:szCs w:val="24"/>
        </w:rPr>
        <w:t xml:space="preserve"> domaine</w:t>
      </w:r>
      <w:r>
        <w:rPr>
          <w:rFonts w:eastAsia="Times New Roman"/>
          <w:color w:val="000000"/>
          <w:sz w:val="24"/>
          <w:szCs w:val="24"/>
        </w:rPr>
        <w:t xml:space="preserve"> </w:t>
      </w:r>
      <w:r>
        <w:rPr>
          <w:rFonts w:eastAsia="Times New Roman"/>
          <w:color w:val="000000"/>
          <w:sz w:val="24"/>
          <w:szCs w:val="24"/>
        </w:rPr>
        <w:t>:</w:t>
      </w:r>
    </w:p>
    <w:p w14:paraId="00000026" w14:textId="77777777" w:rsidR="00AA5DC3" w:rsidRDefault="00D245D4" w:rsidP="00D245D4">
      <w:pPr>
        <w:numPr>
          <w:ilvl w:val="0"/>
          <w:numId w:val="1"/>
        </w:numPr>
        <w:pBdr>
          <w:top w:val="nil"/>
          <w:left w:val="nil"/>
          <w:bottom w:val="nil"/>
          <w:right w:val="nil"/>
          <w:between w:val="nil"/>
        </w:pBdr>
        <w:jc w:val="both"/>
        <w:rPr>
          <w:color w:val="000000"/>
          <w:sz w:val="24"/>
          <w:szCs w:val="24"/>
        </w:rPr>
      </w:pPr>
      <w:r>
        <w:rPr>
          <w:rFonts w:eastAsia="Times New Roman"/>
          <w:color w:val="000000"/>
          <w:sz w:val="24"/>
          <w:szCs w:val="24"/>
        </w:rPr>
        <w:t>« Juridiction Ratione Temporis dans l'application des traités relatifs aux droits de l'homme », Une tendance du droit international contemporain II : droits de l'homme, questions pénales, conformité, responsabilité, conflits armés (Toshindo) (2020) (japona</w:t>
      </w:r>
      <w:r>
        <w:rPr>
          <w:rFonts w:eastAsia="Times New Roman"/>
          <w:color w:val="000000"/>
          <w:sz w:val="24"/>
          <w:szCs w:val="24"/>
        </w:rPr>
        <w:t xml:space="preserve">is) </w:t>
      </w:r>
    </w:p>
    <w:p w14:paraId="00000027" w14:textId="77777777" w:rsidR="00AA5DC3" w:rsidRDefault="00D245D4" w:rsidP="00D245D4">
      <w:pPr>
        <w:numPr>
          <w:ilvl w:val="0"/>
          <w:numId w:val="1"/>
        </w:numPr>
        <w:pBdr>
          <w:top w:val="nil"/>
          <w:left w:val="nil"/>
          <w:bottom w:val="nil"/>
          <w:right w:val="nil"/>
          <w:between w:val="nil"/>
        </w:pBdr>
        <w:jc w:val="both"/>
        <w:rPr>
          <w:color w:val="000000"/>
          <w:sz w:val="24"/>
          <w:szCs w:val="24"/>
        </w:rPr>
      </w:pPr>
      <w:r>
        <w:rPr>
          <w:rFonts w:eastAsia="Times New Roman"/>
          <w:color w:val="000000"/>
          <w:sz w:val="24"/>
          <w:szCs w:val="24"/>
        </w:rPr>
        <w:t>« Reconnaissance du statut de réfugié pour cause de mauvais traitements causés par la conversion au christianisme », Revue Kyojo de droit et de politique (2020) (japonais)</w:t>
      </w:r>
    </w:p>
    <w:p w14:paraId="00000028" w14:textId="77777777" w:rsidR="00AA5DC3" w:rsidRDefault="00D245D4" w:rsidP="00D245D4">
      <w:pPr>
        <w:numPr>
          <w:ilvl w:val="0"/>
          <w:numId w:val="3"/>
        </w:numPr>
        <w:pBdr>
          <w:top w:val="nil"/>
          <w:left w:val="nil"/>
          <w:bottom w:val="nil"/>
          <w:right w:val="nil"/>
          <w:between w:val="nil"/>
        </w:pBdr>
        <w:jc w:val="both"/>
        <w:rPr>
          <w:color w:val="000000"/>
          <w:sz w:val="24"/>
          <w:szCs w:val="24"/>
        </w:rPr>
      </w:pPr>
      <w:r>
        <w:rPr>
          <w:rFonts w:eastAsia="Times New Roman"/>
          <w:color w:val="000000"/>
          <w:sz w:val="24"/>
          <w:szCs w:val="24"/>
        </w:rPr>
        <w:t>« Quarante ans de pratique du Comité des droits de l'homme des Nations unies po</w:t>
      </w:r>
      <w:r>
        <w:rPr>
          <w:rFonts w:eastAsia="Times New Roman"/>
          <w:color w:val="000000"/>
          <w:sz w:val="24"/>
          <w:szCs w:val="24"/>
        </w:rPr>
        <w:t>ur la mise en œuvre du Pacte : Un modèle universel pour la protection et la promotion des droits de l'homme », Japanese Yearbook of International Law, vol.60 (2018) (anglais)</w:t>
      </w:r>
    </w:p>
    <w:p w14:paraId="00000029" w14:textId="77777777" w:rsidR="00AA5DC3" w:rsidRDefault="00D245D4" w:rsidP="00D245D4">
      <w:pPr>
        <w:numPr>
          <w:ilvl w:val="0"/>
          <w:numId w:val="3"/>
        </w:numPr>
        <w:pBdr>
          <w:top w:val="nil"/>
          <w:left w:val="nil"/>
          <w:bottom w:val="nil"/>
          <w:right w:val="nil"/>
          <w:between w:val="nil"/>
        </w:pBdr>
        <w:jc w:val="both"/>
        <w:rPr>
          <w:color w:val="000000"/>
          <w:sz w:val="24"/>
          <w:szCs w:val="24"/>
        </w:rPr>
      </w:pPr>
      <w:r>
        <w:rPr>
          <w:rFonts w:eastAsia="Times New Roman"/>
          <w:color w:val="000000"/>
          <w:sz w:val="24"/>
          <w:szCs w:val="24"/>
        </w:rPr>
        <w:t>Affaires essentielles de la Cour européenne des droits de l'homme II (Shinzansha)</w:t>
      </w:r>
      <w:r>
        <w:rPr>
          <w:rFonts w:eastAsia="Times New Roman"/>
          <w:color w:val="000000"/>
          <w:sz w:val="24"/>
          <w:szCs w:val="24"/>
        </w:rPr>
        <w:t xml:space="preserve"> (co-auteure) (2019) (japonais)</w:t>
      </w:r>
    </w:p>
    <w:p w14:paraId="0000002A" w14:textId="77777777" w:rsidR="00AA5DC3" w:rsidRDefault="00D245D4">
      <w:pPr>
        <w:widowControl w:val="0"/>
        <w:numPr>
          <w:ilvl w:val="0"/>
          <w:numId w:val="1"/>
        </w:numPr>
        <w:pBdr>
          <w:top w:val="nil"/>
          <w:left w:val="nil"/>
          <w:bottom w:val="nil"/>
          <w:right w:val="nil"/>
          <w:between w:val="nil"/>
        </w:pBdr>
        <w:jc w:val="both"/>
        <w:rPr>
          <w:color w:val="000000"/>
          <w:sz w:val="24"/>
          <w:szCs w:val="24"/>
        </w:rPr>
      </w:pPr>
      <w:r>
        <w:rPr>
          <w:rFonts w:ascii="Century" w:eastAsia="Century" w:hAnsi="Century" w:cs="Century"/>
          <w:color w:val="000000"/>
          <w:sz w:val="24"/>
          <w:szCs w:val="24"/>
        </w:rPr>
        <w:t>« </w:t>
      </w:r>
      <w:r>
        <w:rPr>
          <w:rFonts w:eastAsia="Times New Roman"/>
          <w:color w:val="000000"/>
          <w:sz w:val="24"/>
          <w:szCs w:val="24"/>
        </w:rPr>
        <w:t xml:space="preserve">Renforcement des mesures d'exécution des arrêts de la Convention européenne des droits de l'homme </w:t>
      </w:r>
      <w:r>
        <w:rPr>
          <w:rFonts w:ascii="Century" w:eastAsia="Century" w:hAnsi="Century" w:cs="Century"/>
          <w:color w:val="000000"/>
          <w:sz w:val="24"/>
          <w:szCs w:val="24"/>
        </w:rPr>
        <w:t xml:space="preserve">», </w:t>
      </w:r>
      <w:r>
        <w:rPr>
          <w:rFonts w:eastAsia="Times New Roman"/>
          <w:color w:val="000000"/>
          <w:sz w:val="24"/>
          <w:szCs w:val="24"/>
        </w:rPr>
        <w:t>Journal du droit et de la politique de l'université de Nagoya, No.258 (2016) (anglais)</w:t>
      </w:r>
    </w:p>
    <w:p w14:paraId="0000002B" w14:textId="558CA47F" w:rsidR="00AA5DC3" w:rsidRDefault="00D245D4" w:rsidP="00D245D4">
      <w:pPr>
        <w:numPr>
          <w:ilvl w:val="0"/>
          <w:numId w:val="1"/>
        </w:numPr>
        <w:pBdr>
          <w:top w:val="nil"/>
          <w:left w:val="nil"/>
          <w:bottom w:val="nil"/>
          <w:right w:val="nil"/>
          <w:between w:val="nil"/>
        </w:pBdr>
        <w:jc w:val="both"/>
        <w:rPr>
          <w:color w:val="000000"/>
          <w:sz w:val="24"/>
          <w:szCs w:val="24"/>
        </w:rPr>
      </w:pPr>
      <w:r>
        <w:rPr>
          <w:rFonts w:eastAsia="Times New Roman"/>
          <w:color w:val="000000"/>
          <w:sz w:val="24"/>
          <w:szCs w:val="24"/>
        </w:rPr>
        <w:t>« L'applicabilité de la Convention</w:t>
      </w:r>
      <w:r>
        <w:rPr>
          <w:rFonts w:eastAsia="Times New Roman"/>
          <w:color w:val="000000"/>
          <w:sz w:val="24"/>
          <w:szCs w:val="24"/>
        </w:rPr>
        <w:t xml:space="preserve"> relative aux droits de l'enfant au contrôle de l'immigration des résidents étrangers : du point de vue des déclarations du gouvernement du Japon», Journal de droit international et </w:t>
      </w:r>
      <w:r>
        <w:rPr>
          <w:rFonts w:eastAsia="Times New Roman"/>
          <w:color w:val="000000"/>
          <w:sz w:val="24"/>
          <w:szCs w:val="24"/>
        </w:rPr>
        <w:t>diplomatie,</w:t>
      </w:r>
      <w:r>
        <w:rPr>
          <w:rFonts w:eastAsia="Times New Roman"/>
          <w:color w:val="000000"/>
          <w:sz w:val="24"/>
          <w:szCs w:val="24"/>
        </w:rPr>
        <w:t xml:space="preserve"> Vol.113 No.4 (2015) (japonais avec sommaire en angla</w:t>
      </w:r>
      <w:r>
        <w:rPr>
          <w:rFonts w:eastAsia="Times New Roman"/>
          <w:color w:val="000000"/>
          <w:sz w:val="24"/>
          <w:szCs w:val="24"/>
        </w:rPr>
        <w:t>is)</w:t>
      </w:r>
    </w:p>
    <w:p w14:paraId="0000002C" w14:textId="77777777" w:rsidR="00AA5DC3" w:rsidRDefault="00AA5DC3">
      <w:pPr>
        <w:pBdr>
          <w:top w:val="nil"/>
          <w:left w:val="nil"/>
          <w:bottom w:val="nil"/>
          <w:right w:val="nil"/>
          <w:between w:val="nil"/>
        </w:pBdr>
        <w:rPr>
          <w:color w:val="000000"/>
          <w:sz w:val="24"/>
          <w:szCs w:val="24"/>
        </w:rPr>
      </w:pPr>
    </w:p>
    <w:sectPr w:rsidR="00AA5DC3">
      <w:pgSz w:w="11905" w:h="16837"/>
      <w:pgMar w:top="1440" w:right="990" w:bottom="993"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8D9B5" w14:textId="77777777" w:rsidR="00D245D4" w:rsidRDefault="00D245D4" w:rsidP="00D245D4">
      <w:r>
        <w:separator/>
      </w:r>
    </w:p>
  </w:endnote>
  <w:endnote w:type="continuationSeparator" w:id="0">
    <w:p w14:paraId="7C6182F2" w14:textId="77777777" w:rsidR="00D245D4" w:rsidRDefault="00D245D4" w:rsidP="00D2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ＭＳ 明朝"/>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F2D70" w14:textId="77777777" w:rsidR="00D245D4" w:rsidRDefault="00D245D4" w:rsidP="00D245D4">
      <w:r>
        <w:separator/>
      </w:r>
    </w:p>
  </w:footnote>
  <w:footnote w:type="continuationSeparator" w:id="0">
    <w:p w14:paraId="4F68DFA2" w14:textId="77777777" w:rsidR="00D245D4" w:rsidRDefault="00D245D4" w:rsidP="00D24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35B5"/>
    <w:multiLevelType w:val="multilevel"/>
    <w:tmpl w:val="2CC8622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1" w15:restartNumberingAfterBreak="0">
    <w:nsid w:val="1B293468"/>
    <w:multiLevelType w:val="multilevel"/>
    <w:tmpl w:val="5C1AD8B6"/>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2" w15:restartNumberingAfterBreak="0">
    <w:nsid w:val="48674F84"/>
    <w:multiLevelType w:val="multilevel"/>
    <w:tmpl w:val="5F547C46"/>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3" w15:restartNumberingAfterBreak="0">
    <w:nsid w:val="53D979EE"/>
    <w:multiLevelType w:val="multilevel"/>
    <w:tmpl w:val="F5A8B3B6"/>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4" w15:restartNumberingAfterBreak="0">
    <w:nsid w:val="6A451C38"/>
    <w:multiLevelType w:val="multilevel"/>
    <w:tmpl w:val="8A72A7A6"/>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C3"/>
    <w:rsid w:val="00AA5DC3"/>
    <w:rsid w:val="00D2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0AEA4C3-0F5D-448B-A834-C1A5F43C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D245D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45D4"/>
    <w:rPr>
      <w:rFonts w:asciiTheme="majorHAnsi" w:eastAsiaTheme="majorEastAsia" w:hAnsiTheme="majorHAnsi" w:cstheme="majorBidi"/>
      <w:sz w:val="18"/>
      <w:szCs w:val="18"/>
    </w:rPr>
  </w:style>
  <w:style w:type="paragraph" w:styleId="a7">
    <w:name w:val="header"/>
    <w:basedOn w:val="a"/>
    <w:link w:val="a8"/>
    <w:uiPriority w:val="99"/>
    <w:unhideWhenUsed/>
    <w:rsid w:val="00D245D4"/>
    <w:pPr>
      <w:tabs>
        <w:tab w:val="center" w:pos="4252"/>
        <w:tab w:val="right" w:pos="8504"/>
      </w:tabs>
      <w:snapToGrid w:val="0"/>
    </w:pPr>
  </w:style>
  <w:style w:type="character" w:customStyle="1" w:styleId="a8">
    <w:name w:val="ヘッダー (文字)"/>
    <w:basedOn w:val="a0"/>
    <w:link w:val="a7"/>
    <w:uiPriority w:val="99"/>
    <w:rsid w:val="00D245D4"/>
  </w:style>
  <w:style w:type="paragraph" w:styleId="a9">
    <w:name w:val="footer"/>
    <w:basedOn w:val="a"/>
    <w:link w:val="aa"/>
    <w:uiPriority w:val="99"/>
    <w:unhideWhenUsed/>
    <w:rsid w:val="00D245D4"/>
    <w:pPr>
      <w:tabs>
        <w:tab w:val="center" w:pos="4252"/>
        <w:tab w:val="right" w:pos="8504"/>
      </w:tabs>
      <w:snapToGrid w:val="0"/>
    </w:pPr>
  </w:style>
  <w:style w:type="character" w:customStyle="1" w:styleId="aa">
    <w:name w:val="フッター (文字)"/>
    <w:basedOn w:val="a0"/>
    <w:link w:val="a9"/>
    <w:uiPriority w:val="99"/>
    <w:rsid w:val="00D2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C51D1E-0D8A-499B-8462-F0B5DE097F01}"/>
</file>

<file path=customXml/itemProps2.xml><?xml version="1.0" encoding="utf-8"?>
<ds:datastoreItem xmlns:ds="http://schemas.openxmlformats.org/officeDocument/2006/customXml" ds:itemID="{4890B439-A748-464A-AE85-0E0BF0C2AFDE}"/>
</file>

<file path=customXml/itemProps3.xml><?xml version="1.0" encoding="utf-8"?>
<ds:datastoreItem xmlns:ds="http://schemas.openxmlformats.org/officeDocument/2006/customXml" ds:itemID="{F85DA52B-F740-4482-B0CF-C9C2F7737EC0}"/>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4029</Characters>
  <Application>Microsoft Office Word</Application>
  <DocSecurity>0</DocSecurity>
  <Lines>33</Lines>
  <Paragraphs>9</Paragraphs>
  <ScaleCrop>false</ScaleCrop>
  <Company>外務省</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情報通信課</cp:lastModifiedBy>
  <cp:revision>2</cp:revision>
  <dcterms:created xsi:type="dcterms:W3CDTF">2021-06-18T08:21:00Z</dcterms:created>
  <dcterms:modified xsi:type="dcterms:W3CDTF">2021-06-18T08:21:00Z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