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9C5F36" w14:textId="63BA59B2" w:rsidR="001B464B" w:rsidRDefault="006D62F0" w:rsidP="000E2113">
      <w:pPr>
        <w:pStyle w:val="Default"/>
        <w:jc w:val="both"/>
        <w:rPr>
          <w:rFonts w:ascii="Times New Roman" w:hAnsi="Times New Roman" w:cs="Times New Roman"/>
          <w:color w:val="auto"/>
          <w:sz w:val="22"/>
          <w:szCs w:val="22"/>
        </w:rPr>
      </w:pPr>
      <w:r w:rsidRPr="00C175C1">
        <w:rPr>
          <w:rFonts w:ascii="Times New Roman" w:hAnsi="Times New Roman" w:cs="Times New Roman"/>
          <w:sz w:val="22"/>
          <w:szCs w:val="22"/>
        </w:rPr>
        <w:t xml:space="preserve">The </w:t>
      </w:r>
      <w:r w:rsidR="0069024B" w:rsidRPr="00C175C1">
        <w:rPr>
          <w:rFonts w:ascii="Times New Roman" w:hAnsi="Times New Roman" w:cs="Times New Roman"/>
          <w:sz w:val="22"/>
          <w:szCs w:val="22"/>
        </w:rPr>
        <w:t xml:space="preserve">Open Society Justice Initiative respectfully submits these </w:t>
      </w:r>
      <w:r w:rsidR="003A3C8A" w:rsidRPr="00C175C1">
        <w:rPr>
          <w:rFonts w:ascii="Times New Roman" w:hAnsi="Times New Roman" w:cs="Times New Roman"/>
          <w:sz w:val="22"/>
          <w:szCs w:val="22"/>
        </w:rPr>
        <w:t xml:space="preserve">comments and </w:t>
      </w:r>
      <w:r w:rsidR="0069024B" w:rsidRPr="00C175C1">
        <w:rPr>
          <w:rFonts w:ascii="Times New Roman" w:hAnsi="Times New Roman" w:cs="Times New Roman"/>
          <w:sz w:val="22"/>
          <w:szCs w:val="22"/>
        </w:rPr>
        <w:t>recommendations</w:t>
      </w:r>
      <w:r w:rsidR="00C83313" w:rsidRPr="00C175C1">
        <w:rPr>
          <w:rFonts w:ascii="Times New Roman" w:hAnsi="Times New Roman" w:cs="Times New Roman"/>
          <w:sz w:val="22"/>
          <w:szCs w:val="22"/>
        </w:rPr>
        <w:t xml:space="preserve"> in response to </w:t>
      </w:r>
      <w:r w:rsidR="00C83313" w:rsidRPr="00C175C1">
        <w:rPr>
          <w:rFonts w:ascii="Times New Roman" w:hAnsi="Times New Roman" w:cs="Times New Roman"/>
          <w:color w:val="auto"/>
          <w:sz w:val="22"/>
          <w:szCs w:val="22"/>
        </w:rPr>
        <w:t xml:space="preserve">the Committee against Torture’s draft </w:t>
      </w:r>
      <w:r w:rsidR="00C83313" w:rsidRPr="00C175C1">
        <w:rPr>
          <w:rFonts w:ascii="Times New Roman" w:hAnsi="Times New Roman" w:cs="Times New Roman"/>
          <w:i/>
          <w:color w:val="auto"/>
          <w:sz w:val="22"/>
          <w:szCs w:val="22"/>
        </w:rPr>
        <w:t>General Comment on the implementation of article 3 of the Convention in the context of article 22 (Doc. CAT/C/60/R.2)</w:t>
      </w:r>
      <w:r w:rsidR="00C83313" w:rsidRPr="00C175C1">
        <w:rPr>
          <w:rFonts w:ascii="Times New Roman" w:hAnsi="Times New Roman" w:cs="Times New Roman"/>
          <w:color w:val="auto"/>
          <w:sz w:val="22"/>
          <w:szCs w:val="22"/>
        </w:rPr>
        <w:t xml:space="preserve">. </w:t>
      </w:r>
      <w:r w:rsidR="001B464B">
        <w:rPr>
          <w:rFonts w:ascii="Times New Roman" w:hAnsi="Times New Roman" w:cs="Times New Roman"/>
          <w:color w:val="auto"/>
          <w:sz w:val="22"/>
          <w:szCs w:val="22"/>
        </w:rPr>
        <w:t xml:space="preserve"> The Open Society Justice Initiative promotes and advances human rights and the rule of law around the world through a combination of litigation, legal advocacy, </w:t>
      </w:r>
      <w:r w:rsidR="00FA02E9">
        <w:rPr>
          <w:rFonts w:ascii="Times New Roman" w:hAnsi="Times New Roman" w:cs="Times New Roman"/>
          <w:color w:val="auto"/>
          <w:sz w:val="22"/>
          <w:szCs w:val="22"/>
        </w:rPr>
        <w:t>access to justice and legal empowerment work, research, and communications.</w:t>
      </w:r>
    </w:p>
    <w:p w14:paraId="3A60B321" w14:textId="77777777" w:rsidR="001B464B" w:rsidRDefault="001B464B" w:rsidP="000E2113">
      <w:pPr>
        <w:pStyle w:val="Default"/>
        <w:jc w:val="both"/>
        <w:rPr>
          <w:rFonts w:ascii="Times New Roman" w:hAnsi="Times New Roman" w:cs="Times New Roman"/>
          <w:color w:val="auto"/>
          <w:sz w:val="22"/>
          <w:szCs w:val="22"/>
        </w:rPr>
      </w:pPr>
    </w:p>
    <w:p w14:paraId="06C20FCF" w14:textId="15BA8BCF" w:rsidR="00C83313" w:rsidRPr="00C175C1" w:rsidRDefault="003A3C8A" w:rsidP="000E2113">
      <w:pPr>
        <w:pStyle w:val="Default"/>
        <w:jc w:val="both"/>
        <w:rPr>
          <w:rFonts w:ascii="Times New Roman" w:hAnsi="Times New Roman" w:cs="Times New Roman"/>
          <w:sz w:val="22"/>
          <w:szCs w:val="22"/>
        </w:rPr>
      </w:pPr>
      <w:r w:rsidRPr="00C175C1">
        <w:rPr>
          <w:rFonts w:ascii="Times New Roman" w:hAnsi="Times New Roman" w:cs="Times New Roman"/>
          <w:color w:val="auto"/>
          <w:sz w:val="22"/>
          <w:szCs w:val="22"/>
        </w:rPr>
        <w:t>Our submission</w:t>
      </w:r>
      <w:r w:rsidR="00D0719F" w:rsidRPr="00C175C1">
        <w:rPr>
          <w:rFonts w:ascii="Times New Roman" w:hAnsi="Times New Roman" w:cs="Times New Roman"/>
          <w:color w:val="auto"/>
          <w:sz w:val="22"/>
          <w:szCs w:val="22"/>
        </w:rPr>
        <w:t xml:space="preserve"> a</w:t>
      </w:r>
      <w:r w:rsidR="00CC216D" w:rsidRPr="00C175C1">
        <w:rPr>
          <w:rFonts w:ascii="Times New Roman" w:hAnsi="Times New Roman" w:cs="Times New Roman"/>
          <w:color w:val="auto"/>
          <w:sz w:val="22"/>
          <w:szCs w:val="22"/>
        </w:rPr>
        <w:t xml:space="preserve">ddresses </w:t>
      </w:r>
      <w:r w:rsidR="00D0719F" w:rsidRPr="00C175C1">
        <w:rPr>
          <w:rFonts w:ascii="Times New Roman" w:hAnsi="Times New Roman" w:cs="Times New Roman"/>
          <w:color w:val="auto"/>
          <w:sz w:val="22"/>
          <w:szCs w:val="22"/>
        </w:rPr>
        <w:t>th</w:t>
      </w:r>
      <w:r w:rsidRPr="00C175C1">
        <w:rPr>
          <w:rFonts w:ascii="Times New Roman" w:hAnsi="Times New Roman" w:cs="Times New Roman"/>
          <w:color w:val="auto"/>
          <w:sz w:val="22"/>
          <w:szCs w:val="22"/>
        </w:rPr>
        <w:t>e following three parts of the Committee’s draft</w:t>
      </w:r>
      <w:r w:rsidR="00CC216D" w:rsidRPr="00C175C1">
        <w:rPr>
          <w:rFonts w:ascii="Times New Roman" w:hAnsi="Times New Roman" w:cs="Times New Roman"/>
          <w:color w:val="auto"/>
          <w:sz w:val="22"/>
          <w:szCs w:val="22"/>
        </w:rPr>
        <w:t xml:space="preserve">: </w:t>
      </w:r>
      <w:r w:rsidRPr="00C175C1">
        <w:rPr>
          <w:rFonts w:ascii="Times New Roman" w:hAnsi="Times New Roman" w:cs="Times New Roman"/>
          <w:color w:val="auto"/>
          <w:sz w:val="22"/>
          <w:szCs w:val="22"/>
        </w:rPr>
        <w:t>(1) Section II:</w:t>
      </w:r>
      <w:r w:rsidR="006D62F0" w:rsidRPr="00C175C1">
        <w:rPr>
          <w:rFonts w:ascii="Times New Roman" w:hAnsi="Times New Roman" w:cs="Times New Roman"/>
          <w:color w:val="auto"/>
          <w:sz w:val="22"/>
          <w:szCs w:val="22"/>
        </w:rPr>
        <w:t xml:space="preserve"> </w:t>
      </w:r>
      <w:r w:rsidRPr="00C175C1">
        <w:rPr>
          <w:rFonts w:ascii="Times New Roman" w:hAnsi="Times New Roman" w:cs="Times New Roman"/>
          <w:color w:val="auto"/>
          <w:sz w:val="22"/>
          <w:szCs w:val="22"/>
        </w:rPr>
        <w:t xml:space="preserve">“General principles”; (2) Section III: “Preventive measures to guarantee the principle of ‘non </w:t>
      </w:r>
      <w:proofErr w:type="spellStart"/>
      <w:r w:rsidRPr="00C175C1">
        <w:rPr>
          <w:rFonts w:ascii="Times New Roman" w:hAnsi="Times New Roman" w:cs="Times New Roman"/>
          <w:color w:val="auto"/>
          <w:sz w:val="22"/>
          <w:szCs w:val="22"/>
        </w:rPr>
        <w:t>refoulement</w:t>
      </w:r>
      <w:proofErr w:type="spellEnd"/>
      <w:r w:rsidR="00640900">
        <w:rPr>
          <w:rFonts w:ascii="Times New Roman" w:hAnsi="Times New Roman" w:cs="Times New Roman"/>
          <w:color w:val="auto"/>
          <w:sz w:val="22"/>
          <w:szCs w:val="22"/>
        </w:rPr>
        <w:t>;</w:t>
      </w:r>
      <w:r w:rsidRPr="00C175C1">
        <w:rPr>
          <w:rFonts w:ascii="Times New Roman" w:hAnsi="Times New Roman" w:cs="Times New Roman"/>
          <w:color w:val="auto"/>
          <w:sz w:val="22"/>
          <w:szCs w:val="22"/>
        </w:rPr>
        <w:t>’</w:t>
      </w:r>
      <w:r w:rsidR="00640900">
        <w:rPr>
          <w:rFonts w:ascii="Times New Roman" w:hAnsi="Times New Roman" w:cs="Times New Roman"/>
          <w:color w:val="auto"/>
          <w:sz w:val="22"/>
          <w:szCs w:val="22"/>
        </w:rPr>
        <w:t>”</w:t>
      </w:r>
      <w:r w:rsidRPr="00C175C1">
        <w:rPr>
          <w:rFonts w:ascii="Times New Roman" w:hAnsi="Times New Roman" w:cs="Times New Roman"/>
          <w:color w:val="auto"/>
          <w:sz w:val="22"/>
          <w:szCs w:val="22"/>
        </w:rPr>
        <w:t xml:space="preserve"> and (3) Section X: “Specific requirements for the submission of individual communications under Article 22 of the Convention and interim measure</w:t>
      </w:r>
      <w:r w:rsidR="001C2845">
        <w:rPr>
          <w:rFonts w:ascii="Times New Roman" w:hAnsi="Times New Roman" w:cs="Times New Roman"/>
          <w:color w:val="auto"/>
          <w:sz w:val="22"/>
          <w:szCs w:val="22"/>
        </w:rPr>
        <w:t>s</w:t>
      </w:r>
      <w:r w:rsidRPr="00C175C1">
        <w:rPr>
          <w:rFonts w:ascii="Times New Roman" w:hAnsi="Times New Roman" w:cs="Times New Roman"/>
          <w:color w:val="auto"/>
          <w:sz w:val="22"/>
          <w:szCs w:val="22"/>
        </w:rPr>
        <w:t xml:space="preserve"> of protection.” For each section, we suggest where the Committee should clarify existing language in the draft Comment, and where it should </w:t>
      </w:r>
      <w:r w:rsidR="00FC4CB6" w:rsidRPr="00C175C1">
        <w:rPr>
          <w:rFonts w:ascii="Times New Roman" w:hAnsi="Times New Roman" w:cs="Times New Roman"/>
          <w:color w:val="auto"/>
          <w:sz w:val="22"/>
          <w:szCs w:val="22"/>
        </w:rPr>
        <w:t xml:space="preserve">expand on substantive rights that the draft does not currently address. </w:t>
      </w:r>
      <w:r w:rsidRPr="00C175C1">
        <w:rPr>
          <w:rFonts w:ascii="Times New Roman" w:hAnsi="Times New Roman" w:cs="Times New Roman"/>
          <w:color w:val="auto"/>
          <w:sz w:val="22"/>
          <w:szCs w:val="22"/>
        </w:rPr>
        <w:t xml:space="preserve"> </w:t>
      </w:r>
    </w:p>
    <w:p w14:paraId="5DE5326B" w14:textId="77777777" w:rsidR="00C83313" w:rsidRPr="00C175C1" w:rsidRDefault="00C83313" w:rsidP="000E2113">
      <w:pPr>
        <w:spacing w:after="0" w:line="240" w:lineRule="auto"/>
        <w:jc w:val="both"/>
        <w:rPr>
          <w:rFonts w:ascii="Times New Roman" w:hAnsi="Times New Roman" w:cs="Times New Roman"/>
        </w:rPr>
      </w:pPr>
    </w:p>
    <w:p w14:paraId="3CCC11E1" w14:textId="1B665273" w:rsidR="00FC4CB6" w:rsidRPr="00602D69" w:rsidRDefault="005B470A" w:rsidP="000E211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Section </w:t>
      </w:r>
      <w:r w:rsidR="00FC4CB6" w:rsidRPr="00602D69">
        <w:rPr>
          <w:rFonts w:ascii="Times New Roman" w:hAnsi="Times New Roman" w:cs="Times New Roman"/>
          <w:b/>
          <w:sz w:val="24"/>
          <w:szCs w:val="24"/>
        </w:rPr>
        <w:t>II. General principles</w:t>
      </w:r>
    </w:p>
    <w:p w14:paraId="7BD6CADD" w14:textId="77777777" w:rsidR="00E06E02" w:rsidRPr="00C175C1" w:rsidRDefault="00E06E02" w:rsidP="000E2113">
      <w:pPr>
        <w:spacing w:after="0" w:line="240" w:lineRule="auto"/>
        <w:jc w:val="both"/>
        <w:rPr>
          <w:rFonts w:ascii="Times New Roman" w:hAnsi="Times New Roman" w:cs="Times New Roman"/>
          <w:b/>
        </w:rPr>
      </w:pPr>
    </w:p>
    <w:p w14:paraId="7A31703A" w14:textId="29C316BA" w:rsidR="00FC4CB6" w:rsidRPr="00C175C1" w:rsidRDefault="00EF7B1B" w:rsidP="000E2113">
      <w:pPr>
        <w:spacing w:after="0" w:line="240" w:lineRule="auto"/>
        <w:jc w:val="both"/>
        <w:rPr>
          <w:rFonts w:ascii="Times New Roman" w:hAnsi="Times New Roman" w:cs="Times New Roman"/>
        </w:rPr>
      </w:pPr>
      <w:r w:rsidRPr="00C175C1">
        <w:rPr>
          <w:rFonts w:ascii="Times New Roman" w:hAnsi="Times New Roman" w:cs="Times New Roman"/>
          <w:b/>
        </w:rPr>
        <w:t xml:space="preserve">1. </w:t>
      </w:r>
      <w:r w:rsidR="00FC4CB6" w:rsidRPr="00C175C1">
        <w:rPr>
          <w:rFonts w:ascii="Times New Roman" w:hAnsi="Times New Roman" w:cs="Times New Roman"/>
          <w:b/>
        </w:rPr>
        <w:t>As drafted, this section does not sufficiently address the scope of non-</w:t>
      </w:r>
      <w:proofErr w:type="spellStart"/>
      <w:r w:rsidR="00FC4CB6" w:rsidRPr="00C175C1">
        <w:rPr>
          <w:rFonts w:ascii="Times New Roman" w:hAnsi="Times New Roman" w:cs="Times New Roman"/>
          <w:b/>
        </w:rPr>
        <w:t>refoulement</w:t>
      </w:r>
      <w:proofErr w:type="spellEnd"/>
      <w:r w:rsidR="00FC4CB6" w:rsidRPr="00C175C1">
        <w:rPr>
          <w:rFonts w:ascii="Times New Roman" w:hAnsi="Times New Roman" w:cs="Times New Roman"/>
          <w:b/>
        </w:rPr>
        <w:t xml:space="preserve"> protections.</w:t>
      </w:r>
      <w:r w:rsidR="00FC4CB6" w:rsidRPr="00C175C1">
        <w:rPr>
          <w:rFonts w:ascii="Times New Roman" w:hAnsi="Times New Roman" w:cs="Times New Roman"/>
        </w:rPr>
        <w:t xml:space="preserve"> Specifically, the </w:t>
      </w:r>
      <w:r w:rsidR="0069024B" w:rsidRPr="00C175C1">
        <w:rPr>
          <w:rFonts w:ascii="Times New Roman" w:hAnsi="Times New Roman" w:cs="Times New Roman"/>
        </w:rPr>
        <w:t>General Comment should specify</w:t>
      </w:r>
      <w:r w:rsidR="002F39BD" w:rsidRPr="00C175C1">
        <w:rPr>
          <w:rFonts w:ascii="Times New Roman" w:hAnsi="Times New Roman" w:cs="Times New Roman"/>
        </w:rPr>
        <w:t xml:space="preserve"> that t</w:t>
      </w:r>
      <w:r w:rsidR="00212599" w:rsidRPr="00C175C1">
        <w:rPr>
          <w:rFonts w:ascii="Times New Roman" w:hAnsi="Times New Roman" w:cs="Times New Roman"/>
        </w:rPr>
        <w:t>he principle of non-</w:t>
      </w:r>
      <w:proofErr w:type="spellStart"/>
      <w:r w:rsidR="00212599" w:rsidRPr="00C175C1">
        <w:rPr>
          <w:rFonts w:ascii="Times New Roman" w:hAnsi="Times New Roman" w:cs="Times New Roman"/>
        </w:rPr>
        <w:t>refoulement</w:t>
      </w:r>
      <w:proofErr w:type="spellEnd"/>
      <w:r w:rsidR="00212599" w:rsidRPr="00C175C1">
        <w:rPr>
          <w:rFonts w:ascii="Times New Roman" w:hAnsi="Times New Roman" w:cs="Times New Roman"/>
        </w:rPr>
        <w:t xml:space="preserve"> </w:t>
      </w:r>
      <w:r w:rsidR="002F1883" w:rsidRPr="00C175C1">
        <w:rPr>
          <w:rFonts w:ascii="Times New Roman" w:hAnsi="Times New Roman" w:cs="Times New Roman"/>
        </w:rPr>
        <w:t>appl</w:t>
      </w:r>
      <w:r w:rsidR="00AD0CDB" w:rsidRPr="00C175C1">
        <w:rPr>
          <w:rFonts w:ascii="Times New Roman" w:hAnsi="Times New Roman" w:cs="Times New Roman"/>
        </w:rPr>
        <w:t>ies</w:t>
      </w:r>
      <w:r w:rsidR="00212599" w:rsidRPr="00C175C1">
        <w:rPr>
          <w:rFonts w:ascii="Times New Roman" w:hAnsi="Times New Roman" w:cs="Times New Roman"/>
        </w:rPr>
        <w:t xml:space="preserve"> to</w:t>
      </w:r>
      <w:r w:rsidR="002F39BD" w:rsidRPr="00C175C1">
        <w:rPr>
          <w:rFonts w:ascii="Times New Roman" w:hAnsi="Times New Roman" w:cs="Times New Roman"/>
        </w:rPr>
        <w:t xml:space="preserve"> </w:t>
      </w:r>
      <w:r w:rsidR="00212599" w:rsidRPr="00C175C1">
        <w:rPr>
          <w:rFonts w:ascii="Times New Roman" w:hAnsi="Times New Roman" w:cs="Times New Roman"/>
          <w:i/>
        </w:rPr>
        <w:t>any</w:t>
      </w:r>
      <w:r w:rsidR="00212599" w:rsidRPr="00C175C1">
        <w:rPr>
          <w:rFonts w:ascii="Times New Roman" w:hAnsi="Times New Roman" w:cs="Times New Roman"/>
        </w:rPr>
        <w:t xml:space="preserve"> obligatory departure of an individual </w:t>
      </w:r>
      <w:r w:rsidR="00AD2846" w:rsidRPr="00C175C1">
        <w:rPr>
          <w:rFonts w:ascii="Times New Roman" w:hAnsi="Times New Roman" w:cs="Times New Roman"/>
        </w:rPr>
        <w:t xml:space="preserve">to the </w:t>
      </w:r>
      <w:r w:rsidR="00AD2846" w:rsidRPr="00C175C1">
        <w:rPr>
          <w:rFonts w:ascii="Times New Roman" w:hAnsi="Times New Roman" w:cs="Times New Roman"/>
          <w:i/>
        </w:rPr>
        <w:t>de facto</w:t>
      </w:r>
      <w:r w:rsidR="00AD2846" w:rsidRPr="00C175C1">
        <w:rPr>
          <w:rFonts w:ascii="Times New Roman" w:hAnsi="Times New Roman" w:cs="Times New Roman"/>
        </w:rPr>
        <w:t xml:space="preserve"> or </w:t>
      </w:r>
      <w:r w:rsidR="00AD2846" w:rsidRPr="00C175C1">
        <w:rPr>
          <w:rFonts w:ascii="Times New Roman" w:hAnsi="Times New Roman" w:cs="Times New Roman"/>
          <w:i/>
        </w:rPr>
        <w:t>de jure</w:t>
      </w:r>
      <w:r w:rsidR="00AD2846" w:rsidRPr="00C175C1">
        <w:rPr>
          <w:rFonts w:ascii="Times New Roman" w:hAnsi="Times New Roman" w:cs="Times New Roman"/>
        </w:rPr>
        <w:t xml:space="preserve"> </w:t>
      </w:r>
      <w:r w:rsidR="00D0719F" w:rsidRPr="00C175C1">
        <w:rPr>
          <w:rFonts w:ascii="Times New Roman" w:hAnsi="Times New Roman" w:cs="Times New Roman"/>
        </w:rPr>
        <w:t xml:space="preserve">jurisdiction </w:t>
      </w:r>
      <w:r w:rsidR="00AD2846" w:rsidRPr="00C175C1">
        <w:rPr>
          <w:rFonts w:ascii="Times New Roman" w:hAnsi="Times New Roman" w:cs="Times New Roman"/>
        </w:rPr>
        <w:t>of another State.</w:t>
      </w:r>
      <w:r w:rsidR="0096581C" w:rsidRPr="00C175C1">
        <w:rPr>
          <w:rStyle w:val="FootnoteReference"/>
          <w:rFonts w:ascii="Times New Roman" w:hAnsi="Times New Roman" w:cs="Times New Roman"/>
        </w:rPr>
        <w:footnoteReference w:id="1"/>
      </w:r>
      <w:r w:rsidR="00AD2846" w:rsidRPr="00C175C1">
        <w:rPr>
          <w:rFonts w:ascii="Times New Roman" w:hAnsi="Times New Roman" w:cs="Times New Roman"/>
        </w:rPr>
        <w:t xml:space="preserve"> This reflects </w:t>
      </w:r>
      <w:r w:rsidR="00FD2E0D" w:rsidRPr="00C175C1">
        <w:rPr>
          <w:rFonts w:ascii="Times New Roman" w:hAnsi="Times New Roman" w:cs="Times New Roman"/>
        </w:rPr>
        <w:t xml:space="preserve">U.N. </w:t>
      </w:r>
      <w:r w:rsidR="00AD2846" w:rsidRPr="00C175C1">
        <w:rPr>
          <w:rFonts w:ascii="Times New Roman" w:hAnsi="Times New Roman" w:cs="Times New Roman"/>
        </w:rPr>
        <w:t>General Assemb</w:t>
      </w:r>
      <w:r w:rsidR="00FD2E0D" w:rsidRPr="00C175C1">
        <w:rPr>
          <w:rFonts w:ascii="Times New Roman" w:hAnsi="Times New Roman" w:cs="Times New Roman"/>
        </w:rPr>
        <w:t>ly and Human Rights Council</w:t>
      </w:r>
      <w:r w:rsidR="00AD2846" w:rsidRPr="00C175C1">
        <w:rPr>
          <w:rFonts w:ascii="Times New Roman" w:hAnsi="Times New Roman" w:cs="Times New Roman"/>
        </w:rPr>
        <w:t xml:space="preserve"> resolutions that urge States not to “expel, return (‘</w:t>
      </w:r>
      <w:proofErr w:type="spellStart"/>
      <w:r w:rsidR="00AD2846" w:rsidRPr="00C175C1">
        <w:rPr>
          <w:rFonts w:ascii="Times New Roman" w:hAnsi="Times New Roman" w:cs="Times New Roman"/>
        </w:rPr>
        <w:t>refouler</w:t>
      </w:r>
      <w:proofErr w:type="spellEnd"/>
      <w:r w:rsidR="00AD2846" w:rsidRPr="00C175C1">
        <w:rPr>
          <w:rFonts w:ascii="Times New Roman" w:hAnsi="Times New Roman" w:cs="Times New Roman"/>
        </w:rPr>
        <w:t>’), extradite or in</w:t>
      </w:r>
      <w:r w:rsidR="00AD2846" w:rsidRPr="00C175C1">
        <w:rPr>
          <w:rFonts w:ascii="Times New Roman" w:hAnsi="Times New Roman" w:cs="Times New Roman"/>
          <w:i/>
        </w:rPr>
        <w:t xml:space="preserve"> any other way transfer</w:t>
      </w:r>
      <w:r w:rsidR="00AD2846" w:rsidRPr="00C175C1">
        <w:rPr>
          <w:rFonts w:ascii="Times New Roman" w:hAnsi="Times New Roman" w:cs="Times New Roman"/>
        </w:rPr>
        <w:t xml:space="preserve"> a person to another State where there are substantial grounds for believing that the person would be in danger of being subjected to torture.”</w:t>
      </w:r>
      <w:r w:rsidR="00AD2846" w:rsidRPr="00C175C1">
        <w:rPr>
          <w:rStyle w:val="FootnoteReference"/>
          <w:rFonts w:ascii="Times New Roman" w:hAnsi="Times New Roman" w:cs="Times New Roman"/>
        </w:rPr>
        <w:footnoteReference w:id="2"/>
      </w:r>
    </w:p>
    <w:p w14:paraId="55AB494B" w14:textId="77777777" w:rsidR="00FC4CB6" w:rsidRPr="00C175C1" w:rsidRDefault="00FC4CB6" w:rsidP="000E2113">
      <w:pPr>
        <w:spacing w:after="0" w:line="240" w:lineRule="auto"/>
        <w:jc w:val="both"/>
        <w:rPr>
          <w:rFonts w:ascii="Times New Roman" w:hAnsi="Times New Roman" w:cs="Times New Roman"/>
          <w:b/>
        </w:rPr>
      </w:pPr>
    </w:p>
    <w:p w14:paraId="2727B590" w14:textId="5D286035" w:rsidR="00E06E02" w:rsidRPr="00C175C1" w:rsidRDefault="00EF7B1B" w:rsidP="000E2113">
      <w:pPr>
        <w:spacing w:after="0" w:line="240" w:lineRule="auto"/>
        <w:jc w:val="both"/>
        <w:rPr>
          <w:rFonts w:ascii="Times New Roman" w:hAnsi="Times New Roman" w:cs="Times New Roman"/>
        </w:rPr>
      </w:pPr>
      <w:r w:rsidRPr="00C175C1">
        <w:rPr>
          <w:rFonts w:ascii="Times New Roman" w:hAnsi="Times New Roman" w:cs="Times New Roman"/>
          <w:b/>
        </w:rPr>
        <w:t xml:space="preserve">2. </w:t>
      </w:r>
      <w:r w:rsidR="00FC4CB6" w:rsidRPr="00C175C1">
        <w:rPr>
          <w:rFonts w:ascii="Times New Roman" w:hAnsi="Times New Roman" w:cs="Times New Roman"/>
          <w:b/>
        </w:rPr>
        <w:t>The Committee should further clarify [</w:t>
      </w:r>
      <w:r w:rsidR="00C47C70" w:rsidRPr="00C175C1">
        <w:rPr>
          <w:rFonts w:ascii="Times New Roman" w:hAnsi="Times New Roman" w:cs="Times New Roman"/>
          <w:b/>
        </w:rPr>
        <w:t>immediately</w:t>
      </w:r>
      <w:r w:rsidR="00484B94" w:rsidRPr="00C175C1">
        <w:rPr>
          <w:rFonts w:ascii="Times New Roman" w:hAnsi="Times New Roman" w:cs="Times New Roman"/>
          <w:b/>
        </w:rPr>
        <w:t xml:space="preserve"> following </w:t>
      </w:r>
      <w:r w:rsidR="00FC4CB6" w:rsidRPr="00C175C1">
        <w:rPr>
          <w:rFonts w:ascii="Times New Roman" w:hAnsi="Times New Roman" w:cs="Times New Roman"/>
          <w:b/>
        </w:rPr>
        <w:t>paragraph 10 of the draft Comment]</w:t>
      </w:r>
      <w:r w:rsidR="004E5CB7" w:rsidRPr="00C175C1">
        <w:rPr>
          <w:rFonts w:ascii="Times New Roman" w:hAnsi="Times New Roman" w:cs="Times New Roman"/>
          <w:b/>
        </w:rPr>
        <w:t xml:space="preserve"> that </w:t>
      </w:r>
      <w:r w:rsidR="00AD0CDB" w:rsidRPr="00C175C1">
        <w:rPr>
          <w:rFonts w:ascii="Times New Roman" w:hAnsi="Times New Roman" w:cs="Times New Roman"/>
          <w:b/>
        </w:rPr>
        <w:t>an</w:t>
      </w:r>
      <w:r w:rsidR="002F1883" w:rsidRPr="00C175C1">
        <w:rPr>
          <w:rFonts w:ascii="Times New Roman" w:hAnsi="Times New Roman" w:cs="Times New Roman"/>
          <w:b/>
        </w:rPr>
        <w:t xml:space="preserve"> individual being </w:t>
      </w:r>
      <w:r w:rsidR="009E4567" w:rsidRPr="00C175C1">
        <w:rPr>
          <w:rFonts w:ascii="Times New Roman" w:hAnsi="Times New Roman" w:cs="Times New Roman"/>
          <w:b/>
        </w:rPr>
        <w:t xml:space="preserve">forcibly </w:t>
      </w:r>
      <w:r w:rsidR="002F1883" w:rsidRPr="00C175C1">
        <w:rPr>
          <w:rFonts w:ascii="Times New Roman" w:hAnsi="Times New Roman" w:cs="Times New Roman"/>
          <w:b/>
        </w:rPr>
        <w:t>transferred need not cross an international border for non-</w:t>
      </w:r>
      <w:proofErr w:type="spellStart"/>
      <w:r w:rsidR="002F1883" w:rsidRPr="00C175C1">
        <w:rPr>
          <w:rFonts w:ascii="Times New Roman" w:hAnsi="Times New Roman" w:cs="Times New Roman"/>
          <w:b/>
        </w:rPr>
        <w:t>refoulement</w:t>
      </w:r>
      <w:proofErr w:type="spellEnd"/>
      <w:r w:rsidR="002F1883" w:rsidRPr="00C175C1">
        <w:rPr>
          <w:rFonts w:ascii="Times New Roman" w:hAnsi="Times New Roman" w:cs="Times New Roman"/>
          <w:b/>
        </w:rPr>
        <w:t xml:space="preserve"> protections to apply</w:t>
      </w:r>
      <w:r w:rsidR="00FC4CB6" w:rsidRPr="00C175C1">
        <w:rPr>
          <w:rFonts w:ascii="Times New Roman" w:hAnsi="Times New Roman" w:cs="Times New Roman"/>
          <w:b/>
        </w:rPr>
        <w:t>.</w:t>
      </w:r>
      <w:r w:rsidR="003B051A" w:rsidRPr="00C175C1">
        <w:rPr>
          <w:rStyle w:val="FootnoteReference"/>
          <w:rFonts w:ascii="Times New Roman" w:hAnsi="Times New Roman" w:cs="Times New Roman"/>
          <w:b/>
        </w:rPr>
        <w:footnoteReference w:id="3"/>
      </w:r>
      <w:r w:rsidR="002F1883" w:rsidRPr="00C175C1">
        <w:rPr>
          <w:rFonts w:ascii="Times New Roman" w:hAnsi="Times New Roman" w:cs="Times New Roman"/>
        </w:rPr>
        <w:t xml:space="preserve">  </w:t>
      </w:r>
      <w:r w:rsidR="00AD0CDB" w:rsidRPr="00C175C1">
        <w:rPr>
          <w:rFonts w:ascii="Times New Roman" w:hAnsi="Times New Roman" w:cs="Times New Roman"/>
        </w:rPr>
        <w:t>Th</w:t>
      </w:r>
      <w:r w:rsidR="00A42230">
        <w:rPr>
          <w:rFonts w:ascii="Times New Roman" w:hAnsi="Times New Roman" w:cs="Times New Roman"/>
        </w:rPr>
        <w:t>e</w:t>
      </w:r>
      <w:r w:rsidR="00AD0CDB" w:rsidRPr="00C175C1">
        <w:rPr>
          <w:rFonts w:ascii="Times New Roman" w:hAnsi="Times New Roman" w:cs="Times New Roman"/>
        </w:rPr>
        <w:t xml:space="preserve"> Committee raised Article 3 concerns with regard to </w:t>
      </w:r>
      <w:r w:rsidR="00A36035" w:rsidRPr="00C175C1">
        <w:rPr>
          <w:rFonts w:ascii="Times New Roman" w:hAnsi="Times New Roman" w:cs="Times New Roman"/>
        </w:rPr>
        <w:t xml:space="preserve">foreign coalition forces </w:t>
      </w:r>
      <w:r w:rsidR="00AD0CDB" w:rsidRPr="00C175C1">
        <w:rPr>
          <w:rFonts w:ascii="Times New Roman" w:hAnsi="Times New Roman" w:cs="Times New Roman"/>
        </w:rPr>
        <w:t>in Afghanistan</w:t>
      </w:r>
      <w:r w:rsidR="000B08A6" w:rsidRPr="00C175C1">
        <w:rPr>
          <w:rFonts w:ascii="Times New Roman" w:hAnsi="Times New Roman" w:cs="Times New Roman"/>
        </w:rPr>
        <w:t xml:space="preserve"> </w:t>
      </w:r>
      <w:r w:rsidR="00D83805" w:rsidRPr="00C175C1">
        <w:rPr>
          <w:rFonts w:ascii="Times New Roman" w:hAnsi="Times New Roman" w:cs="Times New Roman"/>
        </w:rPr>
        <w:t>handing</w:t>
      </w:r>
      <w:r w:rsidR="00A36035" w:rsidRPr="00C175C1">
        <w:rPr>
          <w:rFonts w:ascii="Times New Roman" w:hAnsi="Times New Roman" w:cs="Times New Roman"/>
        </w:rPr>
        <w:t xml:space="preserve"> people they</w:t>
      </w:r>
      <w:r w:rsidR="00D83805" w:rsidRPr="00C175C1">
        <w:rPr>
          <w:rFonts w:ascii="Times New Roman" w:hAnsi="Times New Roman" w:cs="Times New Roman"/>
        </w:rPr>
        <w:t xml:space="preserve"> detained to Afghan authorities</w:t>
      </w:r>
      <w:r w:rsidR="00A36035" w:rsidRPr="00C175C1">
        <w:rPr>
          <w:rFonts w:ascii="Times New Roman" w:hAnsi="Times New Roman" w:cs="Times New Roman"/>
        </w:rPr>
        <w:t xml:space="preserve">. </w:t>
      </w:r>
      <w:r w:rsidR="00AD0CDB" w:rsidRPr="00C175C1">
        <w:rPr>
          <w:rFonts w:ascii="Times New Roman" w:hAnsi="Times New Roman" w:cs="Times New Roman"/>
        </w:rPr>
        <w:t>These</w:t>
      </w:r>
      <w:r w:rsidR="00CB5711" w:rsidRPr="00C175C1">
        <w:rPr>
          <w:rFonts w:ascii="Times New Roman" w:hAnsi="Times New Roman" w:cs="Times New Roman"/>
        </w:rPr>
        <w:t xml:space="preserve"> transferred persons never </w:t>
      </w:r>
      <w:r w:rsidR="005F48A8" w:rsidRPr="00C175C1">
        <w:rPr>
          <w:rFonts w:ascii="Times New Roman" w:hAnsi="Times New Roman" w:cs="Times New Roman"/>
        </w:rPr>
        <w:t>crossed an international border</w:t>
      </w:r>
      <w:r w:rsidR="00A42230">
        <w:rPr>
          <w:rFonts w:ascii="Times New Roman" w:hAnsi="Times New Roman" w:cs="Times New Roman"/>
        </w:rPr>
        <w:t>,</w:t>
      </w:r>
      <w:r w:rsidR="00CB5711" w:rsidRPr="00C175C1">
        <w:rPr>
          <w:rFonts w:ascii="Times New Roman" w:hAnsi="Times New Roman" w:cs="Times New Roman"/>
        </w:rPr>
        <w:t xml:space="preserve"> yet</w:t>
      </w:r>
      <w:r w:rsidR="005F48A8" w:rsidRPr="00C175C1">
        <w:rPr>
          <w:rFonts w:ascii="Times New Roman" w:hAnsi="Times New Roman" w:cs="Times New Roman"/>
        </w:rPr>
        <w:t xml:space="preserve"> they were transferred from the </w:t>
      </w:r>
      <w:r w:rsidR="005F48A8" w:rsidRPr="00C175C1">
        <w:rPr>
          <w:rFonts w:ascii="Times New Roman" w:hAnsi="Times New Roman" w:cs="Times New Roman"/>
          <w:i/>
        </w:rPr>
        <w:t>de jure</w:t>
      </w:r>
      <w:r w:rsidR="005F48A8" w:rsidRPr="00C175C1">
        <w:rPr>
          <w:rFonts w:ascii="Times New Roman" w:hAnsi="Times New Roman" w:cs="Times New Roman"/>
        </w:rPr>
        <w:t xml:space="preserve"> or </w:t>
      </w:r>
      <w:r w:rsidR="005F48A8" w:rsidRPr="00C175C1">
        <w:rPr>
          <w:rFonts w:ascii="Times New Roman" w:hAnsi="Times New Roman" w:cs="Times New Roman"/>
          <w:i/>
        </w:rPr>
        <w:t>de facto</w:t>
      </w:r>
      <w:r w:rsidR="005F48A8" w:rsidRPr="00C175C1">
        <w:rPr>
          <w:rFonts w:ascii="Times New Roman" w:hAnsi="Times New Roman" w:cs="Times New Roman"/>
        </w:rPr>
        <w:t xml:space="preserve"> control of one State to the </w:t>
      </w:r>
      <w:r w:rsidR="005F48A8" w:rsidRPr="00C175C1">
        <w:rPr>
          <w:rFonts w:ascii="Times New Roman" w:hAnsi="Times New Roman" w:cs="Times New Roman"/>
          <w:i/>
        </w:rPr>
        <w:t>de jure</w:t>
      </w:r>
      <w:r w:rsidR="005F48A8" w:rsidRPr="00C175C1">
        <w:rPr>
          <w:rFonts w:ascii="Times New Roman" w:hAnsi="Times New Roman" w:cs="Times New Roman"/>
        </w:rPr>
        <w:t xml:space="preserve"> or </w:t>
      </w:r>
      <w:r w:rsidR="005F48A8" w:rsidRPr="00C175C1">
        <w:rPr>
          <w:rFonts w:ascii="Times New Roman" w:hAnsi="Times New Roman" w:cs="Times New Roman"/>
          <w:i/>
        </w:rPr>
        <w:t>de facto</w:t>
      </w:r>
      <w:r w:rsidR="005F48A8" w:rsidRPr="00C175C1">
        <w:rPr>
          <w:rFonts w:ascii="Times New Roman" w:hAnsi="Times New Roman" w:cs="Times New Roman"/>
        </w:rPr>
        <w:t xml:space="preserve"> control of another State. I</w:t>
      </w:r>
      <w:r w:rsidR="00223B31" w:rsidRPr="00C175C1">
        <w:rPr>
          <w:rFonts w:ascii="Times New Roman" w:hAnsi="Times New Roman" w:cs="Times New Roman"/>
        </w:rPr>
        <w:t>n its Con</w:t>
      </w:r>
      <w:r w:rsidR="002F1883" w:rsidRPr="00C175C1">
        <w:rPr>
          <w:rFonts w:ascii="Times New Roman" w:hAnsi="Times New Roman" w:cs="Times New Roman"/>
        </w:rPr>
        <w:t>cluding Observations on</w:t>
      </w:r>
      <w:r w:rsidR="00CB5711" w:rsidRPr="00C175C1">
        <w:rPr>
          <w:rFonts w:ascii="Times New Roman" w:hAnsi="Times New Roman" w:cs="Times New Roman"/>
        </w:rPr>
        <w:t xml:space="preserve"> Canada</w:t>
      </w:r>
      <w:r w:rsidR="00A42230">
        <w:rPr>
          <w:rFonts w:ascii="Times New Roman" w:hAnsi="Times New Roman" w:cs="Times New Roman"/>
        </w:rPr>
        <w:t>,</w:t>
      </w:r>
      <w:r w:rsidR="00CB5711" w:rsidRPr="00C175C1">
        <w:rPr>
          <w:rFonts w:ascii="Times New Roman" w:hAnsi="Times New Roman" w:cs="Times New Roman"/>
        </w:rPr>
        <w:t xml:space="preserve"> </w:t>
      </w:r>
      <w:r w:rsidR="00FD2E0D" w:rsidRPr="00C175C1">
        <w:rPr>
          <w:rFonts w:ascii="Times New Roman" w:hAnsi="Times New Roman" w:cs="Times New Roman"/>
        </w:rPr>
        <w:t>th</w:t>
      </w:r>
      <w:r w:rsidR="00A87EE6" w:rsidRPr="00C175C1">
        <w:rPr>
          <w:rFonts w:ascii="Times New Roman" w:hAnsi="Times New Roman" w:cs="Times New Roman"/>
        </w:rPr>
        <w:t>is</w:t>
      </w:r>
      <w:r w:rsidR="00FD2E0D" w:rsidRPr="00C175C1">
        <w:rPr>
          <w:rFonts w:ascii="Times New Roman" w:hAnsi="Times New Roman" w:cs="Times New Roman"/>
        </w:rPr>
        <w:t xml:space="preserve"> Committee</w:t>
      </w:r>
      <w:r w:rsidR="005F48A8" w:rsidRPr="00C175C1">
        <w:rPr>
          <w:rFonts w:ascii="Times New Roman" w:hAnsi="Times New Roman" w:cs="Times New Roman"/>
        </w:rPr>
        <w:t xml:space="preserve"> </w:t>
      </w:r>
      <w:r w:rsidR="00A94A35" w:rsidRPr="00C175C1">
        <w:rPr>
          <w:rFonts w:ascii="Times New Roman" w:hAnsi="Times New Roman" w:cs="Times New Roman"/>
        </w:rPr>
        <w:t xml:space="preserve">said </w:t>
      </w:r>
      <w:r w:rsidR="00EC0E88">
        <w:rPr>
          <w:rFonts w:ascii="Times New Roman" w:hAnsi="Times New Roman" w:cs="Times New Roman"/>
        </w:rPr>
        <w:t xml:space="preserve">that </w:t>
      </w:r>
      <w:r w:rsidR="00A94A35" w:rsidRPr="00C175C1">
        <w:rPr>
          <w:rFonts w:ascii="Times New Roman" w:hAnsi="Times New Roman" w:cs="Times New Roman"/>
        </w:rPr>
        <w:t>Canada should “adopt a policy for future military operations that clearly prohibits the prisoner transfers to another country when there are substantial grounds for believing that he or she would be in danger of being subjected to torture.”</w:t>
      </w:r>
      <w:r w:rsidR="00A94A35" w:rsidRPr="00C175C1">
        <w:rPr>
          <w:rStyle w:val="FootnoteReference"/>
          <w:rFonts w:ascii="Times New Roman" w:hAnsi="Times New Roman" w:cs="Times New Roman"/>
        </w:rPr>
        <w:footnoteReference w:id="4"/>
      </w:r>
      <w:r w:rsidR="00A94A35" w:rsidRPr="00C175C1">
        <w:rPr>
          <w:rFonts w:ascii="Times New Roman" w:hAnsi="Times New Roman" w:cs="Times New Roman"/>
        </w:rPr>
        <w:t xml:space="preserve">  </w:t>
      </w:r>
      <w:r w:rsidR="002F1883" w:rsidRPr="00C175C1">
        <w:rPr>
          <w:rFonts w:ascii="Times New Roman" w:hAnsi="Times New Roman" w:cs="Times New Roman"/>
        </w:rPr>
        <w:t>T</w:t>
      </w:r>
      <w:r w:rsidR="00A94A35" w:rsidRPr="00C175C1">
        <w:rPr>
          <w:rFonts w:ascii="Times New Roman" w:hAnsi="Times New Roman" w:cs="Times New Roman"/>
        </w:rPr>
        <w:t xml:space="preserve">he Committee </w:t>
      </w:r>
      <w:r w:rsidR="002F1883" w:rsidRPr="00C175C1">
        <w:rPr>
          <w:rFonts w:ascii="Times New Roman" w:hAnsi="Times New Roman" w:cs="Times New Roman"/>
        </w:rPr>
        <w:t>made a similar</w:t>
      </w:r>
      <w:r w:rsidR="00F2640B" w:rsidRPr="00C175C1">
        <w:rPr>
          <w:rFonts w:ascii="Times New Roman" w:hAnsi="Times New Roman" w:cs="Times New Roman"/>
        </w:rPr>
        <w:t xml:space="preserve"> recommendation</w:t>
      </w:r>
      <w:r w:rsidR="00A94A35" w:rsidRPr="00C175C1">
        <w:rPr>
          <w:rFonts w:ascii="Times New Roman" w:hAnsi="Times New Roman" w:cs="Times New Roman"/>
        </w:rPr>
        <w:t xml:space="preserve"> i</w:t>
      </w:r>
      <w:r w:rsidR="005F48A8" w:rsidRPr="00C175C1">
        <w:rPr>
          <w:rFonts w:ascii="Times New Roman" w:hAnsi="Times New Roman" w:cs="Times New Roman"/>
        </w:rPr>
        <w:t>n its Concluding Obse</w:t>
      </w:r>
      <w:r w:rsidR="002F1883" w:rsidRPr="00C175C1">
        <w:rPr>
          <w:rFonts w:ascii="Times New Roman" w:hAnsi="Times New Roman" w:cs="Times New Roman"/>
        </w:rPr>
        <w:t>rvations on</w:t>
      </w:r>
      <w:r w:rsidR="00A94A35" w:rsidRPr="00C175C1">
        <w:rPr>
          <w:rFonts w:ascii="Times New Roman" w:hAnsi="Times New Roman" w:cs="Times New Roman"/>
        </w:rPr>
        <w:t xml:space="preserve"> the United </w:t>
      </w:r>
      <w:r w:rsidR="00F2640B" w:rsidRPr="00C175C1">
        <w:rPr>
          <w:rFonts w:ascii="Times New Roman" w:hAnsi="Times New Roman" w:cs="Times New Roman"/>
        </w:rPr>
        <w:t>Kingdom</w:t>
      </w:r>
      <w:r w:rsidR="005F48A8" w:rsidRPr="00C175C1">
        <w:rPr>
          <w:rFonts w:ascii="Times New Roman" w:eastAsia="Malgun Gothic" w:hAnsi="Times New Roman" w:cs="Times New Roman"/>
          <w:kern w:val="2"/>
          <w:lang w:eastAsia="ko-KR"/>
        </w:rPr>
        <w:t>.</w:t>
      </w:r>
      <w:r w:rsidR="005F48A8" w:rsidRPr="00C175C1">
        <w:rPr>
          <w:rStyle w:val="FootnoteReference"/>
          <w:rFonts w:ascii="Times New Roman" w:eastAsia="Malgun Gothic" w:hAnsi="Times New Roman" w:cs="Times New Roman"/>
          <w:kern w:val="2"/>
          <w:lang w:eastAsia="ko-KR"/>
        </w:rPr>
        <w:footnoteReference w:id="5"/>
      </w:r>
    </w:p>
    <w:p w14:paraId="396D1DB2" w14:textId="77777777" w:rsidR="00FC4CB6" w:rsidRPr="00C175C1" w:rsidRDefault="00FC4CB6" w:rsidP="000E2113">
      <w:pPr>
        <w:spacing w:after="0" w:line="240" w:lineRule="auto"/>
        <w:jc w:val="both"/>
        <w:rPr>
          <w:rFonts w:ascii="Times New Roman" w:hAnsi="Times New Roman" w:cs="Times New Roman"/>
        </w:rPr>
      </w:pPr>
    </w:p>
    <w:p w14:paraId="2A18FAF9" w14:textId="1B6EB902" w:rsidR="00FC4CB6" w:rsidRPr="00C175C1" w:rsidRDefault="00EF7B1B" w:rsidP="000E2113">
      <w:pPr>
        <w:spacing w:after="0" w:line="240" w:lineRule="auto"/>
        <w:jc w:val="both"/>
        <w:rPr>
          <w:rFonts w:ascii="Times New Roman" w:hAnsi="Times New Roman" w:cs="Times New Roman"/>
          <w:b/>
        </w:rPr>
      </w:pPr>
      <w:r w:rsidRPr="00C175C1">
        <w:rPr>
          <w:rFonts w:ascii="Times New Roman" w:hAnsi="Times New Roman" w:cs="Times New Roman"/>
          <w:b/>
        </w:rPr>
        <w:t xml:space="preserve">3. </w:t>
      </w:r>
      <w:r w:rsidR="00FC4CB6" w:rsidRPr="00C175C1">
        <w:rPr>
          <w:rFonts w:ascii="Times New Roman" w:hAnsi="Times New Roman" w:cs="Times New Roman"/>
          <w:b/>
        </w:rPr>
        <w:t>The Committee should include as a</w:t>
      </w:r>
      <w:r w:rsidR="00E06E02" w:rsidRPr="00C175C1">
        <w:rPr>
          <w:rFonts w:ascii="Times New Roman" w:hAnsi="Times New Roman" w:cs="Times New Roman"/>
          <w:b/>
        </w:rPr>
        <w:t>n additional</w:t>
      </w:r>
      <w:r w:rsidR="00FC4CB6" w:rsidRPr="00C175C1">
        <w:rPr>
          <w:rFonts w:ascii="Times New Roman" w:hAnsi="Times New Roman" w:cs="Times New Roman"/>
          <w:b/>
        </w:rPr>
        <w:t xml:space="preserve"> general principle that </w:t>
      </w:r>
      <w:r w:rsidR="00971A59">
        <w:rPr>
          <w:rFonts w:ascii="Times New Roman" w:hAnsi="Times New Roman" w:cs="Times New Roman"/>
          <w:b/>
        </w:rPr>
        <w:t>S</w:t>
      </w:r>
      <w:r w:rsidR="00E06E02" w:rsidRPr="00C175C1">
        <w:rPr>
          <w:rFonts w:ascii="Times New Roman" w:hAnsi="Times New Roman" w:cs="Times New Roman"/>
          <w:b/>
        </w:rPr>
        <w:t xml:space="preserve">tates have a duty to comply with its decisions in good faith. </w:t>
      </w:r>
      <w:r w:rsidR="00E06E02" w:rsidRPr="00C175C1">
        <w:rPr>
          <w:rFonts w:ascii="Times New Roman" w:hAnsi="Times New Roman" w:cs="Times New Roman"/>
        </w:rPr>
        <w:t>B</w:t>
      </w:r>
      <w:r w:rsidR="00FC4CB6" w:rsidRPr="00C175C1">
        <w:rPr>
          <w:rFonts w:ascii="Times New Roman" w:hAnsi="Times New Roman" w:cs="Times New Roman"/>
        </w:rPr>
        <w:t xml:space="preserve">y </w:t>
      </w:r>
      <w:r w:rsidR="00FC4CB6" w:rsidRPr="00C175C1">
        <w:rPr>
          <w:rFonts w:ascii="Times New Roman" w:hAnsi="Times New Roman" w:cs="Times New Roman"/>
          <w:bCs/>
        </w:rPr>
        <w:t xml:space="preserve">making a declaration under </w:t>
      </w:r>
      <w:r w:rsidR="00FC4CB6" w:rsidRPr="00C175C1">
        <w:rPr>
          <w:rFonts w:ascii="Times New Roman" w:hAnsi="Times New Roman" w:cs="Times New Roman"/>
        </w:rPr>
        <w:t xml:space="preserve">Article 22 (1), </w:t>
      </w:r>
      <w:r w:rsidR="00971A59">
        <w:rPr>
          <w:rFonts w:ascii="Times New Roman" w:hAnsi="Times New Roman" w:cs="Times New Roman"/>
        </w:rPr>
        <w:t>S</w:t>
      </w:r>
      <w:r w:rsidR="00FC4CB6" w:rsidRPr="00C175C1">
        <w:rPr>
          <w:rFonts w:ascii="Times New Roman" w:hAnsi="Times New Roman" w:cs="Times New Roman"/>
        </w:rPr>
        <w:t>tates accepted a duty to implement and respect the legal obligations set out in therein. These include an implied obligation to comply with Committee’s decisions in good faith.</w:t>
      </w:r>
      <w:r w:rsidR="00FC4CB6" w:rsidRPr="00C175C1">
        <w:rPr>
          <w:rStyle w:val="FootnoteReference"/>
          <w:rFonts w:ascii="Times New Roman" w:hAnsi="Times New Roman" w:cs="Times New Roman"/>
        </w:rPr>
        <w:footnoteReference w:id="6"/>
      </w:r>
    </w:p>
    <w:p w14:paraId="1B60FCF9" w14:textId="77777777" w:rsidR="00D44433" w:rsidRPr="00C175C1" w:rsidRDefault="00D44433" w:rsidP="000E2113">
      <w:pPr>
        <w:pStyle w:val="ListParagraph"/>
        <w:spacing w:after="0" w:line="240" w:lineRule="auto"/>
        <w:ind w:left="360"/>
        <w:jc w:val="both"/>
        <w:rPr>
          <w:rFonts w:ascii="Times New Roman" w:hAnsi="Times New Roman" w:cs="Times New Roman"/>
        </w:rPr>
      </w:pPr>
    </w:p>
    <w:p w14:paraId="72D5A01D" w14:textId="70FFACD0" w:rsidR="00E06E02" w:rsidRPr="005B470A" w:rsidRDefault="005B470A" w:rsidP="000E2113">
      <w:pPr>
        <w:spacing w:after="0" w:line="240" w:lineRule="auto"/>
        <w:jc w:val="both"/>
        <w:rPr>
          <w:rFonts w:ascii="Times New Roman" w:hAnsi="Times New Roman" w:cs="Times New Roman"/>
          <w:b/>
          <w:sz w:val="24"/>
          <w:szCs w:val="24"/>
        </w:rPr>
      </w:pPr>
      <w:r w:rsidRPr="005B470A">
        <w:rPr>
          <w:rFonts w:ascii="Times New Roman" w:hAnsi="Times New Roman" w:cs="Times New Roman"/>
          <w:b/>
          <w:sz w:val="24"/>
          <w:szCs w:val="24"/>
        </w:rPr>
        <w:t xml:space="preserve">Section </w:t>
      </w:r>
      <w:r w:rsidR="00E06E02" w:rsidRPr="005B470A">
        <w:rPr>
          <w:rFonts w:ascii="Times New Roman" w:hAnsi="Times New Roman" w:cs="Times New Roman"/>
          <w:b/>
          <w:sz w:val="24"/>
          <w:szCs w:val="24"/>
        </w:rPr>
        <w:t xml:space="preserve">III. Preventive measures to guarantee the principle of </w:t>
      </w:r>
      <w:r w:rsidR="00EF7B1B" w:rsidRPr="005B470A">
        <w:rPr>
          <w:rFonts w:ascii="Times New Roman" w:hAnsi="Times New Roman" w:cs="Times New Roman"/>
          <w:b/>
          <w:sz w:val="24"/>
          <w:szCs w:val="24"/>
        </w:rPr>
        <w:t xml:space="preserve">“non </w:t>
      </w:r>
      <w:proofErr w:type="spellStart"/>
      <w:r w:rsidR="00EF7B1B" w:rsidRPr="005B470A">
        <w:rPr>
          <w:rFonts w:ascii="Times New Roman" w:hAnsi="Times New Roman" w:cs="Times New Roman"/>
          <w:b/>
          <w:sz w:val="24"/>
          <w:szCs w:val="24"/>
        </w:rPr>
        <w:t>refoulement</w:t>
      </w:r>
      <w:proofErr w:type="spellEnd"/>
      <w:r w:rsidR="00EF7B1B" w:rsidRPr="005B470A">
        <w:rPr>
          <w:rFonts w:ascii="Times New Roman" w:hAnsi="Times New Roman" w:cs="Times New Roman"/>
          <w:b/>
          <w:sz w:val="24"/>
          <w:szCs w:val="24"/>
        </w:rPr>
        <w:t>”</w:t>
      </w:r>
    </w:p>
    <w:p w14:paraId="086C7991" w14:textId="77777777" w:rsidR="00E06E02" w:rsidRPr="00C175C1" w:rsidRDefault="00E06E02" w:rsidP="000E2113">
      <w:pPr>
        <w:spacing w:after="0" w:line="240" w:lineRule="auto"/>
        <w:jc w:val="both"/>
        <w:rPr>
          <w:rFonts w:ascii="Times New Roman" w:hAnsi="Times New Roman" w:cs="Times New Roman"/>
        </w:rPr>
      </w:pPr>
    </w:p>
    <w:p w14:paraId="44805B0F" w14:textId="49434415" w:rsidR="00E06E02" w:rsidRPr="00781090" w:rsidRDefault="00EF7B1B" w:rsidP="000E2113">
      <w:pPr>
        <w:spacing w:after="0" w:line="240" w:lineRule="auto"/>
        <w:jc w:val="both"/>
        <w:rPr>
          <w:rFonts w:ascii="Times New Roman" w:hAnsi="Times New Roman" w:cs="Times New Roman"/>
          <w:b/>
        </w:rPr>
      </w:pPr>
      <w:r w:rsidRPr="00C175C1">
        <w:rPr>
          <w:rFonts w:ascii="Times New Roman" w:hAnsi="Times New Roman" w:cs="Times New Roman"/>
          <w:b/>
        </w:rPr>
        <w:lastRenderedPageBreak/>
        <w:t xml:space="preserve">4. </w:t>
      </w:r>
      <w:r w:rsidR="00E06E02" w:rsidRPr="00C175C1">
        <w:rPr>
          <w:rFonts w:ascii="Times New Roman" w:hAnsi="Times New Roman" w:cs="Times New Roman"/>
          <w:b/>
        </w:rPr>
        <w:t xml:space="preserve">The measures </w:t>
      </w:r>
      <w:r w:rsidR="000A0095">
        <w:rPr>
          <w:rFonts w:ascii="Times New Roman" w:hAnsi="Times New Roman" w:cs="Times New Roman"/>
          <w:b/>
        </w:rPr>
        <w:t>listed</w:t>
      </w:r>
      <w:r w:rsidR="00E06E02" w:rsidRPr="00C175C1">
        <w:rPr>
          <w:rFonts w:ascii="Times New Roman" w:hAnsi="Times New Roman" w:cs="Times New Roman"/>
          <w:b/>
        </w:rPr>
        <w:t xml:space="preserve"> in this part of the Comment </w:t>
      </w:r>
      <w:r w:rsidR="003F63F6">
        <w:rPr>
          <w:rFonts w:ascii="Times New Roman" w:hAnsi="Times New Roman" w:cs="Times New Roman"/>
          <w:b/>
        </w:rPr>
        <w:t>are</w:t>
      </w:r>
      <w:r w:rsidR="00E06E02" w:rsidRPr="00C175C1">
        <w:rPr>
          <w:rFonts w:ascii="Times New Roman" w:hAnsi="Times New Roman" w:cs="Times New Roman"/>
          <w:b/>
        </w:rPr>
        <w:t xml:space="preserve"> legal obligations</w:t>
      </w:r>
      <w:r w:rsidR="003F63F6">
        <w:rPr>
          <w:rFonts w:ascii="Times New Roman" w:hAnsi="Times New Roman" w:cs="Times New Roman"/>
          <w:b/>
        </w:rPr>
        <w:t xml:space="preserve"> rather than “best practices</w:t>
      </w:r>
      <w:r w:rsidR="00BC2B9F">
        <w:rPr>
          <w:rFonts w:ascii="Times New Roman" w:hAnsi="Times New Roman" w:cs="Times New Roman"/>
          <w:b/>
        </w:rPr>
        <w:t>.</w:t>
      </w:r>
      <w:r w:rsidR="003F63F6">
        <w:rPr>
          <w:rFonts w:ascii="Times New Roman" w:hAnsi="Times New Roman" w:cs="Times New Roman"/>
          <w:b/>
        </w:rPr>
        <w:t>”</w:t>
      </w:r>
      <w:r w:rsidR="00E06E02" w:rsidRPr="00C175C1">
        <w:rPr>
          <w:rFonts w:ascii="Times New Roman" w:hAnsi="Times New Roman" w:cs="Times New Roman"/>
          <w:b/>
        </w:rPr>
        <w:t xml:space="preserve"> </w:t>
      </w:r>
      <w:r w:rsidR="00781090">
        <w:rPr>
          <w:rFonts w:ascii="Times New Roman" w:hAnsi="Times New Roman" w:cs="Times New Roman"/>
          <w:b/>
        </w:rPr>
        <w:t xml:space="preserve"> </w:t>
      </w:r>
      <w:r w:rsidR="00A6257C" w:rsidRPr="00C175C1">
        <w:rPr>
          <w:rFonts w:ascii="Times New Roman" w:hAnsi="Times New Roman" w:cs="Times New Roman"/>
        </w:rPr>
        <w:t xml:space="preserve">Insofar </w:t>
      </w:r>
      <w:r w:rsidR="003F63F6">
        <w:rPr>
          <w:rFonts w:ascii="Times New Roman" w:hAnsi="Times New Roman" w:cs="Times New Roman"/>
        </w:rPr>
        <w:t>as the</w:t>
      </w:r>
      <w:r w:rsidR="00A6257C" w:rsidRPr="00C175C1">
        <w:rPr>
          <w:rFonts w:ascii="Times New Roman" w:hAnsi="Times New Roman" w:cs="Times New Roman"/>
        </w:rPr>
        <w:t xml:space="preserve"> measures</w:t>
      </w:r>
      <w:r w:rsidR="003F63F6">
        <w:rPr>
          <w:rFonts w:ascii="Times New Roman" w:hAnsi="Times New Roman" w:cs="Times New Roman"/>
        </w:rPr>
        <w:t xml:space="preserve"> listed in Section III</w:t>
      </w:r>
      <w:r w:rsidR="00A6257C" w:rsidRPr="00C175C1">
        <w:rPr>
          <w:rFonts w:ascii="Times New Roman" w:hAnsi="Times New Roman" w:cs="Times New Roman"/>
        </w:rPr>
        <w:t xml:space="preserve"> are supported by the Committee’s jurisprudence and concluding observations, other authoritative human rights bodies, and general principles of human rights law, </w:t>
      </w:r>
      <w:r w:rsidR="00A6257C">
        <w:rPr>
          <w:rFonts w:ascii="Times New Roman" w:hAnsi="Times New Roman" w:cs="Times New Roman"/>
        </w:rPr>
        <w:t>it would undermine the Convention</w:t>
      </w:r>
      <w:r w:rsidR="003F63F6">
        <w:rPr>
          <w:rFonts w:ascii="Times New Roman" w:hAnsi="Times New Roman" w:cs="Times New Roman"/>
        </w:rPr>
        <w:t xml:space="preserve"> if the Comment</w:t>
      </w:r>
      <w:r w:rsidR="00A6257C">
        <w:rPr>
          <w:rFonts w:ascii="Times New Roman" w:hAnsi="Times New Roman" w:cs="Times New Roman"/>
        </w:rPr>
        <w:t xml:space="preserve"> inaccurately describe</w:t>
      </w:r>
      <w:r w:rsidR="003F63F6">
        <w:rPr>
          <w:rFonts w:ascii="Times New Roman" w:hAnsi="Times New Roman" w:cs="Times New Roman"/>
        </w:rPr>
        <w:t>d</w:t>
      </w:r>
      <w:r w:rsidR="00D35D70">
        <w:rPr>
          <w:rFonts w:ascii="Times New Roman" w:hAnsi="Times New Roman" w:cs="Times New Roman"/>
        </w:rPr>
        <w:t xml:space="preserve"> the measures</w:t>
      </w:r>
      <w:r w:rsidR="00A6257C">
        <w:rPr>
          <w:rFonts w:ascii="Times New Roman" w:hAnsi="Times New Roman" w:cs="Times New Roman"/>
        </w:rPr>
        <w:t xml:space="preserve"> merely as “recommended best practices.</w:t>
      </w:r>
      <w:r w:rsidR="00A6257C" w:rsidRPr="00C175C1">
        <w:rPr>
          <w:rFonts w:ascii="Times New Roman" w:hAnsi="Times New Roman" w:cs="Times New Roman"/>
        </w:rPr>
        <w:t>”</w:t>
      </w:r>
      <w:r w:rsidR="00A6257C">
        <w:rPr>
          <w:rFonts w:ascii="Times New Roman" w:hAnsi="Times New Roman" w:cs="Times New Roman"/>
        </w:rPr>
        <w:t xml:space="preserve"> </w:t>
      </w:r>
      <w:r w:rsidR="00781090">
        <w:rPr>
          <w:rFonts w:ascii="Times New Roman" w:hAnsi="Times New Roman" w:cs="Times New Roman"/>
        </w:rPr>
        <w:t>The Comment should instead</w:t>
      </w:r>
      <w:r w:rsidR="00D35D70">
        <w:rPr>
          <w:rFonts w:ascii="Times New Roman" w:hAnsi="Times New Roman" w:cs="Times New Roman"/>
        </w:rPr>
        <w:t xml:space="preserve"> describe</w:t>
      </w:r>
      <w:r w:rsidR="00781090">
        <w:rPr>
          <w:rFonts w:ascii="Times New Roman" w:hAnsi="Times New Roman" w:cs="Times New Roman"/>
        </w:rPr>
        <w:t xml:space="preserve"> them as legal obligations. </w:t>
      </w:r>
    </w:p>
    <w:p w14:paraId="0F4C3A68" w14:textId="77777777" w:rsidR="00A6257C" w:rsidRDefault="00A6257C" w:rsidP="000E2113">
      <w:pPr>
        <w:spacing w:after="0" w:line="240" w:lineRule="auto"/>
        <w:jc w:val="both"/>
        <w:rPr>
          <w:rFonts w:ascii="Times New Roman" w:hAnsi="Times New Roman" w:cs="Times New Roman"/>
        </w:rPr>
      </w:pPr>
    </w:p>
    <w:p w14:paraId="6F6913E0" w14:textId="325A232D" w:rsidR="00F733AF" w:rsidRDefault="003F63F6" w:rsidP="000E2113">
      <w:pPr>
        <w:spacing w:after="0" w:line="240" w:lineRule="auto"/>
        <w:jc w:val="both"/>
        <w:rPr>
          <w:rFonts w:ascii="Times New Roman" w:hAnsi="Times New Roman" w:cs="Times New Roman"/>
        </w:rPr>
      </w:pPr>
      <w:r>
        <w:rPr>
          <w:rFonts w:ascii="Times New Roman" w:hAnsi="Times New Roman" w:cs="Times New Roman"/>
          <w:b/>
        </w:rPr>
        <w:t>5</w:t>
      </w:r>
      <w:r w:rsidRPr="00C175C1">
        <w:rPr>
          <w:rFonts w:ascii="Times New Roman" w:hAnsi="Times New Roman" w:cs="Times New Roman"/>
          <w:b/>
        </w:rPr>
        <w:t xml:space="preserve">. </w:t>
      </w:r>
      <w:r>
        <w:rPr>
          <w:rFonts w:ascii="Times New Roman" w:hAnsi="Times New Roman" w:cs="Times New Roman"/>
          <w:b/>
        </w:rPr>
        <w:t>Section III of the Comment lists measures that are part of the right to an effective remedy</w:t>
      </w:r>
      <w:r w:rsidR="009F51B8">
        <w:rPr>
          <w:rFonts w:ascii="Times New Roman" w:hAnsi="Times New Roman" w:cs="Times New Roman"/>
          <w:b/>
        </w:rPr>
        <w:t xml:space="preserve"> to prevent </w:t>
      </w:r>
      <w:proofErr w:type="spellStart"/>
      <w:r w:rsidR="009F51B8">
        <w:rPr>
          <w:rFonts w:ascii="Times New Roman" w:hAnsi="Times New Roman" w:cs="Times New Roman"/>
          <w:b/>
        </w:rPr>
        <w:t>refoulement</w:t>
      </w:r>
      <w:proofErr w:type="spellEnd"/>
      <w:r>
        <w:rPr>
          <w:rFonts w:ascii="Times New Roman" w:hAnsi="Times New Roman" w:cs="Times New Roman"/>
          <w:b/>
        </w:rPr>
        <w:t>. This section should</w:t>
      </w:r>
      <w:r w:rsidR="000A67F4">
        <w:rPr>
          <w:rFonts w:ascii="Times New Roman" w:hAnsi="Times New Roman" w:cs="Times New Roman"/>
          <w:b/>
        </w:rPr>
        <w:t xml:space="preserve"> be </w:t>
      </w:r>
      <w:r>
        <w:rPr>
          <w:rFonts w:ascii="Times New Roman" w:hAnsi="Times New Roman" w:cs="Times New Roman"/>
          <w:b/>
        </w:rPr>
        <w:t xml:space="preserve">expanded to cover the full scope of that right. </w:t>
      </w:r>
      <w:r w:rsidR="000A67F4" w:rsidRPr="000A67F4">
        <w:rPr>
          <w:rFonts w:ascii="Times New Roman" w:hAnsi="Times New Roman" w:cs="Times New Roman"/>
        </w:rPr>
        <w:t xml:space="preserve">Section III lists types of measures that the Committee has regularly regarded as </w:t>
      </w:r>
      <w:r w:rsidRPr="000A67F4">
        <w:rPr>
          <w:rFonts w:ascii="Times New Roman" w:hAnsi="Times New Roman" w:cs="Times New Roman"/>
        </w:rPr>
        <w:t xml:space="preserve">legal obligations </w:t>
      </w:r>
      <w:r w:rsidR="00A6257C" w:rsidRPr="000A67F4">
        <w:rPr>
          <w:rFonts w:ascii="Times New Roman" w:hAnsi="Times New Roman" w:cs="Times New Roman"/>
        </w:rPr>
        <w:t>under Article 3’s right to an effective remedy</w:t>
      </w:r>
      <w:r w:rsidR="002E3974">
        <w:rPr>
          <w:rFonts w:ascii="Times New Roman" w:hAnsi="Times New Roman" w:cs="Times New Roman"/>
        </w:rPr>
        <w:t xml:space="preserve"> to prevent </w:t>
      </w:r>
      <w:proofErr w:type="spellStart"/>
      <w:r w:rsidR="002E3974">
        <w:rPr>
          <w:rFonts w:ascii="Times New Roman" w:hAnsi="Times New Roman" w:cs="Times New Roman"/>
        </w:rPr>
        <w:t>refoulement</w:t>
      </w:r>
      <w:proofErr w:type="spellEnd"/>
      <w:r w:rsidRPr="000A67F4">
        <w:rPr>
          <w:rFonts w:ascii="Times New Roman" w:hAnsi="Times New Roman" w:cs="Times New Roman"/>
        </w:rPr>
        <w:t>.</w:t>
      </w:r>
      <w:r w:rsidR="00A6257C" w:rsidRPr="000A67F4">
        <w:rPr>
          <w:rFonts w:ascii="Times New Roman" w:hAnsi="Times New Roman" w:cs="Times New Roman"/>
        </w:rPr>
        <w:t xml:space="preserve"> </w:t>
      </w:r>
      <w:r w:rsidR="006142AF">
        <w:rPr>
          <w:rFonts w:ascii="Times New Roman" w:hAnsi="Times New Roman" w:cs="Times New Roman"/>
        </w:rPr>
        <w:t>Section III, therefore, should</w:t>
      </w:r>
      <w:r w:rsidR="00054DB2">
        <w:rPr>
          <w:rFonts w:ascii="Times New Roman" w:hAnsi="Times New Roman" w:cs="Times New Roman"/>
        </w:rPr>
        <w:t xml:space="preserve"> be described as such.</w:t>
      </w:r>
      <w:r w:rsidR="000A67F4">
        <w:rPr>
          <w:rFonts w:ascii="Times New Roman" w:hAnsi="Times New Roman" w:cs="Times New Roman"/>
        </w:rPr>
        <w:t xml:space="preserve"> </w:t>
      </w:r>
      <w:r w:rsidR="006142AF">
        <w:rPr>
          <w:rFonts w:ascii="Times New Roman" w:hAnsi="Times New Roman" w:cs="Times New Roman"/>
        </w:rPr>
        <w:t>However, t</w:t>
      </w:r>
      <w:r w:rsidR="000A67F4">
        <w:rPr>
          <w:rFonts w:ascii="Times New Roman" w:hAnsi="Times New Roman" w:cs="Times New Roman"/>
        </w:rPr>
        <w:t xml:space="preserve">he </w:t>
      </w:r>
      <w:r w:rsidR="00F733AF">
        <w:rPr>
          <w:rFonts w:ascii="Times New Roman" w:hAnsi="Times New Roman" w:cs="Times New Roman"/>
        </w:rPr>
        <w:t xml:space="preserve">draft Comment’s </w:t>
      </w:r>
      <w:r w:rsidR="006142AF">
        <w:rPr>
          <w:rFonts w:ascii="Times New Roman" w:hAnsi="Times New Roman" w:cs="Times New Roman"/>
        </w:rPr>
        <w:t xml:space="preserve">list is not </w:t>
      </w:r>
      <w:r w:rsidR="000A67F4">
        <w:rPr>
          <w:rFonts w:ascii="Times New Roman" w:hAnsi="Times New Roman" w:cs="Times New Roman"/>
        </w:rPr>
        <w:t>compl</w:t>
      </w:r>
      <w:r w:rsidR="00BE005A">
        <w:rPr>
          <w:rFonts w:ascii="Times New Roman" w:hAnsi="Times New Roman" w:cs="Times New Roman"/>
        </w:rPr>
        <w:t>ete and it would be disadvantage</w:t>
      </w:r>
      <w:r w:rsidR="000A67F4">
        <w:rPr>
          <w:rFonts w:ascii="Times New Roman" w:hAnsi="Times New Roman" w:cs="Times New Roman"/>
        </w:rPr>
        <w:t>ous to provide an incomplete list of what th</w:t>
      </w:r>
      <w:r w:rsidR="002E3974">
        <w:rPr>
          <w:rFonts w:ascii="Times New Roman" w:hAnsi="Times New Roman" w:cs="Times New Roman"/>
        </w:rPr>
        <w:t>is</w:t>
      </w:r>
      <w:r w:rsidR="000A67F4">
        <w:rPr>
          <w:rFonts w:ascii="Times New Roman" w:hAnsi="Times New Roman" w:cs="Times New Roman"/>
        </w:rPr>
        <w:t xml:space="preserve"> right to an effective remedy contains under Article 3.  </w:t>
      </w:r>
      <w:r w:rsidR="00702E04" w:rsidRPr="00C175C1">
        <w:rPr>
          <w:rFonts w:ascii="Times New Roman" w:hAnsi="Times New Roman" w:cs="Times New Roman"/>
        </w:rPr>
        <w:t xml:space="preserve">To </w:t>
      </w:r>
      <w:r w:rsidR="00D0719F" w:rsidRPr="00C175C1">
        <w:rPr>
          <w:rFonts w:ascii="Times New Roman" w:hAnsi="Times New Roman" w:cs="Times New Roman"/>
        </w:rPr>
        <w:t>best ensure</w:t>
      </w:r>
      <w:r w:rsidR="00702E04" w:rsidRPr="00C175C1">
        <w:rPr>
          <w:rFonts w:ascii="Times New Roman" w:hAnsi="Times New Roman" w:cs="Times New Roman"/>
        </w:rPr>
        <w:t xml:space="preserve"> c</w:t>
      </w:r>
      <w:r w:rsidR="00345C44" w:rsidRPr="00C175C1">
        <w:rPr>
          <w:rFonts w:ascii="Times New Roman" w:hAnsi="Times New Roman" w:cs="Times New Roman"/>
        </w:rPr>
        <w:t>ompliance with</w:t>
      </w:r>
      <w:r w:rsidR="000A67F4">
        <w:rPr>
          <w:rFonts w:ascii="Times New Roman" w:hAnsi="Times New Roman" w:cs="Times New Roman"/>
        </w:rPr>
        <w:t xml:space="preserve"> this right</w:t>
      </w:r>
      <w:r w:rsidR="00345C44" w:rsidRPr="00C175C1">
        <w:rPr>
          <w:rFonts w:ascii="Times New Roman" w:hAnsi="Times New Roman" w:cs="Times New Roman"/>
        </w:rPr>
        <w:t>,</w:t>
      </w:r>
      <w:r w:rsidR="00852645" w:rsidRPr="00C175C1">
        <w:rPr>
          <w:rFonts w:ascii="Times New Roman" w:hAnsi="Times New Roman" w:cs="Times New Roman"/>
        </w:rPr>
        <w:t xml:space="preserve"> </w:t>
      </w:r>
      <w:r w:rsidR="00AF24F4">
        <w:rPr>
          <w:rFonts w:ascii="Times New Roman" w:hAnsi="Times New Roman" w:cs="Times New Roman"/>
        </w:rPr>
        <w:t xml:space="preserve">the Committee should supplement paragraph 18 with its </w:t>
      </w:r>
      <w:r w:rsidR="00C13B4D">
        <w:rPr>
          <w:rFonts w:ascii="Times New Roman" w:hAnsi="Times New Roman" w:cs="Times New Roman"/>
        </w:rPr>
        <w:t>views on effective remedies contained elsewhere in the draft General Comment, in particu</w:t>
      </w:r>
      <w:r w:rsidR="00F52784">
        <w:rPr>
          <w:rFonts w:ascii="Times New Roman" w:hAnsi="Times New Roman" w:cs="Times New Roman"/>
        </w:rPr>
        <w:t>lar in paragraphs 37 and 41 – 44</w:t>
      </w:r>
      <w:r w:rsidR="00C13B4D">
        <w:rPr>
          <w:rFonts w:ascii="Times New Roman" w:hAnsi="Times New Roman" w:cs="Times New Roman"/>
        </w:rPr>
        <w:t>.</w:t>
      </w:r>
      <w:r w:rsidR="00F733AF">
        <w:rPr>
          <w:rFonts w:ascii="Times New Roman" w:hAnsi="Times New Roman" w:cs="Times New Roman"/>
        </w:rPr>
        <w:t xml:space="preserve"> </w:t>
      </w:r>
    </w:p>
    <w:p w14:paraId="1AED1C0A" w14:textId="77777777" w:rsidR="00F733AF" w:rsidRDefault="00F733AF" w:rsidP="000E2113">
      <w:pPr>
        <w:spacing w:after="0" w:line="240" w:lineRule="auto"/>
        <w:jc w:val="both"/>
        <w:rPr>
          <w:rFonts w:ascii="Times New Roman" w:hAnsi="Times New Roman" w:cs="Times New Roman"/>
        </w:rPr>
      </w:pPr>
    </w:p>
    <w:p w14:paraId="4C712375" w14:textId="6118EF8C" w:rsidR="008B2321" w:rsidRDefault="008B2321" w:rsidP="000E2113">
      <w:pPr>
        <w:spacing w:after="0" w:line="240" w:lineRule="auto"/>
        <w:jc w:val="both"/>
        <w:rPr>
          <w:rFonts w:ascii="Times New Roman" w:hAnsi="Times New Roman" w:cs="Times New Roman"/>
        </w:rPr>
      </w:pPr>
      <w:r>
        <w:rPr>
          <w:rFonts w:ascii="Times New Roman" w:hAnsi="Times New Roman" w:cs="Times New Roman"/>
        </w:rPr>
        <w:t>Additionally:</w:t>
      </w:r>
    </w:p>
    <w:p w14:paraId="239131A8" w14:textId="77777777" w:rsidR="008B2321" w:rsidRDefault="008B2321" w:rsidP="000E2113">
      <w:pPr>
        <w:spacing w:after="0" w:line="240" w:lineRule="auto"/>
        <w:jc w:val="both"/>
        <w:rPr>
          <w:rFonts w:ascii="Times New Roman" w:hAnsi="Times New Roman" w:cs="Times New Roman"/>
        </w:rPr>
      </w:pPr>
    </w:p>
    <w:p w14:paraId="6F1F1900" w14:textId="2FE3C7D0" w:rsidR="00933E08" w:rsidRPr="008B2321" w:rsidRDefault="008B2321" w:rsidP="000E2113">
      <w:pPr>
        <w:pStyle w:val="ListParagraph"/>
        <w:numPr>
          <w:ilvl w:val="0"/>
          <w:numId w:val="17"/>
        </w:numPr>
        <w:spacing w:after="0" w:line="240" w:lineRule="auto"/>
        <w:jc w:val="both"/>
        <w:rPr>
          <w:rFonts w:ascii="Times New Roman" w:hAnsi="Times New Roman" w:cs="Times New Roman"/>
        </w:rPr>
      </w:pPr>
      <w:r w:rsidRPr="008B2321">
        <w:rPr>
          <w:rFonts w:ascii="Times New Roman" w:hAnsi="Times New Roman" w:cs="Times New Roman"/>
        </w:rPr>
        <w:t>P</w:t>
      </w:r>
      <w:r w:rsidR="00193C7E" w:rsidRPr="008B2321">
        <w:rPr>
          <w:rFonts w:ascii="Times New Roman" w:hAnsi="Times New Roman" w:cs="Times New Roman"/>
        </w:rPr>
        <w:t>aragraph 18(a)</w:t>
      </w:r>
      <w:r w:rsidR="00B45379" w:rsidRPr="008B2321">
        <w:rPr>
          <w:rFonts w:ascii="Times New Roman" w:hAnsi="Times New Roman" w:cs="Times New Roman"/>
        </w:rPr>
        <w:t xml:space="preserve"> should</w:t>
      </w:r>
      <w:r w:rsidR="00536599" w:rsidRPr="008B2321">
        <w:rPr>
          <w:rFonts w:ascii="Times New Roman" w:hAnsi="Times New Roman" w:cs="Times New Roman"/>
        </w:rPr>
        <w:t xml:space="preserve"> clarify</w:t>
      </w:r>
      <w:r w:rsidR="002E32DA" w:rsidRPr="008B2321">
        <w:rPr>
          <w:rFonts w:ascii="Times New Roman" w:hAnsi="Times New Roman" w:cs="Times New Roman"/>
        </w:rPr>
        <w:t xml:space="preserve"> that</w:t>
      </w:r>
      <w:r w:rsidR="00536599" w:rsidRPr="008B2321">
        <w:rPr>
          <w:rFonts w:ascii="Times New Roman" w:hAnsi="Times New Roman" w:cs="Times New Roman"/>
        </w:rPr>
        <w:t xml:space="preserve"> </w:t>
      </w:r>
      <w:r w:rsidR="00030B8C">
        <w:rPr>
          <w:rFonts w:ascii="Times New Roman" w:hAnsi="Times New Roman" w:cs="Times New Roman"/>
        </w:rPr>
        <w:t xml:space="preserve">a </w:t>
      </w:r>
      <w:r w:rsidR="00C47C70" w:rsidRPr="008B2321">
        <w:rPr>
          <w:rFonts w:ascii="Times New Roman" w:hAnsi="Times New Roman" w:cs="Times New Roman"/>
        </w:rPr>
        <w:t>non-</w:t>
      </w:r>
      <w:proofErr w:type="spellStart"/>
      <w:r w:rsidR="00C47C70" w:rsidRPr="008B2321">
        <w:rPr>
          <w:rFonts w:ascii="Times New Roman" w:hAnsi="Times New Roman" w:cs="Times New Roman"/>
        </w:rPr>
        <w:t>refoulement</w:t>
      </w:r>
      <w:proofErr w:type="spellEnd"/>
      <w:r w:rsidR="00C47C70" w:rsidRPr="008B2321">
        <w:rPr>
          <w:rFonts w:ascii="Times New Roman" w:hAnsi="Times New Roman" w:cs="Times New Roman"/>
        </w:rPr>
        <w:t xml:space="preserve"> claim </w:t>
      </w:r>
      <w:r w:rsidR="00D53DE4">
        <w:rPr>
          <w:rFonts w:ascii="Times New Roman" w:hAnsi="Times New Roman" w:cs="Times New Roman"/>
        </w:rPr>
        <w:t>must</w:t>
      </w:r>
      <w:r w:rsidR="00193C7E" w:rsidRPr="008B2321">
        <w:rPr>
          <w:rFonts w:ascii="Times New Roman" w:hAnsi="Times New Roman" w:cs="Times New Roman"/>
        </w:rPr>
        <w:t xml:space="preserve"> be </w:t>
      </w:r>
      <w:r w:rsidR="00536599" w:rsidRPr="008B2321">
        <w:rPr>
          <w:rFonts w:ascii="Times New Roman" w:hAnsi="Times New Roman" w:cs="Times New Roman"/>
        </w:rPr>
        <w:t xml:space="preserve">examined </w:t>
      </w:r>
      <w:r w:rsidR="00193C7E" w:rsidRPr="00030B8C">
        <w:rPr>
          <w:rFonts w:ascii="Times New Roman" w:hAnsi="Times New Roman" w:cs="Times New Roman"/>
          <w:u w:val="single"/>
        </w:rPr>
        <w:t xml:space="preserve">in </w:t>
      </w:r>
      <w:r w:rsidR="00193C7E" w:rsidRPr="008B2321">
        <w:rPr>
          <w:rFonts w:ascii="Times New Roman" w:hAnsi="Times New Roman" w:cs="Times New Roman"/>
          <w:u w:val="single"/>
        </w:rPr>
        <w:t>advance of the transfer</w:t>
      </w:r>
      <w:r w:rsidR="00193C7E" w:rsidRPr="008B2321">
        <w:rPr>
          <w:rFonts w:ascii="Times New Roman" w:hAnsi="Times New Roman" w:cs="Times New Roman"/>
        </w:rPr>
        <w:t>,</w:t>
      </w:r>
      <w:r w:rsidR="00BE1D9C" w:rsidRPr="00AF24F4">
        <w:rPr>
          <w:rStyle w:val="FootnoteReference"/>
          <w:rFonts w:ascii="Times New Roman" w:hAnsi="Times New Roman" w:cs="Times New Roman"/>
        </w:rPr>
        <w:footnoteReference w:id="7"/>
      </w:r>
      <w:r w:rsidR="00193C7E" w:rsidRPr="008B2321">
        <w:rPr>
          <w:rFonts w:ascii="Times New Roman" w:hAnsi="Times New Roman" w:cs="Times New Roman"/>
        </w:rPr>
        <w:t xml:space="preserve"> </w:t>
      </w:r>
      <w:r w:rsidR="00536599" w:rsidRPr="008B2321">
        <w:rPr>
          <w:rFonts w:ascii="Times New Roman" w:hAnsi="Times New Roman" w:cs="Times New Roman"/>
        </w:rPr>
        <w:t>the examination</w:t>
      </w:r>
      <w:r w:rsidR="0080521B" w:rsidRPr="008B2321">
        <w:rPr>
          <w:rFonts w:ascii="Times New Roman" w:hAnsi="Times New Roman" w:cs="Times New Roman"/>
        </w:rPr>
        <w:t xml:space="preserve"> must be </w:t>
      </w:r>
      <w:r w:rsidR="0080521B" w:rsidRPr="008B2321">
        <w:rPr>
          <w:rFonts w:ascii="Times New Roman" w:hAnsi="Times New Roman" w:cs="Times New Roman"/>
          <w:u w:val="single"/>
        </w:rPr>
        <w:t>thorough</w:t>
      </w:r>
      <w:r w:rsidR="0080521B" w:rsidRPr="008B2321">
        <w:rPr>
          <w:rFonts w:ascii="Times New Roman" w:hAnsi="Times New Roman" w:cs="Times New Roman"/>
        </w:rPr>
        <w:t>,</w:t>
      </w:r>
      <w:r w:rsidR="0080521B" w:rsidRPr="00AF24F4">
        <w:rPr>
          <w:rStyle w:val="FootnoteReference"/>
          <w:rFonts w:ascii="Times New Roman" w:hAnsi="Times New Roman" w:cs="Times New Roman"/>
        </w:rPr>
        <w:footnoteReference w:id="8"/>
      </w:r>
      <w:r w:rsidR="00536599" w:rsidRPr="008B2321">
        <w:rPr>
          <w:rFonts w:ascii="Times New Roman" w:hAnsi="Times New Roman" w:cs="Times New Roman"/>
        </w:rPr>
        <w:t xml:space="preserve"> and it must be </w:t>
      </w:r>
      <w:r w:rsidR="00193C7E" w:rsidRPr="008B2321">
        <w:rPr>
          <w:rFonts w:ascii="Times New Roman" w:hAnsi="Times New Roman" w:cs="Times New Roman"/>
        </w:rPr>
        <w:t xml:space="preserve">conducted by </w:t>
      </w:r>
      <w:r w:rsidR="00536599" w:rsidRPr="008B2321">
        <w:rPr>
          <w:rFonts w:ascii="Times New Roman" w:hAnsi="Times New Roman" w:cs="Times New Roman"/>
        </w:rPr>
        <w:t>an</w:t>
      </w:r>
      <w:r w:rsidR="00193C7E" w:rsidRPr="008B2321">
        <w:rPr>
          <w:rFonts w:ascii="Times New Roman" w:hAnsi="Times New Roman" w:cs="Times New Roman"/>
        </w:rPr>
        <w:t xml:space="preserve"> </w:t>
      </w:r>
      <w:r w:rsidR="00193C7E" w:rsidRPr="00904538">
        <w:rPr>
          <w:rFonts w:ascii="Times New Roman" w:hAnsi="Times New Roman" w:cs="Times New Roman"/>
          <w:u w:val="single"/>
        </w:rPr>
        <w:t>effective and impartial</w:t>
      </w:r>
      <w:r w:rsidR="00AF24F4" w:rsidRPr="00AF24F4">
        <w:rPr>
          <w:rStyle w:val="FootnoteReference"/>
          <w:rFonts w:ascii="Times New Roman" w:hAnsi="Times New Roman" w:cs="Times New Roman"/>
        </w:rPr>
        <w:footnoteReference w:id="9"/>
      </w:r>
      <w:r w:rsidR="00193C7E" w:rsidRPr="008B2321">
        <w:rPr>
          <w:rFonts w:ascii="Times New Roman" w:hAnsi="Times New Roman" w:cs="Times New Roman"/>
        </w:rPr>
        <w:t xml:space="preserve"> </w:t>
      </w:r>
      <w:r w:rsidR="006E05E4" w:rsidRPr="008B2321">
        <w:rPr>
          <w:rFonts w:ascii="Times New Roman" w:hAnsi="Times New Roman" w:cs="Times New Roman"/>
        </w:rPr>
        <w:t xml:space="preserve">judicial or administrative </w:t>
      </w:r>
      <w:r w:rsidR="00193C7E" w:rsidRPr="008B2321">
        <w:rPr>
          <w:rFonts w:ascii="Times New Roman" w:hAnsi="Times New Roman" w:cs="Times New Roman"/>
        </w:rPr>
        <w:t>body</w:t>
      </w:r>
      <w:r w:rsidR="00AF24F4" w:rsidRPr="008B2321">
        <w:rPr>
          <w:rFonts w:ascii="Times New Roman" w:hAnsi="Times New Roman" w:cs="Times New Roman"/>
        </w:rPr>
        <w:t>.</w:t>
      </w:r>
      <w:r w:rsidR="003530C2" w:rsidRPr="008B2321">
        <w:rPr>
          <w:rFonts w:ascii="Times New Roman" w:eastAsia="Calibri" w:hAnsi="Times New Roman" w:cs="Times New Roman"/>
        </w:rPr>
        <w:t xml:space="preserve"> </w:t>
      </w:r>
    </w:p>
    <w:p w14:paraId="389EDE5C" w14:textId="77777777" w:rsidR="00933E08" w:rsidRDefault="00933E08" w:rsidP="000E2113">
      <w:pPr>
        <w:spacing w:after="0" w:line="240" w:lineRule="auto"/>
        <w:jc w:val="both"/>
        <w:rPr>
          <w:rFonts w:ascii="Times New Roman" w:eastAsia="Calibri" w:hAnsi="Times New Roman" w:cs="Times New Roman"/>
        </w:rPr>
      </w:pPr>
    </w:p>
    <w:p w14:paraId="56AA6E42" w14:textId="79A92144" w:rsidR="003530C2" w:rsidRPr="00863F48" w:rsidRDefault="003530C2" w:rsidP="000E2113">
      <w:pPr>
        <w:pStyle w:val="ListParagraph"/>
        <w:numPr>
          <w:ilvl w:val="0"/>
          <w:numId w:val="17"/>
        </w:numPr>
        <w:spacing w:after="0" w:line="240" w:lineRule="auto"/>
        <w:jc w:val="both"/>
        <w:rPr>
          <w:rFonts w:ascii="Arial" w:hAnsi="Arial" w:cs="Arial"/>
          <w:color w:val="000000"/>
          <w:shd w:val="clear" w:color="auto" w:fill="FFFFFF"/>
        </w:rPr>
      </w:pPr>
      <w:r w:rsidRPr="00863F48">
        <w:rPr>
          <w:rFonts w:ascii="Times New Roman" w:eastAsia="Calibri" w:hAnsi="Times New Roman" w:cs="Times New Roman"/>
        </w:rPr>
        <w:t>The Committee should recognize in paragraph 18(a) that an individual may not</w:t>
      </w:r>
      <w:r w:rsidR="003875DC" w:rsidRPr="00863F48">
        <w:rPr>
          <w:rFonts w:ascii="Times New Roman" w:eastAsia="Calibri" w:hAnsi="Times New Roman" w:cs="Times New Roman"/>
        </w:rPr>
        <w:t xml:space="preserve"> </w:t>
      </w:r>
      <w:r w:rsidRPr="00863F48">
        <w:rPr>
          <w:rFonts w:ascii="Times New Roman" w:eastAsia="Calibri" w:hAnsi="Times New Roman" w:cs="Times New Roman"/>
        </w:rPr>
        <w:t xml:space="preserve">have sufficient knowledge or awareness of the </w:t>
      </w:r>
      <w:r w:rsidR="00D35D70">
        <w:rPr>
          <w:rFonts w:ascii="Times New Roman" w:eastAsia="Calibri" w:hAnsi="Times New Roman" w:cs="Times New Roman"/>
        </w:rPr>
        <w:t>real</w:t>
      </w:r>
      <w:r w:rsidRPr="00863F48">
        <w:rPr>
          <w:rFonts w:ascii="Times New Roman" w:eastAsia="Calibri" w:hAnsi="Times New Roman" w:cs="Times New Roman"/>
        </w:rPr>
        <w:t xml:space="preserve"> risk that </w:t>
      </w:r>
      <w:r w:rsidR="00030B8C">
        <w:rPr>
          <w:rFonts w:ascii="Times New Roman" w:eastAsia="Calibri" w:hAnsi="Times New Roman" w:cs="Times New Roman"/>
        </w:rPr>
        <w:t>her</w:t>
      </w:r>
      <w:r w:rsidRPr="00863F48">
        <w:rPr>
          <w:rFonts w:ascii="Times New Roman" w:eastAsia="Calibri" w:hAnsi="Times New Roman" w:cs="Times New Roman"/>
        </w:rPr>
        <w:t xml:space="preserve"> transfer might entail or have the ability</w:t>
      </w:r>
      <w:r w:rsidR="003875DC" w:rsidRPr="00863F48">
        <w:rPr>
          <w:rFonts w:ascii="Times New Roman" w:eastAsia="Calibri" w:hAnsi="Times New Roman" w:cs="Times New Roman"/>
        </w:rPr>
        <w:t xml:space="preserve"> or willingness to </w:t>
      </w:r>
      <w:r w:rsidR="003875DC" w:rsidRPr="00863F48">
        <w:rPr>
          <w:rFonts w:ascii="Times New Roman" w:hAnsi="Times New Roman" w:cs="Times New Roman"/>
          <w:color w:val="000000"/>
          <w:shd w:val="clear" w:color="auto" w:fill="FFFFFF"/>
        </w:rPr>
        <w:t xml:space="preserve">disclose information relevant to an </w:t>
      </w:r>
      <w:r w:rsidR="00933E08" w:rsidRPr="00863F48">
        <w:rPr>
          <w:rFonts w:ascii="Times New Roman" w:hAnsi="Times New Roman" w:cs="Times New Roman"/>
          <w:color w:val="000000"/>
          <w:shd w:val="clear" w:color="auto" w:fill="FFFFFF"/>
        </w:rPr>
        <w:t xml:space="preserve">effective </w:t>
      </w:r>
      <w:r w:rsidR="003875DC" w:rsidRPr="00863F48">
        <w:rPr>
          <w:rFonts w:ascii="Times New Roman" w:hAnsi="Times New Roman" w:cs="Times New Roman"/>
          <w:color w:val="000000"/>
          <w:shd w:val="clear" w:color="auto" w:fill="FFFFFF"/>
        </w:rPr>
        <w:t xml:space="preserve">examination. </w:t>
      </w:r>
      <w:r w:rsidRPr="00863F48">
        <w:rPr>
          <w:rFonts w:ascii="Times New Roman" w:eastAsia="Calibri" w:hAnsi="Times New Roman" w:cs="Times New Roman"/>
        </w:rPr>
        <w:t>For that reason,</w:t>
      </w:r>
      <w:r w:rsidR="003875DC" w:rsidRPr="00863F48">
        <w:rPr>
          <w:rFonts w:ascii="Times New Roman" w:hAnsi="Times New Roman" w:cs="Times New Roman"/>
          <w:color w:val="000000"/>
          <w:shd w:val="clear" w:color="auto" w:fill="FFFFFF"/>
        </w:rPr>
        <w:t xml:space="preserve"> </w:t>
      </w:r>
      <w:r w:rsidR="00863F48">
        <w:rPr>
          <w:rFonts w:ascii="Times New Roman" w:hAnsi="Times New Roman" w:cs="Times New Roman"/>
          <w:color w:val="000000"/>
          <w:shd w:val="clear" w:color="auto" w:fill="FFFFFF"/>
        </w:rPr>
        <w:t>the Commi</w:t>
      </w:r>
      <w:r w:rsidR="00D35D70">
        <w:rPr>
          <w:rFonts w:ascii="Times New Roman" w:hAnsi="Times New Roman" w:cs="Times New Roman"/>
          <w:color w:val="000000"/>
          <w:shd w:val="clear" w:color="auto" w:fill="FFFFFF"/>
        </w:rPr>
        <w:t>ttee might consider adopting an</w:t>
      </w:r>
      <w:r w:rsidR="00863F48">
        <w:rPr>
          <w:rFonts w:ascii="Times New Roman" w:hAnsi="Times New Roman" w:cs="Times New Roman"/>
          <w:color w:val="000000"/>
          <w:shd w:val="clear" w:color="auto" w:fill="FFFFFF"/>
        </w:rPr>
        <w:t xml:space="preserve"> approach </w:t>
      </w:r>
      <w:r w:rsidR="00D35D70">
        <w:rPr>
          <w:rFonts w:ascii="Times New Roman" w:hAnsi="Times New Roman" w:cs="Times New Roman"/>
          <w:color w:val="000000"/>
          <w:shd w:val="clear" w:color="auto" w:fill="FFFFFF"/>
        </w:rPr>
        <w:t xml:space="preserve">similar to </w:t>
      </w:r>
      <w:r w:rsidR="00863F48">
        <w:rPr>
          <w:rFonts w:ascii="Times New Roman" w:hAnsi="Times New Roman" w:cs="Times New Roman"/>
          <w:color w:val="000000"/>
          <w:shd w:val="clear" w:color="auto" w:fill="FFFFFF"/>
        </w:rPr>
        <w:t xml:space="preserve">the </w:t>
      </w:r>
      <w:r w:rsidR="00D35D70">
        <w:rPr>
          <w:rFonts w:ascii="Times New Roman" w:hAnsi="Times New Roman" w:cs="Times New Roman"/>
          <w:color w:val="000000"/>
          <w:shd w:val="clear" w:color="auto" w:fill="FFFFFF"/>
        </w:rPr>
        <w:t>European Court of Human Rights and</w:t>
      </w:r>
      <w:r w:rsidR="00863F48">
        <w:rPr>
          <w:rFonts w:ascii="Times New Roman" w:hAnsi="Times New Roman" w:cs="Times New Roman"/>
          <w:color w:val="000000"/>
          <w:shd w:val="clear" w:color="auto" w:fill="FFFFFF"/>
        </w:rPr>
        <w:t xml:space="preserve"> </w:t>
      </w:r>
      <w:r w:rsidR="00D35D70">
        <w:rPr>
          <w:rFonts w:ascii="Times New Roman" w:hAnsi="Times New Roman" w:cs="Times New Roman"/>
          <w:color w:val="000000"/>
          <w:shd w:val="clear" w:color="auto" w:fill="FFFFFF"/>
        </w:rPr>
        <w:t>hold</w:t>
      </w:r>
      <w:r w:rsidR="00863F48">
        <w:rPr>
          <w:rFonts w:ascii="Times New Roman" w:hAnsi="Times New Roman" w:cs="Times New Roman"/>
          <w:color w:val="000000"/>
          <w:shd w:val="clear" w:color="auto" w:fill="FFFFFF"/>
        </w:rPr>
        <w:t xml:space="preserve"> that when a</w:t>
      </w:r>
      <w:r w:rsidR="00933E08" w:rsidRPr="00863F48">
        <w:rPr>
          <w:rFonts w:ascii="Times New Roman" w:hAnsi="Times New Roman" w:cs="Times New Roman"/>
          <w:color w:val="000000"/>
          <w:shd w:val="clear" w:color="auto" w:fill="FFFFFF"/>
        </w:rPr>
        <w:t xml:space="preserve"> </w:t>
      </w:r>
      <w:r w:rsidR="003875DC" w:rsidRPr="00863F48">
        <w:rPr>
          <w:rFonts w:ascii="Times New Roman" w:hAnsi="Times New Roman" w:cs="Times New Roman"/>
          <w:color w:val="000000"/>
          <w:shd w:val="clear" w:color="auto" w:fill="FFFFFF"/>
        </w:rPr>
        <w:t xml:space="preserve">State </w:t>
      </w:r>
      <w:r w:rsidR="00933E08" w:rsidRPr="00863F48">
        <w:rPr>
          <w:rFonts w:ascii="Times New Roman" w:hAnsi="Times New Roman" w:cs="Times New Roman"/>
          <w:color w:val="000000"/>
          <w:shd w:val="clear" w:color="auto" w:fill="FFFFFF"/>
        </w:rPr>
        <w:t xml:space="preserve">is made aware of facts </w:t>
      </w:r>
      <w:r w:rsidR="003875DC" w:rsidRPr="00863F48">
        <w:rPr>
          <w:rFonts w:ascii="Times New Roman" w:hAnsi="Times New Roman" w:cs="Times New Roman"/>
          <w:color w:val="000000"/>
          <w:shd w:val="clear" w:color="auto" w:fill="FFFFFF"/>
        </w:rPr>
        <w:t>that cou</w:t>
      </w:r>
      <w:r w:rsidR="00933E08" w:rsidRPr="00863F48">
        <w:rPr>
          <w:rFonts w:ascii="Times New Roman" w:hAnsi="Times New Roman" w:cs="Times New Roman"/>
          <w:color w:val="000000"/>
          <w:shd w:val="clear" w:color="auto" w:fill="FFFFFF"/>
        </w:rPr>
        <w:t>ld expose an individual</w:t>
      </w:r>
      <w:r w:rsidR="003875DC" w:rsidRPr="00863F48">
        <w:rPr>
          <w:rFonts w:ascii="Times New Roman" w:hAnsi="Times New Roman" w:cs="Times New Roman"/>
          <w:color w:val="000000"/>
          <w:shd w:val="clear" w:color="auto" w:fill="FFFFFF"/>
        </w:rPr>
        <w:t xml:space="preserve"> to a risk of </w:t>
      </w:r>
      <w:r w:rsidR="00933E08" w:rsidRPr="00863F48">
        <w:rPr>
          <w:rFonts w:ascii="Times New Roman" w:hAnsi="Times New Roman" w:cs="Times New Roman"/>
          <w:color w:val="000000"/>
          <w:shd w:val="clear" w:color="auto" w:fill="FFFFFF"/>
        </w:rPr>
        <w:t xml:space="preserve">transfer, </w:t>
      </w:r>
      <w:r w:rsidR="00933E08" w:rsidRPr="00863F48">
        <w:rPr>
          <w:rFonts w:ascii="Times New Roman" w:hAnsi="Times New Roman" w:cs="Times New Roman"/>
        </w:rPr>
        <w:t xml:space="preserve">including but not limited </w:t>
      </w:r>
      <w:r w:rsidR="00D35D70">
        <w:rPr>
          <w:rFonts w:ascii="Times New Roman" w:hAnsi="Times New Roman" w:cs="Times New Roman"/>
        </w:rPr>
        <w:t xml:space="preserve">to </w:t>
      </w:r>
      <w:r w:rsidR="00933E08" w:rsidRPr="00863F48">
        <w:rPr>
          <w:rFonts w:ascii="Times New Roman" w:hAnsi="Times New Roman" w:cs="Times New Roman"/>
        </w:rPr>
        <w:t>knowledge of a pattern of gross, flagrant</w:t>
      </w:r>
      <w:r w:rsidR="00D35D70">
        <w:rPr>
          <w:rFonts w:ascii="Times New Roman" w:hAnsi="Times New Roman" w:cs="Times New Roman"/>
        </w:rPr>
        <w:t>,</w:t>
      </w:r>
      <w:r w:rsidR="00933E08" w:rsidRPr="00863F48">
        <w:rPr>
          <w:rFonts w:ascii="Times New Roman" w:hAnsi="Times New Roman" w:cs="Times New Roman"/>
        </w:rPr>
        <w:t xml:space="preserve"> or mass violations of human rights in the destination country,</w:t>
      </w:r>
      <w:r w:rsidR="00EE0510">
        <w:rPr>
          <w:rFonts w:ascii="Times New Roman" w:hAnsi="Times New Roman" w:cs="Times New Roman"/>
        </w:rPr>
        <w:t xml:space="preserve"> it</w:t>
      </w:r>
      <w:r w:rsidR="00933E08" w:rsidRPr="00863F48">
        <w:rPr>
          <w:rFonts w:ascii="Times New Roman" w:hAnsi="Times New Roman" w:cs="Times New Roman"/>
          <w:color w:val="000000"/>
          <w:shd w:val="clear" w:color="auto" w:fill="FFFFFF"/>
        </w:rPr>
        <w:t xml:space="preserve"> must </w:t>
      </w:r>
      <w:r w:rsidR="003875DC" w:rsidRPr="00863F48">
        <w:rPr>
          <w:rFonts w:ascii="Times New Roman" w:hAnsi="Times New Roman" w:cs="Times New Roman"/>
          <w:color w:val="000000"/>
          <w:shd w:val="clear" w:color="auto" w:fill="FFFFFF"/>
        </w:rPr>
        <w:t xml:space="preserve">carry out an assessment of that </w:t>
      </w:r>
      <w:r w:rsidR="00933E08" w:rsidRPr="00863F48">
        <w:rPr>
          <w:rFonts w:ascii="Times New Roman" w:hAnsi="Times New Roman" w:cs="Times New Roman"/>
          <w:color w:val="000000"/>
          <w:shd w:val="clear" w:color="auto" w:fill="FFFFFF"/>
        </w:rPr>
        <w:t>information</w:t>
      </w:r>
      <w:r w:rsidR="00D35D70">
        <w:rPr>
          <w:rFonts w:ascii="Times New Roman" w:hAnsi="Times New Roman" w:cs="Times New Roman"/>
          <w:color w:val="000000"/>
          <w:shd w:val="clear" w:color="auto" w:fill="FFFFFF"/>
        </w:rPr>
        <w:t xml:space="preserve"> of</w:t>
      </w:r>
      <w:r w:rsidR="003875DC" w:rsidRPr="00863F48">
        <w:rPr>
          <w:rFonts w:ascii="Times New Roman" w:hAnsi="Times New Roman" w:cs="Times New Roman"/>
          <w:color w:val="000000"/>
          <w:shd w:val="clear" w:color="auto" w:fill="FFFFFF"/>
        </w:rPr>
        <w:t xml:space="preserve"> </w:t>
      </w:r>
      <w:r w:rsidR="00933E08" w:rsidRPr="00863F48">
        <w:rPr>
          <w:rFonts w:ascii="Times New Roman" w:hAnsi="Times New Roman" w:cs="Times New Roman"/>
          <w:color w:val="000000"/>
          <w:shd w:val="clear" w:color="auto" w:fill="FFFFFF"/>
        </w:rPr>
        <w:t xml:space="preserve">its </w:t>
      </w:r>
      <w:r w:rsidR="003875DC" w:rsidRPr="00863F48">
        <w:rPr>
          <w:rFonts w:ascii="Times New Roman" w:hAnsi="Times New Roman" w:cs="Times New Roman"/>
          <w:color w:val="000000"/>
          <w:shd w:val="clear" w:color="auto" w:fill="FFFFFF"/>
        </w:rPr>
        <w:t>own motion.</w:t>
      </w:r>
      <w:r w:rsidR="00933E08" w:rsidRPr="00933E08">
        <w:rPr>
          <w:rStyle w:val="FootnoteReference"/>
          <w:rFonts w:ascii="Times New Roman" w:hAnsi="Times New Roman" w:cs="Times New Roman"/>
        </w:rPr>
        <w:footnoteReference w:id="10"/>
      </w:r>
    </w:p>
    <w:p w14:paraId="7E9912FB" w14:textId="77777777" w:rsidR="003530C2" w:rsidRDefault="003530C2" w:rsidP="000E2113">
      <w:pPr>
        <w:spacing w:after="0" w:line="240" w:lineRule="auto"/>
        <w:jc w:val="both"/>
        <w:rPr>
          <w:rFonts w:ascii="Times New Roman" w:eastAsia="Calibri" w:hAnsi="Times New Roman" w:cs="Times New Roman"/>
        </w:rPr>
      </w:pPr>
    </w:p>
    <w:p w14:paraId="3330E741" w14:textId="585B0443" w:rsidR="008B2321" w:rsidRPr="008B2321" w:rsidRDefault="00BE1D9C" w:rsidP="000E2113">
      <w:pPr>
        <w:pStyle w:val="ListParagraph"/>
        <w:numPr>
          <w:ilvl w:val="0"/>
          <w:numId w:val="17"/>
        </w:numPr>
        <w:spacing w:after="0" w:line="240" w:lineRule="auto"/>
        <w:jc w:val="both"/>
        <w:rPr>
          <w:rFonts w:ascii="Times New Roman" w:hAnsi="Times New Roman" w:cs="Times New Roman"/>
        </w:rPr>
      </w:pPr>
      <w:r w:rsidRPr="008B2321">
        <w:rPr>
          <w:rFonts w:ascii="Times New Roman" w:eastAsia="Calibri" w:hAnsi="Times New Roman" w:cs="Times New Roman"/>
        </w:rPr>
        <w:t xml:space="preserve">Paragraph 18(e) should clarify that the appeal procedure must </w:t>
      </w:r>
      <w:r w:rsidR="008B2321" w:rsidRPr="008B2321">
        <w:rPr>
          <w:rFonts w:ascii="Times New Roman" w:eastAsia="Calibri" w:hAnsi="Times New Roman" w:cs="Times New Roman"/>
        </w:rPr>
        <w:t xml:space="preserve">be </w:t>
      </w:r>
      <w:r w:rsidR="008B2321" w:rsidRPr="008B2321">
        <w:rPr>
          <w:rFonts w:ascii="Times New Roman" w:eastAsia="Calibri" w:hAnsi="Times New Roman" w:cs="Times New Roman"/>
          <w:i/>
        </w:rPr>
        <w:t>judicial</w:t>
      </w:r>
      <w:r w:rsidR="008B2321">
        <w:rPr>
          <w:rStyle w:val="FootnoteReference"/>
          <w:rFonts w:ascii="Times New Roman" w:hAnsi="Times New Roman" w:cs="Times New Roman"/>
        </w:rPr>
        <w:footnoteReference w:id="11"/>
      </w:r>
      <w:r w:rsidR="008B2321" w:rsidRPr="008B2321">
        <w:rPr>
          <w:rFonts w:ascii="Times New Roman" w:eastAsia="Calibri" w:hAnsi="Times New Roman" w:cs="Times New Roman"/>
        </w:rPr>
        <w:t xml:space="preserve"> and </w:t>
      </w:r>
      <w:r w:rsidRPr="008B2321">
        <w:rPr>
          <w:rFonts w:ascii="Times New Roman" w:eastAsia="Calibri" w:hAnsi="Times New Roman" w:cs="Times New Roman"/>
        </w:rPr>
        <w:t xml:space="preserve">include the ability </w:t>
      </w:r>
      <w:r w:rsidR="0080521B" w:rsidRPr="008B2321">
        <w:rPr>
          <w:rFonts w:ascii="Times New Roman" w:eastAsia="Calibri" w:hAnsi="Times New Roman" w:cs="Times New Roman"/>
        </w:rPr>
        <w:t>to</w:t>
      </w:r>
      <w:r w:rsidRPr="008B2321">
        <w:rPr>
          <w:rFonts w:ascii="Times New Roman" w:eastAsia="Calibri" w:hAnsi="Times New Roman" w:cs="Times New Roman"/>
        </w:rPr>
        <w:t xml:space="preserve"> review the legality of the transfer on </w:t>
      </w:r>
      <w:r w:rsidR="006E05E4" w:rsidRPr="008B2321">
        <w:rPr>
          <w:rFonts w:ascii="Times New Roman" w:eastAsia="Calibri" w:hAnsi="Times New Roman" w:cs="Times New Roman"/>
        </w:rPr>
        <w:t>substantive and procedural grounds</w:t>
      </w:r>
      <w:r w:rsidRPr="008B2321">
        <w:rPr>
          <w:rFonts w:ascii="Times New Roman" w:eastAsia="Calibri" w:hAnsi="Times New Roman" w:cs="Times New Roman"/>
        </w:rPr>
        <w:t>.</w:t>
      </w:r>
      <w:r w:rsidR="006E05E4" w:rsidRPr="00C175C1">
        <w:rPr>
          <w:rStyle w:val="FootnoteReference"/>
          <w:rFonts w:ascii="Times New Roman" w:eastAsia="Calibri" w:hAnsi="Times New Roman" w:cs="Times New Roman"/>
        </w:rPr>
        <w:footnoteReference w:id="12"/>
      </w:r>
      <w:r w:rsidR="00B45379" w:rsidRPr="008B2321">
        <w:rPr>
          <w:rFonts w:ascii="Times New Roman" w:hAnsi="Times New Roman" w:cs="Times New Roman"/>
        </w:rPr>
        <w:t xml:space="preserve"> </w:t>
      </w:r>
    </w:p>
    <w:p w14:paraId="52A427D6" w14:textId="77777777" w:rsidR="003530C2" w:rsidRDefault="003530C2" w:rsidP="000E2113">
      <w:pPr>
        <w:pStyle w:val="SingleTxtG"/>
        <w:ind w:left="0"/>
        <w:rPr>
          <w:rFonts w:eastAsia="Calibri"/>
          <w:sz w:val="22"/>
          <w:szCs w:val="22"/>
        </w:rPr>
      </w:pPr>
    </w:p>
    <w:p w14:paraId="02F5FB69" w14:textId="079933FE" w:rsidR="002E32DA" w:rsidRPr="00C13B4D" w:rsidRDefault="00BE1D9C" w:rsidP="000E2113">
      <w:pPr>
        <w:pStyle w:val="SingleTxtG"/>
        <w:ind w:left="0"/>
        <w:rPr>
          <w:rFonts w:eastAsia="Calibri"/>
        </w:rPr>
      </w:pPr>
      <w:r w:rsidRPr="00AF24F4">
        <w:rPr>
          <w:rFonts w:eastAsia="Calibri"/>
          <w:sz w:val="22"/>
          <w:szCs w:val="22"/>
        </w:rPr>
        <w:t xml:space="preserve">In addition, the Committee should clarify </w:t>
      </w:r>
      <w:r w:rsidR="00B45379" w:rsidRPr="00AF24F4">
        <w:rPr>
          <w:rFonts w:eastAsia="Calibri"/>
          <w:sz w:val="22"/>
          <w:szCs w:val="22"/>
        </w:rPr>
        <w:t xml:space="preserve">under paragraph 18 </w:t>
      </w:r>
      <w:r w:rsidR="00536599" w:rsidRPr="00AF24F4">
        <w:rPr>
          <w:rFonts w:eastAsia="Calibri"/>
          <w:sz w:val="22"/>
          <w:szCs w:val="22"/>
        </w:rPr>
        <w:t xml:space="preserve">that </w:t>
      </w:r>
      <w:r w:rsidR="00AF24F4" w:rsidRPr="00AF24F4">
        <w:rPr>
          <w:rFonts w:eastAsia="Calibri"/>
          <w:sz w:val="22"/>
          <w:szCs w:val="22"/>
        </w:rPr>
        <w:t xml:space="preserve">States </w:t>
      </w:r>
      <w:r w:rsidR="00536599" w:rsidRPr="00AF24F4">
        <w:rPr>
          <w:rFonts w:eastAsia="Calibri"/>
          <w:sz w:val="22"/>
          <w:szCs w:val="22"/>
        </w:rPr>
        <w:t>have the following</w:t>
      </w:r>
      <w:r w:rsidR="008B2321">
        <w:rPr>
          <w:rFonts w:eastAsia="Calibri"/>
          <w:sz w:val="22"/>
          <w:szCs w:val="22"/>
        </w:rPr>
        <w:t xml:space="preserve"> </w:t>
      </w:r>
      <w:r w:rsidR="00536599" w:rsidRPr="00AF24F4">
        <w:rPr>
          <w:rFonts w:eastAsia="Calibri"/>
          <w:sz w:val="22"/>
          <w:szCs w:val="22"/>
        </w:rPr>
        <w:t>obligations:</w:t>
      </w:r>
      <w:r w:rsidRPr="00AF24F4">
        <w:rPr>
          <w:rFonts w:eastAsia="Calibri"/>
          <w:sz w:val="22"/>
          <w:szCs w:val="22"/>
        </w:rPr>
        <w:t xml:space="preserve"> </w:t>
      </w:r>
    </w:p>
    <w:p w14:paraId="697B1D6D" w14:textId="615EFA8A" w:rsidR="00C175C1" w:rsidRPr="008B2321" w:rsidRDefault="00C175C1" w:rsidP="000E2113">
      <w:pPr>
        <w:pStyle w:val="SingleTxtG"/>
        <w:numPr>
          <w:ilvl w:val="0"/>
          <w:numId w:val="18"/>
        </w:numPr>
        <w:rPr>
          <w:rFonts w:eastAsia="Calibri"/>
        </w:rPr>
      </w:pPr>
      <w:r w:rsidRPr="008B2321">
        <w:rPr>
          <w:i/>
          <w:sz w:val="22"/>
          <w:szCs w:val="22"/>
          <w:u w:val="single"/>
        </w:rPr>
        <w:t>Notification</w:t>
      </w:r>
      <w:r w:rsidR="00AF24F4" w:rsidRPr="008B2321">
        <w:rPr>
          <w:i/>
          <w:sz w:val="22"/>
          <w:szCs w:val="22"/>
          <w:u w:val="single"/>
        </w:rPr>
        <w:t xml:space="preserve"> of rights</w:t>
      </w:r>
      <w:r w:rsidRPr="008B2321">
        <w:rPr>
          <w:i/>
          <w:sz w:val="22"/>
          <w:szCs w:val="22"/>
          <w:u w:val="single"/>
        </w:rPr>
        <w:t>:</w:t>
      </w:r>
      <w:r w:rsidRPr="008B2321">
        <w:rPr>
          <w:sz w:val="22"/>
          <w:szCs w:val="22"/>
        </w:rPr>
        <w:t xml:space="preserve"> A person must be p</w:t>
      </w:r>
      <w:r w:rsidRPr="008B2321">
        <w:rPr>
          <w:color w:val="000000"/>
          <w:sz w:val="22"/>
          <w:szCs w:val="22"/>
        </w:rPr>
        <w:t xml:space="preserve">romptly informed </w:t>
      </w:r>
      <w:r w:rsidRPr="008B2321">
        <w:rPr>
          <w:sz w:val="22"/>
          <w:szCs w:val="22"/>
        </w:rPr>
        <w:t xml:space="preserve">of </w:t>
      </w:r>
      <w:r w:rsidR="00D0057B">
        <w:rPr>
          <w:sz w:val="22"/>
          <w:szCs w:val="22"/>
        </w:rPr>
        <w:t>her</w:t>
      </w:r>
      <w:r w:rsidRPr="008B2321">
        <w:rPr>
          <w:sz w:val="22"/>
          <w:szCs w:val="22"/>
        </w:rPr>
        <w:t xml:space="preserve"> rights to challenge a transfer decision in a language </w:t>
      </w:r>
      <w:r w:rsidR="00D0057B">
        <w:rPr>
          <w:sz w:val="22"/>
          <w:szCs w:val="22"/>
        </w:rPr>
        <w:t>she</w:t>
      </w:r>
      <w:r w:rsidRPr="008B2321">
        <w:rPr>
          <w:sz w:val="22"/>
          <w:szCs w:val="22"/>
        </w:rPr>
        <w:t xml:space="preserve"> understand</w:t>
      </w:r>
      <w:r w:rsidR="00D0057B">
        <w:rPr>
          <w:sz w:val="22"/>
          <w:szCs w:val="22"/>
        </w:rPr>
        <w:t>s</w:t>
      </w:r>
      <w:r w:rsidRPr="008B2321">
        <w:rPr>
          <w:sz w:val="22"/>
          <w:szCs w:val="22"/>
        </w:rPr>
        <w:t>.</w:t>
      </w:r>
      <w:r w:rsidRPr="008B2321">
        <w:rPr>
          <w:rStyle w:val="FootnoteReference"/>
          <w:sz w:val="22"/>
          <w:szCs w:val="22"/>
        </w:rPr>
        <w:footnoteReference w:id="13"/>
      </w:r>
    </w:p>
    <w:p w14:paraId="4F19E60B" w14:textId="0B8834DC" w:rsidR="008B5B18" w:rsidRPr="008B2321" w:rsidRDefault="00D53DE4" w:rsidP="000E2113">
      <w:pPr>
        <w:pStyle w:val="ListParagraph"/>
        <w:numPr>
          <w:ilvl w:val="0"/>
          <w:numId w:val="18"/>
        </w:numPr>
        <w:spacing w:after="0" w:line="240" w:lineRule="auto"/>
        <w:jc w:val="both"/>
        <w:rPr>
          <w:rFonts w:ascii="Times New Roman" w:hAnsi="Times New Roman" w:cs="Times New Roman"/>
        </w:rPr>
      </w:pPr>
      <w:r>
        <w:rPr>
          <w:rFonts w:ascii="Times New Roman" w:eastAsia="Calibri" w:hAnsi="Times New Roman" w:cs="Times New Roman"/>
          <w:i/>
          <w:u w:val="single"/>
        </w:rPr>
        <w:t>Adequate time and facilities:</w:t>
      </w:r>
      <w:r>
        <w:rPr>
          <w:rFonts w:ascii="Times New Roman" w:eastAsia="Calibri" w:hAnsi="Times New Roman" w:cs="Times New Roman"/>
          <w:i/>
        </w:rPr>
        <w:t xml:space="preserve"> </w:t>
      </w:r>
      <w:r w:rsidR="008B5B18" w:rsidRPr="008B2321">
        <w:rPr>
          <w:rFonts w:ascii="Times New Roman" w:hAnsi="Times New Roman" w:cs="Times New Roman"/>
        </w:rPr>
        <w:t>Those making a non-</w:t>
      </w:r>
      <w:proofErr w:type="spellStart"/>
      <w:r w:rsidR="008B5B18" w:rsidRPr="008B2321">
        <w:rPr>
          <w:rFonts w:ascii="Times New Roman" w:hAnsi="Times New Roman" w:cs="Times New Roman"/>
        </w:rPr>
        <w:t>refoulement</w:t>
      </w:r>
      <w:proofErr w:type="spellEnd"/>
      <w:r w:rsidR="008B5B18" w:rsidRPr="008B2321">
        <w:rPr>
          <w:rFonts w:ascii="Times New Roman" w:hAnsi="Times New Roman" w:cs="Times New Roman"/>
        </w:rPr>
        <w:t xml:space="preserve"> claim </w:t>
      </w:r>
      <w:r>
        <w:rPr>
          <w:rFonts w:ascii="Times New Roman" w:hAnsi="Times New Roman" w:cs="Times New Roman"/>
        </w:rPr>
        <w:t>must</w:t>
      </w:r>
      <w:r w:rsidR="008B5B18" w:rsidRPr="008B2321">
        <w:rPr>
          <w:rFonts w:ascii="Times New Roman" w:hAnsi="Times New Roman" w:cs="Times New Roman"/>
        </w:rPr>
        <w:t xml:space="preserve"> </w:t>
      </w:r>
      <w:r w:rsidR="00AF24F4" w:rsidRPr="008B2321">
        <w:rPr>
          <w:rFonts w:ascii="Times New Roman" w:hAnsi="Times New Roman" w:cs="Times New Roman"/>
        </w:rPr>
        <w:t xml:space="preserve">have </w:t>
      </w:r>
      <w:r w:rsidR="008B5B18" w:rsidRPr="008B2321">
        <w:rPr>
          <w:rFonts w:ascii="Times New Roman" w:hAnsi="Times New Roman" w:cs="Times New Roman"/>
        </w:rPr>
        <w:t xml:space="preserve">the right to access information and provide evidence that supports </w:t>
      </w:r>
      <w:proofErr w:type="spellStart"/>
      <w:r w:rsidR="008B5B18" w:rsidRPr="008B2321">
        <w:rPr>
          <w:rFonts w:ascii="Times New Roman" w:hAnsi="Times New Roman" w:cs="Times New Roman"/>
        </w:rPr>
        <w:t>refoulement</w:t>
      </w:r>
      <w:proofErr w:type="spellEnd"/>
      <w:r w:rsidR="008B5B18" w:rsidRPr="008B2321">
        <w:rPr>
          <w:rFonts w:ascii="Times New Roman" w:hAnsi="Times New Roman" w:cs="Times New Roman"/>
        </w:rPr>
        <w:t xml:space="preserve"> concerns (including information about gross human rights violations).</w:t>
      </w:r>
      <w:r w:rsidR="008B5B18" w:rsidRPr="008B2321">
        <w:rPr>
          <w:rStyle w:val="FootnoteReference"/>
          <w:rFonts w:ascii="Times New Roman" w:hAnsi="Times New Roman" w:cs="Times New Roman"/>
        </w:rPr>
        <w:footnoteReference w:id="14"/>
      </w:r>
      <w:r w:rsidR="008B5B18" w:rsidRPr="008B2321">
        <w:rPr>
          <w:rFonts w:ascii="Times New Roman" w:hAnsi="Times New Roman" w:cs="Times New Roman"/>
        </w:rPr>
        <w:t xml:space="preserve"> The individual should also be provided with the right to examine and challenge evidence that disputes </w:t>
      </w:r>
      <w:r w:rsidR="00D0057B">
        <w:rPr>
          <w:rFonts w:ascii="Times New Roman" w:hAnsi="Times New Roman" w:cs="Times New Roman"/>
        </w:rPr>
        <w:t xml:space="preserve">her </w:t>
      </w:r>
      <w:proofErr w:type="spellStart"/>
      <w:r w:rsidR="008B5B18" w:rsidRPr="008B2321">
        <w:rPr>
          <w:rFonts w:ascii="Times New Roman" w:hAnsi="Times New Roman" w:cs="Times New Roman"/>
        </w:rPr>
        <w:t>refoulement</w:t>
      </w:r>
      <w:proofErr w:type="spellEnd"/>
      <w:r w:rsidR="008B5B18" w:rsidRPr="008B2321">
        <w:rPr>
          <w:rFonts w:ascii="Times New Roman" w:hAnsi="Times New Roman" w:cs="Times New Roman"/>
        </w:rPr>
        <w:t xml:space="preserve"> claim.</w:t>
      </w:r>
      <w:r w:rsidR="008B5B18" w:rsidRPr="008B2321">
        <w:rPr>
          <w:rStyle w:val="FootnoteReference"/>
          <w:rFonts w:ascii="Times New Roman" w:hAnsi="Times New Roman" w:cs="Times New Roman"/>
        </w:rPr>
        <w:footnoteReference w:id="15"/>
      </w:r>
    </w:p>
    <w:p w14:paraId="6E4E0A34" w14:textId="77777777" w:rsidR="00734AED" w:rsidRPr="008B2321" w:rsidRDefault="00734AED" w:rsidP="000E2113">
      <w:pPr>
        <w:spacing w:after="0" w:line="240" w:lineRule="auto"/>
        <w:jc w:val="both"/>
        <w:rPr>
          <w:rFonts w:ascii="Times New Roman" w:hAnsi="Times New Roman" w:cs="Times New Roman"/>
          <w:i/>
        </w:rPr>
      </w:pPr>
    </w:p>
    <w:p w14:paraId="54A123E7" w14:textId="6A91EB62" w:rsidR="00C47C70" w:rsidRPr="008B2321" w:rsidRDefault="002E32DA" w:rsidP="000E2113">
      <w:pPr>
        <w:pStyle w:val="ListParagraph"/>
        <w:numPr>
          <w:ilvl w:val="0"/>
          <w:numId w:val="18"/>
        </w:numPr>
        <w:spacing w:after="0" w:line="240" w:lineRule="auto"/>
        <w:jc w:val="both"/>
        <w:rPr>
          <w:rFonts w:ascii="Times New Roman" w:eastAsia="Calibri" w:hAnsi="Times New Roman" w:cs="Times New Roman"/>
        </w:rPr>
      </w:pPr>
      <w:r w:rsidRPr="008B2321">
        <w:rPr>
          <w:rFonts w:ascii="Times New Roman" w:hAnsi="Times New Roman" w:cs="Times New Roman"/>
          <w:i/>
          <w:u w:val="single"/>
        </w:rPr>
        <w:t>Notification of decision:</w:t>
      </w:r>
      <w:r w:rsidRPr="008B2321">
        <w:rPr>
          <w:rFonts w:ascii="Times New Roman" w:hAnsi="Times New Roman" w:cs="Times New Roman"/>
        </w:rPr>
        <w:t xml:space="preserve"> </w:t>
      </w:r>
      <w:r w:rsidR="00C47C70" w:rsidRPr="008B2321">
        <w:rPr>
          <w:rFonts w:ascii="Times New Roman" w:hAnsi="Times New Roman" w:cs="Times New Roman"/>
        </w:rPr>
        <w:t>An individual must be</w:t>
      </w:r>
      <w:r w:rsidR="00C47C70" w:rsidRPr="008B2321">
        <w:rPr>
          <w:rFonts w:ascii="Times New Roman" w:eastAsia="Calibri" w:hAnsi="Times New Roman" w:cs="Times New Roman"/>
        </w:rPr>
        <w:t xml:space="preserve"> provided with a decision and reasons for the decision to transfer or not to transfer in a language they understand.</w:t>
      </w:r>
      <w:r w:rsidR="00C47C70" w:rsidRPr="008B2321">
        <w:rPr>
          <w:rStyle w:val="FootnoteReference"/>
          <w:rFonts w:ascii="Times New Roman" w:eastAsia="Calibri" w:hAnsi="Times New Roman" w:cs="Times New Roman"/>
        </w:rPr>
        <w:footnoteReference w:id="16"/>
      </w:r>
    </w:p>
    <w:p w14:paraId="263183FC" w14:textId="77777777" w:rsidR="00C47C70" w:rsidRPr="008B2321" w:rsidRDefault="00C47C70" w:rsidP="000E2113">
      <w:pPr>
        <w:spacing w:after="0" w:line="240" w:lineRule="auto"/>
        <w:jc w:val="both"/>
        <w:rPr>
          <w:rFonts w:ascii="Times New Roman" w:hAnsi="Times New Roman" w:cs="Times New Roman"/>
          <w:i/>
        </w:rPr>
      </w:pPr>
    </w:p>
    <w:p w14:paraId="248E012B" w14:textId="0E84B204" w:rsidR="00C47C70" w:rsidRPr="008B2321" w:rsidRDefault="00C47C70" w:rsidP="000E2113">
      <w:pPr>
        <w:pStyle w:val="ListParagraph"/>
        <w:numPr>
          <w:ilvl w:val="0"/>
          <w:numId w:val="18"/>
        </w:numPr>
        <w:spacing w:after="0" w:line="240" w:lineRule="auto"/>
        <w:jc w:val="both"/>
        <w:rPr>
          <w:rFonts w:ascii="Times New Roman" w:hAnsi="Times New Roman" w:cs="Times New Roman"/>
        </w:rPr>
      </w:pPr>
      <w:r w:rsidRPr="008B2321">
        <w:rPr>
          <w:rFonts w:ascii="Times New Roman" w:eastAsia="Calibri" w:hAnsi="Times New Roman" w:cs="Times New Roman"/>
          <w:i/>
          <w:u w:val="single"/>
        </w:rPr>
        <w:t>Automatic suspensive effect:</w:t>
      </w:r>
      <w:r w:rsidRPr="008B2321">
        <w:rPr>
          <w:rFonts w:ascii="Times New Roman" w:eastAsia="Calibri" w:hAnsi="Times New Roman" w:cs="Times New Roman"/>
        </w:rPr>
        <w:t xml:space="preserve"> When </w:t>
      </w:r>
      <w:r w:rsidRPr="008B2321">
        <w:rPr>
          <w:rFonts w:ascii="Times New Roman" w:hAnsi="Times New Roman" w:cs="Times New Roman"/>
        </w:rPr>
        <w:t>a</w:t>
      </w:r>
      <w:r w:rsidR="00C175C1" w:rsidRPr="008B2321">
        <w:rPr>
          <w:rFonts w:ascii="Times New Roman" w:hAnsi="Times New Roman" w:cs="Times New Roman"/>
        </w:rPr>
        <w:t>ny</w:t>
      </w:r>
      <w:r w:rsidRPr="008B2321">
        <w:rPr>
          <w:rFonts w:ascii="Times New Roman" w:hAnsi="Times New Roman" w:cs="Times New Roman"/>
        </w:rPr>
        <w:t xml:space="preserve"> non-</w:t>
      </w:r>
      <w:proofErr w:type="spellStart"/>
      <w:r w:rsidRPr="008B2321">
        <w:rPr>
          <w:rFonts w:ascii="Times New Roman" w:hAnsi="Times New Roman" w:cs="Times New Roman"/>
        </w:rPr>
        <w:t>refoulement</w:t>
      </w:r>
      <w:proofErr w:type="spellEnd"/>
      <w:r w:rsidRPr="008B2321">
        <w:rPr>
          <w:rFonts w:ascii="Times New Roman" w:hAnsi="Times New Roman" w:cs="Times New Roman"/>
        </w:rPr>
        <w:t xml:space="preserve"> application</w:t>
      </w:r>
      <w:r w:rsidR="00C175C1" w:rsidRPr="008B2321">
        <w:rPr>
          <w:rFonts w:ascii="Times New Roman" w:hAnsi="Times New Roman" w:cs="Times New Roman"/>
        </w:rPr>
        <w:t xml:space="preserve"> is lodged, it </w:t>
      </w:r>
      <w:r w:rsidRPr="008B2321">
        <w:rPr>
          <w:rFonts w:ascii="Times New Roman" w:hAnsi="Times New Roman" w:cs="Times New Roman"/>
        </w:rPr>
        <w:t xml:space="preserve">must </w:t>
      </w:r>
      <w:r w:rsidR="00C175C1" w:rsidRPr="008B2321">
        <w:rPr>
          <w:rFonts w:ascii="Times New Roman" w:hAnsi="Times New Roman" w:cs="Times New Roman"/>
        </w:rPr>
        <w:t>have an immediate and</w:t>
      </w:r>
      <w:r w:rsidRPr="008B2321">
        <w:rPr>
          <w:rFonts w:ascii="Times New Roman" w:hAnsi="Times New Roman" w:cs="Times New Roman"/>
        </w:rPr>
        <w:t xml:space="preserve"> automatic suspensive effect.</w:t>
      </w:r>
      <w:r w:rsidRPr="008B2321">
        <w:rPr>
          <w:rStyle w:val="FootnoteReference"/>
          <w:rFonts w:ascii="Times New Roman" w:hAnsi="Times New Roman" w:cs="Times New Roman"/>
        </w:rPr>
        <w:footnoteReference w:id="17"/>
      </w:r>
      <w:r w:rsidRPr="008B2321">
        <w:rPr>
          <w:rFonts w:ascii="Times New Roman" w:hAnsi="Times New Roman" w:cs="Times New Roman"/>
        </w:rPr>
        <w:t xml:space="preserve"> </w:t>
      </w:r>
    </w:p>
    <w:p w14:paraId="4E003145" w14:textId="610732B5" w:rsidR="008B5B18" w:rsidRPr="008B2321" w:rsidRDefault="008B5B18" w:rsidP="000E2113">
      <w:pPr>
        <w:spacing w:after="0" w:line="240" w:lineRule="auto"/>
        <w:jc w:val="both"/>
        <w:rPr>
          <w:rFonts w:ascii="Times New Roman" w:hAnsi="Times New Roman" w:cs="Times New Roman"/>
        </w:rPr>
      </w:pPr>
    </w:p>
    <w:p w14:paraId="7E30B89E" w14:textId="69F94DEE" w:rsidR="0080521B" w:rsidRPr="008B2321" w:rsidRDefault="00127326" w:rsidP="000E2113">
      <w:pPr>
        <w:pStyle w:val="ListParagraph"/>
        <w:numPr>
          <w:ilvl w:val="0"/>
          <w:numId w:val="18"/>
        </w:numPr>
        <w:spacing w:after="0" w:line="240" w:lineRule="auto"/>
        <w:jc w:val="both"/>
        <w:rPr>
          <w:rFonts w:ascii="Times New Roman" w:hAnsi="Times New Roman" w:cs="Times New Roman"/>
          <w:i/>
        </w:rPr>
      </w:pPr>
      <w:r w:rsidRPr="008B2321">
        <w:rPr>
          <w:rFonts w:ascii="Times New Roman" w:hAnsi="Times New Roman" w:cs="Times New Roman"/>
          <w:i/>
          <w:u w:val="single"/>
        </w:rPr>
        <w:t>Non-discriminat</w:t>
      </w:r>
      <w:r w:rsidR="00EF7B1B" w:rsidRPr="008B2321">
        <w:rPr>
          <w:rFonts w:ascii="Times New Roman" w:hAnsi="Times New Roman" w:cs="Times New Roman"/>
          <w:i/>
          <w:u w:val="single"/>
        </w:rPr>
        <w:t>ion</w:t>
      </w:r>
      <w:r w:rsidR="00D53DE4">
        <w:rPr>
          <w:rFonts w:ascii="Times New Roman" w:hAnsi="Times New Roman" w:cs="Times New Roman"/>
          <w:i/>
          <w:u w:val="single"/>
        </w:rPr>
        <w:t>:</w:t>
      </w:r>
      <w:r w:rsidR="00D53DE4">
        <w:rPr>
          <w:rFonts w:ascii="Times New Roman" w:hAnsi="Times New Roman" w:cs="Times New Roman"/>
          <w:i/>
        </w:rPr>
        <w:t xml:space="preserve"> </w:t>
      </w:r>
      <w:r w:rsidR="00D53DE4">
        <w:rPr>
          <w:rFonts w:ascii="Times New Roman" w:eastAsia="Calibri" w:hAnsi="Times New Roman" w:cs="Times New Roman"/>
        </w:rPr>
        <w:t>N</w:t>
      </w:r>
      <w:r w:rsidR="0080521B" w:rsidRPr="008B2321">
        <w:rPr>
          <w:rFonts w:ascii="Times New Roman" w:eastAsia="Calibri" w:hAnsi="Times New Roman" w:cs="Times New Roman"/>
        </w:rPr>
        <w:t>on-</w:t>
      </w:r>
      <w:proofErr w:type="spellStart"/>
      <w:r w:rsidR="0080521B" w:rsidRPr="008B2321">
        <w:rPr>
          <w:rFonts w:ascii="Times New Roman" w:eastAsia="Calibri" w:hAnsi="Times New Roman" w:cs="Times New Roman"/>
        </w:rPr>
        <w:t>refoulment</w:t>
      </w:r>
      <w:proofErr w:type="spellEnd"/>
      <w:r w:rsidR="0080521B" w:rsidRPr="008B2321">
        <w:rPr>
          <w:rFonts w:ascii="Times New Roman" w:eastAsia="Calibri" w:hAnsi="Times New Roman" w:cs="Times New Roman"/>
        </w:rPr>
        <w:t xml:space="preserve"> decisions, and the procedures in place</w:t>
      </w:r>
      <w:r w:rsidR="00D53DE4">
        <w:rPr>
          <w:rFonts w:ascii="Times New Roman" w:eastAsia="Calibri" w:hAnsi="Times New Roman" w:cs="Times New Roman"/>
        </w:rPr>
        <w:t xml:space="preserve"> to examine those decisions, must be</w:t>
      </w:r>
      <w:r w:rsidR="0080521B" w:rsidRPr="008B2321">
        <w:rPr>
          <w:rFonts w:ascii="Times New Roman" w:eastAsia="Calibri" w:hAnsi="Times New Roman" w:cs="Times New Roman"/>
        </w:rPr>
        <w:t xml:space="preserve"> applied in a non-discriminatory manner;</w:t>
      </w:r>
      <w:r w:rsidR="0080521B" w:rsidRPr="008B2321">
        <w:rPr>
          <w:rStyle w:val="FootnoteReference"/>
          <w:rFonts w:ascii="Times New Roman" w:eastAsia="Calibri" w:hAnsi="Times New Roman" w:cs="Times New Roman"/>
        </w:rPr>
        <w:footnoteReference w:id="18"/>
      </w:r>
    </w:p>
    <w:p w14:paraId="26F71721" w14:textId="77777777" w:rsidR="00D47928" w:rsidRPr="008B2321" w:rsidRDefault="00D47928" w:rsidP="000E2113">
      <w:pPr>
        <w:spacing w:after="0" w:line="240" w:lineRule="auto"/>
        <w:jc w:val="both"/>
        <w:rPr>
          <w:rFonts w:ascii="Times New Roman" w:hAnsi="Times New Roman" w:cs="Times New Roman"/>
          <w:i/>
          <w:u w:val="single"/>
        </w:rPr>
      </w:pPr>
    </w:p>
    <w:p w14:paraId="46EE0BA5" w14:textId="40C15EBB" w:rsidR="00474181" w:rsidRPr="008B2321" w:rsidRDefault="00127326" w:rsidP="000E2113">
      <w:pPr>
        <w:pStyle w:val="ListParagraph"/>
        <w:numPr>
          <w:ilvl w:val="0"/>
          <w:numId w:val="18"/>
        </w:numPr>
        <w:spacing w:after="0" w:line="240" w:lineRule="auto"/>
        <w:jc w:val="both"/>
        <w:rPr>
          <w:rFonts w:ascii="Times New Roman" w:hAnsi="Times New Roman" w:cs="Times New Roman"/>
        </w:rPr>
      </w:pPr>
      <w:r w:rsidRPr="008B2321">
        <w:rPr>
          <w:rFonts w:ascii="Times New Roman" w:hAnsi="Times New Roman" w:cs="Times New Roman"/>
          <w:i/>
          <w:u w:val="single"/>
        </w:rPr>
        <w:t>Confidentiality:</w:t>
      </w:r>
      <w:r w:rsidR="00D53DE4">
        <w:rPr>
          <w:rFonts w:ascii="Times New Roman" w:hAnsi="Times New Roman" w:cs="Times New Roman"/>
          <w:i/>
        </w:rPr>
        <w:t xml:space="preserve"> </w:t>
      </w:r>
      <w:r w:rsidR="00D53DE4" w:rsidRPr="00D53DE4">
        <w:rPr>
          <w:rFonts w:ascii="Times New Roman" w:hAnsi="Times New Roman" w:cs="Times New Roman"/>
        </w:rPr>
        <w:t xml:space="preserve">Individuals making a </w:t>
      </w:r>
      <w:proofErr w:type="spellStart"/>
      <w:r w:rsidR="00D53DE4" w:rsidRPr="00D53DE4">
        <w:rPr>
          <w:rFonts w:ascii="Times New Roman" w:hAnsi="Times New Roman" w:cs="Times New Roman"/>
        </w:rPr>
        <w:t>refoulement</w:t>
      </w:r>
      <w:proofErr w:type="spellEnd"/>
      <w:r w:rsidR="00D53DE4" w:rsidRPr="00D53DE4">
        <w:rPr>
          <w:rFonts w:ascii="Times New Roman" w:hAnsi="Times New Roman" w:cs="Times New Roman"/>
        </w:rPr>
        <w:t xml:space="preserve"> claim</w:t>
      </w:r>
      <w:r w:rsidR="00D53DE4">
        <w:rPr>
          <w:rFonts w:ascii="Times New Roman" w:hAnsi="Times New Roman" w:cs="Times New Roman"/>
        </w:rPr>
        <w:t>s</w:t>
      </w:r>
      <w:r w:rsidR="00D53DE4" w:rsidRPr="00D53DE4">
        <w:rPr>
          <w:rFonts w:ascii="Times New Roman" w:hAnsi="Times New Roman" w:cs="Times New Roman"/>
        </w:rPr>
        <w:t xml:space="preserve"> must have their confidentiality respected to ensure they </w:t>
      </w:r>
      <w:r w:rsidR="00D53DE4">
        <w:rPr>
          <w:rFonts w:ascii="Times New Roman" w:hAnsi="Times New Roman" w:cs="Times New Roman"/>
        </w:rPr>
        <w:t>and their families</w:t>
      </w:r>
      <w:r w:rsidR="00474181" w:rsidRPr="00D53DE4">
        <w:rPr>
          <w:rFonts w:ascii="Times New Roman" w:hAnsi="Times New Roman" w:cs="Times New Roman"/>
        </w:rPr>
        <w:t xml:space="preserve"> and dependents do not fear reprisal</w:t>
      </w:r>
      <w:r w:rsidR="00602D69">
        <w:rPr>
          <w:rFonts w:ascii="Times New Roman" w:hAnsi="Times New Roman" w:cs="Times New Roman"/>
        </w:rPr>
        <w:t>s</w:t>
      </w:r>
      <w:r w:rsidR="00474181" w:rsidRPr="008B2321">
        <w:rPr>
          <w:rFonts w:ascii="Times New Roman" w:hAnsi="Times New Roman" w:cs="Times New Roman"/>
        </w:rPr>
        <w:t xml:space="preserve"> or other harm</w:t>
      </w:r>
      <w:r w:rsidR="00602D69">
        <w:rPr>
          <w:rFonts w:ascii="Times New Roman" w:hAnsi="Times New Roman" w:cs="Times New Roman"/>
        </w:rPr>
        <w:t>s</w:t>
      </w:r>
      <w:r w:rsidR="00474181" w:rsidRPr="008B2321">
        <w:rPr>
          <w:rFonts w:ascii="Times New Roman" w:hAnsi="Times New Roman" w:cs="Times New Roman"/>
        </w:rPr>
        <w:t>, especially from the place to which they fear returning;</w:t>
      </w:r>
      <w:r w:rsidR="00474181" w:rsidRPr="008B2321">
        <w:rPr>
          <w:rStyle w:val="FootnoteReference"/>
          <w:rFonts w:ascii="Times New Roman" w:hAnsi="Times New Roman" w:cs="Times New Roman"/>
        </w:rPr>
        <w:footnoteReference w:id="19"/>
      </w:r>
    </w:p>
    <w:p w14:paraId="354187B1" w14:textId="77777777" w:rsidR="00474181" w:rsidRPr="008B2321" w:rsidRDefault="00474181" w:rsidP="000E2113">
      <w:pPr>
        <w:spacing w:after="0" w:line="240" w:lineRule="auto"/>
        <w:jc w:val="both"/>
        <w:rPr>
          <w:rFonts w:ascii="Times New Roman" w:hAnsi="Times New Roman" w:cs="Times New Roman"/>
        </w:rPr>
      </w:pPr>
    </w:p>
    <w:p w14:paraId="24EF195F" w14:textId="071E8996" w:rsidR="00474181" w:rsidRPr="008B2321" w:rsidRDefault="00474181" w:rsidP="000E2113">
      <w:pPr>
        <w:pStyle w:val="ListParagraph"/>
        <w:numPr>
          <w:ilvl w:val="0"/>
          <w:numId w:val="18"/>
        </w:numPr>
        <w:spacing w:after="0" w:line="240" w:lineRule="auto"/>
        <w:jc w:val="both"/>
        <w:rPr>
          <w:rFonts w:ascii="Times New Roman" w:hAnsi="Times New Roman" w:cs="Times New Roman"/>
          <w:i/>
        </w:rPr>
      </w:pPr>
      <w:r w:rsidRPr="008B2321">
        <w:rPr>
          <w:rFonts w:ascii="Times New Roman" w:hAnsi="Times New Roman" w:cs="Times New Roman"/>
          <w:i/>
          <w:u w:val="single"/>
        </w:rPr>
        <w:lastRenderedPageBreak/>
        <w:t>Needs of j</w:t>
      </w:r>
      <w:r w:rsidR="00127326" w:rsidRPr="008B2321">
        <w:rPr>
          <w:rFonts w:ascii="Times New Roman" w:hAnsi="Times New Roman" w:cs="Times New Roman"/>
          <w:i/>
          <w:u w:val="single"/>
        </w:rPr>
        <w:t>uveniles:</w:t>
      </w:r>
      <w:r w:rsidRPr="008B2321">
        <w:rPr>
          <w:rFonts w:ascii="Times New Roman" w:hAnsi="Times New Roman" w:cs="Times New Roman"/>
          <w:i/>
        </w:rPr>
        <w:t xml:space="preserve"> </w:t>
      </w:r>
      <w:r w:rsidR="00D53DE4">
        <w:rPr>
          <w:rFonts w:ascii="Times New Roman" w:hAnsi="Times New Roman" w:cs="Times New Roman"/>
        </w:rPr>
        <w:t>J</w:t>
      </w:r>
      <w:r w:rsidRPr="008B2321">
        <w:rPr>
          <w:rFonts w:ascii="Times New Roman" w:hAnsi="Times New Roman" w:cs="Times New Roman"/>
        </w:rPr>
        <w:t>uveniles</w:t>
      </w:r>
      <w:r w:rsidR="001E5D83">
        <w:rPr>
          <w:rFonts w:ascii="Times New Roman" w:hAnsi="Times New Roman" w:cs="Times New Roman"/>
        </w:rPr>
        <w:t xml:space="preserve"> </w:t>
      </w:r>
      <w:r w:rsidR="00D53DE4">
        <w:rPr>
          <w:rFonts w:ascii="Times New Roman" w:hAnsi="Times New Roman" w:cs="Times New Roman"/>
        </w:rPr>
        <w:t xml:space="preserve">must have </w:t>
      </w:r>
      <w:r w:rsidR="001E5D83">
        <w:rPr>
          <w:rFonts w:ascii="Times New Roman" w:hAnsi="Times New Roman" w:cs="Times New Roman"/>
        </w:rPr>
        <w:t>the right to an effective remedy</w:t>
      </w:r>
      <w:r w:rsidR="009D6348">
        <w:rPr>
          <w:rFonts w:ascii="Times New Roman" w:hAnsi="Times New Roman" w:cs="Times New Roman"/>
        </w:rPr>
        <w:t xml:space="preserve"> to prevent </w:t>
      </w:r>
      <w:proofErr w:type="spellStart"/>
      <w:r w:rsidR="009D6348">
        <w:rPr>
          <w:rFonts w:ascii="Times New Roman" w:hAnsi="Times New Roman" w:cs="Times New Roman"/>
        </w:rPr>
        <w:t>refoulement</w:t>
      </w:r>
      <w:proofErr w:type="spellEnd"/>
      <w:r w:rsidR="001E5D83">
        <w:rPr>
          <w:rFonts w:ascii="Times New Roman" w:hAnsi="Times New Roman" w:cs="Times New Roman"/>
        </w:rPr>
        <w:t xml:space="preserve"> under Article 3, </w:t>
      </w:r>
      <w:r w:rsidRPr="008B2321">
        <w:rPr>
          <w:rFonts w:ascii="Times New Roman" w:hAnsi="Times New Roman" w:cs="Times New Roman"/>
        </w:rPr>
        <w:t>taking into account the legal rights and best interests and vulnerabilit</w:t>
      </w:r>
      <w:r w:rsidR="00054DB2">
        <w:rPr>
          <w:rFonts w:ascii="Times New Roman" w:hAnsi="Times New Roman" w:cs="Times New Roman"/>
        </w:rPr>
        <w:t>ies</w:t>
      </w:r>
      <w:r w:rsidRPr="008B2321">
        <w:rPr>
          <w:rFonts w:ascii="Times New Roman" w:hAnsi="Times New Roman" w:cs="Times New Roman"/>
        </w:rPr>
        <w:t xml:space="preserve"> of the child</w:t>
      </w:r>
      <w:r w:rsidR="001E5D83">
        <w:rPr>
          <w:rFonts w:ascii="Times New Roman" w:hAnsi="Times New Roman" w:cs="Times New Roman"/>
        </w:rPr>
        <w:t>.</w:t>
      </w:r>
      <w:r w:rsidRPr="008B2321">
        <w:rPr>
          <w:rStyle w:val="FootnoteReference"/>
          <w:rFonts w:ascii="Times New Roman" w:hAnsi="Times New Roman" w:cs="Times New Roman"/>
        </w:rPr>
        <w:footnoteReference w:id="20"/>
      </w:r>
    </w:p>
    <w:p w14:paraId="26229F5D" w14:textId="77777777" w:rsidR="0080521B" w:rsidRPr="00C175C1" w:rsidRDefault="0080521B" w:rsidP="000E2113">
      <w:pPr>
        <w:spacing w:after="0" w:line="240" w:lineRule="auto"/>
        <w:ind w:left="720"/>
        <w:jc w:val="both"/>
        <w:rPr>
          <w:rFonts w:ascii="Times New Roman" w:eastAsia="Calibri" w:hAnsi="Times New Roman" w:cs="Times New Roman"/>
        </w:rPr>
      </w:pPr>
    </w:p>
    <w:p w14:paraId="332B521F" w14:textId="7B892C69" w:rsidR="003924EA" w:rsidRPr="005B470A" w:rsidRDefault="005B470A" w:rsidP="000E2113">
      <w:pPr>
        <w:spacing w:after="0" w:line="240" w:lineRule="auto"/>
        <w:jc w:val="both"/>
        <w:rPr>
          <w:rFonts w:ascii="Times New Roman" w:hAnsi="Times New Roman" w:cs="Times New Roman"/>
          <w:b/>
          <w:sz w:val="24"/>
          <w:szCs w:val="24"/>
        </w:rPr>
      </w:pPr>
      <w:r w:rsidRPr="005B470A">
        <w:rPr>
          <w:rFonts w:ascii="Times New Roman" w:hAnsi="Times New Roman" w:cs="Times New Roman"/>
          <w:b/>
          <w:sz w:val="24"/>
          <w:szCs w:val="24"/>
        </w:rPr>
        <w:t>Section X</w:t>
      </w:r>
      <w:r w:rsidR="00EF7B1B" w:rsidRPr="005B470A">
        <w:rPr>
          <w:rFonts w:ascii="Times New Roman" w:hAnsi="Times New Roman" w:cs="Times New Roman"/>
          <w:b/>
          <w:sz w:val="24"/>
          <w:szCs w:val="24"/>
        </w:rPr>
        <w:t xml:space="preserve">. </w:t>
      </w:r>
      <w:r w:rsidR="003924EA" w:rsidRPr="005B470A">
        <w:rPr>
          <w:rFonts w:ascii="Times New Roman" w:hAnsi="Times New Roman" w:cs="Times New Roman"/>
          <w:b/>
          <w:sz w:val="24"/>
          <w:szCs w:val="24"/>
        </w:rPr>
        <w:t>Specific requirements for the submission of individual communications under Article 22 of the Convention and interim measures of protection</w:t>
      </w:r>
    </w:p>
    <w:p w14:paraId="1FFA34DF" w14:textId="77777777" w:rsidR="005A2B66" w:rsidRPr="00C175C1" w:rsidRDefault="005A2B66" w:rsidP="000E2113">
      <w:pPr>
        <w:spacing w:after="0" w:line="240" w:lineRule="auto"/>
        <w:jc w:val="both"/>
        <w:rPr>
          <w:rFonts w:ascii="Times New Roman" w:hAnsi="Times New Roman" w:cs="Times New Roman"/>
          <w:b/>
        </w:rPr>
      </w:pPr>
    </w:p>
    <w:p w14:paraId="5CCB1F09" w14:textId="037DDA32" w:rsidR="005A2B66" w:rsidRPr="00C175C1" w:rsidRDefault="009D2EE2" w:rsidP="000E2113">
      <w:pPr>
        <w:jc w:val="both"/>
        <w:rPr>
          <w:rFonts w:ascii="Times New Roman" w:hAnsi="Times New Roman" w:cs="Times New Roman"/>
        </w:rPr>
      </w:pPr>
      <w:r>
        <w:rPr>
          <w:rFonts w:ascii="Times New Roman" w:hAnsi="Times New Roman" w:cs="Times New Roman"/>
          <w:b/>
        </w:rPr>
        <w:t xml:space="preserve">6. </w:t>
      </w:r>
      <w:r w:rsidR="005A2B66" w:rsidRPr="00C175C1">
        <w:rPr>
          <w:rFonts w:ascii="Times New Roman" w:hAnsi="Times New Roman" w:cs="Times New Roman"/>
          <w:b/>
        </w:rPr>
        <w:t>The Committee should clarify that States parties “must” comply with the Committee’s request</w:t>
      </w:r>
      <w:r w:rsidR="00B01E89" w:rsidRPr="00C175C1">
        <w:rPr>
          <w:rFonts w:ascii="Times New Roman" w:hAnsi="Times New Roman" w:cs="Times New Roman"/>
          <w:b/>
        </w:rPr>
        <w:t xml:space="preserve"> for interim measures</w:t>
      </w:r>
      <w:r w:rsidR="005A2B66" w:rsidRPr="00C175C1">
        <w:rPr>
          <w:rFonts w:ascii="Times New Roman" w:hAnsi="Times New Roman" w:cs="Times New Roman"/>
          <w:b/>
        </w:rPr>
        <w:t xml:space="preserve"> in good faith. </w:t>
      </w:r>
      <w:r w:rsidR="005A2B66" w:rsidRPr="00C175C1">
        <w:rPr>
          <w:rFonts w:ascii="Times New Roman" w:hAnsi="Times New Roman" w:cs="Times New Roman"/>
        </w:rPr>
        <w:t>Par</w:t>
      </w:r>
      <w:r w:rsidR="0079521F">
        <w:rPr>
          <w:rFonts w:ascii="Times New Roman" w:hAnsi="Times New Roman" w:cs="Times New Roman"/>
        </w:rPr>
        <w:t xml:space="preserve">agraph 38 currently </w:t>
      </w:r>
      <w:r w:rsidR="005647C5">
        <w:rPr>
          <w:rFonts w:ascii="Times New Roman" w:hAnsi="Times New Roman" w:cs="Times New Roman"/>
        </w:rPr>
        <w:t>reads,</w:t>
      </w:r>
      <w:r w:rsidR="005A2B66" w:rsidRPr="00C175C1">
        <w:rPr>
          <w:rFonts w:ascii="Times New Roman" w:hAnsi="Times New Roman" w:cs="Times New Roman"/>
        </w:rPr>
        <w:t xml:space="preserve"> “</w:t>
      </w:r>
      <w:proofErr w:type="gramStart"/>
      <w:r w:rsidR="005A2B66" w:rsidRPr="00C175C1">
        <w:rPr>
          <w:rFonts w:ascii="Times New Roman" w:hAnsi="Times New Roman" w:cs="Times New Roman"/>
        </w:rPr>
        <w:t>the</w:t>
      </w:r>
      <w:proofErr w:type="gramEnd"/>
      <w:r w:rsidR="005A2B66" w:rsidRPr="00C175C1">
        <w:rPr>
          <w:rFonts w:ascii="Times New Roman" w:hAnsi="Times New Roman" w:cs="Times New Roman"/>
        </w:rPr>
        <w:t xml:space="preserve"> State party </w:t>
      </w:r>
      <w:r w:rsidR="005A2B66" w:rsidRPr="00C175C1">
        <w:rPr>
          <w:rFonts w:ascii="Times New Roman" w:hAnsi="Times New Roman" w:cs="Times New Roman"/>
          <w:i/>
        </w:rPr>
        <w:t>should</w:t>
      </w:r>
      <w:r w:rsidR="005A2B66" w:rsidRPr="00C175C1">
        <w:rPr>
          <w:rFonts w:ascii="Times New Roman" w:hAnsi="Times New Roman" w:cs="Times New Roman"/>
        </w:rPr>
        <w:t xml:space="preserve"> comply with the Committee’s request</w:t>
      </w:r>
      <w:r w:rsidR="0079521F">
        <w:rPr>
          <w:rFonts w:ascii="Times New Roman" w:hAnsi="Times New Roman" w:cs="Times New Roman"/>
        </w:rPr>
        <w:t>;”</w:t>
      </w:r>
      <w:r w:rsidR="005A2B66" w:rsidRPr="00C175C1">
        <w:rPr>
          <w:rFonts w:ascii="Times New Roman" w:hAnsi="Times New Roman" w:cs="Times New Roman"/>
        </w:rPr>
        <w:t xml:space="preserve"> however, this language diminishes the legal obligation to comply. If the Committee’s interim measures instructions are breached, it nullifies the effective exercise of the right conferred by article 22, and would render the Committee’s final decision on the merits futile.</w:t>
      </w:r>
      <w:r w:rsidR="005A2B66" w:rsidRPr="00C175C1">
        <w:rPr>
          <w:rStyle w:val="FootnoteReference"/>
          <w:rFonts w:ascii="Times New Roman" w:hAnsi="Times New Roman" w:cs="Times New Roman"/>
        </w:rPr>
        <w:footnoteReference w:id="21"/>
      </w:r>
    </w:p>
    <w:p w14:paraId="777275CE" w14:textId="342827D8" w:rsidR="005A2B66" w:rsidRPr="00C175C1" w:rsidRDefault="009D2EE2" w:rsidP="000E2113">
      <w:pPr>
        <w:jc w:val="both"/>
        <w:rPr>
          <w:rFonts w:ascii="Times New Roman" w:hAnsi="Times New Roman" w:cs="Times New Roman"/>
          <w:b/>
        </w:rPr>
      </w:pPr>
      <w:r>
        <w:rPr>
          <w:rFonts w:ascii="Times New Roman" w:hAnsi="Times New Roman" w:cs="Times New Roman"/>
          <w:b/>
        </w:rPr>
        <w:t>7.</w:t>
      </w:r>
      <w:r w:rsidR="005A2B66" w:rsidRPr="00C175C1">
        <w:rPr>
          <w:rFonts w:ascii="Times New Roman" w:hAnsi="Times New Roman" w:cs="Times New Roman"/>
          <w:b/>
        </w:rPr>
        <w:t xml:space="preserve"> In paragraph 39, the draft Comment should refer to the established practice of the Committee.</w:t>
      </w:r>
      <w:r w:rsidR="005A2B66" w:rsidRPr="00C175C1">
        <w:rPr>
          <w:rFonts w:ascii="Times New Roman" w:hAnsi="Times New Roman" w:cs="Times New Roman"/>
        </w:rPr>
        <w:t xml:space="preserve"> The Justice Initiative notes that</w:t>
      </w:r>
      <w:r w:rsidR="003B06A7" w:rsidRPr="00C175C1">
        <w:rPr>
          <w:rFonts w:ascii="Times New Roman" w:hAnsi="Times New Roman" w:cs="Times New Roman"/>
        </w:rPr>
        <w:t>, notwithstanding the</w:t>
      </w:r>
      <w:r w:rsidR="005A2B66" w:rsidRPr="00C175C1">
        <w:rPr>
          <w:rFonts w:ascii="Times New Roman" w:hAnsi="Times New Roman" w:cs="Times New Roman"/>
        </w:rPr>
        <w:t xml:space="preserve"> language of the draft Comment </w:t>
      </w:r>
      <w:r w:rsidR="00797995" w:rsidRPr="00C175C1">
        <w:rPr>
          <w:rFonts w:ascii="Times New Roman" w:hAnsi="Times New Roman" w:cs="Times New Roman"/>
        </w:rPr>
        <w:t>in paragraph 39</w:t>
      </w:r>
      <w:r w:rsidR="003B06A7" w:rsidRPr="00C175C1">
        <w:rPr>
          <w:rFonts w:ascii="Times New Roman" w:hAnsi="Times New Roman" w:cs="Times New Roman"/>
        </w:rPr>
        <w:t xml:space="preserve"> (</w:t>
      </w:r>
      <w:r w:rsidR="00B01E89" w:rsidRPr="00C175C1">
        <w:rPr>
          <w:rFonts w:ascii="Times New Roman" w:hAnsi="Times New Roman" w:cs="Times New Roman"/>
        </w:rPr>
        <w:t>non-compliance “would constitute a serious damage and obstacle to the effectiveness of the Committee’s deliberations and would shed serious doubt on the willingness of the State party to implement Article 22 .</w:t>
      </w:r>
      <w:r w:rsidR="003B06A7" w:rsidRPr="00C175C1">
        <w:rPr>
          <w:rFonts w:ascii="Times New Roman" w:hAnsi="Times New Roman" w:cs="Times New Roman"/>
        </w:rPr>
        <w:t>.</w:t>
      </w:r>
      <w:r w:rsidR="00B01E89" w:rsidRPr="00C175C1">
        <w:rPr>
          <w:rFonts w:ascii="Times New Roman" w:hAnsi="Times New Roman" w:cs="Times New Roman"/>
        </w:rPr>
        <w:t>. in good faith”</w:t>
      </w:r>
      <w:r w:rsidR="003B06A7" w:rsidRPr="00C175C1">
        <w:rPr>
          <w:rFonts w:ascii="Times New Roman" w:hAnsi="Times New Roman" w:cs="Times New Roman"/>
        </w:rPr>
        <w:t xml:space="preserve">), this </w:t>
      </w:r>
      <w:r w:rsidR="005A2B66" w:rsidRPr="00C175C1">
        <w:rPr>
          <w:rFonts w:ascii="Times New Roman" w:hAnsi="Times New Roman" w:cs="Times New Roman"/>
        </w:rPr>
        <w:t xml:space="preserve">formulation </w:t>
      </w:r>
      <w:r w:rsidR="003B06A7" w:rsidRPr="00C175C1">
        <w:rPr>
          <w:rFonts w:ascii="Times New Roman" w:hAnsi="Times New Roman" w:cs="Times New Roman"/>
        </w:rPr>
        <w:t>draws from the</w:t>
      </w:r>
      <w:r w:rsidR="005A2B66" w:rsidRPr="00C175C1">
        <w:rPr>
          <w:rFonts w:ascii="Times New Roman" w:hAnsi="Times New Roman" w:cs="Times New Roman"/>
        </w:rPr>
        <w:t xml:space="preserve"> dissenting opinion in </w:t>
      </w:r>
      <w:proofErr w:type="spellStart"/>
      <w:r w:rsidR="005A2B66" w:rsidRPr="00C175C1">
        <w:rPr>
          <w:rFonts w:ascii="Times New Roman" w:hAnsi="Times New Roman" w:cs="Times New Roman"/>
          <w:i/>
        </w:rPr>
        <w:t>Tursunov</w:t>
      </w:r>
      <w:proofErr w:type="spellEnd"/>
      <w:r w:rsidR="005A2B66" w:rsidRPr="00C175C1">
        <w:rPr>
          <w:rFonts w:ascii="Times New Roman" w:hAnsi="Times New Roman" w:cs="Times New Roman"/>
          <w:i/>
        </w:rPr>
        <w:t xml:space="preserve"> v. Kazakhstan</w:t>
      </w:r>
      <w:r w:rsidR="005A2B66" w:rsidRPr="00C175C1">
        <w:rPr>
          <w:rFonts w:ascii="Times New Roman" w:hAnsi="Times New Roman" w:cs="Times New Roman"/>
        </w:rPr>
        <w:t>, rather t</w:t>
      </w:r>
      <w:r w:rsidR="00E10447" w:rsidRPr="00C175C1">
        <w:rPr>
          <w:rFonts w:ascii="Times New Roman" w:hAnsi="Times New Roman" w:cs="Times New Roman"/>
        </w:rPr>
        <w:t>han the majority</w:t>
      </w:r>
      <w:r w:rsidR="00B01E89" w:rsidRPr="00C175C1">
        <w:rPr>
          <w:rFonts w:ascii="Times New Roman" w:hAnsi="Times New Roman" w:cs="Times New Roman"/>
        </w:rPr>
        <w:t xml:space="preserve"> opinion. </w:t>
      </w:r>
      <w:r w:rsidR="003B06A7" w:rsidRPr="00C175C1">
        <w:rPr>
          <w:rFonts w:ascii="Times New Roman" w:hAnsi="Times New Roman" w:cs="Times New Roman"/>
        </w:rPr>
        <w:t>Quoting the dissenting opinion risks</w:t>
      </w:r>
      <w:r w:rsidR="005A2B66" w:rsidRPr="00C175C1">
        <w:rPr>
          <w:rFonts w:ascii="Times New Roman" w:hAnsi="Times New Roman" w:cs="Times New Roman"/>
        </w:rPr>
        <w:t xml:space="preserve"> confusion</w:t>
      </w:r>
      <w:r w:rsidR="00B01E89" w:rsidRPr="00C175C1">
        <w:rPr>
          <w:rFonts w:ascii="Times New Roman" w:hAnsi="Times New Roman" w:cs="Times New Roman"/>
        </w:rPr>
        <w:t xml:space="preserve"> as the draft Comment should affirm the major</w:t>
      </w:r>
      <w:r w:rsidR="003B06A7" w:rsidRPr="00C175C1">
        <w:rPr>
          <w:rFonts w:ascii="Times New Roman" w:hAnsi="Times New Roman" w:cs="Times New Roman"/>
        </w:rPr>
        <w:t>i</w:t>
      </w:r>
      <w:r w:rsidR="00B01E89" w:rsidRPr="00C175C1">
        <w:rPr>
          <w:rFonts w:ascii="Times New Roman" w:hAnsi="Times New Roman" w:cs="Times New Roman"/>
        </w:rPr>
        <w:t xml:space="preserve">ty’s view </w:t>
      </w:r>
      <w:r w:rsidR="003B06A7" w:rsidRPr="00C175C1">
        <w:rPr>
          <w:rFonts w:ascii="Times New Roman" w:hAnsi="Times New Roman" w:cs="Times New Roman"/>
        </w:rPr>
        <w:t xml:space="preserve">in </w:t>
      </w:r>
      <w:proofErr w:type="spellStart"/>
      <w:r w:rsidR="003B06A7" w:rsidRPr="00C175C1">
        <w:rPr>
          <w:rFonts w:ascii="Times New Roman" w:hAnsi="Times New Roman" w:cs="Times New Roman"/>
          <w:i/>
        </w:rPr>
        <w:t>Tursunov</w:t>
      </w:r>
      <w:proofErr w:type="spellEnd"/>
      <w:r w:rsidR="003B06A7" w:rsidRPr="00C175C1">
        <w:rPr>
          <w:rFonts w:ascii="Times New Roman" w:hAnsi="Times New Roman" w:cs="Times New Roman"/>
          <w:i/>
        </w:rPr>
        <w:t xml:space="preserve"> </w:t>
      </w:r>
      <w:r w:rsidR="00B01E89" w:rsidRPr="00C175C1">
        <w:rPr>
          <w:rFonts w:ascii="Times New Roman" w:hAnsi="Times New Roman" w:cs="Times New Roman"/>
        </w:rPr>
        <w:t xml:space="preserve">that </w:t>
      </w:r>
      <w:r w:rsidR="003B06A7" w:rsidRPr="00C175C1">
        <w:rPr>
          <w:rFonts w:ascii="Times New Roman" w:hAnsi="Times New Roman" w:cs="Times New Roman"/>
        </w:rPr>
        <w:t>both articles 3 and 22 of the Convention were violated by the State party’s unlawful extradition</w:t>
      </w:r>
      <w:r w:rsidR="00956E85" w:rsidRPr="00C175C1">
        <w:rPr>
          <w:rFonts w:ascii="Times New Roman" w:hAnsi="Times New Roman" w:cs="Times New Roman"/>
        </w:rPr>
        <w:t>.</w:t>
      </w:r>
      <w:r w:rsidR="005A2B66" w:rsidRPr="00C175C1">
        <w:rPr>
          <w:rStyle w:val="FootnoteReference"/>
          <w:rFonts w:ascii="Times New Roman" w:hAnsi="Times New Roman" w:cs="Times New Roman"/>
        </w:rPr>
        <w:footnoteReference w:id="22"/>
      </w:r>
      <w:r w:rsidR="005A2B66" w:rsidRPr="00C175C1">
        <w:rPr>
          <w:rFonts w:ascii="Times New Roman" w:hAnsi="Times New Roman" w:cs="Times New Roman"/>
        </w:rPr>
        <w:t xml:space="preserve">  </w:t>
      </w:r>
    </w:p>
    <w:p w14:paraId="3C145686" w14:textId="029848A1" w:rsidR="00797995" w:rsidRPr="00C175C1" w:rsidRDefault="009D2EE2" w:rsidP="000E2113">
      <w:pPr>
        <w:pStyle w:val="ListParagraph"/>
        <w:tabs>
          <w:tab w:val="left" w:pos="0"/>
        </w:tabs>
        <w:ind w:left="0"/>
        <w:jc w:val="both"/>
        <w:rPr>
          <w:rFonts w:ascii="Times New Roman" w:hAnsi="Times New Roman" w:cs="Times New Roman"/>
          <w:b/>
        </w:rPr>
      </w:pPr>
      <w:r>
        <w:rPr>
          <w:rFonts w:ascii="Times New Roman" w:hAnsi="Times New Roman" w:cs="Times New Roman"/>
          <w:b/>
          <w:lang w:val="en-GB"/>
        </w:rPr>
        <w:t>8</w:t>
      </w:r>
      <w:r w:rsidR="00FB3F67">
        <w:rPr>
          <w:rFonts w:ascii="Times New Roman" w:hAnsi="Times New Roman" w:cs="Times New Roman"/>
          <w:b/>
          <w:lang w:val="en-GB"/>
        </w:rPr>
        <w:t>. In</w:t>
      </w:r>
      <w:r w:rsidR="00B941E9">
        <w:rPr>
          <w:rFonts w:ascii="Times New Roman" w:hAnsi="Times New Roman" w:cs="Times New Roman"/>
          <w:b/>
          <w:lang w:val="en-GB"/>
        </w:rPr>
        <w:t xml:space="preserve"> </w:t>
      </w:r>
      <w:r w:rsidR="0079521F">
        <w:rPr>
          <w:rFonts w:ascii="Times New Roman" w:hAnsi="Times New Roman" w:cs="Times New Roman"/>
          <w:b/>
          <w:lang w:val="en-GB"/>
        </w:rPr>
        <w:t xml:space="preserve">Section </w:t>
      </w:r>
      <w:proofErr w:type="gramStart"/>
      <w:r w:rsidR="00B941E9">
        <w:rPr>
          <w:rFonts w:ascii="Times New Roman" w:hAnsi="Times New Roman" w:cs="Times New Roman"/>
          <w:b/>
          <w:lang w:val="en-GB"/>
        </w:rPr>
        <w:t>X(</w:t>
      </w:r>
      <w:proofErr w:type="gramEnd"/>
      <w:r w:rsidR="00B941E9">
        <w:rPr>
          <w:rFonts w:ascii="Times New Roman" w:hAnsi="Times New Roman" w:cs="Times New Roman"/>
          <w:b/>
          <w:lang w:val="en-GB"/>
        </w:rPr>
        <w:t>B)</w:t>
      </w:r>
      <w:r w:rsidR="00FB3F67">
        <w:rPr>
          <w:rFonts w:ascii="Times New Roman" w:hAnsi="Times New Roman" w:cs="Times New Roman"/>
          <w:b/>
          <w:lang w:val="en-GB"/>
        </w:rPr>
        <w:t xml:space="preserve"> </w:t>
      </w:r>
      <w:r w:rsidR="003B06A7" w:rsidRPr="00C175C1">
        <w:rPr>
          <w:rFonts w:ascii="Times New Roman" w:hAnsi="Times New Roman" w:cs="Times New Roman"/>
          <w:b/>
          <w:lang w:val="en-GB"/>
        </w:rPr>
        <w:t xml:space="preserve">(“Interim measures of protection”), the draft Comment should clarify the remedy for violating an interim measure of protection, which it currently does not do. </w:t>
      </w:r>
      <w:r w:rsidR="00EF7B1B" w:rsidRPr="00C175C1">
        <w:rPr>
          <w:rFonts w:ascii="Times New Roman" w:hAnsi="Times New Roman" w:cs="Times New Roman"/>
          <w:lang w:val="en-GB"/>
        </w:rPr>
        <w:t xml:space="preserve">In case of violation of interim measures and a transfer of an individual to another </w:t>
      </w:r>
      <w:r w:rsidR="005647C5">
        <w:rPr>
          <w:rFonts w:ascii="Times New Roman" w:hAnsi="Times New Roman" w:cs="Times New Roman"/>
          <w:lang w:val="en-GB"/>
        </w:rPr>
        <w:t>S</w:t>
      </w:r>
      <w:r w:rsidR="00EF7B1B" w:rsidRPr="00C175C1">
        <w:rPr>
          <w:rFonts w:ascii="Times New Roman" w:hAnsi="Times New Roman" w:cs="Times New Roman"/>
          <w:lang w:val="en-GB"/>
        </w:rPr>
        <w:t xml:space="preserve">tate despite the Committee’s request for interim measures, a safe return of a complainant and </w:t>
      </w:r>
      <w:r w:rsidR="005647C5">
        <w:rPr>
          <w:rFonts w:ascii="Times New Roman" w:hAnsi="Times New Roman" w:cs="Times New Roman"/>
          <w:lang w:val="en-GB"/>
        </w:rPr>
        <w:t>the grant of</w:t>
      </w:r>
      <w:r w:rsidR="00EF7B1B" w:rsidRPr="00C175C1">
        <w:rPr>
          <w:rFonts w:ascii="Times New Roman" w:hAnsi="Times New Roman" w:cs="Times New Roman"/>
          <w:lang w:val="en-GB"/>
        </w:rPr>
        <w:t xml:space="preserve"> a residence permit might be assessed by the Committee as a remedy to a violation of Article 22.</w:t>
      </w:r>
      <w:r w:rsidR="00EF7B1B" w:rsidRPr="00C175C1">
        <w:rPr>
          <w:rStyle w:val="FootnoteReference"/>
          <w:rFonts w:ascii="Times New Roman" w:hAnsi="Times New Roman" w:cs="Times New Roman"/>
          <w:lang w:val="en-GB"/>
        </w:rPr>
        <w:footnoteReference w:id="23"/>
      </w:r>
      <w:r w:rsidR="00EF7B1B" w:rsidRPr="00C175C1">
        <w:rPr>
          <w:rFonts w:ascii="Times New Roman" w:hAnsi="Times New Roman" w:cs="Times New Roman"/>
          <w:lang w:val="en-GB"/>
        </w:rPr>
        <w:t xml:space="preserve"> </w:t>
      </w:r>
    </w:p>
    <w:p w14:paraId="734834E8" w14:textId="77777777" w:rsidR="00797995" w:rsidRPr="00C175C1" w:rsidRDefault="00797995" w:rsidP="000E2113">
      <w:pPr>
        <w:pStyle w:val="ListParagraph"/>
        <w:tabs>
          <w:tab w:val="left" w:pos="0"/>
        </w:tabs>
        <w:ind w:left="0"/>
        <w:jc w:val="both"/>
        <w:rPr>
          <w:rFonts w:ascii="Times New Roman" w:hAnsi="Times New Roman" w:cs="Times New Roman"/>
          <w:lang w:val="en-GB"/>
        </w:rPr>
      </w:pPr>
    </w:p>
    <w:p w14:paraId="58E8F46A" w14:textId="1E40E68D" w:rsidR="00EF7B1B" w:rsidRPr="00C175C1" w:rsidRDefault="009D2EE2" w:rsidP="000E2113">
      <w:pPr>
        <w:pStyle w:val="ListParagraph"/>
        <w:tabs>
          <w:tab w:val="left" w:pos="0"/>
        </w:tabs>
        <w:ind w:left="0"/>
        <w:jc w:val="both"/>
        <w:rPr>
          <w:rFonts w:ascii="Times New Roman" w:hAnsi="Times New Roman" w:cs="Times New Roman"/>
          <w:lang w:val="en-GB"/>
        </w:rPr>
      </w:pPr>
      <w:r>
        <w:rPr>
          <w:rFonts w:ascii="Times New Roman" w:hAnsi="Times New Roman" w:cs="Times New Roman"/>
          <w:b/>
        </w:rPr>
        <w:t>9</w:t>
      </w:r>
      <w:r w:rsidR="003B06A7" w:rsidRPr="00C175C1">
        <w:rPr>
          <w:rFonts w:ascii="Times New Roman" w:hAnsi="Times New Roman" w:cs="Times New Roman"/>
          <w:b/>
        </w:rPr>
        <w:t xml:space="preserve">. </w:t>
      </w:r>
      <w:r w:rsidR="003B06A7" w:rsidRPr="00C175C1">
        <w:rPr>
          <w:rFonts w:ascii="Times New Roman" w:hAnsi="Times New Roman" w:cs="Times New Roman"/>
          <w:b/>
          <w:lang w:val="en-GB"/>
        </w:rPr>
        <w:t>The draft Comment should elaborate on the Committee’s practice related to the intimidation of complainants and receiving withdrawal of the claims, w</w:t>
      </w:r>
      <w:r w:rsidR="00FB3F67">
        <w:rPr>
          <w:rFonts w:ascii="Times New Roman" w:hAnsi="Times New Roman" w:cs="Times New Roman"/>
          <w:b/>
          <w:lang w:val="en-GB"/>
        </w:rPr>
        <w:t xml:space="preserve">hich it currently does not do. </w:t>
      </w:r>
      <w:r w:rsidR="005647C5">
        <w:rPr>
          <w:rFonts w:ascii="Times New Roman" w:hAnsi="Times New Roman" w:cs="Times New Roman"/>
          <w:lang w:val="en-GB"/>
        </w:rPr>
        <w:t>It is important to reaffirm</w:t>
      </w:r>
      <w:r w:rsidR="00EF7B1B" w:rsidRPr="00C175C1">
        <w:rPr>
          <w:rFonts w:ascii="Times New Roman" w:hAnsi="Times New Roman" w:cs="Times New Roman"/>
          <w:lang w:val="en-GB"/>
        </w:rPr>
        <w:t xml:space="preserve"> that within the framework of the procedure for individual communications set out in article 22, State parties are required to abstain from any acts of intimidation or reprisal against complainants, their </w:t>
      </w:r>
      <w:r w:rsidR="00EF7B1B" w:rsidRPr="00C175C1">
        <w:rPr>
          <w:rFonts w:ascii="Times New Roman" w:hAnsi="Times New Roman" w:cs="Times New Roman"/>
          <w:lang w:val="en-GB"/>
        </w:rPr>
        <w:lastRenderedPageBreak/>
        <w:t>families and/or authorized representatives. Such acts may include, but are not limited to, any forms of direct or indirect threats, coercion and other improper acts aimed at dissuading or discouraging complainants or potential complainants or at pressuring them to withdraw or modify their claims.</w:t>
      </w:r>
      <w:r w:rsidR="00EF7B1B" w:rsidRPr="00C175C1">
        <w:rPr>
          <w:rStyle w:val="FootnoteReference"/>
          <w:rFonts w:ascii="Times New Roman" w:hAnsi="Times New Roman" w:cs="Times New Roman"/>
          <w:lang w:val="en-GB"/>
        </w:rPr>
        <w:footnoteReference w:id="24"/>
      </w:r>
      <w:r w:rsidR="00944237" w:rsidRPr="00C175C1">
        <w:rPr>
          <w:rFonts w:ascii="Times New Roman" w:hAnsi="Times New Roman" w:cs="Times New Roman"/>
          <w:lang w:val="en-GB"/>
        </w:rPr>
        <w:t xml:space="preserve"> If the C</w:t>
      </w:r>
      <w:r w:rsidR="00EF7B1B" w:rsidRPr="00C175C1">
        <w:rPr>
          <w:rFonts w:ascii="Times New Roman" w:hAnsi="Times New Roman" w:cs="Times New Roman"/>
          <w:lang w:val="en-GB"/>
        </w:rPr>
        <w:t xml:space="preserve">ommittee receives withdrawal from communication produced under suspicious circumstances, it might find a violation of article 13 of the Convention as well as a </w:t>
      </w:r>
      <w:r w:rsidR="006E3B99">
        <w:rPr>
          <w:rFonts w:ascii="Times New Roman" w:hAnsi="Times New Roman" w:cs="Times New Roman"/>
          <w:lang w:val="en-GB"/>
        </w:rPr>
        <w:t>S</w:t>
      </w:r>
      <w:r w:rsidR="00EF7B1B" w:rsidRPr="00C175C1">
        <w:rPr>
          <w:rFonts w:ascii="Times New Roman" w:hAnsi="Times New Roman" w:cs="Times New Roman"/>
          <w:lang w:val="en-GB"/>
        </w:rPr>
        <w:t>tate party’s interference with the complainant’s right of petition</w:t>
      </w:r>
      <w:r w:rsidR="002C3626">
        <w:rPr>
          <w:rFonts w:ascii="Times New Roman" w:hAnsi="Times New Roman" w:cs="Times New Roman"/>
          <w:lang w:val="en-GB"/>
        </w:rPr>
        <w:t>, which</w:t>
      </w:r>
      <w:r w:rsidR="00EF7B1B" w:rsidRPr="00C175C1">
        <w:rPr>
          <w:rFonts w:ascii="Times New Roman" w:hAnsi="Times New Roman" w:cs="Times New Roman"/>
          <w:lang w:val="en-GB"/>
        </w:rPr>
        <w:t xml:space="preserve"> might also amount to a violation of article 22 of the Convention.</w:t>
      </w:r>
      <w:r w:rsidR="00EF7B1B" w:rsidRPr="00C175C1">
        <w:rPr>
          <w:rStyle w:val="FootnoteReference"/>
          <w:rFonts w:ascii="Times New Roman" w:hAnsi="Times New Roman" w:cs="Times New Roman"/>
          <w:lang w:val="en-GB"/>
        </w:rPr>
        <w:footnoteReference w:id="25"/>
      </w:r>
    </w:p>
    <w:p w14:paraId="49B1F15B" w14:textId="2D099981" w:rsidR="00EF7B1B" w:rsidRPr="00C175C1" w:rsidRDefault="009D2EE2" w:rsidP="000E2113">
      <w:pPr>
        <w:jc w:val="both"/>
        <w:rPr>
          <w:rFonts w:ascii="Times New Roman" w:hAnsi="Times New Roman" w:cs="Times New Roman"/>
          <w:highlight w:val="yellow"/>
        </w:rPr>
      </w:pPr>
      <w:r>
        <w:rPr>
          <w:rFonts w:ascii="Times New Roman" w:hAnsi="Times New Roman" w:cs="Times New Roman"/>
          <w:b/>
        </w:rPr>
        <w:t>10</w:t>
      </w:r>
      <w:r w:rsidR="00944237" w:rsidRPr="00C175C1">
        <w:rPr>
          <w:rFonts w:ascii="Times New Roman" w:hAnsi="Times New Roman" w:cs="Times New Roman"/>
          <w:b/>
        </w:rPr>
        <w:t xml:space="preserve">. The draft Comment should specify the obligation of State parties to comply with decisions of the Committee, which it does not currently do. </w:t>
      </w:r>
      <w:r w:rsidR="00EF7B1B" w:rsidRPr="00C175C1">
        <w:rPr>
          <w:rFonts w:ascii="Times New Roman" w:hAnsi="Times New Roman" w:cs="Times New Roman"/>
        </w:rPr>
        <w:t xml:space="preserve">By ratifying the Convention </w:t>
      </w:r>
      <w:r w:rsidR="00EF7B1B" w:rsidRPr="00C175C1">
        <w:rPr>
          <w:rFonts w:ascii="Times New Roman" w:hAnsi="Times New Roman" w:cs="Times New Roman"/>
          <w:bCs/>
        </w:rPr>
        <w:t>and making a declaration under its</w:t>
      </w:r>
      <w:r w:rsidR="002C3626">
        <w:rPr>
          <w:rFonts w:ascii="Times New Roman" w:hAnsi="Times New Roman" w:cs="Times New Roman"/>
        </w:rPr>
        <w:t xml:space="preserve"> Article 22 (1), S</w:t>
      </w:r>
      <w:r w:rsidR="00EF7B1B" w:rsidRPr="00C175C1">
        <w:rPr>
          <w:rFonts w:ascii="Times New Roman" w:hAnsi="Times New Roman" w:cs="Times New Roman"/>
        </w:rPr>
        <w:t xml:space="preserve">tates </w:t>
      </w:r>
      <w:r w:rsidR="00944237" w:rsidRPr="00C175C1">
        <w:rPr>
          <w:rFonts w:ascii="Times New Roman" w:hAnsi="Times New Roman" w:cs="Times New Roman"/>
        </w:rPr>
        <w:t xml:space="preserve">have </w:t>
      </w:r>
      <w:r w:rsidR="00EF7B1B" w:rsidRPr="00C175C1">
        <w:rPr>
          <w:rFonts w:ascii="Times New Roman" w:hAnsi="Times New Roman" w:cs="Times New Roman"/>
        </w:rPr>
        <w:t>accepted a duty to implement and respect t</w:t>
      </w:r>
      <w:r w:rsidR="002C3626">
        <w:rPr>
          <w:rFonts w:ascii="Times New Roman" w:hAnsi="Times New Roman" w:cs="Times New Roman"/>
        </w:rPr>
        <w:t xml:space="preserve">he legal obligations set out </w:t>
      </w:r>
      <w:r w:rsidR="00EF7B1B" w:rsidRPr="00C175C1">
        <w:rPr>
          <w:rFonts w:ascii="Times New Roman" w:hAnsi="Times New Roman" w:cs="Times New Roman"/>
        </w:rPr>
        <w:t>therein. These include an implied obligation to comply with Committee’s decisions in good faith.</w:t>
      </w:r>
      <w:r w:rsidR="00EF7B1B" w:rsidRPr="00C175C1">
        <w:rPr>
          <w:rStyle w:val="FootnoteReference"/>
          <w:rFonts w:ascii="Times New Roman" w:hAnsi="Times New Roman" w:cs="Times New Roman"/>
        </w:rPr>
        <w:footnoteReference w:id="26"/>
      </w:r>
      <w:r w:rsidR="005647C5" w:rsidRPr="00C175C1">
        <w:rPr>
          <w:rFonts w:ascii="Times New Roman" w:hAnsi="Times New Roman" w:cs="Times New Roman"/>
          <w:highlight w:val="yellow"/>
        </w:rPr>
        <w:t xml:space="preserve"> </w:t>
      </w:r>
    </w:p>
    <w:p w14:paraId="6D9A258F" w14:textId="3E6EA98D" w:rsidR="00EF7B1B" w:rsidRPr="00C175C1" w:rsidRDefault="009D2EE2" w:rsidP="000E2113">
      <w:pPr>
        <w:jc w:val="both"/>
        <w:rPr>
          <w:rFonts w:ascii="Times New Roman" w:hAnsi="Times New Roman" w:cs="Times New Roman"/>
        </w:rPr>
      </w:pPr>
      <w:r>
        <w:rPr>
          <w:rFonts w:ascii="Times New Roman" w:hAnsi="Times New Roman" w:cs="Times New Roman"/>
          <w:b/>
        </w:rPr>
        <w:t>11</w:t>
      </w:r>
      <w:r w:rsidR="00944237" w:rsidRPr="00C175C1">
        <w:rPr>
          <w:rFonts w:ascii="Times New Roman" w:hAnsi="Times New Roman" w:cs="Times New Roman"/>
          <w:b/>
        </w:rPr>
        <w:t xml:space="preserve">. </w:t>
      </w:r>
      <w:r w:rsidR="00EF7B1B" w:rsidRPr="002C3626">
        <w:rPr>
          <w:rFonts w:ascii="Times New Roman" w:hAnsi="Times New Roman" w:cs="Times New Roman"/>
        </w:rPr>
        <w:t xml:space="preserve">In addition to highlighting the obligation of </w:t>
      </w:r>
      <w:r w:rsidR="00944237" w:rsidRPr="002C3626">
        <w:rPr>
          <w:rFonts w:ascii="Times New Roman" w:hAnsi="Times New Roman" w:cs="Times New Roman"/>
        </w:rPr>
        <w:t>S</w:t>
      </w:r>
      <w:r w:rsidR="00EF7B1B" w:rsidRPr="002C3626">
        <w:rPr>
          <w:rFonts w:ascii="Times New Roman" w:hAnsi="Times New Roman" w:cs="Times New Roman"/>
        </w:rPr>
        <w:t xml:space="preserve">tate parties to </w:t>
      </w:r>
      <w:r w:rsidR="00944237" w:rsidRPr="002C3626">
        <w:rPr>
          <w:rFonts w:ascii="Times New Roman" w:hAnsi="Times New Roman" w:cs="Times New Roman"/>
        </w:rPr>
        <w:t>comply with</w:t>
      </w:r>
      <w:r w:rsidR="00EF7B1B" w:rsidRPr="002C3626">
        <w:rPr>
          <w:rFonts w:ascii="Times New Roman" w:hAnsi="Times New Roman" w:cs="Times New Roman"/>
        </w:rPr>
        <w:t xml:space="preserve"> the decisions of the Committee</w:t>
      </w:r>
      <w:r w:rsidR="00944237" w:rsidRPr="002C3626">
        <w:rPr>
          <w:rFonts w:ascii="Times New Roman" w:hAnsi="Times New Roman" w:cs="Times New Roman"/>
        </w:rPr>
        <w:t xml:space="preserve">, </w:t>
      </w:r>
      <w:r w:rsidR="00944237" w:rsidRPr="009D2EE2">
        <w:rPr>
          <w:rFonts w:ascii="Times New Roman" w:hAnsi="Times New Roman" w:cs="Times New Roman"/>
          <w:b/>
        </w:rPr>
        <w:t xml:space="preserve">the </w:t>
      </w:r>
      <w:r w:rsidR="002C3626">
        <w:rPr>
          <w:rFonts w:ascii="Times New Roman" w:hAnsi="Times New Roman" w:cs="Times New Roman"/>
          <w:b/>
        </w:rPr>
        <w:t>draft Comment should encourage S</w:t>
      </w:r>
      <w:r w:rsidR="00944237" w:rsidRPr="009D2EE2">
        <w:rPr>
          <w:rFonts w:ascii="Times New Roman" w:hAnsi="Times New Roman" w:cs="Times New Roman"/>
          <w:b/>
        </w:rPr>
        <w:t xml:space="preserve">tates to </w:t>
      </w:r>
      <w:r w:rsidR="00A1645D" w:rsidRPr="009D2EE2">
        <w:rPr>
          <w:rFonts w:ascii="Times New Roman" w:hAnsi="Times New Roman" w:cs="Times New Roman"/>
          <w:b/>
        </w:rPr>
        <w:t xml:space="preserve">institutionalize the implementation of decisions at the </w:t>
      </w:r>
      <w:r w:rsidR="00944237" w:rsidRPr="009D2EE2">
        <w:rPr>
          <w:rFonts w:ascii="Times New Roman" w:hAnsi="Times New Roman" w:cs="Times New Roman"/>
          <w:b/>
        </w:rPr>
        <w:t>national level</w:t>
      </w:r>
      <w:r w:rsidR="00944237" w:rsidRPr="00C175C1">
        <w:rPr>
          <w:rFonts w:ascii="Times New Roman" w:hAnsi="Times New Roman" w:cs="Times New Roman"/>
          <w:b/>
        </w:rPr>
        <w:t>.</w:t>
      </w:r>
      <w:r w:rsidR="00EF7B1B" w:rsidRPr="00C175C1">
        <w:rPr>
          <w:rFonts w:ascii="Times New Roman" w:hAnsi="Times New Roman" w:cs="Times New Roman"/>
        </w:rPr>
        <w:t xml:space="preserve"> </w:t>
      </w:r>
      <w:r w:rsidR="00A1645D" w:rsidRPr="00C175C1">
        <w:rPr>
          <w:rStyle w:val="FootnoteReference"/>
          <w:rFonts w:ascii="Times New Roman" w:hAnsi="Times New Roman" w:cs="Times New Roman"/>
        </w:rPr>
        <w:footnoteReference w:id="27"/>
      </w:r>
    </w:p>
    <w:p w14:paraId="7B39871B" w14:textId="77777777" w:rsidR="00A37763" w:rsidRPr="00C175C1" w:rsidRDefault="00A37763" w:rsidP="003924EA">
      <w:pPr>
        <w:spacing w:after="0" w:line="240" w:lineRule="auto"/>
        <w:rPr>
          <w:rFonts w:ascii="Times New Roman" w:hAnsi="Times New Roman" w:cs="Times New Roman"/>
        </w:rPr>
      </w:pPr>
    </w:p>
    <w:sectPr w:rsidR="00A37763" w:rsidRPr="00C175C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707ED9" w14:textId="77777777" w:rsidR="008F2CEA" w:rsidRDefault="008F2CEA" w:rsidP="00BC42FE">
      <w:pPr>
        <w:spacing w:after="0" w:line="240" w:lineRule="auto"/>
      </w:pPr>
      <w:r>
        <w:separator/>
      </w:r>
    </w:p>
  </w:endnote>
  <w:endnote w:type="continuationSeparator" w:id="0">
    <w:p w14:paraId="73179862" w14:textId="77777777" w:rsidR="008F2CEA" w:rsidRDefault="008F2CEA" w:rsidP="00BC4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Neue">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884924"/>
      <w:docPartObj>
        <w:docPartGallery w:val="Page Numbers (Bottom of Page)"/>
        <w:docPartUnique/>
      </w:docPartObj>
    </w:sdtPr>
    <w:sdtEndPr>
      <w:rPr>
        <w:rFonts w:ascii="Times New Roman" w:hAnsi="Times New Roman" w:cs="Times New Roman"/>
        <w:noProof/>
      </w:rPr>
    </w:sdtEndPr>
    <w:sdtContent>
      <w:p w14:paraId="6D3BAF59" w14:textId="77777777" w:rsidR="008F2CEA" w:rsidRPr="00D56865" w:rsidRDefault="008F2CEA">
        <w:pPr>
          <w:pStyle w:val="Footer"/>
          <w:jc w:val="right"/>
          <w:rPr>
            <w:rFonts w:ascii="Times New Roman" w:hAnsi="Times New Roman" w:cs="Times New Roman"/>
          </w:rPr>
        </w:pPr>
        <w:r w:rsidRPr="00D56865">
          <w:rPr>
            <w:rFonts w:ascii="Times New Roman" w:hAnsi="Times New Roman" w:cs="Times New Roman"/>
          </w:rPr>
          <w:fldChar w:fldCharType="begin"/>
        </w:r>
        <w:r w:rsidRPr="00D56865">
          <w:rPr>
            <w:rFonts w:ascii="Times New Roman" w:hAnsi="Times New Roman" w:cs="Times New Roman"/>
          </w:rPr>
          <w:instrText xml:space="preserve"> PAGE   \* MERGEFORMAT </w:instrText>
        </w:r>
        <w:r w:rsidRPr="00D56865">
          <w:rPr>
            <w:rFonts w:ascii="Times New Roman" w:hAnsi="Times New Roman" w:cs="Times New Roman"/>
          </w:rPr>
          <w:fldChar w:fldCharType="separate"/>
        </w:r>
        <w:r w:rsidR="004844C1">
          <w:rPr>
            <w:rFonts w:ascii="Times New Roman" w:hAnsi="Times New Roman" w:cs="Times New Roman"/>
            <w:noProof/>
          </w:rPr>
          <w:t>5</w:t>
        </w:r>
        <w:r w:rsidRPr="00D56865">
          <w:rPr>
            <w:rFonts w:ascii="Times New Roman" w:hAnsi="Times New Roman" w:cs="Times New Roman"/>
            <w:noProof/>
          </w:rPr>
          <w:fldChar w:fldCharType="end"/>
        </w:r>
      </w:p>
    </w:sdtContent>
  </w:sdt>
  <w:p w14:paraId="25C2E14B" w14:textId="77777777" w:rsidR="008F2CEA" w:rsidRDefault="008F2C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3B8E0" w14:textId="77777777" w:rsidR="008F2CEA" w:rsidRDefault="008F2CEA" w:rsidP="00BC42FE">
      <w:pPr>
        <w:spacing w:after="0" w:line="240" w:lineRule="auto"/>
      </w:pPr>
      <w:r>
        <w:separator/>
      </w:r>
    </w:p>
  </w:footnote>
  <w:footnote w:type="continuationSeparator" w:id="0">
    <w:p w14:paraId="41589553" w14:textId="77777777" w:rsidR="008F2CEA" w:rsidRDefault="008F2CEA" w:rsidP="00BC42FE">
      <w:pPr>
        <w:spacing w:after="0" w:line="240" w:lineRule="auto"/>
      </w:pPr>
      <w:r>
        <w:continuationSeparator/>
      </w:r>
    </w:p>
  </w:footnote>
  <w:footnote w:id="1">
    <w:p w14:paraId="44D5C6DD" w14:textId="77777777" w:rsidR="008F2CEA" w:rsidRPr="002E3974" w:rsidRDefault="008F2CEA" w:rsidP="000E2113">
      <w:pPr>
        <w:pStyle w:val="FootnoteText"/>
        <w:jc w:val="both"/>
        <w:rPr>
          <w:rFonts w:ascii="Times New Roman" w:hAnsi="Times New Roman" w:cs="Times New Roman"/>
        </w:rPr>
      </w:pPr>
      <w:r w:rsidRPr="002E3974">
        <w:rPr>
          <w:rStyle w:val="FootnoteReference"/>
          <w:rFonts w:ascii="Times New Roman" w:hAnsi="Times New Roman" w:cs="Times New Roman"/>
        </w:rPr>
        <w:footnoteRef/>
      </w:r>
      <w:r w:rsidRPr="002E3974">
        <w:rPr>
          <w:rFonts w:ascii="Times New Roman" w:hAnsi="Times New Roman" w:cs="Times New Roman"/>
        </w:rPr>
        <w:t xml:space="preserve"> Nowak and McArthur, </w:t>
      </w:r>
      <w:r w:rsidRPr="002E3974">
        <w:rPr>
          <w:rFonts w:ascii="Times New Roman" w:hAnsi="Times New Roman" w:cs="Times New Roman"/>
          <w:i/>
        </w:rPr>
        <w:t>The United Nations Convention against Torture: A Commentary</w:t>
      </w:r>
      <w:r w:rsidRPr="002E3974">
        <w:rPr>
          <w:rFonts w:ascii="Times New Roman" w:hAnsi="Times New Roman" w:cs="Times New Roman"/>
        </w:rPr>
        <w:t xml:space="preserve"> (2008), p.195-196.</w:t>
      </w:r>
    </w:p>
  </w:footnote>
  <w:footnote w:id="2">
    <w:p w14:paraId="583ADC28" w14:textId="77777777" w:rsidR="008F2CEA" w:rsidRPr="002E3974" w:rsidRDefault="008F2CEA" w:rsidP="000E2113">
      <w:pPr>
        <w:pStyle w:val="FootnoteText"/>
        <w:jc w:val="both"/>
        <w:rPr>
          <w:rFonts w:ascii="Times New Roman" w:hAnsi="Times New Roman" w:cs="Times New Roman"/>
        </w:rPr>
      </w:pPr>
      <w:r w:rsidRPr="002E3974">
        <w:rPr>
          <w:rStyle w:val="FootnoteReference"/>
          <w:rFonts w:ascii="Times New Roman" w:hAnsi="Times New Roman" w:cs="Times New Roman"/>
        </w:rPr>
        <w:footnoteRef/>
      </w:r>
      <w:r w:rsidRPr="002E3974">
        <w:rPr>
          <w:rFonts w:ascii="Times New Roman" w:hAnsi="Times New Roman" w:cs="Times New Roman"/>
        </w:rPr>
        <w:t xml:space="preserve"> U.N. Human Rights Council, A/HRC/16/L.12, 21 March 2011, para. </w:t>
      </w:r>
      <w:proofErr w:type="gramStart"/>
      <w:r w:rsidRPr="002E3974">
        <w:rPr>
          <w:rFonts w:ascii="Times New Roman" w:hAnsi="Times New Roman" w:cs="Times New Roman"/>
        </w:rPr>
        <w:t>7(d); U.N. General Assembly, A/RES/62/148, 4 March 2008, para.</w:t>
      </w:r>
      <w:proofErr w:type="gramEnd"/>
      <w:r w:rsidRPr="002E3974">
        <w:rPr>
          <w:rFonts w:ascii="Times New Roman" w:hAnsi="Times New Roman" w:cs="Times New Roman"/>
        </w:rPr>
        <w:t xml:space="preserve"> 12. </w:t>
      </w:r>
    </w:p>
  </w:footnote>
  <w:footnote w:id="3">
    <w:p w14:paraId="651CDC7F" w14:textId="77777777" w:rsidR="008F2CEA" w:rsidRPr="002E3974" w:rsidRDefault="008F2CEA" w:rsidP="000E2113">
      <w:pPr>
        <w:pStyle w:val="FootnoteText"/>
        <w:jc w:val="both"/>
        <w:rPr>
          <w:rFonts w:ascii="Times New Roman" w:hAnsi="Times New Roman" w:cs="Times New Roman"/>
        </w:rPr>
      </w:pPr>
      <w:r w:rsidRPr="002E3974">
        <w:rPr>
          <w:rStyle w:val="FootnoteReference"/>
          <w:rFonts w:ascii="Times New Roman" w:hAnsi="Times New Roman" w:cs="Times New Roman"/>
        </w:rPr>
        <w:footnoteRef/>
      </w:r>
      <w:r w:rsidRPr="002E3974">
        <w:rPr>
          <w:rFonts w:ascii="Times New Roman" w:hAnsi="Times New Roman" w:cs="Times New Roman"/>
        </w:rPr>
        <w:t xml:space="preserve"> See, </w:t>
      </w:r>
      <w:r w:rsidRPr="002E3974">
        <w:rPr>
          <w:rFonts w:ascii="Times New Roman" w:hAnsi="Times New Roman" w:cs="Times New Roman"/>
          <w:i/>
        </w:rPr>
        <w:t>Interim report of the Special Rapporteur on torture and other cruel, inhuman or degrading treatment or punishment</w:t>
      </w:r>
      <w:r w:rsidRPr="002E3974">
        <w:rPr>
          <w:rFonts w:ascii="Times New Roman" w:hAnsi="Times New Roman" w:cs="Times New Roman"/>
        </w:rPr>
        <w:t>, A/70/303, 7 August 2015,</w:t>
      </w:r>
      <w:r w:rsidRPr="002E3974">
        <w:rPr>
          <w:rFonts w:ascii="Times New Roman" w:eastAsiaTheme="minorEastAsia" w:hAnsi="Times New Roman" w:cs="Times New Roman"/>
          <w:w w:val="103"/>
          <w:lang w:eastAsia="zh-CN"/>
        </w:rPr>
        <w:t xml:space="preserve"> para.</w:t>
      </w:r>
      <w:r w:rsidRPr="002E3974">
        <w:rPr>
          <w:rFonts w:ascii="Times New Roman" w:hAnsi="Times New Roman" w:cs="Times New Roman"/>
        </w:rPr>
        <w:t xml:space="preserve"> 38 (“the individual being transferred need not cross an international border for [the non-</w:t>
      </w:r>
      <w:proofErr w:type="spellStart"/>
      <w:r w:rsidRPr="002E3974">
        <w:rPr>
          <w:rFonts w:ascii="Times New Roman" w:hAnsi="Times New Roman" w:cs="Times New Roman"/>
        </w:rPr>
        <w:t>refoulement</w:t>
      </w:r>
      <w:proofErr w:type="spellEnd"/>
      <w:r w:rsidRPr="002E3974">
        <w:rPr>
          <w:rFonts w:ascii="Times New Roman" w:hAnsi="Times New Roman" w:cs="Times New Roman"/>
        </w:rPr>
        <w:t>] obligation to apply.”)</w:t>
      </w:r>
    </w:p>
  </w:footnote>
  <w:footnote w:id="4">
    <w:p w14:paraId="1F43D88B" w14:textId="77777777" w:rsidR="008F2CEA" w:rsidRPr="002E3974" w:rsidRDefault="008F2CEA" w:rsidP="000E2113">
      <w:pPr>
        <w:pStyle w:val="FootnoteText"/>
        <w:jc w:val="both"/>
        <w:rPr>
          <w:rFonts w:ascii="Times New Roman" w:hAnsi="Times New Roman" w:cs="Times New Roman"/>
        </w:rPr>
      </w:pPr>
      <w:r w:rsidRPr="002E3974">
        <w:rPr>
          <w:rStyle w:val="FootnoteReference"/>
          <w:rFonts w:ascii="Times New Roman" w:hAnsi="Times New Roman" w:cs="Times New Roman"/>
        </w:rPr>
        <w:footnoteRef/>
      </w:r>
      <w:r w:rsidRPr="002E3974">
        <w:rPr>
          <w:rFonts w:ascii="Times New Roman" w:hAnsi="Times New Roman" w:cs="Times New Roman"/>
        </w:rPr>
        <w:t xml:space="preserve"> UNCAT, CAT/C/CAN/CO/6, para. 11.</w:t>
      </w:r>
    </w:p>
  </w:footnote>
  <w:footnote w:id="5">
    <w:p w14:paraId="08D70F43" w14:textId="77777777" w:rsidR="008F2CEA" w:rsidRPr="002E3974" w:rsidRDefault="008F2CEA" w:rsidP="000E2113">
      <w:pPr>
        <w:pStyle w:val="FootnoteText"/>
        <w:jc w:val="both"/>
        <w:rPr>
          <w:rFonts w:ascii="Times New Roman" w:hAnsi="Times New Roman" w:cs="Times New Roman"/>
        </w:rPr>
      </w:pPr>
      <w:r w:rsidRPr="002E3974">
        <w:rPr>
          <w:rStyle w:val="FootnoteReference"/>
          <w:rFonts w:ascii="Times New Roman" w:hAnsi="Times New Roman" w:cs="Times New Roman"/>
        </w:rPr>
        <w:footnoteRef/>
      </w:r>
      <w:r w:rsidRPr="002E3974">
        <w:rPr>
          <w:rFonts w:ascii="Times New Roman" w:hAnsi="Times New Roman" w:cs="Times New Roman"/>
        </w:rPr>
        <w:t xml:space="preserve"> UNCAT, CAT/C/GBR/CO/5, para. 19. </w:t>
      </w:r>
    </w:p>
  </w:footnote>
  <w:footnote w:id="6">
    <w:p w14:paraId="3D712ABF" w14:textId="30923F78" w:rsidR="008F2CEA" w:rsidRPr="002E3974" w:rsidRDefault="008F2CEA" w:rsidP="000E2113">
      <w:pPr>
        <w:pStyle w:val="FootnoteText"/>
        <w:jc w:val="both"/>
        <w:rPr>
          <w:rFonts w:ascii="Times New Roman" w:hAnsi="Times New Roman" w:cs="Times New Roman"/>
        </w:rPr>
      </w:pPr>
      <w:r w:rsidRPr="002E3974">
        <w:rPr>
          <w:rStyle w:val="FootnoteReference"/>
          <w:rFonts w:ascii="Times New Roman" w:hAnsi="Times New Roman" w:cs="Times New Roman"/>
        </w:rPr>
        <w:footnoteRef/>
      </w:r>
      <w:r w:rsidRPr="002E3974">
        <w:rPr>
          <w:rFonts w:ascii="Times New Roman" w:hAnsi="Times New Roman" w:cs="Times New Roman"/>
        </w:rPr>
        <w:t xml:space="preserve"> CAT, Ra</w:t>
      </w:r>
      <w:r w:rsidRPr="006341B5">
        <w:rPr>
          <w:rFonts w:ascii="Times New Roman" w:hAnsi="Times New Roman" w:cs="Times New Roman"/>
        </w:rPr>
        <w:t xml:space="preserve">pporteur on Follow-Up, CAT/C/SR.717 at para 60; see also </w:t>
      </w:r>
      <w:r w:rsidRPr="009D6348">
        <w:rPr>
          <w:rFonts w:ascii="Times New Roman" w:hAnsi="Times New Roman" w:cs="Times New Roman"/>
        </w:rPr>
        <w:t>Dar v Norway, at para 16.3.</w:t>
      </w:r>
    </w:p>
  </w:footnote>
  <w:footnote w:id="7">
    <w:p w14:paraId="37058A43" w14:textId="1B97A147" w:rsidR="008F2CEA" w:rsidRPr="000A5C4A" w:rsidRDefault="008F2CEA" w:rsidP="008F2CEA">
      <w:pPr>
        <w:pStyle w:val="FootnoteText"/>
        <w:jc w:val="both"/>
        <w:rPr>
          <w:rFonts w:ascii="Times New Roman" w:hAnsi="Times New Roman" w:cs="Times New Roman"/>
        </w:rPr>
      </w:pPr>
      <w:r w:rsidRPr="002E3974">
        <w:rPr>
          <w:rStyle w:val="FootnoteReference"/>
          <w:rFonts w:ascii="Times New Roman" w:hAnsi="Times New Roman" w:cs="Times New Roman"/>
        </w:rPr>
        <w:footnoteRef/>
      </w:r>
      <w:r w:rsidRPr="002E3974">
        <w:rPr>
          <w:rFonts w:ascii="Times New Roman" w:hAnsi="Times New Roman" w:cs="Times New Roman"/>
        </w:rPr>
        <w:t xml:space="preserve"> </w:t>
      </w:r>
      <w:r w:rsidRPr="000A5C4A">
        <w:rPr>
          <w:rFonts w:ascii="Times New Roman" w:hAnsi="Times New Roman" w:cs="Times New Roman"/>
        </w:rPr>
        <w:t xml:space="preserve">UNCAT, </w:t>
      </w:r>
      <w:proofErr w:type="spellStart"/>
      <w:r w:rsidRPr="000A5C4A">
        <w:rPr>
          <w:rFonts w:ascii="Times New Roman" w:hAnsi="Times New Roman" w:cs="Times New Roman"/>
          <w:i/>
        </w:rPr>
        <w:t>Agiza</w:t>
      </w:r>
      <w:proofErr w:type="spellEnd"/>
      <w:r w:rsidRPr="000A5C4A">
        <w:rPr>
          <w:rFonts w:ascii="Times New Roman" w:hAnsi="Times New Roman" w:cs="Times New Roman"/>
          <w:i/>
        </w:rPr>
        <w:t xml:space="preserve"> v. Sweden</w:t>
      </w:r>
      <w:r w:rsidRPr="000A5C4A">
        <w:rPr>
          <w:rFonts w:ascii="Times New Roman" w:hAnsi="Times New Roman" w:cs="Times New Roman"/>
        </w:rPr>
        <w:t xml:space="preserve">, </w:t>
      </w:r>
      <w:r w:rsidRPr="000A5C4A">
        <w:rPr>
          <w:rFonts w:ascii="Times New Roman" w:hAnsi="Times New Roman" w:cs="Times New Roman"/>
          <w:bCs/>
        </w:rPr>
        <w:t>Communication No. 233/2003, 20 May 2005, para</w:t>
      </w:r>
      <w:r w:rsidRPr="000A5C4A">
        <w:rPr>
          <w:rFonts w:ascii="Times New Roman" w:hAnsi="Times New Roman" w:cs="Times New Roman"/>
        </w:rPr>
        <w:t xml:space="preserve">. 13.7; UNCAT, </w:t>
      </w:r>
      <w:proofErr w:type="spellStart"/>
      <w:r w:rsidRPr="000A5C4A">
        <w:rPr>
          <w:rFonts w:ascii="Times New Roman" w:hAnsi="Times New Roman" w:cs="Times New Roman"/>
          <w:i/>
        </w:rPr>
        <w:t>Tebourski</w:t>
      </w:r>
      <w:proofErr w:type="spellEnd"/>
      <w:r w:rsidRPr="000A5C4A">
        <w:rPr>
          <w:rFonts w:ascii="Times New Roman" w:hAnsi="Times New Roman" w:cs="Times New Roman"/>
          <w:i/>
        </w:rPr>
        <w:t xml:space="preserve"> v. France</w:t>
      </w:r>
      <w:r w:rsidRPr="000A5C4A">
        <w:rPr>
          <w:rFonts w:ascii="Times New Roman" w:hAnsi="Times New Roman" w:cs="Times New Roman"/>
        </w:rPr>
        <w:t xml:space="preserve">, Communication No. 300/2006, 11 May 2007, para 7.3; UNCAT, </w:t>
      </w:r>
      <w:r w:rsidRPr="000A5C4A">
        <w:rPr>
          <w:rFonts w:ascii="Times New Roman" w:hAnsi="Times New Roman" w:cs="Times New Roman"/>
          <w:i/>
        </w:rPr>
        <w:t>Concluding observations on the sixth periodic report of Ukraine</w:t>
      </w:r>
      <w:r w:rsidRPr="000A5C4A">
        <w:rPr>
          <w:rFonts w:ascii="Times New Roman" w:hAnsi="Times New Roman" w:cs="Times New Roman"/>
        </w:rPr>
        <w:t xml:space="preserve">, CAT/C/UKR/CO/6, 12 December 2014, para. </w:t>
      </w:r>
      <w:proofErr w:type="gramStart"/>
      <w:r w:rsidRPr="000A5C4A">
        <w:rPr>
          <w:rFonts w:ascii="Times New Roman" w:hAnsi="Times New Roman" w:cs="Times New Roman"/>
        </w:rPr>
        <w:t>17(c).</w:t>
      </w:r>
      <w:proofErr w:type="gramEnd"/>
      <w:r w:rsidRPr="000A5C4A">
        <w:rPr>
          <w:rFonts w:ascii="Times New Roman" w:hAnsi="Times New Roman" w:cs="Times New Roman"/>
        </w:rPr>
        <w:t xml:space="preserve"> See, also, ECtHR, </w:t>
      </w:r>
      <w:proofErr w:type="spellStart"/>
      <w:r w:rsidRPr="000A5C4A">
        <w:rPr>
          <w:rFonts w:ascii="Times New Roman" w:hAnsi="Times New Roman" w:cs="Times New Roman"/>
          <w:i/>
        </w:rPr>
        <w:t>Čonka</w:t>
      </w:r>
      <w:proofErr w:type="spellEnd"/>
      <w:r w:rsidRPr="000A5C4A">
        <w:rPr>
          <w:rFonts w:ascii="Times New Roman" w:hAnsi="Times New Roman" w:cs="Times New Roman"/>
          <w:i/>
        </w:rPr>
        <w:t xml:space="preserve"> v B</w:t>
      </w:r>
      <w:r w:rsidRPr="000A5C4A">
        <w:rPr>
          <w:rFonts w:ascii="Times New Roman" w:hAnsi="Times New Roman" w:cs="Times New Roman"/>
          <w:vanish/>
          <w:shd w:val="clear" w:color="auto" w:fill="FFFFFF"/>
        </w:rPr>
        <w:t>similar to fonsider adopting theas such.der Article 3 e remedy.us f this right.an Rights, whihc by a competent, effective and ac</w:t>
      </w:r>
      <w:r w:rsidRPr="000A5C4A">
        <w:rPr>
          <w:rFonts w:ascii="Times New Roman" w:hAnsi="Times New Roman" w:cs="Times New Roman"/>
          <w:i/>
        </w:rPr>
        <w:t>elgium</w:t>
      </w:r>
      <w:r w:rsidRPr="000A5C4A">
        <w:rPr>
          <w:rFonts w:ascii="Times New Roman" w:hAnsi="Times New Roman" w:cs="Times New Roman"/>
        </w:rPr>
        <w:t xml:space="preserve">. </w:t>
      </w:r>
      <w:proofErr w:type="gramStart"/>
      <w:r w:rsidRPr="000A5C4A">
        <w:rPr>
          <w:rFonts w:ascii="Times New Roman" w:hAnsi="Times New Roman" w:cs="Times New Roman"/>
          <w:iCs/>
        </w:rPr>
        <w:t>Application no. 51564/99, 5 February 2002, para.</w:t>
      </w:r>
      <w:proofErr w:type="gramEnd"/>
      <w:r w:rsidRPr="000A5C4A">
        <w:rPr>
          <w:rFonts w:ascii="Times New Roman" w:hAnsi="Times New Roman" w:cs="Times New Roman"/>
          <w:iCs/>
        </w:rPr>
        <w:t xml:space="preserve"> </w:t>
      </w:r>
      <w:proofErr w:type="gramStart"/>
      <w:r w:rsidRPr="000A5C4A">
        <w:rPr>
          <w:rFonts w:ascii="Times New Roman" w:hAnsi="Times New Roman" w:cs="Times New Roman"/>
          <w:iCs/>
        </w:rPr>
        <w:t>79 &amp; 83</w:t>
      </w:r>
      <w:r>
        <w:rPr>
          <w:rFonts w:ascii="Times New Roman" w:hAnsi="Times New Roman" w:cs="Times New Roman"/>
          <w:iCs/>
        </w:rPr>
        <w:t>.</w:t>
      </w:r>
      <w:proofErr w:type="gramEnd"/>
    </w:p>
  </w:footnote>
  <w:footnote w:id="8">
    <w:p w14:paraId="1DA8DE12" w14:textId="77777777" w:rsidR="008F2CEA" w:rsidRPr="000A5C4A" w:rsidRDefault="008F2CEA" w:rsidP="008F2CEA">
      <w:pPr>
        <w:pStyle w:val="Heading2"/>
        <w:spacing w:before="0" w:beforeAutospacing="0" w:after="0" w:afterAutospacing="0"/>
        <w:jc w:val="both"/>
        <w:rPr>
          <w:sz w:val="20"/>
          <w:szCs w:val="20"/>
        </w:rPr>
      </w:pPr>
      <w:r w:rsidRPr="000A5C4A">
        <w:rPr>
          <w:rStyle w:val="FootnoteReference"/>
          <w:b w:val="0"/>
          <w:sz w:val="20"/>
          <w:szCs w:val="20"/>
        </w:rPr>
        <w:footnoteRef/>
      </w:r>
      <w:r w:rsidRPr="000A5C4A">
        <w:rPr>
          <w:b w:val="0"/>
          <w:sz w:val="20"/>
          <w:szCs w:val="20"/>
        </w:rPr>
        <w:t xml:space="preserve"> </w:t>
      </w:r>
      <w:r w:rsidRPr="000A5C4A">
        <w:rPr>
          <w:b w:val="0"/>
          <w:iCs/>
          <w:sz w:val="20"/>
          <w:szCs w:val="20"/>
        </w:rPr>
        <w:t xml:space="preserve">UNCAT, </w:t>
      </w:r>
      <w:r w:rsidRPr="000A5C4A">
        <w:rPr>
          <w:b w:val="0"/>
          <w:i/>
          <w:iCs/>
          <w:sz w:val="20"/>
          <w:szCs w:val="20"/>
        </w:rPr>
        <w:t>X. v. Kazakhstan</w:t>
      </w:r>
      <w:r w:rsidRPr="000A5C4A">
        <w:rPr>
          <w:b w:val="0"/>
          <w:iCs/>
          <w:sz w:val="20"/>
          <w:szCs w:val="20"/>
        </w:rPr>
        <w:t xml:space="preserve">, Communication No. 554/2013, 3 August 2015, para. 12.7; </w:t>
      </w:r>
      <w:r w:rsidRPr="000A5C4A">
        <w:rPr>
          <w:b w:val="0"/>
          <w:sz w:val="20"/>
          <w:szCs w:val="20"/>
        </w:rPr>
        <w:t xml:space="preserve">UNCAT, </w:t>
      </w:r>
      <w:r w:rsidRPr="000A5C4A">
        <w:rPr>
          <w:b w:val="0"/>
          <w:i/>
          <w:sz w:val="20"/>
          <w:szCs w:val="20"/>
        </w:rPr>
        <w:t>Concluding observations on the fifth periodic report of Israel</w:t>
      </w:r>
      <w:r w:rsidRPr="000A5C4A">
        <w:rPr>
          <w:b w:val="0"/>
          <w:sz w:val="20"/>
          <w:szCs w:val="20"/>
        </w:rPr>
        <w:t xml:space="preserve">, CAT/C/ISR/CO/5, 3 June 2016, para. 47(a); UNCAT, </w:t>
      </w:r>
      <w:r w:rsidRPr="000A5C4A">
        <w:rPr>
          <w:b w:val="0"/>
          <w:i/>
          <w:sz w:val="20"/>
          <w:szCs w:val="20"/>
        </w:rPr>
        <w:t>Concluding observations on the fifth periodic report of China</w:t>
      </w:r>
      <w:r w:rsidRPr="000A5C4A">
        <w:rPr>
          <w:b w:val="0"/>
          <w:sz w:val="20"/>
          <w:szCs w:val="20"/>
        </w:rPr>
        <w:t xml:space="preserve">, CAT/C/CHN/CO/5, 3 February 2016, para. 48. The ECtHR similarly requires “rigorous scrutiny.” ECtHR, </w:t>
      </w:r>
      <w:proofErr w:type="spellStart"/>
      <w:r w:rsidRPr="000A5C4A">
        <w:rPr>
          <w:b w:val="0"/>
          <w:i/>
          <w:sz w:val="20"/>
          <w:szCs w:val="20"/>
        </w:rPr>
        <w:t>Abdolkani</w:t>
      </w:r>
      <w:proofErr w:type="spellEnd"/>
      <w:r w:rsidRPr="000A5C4A">
        <w:rPr>
          <w:b w:val="0"/>
          <w:i/>
          <w:sz w:val="20"/>
          <w:szCs w:val="20"/>
        </w:rPr>
        <w:t xml:space="preserve"> and </w:t>
      </w:r>
      <w:proofErr w:type="spellStart"/>
      <w:r w:rsidRPr="000A5C4A">
        <w:rPr>
          <w:b w:val="0"/>
          <w:i/>
          <w:sz w:val="20"/>
          <w:szCs w:val="20"/>
        </w:rPr>
        <w:t>Karimnia</w:t>
      </w:r>
      <w:proofErr w:type="spellEnd"/>
      <w:r w:rsidRPr="000A5C4A">
        <w:rPr>
          <w:b w:val="0"/>
          <w:i/>
          <w:sz w:val="20"/>
          <w:szCs w:val="20"/>
        </w:rPr>
        <w:t xml:space="preserve"> v. Turkey</w:t>
      </w:r>
      <w:r w:rsidRPr="000A5C4A">
        <w:rPr>
          <w:b w:val="0"/>
          <w:sz w:val="20"/>
          <w:szCs w:val="20"/>
        </w:rPr>
        <w:t>, Application no. 30471/08, 22 September 2009, para. 113.</w:t>
      </w:r>
    </w:p>
  </w:footnote>
  <w:footnote w:id="9">
    <w:p w14:paraId="4AA45699" w14:textId="71206AA8" w:rsidR="008F2CEA" w:rsidRPr="000A5C4A" w:rsidRDefault="008F2CEA" w:rsidP="008F2CEA">
      <w:pPr>
        <w:pStyle w:val="FootnoteText"/>
        <w:jc w:val="both"/>
        <w:rPr>
          <w:rFonts w:ascii="Times New Roman" w:hAnsi="Times New Roman" w:cs="Times New Roman"/>
        </w:rPr>
      </w:pPr>
      <w:r w:rsidRPr="000A5C4A">
        <w:rPr>
          <w:rStyle w:val="FootnoteReference"/>
          <w:rFonts w:ascii="Times New Roman" w:hAnsi="Times New Roman" w:cs="Times New Roman"/>
        </w:rPr>
        <w:footnoteRef/>
      </w:r>
      <w:r w:rsidRPr="000A5C4A">
        <w:rPr>
          <w:rFonts w:ascii="Times New Roman" w:hAnsi="Times New Roman" w:cs="Times New Roman"/>
        </w:rPr>
        <w:t xml:space="preserve"> UNCAT</w:t>
      </w:r>
      <w:r w:rsidRPr="000A5C4A">
        <w:rPr>
          <w:rFonts w:ascii="Times New Roman" w:hAnsi="Times New Roman" w:cs="Times New Roman"/>
          <w:bCs/>
        </w:rPr>
        <w:t xml:space="preserve">, </w:t>
      </w:r>
      <w:proofErr w:type="spellStart"/>
      <w:r w:rsidRPr="000A5C4A">
        <w:rPr>
          <w:rFonts w:ascii="Times New Roman" w:hAnsi="Times New Roman" w:cs="Times New Roman"/>
          <w:bCs/>
          <w:i/>
        </w:rPr>
        <w:t>Agiza</w:t>
      </w:r>
      <w:proofErr w:type="spellEnd"/>
      <w:r w:rsidRPr="000A5C4A">
        <w:rPr>
          <w:rFonts w:ascii="Times New Roman" w:hAnsi="Times New Roman" w:cs="Times New Roman"/>
          <w:bCs/>
          <w:i/>
        </w:rPr>
        <w:t xml:space="preserve"> v. Sweden</w:t>
      </w:r>
      <w:r w:rsidRPr="000A5C4A">
        <w:rPr>
          <w:rFonts w:ascii="Times New Roman" w:hAnsi="Times New Roman" w:cs="Times New Roman"/>
          <w:bCs/>
        </w:rPr>
        <w:t xml:space="preserve">, Communication No. 233/2003, 20 May 2005, para. 13.7; </w:t>
      </w:r>
      <w:r w:rsidRPr="000A5C4A">
        <w:rPr>
          <w:rFonts w:ascii="Times New Roman" w:hAnsi="Times New Roman" w:cs="Times New Roman"/>
        </w:rPr>
        <w:t xml:space="preserve">UNCAT, </w:t>
      </w:r>
      <w:r w:rsidRPr="000A5C4A">
        <w:rPr>
          <w:rFonts w:ascii="Times New Roman" w:hAnsi="Times New Roman" w:cs="Times New Roman"/>
          <w:i/>
        </w:rPr>
        <w:t>Concluding observations on the third periodic report of Slovakia</w:t>
      </w:r>
      <w:r>
        <w:rPr>
          <w:rFonts w:ascii="Times New Roman" w:hAnsi="Times New Roman" w:cs="Times New Roman"/>
        </w:rPr>
        <w:t xml:space="preserve">, CAT/C/SVK/CO/3, para. </w:t>
      </w:r>
      <w:proofErr w:type="gramStart"/>
      <w:r>
        <w:rPr>
          <w:rFonts w:ascii="Times New Roman" w:hAnsi="Times New Roman" w:cs="Times New Roman"/>
        </w:rPr>
        <w:t>17(a).</w:t>
      </w:r>
      <w:proofErr w:type="gramEnd"/>
    </w:p>
  </w:footnote>
  <w:footnote w:id="10">
    <w:p w14:paraId="5A50AEA4" w14:textId="77CD9455" w:rsidR="008F2CEA" w:rsidRPr="000A5C4A" w:rsidRDefault="008F2CEA" w:rsidP="008F2CEA">
      <w:pPr>
        <w:pStyle w:val="FootnoteText"/>
        <w:jc w:val="both"/>
        <w:rPr>
          <w:rFonts w:ascii="Times New Roman" w:hAnsi="Times New Roman" w:cs="Times New Roman"/>
        </w:rPr>
      </w:pPr>
      <w:r w:rsidRPr="000A5C4A">
        <w:rPr>
          <w:rStyle w:val="FootnoteReference"/>
          <w:rFonts w:ascii="Times New Roman" w:hAnsi="Times New Roman" w:cs="Times New Roman"/>
        </w:rPr>
        <w:footnoteRef/>
      </w:r>
      <w:r w:rsidRPr="000A5C4A">
        <w:rPr>
          <w:rFonts w:ascii="Times New Roman" w:hAnsi="Times New Roman" w:cs="Times New Roman"/>
        </w:rPr>
        <w:t xml:space="preserve"> ECtHR, </w:t>
      </w:r>
      <w:r w:rsidRPr="000A5C4A">
        <w:rPr>
          <w:rFonts w:ascii="Times New Roman" w:hAnsi="Times New Roman" w:cs="Times New Roman"/>
          <w:i/>
        </w:rPr>
        <w:t>F.G. v. Sweden</w:t>
      </w:r>
      <w:r w:rsidRPr="000A5C4A">
        <w:rPr>
          <w:rFonts w:ascii="Times New Roman" w:hAnsi="Times New Roman" w:cs="Times New Roman"/>
        </w:rPr>
        <w:t>, Application no. </w:t>
      </w:r>
      <w:hyperlink r:id="rId1" w:anchor="{&quot;appno&quot;:[&quot;43611/11&quot;]}" w:tgtFrame="_blank" w:history="1">
        <w:proofErr w:type="gramStart"/>
        <w:r w:rsidRPr="000A5C4A">
          <w:rPr>
            <w:rFonts w:ascii="Times New Roman" w:hAnsi="Times New Roman" w:cs="Times New Roman"/>
          </w:rPr>
          <w:t>43611/11</w:t>
        </w:r>
      </w:hyperlink>
      <w:r w:rsidRPr="000A5C4A">
        <w:rPr>
          <w:rFonts w:ascii="Times New Roman" w:hAnsi="Times New Roman" w:cs="Times New Roman"/>
        </w:rPr>
        <w:t>, 23</w:t>
      </w:r>
      <w:r>
        <w:rPr>
          <w:rFonts w:ascii="Times New Roman" w:hAnsi="Times New Roman" w:cs="Times New Roman"/>
        </w:rPr>
        <w:t xml:space="preserve"> March 2016, paras.</w:t>
      </w:r>
      <w:proofErr w:type="gramEnd"/>
      <w:r>
        <w:rPr>
          <w:rFonts w:ascii="Times New Roman" w:hAnsi="Times New Roman" w:cs="Times New Roman"/>
        </w:rPr>
        <w:t xml:space="preserve"> </w:t>
      </w:r>
      <w:proofErr w:type="gramStart"/>
      <w:r>
        <w:rPr>
          <w:rFonts w:ascii="Times New Roman" w:hAnsi="Times New Roman" w:cs="Times New Roman"/>
        </w:rPr>
        <w:t>127 and 156.</w:t>
      </w:r>
      <w:proofErr w:type="gramEnd"/>
    </w:p>
  </w:footnote>
  <w:footnote w:id="11">
    <w:p w14:paraId="36BF6884" w14:textId="24C083B5" w:rsidR="008F2CEA" w:rsidRPr="000A5C4A" w:rsidRDefault="008F2CEA" w:rsidP="008F2CEA">
      <w:pPr>
        <w:pStyle w:val="FootnoteText"/>
        <w:jc w:val="both"/>
        <w:rPr>
          <w:rFonts w:ascii="Times New Roman" w:hAnsi="Times New Roman" w:cs="Times New Roman"/>
        </w:rPr>
      </w:pPr>
      <w:r w:rsidRPr="000A5C4A">
        <w:rPr>
          <w:rStyle w:val="FootnoteReference"/>
          <w:rFonts w:ascii="Times New Roman" w:hAnsi="Times New Roman" w:cs="Times New Roman"/>
        </w:rPr>
        <w:footnoteRef/>
      </w:r>
      <w:r w:rsidRPr="000A5C4A">
        <w:rPr>
          <w:rFonts w:ascii="Times New Roman" w:hAnsi="Times New Roman" w:cs="Times New Roman"/>
        </w:rPr>
        <w:t xml:space="preserve"> UNCAT, </w:t>
      </w:r>
      <w:r w:rsidRPr="000A5C4A">
        <w:rPr>
          <w:rFonts w:ascii="Times New Roman" w:hAnsi="Times New Roman" w:cs="Times New Roman"/>
          <w:i/>
        </w:rPr>
        <w:t>Concluding observations on the third periodic report of Jordan</w:t>
      </w:r>
      <w:r w:rsidRPr="000A5C4A">
        <w:rPr>
          <w:rFonts w:ascii="Times New Roman" w:hAnsi="Times New Roman" w:cs="Times New Roman"/>
        </w:rPr>
        <w:t xml:space="preserve">, CAT/C/JOR/CO/3, 29 January 2016, para. 14(d); UNCAT, </w:t>
      </w:r>
      <w:r w:rsidRPr="000A5C4A">
        <w:rPr>
          <w:rFonts w:ascii="Times New Roman" w:hAnsi="Times New Roman" w:cs="Times New Roman"/>
          <w:i/>
        </w:rPr>
        <w:t>Concluding observations on the second periodic report of Saudi Arabia</w:t>
      </w:r>
      <w:r w:rsidRPr="000A5C4A">
        <w:rPr>
          <w:rFonts w:ascii="Times New Roman" w:hAnsi="Times New Roman" w:cs="Times New Roman"/>
        </w:rPr>
        <w:t xml:space="preserve">, CAT/C/SAU/CO/2, 8 June 2016, para. 47(b); UNCAT, </w:t>
      </w:r>
      <w:r w:rsidRPr="000A5C4A">
        <w:rPr>
          <w:rFonts w:ascii="Times New Roman" w:hAnsi="Times New Roman" w:cs="Times New Roman"/>
          <w:i/>
        </w:rPr>
        <w:t>Concluding observations on the initial report of Iraq</w:t>
      </w:r>
      <w:r w:rsidRPr="000A5C4A">
        <w:rPr>
          <w:rFonts w:ascii="Times New Roman" w:hAnsi="Times New Roman" w:cs="Times New Roman"/>
        </w:rPr>
        <w:t>, CAT/C/IRQ/CO/1, 7 September 2015, para. 26(b)</w:t>
      </w:r>
      <w:proofErr w:type="gramStart"/>
      <w:r>
        <w:rPr>
          <w:rFonts w:ascii="Times New Roman" w:hAnsi="Times New Roman" w:cs="Times New Roman"/>
        </w:rPr>
        <w:t>.</w:t>
      </w:r>
      <w:r w:rsidRPr="000A5C4A">
        <w:rPr>
          <w:rFonts w:ascii="Times New Roman" w:hAnsi="Times New Roman" w:cs="Times New Roman"/>
        </w:rPr>
        <w:t>.</w:t>
      </w:r>
      <w:proofErr w:type="gramEnd"/>
    </w:p>
  </w:footnote>
  <w:footnote w:id="12">
    <w:p w14:paraId="5CBF9674" w14:textId="6763448E" w:rsidR="008F2CEA" w:rsidRPr="002E3974" w:rsidRDefault="008F2CEA" w:rsidP="008F2CEA">
      <w:pPr>
        <w:pStyle w:val="Header"/>
        <w:jc w:val="both"/>
        <w:rPr>
          <w:rFonts w:ascii="Times New Roman" w:hAnsi="Times New Roman" w:cs="Times New Roman"/>
          <w:sz w:val="20"/>
          <w:szCs w:val="20"/>
        </w:rPr>
      </w:pPr>
      <w:r w:rsidRPr="000A5C4A">
        <w:rPr>
          <w:rStyle w:val="FootnoteReference"/>
          <w:rFonts w:ascii="Times New Roman" w:hAnsi="Times New Roman" w:cs="Times New Roman"/>
          <w:sz w:val="20"/>
          <w:szCs w:val="20"/>
        </w:rPr>
        <w:footnoteRef/>
      </w:r>
      <w:r w:rsidRPr="000A5C4A">
        <w:rPr>
          <w:rFonts w:ascii="Times New Roman" w:hAnsi="Times New Roman" w:cs="Times New Roman"/>
          <w:sz w:val="20"/>
          <w:szCs w:val="20"/>
        </w:rPr>
        <w:t xml:space="preserve"> UNCAT, </w:t>
      </w:r>
      <w:proofErr w:type="spellStart"/>
      <w:r w:rsidRPr="000A5C4A">
        <w:rPr>
          <w:rFonts w:ascii="Times New Roman" w:hAnsi="Times New Roman" w:cs="Times New Roman"/>
          <w:i/>
          <w:sz w:val="20"/>
          <w:szCs w:val="20"/>
        </w:rPr>
        <w:t>Nirmal</w:t>
      </w:r>
      <w:proofErr w:type="spellEnd"/>
      <w:r w:rsidRPr="000A5C4A">
        <w:rPr>
          <w:rFonts w:ascii="Times New Roman" w:hAnsi="Times New Roman" w:cs="Times New Roman"/>
          <w:i/>
          <w:sz w:val="20"/>
          <w:szCs w:val="20"/>
        </w:rPr>
        <w:t xml:space="preserve"> Singh v. Canada</w:t>
      </w:r>
      <w:r w:rsidRPr="000A5C4A">
        <w:rPr>
          <w:rFonts w:ascii="Times New Roman" w:hAnsi="Times New Roman" w:cs="Times New Roman"/>
          <w:sz w:val="20"/>
          <w:szCs w:val="20"/>
        </w:rPr>
        <w:t xml:space="preserve">, Communication No. 319/2007, 30 May 2011, para. </w:t>
      </w:r>
      <w:proofErr w:type="gramStart"/>
      <w:r w:rsidRPr="000A5C4A">
        <w:rPr>
          <w:rFonts w:ascii="Times New Roman" w:hAnsi="Times New Roman" w:cs="Times New Roman"/>
          <w:sz w:val="20"/>
          <w:szCs w:val="20"/>
        </w:rPr>
        <w:t>8.8 &amp; 8.9.</w:t>
      </w:r>
      <w:proofErr w:type="gramEnd"/>
      <w:r w:rsidRPr="000A5C4A">
        <w:rPr>
          <w:rFonts w:ascii="Times New Roman" w:hAnsi="Times New Roman" w:cs="Times New Roman"/>
          <w:sz w:val="20"/>
          <w:szCs w:val="20"/>
        </w:rPr>
        <w:t xml:space="preserve"> See, also, ECtHR, </w:t>
      </w:r>
      <w:proofErr w:type="spellStart"/>
      <w:r w:rsidRPr="000A5C4A">
        <w:rPr>
          <w:rFonts w:ascii="Times New Roman" w:hAnsi="Times New Roman" w:cs="Times New Roman"/>
          <w:i/>
          <w:sz w:val="20"/>
          <w:szCs w:val="20"/>
        </w:rPr>
        <w:t>Muminov</w:t>
      </w:r>
      <w:proofErr w:type="spellEnd"/>
      <w:r w:rsidRPr="000A5C4A">
        <w:rPr>
          <w:rFonts w:ascii="Times New Roman" w:hAnsi="Times New Roman" w:cs="Times New Roman"/>
          <w:i/>
          <w:sz w:val="20"/>
          <w:szCs w:val="20"/>
        </w:rPr>
        <w:t xml:space="preserve"> v. Russia</w:t>
      </w:r>
      <w:r w:rsidRPr="000A5C4A">
        <w:rPr>
          <w:rFonts w:ascii="Times New Roman" w:hAnsi="Times New Roman" w:cs="Times New Roman"/>
          <w:sz w:val="20"/>
          <w:szCs w:val="20"/>
        </w:rPr>
        <w:t xml:space="preserve">, Application no. 42502/06 11 December 2008, </w:t>
      </w:r>
      <w:proofErr w:type="gramStart"/>
      <w:r w:rsidRPr="000A5C4A">
        <w:rPr>
          <w:rFonts w:ascii="Times New Roman" w:hAnsi="Times New Roman" w:cs="Times New Roman"/>
          <w:sz w:val="20"/>
          <w:szCs w:val="20"/>
        </w:rPr>
        <w:t>para</w:t>
      </w:r>
      <w:proofErr w:type="gramEnd"/>
      <w:r w:rsidRPr="000A5C4A">
        <w:rPr>
          <w:rFonts w:ascii="Times New Roman" w:hAnsi="Times New Roman" w:cs="Times New Roman"/>
          <w:sz w:val="20"/>
          <w:szCs w:val="20"/>
        </w:rPr>
        <w:t xml:space="preserve">. </w:t>
      </w:r>
      <w:proofErr w:type="gramStart"/>
      <w:r w:rsidRPr="000A5C4A">
        <w:rPr>
          <w:rFonts w:ascii="Times New Roman" w:hAnsi="Times New Roman" w:cs="Times New Roman"/>
          <w:sz w:val="20"/>
          <w:szCs w:val="20"/>
        </w:rPr>
        <w:t xml:space="preserve">102; ECtHR, </w:t>
      </w:r>
      <w:r w:rsidRPr="000A5C4A">
        <w:rPr>
          <w:rFonts w:ascii="Times New Roman" w:hAnsi="Times New Roman" w:cs="Times New Roman"/>
          <w:i/>
          <w:sz w:val="20"/>
          <w:szCs w:val="20"/>
        </w:rPr>
        <w:t>Jabari v. Turkey</w:t>
      </w:r>
      <w:r w:rsidRPr="000A5C4A">
        <w:rPr>
          <w:rFonts w:ascii="Times New Roman" w:hAnsi="Times New Roman" w:cs="Times New Roman"/>
          <w:sz w:val="20"/>
          <w:szCs w:val="20"/>
        </w:rPr>
        <w:t>, Application no. 40035/98, 11 July 2000, para.</w:t>
      </w:r>
      <w:proofErr w:type="gramEnd"/>
      <w:r w:rsidRPr="000A5C4A">
        <w:rPr>
          <w:rFonts w:ascii="Times New Roman" w:hAnsi="Times New Roman" w:cs="Times New Roman"/>
          <w:sz w:val="20"/>
          <w:szCs w:val="20"/>
        </w:rPr>
        <w:t xml:space="preserve"> 40.</w:t>
      </w:r>
    </w:p>
  </w:footnote>
  <w:footnote w:id="13">
    <w:p w14:paraId="264DE9A0" w14:textId="77777777" w:rsidR="008F2CEA" w:rsidRPr="002E3974" w:rsidRDefault="008F2CEA" w:rsidP="008F2CEA">
      <w:pPr>
        <w:pStyle w:val="FootnoteText"/>
        <w:jc w:val="both"/>
        <w:rPr>
          <w:rFonts w:ascii="Times New Roman" w:hAnsi="Times New Roman" w:cs="Times New Roman"/>
        </w:rPr>
      </w:pPr>
      <w:r w:rsidRPr="002E3974">
        <w:rPr>
          <w:rStyle w:val="FootnoteReference"/>
          <w:rFonts w:ascii="Times New Roman" w:hAnsi="Times New Roman" w:cs="Times New Roman"/>
        </w:rPr>
        <w:footnoteRef/>
      </w:r>
      <w:r w:rsidRPr="002E3974">
        <w:rPr>
          <w:rFonts w:ascii="Times New Roman" w:hAnsi="Times New Roman" w:cs="Times New Roman"/>
        </w:rPr>
        <w:t xml:space="preserve"> UNCAT, </w:t>
      </w:r>
      <w:r w:rsidRPr="002E3974">
        <w:rPr>
          <w:rFonts w:ascii="Times New Roman" w:hAnsi="Times New Roman" w:cs="Times New Roman"/>
          <w:i/>
        </w:rPr>
        <w:t>Concluding observations on the combined sixth and seventh periodic reports of Norway, adopted by the Committee at its forty-ninth session (29 October to 23 November 2012)</w:t>
      </w:r>
      <w:r w:rsidRPr="006341B5">
        <w:rPr>
          <w:rFonts w:ascii="Times New Roman" w:hAnsi="Times New Roman" w:cs="Times New Roman"/>
        </w:rPr>
        <w:t>, CAT/C/NOR/CO/6-7, 13 December 2012, para.</w:t>
      </w:r>
      <w:r w:rsidRPr="002E3974">
        <w:rPr>
          <w:rFonts w:ascii="Times New Roman" w:hAnsi="Times New Roman" w:cs="Times New Roman"/>
        </w:rPr>
        <w:t xml:space="preserve"> 16. See, also, European Parliament, Directive 2013/32EU, 26 June 2013, Article 12(1)(a). </w:t>
      </w:r>
    </w:p>
  </w:footnote>
  <w:footnote w:id="14">
    <w:p w14:paraId="3FE8C29F" w14:textId="77777777" w:rsidR="008F2CEA" w:rsidRPr="006341B5" w:rsidRDefault="008F2CEA" w:rsidP="008F2CEA">
      <w:pPr>
        <w:pStyle w:val="FootnoteText"/>
        <w:jc w:val="both"/>
        <w:rPr>
          <w:rFonts w:ascii="Times New Roman" w:hAnsi="Times New Roman" w:cs="Times New Roman"/>
        </w:rPr>
      </w:pPr>
      <w:r w:rsidRPr="002E3974">
        <w:rPr>
          <w:rStyle w:val="FootnoteReference"/>
          <w:rFonts w:ascii="Times New Roman" w:hAnsi="Times New Roman" w:cs="Times New Roman"/>
        </w:rPr>
        <w:footnoteRef/>
      </w:r>
      <w:r w:rsidRPr="002E3974">
        <w:rPr>
          <w:rFonts w:ascii="Times New Roman" w:hAnsi="Times New Roman" w:cs="Times New Roman"/>
        </w:rPr>
        <w:t xml:space="preserve"> UNCAT, </w:t>
      </w:r>
      <w:r w:rsidRPr="002E3974">
        <w:rPr>
          <w:rFonts w:ascii="Times New Roman" w:hAnsi="Times New Roman" w:cs="Times New Roman"/>
          <w:i/>
        </w:rPr>
        <w:t>Concluding observations on the combined fifth and sixth periodic reports of the Netherlands, adopted by the Committee at its fiftieth session (6-31 May 2013</w:t>
      </w:r>
      <w:r w:rsidRPr="006341B5">
        <w:rPr>
          <w:rFonts w:ascii="Times New Roman" w:hAnsi="Times New Roman" w:cs="Times New Roman"/>
          <w:i/>
        </w:rPr>
        <w:t xml:space="preserve">), </w:t>
      </w:r>
      <w:r w:rsidRPr="006341B5">
        <w:rPr>
          <w:rFonts w:ascii="Times New Roman" w:hAnsi="Times New Roman" w:cs="Times New Roman"/>
        </w:rPr>
        <w:t>CAT/C/NLD/CO/5-6, 20 June 2013, para. 11(a) and (c);</w:t>
      </w:r>
    </w:p>
    <w:p w14:paraId="5F7F30E4" w14:textId="77777777" w:rsidR="008F2CEA" w:rsidRPr="002E3974" w:rsidRDefault="008F2CEA" w:rsidP="008F2CEA">
      <w:pPr>
        <w:pStyle w:val="FootnoteText"/>
        <w:jc w:val="both"/>
        <w:rPr>
          <w:rFonts w:ascii="Times New Roman" w:hAnsi="Times New Roman" w:cs="Times New Roman"/>
        </w:rPr>
      </w:pPr>
      <w:r w:rsidRPr="009D6348">
        <w:rPr>
          <w:rFonts w:ascii="Times New Roman" w:hAnsi="Times New Roman" w:cs="Times New Roman"/>
        </w:rPr>
        <w:t xml:space="preserve">UNCAT, </w:t>
      </w:r>
      <w:r w:rsidRPr="009D6348">
        <w:rPr>
          <w:rFonts w:ascii="Times New Roman" w:hAnsi="Times New Roman" w:cs="Times New Roman"/>
          <w:i/>
        </w:rPr>
        <w:t>Conclusions and recommendations of the Committee against Torture: Tajikistan</w:t>
      </w:r>
      <w:r w:rsidRPr="009D6348">
        <w:rPr>
          <w:rFonts w:ascii="Times New Roman" w:hAnsi="Times New Roman" w:cs="Times New Roman"/>
        </w:rPr>
        <w:t xml:space="preserve">, CAT/C/TJK/CO/1, 7 December 2006, para. 13. See, also, European Parliament, Directive 2013/32EU, 26 June 2013, </w:t>
      </w:r>
      <w:r w:rsidRPr="002E3974">
        <w:rPr>
          <w:rFonts w:ascii="Times New Roman" w:hAnsi="Times New Roman" w:cs="Times New Roman"/>
        </w:rPr>
        <w:t>Article 12(1)(d).</w:t>
      </w:r>
    </w:p>
  </w:footnote>
  <w:footnote w:id="15">
    <w:p w14:paraId="2D838095" w14:textId="77777777" w:rsidR="008F2CEA" w:rsidRPr="006341B5" w:rsidRDefault="008F2CEA" w:rsidP="008F2CEA">
      <w:pPr>
        <w:pStyle w:val="FootnoteText"/>
        <w:jc w:val="both"/>
        <w:rPr>
          <w:rFonts w:ascii="Times New Roman" w:hAnsi="Times New Roman" w:cs="Times New Roman"/>
        </w:rPr>
      </w:pPr>
      <w:r w:rsidRPr="002E3974">
        <w:rPr>
          <w:rStyle w:val="FootnoteReference"/>
          <w:rFonts w:ascii="Times New Roman" w:hAnsi="Times New Roman" w:cs="Times New Roman"/>
        </w:rPr>
        <w:footnoteRef/>
      </w:r>
      <w:r w:rsidRPr="002E3974">
        <w:rPr>
          <w:rFonts w:ascii="Times New Roman" w:hAnsi="Times New Roman" w:cs="Times New Roman"/>
        </w:rPr>
        <w:t xml:space="preserve"> UNCAT, </w:t>
      </w:r>
      <w:r w:rsidRPr="002E3974">
        <w:rPr>
          <w:rFonts w:ascii="Times New Roman" w:hAnsi="Times New Roman" w:cs="Times New Roman"/>
          <w:i/>
        </w:rPr>
        <w:t>Concluding observations of the Committee against Torture: New Zealand</w:t>
      </w:r>
      <w:r w:rsidRPr="002E3974">
        <w:rPr>
          <w:rFonts w:ascii="Times New Roman" w:hAnsi="Times New Roman" w:cs="Times New Roman"/>
        </w:rPr>
        <w:t>, CAT/C/NZL/CO/5, 14 May 2009, para. 6.</w:t>
      </w:r>
    </w:p>
  </w:footnote>
  <w:footnote w:id="16">
    <w:p w14:paraId="0C6DC5A9" w14:textId="5C0C7E84" w:rsidR="008F2CEA" w:rsidRPr="006341B5" w:rsidRDefault="008F2CEA" w:rsidP="008F2CEA">
      <w:pPr>
        <w:pStyle w:val="FootnoteText"/>
        <w:jc w:val="both"/>
        <w:rPr>
          <w:rFonts w:ascii="Times New Roman" w:hAnsi="Times New Roman" w:cs="Times New Roman"/>
        </w:rPr>
      </w:pPr>
      <w:r w:rsidRPr="002E3974">
        <w:rPr>
          <w:rStyle w:val="FootnoteReference"/>
          <w:rFonts w:ascii="Times New Roman" w:hAnsi="Times New Roman" w:cs="Times New Roman"/>
        </w:rPr>
        <w:footnoteRef/>
      </w:r>
      <w:r w:rsidRPr="002E3974">
        <w:rPr>
          <w:rFonts w:ascii="Times New Roman" w:hAnsi="Times New Roman" w:cs="Times New Roman"/>
        </w:rPr>
        <w:t xml:space="preserve"> ECtHR, </w:t>
      </w:r>
      <w:proofErr w:type="spellStart"/>
      <w:r w:rsidRPr="002E3974">
        <w:rPr>
          <w:rFonts w:ascii="Times New Roman" w:hAnsi="Times New Roman" w:cs="Times New Roman"/>
          <w:i/>
        </w:rPr>
        <w:t>Abdolkani</w:t>
      </w:r>
      <w:proofErr w:type="spellEnd"/>
      <w:r w:rsidRPr="002E3974">
        <w:rPr>
          <w:rFonts w:ascii="Times New Roman" w:hAnsi="Times New Roman" w:cs="Times New Roman"/>
          <w:i/>
        </w:rPr>
        <w:t xml:space="preserve"> and </w:t>
      </w:r>
      <w:proofErr w:type="spellStart"/>
      <w:r w:rsidRPr="002E3974">
        <w:rPr>
          <w:rFonts w:ascii="Times New Roman" w:hAnsi="Times New Roman" w:cs="Times New Roman"/>
          <w:i/>
        </w:rPr>
        <w:t>Karimnia</w:t>
      </w:r>
      <w:proofErr w:type="spellEnd"/>
      <w:r w:rsidRPr="002E3974">
        <w:rPr>
          <w:rFonts w:ascii="Times New Roman" w:hAnsi="Times New Roman" w:cs="Times New Roman"/>
          <w:i/>
        </w:rPr>
        <w:t xml:space="preserve"> v. Turkey</w:t>
      </w:r>
      <w:r w:rsidRPr="002E3974">
        <w:rPr>
          <w:rFonts w:ascii="Times New Roman" w:hAnsi="Times New Roman" w:cs="Times New Roman"/>
        </w:rPr>
        <w:t xml:space="preserve">, Application no. 30471/08, 22 September 2009, para. 116; European </w:t>
      </w:r>
      <w:r w:rsidRPr="006341B5">
        <w:rPr>
          <w:rFonts w:ascii="Times New Roman" w:hAnsi="Times New Roman" w:cs="Times New Roman"/>
        </w:rPr>
        <w:t>Parliament, Directive 2013/32EU, 26 June 2013, Articles 1</w:t>
      </w:r>
      <w:r w:rsidR="00122922">
        <w:rPr>
          <w:rFonts w:ascii="Times New Roman" w:hAnsi="Times New Roman" w:cs="Times New Roman"/>
        </w:rPr>
        <w:t>2(1</w:t>
      </w:r>
      <w:proofErr w:type="gramStart"/>
      <w:r w:rsidR="00122922">
        <w:rPr>
          <w:rFonts w:ascii="Times New Roman" w:hAnsi="Times New Roman" w:cs="Times New Roman"/>
        </w:rPr>
        <w:t>)(</w:t>
      </w:r>
      <w:proofErr w:type="gramEnd"/>
      <w:r w:rsidR="00122922">
        <w:rPr>
          <w:rFonts w:ascii="Times New Roman" w:hAnsi="Times New Roman" w:cs="Times New Roman"/>
        </w:rPr>
        <w:t>e) and (f), and Article 11.</w:t>
      </w:r>
    </w:p>
  </w:footnote>
  <w:footnote w:id="17">
    <w:p w14:paraId="26B4D239" w14:textId="10BBB94A" w:rsidR="008F2CEA" w:rsidRPr="002E3974" w:rsidRDefault="008F2CEA" w:rsidP="008F2CEA">
      <w:pPr>
        <w:pStyle w:val="Heading3"/>
        <w:spacing w:before="0" w:line="240" w:lineRule="auto"/>
        <w:jc w:val="both"/>
        <w:rPr>
          <w:sz w:val="20"/>
          <w:szCs w:val="20"/>
        </w:rPr>
      </w:pPr>
      <w:r w:rsidRPr="002E3974">
        <w:rPr>
          <w:rStyle w:val="FootnoteReference"/>
          <w:rFonts w:ascii="Times New Roman" w:hAnsi="Times New Roman" w:cs="Times New Roman"/>
          <w:b w:val="0"/>
          <w:color w:val="auto"/>
          <w:sz w:val="20"/>
          <w:szCs w:val="20"/>
        </w:rPr>
        <w:footnoteRef/>
      </w:r>
      <w:r w:rsidRPr="002E3974">
        <w:rPr>
          <w:rFonts w:ascii="Times New Roman" w:hAnsi="Times New Roman" w:cs="Times New Roman"/>
          <w:b w:val="0"/>
          <w:color w:val="auto"/>
          <w:sz w:val="20"/>
          <w:szCs w:val="20"/>
        </w:rPr>
        <w:t xml:space="preserve"> UNCAT, </w:t>
      </w:r>
      <w:r w:rsidRPr="002E3974">
        <w:rPr>
          <w:rFonts w:ascii="Times New Roman" w:hAnsi="Times New Roman" w:cs="Times New Roman"/>
          <w:b w:val="0"/>
          <w:i/>
          <w:color w:val="auto"/>
          <w:sz w:val="20"/>
          <w:szCs w:val="20"/>
        </w:rPr>
        <w:t>Concluding observations of the Committee against Torture: Greece</w:t>
      </w:r>
      <w:r w:rsidRPr="002E3974">
        <w:rPr>
          <w:rFonts w:ascii="Times New Roman" w:hAnsi="Times New Roman" w:cs="Times New Roman"/>
          <w:b w:val="0"/>
          <w:color w:val="auto"/>
          <w:sz w:val="20"/>
          <w:szCs w:val="20"/>
        </w:rPr>
        <w:t xml:space="preserve">, CAT/C/GRC/CO/5-6, 27 June 2012, para. 19; UNCAT, </w:t>
      </w:r>
      <w:r w:rsidRPr="002E3974">
        <w:rPr>
          <w:rFonts w:ascii="Times New Roman" w:hAnsi="Times New Roman" w:cs="Times New Roman"/>
          <w:b w:val="0"/>
          <w:i/>
          <w:color w:val="auto"/>
          <w:sz w:val="20"/>
          <w:szCs w:val="20"/>
        </w:rPr>
        <w:t>Concluding observations of the Committee against Torture: Austria</w:t>
      </w:r>
      <w:r w:rsidRPr="002E3974">
        <w:rPr>
          <w:rFonts w:ascii="Times New Roman" w:hAnsi="Times New Roman" w:cs="Times New Roman"/>
          <w:b w:val="0"/>
          <w:color w:val="auto"/>
          <w:sz w:val="20"/>
          <w:szCs w:val="20"/>
        </w:rPr>
        <w:t xml:space="preserve">, CAT/C/AUT/CO/4-5, 20 May 2010, para. 13; UNCAT, </w:t>
      </w:r>
      <w:r w:rsidRPr="002E3974">
        <w:rPr>
          <w:rFonts w:ascii="Times New Roman" w:hAnsi="Times New Roman" w:cs="Times New Roman"/>
          <w:b w:val="0"/>
          <w:i/>
          <w:color w:val="auto"/>
          <w:sz w:val="20"/>
          <w:szCs w:val="20"/>
        </w:rPr>
        <w:t>Arana v. France</w:t>
      </w:r>
      <w:r w:rsidRPr="002E3974">
        <w:rPr>
          <w:rFonts w:ascii="Times New Roman" w:hAnsi="Times New Roman" w:cs="Times New Roman"/>
          <w:b w:val="0"/>
          <w:color w:val="auto"/>
          <w:sz w:val="20"/>
          <w:szCs w:val="20"/>
        </w:rPr>
        <w:t xml:space="preserve">, Communication No. 63/1997, 5 June 2000, para. </w:t>
      </w:r>
      <w:proofErr w:type="gramStart"/>
      <w:r w:rsidRPr="002E3974">
        <w:rPr>
          <w:rFonts w:ascii="Times New Roman" w:hAnsi="Times New Roman" w:cs="Times New Roman"/>
          <w:b w:val="0"/>
          <w:color w:val="auto"/>
          <w:sz w:val="20"/>
          <w:szCs w:val="20"/>
        </w:rPr>
        <w:t xml:space="preserve">6.1; ECtHR, </w:t>
      </w:r>
      <w:proofErr w:type="spellStart"/>
      <w:r w:rsidRPr="002E3974">
        <w:rPr>
          <w:rFonts w:ascii="Times New Roman" w:hAnsi="Times New Roman" w:cs="Times New Roman"/>
          <w:b w:val="0"/>
          <w:i/>
          <w:color w:val="auto"/>
          <w:sz w:val="20"/>
          <w:szCs w:val="20"/>
        </w:rPr>
        <w:t>Čonka</w:t>
      </w:r>
      <w:proofErr w:type="spellEnd"/>
      <w:r w:rsidRPr="002E3974">
        <w:rPr>
          <w:rFonts w:ascii="Times New Roman" w:hAnsi="Times New Roman" w:cs="Times New Roman"/>
          <w:b w:val="0"/>
          <w:i/>
          <w:color w:val="auto"/>
          <w:sz w:val="20"/>
          <w:szCs w:val="20"/>
        </w:rPr>
        <w:t xml:space="preserve"> v Belgium</w:t>
      </w:r>
      <w:r w:rsidRPr="002E3974">
        <w:rPr>
          <w:rFonts w:ascii="Times New Roman" w:hAnsi="Times New Roman" w:cs="Times New Roman"/>
          <w:b w:val="0"/>
          <w:color w:val="auto"/>
          <w:sz w:val="20"/>
          <w:szCs w:val="20"/>
        </w:rPr>
        <w:t>.</w:t>
      </w:r>
      <w:proofErr w:type="gramEnd"/>
      <w:r w:rsidRPr="002E3974">
        <w:rPr>
          <w:rFonts w:ascii="Times New Roman" w:hAnsi="Times New Roman" w:cs="Times New Roman"/>
          <w:b w:val="0"/>
          <w:color w:val="auto"/>
          <w:sz w:val="20"/>
          <w:szCs w:val="20"/>
        </w:rPr>
        <w:t xml:space="preserve"> </w:t>
      </w:r>
      <w:proofErr w:type="gramStart"/>
      <w:r w:rsidRPr="002E3974">
        <w:rPr>
          <w:rFonts w:ascii="Times New Roman" w:hAnsi="Times New Roman" w:cs="Times New Roman"/>
          <w:b w:val="0"/>
          <w:iCs/>
          <w:color w:val="auto"/>
          <w:sz w:val="20"/>
          <w:szCs w:val="20"/>
        </w:rPr>
        <w:t>Application no. 51564/99, 5 February 2002, para.</w:t>
      </w:r>
      <w:proofErr w:type="gramEnd"/>
      <w:r w:rsidRPr="002E3974">
        <w:rPr>
          <w:rFonts w:ascii="Times New Roman" w:hAnsi="Times New Roman" w:cs="Times New Roman"/>
          <w:b w:val="0"/>
          <w:iCs/>
          <w:color w:val="auto"/>
          <w:sz w:val="20"/>
          <w:szCs w:val="20"/>
        </w:rPr>
        <w:t xml:space="preserve"> 82. </w:t>
      </w:r>
    </w:p>
  </w:footnote>
  <w:footnote w:id="18">
    <w:p w14:paraId="3D7F53CB" w14:textId="481EB6EA" w:rsidR="008F2CEA" w:rsidRPr="00D53DE4" w:rsidRDefault="008F2CEA" w:rsidP="008F2CEA">
      <w:pPr>
        <w:pStyle w:val="NormalWeb"/>
        <w:spacing w:before="0" w:beforeAutospacing="0" w:after="0" w:afterAutospacing="0"/>
        <w:jc w:val="both"/>
        <w:rPr>
          <w:sz w:val="20"/>
          <w:szCs w:val="20"/>
        </w:rPr>
      </w:pPr>
      <w:r w:rsidRPr="002E3974">
        <w:rPr>
          <w:rStyle w:val="FootnoteReference"/>
          <w:sz w:val="20"/>
          <w:szCs w:val="20"/>
        </w:rPr>
        <w:footnoteRef/>
      </w:r>
      <w:r w:rsidRPr="006341B5">
        <w:rPr>
          <w:sz w:val="20"/>
          <w:szCs w:val="20"/>
        </w:rPr>
        <w:t xml:space="preserve"> UNCAT, </w:t>
      </w:r>
      <w:r w:rsidRPr="006341B5">
        <w:rPr>
          <w:i/>
          <w:sz w:val="20"/>
          <w:szCs w:val="20"/>
        </w:rPr>
        <w:t>Concluding observations on the third to fifth periodic reports of United States of America</w:t>
      </w:r>
      <w:r w:rsidRPr="006341B5">
        <w:rPr>
          <w:sz w:val="20"/>
          <w:szCs w:val="20"/>
        </w:rPr>
        <w:t xml:space="preserve">, CAT/C/USA/CO/3-5, </w:t>
      </w:r>
      <w:r w:rsidRPr="006341B5">
        <w:rPr>
          <w:color w:val="000000"/>
          <w:sz w:val="20"/>
          <w:szCs w:val="20"/>
        </w:rPr>
        <w:t>19 December 2014,</w:t>
      </w:r>
      <w:r w:rsidRPr="006341B5">
        <w:rPr>
          <w:sz w:val="20"/>
          <w:szCs w:val="20"/>
        </w:rPr>
        <w:t xml:space="preserve"> </w:t>
      </w:r>
      <w:r w:rsidRPr="002E3974">
        <w:rPr>
          <w:sz w:val="20"/>
          <w:szCs w:val="20"/>
        </w:rPr>
        <w:t xml:space="preserve">para. </w:t>
      </w:r>
      <w:proofErr w:type="gramStart"/>
      <w:r w:rsidRPr="002E3974">
        <w:rPr>
          <w:sz w:val="20"/>
          <w:szCs w:val="20"/>
        </w:rPr>
        <w:t>18(b).</w:t>
      </w:r>
      <w:proofErr w:type="gramEnd"/>
      <w:r w:rsidRPr="002E3974">
        <w:rPr>
          <w:sz w:val="20"/>
          <w:szCs w:val="20"/>
        </w:rPr>
        <w:t xml:space="preserve"> </w:t>
      </w:r>
      <w:r w:rsidRPr="006341B5">
        <w:rPr>
          <w:sz w:val="20"/>
          <w:szCs w:val="20"/>
        </w:rPr>
        <w:t xml:space="preserve">UNCAT, </w:t>
      </w:r>
      <w:r w:rsidRPr="006341B5">
        <w:rPr>
          <w:i/>
          <w:sz w:val="20"/>
          <w:szCs w:val="20"/>
        </w:rPr>
        <w:t>Concluding observations on the third periodic report of Kazakhstan</w:t>
      </w:r>
      <w:r w:rsidRPr="006341B5">
        <w:rPr>
          <w:sz w:val="20"/>
          <w:szCs w:val="20"/>
        </w:rPr>
        <w:t xml:space="preserve">, CAT/C/KAZ/CO/3, 12 December 2014, para. 16(b); UNCAT, </w:t>
      </w:r>
      <w:r w:rsidRPr="006341B5">
        <w:rPr>
          <w:i/>
          <w:sz w:val="20"/>
          <w:szCs w:val="20"/>
        </w:rPr>
        <w:t>Conclusions and recommendations of the Committee against Torture: Qatar</w:t>
      </w:r>
      <w:r w:rsidRPr="00D53DE4">
        <w:rPr>
          <w:sz w:val="20"/>
          <w:szCs w:val="20"/>
        </w:rPr>
        <w:t xml:space="preserve">, </w:t>
      </w:r>
      <w:r w:rsidRPr="002E3974">
        <w:rPr>
          <w:sz w:val="20"/>
          <w:szCs w:val="20"/>
          <w:lang w:val="en-GB"/>
        </w:rPr>
        <w:t xml:space="preserve">CAT/C/QAT/CO/1, </w:t>
      </w:r>
      <w:r w:rsidRPr="00D53DE4">
        <w:rPr>
          <w:sz w:val="20"/>
          <w:szCs w:val="20"/>
        </w:rPr>
        <w:t>25 July</w:t>
      </w:r>
      <w:r w:rsidRPr="002E3974">
        <w:rPr>
          <w:sz w:val="20"/>
          <w:szCs w:val="20"/>
          <w:lang w:val="en-GB"/>
        </w:rPr>
        <w:t xml:space="preserve"> 2006, para. 14.</w:t>
      </w:r>
    </w:p>
  </w:footnote>
  <w:footnote w:id="19">
    <w:p w14:paraId="56D03EF5" w14:textId="665E63BE" w:rsidR="008F2CEA" w:rsidRPr="006341B5" w:rsidRDefault="008F2CEA" w:rsidP="008F2CEA">
      <w:pPr>
        <w:pStyle w:val="FootnoteText"/>
        <w:jc w:val="both"/>
        <w:rPr>
          <w:rFonts w:ascii="Times New Roman" w:hAnsi="Times New Roman" w:cs="Times New Roman"/>
        </w:rPr>
      </w:pPr>
      <w:r w:rsidRPr="002E3974">
        <w:rPr>
          <w:rStyle w:val="FootnoteReference"/>
          <w:rFonts w:ascii="Times New Roman" w:hAnsi="Times New Roman" w:cs="Times New Roman"/>
        </w:rPr>
        <w:footnoteRef/>
      </w:r>
      <w:r w:rsidRPr="002E3974">
        <w:rPr>
          <w:rFonts w:ascii="Times New Roman" w:hAnsi="Times New Roman" w:cs="Times New Roman"/>
        </w:rPr>
        <w:t xml:space="preserve"> UNCAT</w:t>
      </w:r>
      <w:r w:rsidRPr="006341B5">
        <w:rPr>
          <w:rFonts w:ascii="Times New Roman" w:hAnsi="Times New Roman" w:cs="Times New Roman"/>
          <w:i/>
        </w:rPr>
        <w:t>, Concluding observations on the combined third to fifth periodic reports of the United States of America</w:t>
      </w:r>
      <w:r w:rsidRPr="006341B5">
        <w:rPr>
          <w:rFonts w:ascii="Times New Roman" w:hAnsi="Times New Roman" w:cs="Times New Roman"/>
        </w:rPr>
        <w:t xml:space="preserve">, CAT/C/USA/CO/3-5, 19 December 2014, para. 18(b); UNCAT, </w:t>
      </w:r>
      <w:r w:rsidRPr="006341B5">
        <w:rPr>
          <w:rFonts w:ascii="Times New Roman" w:hAnsi="Times New Roman" w:cs="Times New Roman"/>
          <w:i/>
        </w:rPr>
        <w:t>Concluding observations on the third periodic report of Uruguay</w:t>
      </w:r>
      <w:r w:rsidRPr="006341B5">
        <w:rPr>
          <w:rFonts w:ascii="Times New Roman" w:hAnsi="Times New Roman" w:cs="Times New Roman"/>
        </w:rPr>
        <w:t>, CAT/C/URY/CO/3, 10 June 2014, para. 18(b);</w:t>
      </w:r>
      <w:r w:rsidR="00122922">
        <w:rPr>
          <w:rFonts w:ascii="Times New Roman" w:hAnsi="Times New Roman" w:cs="Times New Roman"/>
        </w:rPr>
        <w:t xml:space="preserve"> </w:t>
      </w:r>
      <w:r w:rsidRPr="006341B5">
        <w:rPr>
          <w:rFonts w:ascii="Times New Roman" w:hAnsi="Times New Roman" w:cs="Times New Roman"/>
        </w:rPr>
        <w:t xml:space="preserve">UNCAT, </w:t>
      </w:r>
      <w:proofErr w:type="spellStart"/>
      <w:r w:rsidRPr="006341B5">
        <w:rPr>
          <w:rFonts w:ascii="Times New Roman" w:hAnsi="Times New Roman" w:cs="Times New Roman"/>
          <w:i/>
        </w:rPr>
        <w:t>Nasirov</w:t>
      </w:r>
      <w:proofErr w:type="spellEnd"/>
      <w:r w:rsidRPr="002E3974">
        <w:rPr>
          <w:rFonts w:ascii="Times New Roman" w:hAnsi="Times New Roman" w:cs="Times New Roman"/>
          <w:i/>
        </w:rPr>
        <w:t xml:space="preserve"> v. Kazakhstan</w:t>
      </w:r>
      <w:r w:rsidRPr="006341B5">
        <w:rPr>
          <w:rFonts w:ascii="Times New Roman" w:hAnsi="Times New Roman" w:cs="Times New Roman"/>
        </w:rPr>
        <w:t>, Communication No. 475/2011, 14 May 2014</w:t>
      </w:r>
      <w:r w:rsidRPr="002E3974">
        <w:rPr>
          <w:rFonts w:ascii="Times New Roman" w:hAnsi="Times New Roman" w:cs="Times New Roman"/>
        </w:rPr>
        <w:t>, para. 11.9</w:t>
      </w:r>
      <w:r w:rsidRPr="006341B5">
        <w:rPr>
          <w:rFonts w:ascii="Times New Roman" w:hAnsi="Times New Roman" w:cs="Times New Roman"/>
          <w:b/>
        </w:rPr>
        <w:t xml:space="preserve">. </w:t>
      </w:r>
      <w:r w:rsidRPr="006341B5">
        <w:rPr>
          <w:rFonts w:ascii="Times New Roman" w:hAnsi="Times New Roman" w:cs="Times New Roman"/>
        </w:rPr>
        <w:t>See, also, European Parliament, Directive 2013/32EU, 26 June 2013, Article 30.</w:t>
      </w:r>
    </w:p>
  </w:footnote>
  <w:footnote w:id="20">
    <w:p w14:paraId="7DC37CA2" w14:textId="77777777" w:rsidR="008F2CEA" w:rsidRPr="006341B5" w:rsidRDefault="008F2CEA" w:rsidP="000E2113">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 w:val="left" w:pos="6300"/>
          <w:tab w:val="left" w:pos="6600"/>
          <w:tab w:val="left" w:pos="6900"/>
          <w:tab w:val="left" w:pos="7200"/>
          <w:tab w:val="left" w:pos="7500"/>
          <w:tab w:val="left" w:pos="7800"/>
          <w:tab w:val="left" w:pos="8100"/>
          <w:tab w:val="left" w:pos="8400"/>
          <w:tab w:val="left" w:pos="8700"/>
          <w:tab w:val="left" w:pos="9000"/>
          <w:tab w:val="left" w:pos="9300"/>
          <w:tab w:val="left" w:pos="9600"/>
        </w:tabs>
        <w:autoSpaceDE w:val="0"/>
        <w:autoSpaceDN w:val="0"/>
        <w:adjustRightInd w:val="0"/>
        <w:spacing w:after="0" w:line="240" w:lineRule="auto"/>
        <w:jc w:val="both"/>
        <w:rPr>
          <w:rFonts w:ascii="Times New Roman" w:hAnsi="Times New Roman" w:cs="Times New Roman"/>
          <w:sz w:val="20"/>
          <w:szCs w:val="20"/>
          <w:lang w:val="en"/>
        </w:rPr>
      </w:pPr>
      <w:r w:rsidRPr="002E3974">
        <w:rPr>
          <w:rStyle w:val="FootnoteReference"/>
          <w:rFonts w:ascii="Times New Roman" w:hAnsi="Times New Roman" w:cs="Times New Roman"/>
          <w:sz w:val="20"/>
          <w:szCs w:val="20"/>
        </w:rPr>
        <w:footnoteRef/>
      </w:r>
      <w:r w:rsidRPr="002E3974">
        <w:rPr>
          <w:rFonts w:ascii="Times New Roman" w:hAnsi="Times New Roman" w:cs="Times New Roman"/>
          <w:sz w:val="20"/>
          <w:szCs w:val="20"/>
        </w:rPr>
        <w:t xml:space="preserve"> </w:t>
      </w:r>
      <w:r w:rsidRPr="006341B5">
        <w:rPr>
          <w:rFonts w:ascii="Times New Roman" w:hAnsi="Times New Roman" w:cs="Times New Roman"/>
          <w:sz w:val="20"/>
          <w:szCs w:val="20"/>
          <w:lang w:val="en"/>
        </w:rPr>
        <w:t xml:space="preserve">Committee on Rights of the Child, General Comment No. 6 (2005) on the Treatment of unaccompanied and separated children outside their country of origin, U.N. Doc. CRC/GC/2005/6, 1 September 2005 – page 7, para 27; </w:t>
      </w:r>
      <w:r w:rsidRPr="006341B5">
        <w:rPr>
          <w:rFonts w:ascii="Times New Roman" w:hAnsi="Times New Roman" w:cs="Times New Roman"/>
          <w:sz w:val="20"/>
          <w:szCs w:val="20"/>
        </w:rPr>
        <w:t>European Parliament, Directive 2013/32EU, 26 June 2013, Article 7.</w:t>
      </w:r>
    </w:p>
  </w:footnote>
  <w:footnote w:id="21">
    <w:p w14:paraId="41659382" w14:textId="2DE47FB3" w:rsidR="008F2CEA" w:rsidRPr="001B464B" w:rsidRDefault="008F2CEA" w:rsidP="000E2113">
      <w:pPr>
        <w:pStyle w:val="FootnoteText"/>
        <w:jc w:val="both"/>
        <w:rPr>
          <w:rFonts w:ascii="Times New Roman" w:hAnsi="Times New Roman" w:cs="Times New Roman"/>
        </w:rPr>
      </w:pPr>
      <w:r w:rsidRPr="001B464B">
        <w:rPr>
          <w:rStyle w:val="FootnoteReference"/>
          <w:rFonts w:ascii="Times New Roman" w:hAnsi="Times New Roman" w:cs="Times New Roman"/>
        </w:rPr>
        <w:footnoteRef/>
      </w:r>
      <w:r w:rsidRPr="001B464B">
        <w:rPr>
          <w:rFonts w:ascii="Times New Roman" w:hAnsi="Times New Roman" w:cs="Times New Roman"/>
        </w:rPr>
        <w:t xml:space="preserve"> </w:t>
      </w:r>
      <w:r w:rsidRPr="009F03DF">
        <w:rPr>
          <w:rFonts w:ascii="Times" w:hAnsi="Times"/>
        </w:rPr>
        <w:t>UNCAT</w:t>
      </w:r>
      <w:r>
        <w:rPr>
          <w:rFonts w:ascii="Times" w:hAnsi="Times"/>
        </w:rPr>
        <w:t>,</w:t>
      </w:r>
      <w:r w:rsidRPr="009F03DF">
        <w:rPr>
          <w:rFonts w:ascii="Times" w:hAnsi="Times"/>
        </w:rPr>
        <w:t xml:space="preserve"> </w:t>
      </w:r>
      <w:proofErr w:type="spellStart"/>
      <w:r w:rsidRPr="009F03DF">
        <w:rPr>
          <w:rFonts w:ascii="Times" w:hAnsi="Times" w:cs="Helvetica Neue"/>
          <w:i/>
          <w:iCs/>
          <w:color w:val="303030"/>
        </w:rPr>
        <w:t>Mafhoud</w:t>
      </w:r>
      <w:proofErr w:type="spellEnd"/>
      <w:r w:rsidRPr="009F03DF">
        <w:rPr>
          <w:rFonts w:ascii="Times" w:hAnsi="Times" w:cs="Helvetica Neue"/>
          <w:i/>
          <w:iCs/>
          <w:color w:val="303030"/>
        </w:rPr>
        <w:t xml:space="preserve"> </w:t>
      </w:r>
      <w:proofErr w:type="spellStart"/>
      <w:r w:rsidRPr="009F03DF">
        <w:rPr>
          <w:rFonts w:ascii="Times" w:hAnsi="Times" w:cs="Helvetica Neue"/>
          <w:i/>
          <w:iCs/>
          <w:color w:val="303030"/>
        </w:rPr>
        <w:t>Brada</w:t>
      </w:r>
      <w:proofErr w:type="spellEnd"/>
      <w:r w:rsidRPr="009F03DF">
        <w:rPr>
          <w:rFonts w:ascii="Times" w:hAnsi="Times" w:cs="Helvetica Neue"/>
          <w:i/>
          <w:iCs/>
          <w:color w:val="303030"/>
        </w:rPr>
        <w:t xml:space="preserve"> v. France</w:t>
      </w:r>
      <w:r w:rsidRPr="009F03DF">
        <w:rPr>
          <w:rFonts w:ascii="Times" w:hAnsi="Times" w:cs="Helvetica Neue"/>
          <w:color w:val="303030"/>
        </w:rPr>
        <w:t>, Communication No. 195/2002 CAT/C/34/D/195/2002 (2005)</w:t>
      </w:r>
      <w:r>
        <w:rPr>
          <w:rFonts w:ascii="Times" w:hAnsi="Times" w:cs="Helvetica Neue"/>
          <w:color w:val="303030"/>
        </w:rPr>
        <w:t xml:space="preserve">, para 8.2; UNCAT </w:t>
      </w:r>
      <w:proofErr w:type="spellStart"/>
      <w:r w:rsidRPr="009F03DF">
        <w:rPr>
          <w:rFonts w:ascii="Times" w:hAnsi="Times" w:cs="Arial"/>
          <w:bCs/>
          <w:i/>
          <w:color w:val="0E0E0E"/>
        </w:rPr>
        <w:t>Elif</w:t>
      </w:r>
      <w:proofErr w:type="spellEnd"/>
      <w:r w:rsidRPr="009F03DF">
        <w:rPr>
          <w:rFonts w:ascii="Times" w:hAnsi="Times" w:cs="Arial"/>
          <w:bCs/>
          <w:i/>
          <w:color w:val="0E0E0E"/>
        </w:rPr>
        <w:t xml:space="preserve"> </w:t>
      </w:r>
      <w:proofErr w:type="spellStart"/>
      <w:r w:rsidRPr="009F03DF">
        <w:rPr>
          <w:rFonts w:ascii="Times" w:hAnsi="Times" w:cs="Arial"/>
          <w:bCs/>
          <w:i/>
          <w:color w:val="0E0E0E"/>
        </w:rPr>
        <w:t>Pelit</w:t>
      </w:r>
      <w:proofErr w:type="spellEnd"/>
      <w:r w:rsidRPr="009F03DF">
        <w:rPr>
          <w:rFonts w:ascii="Times" w:hAnsi="Times" w:cs="Arial"/>
          <w:bCs/>
          <w:i/>
          <w:color w:val="0E0E0E"/>
        </w:rPr>
        <w:t xml:space="preserve"> v Azerbaijan</w:t>
      </w:r>
      <w:r w:rsidRPr="009F03DF">
        <w:rPr>
          <w:rFonts w:ascii="Times" w:hAnsi="Times" w:cs="Arial"/>
          <w:bCs/>
          <w:color w:val="0E0E0E"/>
        </w:rPr>
        <w:t>, Commun</w:t>
      </w:r>
      <w:r w:rsidRPr="00986284">
        <w:rPr>
          <w:rFonts w:ascii="Times" w:hAnsi="Times" w:cs="Arial"/>
          <w:bCs/>
          <w:color w:val="0E0E0E"/>
        </w:rPr>
        <w:t xml:space="preserve">ication No. 281/2005, </w:t>
      </w:r>
      <w:r w:rsidRPr="009F03DF">
        <w:rPr>
          <w:rFonts w:ascii="Times" w:hAnsi="Times" w:cs="Arial"/>
          <w:bCs/>
          <w:color w:val="0E0E0E"/>
        </w:rPr>
        <w:t>CAT/C/38/D/281/2005 (2007</w:t>
      </w:r>
      <w:r>
        <w:rPr>
          <w:rFonts w:ascii="Times" w:hAnsi="Times" w:cs="Arial"/>
          <w:bCs/>
          <w:color w:val="0E0E0E"/>
        </w:rPr>
        <w:t>), para. 10.2.</w:t>
      </w:r>
    </w:p>
  </w:footnote>
  <w:footnote w:id="22">
    <w:p w14:paraId="70D8B7DE" w14:textId="301C4A81" w:rsidR="008F2CEA" w:rsidRPr="001B464B" w:rsidRDefault="008F2CEA" w:rsidP="000E2113">
      <w:pPr>
        <w:pStyle w:val="FootnoteText"/>
        <w:jc w:val="both"/>
        <w:rPr>
          <w:rFonts w:ascii="Times New Roman" w:hAnsi="Times New Roman" w:cs="Times New Roman"/>
        </w:rPr>
      </w:pPr>
      <w:r w:rsidRPr="001B464B">
        <w:rPr>
          <w:rStyle w:val="FootnoteReference"/>
          <w:rFonts w:ascii="Times New Roman" w:hAnsi="Times New Roman" w:cs="Times New Roman"/>
        </w:rPr>
        <w:footnoteRef/>
      </w:r>
      <w:r w:rsidRPr="001B464B">
        <w:rPr>
          <w:rFonts w:ascii="Times New Roman" w:hAnsi="Times New Roman" w:cs="Times New Roman"/>
        </w:rPr>
        <w:t xml:space="preserve"> </w:t>
      </w:r>
      <w:r w:rsidRPr="00431714">
        <w:rPr>
          <w:rFonts w:ascii="Times" w:hAnsi="Times"/>
        </w:rPr>
        <w:t xml:space="preserve">UNCAT, </w:t>
      </w:r>
      <w:proofErr w:type="spellStart"/>
      <w:r w:rsidRPr="00431714">
        <w:rPr>
          <w:rFonts w:ascii="Times" w:hAnsi="Times" w:cs="Times New Roman"/>
          <w:i/>
        </w:rPr>
        <w:t>Kalinichenko</w:t>
      </w:r>
      <w:proofErr w:type="spellEnd"/>
      <w:r w:rsidRPr="00431714">
        <w:rPr>
          <w:rFonts w:ascii="Times" w:hAnsi="Times" w:cs="Times New Roman"/>
          <w:i/>
        </w:rPr>
        <w:t xml:space="preserve"> v Morocco</w:t>
      </w:r>
      <w:r w:rsidRPr="00431714">
        <w:rPr>
          <w:rFonts w:ascii="Times" w:hAnsi="Times" w:cs="Times New Roman"/>
        </w:rPr>
        <w:t xml:space="preserve">, Communication No. 428/2010, </w:t>
      </w:r>
      <w:r w:rsidRPr="00431714">
        <w:rPr>
          <w:rFonts w:ascii="Times" w:hAnsi="Times"/>
        </w:rPr>
        <w:t>CAT/C/47/D/428/2010 (2012),</w:t>
      </w:r>
      <w:r>
        <w:rPr>
          <w:rFonts w:ascii="Times" w:hAnsi="Times"/>
        </w:rPr>
        <w:t xml:space="preserve"> para 13.1, 13.2; </w:t>
      </w:r>
      <w:proofErr w:type="spellStart"/>
      <w:r w:rsidRPr="00431714">
        <w:rPr>
          <w:rFonts w:ascii="Times" w:hAnsi="Times"/>
          <w:i/>
        </w:rPr>
        <w:t>Tursunov</w:t>
      </w:r>
      <w:proofErr w:type="spellEnd"/>
      <w:r w:rsidRPr="00431714">
        <w:rPr>
          <w:rFonts w:ascii="Times" w:hAnsi="Times"/>
          <w:i/>
        </w:rPr>
        <w:t xml:space="preserve"> v</w:t>
      </w:r>
      <w:r w:rsidRPr="00431714">
        <w:t xml:space="preserve"> </w:t>
      </w:r>
      <w:r w:rsidRPr="00431714">
        <w:rPr>
          <w:rFonts w:ascii="Times" w:hAnsi="Times"/>
          <w:i/>
        </w:rPr>
        <w:t>Kazakhstan,</w:t>
      </w:r>
      <w:r w:rsidRPr="00431714">
        <w:rPr>
          <w:rFonts w:ascii="Times" w:hAnsi="Times" w:cs="Verdana"/>
        </w:rPr>
        <w:t xml:space="preserve"> Communication No. 538/2013, CAT/C/54/D/538/2013</w:t>
      </w:r>
      <w:r>
        <w:rPr>
          <w:rFonts w:ascii="Times" w:hAnsi="Times" w:cs="Verdana"/>
        </w:rPr>
        <w:t>, para. 7.1, 7.2</w:t>
      </w:r>
      <w:r w:rsidRPr="00431714">
        <w:rPr>
          <w:rFonts w:ascii="Times" w:hAnsi="Times"/>
        </w:rPr>
        <w:t>;</w:t>
      </w:r>
      <w:r>
        <w:rPr>
          <w:rFonts w:ascii="Times" w:hAnsi="Times"/>
        </w:rPr>
        <w:t xml:space="preserve"> </w:t>
      </w:r>
      <w:r w:rsidRPr="00431714">
        <w:rPr>
          <w:rFonts w:ascii="Times" w:hAnsi="Times"/>
        </w:rPr>
        <w:t xml:space="preserve">UNCAT </w:t>
      </w:r>
      <w:proofErr w:type="spellStart"/>
      <w:r w:rsidRPr="00431714">
        <w:rPr>
          <w:rFonts w:ascii="Times" w:hAnsi="Times" w:cs="Helvetica Neue"/>
          <w:i/>
          <w:iCs/>
          <w:color w:val="303030"/>
        </w:rPr>
        <w:t>Mafhoud</w:t>
      </w:r>
      <w:proofErr w:type="spellEnd"/>
      <w:r w:rsidRPr="00431714">
        <w:rPr>
          <w:rFonts w:ascii="Times" w:hAnsi="Times" w:cs="Helvetica Neue"/>
          <w:i/>
          <w:iCs/>
          <w:color w:val="303030"/>
        </w:rPr>
        <w:t xml:space="preserve"> </w:t>
      </w:r>
      <w:proofErr w:type="spellStart"/>
      <w:r w:rsidRPr="00431714">
        <w:rPr>
          <w:rFonts w:ascii="Times" w:hAnsi="Times" w:cs="Helvetica Neue"/>
          <w:i/>
          <w:iCs/>
          <w:color w:val="303030"/>
        </w:rPr>
        <w:t>Brada</w:t>
      </w:r>
      <w:proofErr w:type="spellEnd"/>
      <w:r w:rsidRPr="00431714">
        <w:rPr>
          <w:rFonts w:ascii="Times" w:hAnsi="Times" w:cs="Helvetica Neue"/>
          <w:i/>
          <w:iCs/>
          <w:color w:val="303030"/>
        </w:rPr>
        <w:t xml:space="preserve"> v. France</w:t>
      </w:r>
      <w:r w:rsidRPr="00431714">
        <w:rPr>
          <w:rFonts w:ascii="Times" w:hAnsi="Times" w:cs="Helvetica Neue"/>
          <w:color w:val="303030"/>
        </w:rPr>
        <w:t>, Communication No. 195/2002 CAT/C/34/D/195/2002 (2005)</w:t>
      </w:r>
      <w:r>
        <w:rPr>
          <w:rFonts w:ascii="Times" w:hAnsi="Times" w:cs="Helvetica Neue"/>
          <w:color w:val="303030"/>
        </w:rPr>
        <w:t>, para. 8.2</w:t>
      </w:r>
      <w:r w:rsidRPr="00431714">
        <w:rPr>
          <w:rFonts w:ascii="Times" w:hAnsi="Times" w:cs="Helvetica Neue"/>
          <w:color w:val="303030"/>
        </w:rPr>
        <w:t xml:space="preserve">; </w:t>
      </w:r>
      <w:r w:rsidRPr="00431714">
        <w:rPr>
          <w:rFonts w:ascii="Times New Roman" w:hAnsi="Times New Roman" w:cs="Times New Roman"/>
        </w:rPr>
        <w:t xml:space="preserve">UNCAT, </w:t>
      </w:r>
      <w:proofErr w:type="spellStart"/>
      <w:r w:rsidRPr="00431714">
        <w:rPr>
          <w:rFonts w:ascii="Times New Roman" w:hAnsi="Times New Roman" w:cs="Times New Roman"/>
          <w:i/>
        </w:rPr>
        <w:t>Agiza</w:t>
      </w:r>
      <w:proofErr w:type="spellEnd"/>
      <w:r w:rsidRPr="00431714">
        <w:rPr>
          <w:rFonts w:ascii="Times New Roman" w:hAnsi="Times New Roman" w:cs="Times New Roman"/>
          <w:i/>
        </w:rPr>
        <w:t xml:space="preserve"> v. Sweden</w:t>
      </w:r>
      <w:r w:rsidRPr="00431714">
        <w:rPr>
          <w:rFonts w:ascii="Times New Roman" w:hAnsi="Times New Roman" w:cs="Times New Roman"/>
        </w:rPr>
        <w:t xml:space="preserve">, </w:t>
      </w:r>
      <w:r w:rsidRPr="00431714">
        <w:rPr>
          <w:rFonts w:ascii="Times New Roman" w:hAnsi="Times New Roman" w:cs="Times New Roman"/>
          <w:bCs/>
        </w:rPr>
        <w:t>Communication No. 233/2003, CAT/C/34/D/233/2003 (2005)</w:t>
      </w:r>
      <w:r>
        <w:rPr>
          <w:rFonts w:ascii="Times New Roman" w:hAnsi="Times New Roman" w:cs="Times New Roman"/>
          <w:bCs/>
        </w:rPr>
        <w:t xml:space="preserve">, para. </w:t>
      </w:r>
      <w:proofErr w:type="gramStart"/>
      <w:r>
        <w:rPr>
          <w:rFonts w:ascii="Times New Roman" w:hAnsi="Times New Roman" w:cs="Times New Roman"/>
          <w:bCs/>
        </w:rPr>
        <w:t xml:space="preserve">13.9; </w:t>
      </w:r>
      <w:r w:rsidRPr="00AC0BDB">
        <w:rPr>
          <w:rFonts w:ascii="Times New Roman" w:hAnsi="Times New Roman" w:cs="Times New Roman"/>
          <w:i/>
          <w:iCs/>
          <w:color w:val="303030"/>
        </w:rPr>
        <w:t>Nadeem Ahmad Dar v. Norway</w:t>
      </w:r>
      <w:r w:rsidR="00122922">
        <w:rPr>
          <w:rFonts w:ascii="Times New Roman" w:hAnsi="Times New Roman" w:cs="Times New Roman"/>
          <w:color w:val="303030"/>
        </w:rPr>
        <w:t xml:space="preserve">, </w:t>
      </w:r>
      <w:r w:rsidRPr="00AC0BDB">
        <w:rPr>
          <w:rFonts w:ascii="Times New Roman" w:hAnsi="Times New Roman" w:cs="Times New Roman"/>
          <w:color w:val="303030"/>
        </w:rPr>
        <w:t>Communication No. 249/2004, CAT/C/38/D/249/2004 (2007)</w:t>
      </w:r>
      <w:r>
        <w:rPr>
          <w:rFonts w:ascii="Times New Roman" w:hAnsi="Times New Roman" w:cs="Times New Roman"/>
          <w:color w:val="303030"/>
        </w:rPr>
        <w:t xml:space="preserve"> para.</w:t>
      </w:r>
      <w:proofErr w:type="gramEnd"/>
      <w:r>
        <w:rPr>
          <w:rFonts w:ascii="Times New Roman" w:hAnsi="Times New Roman" w:cs="Times New Roman"/>
          <w:color w:val="303030"/>
        </w:rPr>
        <w:t xml:space="preserve"> 6.7, 16.3, 17</w:t>
      </w:r>
      <w:r w:rsidRPr="00AC0BDB">
        <w:rPr>
          <w:rFonts w:ascii="Times New Roman" w:hAnsi="Times New Roman" w:cs="Times New Roman"/>
          <w:color w:val="303030"/>
        </w:rPr>
        <w:t xml:space="preserve">; UNCAT </w:t>
      </w:r>
      <w:proofErr w:type="spellStart"/>
      <w:r w:rsidRPr="00AC0BDB">
        <w:rPr>
          <w:rFonts w:ascii="Times New Roman" w:hAnsi="Times New Roman" w:cs="Times New Roman"/>
          <w:bCs/>
          <w:i/>
          <w:color w:val="0E0E0E"/>
        </w:rPr>
        <w:t>Elif</w:t>
      </w:r>
      <w:proofErr w:type="spellEnd"/>
      <w:r w:rsidRPr="00AC0BDB">
        <w:rPr>
          <w:rFonts w:ascii="Times New Roman" w:hAnsi="Times New Roman" w:cs="Times New Roman"/>
          <w:bCs/>
          <w:i/>
          <w:color w:val="0E0E0E"/>
        </w:rPr>
        <w:t xml:space="preserve"> </w:t>
      </w:r>
      <w:proofErr w:type="spellStart"/>
      <w:r w:rsidRPr="00AC0BDB">
        <w:rPr>
          <w:rFonts w:ascii="Times New Roman" w:hAnsi="Times New Roman" w:cs="Times New Roman"/>
          <w:bCs/>
          <w:i/>
          <w:color w:val="0E0E0E"/>
        </w:rPr>
        <w:t>Pelit</w:t>
      </w:r>
      <w:proofErr w:type="spellEnd"/>
      <w:r w:rsidRPr="00AC0BDB">
        <w:rPr>
          <w:rFonts w:ascii="Times New Roman" w:hAnsi="Times New Roman" w:cs="Times New Roman"/>
          <w:bCs/>
          <w:i/>
          <w:color w:val="0E0E0E"/>
        </w:rPr>
        <w:t xml:space="preserve"> v </w:t>
      </w:r>
      <w:r w:rsidRPr="00FB3F67">
        <w:rPr>
          <w:rFonts w:ascii="Times New Roman" w:hAnsi="Times New Roman" w:cs="Times New Roman"/>
          <w:bCs/>
          <w:i/>
        </w:rPr>
        <w:t>Azerbaijan</w:t>
      </w:r>
      <w:r w:rsidRPr="00FB3F67">
        <w:rPr>
          <w:rFonts w:ascii="Times New Roman" w:hAnsi="Times New Roman" w:cs="Times New Roman"/>
          <w:bCs/>
        </w:rPr>
        <w:t>, Communication No. 281/2005, CAT/C/</w:t>
      </w:r>
      <w:r w:rsidR="00122922">
        <w:rPr>
          <w:rFonts w:ascii="Times New Roman" w:hAnsi="Times New Roman" w:cs="Times New Roman"/>
          <w:bCs/>
        </w:rPr>
        <w:t>38/D/281/2005 (2007) para 10.2</w:t>
      </w:r>
      <w:r w:rsidRPr="00FB3F67">
        <w:rPr>
          <w:rFonts w:ascii="Times New Roman" w:hAnsi="Times New Roman" w:cs="Times New Roman"/>
          <w:bCs/>
        </w:rPr>
        <w:t xml:space="preserve">; </w:t>
      </w:r>
      <w:r w:rsidRPr="00FB3F67">
        <w:rPr>
          <w:rFonts w:ascii="Times New Roman" w:hAnsi="Times New Roman" w:cs="Times New Roman"/>
          <w:i/>
          <w:iCs/>
          <w:shd w:val="clear" w:color="auto" w:fill="FFFFFF"/>
        </w:rPr>
        <w:t xml:space="preserve">Adel </w:t>
      </w:r>
      <w:proofErr w:type="spellStart"/>
      <w:r w:rsidRPr="00FB3F67">
        <w:rPr>
          <w:rFonts w:ascii="Times New Roman" w:hAnsi="Times New Roman" w:cs="Times New Roman"/>
          <w:i/>
          <w:iCs/>
          <w:shd w:val="clear" w:color="auto" w:fill="FFFFFF"/>
        </w:rPr>
        <w:t>Tebourski</w:t>
      </w:r>
      <w:proofErr w:type="spellEnd"/>
      <w:r w:rsidRPr="00FB3F67">
        <w:rPr>
          <w:rFonts w:ascii="Times New Roman" w:hAnsi="Times New Roman" w:cs="Times New Roman"/>
          <w:i/>
          <w:iCs/>
          <w:shd w:val="clear" w:color="auto" w:fill="FFFFFF"/>
        </w:rPr>
        <w:t xml:space="preserve"> v. France</w:t>
      </w:r>
      <w:r w:rsidRPr="00FB3F67">
        <w:rPr>
          <w:rFonts w:ascii="Times New Roman" w:hAnsi="Times New Roman" w:cs="Times New Roman"/>
          <w:shd w:val="clear" w:color="auto" w:fill="FFFFFF"/>
        </w:rPr>
        <w:t xml:space="preserve">, Communication No. 300/2006, CAT/C/38/D/300/2006 (2007). The language in the current draft uses the formulation of the dissenting opinion in </w:t>
      </w:r>
      <w:proofErr w:type="spellStart"/>
      <w:r w:rsidRPr="00FB3F67">
        <w:rPr>
          <w:rFonts w:ascii="Times New Roman" w:hAnsi="Times New Roman" w:cs="Times New Roman"/>
          <w:shd w:val="clear" w:color="auto" w:fill="FFFFFF"/>
        </w:rPr>
        <w:t>Tursunov</w:t>
      </w:r>
      <w:proofErr w:type="spellEnd"/>
      <w:r w:rsidRPr="00FB3F67">
        <w:rPr>
          <w:rFonts w:ascii="Times New Roman" w:hAnsi="Times New Roman" w:cs="Times New Roman"/>
          <w:shd w:val="clear" w:color="auto" w:fill="FFFFFF"/>
        </w:rPr>
        <w:t xml:space="preserve"> v Kazakhstan, Communication No. 538/2013, CAT/C/54/D/538/2013 (2015), </w:t>
      </w:r>
      <w:r w:rsidRPr="00FB3F67">
        <w:rPr>
          <w:rFonts w:ascii="Times New Roman" w:hAnsi="Times New Roman" w:cs="Times New Roman"/>
        </w:rPr>
        <w:t xml:space="preserve">see Appendix, page 11, </w:t>
      </w:r>
      <w:proofErr w:type="gramStart"/>
      <w:r w:rsidRPr="00FB3F67">
        <w:rPr>
          <w:rFonts w:ascii="Times New Roman" w:hAnsi="Times New Roman" w:cs="Times New Roman"/>
        </w:rPr>
        <w:t>para</w:t>
      </w:r>
      <w:proofErr w:type="gramEnd"/>
      <w:r w:rsidRPr="00FB3F67">
        <w:rPr>
          <w:rFonts w:ascii="Times New Roman" w:hAnsi="Times New Roman" w:cs="Times New Roman"/>
        </w:rPr>
        <w:t>. 1-3</w:t>
      </w:r>
      <w:r>
        <w:rPr>
          <w:rFonts w:ascii="Times New Roman" w:hAnsi="Times New Roman" w:cs="Times New Roman"/>
        </w:rPr>
        <w:t>.</w:t>
      </w:r>
    </w:p>
  </w:footnote>
  <w:footnote w:id="23">
    <w:p w14:paraId="00EE66D9" w14:textId="1979729A" w:rsidR="008F2CEA" w:rsidRPr="001B464B" w:rsidRDefault="008F2CEA" w:rsidP="000E2113">
      <w:pPr>
        <w:pStyle w:val="FootnoteText"/>
        <w:jc w:val="both"/>
        <w:rPr>
          <w:rFonts w:ascii="Times New Roman" w:hAnsi="Times New Roman" w:cs="Times New Roman"/>
        </w:rPr>
      </w:pPr>
      <w:r w:rsidRPr="001B464B">
        <w:rPr>
          <w:rStyle w:val="FootnoteReference"/>
          <w:rFonts w:ascii="Times New Roman" w:hAnsi="Times New Roman" w:cs="Times New Roman"/>
        </w:rPr>
        <w:footnoteRef/>
      </w:r>
      <w:r>
        <w:rPr>
          <w:rFonts w:ascii="Times New Roman" w:hAnsi="Times New Roman" w:cs="Times New Roman"/>
        </w:rPr>
        <w:t xml:space="preserve"> </w:t>
      </w:r>
      <w:r w:rsidRPr="001E5B73">
        <w:rPr>
          <w:rFonts w:ascii="Times New Roman" w:hAnsi="Times New Roman" w:cs="Times New Roman"/>
        </w:rPr>
        <w:t xml:space="preserve">UNCAT, </w:t>
      </w:r>
      <w:r w:rsidRPr="001E5B73">
        <w:rPr>
          <w:rFonts w:ascii="Times New Roman" w:hAnsi="Times New Roman" w:cs="Times New Roman"/>
          <w:i/>
          <w:iCs/>
          <w:color w:val="303030"/>
        </w:rPr>
        <w:t>Nadeem Ahmad Dar v. Norway</w:t>
      </w:r>
      <w:r w:rsidRPr="001E5B73">
        <w:rPr>
          <w:rFonts w:ascii="Times New Roman" w:hAnsi="Times New Roman" w:cs="Times New Roman"/>
          <w:color w:val="303030"/>
        </w:rPr>
        <w:t>, Communication No. 249/2004, CAT/C/38/D/249/2004 (2007)</w:t>
      </w:r>
      <w:r w:rsidRPr="009F03DF">
        <w:rPr>
          <w:rFonts w:ascii="Times New Roman" w:hAnsi="Times New Roman" w:cs="Times New Roman"/>
        </w:rPr>
        <w:t xml:space="preserve"> para 16.7</w:t>
      </w:r>
      <w:r w:rsidR="00122922">
        <w:rPr>
          <w:rFonts w:ascii="Times New Roman" w:hAnsi="Times New Roman" w:cs="Times New Roman"/>
        </w:rPr>
        <w:t>.</w:t>
      </w:r>
    </w:p>
  </w:footnote>
  <w:footnote w:id="24">
    <w:p w14:paraId="07E78FA7" w14:textId="6CE4E1D4" w:rsidR="008F2CEA" w:rsidRPr="001B464B" w:rsidRDefault="008F2CEA" w:rsidP="000E2113">
      <w:pPr>
        <w:pStyle w:val="FootnoteText"/>
        <w:jc w:val="both"/>
        <w:rPr>
          <w:rFonts w:ascii="Times New Roman" w:hAnsi="Times New Roman" w:cs="Times New Roman"/>
        </w:rPr>
      </w:pPr>
      <w:r w:rsidRPr="001B464B">
        <w:rPr>
          <w:rStyle w:val="FootnoteReference"/>
          <w:rFonts w:ascii="Times New Roman" w:hAnsi="Times New Roman" w:cs="Times New Roman"/>
        </w:rPr>
        <w:footnoteRef/>
      </w:r>
      <w:r w:rsidRPr="001B464B">
        <w:rPr>
          <w:rFonts w:ascii="Times New Roman" w:hAnsi="Times New Roman" w:cs="Times New Roman"/>
        </w:rPr>
        <w:t xml:space="preserve"> </w:t>
      </w:r>
      <w:r w:rsidRPr="001E5B73">
        <w:rPr>
          <w:rFonts w:ascii="Times New Roman" w:hAnsi="Times New Roman" w:cs="Times New Roman"/>
        </w:rPr>
        <w:t xml:space="preserve">UNCAT, </w:t>
      </w:r>
      <w:r w:rsidRPr="009F03DF">
        <w:rPr>
          <w:rFonts w:ascii="Times New Roman" w:hAnsi="Times New Roman" w:cs="Times New Roman"/>
          <w:i/>
        </w:rPr>
        <w:t>Gerasimov v Kazakhstan</w:t>
      </w:r>
      <w:r w:rsidRPr="001E5B73">
        <w:rPr>
          <w:rFonts w:ascii="Times New Roman" w:hAnsi="Times New Roman" w:cs="Times New Roman"/>
        </w:rPr>
        <w:t>, Communication No.433/2010, CAT/C/48/D/433/2010 (2012)</w:t>
      </w:r>
      <w:r w:rsidRPr="009F03DF">
        <w:rPr>
          <w:rFonts w:ascii="Times New Roman" w:hAnsi="Times New Roman" w:cs="Times New Roman"/>
        </w:rPr>
        <w:t xml:space="preserve"> para 12.9</w:t>
      </w:r>
      <w:r>
        <w:rPr>
          <w:rFonts w:ascii="Times New Roman" w:hAnsi="Times New Roman" w:cs="Times New Roman"/>
        </w:rPr>
        <w:t>.</w:t>
      </w:r>
    </w:p>
  </w:footnote>
  <w:footnote w:id="25">
    <w:p w14:paraId="597EA1AE" w14:textId="23B86B97" w:rsidR="008F2CEA" w:rsidRPr="001B464B" w:rsidRDefault="008F2CEA" w:rsidP="000E2113">
      <w:pPr>
        <w:pStyle w:val="FootnoteText"/>
        <w:jc w:val="both"/>
        <w:rPr>
          <w:rFonts w:ascii="Times New Roman" w:hAnsi="Times New Roman" w:cs="Times New Roman"/>
        </w:rPr>
      </w:pPr>
      <w:r w:rsidRPr="001B464B">
        <w:rPr>
          <w:rStyle w:val="FootnoteReference"/>
          <w:rFonts w:ascii="Times New Roman" w:hAnsi="Times New Roman" w:cs="Times New Roman"/>
        </w:rPr>
        <w:footnoteRef/>
      </w:r>
      <w:r w:rsidRPr="001B464B">
        <w:rPr>
          <w:rFonts w:ascii="Times New Roman" w:hAnsi="Times New Roman" w:cs="Times New Roman"/>
        </w:rPr>
        <w:t xml:space="preserve"> </w:t>
      </w:r>
      <w:r w:rsidRPr="001E5B73">
        <w:rPr>
          <w:rFonts w:ascii="Times New Roman" w:hAnsi="Times New Roman" w:cs="Times New Roman"/>
        </w:rPr>
        <w:t xml:space="preserve">UNCAT, </w:t>
      </w:r>
      <w:r w:rsidRPr="001E5B73">
        <w:rPr>
          <w:rFonts w:ascii="Times New Roman" w:hAnsi="Times New Roman" w:cs="Times New Roman"/>
          <w:i/>
        </w:rPr>
        <w:t>Gerasimov v Kazakhstan</w:t>
      </w:r>
      <w:r w:rsidRPr="001E5B73">
        <w:rPr>
          <w:rFonts w:ascii="Times New Roman" w:hAnsi="Times New Roman" w:cs="Times New Roman"/>
        </w:rPr>
        <w:t xml:space="preserve">, Communication No.433/2010, CAT/C/48/D/433/2010 (2012) </w:t>
      </w:r>
      <w:r w:rsidRPr="009F03DF">
        <w:rPr>
          <w:rFonts w:ascii="Times New Roman" w:hAnsi="Times New Roman" w:cs="Times New Roman"/>
        </w:rPr>
        <w:t>para</w:t>
      </w:r>
      <w:r w:rsidRPr="001E5B73">
        <w:rPr>
          <w:rFonts w:ascii="Times New Roman" w:hAnsi="Times New Roman" w:cs="Times New Roman"/>
        </w:rPr>
        <w:t>.</w:t>
      </w:r>
      <w:r w:rsidRPr="009F03DF">
        <w:rPr>
          <w:rFonts w:ascii="Times New Roman" w:hAnsi="Times New Roman" w:cs="Times New Roman"/>
        </w:rPr>
        <w:t xml:space="preserve"> 12.10</w:t>
      </w:r>
      <w:r>
        <w:rPr>
          <w:rFonts w:ascii="Times New Roman" w:hAnsi="Times New Roman" w:cs="Times New Roman"/>
        </w:rPr>
        <w:t>.</w:t>
      </w:r>
      <w:r w:rsidRPr="009F03DF">
        <w:rPr>
          <w:rFonts w:ascii="Times New Roman" w:hAnsi="Times New Roman" w:cs="Times New Roman"/>
        </w:rPr>
        <w:t xml:space="preserve"> </w:t>
      </w:r>
      <w:r w:rsidRPr="001B464B">
        <w:rPr>
          <w:rFonts w:ascii="Times New Roman" w:hAnsi="Times New Roman" w:cs="Times New Roman"/>
        </w:rPr>
        <w:t xml:space="preserve"> </w:t>
      </w:r>
    </w:p>
  </w:footnote>
  <w:footnote w:id="26">
    <w:p w14:paraId="15DDFDD3" w14:textId="1DD135EC" w:rsidR="008F2CEA" w:rsidRPr="00FB3F67" w:rsidRDefault="008F2CEA" w:rsidP="000E2113">
      <w:pPr>
        <w:spacing w:after="0" w:line="240" w:lineRule="auto"/>
        <w:ind w:right="-34"/>
        <w:jc w:val="both"/>
        <w:rPr>
          <w:rFonts w:ascii="Times New Roman" w:hAnsi="Times New Roman" w:cs="Times New Roman"/>
          <w:sz w:val="20"/>
          <w:szCs w:val="20"/>
          <w:lang w:val="en-GB"/>
        </w:rPr>
      </w:pPr>
      <w:r w:rsidRPr="001B464B">
        <w:rPr>
          <w:rStyle w:val="FootnoteReference"/>
          <w:rFonts w:ascii="Times New Roman" w:hAnsi="Times New Roman" w:cs="Times New Roman"/>
        </w:rPr>
        <w:footnoteRef/>
      </w:r>
      <w:r w:rsidRPr="001B464B">
        <w:rPr>
          <w:rFonts w:ascii="Times New Roman" w:hAnsi="Times New Roman" w:cs="Times New Roman"/>
        </w:rPr>
        <w:t xml:space="preserve"> </w:t>
      </w:r>
      <w:r w:rsidRPr="00FB3F67">
        <w:rPr>
          <w:rFonts w:ascii="Times New Roman" w:hAnsi="Times New Roman" w:cs="Times New Roman"/>
          <w:sz w:val="20"/>
          <w:szCs w:val="20"/>
        </w:rPr>
        <w:t>CAT, Rapporteur on Fol</w:t>
      </w:r>
      <w:r w:rsidR="004844C1">
        <w:rPr>
          <w:rFonts w:ascii="Times New Roman" w:hAnsi="Times New Roman" w:cs="Times New Roman"/>
          <w:sz w:val="20"/>
          <w:szCs w:val="20"/>
        </w:rPr>
        <w:t>low-Up, CAT/C/SR.717 at para 60</w:t>
      </w:r>
      <w:r w:rsidRPr="00FB3F67">
        <w:rPr>
          <w:rFonts w:ascii="Times New Roman" w:hAnsi="Times New Roman" w:cs="Times New Roman"/>
          <w:sz w:val="20"/>
          <w:szCs w:val="20"/>
        </w:rPr>
        <w:t xml:space="preserve">; UNCAT </w:t>
      </w:r>
      <w:r w:rsidR="004844C1" w:rsidRPr="00FB3F67">
        <w:rPr>
          <w:rFonts w:ascii="Times New Roman" w:hAnsi="Times New Roman" w:cs="Times New Roman"/>
          <w:sz w:val="20"/>
          <w:szCs w:val="20"/>
        </w:rPr>
        <w:t>Concluding</w:t>
      </w:r>
      <w:r w:rsidRPr="00FB3F67">
        <w:rPr>
          <w:rFonts w:ascii="Times New Roman" w:hAnsi="Times New Roman" w:cs="Times New Roman"/>
          <w:sz w:val="20"/>
          <w:szCs w:val="20"/>
        </w:rPr>
        <w:t xml:space="preserve"> Observations on the si</w:t>
      </w:r>
      <w:r w:rsidR="004844C1">
        <w:rPr>
          <w:rFonts w:ascii="Times New Roman" w:hAnsi="Times New Roman" w:cs="Times New Roman"/>
          <w:sz w:val="20"/>
          <w:szCs w:val="20"/>
        </w:rPr>
        <w:t xml:space="preserve">xth periodic report of Canada, </w:t>
      </w:r>
      <w:r w:rsidRPr="00FB3F67">
        <w:rPr>
          <w:rFonts w:ascii="Times New Roman" w:hAnsi="Times New Roman" w:cs="Times New Roman"/>
          <w:sz w:val="20"/>
          <w:szCs w:val="20"/>
        </w:rPr>
        <w:t xml:space="preserve">CAT/C/CAN/CO/6, 25 June 2012, para. </w:t>
      </w:r>
      <w:proofErr w:type="gramStart"/>
      <w:r w:rsidRPr="00FB3F67">
        <w:rPr>
          <w:rFonts w:ascii="Times New Roman" w:hAnsi="Times New Roman" w:cs="Times New Roman"/>
          <w:sz w:val="20"/>
          <w:szCs w:val="20"/>
        </w:rPr>
        <w:t>10</w:t>
      </w:r>
      <w:r w:rsidR="004844C1">
        <w:rPr>
          <w:rFonts w:ascii="Times New Roman" w:hAnsi="Times New Roman" w:cs="Times New Roman"/>
          <w:sz w:val="20"/>
          <w:szCs w:val="20"/>
        </w:rPr>
        <w:t xml:space="preserve">; </w:t>
      </w:r>
      <w:r w:rsidRPr="00FB3F67">
        <w:rPr>
          <w:rFonts w:ascii="Times New Roman" w:hAnsi="Times New Roman" w:cs="Times New Roman"/>
          <w:sz w:val="20"/>
          <w:szCs w:val="20"/>
        </w:rPr>
        <w:t xml:space="preserve">Human Rights Committee, </w:t>
      </w:r>
      <w:r w:rsidRPr="00FB3F67">
        <w:rPr>
          <w:rFonts w:ascii="Times New Roman" w:hAnsi="Times New Roman" w:cs="Times New Roman"/>
          <w:i/>
          <w:sz w:val="20"/>
          <w:szCs w:val="20"/>
        </w:rPr>
        <w:t>General Comment No. 33</w:t>
      </w:r>
      <w:r w:rsidRPr="00FB3F67">
        <w:rPr>
          <w:rFonts w:ascii="Times New Roman" w:hAnsi="Times New Roman" w:cs="Times New Roman"/>
          <w:sz w:val="20"/>
          <w:szCs w:val="20"/>
        </w:rPr>
        <w:t>, paras.</w:t>
      </w:r>
      <w:proofErr w:type="gramEnd"/>
      <w:r w:rsidRPr="00FB3F67">
        <w:rPr>
          <w:rFonts w:ascii="Times New Roman" w:hAnsi="Times New Roman" w:cs="Times New Roman"/>
          <w:sz w:val="20"/>
          <w:szCs w:val="20"/>
        </w:rPr>
        <w:t xml:space="preserve"> </w:t>
      </w:r>
      <w:proofErr w:type="gramStart"/>
      <w:r w:rsidRPr="00FB3F67">
        <w:rPr>
          <w:rFonts w:ascii="Times New Roman" w:hAnsi="Times New Roman" w:cs="Times New Roman"/>
          <w:sz w:val="20"/>
          <w:szCs w:val="20"/>
        </w:rPr>
        <w:t>11 and 13.</w:t>
      </w:r>
      <w:proofErr w:type="gramEnd"/>
      <w:r w:rsidRPr="00FB3F67">
        <w:rPr>
          <w:rFonts w:ascii="Times New Roman" w:hAnsi="Times New Roman" w:cs="Times New Roman"/>
          <w:sz w:val="20"/>
          <w:szCs w:val="20"/>
        </w:rPr>
        <w:t xml:space="preserve"> The Human Rights Committee has stated that its views on individual communications constitute “authoritative” interpretations of the treaty and as such are “determinative” of states’ rights and obligations; States Parties therefore have an obligation to “use whatever means lie within their power in order to give effect to the views issued by the Committee”. CEDAW, General Recommendation No. 28. </w:t>
      </w:r>
      <w:proofErr w:type="gramStart"/>
      <w:r w:rsidRPr="00FB3F67">
        <w:rPr>
          <w:rFonts w:ascii="Times New Roman" w:hAnsi="Times New Roman" w:cs="Times New Roman"/>
          <w:sz w:val="20"/>
          <w:szCs w:val="20"/>
        </w:rPr>
        <w:t>para</w:t>
      </w:r>
      <w:proofErr w:type="gramEnd"/>
      <w:r w:rsidRPr="00FB3F67">
        <w:rPr>
          <w:rFonts w:ascii="Times New Roman" w:hAnsi="Times New Roman" w:cs="Times New Roman"/>
          <w:sz w:val="20"/>
          <w:szCs w:val="20"/>
        </w:rPr>
        <w:t xml:space="preserve">. 7, states that “the scope of the general obligations contained in article 2 should also be construed in the light of the general recommendations, concluding observations, views and other statements issued by the Committee, including the reports on the inquiry procedures and the decisions of individual cases.” UN Human Rights Committee, </w:t>
      </w:r>
      <w:r w:rsidRPr="00FB3F67">
        <w:rPr>
          <w:rFonts w:ascii="Times New Roman" w:hAnsi="Times New Roman" w:cs="Times New Roman"/>
          <w:i/>
          <w:sz w:val="20"/>
          <w:szCs w:val="20"/>
        </w:rPr>
        <w:t>General Comment No. 31</w:t>
      </w:r>
      <w:r w:rsidRPr="00FB3F67">
        <w:rPr>
          <w:rFonts w:ascii="Times New Roman" w:hAnsi="Times New Roman" w:cs="Times New Roman"/>
          <w:sz w:val="20"/>
          <w:szCs w:val="20"/>
        </w:rPr>
        <w:t>, para. 4 states that ‘All branches of government (executive, legislative and judicial), and other public or governmental authorities, at whatever level - national, regional or local - are in a position to engage the responsibility of the State Party</w:t>
      </w:r>
      <w:r>
        <w:rPr>
          <w:rFonts w:ascii="Times New Roman" w:hAnsi="Times New Roman" w:cs="Times New Roman"/>
          <w:sz w:val="20"/>
          <w:szCs w:val="20"/>
        </w:rPr>
        <w:t>.</w:t>
      </w:r>
      <w:r w:rsidRPr="00FB3F67">
        <w:rPr>
          <w:rFonts w:ascii="Times New Roman" w:hAnsi="Times New Roman" w:cs="Times New Roman"/>
          <w:sz w:val="20"/>
          <w:szCs w:val="20"/>
        </w:rPr>
        <w:t>”</w:t>
      </w:r>
    </w:p>
    <w:p w14:paraId="05CE964E" w14:textId="3AD8E561" w:rsidR="008F2CEA" w:rsidRPr="000E2113" w:rsidRDefault="008F2CEA" w:rsidP="000E2113">
      <w:pPr>
        <w:spacing w:after="0" w:line="240" w:lineRule="auto"/>
        <w:jc w:val="both"/>
        <w:rPr>
          <w:rFonts w:ascii="Times New Roman" w:hAnsi="Times New Roman" w:cs="Times New Roman"/>
          <w:sz w:val="20"/>
          <w:szCs w:val="20"/>
        </w:rPr>
      </w:pPr>
      <w:r w:rsidRPr="00FB3F67">
        <w:rPr>
          <w:rFonts w:ascii="Times New Roman" w:hAnsi="Times New Roman" w:cs="Times New Roman"/>
          <w:i/>
          <w:sz w:val="20"/>
          <w:szCs w:val="20"/>
        </w:rPr>
        <w:t xml:space="preserve">See also </w:t>
      </w:r>
      <w:r w:rsidRPr="00FB3F67">
        <w:rPr>
          <w:rFonts w:ascii="Times New Roman" w:hAnsi="Times New Roman" w:cs="Times New Roman"/>
          <w:sz w:val="20"/>
          <w:szCs w:val="20"/>
        </w:rPr>
        <w:t xml:space="preserve">UNCAT, </w:t>
      </w:r>
      <w:r w:rsidRPr="00FB3F67">
        <w:rPr>
          <w:rFonts w:ascii="Times New Roman" w:hAnsi="Times New Roman" w:cs="Times New Roman"/>
          <w:i/>
          <w:sz w:val="20"/>
          <w:szCs w:val="20"/>
        </w:rPr>
        <w:t>General Comment No. 3</w:t>
      </w:r>
      <w:r w:rsidRPr="00FB3F67">
        <w:rPr>
          <w:rFonts w:ascii="Times New Roman" w:hAnsi="Times New Roman" w:cs="Times New Roman"/>
          <w:sz w:val="20"/>
          <w:szCs w:val="20"/>
        </w:rPr>
        <w:t xml:space="preserve">, para. 38 (“States parties to the Convention have an obligation to ensure that the right to redress is effective.”) See further Nowak and McArthur, </w:t>
      </w:r>
      <w:r w:rsidRPr="00FB3F67">
        <w:rPr>
          <w:rFonts w:ascii="Times New Roman" w:hAnsi="Times New Roman" w:cs="Times New Roman"/>
          <w:i/>
          <w:sz w:val="20"/>
          <w:szCs w:val="20"/>
        </w:rPr>
        <w:t>The United Nations Convention against Torture: A Commentary</w:t>
      </w:r>
      <w:r>
        <w:rPr>
          <w:rFonts w:ascii="Times New Roman" w:hAnsi="Times New Roman" w:cs="Times New Roman"/>
          <w:sz w:val="20"/>
          <w:szCs w:val="20"/>
        </w:rPr>
        <w:t xml:space="preserve"> (2008), para 199, page 796.</w:t>
      </w:r>
    </w:p>
  </w:footnote>
  <w:footnote w:id="27">
    <w:p w14:paraId="65C9D93C" w14:textId="7E0E69CF" w:rsidR="008F2CEA" w:rsidRPr="001B464B" w:rsidRDefault="008F2CEA" w:rsidP="000E2113">
      <w:pPr>
        <w:pStyle w:val="FootnoteText"/>
        <w:jc w:val="both"/>
        <w:rPr>
          <w:rFonts w:ascii="Times New Roman" w:hAnsi="Times New Roman" w:cs="Times New Roman"/>
        </w:rPr>
      </w:pPr>
      <w:r w:rsidRPr="001B464B">
        <w:rPr>
          <w:rStyle w:val="FootnoteReference"/>
          <w:rFonts w:ascii="Times New Roman" w:hAnsi="Times New Roman" w:cs="Times New Roman"/>
        </w:rPr>
        <w:footnoteRef/>
      </w:r>
      <w:r w:rsidRPr="001B464B">
        <w:rPr>
          <w:rFonts w:ascii="Times New Roman" w:hAnsi="Times New Roman" w:cs="Times New Roman"/>
        </w:rPr>
        <w:t xml:space="preserve"> </w:t>
      </w:r>
      <w:r>
        <w:rPr>
          <w:rFonts w:ascii="Times New Roman" w:hAnsi="Times New Roman" w:cs="Times New Roman"/>
        </w:rPr>
        <w:t>UN</w:t>
      </w:r>
      <w:r w:rsidRPr="009F03DF">
        <w:rPr>
          <w:rFonts w:ascii="Times New Roman" w:hAnsi="Times New Roman" w:cs="Times New Roman"/>
        </w:rPr>
        <w:t xml:space="preserve">CAT </w:t>
      </w:r>
      <w:r w:rsidRPr="009F03DF">
        <w:rPr>
          <w:rFonts w:ascii="Times New Roman" w:hAnsi="Times New Roman" w:cs="Times New Roman"/>
          <w:i/>
        </w:rPr>
        <w:t xml:space="preserve">Concluding Observations on </w:t>
      </w:r>
      <w:r>
        <w:rPr>
          <w:rFonts w:ascii="Times New Roman" w:hAnsi="Times New Roman" w:cs="Times New Roman"/>
          <w:i/>
        </w:rPr>
        <w:t xml:space="preserve">the </w:t>
      </w:r>
      <w:r w:rsidRPr="009F03DF">
        <w:rPr>
          <w:rFonts w:ascii="Times New Roman" w:hAnsi="Times New Roman" w:cs="Times New Roman"/>
          <w:i/>
        </w:rPr>
        <w:t>third periodic report of Kazakhstan</w:t>
      </w:r>
      <w:r w:rsidRPr="009F03DF">
        <w:rPr>
          <w:rFonts w:ascii="Times New Roman" w:hAnsi="Times New Roman" w:cs="Times New Roman"/>
        </w:rPr>
        <w:t>, CAT/C/KAZ/CO/3</w:t>
      </w:r>
      <w:r>
        <w:rPr>
          <w:rFonts w:ascii="Times New Roman" w:hAnsi="Times New Roman" w:cs="Times New Roman"/>
        </w:rPr>
        <w:t xml:space="preserve">, </w:t>
      </w:r>
      <w:r w:rsidRPr="009F03DF">
        <w:rPr>
          <w:rFonts w:ascii="Times New Roman" w:hAnsi="Times New Roman" w:cs="Times New Roman"/>
        </w:rPr>
        <w:t>12 December 2014, para</w:t>
      </w:r>
      <w:r>
        <w:rPr>
          <w:rFonts w:ascii="Times New Roman" w:hAnsi="Times New Roman" w:cs="Times New Roman"/>
        </w:rPr>
        <w:t>.</w:t>
      </w:r>
      <w:r w:rsidRPr="009F03DF">
        <w:rPr>
          <w:rFonts w:ascii="Times New Roman" w:hAnsi="Times New Roman" w:cs="Times New Roman"/>
        </w:rPr>
        <w:t xml:space="preserve"> 22 (b)</w:t>
      </w:r>
      <w:r>
        <w:rPr>
          <w:rFonts w:ascii="Times New Roman" w:hAnsi="Times New Roman" w:cs="Times New Roman"/>
        </w:rPr>
        <w:t>;</w:t>
      </w:r>
      <w:r w:rsidRPr="009F03DF">
        <w:rPr>
          <w:rFonts w:ascii="Times New Roman" w:hAnsi="Times New Roman" w:cs="Times New Roman"/>
        </w:rPr>
        <w:t xml:space="preserve"> Simila</w:t>
      </w:r>
      <w:r>
        <w:rPr>
          <w:rFonts w:ascii="Times New Roman" w:hAnsi="Times New Roman" w:cs="Times New Roman"/>
        </w:rPr>
        <w:t>r recommendations were mad</w:t>
      </w:r>
      <w:r w:rsidR="004844C1">
        <w:rPr>
          <w:rFonts w:ascii="Times New Roman" w:hAnsi="Times New Roman" w:cs="Times New Roman"/>
        </w:rPr>
        <w:t>e</w:t>
      </w:r>
      <w:r w:rsidRPr="009F03DF">
        <w:rPr>
          <w:rFonts w:ascii="Times New Roman" w:hAnsi="Times New Roman" w:cs="Times New Roman"/>
        </w:rPr>
        <w:t xml:space="preserve"> by the UN Human Rights Committee in its Concluding Observations on</w:t>
      </w:r>
      <w:r>
        <w:rPr>
          <w:rFonts w:ascii="Times New Roman" w:hAnsi="Times New Roman" w:cs="Times New Roman"/>
        </w:rPr>
        <w:t xml:space="preserve"> the second periodic report of</w:t>
      </w:r>
      <w:r w:rsidRPr="009F03DF">
        <w:rPr>
          <w:rFonts w:ascii="Times New Roman" w:hAnsi="Times New Roman" w:cs="Times New Roman"/>
        </w:rPr>
        <w:t xml:space="preserve"> Kyrgyz</w:t>
      </w:r>
      <w:r>
        <w:rPr>
          <w:rFonts w:ascii="Times New Roman" w:hAnsi="Times New Roman" w:cs="Times New Roman"/>
        </w:rPr>
        <w:t xml:space="preserve"> Republic,</w:t>
      </w:r>
      <w:r w:rsidRPr="00CA7FDF">
        <w:rPr>
          <w:rFonts w:ascii="Segoe Print" w:hAnsi="Segoe Print" w:cs="Segoe Print"/>
        </w:rPr>
        <w:t xml:space="preserve"> </w:t>
      </w:r>
      <w:r w:rsidRPr="009F03DF">
        <w:rPr>
          <w:rFonts w:ascii="Times New Roman" w:hAnsi="Times New Roman" w:cs="Times New Roman"/>
        </w:rPr>
        <w:t>CCPR/C/KGZ/CO/2, 25 March 2014</w:t>
      </w:r>
      <w:r>
        <w:rPr>
          <w:rFonts w:ascii="Times New Roman" w:hAnsi="Times New Roman" w:cs="Times New Roman"/>
        </w:rPr>
        <w:t>, para. 3-7.</w:t>
      </w:r>
      <w:r w:rsidRPr="001B464B">
        <w:rPr>
          <w:rFonts w:ascii="Times New Roman" w:hAnsi="Times New Roman" w:cs="Times New Roman"/>
        </w:rPr>
        <w:t xml:space="preserve"> </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525E6"/>
    <w:multiLevelType w:val="hybridMultilevel"/>
    <w:tmpl w:val="2006DB3A"/>
    <w:lvl w:ilvl="0" w:tplc="314A3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3C6B4B"/>
    <w:multiLevelType w:val="hybridMultilevel"/>
    <w:tmpl w:val="BF9AFF50"/>
    <w:lvl w:ilvl="0" w:tplc="4FF4D0D2">
      <w:start w:val="1"/>
      <w:numFmt w:val="lowerLetter"/>
      <w:lvlText w:val="(%1)"/>
      <w:lvlJc w:val="left"/>
      <w:pPr>
        <w:tabs>
          <w:tab w:val="num" w:pos="648"/>
        </w:tabs>
        <w:ind w:left="648" w:firstLine="32"/>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2F051C99"/>
    <w:multiLevelType w:val="hybridMultilevel"/>
    <w:tmpl w:val="F628E54E"/>
    <w:lvl w:ilvl="0" w:tplc="15584330">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6B056B"/>
    <w:multiLevelType w:val="hybridMultilevel"/>
    <w:tmpl w:val="DB2A8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4376F4A"/>
    <w:multiLevelType w:val="hybridMultilevel"/>
    <w:tmpl w:val="5B0C68B2"/>
    <w:lvl w:ilvl="0" w:tplc="0409000F">
      <w:start w:val="1"/>
      <w:numFmt w:val="decimal"/>
      <w:lvlText w:val="%1."/>
      <w:lvlJc w:val="left"/>
      <w:pPr>
        <w:tabs>
          <w:tab w:val="num" w:pos="720"/>
        </w:tabs>
        <w:ind w:left="720" w:hanging="360"/>
      </w:pPr>
    </w:lvl>
    <w:lvl w:ilvl="1" w:tplc="DB724824">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6F97089"/>
    <w:multiLevelType w:val="hybridMultilevel"/>
    <w:tmpl w:val="69B4B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176519"/>
    <w:multiLevelType w:val="hybridMultilevel"/>
    <w:tmpl w:val="76D6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7854C0"/>
    <w:multiLevelType w:val="hybridMultilevel"/>
    <w:tmpl w:val="779E5014"/>
    <w:lvl w:ilvl="0" w:tplc="47F4AED4">
      <w:start w:val="1"/>
      <w:numFmt w:val="decimal"/>
      <w:lvlText w:val="%1."/>
      <w:lvlJc w:val="left"/>
      <w:pPr>
        <w:ind w:left="720" w:hanging="360"/>
      </w:pPr>
      <w:rPr>
        <w:rFonts w:hint="default"/>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092E10"/>
    <w:multiLevelType w:val="hybridMultilevel"/>
    <w:tmpl w:val="8F4A9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8933EA"/>
    <w:multiLevelType w:val="hybridMultilevel"/>
    <w:tmpl w:val="25E40F48"/>
    <w:lvl w:ilvl="0" w:tplc="8A9C1DD8">
      <w:start w:val="1"/>
      <w:numFmt w:val="lowerLetter"/>
      <w:lvlText w:val="%1."/>
      <w:lvlJc w:val="left"/>
      <w:pPr>
        <w:ind w:left="720" w:hanging="360"/>
      </w:pPr>
      <w:rPr>
        <w:rFonts w:hint="default"/>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5B4755"/>
    <w:multiLevelType w:val="hybridMultilevel"/>
    <w:tmpl w:val="2F7C2B8E"/>
    <w:lvl w:ilvl="0" w:tplc="5E94D43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7520AEC"/>
    <w:multiLevelType w:val="hybridMultilevel"/>
    <w:tmpl w:val="33489740"/>
    <w:lvl w:ilvl="0" w:tplc="D33ACE6A">
      <w:start w:val="1"/>
      <w:numFmt w:val="decimal"/>
      <w:lvlText w:val="%1."/>
      <w:lvlJc w:val="left"/>
      <w:pPr>
        <w:ind w:left="360" w:hanging="360"/>
      </w:pPr>
      <w:rPr>
        <w:rFonts w:hint="default"/>
        <w:i/>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8CD4AD6"/>
    <w:multiLevelType w:val="hybridMultilevel"/>
    <w:tmpl w:val="7E6440AC"/>
    <w:lvl w:ilvl="0" w:tplc="0AA0D9C8">
      <w:start w:val="1"/>
      <w:numFmt w:val="upperLetter"/>
      <w:lvlText w:val="%1)"/>
      <w:lvlJc w:val="left"/>
      <w:pPr>
        <w:ind w:left="1125" w:hanging="360"/>
      </w:pPr>
      <w:rPr>
        <w:rFonts w:hint="default"/>
        <w:i/>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3">
    <w:nsid w:val="6FFF5B03"/>
    <w:multiLevelType w:val="hybridMultilevel"/>
    <w:tmpl w:val="48043194"/>
    <w:lvl w:ilvl="0" w:tplc="2B1ADD08">
      <w:start w:val="1"/>
      <w:numFmt w:val="decimal"/>
      <w:lvlText w:val="%1."/>
      <w:lvlJc w:val="left"/>
      <w:pPr>
        <w:tabs>
          <w:tab w:val="num" w:pos="1485"/>
        </w:tabs>
        <w:ind w:left="1485" w:hanging="360"/>
      </w:pPr>
      <w:rPr>
        <w:b w:val="0"/>
        <w:bCs/>
      </w:rPr>
    </w:lvl>
    <w:lvl w:ilvl="1" w:tplc="1F1863C0">
      <w:start w:val="1"/>
      <w:numFmt w:val="lowerLetter"/>
      <w:lvlText w:val="(%2)"/>
      <w:lvlJc w:val="left"/>
      <w:pPr>
        <w:tabs>
          <w:tab w:val="num" w:pos="1440"/>
        </w:tabs>
        <w:ind w:left="1152" w:hanging="72"/>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71604A1F"/>
    <w:multiLevelType w:val="hybridMultilevel"/>
    <w:tmpl w:val="13E0E9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B7D340A"/>
    <w:multiLevelType w:val="hybridMultilevel"/>
    <w:tmpl w:val="BE4ACA4C"/>
    <w:lvl w:ilvl="0" w:tplc="7706B6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E9D1297"/>
    <w:multiLevelType w:val="hybridMultilevel"/>
    <w:tmpl w:val="C34E153C"/>
    <w:lvl w:ilvl="0" w:tplc="542EF776">
      <w:start w:val="1"/>
      <w:numFmt w:val="decimal"/>
      <w:lvlText w:val="%1."/>
      <w:lvlJc w:val="left"/>
      <w:pPr>
        <w:tabs>
          <w:tab w:val="num" w:pos="2274"/>
        </w:tabs>
        <w:ind w:left="2274" w:firstLine="0"/>
      </w:pPr>
      <w:rPr>
        <w:rFonts w:hint="default"/>
        <w:b w:val="0"/>
      </w:rPr>
    </w:lvl>
    <w:lvl w:ilvl="1" w:tplc="04090019" w:tentative="1">
      <w:start w:val="1"/>
      <w:numFmt w:val="lowerLetter"/>
      <w:lvlText w:val="%2."/>
      <w:lvlJc w:val="left"/>
      <w:pPr>
        <w:tabs>
          <w:tab w:val="num" w:pos="2574"/>
        </w:tabs>
        <w:ind w:left="2574" w:hanging="360"/>
      </w:pPr>
    </w:lvl>
    <w:lvl w:ilvl="2" w:tplc="E4BEE46C">
      <w:start w:val="1"/>
      <w:numFmt w:val="decimal"/>
      <w:lvlText w:val="%3."/>
      <w:lvlJc w:val="left"/>
      <w:pPr>
        <w:tabs>
          <w:tab w:val="num" w:pos="3114"/>
        </w:tabs>
        <w:ind w:left="3114" w:firstLine="0"/>
      </w:pPr>
      <w:rPr>
        <w:rFonts w:hint="default"/>
        <w:b w:val="0"/>
        <w:i w:val="0"/>
      </w:rPr>
    </w:lvl>
    <w:lvl w:ilvl="3" w:tplc="C07ABECA">
      <w:start w:val="1"/>
      <w:numFmt w:val="lowerLetter"/>
      <w:lvlText w:val="(%4)"/>
      <w:lvlJc w:val="left"/>
      <w:pPr>
        <w:tabs>
          <w:tab w:val="num" w:pos="3563"/>
        </w:tabs>
        <w:ind w:left="3261" w:firstLine="393"/>
      </w:pPr>
      <w:rPr>
        <w:rFonts w:hint="default"/>
        <w:b w:val="0"/>
      </w:r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7">
    <w:nsid w:val="7F524F85"/>
    <w:multiLevelType w:val="hybridMultilevel"/>
    <w:tmpl w:val="14289EF6"/>
    <w:lvl w:ilvl="0" w:tplc="D69470C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6"/>
  </w:num>
  <w:num w:numId="3">
    <w:abstractNumId w:val="3"/>
  </w:num>
  <w:num w:numId="4">
    <w:abstractNumId w:val="11"/>
  </w:num>
  <w:num w:numId="5">
    <w:abstractNumId w:val="7"/>
  </w:num>
  <w:num w:numId="6">
    <w:abstractNumId w:val="17"/>
  </w:num>
  <w:num w:numId="7">
    <w:abstractNumId w:val="10"/>
  </w:num>
  <w:num w:numId="8">
    <w:abstractNumId w:val="9"/>
  </w:num>
  <w:num w:numId="9">
    <w:abstractNumId w:val="13"/>
  </w:num>
  <w:num w:numId="10">
    <w:abstractNumId w:val="4"/>
  </w:num>
  <w:num w:numId="11">
    <w:abstractNumId w:val="1"/>
  </w:num>
  <w:num w:numId="12">
    <w:abstractNumId w:val="8"/>
  </w:num>
  <w:num w:numId="13">
    <w:abstractNumId w:val="2"/>
  </w:num>
  <w:num w:numId="14">
    <w:abstractNumId w:val="0"/>
  </w:num>
  <w:num w:numId="15">
    <w:abstractNumId w:val="12"/>
  </w:num>
  <w:num w:numId="16">
    <w:abstractNumId w:val="15"/>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FBC"/>
    <w:rsid w:val="00000A62"/>
    <w:rsid w:val="0001347B"/>
    <w:rsid w:val="00013D07"/>
    <w:rsid w:val="00020FB2"/>
    <w:rsid w:val="00030B8C"/>
    <w:rsid w:val="000503AC"/>
    <w:rsid w:val="00054DB2"/>
    <w:rsid w:val="00071EE2"/>
    <w:rsid w:val="000748D3"/>
    <w:rsid w:val="00085AD0"/>
    <w:rsid w:val="000860CD"/>
    <w:rsid w:val="00095A89"/>
    <w:rsid w:val="000A0095"/>
    <w:rsid w:val="000A57DB"/>
    <w:rsid w:val="000A5C4A"/>
    <w:rsid w:val="000A67F4"/>
    <w:rsid w:val="000A7D37"/>
    <w:rsid w:val="000A7E91"/>
    <w:rsid w:val="000A7F5B"/>
    <w:rsid w:val="000B08A6"/>
    <w:rsid w:val="000C4A37"/>
    <w:rsid w:val="000E2113"/>
    <w:rsid w:val="00101979"/>
    <w:rsid w:val="001148F7"/>
    <w:rsid w:val="00122922"/>
    <w:rsid w:val="001242DC"/>
    <w:rsid w:val="0012599D"/>
    <w:rsid w:val="00127326"/>
    <w:rsid w:val="00144E6F"/>
    <w:rsid w:val="001455E7"/>
    <w:rsid w:val="0014572C"/>
    <w:rsid w:val="00160871"/>
    <w:rsid w:val="00164B76"/>
    <w:rsid w:val="001749C3"/>
    <w:rsid w:val="00181BD4"/>
    <w:rsid w:val="001854A7"/>
    <w:rsid w:val="00190814"/>
    <w:rsid w:val="00193C7E"/>
    <w:rsid w:val="001B464B"/>
    <w:rsid w:val="001B6986"/>
    <w:rsid w:val="001C2845"/>
    <w:rsid w:val="001E3424"/>
    <w:rsid w:val="001E5D83"/>
    <w:rsid w:val="001F29AD"/>
    <w:rsid w:val="001F2B3D"/>
    <w:rsid w:val="002010CF"/>
    <w:rsid w:val="00212599"/>
    <w:rsid w:val="00223B31"/>
    <w:rsid w:val="00250DDE"/>
    <w:rsid w:val="00252E93"/>
    <w:rsid w:val="00257DEA"/>
    <w:rsid w:val="0029037F"/>
    <w:rsid w:val="002C3626"/>
    <w:rsid w:val="002E32DA"/>
    <w:rsid w:val="002E3974"/>
    <w:rsid w:val="002E7869"/>
    <w:rsid w:val="002F1883"/>
    <w:rsid w:val="002F39BD"/>
    <w:rsid w:val="00306BB8"/>
    <w:rsid w:val="00306F86"/>
    <w:rsid w:val="00345C44"/>
    <w:rsid w:val="003530C2"/>
    <w:rsid w:val="003543AD"/>
    <w:rsid w:val="003617FB"/>
    <w:rsid w:val="003618D5"/>
    <w:rsid w:val="00366BE5"/>
    <w:rsid w:val="0037513E"/>
    <w:rsid w:val="00375747"/>
    <w:rsid w:val="003875DC"/>
    <w:rsid w:val="00387F05"/>
    <w:rsid w:val="0039086B"/>
    <w:rsid w:val="00391E3C"/>
    <w:rsid w:val="003924EA"/>
    <w:rsid w:val="003A3C8A"/>
    <w:rsid w:val="003B051A"/>
    <w:rsid w:val="003B06A7"/>
    <w:rsid w:val="003B2AEB"/>
    <w:rsid w:val="003C5629"/>
    <w:rsid w:val="003E753E"/>
    <w:rsid w:val="003F4320"/>
    <w:rsid w:val="003F63F6"/>
    <w:rsid w:val="00402016"/>
    <w:rsid w:val="004065C0"/>
    <w:rsid w:val="00420B5B"/>
    <w:rsid w:val="00436640"/>
    <w:rsid w:val="004472AA"/>
    <w:rsid w:val="00452696"/>
    <w:rsid w:val="004636BF"/>
    <w:rsid w:val="00474181"/>
    <w:rsid w:val="004844C1"/>
    <w:rsid w:val="00484B94"/>
    <w:rsid w:val="00492778"/>
    <w:rsid w:val="004952A6"/>
    <w:rsid w:val="004B3E31"/>
    <w:rsid w:val="004C64C3"/>
    <w:rsid w:val="004D0EBD"/>
    <w:rsid w:val="004E5CB7"/>
    <w:rsid w:val="00515D17"/>
    <w:rsid w:val="00516698"/>
    <w:rsid w:val="005206FD"/>
    <w:rsid w:val="00534CAA"/>
    <w:rsid w:val="00536599"/>
    <w:rsid w:val="005514C7"/>
    <w:rsid w:val="005647C5"/>
    <w:rsid w:val="00586C52"/>
    <w:rsid w:val="005900C5"/>
    <w:rsid w:val="00593001"/>
    <w:rsid w:val="005A16ED"/>
    <w:rsid w:val="005A2B66"/>
    <w:rsid w:val="005B02D2"/>
    <w:rsid w:val="005B470A"/>
    <w:rsid w:val="005C7014"/>
    <w:rsid w:val="005E0E7D"/>
    <w:rsid w:val="005F348A"/>
    <w:rsid w:val="005F48A8"/>
    <w:rsid w:val="00602D69"/>
    <w:rsid w:val="00610B3E"/>
    <w:rsid w:val="00613389"/>
    <w:rsid w:val="006142AF"/>
    <w:rsid w:val="00624BB7"/>
    <w:rsid w:val="006341B5"/>
    <w:rsid w:val="00640900"/>
    <w:rsid w:val="00663D25"/>
    <w:rsid w:val="0069024B"/>
    <w:rsid w:val="006B42CF"/>
    <w:rsid w:val="006C577A"/>
    <w:rsid w:val="006D62F0"/>
    <w:rsid w:val="006E05E4"/>
    <w:rsid w:val="006E383D"/>
    <w:rsid w:val="006E3B99"/>
    <w:rsid w:val="006E690B"/>
    <w:rsid w:val="006E6DD8"/>
    <w:rsid w:val="006F25CB"/>
    <w:rsid w:val="00702E04"/>
    <w:rsid w:val="00705E55"/>
    <w:rsid w:val="00726B29"/>
    <w:rsid w:val="00732D01"/>
    <w:rsid w:val="00734AED"/>
    <w:rsid w:val="007412F8"/>
    <w:rsid w:val="00742539"/>
    <w:rsid w:val="00767E4B"/>
    <w:rsid w:val="00771CDE"/>
    <w:rsid w:val="00781090"/>
    <w:rsid w:val="007842AB"/>
    <w:rsid w:val="0079521F"/>
    <w:rsid w:val="007956E7"/>
    <w:rsid w:val="00797995"/>
    <w:rsid w:val="007D47CB"/>
    <w:rsid w:val="007D6FC6"/>
    <w:rsid w:val="007E157A"/>
    <w:rsid w:val="007E77FE"/>
    <w:rsid w:val="007F02C5"/>
    <w:rsid w:val="0080521B"/>
    <w:rsid w:val="00811E34"/>
    <w:rsid w:val="00831F25"/>
    <w:rsid w:val="008430D1"/>
    <w:rsid w:val="00846D4B"/>
    <w:rsid w:val="00852645"/>
    <w:rsid w:val="00863F48"/>
    <w:rsid w:val="00887C40"/>
    <w:rsid w:val="008B0A3E"/>
    <w:rsid w:val="008B2321"/>
    <w:rsid w:val="008B5B18"/>
    <w:rsid w:val="008C2C82"/>
    <w:rsid w:val="008C3092"/>
    <w:rsid w:val="008F2CEA"/>
    <w:rsid w:val="00904538"/>
    <w:rsid w:val="00917E8E"/>
    <w:rsid w:val="0092477C"/>
    <w:rsid w:val="00933E08"/>
    <w:rsid w:val="00944237"/>
    <w:rsid w:val="00950390"/>
    <w:rsid w:val="00956E85"/>
    <w:rsid w:val="0096581C"/>
    <w:rsid w:val="00970C8B"/>
    <w:rsid w:val="00971A59"/>
    <w:rsid w:val="009827D3"/>
    <w:rsid w:val="00993BE5"/>
    <w:rsid w:val="00995AE0"/>
    <w:rsid w:val="009B1B10"/>
    <w:rsid w:val="009B4EFA"/>
    <w:rsid w:val="009C7F63"/>
    <w:rsid w:val="009D2EE2"/>
    <w:rsid w:val="009D6348"/>
    <w:rsid w:val="009E4567"/>
    <w:rsid w:val="009F2D96"/>
    <w:rsid w:val="009F51B8"/>
    <w:rsid w:val="009F6E53"/>
    <w:rsid w:val="00A00F8A"/>
    <w:rsid w:val="00A120D1"/>
    <w:rsid w:val="00A14104"/>
    <w:rsid w:val="00A1645D"/>
    <w:rsid w:val="00A2092F"/>
    <w:rsid w:val="00A21897"/>
    <w:rsid w:val="00A36035"/>
    <w:rsid w:val="00A37763"/>
    <w:rsid w:val="00A42230"/>
    <w:rsid w:val="00A4563B"/>
    <w:rsid w:val="00A56D42"/>
    <w:rsid w:val="00A6257C"/>
    <w:rsid w:val="00A64E49"/>
    <w:rsid w:val="00A737DC"/>
    <w:rsid w:val="00A776B9"/>
    <w:rsid w:val="00A87EE6"/>
    <w:rsid w:val="00A94A35"/>
    <w:rsid w:val="00AA394F"/>
    <w:rsid w:val="00AB2135"/>
    <w:rsid w:val="00AB69B9"/>
    <w:rsid w:val="00AC45B9"/>
    <w:rsid w:val="00AC6C3F"/>
    <w:rsid w:val="00AD0CDB"/>
    <w:rsid w:val="00AD2846"/>
    <w:rsid w:val="00AD3F1D"/>
    <w:rsid w:val="00AF24F4"/>
    <w:rsid w:val="00B01E89"/>
    <w:rsid w:val="00B179C3"/>
    <w:rsid w:val="00B365B8"/>
    <w:rsid w:val="00B45379"/>
    <w:rsid w:val="00B7794F"/>
    <w:rsid w:val="00B90FBC"/>
    <w:rsid w:val="00B941E9"/>
    <w:rsid w:val="00BA2107"/>
    <w:rsid w:val="00BC2B9F"/>
    <w:rsid w:val="00BC42FE"/>
    <w:rsid w:val="00BC5CBD"/>
    <w:rsid w:val="00BE005A"/>
    <w:rsid w:val="00BE1D9C"/>
    <w:rsid w:val="00C049CF"/>
    <w:rsid w:val="00C12BBE"/>
    <w:rsid w:val="00C13B4D"/>
    <w:rsid w:val="00C175C1"/>
    <w:rsid w:val="00C3057B"/>
    <w:rsid w:val="00C349BB"/>
    <w:rsid w:val="00C433C3"/>
    <w:rsid w:val="00C44BCA"/>
    <w:rsid w:val="00C47C70"/>
    <w:rsid w:val="00C56A64"/>
    <w:rsid w:val="00C75249"/>
    <w:rsid w:val="00C83313"/>
    <w:rsid w:val="00C84971"/>
    <w:rsid w:val="00CB2B2E"/>
    <w:rsid w:val="00CB5711"/>
    <w:rsid w:val="00CC216D"/>
    <w:rsid w:val="00CF5FCD"/>
    <w:rsid w:val="00D0057B"/>
    <w:rsid w:val="00D0719F"/>
    <w:rsid w:val="00D25F51"/>
    <w:rsid w:val="00D3033C"/>
    <w:rsid w:val="00D35D70"/>
    <w:rsid w:val="00D44433"/>
    <w:rsid w:val="00D47928"/>
    <w:rsid w:val="00D53DE4"/>
    <w:rsid w:val="00D56865"/>
    <w:rsid w:val="00D61C15"/>
    <w:rsid w:val="00D65706"/>
    <w:rsid w:val="00D74C1F"/>
    <w:rsid w:val="00D83805"/>
    <w:rsid w:val="00D93DE6"/>
    <w:rsid w:val="00DB58CB"/>
    <w:rsid w:val="00DB79E8"/>
    <w:rsid w:val="00DF2837"/>
    <w:rsid w:val="00DF3B63"/>
    <w:rsid w:val="00E06E02"/>
    <w:rsid w:val="00E10447"/>
    <w:rsid w:val="00E20777"/>
    <w:rsid w:val="00E35D25"/>
    <w:rsid w:val="00E57EBF"/>
    <w:rsid w:val="00E91F35"/>
    <w:rsid w:val="00E94A64"/>
    <w:rsid w:val="00E9527A"/>
    <w:rsid w:val="00EA3141"/>
    <w:rsid w:val="00EA586F"/>
    <w:rsid w:val="00EA68AC"/>
    <w:rsid w:val="00EA783E"/>
    <w:rsid w:val="00EB42D2"/>
    <w:rsid w:val="00EB529E"/>
    <w:rsid w:val="00EB7857"/>
    <w:rsid w:val="00EC0E88"/>
    <w:rsid w:val="00EC34A6"/>
    <w:rsid w:val="00ED0061"/>
    <w:rsid w:val="00ED572F"/>
    <w:rsid w:val="00EE0510"/>
    <w:rsid w:val="00EE2DDE"/>
    <w:rsid w:val="00EF3A68"/>
    <w:rsid w:val="00EF6B3C"/>
    <w:rsid w:val="00EF75C2"/>
    <w:rsid w:val="00EF7B1B"/>
    <w:rsid w:val="00F05B5C"/>
    <w:rsid w:val="00F10433"/>
    <w:rsid w:val="00F1176B"/>
    <w:rsid w:val="00F13DAB"/>
    <w:rsid w:val="00F2640B"/>
    <w:rsid w:val="00F27F2A"/>
    <w:rsid w:val="00F52784"/>
    <w:rsid w:val="00F55CD6"/>
    <w:rsid w:val="00F7219A"/>
    <w:rsid w:val="00F733AF"/>
    <w:rsid w:val="00F7448F"/>
    <w:rsid w:val="00FA02E9"/>
    <w:rsid w:val="00FA3D97"/>
    <w:rsid w:val="00FA5D52"/>
    <w:rsid w:val="00FB264B"/>
    <w:rsid w:val="00FB3F67"/>
    <w:rsid w:val="00FB7F6E"/>
    <w:rsid w:val="00FC47F0"/>
    <w:rsid w:val="00FC4CB6"/>
    <w:rsid w:val="00FD2E0D"/>
    <w:rsid w:val="00FF465A"/>
    <w:rsid w:val="00FF6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775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34C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FA5D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FBC"/>
    <w:pPr>
      <w:ind w:left="720"/>
      <w:contextualSpacing/>
    </w:pPr>
  </w:style>
  <w:style w:type="character" w:customStyle="1" w:styleId="apple-converted-space">
    <w:name w:val="apple-converted-space"/>
    <w:basedOn w:val="DefaultParagraphFont"/>
    <w:rsid w:val="00AB69B9"/>
  </w:style>
  <w:style w:type="paragraph" w:styleId="FootnoteText">
    <w:name w:val="footnote text"/>
    <w:aliases w:val="5_G,MISSIONHED,poznppMV,Testo nota a piè di pagina Carattere Carattere Carattere Carattere,Texto nota pie Car,ft,Style 27,Char Char Char Char Char,Footnote Text Char Char Char Char Char,Footnote Text Char Char Char Char,Footnote reference"/>
    <w:basedOn w:val="Normal"/>
    <w:link w:val="FootnoteTextChar"/>
    <w:unhideWhenUsed/>
    <w:qFormat/>
    <w:rsid w:val="00BC42FE"/>
    <w:pPr>
      <w:spacing w:after="0" w:line="240" w:lineRule="auto"/>
    </w:pPr>
    <w:rPr>
      <w:sz w:val="20"/>
      <w:szCs w:val="20"/>
    </w:rPr>
  </w:style>
  <w:style w:type="character" w:customStyle="1" w:styleId="FootnoteTextChar">
    <w:name w:val="Footnote Text Char"/>
    <w:aliases w:val="5_G Char,MISSIONHED Char,poznppMV Char,Testo nota a piè di pagina Carattere Carattere Carattere Carattere Char,Texto nota pie Car Char,ft Char,Style 27 Char,Char Char Char Char Char Char,Footnote Text Char Char Char Char Char Char"/>
    <w:basedOn w:val="DefaultParagraphFont"/>
    <w:link w:val="FootnoteText"/>
    <w:rsid w:val="00BC42FE"/>
    <w:rPr>
      <w:sz w:val="20"/>
      <w:szCs w:val="20"/>
    </w:rPr>
  </w:style>
  <w:style w:type="character" w:styleId="FootnoteReference">
    <w:name w:val="footnote reference"/>
    <w:aliases w:val="4_G,Footnotes refss,Style 10,Footnote number,Footnote Reference Char3,Footnote Reference Char1 Char,Char Char Car Char Car Char Car Char Car Char Car Char Char Char1 Char,Footnote Reference Char Char Char,Texto de nota al pie,ftref,f"/>
    <w:basedOn w:val="DefaultParagraphFont"/>
    <w:uiPriority w:val="99"/>
    <w:unhideWhenUsed/>
    <w:qFormat/>
    <w:rsid w:val="00BC42FE"/>
    <w:rPr>
      <w:vertAlign w:val="superscript"/>
    </w:rPr>
  </w:style>
  <w:style w:type="paragraph" w:customStyle="1" w:styleId="SingleTxtG">
    <w:name w:val="_ Single Txt_G"/>
    <w:basedOn w:val="Normal"/>
    <w:link w:val="SingleTxtGChar"/>
    <w:rsid w:val="00223B31"/>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rsid w:val="00223B31"/>
    <w:rPr>
      <w:rFonts w:ascii="Times New Roman" w:eastAsia="Times New Roman" w:hAnsi="Times New Roman" w:cs="Times New Roman"/>
      <w:sz w:val="20"/>
      <w:szCs w:val="20"/>
      <w:lang w:val="en-GB"/>
    </w:rPr>
  </w:style>
  <w:style w:type="paragraph" w:customStyle="1" w:styleId="Default">
    <w:name w:val="Default"/>
    <w:rsid w:val="00C8331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02E04"/>
    <w:rPr>
      <w:color w:val="0000FF"/>
      <w:u w:val="single"/>
    </w:rPr>
  </w:style>
  <w:style w:type="character" w:styleId="Strong">
    <w:name w:val="Strong"/>
    <w:basedOn w:val="DefaultParagraphFont"/>
    <w:uiPriority w:val="22"/>
    <w:qFormat/>
    <w:rsid w:val="00846D4B"/>
    <w:rPr>
      <w:b/>
      <w:bCs/>
    </w:rPr>
  </w:style>
  <w:style w:type="paragraph" w:customStyle="1" w:styleId="cmnormal">
    <w:name w:val="cm_normal"/>
    <w:basedOn w:val="Normal"/>
    <w:rsid w:val="00846D4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46D4B"/>
    <w:rPr>
      <w:i/>
      <w:iCs/>
    </w:rPr>
  </w:style>
  <w:style w:type="paragraph" w:styleId="NormalWeb">
    <w:name w:val="Normal (Web)"/>
    <w:basedOn w:val="Normal"/>
    <w:uiPriority w:val="99"/>
    <w:unhideWhenUsed/>
    <w:rsid w:val="00345C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aliases w:val="6_G"/>
    <w:basedOn w:val="Normal"/>
    <w:link w:val="HeaderChar"/>
    <w:unhideWhenUsed/>
    <w:rsid w:val="00D56865"/>
    <w:pPr>
      <w:tabs>
        <w:tab w:val="center" w:pos="4680"/>
        <w:tab w:val="right" w:pos="9360"/>
      </w:tabs>
      <w:spacing w:after="0" w:line="240" w:lineRule="auto"/>
    </w:pPr>
  </w:style>
  <w:style w:type="character" w:customStyle="1" w:styleId="HeaderChar">
    <w:name w:val="Header Char"/>
    <w:aliases w:val="6_G Char"/>
    <w:basedOn w:val="DefaultParagraphFont"/>
    <w:link w:val="Header"/>
    <w:uiPriority w:val="99"/>
    <w:rsid w:val="00D56865"/>
  </w:style>
  <w:style w:type="paragraph" w:styleId="Footer">
    <w:name w:val="footer"/>
    <w:basedOn w:val="Normal"/>
    <w:link w:val="FooterChar"/>
    <w:uiPriority w:val="99"/>
    <w:unhideWhenUsed/>
    <w:rsid w:val="00D568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865"/>
  </w:style>
  <w:style w:type="paragraph" w:styleId="BalloonText">
    <w:name w:val="Balloon Text"/>
    <w:basedOn w:val="Normal"/>
    <w:link w:val="BalloonTextChar"/>
    <w:uiPriority w:val="99"/>
    <w:semiHidden/>
    <w:unhideWhenUsed/>
    <w:rsid w:val="00534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CAA"/>
    <w:rPr>
      <w:rFonts w:ascii="Tahoma" w:hAnsi="Tahoma" w:cs="Tahoma"/>
      <w:sz w:val="16"/>
      <w:szCs w:val="16"/>
    </w:rPr>
  </w:style>
  <w:style w:type="character" w:customStyle="1" w:styleId="Heading2Char">
    <w:name w:val="Heading 2 Char"/>
    <w:basedOn w:val="DefaultParagraphFont"/>
    <w:link w:val="Heading2"/>
    <w:uiPriority w:val="9"/>
    <w:rsid w:val="00534CAA"/>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993BE5"/>
    <w:rPr>
      <w:sz w:val="16"/>
      <w:szCs w:val="16"/>
    </w:rPr>
  </w:style>
  <w:style w:type="paragraph" w:styleId="CommentText">
    <w:name w:val="annotation text"/>
    <w:basedOn w:val="Normal"/>
    <w:link w:val="CommentTextChar"/>
    <w:uiPriority w:val="99"/>
    <w:semiHidden/>
    <w:unhideWhenUsed/>
    <w:rsid w:val="00993BE5"/>
    <w:pPr>
      <w:spacing w:line="240" w:lineRule="auto"/>
    </w:pPr>
    <w:rPr>
      <w:sz w:val="20"/>
      <w:szCs w:val="20"/>
    </w:rPr>
  </w:style>
  <w:style w:type="character" w:customStyle="1" w:styleId="CommentTextChar">
    <w:name w:val="Comment Text Char"/>
    <w:basedOn w:val="DefaultParagraphFont"/>
    <w:link w:val="CommentText"/>
    <w:uiPriority w:val="99"/>
    <w:semiHidden/>
    <w:rsid w:val="00993BE5"/>
    <w:rPr>
      <w:sz w:val="20"/>
      <w:szCs w:val="20"/>
    </w:rPr>
  </w:style>
  <w:style w:type="paragraph" w:styleId="CommentSubject">
    <w:name w:val="annotation subject"/>
    <w:basedOn w:val="CommentText"/>
    <w:next w:val="CommentText"/>
    <w:link w:val="CommentSubjectChar"/>
    <w:uiPriority w:val="99"/>
    <w:semiHidden/>
    <w:unhideWhenUsed/>
    <w:rsid w:val="00993BE5"/>
    <w:rPr>
      <w:b/>
      <w:bCs/>
    </w:rPr>
  </w:style>
  <w:style w:type="character" w:customStyle="1" w:styleId="CommentSubjectChar">
    <w:name w:val="Comment Subject Char"/>
    <w:basedOn w:val="CommentTextChar"/>
    <w:link w:val="CommentSubject"/>
    <w:uiPriority w:val="99"/>
    <w:semiHidden/>
    <w:rsid w:val="00993BE5"/>
    <w:rPr>
      <w:b/>
      <w:bCs/>
      <w:sz w:val="20"/>
      <w:szCs w:val="20"/>
    </w:rPr>
  </w:style>
  <w:style w:type="character" w:customStyle="1" w:styleId="SingleTxtGChar1">
    <w:name w:val="_ Single Txt_G Char1"/>
    <w:basedOn w:val="DefaultParagraphFont"/>
    <w:rsid w:val="001242DC"/>
    <w:rPr>
      <w:lang w:val="fr-CH" w:eastAsia="en-US" w:bidi="ar-SA"/>
    </w:rPr>
  </w:style>
  <w:style w:type="paragraph" w:styleId="BodyTextIndent">
    <w:name w:val="Body Text Indent"/>
    <w:basedOn w:val="Normal"/>
    <w:link w:val="BodyTextIndentChar"/>
    <w:semiHidden/>
    <w:rsid w:val="00F27F2A"/>
    <w:pPr>
      <w:spacing w:after="240" w:line="240" w:lineRule="auto"/>
      <w:ind w:left="720" w:hanging="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semiHidden/>
    <w:rsid w:val="00F27F2A"/>
    <w:rPr>
      <w:rFonts w:ascii="Times New Roman" w:eastAsia="Times New Roman" w:hAnsi="Times New Roman" w:cs="Times New Roman"/>
      <w:sz w:val="24"/>
      <w:szCs w:val="24"/>
      <w:lang w:val="en-GB"/>
    </w:rPr>
  </w:style>
  <w:style w:type="paragraph" w:styleId="Revision">
    <w:name w:val="Revision"/>
    <w:hidden/>
    <w:uiPriority w:val="99"/>
    <w:semiHidden/>
    <w:rsid w:val="00492778"/>
    <w:pPr>
      <w:spacing w:after="0" w:line="240" w:lineRule="auto"/>
    </w:pPr>
  </w:style>
  <w:style w:type="character" w:styleId="FollowedHyperlink">
    <w:name w:val="FollowedHyperlink"/>
    <w:basedOn w:val="DefaultParagraphFont"/>
    <w:uiPriority w:val="99"/>
    <w:semiHidden/>
    <w:unhideWhenUsed/>
    <w:rsid w:val="00391E3C"/>
    <w:rPr>
      <w:color w:val="800080" w:themeColor="followedHyperlink"/>
      <w:u w:val="single"/>
    </w:rPr>
  </w:style>
  <w:style w:type="character" w:customStyle="1" w:styleId="Heading3Char">
    <w:name w:val="Heading 3 Char"/>
    <w:basedOn w:val="DefaultParagraphFont"/>
    <w:link w:val="Heading3"/>
    <w:uiPriority w:val="9"/>
    <w:rsid w:val="00FA5D52"/>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34C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FA5D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FBC"/>
    <w:pPr>
      <w:ind w:left="720"/>
      <w:contextualSpacing/>
    </w:pPr>
  </w:style>
  <w:style w:type="character" w:customStyle="1" w:styleId="apple-converted-space">
    <w:name w:val="apple-converted-space"/>
    <w:basedOn w:val="DefaultParagraphFont"/>
    <w:rsid w:val="00AB69B9"/>
  </w:style>
  <w:style w:type="paragraph" w:styleId="FootnoteText">
    <w:name w:val="footnote text"/>
    <w:aliases w:val="5_G,MISSIONHED,poznppMV,Testo nota a piè di pagina Carattere Carattere Carattere Carattere,Texto nota pie Car,ft,Style 27,Char Char Char Char Char,Footnote Text Char Char Char Char Char,Footnote Text Char Char Char Char,Footnote reference"/>
    <w:basedOn w:val="Normal"/>
    <w:link w:val="FootnoteTextChar"/>
    <w:unhideWhenUsed/>
    <w:qFormat/>
    <w:rsid w:val="00BC42FE"/>
    <w:pPr>
      <w:spacing w:after="0" w:line="240" w:lineRule="auto"/>
    </w:pPr>
    <w:rPr>
      <w:sz w:val="20"/>
      <w:szCs w:val="20"/>
    </w:rPr>
  </w:style>
  <w:style w:type="character" w:customStyle="1" w:styleId="FootnoteTextChar">
    <w:name w:val="Footnote Text Char"/>
    <w:aliases w:val="5_G Char,MISSIONHED Char,poznppMV Char,Testo nota a piè di pagina Carattere Carattere Carattere Carattere Char,Texto nota pie Car Char,ft Char,Style 27 Char,Char Char Char Char Char Char,Footnote Text Char Char Char Char Char Char"/>
    <w:basedOn w:val="DefaultParagraphFont"/>
    <w:link w:val="FootnoteText"/>
    <w:rsid w:val="00BC42FE"/>
    <w:rPr>
      <w:sz w:val="20"/>
      <w:szCs w:val="20"/>
    </w:rPr>
  </w:style>
  <w:style w:type="character" w:styleId="FootnoteReference">
    <w:name w:val="footnote reference"/>
    <w:aliases w:val="4_G,Footnotes refss,Style 10,Footnote number,Footnote Reference Char3,Footnote Reference Char1 Char,Char Char Car Char Car Char Car Char Car Char Car Char Char Char1 Char,Footnote Reference Char Char Char,Texto de nota al pie,ftref,f"/>
    <w:basedOn w:val="DefaultParagraphFont"/>
    <w:uiPriority w:val="99"/>
    <w:unhideWhenUsed/>
    <w:qFormat/>
    <w:rsid w:val="00BC42FE"/>
    <w:rPr>
      <w:vertAlign w:val="superscript"/>
    </w:rPr>
  </w:style>
  <w:style w:type="paragraph" w:customStyle="1" w:styleId="SingleTxtG">
    <w:name w:val="_ Single Txt_G"/>
    <w:basedOn w:val="Normal"/>
    <w:link w:val="SingleTxtGChar"/>
    <w:rsid w:val="00223B31"/>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rsid w:val="00223B31"/>
    <w:rPr>
      <w:rFonts w:ascii="Times New Roman" w:eastAsia="Times New Roman" w:hAnsi="Times New Roman" w:cs="Times New Roman"/>
      <w:sz w:val="20"/>
      <w:szCs w:val="20"/>
      <w:lang w:val="en-GB"/>
    </w:rPr>
  </w:style>
  <w:style w:type="paragraph" w:customStyle="1" w:styleId="Default">
    <w:name w:val="Default"/>
    <w:rsid w:val="00C8331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02E04"/>
    <w:rPr>
      <w:color w:val="0000FF"/>
      <w:u w:val="single"/>
    </w:rPr>
  </w:style>
  <w:style w:type="character" w:styleId="Strong">
    <w:name w:val="Strong"/>
    <w:basedOn w:val="DefaultParagraphFont"/>
    <w:uiPriority w:val="22"/>
    <w:qFormat/>
    <w:rsid w:val="00846D4B"/>
    <w:rPr>
      <w:b/>
      <w:bCs/>
    </w:rPr>
  </w:style>
  <w:style w:type="paragraph" w:customStyle="1" w:styleId="cmnormal">
    <w:name w:val="cm_normal"/>
    <w:basedOn w:val="Normal"/>
    <w:rsid w:val="00846D4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46D4B"/>
    <w:rPr>
      <w:i/>
      <w:iCs/>
    </w:rPr>
  </w:style>
  <w:style w:type="paragraph" w:styleId="NormalWeb">
    <w:name w:val="Normal (Web)"/>
    <w:basedOn w:val="Normal"/>
    <w:uiPriority w:val="99"/>
    <w:unhideWhenUsed/>
    <w:rsid w:val="00345C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aliases w:val="6_G"/>
    <w:basedOn w:val="Normal"/>
    <w:link w:val="HeaderChar"/>
    <w:unhideWhenUsed/>
    <w:rsid w:val="00D56865"/>
    <w:pPr>
      <w:tabs>
        <w:tab w:val="center" w:pos="4680"/>
        <w:tab w:val="right" w:pos="9360"/>
      </w:tabs>
      <w:spacing w:after="0" w:line="240" w:lineRule="auto"/>
    </w:pPr>
  </w:style>
  <w:style w:type="character" w:customStyle="1" w:styleId="HeaderChar">
    <w:name w:val="Header Char"/>
    <w:aliases w:val="6_G Char"/>
    <w:basedOn w:val="DefaultParagraphFont"/>
    <w:link w:val="Header"/>
    <w:uiPriority w:val="99"/>
    <w:rsid w:val="00D56865"/>
  </w:style>
  <w:style w:type="paragraph" w:styleId="Footer">
    <w:name w:val="footer"/>
    <w:basedOn w:val="Normal"/>
    <w:link w:val="FooterChar"/>
    <w:uiPriority w:val="99"/>
    <w:unhideWhenUsed/>
    <w:rsid w:val="00D568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865"/>
  </w:style>
  <w:style w:type="paragraph" w:styleId="BalloonText">
    <w:name w:val="Balloon Text"/>
    <w:basedOn w:val="Normal"/>
    <w:link w:val="BalloonTextChar"/>
    <w:uiPriority w:val="99"/>
    <w:semiHidden/>
    <w:unhideWhenUsed/>
    <w:rsid w:val="00534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CAA"/>
    <w:rPr>
      <w:rFonts w:ascii="Tahoma" w:hAnsi="Tahoma" w:cs="Tahoma"/>
      <w:sz w:val="16"/>
      <w:szCs w:val="16"/>
    </w:rPr>
  </w:style>
  <w:style w:type="character" w:customStyle="1" w:styleId="Heading2Char">
    <w:name w:val="Heading 2 Char"/>
    <w:basedOn w:val="DefaultParagraphFont"/>
    <w:link w:val="Heading2"/>
    <w:uiPriority w:val="9"/>
    <w:rsid w:val="00534CAA"/>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993BE5"/>
    <w:rPr>
      <w:sz w:val="16"/>
      <w:szCs w:val="16"/>
    </w:rPr>
  </w:style>
  <w:style w:type="paragraph" w:styleId="CommentText">
    <w:name w:val="annotation text"/>
    <w:basedOn w:val="Normal"/>
    <w:link w:val="CommentTextChar"/>
    <w:uiPriority w:val="99"/>
    <w:semiHidden/>
    <w:unhideWhenUsed/>
    <w:rsid w:val="00993BE5"/>
    <w:pPr>
      <w:spacing w:line="240" w:lineRule="auto"/>
    </w:pPr>
    <w:rPr>
      <w:sz w:val="20"/>
      <w:szCs w:val="20"/>
    </w:rPr>
  </w:style>
  <w:style w:type="character" w:customStyle="1" w:styleId="CommentTextChar">
    <w:name w:val="Comment Text Char"/>
    <w:basedOn w:val="DefaultParagraphFont"/>
    <w:link w:val="CommentText"/>
    <w:uiPriority w:val="99"/>
    <w:semiHidden/>
    <w:rsid w:val="00993BE5"/>
    <w:rPr>
      <w:sz w:val="20"/>
      <w:szCs w:val="20"/>
    </w:rPr>
  </w:style>
  <w:style w:type="paragraph" w:styleId="CommentSubject">
    <w:name w:val="annotation subject"/>
    <w:basedOn w:val="CommentText"/>
    <w:next w:val="CommentText"/>
    <w:link w:val="CommentSubjectChar"/>
    <w:uiPriority w:val="99"/>
    <w:semiHidden/>
    <w:unhideWhenUsed/>
    <w:rsid w:val="00993BE5"/>
    <w:rPr>
      <w:b/>
      <w:bCs/>
    </w:rPr>
  </w:style>
  <w:style w:type="character" w:customStyle="1" w:styleId="CommentSubjectChar">
    <w:name w:val="Comment Subject Char"/>
    <w:basedOn w:val="CommentTextChar"/>
    <w:link w:val="CommentSubject"/>
    <w:uiPriority w:val="99"/>
    <w:semiHidden/>
    <w:rsid w:val="00993BE5"/>
    <w:rPr>
      <w:b/>
      <w:bCs/>
      <w:sz w:val="20"/>
      <w:szCs w:val="20"/>
    </w:rPr>
  </w:style>
  <w:style w:type="character" w:customStyle="1" w:styleId="SingleTxtGChar1">
    <w:name w:val="_ Single Txt_G Char1"/>
    <w:basedOn w:val="DefaultParagraphFont"/>
    <w:rsid w:val="001242DC"/>
    <w:rPr>
      <w:lang w:val="fr-CH" w:eastAsia="en-US" w:bidi="ar-SA"/>
    </w:rPr>
  </w:style>
  <w:style w:type="paragraph" w:styleId="BodyTextIndent">
    <w:name w:val="Body Text Indent"/>
    <w:basedOn w:val="Normal"/>
    <w:link w:val="BodyTextIndentChar"/>
    <w:semiHidden/>
    <w:rsid w:val="00F27F2A"/>
    <w:pPr>
      <w:spacing w:after="240" w:line="240" w:lineRule="auto"/>
      <w:ind w:left="720" w:hanging="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semiHidden/>
    <w:rsid w:val="00F27F2A"/>
    <w:rPr>
      <w:rFonts w:ascii="Times New Roman" w:eastAsia="Times New Roman" w:hAnsi="Times New Roman" w:cs="Times New Roman"/>
      <w:sz w:val="24"/>
      <w:szCs w:val="24"/>
      <w:lang w:val="en-GB"/>
    </w:rPr>
  </w:style>
  <w:style w:type="paragraph" w:styleId="Revision">
    <w:name w:val="Revision"/>
    <w:hidden/>
    <w:uiPriority w:val="99"/>
    <w:semiHidden/>
    <w:rsid w:val="00492778"/>
    <w:pPr>
      <w:spacing w:after="0" w:line="240" w:lineRule="auto"/>
    </w:pPr>
  </w:style>
  <w:style w:type="character" w:styleId="FollowedHyperlink">
    <w:name w:val="FollowedHyperlink"/>
    <w:basedOn w:val="DefaultParagraphFont"/>
    <w:uiPriority w:val="99"/>
    <w:semiHidden/>
    <w:unhideWhenUsed/>
    <w:rsid w:val="00391E3C"/>
    <w:rPr>
      <w:color w:val="800080" w:themeColor="followedHyperlink"/>
      <w:u w:val="single"/>
    </w:rPr>
  </w:style>
  <w:style w:type="character" w:customStyle="1" w:styleId="Heading3Char">
    <w:name w:val="Heading 3 Char"/>
    <w:basedOn w:val="DefaultParagraphFont"/>
    <w:link w:val="Heading3"/>
    <w:uiPriority w:val="9"/>
    <w:rsid w:val="00FA5D5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60980">
      <w:bodyDiv w:val="1"/>
      <w:marLeft w:val="0"/>
      <w:marRight w:val="0"/>
      <w:marTop w:val="0"/>
      <w:marBottom w:val="0"/>
      <w:divBdr>
        <w:top w:val="none" w:sz="0" w:space="0" w:color="auto"/>
        <w:left w:val="none" w:sz="0" w:space="0" w:color="auto"/>
        <w:bottom w:val="none" w:sz="0" w:space="0" w:color="auto"/>
        <w:right w:val="none" w:sz="0" w:space="0" w:color="auto"/>
      </w:divBdr>
    </w:div>
    <w:div w:id="311253814">
      <w:bodyDiv w:val="1"/>
      <w:marLeft w:val="0"/>
      <w:marRight w:val="0"/>
      <w:marTop w:val="0"/>
      <w:marBottom w:val="0"/>
      <w:divBdr>
        <w:top w:val="none" w:sz="0" w:space="0" w:color="auto"/>
        <w:left w:val="none" w:sz="0" w:space="0" w:color="auto"/>
        <w:bottom w:val="none" w:sz="0" w:space="0" w:color="auto"/>
        <w:right w:val="none" w:sz="0" w:space="0" w:color="auto"/>
      </w:divBdr>
    </w:div>
    <w:div w:id="321854074">
      <w:bodyDiv w:val="1"/>
      <w:marLeft w:val="0"/>
      <w:marRight w:val="0"/>
      <w:marTop w:val="0"/>
      <w:marBottom w:val="0"/>
      <w:divBdr>
        <w:top w:val="none" w:sz="0" w:space="0" w:color="auto"/>
        <w:left w:val="none" w:sz="0" w:space="0" w:color="auto"/>
        <w:bottom w:val="none" w:sz="0" w:space="0" w:color="auto"/>
        <w:right w:val="none" w:sz="0" w:space="0" w:color="auto"/>
      </w:divBdr>
    </w:div>
    <w:div w:id="353968792">
      <w:bodyDiv w:val="1"/>
      <w:marLeft w:val="0"/>
      <w:marRight w:val="0"/>
      <w:marTop w:val="0"/>
      <w:marBottom w:val="0"/>
      <w:divBdr>
        <w:top w:val="none" w:sz="0" w:space="0" w:color="auto"/>
        <w:left w:val="none" w:sz="0" w:space="0" w:color="auto"/>
        <w:bottom w:val="none" w:sz="0" w:space="0" w:color="auto"/>
        <w:right w:val="none" w:sz="0" w:space="0" w:color="auto"/>
      </w:divBdr>
    </w:div>
    <w:div w:id="364329763">
      <w:bodyDiv w:val="1"/>
      <w:marLeft w:val="0"/>
      <w:marRight w:val="0"/>
      <w:marTop w:val="0"/>
      <w:marBottom w:val="0"/>
      <w:divBdr>
        <w:top w:val="none" w:sz="0" w:space="0" w:color="auto"/>
        <w:left w:val="none" w:sz="0" w:space="0" w:color="auto"/>
        <w:bottom w:val="none" w:sz="0" w:space="0" w:color="auto"/>
        <w:right w:val="none" w:sz="0" w:space="0" w:color="auto"/>
      </w:divBdr>
    </w:div>
    <w:div w:id="532808175">
      <w:bodyDiv w:val="1"/>
      <w:marLeft w:val="0"/>
      <w:marRight w:val="0"/>
      <w:marTop w:val="0"/>
      <w:marBottom w:val="0"/>
      <w:divBdr>
        <w:top w:val="none" w:sz="0" w:space="0" w:color="auto"/>
        <w:left w:val="none" w:sz="0" w:space="0" w:color="auto"/>
        <w:bottom w:val="none" w:sz="0" w:space="0" w:color="auto"/>
        <w:right w:val="none" w:sz="0" w:space="0" w:color="auto"/>
      </w:divBdr>
    </w:div>
    <w:div w:id="793869448">
      <w:bodyDiv w:val="1"/>
      <w:marLeft w:val="0"/>
      <w:marRight w:val="0"/>
      <w:marTop w:val="0"/>
      <w:marBottom w:val="0"/>
      <w:divBdr>
        <w:top w:val="none" w:sz="0" w:space="0" w:color="auto"/>
        <w:left w:val="none" w:sz="0" w:space="0" w:color="auto"/>
        <w:bottom w:val="none" w:sz="0" w:space="0" w:color="auto"/>
        <w:right w:val="none" w:sz="0" w:space="0" w:color="auto"/>
      </w:divBdr>
    </w:div>
    <w:div w:id="878398041">
      <w:bodyDiv w:val="1"/>
      <w:marLeft w:val="0"/>
      <w:marRight w:val="0"/>
      <w:marTop w:val="0"/>
      <w:marBottom w:val="0"/>
      <w:divBdr>
        <w:top w:val="none" w:sz="0" w:space="0" w:color="auto"/>
        <w:left w:val="none" w:sz="0" w:space="0" w:color="auto"/>
        <w:bottom w:val="none" w:sz="0" w:space="0" w:color="auto"/>
        <w:right w:val="none" w:sz="0" w:space="0" w:color="auto"/>
      </w:divBdr>
    </w:div>
    <w:div w:id="1052272347">
      <w:bodyDiv w:val="1"/>
      <w:marLeft w:val="0"/>
      <w:marRight w:val="0"/>
      <w:marTop w:val="0"/>
      <w:marBottom w:val="0"/>
      <w:divBdr>
        <w:top w:val="none" w:sz="0" w:space="0" w:color="auto"/>
        <w:left w:val="none" w:sz="0" w:space="0" w:color="auto"/>
        <w:bottom w:val="none" w:sz="0" w:space="0" w:color="auto"/>
        <w:right w:val="none" w:sz="0" w:space="0" w:color="auto"/>
      </w:divBdr>
    </w:div>
    <w:div w:id="1102191450">
      <w:bodyDiv w:val="1"/>
      <w:marLeft w:val="0"/>
      <w:marRight w:val="0"/>
      <w:marTop w:val="0"/>
      <w:marBottom w:val="0"/>
      <w:divBdr>
        <w:top w:val="none" w:sz="0" w:space="0" w:color="auto"/>
        <w:left w:val="none" w:sz="0" w:space="0" w:color="auto"/>
        <w:bottom w:val="none" w:sz="0" w:space="0" w:color="auto"/>
        <w:right w:val="none" w:sz="0" w:space="0" w:color="auto"/>
      </w:divBdr>
    </w:div>
    <w:div w:id="1168712297">
      <w:bodyDiv w:val="1"/>
      <w:marLeft w:val="0"/>
      <w:marRight w:val="0"/>
      <w:marTop w:val="0"/>
      <w:marBottom w:val="0"/>
      <w:divBdr>
        <w:top w:val="none" w:sz="0" w:space="0" w:color="auto"/>
        <w:left w:val="none" w:sz="0" w:space="0" w:color="auto"/>
        <w:bottom w:val="none" w:sz="0" w:space="0" w:color="auto"/>
        <w:right w:val="none" w:sz="0" w:space="0" w:color="auto"/>
      </w:divBdr>
    </w:div>
    <w:div w:id="1313481481">
      <w:bodyDiv w:val="1"/>
      <w:marLeft w:val="0"/>
      <w:marRight w:val="0"/>
      <w:marTop w:val="0"/>
      <w:marBottom w:val="0"/>
      <w:divBdr>
        <w:top w:val="none" w:sz="0" w:space="0" w:color="auto"/>
        <w:left w:val="none" w:sz="0" w:space="0" w:color="auto"/>
        <w:bottom w:val="none" w:sz="0" w:space="0" w:color="auto"/>
        <w:right w:val="none" w:sz="0" w:space="0" w:color="auto"/>
      </w:divBdr>
    </w:div>
    <w:div w:id="1485508648">
      <w:bodyDiv w:val="1"/>
      <w:marLeft w:val="0"/>
      <w:marRight w:val="0"/>
      <w:marTop w:val="0"/>
      <w:marBottom w:val="0"/>
      <w:divBdr>
        <w:top w:val="none" w:sz="0" w:space="0" w:color="auto"/>
        <w:left w:val="none" w:sz="0" w:space="0" w:color="auto"/>
        <w:bottom w:val="none" w:sz="0" w:space="0" w:color="auto"/>
        <w:right w:val="none" w:sz="0" w:space="0" w:color="auto"/>
      </w:divBdr>
    </w:div>
    <w:div w:id="1782065818">
      <w:bodyDiv w:val="1"/>
      <w:marLeft w:val="0"/>
      <w:marRight w:val="0"/>
      <w:marTop w:val="0"/>
      <w:marBottom w:val="0"/>
      <w:divBdr>
        <w:top w:val="none" w:sz="0" w:space="0" w:color="auto"/>
        <w:left w:val="none" w:sz="0" w:space="0" w:color="auto"/>
        <w:bottom w:val="none" w:sz="0" w:space="0" w:color="auto"/>
        <w:right w:val="none" w:sz="0" w:space="0" w:color="auto"/>
      </w:divBdr>
    </w:div>
    <w:div w:id="2004310399">
      <w:bodyDiv w:val="1"/>
      <w:marLeft w:val="0"/>
      <w:marRight w:val="0"/>
      <w:marTop w:val="0"/>
      <w:marBottom w:val="0"/>
      <w:divBdr>
        <w:top w:val="none" w:sz="0" w:space="0" w:color="auto"/>
        <w:left w:val="none" w:sz="0" w:space="0" w:color="auto"/>
        <w:bottom w:val="none" w:sz="0" w:space="0" w:color="auto"/>
        <w:right w:val="none" w:sz="0" w:space="0" w:color="auto"/>
      </w:divBdr>
    </w:div>
    <w:div w:id="202731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hudoc.echr.coe.int/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A43B4F-82E3-404E-850A-89BD01031655}"/>
</file>

<file path=customXml/itemProps2.xml><?xml version="1.0" encoding="utf-8"?>
<ds:datastoreItem xmlns:ds="http://schemas.openxmlformats.org/officeDocument/2006/customXml" ds:itemID="{D7A1DAB7-71B0-4C63-A74A-55C0C65A2882}"/>
</file>

<file path=customXml/itemProps3.xml><?xml version="1.0" encoding="utf-8"?>
<ds:datastoreItem xmlns:ds="http://schemas.openxmlformats.org/officeDocument/2006/customXml" ds:itemID="{66EC7EC0-84C2-4182-B3DE-E2BC7EDF40E9}"/>
</file>

<file path=customXml/itemProps4.xml><?xml version="1.0" encoding="utf-8"?>
<ds:datastoreItem xmlns:ds="http://schemas.openxmlformats.org/officeDocument/2006/customXml" ds:itemID="{B57DAF19-B1BA-4546-A90C-36A7A2002AEA}"/>
</file>

<file path=docProps/app.xml><?xml version="1.0" encoding="utf-8"?>
<Properties xmlns="http://schemas.openxmlformats.org/officeDocument/2006/extended-properties" xmlns:vt="http://schemas.openxmlformats.org/officeDocument/2006/docPropsVTypes">
  <Template>Normal.dotm</Template>
  <TotalTime>15</TotalTime>
  <Pages>5</Pages>
  <Words>1582</Words>
  <Characters>9019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OSF</Company>
  <LinksUpToDate>false</LinksUpToDate>
  <CharactersWithSpaces>10580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Society Justice Initiative</dc:title>
  <dc:creator>Jonathan Horowitz</dc:creator>
  <cp:lastModifiedBy>Masha Lisitsyna</cp:lastModifiedBy>
  <cp:revision>3</cp:revision>
  <cp:lastPrinted>2017-03-09T13:31:00Z</cp:lastPrinted>
  <dcterms:created xsi:type="dcterms:W3CDTF">2017-03-31T01:33:00Z</dcterms:created>
  <dcterms:modified xsi:type="dcterms:W3CDTF">2017-03-31T01:48:00Z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