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59B" w:rsidRPr="004015B8" w:rsidRDefault="0030759B" w:rsidP="0030759B">
      <w:pPr>
        <w:rPr>
          <w:rFonts w:ascii="Times New Roman" w:hAnsi="Times New Roman" w:cs="Times New Roman"/>
          <w:b/>
          <w:sz w:val="28"/>
          <w:szCs w:val="28"/>
        </w:rPr>
      </w:pPr>
      <w:r w:rsidRPr="004015B8">
        <w:rPr>
          <w:rFonts w:ascii="Times New Roman" w:hAnsi="Times New Roman" w:cs="Times New Roman"/>
          <w:b/>
          <w:sz w:val="28"/>
          <w:szCs w:val="28"/>
        </w:rPr>
        <w:t>Annex I</w:t>
      </w:r>
    </w:p>
    <w:p w:rsidR="0030759B" w:rsidRDefault="0030759B" w:rsidP="0030759B">
      <w:pPr>
        <w:rPr>
          <w:rFonts w:asciiTheme="minorBidi" w:hAnsiTheme="minorBidi"/>
        </w:rPr>
      </w:pPr>
    </w:p>
    <w:p w:rsidR="0030759B" w:rsidRDefault="0030759B" w:rsidP="0030759B">
      <w:pPr>
        <w:jc w:val="center"/>
        <w:rPr>
          <w:rFonts w:ascii="Times New Roman" w:hAnsi="Times New Roman" w:cs="Times New Roman"/>
          <w:b/>
        </w:rPr>
      </w:pPr>
      <w:r w:rsidRPr="004015B8">
        <w:rPr>
          <w:rFonts w:ascii="Times New Roman" w:hAnsi="Times New Roman" w:cs="Times New Roman"/>
          <w:b/>
        </w:rPr>
        <w:t xml:space="preserve">Position paper of the Chairs of the human rights treaty bodies on the future of </w:t>
      </w:r>
    </w:p>
    <w:p w:rsidR="0030759B" w:rsidRDefault="0030759B" w:rsidP="0030759B">
      <w:pPr>
        <w:jc w:val="center"/>
        <w:rPr>
          <w:rFonts w:ascii="Times New Roman" w:hAnsi="Times New Roman" w:cs="Times New Roman"/>
          <w:b/>
        </w:rPr>
      </w:pPr>
      <w:proofErr w:type="gramStart"/>
      <w:r w:rsidRPr="004015B8">
        <w:rPr>
          <w:rFonts w:ascii="Times New Roman" w:hAnsi="Times New Roman" w:cs="Times New Roman"/>
          <w:b/>
        </w:rPr>
        <w:t>the</w:t>
      </w:r>
      <w:proofErr w:type="gramEnd"/>
      <w:r w:rsidRPr="004015B8">
        <w:rPr>
          <w:rFonts w:ascii="Times New Roman" w:hAnsi="Times New Roman" w:cs="Times New Roman"/>
          <w:b/>
        </w:rPr>
        <w:t xml:space="preserve"> treaty body system</w:t>
      </w:r>
      <w:r w:rsidR="00AE758B">
        <w:rPr>
          <w:rStyle w:val="FootnoteReference"/>
          <w:rFonts w:cs="Times New Roman"/>
          <w:b/>
        </w:rPr>
        <w:footnoteReference w:customMarkFollows="1" w:id="2"/>
        <w:t>*</w:t>
      </w:r>
    </w:p>
    <w:p w:rsidR="0030759B" w:rsidRDefault="0030759B" w:rsidP="0030759B">
      <w:pPr>
        <w:jc w:val="center"/>
      </w:pPr>
    </w:p>
    <w:p w:rsidR="0030759B" w:rsidRDefault="0030759B" w:rsidP="0030759B">
      <w:pPr>
        <w:pStyle w:val="H1"/>
        <w:ind w:right="1260"/>
      </w:pPr>
      <w:r>
        <w:t>Introduction</w:t>
      </w:r>
    </w:p>
    <w:p w:rsidR="0030759B" w:rsidRDefault="0030759B" w:rsidP="0030759B">
      <w:pPr>
        <w:pStyle w:val="SingleTxt"/>
        <w:ind w:left="0"/>
      </w:pPr>
    </w:p>
    <w:p w:rsidR="0030759B" w:rsidRPr="004015B8"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The present position paper, which represents an agreed position among the Chairs of 10 human rights treaty bodies present at the thirty-first meeting of Chairs of human rights treaty bodies, builds on the achievements made under General Assembly resolution </w:t>
      </w:r>
      <w:hyperlink r:id="rId8" w:history="1">
        <w:r w:rsidRPr="004015B8">
          <w:rPr>
            <w:rFonts w:eastAsia="Times New Roman"/>
            <w:spacing w:val="0"/>
            <w:w w:val="100"/>
            <w:kern w:val="0"/>
            <w:sz w:val="24"/>
            <w:szCs w:val="24"/>
            <w:lang w:val="en-US" w:bidi="he-IL"/>
          </w:rPr>
          <w:t>68/268</w:t>
        </w:r>
      </w:hyperlink>
      <w:r w:rsidRPr="004015B8">
        <w:rPr>
          <w:rFonts w:eastAsia="Times New Roman"/>
          <w:spacing w:val="0"/>
          <w:w w:val="100"/>
          <w:kern w:val="0"/>
          <w:sz w:val="24"/>
          <w:szCs w:val="24"/>
          <w:lang w:val="en-US" w:bidi="he-IL"/>
        </w:rPr>
        <w:t xml:space="preserve">, including its funding formula, </w:t>
      </w:r>
      <w:proofErr w:type="gramStart"/>
      <w:r w:rsidRPr="004015B8">
        <w:rPr>
          <w:rFonts w:eastAsia="Times New Roman"/>
          <w:spacing w:val="0"/>
          <w:w w:val="100"/>
          <w:kern w:val="0"/>
          <w:sz w:val="24"/>
          <w:szCs w:val="24"/>
          <w:lang w:val="en-US" w:bidi="he-IL"/>
        </w:rPr>
        <w:t>in order to further strengthen</w:t>
      </w:r>
      <w:proofErr w:type="gramEnd"/>
      <w:r w:rsidRPr="004015B8">
        <w:rPr>
          <w:rFonts w:eastAsia="Times New Roman"/>
          <w:spacing w:val="0"/>
          <w:w w:val="100"/>
          <w:kern w:val="0"/>
          <w:sz w:val="24"/>
          <w:szCs w:val="24"/>
          <w:lang w:val="en-US" w:bidi="he-IL"/>
        </w:rPr>
        <w:t xml:space="preserve"> the treaty body system. We consider this position </w:t>
      </w:r>
      <w:proofErr w:type="gramStart"/>
      <w:r w:rsidRPr="004015B8">
        <w:rPr>
          <w:rFonts w:eastAsia="Times New Roman"/>
          <w:spacing w:val="0"/>
          <w:w w:val="100"/>
          <w:kern w:val="0"/>
          <w:sz w:val="24"/>
          <w:szCs w:val="24"/>
          <w:lang w:val="en-US" w:bidi="he-IL"/>
        </w:rPr>
        <w:t>to be realistic</w:t>
      </w:r>
      <w:proofErr w:type="gramEnd"/>
      <w:r w:rsidRPr="004015B8">
        <w:rPr>
          <w:rFonts w:eastAsia="Times New Roman"/>
          <w:spacing w:val="0"/>
          <w:w w:val="100"/>
          <w:kern w:val="0"/>
          <w:sz w:val="24"/>
          <w:szCs w:val="24"/>
          <w:lang w:val="en-US" w:bidi="he-IL"/>
        </w:rPr>
        <w:t xml:space="preserve"> and affordable. Furthermore, in accordance with the treaty mandates</w:t>
      </w:r>
      <w:proofErr w:type="gramStart"/>
      <w:r w:rsidRPr="004015B8">
        <w:rPr>
          <w:rFonts w:eastAsia="Times New Roman"/>
          <w:spacing w:val="0"/>
          <w:w w:val="100"/>
          <w:kern w:val="0"/>
          <w:sz w:val="24"/>
          <w:szCs w:val="24"/>
          <w:lang w:val="en-US" w:bidi="he-IL"/>
        </w:rPr>
        <w:t>;</w:t>
      </w:r>
      <w:proofErr w:type="gramEnd"/>
      <w:r w:rsidRPr="004015B8">
        <w:rPr>
          <w:rFonts w:eastAsia="Times New Roman"/>
          <w:spacing w:val="0"/>
          <w:w w:val="100"/>
          <w:kern w:val="0"/>
          <w:sz w:val="24"/>
          <w:szCs w:val="24"/>
          <w:lang w:val="en-US" w:bidi="he-IL"/>
        </w:rPr>
        <w:t xml:space="preserve"> the paper addresses key issues raised by, and emerging thinking among, member States and other stakeholders concerning the effective and efficient operation of the treaty body system.</w:t>
      </w:r>
    </w:p>
    <w:p w:rsidR="0030759B" w:rsidRPr="004015B8"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In the process of preparing the position paper, consultations </w:t>
      </w:r>
      <w:proofErr w:type="gramStart"/>
      <w:r w:rsidRPr="004015B8">
        <w:rPr>
          <w:rFonts w:eastAsia="Times New Roman"/>
          <w:spacing w:val="0"/>
          <w:w w:val="100"/>
          <w:kern w:val="0"/>
          <w:sz w:val="24"/>
          <w:szCs w:val="24"/>
          <w:lang w:val="en-US" w:bidi="he-IL"/>
        </w:rPr>
        <w:t>were held</w:t>
      </w:r>
      <w:proofErr w:type="gramEnd"/>
      <w:r w:rsidRPr="004015B8">
        <w:rPr>
          <w:rFonts w:eastAsia="Times New Roman"/>
          <w:spacing w:val="0"/>
          <w:w w:val="100"/>
          <w:kern w:val="0"/>
          <w:sz w:val="24"/>
          <w:szCs w:val="24"/>
          <w:lang w:val="en-US" w:bidi="he-IL"/>
        </w:rPr>
        <w:t xml:space="preserve"> among all treaty bodies on key elements of the treaty body system, including several international workshops and discussions among the Chairs held over a period of several years. The guiding principle that has underpinned this process has been the increased protection of rights holders through strengthened implementation of the treaties.</w:t>
      </w:r>
    </w:p>
    <w:p w:rsidR="0030759B" w:rsidRPr="004015B8"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The Chairs agree to recommend the proposals contained in the position paper to their Committees. These proposals could be implemented over a period of 1 to 2 years, </w:t>
      </w:r>
      <w:proofErr w:type="gramStart"/>
      <w:r w:rsidRPr="004015B8">
        <w:rPr>
          <w:rFonts w:eastAsia="Times New Roman"/>
          <w:spacing w:val="0"/>
          <w:w w:val="100"/>
          <w:kern w:val="0"/>
          <w:sz w:val="24"/>
          <w:szCs w:val="24"/>
          <w:lang w:val="en-US" w:bidi="he-IL"/>
        </w:rPr>
        <w:t>provided that</w:t>
      </w:r>
      <w:proofErr w:type="gramEnd"/>
      <w:r w:rsidRPr="004015B8">
        <w:rPr>
          <w:rFonts w:eastAsia="Times New Roman"/>
          <w:spacing w:val="0"/>
          <w:w w:val="100"/>
          <w:kern w:val="0"/>
          <w:sz w:val="24"/>
          <w:szCs w:val="24"/>
          <w:lang w:val="en-US" w:bidi="he-IL"/>
        </w:rPr>
        <w:t xml:space="preserve"> there is support for them from the Committees, the Office of the United Nations High Commissioner for Human Rights and other relevant departments of the Secretariat.</w:t>
      </w:r>
    </w:p>
    <w:p w:rsidR="0030759B" w:rsidRDefault="0030759B" w:rsidP="0030759B">
      <w:pPr>
        <w:pStyle w:val="H1"/>
        <w:ind w:right="1260"/>
      </w:pPr>
      <w:r>
        <w:tab/>
      </w:r>
    </w:p>
    <w:p w:rsidR="0030759B" w:rsidRDefault="0030759B" w:rsidP="0030759B">
      <w:pPr>
        <w:pStyle w:val="H1"/>
        <w:ind w:right="1260"/>
      </w:pPr>
      <w:r>
        <w:t>General alignment of working methods</w:t>
      </w:r>
    </w:p>
    <w:p w:rsidR="0030759B" w:rsidRDefault="0030759B" w:rsidP="0030759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p>
    <w:p w:rsidR="0030759B" w:rsidRPr="009878A3" w:rsidRDefault="0030759B" w:rsidP="0030759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878A3">
        <w:t>Simplified reporting procedure</w:t>
      </w:r>
    </w:p>
    <w:p w:rsidR="0030759B" w:rsidRPr="004015B8" w:rsidRDefault="0030759B" w:rsidP="0030759B">
      <w:pPr>
        <w:pStyle w:val="SingleTxt"/>
        <w:rPr>
          <w:lang w:val="en-US"/>
        </w:rPr>
      </w:pPr>
    </w:p>
    <w:p w:rsidR="0030759B"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All treaty bodies agree to offer simplified reporting procedures to all States parties for periodic reports and may do so for initial reports. All treaty bodies offering such procedures for initial reports will develop a standard list of issues prior to reporting.</w:t>
      </w:r>
    </w:p>
    <w:p w:rsidR="0030759B" w:rsidRPr="009878A3" w:rsidRDefault="0030759B" w:rsidP="0030759B">
      <w:pPr>
        <w:pStyle w:val="H4"/>
        <w:spacing w:before="240"/>
        <w:ind w:right="89"/>
        <w:rPr>
          <w:sz w:val="24"/>
          <w:szCs w:val="24"/>
        </w:rPr>
      </w:pPr>
      <w:r w:rsidRPr="004015B8">
        <w:rPr>
          <w:sz w:val="24"/>
          <w:szCs w:val="24"/>
        </w:rPr>
        <w:t>Reduction of unnecessary overlap</w:t>
      </w:r>
    </w:p>
    <w:p w:rsidR="0030759B"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All treaty bodies will coordinate their list of issues prior to reporting to ensure that their dialogues with State parties are comprehensive and do not raise substantively similar questions in the same </w:t>
      </w:r>
      <w:proofErr w:type="gramStart"/>
      <w:r w:rsidRPr="004015B8">
        <w:rPr>
          <w:rFonts w:eastAsia="Times New Roman"/>
          <w:spacing w:val="0"/>
          <w:w w:val="100"/>
          <w:kern w:val="0"/>
          <w:sz w:val="24"/>
          <w:szCs w:val="24"/>
          <w:lang w:val="en-US" w:bidi="he-IL"/>
        </w:rPr>
        <w:t>time period</w:t>
      </w:r>
      <w:proofErr w:type="gramEnd"/>
      <w:r w:rsidRPr="004015B8">
        <w:rPr>
          <w:rFonts w:eastAsia="Times New Roman"/>
          <w:spacing w:val="0"/>
          <w:w w:val="100"/>
          <w:kern w:val="0"/>
          <w:sz w:val="24"/>
          <w:szCs w:val="24"/>
          <w:lang w:val="en-US" w:bidi="he-IL"/>
        </w:rPr>
        <w:t>. List of issues prior to reporting will be limited to 25 to 30 questions.</w:t>
      </w:r>
    </w:p>
    <w:p w:rsidR="0030759B" w:rsidRPr="009878A3" w:rsidRDefault="0030759B" w:rsidP="0030759B">
      <w:pPr>
        <w:pStyle w:val="H4"/>
        <w:spacing w:before="240"/>
        <w:ind w:right="89"/>
        <w:rPr>
          <w:sz w:val="24"/>
          <w:szCs w:val="24"/>
        </w:rPr>
      </w:pPr>
      <w:r w:rsidRPr="004015B8">
        <w:rPr>
          <w:sz w:val="24"/>
          <w:szCs w:val="24"/>
        </w:rPr>
        <w:tab/>
        <w:t>Interaction with stakeholders</w:t>
      </w:r>
    </w:p>
    <w:p w:rsidR="0030759B"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All treaty bodies currently receive alternative reports and undertake private meetings with stakeholders, including national human rights institutions, national preventive mechanisms, non-governmental organizations and others. Within the context of reporting procedures, the suggested formats of alternative reports </w:t>
      </w:r>
      <w:proofErr w:type="gramStart"/>
      <w:r w:rsidRPr="004015B8">
        <w:rPr>
          <w:rFonts w:eastAsia="Times New Roman"/>
          <w:spacing w:val="0"/>
          <w:w w:val="100"/>
          <w:kern w:val="0"/>
          <w:sz w:val="24"/>
          <w:szCs w:val="24"/>
          <w:lang w:val="en-US" w:bidi="he-IL"/>
        </w:rPr>
        <w:t>will be aligned</w:t>
      </w:r>
      <w:proofErr w:type="gramEnd"/>
      <w:r w:rsidRPr="004015B8">
        <w:rPr>
          <w:rFonts w:eastAsia="Times New Roman"/>
          <w:spacing w:val="0"/>
          <w:w w:val="100"/>
          <w:kern w:val="0"/>
          <w:sz w:val="24"/>
          <w:szCs w:val="24"/>
          <w:lang w:val="en-US" w:bidi="he-IL"/>
        </w:rPr>
        <w:t xml:space="preserve">, including the deadline for their submission and the scheduling of private meetings. Private meetings </w:t>
      </w:r>
      <w:proofErr w:type="gramStart"/>
      <w:r w:rsidRPr="004015B8">
        <w:rPr>
          <w:rFonts w:eastAsia="Times New Roman"/>
          <w:spacing w:val="0"/>
          <w:w w:val="100"/>
          <w:kern w:val="0"/>
          <w:sz w:val="24"/>
          <w:szCs w:val="24"/>
          <w:lang w:val="en-US" w:bidi="he-IL"/>
        </w:rPr>
        <w:t>may be conducted</w:t>
      </w:r>
      <w:proofErr w:type="gramEnd"/>
      <w:r w:rsidRPr="004015B8">
        <w:rPr>
          <w:rFonts w:eastAsia="Times New Roman"/>
          <w:spacing w:val="0"/>
          <w:w w:val="100"/>
          <w:kern w:val="0"/>
          <w:sz w:val="24"/>
          <w:szCs w:val="24"/>
          <w:lang w:val="en-US" w:bidi="he-IL"/>
        </w:rPr>
        <w:t xml:space="preserve"> by videoconference, if necessary.</w:t>
      </w:r>
    </w:p>
    <w:p w:rsidR="0030759B" w:rsidRPr="009878A3" w:rsidRDefault="0030759B" w:rsidP="0030759B">
      <w:pPr>
        <w:pStyle w:val="H4"/>
        <w:spacing w:before="240"/>
        <w:ind w:right="1260"/>
        <w:rPr>
          <w:sz w:val="24"/>
          <w:szCs w:val="24"/>
        </w:rPr>
      </w:pPr>
      <w:r>
        <w:tab/>
      </w:r>
      <w:r w:rsidRPr="004015B8">
        <w:rPr>
          <w:sz w:val="24"/>
          <w:szCs w:val="24"/>
        </w:rPr>
        <w:t>Reporting cycle</w:t>
      </w:r>
    </w:p>
    <w:p w:rsidR="0030759B" w:rsidRPr="004015B8"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The Covenant Committees (Committee on Economic, Social and Cultural Rights and the Human Rights Committee) will review countries on an 8</w:t>
      </w:r>
      <w:r w:rsidRPr="004015B8">
        <w:rPr>
          <w:rFonts w:eastAsia="Times New Roman"/>
          <w:spacing w:val="0"/>
          <w:w w:val="100"/>
          <w:kern w:val="0"/>
          <w:sz w:val="24"/>
          <w:szCs w:val="24"/>
          <w:lang w:val="en-US" w:bidi="he-IL"/>
        </w:rPr>
        <w:noBreakHyphen/>
        <w:t>year cycle and will synchronize the timing of their reviews.</w:t>
      </w:r>
    </w:p>
    <w:p w:rsidR="0030759B"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lastRenderedPageBreak/>
        <w:t>The Convention Committees will review countries on a 4-year cycle, unless the provisions of a particular Convention provide otherwise.</w:t>
      </w:r>
    </w:p>
    <w:p w:rsidR="0030759B" w:rsidRPr="009878A3" w:rsidRDefault="0030759B" w:rsidP="0030759B">
      <w:pPr>
        <w:pStyle w:val="H4"/>
        <w:spacing w:before="240"/>
        <w:ind w:right="89"/>
        <w:rPr>
          <w:sz w:val="24"/>
          <w:szCs w:val="24"/>
        </w:rPr>
      </w:pPr>
      <w:r w:rsidRPr="004015B8">
        <w:rPr>
          <w:sz w:val="24"/>
          <w:szCs w:val="24"/>
        </w:rPr>
        <w:t>Timing of reviews</w:t>
      </w:r>
    </w:p>
    <w:p w:rsidR="0030759B" w:rsidRPr="004015B8"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All treaty bodies will schedule reviews with State parties in accordance with the reporting cycle. The review will take place as scheduled irrespective of whether a report has been submitted (i.e. review in the absence of a report). This will ensure the regularity of reviews as provided for in the treaties. </w:t>
      </w:r>
    </w:p>
    <w:p w:rsidR="0030759B"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The treaty bodies will ensure that </w:t>
      </w:r>
      <w:proofErr w:type="gramStart"/>
      <w:r w:rsidRPr="004015B8">
        <w:rPr>
          <w:rFonts w:eastAsia="Times New Roman"/>
          <w:spacing w:val="0"/>
          <w:w w:val="100"/>
          <w:kern w:val="0"/>
          <w:sz w:val="24"/>
          <w:szCs w:val="24"/>
          <w:lang w:val="en-US" w:bidi="he-IL"/>
        </w:rPr>
        <w:t>should a State party be scheduled</w:t>
      </w:r>
      <w:proofErr w:type="gramEnd"/>
      <w:r w:rsidRPr="004015B8">
        <w:rPr>
          <w:rFonts w:eastAsia="Times New Roman"/>
          <w:spacing w:val="0"/>
          <w:w w:val="100"/>
          <w:kern w:val="0"/>
          <w:sz w:val="24"/>
          <w:szCs w:val="24"/>
          <w:lang w:val="en-US" w:bidi="he-IL"/>
        </w:rPr>
        <w:t xml:space="preserve"> for review by a number of treaty bodies within a relatively short period, the scheduling of the reviews in question shall be altered to ensure that an appropriate period elapses between reviews by Convention Committees. Covenant Committees may wish to conduct back-to-back reviews.</w:t>
      </w:r>
    </w:p>
    <w:p w:rsidR="0030759B" w:rsidRPr="009878A3" w:rsidRDefault="0030759B" w:rsidP="0030759B">
      <w:pPr>
        <w:pStyle w:val="H4"/>
        <w:spacing w:before="240"/>
        <w:ind w:right="89"/>
        <w:rPr>
          <w:sz w:val="24"/>
          <w:szCs w:val="24"/>
        </w:rPr>
      </w:pPr>
      <w:r w:rsidRPr="004015B8">
        <w:rPr>
          <w:sz w:val="24"/>
          <w:szCs w:val="24"/>
        </w:rPr>
        <w:t>Reports</w:t>
      </w:r>
    </w:p>
    <w:p w:rsidR="0030759B"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A single consolidated report </w:t>
      </w:r>
      <w:proofErr w:type="gramStart"/>
      <w:r w:rsidRPr="004015B8">
        <w:rPr>
          <w:rFonts w:eastAsia="Times New Roman"/>
          <w:spacing w:val="0"/>
          <w:w w:val="100"/>
          <w:kern w:val="0"/>
          <w:sz w:val="24"/>
          <w:szCs w:val="24"/>
          <w:lang w:val="en-US" w:bidi="he-IL"/>
        </w:rPr>
        <w:t>may be submitted</w:t>
      </w:r>
      <w:proofErr w:type="gramEnd"/>
      <w:r w:rsidRPr="004015B8">
        <w:rPr>
          <w:rFonts w:eastAsia="Times New Roman"/>
          <w:spacing w:val="0"/>
          <w:w w:val="100"/>
          <w:kern w:val="0"/>
          <w:sz w:val="24"/>
          <w:szCs w:val="24"/>
          <w:lang w:val="en-US" w:bidi="he-IL"/>
        </w:rPr>
        <w:t xml:space="preserve"> to both Covenant Committees if they choose to offer this option to States parties. The Convention Committees may wish to continue to receive separate reports in order not to dilute the Convention-specific focus. </w:t>
      </w:r>
    </w:p>
    <w:p w:rsidR="0030759B" w:rsidRPr="009878A3" w:rsidRDefault="0030759B" w:rsidP="0030759B">
      <w:pPr>
        <w:pStyle w:val="H4"/>
        <w:spacing w:before="240"/>
        <w:ind w:right="89"/>
        <w:rPr>
          <w:sz w:val="24"/>
          <w:szCs w:val="24"/>
        </w:rPr>
      </w:pPr>
      <w:r>
        <w:tab/>
      </w:r>
      <w:r w:rsidRPr="004015B8">
        <w:rPr>
          <w:sz w:val="24"/>
          <w:szCs w:val="24"/>
        </w:rPr>
        <w:t>Format of dialogues in Geneva</w:t>
      </w:r>
    </w:p>
    <w:p w:rsidR="0030759B"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All treaty bodies agree to follow the same general format for the consideration of reports during their Geneva sessions, that is 6 hours in total, distributed over two sessions within a </w:t>
      </w:r>
      <w:proofErr w:type="gramStart"/>
      <w:r w:rsidRPr="004015B8">
        <w:rPr>
          <w:rFonts w:eastAsia="Times New Roman"/>
          <w:spacing w:val="0"/>
          <w:w w:val="100"/>
          <w:kern w:val="0"/>
          <w:sz w:val="24"/>
          <w:szCs w:val="24"/>
          <w:lang w:val="en-US" w:bidi="he-IL"/>
        </w:rPr>
        <w:t>24 hour</w:t>
      </w:r>
      <w:proofErr w:type="gramEnd"/>
      <w:r w:rsidRPr="004015B8">
        <w:rPr>
          <w:rFonts w:eastAsia="Times New Roman"/>
          <w:spacing w:val="0"/>
          <w:w w:val="100"/>
          <w:kern w:val="0"/>
          <w:sz w:val="24"/>
          <w:szCs w:val="24"/>
          <w:lang w:val="en-US" w:bidi="he-IL"/>
        </w:rPr>
        <w:t xml:space="preserve"> period. In addition, written replies </w:t>
      </w:r>
      <w:proofErr w:type="gramStart"/>
      <w:r w:rsidRPr="004015B8">
        <w:rPr>
          <w:rFonts w:eastAsia="Times New Roman"/>
          <w:spacing w:val="0"/>
          <w:w w:val="100"/>
          <w:kern w:val="0"/>
          <w:sz w:val="24"/>
          <w:szCs w:val="24"/>
          <w:lang w:val="en-US" w:bidi="he-IL"/>
        </w:rPr>
        <w:t>could be provided</w:t>
      </w:r>
      <w:proofErr w:type="gramEnd"/>
      <w:r w:rsidRPr="004015B8">
        <w:rPr>
          <w:rFonts w:eastAsia="Times New Roman"/>
          <w:spacing w:val="0"/>
          <w:w w:val="100"/>
          <w:kern w:val="0"/>
          <w:sz w:val="24"/>
          <w:szCs w:val="24"/>
          <w:lang w:val="en-US" w:bidi="he-IL"/>
        </w:rPr>
        <w:t xml:space="preserve"> by the State concerned within 48 hours of the conclusion of the oral dialogue, if needed and appropriate. Exceptionally, the dialogue may take place by videoconference.</w:t>
      </w:r>
    </w:p>
    <w:p w:rsidR="0030759B" w:rsidRPr="009878A3" w:rsidRDefault="0030759B" w:rsidP="0030759B">
      <w:pPr>
        <w:pStyle w:val="H4"/>
        <w:spacing w:before="240"/>
        <w:ind w:right="89"/>
        <w:rPr>
          <w:sz w:val="24"/>
          <w:szCs w:val="24"/>
        </w:rPr>
      </w:pPr>
      <w:r w:rsidRPr="004015B8">
        <w:rPr>
          <w:sz w:val="24"/>
          <w:szCs w:val="24"/>
        </w:rPr>
        <w:tab/>
        <w:t>Format of concluding observations</w:t>
      </w:r>
    </w:p>
    <w:p w:rsidR="0030759B" w:rsidRPr="004015B8"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The treaty bodies agree that concluding observations will follow the same aligned methodology, as endorsed by the Chairs in the concluding observations of their 2014 meeting (see </w:t>
      </w:r>
      <w:hyperlink r:id="rId9" w:history="1">
        <w:r w:rsidRPr="004015B8">
          <w:rPr>
            <w:rFonts w:eastAsia="Times New Roman"/>
            <w:spacing w:val="0"/>
            <w:w w:val="100"/>
            <w:kern w:val="0"/>
            <w:sz w:val="24"/>
            <w:szCs w:val="24"/>
            <w:lang w:val="en-US" w:bidi="he-IL"/>
          </w:rPr>
          <w:t>HRI/MC/2014/2</w:t>
        </w:r>
      </w:hyperlink>
      <w:r w:rsidRPr="004015B8">
        <w:rPr>
          <w:rFonts w:eastAsia="Times New Roman"/>
          <w:spacing w:val="0"/>
          <w:w w:val="100"/>
          <w:kern w:val="0"/>
          <w:sz w:val="24"/>
          <w:szCs w:val="24"/>
          <w:lang w:val="en-US" w:bidi="he-IL"/>
        </w:rPr>
        <w:t>) in order to ensure that they are short, focused, concrete and prioritized, balancing immediate with longer terms priorities and objectives.</w:t>
      </w:r>
    </w:p>
    <w:p w:rsidR="0030759B" w:rsidRPr="00EA58A2" w:rsidRDefault="0030759B" w:rsidP="0030759B">
      <w:pPr>
        <w:pStyle w:val="SingleTxt"/>
        <w:spacing w:after="0" w:line="120" w:lineRule="exact"/>
        <w:ind w:right="89"/>
        <w:rPr>
          <w:sz w:val="10"/>
        </w:rPr>
      </w:pPr>
    </w:p>
    <w:p w:rsidR="0030759B" w:rsidRPr="004015B8" w:rsidRDefault="0030759B" w:rsidP="0030759B">
      <w:pPr>
        <w:pStyle w:val="H4"/>
        <w:ind w:right="89"/>
        <w:rPr>
          <w:sz w:val="24"/>
          <w:szCs w:val="24"/>
        </w:rPr>
      </w:pPr>
      <w:r w:rsidRPr="004015B8">
        <w:rPr>
          <w:sz w:val="24"/>
          <w:szCs w:val="24"/>
        </w:rPr>
        <w:tab/>
      </w:r>
    </w:p>
    <w:p w:rsidR="0030759B" w:rsidRPr="009878A3" w:rsidRDefault="0030759B" w:rsidP="0030759B">
      <w:pPr>
        <w:pStyle w:val="H4"/>
        <w:ind w:right="89"/>
        <w:rPr>
          <w:sz w:val="24"/>
          <w:szCs w:val="24"/>
        </w:rPr>
      </w:pPr>
      <w:r w:rsidRPr="004015B8">
        <w:rPr>
          <w:sz w:val="24"/>
          <w:szCs w:val="24"/>
        </w:rPr>
        <w:t>Follow-up procedure</w:t>
      </w:r>
    </w:p>
    <w:p w:rsidR="0030759B" w:rsidRPr="004015B8" w:rsidRDefault="0030759B" w:rsidP="0030759B">
      <w:pPr>
        <w:pStyle w:val="SingleTxt"/>
        <w:ind w:left="0" w:right="89"/>
        <w:rPr>
          <w:rFonts w:eastAsia="Times New Roman"/>
          <w:spacing w:val="0"/>
          <w:w w:val="100"/>
          <w:kern w:val="0"/>
          <w:sz w:val="24"/>
          <w:szCs w:val="24"/>
          <w:lang w:val="en-US" w:bidi="he-IL"/>
        </w:rPr>
      </w:pPr>
      <w:proofErr w:type="gramStart"/>
      <w:r w:rsidRPr="004015B8">
        <w:rPr>
          <w:rFonts w:eastAsia="Times New Roman"/>
          <w:spacing w:val="0"/>
          <w:w w:val="100"/>
          <w:kern w:val="0"/>
          <w:sz w:val="24"/>
          <w:szCs w:val="24"/>
          <w:lang w:val="en-US" w:bidi="he-IL"/>
        </w:rPr>
        <w:t xml:space="preserve">All treaty bodies engaging in follow-up to concluding observations will adhere to the process previously endorsed by the Chairs in the procedures of the human rights treaty bodies for following up on concluding observations, decisions and views (see </w:t>
      </w:r>
      <w:hyperlink r:id="rId10" w:history="1">
        <w:r w:rsidRPr="004015B8">
          <w:rPr>
            <w:rFonts w:eastAsia="Times New Roman"/>
            <w:spacing w:val="0"/>
            <w:w w:val="100"/>
            <w:kern w:val="0"/>
            <w:sz w:val="24"/>
            <w:szCs w:val="24"/>
            <w:lang w:val="en-US" w:bidi="he-IL"/>
          </w:rPr>
          <w:t>HRC/MC/2018/4</w:t>
        </w:r>
      </w:hyperlink>
      <w:r w:rsidRPr="004015B8">
        <w:rPr>
          <w:rFonts w:eastAsia="Times New Roman"/>
          <w:spacing w:val="0"/>
          <w:w w:val="100"/>
          <w:kern w:val="0"/>
          <w:sz w:val="24"/>
          <w:szCs w:val="24"/>
          <w:lang w:val="en-US" w:bidi="he-IL"/>
        </w:rPr>
        <w:t>), with a maximum of four urgent recommendations being selected by each Committee from the concluding observations, and the State party will be requested to respond follow-up within a fixed period from the date of the review.</w:t>
      </w:r>
      <w:proofErr w:type="gramEnd"/>
    </w:p>
    <w:p w:rsidR="0030759B" w:rsidRPr="00EA58A2" w:rsidRDefault="0030759B" w:rsidP="0030759B">
      <w:pPr>
        <w:pStyle w:val="SingleTxt"/>
        <w:spacing w:after="0" w:line="120" w:lineRule="exact"/>
        <w:ind w:right="89"/>
        <w:rPr>
          <w:sz w:val="10"/>
        </w:rPr>
      </w:pPr>
    </w:p>
    <w:p w:rsidR="0030759B" w:rsidRPr="009878A3" w:rsidRDefault="0030759B" w:rsidP="0030759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89" w:hanging="1267"/>
      </w:pPr>
      <w:r w:rsidRPr="009878A3">
        <w:t>Review capacity of the treaty bodies</w:t>
      </w:r>
    </w:p>
    <w:p w:rsidR="0030759B" w:rsidRDefault="0030759B" w:rsidP="0030759B">
      <w:pPr>
        <w:pStyle w:val="SingleTxt"/>
        <w:ind w:left="0" w:right="89"/>
        <w:rPr>
          <w:rFonts w:eastAsia="Times New Roman"/>
          <w:spacing w:val="0"/>
          <w:w w:val="100"/>
          <w:kern w:val="0"/>
          <w:sz w:val="24"/>
          <w:szCs w:val="24"/>
          <w:lang w:val="en-US" w:bidi="he-IL"/>
        </w:rPr>
      </w:pPr>
    </w:p>
    <w:p w:rsidR="0030759B" w:rsidRPr="004015B8"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The treaty bodies consider that Committee members </w:t>
      </w:r>
      <w:proofErr w:type="gramStart"/>
      <w:r w:rsidRPr="004015B8">
        <w:rPr>
          <w:rFonts w:eastAsia="Times New Roman"/>
          <w:spacing w:val="0"/>
          <w:w w:val="100"/>
          <w:kern w:val="0"/>
          <w:sz w:val="24"/>
          <w:szCs w:val="24"/>
          <w:lang w:val="en-US" w:bidi="he-IL"/>
        </w:rPr>
        <w:t>cannot be expected</w:t>
      </w:r>
      <w:proofErr w:type="gramEnd"/>
      <w:r w:rsidRPr="004015B8">
        <w:rPr>
          <w:rFonts w:eastAsia="Times New Roman"/>
          <w:spacing w:val="0"/>
          <w:w w:val="100"/>
          <w:kern w:val="0"/>
          <w:sz w:val="24"/>
          <w:szCs w:val="24"/>
          <w:lang w:val="en-US" w:bidi="he-IL"/>
        </w:rPr>
        <w:t xml:space="preserve"> to contribute more than three months a year of their time (that is, a maximum of three sessions of four weeks each). As a result, increasing the capacity of the treaty bodies necessitates changes in working methods.</w:t>
      </w:r>
    </w:p>
    <w:p w:rsidR="0030759B" w:rsidRPr="004015B8"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All treaty bodies agree to increase their capacity to review the reports of States parties and individual communications, for example by working in chambers, working groups or country teams. This will facilitate the need to review up to 50 reports per year for the Convention Committees, and 25 reports per year for the Covenant Committees.</w:t>
      </w:r>
    </w:p>
    <w:p w:rsidR="0030759B" w:rsidRPr="00EA58A2" w:rsidRDefault="0030759B" w:rsidP="0030759B">
      <w:pPr>
        <w:pStyle w:val="SingleTxt"/>
        <w:spacing w:after="0" w:line="120" w:lineRule="exact"/>
        <w:ind w:right="89"/>
        <w:rPr>
          <w:sz w:val="10"/>
        </w:rPr>
      </w:pPr>
    </w:p>
    <w:p w:rsidR="0030759B" w:rsidRDefault="0030759B" w:rsidP="0030759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89" w:hanging="1267"/>
      </w:pPr>
      <w:r>
        <w:tab/>
      </w:r>
    </w:p>
    <w:p w:rsidR="0030759B" w:rsidRDefault="0030759B" w:rsidP="0030759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89" w:hanging="1267"/>
      </w:pPr>
    </w:p>
    <w:p w:rsidR="0030759B" w:rsidRPr="009878A3" w:rsidRDefault="0030759B" w:rsidP="0030759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89" w:hanging="1267"/>
      </w:pPr>
      <w:r w:rsidRPr="009878A3">
        <w:t>Reviews in the region</w:t>
      </w:r>
    </w:p>
    <w:p w:rsidR="0030759B" w:rsidRDefault="0030759B" w:rsidP="0030759B">
      <w:pPr>
        <w:pStyle w:val="SingleTxt"/>
        <w:ind w:left="0" w:right="89"/>
        <w:rPr>
          <w:rFonts w:eastAsia="Times New Roman"/>
          <w:spacing w:val="0"/>
          <w:w w:val="100"/>
          <w:kern w:val="0"/>
          <w:sz w:val="24"/>
          <w:szCs w:val="24"/>
          <w:lang w:val="en-US" w:bidi="he-IL"/>
        </w:rPr>
      </w:pPr>
    </w:p>
    <w:p w:rsidR="0030759B" w:rsidRPr="004015B8"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All treaty bodies agree that there are considerable benefits in conducting dialogues with States parties concerning their reports at a regional level, and that </w:t>
      </w:r>
      <w:proofErr w:type="gramStart"/>
      <w:r w:rsidRPr="004015B8">
        <w:rPr>
          <w:rFonts w:eastAsia="Times New Roman"/>
          <w:spacing w:val="0"/>
          <w:w w:val="100"/>
          <w:kern w:val="0"/>
          <w:sz w:val="24"/>
          <w:szCs w:val="24"/>
          <w:lang w:val="en-US" w:bidi="he-IL"/>
        </w:rPr>
        <w:t>this option should be offered to States on a pilot basis by those Committees</w:t>
      </w:r>
      <w:proofErr w:type="gramEnd"/>
      <w:r w:rsidRPr="004015B8">
        <w:rPr>
          <w:rFonts w:eastAsia="Times New Roman"/>
          <w:spacing w:val="0"/>
          <w:w w:val="100"/>
          <w:kern w:val="0"/>
          <w:sz w:val="24"/>
          <w:szCs w:val="24"/>
          <w:lang w:val="en-US" w:bidi="he-IL"/>
        </w:rPr>
        <w:t xml:space="preserve"> wishing to do so, with a view to permanent implementation. Such dialogues </w:t>
      </w:r>
      <w:proofErr w:type="gramStart"/>
      <w:r w:rsidRPr="004015B8">
        <w:rPr>
          <w:rFonts w:eastAsia="Times New Roman"/>
          <w:spacing w:val="0"/>
          <w:w w:val="100"/>
          <w:kern w:val="0"/>
          <w:sz w:val="24"/>
          <w:szCs w:val="24"/>
          <w:lang w:val="en-US" w:bidi="he-IL"/>
        </w:rPr>
        <w:t>may be conducted</w:t>
      </w:r>
      <w:proofErr w:type="gramEnd"/>
      <w:r w:rsidRPr="004015B8">
        <w:rPr>
          <w:rFonts w:eastAsia="Times New Roman"/>
          <w:spacing w:val="0"/>
          <w:w w:val="100"/>
          <w:kern w:val="0"/>
          <w:sz w:val="24"/>
          <w:szCs w:val="24"/>
          <w:lang w:val="en-US" w:bidi="he-IL"/>
        </w:rPr>
        <w:t xml:space="preserve"> by a delegation of the treaty body, with concluding observations being adopted by the Committee as a whole. </w:t>
      </w:r>
    </w:p>
    <w:p w:rsidR="0030759B" w:rsidRPr="00EA58A2" w:rsidRDefault="0030759B" w:rsidP="0030759B">
      <w:pPr>
        <w:pStyle w:val="SingleTxt"/>
        <w:spacing w:after="0" w:line="120" w:lineRule="exact"/>
        <w:ind w:right="89"/>
        <w:rPr>
          <w:sz w:val="10"/>
        </w:rPr>
      </w:pPr>
    </w:p>
    <w:p w:rsidR="0030759B" w:rsidRPr="009878A3" w:rsidRDefault="0030759B" w:rsidP="0030759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89" w:hanging="1267"/>
      </w:pPr>
      <w:r>
        <w:tab/>
      </w:r>
      <w:r w:rsidRPr="009878A3">
        <w:t>In conclusion</w:t>
      </w:r>
    </w:p>
    <w:p w:rsidR="0030759B" w:rsidRDefault="0030759B" w:rsidP="0030759B">
      <w:pPr>
        <w:pStyle w:val="SingleTxt"/>
        <w:ind w:left="0" w:right="89"/>
        <w:rPr>
          <w:rFonts w:eastAsia="Times New Roman"/>
          <w:spacing w:val="0"/>
          <w:w w:val="100"/>
          <w:kern w:val="0"/>
          <w:sz w:val="24"/>
          <w:szCs w:val="24"/>
          <w:lang w:val="en-US" w:bidi="he-IL"/>
        </w:rPr>
      </w:pPr>
    </w:p>
    <w:p w:rsidR="0030759B" w:rsidRPr="004015B8"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The Chairs of the treaty bodies agree to align procedures and working methods as specified above. The Chairs believe that these proposals, which aim to focus, coordinate and streamline the reporting process and the dialogues, will facilitate enhanced interaction between States parties and other stakeholders and the treaty bodies.</w:t>
      </w:r>
    </w:p>
    <w:p w:rsidR="0030759B" w:rsidRPr="004015B8" w:rsidRDefault="0030759B" w:rsidP="0030759B">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The introduction of a coordinated schedule of country reviews, in accordance with fixed cycles, in the absence of a report, if necessary, </w:t>
      </w:r>
      <w:proofErr w:type="gramStart"/>
      <w:r w:rsidRPr="004015B8">
        <w:rPr>
          <w:rFonts w:eastAsia="Times New Roman"/>
          <w:spacing w:val="0"/>
          <w:w w:val="100"/>
          <w:kern w:val="0"/>
          <w:sz w:val="24"/>
          <w:szCs w:val="24"/>
          <w:lang w:val="en-US" w:bidi="he-IL"/>
        </w:rPr>
        <w:t>will be implemented</w:t>
      </w:r>
      <w:proofErr w:type="gramEnd"/>
      <w:r w:rsidRPr="004015B8">
        <w:rPr>
          <w:rFonts w:eastAsia="Times New Roman"/>
          <w:spacing w:val="0"/>
          <w:w w:val="100"/>
          <w:kern w:val="0"/>
          <w:sz w:val="24"/>
          <w:szCs w:val="24"/>
          <w:lang w:val="en-US" w:bidi="he-IL"/>
        </w:rPr>
        <w:t xml:space="preserve"> in a phased manner in order to ensure the continuation of the regular reviews of all States parties.</w:t>
      </w:r>
    </w:p>
    <w:p w:rsidR="00446FE5" w:rsidRPr="00770252" w:rsidRDefault="00446FE5" w:rsidP="00B55090"/>
    <w:sectPr w:rsidR="00446FE5" w:rsidRPr="00770252"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59B" w:rsidRDefault="0030759B" w:rsidP="00F95C08"/>
  </w:endnote>
  <w:endnote w:type="continuationSeparator" w:id="0">
    <w:p w:rsidR="0030759B" w:rsidRPr="00AC3823" w:rsidRDefault="0030759B" w:rsidP="00AC3823">
      <w:pPr>
        <w:pStyle w:val="Footer"/>
      </w:pPr>
    </w:p>
  </w:endnote>
  <w:endnote w:type="continuationNotice" w:id="1">
    <w:p w:rsidR="0030759B" w:rsidRDefault="00307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59B" w:rsidRPr="00AC3823" w:rsidRDefault="0030759B" w:rsidP="00AC3823">
      <w:pPr>
        <w:pStyle w:val="Footer"/>
        <w:tabs>
          <w:tab w:val="right" w:pos="2155"/>
        </w:tabs>
        <w:spacing w:after="80" w:line="240" w:lineRule="atLeast"/>
        <w:ind w:left="680"/>
        <w:rPr>
          <w:u w:val="single"/>
        </w:rPr>
      </w:pPr>
      <w:r>
        <w:rPr>
          <w:u w:val="single"/>
        </w:rPr>
        <w:tab/>
      </w:r>
    </w:p>
  </w:footnote>
  <w:footnote w:type="continuationSeparator" w:id="0">
    <w:p w:rsidR="0030759B" w:rsidRPr="00AC3823" w:rsidRDefault="0030759B" w:rsidP="00AC3823">
      <w:pPr>
        <w:pStyle w:val="Footer"/>
        <w:tabs>
          <w:tab w:val="right" w:pos="2155"/>
        </w:tabs>
        <w:spacing w:after="80" w:line="240" w:lineRule="atLeast"/>
        <w:ind w:left="680"/>
        <w:rPr>
          <w:u w:val="single"/>
        </w:rPr>
      </w:pPr>
      <w:r>
        <w:rPr>
          <w:u w:val="single"/>
        </w:rPr>
        <w:tab/>
      </w:r>
    </w:p>
  </w:footnote>
  <w:footnote w:type="continuationNotice" w:id="1">
    <w:p w:rsidR="0030759B" w:rsidRPr="00AC3823" w:rsidRDefault="0030759B">
      <w:pPr>
        <w:rPr>
          <w:sz w:val="2"/>
          <w:szCs w:val="2"/>
        </w:rPr>
      </w:pPr>
    </w:p>
  </w:footnote>
  <w:footnote w:id="2">
    <w:p w:rsidR="00AE758B" w:rsidRPr="00AE758B" w:rsidRDefault="00AE758B">
      <w:pPr>
        <w:pStyle w:val="FootnoteText"/>
        <w:rPr>
          <w:lang w:val="en-GB"/>
        </w:rPr>
      </w:pPr>
      <w:r>
        <w:rPr>
          <w:rStyle w:val="FootnoteReference"/>
        </w:rPr>
        <w:t>*</w:t>
      </w:r>
      <w:r>
        <w:t xml:space="preserve"> </w:t>
      </w:r>
      <w:r>
        <w:rPr>
          <w:lang w:val="en-GB"/>
        </w:rPr>
        <w:t xml:space="preserve">A/74/256, Annex III.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9B"/>
    <w:rsid w:val="00017F94"/>
    <w:rsid w:val="00023842"/>
    <w:rsid w:val="000334F9"/>
    <w:rsid w:val="0007796D"/>
    <w:rsid w:val="000B7790"/>
    <w:rsid w:val="000C390E"/>
    <w:rsid w:val="00111F2F"/>
    <w:rsid w:val="0014365E"/>
    <w:rsid w:val="0014660A"/>
    <w:rsid w:val="00150DB2"/>
    <w:rsid w:val="00176178"/>
    <w:rsid w:val="001F525A"/>
    <w:rsid w:val="002212A2"/>
    <w:rsid w:val="00223272"/>
    <w:rsid w:val="0024779E"/>
    <w:rsid w:val="00291F1D"/>
    <w:rsid w:val="0029407C"/>
    <w:rsid w:val="00294472"/>
    <w:rsid w:val="0030759B"/>
    <w:rsid w:val="00350987"/>
    <w:rsid w:val="00353ED5"/>
    <w:rsid w:val="00382A1F"/>
    <w:rsid w:val="00390178"/>
    <w:rsid w:val="003D1AD0"/>
    <w:rsid w:val="00446FE5"/>
    <w:rsid w:val="00452396"/>
    <w:rsid w:val="004D1CEB"/>
    <w:rsid w:val="005505B7"/>
    <w:rsid w:val="00562FF7"/>
    <w:rsid w:val="005706C8"/>
    <w:rsid w:val="00573BE5"/>
    <w:rsid w:val="00586ED3"/>
    <w:rsid w:val="00596AA9"/>
    <w:rsid w:val="006122C4"/>
    <w:rsid w:val="006E2C9B"/>
    <w:rsid w:val="0071601D"/>
    <w:rsid w:val="0076624F"/>
    <w:rsid w:val="00766CEC"/>
    <w:rsid w:val="00770252"/>
    <w:rsid w:val="007A62E6"/>
    <w:rsid w:val="007B13DE"/>
    <w:rsid w:val="007F0166"/>
    <w:rsid w:val="0080684C"/>
    <w:rsid w:val="00815502"/>
    <w:rsid w:val="00845D2D"/>
    <w:rsid w:val="00871C75"/>
    <w:rsid w:val="008776DC"/>
    <w:rsid w:val="008F2A1D"/>
    <w:rsid w:val="0092443F"/>
    <w:rsid w:val="00957790"/>
    <w:rsid w:val="009705C8"/>
    <w:rsid w:val="00A12AB5"/>
    <w:rsid w:val="00AC3823"/>
    <w:rsid w:val="00AE323C"/>
    <w:rsid w:val="00AE758B"/>
    <w:rsid w:val="00AE7D9F"/>
    <w:rsid w:val="00B00181"/>
    <w:rsid w:val="00B132A7"/>
    <w:rsid w:val="00B43C66"/>
    <w:rsid w:val="00B55090"/>
    <w:rsid w:val="00B765F7"/>
    <w:rsid w:val="00BA0CA9"/>
    <w:rsid w:val="00BB3E59"/>
    <w:rsid w:val="00BE1F4C"/>
    <w:rsid w:val="00BE4745"/>
    <w:rsid w:val="00BF114C"/>
    <w:rsid w:val="00BF3C2C"/>
    <w:rsid w:val="00C02897"/>
    <w:rsid w:val="00CF3AE1"/>
    <w:rsid w:val="00D3439C"/>
    <w:rsid w:val="00D40AEB"/>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F40BBF"/>
  <w15:chartTrackingRefBased/>
  <w15:docId w15:val="{8C395A0E-B124-4A56-B95B-488DC903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59B"/>
    <w:rPr>
      <w:rFonts w:asciiTheme="minorHAnsi" w:hAnsiTheme="minorHAnsi" w:cstheme="minorBidi"/>
      <w:sz w:val="24"/>
      <w:szCs w:val="24"/>
      <w:lang w:val="en-US" w:bidi="he-IL"/>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customStyle="1" w:styleId="H1">
    <w:name w:val="_ H_1"/>
    <w:basedOn w:val="Normal"/>
    <w:next w:val="SingleTxt"/>
    <w:rsid w:val="0030759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ascii="Times New Roman" w:hAnsi="Times New Roman" w:cs="Times New Roman"/>
      <w:b/>
      <w:spacing w:val="4"/>
      <w:w w:val="103"/>
      <w:kern w:val="14"/>
      <w:szCs w:val="20"/>
      <w:lang w:val="en-GB" w:bidi="ar-SA"/>
    </w:rPr>
  </w:style>
  <w:style w:type="paragraph" w:customStyle="1" w:styleId="H23">
    <w:name w:val="_ H_2/3"/>
    <w:basedOn w:val="Normal"/>
    <w:next w:val="SingleTxt"/>
    <w:rsid w:val="0030759B"/>
    <w:pPr>
      <w:suppressAutoHyphens/>
      <w:spacing w:line="240" w:lineRule="exact"/>
      <w:outlineLvl w:val="1"/>
    </w:pPr>
    <w:rPr>
      <w:rFonts w:ascii="Times New Roman" w:hAnsi="Times New Roman" w:cs="Times New Roman"/>
      <w:b/>
      <w:spacing w:val="4"/>
      <w:w w:val="103"/>
      <w:kern w:val="14"/>
      <w:sz w:val="20"/>
      <w:szCs w:val="20"/>
      <w:lang w:bidi="ar-SA"/>
    </w:rPr>
  </w:style>
  <w:style w:type="paragraph" w:customStyle="1" w:styleId="H4">
    <w:name w:val="_ H_4"/>
    <w:basedOn w:val="Normal"/>
    <w:next w:val="SingleTxt"/>
    <w:rsid w:val="0030759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ascii="Times New Roman" w:hAnsi="Times New Roman" w:cs="Times New Roman"/>
      <w:i/>
      <w:spacing w:val="3"/>
      <w:w w:val="103"/>
      <w:kern w:val="14"/>
      <w:sz w:val="20"/>
      <w:szCs w:val="20"/>
      <w:lang w:val="en-GB" w:bidi="ar-SA"/>
    </w:rPr>
  </w:style>
  <w:style w:type="paragraph" w:customStyle="1" w:styleId="SingleTxt">
    <w:name w:val="__Single Txt"/>
    <w:basedOn w:val="Normal"/>
    <w:rsid w:val="0030759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n/A/RES/68/268"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undocs.org/en/HRC/MC/2018/4" TargetMode="External"/><Relationship Id="rId4" Type="http://schemas.openxmlformats.org/officeDocument/2006/relationships/settings" Target="settings.xml"/><Relationship Id="rId9" Type="http://schemas.openxmlformats.org/officeDocument/2006/relationships/hyperlink" Target="https://undocs.org/en/HRI/MC/2014/2"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14CA9A-A0B7-4FBC-A4BD-14E63D1C1922}">
  <ds:schemaRefs>
    <ds:schemaRef ds:uri="http://schemas.openxmlformats.org/officeDocument/2006/bibliography"/>
  </ds:schemaRefs>
</ds:datastoreItem>
</file>

<file path=customXml/itemProps2.xml><?xml version="1.0" encoding="utf-8"?>
<ds:datastoreItem xmlns:ds="http://schemas.openxmlformats.org/officeDocument/2006/customXml" ds:itemID="{C4C214E6-E976-4383-BD5C-82EE954CB4A9}"/>
</file>

<file path=customXml/itemProps3.xml><?xml version="1.0" encoding="utf-8"?>
<ds:datastoreItem xmlns:ds="http://schemas.openxmlformats.org/officeDocument/2006/customXml" ds:itemID="{67EA071D-314A-4190-A871-402BBEAC130D}"/>
</file>

<file path=customXml/itemProps4.xml><?xml version="1.0" encoding="utf-8"?>
<ds:datastoreItem xmlns:ds="http://schemas.openxmlformats.org/officeDocument/2006/customXml" ds:itemID="{DCFA9704-3578-4EB8-8B58-BD89795F9D0B}"/>
</file>

<file path=docProps/app.xml><?xml version="1.0" encoding="utf-8"?>
<Properties xmlns="http://schemas.openxmlformats.org/officeDocument/2006/extended-properties" xmlns:vt="http://schemas.openxmlformats.org/officeDocument/2006/docPropsVTypes">
  <Template>Normal.dotm</Template>
  <TotalTime>2</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ROSNIANSKY Cherry Lou</dc:creator>
  <cp:keywords/>
  <dc:description/>
  <cp:lastModifiedBy>ROSNIANSKY Cherry Lou</cp:lastModifiedBy>
  <cp:revision>2</cp:revision>
  <cp:lastPrinted>2014-05-14T10:59:00Z</cp:lastPrinted>
  <dcterms:created xsi:type="dcterms:W3CDTF">2019-09-12T14:23:00Z</dcterms:created>
  <dcterms:modified xsi:type="dcterms:W3CDTF">2019-09-12T14:31:00Z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